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215F8" w14:textId="1ADD426D" w:rsidR="005560E8" w:rsidRPr="00115293" w:rsidRDefault="00BF626A" w:rsidP="00463FED">
      <w:pPr>
        <w:bidi/>
        <w:rPr>
          <w:rStyle w:val="Style1Char"/>
          <w:color w:val="auto"/>
          <w:sz w:val="28"/>
          <w:szCs w:val="28"/>
        </w:rPr>
      </w:pPr>
      <w:bookmarkStart w:id="0" w:name="_Hlk100143271"/>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bookmarkEnd w:id="0"/>
      <w:r w:rsidR="00F450C8" w:rsidRPr="00F450C8">
        <w:rPr>
          <w:rStyle w:val="Style1Char"/>
          <w:color w:val="auto"/>
          <w:sz w:val="24"/>
          <w:szCs w:val="24"/>
          <w:rtl/>
        </w:rPr>
        <w:t>מסכת כתובות פרק א - בתולה נשאת</w:t>
      </w:r>
    </w:p>
    <w:p w14:paraId="74C643A2" w14:textId="65D67298" w:rsidR="00F450C8" w:rsidRPr="005B4966" w:rsidRDefault="00F450C8" w:rsidP="00F450C8">
      <w:pPr>
        <w:bidi/>
        <w:rPr>
          <w:rStyle w:val="Style1Char"/>
          <w:color w:val="auto"/>
          <w:sz w:val="22"/>
          <w:szCs w:val="22"/>
        </w:rPr>
      </w:pPr>
      <w:r w:rsidRPr="005B4966">
        <w:rPr>
          <w:rStyle w:val="Style1Char"/>
          <w:color w:val="auto"/>
          <w:sz w:val="22"/>
          <w:szCs w:val="22"/>
          <w:highlight w:val="yellow"/>
          <w:rtl/>
        </w:rPr>
        <w:t>[דף ב עמוד א]</w:t>
      </w:r>
      <w:r w:rsidRPr="005B4966">
        <w:rPr>
          <w:rStyle w:val="Style1Char"/>
          <w:color w:val="auto"/>
          <w:sz w:val="22"/>
          <w:szCs w:val="22"/>
          <w:rtl/>
        </w:rPr>
        <w:t xml:space="preserve"> /מתני'/. בתולה </w:t>
      </w:r>
      <w:r w:rsidR="00952331" w:rsidRPr="00EF64BD">
        <w:rPr>
          <w:rStyle w:val="Style1Char"/>
          <w:rFonts w:hint="cs"/>
          <w:rtl/>
        </w:rPr>
        <w:t>(1)</w:t>
      </w:r>
      <w:r w:rsidRPr="005B4966">
        <w:rPr>
          <w:rStyle w:val="Style1Char"/>
          <w:color w:val="auto"/>
          <w:sz w:val="22"/>
          <w:szCs w:val="22"/>
          <w:rtl/>
        </w:rPr>
        <w:t xml:space="preserve">נשאת ליום הרביעי, ואלמנה - ליום החמישי; שפעמים בשבת בתי דינין יושבין בעיירות, ביום השני וביום החמישי, שאם היה לו טענת בתולים היה משכים לבית דין. </w:t>
      </w:r>
    </w:p>
    <w:p w14:paraId="51E8B4B5" w14:textId="35B636BD" w:rsidR="00F450C8" w:rsidRDefault="00F450C8" w:rsidP="00F450C8">
      <w:pPr>
        <w:bidi/>
        <w:rPr>
          <w:rStyle w:val="Style1Char"/>
          <w:color w:val="00B050"/>
          <w:rtl/>
        </w:rPr>
      </w:pPr>
      <w:r w:rsidRPr="00510ECF">
        <w:rPr>
          <w:rStyle w:val="Style1Char"/>
          <w:color w:val="auto"/>
          <w:sz w:val="22"/>
          <w:szCs w:val="22"/>
          <w:rtl/>
        </w:rPr>
        <w:t>גמ'.</w:t>
      </w:r>
      <w:r w:rsidRPr="00510ECF">
        <w:rPr>
          <w:rStyle w:val="Style1Char"/>
          <w:color w:val="auto"/>
          <w:rtl/>
        </w:rPr>
        <w:t xml:space="preserve"> </w:t>
      </w:r>
      <w:r w:rsidRPr="00510ECF">
        <w:rPr>
          <w:rStyle w:val="Style1Char"/>
          <w:color w:val="auto"/>
          <w:sz w:val="22"/>
          <w:szCs w:val="22"/>
          <w:rtl/>
        </w:rPr>
        <w:t xml:space="preserve">אמר רב יוסף אמר רב יהודה אמר שמואל: מפני מה אמרו בתולה נשאת ליום הרביעי? </w:t>
      </w:r>
      <w:r w:rsidRPr="00F450C8">
        <w:rPr>
          <w:rStyle w:val="Style1Char"/>
          <w:color w:val="00B050"/>
          <w:rtl/>
        </w:rPr>
        <w:t xml:space="preserve">לפי ששנינו: הגיע זמן ולא נישאו - אוכלות משלו ואוכלות בתרומה, יכול הגיע זמן באחד בשבת יהא מעלה לה מזונות? לכך שנינו: בתולה נשאת ליום הרביעי. אמר רב יוסף: מריה דאברהם! תלי תניא בדלא תניא? הי תניא והי לא תניא? הא תניא והא תניא! אלא, תלי תניא דמפרש טעמא בדתניא דלא מפרש טעמא? אלא אי איתמר הכי איתמר, אמר רב יהודה אמר שמואל: מפני מה אמרו בתולה נשאת ליום הרביעי? </w:t>
      </w:r>
      <w:r w:rsidRPr="00510ECF">
        <w:rPr>
          <w:rStyle w:val="Style1Char"/>
          <w:color w:val="auto"/>
          <w:sz w:val="22"/>
          <w:szCs w:val="22"/>
          <w:rtl/>
        </w:rPr>
        <w:t xml:space="preserve">שאם היה לו טענת בתולים היה משכים לב"ד; ותינשא באחד בשבת, שאם היה לו טענת בתולים היה משכים לבית דין! </w:t>
      </w:r>
      <w:r w:rsidR="00167890" w:rsidRPr="00EF64BD">
        <w:rPr>
          <w:rStyle w:val="Style1Char"/>
          <w:rFonts w:hint="cs"/>
          <w:rtl/>
        </w:rPr>
        <w:t>(1)</w:t>
      </w:r>
      <w:r w:rsidRPr="00510ECF">
        <w:rPr>
          <w:rStyle w:val="Style1Char"/>
          <w:color w:val="auto"/>
          <w:sz w:val="22"/>
          <w:szCs w:val="22"/>
          <w:rtl/>
        </w:rPr>
        <w:t xml:space="preserve">שקדו חכמים על תקנת בנות ישראל שיהא טורח בסעודה שלשה ימים, אחד בשבת ושני בשבת ושלישי בשבת, וברביעי כונסה. ועכשיו ששנינו שקדו, אותה ששנינו הגיע זמן ולא נישאו - אוכלות משלו </w:t>
      </w:r>
      <w:r w:rsidRPr="00167E88">
        <w:rPr>
          <w:rStyle w:val="Style1Char"/>
          <w:color w:val="ED7D31" w:themeColor="accent2"/>
          <w:rtl/>
        </w:rPr>
        <w:t>ואוכלות בתרומה</w:t>
      </w:r>
      <w:r w:rsidRPr="00F450C8">
        <w:rPr>
          <w:rStyle w:val="Style1Char"/>
          <w:color w:val="00B050"/>
          <w:rtl/>
        </w:rPr>
        <w:t xml:space="preserve">, </w:t>
      </w:r>
      <w:r w:rsidR="009B3ED0" w:rsidRPr="00EF64BD">
        <w:rPr>
          <w:rStyle w:val="Style1Char"/>
          <w:rFonts w:hint="cs"/>
          <w:rtl/>
        </w:rPr>
        <w:t>(</w:t>
      </w:r>
      <w:r w:rsidR="009B3ED0">
        <w:rPr>
          <w:rStyle w:val="Style1Char"/>
          <w:rFonts w:hint="cs"/>
          <w:rtl/>
        </w:rPr>
        <w:t>2</w:t>
      </w:r>
      <w:r w:rsidR="009B3ED0" w:rsidRPr="00EF64BD">
        <w:rPr>
          <w:rStyle w:val="Style1Char"/>
          <w:rFonts w:hint="cs"/>
          <w:rtl/>
        </w:rPr>
        <w:t>)</w:t>
      </w:r>
      <w:r w:rsidRPr="00167E88">
        <w:rPr>
          <w:rStyle w:val="Style1Char"/>
          <w:color w:val="auto"/>
          <w:sz w:val="22"/>
          <w:szCs w:val="22"/>
          <w:rtl/>
        </w:rPr>
        <w:t>הגיע זמן באחד בשבת, מתוך שאינו יכול לכנוס - אינו מעלה לה מזונות;</w:t>
      </w:r>
      <w:r w:rsidRPr="00167E88">
        <w:rPr>
          <w:rStyle w:val="Style1Char"/>
          <w:color w:val="auto"/>
          <w:rtl/>
        </w:rPr>
        <w:t xml:space="preserve"> </w:t>
      </w:r>
      <w:r w:rsidRPr="00167E88">
        <w:rPr>
          <w:rStyle w:val="Style1Char"/>
          <w:color w:val="auto"/>
          <w:sz w:val="22"/>
          <w:szCs w:val="22"/>
          <w:rtl/>
        </w:rPr>
        <w:t xml:space="preserve">לפיכך, </w:t>
      </w:r>
      <w:r w:rsidR="00562601" w:rsidRPr="00EF64BD">
        <w:rPr>
          <w:rStyle w:val="Style1Char"/>
          <w:rFonts w:hint="cs"/>
          <w:rtl/>
        </w:rPr>
        <w:t>(</w:t>
      </w:r>
      <w:r w:rsidR="00562601">
        <w:rPr>
          <w:rStyle w:val="Style1Char"/>
          <w:rFonts w:hint="cs"/>
          <w:rtl/>
        </w:rPr>
        <w:t>2</w:t>
      </w:r>
      <w:r w:rsidR="00562601" w:rsidRPr="00EF64BD">
        <w:rPr>
          <w:rStyle w:val="Style1Char"/>
          <w:rFonts w:hint="cs"/>
          <w:rtl/>
        </w:rPr>
        <w:t>)</w:t>
      </w:r>
      <w:r w:rsidRPr="00167E88">
        <w:rPr>
          <w:rStyle w:val="Style1Char"/>
          <w:color w:val="auto"/>
          <w:sz w:val="22"/>
          <w:szCs w:val="22"/>
          <w:rtl/>
        </w:rPr>
        <w:t>חלה הוא, או שחלתה היא, או שפירסה נדה - אינו מעלה לה מזונות</w:t>
      </w:r>
      <w:r w:rsidR="00717596" w:rsidRPr="00167E88">
        <w:rPr>
          <w:rStyle w:val="Style1Char"/>
          <w:color w:val="auto"/>
          <w:rtl/>
        </w:rPr>
        <w:t xml:space="preserve"> </w:t>
      </w:r>
      <w:r w:rsidR="00717596" w:rsidRPr="006633D9">
        <w:rPr>
          <w:rStyle w:val="Style1Char"/>
          <w:color w:val="C00000"/>
          <w:rtl/>
        </w:rPr>
        <w:t>והאי דאמרינן אוכלות משלו דוקא חולין אבל תרומה לא דקיימא לן כמשנה אחרונה [דף נ"ז ע"ב] אין האשה אוכלת בתרומה עד שתכנס לחופה</w:t>
      </w:r>
      <w:r w:rsidRPr="00F450C8">
        <w:rPr>
          <w:rStyle w:val="Style1Char"/>
          <w:color w:val="00B050"/>
          <w:rtl/>
        </w:rPr>
        <w:t xml:space="preserve">. ואיכא דבעי לה מיבעיא: חלה הוא, מהו? התם טעמא מאי? משום דאניס, והכא נמי הא אניס, או דלמא התם אניס בתקנתא דתקינו ליה רבנן, הכא לא? ואם תמצי לומר: חלה הוא מעלה לה מזונות, חלתה היא, מהו? מצי אמר לה אנא הא קאימנא, או דלמא מציא אמרה ליה נסתחפה שדהו? ואם תמצי לומר: אמרה ליה נסתחפה שדהו, פירסה נדה, מהו? בשעת ווסתה לא תיבעי לך </w:t>
      </w:r>
      <w:r w:rsidR="00792CD5">
        <w:rPr>
          <w:rStyle w:val="Style1Char"/>
          <w:color w:val="00B050"/>
          <w:rtl/>
        </w:rPr>
        <w:t>–</w:t>
      </w:r>
      <w:r w:rsidRPr="00F450C8">
        <w:rPr>
          <w:rStyle w:val="Style1Char"/>
          <w:color w:val="00B050"/>
          <w:rtl/>
        </w:rPr>
        <w:t xml:space="preserve"> </w:t>
      </w:r>
    </w:p>
    <w:p w14:paraId="2A5EB991" w14:textId="1A55A9E3" w:rsidR="00165F42" w:rsidRDefault="00165F42" w:rsidP="00165F42">
      <w:pPr>
        <w:pStyle w:val="Style1"/>
        <w:rPr>
          <w:rStyle w:val="Style1Char"/>
          <w:rtl/>
        </w:rPr>
      </w:pPr>
      <w:r>
        <w:rPr>
          <w:rStyle w:val="Style1Char"/>
          <w:rFonts w:hint="cs"/>
          <w:rtl/>
        </w:rPr>
        <w:t>1)[</w:t>
      </w:r>
      <w:r w:rsidRPr="00165F42">
        <w:rPr>
          <w:rStyle w:val="Style1Char"/>
          <w:rtl/>
        </w:rPr>
        <w:t>רמב</w:t>
      </w:r>
      <w:r w:rsidR="00213DA1">
        <w:rPr>
          <w:rStyle w:val="Style1Char"/>
          <w:rtl/>
        </w:rPr>
        <w:t>”ם \נשים\</w:t>
      </w:r>
      <w:r w:rsidRPr="00165F42">
        <w:rPr>
          <w:rStyle w:val="Style1Char"/>
          <w:rtl/>
        </w:rPr>
        <w:t xml:space="preserve"> הלכות אישות פרק י הלכה טו</w:t>
      </w:r>
      <w:r>
        <w:rPr>
          <w:rStyle w:val="Style1Char"/>
          <w:rFonts w:hint="cs"/>
          <w:rtl/>
        </w:rPr>
        <w:t xml:space="preserve">] </w:t>
      </w:r>
      <w:r w:rsidRPr="00165F42">
        <w:rPr>
          <w:rStyle w:val="Style1Char"/>
          <w:rtl/>
        </w:rPr>
        <w:t>מקום שאין בית דין יושבין בו אלא בשני ובחמישי בלבד בתולה נישאת ביום רביעי שאם היתה לו טענת בתולים ישכים לבית דין, ומנהג חכמים הוא שהנושא את הבעולה ישאנה בחמישי כדי שיהיה שמח עמה חמישי וערב שבת ושבת ויצא למלאכתו יום ראשון.</w:t>
      </w:r>
    </w:p>
    <w:p w14:paraId="599B5705" w14:textId="3B862E01" w:rsidR="00A3371C" w:rsidRPr="00A3371C" w:rsidRDefault="00A65F71" w:rsidP="00A3371C">
      <w:pPr>
        <w:pStyle w:val="Style1"/>
      </w:pPr>
      <w:r>
        <w:rPr>
          <w:rStyle w:val="Style1Char"/>
          <w:rFonts w:hint="cs"/>
          <w:rtl/>
        </w:rPr>
        <w:t>1)[</w:t>
      </w:r>
      <w:r w:rsidRPr="00A65F71">
        <w:rPr>
          <w:rStyle w:val="Style1Char"/>
          <w:rtl/>
        </w:rPr>
        <w:t>שולחן ערוך אבן העזר הלכות קידושין סימן סד סעיף ג</w:t>
      </w:r>
      <w:r>
        <w:rPr>
          <w:rStyle w:val="Style1Char"/>
          <w:rFonts w:hint="cs"/>
          <w:rtl/>
        </w:rPr>
        <w:t>]</w:t>
      </w:r>
      <w:r w:rsidR="00A3371C">
        <w:rPr>
          <w:rStyle w:val="Style1Char"/>
          <w:rFonts w:hint="cs"/>
          <w:rtl/>
        </w:rPr>
        <w:t xml:space="preserve"> </w:t>
      </w:r>
      <w:r w:rsidR="00A3371C" w:rsidRPr="00A3371C">
        <w:rPr>
          <w:rtl/>
        </w:rPr>
        <w:t>יש אומרים שאין נושאין נשים לא בערב שבת ולא באחד בשבת, גזרה שמא יבוא לידי חילול שבת בתקון הסעודה. ויש מתירין. וכן פשט המנהג לישא נשים בערב שבת, והוא שיטרח בסעדת הנשואין שלושה ימים קדם הנשואין. ומקום שאין בית דין יושבים בו אלא בשני ובחמישי בלבד, בתולה נשאת ביום רביעי, שאם היתה לו טענת בתולים ישכים לבית דין. ומנהג חכמים שהנושא את הבעולה ישאנה בחמישי, כדי שיהיה שמח עמה שלושה ימים: חמישי בשבת וערב שבת ושבת, ויוצא למלאכתו יום ראשון</w:t>
      </w:r>
      <w:r w:rsidR="00A3371C" w:rsidRPr="00A3371C">
        <w:t>.</w:t>
      </w:r>
    </w:p>
    <w:p w14:paraId="37664584" w14:textId="4F72542B" w:rsidR="00A3371C" w:rsidRDefault="00A3371C" w:rsidP="00A3371C">
      <w:pPr>
        <w:pStyle w:val="Style1"/>
        <w:rPr>
          <w:rtl/>
        </w:rPr>
      </w:pPr>
      <w:r w:rsidRPr="00A3371C">
        <w:rPr>
          <w:rFonts w:hint="cs"/>
          <w:rtl/>
        </w:rPr>
        <w:t>ונהגו שלא לישא נשים אלא בתחילת החדש, בעוד שהלבנה במלואה (הר"ן סוף פרק ארבע מיתות), ועיין </w:t>
      </w:r>
      <w:hyperlink r:id="rId8" w:tooltip="שולחן ערוך יורה דעה קעט" w:history="1">
        <w:r w:rsidRPr="00A3371C">
          <w:rPr>
            <w:rStyle w:val="Hyperlink"/>
            <w:rFonts w:hint="cs"/>
            <w:color w:val="7030A0"/>
            <w:u w:val="none"/>
            <w:rtl/>
          </w:rPr>
          <w:t>ביורה דעה סימן קע"ט</w:t>
        </w:r>
      </w:hyperlink>
      <w:r w:rsidRPr="00A3371C">
        <w:t>:</w:t>
      </w:r>
    </w:p>
    <w:p w14:paraId="7013D501" w14:textId="6DD58A26" w:rsidR="00F72287" w:rsidRDefault="00F72287" w:rsidP="00F72287">
      <w:pPr>
        <w:pStyle w:val="Style1"/>
        <w:rPr>
          <w:rtl/>
        </w:rPr>
      </w:pPr>
      <w:r>
        <w:rPr>
          <w:rFonts w:hint="cs"/>
          <w:rtl/>
        </w:rPr>
        <w:t>2)[</w:t>
      </w:r>
      <w:r>
        <w:rPr>
          <w:rtl/>
        </w:rPr>
        <w:t>רמב</w:t>
      </w:r>
      <w:r w:rsidR="00213DA1">
        <w:rPr>
          <w:rtl/>
        </w:rPr>
        <w:t>”ם \נשים\</w:t>
      </w:r>
      <w:r>
        <w:rPr>
          <w:rtl/>
        </w:rPr>
        <w:t xml:space="preserve"> הלכות אישות פרק י הלכה יט</w:t>
      </w:r>
      <w:r>
        <w:rPr>
          <w:rFonts w:hint="cs"/>
          <w:rtl/>
        </w:rPr>
        <w:t xml:space="preserve">] </w:t>
      </w:r>
      <w:r>
        <w:rPr>
          <w:rtl/>
        </w:rPr>
        <w:t>הגיע זמן שנתנו לאיש ולא נשאה נתחייב במזונותיה אף על פי שלא כנס, ואם הגיע הזמן באחד בשבת או בערב שבת אינו מעלה לה מזונות לאותו היום מפני שאינו יכול לכנוס, וכן אם חלה הוא או היא או שפרסה נדה כשהגיע הזמן אינו מעלה לה מזונות שהרי אינה ראויה להנשא עד שתטהר או עד שתבריא וכן הוא אינו יכול לישא אשה עד שיבריא.</w:t>
      </w:r>
    </w:p>
    <w:p w14:paraId="7C0AF06B" w14:textId="25AB4045" w:rsidR="002123C8" w:rsidRPr="002123C8" w:rsidRDefault="00DF399D" w:rsidP="002123C8">
      <w:pPr>
        <w:pStyle w:val="Style1"/>
      </w:pPr>
      <w:r>
        <w:rPr>
          <w:rFonts w:hint="cs"/>
          <w:rtl/>
        </w:rPr>
        <w:t>2)[</w:t>
      </w:r>
      <w:r>
        <w:rPr>
          <w:rtl/>
        </w:rPr>
        <w:t>שולחן ערוך אבן העזר הלכות קידושין סימן נו סעיף ג</w:t>
      </w:r>
      <w:r>
        <w:rPr>
          <w:rFonts w:hint="cs"/>
          <w:rtl/>
        </w:rPr>
        <w:t>]</w:t>
      </w:r>
      <w:r w:rsidR="002123C8">
        <w:rPr>
          <w:rFonts w:hint="cs"/>
          <w:rtl/>
        </w:rPr>
        <w:t xml:space="preserve"> </w:t>
      </w:r>
      <w:r w:rsidR="002123C8" w:rsidRPr="002123C8">
        <w:rPr>
          <w:rtl/>
        </w:rPr>
        <w:t>הגיע זמן שנתנו לאיש ולא נשאה, נתחיב במזונותיה אף על פי שלא כנס. ואם עכבו אנס, כגון שחלה הוא או היא, או שפרסה נדה, או שהגיע זמן באחד בשבת שאינו יכול לכנס, אינו חיב לזונה</w:t>
      </w:r>
      <w:r w:rsidR="002123C8" w:rsidRPr="002123C8">
        <w:t>.</w:t>
      </w:r>
    </w:p>
    <w:p w14:paraId="4AB63BC5" w14:textId="77777777" w:rsidR="002123C8" w:rsidRPr="002123C8" w:rsidRDefault="002123C8" w:rsidP="002123C8">
      <w:pPr>
        <w:pStyle w:val="Style1"/>
      </w:pPr>
      <w:r w:rsidRPr="002123C8">
        <w:rPr>
          <w:rFonts w:hint="cs"/>
          <w:rtl/>
        </w:rPr>
        <w:t>הגה: ודוקא שחלה תוך הזמן, אבל הגיע הזמן ולא כנסה, ואחר כך חלה, חיב במזונותיה אף על גב דהשתא הוא אנס (מרדכי ריש כתבות ובפרק החולץ סי' ל"ב)</w:t>
      </w:r>
      <w:r w:rsidRPr="002123C8">
        <w:t>:</w:t>
      </w:r>
    </w:p>
    <w:p w14:paraId="1D664FD5" w14:textId="77777777" w:rsidR="002123C8" w:rsidRPr="002123C8" w:rsidRDefault="002123C8" w:rsidP="002123C8">
      <w:pPr>
        <w:pStyle w:val="Style1"/>
      </w:pPr>
    </w:p>
    <w:p w14:paraId="267D8EE0" w14:textId="69CE0534" w:rsidR="00DF399D" w:rsidRPr="00A3371C" w:rsidRDefault="00DF399D" w:rsidP="00DF399D">
      <w:pPr>
        <w:pStyle w:val="Style1"/>
      </w:pPr>
    </w:p>
    <w:p w14:paraId="77FDBE09" w14:textId="77777777" w:rsidR="00A3371C" w:rsidRPr="00A3371C" w:rsidRDefault="00A3371C" w:rsidP="00A3371C">
      <w:pPr>
        <w:pStyle w:val="Style1"/>
        <w:rPr>
          <w:rStyle w:val="Style1Char"/>
        </w:rPr>
      </w:pPr>
    </w:p>
    <w:p w14:paraId="47749E20" w14:textId="18009302" w:rsidR="00A65F71" w:rsidRPr="00165F42" w:rsidRDefault="00A65F71" w:rsidP="00A65F71">
      <w:pPr>
        <w:pStyle w:val="Style1"/>
        <w:rPr>
          <w:rStyle w:val="Style1Char"/>
          <w:rtl/>
        </w:rPr>
      </w:pPr>
    </w:p>
    <w:p w14:paraId="49CDF181" w14:textId="77777777" w:rsidR="00510ECF" w:rsidRPr="00510ECF" w:rsidRDefault="00510ECF" w:rsidP="00510ECF">
      <w:pPr>
        <w:bidi/>
        <w:rPr>
          <w:rStyle w:val="Style1Char"/>
          <w:color w:val="00B050"/>
          <w:rtl/>
        </w:rPr>
      </w:pPr>
    </w:p>
    <w:p w14:paraId="54153567" w14:textId="77777777" w:rsidR="00F450C8" w:rsidRDefault="00F450C8">
      <w:pPr>
        <w:rPr>
          <w:rStyle w:val="Style1Char"/>
          <w:color w:val="00B050"/>
          <w:rtl/>
        </w:rPr>
      </w:pPr>
      <w:r>
        <w:rPr>
          <w:rStyle w:val="Style1Char"/>
          <w:color w:val="00B050"/>
          <w:rtl/>
        </w:rPr>
        <w:br w:type="page"/>
      </w:r>
    </w:p>
    <w:p w14:paraId="5F2E9552" w14:textId="2F2B36BF" w:rsidR="00F450C8" w:rsidRDefault="00F450C8" w:rsidP="00F450C8">
      <w:pPr>
        <w:bidi/>
        <w:rPr>
          <w:rStyle w:val="Style1Char"/>
          <w:color w:val="00B050"/>
          <w:rtl/>
        </w:rPr>
      </w:pPr>
      <w:r w:rsidRPr="00F450C8">
        <w:rPr>
          <w:rStyle w:val="Style1Char"/>
          <w:color w:val="00B050"/>
          <w:sz w:val="22"/>
          <w:szCs w:val="22"/>
          <w:highlight w:val="yellow"/>
          <w:rtl/>
        </w:rPr>
        <w:lastRenderedPageBreak/>
        <w:t>[דף ב עמוד ב]</w:t>
      </w:r>
      <w:r w:rsidRPr="00F450C8">
        <w:rPr>
          <w:rStyle w:val="Style1Char"/>
          <w:color w:val="00B050"/>
          <w:sz w:val="22"/>
          <w:szCs w:val="22"/>
          <w:rtl/>
        </w:rPr>
        <w:t xml:space="preserve"> </w:t>
      </w:r>
      <w:r w:rsidRPr="00F450C8">
        <w:rPr>
          <w:rStyle w:val="Style1Char"/>
          <w:color w:val="00B050"/>
          <w:rtl/>
        </w:rPr>
        <w:t>דלא מציא אמרה ליה נסתחפה שדהו, כי תיבעי לך - שלא בשעת ווסתה מאי? כיון דלא בשעת ווסתה הויא, מציא אמרה ליה נסתחפה שדהו, או דלמא כיון דאיכא נשי דקא משנייא ווסתייהו, כשעת ווסתה דמי? פשיט רב אחאי: הגיע זמן ולא נישאו - אוכלות משלו ואוכלות בתרומה; לא נשאו לא קתני אלא לא נישאו, היכי דמי? אי דקא מעכבן אינהי, אמאי אוכלות משלו ואוכלות בתרומה? אלא לאו דאיתניס כי האי גוונא, וקתני: אוכלות משלו ואוכלות בתרומה. אמר רב אשי, לעולם אימא לך: כל אונסא לא אכלה, ודקא מעכבי אינהו, ובדין הוא דאיבעי ליה למיתני לא נשאו, ואיידי דתנא רישא בדידהי, תנא נמי סיפא בדידהי</w:t>
      </w:r>
      <w:r w:rsidRPr="00714959">
        <w:rPr>
          <w:rStyle w:val="Style1Char"/>
          <w:sz w:val="22"/>
          <w:szCs w:val="22"/>
          <w:rtl/>
        </w:rPr>
        <w:t xml:space="preserve">. </w:t>
      </w:r>
      <w:r w:rsidRPr="00412FD9">
        <w:rPr>
          <w:rStyle w:val="Style1Char"/>
          <w:color w:val="auto"/>
          <w:sz w:val="22"/>
          <w:szCs w:val="22"/>
          <w:rtl/>
        </w:rPr>
        <w:t xml:space="preserve">אמר רבא: ולענין גיטין אינו כן. </w:t>
      </w:r>
      <w:r w:rsidR="00B92F6B">
        <w:rPr>
          <w:rStyle w:val="Style1Char"/>
          <w:rFonts w:hint="cs"/>
          <w:rtl/>
        </w:rPr>
        <w:t>(1)</w:t>
      </w:r>
      <w:r w:rsidRPr="00412FD9">
        <w:rPr>
          <w:rStyle w:val="Style1Char"/>
          <w:color w:val="auto"/>
          <w:sz w:val="22"/>
          <w:szCs w:val="22"/>
          <w:rtl/>
        </w:rPr>
        <w:t>אלמא קסבר רבא: אין אונס בגיטין</w:t>
      </w:r>
      <w:r w:rsidR="00412FD9" w:rsidRPr="00412FD9">
        <w:rPr>
          <w:rStyle w:val="BalloonTextChar"/>
          <w:rFonts w:asciiTheme="minorHAnsi" w:hAnsiTheme="minorHAnsi" w:cs="Arial"/>
          <w:rtl/>
        </w:rPr>
        <w:t xml:space="preserve"> </w:t>
      </w:r>
      <w:r w:rsidR="00412FD9" w:rsidRPr="00A755B9">
        <w:rPr>
          <w:rStyle w:val="Style1Char"/>
          <w:color w:val="4472C4" w:themeColor="accent1"/>
          <w:rtl/>
        </w:rPr>
        <w:t>משום צנועות ומשום פרוצות</w:t>
      </w:r>
      <w:r w:rsidRPr="00714959">
        <w:rPr>
          <w:rStyle w:val="Style1Char"/>
          <w:sz w:val="22"/>
          <w:szCs w:val="22"/>
          <w:rtl/>
        </w:rPr>
        <w:t xml:space="preserve">. </w:t>
      </w:r>
      <w:r w:rsidRPr="00F450C8">
        <w:rPr>
          <w:rStyle w:val="Style1Char"/>
          <w:color w:val="00B050"/>
          <w:rtl/>
        </w:rPr>
        <w:t xml:space="preserve">מנא ליה לרבא הא? אילימא מהא דתנן: </w:t>
      </w:r>
      <w:r w:rsidR="00EF233B">
        <w:rPr>
          <w:rStyle w:val="Style1Char"/>
          <w:rFonts w:hint="cs"/>
          <w:rtl/>
        </w:rPr>
        <w:t>(2)</w:t>
      </w:r>
      <w:r w:rsidRPr="00F450C8">
        <w:rPr>
          <w:rStyle w:val="Style1Char"/>
          <w:color w:val="00B050"/>
          <w:rtl/>
        </w:rPr>
        <w:t xml:space="preserve">הרי זה גיטיך אם לא באתי מכאן ועד שנים עשר חדש, ומת בתוך שנים עשר חדש - אינו גט; מת - הוא דאינו גט, הא חלה - הרי זה גט, ודלמא לעולם אימא לך: חלה נמי אינו גט, והיא גופא קמ"ל, דאין גט לאחר מיתה. אין גט לאחר מיתה הא תנא ליה רישא: </w:t>
      </w:r>
      <w:r w:rsidR="00F40BBC">
        <w:rPr>
          <w:rStyle w:val="Style1Char"/>
          <w:rFonts w:hint="cs"/>
          <w:rtl/>
        </w:rPr>
        <w:t>(3)</w:t>
      </w:r>
      <w:r w:rsidRPr="00F450C8">
        <w:rPr>
          <w:rStyle w:val="Style1Char"/>
          <w:color w:val="00B050"/>
          <w:rtl/>
        </w:rPr>
        <w:t xml:space="preserve">הרי זה גיטיך אם מתי, הרי זה גיטיך מחולי זה, הרי זה גיטיך לאחר מיתה - לא אמר כלום! דלמא לאפוקי מדרבותינו, דתניא: ורבותינו התירוה להנשא, ואמרינן: מאן רבותינו? אמר רב יהודה אמר שמואל: בי דינא דשרו משחא, סברי לה כרבי יוסי, דאמר: זמנו של שטר מוכיח עליו. ואלא מסיפא: </w:t>
      </w:r>
      <w:r w:rsidR="000B37A0">
        <w:rPr>
          <w:rStyle w:val="Style1Char"/>
          <w:rFonts w:hint="cs"/>
          <w:rtl/>
        </w:rPr>
        <w:t>(4)</w:t>
      </w:r>
      <w:r w:rsidRPr="00F450C8">
        <w:rPr>
          <w:rStyle w:val="Style1Char"/>
          <w:color w:val="00B050"/>
          <w:rtl/>
        </w:rPr>
        <w:t xml:space="preserve">מעכשיו אם לא באתי מכאן ועד י"ב חדש, ומת בתוך שנים עשר חדש - הרי זה גט; מת, והוא הדין לחלה. דלמא מת דוקא, דלא ניחא ליה דתפול קמי יבם. אלא מהא: דההוא דאמר להו אי לא אתינא מיכן ועד תלתין יומין ליהוי גיטא, אתא בסוף תלתין יומין </w:t>
      </w:r>
      <w:r w:rsidR="005C0A09">
        <w:rPr>
          <w:rStyle w:val="Style1Char"/>
          <w:rFonts w:hint="cs"/>
          <w:rtl/>
        </w:rPr>
        <w:t>(</w:t>
      </w:r>
      <w:r w:rsidR="00CA0310">
        <w:rPr>
          <w:rStyle w:val="Style1Char"/>
          <w:rFonts w:hint="cs"/>
          <w:rtl/>
        </w:rPr>
        <w:t>1</w:t>
      </w:r>
      <w:r w:rsidR="005C0A09">
        <w:rPr>
          <w:rStyle w:val="Style1Char"/>
          <w:rFonts w:hint="cs"/>
          <w:rtl/>
        </w:rPr>
        <w:t>)</w:t>
      </w:r>
      <w:r w:rsidRPr="00F450C8">
        <w:rPr>
          <w:rStyle w:val="Style1Char"/>
          <w:color w:val="00B050"/>
          <w:rtl/>
        </w:rPr>
        <w:t xml:space="preserve">ופסקיה מברא, אמר להו חזו דאתאי חזו דאתאי, אמר שמואל: לאו שמיה מתיא. ודלמא אונסא דשכיח שאני, דכיון דאיבעי ליה לאתנויי ולא אתני, איהו דאפסיד אנפשיה. אלא רבא סברא דנפשיה קאמר: משום צנועות ומשום פרוצות; משום צנועות, דאי אמרת לא להוי גט, </w:t>
      </w:r>
    </w:p>
    <w:p w14:paraId="2A8777AC" w14:textId="4AFE18A7" w:rsidR="00061075" w:rsidRDefault="00061075" w:rsidP="00061075">
      <w:pPr>
        <w:pStyle w:val="Style1"/>
        <w:rPr>
          <w:rStyle w:val="Style1Char"/>
          <w:rtl/>
        </w:rPr>
      </w:pPr>
      <w:r>
        <w:rPr>
          <w:rStyle w:val="Style1Char"/>
          <w:rFonts w:hint="cs"/>
          <w:rtl/>
        </w:rPr>
        <w:t>1)[</w:t>
      </w:r>
      <w:r w:rsidRPr="00061075">
        <w:rPr>
          <w:rStyle w:val="Style1Char"/>
          <w:rtl/>
        </w:rPr>
        <w:t>רמב</w:t>
      </w:r>
      <w:r w:rsidR="00213DA1">
        <w:rPr>
          <w:rStyle w:val="Style1Char"/>
          <w:rtl/>
        </w:rPr>
        <w:t>”ם \נשים\</w:t>
      </w:r>
      <w:r w:rsidRPr="00061075">
        <w:rPr>
          <w:rStyle w:val="Style1Char"/>
          <w:rtl/>
        </w:rPr>
        <w:t xml:space="preserve"> הלכות גירושין פרק ט הלכה ח</w:t>
      </w:r>
      <w:r>
        <w:rPr>
          <w:rStyle w:val="Style1Char"/>
          <w:rFonts w:hint="cs"/>
          <w:rtl/>
        </w:rPr>
        <w:t xml:space="preserve">] </w:t>
      </w:r>
      <w:r w:rsidRPr="00061075">
        <w:rPr>
          <w:rStyle w:val="Style1Char"/>
          <w:rtl/>
        </w:rPr>
        <w:t>התנה עליה שיהיה גט אם לא בא עד שלשים יום למדינה זו והיה בא בדרך בתוך שלשים יום וחלה או עכבו נהר ולא בא עד אחר שלשים יום הרי זה גט אפילו עומד וצווח הריני אנוס, שאין א אונס בגיטין, ואף על פי שגילה דעתו שאין רצונו לגרש.</w:t>
      </w:r>
    </w:p>
    <w:p w14:paraId="361BE476" w14:textId="39D57989" w:rsidR="009C3FC4" w:rsidRPr="009C3FC4" w:rsidRDefault="00AC4430" w:rsidP="009C3FC4">
      <w:pPr>
        <w:pStyle w:val="Style1"/>
      </w:pPr>
      <w:r>
        <w:rPr>
          <w:rStyle w:val="Style1Char"/>
          <w:rFonts w:hint="cs"/>
          <w:rtl/>
        </w:rPr>
        <w:t>1)[</w:t>
      </w:r>
      <w:r w:rsidRPr="00AC4430">
        <w:rPr>
          <w:rStyle w:val="Style1Char"/>
          <w:rtl/>
        </w:rPr>
        <w:t>שולחן ערוך אבן העזר הלכות גיטין סימן קמד סעיף א</w:t>
      </w:r>
      <w:r>
        <w:rPr>
          <w:rStyle w:val="Style1Char"/>
          <w:rFonts w:hint="cs"/>
          <w:rtl/>
        </w:rPr>
        <w:t>]</w:t>
      </w:r>
      <w:r w:rsidR="009C3FC4">
        <w:rPr>
          <w:rStyle w:val="Style1Char"/>
          <w:rFonts w:hint="cs"/>
          <w:rtl/>
        </w:rPr>
        <w:t xml:space="preserve"> </w:t>
      </w:r>
      <w:r w:rsidR="009C3FC4" w:rsidRPr="009C3FC4">
        <w:rPr>
          <w:rtl/>
        </w:rPr>
        <w:t>אמר לה: הרי זה גטך אם לא אבא בתוך שלשים יום, או שאמר: על מנת שלא אבא בתוך ל' יום, והיה בא בדרך בתוך ל' יום, וחלה או עכבו נהר ולא בא עד אחר ל' יום, הרי זה גט, אפלו עומד וצווח: הריני אנוס, שאין אנס בגטין. ואף על פי שגלה דעתו שאין רצונו לגרש, כיון שלא התנה חוץ מאם יקראני אנס. אבל אנס דלא שכיח כלל, כגון אכלו ארי או הכישו נחש או נפל הבית עליו, לא אסיק אדעתה להתנות עליו, ומבטל הגט והיא זקוקה ליבם</w:t>
      </w:r>
      <w:r w:rsidR="009C3FC4" w:rsidRPr="009C3FC4">
        <w:t>.</w:t>
      </w:r>
    </w:p>
    <w:p w14:paraId="671840AE" w14:textId="4F710A8E" w:rsidR="009C3FC4" w:rsidRDefault="009C3FC4" w:rsidP="009C3FC4">
      <w:pPr>
        <w:pStyle w:val="Style1"/>
        <w:rPr>
          <w:rtl/>
        </w:rPr>
      </w:pPr>
      <w:r w:rsidRPr="009C3FC4">
        <w:rPr>
          <w:rFonts w:hint="cs"/>
          <w:rtl/>
        </w:rPr>
        <w:t>ושביה, הוי אנס דשכיח, ואינו מבטל הגט מדלא התנה (מרדכי פרק מי שאחזו)</w:t>
      </w:r>
      <w:r w:rsidRPr="009C3FC4">
        <w:t>:</w:t>
      </w:r>
    </w:p>
    <w:p w14:paraId="3EAEB710" w14:textId="76253E5F" w:rsidR="009B169A" w:rsidRDefault="009B169A" w:rsidP="009B169A">
      <w:pPr>
        <w:pStyle w:val="Style1"/>
        <w:rPr>
          <w:rtl/>
        </w:rPr>
      </w:pPr>
      <w:r>
        <w:rPr>
          <w:rFonts w:hint="cs"/>
          <w:rtl/>
        </w:rPr>
        <w:t>2)[</w:t>
      </w:r>
      <w:r>
        <w:rPr>
          <w:rtl/>
        </w:rPr>
        <w:t>רמב</w:t>
      </w:r>
      <w:r w:rsidR="00213DA1">
        <w:rPr>
          <w:rtl/>
        </w:rPr>
        <w:t>”ם \נשים\</w:t>
      </w:r>
      <w:r>
        <w:rPr>
          <w:rtl/>
        </w:rPr>
        <w:t xml:space="preserve"> הלכות גירושין פרק ט הלכה ב</w:t>
      </w:r>
      <w:r>
        <w:rPr>
          <w:rFonts w:hint="cs"/>
          <w:rtl/>
        </w:rPr>
        <w:t xml:space="preserve">] </w:t>
      </w:r>
      <w:r>
        <w:rPr>
          <w:rtl/>
        </w:rPr>
        <w:t>כיצד האומר לאשתו הרי זה גיטיך ולא תתגרשי בו אלא לאחר שלשים יום אינה מגורשת בו אלא לאחר שלשים יום, ואם מת הבעל או אבד הגט או נשרף בתוך שלשים יום אינה מגורשת.</w:t>
      </w:r>
    </w:p>
    <w:p w14:paraId="43F466C1" w14:textId="03D60E33" w:rsidR="00DC0BA6" w:rsidRDefault="00DC0BA6" w:rsidP="00DC0BA6">
      <w:pPr>
        <w:pStyle w:val="Style1"/>
        <w:rPr>
          <w:rtl/>
        </w:rPr>
      </w:pPr>
      <w:r>
        <w:rPr>
          <w:rFonts w:hint="cs"/>
          <w:rtl/>
        </w:rPr>
        <w:t>3)[</w:t>
      </w:r>
      <w:r>
        <w:rPr>
          <w:rtl/>
        </w:rPr>
        <w:t>רמב</w:t>
      </w:r>
      <w:r w:rsidR="00213DA1">
        <w:rPr>
          <w:rtl/>
        </w:rPr>
        <w:t>”ם \נשים\</w:t>
      </w:r>
      <w:r>
        <w:rPr>
          <w:rtl/>
        </w:rPr>
        <w:t xml:space="preserve"> הלכות גירושין פרק ט הלכה יב</w:t>
      </w:r>
      <w:r>
        <w:rPr>
          <w:rFonts w:hint="cs"/>
          <w:rtl/>
        </w:rPr>
        <w:t xml:space="preserve">] </w:t>
      </w:r>
      <w:r>
        <w:rPr>
          <w:rtl/>
        </w:rPr>
        <w:t>בריא שהתנה שיהיה זה גט אם מת או חולה שהתנה שיהיה זה גט אם מת מחולי זה לא אמר כלום, שמשמע אם מתי לאחר מיתה ומשמעו מעתה, לפיכך אם אמר אם מתי הרי זה כאומר לאחר מותי ואין גט לאחר מיתה. /השגת הראב"ד/ לפיכך אם אמר אם מתי הרי זה כאומר לאחר מותי ואין גט לאחר מיתה. א"א גם זה אינו כלום דקימא לן (גיטין עב) כרבי יוסי דאמר חולצת אף בלאחר מותו.</w:t>
      </w:r>
    </w:p>
    <w:p w14:paraId="3CD4A677" w14:textId="1C93858F" w:rsidR="009177F9" w:rsidRDefault="00C81773" w:rsidP="00C81773">
      <w:pPr>
        <w:pStyle w:val="Style1"/>
        <w:rPr>
          <w:rtl/>
        </w:rPr>
      </w:pPr>
      <w:r>
        <w:rPr>
          <w:rFonts w:hint="cs"/>
          <w:rtl/>
        </w:rPr>
        <w:t>3)[</w:t>
      </w:r>
      <w:r w:rsidR="009177F9">
        <w:rPr>
          <w:rtl/>
        </w:rPr>
        <w:t>שולחן ערוך אבן העזר הלכות גיטין סימן קמה סעיף א</w:t>
      </w:r>
      <w:r>
        <w:rPr>
          <w:rFonts w:hint="cs"/>
          <w:rtl/>
        </w:rPr>
        <w:t xml:space="preserve">] </w:t>
      </w:r>
      <w:r w:rsidRPr="00C81773">
        <w:rPr>
          <w:rtl/>
        </w:rPr>
        <w:t>הרי זה גטך אם מתי, או הרי זה גטך אם מתי מחלי זה, או הרי זה גטך לאחר מיתה, אינו גט; ויש אומרים שהוא ספק</w:t>
      </w:r>
      <w:r w:rsidRPr="00C81773">
        <w:t>.</w:t>
      </w:r>
    </w:p>
    <w:p w14:paraId="627791BE" w14:textId="724720C9" w:rsidR="00035C4C" w:rsidRDefault="00035C4C" w:rsidP="00035C4C">
      <w:pPr>
        <w:pStyle w:val="Style1"/>
        <w:rPr>
          <w:rtl/>
        </w:rPr>
      </w:pPr>
      <w:r>
        <w:rPr>
          <w:rFonts w:hint="cs"/>
          <w:rtl/>
        </w:rPr>
        <w:t>4)[</w:t>
      </w:r>
      <w:r>
        <w:rPr>
          <w:rtl/>
        </w:rPr>
        <w:t>רמב</w:t>
      </w:r>
      <w:r w:rsidR="00213DA1">
        <w:rPr>
          <w:rtl/>
        </w:rPr>
        <w:t>”ם \נשים\</w:t>
      </w:r>
      <w:r>
        <w:rPr>
          <w:rtl/>
        </w:rPr>
        <w:t xml:space="preserve"> הלכות גירושין פרק ט הלכה יא</w:t>
      </w:r>
      <w:r>
        <w:rPr>
          <w:rFonts w:hint="cs"/>
          <w:rtl/>
        </w:rPr>
        <w:t xml:space="preserve">] </w:t>
      </w:r>
      <w:r>
        <w:rPr>
          <w:rtl/>
        </w:rPr>
        <w:t>הרי זה גיטיך מעכשיו אם לא באתי מכאן ועד שנים עשר חדש אין חוששין שמא בא בסתר שאין דרך בני אדם לבוא בצנעה, ואם תם הזמן שקבע ולא בא הרי זו מגורשת, מת בתוך שנים עשר חדש אף על פי שאי אפשר שיבוא והרי היא מגורשת לא תנשא במקום יבם עד אחר שנים עשר חדש כשיתקיים התנאי. /השגת הראב"ד/ הרי זה גיטך מעכשיו אם לא באתי מכאן ועד שנים עשר חדש אין חוששין שמא בא בסתר. א"א זה אינו כלום דהכא נמי בעינן שתהא נאמנת עליו לומר שלא בא.</w:t>
      </w:r>
    </w:p>
    <w:p w14:paraId="6FA2875C" w14:textId="664E45E8" w:rsidR="00176787" w:rsidRDefault="00176787" w:rsidP="00176787">
      <w:pPr>
        <w:pStyle w:val="Style1"/>
        <w:rPr>
          <w:rtl/>
        </w:rPr>
      </w:pPr>
      <w:r>
        <w:rPr>
          <w:rFonts w:hint="cs"/>
          <w:rtl/>
        </w:rPr>
        <w:t>4)[</w:t>
      </w:r>
      <w:r>
        <w:rPr>
          <w:rtl/>
        </w:rPr>
        <w:t>שולחן ערוך אבן העזר הלכות גיטין סימן קמד סעיף ג</w:t>
      </w:r>
      <w:r>
        <w:rPr>
          <w:rFonts w:hint="cs"/>
          <w:rtl/>
        </w:rPr>
        <w:t>]</w:t>
      </w:r>
      <w:r w:rsidR="0073179D">
        <w:rPr>
          <w:rFonts w:hint="cs"/>
          <w:rtl/>
        </w:rPr>
        <w:t xml:space="preserve"> </w:t>
      </w:r>
      <w:r w:rsidR="0073179D" w:rsidRPr="0073179D">
        <w:rPr>
          <w:rtl/>
        </w:rPr>
        <w:t>הרי זה גטך מעכשו, אם לא באתי מכאן עד שנים עשר חדש, ומת בתוך שנים עשר חדש הרי זו מגרשת. אבל אם יש לה יבם, לא תנשא בלא חליצה עד שיעברו שנים עשר חדש; ואם נשאת, לא תצא</w:t>
      </w:r>
      <w:r w:rsidR="0073179D" w:rsidRPr="0073179D">
        <w:t>:</w:t>
      </w:r>
    </w:p>
    <w:p w14:paraId="152E57A7" w14:textId="394CD90A" w:rsidR="00176787" w:rsidRPr="00C81773" w:rsidRDefault="00176787" w:rsidP="00CA0310">
      <w:pPr>
        <w:pStyle w:val="Style1"/>
      </w:pPr>
    </w:p>
    <w:p w14:paraId="46847051" w14:textId="1BF8ECA4" w:rsidR="009177F9" w:rsidRPr="00C81773" w:rsidRDefault="009177F9" w:rsidP="00C81773">
      <w:pPr>
        <w:pStyle w:val="Style1"/>
      </w:pPr>
    </w:p>
    <w:p w14:paraId="1B42FF7A" w14:textId="77777777" w:rsidR="009C3FC4" w:rsidRPr="00C81773" w:rsidRDefault="009C3FC4" w:rsidP="00C81773">
      <w:pPr>
        <w:pStyle w:val="Style1"/>
        <w:rPr>
          <w:rStyle w:val="Style1Char"/>
        </w:rPr>
      </w:pPr>
    </w:p>
    <w:p w14:paraId="5EAC7DCB" w14:textId="611C5461" w:rsidR="00AC4430" w:rsidRPr="00C81773" w:rsidRDefault="00AC4430" w:rsidP="00C81773">
      <w:pPr>
        <w:pStyle w:val="Style1"/>
        <w:rPr>
          <w:rStyle w:val="Style1Char"/>
          <w:rtl/>
        </w:rPr>
      </w:pPr>
    </w:p>
    <w:p w14:paraId="2808E121" w14:textId="1336C4EF" w:rsidR="00717596" w:rsidRPr="006633D9" w:rsidRDefault="00717596" w:rsidP="00B710BD">
      <w:pPr>
        <w:bidi/>
        <w:rPr>
          <w:rStyle w:val="Style1Char"/>
          <w:color w:val="C00000"/>
        </w:rPr>
      </w:pPr>
      <w:r w:rsidRPr="006633D9">
        <w:rPr>
          <w:rStyle w:val="Style1Char"/>
          <w:color w:val="C00000"/>
          <w:rtl/>
        </w:rPr>
        <w:t xml:space="preserve"> </w:t>
      </w:r>
    </w:p>
    <w:p w14:paraId="77B1872D" w14:textId="77777777" w:rsidR="00717596" w:rsidRPr="006633D9" w:rsidRDefault="00717596" w:rsidP="00717596">
      <w:pPr>
        <w:bidi/>
        <w:rPr>
          <w:rStyle w:val="Style1Char"/>
          <w:color w:val="C00000"/>
        </w:rPr>
      </w:pPr>
    </w:p>
    <w:p w14:paraId="709BC188" w14:textId="77777777" w:rsidR="00717596" w:rsidRPr="00792CD5" w:rsidRDefault="00717596" w:rsidP="00717596">
      <w:pPr>
        <w:bidi/>
        <w:rPr>
          <w:rStyle w:val="Style1Char"/>
          <w:color w:val="00B050"/>
          <w:rtl/>
        </w:rPr>
      </w:pPr>
    </w:p>
    <w:p w14:paraId="58C8BD09" w14:textId="77777777" w:rsidR="00717596" w:rsidRDefault="00717596" w:rsidP="00717596">
      <w:pPr>
        <w:bidi/>
        <w:rPr>
          <w:rStyle w:val="Style1Char"/>
          <w:color w:val="00B050"/>
          <w:rtl/>
        </w:rPr>
      </w:pPr>
    </w:p>
    <w:p w14:paraId="795D2289" w14:textId="77777777" w:rsidR="00F450C8" w:rsidRDefault="00F450C8">
      <w:pPr>
        <w:rPr>
          <w:rStyle w:val="Style1Char"/>
          <w:color w:val="00B050"/>
          <w:rtl/>
        </w:rPr>
      </w:pPr>
      <w:r>
        <w:rPr>
          <w:rStyle w:val="Style1Char"/>
          <w:color w:val="00B050"/>
          <w:rtl/>
        </w:rPr>
        <w:br w:type="page"/>
      </w:r>
    </w:p>
    <w:p w14:paraId="57AFC861" w14:textId="5BABB815" w:rsidR="009F5C5B" w:rsidRPr="00A755B9" w:rsidRDefault="00F450C8" w:rsidP="009F5C5B">
      <w:pPr>
        <w:bidi/>
        <w:rPr>
          <w:rStyle w:val="Style1Char"/>
          <w:color w:val="4472C4" w:themeColor="accent1"/>
        </w:rPr>
      </w:pPr>
      <w:r w:rsidRPr="00F450C8">
        <w:rPr>
          <w:rStyle w:val="Style1Char"/>
          <w:color w:val="00B050"/>
          <w:sz w:val="22"/>
          <w:szCs w:val="22"/>
          <w:highlight w:val="yellow"/>
          <w:rtl/>
        </w:rPr>
        <w:lastRenderedPageBreak/>
        <w:t>[דף ג עמוד א]</w:t>
      </w:r>
      <w:r w:rsidRPr="00F450C8">
        <w:rPr>
          <w:rStyle w:val="Style1Char"/>
          <w:color w:val="00B050"/>
          <w:sz w:val="22"/>
          <w:szCs w:val="22"/>
          <w:rtl/>
        </w:rPr>
        <w:t xml:space="preserve"> </w:t>
      </w:r>
      <w:r w:rsidRPr="00F450C8">
        <w:rPr>
          <w:rStyle w:val="Style1Char"/>
          <w:color w:val="00B050"/>
          <w:rtl/>
        </w:rPr>
        <w:t xml:space="preserve">זימנין דלא אניס וסברה דאניס, ומיעגנא ויתבה; ומשום פרוצות, דאי אמרת לא ליהוי גיטא, זימנין דאניס ואמרה לא אניס, ואזלא ומינסבא, ונמצא גט בטל ובניה ממזרים. ומי איכא מידי, דמדאורייתא לא להוי גט, ומשום צנועות ומשום פרוצות שרינן אשת איש לעלמא? אין, כל דמקדש אדעתא דרבנן מקדש, ואפקעינהו רבנן לקידושי מיניה. אמר ליה רבינא לרב אשי: תינח קדיש בכספא, קדיש בביאה מאי איכא למימר? שויוה רבנן לבעילתו בעילת זנות. </w:t>
      </w:r>
      <w:r w:rsidRPr="00B33CAA">
        <w:rPr>
          <w:rStyle w:val="Style1Char"/>
          <w:color w:val="ED7D31" w:themeColor="accent2"/>
          <w:sz w:val="22"/>
          <w:szCs w:val="22"/>
          <w:rtl/>
        </w:rPr>
        <w:t>איכא דאמרי, אמר רבא: וכן לענין גיטין</w:t>
      </w:r>
      <w:r w:rsidRPr="00F450C8">
        <w:rPr>
          <w:rStyle w:val="Style1Char"/>
          <w:color w:val="00B050"/>
          <w:rtl/>
        </w:rPr>
        <w:t xml:space="preserve">. אלמא קסבר רבא: </w:t>
      </w:r>
      <w:r w:rsidR="00B33CAA" w:rsidRPr="00B33CAA">
        <w:rPr>
          <w:rStyle w:val="Style1Char"/>
          <w:color w:val="4472C4" w:themeColor="accent1"/>
          <w:sz w:val="22"/>
          <w:szCs w:val="22"/>
          <w:rtl/>
        </w:rPr>
        <w:t>ד</w:t>
      </w:r>
      <w:r w:rsidRPr="00B33CAA">
        <w:rPr>
          <w:rStyle w:val="Style1Char"/>
          <w:color w:val="ED7D31" w:themeColor="accent2"/>
          <w:sz w:val="22"/>
          <w:szCs w:val="22"/>
          <w:rtl/>
        </w:rPr>
        <w:t>יש אונס בגיטין</w:t>
      </w:r>
      <w:r w:rsidR="009F5C5B" w:rsidRPr="009F5C5B">
        <w:rPr>
          <w:rStyle w:val="Style1Char"/>
          <w:color w:val="4472C4" w:themeColor="accent1"/>
          <w:rtl/>
        </w:rPr>
        <w:t xml:space="preserve"> </w:t>
      </w:r>
      <w:r w:rsidR="009F5C5B" w:rsidRPr="00A755B9">
        <w:rPr>
          <w:rStyle w:val="Style1Char"/>
          <w:color w:val="4472C4" w:themeColor="accent1"/>
          <w:rtl/>
        </w:rPr>
        <w:t>פסק ר"ח ז"ל דהלכתא כלישנא קמא דמייתי כמה סייעתין ללישנא קמא דהוו פירכא ללישנא בתרא ואף על גב דשני להו אשינויי דחיקי לא ניקום ונסמוך והביא ראיה מסתמא דהש"ס דגיטין פרק השולח (דף לד א) ההוא דאמר אי לא נסיבנא עד תלתין יומין ליהוי גיטא כי מטא תלתין יומין אמר מיטרח טרחנא כו' ומסיק אי משום אונס אין אונס בגיטין וכן פסק רב אלפס ז"ל בפרק שלישי דגיטין (דף ל א) גבי ההוא דאמר אי לא מפייסנא עד תלתין יומין ליהוי גיטא אזל פייסא ולא איפייסא א"ל מי יהב לה ה' קבין דדינרי ולא אתפייסא</w:t>
      </w:r>
      <w:r w:rsidR="009F5C5B">
        <w:rPr>
          <w:rStyle w:val="Style1Char"/>
          <w:rFonts w:hint="cs"/>
          <w:color w:val="4472C4" w:themeColor="accent1"/>
        </w:rPr>
        <w:t>‍</w:t>
      </w:r>
      <w:r w:rsidR="009F5C5B" w:rsidRPr="00A755B9">
        <w:rPr>
          <w:rStyle w:val="Style1Char"/>
          <w:color w:val="4472C4" w:themeColor="accent1"/>
          <w:rtl/>
        </w:rPr>
        <w:t xml:space="preserve"> אלמא אין אונס בגיטין. וקשה מהא דאמרינן בפרק מי שאחזו (דף עג א) הרי זה גיטך מהיום אם מתי מחולי זה ונפל עליו בית או שנשכו נחש הרי זה אינו גט אם לא אעמוד מחולי זה ונפל עליו בית או שנשכו נחש הרי זה גט מאי שנא רישא ומ"ש סיפא שלחו מתם אכלו ארי אין לנו. כלומר בשניהם אינו גט וקאמר בתר הכי ההוא גברא דזבין ארעא מחבריה קביל עליה כל אונסא דמתיליד ליה לסוף אפיקו ביה נהרא אגלגל מילתא ומטי לקמיה דרבא ואמר אונסא דלא שכיחא הוא ומייתי רבא ראיה מאכלו ארי אין לנו</w:t>
      </w:r>
      <w:r w:rsidR="009F5C5B">
        <w:rPr>
          <w:rStyle w:val="Style1Char"/>
          <w:rFonts w:hint="cs"/>
          <w:color w:val="4472C4" w:themeColor="accent1"/>
        </w:rPr>
        <w:t>‍</w:t>
      </w:r>
      <w:r w:rsidR="009F5C5B" w:rsidRPr="00A755B9">
        <w:rPr>
          <w:rStyle w:val="Style1Char"/>
          <w:color w:val="4472C4" w:themeColor="accent1"/>
          <w:rtl/>
        </w:rPr>
        <w:t xml:space="preserve"> אלמא באונסא דלא שכיח קאמר רבא דיש אונס בגיטין וללישנא קמא דשמעתין אפילו אונסא דלא שכיח קאמר דאין אונס דבעי למיפשט מילתא דרבא מעובדא דההוא דפסקיה מברא וקאמר הש"ס דלמא אונסא דשכיח שאני דאיבעי ליה לאתוניי מכלל דאפי' באונסא דלא שכיח קאמר רבא דאין אונס.</w:t>
      </w:r>
      <w:r w:rsidR="009F5C5B">
        <w:rPr>
          <w:rStyle w:val="Style1Char"/>
          <w:rFonts w:hint="cs"/>
          <w:color w:val="4472C4" w:themeColor="accent1"/>
        </w:rPr>
        <w:t>‍</w:t>
      </w:r>
      <w:r w:rsidR="009F5C5B" w:rsidRPr="00A755B9">
        <w:rPr>
          <w:rStyle w:val="Style1Char"/>
          <w:color w:val="4472C4" w:themeColor="accent1"/>
          <w:rtl/>
        </w:rPr>
        <w:t xml:space="preserve"> ואי לאו פיסקא דר"ח ז"ל לא הוה קשה מידי דה"א דהא דקאמר רבא התם היינו כאיכא דאמרי דאמר רבא יש אונס. ונראה דשלשה ענייני אונס הן ההיא דמי שאחזו לא שכיח כל עיקר ואפי' ללישנא קמא דהכא לא שייך למימר משום צנועות ומשום פרוצות דלא סברי צנועות דנפל עליה בית או נשכו נחש ופרוצות נמי לא יאמרו כך הלכך אפילו ללישנא קמא יש טענת אונס כי האי בגיטין ואונסא דשכיחא כי האי דפסקיה מברא אפי' לאיכא דאמרי אינו מבטל הגט דאיבעי לאתנויי. ובאונסא דשכיח ולא שכיח כמו חלה בהא פליגי הני תרי לישני והלכתא כלישנא קמא</w:t>
      </w:r>
      <w:r w:rsidR="009F5C5B" w:rsidRPr="00A755B9">
        <w:rPr>
          <w:rStyle w:val="Style1Char"/>
          <w:color w:val="4472C4" w:themeColor="accent1"/>
        </w:rPr>
        <w:t xml:space="preserve">: </w:t>
      </w:r>
    </w:p>
    <w:p w14:paraId="5A87207F" w14:textId="5AD06728" w:rsidR="00F450C8" w:rsidRDefault="00F450C8" w:rsidP="00F450C8">
      <w:pPr>
        <w:bidi/>
        <w:rPr>
          <w:rStyle w:val="Style1Char"/>
          <w:sz w:val="22"/>
          <w:szCs w:val="22"/>
          <w:rtl/>
        </w:rPr>
      </w:pPr>
      <w:r w:rsidRPr="00F450C8">
        <w:rPr>
          <w:rStyle w:val="Style1Char"/>
          <w:color w:val="00B050"/>
          <w:rtl/>
        </w:rPr>
        <w:t>. מיתיבי: הרי זה גיטיך אם לא באתי מכאן ועד שנים עשר חדש, ומת בתוך שנים עשר חדש - אינו גט; מת - הוא דאינו גט, הא חלה - הרי זה גט! לעולם אימא לך: חלה נמי אינו גט, והיא גופה קמ"ל, דאין גט לאחר מיתה. אין גט לאחר מיתה הא תנא ליה רישא! דלמא לאפוקי מדרבותינו. ת"ש: מעכשיו אם לא באתי מכאן ועד שנים עשר חדש, ומת בתוך שנים עשר חדש - הרי זה גט; מאי לאו הוא הדין לחלה! לא, מת דוקא, דלא ניחא ליה דתפול קמי יבם. ת"ש: מההוא דאמר להו אי לא אתינא מכאן ועד שלשים יום ליהוי גיטא, אתא בסוף תלתין יומין ופסקיה מברא, ואמר להו חזו דאתאי חזו דאתאי, ואמר שמואל: לא שמיה מתיא! אונסא דשכיח שאני, דכיון דאיבעי ליה לאתנויי ולא אתני, איהו הוא דאפסיד אנפשיה</w:t>
      </w:r>
      <w:r w:rsidRPr="00001BB7">
        <w:rPr>
          <w:rStyle w:val="Style1Char"/>
          <w:color w:val="auto"/>
          <w:rtl/>
        </w:rPr>
        <w:t xml:space="preserve">. </w:t>
      </w:r>
      <w:r w:rsidRPr="00001BB7">
        <w:rPr>
          <w:rStyle w:val="Style1Char"/>
          <w:color w:val="auto"/>
          <w:sz w:val="22"/>
          <w:szCs w:val="22"/>
          <w:rtl/>
        </w:rPr>
        <w:t xml:space="preserve">אמר רב שמואל בר יצחק: לא שנו אלא מתקנת עזרא ואילך, שאין בתי דינין קבועין אלא בשני ובחמישי, אבל </w:t>
      </w:r>
      <w:r w:rsidR="004F1FB0" w:rsidRPr="00001BB7">
        <w:rPr>
          <w:rStyle w:val="Style1Char"/>
          <w:color w:val="806000" w:themeColor="accent4" w:themeShade="80"/>
          <w:sz w:val="22"/>
          <w:szCs w:val="22"/>
          <w:rtl/>
        </w:rPr>
        <w:t xml:space="preserve">במקום </w:t>
      </w:r>
      <w:r w:rsidRPr="00F450C8">
        <w:rPr>
          <w:rStyle w:val="Style1Char"/>
          <w:color w:val="00B050"/>
          <w:rtl/>
        </w:rPr>
        <w:t xml:space="preserve">קודם תקנת </w:t>
      </w:r>
      <w:r w:rsidRPr="00001BB7">
        <w:rPr>
          <w:rStyle w:val="Style1Char"/>
          <w:color w:val="00B050"/>
          <w:rtl/>
        </w:rPr>
        <w:t xml:space="preserve">עזרא </w:t>
      </w:r>
      <w:r w:rsidRPr="00001BB7">
        <w:rPr>
          <w:rStyle w:val="Style1Char"/>
          <w:color w:val="auto"/>
          <w:sz w:val="22"/>
          <w:szCs w:val="22"/>
          <w:rtl/>
        </w:rPr>
        <w:t>שבתי דינין קבועין בכל יום, אשה נשאת בכל יום</w:t>
      </w:r>
      <w:r w:rsidRPr="004F1FB0">
        <w:rPr>
          <w:rStyle w:val="Style1Char"/>
          <w:sz w:val="22"/>
          <w:szCs w:val="22"/>
          <w:rtl/>
        </w:rPr>
        <w:t>.</w:t>
      </w:r>
      <w:r w:rsidRPr="00F450C8">
        <w:rPr>
          <w:rStyle w:val="Style1Char"/>
          <w:color w:val="00B050"/>
          <w:rtl/>
        </w:rPr>
        <w:t xml:space="preserve"> קודם תקנת עזרא מאי דהוה הוה! הכי קאמר: </w:t>
      </w:r>
      <w:r w:rsidR="002C7FA3">
        <w:rPr>
          <w:rStyle w:val="Style1Char"/>
          <w:rFonts w:hint="cs"/>
          <w:rtl/>
        </w:rPr>
        <w:t>(1)</w:t>
      </w:r>
      <w:r w:rsidRPr="00F450C8">
        <w:rPr>
          <w:rStyle w:val="Style1Char"/>
          <w:color w:val="00B050"/>
          <w:rtl/>
        </w:rPr>
        <w:t xml:space="preserve">אי איכא בתי דינין דקבועין האידנא כקודם תקנת עזרא, אשה נשאת בכל יום. הא בעינן שקדו! </w:t>
      </w:r>
      <w:r w:rsidR="004F1FB0" w:rsidRPr="00E004A9">
        <w:rPr>
          <w:rStyle w:val="Style1Char"/>
          <w:color w:val="806000" w:themeColor="accent4" w:themeShade="80"/>
          <w:sz w:val="22"/>
          <w:szCs w:val="22"/>
          <w:rtl/>
        </w:rPr>
        <w:t xml:space="preserve">והוא </w:t>
      </w:r>
      <w:r w:rsidRPr="00E004A9">
        <w:rPr>
          <w:rStyle w:val="Style1Char"/>
          <w:color w:val="auto"/>
          <w:sz w:val="22"/>
          <w:szCs w:val="22"/>
          <w:rtl/>
        </w:rPr>
        <w:t xml:space="preserve">דטריח ליה. </w:t>
      </w:r>
    </w:p>
    <w:p w14:paraId="2DF009C6" w14:textId="4961BA11" w:rsidR="00001BB7" w:rsidRDefault="00001BB7" w:rsidP="00001BB7">
      <w:pPr>
        <w:bidi/>
        <w:rPr>
          <w:rStyle w:val="Style1Char"/>
          <w:color w:val="4472C4" w:themeColor="accent1"/>
          <w:rtl/>
        </w:rPr>
      </w:pPr>
      <w:r w:rsidRPr="00A755B9">
        <w:rPr>
          <w:rStyle w:val="Style1Char"/>
          <w:color w:val="4472C4" w:themeColor="accent1"/>
          <w:rtl/>
        </w:rPr>
        <w:t>וא"ת ואמאי נשאת בכל יום תהוי כאלמנה ותנשא בחמישי ותיבעל בליל ששי הואיל ונאמרה בו ברכה לאדם הראשון</w:t>
      </w:r>
      <w:r>
        <w:rPr>
          <w:rStyle w:val="Style1Char"/>
          <w:rFonts w:hint="cs"/>
          <w:color w:val="4472C4" w:themeColor="accent1"/>
        </w:rPr>
        <w:t>‍</w:t>
      </w:r>
      <w:r w:rsidRPr="00A755B9">
        <w:rPr>
          <w:rStyle w:val="Style1Char"/>
          <w:color w:val="4472C4" w:themeColor="accent1"/>
          <w:rtl/>
        </w:rPr>
        <w:t xml:space="preserve"> וי"ל משום ברכה לחודה לא היינו מתקנין ימי זמן קבוע מדפריך הש"ס לעיל ותנשא באחד בשבת וכן גבי אלמנה לאו משום ברכה גרידא אמרו שתנשא בחמישי אלא כדאמרינן לקמן (דף ה א) שקדו חכמים על תקנת בנות ישראל שיהא שמח עמה ג' ימים ואגב שתקנו משום שקדו אף היכא דלא שייך שקדו כגון אדם בטל או י"ט שחל ערב שבת תקנו שתנשא בחמישי משום ברכה ושקדו שיהא שמח עמה שלשה ימים לא שייך בבתולה דליכא למימר למחר משכים והולך לאומנותו לפי שיש לה שבעת ימי המשתה הלכך משום ברכה גרידא לא תקנו זמן לבתולה. נישאת בכל יום האי בכל יום לאו דווקא דבכל יום שבת אינה נישאת דאמרינן בירושלמי אמר רב מתניא הדא אמרה אלין דכנסין ארמלין בערב שבת צריכין למיכנס מבעוד יום שלא יהא נראה כקונה קנין בשבת לפי שאלמנה אין לה חופה ובשעת ייחודו של ביאה הוא זוכה במציאתה ובמעשה ידיה הלכך צריך להתייחד עמה בע"ש מבעוד יום הלכך אין להכניס בתולה לחופה בשבת דע"י החופה הוא זוכה במציאתה ובמעשה ידיה והוה כקונה קנין בשבת וכן נמי לכנוס בששי ולבעול בשבת לא דאין בתי דינין קבועין בשבת. ומה שנהגו האידנא לכנוס בששי היינו משום דאף בכל ימי השבוע אין לנו בתי דנין קבועין ומי שיש לו עסק מכניף שלשה ומסדר טענותיו בפניהם וזה יכול לעשות אפילו בשבת ואפילו בימי חכמי הש"ס אם לא בעל בליל חמישי לא חייבוהו להמתין עד ליל חמישי אחר או עד ליל שני דמיבעיא לן לקמן (דף ה ב) מהו לבעול בתחלה בשבת משמע אף על פי שנישאת ברביעי ורב זביד בעל בתחלה בשבת וכן מוכח ממתני' דחתן פטור מק"ש עד ד' לילות ואי לא מצי בעיל עד ליל שני אמאי פטור. והא דנישאת בכל יום היינו היכא דטרח ליה</w:t>
      </w:r>
      <w:r w:rsidR="0003034B">
        <w:rPr>
          <w:rStyle w:val="Style1Char"/>
          <w:rFonts w:hint="cs"/>
          <w:color w:val="4472C4" w:themeColor="accent1"/>
          <w:rtl/>
        </w:rPr>
        <w:t xml:space="preserve"> </w:t>
      </w:r>
      <w:r w:rsidRPr="00A755B9">
        <w:rPr>
          <w:rStyle w:val="Style1Char"/>
          <w:color w:val="4472C4" w:themeColor="accent1"/>
          <w:rtl/>
        </w:rPr>
        <w:t xml:space="preserve">אבל אי לא טרח לא דתניא שקדו חכמים על תקנת בנות ישראל שיהא טורח בסעודה אחד בשבת וב' בשבת וג' בשבת ובד' כונסה </w:t>
      </w:r>
      <w:r>
        <w:rPr>
          <w:rStyle w:val="Style1Char"/>
          <w:rFonts w:hint="cs"/>
          <w:color w:val="4472C4" w:themeColor="accent1"/>
        </w:rPr>
        <w:t>‍</w:t>
      </w:r>
      <w:r w:rsidRPr="00A755B9">
        <w:rPr>
          <w:rStyle w:val="Style1Char"/>
          <w:color w:val="4472C4" w:themeColor="accent1"/>
          <w:rtl/>
        </w:rPr>
        <w:t>כתב רבינו אפרים אי אמר חתנא לא טרחנא אלא אכניסנה בלא סעודה וקרובי הכלה בעו דלעביד סעודתא כייפינן ליה דעביד סעודתא כפום מנהג דחזי לדידיה ולדידה דקי"ל עולה עמו ואינה יורדת עמו וכתב דמעשים באו לפני רב אלפס רבו והיה דן כן</w:t>
      </w:r>
      <w:r w:rsidRPr="00A755B9">
        <w:rPr>
          <w:rStyle w:val="Style1Char"/>
          <w:color w:val="4472C4" w:themeColor="accent1"/>
        </w:rPr>
        <w:t xml:space="preserve">: </w:t>
      </w:r>
    </w:p>
    <w:p w14:paraId="41DF4E3F" w14:textId="0FB56F27" w:rsidR="0073597C" w:rsidRDefault="0073597C" w:rsidP="0073597C">
      <w:pPr>
        <w:pStyle w:val="Style1"/>
        <w:rPr>
          <w:rStyle w:val="Style1Char"/>
          <w:rtl/>
        </w:rPr>
      </w:pPr>
      <w:r>
        <w:rPr>
          <w:rStyle w:val="Style1Char"/>
          <w:rFonts w:hint="cs"/>
          <w:rtl/>
        </w:rPr>
        <w:t>1)[</w:t>
      </w:r>
      <w:r w:rsidRPr="00165F42">
        <w:rPr>
          <w:rStyle w:val="Style1Char"/>
          <w:rtl/>
        </w:rPr>
        <w:t>רמב</w:t>
      </w:r>
      <w:r w:rsidR="00213DA1">
        <w:rPr>
          <w:rStyle w:val="Style1Char"/>
          <w:rtl/>
        </w:rPr>
        <w:t>”ם \נשים\</w:t>
      </w:r>
      <w:r w:rsidRPr="00165F42">
        <w:rPr>
          <w:rStyle w:val="Style1Char"/>
          <w:rtl/>
        </w:rPr>
        <w:t xml:space="preserve"> הלכות אישות פרק י הלכה טו</w:t>
      </w:r>
      <w:r>
        <w:rPr>
          <w:rStyle w:val="Style1Char"/>
          <w:rFonts w:hint="cs"/>
          <w:rtl/>
        </w:rPr>
        <w:t xml:space="preserve">] </w:t>
      </w:r>
      <w:r w:rsidRPr="00165F42">
        <w:rPr>
          <w:rStyle w:val="Style1Char"/>
          <w:rtl/>
        </w:rPr>
        <w:t>מקום שאין בית דין יושבין בו אלא בשני ובחמישי בלבד בתולה נישאת ביום רביעי שאם היתה לו טענת בתולים ישכים לבית דין, ומנהג חכמים הוא שהנושא את הבעולה ישאנה בחמישי כדי שיהיה שמח עמה חמישי וערב שבת ושבת ויצא למלאכתו יום ראשון.</w:t>
      </w:r>
    </w:p>
    <w:p w14:paraId="2EC9A96B" w14:textId="77777777" w:rsidR="0073597C" w:rsidRPr="00A3371C" w:rsidRDefault="0073597C" w:rsidP="0073597C">
      <w:pPr>
        <w:pStyle w:val="Style1"/>
      </w:pPr>
      <w:r>
        <w:rPr>
          <w:rStyle w:val="Style1Char"/>
          <w:rFonts w:hint="cs"/>
          <w:rtl/>
        </w:rPr>
        <w:t>1)[</w:t>
      </w:r>
      <w:r w:rsidRPr="00A65F71">
        <w:rPr>
          <w:rStyle w:val="Style1Char"/>
          <w:rtl/>
        </w:rPr>
        <w:t>שולחן ערוך אבן העזר הלכות קידושין סימן סד סעיף ג</w:t>
      </w:r>
      <w:r>
        <w:rPr>
          <w:rStyle w:val="Style1Char"/>
          <w:rFonts w:hint="cs"/>
          <w:rtl/>
        </w:rPr>
        <w:t xml:space="preserve">] </w:t>
      </w:r>
      <w:r w:rsidRPr="00A3371C">
        <w:rPr>
          <w:rtl/>
        </w:rPr>
        <w:t>יש אומרים שאין נושאין נשים לא בערב שבת ולא באחד בשבת, גזרה שמא יבוא לידי חילול שבת בתקון הסעודה. ויש מתירין. וכן פשט המנהג לישא נשים בערב שבת, והוא שיטרח בסעדת הנשואין שלושה ימים קדם הנשואין. ומקום שאין בית דין יושבים בו אלא בשני ובחמישי בלבד, בתולה נשאת ביום רביעי, שאם היתה לו טענת בתולים ישכים לבית דין. ומנהג חכמים שהנושא את הבעולה ישאנה בחמישי, כדי שיהיה שמח עמה שלושה ימים: חמישי בשבת וערב שבת ושבת, ויוצא למלאכתו יום ראשון</w:t>
      </w:r>
      <w:r w:rsidRPr="00A3371C">
        <w:t>.</w:t>
      </w:r>
    </w:p>
    <w:p w14:paraId="0975423E" w14:textId="77777777" w:rsidR="0073597C" w:rsidRDefault="0073597C" w:rsidP="0073597C">
      <w:pPr>
        <w:pStyle w:val="Style1"/>
        <w:rPr>
          <w:rtl/>
        </w:rPr>
      </w:pPr>
      <w:r w:rsidRPr="00A3371C">
        <w:rPr>
          <w:rFonts w:hint="cs"/>
          <w:rtl/>
        </w:rPr>
        <w:t>ונהגו שלא לישא נשים אלא בתחילת החדש, בעוד שהלבנה במלואה (הר"ן סוף פרק ארבע מיתות), ועיין </w:t>
      </w:r>
      <w:hyperlink r:id="rId9" w:tooltip="שולחן ערוך יורה דעה קעט" w:history="1">
        <w:r w:rsidRPr="00A3371C">
          <w:rPr>
            <w:rStyle w:val="Hyperlink"/>
            <w:rFonts w:hint="cs"/>
            <w:color w:val="7030A0"/>
            <w:u w:val="none"/>
            <w:rtl/>
          </w:rPr>
          <w:t>ביורה דעה סימן קע"ט</w:t>
        </w:r>
      </w:hyperlink>
      <w:r w:rsidRPr="00A3371C">
        <w:t>:</w:t>
      </w:r>
    </w:p>
    <w:p w14:paraId="452BF192" w14:textId="77777777" w:rsidR="0073597C" w:rsidRPr="00A755B9" w:rsidRDefault="0073597C" w:rsidP="0073597C">
      <w:pPr>
        <w:bidi/>
        <w:rPr>
          <w:rStyle w:val="Style1Char"/>
          <w:color w:val="4472C4" w:themeColor="accent1"/>
        </w:rPr>
      </w:pPr>
    </w:p>
    <w:p w14:paraId="1AE713D1" w14:textId="77777777" w:rsidR="00001BB7" w:rsidRPr="00001BB7" w:rsidRDefault="00001BB7" w:rsidP="00001BB7">
      <w:pPr>
        <w:bidi/>
        <w:rPr>
          <w:rStyle w:val="Style1Char"/>
          <w:sz w:val="22"/>
          <w:szCs w:val="22"/>
          <w:rtl/>
        </w:rPr>
      </w:pPr>
    </w:p>
    <w:p w14:paraId="63F607E0" w14:textId="77777777" w:rsidR="00412FD9" w:rsidRPr="00412FD9" w:rsidRDefault="00412FD9" w:rsidP="00412FD9">
      <w:pPr>
        <w:bidi/>
        <w:rPr>
          <w:rStyle w:val="Style1Char"/>
          <w:color w:val="00B050"/>
          <w:rtl/>
        </w:rPr>
      </w:pPr>
    </w:p>
    <w:p w14:paraId="68DF077A" w14:textId="10E702C2" w:rsidR="00B710BD" w:rsidRPr="006633D9" w:rsidRDefault="00B710BD" w:rsidP="004F1FB0">
      <w:pPr>
        <w:bidi/>
        <w:rPr>
          <w:rStyle w:val="Style1Char"/>
          <w:color w:val="C00000"/>
        </w:rPr>
      </w:pPr>
      <w:r w:rsidRPr="006633D9">
        <w:rPr>
          <w:rStyle w:val="Style1Char"/>
          <w:color w:val="C00000"/>
          <w:rtl/>
        </w:rPr>
        <w:t xml:space="preserve"> </w:t>
      </w:r>
    </w:p>
    <w:p w14:paraId="7721DB17" w14:textId="77777777" w:rsidR="00B710BD" w:rsidRPr="00B710BD" w:rsidRDefault="00B710BD" w:rsidP="00B710BD">
      <w:pPr>
        <w:bidi/>
        <w:rPr>
          <w:rStyle w:val="Style1Char"/>
          <w:color w:val="00B050"/>
          <w:rtl/>
        </w:rPr>
      </w:pPr>
    </w:p>
    <w:p w14:paraId="694C7553" w14:textId="77777777" w:rsidR="00F450C8" w:rsidRDefault="00F450C8">
      <w:pPr>
        <w:rPr>
          <w:rStyle w:val="Style1Char"/>
          <w:color w:val="00B050"/>
          <w:rtl/>
        </w:rPr>
      </w:pPr>
      <w:r>
        <w:rPr>
          <w:rStyle w:val="Style1Char"/>
          <w:color w:val="00B050"/>
          <w:rtl/>
        </w:rPr>
        <w:br w:type="page"/>
      </w:r>
    </w:p>
    <w:p w14:paraId="6A8F7ED8" w14:textId="77777777" w:rsidR="005B1B27" w:rsidRPr="00A755B9" w:rsidRDefault="00F450C8" w:rsidP="005B1B27">
      <w:pPr>
        <w:bidi/>
        <w:rPr>
          <w:rStyle w:val="Style1Char"/>
          <w:color w:val="4472C4" w:themeColor="accent1"/>
        </w:rPr>
      </w:pPr>
      <w:r w:rsidRPr="00F450C8">
        <w:rPr>
          <w:rStyle w:val="Style1Char"/>
          <w:color w:val="00B050"/>
          <w:sz w:val="22"/>
          <w:szCs w:val="22"/>
          <w:highlight w:val="yellow"/>
          <w:rtl/>
        </w:rPr>
        <w:lastRenderedPageBreak/>
        <w:t>[דף ג עמוד ב]</w:t>
      </w:r>
      <w:r w:rsidRPr="00F450C8">
        <w:rPr>
          <w:rStyle w:val="Style1Char"/>
          <w:color w:val="00B050"/>
          <w:sz w:val="22"/>
          <w:szCs w:val="22"/>
          <w:rtl/>
        </w:rPr>
        <w:t xml:space="preserve"> </w:t>
      </w:r>
      <w:r w:rsidRPr="00F450C8">
        <w:rPr>
          <w:rStyle w:val="Style1Char"/>
          <w:color w:val="00B050"/>
          <w:rtl/>
        </w:rPr>
        <w:t xml:space="preserve">מאי שקדו? דתניא: מפני מה אמרו בתולה נשאת ליום הרביעי? שאם היה לו טענת בתולים היה משכים לב"ד; ותנשא באחד בשבת, ואם היה לו טענת בתולים היה משכים לב"ד! שקדו חכמים על תקנת בנות ישראל שיהא אדם טורח בסעודה שלשה ימים, אחד בשבת ושני בשבת ושלישי בשבת, וברביעי כונסה; ומסכנה ואילך, נהגו העם לכנוס בשלישי, ולא מיחו בידם חכמים; ובשני לא יכנוס, ואם מחמת האונס - מותר; ומפרישין את החתן מן הכלה לילי שבת תחלה, מפני שהוא עושה חבורה. מאי סכנה? אילימא דאמרי: בתולה הנשאת ליום הרביעי תיהרג נהגו? לגמרי ניעקריה! אמר רבה, דאמרי: בתולה הנשאת ביום הרביעי, תיבעל להגמון תחלה. האי סכנה? אונס הוא! משום דאיכא צנועות, דמסרן נפשייהו לקטלא ואתיין לידי סכנה. </w:t>
      </w:r>
      <w:r w:rsidRPr="009B4976">
        <w:rPr>
          <w:rStyle w:val="Style1Char"/>
          <w:color w:val="auto"/>
          <w:sz w:val="22"/>
          <w:szCs w:val="22"/>
          <w:rtl/>
        </w:rPr>
        <w:t xml:space="preserve">ולידרוש להו דאונס שרי! </w:t>
      </w:r>
      <w:r w:rsidR="005B1B27" w:rsidRPr="00A755B9">
        <w:rPr>
          <w:rStyle w:val="Style1Char"/>
          <w:color w:val="4472C4" w:themeColor="accent1"/>
          <w:rtl/>
        </w:rPr>
        <w:t xml:space="preserve">ותימה היאך נדרוש להו דאונס שרי הלא היא מחויבת למסור עצמה כיון שהיא אשת איש דאמרינן (סנהדרין דף עד א) כל עבירות שבתורה יעבור ואל יהרג חוץ מעבודת כוכבים וגילוי עריות ושפיכות דמים </w:t>
      </w:r>
      <w:r w:rsidR="005B1B27">
        <w:rPr>
          <w:rStyle w:val="Style1Char"/>
          <w:rFonts w:hint="cs"/>
          <w:color w:val="4472C4" w:themeColor="accent1"/>
        </w:rPr>
        <w:t>‍</w:t>
      </w:r>
      <w:r w:rsidR="005B1B27" w:rsidRPr="00A755B9">
        <w:rPr>
          <w:rStyle w:val="Style1Char"/>
          <w:color w:val="4472C4" w:themeColor="accent1"/>
          <w:rtl/>
        </w:rPr>
        <w:t>ותירץ ר"ת דאינה מחויבת למסור עצמה למיתה על ביאת עובד כוכבים דרחמנא אפקריה לזרעיה דעובד כוכבים דכתיב וזרמת סוסים זרמתם ולא מקריא ביאה והביא ראיה מפרק בן סורר ומורה (שם ב) דפריך והא אסתר פרהסיא הוי ואילו עריות הוי לא פריך דמשום עריות לא מיחייבא למסור עצמה בביאת עובד כוכבים. ומתוך כך התיר ר"ת בת ישראל שהמירה דתה ונבעלה לעובד כוכבים ושוב חזרה ונתגייר העובד כוכבים עמה וגרשה בעלה והתירה לאותו שנתגייר עמה דלא שייך למימר אחד לבועל בביאת עובד כוכבים דהוי כביאת בהמה.</w:t>
      </w:r>
      <w:r w:rsidR="005B1B27">
        <w:rPr>
          <w:rStyle w:val="Style1Char"/>
          <w:rFonts w:hint="cs"/>
          <w:color w:val="4472C4" w:themeColor="accent1"/>
        </w:rPr>
        <w:t>‍</w:t>
      </w:r>
      <w:r w:rsidR="005B1B27" w:rsidRPr="00A755B9">
        <w:rPr>
          <w:rStyle w:val="Style1Char"/>
          <w:color w:val="4472C4" w:themeColor="accent1"/>
          <w:rtl/>
        </w:rPr>
        <w:t xml:space="preserve"> ולא נהירא להריב"ם דכיון אסורה לבעל ע"י ביאת עובד כוכבים כדאמרינן הכא דאיכא פרוצות ולקמן בפרק האשה שנתאלמנה (דף כו ב) גבי שבויה ואמרינן נמי במגילה (דף טו א) כאשר אבדתי מבית אבא כך אבדתי ממך אלמא לגבי בעלה לא חשיב כביאת בהמה שאין ביאתה פוסלת דאין זנות לבהמה כדאיתא בפ' הבא על יבמתו (דף נט ב) דכי אמרינן [שם צח] רחמנא אפקריה לזרעיה דעובד כוכבים הנ"מ לענין חייס דזרעיה חשיב כזרע בהמה אבל ביאתו לא חשיב כביאת בהמה וכיון שאסורה לבעל אסורה גם לבועל מונטמאה ונטמאה ואמרינן נמי בסוטה פרק ארוסה (דף כו ב) מקנין ע"י עובד כוכבים והא דקאמר הכא ולידרוש להו דאונס שרי הכי פירושא ואינה מחויבת למסור עצמה משום דקרקע עולם היא ואינה עושה מעשה דמהיכא גמרינן דבעריות מחויבת למסור עצמה מרוצח כדאמרינן בסנהדרין (דף עד א) מה רוצח יהרג ואל יעבור וכו' ורוצח גופיה הא דמיחייב למסור עצמו היינו כשעושה מעשה אבל אם אמרו לו הנח שנזרוק אותך על התינוק להתמעך דאחר שאינו עושה מעשה בהא ודאי אמרינן מאי חזית דדמא דחברך סומק טפי דלמא דמא דידך סומק טפי וגבי נערה המאורסה גרסינן יהרג ואל יעבור ואבועל קאי אי נמי גרסינן תיהרג מיירי דהיא עושה מעשה ומביאתו עליה והא דלא פריך גבי אסתר והא גילוי עריות הואי משום דידע שפיר דטעמא דקרקע עולם מועיל שאינה מחויבת למסור עצמה משום עריות אבל ס"ד כיון דפרהסיא הוא איכא חלול השם ומשני כיון דקרקע עולם היא אפי' חילול השם ליכא וכן מוכח בריש הבא על יבמתו (דף נג ב) מההיא דאמר רבא אין אונס בעריות דאין קשוי אלא לדעת דמשמע הא יש קשוי שלא לדעת יש אונס ואמאי הא אמרינן בעריות יהרג ואל יעבור אלא ודאי הכי פירושא אם מביאים אותו על הערוה בעל כרחו יהרג ואל יעבור ואינו יכול ליפטר את עצמו ולומר אין אני עושה כלום אלא אחרים עושים בי מעשה לפי שאין קשוי אלא לדעת</w:t>
      </w:r>
      <w:r w:rsidR="005B1B27">
        <w:rPr>
          <w:rStyle w:val="Style1Char"/>
          <w:rFonts w:hint="cs"/>
          <w:color w:val="4472C4" w:themeColor="accent1"/>
        </w:rPr>
        <w:t>‍</w:t>
      </w:r>
      <w:r w:rsidR="005B1B27" w:rsidRPr="00A755B9">
        <w:rPr>
          <w:rStyle w:val="Style1Char"/>
          <w:color w:val="4472C4" w:themeColor="accent1"/>
          <w:rtl/>
        </w:rPr>
        <w:t xml:space="preserve"> וכשיתקשה עושה מעשה בידים משמע הא בעבודת כוכבים כגון אם כפפו קומתו להשתחוות לעבודת כוכבים או בשפיכות דמים כגון שהכוהו בגופו על אדם אחר והרגוהו כיון שאינו עושה מעשה כלל אלא אחרים עושים בו מעשה אינו מחויב למסור את עצמו ונ"ל לקיים פסק ר"ת ולא מטעמיה אלא משום דאמרינן (סוטה דף כו א) ונטמאה ונטמאה אחד לבעל וא' לבועל היינו היכא שלא היתה אסורה לבועל אלא על ידי ביאה זו אבל בביאת עובד כוכבים</w:t>
      </w:r>
      <w:r w:rsidR="005B1B27">
        <w:rPr>
          <w:rStyle w:val="Style1Char"/>
          <w:rFonts w:hint="cs"/>
          <w:color w:val="4472C4" w:themeColor="accent1"/>
          <w:rtl/>
        </w:rPr>
        <w:t xml:space="preserve"> </w:t>
      </w:r>
      <w:r w:rsidR="005B1B27" w:rsidRPr="00A755B9">
        <w:rPr>
          <w:rStyle w:val="Style1Char"/>
          <w:color w:val="4472C4" w:themeColor="accent1"/>
          <w:rtl/>
        </w:rPr>
        <w:t>דבלאו הכי היתה אסורה לו לא קרינן ביה ונטמאה אחד לבועל ונהי דנאסרה לבעל מ"מ לא ניתוסף בה איסור לבועל בביאתו כיון דבלאו הכי היתה אסורה לו וכן מוכח בסוטה פרק ארוסה (שם) גבי מקנין ע"י עובד כוכבים דפריך פשיטא מהו דתימא ונטמאה ונטמאה אמר רחמנא אחד לבעל ואחד לבועל הנ"מ היכא דבהך ביאה אסורה ליה אבל עובד כוכבים דבלא"ה אסורה ליה וכו' כלומר סלקא דעתך אמינא האי דאמרינן ונטמאה לבעל היכא דקרינא ביה ונטמאה לבועל לאפוקי עובד כוכבים דלא קרינא ביה ונטמאה לבועל כיון דבלא"ה אסורה ליה לא קרינא ביה ונטמאה לבעל</w:t>
      </w:r>
      <w:r w:rsidR="005B1B27">
        <w:rPr>
          <w:rStyle w:val="Style1Char"/>
          <w:rFonts w:hint="cs"/>
          <w:color w:val="4472C4" w:themeColor="accent1"/>
        </w:rPr>
        <w:t>‍</w:t>
      </w:r>
      <w:r w:rsidR="005B1B27" w:rsidRPr="00A755B9">
        <w:rPr>
          <w:rStyle w:val="Style1Char"/>
          <w:color w:val="4472C4" w:themeColor="accent1"/>
          <w:rtl/>
        </w:rPr>
        <w:t xml:space="preserve"> קמ"ל אף על גב דלא קרינן ביה ונטמאה לבועל קרינן ביה ונטמאה לבעל</w:t>
      </w:r>
      <w:r w:rsidR="005B1B27" w:rsidRPr="00A755B9">
        <w:rPr>
          <w:rStyle w:val="Style1Char"/>
          <w:color w:val="4472C4" w:themeColor="accent1"/>
        </w:rPr>
        <w:t xml:space="preserve">: </w:t>
      </w:r>
    </w:p>
    <w:p w14:paraId="21DA3ED5" w14:textId="1E020DAC" w:rsidR="00F450C8" w:rsidRPr="0046618C" w:rsidRDefault="00F450C8" w:rsidP="00F450C8">
      <w:pPr>
        <w:bidi/>
        <w:rPr>
          <w:rStyle w:val="Style1Char"/>
          <w:color w:val="auto"/>
          <w:sz w:val="22"/>
          <w:szCs w:val="22"/>
          <w:rtl/>
        </w:rPr>
      </w:pPr>
      <w:r w:rsidRPr="00F450C8">
        <w:rPr>
          <w:rStyle w:val="Style1Char"/>
          <w:color w:val="00B050"/>
          <w:rtl/>
        </w:rPr>
        <w:t>איכא פרוצות, ואיכא נמי כהנות. וליעקריה! גזירה עבידא דבטלא, ותקנתא דרבנן מקמי גזירה לא עקרינן. אי הכי, בשלישי נמי אתי ובעיל! מספיקא לא עקר נפשיה. ובשני לא יכנוס, ואם מחמת האונס - מותר. מאי אונס? אילימא הא דאמרן, התם קרי ליה סכנה, והכא קא קרי ליה אונס! ותו, התם נהגו, הכא מותר! אמר רבא, דאמרי: שר צבא בא לעיר. ה"ד? אי דאתי וחליף, ליעכב! לא צריכא דאתי וקבע. בג' מיהא לכנוס! אספרווא דידיה בג' קאתו. ואיבעית אימא: מאי מחמת האונס? כדתני'</w:t>
      </w:r>
      <w:r w:rsidR="005F539F" w:rsidRPr="005F539F">
        <w:rPr>
          <w:rStyle w:val="Style1Char"/>
          <w:color w:val="C00000"/>
          <w:rtl/>
        </w:rPr>
        <w:t xml:space="preserve"> </w:t>
      </w:r>
      <w:r w:rsidR="005F539F" w:rsidRPr="0046618C">
        <w:rPr>
          <w:rStyle w:val="Style1Char"/>
          <w:color w:val="806000" w:themeColor="accent4" w:themeShade="80"/>
          <w:sz w:val="22"/>
          <w:szCs w:val="22"/>
          <w:rtl/>
        </w:rPr>
        <w:t>תניא</w:t>
      </w:r>
      <w:r w:rsidRPr="00F450C8">
        <w:rPr>
          <w:rStyle w:val="Style1Char"/>
          <w:color w:val="00B050"/>
          <w:rtl/>
        </w:rPr>
        <w:t xml:space="preserve">: </w:t>
      </w:r>
      <w:r w:rsidRPr="0046618C">
        <w:rPr>
          <w:rStyle w:val="Style1Char"/>
          <w:color w:val="auto"/>
          <w:sz w:val="22"/>
          <w:szCs w:val="22"/>
          <w:rtl/>
        </w:rPr>
        <w:t xml:space="preserve">הרי שהיה פתו אפוי וטבחו טבוח ויינו מזוג, ומת אביו של חתן או אמה של כלה, מכניסין את המת לחדר ואת החתן ואת הכלה לחופה, </w:t>
      </w:r>
    </w:p>
    <w:p w14:paraId="2C09070B" w14:textId="77777777" w:rsidR="00E273D9" w:rsidRPr="00E273D9" w:rsidRDefault="00E273D9" w:rsidP="00E273D9">
      <w:pPr>
        <w:bidi/>
        <w:rPr>
          <w:rStyle w:val="Style1Char"/>
          <w:sz w:val="22"/>
          <w:szCs w:val="22"/>
          <w:rtl/>
        </w:rPr>
      </w:pPr>
    </w:p>
    <w:p w14:paraId="272E438F" w14:textId="78637E5C" w:rsidR="004F1FB0" w:rsidRPr="006633D9" w:rsidRDefault="004F1FB0" w:rsidP="005F539F">
      <w:pPr>
        <w:bidi/>
        <w:rPr>
          <w:rStyle w:val="Style1Char"/>
          <w:color w:val="C00000"/>
        </w:rPr>
      </w:pPr>
      <w:r w:rsidRPr="006633D9">
        <w:rPr>
          <w:rStyle w:val="Style1Char"/>
          <w:color w:val="C00000"/>
          <w:rtl/>
        </w:rPr>
        <w:t xml:space="preserve"> </w:t>
      </w:r>
    </w:p>
    <w:p w14:paraId="5E6015B9" w14:textId="77777777" w:rsidR="004F1FB0" w:rsidRPr="004F1FB0" w:rsidRDefault="004F1FB0" w:rsidP="004F1FB0">
      <w:pPr>
        <w:bidi/>
        <w:rPr>
          <w:rStyle w:val="Style1Char"/>
          <w:color w:val="00B050"/>
          <w:rtl/>
        </w:rPr>
      </w:pPr>
    </w:p>
    <w:p w14:paraId="10E08CC2" w14:textId="77777777" w:rsidR="00F450C8" w:rsidRDefault="00F450C8">
      <w:pPr>
        <w:rPr>
          <w:rStyle w:val="Style1Char"/>
          <w:color w:val="00B050"/>
          <w:rtl/>
        </w:rPr>
      </w:pPr>
      <w:r>
        <w:rPr>
          <w:rStyle w:val="Style1Char"/>
          <w:color w:val="00B050"/>
          <w:rtl/>
        </w:rPr>
        <w:br w:type="page"/>
      </w:r>
    </w:p>
    <w:p w14:paraId="4E25A5B6" w14:textId="37F85EF0" w:rsidR="00EE0026" w:rsidRDefault="00F450C8" w:rsidP="00EE0026">
      <w:pPr>
        <w:bidi/>
        <w:rPr>
          <w:rStyle w:val="Style1Char"/>
          <w:color w:val="4472C4" w:themeColor="accent1"/>
          <w:rtl/>
        </w:rPr>
      </w:pPr>
      <w:r w:rsidRPr="00BE0F22">
        <w:rPr>
          <w:rStyle w:val="Style1Char"/>
          <w:color w:val="auto"/>
          <w:sz w:val="22"/>
          <w:szCs w:val="22"/>
          <w:highlight w:val="yellow"/>
          <w:rtl/>
        </w:rPr>
        <w:lastRenderedPageBreak/>
        <w:t>[דף ד עמוד א]</w:t>
      </w:r>
      <w:r w:rsidRPr="00BE0F22">
        <w:rPr>
          <w:rStyle w:val="Style1Char"/>
          <w:color w:val="auto"/>
          <w:sz w:val="22"/>
          <w:szCs w:val="22"/>
          <w:rtl/>
        </w:rPr>
        <w:t xml:space="preserve"> ובועל בעילת מצוה ופורש, ונוהג שבעת ימי המשתה ואחר כך נוהג שבעת ימי אבילות, וכל אותן הימים הוא ישן בין האנשים והיא ישנה בין הנשים</w:t>
      </w:r>
      <w:r w:rsidRPr="005F539F">
        <w:rPr>
          <w:rStyle w:val="Style1Char"/>
          <w:sz w:val="22"/>
          <w:szCs w:val="22"/>
          <w:rtl/>
        </w:rPr>
        <w:t>,</w:t>
      </w:r>
      <w:r w:rsidR="00E65C4B" w:rsidRPr="00E65C4B">
        <w:rPr>
          <w:rStyle w:val="BalloonTextChar"/>
          <w:rFonts w:cs="Arial"/>
          <w:color w:val="7030A0"/>
          <w:sz w:val="22"/>
          <w:szCs w:val="22"/>
          <w:rtl/>
        </w:rPr>
        <w:t xml:space="preserve"> </w:t>
      </w:r>
      <w:r w:rsidR="00E65C4B" w:rsidRPr="00E65C4B">
        <w:rPr>
          <w:rStyle w:val="Style1Char"/>
          <w:color w:val="C00000"/>
          <w:sz w:val="22"/>
          <w:szCs w:val="22"/>
          <w:rtl/>
        </w:rPr>
        <w:t>וכן מי שפירסה אשתו נדה, הוא ישן בין האנשים והיא ישנה בין הנשים</w:t>
      </w:r>
      <w:r w:rsidRPr="00F450C8">
        <w:rPr>
          <w:rStyle w:val="Style1Char"/>
          <w:color w:val="00B050"/>
          <w:rtl/>
        </w:rPr>
        <w:t xml:space="preserve"> </w:t>
      </w:r>
      <w:r w:rsidRPr="00BE0F22">
        <w:rPr>
          <w:rStyle w:val="Style1Char"/>
          <w:color w:val="auto"/>
          <w:sz w:val="22"/>
          <w:szCs w:val="22"/>
          <w:rtl/>
        </w:rPr>
        <w:t>ואין מונעין תכשיטין מן הכלה כל שלשים יום</w:t>
      </w:r>
      <w:r w:rsidR="00EE0026" w:rsidRPr="00EE0026">
        <w:rPr>
          <w:rStyle w:val="Style1Char"/>
          <w:color w:val="4472C4" w:themeColor="accent1"/>
          <w:rtl/>
        </w:rPr>
        <w:t xml:space="preserve"> </w:t>
      </w:r>
      <w:r w:rsidR="00EE0026" w:rsidRPr="00A755B9">
        <w:rPr>
          <w:rStyle w:val="Style1Char"/>
          <w:color w:val="4472C4" w:themeColor="accent1"/>
          <w:rtl/>
        </w:rPr>
        <w:t>ונוהג שבעת ימי המשתה וכו' מכאן קשה למה שכתב בעל הלכות מי שמת לו מת ביום טוב האחרון שנוהג בו אבילות משום דאבילות יום ראשון דאורייתא ויו"ט שני דרבנן ואתי עשה דאורייתא ודחי עשה דרבנן דלדבריהם הכא נמי ינהוג אבילות ביום ראשון דשבעת ימי המשתה דרבנן הם. והארכתי בדבר בברכות פ' היה קורא (סי' טו). וה"ר מאיר הלוי ז"ל כתב דיום א' של שמחת חתן הוי דאורייתא דכתיב (שיר ג) ביום חתונתו וביום שמחת לבו אלמא דשמחת לבו ביום ראשון יש לו סמך מן התורה. ויש אומרים דלא עלה על דעת הגאון לומר דאבילות יום ראשון הוי דאורייתא דלא אשכחן שום אבילות מן התורה אלא אנינות ליאסר בקדשים ובמעשר שני. אלא דעת הגאון לפי שאבילות יש לו רמז ואחריתה כיום מר וי"ט האחרון אינו אלא מנהג כדאיתא במסכת י"ט (דף ד ב) הלכך דחינן י"ט אחרון מן קדם אבילות והכי נמי הוה עבדינן כן</w:t>
      </w:r>
      <w:r w:rsidR="00EE0026">
        <w:rPr>
          <w:rStyle w:val="Style1Char"/>
          <w:rFonts w:hint="cs"/>
          <w:color w:val="4472C4" w:themeColor="accent1"/>
        </w:rPr>
        <w:t>‍</w:t>
      </w:r>
      <w:r w:rsidR="00EE0026" w:rsidRPr="00A755B9">
        <w:rPr>
          <w:rStyle w:val="Style1Char"/>
          <w:color w:val="4472C4" w:themeColor="accent1"/>
          <w:rtl/>
        </w:rPr>
        <w:t>[ אלא שהיה צריך להפסיק באבילותו שאחר יום ראשון יהיה נוהג שבעת ימי המשתה ואח"כ ישלים אבילותו הלכך צריך שינהוג שבעת ימי המשתה תחלה ואח"כ שבעת ימי אבילות</w:t>
      </w:r>
      <w:r w:rsidR="00EE0026" w:rsidRPr="00A755B9">
        <w:rPr>
          <w:rStyle w:val="Style1Char"/>
          <w:color w:val="4472C4" w:themeColor="accent1"/>
        </w:rPr>
        <w:t>:</w:t>
      </w:r>
    </w:p>
    <w:p w14:paraId="2A07126F" w14:textId="56EE6548" w:rsidR="00183B7E" w:rsidRDefault="00183B7E" w:rsidP="00183B7E">
      <w:pPr>
        <w:bidi/>
        <w:rPr>
          <w:rStyle w:val="Style1Char"/>
          <w:color w:val="4472C4" w:themeColor="accent1"/>
          <w:rtl/>
        </w:rPr>
      </w:pPr>
      <w:r w:rsidRPr="00A755B9">
        <w:rPr>
          <w:rStyle w:val="Style1Char"/>
          <w:color w:val="4472C4" w:themeColor="accent1"/>
          <w:rtl/>
        </w:rPr>
        <w:t>הוא ישן בין האנשים והיא ישנה בין הנשים</w:t>
      </w:r>
      <w:r>
        <w:rPr>
          <w:rStyle w:val="Style1Char"/>
          <w:rFonts w:hint="cs"/>
          <w:color w:val="4472C4" w:themeColor="accent1"/>
        </w:rPr>
        <w:t>‍</w:t>
      </w:r>
      <w:r w:rsidRPr="00A755B9">
        <w:rPr>
          <w:rStyle w:val="Style1Char"/>
          <w:color w:val="4472C4" w:themeColor="accent1"/>
          <w:rtl/>
        </w:rPr>
        <w:t xml:space="preserve"> כתב הראב"ד ז"ל דתרוייהו דוקא שיהו אנשים ישנים עם החתן ונשים עם הכלה</w:t>
      </w:r>
      <w:r w:rsidRPr="00A755B9">
        <w:rPr>
          <w:rStyle w:val="Style1Char"/>
          <w:color w:val="4472C4" w:themeColor="accent1"/>
        </w:rPr>
        <w:t xml:space="preserve">: </w:t>
      </w:r>
    </w:p>
    <w:p w14:paraId="12DEBF1F" w14:textId="0DBB6465" w:rsidR="00F32BC1" w:rsidRDefault="00F32BC1" w:rsidP="00F32BC1">
      <w:pPr>
        <w:bidi/>
        <w:rPr>
          <w:rStyle w:val="Style1Char"/>
          <w:color w:val="4472C4" w:themeColor="accent1"/>
          <w:rtl/>
        </w:rPr>
      </w:pPr>
      <w:r w:rsidRPr="00A755B9">
        <w:rPr>
          <w:rStyle w:val="Style1Char"/>
          <w:color w:val="4472C4" w:themeColor="accent1"/>
          <w:rtl/>
        </w:rPr>
        <w:t>ואין מונעים תכשיטין מן הכלה שלשים יום. פירש רש"י דאין מונעין ממנה תכשיטין משום אבילות בתוך שלשים יום וכ"ש לאחר שלשים יום.</w:t>
      </w:r>
      <w:r>
        <w:rPr>
          <w:rStyle w:val="Style1Char"/>
          <w:rFonts w:hint="cs"/>
          <w:color w:val="4472C4" w:themeColor="accent1"/>
        </w:rPr>
        <w:t>‍</w:t>
      </w:r>
      <w:r w:rsidRPr="00A755B9">
        <w:rPr>
          <w:rStyle w:val="Style1Char"/>
          <w:color w:val="4472C4" w:themeColor="accent1"/>
          <w:rtl/>
        </w:rPr>
        <w:t xml:space="preserve"> וקשה מהא דתני באבל רבתי האשה מותרת בנטילת שער</w:t>
      </w:r>
      <w:r>
        <w:rPr>
          <w:rStyle w:val="Style1Char"/>
          <w:rFonts w:hint="cs"/>
          <w:color w:val="4472C4" w:themeColor="accent1"/>
        </w:rPr>
        <w:t>‍</w:t>
      </w:r>
      <w:r w:rsidRPr="00A755B9">
        <w:rPr>
          <w:rStyle w:val="Style1Char"/>
          <w:color w:val="4472C4" w:themeColor="accent1"/>
          <w:rtl/>
        </w:rPr>
        <w:t xml:space="preserve"> ומוכח התם דכל דין שלשים דהיינו תספורת וגיהוץ אינו נוהג באשת איש שלא תתגנה על בעלה א"כ מאי קמ"ל הכא גבי כלה. ונראה דלא קאי אהך דלעיל אלא מילתא באפי נפשיה והכי פירושא אין מונעין תכשיטין לכלה שאירע לה אבל בתוך שלשים ימי חופתה</w:t>
      </w:r>
      <w:r>
        <w:rPr>
          <w:rStyle w:val="Style1Char"/>
          <w:rFonts w:hint="cs"/>
          <w:color w:val="4472C4" w:themeColor="accent1"/>
        </w:rPr>
        <w:t>‍</w:t>
      </w:r>
      <w:r w:rsidRPr="00A755B9">
        <w:rPr>
          <w:rStyle w:val="Style1Char"/>
          <w:color w:val="4472C4" w:themeColor="accent1"/>
          <w:rtl/>
        </w:rPr>
        <w:t xml:space="preserve"> והיא מתקשטת ככלה אפי' בתוך שבעת ימי אבלה שלא תתגנה על בעלה דכל שלשים של חופתה זמן שמחת חתן וכלה הוא וצריכה שלא תנוול עצמה ולא חיילא עליה אבילות כלל לגבי הנך מילי</w:t>
      </w:r>
      <w:r w:rsidR="00DB516B">
        <w:rPr>
          <w:rStyle w:val="Style1Char"/>
          <w:rFonts w:hint="cs"/>
          <w:color w:val="4472C4" w:themeColor="accent1"/>
          <w:rtl/>
        </w:rPr>
        <w:t xml:space="preserve"> </w:t>
      </w:r>
      <w:r w:rsidRPr="00A755B9">
        <w:rPr>
          <w:rStyle w:val="Style1Char"/>
          <w:color w:val="4472C4" w:themeColor="accent1"/>
          <w:rtl/>
        </w:rPr>
        <w:t>ואחר שנהג שבעת ימי אבילות משלים עליהם עד ל' יום. ולא דמי לקובר מתו ברגל דמונה שלשים יום מיום קבורה אף על פי שלא נהג אבילות אלא עד לאחר הרגל.</w:t>
      </w:r>
      <w:r>
        <w:rPr>
          <w:rStyle w:val="Style1Char"/>
          <w:rFonts w:hint="cs"/>
          <w:color w:val="4472C4" w:themeColor="accent1"/>
        </w:rPr>
        <w:t>‍</w:t>
      </w:r>
      <w:r w:rsidRPr="00A755B9">
        <w:rPr>
          <w:rStyle w:val="Style1Char"/>
          <w:color w:val="4472C4" w:themeColor="accent1"/>
          <w:rtl/>
        </w:rPr>
        <w:t xml:space="preserve"> דהתם נהג דין שלשים שהוא גיהוץ ותספורת תוך הרגל אבל הכא תוך ימי החופה מותר בגיהוץ ותספורת דמלך ביופיו תחזינה עיניך הלכך לא סלקי לתורת שלשים. ודוקא אביו של חתן ואמה של כלה דליכא איניש דטרח להו אבל איפכא אם מתה אמו של חתן או אביה של כלה לא </w:t>
      </w:r>
      <w:r>
        <w:rPr>
          <w:rStyle w:val="Style1Char"/>
          <w:rFonts w:hint="cs"/>
          <w:color w:val="4472C4" w:themeColor="accent1"/>
        </w:rPr>
        <w:t>‍</w:t>
      </w:r>
      <w:r w:rsidRPr="00A755B9">
        <w:rPr>
          <w:rStyle w:val="Style1Char"/>
          <w:color w:val="4472C4" w:themeColor="accent1"/>
          <w:rtl/>
        </w:rPr>
        <w:t>ודין מתה אשתו ויש לו בנים גדולים או אם יש לו בנים קטנים או אם אין לו בנים מתי יכול לישא אשה כתבתי ביבמות בפרק החולץ (סי' כז)</w:t>
      </w:r>
      <w:r>
        <w:rPr>
          <w:rStyle w:val="Style1Char"/>
          <w:rFonts w:hint="cs"/>
          <w:color w:val="4472C4" w:themeColor="accent1"/>
        </w:rPr>
        <w:t>‍</w:t>
      </w:r>
      <w:r w:rsidRPr="00A755B9">
        <w:rPr>
          <w:rStyle w:val="Style1Char"/>
          <w:color w:val="4472C4" w:themeColor="accent1"/>
          <w:rtl/>
        </w:rPr>
        <w:t xml:space="preserve"> וגם כתבתי שם מי שמת אביו או אמו דמותר לישא אחר שלשים יום</w:t>
      </w:r>
      <w:r w:rsidRPr="00A755B9">
        <w:rPr>
          <w:rStyle w:val="Style1Char"/>
          <w:color w:val="4472C4" w:themeColor="accent1"/>
        </w:rPr>
        <w:t>:</w:t>
      </w:r>
    </w:p>
    <w:p w14:paraId="30BC684C" w14:textId="1DAF900E" w:rsidR="00DA3D61" w:rsidRPr="00A755B9" w:rsidRDefault="00843707" w:rsidP="00DA3D61">
      <w:pPr>
        <w:bidi/>
        <w:rPr>
          <w:rStyle w:val="Style1Char"/>
          <w:color w:val="4472C4" w:themeColor="accent1"/>
        </w:rPr>
      </w:pPr>
      <w:r>
        <w:rPr>
          <w:rStyle w:val="Style1Char"/>
          <w:rFonts w:hint="cs"/>
          <w:rtl/>
        </w:rPr>
        <w:t>(1)</w:t>
      </w:r>
      <w:r w:rsidR="00F450C8" w:rsidRPr="00E65C4B">
        <w:rPr>
          <w:rStyle w:val="Style1Char"/>
          <w:sz w:val="22"/>
          <w:szCs w:val="22"/>
          <w:rtl/>
        </w:rPr>
        <w:t xml:space="preserve">ודוקא אביו של חתן או אמה של כלה, דליכא איניש דטרח להו, אבל איפכא </w:t>
      </w:r>
      <w:r w:rsidR="00500986" w:rsidRPr="006633D9">
        <w:rPr>
          <w:rStyle w:val="Style1Char"/>
          <w:color w:val="C00000"/>
          <w:rtl/>
        </w:rPr>
        <w:t xml:space="preserve">אמו של חתן ואביה של כלה </w:t>
      </w:r>
      <w:r w:rsidR="00F450C8" w:rsidRPr="00E65C4B">
        <w:rPr>
          <w:rStyle w:val="Style1Char"/>
          <w:sz w:val="22"/>
          <w:szCs w:val="22"/>
          <w:rtl/>
        </w:rPr>
        <w:t xml:space="preserve">לא. </w:t>
      </w:r>
      <w:r w:rsidR="00F450C8" w:rsidRPr="003823B3">
        <w:rPr>
          <w:rStyle w:val="Style1Char"/>
          <w:color w:val="auto"/>
          <w:sz w:val="22"/>
          <w:szCs w:val="22"/>
          <w:rtl/>
        </w:rPr>
        <w:t>אמר רפרם בר פפא אמר רב חסדא: לא שנו אלא שנתן מים על גבי בשר, אבל לא נתן מים על גבי בשר - מזדבן. אמר רבא: ובכרך, אף על פי שנתן מים על גבי בשר - מזדבן. אמר רב פפא: ובכפר, אף על פי שלא נתן מים על גבי בשר - לא מזדבן</w:t>
      </w:r>
      <w:r w:rsidR="00F450C8" w:rsidRPr="00F450C8">
        <w:rPr>
          <w:rStyle w:val="Style1Char"/>
          <w:color w:val="00B050"/>
          <w:rtl/>
        </w:rPr>
        <w:t xml:space="preserve">. ואלא </w:t>
      </w:r>
      <w:r w:rsidR="00E878A6" w:rsidRPr="00DA3D61">
        <w:rPr>
          <w:rStyle w:val="Style1Char"/>
          <w:color w:val="806000" w:themeColor="accent4" w:themeShade="80"/>
          <w:sz w:val="22"/>
          <w:szCs w:val="22"/>
          <w:rtl/>
        </w:rPr>
        <w:t xml:space="preserve">והא </w:t>
      </w:r>
      <w:r w:rsidR="00F450C8" w:rsidRPr="00DA3D61">
        <w:rPr>
          <w:rStyle w:val="Style1Char"/>
          <w:color w:val="auto"/>
          <w:sz w:val="22"/>
          <w:szCs w:val="22"/>
          <w:rtl/>
        </w:rPr>
        <w:t xml:space="preserve">דרב חסדא </w:t>
      </w:r>
      <w:r w:rsidR="00F450C8" w:rsidRPr="00F450C8">
        <w:rPr>
          <w:rStyle w:val="Style1Char"/>
          <w:color w:val="00B050"/>
          <w:rtl/>
        </w:rPr>
        <w:t xml:space="preserve">היכי </w:t>
      </w:r>
      <w:r w:rsidR="00F450C8" w:rsidRPr="00DA3D61">
        <w:rPr>
          <w:rStyle w:val="Style1Char"/>
          <w:color w:val="auto"/>
          <w:sz w:val="22"/>
          <w:szCs w:val="22"/>
          <w:rtl/>
        </w:rPr>
        <w:t>משכחת לה</w:t>
      </w:r>
      <w:r w:rsidR="00F450C8" w:rsidRPr="00F450C8">
        <w:rPr>
          <w:rStyle w:val="Style1Char"/>
          <w:color w:val="00B050"/>
          <w:rtl/>
        </w:rPr>
        <w:t>? אמר רב אשי: כגון מתא מחסיא</w:t>
      </w:r>
      <w:r w:rsidR="00EA19F3" w:rsidRPr="00EA19F3">
        <w:rPr>
          <w:rStyle w:val="Style1Char"/>
          <w:color w:val="C00000"/>
          <w:rtl/>
        </w:rPr>
        <w:t xml:space="preserve"> </w:t>
      </w:r>
      <w:r w:rsidR="00EA19F3" w:rsidRPr="00DA3D61">
        <w:rPr>
          <w:rStyle w:val="Style1Char"/>
          <w:color w:val="806000" w:themeColor="accent4" w:themeShade="80"/>
          <w:sz w:val="22"/>
          <w:szCs w:val="22"/>
          <w:rtl/>
        </w:rPr>
        <w:t>בדוכתא</w:t>
      </w:r>
      <w:r w:rsidR="00F450C8" w:rsidRPr="00F450C8">
        <w:rPr>
          <w:rStyle w:val="Style1Char"/>
          <w:color w:val="00B050"/>
          <w:rtl/>
        </w:rPr>
        <w:t xml:space="preserve">, </w:t>
      </w:r>
      <w:r w:rsidR="00F450C8" w:rsidRPr="00DA3D61">
        <w:rPr>
          <w:rStyle w:val="Style1Char"/>
          <w:color w:val="auto"/>
          <w:sz w:val="22"/>
          <w:szCs w:val="22"/>
          <w:rtl/>
        </w:rPr>
        <w:t>דמפקא מכרך ומפקא מכפר</w:t>
      </w:r>
      <w:r w:rsidR="00F450C8" w:rsidRPr="00EA19F3">
        <w:rPr>
          <w:rStyle w:val="Style1Char"/>
          <w:sz w:val="22"/>
          <w:szCs w:val="22"/>
          <w:rtl/>
        </w:rPr>
        <w:t xml:space="preserve">. </w:t>
      </w:r>
      <w:r w:rsidR="00DA3D61" w:rsidRPr="00A755B9">
        <w:rPr>
          <w:rStyle w:val="Style1Char"/>
          <w:color w:val="4472C4" w:themeColor="accent1"/>
          <w:rtl/>
        </w:rPr>
        <w:t>ושמעינן מהא היכא דאפשר לזבוני וליכא פסידא דאינו נוהג שבעת</w:t>
      </w:r>
      <w:r w:rsidR="00DA3D61">
        <w:rPr>
          <w:rStyle w:val="Style1Char"/>
          <w:rFonts w:hint="cs"/>
          <w:color w:val="4472C4" w:themeColor="accent1"/>
        </w:rPr>
        <w:t>‍</w:t>
      </w:r>
      <w:r w:rsidR="00DA3D61" w:rsidRPr="00A755B9">
        <w:rPr>
          <w:rStyle w:val="Style1Char"/>
          <w:color w:val="4472C4" w:themeColor="accent1"/>
          <w:rtl/>
        </w:rPr>
        <w:t xml:space="preserve"> ימי המשתה ברישא. ומתוך לשון רב אלפס משמע דמכניסין את המת לחדר ואת החתן ואת הכלה לחופה ובועל בעילת מצוה ופורש וקובר את מתו ונוהג שבעת ימי אבילות ואח"כ שבעת ימי המשתה מדקאמר אנו נוהג שבעת ימי המשתה ברישא משמע דאין חילוק בין היכא דאיכא פסידא בין היכא דליכא פסידא אלא דבאיכא פסידא נוהג שבעת ימי המשתה ברישא והיכא דליכא פסידא נוהג שבעת ימי אבילות ברישא אבל בשניהם בועל בעילת מצוה קודם שיקבר המת דאל"כ הוה ליה למימר היכא דליכא פסידא קובר את מתו ונוהג אבילותו ואח"כ מכניס את הכלה לחופה וכן מצאתי בשם בעל הלכות ובשם הרי"ץ גיאת ז"ל דבשאר קרובים מכניסין את המת לחדר ואת החתן ואת הכלה לחופה ובועל בעילת מצוה ופורש ונוהג שבעת ימי אבילות ואח"כ שבעת ימי המשתה ולא מסתבר כלל דמה תועלת יש במהירות החופה ויבזו המת ויפסיקו באבילות בין חופה ובין שבעת ימי המשתה ולא התירו חופה וביאה לאונן אלא באביו של חתן ואמה של כלה וגם איכא פסידא אז התירו חופה וביאה לאונן ולהקדים ימי המשתה לאבלות אבל כשמקדים האבילות למשתה גם יאחר החופה עד שיכלו כל שלשים יום</w:t>
      </w:r>
      <w:r w:rsidR="00F60E0A">
        <w:rPr>
          <w:rStyle w:val="Style1Char"/>
          <w:rFonts w:hint="cs"/>
          <w:color w:val="4472C4" w:themeColor="accent1"/>
          <w:rtl/>
        </w:rPr>
        <w:t xml:space="preserve"> </w:t>
      </w:r>
      <w:r w:rsidR="00DA3D61" w:rsidRPr="00A755B9">
        <w:rPr>
          <w:rStyle w:val="Style1Char"/>
          <w:color w:val="4472C4" w:themeColor="accent1"/>
          <w:rtl/>
        </w:rPr>
        <w:t>ותו לא מידי</w:t>
      </w:r>
      <w:r w:rsidR="00DA3D61" w:rsidRPr="00A755B9">
        <w:rPr>
          <w:rStyle w:val="Style1Char"/>
          <w:color w:val="4472C4" w:themeColor="accent1"/>
        </w:rPr>
        <w:t xml:space="preserve">: </w:t>
      </w:r>
    </w:p>
    <w:p w14:paraId="58C0C70F" w14:textId="053DCBB7" w:rsidR="00A15CE6" w:rsidRDefault="00F450C8" w:rsidP="00A15CE6">
      <w:pPr>
        <w:bidi/>
        <w:rPr>
          <w:rStyle w:val="Style1Char"/>
          <w:color w:val="4472C4" w:themeColor="accent1"/>
          <w:rtl/>
        </w:rPr>
      </w:pPr>
      <w:r w:rsidRPr="00F450C8">
        <w:rPr>
          <w:rStyle w:val="Style1Char"/>
          <w:color w:val="00B050"/>
          <w:rtl/>
        </w:rPr>
        <w:t xml:space="preserve">תניא כוותיה דרב חסדא: </w:t>
      </w:r>
      <w:r w:rsidR="00155C57">
        <w:rPr>
          <w:rStyle w:val="Style1Char"/>
          <w:rFonts w:hint="cs"/>
          <w:rtl/>
        </w:rPr>
        <w:t>(1)</w:t>
      </w:r>
      <w:r w:rsidRPr="00F450C8">
        <w:rPr>
          <w:rStyle w:val="Style1Char"/>
          <w:color w:val="00B050"/>
          <w:rtl/>
        </w:rPr>
        <w:t xml:space="preserve">הרי שהיה פתו אפויה וטבחו טבוח ויינו מזוג, ונתן מים על גבי בשר, ומת אביו של חתן או אמה של כלה, מכניסין את המת לחדר ואת החתן ואת הכלה לחופה, ובועל בעילת מצוה ופורש, ונוהג שבעת ימי המשתה ואח"כ נוהג שבעת ימי אבילות, וכל אותן הימים הוא ישן בין האנשים ואשתו ישנה בין הנשים; </w:t>
      </w:r>
      <w:r w:rsidRPr="00E65C4B">
        <w:rPr>
          <w:rStyle w:val="Style1Char"/>
          <w:sz w:val="22"/>
          <w:szCs w:val="22"/>
          <w:rtl/>
        </w:rPr>
        <w:t>וכן מי שפירסה אשתו נדה, הוא ישן בין האנשים והיא ישנה בין הנשים</w:t>
      </w:r>
      <w:r w:rsidRPr="00E65C4B">
        <w:rPr>
          <w:rStyle w:val="Style1Char"/>
          <w:sz w:val="32"/>
          <w:szCs w:val="32"/>
          <w:rtl/>
        </w:rPr>
        <w:t xml:space="preserve">; </w:t>
      </w:r>
      <w:r w:rsidR="00E8565C">
        <w:rPr>
          <w:rStyle w:val="Style1Char"/>
          <w:rFonts w:hint="cs"/>
          <w:rtl/>
        </w:rPr>
        <w:t>(1.1, 2)</w:t>
      </w:r>
      <w:r w:rsidRPr="00E65C4B">
        <w:rPr>
          <w:rStyle w:val="Style1Char"/>
          <w:sz w:val="22"/>
          <w:szCs w:val="22"/>
          <w:rtl/>
        </w:rPr>
        <w:t>ואין מונעין תכשיטין מן הכלה כל ל' יום</w:t>
      </w:r>
      <w:r w:rsidR="00330E5C" w:rsidRPr="00330E5C">
        <w:rPr>
          <w:rStyle w:val="Style1Char"/>
          <w:color w:val="C00000"/>
          <w:rtl/>
        </w:rPr>
        <w:t xml:space="preserve"> </w:t>
      </w:r>
      <w:r w:rsidR="00330E5C" w:rsidRPr="006633D9">
        <w:rPr>
          <w:rStyle w:val="Style1Char"/>
          <w:color w:val="C00000"/>
          <w:rtl/>
        </w:rPr>
        <w:t>ושמעינן מהא דהיכא דאפשר לזבוני וליכא פסידא דאינו נוהג ימי המשתה ברישא</w:t>
      </w:r>
      <w:r w:rsidRPr="00E65C4B">
        <w:rPr>
          <w:rStyle w:val="Style1Char"/>
          <w:sz w:val="22"/>
          <w:szCs w:val="22"/>
          <w:rtl/>
        </w:rPr>
        <w:t xml:space="preserve">; </w:t>
      </w:r>
      <w:r w:rsidRPr="00F450C8">
        <w:rPr>
          <w:rStyle w:val="Style1Char"/>
          <w:color w:val="00B050"/>
          <w:rtl/>
        </w:rPr>
        <w:t xml:space="preserve">בין כך ובין כך, לא יבעול לא בערב שבת ולא במוצ"ש. </w:t>
      </w:r>
      <w:r w:rsidRPr="00C60A5B">
        <w:rPr>
          <w:rStyle w:val="Style1Char"/>
          <w:color w:val="auto"/>
          <w:sz w:val="22"/>
          <w:szCs w:val="22"/>
          <w:rtl/>
        </w:rPr>
        <w:t xml:space="preserve">אמר מר: הוא ישן בין האנשים והיא ישנה בין הנשים. מסייע ליה לרבי יוחנן, דאמר רבי יוחנן: </w:t>
      </w:r>
      <w:r w:rsidR="00E53E37">
        <w:rPr>
          <w:rStyle w:val="Style1Char"/>
          <w:rFonts w:hint="cs"/>
          <w:rtl/>
        </w:rPr>
        <w:t>(3)</w:t>
      </w:r>
      <w:r w:rsidRPr="00C60A5B">
        <w:rPr>
          <w:rStyle w:val="Style1Char"/>
          <w:color w:val="auto"/>
          <w:sz w:val="22"/>
          <w:szCs w:val="22"/>
          <w:rtl/>
        </w:rPr>
        <w:t>אף על פי שאמרו אין אבילות במועד, אבל דברים של צינעא נוהג</w:t>
      </w:r>
      <w:r w:rsidR="00A15CE6" w:rsidRPr="00A15CE6">
        <w:rPr>
          <w:rStyle w:val="Style1Char"/>
          <w:color w:val="4472C4" w:themeColor="accent1"/>
          <w:rtl/>
        </w:rPr>
        <w:t xml:space="preserve"> </w:t>
      </w:r>
      <w:r w:rsidR="00A15CE6" w:rsidRPr="00A755B9">
        <w:rPr>
          <w:rStyle w:val="Style1Char"/>
          <w:color w:val="4472C4" w:themeColor="accent1"/>
          <w:rtl/>
        </w:rPr>
        <w:t>ומועד חשוב כחתן כדתניא במועד קטן (דף ז ב) מכאן אמרו חתן שנולד לו נגע נותנין לו שבעת ימי המשתה לו ולכסותו ולביתו וכן ברגל נותנין לו כל ימי הרגל</w:t>
      </w:r>
      <w:r w:rsidR="00A15CE6" w:rsidRPr="00A755B9">
        <w:rPr>
          <w:rStyle w:val="Style1Char"/>
          <w:color w:val="4472C4" w:themeColor="accent1"/>
        </w:rPr>
        <w:t>:</w:t>
      </w:r>
      <w:r w:rsidR="00A15CE6" w:rsidRPr="00A15CE6">
        <w:rPr>
          <w:rStyle w:val="Style1Char"/>
          <w:color w:val="4472C4" w:themeColor="accent1"/>
          <w:rtl/>
        </w:rPr>
        <w:t xml:space="preserve"> </w:t>
      </w:r>
    </w:p>
    <w:p w14:paraId="6E876B43" w14:textId="0169F3F6" w:rsidR="00A15CE6" w:rsidRPr="00A755B9" w:rsidRDefault="00A15CE6" w:rsidP="00A15CE6">
      <w:pPr>
        <w:bidi/>
        <w:rPr>
          <w:rStyle w:val="Style1Char"/>
          <w:color w:val="4472C4" w:themeColor="accent1"/>
        </w:rPr>
      </w:pPr>
      <w:r w:rsidRPr="00A755B9">
        <w:rPr>
          <w:rStyle w:val="Style1Char"/>
          <w:color w:val="4472C4" w:themeColor="accent1"/>
          <w:rtl/>
        </w:rPr>
        <w:t>וכיון שדברים שבצינעא נוהג חובה הוא ואסור בהם מדמייתי סייעתא לרבי יוחנן מברייתא וכן משמע במועד קטן (דף כד א) דרב ושמואל פליגי עליה דרבי יוחנן לענין שבת ואמרי תשמיש בשבת רשות ובעל הלכות פסק כרבי יוחנן דדברים שבצנעא נוהג ואף על פי דקי"ל הלכה כדברי המיקל באבל הנ"מ בפלוגתא דתנאי אבל דאמוראי לא ומכאן ראיה לדבריהם דברייתא מסייע ליה לר' יוחנן</w:t>
      </w:r>
      <w:r w:rsidRPr="00A755B9">
        <w:rPr>
          <w:rStyle w:val="Style1Char"/>
          <w:color w:val="4472C4" w:themeColor="accent1"/>
        </w:rPr>
        <w:t xml:space="preserve">: </w:t>
      </w:r>
    </w:p>
    <w:p w14:paraId="42113CAA" w14:textId="73BE5E65" w:rsidR="00FE7456" w:rsidRDefault="00F450C8" w:rsidP="00FE7456">
      <w:pPr>
        <w:bidi/>
        <w:rPr>
          <w:rStyle w:val="Style1Char"/>
          <w:color w:val="4472C4" w:themeColor="accent1"/>
          <w:rtl/>
        </w:rPr>
      </w:pPr>
      <w:r w:rsidRPr="003B1C32">
        <w:rPr>
          <w:rStyle w:val="Style1Char"/>
          <w:color w:val="auto"/>
          <w:sz w:val="22"/>
          <w:szCs w:val="22"/>
          <w:rtl/>
        </w:rPr>
        <w:t xml:space="preserve">דרש רב יוסף בריה דרבא משמיה דרבא: </w:t>
      </w:r>
      <w:r w:rsidR="0063192B">
        <w:rPr>
          <w:rStyle w:val="Style1Char"/>
          <w:rFonts w:hint="cs"/>
          <w:rtl/>
        </w:rPr>
        <w:t>(4)</w:t>
      </w:r>
      <w:r w:rsidRPr="003B1C32">
        <w:rPr>
          <w:rStyle w:val="Style1Char"/>
          <w:color w:val="auto"/>
          <w:sz w:val="22"/>
          <w:szCs w:val="22"/>
          <w:rtl/>
        </w:rPr>
        <w:t xml:space="preserve">ל"ש </w:t>
      </w:r>
      <w:r w:rsidR="00330E5C" w:rsidRPr="00330E5C">
        <w:rPr>
          <w:rStyle w:val="Style1Char"/>
          <w:color w:val="C00000"/>
          <w:sz w:val="22"/>
          <w:szCs w:val="22"/>
          <w:rtl/>
        </w:rPr>
        <w:t xml:space="preserve">שאשתו ישנה בין הנשים והוא בין האנשים </w:t>
      </w:r>
      <w:r w:rsidRPr="003B1C32">
        <w:rPr>
          <w:rStyle w:val="Style1Char"/>
          <w:color w:val="auto"/>
          <w:sz w:val="22"/>
          <w:szCs w:val="22"/>
          <w:rtl/>
        </w:rPr>
        <w:t>אלא שלא בעל, אבל בעל - אשתו ישנה עמו</w:t>
      </w:r>
      <w:r w:rsidR="00566F57" w:rsidRPr="003B1C32">
        <w:rPr>
          <w:rStyle w:val="Style1Char"/>
          <w:color w:val="auto"/>
          <w:rtl/>
        </w:rPr>
        <w:t xml:space="preserve"> </w:t>
      </w:r>
      <w:r w:rsidR="00566F57" w:rsidRPr="00A749C3">
        <w:rPr>
          <w:rStyle w:val="Style1Char"/>
          <w:color w:val="806000" w:themeColor="accent4" w:themeShade="80"/>
          <w:sz w:val="22"/>
          <w:szCs w:val="22"/>
          <w:rtl/>
        </w:rPr>
        <w:t xml:space="preserve">בבית </w:t>
      </w:r>
      <w:r w:rsidR="00566F57" w:rsidRPr="00566F57">
        <w:rPr>
          <w:rStyle w:val="Style1Char"/>
          <w:color w:val="C00000"/>
          <w:sz w:val="22"/>
          <w:szCs w:val="22"/>
          <w:rtl/>
        </w:rPr>
        <w:t xml:space="preserve">אחד </w:t>
      </w:r>
      <w:r w:rsidR="00566F57" w:rsidRPr="006633D9">
        <w:rPr>
          <w:rStyle w:val="Style1Char"/>
          <w:color w:val="C00000"/>
          <w:rtl/>
        </w:rPr>
        <w:t>ודוקא חתן שפירסה אשתו נדה אבל חתן שמת חמיו או חמותו בין בעל בין לא בעל הוא ישן בין האנשים ואשתו ישנה בין הנשים כדתנא בברייתא:</w:t>
      </w:r>
      <w:r w:rsidR="00FE7456" w:rsidRPr="00FE7456">
        <w:rPr>
          <w:rStyle w:val="Style1Char"/>
          <w:color w:val="4472C4" w:themeColor="accent1"/>
          <w:rtl/>
        </w:rPr>
        <w:t xml:space="preserve"> </w:t>
      </w:r>
      <w:r w:rsidR="007A5A4A" w:rsidRPr="00A755B9">
        <w:rPr>
          <w:rStyle w:val="Style1Char"/>
          <w:color w:val="4472C4" w:themeColor="accent1"/>
          <w:rtl/>
        </w:rPr>
        <w:t>ובחתן שפרסה אשתו נדה מיירי ואף על גב דבאבילות ישנה בין הנשים אף על גב דבעל</w:t>
      </w:r>
    </w:p>
    <w:p w14:paraId="29EC6C4E" w14:textId="1039A8B2" w:rsidR="00F450C8" w:rsidRDefault="00F450C8" w:rsidP="00F450C8">
      <w:pPr>
        <w:bidi/>
        <w:rPr>
          <w:rStyle w:val="Style1Char"/>
          <w:color w:val="00B050"/>
          <w:rtl/>
        </w:rPr>
      </w:pPr>
      <w:r w:rsidRPr="00F450C8">
        <w:rPr>
          <w:rStyle w:val="Style1Char"/>
          <w:color w:val="00B050"/>
          <w:rtl/>
        </w:rPr>
        <w:t xml:space="preserve">והא הכא דבבעל עסקינן, וקתני: הוא ישן בין האנשים והיא ישנה בין הנשים! כי קאמר - </w:t>
      </w:r>
      <w:r w:rsidR="00E20BED">
        <w:rPr>
          <w:rStyle w:val="Style1Char"/>
          <w:rFonts w:hint="cs"/>
          <w:rtl/>
        </w:rPr>
        <w:t>(4)</w:t>
      </w:r>
      <w:r w:rsidRPr="00F450C8">
        <w:rPr>
          <w:rStyle w:val="Style1Char"/>
          <w:color w:val="00B050"/>
          <w:rtl/>
        </w:rPr>
        <w:t xml:space="preserve">אפירסה אשתו נדה. הא וכן קתני! </w:t>
      </w:r>
    </w:p>
    <w:p w14:paraId="3C8A10AC" w14:textId="714B4EE2" w:rsidR="00D81BF4" w:rsidRDefault="00D81BF4" w:rsidP="00D81BF4">
      <w:pPr>
        <w:pStyle w:val="Style1"/>
        <w:rPr>
          <w:rStyle w:val="Style1Char"/>
          <w:rtl/>
        </w:rPr>
      </w:pPr>
      <w:r>
        <w:rPr>
          <w:rStyle w:val="Style1Char"/>
          <w:rFonts w:hint="cs"/>
          <w:rtl/>
        </w:rPr>
        <w:t>1)[</w:t>
      </w:r>
      <w:r w:rsidRPr="00D81BF4">
        <w:rPr>
          <w:rStyle w:val="Style1Char"/>
          <w:rtl/>
        </w:rPr>
        <w:t>רמב</w:t>
      </w:r>
      <w:r w:rsidR="00213DA1">
        <w:rPr>
          <w:rStyle w:val="Style1Char"/>
          <w:rtl/>
        </w:rPr>
        <w:t>”ם \שופטים\</w:t>
      </w:r>
      <w:r w:rsidRPr="00D81BF4">
        <w:rPr>
          <w:rStyle w:val="Style1Char"/>
          <w:rtl/>
        </w:rPr>
        <w:t xml:space="preserve"> הלכות אבל פרק יא הלכה ח</w:t>
      </w:r>
      <w:r>
        <w:rPr>
          <w:rStyle w:val="Style1Char"/>
          <w:rFonts w:hint="cs"/>
          <w:rtl/>
        </w:rPr>
        <w:t xml:space="preserve">] </w:t>
      </w:r>
      <w:r w:rsidRPr="00D81BF4">
        <w:rPr>
          <w:rStyle w:val="Style1Char"/>
          <w:rtl/>
        </w:rPr>
        <w:t>הכין כל צרכי הסעודה ואפה פתו וטבח טבחו כדי שיכנסו לשמחה ומת לו מת קודם שיכנסו לשמחה, אם לא נתן מים על גבי בשר מוכר הבשר והפת ונוהג שבעת ימי אבלות ואחר כך נוהג שבעת ימי המשתה, ואם נתן מים על גבי בשר שהרי אי אפשר למוכרו, מכניסין את המת לחדר ואת החתן ואת הכלה לחופה, ובועל בעילת מצוה ופורש ונוהג שבעת ימי המשתה ואחר כך נוהג שבעת ימי אבלות, וכל אותן הימים נוהג בדברים שבצנעה כשבת, לפיכך הוא ישן בין האנשים ואשתו ישנה בין הנשים כדי שלא ישמש מטתו, ואין מונעין תכשיטין מן הכלה כל שלשים יום, היו במקום שאפשר למכור הבשר אף על פי שנתן עליו מים מוכר ונוהג אבילות תחלה, היו במקום שאי אפשר למכור הבשר אף על פי שלא נתן עליו מים נוהג שבעת ימי המשתה תחלה, במה דברים אמורים כשמת אביו של חתן או אמה של כלה, שאם יפסידו סעודה זו אין להם מי שיטרח להם, אבל אם מת אביה של כלה או אמו של חתן או שאר קרוביהם נוהגין שבעת ימי האבל תחילה ואחר כך תכנס לחופה וינהגו שבעת ימי המשתה. /השגת הראב"ד/ הכין כל צרכי וכו'. א"א זה אינו מחוור אלא לאחר שלשים.</w:t>
      </w:r>
    </w:p>
    <w:p w14:paraId="136F0205" w14:textId="532CBBEB" w:rsidR="00074013" w:rsidRPr="00074013" w:rsidRDefault="00E07063" w:rsidP="00074013">
      <w:pPr>
        <w:pStyle w:val="Style1"/>
      </w:pPr>
      <w:r>
        <w:rPr>
          <w:rStyle w:val="Style1Char"/>
          <w:rFonts w:hint="cs"/>
          <w:rtl/>
        </w:rPr>
        <w:t>1)[</w:t>
      </w:r>
      <w:r w:rsidRPr="00E07063">
        <w:rPr>
          <w:rStyle w:val="Style1Char"/>
          <w:rtl/>
        </w:rPr>
        <w:t>שולחן ערוך יורה דעה הלכות אבילות סימן שמב</w:t>
      </w:r>
      <w:r>
        <w:rPr>
          <w:rStyle w:val="Style1Char"/>
          <w:rFonts w:hint="cs"/>
          <w:rtl/>
        </w:rPr>
        <w:t>]</w:t>
      </w:r>
      <w:r w:rsidR="00074013">
        <w:rPr>
          <w:rStyle w:val="Style1Char"/>
          <w:rFonts w:hint="cs"/>
          <w:rtl/>
        </w:rPr>
        <w:t xml:space="preserve"> </w:t>
      </w:r>
      <w:r w:rsidR="00074013" w:rsidRPr="00074013">
        <w:rPr>
          <w:rtl/>
        </w:rPr>
        <w:t>מי שהכין כל צרכי חופתו שאפה פתו וטבח טבחו ומזג יינו ומת אביו של חתן והוא במקום שאינו מצוי למכור ואם תדחה החופה יפסיד מה שהכין או שמתה אמה של כלה ואיכא תמרוקי נשים וקישוטין שאינם מתקיימים </w:t>
      </w:r>
      <w:r w:rsidR="00074013" w:rsidRPr="00074013">
        <w:rPr>
          <w:rFonts w:hint="cs"/>
          <w:rtl/>
        </w:rPr>
        <w:t xml:space="preserve">(מאחר שאין להם מי שיטרח </w:t>
      </w:r>
      <w:r w:rsidR="00074013" w:rsidRPr="00074013">
        <w:rPr>
          <w:rFonts w:hint="cs"/>
          <w:rtl/>
        </w:rPr>
        <w:lastRenderedPageBreak/>
        <w:t>בעבורם בפעם אחרת) (כך משמע בגמרא)</w:t>
      </w:r>
      <w:r w:rsidR="00074013" w:rsidRPr="00074013">
        <w:rPr>
          <w:rtl/>
        </w:rPr>
        <w:t> מכניסין את המת לחדר ואת החתן ואת הכלה לחופה ובועל בעילת מצוה ופורש וכיון שחלה עליו החופה הויא לדידיה כרגל ונוהג שבעת ימי המשתה ואח"כ נוהג שבעת ימי אבילות וכל שבעת ימי המשתה נוהג בהם דברים שבצינעא ואסור בתשמיש המטה הלכך כל ז' ימי המשתה וז' ימי האבל הוא ישן בין האנשים והיא ישנה בין הנשים</w:t>
      </w:r>
      <w:r w:rsidR="00074013" w:rsidRPr="00074013">
        <w:t>:</w:t>
      </w:r>
    </w:p>
    <w:p w14:paraId="24AD334A" w14:textId="77777777" w:rsidR="00074013" w:rsidRPr="00074013" w:rsidRDefault="00074013" w:rsidP="00074013">
      <w:pPr>
        <w:pStyle w:val="Style1"/>
      </w:pPr>
      <w:r w:rsidRPr="00074013">
        <w:rPr>
          <w:rFonts w:hint="cs"/>
          <w:rtl/>
        </w:rPr>
        <w:t>הגה: יש אומרים שאסורה ליחד עמו ביום כמו בלילה ואין צריך להיות להם שתי שמירות רק הוא בין האנשים או היא בין הנשים (טור בשם הרא"ש) ואם אינם ישנים בחדר אחד אין צריכין שימור כלל (כ"כ הרשב"א בכלה שפירסה וכו') וי"א דבלילה צריך שתי שמירות וביום מותר להתייחד עמה (טור בשם הראב"ד) והמנהג ליקח קטן אצל החתן וקטנה אצל הכלה ואין מתייחדין ביום בלא קטן או קטנה</w:t>
      </w:r>
    </w:p>
    <w:p w14:paraId="23955D93" w14:textId="285CD55A" w:rsidR="00074013" w:rsidRDefault="00074013" w:rsidP="00074013">
      <w:pPr>
        <w:pStyle w:val="Style1"/>
        <w:rPr>
          <w:rtl/>
        </w:rPr>
      </w:pPr>
      <w:r w:rsidRPr="00074013">
        <w:rPr>
          <w:rtl/>
        </w:rPr>
        <w:t>ולענין שלשים אינו מונה אלא מז' ימי אבילות ואילך וכל ז' ימי החופה מותר בגיהוץ ותספורת ואם אין לו פסידא כגון במקום שמצוי למכור מה שהכין או אפילו אית ליה פסידא ומתה אמו של חתן או אביה של כלה או אחד משאר קרוביהם שנשאר מי שיכין להם לפעם אחרת לא התירו לדחות האבלות אלא קובר אותו מיד ונוהג שבעת ימי אבילות ואחר כך מכניסין את החתן ואת הכלה לחופה מיד ונוהג שבעת ימי המשתה</w:t>
      </w:r>
      <w:r w:rsidRPr="00074013">
        <w:t>:</w:t>
      </w:r>
    </w:p>
    <w:p w14:paraId="0C71B537" w14:textId="78AABAE1" w:rsidR="00D60796" w:rsidRDefault="00D60796" w:rsidP="00D60796">
      <w:pPr>
        <w:pStyle w:val="Style1"/>
        <w:rPr>
          <w:rtl/>
        </w:rPr>
      </w:pPr>
      <w:r>
        <w:rPr>
          <w:rFonts w:hint="cs"/>
          <w:rtl/>
        </w:rPr>
        <w:t>1)[</w:t>
      </w:r>
      <w:r>
        <w:rPr>
          <w:rtl/>
        </w:rPr>
        <w:t>שולחן ערוך יורה דעה הלכות אבילות סימן שפג סעיף ב</w:t>
      </w:r>
      <w:r>
        <w:rPr>
          <w:rFonts w:hint="cs"/>
          <w:rtl/>
        </w:rPr>
        <w:t xml:space="preserve">] </w:t>
      </w:r>
      <w:r>
        <w:rPr>
          <w:rtl/>
        </w:rPr>
        <w:t>במה דברים אמורים, בשאר אבלות; אבל אם מת אביו של חתן או אמה של כלה, שמכניסין את המת לחדר ואת החתן ואת הכלה לחופה ובועל בעילת מצוה ופורש ונוהגים ז' ימי המשתה ואח"כ שבעת ימי אבלות, אסור להתייחד עמה כל י"ד יום, אלא הוא ישן בין האנשים והיא ישנה בין הנשים, כדאיתא בסימן שמ"ב. אבל אם כנס לחופה והתחילו ימי המשתה שלו, ואח"כ מת לו מת, מותר להתייחד עמה כמו בשאר אבלות, והוא שבעל; אבל אם לא בעל, אסור להתייחד עמה כל ימי האבל, בין בחול בין בשבת.</w:t>
      </w:r>
    </w:p>
    <w:p w14:paraId="48D053C2" w14:textId="15E498E9" w:rsidR="0010365B" w:rsidRDefault="0010365B" w:rsidP="0010365B">
      <w:pPr>
        <w:pStyle w:val="Style1"/>
        <w:rPr>
          <w:rtl/>
        </w:rPr>
      </w:pPr>
      <w:r>
        <w:rPr>
          <w:rFonts w:hint="cs"/>
          <w:rtl/>
        </w:rPr>
        <w:t>2)[</w:t>
      </w:r>
      <w:r>
        <w:rPr>
          <w:rtl/>
        </w:rPr>
        <w:t>שולחן ערוך יורה דעה הלכות אבילות סימן שפא סעיף ו</w:t>
      </w:r>
      <w:r>
        <w:rPr>
          <w:rFonts w:hint="cs"/>
          <w:rtl/>
        </w:rPr>
        <w:t xml:space="preserve">] </w:t>
      </w:r>
      <w:r>
        <w:rPr>
          <w:rtl/>
        </w:rPr>
        <w:t>אשה לא תכחול ולא תפרקס בימי אבלה, שכל אלו אסורים כרחיצה. ואשת איש אינה אסורה אלא תוך שבעה, אבל אחר ז' מותרת בכל, כדי שלא תתגנה על בעלה. כלה שאירעה אבל תוך שלשים יום לחופתה, מותרת להתקשט אפילו תוך ז'. בוגרת שאירעה אבל, כיון שעומדת לינשא, מותרת בכיחול ופירקוס אבל אסורה ברחיצת חמין כל גופה; נערה אבלה, אסורה אפילו בכיחול ופירקוס.</w:t>
      </w:r>
    </w:p>
    <w:p w14:paraId="7DCAF0F1" w14:textId="2C59A239" w:rsidR="00FA66DE" w:rsidRPr="002A2C9B" w:rsidRDefault="00FA66DE" w:rsidP="002A2C9B">
      <w:pPr>
        <w:pStyle w:val="Style1"/>
        <w:rPr>
          <w:rtl/>
        </w:rPr>
      </w:pPr>
      <w:r>
        <w:rPr>
          <w:rFonts w:hint="cs"/>
          <w:rtl/>
        </w:rPr>
        <w:t>3)[</w:t>
      </w:r>
      <w:r>
        <w:rPr>
          <w:rtl/>
        </w:rPr>
        <w:t>רמב</w:t>
      </w:r>
      <w:r w:rsidR="00213DA1">
        <w:rPr>
          <w:rtl/>
        </w:rPr>
        <w:t>”ם \שופטים\</w:t>
      </w:r>
      <w:r>
        <w:rPr>
          <w:rtl/>
        </w:rPr>
        <w:t xml:space="preserve"> הלכות אבל פרק י הלכה ג</w:t>
      </w:r>
      <w:r>
        <w:rPr>
          <w:rFonts w:hint="cs"/>
          <w:rtl/>
        </w:rPr>
        <w:t xml:space="preserve">] </w:t>
      </w:r>
      <w:r>
        <w:rPr>
          <w:rtl/>
        </w:rPr>
        <w:t>הרגלים וכן ראש השנה ויום הכפורים אין דבר מדברי אבלות נוהג בהן, וכל הקובר את מתו אפילו שעה אחת קודם הרגל או קודם ראש השנה ויום הכפורים בטלה ממנו גזירת שבעה, נמצא מונה לאחר ראש השנה ויום הכפורים שלשה ועשרים יום ולאחר הפסח ששה עשר יום, שהרי בטלה גזירת שבעה ושבעת ימי החג הרי ארבעה עשר, וכן אם קבר קודם עצרת מונה אחריה ששה עשר יום אף על פי שהוא יום אחד הרי היא רגל ועולה לשבעה ימים. /השגת הראב"ד/ נמצא מונה לאחר ראש השנה ויום הכפורים שלשה ועשרים. א"א יש כאן שבוש שהרי יום אחד לפני ראש השנה הרי הוא שבעה וראש השנה שבעה.</w:t>
      </w:r>
    </w:p>
    <w:p w14:paraId="64678C30" w14:textId="64D00230" w:rsidR="002A2C9B" w:rsidRPr="002A2C9B" w:rsidRDefault="00737D95" w:rsidP="002A2C9B">
      <w:pPr>
        <w:pStyle w:val="Style1"/>
      </w:pPr>
      <w:r w:rsidRPr="002A2C9B">
        <w:rPr>
          <w:rFonts w:hint="cs"/>
          <w:rtl/>
        </w:rPr>
        <w:t>3)[</w:t>
      </w:r>
      <w:r w:rsidRPr="002A2C9B">
        <w:rPr>
          <w:rtl/>
        </w:rPr>
        <w:t>שולחן ערוך יורה דעה הלכות אבילות סימן שצט סעיף ב</w:t>
      </w:r>
      <w:r w:rsidRPr="002A2C9B">
        <w:rPr>
          <w:rFonts w:hint="cs"/>
          <w:rtl/>
        </w:rPr>
        <w:t>]</w:t>
      </w:r>
      <w:r w:rsidR="002A2C9B">
        <w:rPr>
          <w:rFonts w:hint="cs"/>
          <w:rtl/>
        </w:rPr>
        <w:t xml:space="preserve"> </w:t>
      </w:r>
      <w:r w:rsidR="002A2C9B" w:rsidRPr="002A2C9B">
        <w:rPr>
          <w:rtl/>
        </w:rPr>
        <w:t>הקובר מתו ברגל בחול המועד -- נוהג דין אנינות כל זמן שלא נקבר ולאחר שנקבר נוהג דברים שבצינעא </w:t>
      </w:r>
      <w:r w:rsidR="002A2C9B" w:rsidRPr="002A2C9B">
        <w:rPr>
          <w:rFonts w:hint="cs"/>
        </w:rPr>
        <w:t>(</w:t>
      </w:r>
      <w:r w:rsidR="002A2C9B" w:rsidRPr="002A2C9B">
        <w:rPr>
          <w:rFonts w:hint="cs"/>
          <w:rtl/>
        </w:rPr>
        <w:t>ומ"מ מותר לייחד עם אשתו (ב"י בשם הראב"ד והרא"ש) ועיין לעיל </w:t>
      </w:r>
      <w:hyperlink r:id="rId10" w:tooltip="שולחן ערוך יורה דעה שפג" w:history="1">
        <w:r w:rsidR="002A2C9B" w:rsidRPr="002A2C9B">
          <w:rPr>
            <w:rStyle w:val="Hyperlink"/>
            <w:rFonts w:hint="cs"/>
            <w:color w:val="7030A0"/>
            <w:u w:val="none"/>
            <w:rtl/>
          </w:rPr>
          <w:t>סימן שפ"ג</w:t>
        </w:r>
      </w:hyperlink>
      <w:r w:rsidR="002A2C9B" w:rsidRPr="002A2C9B">
        <w:rPr>
          <w:rFonts w:hint="cs"/>
        </w:rPr>
        <w:t> </w:t>
      </w:r>
      <w:r w:rsidR="002A2C9B" w:rsidRPr="002A2C9B">
        <w:rPr>
          <w:rFonts w:hint="cs"/>
          <w:rtl/>
        </w:rPr>
        <w:t>ובא"ח </w:t>
      </w:r>
      <w:hyperlink r:id="rId11" w:tooltip="שולחן ערוך אורח חיים תקמח" w:history="1">
        <w:r w:rsidR="002A2C9B" w:rsidRPr="002A2C9B">
          <w:rPr>
            <w:rStyle w:val="Hyperlink"/>
            <w:rFonts w:hint="cs"/>
            <w:color w:val="7030A0"/>
            <w:u w:val="none"/>
            <w:rtl/>
          </w:rPr>
          <w:t>סימן תקמ"ח</w:t>
        </w:r>
      </w:hyperlink>
      <w:r w:rsidR="002A2C9B" w:rsidRPr="002A2C9B">
        <w:rPr>
          <w:rFonts w:hint="cs"/>
        </w:rPr>
        <w:t>)</w:t>
      </w:r>
      <w:r w:rsidR="002A2C9B" w:rsidRPr="002A2C9B">
        <w:t xml:space="preserve">, </w:t>
      </w:r>
      <w:r w:rsidR="002A2C9B" w:rsidRPr="002A2C9B">
        <w:rPr>
          <w:rtl/>
        </w:rPr>
        <w:t>והרגל עולה למנין שלשים שמשלים עליו שלשים אפילו קברו בחג הסכות לא אמרינן דשמיני עצרת מבטל ומתעסקים ברגל לנחמו</w:t>
      </w:r>
      <w:r w:rsidR="002A2C9B" w:rsidRPr="002A2C9B">
        <w:t>:</w:t>
      </w:r>
    </w:p>
    <w:p w14:paraId="737A0CD0" w14:textId="77777777" w:rsidR="002A2C9B" w:rsidRPr="002A2C9B" w:rsidRDefault="002A2C9B" w:rsidP="002A2C9B">
      <w:pPr>
        <w:pStyle w:val="Style1"/>
      </w:pPr>
      <w:r w:rsidRPr="002A2C9B">
        <w:rPr>
          <w:rFonts w:hint="cs"/>
          <w:rtl/>
        </w:rPr>
        <w:t>הגה: וכל מלאכה המותרת לעשות לו במועד בדבר האבד מותר לעשות בעצמו ואם אין דבר האבד נעשית ע"י אחרים בבתיהם ועבדיו ושפחותיו עושין בצינעא תוך ביתו (ב"י בשם רבינו ירוחם)</w:t>
      </w:r>
      <w:r w:rsidRPr="002A2C9B">
        <w:t>:</w:t>
      </w:r>
    </w:p>
    <w:p w14:paraId="2C4A7FAD" w14:textId="0EF110E8" w:rsidR="002A2C9B" w:rsidRDefault="002A2C9B" w:rsidP="002A2C9B">
      <w:pPr>
        <w:pStyle w:val="Style1"/>
        <w:rPr>
          <w:rtl/>
        </w:rPr>
      </w:pPr>
      <w:r w:rsidRPr="002A2C9B">
        <w:rPr>
          <w:rtl/>
        </w:rPr>
        <w:t>ולאחר הרגל מתחיל למנות שבעה ולכשיכלו שבעה למיתת המת אע"פ שעדיין לא כלו שבעת ימי האבלות מלאכתו נעשית על ידי אחרים בבתיהם ועבדיו עושין לו בצינעא בתוך ביתו ואין רבים מתעסקים בו לנחמו אחר הרגל מנין הימים שניחמוהו ברגל אבל מראים לו פנים כגון אם קברו בשלשה ימים האחרונים של רגל מלאכתו נעשית ע"י אחרים בשלשה ימים אחרונים של אבל ובמקומות שעושים שני ימים מונה השבעה מיום טוב שני האחרון הואיל ומדבריהם הוא עולה מהמנין ומונה מאחריו ששה ימים בלבד</w:t>
      </w:r>
      <w:r w:rsidRPr="002A2C9B">
        <w:t>:</w:t>
      </w:r>
    </w:p>
    <w:p w14:paraId="51224223" w14:textId="09FF38B0" w:rsidR="00022D93" w:rsidRDefault="00022D93" w:rsidP="00022D93">
      <w:pPr>
        <w:pStyle w:val="Style1"/>
        <w:rPr>
          <w:rtl/>
        </w:rPr>
      </w:pPr>
      <w:r>
        <w:rPr>
          <w:rFonts w:hint="cs"/>
          <w:rtl/>
        </w:rPr>
        <w:t>4)[</w:t>
      </w:r>
      <w:r>
        <w:rPr>
          <w:rtl/>
        </w:rPr>
        <w:t>רמב</w:t>
      </w:r>
      <w:r w:rsidR="00213DA1">
        <w:rPr>
          <w:rtl/>
        </w:rPr>
        <w:t>”ם \קדושה\</w:t>
      </w:r>
      <w:r>
        <w:rPr>
          <w:rtl/>
        </w:rPr>
        <w:t xml:space="preserve"> הלכות איסורי ביאה פרק כב הלכה א</w:t>
      </w:r>
      <w:r>
        <w:rPr>
          <w:rFonts w:hint="cs"/>
          <w:rtl/>
        </w:rPr>
        <w:t xml:space="preserve">] </w:t>
      </w:r>
      <w:r>
        <w:rPr>
          <w:rtl/>
        </w:rPr>
        <w:t>אסור להתייחד עם ערוה מן העריות בין זקנה בין ילדה שדבר זה גורם לגלות ערוה, חוץ מהאם עם בנה והאב עם בתו והבעל עם אשתו נדה, וחתן שפירסה אשתו נדה קודם שיבעול אסור להתייחד עמה אלא היא ישנה בין הנשים והוא ישן בין האנשים, ואם בא עליה ביאה ראשונה ואח"כ נטמאת מותר להתייחד עמה.</w:t>
      </w:r>
    </w:p>
    <w:p w14:paraId="6ECB271B" w14:textId="4A82EFA4" w:rsidR="00F6405A" w:rsidRDefault="00F6405A" w:rsidP="00A522B5">
      <w:pPr>
        <w:pStyle w:val="Style1"/>
        <w:rPr>
          <w:rtl/>
        </w:rPr>
      </w:pPr>
      <w:r>
        <w:rPr>
          <w:rFonts w:hint="cs"/>
          <w:rtl/>
        </w:rPr>
        <w:t>4)[</w:t>
      </w:r>
      <w:r>
        <w:rPr>
          <w:rtl/>
        </w:rPr>
        <w:t>שולחן ערוך אבן העזר הלכות אישות סימן כב סעיף א</w:t>
      </w:r>
      <w:r>
        <w:rPr>
          <w:rFonts w:hint="cs"/>
          <w:rtl/>
        </w:rPr>
        <w:t>]</w:t>
      </w:r>
      <w:r w:rsidR="00A522B5">
        <w:rPr>
          <w:rFonts w:hint="cs"/>
          <w:rtl/>
        </w:rPr>
        <w:t xml:space="preserve"> </w:t>
      </w:r>
      <w:r w:rsidR="00A522B5" w:rsidRPr="00A522B5">
        <w:rPr>
          <w:rtl/>
        </w:rPr>
        <w:t>אסור להתייחד עם ערוה מהעריות, בין זקנה בין ילדה, שדבר זה גורם לגלות ערוה, חוץ מהאם עם בנה והאב עם בתו והבעל עם אשתו נדה. וחתן שפירסה אשתו נדה קודם שיבעול, אסור להתייחד עמה, אלא היא ישנה בין הנשים והוא ישן בין האנשים; ואם בא עליה ביאה ראשונה ואח"כ נטמאת, מותר להתייחד עמה </w:t>
      </w:r>
      <w:r w:rsidR="00A522B5" w:rsidRPr="00A522B5">
        <w:rPr>
          <w:rFonts w:hint="cs"/>
        </w:rPr>
        <w:t>(</w:t>
      </w:r>
      <w:r w:rsidR="00A522B5" w:rsidRPr="00A522B5">
        <w:rPr>
          <w:rFonts w:hint="cs"/>
          <w:rtl/>
        </w:rPr>
        <w:t>ועיין ב</w:t>
      </w:r>
      <w:hyperlink r:id="rId12" w:tooltip="שולחן ערוך יורה דעה קצב" w:history="1">
        <w:r w:rsidR="00A522B5" w:rsidRPr="00A522B5">
          <w:rPr>
            <w:rStyle w:val="Hyperlink"/>
            <w:rFonts w:hint="cs"/>
            <w:color w:val="7030A0"/>
            <w:u w:val="none"/>
            <w:rtl/>
          </w:rPr>
          <w:t>יו"ד סי' קצ"ב</w:t>
        </w:r>
      </w:hyperlink>
      <w:r w:rsidR="00A522B5" w:rsidRPr="00A522B5">
        <w:rPr>
          <w:rFonts w:hint="cs"/>
        </w:rPr>
        <w:t>)</w:t>
      </w:r>
      <w:r w:rsidR="00A522B5" w:rsidRPr="00A522B5">
        <w:t>:</w:t>
      </w:r>
    </w:p>
    <w:p w14:paraId="1C303EB2" w14:textId="5BD9CA52" w:rsidR="00A522B5" w:rsidRPr="00A522B5" w:rsidRDefault="00A522B5" w:rsidP="00A522B5">
      <w:pPr>
        <w:pStyle w:val="Style1"/>
      </w:pPr>
      <w:r>
        <w:rPr>
          <w:rFonts w:hint="cs"/>
          <w:rtl/>
        </w:rPr>
        <w:t>4)[</w:t>
      </w:r>
      <w:r>
        <w:rPr>
          <w:rtl/>
        </w:rPr>
        <w:t>שולחן ערוך יורה דעה הלכות אבילות סימן שפג סעיף ב</w:t>
      </w:r>
      <w:r>
        <w:rPr>
          <w:rFonts w:hint="cs"/>
          <w:rtl/>
        </w:rPr>
        <w:t xml:space="preserve">] </w:t>
      </w:r>
      <w:r>
        <w:rPr>
          <w:rtl/>
        </w:rPr>
        <w:t>במה דברים אמורים, בשאר אבלות; אבל אם מת אביו של חתן או אמה של כלה, שמכניסין את המת לחדר ואת החתן ואת הכלה לחופה ובועל בעילת מצוה ופורש ונוהגים ז' ימי המשתה ואח"כ שבעת ימי אבלות, אסור להתייחד עמה כל י"ד יום, אלא הוא ישן בין האנשים והיא ישנה בין הנשים, כדאיתא בסימן שמ"ב. אבל אם כנס לחופה והתחילו ימי המשתה שלו, ואח"כ מת לו מת, מותר להתייחד עמה כמו בשאר אבלות, והוא שבעל; אבל אם לא בעל, אסור להתייחד עמה כל ימי האבל, בין בחול בין בשבת.</w:t>
      </w:r>
    </w:p>
    <w:p w14:paraId="6933681D" w14:textId="06316F6F" w:rsidR="00F6405A" w:rsidRPr="00A522B5" w:rsidRDefault="00F6405A" w:rsidP="00A522B5">
      <w:pPr>
        <w:pStyle w:val="Style1"/>
      </w:pPr>
    </w:p>
    <w:p w14:paraId="1492C6A7" w14:textId="77777777" w:rsidR="002A2C9B" w:rsidRPr="00A522B5" w:rsidRDefault="002A2C9B" w:rsidP="00A522B5">
      <w:pPr>
        <w:pStyle w:val="Style1"/>
      </w:pPr>
    </w:p>
    <w:p w14:paraId="752A0A05" w14:textId="0C41F43C" w:rsidR="00737D95" w:rsidRPr="00A522B5" w:rsidRDefault="00737D95" w:rsidP="00A522B5">
      <w:pPr>
        <w:pStyle w:val="Style1"/>
      </w:pPr>
    </w:p>
    <w:p w14:paraId="1250AB64" w14:textId="77777777" w:rsidR="00074013" w:rsidRPr="00074013" w:rsidRDefault="00074013" w:rsidP="00074013">
      <w:pPr>
        <w:pStyle w:val="Style1"/>
        <w:rPr>
          <w:rStyle w:val="Style1Char"/>
        </w:rPr>
      </w:pPr>
    </w:p>
    <w:p w14:paraId="69BBE57C" w14:textId="1952F947" w:rsidR="00E07063" w:rsidRPr="00074013" w:rsidRDefault="00E07063" w:rsidP="00074013">
      <w:pPr>
        <w:pStyle w:val="Style1"/>
        <w:rPr>
          <w:rStyle w:val="Style1Char"/>
          <w:rtl/>
        </w:rPr>
      </w:pPr>
    </w:p>
    <w:p w14:paraId="57687BCC" w14:textId="77777777" w:rsidR="00C60A5B" w:rsidRPr="00074013" w:rsidRDefault="00C60A5B" w:rsidP="00074013">
      <w:pPr>
        <w:pStyle w:val="Style1"/>
        <w:rPr>
          <w:rStyle w:val="Style1Char"/>
          <w:rtl/>
        </w:rPr>
      </w:pPr>
    </w:p>
    <w:p w14:paraId="2EF3A01D" w14:textId="77777777" w:rsidR="00621390" w:rsidRPr="00074013" w:rsidRDefault="00621390" w:rsidP="00074013">
      <w:pPr>
        <w:pStyle w:val="Style1"/>
        <w:rPr>
          <w:rStyle w:val="Style1Char"/>
          <w:rtl/>
        </w:rPr>
      </w:pPr>
    </w:p>
    <w:p w14:paraId="49C017E8" w14:textId="77777777" w:rsidR="00566F57" w:rsidRPr="00074013" w:rsidRDefault="00566F57" w:rsidP="00074013">
      <w:pPr>
        <w:pStyle w:val="Style1"/>
        <w:rPr>
          <w:rStyle w:val="Style1Char"/>
          <w:rtl/>
        </w:rPr>
      </w:pPr>
    </w:p>
    <w:p w14:paraId="04D7B2EA" w14:textId="77777777" w:rsidR="005F539F" w:rsidRPr="00074013" w:rsidRDefault="005F539F" w:rsidP="00074013">
      <w:pPr>
        <w:pStyle w:val="Style1"/>
        <w:rPr>
          <w:rStyle w:val="Style1Char"/>
          <w:rtl/>
        </w:rPr>
      </w:pPr>
    </w:p>
    <w:p w14:paraId="1D39132D" w14:textId="77777777" w:rsidR="00F450C8" w:rsidRPr="00074013" w:rsidRDefault="00F450C8" w:rsidP="00074013">
      <w:pPr>
        <w:pStyle w:val="Style1"/>
        <w:rPr>
          <w:rStyle w:val="Style1Char"/>
          <w:rtl/>
        </w:rPr>
      </w:pPr>
      <w:r w:rsidRPr="00074013">
        <w:rPr>
          <w:rStyle w:val="Style1Char"/>
          <w:rtl/>
        </w:rPr>
        <w:br w:type="page"/>
      </w:r>
    </w:p>
    <w:p w14:paraId="11CDF2BD" w14:textId="385934E5" w:rsidR="00A6295A" w:rsidRDefault="00F450C8" w:rsidP="00A6295A">
      <w:pPr>
        <w:bidi/>
        <w:rPr>
          <w:rStyle w:val="Style1Char"/>
          <w:color w:val="4472C4" w:themeColor="accent1"/>
          <w:rtl/>
        </w:rPr>
      </w:pPr>
      <w:r w:rsidRPr="00F450C8">
        <w:rPr>
          <w:rStyle w:val="Style1Char"/>
          <w:color w:val="00B050"/>
          <w:sz w:val="22"/>
          <w:szCs w:val="22"/>
          <w:highlight w:val="yellow"/>
          <w:rtl/>
        </w:rPr>
        <w:lastRenderedPageBreak/>
        <w:t>[דף ד עמוד ב]</w:t>
      </w:r>
      <w:r w:rsidRPr="00F450C8">
        <w:rPr>
          <w:rStyle w:val="Style1Char"/>
          <w:color w:val="00B050"/>
          <w:sz w:val="22"/>
          <w:szCs w:val="22"/>
          <w:rtl/>
        </w:rPr>
        <w:t xml:space="preserve"> </w:t>
      </w:r>
      <w:r w:rsidRPr="00F450C8">
        <w:rPr>
          <w:rStyle w:val="Style1Char"/>
          <w:color w:val="00B050"/>
          <w:rtl/>
        </w:rPr>
        <w:t>הכי קאמר: וכן מי שפירסה אשתו נדה ולא בעל, הוא ישן בין האנשים ואשתו ישנה בין הנשים. למימרא</w:t>
      </w:r>
      <w:r w:rsidR="00EA408C" w:rsidRPr="00EA408C">
        <w:rPr>
          <w:rStyle w:val="Style1Char"/>
          <w:color w:val="4472C4" w:themeColor="accent1"/>
          <w:rtl/>
        </w:rPr>
        <w:t xml:space="preserve"> </w:t>
      </w:r>
      <w:r w:rsidR="00EA408C" w:rsidRPr="00EA408C">
        <w:rPr>
          <w:rStyle w:val="Style1Char"/>
          <w:color w:val="4472C4" w:themeColor="accent1"/>
          <w:sz w:val="22"/>
          <w:szCs w:val="22"/>
          <w:rtl/>
        </w:rPr>
        <w:t>לא משום</w:t>
      </w:r>
      <w:r w:rsidRPr="00F450C8">
        <w:rPr>
          <w:rStyle w:val="Style1Char"/>
          <w:color w:val="00B050"/>
          <w:rtl/>
        </w:rPr>
        <w:t xml:space="preserve">, </w:t>
      </w:r>
      <w:r w:rsidRPr="00515A05">
        <w:rPr>
          <w:rStyle w:val="Style1Char"/>
          <w:color w:val="ED7D31" w:themeColor="accent2"/>
          <w:sz w:val="22"/>
          <w:szCs w:val="22"/>
          <w:rtl/>
        </w:rPr>
        <w:t>דאבילות קילא ליה מנדה</w:t>
      </w:r>
      <w:r w:rsidRPr="00F450C8">
        <w:rPr>
          <w:rStyle w:val="Style1Char"/>
          <w:color w:val="00B050"/>
          <w:rtl/>
        </w:rPr>
        <w:t xml:space="preserve">, והאמר </w:t>
      </w:r>
      <w:r w:rsidR="00515A05" w:rsidRPr="00515A05">
        <w:rPr>
          <w:rStyle w:val="Style1Char"/>
          <w:color w:val="4472C4" w:themeColor="accent1"/>
          <w:sz w:val="22"/>
          <w:szCs w:val="22"/>
          <w:rtl/>
        </w:rPr>
        <w:t>דהא</w:t>
      </w:r>
      <w:r w:rsidR="00515A05" w:rsidRPr="00515A05">
        <w:rPr>
          <w:rStyle w:val="Style1Char"/>
          <w:color w:val="4472C4" w:themeColor="accent1"/>
          <w:sz w:val="22"/>
          <w:szCs w:val="22"/>
        </w:rPr>
        <w:t xml:space="preserve"> </w:t>
      </w:r>
      <w:r w:rsidR="00515A05" w:rsidRPr="00515A05">
        <w:rPr>
          <w:rStyle w:val="Style1Char"/>
          <w:color w:val="4472C4" w:themeColor="accent1"/>
          <w:sz w:val="22"/>
          <w:szCs w:val="22"/>
          <w:rtl/>
        </w:rPr>
        <w:t>אמר</w:t>
      </w:r>
      <w:r w:rsidR="00515A05" w:rsidRPr="00515A05">
        <w:rPr>
          <w:rStyle w:val="Style1Char"/>
          <w:color w:val="00B050"/>
          <w:sz w:val="22"/>
          <w:szCs w:val="22"/>
          <w:rtl/>
        </w:rPr>
        <w:t xml:space="preserve"> </w:t>
      </w:r>
      <w:r w:rsidRPr="00515A05">
        <w:rPr>
          <w:rStyle w:val="Style1Char"/>
          <w:color w:val="ED7D31" w:themeColor="accent2"/>
          <w:sz w:val="22"/>
          <w:szCs w:val="22"/>
          <w:rtl/>
        </w:rPr>
        <w:t xml:space="preserve">רבי יצחק בר חנינא אמר רב הונא: </w:t>
      </w:r>
      <w:r w:rsidR="003066B3">
        <w:rPr>
          <w:rStyle w:val="Style1Char"/>
          <w:rFonts w:hint="cs"/>
          <w:rtl/>
        </w:rPr>
        <w:t>(1)</w:t>
      </w:r>
      <w:r w:rsidRPr="00515A05">
        <w:rPr>
          <w:rStyle w:val="Style1Char"/>
          <w:color w:val="ED7D31" w:themeColor="accent2"/>
          <w:sz w:val="22"/>
          <w:szCs w:val="22"/>
          <w:rtl/>
        </w:rPr>
        <w:t xml:space="preserve">כל מלאכות שאשה עושה לבעלה - נדה עושה לבעלה, חוץ ממזיגת הכוס, והצעת המטה, והרחצת פניו ידיו ורגליו; ואילו גבי אבילות תניא: אף על פי שאמרו אין אדם רשאי לכוף את אשתו להיות כוחלת ולהיות פוקסת, </w:t>
      </w:r>
      <w:r w:rsidR="00192962">
        <w:rPr>
          <w:rStyle w:val="Style1Char"/>
          <w:rFonts w:hint="cs"/>
          <w:rtl/>
        </w:rPr>
        <w:t>(2)</w:t>
      </w:r>
      <w:r w:rsidRPr="00515A05">
        <w:rPr>
          <w:rStyle w:val="Style1Char"/>
          <w:color w:val="ED7D31" w:themeColor="accent2"/>
          <w:sz w:val="22"/>
          <w:szCs w:val="22"/>
          <w:rtl/>
        </w:rPr>
        <w:t xml:space="preserve">באמת אמרו: מוזגת לו הכוס, ומצעת לו המטה, ומרחצת לו פניו ידיו ורגליו! </w:t>
      </w:r>
      <w:r w:rsidR="00D70F34" w:rsidRPr="00D70F34">
        <w:rPr>
          <w:rStyle w:val="Style1Char"/>
          <w:color w:val="4472C4" w:themeColor="accent1"/>
          <w:sz w:val="22"/>
          <w:szCs w:val="22"/>
          <w:rtl/>
        </w:rPr>
        <w:t xml:space="preserve">אלמא אבילות חמירא ליה מנדה לפי שלבו של אדם נכנע בזמן אבילתו. </w:t>
      </w:r>
      <w:r w:rsidRPr="00F450C8">
        <w:rPr>
          <w:rStyle w:val="Style1Char"/>
          <w:color w:val="00B050"/>
          <w:rtl/>
        </w:rPr>
        <w:t xml:space="preserve">לא קשיא: כאן באבילות דידיה, כאן באבילות דידה. והא אביו של חתן או אמה של כלה קתני! כי קתני - אשארא. ומי שאני בין אבילות דידיה לאבילות דידה? והתניא: מי שמת חמיו או חמותו, </w:t>
      </w:r>
      <w:r w:rsidR="00A43394">
        <w:rPr>
          <w:rStyle w:val="Style1Char"/>
          <w:rFonts w:hint="cs"/>
          <w:rtl/>
        </w:rPr>
        <w:t>(3)</w:t>
      </w:r>
      <w:r w:rsidRPr="00F450C8">
        <w:rPr>
          <w:rStyle w:val="Style1Char"/>
          <w:color w:val="00B050"/>
          <w:rtl/>
        </w:rPr>
        <w:t xml:space="preserve">אינו יכול לכוף את אשתו להיות כוחלת ולהיות פוקסת, אלא כופה מטתו ונוהג עמה אבילות; וכן היא שמת חמיה או חמותה, אינה רשאה להיות כוחלת ולהיות פוקסת, אלא כופה מטתה ונוהגת עמו אבילות! תני באבילות דידיה: הוא ישן בין האנשים ואשתו ישנה בין הנשים. הא וכן קתני! כי קתני - אכיחול ואפירכוס. והא עמו קתני, מאי לאו עמו במטה! לא, עמו בבית, וכדאמר ליה רב לחייא בריה: </w:t>
      </w:r>
      <w:r w:rsidR="00DA5E2F">
        <w:rPr>
          <w:rStyle w:val="Style1Char"/>
          <w:rFonts w:hint="cs"/>
          <w:rtl/>
        </w:rPr>
        <w:t>(3.1)</w:t>
      </w:r>
      <w:r w:rsidRPr="00F450C8">
        <w:rPr>
          <w:rStyle w:val="Style1Char"/>
          <w:color w:val="00B050"/>
          <w:rtl/>
        </w:rPr>
        <w:t xml:space="preserve">באפה נהוג אבילותא, דלא באפה לא תנהוג אבילותא. רב אשי אמר: מי קמדמית אבילותא דהכא לאבילותא דעלמא? אבילותא דעלמא חמיר ולא אתי לזלזולי ביה, אבילות דהכא, </w:t>
      </w:r>
      <w:r w:rsidR="00D70F34" w:rsidRPr="00D70F34">
        <w:rPr>
          <w:rStyle w:val="Style1Char"/>
          <w:color w:val="4472C4" w:themeColor="accent1"/>
          <w:sz w:val="22"/>
          <w:szCs w:val="22"/>
          <w:rtl/>
        </w:rPr>
        <w:t xml:space="preserve">אלא משום דהאי אבילות קילא ליה </w:t>
      </w:r>
      <w:r w:rsidRPr="00D70F34">
        <w:rPr>
          <w:rStyle w:val="Style1Char"/>
          <w:color w:val="ED7D31" w:themeColor="accent2"/>
          <w:sz w:val="22"/>
          <w:szCs w:val="22"/>
          <w:rtl/>
        </w:rPr>
        <w:t xml:space="preserve">כיון דאקילו רבנן </w:t>
      </w:r>
      <w:r w:rsidR="00D70F34" w:rsidRPr="00D70F34">
        <w:rPr>
          <w:rStyle w:val="Style1Char"/>
          <w:color w:val="4472C4" w:themeColor="accent1"/>
          <w:sz w:val="22"/>
          <w:szCs w:val="22"/>
          <w:rtl/>
        </w:rPr>
        <w:t>שנוהג ימי המשתה ואח"כ ימי אבילות</w:t>
      </w:r>
      <w:r w:rsidR="00D70F34" w:rsidRPr="00D70F34">
        <w:rPr>
          <w:rStyle w:val="Style1Char"/>
          <w:color w:val="ED7D31" w:themeColor="accent2"/>
          <w:sz w:val="32"/>
          <w:szCs w:val="32"/>
          <w:rtl/>
        </w:rPr>
        <w:t xml:space="preserve"> </w:t>
      </w:r>
      <w:r w:rsidRPr="00D70F34">
        <w:rPr>
          <w:rStyle w:val="Style1Char"/>
          <w:color w:val="ED7D31" w:themeColor="accent2"/>
          <w:sz w:val="22"/>
          <w:szCs w:val="22"/>
          <w:rtl/>
        </w:rPr>
        <w:t>אתי לזלזולי ביה.</w:t>
      </w:r>
      <w:r w:rsidR="00A6295A" w:rsidRPr="00A6295A">
        <w:rPr>
          <w:rStyle w:val="Style1Char"/>
          <w:color w:val="4472C4" w:themeColor="accent1"/>
          <w:rtl/>
        </w:rPr>
        <w:t xml:space="preserve"> </w:t>
      </w:r>
      <w:r w:rsidR="00A6295A" w:rsidRPr="00A755B9">
        <w:rPr>
          <w:rStyle w:val="Style1Char"/>
          <w:color w:val="4472C4" w:themeColor="accent1"/>
          <w:rtl/>
        </w:rPr>
        <w:t>.</w:t>
      </w:r>
      <w:r w:rsidR="00A6295A">
        <w:rPr>
          <w:rStyle w:val="Style1Char"/>
          <w:rFonts w:hint="cs"/>
          <w:color w:val="4472C4" w:themeColor="accent1"/>
        </w:rPr>
        <w:t>‍</w:t>
      </w:r>
      <w:r w:rsidR="00A6295A" w:rsidRPr="00A755B9">
        <w:rPr>
          <w:rStyle w:val="Style1Char"/>
          <w:color w:val="4472C4" w:themeColor="accent1"/>
          <w:rtl/>
        </w:rPr>
        <w:t>הלכך חתן שמת אביו או חמותו בין בעל בין שלא בעל הוא ישן בין האנשים והיא ישנה בין הנשים.</w:t>
      </w:r>
      <w:r w:rsidR="00A6295A">
        <w:rPr>
          <w:rStyle w:val="Style1Char"/>
          <w:rFonts w:hint="cs"/>
          <w:color w:val="4472C4" w:themeColor="accent1"/>
        </w:rPr>
        <w:t>‍</w:t>
      </w:r>
      <w:r w:rsidR="00A6295A" w:rsidRPr="00A755B9">
        <w:rPr>
          <w:rStyle w:val="Style1Char"/>
          <w:color w:val="4472C4" w:themeColor="accent1"/>
          <w:rtl/>
        </w:rPr>
        <w:t xml:space="preserve"> וכיון דהאי אבילות קיל מנדה אינה מוזגת לו הכוס ואינה מצעת לו את המטה ואינה מרחצת לו פניו ידיו ורגליו. יש שרוצים ללמוד מכאן דמי שמת לו מת ברגל כיון שנוהג ימי הרגל תחילה דמיא להכא וקילא ליה הוא ישן בין האנשים והיא ישנה בין הנשים ולא נהירא לי דלא דמי לקילותא דהכא דאקילו ביה טפי שהרי מת לו מת קודם שחלו שבעת ימי המשתה והתירו לו חכמים להכניס את המת לחדר ואת החתן ואת הכלה לחופה כדי לדחות אבילות מעליו אבל מת לו מת ברגל שכבר חלה עליו הרגל ישנה עמו בבית. הא דאמרי' גבי נדה מצעת לו המטה תרי גווני הצעות יש דלקמן פ' אף על פי (דף נט ב) תנן הכניסה לו שלש שפחות אינה מצעת לו המטה וכו' ד' יושבת בקתדרא ואמרי' עלה בגמ' (דף סא א) אף על פי שיושבת בקתדרא אבל מוזגת לו הכוס ומצעת לו המטה ומרחצת פניו ידיו ורגליו ופרש"י דהאי הצעת המטה היינו לפרוס הסדין והמכסה דאינו דבר של טורח ומילי דחיבה נינהו שתחבב עליו ולא דמי להצעת המטה דמתני' דהוי דבר של טורח כגון הצעת כרים וכסתות. ונראה דהצעת המטה דהכא היינו פריסת סדין ומכסה מדחשיב הני תלת בהדי הדדי כי ההיא דלקמן אבל הצעת כרים וכסתות שאינו דבר של חיבה נראה דשרו לנדה והא דאסרינן הכא היינו דוקא בפניו דאיכא למיחש להרגל דבר אבל שלא בפניו נראה דשרי והאי דקאמר הרחצת פניו ידיו ורגליו היינו לשפוך מים כשהוא רוחץ אבל לא שתגע בו דאף בלא רחיצה נמי אסורין כדקאמר בפ"ק דשבת (דף יג ב) חס ושלום שלא נגע בי אפי' באצבע קטנה</w:t>
      </w:r>
      <w:r w:rsidR="00A6295A">
        <w:rPr>
          <w:rStyle w:val="Style1Char"/>
          <w:rFonts w:hint="cs"/>
          <w:color w:val="4472C4" w:themeColor="accent1"/>
        </w:rPr>
        <w:t>‍</w:t>
      </w:r>
      <w:r w:rsidR="00A6295A" w:rsidRPr="00A755B9">
        <w:rPr>
          <w:rStyle w:val="Style1Char"/>
          <w:color w:val="4472C4" w:themeColor="accent1"/>
          <w:rtl/>
        </w:rPr>
        <w:t xml:space="preserve"> וה"ר מאיר הלוי ז"ל כתב אף על פי דאמרינן הכא חתן שבעל ופירסה נדה דאשתו ישנה עמו בבית למשנה אחרונה שאמרו בועל בעילת מצוה ופורש הוא ישן בין האנשים והיא ישנה בין הנשים משום דאקילו בה רבנן בהאי איסורא דנדה והתירו לו לגמור ביאתו והביא ראיה מהא דקי"ל דאבילות דעלמא חמירא ליה מנדה ואבילות דהכא כיון דאקילו ביה חיישינן דלמא אתי לזלזולי ביה</w:t>
      </w:r>
      <w:r w:rsidR="00A6295A">
        <w:rPr>
          <w:rStyle w:val="Style1Char"/>
          <w:rFonts w:hint="cs"/>
          <w:color w:val="4472C4" w:themeColor="accent1"/>
        </w:rPr>
        <w:t>‍</w:t>
      </w:r>
      <w:r w:rsidR="00A6295A" w:rsidRPr="00A755B9">
        <w:rPr>
          <w:rStyle w:val="Style1Char"/>
          <w:color w:val="4472C4" w:themeColor="accent1"/>
          <w:rtl/>
        </w:rPr>
        <w:t xml:space="preserve"> כ"ש באיסור נדה כל היכא דאקילו רבנן גביה חיישינן דלמא קילא ליה ואתי לזלזולי בה. ועוד הביא ראיה מדאמר רב יוסף למילתיה אמי שפירסה אשתו נדה ומפליג בין בעל בין לא בעל</w:t>
      </w:r>
      <w:r w:rsidR="004C32DE">
        <w:rPr>
          <w:rStyle w:val="Style1Char"/>
          <w:rFonts w:hint="cs"/>
          <w:color w:val="4472C4" w:themeColor="accent1"/>
          <w:rtl/>
        </w:rPr>
        <w:t xml:space="preserve"> </w:t>
      </w:r>
      <w:r w:rsidR="00A6295A" w:rsidRPr="00A755B9">
        <w:rPr>
          <w:rStyle w:val="Style1Char"/>
          <w:color w:val="4472C4" w:themeColor="accent1"/>
          <w:rtl/>
        </w:rPr>
        <w:t>ולא מפליג ברישא בין משנה ראשונה למשנה אחרונה דאית לה בועל בעילת מצוה ופורש אלמא אפילו למשנה אחרונה הוא ישן בין האנשים וכו'. ואין דבריו נראין לי גם אם כתבו בשם הר"ר יוסף הלוי אבן מג"ש ז"ל דלא [דמי] להאי קילותא דהכא הפקיעו חכמים דבריהם מה שאסרו אונן בתשמיש המטה והתירו לו שמחת חופה וביאה כדי לדחות אבילות מעליו אף לאחר קבורה אבל הכא לא הקילו חכמים אלא אדרבה החמירו חכמים האחרונים חומרא יתירה לטמאות דם בתולים משום שמא נתערבו בו דם נדות הלכך ליכא הכא קילותא דניחוש דלמא אתי לזלזולי ביה ומה שהתירו לו לגמור ביאתו אי אפשר בענין אחר כדאמרינן בפ' תינוקת (דף סה ב) דא"כ לבו נוקפו ופורש. ומה שהביא ראיה מדלא מפליג רב יוסף ברישא אינה כלום דהך ברייתא לית לה בועל בעילת מצוה ופורש</w:t>
      </w:r>
      <w:r w:rsidR="00A6295A">
        <w:rPr>
          <w:rStyle w:val="Style1Char"/>
          <w:rFonts w:hint="cs"/>
          <w:color w:val="4472C4" w:themeColor="accent1"/>
        </w:rPr>
        <w:t>‍</w:t>
      </w:r>
      <w:r w:rsidR="00A6295A" w:rsidRPr="00A755B9">
        <w:rPr>
          <w:rStyle w:val="Style1Char"/>
          <w:color w:val="4472C4" w:themeColor="accent1"/>
          <w:rtl/>
        </w:rPr>
        <w:t xml:space="preserve"> מדתני פירסה נדה ורב יוסף ניחא ליה לפלוגי במה דאיירי מתניתי' ומינה שמעינן דה"ה למשנה אחרונה אחר שבעל בעילת מצוה שישנה עמו וכן עמא דבר</w:t>
      </w:r>
      <w:r w:rsidR="00A6295A" w:rsidRPr="00A755B9">
        <w:rPr>
          <w:rStyle w:val="Style1Char"/>
          <w:color w:val="4472C4" w:themeColor="accent1"/>
        </w:rPr>
        <w:t>:</w:t>
      </w:r>
    </w:p>
    <w:p w14:paraId="1B20ED89" w14:textId="77777777" w:rsidR="00B37E78" w:rsidRPr="00A755B9" w:rsidRDefault="00B37E78" w:rsidP="00B37E78">
      <w:pPr>
        <w:bidi/>
        <w:rPr>
          <w:rStyle w:val="Style1Char"/>
          <w:color w:val="4472C4" w:themeColor="accent1"/>
        </w:rPr>
      </w:pPr>
      <w:r w:rsidRPr="00A755B9">
        <w:rPr>
          <w:rStyle w:val="Style1Char"/>
          <w:color w:val="4472C4" w:themeColor="accent1"/>
          <w:rtl/>
        </w:rPr>
        <w:t>ויראה דבאבילות מותר לישן עם אשתו במטה הוא בבגדיו והיא בבגדיה דאבילות חמירא ליה מנדה ובנדה מיבעיא לן בפ"ק דשבת (דף יג א) נדה מהו שתישן אצל בעלה היא בבגדה והוא בבגדו ונהי דפשט התם לאיסורא דאיתקיש נדה לאשת רעהו מ"מ באבילות דחמירא ליה שרי. אבל בקירוב בשר ראוי להחמיר ואין להביא ראיה שמותר לישן עמו במטה מסוגיא דשמעתין דקאמר מאי לאו עמו במטה דלאו דוקא עמו במטה ממש דהא קתני וכופה מטתה דמשמע מטתה שהיא ישנה עליה כדי לנהוג עמו אבילות</w:t>
      </w:r>
      <w:r w:rsidRPr="00A755B9">
        <w:rPr>
          <w:rStyle w:val="Style1Char"/>
          <w:color w:val="4472C4" w:themeColor="accent1"/>
        </w:rPr>
        <w:t xml:space="preserve">: </w:t>
      </w:r>
    </w:p>
    <w:p w14:paraId="16A85F04" w14:textId="0B651597" w:rsidR="00F450C8" w:rsidRDefault="00F450C8" w:rsidP="00F450C8">
      <w:pPr>
        <w:bidi/>
        <w:rPr>
          <w:rStyle w:val="Style1Char"/>
          <w:color w:val="00B050"/>
          <w:rtl/>
        </w:rPr>
      </w:pPr>
      <w:r w:rsidRPr="00D70F34">
        <w:rPr>
          <w:rStyle w:val="Style1Char"/>
          <w:color w:val="ED7D31" w:themeColor="accent2"/>
          <w:sz w:val="22"/>
          <w:szCs w:val="22"/>
          <w:rtl/>
        </w:rPr>
        <w:t xml:space="preserve"> </w:t>
      </w:r>
      <w:r w:rsidRPr="00F450C8">
        <w:rPr>
          <w:rStyle w:val="Style1Char"/>
          <w:color w:val="00B050"/>
          <w:rtl/>
        </w:rPr>
        <w:t xml:space="preserve">מאי קולא? אילימא דקתני: בועל בעילת מצוה ופורש, התם משום דלא חל עליו אבילותא, אי לרבי אליעזר - עד שיצא מפתח הבית, אי לרבי יהושע - עד שיסתם הגולל! אלא דקתני: נוהג שבעת ימי המשתה ואח"כ נוהג שבעת ימי אבילות. אמר מר: </w:t>
      </w:r>
      <w:r w:rsidR="008D6C2F">
        <w:rPr>
          <w:rStyle w:val="Style1Char"/>
          <w:rFonts w:hint="cs"/>
          <w:rtl/>
        </w:rPr>
        <w:t>(4)</w:t>
      </w:r>
      <w:r w:rsidRPr="00F450C8">
        <w:rPr>
          <w:rStyle w:val="Style1Char"/>
          <w:color w:val="00B050"/>
          <w:rtl/>
        </w:rPr>
        <w:t xml:space="preserve">בין כך ובין כך, לא יבעול לא בערב שבת ולא במוצ"ש. בשלמא בערב שבת, משום חבורה, אלא במוצאי שבת אמאי לא? אמר רבי זירא: </w:t>
      </w:r>
    </w:p>
    <w:p w14:paraId="35C635C4" w14:textId="54991F22" w:rsidR="00192962" w:rsidRDefault="00192962" w:rsidP="00192962">
      <w:pPr>
        <w:pStyle w:val="Style1"/>
        <w:rPr>
          <w:rStyle w:val="Style1Char"/>
          <w:rtl/>
        </w:rPr>
      </w:pPr>
      <w:r>
        <w:rPr>
          <w:rStyle w:val="Style1Char"/>
          <w:rFonts w:hint="cs"/>
          <w:rtl/>
        </w:rPr>
        <w:t>1)[</w:t>
      </w:r>
      <w:r w:rsidRPr="00192962">
        <w:rPr>
          <w:rStyle w:val="Style1Char"/>
          <w:rtl/>
        </w:rPr>
        <w:t>רמב</w:t>
      </w:r>
      <w:r w:rsidR="00213DA1">
        <w:rPr>
          <w:rStyle w:val="Style1Char"/>
          <w:rtl/>
        </w:rPr>
        <w:t>”ם \קדושה\</w:t>
      </w:r>
      <w:r w:rsidRPr="00192962">
        <w:rPr>
          <w:rStyle w:val="Style1Char"/>
          <w:rtl/>
        </w:rPr>
        <w:t xml:space="preserve"> הלכות איסורי ביאה פרק יא הלכה יט</w:t>
      </w:r>
      <w:r>
        <w:rPr>
          <w:rStyle w:val="Style1Char"/>
          <w:rFonts w:hint="cs"/>
          <w:rtl/>
        </w:rPr>
        <w:t xml:space="preserve">] </w:t>
      </w:r>
      <w:r w:rsidRPr="00192962">
        <w:rPr>
          <w:rStyle w:val="Style1Char"/>
          <w:rtl/>
        </w:rPr>
        <w:t>כל מלאכות שהאשה עושה לבעלה נדה עושה לבעלה חוץ מהרחצת פניו ידיו ורגליו ומזיגת הכוס והצעת המטה בפניו, גזירה שמא יבוא לדבר עבירה, ומפני זה לא תאכל עמו בקערה אחת ולא יגע בבשרה מפני הרגל עבירה, וכן בשבעת ימים נקיים לא תעשה לו שלש מלאכות אלו, ומותר לאשה להתקשט בימי נדתה כדי שלא תתגנה על בעלה.</w:t>
      </w:r>
    </w:p>
    <w:p w14:paraId="5427DAF0" w14:textId="03563641" w:rsidR="003B2F5B" w:rsidRDefault="003B2F5B" w:rsidP="003B2F5B">
      <w:pPr>
        <w:pStyle w:val="Style1"/>
        <w:rPr>
          <w:rtl/>
        </w:rPr>
      </w:pPr>
      <w:r>
        <w:rPr>
          <w:rStyle w:val="Style1Char"/>
          <w:rFonts w:hint="cs"/>
          <w:rtl/>
        </w:rPr>
        <w:t>1)[</w:t>
      </w:r>
      <w:r w:rsidRPr="003B2F5B">
        <w:rPr>
          <w:rStyle w:val="Style1Char"/>
          <w:rtl/>
        </w:rPr>
        <w:t>שולחן ערוך יורה דעה הלכות נדה סימן קצה סעיף י</w:t>
      </w:r>
      <w:r>
        <w:rPr>
          <w:rStyle w:val="Style1Char"/>
          <w:rFonts w:hint="cs"/>
          <w:rtl/>
        </w:rPr>
        <w:t>]</w:t>
      </w:r>
      <w:r w:rsidR="00A4305C">
        <w:rPr>
          <w:rStyle w:val="Style1Char"/>
          <w:rFonts w:hint="cs"/>
          <w:rtl/>
        </w:rPr>
        <w:t xml:space="preserve"> </w:t>
      </w:r>
      <w:r w:rsidR="00A4305C" w:rsidRPr="00A4305C">
        <w:rPr>
          <w:rtl/>
        </w:rPr>
        <w:t>כל מלאכות שהאשה עושה לבעלה, נדה עושה לו, חוץ ממזיגת הכוס, שאסורה למזוג הכוס </w:t>
      </w:r>
      <w:r w:rsidR="00A4305C" w:rsidRPr="00A4305C">
        <w:rPr>
          <w:rFonts w:hint="cs"/>
          <w:rtl/>
        </w:rPr>
        <w:t>(בפניו) (בית יוסף וכן משמע ממרדכי פרק קמא דשבועות וכן משמע מדברי הפוסקים)</w:t>
      </w:r>
      <w:r w:rsidR="00A4305C" w:rsidRPr="00A4305C">
        <w:rPr>
          <w:rtl/>
        </w:rPr>
        <w:t> ולהניחו לפניו על השלחן אלא אם כן תעשה שום היכר, כגון שתניחנו על השלחן ביד שמאל או תניחנו על הכר או על הכסת, אפילו ביד ימינה</w:t>
      </w:r>
      <w:r w:rsidR="00A4305C" w:rsidRPr="00A4305C">
        <w:t>:</w:t>
      </w:r>
    </w:p>
    <w:p w14:paraId="1D6C0726" w14:textId="19CFCAD0" w:rsidR="003B4FC2" w:rsidRDefault="003B4FC2" w:rsidP="003B4FC2">
      <w:pPr>
        <w:pStyle w:val="Style1"/>
        <w:rPr>
          <w:rtl/>
        </w:rPr>
      </w:pPr>
      <w:r>
        <w:rPr>
          <w:rFonts w:hint="cs"/>
          <w:rtl/>
        </w:rPr>
        <w:t>2)[</w:t>
      </w:r>
      <w:r>
        <w:rPr>
          <w:rtl/>
        </w:rPr>
        <w:t>שולחן ערוך יורה דעה הלכות אבילות סימן שפג סעיף א</w:t>
      </w:r>
      <w:r>
        <w:rPr>
          <w:rFonts w:hint="cs"/>
          <w:rtl/>
        </w:rPr>
        <w:t xml:space="preserve">] </w:t>
      </w:r>
      <w:r>
        <w:rPr>
          <w:rtl/>
        </w:rPr>
        <w:t>אבל אסור בתשמיש המטה, אבל בשאר דבר קורבה מותר, אפילו במזיגת הכוס והצעת המטה והרחצת פניו ידיו ורגליו, בין באבלות דידיה בין באבלות דידה. (אבל חבוק ונשוק יש להחמיר) (רבינו ירוחם). ומותרת לאכול עמו בקערה</w:t>
      </w:r>
      <w:r>
        <w:rPr>
          <w:rFonts w:hint="cs"/>
          <w:rtl/>
        </w:rPr>
        <w:t xml:space="preserve"> </w:t>
      </w:r>
      <w:r>
        <w:rPr>
          <w:rtl/>
        </w:rPr>
        <w:t>ומותרת לישן עמו הוא בבגדו והיא בבגדה; ומיהו משום לך לך אמרינן נזירא יש להחמיר שלא ישן (עמה) במטה כלל.</w:t>
      </w:r>
    </w:p>
    <w:p w14:paraId="53A44CF3" w14:textId="79CAE8C6" w:rsidR="00E51C76" w:rsidRDefault="00E51C76" w:rsidP="00E51C76">
      <w:pPr>
        <w:pStyle w:val="Style1"/>
        <w:rPr>
          <w:rtl/>
        </w:rPr>
      </w:pPr>
      <w:r>
        <w:rPr>
          <w:rFonts w:hint="cs"/>
          <w:rtl/>
        </w:rPr>
        <w:t>3)[</w:t>
      </w:r>
      <w:r>
        <w:rPr>
          <w:rtl/>
        </w:rPr>
        <w:t>רמב</w:t>
      </w:r>
      <w:r w:rsidR="00213DA1">
        <w:rPr>
          <w:rtl/>
        </w:rPr>
        <w:t>”ם \שופטים\</w:t>
      </w:r>
      <w:r>
        <w:rPr>
          <w:rtl/>
        </w:rPr>
        <w:t xml:space="preserve"> הלכות אבל פרק ב הלכה ה</w:t>
      </w:r>
      <w:r>
        <w:rPr>
          <w:rFonts w:hint="cs"/>
          <w:rtl/>
        </w:rPr>
        <w:t xml:space="preserve">] </w:t>
      </w:r>
      <w:r>
        <w:rPr>
          <w:rtl/>
        </w:rPr>
        <w:t>אשתו הנשואה אף על פי שהוא מתאבל עליה אינו מתאבל עמה על שאר קרובים אלא על אביה ועל אמה משום כבוד אשתו נוהג אבלות עליהן בפניה, כיצד מי שמת חמיו או חמותו כופה מטתו ונוהג אבילות עם אשתו בפניה אבל לא שלא בפניה, וכן האשה שמת חמיה או חמותה נוהגת אבלות בפניו, אבל שאר קרובים כגון שמת אחי אשתו או בנה והאשה שמת אחי בעלה או בנו אין מתאבלין זה על זה, וכן יראה לי שאם מתה אשת קרובו או בעל קרובתו כגון שמתה אשת בנו או בעל בתו אינו חייב להתאבל עליהן וכן כל כיוצא בזה.</w:t>
      </w:r>
    </w:p>
    <w:p w14:paraId="5B3E6736" w14:textId="7844CBCF" w:rsidR="00662A2F" w:rsidRPr="00662A2F" w:rsidRDefault="00D95090" w:rsidP="00662A2F">
      <w:pPr>
        <w:pStyle w:val="Style1"/>
      </w:pPr>
      <w:r>
        <w:rPr>
          <w:rFonts w:hint="cs"/>
          <w:rtl/>
        </w:rPr>
        <w:t>3)[</w:t>
      </w:r>
      <w:r>
        <w:rPr>
          <w:rtl/>
        </w:rPr>
        <w:t>שולחן ערוך יורה דעה הלכות אבילות סימן שעד סעיף ו</w:t>
      </w:r>
      <w:r>
        <w:rPr>
          <w:rFonts w:hint="cs"/>
          <w:rtl/>
        </w:rPr>
        <w:t>]</w:t>
      </w:r>
      <w:r w:rsidR="00662A2F">
        <w:rPr>
          <w:rFonts w:hint="cs"/>
          <w:rtl/>
        </w:rPr>
        <w:t xml:space="preserve"> </w:t>
      </w:r>
      <w:r w:rsidR="00662A2F" w:rsidRPr="00662A2F">
        <w:rPr>
          <w:rtl/>
        </w:rPr>
        <w:t>כל מי שמתאבל עליו -- מתאבל עמו אם מת לו מת. ודוקא בעודו בפניו; אבל שלא בפניו אין צריך לנהוג אבילות. חוץ מאשתו, שאע"פ שמתאבל עליה, אינו מתאבל עמה אלא על אביה או על אמה משום כבוד חמיו וחמותו. אבל על אחיה ואחותה או בנה ובתה מאיש אחר -- אינו מתאבל עמה. ומ"מ אינו יכול לכופה להתקשט אבל יכולה למזוג לו הכוס ולהציע לו המטה ולרחוץ פניו ידיו ורגליו.     וכן היא אינה מתאבלת עמו אלא כשמתו חמיה או חמותה. אבל שאר קרוביו שמתו אינה מתאבלת עמו</w:t>
      </w:r>
      <w:r w:rsidR="00662A2F" w:rsidRPr="00662A2F">
        <w:t>.</w:t>
      </w:r>
    </w:p>
    <w:p w14:paraId="040A5DBC" w14:textId="77777777" w:rsidR="00662A2F" w:rsidRPr="00662A2F" w:rsidRDefault="00662A2F" w:rsidP="00662A2F">
      <w:pPr>
        <w:pStyle w:val="Style1"/>
      </w:pPr>
      <w:r w:rsidRPr="00662A2F">
        <w:rPr>
          <w:rFonts w:hint="cs"/>
          <w:rtl/>
        </w:rPr>
        <w:t>הגה: וי"א דהאידנא נוהגין להקל באבלות זה של המתאבלים עמו דאין זה אלא משום כבוד המתאבלים ועכשיו נהגו כולם למחול. וכן נוהגין האידנא שלא להתאבל כלל עם המתאבלים (טור בשם הרא"ש והוא בפ' א"מ ורמב"ן בת"ה והגמי"י פ"א). וכל המחמיר בזה אינו אלא מן המתמיהים (הגהות מיימוני פ"ב). ומ"מ נהגו שכל קרובי המת הפסולים לו לעדות מראים קצת אבילות בעצמן כל שבוע הראשונה דהיינו עד אחר שבת הראשון; שאינן רוחצים ואין משנים קצת בגדיהם כמו בשאר שבת (גדולי אוסטריי"ך נהגו כן). ויש מקומות שנהגו עוד להחמיר בענינים אחרים, והעיקר כמו שכתבתי</w:t>
      </w:r>
      <w:r w:rsidRPr="00662A2F">
        <w:rPr>
          <w:rFonts w:hint="cs"/>
        </w:rPr>
        <w:t>.</w:t>
      </w:r>
    </w:p>
    <w:p w14:paraId="1CBAA3FB" w14:textId="77777777" w:rsidR="00662A2F" w:rsidRPr="00662A2F" w:rsidRDefault="00662A2F" w:rsidP="00662A2F">
      <w:pPr>
        <w:pStyle w:val="Style1"/>
      </w:pPr>
      <w:r w:rsidRPr="00662A2F">
        <w:rPr>
          <w:rFonts w:hint="cs"/>
          <w:rtl/>
        </w:rPr>
        <w:lastRenderedPageBreak/>
        <w:t>וכל זה בשמועה קרובה או שהיה אצל המיתה. אבל בשמועה רחוקה -- אין לאבילות זה מקום כלל (תמצא הכל מבואר בת"ה סימן רנ"א)</w:t>
      </w:r>
      <w:r w:rsidRPr="00662A2F">
        <w:rPr>
          <w:rFonts w:hint="cs"/>
        </w:rPr>
        <w:t>.</w:t>
      </w:r>
    </w:p>
    <w:p w14:paraId="3F318DE1" w14:textId="28B3B313" w:rsidR="00662A2F" w:rsidRDefault="00662A2F" w:rsidP="00662A2F">
      <w:pPr>
        <w:pStyle w:val="Style1"/>
        <w:rPr>
          <w:rtl/>
        </w:rPr>
      </w:pPr>
      <w:r w:rsidRPr="00662A2F">
        <w:rPr>
          <w:rFonts w:hint="cs"/>
          <w:rtl/>
        </w:rPr>
        <w:t>מי שרוצה להחמיר על עצמו להתאבל על מי שאינו צריך או ללבוש שחורים על קרובו -- אין מוחין בידו (הרא"ש כלל כ')</w:t>
      </w:r>
      <w:r w:rsidRPr="00662A2F">
        <w:rPr>
          <w:rFonts w:hint="cs"/>
        </w:rPr>
        <w:t>.</w:t>
      </w:r>
    </w:p>
    <w:p w14:paraId="4E24AD91" w14:textId="5C3A377B" w:rsidR="00A470BC" w:rsidRDefault="00A470BC" w:rsidP="00A470BC">
      <w:pPr>
        <w:pStyle w:val="Style1"/>
        <w:rPr>
          <w:rtl/>
        </w:rPr>
      </w:pPr>
      <w:r>
        <w:rPr>
          <w:rFonts w:hint="cs"/>
          <w:rtl/>
        </w:rPr>
        <w:t>3)[</w:t>
      </w:r>
      <w:r>
        <w:rPr>
          <w:rtl/>
        </w:rPr>
        <w:t>שולחן ערוך יורה דעה הלכות אבילות סימן שפא סעיף ו</w:t>
      </w:r>
      <w:r>
        <w:rPr>
          <w:rFonts w:hint="cs"/>
          <w:rtl/>
        </w:rPr>
        <w:t>]</w:t>
      </w:r>
      <w:r w:rsidR="000069F9">
        <w:rPr>
          <w:rFonts w:hint="cs"/>
          <w:rtl/>
        </w:rPr>
        <w:t xml:space="preserve"> </w:t>
      </w:r>
      <w:r w:rsidR="000069F9" w:rsidRPr="000069F9">
        <w:rPr>
          <w:rtl/>
        </w:rPr>
        <w:t>אשה לא תכחול ולא תפרקס בימי אבלה שכל אלו אסורים כרחיצה ואשת איש אינה אסורה אלא תוך שבעה אבל אחר ז' מותרת בכל כדי שלא תתגנה על בעלה כלה שאירעה אבל תוך שלשים יום לחופתה מותרת להתקשט אפי' תוך ז' בוגרת שאירעה אבל כיון שעומדת לינשא מותרת בכיחול ופירקוס אבל אסורה ברחיצת חמין כל גופה נערה אבלה אסורה אפילו בכיחול ופירקוס</w:t>
      </w:r>
      <w:r w:rsidR="000069F9" w:rsidRPr="000069F9">
        <w:t>:</w:t>
      </w:r>
    </w:p>
    <w:p w14:paraId="406F49AB" w14:textId="492DA5A9" w:rsidR="00D13FAF" w:rsidRDefault="00D13FAF" w:rsidP="00D13FAF">
      <w:pPr>
        <w:pStyle w:val="Style1"/>
        <w:rPr>
          <w:rtl/>
        </w:rPr>
      </w:pPr>
      <w:r>
        <w:rPr>
          <w:rFonts w:hint="cs"/>
          <w:rtl/>
        </w:rPr>
        <w:t>4)[</w:t>
      </w:r>
      <w:r>
        <w:rPr>
          <w:rtl/>
        </w:rPr>
        <w:t>רמב</w:t>
      </w:r>
      <w:r w:rsidR="00213DA1">
        <w:rPr>
          <w:rtl/>
        </w:rPr>
        <w:t>”ם \נשים\</w:t>
      </w:r>
      <w:r>
        <w:rPr>
          <w:rtl/>
        </w:rPr>
        <w:t xml:space="preserve"> הלכות אישות פרק י הלכה יד</w:t>
      </w:r>
      <w:r>
        <w:rPr>
          <w:rFonts w:hint="cs"/>
          <w:rtl/>
        </w:rPr>
        <w:t xml:space="preserve">] </w:t>
      </w:r>
      <w:r>
        <w:rPr>
          <w:rtl/>
        </w:rPr>
        <w:t xml:space="preserve">מותר  לארס בכל יום חול אפילו בתשעה באב בין ביום בין בלילה, אבל אין נושאין נשים לא בערב שבת ולא באחד בשבת גזירה שמא יבוא לידי חילול שבת בתיקון הסעודה שהחתן טרוד בסעודתו, ואין צריך לומר שאסור לישא בשבת, ואפילו בחולו של מועד אין נושאין נשים כמו שביארנו לפי שאין מערבין שמחה בשמחה שנאמר </w:t>
      </w:r>
      <w:r>
        <w:rPr>
          <w:rFonts w:hint="cs"/>
          <w:rtl/>
        </w:rPr>
        <w:t>(</w:t>
      </w:r>
      <w:r>
        <w:rPr>
          <w:rtl/>
        </w:rPr>
        <w:t>בראשית כ"ט</w:t>
      </w:r>
      <w:r>
        <w:rPr>
          <w:rFonts w:hint="cs"/>
          <w:rtl/>
        </w:rPr>
        <w:t>)</w:t>
      </w:r>
      <w:r>
        <w:rPr>
          <w:rtl/>
        </w:rPr>
        <w:t xml:space="preserve"> מלא שבוע זאת ונתנה לך גם את זאת, ושאר הימים מותר לישא אשה בכל יום שירצה והוא שיטרח בסעודת נישואין שלשה ימים קודם יום הנישואין.</w:t>
      </w:r>
    </w:p>
    <w:p w14:paraId="0DD7E280" w14:textId="236C1FED" w:rsidR="008863F1" w:rsidRPr="00A3371C" w:rsidRDefault="008863F1" w:rsidP="008863F1">
      <w:pPr>
        <w:pStyle w:val="Style1"/>
      </w:pPr>
      <w:r>
        <w:rPr>
          <w:rStyle w:val="Style1Char"/>
          <w:rFonts w:hint="cs"/>
          <w:rtl/>
        </w:rPr>
        <w:t>4)[</w:t>
      </w:r>
      <w:r w:rsidRPr="00A65F71">
        <w:rPr>
          <w:rStyle w:val="Style1Char"/>
          <w:rtl/>
        </w:rPr>
        <w:t>שולחן ערוך אבן העזר הלכות קידושין סימן סד סעיף ג</w:t>
      </w:r>
      <w:r>
        <w:rPr>
          <w:rStyle w:val="Style1Char"/>
          <w:rFonts w:hint="cs"/>
          <w:rtl/>
        </w:rPr>
        <w:t xml:space="preserve">] </w:t>
      </w:r>
      <w:r w:rsidRPr="00A3371C">
        <w:rPr>
          <w:rtl/>
        </w:rPr>
        <w:t>יש אומרים שאין נושאין נשים לא בערב שבת ולא באחד בשבת, גזרה שמא יבוא לידי חילול שבת בתקון הסעודה. ויש מתירין. וכן פשט המנהג לישא נשים בערב שבת, והוא שיטרח בסעדת הנשואין שלושה ימים קדם הנשואין. ומקום שאין בית דין יושבים בו אלא בשני ובחמישי בלבד, בתולה נשאת ביום רביעי, שאם היתה לו טענת בתולים ישכים לבית דין. ומנהג חכמים שהנושא את הבעולה ישאנה בחמישי, כדי שיהיה שמח עמה שלושה ימים: חמישי בשבת וערב שבת ושבת, ויוצא למלאכתו יום ראשון</w:t>
      </w:r>
      <w:r w:rsidRPr="00A3371C">
        <w:t>.</w:t>
      </w:r>
    </w:p>
    <w:p w14:paraId="2E18F7B5" w14:textId="77777777" w:rsidR="008863F1" w:rsidRDefault="008863F1" w:rsidP="008863F1">
      <w:pPr>
        <w:pStyle w:val="Style1"/>
        <w:rPr>
          <w:rtl/>
        </w:rPr>
      </w:pPr>
      <w:r w:rsidRPr="00A3371C">
        <w:rPr>
          <w:rFonts w:hint="cs"/>
          <w:rtl/>
        </w:rPr>
        <w:t>ונהגו שלא לישא נשים אלא בתחילת החדש, בעוד שהלבנה במלואה (הר"ן סוף פרק ארבע מיתות), ועיין </w:t>
      </w:r>
      <w:hyperlink r:id="rId13" w:tooltip="שולחן ערוך יורה דעה קעט" w:history="1">
        <w:r w:rsidRPr="00A3371C">
          <w:rPr>
            <w:rStyle w:val="Hyperlink"/>
            <w:rFonts w:hint="cs"/>
            <w:color w:val="7030A0"/>
            <w:u w:val="none"/>
            <w:rtl/>
          </w:rPr>
          <w:t>ביורה דעה סימן קע"ט</w:t>
        </w:r>
      </w:hyperlink>
      <w:r w:rsidRPr="00A3371C">
        <w:t>:</w:t>
      </w:r>
    </w:p>
    <w:p w14:paraId="10E9AE5B" w14:textId="18DA01E3" w:rsidR="00A470BC" w:rsidRPr="00662A2F" w:rsidRDefault="00A470BC" w:rsidP="00A470BC">
      <w:pPr>
        <w:pStyle w:val="Style1"/>
      </w:pPr>
    </w:p>
    <w:p w14:paraId="297FA0F3" w14:textId="77777777" w:rsidR="00662A2F" w:rsidRPr="00662A2F" w:rsidRDefault="00662A2F" w:rsidP="00662A2F">
      <w:pPr>
        <w:pStyle w:val="Style1"/>
      </w:pPr>
    </w:p>
    <w:p w14:paraId="445CDC09" w14:textId="0E5F1257" w:rsidR="00D95090" w:rsidRPr="00662A2F" w:rsidRDefault="00D95090" w:rsidP="00662A2F">
      <w:pPr>
        <w:pStyle w:val="Style1"/>
      </w:pPr>
    </w:p>
    <w:p w14:paraId="657F2641" w14:textId="632DF122" w:rsidR="003B2F5B" w:rsidRPr="00192962" w:rsidRDefault="003B2F5B" w:rsidP="003B2F5B">
      <w:pPr>
        <w:pStyle w:val="Style1"/>
        <w:rPr>
          <w:rStyle w:val="Style1Char"/>
          <w:rtl/>
        </w:rPr>
      </w:pPr>
    </w:p>
    <w:p w14:paraId="019BA040" w14:textId="77777777" w:rsidR="007A5A4A" w:rsidRPr="007A5A4A" w:rsidRDefault="007A5A4A" w:rsidP="007A5A4A">
      <w:pPr>
        <w:bidi/>
        <w:rPr>
          <w:rStyle w:val="Style1Char"/>
          <w:color w:val="00B050"/>
          <w:rtl/>
        </w:rPr>
      </w:pPr>
    </w:p>
    <w:p w14:paraId="24610A35" w14:textId="77777777" w:rsidR="006A2F06" w:rsidRPr="006A2F06" w:rsidRDefault="006A2F06" w:rsidP="006A2F06">
      <w:pPr>
        <w:bidi/>
        <w:rPr>
          <w:rStyle w:val="Style1Char"/>
          <w:color w:val="00B050"/>
          <w:rtl/>
        </w:rPr>
      </w:pPr>
    </w:p>
    <w:p w14:paraId="63185E52" w14:textId="77777777" w:rsidR="00F450C8" w:rsidRDefault="00F450C8">
      <w:pPr>
        <w:rPr>
          <w:rStyle w:val="Style1Char"/>
          <w:color w:val="00B050"/>
          <w:rtl/>
        </w:rPr>
      </w:pPr>
      <w:r>
        <w:rPr>
          <w:rStyle w:val="Style1Char"/>
          <w:color w:val="00B050"/>
          <w:rtl/>
        </w:rPr>
        <w:br w:type="page"/>
      </w:r>
    </w:p>
    <w:p w14:paraId="1C22F59C" w14:textId="550BF1B5" w:rsidR="00F450C8" w:rsidRDefault="00F450C8" w:rsidP="00F450C8">
      <w:pPr>
        <w:bidi/>
        <w:rPr>
          <w:rStyle w:val="Style1Char"/>
          <w:color w:val="00B050"/>
          <w:rtl/>
        </w:rPr>
      </w:pPr>
      <w:r w:rsidRPr="00F450C8">
        <w:rPr>
          <w:rStyle w:val="Style1Char"/>
          <w:color w:val="00B050"/>
          <w:sz w:val="22"/>
          <w:szCs w:val="22"/>
          <w:highlight w:val="yellow"/>
          <w:rtl/>
        </w:rPr>
        <w:lastRenderedPageBreak/>
        <w:t>[דף ה עמוד א]</w:t>
      </w:r>
      <w:r w:rsidRPr="00F450C8">
        <w:rPr>
          <w:rStyle w:val="Style1Char"/>
          <w:color w:val="00B050"/>
          <w:sz w:val="22"/>
          <w:szCs w:val="22"/>
          <w:rtl/>
        </w:rPr>
        <w:t xml:space="preserve"> </w:t>
      </w:r>
      <w:r w:rsidRPr="00F450C8">
        <w:rPr>
          <w:rStyle w:val="Style1Char"/>
          <w:color w:val="00B050"/>
          <w:rtl/>
        </w:rPr>
        <w:t xml:space="preserve">משום חשבונות. אמר ליה אביי: וחשבונות של מצוה מי אסירי? והא רב חסדא ורב המנונא דאמרי תרוייהו: </w:t>
      </w:r>
      <w:r w:rsidR="00C96B76">
        <w:rPr>
          <w:rStyle w:val="Style1Char"/>
          <w:rFonts w:hint="cs"/>
          <w:rtl/>
        </w:rPr>
        <w:t>(1)</w:t>
      </w:r>
      <w:r w:rsidRPr="00F450C8">
        <w:rPr>
          <w:rStyle w:val="Style1Char"/>
          <w:color w:val="00B050"/>
          <w:rtl/>
        </w:rPr>
        <w:t xml:space="preserve">חשבונות של מצוה מותר לחשבן בשבת; וא"ר אלעזר: </w:t>
      </w:r>
      <w:r w:rsidR="005702CF">
        <w:rPr>
          <w:rStyle w:val="Style1Char"/>
          <w:rFonts w:hint="cs"/>
          <w:rtl/>
        </w:rPr>
        <w:t>(1)</w:t>
      </w:r>
      <w:r w:rsidRPr="00F450C8">
        <w:rPr>
          <w:rStyle w:val="Style1Char"/>
          <w:color w:val="00B050"/>
          <w:rtl/>
        </w:rPr>
        <w:t xml:space="preserve">פוסקין צדקה לעניים בשבת; ואמר ר' יעקב אמר ר' יוחנן: </w:t>
      </w:r>
      <w:r w:rsidR="0071064E">
        <w:rPr>
          <w:rStyle w:val="Style1Char"/>
          <w:rFonts w:hint="cs"/>
          <w:rtl/>
        </w:rPr>
        <w:t>(1)</w:t>
      </w:r>
      <w:r w:rsidRPr="00F450C8">
        <w:rPr>
          <w:rStyle w:val="Style1Char"/>
          <w:color w:val="00B050"/>
          <w:rtl/>
        </w:rPr>
        <w:t xml:space="preserve">הולכין לבתי כנסיות ולבתי מדרשות לפקח על עסקי רבים בשבת; ואמר רבי יעקב בר אידי אמר רבי יוחנן: מפקחין פיקוח נפש בשבת; ואמר רב שמואל בר נחמני אמר רבי יונתן: הולכין לטרטייאות ולקרקייאות לפקח על עסקי רבים בשבת; ותנא דבי מנשיא: </w:t>
      </w:r>
      <w:r w:rsidR="0071064E">
        <w:rPr>
          <w:rStyle w:val="Style1Char"/>
          <w:rFonts w:hint="cs"/>
          <w:rtl/>
        </w:rPr>
        <w:t>(1)</w:t>
      </w:r>
      <w:r w:rsidRPr="00F450C8">
        <w:rPr>
          <w:rStyle w:val="Style1Char"/>
          <w:color w:val="00B050"/>
          <w:rtl/>
        </w:rPr>
        <w:t>משדכין על התינוקת ליארס בשבת, ועל התינוק ללמדו ספר וללמדו אומנות! אלא אמר רבי זירא: גזירה שמא ישחוט בן עוף. א"ל אביי: אלא מעתה, יום הכפורים שחל להיות בשני בשבת ידחה, גזירה שמא ישחוט בן עוף! התם דלנפשיה - לא טריד, הכא דלאחרים - טריד; אי נמי, התם אית ליה רווחא, הכא לית ליה רווחא. השתא דאתית להכי, ערב שבת נמי, גזירה שמא ישחוט בן עוף. איבעיא להו: בתולה נשאת ברביעי ונבעלת ברביעי, ולא חיישינן לאיקרורי דעתא, או דלמא בתולה נשאת ברביעי ונבעלת בחמישי, דחיישינן לאיקרורי דעתא? ת"ש, ד</w:t>
      </w:r>
      <w:r w:rsidRPr="00F03F3C">
        <w:rPr>
          <w:rStyle w:val="Style1Char"/>
          <w:color w:val="auto"/>
          <w:sz w:val="22"/>
          <w:szCs w:val="22"/>
          <w:rtl/>
        </w:rPr>
        <w:t>תני</w:t>
      </w:r>
      <w:r w:rsidRPr="00F450C8">
        <w:rPr>
          <w:rStyle w:val="Style1Char"/>
          <w:color w:val="00B050"/>
          <w:rtl/>
        </w:rPr>
        <w:t xml:space="preserve"> </w:t>
      </w:r>
      <w:r w:rsidRPr="00F03F3C">
        <w:rPr>
          <w:rStyle w:val="Style1Char"/>
          <w:color w:val="auto"/>
          <w:sz w:val="22"/>
          <w:szCs w:val="22"/>
          <w:rtl/>
        </w:rPr>
        <w:t xml:space="preserve">בר קפרא: בתולה נשאת ברביעי </w:t>
      </w:r>
      <w:r w:rsidR="00BF1DF4">
        <w:rPr>
          <w:rStyle w:val="Style1Char"/>
          <w:rFonts w:hint="cs"/>
          <w:rtl/>
        </w:rPr>
        <w:t>(2)</w:t>
      </w:r>
      <w:r w:rsidRPr="00F03F3C">
        <w:rPr>
          <w:rStyle w:val="Style1Char"/>
          <w:color w:val="auto"/>
          <w:sz w:val="22"/>
          <w:szCs w:val="22"/>
          <w:rtl/>
        </w:rPr>
        <w:t>ונבעלת בחמישי, הואיל ונאמרה בו ברכה לדגים; אלמנה נשאת בחמישי ונבעלת בששי, הואיל ונאמרה בו ברכה לאדם;</w:t>
      </w:r>
      <w:r w:rsidRPr="00D94F26">
        <w:rPr>
          <w:rStyle w:val="Style1Char"/>
          <w:sz w:val="22"/>
          <w:szCs w:val="22"/>
          <w:rtl/>
        </w:rPr>
        <w:t xml:space="preserve"> </w:t>
      </w:r>
      <w:r w:rsidRPr="00F450C8">
        <w:rPr>
          <w:rStyle w:val="Style1Char"/>
          <w:color w:val="00B050"/>
          <w:rtl/>
        </w:rPr>
        <w:t>טעמא משום ברכה, אבל משום איקרורי דעתא לא חיישינן. אי הכי, אלמנה נמי תיבעל בחמישי, הואיל ונאמרה בו ברכה לדגים! ברכה דאדם עדיפא ליה; ואי נמי, משום שקדו, ד</w:t>
      </w:r>
      <w:r w:rsidRPr="00F03F3C">
        <w:rPr>
          <w:rStyle w:val="Style1Char"/>
          <w:color w:val="auto"/>
          <w:sz w:val="22"/>
          <w:szCs w:val="22"/>
          <w:rtl/>
        </w:rPr>
        <w:t xml:space="preserve">תניא: מפני מה אמרו אלמנה נשאת בחמישי ונבעלת בששי? שאם אתה אומר תיבעל בחמישי, למחר משכים לאומנתו והולך לו, שקדו חכמים על תקנת בנות ישראל </w:t>
      </w:r>
      <w:r w:rsidR="00810A7D">
        <w:rPr>
          <w:rStyle w:val="Style1Char"/>
          <w:rFonts w:hint="cs"/>
          <w:rtl/>
        </w:rPr>
        <w:t>(3)</w:t>
      </w:r>
      <w:r w:rsidRPr="00F03F3C">
        <w:rPr>
          <w:rStyle w:val="Style1Char"/>
          <w:color w:val="auto"/>
          <w:sz w:val="22"/>
          <w:szCs w:val="22"/>
          <w:rtl/>
        </w:rPr>
        <w:t>שיהא שמח עמה שלשה ימים, חמישי בשבת וערב שבת ושבת</w:t>
      </w:r>
      <w:r w:rsidR="00DE30D8" w:rsidRPr="00DE30D8">
        <w:rPr>
          <w:rStyle w:val="Style1Char"/>
          <w:color w:val="4472C4" w:themeColor="accent1"/>
          <w:rtl/>
        </w:rPr>
        <w:t xml:space="preserve"> </w:t>
      </w:r>
      <w:r w:rsidR="00DE30D8" w:rsidRPr="00A755B9">
        <w:rPr>
          <w:rStyle w:val="Style1Char"/>
          <w:color w:val="4472C4" w:themeColor="accent1"/>
          <w:rtl/>
        </w:rPr>
        <w:t>והאידנא שב"ד קבועין בכל יום אשה נישאת בכל יום דמשום ברכה לא קבעו חכמים זמן מדפריך לעיל ותינשא באחד בשבת וברכה אינה אלא סעד שלא לבעול ביום רביעי עד ליל חמישי משום ברכה. ובאלמנה נראה גם כן דטעמא דשקדו עיקר דלא קבעו לאלמנה זמן משום ברכה הילכך אם אדם בטל הוא יכול להשיא בכל יום ואם בעל מלאכה הוא לא ישא אלא בחמישי ויבעול בששי.</w:t>
      </w:r>
      <w:r w:rsidRPr="00D94F26">
        <w:rPr>
          <w:rStyle w:val="Style1Char"/>
          <w:sz w:val="22"/>
          <w:szCs w:val="22"/>
          <w:rtl/>
        </w:rPr>
        <w:t xml:space="preserve">. </w:t>
      </w:r>
      <w:r w:rsidRPr="00F450C8">
        <w:rPr>
          <w:rStyle w:val="Style1Char"/>
          <w:color w:val="00B050"/>
          <w:rtl/>
        </w:rPr>
        <w:t xml:space="preserve">מאי איכא בין ברכה לשקדו? איכא בינייהו: אדם בטל; אי נמי, יום טוב שחל להיות בערב שבת. דרש בר קפרא: גדולים מעשה צדיקים יותר ממעשה שמים וארץ, דאילו במעשה שמים וארץ - כתיב: אף ידי יסדה ארץ וימיני טפחה שמים, ואילו במעשה ידיהם של צדיקים - כתיב: מכון לשבתך פעלת ה' מקדש אדני כוננו ידיך. השיב בבלי אחד ור' חייא שמו: ויבשת ידיו יצרו! ידו כתיב. והכתיב: יצרו! א"ר נחמן בר יצחק: יצרו אצבעותיו, כדכתיב: כי אראה שמיך מעשה אצבעותיך ירח וכוכבים אשר כוננת. מיתיבי: השמים מספרים כבוד אל ומעשה ידיו מגיד הרקיע! הכי קאמר: מעשה ידיהם של צדיקים מי מגיד? הרקיע, ומאי ניהו? מטר. דרש בר קפרא, מאי דכתיב: ויתד תהיה לך על אזנך? אל תקרי אזנך אלא על אוזנך, שאם ישמע אדם דבר שאינו הגון </w:t>
      </w:r>
      <w:r w:rsidR="00D94F26">
        <w:rPr>
          <w:rStyle w:val="Style1Char"/>
          <w:color w:val="00B050"/>
          <w:rtl/>
        </w:rPr>
        <w:t>–</w:t>
      </w:r>
      <w:r w:rsidRPr="00F450C8">
        <w:rPr>
          <w:rStyle w:val="Style1Char"/>
          <w:color w:val="00B050"/>
          <w:rtl/>
        </w:rPr>
        <w:t xml:space="preserve"> </w:t>
      </w:r>
    </w:p>
    <w:p w14:paraId="2DBDCBA7" w14:textId="03379682" w:rsidR="008D0263" w:rsidRDefault="008D0263" w:rsidP="008D0263">
      <w:pPr>
        <w:pStyle w:val="Style1"/>
        <w:rPr>
          <w:rStyle w:val="Style1Char"/>
          <w:rtl/>
        </w:rPr>
      </w:pPr>
      <w:r>
        <w:rPr>
          <w:rStyle w:val="Style1Char"/>
          <w:rFonts w:hint="cs"/>
          <w:rtl/>
        </w:rPr>
        <w:t>1)[</w:t>
      </w:r>
      <w:r w:rsidRPr="008D0263">
        <w:rPr>
          <w:rStyle w:val="Style1Char"/>
          <w:rtl/>
        </w:rPr>
        <w:t>רמב</w:t>
      </w:r>
      <w:r w:rsidR="00C764B2">
        <w:rPr>
          <w:rStyle w:val="Style1Char"/>
          <w:rtl/>
        </w:rPr>
        <w:t>”ם \זמנים\</w:t>
      </w:r>
      <w:r w:rsidRPr="008D0263">
        <w:rPr>
          <w:rStyle w:val="Style1Char"/>
          <w:rtl/>
        </w:rPr>
        <w:t xml:space="preserve"> הלכות שבת פרק כד הלכה ה</w:t>
      </w:r>
      <w:r>
        <w:rPr>
          <w:rStyle w:val="Style1Char"/>
          <w:rFonts w:hint="cs"/>
          <w:rtl/>
        </w:rPr>
        <w:t xml:space="preserve">] </w:t>
      </w:r>
      <w:r w:rsidRPr="008D0263">
        <w:rPr>
          <w:rStyle w:val="Style1Char"/>
          <w:rtl/>
        </w:rPr>
        <w:t>מותר לרוץ בשבת לדבר מצוה כגון שירוץ לבית הכנסת או לבית המדרש, ומחשבין חשבונות של מצוה ומודדין מדידה של מצוה כגון מקוה לידע אם יש בו כשיעור או בגד לידע אם מקבל טומאה, ופוסקין צדקה לעניים, והולכין לבתי כנסיות ולבתי מדרשות, ואפילו לטרטיאות וטרקלין של גוים, לפקח על עסקי רבים בשבת, ומשדכין על התינוקת ליארס ועל התינוק ללמדו ספר וללמדו אומנות, ומבקרין חולין ומנחמים אבלים, והנכנס לבקר את החולה אומר שבת היא מלזעוק ורפואה קרובה לבוא, ומחשיכין על התחום לפקח על עסקי כלה ועל עסקי המת להביא לו ארון ותכריכין, ואומר לו לך למקום פלוני לא מצאת שם הבא ממקום פלוני לא מצאת במנה הבא במאתים, ובלבד שלא יזכור לו סכום מקח, שכל אלו וכיוצא בהן מצוה הן ונאמר עשות חפציך וכו' חפצך אסורין חפצי שמים מותרין.</w:t>
      </w:r>
    </w:p>
    <w:p w14:paraId="6AE37AFE" w14:textId="77777777" w:rsidR="003F652E" w:rsidRPr="00E64BE4" w:rsidRDefault="00B7431C" w:rsidP="00E64BE4">
      <w:pPr>
        <w:pStyle w:val="Style1"/>
      </w:pPr>
      <w:r>
        <w:rPr>
          <w:rStyle w:val="Style1Char"/>
          <w:rFonts w:hint="cs"/>
          <w:rtl/>
        </w:rPr>
        <w:t>1)[</w:t>
      </w:r>
      <w:r w:rsidRPr="00B7431C">
        <w:rPr>
          <w:rStyle w:val="Style1Char"/>
          <w:rtl/>
        </w:rPr>
        <w:t>שולחן ערוך אורח חיים הלכות שבת סימן שו סעיף ו</w:t>
      </w:r>
      <w:r>
        <w:rPr>
          <w:rStyle w:val="Style1Char"/>
          <w:rFonts w:hint="cs"/>
          <w:rtl/>
        </w:rPr>
        <w:t>]</w:t>
      </w:r>
      <w:r w:rsidR="003F652E">
        <w:rPr>
          <w:rStyle w:val="Style1Char"/>
          <w:rFonts w:hint="cs"/>
          <w:rtl/>
        </w:rPr>
        <w:t xml:space="preserve"> </w:t>
      </w:r>
      <w:r w:rsidR="003F652E" w:rsidRPr="00E64BE4">
        <w:rPr>
          <w:rtl/>
        </w:rPr>
        <w:t>חפצי שמים מותר לדבר בהם כגון חשבונות של מצוה ולפסוק צדקה ולפקח על עסקי רבים ולשדך התינוק ליארס וללמדו ספר או אומנות ודוקא לדבר אם רוצה להשתכר אבל לשכרו ולהזכיר לו סכום מעות אסור</w:t>
      </w:r>
      <w:r w:rsidR="003F652E" w:rsidRPr="00E64BE4">
        <w:t>:</w:t>
      </w:r>
    </w:p>
    <w:p w14:paraId="33F256B7" w14:textId="475D0005" w:rsidR="003F652E" w:rsidRDefault="003F652E" w:rsidP="00E64BE4">
      <w:pPr>
        <w:pStyle w:val="Style1"/>
        <w:rPr>
          <w:rtl/>
        </w:rPr>
      </w:pPr>
      <w:r w:rsidRPr="00E64BE4">
        <w:rPr>
          <w:rFonts w:hint="cs"/>
          <w:rtl/>
        </w:rPr>
        <w:t>הגה: יש אומרים דבמקום שנוהגין ליתן לקורא בתורה מי שברך ונודר לצדקה או לחזן דאסור בשבת לפסוק כמה יתן (אור זרוע) והמנהג להקל דהא מותר לפסוק צדקה</w:t>
      </w:r>
      <w:r w:rsidRPr="00E64BE4">
        <w:t>:</w:t>
      </w:r>
    </w:p>
    <w:p w14:paraId="55D6ABF0" w14:textId="46448851" w:rsidR="002B6BC2" w:rsidRDefault="00B12562" w:rsidP="00B12562">
      <w:pPr>
        <w:pStyle w:val="Style1"/>
        <w:rPr>
          <w:rtl/>
        </w:rPr>
      </w:pPr>
      <w:r>
        <w:rPr>
          <w:rFonts w:hint="cs"/>
          <w:rtl/>
        </w:rPr>
        <w:t>2)[</w:t>
      </w:r>
      <w:r w:rsidR="002B6BC2">
        <w:rPr>
          <w:rtl/>
        </w:rPr>
        <w:t>טור אבן העזר הלכות קידושין סימן סד</w:t>
      </w:r>
      <w:r>
        <w:rPr>
          <w:rFonts w:hint="cs"/>
          <w:rtl/>
        </w:rPr>
        <w:t xml:space="preserve">] </w:t>
      </w:r>
      <w:r w:rsidR="002B6BC2">
        <w:rPr>
          <w:rtl/>
        </w:rPr>
        <w:t xml:space="preserve">הנושא בתולה </w:t>
      </w:r>
      <w:r>
        <w:rPr>
          <w:rFonts w:hint="cs"/>
        </w:rPr>
        <w:t>‍</w:t>
      </w:r>
      <w:r w:rsidR="002B6BC2">
        <w:rPr>
          <w:rtl/>
        </w:rPr>
        <w:t xml:space="preserve">צריך לשמוח עמה ז' ימים שלא יעשה מלאכה ולא נושא ונותן בשוק אלא אוכל ושותה ושמח עמה </w:t>
      </w:r>
      <w:r>
        <w:rPr>
          <w:rFonts w:hint="cs"/>
        </w:rPr>
        <w:t>‍</w:t>
      </w:r>
      <w:r w:rsidR="002B6BC2">
        <w:rPr>
          <w:rtl/>
        </w:rPr>
        <w:t>בין אם הוא בחור או אלמן ואם היא בעולה שמח עמה ג' ימים בין בחור בין אלמן</w:t>
      </w:r>
      <w:r>
        <w:rPr>
          <w:rFonts w:hint="cs"/>
          <w:rtl/>
        </w:rPr>
        <w:t xml:space="preserve"> </w:t>
      </w:r>
      <w:r>
        <w:rPr>
          <w:rFonts w:hint="cs"/>
        </w:rPr>
        <w:t>‍</w:t>
      </w:r>
      <w:r w:rsidR="002B6BC2">
        <w:rPr>
          <w:rtl/>
        </w:rPr>
        <w:t xml:space="preserve"> </w:t>
      </w:r>
      <w:r>
        <w:rPr>
          <w:rFonts w:hint="cs"/>
        </w:rPr>
        <w:t>‍</w:t>
      </w:r>
      <w:r w:rsidR="002B6BC2">
        <w:rPr>
          <w:rtl/>
        </w:rPr>
        <w:t>לפיכך תקנו חכמים ז"ל שתנשא אלמנה ביום ה' ותבעל בליל ו' כדי שיהיה שמח עמה ג' ימים</w:t>
      </w:r>
      <w:r>
        <w:rPr>
          <w:rFonts w:hint="cs"/>
        </w:rPr>
        <w:t>‍</w:t>
      </w:r>
      <w:r w:rsidR="002B6BC2">
        <w:rPr>
          <w:rtl/>
        </w:rPr>
        <w:t xml:space="preserve"> </w:t>
      </w:r>
      <w:r>
        <w:rPr>
          <w:rFonts w:hint="cs"/>
        </w:rPr>
        <w:t>‍</w:t>
      </w:r>
      <w:r w:rsidR="002B6BC2">
        <w:rPr>
          <w:rtl/>
        </w:rPr>
        <w:t xml:space="preserve">ה' בשבת וששי בשבת ושבת בד"א בבעל מלאכה אבל אדם בטל שאין לחוש שילך למלאכתו יכול לישא בכל יום ולבתולה לא תקנו יום ידוע לנישואין </w:t>
      </w:r>
      <w:r>
        <w:rPr>
          <w:rFonts w:hint="cs"/>
        </w:rPr>
        <w:t>‍</w:t>
      </w:r>
      <w:r w:rsidR="002B6BC2">
        <w:rPr>
          <w:rtl/>
        </w:rPr>
        <w:t>בשביל זה שאין לחוש שמא יניחנה וילך למלאכתו אבל תקנו שתנשא ביום רביעי</w:t>
      </w:r>
      <w:r>
        <w:rPr>
          <w:rFonts w:hint="cs"/>
          <w:rtl/>
        </w:rPr>
        <w:t xml:space="preserve"> </w:t>
      </w:r>
      <w:r>
        <w:rPr>
          <w:rFonts w:hint="cs"/>
        </w:rPr>
        <w:t>‍</w:t>
      </w:r>
      <w:r w:rsidR="002B6BC2">
        <w:rPr>
          <w:rtl/>
        </w:rPr>
        <w:t xml:space="preserve"> ותבעל בליל ה' לפי שב"ד יושבין בדין ביום שני וחמישי ואם יהיה לו טענת בתולים </w:t>
      </w:r>
      <w:r>
        <w:rPr>
          <w:rFonts w:hint="cs"/>
        </w:rPr>
        <w:t>‍</w:t>
      </w:r>
      <w:r w:rsidR="002B6BC2">
        <w:rPr>
          <w:rtl/>
        </w:rPr>
        <w:t xml:space="preserve">ישכים מיד בבקר לב"ד אבל לא תקנו שתנשא ביום א' ולבעול בליל שני אף על פי שב"ד יושבים ביום שני דשקדו חכמים שיהא טורח בסעודה ג' ימים ואחר כך כונס ובזמן הזה שאין זמן קבוע לישיבת ב"ד יכול לישא בכל יום שירצה מימות החול </w:t>
      </w:r>
      <w:r>
        <w:rPr>
          <w:rFonts w:hint="cs"/>
        </w:rPr>
        <w:t>‍</w:t>
      </w:r>
      <w:r w:rsidR="002B6BC2">
        <w:rPr>
          <w:rtl/>
        </w:rPr>
        <w:t xml:space="preserve">ובלבד שיהיה לו צרכי סעודה מוכן ואם אין לו מוכן לא ישא קודם יום רביעי </w:t>
      </w:r>
      <w:r>
        <w:rPr>
          <w:rFonts w:hint="cs"/>
        </w:rPr>
        <w:t>‍</w:t>
      </w:r>
      <w:r w:rsidR="002B6BC2">
        <w:rPr>
          <w:rtl/>
        </w:rPr>
        <w:t xml:space="preserve">כתב ה"ר אפרים אי אמר חתנא לא טריחנא אלא כניסנא בלא סעודתא וקרובי הכלה בעו דלעביד סעודתא כייפינן ליה דלעביד סעודתא כפום מנהגא דחזי לדידיה ולדידה </w:t>
      </w:r>
      <w:r>
        <w:rPr>
          <w:rFonts w:hint="cs"/>
        </w:rPr>
        <w:t>‍</w:t>
      </w:r>
      <w:r w:rsidR="002B6BC2">
        <w:rPr>
          <w:rtl/>
        </w:rPr>
        <w:t xml:space="preserve">דקי"ל עולה עמו ואינה יורדת עמו אבל אין כונסין את הבתולה לחופה ביום שבת לפי שעל ידי החופה זוכה במציאתה ובמעשה ידיה והוה ליה כקונה קנין בשבת ואלמנה אין חופה קונה בה  </w:t>
      </w:r>
      <w:r>
        <w:rPr>
          <w:rFonts w:hint="cs"/>
        </w:rPr>
        <w:t>‍</w:t>
      </w:r>
      <w:r w:rsidR="002B6BC2">
        <w:rPr>
          <w:rtl/>
        </w:rPr>
        <w:t xml:space="preserve">אלא ע"י יחוד של ביאה זוכה במציאתה </w:t>
      </w:r>
      <w:r>
        <w:rPr>
          <w:rFonts w:hint="cs"/>
        </w:rPr>
        <w:t>‍</w:t>
      </w:r>
      <w:r w:rsidR="002B6BC2">
        <w:rPr>
          <w:rtl/>
        </w:rPr>
        <w:t xml:space="preserve">לפיכך צריך להתייחד עמה בע"ש כדי שלא יהא כקונה קנין בשבת </w:t>
      </w:r>
      <w:r>
        <w:rPr>
          <w:rFonts w:hint="cs"/>
        </w:rPr>
        <w:t>‍</w:t>
      </w:r>
      <w:r w:rsidR="002B6BC2">
        <w:rPr>
          <w:rtl/>
        </w:rPr>
        <w:t>וכן אין לכנוס הבתולה ביום ששי לבעול ביום שבת לפי שאין בתי דינין קבועים בשבת וכתב א"א הרא"ש ז"ל ומה שנהגו האידנא לכנוס ביום ששי</w:t>
      </w:r>
      <w:r>
        <w:rPr>
          <w:rFonts w:hint="cs"/>
          <w:rtl/>
        </w:rPr>
        <w:t xml:space="preserve"> </w:t>
      </w:r>
      <w:r w:rsidR="002B6BC2">
        <w:rPr>
          <w:rtl/>
        </w:rPr>
        <w:t xml:space="preserve">משום דאף בכל ימי השבוע אין לנו בתי דינין קבועין ומי שיש לו עסק מקבץ ג' ומסדר טענותיו לפניהם </w:t>
      </w:r>
      <w:r>
        <w:rPr>
          <w:rFonts w:hint="cs"/>
        </w:rPr>
        <w:t>‍</w:t>
      </w:r>
      <w:r w:rsidR="002B6BC2">
        <w:rPr>
          <w:rtl/>
        </w:rPr>
        <w:t xml:space="preserve">וזה יכול לעשות אפילו בשבת כתב הרמב"ם </w:t>
      </w:r>
      <w:r>
        <w:rPr>
          <w:rFonts w:hint="cs"/>
        </w:rPr>
        <w:t>‍</w:t>
      </w:r>
      <w:r w:rsidR="002B6BC2">
        <w:rPr>
          <w:rtl/>
        </w:rPr>
        <w:t xml:space="preserve">אין נושאים נשים בע"ש ולא באחד בשבת גזירה שמא יבא לידי חילול שבת בתיקון הסעודה שהחתן טרוד בסעודה ואצ"ל שאסור לישא בשבת וא"א ז"ל כתב ומסקנא דהלכתא מותר לבעול בתחילה בשבת </w:t>
      </w:r>
      <w:r>
        <w:rPr>
          <w:rFonts w:hint="cs"/>
        </w:rPr>
        <w:t>‍</w:t>
      </w:r>
      <w:r w:rsidR="002B6BC2">
        <w:rPr>
          <w:rtl/>
        </w:rPr>
        <w:t xml:space="preserve">ולא חיישינן שמא ישחוט בן עוף ואהא סמכינן למיעבד סעודתא בין במוצאי שבת בין בשבת </w:t>
      </w:r>
      <w:r>
        <w:rPr>
          <w:rFonts w:hint="cs"/>
        </w:rPr>
        <w:t>‍</w:t>
      </w:r>
      <w:r w:rsidR="002B6BC2">
        <w:rPr>
          <w:rtl/>
        </w:rPr>
        <w:t xml:space="preserve">אין נושאים נשים בח"ה לא בתולות ולא אלמנות ולא מייבמין </w:t>
      </w:r>
      <w:r>
        <w:rPr>
          <w:rFonts w:hint="cs"/>
        </w:rPr>
        <w:t>‍</w:t>
      </w:r>
      <w:r w:rsidR="002B6BC2">
        <w:rPr>
          <w:rtl/>
        </w:rPr>
        <w:t xml:space="preserve">אבל מחזיר גרושתו מן הנישואין אבל לא מן האירוסין וטעמא משום דאין מערבין שמחה בשמחה או משום ביטול פריה ורביה </w:t>
      </w:r>
      <w:r>
        <w:rPr>
          <w:rFonts w:hint="cs"/>
        </w:rPr>
        <w:t>‍</w:t>
      </w:r>
      <w:r w:rsidR="002B6BC2">
        <w:rPr>
          <w:rtl/>
        </w:rPr>
        <w:t xml:space="preserve">פירוש שלא ישהא לישא עד המועד </w:t>
      </w:r>
      <w:r>
        <w:rPr>
          <w:rFonts w:hint="cs"/>
        </w:rPr>
        <w:t>‍</w:t>
      </w:r>
      <w:r w:rsidR="002B6BC2">
        <w:rPr>
          <w:rtl/>
        </w:rPr>
        <w:t xml:space="preserve">לפיכך מותר לישא בערב המועד. </w:t>
      </w:r>
      <w:r>
        <w:rPr>
          <w:rFonts w:hint="cs"/>
        </w:rPr>
        <w:t>‍</w:t>
      </w:r>
      <w:r w:rsidR="002B6BC2">
        <w:rPr>
          <w:rtl/>
        </w:rPr>
        <w:t>דין מי שהכין צרכי סעודה ואירעו אבל כתבתי בספר י"ד בהלכות אבל:</w:t>
      </w:r>
    </w:p>
    <w:p w14:paraId="4E2E63EA" w14:textId="6335ED64" w:rsidR="00810A7D" w:rsidRDefault="00810A7D" w:rsidP="00810A7D">
      <w:pPr>
        <w:pStyle w:val="Style1"/>
        <w:rPr>
          <w:rtl/>
        </w:rPr>
      </w:pPr>
      <w:r>
        <w:rPr>
          <w:rFonts w:hint="cs"/>
          <w:rtl/>
        </w:rPr>
        <w:t>3)[</w:t>
      </w:r>
      <w:r>
        <w:rPr>
          <w:rtl/>
        </w:rPr>
        <w:t>רמב</w:t>
      </w:r>
      <w:r w:rsidR="00213DA1">
        <w:rPr>
          <w:rtl/>
        </w:rPr>
        <w:t>”ם \נשים\</w:t>
      </w:r>
      <w:r>
        <w:rPr>
          <w:rtl/>
        </w:rPr>
        <w:t xml:space="preserve"> הלכות אישות פרק י הלכה יב</w:t>
      </w:r>
      <w:r>
        <w:rPr>
          <w:rFonts w:hint="cs"/>
          <w:rtl/>
        </w:rPr>
        <w:t xml:space="preserve">] </w:t>
      </w:r>
      <w:r>
        <w:rPr>
          <w:rtl/>
        </w:rPr>
        <w:t>וכן תקנו חכמים שכל הנושא בתולה יהיה שמח עמה שבעת ימים, אינו עוסק במלאכתו ולא נושא ונותן בשוק אלא אוכל ושותה ושמח, בין שהיה בחור בין שהיה אלמון, ואם היתה בעולה אין פחות משלשה ימים, שתקנת חכמים היא לבנות ישראל שיהיה שמח עם הבעולה שלשה ימים בין בחור בין אלמון.</w:t>
      </w:r>
    </w:p>
    <w:p w14:paraId="73A2FFC9" w14:textId="77777777" w:rsidR="00810A7D" w:rsidRPr="00A3371C" w:rsidRDefault="00810A7D" w:rsidP="00810A7D">
      <w:pPr>
        <w:pStyle w:val="Style1"/>
      </w:pPr>
      <w:r>
        <w:rPr>
          <w:rFonts w:hint="cs"/>
          <w:rtl/>
        </w:rPr>
        <w:t>3</w:t>
      </w:r>
      <w:r>
        <w:rPr>
          <w:rStyle w:val="Style1Char"/>
          <w:rFonts w:hint="cs"/>
          <w:rtl/>
        </w:rPr>
        <w:t>)[</w:t>
      </w:r>
      <w:r w:rsidRPr="00A65F71">
        <w:rPr>
          <w:rStyle w:val="Style1Char"/>
          <w:rtl/>
        </w:rPr>
        <w:t>שולחן ערוך אבן העזר הלכות קידושין סימן סד סעיף ג</w:t>
      </w:r>
      <w:r>
        <w:rPr>
          <w:rStyle w:val="Style1Char"/>
          <w:rFonts w:hint="cs"/>
          <w:rtl/>
        </w:rPr>
        <w:t xml:space="preserve">] </w:t>
      </w:r>
      <w:r w:rsidRPr="00A3371C">
        <w:rPr>
          <w:rtl/>
        </w:rPr>
        <w:t>יש אומרים שאין נושאין נשים לא בערב שבת ולא באחד בשבת, גזרה שמא יבוא לידי חילול שבת בתקון הסעודה. ויש מתירין. וכן פשט המנהג לישא נשים בערב שבת, והוא שיטרח בסעדת הנשואין שלושה ימים קדם הנשואין. ומקום שאין בית דין יושבים בו אלא בשני ובחמישי בלבד, בתולה נשאת ביום רביעי, שאם היתה לו טענת בתולים ישכים לבית דין. ומנהג חכמים שהנושא את הבעולה ישאנה בחמישי, כדי שיהיה שמח עמה שלושה ימים: חמישי בשבת וערב שבת ושבת, ויוצא למלאכתו יום ראשון</w:t>
      </w:r>
      <w:r w:rsidRPr="00A3371C">
        <w:t>.</w:t>
      </w:r>
    </w:p>
    <w:p w14:paraId="4F3BC42B" w14:textId="77777777" w:rsidR="00810A7D" w:rsidRDefault="00810A7D" w:rsidP="00810A7D">
      <w:pPr>
        <w:pStyle w:val="Style1"/>
        <w:rPr>
          <w:rtl/>
        </w:rPr>
      </w:pPr>
      <w:r w:rsidRPr="00A3371C">
        <w:rPr>
          <w:rFonts w:hint="cs"/>
          <w:rtl/>
        </w:rPr>
        <w:t>ונהגו שלא לישא נשים אלא בתחילת החדש, בעוד שהלבנה במלואה (הר"ן סוף פרק ארבע מיתות), ועיין </w:t>
      </w:r>
      <w:hyperlink r:id="rId14" w:tooltip="שולחן ערוך יורה דעה קעט" w:history="1">
        <w:r w:rsidRPr="00A3371C">
          <w:rPr>
            <w:rStyle w:val="Hyperlink"/>
            <w:rFonts w:hint="cs"/>
            <w:color w:val="7030A0"/>
            <w:u w:val="none"/>
            <w:rtl/>
          </w:rPr>
          <w:t>ביורה דעה סימן קע"ט</w:t>
        </w:r>
      </w:hyperlink>
      <w:r w:rsidRPr="00A3371C">
        <w:t>:</w:t>
      </w:r>
    </w:p>
    <w:p w14:paraId="4519AE4D" w14:textId="22E3FA8A" w:rsidR="00B7431C" w:rsidRPr="008D0263" w:rsidRDefault="00B7431C" w:rsidP="00B7431C">
      <w:pPr>
        <w:pStyle w:val="Style1"/>
        <w:rPr>
          <w:rStyle w:val="Style1Char"/>
          <w:rtl/>
        </w:rPr>
      </w:pPr>
    </w:p>
    <w:p w14:paraId="39DBADA8" w14:textId="77777777" w:rsidR="00F03F3C" w:rsidRPr="00F03F3C" w:rsidRDefault="00F03F3C" w:rsidP="00F03F3C">
      <w:pPr>
        <w:bidi/>
        <w:rPr>
          <w:rStyle w:val="Style1Char"/>
          <w:color w:val="00B050"/>
          <w:rtl/>
        </w:rPr>
      </w:pPr>
    </w:p>
    <w:p w14:paraId="6524A153" w14:textId="77777777" w:rsidR="00D94F26" w:rsidRPr="00D94F26" w:rsidRDefault="00D94F26" w:rsidP="00D94F26">
      <w:pPr>
        <w:bidi/>
        <w:rPr>
          <w:rStyle w:val="Style1Char"/>
          <w:color w:val="00B050"/>
          <w:rtl/>
        </w:rPr>
      </w:pPr>
    </w:p>
    <w:p w14:paraId="077E362F" w14:textId="77777777" w:rsidR="00F450C8" w:rsidRDefault="00F450C8">
      <w:pPr>
        <w:rPr>
          <w:rStyle w:val="Style1Char"/>
          <w:color w:val="00B050"/>
          <w:rtl/>
        </w:rPr>
      </w:pPr>
      <w:r>
        <w:rPr>
          <w:rStyle w:val="Style1Char"/>
          <w:color w:val="00B050"/>
          <w:rtl/>
        </w:rPr>
        <w:br w:type="page"/>
      </w:r>
    </w:p>
    <w:p w14:paraId="36C67DEF" w14:textId="4D6F0C3A" w:rsidR="00F450C8" w:rsidRDefault="00F450C8" w:rsidP="00F450C8">
      <w:pPr>
        <w:bidi/>
        <w:rPr>
          <w:rStyle w:val="Style1Char"/>
          <w:color w:val="00B050"/>
          <w:rtl/>
        </w:rPr>
      </w:pPr>
      <w:r w:rsidRPr="00F450C8">
        <w:rPr>
          <w:rStyle w:val="Style1Char"/>
          <w:color w:val="00B050"/>
          <w:sz w:val="22"/>
          <w:szCs w:val="22"/>
          <w:highlight w:val="yellow"/>
          <w:rtl/>
        </w:rPr>
        <w:lastRenderedPageBreak/>
        <w:t>[דף ה עמוד ב]</w:t>
      </w:r>
      <w:r w:rsidRPr="00F450C8">
        <w:rPr>
          <w:rStyle w:val="Style1Char"/>
          <w:color w:val="00B050"/>
          <w:sz w:val="22"/>
          <w:szCs w:val="22"/>
          <w:rtl/>
        </w:rPr>
        <w:t xml:space="preserve"> </w:t>
      </w:r>
      <w:r w:rsidRPr="00F450C8">
        <w:rPr>
          <w:rStyle w:val="Style1Char"/>
          <w:color w:val="00B050"/>
          <w:rtl/>
        </w:rPr>
        <w:t xml:space="preserve">יניח אצבעו באזניו; והיינו דאמר ר' אלעזר: מפני מה אצבעותיו של אדם דומות ליתידות? מאי טעמא? אילימא משום דמחלקן, כל חדא וחדא למילתיה עבידא, דאמר מר: זו זרת, זו קמיצה, זו אמה, זו אצבע, זה גודל! אלא מה טעם משופות כיתידות? שאם ישמע אדם דבר שאינו הגון - יניח אצבעותיו באזניו. תנא דבי רבי ישמעאל: מפני מה אוזן כולה קשה והאליה רכה? שאם ישמע אדם דבר שאינו הגון - יכוף אליה לתוכה. ת"ר: אל ישמיע אדם לאזניו דברים בטלים, מפני שהן נכוות תחלה לאיברים. </w:t>
      </w:r>
      <w:r w:rsidRPr="00320EFA">
        <w:rPr>
          <w:rStyle w:val="Style1Char"/>
          <w:color w:val="auto"/>
          <w:sz w:val="22"/>
          <w:szCs w:val="22"/>
          <w:rtl/>
        </w:rPr>
        <w:t xml:space="preserve">איבעיא להו: מהו לבעול בתחלה בשבת, </w:t>
      </w:r>
      <w:r w:rsidRPr="00F450C8">
        <w:rPr>
          <w:rStyle w:val="Style1Char"/>
          <w:color w:val="00B050"/>
          <w:rtl/>
        </w:rPr>
        <w:t xml:space="preserve">דם מיפקד פקיד או חבורי מיחבר? ואם תימצי לומר דם מיפקד פקיד, לדם הוא צריך ושרי, או דלמא לפתח הוא צריך ואסיר? ואם תימצי לומר לדם הוא צריך ופתח ממילא קאתי, הלכה כר"ש, דאמר: דבר שאין מתכוין מותר, או הלכה כרבי יהודה, דאמר: דבר שאין מתכוין אסור? ואם תימצי לומר הלכה כר' יהודה, מקלקל הוא אצל הפתח או מתקן הוא אצל הפתח? איכא דאמרי: ואם תימצי לומר דם חבורי מיחבר, לדם הוא צריך ואסור, או דלמא להנאת עצמו הוא צריך ושרי? ואם תימצי לומר להנאת עצמו הוא צריך ודם ממילא קאתי, הלכה כרבי יהודה או הלכה כר"ש? ואם תימצי לומר הלכה כר' יהודה, מקלקל בחבורה או מתקן בחבורה הוא? ואם תימצי לומר מקלקל בחבורה הוא, במקלקל הלכה כרבי יהודה </w:t>
      </w:r>
    </w:p>
    <w:p w14:paraId="02DE01B2" w14:textId="77777777" w:rsidR="00F450C8" w:rsidRDefault="00F450C8">
      <w:pPr>
        <w:rPr>
          <w:rStyle w:val="Style1Char"/>
          <w:color w:val="00B050"/>
          <w:rtl/>
        </w:rPr>
      </w:pPr>
      <w:r>
        <w:rPr>
          <w:rStyle w:val="Style1Char"/>
          <w:color w:val="00B050"/>
          <w:rtl/>
        </w:rPr>
        <w:br w:type="page"/>
      </w:r>
    </w:p>
    <w:p w14:paraId="34BD75FF" w14:textId="72903F8C" w:rsidR="00F450C8" w:rsidRDefault="00F450C8" w:rsidP="00F450C8">
      <w:pPr>
        <w:bidi/>
        <w:rPr>
          <w:rStyle w:val="Style1Char"/>
          <w:color w:val="00B050"/>
          <w:rtl/>
        </w:rPr>
      </w:pPr>
      <w:r w:rsidRPr="00F450C8">
        <w:rPr>
          <w:rStyle w:val="Style1Char"/>
          <w:color w:val="00B050"/>
          <w:sz w:val="22"/>
          <w:szCs w:val="22"/>
          <w:highlight w:val="yellow"/>
          <w:rtl/>
        </w:rPr>
        <w:lastRenderedPageBreak/>
        <w:t>[דף ו עמוד א]</w:t>
      </w:r>
      <w:r w:rsidRPr="00F450C8">
        <w:rPr>
          <w:rStyle w:val="Style1Char"/>
          <w:color w:val="00B050"/>
          <w:sz w:val="22"/>
          <w:szCs w:val="22"/>
          <w:rtl/>
        </w:rPr>
        <w:t xml:space="preserve"> </w:t>
      </w:r>
      <w:r w:rsidRPr="00F450C8">
        <w:rPr>
          <w:rStyle w:val="Style1Char"/>
          <w:color w:val="00B050"/>
          <w:rtl/>
        </w:rPr>
        <w:t xml:space="preserve">או הלכה כר"ש? (איתמר) בבי רב אמרי: רב שרי, ושמואל אסר; בנהרדעא אמרי: רב אסר, ושמואל שרי. אמר רב נחמן בר יצחק, וסימניך: אלו מקילין לעצמן, ואלו מקילין לעצמן. ורב שרי? והאמר רב שימי בר חזקיה משמיה דרב: </w:t>
      </w:r>
      <w:r w:rsidR="00810A7D">
        <w:rPr>
          <w:rStyle w:val="Style1Char"/>
          <w:rFonts w:hint="cs"/>
          <w:rtl/>
        </w:rPr>
        <w:t>(1)</w:t>
      </w:r>
      <w:r w:rsidRPr="00F450C8">
        <w:rPr>
          <w:rStyle w:val="Style1Char"/>
          <w:color w:val="00B050"/>
          <w:rtl/>
        </w:rPr>
        <w:t xml:space="preserve">האי מסוכריא דנזייתא, אסור להדוקה ביומא טבא? בההוא אפילו ר"ש מודה, דאביי ורבא דאמרי תרוייהו: מודה ר"ש בפסיק רישיה ולא ימות. והא אמר רב חייא בר אשי אמר רב: הלכה כרבי יהודה, ורב חנן בר אמי אמר שמואל: הלכה כרבי שמעון; ורב חייא בר אבין מתני לה בלא גברי, רב אמר: הלכה כר' יהודה, ושמואל אמר: הלכה כרבי שמעון! לעולם רב כרבי יהודה סבירא ליה, להך לישנא דאמר דם מיפקד פקיד - מקלקל הוא אצל הפתח, להך לישנא דאמר דם חבורי מיחבר - מקלקל בחבורה הוא. מתיב רב חסדא: תינוקת שלא הגיע זמנה לראות ונשאת, ב"ש אומרים: נותנין לה ארבעה לילות, וב"ה אומרים: </w:t>
      </w:r>
      <w:r w:rsidR="009E5910">
        <w:rPr>
          <w:rStyle w:val="Style1Char"/>
          <w:rFonts w:hint="cs"/>
          <w:rtl/>
        </w:rPr>
        <w:t>(2)</w:t>
      </w:r>
      <w:r w:rsidRPr="00F450C8">
        <w:rPr>
          <w:rStyle w:val="Style1Char"/>
          <w:color w:val="00B050"/>
          <w:rtl/>
        </w:rPr>
        <w:t xml:space="preserve">עד שתחיה המכה; הגיע זמנה לראות ונשאת, בש"א: נותנין לה לילה הראשון, ובית הלל אומרים: עד מוצאי שבת </w:t>
      </w:r>
      <w:r w:rsidR="009E5910">
        <w:rPr>
          <w:rStyle w:val="Style1Char"/>
          <w:rFonts w:hint="cs"/>
          <w:rtl/>
        </w:rPr>
        <w:t>(2)</w:t>
      </w:r>
      <w:r w:rsidRPr="00F450C8">
        <w:rPr>
          <w:rStyle w:val="Style1Char"/>
          <w:color w:val="00B050"/>
          <w:rtl/>
        </w:rPr>
        <w:t xml:space="preserve">ארבעה לילות; </w:t>
      </w:r>
    </w:p>
    <w:p w14:paraId="084B16FB" w14:textId="6FF0AAD4" w:rsidR="009E5910" w:rsidRPr="009E5910" w:rsidRDefault="009E5910" w:rsidP="009E5910">
      <w:pPr>
        <w:pStyle w:val="Style1"/>
      </w:pPr>
      <w:r>
        <w:rPr>
          <w:rStyle w:val="Style1Char"/>
          <w:rFonts w:hint="cs"/>
          <w:rtl/>
        </w:rPr>
        <w:t>1)[</w:t>
      </w:r>
      <w:r w:rsidRPr="009E5910">
        <w:rPr>
          <w:rStyle w:val="Style1Char"/>
          <w:rtl/>
        </w:rPr>
        <w:t>שולחן ערוך אורח חיים הלכות שבת סימן שכ סעיף יח</w:t>
      </w:r>
      <w:r>
        <w:rPr>
          <w:rStyle w:val="Style1Char"/>
          <w:rFonts w:hint="cs"/>
          <w:rtl/>
        </w:rPr>
        <w:t xml:space="preserve">] </w:t>
      </w:r>
      <w:r w:rsidRPr="009E5910">
        <w:rPr>
          <w:rtl/>
        </w:rPr>
        <w:t>חבית שפקקו בפקק של פשתן לסתום נקב שבדופנה שמוציאין בו היין יש מי שמתיר אף על פי שאי אפשר שלא יסחוט והוא שלא יהא תחתיו כלי דכיון שאינו נהנה בסחיטה זו הוי פסיק רישא</w:t>
      </w:r>
      <w:r w:rsidRPr="009E5910">
        <w:t xml:space="preserve"> (</w:t>
      </w:r>
      <w:r w:rsidRPr="009E5910">
        <w:rPr>
          <w:rtl/>
        </w:rPr>
        <w:t>פירוש איסור נמשך בהכרח מדבר מה כמו המות הנמשך בהכרח מהתזת הראש</w:t>
      </w:r>
      <w:r w:rsidRPr="009E5910">
        <w:t xml:space="preserve">) </w:t>
      </w:r>
      <w:r w:rsidRPr="009E5910">
        <w:rPr>
          <w:rtl/>
        </w:rPr>
        <w:t>דלא ניחא ליה ומותר וחלקו עליו ואמרו דאף על גב דלא ניחא ליה כיון דפסיק רישא הוא אסור והעולם נוהגים היתר בדבר ויש ללמד עליהם זכות דכיון שהברזא ארוכה חוץ לנעורת ואין יד מגעת לנעורת מותר מידי דהוי אספוג</w:t>
      </w:r>
      <w:r w:rsidRPr="009E5910">
        <w:t xml:space="preserve"> (</w:t>
      </w:r>
      <w:r w:rsidRPr="009E5910">
        <w:rPr>
          <w:rtl/>
        </w:rPr>
        <w:t>פירש הערוך ספוג הוא על ראש דג אחד גדול שבים ובשעה שמרים ראשו להסתכל בעולם יורד אותו הספוג על עיניו ואינו רואה כלום ולולי זה לא היתה ספינה נצולת מפניו</w:t>
      </w:r>
      <w:r w:rsidRPr="009E5910">
        <w:t xml:space="preserve">) </w:t>
      </w:r>
      <w:r w:rsidRPr="009E5910">
        <w:rPr>
          <w:rtl/>
        </w:rPr>
        <w:t>שיש לו בית אחיזה ולפי שאין טענה זו חזקה ויש לגמגם בה טוב להנהיגם שלא יהא כלי תחת החבית בשעה שפוקקים הנקב</w:t>
      </w:r>
    </w:p>
    <w:p w14:paraId="43BD4D29" w14:textId="7ED67109" w:rsidR="009E5910" w:rsidRDefault="009E5910" w:rsidP="009E5910">
      <w:pPr>
        <w:pStyle w:val="Style1"/>
        <w:rPr>
          <w:rtl/>
        </w:rPr>
      </w:pPr>
      <w:r w:rsidRPr="009E5910">
        <w:rPr>
          <w:rFonts w:hint="cs"/>
        </w:rPr>
        <w:t>(</w:t>
      </w:r>
      <w:r w:rsidRPr="009E5910">
        <w:rPr>
          <w:rFonts w:hint="cs"/>
          <w:rtl/>
        </w:rPr>
        <w:t>ועיין לעיל </w:t>
      </w:r>
      <w:hyperlink r:id="rId15" w:tooltip="שולחן ערוך אורח חיים שא" w:history="1">
        <w:r w:rsidRPr="009E5910">
          <w:rPr>
            <w:rStyle w:val="Hyperlink"/>
            <w:rFonts w:hint="cs"/>
            <w:color w:val="7030A0"/>
            <w:u w:val="none"/>
            <w:rtl/>
          </w:rPr>
          <w:t>סימן ש"א</w:t>
        </w:r>
      </w:hyperlink>
      <w:r w:rsidRPr="009E5910">
        <w:rPr>
          <w:rFonts w:hint="cs"/>
        </w:rPr>
        <w:t> </w:t>
      </w:r>
      <w:r w:rsidRPr="009E5910">
        <w:rPr>
          <w:rFonts w:hint="cs"/>
          <w:rtl/>
        </w:rPr>
        <w:t>עוד מדיני סחיטה</w:t>
      </w:r>
      <w:r w:rsidRPr="009E5910">
        <w:rPr>
          <w:rFonts w:hint="cs"/>
        </w:rPr>
        <w:t>)</w:t>
      </w:r>
      <w:r w:rsidRPr="009E5910">
        <w:t>:</w:t>
      </w:r>
    </w:p>
    <w:p w14:paraId="03BB6760" w14:textId="3592B41A" w:rsidR="009E5910" w:rsidRDefault="009E5910" w:rsidP="009E5910">
      <w:pPr>
        <w:pStyle w:val="Style1"/>
        <w:rPr>
          <w:rtl/>
        </w:rPr>
      </w:pPr>
      <w:r>
        <w:rPr>
          <w:rFonts w:hint="cs"/>
          <w:rtl/>
        </w:rPr>
        <w:t>2)[</w:t>
      </w:r>
      <w:r>
        <w:rPr>
          <w:rtl/>
        </w:rPr>
        <w:t>רמב</w:t>
      </w:r>
      <w:r w:rsidR="00213DA1">
        <w:rPr>
          <w:rtl/>
        </w:rPr>
        <w:t>”ם \קדושה\</w:t>
      </w:r>
      <w:r>
        <w:rPr>
          <w:rtl/>
        </w:rPr>
        <w:t xml:space="preserve"> הלכות איסורי ביאה פרק ה הלכה יח</w:t>
      </w:r>
      <w:r>
        <w:rPr>
          <w:rFonts w:hint="cs"/>
          <w:rtl/>
        </w:rPr>
        <w:t xml:space="preserve">] </w:t>
      </w:r>
      <w:r>
        <w:rPr>
          <w:rtl/>
        </w:rPr>
        <w:t>דם בתולים טהור הוא ואינו לא דם נדה ולא דם זיבה שאינו מן המקור אלא כמו דם חבורה, וכיצד דין הבתולה בדמים אם נשאת קטנה בין לא ראתה דם מימיה בין שראתה דם בבית אביה הרי זו מותרת לבעלה עד שתחיה המכה שכל דם שתראה מחמת המכה היא, ואם ראתה דם אחר שתחיה המכה הרי זו נדה.</w:t>
      </w:r>
    </w:p>
    <w:p w14:paraId="76E14411" w14:textId="142DC0A4" w:rsidR="004768B0" w:rsidRPr="009E5910" w:rsidRDefault="004768B0" w:rsidP="004768B0">
      <w:pPr>
        <w:pStyle w:val="Style1"/>
      </w:pPr>
      <w:r>
        <w:rPr>
          <w:rFonts w:hint="cs"/>
          <w:rtl/>
        </w:rPr>
        <w:t>2)[</w:t>
      </w:r>
      <w:r>
        <w:rPr>
          <w:rtl/>
        </w:rPr>
        <w:t>רמב</w:t>
      </w:r>
      <w:r w:rsidR="00213DA1">
        <w:rPr>
          <w:rtl/>
        </w:rPr>
        <w:t>”ם \קדושה\</w:t>
      </w:r>
      <w:r>
        <w:rPr>
          <w:rtl/>
        </w:rPr>
        <w:t xml:space="preserve"> הלכות איסורי ביאה פרק ה הלכה יט</w:t>
      </w:r>
      <w:r>
        <w:rPr>
          <w:rFonts w:hint="cs"/>
          <w:rtl/>
        </w:rPr>
        <w:t xml:space="preserve">] </w:t>
      </w:r>
      <w:r>
        <w:rPr>
          <w:rtl/>
        </w:rPr>
        <w:t>נשאת כשהיא נערה אם לא ראתה מימיה דם הרי זו מותרת לבעלה ארבעה ימים ביום ובלילה אף על פי שהדם שותת והוא שלא חיתה המכה, ואם ראתה דם בבית אביה ואח"כ נשאת אין לו לבא עליה אלא בעילה ראשונה ופורש ויהיה דם בתולים זה כאילו היא תחלת נדה, ובוגרת שלא ראתה מימיה נותנין לה כל לילה הראשון. /השגת הראב"ד/ ואם ראתה דם בבית אביה וכו'. כתב הראב"ד ז"ל כב"ש היא עכ"ל.</w:t>
      </w:r>
    </w:p>
    <w:p w14:paraId="6DD0B6A3" w14:textId="77777777" w:rsidR="009E5910" w:rsidRPr="009E5910" w:rsidRDefault="009E5910" w:rsidP="009E5910">
      <w:pPr>
        <w:pStyle w:val="Style1"/>
        <w:rPr>
          <w:rStyle w:val="Style1Char"/>
        </w:rPr>
      </w:pPr>
    </w:p>
    <w:p w14:paraId="22E2CB1B" w14:textId="7A9AF6F2" w:rsidR="009E5910" w:rsidRDefault="009E5910" w:rsidP="009E5910">
      <w:pPr>
        <w:bidi/>
        <w:rPr>
          <w:rStyle w:val="Style1Char"/>
          <w:color w:val="00B050"/>
          <w:rtl/>
        </w:rPr>
      </w:pPr>
    </w:p>
    <w:p w14:paraId="248CA2BA" w14:textId="77777777" w:rsidR="00F450C8" w:rsidRDefault="00F450C8">
      <w:pPr>
        <w:rPr>
          <w:rStyle w:val="Style1Char"/>
          <w:color w:val="00B050"/>
          <w:rtl/>
        </w:rPr>
      </w:pPr>
      <w:r>
        <w:rPr>
          <w:rStyle w:val="Style1Char"/>
          <w:color w:val="00B050"/>
          <w:rtl/>
        </w:rPr>
        <w:br w:type="page"/>
      </w:r>
    </w:p>
    <w:p w14:paraId="652FB9AC" w14:textId="271E1143" w:rsidR="00F450C8" w:rsidRDefault="00F450C8" w:rsidP="00F450C8">
      <w:pPr>
        <w:bidi/>
        <w:rPr>
          <w:rStyle w:val="Style1Char"/>
          <w:color w:val="00B050"/>
          <w:rtl/>
        </w:rPr>
      </w:pPr>
      <w:r w:rsidRPr="00F450C8">
        <w:rPr>
          <w:rStyle w:val="Style1Char"/>
          <w:color w:val="00B050"/>
          <w:sz w:val="22"/>
          <w:szCs w:val="22"/>
          <w:highlight w:val="yellow"/>
          <w:rtl/>
        </w:rPr>
        <w:lastRenderedPageBreak/>
        <w:t>[דף ו עמוד ב]</w:t>
      </w:r>
      <w:r w:rsidRPr="00F450C8">
        <w:rPr>
          <w:rStyle w:val="Style1Char"/>
          <w:color w:val="00B050"/>
          <w:sz w:val="22"/>
          <w:szCs w:val="22"/>
          <w:rtl/>
        </w:rPr>
        <w:t xml:space="preserve"> </w:t>
      </w:r>
      <w:r w:rsidRPr="00F450C8">
        <w:rPr>
          <w:rStyle w:val="Style1Char"/>
          <w:color w:val="00B050"/>
          <w:rtl/>
        </w:rPr>
        <w:t xml:space="preserve">מאי לאו דאי לא בעל - מצי בעיל אפילו בשבת! אמר רבא: לא, לבר משבת. אמר ליה אביי: והא עד מוצאי שבת ארבעה לילות קתני! אלא אמר רבא: כשבעל. אי כשבעל, מאי קמ"ל? קמ"ל דשרי למיבעל בשבת; כדשמואל, דאמר שמואל: פירצה דחוקה מותר ליכנס בה בשבת, ואף על פי שמשיר צרורות. מתיב רב יוסף: </w:t>
      </w:r>
      <w:r w:rsidR="004768B0">
        <w:rPr>
          <w:rStyle w:val="Style1Char"/>
          <w:rFonts w:hint="cs"/>
          <w:rtl/>
        </w:rPr>
        <w:t>(1)</w:t>
      </w:r>
      <w:r w:rsidRPr="00F450C8">
        <w:rPr>
          <w:rStyle w:val="Style1Char"/>
          <w:color w:val="00B050"/>
          <w:rtl/>
        </w:rPr>
        <w:t xml:space="preserve">חתן פטור מקרית שמע לילה הראשון, עד מוצאי שבת אם לא עשה מעשה; מאי לאו דטריד דבעי למיבעל! אמר ליה אביי: לא, דטריד דלא בעיל. אמר ליה רבא: ומשום טירדא פטור? אלא מעתה, טבעה ספינתו בים הכי נמי דפטור! וכי תימא ה"נ, והאמר רבי אבא בר זבדא אמר רב: אבל חייב בכל המצות האמורות בתורה, </w:t>
      </w:r>
      <w:r w:rsidR="00CC293C">
        <w:rPr>
          <w:rStyle w:val="Style1Char"/>
          <w:rFonts w:hint="cs"/>
          <w:rtl/>
        </w:rPr>
        <w:t>(2)</w:t>
      </w:r>
      <w:r w:rsidRPr="00F450C8">
        <w:rPr>
          <w:rStyle w:val="Style1Char"/>
          <w:color w:val="00B050"/>
          <w:rtl/>
        </w:rPr>
        <w:t xml:space="preserve">חוץ מן התפילין, שנא' בהן פאר! אלא אמר רבא: תנאי היא, דתנא חדא: אם לא עשה מעשה בראשון - פטור אף בשני, בשני - פטור אף בשלישי; ותניא אידך: ראשון ושני - פטור, שלישי - חייב. ואביי? התם נמי בטירדא פליגי. והני תנאי כי הני תנאי; דתניא: הכונס את הבתולה - לא יבעול בתחלה בשבת, וחכמים מתירין. מאן חכמים? אמר רבה: רבי שמעון היא, דאמר: דבר שאין מתכוין - מותר. אמר ליה אביי: והא מודה ר' שמעון בפסיק רישיה ולא ימות! אמר ליה: לא כהללו בבליים שאין בקיאין בהטייה, אלא יש בקיאין בהטייה. א"כ, טורד למה? לשאינו בקי. יאמרו: בקי מותר, שאינו בקי אסור! רוב בקיאין הן. אמר ליה רבא בר רב חנן לאביי: אלא מעתה, שושבינין למה? מפה למה? א"ל: התם שמא יראה ויאבד. מתיב רבי אמי: </w:t>
      </w:r>
      <w:r w:rsidR="0047527B">
        <w:rPr>
          <w:rStyle w:val="Style1Char"/>
          <w:rFonts w:hint="cs"/>
          <w:rtl/>
        </w:rPr>
        <w:t>(3)</w:t>
      </w:r>
      <w:r w:rsidRPr="00F450C8">
        <w:rPr>
          <w:rStyle w:val="Style1Char"/>
          <w:color w:val="00B050"/>
          <w:rtl/>
        </w:rPr>
        <w:t xml:space="preserve">המפיס מורסא בשבת, אם לעשות לה פה - חייב, ואם להוציא ממנה ליחה </w:t>
      </w:r>
      <w:r w:rsidR="00692FA3">
        <w:rPr>
          <w:rStyle w:val="Style1Char"/>
          <w:color w:val="00B050"/>
          <w:rtl/>
        </w:rPr>
        <w:t>–</w:t>
      </w:r>
      <w:r w:rsidRPr="00F450C8">
        <w:rPr>
          <w:rStyle w:val="Style1Char"/>
          <w:color w:val="00B050"/>
          <w:rtl/>
        </w:rPr>
        <w:t xml:space="preserve"> </w:t>
      </w:r>
    </w:p>
    <w:p w14:paraId="4E39B99E" w14:textId="5FE9FA1B" w:rsidR="00692FA3" w:rsidRDefault="00692FA3" w:rsidP="00692FA3">
      <w:pPr>
        <w:pStyle w:val="Style1"/>
        <w:rPr>
          <w:rStyle w:val="Style1Char"/>
          <w:rtl/>
        </w:rPr>
      </w:pPr>
      <w:r>
        <w:rPr>
          <w:rStyle w:val="Style1Char"/>
          <w:rFonts w:hint="cs"/>
          <w:rtl/>
        </w:rPr>
        <w:t>1)[</w:t>
      </w:r>
      <w:r w:rsidRPr="00692FA3">
        <w:rPr>
          <w:rStyle w:val="Style1Char"/>
          <w:rtl/>
        </w:rPr>
        <w:t>רמב</w:t>
      </w:r>
      <w:r w:rsidR="00C764B2">
        <w:rPr>
          <w:rStyle w:val="Style1Char"/>
          <w:rtl/>
        </w:rPr>
        <w:t>”ם \אהבה\</w:t>
      </w:r>
      <w:r w:rsidRPr="00692FA3">
        <w:rPr>
          <w:rStyle w:val="Style1Char"/>
          <w:rtl/>
        </w:rPr>
        <w:t xml:space="preserve"> הלכות קריאת שמע פרק ד הלכה א</w:t>
      </w:r>
      <w:r>
        <w:rPr>
          <w:rStyle w:val="Style1Char"/>
          <w:rFonts w:hint="cs"/>
          <w:rtl/>
        </w:rPr>
        <w:t xml:space="preserve">] </w:t>
      </w:r>
      <w:r w:rsidRPr="00692FA3">
        <w:rPr>
          <w:rStyle w:val="Style1Char"/>
          <w:rtl/>
        </w:rPr>
        <w:t>נשים ועבדים וקטנים פטורים מקריאת שמע, ומלמדין את הקטנים לקרותה בעונתה ומברכין לפניה ולאחריה כדי לחנכן במצות, מי שהיה לבו טרוד ונחפז לדבר מצוה פטור מכל המצות ומקריאת שמע, לפיכך חתן שנשא בתולה פטור מקריאת שמע עד שיבא עליה, לפי שאין דעתו פנויה שמא לא ימצא לה בתולים, ואם שהה עד מוצאי שבת ולא בעל חייב לקרות ממוצאי שבת ואילך שהרי נתקררה דעתו ולבו גס בה אף על פי שלא בעל.</w:t>
      </w:r>
    </w:p>
    <w:p w14:paraId="22CBA35F" w14:textId="4763279C" w:rsidR="00CC293C" w:rsidRPr="00CC293C" w:rsidRDefault="00692FA3" w:rsidP="00CC293C">
      <w:pPr>
        <w:pStyle w:val="Style1"/>
      </w:pPr>
      <w:r>
        <w:rPr>
          <w:rStyle w:val="Style1Char"/>
          <w:rFonts w:hint="cs"/>
          <w:rtl/>
        </w:rPr>
        <w:t>1)[</w:t>
      </w:r>
      <w:r w:rsidRPr="00692FA3">
        <w:rPr>
          <w:rStyle w:val="Style1Char"/>
          <w:rtl/>
        </w:rPr>
        <w:t>שולחן ערוך אורח חיים הלכות קריאת שמע סימן ע סעיף ג</w:t>
      </w:r>
      <w:r>
        <w:rPr>
          <w:rStyle w:val="Style1Char"/>
          <w:rFonts w:hint="cs"/>
          <w:rtl/>
        </w:rPr>
        <w:t>]</w:t>
      </w:r>
      <w:r w:rsidR="00CC293C">
        <w:rPr>
          <w:rStyle w:val="Style1Char"/>
          <w:rFonts w:hint="cs"/>
          <w:rtl/>
        </w:rPr>
        <w:t xml:space="preserve"> </w:t>
      </w:r>
      <w:r w:rsidR="00CC293C" w:rsidRPr="00CC293C">
        <w:rPr>
          <w:rtl/>
        </w:rPr>
        <w:t>הכונס את הבתולה פטור מקריאת שמע ג' ימים אם לא עשה מעשה מפני שהוא טרוד טרדת מצוה והני מילי בזמן הראשונים אבל עכשיו שגם שאר בני אדם אינם מכוונים כראוי גם הכונס את הבתולה קורא</w:t>
      </w:r>
      <w:r w:rsidR="00CC293C" w:rsidRPr="00CC293C">
        <w:t>.</w:t>
      </w:r>
    </w:p>
    <w:p w14:paraId="79474A5A" w14:textId="6004A178" w:rsidR="00CC293C" w:rsidRDefault="00CC293C" w:rsidP="00CC293C">
      <w:pPr>
        <w:pStyle w:val="Style1"/>
        <w:rPr>
          <w:rtl/>
        </w:rPr>
      </w:pPr>
      <w:r w:rsidRPr="00CC293C">
        <w:rPr>
          <w:rFonts w:hint="cs"/>
          <w:rtl/>
        </w:rPr>
        <w:t>הגה</w:t>
      </w:r>
      <w:r w:rsidRPr="00CC293C">
        <w:rPr>
          <w:rFonts w:hint="cs"/>
        </w:rPr>
        <w:t>: </w:t>
      </w:r>
      <w:r w:rsidRPr="00CC293C">
        <w:rPr>
          <w:rFonts w:hint="cs"/>
          <w:rtl/>
        </w:rPr>
        <w:t>ועיין לקמן </w:t>
      </w:r>
      <w:hyperlink r:id="rId16" w:tooltip="שולחן ערוך אורח חיים צט" w:history="1">
        <w:r w:rsidRPr="00CC293C">
          <w:rPr>
            <w:rStyle w:val="Hyperlink"/>
            <w:rFonts w:hint="cs"/>
            <w:color w:val="7030A0"/>
            <w:u w:val="none"/>
            <w:rtl/>
          </w:rPr>
          <w:t>סימן צ"ט</w:t>
        </w:r>
      </w:hyperlink>
      <w:r w:rsidRPr="00CC293C">
        <w:rPr>
          <w:rFonts w:hint="cs"/>
        </w:rPr>
        <w:t> </w:t>
      </w:r>
      <w:r w:rsidRPr="00CC293C">
        <w:rPr>
          <w:rFonts w:hint="cs"/>
          <w:rtl/>
        </w:rPr>
        <w:t>אם שכור יקרא קריאת שמע</w:t>
      </w:r>
      <w:r w:rsidRPr="00CC293C">
        <w:t>:</w:t>
      </w:r>
    </w:p>
    <w:p w14:paraId="2CB37068" w14:textId="7D8BC9BC" w:rsidR="00CC293C" w:rsidRDefault="00CC293C" w:rsidP="00CC293C">
      <w:pPr>
        <w:pStyle w:val="Style1"/>
        <w:rPr>
          <w:rtl/>
        </w:rPr>
      </w:pPr>
      <w:r>
        <w:rPr>
          <w:rFonts w:hint="cs"/>
          <w:rtl/>
        </w:rPr>
        <w:t>2)[</w:t>
      </w:r>
      <w:r>
        <w:rPr>
          <w:rtl/>
        </w:rPr>
        <w:t>רמב</w:t>
      </w:r>
      <w:r w:rsidR="00C764B2">
        <w:rPr>
          <w:rtl/>
        </w:rPr>
        <w:t>”ם \אהבה\</w:t>
      </w:r>
      <w:r>
        <w:rPr>
          <w:rtl/>
        </w:rPr>
        <w:t xml:space="preserve"> הלכות תפילין ומזוזה וספר תורה פרק ד הלכה יג</w:t>
      </w:r>
      <w:r>
        <w:rPr>
          <w:rFonts w:hint="cs"/>
          <w:rtl/>
        </w:rPr>
        <w:t xml:space="preserve">] </w:t>
      </w:r>
      <w:r>
        <w:rPr>
          <w:rtl/>
        </w:rPr>
        <w:t>כל הפטור מקריאת שמע פטור מתפילין, קטן שיודע לשמור תפיליו אביו לוקח לו תפילין כדי לחנכו במצות, חולי מעים וכל מי שלא יכול לשמור את נקביו אלא בצער פטור מן התפילין, וכל הטמאים כולן חייבין בתפילין כטהורים, מצטער ומי שאין דעתו מיושבת ונכונה עליו פטור מן התפילין שהמניח תפילין אסור לו להסיח דעתו מהן, כהנים בשעת העבודה והלוים בשעה שאומרים השיר של הדוכן וישראל בשעה שעומדים במקדש פטורין מן התפלה ומן התפילין.</w:t>
      </w:r>
    </w:p>
    <w:p w14:paraId="174AE5D4" w14:textId="519EF188" w:rsidR="00CC293C" w:rsidRDefault="00CC293C" w:rsidP="00CC293C">
      <w:pPr>
        <w:pStyle w:val="Style1"/>
        <w:rPr>
          <w:rtl/>
        </w:rPr>
      </w:pPr>
      <w:r>
        <w:rPr>
          <w:rFonts w:hint="cs"/>
          <w:rtl/>
        </w:rPr>
        <w:t>2)[</w:t>
      </w:r>
      <w:r>
        <w:rPr>
          <w:rtl/>
        </w:rPr>
        <w:t>רמב</w:t>
      </w:r>
      <w:r w:rsidR="00213DA1">
        <w:rPr>
          <w:rtl/>
        </w:rPr>
        <w:t>”ם \שופטים\</w:t>
      </w:r>
      <w:r>
        <w:rPr>
          <w:rtl/>
        </w:rPr>
        <w:t xml:space="preserve"> הלכות אבל פרק ד הלכה ט</w:t>
      </w:r>
      <w:r>
        <w:rPr>
          <w:rFonts w:hint="cs"/>
          <w:rtl/>
        </w:rPr>
        <w:t xml:space="preserve">] </w:t>
      </w:r>
      <w:r>
        <w:rPr>
          <w:rtl/>
        </w:rPr>
        <w:t>האבל ביום ראשון בלבד אסור להניח תפילין ולאכול משלו, וחייב לישב על מטה כפויה, ובשאר ימי האבל מותר לו לאכול משלו ולישב על גבי מפץ או קרקע, ומניח תפילין, ומנין שהוא אסור ביום ראשון להניח תפילין, שהרי נאמר ליחזקאל פארך חבוש עליך מכלל שכל העם אסורין, ונאמר לו ולחם אנשים לא תאכל מכלל שכל העם אוכלין משל אחרים ביום ראשון ואסורין לאכול משל עצמן. /השגת הראב"ד/ וחייב לישב על מטה כפויה. א"א לא ראיתי שורש לזה.</w:t>
      </w:r>
    </w:p>
    <w:p w14:paraId="3E04ECB0" w14:textId="6D4B8713" w:rsidR="00CC293C" w:rsidRDefault="0047527B" w:rsidP="00CC293C">
      <w:pPr>
        <w:pStyle w:val="Style1"/>
        <w:rPr>
          <w:rtl/>
        </w:rPr>
      </w:pPr>
      <w:r>
        <w:rPr>
          <w:rFonts w:hint="cs"/>
          <w:rtl/>
        </w:rPr>
        <w:t>2</w:t>
      </w:r>
      <w:r w:rsidR="00CC293C">
        <w:rPr>
          <w:rFonts w:hint="cs"/>
          <w:rtl/>
        </w:rPr>
        <w:t>)[</w:t>
      </w:r>
      <w:r w:rsidR="00CC293C">
        <w:rPr>
          <w:rtl/>
        </w:rPr>
        <w:t>שולחן ערוך אורח חיים הלכות תפילין סימן לח סעיף ה</w:t>
      </w:r>
      <w:r w:rsidR="00CC293C">
        <w:rPr>
          <w:rFonts w:hint="cs"/>
          <w:rtl/>
        </w:rPr>
        <w:t>]</w:t>
      </w:r>
      <w:r>
        <w:rPr>
          <w:rFonts w:hint="cs"/>
          <w:rtl/>
        </w:rPr>
        <w:t xml:space="preserve"> </w:t>
      </w:r>
      <w:r w:rsidRPr="0047527B">
        <w:rPr>
          <w:rtl/>
        </w:rPr>
        <w:t>אבל ביום ראשון אסור להניח תפילין מכאן ואילך חייב אפילו באו פנים חדשות</w:t>
      </w:r>
      <w:r w:rsidRPr="0047527B">
        <w:t>:</w:t>
      </w:r>
    </w:p>
    <w:p w14:paraId="41C77D12" w14:textId="147F8549" w:rsidR="0047527B" w:rsidRDefault="0047527B" w:rsidP="0047527B">
      <w:pPr>
        <w:pStyle w:val="Style1"/>
        <w:rPr>
          <w:rtl/>
        </w:rPr>
      </w:pPr>
      <w:r>
        <w:rPr>
          <w:rFonts w:hint="cs"/>
          <w:rtl/>
        </w:rPr>
        <w:t>2)[</w:t>
      </w:r>
      <w:r>
        <w:rPr>
          <w:rtl/>
        </w:rPr>
        <w:t>שולחן ערוך יורה דעה הלכות אבילות סימן שפח סעיף א</w:t>
      </w:r>
      <w:r>
        <w:rPr>
          <w:rFonts w:hint="cs"/>
          <w:rtl/>
        </w:rPr>
        <w:t xml:space="preserve">] </w:t>
      </w:r>
      <w:r w:rsidRPr="0047527B">
        <w:rPr>
          <w:rtl/>
        </w:rPr>
        <w:t>אָבֵל אסור להניח תפילין ביום ראשון, ואחר שהנץ החמה ביום שני מותר להניחם</w:t>
      </w:r>
      <w:r w:rsidRPr="0047527B">
        <w:t>.</w:t>
      </w:r>
    </w:p>
    <w:p w14:paraId="7B28EC4D" w14:textId="39178FA8" w:rsidR="0047527B" w:rsidRDefault="0047527B" w:rsidP="0047527B">
      <w:pPr>
        <w:pStyle w:val="Style1"/>
        <w:rPr>
          <w:rtl/>
        </w:rPr>
      </w:pPr>
      <w:r>
        <w:rPr>
          <w:rFonts w:hint="cs"/>
          <w:rtl/>
        </w:rPr>
        <w:t>3)[</w:t>
      </w:r>
      <w:r>
        <w:rPr>
          <w:rtl/>
        </w:rPr>
        <w:t>רמב</w:t>
      </w:r>
      <w:r w:rsidR="00C764B2">
        <w:rPr>
          <w:rtl/>
        </w:rPr>
        <w:t>”ם \זמנים\</w:t>
      </w:r>
      <w:r>
        <w:rPr>
          <w:rtl/>
        </w:rPr>
        <w:t xml:space="preserve"> הלכות שבת פרק י הלכה יז</w:t>
      </w:r>
      <w:r>
        <w:rPr>
          <w:rFonts w:hint="cs"/>
          <w:rtl/>
        </w:rPr>
        <w:t xml:space="preserve">] </w:t>
      </w:r>
      <w:r>
        <w:rPr>
          <w:rtl/>
        </w:rPr>
        <w:t>המפיס שחין בשבת כדי להרחיב פי המכה כדרך שהרופאין עושין שהן מתכוונין ברפואה להרחיב פי המכה הרי זה חייב משום מכה בפטיש שזו היא מלאכת הרופא, ואם הפיסה להוציא ממנה הליחה שבה הרי זה מותר. /השגת הראב"ד/ וזו היא מלאכת [וכו']. /א"א/ נסחא אחרינא מלאכת בונה.</w:t>
      </w:r>
    </w:p>
    <w:p w14:paraId="6DE049A1" w14:textId="0FDC6751" w:rsidR="0047527B" w:rsidRPr="0047527B" w:rsidRDefault="0047527B" w:rsidP="0047527B">
      <w:pPr>
        <w:pStyle w:val="Style1"/>
      </w:pPr>
      <w:r>
        <w:rPr>
          <w:rFonts w:hint="cs"/>
          <w:rtl/>
        </w:rPr>
        <w:t>3)[</w:t>
      </w:r>
      <w:r>
        <w:rPr>
          <w:rtl/>
        </w:rPr>
        <w:t>שולחן ערוך אורח חיים הלכות שבת סימן שכח סעיף כח</w:t>
      </w:r>
      <w:r>
        <w:rPr>
          <w:rFonts w:hint="cs"/>
          <w:rtl/>
        </w:rPr>
        <w:t xml:space="preserve">] </w:t>
      </w:r>
      <w:r w:rsidRPr="0047527B">
        <w:rPr>
          <w:rtl/>
        </w:rPr>
        <w:t>המפיס שחין בשבת כדי להרחיב פי המכה כדרך שהרופאים עושים שהם מתכוונים ברפואה להרחיב פי המכה הרי זה חייב משום מכה בפטיש שזו היא מלאכת הרופא ואם הפיסה כדי להוציא ממנה הליחה שבה הרי זה מותר</w:t>
      </w:r>
      <w:r w:rsidRPr="0047527B">
        <w:t>:</w:t>
      </w:r>
    </w:p>
    <w:p w14:paraId="41BC1943" w14:textId="48127AB5" w:rsidR="0047527B" w:rsidRPr="0047527B" w:rsidRDefault="0047527B" w:rsidP="0047527B">
      <w:pPr>
        <w:pStyle w:val="Style1"/>
      </w:pPr>
    </w:p>
    <w:p w14:paraId="4E9A196F" w14:textId="705C05EC" w:rsidR="0047527B" w:rsidRPr="0047527B" w:rsidRDefault="0047527B" w:rsidP="0047527B">
      <w:pPr>
        <w:pStyle w:val="Style1"/>
      </w:pPr>
    </w:p>
    <w:p w14:paraId="1BE3DB83" w14:textId="34809361" w:rsidR="00CC293C" w:rsidRPr="00CC293C" w:rsidRDefault="00CC293C" w:rsidP="00CC293C">
      <w:pPr>
        <w:pStyle w:val="Style1"/>
      </w:pPr>
    </w:p>
    <w:p w14:paraId="55F8B7E9" w14:textId="77777777" w:rsidR="00CC293C" w:rsidRPr="00CC293C" w:rsidRDefault="00CC293C" w:rsidP="00CC293C">
      <w:pPr>
        <w:pStyle w:val="Style1"/>
        <w:rPr>
          <w:rStyle w:val="Style1Char"/>
        </w:rPr>
      </w:pPr>
    </w:p>
    <w:p w14:paraId="52B688E5" w14:textId="0CD41871" w:rsidR="00692FA3" w:rsidRPr="00CC293C" w:rsidRDefault="00692FA3" w:rsidP="00CC293C">
      <w:pPr>
        <w:pStyle w:val="Style1"/>
        <w:rPr>
          <w:rStyle w:val="Style1Char"/>
          <w:rtl/>
        </w:rPr>
      </w:pPr>
    </w:p>
    <w:p w14:paraId="6C66DADC" w14:textId="77777777" w:rsidR="00F450C8" w:rsidRDefault="00F450C8">
      <w:pPr>
        <w:rPr>
          <w:rStyle w:val="Style1Char"/>
          <w:color w:val="00B050"/>
          <w:rtl/>
        </w:rPr>
      </w:pPr>
      <w:r>
        <w:rPr>
          <w:rStyle w:val="Style1Char"/>
          <w:color w:val="00B050"/>
          <w:rtl/>
        </w:rPr>
        <w:br w:type="page"/>
      </w:r>
    </w:p>
    <w:p w14:paraId="7E1CECD1" w14:textId="126CCC24" w:rsidR="00F450C8" w:rsidRDefault="00F450C8" w:rsidP="00F450C8">
      <w:pPr>
        <w:bidi/>
        <w:rPr>
          <w:rStyle w:val="Style1Char"/>
          <w:color w:val="4472C4" w:themeColor="accent1"/>
          <w:sz w:val="22"/>
          <w:szCs w:val="22"/>
          <w:rtl/>
        </w:rPr>
      </w:pPr>
      <w:r w:rsidRPr="00F450C8">
        <w:rPr>
          <w:rStyle w:val="Style1Char"/>
          <w:color w:val="00B050"/>
          <w:sz w:val="22"/>
          <w:szCs w:val="22"/>
          <w:highlight w:val="yellow"/>
          <w:rtl/>
        </w:rPr>
        <w:lastRenderedPageBreak/>
        <w:t>[דף ז עמוד א]</w:t>
      </w:r>
      <w:r w:rsidRPr="00F450C8">
        <w:rPr>
          <w:rStyle w:val="Style1Char"/>
          <w:color w:val="00B050"/>
          <w:sz w:val="22"/>
          <w:szCs w:val="22"/>
          <w:rtl/>
        </w:rPr>
        <w:t xml:space="preserve"> </w:t>
      </w:r>
      <w:r w:rsidRPr="00F450C8">
        <w:rPr>
          <w:rStyle w:val="Style1Char"/>
          <w:color w:val="00B050"/>
          <w:rtl/>
        </w:rPr>
        <w:t xml:space="preserve">פטור! התם פקיד ועקיר, הכא פקיד ולא עקיר. </w:t>
      </w:r>
      <w:r w:rsidRPr="00D57E4F">
        <w:rPr>
          <w:rStyle w:val="Style1Char"/>
          <w:color w:val="auto"/>
          <w:sz w:val="22"/>
          <w:szCs w:val="22"/>
          <w:rtl/>
        </w:rPr>
        <w:t>רבי אמי שרא למיבעל בתחלה בשבת</w:t>
      </w:r>
      <w:r w:rsidRPr="00D57E4F">
        <w:rPr>
          <w:rStyle w:val="Style1Char"/>
          <w:color w:val="auto"/>
          <w:rtl/>
        </w:rPr>
        <w:t xml:space="preserve">, </w:t>
      </w:r>
      <w:r w:rsidRPr="00D57E4F">
        <w:rPr>
          <w:rStyle w:val="Style1Char"/>
          <w:color w:val="auto"/>
          <w:sz w:val="22"/>
          <w:szCs w:val="22"/>
          <w:rtl/>
        </w:rPr>
        <w:t xml:space="preserve">אמרי ליה רבנן: והא לא כתיבא כתובתה! אמר להו: </w:t>
      </w:r>
      <w:r w:rsidR="00795C2E">
        <w:rPr>
          <w:rStyle w:val="Style1Char"/>
          <w:rFonts w:hint="cs"/>
          <w:rtl/>
        </w:rPr>
        <w:t>(1)</w:t>
      </w:r>
      <w:r w:rsidRPr="00D57E4F">
        <w:rPr>
          <w:rStyle w:val="Style1Char"/>
          <w:color w:val="auto"/>
          <w:sz w:val="22"/>
          <w:szCs w:val="22"/>
          <w:rtl/>
        </w:rPr>
        <w:t>אתפסוה מטלטלין</w:t>
      </w:r>
      <w:r w:rsidR="007D2385" w:rsidRPr="00D57E4F">
        <w:rPr>
          <w:rStyle w:val="Style1Char"/>
          <w:color w:val="auto"/>
          <w:rtl/>
        </w:rPr>
        <w:t xml:space="preserve"> </w:t>
      </w:r>
      <w:r w:rsidR="007D2385" w:rsidRPr="000344AA">
        <w:rPr>
          <w:rStyle w:val="Style1Char"/>
          <w:color w:val="806000" w:themeColor="accent4" w:themeShade="80"/>
          <w:sz w:val="22"/>
          <w:szCs w:val="22"/>
          <w:rtl/>
        </w:rPr>
        <w:t>בכתובה</w:t>
      </w:r>
      <w:r w:rsidRPr="007D2385">
        <w:rPr>
          <w:rStyle w:val="Style1Char"/>
          <w:sz w:val="22"/>
          <w:szCs w:val="22"/>
          <w:rtl/>
        </w:rPr>
        <w:t>.</w:t>
      </w:r>
      <w:r w:rsidRPr="00F450C8">
        <w:rPr>
          <w:rStyle w:val="Style1Char"/>
          <w:color w:val="00B050"/>
          <w:rtl/>
        </w:rPr>
        <w:t xml:space="preserve"> רב זביד שרא למיבעל בתחלה בשבת. איכא דאמרי: רב זביד גופיה בעל בתחלה בשבת. רב יהודה שרא למיבעל בתחלה ביום טוב. אמר רב פפי משמיה דרבא: לא תימא ביום טוב דשרי, הא בשבת אסור, דהוא הדין דאפילו בשבת נמי שרי, ומעשה שהיה כך היה. רב פפא משמיה דרבא אמר: ביום טוב שרי, בשבת אסור. א"ל רב פפי לרב פפא: מאי דעתיך? מתוך שהותרה חבורה לצורך - הותרה נמי שלא לצורך, אלא מעתה, מותר לעשות מוגמר ביום טוב, דמתוך שהותרה הבערה לצורך - הותרה נמי שלא לצורך! אמר ליה, עליך אמר קרא: אך אשר יאכל לכל נפש, דבר השוה לכל נפש. אמר ליה רב אחא בריה דרבא לרב אשי: אלא מעתה, נזדמן לו צבי ביום טוב, הואיל ואינו שוה לכל נפש, ה"נ דאסור למשחטיה! אמר ליה: אנא דבר הצורך לכל נפש קאמינא, צבי צריך לכל נפש הוא. אמר רבי יעקב בר אידי, הורה רבי יוחנן בציידן: אסור לבעול בתחלה בשבת. ומי איכא הוראה לאיסור? אין, והתנן: הורוה בית הלל, </w:t>
      </w:r>
      <w:r w:rsidR="00795C2E">
        <w:rPr>
          <w:rStyle w:val="Style1Char"/>
          <w:rFonts w:hint="cs"/>
          <w:rtl/>
        </w:rPr>
        <w:t>(2)</w:t>
      </w:r>
      <w:r w:rsidRPr="00F450C8">
        <w:rPr>
          <w:rStyle w:val="Style1Char"/>
          <w:color w:val="00B050"/>
          <w:rtl/>
        </w:rPr>
        <w:t xml:space="preserve">שתהא נזירה עוד שבע שנים אחרות; ואי נמי, כי הא דתניא: </w:t>
      </w:r>
      <w:r w:rsidR="00795C2E">
        <w:rPr>
          <w:rStyle w:val="Style1Char"/>
          <w:rFonts w:hint="cs"/>
          <w:rtl/>
        </w:rPr>
        <w:t>(3)</w:t>
      </w:r>
      <w:r w:rsidRPr="00F450C8">
        <w:rPr>
          <w:rStyle w:val="Style1Char"/>
          <w:color w:val="00B050"/>
          <w:rtl/>
        </w:rPr>
        <w:t xml:space="preserve">חוט השדרה שנפסק ברובו, דברי רבי, ר' יעקב אומר: אפי' ניקב, הורה רבי כר' יעקב. אמר רב הונא: אין הלכה כר' יעקב. רב נחמן בר יצחק מתני הכי, אמר ר' אבהו: שאל ר' ישמעאל בן יעקב דמן צור את רבי יוחנן בציידן, ואנא שמעי: מהו לבעול בתחלה בשבת? ואמר ליה: אסור. </w:t>
      </w:r>
      <w:r w:rsidR="008D38AF" w:rsidRPr="00D57E4F">
        <w:rPr>
          <w:rStyle w:val="Style1Char"/>
          <w:color w:val="806000" w:themeColor="accent4" w:themeShade="80"/>
          <w:sz w:val="22"/>
          <w:szCs w:val="22"/>
          <w:rtl/>
        </w:rPr>
        <w:t xml:space="preserve">ומסקנא </w:t>
      </w:r>
      <w:r w:rsidRPr="00D57E4F">
        <w:rPr>
          <w:rStyle w:val="Style1Char"/>
          <w:color w:val="auto"/>
          <w:sz w:val="22"/>
          <w:szCs w:val="22"/>
          <w:rtl/>
        </w:rPr>
        <w:t xml:space="preserve">והלכתא: </w:t>
      </w:r>
      <w:r w:rsidR="00EB0C71">
        <w:rPr>
          <w:rStyle w:val="Style1Char"/>
          <w:rFonts w:hint="cs"/>
          <w:rtl/>
        </w:rPr>
        <w:t>(4)</w:t>
      </w:r>
      <w:r w:rsidRPr="00D57E4F">
        <w:rPr>
          <w:rStyle w:val="Style1Char"/>
          <w:color w:val="auto"/>
          <w:sz w:val="22"/>
          <w:szCs w:val="22"/>
          <w:rtl/>
        </w:rPr>
        <w:t>מותר לבעול בתחלה בשבת</w:t>
      </w:r>
      <w:r w:rsidRPr="00F450C8">
        <w:rPr>
          <w:rStyle w:val="Style1Char"/>
          <w:color w:val="00B050"/>
          <w:rtl/>
        </w:rPr>
        <w:t xml:space="preserve">. </w:t>
      </w:r>
      <w:r w:rsidR="00D57E4F" w:rsidRPr="00A755B9">
        <w:rPr>
          <w:rStyle w:val="Style1Char"/>
          <w:color w:val="4472C4" w:themeColor="accent1"/>
          <w:rtl/>
        </w:rPr>
        <w:t xml:space="preserve">ולא חיישינן שמא ישחוט בן עוף ואהא סמכינן למיעבד סעודתא בין בשבת בין במוצאי שבת. </w:t>
      </w:r>
      <w:r w:rsidRPr="00F450C8">
        <w:rPr>
          <w:rStyle w:val="Style1Char"/>
          <w:color w:val="00B050"/>
          <w:rtl/>
        </w:rPr>
        <w:t xml:space="preserve">אמר רבי חלבו </w:t>
      </w:r>
      <w:r w:rsidRPr="004723E4">
        <w:rPr>
          <w:rStyle w:val="Style1Char"/>
          <w:color w:val="auto"/>
          <w:sz w:val="22"/>
          <w:szCs w:val="22"/>
          <w:rtl/>
        </w:rPr>
        <w:t>אמר רב הונא א"ר אבא בר זבדא אמר רב: אחת בתולה ואחת אלמנה - טעונה ברכה</w:t>
      </w:r>
      <w:r w:rsidR="00B66A89" w:rsidRPr="004723E4">
        <w:rPr>
          <w:rStyle w:val="Style1Char"/>
          <w:color w:val="C00000"/>
          <w:sz w:val="22"/>
          <w:szCs w:val="22"/>
          <w:rtl/>
        </w:rPr>
        <w:t xml:space="preserve"> </w:t>
      </w:r>
      <w:r w:rsidR="00B66A89" w:rsidRPr="004723E4">
        <w:rPr>
          <w:rStyle w:val="Style1Char"/>
          <w:color w:val="806000" w:themeColor="accent4" w:themeShade="80"/>
          <w:sz w:val="22"/>
          <w:szCs w:val="22"/>
          <w:rtl/>
        </w:rPr>
        <w:t xml:space="preserve">כל ז' ודוקא אלמנה שנשאת לבחור אבל אלמנה שנשאת לאלמון אינה טעונה ברכה אלא יום אחד בלבד </w:t>
      </w:r>
      <w:r w:rsidRPr="00F450C8">
        <w:rPr>
          <w:rStyle w:val="Style1Char"/>
          <w:color w:val="00B050"/>
          <w:rtl/>
        </w:rPr>
        <w:t xml:space="preserve">ומי אמר רב הונא הכי? והאמר רב הונא: אלמנה אינה טעונה ברכה! לא קשיא: כאן בבחור שנשא אלמנה, כאן באלמון שנשא אלמנה. ואלמון שנשא אלמנה לא? והאמר רב נחמן: אמר לי הונא בר נתן, תנא: מנין </w:t>
      </w:r>
      <w:r w:rsidR="00543E78">
        <w:rPr>
          <w:rStyle w:val="Style1Char"/>
          <w:rFonts w:hint="cs"/>
          <w:rtl/>
        </w:rPr>
        <w:t>(5)</w:t>
      </w:r>
      <w:r w:rsidRPr="00F450C8">
        <w:rPr>
          <w:rStyle w:val="Style1Char"/>
          <w:color w:val="00B050"/>
          <w:rtl/>
        </w:rPr>
        <w:t xml:space="preserve">לברכת חתנים בעשרה? שנאמר: ויקח עשרה אנשים מזקני העיר ויאמר שבו פה וישבו; ובועז אלמון שנשא אלמנה הוה! מאי אינה טעונה ברכה דאמר רב הונא? אינה טעונה ברכה כל ז', </w:t>
      </w:r>
      <w:r w:rsidR="00543E78">
        <w:rPr>
          <w:rStyle w:val="Style1Char"/>
          <w:rFonts w:hint="cs"/>
          <w:rtl/>
        </w:rPr>
        <w:t>(5.1, 6)</w:t>
      </w:r>
      <w:r w:rsidRPr="00F450C8">
        <w:rPr>
          <w:rStyle w:val="Style1Char"/>
          <w:color w:val="00B050"/>
          <w:rtl/>
        </w:rPr>
        <w:t xml:space="preserve">אבל יום אחד טעונה ברכה. </w:t>
      </w:r>
      <w:r w:rsidRPr="00FA6511">
        <w:rPr>
          <w:rStyle w:val="Style1Char"/>
          <w:color w:val="auto"/>
          <w:sz w:val="22"/>
          <w:szCs w:val="22"/>
          <w:rtl/>
        </w:rPr>
        <w:t xml:space="preserve">אלא הא דתניא: שקדו חכמים על תקנת בנות ישראל שיהא שמח עמה ג' ימים, במאי? אי בבחור, האמרת: שבעה! אי באלמון, האמרת: יום אחד! איבעית אימא: </w:t>
      </w:r>
      <w:r w:rsidR="00543E78">
        <w:rPr>
          <w:rStyle w:val="Style1Char"/>
          <w:rFonts w:hint="cs"/>
          <w:rtl/>
        </w:rPr>
        <w:t>(5.1, 6)</w:t>
      </w:r>
      <w:r w:rsidRPr="00FA6511">
        <w:rPr>
          <w:rStyle w:val="Style1Char"/>
          <w:color w:val="auto"/>
          <w:sz w:val="22"/>
          <w:szCs w:val="22"/>
          <w:rtl/>
        </w:rPr>
        <w:t xml:space="preserve">באלמון, יום אחד לברכה, </w:t>
      </w:r>
      <w:r w:rsidR="00543E78">
        <w:rPr>
          <w:rStyle w:val="Style1Char"/>
          <w:rFonts w:hint="cs"/>
          <w:rtl/>
        </w:rPr>
        <w:t>(7)</w:t>
      </w:r>
      <w:r w:rsidRPr="00FA6511">
        <w:rPr>
          <w:rStyle w:val="Style1Char"/>
          <w:color w:val="auto"/>
          <w:sz w:val="22"/>
          <w:szCs w:val="22"/>
          <w:rtl/>
        </w:rPr>
        <w:t xml:space="preserve">ושלשה לשמחה; ואיבעית אימא: </w:t>
      </w:r>
      <w:r w:rsidR="00543E78">
        <w:rPr>
          <w:rStyle w:val="Style1Char"/>
          <w:rFonts w:hint="cs"/>
          <w:rtl/>
        </w:rPr>
        <w:t>(5.1, 6)</w:t>
      </w:r>
      <w:r w:rsidRPr="00FA6511">
        <w:rPr>
          <w:rStyle w:val="Style1Char"/>
          <w:color w:val="auto"/>
          <w:sz w:val="22"/>
          <w:szCs w:val="22"/>
          <w:rtl/>
        </w:rPr>
        <w:t xml:space="preserve">בבחור, שבעה לברכה, ושלשה לשמחה. </w:t>
      </w:r>
      <w:r w:rsidR="00ED53DB" w:rsidRPr="00ED53DB">
        <w:rPr>
          <w:rStyle w:val="Style1Char"/>
          <w:color w:val="4472C4" w:themeColor="accent1"/>
          <w:sz w:val="22"/>
          <w:szCs w:val="22"/>
          <w:rtl/>
        </w:rPr>
        <w:t>ואלמון שנשא בתולה ז' לברכה וז' לשמחה</w:t>
      </w:r>
    </w:p>
    <w:p w14:paraId="66FC3CAC" w14:textId="233A9D22" w:rsidR="00795C2E" w:rsidRDefault="00795C2E" w:rsidP="00795C2E">
      <w:pPr>
        <w:pStyle w:val="Style1"/>
        <w:rPr>
          <w:rStyle w:val="Style1Char"/>
          <w:rtl/>
        </w:rPr>
      </w:pPr>
      <w:r>
        <w:rPr>
          <w:rStyle w:val="Style1Char"/>
          <w:rFonts w:hint="cs"/>
          <w:rtl/>
        </w:rPr>
        <w:t>1)[</w:t>
      </w:r>
      <w:r w:rsidRPr="00795C2E">
        <w:rPr>
          <w:rStyle w:val="Style1Char"/>
          <w:rtl/>
        </w:rPr>
        <w:t>רמב</w:t>
      </w:r>
      <w:r w:rsidR="00213DA1">
        <w:rPr>
          <w:rStyle w:val="Style1Char"/>
          <w:rtl/>
        </w:rPr>
        <w:t>”ם \נשים\</w:t>
      </w:r>
      <w:r w:rsidRPr="00795C2E">
        <w:rPr>
          <w:rStyle w:val="Style1Char"/>
          <w:rtl/>
        </w:rPr>
        <w:t xml:space="preserve"> הלכות אישות פרק י הלכה ט</w:t>
      </w:r>
      <w:r>
        <w:rPr>
          <w:rStyle w:val="Style1Char"/>
          <w:rFonts w:hint="cs"/>
          <w:rtl/>
        </w:rPr>
        <w:t xml:space="preserve">] </w:t>
      </w:r>
      <w:r w:rsidRPr="00795C2E">
        <w:rPr>
          <w:rStyle w:val="Style1Char"/>
          <w:rtl/>
        </w:rPr>
        <w:t>אין פוחתין לבתולה ממאתים ולבעולה ממאה, וכל הפוחת בעילתו בעילת זנות, אחד הכותב את הכתובה בשטר ואחד שהעידו עליו עדים וקנו ממנו שהוא חייב לה מאה או מאתים הרי זה מותר, וכן אם נתן לה מטלטלין כנגד כתובתה הרי זה מותר לבעול עד שיהיה לו פנאי לכתוב.</w:t>
      </w:r>
    </w:p>
    <w:p w14:paraId="71E4B816" w14:textId="7D2DD5E1" w:rsidR="00795C2E" w:rsidRDefault="00795C2E" w:rsidP="00795C2E">
      <w:pPr>
        <w:pStyle w:val="Style1"/>
        <w:rPr>
          <w:rtl/>
        </w:rPr>
      </w:pPr>
      <w:r>
        <w:rPr>
          <w:rStyle w:val="Style1Char"/>
          <w:rFonts w:hint="cs"/>
          <w:rtl/>
        </w:rPr>
        <w:t>1)[</w:t>
      </w:r>
      <w:r w:rsidRPr="00795C2E">
        <w:rPr>
          <w:rStyle w:val="Style1Char"/>
          <w:rtl/>
        </w:rPr>
        <w:t>שולחן ערוך אבן העזר הלכות כתובות סימן סו סעיף ב</w:t>
      </w:r>
      <w:r>
        <w:rPr>
          <w:rStyle w:val="Style1Char"/>
          <w:rFonts w:hint="cs"/>
          <w:rtl/>
        </w:rPr>
        <w:t xml:space="preserve">] </w:t>
      </w:r>
      <w:r w:rsidRPr="00795C2E">
        <w:rPr>
          <w:rtl/>
        </w:rPr>
        <w:t>אם אינו יכול לכתוב לה כתובה, כגון בשבת, או ששכח לכותבה, יכול ליתן לה מטלטלין כנגד כתובתה, ויקבל עליו אחריות אם יאבדו או יוזלו, ואז מותר לבעול עד שיהיה לו פנאי לכתוב</w:t>
      </w:r>
      <w:r w:rsidRPr="00795C2E">
        <w:t>, </w:t>
      </w:r>
      <w:r w:rsidRPr="00795C2E">
        <w:rPr>
          <w:rFonts w:hint="cs"/>
          <w:rtl/>
        </w:rPr>
        <w:t>(ואז כותב לה מיד) (טור)</w:t>
      </w:r>
      <w:r w:rsidRPr="00795C2E">
        <w:t>:</w:t>
      </w:r>
    </w:p>
    <w:p w14:paraId="62730A1A" w14:textId="0D2B760D" w:rsidR="00795C2E" w:rsidRDefault="00795C2E" w:rsidP="00795C2E">
      <w:pPr>
        <w:pStyle w:val="Style1"/>
        <w:rPr>
          <w:rtl/>
        </w:rPr>
      </w:pPr>
      <w:r>
        <w:rPr>
          <w:rFonts w:hint="cs"/>
          <w:rtl/>
        </w:rPr>
        <w:t>2)[</w:t>
      </w:r>
      <w:r>
        <w:rPr>
          <w:rtl/>
        </w:rPr>
        <w:t>רמב</w:t>
      </w:r>
      <w:r w:rsidR="00C764B2">
        <w:rPr>
          <w:rtl/>
        </w:rPr>
        <w:t>”ם \הפלאה\</w:t>
      </w:r>
      <w:r>
        <w:rPr>
          <w:rtl/>
        </w:rPr>
        <w:t xml:space="preserve"> הלכות נזירות פרק ב הלכה כא</w:t>
      </w:r>
      <w:r>
        <w:rPr>
          <w:rFonts w:hint="cs"/>
          <w:rtl/>
        </w:rPr>
        <w:t xml:space="preserve">] </w:t>
      </w:r>
      <w:r>
        <w:rPr>
          <w:rtl/>
        </w:rPr>
        <w:t>אין הנזירות נוהגת אלא בארץ ישראל, ומי שנזר בחוצה לארץ קונסין אותו ומחייבין אותו לעלות לארץ ישראל ולהיות נזיר בארץ ישראל כמנין הימים שנזר, לפיכך מי שנדר בזמן הזה בחוצה לארץ כופין אותו לעלות לארץ ישראל ולהיות נוהג שם נזירות עד שימות או עד שיבנה המקדש ויביא קרבנותיו במלאת ימי נזרו. /השגת הראב"ד/ לפיכך מי שנדר בזה"ז בח"ל כופין אותו לעלות לא"י. א"א למה כופין אותו לעלות ולמנות וכי יש שם טהרה והלא כלנו טמאין טומאת מת ואין כאן הפרש בין א"י לח"ל ואסור להזיר בכל מקום.</w:t>
      </w:r>
    </w:p>
    <w:p w14:paraId="5C9A5AD6" w14:textId="6AB730E4" w:rsidR="00EB0C71" w:rsidRDefault="00EB0C71" w:rsidP="00EB0C71">
      <w:pPr>
        <w:pStyle w:val="Style1"/>
        <w:rPr>
          <w:rtl/>
        </w:rPr>
      </w:pPr>
      <w:r>
        <w:rPr>
          <w:rFonts w:hint="cs"/>
          <w:rtl/>
        </w:rPr>
        <w:t>3)[</w:t>
      </w:r>
      <w:r>
        <w:rPr>
          <w:rtl/>
        </w:rPr>
        <w:t>רמב</w:t>
      </w:r>
      <w:r w:rsidR="00C764B2">
        <w:rPr>
          <w:rtl/>
        </w:rPr>
        <w:t>”ם \קדושה\</w:t>
      </w:r>
      <w:r>
        <w:rPr>
          <w:rtl/>
        </w:rPr>
        <w:t xml:space="preserve"> הלכות שחיטה פרק ט הלכה א</w:t>
      </w:r>
      <w:r>
        <w:rPr>
          <w:rFonts w:hint="cs"/>
          <w:rtl/>
        </w:rPr>
        <w:t xml:space="preserve">] </w:t>
      </w:r>
      <w:r>
        <w:rPr>
          <w:rtl/>
        </w:rPr>
        <w:t>פסוקה כיצד, חוט השדרה שנפסק העור החופה את המוח טרפה, ובלבד שיפסק רוב היקפו, אבל אם נסדק העור לארכו או ניקב מותרת, וכן אם נשברה השדרה ולא נפסק החוט שלה או שנתמעך המוח שבתוך החוט ונתנדנד הואיל ועורו קיים הרי זו מותרת.</w:t>
      </w:r>
    </w:p>
    <w:p w14:paraId="617D0982" w14:textId="557AC017" w:rsidR="00EB0C71" w:rsidRDefault="00EB0C71" w:rsidP="00EB0C71">
      <w:pPr>
        <w:pStyle w:val="Style1"/>
        <w:rPr>
          <w:rtl/>
        </w:rPr>
      </w:pPr>
      <w:r>
        <w:rPr>
          <w:rFonts w:hint="cs"/>
          <w:rtl/>
        </w:rPr>
        <w:t>3)[</w:t>
      </w:r>
      <w:r>
        <w:rPr>
          <w:rtl/>
        </w:rPr>
        <w:t>שולחן ערוך יורה דעה הלכות טריפות סימן לב סעיף א</w:t>
      </w:r>
      <w:r>
        <w:rPr>
          <w:rFonts w:hint="cs"/>
          <w:rtl/>
        </w:rPr>
        <w:t xml:space="preserve">] </w:t>
      </w:r>
      <w:r>
        <w:rPr>
          <w:rtl/>
        </w:rPr>
        <w:t>חוט השדרה שנפסק רוב היקף עור החופה את המוח, טריפה, אף על פי שכל המוח קיים; ואם לא נפסק רוב העור, אף על פי שנפסק כל המוח שבפנים, כשר.</w:t>
      </w:r>
    </w:p>
    <w:p w14:paraId="6128193B" w14:textId="06C90C1B" w:rsidR="00EB0C71" w:rsidRDefault="00EB0C71" w:rsidP="00EB0C71">
      <w:pPr>
        <w:pStyle w:val="Style1"/>
        <w:rPr>
          <w:rtl/>
        </w:rPr>
      </w:pPr>
      <w:r>
        <w:rPr>
          <w:rFonts w:hint="cs"/>
          <w:rtl/>
        </w:rPr>
        <w:t>4)[</w:t>
      </w:r>
      <w:r>
        <w:rPr>
          <w:rtl/>
        </w:rPr>
        <w:t>רמב</w:t>
      </w:r>
      <w:r w:rsidR="00C764B2">
        <w:rPr>
          <w:rtl/>
        </w:rPr>
        <w:t>”ם \זמנים\</w:t>
      </w:r>
      <w:r>
        <w:rPr>
          <w:rtl/>
        </w:rPr>
        <w:t xml:space="preserve"> הלכות שבת פרק ל הלכה יד</w:t>
      </w:r>
      <w:r>
        <w:rPr>
          <w:rFonts w:hint="cs"/>
          <w:rtl/>
        </w:rPr>
        <w:t xml:space="preserve">] </w:t>
      </w:r>
      <w:r>
        <w:rPr>
          <w:rtl/>
        </w:rPr>
        <w:t>תשמיש המטה מעונג שבת הוא, לפיכך עונת תלמידי חכמים הבריאים מלילי שבת ללילי שבת, ומותר לבעול בתולה לכתחלה בשבת ואין בזה לא משום חובל ולא משום צער לה.</w:t>
      </w:r>
    </w:p>
    <w:p w14:paraId="25E88A16" w14:textId="7D01ACBE" w:rsidR="00EB0C71" w:rsidRDefault="00EB0C71" w:rsidP="00EB0C71">
      <w:pPr>
        <w:pStyle w:val="Style1"/>
        <w:rPr>
          <w:rtl/>
        </w:rPr>
      </w:pPr>
      <w:r>
        <w:rPr>
          <w:rFonts w:hint="cs"/>
          <w:rtl/>
        </w:rPr>
        <w:t>4)[</w:t>
      </w:r>
      <w:r>
        <w:rPr>
          <w:rtl/>
        </w:rPr>
        <w:t>שולחן ערוך אבן העזר הלכות קידושין סימן סג סעיף א</w:t>
      </w:r>
      <w:r>
        <w:rPr>
          <w:rFonts w:hint="cs"/>
          <w:rtl/>
        </w:rPr>
        <w:t xml:space="preserve">] </w:t>
      </w:r>
      <w:r w:rsidRPr="009B5DD8">
        <w:rPr>
          <w:rtl/>
        </w:rPr>
        <w:t>מותר לבעול בתולה בשבת. הבועל את הבתולה, כיון שבעל בעילת מצוה פורש מיד, אפלו היא קטנה שלא הגיע זמנה לראות ולא ראתה. ומיהו, אותה בעילה גומר כדרכו באבר חי. ואפלו בדקה ולא מצאה דם, טמאה, שמא ראתה טיפת דם כחרדל וחיפהו שכבת זרע. וצריכה שתפסוק בטהרה ותבדוק כל שבעה. ולא תתחיל לבדוק עד יום חמישי לשימושה, כשאר אשה ששימשה ואחר כך ראתה. ונוהג עימה כשאר נידה, לעניין הרחקה, אלא שנידה גמורה אסור לו לישן על מיטתה אפילו כשאינה במיטה, והכלה מותר לו לישן באותו מיטה לאחר שעמדה מאצלו, אפילו בסדין שהדם עליו</w:t>
      </w:r>
      <w:r w:rsidRPr="009B5DD8">
        <w:t>.</w:t>
      </w:r>
    </w:p>
    <w:p w14:paraId="053E08AD" w14:textId="72E03A65" w:rsidR="00543E78" w:rsidRDefault="00543E78" w:rsidP="00543E78">
      <w:pPr>
        <w:pStyle w:val="Style1"/>
        <w:rPr>
          <w:rtl/>
        </w:rPr>
      </w:pPr>
      <w:r>
        <w:rPr>
          <w:rFonts w:hint="cs"/>
          <w:rtl/>
        </w:rPr>
        <w:t>4)[</w:t>
      </w:r>
      <w:r>
        <w:rPr>
          <w:rtl/>
        </w:rPr>
        <w:t>שולחן ערוך אורח חיים הלכות שבת סימן רפ סעיף ב</w:t>
      </w:r>
      <w:r>
        <w:rPr>
          <w:rFonts w:hint="cs"/>
          <w:rtl/>
        </w:rPr>
        <w:t xml:space="preserve">] </w:t>
      </w:r>
      <w:r w:rsidRPr="00543E78">
        <w:rPr>
          <w:rtl/>
        </w:rPr>
        <w:t>מותר לבעול לכתחילה בתולה בשבת, ואין בו משום חובל ולא משום צער לה</w:t>
      </w:r>
      <w:r w:rsidRPr="00543E78">
        <w:t>:</w:t>
      </w:r>
    </w:p>
    <w:p w14:paraId="1F2D332C" w14:textId="1A1F40C4" w:rsidR="00543E78" w:rsidRDefault="00543E78" w:rsidP="00543E78">
      <w:pPr>
        <w:pStyle w:val="Style1"/>
        <w:rPr>
          <w:rtl/>
        </w:rPr>
      </w:pPr>
      <w:r>
        <w:rPr>
          <w:rFonts w:hint="cs"/>
          <w:rtl/>
        </w:rPr>
        <w:t>5)[</w:t>
      </w:r>
      <w:r>
        <w:rPr>
          <w:rtl/>
        </w:rPr>
        <w:t>רמב</w:t>
      </w:r>
      <w:r w:rsidR="00C764B2">
        <w:rPr>
          <w:rtl/>
        </w:rPr>
        <w:t>”ם \אהבה\</w:t>
      </w:r>
      <w:r>
        <w:rPr>
          <w:rtl/>
        </w:rPr>
        <w:t xml:space="preserve"> הלכות ברכות פרק ב הלכה ט</w:t>
      </w:r>
      <w:r>
        <w:rPr>
          <w:rFonts w:hint="cs"/>
          <w:rtl/>
        </w:rPr>
        <w:t xml:space="preserve">] </w:t>
      </w:r>
      <w:r>
        <w:rPr>
          <w:rtl/>
        </w:rPr>
        <w:t>בבית חתנים מברכין ברכת חתנים אחר ארבע ברכות אלו בכל סעודה וסעודה שאוכלים שם, ואין מברכין ברכה זו לא עבדים ולא קטנים, עד כמה מברכין ברכה זו אם היה אלמון שנשא אלמנה מברכין אותה ביום ראשון בלבד, ואם בחור שנשא אלמנה או אלמון שנשא בתולה מברכין אותה כל שבעת ימי המשתה.</w:t>
      </w:r>
    </w:p>
    <w:p w14:paraId="7713DE76" w14:textId="299EF910" w:rsidR="004429C0" w:rsidRDefault="004429C0" w:rsidP="004429C0">
      <w:pPr>
        <w:pStyle w:val="Style1"/>
        <w:rPr>
          <w:rtl/>
        </w:rPr>
      </w:pPr>
      <w:r>
        <w:rPr>
          <w:rFonts w:hint="cs"/>
          <w:rtl/>
        </w:rPr>
        <w:t>5)[</w:t>
      </w:r>
      <w:r>
        <w:rPr>
          <w:rtl/>
        </w:rPr>
        <w:t>רמב</w:t>
      </w:r>
      <w:r w:rsidR="00213DA1">
        <w:rPr>
          <w:rtl/>
        </w:rPr>
        <w:t>”ם \נשים\</w:t>
      </w:r>
      <w:r>
        <w:rPr>
          <w:rtl/>
        </w:rPr>
        <w:t xml:space="preserve"> הלכות אישות פרק י הלכה ה</w:t>
      </w:r>
      <w:r>
        <w:rPr>
          <w:rFonts w:hint="cs"/>
          <w:rtl/>
        </w:rPr>
        <w:t xml:space="preserve">] </w:t>
      </w:r>
      <w:r>
        <w:rPr>
          <w:rtl/>
        </w:rPr>
        <w:t>ואין מברכין ברכת חתנים אלא בעשרה גדולים ובני חורין וחתן מן המנין.</w:t>
      </w:r>
    </w:p>
    <w:p w14:paraId="009EC8F5" w14:textId="1870004E" w:rsidR="004429C0" w:rsidRDefault="004429C0" w:rsidP="004429C0">
      <w:pPr>
        <w:pStyle w:val="Style1"/>
        <w:rPr>
          <w:rtl/>
        </w:rPr>
      </w:pPr>
      <w:r>
        <w:rPr>
          <w:rFonts w:hint="cs"/>
          <w:rtl/>
        </w:rPr>
        <w:t>5)[</w:t>
      </w:r>
      <w:r>
        <w:rPr>
          <w:rtl/>
        </w:rPr>
        <w:t>שולחן ערוך אבן העזר הלכות קידושין סימן סב סעיף ד</w:t>
      </w:r>
      <w:r>
        <w:rPr>
          <w:rFonts w:hint="cs"/>
          <w:rtl/>
        </w:rPr>
        <w:t>]</w:t>
      </w:r>
      <w:r w:rsidR="004E51C0" w:rsidRPr="004E51C0">
        <w:rPr>
          <w:rFonts w:ascii="Arial" w:hAnsi="Arial"/>
          <w:color w:val="202122"/>
          <w:sz w:val="21"/>
          <w:szCs w:val="21"/>
          <w:shd w:val="clear" w:color="auto" w:fill="FFFFFF"/>
          <w:rtl/>
        </w:rPr>
        <w:t xml:space="preserve"> </w:t>
      </w:r>
      <w:r w:rsidR="004E51C0" w:rsidRPr="004E51C0">
        <w:rPr>
          <w:rtl/>
        </w:rPr>
        <w:t>אין מברכין ברכת חתנים, אלא בעשרה גדולים ובני חורין, וחתן מן המנין, בין כשאומרים אותם בשעת נשואין בין כשאומרים אותם אחר ברכת המזון, אבל כשאין אומרים אחר ברכת המזון, אלא ברכת אשר ברא, אינו צריך עשרה</w:t>
      </w:r>
      <w:r w:rsidR="004E51C0" w:rsidRPr="004E51C0">
        <w:t>. </w:t>
      </w:r>
      <w:r w:rsidR="004E51C0" w:rsidRPr="004E51C0">
        <w:rPr>
          <w:rFonts w:hint="cs"/>
          <w:rtl/>
        </w:rPr>
        <w:t>ומכל מקום שלשה בעינן</w:t>
      </w:r>
      <w:r w:rsidR="004E51C0" w:rsidRPr="004E51C0">
        <w:rPr>
          <w:rtl/>
        </w:rPr>
        <w:t> </w:t>
      </w:r>
      <w:r w:rsidR="004E51C0" w:rsidRPr="004E51C0">
        <w:t>(</w:t>
      </w:r>
      <w:r w:rsidR="004E51C0" w:rsidRPr="004E51C0">
        <w:rPr>
          <w:rtl/>
        </w:rPr>
        <w:t>הר"ן פרק קמא דכתובות</w:t>
      </w:r>
      <w:r w:rsidR="004E51C0" w:rsidRPr="004E51C0">
        <w:t>) :</w:t>
      </w:r>
    </w:p>
    <w:p w14:paraId="05AF4AEF" w14:textId="55FCBB97" w:rsidR="00C84277" w:rsidRDefault="00C84277" w:rsidP="00C84277">
      <w:pPr>
        <w:pStyle w:val="Style1"/>
        <w:rPr>
          <w:rtl/>
        </w:rPr>
      </w:pPr>
      <w:r>
        <w:rPr>
          <w:rFonts w:hint="cs"/>
          <w:rtl/>
        </w:rPr>
        <w:t>6)[</w:t>
      </w:r>
      <w:r>
        <w:rPr>
          <w:rtl/>
        </w:rPr>
        <w:t>שולחן ערוך אבן העזר הלכות קידושין סימן סב סעיף ו</w:t>
      </w:r>
      <w:r>
        <w:rPr>
          <w:rFonts w:hint="cs"/>
          <w:rtl/>
        </w:rPr>
        <w:t xml:space="preserve">] </w:t>
      </w:r>
      <w:r w:rsidRPr="00C84277">
        <w:rPr>
          <w:rtl/>
        </w:rPr>
        <w:t>עד כמה מברכים ברכה זו, אם היה אלמן שנשא אלמנה, מברכין אותה ביום ראשון בלבד. ואם בחור שנשא אלמנה, או אלמון שנשא בתולה, מברכין אותה כל שבעת ימי המשתה</w:t>
      </w:r>
      <w:r w:rsidRPr="00C84277">
        <w:t>. </w:t>
      </w:r>
      <w:r w:rsidRPr="00C84277">
        <w:rPr>
          <w:rFonts w:hint="cs"/>
          <w:rtl/>
        </w:rPr>
        <w:t>ואלו שבעה ימים מתחילין מיד לאחר שבע ברכות שברך בראשונה </w:t>
      </w:r>
      <w:r w:rsidRPr="00C84277">
        <w:rPr>
          <w:rFonts w:hint="cs"/>
        </w:rPr>
        <w:t>(</w:t>
      </w:r>
      <w:r w:rsidRPr="00C84277">
        <w:rPr>
          <w:rFonts w:hint="cs"/>
          <w:rtl/>
        </w:rPr>
        <w:t>תשובת הרא"ש כלל כ"ו</w:t>
      </w:r>
      <w:r w:rsidRPr="00C84277">
        <w:rPr>
          <w:rFonts w:hint="cs"/>
        </w:rPr>
        <w:t>)</w:t>
      </w:r>
      <w:r w:rsidRPr="00C84277">
        <w:t>:</w:t>
      </w:r>
    </w:p>
    <w:p w14:paraId="5BB57CE0" w14:textId="06067877" w:rsidR="00C84277" w:rsidRDefault="00C84277" w:rsidP="00C84277">
      <w:pPr>
        <w:pStyle w:val="Style1"/>
        <w:rPr>
          <w:rtl/>
        </w:rPr>
      </w:pPr>
      <w:r>
        <w:rPr>
          <w:rFonts w:hint="cs"/>
          <w:rtl/>
        </w:rPr>
        <w:t>7)[</w:t>
      </w:r>
      <w:r>
        <w:rPr>
          <w:rtl/>
        </w:rPr>
        <w:t>רמב</w:t>
      </w:r>
      <w:r w:rsidR="00213DA1">
        <w:rPr>
          <w:rtl/>
        </w:rPr>
        <w:t>”ם \נשים\</w:t>
      </w:r>
      <w:r>
        <w:rPr>
          <w:rtl/>
        </w:rPr>
        <w:t xml:space="preserve"> הלכות אישות פרק י הלכה יב</w:t>
      </w:r>
      <w:r>
        <w:rPr>
          <w:rFonts w:hint="cs"/>
          <w:rtl/>
        </w:rPr>
        <w:t xml:space="preserve">] </w:t>
      </w:r>
      <w:r>
        <w:rPr>
          <w:rtl/>
        </w:rPr>
        <w:t>וכן תקנו חכמים שכל הנושא בתולה יהיה שמח עמה שבעת ימים, אינו עוסק במלאכתו ולא נושא ונותן בשוק אלא אוכל ושותה ושמח, בין שהיה בחור בין שהיה אלמון, ואם היתה בעולה אין פחות משלשה ימים, שתקנת חכמים היא לבנות ישראל שיהיה שמח עם הבעולה שלשה ימים בין בחור בין אלמון.</w:t>
      </w:r>
    </w:p>
    <w:p w14:paraId="7B656CA8" w14:textId="0E43FABE" w:rsidR="00FA15D5" w:rsidRPr="00FA15D5" w:rsidRDefault="00C84277" w:rsidP="00FA15D5">
      <w:pPr>
        <w:pStyle w:val="Style1"/>
      </w:pPr>
      <w:r>
        <w:rPr>
          <w:rFonts w:hint="cs"/>
          <w:rtl/>
        </w:rPr>
        <w:t>7)[</w:t>
      </w:r>
      <w:r>
        <w:rPr>
          <w:rtl/>
        </w:rPr>
        <w:t>שולחן ערוך אבן העזר הלכות קידושין סימן סב סעיף ב</w:t>
      </w:r>
      <w:r>
        <w:rPr>
          <w:rFonts w:hint="cs"/>
          <w:rtl/>
        </w:rPr>
        <w:t>]</w:t>
      </w:r>
      <w:r w:rsidR="00FA15D5">
        <w:rPr>
          <w:rFonts w:hint="cs"/>
          <w:rtl/>
        </w:rPr>
        <w:t xml:space="preserve"> </w:t>
      </w:r>
      <w:r w:rsidR="00FA15D5" w:rsidRPr="00FA15D5">
        <w:rPr>
          <w:rtl/>
        </w:rPr>
        <w:t>יש לאדם לשא נשים רבות כאחד, ביום אחד, ומברך ברכת חתנים לכולם כאחד; אבל לשמחה, צריך לשמח עם כל אחת שמחה הראויה לה, אם בתולה שבעת ימים, ואם בעולה שלשה ימים, ואין מערבין שמחה בשמחה</w:t>
      </w:r>
      <w:r w:rsidR="00FA15D5" w:rsidRPr="00FA15D5">
        <w:t>.</w:t>
      </w:r>
    </w:p>
    <w:p w14:paraId="7D066A21" w14:textId="77777777" w:rsidR="00FA15D5" w:rsidRPr="00FA15D5" w:rsidRDefault="00FA15D5" w:rsidP="00FA15D5">
      <w:pPr>
        <w:pStyle w:val="Style1"/>
      </w:pPr>
      <w:r w:rsidRPr="00FA15D5">
        <w:rPr>
          <w:rFonts w:hint="cs"/>
          <w:rtl/>
        </w:rPr>
        <w:lastRenderedPageBreak/>
        <w:t>הגה</w:t>
      </w:r>
      <w:r w:rsidRPr="00FA15D5">
        <w:rPr>
          <w:rFonts w:hint="cs"/>
        </w:rPr>
        <w:t>: </w:t>
      </w:r>
      <w:r w:rsidRPr="00FA15D5">
        <w:rPr>
          <w:rFonts w:hint="cs"/>
          <w:rtl/>
        </w:rPr>
        <w:t>ואין לעשות חופת שתי אחיות ביחד </w:t>
      </w:r>
      <w:r w:rsidRPr="00FA15D5">
        <w:rPr>
          <w:rFonts w:hint="cs"/>
        </w:rPr>
        <w:t>(</w:t>
      </w:r>
      <w:r w:rsidRPr="00FA15D5">
        <w:rPr>
          <w:rFonts w:hint="cs"/>
          <w:rtl/>
        </w:rPr>
        <w:t>סמ"ק בשם ספר חסידים</w:t>
      </w:r>
      <w:r w:rsidRPr="00FA15D5">
        <w:rPr>
          <w:rFonts w:hint="cs"/>
        </w:rPr>
        <w:t xml:space="preserve">). </w:t>
      </w:r>
      <w:r w:rsidRPr="00FA15D5">
        <w:rPr>
          <w:rFonts w:hint="cs"/>
          <w:rtl/>
        </w:rPr>
        <w:t>ויש אומרים דאף בשתי נכריות יש ליזהר שלא לעשותן כאחת, משום איבה, שמא יכבדו אחת יותר מחברתה </w:t>
      </w:r>
      <w:r w:rsidRPr="00FA15D5">
        <w:rPr>
          <w:rFonts w:hint="cs"/>
        </w:rPr>
        <w:t>(</w:t>
      </w:r>
      <w:r w:rsidRPr="00FA15D5">
        <w:rPr>
          <w:rFonts w:hint="cs"/>
          <w:rtl/>
        </w:rPr>
        <w:t>מרדכי פרק קמא דמועד קטן</w:t>
      </w:r>
      <w:r w:rsidRPr="00FA15D5">
        <w:rPr>
          <w:rFonts w:hint="cs"/>
        </w:rPr>
        <w:t xml:space="preserve">). </w:t>
      </w:r>
      <w:r w:rsidRPr="00FA15D5">
        <w:rPr>
          <w:rFonts w:hint="cs"/>
          <w:rtl/>
        </w:rPr>
        <w:t>ואין נזהרין מזה, ואדרבא יש מכונים לעשות חופות עניות עם חופות עשירות, משום מצוה </w:t>
      </w:r>
      <w:r w:rsidRPr="00FA15D5">
        <w:rPr>
          <w:rFonts w:hint="cs"/>
        </w:rPr>
        <w:t>(</w:t>
      </w:r>
      <w:r w:rsidRPr="00FA15D5">
        <w:rPr>
          <w:rFonts w:hint="cs"/>
          <w:rtl/>
        </w:rPr>
        <w:t>הגהות מימוני בשם ר"י מפריז</w:t>
      </w:r>
      <w:r w:rsidRPr="00FA15D5">
        <w:rPr>
          <w:rFonts w:hint="cs"/>
        </w:rPr>
        <w:t>)</w:t>
      </w:r>
      <w:r w:rsidRPr="00FA15D5">
        <w:t>:</w:t>
      </w:r>
    </w:p>
    <w:p w14:paraId="58514614" w14:textId="77777777" w:rsidR="00FA15D5" w:rsidRPr="00FA15D5" w:rsidRDefault="00FA15D5" w:rsidP="00FA15D5">
      <w:pPr>
        <w:pStyle w:val="Style1"/>
      </w:pPr>
    </w:p>
    <w:p w14:paraId="749DBFB7" w14:textId="4FD8AE6C" w:rsidR="00C84277" w:rsidRPr="00C84277" w:rsidRDefault="00C84277" w:rsidP="00C84277">
      <w:pPr>
        <w:pStyle w:val="Style1"/>
      </w:pPr>
    </w:p>
    <w:p w14:paraId="1BC86011" w14:textId="47CC900A" w:rsidR="00C84277" w:rsidRPr="00C84277" w:rsidRDefault="00C84277" w:rsidP="00C84277">
      <w:pPr>
        <w:pStyle w:val="Style1"/>
      </w:pPr>
    </w:p>
    <w:p w14:paraId="38181F89" w14:textId="3D75A923" w:rsidR="004429C0" w:rsidRPr="00543E78" w:rsidRDefault="004429C0" w:rsidP="004429C0">
      <w:pPr>
        <w:pStyle w:val="Style1"/>
      </w:pPr>
    </w:p>
    <w:p w14:paraId="0A888355" w14:textId="3A67F5DC" w:rsidR="00EB0C71" w:rsidRPr="00543E78" w:rsidRDefault="00EB0C71" w:rsidP="00543E78">
      <w:pPr>
        <w:pStyle w:val="Style1"/>
      </w:pPr>
    </w:p>
    <w:p w14:paraId="2E69A470" w14:textId="6B108B5B" w:rsidR="00795C2E" w:rsidRPr="00795C2E" w:rsidRDefault="00795C2E" w:rsidP="00795C2E">
      <w:pPr>
        <w:pStyle w:val="Style1"/>
        <w:rPr>
          <w:rStyle w:val="Style1Char"/>
          <w:rtl/>
        </w:rPr>
      </w:pPr>
    </w:p>
    <w:p w14:paraId="7FEF63B6" w14:textId="77777777" w:rsidR="008D38AF" w:rsidRPr="00D94F26" w:rsidRDefault="008D38AF" w:rsidP="008D38AF">
      <w:pPr>
        <w:bidi/>
        <w:rPr>
          <w:rStyle w:val="Style1Char"/>
          <w:color w:val="00B050"/>
          <w:rtl/>
        </w:rPr>
      </w:pPr>
    </w:p>
    <w:p w14:paraId="43A17372" w14:textId="77777777" w:rsidR="008D38AF" w:rsidRDefault="008D38AF" w:rsidP="008D38AF">
      <w:pPr>
        <w:bidi/>
        <w:rPr>
          <w:rStyle w:val="Style1Char"/>
          <w:color w:val="00B050"/>
          <w:rtl/>
        </w:rPr>
      </w:pPr>
    </w:p>
    <w:p w14:paraId="033FE32F" w14:textId="77777777" w:rsidR="00F450C8" w:rsidRDefault="00F450C8">
      <w:pPr>
        <w:rPr>
          <w:rStyle w:val="Style1Char"/>
          <w:color w:val="00B050"/>
          <w:rtl/>
        </w:rPr>
      </w:pPr>
      <w:r>
        <w:rPr>
          <w:rStyle w:val="Style1Char"/>
          <w:color w:val="00B050"/>
          <w:rtl/>
        </w:rPr>
        <w:br w:type="page"/>
      </w:r>
    </w:p>
    <w:p w14:paraId="751D9390" w14:textId="4FE2D34D" w:rsidR="00F450C8" w:rsidRPr="00F450C8" w:rsidRDefault="00F450C8" w:rsidP="00F450C8">
      <w:pPr>
        <w:bidi/>
        <w:rPr>
          <w:rStyle w:val="Style1Char"/>
          <w:color w:val="00B050"/>
        </w:rPr>
      </w:pPr>
      <w:r w:rsidRPr="00F450C8">
        <w:rPr>
          <w:rStyle w:val="Style1Char"/>
          <w:color w:val="00B050"/>
          <w:sz w:val="22"/>
          <w:szCs w:val="22"/>
          <w:highlight w:val="yellow"/>
          <w:rtl/>
        </w:rPr>
        <w:lastRenderedPageBreak/>
        <w:t>[דף ז עמוד ב]</w:t>
      </w:r>
      <w:r w:rsidRPr="00F450C8">
        <w:rPr>
          <w:rStyle w:val="Style1Char"/>
          <w:color w:val="00B050"/>
          <w:sz w:val="22"/>
          <w:szCs w:val="22"/>
          <w:rtl/>
        </w:rPr>
        <w:t xml:space="preserve"> </w:t>
      </w:r>
      <w:r w:rsidRPr="00F450C8">
        <w:rPr>
          <w:rStyle w:val="Style1Char"/>
          <w:color w:val="00B050"/>
          <w:rtl/>
        </w:rPr>
        <w:t xml:space="preserve">מיתיבי: מברכין לבתולה שבעה, ולאלמנה יום אחד; מאי לאו אפילו אלמנה שנשאת לבחור! לא, לאלמון. אבל לבחור מאי? שבעה, אי הכי, ליתני: מברכין לבתולה שבעה, ולאלמנה שנשאת לבחור שבעה, ולאלמנה יום אחד! מילתא פסיקתא קתני, </w:t>
      </w:r>
      <w:r w:rsidRPr="002B383B">
        <w:rPr>
          <w:rStyle w:val="Style1Char"/>
          <w:color w:val="auto"/>
          <w:sz w:val="22"/>
          <w:szCs w:val="22"/>
          <w:rtl/>
        </w:rPr>
        <w:t>דליכא בתולה דבצרה משבעה, וליכא אלמנה דבצרה מיום אחד</w:t>
      </w:r>
      <w:r w:rsidRPr="009873BA">
        <w:rPr>
          <w:rStyle w:val="Style1Char"/>
          <w:sz w:val="22"/>
          <w:szCs w:val="22"/>
          <w:rtl/>
        </w:rPr>
        <w:t xml:space="preserve">. </w:t>
      </w:r>
      <w:r w:rsidRPr="00F450C8">
        <w:rPr>
          <w:rStyle w:val="Style1Char"/>
          <w:color w:val="00B050"/>
          <w:rtl/>
        </w:rPr>
        <w:t>גופא</w:t>
      </w:r>
      <w:r w:rsidRPr="00396EFB">
        <w:rPr>
          <w:rStyle w:val="Style1Char"/>
          <w:color w:val="auto"/>
          <w:rtl/>
        </w:rPr>
        <w:t xml:space="preserve">, </w:t>
      </w:r>
      <w:r w:rsidRPr="00396EFB">
        <w:rPr>
          <w:rStyle w:val="Style1Char"/>
          <w:color w:val="auto"/>
          <w:sz w:val="22"/>
          <w:szCs w:val="22"/>
          <w:rtl/>
        </w:rPr>
        <w:t xml:space="preserve">אמר רב נחמן: אמר לי הונא </w:t>
      </w:r>
      <w:r w:rsidRPr="00F450C8">
        <w:rPr>
          <w:rStyle w:val="Style1Char"/>
          <w:color w:val="00B050"/>
          <w:rtl/>
        </w:rPr>
        <w:t xml:space="preserve">בר נתן, תנא: </w:t>
      </w:r>
      <w:r w:rsidRPr="00396EFB">
        <w:rPr>
          <w:rStyle w:val="Style1Char"/>
          <w:color w:val="auto"/>
          <w:sz w:val="22"/>
          <w:szCs w:val="22"/>
          <w:rtl/>
        </w:rPr>
        <w:t>מנין לברכת חתנים בעשרה? שנאמר: ויקח עשרה אנשים מזקני העיר ויאמר שבו פה. ורבי אבהו אמר: מהכא: במקהלות ברכו אלהים ה' ממקור ישראל</w:t>
      </w:r>
      <w:r w:rsidRPr="00396EFB">
        <w:rPr>
          <w:rStyle w:val="Style1Char"/>
          <w:color w:val="auto"/>
          <w:rtl/>
        </w:rPr>
        <w:t>.</w:t>
      </w:r>
      <w:r w:rsidRPr="00F450C8">
        <w:rPr>
          <w:rStyle w:val="Style1Char"/>
          <w:color w:val="00B050"/>
          <w:rtl/>
        </w:rPr>
        <w:t xml:space="preserve"> ורב נחמן, בהאי קרא דרבי אבהו מאי דריש ביה? מיבעי ליה לכדתניא, היה ר"מ אומר: מנין שאפילו עוברים שבמעי אמן אמרו שירה על הים? שנאמר: במקהלות ברכו אלהים ה' ממקור ישראל. ואידך? אם כן, לימא קרא מבטן, מאי ממקור? על עסקי מקור. ורבי אבהו, בהאי קרא דרב נחמן מאי דריש ביה? ההוא מיבעי ליה למידרש: עמוני - ולא עמונית, מואבי - ולא מואבית, דאי סלקא דעתך לברכה, לא סגיא דלאו זקנים? ואידך? אי סלקא דעתך למידרש, לא סגיא דלאו עשרה? אין, לפרסומי מילתא, וכדאמר ליה שמואל לרב חנא בגדתאה: פוק ואייתי לי בי עשרה, ואימא לך באנפייהו: המזכה לעובר - קנה. והלכתא: </w:t>
      </w:r>
      <w:r w:rsidR="00FA15D5">
        <w:rPr>
          <w:rStyle w:val="Style1Char"/>
          <w:rFonts w:hint="cs"/>
          <w:rtl/>
        </w:rPr>
        <w:t>(1)</w:t>
      </w:r>
      <w:r w:rsidRPr="00F450C8">
        <w:rPr>
          <w:rStyle w:val="Style1Char"/>
          <w:color w:val="00B050"/>
          <w:rtl/>
        </w:rPr>
        <w:t xml:space="preserve">המזכה לעובר - לא קנה. </w:t>
      </w:r>
    </w:p>
    <w:p w14:paraId="562613DF" w14:textId="459B08E0" w:rsidR="00767DA9" w:rsidRPr="00A755B9" w:rsidRDefault="00F450C8" w:rsidP="00767DA9">
      <w:pPr>
        <w:bidi/>
        <w:rPr>
          <w:rStyle w:val="Style1Char"/>
          <w:color w:val="4472C4" w:themeColor="accent1"/>
        </w:rPr>
      </w:pPr>
      <w:r w:rsidRPr="0044192E">
        <w:rPr>
          <w:rStyle w:val="Style1Char"/>
          <w:color w:val="auto"/>
          <w:sz w:val="22"/>
          <w:szCs w:val="22"/>
          <w:rtl/>
        </w:rPr>
        <w:t xml:space="preserve">תנו רבנן: מברכין ברכת חתנים </w:t>
      </w:r>
      <w:r w:rsidR="00FA15D5">
        <w:rPr>
          <w:rStyle w:val="Style1Char"/>
          <w:rFonts w:hint="cs"/>
          <w:rtl/>
        </w:rPr>
        <w:t>(2)</w:t>
      </w:r>
      <w:r w:rsidRPr="0044192E">
        <w:rPr>
          <w:rStyle w:val="Style1Char"/>
          <w:color w:val="auto"/>
          <w:sz w:val="22"/>
          <w:szCs w:val="22"/>
          <w:rtl/>
        </w:rPr>
        <w:t xml:space="preserve">בבית חתנים, ר' יהודה אומר: אף בבית האירוסין מברכין אותה. אמר אביי: וביהודה שנו, </w:t>
      </w:r>
      <w:r w:rsidR="00FA15D5">
        <w:rPr>
          <w:rStyle w:val="Style1Char"/>
          <w:rFonts w:hint="cs"/>
          <w:rtl/>
        </w:rPr>
        <w:t>(3)</w:t>
      </w:r>
      <w:r w:rsidRPr="0044192E">
        <w:rPr>
          <w:rStyle w:val="Style1Char"/>
          <w:color w:val="auto"/>
          <w:sz w:val="22"/>
          <w:szCs w:val="22"/>
          <w:rtl/>
        </w:rPr>
        <w:t>מפני שמתייחד עמה. תניא אידך: מברכין ברכת חתנים בבית חתנים, וברכת אירוסין בבית האירוסין</w:t>
      </w:r>
      <w:r w:rsidR="0089715C" w:rsidRPr="0089715C">
        <w:rPr>
          <w:rStyle w:val="Style1Char"/>
          <w:color w:val="4472C4" w:themeColor="accent1"/>
          <w:rtl/>
        </w:rPr>
        <w:t xml:space="preserve"> </w:t>
      </w:r>
      <w:r w:rsidR="0089715C" w:rsidRPr="00A755B9">
        <w:rPr>
          <w:rStyle w:val="Style1Char"/>
          <w:color w:val="4472C4" w:themeColor="accent1"/>
          <w:rtl/>
        </w:rPr>
        <w:t>כתב רב אחאי (פ' חיי סי' טז) דברכת אירוסין בי'. וה"ר שמואל הנגיד נחלק עליו ואמר שאין צריך י' אלא לברכת חתנים בלבד שלא הוזכרו י' אלא בה. ועוד הרי קידושין בפני ב' ואתה מצריך עשרה. ול"נ דברי רב אחאי דלמאי דילפינן מבועז הרי בועז עשה גם ברכת אירוסין בעשרה ולמאי דילפינן ממקהלות גם ברכת אירוסין על עסקי מקור בא דאי אפשר לישא בלא ברכת אירוסין ודי בשנים לקידושין ובברכה צריך עשרה.</w:t>
      </w:r>
      <w:r w:rsidR="0089715C">
        <w:rPr>
          <w:rStyle w:val="Style1Char"/>
          <w:rFonts w:hint="cs"/>
          <w:color w:val="4472C4" w:themeColor="accent1"/>
        </w:rPr>
        <w:t>‍</w:t>
      </w:r>
      <w:r w:rsidR="0089715C" w:rsidRPr="00A755B9">
        <w:rPr>
          <w:rStyle w:val="Style1Char"/>
          <w:color w:val="4472C4" w:themeColor="accent1"/>
          <w:rtl/>
        </w:rPr>
        <w:t xml:space="preserve"> ויש שכתבו שצריך לברך ברכת אירוסין קודם קידושין כדאמר (פסחים דף ז ב) כל הברכות כולן מברכין עובר לעשייתן.</w:t>
      </w:r>
      <w:r w:rsidR="0089715C">
        <w:rPr>
          <w:rStyle w:val="Style1Char"/>
          <w:rFonts w:hint="cs"/>
          <w:color w:val="4472C4" w:themeColor="accent1"/>
        </w:rPr>
        <w:t>‍</w:t>
      </w:r>
      <w:r w:rsidR="0089715C" w:rsidRPr="00A755B9">
        <w:rPr>
          <w:rStyle w:val="Style1Char"/>
          <w:color w:val="4472C4" w:themeColor="accent1"/>
          <w:rtl/>
        </w:rPr>
        <w:t xml:space="preserve"> ויש שכתבו שצריך לעשות אחר האירוסין דילמא הדרא בה האשה והויא לה ברכה לבטלה. ועוד שבכל המצות לפי שמזכירין עשיית המצוה מברכין עליהן עובר לעשייתן אבל כאן אין מברכין אשר קדשנו לקדש האשה וכיון שאין מזכירין עשיית המצוה אין צריך לברך עובר לעשייתן.</w:t>
      </w:r>
      <w:r w:rsidRPr="0044192E">
        <w:rPr>
          <w:rStyle w:val="Style1Char"/>
          <w:color w:val="auto"/>
          <w:sz w:val="22"/>
          <w:szCs w:val="22"/>
          <w:rtl/>
        </w:rPr>
        <w:t xml:space="preserve">. ברכת האירוסין מאי מברך? </w:t>
      </w:r>
      <w:r w:rsidRPr="00F450C8">
        <w:rPr>
          <w:rStyle w:val="Style1Char"/>
          <w:color w:val="00B050"/>
          <w:rtl/>
        </w:rPr>
        <w:t xml:space="preserve">רבין בר רב אדא ורבה בר רב אדא, תרוייהו משמיה דרב יהודה אמרי: </w:t>
      </w:r>
      <w:r w:rsidR="008730E6">
        <w:rPr>
          <w:rStyle w:val="Style1Char"/>
          <w:rFonts w:hint="cs"/>
          <w:rtl/>
        </w:rPr>
        <w:t>(4)</w:t>
      </w:r>
      <w:r w:rsidRPr="009873BA">
        <w:rPr>
          <w:rStyle w:val="Style1Char"/>
          <w:sz w:val="22"/>
          <w:szCs w:val="22"/>
          <w:rtl/>
        </w:rPr>
        <w:t xml:space="preserve">בא"י אמ"ה </w:t>
      </w:r>
      <w:r w:rsidRPr="0089715C">
        <w:rPr>
          <w:rStyle w:val="Style1Char"/>
          <w:color w:val="auto"/>
          <w:sz w:val="22"/>
          <w:szCs w:val="22"/>
          <w:rtl/>
        </w:rPr>
        <w:t>אשר קדשנו במצותיו וצונו על העריות, ואסר לנו את הארוסות, והתיר לנו את הנשואות על ידי חופה וקדושין.</w:t>
      </w:r>
      <w:r w:rsidRPr="009873BA">
        <w:rPr>
          <w:rStyle w:val="Style1Char"/>
          <w:sz w:val="22"/>
          <w:szCs w:val="22"/>
          <w:rtl/>
        </w:rPr>
        <w:t xml:space="preserve"> </w:t>
      </w:r>
      <w:r w:rsidRPr="00F450C8">
        <w:rPr>
          <w:rStyle w:val="Style1Char"/>
          <w:color w:val="00B050"/>
          <w:rtl/>
        </w:rPr>
        <w:t xml:space="preserve">רב אחא בריה דרבא מסיים בה משמיה דרב יהודה: </w:t>
      </w:r>
      <w:r w:rsidR="008730E6">
        <w:rPr>
          <w:rStyle w:val="Style1Char"/>
          <w:rFonts w:hint="cs"/>
          <w:rtl/>
        </w:rPr>
        <w:t>(4)</w:t>
      </w:r>
      <w:r w:rsidRPr="0089715C">
        <w:rPr>
          <w:rStyle w:val="Style1Char"/>
          <w:color w:val="auto"/>
          <w:sz w:val="22"/>
          <w:szCs w:val="22"/>
          <w:rtl/>
        </w:rPr>
        <w:t xml:space="preserve">בא"י מקדש ישראל </w:t>
      </w:r>
      <w:r w:rsidRPr="005652B0">
        <w:rPr>
          <w:rStyle w:val="Style1Char"/>
          <w:sz w:val="22"/>
          <w:szCs w:val="22"/>
          <w:rtl/>
        </w:rPr>
        <w:t>על ידי חופה וקדושין</w:t>
      </w:r>
      <w:r w:rsidR="005652B0" w:rsidRPr="005652B0">
        <w:rPr>
          <w:rStyle w:val="Style1Char"/>
          <w:color w:val="4472C4" w:themeColor="accent1"/>
          <w:rtl/>
        </w:rPr>
        <w:t xml:space="preserve"> </w:t>
      </w:r>
      <w:r w:rsidR="005652B0" w:rsidRPr="005652B0">
        <w:rPr>
          <w:rStyle w:val="Style1Char"/>
          <w:color w:val="4472C4" w:themeColor="accent1"/>
          <w:sz w:val="22"/>
          <w:szCs w:val="22"/>
          <w:rtl/>
        </w:rPr>
        <w:t>ונהגו האידנא מקדש ישראל על ידי חופה וקידושין</w:t>
      </w:r>
      <w:r w:rsidR="00767DA9" w:rsidRPr="00767DA9">
        <w:rPr>
          <w:rStyle w:val="Style1Char"/>
          <w:color w:val="4472C4" w:themeColor="accent1"/>
          <w:rtl/>
        </w:rPr>
        <w:t xml:space="preserve"> </w:t>
      </w:r>
      <w:r w:rsidR="00767DA9" w:rsidRPr="00A755B9">
        <w:rPr>
          <w:rStyle w:val="Style1Char"/>
          <w:color w:val="4472C4" w:themeColor="accent1"/>
          <w:rtl/>
        </w:rPr>
        <w:t>יש מקשין על נוסח ברכה זו למה אין מברכין אשר קדשנו במצותיו וצונו לקדש את האשה ועוד היכן מצינו ברכה כזאת שמברכין על מה שאסר לנו הקדוש ברוך הוא והלא אין אנו מברכין שאסר לנו אבר מן החי והתיר לנו את השחוט ועוד מה ענין להזכיר עריות בכאן. ועוד מה לנו להזכיר חופה בכאן כיון שמברכין ברכת ארוסין בבית האירוסין ובלא חופה. ונ"ל כי ברכה זו אינה ברכה לעשיית המצוה</w:t>
      </w:r>
      <w:r w:rsidR="00767DA9">
        <w:rPr>
          <w:rStyle w:val="Style1Char"/>
          <w:rFonts w:hint="cs"/>
          <w:color w:val="4472C4" w:themeColor="accent1"/>
        </w:rPr>
        <w:t>‍‍</w:t>
      </w:r>
      <w:r w:rsidR="00767DA9" w:rsidRPr="00A755B9">
        <w:rPr>
          <w:rStyle w:val="Style1Char"/>
          <w:color w:val="4472C4" w:themeColor="accent1"/>
          <w:rtl/>
        </w:rPr>
        <w:t xml:space="preserve"> כי פריה ורביה היינו קיום המצוה</w:t>
      </w:r>
      <w:r w:rsidR="00767DA9">
        <w:rPr>
          <w:rStyle w:val="Style1Char"/>
          <w:rFonts w:hint="cs"/>
          <w:color w:val="4472C4" w:themeColor="accent1"/>
        </w:rPr>
        <w:t>‍</w:t>
      </w:r>
      <w:r w:rsidR="00767DA9" w:rsidRPr="00A755B9">
        <w:rPr>
          <w:rStyle w:val="Style1Char"/>
          <w:color w:val="4472C4" w:themeColor="accent1"/>
          <w:rtl/>
        </w:rPr>
        <w:t xml:space="preserve"> ואם לקח פלגש וקיים פריה ורביה אינו מחוייב לקדש אשה וכן הנושא זקנה איילונית או עקרה</w:t>
      </w:r>
      <w:r w:rsidR="00767DA9">
        <w:rPr>
          <w:rStyle w:val="Style1Char"/>
          <w:rFonts w:hint="cs"/>
          <w:color w:val="4472C4" w:themeColor="accent1"/>
        </w:rPr>
        <w:t>‍</w:t>
      </w:r>
      <w:r w:rsidR="00767DA9" w:rsidRPr="00A755B9">
        <w:rPr>
          <w:rStyle w:val="Style1Char"/>
          <w:color w:val="4472C4" w:themeColor="accent1"/>
          <w:rtl/>
        </w:rPr>
        <w:t xml:space="preserve"> וכן סריס חמה שנשא מברכין ברכת חתנים ואין חיוב במצוה זו שאין בה קיום מצות פריה ורביה והילכך לא נתקנה ברכה במצוה זו. אף בנושא אשה לשם פריה ורביה כיון (שאי) אפשר לקיים מצות פריה ורביה בלא קידושין ולא דמי לשחיטה שאינו מחוייב לשחוט ולאכול ואפ"ה כשהוא שוחט לאכול מברך דהתם אי אפשר לו לאכול בלא שחיטה אבל הכא אפשר לקיים פריה ורביה בלא קידושין וגם התם אפקיה קרא בלשון ציווי דכתיב וזבחת ואכלת אבל הכא כתיב כי יקח איש ועוד דבקדשים אי אפשר בלא שחיטה הילכך מברכין על כל שחיטה. וברכה זו נתקנה לתת שבח להקב"ה אשר קדשנו במצותיו והבדילנו מן העמים וצונו לקדש אשה המותרת לנו ולא אחת מן העריות. והזכירו בו איסור ארוסות והיתר נשואות בחופה וקידושין שלא יטעה אדם לומר שהברכה של קידושין נתקנה להתירה לו לכך הזכירו חופה לומר דדוקא ברכת חופה היא המתרת הכלה</w:t>
      </w:r>
      <w:r w:rsidR="00767DA9">
        <w:rPr>
          <w:rStyle w:val="Style1Char"/>
          <w:rFonts w:hint="cs"/>
          <w:color w:val="4472C4" w:themeColor="accent1"/>
        </w:rPr>
        <w:t>‍‍‍</w:t>
      </w:r>
      <w:r w:rsidR="00767DA9" w:rsidRPr="00A755B9">
        <w:rPr>
          <w:rStyle w:val="Style1Char"/>
          <w:color w:val="4472C4" w:themeColor="accent1"/>
          <w:rtl/>
        </w:rPr>
        <w:t>. ולהכי נמי הקדימו חופה לקידושין לומר והתיר לנו את הנשואות על ידי חופה שאחר ברכת הקידושין</w:t>
      </w:r>
      <w:r w:rsidR="00767DA9" w:rsidRPr="00A755B9">
        <w:rPr>
          <w:rStyle w:val="Style1Char"/>
          <w:color w:val="4472C4" w:themeColor="accent1"/>
        </w:rPr>
        <w:t xml:space="preserve">: </w:t>
      </w:r>
    </w:p>
    <w:p w14:paraId="60289492" w14:textId="5D375BA2" w:rsidR="00771AA3" w:rsidRDefault="005652B0" w:rsidP="00F450C8">
      <w:pPr>
        <w:bidi/>
        <w:rPr>
          <w:rStyle w:val="Style1Char"/>
          <w:color w:val="auto"/>
          <w:sz w:val="22"/>
          <w:szCs w:val="22"/>
          <w:rtl/>
        </w:rPr>
      </w:pPr>
      <w:r w:rsidRPr="005652B0">
        <w:rPr>
          <w:rStyle w:val="Style1Char"/>
          <w:color w:val="4472C4" w:themeColor="accent1"/>
          <w:sz w:val="22"/>
          <w:szCs w:val="22"/>
          <w:rtl/>
        </w:rPr>
        <w:t>.</w:t>
      </w:r>
      <w:r w:rsidR="00F450C8" w:rsidRPr="005652B0">
        <w:rPr>
          <w:rStyle w:val="Style1Char"/>
          <w:rtl/>
        </w:rPr>
        <w:t xml:space="preserve">. </w:t>
      </w:r>
      <w:r w:rsidR="00F450C8" w:rsidRPr="00F450C8">
        <w:rPr>
          <w:rStyle w:val="Style1Char"/>
          <w:color w:val="00B050"/>
          <w:rtl/>
        </w:rPr>
        <w:t xml:space="preserve">מאן דלא חתים, מידי דהוה אברכת פירות ואברכת מצות, ומאן דחתים, מידי דהוה אקידושא. </w:t>
      </w:r>
      <w:r w:rsidR="00F450C8" w:rsidRPr="00953380">
        <w:rPr>
          <w:rStyle w:val="Style1Char"/>
          <w:color w:val="auto"/>
          <w:sz w:val="22"/>
          <w:szCs w:val="22"/>
          <w:rtl/>
        </w:rPr>
        <w:t xml:space="preserve">ת"ר: מברכין ברכת חתנים בעשרה כל שבעה. אמר רב יהודה: </w:t>
      </w:r>
      <w:r w:rsidR="008730E6">
        <w:rPr>
          <w:rStyle w:val="Style1Char"/>
          <w:rFonts w:hint="cs"/>
          <w:rtl/>
        </w:rPr>
        <w:t>(5)</w:t>
      </w:r>
      <w:r w:rsidR="00F450C8" w:rsidRPr="00953380">
        <w:rPr>
          <w:rStyle w:val="Style1Char"/>
          <w:color w:val="auto"/>
          <w:sz w:val="22"/>
          <w:szCs w:val="22"/>
          <w:rtl/>
        </w:rPr>
        <w:t>והוא, שבאו פנים חדשות.</w:t>
      </w:r>
    </w:p>
    <w:p w14:paraId="00D5C06A" w14:textId="5446A2D8" w:rsidR="00771AA3" w:rsidRPr="00771AA3" w:rsidRDefault="00771AA3" w:rsidP="00733499">
      <w:pPr>
        <w:bidi/>
        <w:rPr>
          <w:rStyle w:val="Style1Char"/>
          <w:color w:val="auto"/>
          <w:sz w:val="22"/>
          <w:szCs w:val="22"/>
          <w:rtl/>
        </w:rPr>
      </w:pPr>
      <w:r w:rsidRPr="00A755B9">
        <w:rPr>
          <w:rStyle w:val="Style1Char"/>
          <w:color w:val="4472C4" w:themeColor="accent1"/>
          <w:rtl/>
        </w:rPr>
        <w:t xml:space="preserve">שלא אכלו עד עתה אפילו היו שם בשעת החופה. ונראה דלא מיקרו פנים חדשות אלא בני אדם שמרבים בשבילם שמחה יותר. </w:t>
      </w:r>
      <w:r>
        <w:rPr>
          <w:rStyle w:val="Style1Char"/>
          <w:rFonts w:hint="cs"/>
          <w:color w:val="4472C4" w:themeColor="accent1"/>
        </w:rPr>
        <w:t>‍</w:t>
      </w:r>
      <w:r w:rsidRPr="00A755B9">
        <w:rPr>
          <w:rStyle w:val="Style1Char"/>
          <w:color w:val="4472C4" w:themeColor="accent1"/>
          <w:rtl/>
        </w:rPr>
        <w:t>ושבת חשובה כפנים חדשות דאמר במדרש מזמור שיר ליום השבת אמר הקדוש ברוך הוא פנים חדשות באו לכאן ודרך להרבות בשבת שמחה ומנות ויש מקומות שבשבת אחר סיום התפלה מלוין כל הקהל את החתן עד ביתו ואומרים שם שבע ברכות ואומרים מפני שלא היו שם רוב הקהל ביום הששי וביום השבת כולן מצויין שם. ושאלו את רב האיי על מנהגם והשיב</w:t>
      </w:r>
      <w:r>
        <w:rPr>
          <w:rStyle w:val="Style1Char"/>
          <w:rFonts w:hint="cs"/>
          <w:color w:val="4472C4" w:themeColor="accent1"/>
        </w:rPr>
        <w:t>‍</w:t>
      </w:r>
      <w:r w:rsidRPr="00A755B9">
        <w:rPr>
          <w:rStyle w:val="Style1Char"/>
          <w:color w:val="4472C4" w:themeColor="accent1"/>
          <w:rtl/>
        </w:rPr>
        <w:t xml:space="preserve"> שאינו מנהג יפה אלא שאין איסור בדבר שהרי אמרו מברכין ברכת חתנים כל שבעה והוא שבאו פנים חדשות. וי"א הא דמברכין ע"י פנים חדשות דהיינו דוקא לאחר סעודה.</w:t>
      </w:r>
      <w:r>
        <w:rPr>
          <w:rStyle w:val="Style1Char"/>
          <w:rFonts w:hint="cs"/>
          <w:color w:val="4472C4" w:themeColor="accent1"/>
        </w:rPr>
        <w:t>‍</w:t>
      </w:r>
      <w:r w:rsidRPr="00A755B9">
        <w:rPr>
          <w:rStyle w:val="Style1Char"/>
          <w:color w:val="4472C4" w:themeColor="accent1"/>
          <w:rtl/>
        </w:rPr>
        <w:t xml:space="preserve"> במס' סופרים (פרק יט הל' י"א) יש נהגו רבותינו לומר בבוקר ברכת חתנים על הכוס בעשרה פנים חדשות כל שבעה וכן בערב קודם סעודה מברכין אותה. </w:t>
      </w:r>
    </w:p>
    <w:p w14:paraId="71AFF182" w14:textId="11012EEA" w:rsidR="00F450C8" w:rsidRDefault="00F450C8" w:rsidP="00771AA3">
      <w:pPr>
        <w:bidi/>
        <w:rPr>
          <w:rStyle w:val="Style1Char"/>
          <w:sz w:val="22"/>
          <w:szCs w:val="22"/>
          <w:rtl/>
        </w:rPr>
      </w:pPr>
      <w:r w:rsidRPr="00953380">
        <w:rPr>
          <w:rStyle w:val="Style1Char"/>
          <w:color w:val="auto"/>
          <w:sz w:val="22"/>
          <w:szCs w:val="22"/>
          <w:rtl/>
        </w:rPr>
        <w:t xml:space="preserve"> מאי מברך? אמר רב יהודה: </w:t>
      </w:r>
      <w:r w:rsidRPr="00733499">
        <w:rPr>
          <w:rStyle w:val="Style1Char"/>
          <w:sz w:val="22"/>
          <w:szCs w:val="22"/>
          <w:rtl/>
        </w:rPr>
        <w:t xml:space="preserve">בא"י אמ"ה </w:t>
      </w:r>
    </w:p>
    <w:p w14:paraId="75717563" w14:textId="7FAB359C" w:rsidR="00370CCF" w:rsidRDefault="00370CCF" w:rsidP="00370CCF">
      <w:pPr>
        <w:pStyle w:val="Style1"/>
        <w:rPr>
          <w:rStyle w:val="Style1Char"/>
          <w:rtl/>
        </w:rPr>
      </w:pPr>
      <w:r>
        <w:rPr>
          <w:rStyle w:val="Style1Char"/>
          <w:rFonts w:hint="cs"/>
          <w:rtl/>
        </w:rPr>
        <w:t>1)[</w:t>
      </w:r>
      <w:r w:rsidRPr="00370CCF">
        <w:rPr>
          <w:rStyle w:val="Style1Char"/>
          <w:rtl/>
        </w:rPr>
        <w:t>רמב</w:t>
      </w:r>
      <w:r w:rsidR="00C764B2">
        <w:rPr>
          <w:rStyle w:val="Style1Char"/>
          <w:rtl/>
        </w:rPr>
        <w:t>”ם \קנין\</w:t>
      </w:r>
      <w:r w:rsidRPr="00370CCF">
        <w:rPr>
          <w:rStyle w:val="Style1Char"/>
          <w:rtl/>
        </w:rPr>
        <w:t xml:space="preserve"> הלכות זכיה ומתנה פרק ח הלכה ה</w:t>
      </w:r>
      <w:r>
        <w:rPr>
          <w:rStyle w:val="Style1Char"/>
          <w:rFonts w:hint="cs"/>
          <w:rtl/>
        </w:rPr>
        <w:t xml:space="preserve">] </w:t>
      </w:r>
      <w:r w:rsidRPr="00370CCF">
        <w:rPr>
          <w:rStyle w:val="Style1Char"/>
          <w:rtl/>
        </w:rPr>
        <w:t>שכיב מרע שצוה לתת מתנה לעובר שבמעי אמו, זכה העובר מפני שדעתו של אדם קרובה אצל בנו כמו שביארנו.</w:t>
      </w:r>
    </w:p>
    <w:p w14:paraId="51C23EC1" w14:textId="6862851A" w:rsidR="004A5F5B" w:rsidRPr="004A5F5B" w:rsidRDefault="004A5F5B" w:rsidP="004A5F5B">
      <w:pPr>
        <w:pStyle w:val="Style1"/>
      </w:pPr>
      <w:r>
        <w:rPr>
          <w:rStyle w:val="Style1Char"/>
          <w:rFonts w:hint="cs"/>
          <w:rtl/>
        </w:rPr>
        <w:t>1)[</w:t>
      </w:r>
      <w:r w:rsidRPr="004A5F5B">
        <w:rPr>
          <w:rStyle w:val="Style1Char"/>
          <w:rtl/>
        </w:rPr>
        <w:t>שולחן ערוך חושן משפט הלכות מקח וממכר סימן רי סעיף א</w:t>
      </w:r>
      <w:r>
        <w:rPr>
          <w:rStyle w:val="Style1Char"/>
          <w:rFonts w:hint="cs"/>
          <w:rtl/>
        </w:rPr>
        <w:t xml:space="preserve">] </w:t>
      </w:r>
      <w:r w:rsidRPr="004A5F5B">
        <w:rPr>
          <w:rtl/>
        </w:rPr>
        <w:t>אין אדם מקנה למי שלא בא לעולם לפיכך המזכה לעובר של אחר לא קנה ואפילו אמר לכשיולד יזכה</w:t>
      </w:r>
      <w:r w:rsidRPr="004A5F5B">
        <w:t>:</w:t>
      </w:r>
    </w:p>
    <w:p w14:paraId="23EE4E0D" w14:textId="77777777" w:rsidR="004A5F5B" w:rsidRPr="004A5F5B" w:rsidRDefault="004A5F5B" w:rsidP="004A5F5B">
      <w:pPr>
        <w:pStyle w:val="Style1"/>
      </w:pPr>
      <w:r w:rsidRPr="004A5F5B">
        <w:rPr>
          <w:rFonts w:hint="cs"/>
          <w:rtl/>
        </w:rPr>
        <w:t>הגה: ודלא כיש חולקין וסבירא להו דאם לא מת או חזר המזכה עד שיוכר וקנאו במשיכה וישנו עדיין ברשות הזוכה כשיולד אז זכה אם אמר כשיולד (הרמ"ה וע"ל </w:t>
      </w:r>
      <w:hyperlink r:id="rId17" w:tooltip="שולחן ערוך חושן משפט רכב" w:history="1">
        <w:r w:rsidRPr="004A5F5B">
          <w:rPr>
            <w:rStyle w:val="Hyperlink"/>
            <w:rFonts w:hint="cs"/>
            <w:color w:val="7030A0"/>
            <w:u w:val="none"/>
            <w:rtl/>
          </w:rPr>
          <w:t>סי' רכ"ב</w:t>
        </w:r>
      </w:hyperlink>
      <w:r w:rsidRPr="004A5F5B">
        <w:rPr>
          <w:rFonts w:hint="cs"/>
        </w:rPr>
        <w:t> </w:t>
      </w:r>
      <w:r w:rsidRPr="004A5F5B">
        <w:rPr>
          <w:rFonts w:hint="cs"/>
          <w:rtl/>
        </w:rPr>
        <w:t>טור בשם הרא"ש ור"ח</w:t>
      </w:r>
      <w:r w:rsidRPr="004A5F5B">
        <w:rPr>
          <w:rFonts w:hint="cs"/>
        </w:rPr>
        <w:t>)</w:t>
      </w:r>
    </w:p>
    <w:p w14:paraId="08351DB2" w14:textId="26991887" w:rsidR="004A5F5B" w:rsidRDefault="004A5F5B" w:rsidP="004A5F5B">
      <w:pPr>
        <w:pStyle w:val="Style1"/>
        <w:rPr>
          <w:rtl/>
        </w:rPr>
      </w:pPr>
      <w:r w:rsidRPr="004A5F5B">
        <w:rPr>
          <w:rtl/>
        </w:rPr>
        <w:t>ואם היה בנו -- קנה אפילו לא אמר לכשיולד והוא שתהיה אשתו כבר מעוברת בשעת המתנה </w:t>
      </w:r>
      <w:r w:rsidRPr="004A5F5B">
        <w:rPr>
          <w:rFonts w:hint="cs"/>
          <w:rtl/>
        </w:rPr>
        <w:t>(ובן בנו כאחר דמי) (תשובת הרא"ש כלל פ"ב סי' ד')</w:t>
      </w:r>
      <w:r w:rsidRPr="004A5F5B">
        <w:rPr>
          <w:rtl/>
        </w:rPr>
        <w:t> וי"א דהא דמזכה לעובר שלו קנה דוקא בשכ"מ אבל בבריא לא קנה</w:t>
      </w:r>
      <w:r w:rsidRPr="004A5F5B">
        <w:t>:</w:t>
      </w:r>
    </w:p>
    <w:p w14:paraId="5A4EC3F7" w14:textId="0D210C2C" w:rsidR="004A5F5B" w:rsidRDefault="004A5F5B" w:rsidP="004A5F5B">
      <w:pPr>
        <w:pStyle w:val="Style1"/>
        <w:rPr>
          <w:rtl/>
        </w:rPr>
      </w:pPr>
      <w:r>
        <w:rPr>
          <w:rFonts w:hint="cs"/>
          <w:rtl/>
        </w:rPr>
        <w:t>2)[</w:t>
      </w:r>
      <w:r>
        <w:rPr>
          <w:rtl/>
        </w:rPr>
        <w:t>רמב</w:t>
      </w:r>
      <w:r w:rsidR="00C764B2">
        <w:rPr>
          <w:rtl/>
        </w:rPr>
        <w:t>”ם \אהבה\</w:t>
      </w:r>
      <w:r>
        <w:rPr>
          <w:rtl/>
        </w:rPr>
        <w:t xml:space="preserve"> הלכות ברכות פרק ב הלכה ט</w:t>
      </w:r>
      <w:r>
        <w:rPr>
          <w:rFonts w:hint="cs"/>
          <w:rtl/>
        </w:rPr>
        <w:t xml:space="preserve">] </w:t>
      </w:r>
      <w:r>
        <w:rPr>
          <w:rtl/>
        </w:rPr>
        <w:t>בבית חתנים מברכין ברכת חתנים אחר ארבע ברכות אלו בכל סעודה וסעודה שאוכלים שם, ואין מברכין ברכה זו לא עבדים ולא קטנים, עד כמה מברכין ברכה זו אם היה אלמון שנשא אלמנה מברכין אותה ביום ראשון בלבד, ואם בחור שנשא אלמנה או אלמון שנשא בתולה מברכין אותה כל שבעת ימי המשתה.</w:t>
      </w:r>
    </w:p>
    <w:p w14:paraId="081E62FF" w14:textId="05C2A0F3" w:rsidR="004A5F5B" w:rsidRDefault="004A5F5B" w:rsidP="004A5F5B">
      <w:pPr>
        <w:pStyle w:val="Style1"/>
        <w:rPr>
          <w:rtl/>
        </w:rPr>
      </w:pPr>
      <w:r>
        <w:rPr>
          <w:rFonts w:hint="cs"/>
          <w:rtl/>
        </w:rPr>
        <w:t>2)[</w:t>
      </w:r>
      <w:r>
        <w:rPr>
          <w:rtl/>
        </w:rPr>
        <w:t>רמב</w:t>
      </w:r>
      <w:r w:rsidR="00213DA1">
        <w:rPr>
          <w:rtl/>
        </w:rPr>
        <w:t>”ם \נשים\</w:t>
      </w:r>
      <w:r>
        <w:rPr>
          <w:rtl/>
        </w:rPr>
        <w:t xml:space="preserve"> הלכות אישות פרק י הלכה ג</w:t>
      </w:r>
      <w:r>
        <w:rPr>
          <w:rFonts w:hint="cs"/>
          <w:rtl/>
        </w:rPr>
        <w:t xml:space="preserve">] </w:t>
      </w:r>
      <w:r>
        <w:rPr>
          <w:rtl/>
        </w:rPr>
        <w:t>וצריך לברך ברכת חתנים בבית החתן קודם הנישואין והן שש ברכות ואלו הן: ברוך אתה י"י אלהינו מלך העולם שהכל ברא לכבודו. ברוך אתה י"י אלהינו מלך העולם יוצר האדם. ברוך אתה י"י אלהינו מלך העולם אשר יצר את האדם בצלמו בצלם דמות תבניתו והתקין לו ממנו בנין עדי עד ברוך אתה י"י יוצר האדם. שוש תשיש ותגל עקרה בקבוץ בניה לתוכה בשמחה ברוך אתה י"י משמח ציון בבניה. שמח תשמח רעים אהובים כשמחך יצירך מקדם בגן עדן ברוך אתה י"י משמח חתן וכלה. ברוך אתה י"י אלהינו מלך העולם אשר ברא ששון ושמחה חתן וכלה גילה ורנה דיצה וחדוה אהבה ואחוה שלום ורעות מהרה י"י אלהינו ישמע מערי יהודה ומחוצות ירושלם קול ששון קול שמחה קול חתן קול כלה קול מצהלות חתנים ממשתה ונערים מנגינתם ברוך אתה י"י משמח חתן עם הכלה.</w:t>
      </w:r>
    </w:p>
    <w:p w14:paraId="4769E9EE" w14:textId="0BDA8D8D" w:rsidR="004A5F5B" w:rsidRDefault="004A5F5B" w:rsidP="00F170FB">
      <w:pPr>
        <w:pStyle w:val="Style1"/>
        <w:rPr>
          <w:rtl/>
        </w:rPr>
      </w:pPr>
      <w:r>
        <w:rPr>
          <w:rFonts w:hint="cs"/>
          <w:rtl/>
        </w:rPr>
        <w:lastRenderedPageBreak/>
        <w:t>2)[</w:t>
      </w:r>
      <w:r>
        <w:rPr>
          <w:rtl/>
        </w:rPr>
        <w:t>שולחן ערוך אבן העזר הלכות קידושין סימן סב סעיף א</w:t>
      </w:r>
      <w:r>
        <w:rPr>
          <w:rFonts w:hint="cs"/>
          <w:rtl/>
        </w:rPr>
        <w:t>]</w:t>
      </w:r>
      <w:r w:rsidR="00F170FB">
        <w:rPr>
          <w:rFonts w:hint="cs"/>
          <w:rtl/>
        </w:rPr>
        <w:t xml:space="preserve"> </w:t>
      </w:r>
      <w:r w:rsidR="00F170FB" w:rsidRPr="00F170FB">
        <w:rPr>
          <w:rtl/>
        </w:rPr>
        <w:t>צריך לברך ברכת חתנים בבית החתן קודם נשואין, והן שש ברכות. ואם יש שם יין, מביא כוס יין ומברך על היין תחלה, ומסדר את כולם על הכוס, ונמצא מברך שבע ברכות. ואם אין יין מצוי, מברך על השכר</w:t>
      </w:r>
      <w:r w:rsidR="00F170FB" w:rsidRPr="00F170FB">
        <w:t>:</w:t>
      </w:r>
    </w:p>
    <w:p w14:paraId="5A7507C7" w14:textId="5B8CAECD" w:rsidR="00F170FB" w:rsidRDefault="00F170FB" w:rsidP="00F170FB">
      <w:pPr>
        <w:pStyle w:val="Style1"/>
        <w:rPr>
          <w:rtl/>
        </w:rPr>
      </w:pPr>
      <w:r>
        <w:rPr>
          <w:rFonts w:hint="cs"/>
          <w:rtl/>
        </w:rPr>
        <w:t>3)[</w:t>
      </w:r>
      <w:r>
        <w:rPr>
          <w:rtl/>
        </w:rPr>
        <w:t>רמב</w:t>
      </w:r>
      <w:r w:rsidR="00213DA1">
        <w:rPr>
          <w:rtl/>
        </w:rPr>
        <w:t>”ם \נשים\</w:t>
      </w:r>
      <w:r>
        <w:rPr>
          <w:rtl/>
        </w:rPr>
        <w:t xml:space="preserve"> הלכות אישות פרק י הלכה ו</w:t>
      </w:r>
      <w:r>
        <w:rPr>
          <w:rFonts w:hint="cs"/>
          <w:rtl/>
        </w:rPr>
        <w:t xml:space="preserve">] </w:t>
      </w:r>
      <w:r>
        <w:rPr>
          <w:rtl/>
        </w:rPr>
        <w:t>המארס את האשה וברך ברכת חתנים ולא נתיחד עמה בביתו עדיין ארוסה היא שאין ברכת חתנים עושה הנישואין אלא כניסה לחופה, אירס וכנס לחופה ולא ברך ברכת חתנים הרי זו נשואה גמורה וחוזר ומברך אפילו אחר כמה ימים, ולא תנשא נדה עד שתטהר, ואין מברכין לה ברכת חתנים עד שתטהר, ואם עבר ונשא וברך אינו חוזר ומברך.</w:t>
      </w:r>
    </w:p>
    <w:p w14:paraId="24C9E18B" w14:textId="7B8DB54E" w:rsidR="00F170FB" w:rsidRPr="00F170FB" w:rsidRDefault="00F170FB" w:rsidP="00F170FB">
      <w:pPr>
        <w:pStyle w:val="Style1"/>
      </w:pPr>
      <w:r>
        <w:rPr>
          <w:rFonts w:hint="cs"/>
          <w:rtl/>
        </w:rPr>
        <w:t>3)[</w:t>
      </w:r>
      <w:r>
        <w:rPr>
          <w:rtl/>
        </w:rPr>
        <w:t>שולחן ערוך אבן העזר הלכות קידושין סימן נה סעיף א</w:t>
      </w:r>
      <w:r>
        <w:rPr>
          <w:rFonts w:hint="cs"/>
          <w:rtl/>
        </w:rPr>
        <w:t xml:space="preserve">] </w:t>
      </w:r>
      <w:r w:rsidRPr="00F170FB">
        <w:rPr>
          <w:rtl/>
        </w:rPr>
        <w:t>הארוסה, אסורה לבעלה מדברי סופרים, כל זמן שהיא בבית אביה; והבא על ארוסתו בבית חמיו, מכין אותו מכת מרדות</w:t>
      </w:r>
      <w:r w:rsidRPr="00F170FB">
        <w:t>.</w:t>
      </w:r>
    </w:p>
    <w:p w14:paraId="6FDE6ACF" w14:textId="77777777" w:rsidR="00F170FB" w:rsidRPr="00F170FB" w:rsidRDefault="00F170FB" w:rsidP="00F170FB">
      <w:pPr>
        <w:pStyle w:val="Style1"/>
      </w:pPr>
      <w:r w:rsidRPr="00F170FB">
        <w:rPr>
          <w:rFonts w:hint="cs"/>
          <w:rtl/>
        </w:rPr>
        <w:t>הגה: ואפילו ביחוד אסורים; ולכן ארוס שהוא עם ארוסתו בבית אחד, מברכין שבע ברכות פן יתיחדו (מרדכי פרק קמא דכתובות). ויש אומרים דאין להם לדור ביחד, שמא יקוצו זה בזה (כל בו). ואפילו בשדוכין בלא ארוסין יש לחוש (חדושי אגדה פרק קמא דכתובות)</w:t>
      </w:r>
      <w:r w:rsidRPr="00F170FB">
        <w:t>.</w:t>
      </w:r>
    </w:p>
    <w:p w14:paraId="42B474D2" w14:textId="77777777" w:rsidR="00F170FB" w:rsidRPr="00F170FB" w:rsidRDefault="00F170FB" w:rsidP="00F170FB">
      <w:pPr>
        <w:pStyle w:val="Style1"/>
      </w:pPr>
      <w:r w:rsidRPr="00F170FB">
        <w:rPr>
          <w:rtl/>
        </w:rPr>
        <w:t>אפילו אם קדשה בביאה, אסור לו לבוא עליה ביאה שניה בבית אביה, עד שיביא אותה לתוך ביתו ויתיחד עמה ויפרישנה לו; ויחוד זה הוא נקרא כניסה לחופה, והוא הנקרא נשואין בכל מקום. והבא על ארוסתו לשם נשואין, אחר שקדשה, משיערה בה, קנאה, ונעשית נשואה והרי היא כאשתו לכל דבר. וצריך לברך ברכת חתנים בבית החתן קודם הנשואין</w:t>
      </w:r>
      <w:r w:rsidRPr="00F170FB">
        <w:t>.</w:t>
      </w:r>
    </w:p>
    <w:p w14:paraId="1FF26C3D" w14:textId="3748D2A0" w:rsidR="00F170FB" w:rsidRDefault="00F170FB" w:rsidP="00F170FB">
      <w:pPr>
        <w:pStyle w:val="Style1"/>
        <w:rPr>
          <w:rtl/>
        </w:rPr>
      </w:pPr>
      <w:r w:rsidRPr="00F170FB">
        <w:rPr>
          <w:rFonts w:hint="cs"/>
          <w:rtl/>
        </w:rPr>
        <w:t>הגה: ויש אומרים דחופה אינו יחוד, אלא כל שהביאה החתן לביתו לשם נשואין (כן כתב הר"ן בשם יש אומרים ריש כתובות). ויש אומרים שהחופה היא שפורסין סודר על ראשה בשעת הברכה (הבית יוסף הביאו). ויש אומרים דחופת בתולה משיצאה בהינומא; ואלמנה, משנתיחדו (תוספות פרק קמא דיומא). והמנהג פשוט עכשיו לקרות חופה מקום שמכניסים שם יריעה פרוסה על גבי כלונסות, ומכניסים תחתיה החתן והכלה ברבים, ומקדשה שם ומברכין שם ברכת ארוסין ונשואין, ואחר כך מוליכים אותם לביתם ואוכלים ביחד במקום צנוע, וזהו החופה הנוהגת עכשיו. ועיין לקמן </w:t>
      </w:r>
      <w:hyperlink r:id="rId18" w:anchor="%D7%A1%D7%A2%D7%99%D7%A3_%D7%98" w:tooltip="שולחן ערוך אבן העזר סב" w:history="1">
        <w:r w:rsidRPr="00F170FB">
          <w:rPr>
            <w:rStyle w:val="Hyperlink"/>
            <w:rFonts w:hint="cs"/>
            <w:color w:val="7030A0"/>
            <w:u w:val="none"/>
            <w:rtl/>
          </w:rPr>
          <w:t>סימן ס"ב סעיף ט</w:t>
        </w:r>
        <w:r w:rsidRPr="00F170FB">
          <w:rPr>
            <w:rStyle w:val="Hyperlink"/>
            <w:rFonts w:hint="cs"/>
            <w:color w:val="7030A0"/>
            <w:u w:val="none"/>
          </w:rPr>
          <w:t>'</w:t>
        </w:r>
      </w:hyperlink>
      <w:r w:rsidRPr="00F170FB">
        <w:rPr>
          <w:rFonts w:hint="cs"/>
        </w:rPr>
        <w:t> </w:t>
      </w:r>
      <w:r w:rsidRPr="00F170FB">
        <w:rPr>
          <w:rFonts w:hint="cs"/>
          <w:rtl/>
        </w:rPr>
        <w:t>ו</w:t>
      </w:r>
      <w:hyperlink r:id="rId19" w:tooltip="שולחן ערוך אבן העזר סא" w:history="1">
        <w:r w:rsidRPr="00F170FB">
          <w:rPr>
            <w:rStyle w:val="Hyperlink"/>
            <w:rFonts w:hint="cs"/>
            <w:color w:val="7030A0"/>
            <w:u w:val="none"/>
            <w:rtl/>
          </w:rPr>
          <w:t>סימן ס"א</w:t>
        </w:r>
      </w:hyperlink>
      <w:r w:rsidRPr="00F170FB">
        <w:t>:</w:t>
      </w:r>
    </w:p>
    <w:p w14:paraId="7FC52561" w14:textId="053DCBCD" w:rsidR="008730E6" w:rsidRDefault="008730E6" w:rsidP="008730E6">
      <w:pPr>
        <w:pStyle w:val="Style1"/>
        <w:rPr>
          <w:rtl/>
        </w:rPr>
      </w:pPr>
      <w:r>
        <w:rPr>
          <w:rFonts w:hint="cs"/>
          <w:rtl/>
        </w:rPr>
        <w:t>4)[</w:t>
      </w:r>
      <w:r>
        <w:rPr>
          <w:rtl/>
        </w:rPr>
        <w:t>רמב</w:t>
      </w:r>
      <w:r w:rsidR="00213DA1">
        <w:rPr>
          <w:rtl/>
        </w:rPr>
        <w:t>”ם \נשים\</w:t>
      </w:r>
      <w:r>
        <w:rPr>
          <w:rtl/>
        </w:rPr>
        <w:t xml:space="preserve"> הלכות אישות פרק ג הלכה כד</w:t>
      </w:r>
      <w:r>
        <w:rPr>
          <w:rFonts w:hint="cs"/>
          <w:rtl/>
        </w:rPr>
        <w:t xml:space="preserve">] </w:t>
      </w:r>
      <w:r>
        <w:rPr>
          <w:rtl/>
        </w:rPr>
        <w:t>כיצד מברך בא"י אמ"ה אשר קדשנו במצותיו והבדילנו מן העריות ואסר לנו את הארוסות והתיר לנו את הנשואות על ידי חופה וקידושין בא"י מקדש ישראל. זו היא ברכת אירוסין, ונהגו העם להסדיר ברכה זו על כוס של יין או של שכר, אם יש שם יין מברך על היין תחלה ואחר כך מברך ברכת אירוסין ואחר כך מקדש, ואם אין שם לא יין ולא שכר מברך אותה בפני עצמה.</w:t>
      </w:r>
    </w:p>
    <w:p w14:paraId="15F7FC24" w14:textId="75180AA2" w:rsidR="008730E6" w:rsidRPr="008730E6" w:rsidRDefault="008730E6" w:rsidP="008730E6">
      <w:pPr>
        <w:pStyle w:val="Style1"/>
      </w:pPr>
      <w:r>
        <w:rPr>
          <w:rFonts w:hint="cs"/>
          <w:rtl/>
        </w:rPr>
        <w:t>4)[</w:t>
      </w:r>
      <w:r>
        <w:rPr>
          <w:rtl/>
        </w:rPr>
        <w:t>שולחן ערוך אבן העזר הלכות קידושין סימן לד סעיף א</w:t>
      </w:r>
      <w:r>
        <w:rPr>
          <w:rFonts w:hint="cs"/>
          <w:rtl/>
        </w:rPr>
        <w:t xml:space="preserve">] </w:t>
      </w:r>
      <w:r w:rsidRPr="008730E6">
        <w:rPr>
          <w:rtl/>
        </w:rPr>
        <w:t>כל המקדש אשה, בין על ידי עצמו בין על ידי שליח, מברך </w:t>
      </w:r>
      <w:r w:rsidRPr="008730E6">
        <w:rPr>
          <w:rFonts w:hint="cs"/>
        </w:rPr>
        <w:t>(</w:t>
      </w:r>
      <w:r w:rsidRPr="008730E6">
        <w:rPr>
          <w:rFonts w:hint="cs"/>
          <w:rtl/>
        </w:rPr>
        <w:t>הוא או השליח (טור), ויש אומרים דאחר מברך, (סמ"ג והגהות מימוני) וכן נוהגין</w:t>
      </w:r>
      <w:r w:rsidRPr="008730E6">
        <w:rPr>
          <w:rFonts w:hint="cs"/>
        </w:rPr>
        <w:t>)</w:t>
      </w:r>
      <w:r w:rsidRPr="008730E6">
        <w:t> "</w:t>
      </w:r>
      <w:r w:rsidRPr="008730E6">
        <w:rPr>
          <w:rtl/>
        </w:rPr>
        <w:t>אשר קדשנו במצותיו וצונו על העריות, ואסר לנו הארוסות, והתיר לנו הנשואות [לנו] על ידי חופה בקדושין, ברוך אתה ה' מקדש ישראל</w:t>
      </w:r>
      <w:r w:rsidRPr="008730E6">
        <w:t>".</w:t>
      </w:r>
    </w:p>
    <w:p w14:paraId="6590A168" w14:textId="77777777" w:rsidR="008730E6" w:rsidRPr="008730E6" w:rsidRDefault="008730E6" w:rsidP="008730E6">
      <w:pPr>
        <w:pStyle w:val="Style1"/>
      </w:pPr>
      <w:r w:rsidRPr="008730E6">
        <w:rPr>
          <w:rFonts w:hint="cs"/>
          <w:rtl/>
        </w:rPr>
        <w:t>ויש אומרים נוסח הברכה בלשון אחר, כי אומרים: "והתיר לנו הנשואות על ידי חופה וקדושין" (טור), וחותם: "ברוך אתה ה' מקדש עמו ישראל על ידי חופה וקדושין" (כן כתב הרא"ש) וכן נוהגים במדינות אלו</w:t>
      </w:r>
      <w:r w:rsidRPr="008730E6">
        <w:rPr>
          <w:rFonts w:hint="cs"/>
        </w:rPr>
        <w:t>.</w:t>
      </w:r>
    </w:p>
    <w:p w14:paraId="788CF2B0" w14:textId="2FC349C4" w:rsidR="008730E6" w:rsidRDefault="008730E6" w:rsidP="008730E6">
      <w:pPr>
        <w:pStyle w:val="Style1"/>
        <w:rPr>
          <w:rtl/>
        </w:rPr>
      </w:pPr>
      <w:r w:rsidRPr="008730E6">
        <w:rPr>
          <w:rtl/>
        </w:rPr>
        <w:t>ואחר שיגמור הברכה, יקדש</w:t>
      </w:r>
      <w:r w:rsidRPr="008730E6">
        <w:t>:</w:t>
      </w:r>
    </w:p>
    <w:p w14:paraId="71F1BDF7" w14:textId="75875D41" w:rsidR="008730E6" w:rsidRDefault="008730E6" w:rsidP="008730E6">
      <w:pPr>
        <w:pStyle w:val="Style1"/>
        <w:rPr>
          <w:rtl/>
        </w:rPr>
      </w:pPr>
      <w:r>
        <w:rPr>
          <w:rFonts w:hint="cs"/>
          <w:rtl/>
        </w:rPr>
        <w:t>5)[</w:t>
      </w:r>
      <w:r>
        <w:rPr>
          <w:rtl/>
        </w:rPr>
        <w:t>רמב</w:t>
      </w:r>
      <w:r w:rsidR="00C764B2">
        <w:rPr>
          <w:rtl/>
        </w:rPr>
        <w:t>”ם \אהבה\</w:t>
      </w:r>
      <w:r>
        <w:rPr>
          <w:rtl/>
        </w:rPr>
        <w:t xml:space="preserve"> הלכות ברכות פרק ב הלכה י</w:t>
      </w:r>
      <w:r>
        <w:rPr>
          <w:rFonts w:hint="cs"/>
          <w:rtl/>
        </w:rPr>
        <w:t xml:space="preserve">] </w:t>
      </w:r>
      <w:r>
        <w:rPr>
          <w:rtl/>
        </w:rPr>
        <w:t>ברכה זו שמוסיפין בבית חתנים היא ברכה אחרונה משבע ברכות של נישואין, במה דברים אמורים כשהיו האוכלין הם שעמדו בברכת נישואין ושמעו הברכות אבל אם היו האוכלין אחרים שלא שמעו ברכת נישואין בשעת נישואין מברכין בשבילם אחר ברכת מזון שבע ברכות כדרך שמברכין בשעת נישואין, והוא שיהיו עשרה וחתנים מן המנין.</w:t>
      </w:r>
    </w:p>
    <w:p w14:paraId="53DFA7C2" w14:textId="770BF5F8" w:rsidR="00CD4C32" w:rsidRPr="00CD4C32" w:rsidRDefault="00CD4C32" w:rsidP="00CD4C32">
      <w:pPr>
        <w:pStyle w:val="Style1"/>
      </w:pPr>
      <w:r>
        <w:rPr>
          <w:rFonts w:hint="cs"/>
          <w:rtl/>
        </w:rPr>
        <w:t>5)[</w:t>
      </w:r>
      <w:r>
        <w:rPr>
          <w:rtl/>
        </w:rPr>
        <w:t>שולחן ערוך אבן העזר הלכות קידושין סימן סב סעיף ז</w:t>
      </w:r>
      <w:r>
        <w:rPr>
          <w:rFonts w:hint="cs"/>
          <w:rtl/>
        </w:rPr>
        <w:t xml:space="preserve">] </w:t>
      </w:r>
      <w:r w:rsidRPr="00CD4C32">
        <w:rPr>
          <w:rtl/>
        </w:rPr>
        <w:t>ברכה זו שמוסיפים בבית חתנים היא ברכה אחרונה משבע ברכות, שהיא ברכת אשר ברא</w:t>
      </w:r>
      <w:r w:rsidRPr="00CD4C32">
        <w:t>.</w:t>
      </w:r>
    </w:p>
    <w:p w14:paraId="463399CA" w14:textId="77777777" w:rsidR="00CD4C32" w:rsidRPr="00CD4C32" w:rsidRDefault="00CD4C32" w:rsidP="00CD4C32">
      <w:pPr>
        <w:pStyle w:val="Style1"/>
      </w:pPr>
      <w:r w:rsidRPr="00CD4C32">
        <w:rPr>
          <w:rFonts w:hint="cs"/>
          <w:rtl/>
        </w:rPr>
        <w:t>הגה</w:t>
      </w:r>
      <w:r w:rsidRPr="00CD4C32">
        <w:rPr>
          <w:rFonts w:hint="cs"/>
        </w:rPr>
        <w:t>: </w:t>
      </w:r>
      <w:r w:rsidRPr="00CD4C32">
        <w:rPr>
          <w:rFonts w:hint="cs"/>
          <w:rtl/>
        </w:rPr>
        <w:t>ויש אומרים דאף אשר ברא אין מברך כל שבעה אלא כשמזמנין אחרים, אבל אם אוכל עם בני ביתו אין מברכין </w:t>
      </w:r>
      <w:r w:rsidRPr="00CD4C32">
        <w:rPr>
          <w:rFonts w:hint="cs"/>
        </w:rPr>
        <w:t>(</w:t>
      </w:r>
      <w:r w:rsidRPr="00CD4C32">
        <w:rPr>
          <w:rFonts w:hint="cs"/>
          <w:rtl/>
        </w:rPr>
        <w:t>הר"ן בשם הרמב"ן</w:t>
      </w:r>
      <w:r w:rsidRPr="00CD4C32">
        <w:rPr>
          <w:rFonts w:hint="cs"/>
        </w:rPr>
        <w:t>) </w:t>
      </w:r>
      <w:r w:rsidRPr="00CD4C32">
        <w:rPr>
          <w:rFonts w:hint="cs"/>
          <w:rtl/>
        </w:rPr>
        <w:t>וכן נוהגין</w:t>
      </w:r>
      <w:r w:rsidRPr="00CD4C32">
        <w:rPr>
          <w:rFonts w:hint="cs"/>
        </w:rPr>
        <w:t>.</w:t>
      </w:r>
    </w:p>
    <w:p w14:paraId="449FABD4" w14:textId="77777777" w:rsidR="00CD4C32" w:rsidRPr="00CD4C32" w:rsidRDefault="00CD4C32" w:rsidP="00CD4C32">
      <w:pPr>
        <w:pStyle w:val="Style1"/>
      </w:pPr>
      <w:r w:rsidRPr="00CD4C32">
        <w:rPr>
          <w:rtl/>
        </w:rPr>
        <w:t>במה דברים אמורים, כשהיו האוכלים הם שעמדו בברכת הנשואין ושמעו הברכות, אבל אם היו האוכלים אחרים, ולא שמעו ברכת נשואין בשעת נשואין, מברכין בשבילם אחר ברכת המזון שבע ברכות, כדרך שמברכין בשעת נשואין, והוא שיהיו עשרה, וחתן מן המנין. ויש אומרים שאפילו היו בשעת החופה ושמעו הברכות, אם לא אכלו שם עד עתה, מקרי פנים חדשות ומברכים בשבילם שבע ברכות אחר ברכת המזון, וכן פשט המנהג</w:t>
      </w:r>
      <w:r w:rsidRPr="00CD4C32">
        <w:t>.</w:t>
      </w:r>
    </w:p>
    <w:p w14:paraId="3C8FCEDD" w14:textId="20E82262" w:rsidR="00CD4C32" w:rsidRDefault="00CD4C32" w:rsidP="00CD4C32">
      <w:pPr>
        <w:pStyle w:val="Style1"/>
        <w:rPr>
          <w:rtl/>
        </w:rPr>
      </w:pPr>
      <w:r w:rsidRPr="00CD4C32">
        <w:rPr>
          <w:rFonts w:hint="cs"/>
          <w:rtl/>
        </w:rPr>
        <w:t>הגה</w:t>
      </w:r>
      <w:r w:rsidRPr="00CD4C32">
        <w:rPr>
          <w:rFonts w:hint="cs"/>
        </w:rPr>
        <w:t>: </w:t>
      </w:r>
      <w:r w:rsidRPr="00CD4C32">
        <w:rPr>
          <w:rFonts w:hint="cs"/>
          <w:rtl/>
        </w:rPr>
        <w:t>ויש אומרים דאם היו שם פנים חדשות, אף על פי שאין אוכלין שם, מברך בשבילם לילה ויום </w:t>
      </w:r>
      <w:r w:rsidRPr="00CD4C32">
        <w:rPr>
          <w:rFonts w:hint="cs"/>
        </w:rPr>
        <w:t>(</w:t>
      </w:r>
      <w:r w:rsidRPr="00CD4C32">
        <w:rPr>
          <w:rFonts w:hint="cs"/>
          <w:rtl/>
        </w:rPr>
        <w:t>הר"ן פרק קמא דכתובות</w:t>
      </w:r>
      <w:r w:rsidRPr="00CD4C32">
        <w:rPr>
          <w:rFonts w:hint="cs"/>
        </w:rPr>
        <w:t>)</w:t>
      </w:r>
      <w:r w:rsidRPr="00CD4C32">
        <w:t>:</w:t>
      </w:r>
    </w:p>
    <w:p w14:paraId="1792A835" w14:textId="22EC77AA" w:rsidR="00CD4C32" w:rsidRPr="00CD4C32" w:rsidRDefault="00CD4C32" w:rsidP="00CD4C32">
      <w:pPr>
        <w:pStyle w:val="Style1"/>
      </w:pPr>
      <w:r>
        <w:rPr>
          <w:rFonts w:hint="cs"/>
          <w:rtl/>
        </w:rPr>
        <w:t>5)[</w:t>
      </w:r>
      <w:r>
        <w:rPr>
          <w:rtl/>
        </w:rPr>
        <w:t>שולחן ערוך אבן העזר הלכות קידושין סימן סב סעיף ח</w:t>
      </w:r>
      <w:r>
        <w:rPr>
          <w:rFonts w:hint="cs"/>
          <w:rtl/>
        </w:rPr>
        <w:t xml:space="preserve">] </w:t>
      </w:r>
      <w:r w:rsidRPr="00CD4C32">
        <w:rPr>
          <w:rtl/>
        </w:rPr>
        <w:t>יש אומרים שאינם נקראים פנים חדשות אלא אם כן הם בני אדם שמרבים בשבילם. ויש אומרים דשבת ויום טוב ראשון ושני הוי כפנים חדשות בסעודת הלילה ושחרית, אבל לא בסעודה שלישית, וכן פשט המנהג</w:t>
      </w:r>
      <w:r w:rsidRPr="00CD4C32">
        <w:t>.</w:t>
      </w:r>
    </w:p>
    <w:p w14:paraId="704BC06F" w14:textId="77777777" w:rsidR="00CD4C32" w:rsidRPr="00CD4C32" w:rsidRDefault="00CD4C32" w:rsidP="00CD4C32">
      <w:pPr>
        <w:pStyle w:val="Style1"/>
      </w:pPr>
      <w:r w:rsidRPr="00CD4C32">
        <w:rPr>
          <w:rFonts w:hint="cs"/>
          <w:rtl/>
        </w:rPr>
        <w:t>הגה</w:t>
      </w:r>
      <w:r w:rsidRPr="00CD4C32">
        <w:rPr>
          <w:rFonts w:hint="cs"/>
        </w:rPr>
        <w:t>: </w:t>
      </w:r>
      <w:r w:rsidRPr="00CD4C32">
        <w:rPr>
          <w:rFonts w:hint="cs"/>
          <w:rtl/>
        </w:rPr>
        <w:t>ועכשו נהגו במדינות אלו לברך שבע ברכות בסעודה שלישית, ואפשר משום דרגילים לבוא פנים חדשות. ויש אומרים מטעם דרגילין לדרש, והדרשה הוי כפנים חדשות</w:t>
      </w:r>
      <w:r w:rsidRPr="00CD4C32">
        <w:t>:</w:t>
      </w:r>
    </w:p>
    <w:p w14:paraId="23D84718" w14:textId="77777777" w:rsidR="00CD4C32" w:rsidRPr="00CD4C32" w:rsidRDefault="00CD4C32" w:rsidP="00CD4C32">
      <w:pPr>
        <w:pStyle w:val="Style1"/>
      </w:pPr>
    </w:p>
    <w:p w14:paraId="047BC3AD" w14:textId="5D83B04A" w:rsidR="00CD4C32" w:rsidRPr="00CD4C32" w:rsidRDefault="00CD4C32" w:rsidP="00CD4C32">
      <w:pPr>
        <w:pStyle w:val="Style1"/>
      </w:pPr>
    </w:p>
    <w:p w14:paraId="6F634582" w14:textId="77777777" w:rsidR="00CD4C32" w:rsidRPr="00CD4C32" w:rsidRDefault="00CD4C32" w:rsidP="00CD4C32">
      <w:pPr>
        <w:pStyle w:val="Style1"/>
      </w:pPr>
    </w:p>
    <w:p w14:paraId="1DC05430" w14:textId="25184D57" w:rsidR="00CD4C32" w:rsidRPr="008730E6" w:rsidRDefault="00CD4C32" w:rsidP="00CD4C32">
      <w:pPr>
        <w:pStyle w:val="Style1"/>
      </w:pPr>
    </w:p>
    <w:p w14:paraId="66412764" w14:textId="77777777" w:rsidR="008730E6" w:rsidRDefault="008730E6" w:rsidP="008730E6">
      <w:pPr>
        <w:pStyle w:val="Style1"/>
      </w:pPr>
    </w:p>
    <w:p w14:paraId="0DC56CDB" w14:textId="78638B63" w:rsidR="008730E6" w:rsidRPr="00F170FB" w:rsidRDefault="008730E6" w:rsidP="008730E6">
      <w:pPr>
        <w:pStyle w:val="Style1"/>
        <w:rPr>
          <w:rtl/>
        </w:rPr>
      </w:pPr>
    </w:p>
    <w:p w14:paraId="238E7459" w14:textId="77777777" w:rsidR="00F170FB" w:rsidRPr="00F170FB" w:rsidRDefault="00F170FB" w:rsidP="00F170FB">
      <w:pPr>
        <w:pStyle w:val="Style1"/>
      </w:pPr>
    </w:p>
    <w:p w14:paraId="1ECF4C1E" w14:textId="77777777" w:rsidR="00396EFB" w:rsidRPr="00396EFB" w:rsidRDefault="00396EFB" w:rsidP="00396EFB">
      <w:pPr>
        <w:bidi/>
        <w:rPr>
          <w:rStyle w:val="Style1Char"/>
          <w:sz w:val="22"/>
          <w:szCs w:val="22"/>
          <w:rtl/>
        </w:rPr>
      </w:pPr>
    </w:p>
    <w:p w14:paraId="4051294B" w14:textId="77777777" w:rsidR="00F450C8" w:rsidRDefault="00F450C8">
      <w:pPr>
        <w:rPr>
          <w:rStyle w:val="Style1Char"/>
          <w:color w:val="00B050"/>
          <w:rtl/>
        </w:rPr>
      </w:pPr>
      <w:r>
        <w:rPr>
          <w:rStyle w:val="Style1Char"/>
          <w:color w:val="00B050"/>
          <w:rtl/>
        </w:rPr>
        <w:br w:type="page"/>
      </w:r>
    </w:p>
    <w:p w14:paraId="0EF0AE19" w14:textId="17C4FD85" w:rsidR="00953380" w:rsidRDefault="00F450C8" w:rsidP="00F450C8">
      <w:pPr>
        <w:bidi/>
        <w:rPr>
          <w:rStyle w:val="Style1Char"/>
          <w:sz w:val="22"/>
          <w:szCs w:val="22"/>
          <w:rtl/>
        </w:rPr>
      </w:pPr>
      <w:r w:rsidRPr="00EF24AD">
        <w:rPr>
          <w:rStyle w:val="Style1Char"/>
          <w:sz w:val="22"/>
          <w:szCs w:val="22"/>
          <w:highlight w:val="yellow"/>
          <w:rtl/>
        </w:rPr>
        <w:lastRenderedPageBreak/>
        <w:t>[דף ח עמוד א]</w:t>
      </w:r>
      <w:r w:rsidRPr="00EF24AD">
        <w:rPr>
          <w:rStyle w:val="Style1Char"/>
          <w:sz w:val="22"/>
          <w:szCs w:val="22"/>
          <w:rtl/>
        </w:rPr>
        <w:t xml:space="preserve"> </w:t>
      </w:r>
      <w:r w:rsidR="00CD4C32">
        <w:rPr>
          <w:rStyle w:val="Style1Char"/>
          <w:rFonts w:hint="cs"/>
          <w:rtl/>
        </w:rPr>
        <w:t>(1)</w:t>
      </w:r>
      <w:r w:rsidRPr="00EF24AD">
        <w:rPr>
          <w:rStyle w:val="Style1Char"/>
          <w:sz w:val="22"/>
          <w:szCs w:val="22"/>
          <w:rtl/>
        </w:rPr>
        <w:t xml:space="preserve">שהכל ברא לכבודו; </w:t>
      </w:r>
      <w:r w:rsidR="00EC0A34" w:rsidRPr="00EF24AD">
        <w:rPr>
          <w:rStyle w:val="Style1Char"/>
          <w:color w:val="806000" w:themeColor="accent4" w:themeShade="80"/>
          <w:sz w:val="22"/>
          <w:szCs w:val="22"/>
          <w:rtl/>
        </w:rPr>
        <w:t xml:space="preserve">ברוך </w:t>
      </w:r>
      <w:r w:rsidRPr="00EC0A34">
        <w:rPr>
          <w:rStyle w:val="Style1Char"/>
          <w:color w:val="00B050"/>
          <w:rtl/>
        </w:rPr>
        <w:t>ו</w:t>
      </w:r>
      <w:r w:rsidRPr="00EF24AD">
        <w:rPr>
          <w:rStyle w:val="Style1Char"/>
          <w:color w:val="auto"/>
          <w:sz w:val="22"/>
          <w:szCs w:val="22"/>
          <w:rtl/>
        </w:rPr>
        <w:t xml:space="preserve">יוצר האדם; </w:t>
      </w:r>
      <w:r w:rsidR="00EC0A34" w:rsidRPr="00EF24AD">
        <w:rPr>
          <w:rStyle w:val="Style1Char"/>
          <w:color w:val="806000" w:themeColor="accent4" w:themeShade="80"/>
          <w:sz w:val="22"/>
          <w:szCs w:val="22"/>
          <w:rtl/>
        </w:rPr>
        <w:t xml:space="preserve">ברוך </w:t>
      </w:r>
      <w:r w:rsidRPr="00EC0A34">
        <w:rPr>
          <w:rStyle w:val="Style1Char"/>
          <w:color w:val="00B050"/>
          <w:rtl/>
        </w:rPr>
        <w:t>ו</w:t>
      </w:r>
      <w:r w:rsidRPr="00EF24AD">
        <w:rPr>
          <w:rStyle w:val="Style1Char"/>
          <w:color w:val="auto"/>
          <w:sz w:val="22"/>
          <w:szCs w:val="22"/>
          <w:rtl/>
        </w:rPr>
        <w:t>אשר</w:t>
      </w:r>
      <w:r w:rsidRPr="009F6DCA">
        <w:rPr>
          <w:rStyle w:val="Style1Char"/>
          <w:sz w:val="22"/>
          <w:szCs w:val="22"/>
          <w:rtl/>
        </w:rPr>
        <w:t xml:space="preserve"> </w:t>
      </w:r>
      <w:r w:rsidRPr="00EF24AD">
        <w:rPr>
          <w:rStyle w:val="Style1Char"/>
          <w:color w:val="auto"/>
          <w:sz w:val="22"/>
          <w:szCs w:val="22"/>
          <w:rtl/>
        </w:rPr>
        <w:t xml:space="preserve">יצר את האדם בצלמו בצלם דמות תבניתו, והתקין לו ממנו בנין עדי עד, ברוך אתה ה' יוצר האדם; שוש תשיש ותגל העקרה, בקבוץ בניה </w:t>
      </w:r>
      <w:r w:rsidR="00EF24AD" w:rsidRPr="00EF24AD">
        <w:rPr>
          <w:rStyle w:val="Style1Char"/>
          <w:color w:val="4472C4" w:themeColor="accent1"/>
          <w:sz w:val="22"/>
          <w:szCs w:val="22"/>
          <w:rtl/>
        </w:rPr>
        <w:t xml:space="preserve">מהרה </w:t>
      </w:r>
      <w:r w:rsidRPr="00EF24AD">
        <w:rPr>
          <w:rStyle w:val="Style1Char"/>
          <w:color w:val="auto"/>
          <w:sz w:val="22"/>
          <w:szCs w:val="22"/>
          <w:rtl/>
        </w:rPr>
        <w:t>לתוכה בשמחה, ברוך אתה ה' משמח ציון בבניה;</w:t>
      </w:r>
      <w:r w:rsidRPr="009F6DCA">
        <w:rPr>
          <w:rStyle w:val="Style1Char"/>
          <w:sz w:val="22"/>
          <w:szCs w:val="22"/>
          <w:rtl/>
        </w:rPr>
        <w:t xml:space="preserve"> </w:t>
      </w:r>
      <w:r w:rsidRPr="00965BD4">
        <w:rPr>
          <w:rStyle w:val="Style1Char"/>
          <w:color w:val="auto"/>
          <w:sz w:val="22"/>
          <w:szCs w:val="22"/>
          <w:rtl/>
        </w:rPr>
        <w:t xml:space="preserve">שמח תשמח ריעים האהובים, כשמחך יצירך בגן עדן מקדם, ברוך אתה ה' משמח חתן וכלה; ברוך אתה ה' </w:t>
      </w:r>
      <w:r w:rsidRPr="009F6DCA">
        <w:rPr>
          <w:rStyle w:val="Style1Char"/>
          <w:sz w:val="22"/>
          <w:szCs w:val="22"/>
          <w:rtl/>
        </w:rPr>
        <w:t xml:space="preserve">אמ"ה, </w:t>
      </w:r>
      <w:r w:rsidRPr="00965BD4">
        <w:rPr>
          <w:rStyle w:val="Style1Char"/>
          <w:color w:val="auto"/>
          <w:sz w:val="22"/>
          <w:szCs w:val="22"/>
          <w:rtl/>
        </w:rPr>
        <w:t>אשר ברא ששון ושמחה, חתן וכלה, גילה, רינה, דיצה, חדוה, אהבה ואחוה ושלום וריעות, מהרה ה' אלהינו ישמע בערי יהודה ובחוצות ירושלים קול ששון וקול שמחה, קול חתן וקול כלה, קול מצהלות חתנים מחופתם ונערים ממשתה נגינתם, בא"י משמח חתן עם הכלה</w:t>
      </w:r>
      <w:r w:rsidR="00777C67" w:rsidRPr="00965BD4">
        <w:rPr>
          <w:rStyle w:val="Style1Char"/>
          <w:color w:val="auto"/>
          <w:rtl/>
        </w:rPr>
        <w:t xml:space="preserve"> </w:t>
      </w:r>
      <w:r w:rsidR="00777C67" w:rsidRPr="006633D9">
        <w:rPr>
          <w:rStyle w:val="Style1Char"/>
          <w:color w:val="C00000"/>
          <w:rtl/>
        </w:rPr>
        <w:t>ומאי שנא הא דמתחיל בה בברוך משום דאע"ג דליכא פנים חדשות מברך אשר ברא כל שבעה הלכך ברכה בפני עצמה היא</w:t>
      </w:r>
      <w:r w:rsidRPr="009F6DCA">
        <w:rPr>
          <w:rStyle w:val="Style1Char"/>
          <w:sz w:val="22"/>
          <w:szCs w:val="22"/>
          <w:rtl/>
        </w:rPr>
        <w:t xml:space="preserve">. </w:t>
      </w:r>
    </w:p>
    <w:p w14:paraId="0766D31C" w14:textId="2EFD13DB" w:rsidR="00F450C8" w:rsidRDefault="00F450C8" w:rsidP="00953380">
      <w:pPr>
        <w:bidi/>
        <w:rPr>
          <w:rStyle w:val="Style1Char"/>
          <w:color w:val="00B050"/>
          <w:rtl/>
        </w:rPr>
      </w:pPr>
      <w:r w:rsidRPr="00F450C8">
        <w:rPr>
          <w:rStyle w:val="Style1Char"/>
          <w:color w:val="00B050"/>
          <w:rtl/>
        </w:rPr>
        <w:t xml:space="preserve">לוי איקלע לבי רבי בהלוליה דר"ש בריה, בריך חמש. רב אסי איקלע לבי רב אשי בהלוליה דמר בריה, בריך שית. לימא בהא קמיפלגי, דמ"ס: חדא יצירה הואי, ומ"ס: שתי יצירות הואי! לא, דכ"ע - חדא יצירה הואי, מ"ס: בתר מחשבה אזלינן, ומ"ס: בתר מעשה אזלינן; כי הא דרב יהודה רמי, כתיב: ויברא אלהים את האדם בצלמו, וכתיב: זכר ונקבה בראם, הא כיצד? בתחלה עלה במחשבה לבראות שנים, ולבסוף נברא אחד. </w:t>
      </w:r>
      <w:r w:rsidRPr="00965BD4">
        <w:rPr>
          <w:rStyle w:val="Style1Char"/>
          <w:color w:val="auto"/>
          <w:sz w:val="22"/>
          <w:szCs w:val="22"/>
          <w:rtl/>
        </w:rPr>
        <w:t xml:space="preserve">רב אשי איקלע לבי רב כהנא, יומא קמא בריך כולהו; מכאן ואילך, </w:t>
      </w:r>
      <w:r w:rsidR="00CD4C32">
        <w:rPr>
          <w:rStyle w:val="Style1Char"/>
          <w:rFonts w:hint="cs"/>
          <w:rtl/>
        </w:rPr>
        <w:t>(2)</w:t>
      </w:r>
      <w:r w:rsidRPr="00965BD4">
        <w:rPr>
          <w:rStyle w:val="Style1Char"/>
          <w:color w:val="auto"/>
          <w:sz w:val="22"/>
          <w:szCs w:val="22"/>
          <w:rtl/>
        </w:rPr>
        <w:t>אי איכא פנים חדשות - בריך כולהו, ואי לא - אפושי שמחה בעלמא הוא, מברך שהשמחה במעונו ואשר ברא</w:t>
      </w:r>
      <w:r w:rsidR="00965BD4" w:rsidRPr="00965BD4">
        <w:rPr>
          <w:rStyle w:val="Style1Char"/>
          <w:color w:val="4472C4" w:themeColor="accent1"/>
          <w:rtl/>
        </w:rPr>
        <w:t xml:space="preserve"> </w:t>
      </w:r>
      <w:r w:rsidR="00965BD4" w:rsidRPr="00A755B9">
        <w:rPr>
          <w:rStyle w:val="Style1Char"/>
          <w:color w:val="4472C4" w:themeColor="accent1"/>
          <w:rtl/>
        </w:rPr>
        <w:t>יומא קמא י"מ סעודה קמייתא כדאמרינן בפסחים (דף לו א) יומא קמא לא תלושו בחלבא דהיינו סעודתא קמייתא ומיהו אם לא אכלו עד הלילה מברכין משום דלא גרע מפנים חדשות כיון דאכתי לא אכלי בני החופה ובשבת דמברכין אף בסעודת שחרית אף על פי שבירך בליל שבת דכבוד יום עדיף הוי כפנים חדשות אחרים ובשהשמחה במעונו לא בעי עשרה. ואשר ברא יש שכתבו דבעי י' ויש שכתבו דלא בעי י' דלא הוזכרו עשרה אלא כשמברכין כל ברכת הזיווג דומיא דבועז וממקור ישראל וכן מסתבר</w:t>
      </w:r>
      <w:r w:rsidR="00965BD4">
        <w:rPr>
          <w:rStyle w:val="Style1Char"/>
          <w:rFonts w:hint="cs"/>
          <w:color w:val="4472C4" w:themeColor="accent1"/>
        </w:rPr>
        <w:t>‍‍</w:t>
      </w:r>
      <w:r w:rsidR="00965BD4" w:rsidRPr="00A755B9">
        <w:rPr>
          <w:rStyle w:val="Style1Char"/>
          <w:color w:val="4472C4" w:themeColor="accent1"/>
          <w:rtl/>
        </w:rPr>
        <w:t>.</w:t>
      </w:r>
      <w:r w:rsidRPr="00965BD4">
        <w:rPr>
          <w:rStyle w:val="Style1Char"/>
          <w:color w:val="auto"/>
          <w:sz w:val="22"/>
          <w:szCs w:val="22"/>
          <w:rtl/>
        </w:rPr>
        <w:t xml:space="preserve">; משבעה ועד שלשים, בין אמר להו מחמת הלולא, ובין לא אמר להו מחמת הלולא - מברך שהשמחה במעונו; מכאן ואילך, אי אמר להו מחמת הלולא - מברך שהשמחה במעונו, ואי לא - לא. וכי א"ל מחמת הלולא, עד אימת? אמר רב פפי משמיה דרבא: </w:t>
      </w:r>
      <w:r w:rsidR="009A1424">
        <w:rPr>
          <w:rStyle w:val="Style1Char"/>
          <w:rFonts w:hint="cs"/>
          <w:rtl/>
        </w:rPr>
        <w:t>(3)</w:t>
      </w:r>
      <w:r w:rsidRPr="00965BD4">
        <w:rPr>
          <w:rStyle w:val="Style1Char"/>
          <w:color w:val="auto"/>
          <w:sz w:val="22"/>
          <w:szCs w:val="22"/>
          <w:rtl/>
        </w:rPr>
        <w:t>עד תריסר ירחי שתא</w:t>
      </w:r>
      <w:r w:rsidR="00965BD4" w:rsidRPr="00965BD4">
        <w:rPr>
          <w:rStyle w:val="Style1Char"/>
          <w:color w:val="4472C4" w:themeColor="accent1"/>
          <w:rtl/>
        </w:rPr>
        <w:t xml:space="preserve"> </w:t>
      </w:r>
      <w:r w:rsidR="00965BD4" w:rsidRPr="00A755B9">
        <w:rPr>
          <w:rStyle w:val="Style1Char"/>
          <w:color w:val="4472C4" w:themeColor="accent1"/>
          <w:rtl/>
        </w:rPr>
        <w:t>וסימן לדבר נקי יהיה לביתו שנה אחת ושמח</w:t>
      </w:r>
      <w:r w:rsidRPr="00965BD4">
        <w:rPr>
          <w:rStyle w:val="Style1Char"/>
          <w:color w:val="auto"/>
          <w:sz w:val="22"/>
          <w:szCs w:val="22"/>
          <w:rtl/>
        </w:rPr>
        <w:t>. ומעיקרא מאימת? אמר רב פפא: מכי רמו שערי באסינתא</w:t>
      </w:r>
      <w:r w:rsidRPr="00965BD4">
        <w:rPr>
          <w:rStyle w:val="Style1Char"/>
          <w:color w:val="auto"/>
          <w:rtl/>
        </w:rPr>
        <w:t>.</w:t>
      </w:r>
      <w:r w:rsidRPr="00F450C8">
        <w:rPr>
          <w:rStyle w:val="Style1Char"/>
          <w:color w:val="00B050"/>
          <w:rtl/>
        </w:rPr>
        <w:t xml:space="preserve"> איני? והא רב פפא איעסק לאבא מר בריה, ובריך משעת אירוסין! שאני רב פפא, דהוה טריח ליה. רבינא איעסק ליה לבריה בי רב חביבא, ובריך משעת אירוסין, אמר: קים לי בגוייהו דלא הדרי בהו; לא אסתייע מילתא והדרי בהו. רב תחליפא בר מערבא איקלע לבבל, בריך שית אריכתא. ולית הלכתא כוותיה. רב חביבא איקלע לבי מהולא, בריך שהשמחה במעונו. ולית הלכתא כוותיה, משום דטרידי, דאית ליה צערא לינוקא. א"ר נחמן אמר רב: </w:t>
      </w:r>
      <w:r w:rsidR="009A1424">
        <w:rPr>
          <w:rStyle w:val="Style1Char"/>
          <w:rFonts w:hint="cs"/>
          <w:rtl/>
        </w:rPr>
        <w:t>(2.1, 4)</w:t>
      </w:r>
      <w:r w:rsidRPr="00F450C8">
        <w:rPr>
          <w:rStyle w:val="Style1Char"/>
          <w:color w:val="00B050"/>
          <w:rtl/>
        </w:rPr>
        <w:t xml:space="preserve">חתנים מן המנין, ואין אבלים מן המנין. מיתיבי: חתנים ואבלים מן המנין! מתניתא קא רמית עליה דרב? רב תנא הוא ופליג. איתמר, אמר ר' יצחק א"ר יוחנן: חתנים מן המנין, ואין אבלים מן המנין. מיתיבי: חתנים ואבלים מן המנין! </w:t>
      </w:r>
    </w:p>
    <w:p w14:paraId="3DEF87D5" w14:textId="6ABBC520" w:rsidR="009A1424" w:rsidRDefault="009A1424" w:rsidP="009A1424">
      <w:pPr>
        <w:pStyle w:val="Style1"/>
        <w:rPr>
          <w:rStyle w:val="Style1Char"/>
          <w:rtl/>
        </w:rPr>
      </w:pPr>
      <w:r>
        <w:rPr>
          <w:rStyle w:val="Style1Char"/>
          <w:rFonts w:hint="cs"/>
          <w:rtl/>
        </w:rPr>
        <w:t>1)[</w:t>
      </w:r>
      <w:r w:rsidRPr="009A1424">
        <w:rPr>
          <w:rStyle w:val="Style1Char"/>
          <w:rtl/>
        </w:rPr>
        <w:t>רמב</w:t>
      </w:r>
      <w:r w:rsidR="00C764B2">
        <w:rPr>
          <w:rStyle w:val="Style1Char"/>
          <w:rtl/>
        </w:rPr>
        <w:t>”ם \אהבה\</w:t>
      </w:r>
      <w:r w:rsidRPr="009A1424">
        <w:rPr>
          <w:rStyle w:val="Style1Char"/>
          <w:rtl/>
        </w:rPr>
        <w:t xml:space="preserve"> הלכות ברכות פרק ב הלכה יא</w:t>
      </w:r>
      <w:r>
        <w:rPr>
          <w:rStyle w:val="Style1Char"/>
          <w:rFonts w:hint="cs"/>
          <w:rtl/>
        </w:rPr>
        <w:t xml:space="preserve">] </w:t>
      </w:r>
      <w:r w:rsidRPr="009A1424">
        <w:rPr>
          <w:rStyle w:val="Style1Char"/>
          <w:rtl/>
        </w:rPr>
        <w:t>ואלו הן שבע ברכות: ברוך אתה יי' אלהינו מלך העולם יוצר האדם, ברוך אתה יי' אלהינו מלך העולם שהכל ברא לכבודו, ברוך אתה יי' אלהינו מלך העולם אשר יצר את האדם בצלמו בצלם דמות תבניתו והתקין לו ממנו בנין עדי עד ברוך אתה יי' יוצר האדם, שוש תשיש ותגל עקרה בקיבוץ בניה לתוכה בשמחה ברוך יי' משמח ציון בבניה, שמח תשמח רעים ואהובים כשמחך יצירך בגן עדן מקדם ברוך אתה יי' משמח חתן וכלה, ברוך אתה יי' אלהינו מלך העולם אשר ברא ששון ושמחה חתן וכלה גילה ורנה דיצה וחדוה אהבה אחוה שלום וריעות מהרה יי' אלהינו ישמע בערי יהודה ובחוצות ירושלים קול ששון וקול שמחה קול חתן וקול כלה קול מצהלות חתנים [מחופתם] ונערים מנגינתם ברוך אתה יי' משמח חתן עם הכלה.</w:t>
      </w:r>
    </w:p>
    <w:p w14:paraId="71BC7032" w14:textId="1F19A87C" w:rsidR="009A1424" w:rsidRDefault="009A1424" w:rsidP="009A1424">
      <w:pPr>
        <w:pStyle w:val="Style1"/>
        <w:rPr>
          <w:rStyle w:val="Style1Char"/>
          <w:rtl/>
        </w:rPr>
      </w:pPr>
      <w:r>
        <w:rPr>
          <w:rStyle w:val="Style1Char"/>
          <w:rFonts w:hint="cs"/>
          <w:rtl/>
        </w:rPr>
        <w:t>1)[</w:t>
      </w:r>
      <w:r w:rsidRPr="009A1424">
        <w:rPr>
          <w:rStyle w:val="Style1Char"/>
          <w:rtl/>
        </w:rPr>
        <w:t>רמב</w:t>
      </w:r>
      <w:r w:rsidR="00213DA1">
        <w:rPr>
          <w:rStyle w:val="Style1Char"/>
          <w:rtl/>
        </w:rPr>
        <w:t>”ם \נשים\</w:t>
      </w:r>
      <w:r w:rsidRPr="009A1424">
        <w:rPr>
          <w:rStyle w:val="Style1Char"/>
          <w:rtl/>
        </w:rPr>
        <w:t xml:space="preserve"> הלכות אישות פרק י הלכה ג</w:t>
      </w:r>
      <w:r>
        <w:rPr>
          <w:rStyle w:val="Style1Char"/>
          <w:rFonts w:hint="cs"/>
          <w:rtl/>
        </w:rPr>
        <w:t xml:space="preserve">] </w:t>
      </w:r>
      <w:r w:rsidRPr="009A1424">
        <w:rPr>
          <w:rStyle w:val="Style1Char"/>
          <w:rtl/>
        </w:rPr>
        <w:t>וצריך לברך ברכת חתנים בבית החתן קודם הנישואין והן שש ברכות ואלו הן: ברוך אתה י"י אלהינו מלך העולם שהכל ברא לכבודו. ברוך אתה י"י אלהינו מלך העולם יוצר האדם. ברוך אתה י"י אלהינו מלך העולם אשר יצר את האדם בצלמו בצלם דמות תבניתו והתקין לו ממנו בנין עדי עד ברוך אתה י"י יוצר האדם. שוש תשיש ותגל עקרה בקבוץ בניה לתוכה בשמחה ברוך אתה י"י משמח ציון בבניה. שמח תשמח רעים אהובים כשמחך יצירך מקדם בגן עדן ברוך אתה י"י משמח חתן וכלה. ברוך אתה י"י אלהינו מלך העולם אשר ברא ששון ושמחה חתן וכלה גילה ורנה דיצה וחדוה אהבה ואחוה שלום ורעות מהרה י"י אלהינו ישמע מערי יהודה ומחוצות ירושלם קול ששון קול שמחה קול חתן קול כלה קול מצהלות חתנים ממשתה ונערים מנגינתם ברוך אתה י"י משמח חתן עם הכלה.</w:t>
      </w:r>
    </w:p>
    <w:p w14:paraId="176432C5" w14:textId="2ED14CA2" w:rsidR="009A1424" w:rsidRDefault="009A1424" w:rsidP="009A1424">
      <w:pPr>
        <w:pStyle w:val="Style1"/>
        <w:rPr>
          <w:rtl/>
        </w:rPr>
      </w:pPr>
      <w:r>
        <w:rPr>
          <w:rFonts w:hint="cs"/>
          <w:rtl/>
        </w:rPr>
        <w:t>1)[</w:t>
      </w:r>
      <w:r>
        <w:rPr>
          <w:rtl/>
        </w:rPr>
        <w:t>שולחן ערוך אבן העזר הלכות קידושין סימן סב סעיף א</w:t>
      </w:r>
      <w:r>
        <w:rPr>
          <w:rFonts w:hint="cs"/>
          <w:rtl/>
        </w:rPr>
        <w:t xml:space="preserve">] </w:t>
      </w:r>
      <w:r w:rsidRPr="00F170FB">
        <w:rPr>
          <w:rtl/>
        </w:rPr>
        <w:t>צריך לברך ברכת חתנים בבית החתן קודם נשואין, והן שש ברכות. ואם יש שם יין, מביא כוס יין ומברך על היין תחלה, ומסדר את כולם על הכוס, ונמצא מברך שבע ברכות. ואם אין יין מצוי, מברך על השכר</w:t>
      </w:r>
      <w:r w:rsidRPr="00F170FB">
        <w:t>:</w:t>
      </w:r>
    </w:p>
    <w:p w14:paraId="76645D81" w14:textId="7917D710" w:rsidR="009A1424" w:rsidRDefault="00D1745A" w:rsidP="00D1745A">
      <w:pPr>
        <w:pStyle w:val="Style1"/>
        <w:rPr>
          <w:rtl/>
        </w:rPr>
      </w:pPr>
      <w:r>
        <w:rPr>
          <w:rFonts w:hint="cs"/>
          <w:rtl/>
        </w:rPr>
        <w:t>2</w:t>
      </w:r>
      <w:r w:rsidR="009A1424">
        <w:rPr>
          <w:rFonts w:hint="cs"/>
          <w:rtl/>
        </w:rPr>
        <w:t>)[</w:t>
      </w:r>
      <w:r w:rsidR="009A1424">
        <w:rPr>
          <w:rtl/>
        </w:rPr>
        <w:t>רמב</w:t>
      </w:r>
      <w:r w:rsidR="00C764B2">
        <w:rPr>
          <w:rtl/>
        </w:rPr>
        <w:t>”ם \אהבה\</w:t>
      </w:r>
      <w:r w:rsidR="009A1424">
        <w:rPr>
          <w:rtl/>
        </w:rPr>
        <w:t xml:space="preserve"> הלכות ברכות פרק ב הלכה י</w:t>
      </w:r>
      <w:r>
        <w:rPr>
          <w:rFonts w:hint="cs"/>
          <w:rtl/>
        </w:rPr>
        <w:t xml:space="preserve">] </w:t>
      </w:r>
      <w:r w:rsidR="009A1424">
        <w:rPr>
          <w:rtl/>
        </w:rPr>
        <w:t>ברכה זו שמוסיפין בבית חתנים היא ברכה אחרונה משבע ברכות של נישואין, במה דברים אמורים כשהיו האוכלין הם שעמדו בברכת נישואין ושמעו הברכות אבל אם היו האוכלין אחרים שלא שמעו ברכת נישואין בשעת נישואין מברכין בשבילם אחר ברכת מזון שבע ברכות כדרך שמברכין בשעת נישואין, והוא שיהיו עשרה וחתנים מן המנין.</w:t>
      </w:r>
    </w:p>
    <w:p w14:paraId="62F462A7" w14:textId="02CBD350" w:rsidR="00D1745A" w:rsidRPr="00CD4C32" w:rsidRDefault="00D1745A" w:rsidP="00D1745A">
      <w:pPr>
        <w:pStyle w:val="Style1"/>
      </w:pPr>
      <w:r>
        <w:rPr>
          <w:rFonts w:hint="cs"/>
          <w:rtl/>
        </w:rPr>
        <w:t>2)[</w:t>
      </w:r>
      <w:r>
        <w:rPr>
          <w:rtl/>
        </w:rPr>
        <w:t>שולחן ערוך אבן העזר הלכות קידושין סימן סב סעיף ז</w:t>
      </w:r>
      <w:r>
        <w:rPr>
          <w:rFonts w:hint="cs"/>
          <w:rtl/>
        </w:rPr>
        <w:t xml:space="preserve">] </w:t>
      </w:r>
      <w:r w:rsidRPr="00CD4C32">
        <w:rPr>
          <w:rtl/>
        </w:rPr>
        <w:t>ברכה זו שמוסיפים בבית חתנים היא ברכה אחרונה משבע ברכות, שהיא ברכת אשר ברא</w:t>
      </w:r>
      <w:r w:rsidRPr="00CD4C32">
        <w:t>.</w:t>
      </w:r>
    </w:p>
    <w:p w14:paraId="54799674" w14:textId="77777777" w:rsidR="00D1745A" w:rsidRPr="00CD4C32" w:rsidRDefault="00D1745A" w:rsidP="00D1745A">
      <w:pPr>
        <w:pStyle w:val="Style1"/>
      </w:pPr>
      <w:r w:rsidRPr="00CD4C32">
        <w:rPr>
          <w:rFonts w:hint="cs"/>
          <w:rtl/>
        </w:rPr>
        <w:t>הגה</w:t>
      </w:r>
      <w:r w:rsidRPr="00CD4C32">
        <w:rPr>
          <w:rFonts w:hint="cs"/>
        </w:rPr>
        <w:t>: </w:t>
      </w:r>
      <w:r w:rsidRPr="00CD4C32">
        <w:rPr>
          <w:rFonts w:hint="cs"/>
          <w:rtl/>
        </w:rPr>
        <w:t>ויש אומרים דאף אשר ברא אין מברך כל שבעה אלא כשמזמנין אחרים, אבל אם אוכל עם בני ביתו אין מברכין </w:t>
      </w:r>
      <w:r w:rsidRPr="00CD4C32">
        <w:rPr>
          <w:rFonts w:hint="cs"/>
        </w:rPr>
        <w:t>(</w:t>
      </w:r>
      <w:r w:rsidRPr="00CD4C32">
        <w:rPr>
          <w:rFonts w:hint="cs"/>
          <w:rtl/>
        </w:rPr>
        <w:t>הר"ן בשם הרמב"ן</w:t>
      </w:r>
      <w:r w:rsidRPr="00CD4C32">
        <w:rPr>
          <w:rFonts w:hint="cs"/>
        </w:rPr>
        <w:t>) </w:t>
      </w:r>
      <w:r w:rsidRPr="00CD4C32">
        <w:rPr>
          <w:rFonts w:hint="cs"/>
          <w:rtl/>
        </w:rPr>
        <w:t>וכן נוהגין</w:t>
      </w:r>
      <w:r w:rsidRPr="00CD4C32">
        <w:rPr>
          <w:rFonts w:hint="cs"/>
        </w:rPr>
        <w:t>.</w:t>
      </w:r>
    </w:p>
    <w:p w14:paraId="578DCEA9" w14:textId="77777777" w:rsidR="00D1745A" w:rsidRPr="00CD4C32" w:rsidRDefault="00D1745A" w:rsidP="00D1745A">
      <w:pPr>
        <w:pStyle w:val="Style1"/>
      </w:pPr>
      <w:r w:rsidRPr="00CD4C32">
        <w:rPr>
          <w:rtl/>
        </w:rPr>
        <w:t>במה דברים אמורים, כשהיו האוכלים הם שעמדו בברכת הנשואין ושמעו הברכות, אבל אם היו האוכלים אחרים, ולא שמעו ברכת נשואין בשעת נשואין, מברכין בשבילם אחר ברכת המזון שבע ברכות, כדרך שמברכין בשעת נשואין, והוא שיהיו עשרה, וחתן מן המנין. ויש אומרים שאפילו היו בשעת החופה ושמעו הברכות, אם לא אכלו שם עד עתה, מקרי פנים חדשות ומברכים בשבילם שבע ברכות אחר ברכת המזון, וכן פשט המנהג</w:t>
      </w:r>
      <w:r w:rsidRPr="00CD4C32">
        <w:t>.</w:t>
      </w:r>
    </w:p>
    <w:p w14:paraId="763E0029" w14:textId="6076627A" w:rsidR="00D1745A" w:rsidRDefault="00D1745A" w:rsidP="00D1745A">
      <w:pPr>
        <w:pStyle w:val="Style1"/>
        <w:rPr>
          <w:rtl/>
        </w:rPr>
      </w:pPr>
      <w:r w:rsidRPr="00CD4C32">
        <w:rPr>
          <w:rFonts w:hint="cs"/>
          <w:rtl/>
        </w:rPr>
        <w:t>הגה</w:t>
      </w:r>
      <w:r w:rsidRPr="00CD4C32">
        <w:rPr>
          <w:rFonts w:hint="cs"/>
        </w:rPr>
        <w:t>: </w:t>
      </w:r>
      <w:r w:rsidRPr="00CD4C32">
        <w:rPr>
          <w:rFonts w:hint="cs"/>
          <w:rtl/>
        </w:rPr>
        <w:t>ויש אומרים דאם היו שם פנים חדשות, אף על פי שאין אוכלין שם, מברך בשבילם לילה ויום </w:t>
      </w:r>
      <w:r w:rsidRPr="00CD4C32">
        <w:rPr>
          <w:rFonts w:hint="cs"/>
        </w:rPr>
        <w:t>(</w:t>
      </w:r>
      <w:r w:rsidRPr="00CD4C32">
        <w:rPr>
          <w:rFonts w:hint="cs"/>
          <w:rtl/>
        </w:rPr>
        <w:t>הר"ן פרק קמא דכתובות</w:t>
      </w:r>
      <w:r w:rsidRPr="00CD4C32">
        <w:rPr>
          <w:rFonts w:hint="cs"/>
        </w:rPr>
        <w:t>)</w:t>
      </w:r>
      <w:r w:rsidRPr="00CD4C32">
        <w:t>:</w:t>
      </w:r>
    </w:p>
    <w:p w14:paraId="38ACC7ED" w14:textId="4F40EC01" w:rsidR="00D1745A" w:rsidRDefault="00D1745A" w:rsidP="00D1745A">
      <w:pPr>
        <w:pStyle w:val="Style1"/>
        <w:rPr>
          <w:rtl/>
        </w:rPr>
      </w:pPr>
      <w:r>
        <w:rPr>
          <w:rFonts w:hint="cs"/>
          <w:rtl/>
        </w:rPr>
        <w:t>3)[</w:t>
      </w:r>
      <w:r>
        <w:rPr>
          <w:rtl/>
        </w:rPr>
        <w:t>רמב</w:t>
      </w:r>
      <w:r w:rsidR="00213DA1">
        <w:rPr>
          <w:rtl/>
        </w:rPr>
        <w:t>”ם \נשים\</w:t>
      </w:r>
      <w:r>
        <w:rPr>
          <w:rtl/>
        </w:rPr>
        <w:t xml:space="preserve"> הלכות אישות פרק י הלכה ו</w:t>
      </w:r>
      <w:r>
        <w:rPr>
          <w:rFonts w:hint="cs"/>
          <w:rtl/>
        </w:rPr>
        <w:t xml:space="preserve">] </w:t>
      </w:r>
      <w:r>
        <w:rPr>
          <w:rtl/>
        </w:rPr>
        <w:t>המארס את האשה וברך ברכת חתנים ולא נתיחד עמה בביתו עדיין ארוסה היא שאין ברכת חתנים עושה הנישואין אלא כניסה לחופה, אירס וכנס לחופה ולא ברך ברכת חתנים הרי זו נשואה גמורה וחוזר ומברך אפילו אחר כמה ימים, ולא תנשא נדה עד שתטהר, ואין מברכין לה ברכת חתנים עד שתטהר, ואם עבר ונשא וברך אינו חוזר ומברך.</w:t>
      </w:r>
    </w:p>
    <w:p w14:paraId="0F0E97F2" w14:textId="0EEAEC31" w:rsidR="00D1745A" w:rsidRDefault="00D1745A" w:rsidP="00D1745A">
      <w:pPr>
        <w:pStyle w:val="Style1"/>
        <w:rPr>
          <w:rtl/>
        </w:rPr>
      </w:pPr>
      <w:r>
        <w:rPr>
          <w:rFonts w:hint="cs"/>
          <w:rtl/>
        </w:rPr>
        <w:t>3)[</w:t>
      </w:r>
      <w:r>
        <w:rPr>
          <w:rtl/>
        </w:rPr>
        <w:t>שולחן ערוך אבן העזר הלכות קידושין סימן סב סעיף יג</w:t>
      </w:r>
      <w:r>
        <w:rPr>
          <w:rFonts w:hint="cs"/>
          <w:rtl/>
        </w:rPr>
        <w:t xml:space="preserve">] </w:t>
      </w:r>
      <w:r w:rsidRPr="00D1745A">
        <w:rPr>
          <w:rtl/>
        </w:rPr>
        <w:t>הסועד בבית חתנים, משיתחילו להתעסק בצרכי סעודת נשואין ולהכינה, עד שלשים יום אחר הנשואין, מברך: "נברך שהשמחה במעונו שאכלנו משלו"; אם היו עשרה, מברך: "נברך אלהינו שהשמחה במעונו" וכו', והם עונים: "ברוך אלהינו שהשמחה" וכו'; וכן סעודה שעושים אותה אחר הנשואין, מחמת הנשואין, עד שנים עשר חדש, מברך: "שהשמחה במעונו"; והאידנא ערבה כל שמחה, ואין אומרים: "שהשמחה במעונו", אלא בשבעת ימי המשתה. ומכל מקום נראה, דאף לאלמון שנשא אלמנה אומרים: שהשמחה במעונו, בשלשה ימים שהוא שמח עמה</w:t>
      </w:r>
      <w:r w:rsidRPr="00D1745A">
        <w:t>:</w:t>
      </w:r>
    </w:p>
    <w:p w14:paraId="6573D297" w14:textId="1B478E71" w:rsidR="00644B2F" w:rsidRDefault="00644B2F" w:rsidP="00644B2F">
      <w:pPr>
        <w:pStyle w:val="Style1"/>
        <w:rPr>
          <w:rtl/>
        </w:rPr>
      </w:pPr>
      <w:r>
        <w:rPr>
          <w:rFonts w:hint="cs"/>
          <w:rtl/>
        </w:rPr>
        <w:t>4)[</w:t>
      </w:r>
      <w:r>
        <w:rPr>
          <w:rtl/>
        </w:rPr>
        <w:t>רמב</w:t>
      </w:r>
      <w:r w:rsidR="00213DA1">
        <w:rPr>
          <w:rtl/>
        </w:rPr>
        <w:t>”ם \נשים\</w:t>
      </w:r>
      <w:r>
        <w:rPr>
          <w:rtl/>
        </w:rPr>
        <w:t xml:space="preserve"> הלכות אישות פרק י הלכה ה</w:t>
      </w:r>
      <w:r>
        <w:rPr>
          <w:rFonts w:hint="cs"/>
          <w:rtl/>
        </w:rPr>
        <w:t xml:space="preserve">] </w:t>
      </w:r>
      <w:r>
        <w:rPr>
          <w:rtl/>
        </w:rPr>
        <w:t>ואין מברכין ברכת חתנים אלא בעשרה גדולים ובני חורין וחתן מן המנין.</w:t>
      </w:r>
    </w:p>
    <w:p w14:paraId="38511C26" w14:textId="0577F99D" w:rsidR="00644B2F" w:rsidRDefault="00644B2F" w:rsidP="00644B2F">
      <w:pPr>
        <w:pStyle w:val="Style1"/>
        <w:rPr>
          <w:rtl/>
        </w:rPr>
      </w:pPr>
      <w:r>
        <w:rPr>
          <w:rFonts w:hint="cs"/>
          <w:rtl/>
        </w:rPr>
        <w:lastRenderedPageBreak/>
        <w:t>4)[</w:t>
      </w:r>
      <w:r>
        <w:rPr>
          <w:rtl/>
        </w:rPr>
        <w:t>שולחן ערוך אבן העזר הלכות קידושין סימן סב סעיף ד</w:t>
      </w:r>
      <w:r>
        <w:rPr>
          <w:rFonts w:hint="cs"/>
          <w:rtl/>
        </w:rPr>
        <w:t>]</w:t>
      </w:r>
      <w:r w:rsidRPr="004E51C0">
        <w:rPr>
          <w:rFonts w:ascii="Arial" w:hAnsi="Arial"/>
          <w:color w:val="202122"/>
          <w:sz w:val="21"/>
          <w:szCs w:val="21"/>
          <w:shd w:val="clear" w:color="auto" w:fill="FFFFFF"/>
          <w:rtl/>
        </w:rPr>
        <w:t xml:space="preserve"> </w:t>
      </w:r>
      <w:r w:rsidRPr="004E51C0">
        <w:rPr>
          <w:rtl/>
        </w:rPr>
        <w:t>אין מברכין ברכת חתנים, אלא בעשרה גדולים ובני חורין, וחתן מן המנין, בין כשאומרים אותם בשעת נשואין בין כשאומרים אותם אחר ברכת המזון, אבל כשאין אומרים אחר ברכת המזון, אלא ברכת אשר ברא, אינו צריך עשרה</w:t>
      </w:r>
      <w:r w:rsidRPr="004E51C0">
        <w:t>. </w:t>
      </w:r>
      <w:r w:rsidRPr="004E51C0">
        <w:rPr>
          <w:rFonts w:hint="cs"/>
          <w:rtl/>
        </w:rPr>
        <w:t>ומכל מקום שלשה בעינן</w:t>
      </w:r>
      <w:r w:rsidRPr="004E51C0">
        <w:rPr>
          <w:rtl/>
        </w:rPr>
        <w:t> </w:t>
      </w:r>
      <w:r w:rsidRPr="004E51C0">
        <w:t>(</w:t>
      </w:r>
      <w:r w:rsidRPr="004E51C0">
        <w:rPr>
          <w:rtl/>
        </w:rPr>
        <w:t>הר"ן פרק קמא דכתובות</w:t>
      </w:r>
      <w:r w:rsidRPr="004E51C0">
        <w:t>) :</w:t>
      </w:r>
    </w:p>
    <w:p w14:paraId="4B85704A" w14:textId="77777777" w:rsidR="00965BD4" w:rsidRPr="00965BD4" w:rsidRDefault="00965BD4" w:rsidP="00965BD4">
      <w:pPr>
        <w:bidi/>
        <w:rPr>
          <w:rStyle w:val="Style1Char"/>
          <w:color w:val="00B050"/>
          <w:rtl/>
        </w:rPr>
      </w:pPr>
    </w:p>
    <w:p w14:paraId="72F9F182" w14:textId="77777777" w:rsidR="009F6DCA" w:rsidRPr="00795DEC" w:rsidRDefault="009F6DCA" w:rsidP="009F6DCA">
      <w:pPr>
        <w:bidi/>
        <w:rPr>
          <w:rStyle w:val="Style1Char"/>
          <w:color w:val="00B050"/>
          <w:rtl/>
        </w:rPr>
      </w:pPr>
    </w:p>
    <w:p w14:paraId="4055C602" w14:textId="77777777" w:rsidR="009F6DCA" w:rsidRDefault="009F6DCA" w:rsidP="009F6DCA">
      <w:pPr>
        <w:bidi/>
        <w:rPr>
          <w:rStyle w:val="Style1Char"/>
          <w:color w:val="00B050"/>
          <w:rtl/>
        </w:rPr>
      </w:pPr>
    </w:p>
    <w:p w14:paraId="17CF793B" w14:textId="77777777" w:rsidR="00F450C8" w:rsidRDefault="00F450C8">
      <w:pPr>
        <w:rPr>
          <w:rStyle w:val="Style1Char"/>
          <w:color w:val="00B050"/>
          <w:rtl/>
        </w:rPr>
      </w:pPr>
      <w:r>
        <w:rPr>
          <w:rStyle w:val="Style1Char"/>
          <w:color w:val="00B050"/>
          <w:rtl/>
        </w:rPr>
        <w:br w:type="page"/>
      </w:r>
    </w:p>
    <w:p w14:paraId="08D348C0" w14:textId="6411FF38" w:rsidR="004F64F9" w:rsidRPr="004F64F9" w:rsidRDefault="00F450C8" w:rsidP="00F450C8">
      <w:pPr>
        <w:bidi/>
        <w:rPr>
          <w:rStyle w:val="Style1Char"/>
          <w:color w:val="806000" w:themeColor="accent4" w:themeShade="80"/>
          <w:rtl/>
        </w:rPr>
      </w:pPr>
      <w:r w:rsidRPr="00F450C8">
        <w:rPr>
          <w:rStyle w:val="Style1Char"/>
          <w:color w:val="00B050"/>
          <w:sz w:val="22"/>
          <w:szCs w:val="22"/>
          <w:highlight w:val="yellow"/>
          <w:rtl/>
        </w:rPr>
        <w:lastRenderedPageBreak/>
        <w:t>[דף ח עמוד ב]</w:t>
      </w:r>
      <w:r w:rsidRPr="00F450C8">
        <w:rPr>
          <w:rStyle w:val="Style1Char"/>
          <w:color w:val="00B050"/>
          <w:sz w:val="22"/>
          <w:szCs w:val="22"/>
          <w:rtl/>
        </w:rPr>
        <w:t xml:space="preserve"> </w:t>
      </w:r>
      <w:r w:rsidRPr="00F450C8">
        <w:rPr>
          <w:rStyle w:val="Style1Char"/>
          <w:color w:val="00B050"/>
          <w:rtl/>
        </w:rPr>
        <w:t xml:space="preserve">כי תניא ההיא - </w:t>
      </w:r>
      <w:r w:rsidR="00644B2F">
        <w:rPr>
          <w:rStyle w:val="Style1Char"/>
          <w:rFonts w:hint="cs"/>
          <w:rtl/>
        </w:rPr>
        <w:t>(1)</w:t>
      </w:r>
      <w:r w:rsidRPr="00F450C8">
        <w:rPr>
          <w:rStyle w:val="Style1Char"/>
          <w:color w:val="00B050"/>
          <w:rtl/>
        </w:rPr>
        <w:t xml:space="preserve">בברכת המזון, כי קאמר רבי יוחנן - </w:t>
      </w:r>
      <w:r w:rsidR="00644B2F">
        <w:rPr>
          <w:rStyle w:val="Style1Char"/>
          <w:rFonts w:hint="cs"/>
          <w:rtl/>
        </w:rPr>
        <w:t>(2)</w:t>
      </w:r>
      <w:r w:rsidRPr="00F450C8">
        <w:rPr>
          <w:rStyle w:val="Style1Char"/>
          <w:color w:val="00B050"/>
          <w:rtl/>
        </w:rPr>
        <w:t>בשורה. ואלא הא ד</w:t>
      </w:r>
      <w:r w:rsidRPr="004F64F9">
        <w:rPr>
          <w:rStyle w:val="Style1Char"/>
          <w:color w:val="auto"/>
          <w:sz w:val="22"/>
          <w:szCs w:val="22"/>
          <w:rtl/>
        </w:rPr>
        <w:t>אמר</w:t>
      </w:r>
      <w:r w:rsidRPr="00F450C8">
        <w:rPr>
          <w:rStyle w:val="Style1Char"/>
          <w:color w:val="00B050"/>
          <w:rtl/>
        </w:rPr>
        <w:t xml:space="preserve"> </w:t>
      </w:r>
      <w:r w:rsidRPr="004F64F9">
        <w:rPr>
          <w:rStyle w:val="Style1Char"/>
          <w:color w:val="auto"/>
          <w:sz w:val="22"/>
          <w:szCs w:val="22"/>
          <w:rtl/>
        </w:rPr>
        <w:t xml:space="preserve">רבי יצחק אמר רבי יוחנן: מברכים ברכת חתנים בעשרה </w:t>
      </w:r>
      <w:r w:rsidR="004F64F9" w:rsidRPr="004F64F9">
        <w:rPr>
          <w:rStyle w:val="Style1Char"/>
          <w:color w:val="4472C4" w:themeColor="accent1"/>
          <w:sz w:val="22"/>
          <w:szCs w:val="22"/>
          <w:rtl/>
        </w:rPr>
        <w:t xml:space="preserve">כל שבעה </w:t>
      </w:r>
      <w:r w:rsidRPr="004F64F9">
        <w:rPr>
          <w:rStyle w:val="Style1Char"/>
          <w:color w:val="auto"/>
          <w:sz w:val="22"/>
          <w:szCs w:val="22"/>
          <w:rtl/>
        </w:rPr>
        <w:t>וחתנים מן המנין, וברכת אבלים בעשרה</w:t>
      </w:r>
      <w:r w:rsidR="00486A6C">
        <w:rPr>
          <w:rStyle w:val="Style1Char"/>
          <w:rFonts w:hint="cs"/>
          <w:sz w:val="22"/>
          <w:szCs w:val="22"/>
          <w:rtl/>
        </w:rPr>
        <w:t xml:space="preserve"> </w:t>
      </w:r>
      <w:r w:rsidR="00486A6C" w:rsidRPr="004F64F9">
        <w:rPr>
          <w:rStyle w:val="Style1Char"/>
          <w:color w:val="806000" w:themeColor="accent4" w:themeShade="80"/>
          <w:sz w:val="22"/>
          <w:szCs w:val="22"/>
          <w:rtl/>
        </w:rPr>
        <w:t>כל שבעה</w:t>
      </w:r>
      <w:r w:rsidRPr="004F64F9">
        <w:rPr>
          <w:rStyle w:val="Style1Char"/>
          <w:color w:val="806000" w:themeColor="accent4" w:themeShade="80"/>
          <w:sz w:val="32"/>
          <w:szCs w:val="32"/>
          <w:rtl/>
        </w:rPr>
        <w:t xml:space="preserve"> </w:t>
      </w:r>
      <w:r w:rsidRPr="004F64F9">
        <w:rPr>
          <w:rStyle w:val="Style1Char"/>
          <w:color w:val="auto"/>
          <w:sz w:val="22"/>
          <w:szCs w:val="22"/>
          <w:rtl/>
        </w:rPr>
        <w:t>ואין אבלים מן המנין</w:t>
      </w:r>
      <w:r w:rsidR="00C9768B" w:rsidRPr="004F64F9">
        <w:rPr>
          <w:rStyle w:val="Style1Char"/>
          <w:color w:val="auto"/>
          <w:rtl/>
        </w:rPr>
        <w:t xml:space="preserve"> </w:t>
      </w:r>
      <w:r w:rsidR="00C9768B" w:rsidRPr="004F64F9">
        <w:rPr>
          <w:rStyle w:val="Style1Char"/>
          <w:color w:val="806000" w:themeColor="accent4" w:themeShade="80"/>
          <w:sz w:val="22"/>
          <w:szCs w:val="22"/>
          <w:rtl/>
        </w:rPr>
        <w:t>והוא שבאו פנים חדשות מאי ברכת אבלים ברכת רחבה:</w:t>
      </w:r>
      <w:r w:rsidRPr="004F64F9">
        <w:rPr>
          <w:rStyle w:val="Style1Char"/>
          <w:color w:val="806000" w:themeColor="accent4" w:themeShade="80"/>
          <w:rtl/>
        </w:rPr>
        <w:t>,</w:t>
      </w:r>
    </w:p>
    <w:p w14:paraId="61159AB0" w14:textId="521D3827" w:rsidR="004F64F9" w:rsidRDefault="004F64F9" w:rsidP="004F64F9">
      <w:pPr>
        <w:bidi/>
        <w:rPr>
          <w:rStyle w:val="Style1Char"/>
          <w:color w:val="4472C4" w:themeColor="accent1"/>
          <w:rtl/>
        </w:rPr>
      </w:pPr>
      <w:r>
        <w:rPr>
          <w:rStyle w:val="Style1Char"/>
          <w:rFonts w:hint="cs"/>
          <w:color w:val="4472C4" w:themeColor="accent1"/>
        </w:rPr>
        <w:t>‍</w:t>
      </w:r>
      <w:r w:rsidRPr="00A755B9">
        <w:rPr>
          <w:rStyle w:val="Style1Char"/>
          <w:color w:val="4472C4" w:themeColor="accent1"/>
          <w:rtl/>
        </w:rPr>
        <w:t>כתב רב פלטו ז"ל האידנא לית לן שורה ולא ברכת רחבה אלא מברכין אחר הזימון דיין אמת שופט צדק ואמת וכו' ואין אומר נברך מנחם אבלים</w:t>
      </w:r>
      <w:r w:rsidRPr="00A755B9">
        <w:rPr>
          <w:rStyle w:val="Style1Char"/>
          <w:color w:val="4472C4" w:themeColor="accent1"/>
        </w:rPr>
        <w:t xml:space="preserve">: </w:t>
      </w:r>
    </w:p>
    <w:p w14:paraId="0BD191CA" w14:textId="77777777" w:rsidR="004D51E9" w:rsidRPr="00A755B9" w:rsidRDefault="004D51E9" w:rsidP="004D51E9">
      <w:pPr>
        <w:bidi/>
        <w:rPr>
          <w:rStyle w:val="Style1Char"/>
          <w:color w:val="4472C4" w:themeColor="accent1"/>
        </w:rPr>
      </w:pPr>
      <w:r w:rsidRPr="00A755B9">
        <w:rPr>
          <w:rStyle w:val="Style1Char"/>
          <w:color w:val="4472C4" w:themeColor="accent1"/>
          <w:rtl/>
        </w:rPr>
        <w:t>ברכת בתולים כתב בעל הלכות ברוך אשר צג אגוז בגן עדן שושנת העמקים בל ימשול זר במעיין חתום על כן אילת אהבים זרע קדש שמרה בטהרה חוק לא הפרה ברוך הבוחר בזרעו של אברהם. ואפשר שברכה זו תקנוה הגאונים ז"ל ומסתבר לברכה אחר שמצא בתולים</w:t>
      </w:r>
      <w:r w:rsidRPr="00A755B9">
        <w:rPr>
          <w:rStyle w:val="Style1Char"/>
          <w:color w:val="4472C4" w:themeColor="accent1"/>
        </w:rPr>
        <w:t xml:space="preserve">: </w:t>
      </w:r>
    </w:p>
    <w:p w14:paraId="0854648E" w14:textId="4DE0083D" w:rsidR="004D51E9" w:rsidRPr="00A755B9" w:rsidRDefault="004D51E9" w:rsidP="004D51E9">
      <w:pPr>
        <w:bidi/>
        <w:rPr>
          <w:rStyle w:val="Style1Char"/>
          <w:color w:val="4472C4" w:themeColor="accent1"/>
        </w:rPr>
      </w:pPr>
      <w:r w:rsidRPr="00A755B9">
        <w:rPr>
          <w:rStyle w:val="Style1Char"/>
          <w:color w:val="4472C4" w:themeColor="accent1"/>
          <w:rtl/>
        </w:rPr>
        <w:t>והורה רבינו נסים אם הוא מקום שאין מצוי בו יין יקח הצימוקים וישרה אותם במים ויסחוט אותם ויברך עליו ואם לא מצא צימוקים מברך על שכר שהכל ולא סגי ליה אלא בכוס אבל ברכת אירוסין אם לא ימצא כוס ואפילו כוס שכר מברך בלא כוס ברכת אירוסין דלאו מצוה מן המובחר הוא אבל ברכת חתנים שהיא שבע ברכות חייב לברך על הכוס בורא פרי הגפן או שהכל על השכר אם לא נמצא יין כל עיקר</w:t>
      </w:r>
      <w:r w:rsidRPr="00A755B9">
        <w:rPr>
          <w:rStyle w:val="Style1Char"/>
          <w:color w:val="4472C4" w:themeColor="accent1"/>
        </w:rPr>
        <w:t xml:space="preserve">: </w:t>
      </w:r>
    </w:p>
    <w:p w14:paraId="773E5046" w14:textId="7D3F89C0" w:rsidR="004D51E9" w:rsidRPr="00A755B9" w:rsidRDefault="004D51E9" w:rsidP="004D51E9">
      <w:pPr>
        <w:bidi/>
        <w:rPr>
          <w:rStyle w:val="Style1Char"/>
          <w:color w:val="4472C4" w:themeColor="accent1"/>
        </w:rPr>
      </w:pPr>
      <w:r w:rsidRPr="00A755B9">
        <w:rPr>
          <w:rStyle w:val="Style1Char"/>
          <w:color w:val="4472C4" w:themeColor="accent1"/>
          <w:rtl/>
        </w:rPr>
        <w:t>כתב רב שרירא בתשובה המארס בלא ברכה חסר את אירוסין ברכה שהיא מצוה. המברך ברכת אירוסין בבית חתנים בירך ברכה שאינה צריכה לו ועובר משום לא תשא. ורבינו נסים הורה אם לא בירך ברכת אירוסין יברך בשעת נישואין עם ז' ברכות וכן מסתבר וכן מצאתי בנימוקי הרב ר' יונה ז"ל שכתוב משמו ודימה אותו למי שלא בירך אחר אכילתו שחוזר ומברך אחר המזון כל זמן שלא נתעכל המאכל שבמעים וכן ה"נ אף על פי שעבר זמן מרובה כל זמן שלא נגמר ההיתר מברך וכיון שאין ההיתר נגמר אלא ע"י חופה יכולין לומר הברכה בשעת הנישואין</w:t>
      </w:r>
      <w:r>
        <w:rPr>
          <w:rStyle w:val="Style1Char"/>
          <w:rFonts w:hint="cs"/>
          <w:color w:val="4472C4" w:themeColor="accent1"/>
        </w:rPr>
        <w:t>‍</w:t>
      </w:r>
      <w:r w:rsidRPr="00A755B9">
        <w:rPr>
          <w:rStyle w:val="Style1Char"/>
          <w:color w:val="4472C4" w:themeColor="accent1"/>
        </w:rPr>
        <w:t xml:space="preserve">: </w:t>
      </w:r>
    </w:p>
    <w:p w14:paraId="4BA56934" w14:textId="1D06A777" w:rsidR="00F450C8" w:rsidRDefault="00F450C8" w:rsidP="004F64F9">
      <w:pPr>
        <w:bidi/>
        <w:rPr>
          <w:rStyle w:val="Style1Char"/>
          <w:color w:val="auto"/>
          <w:sz w:val="22"/>
          <w:szCs w:val="22"/>
          <w:rtl/>
        </w:rPr>
      </w:pPr>
      <w:r w:rsidRPr="00F450C8">
        <w:rPr>
          <w:rStyle w:val="Style1Char"/>
          <w:color w:val="00B050"/>
          <w:rtl/>
        </w:rPr>
        <w:t xml:space="preserve"> ברכה בשורה מי איכא? אלא, כי קאמר רבי יוחנן - ברחבה. ואלא הא דאמר רבי יצחק אמר רבי יוחנן: מברכין ברכת חתנים בעשרה כל שבעה וחתנים מן המנין, וברכת אבלים בעשרה כל שבעה ואין אבלים מן המנין, ברכת רחבה כל שבעה מי איכא? משכחת לה בפנים חדשות; כי הא דרב חייא בר אבא מקרי בניה דריש לקיש הוה, ואמרי לה: מתני בריה דריש לקיש הוה, שכיב ליה ינוקא; יומא קמא לא אזל לגביה, למחר דבריה ליהודה בר נחמני מתורגמניה, אמר ליה: קום אימא מלתא כל קביל ינוקא, פתח ואמר: וירא ה' וינאץ מכעס בניו ובנותיו - דור שאבות מנאצים להקב"ה, כועס על בניהם ועל בנותיהם ומתים כשהם קטנים. ואיכא דאמרי: בחור הוה, והכי קאמר ליה: על כן על בחוריו לא ישמח ה' ואת יתומיו ואת אלמנותיו לא ירחם כי כולו חנף ומרע וכל פה דובר נבלה בכל זאת לא שב אפו ועוד ידו נטויה. מאי ועוד ידו נטויה? אמר רב חנן בר רב: הכל יודעין כלה למה נכנסה לחופה, אלא כל המנבל פיו ומוציא דבר נבלה מפיו, אפילו נחתם לו גזר דינו של שבעים שנה לטובה - נהפך עליו לרעה. אתא לנחומי, צעורי קמצער ליה? הכי קאמר ליה: חשיב את לאתפוסי אדרא. אמר ליה: קום אימא מלתא כנגד שבחו של הקדוש ברוך הוא, פתח ואמר: האל הגדול ברוב גדלו, אדיר וחזק ברוב נוראות, מחיה מתים במאמרו, עושה גדולות עד אין חקר ונפלאות עד אין מספר, בא"י מחיה המתים. א"ל: קום אימא מלתא כנגד אבלים, פתח ואמר: אחינו המיוגעים המדוכאין באבל הזה, תנו לבבכם לחקור את זאת, זאת היא עומדת לעד, נתיב הוא מששת ימי בראשית, רבים שתו רבים ישתו, כמשתה ראשונים כך משתה אחרונים, אחינו, בעל נחמות ינחם אתכם, ברוך מנחם אבלים. אמר אביי: רבים שתו לימא, רבים ישתו לא לימא, משתה ראשונים לימא, משתה אחרונים לא לימא, דאר"ש בן לקיש, וכן תנא משמיה דר' יוסי: לעולם אל יפתח אדם פיו לשטן; אמר רב יוסף: מאי קרא? כסדם היינו לעמורה דמינו, מאי אהדר ליה? שמעו דבר ה' קציני סדום וגו'. א"ל: קום אימא מלתא כנגד מנחמי אבלים, פתח ואמר: אחינו גומלי חסדים בני גומלי חסדים המחזיקים בבריתו של אברהם אבינו, (שנאמר: כי ידעתיו למען אשר יצוה את בניו וגו',) אחינו, בעל הגמול ישלם לכם גמולכם, ברוך אתה משלם הגמול. א"ל: קום אימא מלתא כנגד כל ישראל, פתח ואמר: רבון העולמים, פדה והצל, מלט, הושע עמך ישראל מן הדבר ומן החרב ומן הביזה, ומן השדפון ומן הירקון, ומכל מיני פורעניות המתרגשות ובאות לעולם, טרם נקרא ואתה תענה, ברוך אתה עוצר המגפה. אמר עולא, ואמרי לה במתניתא תנא: </w:t>
      </w:r>
      <w:r w:rsidR="00644B2F">
        <w:rPr>
          <w:rStyle w:val="Style1Char"/>
          <w:rFonts w:hint="cs"/>
          <w:rtl/>
        </w:rPr>
        <w:t>(3)</w:t>
      </w:r>
      <w:r w:rsidRPr="00F450C8">
        <w:rPr>
          <w:rStyle w:val="Style1Char"/>
          <w:color w:val="00B050"/>
          <w:rtl/>
        </w:rPr>
        <w:t xml:space="preserve">עשרה כוסות תקנו חכמים בבית האבל, שלשה קודם אכילה - כדי לפתוח את בני מעיו, שלשה בתוך אכילה - כדי לשרות אכילה שבמעיו, וארבעה לאחר אכילה - אחד כנגד הזן, ואחד כנגד ברכת הארץ, ואחד כנגד בונה ירושלים, ואחד כנגד הטוב והמטיב; הוסיפו עליהם ארבעה - אחד כנגד חזני העיר, ואחד כנגד פרנסי העיר, ואחד כנגד בית המקדש, ואחד כנגד רבן גמליאל, התחילו היו שותין ומשתכרין, החזירו הדבר ליושנה. מאי רבן גמליאל? דתניא: בראשונה היתה הוצאת המת קשה לקרוביו יותר ממיתתו, עד שהיו מניחים אותו ובורחין, עד שבא רבן גמליאל ונהג קלות בעצמו, והוציאוהו בכלי פשתן, ונהגו </w:t>
      </w:r>
      <w:r w:rsidR="00236C99">
        <w:rPr>
          <w:rStyle w:val="Style1Char"/>
          <w:rFonts w:hint="cs"/>
          <w:rtl/>
        </w:rPr>
        <w:t>(4)</w:t>
      </w:r>
      <w:r w:rsidRPr="00F450C8">
        <w:rPr>
          <w:rStyle w:val="Style1Char"/>
          <w:color w:val="00B050"/>
          <w:rtl/>
        </w:rPr>
        <w:t xml:space="preserve">כל העם אחריו להוציא בכלי פשתן. אמר רב פפא: והאידנא נהוג עלמא אפילו בצרדא בר זוזא. </w:t>
      </w:r>
      <w:r w:rsidRPr="003E08B2">
        <w:rPr>
          <w:rStyle w:val="Style1Char"/>
          <w:color w:val="auto"/>
          <w:sz w:val="22"/>
          <w:szCs w:val="22"/>
          <w:rtl/>
        </w:rPr>
        <w:t xml:space="preserve">אמר רבי אלעזר: </w:t>
      </w:r>
    </w:p>
    <w:p w14:paraId="2353459E" w14:textId="251E0278" w:rsidR="00236C99" w:rsidRDefault="00236C99" w:rsidP="00236C99">
      <w:pPr>
        <w:pStyle w:val="Style1"/>
        <w:rPr>
          <w:rStyle w:val="Style1Char"/>
          <w:rtl/>
        </w:rPr>
      </w:pPr>
      <w:r>
        <w:rPr>
          <w:rStyle w:val="Style1Char"/>
          <w:rFonts w:hint="cs"/>
          <w:rtl/>
        </w:rPr>
        <w:t>1)[</w:t>
      </w:r>
      <w:r w:rsidRPr="00236C99">
        <w:rPr>
          <w:rStyle w:val="Style1Char"/>
          <w:rtl/>
        </w:rPr>
        <w:t>רמב</w:t>
      </w:r>
      <w:r w:rsidR="00213DA1">
        <w:rPr>
          <w:rStyle w:val="Style1Char"/>
          <w:rtl/>
        </w:rPr>
        <w:t>”ם \שופטים\</w:t>
      </w:r>
      <w:r w:rsidRPr="00236C99">
        <w:rPr>
          <w:rStyle w:val="Style1Char"/>
          <w:rtl/>
        </w:rPr>
        <w:t xml:space="preserve"> הלכות אבל פרק ד הלכה ו</w:t>
      </w:r>
      <w:r>
        <w:rPr>
          <w:rStyle w:val="Style1Char"/>
          <w:rFonts w:hint="cs"/>
          <w:rtl/>
        </w:rPr>
        <w:t xml:space="preserve">] </w:t>
      </w:r>
      <w:r w:rsidRPr="00236C99">
        <w:rPr>
          <w:rStyle w:val="Style1Char"/>
          <w:rtl/>
        </w:rPr>
        <w:t>מי שמתו מוטל לפניו אוכל בבית אחר, אין לו בית אחר עושה מחיצה ואוכל, אין לו דבר לעשות מחיצה מחזיר פניו ואוכל, ובין כך ובין כך אינו מיסב ואוכל, ולא אוכל בשר, ולא שותה יין, ואינו מברך, ואינו מזמן, ואין מברכין עליו ואין מזמנין עליו, ופטור מקריאת שמע ומן התפלה ומתפילין ומכל מצות האמורות בתורה, בשבת מיסב ואוכל בשר ושותה יין, ומברך, ומזמן, ומברכין עליו ומזמנין עליו, וחייב בכל מצות האמורות בתורה חוץ מתשמיש המטה, נקבר המת הרי זה מותר לאכול בשר ולשתות יין מעט כדי לשרות אכילה שבמיעיו אבל לא לרוות.</w:t>
      </w:r>
    </w:p>
    <w:p w14:paraId="17B8747E" w14:textId="7D79D56A" w:rsidR="00236C99" w:rsidRDefault="00236C99" w:rsidP="00236C99">
      <w:pPr>
        <w:pStyle w:val="Style1"/>
        <w:rPr>
          <w:rStyle w:val="Style1Char"/>
          <w:rtl/>
        </w:rPr>
      </w:pPr>
      <w:r>
        <w:rPr>
          <w:rStyle w:val="Style1Char"/>
          <w:rFonts w:hint="cs"/>
          <w:rtl/>
        </w:rPr>
        <w:t>1)[</w:t>
      </w:r>
      <w:r w:rsidRPr="00236C99">
        <w:rPr>
          <w:rStyle w:val="Style1Char"/>
          <w:rtl/>
        </w:rPr>
        <w:t>שולחן ערוך יורה דעה הלכות אבילות סימן שעט סעיף ה</w:t>
      </w:r>
      <w:r>
        <w:rPr>
          <w:rStyle w:val="Style1Char"/>
          <w:rFonts w:hint="cs"/>
          <w:rtl/>
        </w:rPr>
        <w:t xml:space="preserve">] </w:t>
      </w:r>
      <w:r w:rsidRPr="00236C99">
        <w:rPr>
          <w:rStyle w:val="Style1Char"/>
          <w:rtl/>
        </w:rPr>
        <w:t>אבל מצטרף לתפלה ולזימון, בין לג' בין לעשרה.</w:t>
      </w:r>
    </w:p>
    <w:p w14:paraId="45FD3EEA" w14:textId="512C7BB0" w:rsidR="00236C99" w:rsidRDefault="00236C99" w:rsidP="00236C99">
      <w:pPr>
        <w:pStyle w:val="Style1"/>
        <w:rPr>
          <w:rStyle w:val="Style1Char"/>
          <w:rtl/>
        </w:rPr>
      </w:pPr>
      <w:r>
        <w:rPr>
          <w:rStyle w:val="Style1Char"/>
          <w:rFonts w:hint="cs"/>
          <w:rtl/>
        </w:rPr>
        <w:t>2)[</w:t>
      </w:r>
      <w:r w:rsidRPr="00236C99">
        <w:rPr>
          <w:rStyle w:val="Style1Char"/>
          <w:rtl/>
        </w:rPr>
        <w:t>רמב</w:t>
      </w:r>
      <w:r w:rsidR="00213DA1">
        <w:rPr>
          <w:rStyle w:val="Style1Char"/>
          <w:rtl/>
        </w:rPr>
        <w:t>”ם \שופטים\</w:t>
      </w:r>
      <w:r w:rsidRPr="00236C99">
        <w:rPr>
          <w:rStyle w:val="Style1Char"/>
          <w:rtl/>
        </w:rPr>
        <w:t xml:space="preserve"> הלכות אבל פרק יג הלכה א</w:t>
      </w:r>
      <w:r>
        <w:rPr>
          <w:rStyle w:val="Style1Char"/>
          <w:rFonts w:hint="cs"/>
          <w:rtl/>
        </w:rPr>
        <w:t xml:space="preserve">] </w:t>
      </w:r>
      <w:r w:rsidRPr="00236C99">
        <w:rPr>
          <w:rStyle w:val="Style1Char"/>
          <w:rtl/>
        </w:rPr>
        <w:t>כיצד מנחמין את האבלים, אחר שקוברין את המת מתקבצין האבלים ועומדין בצד בית הקברות, וכל המלוין את המת עומדין סביב להן שורה לפני שורה ואין שורה פחותה מעשרה ואין אבלים מן המנין.</w:t>
      </w:r>
    </w:p>
    <w:p w14:paraId="0CEC83E6" w14:textId="239EA054" w:rsidR="00236C99" w:rsidRDefault="00236C99" w:rsidP="00236C99">
      <w:pPr>
        <w:pStyle w:val="Style1"/>
        <w:rPr>
          <w:rStyle w:val="Style1Char"/>
          <w:rtl/>
        </w:rPr>
      </w:pPr>
      <w:r>
        <w:rPr>
          <w:rStyle w:val="Style1Char"/>
          <w:rFonts w:hint="cs"/>
          <w:rtl/>
        </w:rPr>
        <w:t>3)[</w:t>
      </w:r>
      <w:r w:rsidRPr="00236C99">
        <w:rPr>
          <w:rStyle w:val="Style1Char"/>
          <w:rtl/>
        </w:rPr>
        <w:t>רמב</w:t>
      </w:r>
      <w:r w:rsidR="00213DA1">
        <w:rPr>
          <w:rStyle w:val="Style1Char"/>
          <w:rtl/>
        </w:rPr>
        <w:t>”ם \שופטים\</w:t>
      </w:r>
      <w:r w:rsidRPr="00236C99">
        <w:rPr>
          <w:rStyle w:val="Style1Char"/>
          <w:rtl/>
        </w:rPr>
        <w:t xml:space="preserve"> הלכות אבל פרק יג הלכה ח</w:t>
      </w:r>
      <w:r>
        <w:rPr>
          <w:rStyle w:val="Style1Char"/>
          <w:rFonts w:hint="cs"/>
          <w:rtl/>
        </w:rPr>
        <w:t xml:space="preserve">] </w:t>
      </w:r>
      <w:r w:rsidRPr="00236C99">
        <w:rPr>
          <w:rStyle w:val="Style1Char"/>
          <w:rtl/>
        </w:rPr>
        <w:t>אין שותין בבית האבל יתר על עשרה כוסות לכל אחד ואחד, שלשה קודם אכילה, ושלשה בתוך אכילה, וארבעה לאחר אכילה ולא יוסיף שמא ישתכר.</w:t>
      </w:r>
    </w:p>
    <w:p w14:paraId="47697893" w14:textId="29BB71BD" w:rsidR="00236C99" w:rsidRDefault="00236C99" w:rsidP="00236C99">
      <w:pPr>
        <w:pStyle w:val="Style1"/>
        <w:rPr>
          <w:rStyle w:val="Style1Char"/>
          <w:rtl/>
        </w:rPr>
      </w:pPr>
      <w:r>
        <w:rPr>
          <w:rStyle w:val="Style1Char"/>
          <w:rFonts w:hint="cs"/>
          <w:rtl/>
        </w:rPr>
        <w:t>4)[</w:t>
      </w:r>
      <w:r w:rsidRPr="00236C99">
        <w:rPr>
          <w:rStyle w:val="Style1Char"/>
          <w:rtl/>
        </w:rPr>
        <w:t>רמב</w:t>
      </w:r>
      <w:r w:rsidR="00213DA1">
        <w:rPr>
          <w:rStyle w:val="Style1Char"/>
          <w:rtl/>
        </w:rPr>
        <w:t>”ם \שופטים\</w:t>
      </w:r>
      <w:r w:rsidRPr="00236C99">
        <w:rPr>
          <w:rStyle w:val="Style1Char"/>
          <w:rtl/>
        </w:rPr>
        <w:t xml:space="preserve"> הלכות אבל פרק ד הלכה א</w:t>
      </w:r>
      <w:r>
        <w:rPr>
          <w:rStyle w:val="Style1Char"/>
          <w:rFonts w:hint="cs"/>
          <w:rtl/>
        </w:rPr>
        <w:t xml:space="preserve">] </w:t>
      </w:r>
      <w:r w:rsidRPr="00236C99">
        <w:rPr>
          <w:rStyle w:val="Style1Char"/>
          <w:rtl/>
        </w:rPr>
        <w:t>מנהג ישראל במתים ובקבורה כך הוא, מאמצין עיניו של מת ואם נפתח פיו קושרין את לחייו, ופוקקין את נקביו אחר שמדיחין אותו, וסכין אותו במיני בשמים, וגוזזין שערו, ומלבישין אותו תכריכין תפורין בחוט של פשתן לבנים, ולא יהיו דמיהן יקרים, ונהגו חכמים בסודר שוה זוז שלא לבייש את מי שאין לו, ומכסין פני המת שלא לבייש את העניים שפניהם מושחרין ברעב.</w:t>
      </w:r>
    </w:p>
    <w:p w14:paraId="5727BA4D" w14:textId="6B8DCE68" w:rsidR="003C09FA" w:rsidRPr="00236C99" w:rsidRDefault="003C09FA" w:rsidP="003C09FA">
      <w:pPr>
        <w:pStyle w:val="Style1"/>
        <w:rPr>
          <w:rStyle w:val="Style1Char"/>
          <w:rtl/>
        </w:rPr>
      </w:pPr>
      <w:r>
        <w:rPr>
          <w:rStyle w:val="Style1Char"/>
          <w:rFonts w:hint="cs"/>
          <w:rtl/>
        </w:rPr>
        <w:t>4)[</w:t>
      </w:r>
      <w:r w:rsidRPr="003C09FA">
        <w:rPr>
          <w:rStyle w:val="Style1Char"/>
          <w:rtl/>
        </w:rPr>
        <w:t>שולחן ערוך יורה דעה הלכות אבילות סימן שנב סעיף ב</w:t>
      </w:r>
      <w:r>
        <w:rPr>
          <w:rStyle w:val="Style1Char"/>
          <w:rFonts w:hint="cs"/>
          <w:rtl/>
        </w:rPr>
        <w:t xml:space="preserve">] </w:t>
      </w:r>
      <w:r w:rsidRPr="003C09FA">
        <w:rPr>
          <w:rStyle w:val="Style1Char"/>
          <w:rtl/>
        </w:rPr>
        <w:t>נהגו לקבור בבגדים לבנים.</w:t>
      </w:r>
    </w:p>
    <w:p w14:paraId="5A3455D3" w14:textId="77777777" w:rsidR="00F450C8" w:rsidRDefault="00F450C8">
      <w:pPr>
        <w:rPr>
          <w:rStyle w:val="Style1Char"/>
          <w:color w:val="00B050"/>
          <w:rtl/>
        </w:rPr>
      </w:pPr>
      <w:r>
        <w:rPr>
          <w:rStyle w:val="Style1Char"/>
          <w:color w:val="00B050"/>
          <w:rtl/>
        </w:rPr>
        <w:br w:type="page"/>
      </w:r>
    </w:p>
    <w:p w14:paraId="20DBA015" w14:textId="5643EE69" w:rsidR="009E28AC" w:rsidRPr="00A755B9" w:rsidRDefault="00F450C8" w:rsidP="009E28AC">
      <w:pPr>
        <w:bidi/>
        <w:rPr>
          <w:rStyle w:val="Style1Char"/>
          <w:color w:val="4472C4" w:themeColor="accent1"/>
        </w:rPr>
      </w:pPr>
      <w:r w:rsidRPr="003E08B2">
        <w:rPr>
          <w:rStyle w:val="Style1Char"/>
          <w:color w:val="auto"/>
          <w:sz w:val="22"/>
          <w:szCs w:val="22"/>
          <w:highlight w:val="yellow"/>
          <w:rtl/>
        </w:rPr>
        <w:lastRenderedPageBreak/>
        <w:t>[דף ט עמוד א]</w:t>
      </w:r>
      <w:r w:rsidRPr="003E08B2">
        <w:rPr>
          <w:rStyle w:val="Style1Char"/>
          <w:color w:val="auto"/>
          <w:sz w:val="22"/>
          <w:szCs w:val="22"/>
          <w:rtl/>
        </w:rPr>
        <w:t xml:space="preserve"> האומר פתח פתוח מצאתי - נאמן לאוסרה עליו</w:t>
      </w:r>
      <w:r w:rsidR="006B79BB" w:rsidRPr="003E08B2">
        <w:rPr>
          <w:rStyle w:val="Style1Char"/>
          <w:color w:val="auto"/>
          <w:rtl/>
        </w:rPr>
        <w:t xml:space="preserve"> </w:t>
      </w:r>
      <w:r w:rsidR="006B79BB" w:rsidRPr="003E08B2">
        <w:rPr>
          <w:rStyle w:val="Style1Char"/>
          <w:color w:val="806000" w:themeColor="accent4" w:themeShade="80"/>
          <w:sz w:val="22"/>
          <w:szCs w:val="22"/>
          <w:rtl/>
        </w:rPr>
        <w:t>דשויא אנפשיה חתיכא דאיסורא</w:t>
      </w:r>
      <w:r w:rsidRPr="00F450C8">
        <w:rPr>
          <w:rStyle w:val="Style1Char"/>
          <w:color w:val="00B050"/>
          <w:rtl/>
        </w:rPr>
        <w:t xml:space="preserve">. ואמאי? </w:t>
      </w:r>
      <w:r w:rsidR="003C09FA">
        <w:rPr>
          <w:rStyle w:val="Style1Char"/>
          <w:rFonts w:hint="cs"/>
          <w:rtl/>
        </w:rPr>
        <w:t>(1)</w:t>
      </w:r>
      <w:r w:rsidRPr="00F450C8">
        <w:rPr>
          <w:rStyle w:val="Style1Char"/>
          <w:color w:val="00B050"/>
          <w:rtl/>
        </w:rPr>
        <w:t xml:space="preserve">ספק ספיקא הוא, ספק תחתיו ספק אין תחתיו, ואם תמצא לומר תחתיו, ספק באונס ספק ברצון! לא צריכא, </w:t>
      </w:r>
      <w:r w:rsidR="006B79BB" w:rsidRPr="003E08B2">
        <w:rPr>
          <w:rStyle w:val="Style1Char"/>
          <w:color w:val="806000" w:themeColor="accent4" w:themeShade="80"/>
          <w:sz w:val="22"/>
          <w:szCs w:val="22"/>
          <w:rtl/>
        </w:rPr>
        <w:t xml:space="preserve">וה"מ </w:t>
      </w:r>
      <w:r w:rsidR="003C09FA">
        <w:rPr>
          <w:rStyle w:val="Style1Char"/>
          <w:rFonts w:hint="cs"/>
          <w:rtl/>
        </w:rPr>
        <w:t>(1)</w:t>
      </w:r>
      <w:r w:rsidRPr="003E08B2">
        <w:rPr>
          <w:rStyle w:val="Style1Char"/>
          <w:color w:val="auto"/>
          <w:sz w:val="22"/>
          <w:szCs w:val="22"/>
          <w:rtl/>
        </w:rPr>
        <w:t>באשת כהן</w:t>
      </w:r>
      <w:r w:rsidR="006B79BB" w:rsidRPr="003E08B2">
        <w:rPr>
          <w:rStyle w:val="Style1Char"/>
          <w:color w:val="auto"/>
          <w:rtl/>
        </w:rPr>
        <w:t xml:space="preserve"> </w:t>
      </w:r>
      <w:r w:rsidR="006B79BB" w:rsidRPr="006633D9">
        <w:rPr>
          <w:rStyle w:val="Style1Char"/>
          <w:color w:val="C00000"/>
          <w:rtl/>
        </w:rPr>
        <w:t>פירוש דליכא אלא חד ספקא ספק תחתיו ספק אין תחתיו ולא מצית אמרת אם תמצא לומר תחתיו ספק מוכת עץ ספק דרוסת איש דמוכת עץ פתחה סתום</w:t>
      </w:r>
      <w:r w:rsidRPr="006B79BB">
        <w:rPr>
          <w:rStyle w:val="Style1Char"/>
          <w:sz w:val="22"/>
          <w:szCs w:val="22"/>
          <w:rtl/>
        </w:rPr>
        <w:t xml:space="preserve">. </w:t>
      </w:r>
      <w:r w:rsidRPr="003E08B2">
        <w:rPr>
          <w:rStyle w:val="Style1Char"/>
          <w:color w:val="auto"/>
          <w:sz w:val="22"/>
          <w:szCs w:val="22"/>
          <w:rtl/>
        </w:rPr>
        <w:t xml:space="preserve">ואיבעית אימא: </w:t>
      </w:r>
      <w:r w:rsidR="003C09FA">
        <w:rPr>
          <w:rStyle w:val="Style1Char"/>
          <w:rFonts w:hint="cs"/>
          <w:rtl/>
        </w:rPr>
        <w:t>(1)</w:t>
      </w:r>
      <w:r w:rsidRPr="003E08B2">
        <w:rPr>
          <w:rStyle w:val="Style1Char"/>
          <w:color w:val="auto"/>
          <w:sz w:val="22"/>
          <w:szCs w:val="22"/>
          <w:rtl/>
        </w:rPr>
        <w:t>באשת ישראל, וכגון דקביל בה אבוה קידושין פחותה מבת ג' שנים ויום אחד</w:t>
      </w:r>
      <w:r w:rsidR="00DB4B96" w:rsidRPr="003E08B2">
        <w:rPr>
          <w:rStyle w:val="Style1Char"/>
          <w:color w:val="auto"/>
          <w:rtl/>
        </w:rPr>
        <w:t xml:space="preserve"> </w:t>
      </w:r>
      <w:r w:rsidR="00DB4B96" w:rsidRPr="003E08B2">
        <w:rPr>
          <w:rStyle w:val="Style1Char"/>
          <w:color w:val="806000" w:themeColor="accent4" w:themeShade="80"/>
          <w:rtl/>
        </w:rPr>
        <w:t>דהוה ליה חד ספקא ספק באונס ספק ברצון וספקא דאורייתא לחומרא אבל אשת ישראל שנתקדשה יתירה על בת שלש שנים ויום אחד מותרת דהוויין לה תרי ספיקי ספק תחתיו זינתה ספק אין תחתיו ואם תמצא לומר תחתיו ספק ברצון ספק באונס הלכך הוויין לה תרי ספיקי ותרי ספיקי דאורייתא לקולא:</w:t>
      </w:r>
      <w:r w:rsidRPr="00F450C8">
        <w:rPr>
          <w:rStyle w:val="Style1Char"/>
          <w:color w:val="00B050"/>
          <w:rtl/>
        </w:rPr>
        <w:t xml:space="preserve">. </w:t>
      </w:r>
      <w:r w:rsidR="009E28AC" w:rsidRPr="00A755B9">
        <w:rPr>
          <w:rStyle w:val="Style1Char"/>
          <w:color w:val="4472C4" w:themeColor="accent1"/>
          <w:rtl/>
        </w:rPr>
        <w:t>והא דאמר דנאמן לאוסרה עליו היינו במכחישתו ואומרת שבתולה היתה או בשותקת אבל אם אמרה אמת שפתחה פתוח ונאנסה תחתיו. באשת ישראל נאמנת ומותרת לו מפני שהיא טוענת טענת ברי והוא טוען טענת שמא שאינו יודע אם באונס אם ברצון וברי ושמא ברי עדיף מצאתי כתוב זה בשם ה"ר יונה ז"ל וטעו תלמידיו לכותבו בשמו כי לא אמרה מעולם דכיון דליכא אלא חד ספיקא אזלינן לחומרא ובדיבורה לא מהימנא דהא אמרינן לקמן (דף יג א) דקי"ל כר"נ דלא אמרינן ברי ושמא ברי עדיף אפי' היכא דהברי הוא טוב והשמא הוא גרוע כ"ש הכא דהברי גרוע שיודעת שאינו יכול להכחישה. והא דקי"ל לקמן (דף יב ב) כר"ג דאמר ברי ושמא ברי עדיף היינו דוקא היכא דאיכא מיגו כדמפרש לקמן (שם)</w:t>
      </w:r>
      <w:r w:rsidR="009E28AC">
        <w:rPr>
          <w:rStyle w:val="Style1Char"/>
          <w:rFonts w:hint="cs"/>
          <w:color w:val="4472C4" w:themeColor="accent1"/>
        </w:rPr>
        <w:t>‍</w:t>
      </w:r>
      <w:r w:rsidR="009E28AC" w:rsidRPr="00A755B9">
        <w:rPr>
          <w:rStyle w:val="Style1Char"/>
          <w:color w:val="4472C4" w:themeColor="accent1"/>
          <w:rtl/>
        </w:rPr>
        <w:t xml:space="preserve"> והכא ליכא מיגו אי נמי היכא דאיכא חזקה כדלקמן שהיתה בחזקת בתולה ואוקמה אחזקתה ותחתיו נבעלה</w:t>
      </w:r>
      <w:r w:rsidR="009E28AC">
        <w:rPr>
          <w:rStyle w:val="Style1Char"/>
          <w:rFonts w:hint="cs"/>
          <w:color w:val="4472C4" w:themeColor="accent1"/>
        </w:rPr>
        <w:t>‍</w:t>
      </w:r>
      <w:r w:rsidR="009E28AC" w:rsidRPr="00A755B9">
        <w:rPr>
          <w:rStyle w:val="Style1Char"/>
          <w:color w:val="4472C4" w:themeColor="accent1"/>
          <w:rtl/>
        </w:rPr>
        <w:t xml:space="preserve"> אבל הכא ליכא חזקה דתחתיו נבעלה שהרי קיבל אביה קידושין פחותה מבת ג' שנים ויום אחד ואין לומר הא דלא אמרינן ברי ושמא ברי עדיף היינו כנגד חזקה לאפוקי ממונא מחזקתיה אבל היכא דליכא חזקה לא גרע כח הברי אלא אדרבה יש חזקה עם הברי דאוקי איתתא בחזקת היתר וצדקת ונאנסה ואמרינן ברי עדיף. ולא היא דאיכא הכא כנגד הברי רוב דרצון דאונס לא שכיח ויש קול לאונס ורובא עדיף מחזקה הילכך לא סמכינן אברי דידה ואסורה.</w:t>
      </w:r>
      <w:r w:rsidR="009E28AC">
        <w:rPr>
          <w:rStyle w:val="Style1Char"/>
          <w:rFonts w:hint="cs"/>
          <w:color w:val="4472C4" w:themeColor="accent1"/>
        </w:rPr>
        <w:t>‍</w:t>
      </w:r>
      <w:r w:rsidR="009E28AC" w:rsidRPr="00A755B9">
        <w:rPr>
          <w:rStyle w:val="Style1Char"/>
          <w:color w:val="4472C4" w:themeColor="accent1"/>
          <w:rtl/>
        </w:rPr>
        <w:t xml:space="preserve"> ומיהו נראה לי לקיים דבריהם מההיא דהיתה מעוברת לקמן (דף יג א) דאלים ליה לרשב"ג ברי ומכשיר העובר ואף על גב דלית ליה חזקת כשרות ואפילו ברוב פסולין</w:t>
      </w:r>
      <w:r w:rsidR="009E28AC">
        <w:rPr>
          <w:rStyle w:val="Style1Char"/>
          <w:rFonts w:hint="cs"/>
          <w:color w:val="4472C4" w:themeColor="accent1"/>
        </w:rPr>
        <w:t>‍</w:t>
      </w:r>
      <w:r w:rsidR="009E28AC" w:rsidRPr="00A755B9">
        <w:rPr>
          <w:rStyle w:val="Style1Char"/>
          <w:color w:val="4472C4" w:themeColor="accent1"/>
          <w:rtl/>
        </w:rPr>
        <w:t xml:space="preserve"> וכן בההיא דמשאירסתני נאנסתי אף על גב דחזקת ממון מסייעא לרוב דרצון אפ"ה אלים ליה ברי ומהימנא</w:t>
      </w:r>
      <w:r w:rsidR="009E28AC" w:rsidRPr="00A755B9">
        <w:rPr>
          <w:rStyle w:val="Style1Char"/>
          <w:color w:val="4472C4" w:themeColor="accent1"/>
        </w:rPr>
        <w:t>:</w:t>
      </w:r>
    </w:p>
    <w:p w14:paraId="74902CB6" w14:textId="047B57CC" w:rsidR="00F450C8" w:rsidRDefault="00F450C8" w:rsidP="00F450C8">
      <w:pPr>
        <w:bidi/>
        <w:rPr>
          <w:rStyle w:val="Style1Char"/>
          <w:color w:val="00B050"/>
          <w:rtl/>
        </w:rPr>
      </w:pPr>
      <w:r w:rsidRPr="00F450C8">
        <w:rPr>
          <w:rStyle w:val="Style1Char"/>
          <w:color w:val="00B050"/>
          <w:rtl/>
        </w:rPr>
        <w:t xml:space="preserve">מאי קמ"ל? תנינא: האומר לאשה קדשתיך, והיא אומרת לא קדשתני - היא מותרת בקרוביו והוא אסור בקרובותיה! מהו דתימא, התם דודאי קים ליה, אבל הכא מיקם הוא דלא קים ליה, קמ"ל. ומי אמר רבי אלעזר הכי? והאמר רבי אלעזר: אין האשה נאסרת על בעלה - אלא על עסקי קינוי וסתירה וכמעשה שהיה! ותסברא, מעשה שהיה בקינוי וסתירה הוה? ועוד, מי אסרוה? הא לא קשיא, הכי קאמר: אין האשה נאסרת על בעלה אלא על עסקי קינוי וסתירה, ממעשה שהיה, דלא הוה קינוי וסתירה ולא איתסרא. מכל מקום קשיא: קינוי וסתירה אין, פתח פתוח לא! ולטעמיך, קינוי וסתירה אין, עדים לא? אלא הכי קאמר: </w:t>
      </w:r>
      <w:r w:rsidR="0061589E">
        <w:rPr>
          <w:rStyle w:val="Style1Char"/>
          <w:rFonts w:hint="cs"/>
          <w:rtl/>
        </w:rPr>
        <w:t>(3)</w:t>
      </w:r>
      <w:r w:rsidRPr="00F450C8">
        <w:rPr>
          <w:rStyle w:val="Style1Char"/>
          <w:color w:val="00B050"/>
          <w:rtl/>
        </w:rPr>
        <w:t xml:space="preserve">אין האשה נאסרת על בעלה בעד אחד אלא בשני עדים, </w:t>
      </w:r>
      <w:r w:rsidR="003A166B">
        <w:rPr>
          <w:rStyle w:val="Style1Char"/>
          <w:rFonts w:hint="cs"/>
          <w:rtl/>
        </w:rPr>
        <w:t>(4)</w:t>
      </w:r>
      <w:r w:rsidRPr="00F450C8">
        <w:rPr>
          <w:rStyle w:val="Style1Char"/>
          <w:color w:val="00B050"/>
          <w:rtl/>
        </w:rPr>
        <w:t xml:space="preserve">וקינוי וסתירה - אפילו בעד אחד נמי, ופתח פתוח - כשני עדים דמי; וכי תימא, מעשה שהיה מפני מה לא אסרוה? התם אונס הוה. ואיבעית אימא, כי הא דאמר רבי שמואל בר נחמני אמר רבי יונתן: </w:t>
      </w:r>
    </w:p>
    <w:p w14:paraId="60AA3F56" w14:textId="5D62662E" w:rsidR="003C09FA" w:rsidRDefault="003C09FA" w:rsidP="003C09FA">
      <w:pPr>
        <w:pStyle w:val="Style1"/>
        <w:rPr>
          <w:rStyle w:val="Style1Char"/>
          <w:rtl/>
        </w:rPr>
      </w:pPr>
      <w:r>
        <w:rPr>
          <w:rStyle w:val="Style1Char"/>
          <w:rFonts w:hint="cs"/>
          <w:rtl/>
        </w:rPr>
        <w:t>1)[</w:t>
      </w:r>
      <w:r w:rsidRPr="003C09FA">
        <w:rPr>
          <w:rStyle w:val="Style1Char"/>
          <w:rtl/>
        </w:rPr>
        <w:t>רמב</w:t>
      </w:r>
      <w:r w:rsidR="00213DA1">
        <w:rPr>
          <w:rStyle w:val="Style1Char"/>
          <w:rtl/>
        </w:rPr>
        <w:t>”ם \קדושה\</w:t>
      </w:r>
      <w:r w:rsidRPr="003C09FA">
        <w:rPr>
          <w:rStyle w:val="Style1Char"/>
          <w:rtl/>
        </w:rPr>
        <w:t xml:space="preserve"> הלכות איסורי ביאה פרק יח הלכה י</w:t>
      </w:r>
      <w:r>
        <w:rPr>
          <w:rStyle w:val="Style1Char"/>
          <w:rFonts w:hint="cs"/>
          <w:rtl/>
        </w:rPr>
        <w:t xml:space="preserve">] </w:t>
      </w:r>
      <w:r w:rsidRPr="003C09FA">
        <w:rPr>
          <w:rStyle w:val="Style1Char"/>
          <w:rtl/>
        </w:rPr>
        <w:t>כהן שקידש גדולה או קטנה ואחר זמן בא עליה וטען שמצאה דרוסת איש נאסרה עליו מספק שמא קודם קידושין נבעלה או אחר קידושין, אבל ישראל שטען טענה זו לא נאסרה עליו שיש כאן שני ספיקות שמא קודם קידושין ושמא אחר קידושין ואפילו נאמר לאחר קידושין שמא באונס שמא ברצון שהאנוסה מותרת לישראל כמו שביארנו.</w:t>
      </w:r>
    </w:p>
    <w:p w14:paraId="4E29E9B4" w14:textId="74B2851F" w:rsidR="003C09FA" w:rsidRDefault="003C09FA" w:rsidP="003C09FA">
      <w:pPr>
        <w:pStyle w:val="Style1"/>
        <w:rPr>
          <w:rStyle w:val="Style1Char"/>
          <w:rtl/>
        </w:rPr>
      </w:pPr>
      <w:r>
        <w:rPr>
          <w:rStyle w:val="Style1Char"/>
          <w:rFonts w:hint="cs"/>
          <w:rtl/>
        </w:rPr>
        <w:t>1)[</w:t>
      </w:r>
      <w:r w:rsidRPr="003C09FA">
        <w:rPr>
          <w:rStyle w:val="Style1Char"/>
          <w:rtl/>
        </w:rPr>
        <w:t>רמב</w:t>
      </w:r>
      <w:r w:rsidR="00213DA1">
        <w:rPr>
          <w:rStyle w:val="Style1Char"/>
          <w:rtl/>
        </w:rPr>
        <w:t>”ם \קדושה\</w:t>
      </w:r>
      <w:r w:rsidRPr="003C09FA">
        <w:rPr>
          <w:rStyle w:val="Style1Char"/>
          <w:rtl/>
        </w:rPr>
        <w:t xml:space="preserve"> הלכות איסורי ביאה פרק יח הלכה יא</w:t>
      </w:r>
      <w:r>
        <w:rPr>
          <w:rStyle w:val="Style1Char"/>
          <w:rFonts w:hint="cs"/>
          <w:rtl/>
        </w:rPr>
        <w:t xml:space="preserve">] </w:t>
      </w:r>
      <w:r w:rsidRPr="003C09FA">
        <w:rPr>
          <w:rStyle w:val="Style1Char"/>
          <w:rtl/>
        </w:rPr>
        <w:t>לפיכך אם קדשה אביה לישראל והיא פחותה מבת ג' שנים ויום אחד וטען שמצאה דרוסת איש נאסרה עליו מספק שאין כאן אלא ספק אחד שמא באונס שמא ברצון וספק איסור של תורה לחומרא.</w:t>
      </w:r>
    </w:p>
    <w:p w14:paraId="38DEDCA1" w14:textId="344099B8" w:rsidR="00A27B9E" w:rsidRDefault="00A27B9E" w:rsidP="00A27B9E">
      <w:pPr>
        <w:pStyle w:val="Style1"/>
        <w:rPr>
          <w:rtl/>
        </w:rPr>
      </w:pPr>
      <w:r>
        <w:rPr>
          <w:rStyle w:val="Style1Char"/>
          <w:rFonts w:hint="cs"/>
          <w:rtl/>
        </w:rPr>
        <w:t>1)[</w:t>
      </w:r>
      <w:r w:rsidRPr="00A27B9E">
        <w:rPr>
          <w:rStyle w:val="Style1Char"/>
          <w:rtl/>
        </w:rPr>
        <w:t>שולחן ערוך אבן העזר הלכות פריה ורביה סימן ו סעיף יד</w:t>
      </w:r>
      <w:r>
        <w:rPr>
          <w:rStyle w:val="Style1Char"/>
          <w:rFonts w:hint="cs"/>
          <w:rtl/>
        </w:rPr>
        <w:t xml:space="preserve">] </w:t>
      </w:r>
      <w:r w:rsidRPr="00A27B9E">
        <w:rPr>
          <w:rtl/>
        </w:rPr>
        <w:t>כהן שקדש גדולה או קטנה, ואחר זמן בא עליה וטען שמצאה דרוסת איש, נאסרת עליו מספק, שמא קודם קדושין נבעלה או אחר קדושין. אבל ישראל שטען טענה זו לא נאסרה עליו, שיש כאן שני ספיקות, שמא קודם קדושין שמא אחר קדושין, ואפי' נאמר אחר קדושין, שמא באונס שמא ברצון, שהאנוסה מותרת לישראל. לפיכך אם קדשה אביה לישראל והיא פחותה מבת שלש שנים ויום אחד, וטען שמצאה דרוסת איש, נאסרת עליו מספק, שאין כאן אלא ספק אחד שמא באונס שמא ברצון, וספק של איסור תורה לחומרא</w:t>
      </w:r>
      <w:r w:rsidRPr="00A27B9E">
        <w:t>:</w:t>
      </w:r>
    </w:p>
    <w:p w14:paraId="7E5A5D9E" w14:textId="014A2175" w:rsidR="00762C53" w:rsidRPr="00762C53" w:rsidRDefault="00762C53" w:rsidP="00762C53">
      <w:pPr>
        <w:pStyle w:val="Style1"/>
      </w:pPr>
      <w:r>
        <w:rPr>
          <w:rStyle w:val="Style1Char"/>
          <w:rFonts w:hint="cs"/>
          <w:rtl/>
        </w:rPr>
        <w:t>1)[</w:t>
      </w:r>
      <w:r w:rsidRPr="00762C53">
        <w:rPr>
          <w:rStyle w:val="Style1Char"/>
          <w:rtl/>
        </w:rPr>
        <w:t>שולחן ערוך אבן העזר הלכות כתובות סימן סח סעיף ז</w:t>
      </w:r>
      <w:r>
        <w:rPr>
          <w:rStyle w:val="Style1Char"/>
          <w:rFonts w:hint="cs"/>
          <w:rtl/>
        </w:rPr>
        <w:t xml:space="preserve">] </w:t>
      </w:r>
      <w:r w:rsidRPr="00762C53">
        <w:rPr>
          <w:rtl/>
        </w:rPr>
        <w:t>כשאמרו שטענתו על הבתולים טענה, אם הוא כהן הרי היא אסורה עליו, ואם היא אשת ישראל מותרת לו, אלא אם כן קבל בה אביה קדושין פחות משלש שנים ויום אחד</w:t>
      </w:r>
      <w:r w:rsidRPr="00762C53">
        <w:t>.</w:t>
      </w:r>
    </w:p>
    <w:p w14:paraId="6BC66B82" w14:textId="13F23948" w:rsidR="00762C53" w:rsidRDefault="00762C53" w:rsidP="00762C53">
      <w:pPr>
        <w:pStyle w:val="Style1"/>
        <w:rPr>
          <w:rtl/>
        </w:rPr>
      </w:pPr>
      <w:r w:rsidRPr="00762C53">
        <w:rPr>
          <w:rFonts w:hint="cs"/>
          <w:rtl/>
        </w:rPr>
        <w:t>הגה: ויש אומרים הא דנאסרה באשת ישראל, דוקא כשאינה מתרצת עצמה, אבל אמרה: נאנסתי, נאמנת (טור). ויש אומרים עוד, דדוקא שהיא גדולה לפנינו, אבל אם היא עדיין קטנה, אינה נאסרת (בית יוסף בשם רש"י, וכן נראה מדברי הר"ן). ועיין לקמן </w:t>
      </w:r>
      <w:hyperlink r:id="rId20" w:anchor="%D7%A1%D7%A2%D7%99%D7%A3_%D7%92" w:tooltip="שולחן ערוך אבן העזר קעח" w:history="1">
        <w:r w:rsidRPr="00762C53">
          <w:rPr>
            <w:rStyle w:val="Hyperlink"/>
            <w:rFonts w:hint="cs"/>
            <w:color w:val="7030A0"/>
            <w:u w:val="none"/>
            <w:rtl/>
          </w:rPr>
          <w:t>סימן קע"ח סעיף ג</w:t>
        </w:r>
        <w:r w:rsidRPr="00762C53">
          <w:rPr>
            <w:rStyle w:val="Hyperlink"/>
            <w:rFonts w:hint="cs"/>
            <w:color w:val="7030A0"/>
            <w:u w:val="none"/>
          </w:rPr>
          <w:t>'</w:t>
        </w:r>
      </w:hyperlink>
      <w:r w:rsidRPr="00762C53">
        <w:t>:</w:t>
      </w:r>
    </w:p>
    <w:p w14:paraId="4E8C4657" w14:textId="0D9ED194" w:rsidR="00762C53" w:rsidRDefault="00762C53" w:rsidP="00762C53">
      <w:pPr>
        <w:pStyle w:val="Style1"/>
        <w:rPr>
          <w:rtl/>
        </w:rPr>
      </w:pPr>
      <w:r>
        <w:rPr>
          <w:rFonts w:hint="cs"/>
          <w:rtl/>
        </w:rPr>
        <w:t>2)[</w:t>
      </w:r>
      <w:r>
        <w:rPr>
          <w:rtl/>
        </w:rPr>
        <w:t>רמב</w:t>
      </w:r>
      <w:r w:rsidR="00213DA1">
        <w:rPr>
          <w:rtl/>
        </w:rPr>
        <w:t>”ם \נשים\</w:t>
      </w:r>
      <w:r>
        <w:rPr>
          <w:rtl/>
        </w:rPr>
        <w:t xml:space="preserve"> הלכות אישות פרק ט הלכה טו</w:t>
      </w:r>
      <w:r>
        <w:rPr>
          <w:rFonts w:hint="cs"/>
          <w:rtl/>
        </w:rPr>
        <w:t xml:space="preserve">] </w:t>
      </w:r>
      <w:r>
        <w:rPr>
          <w:rtl/>
        </w:rPr>
        <w:t>האומר לאשה קידשתיך והיא אומרת לא קידשתני הוא אסור בקרובותיה והיא מותרת בקרוביו, קידשתני והוא אומר לא קידשתיך הוא מותר בקרובותיה והיא אסורה בקרוביו, קידשתיך והיא אומרת לא קידשת אלא בתי הוא אסור בקרובות גדולה וגדולה מותרת בקרוביו, ומותר בקרובות הבת והבת מותרת בקרוביו. קידשתי את בתך והיא אומרת לא קידשת אלא אותי הוא אסור בקרובות הבת והבת מותרת בקרוביו, ומותר בקרובות האם והאם אסורה בקרוביו.</w:t>
      </w:r>
    </w:p>
    <w:p w14:paraId="47336FBA" w14:textId="72D3D658" w:rsidR="00762C53" w:rsidRDefault="00762C53" w:rsidP="00762C53">
      <w:pPr>
        <w:pStyle w:val="Style1"/>
        <w:rPr>
          <w:rtl/>
        </w:rPr>
      </w:pPr>
      <w:r>
        <w:rPr>
          <w:rFonts w:hint="cs"/>
          <w:rtl/>
        </w:rPr>
        <w:t>2)[</w:t>
      </w:r>
      <w:r>
        <w:rPr>
          <w:rtl/>
        </w:rPr>
        <w:t>שולחן ערוך אבן העזר הלכות קידושין סימן מח סעיף א</w:t>
      </w:r>
      <w:r>
        <w:rPr>
          <w:rFonts w:hint="cs"/>
          <w:rtl/>
        </w:rPr>
        <w:t xml:space="preserve">] </w:t>
      </w:r>
      <w:r w:rsidRPr="00762C53">
        <w:rPr>
          <w:rtl/>
        </w:rPr>
        <w:t>האומר לאשה: קידשתיך, והיא אומרת: לא קידשתני, הוא אסור בקרובותיה והיא מותרת בקרוביו</w:t>
      </w:r>
      <w:r w:rsidRPr="00762C53">
        <w:t>:</w:t>
      </w:r>
    </w:p>
    <w:p w14:paraId="43D2E268" w14:textId="05AB2C40" w:rsidR="00762C53" w:rsidRDefault="00762C53" w:rsidP="00762C53">
      <w:pPr>
        <w:pStyle w:val="Style1"/>
        <w:rPr>
          <w:rtl/>
        </w:rPr>
      </w:pPr>
      <w:r>
        <w:rPr>
          <w:rFonts w:hint="cs"/>
          <w:rtl/>
        </w:rPr>
        <w:t>3)[</w:t>
      </w:r>
      <w:r>
        <w:rPr>
          <w:rtl/>
        </w:rPr>
        <w:t>רמב</w:t>
      </w:r>
      <w:r w:rsidR="00213DA1">
        <w:rPr>
          <w:rtl/>
        </w:rPr>
        <w:t>”ם \נשים\</w:t>
      </w:r>
      <w:r>
        <w:rPr>
          <w:rtl/>
        </w:rPr>
        <w:t xml:space="preserve"> הלכות אישות פרק כד הלכה יח</w:t>
      </w:r>
      <w:r>
        <w:rPr>
          <w:rFonts w:hint="cs"/>
          <w:rtl/>
        </w:rPr>
        <w:t xml:space="preserve">] </w:t>
      </w:r>
      <w:r>
        <w:rPr>
          <w:rtl/>
        </w:rPr>
        <w:t>אמרה לו אשתו שזינת תחתיו ברצונה אין משגיחין בדבריה שמא עיניה נתנה באחר, אבל אבדה כתובתה עיקר ותוספת ואבדה הבליות שהרי הודת בזנות, ואם היה מאמינה וסומכת דעתו על דבריה הרי זה חייב להוציאה, ואין בית דין כופין את האיש לגרש את אשתו בדבר מדברים אלו עד שיבואו שני עדים ויעידו כ שזינת אשת זה בפניהם ברצונה ואחר כך כופין אותו להוציא.</w:t>
      </w:r>
    </w:p>
    <w:p w14:paraId="4639ED55" w14:textId="6AE6FC24" w:rsidR="00762C53" w:rsidRDefault="009F0367" w:rsidP="00762C53">
      <w:pPr>
        <w:pStyle w:val="Style1"/>
      </w:pPr>
      <w:r>
        <w:rPr>
          <w:rFonts w:hint="cs"/>
          <w:rtl/>
        </w:rPr>
        <w:t>3</w:t>
      </w:r>
      <w:r w:rsidR="00762C53">
        <w:rPr>
          <w:rFonts w:hint="cs"/>
          <w:rtl/>
        </w:rPr>
        <w:t>)[</w:t>
      </w:r>
      <w:r w:rsidR="00762C53">
        <w:rPr>
          <w:rtl/>
        </w:rPr>
        <w:t>טור אבן העזר הלכות כתובות סימן קטו</w:t>
      </w:r>
      <w:r w:rsidR="00762C53">
        <w:rPr>
          <w:rFonts w:hint="cs"/>
          <w:rtl/>
        </w:rPr>
        <w:t xml:space="preserve">] </w:t>
      </w:r>
      <w:r w:rsidR="00762C53">
        <w:rPr>
          <w:rtl/>
        </w:rPr>
        <w:t xml:space="preserve">אלו יוצאות בלא כתובה </w:t>
      </w:r>
      <w:r w:rsidR="00762C53">
        <w:rPr>
          <w:rFonts w:hint="cs"/>
        </w:rPr>
        <w:t>‍</w:t>
      </w:r>
      <w:r w:rsidR="00762C53">
        <w:rPr>
          <w:rtl/>
        </w:rPr>
        <w:t xml:space="preserve">העוברת על דת משה ויהודית ואיזו היא דת משה מאכילתו שאינו מעושר או אחד מכל האיסורים כגון דם או חלב שהכשילתו ואכלו על פיה ונודע לו אח"כ כגון </w:t>
      </w:r>
      <w:r w:rsidR="00762C53">
        <w:rPr>
          <w:rFonts w:hint="cs"/>
        </w:rPr>
        <w:t>‍</w:t>
      </w:r>
      <w:r w:rsidR="00762C53">
        <w:rPr>
          <w:rtl/>
        </w:rPr>
        <w:t xml:space="preserve">שאמרה פלוני חכם תקן לי הכרי הזה או התיר לי חתיכה זו או טיהר לי הדם הזה ונמצאת שקרנית ודוקא שהוכחשה בעדים כגון שהעידו שבאותה שעה שאמרה שפלוני תקן לה שלא היה אותו פלוני בעיר וגם יש עדים שאמרה לו שהוא מתוקן ושהוא אכלו על פיה אבל אם אין עדים והיא כופרת שלא האכילתו </w:t>
      </w:r>
      <w:r w:rsidR="00762C53">
        <w:rPr>
          <w:rFonts w:hint="cs"/>
        </w:rPr>
        <w:t>‍</w:t>
      </w:r>
      <w:r w:rsidR="00762C53">
        <w:rPr>
          <w:rtl/>
        </w:rPr>
        <w:t xml:space="preserve">או שמכחשת החכם שאומר שלא תקן לה והיא אומרת שתקן לה נאמנת ודוקא שהכשילתו ואכל על פיה אבל אם רצתה להאכילו דבר איסור </w:t>
      </w:r>
      <w:r w:rsidR="00762C53">
        <w:rPr>
          <w:rFonts w:hint="cs"/>
        </w:rPr>
        <w:t>‍</w:t>
      </w:r>
      <w:r w:rsidR="00762C53">
        <w:rPr>
          <w:rtl/>
        </w:rPr>
        <w:t xml:space="preserve">ונודע לו ופירש או שהיא בעצמה </w:t>
      </w:r>
      <w:r w:rsidR="00762C53">
        <w:rPr>
          <w:rFonts w:hint="cs"/>
        </w:rPr>
        <w:t>‍</w:t>
      </w:r>
      <w:r w:rsidR="00762C53">
        <w:rPr>
          <w:rtl/>
        </w:rPr>
        <w:t xml:space="preserve">אכלה דבר איסור לא אבדה כתובתה </w:t>
      </w:r>
      <w:r w:rsidR="00762C53">
        <w:rPr>
          <w:rFonts w:hint="cs"/>
        </w:rPr>
        <w:t>‍</w:t>
      </w:r>
      <w:r w:rsidR="00762C53">
        <w:rPr>
          <w:rtl/>
        </w:rPr>
        <w:t xml:space="preserve">הוחזקה נדה בשכנותיה שראוה לובשת בגדי נדותה ואמרה לו טהורה אני </w:t>
      </w:r>
      <w:r w:rsidR="00762C53">
        <w:rPr>
          <w:rFonts w:hint="cs"/>
        </w:rPr>
        <w:t>‍</w:t>
      </w:r>
      <w:r w:rsidR="00762C53">
        <w:rPr>
          <w:rtl/>
        </w:rPr>
        <w:t xml:space="preserve">ובא עליה יוצאת </w:t>
      </w:r>
      <w:r w:rsidR="00762C53">
        <w:rPr>
          <w:rFonts w:hint="cs"/>
          <w:rtl/>
        </w:rPr>
        <w:t>ב</w:t>
      </w:r>
      <w:r w:rsidR="00762C53">
        <w:rPr>
          <w:rtl/>
        </w:rPr>
        <w:t xml:space="preserve">לא כתובה </w:t>
      </w:r>
      <w:r w:rsidR="00762C53">
        <w:rPr>
          <w:rFonts w:hint="cs"/>
        </w:rPr>
        <w:t>‍</w:t>
      </w:r>
      <w:r w:rsidR="00762C53">
        <w:rPr>
          <w:rtl/>
        </w:rPr>
        <w:t xml:space="preserve">הנודרת </w:t>
      </w:r>
      <w:r w:rsidR="00762C53">
        <w:rPr>
          <w:rFonts w:hint="cs"/>
        </w:rPr>
        <w:t>‍</w:t>
      </w:r>
      <w:r w:rsidR="00762C53">
        <w:rPr>
          <w:rtl/>
        </w:rPr>
        <w:t xml:space="preserve">ואינה מקיימת תצא בלא כתובה דבעון נדרים בנים מתים קטנים ואיזו היא דת יהודית יוצאת וראשה פרוע אפי' אין פרוע לגמרי אלא </w:t>
      </w:r>
      <w:r w:rsidR="00762C53">
        <w:rPr>
          <w:rFonts w:hint="cs"/>
        </w:rPr>
        <w:t>‍</w:t>
      </w:r>
      <w:r w:rsidR="00762C53">
        <w:rPr>
          <w:rtl/>
        </w:rPr>
        <w:t xml:space="preserve">קלתה בראשה כיון שאינה מכוסה בצעיף תצא כתב הרמב"ם אף על פי שמכוסה במטפחת כיון שאין עליה רדיד </w:t>
      </w:r>
      <w:r w:rsidR="00762C53">
        <w:rPr>
          <w:rFonts w:hint="cs"/>
        </w:rPr>
        <w:t>‍</w:t>
      </w:r>
      <w:r w:rsidR="00762C53">
        <w:rPr>
          <w:rtl/>
        </w:rPr>
        <w:t xml:space="preserve">ככל הנשים תצא בלא כתובה ודוקא שיוצאת כן ברשות הרבים או במבוי המפולש או בחצר שהרבים בוקעים בו אבל במבוי שאינו מפולש וחצר שאין הרבים בוקעים בו </w:t>
      </w:r>
      <w:r w:rsidR="00762C53">
        <w:rPr>
          <w:rFonts w:hint="cs"/>
        </w:rPr>
        <w:t>‍</w:t>
      </w:r>
      <w:r w:rsidR="00762C53">
        <w:rPr>
          <w:rtl/>
        </w:rPr>
        <w:t xml:space="preserve">לא תצא וכן הטווה בשוק שמראה זרועותיה לבני אדם וכן </w:t>
      </w:r>
      <w:r w:rsidR="00762C53">
        <w:rPr>
          <w:rFonts w:hint="cs"/>
        </w:rPr>
        <w:t>‍</w:t>
      </w:r>
      <w:r w:rsidR="00762C53">
        <w:rPr>
          <w:rtl/>
        </w:rPr>
        <w:t xml:space="preserve">הטווה ורד כנגד פניה ופירש"י שטווה בכפה על יריכה </w:t>
      </w:r>
      <w:r w:rsidR="00762C53">
        <w:rPr>
          <w:rFonts w:hint="cs"/>
        </w:rPr>
        <w:t>‍</w:t>
      </w:r>
      <w:r w:rsidR="00762C53">
        <w:rPr>
          <w:rtl/>
        </w:rPr>
        <w:t xml:space="preserve">והחוט מתוח כנגד פניה של מטה והרמב"ם כתב בשטווה בשוק וטווה ורד וכיוצא בו כנגד פניה על פדחתה או לחייה כדרך שעושין הפרוצות וכן המדברת והמשחקת </w:t>
      </w:r>
      <w:r w:rsidR="00762C53">
        <w:rPr>
          <w:rFonts w:hint="cs"/>
        </w:rPr>
        <w:t>‍</w:t>
      </w:r>
      <w:r w:rsidR="00762C53">
        <w:rPr>
          <w:rtl/>
        </w:rPr>
        <w:t xml:space="preserve">עם הבחורים וכן המקללת אביו בפניו </w:t>
      </w:r>
      <w:r w:rsidR="00762C53">
        <w:rPr>
          <w:rFonts w:hint="cs"/>
        </w:rPr>
        <w:t>‍</w:t>
      </w:r>
      <w:r w:rsidR="00762C53">
        <w:rPr>
          <w:rtl/>
        </w:rPr>
        <w:t xml:space="preserve">או בפני בנו וכן התובעת מבעלה התשמיש בקול רם עד ששכנותיה שומעות אותה או שמריבה עמו עד שנשמע קולה כשתובע על עסקי תשמיש בכל אחד מאלו תצא בלא כתובה ומ"מ לא אבדה כתובתה אא"כ יש עדים שהתרה בה תחילה ועברה על התראתו ואם אין עדים תשבע </w:t>
      </w:r>
      <w:r w:rsidR="00762C53">
        <w:rPr>
          <w:rFonts w:hint="cs"/>
        </w:rPr>
        <w:t>‍</w:t>
      </w:r>
      <w:r w:rsidR="00762C53">
        <w:rPr>
          <w:rtl/>
        </w:rPr>
        <w:t xml:space="preserve">שהוא כדבריה ואם רצה לקיים אותה </w:t>
      </w:r>
      <w:r w:rsidR="00762C53">
        <w:rPr>
          <w:rFonts w:hint="cs"/>
        </w:rPr>
        <w:t>‍</w:t>
      </w:r>
      <w:r w:rsidR="00762C53">
        <w:rPr>
          <w:rtl/>
        </w:rPr>
        <w:t>אח"כ אין כופין אותו להוציאה ומ"מ מצוה עליו שיוציאנה כתב הרמב"ם אף על פי שלא הוציאה אין לה כתובה שכתובה תקנת חכמים הוא שלא תהא קלה בעיניו להוציאה ולא הקפידו אלא על בנות ישראל הצנועות אבל הפרוצות אין להן תקנה זו אלא תהא קלה בעיניו:</w:t>
      </w:r>
    </w:p>
    <w:p w14:paraId="3752BA82" w14:textId="77777777" w:rsidR="00762C53" w:rsidRDefault="00762C53" w:rsidP="00762C53">
      <w:pPr>
        <w:pStyle w:val="Style1"/>
      </w:pPr>
      <w:r>
        <w:rPr>
          <w:rtl/>
        </w:rPr>
        <w:lastRenderedPageBreak/>
        <w:t>עברה בינה לבינו וידע שהיא עוברת על דת והתרה בה בלא עדים וחזרה ועברה הוא טוען שעברה והיא טוענת שלא עברה או לא התרתה בי אם רצה להוציאה יתן כתובה אחר שתשבע שלא עברה אחר ההתראה שאם תודה שעברה אחר ההתראה אין לה כלום ע"כ:</w:t>
      </w:r>
    </w:p>
    <w:p w14:paraId="7BC9E4E4" w14:textId="36A4AE71" w:rsidR="00762C53" w:rsidRDefault="00762C53" w:rsidP="00762C53">
      <w:pPr>
        <w:pStyle w:val="Style1"/>
        <w:rPr>
          <w:rtl/>
        </w:rPr>
      </w:pPr>
      <w:r>
        <w:rPr>
          <w:rtl/>
        </w:rPr>
        <w:t xml:space="preserve">כל אלו אין להם לא עיקר כתובה ולא תנאי כתובה ולא תוספת </w:t>
      </w:r>
      <w:r>
        <w:rPr>
          <w:rFonts w:hint="cs"/>
        </w:rPr>
        <w:t>‍</w:t>
      </w:r>
      <w:r>
        <w:rPr>
          <w:rtl/>
        </w:rPr>
        <w:t xml:space="preserve">אבל תטול מה שהכניסה אליו והוא בעין בין מנכסי צאן ברזל בין מנכסי מלוג ואם כלה או נגנב או נאבד </w:t>
      </w:r>
      <w:r>
        <w:rPr>
          <w:rFonts w:hint="cs"/>
        </w:rPr>
        <w:t>‍</w:t>
      </w:r>
      <w:r>
        <w:rPr>
          <w:rtl/>
        </w:rPr>
        <w:t>אין מוציאין ממנו וכן הדין במי שזנתה או יוצאת משום שם רע שאבדה עיקר כתובתה ותוספת ונוטלת מה שהוא בעין מכל מה שהכניסה וכן הדין בכל אותן ששנינו בה</w:t>
      </w:r>
      <w:r>
        <w:rPr>
          <w:rFonts w:hint="cs"/>
          <w:rtl/>
        </w:rPr>
        <w:t xml:space="preserve"> </w:t>
      </w:r>
      <w:r>
        <w:rPr>
          <w:rFonts w:hint="cs"/>
        </w:rPr>
        <w:t>‍</w:t>
      </w:r>
      <w:r>
        <w:rPr>
          <w:rtl/>
        </w:rPr>
        <w:t xml:space="preserve">תצא מזה ומזה שהרי מצד זנות היא מפסדת כתובתה אין עדים שזינתה אלא שהיא עצמה אומרת שזינתה אין חוששין לדבר זה לאוסרה דשמא עיניה נתנה באחר אבל אבדה כתובתה עיקר ותוספת ומה שאינו בעין ממה שהכניסה לו אבל אם נאנסה לא הפסידה כתובתה </w:t>
      </w:r>
      <w:r>
        <w:rPr>
          <w:rFonts w:hint="cs"/>
        </w:rPr>
        <w:t>‍</w:t>
      </w:r>
      <w:r>
        <w:rPr>
          <w:rtl/>
        </w:rPr>
        <w:t xml:space="preserve">לא אשת ישראל ולא אשת כהן ואם יש עד אחד שזינתה אינו חייב להוציאה בדיני אדם </w:t>
      </w:r>
      <w:r>
        <w:rPr>
          <w:rFonts w:hint="cs"/>
        </w:rPr>
        <w:t>‍</w:t>
      </w:r>
      <w:r>
        <w:rPr>
          <w:rtl/>
        </w:rPr>
        <w:t xml:space="preserve"> </w:t>
      </w:r>
      <w:r>
        <w:rPr>
          <w:rFonts w:hint="cs"/>
        </w:rPr>
        <w:t>‍</w:t>
      </w:r>
      <w:r>
        <w:rPr>
          <w:rtl/>
        </w:rPr>
        <w:t xml:space="preserve">אבל משום לזות שפתים אסור לו לעמוד עמה אם הוא סומך עליו מהימן ליה כבי תרי וצריך ליתן לה כתובה וכן כשאומרת אשתו שזינתה אם הוא מאמינה וסומך על דבריה </w:t>
      </w:r>
      <w:r>
        <w:rPr>
          <w:rFonts w:hint="cs"/>
        </w:rPr>
        <w:t>‍</w:t>
      </w:r>
      <w:r>
        <w:rPr>
          <w:rtl/>
        </w:rPr>
        <w:t xml:space="preserve">צריך להוציאה לצאת ידי שמים וכתב הרמב"ם מי שראה אשתו שזינתה או שאמרה לו אחת מקרובותיה </w:t>
      </w:r>
      <w:r>
        <w:rPr>
          <w:rFonts w:hint="cs"/>
        </w:rPr>
        <w:t>‍</w:t>
      </w:r>
      <w:r>
        <w:rPr>
          <w:rtl/>
        </w:rPr>
        <w:t>או אחד מקרוביו</w:t>
      </w:r>
      <w:r>
        <w:rPr>
          <w:rFonts w:hint="cs"/>
          <w:rtl/>
        </w:rPr>
        <w:t xml:space="preserve"> </w:t>
      </w:r>
      <w:r>
        <w:rPr>
          <w:rtl/>
        </w:rPr>
        <w:t xml:space="preserve">שהוא מאמינו ודעתו סומכת עליה שזינתה אשתו בין שהיה האומר איש בין שהיה אשה הרי זה חייב להוציאה ואסור לו לבא עליה ויוציא ויתן כתובה ואם הודתה לו שזנתה תצא בלא כתובה לפיכך משביעה בנקיטת חפץ שלא זינתה תחתיו אם ראה בעצמו שזינתה ואח"כ תגבה כתובתה </w:t>
      </w:r>
      <w:r>
        <w:rPr>
          <w:rFonts w:hint="cs"/>
        </w:rPr>
        <w:t>‍</w:t>
      </w:r>
      <w:r>
        <w:rPr>
          <w:rtl/>
        </w:rPr>
        <w:t xml:space="preserve"> </w:t>
      </w:r>
      <w:r>
        <w:rPr>
          <w:rFonts w:hint="cs"/>
        </w:rPr>
        <w:t>‍</w:t>
      </w:r>
      <w:r>
        <w:rPr>
          <w:rtl/>
        </w:rPr>
        <w:t xml:space="preserve">אבל מדברי אחר אינו יכול להשביעה אלא על ידי גלגול האומר לאשתו בפני עדים אל תסתרי עם איש פלוני ויש עדים שנכנסה עמו בסתר ושהתה עמו כדי טומאה אסורה לבעלה עד שתשתה ואם מת קודם שישקנה אין לה כתובה לא עיקר ולא תוספ' אף על פי שלא מצאו עליה דבר מכוער שאין לך דבר מכוער יותר מזה ובזמן הזה שאין מי סוטה אסורה לו עולמית ותצא בלא כתובה שהרי מעשיה הרעים גרמו לה להיאסר </w:t>
      </w:r>
      <w:r>
        <w:rPr>
          <w:rFonts w:hint="cs"/>
        </w:rPr>
        <w:t>‍</w:t>
      </w:r>
      <w:r>
        <w:rPr>
          <w:rtl/>
        </w:rPr>
        <w:t>אמר לה בינו לבינה אל תסתרי עם איש פלוני</w:t>
      </w:r>
      <w:r>
        <w:rPr>
          <w:rFonts w:hint="cs"/>
          <w:rtl/>
        </w:rPr>
        <w:t xml:space="preserve"> </w:t>
      </w:r>
      <w:r>
        <w:rPr>
          <w:rtl/>
        </w:rPr>
        <w:t xml:space="preserve">וראה אותה שנסתרה ושהתה עמו כדי טומאה </w:t>
      </w:r>
      <w:r>
        <w:rPr>
          <w:rFonts w:hint="cs"/>
        </w:rPr>
        <w:t>‍</w:t>
      </w:r>
      <w:r>
        <w:rPr>
          <w:rtl/>
        </w:rPr>
        <w:t xml:space="preserve"> </w:t>
      </w:r>
      <w:r>
        <w:rPr>
          <w:rFonts w:hint="cs"/>
        </w:rPr>
        <w:t>‍</w:t>
      </w:r>
      <w:r>
        <w:rPr>
          <w:rtl/>
        </w:rPr>
        <w:t xml:space="preserve">אסורה לו בזמן הזה שאין מי סוטה וחייב להוציאה ויתן לה כתובה ואם הודה שנסתרה אחרי שהתרה בה תצא בלא כתובה לפיכך משביעה על זה ואח"כ נותן לה כתובה שאלה לא"א הרא"ש ז"ל ששאלת ראובן השביע לאשתו שלא תדבר לפלוני ופלוני ולא תכנס עמהם לבית הסתר וקבלה שבועתו בפני עדים לזמן קצוב אם עברה על שום דבר משבועתה אם אבדה כתובתה תשובה אם נכנסה עמו לבית הסתר ושהתה עמו כדי טומאה בשני עדים אסורה לבעלה ותצא בלא כתובה ודוקא שיש ב' עדים שנסתרה אבל נסתרה עמו בעד אחד אינה אסורה אבל אם לא נכנסה לבית הסתר אלא דברה עם אחד מהם </w:t>
      </w:r>
      <w:r>
        <w:rPr>
          <w:rFonts w:hint="cs"/>
        </w:rPr>
        <w:t>‍</w:t>
      </w:r>
      <w:r>
        <w:rPr>
          <w:rtl/>
        </w:rPr>
        <w:t>לא נאסרה מכח הקינוי אבל מ"מ עוברת על דת היא כיון שנשבעה שלא לדבר עמו ועברה ודברה עמו יוצאת בלא כתובה ודוקא שהתרו בה תחילה אם תעברי על שבועתך תפסידי כתובתך אבל אם לא התרו בה לא הפסידה כתובתה:</w:t>
      </w:r>
    </w:p>
    <w:p w14:paraId="4686C836" w14:textId="1C03C903" w:rsidR="00A016F6" w:rsidRPr="00A016F6" w:rsidRDefault="00640E19" w:rsidP="00A016F6">
      <w:pPr>
        <w:pStyle w:val="Style1"/>
      </w:pPr>
      <w:r>
        <w:rPr>
          <w:rFonts w:hint="cs"/>
          <w:rtl/>
        </w:rPr>
        <w:t>3)[</w:t>
      </w:r>
      <w:r>
        <w:rPr>
          <w:rtl/>
        </w:rPr>
        <w:t>שולחן ערוך אבן העזר הלכות אישות סימן יא סעיף א</w:t>
      </w:r>
      <w:r>
        <w:rPr>
          <w:rFonts w:hint="cs"/>
          <w:rtl/>
        </w:rPr>
        <w:t>]</w:t>
      </w:r>
      <w:r w:rsidR="00A016F6">
        <w:rPr>
          <w:rFonts w:hint="cs"/>
          <w:rtl/>
        </w:rPr>
        <w:t xml:space="preserve"> </w:t>
      </w:r>
      <w:r w:rsidR="00A016F6" w:rsidRPr="00A016F6">
        <w:rPr>
          <w:rtl/>
        </w:rPr>
        <w:t>הנחשדת על אשת איש, אם היה לה קינוי וסתירה ולא שתתה מי המרים, הואיל ונאסרה על בעלה בשבילו, הרי היא אסורה על זה שנתיחדה עמו לעולם כדרך שהיא אסורה על בעלה. ואם עבר ונשאה, מוציאין אותה מתחתיו בגט, אפילו היו לה כמה בנים ממנו. מפי השמועה למדו, כשם שהיה אסורה לבעלה כך אסורה לבועל </w:t>
      </w:r>
      <w:r w:rsidR="00A016F6" w:rsidRPr="00A016F6">
        <w:rPr>
          <w:rFonts w:hint="cs"/>
          <w:rtl/>
        </w:rPr>
        <w:t>(וה"ה אם נאסרה בשבילו לבעלה אסורה לו) (ס"ה)</w:t>
      </w:r>
      <w:r w:rsidR="00A016F6" w:rsidRPr="00A016F6">
        <w:t>.</w:t>
      </w:r>
    </w:p>
    <w:p w14:paraId="3BBB964F" w14:textId="77777777" w:rsidR="00A016F6" w:rsidRPr="00A016F6" w:rsidRDefault="00A016F6" w:rsidP="00A016F6">
      <w:pPr>
        <w:pStyle w:val="Style1"/>
      </w:pPr>
      <w:r w:rsidRPr="00A016F6">
        <w:rPr>
          <w:rtl/>
        </w:rPr>
        <w:t>אבל אם לא קדם קינוי ובאו עליה עדים שנסתרה עם איש זה ובא ומצא דבר מכוער, כגון שנכנסו אחריו ומצאוה עומדת מעל המטה והיא לובשת המכנסים או חוגרת אזורה, או שמצאו רוק למעלה מהכילה </w:t>
      </w:r>
      <w:r w:rsidRPr="00A016F6">
        <w:rPr>
          <w:rFonts w:hint="cs"/>
          <w:rtl/>
        </w:rPr>
        <w:t>(או שראו מקום המנעלים הפוכים) (טור)</w:t>
      </w:r>
      <w:r w:rsidRPr="00A016F6">
        <w:rPr>
          <w:rtl/>
        </w:rPr>
        <w:t> או שהיו יוצאים ממקום אפל או מעלים זה את זה מן הבור וכיוצא בו, או שראוהו מנשק על פי חלוקה או שראו מנשקים זה את זה, או שנכנסו זה אחר זה והגיפו הדלתות </w:t>
      </w:r>
      <w:r w:rsidRPr="00A016F6">
        <w:rPr>
          <w:rFonts w:hint="cs"/>
          <w:rtl/>
        </w:rPr>
        <w:t>(במנעול) (ב"י בשם תשו' הרשב"א אלף רל"א)</w:t>
      </w:r>
      <w:r w:rsidRPr="00A016F6">
        <w:rPr>
          <w:rtl/>
        </w:rPr>
        <w:t> וכיוצא בדברים אלו </w:t>
      </w:r>
      <w:r w:rsidRPr="00A016F6">
        <w:rPr>
          <w:rFonts w:hint="cs"/>
        </w:rPr>
        <w:t>(</w:t>
      </w:r>
      <w:r w:rsidRPr="00A016F6">
        <w:rPr>
          <w:rFonts w:hint="cs"/>
          <w:rtl/>
        </w:rPr>
        <w:t>לפי ראות עיני הדיינים</w:t>
      </w:r>
      <w:r w:rsidRPr="00A016F6">
        <w:rPr>
          <w:rFonts w:hint="cs"/>
        </w:rPr>
        <w:t>)</w:t>
      </w:r>
      <w:r w:rsidRPr="00A016F6">
        <w:t xml:space="preserve">, </w:t>
      </w:r>
      <w:r w:rsidRPr="00A016F6">
        <w:rPr>
          <w:rtl/>
        </w:rPr>
        <w:t>אם הוציאה בעלה בדבר מכוער כזה הרי זו לא תנשא לנטען. ואם עבר ונשאה והיו לו בנים ממנה, לא תצא</w:t>
      </w:r>
      <w:r w:rsidRPr="00A016F6">
        <w:t>.</w:t>
      </w:r>
    </w:p>
    <w:p w14:paraId="2682349C" w14:textId="77777777" w:rsidR="00A016F6" w:rsidRPr="00A016F6" w:rsidRDefault="00A016F6" w:rsidP="00A016F6">
      <w:pPr>
        <w:pStyle w:val="Style1"/>
      </w:pPr>
      <w:r w:rsidRPr="00A016F6">
        <w:rPr>
          <w:rtl/>
        </w:rPr>
        <w:t>במה דברים אמורים? כשרננו העיר עליה ועל הנטען יום ומחצה או יותר ואמרו לו פלוני זינה עם פלונית ולא פסק הקול, והוא שלא היו לה או לו </w:t>
      </w:r>
      <w:r w:rsidRPr="00A016F6">
        <w:rPr>
          <w:rFonts w:hint="cs"/>
          <w:rtl/>
        </w:rPr>
        <w:t>(או לבעל) (הר"ן פ"ב דיבמות)</w:t>
      </w:r>
      <w:r w:rsidRPr="00A016F6">
        <w:rPr>
          <w:rtl/>
        </w:rPr>
        <w:t> אויבים שמעבירים את הקול. אבל אם לא היה שם רינה לדבר זה בעיר, או שפסק הקול שלא מחמת יראה, אם נשאת לנטען לא תצא אפילו אין לה בנים, אפילו בא עד אחד שזינתה עמו לא תצא</w:t>
      </w:r>
      <w:r w:rsidRPr="00A016F6">
        <w:t>:</w:t>
      </w:r>
    </w:p>
    <w:p w14:paraId="6C290B54" w14:textId="77777777" w:rsidR="00A016F6" w:rsidRPr="00A016F6" w:rsidRDefault="00A016F6" w:rsidP="00A016F6">
      <w:pPr>
        <w:pStyle w:val="Style1"/>
      </w:pPr>
      <w:r w:rsidRPr="00A016F6">
        <w:rPr>
          <w:rFonts w:hint="cs"/>
          <w:rtl/>
        </w:rPr>
        <w:t>הגה</w:t>
      </w:r>
      <w:r w:rsidRPr="00A016F6">
        <w:rPr>
          <w:rFonts w:hint="cs"/>
        </w:rPr>
        <w:t>: </w:t>
      </w:r>
      <w:r w:rsidRPr="00A016F6">
        <w:rPr>
          <w:rFonts w:hint="cs"/>
          <w:rtl/>
        </w:rPr>
        <w:t>ויש אומרים דאם היה בכאן קול ממש כדרך שנתבאר עם עידי כיעור, מוציאין אותה אפילו מבעלה (רש"י ושאלתות ומרדכי בשם הר"ם פ"ב דיבמות) אם אין לו בנים ממנה, אבל באחד מהן אין מוציאין מן הבעל, אלא אם כן הוציאה בעלה וכנסה הנחשד מוציאין בא' מהן מן הנחשד אם אין לה בנים ממנה (כן משמע מהרי"ף והרמב"ם)</w:t>
      </w:r>
      <w:r w:rsidRPr="00A016F6">
        <w:rPr>
          <w:rFonts w:hint="cs"/>
        </w:rPr>
        <w:t>.</w:t>
      </w:r>
    </w:p>
    <w:p w14:paraId="7DA47A5E" w14:textId="13CAFD99" w:rsidR="00A016F6" w:rsidRDefault="00A016F6" w:rsidP="00A016F6">
      <w:pPr>
        <w:pStyle w:val="Style1"/>
        <w:rPr>
          <w:rtl/>
        </w:rPr>
      </w:pPr>
      <w:r w:rsidRPr="00A016F6">
        <w:rPr>
          <w:rFonts w:hint="cs"/>
          <w:rtl/>
        </w:rPr>
        <w:t>ב' עידי כיעור מצטרפין אף על גב דראו זה אחר זה, וכיעור דחזא האי לא חזא האי (מרדכי פ"ב דיבמות בשם תשובת מוהר"ם). עד א' בדבר מכוער לאו כלום הוא (תשו' מוהר"ם סוף נשים)</w:t>
      </w:r>
      <w:r w:rsidRPr="00A016F6">
        <w:t>:</w:t>
      </w:r>
    </w:p>
    <w:p w14:paraId="6D6F95D2" w14:textId="318C23A8" w:rsidR="00683C0A" w:rsidRDefault="00683C0A" w:rsidP="00683C0A">
      <w:pPr>
        <w:pStyle w:val="Style1"/>
        <w:rPr>
          <w:rtl/>
        </w:rPr>
      </w:pPr>
      <w:r>
        <w:rPr>
          <w:rFonts w:hint="cs"/>
          <w:rtl/>
        </w:rPr>
        <w:t>4)[</w:t>
      </w:r>
      <w:r>
        <w:rPr>
          <w:rtl/>
        </w:rPr>
        <w:t>רמב</w:t>
      </w:r>
      <w:r w:rsidR="00C764B2">
        <w:rPr>
          <w:rtl/>
        </w:rPr>
        <w:t>”ם \נשים\</w:t>
      </w:r>
      <w:r>
        <w:rPr>
          <w:rtl/>
        </w:rPr>
        <w:t xml:space="preserve"> הלכות סוטה פרק א הלכה טו</w:t>
      </w:r>
      <w:r>
        <w:rPr>
          <w:rFonts w:hint="cs"/>
          <w:rtl/>
        </w:rPr>
        <w:t xml:space="preserve">] </w:t>
      </w:r>
      <w:r>
        <w:rPr>
          <w:rtl/>
        </w:rPr>
        <w:t>אפילו אשה ועבד ושפחה ופסול לעדות בעבירה מדברי סופרים ואפילו קרוב נאמן לעדות שוטה להעיד עליה שזינת ותאסר על בעלה לעולם ואינה שותה ותצא בלא כתובה, הואיל וקדם הקינוי והסתירה בעדים כשרים והתורה האמינה עד אחד בטומאה הרי כולן כשרין לעדות טומאה. אף חמש הנשים ששונאות זו את זו מעידות זו על זו לומר שנטמאת ונאמנת עליה לאוסרה על בעלה ושלא להשקותה אבל לא לפסלה מכתובתה אלא נוטלת כתובתה ויוצאה.</w:t>
      </w:r>
    </w:p>
    <w:p w14:paraId="19168B99" w14:textId="6CC9D9F9" w:rsidR="00D74B30" w:rsidRPr="00CB540E" w:rsidRDefault="00D74B30" w:rsidP="00D74B30">
      <w:pPr>
        <w:pStyle w:val="Style1"/>
      </w:pPr>
      <w:r>
        <w:rPr>
          <w:rFonts w:hint="cs"/>
          <w:rtl/>
        </w:rPr>
        <w:t>4)[</w:t>
      </w:r>
      <w:r>
        <w:rPr>
          <w:rtl/>
        </w:rPr>
        <w:t>שולחן ערוך אבן העזר הלכות סוטה סימן קעח סעיף יד</w:t>
      </w:r>
      <w:r>
        <w:rPr>
          <w:rFonts w:hint="cs"/>
          <w:rtl/>
        </w:rPr>
        <w:t>]</w:t>
      </w:r>
      <w:r w:rsidR="00CB540E">
        <w:rPr>
          <w:rFonts w:hint="cs"/>
          <w:rtl/>
        </w:rPr>
        <w:t xml:space="preserve"> </w:t>
      </w:r>
      <w:r w:rsidR="00CB540E" w:rsidRPr="00CB540E">
        <w:rPr>
          <w:rtl/>
        </w:rPr>
        <w:t>כיצד היא הסתירה, שנסתרה בפני עדים עם אותו פלוני שקנא לה, ושהתה כדי טמאה, שהיא כדי לצלות ביצה ולגמעה</w:t>
      </w:r>
      <w:r w:rsidR="00CB540E" w:rsidRPr="00CB540E">
        <w:t>:</w:t>
      </w:r>
    </w:p>
    <w:p w14:paraId="2C1C2FDE" w14:textId="4DDF699F" w:rsidR="00D74B30" w:rsidRPr="00A016F6" w:rsidRDefault="00D74B30" w:rsidP="00D74B30">
      <w:pPr>
        <w:pStyle w:val="Style1"/>
      </w:pPr>
    </w:p>
    <w:p w14:paraId="571D8CA5" w14:textId="77777777" w:rsidR="00A016F6" w:rsidRPr="00A016F6" w:rsidRDefault="00A016F6" w:rsidP="00A016F6">
      <w:pPr>
        <w:pStyle w:val="Style1"/>
      </w:pPr>
    </w:p>
    <w:p w14:paraId="66C50269" w14:textId="3B79C9A2" w:rsidR="009831BF" w:rsidRPr="00A016F6" w:rsidRDefault="009831BF" w:rsidP="00A016F6">
      <w:pPr>
        <w:pStyle w:val="Style1"/>
        <w:rPr>
          <w:rtl/>
        </w:rPr>
      </w:pPr>
    </w:p>
    <w:p w14:paraId="193DA893" w14:textId="77777777" w:rsidR="00762C53" w:rsidRPr="00A016F6" w:rsidRDefault="00762C53" w:rsidP="00A016F6">
      <w:pPr>
        <w:pStyle w:val="Style1"/>
        <w:rPr>
          <w:rStyle w:val="Style1Char"/>
        </w:rPr>
      </w:pPr>
    </w:p>
    <w:p w14:paraId="2D55E609" w14:textId="37C3978A" w:rsidR="00762C53" w:rsidRPr="00A27B9E" w:rsidRDefault="00762C53" w:rsidP="00762C53">
      <w:pPr>
        <w:pStyle w:val="Style1"/>
        <w:rPr>
          <w:rStyle w:val="Style1Char"/>
        </w:rPr>
      </w:pPr>
    </w:p>
    <w:p w14:paraId="59179A85" w14:textId="4464C038" w:rsidR="00A27B9E" w:rsidRPr="00A27B9E" w:rsidRDefault="00A27B9E" w:rsidP="00A27B9E">
      <w:pPr>
        <w:pStyle w:val="Style1"/>
        <w:rPr>
          <w:rStyle w:val="Style1Char"/>
          <w:rtl/>
        </w:rPr>
      </w:pPr>
    </w:p>
    <w:p w14:paraId="72676913" w14:textId="77777777" w:rsidR="003E08B2" w:rsidRPr="003E08B2" w:rsidRDefault="003E08B2" w:rsidP="003E08B2">
      <w:pPr>
        <w:bidi/>
        <w:rPr>
          <w:rStyle w:val="Style1Char"/>
          <w:color w:val="00B050"/>
          <w:rtl/>
        </w:rPr>
      </w:pPr>
    </w:p>
    <w:p w14:paraId="4F9EF199" w14:textId="77777777" w:rsidR="0015458C" w:rsidRPr="00777C67" w:rsidRDefault="0015458C" w:rsidP="0015458C">
      <w:pPr>
        <w:bidi/>
        <w:rPr>
          <w:rStyle w:val="Style1Char"/>
          <w:color w:val="00B050"/>
          <w:rtl/>
        </w:rPr>
      </w:pPr>
    </w:p>
    <w:p w14:paraId="495BBFE5" w14:textId="77777777" w:rsidR="0015458C" w:rsidRDefault="0015458C" w:rsidP="0015458C">
      <w:pPr>
        <w:bidi/>
        <w:rPr>
          <w:rStyle w:val="Style1Char"/>
          <w:color w:val="00B050"/>
          <w:rtl/>
        </w:rPr>
      </w:pPr>
    </w:p>
    <w:p w14:paraId="3A1E145F" w14:textId="77777777" w:rsidR="00F450C8" w:rsidRDefault="00F450C8">
      <w:pPr>
        <w:rPr>
          <w:rStyle w:val="Style1Char"/>
          <w:color w:val="00B050"/>
          <w:rtl/>
        </w:rPr>
      </w:pPr>
      <w:r>
        <w:rPr>
          <w:rStyle w:val="Style1Char"/>
          <w:color w:val="00B050"/>
          <w:rtl/>
        </w:rPr>
        <w:br w:type="page"/>
      </w:r>
    </w:p>
    <w:p w14:paraId="39A5B6BE" w14:textId="66F73FBE" w:rsidR="00F450C8" w:rsidRDefault="00F450C8" w:rsidP="00F450C8">
      <w:pPr>
        <w:bidi/>
        <w:rPr>
          <w:rStyle w:val="Style1Char"/>
          <w:color w:val="00B050"/>
          <w:rtl/>
        </w:rPr>
      </w:pPr>
      <w:r w:rsidRPr="00F450C8">
        <w:rPr>
          <w:rStyle w:val="Style1Char"/>
          <w:color w:val="00B050"/>
          <w:sz w:val="22"/>
          <w:szCs w:val="22"/>
          <w:highlight w:val="yellow"/>
          <w:rtl/>
        </w:rPr>
        <w:lastRenderedPageBreak/>
        <w:t>[דף ט עמוד ב]</w:t>
      </w:r>
      <w:r w:rsidRPr="00F450C8">
        <w:rPr>
          <w:rStyle w:val="Style1Char"/>
          <w:color w:val="00B050"/>
          <w:sz w:val="22"/>
          <w:szCs w:val="22"/>
          <w:rtl/>
        </w:rPr>
        <w:t xml:space="preserve"> </w:t>
      </w:r>
      <w:r w:rsidRPr="00F450C8">
        <w:rPr>
          <w:rStyle w:val="Style1Char"/>
          <w:color w:val="00B050"/>
          <w:rtl/>
        </w:rPr>
        <w:t xml:space="preserve">כל היוצא למלחמת בית דוד - גט כריתות כותב לאשתו, דכתיב: ואת אחיך תפקד לשלום ואת ערובתם תקח; מאי ואת ערובתם תקח? תני רב יוסף: דברים המעורבין בינו לבינה. אמר אביי, אף אנן נמי תנינא: בתולה נשאת ליום הרביעי; ליום רביעי אין, ליום חמישי לא, מאי טעמא? משום איקרורי דעתא; ולמאי? אי למיתב לה כתובה, ניתיב לה! אלא לאוסרה עליו, ודקא טעין טענה, מאי לאו דקטעין טענת פתח פתוח! </w:t>
      </w:r>
      <w:r w:rsidR="004017A5">
        <w:rPr>
          <w:rStyle w:val="Style1Char"/>
          <w:rFonts w:hint="cs"/>
          <w:rtl/>
        </w:rPr>
        <w:t>(1)</w:t>
      </w:r>
      <w:r w:rsidRPr="00F450C8">
        <w:rPr>
          <w:rStyle w:val="Style1Char"/>
          <w:color w:val="00B050"/>
          <w:rtl/>
        </w:rPr>
        <w:t xml:space="preserve">לא, דקטעין טענת דמים. </w:t>
      </w:r>
      <w:r w:rsidRPr="006103E4">
        <w:rPr>
          <w:rStyle w:val="Style1Char"/>
          <w:color w:val="auto"/>
          <w:sz w:val="22"/>
          <w:szCs w:val="22"/>
          <w:rtl/>
        </w:rPr>
        <w:t>אמר רב יהודה אמר שמואל: האומר פתח פתוח מצאתי - נאמן להפסידה כתובתה.</w:t>
      </w:r>
      <w:r w:rsidRPr="0062768C">
        <w:rPr>
          <w:rStyle w:val="Style1Char"/>
          <w:sz w:val="22"/>
          <w:szCs w:val="22"/>
          <w:rtl/>
        </w:rPr>
        <w:t xml:space="preserve"> </w:t>
      </w:r>
      <w:r w:rsidRPr="00F450C8">
        <w:rPr>
          <w:rStyle w:val="Style1Char"/>
          <w:color w:val="00B050"/>
          <w:rtl/>
        </w:rPr>
        <w:t xml:space="preserve">אמר רב יוסף: מאי קמ"ל? תנינא: האוכל אצל חמיו ביהודה שלא בעדים, אינו יכול לטעון טענת בתולים, מפני שמתייחד עמה; ביהודה הוא דלא מצי טעין, הא בגליל מצי טעין; ולמאי? אי לאוסרה עליו, ביהודה אמאי לא? אלא לאו להפסידה כתובתה, ודקא טעין טענה, מאי לאו דקא טעין טענת פתח פתוח! לא, דקא טעין טענת דמים. </w:t>
      </w:r>
    </w:p>
    <w:p w14:paraId="36555CFA" w14:textId="68641C23" w:rsidR="001B22B3" w:rsidRDefault="001B22B3" w:rsidP="001B22B3">
      <w:pPr>
        <w:pStyle w:val="Style1"/>
        <w:rPr>
          <w:rStyle w:val="Style1Char"/>
          <w:rtl/>
        </w:rPr>
      </w:pPr>
      <w:r>
        <w:rPr>
          <w:rStyle w:val="Style1Char"/>
          <w:rFonts w:hint="cs"/>
          <w:rtl/>
        </w:rPr>
        <w:t>1)[</w:t>
      </w:r>
      <w:r w:rsidRPr="001B22B3">
        <w:rPr>
          <w:rStyle w:val="Style1Char"/>
          <w:rtl/>
        </w:rPr>
        <w:t>רמב</w:t>
      </w:r>
      <w:r w:rsidR="00213DA1">
        <w:rPr>
          <w:rStyle w:val="Style1Char"/>
          <w:rtl/>
        </w:rPr>
        <w:t>”ם \נשים\</w:t>
      </w:r>
      <w:r w:rsidRPr="001B22B3">
        <w:rPr>
          <w:rStyle w:val="Style1Char"/>
          <w:rtl/>
        </w:rPr>
        <w:t xml:space="preserve"> הלכות אישות פרק יא הלכה יב</w:t>
      </w:r>
      <w:r>
        <w:rPr>
          <w:rStyle w:val="Style1Char"/>
          <w:rFonts w:hint="cs"/>
          <w:rtl/>
        </w:rPr>
        <w:t xml:space="preserve">] </w:t>
      </w:r>
      <w:r w:rsidRPr="001B22B3">
        <w:rPr>
          <w:rStyle w:val="Style1Char"/>
          <w:rtl/>
        </w:rPr>
        <w:t>טען ואמר לא מצאתיה בתולה והיא אומרת לא בא עלי ועדיין בתולה אני, בודקין אותה או חוזר ובועל בפני עדים. אמרה בא עלי ובתולה מצאני ככל הבתולות ושקר הוא טוען, שואלין אותו ואומרין לו מה היה הדבר עד שאמרת שאינה בתולה, אם אמר מפני שלא מצאתי דם בודקין במשפחתה שמא אין להם דם כלל לא דם נדה ולא דם בתולים אם נמצאו כולן כן הרי זו בחזקתה, לא נמצאו בני משפחתה כן בודקין אותה שמא חולי גדול יש בה שיבש לחלוחית האיברים או שמא היתה מתענה ברעב, ומרטבין אותה ומאכילין אותה ומשקין אותה עד שתבריא ותבעל שנייה ונראה אם תוציא דם אם לאו, ואם אין שם חולי ולא רעב ולא כיוצא בו הרי זו טענת בתולים, ואף על פי שמצא דוחק בעת התשמיש הואיל ולא יצא דם אין כאן בתולים, שכל בתולה יש לה דם בין קטנה בין נערה בין בוגרת אלא מפני החולי כמו שביארנו. ואם אמר מפני שלא מצאתי דוחק אלא פתח פתוח מצאתי, שואלין על שנותיה שמא בוגרת היא שרוב הבוגרות אין להן דוחק שמרגישין בו הרבה שהרי גדלה ונתרפו איבריה וכלו בתוליה, ואם לא בגרה עדיין אומרין לו שמא הטיתה או בעלת בנחת הרבה ולפיכך לא הרגשת בדוחק, אם אמר לא כי אלא ודאי פתח פתוח היה הרי זו טענת בתולים לכל בתולה שלא בגרה בין קטנה בין נערה בין בריאה בין חולה שכל נערה בתולה פתחה סתום הוא, ואף על פי שיצא הדם הואיל ומצא פתח פתוח אין כאן בתולים.</w:t>
      </w:r>
    </w:p>
    <w:p w14:paraId="726088ED" w14:textId="65E67219" w:rsidR="006C6F8F" w:rsidRDefault="006C6F8F" w:rsidP="006C6F8F">
      <w:pPr>
        <w:pStyle w:val="Style1"/>
        <w:rPr>
          <w:rStyle w:val="Style1Char"/>
          <w:rtl/>
        </w:rPr>
      </w:pPr>
      <w:r>
        <w:rPr>
          <w:rStyle w:val="Style1Char"/>
          <w:rFonts w:hint="cs"/>
          <w:rtl/>
        </w:rPr>
        <w:t>1)[</w:t>
      </w:r>
      <w:r w:rsidRPr="006C6F8F">
        <w:rPr>
          <w:rStyle w:val="Style1Char"/>
          <w:rtl/>
        </w:rPr>
        <w:t>רמב</w:t>
      </w:r>
      <w:r w:rsidR="00213DA1">
        <w:rPr>
          <w:rStyle w:val="Style1Char"/>
          <w:rtl/>
        </w:rPr>
        <w:t>”ם \נשים\</w:t>
      </w:r>
      <w:r w:rsidRPr="006C6F8F">
        <w:rPr>
          <w:rStyle w:val="Style1Char"/>
          <w:rtl/>
        </w:rPr>
        <w:t xml:space="preserve"> הלכות אישות פרק יא הלכה יג</w:t>
      </w:r>
      <w:r>
        <w:rPr>
          <w:rStyle w:val="Style1Char"/>
          <w:rFonts w:hint="cs"/>
          <w:rtl/>
        </w:rPr>
        <w:t xml:space="preserve">] </w:t>
      </w:r>
      <w:r w:rsidRPr="006C6F8F">
        <w:rPr>
          <w:rStyle w:val="Style1Char"/>
          <w:rtl/>
        </w:rPr>
        <w:t>יש גאונים שהורו שהבוגרת אין לה טענת דמים ויש לה טענת פתח פתוח, ואין דרך התלמוד מראה דבר זה וטעות היתה בנוסחאות שלהם, וכבר בדקתי על ספרים רבים וקדמונים ומצאתי שהדבר כמו שביארנו שאין לבוגרת אלא טענת דמים בלבד.</w:t>
      </w:r>
    </w:p>
    <w:p w14:paraId="72790A9C" w14:textId="5584648A" w:rsidR="003672B0" w:rsidRDefault="003672B0" w:rsidP="003672B0">
      <w:pPr>
        <w:pStyle w:val="Style1"/>
        <w:rPr>
          <w:rStyle w:val="Style1Char"/>
          <w:rtl/>
        </w:rPr>
      </w:pPr>
      <w:r>
        <w:rPr>
          <w:rStyle w:val="Style1Char"/>
          <w:rFonts w:hint="cs"/>
          <w:rtl/>
        </w:rPr>
        <w:t>1)[</w:t>
      </w:r>
      <w:r w:rsidRPr="003672B0">
        <w:rPr>
          <w:rStyle w:val="Style1Char"/>
          <w:rtl/>
        </w:rPr>
        <w:t>שולחן ערוך אבן העזר הלכות כתובות סימן סח סעיף ג</w:t>
      </w:r>
      <w:r>
        <w:rPr>
          <w:rStyle w:val="Style1Char"/>
          <w:rFonts w:hint="cs"/>
          <w:rtl/>
        </w:rPr>
        <w:t xml:space="preserve">] </w:t>
      </w:r>
      <w:r w:rsidRPr="003672B0">
        <w:rPr>
          <w:rStyle w:val="Style1Char"/>
          <w:rtl/>
        </w:rPr>
        <w:t>ב' סימנים יש לבתולה, האחד דמים שותתים ממנה בסוף ביאה ראשונה, והשני דוחק שנמצא בה בביאה ראשונה בשעת תשמיש. טענת דמים ישנה בין בקטנה בין בגדולה, אבל טענת פתח פתוח אינה טענה בבוגרת.</w:t>
      </w:r>
    </w:p>
    <w:p w14:paraId="491E89B6" w14:textId="375CFC7B" w:rsidR="004A74D9" w:rsidRPr="004A74D9" w:rsidRDefault="00873C2A" w:rsidP="004A74D9">
      <w:pPr>
        <w:pStyle w:val="Style1"/>
      </w:pPr>
      <w:r>
        <w:rPr>
          <w:rStyle w:val="Style1Char"/>
          <w:rFonts w:hint="cs"/>
          <w:rtl/>
        </w:rPr>
        <w:t>1)[</w:t>
      </w:r>
      <w:r w:rsidRPr="00873C2A">
        <w:rPr>
          <w:rStyle w:val="Style1Char"/>
          <w:rtl/>
        </w:rPr>
        <w:t>שולחן ערוך אבן העזר הלכות כתובות סימן סח סעיף ו</w:t>
      </w:r>
      <w:r>
        <w:rPr>
          <w:rStyle w:val="Style1Char"/>
          <w:rFonts w:hint="cs"/>
          <w:rtl/>
        </w:rPr>
        <w:t>]</w:t>
      </w:r>
      <w:r w:rsidR="004A74D9">
        <w:rPr>
          <w:rStyle w:val="Style1Char"/>
          <w:rFonts w:hint="cs"/>
          <w:rtl/>
        </w:rPr>
        <w:t xml:space="preserve"> </w:t>
      </w:r>
      <w:r w:rsidR="004A74D9" w:rsidRPr="004A74D9">
        <w:rPr>
          <w:rtl/>
        </w:rPr>
        <w:t>טען טענת פתח פתוח, אומרים לו</w:t>
      </w:r>
      <w:r w:rsidR="004A74D9" w:rsidRPr="004A74D9">
        <w:t>: </w:t>
      </w:r>
      <w:r w:rsidR="004A74D9" w:rsidRPr="004A74D9">
        <w:rPr>
          <w:rFonts w:hint="cs"/>
          <w:rtl/>
        </w:rPr>
        <w:t>שמא</w:t>
      </w:r>
      <w:r w:rsidR="004A74D9" w:rsidRPr="004A74D9">
        <w:rPr>
          <w:rtl/>
        </w:rPr>
        <w:t> הטית או לא בעלת בנחת, ולפיכך לא הרגשת בדחק. אם אמר: לא כי, אלא פתח פתוח מצאתי, הרי זו טענה אם לא בגרה עדיין. ויש אומרים שאפילו לא בגרה, אינו יכול לטעון טענת פתח פתוח אם מצא דם</w:t>
      </w:r>
      <w:r w:rsidR="004A74D9" w:rsidRPr="004A74D9">
        <w:t>.</w:t>
      </w:r>
    </w:p>
    <w:p w14:paraId="3395E7FE" w14:textId="77777777" w:rsidR="004A74D9" w:rsidRPr="004A74D9" w:rsidRDefault="004A74D9" w:rsidP="004A74D9">
      <w:pPr>
        <w:pStyle w:val="Style1"/>
      </w:pPr>
      <w:r w:rsidRPr="004A74D9">
        <w:rPr>
          <w:rFonts w:hint="cs"/>
          <w:rtl/>
        </w:rPr>
        <w:t>יש אומרים דטענת פתח פתוח לא יוכל לטעון רק נשוי, אבל בחור לא, ואדרבה, מלקין אותו כשטוען כך, דמאחר שלא היה נשוי מתחלה אינו בקי בכך (טור)</w:t>
      </w:r>
      <w:r w:rsidRPr="004A74D9">
        <w:t>:</w:t>
      </w:r>
    </w:p>
    <w:p w14:paraId="3F9CF078" w14:textId="77777777" w:rsidR="004A74D9" w:rsidRPr="004A74D9" w:rsidRDefault="004A74D9" w:rsidP="004A74D9">
      <w:pPr>
        <w:pStyle w:val="Style1"/>
        <w:rPr>
          <w:rStyle w:val="Style1Char"/>
        </w:rPr>
      </w:pPr>
    </w:p>
    <w:p w14:paraId="5311D587" w14:textId="29FC967C" w:rsidR="00873C2A" w:rsidRPr="001B22B3" w:rsidRDefault="00873C2A" w:rsidP="00873C2A">
      <w:pPr>
        <w:pStyle w:val="Style1"/>
        <w:rPr>
          <w:rStyle w:val="Style1Char"/>
          <w:rtl/>
        </w:rPr>
      </w:pPr>
    </w:p>
    <w:p w14:paraId="626C2300" w14:textId="77777777" w:rsidR="00BA7798" w:rsidRPr="00BA7798" w:rsidRDefault="00BA7798" w:rsidP="00BA7798">
      <w:pPr>
        <w:bidi/>
        <w:rPr>
          <w:rStyle w:val="Style1Char"/>
          <w:color w:val="00B050"/>
          <w:rtl/>
        </w:rPr>
      </w:pPr>
    </w:p>
    <w:p w14:paraId="7D611C47" w14:textId="77777777" w:rsidR="00F450C8" w:rsidRDefault="00F450C8">
      <w:pPr>
        <w:rPr>
          <w:rStyle w:val="Style1Char"/>
          <w:color w:val="00B050"/>
          <w:rtl/>
        </w:rPr>
      </w:pPr>
      <w:r>
        <w:rPr>
          <w:rStyle w:val="Style1Char"/>
          <w:color w:val="00B050"/>
          <w:rtl/>
        </w:rPr>
        <w:br w:type="page"/>
      </w:r>
    </w:p>
    <w:p w14:paraId="4A733026" w14:textId="78A9105E" w:rsidR="00BC34E6" w:rsidRDefault="00F450C8" w:rsidP="00BC34E6">
      <w:pPr>
        <w:bidi/>
        <w:rPr>
          <w:rStyle w:val="Style1Char"/>
          <w:color w:val="806000" w:themeColor="accent4" w:themeShade="80"/>
          <w:rtl/>
        </w:rPr>
      </w:pPr>
      <w:r w:rsidRPr="00EC7670">
        <w:rPr>
          <w:rStyle w:val="Style1Char"/>
          <w:color w:val="auto"/>
          <w:sz w:val="22"/>
          <w:szCs w:val="22"/>
          <w:highlight w:val="yellow"/>
          <w:rtl/>
        </w:rPr>
        <w:lastRenderedPageBreak/>
        <w:t>[דף י עמוד א]</w:t>
      </w:r>
      <w:r w:rsidRPr="00EC7670">
        <w:rPr>
          <w:rStyle w:val="Style1Char"/>
          <w:color w:val="auto"/>
          <w:sz w:val="22"/>
          <w:szCs w:val="22"/>
          <w:rtl/>
        </w:rPr>
        <w:t xml:space="preserve"> </w:t>
      </w:r>
      <w:r w:rsidRPr="00F450C8">
        <w:rPr>
          <w:rStyle w:val="Style1Char"/>
          <w:color w:val="00B050"/>
          <w:rtl/>
        </w:rPr>
        <w:t xml:space="preserve">איתמר </w:t>
      </w:r>
      <w:r w:rsidRPr="00EC7670">
        <w:rPr>
          <w:rStyle w:val="Style1Char"/>
          <w:color w:val="auto"/>
          <w:sz w:val="22"/>
          <w:szCs w:val="22"/>
          <w:rtl/>
        </w:rPr>
        <w:t xml:space="preserve">אמר רב נחמן אמר שמואל משום רבי שמעון בן אלעזר: </w:t>
      </w:r>
      <w:r w:rsidR="00F532F9">
        <w:rPr>
          <w:rStyle w:val="Style1Char"/>
          <w:rFonts w:hint="cs"/>
          <w:rtl/>
        </w:rPr>
        <w:t>(1)</w:t>
      </w:r>
      <w:r w:rsidRPr="00EC7670">
        <w:rPr>
          <w:rStyle w:val="Style1Char"/>
          <w:color w:val="auto"/>
          <w:sz w:val="22"/>
          <w:szCs w:val="22"/>
          <w:rtl/>
        </w:rPr>
        <w:t>חכמים תקנו להם לבנות ישראל לבתולה מאתים, ולאלמנה מנה, והם האמינוהו שאם אמר פתח פתוח מצאתי - נאמן. א"כ, מה הועילו חכמים בתקנתם? אמר רבא: חזקה אין אדם טורח בסעודה ומפסידה</w:t>
      </w:r>
      <w:r w:rsidR="005A41D0" w:rsidRPr="005A41D0">
        <w:rPr>
          <w:rStyle w:val="Style1Char"/>
          <w:color w:val="4472C4" w:themeColor="accent1"/>
          <w:rtl/>
        </w:rPr>
        <w:t xml:space="preserve"> </w:t>
      </w:r>
      <w:r w:rsidR="005A41D0" w:rsidRPr="00A755B9">
        <w:rPr>
          <w:rStyle w:val="Style1Char"/>
          <w:color w:val="4472C4" w:themeColor="accent1"/>
          <w:rtl/>
        </w:rPr>
        <w:t>הכא ודאי מיירי במכחישתו או בשותקת אבל אם אמרה ודאי פתחה היה פתוח ונאנסה תחתיו בהא מהימנא כר"ג לקמן</w:t>
      </w:r>
      <w:r w:rsidR="005A41D0">
        <w:rPr>
          <w:rStyle w:val="Style1Char"/>
          <w:rFonts w:hint="cs"/>
          <w:color w:val="4472C4" w:themeColor="accent1"/>
        </w:rPr>
        <w:t>‍‍</w:t>
      </w:r>
      <w:r w:rsidR="005A41D0" w:rsidRPr="00A755B9">
        <w:rPr>
          <w:rStyle w:val="Style1Char"/>
          <w:color w:val="4472C4" w:themeColor="accent1"/>
          <w:rtl/>
        </w:rPr>
        <w:t xml:space="preserve"> ואין להאמין בטענת בתולה הייתי במיגו דנאנסתי דאין זה מיגו דלא בעי למיפסל נפשה לכהונה ואין נאמנת במיגו דמוכת עץ</w:t>
      </w:r>
      <w:r w:rsidR="005A41D0">
        <w:rPr>
          <w:rStyle w:val="Style1Char"/>
          <w:rFonts w:hint="cs"/>
          <w:color w:val="4472C4" w:themeColor="accent1"/>
        </w:rPr>
        <w:t>‍</w:t>
      </w:r>
      <w:r w:rsidR="005A41D0" w:rsidRPr="00A755B9">
        <w:rPr>
          <w:rStyle w:val="Style1Char"/>
          <w:color w:val="4472C4" w:themeColor="accent1"/>
          <w:rtl/>
        </w:rPr>
        <w:t xml:space="preserve"> דמוכת עץ לא שכיח א"נ לא אמרינן מיגו לאפוקי ממונא ולפירוש ר"ח ניחא דמוכת עץ אין פתחה פתוח.</w:t>
      </w:r>
      <w:r w:rsidRPr="00F450C8">
        <w:rPr>
          <w:rStyle w:val="Style1Char"/>
          <w:color w:val="00B050"/>
          <w:rtl/>
        </w:rPr>
        <w:t xml:space="preserve">. </w:t>
      </w:r>
      <w:r w:rsidR="00240E37" w:rsidRPr="005A41D0">
        <w:rPr>
          <w:rStyle w:val="Style1Char"/>
          <w:color w:val="806000" w:themeColor="accent4" w:themeShade="80"/>
          <w:rtl/>
        </w:rPr>
        <w:t xml:space="preserve">וחזינן לגאון דקאמר הנ"מ לענין מנה מאתים אבל לענין תוספת לא מהימן וטעמא דמסתבר הוא דלא תקינו רבנן אלא מנה מאתים אבל תוספת איהו כתב אנפשיה הילכך לא מהימן </w:t>
      </w:r>
    </w:p>
    <w:p w14:paraId="780917C5" w14:textId="6747D996" w:rsidR="00BC34E6" w:rsidRPr="00A755B9" w:rsidRDefault="00BC34E6" w:rsidP="00BC34E6">
      <w:pPr>
        <w:bidi/>
        <w:rPr>
          <w:rStyle w:val="Style1Char"/>
          <w:color w:val="4472C4" w:themeColor="accent1"/>
        </w:rPr>
      </w:pPr>
      <w:r w:rsidRPr="00A755B9">
        <w:rPr>
          <w:rStyle w:val="Style1Char"/>
          <w:color w:val="4472C4" w:themeColor="accent1"/>
          <w:rtl/>
        </w:rPr>
        <w:t>איני כחולק על דברי גאון אבל מתוך הסברא נראה דמהימן גם לענין תוספת דדבר ידוע דלשם חיבת חופה וביאה הוסיף לה וכי היכי דאמרינן לענין מנה ומאתים חזקה אין אדם טורח בסעודה ומפסידה ואם היה שונאה היה מגרשה ולא היה טורח בסעודה אף על פי שמרויח בטורח הסעודה פטור ממאתים של כתובה גם לענין תוספת שאינו מוסיף לה אלא בשעת חופה היאך נאמר שבשעת חופה כתב לה ולמחר בבוקר נתחרט ומגרשה אלא ודאי טענתו אמת</w:t>
      </w:r>
      <w:r>
        <w:rPr>
          <w:rStyle w:val="Style1Char"/>
          <w:rFonts w:hint="cs"/>
          <w:color w:val="4472C4" w:themeColor="accent1"/>
        </w:rPr>
        <w:t>‍‍‍</w:t>
      </w:r>
      <w:r w:rsidRPr="00A755B9">
        <w:rPr>
          <w:rStyle w:val="Style1Char"/>
          <w:color w:val="4472C4" w:themeColor="accent1"/>
          <w:rtl/>
        </w:rPr>
        <w:t xml:space="preserve"> ולהכי מגרשה ואדעתא דהכי לא הוסיף לה והאי דנאמן להפסידה היינו כשערער מיד אחר בעילה ראשונה אבל אם שתק ואח"כ ערער לא מהימן כדאיתא בירושלמי (ה"ד) טענת בתולים עד ל' יום דברי ר"מ ר' יוסי אומר נסתרה מיד לא נסתרה אפי' לאחר שלשים יום ואף על גב דביבמות פרק בית שמאי (דף קיא ב) מייתי הך ברייתא אהא דקאמר עד תלתין יומי מוקי איניש אנפשיה וקאמר דר"מ הוא דאמר טענת בתולים כל ל' יום אבל ר' יוסי סבר דלא מוקי אנפשיה ואם אמר לא בעלתי מיד ואחר ג' ימים או ארבעה בעלתי ולא מצאתי בתולים לא מהימן מכ"ש שמעינן דאם בעל ולא ערער ואחר זמן ערער דלא מהימן דהא דלא מהימן כשאמר לא בעלתי מיד אלא לאחר זמן היינו משום דאמרינן דלא מוקי איניש אנפשיה ושקורי משקר אלא בעל ומצא בתולים ואח"כ נהפך לבו לשנאותה ואמר שלא בעל עד עתה כדי שיאמינו לו</w:t>
      </w:r>
      <w:r w:rsidRPr="00A755B9">
        <w:rPr>
          <w:rStyle w:val="Style1Char"/>
          <w:color w:val="4472C4" w:themeColor="accent1"/>
        </w:rPr>
        <w:t xml:space="preserve">: </w:t>
      </w:r>
    </w:p>
    <w:p w14:paraId="32BC17EE" w14:textId="7AD73CB3" w:rsidR="00247D11" w:rsidRDefault="00F450C8" w:rsidP="00F450C8">
      <w:pPr>
        <w:bidi/>
        <w:rPr>
          <w:rStyle w:val="Style1Char"/>
          <w:color w:val="00B050"/>
          <w:rtl/>
        </w:rPr>
      </w:pPr>
      <w:r w:rsidRPr="00F450C8">
        <w:rPr>
          <w:rStyle w:val="Style1Char"/>
          <w:color w:val="00B050"/>
          <w:rtl/>
        </w:rPr>
        <w:t xml:space="preserve">תנא: הואיל וקנס חכמים הוא, לא תגבה אלא מן הזיבורית. קנסא - מאי קנסא? אלא אימא: </w:t>
      </w:r>
      <w:r w:rsidR="009358B7">
        <w:rPr>
          <w:rStyle w:val="Style1Char"/>
          <w:rFonts w:hint="cs"/>
          <w:rtl/>
        </w:rPr>
        <w:t>(2)</w:t>
      </w:r>
      <w:r w:rsidRPr="00F450C8">
        <w:rPr>
          <w:rStyle w:val="Style1Char"/>
          <w:color w:val="00B050"/>
          <w:rtl/>
        </w:rPr>
        <w:t xml:space="preserve">הואיל ותקנת חכמים הוא, לא תגבה אלא מן הזיבורית. רבן שמעון בן גמליאל אומר: כתובת אשה מן התורה. ומי אמר רבן שמעון בן גמליאל הכי? והתניא: כסף ישקול כמוהר הבתולות - שיהא זה כמוהר הבתולות ומוהר הבתולות כזה, </w:t>
      </w:r>
      <w:r w:rsidR="00D24239">
        <w:rPr>
          <w:rStyle w:val="Style1Char"/>
          <w:rFonts w:hint="cs"/>
          <w:rtl/>
        </w:rPr>
        <w:t>(3)</w:t>
      </w:r>
      <w:r w:rsidRPr="00F450C8">
        <w:rPr>
          <w:rStyle w:val="Style1Char"/>
          <w:color w:val="00B050"/>
          <w:rtl/>
        </w:rPr>
        <w:t>מכאן סמכו חכמים לכתובת אשה מן התורה; רבן שמעון בן גמליאל אומר: כתובת אשה - אינה מדברי תורה אלא מדברי סופרים! איפוך. ומאי חזית דאפכת בתרייתא? איפוך קמייתא! הא שמעינא ליה לרבן שמעון בן גמליאל דאמר: כתובת אשה מדאורייתא; דתנן, רבן שמעון בן גמליאל אומר: נותן לה ממעות קפוטקיא. ואי בעית אימא: כולה רבן שמעון בן גמליאל היא, וחסורי מיחסרא והכי קתני: מכאן סמכו חכמים לכתובת אשה מן התורה, כתובת אלמנה - אינה מדברי תורה אלא מדברי סופרים, שרבן שמעון בן גמליאל אומר: כתובת אלמנה - אינה מדברי תורה אלא מדברי סופרים.</w:t>
      </w:r>
    </w:p>
    <w:p w14:paraId="2942160F" w14:textId="263D329C" w:rsidR="00247D11" w:rsidRDefault="00247D11" w:rsidP="002769AA">
      <w:pPr>
        <w:bidi/>
        <w:rPr>
          <w:rStyle w:val="Style1Char"/>
          <w:color w:val="00B050"/>
          <w:rtl/>
        </w:rPr>
      </w:pPr>
      <w:r w:rsidRPr="00A755B9">
        <w:rPr>
          <w:rStyle w:val="Style1Char"/>
          <w:color w:val="4472C4" w:themeColor="accent1"/>
          <w:rtl/>
        </w:rPr>
        <w:t xml:space="preserve">מדקאמר חכמים תקנו לבנות ישראל מאתים משמע דכתובה דרבנן דקי"ל כרב נחמן בדיני וכן משמע ביבמות פרק האשה רבה (דף פט א) דקאמר האשה שהלך בעלה למדה"י ואמרו לה מת בעליך ונשאת ואח"כ בא בעלה דאין לה כתובה מזה ומזה ומפרש התם טעמא מאי תקינו רבנן כתובה שלא תהא קלה בעיניו להוציאה וכו' אלמא דסתמא דהש"ס קסבר דכתובה דרבנן וכן סתם מתני' לקמן פרק נערה (דף נא א) לא כתב לה כתובה בתולה גובה מאתים ואלמנה מנה מפני שהוא תנאי ב"ד וגם מדגביא מן הזיבורית אלמא מדרבנן היא ותימה על מה שנהגו לכתוב בכתובות באשכנז ובצרפת כסף זוזי מאתן דחזי ליכי מדאורייתא. אומר ר"ת ז"ל דסמכינן אדרשב"ג דאמר בפרק בתרא דמכילתין (דף קי ב) נשא אשה בקפוטקיא וגירשה בא"י נותן לה מעות קפוטקיא ומפרש בגמ' משום דקסבר כתובה דאורייתא היא וקי"ל כ"מ ששנה רשב"ג במשנתנו הלכה כמותו. </w:t>
      </w:r>
      <w:r>
        <w:rPr>
          <w:rStyle w:val="Style1Char"/>
          <w:rFonts w:hint="cs"/>
          <w:color w:val="4472C4" w:themeColor="accent1"/>
        </w:rPr>
        <w:t>‍</w:t>
      </w:r>
      <w:r w:rsidRPr="00A755B9">
        <w:rPr>
          <w:rStyle w:val="Style1Char"/>
          <w:color w:val="4472C4" w:themeColor="accent1"/>
          <w:rtl/>
        </w:rPr>
        <w:t>ועוד הביא ראיה דלקמן פרק אלו נערות (דף מ א) קאמר ר"א יתומה שנתארסה ונתגרשה יש לה קנס וקאמר רבה בב"ח אר"י ר"א בשיטת רבי עקיבא רבו אמרה ומסיק רב התם הלכה כר"א וכיון דס"ל כר"ע א"כ דרש כר"ע אשר לא אורשה לג"ש למילף אונס ממפתה ומפתה מאונס ורבי יוסי הגלילי דפליג אדר' עקיבא מקיש אונס למפתה מכמוהר הבתולות וא"כ צריכין לומר דר"ע הוה דריש כמוהר הבתולות לכדדריש ליה הכא ברייתא לכתובת אשה</w:t>
      </w:r>
      <w:r>
        <w:rPr>
          <w:rStyle w:val="Style1Char"/>
          <w:rFonts w:hint="cs"/>
          <w:color w:val="4472C4" w:themeColor="accent1"/>
        </w:rPr>
        <w:t>‍</w:t>
      </w:r>
      <w:r w:rsidRPr="00A755B9">
        <w:rPr>
          <w:rStyle w:val="Style1Char"/>
          <w:color w:val="4472C4" w:themeColor="accent1"/>
          <w:rtl/>
        </w:rPr>
        <w:t xml:space="preserve"> ומיהו למה שפרש"י דדריש הכא מלישנא דכמוהר הבתולות</w:t>
      </w:r>
      <w:r>
        <w:rPr>
          <w:rStyle w:val="Style1Char"/>
          <w:rFonts w:hint="cs"/>
          <w:color w:val="4472C4" w:themeColor="accent1"/>
        </w:rPr>
        <w:t>‍</w:t>
      </w:r>
      <w:r w:rsidRPr="00A755B9">
        <w:rPr>
          <w:rStyle w:val="Style1Char"/>
          <w:color w:val="4472C4" w:themeColor="accent1"/>
          <w:rtl/>
        </w:rPr>
        <w:t xml:space="preserve"> א"כ ליכא לאוכוחי מידי דר"ע ור"י הגלילי לא איירו למידרש לישנא דמוהר אבל לא נהירא האי פירושא למידרש כתובה דאורייתא מלישנא דמוהר אלא נראה לפרש כן שיהא זה כמוהר הבתולות דהיינו כתובת האשה ונראה כאילו בא ללמד מכתובת אשה ונמצא כתובת אשה למד מכאן מה כאן חמשים דילפינן מג"ש אשר לא אורשה אף כתובה חמשים ותימה</w:t>
      </w:r>
      <w:r w:rsidR="00800B90">
        <w:rPr>
          <w:rStyle w:val="Style1Char"/>
          <w:rFonts w:hint="cs"/>
          <w:color w:val="4472C4" w:themeColor="accent1"/>
          <w:rtl/>
        </w:rPr>
        <w:t xml:space="preserve"> </w:t>
      </w:r>
      <w:r w:rsidRPr="00A755B9">
        <w:rPr>
          <w:rStyle w:val="Style1Char"/>
          <w:color w:val="4472C4" w:themeColor="accent1"/>
          <w:rtl/>
        </w:rPr>
        <w:t>מ"מ קשה הילכתא אהילכתא דקי"ל הילכתא כר"נ בדיני וי"ל דלית הילכתא הכא כר"נ דאשכחן רב אשי דהוא בתראה ולא סבירא ליה כוותיה דמתרץ לקמן בברייתא (דף יב א) כל שלא מושמש אינו יכול לטעון טענת בתולים משום דחיישינן שהוא מכחיש ולא אמרינן חזקה אין אדם טורח בסעודה ומפסידה והא דאמרינן בפרק האשה מאי טעמא תקינו רבנן כתובה וכו' ה"פ מ"ט תקינו רבנן כתובה היכא דתקינו כגון באלמנה שלא תהא קלה בעיניו להוציאה. ור"ח ז"ל פירש דקי"ל כרב נחמן דאמר כתובת אשה דרבנן ואף על גב דאמרו כ"מ ששנה רשב"ג במשנתנו הלכה כמותו הכא לית הילכתא כוותיה דאמרינן בפ' בתרא (דף קי א) לאפוקי מדרשב"ג ולאו ראיה היא דטובא אשכחן בהש"ס לאפוקי וקי"ל הילכתא הכי. בגיטין (דף פה ב) לאפוקי מדרבי יוסי דאמר זמנו של שטר מוכיח</w:t>
      </w:r>
      <w:r>
        <w:rPr>
          <w:rStyle w:val="Style1Char"/>
          <w:rFonts w:hint="cs"/>
          <w:color w:val="4472C4" w:themeColor="accent1"/>
        </w:rPr>
        <w:t>‍</w:t>
      </w:r>
      <w:r w:rsidRPr="00A755B9">
        <w:rPr>
          <w:rStyle w:val="Style1Char"/>
          <w:color w:val="4472C4" w:themeColor="accent1"/>
          <w:rtl/>
        </w:rPr>
        <w:t xml:space="preserve"> ובפרק הזהב יש הרבה כאלו. ועוד הא דלקמן ברייתא היא ואי ברייתא פליגא עליה אין זו הוכחה שלא יהא הלכה כמותו. כל הגאונים הסכימו דכתובת אשה מדרבנן וגובין לה חמשין כסף סלע מדינה שמינית של סלע צורי וראיתי מפרשים דאפילו הרגילו לכתוב דחזו ליכי מדאורייתא מודו דכתובת אשה דרבנן וחכמים תקנו חמשים כסף מדאורייתא פירוש משקלים האמורים בתורה משום שלא תהא קלה בעיניו להוציאה ואסמכוה אקרא דכמוהר הבתולות משום הכי נהיגי למיכתב דחזו ליכי מדאורייתא שלא יטעה אדם לומר כיון דמדרבנן היא לא תגבה אלא נ' סלע מדינה ודברים של טעם הם</w:t>
      </w:r>
      <w:r>
        <w:rPr>
          <w:rStyle w:val="Style1Char"/>
          <w:rFonts w:hint="cs"/>
          <w:color w:val="4472C4" w:themeColor="accent1"/>
        </w:rPr>
        <w:t>‍</w:t>
      </w:r>
      <w:r w:rsidRPr="00A755B9">
        <w:rPr>
          <w:rStyle w:val="Style1Char"/>
          <w:color w:val="4472C4" w:themeColor="accent1"/>
          <w:rtl/>
        </w:rPr>
        <w:t xml:space="preserve"> והכותב כסף זוזי מאתן דחזי ליכי לא הפסיד</w:t>
      </w:r>
      <w:r w:rsidRPr="00A755B9">
        <w:rPr>
          <w:rStyle w:val="Style1Char"/>
          <w:color w:val="4472C4" w:themeColor="accent1"/>
        </w:rPr>
        <w:t xml:space="preserve">: </w:t>
      </w:r>
    </w:p>
    <w:p w14:paraId="2941C617" w14:textId="66BFE55E" w:rsidR="00EC7670" w:rsidRPr="00EC7670" w:rsidRDefault="00F450C8" w:rsidP="00402283">
      <w:pPr>
        <w:bidi/>
        <w:rPr>
          <w:rStyle w:val="Style1Char"/>
          <w:color w:val="00B050"/>
          <w:rtl/>
        </w:rPr>
      </w:pPr>
      <w:r w:rsidRPr="00F541BD">
        <w:rPr>
          <w:rStyle w:val="Style1Char"/>
          <w:color w:val="auto"/>
          <w:rtl/>
        </w:rPr>
        <w:t xml:space="preserve"> </w:t>
      </w:r>
      <w:r w:rsidRPr="00F541BD">
        <w:rPr>
          <w:rStyle w:val="Style1Char"/>
          <w:color w:val="auto"/>
          <w:sz w:val="22"/>
          <w:szCs w:val="22"/>
          <w:rtl/>
        </w:rPr>
        <w:t xml:space="preserve">ההוא דאתא לקמיה דרב נחמן, אמר ליה: פתח פתוח מצאתי, אמר ליה רב נחמן: אסבוהו כופרי, מברכתא חביטא ליה. והא רב נחמן הוא דאמר: מהימן! </w:t>
      </w:r>
      <w:r w:rsidR="00FA7520" w:rsidRPr="00A755B9">
        <w:rPr>
          <w:rStyle w:val="Style1Char"/>
          <w:color w:val="4472C4" w:themeColor="accent1"/>
          <w:rtl/>
        </w:rPr>
        <w:t xml:space="preserve">המקשה הבין דברי רב נחמן דהכי קאמר להו הלקוהו לפי שמוציא ש"ר על בנות ישראל שהרי משקר וכי הזונות חבוטות לפניו שהוא בקי בפתח פתוח הילכך לא מהימן ופריך והא רב נחמן הוא דאמר מהימן ומשני </w:t>
      </w:r>
      <w:r w:rsidRPr="00F541BD">
        <w:rPr>
          <w:rStyle w:val="Style1Char"/>
          <w:color w:val="auto"/>
          <w:sz w:val="22"/>
          <w:szCs w:val="22"/>
          <w:rtl/>
        </w:rPr>
        <w:t>מהימן, ומסבינן ליה כופרי</w:t>
      </w:r>
      <w:r w:rsidR="00FA7520" w:rsidRPr="00FA7520">
        <w:rPr>
          <w:rStyle w:val="Style1Char"/>
          <w:color w:val="4472C4" w:themeColor="accent1"/>
          <w:rtl/>
        </w:rPr>
        <w:t xml:space="preserve"> </w:t>
      </w:r>
      <w:r w:rsidR="00FA7520" w:rsidRPr="00A755B9">
        <w:rPr>
          <w:rStyle w:val="Style1Char"/>
          <w:color w:val="4472C4" w:themeColor="accent1"/>
          <w:rtl/>
        </w:rPr>
        <w:t>והא דמסבינן ליה כופרי לאו משום דלא מהימן אלא שראוי להלקותו לפי שחשוד על העריות</w:t>
      </w:r>
      <w:r w:rsidRPr="00F541BD">
        <w:rPr>
          <w:rStyle w:val="Style1Char"/>
          <w:color w:val="auto"/>
          <w:sz w:val="22"/>
          <w:szCs w:val="22"/>
          <w:rtl/>
        </w:rPr>
        <w:t>.</w:t>
      </w:r>
      <w:r w:rsidRPr="00F541BD">
        <w:rPr>
          <w:rStyle w:val="Style1Char"/>
          <w:color w:val="auto"/>
          <w:rtl/>
        </w:rPr>
        <w:t xml:space="preserve"> </w:t>
      </w:r>
      <w:r w:rsidRPr="00F541BD">
        <w:rPr>
          <w:rStyle w:val="Style1Char"/>
          <w:color w:val="auto"/>
          <w:sz w:val="22"/>
          <w:szCs w:val="22"/>
          <w:rtl/>
        </w:rPr>
        <w:t xml:space="preserve">רב אחאי משני: </w:t>
      </w:r>
      <w:r w:rsidR="001B1C6F" w:rsidRPr="00A755B9">
        <w:rPr>
          <w:rStyle w:val="Style1Char"/>
          <w:color w:val="4472C4" w:themeColor="accent1"/>
          <w:rtl/>
        </w:rPr>
        <w:t xml:space="preserve">מעיקרא דלא מהימן ואיירי בבחור. </w:t>
      </w:r>
      <w:r w:rsidR="00806060">
        <w:rPr>
          <w:rStyle w:val="Style1Char"/>
          <w:rFonts w:hint="cs"/>
          <w:rtl/>
        </w:rPr>
        <w:t>(4)</w:t>
      </w:r>
      <w:r w:rsidRPr="001B1C6F">
        <w:rPr>
          <w:rStyle w:val="Style1Char"/>
          <w:sz w:val="22"/>
          <w:szCs w:val="22"/>
          <w:rtl/>
        </w:rPr>
        <w:t>כאן בבחור, כאן בנשוי</w:t>
      </w:r>
      <w:r w:rsidR="00A720CB" w:rsidRPr="001B1C6F">
        <w:rPr>
          <w:rStyle w:val="Style1Char"/>
          <w:rtl/>
        </w:rPr>
        <w:t xml:space="preserve"> </w:t>
      </w:r>
      <w:r w:rsidR="00A720CB" w:rsidRPr="00F9692B">
        <w:rPr>
          <w:rStyle w:val="Style1Char"/>
          <w:color w:val="C00000"/>
          <w:sz w:val="22"/>
          <w:szCs w:val="22"/>
          <w:rtl/>
        </w:rPr>
        <w:t>בחור לא גמיר נשוי גמיר</w:t>
      </w:r>
      <w:r w:rsidRPr="00F450C8">
        <w:rPr>
          <w:rStyle w:val="Style1Char"/>
          <w:color w:val="00B050"/>
          <w:rtl/>
        </w:rPr>
        <w:t xml:space="preserve">. </w:t>
      </w:r>
      <w:r w:rsidR="00F9692B" w:rsidRPr="00A755B9">
        <w:rPr>
          <w:rStyle w:val="Style1Char"/>
          <w:color w:val="4472C4" w:themeColor="accent1"/>
          <w:rtl/>
        </w:rPr>
        <w:t>וי"מ אסבוהו כופרי אף על פי שהוא נאמן חשוד על העריות מיהא הוי והא רב נחמן דאמר נאמן ולא אמר שיש להלקותו ומשני מהימן ומסבינן כופרי וכו' ורב נחמן לא איירי במלקות רב אחא אמר לעולם הא דאמר רב נחמן נאמן היינו בלא מלקות ובנשוי אבל בחור מהימן ומלקין ליה. ורב אלפס ז"ל כתב בחור לא גמיר נשוי גמיר</w:t>
      </w:r>
      <w:r w:rsidR="00F9692B">
        <w:rPr>
          <w:rStyle w:val="Style1Char"/>
          <w:rFonts w:hint="cs"/>
          <w:color w:val="4472C4" w:themeColor="accent1"/>
        </w:rPr>
        <w:t>‍</w:t>
      </w:r>
      <w:r w:rsidR="00F9692B" w:rsidRPr="00A755B9">
        <w:rPr>
          <w:rStyle w:val="Style1Char"/>
          <w:color w:val="4472C4" w:themeColor="accent1"/>
          <w:rtl/>
        </w:rPr>
        <w:t xml:space="preserve"> והיינו כפי' קמא וכן מסתבר דרב נחמן צוה להלקותו משום דלא קים ליה והוא מוציא ש"ר על בנות ישראל אבל לא מיקרי חשוד על העריות להלקותו</w:t>
      </w:r>
      <w:r w:rsidR="00F9692B">
        <w:rPr>
          <w:rStyle w:val="Style1Char"/>
          <w:rFonts w:hint="cs"/>
          <w:color w:val="4472C4" w:themeColor="accent1"/>
        </w:rPr>
        <w:t>‍</w:t>
      </w:r>
      <w:r w:rsidR="00F9692B" w:rsidRPr="00A755B9">
        <w:rPr>
          <w:rStyle w:val="Style1Char"/>
          <w:color w:val="4472C4" w:themeColor="accent1"/>
          <w:rtl/>
        </w:rPr>
        <w:t xml:space="preserve"> דשמא קים ליה מתוך השמועה וכן פירש"י. </w:t>
      </w:r>
      <w:r w:rsidRPr="00402283">
        <w:rPr>
          <w:rStyle w:val="Style1Char"/>
          <w:color w:val="auto"/>
          <w:sz w:val="22"/>
          <w:szCs w:val="22"/>
          <w:rtl/>
        </w:rPr>
        <w:t xml:space="preserve">ההוא דאתא לקמיה דרבן גמליאל, אמר ליה: פתח פתוח מצאתי, אמר ליה: </w:t>
      </w:r>
      <w:r w:rsidR="009D446F">
        <w:rPr>
          <w:rStyle w:val="Style1Char"/>
          <w:rFonts w:hint="cs"/>
          <w:rtl/>
        </w:rPr>
        <w:t>(4, 5)</w:t>
      </w:r>
      <w:r w:rsidRPr="00402283">
        <w:rPr>
          <w:rStyle w:val="Style1Char"/>
          <w:color w:val="auto"/>
          <w:sz w:val="22"/>
          <w:szCs w:val="22"/>
          <w:rtl/>
        </w:rPr>
        <w:t>שמא הטיתה? אמשול לך משל, למה הדבר דומה? לאדם שהיה מהלך באישון לילה ואפילה, היטה מצאו פתוח, לא היטה מצאו נעול</w:t>
      </w:r>
      <w:r w:rsidRPr="00402283">
        <w:rPr>
          <w:rStyle w:val="Style1Char"/>
          <w:color w:val="auto"/>
          <w:rtl/>
        </w:rPr>
        <w:t xml:space="preserve">. </w:t>
      </w:r>
      <w:r w:rsidR="00402283" w:rsidRPr="00A755B9">
        <w:rPr>
          <w:rStyle w:val="Style1Char"/>
          <w:color w:val="4472C4" w:themeColor="accent1"/>
          <w:rtl/>
        </w:rPr>
        <w:t>ר"ג פתח פתח ליה אולי ילמוד מתוך דבריו וירגיש דלא קים ליה בפתח פתוח לכך אמר לו בלשון שמא וכן עשה להתירה לו</w:t>
      </w:r>
      <w:r w:rsidR="00402283">
        <w:rPr>
          <w:rStyle w:val="Style1Char"/>
          <w:rFonts w:hint="cs"/>
          <w:color w:val="4472C4" w:themeColor="accent1"/>
        </w:rPr>
        <w:t>‍</w:t>
      </w:r>
      <w:r w:rsidR="00402283" w:rsidRPr="00A755B9">
        <w:rPr>
          <w:rStyle w:val="Style1Char"/>
          <w:color w:val="4472C4" w:themeColor="accent1"/>
          <w:rtl/>
        </w:rPr>
        <w:t xml:space="preserve"> אבל אם היה משיב לו יודע אני שלא הטיתי ובודאי פתוח מצאתי היה אוסרה לו</w:t>
      </w:r>
    </w:p>
    <w:p w14:paraId="34977C47" w14:textId="207A03AC" w:rsidR="00402283" w:rsidRPr="00A755B9" w:rsidRDefault="00F450C8" w:rsidP="00402283">
      <w:pPr>
        <w:bidi/>
        <w:rPr>
          <w:rStyle w:val="Style1Char"/>
          <w:color w:val="4472C4" w:themeColor="accent1"/>
        </w:rPr>
      </w:pPr>
      <w:r w:rsidRPr="00402283">
        <w:rPr>
          <w:rStyle w:val="Style1Char"/>
          <w:color w:val="ED7D31" w:themeColor="accent2"/>
          <w:sz w:val="22"/>
          <w:szCs w:val="22"/>
          <w:rtl/>
        </w:rPr>
        <w:t xml:space="preserve">איכא דאמרי, הכי אמר ליה: </w:t>
      </w:r>
      <w:r w:rsidR="00DA0694">
        <w:rPr>
          <w:rStyle w:val="Style1Char"/>
          <w:rFonts w:hint="cs"/>
          <w:rtl/>
        </w:rPr>
        <w:t>(4, 5)</w:t>
      </w:r>
      <w:r w:rsidRPr="00402283">
        <w:rPr>
          <w:rStyle w:val="Style1Char"/>
          <w:color w:val="ED7D31" w:themeColor="accent2"/>
          <w:sz w:val="22"/>
          <w:szCs w:val="22"/>
          <w:rtl/>
        </w:rPr>
        <w:t>שמא במזיד הטיתה, ועקרת לדשא ועברא? אמשול לך משל, למה הדבר דומה? לאדם שהוא מהלך באישון לילה ואפילה, היטה במזיד מצאו פתוח, לא היטה במזיד מצאו נעול</w:t>
      </w:r>
      <w:r w:rsidR="00402283" w:rsidRPr="00402283">
        <w:rPr>
          <w:rStyle w:val="Style1Char"/>
          <w:color w:val="4472C4" w:themeColor="accent1"/>
          <w:rtl/>
        </w:rPr>
        <w:t xml:space="preserve"> </w:t>
      </w:r>
      <w:r w:rsidR="00402283" w:rsidRPr="00A755B9">
        <w:rPr>
          <w:rStyle w:val="Style1Char"/>
          <w:color w:val="4472C4" w:themeColor="accent1"/>
          <w:rtl/>
        </w:rPr>
        <w:t>דברים הללו וכיוצא בהם יוכל החכם לשאול לטוען אולי ירגיש בתוך דבריו שאינו בקי בפתח פתוח ותנוח דעתו</w:t>
      </w:r>
      <w:r w:rsidR="00402283" w:rsidRPr="00A755B9">
        <w:rPr>
          <w:rStyle w:val="Style1Char"/>
          <w:color w:val="4472C4" w:themeColor="accent1"/>
        </w:rPr>
        <w:t xml:space="preserve">: </w:t>
      </w:r>
    </w:p>
    <w:p w14:paraId="791A7BA8" w14:textId="2CF88D90" w:rsidR="00F450C8" w:rsidRDefault="00F450C8" w:rsidP="00EC7670">
      <w:pPr>
        <w:bidi/>
        <w:rPr>
          <w:rStyle w:val="Style1Char"/>
          <w:color w:val="00B050"/>
          <w:rtl/>
        </w:rPr>
      </w:pPr>
      <w:r w:rsidRPr="00402283">
        <w:rPr>
          <w:rStyle w:val="Style1Char"/>
          <w:color w:val="ED7D31" w:themeColor="accent2"/>
          <w:sz w:val="22"/>
          <w:szCs w:val="22"/>
          <w:rtl/>
        </w:rPr>
        <w:lastRenderedPageBreak/>
        <w:t xml:space="preserve">. </w:t>
      </w:r>
      <w:r w:rsidRPr="00F450C8">
        <w:rPr>
          <w:rStyle w:val="Style1Char"/>
          <w:color w:val="00B050"/>
          <w:rtl/>
        </w:rPr>
        <w:t xml:space="preserve">ההוא דאתא לקמיה דרבן גמליאל בר רבי, אמר ליה: רבי, בעלתי ולא מצאתי דם, אמרה לו: רבי, בתולה הייתי. אמר להם: הביאו לי אותו סודר, הביאו לו הסודר, ושראו במים וכבסו ומצא עליו כמה טיפי דמים, אמר לו: לך זכה במקחך. אמר ליה הונא מר בריה דרבא מפרזקיא לרב אשי: אנן נמי נעביד הכי! אמר ליה: </w:t>
      </w:r>
    </w:p>
    <w:p w14:paraId="565BA44E" w14:textId="1B594CF5" w:rsidR="00511598" w:rsidRDefault="00511598" w:rsidP="00511598">
      <w:pPr>
        <w:pStyle w:val="Style1"/>
        <w:rPr>
          <w:rStyle w:val="Style1Char"/>
          <w:rtl/>
        </w:rPr>
      </w:pPr>
      <w:r>
        <w:rPr>
          <w:rStyle w:val="Style1Char"/>
          <w:rFonts w:hint="cs"/>
          <w:rtl/>
        </w:rPr>
        <w:t>1)[</w:t>
      </w:r>
      <w:r w:rsidRPr="00511598">
        <w:rPr>
          <w:rStyle w:val="Style1Char"/>
          <w:rtl/>
        </w:rPr>
        <w:t>רמב</w:t>
      </w:r>
      <w:r w:rsidR="00213DA1">
        <w:rPr>
          <w:rStyle w:val="Style1Char"/>
          <w:rtl/>
        </w:rPr>
        <w:t>”ם \נשים\</w:t>
      </w:r>
      <w:r w:rsidRPr="00511598">
        <w:rPr>
          <w:rStyle w:val="Style1Char"/>
          <w:rtl/>
        </w:rPr>
        <w:t xml:space="preserve"> הלכות אישות פרק יא הלכה א</w:t>
      </w:r>
      <w:r>
        <w:rPr>
          <w:rStyle w:val="Style1Char"/>
          <w:rFonts w:hint="cs"/>
          <w:rtl/>
        </w:rPr>
        <w:t xml:space="preserve">] </w:t>
      </w:r>
      <w:r w:rsidRPr="00511598">
        <w:rPr>
          <w:rStyle w:val="Style1Char"/>
          <w:rtl/>
        </w:rPr>
        <w:t>הנושא בתולה שנתאלמנה או שנתגרשה או נחלצה, אם מן האירוסין נתאלמנה או נתגרשה או נחלצה כתובתה מאתים, ואם מן הנישואין כתובתה מאה, שמשנשאת הרי היא כבעולה. וכן הנושא בתולה משוחררת או גיורת או שבויה, אם נשתחררה השפחה ונתגיירה הגויה ונפדית השבויה והן פחותות משלש שנים ויום אחד כתובתן מאתים, ואם היו בנות שלש שנים ויום אחד ומעלה כתובתן מאה.</w:t>
      </w:r>
    </w:p>
    <w:p w14:paraId="3BF9582E" w14:textId="3E813EBB" w:rsidR="001D0CBC" w:rsidRDefault="001D0CBC" w:rsidP="001D0CBC">
      <w:pPr>
        <w:pStyle w:val="Style1"/>
        <w:rPr>
          <w:rStyle w:val="Style1Char"/>
          <w:rtl/>
        </w:rPr>
      </w:pPr>
      <w:r>
        <w:rPr>
          <w:rStyle w:val="Style1Char"/>
          <w:rFonts w:hint="cs"/>
          <w:rtl/>
        </w:rPr>
        <w:t>1)[</w:t>
      </w:r>
      <w:r w:rsidRPr="001D0CBC">
        <w:rPr>
          <w:rStyle w:val="Style1Char"/>
          <w:rtl/>
        </w:rPr>
        <w:t>שולחן ערוך אבן העזר הלכות כתובות סימן סח סעיף א</w:t>
      </w:r>
      <w:r>
        <w:rPr>
          <w:rStyle w:val="Style1Char"/>
          <w:rFonts w:hint="cs"/>
          <w:rtl/>
        </w:rPr>
        <w:t xml:space="preserve">] </w:t>
      </w:r>
      <w:r w:rsidRPr="001D0CBC">
        <w:rPr>
          <w:rStyle w:val="Style1Char"/>
          <w:rtl/>
        </w:rPr>
        <w:t>כל בתולה שכתובתה ק"ק יש לה טענת בתולים. וכל שכתובתה מנה, או שלא תקנו לה כתובה, אין לה טענת בתולים. וכל המתייחד עם ארוסתו קודם נשואין, אין לה טענת בתולים.</w:t>
      </w:r>
    </w:p>
    <w:p w14:paraId="707EBE87" w14:textId="3B6E5BFF" w:rsidR="007D08BF" w:rsidRDefault="007D08BF" w:rsidP="00D44D26">
      <w:pPr>
        <w:pStyle w:val="Style1"/>
        <w:rPr>
          <w:rtl/>
        </w:rPr>
      </w:pPr>
      <w:r>
        <w:rPr>
          <w:rStyle w:val="Style1Char"/>
          <w:rFonts w:hint="cs"/>
          <w:rtl/>
        </w:rPr>
        <w:t>1)[</w:t>
      </w:r>
      <w:r w:rsidRPr="007D08BF">
        <w:rPr>
          <w:rStyle w:val="Style1Char"/>
          <w:rtl/>
        </w:rPr>
        <w:t>שולחן ערוך אבן העזר הלכות כתובות סימן סח סעיף ח</w:t>
      </w:r>
      <w:r>
        <w:rPr>
          <w:rStyle w:val="Style1Char"/>
          <w:rFonts w:hint="cs"/>
          <w:rtl/>
        </w:rPr>
        <w:t>]</w:t>
      </w:r>
      <w:r w:rsidR="00D44D26">
        <w:rPr>
          <w:rStyle w:val="Style1Char"/>
          <w:rFonts w:hint="cs"/>
          <w:rtl/>
        </w:rPr>
        <w:t xml:space="preserve"> </w:t>
      </w:r>
      <w:r w:rsidR="00D44D26" w:rsidRPr="00D44D26">
        <w:rPr>
          <w:rtl/>
        </w:rPr>
        <w:t>אף כשאמרו שטענתו על הבתולים טענה, אינה מפסדת אלא עיקר כתובה, אבל התוספת יש לה, אלא אם כן נודע בראיה ברורה שהיתה בעולה, או שהודית לו שהיא בעולה קודם שתתארס, והטעתו. לפיכך, יש לו להשביעה בנקיטת חפץ, כדין כל הנשבעים ונוטלים, ואחר כך תגבה התוספת. ויש לה להחרים סתם על מי שטען עליה שקר</w:t>
      </w:r>
      <w:r w:rsidR="00D44D26" w:rsidRPr="00D44D26">
        <w:t>:</w:t>
      </w:r>
    </w:p>
    <w:p w14:paraId="13CC2014" w14:textId="6E1296D1" w:rsidR="00C876D6" w:rsidRDefault="00C876D6" w:rsidP="00C876D6">
      <w:pPr>
        <w:pStyle w:val="Style1"/>
        <w:rPr>
          <w:rStyle w:val="Style1Char"/>
          <w:rtl/>
        </w:rPr>
      </w:pPr>
      <w:r>
        <w:rPr>
          <w:rStyle w:val="Style1Char"/>
          <w:rFonts w:hint="cs"/>
          <w:rtl/>
        </w:rPr>
        <w:t>2)[</w:t>
      </w:r>
      <w:r w:rsidRPr="00C876D6">
        <w:rPr>
          <w:rStyle w:val="Style1Char"/>
          <w:rtl/>
        </w:rPr>
        <w:t>רמב</w:t>
      </w:r>
      <w:r w:rsidR="00213DA1">
        <w:rPr>
          <w:rStyle w:val="Style1Char"/>
          <w:rtl/>
        </w:rPr>
        <w:t>”ם \נשים\</w:t>
      </w:r>
      <w:r w:rsidRPr="00C876D6">
        <w:rPr>
          <w:rStyle w:val="Style1Char"/>
          <w:rtl/>
        </w:rPr>
        <w:t xml:space="preserve"> הלכות אישות פרק טז הלכה ג</w:t>
      </w:r>
      <w:r>
        <w:rPr>
          <w:rStyle w:val="Style1Char"/>
          <w:rFonts w:hint="cs"/>
          <w:rtl/>
        </w:rPr>
        <w:t xml:space="preserve">] </w:t>
      </w:r>
      <w:r w:rsidRPr="00C876D6">
        <w:rPr>
          <w:rStyle w:val="Style1Char"/>
          <w:rtl/>
        </w:rPr>
        <w:t>כבר הודענו שחכמים תקנו כתובה לאשה, ודין התוספת כדין העיקר, ולא תקנוה לגבותה כל זמן שתרצה אלא הרי היא כחוב שיש לו זמן ואין הכתובה נגבית אלא לאחר מיתת הבעל או אם גירשה. וכן התקינו שאם היה לבעל שדות טובות ורעות ובינוניות ובאה האשה לגבות כתובתה ממנו שלא תגבה אלא מן הרעה שבנכסיו והיא הנקראת זיבורית.</w:t>
      </w:r>
    </w:p>
    <w:p w14:paraId="5B007C83" w14:textId="5D0B1936" w:rsidR="007C08DE" w:rsidRPr="007C08DE" w:rsidRDefault="006B3305" w:rsidP="007C08DE">
      <w:pPr>
        <w:pStyle w:val="Style1"/>
      </w:pPr>
      <w:r>
        <w:rPr>
          <w:rStyle w:val="Style1Char"/>
          <w:rFonts w:hint="cs"/>
          <w:rtl/>
        </w:rPr>
        <w:t>2)[</w:t>
      </w:r>
      <w:r w:rsidRPr="006B3305">
        <w:rPr>
          <w:rStyle w:val="Style1Char"/>
          <w:rtl/>
        </w:rPr>
        <w:t>שולחן ערוך אבן העזר הלכות כתובות סימן ק סעיף ב</w:t>
      </w:r>
      <w:r>
        <w:rPr>
          <w:rStyle w:val="Style1Char"/>
          <w:rFonts w:hint="cs"/>
          <w:rtl/>
        </w:rPr>
        <w:t>]</w:t>
      </w:r>
      <w:r w:rsidR="007C08DE">
        <w:rPr>
          <w:rStyle w:val="Style1Char"/>
          <w:rFonts w:hint="cs"/>
          <w:rtl/>
        </w:rPr>
        <w:t xml:space="preserve"> </w:t>
      </w:r>
      <w:r w:rsidR="007C08DE" w:rsidRPr="007C08DE">
        <w:rPr>
          <w:rtl/>
        </w:rPr>
        <w:t>אין עיקר כתובה ותוספת נגבים אלא מהזבורית. ואינם נגבים מהשבח שהשביחו הנכסים לאחר מותו, לא שנא השביחו יורשים לא שנא השביחו לקוחות ובאה לטרף מהם. ואינם נגבים אלא מהמוחזק, אבל לא מהראוי</w:t>
      </w:r>
      <w:r w:rsidR="007C08DE" w:rsidRPr="007C08DE">
        <w:t>.</w:t>
      </w:r>
    </w:p>
    <w:p w14:paraId="3CB588BE" w14:textId="77777777" w:rsidR="007C08DE" w:rsidRPr="007C08DE" w:rsidRDefault="007C08DE" w:rsidP="007C08DE">
      <w:pPr>
        <w:pStyle w:val="Style1"/>
      </w:pPr>
      <w:r w:rsidRPr="007C08DE">
        <w:rPr>
          <w:rFonts w:hint="cs"/>
          <w:rtl/>
        </w:rPr>
        <w:t>הגה: האב שצוה לתת מתנה לבנו לאחר שתים או שלש שנים, או שצוה שלא לתת לו חלק ירושתו רק אחר שתים או שלש שנים, מקרי ראוי ואין אשת הבן גובאת כתובתה מזה (מהרי"ו סימן מ'). יש אומרים דאם מת יעקב בחיי ראובן בנו, והניח אלמנה הנזונית מנכסיו, אין אלמנת ראובן גובאת כתובתה מאותן נכסים, הואיל והיו משועבדים לאלמנת אביו כשמת ראובן (מרדכי סוף נערה). ודוקא במקום שאין רשות ליורשיו לסלק האלמנה ממזונותיה, אבל במקום שיכולין לסלק האלמנה, אלמנת ראובן גובאת משם (גם זה שם). שכר פעולה שלא היתה בידו מעולם, מקרי ראוי (מרדכי יש נוחלין). היתה גנבה שלו ביד הגנב, כשמת, ואחר כך החזיר הגנבה, מקרי מוחזק (כך השיב מוהר"ם)</w:t>
      </w:r>
      <w:r w:rsidRPr="007C08DE">
        <w:t>.</w:t>
      </w:r>
    </w:p>
    <w:p w14:paraId="1B4BA669" w14:textId="77777777" w:rsidR="007C08DE" w:rsidRPr="007C08DE" w:rsidRDefault="007C08DE" w:rsidP="007C08DE">
      <w:pPr>
        <w:pStyle w:val="Style1"/>
      </w:pPr>
      <w:r w:rsidRPr="007C08DE">
        <w:rPr>
          <w:rtl/>
        </w:rPr>
        <w:t>ומלוה שחיבים לבעל, הוי מוחזק וגובה ממנה, אפילו היא על הכותי</w:t>
      </w:r>
      <w:r w:rsidRPr="007C08DE">
        <w:t>.</w:t>
      </w:r>
    </w:p>
    <w:p w14:paraId="403BC543" w14:textId="77777777" w:rsidR="007C08DE" w:rsidRPr="007C08DE" w:rsidRDefault="007C08DE" w:rsidP="007C08DE">
      <w:pPr>
        <w:pStyle w:val="Style1"/>
      </w:pPr>
      <w:r w:rsidRPr="007C08DE">
        <w:rPr>
          <w:rFonts w:hint="cs"/>
          <w:rtl/>
        </w:rPr>
        <w:t>וכל זה לא מירי אלא בעיקר כתובה ותוספת, אבל נדוניא ושאר צאן ברזל דינן כשאר חוב (כן כתב המגיד משנה פרק ט"ז ובית יוסף בשם נמוקי יוסף והר"ן ורבנו ירוחם)</w:t>
      </w:r>
      <w:r w:rsidRPr="007C08DE">
        <w:t>.</w:t>
      </w:r>
    </w:p>
    <w:p w14:paraId="500B813E" w14:textId="64A468C5" w:rsidR="007C08DE" w:rsidRDefault="007C08DE" w:rsidP="007C08DE">
      <w:pPr>
        <w:pStyle w:val="Style1"/>
        <w:rPr>
          <w:rtl/>
        </w:rPr>
      </w:pPr>
      <w:r w:rsidRPr="007C08DE">
        <w:rPr>
          <w:rtl/>
        </w:rPr>
        <w:t>ויש אומרים דאפילו הכי אינם נגבים רק מן הזבורית (הר"ן ריש הנזקין)</w:t>
      </w:r>
      <w:r w:rsidRPr="007C08DE">
        <w:t>:</w:t>
      </w:r>
    </w:p>
    <w:p w14:paraId="12543F16" w14:textId="1A7178FC" w:rsidR="00606E3D" w:rsidRDefault="00606E3D" w:rsidP="00606E3D">
      <w:pPr>
        <w:pStyle w:val="Style1"/>
        <w:rPr>
          <w:rtl/>
        </w:rPr>
      </w:pPr>
      <w:r>
        <w:rPr>
          <w:rFonts w:hint="cs"/>
          <w:rtl/>
        </w:rPr>
        <w:t>3)[</w:t>
      </w:r>
      <w:r>
        <w:rPr>
          <w:rtl/>
        </w:rPr>
        <w:t>רמב</w:t>
      </w:r>
      <w:r w:rsidR="00213DA1">
        <w:rPr>
          <w:rtl/>
        </w:rPr>
        <w:t>”ם \נשים\</w:t>
      </w:r>
      <w:r>
        <w:rPr>
          <w:rtl/>
        </w:rPr>
        <w:t xml:space="preserve"> הלכות אישות פרק י הלכה ז</w:t>
      </w:r>
      <w:r>
        <w:rPr>
          <w:rFonts w:hint="cs"/>
          <w:rtl/>
        </w:rPr>
        <w:t xml:space="preserve">] </w:t>
      </w:r>
      <w:r>
        <w:rPr>
          <w:rtl/>
        </w:rPr>
        <w:t>וצריך לכתוב כתובה קודם כניסה לחופה ואחר כך יהיה מותר באשתו, והחתן נותן שכר הסופר,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 ודין התוספת ודין העיקר אחד הוא לרוב הדברים, לפיכך כל מקום שנאמר בו כתובה סתם הוא העיקר והתוספת כאחד, וחכמים הם שתיקנו כתובה לאשה כדי שלא תהיה קלה בעיניו להוציאה.</w:t>
      </w:r>
    </w:p>
    <w:p w14:paraId="12C0BA9D" w14:textId="5DD9B550" w:rsidR="001D710E" w:rsidRPr="001D710E" w:rsidRDefault="0042754A" w:rsidP="00BC6615">
      <w:pPr>
        <w:pStyle w:val="Style1"/>
      </w:pPr>
      <w:r>
        <w:rPr>
          <w:rFonts w:hint="cs"/>
          <w:rtl/>
        </w:rPr>
        <w:t>3)[</w:t>
      </w:r>
      <w:r w:rsidR="00414FD0">
        <w:rPr>
          <w:rtl/>
        </w:rPr>
        <w:t>שולחן ערוך אבן העזר הלכות כתובות סימן סו סעיף ו</w:t>
      </w:r>
      <w:r>
        <w:rPr>
          <w:rFonts w:hint="cs"/>
          <w:rtl/>
        </w:rPr>
        <w:t>]</w:t>
      </w:r>
      <w:r w:rsidR="00BC6615">
        <w:rPr>
          <w:rFonts w:hint="cs"/>
          <w:rtl/>
        </w:rPr>
        <w:t xml:space="preserve"> </w:t>
      </w:r>
      <w:r w:rsidR="001D710E" w:rsidRPr="001D710E">
        <w:rPr>
          <w:rtl/>
        </w:rPr>
        <w:t>כמה שיעור הכתובה, לבתולה מאתים, ולאלמנה מנה, ושל זו וזו כסף מדינה; נמצא, כתובת בתולה הם שלשים ושבעה דרהם וחצי כסף צרוף, וכתובת אלמנה מחציתם, שהם שמונה עשר דרהם ושלשה רביעים כסף צרוף</w:t>
      </w:r>
      <w:r w:rsidR="001D710E" w:rsidRPr="001D710E">
        <w:t>.</w:t>
      </w:r>
    </w:p>
    <w:p w14:paraId="06C3DB80" w14:textId="0F1C3510" w:rsidR="001D710E" w:rsidRDefault="001D710E" w:rsidP="001D710E">
      <w:pPr>
        <w:pStyle w:val="Style1"/>
        <w:rPr>
          <w:rtl/>
        </w:rPr>
      </w:pPr>
      <w:r w:rsidRPr="001D710E">
        <w:rPr>
          <w:rtl/>
        </w:rPr>
        <w:t>הגה: עיין </w:t>
      </w:r>
      <w:hyperlink r:id="rId21" w:tooltip="שולחן ערוך יורה דעה רצד" w:history="1">
        <w:r w:rsidRPr="001D710E">
          <w:rPr>
            <w:rStyle w:val="Hyperlink"/>
            <w:color w:val="7030A0"/>
            <w:u w:val="none"/>
            <w:rtl/>
          </w:rPr>
          <w:t>ביורה דעה סימן רצ"ד</w:t>
        </w:r>
      </w:hyperlink>
      <w:r w:rsidRPr="001D710E">
        <w:t> </w:t>
      </w:r>
      <w:hyperlink r:id="rId22" w:tooltip="שולחן ערוך יורה דעה שה" w:history="1">
        <w:r w:rsidRPr="001D710E">
          <w:rPr>
            <w:rStyle w:val="Hyperlink"/>
            <w:color w:val="7030A0"/>
            <w:u w:val="none"/>
            <w:rtl/>
          </w:rPr>
          <w:t>וסימן ש"ה</w:t>
        </w:r>
      </w:hyperlink>
      <w:r w:rsidRPr="001D710E">
        <w:t> </w:t>
      </w:r>
      <w:r w:rsidRPr="001D710E">
        <w:rPr>
          <w:rtl/>
        </w:rPr>
        <w:t>ערך המטבע שנקראת דרהם. וכל זה לדעת קצת הפוסקים, שסבירא להו שכתובת בתולה אינה רק זוזי דרבנן (הרי"ף והרמב"ם והר"ן והר"ם), שמאתים של בתולה עולין ששה סלעים ורביע. ויש מי שמשער כתובת בתולה עשרה זהובים ואלמנה חמשה זהובים (מהרי"ל בשם אגדה). אבל לדעת יש פוסקים, מאתים של בתולה ומנה של אלמנה משערים בזוזי דאורייתא, והוא שמונה פעמים יותר, וכתבו דלכן נהגו לכתוב בכתובה "דחזו ליכי מדאורייתא" (רבנו תם). ויש אומרים דכותבין "דחזו לכי" סתמא (הגהות מימוני פרק י' דאישות). והמנהג לכתוב לבתולה: "דחזי ליכי מדאורייתא", אבל לא לאלמנה. וכל זה במקום שאין מנהג, אבל במקום שיש מנהג, מה שגובין, הולכין אחר המנהג, וכמו שיתבאר לקמן</w:t>
      </w:r>
      <w:r w:rsidRPr="001D710E">
        <w:t>:</w:t>
      </w:r>
    </w:p>
    <w:p w14:paraId="4283E0C7" w14:textId="1B7172E0" w:rsidR="00D11850" w:rsidRPr="00D11850" w:rsidRDefault="0012326C" w:rsidP="00D11850">
      <w:pPr>
        <w:pStyle w:val="Style1"/>
      </w:pPr>
      <w:r>
        <w:rPr>
          <w:rFonts w:hint="cs"/>
          <w:rtl/>
        </w:rPr>
        <w:t>4)[</w:t>
      </w:r>
      <w:r>
        <w:rPr>
          <w:rtl/>
        </w:rPr>
        <w:t>שולחן ערוך אבן העזר הלכות כתובות סימן סח סעיף ו</w:t>
      </w:r>
      <w:r>
        <w:rPr>
          <w:rFonts w:hint="cs"/>
          <w:rtl/>
        </w:rPr>
        <w:t>]</w:t>
      </w:r>
      <w:r w:rsidR="00D11850">
        <w:rPr>
          <w:rFonts w:hint="cs"/>
          <w:rtl/>
        </w:rPr>
        <w:t xml:space="preserve"> </w:t>
      </w:r>
      <w:r w:rsidR="00D11850" w:rsidRPr="00D11850">
        <w:rPr>
          <w:rtl/>
        </w:rPr>
        <w:t>טען טענת פתח פתוח, אומרים לו</w:t>
      </w:r>
      <w:r w:rsidR="00D11850" w:rsidRPr="00D11850">
        <w:t>: </w:t>
      </w:r>
      <w:r w:rsidR="00D11850" w:rsidRPr="00D11850">
        <w:rPr>
          <w:rFonts w:hint="cs"/>
          <w:rtl/>
        </w:rPr>
        <w:t>שמא</w:t>
      </w:r>
      <w:r w:rsidR="00D11850" w:rsidRPr="00D11850">
        <w:rPr>
          <w:rtl/>
        </w:rPr>
        <w:t> הטית או לא בעלת בנחת, ולפיכך לא הרגשת בדחק. אם אמר: לא כי, אלא פתח פתוח מצאתי, הרי זו טענה אם לא בגרה עדיין. ויש אומרים שאפילו לא בגרה, אינו יכול לטעון טענת פתח פתוח אם מצא דם</w:t>
      </w:r>
      <w:r w:rsidR="00D11850" w:rsidRPr="00D11850">
        <w:t>.</w:t>
      </w:r>
    </w:p>
    <w:p w14:paraId="5852FD12" w14:textId="00E5636F" w:rsidR="00D11850" w:rsidRDefault="00D11850" w:rsidP="00D11850">
      <w:pPr>
        <w:pStyle w:val="Style1"/>
        <w:rPr>
          <w:rtl/>
        </w:rPr>
      </w:pPr>
      <w:r w:rsidRPr="00D11850">
        <w:rPr>
          <w:rFonts w:hint="cs"/>
          <w:rtl/>
        </w:rPr>
        <w:t>יש אומרים דטענת פתח פתוח לא יוכל לטעון רק נשוי, אבל בחור לא, ואדרבה, מלקין אותו כשטוען כך, דמאחר שלא היה נשוי מתחלה אינו בקי בכך (טור)</w:t>
      </w:r>
      <w:r w:rsidRPr="00D11850">
        <w:t>:</w:t>
      </w:r>
    </w:p>
    <w:p w14:paraId="71261BFD" w14:textId="0B5A43BE" w:rsidR="006439FE" w:rsidRDefault="006439FE" w:rsidP="006439FE">
      <w:pPr>
        <w:pStyle w:val="Style1"/>
        <w:rPr>
          <w:rStyle w:val="Style1Char"/>
          <w:rtl/>
        </w:rPr>
      </w:pPr>
      <w:r>
        <w:rPr>
          <w:rStyle w:val="Style1Char"/>
          <w:rFonts w:hint="cs"/>
          <w:rtl/>
        </w:rPr>
        <w:t>5)[</w:t>
      </w:r>
      <w:r w:rsidRPr="001B22B3">
        <w:rPr>
          <w:rStyle w:val="Style1Char"/>
          <w:rtl/>
        </w:rPr>
        <w:t>רמב</w:t>
      </w:r>
      <w:r w:rsidR="00213DA1">
        <w:rPr>
          <w:rStyle w:val="Style1Char"/>
          <w:rtl/>
        </w:rPr>
        <w:t>”ם \נשים\</w:t>
      </w:r>
      <w:r w:rsidRPr="001B22B3">
        <w:rPr>
          <w:rStyle w:val="Style1Char"/>
          <w:rtl/>
        </w:rPr>
        <w:t xml:space="preserve"> הלכות אישות פרק יא הלכה יב</w:t>
      </w:r>
      <w:r>
        <w:rPr>
          <w:rStyle w:val="Style1Char"/>
          <w:rFonts w:hint="cs"/>
          <w:rtl/>
        </w:rPr>
        <w:t xml:space="preserve">] </w:t>
      </w:r>
      <w:r w:rsidRPr="001B22B3">
        <w:rPr>
          <w:rStyle w:val="Style1Char"/>
          <w:rtl/>
        </w:rPr>
        <w:t>טען ואמר לא מצאתיה בתולה והיא אומרת לא בא עלי ועדיין בתולה אני, בודקין אותה או חוזר ובועל בפני עדים. אמרה בא עלי ובתולה מצאני ככל הבתולות ושקר הוא טוען, שואלין אותו ואומרין לו מה היה הדבר עד שאמרת שאינה בתולה, אם אמר מפני שלא מצאתי דם בודקין במשפחתה שמא אין להם דם כלל לא דם נדה ולא דם בתולים אם נמצאו כולן כן הרי זו בחזקתה, לא נמצאו בני משפחתה כן בודקין אותה שמא חולי גדול יש בה שיבש לחלוחית האיברים או שמא היתה מתענה ברעב, ומרטבין אותה ומאכילין אותה ומשקין אותה עד שתבריא ותבעל שנייה ונראה אם תוציא דם אם לאו, ואם אין שם חולי ולא רעב ולא כיוצא בו הרי זו טענת בתולים, ואף על פי שמצא דוחק בעת התשמיש הואיל ולא יצא דם אין כאן בתולים, שכל בתולה יש לה דם בין קטנה בין נערה בין בוגרת אלא מפני החולי כמו שביארנו. ואם אמר מפני שלא מצאתי דוחק אלא פתח פתוח מצאתי, שואלין על שנותיה שמא בוגרת היא שרוב הבוגרות אין להן דוחק שמרגישין בו הרבה שהרי גדלה ונתרפו איבריה וכלו בתוליה, ואם לא בגרה עדיין אומרין לו שמא הטיתה או בעלת בנחת הרבה ולפיכך לא הרגשת בדוחק, אם אמר לא כי אלא ודאי פתח פתוח היה הרי זו טענת בתולים לכל בתולה שלא בגרה בין קטנה בין נערה בין בריאה בין חולה שכל נערה בתולה פתחה סתום הוא, ואף על פי שיצא הדם הואיל ומצא פתח פתוח אין כאן בתולים.</w:t>
      </w:r>
    </w:p>
    <w:p w14:paraId="7262A20C" w14:textId="77777777" w:rsidR="001D710E" w:rsidRPr="00D11850" w:rsidRDefault="001D710E" w:rsidP="00D11850">
      <w:pPr>
        <w:pStyle w:val="Style1"/>
      </w:pPr>
    </w:p>
    <w:p w14:paraId="6CC75790" w14:textId="77777777" w:rsidR="007C08DE" w:rsidRPr="007C08DE" w:rsidRDefault="007C08DE" w:rsidP="007C08DE">
      <w:pPr>
        <w:pStyle w:val="Style1"/>
        <w:rPr>
          <w:rStyle w:val="Style1Char"/>
        </w:rPr>
      </w:pPr>
    </w:p>
    <w:p w14:paraId="0ACE5507" w14:textId="77777777" w:rsidR="00F450C8" w:rsidRDefault="00F450C8">
      <w:pPr>
        <w:rPr>
          <w:rStyle w:val="Style1Char"/>
          <w:color w:val="00B050"/>
          <w:rtl/>
        </w:rPr>
      </w:pPr>
      <w:r>
        <w:rPr>
          <w:rStyle w:val="Style1Char"/>
          <w:color w:val="00B050"/>
          <w:rtl/>
        </w:rPr>
        <w:br w:type="page"/>
      </w:r>
    </w:p>
    <w:p w14:paraId="24A1E754" w14:textId="0EF01F8A" w:rsidR="00AA7F12" w:rsidRPr="00437386" w:rsidRDefault="00F450C8" w:rsidP="00501407">
      <w:pPr>
        <w:bidi/>
        <w:rPr>
          <w:rStyle w:val="Style1Char"/>
          <w:color w:val="auto"/>
          <w:sz w:val="22"/>
          <w:szCs w:val="22"/>
          <w:rtl/>
        </w:rPr>
      </w:pPr>
      <w:r w:rsidRPr="00F450C8">
        <w:rPr>
          <w:rStyle w:val="Style1Char"/>
          <w:color w:val="00B050"/>
          <w:sz w:val="22"/>
          <w:szCs w:val="22"/>
          <w:highlight w:val="yellow"/>
          <w:rtl/>
        </w:rPr>
        <w:lastRenderedPageBreak/>
        <w:t>[דף י עמוד ב]</w:t>
      </w:r>
      <w:r w:rsidRPr="00F450C8">
        <w:rPr>
          <w:rStyle w:val="Style1Char"/>
          <w:color w:val="00B050"/>
          <w:sz w:val="22"/>
          <w:szCs w:val="22"/>
          <w:rtl/>
        </w:rPr>
        <w:t xml:space="preserve"> </w:t>
      </w:r>
      <w:r w:rsidRPr="00F450C8">
        <w:rPr>
          <w:rStyle w:val="Style1Char"/>
          <w:color w:val="00B050"/>
          <w:rtl/>
        </w:rPr>
        <w:t xml:space="preserve">גיהוץ שלנו ככיבוס שלהם, ואי אמרת ניעבד גיהוץ, מעברא ליה חומרתא. </w:t>
      </w:r>
      <w:r w:rsidRPr="00AA7F12">
        <w:rPr>
          <w:rStyle w:val="Style1Char"/>
          <w:color w:val="auto"/>
          <w:sz w:val="22"/>
          <w:szCs w:val="22"/>
          <w:rtl/>
        </w:rPr>
        <w:t xml:space="preserve">ההוא דאתא לקמיה דרבן גמליאל ב"ר, אמר ליה: רבי, בעלתי ולא מצאתי דם, אמרה ליה: רבי, עדיין בתולה אני. </w:t>
      </w:r>
      <w:r w:rsidR="008677DB">
        <w:rPr>
          <w:rStyle w:val="Style1Char"/>
          <w:rFonts w:hint="cs"/>
          <w:rtl/>
        </w:rPr>
        <w:t>(1)</w:t>
      </w:r>
      <w:r w:rsidRPr="00AA7F12">
        <w:rPr>
          <w:rStyle w:val="Style1Char"/>
          <w:color w:val="auto"/>
          <w:sz w:val="22"/>
          <w:szCs w:val="22"/>
          <w:rtl/>
        </w:rPr>
        <w:t xml:space="preserve">אמר להן: הביאו לי שתי שפחות, אחת בתולה ואחת בעולה, הביאו לו והושיבן על פי חבית של יין, בעולה ריחה נודף, בתולה אין ריחה נודף, אף זו הושיבה ולא היה ריחה נודף, אמר לו: לך זכה במקחך. ונבדוק מעיקרא בגווה! גמרא הוה שמיע ליה, מעשה לא הוה חזי, וסבר, דלמא לא קים ליה בגווה דמלתא שפיר, ולאו אורח ארעא לזלזולי בבנות ישראל. ההוא דאתא לקמיה דרבן גמליאל הזקן, אמר לו: רבי, בעלתי ולא מצאתי דם, </w:t>
      </w:r>
      <w:r w:rsidR="00FD1A96">
        <w:rPr>
          <w:rStyle w:val="Style1Char"/>
          <w:rFonts w:hint="cs"/>
          <w:rtl/>
        </w:rPr>
        <w:t>(1.1, 2)</w:t>
      </w:r>
      <w:r w:rsidRPr="00AA7F12">
        <w:rPr>
          <w:rStyle w:val="Style1Char"/>
          <w:color w:val="auto"/>
          <w:sz w:val="22"/>
          <w:szCs w:val="22"/>
          <w:rtl/>
        </w:rPr>
        <w:t>אמרה לו: רבי</w:t>
      </w:r>
      <w:r w:rsidRPr="00E13C91">
        <w:rPr>
          <w:rStyle w:val="Style1Char"/>
          <w:sz w:val="22"/>
          <w:szCs w:val="22"/>
          <w:rtl/>
        </w:rPr>
        <w:t xml:space="preserve">, </w:t>
      </w:r>
      <w:r w:rsidR="00E13C91" w:rsidRPr="00101EE1">
        <w:rPr>
          <w:rStyle w:val="Style1Char"/>
          <w:color w:val="806000" w:themeColor="accent4" w:themeShade="80"/>
          <w:sz w:val="22"/>
          <w:szCs w:val="22"/>
          <w:rtl/>
        </w:rPr>
        <w:t xml:space="preserve">בתולה שלימה נבעלתי אלא </w:t>
      </w:r>
      <w:r w:rsidRPr="00101EE1">
        <w:rPr>
          <w:rStyle w:val="Style1Char"/>
          <w:color w:val="auto"/>
          <w:sz w:val="22"/>
          <w:szCs w:val="22"/>
          <w:rtl/>
        </w:rPr>
        <w:t>ממשפחת דורקטי אני, שאין להן לא דם נדה ולא דם בתולים. בדק רבן גמליאל בקרובותיה ומצא כדבריה, אמר לו: לך זכה במקחך</w:t>
      </w:r>
      <w:r w:rsidRPr="00E13C91">
        <w:rPr>
          <w:rStyle w:val="Style1Char"/>
          <w:sz w:val="22"/>
          <w:szCs w:val="22"/>
          <w:rtl/>
        </w:rPr>
        <w:t>,</w:t>
      </w:r>
      <w:r w:rsidRPr="00F450C8">
        <w:rPr>
          <w:rStyle w:val="Style1Char"/>
          <w:color w:val="00B050"/>
          <w:rtl/>
        </w:rPr>
        <w:t xml:space="preserve"> אשריך שזכית למשפחת דורקטי. </w:t>
      </w:r>
      <w:r w:rsidRPr="00520258">
        <w:rPr>
          <w:rStyle w:val="Style1Char"/>
          <w:sz w:val="22"/>
          <w:szCs w:val="22"/>
          <w:rtl/>
        </w:rPr>
        <w:t xml:space="preserve">מאי דורקטי? </w:t>
      </w:r>
      <w:r w:rsidR="00520258" w:rsidRPr="00520258">
        <w:rPr>
          <w:rStyle w:val="Style1Char"/>
          <w:color w:val="C00000"/>
          <w:sz w:val="22"/>
          <w:szCs w:val="22"/>
          <w:rtl/>
        </w:rPr>
        <w:t xml:space="preserve">תנא </w:t>
      </w:r>
      <w:r w:rsidRPr="00520258">
        <w:rPr>
          <w:rStyle w:val="Style1Char"/>
          <w:sz w:val="22"/>
          <w:szCs w:val="22"/>
          <w:rtl/>
        </w:rPr>
        <w:t xml:space="preserve">דור קטוע. </w:t>
      </w:r>
      <w:r w:rsidRPr="00F450C8">
        <w:rPr>
          <w:rStyle w:val="Style1Char"/>
          <w:color w:val="00B050"/>
          <w:rtl/>
        </w:rPr>
        <w:t xml:space="preserve">אמר רבי חנינא: תנחומים של הבל ניחמו רבן גמליאל לאותו האיש, דתני רבי חייא: כשם שהשאור יפה לעיסה, כך דמים יפים לאשה; ותנא משום רבי מאיר: כל אשה שדמיה מרובין - בניה מרובים. אתמר, רבי ירמיה בר אבא אמר: זכה במקחך אמר ליה, ורבי יוסי בר אבין אמר: נתחייב במקחך אמר ליה. בשלמא למאן דאמר נתחייב, היינו דרבי חנינא; אלא למאן דאמר זכה, מאי זכותא? דלא אתי לידי ספק נדה. </w:t>
      </w:r>
      <w:r w:rsidRPr="00437386">
        <w:rPr>
          <w:rStyle w:val="Style1Char"/>
          <w:color w:val="auto"/>
          <w:sz w:val="22"/>
          <w:szCs w:val="22"/>
          <w:rtl/>
        </w:rPr>
        <w:t xml:space="preserve">ההוא דאתא לקמיה דרבי, אמר ליה: רבי, בעלתי ולא מצאתי דם, </w:t>
      </w:r>
      <w:r w:rsidR="00E45193">
        <w:rPr>
          <w:rStyle w:val="Style1Char"/>
          <w:rFonts w:hint="cs"/>
          <w:rtl/>
        </w:rPr>
        <w:t>(1.1, 2)</w:t>
      </w:r>
      <w:r w:rsidRPr="00437386">
        <w:rPr>
          <w:rStyle w:val="Style1Char"/>
          <w:color w:val="auto"/>
          <w:sz w:val="22"/>
          <w:szCs w:val="22"/>
          <w:rtl/>
        </w:rPr>
        <w:t>אמרה לו: רבי</w:t>
      </w:r>
      <w:r w:rsidRPr="00C4760B">
        <w:rPr>
          <w:rStyle w:val="Style1Char"/>
          <w:sz w:val="22"/>
          <w:szCs w:val="22"/>
          <w:rtl/>
        </w:rPr>
        <w:t xml:space="preserve">, </w:t>
      </w:r>
      <w:r w:rsidRPr="00C4760B">
        <w:rPr>
          <w:rStyle w:val="Style1Char"/>
          <w:color w:val="00B050"/>
          <w:rtl/>
        </w:rPr>
        <w:t xml:space="preserve">עדיין </w:t>
      </w:r>
      <w:r w:rsidRPr="00437386">
        <w:rPr>
          <w:rStyle w:val="Style1Char"/>
          <w:color w:val="auto"/>
          <w:sz w:val="22"/>
          <w:szCs w:val="22"/>
          <w:rtl/>
        </w:rPr>
        <w:t xml:space="preserve">בתולה </w:t>
      </w:r>
      <w:r w:rsidR="00C4760B" w:rsidRPr="00C4760B">
        <w:rPr>
          <w:rStyle w:val="Style1Char"/>
          <w:color w:val="C00000"/>
          <w:sz w:val="22"/>
          <w:szCs w:val="22"/>
          <w:rtl/>
        </w:rPr>
        <w:t xml:space="preserve">שלימה </w:t>
      </w:r>
      <w:r w:rsidR="00501407" w:rsidRPr="00437386">
        <w:rPr>
          <w:rStyle w:val="Style1Char"/>
          <w:color w:val="ED7D31" w:themeColor="accent2"/>
          <w:rtl/>
        </w:rPr>
        <w:t>הייתי</w:t>
      </w:r>
      <w:r w:rsidR="00501407" w:rsidRPr="00437386">
        <w:rPr>
          <w:rStyle w:val="Style1Char"/>
          <w:color w:val="ED7D31" w:themeColor="accent2"/>
          <w:sz w:val="22"/>
          <w:szCs w:val="22"/>
          <w:rtl/>
        </w:rPr>
        <w:t xml:space="preserve"> </w:t>
      </w:r>
      <w:r w:rsidR="00C4760B" w:rsidRPr="00C4760B">
        <w:rPr>
          <w:rStyle w:val="Style1Char"/>
          <w:color w:val="C00000"/>
          <w:sz w:val="22"/>
          <w:szCs w:val="22"/>
          <w:rtl/>
        </w:rPr>
        <w:t>נבעלתי</w:t>
      </w:r>
      <w:r w:rsidRPr="00C4760B">
        <w:rPr>
          <w:rStyle w:val="Style1Char"/>
          <w:sz w:val="22"/>
          <w:szCs w:val="22"/>
          <w:rtl/>
        </w:rPr>
        <w:t xml:space="preserve">, </w:t>
      </w:r>
      <w:r w:rsidRPr="00437386">
        <w:rPr>
          <w:rStyle w:val="Style1Char"/>
          <w:color w:val="auto"/>
          <w:sz w:val="22"/>
          <w:szCs w:val="22"/>
          <w:rtl/>
        </w:rPr>
        <w:t xml:space="preserve">ושני בצורת הוה. ראה רבי שפניהם שחורים, צוה עליהן והכניסום למרחץ והאכילום והשקום והכניסום לחדר, בעל ומצא דם, אמר לו: לך זכה במקחך. קרי רבי עליהם: צפד עורם על עצמם יבש היה כעץ. </w:t>
      </w:r>
    </w:p>
    <w:p w14:paraId="3060DE19" w14:textId="08B0416E" w:rsidR="00A433A8" w:rsidRPr="00A755B9" w:rsidRDefault="00501407" w:rsidP="00A433A8">
      <w:pPr>
        <w:bidi/>
        <w:rPr>
          <w:rStyle w:val="Style1Char"/>
          <w:color w:val="4472C4" w:themeColor="accent1"/>
        </w:rPr>
      </w:pPr>
      <w:r w:rsidRPr="00A433A8">
        <w:rPr>
          <w:rStyle w:val="Style1Char"/>
          <w:color w:val="806000" w:themeColor="accent4" w:themeShade="80"/>
          <w:rtl/>
        </w:rPr>
        <w:t>גרסינן בפ' אלו נערות החרשת והשוטה והבוגרת ומוכת עץ אין להן טענת בתולים הסומא והאילונית יש להן טענת בתולים ומקשינן ובוגרת אין לה טענת בתולים והאמר רב בוגרת נותנין לה לילה הראשונה אלמא אית לה טענת בתולים דאי לית לה אמאי נותנין לה לילה ראשונה הא דם נדה הוא ומפרקינן אי דקא טעין טענת פתח פתוח הכי נמי דיש לה טענת בתולים דכל בתולה בוגרת פתחה סתום אלא הכא במאי עסקינן דאין לה טענת בתולים דקא טעין טענת דם דאמרינן האי בתולה היא אלא שכלו דמיה</w:t>
      </w:r>
      <w:r w:rsidRPr="006633D9">
        <w:rPr>
          <w:rStyle w:val="Style1Char"/>
          <w:color w:val="C00000"/>
          <w:rtl/>
        </w:rPr>
        <w:t xml:space="preserve"> והא דרב אוקימנא פרק תינוקת בבוגרת שעדיין לא ראתה דם אבל בוגרת שראתה ועודה בבית אביה אין לה אלא בעילת מצוה ופורש וכן הלכה </w:t>
      </w:r>
      <w:r w:rsidRPr="00A433A8">
        <w:rPr>
          <w:rStyle w:val="Style1Char"/>
          <w:color w:val="806000" w:themeColor="accent4" w:themeShade="80"/>
          <w:rtl/>
        </w:rPr>
        <w:t>נמצאו עכשיו שהבתולות הבוגרות יש מהן שיש להן דמים והיינו דאמר רב נותנין לה לילה הראשון ויש מהן שאין להן דמים והיינו דקתני הבוגרת אין לה טענת בתולים הא טענת פתח פתוח יש לה וכן הלכתא</w:t>
      </w:r>
      <w:r w:rsidRPr="00A433A8">
        <w:rPr>
          <w:rStyle w:val="Style1Char"/>
          <w:color w:val="806000" w:themeColor="accent4" w:themeShade="80"/>
        </w:rPr>
        <w:t>:</w:t>
      </w:r>
      <w:r w:rsidR="00A433A8" w:rsidRPr="00A433A8">
        <w:rPr>
          <w:rStyle w:val="Style1Char"/>
          <w:color w:val="4472C4" w:themeColor="accent1"/>
          <w:rtl/>
        </w:rPr>
        <w:t xml:space="preserve"> </w:t>
      </w:r>
      <w:r w:rsidR="00A433A8" w:rsidRPr="00A755B9">
        <w:rPr>
          <w:rStyle w:val="Style1Char"/>
          <w:color w:val="4472C4" w:themeColor="accent1"/>
          <w:rtl/>
        </w:rPr>
        <w:t>ומקשינן על גירסא זו למה האריך הש"ס לומר אי דקא טעין טענת פתח פתוח הכי נמי לא הוה צריך למימר אלא יש בוגרת שיש לה דמים ויש שאין לה דמים הלכך כי בעל ומצא דם תלינן בדם בתולים ואי לא מצא דם אנו אומרים שכלו בתוליה ופתח פתוח מאן דכר שמיה. ורש"י גרס איפכא אי דקא טעין טענת דמים הכי נמי הכא במאי עסקינן דקא טעין פתח פתוח פירוש אי טעין ואמר לא מצאתי דם הכי נמי דיש להם טענת בתולים ומפסדת כתובתה</w:t>
      </w:r>
      <w:r w:rsidR="00A433A8">
        <w:rPr>
          <w:rStyle w:val="Style1Char"/>
          <w:rFonts w:hint="cs"/>
          <w:color w:val="4472C4" w:themeColor="accent1"/>
        </w:rPr>
        <w:t>‍</w:t>
      </w:r>
      <w:r w:rsidR="00A433A8" w:rsidRPr="00A755B9">
        <w:rPr>
          <w:rStyle w:val="Style1Char"/>
          <w:color w:val="4472C4" w:themeColor="accent1"/>
          <w:rtl/>
        </w:rPr>
        <w:t xml:space="preserve"> דכל הבוגרות יש להם דמים הלכך נותנין לה לילה הראשון והא דקתני אין להם טענת בתולים דטעין פתח פתוח מצאתי דבטענה זו אינה מפסדת כתובתה דדרך הבתולות כשמגיעות לימי הבגרות אבריהן מתפרקין ואף על פי שיש להן דמים הפתח פתוח. והרמב"ן ז"ל כתב כן וכן מוכח בירושלמי דקאמר בוגרת כחבית פתוחה דמיא</w:t>
      </w:r>
      <w:r w:rsidR="00A433A8" w:rsidRPr="00A755B9">
        <w:rPr>
          <w:rStyle w:val="Style1Char"/>
          <w:color w:val="4472C4" w:themeColor="accent1"/>
        </w:rPr>
        <w:t xml:space="preserve">: </w:t>
      </w:r>
    </w:p>
    <w:p w14:paraId="0BB8F31F" w14:textId="2072B31C" w:rsidR="00F450C8" w:rsidRPr="000D636F" w:rsidRDefault="00F450C8" w:rsidP="00F450C8">
      <w:pPr>
        <w:bidi/>
        <w:rPr>
          <w:rStyle w:val="Style1Char"/>
          <w:color w:val="auto"/>
          <w:sz w:val="22"/>
          <w:szCs w:val="22"/>
        </w:rPr>
      </w:pPr>
      <w:r w:rsidRPr="000D636F">
        <w:rPr>
          <w:rStyle w:val="Style1Char"/>
          <w:color w:val="auto"/>
          <w:sz w:val="22"/>
          <w:szCs w:val="22"/>
          <w:rtl/>
        </w:rPr>
        <w:t xml:space="preserve">מתני'. </w:t>
      </w:r>
      <w:r w:rsidR="00F36DC4">
        <w:rPr>
          <w:rStyle w:val="Style1Char"/>
          <w:rFonts w:hint="cs"/>
          <w:rtl/>
        </w:rPr>
        <w:t>(3)</w:t>
      </w:r>
      <w:r w:rsidRPr="000D636F">
        <w:rPr>
          <w:rStyle w:val="Style1Char"/>
          <w:color w:val="auto"/>
          <w:sz w:val="22"/>
          <w:szCs w:val="22"/>
          <w:rtl/>
        </w:rPr>
        <w:t xml:space="preserve">בתולה - כתובתה מאתים, ואלמנה - מנה. </w:t>
      </w:r>
      <w:r w:rsidR="000A2E35">
        <w:rPr>
          <w:rStyle w:val="Style1Char"/>
          <w:rFonts w:hint="cs"/>
          <w:rtl/>
        </w:rPr>
        <w:t>(</w:t>
      </w:r>
      <w:r w:rsidR="00C709DD">
        <w:rPr>
          <w:rStyle w:val="Style1Char"/>
          <w:rFonts w:hint="cs"/>
          <w:rtl/>
        </w:rPr>
        <w:t>4</w:t>
      </w:r>
      <w:r w:rsidR="000A2E35">
        <w:rPr>
          <w:rStyle w:val="Style1Char"/>
          <w:rFonts w:hint="cs"/>
          <w:rtl/>
        </w:rPr>
        <w:t>)</w:t>
      </w:r>
      <w:r w:rsidRPr="000D636F">
        <w:rPr>
          <w:rStyle w:val="Style1Char"/>
          <w:color w:val="auto"/>
          <w:sz w:val="22"/>
          <w:szCs w:val="22"/>
          <w:rtl/>
        </w:rPr>
        <w:t xml:space="preserve">בתולה אלמנה, גרושה, וחלוצה, מן האירוסין - כתובתן מאתים, ויש להן טענת בתולים. </w:t>
      </w:r>
    </w:p>
    <w:p w14:paraId="349336E5" w14:textId="5026B0C7" w:rsidR="00F450C8" w:rsidRDefault="00F450C8" w:rsidP="00F450C8">
      <w:pPr>
        <w:bidi/>
        <w:rPr>
          <w:rStyle w:val="Style1Char"/>
          <w:color w:val="00B050"/>
          <w:rtl/>
        </w:rPr>
      </w:pPr>
      <w:r w:rsidRPr="00F450C8">
        <w:rPr>
          <w:rStyle w:val="Style1Char"/>
          <w:color w:val="00B050"/>
          <w:rtl/>
        </w:rPr>
        <w:t xml:space="preserve">גמ'. מאי אלמנה? אמר רב חנא בגדתאה: אלמנה - על שם מנה. אלמנה מן האירוסין מאי איכא למימר? איידי דהא קרי לה אלמנה, הא נמי קרי לה אלמנה. אלמנה דכתיבא באורייתא מאי איכא למימר? דעתידין רבנן דמתקני לה מנה. ומי כתב קרא לעתיד? אין, דכתיב: ושם הנהר השלישי חדקל הוא ההולך קדמת אשור, ותנא רב יוסף: אשור - זו סליקא, ומי הואי? אלא דעתידה, הכא נמי דעתידה. ואמר רב חנא בגדתאה: מטר - משקה, מרוה ומזבל, ומעדן וממשיך. אמר רבא בר רבי ישמעאל, ואיתימא רב יימר בר שלמיא: מאי קרא? תלמיה רוה נחת גדודיה ברביבים תמוגגנה צמחה תברך. אמר רבי אלעזר: מזבח - מזיח ומזין, מחבב מכפר. היינו מכפר היינו מזיח! מזיח גזירות, ומכפר עונות. ואמר רב חנא בגדתאה: תמרי - משחנן, משבען, משלשלן, מאשרן, ולא מפנקן. אמר רב: אכל תמרים </w:t>
      </w:r>
      <w:r w:rsidR="00C709DD">
        <w:rPr>
          <w:rStyle w:val="Style1Char"/>
          <w:rFonts w:hint="cs"/>
          <w:rtl/>
        </w:rPr>
        <w:t>(5)</w:t>
      </w:r>
      <w:r w:rsidRPr="00F450C8">
        <w:rPr>
          <w:rStyle w:val="Style1Char"/>
          <w:color w:val="00B050"/>
          <w:rtl/>
        </w:rPr>
        <w:t>אל יורה. מיתיבי: תמרים, שחרית וערבית - יפות, במנחה - רעות, בצהרים - אין כמותן; ומבטלות שלשה דברים: מחשבה רעה, וחולי מעים, ותחתוניות! מי אמרינן דלא מעלו? עלויי מעלו, ולפי שעתא טרדא, מידי דהוה אחמרא, דאמר מר: השותה רביעית יין אל יורה. ואיבעית אימא, לא קשיא: הא מקמי נהמא, הא לבתר נהמא, דאמר אביי, אמרה לי אם: תמרי מקמי נהמא - כי נרגא לדיקולא, בתר נהמא - כי עברא לדשא. דשא - אמר רבא: דרך שם. דרגא - אמר רבא: דרך גג. פוריא - א"ר פפא: שפרין ורבין עליה. אמר רב נחמן בר יצחק,</w:t>
      </w:r>
    </w:p>
    <w:p w14:paraId="6C80690F" w14:textId="206871DF" w:rsidR="00D91500" w:rsidRDefault="00D91500" w:rsidP="00D91500">
      <w:pPr>
        <w:pStyle w:val="Style1"/>
        <w:rPr>
          <w:rStyle w:val="Style1Char"/>
          <w:rtl/>
        </w:rPr>
      </w:pPr>
      <w:r>
        <w:rPr>
          <w:rStyle w:val="Style1Char"/>
          <w:rFonts w:hint="cs"/>
          <w:rtl/>
        </w:rPr>
        <w:t>1)[</w:t>
      </w:r>
      <w:r w:rsidRPr="001B22B3">
        <w:rPr>
          <w:rStyle w:val="Style1Char"/>
          <w:rtl/>
        </w:rPr>
        <w:t>רמב</w:t>
      </w:r>
      <w:r w:rsidR="00213DA1">
        <w:rPr>
          <w:rStyle w:val="Style1Char"/>
          <w:rtl/>
        </w:rPr>
        <w:t>”ם \נשים\</w:t>
      </w:r>
      <w:r w:rsidRPr="001B22B3">
        <w:rPr>
          <w:rStyle w:val="Style1Char"/>
          <w:rtl/>
        </w:rPr>
        <w:t xml:space="preserve"> הלכות אישות פרק יא הלכה יב</w:t>
      </w:r>
      <w:r>
        <w:rPr>
          <w:rStyle w:val="Style1Char"/>
          <w:rFonts w:hint="cs"/>
          <w:rtl/>
        </w:rPr>
        <w:t xml:space="preserve">] </w:t>
      </w:r>
      <w:r w:rsidRPr="001B22B3">
        <w:rPr>
          <w:rStyle w:val="Style1Char"/>
          <w:rtl/>
        </w:rPr>
        <w:t>טען ואמר לא מצאתיה בתולה והיא אומרת לא בא עלי ועדיין בתולה אני, בודקין אותה או חוזר ובועל בפני עדים. אמרה בא עלי ובתולה מצאני ככל הבתולות ושקר הוא טוען, שואלין אותו ואומרין לו מה היה הדבר עד שאמרת שאינה בתולה, אם אמר מפני שלא מצאתי דם בודקין במשפחתה שמא אין להם דם כלל לא דם נדה ולא דם בתולים אם נמצאו כולן כן הרי זו בחזקתה, לא נמצאו בני משפחתה כן בודקין אותה שמא חולי גדול יש בה שיבש לחלוחית האיברים או שמא היתה מתענה ברעב, ומרטבין אותה ומאכילין אותה ומשקין אותה עד שתבריא ותבעל שנייה ונראה אם תוציא דם אם לאו, ואם אין שם חולי ולא רעב ולא כיוצא בו הרי זו טענת בתולים, ואף על פי שמצא דוחק בעת התשמיש הואיל ולא יצא דם אין כאן בתולים, שכל בתולה יש לה דם בין קטנה בין נערה בין בוגרת אלא מפני החולי כמו שביארנו. ואם אמר מפני שלא מצאתי דוחק אלא פתח פתוח מצאתי, שואלין על שנותיה שמא בוגרת היא שרוב הבוגרות אין להן דוחק שמרגישין בו הרבה שהרי גדלה ונתרפו איבריה וכלו בתוליה, ואם לא בגרה עדיין אומרין לו שמא הטיתה או בעלת בנחת הרבה ולפיכך לא הרגשת בדוחק, אם אמר לא כי אלא ודאי פתח פתוח היה הרי זו טענת בתולים לכל בתולה שלא בגרה בין קטנה בין נערה בין בריאה בין חולה שכל נערה בתולה פתחה סתום הוא, ואף על פי שיצא הדם הואיל ומצא פתח פתוח אין כאן בתולים.</w:t>
      </w:r>
    </w:p>
    <w:p w14:paraId="517E92BA" w14:textId="638AFC7C" w:rsidR="00D91500" w:rsidRPr="00DA19D1" w:rsidRDefault="00D91500" w:rsidP="00DB206C">
      <w:pPr>
        <w:pStyle w:val="Style1"/>
        <w:rPr>
          <w:rtl/>
        </w:rPr>
      </w:pPr>
      <w:r>
        <w:rPr>
          <w:rStyle w:val="Style1Char"/>
          <w:rFonts w:hint="cs"/>
          <w:rtl/>
        </w:rPr>
        <w:t>1)[</w:t>
      </w:r>
      <w:r w:rsidRPr="00D91500">
        <w:rPr>
          <w:rStyle w:val="Style1Char"/>
          <w:rtl/>
        </w:rPr>
        <w:t>שולחן ערוך אבן העזר הלכות כתובות סימן סח סעיף ד</w:t>
      </w:r>
      <w:r>
        <w:rPr>
          <w:rStyle w:val="Style1Char"/>
          <w:rFonts w:hint="cs"/>
          <w:rtl/>
        </w:rPr>
        <w:t>]</w:t>
      </w:r>
      <w:r w:rsidR="00DB206C">
        <w:rPr>
          <w:rStyle w:val="Style1Char"/>
          <w:rFonts w:hint="cs"/>
          <w:rtl/>
        </w:rPr>
        <w:t xml:space="preserve"> </w:t>
      </w:r>
      <w:r w:rsidR="00DB206C">
        <w:rPr>
          <w:shd w:val="clear" w:color="auto" w:fill="FFFFFF"/>
          <w:rtl/>
        </w:rPr>
        <w:t xml:space="preserve">טען ואמר: לא מצאתיה בתולה, והיא אומרת: לא בא עלי ועדיין אני בתולה, בודקין </w:t>
      </w:r>
      <w:r w:rsidR="00DB206C" w:rsidRPr="00DA19D1">
        <w:rPr>
          <w:rtl/>
        </w:rPr>
        <w:t>אותה </w:t>
      </w:r>
      <w:r w:rsidR="00DB206C" w:rsidRPr="00DA19D1">
        <w:rPr>
          <w:rFonts w:hint="cs"/>
          <w:rtl/>
        </w:rPr>
        <w:t>על פי חבית של יין (טור)</w:t>
      </w:r>
      <w:r w:rsidR="00DB206C" w:rsidRPr="00DA19D1">
        <w:t xml:space="preserve">, </w:t>
      </w:r>
      <w:r w:rsidR="00DB206C" w:rsidRPr="00DA19D1">
        <w:rPr>
          <w:rtl/>
        </w:rPr>
        <w:t>או מתיחד עמה בפני עדים וחוזר ובועל</w:t>
      </w:r>
      <w:r w:rsidR="00DB206C" w:rsidRPr="00DA19D1">
        <w:t>:</w:t>
      </w:r>
    </w:p>
    <w:p w14:paraId="76E66313" w14:textId="2E380D0F" w:rsidR="002E3C10" w:rsidRDefault="002E3C10" w:rsidP="002E3C10">
      <w:pPr>
        <w:pStyle w:val="Style1"/>
        <w:rPr>
          <w:rtl/>
        </w:rPr>
      </w:pPr>
      <w:r>
        <w:rPr>
          <w:rStyle w:val="Style1Char"/>
          <w:rFonts w:hint="cs"/>
          <w:rtl/>
        </w:rPr>
        <w:t>2)[</w:t>
      </w:r>
      <w:r w:rsidRPr="002E3C10">
        <w:rPr>
          <w:rStyle w:val="Style1Char"/>
          <w:rtl/>
        </w:rPr>
        <w:t>שולחן ערוך אבן העזר הלכות כתובות סימן סח סעיף ה</w:t>
      </w:r>
      <w:r>
        <w:rPr>
          <w:rStyle w:val="Style1Char"/>
          <w:rFonts w:hint="cs"/>
          <w:rtl/>
        </w:rPr>
        <w:t>]</w:t>
      </w:r>
      <w:r w:rsidR="00DA19D1">
        <w:rPr>
          <w:rStyle w:val="Style1Char"/>
          <w:rFonts w:hint="cs"/>
          <w:rtl/>
        </w:rPr>
        <w:t xml:space="preserve"> </w:t>
      </w:r>
      <w:r w:rsidR="00DA19D1" w:rsidRPr="00DA19D1">
        <w:rPr>
          <w:rtl/>
        </w:rPr>
        <w:t>טען טענת דמים, אם היתה ממשפחת דורקטי</w:t>
      </w:r>
      <w:r w:rsidR="00DA19D1" w:rsidRPr="00DA19D1">
        <w:t xml:space="preserve"> (</w:t>
      </w:r>
      <w:r w:rsidR="00DA19D1" w:rsidRPr="00DA19D1">
        <w:rPr>
          <w:rtl/>
        </w:rPr>
        <w:t>פרוש, דור קטוע, כלומר משפחה של עקרים שעל ידה הדור קטוע מבנים</w:t>
      </w:r>
      <w:r w:rsidR="00DA19D1" w:rsidRPr="00DA19D1">
        <w:t xml:space="preserve">), </w:t>
      </w:r>
      <w:r w:rsidR="00DA19D1" w:rsidRPr="00DA19D1">
        <w:rPr>
          <w:rtl/>
        </w:rPr>
        <w:t>הרי זו בחזקתה; ואם לאו, בודקין אותה שמא חולי גדול יש בה שיבש לחלוחית האברים, או שהיתה מתענית ברעב, ומכניסין אותה למרחץ ומרטיבין אותה ומאכילין ומשקין אותה עד שתבעל שנית ונראה אם תוציא דם. ואם אין שם חולי ולא רעב וכיוצא בו, הרי זו טענה</w:t>
      </w:r>
      <w:r w:rsidR="00DA19D1" w:rsidRPr="00DA19D1">
        <w:t>:</w:t>
      </w:r>
    </w:p>
    <w:p w14:paraId="3759C793" w14:textId="331DA56A" w:rsidR="00A32435" w:rsidRDefault="00A32435" w:rsidP="00A32435">
      <w:pPr>
        <w:pStyle w:val="Style1"/>
        <w:rPr>
          <w:rtl/>
        </w:rPr>
      </w:pPr>
      <w:r>
        <w:rPr>
          <w:rFonts w:hint="cs"/>
          <w:rtl/>
        </w:rPr>
        <w:t>3)[</w:t>
      </w:r>
      <w:r>
        <w:rPr>
          <w:rtl/>
        </w:rPr>
        <w:t>רמב</w:t>
      </w:r>
      <w:r w:rsidR="00213DA1">
        <w:rPr>
          <w:rtl/>
        </w:rPr>
        <w:t>”ם \נשים\</w:t>
      </w:r>
      <w:r>
        <w:rPr>
          <w:rtl/>
        </w:rPr>
        <w:t xml:space="preserve"> הלכות אישות פרק י הלכה ט</w:t>
      </w:r>
      <w:r>
        <w:rPr>
          <w:rFonts w:hint="cs"/>
          <w:rtl/>
        </w:rPr>
        <w:t xml:space="preserve">] </w:t>
      </w:r>
      <w:r>
        <w:rPr>
          <w:rtl/>
        </w:rPr>
        <w:t>אין פוחתין לבתולה ממאתים ולבעולה ממאה, וכל הפוחת בעילתו בעילת זנות, אחד הכותב את הכתובה בשטר ואחד שהעידו עליו עדים וקנו ממנו שהוא חייב לה מאה או מאתים הרי זה מותר, וכן אם נתן לה מטלטלין כנגד כתובתה הרי זה מותר לבעול עד שיהיה לו פנאי לכתוב.</w:t>
      </w:r>
    </w:p>
    <w:p w14:paraId="310F4612" w14:textId="29F4D2C8" w:rsidR="00936E6D" w:rsidRPr="001D710E" w:rsidRDefault="00936E6D" w:rsidP="00936E6D">
      <w:pPr>
        <w:pStyle w:val="Style1"/>
      </w:pPr>
      <w:r>
        <w:rPr>
          <w:rFonts w:hint="cs"/>
          <w:rtl/>
        </w:rPr>
        <w:t>3)[</w:t>
      </w:r>
      <w:r>
        <w:rPr>
          <w:rtl/>
        </w:rPr>
        <w:t>שולחן ערוך אבן העזר הלכות כתובות סימן סו סעיף ו</w:t>
      </w:r>
      <w:r>
        <w:rPr>
          <w:rFonts w:hint="cs"/>
          <w:rtl/>
        </w:rPr>
        <w:t xml:space="preserve">] </w:t>
      </w:r>
      <w:r w:rsidRPr="001D710E">
        <w:rPr>
          <w:rtl/>
        </w:rPr>
        <w:t>כמה שיעור הכתובה, לבתולה מאתים, ולאלמנה מנה, ושל זו וזו כסף מדינה; נמצא, כתובת בתולה הם שלשים ושבעה דרהם וחצי כסף צרוף, וכתובת אלמנה מחציתם, שהם שמונה עשר דרהם ושלשה רביעים כסף צרוף</w:t>
      </w:r>
      <w:r w:rsidRPr="001D710E">
        <w:t>.</w:t>
      </w:r>
    </w:p>
    <w:p w14:paraId="31FFE09B" w14:textId="42161E99" w:rsidR="00936E6D" w:rsidRDefault="00936E6D" w:rsidP="00936E6D">
      <w:pPr>
        <w:pStyle w:val="Style1"/>
        <w:rPr>
          <w:rtl/>
        </w:rPr>
      </w:pPr>
      <w:r w:rsidRPr="001D710E">
        <w:rPr>
          <w:rtl/>
        </w:rPr>
        <w:lastRenderedPageBreak/>
        <w:t>הגה: עיין </w:t>
      </w:r>
      <w:hyperlink r:id="rId23" w:tooltip="שולחן ערוך יורה דעה רצד" w:history="1">
        <w:r w:rsidRPr="001D710E">
          <w:rPr>
            <w:rStyle w:val="Hyperlink"/>
            <w:color w:val="7030A0"/>
            <w:u w:val="none"/>
            <w:rtl/>
          </w:rPr>
          <w:t>ביורה דעה סימן רצ"ד</w:t>
        </w:r>
      </w:hyperlink>
      <w:r w:rsidRPr="001D710E">
        <w:t> </w:t>
      </w:r>
      <w:hyperlink r:id="rId24" w:tooltip="שולחן ערוך יורה דעה שה" w:history="1">
        <w:r w:rsidRPr="001D710E">
          <w:rPr>
            <w:rStyle w:val="Hyperlink"/>
            <w:color w:val="7030A0"/>
            <w:u w:val="none"/>
            <w:rtl/>
          </w:rPr>
          <w:t>וסימן ש"ה</w:t>
        </w:r>
      </w:hyperlink>
      <w:r w:rsidRPr="001D710E">
        <w:t> </w:t>
      </w:r>
      <w:r w:rsidRPr="001D710E">
        <w:rPr>
          <w:rtl/>
        </w:rPr>
        <w:t>ערך המטבע שנקראת דרהם. וכל זה לדעת קצת הפוסקים, שסבירא להו שכתובת בתולה אינה רק זוזי דרבנן (הרי"ף והרמב"ם והר"ן והר"ם), שמאתים של בתולה עולין ששה סלעים ורביע. ויש מי שמשער כתובת בתולה עשרה זהובים ואלמנה חמשה זהובים (מהרי"ל בשם אגדה). אבל לדעת יש פוסקים, מאתים של בתולה ומנה של אלמנה משערים בזוזי דאורייתא, והוא שמונה פעמים יותר, וכתבו דלכן נהגו לכתוב בכתובה "דחזו ליכי מדאורייתא" (רבנו תם). ויש אומרים דכותבין "דחזו לכי" סתמא (הגהות מימוני פרק י' דאישות). והמנהג לכתוב לבתולה: "דחזי ליכי מדאורייתא", אבל לא לאלמנה. וכל זה במקום שאין מנהג, אבל במקום שיש מנהג, מה שגובין, הולכין אחר המנהג, וכמו שיתבאר לקמן</w:t>
      </w:r>
      <w:r w:rsidRPr="001D710E">
        <w:t>:</w:t>
      </w:r>
    </w:p>
    <w:p w14:paraId="65A0B403" w14:textId="57C969AB" w:rsidR="009C4002" w:rsidRDefault="009C4002" w:rsidP="009C4002">
      <w:pPr>
        <w:pStyle w:val="Style1"/>
        <w:rPr>
          <w:rtl/>
        </w:rPr>
      </w:pPr>
      <w:r>
        <w:rPr>
          <w:rFonts w:hint="cs"/>
          <w:rtl/>
        </w:rPr>
        <w:t>4)[</w:t>
      </w:r>
      <w:r>
        <w:rPr>
          <w:rtl/>
        </w:rPr>
        <w:t>רמב</w:t>
      </w:r>
      <w:r w:rsidR="00213DA1">
        <w:rPr>
          <w:rtl/>
        </w:rPr>
        <w:t>”ם \נשים\</w:t>
      </w:r>
      <w:r>
        <w:rPr>
          <w:rtl/>
        </w:rPr>
        <w:t xml:space="preserve"> הלכות אישות פרק יא הלכה א</w:t>
      </w:r>
      <w:r>
        <w:rPr>
          <w:rFonts w:hint="cs"/>
          <w:rtl/>
        </w:rPr>
        <w:t xml:space="preserve">] </w:t>
      </w:r>
      <w:r>
        <w:rPr>
          <w:rtl/>
        </w:rPr>
        <w:t>הנושא בתולה שנתאלמנה או שנתגרשה או נחלצה, אם מן האירוסין נתאלמנה או נתגרשה או נחלצה כתובתה מאתים, ואם מן הנישואין כתובתה מאה, שמשנשאת הרי היא כבעולה. וכן הנושא בתולה משוחררת או גיורת או שבויה, אם נשתחררה השפחה ונתגיירה הגויה ונפדית השבויה והן פחותות משלש שנים ויום אחד כתובתן מאתים, ואם היו בנות שלש שנים ויום אחד ומעלה כתובתן מאה.</w:t>
      </w:r>
    </w:p>
    <w:p w14:paraId="34B9FBE7" w14:textId="25DB28C1" w:rsidR="00424AAC" w:rsidRDefault="00424AAC" w:rsidP="00424AAC">
      <w:pPr>
        <w:pStyle w:val="Style1"/>
        <w:rPr>
          <w:rtl/>
        </w:rPr>
      </w:pPr>
      <w:r>
        <w:rPr>
          <w:rFonts w:hint="cs"/>
          <w:rtl/>
        </w:rPr>
        <w:t>4)[</w:t>
      </w:r>
      <w:r>
        <w:rPr>
          <w:rtl/>
        </w:rPr>
        <w:t>רמב</w:t>
      </w:r>
      <w:r w:rsidR="00213DA1">
        <w:rPr>
          <w:rtl/>
        </w:rPr>
        <w:t>”ם \נשים\</w:t>
      </w:r>
      <w:r>
        <w:rPr>
          <w:rtl/>
        </w:rPr>
        <w:t xml:space="preserve"> הלכות אישות פרק יא הלכה ח</w:t>
      </w:r>
      <w:r>
        <w:rPr>
          <w:rFonts w:hint="cs"/>
          <w:rtl/>
        </w:rPr>
        <w:t xml:space="preserve">] </w:t>
      </w:r>
      <w:r>
        <w:rPr>
          <w:rtl/>
        </w:rPr>
        <w:t>כל בתולה שכתובתה מאתים יש לה טענת בתולים, וכל שכתובתה מאה או שלא תיקנו לה חכמים כתובה אין לה טענת בתולים, והמתייחד עם ארוסתו קודם נישואין אין לה טענת בתולים.</w:t>
      </w:r>
    </w:p>
    <w:p w14:paraId="1C6C7870" w14:textId="1F3D89E7" w:rsidR="006E28FA" w:rsidRDefault="006E28FA" w:rsidP="006E28FA">
      <w:pPr>
        <w:pStyle w:val="Style1"/>
        <w:rPr>
          <w:rtl/>
        </w:rPr>
      </w:pPr>
      <w:r>
        <w:rPr>
          <w:rFonts w:hint="cs"/>
          <w:rtl/>
        </w:rPr>
        <w:t>4)[</w:t>
      </w:r>
      <w:r>
        <w:rPr>
          <w:rtl/>
        </w:rPr>
        <w:t>שולחן ערוך אבן העזר הלכות כתובות סימן סז סעיף א</w:t>
      </w:r>
      <w:r>
        <w:rPr>
          <w:rFonts w:hint="cs"/>
          <w:rtl/>
        </w:rPr>
        <w:t xml:space="preserve">] </w:t>
      </w:r>
      <w:r>
        <w:rPr>
          <w:rtl/>
        </w:rPr>
        <w:t>בתולה שנתאלמנה או נתגרשה או נחלצה מן האירוסין, ונשאת, כתובתה מאתים ויש לה טענת בתולים.</w:t>
      </w:r>
    </w:p>
    <w:p w14:paraId="1D571D0D" w14:textId="16F3854B" w:rsidR="003873EA" w:rsidRDefault="00E017B8" w:rsidP="003873EA">
      <w:pPr>
        <w:pStyle w:val="Style1"/>
        <w:rPr>
          <w:rtl/>
        </w:rPr>
      </w:pPr>
      <w:r>
        <w:rPr>
          <w:rFonts w:hint="cs"/>
          <w:rtl/>
        </w:rPr>
        <w:t>5</w:t>
      </w:r>
      <w:r w:rsidR="003873EA">
        <w:rPr>
          <w:rFonts w:hint="cs"/>
          <w:rtl/>
        </w:rPr>
        <w:t>)[</w:t>
      </w:r>
      <w:r w:rsidR="003873EA">
        <w:rPr>
          <w:rtl/>
        </w:rPr>
        <w:t>רמב</w:t>
      </w:r>
      <w:r w:rsidR="00C764B2">
        <w:rPr>
          <w:rtl/>
        </w:rPr>
        <w:t>”</w:t>
      </w:r>
      <w:r w:rsidR="003873EA">
        <w:rPr>
          <w:rtl/>
        </w:rPr>
        <w:t xml:space="preserve">ם </w:t>
      </w:r>
      <w:r w:rsidR="00C764B2">
        <w:rPr>
          <w:rtl/>
        </w:rPr>
        <w:t xml:space="preserve">\עבודה\ </w:t>
      </w:r>
      <w:r w:rsidR="003873EA">
        <w:rPr>
          <w:rtl/>
        </w:rPr>
        <w:t>הלכות ביאת המקדש</w:t>
      </w:r>
      <w:r w:rsidR="00C764B2">
        <w:rPr>
          <w:rtl/>
        </w:rPr>
        <w:t xml:space="preserve"> </w:t>
      </w:r>
      <w:r w:rsidR="003873EA">
        <w:rPr>
          <w:rtl/>
        </w:rPr>
        <w:t xml:space="preserve"> פרק א הלכה ג</w:t>
      </w:r>
      <w:r w:rsidR="003873EA">
        <w:rPr>
          <w:rFonts w:hint="cs"/>
          <w:rtl/>
        </w:rPr>
        <w:t xml:space="preserve">] </w:t>
      </w:r>
      <w:r w:rsidR="003873EA">
        <w:rPr>
          <w:rtl/>
        </w:rPr>
        <w:t>וכשם שאסור לכהן להכנס למקדש מפני השכרות כך אסור לכל אדם בין כהן בין ישראל להורות כשהוא שתוי, אפילו אכל תמרים או שתה חלב ונשתבשה דעתו מעט אל יורה שנאמר ולהורות את בני ישראל, ואם הורה בדבר שהוא מפורש בתורה עד שידעוהו הצדוקים מותר כגון שהורה שהשרץ טמא והצפרדע טהור והדם אסור וכיוצא בזה.</w:t>
      </w:r>
    </w:p>
    <w:p w14:paraId="4B2EC398" w14:textId="20ED8CEC" w:rsidR="00D16276" w:rsidRPr="00D16276" w:rsidRDefault="00E017B8" w:rsidP="00D16276">
      <w:pPr>
        <w:pStyle w:val="Style1"/>
      </w:pPr>
      <w:r>
        <w:rPr>
          <w:rFonts w:hint="cs"/>
          <w:rtl/>
        </w:rPr>
        <w:t>5</w:t>
      </w:r>
      <w:r w:rsidR="000033BC">
        <w:rPr>
          <w:rFonts w:hint="cs"/>
          <w:rtl/>
        </w:rPr>
        <w:t>)[</w:t>
      </w:r>
      <w:r w:rsidR="000033BC">
        <w:rPr>
          <w:rtl/>
        </w:rPr>
        <w:t>שולחן ערוך יורה דעה הלכות כבוד רבו ותלמיד חכם סימן רמב סעיף יג</w:t>
      </w:r>
      <w:r w:rsidR="000033BC">
        <w:rPr>
          <w:rFonts w:hint="cs"/>
          <w:rtl/>
        </w:rPr>
        <w:t>]</w:t>
      </w:r>
      <w:r w:rsidR="00D16276">
        <w:rPr>
          <w:rFonts w:hint="cs"/>
          <w:rtl/>
        </w:rPr>
        <w:t xml:space="preserve"> </w:t>
      </w:r>
      <w:r w:rsidR="00D16276" w:rsidRPr="00D16276">
        <w:rPr>
          <w:rtl/>
        </w:rPr>
        <w:t>תלמיד שלא הגיע להוראה ומורה -- הרי זה שוטה רשע וגס רוח ועליו נאמר "כי רבים חללים הפילה</w:t>
      </w:r>
      <w:r w:rsidR="00D16276" w:rsidRPr="00D16276">
        <w:t>":</w:t>
      </w:r>
    </w:p>
    <w:p w14:paraId="5C127CDA" w14:textId="77777777" w:rsidR="00D16276" w:rsidRPr="00D16276" w:rsidRDefault="00D16276" w:rsidP="00D16276">
      <w:pPr>
        <w:pStyle w:val="Style1"/>
      </w:pPr>
      <w:r w:rsidRPr="00D16276">
        <w:rPr>
          <w:rFonts w:hint="cs"/>
          <w:rtl/>
        </w:rPr>
        <w:t>הגה</w:t>
      </w:r>
      <w:r w:rsidRPr="00D16276">
        <w:rPr>
          <w:rFonts w:hint="cs"/>
        </w:rPr>
        <w:t>: </w:t>
      </w:r>
      <w:r w:rsidRPr="00D16276">
        <w:rPr>
          <w:rFonts w:hint="cs"/>
          <w:rtl/>
        </w:rPr>
        <w:t>ותלמידים הקטנים הקופצים להורות ולישב בראש להתגדל בפני ע"ה -- מרבים מחלוקת ומחריבים העולם ומכבין נרה של תורה (טור מרמב"ם) ויזהר כל אדם שלא יורה כשהוא שתוי יין או שאר דברים המשכרים אפי' בדבר פשוט אם לא שהוא דבר ברור בפוסקים וזיל קרי בי רב הוא (ת"ה מ"ב ובמהרי"ק שורש ק"ע ועס"ק י"ט) ועיין </w:t>
      </w:r>
      <w:hyperlink r:id="rId25" w:tooltip="שולחן ערוך חושן משפט ז" w:history="1">
        <w:r w:rsidRPr="00D16276">
          <w:rPr>
            <w:rStyle w:val="Hyperlink"/>
            <w:rFonts w:hint="cs"/>
            <w:color w:val="7030A0"/>
            <w:u w:val="none"/>
            <w:rtl/>
          </w:rPr>
          <w:t>בחוה"מ סי' ז</w:t>
        </w:r>
        <w:r w:rsidRPr="00D16276">
          <w:rPr>
            <w:rStyle w:val="Hyperlink"/>
            <w:rFonts w:hint="cs"/>
            <w:color w:val="7030A0"/>
            <w:u w:val="none"/>
          </w:rPr>
          <w:t>'</w:t>
        </w:r>
      </w:hyperlink>
      <w:r w:rsidRPr="00D16276">
        <w:t>:</w:t>
      </w:r>
    </w:p>
    <w:p w14:paraId="3D755A12" w14:textId="77777777" w:rsidR="00D16276" w:rsidRPr="00D16276" w:rsidRDefault="00D16276" w:rsidP="00D16276">
      <w:pPr>
        <w:pStyle w:val="Style1"/>
      </w:pPr>
    </w:p>
    <w:p w14:paraId="1FCA23C3" w14:textId="3712E097" w:rsidR="000033BC" w:rsidRPr="00D16276" w:rsidRDefault="000033BC" w:rsidP="00D16276">
      <w:pPr>
        <w:pStyle w:val="Style1"/>
      </w:pPr>
    </w:p>
    <w:p w14:paraId="66050201" w14:textId="16CA472A" w:rsidR="002E3C10" w:rsidRPr="00D16276" w:rsidRDefault="002E3C10" w:rsidP="00D16276">
      <w:pPr>
        <w:pStyle w:val="Style1"/>
        <w:rPr>
          <w:rStyle w:val="Style1Char"/>
        </w:rPr>
      </w:pPr>
    </w:p>
    <w:p w14:paraId="7BEA7466" w14:textId="77777777" w:rsidR="00D91500" w:rsidRPr="00D16276" w:rsidRDefault="00D91500" w:rsidP="00D16276">
      <w:pPr>
        <w:pStyle w:val="Style1"/>
        <w:rPr>
          <w:rStyle w:val="Style1Char"/>
          <w:rtl/>
        </w:rPr>
      </w:pPr>
    </w:p>
    <w:p w14:paraId="525593E2" w14:textId="77777777" w:rsidR="00465BCE" w:rsidRPr="00465BCE" w:rsidRDefault="00465BCE" w:rsidP="00465BCE">
      <w:pPr>
        <w:bidi/>
        <w:rPr>
          <w:rStyle w:val="Style1Char"/>
          <w:color w:val="00B050"/>
          <w:rtl/>
        </w:rPr>
      </w:pPr>
    </w:p>
    <w:p w14:paraId="3BDAEB85" w14:textId="77777777" w:rsidR="00F450C8" w:rsidRDefault="00F450C8">
      <w:pPr>
        <w:rPr>
          <w:rStyle w:val="Style1Char"/>
          <w:color w:val="00B050"/>
          <w:rtl/>
        </w:rPr>
      </w:pPr>
      <w:r>
        <w:rPr>
          <w:rStyle w:val="Style1Char"/>
          <w:color w:val="00B050"/>
          <w:rtl/>
        </w:rPr>
        <w:br w:type="page"/>
      </w:r>
    </w:p>
    <w:p w14:paraId="5153AF3F" w14:textId="0EADC7E9" w:rsidR="00F450C8" w:rsidRPr="00F450C8" w:rsidRDefault="00F450C8" w:rsidP="00F450C8">
      <w:pPr>
        <w:bidi/>
        <w:rPr>
          <w:rStyle w:val="Style1Char"/>
          <w:color w:val="00B050"/>
        </w:rPr>
      </w:pPr>
      <w:r w:rsidRPr="00F450C8">
        <w:rPr>
          <w:rStyle w:val="Style1Char"/>
          <w:color w:val="00B050"/>
          <w:rtl/>
        </w:rPr>
        <w:lastRenderedPageBreak/>
        <w:t xml:space="preserve"> </w:t>
      </w:r>
      <w:r w:rsidRPr="00F450C8">
        <w:rPr>
          <w:rStyle w:val="Style1Char"/>
          <w:color w:val="00B050"/>
          <w:sz w:val="22"/>
          <w:szCs w:val="22"/>
          <w:highlight w:val="yellow"/>
          <w:rtl/>
        </w:rPr>
        <w:t>[דף יא עמוד א]</w:t>
      </w:r>
      <w:r w:rsidRPr="00F450C8">
        <w:rPr>
          <w:rStyle w:val="Style1Char"/>
          <w:color w:val="00B050"/>
          <w:sz w:val="22"/>
          <w:szCs w:val="22"/>
          <w:rtl/>
        </w:rPr>
        <w:t xml:space="preserve"> </w:t>
      </w:r>
      <w:r w:rsidRPr="00F450C8">
        <w:rPr>
          <w:rStyle w:val="Style1Char"/>
          <w:color w:val="00B050"/>
          <w:rtl/>
        </w:rPr>
        <w:t xml:space="preserve">אף אנו נאמר: איילונית - דוכרנית דלא ילדה. </w:t>
      </w:r>
    </w:p>
    <w:p w14:paraId="1276EC91" w14:textId="1012D4BE" w:rsidR="00F450C8" w:rsidRPr="00C57BD9" w:rsidRDefault="00F450C8" w:rsidP="00F450C8">
      <w:pPr>
        <w:bidi/>
        <w:rPr>
          <w:rStyle w:val="Style1Char"/>
          <w:color w:val="auto"/>
          <w:sz w:val="22"/>
          <w:szCs w:val="22"/>
        </w:rPr>
      </w:pPr>
      <w:r w:rsidRPr="00C57BD9">
        <w:rPr>
          <w:rStyle w:val="Style1Char"/>
          <w:color w:val="auto"/>
          <w:sz w:val="22"/>
          <w:szCs w:val="22"/>
          <w:rtl/>
        </w:rPr>
        <w:t xml:space="preserve">מתני'. </w:t>
      </w:r>
      <w:r w:rsidR="004D04E3">
        <w:rPr>
          <w:rStyle w:val="Style1Char"/>
          <w:rFonts w:hint="cs"/>
          <w:rtl/>
        </w:rPr>
        <w:t>(1)</w:t>
      </w:r>
      <w:r w:rsidRPr="00C57BD9">
        <w:rPr>
          <w:rStyle w:val="Style1Char"/>
          <w:color w:val="auto"/>
          <w:sz w:val="22"/>
          <w:szCs w:val="22"/>
          <w:rtl/>
        </w:rPr>
        <w:t xml:space="preserve">הגיורת, והשבויה, והשפחה, שנפדו ושנתגיירו ושנשתחררו פחותות מבנות שלש שנים ויום אחד - כתובתן מאתים, ויש להן טענת בתולין. </w:t>
      </w:r>
    </w:p>
    <w:p w14:paraId="52BCFE16" w14:textId="4DFE24EF" w:rsidR="005E5762" w:rsidRPr="00A755B9" w:rsidRDefault="00F450C8" w:rsidP="005E5762">
      <w:pPr>
        <w:bidi/>
        <w:rPr>
          <w:rStyle w:val="Style1Char"/>
          <w:color w:val="4472C4" w:themeColor="accent1"/>
        </w:rPr>
      </w:pPr>
      <w:r w:rsidRPr="00A9324C">
        <w:rPr>
          <w:rStyle w:val="Style1Char"/>
          <w:color w:val="ED7D31" w:themeColor="accent2"/>
          <w:sz w:val="22"/>
          <w:szCs w:val="22"/>
          <w:rtl/>
        </w:rPr>
        <w:t xml:space="preserve">גמ'. אמר רב הונא: </w:t>
      </w:r>
      <w:r w:rsidR="00367690">
        <w:rPr>
          <w:rStyle w:val="Style1Char"/>
          <w:rFonts w:hint="cs"/>
          <w:rtl/>
        </w:rPr>
        <w:t>(2)</w:t>
      </w:r>
      <w:r w:rsidRPr="00A9324C">
        <w:rPr>
          <w:rStyle w:val="Style1Char"/>
          <w:color w:val="ED7D31" w:themeColor="accent2"/>
          <w:sz w:val="22"/>
          <w:szCs w:val="22"/>
          <w:rtl/>
        </w:rPr>
        <w:t xml:space="preserve">גר קטן מטבילין אותו על דעת בית דין. </w:t>
      </w:r>
      <w:r w:rsidRPr="00F450C8">
        <w:rPr>
          <w:rStyle w:val="Style1Char"/>
          <w:color w:val="00B050"/>
          <w:rtl/>
        </w:rPr>
        <w:t xml:space="preserve">מאי קמ"ל? </w:t>
      </w:r>
      <w:r w:rsidRPr="00A9324C">
        <w:rPr>
          <w:rStyle w:val="Style1Char"/>
          <w:color w:val="ED7D31" w:themeColor="accent2"/>
          <w:sz w:val="22"/>
          <w:szCs w:val="22"/>
          <w:rtl/>
        </w:rPr>
        <w:t xml:space="preserve">דזכות הוא לו, וזכין לאדם שלא בפניו, </w:t>
      </w:r>
      <w:r w:rsidRPr="00F450C8">
        <w:rPr>
          <w:rStyle w:val="Style1Char"/>
          <w:color w:val="00B050"/>
          <w:rtl/>
        </w:rPr>
        <w:t xml:space="preserve">תנינא: </w:t>
      </w:r>
      <w:r w:rsidR="0073594C">
        <w:rPr>
          <w:rStyle w:val="Style1Char"/>
          <w:rFonts w:hint="cs"/>
          <w:rtl/>
        </w:rPr>
        <w:t>(3)</w:t>
      </w:r>
      <w:r w:rsidRPr="00F450C8">
        <w:rPr>
          <w:rStyle w:val="Style1Char"/>
          <w:color w:val="00B050"/>
          <w:rtl/>
        </w:rPr>
        <w:t>זכין לאדם שלא בפניו, ואין חבין לאדם שלא בפניו! מהו דתימא עובד כוכבים בהפקירא ניחא ליה, ד</w:t>
      </w:r>
      <w:r w:rsidRPr="001A6FF2">
        <w:rPr>
          <w:rStyle w:val="Style1Char"/>
          <w:color w:val="ED7D31" w:themeColor="accent2"/>
          <w:sz w:val="22"/>
          <w:szCs w:val="22"/>
          <w:rtl/>
        </w:rPr>
        <w:t>הא</w:t>
      </w:r>
      <w:r w:rsidRPr="00F450C8">
        <w:rPr>
          <w:rStyle w:val="Style1Char"/>
          <w:color w:val="00B050"/>
          <w:rtl/>
        </w:rPr>
        <w:t xml:space="preserve"> </w:t>
      </w:r>
      <w:r w:rsidRPr="001A6FF2">
        <w:rPr>
          <w:rStyle w:val="Style1Char"/>
          <w:color w:val="ED7D31" w:themeColor="accent2"/>
          <w:sz w:val="22"/>
          <w:szCs w:val="22"/>
          <w:rtl/>
        </w:rPr>
        <w:t xml:space="preserve">קיימא לן </w:t>
      </w:r>
      <w:r w:rsidRPr="00F450C8">
        <w:rPr>
          <w:rStyle w:val="Style1Char"/>
          <w:color w:val="00B050"/>
          <w:rtl/>
        </w:rPr>
        <w:t xml:space="preserve">דעבד </w:t>
      </w:r>
      <w:r w:rsidR="001A6FF2" w:rsidRPr="001A6FF2">
        <w:rPr>
          <w:rStyle w:val="Style1Char"/>
          <w:color w:val="4472C4" w:themeColor="accent1"/>
          <w:sz w:val="22"/>
          <w:szCs w:val="22"/>
          <w:rtl/>
        </w:rPr>
        <w:t xml:space="preserve">דעובד כוכבים </w:t>
      </w:r>
      <w:r w:rsidRPr="00F450C8">
        <w:rPr>
          <w:rStyle w:val="Style1Char"/>
          <w:color w:val="00B050"/>
          <w:rtl/>
        </w:rPr>
        <w:t xml:space="preserve">ודאי </w:t>
      </w:r>
      <w:r w:rsidRPr="001A6FF2">
        <w:rPr>
          <w:rStyle w:val="Style1Char"/>
          <w:color w:val="ED7D31" w:themeColor="accent2"/>
          <w:sz w:val="22"/>
          <w:szCs w:val="22"/>
          <w:rtl/>
        </w:rPr>
        <w:t>בהפקירא ניחא ליה,</w:t>
      </w:r>
      <w:r w:rsidRPr="00F450C8">
        <w:rPr>
          <w:rStyle w:val="Style1Char"/>
          <w:color w:val="00B050"/>
          <w:rtl/>
        </w:rPr>
        <w:t xml:space="preserve"> קמ"ל </w:t>
      </w:r>
      <w:r w:rsidRPr="001A6FF2">
        <w:rPr>
          <w:rStyle w:val="Style1Char"/>
          <w:color w:val="00B050"/>
          <w:rtl/>
        </w:rPr>
        <w:t>ד</w:t>
      </w:r>
      <w:r w:rsidRPr="001A6FF2">
        <w:rPr>
          <w:rStyle w:val="Style1Char"/>
          <w:color w:val="ED7D31" w:themeColor="accent2"/>
          <w:sz w:val="22"/>
          <w:szCs w:val="22"/>
          <w:rtl/>
        </w:rPr>
        <w:t xml:space="preserve">הני מילי גדול, דטעם טעם דאיסורא, אבל קטן - זכות הוא לו. </w:t>
      </w:r>
      <w:r w:rsidRPr="00F450C8">
        <w:rPr>
          <w:rStyle w:val="Style1Char"/>
          <w:color w:val="00B050"/>
          <w:rtl/>
        </w:rPr>
        <w:t xml:space="preserve">לימא מסייע ליה: הגיורת, והשבויה, והשפחה, שנפדו ושנתגיירו ושנשתחררו פחותות מבנות שלש שנים ויום אחד; מאי לאו דאטבלינהו על דעת בית דין! לא, הכא במאי עסקינן - בגר שנתגיירו בניו ובנותיו עמו, </w:t>
      </w:r>
      <w:r w:rsidR="006B4A75">
        <w:rPr>
          <w:rStyle w:val="Style1Char"/>
          <w:rFonts w:hint="cs"/>
          <w:rtl/>
        </w:rPr>
        <w:t>(</w:t>
      </w:r>
      <w:r w:rsidR="00CF5241">
        <w:rPr>
          <w:rStyle w:val="Style1Char"/>
          <w:rFonts w:hint="cs"/>
          <w:rtl/>
        </w:rPr>
        <w:t>3.3, 4</w:t>
      </w:r>
      <w:r w:rsidR="006B4A75">
        <w:rPr>
          <w:rStyle w:val="Style1Char"/>
          <w:rFonts w:hint="cs"/>
          <w:rtl/>
        </w:rPr>
        <w:t>)</w:t>
      </w:r>
      <w:r w:rsidRPr="00F450C8">
        <w:rPr>
          <w:rStyle w:val="Style1Char"/>
          <w:color w:val="00B050"/>
          <w:rtl/>
        </w:rPr>
        <w:t xml:space="preserve">דניחא להו במאי דעביד אבוהון. </w:t>
      </w:r>
      <w:r w:rsidRPr="005E5762">
        <w:rPr>
          <w:rStyle w:val="Style1Char"/>
          <w:color w:val="ED7D31" w:themeColor="accent2"/>
          <w:sz w:val="22"/>
          <w:szCs w:val="22"/>
          <w:rtl/>
        </w:rPr>
        <w:t xml:space="preserve">אמר רב יוסף: </w:t>
      </w:r>
      <w:r w:rsidR="00A22AAF">
        <w:rPr>
          <w:rStyle w:val="Style1Char"/>
          <w:rFonts w:hint="cs"/>
          <w:rtl/>
        </w:rPr>
        <w:t>(</w:t>
      </w:r>
      <w:r w:rsidR="00CF5241">
        <w:rPr>
          <w:rStyle w:val="Style1Char"/>
          <w:rFonts w:hint="cs"/>
          <w:rtl/>
        </w:rPr>
        <w:t>3.3, 4</w:t>
      </w:r>
      <w:r w:rsidR="00A22AAF">
        <w:rPr>
          <w:rStyle w:val="Style1Char"/>
          <w:rFonts w:hint="cs"/>
          <w:rtl/>
        </w:rPr>
        <w:t>)</w:t>
      </w:r>
      <w:r w:rsidRPr="005E5762">
        <w:rPr>
          <w:rStyle w:val="Style1Char"/>
          <w:color w:val="ED7D31" w:themeColor="accent2"/>
          <w:sz w:val="22"/>
          <w:szCs w:val="22"/>
          <w:rtl/>
        </w:rPr>
        <w:t xml:space="preserve">הגדילו - יכולין למחות. </w:t>
      </w:r>
      <w:r w:rsidR="005E5762" w:rsidRPr="00A755B9">
        <w:rPr>
          <w:rStyle w:val="Style1Char"/>
          <w:color w:val="4472C4" w:themeColor="accent1"/>
          <w:rtl/>
        </w:rPr>
        <w:t>קודם שראינום שנוהגים דת יהודית אבל מיום שהגדילו וראינום מקיימי מצות שוב אין יכולים למחות</w:t>
      </w:r>
      <w:r w:rsidR="005E5762">
        <w:rPr>
          <w:rStyle w:val="Style1Char"/>
          <w:rFonts w:hint="cs"/>
          <w:color w:val="4472C4" w:themeColor="accent1"/>
        </w:rPr>
        <w:t>‍‍</w:t>
      </w:r>
      <w:r w:rsidR="005E5762" w:rsidRPr="00A755B9">
        <w:rPr>
          <w:rStyle w:val="Style1Char"/>
          <w:color w:val="4472C4" w:themeColor="accent1"/>
          <w:rtl/>
        </w:rPr>
        <w:t xml:space="preserve"> ורב אלפס הביא הך דגר קטן בפ' החולץ ולא הביא דברי רב יוסף</w:t>
      </w:r>
      <w:r w:rsidR="005E5762">
        <w:rPr>
          <w:rStyle w:val="Style1Char"/>
          <w:rFonts w:hint="cs"/>
          <w:color w:val="4472C4" w:themeColor="accent1"/>
        </w:rPr>
        <w:t>‍</w:t>
      </w:r>
      <w:r w:rsidR="005E5762" w:rsidRPr="00A755B9">
        <w:rPr>
          <w:rStyle w:val="Style1Char"/>
          <w:color w:val="4472C4" w:themeColor="accent1"/>
          <w:rtl/>
        </w:rPr>
        <w:t xml:space="preserve"> ותימה הוא אי משום דאביי ורבא הקשו על דבריו הרי נתרצו קושיותיהן וה"ר יוסף הלוי פסק כרב יוסף וכן מסתבר</w:t>
      </w:r>
      <w:r w:rsidR="005E5762" w:rsidRPr="00A755B9">
        <w:rPr>
          <w:rStyle w:val="Style1Char"/>
          <w:color w:val="4472C4" w:themeColor="accent1"/>
        </w:rPr>
        <w:t xml:space="preserve">: </w:t>
      </w:r>
    </w:p>
    <w:p w14:paraId="775E20A2" w14:textId="5FF8159F" w:rsidR="00F450C8" w:rsidRDefault="00F450C8" w:rsidP="00F450C8">
      <w:pPr>
        <w:bidi/>
        <w:rPr>
          <w:rStyle w:val="Style1Char"/>
          <w:color w:val="00B050"/>
          <w:rtl/>
        </w:rPr>
      </w:pPr>
      <w:r w:rsidRPr="00F450C8">
        <w:rPr>
          <w:rStyle w:val="Style1Char"/>
          <w:color w:val="00B050"/>
          <w:rtl/>
        </w:rPr>
        <w:t xml:space="preserve">איתיביה אביי: הגיורת, והשבויה, והשפחה, שנפדו ושנתגיירו ושנשתחררו פחותות מבנות שלש שנים ויום אחד - כתובתן מאתים; ואי ס"ד הגדילו יכולין למחות, יהבינן לה כתובה דאזלה ואכלה בגיותה? </w:t>
      </w:r>
      <w:r w:rsidR="00D44E2D">
        <w:rPr>
          <w:rStyle w:val="Style1Char"/>
          <w:rFonts w:hint="cs"/>
          <w:rtl/>
        </w:rPr>
        <w:t>(3.3, 4)</w:t>
      </w:r>
      <w:r w:rsidRPr="00F450C8">
        <w:rPr>
          <w:rStyle w:val="Style1Char"/>
          <w:color w:val="00B050"/>
          <w:rtl/>
        </w:rPr>
        <w:t xml:space="preserve">לכי גדלה. לכי גדלה נמי ממחייא ונפקא! </w:t>
      </w:r>
      <w:r w:rsidR="00CC3082">
        <w:rPr>
          <w:rStyle w:val="Style1Char"/>
          <w:rFonts w:hint="cs"/>
          <w:rtl/>
        </w:rPr>
        <w:t>(3.3, 4)</w:t>
      </w:r>
      <w:r w:rsidRPr="00F450C8">
        <w:rPr>
          <w:rStyle w:val="Style1Char"/>
          <w:color w:val="00B050"/>
          <w:rtl/>
        </w:rPr>
        <w:t>כיון שהגדילה שעה אחת ולא מיחתה, שוב אינה יכולה למחות. מתיב רבא, אלו נערות שיש להן קנס: הבא על הממזרת, ועל הנתינה, ועל הכותית, ועל הגיורת, ועל השבויה, ועל השפחה, שנפדו ושנתגיירו ושנשתחררו פחותות מבנות שלש שנים ויום אחד - יש להן קנס; ואי אמרת, הגדילו יכולין למחות, יהבינן לה קנס דאזלה ואכלה בגיותה? לכי גדלה. לכי גדלה נמי ממחייא ונפקא! כיון שהגדילה שעה אחת ולא מיחתה, שוב אינה יכולה למחות. אביי לא אמר כרבא, התם קנסא - היינו טעמא, שלא יהא חוטא נשכר; רבא לא אמר כאביי,</w:t>
      </w:r>
      <w:r w:rsidR="00CB33C6" w:rsidRPr="00CB33C6">
        <w:rPr>
          <w:rFonts w:hint="cs"/>
          <w:rtl/>
        </w:rPr>
        <w:t xml:space="preserve"> </w:t>
      </w:r>
      <w:r w:rsidR="00CB33C6">
        <w:rPr>
          <w:rStyle w:val="Style1Char"/>
          <w:rFonts w:hint="cs"/>
          <w:rtl/>
        </w:rPr>
        <w:t>(5)</w:t>
      </w:r>
      <w:r w:rsidRPr="00F450C8">
        <w:rPr>
          <w:rStyle w:val="Style1Char"/>
          <w:color w:val="00B050"/>
          <w:rtl/>
        </w:rPr>
        <w:t xml:space="preserve"> כתובה - היינו טעמא, שלא תהא קלה בעיניו להוציאה. </w:t>
      </w:r>
    </w:p>
    <w:p w14:paraId="44BFB5B7" w14:textId="54021470" w:rsidR="00F450C8" w:rsidRDefault="00F450C8" w:rsidP="00F450C8">
      <w:pPr>
        <w:bidi/>
        <w:rPr>
          <w:rStyle w:val="Style1Char"/>
          <w:color w:val="auto"/>
          <w:sz w:val="22"/>
          <w:szCs w:val="22"/>
          <w:rtl/>
        </w:rPr>
      </w:pPr>
      <w:r w:rsidRPr="008C26AD">
        <w:rPr>
          <w:rStyle w:val="Style1Char"/>
          <w:color w:val="auto"/>
          <w:sz w:val="22"/>
          <w:szCs w:val="22"/>
          <w:rtl/>
        </w:rPr>
        <w:t xml:space="preserve">מתני'. </w:t>
      </w:r>
      <w:r w:rsidR="00CB33C6">
        <w:rPr>
          <w:rStyle w:val="Style1Char"/>
          <w:rFonts w:hint="cs"/>
          <w:rtl/>
        </w:rPr>
        <w:t>(6)</w:t>
      </w:r>
      <w:r w:rsidRPr="008C26AD">
        <w:rPr>
          <w:rStyle w:val="Style1Char"/>
          <w:color w:val="auto"/>
          <w:sz w:val="22"/>
          <w:szCs w:val="22"/>
          <w:rtl/>
        </w:rPr>
        <w:t xml:space="preserve">הגדול שבא על הקטנה, וקטן שבא על הגדולה, ומוכת עץ - כתובתן מאתים, דברי רבי מאיר; וחכ"א: </w:t>
      </w:r>
      <w:r w:rsidR="00D6033A">
        <w:rPr>
          <w:rStyle w:val="Style1Char"/>
          <w:rFonts w:hint="cs"/>
          <w:rtl/>
        </w:rPr>
        <w:t>(6</w:t>
      </w:r>
      <w:r w:rsidR="00175757">
        <w:rPr>
          <w:rStyle w:val="Style1Char"/>
          <w:rFonts w:hint="cs"/>
          <w:rtl/>
        </w:rPr>
        <w:t>.1, 7</w:t>
      </w:r>
      <w:r w:rsidR="00D6033A">
        <w:rPr>
          <w:rStyle w:val="Style1Char"/>
          <w:rFonts w:hint="cs"/>
          <w:rtl/>
        </w:rPr>
        <w:t>)</w:t>
      </w:r>
      <w:r w:rsidRPr="008C26AD">
        <w:rPr>
          <w:rStyle w:val="Style1Char"/>
          <w:color w:val="auto"/>
          <w:sz w:val="22"/>
          <w:szCs w:val="22"/>
          <w:rtl/>
        </w:rPr>
        <w:t xml:space="preserve">מוכת עץ - כתובתה מנה. </w:t>
      </w:r>
      <w:r w:rsidR="00175757">
        <w:rPr>
          <w:rStyle w:val="Style1Char"/>
          <w:rFonts w:hint="cs"/>
          <w:rtl/>
        </w:rPr>
        <w:t>(8)</w:t>
      </w:r>
      <w:r w:rsidRPr="008C26AD">
        <w:rPr>
          <w:rStyle w:val="Style1Char"/>
          <w:color w:val="auto"/>
          <w:sz w:val="22"/>
          <w:szCs w:val="22"/>
          <w:rtl/>
        </w:rPr>
        <w:t xml:space="preserve">בתולה אלמנה, גרושה, וחלוצה, מן הנישואין - כתובתן מנה, </w:t>
      </w:r>
    </w:p>
    <w:p w14:paraId="540A9D03" w14:textId="08F749AC" w:rsidR="00367690" w:rsidRDefault="00367690" w:rsidP="00367690">
      <w:pPr>
        <w:pStyle w:val="Style1"/>
        <w:rPr>
          <w:rStyle w:val="Style1Char"/>
          <w:rtl/>
        </w:rPr>
      </w:pPr>
      <w:r>
        <w:rPr>
          <w:rStyle w:val="Style1Char"/>
          <w:rFonts w:hint="cs"/>
          <w:rtl/>
        </w:rPr>
        <w:t>1)[</w:t>
      </w:r>
      <w:r w:rsidRPr="00367690">
        <w:rPr>
          <w:rStyle w:val="Style1Char"/>
          <w:rtl/>
        </w:rPr>
        <w:t>רמב</w:t>
      </w:r>
      <w:r w:rsidR="00213DA1">
        <w:rPr>
          <w:rStyle w:val="Style1Char"/>
          <w:rtl/>
        </w:rPr>
        <w:t>”ם \נשים\</w:t>
      </w:r>
      <w:r w:rsidRPr="00367690">
        <w:rPr>
          <w:rStyle w:val="Style1Char"/>
          <w:rtl/>
        </w:rPr>
        <w:t xml:space="preserve"> הלכות אישות פרק יא הלכה א</w:t>
      </w:r>
      <w:r>
        <w:rPr>
          <w:rStyle w:val="Style1Char"/>
          <w:rFonts w:hint="cs"/>
          <w:rtl/>
        </w:rPr>
        <w:t xml:space="preserve">] </w:t>
      </w:r>
      <w:r w:rsidRPr="00367690">
        <w:rPr>
          <w:rStyle w:val="Style1Char"/>
          <w:rtl/>
        </w:rPr>
        <w:t>הנושא בתולה שנתאלמנה או שנתגרשה או נחלצה, אם מן האירוסין נתאלמנה או נתגרשה או נחלצה כתובתה מאתים, ואם מן הנישואין כתובתה מאה, שמשנשאת הרי היא כבעולה. וכן הנושא בתולה משוחררת או גיורת או שבויה, אם נשתחררה השפחה ונתגיירה הגויה ונפדית השבויה והן פחותות משלש שנים ויום אחד כתובתן מאתים, ואם היו בנות שלש שנים ויום אחד ומעלה כתובתן מאה.</w:t>
      </w:r>
    </w:p>
    <w:p w14:paraId="01DE003C" w14:textId="535DBB35" w:rsidR="000B3DD4" w:rsidRDefault="000B3DD4" w:rsidP="000B3DD4">
      <w:pPr>
        <w:pStyle w:val="Style1"/>
        <w:rPr>
          <w:rStyle w:val="Style1Char"/>
          <w:rtl/>
        </w:rPr>
      </w:pPr>
      <w:r>
        <w:rPr>
          <w:rStyle w:val="Style1Char"/>
          <w:rFonts w:hint="cs"/>
          <w:rtl/>
        </w:rPr>
        <w:t>1)[</w:t>
      </w:r>
      <w:r w:rsidRPr="000B3DD4">
        <w:rPr>
          <w:rStyle w:val="Style1Char"/>
          <w:rtl/>
        </w:rPr>
        <w:t>שולחן ערוך אבן העזר הלכות כתובות סימן סז סעיף ג</w:t>
      </w:r>
      <w:r>
        <w:rPr>
          <w:rStyle w:val="Style1Char"/>
          <w:rFonts w:hint="cs"/>
          <w:rtl/>
        </w:rPr>
        <w:t xml:space="preserve">] </w:t>
      </w:r>
      <w:r w:rsidRPr="000B3DD4">
        <w:rPr>
          <w:rStyle w:val="Style1Char"/>
          <w:rtl/>
        </w:rPr>
        <w:t>הגיורת, והשבויה, והשפחה, שנפדו ושנתגיירו ושנשתחררו פחות מבת ג' שנים ויום אחד, כתובתה ק"ק ויש לה טענת בתולים; מבת ג' שנים ויום א' ומעלה, כתובתן מנה ואין לה טענת בתולים.</w:t>
      </w:r>
    </w:p>
    <w:p w14:paraId="4DE3B047" w14:textId="324D93D9" w:rsidR="00833FF8" w:rsidRDefault="00833FF8" w:rsidP="00833FF8">
      <w:pPr>
        <w:pStyle w:val="Style1"/>
        <w:rPr>
          <w:rStyle w:val="Style1Char"/>
          <w:rtl/>
        </w:rPr>
      </w:pPr>
      <w:r>
        <w:rPr>
          <w:rStyle w:val="Style1Char"/>
          <w:rFonts w:hint="cs"/>
          <w:rtl/>
        </w:rPr>
        <w:t>2)[</w:t>
      </w:r>
      <w:r w:rsidRPr="00833FF8">
        <w:rPr>
          <w:rStyle w:val="Style1Char"/>
          <w:rtl/>
        </w:rPr>
        <w:t>רמב</w:t>
      </w:r>
      <w:r w:rsidR="00213DA1">
        <w:rPr>
          <w:rStyle w:val="Style1Char"/>
          <w:rtl/>
        </w:rPr>
        <w:t>”ם \קדושה\</w:t>
      </w:r>
      <w:r w:rsidRPr="00833FF8">
        <w:rPr>
          <w:rStyle w:val="Style1Char"/>
          <w:rtl/>
        </w:rPr>
        <w:t xml:space="preserve"> הלכות איסורי ביאה פרק יג הלכה ז</w:t>
      </w:r>
      <w:r>
        <w:rPr>
          <w:rStyle w:val="Style1Char"/>
          <w:rFonts w:hint="cs"/>
          <w:rtl/>
        </w:rPr>
        <w:t xml:space="preserve">] </w:t>
      </w:r>
      <w:r w:rsidRPr="00833FF8">
        <w:rPr>
          <w:rStyle w:val="Style1Char"/>
          <w:rtl/>
        </w:rPr>
        <w:t>גר קטן מטבילין אותו על דעת ב"ד שזכות היא לו, מעוברת שנתגיירה וטבלה אין בנה צריך טבילה, טבל בינו לבין עצמו ונתגייר בינו לבין עצמו ואפילו בפני שנים אינו גר, בא ואמר נתגיירתי בבית דינו של פלוני והטבילוני אינו נאמן לבא בקהל עד שיביא עדים.</w:t>
      </w:r>
    </w:p>
    <w:p w14:paraId="50ABF327" w14:textId="17198B64" w:rsidR="00122CC8" w:rsidRDefault="00122CC8" w:rsidP="00122CC8">
      <w:pPr>
        <w:pStyle w:val="Style1"/>
        <w:rPr>
          <w:rStyle w:val="Style1Char"/>
          <w:rtl/>
        </w:rPr>
      </w:pPr>
      <w:r>
        <w:rPr>
          <w:rStyle w:val="Style1Char"/>
          <w:rFonts w:hint="cs"/>
          <w:rtl/>
        </w:rPr>
        <w:t>2)[</w:t>
      </w:r>
      <w:r w:rsidRPr="00122CC8">
        <w:rPr>
          <w:rStyle w:val="Style1Char"/>
          <w:rtl/>
        </w:rPr>
        <w:t>שולחן ערוך יורה דעה הלכות גרים סימן רסח סעיף ז</w:t>
      </w:r>
      <w:r>
        <w:rPr>
          <w:rStyle w:val="Style1Char"/>
          <w:rFonts w:hint="cs"/>
          <w:rtl/>
        </w:rPr>
        <w:t xml:space="preserve">] </w:t>
      </w:r>
      <w:r w:rsidRPr="00122CC8">
        <w:rPr>
          <w:rStyle w:val="Style1Char"/>
          <w:rtl/>
        </w:rPr>
        <w:t>עובד כוכבים קטן, אם יש לו אב יכול לגייר אותו. ואם אין לו אב, ובא להתגייר או אמו מביאתו להתגייר, בית דין מגיירין אותו, שזכות הוא לו וזכין לאדם שלא בפניו. בין קטן שגיירו אביו בין שגיירוהו ב"ד, יכול למחות משיגדיל ואין דינו כישראל מומר אלא כעובד כוכבים.</w:t>
      </w:r>
    </w:p>
    <w:p w14:paraId="4A0544C2" w14:textId="0E692693" w:rsidR="0073594C" w:rsidRDefault="0073594C" w:rsidP="0073594C">
      <w:pPr>
        <w:pStyle w:val="Style1"/>
        <w:rPr>
          <w:rStyle w:val="Style1Char"/>
          <w:rtl/>
        </w:rPr>
      </w:pPr>
      <w:r>
        <w:rPr>
          <w:rStyle w:val="Style1Char"/>
          <w:rFonts w:hint="cs"/>
          <w:rtl/>
        </w:rPr>
        <w:t>3)[</w:t>
      </w:r>
      <w:r w:rsidRPr="0073594C">
        <w:rPr>
          <w:rStyle w:val="Style1Char"/>
          <w:rtl/>
        </w:rPr>
        <w:t>רמב</w:t>
      </w:r>
      <w:r w:rsidR="00C764B2">
        <w:rPr>
          <w:rStyle w:val="Style1Char"/>
          <w:rtl/>
        </w:rPr>
        <w:t>”ם \קנין\</w:t>
      </w:r>
      <w:r w:rsidRPr="0073594C">
        <w:rPr>
          <w:rStyle w:val="Style1Char"/>
          <w:rtl/>
        </w:rPr>
        <w:t xml:space="preserve"> הלכות זכיה ומתנה פרק ד הלכה ב</w:t>
      </w:r>
      <w:r>
        <w:rPr>
          <w:rStyle w:val="Style1Char"/>
          <w:rFonts w:hint="cs"/>
          <w:rtl/>
        </w:rPr>
        <w:t xml:space="preserve">] </w:t>
      </w:r>
      <w:r w:rsidRPr="0073594C">
        <w:rPr>
          <w:rStyle w:val="Style1Char"/>
          <w:rtl/>
        </w:rPr>
        <w:t>המזכה לחבירו במתנה על ידי אחר כיון שהחזיק בה אחר כגון שמשך המטלטלין או הגיע שטר הקרקע לידו או החזיק בקרקע זכה חבירו אף על פי שלא הגיע המתנה לידו ואין הנותן יכול לחזור בו, אבל המקבל ידו על העליונה אם רצה מקבל אם לא רצה אינו מקבל שזכין לאדם שלא בפניו ואין חבין לו אלא בפניו וזכות הוא שתנתן לו מתנה אם ירצה, אבל אם לא ירצה אין נותנין מתנה לאדם בעל כרחו.</w:t>
      </w:r>
    </w:p>
    <w:p w14:paraId="37F5AB5C" w14:textId="4D6E884D" w:rsidR="00652920" w:rsidRDefault="00B76DAC" w:rsidP="00B76DAC">
      <w:pPr>
        <w:pStyle w:val="Style1"/>
        <w:rPr>
          <w:rStyle w:val="Style1Char"/>
          <w:rtl/>
        </w:rPr>
      </w:pPr>
      <w:r>
        <w:rPr>
          <w:rStyle w:val="Style1Char"/>
          <w:rFonts w:hint="cs"/>
          <w:rtl/>
        </w:rPr>
        <w:t>3)[</w:t>
      </w:r>
      <w:r w:rsidR="00652920" w:rsidRPr="00652920">
        <w:rPr>
          <w:rStyle w:val="Style1Char"/>
          <w:rtl/>
        </w:rPr>
        <w:t>שולחן ערוך חושן משפט הלכות מתנה סימן רמג סעיף א</w:t>
      </w:r>
      <w:r>
        <w:rPr>
          <w:rStyle w:val="Style1Char"/>
          <w:rFonts w:hint="cs"/>
          <w:rtl/>
        </w:rPr>
        <w:t xml:space="preserve">] </w:t>
      </w:r>
      <w:r w:rsidR="00652920" w:rsidRPr="00652920">
        <w:rPr>
          <w:rStyle w:val="Style1Char"/>
          <w:rtl/>
        </w:rPr>
        <w:t>המזכה לחבירו מתנה על ידי אחר, כיון שהחזיק הזוכה בנכסים או בקרקע, או שהגיע השטר לידו, זכה המקבל ואין הנותן יכול לחזור בו; ויד המקבל על העליונה, אם רוצה מקבל ואם אינו רוצה אינו מקבל. הגה: ראובן שנדר מתנה לשלוחו של שמעון, יכול שמעון להוציאה מראובן, דשלוחו כמותו (הגהות מרדכי דקידושין).</w:t>
      </w:r>
    </w:p>
    <w:p w14:paraId="246FD568" w14:textId="2E624CB6" w:rsidR="00AF30A1" w:rsidRDefault="00AF30A1" w:rsidP="00AF30A1">
      <w:pPr>
        <w:pStyle w:val="Style1"/>
        <w:rPr>
          <w:rStyle w:val="Style1Char"/>
          <w:rtl/>
        </w:rPr>
      </w:pPr>
      <w:r>
        <w:rPr>
          <w:rStyle w:val="Style1Char"/>
          <w:rFonts w:hint="cs"/>
          <w:rtl/>
        </w:rPr>
        <w:t>3)[</w:t>
      </w:r>
      <w:r w:rsidRPr="00AF30A1">
        <w:rPr>
          <w:rStyle w:val="Style1Char"/>
          <w:rtl/>
        </w:rPr>
        <w:t>שולחן ערוך יורה דעה הלכות גרים סימן רסח סעיף ז</w:t>
      </w:r>
      <w:r>
        <w:rPr>
          <w:rStyle w:val="Style1Char"/>
          <w:rFonts w:hint="cs"/>
          <w:rtl/>
        </w:rPr>
        <w:t xml:space="preserve">] </w:t>
      </w:r>
      <w:r w:rsidRPr="00AF30A1">
        <w:rPr>
          <w:rStyle w:val="Style1Char"/>
          <w:rtl/>
        </w:rPr>
        <w:t>עובד כוכבים קטן, אם יש לו אב יכול לגייר אותו. ואם אין לו אב, ובא להתגייר או אמו מביאתו להתגייר, בית דין מגיירין אותו, שזכות הוא לו וזכין לאדם שלא בפניו. בין קטן שגיירו אביו בין שגיירוהו ב"ד, יכול למחות משיגדיל ואין דינו כישראל מומר אלא כעובד כוכבים.</w:t>
      </w:r>
    </w:p>
    <w:p w14:paraId="0C25C10E" w14:textId="7950E76A" w:rsidR="00A22AAF" w:rsidRDefault="00A22AAF" w:rsidP="00A22AAF">
      <w:pPr>
        <w:pStyle w:val="Style1"/>
        <w:rPr>
          <w:rStyle w:val="Style1Char"/>
          <w:rtl/>
        </w:rPr>
      </w:pPr>
      <w:r>
        <w:rPr>
          <w:rStyle w:val="Style1Char"/>
          <w:rFonts w:hint="cs"/>
          <w:rtl/>
        </w:rPr>
        <w:t>4)[</w:t>
      </w:r>
      <w:r w:rsidRPr="00A22AAF">
        <w:rPr>
          <w:rStyle w:val="Style1Char"/>
          <w:rtl/>
        </w:rPr>
        <w:t>רמב</w:t>
      </w:r>
      <w:r w:rsidR="00C764B2">
        <w:rPr>
          <w:rStyle w:val="Style1Char"/>
          <w:rtl/>
        </w:rPr>
        <w:t>”ם \שופטים\</w:t>
      </w:r>
      <w:r w:rsidRPr="00A22AAF">
        <w:rPr>
          <w:rStyle w:val="Style1Char"/>
          <w:rtl/>
        </w:rPr>
        <w:t xml:space="preserve"> הלכות מלכים פרק י הלכה ג</w:t>
      </w:r>
      <w:r>
        <w:rPr>
          <w:rStyle w:val="Style1Char"/>
          <w:rFonts w:hint="cs"/>
          <w:rtl/>
        </w:rPr>
        <w:t xml:space="preserve">] </w:t>
      </w:r>
      <w:r w:rsidRPr="00A22AAF">
        <w:rPr>
          <w:rStyle w:val="Style1Char"/>
          <w:rtl/>
        </w:rPr>
        <w:t>בן נח שנתגייר ומל וטבל ואחר כך רצה לחזור מאחרי ה' ולהיות גר תושב בלבד כשהיה מקודם, אין שומעין לו, אלא יהיה כישראל לכל דבר או יהרג, ואם היה קטן כשהטבילוהו בית דין, יכול למחות בשעה שיגדיל ויהיה גר תושב בלבד, וכיון שלא מיחה בשעתו שוב אינו מוחה אלא הרי הוא גר צדק, לפיכך אם בא ישראל על קטנה שהטבילוה בית דין, כסף כתובתה או קנס אונס או מפתה יהיה הכל תחת יד בית דין עד שתגדיל ולא תמחה בגירות, שמא תטול ותגדיל ותמחה ונמצאת זו אוכלת בגיותה מעות שאין לה זכות בהן אלא בדיני ישראל.</w:t>
      </w:r>
    </w:p>
    <w:p w14:paraId="48282255" w14:textId="3FAD9ADC" w:rsidR="0030427B" w:rsidRDefault="0030427B" w:rsidP="0030427B">
      <w:pPr>
        <w:pStyle w:val="Style1"/>
        <w:rPr>
          <w:rtl/>
        </w:rPr>
      </w:pPr>
      <w:r>
        <w:rPr>
          <w:rFonts w:hint="cs"/>
          <w:rtl/>
        </w:rPr>
        <w:t>5)[</w:t>
      </w:r>
      <w:r>
        <w:rPr>
          <w:rtl/>
        </w:rPr>
        <w:t>רמב</w:t>
      </w:r>
      <w:r w:rsidR="00213DA1">
        <w:rPr>
          <w:rtl/>
        </w:rPr>
        <w:t>”ם \נשים\</w:t>
      </w:r>
      <w:r>
        <w:rPr>
          <w:rtl/>
        </w:rPr>
        <w:t xml:space="preserve"> הלכות אישות פרק י הלכה ז</w:t>
      </w:r>
      <w:r>
        <w:rPr>
          <w:rFonts w:hint="cs"/>
          <w:rtl/>
        </w:rPr>
        <w:t xml:space="preserve">] </w:t>
      </w:r>
      <w:r>
        <w:rPr>
          <w:rtl/>
        </w:rPr>
        <w:t>וצריך לכתוב כתובה קודם כניסה לחופה ואחר כך יהיה מותר באשתו, והחתן נותן שכר הסופר,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 ודין התוספת ודין העיקר אחד הוא לרוב הדברים, לפיכך כל מקום שנאמר בו כתובה סתם הוא העיקר והתוספת כאחד, וחכמים הם שתיקנו כתובה לאשה כדי שלא תהיה קלה בעיניו להוציאה.</w:t>
      </w:r>
    </w:p>
    <w:p w14:paraId="40DE86B9" w14:textId="40657EDD" w:rsidR="007E075C" w:rsidRDefault="000F3271" w:rsidP="000F3271">
      <w:pPr>
        <w:pStyle w:val="Style1"/>
      </w:pPr>
      <w:r>
        <w:rPr>
          <w:rFonts w:hint="cs"/>
          <w:rtl/>
        </w:rPr>
        <w:t>5)[</w:t>
      </w:r>
      <w:r w:rsidR="007E075C">
        <w:rPr>
          <w:rtl/>
        </w:rPr>
        <w:t>טור אבן העזר הלכות כתובות סימן סו</w:t>
      </w:r>
      <w:r>
        <w:rPr>
          <w:rFonts w:hint="cs"/>
          <w:rtl/>
        </w:rPr>
        <w:t xml:space="preserve">] </w:t>
      </w:r>
      <w:r w:rsidR="007E075C">
        <w:rPr>
          <w:rtl/>
        </w:rPr>
        <w:t xml:space="preserve">אסור להתייחד עם הכלה קודם שיכתוב לה כתובה </w:t>
      </w:r>
      <w:r w:rsidR="00FA6209">
        <w:rPr>
          <w:rFonts w:hint="cs"/>
        </w:rPr>
        <w:t>‍</w:t>
      </w:r>
      <w:r w:rsidR="007E075C">
        <w:rPr>
          <w:rtl/>
        </w:rPr>
        <w:t xml:space="preserve">והבעל נותן שכר הסופר שחכמים תקנו כתובה לאשה כדי שלא תהא קלה בעיניו להוציאה ואפילו אם ירצה לייחד לה כתובתה במעות או בשאר מטלטלין </w:t>
      </w:r>
      <w:r w:rsidR="00FA6209">
        <w:rPr>
          <w:rFonts w:hint="cs"/>
        </w:rPr>
        <w:t>‍</w:t>
      </w:r>
      <w:r w:rsidR="007E075C">
        <w:rPr>
          <w:rtl/>
        </w:rPr>
        <w:t>אין שומעין לו אלא צריך שיכתוב לה שטר על עצמו בדמי הכתובה ויהיו כל נכסיו משועבדים לה</w:t>
      </w:r>
      <w:r w:rsidR="00FA6209">
        <w:rPr>
          <w:rFonts w:hint="cs"/>
        </w:rPr>
        <w:t>‍</w:t>
      </w:r>
      <w:r w:rsidR="007E075C">
        <w:rPr>
          <w:rtl/>
        </w:rPr>
        <w:t xml:space="preserve"> ואם כתב לה כתובה ונאבדה או שמחלה לו עליה </w:t>
      </w:r>
      <w:r w:rsidR="00FA6209">
        <w:rPr>
          <w:rFonts w:hint="cs"/>
        </w:rPr>
        <w:t>‍</w:t>
      </w:r>
      <w:r w:rsidR="007E075C">
        <w:rPr>
          <w:rtl/>
        </w:rPr>
        <w:t>שכתבה לו התקבלתי כתובתי</w:t>
      </w:r>
      <w:r w:rsidR="00FA6209">
        <w:rPr>
          <w:rFonts w:hint="cs"/>
        </w:rPr>
        <w:t>‍</w:t>
      </w:r>
      <w:r w:rsidR="007E075C">
        <w:rPr>
          <w:rtl/>
        </w:rPr>
        <w:t xml:space="preserve"> צריך לכתוב אחרת </w:t>
      </w:r>
      <w:r w:rsidR="00FA6209">
        <w:rPr>
          <w:rFonts w:hint="cs"/>
        </w:rPr>
        <w:t>‍</w:t>
      </w:r>
      <w:r w:rsidR="007E075C">
        <w:rPr>
          <w:rtl/>
        </w:rPr>
        <w:t xml:space="preserve">בעיקר הכתובה שאסור לאדם לשהות עם אשתו שעה אחת בלא כתובה ובנאבדה כתב בעל העיטור איכא מ"ד שכותב לה זמן של עכשיו ואיכא מ"ד כיון דאיכא סהדי דאיתתיה הות וידיע לסהדי זימנא קמא כתבי מההיא זימנא ומסתברא אי ידעי סהדי זימנא קמא כתבי ההיא זימנא ואי לא ידעי כתבי מהשתא ובמוחלת אין כותבין אלא </w:t>
      </w:r>
      <w:r w:rsidR="00FA6209">
        <w:rPr>
          <w:rFonts w:hint="cs"/>
        </w:rPr>
        <w:t>‍</w:t>
      </w:r>
      <w:r w:rsidR="007E075C">
        <w:rPr>
          <w:rtl/>
        </w:rPr>
        <w:t xml:space="preserve">מזמן של עכשיו וכן אם מכרה כתובתה לבעלה צריך לכתוב לה כתובה אחרת </w:t>
      </w:r>
      <w:r w:rsidR="00FA6209">
        <w:rPr>
          <w:rFonts w:hint="cs"/>
        </w:rPr>
        <w:t>‍</w:t>
      </w:r>
      <w:r w:rsidR="007E075C">
        <w:rPr>
          <w:rtl/>
        </w:rPr>
        <w:t xml:space="preserve">אבל אם מכרה </w:t>
      </w:r>
      <w:r w:rsidR="00FA6209">
        <w:rPr>
          <w:rFonts w:hint="cs"/>
        </w:rPr>
        <w:t>‍</w:t>
      </w:r>
      <w:r w:rsidR="007E075C">
        <w:rPr>
          <w:rtl/>
        </w:rPr>
        <w:t>לאחר בטובת הנאה א"צ לכתוב לה כתובה אחרת</w:t>
      </w:r>
      <w:r w:rsidR="00FA6209">
        <w:rPr>
          <w:rFonts w:hint="cs"/>
        </w:rPr>
        <w:t>‍</w:t>
      </w:r>
      <w:r w:rsidR="007E075C">
        <w:rPr>
          <w:rtl/>
        </w:rPr>
        <w:t xml:space="preserve"> שמפני זה לא תהא קלה בעיניו להוציאה שאם יוציאנה צריך לפרוע הכתובה ללוקח כמו שהיה נותן לה </w:t>
      </w:r>
      <w:r w:rsidR="00FA6209">
        <w:rPr>
          <w:rFonts w:hint="cs"/>
        </w:rPr>
        <w:t>‍</w:t>
      </w:r>
      <w:r w:rsidR="007E075C">
        <w:rPr>
          <w:rtl/>
        </w:rPr>
        <w:t>ומיהו אם אינו יכול לכתוב לה כתובה כגון בשבת או ששכח לכותבה יכול ליחד לה מטלטלין</w:t>
      </w:r>
      <w:r w:rsidR="00FA6209">
        <w:rPr>
          <w:rFonts w:hint="cs"/>
        </w:rPr>
        <w:t>‍</w:t>
      </w:r>
      <w:r w:rsidR="007E075C">
        <w:rPr>
          <w:rtl/>
        </w:rPr>
        <w:t xml:space="preserve"> בשבילה כדי שיבעול ויכתוב לה מיד אח"כ וכתב הרמב"ם </w:t>
      </w:r>
      <w:r w:rsidR="00FA6209">
        <w:rPr>
          <w:rFonts w:hint="cs"/>
        </w:rPr>
        <w:t>‍</w:t>
      </w:r>
      <w:r w:rsidR="007E075C">
        <w:rPr>
          <w:rtl/>
        </w:rPr>
        <w:t xml:space="preserve">וכן אם העידו עליו עדים וקנו ממנו שהוא חייב לה מאתים או ק' זהובים ה"ז מותר עד שיהא לו </w:t>
      </w:r>
      <w:r w:rsidR="00FA6209">
        <w:rPr>
          <w:rFonts w:hint="cs"/>
        </w:rPr>
        <w:t>‍</w:t>
      </w:r>
      <w:r w:rsidR="007E075C">
        <w:rPr>
          <w:rtl/>
        </w:rPr>
        <w:t xml:space="preserve">פנאי לכתוב לה וכמה שיעור הכתובה </w:t>
      </w:r>
      <w:r w:rsidR="00FA6209">
        <w:rPr>
          <w:rFonts w:hint="cs"/>
        </w:rPr>
        <w:t>‍</w:t>
      </w:r>
      <w:r w:rsidR="007E075C">
        <w:rPr>
          <w:rtl/>
        </w:rPr>
        <w:t xml:space="preserve">לבתולה מאתים ולאלמנה מנה </w:t>
      </w:r>
      <w:r w:rsidR="00FA6209">
        <w:rPr>
          <w:rFonts w:hint="cs"/>
        </w:rPr>
        <w:t>‍</w:t>
      </w:r>
      <w:r w:rsidR="007E075C">
        <w:rPr>
          <w:rtl/>
        </w:rPr>
        <w:t xml:space="preserve">ואם ירצה להוסיף מוסיף וזה התוספת שמוסיף יש דברים שדינו בהן כדין עיקר הכתובה ויש דברים שהוא חלוק בהן מעיקר הכתובה כאשר יתבאר </w:t>
      </w:r>
      <w:r w:rsidR="00FA6209">
        <w:rPr>
          <w:rFonts w:hint="cs"/>
        </w:rPr>
        <w:t>‍</w:t>
      </w:r>
      <w:r w:rsidR="007E075C">
        <w:rPr>
          <w:rtl/>
        </w:rPr>
        <w:t xml:space="preserve">לקמן בע"ה כתב רב </w:t>
      </w:r>
      <w:r w:rsidR="007E075C">
        <w:rPr>
          <w:rtl/>
        </w:rPr>
        <w:lastRenderedPageBreak/>
        <w:t xml:space="preserve">האי שא"צ קנין בשעת נשואין </w:t>
      </w:r>
      <w:r w:rsidR="00FA6209">
        <w:rPr>
          <w:rFonts w:hint="cs"/>
        </w:rPr>
        <w:t>‍</w:t>
      </w:r>
      <w:r w:rsidR="007E075C">
        <w:rPr>
          <w:rtl/>
        </w:rPr>
        <w:t xml:space="preserve">במה שנתן לה דתנאי כתובה ככתובה דמי כי היכי דבשעת קדושין </w:t>
      </w:r>
      <w:r w:rsidR="00FA6209">
        <w:rPr>
          <w:rFonts w:hint="cs"/>
        </w:rPr>
        <w:t>‍</w:t>
      </w:r>
      <w:r w:rsidR="007E075C">
        <w:rPr>
          <w:rtl/>
        </w:rPr>
        <w:t xml:space="preserve">לא בעי קנין מדרב גידל </w:t>
      </w:r>
      <w:r w:rsidR="00FA6209">
        <w:rPr>
          <w:rFonts w:hint="cs"/>
        </w:rPr>
        <w:t>‍</w:t>
      </w:r>
      <w:r w:rsidR="007E075C">
        <w:rPr>
          <w:rtl/>
        </w:rPr>
        <w:t xml:space="preserve">וכתב בעל העיטור </w:t>
      </w:r>
      <w:r w:rsidR="00FA6209">
        <w:rPr>
          <w:rFonts w:hint="cs"/>
        </w:rPr>
        <w:t>‍</w:t>
      </w:r>
      <w:r w:rsidR="007E075C">
        <w:rPr>
          <w:rtl/>
        </w:rPr>
        <w:t>ואי כתב לה בשעת קידושין ומגרש לה גביא ולא אמרינן אדעתא למשקל ומיפק מיניה לא אקני לה וכן שדר רב שר שלום גאון והסכימו עליה כל בני מתיבתא:</w:t>
      </w:r>
    </w:p>
    <w:p w14:paraId="33E32E2A" w14:textId="4ABB1097" w:rsidR="007E075C" w:rsidRDefault="007E075C" w:rsidP="007E075C">
      <w:pPr>
        <w:pStyle w:val="Style1"/>
      </w:pPr>
      <w:r>
        <w:rPr>
          <w:rtl/>
        </w:rPr>
        <w:t xml:space="preserve">וכל הפוחת משיעור הכתובה בעילתו בעילת זנות לא מיבעיא אם כתבה לו אח"כ התקבלתי ממך הכתובה או מקצתה דאז אין לה כתובה כיון שמחלה דפשיטא דהויא בעילת זנות אלא אפי' התנה בשעת קדושין שלא יהא לה כתובה או שפיחת משיעורה אף על פי שתנאו בטל ויש לה כתובה משלם אפ"ה בעילתו בעילת זנות היא כיון שהיא סבורה שאין לה ולא סמכה דעתה כתב ר"ת דכתובת בתולה מן התורה ומשערין אותה בכסף צורי </w:t>
      </w:r>
      <w:r w:rsidR="00FA6209">
        <w:rPr>
          <w:rFonts w:hint="cs"/>
        </w:rPr>
        <w:t>‍</w:t>
      </w:r>
      <w:r>
        <w:rPr>
          <w:rtl/>
        </w:rPr>
        <w:t xml:space="preserve">והוא נ' סלעים שכל סלע ד' דינרין ורבי' מאיר וכל הגאוני' כתבו שהוא דרבנן ומשערין אותה בכסף מדינה </w:t>
      </w:r>
      <w:r w:rsidR="00FA6209">
        <w:rPr>
          <w:rFonts w:hint="cs"/>
        </w:rPr>
        <w:t>‍</w:t>
      </w:r>
      <w:r>
        <w:rPr>
          <w:rtl/>
        </w:rPr>
        <w:t xml:space="preserve">שהיא ו' סלעים ורביע וכ"כ הרמב"ם ז"ל שהיא כ"ח דינרי כסף ומשקל </w:t>
      </w:r>
      <w:r w:rsidR="00FA6209">
        <w:rPr>
          <w:rFonts w:hint="cs"/>
        </w:rPr>
        <w:t>‍</w:t>
      </w:r>
      <w:r>
        <w:rPr>
          <w:rtl/>
        </w:rPr>
        <w:t xml:space="preserve">כל דינר צ"ו שעורים וא"א הרא"ש ז"ל כתב ודאי כתובה דרבנן אלא שתקנו חכמי' נ' סלעים של צורי כדי שלא תהא קלה בעיניו להוציאה ואסמכוה אקרא </w:t>
      </w:r>
      <w:r w:rsidR="00FA6209">
        <w:rPr>
          <w:rFonts w:hint="cs"/>
        </w:rPr>
        <w:t>‍</w:t>
      </w:r>
      <w:r>
        <w:rPr>
          <w:rtl/>
        </w:rPr>
        <w:t xml:space="preserve">כמוהר הבתולות ומשום הכי יש מקומות שנוהגין לכתוב כסף זוזי מאתן </w:t>
      </w:r>
      <w:r w:rsidR="00FA6209">
        <w:rPr>
          <w:rFonts w:hint="cs"/>
        </w:rPr>
        <w:t>‍</w:t>
      </w:r>
      <w:r>
        <w:rPr>
          <w:rtl/>
        </w:rPr>
        <w:t xml:space="preserve">דחזו ליכי מדאורייתא שלא יטעה אדם לומר כיון שהיא דרבנן לא תגבה אלא נ' סלעים דרבנן </w:t>
      </w:r>
      <w:r w:rsidR="00FA6209">
        <w:rPr>
          <w:rFonts w:hint="cs"/>
        </w:rPr>
        <w:t>‍</w:t>
      </w:r>
      <w:r>
        <w:rPr>
          <w:rtl/>
        </w:rPr>
        <w:t xml:space="preserve">והכותב כסף זוזי מאתן דחזו ליכי לא הפסיד ע"כ ואם יש משפחה שנוהגין לכתוב בכתובתה יותר משיעור חכמים אין למחות בידם ולא עוד אלא אפילו אחד מבני המשפחה ההיא שלא כתב כתובה לאשתו מגבינן לה בתנאי ב"ד לפי מה שרגילים לכתוב לפיכך אשה שאבדה כתובתה ידקדקו בכתובות קרובותיה כפי שנהגו לכתוב בני המשפחה כותבין לה ואם כתובות נשי משפחתו יתרות מכתובות בני משפחתה עולה עמו ואינה יורדת עמו אם האשה מכנסת לו מעות או בגדים ומקבלן עליו וכתב אותם בכתובה דינן כשאר הכתובה </w:t>
      </w:r>
      <w:r w:rsidR="00FA6209">
        <w:rPr>
          <w:rFonts w:hint="cs"/>
        </w:rPr>
        <w:t>‍</w:t>
      </w:r>
      <w:r>
        <w:rPr>
          <w:rtl/>
        </w:rPr>
        <w:t xml:space="preserve">ונגבית עמה וזה נקרא נדוניא ויש מקומות שנוהגין כשכותבין סכום הנדוניא שמכנסת לו אם מכנסת לו מטבע היוצא בהוצאה או מיני סחורות שרגילין לסחור בהן שמוסיפין שליש על מה שהכניסה כגון אם מכנסת לו אלף כותבין עליו אלף וחמש מאות ואם מכנסת לו בגדים הנשומים מקבלם בחומש פחות ממה ששמו אותם לפי שרגילים להוסיף החומש בשומתן ויש מקומות שרגילין לכתוב כתובה יותר ממה שמכנסת לו שאם מכנסת לו אלף כותבין אלף ות"ק לפיכך לעולם תגבה אותה כפי המנהג אם ידוע שמוסיפין וכותבין אלף ות"ק כשמכנסת אלף לא תגבה אלא אלף ואם ידוע שפוחתין וכותבין אלף כשמכנסת לו אלף ות"ק תגבה אלף ות"ק </w:t>
      </w:r>
      <w:r w:rsidR="00FA6209">
        <w:rPr>
          <w:rFonts w:hint="cs"/>
        </w:rPr>
        <w:t>‍</w:t>
      </w:r>
      <w:r>
        <w:rPr>
          <w:rtl/>
        </w:rPr>
        <w:t xml:space="preserve">ואם אין מנהג להוסיף בשומת הבגדים תגבה כפי מה ששמו אותם </w:t>
      </w:r>
      <w:r w:rsidR="00FA6209">
        <w:rPr>
          <w:rFonts w:hint="cs"/>
        </w:rPr>
        <w:t>‍</w:t>
      </w:r>
      <w:r>
        <w:rPr>
          <w:rtl/>
        </w:rPr>
        <w:t xml:space="preserve">ל' הרמב"ם הנושא סתם כותב לפי המנהג </w:t>
      </w:r>
      <w:r w:rsidR="00FA6209">
        <w:rPr>
          <w:rFonts w:hint="cs"/>
        </w:rPr>
        <w:t>‍</w:t>
      </w:r>
      <w:r>
        <w:rPr>
          <w:rtl/>
        </w:rPr>
        <w:t xml:space="preserve">וכן היא שפסקה להכניס נותנת כפי מנהג המדינה </w:t>
      </w:r>
      <w:r w:rsidR="00FA6209">
        <w:rPr>
          <w:rFonts w:hint="cs"/>
        </w:rPr>
        <w:t>‍</w:t>
      </w:r>
      <w:r>
        <w:rPr>
          <w:rtl/>
        </w:rPr>
        <w:t xml:space="preserve">וכשבאת לגבות כתובתה מגבין לה מה שבכתובתה לפי מנהג המדינה ובכל הדברים האלו וכיוצא בהן מנהג המדינה עיקר </w:t>
      </w:r>
      <w:r w:rsidR="00FA6209">
        <w:rPr>
          <w:rFonts w:hint="cs"/>
        </w:rPr>
        <w:t>‍</w:t>
      </w:r>
      <w:r>
        <w:rPr>
          <w:rtl/>
        </w:rPr>
        <w:t>ועל פיו דנין והוא שיהיה אותו המנהג פשוט בכל המדינה ע"כ ועכשיו נוהגין לכתוב בכל הכתובות</w:t>
      </w:r>
      <w:r w:rsidR="00716166">
        <w:rPr>
          <w:rFonts w:hint="cs"/>
          <w:rtl/>
        </w:rPr>
        <w:t xml:space="preserve"> </w:t>
      </w:r>
      <w:r>
        <w:rPr>
          <w:rtl/>
        </w:rPr>
        <w:t xml:space="preserve">בשוה תוספת ונדוניא </w:t>
      </w:r>
      <w:r w:rsidR="00FA6209">
        <w:rPr>
          <w:rFonts w:hint="cs"/>
        </w:rPr>
        <w:t>‍</w:t>
      </w:r>
      <w:r>
        <w:rPr>
          <w:rtl/>
        </w:rPr>
        <w:t>אפילו לא הכניסה כלום ומגבין אותה לפי תקנת הנישואין:</w:t>
      </w:r>
    </w:p>
    <w:p w14:paraId="2D6EDB9F" w14:textId="69278602" w:rsidR="007E075C" w:rsidRDefault="00FA6209" w:rsidP="007E075C">
      <w:pPr>
        <w:pStyle w:val="Style1"/>
      </w:pPr>
      <w:r>
        <w:rPr>
          <w:rFonts w:hint="cs"/>
        </w:rPr>
        <w:t>‍</w:t>
      </w:r>
      <w:r w:rsidR="007E075C">
        <w:rPr>
          <w:rtl/>
        </w:rPr>
        <w:t>נוסח הכתובה הוא ידוע:</w:t>
      </w:r>
    </w:p>
    <w:p w14:paraId="10EC3EDA" w14:textId="1C9A384C" w:rsidR="007E075C" w:rsidRDefault="00FA6209" w:rsidP="007E075C">
      <w:pPr>
        <w:pStyle w:val="Style1"/>
      </w:pPr>
      <w:r>
        <w:rPr>
          <w:rFonts w:hint="cs"/>
        </w:rPr>
        <w:t>‍</w:t>
      </w:r>
      <w:r w:rsidR="007E075C">
        <w:rPr>
          <w:rtl/>
        </w:rPr>
        <w:t>נוסח כתובה דאירכסא:</w:t>
      </w:r>
    </w:p>
    <w:p w14:paraId="5233EDBD" w14:textId="5CE5CF2E" w:rsidR="007E075C" w:rsidRDefault="007E075C" w:rsidP="007E075C">
      <w:pPr>
        <w:pStyle w:val="Style1"/>
      </w:pPr>
      <w:r>
        <w:rPr>
          <w:rtl/>
        </w:rPr>
        <w:t xml:space="preserve">בכך וכך וכו' בא לפנינו פלוני בן פלוני ואמר לנו דעו כי מקדם נשאתי את אשתי פלונית כהוגן וכתיקון חכמים בקדושין ובכתובה ועתה אירכס ההוא שטר כתובה דהוה כתיבא מההוא זימנא דנסיבא כהלכות בנות ישראל דמנסבין לגברייהו בקדושין ובכתובה ואמרו חכמים אסור לאדם לשהות עם אשתו אפילו שעה אחת בלא כתובה וכיון שכן הוא ראיתי לחדש לה כתובה דאירכסא לה ושעבדתי לה כל נכסי כמו שהיו משועבדים לה בכתובה הראשונה ויהבינא לה מוהר בתולתא כסף זוזי מאתן דחזו לה וקבלתי על עצמי מזונהא וכסותהא וסיפוקהא ומיעל עלה כאורח כל ארעא </w:t>
      </w:r>
      <w:r w:rsidR="00FA6209">
        <w:rPr>
          <w:rFonts w:hint="cs"/>
        </w:rPr>
        <w:t>‍</w:t>
      </w:r>
      <w:r>
        <w:rPr>
          <w:rtl/>
        </w:rPr>
        <w:t xml:space="preserve">ואוסיפת לה מדילי עכשיו תוספת על עיקר הכתובה ראשונה דאירכסא סכום כך וכך ועוד רציתי ונתתי לה במתנה סכום כך וכך </w:t>
      </w:r>
      <w:r w:rsidR="00FA6209">
        <w:rPr>
          <w:rFonts w:hint="cs"/>
        </w:rPr>
        <w:t>‍</w:t>
      </w:r>
      <w:r>
        <w:rPr>
          <w:rtl/>
        </w:rPr>
        <w:t>ועוד קבלתי על עצמי נדוניתה שהכניסה לי מבית אביה כך וכך אגב ד' אמות קרקע וכען הוו לי סהדין בהדין מאתן זוזי ובתוספת האלף ובאותן האלף שנתתי לה במתנה ובאלף שהכניסה לי בנדוניא כשנשאתיה כחומר כל תנאי כתובה דנהיגי בישראל והשתא כתיבנא קדמיכון הדין כתובה חילופי כתובה דאירכסא ותהוי הך כתובה במקומה בכל הסך הנזכר בכל דיני כתובה ושיעבודיה וכן אמר פלוני אחריות חומר כתובה זו ותוספתא דילה ומתנה ונדוניא הכל קבלתי עלי ועל יורשי אחרי ועל כל מקרקעי ומטלטלי וכו':</w:t>
      </w:r>
    </w:p>
    <w:p w14:paraId="2D343C82" w14:textId="77777777" w:rsidR="007E075C" w:rsidRDefault="007E075C" w:rsidP="007E075C">
      <w:pPr>
        <w:pStyle w:val="Style1"/>
      </w:pPr>
      <w:r>
        <w:rPr>
          <w:rtl/>
        </w:rPr>
        <w:t>נוסח כתובה למי שמחלה כתובתה:</w:t>
      </w:r>
    </w:p>
    <w:p w14:paraId="480220B1" w14:textId="77777777" w:rsidR="007E075C" w:rsidRDefault="007E075C" w:rsidP="007E075C">
      <w:pPr>
        <w:pStyle w:val="Style1"/>
      </w:pPr>
      <w:r>
        <w:rPr>
          <w:rtl/>
        </w:rPr>
        <w:t>בכך וכך וכו' בא לפנינו פלוני ואמר לנו פלונית אשתי כתבתי לה כתובה כשנשאתיה ומחלה לי ולפי שאסור לשהות עם אשתו שעה אחת בלא כתובה כתבתי לה אחרת והוו עלי עדים וכתבו לה כתובה מאתן זוזי דחזו לה ואוסיפית וכו':</w:t>
      </w:r>
    </w:p>
    <w:p w14:paraId="1F3AF360" w14:textId="0BE87ADC" w:rsidR="000F3639" w:rsidRDefault="007E075C" w:rsidP="007E075C">
      <w:pPr>
        <w:pStyle w:val="Style1"/>
        <w:rPr>
          <w:rtl/>
        </w:rPr>
      </w:pPr>
      <w:r>
        <w:rPr>
          <w:rtl/>
        </w:rPr>
        <w:t>שאלה לא"א הרא"ש ז"ל היודע לחתום ואינו יודע לקרות אם חתום בכתובה והשיב דבר זה תלוי במנהג כי יש מקומות שרגילין לחתום בכתובה לכבוד ושני עדים חותמין בראש השיטה ועל פיהם מקיימים הכתובה ובאותו מקו' יכולין לחתום אף על פי שאינן יודעים לקרות אבל במקום שאין רגילין לחתום בכתובה אלא הראוי להעיד לא יחתום מי שאינו יודע לקרות:</w:t>
      </w:r>
    </w:p>
    <w:p w14:paraId="70BE13A6" w14:textId="56CF4D47" w:rsidR="00123139" w:rsidRDefault="00123139" w:rsidP="00123139">
      <w:pPr>
        <w:pStyle w:val="Style1"/>
        <w:rPr>
          <w:rStyle w:val="Style1Char"/>
          <w:rtl/>
        </w:rPr>
      </w:pPr>
      <w:r>
        <w:rPr>
          <w:rStyle w:val="Style1Char"/>
          <w:rFonts w:hint="cs"/>
          <w:rtl/>
        </w:rPr>
        <w:t>6)[</w:t>
      </w:r>
      <w:r w:rsidRPr="00123139">
        <w:rPr>
          <w:rStyle w:val="Style1Char"/>
          <w:rtl/>
        </w:rPr>
        <w:t>רמב</w:t>
      </w:r>
      <w:r w:rsidR="00213DA1">
        <w:rPr>
          <w:rStyle w:val="Style1Char"/>
          <w:rtl/>
        </w:rPr>
        <w:t>”ם \נשים\</w:t>
      </w:r>
      <w:r w:rsidRPr="00123139">
        <w:rPr>
          <w:rStyle w:val="Style1Char"/>
          <w:rtl/>
        </w:rPr>
        <w:t xml:space="preserve"> הלכות אישות פרק יא הלכה ג</w:t>
      </w:r>
      <w:r>
        <w:rPr>
          <w:rStyle w:val="Style1Char"/>
          <w:rFonts w:hint="cs"/>
          <w:rtl/>
        </w:rPr>
        <w:t xml:space="preserve">] </w:t>
      </w:r>
      <w:r w:rsidRPr="00123139">
        <w:rPr>
          <w:rStyle w:val="Style1Char"/>
          <w:rtl/>
        </w:rPr>
        <w:t>מוכת עץ כתובתה מאה, אפילו נשאת על מנת שהיא בתולה שלימה ונמצאת מוכת עץ כתובתה מאה. קטנה מבת שלש שנים ולמטה שנבעלה אפילו בא עליה אדם גדול כתובתה מאתים, סופה שתחזור בתולה כשאר הבתולות, וכן גדולה שבא עליה קטן מבן תשע שנים ולמטה כתובתה מאתים כאילו לא נבעלה כלל, שביאת בן תשע שנים ויום אחד ביאתו ביאה פחות מזה אין ביאתו ביאה.</w:t>
      </w:r>
    </w:p>
    <w:p w14:paraId="4A711E72" w14:textId="148DD378" w:rsidR="00E047A3" w:rsidRDefault="00E047A3" w:rsidP="00E047A3">
      <w:pPr>
        <w:pStyle w:val="Style1"/>
        <w:rPr>
          <w:rStyle w:val="Style1Char"/>
          <w:rtl/>
        </w:rPr>
      </w:pPr>
      <w:r>
        <w:rPr>
          <w:rStyle w:val="Style1Char"/>
          <w:rFonts w:hint="cs"/>
          <w:rtl/>
        </w:rPr>
        <w:t>6)[</w:t>
      </w:r>
      <w:r w:rsidRPr="00E047A3">
        <w:rPr>
          <w:rStyle w:val="Style1Char"/>
          <w:rtl/>
        </w:rPr>
        <w:t>שולחן ערוך אבן העזר הלכות כתובות סימן סז סעיף ד</w:t>
      </w:r>
      <w:r>
        <w:rPr>
          <w:rStyle w:val="Style1Char"/>
          <w:rFonts w:hint="cs"/>
          <w:rtl/>
        </w:rPr>
        <w:t xml:space="preserve">] </w:t>
      </w:r>
      <w:r w:rsidRPr="00E047A3">
        <w:rPr>
          <w:rStyle w:val="Style1Char"/>
          <w:rtl/>
        </w:rPr>
        <w:t>קטנה פחותה מבת ג' שנים ויום אחד שנבעלה, אפילו בא עליה גדול, כתובתה ק"ק; וקטן פחות מבן ט' ויום אחד שבא על הגדולה, כתובתה ק"ק; ודוקא שלא הסיר בתוליה, אבל אם הסיר בתוליה אין לה אלא מנה.</w:t>
      </w:r>
    </w:p>
    <w:p w14:paraId="1FF66356" w14:textId="4C5891FD" w:rsidR="00EC2E68" w:rsidRDefault="00EC2E68" w:rsidP="00EC2E68">
      <w:pPr>
        <w:pStyle w:val="Style1"/>
        <w:rPr>
          <w:rStyle w:val="Style1Char"/>
          <w:rtl/>
        </w:rPr>
      </w:pPr>
      <w:r>
        <w:rPr>
          <w:rStyle w:val="Style1Char"/>
          <w:rFonts w:hint="cs"/>
          <w:rtl/>
        </w:rPr>
        <w:t>7)[</w:t>
      </w:r>
      <w:r w:rsidRPr="00EC2E68">
        <w:rPr>
          <w:rStyle w:val="Style1Char"/>
          <w:rtl/>
        </w:rPr>
        <w:t>שולחן ערוך אבן העזר הלכות כתובות סימן סז סעיף ה</w:t>
      </w:r>
      <w:r>
        <w:rPr>
          <w:rStyle w:val="Style1Char"/>
          <w:rFonts w:hint="cs"/>
          <w:rtl/>
        </w:rPr>
        <w:t xml:space="preserve">] </w:t>
      </w:r>
      <w:r w:rsidRPr="00EC2E68">
        <w:rPr>
          <w:rStyle w:val="Style1Char"/>
          <w:rtl/>
        </w:rPr>
        <w:t>מוכת עץ, כתובתה מנה, ואפילו לא הכיר בה, וכנסה ע"מ שהיא בתולה שלימה; אבל כנסה בחזקת בתולה, ונמצאת בעולה, אפילו מנה אין לה.</w:t>
      </w:r>
    </w:p>
    <w:p w14:paraId="7CE579D0" w14:textId="1B3BFAF6" w:rsidR="00E44A72" w:rsidRDefault="00E44A72" w:rsidP="00E44A72">
      <w:pPr>
        <w:pStyle w:val="Style1"/>
        <w:rPr>
          <w:rStyle w:val="Style1Char"/>
          <w:rtl/>
        </w:rPr>
      </w:pPr>
      <w:r>
        <w:rPr>
          <w:rStyle w:val="Style1Char"/>
          <w:rFonts w:hint="cs"/>
          <w:rtl/>
        </w:rPr>
        <w:t>8)[</w:t>
      </w:r>
      <w:r w:rsidRPr="00E44A72">
        <w:rPr>
          <w:rStyle w:val="Style1Char"/>
          <w:rtl/>
        </w:rPr>
        <w:t>רמב</w:t>
      </w:r>
      <w:r w:rsidR="00213DA1">
        <w:rPr>
          <w:rStyle w:val="Style1Char"/>
          <w:rtl/>
        </w:rPr>
        <w:t>”ם \נשים\</w:t>
      </w:r>
      <w:r w:rsidRPr="00E44A72">
        <w:rPr>
          <w:rStyle w:val="Style1Char"/>
          <w:rtl/>
        </w:rPr>
        <w:t xml:space="preserve"> הלכות אישות פרק יא הלכה א</w:t>
      </w:r>
      <w:r>
        <w:rPr>
          <w:rStyle w:val="Style1Char"/>
          <w:rFonts w:hint="cs"/>
          <w:rtl/>
        </w:rPr>
        <w:t xml:space="preserve">] </w:t>
      </w:r>
      <w:r w:rsidRPr="00E44A72">
        <w:rPr>
          <w:rStyle w:val="Style1Char"/>
          <w:rtl/>
        </w:rPr>
        <w:t>הנושא בתולה שנתאלמנה או שנתגרשה או נחלצה, אם מן האירוסין נתאלמנה או נתגרשה או נחלצה כתובתה מאתים, ואם מן הנישואין כתובתה מאה, שמשנשאת הרי היא כבעולה. וכן הנושא בתולה משוחררת או גיורת או שבויה, אם נשתחררה השפחה ונתגיירה הגויה ונפדית השבויה והן פחותות משלש שנים ויום אחד כתובתן מאתים, ואם היו בנות שלש שנים ויום אחד ומעלה כתובתן מאה.</w:t>
      </w:r>
    </w:p>
    <w:p w14:paraId="30ED64C4" w14:textId="088D2329" w:rsidR="00D01771" w:rsidRPr="00CF2992" w:rsidRDefault="00D01771" w:rsidP="00D01771">
      <w:pPr>
        <w:pStyle w:val="Style1"/>
      </w:pPr>
      <w:r>
        <w:rPr>
          <w:rStyle w:val="Style1Char"/>
          <w:rFonts w:hint="cs"/>
          <w:rtl/>
        </w:rPr>
        <w:t>8)[</w:t>
      </w:r>
      <w:r w:rsidRPr="00D01771">
        <w:rPr>
          <w:rStyle w:val="Style1Char"/>
          <w:rtl/>
        </w:rPr>
        <w:t>שולחן ערוך אבן העזר הלכות כתובות סימן סז סעיף ב</w:t>
      </w:r>
      <w:r>
        <w:rPr>
          <w:rStyle w:val="Style1Char"/>
          <w:rFonts w:hint="cs"/>
          <w:rtl/>
        </w:rPr>
        <w:t>]</w:t>
      </w:r>
      <w:r w:rsidR="00CF2992">
        <w:rPr>
          <w:rStyle w:val="Style1Char"/>
          <w:rFonts w:hint="cs"/>
          <w:rtl/>
        </w:rPr>
        <w:t xml:space="preserve"> </w:t>
      </w:r>
      <w:r w:rsidR="00CF2992" w:rsidRPr="00CF2992">
        <w:rPr>
          <w:rtl/>
        </w:rPr>
        <w:t>נתאלמנה או נתגרשה או נחלצה מן הנשואין, כגון שנכנסה לחופה, הרי היא בחזקת בעולה ואין לה אלא מנה ואין עליה טענת בתולים, אפילו יש לה עדים שלא נסתרה עם הראשון</w:t>
      </w:r>
      <w:r w:rsidR="00CF2992" w:rsidRPr="00CF2992">
        <w:t>:</w:t>
      </w:r>
    </w:p>
    <w:p w14:paraId="015305D2" w14:textId="77777777" w:rsidR="00F450C8" w:rsidRPr="00367690" w:rsidRDefault="00F450C8" w:rsidP="00367690">
      <w:pPr>
        <w:pStyle w:val="Style1"/>
        <w:bidi w:val="0"/>
        <w:rPr>
          <w:rStyle w:val="Style1Char"/>
          <w:rtl/>
        </w:rPr>
      </w:pPr>
      <w:r w:rsidRPr="00367690">
        <w:rPr>
          <w:rStyle w:val="Style1Char"/>
          <w:rtl/>
        </w:rPr>
        <w:br w:type="page"/>
      </w:r>
    </w:p>
    <w:p w14:paraId="7116DC43" w14:textId="0FBBD490" w:rsidR="00F450C8" w:rsidRPr="008C26AD" w:rsidRDefault="00F450C8" w:rsidP="00F450C8">
      <w:pPr>
        <w:bidi/>
        <w:rPr>
          <w:rStyle w:val="Style1Char"/>
          <w:color w:val="auto"/>
          <w:sz w:val="22"/>
          <w:szCs w:val="22"/>
        </w:rPr>
      </w:pPr>
      <w:r w:rsidRPr="008C26AD">
        <w:rPr>
          <w:rStyle w:val="Style1Char"/>
          <w:color w:val="auto"/>
          <w:sz w:val="22"/>
          <w:szCs w:val="22"/>
          <w:highlight w:val="yellow"/>
          <w:rtl/>
        </w:rPr>
        <w:lastRenderedPageBreak/>
        <w:t>[דף יא עמוד ב]</w:t>
      </w:r>
      <w:r w:rsidRPr="008C26AD">
        <w:rPr>
          <w:rStyle w:val="Style1Char"/>
          <w:color w:val="auto"/>
          <w:sz w:val="22"/>
          <w:szCs w:val="22"/>
          <w:rtl/>
        </w:rPr>
        <w:t xml:space="preserve"> ואין להן טענת בתולים. </w:t>
      </w:r>
      <w:r w:rsidR="00C83AD0">
        <w:rPr>
          <w:rStyle w:val="Style1Char"/>
          <w:rFonts w:hint="cs"/>
          <w:rtl/>
        </w:rPr>
        <w:t>(1)</w:t>
      </w:r>
      <w:r w:rsidRPr="008C26AD">
        <w:rPr>
          <w:rStyle w:val="Style1Char"/>
          <w:color w:val="auto"/>
          <w:sz w:val="22"/>
          <w:szCs w:val="22"/>
          <w:rtl/>
        </w:rPr>
        <w:t xml:space="preserve">הגיורת, והשבויה, והשפחה, שנפדו ושנתגיירו ושנשתחררו יתירות על בנות שלש שנים ויום אחד - כתובתן מנה, ואין להן טענת בתולין. </w:t>
      </w:r>
    </w:p>
    <w:p w14:paraId="43736A24" w14:textId="01D54AA9" w:rsidR="00523DFC" w:rsidRDefault="00F450C8" w:rsidP="00F450C8">
      <w:pPr>
        <w:bidi/>
        <w:rPr>
          <w:rStyle w:val="Style1Char"/>
          <w:color w:val="00B050"/>
          <w:rtl/>
        </w:rPr>
      </w:pPr>
      <w:r w:rsidRPr="00F450C8">
        <w:rPr>
          <w:rStyle w:val="Style1Char"/>
          <w:color w:val="00B050"/>
          <w:rtl/>
        </w:rPr>
        <w:t xml:space="preserve">גמ'. אמר רב יהודה אמר רב: קטן הבא על הגדולה - עשאה מוכת עץ; כי אמריתה קמיה דשמואל, אמר: </w:t>
      </w:r>
      <w:r w:rsidR="00C83AD0">
        <w:rPr>
          <w:rStyle w:val="Style1Char"/>
          <w:rFonts w:hint="cs"/>
          <w:rtl/>
        </w:rPr>
        <w:t>(2)</w:t>
      </w:r>
      <w:r w:rsidRPr="00F450C8">
        <w:rPr>
          <w:rStyle w:val="Style1Char"/>
          <w:color w:val="00B050"/>
          <w:rtl/>
        </w:rPr>
        <w:t xml:space="preserve">אין מוכת עץ בבשר. איכא דמתני לה להא שמעתא באפי נפשה: </w:t>
      </w:r>
      <w:r w:rsidRPr="00634AAB">
        <w:rPr>
          <w:rStyle w:val="Style1Char"/>
          <w:color w:val="ED7D31" w:themeColor="accent2"/>
          <w:sz w:val="22"/>
          <w:szCs w:val="22"/>
          <w:rtl/>
        </w:rPr>
        <w:t xml:space="preserve">קטן הבא על הגדולה - רב אמר: עשאה מוכת עץ, ושמואל אמר: אין מוכת עץ בבשר. </w:t>
      </w:r>
      <w:r w:rsidR="00634AAB" w:rsidRPr="00A755B9">
        <w:rPr>
          <w:rStyle w:val="Style1Char"/>
          <w:color w:val="4472C4" w:themeColor="accent1"/>
          <w:rtl/>
        </w:rPr>
        <w:t>. ובשלא השיר בתוליה מיירי דאילו השיר בתוליה לא עדיפא ממוכת עץ והלכתא כשמואל ושריא לכ"ג</w:t>
      </w:r>
      <w:r w:rsidR="00634AAB">
        <w:rPr>
          <w:rStyle w:val="Style1Char"/>
          <w:rFonts w:hint="cs"/>
          <w:color w:val="4472C4" w:themeColor="accent1"/>
        </w:rPr>
        <w:t>‍</w:t>
      </w:r>
      <w:r w:rsidR="00634AAB" w:rsidRPr="00A755B9">
        <w:rPr>
          <w:rStyle w:val="Style1Char"/>
          <w:color w:val="4472C4" w:themeColor="accent1"/>
          <w:rtl/>
        </w:rPr>
        <w:t xml:space="preserve"> מדקבע הש"ס למילתייהו אמתני' דהכא אלמא לענין דינא איתשיל והלכתא כשמואל בדיני ועוד מתני' כשמואל דייקינן. </w:t>
      </w:r>
      <w:r w:rsidRPr="00F450C8">
        <w:rPr>
          <w:rStyle w:val="Style1Char"/>
          <w:color w:val="00B050"/>
          <w:rtl/>
        </w:rPr>
        <w:t>מתיב רב אושעיא: גדול שבא על הקטנה, וקטן הבא על הגדולה, ומוכת עץ - כתובתן מאתים, דברי ר"מ; וחכמים אומרים: מוכת עץ - כתובתה מנה! אמר רבא, הכי קאמר: גדול הבא על הקטנה - ולא כלום, דפחות מכאן כנותן אצבע בעין דמי; וקטן הבא על הגדולה - עשאה מוכת עץ, ומוכת עץ גופא - פלוגתא דר"מ ורבנן. אמר רמי בר חמא: מחלוקת - כשהכיר בה, דר"מ מדמי לה לבוגרת, ורבנן מדמו לה לבעולה, אבל לא הכיר בה - דברי הכל ולא כלום. ור"מ אמאי מדמי לה לבוגרת? נדמייה לבעולה! בעולה איתעביד בה מעשה בידי אדם, הא לא איתעביד בה מעשה בידי אדם. ורבנן, אדמדמו לה לבעולה, נדמייה לבוגרת! בוגרת לא איתעביד בה מעשה כלל, הא איתעביד בה מעשה. אבל לא הכיר בה - לדברי הכל ולא כלום; מתיב רב נחמן: היא אומרת מוכת עץ אני, והוא אומר לא כי, אלא דרוסת איש את, ר"ג ור' אליעזר אומרים: נאמנת! אלא</w:t>
      </w:r>
    </w:p>
    <w:p w14:paraId="15500138" w14:textId="08CC5261" w:rsidR="00F450C8" w:rsidRDefault="00F450C8" w:rsidP="00523DFC">
      <w:pPr>
        <w:bidi/>
        <w:rPr>
          <w:rStyle w:val="Style1Char"/>
          <w:color w:val="00B050"/>
          <w:rtl/>
        </w:rPr>
      </w:pPr>
      <w:r w:rsidRPr="00602E32">
        <w:rPr>
          <w:rStyle w:val="Style1Char"/>
          <w:color w:val="auto"/>
          <w:rtl/>
        </w:rPr>
        <w:t xml:space="preserve"> </w:t>
      </w:r>
      <w:r w:rsidRPr="00602E32">
        <w:rPr>
          <w:rStyle w:val="Style1Char"/>
          <w:color w:val="auto"/>
          <w:sz w:val="22"/>
          <w:szCs w:val="22"/>
          <w:rtl/>
        </w:rPr>
        <w:t xml:space="preserve">אמר רבא: </w:t>
      </w:r>
      <w:r w:rsidR="0010357E" w:rsidRPr="00602E32">
        <w:rPr>
          <w:rStyle w:val="Style1Char"/>
          <w:color w:val="806000" w:themeColor="accent4" w:themeShade="80"/>
          <w:sz w:val="22"/>
          <w:szCs w:val="22"/>
          <w:rtl/>
        </w:rPr>
        <w:t xml:space="preserve">מוכת עץ </w:t>
      </w:r>
      <w:r w:rsidR="0010357E" w:rsidRPr="0010357E">
        <w:rPr>
          <w:rStyle w:val="Style1Char"/>
          <w:color w:val="C00000"/>
          <w:sz w:val="22"/>
          <w:szCs w:val="22"/>
          <w:rtl/>
        </w:rPr>
        <w:t xml:space="preserve">לרבנן </w:t>
      </w:r>
      <w:r w:rsidR="0010357E" w:rsidRPr="00602E32">
        <w:rPr>
          <w:rStyle w:val="Style1Char"/>
          <w:color w:val="806000" w:themeColor="accent4" w:themeShade="80"/>
          <w:sz w:val="22"/>
          <w:szCs w:val="22"/>
          <w:rtl/>
        </w:rPr>
        <w:t xml:space="preserve">יש לה כתובה מנה </w:t>
      </w:r>
      <w:r w:rsidRPr="00602E32">
        <w:rPr>
          <w:rStyle w:val="Style1Char"/>
          <w:color w:val="auto"/>
          <w:sz w:val="22"/>
          <w:szCs w:val="22"/>
          <w:rtl/>
        </w:rPr>
        <w:t xml:space="preserve">בין הכיר בה ובין לא הכיר בה </w:t>
      </w:r>
      <w:r w:rsidR="0010357E" w:rsidRPr="00602E32">
        <w:rPr>
          <w:rStyle w:val="Style1Char"/>
          <w:color w:val="806000" w:themeColor="accent4" w:themeShade="80"/>
          <w:rtl/>
        </w:rPr>
        <w:t xml:space="preserve">וכן הלכתא </w:t>
      </w:r>
      <w:r w:rsidR="00602E32" w:rsidRPr="00A755B9">
        <w:rPr>
          <w:rStyle w:val="Style1Char"/>
          <w:color w:val="4472C4" w:themeColor="accent1"/>
          <w:rtl/>
        </w:rPr>
        <w:t xml:space="preserve">דהדר ביה מההיא קמייתא דאמרי' הכיר בה מנה לא הכיר בה ולא כלום </w:t>
      </w:r>
      <w:r w:rsidR="00180381" w:rsidRPr="00602E32">
        <w:rPr>
          <w:rStyle w:val="Style1Char"/>
          <w:color w:val="806000" w:themeColor="accent4" w:themeShade="80"/>
          <w:sz w:val="22"/>
          <w:szCs w:val="22"/>
          <w:rtl/>
        </w:rPr>
        <w:t xml:space="preserve">אבל כנסה בחזקת בתולה ונמצאת בעולה אין לה כלום דתנן </w:t>
      </w:r>
      <w:r w:rsidRPr="00F450C8">
        <w:rPr>
          <w:rStyle w:val="Style1Char"/>
          <w:color w:val="00B050"/>
          <w:rtl/>
        </w:rPr>
        <w:t xml:space="preserve">- לר"מ מאתים, לרבנן, הכיר בה - מנה, לא הכיר בה - ולא כלום. והדר ביה רבא, דתניא: כיצד הוצאת שם רע? בא לבית דין ואמר: פלוני, לא מצאתי לבתך בתולים, אם יש עדים שזינתה תחתיו - יש לה כתובה מנה; אם יש עדים שזינתה תחתיו - בת סקילה היא! הכי קאמר: אם יש עדים שזינתה תחתיו - בסקילה, זינתה מעיקרא - יש לה כתובה מנה; ואמר רב חייא בר אבין אמר רב ששת, זאת אומרת: כנסה בחזקת בתולה ונמצאת בעולה - יש לה כתובה מנה; ומתיב רב נחמן: </w:t>
      </w:r>
      <w:r w:rsidRPr="00CD7710">
        <w:rPr>
          <w:rStyle w:val="Style1Char"/>
          <w:color w:val="auto"/>
          <w:sz w:val="22"/>
          <w:szCs w:val="22"/>
          <w:rtl/>
        </w:rPr>
        <w:t xml:space="preserve">הנושא את האשה ולא מצא לה בתולים, היא אומרת משארסתני נאנסתי ונסתחפה שדהו, והוא אומר לא כי, אלא עד שלא אירסתיך והיה מקחי מקח טעות </w:t>
      </w:r>
      <w:r w:rsidRPr="00F450C8">
        <w:rPr>
          <w:rStyle w:val="Style1Char"/>
          <w:color w:val="00B050"/>
          <w:rtl/>
        </w:rPr>
        <w:t xml:space="preserve">- ולית לה כלל! ואמר להו רב חייא בר אבין: אפשר? רב עמרם וכל גדולי הדור יתבי כי אמר רב ששת להא שמעתא, וקשיא להו, ושני: מאי מקח טעות? נמי ממאתים, אבל מנה אית לה, ואת אמרת: לית לה כלל! </w:t>
      </w:r>
      <w:r w:rsidRPr="00CD7710">
        <w:rPr>
          <w:rStyle w:val="Style1Char"/>
          <w:color w:val="auto"/>
          <w:sz w:val="22"/>
          <w:szCs w:val="22"/>
          <w:rtl/>
        </w:rPr>
        <w:t>ואמר רבא</w:t>
      </w:r>
      <w:r w:rsidRPr="001A2BF1">
        <w:rPr>
          <w:rStyle w:val="Style1Char"/>
          <w:sz w:val="22"/>
          <w:szCs w:val="22"/>
          <w:rtl/>
        </w:rPr>
        <w:t xml:space="preserve">: </w:t>
      </w:r>
      <w:r w:rsidRPr="00F450C8">
        <w:rPr>
          <w:rStyle w:val="Style1Char"/>
          <w:color w:val="00B050"/>
          <w:rtl/>
        </w:rPr>
        <w:t xml:space="preserve">מאן דקא מותיב - שפיר קא מותיב, </w:t>
      </w:r>
      <w:r w:rsidR="001C7B6F">
        <w:rPr>
          <w:rStyle w:val="Style1Char"/>
          <w:rFonts w:hint="cs"/>
          <w:rtl/>
        </w:rPr>
        <w:t>(</w:t>
      </w:r>
      <w:r w:rsidR="002A47AF">
        <w:rPr>
          <w:rStyle w:val="Style1Char"/>
          <w:rFonts w:hint="cs"/>
          <w:rtl/>
        </w:rPr>
        <w:t>2.1, 3</w:t>
      </w:r>
      <w:r w:rsidR="001C7B6F">
        <w:rPr>
          <w:rStyle w:val="Style1Char"/>
          <w:rFonts w:hint="cs"/>
          <w:rtl/>
        </w:rPr>
        <w:t>)</w:t>
      </w:r>
      <w:r w:rsidRPr="00CD7710">
        <w:rPr>
          <w:rStyle w:val="Style1Char"/>
          <w:color w:val="auto"/>
          <w:sz w:val="22"/>
          <w:szCs w:val="22"/>
          <w:rtl/>
        </w:rPr>
        <w:t>מקח טעות לגמרי משמע</w:t>
      </w:r>
      <w:r w:rsidR="000002D7" w:rsidRPr="00CD7710">
        <w:rPr>
          <w:rStyle w:val="Style1Char"/>
          <w:color w:val="auto"/>
          <w:rtl/>
        </w:rPr>
        <w:t xml:space="preserve"> </w:t>
      </w:r>
      <w:r w:rsidR="000002D7" w:rsidRPr="00CD7710">
        <w:rPr>
          <w:rStyle w:val="Style1Char"/>
          <w:color w:val="806000" w:themeColor="accent4" w:themeShade="80"/>
          <w:sz w:val="22"/>
          <w:szCs w:val="22"/>
          <w:rtl/>
        </w:rPr>
        <w:t>דלית לה כלום וכן הלכתא</w:t>
      </w:r>
      <w:r w:rsidR="000002D7" w:rsidRPr="00CD7710">
        <w:rPr>
          <w:rStyle w:val="Style1Char"/>
          <w:color w:val="806000" w:themeColor="accent4" w:themeShade="80"/>
          <w:sz w:val="22"/>
          <w:szCs w:val="22"/>
        </w:rPr>
        <w:t>:</w:t>
      </w:r>
      <w:r w:rsidRPr="00CD7710">
        <w:rPr>
          <w:rStyle w:val="Style1Char"/>
          <w:color w:val="806000" w:themeColor="accent4" w:themeShade="80"/>
          <w:rtl/>
        </w:rPr>
        <w:t xml:space="preserve">, </w:t>
      </w:r>
      <w:r w:rsidRPr="00F450C8">
        <w:rPr>
          <w:rStyle w:val="Style1Char"/>
          <w:color w:val="00B050"/>
          <w:rtl/>
        </w:rPr>
        <w:t xml:space="preserve">ואלא קשיא הך! תריץ ואימא הכי: אם יש עדים שזינתה תחתיו - בסקילה, זינתה מעיקרא - ולא כלום, </w:t>
      </w:r>
      <w:r w:rsidR="00AA5EB6">
        <w:rPr>
          <w:rStyle w:val="Style1Char"/>
          <w:rFonts w:hint="cs"/>
          <w:rtl/>
        </w:rPr>
        <w:t>(2.1, 3)</w:t>
      </w:r>
      <w:r w:rsidRPr="00F450C8">
        <w:rPr>
          <w:rStyle w:val="Style1Char"/>
          <w:color w:val="00B050"/>
          <w:rtl/>
        </w:rPr>
        <w:t xml:space="preserve">נמצאת מוכת עץ - יש לה כתובה מנה; והא רבא הוא דאמר: לרבנן, לא הכיר בה - ולא כלום! אלא ש"מ, </w:t>
      </w:r>
      <w:r w:rsidR="0010357E" w:rsidRPr="0010357E">
        <w:rPr>
          <w:rStyle w:val="Style1Char"/>
          <w:color w:val="C00000"/>
          <w:sz w:val="22"/>
          <w:szCs w:val="22"/>
          <w:rtl/>
        </w:rPr>
        <w:t xml:space="preserve">דקא </w:t>
      </w:r>
      <w:r w:rsidRPr="0010357E">
        <w:rPr>
          <w:rStyle w:val="Style1Char"/>
          <w:sz w:val="22"/>
          <w:szCs w:val="22"/>
          <w:rtl/>
        </w:rPr>
        <w:t>הדר ביה רבא מההיא</w:t>
      </w:r>
      <w:r w:rsidR="0010357E" w:rsidRPr="0010357E">
        <w:rPr>
          <w:rStyle w:val="Style1Char"/>
          <w:color w:val="C00000"/>
          <w:rtl/>
        </w:rPr>
        <w:t xml:space="preserve"> </w:t>
      </w:r>
      <w:r w:rsidR="0010357E" w:rsidRPr="0010357E">
        <w:rPr>
          <w:rStyle w:val="Style1Char"/>
          <w:color w:val="C00000"/>
          <w:sz w:val="22"/>
          <w:szCs w:val="22"/>
          <w:rtl/>
        </w:rPr>
        <w:t>קמייתא דאמר הכיר בה מנה לא הכיר בה ולא כלום</w:t>
      </w:r>
      <w:r w:rsidRPr="00F450C8">
        <w:rPr>
          <w:rStyle w:val="Style1Char"/>
          <w:color w:val="00B050"/>
          <w:rtl/>
        </w:rPr>
        <w:t xml:space="preserve">. ת"ר: כנסה ראשון לשום נישואין, </w:t>
      </w:r>
      <w:r w:rsidR="00E47DFB">
        <w:rPr>
          <w:rStyle w:val="Style1Char"/>
          <w:rFonts w:hint="cs"/>
          <w:rtl/>
        </w:rPr>
        <w:t>(4)</w:t>
      </w:r>
      <w:r w:rsidRPr="00F450C8">
        <w:rPr>
          <w:rStyle w:val="Style1Char"/>
          <w:color w:val="00B050"/>
          <w:rtl/>
        </w:rPr>
        <w:t xml:space="preserve">ויש לה עדים שלא נסתרה, אי נמי נסתרה ולא שהתה כדי ביאה - אין השני יכול לטעון טענת בתולים, שהרי כנסה ראשון. </w:t>
      </w:r>
    </w:p>
    <w:p w14:paraId="6DD719E6" w14:textId="0B87987C" w:rsidR="007D4F3E" w:rsidRDefault="007D4F3E" w:rsidP="007D4F3E">
      <w:pPr>
        <w:pStyle w:val="Style1"/>
        <w:rPr>
          <w:rStyle w:val="Style1Char"/>
          <w:rtl/>
        </w:rPr>
      </w:pPr>
      <w:r>
        <w:rPr>
          <w:rStyle w:val="Style1Char"/>
          <w:rFonts w:hint="cs"/>
          <w:rtl/>
        </w:rPr>
        <w:t>1)[</w:t>
      </w:r>
      <w:r w:rsidRPr="00E44A72">
        <w:rPr>
          <w:rStyle w:val="Style1Char"/>
          <w:rtl/>
        </w:rPr>
        <w:t>רמב</w:t>
      </w:r>
      <w:r w:rsidR="00213DA1">
        <w:rPr>
          <w:rStyle w:val="Style1Char"/>
          <w:rtl/>
        </w:rPr>
        <w:t>”ם \נשים\</w:t>
      </w:r>
      <w:r w:rsidRPr="00E44A72">
        <w:rPr>
          <w:rStyle w:val="Style1Char"/>
          <w:rtl/>
        </w:rPr>
        <w:t xml:space="preserve"> הלכות אישות פרק יא הלכה א</w:t>
      </w:r>
      <w:r>
        <w:rPr>
          <w:rStyle w:val="Style1Char"/>
          <w:rFonts w:hint="cs"/>
          <w:rtl/>
        </w:rPr>
        <w:t xml:space="preserve">] </w:t>
      </w:r>
      <w:r w:rsidRPr="00E44A72">
        <w:rPr>
          <w:rStyle w:val="Style1Char"/>
          <w:rtl/>
        </w:rPr>
        <w:t>הנושא בתולה שנתאלמנה או שנתגרשה או נחלצה, אם מן האירוסין נתאלמנה או נתגרשה או נחלצה כתובתה מאתים, ואם מן הנישואין כתובתה מאה, שמשנשאת הרי היא כבעולה. וכן הנושא בתולה משוחררת או גיורת או שבויה, אם נשתחררה השפחה ונתגיירה הגויה ונפדית השבויה והן פחותות משלש שנים ויום אחד כתובתן מאתים, ואם היו בנות שלש שנים ויום אחד ומעלה כתובתן מאה.</w:t>
      </w:r>
    </w:p>
    <w:p w14:paraId="3003508F" w14:textId="15701121" w:rsidR="000B4E10" w:rsidRDefault="000B4E10" w:rsidP="000B4E10">
      <w:pPr>
        <w:pStyle w:val="Style1"/>
        <w:rPr>
          <w:rStyle w:val="Style1Char"/>
          <w:rtl/>
        </w:rPr>
      </w:pPr>
      <w:r>
        <w:rPr>
          <w:rStyle w:val="Style1Char"/>
          <w:rFonts w:hint="cs"/>
          <w:rtl/>
        </w:rPr>
        <w:t>1)[</w:t>
      </w:r>
      <w:r w:rsidRPr="000B3DD4">
        <w:rPr>
          <w:rStyle w:val="Style1Char"/>
          <w:rtl/>
        </w:rPr>
        <w:t>שולחן ערוך אבן העזר הלכות כתובות סימן סז סעיף ג</w:t>
      </w:r>
      <w:r>
        <w:rPr>
          <w:rStyle w:val="Style1Char"/>
          <w:rFonts w:hint="cs"/>
          <w:rtl/>
        </w:rPr>
        <w:t xml:space="preserve">] </w:t>
      </w:r>
      <w:r w:rsidRPr="000B3DD4">
        <w:rPr>
          <w:rStyle w:val="Style1Char"/>
          <w:rtl/>
        </w:rPr>
        <w:t>הגיורת, והשבויה, והשפחה, שנפדו ושנתגיירו ושנשתחררו פחות מבת ג' שנים ויום אחד, כתובתה ק"ק ויש לה טענת בתולים; מבת ג' שנים ויום א' ומעלה, כתובתן מנה ואין לה טענת בתולים.</w:t>
      </w:r>
    </w:p>
    <w:p w14:paraId="6AA226C8" w14:textId="295B37AF" w:rsidR="00CE7BBB" w:rsidRDefault="00CE7BBB" w:rsidP="00CE7BBB">
      <w:pPr>
        <w:pStyle w:val="Style1"/>
        <w:rPr>
          <w:rStyle w:val="Style1Char"/>
          <w:rtl/>
        </w:rPr>
      </w:pPr>
      <w:r>
        <w:rPr>
          <w:rStyle w:val="Style1Char"/>
          <w:rFonts w:hint="cs"/>
          <w:rtl/>
        </w:rPr>
        <w:t>2)[</w:t>
      </w:r>
      <w:r w:rsidRPr="00123139">
        <w:rPr>
          <w:rStyle w:val="Style1Char"/>
          <w:rtl/>
        </w:rPr>
        <w:t>רמב</w:t>
      </w:r>
      <w:r w:rsidR="00213DA1">
        <w:rPr>
          <w:rStyle w:val="Style1Char"/>
          <w:rtl/>
        </w:rPr>
        <w:t>”ם \נשים\</w:t>
      </w:r>
      <w:r w:rsidRPr="00123139">
        <w:rPr>
          <w:rStyle w:val="Style1Char"/>
          <w:rtl/>
        </w:rPr>
        <w:t xml:space="preserve"> הלכות אישות פרק יא הלכה ג</w:t>
      </w:r>
      <w:r>
        <w:rPr>
          <w:rStyle w:val="Style1Char"/>
          <w:rFonts w:hint="cs"/>
          <w:rtl/>
        </w:rPr>
        <w:t xml:space="preserve">] </w:t>
      </w:r>
      <w:r w:rsidRPr="00123139">
        <w:rPr>
          <w:rStyle w:val="Style1Char"/>
          <w:rtl/>
        </w:rPr>
        <w:t>מוכת עץ כתובתה מאה, אפילו נשאת על מנת שהיא בתולה שלימה ונמצאת מוכת עץ כתובתה מאה. קטנה מבת שלש שנים ולמטה שנבעלה אפילו בא עליה אדם גדול כתובתה מאתים, סופה שתחזור בתולה כשאר הבתולות, וכן גדולה שבא עליה קטן מבן תשע שנים ולמטה כתובתה מאתים כאילו לא נבעלה כלל, שביאת בן תשע שנים ויום אחד ביאתו ביאה פחות מזה אין ביאתו ביאה.</w:t>
      </w:r>
    </w:p>
    <w:p w14:paraId="69B6B194" w14:textId="074ECAE4" w:rsidR="00CE7BBB" w:rsidRDefault="00CE7BBB" w:rsidP="00CE7BBB">
      <w:pPr>
        <w:pStyle w:val="Style1"/>
        <w:rPr>
          <w:rStyle w:val="Style1Char"/>
          <w:rtl/>
        </w:rPr>
      </w:pPr>
      <w:r>
        <w:rPr>
          <w:rStyle w:val="Style1Char"/>
          <w:rFonts w:hint="cs"/>
          <w:rtl/>
        </w:rPr>
        <w:t>2)[</w:t>
      </w:r>
      <w:r w:rsidRPr="00E047A3">
        <w:rPr>
          <w:rStyle w:val="Style1Char"/>
          <w:rtl/>
        </w:rPr>
        <w:t>שולחן ערוך אבן העזר הלכות כתובות סימן סז סעיף ד</w:t>
      </w:r>
      <w:r>
        <w:rPr>
          <w:rStyle w:val="Style1Char"/>
          <w:rFonts w:hint="cs"/>
          <w:rtl/>
        </w:rPr>
        <w:t xml:space="preserve">] </w:t>
      </w:r>
      <w:r w:rsidRPr="00E047A3">
        <w:rPr>
          <w:rStyle w:val="Style1Char"/>
          <w:rtl/>
        </w:rPr>
        <w:t>קטנה פחותה מבת ג' שנים ויום אחד שנבעלה, אפילו בא עליה גדול, כתובתה ק"ק; וקטן פחות מבן ט' ויום אחד שבא על הגדולה, כתובתה ק"ק; ודוקא שלא הסיר בתוליה, אבל אם הסיר בתוליה אין לה אלא מנה.</w:t>
      </w:r>
    </w:p>
    <w:p w14:paraId="16386489" w14:textId="3A993D4A" w:rsidR="00CE10F7" w:rsidRDefault="00AA5EB6" w:rsidP="00CE10F7">
      <w:pPr>
        <w:pStyle w:val="Style1"/>
        <w:rPr>
          <w:rStyle w:val="Style1Char"/>
          <w:rtl/>
        </w:rPr>
      </w:pPr>
      <w:r>
        <w:rPr>
          <w:rStyle w:val="Style1Char"/>
          <w:rFonts w:hint="cs"/>
          <w:rtl/>
        </w:rPr>
        <w:t>3</w:t>
      </w:r>
      <w:r w:rsidR="00CE10F7">
        <w:rPr>
          <w:rStyle w:val="Style1Char"/>
          <w:rFonts w:hint="cs"/>
          <w:rtl/>
        </w:rPr>
        <w:t>)[</w:t>
      </w:r>
      <w:r w:rsidR="00CE10F7" w:rsidRPr="00EC2E68">
        <w:rPr>
          <w:rStyle w:val="Style1Char"/>
          <w:rtl/>
        </w:rPr>
        <w:t>שולחן ערוך אבן העזר הלכות כתובות סימן סז סעיף ה</w:t>
      </w:r>
      <w:r w:rsidR="00CE10F7">
        <w:rPr>
          <w:rStyle w:val="Style1Char"/>
          <w:rFonts w:hint="cs"/>
          <w:rtl/>
        </w:rPr>
        <w:t xml:space="preserve">] </w:t>
      </w:r>
      <w:r w:rsidR="00CE10F7" w:rsidRPr="00EC2E68">
        <w:rPr>
          <w:rStyle w:val="Style1Char"/>
          <w:rtl/>
        </w:rPr>
        <w:t>מוכת עץ, כתובתה מנה, ואפילו לא הכיר בה, וכנסה ע"מ שהיא בתולה שלימה; אבל כנסה בחזקת בתולה, ונמצאת בעולה, אפילו מנה אין לה.</w:t>
      </w:r>
    </w:p>
    <w:p w14:paraId="0CF12E24" w14:textId="25F4F2E6" w:rsidR="00C02D80" w:rsidRPr="00CF2992" w:rsidRDefault="00C02D80" w:rsidP="00C02D80">
      <w:pPr>
        <w:pStyle w:val="Style1"/>
      </w:pPr>
      <w:r>
        <w:rPr>
          <w:rStyle w:val="Style1Char"/>
          <w:rFonts w:hint="cs"/>
          <w:rtl/>
        </w:rPr>
        <w:t>4)[</w:t>
      </w:r>
      <w:r w:rsidRPr="00D01771">
        <w:rPr>
          <w:rStyle w:val="Style1Char"/>
          <w:rtl/>
        </w:rPr>
        <w:t>שולחן ערוך אבן העזר הלכות כתובות סימן סז סעיף ב</w:t>
      </w:r>
      <w:r>
        <w:rPr>
          <w:rStyle w:val="Style1Char"/>
          <w:rFonts w:hint="cs"/>
          <w:rtl/>
        </w:rPr>
        <w:t xml:space="preserve">] </w:t>
      </w:r>
      <w:r w:rsidRPr="00CF2992">
        <w:rPr>
          <w:rtl/>
        </w:rPr>
        <w:t>נתאלמנה או נתגרשה או נחלצה מן הנשואין, כגון שנכנסה לחופה, הרי היא בחזקת בעולה ואין לה אלא מנה ואין עליה טענת בתולים, אפילו יש לה עדים שלא נסתרה עם הראשון</w:t>
      </w:r>
      <w:r w:rsidRPr="00CF2992">
        <w:t>:</w:t>
      </w:r>
    </w:p>
    <w:p w14:paraId="5D10A7A0" w14:textId="19821F9C" w:rsidR="000B4E10" w:rsidRPr="00C02D80" w:rsidRDefault="000B4E10" w:rsidP="000B4E10">
      <w:pPr>
        <w:pStyle w:val="Style1"/>
        <w:rPr>
          <w:rStyle w:val="Style1Char"/>
          <w:rtl/>
        </w:rPr>
      </w:pPr>
    </w:p>
    <w:p w14:paraId="59FA2E82" w14:textId="77777777" w:rsidR="007D4F3E" w:rsidRDefault="007D4F3E" w:rsidP="007D4F3E">
      <w:pPr>
        <w:bidi/>
        <w:rPr>
          <w:rStyle w:val="Style1Char"/>
          <w:color w:val="00B050"/>
          <w:rtl/>
        </w:rPr>
      </w:pPr>
    </w:p>
    <w:p w14:paraId="5AF00275" w14:textId="77777777" w:rsidR="008A4A9E" w:rsidRPr="008A4A9E" w:rsidRDefault="008A4A9E" w:rsidP="008A4A9E">
      <w:pPr>
        <w:bidi/>
        <w:rPr>
          <w:rStyle w:val="Style1Char"/>
          <w:color w:val="00B050"/>
          <w:rtl/>
        </w:rPr>
      </w:pPr>
    </w:p>
    <w:p w14:paraId="21850EAB" w14:textId="77777777" w:rsidR="00F450C8" w:rsidRDefault="00F450C8">
      <w:pPr>
        <w:rPr>
          <w:rStyle w:val="Style1Char"/>
          <w:color w:val="00B050"/>
          <w:rtl/>
        </w:rPr>
      </w:pPr>
      <w:r>
        <w:rPr>
          <w:rStyle w:val="Style1Char"/>
          <w:color w:val="00B050"/>
          <w:rtl/>
        </w:rPr>
        <w:br w:type="page"/>
      </w:r>
    </w:p>
    <w:p w14:paraId="150CE875" w14:textId="394B86F4" w:rsidR="00F450C8" w:rsidRPr="00F450C8" w:rsidRDefault="00F450C8" w:rsidP="00F450C8">
      <w:pPr>
        <w:bidi/>
        <w:rPr>
          <w:rStyle w:val="Style1Char"/>
          <w:color w:val="00B050"/>
        </w:rPr>
      </w:pPr>
      <w:r w:rsidRPr="00F450C8">
        <w:rPr>
          <w:rStyle w:val="Style1Char"/>
          <w:color w:val="00B050"/>
          <w:sz w:val="22"/>
          <w:szCs w:val="22"/>
          <w:highlight w:val="yellow"/>
          <w:rtl/>
        </w:rPr>
        <w:lastRenderedPageBreak/>
        <w:t>[דף יב עמוד א]</w:t>
      </w:r>
      <w:r w:rsidRPr="00F450C8">
        <w:rPr>
          <w:rStyle w:val="Style1Char"/>
          <w:color w:val="00B050"/>
          <w:sz w:val="22"/>
          <w:szCs w:val="22"/>
          <w:rtl/>
        </w:rPr>
        <w:t xml:space="preserve"> </w:t>
      </w:r>
      <w:r w:rsidRPr="00F450C8">
        <w:rPr>
          <w:rStyle w:val="Style1Char"/>
          <w:color w:val="00B050"/>
          <w:rtl/>
        </w:rPr>
        <w:t xml:space="preserve">אמר רבה, זאת אומרת: כנסה בחזקת בתולה ונמצאת בעולה - יש לה כתובה מנה; רב אשי אמר, בעלמא לעולם אימא לך: לית לה כלל, ושאני הכא, שהרי כנסה ראשון. וניחוש שמא תחתיו זינתה! אמר רב שרביא: כגון שקידש ובעל לאלתר. ואיכא דמתני לה אמתניתין: בתולה אלמנה, גרושה, חלוצה, מן הנישואין - כתובתן מנה, ואין להן טענת בתולין; בתולה מן הנישואין היכי משכחת לה? כגון שנכנסה לחופה ולא נבעלה, אמר רבה, זאת אומרת: כנסה בחזקת בתולה ונמצאת בעולה - כתובתה מנה; רב אשי אמר, לעולם אימא לך: בעלמא לית לה כלל, ושאני הכא, שהרי נכנסה לחופה. וליחוש שמא תחתיו זינתה! אמר רב שרביא: כגון שקידש ובעל לאלתר. מאן דמתני לה אברייתא - כל שכן אמתניתין, ומאן דמתני לה אמתני' - אבל אברייתא לא, משום דמצי אמר לה: אנא אעדים סמכי. </w:t>
      </w:r>
    </w:p>
    <w:p w14:paraId="2B3E9C8F" w14:textId="5C3F7184" w:rsidR="00F450C8" w:rsidRPr="00146108" w:rsidRDefault="00F450C8" w:rsidP="00F450C8">
      <w:pPr>
        <w:bidi/>
        <w:rPr>
          <w:rStyle w:val="Style1Char"/>
          <w:color w:val="auto"/>
          <w:sz w:val="22"/>
          <w:szCs w:val="22"/>
        </w:rPr>
      </w:pPr>
      <w:r w:rsidRPr="00146108">
        <w:rPr>
          <w:rStyle w:val="Style1Char"/>
          <w:color w:val="auto"/>
          <w:sz w:val="22"/>
          <w:szCs w:val="22"/>
          <w:rtl/>
        </w:rPr>
        <w:t xml:space="preserve">מתני'. </w:t>
      </w:r>
      <w:r w:rsidR="001004B7">
        <w:rPr>
          <w:rStyle w:val="Style1Char"/>
          <w:rFonts w:hint="cs"/>
          <w:rtl/>
        </w:rPr>
        <w:t>(1)</w:t>
      </w:r>
      <w:r w:rsidRPr="00146108">
        <w:rPr>
          <w:rStyle w:val="Style1Char"/>
          <w:color w:val="auto"/>
          <w:sz w:val="22"/>
          <w:szCs w:val="22"/>
          <w:rtl/>
        </w:rPr>
        <w:t xml:space="preserve">האוכל אצל חמיו ביהודה שלא בעדים - אינו יכול לטעון טענת בתולים, מפני שמתייחד עמה. </w:t>
      </w:r>
    </w:p>
    <w:p w14:paraId="1C08DB70" w14:textId="74C572AE" w:rsidR="00F450C8" w:rsidRPr="002D4B2A" w:rsidRDefault="00F450C8" w:rsidP="00F450C8">
      <w:pPr>
        <w:bidi/>
        <w:rPr>
          <w:rStyle w:val="Style1Char"/>
          <w:color w:val="ED7D31" w:themeColor="accent2"/>
          <w:sz w:val="22"/>
          <w:szCs w:val="22"/>
          <w:rtl/>
        </w:rPr>
      </w:pPr>
      <w:r w:rsidRPr="00F450C8">
        <w:rPr>
          <w:rStyle w:val="Style1Char"/>
          <w:color w:val="00B050"/>
          <w:rtl/>
        </w:rPr>
        <w:t>גמ'. מדקתני האוכל, מכלל דאיכא דוכתא ביהודה נמי דלא אכיל, אמר אביי: ש"מ, ביהודה נמי מקומות מקומות יש; כד</w:t>
      </w:r>
      <w:r w:rsidRPr="002D4B2A">
        <w:rPr>
          <w:rStyle w:val="Style1Char"/>
          <w:color w:val="ED7D31" w:themeColor="accent2"/>
          <w:sz w:val="22"/>
          <w:szCs w:val="22"/>
          <w:rtl/>
        </w:rPr>
        <w:t>תניא</w:t>
      </w:r>
      <w:r w:rsidRPr="00F450C8">
        <w:rPr>
          <w:rStyle w:val="Style1Char"/>
          <w:color w:val="00B050"/>
          <w:rtl/>
        </w:rPr>
        <w:t xml:space="preserve">, </w:t>
      </w:r>
      <w:r w:rsidRPr="002D4B2A">
        <w:rPr>
          <w:rStyle w:val="Style1Char"/>
          <w:color w:val="ED7D31" w:themeColor="accent2"/>
          <w:sz w:val="22"/>
          <w:szCs w:val="22"/>
          <w:rtl/>
        </w:rPr>
        <w:t xml:space="preserve">א"ר יהודה: ביהודה, </w:t>
      </w:r>
      <w:r w:rsidRPr="00F450C8">
        <w:rPr>
          <w:rStyle w:val="Style1Char"/>
          <w:color w:val="00B050"/>
          <w:rtl/>
        </w:rPr>
        <w:t xml:space="preserve">בראשונה </w:t>
      </w:r>
      <w:r w:rsidRPr="002D4B2A">
        <w:rPr>
          <w:rStyle w:val="Style1Char"/>
          <w:color w:val="ED7D31" w:themeColor="accent2"/>
          <w:sz w:val="22"/>
          <w:szCs w:val="22"/>
          <w:rtl/>
        </w:rPr>
        <w:t xml:space="preserve">היו מייחדין את החתן ואת הכלה שעה אחת קודם כניסתן לחופה, כדי שיהא לבו גס בה, ובגליל לא היו עושין כן; ביהודה, בראשונה היו מעמידין להם שני שושבינין אחד לו ואחד לה, כדי למשמש את החתן ואת הכלה בשעת כניסתן לחופה, ובגליל לא היו עושין כן; </w:t>
      </w:r>
      <w:r w:rsidRPr="00F450C8">
        <w:rPr>
          <w:rStyle w:val="Style1Char"/>
          <w:color w:val="00B050"/>
          <w:rtl/>
        </w:rPr>
        <w:t xml:space="preserve">ביהודה, בראשונה היו שושבינין ישנים בבית שחתן וכלה ישנים בה, ובגליל לא היו עושין כן; </w:t>
      </w:r>
      <w:r w:rsidRPr="002D4B2A">
        <w:rPr>
          <w:rStyle w:val="Style1Char"/>
          <w:color w:val="ED7D31" w:themeColor="accent2"/>
          <w:sz w:val="22"/>
          <w:szCs w:val="22"/>
          <w:rtl/>
        </w:rPr>
        <w:t xml:space="preserve">וכל שלא נהג כמנהג הזה, אינו יכול לטעון טענת בתולים. אהייא? אילימא ארישא, כל שנהג מיבעי ליה! אלא אסיפא, כל שלא מושמש מיבעי ליה! </w:t>
      </w:r>
      <w:r w:rsidRPr="00F450C8">
        <w:rPr>
          <w:rStyle w:val="Style1Char"/>
          <w:color w:val="00B050"/>
          <w:rtl/>
        </w:rPr>
        <w:t xml:space="preserve">אמר אביי: לעולם ארישא, ותני: כל שנהג. אמר ליה רבא: והא כל שלא נהג קתני! אלא </w:t>
      </w:r>
      <w:r w:rsidRPr="002D4B2A">
        <w:rPr>
          <w:rStyle w:val="Style1Char"/>
          <w:color w:val="ED7D31" w:themeColor="accent2"/>
          <w:sz w:val="22"/>
          <w:szCs w:val="22"/>
          <w:rtl/>
        </w:rPr>
        <w:t>אמר רבא</w:t>
      </w:r>
      <w:r w:rsidR="002D4B2A" w:rsidRPr="002D4B2A">
        <w:rPr>
          <w:rStyle w:val="Style1Char"/>
          <w:color w:val="4472C4" w:themeColor="accent1"/>
          <w:rtl/>
        </w:rPr>
        <w:t xml:space="preserve"> </w:t>
      </w:r>
      <w:r w:rsidR="002D4B2A" w:rsidRPr="002D4B2A">
        <w:rPr>
          <w:rStyle w:val="Style1Char"/>
          <w:color w:val="4472C4" w:themeColor="accent1"/>
          <w:sz w:val="22"/>
          <w:szCs w:val="22"/>
          <w:rtl/>
        </w:rPr>
        <w:t>לעולם ארישא</w:t>
      </w:r>
      <w:r w:rsidRPr="002D4B2A">
        <w:rPr>
          <w:rStyle w:val="Style1Char"/>
          <w:color w:val="ED7D31" w:themeColor="accent2"/>
          <w:sz w:val="22"/>
          <w:szCs w:val="22"/>
          <w:rtl/>
        </w:rPr>
        <w:t xml:space="preserve">, הכי קאמר: כל שלא נהג מנהג גליל בגליל אלא מנהג יהודה בגליל, אינו יכול לטעון טענת בתולים. רב אשי אמר: לעולם </w:t>
      </w:r>
      <w:r w:rsidR="00BA7C06">
        <w:rPr>
          <w:rStyle w:val="Style1Char"/>
          <w:rFonts w:hint="cs"/>
          <w:rtl/>
        </w:rPr>
        <w:t>(2)</w:t>
      </w:r>
      <w:r w:rsidRPr="002D4B2A">
        <w:rPr>
          <w:rStyle w:val="Style1Char"/>
          <w:color w:val="ED7D31" w:themeColor="accent2"/>
          <w:sz w:val="22"/>
          <w:szCs w:val="22"/>
          <w:rtl/>
        </w:rPr>
        <w:t xml:space="preserve">אסיפא, ותני: כל שלא מושמש. </w:t>
      </w:r>
    </w:p>
    <w:p w14:paraId="09B87AED" w14:textId="130AE37D" w:rsidR="00146108" w:rsidRPr="00A755B9" w:rsidRDefault="00146108" w:rsidP="00146108">
      <w:pPr>
        <w:bidi/>
        <w:rPr>
          <w:rStyle w:val="Style1Char"/>
          <w:color w:val="4472C4" w:themeColor="accent1"/>
        </w:rPr>
      </w:pPr>
      <w:r w:rsidRPr="00A755B9">
        <w:rPr>
          <w:rStyle w:val="Style1Char"/>
          <w:color w:val="4472C4" w:themeColor="accent1"/>
          <w:rtl/>
        </w:rPr>
        <w:t>פירש הריב"ם דלית ליה חזקה אין אדם טורח בסעודה ומפסידה</w:t>
      </w:r>
      <w:r w:rsidR="00DA6616">
        <w:rPr>
          <w:rStyle w:val="Style1Char"/>
          <w:rFonts w:hint="cs"/>
          <w:color w:val="4472C4" w:themeColor="accent1"/>
          <w:rtl/>
        </w:rPr>
        <w:t xml:space="preserve"> </w:t>
      </w:r>
      <w:r w:rsidRPr="00A755B9">
        <w:rPr>
          <w:rStyle w:val="Style1Char"/>
          <w:color w:val="4472C4" w:themeColor="accent1"/>
          <w:rtl/>
        </w:rPr>
        <w:t>ור"ת פירש שאני הכא כיון שנהגו למשמש ונשתנה המנהג אנו תולין שבגרמתו נשתנה המנהג ורמאי הוא ואין לסמוך אחזקה תדע לך שהרי בגליל שאין נוהגין למשמש יכול לטעון טענת בתולים מדקאמר רבא לעולם ארישא וה"ק כל שלא נהג מנהג גליל בגליל אלא מנהג יהודה בגליל אין יכול לטעון טענת בתולים ודווקא שנהג מנהג יהודה בגליל שנתייחד עמה הוא דאינו יכול לטעון אבל לא נתייחד עמה אף על פי שאין מעמידין שושבינים בגליל יכול לטעון וה"נ אמרינן לעיל (דף ט ב) גבי האוכל אצל חמיו ביהודה אינו יכול לטעון וכו' הא בגליל מצי טעין מאי לאו טענת פתח פתוח לא טענת דמים אלמא לכ"ע בגליל מצי טעין אף על גב דלא מוקמי שושבינין וכ"ש טענת פתח פתוח שאינו מתברר ע"י שושבינין</w:t>
      </w:r>
      <w:r w:rsidRPr="00A755B9">
        <w:rPr>
          <w:rStyle w:val="Style1Char"/>
          <w:color w:val="4472C4" w:themeColor="accent1"/>
        </w:rPr>
        <w:t xml:space="preserve">: </w:t>
      </w:r>
    </w:p>
    <w:p w14:paraId="03F4F603" w14:textId="77777777" w:rsidR="00A775A8" w:rsidRPr="00A755B9" w:rsidRDefault="00F450C8" w:rsidP="00A775A8">
      <w:pPr>
        <w:bidi/>
        <w:rPr>
          <w:rStyle w:val="Style1Char"/>
          <w:color w:val="4472C4" w:themeColor="accent1"/>
        </w:rPr>
      </w:pPr>
      <w:r w:rsidRPr="00B93A9F">
        <w:rPr>
          <w:rStyle w:val="Style1Char"/>
          <w:color w:val="auto"/>
          <w:sz w:val="22"/>
          <w:szCs w:val="22"/>
          <w:rtl/>
        </w:rPr>
        <w:t xml:space="preserve">מתני'. אחת אלמנת ישראל ואחת אלמנת כהנים - כתובתה מנה. בית דין של כהנים היו גובין לבתולה ארבע מאות זוז, ולא מיחו בידם חכמים. </w:t>
      </w:r>
      <w:r w:rsidR="00A775A8" w:rsidRPr="00A755B9">
        <w:rPr>
          <w:rStyle w:val="Style1Char"/>
          <w:color w:val="4472C4" w:themeColor="accent1"/>
          <w:rtl/>
        </w:rPr>
        <w:t xml:space="preserve">. ואפילו לא כתב לה כתובה כיון שתקנו הכהנים ביניהם לגבות לבתולה ד' מאות זוז הוי כתנאי ב"ד להם ואוקמינן בגמ' דה"ה משפחות מיוחסות שתקנו ונהגו ביניהם מנהג זה. </w:t>
      </w:r>
      <w:r w:rsidR="00A775A8">
        <w:rPr>
          <w:rStyle w:val="Style1Char"/>
          <w:rFonts w:hint="cs"/>
          <w:color w:val="4472C4" w:themeColor="accent1"/>
        </w:rPr>
        <w:t>‍</w:t>
      </w:r>
      <w:r w:rsidR="00A775A8" w:rsidRPr="00A755B9">
        <w:rPr>
          <w:rStyle w:val="Style1Char"/>
          <w:color w:val="4472C4" w:themeColor="accent1"/>
          <w:rtl/>
        </w:rPr>
        <w:t>ואשה שאבדה כתובתה יש לה לבדוק בקרובותיה כמו שנהגו כל אותה משפחה לכתוב בכתובה לנשותיהן כך מגבין לה ב"ד</w:t>
      </w:r>
      <w:r w:rsidR="00A775A8" w:rsidRPr="00A755B9">
        <w:rPr>
          <w:rStyle w:val="Style1Char"/>
          <w:color w:val="4472C4" w:themeColor="accent1"/>
        </w:rPr>
        <w:t xml:space="preserve">: </w:t>
      </w:r>
    </w:p>
    <w:p w14:paraId="272464C6" w14:textId="480532CB" w:rsidR="00F450C8" w:rsidRDefault="00F450C8" w:rsidP="00F450C8">
      <w:pPr>
        <w:bidi/>
        <w:rPr>
          <w:rStyle w:val="Style1Char"/>
          <w:color w:val="00B050"/>
          <w:rtl/>
        </w:rPr>
      </w:pPr>
      <w:r w:rsidRPr="00F450C8">
        <w:rPr>
          <w:rStyle w:val="Style1Char"/>
          <w:color w:val="00B050"/>
          <w:rtl/>
        </w:rPr>
        <w:t xml:space="preserve">גמ'. תנא: ואלמנת כהנים - כתובתה מאתים. והאנן תנן: אחת אלמנת ישראל ואחת אלמנת כהנים - כתובתן מנה! אמר רב אשי: שתי תקנות הוו, מעיקרא תקינו לבתולה ארבע מאות זוז ולאלמנה מנה, </w:t>
      </w:r>
    </w:p>
    <w:p w14:paraId="0A7A7655" w14:textId="1ACD730D" w:rsidR="00170E85" w:rsidRDefault="00170E85" w:rsidP="00170E85">
      <w:pPr>
        <w:pStyle w:val="Style1"/>
        <w:rPr>
          <w:rStyle w:val="Style1Char"/>
          <w:rtl/>
        </w:rPr>
      </w:pPr>
      <w:r>
        <w:rPr>
          <w:rStyle w:val="Style1Char"/>
          <w:rFonts w:hint="cs"/>
          <w:rtl/>
        </w:rPr>
        <w:t>1)[</w:t>
      </w:r>
      <w:r w:rsidRPr="00170E85">
        <w:rPr>
          <w:rStyle w:val="Style1Char"/>
          <w:rtl/>
        </w:rPr>
        <w:t>רמב</w:t>
      </w:r>
      <w:r w:rsidR="00213DA1">
        <w:rPr>
          <w:rStyle w:val="Style1Char"/>
          <w:rtl/>
        </w:rPr>
        <w:t>”ם \נשים\</w:t>
      </w:r>
      <w:r w:rsidRPr="00170E85">
        <w:rPr>
          <w:rStyle w:val="Style1Char"/>
          <w:rtl/>
        </w:rPr>
        <w:t xml:space="preserve"> הלכות אישות פרק יא הלכה ח</w:t>
      </w:r>
      <w:r>
        <w:rPr>
          <w:rStyle w:val="Style1Char"/>
          <w:rFonts w:hint="cs"/>
          <w:rtl/>
        </w:rPr>
        <w:t xml:space="preserve">] </w:t>
      </w:r>
      <w:r w:rsidRPr="00170E85">
        <w:rPr>
          <w:rStyle w:val="Style1Char"/>
          <w:rtl/>
        </w:rPr>
        <w:t>כל בתולה שכתובתה מאתים יש לה טענת בתולים, וכל שכתובתה מאה או שלא תיקנו לה חכמים כתובה אין לה טענת בתולים, והמתייחד עם ארוסתו קודם נישואין אין לה טענת בתולים.</w:t>
      </w:r>
    </w:p>
    <w:p w14:paraId="4366C9C9" w14:textId="305AF92E" w:rsidR="006F4B27" w:rsidRDefault="006F4B27" w:rsidP="006F4B27">
      <w:pPr>
        <w:pStyle w:val="Style1"/>
        <w:rPr>
          <w:rStyle w:val="Style1Char"/>
          <w:rtl/>
        </w:rPr>
      </w:pPr>
      <w:r>
        <w:rPr>
          <w:rStyle w:val="Style1Char"/>
          <w:rFonts w:hint="cs"/>
          <w:rtl/>
        </w:rPr>
        <w:t>1)[</w:t>
      </w:r>
      <w:r w:rsidRPr="006F4B27">
        <w:rPr>
          <w:rStyle w:val="Style1Char"/>
          <w:rtl/>
        </w:rPr>
        <w:t>שולחן ערוך אבן העזר הלכות כתובות סימן סח סעיף א</w:t>
      </w:r>
      <w:r>
        <w:rPr>
          <w:rStyle w:val="Style1Char"/>
          <w:rFonts w:hint="cs"/>
          <w:rtl/>
        </w:rPr>
        <w:t xml:space="preserve">] </w:t>
      </w:r>
      <w:r w:rsidRPr="006F4B27">
        <w:rPr>
          <w:rStyle w:val="Style1Char"/>
          <w:rtl/>
        </w:rPr>
        <w:t>כל בתולה שכתובתה ק"ק יש לה טענת בתולים. וכל שכתובתה מנה, או שלא תקנו לה כתובה, אין לה טענת בתולים. וכל המתייחד עם ארוסתו קודם נשואין, אין לה טענת בתולים.</w:t>
      </w:r>
    </w:p>
    <w:p w14:paraId="2D162996" w14:textId="5181DF1A" w:rsidR="00DA4959" w:rsidRPr="00170E85" w:rsidRDefault="00DA4959" w:rsidP="00DA4959">
      <w:pPr>
        <w:pStyle w:val="Style1"/>
        <w:rPr>
          <w:rStyle w:val="Style1Char"/>
          <w:rtl/>
        </w:rPr>
      </w:pPr>
      <w:r>
        <w:rPr>
          <w:rStyle w:val="Style1Char"/>
          <w:rFonts w:hint="cs"/>
          <w:rtl/>
        </w:rPr>
        <w:t>2)[</w:t>
      </w:r>
      <w:r w:rsidRPr="00DA4959">
        <w:rPr>
          <w:rStyle w:val="Style1Char"/>
          <w:rtl/>
        </w:rPr>
        <w:t>שולחן ערוך אבן העזר הלכות כתובות סימן סח סעיף ב</w:t>
      </w:r>
      <w:r>
        <w:rPr>
          <w:rStyle w:val="Style1Char"/>
          <w:rFonts w:hint="cs"/>
          <w:rtl/>
        </w:rPr>
        <w:t xml:space="preserve">] </w:t>
      </w:r>
      <w:r w:rsidRPr="00DA4959">
        <w:rPr>
          <w:rStyle w:val="Style1Char"/>
          <w:rtl/>
        </w:rPr>
        <w:t>אם מנהג המקום להעמיד עדים למשמש שלא ינהגו מנהג רמאות</w:t>
      </w:r>
      <w:r>
        <w:rPr>
          <w:rStyle w:val="Style1Char"/>
          <w:rFonts w:hint="cs"/>
          <w:rtl/>
        </w:rPr>
        <w:t xml:space="preserve"> </w:t>
      </w:r>
      <w:r w:rsidRPr="00DA4959">
        <w:rPr>
          <w:rStyle w:val="Style1Char"/>
          <w:rtl/>
        </w:rPr>
        <w:t>ואירע הדבר שלא העמידו עדים, אינו יכול לטעון טענת בתולים.</w:t>
      </w:r>
    </w:p>
    <w:p w14:paraId="7B6892C6" w14:textId="77777777" w:rsidR="00F450C8" w:rsidRPr="00170E85" w:rsidRDefault="00F450C8" w:rsidP="00170E85">
      <w:pPr>
        <w:pStyle w:val="Style1"/>
        <w:bidi w:val="0"/>
        <w:rPr>
          <w:rStyle w:val="Style1Char"/>
          <w:rtl/>
        </w:rPr>
      </w:pPr>
      <w:r w:rsidRPr="00170E85">
        <w:rPr>
          <w:rStyle w:val="Style1Char"/>
          <w:rtl/>
        </w:rPr>
        <w:br w:type="page"/>
      </w:r>
    </w:p>
    <w:p w14:paraId="4B29AA02" w14:textId="3A3AC371" w:rsidR="00F450C8" w:rsidRPr="00F450C8" w:rsidRDefault="00F450C8" w:rsidP="00F450C8">
      <w:pPr>
        <w:bidi/>
        <w:rPr>
          <w:rStyle w:val="Style1Char"/>
          <w:color w:val="00B050"/>
        </w:rPr>
      </w:pPr>
      <w:r w:rsidRPr="00F450C8">
        <w:rPr>
          <w:rStyle w:val="Style1Char"/>
          <w:color w:val="00B050"/>
          <w:sz w:val="22"/>
          <w:szCs w:val="22"/>
          <w:highlight w:val="yellow"/>
          <w:rtl/>
        </w:rPr>
        <w:lastRenderedPageBreak/>
        <w:t>[דף יב עמוד ב]</w:t>
      </w:r>
      <w:r w:rsidRPr="00F450C8">
        <w:rPr>
          <w:rStyle w:val="Style1Char"/>
          <w:color w:val="00B050"/>
          <w:sz w:val="22"/>
          <w:szCs w:val="22"/>
          <w:rtl/>
        </w:rPr>
        <w:t xml:space="preserve"> </w:t>
      </w:r>
      <w:r w:rsidRPr="00F450C8">
        <w:rPr>
          <w:rStyle w:val="Style1Char"/>
          <w:color w:val="00B050"/>
          <w:rtl/>
        </w:rPr>
        <w:t xml:space="preserve">כיון דחזו דמזלזלי בהו תקינו לה מאתן, כיון דחזו דקא פרשין מינייהו, דאמרי: עד דנסבינן אלמנת כהנים ניזיל ניסיב בתולה בת ישראל, אהדרינהו למלתייהו. </w:t>
      </w:r>
    </w:p>
    <w:p w14:paraId="186BFCA6" w14:textId="23A36CDE" w:rsidR="00F450C8" w:rsidRPr="00F450C8" w:rsidRDefault="00F450C8" w:rsidP="00F450C8">
      <w:pPr>
        <w:bidi/>
        <w:rPr>
          <w:rStyle w:val="Style1Char"/>
          <w:color w:val="00B050"/>
        </w:rPr>
      </w:pPr>
      <w:r w:rsidRPr="00F450C8">
        <w:rPr>
          <w:rStyle w:val="Style1Char"/>
          <w:color w:val="00B050"/>
          <w:rtl/>
        </w:rPr>
        <w:t xml:space="preserve">בית דין של כהנים כו'. אמר רב יהודה אמר שמואל: </w:t>
      </w:r>
      <w:r w:rsidR="00EC7A22">
        <w:rPr>
          <w:rStyle w:val="Style1Char"/>
          <w:rFonts w:hint="cs"/>
          <w:rtl/>
        </w:rPr>
        <w:t>(1)</w:t>
      </w:r>
      <w:r w:rsidR="00EC7A22" w:rsidRPr="00F450C8">
        <w:rPr>
          <w:rStyle w:val="Style1Char"/>
          <w:color w:val="00B050"/>
          <w:rtl/>
        </w:rPr>
        <w:t xml:space="preserve"> </w:t>
      </w:r>
      <w:r w:rsidRPr="00F450C8">
        <w:rPr>
          <w:rStyle w:val="Style1Char"/>
          <w:color w:val="00B050"/>
          <w:rtl/>
        </w:rPr>
        <w:t xml:space="preserve">לא ב"ד של כהנים בלבד אמרו, אלא אפי' משפחות המיוחסות בישראל, אם רצו לעשות כדרך שהכהנים עושין - עושין. מיתיבי: הרוצה לעשות כדרך שהכהנים עושין, כגון בת ישראל לכהן ובת כהן לישראל - עושין; בת ישראל לכהן ובת כהן לישראל הוא דאיכא צד כהונה, אבל בת ישראל לישראל לא! לא מבעיא קאמר, לא מבעיא בת ישראל לישראל, דלא מצי אמר לה עלויי קא מעלינן ליך, אבל בת ישראל לכהן, דמצי אמר לה עלויי קא מעלינן ליך - אימא לא, קמ"ל. </w:t>
      </w:r>
    </w:p>
    <w:p w14:paraId="01C831B1" w14:textId="6BF6AE9E" w:rsidR="00F450C8" w:rsidRPr="00B93A9F" w:rsidRDefault="00F450C8" w:rsidP="00F450C8">
      <w:pPr>
        <w:bidi/>
        <w:rPr>
          <w:rStyle w:val="Style1Char"/>
          <w:color w:val="auto"/>
          <w:sz w:val="22"/>
          <w:szCs w:val="22"/>
        </w:rPr>
      </w:pPr>
      <w:r w:rsidRPr="00B93A9F">
        <w:rPr>
          <w:rStyle w:val="Style1Char"/>
          <w:color w:val="auto"/>
          <w:sz w:val="22"/>
          <w:szCs w:val="22"/>
          <w:rtl/>
        </w:rPr>
        <w:t xml:space="preserve">מתני'. הנושא את האשה ולא מצא לה בתולים, היא אומרת משארסתני נאנסתי ונסתחפה שדהו, והוא אומר לא כי, אלא עד שלא ארסתיך והיה מקחי מקח טעות, </w:t>
      </w:r>
      <w:r w:rsidR="00BA0E2F">
        <w:rPr>
          <w:rStyle w:val="Style1Char"/>
          <w:rFonts w:hint="cs"/>
          <w:rtl/>
        </w:rPr>
        <w:t>(</w:t>
      </w:r>
      <w:r w:rsidR="00EC7A22">
        <w:rPr>
          <w:rStyle w:val="Style1Char"/>
        </w:rPr>
        <w:t>2</w:t>
      </w:r>
      <w:r w:rsidR="00BA0E2F">
        <w:rPr>
          <w:rStyle w:val="Style1Char"/>
          <w:rFonts w:hint="cs"/>
          <w:rtl/>
        </w:rPr>
        <w:t>)</w:t>
      </w:r>
      <w:r w:rsidR="00BA0E2F" w:rsidRPr="00B93A9F">
        <w:rPr>
          <w:rStyle w:val="Style1Char"/>
          <w:color w:val="auto"/>
          <w:sz w:val="22"/>
          <w:szCs w:val="22"/>
          <w:rtl/>
        </w:rPr>
        <w:t xml:space="preserve"> </w:t>
      </w:r>
      <w:r w:rsidRPr="00B93A9F">
        <w:rPr>
          <w:rStyle w:val="Style1Char"/>
          <w:color w:val="auto"/>
          <w:sz w:val="22"/>
          <w:szCs w:val="22"/>
          <w:rtl/>
        </w:rPr>
        <w:t xml:space="preserve">רבן גמליאל ורבי אליעזר אומרים: נאמנת; רבי יהושע אומר: לא מפיה אנו חיין, אלא הרי זו בחזקת בעולה עד שלא תתארס, והטעתו, עד שתביא ראיה לדבריה. </w:t>
      </w:r>
    </w:p>
    <w:p w14:paraId="55FF0819" w14:textId="4DBEC539" w:rsidR="00F450C8" w:rsidRDefault="00F450C8" w:rsidP="00F450C8">
      <w:pPr>
        <w:bidi/>
        <w:rPr>
          <w:rStyle w:val="Style1Char"/>
          <w:color w:val="00B050"/>
          <w:rtl/>
        </w:rPr>
      </w:pPr>
      <w:r w:rsidRPr="00A3748C">
        <w:rPr>
          <w:rStyle w:val="Style1Char"/>
          <w:sz w:val="22"/>
          <w:szCs w:val="22"/>
          <w:rtl/>
        </w:rPr>
        <w:t xml:space="preserve">גמ'. אתמר: מנה לי בידך, והלה אומר איני יודע, רב יהודה ורב הונא אמרי: חייב, </w:t>
      </w:r>
      <w:r w:rsidR="00BD7574">
        <w:rPr>
          <w:rStyle w:val="Style1Char"/>
          <w:rFonts w:hint="cs"/>
          <w:rtl/>
        </w:rPr>
        <w:t>(</w:t>
      </w:r>
      <w:r w:rsidR="00DF604E">
        <w:rPr>
          <w:rStyle w:val="Style1Char"/>
          <w:rFonts w:hint="cs"/>
          <w:rtl/>
        </w:rPr>
        <w:t>3</w:t>
      </w:r>
      <w:r w:rsidR="00BD7574">
        <w:rPr>
          <w:rStyle w:val="Style1Char"/>
          <w:rFonts w:hint="cs"/>
          <w:rtl/>
        </w:rPr>
        <w:t>)</w:t>
      </w:r>
      <w:r w:rsidR="00BD7574" w:rsidRPr="00A3748C">
        <w:rPr>
          <w:rStyle w:val="Style1Char"/>
          <w:sz w:val="22"/>
          <w:szCs w:val="22"/>
          <w:rtl/>
        </w:rPr>
        <w:t xml:space="preserve"> </w:t>
      </w:r>
      <w:r w:rsidRPr="00A3748C">
        <w:rPr>
          <w:rStyle w:val="Style1Char"/>
          <w:sz w:val="22"/>
          <w:szCs w:val="22"/>
          <w:rtl/>
        </w:rPr>
        <w:t xml:space="preserve">ורב נחמן ורבי יוחנן אמרי: פטור. רב הונא ורב יהודה אמרי חייב, ברי ושמא - ברי עדיף; רב נחמן ורבי יוחנן אמרי פטור, אוקי ממונא בחזקת מריה. </w:t>
      </w:r>
      <w:r w:rsidRPr="00F450C8">
        <w:rPr>
          <w:rStyle w:val="Style1Char"/>
          <w:color w:val="00B050"/>
          <w:rtl/>
        </w:rPr>
        <w:t xml:space="preserve">א"ל אביי לרב יוסף: הא דרב הונא ורב יהודה - דשמואל היא; דתנן: היתה מעוברת, ואמרו לה מה טיבו של עובר זה? מאיש פלוני וכהן הוא, רבן גמליאל ורבי אליעזר אומרים: נאמנת, ואמר רב יהודה אמר שמואל: הלכה כרבן גמליאל, ואמר ליה רב שמואל בר יהודה לרב יהודה: שיננא! אמרת לן משמיה דשמואל: הלכה כרבן גמליאל אף בראשונה; מאי אף בראשונה? אף על גב דאיכא למימר אוקי ממונא בחזקת מריה, אמר רבן גמליאל ברי עדיף. </w:t>
      </w:r>
      <w:r w:rsidRPr="001B19BA">
        <w:rPr>
          <w:rStyle w:val="Style1Char"/>
          <w:sz w:val="22"/>
          <w:szCs w:val="22"/>
          <w:rtl/>
        </w:rPr>
        <w:t xml:space="preserve">לימא, רב יהודה ורב הונא דאמרי כר"ג, ורב נחמן ורבי יוחנן דאמרי כרבי יהושע! אמר לך רב נחמן: אנא דאמרי אפילו כרבן גמליאל, </w:t>
      </w:r>
      <w:r w:rsidRPr="00F450C8">
        <w:rPr>
          <w:rStyle w:val="Style1Char"/>
          <w:color w:val="00B050"/>
          <w:rtl/>
        </w:rPr>
        <w:t xml:space="preserve">עד כאן לא קאמר ר"ג התם - אלא דאיכא מגו, אבל הכא מאי מגו איכא? אי נמי, </w:t>
      </w:r>
      <w:r w:rsidRPr="001B19BA">
        <w:rPr>
          <w:rStyle w:val="Style1Char"/>
          <w:sz w:val="22"/>
          <w:szCs w:val="22"/>
          <w:rtl/>
        </w:rPr>
        <w:t xml:space="preserve">עד כאן לא קאמר רבן גמליאל התם - אלא דאמרינן אוקמה </w:t>
      </w:r>
      <w:r w:rsidR="001B19BA" w:rsidRPr="001B19BA">
        <w:rPr>
          <w:rStyle w:val="Style1Char"/>
          <w:color w:val="C00000"/>
          <w:sz w:val="22"/>
          <w:szCs w:val="22"/>
          <w:rtl/>
        </w:rPr>
        <w:t xml:space="preserve">איתתא </w:t>
      </w:r>
      <w:r w:rsidRPr="001B19BA">
        <w:rPr>
          <w:rStyle w:val="Style1Char"/>
          <w:sz w:val="22"/>
          <w:szCs w:val="22"/>
          <w:rtl/>
        </w:rPr>
        <w:t>אחזקה, אבל הכא מאי חזקה אית ליה להאי? הכי נמי מסתברא כדקא משנינן,</w:t>
      </w:r>
      <w:r w:rsidRPr="00F450C8">
        <w:rPr>
          <w:rStyle w:val="Style1Char"/>
          <w:color w:val="00B050"/>
          <w:rtl/>
        </w:rPr>
        <w:t xml:space="preserve"> דרב נחמן הוא דאמר כר"ג, </w:t>
      </w:r>
    </w:p>
    <w:p w14:paraId="11B465AE" w14:textId="25959376" w:rsidR="0049080D" w:rsidRPr="00D16BE2" w:rsidRDefault="008B77B5" w:rsidP="00D16BE2">
      <w:pPr>
        <w:pStyle w:val="Style1"/>
      </w:pPr>
      <w:r>
        <w:rPr>
          <w:rStyle w:val="Style1Char"/>
          <w:rFonts w:hint="cs"/>
          <w:rtl/>
        </w:rPr>
        <w:t>1)[</w:t>
      </w:r>
      <w:r w:rsidR="00F57FA2" w:rsidRPr="008B77B5">
        <w:rPr>
          <w:rStyle w:val="Style1Char"/>
          <w:rtl/>
        </w:rPr>
        <w:t>שולחן ערוך אבן העזר הלכות כתובות סימן סו סעיף ז</w:t>
      </w:r>
      <w:r w:rsidR="00F36EC9">
        <w:rPr>
          <w:rStyle w:val="Style1Char"/>
          <w:rFonts w:hint="cs"/>
          <w:rtl/>
        </w:rPr>
        <w:t>]</w:t>
      </w:r>
      <w:r w:rsidR="00D16BE2">
        <w:rPr>
          <w:rStyle w:val="Style1Char"/>
        </w:rPr>
        <w:t xml:space="preserve"> </w:t>
      </w:r>
      <w:r w:rsidR="0049080D" w:rsidRPr="00D16BE2">
        <w:rPr>
          <w:rtl/>
        </w:rPr>
        <w:t>אם ירצה להוסיף על זה, מוסיף; וזה התוספות שמוסיף, יש דברים שדינו בהם כעיקר הכתובה, ויש דברים שהוא חלוק בהם מעיקר הכתובה, כדלקמן</w:t>
      </w:r>
      <w:r w:rsidR="0049080D" w:rsidRPr="00D16BE2">
        <w:t>.</w:t>
      </w:r>
    </w:p>
    <w:p w14:paraId="50AD6F98" w14:textId="5A329269" w:rsidR="0049080D" w:rsidRDefault="0049080D" w:rsidP="00D16BE2">
      <w:pPr>
        <w:pStyle w:val="Style1"/>
      </w:pPr>
      <w:r w:rsidRPr="00D16BE2">
        <w:rPr>
          <w:rFonts w:hint="cs"/>
          <w:rtl/>
        </w:rPr>
        <w:t>הגה: ואין צריך לפרש עיקר הכתובה בפני עצמה והתוספת בפני עצמו, אלא כולל הכל ביחד, אם ירצה (הר"ן ריש אף על פי והמגיד משנה פרק י</w:t>
      </w:r>
      <w:r w:rsidRPr="00D16BE2">
        <w:rPr>
          <w:rFonts w:hint="cs"/>
        </w:rPr>
        <w:t>' </w:t>
      </w:r>
      <w:hyperlink r:id="rId26" w:tooltip="תשובות ריב&quot;ש/סה" w:history="1">
        <w:r w:rsidRPr="00D16BE2">
          <w:rPr>
            <w:rStyle w:val="Hyperlink"/>
            <w:rFonts w:hint="cs"/>
            <w:color w:val="7030A0"/>
            <w:u w:val="none"/>
            <w:rtl/>
          </w:rPr>
          <w:t>וריב"ש סימן ס"ה</w:t>
        </w:r>
      </w:hyperlink>
      <w:r w:rsidRPr="00D16BE2">
        <w:rPr>
          <w:rFonts w:hint="cs"/>
        </w:rPr>
        <w:t xml:space="preserve">); </w:t>
      </w:r>
      <w:r w:rsidRPr="00D16BE2">
        <w:rPr>
          <w:rFonts w:hint="cs"/>
          <w:rtl/>
        </w:rPr>
        <w:t>ויש חולקים, וסבירא להו דצריך לכתוב הכתובה כמנהג המדינה בפני עצמה, והתוספת בפני עצמו, וכן נוהגין. ואם יש משפחה שכולן נוהגים בתוספת, אין צריך לכתוב כל אחד בפני עצמו (מרדכי פרק קמא דכתבות). כתובה שכתב בה: "ודין נדוניא דהנעלת לה מאה דינרין והוסיף לה מן דילה כך וכך", אין עיקר כתובה בכלל, וצריך לשלם לה בפני עצמו, עד שיהא כתוב: "ויהיבנא ליכי מוהר בתולייכי כסף זוזי אלף", דאז העיקר כתובה בכלל</w:t>
      </w:r>
      <w:r w:rsidRPr="00D16BE2">
        <w:rPr>
          <w:rFonts w:hint="cs"/>
        </w:rPr>
        <w:t xml:space="preserve"> (</w:t>
      </w:r>
      <w:hyperlink r:id="rId27" w:tooltip="תשובות ריב&quot;ש/סה" w:history="1">
        <w:r w:rsidRPr="00D16BE2">
          <w:rPr>
            <w:rStyle w:val="Hyperlink"/>
            <w:rFonts w:hint="cs"/>
            <w:color w:val="7030A0"/>
            <w:u w:val="none"/>
            <w:rtl/>
          </w:rPr>
          <w:t>ריב"ש סימן ס"ה</w:t>
        </w:r>
      </w:hyperlink>
      <w:r w:rsidRPr="00D16BE2">
        <w:rPr>
          <w:rFonts w:hint="cs"/>
        </w:rPr>
        <w:t>)</w:t>
      </w:r>
      <w:r w:rsidRPr="00D16BE2">
        <w:t>:</w:t>
      </w:r>
    </w:p>
    <w:p w14:paraId="6127B2DD" w14:textId="21DF5399" w:rsidR="00BA23E6" w:rsidRDefault="00BA23E6" w:rsidP="00BA23E6">
      <w:pPr>
        <w:pStyle w:val="Style1"/>
        <w:rPr>
          <w:rtl/>
        </w:rPr>
      </w:pPr>
      <w:r>
        <w:t>2</w:t>
      </w:r>
      <w:r w:rsidR="00DC033E">
        <w:rPr>
          <w:rFonts w:hint="cs"/>
          <w:rtl/>
        </w:rPr>
        <w:t>)[</w:t>
      </w:r>
      <w:r>
        <w:rPr>
          <w:rtl/>
        </w:rPr>
        <w:t>רמב</w:t>
      </w:r>
      <w:r w:rsidR="00213DA1">
        <w:rPr>
          <w:rtl/>
        </w:rPr>
        <w:t>”ם \נשים\</w:t>
      </w:r>
      <w:r>
        <w:rPr>
          <w:rtl/>
        </w:rPr>
        <w:t xml:space="preserve"> הלכות אישות פרק יא הלכה יא</w:t>
      </w:r>
      <w:r>
        <w:t xml:space="preserve">[ </w:t>
      </w:r>
      <w:r>
        <w:rPr>
          <w:rtl/>
        </w:rPr>
        <w:t>אמרה היא אמת אמר שלא מצאני בתולה ואיש בא עלי באונס אחר שנתארסתי לו הרי זו נאמנת וכתובתה מאתים כמו שהיתה, ואם טען ואמר שמא עד שלא ארסתיך נאנסת ומקחי מקח טעות או אחר שארסתיך נבעלת ברצונך, הרי זה מחרים סתם על מי שטוען שקר כדי לחייבני ממון שאיני חייב בו.</w:t>
      </w:r>
    </w:p>
    <w:p w14:paraId="76EF91CC" w14:textId="500D2BBC" w:rsidR="008D25BD" w:rsidRPr="008D25BD" w:rsidRDefault="00D463FB" w:rsidP="008D25BD">
      <w:pPr>
        <w:pStyle w:val="Style1"/>
      </w:pPr>
      <w:r>
        <w:rPr>
          <w:rFonts w:hint="cs"/>
          <w:rtl/>
        </w:rPr>
        <w:t>2)[</w:t>
      </w:r>
      <w:r>
        <w:rPr>
          <w:rtl/>
        </w:rPr>
        <w:t>שולחן ערוך אבן העזר הלכות כתובות סימן סח סעיף ט</w:t>
      </w:r>
      <w:r>
        <w:rPr>
          <w:rFonts w:hint="cs"/>
          <w:rtl/>
        </w:rPr>
        <w:t>]</w:t>
      </w:r>
      <w:r w:rsidR="008D25BD">
        <w:rPr>
          <w:rFonts w:hint="cs"/>
          <w:rtl/>
        </w:rPr>
        <w:t xml:space="preserve"> </w:t>
      </w:r>
      <w:r w:rsidR="008D25BD" w:rsidRPr="008D25BD">
        <w:rPr>
          <w:rtl/>
        </w:rPr>
        <w:t>כשטען שלא מצאה בתולה, אם אמרה: מוכת עץ אני, נאמנת, ותחזור כתובתה למנה. ויש לו להחרים סתם, שלא בא עליה איש. ואם אמרה: משארסתני נאנסתי, הרי זו נאמנת וכתובתה מאתיים כמו שהיתה. ואם טען: שמא עד שלא ארסתיך נאנסת, או שמא אחר שארסתיך נבעלת ברצונך, הרי זו מחרים סתם על מי שטוען שקר כדי לחייבו ממון</w:t>
      </w:r>
      <w:r w:rsidR="008D25BD" w:rsidRPr="008D25BD">
        <w:t>.</w:t>
      </w:r>
    </w:p>
    <w:p w14:paraId="5FB947A1" w14:textId="2AA0F792" w:rsidR="008D25BD" w:rsidRDefault="008D25BD" w:rsidP="008D25BD">
      <w:pPr>
        <w:pStyle w:val="Style1"/>
        <w:rPr>
          <w:rtl/>
        </w:rPr>
      </w:pPr>
      <w:r w:rsidRPr="008D25BD">
        <w:rPr>
          <w:rFonts w:hint="cs"/>
          <w:rtl/>
        </w:rPr>
        <w:t>כל מי שטוען טענת בתולים וטענתו טענה, אם רוצה לקיימה אחר כך כותב לה כתובה מנה (טור)</w:t>
      </w:r>
      <w:r w:rsidRPr="008D25BD">
        <w:t>:</w:t>
      </w:r>
    </w:p>
    <w:p w14:paraId="7C466A09" w14:textId="2F6C21D2" w:rsidR="00DF604E" w:rsidRDefault="00DF604E" w:rsidP="00DF604E">
      <w:pPr>
        <w:pStyle w:val="Style1"/>
        <w:rPr>
          <w:rtl/>
        </w:rPr>
      </w:pPr>
      <w:r>
        <w:rPr>
          <w:rFonts w:hint="cs"/>
          <w:rtl/>
        </w:rPr>
        <w:t>3)[</w:t>
      </w:r>
      <w:r>
        <w:rPr>
          <w:rtl/>
        </w:rPr>
        <w:t>רמב</w:t>
      </w:r>
      <w:r w:rsidR="0057095E">
        <w:rPr>
          <w:rtl/>
        </w:rPr>
        <w:t>”ם \משפטים\</w:t>
      </w:r>
      <w:r>
        <w:rPr>
          <w:rtl/>
        </w:rPr>
        <w:t xml:space="preserve"> הלכות טוען ונטען פרק א הלכה ט</w:t>
      </w:r>
      <w:r>
        <w:rPr>
          <w:rFonts w:hint="cs"/>
          <w:rtl/>
        </w:rPr>
        <w:t xml:space="preserve">] </w:t>
      </w:r>
      <w:r>
        <w:rPr>
          <w:rtl/>
        </w:rPr>
        <w:t>מנה יש לי בידך בודאי והנתבע אומר כן היה לך בידי אבל איני יודע אם החזרתי לך או עדיין לא החזרתי לך חייב לשלם ולא ישבע התובע כלל אפילו שבועת היסת, מפני שהוא יודע בודאי שהוא חייב והרי זה טוען אותו טענת ודאי ונסתפק אם נפטר או לא נפטר וכן כל כיוצא בזה, אבל אם אין לו תובע והודה מעצמו ואמר גזלתיך או הלויתני מנה, אביך הפקיד אצלי מנה ואיני יודע אם החזרתיו או לא החזרתיו, אינו חייב לשלם, ואם בא לצאת ידי שמים חייב לשלם.</w:t>
      </w:r>
    </w:p>
    <w:p w14:paraId="79E9301B" w14:textId="1FC43779" w:rsidR="00D65BF2" w:rsidRPr="00D65BF2" w:rsidRDefault="001B3A82" w:rsidP="00D65BF2">
      <w:pPr>
        <w:pStyle w:val="Style1"/>
      </w:pPr>
      <w:r>
        <w:rPr>
          <w:rFonts w:hint="cs"/>
          <w:rtl/>
        </w:rPr>
        <w:t>3)[</w:t>
      </w:r>
      <w:r>
        <w:rPr>
          <w:rtl/>
        </w:rPr>
        <w:t>שולחן ערוך חושן משפט הלכות טוען ונטען סימן עה סעיף ט</w:t>
      </w:r>
      <w:r>
        <w:rPr>
          <w:rFonts w:hint="cs"/>
          <w:rtl/>
        </w:rPr>
        <w:t>]</w:t>
      </w:r>
      <w:r w:rsidR="00D65BF2">
        <w:rPr>
          <w:rFonts w:hint="cs"/>
          <w:rtl/>
        </w:rPr>
        <w:t xml:space="preserve"> </w:t>
      </w:r>
      <w:r w:rsidR="00D65BF2" w:rsidRPr="00D65BF2">
        <w:rPr>
          <w:rtl/>
        </w:rPr>
        <w:t>מנה לי בידך שהלויתיך או שהפקדתי בידך והלה אומר איני יודע אם הלויתני או אם הפקדת בידי ישבע היסת שאינו יודע ופטור ואם בא לצאת ידי שמים ישלם ואפילו אם טען תחלה טענת ברי אין לך בידי וכשחייבוהו לישבע היסת חזר וטען איני יודע אם הלויתני או אם הפקדת אצלי נשבע היסת שאינו יודע ופטור מנה לי בידך שהלויתיך או שהפקדתי בידך והלה אומר יודע אני שהלויתני מנה או שהפקדת אצלי ואיני יודע אם החזרתי לך אם לאו חייב לשלם ואין התובע צריך לישבע אפילו שבועת היסת אבל אם ירצה יחרים חרם סתם על כל מי שנוטל ממונו שלא כדין</w:t>
      </w:r>
      <w:r w:rsidR="00D65BF2" w:rsidRPr="00D65BF2">
        <w:t>.</w:t>
      </w:r>
    </w:p>
    <w:p w14:paraId="01E76A42" w14:textId="77777777" w:rsidR="00D65BF2" w:rsidRPr="00D65BF2" w:rsidRDefault="00D65BF2" w:rsidP="00D65BF2">
      <w:pPr>
        <w:pStyle w:val="Style1"/>
      </w:pPr>
      <w:r w:rsidRPr="00D65BF2">
        <w:rPr>
          <w:rFonts w:hint="cs"/>
          <w:rtl/>
        </w:rPr>
        <w:t>(ואם חזר אח"כ ואמר נזכרתי שפרעתיך נאמן בשבועה) (מרדכי פ"ק דכתובות משערי רב אלפס)</w:t>
      </w:r>
      <w:r w:rsidRPr="00D65BF2">
        <w:t>:</w:t>
      </w:r>
    </w:p>
    <w:p w14:paraId="5767596B" w14:textId="77777777" w:rsidR="00D65BF2" w:rsidRPr="00D65BF2" w:rsidRDefault="00D65BF2" w:rsidP="00D65BF2">
      <w:pPr>
        <w:pStyle w:val="Style1"/>
      </w:pPr>
    </w:p>
    <w:p w14:paraId="4BB204EC" w14:textId="6324D912" w:rsidR="001B3A82" w:rsidRPr="008D25BD" w:rsidRDefault="001B3A82" w:rsidP="001B3A82">
      <w:pPr>
        <w:pStyle w:val="Style1"/>
      </w:pPr>
    </w:p>
    <w:p w14:paraId="6F0F405C" w14:textId="77777777" w:rsidR="008D25BD" w:rsidRPr="008D25BD" w:rsidRDefault="008D25BD" w:rsidP="008D25BD">
      <w:pPr>
        <w:pStyle w:val="Style1"/>
      </w:pPr>
    </w:p>
    <w:p w14:paraId="0562B870" w14:textId="11233ADB" w:rsidR="00D463FB" w:rsidRPr="008D25BD" w:rsidRDefault="00D463FB" w:rsidP="008D25BD">
      <w:pPr>
        <w:pStyle w:val="Style1"/>
      </w:pPr>
    </w:p>
    <w:p w14:paraId="147F4AAD" w14:textId="77777777" w:rsidR="0049080D" w:rsidRPr="00D16BE2" w:rsidRDefault="0049080D" w:rsidP="00D16BE2">
      <w:pPr>
        <w:pStyle w:val="Style1"/>
        <w:rPr>
          <w:rStyle w:val="Style1Char"/>
        </w:rPr>
      </w:pPr>
    </w:p>
    <w:p w14:paraId="3476A309" w14:textId="77777777" w:rsidR="003B3028" w:rsidRPr="003B3028" w:rsidRDefault="003B3028" w:rsidP="003B3028">
      <w:pPr>
        <w:bidi/>
        <w:rPr>
          <w:rStyle w:val="Style1Char"/>
          <w:color w:val="00B050"/>
          <w:rtl/>
        </w:rPr>
      </w:pPr>
    </w:p>
    <w:p w14:paraId="2DE9A407" w14:textId="77777777" w:rsidR="00F450C8" w:rsidRDefault="00F450C8">
      <w:pPr>
        <w:rPr>
          <w:rStyle w:val="Style1Char"/>
          <w:color w:val="00B050"/>
          <w:rtl/>
        </w:rPr>
      </w:pPr>
      <w:r>
        <w:rPr>
          <w:rStyle w:val="Style1Char"/>
          <w:color w:val="00B050"/>
          <w:rtl/>
        </w:rPr>
        <w:br w:type="page"/>
      </w:r>
    </w:p>
    <w:p w14:paraId="78270E6B" w14:textId="11413590" w:rsidR="00F450C8" w:rsidRPr="00614BC9" w:rsidRDefault="00F450C8" w:rsidP="00F450C8">
      <w:pPr>
        <w:bidi/>
        <w:rPr>
          <w:rStyle w:val="Style1Char"/>
          <w:sz w:val="22"/>
          <w:szCs w:val="22"/>
          <w:rtl/>
        </w:rPr>
      </w:pPr>
      <w:r w:rsidRPr="00F450C8">
        <w:rPr>
          <w:rStyle w:val="Style1Char"/>
          <w:color w:val="00B050"/>
          <w:sz w:val="22"/>
          <w:szCs w:val="22"/>
          <w:highlight w:val="yellow"/>
          <w:rtl/>
        </w:rPr>
        <w:lastRenderedPageBreak/>
        <w:t>[דף יג עמוד א]</w:t>
      </w:r>
      <w:r w:rsidRPr="00F450C8">
        <w:rPr>
          <w:rStyle w:val="Style1Char"/>
          <w:color w:val="00B050"/>
          <w:sz w:val="22"/>
          <w:szCs w:val="22"/>
          <w:rtl/>
        </w:rPr>
        <w:t xml:space="preserve"> </w:t>
      </w:r>
      <w:r w:rsidRPr="00F450C8">
        <w:rPr>
          <w:rStyle w:val="Style1Char"/>
          <w:color w:val="00B050"/>
          <w:rtl/>
        </w:rPr>
        <w:t xml:space="preserve">דאם כן </w:t>
      </w:r>
      <w:r w:rsidR="00614BC9" w:rsidRPr="00614BC9">
        <w:rPr>
          <w:rStyle w:val="Style1Char"/>
          <w:color w:val="C00000"/>
          <w:sz w:val="22"/>
          <w:szCs w:val="22"/>
          <w:rtl/>
        </w:rPr>
        <w:t xml:space="preserve">דאי לא תימא הכי </w:t>
      </w:r>
      <w:r w:rsidRPr="00614BC9">
        <w:rPr>
          <w:rStyle w:val="Style1Char"/>
          <w:sz w:val="22"/>
          <w:szCs w:val="22"/>
          <w:rtl/>
        </w:rPr>
        <w:t xml:space="preserve">קשיא הלכתא אהלכתא, דקיימא לן: הלכתא כרב נחמן בדיני, ובהא </w:t>
      </w:r>
      <w:r w:rsidRPr="007D131C">
        <w:rPr>
          <w:rStyle w:val="Style1Char"/>
          <w:color w:val="auto"/>
          <w:sz w:val="22"/>
          <w:szCs w:val="22"/>
          <w:rtl/>
        </w:rPr>
        <w:t xml:space="preserve">אמר רב יהודה אמר שמואל: הלכה כרבן גמליאל! </w:t>
      </w:r>
      <w:r w:rsidRPr="00614BC9">
        <w:rPr>
          <w:rStyle w:val="Style1Char"/>
          <w:sz w:val="22"/>
          <w:szCs w:val="22"/>
          <w:rtl/>
        </w:rPr>
        <w:t xml:space="preserve">אלא לאו ש"מ כדמשנינן, ש"מ. </w:t>
      </w:r>
    </w:p>
    <w:p w14:paraId="0D6104C8" w14:textId="14F0D94C" w:rsidR="00F450C8" w:rsidRPr="00D10074" w:rsidRDefault="00F450C8" w:rsidP="00F450C8">
      <w:pPr>
        <w:bidi/>
        <w:rPr>
          <w:rStyle w:val="Style1Char"/>
          <w:color w:val="auto"/>
          <w:sz w:val="22"/>
          <w:szCs w:val="22"/>
        </w:rPr>
      </w:pPr>
      <w:r w:rsidRPr="00D10074">
        <w:rPr>
          <w:rStyle w:val="Style1Char"/>
          <w:color w:val="auto"/>
          <w:sz w:val="22"/>
          <w:szCs w:val="22"/>
          <w:rtl/>
        </w:rPr>
        <w:t xml:space="preserve">מתני'. היא אומרת מוכת עץ אני, והוא אומר לא כי, אלא דרוסת איש את, </w:t>
      </w:r>
      <w:r w:rsidR="00721EE2">
        <w:rPr>
          <w:rStyle w:val="Style1Char"/>
          <w:rFonts w:hint="cs"/>
          <w:rtl/>
        </w:rPr>
        <w:t>(1)</w:t>
      </w:r>
      <w:r w:rsidR="00721EE2" w:rsidRPr="00D10074">
        <w:rPr>
          <w:rStyle w:val="Style1Char"/>
          <w:color w:val="auto"/>
          <w:sz w:val="22"/>
          <w:szCs w:val="22"/>
          <w:rtl/>
        </w:rPr>
        <w:t xml:space="preserve"> </w:t>
      </w:r>
      <w:r w:rsidRPr="00D10074">
        <w:rPr>
          <w:rStyle w:val="Style1Char"/>
          <w:color w:val="auto"/>
          <w:sz w:val="22"/>
          <w:szCs w:val="22"/>
          <w:rtl/>
        </w:rPr>
        <w:t xml:space="preserve">רבן גמליאל ורבי אליעזר אומרים: נאמנת, ורבי יהושע אומר: לא מפיה אנו חיין, אלא הרי זו בחזקת דרוסת איש, עד שתביא ראיה לדבריה. </w:t>
      </w:r>
    </w:p>
    <w:p w14:paraId="5E01120B" w14:textId="4D0A3D41" w:rsidR="00F450C8" w:rsidRDefault="00F450C8" w:rsidP="00F450C8">
      <w:pPr>
        <w:bidi/>
        <w:rPr>
          <w:rStyle w:val="Style1Char"/>
          <w:color w:val="00B050"/>
          <w:rtl/>
        </w:rPr>
      </w:pPr>
      <w:r w:rsidRPr="00F450C8">
        <w:rPr>
          <w:rStyle w:val="Style1Char"/>
          <w:color w:val="00B050"/>
          <w:rtl/>
        </w:rPr>
        <w:t xml:space="preserve">גמ'. טענתייהו במאי? רבי יוחנן אמר: במאתים ומנה, רבי אלעזר אמר: במנה ולא כלום. רבי יוחנן אמר במאתים ומנה, סבר לה כר"מ, דאמר: בין הכיר בה ובין לא הכיר בה - מאתים; ורבי אלעזר אומר במנה ולא כלום, סבר לה כרבנן, דאמרי: בין הכיר בה בין לא הכיר בה - מנה. בשלמא ר' אלעזר לא קאמר כר' יוחנן, דקא מוקי לה כרבנן, אלא רבי יוחנן מ"ט לא אמר כר' אלעזר? קסבר: כנסה בחזקת בתולה ונמצאת בעולה - יש לה כתובה מנה, הכא הוא קאמר מנה והיא קאמרה מנה, מאי איכא בין טענה דידיה לטענה דידה. בשלמא לר' אלעזר, היינו דקתני תרתי, חדא לאפוקי מדרמי בר חמא, וחדא לאפוקי מדרב חייא בר אבין א"ר ששת, אלא לר' יוחנן תרתי למה לי? חדא להודיעך כחו דרבן גמליאל, וחדא להודיעך כחו דרבי יהושע; קמייתא להודיעך כחו דרבי יהושע, דאף על גב דאיכא למימר מיגו - לא מהימנא, בתרייתא להודיעך כחו דרבן גמליאל, דאע"ג דליכא למימר מיגו - מהימנא. </w:t>
      </w:r>
    </w:p>
    <w:p w14:paraId="6A1E2256" w14:textId="04C36E1F" w:rsidR="00F450C8" w:rsidRPr="007D131C" w:rsidRDefault="00F450C8" w:rsidP="00F450C8">
      <w:pPr>
        <w:bidi/>
        <w:rPr>
          <w:rStyle w:val="Style1Char"/>
          <w:color w:val="auto"/>
          <w:sz w:val="22"/>
          <w:szCs w:val="22"/>
        </w:rPr>
      </w:pPr>
      <w:r w:rsidRPr="007D131C">
        <w:rPr>
          <w:rStyle w:val="Style1Char"/>
          <w:color w:val="auto"/>
          <w:sz w:val="22"/>
          <w:szCs w:val="22"/>
          <w:rtl/>
        </w:rPr>
        <w:t xml:space="preserve">מתני'. ראוה מדברת עם אחד, ואמרו לה מה טיבו של איש זה? איש פלוני וכהן הוא, </w:t>
      </w:r>
      <w:r w:rsidR="006827D3">
        <w:rPr>
          <w:rStyle w:val="Style1Char"/>
          <w:rFonts w:hint="cs"/>
          <w:rtl/>
        </w:rPr>
        <w:t>(2)</w:t>
      </w:r>
      <w:r w:rsidR="006827D3" w:rsidRPr="007D131C">
        <w:rPr>
          <w:rStyle w:val="Style1Char"/>
          <w:color w:val="auto"/>
          <w:sz w:val="22"/>
          <w:szCs w:val="22"/>
          <w:rtl/>
        </w:rPr>
        <w:t xml:space="preserve"> </w:t>
      </w:r>
      <w:r w:rsidRPr="007D131C">
        <w:rPr>
          <w:rStyle w:val="Style1Char"/>
          <w:color w:val="auto"/>
          <w:sz w:val="22"/>
          <w:szCs w:val="22"/>
          <w:rtl/>
        </w:rPr>
        <w:t xml:space="preserve">רבן גמליאל ורבי אליעזר אומרים: נאמנת, ור' יהושע אומר: לא מפיה אנו חיין, אלא הרי זו בחזקת בעולה לנתין ולממזר, עד שתביא ראיה לדבריה. היתה מעוברת, ואמרו לה מה טיבו של עובר זה? מאיש פלוני וכהן הוא, </w:t>
      </w:r>
      <w:r w:rsidR="0076655A">
        <w:rPr>
          <w:rStyle w:val="Style1Char"/>
          <w:rFonts w:hint="cs"/>
          <w:rtl/>
        </w:rPr>
        <w:t>(</w:t>
      </w:r>
      <w:r w:rsidR="007047E8">
        <w:rPr>
          <w:rStyle w:val="Style1Char"/>
          <w:rFonts w:hint="cs"/>
          <w:rtl/>
        </w:rPr>
        <w:t>2</w:t>
      </w:r>
      <w:r w:rsidR="0076655A">
        <w:rPr>
          <w:rStyle w:val="Style1Char"/>
          <w:rFonts w:hint="cs"/>
          <w:rtl/>
        </w:rPr>
        <w:t>)</w:t>
      </w:r>
      <w:r w:rsidR="0076655A" w:rsidRPr="007D131C">
        <w:rPr>
          <w:rStyle w:val="Style1Char"/>
          <w:color w:val="auto"/>
          <w:sz w:val="22"/>
          <w:szCs w:val="22"/>
          <w:rtl/>
        </w:rPr>
        <w:t xml:space="preserve"> </w:t>
      </w:r>
      <w:r w:rsidRPr="007D131C">
        <w:rPr>
          <w:rStyle w:val="Style1Char"/>
          <w:color w:val="auto"/>
          <w:sz w:val="22"/>
          <w:szCs w:val="22"/>
          <w:rtl/>
        </w:rPr>
        <w:t xml:space="preserve">רבן גמליאל ורבי אליעזר אומרים: נאמנת, ור' יהושע אומר: לא מפיה אנו חיין, אלא הרי זו בחזקת מעוברת לנתין ולממזר, עד שתביא ראיה לדבריה. </w:t>
      </w:r>
    </w:p>
    <w:p w14:paraId="6325B20D" w14:textId="522CD36F" w:rsidR="00F450C8" w:rsidRDefault="00F450C8" w:rsidP="00F450C8">
      <w:pPr>
        <w:bidi/>
        <w:rPr>
          <w:rStyle w:val="Style1Char"/>
          <w:color w:val="00B050"/>
          <w:rtl/>
        </w:rPr>
      </w:pPr>
      <w:r w:rsidRPr="00F450C8">
        <w:rPr>
          <w:rStyle w:val="Style1Char"/>
          <w:color w:val="00B050"/>
          <w:rtl/>
        </w:rPr>
        <w:t xml:space="preserve">גמ'. מאי מדברת? זעירי אמר: נסתרה, רב אסי אמר: </w:t>
      </w:r>
      <w:r w:rsidR="00806161">
        <w:rPr>
          <w:rStyle w:val="Style1Char"/>
          <w:rFonts w:hint="cs"/>
          <w:rtl/>
        </w:rPr>
        <w:t>(2)</w:t>
      </w:r>
      <w:r w:rsidR="00806161" w:rsidRPr="00F450C8">
        <w:rPr>
          <w:rStyle w:val="Style1Char"/>
          <w:color w:val="00B050"/>
          <w:rtl/>
        </w:rPr>
        <w:t xml:space="preserve"> </w:t>
      </w:r>
      <w:r w:rsidRPr="00F450C8">
        <w:rPr>
          <w:rStyle w:val="Style1Char"/>
          <w:color w:val="00B050"/>
          <w:rtl/>
        </w:rPr>
        <w:t xml:space="preserve">נבעלה. בשלמא לזעירי, היינו דקתני מדברת, אלא לרב אסי מאי מדברת? לישנא מעליא כדכתיב: אכלה ומחתה פיה ואמרה לא פעלתי און. בשלמא לזעירי, היינו דקתני תרתי, מדברת ומעוברת, אלא לרב אסי תרתי למה לי? </w:t>
      </w:r>
      <w:r w:rsidR="00817AE2">
        <w:rPr>
          <w:rStyle w:val="Style1Char"/>
          <w:rFonts w:hint="cs"/>
          <w:rtl/>
        </w:rPr>
        <w:t>(2)</w:t>
      </w:r>
      <w:r w:rsidR="00817AE2" w:rsidRPr="00F450C8">
        <w:rPr>
          <w:rStyle w:val="Style1Char"/>
          <w:color w:val="00B050"/>
          <w:rtl/>
        </w:rPr>
        <w:t xml:space="preserve"> </w:t>
      </w:r>
      <w:r w:rsidRPr="00F450C8">
        <w:rPr>
          <w:rStyle w:val="Style1Char"/>
          <w:color w:val="00B050"/>
          <w:rtl/>
        </w:rPr>
        <w:t xml:space="preserve">חדא להכשיר בה, וחדא להכשיר בבתה. הניחא למאן דאמר לדברי המכשיר בה מכשיר בבתה, אלא למ"ד לדברי המכשיר בה פוסל בבתה, מאי איכא למימר? רב אסי סבר כמ"ד לדברי המכשיר בה מכשיר בבתה: א"ל רב פפא לאביי, לזעירי דאמר: מאי מדברת? נסתרה, וא"ר יהושע: לא מהימנא, האמר רב: </w:t>
      </w:r>
      <w:r w:rsidR="0004562E">
        <w:rPr>
          <w:rStyle w:val="Style1Char"/>
          <w:rFonts w:hint="cs"/>
          <w:rtl/>
        </w:rPr>
        <w:t>(3)</w:t>
      </w:r>
      <w:r w:rsidR="0004562E" w:rsidRPr="00F450C8">
        <w:rPr>
          <w:rStyle w:val="Style1Char"/>
          <w:color w:val="00B050"/>
          <w:rtl/>
        </w:rPr>
        <w:t xml:space="preserve"> </w:t>
      </w:r>
      <w:r w:rsidRPr="00F450C8">
        <w:rPr>
          <w:rStyle w:val="Style1Char"/>
          <w:color w:val="00B050"/>
          <w:rtl/>
        </w:rPr>
        <w:t xml:space="preserve">מלקין על היחוד, ואין אוסרין על היחוד, לימא דלא כר"י! אפי' תימא ר' יהושע, מעלה עשו ביוחסין. מיתיבי: ראוה שנכנסה עם אחד לסתר </w:t>
      </w:r>
    </w:p>
    <w:p w14:paraId="1CB81AEC" w14:textId="2A348EB4" w:rsidR="00CA5F7F" w:rsidRDefault="00CA5F7F" w:rsidP="00CA5F7F">
      <w:pPr>
        <w:pStyle w:val="Style1"/>
        <w:rPr>
          <w:rStyle w:val="Style1Char"/>
          <w:rtl/>
        </w:rPr>
      </w:pPr>
      <w:r>
        <w:rPr>
          <w:rStyle w:val="Style1Char"/>
          <w:rFonts w:hint="cs"/>
          <w:rtl/>
        </w:rPr>
        <w:t>1)[</w:t>
      </w:r>
      <w:r w:rsidRPr="00CA5F7F">
        <w:rPr>
          <w:rStyle w:val="Style1Char"/>
          <w:rtl/>
        </w:rPr>
        <w:t>רמב</w:t>
      </w:r>
      <w:r w:rsidR="00213DA1">
        <w:rPr>
          <w:rStyle w:val="Style1Char"/>
          <w:rtl/>
        </w:rPr>
        <w:t>”ם \נשים\</w:t>
      </w:r>
      <w:r w:rsidRPr="00CA5F7F">
        <w:rPr>
          <w:rStyle w:val="Style1Char"/>
          <w:rtl/>
        </w:rPr>
        <w:t xml:space="preserve"> הלכות אישות פרק יא הלכה י</w:t>
      </w:r>
      <w:r>
        <w:rPr>
          <w:rStyle w:val="Style1Char"/>
          <w:rFonts w:hint="cs"/>
          <w:rtl/>
        </w:rPr>
        <w:t xml:space="preserve">] </w:t>
      </w:r>
      <w:r w:rsidRPr="00CA5F7F">
        <w:rPr>
          <w:rStyle w:val="Style1Char"/>
          <w:rtl/>
        </w:rPr>
        <w:t>הנושא בתולה שכתובתה מאתים וטען ואמר לא מצאתיה בתולה, שואלין אותה אם אמרה אמת הוא לא מצאני בתולה מפני שנפלתי והכני עץ או קרקע והלכו בתולי הרי זו נאמנת ותחזור כתובתה למנה, אף על פי שהוא טוען ואומר שמא איש בא עליך ואין ליך כלום אין משגיחין בטענתו, ויש לו להחרים סתם שלא בא עליה איש שאין הדבר ודאי לו.</w:t>
      </w:r>
    </w:p>
    <w:p w14:paraId="6C906ABA" w14:textId="77777777" w:rsidR="0029471F" w:rsidRPr="008D25BD" w:rsidRDefault="0029471F" w:rsidP="0029471F">
      <w:pPr>
        <w:pStyle w:val="Style1"/>
      </w:pPr>
      <w:r>
        <w:rPr>
          <w:rStyle w:val="Style1Char"/>
          <w:rFonts w:hint="cs"/>
          <w:rtl/>
        </w:rPr>
        <w:t>1</w:t>
      </w:r>
      <w:r>
        <w:rPr>
          <w:rFonts w:hint="cs"/>
          <w:rtl/>
        </w:rPr>
        <w:t>)[</w:t>
      </w:r>
      <w:r>
        <w:rPr>
          <w:rtl/>
        </w:rPr>
        <w:t>שולחן ערוך אבן העזר הלכות כתובות סימן סח סעיף ט</w:t>
      </w:r>
      <w:r>
        <w:rPr>
          <w:rFonts w:hint="cs"/>
          <w:rtl/>
        </w:rPr>
        <w:t xml:space="preserve">] </w:t>
      </w:r>
      <w:r w:rsidRPr="008D25BD">
        <w:rPr>
          <w:rtl/>
        </w:rPr>
        <w:t>כשטען שלא מצאה בתולה, אם אמרה: מוכת עץ אני, נאמנת, ותחזור כתובתה למנה. ויש לו להחרים סתם, שלא בא עליה איש. ואם אמרה: משארסתני נאנסתי, הרי זו נאמנת וכתובתה מאתיים כמו שהיתה. ואם טען: שמא עד שלא ארסתיך נאנסת, או שמא אחר שארסתיך נבעלת ברצונך, הרי זו מחרים סתם על מי שטוען שקר כדי לחייבו ממון</w:t>
      </w:r>
      <w:r w:rsidRPr="008D25BD">
        <w:t>.</w:t>
      </w:r>
    </w:p>
    <w:p w14:paraId="7B5B43CC" w14:textId="7657F4E9" w:rsidR="0029471F" w:rsidRDefault="0029471F" w:rsidP="0029471F">
      <w:pPr>
        <w:pStyle w:val="Style1"/>
        <w:rPr>
          <w:rtl/>
        </w:rPr>
      </w:pPr>
      <w:r w:rsidRPr="008D25BD">
        <w:rPr>
          <w:rFonts w:hint="cs"/>
          <w:rtl/>
        </w:rPr>
        <w:t>כל מי שטוען טענת בתולים וטענתו טענה, אם רוצה לקיימה אחר כך כותב לה כתובה מנה (טור)</w:t>
      </w:r>
      <w:r w:rsidRPr="008D25BD">
        <w:t>:</w:t>
      </w:r>
    </w:p>
    <w:p w14:paraId="275B7A9E" w14:textId="27EE2A31" w:rsidR="00500C92" w:rsidRDefault="00500C92" w:rsidP="00500C92">
      <w:pPr>
        <w:pStyle w:val="Style1"/>
        <w:rPr>
          <w:rtl/>
        </w:rPr>
      </w:pPr>
      <w:r>
        <w:rPr>
          <w:rFonts w:hint="cs"/>
          <w:rtl/>
        </w:rPr>
        <w:t>2)[</w:t>
      </w:r>
      <w:r>
        <w:rPr>
          <w:rtl/>
        </w:rPr>
        <w:t>רמב</w:t>
      </w:r>
      <w:r w:rsidR="00213DA1">
        <w:rPr>
          <w:rtl/>
        </w:rPr>
        <w:t>”ם \קדושה\</w:t>
      </w:r>
      <w:r>
        <w:rPr>
          <w:rtl/>
        </w:rPr>
        <w:t xml:space="preserve"> הלכות איסורי ביאה פרק טו הלכה יא</w:t>
      </w:r>
      <w:r>
        <w:rPr>
          <w:rFonts w:hint="cs"/>
          <w:rtl/>
        </w:rPr>
        <w:t xml:space="preserve">] </w:t>
      </w:r>
      <w:r>
        <w:rPr>
          <w:rtl/>
        </w:rPr>
        <w:t>פנויה שנתעברה מזנות אמרו לה מהו העובר הזה או הילוד הזה אם אמרה בן כשר הוא ולישראל נבעלתי הרי זו נאמנת והבן כשר, ואף ע"פ שרוב העיר שזנתה בה פסולים.</w:t>
      </w:r>
    </w:p>
    <w:p w14:paraId="0C0E83AF" w14:textId="74E1F656" w:rsidR="001A2EC5" w:rsidRDefault="001A2EC5" w:rsidP="001A2EC5">
      <w:pPr>
        <w:pStyle w:val="Style1"/>
        <w:rPr>
          <w:rtl/>
        </w:rPr>
      </w:pPr>
      <w:r>
        <w:rPr>
          <w:rFonts w:hint="cs"/>
          <w:rtl/>
        </w:rPr>
        <w:t>2)[</w:t>
      </w:r>
      <w:r>
        <w:rPr>
          <w:rtl/>
        </w:rPr>
        <w:t>רמב</w:t>
      </w:r>
      <w:r w:rsidR="00213DA1">
        <w:rPr>
          <w:rtl/>
        </w:rPr>
        <w:t>”ם \קדושה\</w:t>
      </w:r>
      <w:r>
        <w:rPr>
          <w:rtl/>
        </w:rPr>
        <w:t xml:space="preserve"> הלכות איסורי ביאה פרק יח הלכה יג</w:t>
      </w:r>
      <w:r>
        <w:rPr>
          <w:rFonts w:hint="cs"/>
          <w:rtl/>
        </w:rPr>
        <w:t xml:space="preserve">] </w:t>
      </w:r>
      <w:r>
        <w:rPr>
          <w:rtl/>
        </w:rPr>
        <w:t>פנויה שראוה שנבעלה לאחד והלך לו, ואמרו לה מי הוא זה שבא עליך ואמרה אדם כשר הרי זו נאמנת, ולא עוד אלא אפילו ראוה מעוברת ואמרו לה ממי נתעברת ואמרה מאדם כשר הרי זו נאמנת ותהיה מותרת לכהן.</w:t>
      </w:r>
    </w:p>
    <w:p w14:paraId="2735A139" w14:textId="699C2E0F" w:rsidR="00322967" w:rsidRDefault="00322967" w:rsidP="00322967">
      <w:pPr>
        <w:pStyle w:val="Style1"/>
        <w:rPr>
          <w:rtl/>
        </w:rPr>
      </w:pPr>
      <w:r>
        <w:rPr>
          <w:rFonts w:hint="cs"/>
          <w:rtl/>
        </w:rPr>
        <w:t>2)[</w:t>
      </w:r>
      <w:r>
        <w:rPr>
          <w:rtl/>
        </w:rPr>
        <w:t>רמב</w:t>
      </w:r>
      <w:r w:rsidR="00213DA1">
        <w:rPr>
          <w:rtl/>
        </w:rPr>
        <w:t>”ם \קדושה\</w:t>
      </w:r>
      <w:r>
        <w:rPr>
          <w:rtl/>
        </w:rPr>
        <w:t xml:space="preserve"> הלכות איסורי ביאה פרק יח הלכה יד</w:t>
      </w:r>
      <w:r>
        <w:rPr>
          <w:rFonts w:hint="cs"/>
          <w:rtl/>
        </w:rPr>
        <w:t xml:space="preserve">] </w:t>
      </w:r>
      <w:r>
        <w:rPr>
          <w:rtl/>
        </w:rPr>
        <w:t>בד"א בשיהיה המקום שנבעלה בו פרשת דרכים או בקרנות שבשדות שהכל עוברין שם, והיו רוב העוברים שם כשרים, ורוב העיר שפרשו אלו העוברין ממנה כשרים, שהחכמים עשו מעלה ביוחסין והצריכו שני רובות, אבל אם היו רוב העוברים פוסלים אותה כגון עכו"ם או ממזרים וכיוצא בהם אף על פי שרוב המקום שבאו ממנה כשרים או שהיו רוב אנשי המקום פסולין אף על פי שרוב העוברין שם כשרים חוששין לה שמא למי שפוסל אותה נבעלה ולא תינשא לכהן לכתחלה ואם נשאת (לא) תצא.</w:t>
      </w:r>
    </w:p>
    <w:p w14:paraId="337900F0" w14:textId="47795B8C" w:rsidR="0040224B" w:rsidRDefault="00B958BF" w:rsidP="00BB7347">
      <w:pPr>
        <w:pStyle w:val="Style1"/>
        <w:rPr>
          <w:rtl/>
        </w:rPr>
      </w:pPr>
      <w:r>
        <w:rPr>
          <w:rFonts w:hint="cs"/>
          <w:rtl/>
        </w:rPr>
        <w:t>2)[</w:t>
      </w:r>
      <w:r>
        <w:rPr>
          <w:rtl/>
        </w:rPr>
        <w:t>שולחן ערוך אבן העזר הלכות פריה ורביה סימן ו סעיף יז</w:t>
      </w:r>
      <w:r>
        <w:rPr>
          <w:rFonts w:hint="cs"/>
          <w:rtl/>
        </w:rPr>
        <w:t>]</w:t>
      </w:r>
      <w:r w:rsidR="00BB7347">
        <w:rPr>
          <w:rFonts w:hint="cs"/>
          <w:rtl/>
        </w:rPr>
        <w:t xml:space="preserve"> </w:t>
      </w:r>
      <w:r w:rsidR="0040224B" w:rsidRPr="00BB7347">
        <w:rPr>
          <w:rtl/>
        </w:rPr>
        <w:t>פנויה שראוה שנבעלה לאחד, והלך לו הבועל ואמרו לה: מי הוא זה שבא עליך, ואמרה: אדם כשר, הרי זו נאמנת. ולא עוד אלא אפילו ראוה מעוברת, ואמרו לה: ממי את מעוברת, ואמרה: מאדם כשר, הרי זו נאמנת ותהיה </w:t>
      </w:r>
      <w:r w:rsidR="0040224B" w:rsidRPr="00BB7347">
        <w:rPr>
          <w:rFonts w:hint="cs"/>
        </w:rPr>
        <w:t>(</w:t>
      </w:r>
      <w:r w:rsidR="0040224B" w:rsidRPr="00BB7347">
        <w:rPr>
          <w:rFonts w:hint="cs"/>
          <w:rtl/>
        </w:rPr>
        <w:t>היא ובתה</w:t>
      </w:r>
      <w:r w:rsidR="0040224B" w:rsidRPr="00BB7347">
        <w:rPr>
          <w:rFonts w:hint="cs"/>
        </w:rPr>
        <w:t>)</w:t>
      </w:r>
      <w:r w:rsidR="0040224B" w:rsidRPr="00BB7347">
        <w:t> </w:t>
      </w:r>
      <w:r w:rsidR="0040224B" w:rsidRPr="00BB7347">
        <w:rPr>
          <w:rtl/>
        </w:rPr>
        <w:t>מותרת לכהן. בד"א, כשהיה המקום שנבעלה בו פרשת דרכים, או בקרנות שבשדות שהכל עוברים שם, והיו רוב העוברים שם כשרים, ורוב העיר שפירשו אלו העוברים ממנה כשרים, שחכמים עשו מעלה ביוחסין והצריכו שני רובות. אבל אם היו רוב העוברים פוסלים אותה, כגון עכו"ם או ממזרים וכיוצא בהם, אע"פ שרוב המקום שבאו ממנו כשרים, או שהיו רוב אנשי המקום פסולים, אע"פ שרוב העוברים כשרים, חוששין לה ונאמר: למי שפוסלת אותה נבעלה, ולא תנשא לכהן לכתחלה, ואם נשאת לא תצא. וי"א דבאומרת: לכשר נבעלתי, בחד רובא לכתחלה מכשירין, ובדיעבד, אפילו ברוב פסולים</w:t>
      </w:r>
      <w:r w:rsidR="0040224B" w:rsidRPr="00BB7347">
        <w:t>:</w:t>
      </w:r>
    </w:p>
    <w:p w14:paraId="15B9F6A8" w14:textId="3E7A7B05" w:rsidR="008D1834" w:rsidRDefault="008D1834" w:rsidP="008D1834">
      <w:pPr>
        <w:pStyle w:val="Style1"/>
        <w:rPr>
          <w:rtl/>
        </w:rPr>
      </w:pPr>
      <w:r>
        <w:rPr>
          <w:rFonts w:hint="cs"/>
          <w:rtl/>
        </w:rPr>
        <w:t>3)[</w:t>
      </w:r>
      <w:r>
        <w:rPr>
          <w:rtl/>
        </w:rPr>
        <w:t>רמב</w:t>
      </w:r>
      <w:r w:rsidR="00213DA1">
        <w:rPr>
          <w:rtl/>
        </w:rPr>
        <w:t>”ם \קדושה\</w:t>
      </w:r>
      <w:r>
        <w:rPr>
          <w:rtl/>
        </w:rPr>
        <w:t xml:space="preserve"> הלכות איסורי ביאה פרק כב הלכה ג</w:t>
      </w:r>
      <w:r>
        <w:rPr>
          <w:rFonts w:hint="cs"/>
          <w:rtl/>
        </w:rPr>
        <w:t xml:space="preserve">] </w:t>
      </w:r>
      <w:r>
        <w:rPr>
          <w:rtl/>
        </w:rPr>
        <w:t>כשאירע מעשה אמנון ותמר גזר דוד ובית דינו על ייחוד פנויה, ואף על פי שאינה ערוה בכלל ייחוד עריות היא, ושמאי והלל גזרו על ייחוד כותית, נמצא כל המתייחד עם אשה שאסור להתייחד עמה בין ישראלית בין כותית מכין את שניהן מכת מרדות האיש והאשה, ומכריזין עליהן, חוץ מאשת איש שאע"פ שאסור להתייחד עמה אם נתייחד אין לוקין, שלא להוציא לעז עליה שזינתה ונמצאו מוציאין לעז על הבנים שהן ממזרים.</w:t>
      </w:r>
    </w:p>
    <w:p w14:paraId="2A887B80" w14:textId="469F26C4" w:rsidR="00B640CC" w:rsidRPr="00B640CC" w:rsidRDefault="00DD7A50" w:rsidP="00B640CC">
      <w:pPr>
        <w:pStyle w:val="Style1"/>
      </w:pPr>
      <w:r>
        <w:rPr>
          <w:rFonts w:hint="cs"/>
          <w:rtl/>
        </w:rPr>
        <w:t>3)[</w:t>
      </w:r>
      <w:r>
        <w:rPr>
          <w:rtl/>
        </w:rPr>
        <w:t>שולחן ערוך אבן העזר הלכות אישות סימן כב סעיף ב</w:t>
      </w:r>
      <w:r>
        <w:rPr>
          <w:rFonts w:hint="cs"/>
          <w:rtl/>
        </w:rPr>
        <w:t>]</w:t>
      </w:r>
      <w:r w:rsidR="00B640CC">
        <w:rPr>
          <w:rFonts w:hint="cs"/>
          <w:rtl/>
        </w:rPr>
        <w:t xml:space="preserve"> </w:t>
      </w:r>
      <w:r w:rsidR="00B640CC" w:rsidRPr="00B640CC">
        <w:rPr>
          <w:rtl/>
        </w:rPr>
        <w:t>כשאירע מעשה אמנון ותמר, גזר דוד ובית דינו על ייחוד פנויה. ואע"פ שאינה ערוה, בכלל ייחוד עריות היא. ושמאי והלל גזרו על ייחוד עובדי כוכבים. נמצא כל המתייחד עם אשה שאסור להתייחד עמה, בין ישראלית בין עובדת כוכבים, מכין את שניהם מכת מרדות האיש והאשה, ומכריזין עליהם</w:t>
      </w:r>
      <w:r w:rsidR="00B640CC" w:rsidRPr="00B640CC">
        <w:t>.</w:t>
      </w:r>
    </w:p>
    <w:p w14:paraId="50F69BB1" w14:textId="77777777" w:rsidR="00B640CC" w:rsidRPr="00B640CC" w:rsidRDefault="00B640CC" w:rsidP="00B640CC">
      <w:pPr>
        <w:pStyle w:val="Style1"/>
      </w:pPr>
      <w:r w:rsidRPr="00B640CC">
        <w:rPr>
          <w:rFonts w:hint="cs"/>
          <w:rtl/>
        </w:rPr>
        <w:t>הגה</w:t>
      </w:r>
      <w:r w:rsidRPr="00B640CC">
        <w:rPr>
          <w:rFonts w:hint="cs"/>
        </w:rPr>
        <w:t>: </w:t>
      </w:r>
      <w:r w:rsidRPr="00B640CC">
        <w:rPr>
          <w:rFonts w:hint="cs"/>
          <w:rtl/>
        </w:rPr>
        <w:t>ודוקא בידוע שנתייחד עמה, אבל היא אינה נאמנת עליו</w:t>
      </w:r>
      <w:r w:rsidRPr="00B640CC">
        <w:rPr>
          <w:rFonts w:hint="cs"/>
        </w:rPr>
        <w:t xml:space="preserve"> (</w:t>
      </w:r>
      <w:hyperlink r:id="rId28" w:tooltip="תשובות ריב&quot;ש/רפא" w:history="1">
        <w:r w:rsidRPr="00B640CC">
          <w:rPr>
            <w:rStyle w:val="Hyperlink"/>
            <w:rFonts w:hint="cs"/>
            <w:color w:val="7030A0"/>
            <w:u w:val="none"/>
            <w:rtl/>
          </w:rPr>
          <w:t>ריב"ש סי' רפ"א</w:t>
        </w:r>
      </w:hyperlink>
      <w:r w:rsidRPr="00B640CC">
        <w:rPr>
          <w:rFonts w:hint="cs"/>
        </w:rPr>
        <w:t xml:space="preserve">). </w:t>
      </w:r>
      <w:r w:rsidRPr="00B640CC">
        <w:rPr>
          <w:rFonts w:hint="cs"/>
          <w:rtl/>
        </w:rPr>
        <w:t>ואפילו עד אחד אינו נאמן (מהרי"ק שורש קפ"ט). ומכל מקום במקום שנראה לבית דין דאיכא למיחש לאיסורא, צריך להפרישן (שם בריב"ש</w:t>
      </w:r>
      <w:r w:rsidRPr="00B640CC">
        <w:rPr>
          <w:rFonts w:hint="cs"/>
        </w:rPr>
        <w:t>)</w:t>
      </w:r>
      <w:r w:rsidRPr="00B640CC">
        <w:t>.</w:t>
      </w:r>
    </w:p>
    <w:p w14:paraId="1FBFA600" w14:textId="77777777" w:rsidR="00B640CC" w:rsidRPr="00B640CC" w:rsidRDefault="00B640CC" w:rsidP="00B640CC">
      <w:pPr>
        <w:pStyle w:val="Style1"/>
      </w:pPr>
      <w:r w:rsidRPr="00B640CC">
        <w:rPr>
          <w:rtl/>
        </w:rPr>
        <w:t>חוץ מאשת איש שאע"פ שאסור להתייחד עמה, אם נתייחד אין לוקין, שלא להוציא לעז עליה שזינתה ונמצא מוציאין לעז על בניה שהם ממזרים</w:t>
      </w:r>
      <w:r w:rsidRPr="00B640CC">
        <w:t>:</w:t>
      </w:r>
    </w:p>
    <w:p w14:paraId="1FFD9F42" w14:textId="141075C4" w:rsidR="00F450C8" w:rsidRDefault="00F450C8">
      <w:pPr>
        <w:rPr>
          <w:rStyle w:val="Style1Char"/>
          <w:color w:val="00B050"/>
          <w:rtl/>
        </w:rPr>
      </w:pPr>
    </w:p>
    <w:p w14:paraId="4D0505FF" w14:textId="7172337C" w:rsidR="00F450C8" w:rsidRDefault="00F450C8" w:rsidP="00F450C8">
      <w:pPr>
        <w:bidi/>
        <w:rPr>
          <w:rStyle w:val="Style1Char"/>
          <w:color w:val="auto"/>
          <w:sz w:val="22"/>
          <w:szCs w:val="22"/>
          <w:rtl/>
        </w:rPr>
      </w:pPr>
      <w:r w:rsidRPr="00F450C8">
        <w:rPr>
          <w:rStyle w:val="Style1Char"/>
          <w:color w:val="00B050"/>
          <w:sz w:val="22"/>
          <w:szCs w:val="22"/>
          <w:highlight w:val="yellow"/>
          <w:rtl/>
        </w:rPr>
        <w:lastRenderedPageBreak/>
        <w:t>[דף יג עמוד ב]</w:t>
      </w:r>
      <w:r w:rsidRPr="00F450C8">
        <w:rPr>
          <w:rStyle w:val="Style1Char"/>
          <w:color w:val="00B050"/>
          <w:sz w:val="22"/>
          <w:szCs w:val="22"/>
          <w:rtl/>
        </w:rPr>
        <w:t xml:space="preserve"> </w:t>
      </w:r>
      <w:r w:rsidRPr="00F450C8">
        <w:rPr>
          <w:rStyle w:val="Style1Char"/>
          <w:color w:val="00B050"/>
          <w:rtl/>
        </w:rPr>
        <w:t xml:space="preserve">או לחורבה, ואמרו לה מה טיבו של איש זה? כהן הוא ובן אחי אבא הוא, רבן גמליאל ור"א אומרים: נאמנת, רבי יהושע אומר: לא מפיה אנו חיין, אלא הרי זו בחזקת בעולה לנתין ולממזר, עד שתביא ראיה לדבריה; בשלמא לזעירי, היינו דקתני תרתי, לסתר או לחורבה, אלא לרב אסי דאמר נבעלה, תרתי למה לי? חדא קתני לסתר דחורבה. והא לסתר או לחורבה קתני! חדא לחורבה דמתא, וחדא לחורבה דדברא; וצריכי, דאי אשמעינן חורבה דמתא, בהא קמכשר רבן גמליאל, משום דרוב כשרים אצלה, אבל לחורבה דדברא דרוב פסולין אצלה - אימא מודה ליה לרבי יהושע; ואי אשמעינן בההיא, בההיא קאמר רבי יהושע, אבל בהא - אימא מודה לר"ג, צריכא. מיתיבי: זו עדות שהאשה כשרה לה, ורבי יהושע אומר: אינה נאמנת; אמר להם ר"י: אי אתם מודים, </w:t>
      </w:r>
      <w:r w:rsidR="00C57EB1">
        <w:rPr>
          <w:rStyle w:val="Style1Char"/>
          <w:rFonts w:hint="cs"/>
          <w:rtl/>
        </w:rPr>
        <w:t>(1)</w:t>
      </w:r>
      <w:r w:rsidRPr="00F450C8">
        <w:rPr>
          <w:rStyle w:val="Style1Char"/>
          <w:color w:val="00B050"/>
          <w:rtl/>
        </w:rPr>
        <w:t xml:space="preserve">בשבויה שנשבית ויש לה עדים שנשבית, והיא אומרת טהורה אני - שאינה נאמנת? אמרו לו: אבל; ומה הפרש יש בין זו לזו! לזו יש עדים, ולזו אין לה עדים; אמר להם: אף לזו יש עדים, שהרי כריסה בין שיניה! אמרו לו: רוב עובדי כוכבים פרוצים בעריות הם, אמר להן: אין אפוטרופוס לעריות; בד"א - בעדות אשה בגופה, אבל עדות אשה בבתה - דברי הכל הולד שתוקי. מאי קאמר להו, ומאי קמהדרי ליה! הכי קאמרי ליה: השבתנו על המעוברת, מה תשיבנו על המדברת? אמר להם: מדברת היינו שבויה, אמרו לו: שאני שבויה, דרוב עובדי כוכבים פרוצים בעריות הם, אמר להם: הא נמי, כיון דאיסתתר אין אפוטרופוס לעריות. קתני מיהת תרתי, מדברת ומעוברת, תיובתא דרב אסי! תיובתא. ותיפוק ליה דהתם רוב פסולין אצלה, והכא רוב כשרין אצלה! מסייע ליה לרבי יהושע בן לוי, דאמר רבי יהושע בן לוי: לדברי המכשיר - מכשיר אפילו ברוב פסולין, לדברי הפוסל - פוסל אפילו ברוב כשרים. </w:t>
      </w:r>
      <w:r w:rsidRPr="00CF4F47">
        <w:rPr>
          <w:rStyle w:val="Style1Char"/>
          <w:color w:val="auto"/>
          <w:sz w:val="22"/>
          <w:szCs w:val="22"/>
          <w:rtl/>
        </w:rPr>
        <w:t xml:space="preserve">א"ר יוחנן: </w:t>
      </w:r>
      <w:r w:rsidR="006A75F7">
        <w:rPr>
          <w:rStyle w:val="Style1Char"/>
          <w:rFonts w:hint="cs"/>
          <w:rtl/>
        </w:rPr>
        <w:t>(2)</w:t>
      </w:r>
      <w:r w:rsidRPr="00CF4F47">
        <w:rPr>
          <w:rStyle w:val="Style1Char"/>
          <w:color w:val="auto"/>
          <w:sz w:val="22"/>
          <w:szCs w:val="22"/>
          <w:rtl/>
        </w:rPr>
        <w:t>לדברי המכשיר בה - מכשיר בבתה</w:t>
      </w:r>
      <w:r w:rsidRPr="00F450C8">
        <w:rPr>
          <w:rStyle w:val="Style1Char"/>
          <w:color w:val="00B050"/>
          <w:rtl/>
        </w:rPr>
        <w:t xml:space="preserve">, </w:t>
      </w:r>
      <w:r w:rsidRPr="00CF4F47">
        <w:rPr>
          <w:rStyle w:val="Style1Char"/>
          <w:color w:val="ED7D31" w:themeColor="accent2"/>
          <w:rtl/>
        </w:rPr>
        <w:t>לדברי הפוסל בה - פוסל בבתה</w:t>
      </w:r>
      <w:r w:rsidRPr="00F450C8">
        <w:rPr>
          <w:rStyle w:val="Style1Char"/>
          <w:color w:val="00B050"/>
          <w:rtl/>
        </w:rPr>
        <w:t xml:space="preserve">; </w:t>
      </w:r>
      <w:r w:rsidRPr="00CF4F47">
        <w:rPr>
          <w:rStyle w:val="Style1Char"/>
          <w:color w:val="auto"/>
          <w:sz w:val="22"/>
          <w:szCs w:val="22"/>
          <w:rtl/>
        </w:rPr>
        <w:t xml:space="preserve">ורבי אלעזר אומר: </w:t>
      </w:r>
      <w:r w:rsidR="00682EF5" w:rsidRPr="00CF4F47">
        <w:rPr>
          <w:rStyle w:val="Style1Char"/>
          <w:color w:val="806000" w:themeColor="accent4" w:themeShade="80"/>
          <w:sz w:val="22"/>
          <w:szCs w:val="22"/>
          <w:rtl/>
        </w:rPr>
        <w:t>אף</w:t>
      </w:r>
      <w:r w:rsidR="00682EF5" w:rsidRPr="00CF4F47">
        <w:rPr>
          <w:rStyle w:val="Style1Char"/>
          <w:color w:val="806000" w:themeColor="accent4" w:themeShade="80"/>
          <w:sz w:val="32"/>
          <w:szCs w:val="32"/>
          <w:rtl/>
        </w:rPr>
        <w:t xml:space="preserve"> </w:t>
      </w:r>
      <w:r w:rsidRPr="00CF4F47">
        <w:rPr>
          <w:rStyle w:val="Style1Char"/>
          <w:color w:val="auto"/>
          <w:sz w:val="22"/>
          <w:szCs w:val="22"/>
          <w:rtl/>
        </w:rPr>
        <w:t>לדברי המכשיר בה - פוסל בבתה</w:t>
      </w:r>
      <w:r w:rsidR="00682EF5" w:rsidRPr="00CF4F47">
        <w:rPr>
          <w:rStyle w:val="Style1Char"/>
          <w:color w:val="auto"/>
          <w:rtl/>
        </w:rPr>
        <w:t xml:space="preserve"> </w:t>
      </w:r>
      <w:r w:rsidR="00682EF5" w:rsidRPr="00CF4F47">
        <w:rPr>
          <w:rStyle w:val="Style1Char"/>
          <w:color w:val="806000" w:themeColor="accent4" w:themeShade="80"/>
          <w:rtl/>
        </w:rPr>
        <w:t>וקי"ל כרבי יוחנן דרביה דר"א הוא ועוד דקאי כאבא שאול דאיפסיקא הלכתא כוותיה בפרק י' יוחסין [קידושין ע"ד ע"א] דתנן אבא שאול היה קורא לשתוקי בדוקי ואמר רב מאי בדוקי שבודקין את אמו ואי אמרה לכשר נבעלתי נאמנת ואף על גב דאיכא רוב פסולין אצלה ואמר רבא הלכה כאבא שאול</w:t>
      </w:r>
      <w:r w:rsidR="00682EF5" w:rsidRPr="006633D9">
        <w:rPr>
          <w:rStyle w:val="Style1Char"/>
          <w:color w:val="C00000"/>
          <w:rtl/>
        </w:rPr>
        <w:t>:</w:t>
      </w:r>
      <w:r w:rsidRPr="00F450C8">
        <w:rPr>
          <w:rStyle w:val="Style1Char"/>
          <w:color w:val="00B050"/>
          <w:rtl/>
        </w:rPr>
        <w:t xml:space="preserve">. אמר רבה: מ"ט דר"א? בשלמא איהי אית לה חזקה דכשרות, בתה לית לה חזקה דכשרות. איתיביה ר"א לרבי יוחנן: בד"א - בעדות אשה בגופה, אבל עדות אשה בבתה - דברי הכל הולד שתוקי; מאי לאו שתוקי ופסול! לא, שתוקי וכשר. ומי איכא שתוקי כשר? אין, כדשמואל, דאמר שמואל: עשרה כהנים עומדים, ופירש אחד מהם ובעל - הולד שתוקי. מאי שתוקי? אילימא שמשתיקין אותו מנכסי אביו, פשיטא, ומי ידעינן אבוה מנו? </w:t>
      </w:r>
      <w:r w:rsidR="00483199">
        <w:rPr>
          <w:rStyle w:val="Style1Char"/>
          <w:rFonts w:hint="cs"/>
          <w:rtl/>
        </w:rPr>
        <w:t>(3)</w:t>
      </w:r>
      <w:r w:rsidRPr="00F450C8">
        <w:rPr>
          <w:rStyle w:val="Style1Char"/>
          <w:color w:val="00B050"/>
          <w:rtl/>
        </w:rPr>
        <w:t>אלא שמשתיקין אותו מדין כהונה, דכתיב: והיתה לו ולזרעו אחריו ברית כהונת עולם, מי שזרעו מיוחס אחריו, יצא זה שאין זרעו מיוחס אחריו</w:t>
      </w:r>
      <w:r w:rsidRPr="00F35F95">
        <w:rPr>
          <w:rStyle w:val="Style1Char"/>
          <w:color w:val="auto"/>
          <w:rtl/>
        </w:rPr>
        <w:t xml:space="preserve">. </w:t>
      </w:r>
      <w:r w:rsidR="004D2D00">
        <w:rPr>
          <w:rStyle w:val="Style1Char"/>
          <w:rFonts w:hint="cs"/>
          <w:rtl/>
        </w:rPr>
        <w:t>(4)</w:t>
      </w:r>
      <w:r w:rsidRPr="00F35F95">
        <w:rPr>
          <w:rStyle w:val="Style1Char"/>
          <w:color w:val="auto"/>
          <w:sz w:val="22"/>
          <w:szCs w:val="22"/>
          <w:rtl/>
        </w:rPr>
        <w:t xml:space="preserve">ההוא ארוס וארוסתו דאתו לקמיה דרב יוסף, היא אמרה מיניה, והוא אמר </w:t>
      </w:r>
    </w:p>
    <w:p w14:paraId="3F852DD1" w14:textId="35FC6D3A" w:rsidR="00C57EB1" w:rsidRDefault="00C57EB1" w:rsidP="00C57EB1">
      <w:pPr>
        <w:pStyle w:val="Style1"/>
        <w:rPr>
          <w:rStyle w:val="Style1Char"/>
          <w:rtl/>
        </w:rPr>
      </w:pPr>
      <w:r>
        <w:rPr>
          <w:rStyle w:val="Style1Char"/>
          <w:rFonts w:hint="cs"/>
          <w:rtl/>
        </w:rPr>
        <w:t>1)[</w:t>
      </w:r>
      <w:r w:rsidRPr="00C57EB1">
        <w:rPr>
          <w:rStyle w:val="Style1Char"/>
          <w:rtl/>
        </w:rPr>
        <w:t>רמב</w:t>
      </w:r>
      <w:r w:rsidR="00213DA1">
        <w:rPr>
          <w:rStyle w:val="Style1Char"/>
          <w:rtl/>
        </w:rPr>
        <w:t>”ם \קדושה\</w:t>
      </w:r>
      <w:r w:rsidRPr="00C57EB1">
        <w:rPr>
          <w:rStyle w:val="Style1Char"/>
          <w:rtl/>
        </w:rPr>
        <w:t xml:space="preserve"> הלכות איסורי ביאה פרק יח הלכה כא</w:t>
      </w:r>
      <w:r>
        <w:rPr>
          <w:rStyle w:val="Style1Char"/>
          <w:rFonts w:hint="cs"/>
          <w:rtl/>
        </w:rPr>
        <w:t xml:space="preserve">] </w:t>
      </w:r>
      <w:r w:rsidRPr="00C57EB1">
        <w:rPr>
          <w:rStyle w:val="Style1Char"/>
          <w:rtl/>
        </w:rPr>
        <w:t>האשה שאמרה נשביתי וטהורה אני נאמנת שהפה שאסר הוא הפה שהתיר אפילו היה שם עד אחד שמעיד שהיא שבויה, אבל אם יש שם שני עדים שנשבית אינה נאמנת עד שיעיד לה אחד שהיא טהורה, היו שם שני עדים שנשבית ועד אחד מעיד שנטמאת ואחד מכחיש אותו ומעיד לה שהיא טהורה ולא נתייחד עמה עכו"ם עד שנפדית אפילו זה שמעיד שהיא טהורה אשה או שפחה הרי זו מותרת.</w:t>
      </w:r>
    </w:p>
    <w:p w14:paraId="456C12D9" w14:textId="6D4EE138" w:rsidR="004919E9" w:rsidRDefault="004919E9" w:rsidP="004919E9">
      <w:pPr>
        <w:pStyle w:val="Style1"/>
        <w:rPr>
          <w:rStyle w:val="Style1Char"/>
          <w:rtl/>
        </w:rPr>
      </w:pPr>
      <w:r>
        <w:rPr>
          <w:rStyle w:val="Style1Char"/>
          <w:rFonts w:hint="cs"/>
          <w:rtl/>
        </w:rPr>
        <w:t>1)[</w:t>
      </w:r>
      <w:r w:rsidRPr="004919E9">
        <w:rPr>
          <w:rStyle w:val="Style1Char"/>
          <w:rtl/>
        </w:rPr>
        <w:t>שולחן ערוך אבן העזר הלכות אישות סימן ז סעיף ד</w:t>
      </w:r>
      <w:r>
        <w:rPr>
          <w:rStyle w:val="Style1Char"/>
          <w:rFonts w:hint="cs"/>
          <w:rtl/>
        </w:rPr>
        <w:t xml:space="preserve">] </w:t>
      </w:r>
      <w:r w:rsidRPr="004919E9">
        <w:rPr>
          <w:rStyle w:val="Style1Char"/>
          <w:rtl/>
        </w:rPr>
        <w:t>האשה שאמרה: נשביתי, וטהורה אני, נאמנת, שהפה שאסר הוא הפה שהתיר. אפי' היה שם עד א' שמעיד שהיא שבויה. אבל אם יש שם שני עדים שנשבית, אינה נאמנת עד שיעיד לה אחד שהיא טהורה.</w:t>
      </w:r>
    </w:p>
    <w:p w14:paraId="07DCE24F" w14:textId="362C7EB3" w:rsidR="008D2913" w:rsidRDefault="008D2913" w:rsidP="008D2913">
      <w:pPr>
        <w:pStyle w:val="Style1"/>
        <w:rPr>
          <w:rtl/>
        </w:rPr>
      </w:pPr>
      <w:r>
        <w:rPr>
          <w:rFonts w:hint="cs"/>
          <w:rtl/>
        </w:rPr>
        <w:t>2)[</w:t>
      </w:r>
      <w:r>
        <w:rPr>
          <w:rtl/>
        </w:rPr>
        <w:t>רמב</w:t>
      </w:r>
      <w:r w:rsidR="00213DA1">
        <w:rPr>
          <w:rtl/>
        </w:rPr>
        <w:t>”ם \קדושה\</w:t>
      </w:r>
      <w:r>
        <w:rPr>
          <w:rtl/>
        </w:rPr>
        <w:t xml:space="preserve"> הלכות איסורי ביאה פרק טו הלכה יא</w:t>
      </w:r>
      <w:r>
        <w:rPr>
          <w:rFonts w:hint="cs"/>
          <w:rtl/>
        </w:rPr>
        <w:t xml:space="preserve">] </w:t>
      </w:r>
      <w:r>
        <w:rPr>
          <w:rtl/>
        </w:rPr>
        <w:t>פנויה שנתעברה מזנות אמרו לה מהו העובר הזה או הילוד הזה אם אמרה בן כשר הוא ולישראל נבעלתי הרי זו נאמנת והבן כשר, ואף ע"פ שרוב העיר שזנתה בה פסולים.</w:t>
      </w:r>
    </w:p>
    <w:p w14:paraId="7F30B301" w14:textId="25C10CD3" w:rsidR="008D2913" w:rsidRDefault="008D2913" w:rsidP="008D2913">
      <w:pPr>
        <w:pStyle w:val="Style1"/>
        <w:rPr>
          <w:rtl/>
        </w:rPr>
      </w:pPr>
      <w:r>
        <w:rPr>
          <w:rFonts w:hint="cs"/>
          <w:rtl/>
        </w:rPr>
        <w:t>2)[</w:t>
      </w:r>
      <w:r>
        <w:rPr>
          <w:rtl/>
        </w:rPr>
        <w:t>שולחן ערוך אבן העזר הלכות פריה ורביה סימן ו סעיף יז</w:t>
      </w:r>
      <w:r>
        <w:rPr>
          <w:rFonts w:hint="cs"/>
          <w:rtl/>
        </w:rPr>
        <w:t xml:space="preserve">] </w:t>
      </w:r>
      <w:r w:rsidRPr="00BB7347">
        <w:rPr>
          <w:rtl/>
        </w:rPr>
        <w:t>פנויה שראוה שנבעלה לאחד, והלך לו הבועל ואמרו לה: מי הוא זה שבא עליך, ואמרה: אדם כשר, הרי זו נאמנת. ולא עוד אלא אפילו ראוה מעוברת, ואמרו לה: ממי את מעוברת, ואמרה: מאדם כשר, הרי זו נאמנת ותהיה </w:t>
      </w:r>
      <w:r w:rsidRPr="00BB7347">
        <w:rPr>
          <w:rFonts w:hint="cs"/>
        </w:rPr>
        <w:t>(</w:t>
      </w:r>
      <w:r w:rsidRPr="00BB7347">
        <w:rPr>
          <w:rFonts w:hint="cs"/>
          <w:rtl/>
        </w:rPr>
        <w:t>היא ובתה</w:t>
      </w:r>
      <w:r w:rsidRPr="00BB7347">
        <w:rPr>
          <w:rFonts w:hint="cs"/>
        </w:rPr>
        <w:t>)</w:t>
      </w:r>
      <w:r w:rsidRPr="00BB7347">
        <w:t> </w:t>
      </w:r>
      <w:r w:rsidRPr="00BB7347">
        <w:rPr>
          <w:rtl/>
        </w:rPr>
        <w:t>מותרת לכהן. בד"א, כשהיה המקום שנבעלה בו פרשת דרכים, או בקרנות שבשדות שהכל עוברים שם, והיו רוב העוברים שם כשרים, ורוב העיר שפירשו אלו העוברים ממנה כשרים, שחכמים עשו מעלה ביוחסין והצריכו שני רובות. אבל אם היו רוב העוברים פוסלים אותה, כגון עכו"ם או ממזרים וכיוצא בהם, אע"פ שרוב המקום שבאו ממנו כשרים, או שהיו רוב אנשי המקום פסולים, אע"פ שרוב העוברים כשרים, חוששין לה ונאמר: למי שפוסלת אותה נבעלה, ולא תנשא לכהן לכתחלה, ואם נשאת לא תצא. וי"א דבאומרת: לכשר נבעלתי, בחד רובא לכתחלה מכשירין, ובדיעבד, אפילו ברוב פסולים</w:t>
      </w:r>
      <w:r w:rsidRPr="00BB7347">
        <w:t>:</w:t>
      </w:r>
    </w:p>
    <w:p w14:paraId="7A15C3B4" w14:textId="3CDE654F" w:rsidR="0095061D" w:rsidRDefault="0095061D" w:rsidP="0095061D">
      <w:pPr>
        <w:pStyle w:val="Style1"/>
        <w:rPr>
          <w:rtl/>
        </w:rPr>
      </w:pPr>
      <w:r>
        <w:rPr>
          <w:rFonts w:hint="cs"/>
          <w:rtl/>
        </w:rPr>
        <w:t>3)[</w:t>
      </w:r>
      <w:r>
        <w:rPr>
          <w:rtl/>
        </w:rPr>
        <w:t>רמב</w:t>
      </w:r>
      <w:r w:rsidR="00213DA1">
        <w:rPr>
          <w:rtl/>
        </w:rPr>
        <w:t>”ם \קדושה\</w:t>
      </w:r>
      <w:r>
        <w:rPr>
          <w:rtl/>
        </w:rPr>
        <w:t xml:space="preserve"> הלכות איסורי ביאה פרק כ הלכה כ</w:t>
      </w:r>
      <w:r>
        <w:rPr>
          <w:rFonts w:hint="cs"/>
          <w:rtl/>
        </w:rPr>
        <w:t xml:space="preserve">] </w:t>
      </w:r>
      <w:r>
        <w:rPr>
          <w:rtl/>
        </w:rPr>
        <w:t>כיצד עשרה כהנים שפירש אחד מהם ובעל שהרי הולד כהן ודאי ואף על פי כן הואיל ואינו יודע אביו שיתייחס לו משתקין אותו מדין כהונה, ואינו עובד ולא אוכל ולא חולק ואם נטמא למתים או נשא גרושה לוקה שאין כאן ספק היתר.</w:t>
      </w:r>
    </w:p>
    <w:p w14:paraId="5AA209F7" w14:textId="42B233C2" w:rsidR="00AE32BC" w:rsidRPr="00AE32BC" w:rsidRDefault="003218A7" w:rsidP="00AE32BC">
      <w:pPr>
        <w:pStyle w:val="Style1"/>
      </w:pPr>
      <w:r>
        <w:rPr>
          <w:rFonts w:hint="cs"/>
          <w:rtl/>
        </w:rPr>
        <w:t>3)[</w:t>
      </w:r>
      <w:r>
        <w:rPr>
          <w:rtl/>
        </w:rPr>
        <w:t>שולחן ערוך אבן העזר הלכות פריה ורביה סימן ג סעיף ט</w:t>
      </w:r>
      <w:r>
        <w:rPr>
          <w:rFonts w:hint="cs"/>
          <w:rtl/>
        </w:rPr>
        <w:t>]</w:t>
      </w:r>
      <w:r w:rsidR="00AE32BC">
        <w:rPr>
          <w:rFonts w:hint="cs"/>
          <w:rtl/>
        </w:rPr>
        <w:t xml:space="preserve"> </w:t>
      </w:r>
      <w:r w:rsidR="00AE32BC" w:rsidRPr="00AE32BC">
        <w:rPr>
          <w:rtl/>
        </w:rPr>
        <w:t>שני כהנים שנתערבו ולדותיהם, או אשת כהן שלא שהתה אחר בעלה ג' חדשים ונשאת לכהן אחר ואין ידוע אם בן ט' לראשון או בן שבעה לאחרון, הרי זה כהן, ונותנים על הולד חומרי שניהם: הוא אונן עליהם והם אוננים עליו, הוא אינו מטמא להם והם אינם מטמאים לו</w:t>
      </w:r>
      <w:r w:rsidR="00AE32BC" w:rsidRPr="00AE32BC">
        <w:t>.</w:t>
      </w:r>
    </w:p>
    <w:p w14:paraId="1565239F" w14:textId="77777777" w:rsidR="00AE32BC" w:rsidRPr="00AE32BC" w:rsidRDefault="00AE32BC" w:rsidP="00AE32BC">
      <w:pPr>
        <w:pStyle w:val="Style1"/>
      </w:pPr>
      <w:r w:rsidRPr="00AE32BC">
        <w:rPr>
          <w:rtl/>
        </w:rPr>
        <w:t>במה דברים אמורים? בזמן שבאים מכח נישואין; אבל בזנות, משתיקין אותו מדין כהונה, הואיל ואין ידוע ודאי מי הוא אביו. כיצד? עשרה כהנים שפירש אחד מהם ובעל, אף על פי שהוא ודאי בן כהן, ואם נטמא למת או נשא גרושה לוקה, ואינו עובד, ואינו אוכל בתרומה</w:t>
      </w:r>
      <w:r w:rsidRPr="00AE32BC">
        <w:t>:</w:t>
      </w:r>
    </w:p>
    <w:p w14:paraId="64144AE6" w14:textId="4655439B" w:rsidR="00AE32BC" w:rsidRDefault="00AE32BC" w:rsidP="00AE32BC">
      <w:pPr>
        <w:pStyle w:val="Style1"/>
        <w:rPr>
          <w:rtl/>
        </w:rPr>
      </w:pPr>
      <w:r w:rsidRPr="00AE32BC">
        <w:rPr>
          <w:rFonts w:hint="cs"/>
          <w:rtl/>
        </w:rPr>
        <w:t>הגה</w:t>
      </w:r>
      <w:r w:rsidRPr="00AE32BC">
        <w:rPr>
          <w:rFonts w:hint="cs"/>
        </w:rPr>
        <w:t>: </w:t>
      </w:r>
      <w:r w:rsidRPr="00AE32BC">
        <w:rPr>
          <w:rFonts w:hint="cs"/>
          <w:rtl/>
        </w:rPr>
        <w:t>זנתה עם כהן אחד, ובתוך שלושה נשאת לכהן אחר, הולד פסול לכהונה (תולדות אדם וחוה נתיב כ"ג). כהן הבא על הפנויה ומודה שהוא בנו, הבן כהן לכל דבר ולא חיישינן שמא הפקירה נפשה לאחרים (תשובת הרא"ש כלל ל"ב)</w:t>
      </w:r>
      <w:r w:rsidRPr="00AE32BC">
        <w:rPr>
          <w:rFonts w:hint="cs"/>
        </w:rPr>
        <w:t>:</w:t>
      </w:r>
    </w:p>
    <w:p w14:paraId="500F6321" w14:textId="71BE4FF1" w:rsidR="00F23732" w:rsidRDefault="00F23732" w:rsidP="00F23732">
      <w:pPr>
        <w:pStyle w:val="Style1"/>
        <w:rPr>
          <w:rtl/>
        </w:rPr>
      </w:pPr>
      <w:r>
        <w:rPr>
          <w:rFonts w:hint="cs"/>
          <w:rtl/>
        </w:rPr>
        <w:t>4)[</w:t>
      </w:r>
      <w:r>
        <w:rPr>
          <w:rtl/>
        </w:rPr>
        <w:t>רמב</w:t>
      </w:r>
      <w:r w:rsidR="00213DA1">
        <w:rPr>
          <w:rtl/>
        </w:rPr>
        <w:t>”ם \קדושה\</w:t>
      </w:r>
      <w:r>
        <w:rPr>
          <w:rtl/>
        </w:rPr>
        <w:t xml:space="preserve"> הלכות איסורי ביאה פרק טו הלכה יז</w:t>
      </w:r>
      <w:r>
        <w:rPr>
          <w:rFonts w:hint="cs"/>
          <w:rtl/>
        </w:rPr>
        <w:t xml:space="preserve">] </w:t>
      </w:r>
      <w:r>
        <w:rPr>
          <w:rtl/>
        </w:rPr>
        <w:t>ארוסה שנתעברה והיא בבית אביה הרי הולד בחזקת ממזר ואסור בבת ישראל ואסור בממזרת, ואם נבדקה אמו ואמרה מארוסי נתעברתי נאמנת והולד כשר, ואם הכחישה הארוס ואמר מעולם לא באתי עליה הרי הולד ממזר שאפילו היה בחזקת בנו ואמר בני זה ממזר נאמן, והאשה אינה בחזקת זונה אלא נאמנת לומר לארוס נבעלתי ואינה זונה, ואם נשאת לכהן לא תצא וולדה ממנו כשר.</w:t>
      </w:r>
    </w:p>
    <w:p w14:paraId="08CBEB24" w14:textId="5556F18F" w:rsidR="003218A7" w:rsidRPr="000B450F" w:rsidRDefault="000D1FEF" w:rsidP="000B450F">
      <w:pPr>
        <w:pStyle w:val="Style1"/>
        <w:rPr>
          <w:rtl/>
        </w:rPr>
      </w:pPr>
      <w:r>
        <w:rPr>
          <w:rFonts w:hint="cs"/>
          <w:rtl/>
        </w:rPr>
        <w:t>4)[</w:t>
      </w:r>
      <w:r>
        <w:rPr>
          <w:rtl/>
        </w:rPr>
        <w:t>שולחן ערוך אבן העזר הלכות פריה ורביה סימן ד סעיף כז</w:t>
      </w:r>
      <w:r>
        <w:rPr>
          <w:rFonts w:hint="cs"/>
          <w:rtl/>
        </w:rPr>
        <w:t>]</w:t>
      </w:r>
      <w:r w:rsidR="000B450F">
        <w:rPr>
          <w:rFonts w:hint="cs"/>
          <w:rtl/>
        </w:rPr>
        <w:t xml:space="preserve"> </w:t>
      </w:r>
      <w:r w:rsidR="000B450F" w:rsidRPr="000B450F">
        <w:rPr>
          <w:rtl/>
        </w:rPr>
        <w:t>ארוסה שנתעברה והיא בבית אביה, אם היא אומרת שמהארוס נתעברה, אם הוא מודה או שאינו בפנינו, הולד כשר </w:t>
      </w:r>
      <w:r w:rsidR="000B450F" w:rsidRPr="000B450F">
        <w:rPr>
          <w:rFonts w:hint="cs"/>
          <w:rtl/>
        </w:rPr>
        <w:t>והוי בנו ליורשו. ואפילו אם הארוס אומר שאינו זוכר, רק שאינו מכחישה (ר"ן)</w:t>
      </w:r>
      <w:r w:rsidR="000B450F" w:rsidRPr="000B450F">
        <w:t xml:space="preserve">. </w:t>
      </w:r>
      <w:r w:rsidR="000B450F" w:rsidRPr="000B450F">
        <w:rPr>
          <w:rtl/>
        </w:rPr>
        <w:t>ואם אינו מודה, אלא מכחישה שאינו ממנו, הולד ממזר ודאי. ואם אינה בפנינו לשאול אותה, או שאומרת איני יודעת ממי הוא, הוי ספק ממזר. והאשה אינה בחזקת זונה, אלא נאמנת לומר: לארוס נבעלתי, אפילו הוא מכחישה. והני מילי לעלמא, שאם נשאת לכהן לא תצא והולד ממנו כשר, אבל לארוס גופיה, אסורה, דהא שויה אנפשיה חתיכא דאיסורא</w:t>
      </w:r>
      <w:r w:rsidR="000B450F" w:rsidRPr="000B450F">
        <w:t>:</w:t>
      </w:r>
    </w:p>
    <w:p w14:paraId="062300A8" w14:textId="77777777" w:rsidR="008D2913" w:rsidRPr="000B450F" w:rsidRDefault="008D2913" w:rsidP="000B450F">
      <w:pPr>
        <w:pStyle w:val="Style1"/>
        <w:rPr>
          <w:rStyle w:val="Style1Char"/>
          <w:rtl/>
        </w:rPr>
      </w:pPr>
    </w:p>
    <w:p w14:paraId="469D63F5" w14:textId="77777777" w:rsidR="00CF4F47" w:rsidRPr="00C57EB1" w:rsidRDefault="00CF4F47" w:rsidP="00C57EB1">
      <w:pPr>
        <w:pStyle w:val="Style1"/>
        <w:rPr>
          <w:rStyle w:val="Style1Char"/>
          <w:rtl/>
        </w:rPr>
      </w:pPr>
    </w:p>
    <w:p w14:paraId="44492BF2" w14:textId="77777777" w:rsidR="00DF67EA" w:rsidRPr="00DF67EA" w:rsidRDefault="00DF67EA" w:rsidP="00DF67EA">
      <w:pPr>
        <w:bidi/>
        <w:rPr>
          <w:rStyle w:val="Style1Char"/>
          <w:color w:val="00B050"/>
          <w:rtl/>
        </w:rPr>
      </w:pPr>
    </w:p>
    <w:p w14:paraId="7CE9B1BE" w14:textId="77777777" w:rsidR="00F450C8" w:rsidRDefault="00F450C8">
      <w:pPr>
        <w:rPr>
          <w:rStyle w:val="Style1Char"/>
          <w:color w:val="00B050"/>
          <w:rtl/>
        </w:rPr>
      </w:pPr>
      <w:r>
        <w:rPr>
          <w:rStyle w:val="Style1Char"/>
          <w:color w:val="00B050"/>
          <w:rtl/>
        </w:rPr>
        <w:br w:type="page"/>
      </w:r>
    </w:p>
    <w:p w14:paraId="4B902D74" w14:textId="272032EC" w:rsidR="00F450C8" w:rsidRDefault="00F450C8" w:rsidP="00F450C8">
      <w:pPr>
        <w:bidi/>
        <w:rPr>
          <w:rStyle w:val="Style1Char"/>
          <w:color w:val="00B050"/>
          <w:rtl/>
        </w:rPr>
      </w:pPr>
      <w:r w:rsidRPr="00F35F95">
        <w:rPr>
          <w:rStyle w:val="Style1Char"/>
          <w:color w:val="auto"/>
          <w:sz w:val="22"/>
          <w:szCs w:val="22"/>
          <w:highlight w:val="yellow"/>
          <w:rtl/>
        </w:rPr>
        <w:lastRenderedPageBreak/>
        <w:t>[דף יד עמוד א]</w:t>
      </w:r>
      <w:r w:rsidRPr="00F35F95">
        <w:rPr>
          <w:rStyle w:val="Style1Char"/>
          <w:color w:val="auto"/>
          <w:sz w:val="22"/>
          <w:szCs w:val="22"/>
          <w:rtl/>
        </w:rPr>
        <w:t xml:space="preserve"> אין, מינאי, אמר רב יוסף: למאי ניחוש לה? חדא דהא קא מודה, ועוד, הא אמר רב יהודה אמר שמואל: הלכה כרבן גמליאל</w:t>
      </w:r>
      <w:r w:rsidR="00D75303" w:rsidRPr="00D75303">
        <w:rPr>
          <w:rStyle w:val="Style1Char"/>
          <w:color w:val="4472C4" w:themeColor="accent1"/>
          <w:rtl/>
        </w:rPr>
        <w:t xml:space="preserve"> </w:t>
      </w:r>
      <w:r w:rsidR="00D75303" w:rsidRPr="00A755B9">
        <w:rPr>
          <w:rStyle w:val="Style1Char"/>
          <w:color w:val="4472C4" w:themeColor="accent1"/>
          <w:rtl/>
        </w:rPr>
        <w:t>הא דקאמר ועוד לא בעי למימר ועוד אפילו לא יודה דהא מילתא דפשיטא היא אי אמר לא מינאי בהא לא מכשיר ר"ג [דאמרינן] לקמן בריש פ"ב (דף טז א) דבברי ובברי לא קאמר ר"ג.</w:t>
      </w:r>
      <w:r w:rsidR="00D75303">
        <w:rPr>
          <w:rStyle w:val="Style1Char"/>
          <w:rFonts w:hint="cs"/>
          <w:color w:val="4472C4" w:themeColor="accent1"/>
        </w:rPr>
        <w:t>‍</w:t>
      </w:r>
      <w:r w:rsidR="00D75303" w:rsidRPr="00A755B9">
        <w:rPr>
          <w:rStyle w:val="Style1Char"/>
          <w:color w:val="4472C4" w:themeColor="accent1"/>
          <w:rtl/>
        </w:rPr>
        <w:t xml:space="preserve"> ועוד דקי"ל כרבי יהודה דאם אמר על אחד מבניו שהוא ממזר נאמן (קדושין דף עח ב) כ"ש על עובר זה.</w:t>
      </w:r>
      <w:r w:rsidR="00D75303">
        <w:rPr>
          <w:rStyle w:val="Style1Char"/>
          <w:rFonts w:hint="cs"/>
          <w:color w:val="4472C4" w:themeColor="accent1"/>
        </w:rPr>
        <w:t>‍</w:t>
      </w:r>
      <w:r w:rsidR="00D75303" w:rsidRPr="00A755B9">
        <w:rPr>
          <w:rStyle w:val="Style1Char"/>
          <w:color w:val="4472C4" w:themeColor="accent1"/>
          <w:rtl/>
        </w:rPr>
        <w:t xml:space="preserve"> אלא הכי פירושא ועוד אפילו אי לא ידענא דמודה כגון שמת או הלך למדינת הים כשר דלגבי עובר חשיב דיעבד שאם לא נכשריה אסור בכשרה ובממזרת.</w:t>
      </w:r>
      <w:r w:rsidRPr="00F35F95">
        <w:rPr>
          <w:rStyle w:val="Style1Char"/>
          <w:color w:val="auto"/>
          <w:sz w:val="22"/>
          <w:szCs w:val="22"/>
          <w:rtl/>
        </w:rPr>
        <w:t>. אמר ליה אביי: ובהא כי לא מודה</w:t>
      </w:r>
      <w:r w:rsidRPr="00F450C8">
        <w:rPr>
          <w:rStyle w:val="Style1Char"/>
          <w:color w:val="00B050"/>
          <w:rtl/>
        </w:rPr>
        <w:t xml:space="preserve">, </w:t>
      </w:r>
      <w:r w:rsidR="00CE3868" w:rsidRPr="00E1395B">
        <w:rPr>
          <w:rStyle w:val="Style1Char"/>
          <w:color w:val="806000" w:themeColor="accent4" w:themeShade="80"/>
          <w:sz w:val="22"/>
          <w:szCs w:val="22"/>
          <w:rtl/>
        </w:rPr>
        <w:t xml:space="preserve">מי </w:t>
      </w:r>
      <w:r w:rsidRPr="00F35F95">
        <w:rPr>
          <w:rStyle w:val="Style1Char"/>
          <w:color w:val="auto"/>
          <w:sz w:val="22"/>
          <w:szCs w:val="22"/>
          <w:rtl/>
        </w:rPr>
        <w:t>מכשר רבן גמליאל?</w:t>
      </w:r>
      <w:r w:rsidRPr="00F35F95">
        <w:rPr>
          <w:rStyle w:val="Style1Char"/>
          <w:color w:val="auto"/>
          <w:rtl/>
        </w:rPr>
        <w:t xml:space="preserve"> </w:t>
      </w:r>
      <w:r w:rsidRPr="00F35F95">
        <w:rPr>
          <w:rStyle w:val="Style1Char"/>
          <w:color w:val="auto"/>
          <w:sz w:val="22"/>
          <w:szCs w:val="22"/>
          <w:rtl/>
        </w:rPr>
        <w:t xml:space="preserve">והאמר ליה שמואל לרב יהודה: שיננא! </w:t>
      </w:r>
      <w:r w:rsidR="00CD0F27">
        <w:rPr>
          <w:rStyle w:val="Style1Char"/>
          <w:rFonts w:hint="cs"/>
          <w:rtl/>
        </w:rPr>
        <w:t>(1)</w:t>
      </w:r>
      <w:r w:rsidRPr="00F35F95">
        <w:rPr>
          <w:rStyle w:val="Style1Char"/>
          <w:color w:val="auto"/>
          <w:sz w:val="22"/>
          <w:szCs w:val="22"/>
          <w:rtl/>
        </w:rPr>
        <w:t xml:space="preserve">הלכה כר"ג, ואת לא תעביד עובדא עד דאיכא רוב כשרין אצלה, </w:t>
      </w:r>
      <w:r w:rsidRPr="001A0565">
        <w:rPr>
          <w:rStyle w:val="Style1Char"/>
          <w:sz w:val="22"/>
          <w:szCs w:val="22"/>
          <w:rtl/>
        </w:rPr>
        <w:t xml:space="preserve">והכא רוב פסולין אצלה! </w:t>
      </w:r>
      <w:r w:rsidRPr="00F35F95">
        <w:rPr>
          <w:rStyle w:val="Style1Char"/>
          <w:color w:val="auto"/>
          <w:sz w:val="22"/>
          <w:szCs w:val="22"/>
          <w:rtl/>
        </w:rPr>
        <w:t>וליטעמיך, תקשי לך היא גופא, הלכה ואת לא תעביד עובדא! אלא</w:t>
      </w:r>
      <w:r w:rsidRPr="00F35F95">
        <w:rPr>
          <w:rStyle w:val="Style1Char"/>
          <w:color w:val="auto"/>
          <w:rtl/>
        </w:rPr>
        <w:t xml:space="preserve"> </w:t>
      </w:r>
      <w:r w:rsidRPr="00F450C8">
        <w:rPr>
          <w:rStyle w:val="Style1Char"/>
          <w:color w:val="00B050"/>
          <w:rtl/>
        </w:rPr>
        <w:t xml:space="preserve">מאי אית לך למימר? </w:t>
      </w:r>
      <w:r w:rsidR="00A65FBB">
        <w:rPr>
          <w:rStyle w:val="Style1Char"/>
          <w:rFonts w:hint="cs"/>
          <w:rtl/>
        </w:rPr>
        <w:t>(1)</w:t>
      </w:r>
      <w:r w:rsidRPr="00F35F95">
        <w:rPr>
          <w:rStyle w:val="Style1Char"/>
          <w:color w:val="auto"/>
          <w:sz w:val="22"/>
          <w:szCs w:val="22"/>
          <w:rtl/>
        </w:rPr>
        <w:t>הא לכתחלה, הא דיעבד, והא נמי כדיעבד דמי</w:t>
      </w:r>
      <w:r w:rsidR="00CE3868" w:rsidRPr="00CE3868">
        <w:rPr>
          <w:rStyle w:val="Style1Char"/>
          <w:color w:val="C00000"/>
          <w:rtl/>
        </w:rPr>
        <w:t xml:space="preserve"> </w:t>
      </w:r>
      <w:r w:rsidR="00CE3868" w:rsidRPr="00CE3868">
        <w:rPr>
          <w:rStyle w:val="Style1Char"/>
          <w:color w:val="C00000"/>
          <w:sz w:val="22"/>
          <w:szCs w:val="22"/>
          <w:rtl/>
        </w:rPr>
        <w:t>דהא ארוס וארוסתו נינהו</w:t>
      </w:r>
      <w:r w:rsidR="00CE3868" w:rsidRPr="00CE3868">
        <w:rPr>
          <w:rStyle w:val="Style1Char"/>
          <w:color w:val="C00000"/>
          <w:sz w:val="22"/>
          <w:szCs w:val="22"/>
        </w:rPr>
        <w:t>:</w:t>
      </w:r>
      <w:r w:rsidRPr="00CE3868">
        <w:rPr>
          <w:rStyle w:val="Style1Char"/>
          <w:sz w:val="22"/>
          <w:szCs w:val="22"/>
          <w:rtl/>
        </w:rPr>
        <w:t xml:space="preserve">. </w:t>
      </w:r>
      <w:r w:rsidRPr="00F450C8">
        <w:rPr>
          <w:rStyle w:val="Style1Char"/>
          <w:color w:val="00B050"/>
          <w:rtl/>
        </w:rPr>
        <w:t xml:space="preserve">רמי ליה אביי לרבא: ומי אמר רבי יהושע אינה נאמנת? ורמינהו: העיד ר' יהושע ורבי יהודה בן בתירא, </w:t>
      </w:r>
      <w:r w:rsidR="00C059BD">
        <w:rPr>
          <w:rStyle w:val="Style1Char"/>
          <w:rFonts w:hint="cs"/>
          <w:rtl/>
        </w:rPr>
        <w:t>(2)</w:t>
      </w:r>
      <w:r w:rsidRPr="00F450C8">
        <w:rPr>
          <w:rStyle w:val="Style1Char"/>
          <w:color w:val="00B050"/>
          <w:rtl/>
        </w:rPr>
        <w:t xml:space="preserve">על אלמנת עיסה שהיא כשרה לכהונה! א"ל: הכי השתא, התם - אשה נישאת בודקת ונישאת, הכא - אשה מזנה בודקת ומזנה? אמר רבא: דרבי יהושע אדרבי יהושע קשיא, דרבן גמליאל אדרבן גמליאל לא קשיא? והא קתני סיפא, אמר להן רבן גמליאל: קבלנו עדותכם, </w:t>
      </w:r>
      <w:r w:rsidR="007E7D5A">
        <w:rPr>
          <w:rStyle w:val="Style1Char"/>
          <w:rFonts w:hint="cs"/>
          <w:rtl/>
        </w:rPr>
        <w:t>(2)</w:t>
      </w:r>
      <w:r w:rsidRPr="00F450C8">
        <w:rPr>
          <w:rStyle w:val="Style1Char"/>
          <w:color w:val="00B050"/>
          <w:rtl/>
        </w:rPr>
        <w:t xml:space="preserve">אבל מה נעשה שהרי גזר רבן יוחנן בן זכאי שלא להושיב בית דין על כך, שהכהנים שומעין לכם לרחק אבל לא לקרב! אלא אמר רבא, דרבן גמליאל אדרבן גמליאל לא קשיא: התם ברי, הכא שמא, דר' יהושע אדר' יהושע נמי לא קשיא: התם חד ספיקא, הכא תרי ספיקי; הלכך לרבן גמליאל, אלים ליה ברי - דאפילו בחד ספיקא נמי מכשיר, וקיל ליה שמא - דאפילו בספק ספיקא נמי פסיל; לרבי יהושע, אלים ליה חד ספיקא - דאפילו בברי נמי פסיל, וקיל ליה ספק ספיקא - דאפילו בשמא נמי מכשיר. תנו רבנן: איזוהי אלמנת עיסה? </w:t>
      </w:r>
      <w:r w:rsidR="007E7D5A">
        <w:rPr>
          <w:rStyle w:val="Style1Char"/>
          <w:rFonts w:hint="cs"/>
          <w:rtl/>
        </w:rPr>
        <w:t>(2)</w:t>
      </w:r>
      <w:r w:rsidRPr="00F450C8">
        <w:rPr>
          <w:rStyle w:val="Style1Char"/>
          <w:color w:val="00B050"/>
          <w:rtl/>
        </w:rPr>
        <w:t xml:space="preserve">כל שאין בה לא משום ממזרות, ולא משום נתינות, ולא משום עבדי מלכים; אמר רבי מאיר: </w:t>
      </w:r>
    </w:p>
    <w:p w14:paraId="63060262" w14:textId="0567955D" w:rsidR="00C3554F" w:rsidRDefault="00C3554F" w:rsidP="00C3554F">
      <w:pPr>
        <w:pStyle w:val="Style1"/>
        <w:rPr>
          <w:rtl/>
        </w:rPr>
      </w:pPr>
      <w:r>
        <w:rPr>
          <w:rFonts w:hint="cs"/>
          <w:rtl/>
        </w:rPr>
        <w:t>1)[</w:t>
      </w:r>
      <w:r>
        <w:rPr>
          <w:rtl/>
        </w:rPr>
        <w:t>רמב</w:t>
      </w:r>
      <w:r w:rsidR="00213DA1">
        <w:rPr>
          <w:rtl/>
        </w:rPr>
        <w:t>”ם \קדושה\</w:t>
      </w:r>
      <w:r>
        <w:rPr>
          <w:rtl/>
        </w:rPr>
        <w:t xml:space="preserve"> הלכות איסורי ביאה פרק טו הלכה יא</w:t>
      </w:r>
      <w:r>
        <w:rPr>
          <w:rFonts w:hint="cs"/>
          <w:rtl/>
        </w:rPr>
        <w:t xml:space="preserve">] </w:t>
      </w:r>
      <w:r>
        <w:rPr>
          <w:rtl/>
        </w:rPr>
        <w:t>פנויה שנתעברה מזנות אמרו לה מהו העובר הזה או הילוד הזה אם אמרה בן כשר הוא ולישראל נבעלתי הרי זו נאמנת והבן כשר, ואף ע"פ שרוב העיר שזנתה בה פסולים.</w:t>
      </w:r>
    </w:p>
    <w:p w14:paraId="78964383" w14:textId="4C985580" w:rsidR="00C3554F" w:rsidRDefault="00C3554F" w:rsidP="00C3554F">
      <w:pPr>
        <w:pStyle w:val="Style1"/>
        <w:rPr>
          <w:rtl/>
        </w:rPr>
      </w:pPr>
      <w:r>
        <w:rPr>
          <w:rFonts w:hint="cs"/>
          <w:rtl/>
        </w:rPr>
        <w:t>1)[</w:t>
      </w:r>
      <w:r>
        <w:rPr>
          <w:rtl/>
        </w:rPr>
        <w:t>רמב</w:t>
      </w:r>
      <w:r w:rsidR="00213DA1">
        <w:rPr>
          <w:rtl/>
        </w:rPr>
        <w:t>”ם \קדושה\</w:t>
      </w:r>
      <w:r>
        <w:rPr>
          <w:rtl/>
        </w:rPr>
        <w:t xml:space="preserve"> הלכות איסורי ביאה פרק יח הלכה יג</w:t>
      </w:r>
      <w:r>
        <w:rPr>
          <w:rFonts w:hint="cs"/>
          <w:rtl/>
        </w:rPr>
        <w:t xml:space="preserve">] </w:t>
      </w:r>
      <w:r>
        <w:rPr>
          <w:rtl/>
        </w:rPr>
        <w:t>פנויה שראוה שנבעלה לאחד והלך לו, ואמרו לה מי הוא זה שבא עליך ואמרה אדם כשר הרי זו נאמנת, ולא עוד אלא אפילו ראוה מעוברת ואמרו לה ממי נתעברת ואמרה מאדם כשר הרי זו נאמנת ותהיה מותרת לכהן.</w:t>
      </w:r>
    </w:p>
    <w:p w14:paraId="37A8F798" w14:textId="3C1A8259" w:rsidR="00C3554F" w:rsidRDefault="00C3554F" w:rsidP="00C3554F">
      <w:pPr>
        <w:pStyle w:val="Style1"/>
        <w:rPr>
          <w:rtl/>
        </w:rPr>
      </w:pPr>
      <w:r>
        <w:rPr>
          <w:rFonts w:hint="cs"/>
          <w:rtl/>
        </w:rPr>
        <w:t>1)[</w:t>
      </w:r>
      <w:r>
        <w:rPr>
          <w:rtl/>
        </w:rPr>
        <w:t>רמב</w:t>
      </w:r>
      <w:r w:rsidR="00213DA1">
        <w:rPr>
          <w:rtl/>
        </w:rPr>
        <w:t>”ם \קדושה\</w:t>
      </w:r>
      <w:r>
        <w:rPr>
          <w:rtl/>
        </w:rPr>
        <w:t xml:space="preserve"> הלכות איסורי ביאה פרק יח הלכה יד</w:t>
      </w:r>
      <w:r>
        <w:rPr>
          <w:rFonts w:hint="cs"/>
          <w:rtl/>
        </w:rPr>
        <w:t xml:space="preserve">] </w:t>
      </w:r>
      <w:r>
        <w:rPr>
          <w:rtl/>
        </w:rPr>
        <w:t>בד"א בשיהיה המקום שנבעלה בו פרשת דרכים או בקרנות שבשדות שהכל עוברין שם, והיו רוב העוברים שם כשרים, ורוב העיר שפרשו אלו העוברין ממנה כשרים, שהחכמים עשו מעלה ביוחסין והצריכו שני רובות, אבל אם היו רוב העוברים פוסלים אותה כגון עכו"ם או ממזרים וכיוצא בהם אף על פי שרוב המקום שבאו ממנה כשרים או שהיו רוב אנשי המקום פסולין אף על פי שרוב העוברין שם כשרים חוששין לה שמא למי שפוסל אותה נבעלה ולא תינשא לכהן לכתחלה ואם נשאת (לא) תצא.</w:t>
      </w:r>
    </w:p>
    <w:p w14:paraId="682F578F" w14:textId="25621132" w:rsidR="00C3554F" w:rsidRDefault="00C3554F" w:rsidP="00C3554F">
      <w:pPr>
        <w:pStyle w:val="Style1"/>
        <w:rPr>
          <w:rtl/>
        </w:rPr>
      </w:pPr>
      <w:r>
        <w:rPr>
          <w:rFonts w:hint="cs"/>
          <w:rtl/>
        </w:rPr>
        <w:t>1)[</w:t>
      </w:r>
      <w:r>
        <w:rPr>
          <w:rtl/>
        </w:rPr>
        <w:t>שולחן ערוך אבן העזר הלכות פריה ורביה סימן ו סעיף יז</w:t>
      </w:r>
      <w:r>
        <w:rPr>
          <w:rFonts w:hint="cs"/>
          <w:rtl/>
        </w:rPr>
        <w:t xml:space="preserve">] </w:t>
      </w:r>
      <w:r w:rsidRPr="00BB7347">
        <w:rPr>
          <w:rtl/>
        </w:rPr>
        <w:t>פנויה שראוה שנבעלה לאחד, והלך לו הבועל ואמרו לה: מי הוא זה שבא עליך, ואמרה: אדם כשר, הרי זו נאמנת. ולא עוד אלא אפילו ראוה מעוברת, ואמרו לה: ממי את מעוברת, ואמרה: מאדם כשר, הרי זו נאמנת ותהיה </w:t>
      </w:r>
      <w:r w:rsidRPr="00BB7347">
        <w:rPr>
          <w:rFonts w:hint="cs"/>
        </w:rPr>
        <w:t>(</w:t>
      </w:r>
      <w:r w:rsidRPr="00BB7347">
        <w:rPr>
          <w:rFonts w:hint="cs"/>
          <w:rtl/>
        </w:rPr>
        <w:t>היא ובתה</w:t>
      </w:r>
      <w:r w:rsidRPr="00BB7347">
        <w:rPr>
          <w:rFonts w:hint="cs"/>
        </w:rPr>
        <w:t>)</w:t>
      </w:r>
      <w:r w:rsidRPr="00BB7347">
        <w:t> </w:t>
      </w:r>
      <w:r w:rsidRPr="00BB7347">
        <w:rPr>
          <w:rtl/>
        </w:rPr>
        <w:t>מותרת לכהן. בד"א, כשהיה המקום שנבעלה בו פרשת דרכים, או בקרנות שבשדות שהכל עוברים שם, והיו רוב העוברים שם כשרים, ורוב העיר שפירשו אלו העוברים ממנה כשרים, שחכמים עשו מעלה ביוחסין והצריכו שני רובות. אבל אם היו רוב העוברים פוסלים אותה, כגון עכו"ם או ממזרים וכיוצא בהם, אע"פ שרוב המקום שבאו ממנו כשרים, או שהיו רוב אנשי המקום פסולים, אע"פ שרוב העוברים כשרים, חוששין לה ונאמר: למי שפוסלת אותה נבעלה, ולא תנשא לכהן לכתחלה, ואם נשאת לא תצא. וי"א דבאומרת: לכשר נבעלתי, בחד רובא לכתחלה מכשירין, ובדיעבד, אפילו ברוב פסולים</w:t>
      </w:r>
      <w:r w:rsidRPr="00BB7347">
        <w:t>:</w:t>
      </w:r>
    </w:p>
    <w:p w14:paraId="3E3A806F" w14:textId="15D1BF0F" w:rsidR="00C059BD" w:rsidRDefault="00C059BD" w:rsidP="00C059BD">
      <w:pPr>
        <w:pStyle w:val="Style1"/>
        <w:rPr>
          <w:rtl/>
        </w:rPr>
      </w:pPr>
      <w:r>
        <w:rPr>
          <w:rFonts w:hint="cs"/>
          <w:rtl/>
        </w:rPr>
        <w:t>2)[</w:t>
      </w:r>
      <w:r>
        <w:rPr>
          <w:rtl/>
        </w:rPr>
        <w:t>רמב</w:t>
      </w:r>
      <w:r w:rsidR="00213DA1">
        <w:rPr>
          <w:rtl/>
        </w:rPr>
        <w:t>”ם \קדושה\</w:t>
      </w:r>
      <w:r>
        <w:rPr>
          <w:rtl/>
        </w:rPr>
        <w:t xml:space="preserve"> הלכות איסורי ביאה פרק יט הלכה ט</w:t>
      </w:r>
      <w:r>
        <w:rPr>
          <w:rFonts w:hint="cs"/>
          <w:rtl/>
        </w:rPr>
        <w:t xml:space="preserve">] </w:t>
      </w:r>
      <w:r>
        <w:rPr>
          <w:rtl/>
        </w:rPr>
        <w:t>כהן שבא על ספק זונה כגון ספק גיורת או משוחררת, או שבא על ספק גרושה, וכן כהן גדול שבא על ספק אלמנה הרי זו ספק חללה וולדה ספק חלל.</w:t>
      </w:r>
    </w:p>
    <w:p w14:paraId="271B6271" w14:textId="102868C4" w:rsidR="00C36B39" w:rsidRDefault="00957470" w:rsidP="00957470">
      <w:pPr>
        <w:pStyle w:val="Style1"/>
      </w:pPr>
      <w:r>
        <w:rPr>
          <w:rFonts w:hint="cs"/>
          <w:rtl/>
        </w:rPr>
        <w:t>2)[</w:t>
      </w:r>
      <w:r w:rsidR="00C36B39">
        <w:rPr>
          <w:rtl/>
        </w:rPr>
        <w:t>טור אבן העזר הלכות פריה ורביה סימן ו</w:t>
      </w:r>
      <w:r>
        <w:rPr>
          <w:rFonts w:hint="cs"/>
          <w:rtl/>
        </w:rPr>
        <w:t xml:space="preserve">] </w:t>
      </w:r>
      <w:r>
        <w:rPr>
          <w:rFonts w:hint="cs"/>
        </w:rPr>
        <w:t>‍</w:t>
      </w:r>
      <w:r w:rsidR="00C36B39">
        <w:rPr>
          <w:rtl/>
        </w:rPr>
        <w:t xml:space="preserve">כהן הדיוט אסור מן התורה בגרושה זונה וחללה אסור בחלוצה מדרבנן לפיכך אם עבר ונשא </w:t>
      </w:r>
      <w:r>
        <w:rPr>
          <w:rFonts w:hint="cs"/>
        </w:rPr>
        <w:t>‍</w:t>
      </w:r>
      <w:r w:rsidR="00C36B39">
        <w:rPr>
          <w:rtl/>
        </w:rPr>
        <w:t xml:space="preserve">ספק חלוצה אין צריך להוציא אבל בגרושה אפילו אינה אלא ספק גרושה צריך להוציא ול"ש נתגרשה מן האירוסין או מן הנשואין </w:t>
      </w:r>
      <w:r>
        <w:rPr>
          <w:rFonts w:hint="cs"/>
        </w:rPr>
        <w:t>‍</w:t>
      </w:r>
      <w:r w:rsidR="00C36B39">
        <w:rPr>
          <w:rtl/>
        </w:rPr>
        <w:t xml:space="preserve">ואפילו ריח הגט פוסל בכהונה ה"ד ריח הגט כגון שאמר לה הרי את מגורשת ממני ואי את מותרת לכל אדם </w:t>
      </w:r>
      <w:r>
        <w:rPr>
          <w:rFonts w:hint="cs"/>
        </w:rPr>
        <w:t>‍</w:t>
      </w:r>
      <w:r w:rsidR="00C36B39">
        <w:rPr>
          <w:rtl/>
        </w:rPr>
        <w:t xml:space="preserve">ואף על פי שלא הותרה בזה הגט אפ"ה פסולה </w:t>
      </w:r>
      <w:r>
        <w:rPr>
          <w:rFonts w:hint="cs"/>
        </w:rPr>
        <w:t>‍</w:t>
      </w:r>
      <w:r w:rsidR="00C36B39">
        <w:rPr>
          <w:rtl/>
        </w:rPr>
        <w:t>אבל אם נתן לה גט על תנאי ולא נתקיים התנאי אינו כלום ואינו פוסל:</w:t>
      </w:r>
    </w:p>
    <w:p w14:paraId="609C4A63" w14:textId="3C6A5123" w:rsidR="00C36B39" w:rsidRDefault="00C36B39" w:rsidP="00C36B39">
      <w:pPr>
        <w:pStyle w:val="Style1"/>
      </w:pPr>
      <w:r>
        <w:rPr>
          <w:rtl/>
        </w:rPr>
        <w:t xml:space="preserve">קטנה שמיאנה בבעלה </w:t>
      </w:r>
      <w:r w:rsidR="00957470">
        <w:rPr>
          <w:rFonts w:hint="cs"/>
        </w:rPr>
        <w:t>‍</w:t>
      </w:r>
      <w:r>
        <w:rPr>
          <w:rtl/>
        </w:rPr>
        <w:t xml:space="preserve">מותרת לכהן ואם גרשה אסורה ואם אחר שגירש' החזירה ומיאנה בו מותרת לכהן שהמיאון מבטל הגט ונ"ל דה"ה נמי אם אחר שגירשה ניסת לאחר ומיאנה בו שמותרת לכהן ואף על גב דקי"ל </w:t>
      </w:r>
      <w:r w:rsidR="00957470">
        <w:rPr>
          <w:rFonts w:hint="cs"/>
        </w:rPr>
        <w:t>‍</w:t>
      </w:r>
      <w:r>
        <w:rPr>
          <w:rtl/>
        </w:rPr>
        <w:t xml:space="preserve">מיאון דחבריה לא מבטל גיטא דידיה </w:t>
      </w:r>
      <w:r w:rsidR="00957470">
        <w:rPr>
          <w:rFonts w:hint="cs"/>
        </w:rPr>
        <w:t>‍</w:t>
      </w:r>
      <w:r>
        <w:rPr>
          <w:rtl/>
        </w:rPr>
        <w:t xml:space="preserve">ה"מ לענין שלא תחזור לו דטעמא משום דמכרת ברמיזותיו ובקריצותיו אזל ומשבש לה ועבד דממאנת בחבריה והדר אזיל ונסיב לה אבל לענין להתירה לכהן </w:t>
      </w:r>
      <w:r w:rsidR="00957470">
        <w:rPr>
          <w:rFonts w:hint="cs"/>
        </w:rPr>
        <w:t>‍</w:t>
      </w:r>
      <w:r>
        <w:rPr>
          <w:rtl/>
        </w:rPr>
        <w:t>אין חילוק בין מיאון דחבריה למיאון דידיה:</w:t>
      </w:r>
    </w:p>
    <w:p w14:paraId="66DEA0CA" w14:textId="67376FD2" w:rsidR="00C36B39" w:rsidRDefault="00C36B39" w:rsidP="00C36B39">
      <w:pPr>
        <w:pStyle w:val="Style1"/>
      </w:pPr>
      <w:r>
        <w:rPr>
          <w:rtl/>
        </w:rPr>
        <w:t xml:space="preserve">יצא קול פלוני כהן גירש לאשתו והרי היא יושבת תחתיו ומשמשתו אין מוציאין מידו </w:t>
      </w:r>
      <w:r w:rsidR="00957470">
        <w:rPr>
          <w:rFonts w:hint="cs"/>
        </w:rPr>
        <w:t>‍</w:t>
      </w:r>
      <w:r>
        <w:rPr>
          <w:rtl/>
        </w:rPr>
        <w:t xml:space="preserve">שאין חוששין לקלא דבתר נישואין </w:t>
      </w:r>
      <w:r w:rsidR="00957470">
        <w:rPr>
          <w:rFonts w:hint="cs"/>
        </w:rPr>
        <w:t>‍</w:t>
      </w:r>
      <w:r>
        <w:rPr>
          <w:rtl/>
        </w:rPr>
        <w:t xml:space="preserve">ואם מת וניסת לכהן אחר תצא יצא קול פלוני כהן כתב גט לאשתו אם קורין באותו מקום </w:t>
      </w:r>
      <w:r w:rsidR="00957470">
        <w:rPr>
          <w:rFonts w:hint="cs"/>
        </w:rPr>
        <w:t>‍</w:t>
      </w:r>
      <w:r>
        <w:rPr>
          <w:rtl/>
        </w:rPr>
        <w:t>לנתינת הגט כתיבה הוי כאילו יצא הקול פלוני גירש אשתו ואם אין קורין לנתינת גט כתיבה אין חוששין:</w:t>
      </w:r>
    </w:p>
    <w:p w14:paraId="05CB43A5" w14:textId="0553D783" w:rsidR="00C36B39" w:rsidRDefault="00C36B39" w:rsidP="00C36B39">
      <w:pPr>
        <w:pStyle w:val="Style1"/>
      </w:pPr>
      <w:r>
        <w:rPr>
          <w:rtl/>
        </w:rPr>
        <w:t xml:space="preserve">יצא קול על אשה שנתקדשה ונתגרשה מיד </w:t>
      </w:r>
      <w:r w:rsidR="00957470">
        <w:rPr>
          <w:rFonts w:hint="cs"/>
        </w:rPr>
        <w:t>‍</w:t>
      </w:r>
      <w:r>
        <w:rPr>
          <w:rtl/>
        </w:rPr>
        <w:t xml:space="preserve">חוששין לקול לאוסרה לכהן ודוקא שיצא הקול בלא אמתלאה שלא נזכר בו שום צד לבטל הקידושין או הגירושין אבל אם יש בו שום צד לבטל כגון שיצא הקול שקידשה או גרשה על תנאי או שזרק לה קידושיה או הגט ספק קרוב לו ספק קרוב לה </w:t>
      </w:r>
      <w:r w:rsidR="00957470">
        <w:rPr>
          <w:rFonts w:hint="cs"/>
        </w:rPr>
        <w:t>‍</w:t>
      </w:r>
      <w:r>
        <w:rPr>
          <w:rtl/>
        </w:rPr>
        <w:t xml:space="preserve">אין חוששין לקול ואם יש אמתלאה </w:t>
      </w:r>
      <w:r w:rsidR="00957470">
        <w:rPr>
          <w:rFonts w:hint="cs"/>
        </w:rPr>
        <w:t>‍</w:t>
      </w:r>
      <w:r>
        <w:rPr>
          <w:rtl/>
        </w:rPr>
        <w:t xml:space="preserve">בגירושין ולא בקידושין חוששין לקול הקידושין לאוסרה לעלמא </w:t>
      </w:r>
      <w:r w:rsidR="00957470">
        <w:rPr>
          <w:rFonts w:hint="cs"/>
        </w:rPr>
        <w:t>‍</w:t>
      </w:r>
      <w:r>
        <w:rPr>
          <w:rtl/>
        </w:rPr>
        <w:t xml:space="preserve">ואין חוששין לקול הגירושין לאוסרה לכהן ודוקא שיצא האמתלאה עם הקול מיד אבל אם יצא הקול ברור ולאחר זמן יצא האמתלאה אינה מבטלת הקול </w:t>
      </w:r>
      <w:r w:rsidR="00957470">
        <w:rPr>
          <w:rFonts w:hint="cs"/>
        </w:rPr>
        <w:t>‍</w:t>
      </w:r>
      <w:r>
        <w:rPr>
          <w:rtl/>
        </w:rPr>
        <w:t>ואם אחר כך נתברר שהיה קול שקר מבטלין אותו וכל קול שלא הוחזק בבית דין פירוש כשיצא הקול בדקו בית דין אחריו ולא מצאוהו נכון או שאינו ברור כמו שמפורש לקמן בסימן ט"ו אינו קול לאסור בשבילו:</w:t>
      </w:r>
    </w:p>
    <w:p w14:paraId="61EED7BF" w14:textId="36C10AA5" w:rsidR="00C36B39" w:rsidRDefault="00C36B39" w:rsidP="00C36B39">
      <w:pPr>
        <w:pStyle w:val="Style1"/>
      </w:pPr>
      <w:r>
        <w:rPr>
          <w:rtl/>
        </w:rPr>
        <w:t xml:space="preserve">כהן שגירש לאשתו </w:t>
      </w:r>
      <w:r w:rsidR="00957470">
        <w:rPr>
          <w:rFonts w:hint="cs"/>
        </w:rPr>
        <w:t>‍</w:t>
      </w:r>
      <w:r>
        <w:rPr>
          <w:rtl/>
        </w:rPr>
        <w:t xml:space="preserve">לא תדור עמו במבוי וחוץ למבוי מותר ואם היו דרים בשכירות או בחצר של שניהם היא נדחת מפניו ואם החצר שלה הוא נדחה מפניה </w:t>
      </w:r>
      <w:r w:rsidR="00957470">
        <w:rPr>
          <w:rFonts w:hint="cs"/>
        </w:rPr>
        <w:t>‍</w:t>
      </w:r>
      <w:r>
        <w:rPr>
          <w:rtl/>
        </w:rPr>
        <w:t xml:space="preserve">לוה ממנה קודם שגרשה לא יפרע לה אלא על ידי אחרים ואם שניהם באין לפנינו </w:t>
      </w:r>
      <w:r w:rsidR="00957470">
        <w:rPr>
          <w:rFonts w:hint="cs"/>
        </w:rPr>
        <w:t>‍</w:t>
      </w:r>
      <w:r>
        <w:rPr>
          <w:rtl/>
        </w:rPr>
        <w:t xml:space="preserve">והוא תובעה </w:t>
      </w:r>
      <w:r w:rsidR="00957470">
        <w:rPr>
          <w:rFonts w:hint="cs"/>
        </w:rPr>
        <w:t>‍</w:t>
      </w:r>
      <w:r>
        <w:rPr>
          <w:rtl/>
        </w:rPr>
        <w:t xml:space="preserve">מנגדינן להו בד"א </w:t>
      </w:r>
      <w:r w:rsidR="00957470">
        <w:rPr>
          <w:rFonts w:hint="cs"/>
        </w:rPr>
        <w:t>‍</w:t>
      </w:r>
      <w:r>
        <w:rPr>
          <w:rtl/>
        </w:rPr>
        <w:t xml:space="preserve"> </w:t>
      </w:r>
      <w:r w:rsidR="00957470">
        <w:rPr>
          <w:rFonts w:hint="cs"/>
        </w:rPr>
        <w:t>‍</w:t>
      </w:r>
      <w:r>
        <w:rPr>
          <w:rtl/>
        </w:rPr>
        <w:t xml:space="preserve">שגירשה מן הנישואין אבל אם גירשה מן האירוסין לא ואם רגילין זה עם זה אפי' גירשה מן האירוסין נמי איזו היא זונה זו שנבעלה לאחד מן העריות לא שנא חייבי מיתות בית דין לא שנא חייבי כריתות </w:t>
      </w:r>
      <w:r w:rsidR="00957470">
        <w:rPr>
          <w:rFonts w:hint="cs"/>
        </w:rPr>
        <w:t>‍</w:t>
      </w:r>
      <w:r>
        <w:rPr>
          <w:rtl/>
        </w:rPr>
        <w:t xml:space="preserve">בין באונס בין ברצון בין בזדון בין בשוגג בין כדרכה בין שלא כדרכה </w:t>
      </w:r>
      <w:r w:rsidR="00957470">
        <w:rPr>
          <w:rFonts w:hint="cs"/>
        </w:rPr>
        <w:t>‍</w:t>
      </w:r>
      <w:r>
        <w:rPr>
          <w:rtl/>
        </w:rPr>
        <w:t xml:space="preserve">משהערה בה עשאה זונה ובלבד שתהיה מבת שלשה שנים ויום אחד ומעלה ויהיה הוא מבן תשעה שנים ויום אחד ומעלה </w:t>
      </w:r>
      <w:r w:rsidR="00957470">
        <w:rPr>
          <w:rFonts w:hint="cs"/>
        </w:rPr>
        <w:t>‍</w:t>
      </w:r>
      <w:r>
        <w:rPr>
          <w:rtl/>
        </w:rPr>
        <w:t xml:space="preserve">חוץ מבא על הנדה שלא עשאה זונה אפילו מדרבנן אבל הבא על חייבי לאוין אפילו חייבי לאוין דשאר לא עשאה זונה כיון </w:t>
      </w:r>
      <w:r w:rsidR="00957470">
        <w:rPr>
          <w:rFonts w:hint="cs"/>
        </w:rPr>
        <w:t>‍</w:t>
      </w:r>
      <w:r>
        <w:rPr>
          <w:rtl/>
        </w:rPr>
        <w:t xml:space="preserve">דתפסי בהו קידושין חוץ מהבא על יבמה שעשאה זונה </w:t>
      </w:r>
      <w:r w:rsidR="00957470">
        <w:rPr>
          <w:rFonts w:hint="cs"/>
        </w:rPr>
        <w:t>‍</w:t>
      </w:r>
      <w:r>
        <w:rPr>
          <w:rtl/>
        </w:rPr>
        <w:t xml:space="preserve">דאיהי נמי לא תפסי בה קידושין לפיכך נעשית זונה בביאת זר והרמב"ם ז"ל כתב הנבעלת לאחד מחייבי לאוין השוין לכל </w:t>
      </w:r>
      <w:r w:rsidR="00957470">
        <w:rPr>
          <w:rFonts w:hint="cs"/>
        </w:rPr>
        <w:t>‍</w:t>
      </w:r>
      <w:r>
        <w:rPr>
          <w:rtl/>
        </w:rPr>
        <w:t xml:space="preserve">ואינן מיוחדים לכהנים </w:t>
      </w:r>
      <w:r w:rsidR="00957470">
        <w:rPr>
          <w:rFonts w:hint="cs"/>
        </w:rPr>
        <w:t>‍</w:t>
      </w:r>
      <w:r>
        <w:rPr>
          <w:rtl/>
        </w:rPr>
        <w:t>או מאיסורי עשה עשאה זונה וא"א ז"ל כתב כסברה ראשונה:</w:t>
      </w:r>
    </w:p>
    <w:p w14:paraId="22D7AD2E" w14:textId="02044AE9" w:rsidR="00C36B39" w:rsidRDefault="00957470" w:rsidP="00C36B39">
      <w:pPr>
        <w:pStyle w:val="Style1"/>
      </w:pPr>
      <w:r>
        <w:rPr>
          <w:rFonts w:hint="cs"/>
        </w:rPr>
        <w:t>‍</w:t>
      </w:r>
      <w:r w:rsidR="00C36B39">
        <w:rPr>
          <w:rtl/>
        </w:rPr>
        <w:t>הנבעלת לבהמה לא עשאה זונה:</w:t>
      </w:r>
    </w:p>
    <w:p w14:paraId="471B7BAD" w14:textId="7068C0F6" w:rsidR="00C36B39" w:rsidRDefault="00C36B39" w:rsidP="00C36B39">
      <w:pPr>
        <w:pStyle w:val="Style1"/>
      </w:pPr>
      <w:r>
        <w:rPr>
          <w:rtl/>
        </w:rPr>
        <w:t xml:space="preserve">גיורת משוחררת אפילו נתגיירו ונשתחררו פחותות מבת ג' שנים ויום אחד </w:t>
      </w:r>
      <w:r w:rsidR="00957470">
        <w:rPr>
          <w:rFonts w:hint="cs"/>
        </w:rPr>
        <w:t>‍</w:t>
      </w:r>
      <w:r>
        <w:rPr>
          <w:rtl/>
        </w:rPr>
        <w:t>הויין כזונות ואסורות לכהונה:</w:t>
      </w:r>
    </w:p>
    <w:p w14:paraId="04647E02" w14:textId="2E37AC86" w:rsidR="00C36B39" w:rsidRDefault="00C36B39" w:rsidP="00C36B39">
      <w:pPr>
        <w:pStyle w:val="Style1"/>
      </w:pPr>
      <w:r>
        <w:rPr>
          <w:rtl/>
        </w:rPr>
        <w:lastRenderedPageBreak/>
        <w:t xml:space="preserve">אשת כהן שנבעלה אפילו באונס אסורה לו ולוקה עליה משום זונה </w:t>
      </w:r>
      <w:r w:rsidR="00957470">
        <w:rPr>
          <w:rFonts w:hint="cs"/>
        </w:rPr>
        <w:t>‍</w:t>
      </w:r>
      <w:r>
        <w:rPr>
          <w:rtl/>
        </w:rPr>
        <w:t xml:space="preserve"> </w:t>
      </w:r>
      <w:r w:rsidR="00957470">
        <w:rPr>
          <w:rFonts w:hint="cs"/>
        </w:rPr>
        <w:t>‍</w:t>
      </w:r>
      <w:r>
        <w:rPr>
          <w:rtl/>
        </w:rPr>
        <w:t xml:space="preserve">ומשום טומאה אשת ישראל שנאנסה </w:t>
      </w:r>
      <w:r w:rsidR="00957470">
        <w:rPr>
          <w:rFonts w:hint="cs"/>
        </w:rPr>
        <w:t>‍</w:t>
      </w:r>
      <w:r>
        <w:rPr>
          <w:rtl/>
        </w:rPr>
        <w:t xml:space="preserve">אף על פי שמותרת לבעלה </w:t>
      </w:r>
      <w:r w:rsidR="00957470">
        <w:rPr>
          <w:rFonts w:hint="cs"/>
        </w:rPr>
        <w:t>‍</w:t>
      </w:r>
      <w:r>
        <w:rPr>
          <w:rtl/>
        </w:rPr>
        <w:t>אסורה לכהונה:</w:t>
      </w:r>
    </w:p>
    <w:p w14:paraId="1E42C442" w14:textId="0DF86634" w:rsidR="00C36B39" w:rsidRDefault="00C36B39" w:rsidP="00C36B39">
      <w:pPr>
        <w:pStyle w:val="Style1"/>
      </w:pPr>
      <w:r>
        <w:rPr>
          <w:rtl/>
        </w:rPr>
        <w:t xml:space="preserve">אשת כהן שאמרה לבעלה נאנסתי או שגגתי ובא עלי אדם אחד או שבא עד אחד והעיד לו עליה שזינתה בין באונס בין ברצון אינה אסורה לו שמא עיניה נתנה באחר ואסורה לכהן אחר בעדותה אחרי מות בעלה דשויתה לנפשה חתיכה דאיסורא ואם היא נאמנת לו או העד נאמן לו וסמכה דעתו לדבריהם </w:t>
      </w:r>
      <w:r w:rsidR="00957470">
        <w:rPr>
          <w:rFonts w:hint="cs"/>
        </w:rPr>
        <w:t>‍</w:t>
      </w:r>
      <w:r>
        <w:rPr>
          <w:rtl/>
        </w:rPr>
        <w:t>יוציא כדי לצאת ידי ספק:</w:t>
      </w:r>
    </w:p>
    <w:p w14:paraId="026FCDEE" w14:textId="522E75D9" w:rsidR="00C36B39" w:rsidRDefault="00C36B39" w:rsidP="00C36B39">
      <w:pPr>
        <w:pStyle w:val="Style1"/>
      </w:pPr>
      <w:r>
        <w:rPr>
          <w:rtl/>
        </w:rPr>
        <w:t xml:space="preserve">כהן שקדש אשה בין גדולה בין קטנה ולאחר זמן בא עליה וטען שלא מצא לה בתולים </w:t>
      </w:r>
      <w:r w:rsidR="00957470">
        <w:rPr>
          <w:rFonts w:hint="cs"/>
        </w:rPr>
        <w:t>‍</w:t>
      </w:r>
      <w:r>
        <w:rPr>
          <w:rtl/>
        </w:rPr>
        <w:t>נאסרה עליו מספק שמא לאחר הקידושין נבעלה אבל ישראל שטען טענה זו אינה נאסרת עליו כאשר יתבאר לקמן בדין טענת בתולים בעזרת השם:</w:t>
      </w:r>
    </w:p>
    <w:p w14:paraId="163BCE8C" w14:textId="707A1969" w:rsidR="00C36B39" w:rsidRDefault="00C36B39" w:rsidP="00C36B39">
      <w:pPr>
        <w:pStyle w:val="Style1"/>
      </w:pPr>
      <w:r>
        <w:rPr>
          <w:rtl/>
        </w:rPr>
        <w:t xml:space="preserve">אשה שקינא לה בעלה ונסתרה ולא שתתה </w:t>
      </w:r>
      <w:r w:rsidR="00957470">
        <w:rPr>
          <w:rFonts w:hint="cs"/>
        </w:rPr>
        <w:t>‍</w:t>
      </w:r>
      <w:r>
        <w:rPr>
          <w:rtl/>
        </w:rPr>
        <w:t xml:space="preserve">אסורה לכהן משום ספק זונה בין שלא רצתה היא לשתות או שלא רצה היא להשקותה </w:t>
      </w:r>
      <w:r w:rsidR="00957470">
        <w:rPr>
          <w:rFonts w:hint="cs"/>
        </w:rPr>
        <w:t>‍</w:t>
      </w:r>
      <w:r>
        <w:rPr>
          <w:rtl/>
        </w:rPr>
        <w:t xml:space="preserve">בין יש שם עדות שמונעה מלשתות </w:t>
      </w:r>
      <w:r w:rsidR="00957470">
        <w:rPr>
          <w:rFonts w:hint="cs"/>
        </w:rPr>
        <w:t>‍</w:t>
      </w:r>
      <w:r>
        <w:rPr>
          <w:rtl/>
        </w:rPr>
        <w:t xml:space="preserve">בין שהיא מן הנשים שאינן ראוים לשתות </w:t>
      </w:r>
      <w:r w:rsidR="00957470">
        <w:rPr>
          <w:rFonts w:hint="cs"/>
        </w:rPr>
        <w:t>‍</w:t>
      </w:r>
      <w:r>
        <w:rPr>
          <w:rtl/>
        </w:rPr>
        <w:t xml:space="preserve">ואפילו קנאו לה ב"ד כל זמן שלא שתתה אסורה לכהונה משום ספק זונה </w:t>
      </w:r>
      <w:r w:rsidR="00957470">
        <w:rPr>
          <w:rFonts w:hint="cs"/>
        </w:rPr>
        <w:t>‍</w:t>
      </w:r>
      <w:r>
        <w:rPr>
          <w:rtl/>
        </w:rPr>
        <w:t>אשה שיצא עליה שם שהיא מזנה</w:t>
      </w:r>
      <w:r w:rsidR="00957470">
        <w:rPr>
          <w:rFonts w:hint="cs"/>
          <w:rtl/>
        </w:rPr>
        <w:t xml:space="preserve"> </w:t>
      </w:r>
      <w:r>
        <w:rPr>
          <w:rtl/>
        </w:rPr>
        <w:t>אין חוששין לה לפוסלה לכהונה:</w:t>
      </w:r>
    </w:p>
    <w:p w14:paraId="54C2373C" w14:textId="442798F0" w:rsidR="00C36B39" w:rsidRDefault="00C36B39" w:rsidP="00C36B39">
      <w:pPr>
        <w:pStyle w:val="Style1"/>
        <w:rPr>
          <w:rtl/>
        </w:rPr>
      </w:pPr>
      <w:r>
        <w:rPr>
          <w:rtl/>
        </w:rPr>
        <w:t xml:space="preserve">פנויה שראוה שנבעלה והלך לו הבועל או אם באת לפנינו מעוברת ואומרת שלכשר נבעלתי נאמנת </w:t>
      </w:r>
      <w:r w:rsidR="00957470">
        <w:rPr>
          <w:rFonts w:hint="cs"/>
        </w:rPr>
        <w:t>‍</w:t>
      </w:r>
      <w:r>
        <w:rPr>
          <w:rtl/>
        </w:rPr>
        <w:t xml:space="preserve">והיא ובתה כשרות לכהונה אפי' רוב פסולים אצלה ודוקא בדיעבד אבל לכתחלה שבא כהן לפנינו לימלך אין מתירין לו לישא אותה עד שיהו רוב כשרים אצלה בד"א כשאומרת לכשר נבעלתי אבל אם אינה יודעת מי הוא הבועל או שהיא שוטה שאין בה דעת או אלמת </w:t>
      </w:r>
      <w:r w:rsidR="00957470">
        <w:rPr>
          <w:rFonts w:hint="cs"/>
        </w:rPr>
        <w:t>‍</w:t>
      </w:r>
      <w:r>
        <w:rPr>
          <w:rtl/>
        </w:rPr>
        <w:t xml:space="preserve">אפי' בדיעבד תצא עד שתהיה תרי רובי רוב העיר כשרים ורוב שיירא של כשרים הבאה ממקום אחר עוברים שם כתב הרמב"ם דוקא שנבעלה בפרשת דרכים שאין שם דבר קבוע אבל ראוה שנבעלה בעיר או שנתעברה בעיר אפי' לא שוכן בה אלא עכו"ם או עבד אחד </w:t>
      </w:r>
      <w:r w:rsidR="00957470">
        <w:rPr>
          <w:rFonts w:hint="cs"/>
        </w:rPr>
        <w:t>‍</w:t>
      </w:r>
      <w:r>
        <w:rPr>
          <w:rtl/>
        </w:rPr>
        <w:t xml:space="preserve">לא תנשא לכתחילה שכל קבוע כמחצה על מחצה דמי ואם ניסת לא תצא הואיל ואומרת לכשר נבעלתי עד כאן </w:t>
      </w:r>
      <w:r w:rsidR="00957470">
        <w:rPr>
          <w:rFonts w:hint="cs"/>
        </w:rPr>
        <w:t>‍</w:t>
      </w:r>
      <w:r>
        <w:rPr>
          <w:rtl/>
        </w:rPr>
        <w:t>ונראה דאפילו נתעברה בעיר</w:t>
      </w:r>
      <w:r w:rsidR="0070686C">
        <w:rPr>
          <w:rFonts w:hint="cs"/>
          <w:rtl/>
        </w:rPr>
        <w:t xml:space="preserve"> </w:t>
      </w:r>
      <w:r>
        <w:rPr>
          <w:rtl/>
        </w:rPr>
        <w:t xml:space="preserve">אם הלך הבועל אליה תנשא לכתחילה כיון דאיכא רוב העיר ורוב סיעות כשרים אא"כ </w:t>
      </w:r>
      <w:r w:rsidR="00957470">
        <w:rPr>
          <w:rFonts w:hint="cs"/>
        </w:rPr>
        <w:t>‍</w:t>
      </w:r>
      <w:r>
        <w:rPr>
          <w:rtl/>
        </w:rPr>
        <w:t>הלכה היא אליו</w:t>
      </w:r>
      <w:r w:rsidR="00957470">
        <w:rPr>
          <w:rFonts w:hint="cs"/>
        </w:rPr>
        <w:t>‍</w:t>
      </w:r>
      <w:r>
        <w:rPr>
          <w:rtl/>
        </w:rPr>
        <w:t xml:space="preserve"> וסתמא נמי שאין ידוע מי הלך למי נראה דתנשא לכתחילה:</w:t>
      </w:r>
    </w:p>
    <w:p w14:paraId="7F1954BC" w14:textId="253C8442" w:rsidR="007E7D5A" w:rsidRPr="007E7D5A" w:rsidRDefault="007E7D5A" w:rsidP="007E7D5A">
      <w:pPr>
        <w:pStyle w:val="Style1"/>
      </w:pPr>
      <w:r>
        <w:rPr>
          <w:rFonts w:hint="cs"/>
          <w:rtl/>
        </w:rPr>
        <w:t>2)[</w:t>
      </w:r>
      <w:r>
        <w:rPr>
          <w:rtl/>
        </w:rPr>
        <w:t>שולחן ערוך אבן העזר הלכות פריה ורביה סימן ב סעיף ה</w:t>
      </w:r>
      <w:r>
        <w:rPr>
          <w:rFonts w:hint="cs"/>
          <w:rtl/>
        </w:rPr>
        <w:t xml:space="preserve">] </w:t>
      </w:r>
      <w:r w:rsidRPr="007E7D5A">
        <w:rPr>
          <w:rtl/>
        </w:rPr>
        <w:t>משפחה שנתערב בה ספק חלל, כל אשה כשרה שנשאת לאחד מאותה משפחה והתאלמנה, אסורה לכהן לכתחילה, ואם נשאת לא תצא, מפני שהם שתי ספקות: שמא זו אלמנת אותו חלל, ואם נאמר שהיא אלמנתו, שמא אינו חלל</w:t>
      </w:r>
      <w:r w:rsidRPr="007E7D5A">
        <w:t>.</w:t>
      </w:r>
    </w:p>
    <w:p w14:paraId="09D4B779" w14:textId="77777777" w:rsidR="007E7D5A" w:rsidRPr="007E7D5A" w:rsidRDefault="007E7D5A" w:rsidP="007E7D5A">
      <w:pPr>
        <w:pStyle w:val="Style1"/>
      </w:pPr>
      <w:r w:rsidRPr="007E7D5A">
        <w:rPr>
          <w:rFonts w:hint="cs"/>
          <w:rtl/>
        </w:rPr>
        <w:t>הגה: ויש אומרים דוקא אלמנה דהוה לה חזקת כשרות אבל בתה אפילו נשאה תצא. ויש מקילין ואומרים דאין חלוק בינה לבתה</w:t>
      </w:r>
      <w:r w:rsidRPr="007E7D5A">
        <w:rPr>
          <w:rFonts w:hint="cs"/>
        </w:rPr>
        <w:t xml:space="preserve"> (</w:t>
      </w:r>
      <w:r w:rsidRPr="007E7D5A">
        <w:rPr>
          <w:rFonts w:hint="cs"/>
          <w:rtl/>
        </w:rPr>
        <w:t>ב' הדעות בבית יוסף </w:t>
      </w:r>
      <w:hyperlink r:id="rId29" w:tooltip="טור אבן העזר סז" w:history="1">
        <w:r w:rsidRPr="007E7D5A">
          <w:rPr>
            <w:rStyle w:val="Hyperlink"/>
            <w:rFonts w:hint="cs"/>
            <w:color w:val="7030A0"/>
            <w:u w:val="none"/>
            <w:rtl/>
          </w:rPr>
          <w:t>בסוף סימן סז</w:t>
        </w:r>
      </w:hyperlink>
      <w:r w:rsidRPr="007E7D5A">
        <w:rPr>
          <w:rFonts w:hint="cs"/>
        </w:rPr>
        <w:t>).</w:t>
      </w:r>
    </w:p>
    <w:p w14:paraId="408F4425" w14:textId="77777777" w:rsidR="007E7D5A" w:rsidRPr="007E7D5A" w:rsidRDefault="007E7D5A" w:rsidP="007E7D5A">
      <w:pPr>
        <w:pStyle w:val="Style1"/>
      </w:pPr>
      <w:r w:rsidRPr="007E7D5A">
        <w:rPr>
          <w:rtl/>
        </w:rPr>
        <w:t>אבל אם נתערב בה חלל ודאי, כל אשה מהם אסורה עד שיבדוק, ואם נישאת תצא. והוא הדין אם נתערב בה ספק ממזר או ממזר ודאי</w:t>
      </w:r>
      <w:r w:rsidRPr="007E7D5A">
        <w:t>:</w:t>
      </w:r>
    </w:p>
    <w:p w14:paraId="53361934" w14:textId="77777777" w:rsidR="007E7D5A" w:rsidRPr="007E7D5A" w:rsidRDefault="007E7D5A" w:rsidP="007E7D5A">
      <w:pPr>
        <w:pStyle w:val="Style1"/>
      </w:pPr>
      <w:r w:rsidRPr="007E7D5A">
        <w:rPr>
          <w:rFonts w:hint="cs"/>
          <w:rtl/>
        </w:rPr>
        <w:t>הגה</w:t>
      </w:r>
      <w:r w:rsidRPr="007E7D5A">
        <w:rPr>
          <w:rFonts w:hint="cs"/>
        </w:rPr>
        <w:t>: </w:t>
      </w:r>
      <w:r w:rsidRPr="007E7D5A">
        <w:rPr>
          <w:rFonts w:hint="cs"/>
          <w:rtl/>
        </w:rPr>
        <w:t>וכל זה דוקא למי שיודע בדבר. אבל משפחה שנתערב בה פסול ואינו ידוע לרבים, כיון שנטמעה נטמעה, והיודע פיסולה אינו רשאי לגלותה אלא יניחנה בחזקת כשרות, שכל המשפחות שנטמעו בישראל כשרים לעתיד לבא. ומכל מקום כשר הדבר לגלות לצנועין (כך משמע מהר"ן פרק י' יוחסין). ודווקא משפחה שנטמעה ונתערבה, אבל כל זמן שלא נתערבה, מגלין הפסולים ומכריזין עליהם כדי שיפרישו מהם הכשרים (שם בהגהות אלפסי). ועיין </w:t>
      </w:r>
      <w:hyperlink r:id="rId30" w:tooltip="שולחן ערוך חושן משפט לה" w:history="1">
        <w:r w:rsidRPr="007E7D5A">
          <w:rPr>
            <w:rStyle w:val="Hyperlink"/>
            <w:rFonts w:hint="cs"/>
            <w:color w:val="7030A0"/>
            <w:u w:val="none"/>
            <w:rtl/>
          </w:rPr>
          <w:t>בחשן משפט סימן ל"ה</w:t>
        </w:r>
      </w:hyperlink>
      <w:r w:rsidRPr="007E7D5A">
        <w:rPr>
          <w:rFonts w:hint="cs"/>
        </w:rPr>
        <w:t> </w:t>
      </w:r>
      <w:r w:rsidRPr="007E7D5A">
        <w:rPr>
          <w:rFonts w:hint="cs"/>
          <w:rtl/>
        </w:rPr>
        <w:t>מי נאמן להעיד על משפחות</w:t>
      </w:r>
      <w:r w:rsidRPr="007E7D5A">
        <w:t>:</w:t>
      </w:r>
    </w:p>
    <w:p w14:paraId="53310F35" w14:textId="77777777" w:rsidR="007E7D5A" w:rsidRPr="007E7D5A" w:rsidRDefault="007E7D5A" w:rsidP="007E7D5A">
      <w:pPr>
        <w:pStyle w:val="Style1"/>
      </w:pPr>
    </w:p>
    <w:p w14:paraId="3E230E92" w14:textId="75BDCB8F" w:rsidR="007E7D5A" w:rsidRDefault="007E7D5A" w:rsidP="007E7D5A">
      <w:pPr>
        <w:pStyle w:val="Style1"/>
        <w:rPr>
          <w:rtl/>
        </w:rPr>
      </w:pPr>
    </w:p>
    <w:p w14:paraId="48A452B7" w14:textId="77777777" w:rsidR="00C3554F" w:rsidRDefault="00C3554F" w:rsidP="00C3554F">
      <w:pPr>
        <w:bidi/>
        <w:rPr>
          <w:rStyle w:val="Style1Char"/>
          <w:color w:val="00B050"/>
          <w:rtl/>
        </w:rPr>
      </w:pPr>
    </w:p>
    <w:p w14:paraId="334714D1" w14:textId="77777777" w:rsidR="00F35F95" w:rsidRPr="00F35F95" w:rsidRDefault="00F35F95" w:rsidP="00F35F95">
      <w:pPr>
        <w:bidi/>
        <w:rPr>
          <w:rStyle w:val="Style1Char"/>
          <w:color w:val="00B050"/>
          <w:rtl/>
        </w:rPr>
      </w:pPr>
    </w:p>
    <w:p w14:paraId="746A101B" w14:textId="77777777" w:rsidR="00CE3868" w:rsidRPr="00F35F95" w:rsidRDefault="00CE3868">
      <w:pPr>
        <w:rPr>
          <w:rStyle w:val="Style1Char"/>
          <w:color w:val="00B050"/>
          <w:sz w:val="22"/>
          <w:szCs w:val="22"/>
          <w:rtl/>
        </w:rPr>
      </w:pPr>
      <w:r w:rsidRPr="00F35F95">
        <w:rPr>
          <w:rStyle w:val="Style1Char"/>
          <w:color w:val="00B050"/>
          <w:sz w:val="22"/>
          <w:szCs w:val="22"/>
          <w:rtl/>
        </w:rPr>
        <w:br w:type="page"/>
      </w:r>
    </w:p>
    <w:p w14:paraId="21181E20" w14:textId="2F30C09C" w:rsidR="00F450C8" w:rsidRPr="00F450C8" w:rsidRDefault="00F450C8" w:rsidP="00F450C8">
      <w:pPr>
        <w:bidi/>
        <w:rPr>
          <w:rStyle w:val="Style1Char"/>
          <w:color w:val="00B050"/>
        </w:rPr>
      </w:pPr>
      <w:r w:rsidRPr="00F450C8">
        <w:rPr>
          <w:rStyle w:val="Style1Char"/>
          <w:color w:val="00B050"/>
          <w:sz w:val="22"/>
          <w:szCs w:val="22"/>
          <w:highlight w:val="yellow"/>
          <w:rtl/>
        </w:rPr>
        <w:lastRenderedPageBreak/>
        <w:t>[דף יד עמוד ב]</w:t>
      </w:r>
      <w:r w:rsidRPr="00F450C8">
        <w:rPr>
          <w:rStyle w:val="Style1Char"/>
          <w:color w:val="00B050"/>
          <w:sz w:val="22"/>
          <w:szCs w:val="22"/>
          <w:rtl/>
        </w:rPr>
        <w:t xml:space="preserve"> </w:t>
      </w:r>
      <w:r w:rsidRPr="00F450C8">
        <w:rPr>
          <w:rStyle w:val="Style1Char"/>
          <w:color w:val="00B050"/>
          <w:rtl/>
        </w:rPr>
        <w:t xml:space="preserve">שמעתי, כל שאין בה אחד מכל אלו - משיאין לכהונה; ר"ש בן אלעזר אומר משום ר"מ, וכן היה ר"ש בן מנסיא אומר כדבריו: איזוהי אלמנת עיסה? כל שנטמע בה ספק חלל, מכירין ישראל ממזרים שביניהם, ואין מכירין חללין שביניהם. אמר מר: איזוהי אלמנת עיסה? כל שאין בה לא משום ממזרות, ולא משום נתינות, ולא משום עבדי מלכים. הא חלל - כשר, מאי שנא הנך? דאורייתא, חלל נמי דאורייתא! ותו, אמר רבי מאיר: שמעתי, כל שאין בה אחד מכל אלו - משיאין לכהונה, היינו תנא קמא! ותו, ר"ש בן אלעזר אומר משום ר' מאיר, וכן היה ר"ש בן מנסיא אומר כדבריו: איזוהי אלמנת עיסה? כל שנטמע בה ספק חלל, מכירין ישראל ממזרים שביניהן, ואין מכירין חללין שביניהן; והא אמרת רישא: חלל - כשר! א"ר יוחנן: ממזר צווח וחלל שותק איכא בינייהו, תנא קמא סבר: </w:t>
      </w:r>
      <w:r w:rsidR="00892EC2">
        <w:rPr>
          <w:rStyle w:val="Style1Char"/>
          <w:rFonts w:hint="cs"/>
          <w:rtl/>
        </w:rPr>
        <w:t>(1)</w:t>
      </w:r>
      <w:r w:rsidRPr="00F450C8">
        <w:rPr>
          <w:rStyle w:val="Style1Char"/>
          <w:color w:val="00B050"/>
          <w:rtl/>
        </w:rPr>
        <w:t xml:space="preserve">כל פסול דקרו ליה ושתיק - פסול, והכי קאמר ת"ק: איזוהי אלמנת עיסה! כל שאין בה לא שתוק ממזרות, ולא שתוק נתינות, ולא שתוק עבדי מלכים, ולא שתוק חלל; וקאמר ליה ר"מ: הנך הוא דקא פסיל ליה בקהל, אבל שתוק חלל - כשר, והא דשתיק? משום דלא איכפת ליה; וקאמר ליה ר"ש בן אלעזר לתנא קמא דר' מאיר: אי שמיע לך דמכשר ר"מ בשתיקה, לא דקרו ליה חלל ושתיק, אלא דקרו ליה ממזר ושתיק, והאי דשתיק? סבר: ממזר קלא אית ליה, אבל ממזר וצווח, חלל ושותק - פסול, והאי דאשתיק? סבר: מיסתייה דלא מפקי ליה מקהל. תני חדא, ר' יוסי אומר: שתוק ממזר - כשר, שתוק חלל - פסול; ותניא אידך: שתוק חלל - כשר, שתוק ממזר - פסול! לא קשיא: הא ת"ק אליבא דר"מ, הא דר"ש בן אלעזר אליבא דר"מ. </w:t>
      </w:r>
    </w:p>
    <w:p w14:paraId="35488625" w14:textId="77777777" w:rsidR="00F450C8" w:rsidRPr="00AA0426" w:rsidRDefault="00F450C8" w:rsidP="00F450C8">
      <w:pPr>
        <w:bidi/>
        <w:rPr>
          <w:rStyle w:val="Style1Char"/>
          <w:color w:val="auto"/>
          <w:sz w:val="22"/>
          <w:szCs w:val="22"/>
        </w:rPr>
      </w:pPr>
      <w:r w:rsidRPr="00AA0426">
        <w:rPr>
          <w:rStyle w:val="Style1Char"/>
          <w:color w:val="auto"/>
          <w:sz w:val="22"/>
          <w:szCs w:val="22"/>
          <w:rtl/>
        </w:rPr>
        <w:t xml:space="preserve">מתני'. א"ר יוסי: מעשה בתינוקת שירדה למלאות מים מן העין ונאנסה, אמר רבי יוחנן בן נורי: אם רוב אנשי העיר משיאין לכהונה - הרי זו תינשא לכהונה. </w:t>
      </w:r>
    </w:p>
    <w:p w14:paraId="7FDC9381" w14:textId="6AA407F4" w:rsidR="00F450C8" w:rsidRDefault="00F450C8" w:rsidP="00F450C8">
      <w:pPr>
        <w:bidi/>
        <w:rPr>
          <w:rStyle w:val="Style1Char"/>
          <w:color w:val="ED7D31" w:themeColor="accent2"/>
          <w:sz w:val="22"/>
          <w:szCs w:val="22"/>
          <w:rtl/>
        </w:rPr>
      </w:pPr>
      <w:r w:rsidRPr="00F450C8">
        <w:rPr>
          <w:rStyle w:val="Style1Char"/>
          <w:color w:val="00B050"/>
          <w:rtl/>
        </w:rPr>
        <w:t xml:space="preserve">גמ'. אמר ליה רבא לרב נחמן: ר' יוחנן בן נורי דאמר כמאן? אי כרבן גמליאל, אפילו ברוב פסולין נמי מכשר! אי כרבי יהושע, אפילו ברוב כשרים נמי פסיל! אמר ליה, הכי </w:t>
      </w:r>
      <w:r w:rsidRPr="005F3103">
        <w:rPr>
          <w:rStyle w:val="Style1Char"/>
          <w:color w:val="ED7D31" w:themeColor="accent2"/>
          <w:sz w:val="22"/>
          <w:szCs w:val="22"/>
          <w:rtl/>
        </w:rPr>
        <w:t xml:space="preserve">אמר רב יהודה אמר רב: </w:t>
      </w:r>
    </w:p>
    <w:p w14:paraId="31D20FC8" w14:textId="24D1B00C" w:rsidR="00892EC2" w:rsidRDefault="00892EC2" w:rsidP="00892EC2">
      <w:pPr>
        <w:pStyle w:val="Style1"/>
        <w:rPr>
          <w:rStyle w:val="Style1Char"/>
          <w:rtl/>
        </w:rPr>
      </w:pPr>
      <w:r>
        <w:rPr>
          <w:rStyle w:val="Style1Char"/>
          <w:rFonts w:hint="cs"/>
          <w:rtl/>
        </w:rPr>
        <w:t>1)[</w:t>
      </w:r>
      <w:r w:rsidRPr="00892EC2">
        <w:rPr>
          <w:rStyle w:val="Style1Char"/>
          <w:rtl/>
        </w:rPr>
        <w:t>רמב</w:t>
      </w:r>
      <w:r w:rsidR="00213DA1">
        <w:rPr>
          <w:rStyle w:val="Style1Char"/>
          <w:rtl/>
        </w:rPr>
        <w:t>”ם \קדושה\</w:t>
      </w:r>
      <w:r w:rsidRPr="00892EC2">
        <w:rPr>
          <w:rStyle w:val="Style1Char"/>
          <w:rtl/>
        </w:rPr>
        <w:t xml:space="preserve"> הלכות איסורי ביאה פרק יט הלכה כב</w:t>
      </w:r>
      <w:r>
        <w:rPr>
          <w:rStyle w:val="Style1Char"/>
          <w:rFonts w:hint="cs"/>
          <w:rtl/>
        </w:rPr>
        <w:t xml:space="preserve">] </w:t>
      </w:r>
      <w:r w:rsidRPr="00892EC2">
        <w:rPr>
          <w:rStyle w:val="Style1Char"/>
          <w:rtl/>
        </w:rPr>
        <w:t>כל שקורין לו ממזר ושותק, או נתין ושותק, או חלל ושותק, או עבד ושותק, חוששין לו ולמשפחתו ואין נושאין מהן אלא א"כ בודקין כמו שביארנו. /השגת הראב"ד/ כל שקורין לו ממזר וכו'. כתב הראב"ד ז"ל /א"א/ כל אלו שאמרו על שתיקתן שהם פסולים לא אמרו אלא בדורות הראשונים שהיו ב"ד נזקקין לחרפות שאדם מחרף את חבירו כגון הקורא לחבירו עבד יהא בנדוי ממזר סופג את הארבעים וזה ששתק ולא צווח לב"ד כבר הודה אבל עכשיו השותק על המריבה הרי הוא משובח אא"כ קורין לו שלא בשעת מריבה עכ"ל.</w:t>
      </w:r>
    </w:p>
    <w:p w14:paraId="72044BA8" w14:textId="50E784DC" w:rsidR="003C3684" w:rsidRPr="003C3684" w:rsidRDefault="00892EC2" w:rsidP="003C3684">
      <w:pPr>
        <w:pStyle w:val="Style1"/>
      </w:pPr>
      <w:r>
        <w:rPr>
          <w:rStyle w:val="Style1Char"/>
          <w:rFonts w:hint="cs"/>
          <w:rtl/>
        </w:rPr>
        <w:t>1)[</w:t>
      </w:r>
      <w:r w:rsidRPr="00892EC2">
        <w:rPr>
          <w:rStyle w:val="Style1Char"/>
          <w:rtl/>
        </w:rPr>
        <w:t>שולחן ערוך אבן העזר הלכות פריה ורביה סימן ב סעיף ד</w:t>
      </w:r>
      <w:r>
        <w:rPr>
          <w:rStyle w:val="Style1Char"/>
          <w:rFonts w:hint="cs"/>
          <w:rtl/>
        </w:rPr>
        <w:t>]</w:t>
      </w:r>
      <w:r w:rsidR="003C3684">
        <w:rPr>
          <w:rStyle w:val="Style1Char"/>
          <w:rFonts w:hint="cs"/>
          <w:rtl/>
        </w:rPr>
        <w:t xml:space="preserve"> </w:t>
      </w:r>
      <w:r w:rsidR="003C3684" w:rsidRPr="003C3684">
        <w:rPr>
          <w:rtl/>
        </w:rPr>
        <w:t>כל שקורין לו ממזר ושותק, או נתין ושותק, או חלל ושותק, או עבד ושותק – חוששין לו ולמשפחתו, ואין נושאים מהם אלא אם כן בודקין, כמו שנתבאר</w:t>
      </w:r>
      <w:r w:rsidR="003C3684" w:rsidRPr="003C3684">
        <w:t>:</w:t>
      </w:r>
    </w:p>
    <w:p w14:paraId="29D75CA6" w14:textId="77777777" w:rsidR="003C3684" w:rsidRPr="003C3684" w:rsidRDefault="003C3684" w:rsidP="003C3684">
      <w:pPr>
        <w:pStyle w:val="Style1"/>
      </w:pPr>
      <w:r w:rsidRPr="003C3684">
        <w:rPr>
          <w:rFonts w:hint="cs"/>
          <w:rtl/>
        </w:rPr>
        <w:t>הגה</w:t>
      </w:r>
      <w:r w:rsidRPr="003C3684">
        <w:rPr>
          <w:rFonts w:hint="cs"/>
        </w:rPr>
        <w:t>: </w:t>
      </w:r>
      <w:r w:rsidRPr="003C3684">
        <w:rPr>
          <w:rFonts w:hint="cs"/>
          <w:rtl/>
        </w:rPr>
        <w:t>יש אומרים, דווקא משפחה שנתערב בה אחד מאלו הפסולים; אבל אדם אחר שקורין לו כך ושותק, אין בכך כלום. (טור בשם ר"י ובית יוסף בשם הרמב"ן והרשב"א). ויש אומרים עוד, דכל זה דווקא בדורות הראשונים, שהיו בית דין נזקקים למי שחרף חבירו ומענישין אותו כראוי, לכן הוי שתיקה כהודאה; אבל עכשיו, השותק על המריבה – הרי זה משובח, אלא אם כן קורין לו כך שלא בשעת מריבה (ב"י בשם השגות הראב"ד). ויש אומרים דלא אמרינן שתיקה כהודאה, אלא אם כן צווח על פיסול אחר; אבל אם שותק תמיד, לא הוי כהודאה (הר"ן סוף פ"ק דכתובות). וכל זה מיירי בפיסול הנוגע בעצמו; אבל אם רוצים לפסול זרעו בפניו ושותק, אין בכך הודאה, אבל למיחש קצת מיהא בעינן (תשובת ר"מ פדוואה סימן י"ד). והשומע חרפתו בשאר דברים ושותק, סימן הוא שהוא מיוחס</w:t>
      </w:r>
      <w:r w:rsidRPr="003C3684">
        <w:t>:</w:t>
      </w:r>
    </w:p>
    <w:p w14:paraId="0ECF1803" w14:textId="77777777" w:rsidR="003C3684" w:rsidRPr="003C3684" w:rsidRDefault="003C3684" w:rsidP="003C3684">
      <w:pPr>
        <w:pStyle w:val="Style1"/>
        <w:rPr>
          <w:rStyle w:val="Style1Char"/>
        </w:rPr>
      </w:pPr>
    </w:p>
    <w:p w14:paraId="442E63F2" w14:textId="391A89A5" w:rsidR="00892EC2" w:rsidRPr="00892EC2" w:rsidRDefault="00892EC2" w:rsidP="00892EC2">
      <w:pPr>
        <w:pStyle w:val="Style1"/>
        <w:rPr>
          <w:rStyle w:val="Style1Char"/>
          <w:rtl/>
        </w:rPr>
      </w:pPr>
    </w:p>
    <w:p w14:paraId="2B0EB657" w14:textId="77777777" w:rsidR="00F450C8" w:rsidRDefault="00F450C8">
      <w:pPr>
        <w:rPr>
          <w:rStyle w:val="Style1Char"/>
          <w:color w:val="00B050"/>
          <w:rtl/>
        </w:rPr>
      </w:pPr>
      <w:r>
        <w:rPr>
          <w:rStyle w:val="Style1Char"/>
          <w:color w:val="00B050"/>
          <w:rtl/>
        </w:rPr>
        <w:br w:type="page"/>
      </w:r>
    </w:p>
    <w:p w14:paraId="3D28865C" w14:textId="0297D111" w:rsidR="00F450C8" w:rsidRDefault="00F450C8" w:rsidP="00F450C8">
      <w:pPr>
        <w:bidi/>
        <w:rPr>
          <w:rStyle w:val="Style1Char"/>
          <w:color w:val="00B050"/>
          <w:rtl/>
        </w:rPr>
      </w:pPr>
      <w:r w:rsidRPr="005F3103">
        <w:rPr>
          <w:rStyle w:val="Style1Char"/>
          <w:color w:val="auto"/>
          <w:sz w:val="22"/>
          <w:szCs w:val="22"/>
          <w:highlight w:val="yellow"/>
          <w:rtl/>
        </w:rPr>
        <w:lastRenderedPageBreak/>
        <w:t>[דף טו עמוד א]</w:t>
      </w:r>
      <w:r w:rsidRPr="005F3103">
        <w:rPr>
          <w:rStyle w:val="Style1Char"/>
          <w:color w:val="auto"/>
          <w:sz w:val="22"/>
          <w:szCs w:val="22"/>
          <w:rtl/>
        </w:rPr>
        <w:t xml:space="preserve"> בקרונות של ציפורי היה מעשה;</w:t>
      </w:r>
      <w:r w:rsidRPr="005F3103">
        <w:rPr>
          <w:rStyle w:val="Style1Char"/>
          <w:color w:val="auto"/>
          <w:rtl/>
        </w:rPr>
        <w:t xml:space="preserve"> </w:t>
      </w:r>
      <w:r w:rsidRPr="00F450C8">
        <w:rPr>
          <w:rStyle w:val="Style1Char"/>
          <w:color w:val="00B050"/>
          <w:rtl/>
        </w:rPr>
        <w:t xml:space="preserve">וכדרבי אמי, דאמר רבי אמי: והוא, שהיתה סיעה של בני אדם כשרין עוברת לשם; </w:t>
      </w:r>
      <w:r w:rsidRPr="005F3103">
        <w:rPr>
          <w:rStyle w:val="Style1Char"/>
          <w:color w:val="auto"/>
          <w:sz w:val="22"/>
          <w:szCs w:val="22"/>
          <w:rtl/>
        </w:rPr>
        <w:t xml:space="preserve">וכדר' ינאי, דאמר </w:t>
      </w:r>
      <w:r w:rsidRPr="00F450C8">
        <w:rPr>
          <w:rStyle w:val="Style1Char"/>
          <w:color w:val="00B050"/>
          <w:rtl/>
        </w:rPr>
        <w:t xml:space="preserve">ר' ינאי: נבעלת בקרונות כשרה לכהונה, בקרונות סלקא דעתך? אלא, </w:t>
      </w:r>
      <w:r w:rsidRPr="005F3103">
        <w:rPr>
          <w:rStyle w:val="Style1Char"/>
          <w:color w:val="auto"/>
          <w:sz w:val="22"/>
          <w:szCs w:val="22"/>
          <w:rtl/>
        </w:rPr>
        <w:t>נבעלת בשעת קרונות כשרה לכהונה</w:t>
      </w:r>
      <w:r w:rsidR="006B187A" w:rsidRPr="005F3103">
        <w:rPr>
          <w:rStyle w:val="Style1Char"/>
          <w:color w:val="auto"/>
          <w:rtl/>
        </w:rPr>
        <w:t xml:space="preserve"> </w:t>
      </w:r>
      <w:r w:rsidR="006B187A" w:rsidRPr="005F3103">
        <w:rPr>
          <w:rStyle w:val="Style1Char"/>
          <w:color w:val="806000" w:themeColor="accent4" w:themeShade="80"/>
          <w:sz w:val="22"/>
          <w:szCs w:val="22"/>
          <w:rtl/>
        </w:rPr>
        <w:t xml:space="preserve">והוא שהיתה סיעה של בני אדם כשרים עוברת שם דהויין תרי רובי רוב העיר ורוב סיעה </w:t>
      </w:r>
      <w:r w:rsidR="00475D02" w:rsidRPr="00A755B9">
        <w:rPr>
          <w:rStyle w:val="Style1Char"/>
          <w:color w:val="4472C4" w:themeColor="accent1"/>
          <w:rtl/>
        </w:rPr>
        <w:t>ומיירי בדלא טענה ברי הלכך בעינן תרי רובי אפילו לרבן גמליאל</w:t>
      </w:r>
      <w:r w:rsidR="00475D02">
        <w:rPr>
          <w:rStyle w:val="Style1Char"/>
          <w:rFonts w:hint="cs"/>
          <w:color w:val="4472C4" w:themeColor="accent1"/>
        </w:rPr>
        <w:t>‍</w:t>
      </w:r>
      <w:r w:rsidR="00475D02" w:rsidRPr="00A755B9">
        <w:rPr>
          <w:rStyle w:val="Style1Char"/>
          <w:color w:val="4472C4" w:themeColor="accent1"/>
        </w:rPr>
        <w:t>:</w:t>
      </w:r>
      <w:r w:rsidR="006B187A" w:rsidRPr="005F3103">
        <w:rPr>
          <w:rStyle w:val="Style1Char"/>
          <w:color w:val="806000" w:themeColor="accent4" w:themeShade="80"/>
          <w:sz w:val="22"/>
          <w:szCs w:val="22"/>
          <w:rtl/>
        </w:rPr>
        <w:t>וכן הלכתא</w:t>
      </w:r>
      <w:r w:rsidR="006B187A" w:rsidRPr="005F3103">
        <w:rPr>
          <w:rStyle w:val="Style1Char"/>
          <w:color w:val="806000" w:themeColor="accent4" w:themeShade="80"/>
          <w:sz w:val="22"/>
          <w:szCs w:val="22"/>
        </w:rPr>
        <w:t>:</w:t>
      </w:r>
      <w:r w:rsidRPr="005F3103">
        <w:rPr>
          <w:rStyle w:val="Style1Char"/>
          <w:color w:val="806000" w:themeColor="accent4" w:themeShade="80"/>
          <w:rtl/>
        </w:rPr>
        <w:t xml:space="preserve">, </w:t>
      </w:r>
      <w:r w:rsidRPr="00F450C8">
        <w:rPr>
          <w:rStyle w:val="Style1Char"/>
          <w:color w:val="00B050"/>
          <w:rtl/>
        </w:rPr>
        <w:t xml:space="preserve">אבל פירש אחד מציפורי ובעל - הולד שתוקי; כי הא דכי אתא רב דימי אמר זעירי א"ר חנינא, ואמרי לה אמר זעירי אמר ר' חנינא: הולכין אחר רוב העיר, ואין הולכין אחר רוב סיעה; כלפי לייא? הני ניידי והני קביעי וקיימי! אלא, </w:t>
      </w:r>
      <w:r w:rsidR="003C3684">
        <w:rPr>
          <w:rStyle w:val="Style1Char"/>
          <w:rFonts w:hint="cs"/>
          <w:rtl/>
        </w:rPr>
        <w:t>(1)</w:t>
      </w:r>
      <w:r w:rsidRPr="00F450C8">
        <w:rPr>
          <w:rStyle w:val="Style1Char"/>
          <w:color w:val="00B050"/>
          <w:rtl/>
        </w:rPr>
        <w:t xml:space="preserve">הולכין אחר רוב העיר והוא דאיכא רוב סיעה בהדה, ואין הולכין אחר רוב העיר גרידתא, ולא אחר רוב סיעה גרידתא, מ"ט? גזרה רוב סיעה אטו רוב העיר. ורוב העיר נמי, אי דקא אזלי אינהו לגבה, כל דפריש מרובא פריש! </w:t>
      </w:r>
      <w:r w:rsidR="001D4E81">
        <w:rPr>
          <w:rStyle w:val="Style1Char"/>
          <w:rFonts w:hint="cs"/>
          <w:rtl/>
        </w:rPr>
        <w:t>(1)</w:t>
      </w:r>
      <w:r w:rsidRPr="00F450C8">
        <w:rPr>
          <w:rStyle w:val="Style1Char"/>
          <w:color w:val="00B050"/>
          <w:rtl/>
        </w:rPr>
        <w:t xml:space="preserve">לא צריכא, דקא אזלא איהי לגבייהו, דהוה ליה קבוע, וא"ר זירא: כל קבוע כמחצה על מחצה דמי. ומי בעינן תרי רובי? והתניא: </w:t>
      </w:r>
      <w:r w:rsidR="001D4E81">
        <w:rPr>
          <w:rStyle w:val="Style1Char"/>
          <w:rFonts w:hint="cs"/>
          <w:rtl/>
        </w:rPr>
        <w:t>(2)</w:t>
      </w:r>
      <w:r w:rsidRPr="00F450C8">
        <w:rPr>
          <w:rStyle w:val="Style1Char"/>
          <w:color w:val="00B050"/>
          <w:rtl/>
        </w:rPr>
        <w:t xml:space="preserve">תשע חנויות, כולן מוכרות בשר שחוטה ואחת מוכרת בשר נבלה, ולקח מאחת מהן ואינו יודע מאי זה מהן לקח - ספיקו אסור, </w:t>
      </w:r>
      <w:r w:rsidR="00996A68">
        <w:rPr>
          <w:rStyle w:val="Style1Char"/>
          <w:rFonts w:hint="cs"/>
          <w:rtl/>
        </w:rPr>
        <w:t>(2, 3)</w:t>
      </w:r>
      <w:r w:rsidRPr="00F450C8">
        <w:rPr>
          <w:rStyle w:val="Style1Char"/>
          <w:color w:val="00B050"/>
          <w:rtl/>
        </w:rPr>
        <w:t xml:space="preserve">ובנמצא - הלך אחר הרוב! וכי תימא, בשאין דלתות מדינה נעולות, דקא אתי לה רובא מעלמא, והא א"ר זירא: אף על פי שדלתות מדינה נעולות! מעלה עשו ביוחסין. גופא, א"ר זירא: כל קבוע כמחצה על מחצה דמי, בין לקולא בין לחומרא. מנא ליה לר' זירא הא? אילימא מתשע חנויות, כולן מוכרות בשר שחוטה ואחת בשר נבלה, ולקח מאחת מהן ואינו יודע מאיזה מהן לקח - ספיקו אסור, ובנמצא - הלך אחר הרוב, התם לחומרא! אלא </w:t>
      </w:r>
      <w:r w:rsidR="00996A68">
        <w:rPr>
          <w:rStyle w:val="Style1Char"/>
          <w:rFonts w:hint="cs"/>
          <w:rtl/>
        </w:rPr>
        <w:t>(4)</w:t>
      </w:r>
      <w:r w:rsidRPr="00F450C8">
        <w:rPr>
          <w:rStyle w:val="Style1Char"/>
          <w:color w:val="00B050"/>
          <w:rtl/>
        </w:rPr>
        <w:t xml:space="preserve">מתשעה צפרדעים ושרץ אחד ביניהם, ונגע באחד מהן ואינו יודע באיזה מהן נגע - ספיקו טמא, התם נמי לחומרא! אלא </w:t>
      </w:r>
      <w:r w:rsidR="00996A68">
        <w:rPr>
          <w:rStyle w:val="Style1Char"/>
          <w:rFonts w:hint="cs"/>
          <w:rtl/>
        </w:rPr>
        <w:t>(4)</w:t>
      </w:r>
      <w:r w:rsidRPr="00F450C8">
        <w:rPr>
          <w:rStyle w:val="Style1Char"/>
          <w:color w:val="00B050"/>
          <w:rtl/>
        </w:rPr>
        <w:t xml:space="preserve">מתשעה שרצים וצפרדע אחד ביניהם, ונגע באחד מהן ואינו יודע באיזה מהן נגע, ברה"י - ספיקו טמא, ברשות הרבי' - ספיקו טהור. ומדאורייתא מנא לן? אמר קרא: וארב לו וקם עליו, </w:t>
      </w:r>
      <w:r w:rsidR="00996A68">
        <w:rPr>
          <w:rStyle w:val="Style1Char"/>
          <w:rFonts w:hint="cs"/>
          <w:rtl/>
        </w:rPr>
        <w:t>(5)</w:t>
      </w:r>
      <w:r w:rsidRPr="00F450C8">
        <w:rPr>
          <w:rStyle w:val="Style1Char"/>
          <w:color w:val="00B050"/>
          <w:rtl/>
        </w:rPr>
        <w:t xml:space="preserve">עד שיתכוין לו. ורבנן? אמרי דבי ר' ינאי: פרט לזורק אבן לגו. היכי דמי? אילימא דאיכא תשעה כנענים ואחד ישראל ביניהם, ותיפוק ליה דרובא כנענים נינהו! אי נמי פלגא ופלגא, ספק נפשות להקל! לא צריכא, דאיכא תשעה ישראלים וכנעני אחד ביניהם, דהוה ליה כנעני קבוע, וכל קבוע כמחצה על מחצה דמי. איתמר, רב חייא בר אשי אמר רב: הלכה כרבי יוסי, ורב חנן בר רבא אמר רב: הוראת שעה היתה. מתיב רבי ירמיה: וליוחסין לא בעינן תרי רובי? והתנן: </w:t>
      </w:r>
    </w:p>
    <w:p w14:paraId="6E900A6C" w14:textId="202E5BC6" w:rsidR="00757914" w:rsidRDefault="00757914" w:rsidP="00757914">
      <w:pPr>
        <w:pStyle w:val="Style1"/>
        <w:rPr>
          <w:rtl/>
        </w:rPr>
      </w:pPr>
      <w:r>
        <w:rPr>
          <w:rFonts w:hint="cs"/>
          <w:rtl/>
        </w:rPr>
        <w:t>1)[</w:t>
      </w:r>
      <w:r>
        <w:rPr>
          <w:rtl/>
        </w:rPr>
        <w:t>רמב</w:t>
      </w:r>
      <w:r w:rsidR="00213DA1">
        <w:rPr>
          <w:rtl/>
        </w:rPr>
        <w:t>”ם \קדושה\</w:t>
      </w:r>
      <w:r>
        <w:rPr>
          <w:rtl/>
        </w:rPr>
        <w:t xml:space="preserve"> הלכות איסורי ביאה פרק יח הלכה יד</w:t>
      </w:r>
      <w:r>
        <w:rPr>
          <w:rFonts w:hint="cs"/>
          <w:rtl/>
        </w:rPr>
        <w:t xml:space="preserve">] </w:t>
      </w:r>
      <w:r>
        <w:rPr>
          <w:rtl/>
        </w:rPr>
        <w:t>בד"א בשיהיה המקום שנבעלה בו פרשת דרכים או בקרנות שבשדות שהכל עוברין שם, והיו רוב העוברים שם כשרים, ורוב העיר שפרשו אלו העוברין ממנה כשרים, שהחכמים עשו מעלה ביוחסין והצריכו שני רובות, אבל אם היו רוב העוברים פוסלים אותה כגון עכו"ם או ממזרים וכיוצא בהם אף על פי שרוב המקום שבאו ממנה כשרים או שהיו רוב אנשי המקום פסולין אף על פי שרוב העוברין שם כשרים חוששין לה שמא למי שפוסל אותה נבעלה ולא תינשא לכהן לכתחלה ואם נשאת (לא) תצא.</w:t>
      </w:r>
    </w:p>
    <w:p w14:paraId="26ECB3FE" w14:textId="6F97659F" w:rsidR="00757914" w:rsidRDefault="00757914" w:rsidP="00757914">
      <w:pPr>
        <w:pStyle w:val="Style1"/>
        <w:rPr>
          <w:rtl/>
        </w:rPr>
      </w:pPr>
      <w:r>
        <w:rPr>
          <w:rFonts w:hint="cs"/>
          <w:rtl/>
        </w:rPr>
        <w:t>1)[</w:t>
      </w:r>
      <w:r>
        <w:rPr>
          <w:rtl/>
        </w:rPr>
        <w:t>שולחן ערוך אבן העזר הלכות פריה ורביה סימן ו סעיף יז</w:t>
      </w:r>
      <w:r>
        <w:rPr>
          <w:rFonts w:hint="cs"/>
          <w:rtl/>
        </w:rPr>
        <w:t xml:space="preserve">] </w:t>
      </w:r>
      <w:r w:rsidRPr="00BB7347">
        <w:rPr>
          <w:rtl/>
        </w:rPr>
        <w:t>פנויה שראוה שנבעלה לאחד, והלך לו הבועל ואמרו לה: מי הוא זה שבא עליך, ואמרה: אדם כשר, הרי זו נאמנת. ולא עוד אלא אפילו ראוה מעוברת, ואמרו לה: ממי את מעוברת, ואמרה: מאדם כשר, הרי זו נאמנת ותהיה </w:t>
      </w:r>
      <w:r w:rsidRPr="00BB7347">
        <w:rPr>
          <w:rFonts w:hint="cs"/>
        </w:rPr>
        <w:t>(</w:t>
      </w:r>
      <w:r w:rsidRPr="00BB7347">
        <w:rPr>
          <w:rFonts w:hint="cs"/>
          <w:rtl/>
        </w:rPr>
        <w:t>היא ובתה</w:t>
      </w:r>
      <w:r w:rsidRPr="00BB7347">
        <w:rPr>
          <w:rFonts w:hint="cs"/>
        </w:rPr>
        <w:t>)</w:t>
      </w:r>
      <w:r w:rsidRPr="00BB7347">
        <w:t> </w:t>
      </w:r>
      <w:r w:rsidRPr="00BB7347">
        <w:rPr>
          <w:rtl/>
        </w:rPr>
        <w:t>מותרת לכהן. בד"א, כשהיה המקום שנבעלה בו פרשת דרכים, או בקרנות שבשדות שהכל עוברים שם, והיו רוב העוברים שם כשרים, ורוב העיר שפירשו אלו העוברים ממנה כשרים, שחכמים עשו מעלה ביוחסין והצריכו שני רובות. אבל אם היו רוב העוברים פוסלים אותה, כגון עכו"ם או ממזרים וכיוצא בהם, אע"פ שרוב המקום שבאו ממנו כשרים, או שהיו רוב אנשי המקום פסולים, אע"פ שרוב העוברים כשרים, חוששין לה ונאמר: למי שפוסלת אותה נבעלה, ולא תנשא לכהן לכתחלה, ואם נשאת לא תצא. וי"א דבאומרת: לכשר נבעלתי, בחד רובא לכתחלה מכשירין, ובדיעבד, אפילו ברוב פסולים</w:t>
      </w:r>
      <w:r w:rsidRPr="00BB7347">
        <w:t>:</w:t>
      </w:r>
    </w:p>
    <w:p w14:paraId="2293E1F7" w14:textId="2582D0E3" w:rsidR="00757914" w:rsidRDefault="00757914" w:rsidP="00757914">
      <w:pPr>
        <w:pStyle w:val="Style1"/>
        <w:rPr>
          <w:rtl/>
        </w:rPr>
      </w:pPr>
      <w:r>
        <w:rPr>
          <w:rFonts w:hint="cs"/>
          <w:rtl/>
        </w:rPr>
        <w:t>1)[</w:t>
      </w:r>
      <w:r>
        <w:rPr>
          <w:rtl/>
        </w:rPr>
        <w:t>שולחן ערוך אבן העזר הלכות פריה ורביה סימן ו סעיף יח</w:t>
      </w:r>
      <w:r>
        <w:rPr>
          <w:rFonts w:hint="cs"/>
          <w:rtl/>
        </w:rPr>
        <w:t xml:space="preserve">] </w:t>
      </w:r>
      <w:r w:rsidRPr="00757914">
        <w:rPr>
          <w:rtl/>
        </w:rPr>
        <w:t>ראוה שנבעלה או שנתעברה בעיר, אפילו לא היה שוכן שם אלא עכו"ם אחד או חלל אחד ועבד וכיוצא בהם, הרי זו לא תנשא לכתחלה לכהן, שכל קבוע כמחצה על מחצה הוא. ואם נשאת, לא תצא הואיל והיא אומרת: לכשר נבעלתי. היתה אלמת או חרשת, או שאמרה: איני יודעת למי נבעלתי, או שהיתה קטנה שאינה מכרת בין כשר לפסול, הרי זו ספק זונה ואם נשאת לכהן, תצא, אלא אם כן היו שם שני רובים המצויים כשרים. ויש מי שאומר שאפילו נתעברה בעיר, אם הלך הבועל אליה תנשא לכתחלה, כיון דאיכא רוב העיר ורוב סיעות כשרים, אא"כ הלכה היא אליו. וסתמא נמי, שאין ידוע מי הלך למי, תנשא לכתחלה</w:t>
      </w:r>
      <w:r w:rsidRPr="00757914">
        <w:t>:</w:t>
      </w:r>
    </w:p>
    <w:p w14:paraId="269449F7" w14:textId="4A8D0011" w:rsidR="001D4E81" w:rsidRDefault="001D4E81" w:rsidP="001D4E81">
      <w:pPr>
        <w:pStyle w:val="Style1"/>
        <w:rPr>
          <w:rtl/>
        </w:rPr>
      </w:pPr>
      <w:r>
        <w:rPr>
          <w:rFonts w:hint="cs"/>
          <w:rtl/>
        </w:rPr>
        <w:t>2)[</w:t>
      </w:r>
      <w:r>
        <w:rPr>
          <w:rtl/>
        </w:rPr>
        <w:t>רמב</w:t>
      </w:r>
      <w:r w:rsidR="0057095E">
        <w:rPr>
          <w:rtl/>
        </w:rPr>
        <w:t>”ם \קדושה\</w:t>
      </w:r>
      <w:r>
        <w:rPr>
          <w:rtl/>
        </w:rPr>
        <w:t xml:space="preserve"> הלכות מאכלות אסורות פרק ח הלכה יא</w:t>
      </w:r>
      <w:r>
        <w:rPr>
          <w:rFonts w:hint="cs"/>
          <w:rtl/>
        </w:rPr>
        <w:t xml:space="preserve">] </w:t>
      </w:r>
      <w:r>
        <w:rPr>
          <w:rtl/>
        </w:rPr>
        <w:t>עשר חנויות תשע מוכרות בשר שחוטה ואחת מוכרת נבלות ולקח בשר מאחת מהן ואינו יודע מאיזה מהן לקח הרי זה אסור שכל קבוע כמחצה על מחצה דמי, אבל בשר הנמצא מושלך בשוק הלך אחר הרוב דכל דפריש מרובא פריש, אם היו רוב המוכרים עכו"ם אסור, ואם היו רוב המוכרים ישראל מותר.</w:t>
      </w:r>
    </w:p>
    <w:p w14:paraId="5DE9002E" w14:textId="622B26C0" w:rsidR="00382078" w:rsidRPr="00382078" w:rsidRDefault="001D4E81" w:rsidP="00382078">
      <w:pPr>
        <w:pStyle w:val="Style1"/>
      </w:pPr>
      <w:r>
        <w:rPr>
          <w:rFonts w:hint="cs"/>
          <w:rtl/>
        </w:rPr>
        <w:t>2)[</w:t>
      </w:r>
      <w:r>
        <w:rPr>
          <w:rtl/>
        </w:rPr>
        <w:t>שולחן ערוך יורה דעה הלכות תערובות סימן קי סעיף ג</w:t>
      </w:r>
      <w:r>
        <w:rPr>
          <w:rFonts w:hint="cs"/>
          <w:rtl/>
        </w:rPr>
        <w:t>]</w:t>
      </w:r>
      <w:r w:rsidR="00382078">
        <w:rPr>
          <w:rFonts w:hint="cs"/>
          <w:rtl/>
        </w:rPr>
        <w:t xml:space="preserve">  </w:t>
      </w:r>
      <w:r w:rsidR="00382078" w:rsidRPr="00382078">
        <w:rPr>
          <w:rtl/>
        </w:rPr>
        <w:t>ט' חנויות מוכרות בשר שחוטה ואחת מוכרת בשר נבילה לקח מאחת מהן ואין ידוע מאיזה מהן לקח הרי זה אסור שכל קבוע כמחצה על מחצה דמי אבל בשר הנמצא בשוק או ביד עובד כוכבים מותר כיון שרוב החנויות מוכרות בשר שחוטה דכל דפריש מרובא פריש זהו דין תורה אבל חכמים אסרוהו אף על פי שכל השוחטים וכל המוכרים ישראל</w:t>
      </w:r>
      <w:r w:rsidR="00382078" w:rsidRPr="00382078">
        <w:t>:</w:t>
      </w:r>
    </w:p>
    <w:p w14:paraId="4EB8C525" w14:textId="1E7BC52C" w:rsidR="00382078" w:rsidRDefault="00382078" w:rsidP="00382078">
      <w:pPr>
        <w:pStyle w:val="Style1"/>
        <w:rPr>
          <w:rtl/>
        </w:rPr>
      </w:pPr>
      <w:r w:rsidRPr="00382078">
        <w:rPr>
          <w:rFonts w:hint="cs"/>
          <w:rtl/>
        </w:rPr>
        <w:t>הגה</w:t>
      </w:r>
      <w:r w:rsidRPr="00382078">
        <w:rPr>
          <w:rFonts w:hint="cs"/>
        </w:rPr>
        <w:t>: </w:t>
      </w:r>
      <w:r w:rsidRPr="00382078">
        <w:rPr>
          <w:rFonts w:hint="cs"/>
          <w:rtl/>
        </w:rPr>
        <w:t>ועיין לעיל </w:t>
      </w:r>
      <w:hyperlink r:id="rId31" w:tooltip="שולחן ערוך יורה דעה סג" w:history="1">
        <w:r w:rsidRPr="00382078">
          <w:rPr>
            <w:rStyle w:val="Hyperlink"/>
            <w:rFonts w:hint="cs"/>
            <w:color w:val="7030A0"/>
            <w:u w:val="none"/>
            <w:rtl/>
          </w:rPr>
          <w:t>סימן ס"ג</w:t>
        </w:r>
      </w:hyperlink>
      <w:r w:rsidRPr="00382078">
        <w:rPr>
          <w:rFonts w:hint="cs"/>
        </w:rPr>
        <w:t> </w:t>
      </w:r>
      <w:r w:rsidRPr="00382078">
        <w:rPr>
          <w:rFonts w:hint="cs"/>
          <w:rtl/>
        </w:rPr>
        <w:t>והא דאמרינן כל דפריש מרובא פריש היינו שלא פירש לפנינו אבל אם פירש לפנינו או שרואה כשהעובד כוכבים לקחו הוי כאילו לקחו משם בידו </w:t>
      </w:r>
      <w:r w:rsidRPr="00382078">
        <w:rPr>
          <w:rFonts w:hint="cs"/>
        </w:rPr>
        <w:t>(</w:t>
      </w:r>
      <w:r w:rsidRPr="00382078">
        <w:rPr>
          <w:rFonts w:hint="cs"/>
          <w:rtl/>
        </w:rPr>
        <w:t>טור בשם רשב"א ותוס' פרק ג"ה דף צ"ה ור"ן שם והג"א בשם ר"י ותוס' ואגודה פ' התערובות ורא"ש בתשובה כלל כ' סימן ט"ו וסמ"ג סוף דף נ"ב וסמ"ק סימן רי"ד ושערי דורא סימן מ"ו ור' ירוחם נט"ו והמ"מ פ"ה מהל' מאכ"א בשם המפרשים</w:t>
      </w:r>
      <w:r w:rsidRPr="00382078">
        <w:rPr>
          <w:rFonts w:hint="cs"/>
        </w:rPr>
        <w:t>)</w:t>
      </w:r>
      <w:r w:rsidRPr="00382078">
        <w:t>:</w:t>
      </w:r>
    </w:p>
    <w:p w14:paraId="13FC2343" w14:textId="51243D57" w:rsidR="00996A68" w:rsidRPr="00996A68" w:rsidRDefault="00285FEC" w:rsidP="00996A68">
      <w:pPr>
        <w:pStyle w:val="Style1"/>
      </w:pPr>
      <w:r>
        <w:rPr>
          <w:rFonts w:hint="cs"/>
          <w:rtl/>
        </w:rPr>
        <w:t>3)[</w:t>
      </w:r>
      <w:r>
        <w:rPr>
          <w:rtl/>
        </w:rPr>
        <w:t>שולחן ערוך יורה דעה הלכות בשר שנתעלם מן העין סימן סג סעיף א</w:t>
      </w:r>
      <w:r>
        <w:rPr>
          <w:rFonts w:hint="cs"/>
          <w:rtl/>
        </w:rPr>
        <w:t>]</w:t>
      </w:r>
      <w:r w:rsidR="00996A68">
        <w:rPr>
          <w:rFonts w:hint="cs"/>
          <w:rtl/>
        </w:rPr>
        <w:t xml:space="preserve"> </w:t>
      </w:r>
      <w:r w:rsidR="00996A68" w:rsidRPr="00996A68">
        <w:rPr>
          <w:rtl/>
        </w:rPr>
        <w:t>בשר הנמצא מושלך בשוק, הלך אחר הרוב, דכל דפריש מרובא פריש. אם היו רוב המוכרים נכרים -- אסור. ואם היו רוב המוכרים ישראל -- מותר.    וכן בשר הנמצא ביד נכרי ולא נודע ממי לקח, אם היו מוכרי הבשר ישראל מותר. זהו דין תורה</w:t>
      </w:r>
      <w:r w:rsidR="00996A68" w:rsidRPr="00996A68">
        <w:t>.</w:t>
      </w:r>
    </w:p>
    <w:p w14:paraId="4AE16E26" w14:textId="153C3772" w:rsidR="00996A68" w:rsidRDefault="00996A68" w:rsidP="00996A68">
      <w:pPr>
        <w:pStyle w:val="Style1"/>
        <w:rPr>
          <w:rtl/>
        </w:rPr>
      </w:pPr>
      <w:r w:rsidRPr="00996A68">
        <w:rPr>
          <w:rtl/>
        </w:rPr>
        <w:t>וכבר אסרו חכמים כל הבשר הנמצא בין בשוק בין ביד נכרי אף על פי שכל המוכרים וכל השוחטים ישראל. ולא עוד אלא הלוקח בשר והניחו בביתו ונעלם מן העין -- אסור. אלא אם כן היה לו בו סימן שהיה לו בו טביעת עין והוא מכירו -- ודאי שהוא זה. או שהיה צרור וחתום</w:t>
      </w:r>
      <w:r w:rsidRPr="00996A68">
        <w:t>.</w:t>
      </w:r>
    </w:p>
    <w:p w14:paraId="4227C1B8" w14:textId="05D62994" w:rsidR="00996A68" w:rsidRDefault="00996A68" w:rsidP="00996A68">
      <w:pPr>
        <w:pStyle w:val="Style1"/>
        <w:rPr>
          <w:rtl/>
        </w:rPr>
      </w:pPr>
      <w:r>
        <w:rPr>
          <w:rFonts w:hint="cs"/>
          <w:rtl/>
        </w:rPr>
        <w:t>4)[</w:t>
      </w:r>
      <w:r>
        <w:rPr>
          <w:rtl/>
        </w:rPr>
        <w:t>רמב</w:t>
      </w:r>
      <w:r w:rsidR="0057095E">
        <w:rPr>
          <w:rtl/>
        </w:rPr>
        <w:t>”ם \טהרה\</w:t>
      </w:r>
      <w:r>
        <w:rPr>
          <w:rtl/>
        </w:rPr>
        <w:t xml:space="preserve"> הלכות שאר אבות הטומאה פרק יח הלכה ב</w:t>
      </w:r>
      <w:r>
        <w:rPr>
          <w:rFonts w:hint="cs"/>
          <w:rtl/>
        </w:rPr>
        <w:t xml:space="preserve">] </w:t>
      </w:r>
      <w:r>
        <w:rPr>
          <w:rtl/>
        </w:rPr>
        <w:t>תשעה צפרדעים ושרץ אחד ביניהן ברשות היחיד ונגע באחד מהן ואינו יודע אי זהו ספיקו טמא, ט' שרצים וצפרדע ביניהן ברשות הרבים ונגע באחד מהן ספיקו טהור, זה הכלל כל ספק ברשות הרבים טהור עד שיאמר נטמאתי בודאי, וכל ספק ברה"י טמא עד שיאמר ודאי שלא נטמאתי, לפיכך עצמות המת ועצם נבלה בר"ה, או גוש מארץ טהורה וגושים מבית הפרס או מארץ העמים ונגע באחד מהן או הסיטו ואין ידוע במה נגע מהן ובמה הסיט, כזית מן המת וכזית מן הנבילה והאהיל על אחד מהן ואין ידוע על אי זה מהן האהיל, ב' שבילין אחד טהור ואחד טמא הלך באחד מהן ואין ידוע באי זה הלך, או שנגע באדם זה בדרך ואין ידוע אם הוא טמא או טהור, או שהיו שני אנשים אחד טמא ואחד טהור ונגע באחד מהן ואין ידוע באי זה מהן נגע, בכל אלו הספיקות טהור.</w:t>
      </w:r>
    </w:p>
    <w:p w14:paraId="36EEAA9F" w14:textId="6294665A" w:rsidR="00AE32E3" w:rsidRPr="00996A68" w:rsidRDefault="00AE32E3" w:rsidP="00AE32E3">
      <w:pPr>
        <w:pStyle w:val="Style1"/>
      </w:pPr>
      <w:r>
        <w:rPr>
          <w:rFonts w:hint="cs"/>
          <w:rtl/>
        </w:rPr>
        <w:t>5)[</w:t>
      </w:r>
      <w:r>
        <w:rPr>
          <w:rtl/>
        </w:rPr>
        <w:t>רמב</w:t>
      </w:r>
      <w:r w:rsidR="0057095E">
        <w:rPr>
          <w:rtl/>
        </w:rPr>
        <w:t>”ם \נזקין\</w:t>
      </w:r>
      <w:r>
        <w:rPr>
          <w:rtl/>
        </w:rPr>
        <w:t xml:space="preserve"> הלכות רוצח ושמירת הנפש פרק ד הלכה א</w:t>
      </w:r>
      <w:r>
        <w:rPr>
          <w:rFonts w:hint="cs"/>
          <w:rtl/>
        </w:rPr>
        <w:t xml:space="preserve">] </w:t>
      </w:r>
      <w:r>
        <w:rPr>
          <w:rtl/>
        </w:rPr>
        <w:t>המתכוין להרוג את זה והרג את זה פטור ממיתת בית דין ומן התשלומין ומן הגלות, לפי שאין ערי מקלט קולטות אותו כמו שיתבאר, לפיכך הזורק אבן לתוך עדה מישראל והרג אחד מהן פטור ממיתת בית דין. /השגת הראב"ד/ המתכוון להרוג את זה והרג את זה פטור ממיתת ב"ד. א"א כר"ש הוא זה ואין הלכה כרבי שמעון.</w:t>
      </w:r>
    </w:p>
    <w:p w14:paraId="10E793E4" w14:textId="77777777" w:rsidR="00996A68" w:rsidRPr="00996A68" w:rsidRDefault="00996A68" w:rsidP="00996A68">
      <w:pPr>
        <w:pStyle w:val="Style1"/>
      </w:pPr>
    </w:p>
    <w:p w14:paraId="4E962CF7" w14:textId="77777777" w:rsidR="00F450C8" w:rsidRDefault="00F450C8">
      <w:pPr>
        <w:rPr>
          <w:rStyle w:val="Style1Char"/>
          <w:color w:val="00B050"/>
          <w:rtl/>
        </w:rPr>
      </w:pPr>
      <w:r>
        <w:rPr>
          <w:rStyle w:val="Style1Char"/>
          <w:color w:val="00B050"/>
          <w:rtl/>
        </w:rPr>
        <w:br w:type="page"/>
      </w:r>
    </w:p>
    <w:p w14:paraId="4898118A" w14:textId="1FA427D1" w:rsidR="00F450C8" w:rsidRDefault="00F450C8" w:rsidP="00F450C8">
      <w:pPr>
        <w:bidi/>
        <w:rPr>
          <w:rStyle w:val="Style1Char"/>
          <w:color w:val="00B050"/>
          <w:rtl/>
        </w:rPr>
      </w:pPr>
      <w:r w:rsidRPr="00F450C8">
        <w:rPr>
          <w:rStyle w:val="Style1Char"/>
          <w:color w:val="00B050"/>
          <w:sz w:val="22"/>
          <w:szCs w:val="22"/>
          <w:highlight w:val="yellow"/>
          <w:rtl/>
        </w:rPr>
        <w:lastRenderedPageBreak/>
        <w:t>[דף טו עמוד ב]</w:t>
      </w:r>
      <w:r w:rsidRPr="00F450C8">
        <w:rPr>
          <w:rStyle w:val="Style1Char"/>
          <w:color w:val="00B050"/>
          <w:sz w:val="22"/>
          <w:szCs w:val="22"/>
          <w:rtl/>
        </w:rPr>
        <w:t xml:space="preserve"> </w:t>
      </w:r>
      <w:r w:rsidRPr="00F450C8">
        <w:rPr>
          <w:rStyle w:val="Style1Char"/>
          <w:color w:val="00B050"/>
          <w:rtl/>
        </w:rPr>
        <w:t xml:space="preserve">מצא בה תינוק מושלך, אם רוב עובדי כוכבים - עובד כוכבי', אם רוב ישראל - ישראל, מחצה על מחצה - ישראל; ואמר רב: לא שנו אלא להחיותו, </w:t>
      </w:r>
      <w:r w:rsidR="00AE32E3" w:rsidRPr="00AE32E3">
        <w:rPr>
          <w:rFonts w:cs="Arial"/>
          <w:color w:val="7030A0"/>
          <w:sz w:val="16"/>
          <w:szCs w:val="16"/>
          <w:rtl/>
        </w:rPr>
        <w:t>(1)</w:t>
      </w:r>
      <w:r w:rsidRPr="00F450C8">
        <w:rPr>
          <w:rStyle w:val="Style1Char"/>
          <w:color w:val="00B050"/>
          <w:rtl/>
        </w:rPr>
        <w:t xml:space="preserve">אבל ליוחסין לא, ושמואל אמר: לפקח עליו את הגל! אשתמיטתיה הא דא"ר יהודה אמר רב: בקרונות של צפורי הוה מעשה. ולרב חנן בר רבא, דאמר: הוראת שעה היתה, קשיא הא! מאן דמתני הא לא מתני הא. גופא: מצא בה תינוק מושלך, אם רוב עובדי כוכבים - עובד כוכבים, אם רוב ישראל - ישראל, מחצה על מחצה - ישראל; אמר רב: לא שנו אלא להחיותו, אבל ליוחסין לא, ושמואל אמר: לפקח עליו את הגל. ומי אמר שמואל הכי? והאמר רב יוסף אמר רב יהודה אמר שמואל: אין הולכין בפיקוח נפש אחר הרוב! אלא, כי איתמר דשמואל - ארישא אתמר: אם רוב עובדי כוכבים - עובד כוכבים, אמר שמואל: </w:t>
      </w:r>
      <w:r w:rsidR="00AE32E3">
        <w:rPr>
          <w:rStyle w:val="Style1Char"/>
          <w:rFonts w:hint="cs"/>
          <w:rtl/>
        </w:rPr>
        <w:t>(2)</w:t>
      </w:r>
      <w:r w:rsidRPr="00F450C8">
        <w:rPr>
          <w:rStyle w:val="Style1Char"/>
          <w:color w:val="00B050"/>
          <w:rtl/>
        </w:rPr>
        <w:t xml:space="preserve">ולפקח עליו את הגל אינו כן. אם רוב עובדי כוכבים - עובד כוכבים. למאי הלכתא? אמר רב פפא: </w:t>
      </w:r>
      <w:r w:rsidR="00AE32E3">
        <w:rPr>
          <w:rStyle w:val="Style1Char"/>
          <w:rFonts w:hint="cs"/>
          <w:rtl/>
        </w:rPr>
        <w:t>(2)</w:t>
      </w:r>
      <w:r w:rsidRPr="00F450C8">
        <w:rPr>
          <w:rStyle w:val="Style1Char"/>
          <w:color w:val="00B050"/>
          <w:rtl/>
        </w:rPr>
        <w:t xml:space="preserve">להאכילו נבילות. אם רוב ישראל - ישראל. למאי הלכתא? אמר רב פפא: </w:t>
      </w:r>
      <w:r w:rsidR="00AE32E3">
        <w:rPr>
          <w:rStyle w:val="Style1Char"/>
          <w:rFonts w:hint="cs"/>
          <w:rtl/>
        </w:rPr>
        <w:t>(2)</w:t>
      </w:r>
      <w:r w:rsidRPr="00F450C8">
        <w:rPr>
          <w:rStyle w:val="Style1Char"/>
          <w:color w:val="00B050"/>
          <w:rtl/>
        </w:rPr>
        <w:t xml:space="preserve">להחזיר לו אבידה. מחצה על מחצה - ישראל. למאי הלכתא? אמר ריש לקיש: </w:t>
      </w:r>
      <w:r w:rsidR="00AE32E3">
        <w:rPr>
          <w:rStyle w:val="Style1Char"/>
          <w:rFonts w:hint="cs"/>
          <w:rtl/>
        </w:rPr>
        <w:t>(2)</w:t>
      </w:r>
      <w:r w:rsidRPr="00F450C8">
        <w:rPr>
          <w:rStyle w:val="Style1Char"/>
          <w:color w:val="00B050"/>
          <w:rtl/>
        </w:rPr>
        <w:t xml:space="preserve">לנזקין. ה"ד? אי נימא דנגחיה תורא דידן לתורא דידיה, לימא ליה: אייתי ראיה דישראל את ושקול! לא צריכא, דנגחיה תורא דידיה לתורא דידן, פלגא משלם, ואידך פלגא - אמר להו: אייתי ראיה דלאו ישראל אנא ואתן לכון. </w:t>
      </w:r>
    </w:p>
    <w:p w14:paraId="7798417B" w14:textId="2B20248D" w:rsidR="00E16D01" w:rsidRDefault="00E16D01" w:rsidP="00E16D01">
      <w:pPr>
        <w:pStyle w:val="Style1"/>
        <w:rPr>
          <w:rStyle w:val="Style1Char"/>
          <w:rtl/>
        </w:rPr>
      </w:pPr>
      <w:r>
        <w:rPr>
          <w:rStyle w:val="Style1Char"/>
          <w:rFonts w:hint="cs"/>
          <w:rtl/>
        </w:rPr>
        <w:t>1)[</w:t>
      </w:r>
      <w:r w:rsidRPr="00E16D01">
        <w:rPr>
          <w:rStyle w:val="Style1Char"/>
          <w:rtl/>
        </w:rPr>
        <w:t>רמב</w:t>
      </w:r>
      <w:r w:rsidR="00213DA1">
        <w:rPr>
          <w:rStyle w:val="Style1Char"/>
          <w:rtl/>
        </w:rPr>
        <w:t>”ם \קדושה\</w:t>
      </w:r>
      <w:r w:rsidRPr="00E16D01">
        <w:rPr>
          <w:rStyle w:val="Style1Char"/>
          <w:rtl/>
        </w:rPr>
        <w:t xml:space="preserve"> הלכות איסורי ביאה פרק טו הלכה כה</w:t>
      </w:r>
      <w:r>
        <w:rPr>
          <w:rStyle w:val="Style1Char"/>
          <w:rFonts w:hint="cs"/>
          <w:rtl/>
        </w:rPr>
        <w:t xml:space="preserve">] </w:t>
      </w:r>
      <w:r w:rsidRPr="00E16D01">
        <w:rPr>
          <w:rStyle w:val="Style1Char"/>
          <w:rtl/>
        </w:rPr>
        <w:t>האסופי שנמצא בעיר שיש בה עכו"ם בין שהיה רוב עכו"ם או רוב ישראל ה"ז ספק עכו"ם לענין יחוסין קידש אשה צריכה גט מספק, מי שהרגו לא היה נהרג עליו. /השגת הראב"ד/ קידש אשה וכו'. כתב הראב"ד ז"ל /א"א/ אם רוב עכו"ם ונתגייר קרוב אני להכשיר עכו"ם הוא ונתגייר עכ"ל.</w:t>
      </w:r>
    </w:p>
    <w:p w14:paraId="487BA249" w14:textId="7C7132BC" w:rsidR="00E16D01" w:rsidRDefault="00E16D01" w:rsidP="00E16D01">
      <w:pPr>
        <w:pStyle w:val="Style1"/>
        <w:rPr>
          <w:rStyle w:val="Style1Char"/>
          <w:rtl/>
        </w:rPr>
      </w:pPr>
      <w:r>
        <w:rPr>
          <w:rStyle w:val="Style1Char"/>
          <w:rFonts w:hint="cs"/>
          <w:rtl/>
        </w:rPr>
        <w:t>1)[</w:t>
      </w:r>
      <w:r w:rsidRPr="00E16D01">
        <w:rPr>
          <w:rStyle w:val="Style1Char"/>
          <w:rtl/>
        </w:rPr>
        <w:t>שולחן ערוך אבן העזר הלכות פריה ורביה סימן ד סעיף לג</w:t>
      </w:r>
      <w:r>
        <w:rPr>
          <w:rStyle w:val="Style1Char"/>
          <w:rFonts w:hint="cs"/>
          <w:rtl/>
        </w:rPr>
        <w:t xml:space="preserve">] </w:t>
      </w:r>
      <w:r w:rsidRPr="00E16D01">
        <w:rPr>
          <w:rStyle w:val="Style1Char"/>
          <w:rtl/>
        </w:rPr>
        <w:t>האסופי שנמצא בעיר שיש בה עובדי כוכבים וישראלים, בין שהיה רוב עובדי כוכבים או רוב ישראל, הרי זה ספק עובדי כוכבים לענין יוחסין. קידש אשה, צריכה גט מספק. הטבילוהו ב"ד לשם גרות, או שטבל משהגדיל, הרי הוא לענין יוחסין כשאר אסופים הנמצאים בערי ישראל, שאין הטבילה מועלת אלא להוציאו מידי עובדי כוכבים.</w:t>
      </w:r>
    </w:p>
    <w:p w14:paraId="1DB45F1E" w14:textId="72E17CD9" w:rsidR="00E16D01" w:rsidRDefault="00E16D01" w:rsidP="00E16D01">
      <w:pPr>
        <w:pStyle w:val="Style1"/>
        <w:rPr>
          <w:rStyle w:val="Style1Char"/>
          <w:rtl/>
        </w:rPr>
      </w:pPr>
      <w:r>
        <w:rPr>
          <w:rStyle w:val="Style1Char"/>
          <w:rFonts w:hint="cs"/>
          <w:rtl/>
        </w:rPr>
        <w:t>2)[</w:t>
      </w:r>
      <w:r w:rsidRPr="00E16D01">
        <w:rPr>
          <w:rStyle w:val="Style1Char"/>
          <w:rtl/>
        </w:rPr>
        <w:t>רמב</w:t>
      </w:r>
      <w:r w:rsidR="00213DA1">
        <w:rPr>
          <w:rStyle w:val="Style1Char"/>
          <w:rtl/>
        </w:rPr>
        <w:t>”ם \קדושה\</w:t>
      </w:r>
      <w:r w:rsidRPr="00E16D01">
        <w:rPr>
          <w:rStyle w:val="Style1Char"/>
          <w:rtl/>
        </w:rPr>
        <w:t xml:space="preserve"> הלכות איסורי ביאה פרק טו הלכה כו</w:t>
      </w:r>
      <w:r>
        <w:rPr>
          <w:rStyle w:val="Style1Char"/>
          <w:rFonts w:hint="cs"/>
          <w:rtl/>
        </w:rPr>
        <w:t xml:space="preserve">] </w:t>
      </w:r>
      <w:r w:rsidRPr="00E16D01">
        <w:rPr>
          <w:rStyle w:val="Style1Char"/>
          <w:rtl/>
        </w:rPr>
        <w:t>הטבילוהו בית דין לשם גרות או שטבל משהגדיל הרי הוא כשאר אסופים הנמצאים בערי ישראל, היה רוב העיר עכו"ם מותר להאכילו נבילות היה רובן ישראל מחזירין לו אבידתו כישראל  מחצה על מחצה מצוה להחיותו כישראל ומפקחין עליו את הגל בשבת והרי הוא לענין נזקין ככל ספק ממון המוציא מחבירו עליו הראיה.</w:t>
      </w:r>
    </w:p>
    <w:p w14:paraId="37DA623C" w14:textId="77777777" w:rsidR="00E16D01" w:rsidRPr="00E16D01" w:rsidRDefault="00E16D01" w:rsidP="00E16D01">
      <w:pPr>
        <w:pStyle w:val="Style1"/>
      </w:pPr>
      <w:r>
        <w:rPr>
          <w:rStyle w:val="Style1Char"/>
          <w:rFonts w:hint="cs"/>
          <w:rtl/>
        </w:rPr>
        <w:t>2)[</w:t>
      </w:r>
      <w:r w:rsidRPr="00E16D01">
        <w:rPr>
          <w:rStyle w:val="Style1Char"/>
          <w:rtl/>
        </w:rPr>
        <w:t>שולחן ערוך אבן העזר הלכות פריה ורביה סימן ד סעיף לד</w:t>
      </w:r>
      <w:r>
        <w:rPr>
          <w:rStyle w:val="Style1Char"/>
          <w:rFonts w:hint="cs"/>
          <w:rtl/>
        </w:rPr>
        <w:t xml:space="preserve">] </w:t>
      </w:r>
      <w:r w:rsidRPr="00E16D01">
        <w:rPr>
          <w:rtl/>
        </w:rPr>
        <w:t>אם לא טבל ולא הטבילוהו בית דין, היה רוב העיר עובדי כוכבים, מותר להאכילו מאכלות אסורות. היה רובן ישראל, מחזירים לו אבידתו כישראל. מחצה על מחצה, מצוה להחיותו כישראל, ומפקחין עליו את הגל בשבת, והרי הוא לענין נזקין ובכל ספק – המוציא מחבירו עליו הראייה</w:t>
      </w:r>
      <w:r w:rsidRPr="00E16D01">
        <w:t>:</w:t>
      </w:r>
    </w:p>
    <w:p w14:paraId="4FF76E7D" w14:textId="77777777" w:rsidR="00E16D01" w:rsidRPr="00E16D01" w:rsidRDefault="00E16D01" w:rsidP="00E16D01">
      <w:pPr>
        <w:pStyle w:val="Style1"/>
      </w:pPr>
      <w:r w:rsidRPr="00E16D01">
        <w:rPr>
          <w:rFonts w:hint="cs"/>
          <w:rtl/>
        </w:rPr>
        <w:t>הגה</w:t>
      </w:r>
      <w:r w:rsidRPr="00E16D01">
        <w:rPr>
          <w:rFonts w:hint="cs"/>
        </w:rPr>
        <w:t>: </w:t>
      </w:r>
      <w:r w:rsidRPr="00E16D01">
        <w:rPr>
          <w:rFonts w:hint="cs"/>
          <w:rtl/>
        </w:rPr>
        <w:t>ויש אומרים דאפילו ברוב עובדי כוכבים, מפקחים עליו הגל בשבת ואין מצווין להחיותו אלא ברוב ישראל (טור)</w:t>
      </w:r>
      <w:r w:rsidRPr="00E16D01">
        <w:t>:</w:t>
      </w:r>
    </w:p>
    <w:p w14:paraId="11AC29BC" w14:textId="62569151" w:rsidR="00E16D01" w:rsidRPr="00E16D01" w:rsidRDefault="00E16D01" w:rsidP="00E16D01">
      <w:pPr>
        <w:pStyle w:val="Style1"/>
        <w:rPr>
          <w:rStyle w:val="Style1Char"/>
        </w:rPr>
      </w:pPr>
    </w:p>
    <w:p w14:paraId="15EACAAF" w14:textId="1B1A18DB" w:rsidR="00E16D01" w:rsidRPr="00E16D01" w:rsidRDefault="00E16D01" w:rsidP="00E16D01">
      <w:pPr>
        <w:pStyle w:val="Style1"/>
        <w:rPr>
          <w:rStyle w:val="Style1Char"/>
          <w:rtl/>
        </w:rPr>
      </w:pPr>
    </w:p>
    <w:p w14:paraId="2991270A" w14:textId="539676F4" w:rsidR="008442B0" w:rsidRDefault="00F450C8" w:rsidP="00F450C8">
      <w:pPr>
        <w:bidi/>
        <w:rPr>
          <w:rStyle w:val="Style1Char"/>
          <w:color w:val="auto"/>
          <w:sz w:val="28"/>
          <w:szCs w:val="28"/>
          <w:rtl/>
        </w:rPr>
      </w:pPr>
      <w:r w:rsidRPr="00F450C8">
        <w:rPr>
          <w:rStyle w:val="Style1Char"/>
          <w:color w:val="auto"/>
          <w:sz w:val="28"/>
          <w:szCs w:val="28"/>
          <w:rtl/>
        </w:rPr>
        <w:t>הדרן עלך בתולה נשאת.</w:t>
      </w:r>
    </w:p>
    <w:p w14:paraId="15E0BC63" w14:textId="77777777" w:rsidR="00DA1858" w:rsidRPr="00115293" w:rsidRDefault="00DA1858" w:rsidP="00DA1858">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פרק </w:t>
      </w:r>
      <w:r w:rsidRPr="00887069">
        <w:rPr>
          <w:rStyle w:val="Style1Char"/>
          <w:color w:val="auto"/>
          <w:sz w:val="24"/>
          <w:szCs w:val="24"/>
          <w:rtl/>
        </w:rPr>
        <w:t>ב - האשה שנתארמלה</w:t>
      </w:r>
    </w:p>
    <w:p w14:paraId="69A7E745" w14:textId="3F59BF57" w:rsidR="00DA1858" w:rsidRDefault="00DA1858" w:rsidP="00DA1858">
      <w:pPr>
        <w:bidi/>
        <w:rPr>
          <w:rStyle w:val="Style1Char"/>
          <w:color w:val="auto"/>
          <w:sz w:val="22"/>
          <w:szCs w:val="22"/>
          <w:rtl/>
        </w:rPr>
      </w:pPr>
      <w:r w:rsidRPr="00F93F09">
        <w:rPr>
          <w:rStyle w:val="Style1Char"/>
          <w:color w:val="auto"/>
          <w:sz w:val="22"/>
          <w:szCs w:val="22"/>
          <w:rtl/>
        </w:rPr>
        <w:t xml:space="preserve">/מתני'/. האשה שנתארמלה או שנתגרשה, היא אומרת בתולה נשאתני, והוא אומר לא כי, אלא אלמנה נשאתיך, </w:t>
      </w:r>
      <w:r w:rsidR="00084F11" w:rsidRPr="00EF64BD">
        <w:rPr>
          <w:rStyle w:val="Style1Char"/>
          <w:rFonts w:hint="cs"/>
          <w:rtl/>
        </w:rPr>
        <w:t>(1)</w:t>
      </w:r>
      <w:r w:rsidRPr="00F93F09">
        <w:rPr>
          <w:rStyle w:val="Style1Char"/>
          <w:color w:val="auto"/>
          <w:sz w:val="22"/>
          <w:szCs w:val="22"/>
          <w:rtl/>
        </w:rPr>
        <w:t>אם יש עדים שיצאת בהינומא וראשה פרוע - כתובתה מאתים;</w:t>
      </w:r>
      <w:r w:rsidRPr="00514322">
        <w:rPr>
          <w:rStyle w:val="Style1Char"/>
          <w:sz w:val="22"/>
          <w:szCs w:val="22"/>
          <w:rtl/>
        </w:rPr>
        <w:t xml:space="preserve"> </w:t>
      </w:r>
      <w:r w:rsidRPr="00144055">
        <w:rPr>
          <w:rStyle w:val="Style1Char"/>
          <w:color w:val="auto"/>
          <w:sz w:val="22"/>
          <w:szCs w:val="22"/>
          <w:rtl/>
        </w:rPr>
        <w:t xml:space="preserve">רבי יוחנן בן ברוקה אומר: אף חילוק קליות ראיה. ומודה רבי יהושע, באומר לחבירו שדה זו של אביך היתה ולקחתיה הימנו - שהוא נאמן, </w:t>
      </w:r>
    </w:p>
    <w:p w14:paraId="710E4C23" w14:textId="428E9E67" w:rsidR="00643E85" w:rsidRDefault="00643E85" w:rsidP="00643E85">
      <w:pPr>
        <w:pStyle w:val="Style1"/>
        <w:rPr>
          <w:rStyle w:val="Style1Char"/>
          <w:rtl/>
        </w:rPr>
      </w:pPr>
      <w:r>
        <w:rPr>
          <w:rStyle w:val="Style1Char"/>
          <w:rFonts w:hint="cs"/>
          <w:rtl/>
        </w:rPr>
        <w:t>1)[</w:t>
      </w:r>
      <w:r w:rsidRPr="00643E85">
        <w:rPr>
          <w:rStyle w:val="Style1Char"/>
          <w:rtl/>
        </w:rPr>
        <w:t>רמב</w:t>
      </w:r>
      <w:r w:rsidR="00213DA1">
        <w:rPr>
          <w:rStyle w:val="Style1Char"/>
          <w:rtl/>
        </w:rPr>
        <w:t>”ם \נשים\</w:t>
      </w:r>
      <w:r w:rsidRPr="00643E85">
        <w:rPr>
          <w:rStyle w:val="Style1Char"/>
          <w:rtl/>
        </w:rPr>
        <w:t xml:space="preserve"> הלכות אישות פרק טז הלכה כה</w:t>
      </w:r>
      <w:r>
        <w:rPr>
          <w:rStyle w:val="Style1Char"/>
          <w:rFonts w:hint="cs"/>
          <w:rtl/>
        </w:rPr>
        <w:t xml:space="preserve">] </w:t>
      </w:r>
      <w:r w:rsidRPr="00643E85">
        <w:rPr>
          <w:rStyle w:val="Style1Char"/>
          <w:rtl/>
        </w:rPr>
        <w:t>היא אומרת בתולה נישאתי ועיקר כתובתי מאתים והבעל או יורשיו אומרים בעולה נשאת ואין לה אלא מאה, אם יש עדים שראו שעשו לה המנהגות שנהגו אנשי אותה העיר לעשותן לבתולה כגון מיני שמחה או כתרים או מלבוש ידוע או שאר דברים שאין עושין כך אלא לבתולה הרי זו נוטלת מאתים, ואם אין לה עדים בזה הרי זו נוטלת מנה, ואם היה הבעל קיים יש לה להשביעו שבועת  התורה שהרי הודה במקצת הטענה, ונאמן הקטן להעיד בגדלו ולומר זכור אני כשהייתי קטן שנעשה לפלונית מנהג הבתולות, וכל הדברים האלו במקום שאין כותבין כתובה כמו שאמרנו. /השגת הראב"ד/ ואם היה הבעל קיים יש לה להשביעו שבועת התורה שהרי הודה במקצת הטענה. א"א שבועת התורה אין כאן שהרי כפירת שיעבוד קרקעות הוא.</w:t>
      </w:r>
    </w:p>
    <w:p w14:paraId="522E4A99" w14:textId="77777777" w:rsidR="006D1385" w:rsidRPr="006D1385" w:rsidRDefault="00372A84" w:rsidP="006D1385">
      <w:pPr>
        <w:pStyle w:val="Style1"/>
      </w:pPr>
      <w:r>
        <w:rPr>
          <w:rStyle w:val="Style1Char"/>
          <w:rFonts w:hint="cs"/>
          <w:rtl/>
        </w:rPr>
        <w:t>1)[</w:t>
      </w:r>
      <w:r w:rsidRPr="00372A84">
        <w:rPr>
          <w:rStyle w:val="Style1Char"/>
          <w:rtl/>
        </w:rPr>
        <w:t>שולחן ערוך אבן העזר הלכות כתובות סימן צו סעיף טו</w:t>
      </w:r>
      <w:r>
        <w:rPr>
          <w:rStyle w:val="Style1Char"/>
          <w:rFonts w:hint="cs"/>
          <w:rtl/>
        </w:rPr>
        <w:t>]</w:t>
      </w:r>
      <w:r w:rsidR="006D1385">
        <w:rPr>
          <w:rStyle w:val="Style1Char"/>
          <w:rFonts w:hint="cs"/>
          <w:rtl/>
        </w:rPr>
        <w:t xml:space="preserve"> </w:t>
      </w:r>
      <w:r w:rsidR="006D1385" w:rsidRPr="006D1385">
        <w:rPr>
          <w:rtl/>
        </w:rPr>
        <w:t>היא אומרת: בתולה נשאתני וכתובתי מאתים, והבעל או היורשים אומרים: לא כי, אלא אלמנה, והכתובה נאבדה, או במקום שאין כותבין כתובה; אם יש עדים שעשו לה כמנהג הבתולות, כתובתה מאתים, אפלו אם אחד היה קטן כשראה העדות ועכשיו הוא גדול ויש אחר עמו, מהני. ואם אין עדים, לא תטל אלא מנה. והבעל צריך לשבע, יש מי שאומר שבועה דאוריתא, ויש מי שכתב שבועת היסת</w:t>
      </w:r>
      <w:r w:rsidR="006D1385" w:rsidRPr="006D1385">
        <w:t>.</w:t>
      </w:r>
    </w:p>
    <w:p w14:paraId="54F0B64F" w14:textId="77777777" w:rsidR="006D1385" w:rsidRPr="006D1385" w:rsidRDefault="006D1385" w:rsidP="006D1385">
      <w:pPr>
        <w:pStyle w:val="Style1"/>
      </w:pPr>
      <w:r w:rsidRPr="006D1385">
        <w:rPr>
          <w:rFonts w:hint="cs"/>
          <w:rtl/>
        </w:rPr>
        <w:t>הגה: ויש אומרים במקום שאין כותבין כתובה, שבועת היסת; במקום שכותבין, ונאבדה, שבועה דאוריתא, דהרי מצי הכל לכפר ולומר: פרעתי, ולכן מקרי מודה מקצת (המגיד משנה פרק י"ו). ועין לקמן </w:t>
      </w:r>
      <w:hyperlink r:id="rId32" w:anchor="%D7%A1%D7%A2%D7%99%D7%A3_%D7%95" w:tooltip="שולחן ערוך אבן העזר ק" w:history="1">
        <w:r w:rsidRPr="006D1385">
          <w:rPr>
            <w:rStyle w:val="Hyperlink"/>
            <w:rFonts w:hint="cs"/>
            <w:color w:val="7030A0"/>
            <w:u w:val="none"/>
            <w:rtl/>
          </w:rPr>
          <w:t>סימן ק' (סעיף ו')</w:t>
        </w:r>
      </w:hyperlink>
      <w:r w:rsidRPr="006D1385">
        <w:t>:</w:t>
      </w:r>
    </w:p>
    <w:p w14:paraId="3CC26723" w14:textId="318ECFAA" w:rsidR="00372A84" w:rsidRPr="006D1385" w:rsidRDefault="00372A84" w:rsidP="006D1385">
      <w:pPr>
        <w:pStyle w:val="Style1"/>
        <w:rPr>
          <w:rStyle w:val="Style1Char"/>
        </w:rPr>
      </w:pPr>
    </w:p>
    <w:p w14:paraId="6A98F8F1" w14:textId="33CD5D67" w:rsidR="00372A84" w:rsidRPr="00643E85" w:rsidRDefault="00372A84" w:rsidP="00372A84">
      <w:pPr>
        <w:pStyle w:val="Style1"/>
        <w:rPr>
          <w:rStyle w:val="Style1Char"/>
          <w:rtl/>
        </w:rPr>
      </w:pPr>
    </w:p>
    <w:p w14:paraId="696042F1" w14:textId="77777777" w:rsidR="00DA1858" w:rsidRPr="009C4F27" w:rsidRDefault="00DA1858" w:rsidP="00DA1858">
      <w:pPr>
        <w:bidi/>
        <w:rPr>
          <w:rStyle w:val="Style1Char"/>
          <w:color w:val="00B050"/>
          <w:rtl/>
        </w:rPr>
      </w:pPr>
    </w:p>
    <w:p w14:paraId="2CF50193" w14:textId="77777777" w:rsidR="00DA1858" w:rsidRDefault="00DA1858" w:rsidP="00DA1858">
      <w:pPr>
        <w:rPr>
          <w:rStyle w:val="Style1Char"/>
          <w:color w:val="00B050"/>
          <w:rtl/>
        </w:rPr>
      </w:pPr>
      <w:r>
        <w:rPr>
          <w:rStyle w:val="Style1Char"/>
          <w:color w:val="00B050"/>
          <w:rtl/>
        </w:rPr>
        <w:br w:type="page"/>
      </w:r>
    </w:p>
    <w:p w14:paraId="4E4A3F11" w14:textId="77777777" w:rsidR="00DA1858" w:rsidRPr="00A37802" w:rsidRDefault="00DA1858" w:rsidP="00DA1858">
      <w:pPr>
        <w:bidi/>
        <w:rPr>
          <w:rStyle w:val="Style1Char"/>
          <w:color w:val="auto"/>
          <w:sz w:val="22"/>
          <w:szCs w:val="22"/>
        </w:rPr>
      </w:pPr>
      <w:r w:rsidRPr="00A37802">
        <w:rPr>
          <w:rStyle w:val="Style1Char"/>
          <w:color w:val="auto"/>
          <w:sz w:val="22"/>
          <w:szCs w:val="22"/>
          <w:highlight w:val="yellow"/>
          <w:rtl/>
        </w:rPr>
        <w:lastRenderedPageBreak/>
        <w:t>[דף טז עמוד א]</w:t>
      </w:r>
      <w:r w:rsidRPr="00A37802">
        <w:rPr>
          <w:rStyle w:val="Style1Char"/>
          <w:color w:val="auto"/>
          <w:sz w:val="22"/>
          <w:szCs w:val="22"/>
          <w:rtl/>
        </w:rPr>
        <w:t xml:space="preserve"> שהפה שאסר הוא הפה שהתיר; ואם יש עדים שהיא של אביו, והוא אומר לקחתיה הימנו - אינו נאמן. </w:t>
      </w:r>
    </w:p>
    <w:p w14:paraId="116240C7" w14:textId="379466C6" w:rsidR="00DA1858" w:rsidRPr="0077125B" w:rsidRDefault="00DA1858" w:rsidP="00DA1858">
      <w:pPr>
        <w:bidi/>
        <w:rPr>
          <w:rStyle w:val="Style1Char"/>
          <w:color w:val="4472C4" w:themeColor="accent1"/>
        </w:rPr>
      </w:pPr>
      <w:r w:rsidRPr="00687AF0">
        <w:rPr>
          <w:rStyle w:val="Style1Char"/>
          <w:color w:val="auto"/>
          <w:sz w:val="22"/>
          <w:szCs w:val="22"/>
          <w:rtl/>
        </w:rPr>
        <w:t xml:space="preserve">גמ'. טעמא </w:t>
      </w:r>
      <w:r w:rsidR="002756AE">
        <w:rPr>
          <w:rStyle w:val="Style1Char"/>
          <w:rFonts w:hint="cs"/>
          <w:rtl/>
        </w:rPr>
        <w:t>(1)</w:t>
      </w:r>
      <w:r w:rsidRPr="00687AF0">
        <w:rPr>
          <w:rStyle w:val="Style1Char"/>
          <w:color w:val="auto"/>
          <w:sz w:val="22"/>
          <w:szCs w:val="22"/>
          <w:rtl/>
        </w:rPr>
        <w:t>דאיכא עדים, הא ליכא עדים - בעל מהימן</w:t>
      </w:r>
      <w:r w:rsidRPr="00F81556">
        <w:rPr>
          <w:rStyle w:val="Style1Char"/>
          <w:color w:val="4472C4" w:themeColor="accent1"/>
          <w:rtl/>
        </w:rPr>
        <w:t xml:space="preserve"> </w:t>
      </w:r>
      <w:r w:rsidRPr="0077125B">
        <w:rPr>
          <w:rStyle w:val="Style1Char"/>
          <w:color w:val="4472C4" w:themeColor="accent1"/>
          <w:rtl/>
        </w:rPr>
        <w:t>ואף שבועה דאורייתא לא בעי אף על פי שהיא תובעת מאתים והוא מודה לה במנה. ולא חשבינן ליה כמודה מקצת משום דהוה ליה כהודאת שיעבוד קרקעות דכתובה שיעבוד קרקע היא. ואפילו לבתר דתקינו דכתובה גובה ממטלטלי</w:t>
      </w:r>
      <w:r>
        <w:rPr>
          <w:rStyle w:val="Style1Char"/>
          <w:rFonts w:hint="cs"/>
          <w:color w:val="4472C4" w:themeColor="accent1"/>
        </w:rPr>
        <w:t>‍</w:t>
      </w:r>
      <w:r w:rsidRPr="0077125B">
        <w:rPr>
          <w:rStyle w:val="Style1Char"/>
          <w:color w:val="4472C4" w:themeColor="accent1"/>
          <w:rtl/>
        </w:rPr>
        <w:t xml:space="preserve"> לפי שאינו יכול לומר פרעתי כרבי יוחנן דאמר הטוען אחר מעשה ב"ד לא אמר כלום.</w:t>
      </w:r>
      <w:r>
        <w:rPr>
          <w:rStyle w:val="Style1Char"/>
          <w:rFonts w:hint="cs"/>
          <w:color w:val="4472C4" w:themeColor="accent1"/>
        </w:rPr>
        <w:t>‍</w:t>
      </w:r>
      <w:r w:rsidRPr="0077125B">
        <w:rPr>
          <w:rStyle w:val="Style1Char"/>
          <w:color w:val="4472C4" w:themeColor="accent1"/>
          <w:rtl/>
        </w:rPr>
        <w:t xml:space="preserve"> הלכך האי מנה דמודה ביה הוה ליה הילך כיון דאין לו טענה ליפטר הימנו ואאידך מנה הוה ליה כופר הכל ופטור משבועה. והכי איתא בירושלמי דפרקין דגרסינן סלעים דינרין ונמחקו אין פחות משנים מכאן ואילך מלוה אומר חמש ולוה אמר שלש. בן עזאי אומר הואיל והודה מקצת הטענה ישבע.</w:t>
      </w:r>
      <w:r>
        <w:rPr>
          <w:rStyle w:val="Style1Char"/>
          <w:rFonts w:hint="cs"/>
          <w:color w:val="4472C4" w:themeColor="accent1"/>
        </w:rPr>
        <w:t>‍</w:t>
      </w:r>
      <w:r w:rsidRPr="0077125B">
        <w:rPr>
          <w:rStyle w:val="Style1Char"/>
          <w:color w:val="4472C4" w:themeColor="accent1"/>
          <w:rtl/>
        </w:rPr>
        <w:t xml:space="preserve"> וחכמים אומרים אין ההודאה ממין הטענה. פי' שההודאה בקרקעות היא. נהי נמי דשטרא לית בה אלא שנים מ"מ כיון שהודה בשלישי הוי כאילו נכתב בשטר והכפירה הוי במטלטלין. ובעי עלה הא אם ההודאה ממין הטענה יהא חייב והכא כמי שההודאה ממין הטענה כלומר שהרי אין לה שטר והיא טוענת מאתים והוא אומר מנה. ופריק כ"ע מודו שהוא חייב לה מנה פירוש שאינו יכול לכפור באותו מנה שהטוען אחר מעשה ב"ד לא אמר כלום הלכך כאילו יש לה שטר על אותו מנה</w:t>
      </w:r>
      <w:r>
        <w:rPr>
          <w:rStyle w:val="Style1Char"/>
          <w:rFonts w:hint="cs"/>
          <w:color w:val="4472C4" w:themeColor="accent1"/>
          <w:rtl/>
        </w:rPr>
        <w:t xml:space="preserve"> </w:t>
      </w:r>
      <w:r w:rsidRPr="0077125B">
        <w:rPr>
          <w:rStyle w:val="Style1Char"/>
          <w:color w:val="4472C4" w:themeColor="accent1"/>
          <w:rtl/>
        </w:rPr>
        <w:t>ושעבוד קרקעות הוי והיא תובעת ממנו מאתים והמוציא מחבירו עליו הראיה. ומתני' אתיא כרבן גמליאל משום דהוי ברי וברי. ואלמנה נמי חשבינן טענת היורשין ברי כיון דטענינן ליתמי כל מה דמצי אבוהון למיטען</w:t>
      </w:r>
      <w:r w:rsidRPr="0077125B">
        <w:rPr>
          <w:rStyle w:val="Style1Char"/>
          <w:color w:val="4472C4" w:themeColor="accent1"/>
        </w:rPr>
        <w:t xml:space="preserve">: </w:t>
      </w:r>
    </w:p>
    <w:p w14:paraId="015BBE5B" w14:textId="54B057FF" w:rsidR="00DA1858" w:rsidRDefault="00DA1858" w:rsidP="00DA1858">
      <w:pPr>
        <w:bidi/>
        <w:rPr>
          <w:rStyle w:val="Style1Char"/>
          <w:color w:val="00B050"/>
          <w:rtl/>
        </w:rPr>
      </w:pPr>
      <w:r w:rsidRPr="00687AF0">
        <w:rPr>
          <w:rStyle w:val="Style1Char"/>
          <w:color w:val="auto"/>
          <w:sz w:val="22"/>
          <w:szCs w:val="22"/>
          <w:rtl/>
        </w:rPr>
        <w:t>;</w:t>
      </w:r>
      <w:r w:rsidRPr="00687AF0">
        <w:rPr>
          <w:rStyle w:val="Style1Char"/>
          <w:color w:val="auto"/>
          <w:rtl/>
        </w:rPr>
        <w:t xml:space="preserve"> </w:t>
      </w:r>
      <w:r w:rsidRPr="00887069">
        <w:rPr>
          <w:rStyle w:val="Style1Char"/>
          <w:color w:val="00B050"/>
          <w:rtl/>
        </w:rPr>
        <w:t xml:space="preserve">לימא, תנן סתמא דלא כרבן גמליאל, דאי ר"ג, הא אמר: איהי מהימנא! אפילו תימא רבן גמליאל, עד כאן לא קאמר ר"ג התם - אלא בברי ושמא, אבל הכא בברי וברי לא אמר. ודקארי לה מאי קארי לה? הא ברי וברי הוא! כיון דרוב נשים בתולות נישאות, כי ברי ושמא דמי. והכי נמי מסתברא, מדקתני: ומודה רבי יהושע, אי אמרת בשלמא איירי ר"ג במודה - שפיר, אלא אי אמרת לא איירי ר"ג במודה, רבי יהושע למאן מודה? מי סברת ר' יהושע אהאי פירקין קאי? אמגו קאי, ואפירקין קמא קאי. אהייא? אילימא אהא: היתה מעוברת, ואמרו לה מה טיבו של עובר זה? מאיש פלוני וכהן הוא, ר"ג ור"א אומרים: נאמנת, רבי יהושע אומר: לא מפיה אנו חיין, התם מאי מגו איכא? הרי כריסה בין שיניה! אלא אהא: ראוה מדברת עם אחד, ואמרו לה מה טיבו של איש זה? איש פלוני וכהן הוא, ר"ג ור"א אומרים: נאמנת, רבי יהושע אומר: לא מפיה אנו חיין, התם מאי מגו איכא? הניחא לזעירי, דאמר: מאי מדברת? נסתרה, מגו דאי בעיא אמרה לא נבעלתי וקאמרה נבעלתי - מהימנא; אלא לרב אסי, דאמר: מאי מדברת? נבעלת, מאי מגו איכא? ואלא אהא: היא אומרת מוכת עץ אני, והוא אומר לא כי, אלא דרוסת איש את, ר"ג ור"א אומרים: נאמנת, ורבי יהושע אומר: לא מפיה אנו חיין, התם מאי מגו איכא? בשלמא לרבי אלעזר, דאמר: במנה ולא כלום, מגו דאי בעיא אמרה מוכת עץ אני תחתיך ואית לה מאתים, וקאמרה מעיקרא דלית לה אלא מנה - מהימנא; אלא לר' יוחנן, דאמר: במאתים ומנה, מאי מגו איכא? אלא אהא: הנושא את האשה ולא מצא לה בתולים, היא אומרת משארסתני נאנסתי ונסתחפה שדהו, והוא אומר לא כי, אלא עד שלא אירסתיך, ר"ג ור"א אומרים: נאמנת, ור' יהושע אומר: לא מפיה אנו חיין, דמגו דאי בעיא אמרה מוכת עץ אני תחתיך דלא קא פסלה נפשה מכהונה, וקאמרה נאנסתי דקא פסלה נפשה מכהונה, משום הכי קאמר ר"ג דמהימנא; וקאמר רבי יהושע לר"ג: בהאי מגו דהכא מודינא לך, בההוא מגו דהתם פליגנא עילווך. מכדי האי מגו והאי מגו, מאי שנא האי מגו מהאי מגו? הכא אין שור שחוט לפניך, התם הרי שור שחוט לפניך. וכיון דרוב נשים בתולות נישאות, כי לא אתו עדים מאי הוי? אמר רבינא, משום דאיכא למימר: רוב נשים בתולות נישאות ומיעוט אלמנות, וכל הנשאת בתולה יש לה קול, </w:t>
      </w:r>
    </w:p>
    <w:p w14:paraId="28006166" w14:textId="1315E835" w:rsidR="009552BE" w:rsidRDefault="009552BE" w:rsidP="009552BE">
      <w:pPr>
        <w:pStyle w:val="Style1"/>
        <w:rPr>
          <w:rStyle w:val="Style1Char"/>
          <w:rtl/>
        </w:rPr>
      </w:pPr>
      <w:r>
        <w:rPr>
          <w:rStyle w:val="Style1Char"/>
          <w:rFonts w:hint="cs"/>
          <w:rtl/>
        </w:rPr>
        <w:t>1)[</w:t>
      </w:r>
      <w:r w:rsidRPr="00643E85">
        <w:rPr>
          <w:rStyle w:val="Style1Char"/>
          <w:rtl/>
        </w:rPr>
        <w:t>רמב</w:t>
      </w:r>
      <w:r w:rsidR="00213DA1">
        <w:rPr>
          <w:rStyle w:val="Style1Char"/>
          <w:rtl/>
        </w:rPr>
        <w:t>”ם \נשים\</w:t>
      </w:r>
      <w:r w:rsidRPr="00643E85">
        <w:rPr>
          <w:rStyle w:val="Style1Char"/>
          <w:rtl/>
        </w:rPr>
        <w:t xml:space="preserve"> הלכות אישות פרק טז הלכה כה</w:t>
      </w:r>
      <w:r>
        <w:rPr>
          <w:rStyle w:val="Style1Char"/>
          <w:rFonts w:hint="cs"/>
          <w:rtl/>
        </w:rPr>
        <w:t xml:space="preserve">] </w:t>
      </w:r>
      <w:r w:rsidRPr="00643E85">
        <w:rPr>
          <w:rStyle w:val="Style1Char"/>
          <w:rtl/>
        </w:rPr>
        <w:t>היא אומרת בתולה נישאתי ועיקר כתובתי מאתים והבעל או יורשיו אומרים בעולה נשאת ואין לה אלא מאה, אם יש עדים שראו שעשו לה המנהגות שנהגו אנשי אותה העיר לעשותן לבתולה כגון מיני שמחה או כתרים או מלבוש ידוע או שאר דברים שאין עושין כך אלא לבתולה הרי זו נוטלת מאתים, ואם אין לה עדים בזה הרי זו נוטלת מנה, ואם היה הבעל קיים יש לה להשביעו שבועת  התורה שהרי הודה במקצת הטענה, ונאמן הקטן להעיד בגדלו ולומר זכור אני כשהייתי קטן שנעשה לפלונית מנהג הבתולות, וכל הדברים האלו במקום שאין כותבין כתובה כמו שאמרנו. /השגת הראב"ד/ ואם היה הבעל קיים יש לה להשביעו שבועת התורה שהרי הודה במקצת הטענה. א"א שבועת התורה אין כאן שהרי כפירת שיעבוד קרקעות הוא.</w:t>
      </w:r>
    </w:p>
    <w:p w14:paraId="31A55EC5" w14:textId="77777777" w:rsidR="009552BE" w:rsidRPr="006D1385" w:rsidRDefault="009552BE" w:rsidP="009552BE">
      <w:pPr>
        <w:pStyle w:val="Style1"/>
      </w:pPr>
      <w:r>
        <w:rPr>
          <w:rStyle w:val="Style1Char"/>
          <w:rFonts w:hint="cs"/>
          <w:rtl/>
        </w:rPr>
        <w:t>1)[</w:t>
      </w:r>
      <w:r w:rsidRPr="00372A84">
        <w:rPr>
          <w:rStyle w:val="Style1Char"/>
          <w:rtl/>
        </w:rPr>
        <w:t>שולחן ערוך אבן העזר הלכות כתובות סימן צו סעיף טו</w:t>
      </w:r>
      <w:r>
        <w:rPr>
          <w:rStyle w:val="Style1Char"/>
          <w:rFonts w:hint="cs"/>
          <w:rtl/>
        </w:rPr>
        <w:t xml:space="preserve">] </w:t>
      </w:r>
      <w:r w:rsidRPr="006D1385">
        <w:rPr>
          <w:rtl/>
        </w:rPr>
        <w:t>היא אומרת: בתולה נשאתני וכתובתי מאתים, והבעל או היורשים אומרים: לא כי, אלא אלמנה, והכתובה נאבדה, או במקום שאין כותבין כתובה; אם יש עדים שעשו לה כמנהג הבתולות, כתובתה מאתים, אפלו אם אחד היה קטן כשראה העדות ועכשיו הוא גדול ויש אחר עמו, מהני. ואם אין עדים, לא תטל אלא מנה. והבעל צריך לשבע, יש מי שאומר שבועה דאוריתא, ויש מי שכתב שבועת היסת</w:t>
      </w:r>
      <w:r w:rsidRPr="006D1385">
        <w:t>.</w:t>
      </w:r>
    </w:p>
    <w:p w14:paraId="303187CE" w14:textId="77777777" w:rsidR="009552BE" w:rsidRPr="006D1385" w:rsidRDefault="009552BE" w:rsidP="009552BE">
      <w:pPr>
        <w:pStyle w:val="Style1"/>
      </w:pPr>
      <w:r w:rsidRPr="006D1385">
        <w:rPr>
          <w:rFonts w:hint="cs"/>
          <w:rtl/>
        </w:rPr>
        <w:t>הגה: ויש אומרים במקום שאין כותבין כתובה, שבועת היסת; במקום שכותבין, ונאבדה, שבועה דאוריתא, דהרי מצי הכל לכפר ולומר: פרעתי, ולכן מקרי מודה מקצת (המגיד משנה פרק י"ו). ועין לקמן </w:t>
      </w:r>
      <w:hyperlink r:id="rId33" w:anchor="%D7%A1%D7%A2%D7%99%D7%A3_%D7%95" w:tooltip="שולחן ערוך אבן העזר ק" w:history="1">
        <w:r w:rsidRPr="006D1385">
          <w:rPr>
            <w:rStyle w:val="Hyperlink"/>
            <w:rFonts w:hint="cs"/>
            <w:color w:val="7030A0"/>
            <w:u w:val="none"/>
            <w:rtl/>
          </w:rPr>
          <w:t>סימן ק' (סעיף ו')</w:t>
        </w:r>
      </w:hyperlink>
      <w:r w:rsidRPr="006D1385">
        <w:t>:</w:t>
      </w:r>
    </w:p>
    <w:p w14:paraId="0C2CA69C" w14:textId="77777777" w:rsidR="009552BE" w:rsidRPr="009552BE" w:rsidRDefault="009552BE" w:rsidP="009552BE">
      <w:pPr>
        <w:bidi/>
        <w:rPr>
          <w:rStyle w:val="Style1Char"/>
          <w:color w:val="00B050"/>
          <w:rtl/>
        </w:rPr>
      </w:pPr>
    </w:p>
    <w:p w14:paraId="37A2550B" w14:textId="77777777" w:rsidR="00DA1858" w:rsidRPr="00687AF0" w:rsidRDefault="00DA1858" w:rsidP="00DA1858">
      <w:pPr>
        <w:bidi/>
        <w:rPr>
          <w:rStyle w:val="Style1Char"/>
          <w:color w:val="00B050"/>
          <w:rtl/>
        </w:rPr>
      </w:pPr>
    </w:p>
    <w:p w14:paraId="69A5525F" w14:textId="77777777" w:rsidR="00DA1858" w:rsidRPr="00070EDF" w:rsidRDefault="00DA1858" w:rsidP="00DA1858">
      <w:pPr>
        <w:bidi/>
        <w:rPr>
          <w:rStyle w:val="Style1Char"/>
          <w:color w:val="C00000"/>
        </w:rPr>
      </w:pPr>
      <w:r w:rsidRPr="00070EDF">
        <w:rPr>
          <w:rStyle w:val="Style1Char"/>
          <w:color w:val="C00000"/>
          <w:rtl/>
        </w:rPr>
        <w:t xml:space="preserve"> </w:t>
      </w:r>
    </w:p>
    <w:p w14:paraId="065607D7" w14:textId="77777777" w:rsidR="00DA1858" w:rsidRPr="00900D08" w:rsidRDefault="00DA1858" w:rsidP="00DA1858">
      <w:pPr>
        <w:bidi/>
        <w:rPr>
          <w:rStyle w:val="Style1Char"/>
          <w:color w:val="00B050"/>
          <w:rtl/>
        </w:rPr>
      </w:pPr>
    </w:p>
    <w:p w14:paraId="2D778A37" w14:textId="77777777" w:rsidR="00DA1858" w:rsidRDefault="00DA1858" w:rsidP="00DA1858">
      <w:pPr>
        <w:rPr>
          <w:rStyle w:val="Style1Char"/>
          <w:color w:val="00B050"/>
          <w:rtl/>
        </w:rPr>
      </w:pPr>
      <w:r>
        <w:rPr>
          <w:rStyle w:val="Style1Char"/>
          <w:color w:val="00B050"/>
          <w:rtl/>
        </w:rPr>
        <w:br w:type="page"/>
      </w:r>
    </w:p>
    <w:p w14:paraId="5DFE21EA" w14:textId="77777777" w:rsidR="00DA1858" w:rsidRPr="00887069" w:rsidRDefault="00DA1858" w:rsidP="00DA1858">
      <w:pPr>
        <w:bidi/>
        <w:rPr>
          <w:rStyle w:val="Style1Char"/>
          <w:color w:val="00B050"/>
        </w:rPr>
      </w:pPr>
      <w:r w:rsidRPr="005126E9">
        <w:rPr>
          <w:rStyle w:val="Style1Char"/>
          <w:color w:val="00B050"/>
          <w:sz w:val="22"/>
          <w:szCs w:val="22"/>
          <w:highlight w:val="yellow"/>
          <w:rtl/>
        </w:rPr>
        <w:lastRenderedPageBreak/>
        <w:t>[דף טז עמוד ב]</w:t>
      </w:r>
      <w:r w:rsidRPr="005126E9">
        <w:rPr>
          <w:rStyle w:val="Style1Char"/>
          <w:color w:val="00B050"/>
          <w:sz w:val="22"/>
          <w:szCs w:val="22"/>
          <w:rtl/>
        </w:rPr>
        <w:t xml:space="preserve"> </w:t>
      </w:r>
      <w:r w:rsidRPr="00887069">
        <w:rPr>
          <w:rStyle w:val="Style1Char"/>
          <w:color w:val="00B050"/>
          <w:rtl/>
        </w:rPr>
        <w:t xml:space="preserve">וזו הואיל ואין לה קול - איתרע לה רובא. אי כל הנשאת בתולה יש לה קול, כי אתו עדים מאי הוי? הנך סהדי שקרי נינהו! אלא אמר רבינא: רוב הנשאת בתולה יש לה קול, וזו הואיל ואין לה קול - איתרע לה רובא. </w:t>
      </w:r>
    </w:p>
    <w:p w14:paraId="79680836" w14:textId="3A89614C" w:rsidR="00DA1858" w:rsidRPr="00887069" w:rsidRDefault="00DA1858" w:rsidP="00DA1858">
      <w:pPr>
        <w:bidi/>
        <w:rPr>
          <w:rStyle w:val="Style1Char"/>
          <w:color w:val="00B050"/>
        </w:rPr>
      </w:pPr>
      <w:r w:rsidRPr="00887069">
        <w:rPr>
          <w:rStyle w:val="Style1Char"/>
          <w:color w:val="00B050"/>
          <w:rtl/>
        </w:rPr>
        <w:t xml:space="preserve">אם יש עדים שיצתה בהינומא וכו'. וליחוש דלמא מפקא עדים בהאי בי דינא וגביא, והדר מפקא לה לכתובה בהאי ב"ד וגביא בה! א"ר אבהו, זאת אומרת: כותבין שובר; רב פפא אמר: </w:t>
      </w:r>
      <w:r w:rsidR="000C4A4F">
        <w:rPr>
          <w:rStyle w:val="Style1Char"/>
          <w:rFonts w:hint="cs"/>
          <w:rtl/>
        </w:rPr>
        <w:t>(1)</w:t>
      </w:r>
      <w:r w:rsidRPr="00887069">
        <w:rPr>
          <w:rStyle w:val="Style1Char"/>
          <w:color w:val="00B050"/>
          <w:rtl/>
        </w:rPr>
        <w:t xml:space="preserve">במקום שאין כותבין כתובה עסקינן. ואיכא דמתני לה אברייתא: איבדה כתובתה, הטמינה כתובתה, נשרפה כתובתה, רקדו לפניה, שחקו לפניה, העבירו לפניה כוס של בשורה או מפה של בתולים, אם יש לה עדים באחד מכל אלו - כתובתה מאתים; </w:t>
      </w:r>
      <w:r w:rsidRPr="00D40211">
        <w:rPr>
          <w:rStyle w:val="Style1Char"/>
          <w:sz w:val="22"/>
          <w:szCs w:val="22"/>
          <w:rtl/>
        </w:rPr>
        <w:t xml:space="preserve">וליחוש דלמא מפקא עדים בהאי ב"ד וגביא, </w:t>
      </w:r>
      <w:r w:rsidRPr="00887069">
        <w:rPr>
          <w:rStyle w:val="Style1Char"/>
          <w:color w:val="00B050"/>
          <w:rtl/>
        </w:rPr>
        <w:t xml:space="preserve">והדר </w:t>
      </w:r>
      <w:r w:rsidRPr="0027339D">
        <w:rPr>
          <w:rStyle w:val="Style1Char"/>
          <w:sz w:val="22"/>
          <w:szCs w:val="22"/>
          <w:rtl/>
        </w:rPr>
        <w:t xml:space="preserve">מפקא לכתובתה בהאי ב"ד וגביא </w:t>
      </w:r>
      <w:r w:rsidRPr="00887069">
        <w:rPr>
          <w:rStyle w:val="Style1Char"/>
          <w:color w:val="00B050"/>
          <w:rtl/>
        </w:rPr>
        <w:t xml:space="preserve">בה! </w:t>
      </w:r>
      <w:r w:rsidRPr="0027339D">
        <w:rPr>
          <w:rStyle w:val="Style1Char"/>
          <w:sz w:val="22"/>
          <w:szCs w:val="22"/>
          <w:rtl/>
        </w:rPr>
        <w:t xml:space="preserve">א"ר אבהו, זאת אומרת: </w:t>
      </w:r>
      <w:r w:rsidR="00BD48AC">
        <w:rPr>
          <w:rStyle w:val="Style1Char"/>
          <w:rFonts w:hint="cs"/>
          <w:rtl/>
        </w:rPr>
        <w:t>(2)</w:t>
      </w:r>
      <w:r w:rsidRPr="0027339D">
        <w:rPr>
          <w:rStyle w:val="Style1Char"/>
          <w:sz w:val="22"/>
          <w:szCs w:val="22"/>
          <w:rtl/>
        </w:rPr>
        <w:t>כותבין שובר; רב פפא אמר: במקום שאין כותבין כתובה עסקינן.</w:t>
      </w:r>
      <w:r w:rsidRPr="00887069">
        <w:rPr>
          <w:rStyle w:val="Style1Char"/>
          <w:color w:val="00B050"/>
          <w:rtl/>
        </w:rPr>
        <w:t xml:space="preserve"> והא איבדה כתובתה קתני! דכתב לה איהו. סוף סוף מפקא לה וגביא בה! מאי איבדה? איבדה באור. א"ה, היינו, נשרפה! ועוד, הטמינה מאי איכא למימר? ותו, איבדה למה לי? אלא, כל איבדה כי הטמינה בפנינו דמי, ולא יהבינן לה עד דאמרי עדים נשרפה כתובתה. מאן דמתני לה אברייתא - כל שכן אמתני', ומאן דמתני לה אמתני' - אבל אברייתא לא, כי קושיא. </w:t>
      </w:r>
    </w:p>
    <w:p w14:paraId="271009A3" w14:textId="77777777" w:rsidR="00DA1858" w:rsidRPr="00887069" w:rsidRDefault="00DA1858" w:rsidP="00DA1858">
      <w:pPr>
        <w:bidi/>
        <w:rPr>
          <w:rStyle w:val="Style1Char"/>
          <w:color w:val="00B050"/>
        </w:rPr>
      </w:pPr>
      <w:r w:rsidRPr="00887069">
        <w:rPr>
          <w:rStyle w:val="Style1Char"/>
          <w:color w:val="00B050"/>
          <w:rtl/>
        </w:rPr>
        <w:t xml:space="preserve">אם יש עדים כו'. </w:t>
      </w:r>
      <w:r w:rsidRPr="005254D9">
        <w:rPr>
          <w:rStyle w:val="Style1Char"/>
          <w:sz w:val="22"/>
          <w:szCs w:val="22"/>
          <w:rtl/>
        </w:rPr>
        <w:t xml:space="preserve">וליחוש דלמא מפקא עדי הינומא בהאי ב"ד וגביא, והדר מפקא </w:t>
      </w:r>
      <w:r w:rsidRPr="00887069">
        <w:rPr>
          <w:rStyle w:val="Style1Char"/>
          <w:color w:val="00B050"/>
          <w:rtl/>
        </w:rPr>
        <w:t xml:space="preserve">עדי הינומא </w:t>
      </w:r>
      <w:r w:rsidRPr="009D4514">
        <w:rPr>
          <w:rStyle w:val="Style1Char"/>
          <w:color w:val="C00000"/>
          <w:sz w:val="22"/>
          <w:szCs w:val="22"/>
          <w:rtl/>
        </w:rPr>
        <w:t xml:space="preserve">עדים </w:t>
      </w:r>
      <w:r w:rsidRPr="009D4514">
        <w:rPr>
          <w:rStyle w:val="Style1Char"/>
          <w:sz w:val="22"/>
          <w:szCs w:val="22"/>
          <w:rtl/>
        </w:rPr>
        <w:t xml:space="preserve">בבי דינא </w:t>
      </w:r>
      <w:r w:rsidRPr="00887069">
        <w:rPr>
          <w:rStyle w:val="Style1Char"/>
          <w:color w:val="00B050"/>
          <w:rtl/>
        </w:rPr>
        <w:t xml:space="preserve">אחרינא </w:t>
      </w:r>
      <w:r w:rsidRPr="004A06E8">
        <w:rPr>
          <w:rStyle w:val="Style1Char"/>
          <w:sz w:val="22"/>
          <w:szCs w:val="22"/>
          <w:rtl/>
        </w:rPr>
        <w:t>וגביא!</w:t>
      </w:r>
      <w:r w:rsidRPr="00887069">
        <w:rPr>
          <w:rStyle w:val="Style1Char"/>
          <w:color w:val="00B050"/>
          <w:rtl/>
        </w:rPr>
        <w:t xml:space="preserve"> במקום </w:t>
      </w:r>
      <w:r w:rsidRPr="004A06E8">
        <w:rPr>
          <w:rStyle w:val="Style1Char"/>
          <w:color w:val="C00000"/>
          <w:sz w:val="22"/>
          <w:szCs w:val="22"/>
          <w:rtl/>
        </w:rPr>
        <w:t xml:space="preserve">כיון </w:t>
      </w:r>
      <w:r w:rsidRPr="004A06E8">
        <w:rPr>
          <w:rStyle w:val="Style1Char"/>
          <w:sz w:val="22"/>
          <w:szCs w:val="22"/>
          <w:rtl/>
        </w:rPr>
        <w:t xml:space="preserve">דלא אפשר ודאי כתבינן שובר. </w:t>
      </w:r>
    </w:p>
    <w:p w14:paraId="2D4E7C2C" w14:textId="16CB55B7" w:rsidR="00DA1858" w:rsidRDefault="00DA1858" w:rsidP="00DA1858">
      <w:pPr>
        <w:bidi/>
        <w:rPr>
          <w:rStyle w:val="Style1Char"/>
          <w:color w:val="auto"/>
          <w:sz w:val="22"/>
          <w:szCs w:val="22"/>
          <w:rtl/>
        </w:rPr>
      </w:pPr>
      <w:r w:rsidRPr="00887069">
        <w:rPr>
          <w:rStyle w:val="Style1Char"/>
          <w:color w:val="00B050"/>
          <w:rtl/>
        </w:rPr>
        <w:t xml:space="preserve">העבירו לפניה כוס של בשורה. מאי כוס של בשורה? אמר רב אדא בר אהבה: כוס יין של תרומה מעבירין לפניה, כלומר: ראויה היתה זו לאכול בתרומה. מתקיף לה רב פפא: אטו אלמנה מי לא אכלה בתרומה? אלא אמר רב פפא: זו ראשית כתרומה ראשית. תניא, רבי יהודה אומר: חבית של יין מעבירין לפניה. אמר רב אדא בר אהבה: בתולה - מעבירין לפניה סתומה, בעולה - מעבירין לפניה פתוחה. אמאי? ניעבר קמי בתולה, וקמי בעולה לא ניעבר כלל! זימנין דתפסה מאתים, ואמרה: אנא בתולה הואי, והאי דלא עברו קמאי? אתנוסי הוא דאתניסו. </w:t>
      </w:r>
      <w:r w:rsidRPr="00796586">
        <w:rPr>
          <w:rStyle w:val="Style1Char"/>
          <w:color w:val="auto"/>
          <w:sz w:val="22"/>
          <w:szCs w:val="22"/>
          <w:rtl/>
        </w:rPr>
        <w:t xml:space="preserve">תנו רבנן: כיצד מרקדין לפני הכלה? בית שמאי אומרים: </w:t>
      </w:r>
    </w:p>
    <w:p w14:paraId="52A84845" w14:textId="43A68628" w:rsidR="002756AE" w:rsidRDefault="002756AE" w:rsidP="002756AE">
      <w:pPr>
        <w:pStyle w:val="Style1"/>
        <w:rPr>
          <w:rStyle w:val="Style1Char"/>
        </w:rPr>
      </w:pPr>
      <w:r>
        <w:rPr>
          <w:rStyle w:val="Style1Char"/>
          <w:rFonts w:hint="cs"/>
          <w:rtl/>
        </w:rPr>
        <w:t>1)[רמב</w:t>
      </w:r>
      <w:r w:rsidR="00213DA1">
        <w:rPr>
          <w:rStyle w:val="Style1Char"/>
          <w:rtl/>
        </w:rPr>
        <w:t>”</w:t>
      </w:r>
      <w:r w:rsidR="00213DA1">
        <w:rPr>
          <w:rStyle w:val="Style1Char"/>
          <w:rFonts w:hint="cs"/>
          <w:rtl/>
        </w:rPr>
        <w:t>ם \נשים\</w:t>
      </w:r>
      <w:r>
        <w:rPr>
          <w:rStyle w:val="Style1Char"/>
          <w:rFonts w:hint="cs"/>
          <w:rtl/>
        </w:rPr>
        <w:t xml:space="preserve"> הלכות אישות פרק טז הלכה כה] היא אומרת בתולה נישאתי ועיקר כתובתי מאתים והבעל או יורשיו אומרים בעולה נשאת ואין לה אלא מאה, אם יש עדים שראו שעשו לה המנהגות שנהגו אנשי אותה העיר לעשותן לבתולה כגון מיני שמחה או כתרים או מלבוש ידוע או שאר דברים שאין עושין כך אלא לבתולה הרי זו נוטלת מאתים, ואם אין לה עדים בזה הרי זו נוטלת מנה, ואם היה הבעל קיים יש לה להשביעו שבועת  התורה שהרי הודה במקצת הטענה, ונאמן הקטן להעיד בגדלו ולומר זכור אני כשהייתי קטן שנעשה לפלונית מנהג הבתולות, וכל הדברים האלו במקום שאין כותבין כתובה כמו שאמרנו. /השגת הראב"ד/ ואם היה הבעל קיים יש לה להשביעו שבועת התורה שהרי הודה במקצת הטענה. א"א שבועת התורה אין כאן שהרי כפירת שיעבוד קרקעות הוא.</w:t>
      </w:r>
    </w:p>
    <w:p w14:paraId="1CE94FEB" w14:textId="77777777" w:rsidR="002756AE" w:rsidRDefault="002756AE" w:rsidP="002756AE">
      <w:pPr>
        <w:pStyle w:val="Style1"/>
        <w:rPr>
          <w:rtl/>
        </w:rPr>
      </w:pPr>
      <w:r>
        <w:rPr>
          <w:rStyle w:val="Style1Char"/>
          <w:rFonts w:hint="cs"/>
          <w:rtl/>
        </w:rPr>
        <w:t xml:space="preserve">1)[שולחן ערוך אבן העזר הלכות כתובות סימן צו סעיף טו] </w:t>
      </w:r>
      <w:r>
        <w:rPr>
          <w:rtl/>
        </w:rPr>
        <w:t>היא אומרת: בתולה נשאתני וכתובתי מאתים, והבעל או היורשים אומרים: לא כי, אלא אלמנה, והכתובה נאבדה, או במקום שאין כותבין כתובה; אם יש עדים שעשו לה כמנהג הבתולות, כתובתה מאתים, אפלו אם אחד היה קטן כשראה העדות ועכשיו הוא גדול ויש אחר עמו, מהני. ואם אין עדים, לא תטל אלא מנה. והבעל צריך לשבע, יש מי שאומר שבועה דאוריתא, ויש מי שכתב שבועת היסת</w:t>
      </w:r>
      <w:r>
        <w:t>.</w:t>
      </w:r>
    </w:p>
    <w:p w14:paraId="3DAB9D79" w14:textId="633D6CA6" w:rsidR="002756AE" w:rsidRDefault="002756AE" w:rsidP="002756AE">
      <w:pPr>
        <w:pStyle w:val="Style1"/>
        <w:rPr>
          <w:rtl/>
        </w:rPr>
      </w:pPr>
      <w:r>
        <w:rPr>
          <w:rtl/>
        </w:rPr>
        <w:t>הגה: ויש אומרים במקום שאין כותבין כתובה, שבועת היסת; במקום שכותבין, ונאבדה, שבועה דאוריתא, דהרי מצי הכל לכפר ולומר: פרעתי, ולכן מקרי מודה מקצת (המגיד משנה פרק י"ו). ועין לקמן </w:t>
      </w:r>
      <w:hyperlink r:id="rId34" w:anchor="%D7%A1%D7%A2%D7%99%D7%A3_%D7%95" w:tooltip="שולחן ערוך אבן העזר ק" w:history="1">
        <w:r w:rsidRPr="00BD48AC">
          <w:rPr>
            <w:rtl/>
          </w:rPr>
          <w:t>סימן ק' (סעיף ו')</w:t>
        </w:r>
      </w:hyperlink>
      <w:r w:rsidRPr="00BD48AC">
        <w:t>:</w:t>
      </w:r>
    </w:p>
    <w:p w14:paraId="467E16AA" w14:textId="0636D151" w:rsidR="0004401D" w:rsidRDefault="0004401D" w:rsidP="0004401D">
      <w:pPr>
        <w:pStyle w:val="Style1"/>
        <w:rPr>
          <w:rtl/>
        </w:rPr>
      </w:pPr>
      <w:r>
        <w:rPr>
          <w:rFonts w:hint="cs"/>
          <w:rtl/>
        </w:rPr>
        <w:t>2)[</w:t>
      </w:r>
      <w:r>
        <w:rPr>
          <w:rtl/>
        </w:rPr>
        <w:t>רמב</w:t>
      </w:r>
      <w:r w:rsidR="0057095E">
        <w:rPr>
          <w:rtl/>
        </w:rPr>
        <w:t>”ם \משפטים\</w:t>
      </w:r>
      <w:r>
        <w:rPr>
          <w:rtl/>
        </w:rPr>
        <w:t xml:space="preserve"> הלכות מלוה ולוה פרק כג הלכה טו</w:t>
      </w:r>
      <w:r>
        <w:rPr>
          <w:rFonts w:hint="cs"/>
          <w:rtl/>
        </w:rPr>
        <w:t xml:space="preserve">] </w:t>
      </w:r>
      <w:r>
        <w:rPr>
          <w:rtl/>
        </w:rPr>
        <w:t>מי שפרע מקצת חובו אם רצה מחליף וכותבין לו ב"ד שטר אחר בשאר החוב מזמן ראשון אבל לא עדי השטר, ואם רצה יכתוב שובר.</w:t>
      </w:r>
    </w:p>
    <w:p w14:paraId="7674E946" w14:textId="6CEB5418" w:rsidR="00E4418C" w:rsidRDefault="00E4418C" w:rsidP="00E4418C">
      <w:pPr>
        <w:pStyle w:val="Style1"/>
        <w:rPr>
          <w:rtl/>
        </w:rPr>
      </w:pPr>
      <w:r>
        <w:rPr>
          <w:rFonts w:hint="cs"/>
          <w:rtl/>
        </w:rPr>
        <w:t>2)[</w:t>
      </w:r>
      <w:r>
        <w:rPr>
          <w:rtl/>
        </w:rPr>
        <w:t>רמב</w:t>
      </w:r>
      <w:r w:rsidR="0057095E">
        <w:rPr>
          <w:rtl/>
        </w:rPr>
        <w:t>”ם \משפטים\</w:t>
      </w:r>
      <w:r>
        <w:rPr>
          <w:rtl/>
        </w:rPr>
        <w:t xml:space="preserve"> הלכות מלוה ולוה פרק כג הלכה טז</w:t>
      </w:r>
      <w:r>
        <w:rPr>
          <w:rFonts w:hint="cs"/>
          <w:rtl/>
        </w:rPr>
        <w:t xml:space="preserve">] </w:t>
      </w:r>
      <w:r>
        <w:rPr>
          <w:rtl/>
        </w:rPr>
        <w:t>הבא לפרוע חובו ואמר המלוה אבד לי השטר ה"ז יכתוב לו שובר ויפרע כל חובו, ויש ללוה להחרים סתם על מי שכובש שטרו וטוען שאבד, ואם טען הלוה טענת ודאי ואמר השטר אצלו ועתה הניחו בכיסו הורו רבותי שישבע המלוה היסת שאבד השטר ואח"כ יפרע חובו ויכתוב שובר.</w:t>
      </w:r>
    </w:p>
    <w:p w14:paraId="78FE8D15" w14:textId="08BA100E" w:rsidR="00EA7E53" w:rsidRPr="00DE629B" w:rsidRDefault="00EA7E53" w:rsidP="00EA7E53">
      <w:pPr>
        <w:pStyle w:val="Style1"/>
      </w:pPr>
      <w:r>
        <w:rPr>
          <w:rFonts w:hint="cs"/>
          <w:rtl/>
        </w:rPr>
        <w:t>2)[</w:t>
      </w:r>
      <w:r>
        <w:rPr>
          <w:rtl/>
        </w:rPr>
        <w:t>שולחן ערוך חושן משפט הלכות הלואה סימן נד סעיף ב</w:t>
      </w:r>
      <w:r>
        <w:rPr>
          <w:rFonts w:hint="cs"/>
          <w:rtl/>
        </w:rPr>
        <w:t>]</w:t>
      </w:r>
      <w:r w:rsidR="00DE629B">
        <w:rPr>
          <w:rFonts w:hint="cs"/>
          <w:rtl/>
        </w:rPr>
        <w:t xml:space="preserve"> </w:t>
      </w:r>
      <w:r w:rsidR="00DE629B" w:rsidRPr="00DE629B">
        <w:rPr>
          <w:rtl/>
        </w:rPr>
        <w:t>הבא לפרוע חובו ואמר המלוה אבד לי השטר אין הלוה יכול לומר לא אפרע לך עד שתחזיר לי שטרי אלא ה"ז יכתוב לו שובר ויפרע לו כל חובו ויש ללוה להחרים סתם על מי שכובש שטרו וטוען שאבד ואם טען הלוה טענת ודאי ואמר השטר אצלו ועתה הניחו בכיסו ישבע המלוה היסת שאבד השטר ואח"כ יפרע חובו ויכתוב שובר</w:t>
      </w:r>
      <w:r w:rsidR="00DE629B" w:rsidRPr="00DE629B">
        <w:t>:</w:t>
      </w:r>
    </w:p>
    <w:p w14:paraId="3743ADCF" w14:textId="75FF68D0" w:rsidR="00EA7E53" w:rsidRPr="00BD48AC" w:rsidRDefault="00EA7E53" w:rsidP="00EA7E53">
      <w:pPr>
        <w:pStyle w:val="Style1"/>
      </w:pPr>
    </w:p>
    <w:p w14:paraId="11A3FA4A" w14:textId="77777777" w:rsidR="002756AE" w:rsidRPr="002756AE" w:rsidRDefault="002756AE" w:rsidP="002756AE">
      <w:pPr>
        <w:bidi/>
        <w:rPr>
          <w:rStyle w:val="Style1Char"/>
          <w:color w:val="auto"/>
          <w:sz w:val="22"/>
          <w:szCs w:val="22"/>
          <w:rtl/>
        </w:rPr>
      </w:pPr>
    </w:p>
    <w:p w14:paraId="36FE622D" w14:textId="77777777" w:rsidR="00DA1858" w:rsidRPr="00EF647F" w:rsidRDefault="00DA1858" w:rsidP="00DA1858">
      <w:pPr>
        <w:bidi/>
        <w:rPr>
          <w:rStyle w:val="Style1Char"/>
          <w:color w:val="00B050"/>
          <w:rtl/>
        </w:rPr>
      </w:pPr>
    </w:p>
    <w:p w14:paraId="5809290B" w14:textId="77777777" w:rsidR="00DA1858" w:rsidRDefault="00DA1858" w:rsidP="00DA1858">
      <w:pPr>
        <w:rPr>
          <w:rStyle w:val="Style1Char"/>
          <w:color w:val="00B050"/>
          <w:rtl/>
        </w:rPr>
      </w:pPr>
      <w:r>
        <w:rPr>
          <w:rStyle w:val="Style1Char"/>
          <w:color w:val="00B050"/>
          <w:rtl/>
        </w:rPr>
        <w:br w:type="page"/>
      </w:r>
    </w:p>
    <w:p w14:paraId="72787CE2" w14:textId="67B7EFEA" w:rsidR="00DA1858" w:rsidRDefault="00DA1858" w:rsidP="00DA1858">
      <w:pPr>
        <w:bidi/>
        <w:rPr>
          <w:rStyle w:val="Style1Char"/>
          <w:sz w:val="22"/>
          <w:szCs w:val="22"/>
          <w:rtl/>
        </w:rPr>
      </w:pPr>
      <w:r w:rsidRPr="00796586">
        <w:rPr>
          <w:rStyle w:val="Style1Char"/>
          <w:color w:val="auto"/>
          <w:sz w:val="22"/>
          <w:szCs w:val="22"/>
          <w:highlight w:val="yellow"/>
          <w:rtl/>
        </w:rPr>
        <w:lastRenderedPageBreak/>
        <w:t>[דף יז עמוד א]</w:t>
      </w:r>
      <w:r w:rsidRPr="00796586">
        <w:rPr>
          <w:rStyle w:val="Style1Char"/>
          <w:color w:val="auto"/>
          <w:sz w:val="22"/>
          <w:szCs w:val="22"/>
          <w:rtl/>
        </w:rPr>
        <w:t xml:space="preserve"> כלה כמות שהיא, ובית הלל אומרים: </w:t>
      </w:r>
      <w:r w:rsidR="00027399">
        <w:rPr>
          <w:rStyle w:val="Style1Char"/>
          <w:rFonts w:hint="cs"/>
          <w:rtl/>
        </w:rPr>
        <w:t>(1)</w:t>
      </w:r>
      <w:r w:rsidRPr="00796586">
        <w:rPr>
          <w:rStyle w:val="Style1Char"/>
          <w:color w:val="auto"/>
          <w:sz w:val="22"/>
          <w:szCs w:val="22"/>
          <w:rtl/>
        </w:rPr>
        <w:t>כלה נאה וחסודה. אמרו להן ב"ש</w:t>
      </w:r>
      <w:r w:rsidRPr="00796586">
        <w:rPr>
          <w:rStyle w:val="Style1Char"/>
          <w:color w:val="auto"/>
          <w:rtl/>
        </w:rPr>
        <w:t xml:space="preserve"> </w:t>
      </w:r>
      <w:r w:rsidRPr="00887069">
        <w:rPr>
          <w:rStyle w:val="Style1Char"/>
          <w:color w:val="00B050"/>
          <w:rtl/>
        </w:rPr>
        <w:t>לב"ה</w:t>
      </w:r>
      <w:r w:rsidRPr="004E33C9">
        <w:rPr>
          <w:rStyle w:val="Style1Char"/>
          <w:color w:val="C00000"/>
          <w:rtl/>
        </w:rPr>
        <w:t xml:space="preserve"> </w:t>
      </w:r>
      <w:r w:rsidRPr="00796586">
        <w:rPr>
          <w:rStyle w:val="Style1Char"/>
          <w:color w:val="806000" w:themeColor="accent4" w:themeShade="80"/>
          <w:sz w:val="22"/>
          <w:szCs w:val="22"/>
          <w:rtl/>
        </w:rPr>
        <w:t>לדבריכם</w:t>
      </w:r>
      <w:r w:rsidRPr="00887069">
        <w:rPr>
          <w:rStyle w:val="Style1Char"/>
          <w:color w:val="00B050"/>
          <w:rtl/>
        </w:rPr>
        <w:t xml:space="preserve">: </w:t>
      </w:r>
      <w:r w:rsidRPr="00796586">
        <w:rPr>
          <w:rStyle w:val="Style1Char"/>
          <w:color w:val="auto"/>
          <w:sz w:val="22"/>
          <w:szCs w:val="22"/>
          <w:rtl/>
        </w:rPr>
        <w:t>הרי שהיתה חיגרת או סומא, אומרי' לה, כלה נאה וחסודה? והתורה אמרה: מדבר שקר תרחק! אמרו להם ב"ה</w:t>
      </w:r>
      <w:r w:rsidRPr="00796586">
        <w:rPr>
          <w:rStyle w:val="Style1Char"/>
          <w:color w:val="auto"/>
          <w:rtl/>
        </w:rPr>
        <w:t xml:space="preserve"> </w:t>
      </w:r>
      <w:r w:rsidRPr="00887069">
        <w:rPr>
          <w:rStyle w:val="Style1Char"/>
          <w:color w:val="00B050"/>
          <w:rtl/>
        </w:rPr>
        <w:t xml:space="preserve">לב"ש: לדבריכם, </w:t>
      </w:r>
      <w:r w:rsidRPr="00796586">
        <w:rPr>
          <w:rStyle w:val="Style1Char"/>
          <w:color w:val="auto"/>
          <w:sz w:val="22"/>
          <w:szCs w:val="22"/>
          <w:rtl/>
        </w:rPr>
        <w:t xml:space="preserve">מי שלקח מקח רע מן השוק, ישבחנו בעיניו או יגננו בעיניו? הוי אומר: ישבחנו בעיניו, מכאן אמרו חכמים: </w:t>
      </w:r>
      <w:r w:rsidR="00CF7546">
        <w:rPr>
          <w:rStyle w:val="Style1Char"/>
          <w:rFonts w:hint="cs"/>
          <w:rtl/>
        </w:rPr>
        <w:t>(2)</w:t>
      </w:r>
      <w:r w:rsidRPr="00796586">
        <w:rPr>
          <w:rStyle w:val="Style1Char"/>
          <w:color w:val="auto"/>
          <w:sz w:val="22"/>
          <w:szCs w:val="22"/>
          <w:rtl/>
        </w:rPr>
        <w:t xml:space="preserve">לעולם תהא דעתו של אדם מעורבת עם הבריות. </w:t>
      </w:r>
    </w:p>
    <w:p w14:paraId="135BEDE7" w14:textId="4EF68B8A" w:rsidR="00DA1858" w:rsidRDefault="00DA1858" w:rsidP="00DA1858">
      <w:pPr>
        <w:bidi/>
        <w:rPr>
          <w:rStyle w:val="Style1Char"/>
          <w:color w:val="4472C4" w:themeColor="accent1"/>
        </w:rPr>
      </w:pPr>
      <w:r w:rsidRPr="00887069">
        <w:rPr>
          <w:rStyle w:val="Style1Char"/>
          <w:color w:val="00B050"/>
          <w:rtl/>
        </w:rPr>
        <w:t xml:space="preserve">כי אתא רב דימי אמר, הכי משרו קמי כלתא במערבא: לא כחל ולא שרק ולא פירכוס ויעלת חן. כי סמכו רבנן לרבי זירא, שרו ליה הכי: לא כחל ולא שרק ולא פירכוס ויעלת חן. כי סמכו רבנן לרבי אמי ולרבי אסי, שרו להו הכי: כל מן דין וכל מן דין סמוכו לנא, לא תסמכו לנא לא מן סרמיסין ולא מן סרמיטין, ואמרי לה: לא מן חמיסין ולא מן טורמיסין. ר' אבהו כי הוה אתי ממתיבתא לבי קיסר, נפקן אמהתא דבי קיסר לאפיה ומשרין ליה הכי: רבא דעמיה ומדברנא דאומתיה, בוצינא דנהורא, בריך מתייך לשלם. </w:t>
      </w:r>
      <w:r w:rsidRPr="00796586">
        <w:rPr>
          <w:rStyle w:val="Style1Char"/>
          <w:color w:val="ED7D31" w:themeColor="accent2"/>
          <w:sz w:val="22"/>
          <w:szCs w:val="22"/>
          <w:rtl/>
        </w:rPr>
        <w:t xml:space="preserve">אמרו עליו על רבי יהודה בר אילעאי, שהיה נוטל בד של הדס ומרקד לפני הכלה, ואומר: כלה נאה וחסודה. </w:t>
      </w:r>
      <w:r w:rsidRPr="00887069">
        <w:rPr>
          <w:rStyle w:val="Style1Char"/>
          <w:color w:val="00B050"/>
          <w:rtl/>
        </w:rPr>
        <w:t xml:space="preserve">רב שמואל בר רב יצחק מרקד אתלת, א"ר זירא: קא מכסיף לן סבא! כי נח נפשיה, איפסיק עמודא דנורא בין דידיה לכולי עלמא; וגמירי, דלא אפסיק עמודא דנורא אלא אי לחד בדרא אי לתרי בדרא. א"ר זירא: אהנייה ליה שוטיתיה לסבא, ואמרי לה: שטותיה לסבא, ואמרי לה: שיטתיה לסבא. רב אחא מרכיב לה אכתפיה ומרקד, אמרי ליה רבנן: אנן מהו למיעבד הכי? אמר להו: אי דמיין עלייכו ככשורא - לחיי, ואי לא - לא. </w:t>
      </w:r>
      <w:r w:rsidRPr="0008270A">
        <w:rPr>
          <w:rStyle w:val="Style1Char"/>
          <w:color w:val="auto"/>
          <w:sz w:val="22"/>
          <w:szCs w:val="22"/>
          <w:rtl/>
        </w:rPr>
        <w:t xml:space="preserve">א"ר שמואל בר נחמני א"ר יונתן: מותר להסתכל בפני כלה כל שבעה, כדי לחבבה על בעלה. </w:t>
      </w:r>
      <w:r w:rsidR="00111A7E">
        <w:rPr>
          <w:rStyle w:val="Style1Char"/>
          <w:rFonts w:hint="cs"/>
          <w:rtl/>
        </w:rPr>
        <w:t>(3)</w:t>
      </w:r>
      <w:r w:rsidRPr="0008270A">
        <w:rPr>
          <w:rStyle w:val="Style1Char"/>
          <w:color w:val="auto"/>
          <w:sz w:val="22"/>
          <w:szCs w:val="22"/>
          <w:rtl/>
        </w:rPr>
        <w:t>ולית הלכתא כוותיה</w:t>
      </w:r>
      <w:r>
        <w:rPr>
          <w:rStyle w:val="Style1Char"/>
          <w:rFonts w:hint="cs"/>
          <w:color w:val="auto"/>
          <w:sz w:val="22"/>
          <w:szCs w:val="22"/>
          <w:rtl/>
        </w:rPr>
        <w:t xml:space="preserve"> </w:t>
      </w:r>
      <w:r w:rsidRPr="00077D59">
        <w:rPr>
          <w:rStyle w:val="Style1Char"/>
          <w:rFonts w:hint="cs"/>
          <w:color w:val="4472C4" w:themeColor="accent1"/>
          <w:rtl/>
        </w:rPr>
        <w:t>י</w:t>
      </w:r>
      <w:r w:rsidRPr="0077125B">
        <w:rPr>
          <w:rStyle w:val="Style1Char"/>
          <w:color w:val="4472C4" w:themeColor="accent1"/>
          <w:rtl/>
        </w:rPr>
        <w:t>"א דכל שבעה אסור אבל יום ראשון שהוא עיקר החיבוב אצל בעלה מותר. דאל"כ מי יעיד שיצתה בהינומא וראשה פרוע. וליתא דאפילו שעה אחת אסור להסתכל אלא כיון שרואין ההינומא שעשו ואומרים זו היא של כלה פלונית היינו עדות. אי נמי ראיית ההינומא כשהיא עליה או פריעת הראש אין זו הסתכלות בפניה</w:t>
      </w:r>
      <w:r w:rsidRPr="0077125B">
        <w:rPr>
          <w:rStyle w:val="Style1Char"/>
          <w:color w:val="4472C4" w:themeColor="accent1"/>
        </w:rPr>
        <w:t>:</w:t>
      </w:r>
      <w:r w:rsidRPr="0008270A">
        <w:rPr>
          <w:rStyle w:val="Style1Char"/>
          <w:color w:val="auto"/>
          <w:sz w:val="22"/>
          <w:szCs w:val="22"/>
          <w:rtl/>
        </w:rPr>
        <w:t xml:space="preserve">. </w:t>
      </w:r>
      <w:r w:rsidRPr="00721150">
        <w:rPr>
          <w:rStyle w:val="Style1Char"/>
          <w:color w:val="auto"/>
          <w:sz w:val="22"/>
          <w:szCs w:val="22"/>
          <w:rtl/>
        </w:rPr>
        <w:t xml:space="preserve">ת"ר: </w:t>
      </w:r>
      <w:r w:rsidR="00AE27C2">
        <w:rPr>
          <w:rStyle w:val="Style1Char"/>
          <w:rFonts w:hint="cs"/>
          <w:rtl/>
        </w:rPr>
        <w:t>(4)</w:t>
      </w:r>
      <w:r w:rsidRPr="00721150">
        <w:rPr>
          <w:rStyle w:val="Style1Char"/>
          <w:color w:val="auto"/>
          <w:sz w:val="22"/>
          <w:szCs w:val="22"/>
          <w:rtl/>
        </w:rPr>
        <w:t xml:space="preserve">מעבירין את המת מלפני כלה, </w:t>
      </w:r>
      <w:r w:rsidR="00C51B2A">
        <w:rPr>
          <w:rStyle w:val="Style1Char"/>
          <w:rFonts w:hint="cs"/>
          <w:rtl/>
        </w:rPr>
        <w:t>(4.1)</w:t>
      </w:r>
      <w:r w:rsidRPr="00721150">
        <w:rPr>
          <w:rStyle w:val="Style1Char"/>
          <w:color w:val="auto"/>
          <w:sz w:val="22"/>
          <w:szCs w:val="22"/>
          <w:rtl/>
        </w:rPr>
        <w:t xml:space="preserve">וזה וזה מלפני מלך ישראל. אמרו </w:t>
      </w:r>
      <w:r w:rsidRPr="00721150">
        <w:rPr>
          <w:rStyle w:val="Style1Char"/>
          <w:color w:val="ED7D31" w:themeColor="accent2"/>
          <w:sz w:val="22"/>
          <w:szCs w:val="22"/>
          <w:rtl/>
        </w:rPr>
        <w:t xml:space="preserve">עליו </w:t>
      </w:r>
      <w:r w:rsidRPr="00721150">
        <w:rPr>
          <w:rStyle w:val="Style1Char"/>
          <w:color w:val="auto"/>
          <w:sz w:val="22"/>
          <w:szCs w:val="22"/>
          <w:rtl/>
        </w:rPr>
        <w:t>על אגריפס המלך שעבר מלפני כלה, ושבחוהו חכמים</w:t>
      </w:r>
      <w:r w:rsidRPr="00E31A53">
        <w:rPr>
          <w:rStyle w:val="Style1Char"/>
          <w:sz w:val="22"/>
          <w:szCs w:val="22"/>
          <w:rtl/>
        </w:rPr>
        <w:t xml:space="preserve">. שבחוהו, </w:t>
      </w:r>
      <w:r w:rsidRPr="00585F4B">
        <w:rPr>
          <w:rStyle w:val="Style1Char"/>
          <w:color w:val="auto"/>
          <w:sz w:val="22"/>
          <w:szCs w:val="22"/>
          <w:rtl/>
        </w:rPr>
        <w:t xml:space="preserve">מכלל דשפיר עבד, והא א"ר אשי: אפילו למ"ד </w:t>
      </w:r>
      <w:r w:rsidR="00D81C74">
        <w:rPr>
          <w:rStyle w:val="Style1Char"/>
          <w:rFonts w:hint="cs"/>
          <w:rtl/>
        </w:rPr>
        <w:t>(5)</w:t>
      </w:r>
      <w:r w:rsidRPr="00585F4B">
        <w:rPr>
          <w:rStyle w:val="Style1Char"/>
          <w:color w:val="auto"/>
          <w:sz w:val="22"/>
          <w:szCs w:val="22"/>
          <w:rtl/>
        </w:rPr>
        <w:t xml:space="preserve">נשיא שמחל על כבודו - כבודו מחול, </w:t>
      </w:r>
      <w:r w:rsidR="00D81C74">
        <w:rPr>
          <w:rStyle w:val="Style1Char"/>
          <w:rFonts w:hint="cs"/>
          <w:rtl/>
        </w:rPr>
        <w:t>(6)</w:t>
      </w:r>
      <w:r w:rsidRPr="00585F4B">
        <w:rPr>
          <w:rStyle w:val="Style1Char"/>
          <w:color w:val="auto"/>
          <w:sz w:val="22"/>
          <w:szCs w:val="22"/>
          <w:rtl/>
        </w:rPr>
        <w:t>מלך שמחל על כבודו - אין כבודו מחול</w:t>
      </w:r>
      <w:r w:rsidRPr="00887069">
        <w:rPr>
          <w:rStyle w:val="Style1Char"/>
          <w:color w:val="00B050"/>
          <w:rtl/>
        </w:rPr>
        <w:t>, דאמר מר</w:t>
      </w:r>
      <w:r w:rsidRPr="00E31A53">
        <w:rPr>
          <w:rStyle w:val="Style1Char"/>
          <w:color w:val="C00000"/>
          <w:rtl/>
        </w:rPr>
        <w:t xml:space="preserve"> </w:t>
      </w:r>
      <w:r w:rsidRPr="00E31A53">
        <w:rPr>
          <w:rStyle w:val="Style1Char"/>
          <w:color w:val="C00000"/>
          <w:sz w:val="22"/>
          <w:szCs w:val="22"/>
          <w:rtl/>
        </w:rPr>
        <w:t>שנאמר</w:t>
      </w:r>
      <w:r w:rsidRPr="00887069">
        <w:rPr>
          <w:rStyle w:val="Style1Char"/>
          <w:color w:val="00B050"/>
          <w:rtl/>
        </w:rPr>
        <w:t xml:space="preserve">: </w:t>
      </w:r>
      <w:r w:rsidRPr="00E31A53">
        <w:rPr>
          <w:rStyle w:val="Style1Char"/>
          <w:sz w:val="22"/>
          <w:szCs w:val="22"/>
          <w:rtl/>
        </w:rPr>
        <w:t xml:space="preserve">שום תשים עליך מלך - שתהא אימתו עליך! </w:t>
      </w:r>
      <w:r w:rsidRPr="00585F4B">
        <w:rPr>
          <w:rStyle w:val="Style1Char"/>
          <w:color w:val="auto"/>
          <w:sz w:val="22"/>
          <w:szCs w:val="22"/>
          <w:rtl/>
        </w:rPr>
        <w:t>פרשת דרכים הואי</w:t>
      </w:r>
      <w:r w:rsidRPr="00E31A53">
        <w:rPr>
          <w:rStyle w:val="Style1Char"/>
          <w:sz w:val="22"/>
          <w:szCs w:val="22"/>
          <w:rtl/>
        </w:rPr>
        <w:t xml:space="preserve">. </w:t>
      </w:r>
      <w:r w:rsidRPr="00C9536A">
        <w:rPr>
          <w:rStyle w:val="Style1Char"/>
          <w:color w:val="auto"/>
          <w:sz w:val="22"/>
          <w:szCs w:val="22"/>
          <w:rtl/>
        </w:rPr>
        <w:t xml:space="preserve">תנו רבנן: </w:t>
      </w:r>
      <w:r w:rsidR="00D81C74">
        <w:rPr>
          <w:rStyle w:val="Style1Char"/>
          <w:rFonts w:hint="cs"/>
          <w:rtl/>
        </w:rPr>
        <w:t>(7)</w:t>
      </w:r>
      <w:r w:rsidRPr="00C9536A">
        <w:rPr>
          <w:rStyle w:val="Style1Char"/>
          <w:color w:val="auto"/>
          <w:sz w:val="22"/>
          <w:szCs w:val="22"/>
          <w:rtl/>
        </w:rPr>
        <w:t xml:space="preserve">מבטלין תלמוד תורה להוצאת המת ולהכנסת כלה. אמרו עליו על רבי יהודה ברבי אלעאי, שהיה מבטל תלמוד תורה להוצאת המת ולהכנסת כלה; במה דברים אמורים - </w:t>
      </w:r>
      <w:r w:rsidR="000001F9">
        <w:rPr>
          <w:rStyle w:val="Style1Char"/>
          <w:rFonts w:hint="cs"/>
          <w:rtl/>
        </w:rPr>
        <w:t>(7)</w:t>
      </w:r>
      <w:r w:rsidRPr="00C9536A">
        <w:rPr>
          <w:rStyle w:val="Style1Char"/>
          <w:color w:val="auto"/>
          <w:sz w:val="22"/>
          <w:szCs w:val="22"/>
          <w:rtl/>
        </w:rPr>
        <w:t>כשאין עמו כל צרכו, אבל יש עמו כל צרכו - אין מבטלין</w:t>
      </w:r>
      <w:r w:rsidRPr="00455170">
        <w:rPr>
          <w:rStyle w:val="Style1Char"/>
          <w:color w:val="4472C4" w:themeColor="accent1"/>
          <w:rtl/>
        </w:rPr>
        <w:t xml:space="preserve"> </w:t>
      </w:r>
      <w:r w:rsidRPr="0077125B">
        <w:rPr>
          <w:rStyle w:val="Style1Char"/>
          <w:color w:val="4472C4" w:themeColor="accent1"/>
          <w:rtl/>
        </w:rPr>
        <w:t>האי דקאמר מבטלין בכל מתים איירי ואף דאמרינן בפ"ק דמגילה (דף ג ב) מת מצוה ותלמוד תורה מת מצוה עדיף כדתניא מבטלין וכו' האי דנקט התם מת מצוה אגב מילי אחריני דאיירי בהו התם דנהיגי דווקא במת מצוה. והא דאמרינן בפ' ואלו מגלחין (דף כז ב) מת בעיר כל בני העיר אסורין במלאכה ומוקי לה בדליכא חבורתא אבל איכא חבורתא שנתחלקו בני העיר לחבורות שתתעסק כל חבורה וחבורה במת שלה בפני עצמה אז</w:t>
      </w:r>
      <w:r>
        <w:rPr>
          <w:rStyle w:val="Style1Char"/>
          <w:rFonts w:hint="cs"/>
          <w:color w:val="4472C4" w:themeColor="accent1"/>
        </w:rPr>
        <w:t>‍</w:t>
      </w:r>
      <w:r w:rsidRPr="0077125B">
        <w:rPr>
          <w:rStyle w:val="Style1Char"/>
          <w:color w:val="4472C4" w:themeColor="accent1"/>
          <w:rtl/>
        </w:rPr>
        <w:t xml:space="preserve"> אין חבורות אחרות צריכות להתבטל ממלאכתן היינו שלא בשעת הוצאת המת אבל בשעת הוצאת המת</w:t>
      </w:r>
      <w:r>
        <w:rPr>
          <w:rStyle w:val="Style1Char"/>
          <w:rFonts w:hint="cs"/>
          <w:color w:val="4472C4" w:themeColor="accent1"/>
        </w:rPr>
        <w:t>‍</w:t>
      </w:r>
      <w:r w:rsidRPr="0077125B">
        <w:rPr>
          <w:rStyle w:val="Style1Char"/>
          <w:color w:val="4472C4" w:themeColor="accent1"/>
          <w:rtl/>
        </w:rPr>
        <w:t xml:space="preserve"> כולן צריכין לבוא. יש מפרשים הא דקאמר מבטלין תלמוד תורה כלומר רשאין לבטל. ומביאין סעד לדבריהם מההיא דמגילה דמשמע דוקא מת מצוה עדיף מתלמוד תורה אבל מת אחר לא ואין חובה לבטל אבל רשאי לבטל. והא דמייתי ראיה על מת מצוה מהא דתניא מבטלין תלמוד תורה הכי פירושא מת מצוה עדיף וחייב לבטל מהא דתניא דרשאי לבטל בשאר מתים ממילא שמעינן דמת שאין לו קוברין עדיף מתלמוד תורה וחייב. ועוד מביאין ראיה מהא דתניא דאמרו עליו על רבי יהודה בן אלעאי שהיה מבטל תלמוד תורה להוצאת המת</w:t>
      </w:r>
      <w:r>
        <w:rPr>
          <w:rStyle w:val="Style1Char"/>
          <w:rFonts w:hint="cs"/>
          <w:color w:val="4472C4" w:themeColor="accent1"/>
        </w:rPr>
        <w:t>‍</w:t>
      </w:r>
      <w:r w:rsidRPr="0077125B">
        <w:rPr>
          <w:rStyle w:val="Style1Char"/>
          <w:color w:val="4472C4" w:themeColor="accent1"/>
          <w:rtl/>
        </w:rPr>
        <w:t xml:space="preserve"> ואי כל אדם חייב לבטל ת"ת מאי רבותיה דר' יהודה בן אלעאי. אלא ודאי כל אדם רשאי ואמרו עליו על ר' יהודה בן אלעאי שהיה מנהיג עצמו כחיוב ומבטל תמיד.</w:t>
      </w:r>
      <w:r>
        <w:rPr>
          <w:rStyle w:val="Style1Char"/>
          <w:rFonts w:hint="cs"/>
          <w:color w:val="4472C4" w:themeColor="accent1"/>
        </w:rPr>
        <w:t>‍</w:t>
      </w:r>
      <w:r w:rsidRPr="0077125B">
        <w:rPr>
          <w:rStyle w:val="Style1Char"/>
          <w:color w:val="4472C4" w:themeColor="accent1"/>
          <w:rtl/>
        </w:rPr>
        <w:t xml:space="preserve"> ועוד מביאין ראיה מן הירושלמי דגרס פ' בתרא דכלאים אין מדקדקין לא במת ולא בכלאים בבית המדרש. רבי יוסי הוה יתיב ומתני</w:t>
      </w:r>
      <w:r>
        <w:rPr>
          <w:rStyle w:val="Style1Char"/>
          <w:rFonts w:hint="cs"/>
          <w:color w:val="4472C4" w:themeColor="accent1"/>
        </w:rPr>
        <w:t>‍</w:t>
      </w:r>
      <w:r w:rsidRPr="0077125B">
        <w:rPr>
          <w:rStyle w:val="Style1Char"/>
          <w:color w:val="4472C4" w:themeColor="accent1"/>
          <w:rtl/>
        </w:rPr>
        <w:t xml:space="preserve"> והוי תמן מיתא</w:t>
      </w:r>
      <w:r>
        <w:rPr>
          <w:rStyle w:val="Style1Char"/>
          <w:rFonts w:hint="cs"/>
          <w:color w:val="4472C4" w:themeColor="accent1"/>
        </w:rPr>
        <w:t>‍</w:t>
      </w:r>
      <w:r w:rsidRPr="0077125B">
        <w:rPr>
          <w:rStyle w:val="Style1Char"/>
          <w:color w:val="4472C4" w:themeColor="accent1"/>
          <w:rtl/>
        </w:rPr>
        <w:t xml:space="preserve"> מאן דנפק לא אמרו ליה כלום</w:t>
      </w:r>
      <w:r>
        <w:rPr>
          <w:rStyle w:val="Style1Char"/>
          <w:rFonts w:hint="cs"/>
          <w:color w:val="4472C4" w:themeColor="accent1"/>
        </w:rPr>
        <w:t>‍</w:t>
      </w:r>
      <w:r w:rsidRPr="0077125B">
        <w:rPr>
          <w:rStyle w:val="Style1Char"/>
          <w:color w:val="4472C4" w:themeColor="accent1"/>
          <w:rtl/>
        </w:rPr>
        <w:t xml:space="preserve"> מאן דיתיב לא אמרו ליה כלום. אלמא רשות הוא למי שירצה יצא ויפסיק ומי שירצה ישב וילמוד. ומיהו לישנא דהש"ס דקאמר דנטילתה כנתינתה מורה על דרך חובה. וההיא דמת מצוה הא פרשתי דמת מצוה לאו דוקא וההיא דר' יהודה</w:t>
      </w:r>
      <w:r>
        <w:rPr>
          <w:rStyle w:val="Style1Char"/>
          <w:rFonts w:hint="cs"/>
          <w:color w:val="4472C4" w:themeColor="accent1"/>
        </w:rPr>
        <w:t>‍</w:t>
      </w:r>
      <w:r w:rsidRPr="0077125B">
        <w:rPr>
          <w:rStyle w:val="Style1Char"/>
          <w:color w:val="4472C4" w:themeColor="accent1"/>
          <w:rtl/>
        </w:rPr>
        <w:t xml:space="preserve"> מייתי סייעתא מיניה אף על פי שהיתה תורתו אומנתו ולא היה לו עסק אחר אלא ת"ת היה מבטל וכ"ש שאר העם</w:t>
      </w:r>
      <w:r>
        <w:rPr>
          <w:rStyle w:val="Style1Char"/>
          <w:rFonts w:hint="cs"/>
          <w:color w:val="4472C4" w:themeColor="accent1"/>
        </w:rPr>
        <w:t>‍</w:t>
      </w:r>
      <w:r w:rsidRPr="0077125B">
        <w:rPr>
          <w:rStyle w:val="Style1Char"/>
          <w:color w:val="4472C4" w:themeColor="accent1"/>
          <w:rtl/>
        </w:rPr>
        <w:t xml:space="preserve"> וההיא דירושלמי הכי פירושא אין מדקדקין בבית המדרש כהן שיושב בבית המדרש וטומאה מאהלת עליו אין מצריכין אותו לצאת דסבר דמותר לטמאות לתלמוד תורה ובגמרא דידן (עירובין מז א) פליגא דלא שריא אלא בבית הפרס וחוצה לארץ</w:t>
      </w:r>
      <w:r>
        <w:rPr>
          <w:rStyle w:val="Style1Char"/>
          <w:rFonts w:hint="cs"/>
          <w:color w:val="4472C4" w:themeColor="accent1"/>
        </w:rPr>
        <w:t>‍</w:t>
      </w:r>
      <w:r w:rsidRPr="0077125B">
        <w:rPr>
          <w:rStyle w:val="Style1Char"/>
          <w:color w:val="4472C4" w:themeColor="accent1"/>
          <w:rtl/>
        </w:rPr>
        <w:t xml:space="preserve"> אבל טומאה דאורייתא לא. וכן בכלאים אם היה יושב בבית המדרש ולבוש כלאים אין מזקיקין אותו להפשיטו. ומייתי תרי עובדי חד דלעיל דכהן ויתיב לא א"ל ר' יוסי לצאת. ועוד מייתי עובדא אחרינא רבי אמי הוה יתיב ומתני אמר חד לחבריה את לבוש כלאים א"ל ר' אמי שלח מאנך והב ליה. בירושלמי בפרק אלו עוברין (ה"ז) נמנו בעלית בית אריס בלוד תלמוד קודם למעשה רבי אבהו שלח לרבי חייא בריה ללמוד בטבריא שלחון אמרין גומל חסדים הוא שלח ואמר ליה המבלי אין קברים בקסרין שלחתיך לטבריא כבר נמנו בעלית בית אריס</w:t>
      </w:r>
      <w:r>
        <w:rPr>
          <w:rStyle w:val="Style1Char"/>
          <w:rFonts w:hint="cs"/>
          <w:color w:val="4472C4" w:themeColor="accent1"/>
        </w:rPr>
        <w:t>‍</w:t>
      </w:r>
      <w:r w:rsidRPr="0077125B">
        <w:rPr>
          <w:rStyle w:val="Style1Char"/>
          <w:color w:val="4472C4" w:themeColor="accent1"/>
          <w:rtl/>
        </w:rPr>
        <w:t xml:space="preserve"> התלמוד קודם למעשה רבנן דקסרין אמרי הדא דתימא בשיש שם מי שיעשה מעשה אבל אין שם מי שיעשה מעשה המעשה קודם לתלמוד.</w:t>
      </w:r>
    </w:p>
    <w:p w14:paraId="48C27DE0" w14:textId="38EB2944" w:rsidR="00DA1858" w:rsidRDefault="00DA1858" w:rsidP="00DA1858">
      <w:pPr>
        <w:bidi/>
        <w:rPr>
          <w:rStyle w:val="Style1Char"/>
          <w:color w:val="auto"/>
          <w:sz w:val="22"/>
          <w:szCs w:val="22"/>
          <w:rtl/>
        </w:rPr>
      </w:pPr>
      <w:r w:rsidRPr="00455170">
        <w:rPr>
          <w:rStyle w:val="Style1Char"/>
          <w:color w:val="auto"/>
          <w:sz w:val="22"/>
          <w:szCs w:val="22"/>
          <w:rtl/>
        </w:rPr>
        <w:t xml:space="preserve">. וכמה כל צרכו? אמר רב שמואל בר </w:t>
      </w:r>
      <w:r w:rsidRPr="00887069">
        <w:rPr>
          <w:rStyle w:val="Style1Char"/>
          <w:color w:val="00B050"/>
          <w:rtl/>
        </w:rPr>
        <w:t xml:space="preserve">איני </w:t>
      </w:r>
      <w:r w:rsidRPr="00455170">
        <w:rPr>
          <w:rStyle w:val="Style1Char"/>
          <w:color w:val="806000" w:themeColor="accent4" w:themeShade="80"/>
          <w:sz w:val="22"/>
          <w:szCs w:val="22"/>
          <w:rtl/>
        </w:rPr>
        <w:t xml:space="preserve">איויא </w:t>
      </w:r>
      <w:r w:rsidRPr="00455170">
        <w:rPr>
          <w:rStyle w:val="Style1Char"/>
          <w:color w:val="auto"/>
          <w:sz w:val="22"/>
          <w:szCs w:val="22"/>
          <w:rtl/>
        </w:rPr>
        <w:t>משמיה דרב: תריסר אלפי גברי ושיתא אלפי שיפורי, ואמרי לה: תליסר אלפי גברי ומינייהו שיתא אלפי שיפורי.</w:t>
      </w:r>
      <w:r w:rsidRPr="00E87D76">
        <w:rPr>
          <w:rStyle w:val="Style1Char"/>
          <w:sz w:val="22"/>
          <w:szCs w:val="22"/>
          <w:rtl/>
        </w:rPr>
        <w:t xml:space="preserve"> </w:t>
      </w:r>
      <w:r w:rsidRPr="00887069">
        <w:rPr>
          <w:rStyle w:val="Style1Char"/>
          <w:color w:val="00B050"/>
          <w:rtl/>
        </w:rPr>
        <w:t xml:space="preserve">עולא אמר: כגון דחייצי גברי מאבולא ועד סיכרא. </w:t>
      </w:r>
      <w:r w:rsidRPr="00455170">
        <w:rPr>
          <w:rStyle w:val="Style1Char"/>
          <w:color w:val="806000" w:themeColor="accent4" w:themeShade="80"/>
          <w:sz w:val="22"/>
          <w:szCs w:val="22"/>
          <w:rtl/>
        </w:rPr>
        <w:t xml:space="preserve">אמר </w:t>
      </w:r>
      <w:r w:rsidRPr="00455170">
        <w:rPr>
          <w:rStyle w:val="Style1Char"/>
          <w:color w:val="auto"/>
          <w:sz w:val="22"/>
          <w:szCs w:val="22"/>
          <w:rtl/>
        </w:rPr>
        <w:t>רב ששת</w:t>
      </w:r>
      <w:r w:rsidRPr="00455170">
        <w:rPr>
          <w:rStyle w:val="Style1Char"/>
          <w:color w:val="auto"/>
          <w:rtl/>
        </w:rPr>
        <w:t xml:space="preserve"> </w:t>
      </w:r>
      <w:r w:rsidRPr="00B93E4F">
        <w:rPr>
          <w:rStyle w:val="Style1Char"/>
          <w:color w:val="806000" w:themeColor="accent4" w:themeShade="80"/>
          <w:sz w:val="22"/>
          <w:szCs w:val="22"/>
          <w:rtl/>
        </w:rPr>
        <w:t>ואיתימא רבי אמי,</w:t>
      </w:r>
      <w:r w:rsidRPr="00DC2046">
        <w:rPr>
          <w:rStyle w:val="Style1Char"/>
          <w:sz w:val="22"/>
          <w:szCs w:val="22"/>
          <w:rtl/>
        </w:rPr>
        <w:t xml:space="preserve"> </w:t>
      </w:r>
      <w:r w:rsidRPr="00B93E4F">
        <w:rPr>
          <w:rStyle w:val="Style1Char"/>
          <w:color w:val="auto"/>
          <w:sz w:val="22"/>
          <w:szCs w:val="22"/>
          <w:rtl/>
        </w:rPr>
        <w:t xml:space="preserve">ואיתימא רבי יוחנן </w:t>
      </w:r>
      <w:r w:rsidRPr="00887069">
        <w:rPr>
          <w:rStyle w:val="Style1Char"/>
          <w:color w:val="00B050"/>
          <w:rtl/>
        </w:rPr>
        <w:t>אמר</w:t>
      </w:r>
      <w:r w:rsidRPr="00DC2046">
        <w:rPr>
          <w:rStyle w:val="Style1Char"/>
          <w:sz w:val="22"/>
          <w:szCs w:val="22"/>
          <w:rtl/>
        </w:rPr>
        <w:t xml:space="preserve">: </w:t>
      </w:r>
      <w:r w:rsidR="0058574F">
        <w:rPr>
          <w:rStyle w:val="Style1Char"/>
          <w:rFonts w:hint="cs"/>
          <w:rtl/>
        </w:rPr>
        <w:t>(7)</w:t>
      </w:r>
      <w:r w:rsidRPr="00B93E4F">
        <w:rPr>
          <w:rStyle w:val="Style1Char"/>
          <w:color w:val="auto"/>
          <w:sz w:val="22"/>
          <w:szCs w:val="22"/>
          <w:rtl/>
        </w:rPr>
        <w:t xml:space="preserve">נטילתה כנתינתה, מה נתינתה בששים רבוא, אף נטילתה בששים רבוא. </w:t>
      </w:r>
      <w:r w:rsidR="0058574F">
        <w:rPr>
          <w:rStyle w:val="Style1Char"/>
          <w:rFonts w:hint="cs"/>
          <w:rtl/>
        </w:rPr>
        <w:t>(7)</w:t>
      </w:r>
      <w:r w:rsidRPr="00B93E4F">
        <w:rPr>
          <w:rStyle w:val="Style1Char"/>
          <w:color w:val="auto"/>
          <w:sz w:val="22"/>
          <w:szCs w:val="22"/>
          <w:rtl/>
        </w:rPr>
        <w:t xml:space="preserve">וה"מ למאן דקרי ותני, </w:t>
      </w:r>
    </w:p>
    <w:p w14:paraId="41485457" w14:textId="5EFEE3EA" w:rsidR="00F2422F" w:rsidRDefault="00F2422F" w:rsidP="002D5A62">
      <w:pPr>
        <w:pStyle w:val="Style1"/>
        <w:rPr>
          <w:rtl/>
        </w:rPr>
      </w:pPr>
      <w:r>
        <w:rPr>
          <w:rStyle w:val="Style1Char"/>
          <w:rFonts w:hint="cs"/>
          <w:rtl/>
        </w:rPr>
        <w:t>1)[</w:t>
      </w:r>
      <w:r w:rsidRPr="00F2422F">
        <w:rPr>
          <w:rStyle w:val="Style1Char"/>
          <w:rtl/>
        </w:rPr>
        <w:t>שולחן ערוך אבן העזר הלכות קידושין סימן סה סעיף א</w:t>
      </w:r>
      <w:r>
        <w:rPr>
          <w:rStyle w:val="Style1Char"/>
          <w:rFonts w:hint="cs"/>
          <w:rtl/>
        </w:rPr>
        <w:t>]</w:t>
      </w:r>
      <w:r w:rsidR="002D5A62">
        <w:rPr>
          <w:rStyle w:val="Style1Char"/>
          <w:rFonts w:hint="cs"/>
          <w:rtl/>
        </w:rPr>
        <w:t xml:space="preserve"> </w:t>
      </w:r>
      <w:r w:rsidR="002D5A62" w:rsidRPr="002D5A62">
        <w:rPr>
          <w:rtl/>
        </w:rPr>
        <w:t>מצוה לשמח חתן וכלה ולרקד לפניה ולומר שהיא נאה וחסודה </w:t>
      </w:r>
      <w:r w:rsidR="002D5A62" w:rsidRPr="002D5A62">
        <w:rPr>
          <w:rFonts w:hint="cs"/>
        </w:rPr>
        <w:t>(</w:t>
      </w:r>
      <w:r w:rsidR="002D5A62" w:rsidRPr="002D5A62">
        <w:rPr>
          <w:rFonts w:hint="cs"/>
          <w:rtl/>
        </w:rPr>
        <w:t>פירוש מן ותשא חן וחסד לפניו</w:t>
      </w:r>
      <w:r w:rsidR="002D5A62" w:rsidRPr="002D5A62">
        <w:rPr>
          <w:rFonts w:hint="cs"/>
        </w:rPr>
        <w:t>)</w:t>
      </w:r>
      <w:r w:rsidR="002D5A62" w:rsidRPr="002D5A62">
        <w:t> </w:t>
      </w:r>
      <w:r w:rsidR="002D5A62" w:rsidRPr="002D5A62">
        <w:rPr>
          <w:rtl/>
        </w:rPr>
        <w:t>אפילו אינה נאה</w:t>
      </w:r>
      <w:r w:rsidR="002D5A62" w:rsidRPr="002D5A62">
        <w:t>. </w:t>
      </w:r>
      <w:r w:rsidR="002D5A62" w:rsidRPr="002D5A62">
        <w:rPr>
          <w:rFonts w:hint="cs"/>
          <w:rtl/>
        </w:rPr>
        <w:t>הגה</w:t>
      </w:r>
      <w:r w:rsidR="002D5A62" w:rsidRPr="002D5A62">
        <w:rPr>
          <w:rFonts w:hint="cs"/>
        </w:rPr>
        <w:t>: </w:t>
      </w:r>
      <w:r w:rsidR="002D5A62" w:rsidRPr="002D5A62">
        <w:rPr>
          <w:rFonts w:hint="cs"/>
          <w:rtl/>
        </w:rPr>
        <w:t>ומצינו שרבי יהודה בר אילעי היה מרקד לפני הכלה ומבטלין תלמוד תורה להכנסת כלה לחופה (דברי הרב) (פ"ק דמגילה ופ' האשה שנתארמלה)</w:t>
      </w:r>
      <w:r w:rsidR="002D5A62" w:rsidRPr="002D5A62">
        <w:rPr>
          <w:rFonts w:hint="cs"/>
        </w:rPr>
        <w:t>.</w:t>
      </w:r>
    </w:p>
    <w:p w14:paraId="737A6537" w14:textId="59F2E746" w:rsidR="000A2443" w:rsidRDefault="000A2443" w:rsidP="000A2443">
      <w:pPr>
        <w:pStyle w:val="Style1"/>
        <w:rPr>
          <w:rStyle w:val="Style1Char"/>
          <w:rtl/>
        </w:rPr>
      </w:pPr>
      <w:r>
        <w:rPr>
          <w:rStyle w:val="Style1Char"/>
          <w:rFonts w:hint="cs"/>
          <w:rtl/>
        </w:rPr>
        <w:t>2)[</w:t>
      </w:r>
      <w:r w:rsidRPr="000A2443">
        <w:rPr>
          <w:rStyle w:val="Style1Char"/>
          <w:rtl/>
        </w:rPr>
        <w:t>רמב</w:t>
      </w:r>
      <w:r w:rsidR="0057095E">
        <w:rPr>
          <w:rStyle w:val="Style1Char"/>
          <w:rtl/>
        </w:rPr>
        <w:t>”ם \מדע\</w:t>
      </w:r>
      <w:r w:rsidRPr="000A2443">
        <w:rPr>
          <w:rStyle w:val="Style1Char"/>
          <w:rtl/>
        </w:rPr>
        <w:t xml:space="preserve"> הלכות דעות פרק ו הלכה א</w:t>
      </w:r>
      <w:r>
        <w:rPr>
          <w:rStyle w:val="Style1Char"/>
          <w:rFonts w:hint="cs"/>
          <w:rtl/>
        </w:rPr>
        <w:t xml:space="preserve">] </w:t>
      </w:r>
      <w:r w:rsidRPr="000A2443">
        <w:rPr>
          <w:rStyle w:val="Style1Char"/>
          <w:rtl/>
        </w:rPr>
        <w:t>דרך ברייתו של אדם להיות נמשך בדעותיו ובמעשיו אחר ריעיו וחביריו ונוהג כמנהג אנשי מדינתו, לפיכך צריך אדם להתחבר לצדיקים ולישב אצל החכמים תמיד כדי שילמוד ממעשיהם, ויתרחק מן הרשעים ההולכים בחשך כדי שלא ילמוד ממעשיהם, הוא ששלמה אומר הולך את חכמים יחכם ורועה כסילים ירוע, ואומר אשרי האיש וגו', וכן אם היה במדינה שמנהגותיה רעים ואין אנשיה הולכים בדרך ישרה ילך למקום שאנשיה צדיקים ונוהגים בדרך טובים, ואם היו כל המדינות שהוא יודעם ושומע שמועתן נוהגים בדרך לא טובה כמו זמנינו, או שאינו יכול ללכת למדינה שמנהגותיה טובים מפני הגייסות או מפני החולי ישב לבדו יחידי כענין שנאמר ישב בדד וידום, ואם היו רעים וחטאים שאין מניחים אותו לישב במדינה אלא אם כן נתערב עמהן ונוהג במנהגם הרע יצא למערות ולחוחים ולמדברות, ואל ינהיג עצמו בדרך חטאים כענין שנאמר מי יתנני במדבר מלון אורחים.</w:t>
      </w:r>
    </w:p>
    <w:p w14:paraId="385CF2BE" w14:textId="789084F5" w:rsidR="00AE27C2" w:rsidRDefault="00AE27C2" w:rsidP="00AE27C2">
      <w:pPr>
        <w:pStyle w:val="Style1"/>
        <w:rPr>
          <w:rStyle w:val="Style1Char"/>
          <w:rtl/>
        </w:rPr>
      </w:pPr>
      <w:r>
        <w:rPr>
          <w:rStyle w:val="Style1Char"/>
          <w:rFonts w:hint="cs"/>
          <w:rtl/>
        </w:rPr>
        <w:t>3)[</w:t>
      </w:r>
      <w:r w:rsidRPr="00AE27C2">
        <w:rPr>
          <w:rStyle w:val="Style1Char"/>
          <w:rtl/>
        </w:rPr>
        <w:t>שולחן ערוך אבן העזר הלכות קידושין סימן סה סעיף ב</w:t>
      </w:r>
      <w:r>
        <w:rPr>
          <w:rStyle w:val="Style1Char"/>
          <w:rFonts w:hint="cs"/>
          <w:rtl/>
        </w:rPr>
        <w:t xml:space="preserve">] </w:t>
      </w:r>
      <w:r w:rsidRPr="00AE27C2">
        <w:rPr>
          <w:rStyle w:val="Style1Char"/>
          <w:rtl/>
        </w:rPr>
        <w:t>אסור להסתכל בכלה, (אבל מותר להסתכל בתכשיטין שעליה או בפריעת ראשה) (טור).</w:t>
      </w:r>
    </w:p>
    <w:p w14:paraId="5B4992C7" w14:textId="07981ED2" w:rsidR="00484E6D" w:rsidRDefault="00484E6D" w:rsidP="00484E6D">
      <w:pPr>
        <w:pStyle w:val="Style1"/>
        <w:rPr>
          <w:rStyle w:val="Style1Char"/>
          <w:rtl/>
        </w:rPr>
      </w:pPr>
      <w:r>
        <w:rPr>
          <w:rStyle w:val="Style1Char"/>
          <w:rFonts w:hint="cs"/>
          <w:rtl/>
        </w:rPr>
        <w:t>4)[</w:t>
      </w:r>
      <w:r w:rsidRPr="00484E6D">
        <w:rPr>
          <w:rStyle w:val="Style1Char"/>
          <w:rtl/>
        </w:rPr>
        <w:t>רמב</w:t>
      </w:r>
      <w:r w:rsidR="00213DA1">
        <w:rPr>
          <w:rStyle w:val="Style1Char"/>
          <w:rtl/>
        </w:rPr>
        <w:t>”ם \שופטים\</w:t>
      </w:r>
      <w:r w:rsidRPr="00484E6D">
        <w:rPr>
          <w:rStyle w:val="Style1Char"/>
          <w:rtl/>
        </w:rPr>
        <w:t xml:space="preserve"> הלכות אבל פרק יד הלכה ח</w:t>
      </w:r>
      <w:r>
        <w:rPr>
          <w:rStyle w:val="Style1Char"/>
          <w:rFonts w:hint="cs"/>
          <w:rtl/>
        </w:rPr>
        <w:t xml:space="preserve">] </w:t>
      </w:r>
      <w:r w:rsidRPr="00484E6D">
        <w:rPr>
          <w:rStyle w:val="Style1Char"/>
          <w:rtl/>
        </w:rPr>
        <w:t>מי שהיה לפניו מת וכלה, מניח את הכלה ומתעסק עם המת, וכן הוא אומר לב חכמים בבית אבל וגו', מת וכלה שפגעו זה בזה בדרך, מעבירין את המת מלפני הכלה, וזה וזה עוברין מלפני המלך.</w:t>
      </w:r>
    </w:p>
    <w:p w14:paraId="65C22083" w14:textId="35BEEEEB" w:rsidR="00365FCA" w:rsidRPr="00365FCA" w:rsidRDefault="00F56997" w:rsidP="00365FCA">
      <w:pPr>
        <w:pStyle w:val="Style1"/>
      </w:pPr>
      <w:r>
        <w:rPr>
          <w:rStyle w:val="Style1Char"/>
          <w:rFonts w:hint="cs"/>
          <w:rtl/>
        </w:rPr>
        <w:t>4)[</w:t>
      </w:r>
      <w:r w:rsidRPr="00F56997">
        <w:rPr>
          <w:rStyle w:val="Style1Char"/>
          <w:rtl/>
        </w:rPr>
        <w:t>שולחן ערוך יורה דעה הלכות אבילות סימן שס</w:t>
      </w:r>
      <w:r>
        <w:rPr>
          <w:rStyle w:val="Style1Char"/>
          <w:rFonts w:hint="cs"/>
          <w:rtl/>
        </w:rPr>
        <w:t>]</w:t>
      </w:r>
      <w:r w:rsidR="00365FCA">
        <w:rPr>
          <w:rStyle w:val="Style1Char"/>
          <w:rFonts w:hint="cs"/>
          <w:rtl/>
        </w:rPr>
        <w:t xml:space="preserve"> </w:t>
      </w:r>
      <w:r w:rsidR="00365FCA" w:rsidRPr="00365FCA">
        <w:rPr>
          <w:rtl/>
        </w:rPr>
        <w:t>אם פגעו מת וכלה זה בזה -- מעבירין המת מלפני הכלה. וכן אם אין בעיר כדי לזה ולזה -- מקדימין ומכניסין הכלה לחופה ואחר כך קוברים המת</w:t>
      </w:r>
      <w:r w:rsidR="00365FCA" w:rsidRPr="00365FCA">
        <w:t>.</w:t>
      </w:r>
    </w:p>
    <w:p w14:paraId="636620BF" w14:textId="77777777" w:rsidR="00365FCA" w:rsidRPr="00365FCA" w:rsidRDefault="00365FCA" w:rsidP="00365FCA">
      <w:pPr>
        <w:pStyle w:val="Style1"/>
      </w:pPr>
      <w:r w:rsidRPr="00365FCA">
        <w:rPr>
          <w:rtl/>
        </w:rPr>
        <w:lastRenderedPageBreak/>
        <w:t>אבל אחר שנכנסה לחופה ויש לפניו לנחם אבל ולשמח חתן -- תנחומי האבל קודם. וכן הבראת האבל קודם למשתה של חתן.     במה דברים אמורים? שיש בידו ספוק כדי שניהם. אבל אם אין בידו כדי שניהם -- משתה החתן קודם</w:t>
      </w:r>
      <w:r w:rsidRPr="00365FCA">
        <w:t>.</w:t>
      </w:r>
    </w:p>
    <w:p w14:paraId="60033373" w14:textId="77777777" w:rsidR="00365FCA" w:rsidRPr="00365FCA" w:rsidRDefault="00365FCA" w:rsidP="00365FCA">
      <w:pPr>
        <w:pStyle w:val="Style1"/>
      </w:pPr>
      <w:r w:rsidRPr="00365FCA">
        <w:rPr>
          <w:rFonts w:hint="cs"/>
          <w:rtl/>
        </w:rPr>
        <w:t>(חתן ואבל בבית הכנסת -- יוצא החתן עם שושביניו תחילה ואחר כך האבל והמנחמים. וכן הקרואים שלהם אוכלים עם החתן כשירצו ולא עם האבל) (ב"י בשם הגהות מיימוני פ"ד)</w:t>
      </w:r>
      <w:r w:rsidRPr="00365FCA">
        <w:t>.</w:t>
      </w:r>
    </w:p>
    <w:p w14:paraId="75D9AA7A" w14:textId="286B14C9" w:rsidR="00365FCA" w:rsidRDefault="00365FCA" w:rsidP="00365FCA">
      <w:pPr>
        <w:pStyle w:val="Style1"/>
        <w:rPr>
          <w:rtl/>
        </w:rPr>
      </w:pPr>
      <w:r w:rsidRPr="00365FCA">
        <w:rPr>
          <w:rtl/>
        </w:rPr>
        <w:t>המת והמילה -- מילה קודמת. ואם הוא מת מצוה -- מת מצוה קודם</w:t>
      </w:r>
      <w:r w:rsidRPr="00365FCA">
        <w:t>.</w:t>
      </w:r>
    </w:p>
    <w:p w14:paraId="2F092D80" w14:textId="5A3E77EE" w:rsidR="00A83908" w:rsidRDefault="00A83908" w:rsidP="00A83908">
      <w:pPr>
        <w:pStyle w:val="Style1"/>
        <w:rPr>
          <w:rtl/>
        </w:rPr>
      </w:pPr>
      <w:r>
        <w:rPr>
          <w:rFonts w:hint="cs"/>
          <w:rtl/>
        </w:rPr>
        <w:t>4)[</w:t>
      </w:r>
      <w:r>
        <w:rPr>
          <w:rtl/>
        </w:rPr>
        <w:t>שולחן ערוך אבן העזר הלכות קידושין סימן סה סעיף ד</w:t>
      </w:r>
      <w:r>
        <w:rPr>
          <w:rFonts w:hint="cs"/>
          <w:rtl/>
        </w:rPr>
        <w:t xml:space="preserve">] </w:t>
      </w:r>
      <w:r>
        <w:rPr>
          <w:rtl/>
        </w:rPr>
        <w:t>מת וכלה שפגעו זה בזה, מעבירין את המת מלפני הכלה, ליתן לה את הדרך.</w:t>
      </w:r>
    </w:p>
    <w:p w14:paraId="298BDD0C" w14:textId="5813F476" w:rsidR="00D53812" w:rsidRDefault="00D53812" w:rsidP="00D53812">
      <w:pPr>
        <w:pStyle w:val="Style1"/>
        <w:rPr>
          <w:rtl/>
        </w:rPr>
      </w:pPr>
      <w:r>
        <w:rPr>
          <w:rFonts w:hint="cs"/>
          <w:rtl/>
        </w:rPr>
        <w:t>5)[</w:t>
      </w:r>
      <w:r>
        <w:rPr>
          <w:rtl/>
        </w:rPr>
        <w:t>רמב</w:t>
      </w:r>
      <w:r w:rsidR="0057095E">
        <w:rPr>
          <w:rtl/>
        </w:rPr>
        <w:t>”ם \מדע\</w:t>
      </w:r>
      <w:r>
        <w:rPr>
          <w:rtl/>
        </w:rPr>
        <w:t xml:space="preserve"> הלכות תלמוד תורה פרק ז הלכה יג</w:t>
      </w:r>
      <w:r>
        <w:rPr>
          <w:rFonts w:hint="cs"/>
          <w:rtl/>
        </w:rPr>
        <w:t xml:space="preserve">] </w:t>
      </w:r>
      <w:r>
        <w:rPr>
          <w:rtl/>
        </w:rPr>
        <w:t>מי שנידוהו בפניו אין מתירין לו אלא בפניו, נידוהו שלא בפניו מתירין לו בפניו ושלא בפניו, ואין בין נידוי להפרה כלום אלא מנדין ומתירין ברגע אחד כשיחזור המנודה למוטב, ואם ראו בית דין להניח זה בנידוי כמה שנים מניחין כפי רשעו, וכן אם ראו בית דין להחרים לזה לכתחלה ולהחרים מי שיאכל עמו ושותה עמו או מי שיעמוד עמו בארבע אמות מחרימין כדי לייסרו וכדי לעשות סייג לתורה עד שלא יפרצו החוטאים, אף על פי שיש רשות לחכם לנדות לכבודו אינו שבח לתלמיד חכם להנהיג עצמו בדבר זה אלא מעלים אזניו מדברי עם הארץ ולא ישית לבו להן כענין שאמר שלמה בחכמתו גם לכל הדברים אשר ידברו אל תתן לבך, וכן היה דרך חסידים הראשונים שומעים חרפתם ואינן משיבין ולא עוד אלא שמוחלים למחרף וסולחים לו, וחכמים גדולים היו משתבחים במעשיהם הנאים ואומרים שמעולם לא נידו אדם ולא החרימוהו לכבודן, וזו היא דרכם של תלמידי חכמים שראוי לילך בה, במה דברים אמורים כשבזהו או חרפהו בסתר אבל תלמיד חכם שבזהו או חרפו אדם בפרהסיא אסור לו למחול על כבודו ואם מחל נענש שזה בזיון תורה אלא נוקם ונוטר הדבר כנחש עד שיבקש ממנו מחילה ויסלח לו.</w:t>
      </w:r>
    </w:p>
    <w:p w14:paraId="402CA9A3" w14:textId="783B74DF" w:rsidR="00161276" w:rsidRDefault="00161276" w:rsidP="00161276">
      <w:pPr>
        <w:pStyle w:val="Style1"/>
        <w:rPr>
          <w:rtl/>
        </w:rPr>
      </w:pPr>
      <w:r>
        <w:rPr>
          <w:rFonts w:hint="cs"/>
          <w:rtl/>
        </w:rPr>
        <w:t>5)[</w:t>
      </w:r>
      <w:r>
        <w:rPr>
          <w:rtl/>
        </w:rPr>
        <w:t>שולחן ערוך יורה דעה הלכות כבוד רבו ותלמיד חכם סימן רמד סעיף יד</w:t>
      </w:r>
      <w:r>
        <w:rPr>
          <w:rFonts w:hint="cs"/>
          <w:rtl/>
        </w:rPr>
        <w:t xml:space="preserve">] </w:t>
      </w:r>
      <w:r>
        <w:rPr>
          <w:rtl/>
        </w:rPr>
        <w:t>ראה את הנשיא, עומד מלפניו מלא עיניו, ואינו יושב עד שישב במקומו או עד שיתכסה מעיניו. וכולם שמחלו על כבודם, כבודם מחול, ואעפ"כ מצוה לכבדם ולקום מפניהם קצת.</w:t>
      </w:r>
    </w:p>
    <w:p w14:paraId="1BFF9669" w14:textId="0EFB36A1" w:rsidR="001F3FEF" w:rsidRDefault="001F3FEF" w:rsidP="001F3FEF">
      <w:pPr>
        <w:pStyle w:val="Style1"/>
        <w:rPr>
          <w:rtl/>
        </w:rPr>
      </w:pPr>
      <w:r>
        <w:rPr>
          <w:rFonts w:hint="cs"/>
          <w:rtl/>
        </w:rPr>
        <w:t>6)[</w:t>
      </w:r>
      <w:r>
        <w:rPr>
          <w:rtl/>
        </w:rPr>
        <w:t>רמב</w:t>
      </w:r>
      <w:r w:rsidR="00C764B2">
        <w:rPr>
          <w:rtl/>
        </w:rPr>
        <w:t>”ם \שופטים\</w:t>
      </w:r>
      <w:r>
        <w:rPr>
          <w:rtl/>
        </w:rPr>
        <w:t xml:space="preserve"> הלכות מלכים פרק ב הלכה ג</w:t>
      </w:r>
      <w:r>
        <w:rPr>
          <w:rFonts w:hint="cs"/>
          <w:rtl/>
        </w:rPr>
        <w:t xml:space="preserve">] </w:t>
      </w:r>
      <w:r>
        <w:rPr>
          <w:rtl/>
        </w:rPr>
        <w:t>ואסור לראותו כשהוא ערום ולא כשהוא מסתפר, ולא כשהוא בבית המרחץ, ולא כשהוא מסתפג, ואינו חולץ, שנאמר וירקה בפניו וזה בזיון, ואפילו רצה אין שומעין לו, שהמלך שמחל על כבודו אין כבודו מחול, והואיל ואינו חולץ אינו מיבם, וכן אם מת הוא כיון שאי אפשר ליבם את אשתו כך אין חולצין לה, אלא תשב לעולם בזיקתה.</w:t>
      </w:r>
    </w:p>
    <w:p w14:paraId="7717C14E" w14:textId="2CC079D0" w:rsidR="008D14B4" w:rsidRDefault="008D14B4" w:rsidP="008D14B4">
      <w:pPr>
        <w:pStyle w:val="Style1"/>
        <w:rPr>
          <w:rtl/>
        </w:rPr>
      </w:pPr>
      <w:r>
        <w:rPr>
          <w:rFonts w:hint="cs"/>
          <w:rtl/>
        </w:rPr>
        <w:t>7)[</w:t>
      </w:r>
      <w:r>
        <w:rPr>
          <w:rtl/>
        </w:rPr>
        <w:t>רמב</w:t>
      </w:r>
      <w:r w:rsidR="00213DA1">
        <w:rPr>
          <w:rtl/>
        </w:rPr>
        <w:t>”ם \שופטים\</w:t>
      </w:r>
      <w:r>
        <w:rPr>
          <w:rtl/>
        </w:rPr>
        <w:t xml:space="preserve"> הלכות אבל פרק יד הלכה ט</w:t>
      </w:r>
      <w:r>
        <w:rPr>
          <w:rFonts w:hint="cs"/>
          <w:rtl/>
        </w:rPr>
        <w:t xml:space="preserve">] </w:t>
      </w:r>
      <w:r>
        <w:rPr>
          <w:rtl/>
        </w:rPr>
        <w:t>מבטלין תלמוד תורה להוצאת המת ולהכנסת הכלה, במה דברים אמורים בשאין לו כל צרכו, אבל יש לו כל צרכו אין מבטלין, וכל שאין מתעסקין בתורה חייבין להתעסק עמו.</w:t>
      </w:r>
    </w:p>
    <w:p w14:paraId="35FF41FD" w14:textId="01ABC860" w:rsidR="00CE5033" w:rsidRDefault="00CE5033" w:rsidP="00CE5033">
      <w:pPr>
        <w:pStyle w:val="Style1"/>
        <w:rPr>
          <w:rtl/>
        </w:rPr>
      </w:pPr>
      <w:r>
        <w:rPr>
          <w:rFonts w:hint="cs"/>
          <w:rtl/>
        </w:rPr>
        <w:t>7)[</w:t>
      </w:r>
      <w:r>
        <w:rPr>
          <w:rtl/>
        </w:rPr>
        <w:t>רמב</w:t>
      </w:r>
      <w:r w:rsidR="00213DA1">
        <w:rPr>
          <w:rtl/>
        </w:rPr>
        <w:t>”ם \שופטים\</w:t>
      </w:r>
      <w:r>
        <w:rPr>
          <w:rtl/>
        </w:rPr>
        <w:t xml:space="preserve"> הלכות אבל פרק יד הלכה יא</w:t>
      </w:r>
      <w:r>
        <w:rPr>
          <w:rFonts w:hint="cs"/>
          <w:rtl/>
        </w:rPr>
        <w:t xml:space="preserve">] </w:t>
      </w:r>
      <w:r>
        <w:rPr>
          <w:rtl/>
        </w:rPr>
        <w:t>תלמיד חכם שמת, אפילו היו עמו עד ששים רבוא מבטלין תלמוד תורה להוצאתו, היו ששים רבוא אין מבטלין, ואם היה מלמד לאחרים אין לו שיעור אלא מבטלין הכל להוצאתו.</w:t>
      </w:r>
    </w:p>
    <w:p w14:paraId="1CA651E8" w14:textId="725BDB53" w:rsidR="00AB0A8F" w:rsidRPr="00AB0A8F" w:rsidRDefault="000F0842" w:rsidP="00AB0A8F">
      <w:pPr>
        <w:pStyle w:val="Style1"/>
      </w:pPr>
      <w:r>
        <w:rPr>
          <w:rFonts w:hint="cs"/>
          <w:rtl/>
        </w:rPr>
        <w:t>7)[</w:t>
      </w:r>
      <w:r>
        <w:rPr>
          <w:rtl/>
        </w:rPr>
        <w:t>שולחן ערוך יורה דעה הלכות אבילות סימן שסא סעיף א</w:t>
      </w:r>
      <w:r>
        <w:rPr>
          <w:rFonts w:hint="cs"/>
          <w:rtl/>
        </w:rPr>
        <w:t>]</w:t>
      </w:r>
      <w:r w:rsidR="00AB0A8F">
        <w:rPr>
          <w:rFonts w:hint="cs"/>
          <w:rtl/>
        </w:rPr>
        <w:t xml:space="preserve"> </w:t>
      </w:r>
      <w:r w:rsidR="00AB0A8F" w:rsidRPr="00AB0A8F">
        <w:rPr>
          <w:rtl/>
        </w:rPr>
        <w:t>מבטלין תלמוד תורה להוצאת המת</w:t>
      </w:r>
      <w:r w:rsidR="00AB0A8F" w:rsidRPr="00AB0A8F">
        <w:t>.</w:t>
      </w:r>
    </w:p>
    <w:p w14:paraId="33A0E80E" w14:textId="77777777" w:rsidR="00AB0A8F" w:rsidRPr="00AB0A8F" w:rsidRDefault="00AB0A8F" w:rsidP="00AB0A8F">
      <w:pPr>
        <w:pStyle w:val="Style1"/>
      </w:pPr>
      <w:r w:rsidRPr="00AB0A8F">
        <w:rPr>
          <w:rtl/>
        </w:rPr>
        <w:t>למאן דמתני לאחרים -- אין לו שיעור, אפילו יש עמו כמה אלפים מתבטל בשבילו</w:t>
      </w:r>
      <w:r w:rsidRPr="00AB0A8F">
        <w:t>.</w:t>
      </w:r>
    </w:p>
    <w:p w14:paraId="3EF33275" w14:textId="77777777" w:rsidR="00AB0A8F" w:rsidRPr="00AB0A8F" w:rsidRDefault="00AB0A8F" w:rsidP="00AB0A8F">
      <w:pPr>
        <w:pStyle w:val="Style1"/>
      </w:pPr>
      <w:r w:rsidRPr="00AB0A8F">
        <w:rPr>
          <w:rtl/>
        </w:rPr>
        <w:t>למאן דקרי ותני, דהיינו שקרא ושנה ועדיין לא שנה לתלמידים -- אם יש ס' רבוא אין צריך להתבטל בשבילו</w:t>
      </w:r>
      <w:r w:rsidRPr="00AB0A8F">
        <w:t>.</w:t>
      </w:r>
    </w:p>
    <w:p w14:paraId="12E39663" w14:textId="77777777" w:rsidR="00AB0A8F" w:rsidRPr="00AB0A8F" w:rsidRDefault="00AB0A8F" w:rsidP="00AB0A8F">
      <w:pPr>
        <w:pStyle w:val="Style1"/>
      </w:pPr>
      <w:r w:rsidRPr="00AB0A8F">
        <w:rPr>
          <w:rtl/>
        </w:rPr>
        <w:t>למאן דלא קרי ותני -- כיון שיש לו מי שיתעסק עמו אין צריך להתבטל בשבילו, והוא שיש שם עשרה</w:t>
      </w:r>
      <w:r w:rsidRPr="00AB0A8F">
        <w:t>.</w:t>
      </w:r>
    </w:p>
    <w:p w14:paraId="400D0C50" w14:textId="77777777" w:rsidR="00AB0A8F" w:rsidRPr="00AB0A8F" w:rsidRDefault="00AB0A8F" w:rsidP="00AB0A8F">
      <w:pPr>
        <w:pStyle w:val="Style1"/>
      </w:pPr>
      <w:r w:rsidRPr="00AB0A8F">
        <w:rPr>
          <w:rFonts w:hint="cs"/>
          <w:rtl/>
        </w:rPr>
        <w:t>(וי"א דעכשיו מן הסתם מבטלין שאין לך אחד מישראל בזמן הזה שאינו במקרא או במשנה) (ב"י בשם הריטב"א פ"ב דכתובות שכ"כ בשם סמ"ג)</w:t>
      </w:r>
      <w:r w:rsidRPr="00AB0A8F">
        <w:t>.</w:t>
      </w:r>
    </w:p>
    <w:p w14:paraId="4F9E2351" w14:textId="77777777" w:rsidR="00AB0A8F" w:rsidRPr="00AB0A8F" w:rsidRDefault="00AB0A8F" w:rsidP="00AB0A8F">
      <w:pPr>
        <w:pStyle w:val="Style1"/>
      </w:pPr>
      <w:r w:rsidRPr="00AB0A8F">
        <w:rPr>
          <w:rtl/>
        </w:rPr>
        <w:t>ואשה -- יש אומרים שדינה כמאן דקרי ותני, ויש אומרים שדינה כמאן דלא קרי ותני, וכן נהגו באשה ותינוק לקולא</w:t>
      </w:r>
      <w:r w:rsidRPr="00AB0A8F">
        <w:t>.</w:t>
      </w:r>
    </w:p>
    <w:p w14:paraId="00BDB47E" w14:textId="77777777" w:rsidR="00AB0A8F" w:rsidRPr="00AB0A8F" w:rsidRDefault="00AB0A8F" w:rsidP="00AB0A8F">
      <w:pPr>
        <w:pStyle w:val="Style1"/>
      </w:pPr>
      <w:r w:rsidRPr="00AB0A8F">
        <w:rPr>
          <w:rtl/>
        </w:rPr>
        <w:t>ואין מבטלין ת"ת למת כשיש מי שיתעסק עמו כל צרכו, אלא עוסק בתורה ואינו צריך לצאת ולראות אם יש עמו כל צרכו אם לאו אלא כיון שיש שם מי שיעשה מעשה -- תלמוד תורה שלו קודם. ותינוקות של בית רבן אין מתבטלין כלל</w:t>
      </w:r>
      <w:r w:rsidRPr="00AB0A8F">
        <w:t>.</w:t>
      </w:r>
    </w:p>
    <w:p w14:paraId="1F84A25C" w14:textId="77777777" w:rsidR="00365FCA" w:rsidRPr="00AB0A8F" w:rsidRDefault="00365FCA" w:rsidP="00365FCA">
      <w:pPr>
        <w:pStyle w:val="Style1"/>
        <w:rPr>
          <w:rStyle w:val="Style1Char"/>
        </w:rPr>
      </w:pPr>
    </w:p>
    <w:p w14:paraId="16585E68" w14:textId="1AF70F70" w:rsidR="00F56997" w:rsidRPr="002D5A62" w:rsidRDefault="00F56997" w:rsidP="00F56997">
      <w:pPr>
        <w:pStyle w:val="Style1"/>
        <w:rPr>
          <w:rStyle w:val="Style1Char"/>
        </w:rPr>
      </w:pPr>
    </w:p>
    <w:p w14:paraId="0EC82CE3" w14:textId="1F0831F5" w:rsidR="00F2422F" w:rsidRPr="002D5A62" w:rsidRDefault="00F2422F" w:rsidP="002D5A62">
      <w:pPr>
        <w:pStyle w:val="Style1"/>
        <w:rPr>
          <w:rStyle w:val="Style1Char"/>
          <w:rtl/>
        </w:rPr>
      </w:pPr>
    </w:p>
    <w:p w14:paraId="6863D4BD" w14:textId="77777777" w:rsidR="00DA1858" w:rsidRPr="00C9536A" w:rsidRDefault="00DA1858" w:rsidP="00DA1858">
      <w:pPr>
        <w:bidi/>
        <w:rPr>
          <w:rStyle w:val="Style1Char"/>
          <w:sz w:val="22"/>
          <w:szCs w:val="22"/>
          <w:rtl/>
        </w:rPr>
      </w:pPr>
    </w:p>
    <w:p w14:paraId="58E532BF" w14:textId="77777777" w:rsidR="00DA1858" w:rsidRPr="00721150" w:rsidRDefault="00DA1858" w:rsidP="00DA1858">
      <w:pPr>
        <w:bidi/>
        <w:rPr>
          <w:rStyle w:val="Style1Char"/>
          <w:sz w:val="22"/>
          <w:szCs w:val="22"/>
          <w:rtl/>
        </w:rPr>
      </w:pPr>
    </w:p>
    <w:p w14:paraId="6BD8AC4A" w14:textId="77777777" w:rsidR="00DA1858" w:rsidRPr="0008270A" w:rsidRDefault="00DA1858" w:rsidP="00DA1858">
      <w:pPr>
        <w:bidi/>
        <w:rPr>
          <w:rStyle w:val="Style1Char"/>
          <w:sz w:val="22"/>
          <w:szCs w:val="22"/>
          <w:rtl/>
        </w:rPr>
      </w:pPr>
    </w:p>
    <w:p w14:paraId="72568A17" w14:textId="77777777" w:rsidR="00DA1858" w:rsidRPr="00EF647F" w:rsidRDefault="00DA1858" w:rsidP="00DA1858">
      <w:pPr>
        <w:bidi/>
        <w:rPr>
          <w:rStyle w:val="Style1Char"/>
          <w:color w:val="00B050"/>
          <w:rtl/>
        </w:rPr>
      </w:pPr>
    </w:p>
    <w:p w14:paraId="7CFC9441" w14:textId="77777777" w:rsidR="00DA1858" w:rsidRDefault="00DA1858" w:rsidP="00DA1858">
      <w:pPr>
        <w:bidi/>
        <w:rPr>
          <w:rStyle w:val="Style1Char"/>
          <w:color w:val="00B050"/>
          <w:rtl/>
        </w:rPr>
      </w:pPr>
    </w:p>
    <w:p w14:paraId="00D08438" w14:textId="77777777" w:rsidR="00DA1858" w:rsidRDefault="00DA1858" w:rsidP="00DA1858">
      <w:pPr>
        <w:rPr>
          <w:rStyle w:val="Style1Char"/>
          <w:color w:val="00B050"/>
          <w:rtl/>
        </w:rPr>
      </w:pPr>
      <w:r>
        <w:rPr>
          <w:rStyle w:val="Style1Char"/>
          <w:color w:val="00B050"/>
          <w:rtl/>
        </w:rPr>
        <w:br w:type="page"/>
      </w:r>
    </w:p>
    <w:p w14:paraId="5A6CFC88" w14:textId="77777777" w:rsidR="00DA1858" w:rsidRDefault="00DA1858" w:rsidP="00DA1858">
      <w:pPr>
        <w:bidi/>
        <w:rPr>
          <w:rStyle w:val="Style1Char"/>
          <w:color w:val="4472C4" w:themeColor="accent1"/>
        </w:rPr>
      </w:pPr>
      <w:r w:rsidRPr="00B93E4F">
        <w:rPr>
          <w:rStyle w:val="Style1Char"/>
          <w:color w:val="auto"/>
          <w:sz w:val="22"/>
          <w:szCs w:val="22"/>
          <w:highlight w:val="yellow"/>
          <w:rtl/>
        </w:rPr>
        <w:lastRenderedPageBreak/>
        <w:t>[דף יז עמוד ב]</w:t>
      </w:r>
      <w:r w:rsidRPr="00B93E4F">
        <w:rPr>
          <w:rStyle w:val="Style1Char"/>
          <w:color w:val="auto"/>
          <w:sz w:val="22"/>
          <w:szCs w:val="22"/>
          <w:rtl/>
        </w:rPr>
        <w:t xml:space="preserve"> אבל למאן דמתני - לית ליה שיעורא. </w:t>
      </w:r>
      <w:r w:rsidRPr="0077125B">
        <w:rPr>
          <w:rStyle w:val="Style1Char"/>
          <w:color w:val="4472C4" w:themeColor="accent1"/>
          <w:rtl/>
        </w:rPr>
        <w:t>כתב רב אחאי ממילא שמעינן דלמאן דלא קרי ולא תני אין מבטלין עליו אם יש מתעסקין בקבורתו</w:t>
      </w:r>
      <w:r w:rsidRPr="0077125B">
        <w:rPr>
          <w:rStyle w:val="Style1Char"/>
          <w:color w:val="4472C4" w:themeColor="accent1"/>
        </w:rPr>
        <w:t xml:space="preserve">: </w:t>
      </w:r>
    </w:p>
    <w:p w14:paraId="2220E359" w14:textId="77777777" w:rsidR="00DA1858" w:rsidRPr="0077125B" w:rsidRDefault="00DA1858" w:rsidP="00DA1858">
      <w:pPr>
        <w:bidi/>
        <w:rPr>
          <w:rStyle w:val="Style1Char"/>
          <w:color w:val="4472C4" w:themeColor="accent1"/>
        </w:rPr>
      </w:pPr>
      <w:r w:rsidRPr="0077125B">
        <w:rPr>
          <w:rStyle w:val="Style1Char"/>
          <w:color w:val="4472C4" w:themeColor="accent1"/>
          <w:rtl/>
        </w:rPr>
        <w:t>ומיהו לענין עשיית מלאכה לא מפליג בפ' אלו מגלחין אלא כל בני העיר בטלין היכא דליכא חבורתא אפילו למאן דלא קרי ולא תני ובאשה י"מ דינה כמאן דלא קרי ולא תני. וי"מ כיון שאינה מצווה לקרות אין לזלזולי בה מפני חסרון קריאה כיון דלא נצטוית ומשגחת על לימוד בעלה ובניה ראויה לכבוד כמאן דקרי ותני כדאמרי' בברכות פ' היה קורא (דף יז א) גדולה הבטחה שהבטיחן הקדוש ברוך הוא לנשים יותר מן האנשים שנאמר נשים שאננות א"ל רב לר' חייא נשים במאי זכיין באקרויי בנייהו בבי כנישתא ואתנויי בי רבנן ומתאחרין לגברייהו עד דאתו מבי רבנן</w:t>
      </w:r>
      <w:r w:rsidRPr="0077125B">
        <w:rPr>
          <w:rStyle w:val="Style1Char"/>
          <w:color w:val="4472C4" w:themeColor="accent1"/>
        </w:rPr>
        <w:t xml:space="preserve">: </w:t>
      </w:r>
    </w:p>
    <w:p w14:paraId="62BE8886" w14:textId="77777777" w:rsidR="00DA1858" w:rsidRPr="00887069" w:rsidRDefault="00DA1858" w:rsidP="00DA1858">
      <w:pPr>
        <w:bidi/>
        <w:rPr>
          <w:rStyle w:val="Style1Char"/>
          <w:color w:val="00B050"/>
        </w:rPr>
      </w:pPr>
      <w:r w:rsidRPr="00887069">
        <w:rPr>
          <w:rStyle w:val="Style1Char"/>
          <w:color w:val="00B050"/>
          <w:rtl/>
        </w:rPr>
        <w:t xml:space="preserve">ואם יש עדים שיצתה בהינומא וכו'. מאי הינומא? סורחב בר פפא משמיה דזעירי אמר: תנורא דאסא, רבי יוחנן אמר: קריתא דמנמנה בה כלתא. </w:t>
      </w:r>
    </w:p>
    <w:p w14:paraId="4288698D" w14:textId="77777777" w:rsidR="00DA1858" w:rsidRPr="00887069" w:rsidRDefault="00DA1858" w:rsidP="00DA1858">
      <w:pPr>
        <w:bidi/>
        <w:rPr>
          <w:rStyle w:val="Style1Char"/>
          <w:color w:val="00B050"/>
        </w:rPr>
      </w:pPr>
      <w:r w:rsidRPr="00887069">
        <w:rPr>
          <w:rStyle w:val="Style1Char"/>
          <w:color w:val="00B050"/>
          <w:rtl/>
        </w:rPr>
        <w:t xml:space="preserve">רבי יוחנן בן ברוקא אומר וכו'. תנא: ביהודה ראיה. בבבל מאי? אמר רב: דרדוגי דמשחא ארישא דרבנן. אמר ליה רב פפא לאביי: משחא דחפיפותא קאמר מר? אמר ליה: יתמא, לא עבדא לך אמך דרדוגי משחא ארישא דרבנן בשעת מעשה? כי הא דההוא מרבנן דאיעסק ליה לבריה בי רבה בר עולא, ואמרי לה רבה בר עולא איעסק ליה לבריה בי ההוא מרבנן, ודרדיג משחא ארישא דרבנן בשעת מעשה. ארמלתא מאי? תאני רב יוסף: ארמלתא לית לה כיסני. </w:t>
      </w:r>
    </w:p>
    <w:p w14:paraId="06461D25" w14:textId="4A6359FF" w:rsidR="00DA1858" w:rsidRDefault="00DA1858" w:rsidP="00DA1858">
      <w:pPr>
        <w:bidi/>
        <w:rPr>
          <w:rStyle w:val="Style1Char"/>
          <w:color w:val="00B050"/>
          <w:rtl/>
        </w:rPr>
      </w:pPr>
      <w:r w:rsidRPr="006B53A3">
        <w:rPr>
          <w:rStyle w:val="Style1Char"/>
          <w:color w:val="ED7D31" w:themeColor="accent2"/>
          <w:sz w:val="22"/>
          <w:szCs w:val="22"/>
          <w:rtl/>
        </w:rPr>
        <w:t xml:space="preserve">ומודה רבי יהושע, באומר לחבירו </w:t>
      </w:r>
      <w:r w:rsidRPr="006B53A3">
        <w:rPr>
          <w:rStyle w:val="Style1Char"/>
          <w:color w:val="4472C4" w:themeColor="accent1"/>
          <w:sz w:val="22"/>
          <w:szCs w:val="22"/>
          <w:rtl/>
        </w:rPr>
        <w:t>שדה זו של אביך היתה ולקחתיה ממנו שהוא נאמן שהפה שאסר הוא הפה שהתיר ואם יש עדים שהיתה של אביו והוא אומר לקחתיה הימנו אינו נאמן</w:t>
      </w:r>
      <w:r w:rsidRPr="006B53A3">
        <w:rPr>
          <w:rStyle w:val="Style1Char"/>
          <w:color w:val="4472C4" w:themeColor="accent1"/>
          <w:rtl/>
        </w:rPr>
        <w:t xml:space="preserve"> </w:t>
      </w:r>
      <w:r w:rsidRPr="0077125B">
        <w:rPr>
          <w:rStyle w:val="Style1Char"/>
          <w:color w:val="4472C4" w:themeColor="accent1"/>
          <w:rtl/>
        </w:rPr>
        <w:t>רש"י פי' דמיירי שהיורש אינו יודע שהיתה של אביו אלא על פיו של זה ונראה דאפילו אם יודע נמי שהיתה של אביו ותובע למחזיק בדין נאמן דמה לו לשקר דכיון שהוא מוחזק בה מצי למימר לא היתה של אביך מעולם הלכך כי אמר נמי של אביך היתה ולקחתיה הימנו נאמן תדע מדקתני סיפא אם יש עדים שהיתה של אביו אינו נאמן וכו' מה צריך עדים</w:t>
      </w:r>
      <w:r>
        <w:rPr>
          <w:rStyle w:val="Style1Char"/>
          <w:rFonts w:hint="cs"/>
          <w:color w:val="4472C4" w:themeColor="accent1"/>
        </w:rPr>
        <w:t>‍</w:t>
      </w:r>
      <w:r w:rsidRPr="0077125B">
        <w:rPr>
          <w:rStyle w:val="Style1Char"/>
          <w:color w:val="4472C4" w:themeColor="accent1"/>
          <w:rtl/>
        </w:rPr>
        <w:t xml:space="preserve"> ליתני אם הוא יודע שהיה של אביו ועוד דאמרינן בגמ' וליתני שדה זו שלך היתה</w:t>
      </w:r>
      <w:r>
        <w:rPr>
          <w:rStyle w:val="Style1Char"/>
          <w:rFonts w:hint="cs"/>
          <w:color w:val="4472C4" w:themeColor="accent1"/>
        </w:rPr>
        <w:t>‍</w:t>
      </w:r>
      <w:r w:rsidRPr="0077125B">
        <w:rPr>
          <w:rStyle w:val="Style1Char"/>
          <w:color w:val="4472C4" w:themeColor="accent1"/>
          <w:rtl/>
        </w:rPr>
        <w:t xml:space="preserve"> אלמא אין חילוק בין שהוא יודע ובין שאינו יודע</w:t>
      </w:r>
      <w:r w:rsidRPr="0077125B">
        <w:rPr>
          <w:rStyle w:val="Style1Char"/>
          <w:color w:val="4472C4" w:themeColor="accent1"/>
        </w:rPr>
        <w:t>:</w:t>
      </w:r>
      <w:r w:rsidRPr="006B53A3">
        <w:rPr>
          <w:rStyle w:val="Style1Char"/>
          <w:color w:val="4472C4" w:themeColor="accent1"/>
          <w:sz w:val="22"/>
          <w:szCs w:val="22"/>
          <w:rtl/>
        </w:rPr>
        <w:t xml:space="preserve">. </w:t>
      </w:r>
      <w:r w:rsidRPr="00887069">
        <w:rPr>
          <w:rStyle w:val="Style1Char"/>
          <w:color w:val="00B050"/>
          <w:rtl/>
        </w:rPr>
        <w:t xml:space="preserve">כו'. וליתני: מודה ר' יהושע, באומר לחבירו שדה זו שלך היתה ולקחתיה ממך! משום דקא בעי למיתני סיפא: </w:t>
      </w:r>
      <w:r w:rsidR="007D6D25">
        <w:rPr>
          <w:rStyle w:val="Style1Char"/>
          <w:rFonts w:hint="cs"/>
          <w:rtl/>
        </w:rPr>
        <w:t>(1)</w:t>
      </w:r>
      <w:r w:rsidRPr="00887069">
        <w:rPr>
          <w:rStyle w:val="Style1Char"/>
          <w:color w:val="00B050"/>
          <w:rtl/>
        </w:rPr>
        <w:t xml:space="preserve">אם יש עדים שהיא שלו, והוא אומר לקחתיה ממנו - אינו נאמן; היכי דמי? אי דאכלה שני חזקה, אמאי לא מהימן? ואי דלא אכלה שני חזקה, פשיטא דלא מהימן. אי הכי, גבי אביו נמי, אי דאכלה שני חזקה, אמאי לא מהימן? ואי דלא אכלה שני חזקה, פשיטא דלא מהימן! בשלמא גבי אביו, משכחת לה </w:t>
      </w:r>
      <w:r w:rsidR="00B72FBD">
        <w:rPr>
          <w:rStyle w:val="Style1Char"/>
          <w:rFonts w:hint="cs"/>
          <w:rtl/>
        </w:rPr>
        <w:t>(2)</w:t>
      </w:r>
      <w:r w:rsidRPr="00887069">
        <w:rPr>
          <w:rStyle w:val="Style1Char"/>
          <w:color w:val="00B050"/>
          <w:rtl/>
        </w:rPr>
        <w:t xml:space="preserve">כגון שאכלה שתים בחיי האב ואחת בחיי בנו, וכדרב הונא, דאמר רב הונא: </w:t>
      </w:r>
      <w:r w:rsidR="00E631D1">
        <w:rPr>
          <w:rStyle w:val="Style1Char"/>
          <w:rFonts w:hint="cs"/>
          <w:rtl/>
        </w:rPr>
        <w:t>(3)</w:t>
      </w:r>
      <w:r w:rsidRPr="00887069">
        <w:rPr>
          <w:rStyle w:val="Style1Char"/>
          <w:color w:val="00B050"/>
          <w:rtl/>
        </w:rPr>
        <w:t xml:space="preserve">אין מחזיקין בנכסי קטן אפילו הגדיל. ורב הונא מתניתין אתא לאשמועינן? איבעית אימא: רב הונא דיוקא דמתני' קאמר; ואיבעית אימא: אפילו הגדיל קמ"ל. וליתנייה בדידיה, ולוקמה כגון שאכלה שתים בפניו ואחת שלא בפניו, וכגון שברח! ברח מחמת מאי? </w:t>
      </w:r>
      <w:r w:rsidR="00205A8E">
        <w:rPr>
          <w:rStyle w:val="Style1Char"/>
          <w:rFonts w:hint="cs"/>
          <w:rtl/>
        </w:rPr>
        <w:t>(3)</w:t>
      </w:r>
      <w:r w:rsidRPr="00887069">
        <w:rPr>
          <w:rStyle w:val="Style1Char"/>
          <w:color w:val="00B050"/>
          <w:rtl/>
        </w:rPr>
        <w:t xml:space="preserve">אי דברח מחמת נפשות, פשיטא דלא מהימן, דלא מצי מחי! ואי דברח מחמת ממון, איבעי ליה למחויי, </w:t>
      </w:r>
      <w:r w:rsidR="00391D6B">
        <w:rPr>
          <w:rStyle w:val="Style1Char"/>
          <w:rFonts w:hint="cs"/>
          <w:rtl/>
        </w:rPr>
        <w:t>(4)</w:t>
      </w:r>
      <w:r w:rsidRPr="00887069">
        <w:rPr>
          <w:rStyle w:val="Style1Char"/>
          <w:color w:val="00B050"/>
          <w:rtl/>
        </w:rPr>
        <w:t xml:space="preserve">דקי"ל: מחאה שלא בפניו הויא מחאה! דתנן, שלש ארצות לחזקה: יהודה, ועבר הירדן, והגליל; היה ביהודה והחזיק בגליל, בגליל והחזיק ביהודה - אינה חזקה עד שיהא עמו במדינה; והוינן בה, מאי קסבר? אי קסבר: מחאה שלא בפניו הויא מחאה, אפילו ביהודה וגליל נמי! ואי קסבר: מחאה שלא בפניו לא הויא מחאה, אפילו יהודה ויהודה נמי לא! אמר רבי אבא בר ממל, לעולם קסבר: מחאה שלא בפניו הויא מחאה, ומתניתין - בשעת חירום שנו. ומאי שנא יהודה וגליל דנקט? </w:t>
      </w:r>
    </w:p>
    <w:p w14:paraId="69C2C5B9" w14:textId="38FFEBAF" w:rsidR="00772FA6" w:rsidRDefault="00772FA6" w:rsidP="00772FA6">
      <w:pPr>
        <w:pStyle w:val="Style1"/>
        <w:rPr>
          <w:rStyle w:val="Style1Char"/>
          <w:rtl/>
        </w:rPr>
      </w:pPr>
      <w:r>
        <w:rPr>
          <w:rStyle w:val="Style1Char"/>
          <w:rFonts w:hint="cs"/>
          <w:rtl/>
        </w:rPr>
        <w:t>1)[</w:t>
      </w:r>
      <w:r w:rsidRPr="00772FA6">
        <w:rPr>
          <w:rStyle w:val="Style1Char"/>
          <w:rtl/>
        </w:rPr>
        <w:t>רמב</w:t>
      </w:r>
      <w:r w:rsidR="0057095E">
        <w:rPr>
          <w:rStyle w:val="Style1Char"/>
          <w:rtl/>
        </w:rPr>
        <w:t>”ם \משפטים\</w:t>
      </w:r>
      <w:r w:rsidRPr="00772FA6">
        <w:rPr>
          <w:rStyle w:val="Style1Char"/>
          <w:rtl/>
        </w:rPr>
        <w:t xml:space="preserve"> הלכות טוען ונטען פרק יד הלכה ג</w:t>
      </w:r>
      <w:r>
        <w:rPr>
          <w:rStyle w:val="Style1Char"/>
          <w:rFonts w:hint="cs"/>
          <w:rtl/>
        </w:rPr>
        <w:t xml:space="preserve">] </w:t>
      </w:r>
      <w:r w:rsidRPr="00772FA6">
        <w:rPr>
          <w:rStyle w:val="Style1Char"/>
          <w:rtl/>
        </w:rPr>
        <w:t>בן האומן ובן האריס ובן האפוטרופוס שאכלו שדה זו שני חזקה, אם טענו שהבעלים מכרו להן או נתנו להן יש להן חזקה, ואם טענו שהיא ירושה להן מאביהם שאכלוה שני חזקה אין להן חזקה, ואם הביאו עדים שהודו הבעלים לאביהן שמכרוה להן או נתנוה מעמידין את השדה בידן.</w:t>
      </w:r>
    </w:p>
    <w:p w14:paraId="0DCD4268" w14:textId="77777777" w:rsidR="004560D4" w:rsidRPr="004560D4" w:rsidRDefault="0092054C" w:rsidP="004560D4">
      <w:pPr>
        <w:pStyle w:val="Style1"/>
      </w:pPr>
      <w:r>
        <w:rPr>
          <w:rStyle w:val="Style1Char"/>
          <w:rFonts w:hint="cs"/>
          <w:rtl/>
        </w:rPr>
        <w:t>1)[</w:t>
      </w:r>
      <w:r w:rsidRPr="0092054C">
        <w:rPr>
          <w:rStyle w:val="Style1Char"/>
          <w:rtl/>
        </w:rPr>
        <w:t>שולחן ערוך חושן משפט הלכות חזקת קרקעות סימן קמ סעיף א</w:t>
      </w:r>
      <w:r w:rsidRPr="004560D4">
        <w:rPr>
          <w:rStyle w:val="Style1Char"/>
          <w:rFonts w:hint="cs"/>
          <w:rtl/>
        </w:rPr>
        <w:t>]</w:t>
      </w:r>
      <w:r w:rsidR="004560D4" w:rsidRPr="004560D4">
        <w:rPr>
          <w:rStyle w:val="Style1Char"/>
          <w:rFonts w:hint="cs"/>
          <w:rtl/>
        </w:rPr>
        <w:t xml:space="preserve"> </w:t>
      </w:r>
      <w:r w:rsidR="004560D4" w:rsidRPr="004560D4">
        <w:rPr>
          <w:rtl/>
        </w:rPr>
        <w:t>קרקע בחזקת בעליה עומדת שקרקע הידוע לראובן בעדים שיודעים שהיה בחזקתו אפילו יום אחד והוא עתה בחזקת שמעון ומחזיק בו ואוכל פירותיו וטוען שלקחו וראובן מערער לומר שהיא גזולה בידו נאמן וישבע שבועת היסת ונוטל את שלו אא"כ החזיק בו שמעון כראוי ובטענה אז אין מוציאין אותו מידו אלא נשבע (היסת) ועומד בשלו ואם אין עדים לראובן שהיה שלו אין צריך שמעון חזקה אלא נשבע ועומד בשלו אע"פ שלא החזיק בו</w:t>
      </w:r>
      <w:r w:rsidR="004560D4" w:rsidRPr="004560D4">
        <w:t>.</w:t>
      </w:r>
    </w:p>
    <w:p w14:paraId="16793A58" w14:textId="7283549F" w:rsidR="004560D4" w:rsidRDefault="004560D4" w:rsidP="004560D4">
      <w:pPr>
        <w:pStyle w:val="Style1"/>
        <w:rPr>
          <w:rtl/>
        </w:rPr>
      </w:pPr>
      <w:r w:rsidRPr="004560D4">
        <w:rPr>
          <w:rFonts w:hint="cs"/>
        </w:rPr>
        <w:t>(</w:t>
      </w:r>
      <w:r w:rsidRPr="004560D4">
        <w:rPr>
          <w:rFonts w:hint="cs"/>
          <w:rtl/>
        </w:rPr>
        <w:t>ועיין לעיל ריש </w:t>
      </w:r>
      <w:hyperlink r:id="rId35" w:tooltip="שולחן ערוך חושן משפט צה" w:history="1">
        <w:r w:rsidRPr="004560D4">
          <w:rPr>
            <w:rStyle w:val="Hyperlink"/>
            <w:rFonts w:hint="cs"/>
            <w:color w:val="7030A0"/>
            <w:u w:val="none"/>
            <w:rtl/>
          </w:rPr>
          <w:t>סי' צ"ה</w:t>
        </w:r>
      </w:hyperlink>
      <w:r w:rsidRPr="004560D4">
        <w:rPr>
          <w:rFonts w:hint="cs"/>
        </w:rPr>
        <w:t> </w:t>
      </w:r>
      <w:r w:rsidRPr="004560D4">
        <w:rPr>
          <w:rFonts w:hint="cs"/>
          <w:rtl/>
        </w:rPr>
        <w:t>דאין נשבעים על קרקעות רק היסת</w:t>
      </w:r>
      <w:r w:rsidRPr="004560D4">
        <w:rPr>
          <w:rFonts w:hint="cs"/>
        </w:rPr>
        <w:t>)</w:t>
      </w:r>
      <w:r w:rsidRPr="004560D4">
        <w:t>:</w:t>
      </w:r>
    </w:p>
    <w:p w14:paraId="335249E1" w14:textId="4BBD1C1C" w:rsidR="006C381A" w:rsidRDefault="006C381A" w:rsidP="006C381A">
      <w:pPr>
        <w:pStyle w:val="Style1"/>
        <w:rPr>
          <w:rtl/>
        </w:rPr>
      </w:pPr>
      <w:r>
        <w:rPr>
          <w:rFonts w:hint="cs"/>
          <w:rtl/>
        </w:rPr>
        <w:t>2)[</w:t>
      </w:r>
      <w:r>
        <w:rPr>
          <w:rtl/>
        </w:rPr>
        <w:t>רמב</w:t>
      </w:r>
      <w:r w:rsidR="0057095E">
        <w:rPr>
          <w:rtl/>
        </w:rPr>
        <w:t>”ם \משפטים\</w:t>
      </w:r>
      <w:r>
        <w:rPr>
          <w:rtl/>
        </w:rPr>
        <w:t xml:space="preserve"> הלכות טוען ונטען פרק יב הלכה ח</w:t>
      </w:r>
      <w:r>
        <w:rPr>
          <w:rFonts w:hint="cs"/>
          <w:rtl/>
        </w:rPr>
        <w:t xml:space="preserve">] </w:t>
      </w:r>
      <w:r>
        <w:rPr>
          <w:rtl/>
        </w:rPr>
        <w:t>אכלה בפני האב שהיה בעל השדה שנה ובפני בנו שתים, או בפני האב שתים ובפני הבן שנה, או בפני האב שנה ובפני בנו שנה ובפני לוקח מן הבן שנה, הרי זו חזקה, והוא שמכר הבן זו השדה בכלל שדותיו שהרי לא הכיר המחזיק שנמכרה ולפיכך לא נזהר בשטרו, אבל אם מכר הבן שדה זו בפני עצמה אין לך מחאה גדולה מזו.</w:t>
      </w:r>
    </w:p>
    <w:p w14:paraId="6F0B46AC" w14:textId="608066BF" w:rsidR="00FB2D1D" w:rsidRDefault="00FB2D1D" w:rsidP="00FB2D1D">
      <w:pPr>
        <w:pStyle w:val="Style1"/>
        <w:rPr>
          <w:rtl/>
        </w:rPr>
      </w:pPr>
      <w:r>
        <w:rPr>
          <w:rFonts w:hint="cs"/>
          <w:rtl/>
        </w:rPr>
        <w:t>2)[</w:t>
      </w:r>
      <w:r>
        <w:rPr>
          <w:rtl/>
        </w:rPr>
        <w:t>שולחן ערוך חושן משפט הלכות חזקת קרקעות סימן קמד סעיף ד</w:t>
      </w:r>
      <w:r>
        <w:rPr>
          <w:rFonts w:hint="cs"/>
          <w:rtl/>
        </w:rPr>
        <w:t>]</w:t>
      </w:r>
      <w:r w:rsidR="00D366C1">
        <w:rPr>
          <w:rFonts w:hint="cs"/>
          <w:rtl/>
        </w:rPr>
        <w:t xml:space="preserve"> </w:t>
      </w:r>
      <w:r w:rsidR="00D366C1" w:rsidRPr="00D366C1">
        <w:rPr>
          <w:rtl/>
        </w:rPr>
        <w:t>אכלה בחיי האב שהיה בעל השדה שנה ובפני בנו שתים או בפני האב שתים ובפני בנו שנה או בפני האב שנה ובפני הבן שנה ובפני הלוקח מהבן שנה ה"ז חזקה והוא שמכר הבן שדה זו בכלל שדותיו שהרי לא הכיר המחזיק שנמכרה ולפיכך לא נזהר בשטרו אבל אם מכר הבן שדה זו בפני עצמו ושדה זו בפני עצמו אין לך מחאה גדולה מזו והוא שמכרה בשטר וי"א אפילו שלא בשטר</w:t>
      </w:r>
      <w:r w:rsidR="00D366C1" w:rsidRPr="00D366C1">
        <w:t>:</w:t>
      </w:r>
    </w:p>
    <w:p w14:paraId="38F2A8CB" w14:textId="72BA4AE9" w:rsidR="00391D6B" w:rsidRDefault="00391D6B" w:rsidP="00391D6B">
      <w:pPr>
        <w:pStyle w:val="Style1"/>
        <w:rPr>
          <w:rtl/>
        </w:rPr>
      </w:pPr>
      <w:r>
        <w:rPr>
          <w:rFonts w:hint="cs"/>
          <w:rtl/>
        </w:rPr>
        <w:t>3)[</w:t>
      </w:r>
      <w:r>
        <w:rPr>
          <w:rtl/>
        </w:rPr>
        <w:t>רמב</w:t>
      </w:r>
      <w:r w:rsidR="0057095E">
        <w:rPr>
          <w:rtl/>
        </w:rPr>
        <w:t>”ם \משפטים\</w:t>
      </w:r>
      <w:r>
        <w:rPr>
          <w:rtl/>
        </w:rPr>
        <w:t xml:space="preserve"> הלכות טוען ונטען פרק יד הלכה י</w:t>
      </w:r>
      <w:r>
        <w:rPr>
          <w:rFonts w:hint="cs"/>
          <w:rtl/>
        </w:rPr>
        <w:t xml:space="preserve">] </w:t>
      </w:r>
      <w:r>
        <w:rPr>
          <w:rtl/>
        </w:rPr>
        <w:t>בורח שברח מחמת סכנת נפשות כגון שהיה המלך מבקש להמיתו, אין מחזיקין בנכסיו אפילו אכל המחזיק כמה שנים וטען שלקח אין אכילתו ראיה, ואין אומרים לבעל השדה למה לא מחית מפני שהוא מתעסק בנפשו, אבל הבורח מחמת ממון הרי הוא ככל אדם ואם לא מיחה מחזיקין בנכסיו.</w:t>
      </w:r>
    </w:p>
    <w:p w14:paraId="29BF18D8" w14:textId="743A0B2F" w:rsidR="0085056A" w:rsidRDefault="0085056A" w:rsidP="0085056A">
      <w:pPr>
        <w:pStyle w:val="Style1"/>
        <w:rPr>
          <w:rtl/>
        </w:rPr>
      </w:pPr>
      <w:r>
        <w:rPr>
          <w:rFonts w:hint="cs"/>
          <w:rtl/>
        </w:rPr>
        <w:t>3)[</w:t>
      </w:r>
      <w:r>
        <w:rPr>
          <w:rtl/>
        </w:rPr>
        <w:t>שולחן ערוך חושן משפט הלכות חזקת קרקעות סימן קמג סעיף ג</w:t>
      </w:r>
      <w:r>
        <w:rPr>
          <w:rFonts w:hint="cs"/>
          <w:rtl/>
        </w:rPr>
        <w:t xml:space="preserve">] </w:t>
      </w:r>
      <w:r>
        <w:rPr>
          <w:rtl/>
        </w:rPr>
        <w:t>ברח המערער מחמת סכנת נפשות, אין מחזיקין בנכסיו, שירא למחות פן יוודע מקומו וירדו אחריו. אבל אם ברח מחמת ממון, מחזיקין בנכסיו, שאינו ירא כל כך.</w:t>
      </w:r>
    </w:p>
    <w:p w14:paraId="71CBFFEF" w14:textId="6C28E7B7" w:rsidR="009E1126" w:rsidRDefault="009E1126" w:rsidP="009E1126">
      <w:pPr>
        <w:pStyle w:val="Style1"/>
        <w:rPr>
          <w:rtl/>
        </w:rPr>
      </w:pPr>
      <w:r>
        <w:rPr>
          <w:rFonts w:hint="cs"/>
          <w:rtl/>
        </w:rPr>
        <w:t>4)[</w:t>
      </w:r>
      <w:r>
        <w:rPr>
          <w:rtl/>
        </w:rPr>
        <w:t>רמב</w:t>
      </w:r>
      <w:r w:rsidR="0057095E">
        <w:rPr>
          <w:rtl/>
        </w:rPr>
        <w:t>”ם \משפטים\</w:t>
      </w:r>
      <w:r>
        <w:rPr>
          <w:rtl/>
        </w:rPr>
        <w:t xml:space="preserve"> הלכות טוען ונטען פרק יא הלכה ה</w:t>
      </w:r>
      <w:r>
        <w:rPr>
          <w:rFonts w:hint="cs"/>
          <w:rtl/>
        </w:rPr>
        <w:t xml:space="preserve">] </w:t>
      </w:r>
      <w:r>
        <w:rPr>
          <w:rtl/>
        </w:rPr>
        <w:t>הרי שמיחה שמעון במדינה רחוקה מפני מה לא יטעון ראובן ויאמר לא שמעתי שמיחה בי כדי שאזהר בשטר, מפני שאומר לו חברך יש לו חבר וחבירו יש לו חבר וחזקה שהגיע אליך הדבר וכיון שידעת שמיחה בך בתוך שלש שנים אם באמת היה לך שטר ולא נזהרת בו אתה הפסדת על עצמך.</w:t>
      </w:r>
    </w:p>
    <w:p w14:paraId="4DD4F82A" w14:textId="01463622" w:rsidR="00FB2D1D" w:rsidRPr="00641457" w:rsidRDefault="00423455" w:rsidP="00641457">
      <w:pPr>
        <w:pStyle w:val="Style1"/>
      </w:pPr>
      <w:r>
        <w:rPr>
          <w:rFonts w:hint="cs"/>
          <w:rtl/>
        </w:rPr>
        <w:t>4)[</w:t>
      </w:r>
      <w:r>
        <w:rPr>
          <w:rtl/>
        </w:rPr>
        <w:t>שולחן ערוך חושן משפט הלכות חזקת קרקעות סימן קמו סעיף א</w:t>
      </w:r>
      <w:r>
        <w:rPr>
          <w:rFonts w:hint="cs"/>
          <w:rtl/>
        </w:rPr>
        <w:t>]</w:t>
      </w:r>
      <w:r w:rsidR="00641457">
        <w:rPr>
          <w:rFonts w:hint="cs"/>
          <w:rtl/>
        </w:rPr>
        <w:t xml:space="preserve"> </w:t>
      </w:r>
      <w:r w:rsidR="00641457" w:rsidRPr="00641457">
        <w:rPr>
          <w:rtl/>
        </w:rPr>
        <w:t>מחאה מבטלת החזקה אפילו מיחה המערער שלא בפני המחזיק אפילו הוא במדינה אחרת אם שיירות מצויות ביניהם ובלבד שתהיה בפני עדים ודי בפני ב' ואפילו זקנים וחולים אע"פ שאינם יכולים לילך ולהודיע למחזיק שהם יאמרו הדבר לאחרים ואחרים לאחרים עד שישמע למחזיק</w:t>
      </w:r>
      <w:r w:rsidR="00641457" w:rsidRPr="00641457">
        <w:t>:</w:t>
      </w:r>
    </w:p>
    <w:p w14:paraId="2724ABC2" w14:textId="43BFFC0A" w:rsidR="0092054C" w:rsidRPr="00641457" w:rsidRDefault="0092054C" w:rsidP="00641457">
      <w:pPr>
        <w:pStyle w:val="Style1"/>
        <w:rPr>
          <w:rStyle w:val="Style1Char"/>
        </w:rPr>
      </w:pPr>
    </w:p>
    <w:p w14:paraId="7EFE7D57" w14:textId="115FE266" w:rsidR="0092054C" w:rsidRPr="00641457" w:rsidRDefault="0092054C" w:rsidP="00641457">
      <w:pPr>
        <w:pStyle w:val="Style1"/>
        <w:rPr>
          <w:rStyle w:val="Style1Char"/>
        </w:rPr>
      </w:pPr>
    </w:p>
    <w:p w14:paraId="4AD8BC87" w14:textId="77777777" w:rsidR="00DA1858" w:rsidRPr="00BF6982" w:rsidRDefault="00DA1858" w:rsidP="00DA1858">
      <w:pPr>
        <w:bidi/>
        <w:rPr>
          <w:rStyle w:val="Style1Char"/>
          <w:color w:val="00B050"/>
          <w:rtl/>
        </w:rPr>
      </w:pPr>
    </w:p>
    <w:p w14:paraId="77C567B3" w14:textId="77777777" w:rsidR="00DA1858" w:rsidRDefault="00DA1858" w:rsidP="00DA1858">
      <w:pPr>
        <w:rPr>
          <w:rStyle w:val="Style1Char"/>
          <w:color w:val="00B050"/>
          <w:rtl/>
        </w:rPr>
      </w:pPr>
      <w:r>
        <w:rPr>
          <w:rStyle w:val="Style1Char"/>
          <w:color w:val="00B050"/>
          <w:rtl/>
        </w:rPr>
        <w:br w:type="page"/>
      </w:r>
    </w:p>
    <w:p w14:paraId="6B282401" w14:textId="2501780B" w:rsidR="00DA1858" w:rsidRDefault="00DA1858" w:rsidP="00DA1858">
      <w:pPr>
        <w:bidi/>
        <w:rPr>
          <w:rStyle w:val="Style1Char"/>
          <w:color w:val="00B050"/>
          <w:rtl/>
        </w:rPr>
      </w:pPr>
      <w:r w:rsidRPr="007F4F0F">
        <w:rPr>
          <w:rStyle w:val="Style1Char"/>
          <w:color w:val="00B050"/>
          <w:sz w:val="22"/>
          <w:szCs w:val="22"/>
          <w:highlight w:val="yellow"/>
          <w:rtl/>
        </w:rPr>
        <w:lastRenderedPageBreak/>
        <w:t>[דף יח עמוד א]</w:t>
      </w:r>
      <w:r w:rsidRPr="007F4F0F">
        <w:rPr>
          <w:rStyle w:val="Style1Char"/>
          <w:color w:val="00B050"/>
          <w:sz w:val="22"/>
          <w:szCs w:val="22"/>
          <w:rtl/>
        </w:rPr>
        <w:t xml:space="preserve"> </w:t>
      </w:r>
      <w:r w:rsidRPr="00887069">
        <w:rPr>
          <w:rStyle w:val="Style1Char"/>
          <w:color w:val="00B050"/>
          <w:rtl/>
        </w:rPr>
        <w:t xml:space="preserve">דסתם יהודה וגליל כשעת חירום דמו. וליתני: מודה רבי יהושע, באומר לחבירו מנה לויתי ממך ופרעתיו לך - שהוא נאמן! משום דקא בעי למיתני סיפא: אם יש עדים שהוא לוה ממנו, והוא אומר פרעתיו - אינו נאמן, והא קיימא לן: </w:t>
      </w:r>
      <w:r w:rsidR="006C0AA6">
        <w:rPr>
          <w:rStyle w:val="Style1Char"/>
          <w:rFonts w:hint="cs"/>
          <w:rtl/>
        </w:rPr>
        <w:t>(1)</w:t>
      </w:r>
      <w:r w:rsidRPr="00887069">
        <w:rPr>
          <w:rStyle w:val="Style1Char"/>
          <w:color w:val="00B050"/>
          <w:rtl/>
        </w:rPr>
        <w:t xml:space="preserve">המלוה את חבירו בעדים - אינו צריך לפרעו בעדים. וליתני: מודה ר' יהושע, באומר לחבירו מנה לאביך בידי והאכלתיו פרס - שהוא נאמן! אליבא דמאן? אי אליבא דרבנן, הא אמרי: משיב אבידה הוי, אי אליבא דרבי אליעזר בן יעקב, הא אמר: שבועה בעי; דתניא, רבי אליעזר בן יעקב אומר: פעמים שאדם נשבע על טענת עצמו, כיצד? מנה לאביך בידי והאכלתיו פרס - הרי זה נשבע, וזהו שנשבע על טענת עצמו; וחכמים אומרים: </w:t>
      </w:r>
      <w:r w:rsidR="003E00DE">
        <w:rPr>
          <w:rStyle w:val="Style1Char"/>
          <w:rFonts w:hint="cs"/>
          <w:rtl/>
        </w:rPr>
        <w:t>(2)</w:t>
      </w:r>
      <w:r w:rsidRPr="00887069">
        <w:rPr>
          <w:rStyle w:val="Style1Char"/>
          <w:color w:val="00B050"/>
          <w:rtl/>
        </w:rPr>
        <w:t xml:space="preserve">אינו אלא כמשיב אבידה ופטור. ור' אליעזר בן יעקב לית ליה משיב אבידה פטור? אמר רב: בטוענו קטן. והאמר מר: </w:t>
      </w:r>
      <w:r w:rsidR="0064524C">
        <w:rPr>
          <w:rStyle w:val="Style1Char"/>
          <w:rFonts w:hint="cs"/>
          <w:rtl/>
        </w:rPr>
        <w:t>(3)</w:t>
      </w:r>
      <w:r w:rsidRPr="00887069">
        <w:rPr>
          <w:rStyle w:val="Style1Char"/>
          <w:color w:val="00B050"/>
          <w:rtl/>
        </w:rPr>
        <w:t xml:space="preserve">אין נשבעין על טענת חרש שוטה וקטן! מאי קטן? גדול, ואמאי קרי ליה קטן? דלגבי מילי דאביו קטן הוא. אי הכי, טענת עצמו טענת אחרים היא! טענת אחרים והודאת עצמו. כולהי טענתא טענת אחרים והודאת עצמו נינהו! אלא, הכא בדרבה קמיפלגי, דאמר רבה: מפני מה אמרה תורה מודה מקצת הטענה ישבע? חזקה אין אדם מעיז פניו בפני בעל חובו, והאי בכולה בעי דלכפריה, והאי דלא כפר ליה - משום דאין אדם מעיז פניו הוא, </w:t>
      </w:r>
    </w:p>
    <w:p w14:paraId="3DDDB07B" w14:textId="526B61E5" w:rsidR="001E100C" w:rsidRDefault="001E100C" w:rsidP="001E100C">
      <w:pPr>
        <w:pStyle w:val="Style1"/>
        <w:rPr>
          <w:rStyle w:val="Style1Char"/>
          <w:rtl/>
        </w:rPr>
      </w:pPr>
      <w:r>
        <w:rPr>
          <w:rStyle w:val="Style1Char"/>
          <w:rFonts w:hint="cs"/>
          <w:rtl/>
        </w:rPr>
        <w:t>1)[</w:t>
      </w:r>
      <w:r w:rsidRPr="001E100C">
        <w:rPr>
          <w:rStyle w:val="Style1Char"/>
          <w:rtl/>
        </w:rPr>
        <w:t>רמב</w:t>
      </w:r>
      <w:r w:rsidR="0057095E">
        <w:rPr>
          <w:rStyle w:val="Style1Char"/>
          <w:rtl/>
        </w:rPr>
        <w:t>”ם \משפטים\</w:t>
      </w:r>
      <w:r w:rsidRPr="001E100C">
        <w:rPr>
          <w:rStyle w:val="Style1Char"/>
          <w:rtl/>
        </w:rPr>
        <w:t xml:space="preserve"> הלכות מלוה ולוה פרק יא הלכה א</w:t>
      </w:r>
      <w:r>
        <w:rPr>
          <w:rStyle w:val="Style1Char"/>
          <w:rFonts w:hint="cs"/>
          <w:rtl/>
        </w:rPr>
        <w:t xml:space="preserve">] </w:t>
      </w:r>
      <w:r w:rsidRPr="001E100C">
        <w:rPr>
          <w:rStyle w:val="Style1Char"/>
          <w:rtl/>
        </w:rPr>
        <w:t>המלוה את חבירו בפני עדים או שאמר לעדים היו עלי עדים שאני חייב לזה מנה או אתם עדי שאני חייב לזה מנה זו נקראת מלוה על פה וא"צ לפורעו בעדים לפיכך אם טען ואמר אחר כך פרעתי נשבע היסת ונפטר, אבל המלוה את חבירו בשטר צריך לפרעו בעדים לפיכך אם טען ואמר פרעתי שטר זה אינו נאמן אלא אומרים לו או הבא עדים או עמוד ושלם לו חובו, לפיכך האומר לעדים היו עלי עדים שאני חייב לזה מנה אין כותבין עדותן ונותנין למלוה שלא יחזירו למלוה על פה עדות בשטר עד שיאמר להן הלוה כתבו שטר וחתמו ותנו לו, אף על פי שאמר להן כך צריכין להמלך בו אחר שחתמו בשטר ואח"כ נותנין השטר ביד המלוה, קנו מידו שהוא חייב לו מנה הרי אלו כותבין ונותנין אף על פי שלא אמר להן כתובו שסתם קנין לכתיבה עומד ואינן צריכין להמלך בו. /השגת הראב"ד/ לפיכך האומר היו עלי עדים וכו' עד ביד המלוה. א"א אני קבלתי שלא נאמר בגמרא אלא בכותב כתובה לאשתו ומוסיף לה אבל בהודאות והלואות לא צריך לאימלוכי ביה עכ"ל.</w:t>
      </w:r>
    </w:p>
    <w:p w14:paraId="777C71B9" w14:textId="77777777" w:rsidR="001D3739" w:rsidRPr="001D3739" w:rsidRDefault="006A336B" w:rsidP="001D3739">
      <w:pPr>
        <w:pStyle w:val="Style1"/>
      </w:pPr>
      <w:r>
        <w:rPr>
          <w:rStyle w:val="Style1Char"/>
          <w:rFonts w:hint="cs"/>
          <w:rtl/>
        </w:rPr>
        <w:t>1)[</w:t>
      </w:r>
      <w:r w:rsidRPr="006A336B">
        <w:rPr>
          <w:rStyle w:val="Style1Char"/>
          <w:rtl/>
        </w:rPr>
        <w:t>שולחן ערוך חושן משפט הלכות הלואה סימן ע סעיף א</w:t>
      </w:r>
      <w:r>
        <w:rPr>
          <w:rStyle w:val="Style1Char"/>
          <w:rFonts w:hint="cs"/>
          <w:rtl/>
        </w:rPr>
        <w:t>]</w:t>
      </w:r>
      <w:r w:rsidR="001D3739">
        <w:rPr>
          <w:rStyle w:val="Style1Char"/>
          <w:rFonts w:hint="cs"/>
          <w:rtl/>
        </w:rPr>
        <w:t xml:space="preserve"> </w:t>
      </w:r>
      <w:r w:rsidR="001D3739" w:rsidRPr="001D3739">
        <w:rPr>
          <w:rtl/>
        </w:rPr>
        <w:t>אסור להלוות בלא עדים ואפי' לתלמיד חכם אלא א"כ הלוהו על המשכון והמלוה בשטר משובח יותר וכל המלוה בלא עדים עובר משום לפני עור לא תתן מכשול וגורם קללה לעצמו המלוה את חבירו בעדים בלא קנין ובלא שטר אין צריך לפרעו בעדים אלא נאמן בשבועת היסת לומר פרעתיך</w:t>
      </w:r>
      <w:r w:rsidR="001D3739" w:rsidRPr="001D3739">
        <w:t>:</w:t>
      </w:r>
    </w:p>
    <w:p w14:paraId="7C23C009" w14:textId="44670388" w:rsidR="001D3739" w:rsidRDefault="001D3739" w:rsidP="001D3739">
      <w:pPr>
        <w:pStyle w:val="Style1"/>
        <w:rPr>
          <w:rtl/>
        </w:rPr>
      </w:pPr>
      <w:r w:rsidRPr="001D3739">
        <w:rPr>
          <w:rFonts w:hint="cs"/>
          <w:rtl/>
        </w:rPr>
        <w:t>הגה: אבל אם קבל קנין אפי' בלא שטר לא יוכל לומר פרעתי דהוי כשטר דכל קנין לכתיבה עומד (ב"י בשם התרומות בשער כ"ה ומרדכי פ"ק דכתובות) ויש חולקין (שם במרדכי) וע"ל </w:t>
      </w:r>
      <w:hyperlink r:id="rId36" w:anchor="%D7%A1%D7%A2%D7%99%D7%A3_%D7%94" w:tooltip="שולחן ערוך חושן משפט לט" w:history="1">
        <w:r w:rsidRPr="001D3739">
          <w:rPr>
            <w:rStyle w:val="Hyperlink"/>
            <w:rFonts w:hint="cs"/>
            <w:color w:val="7030A0"/>
            <w:u w:val="none"/>
            <w:rtl/>
          </w:rPr>
          <w:t>סי' ל"ט סעיף ה</w:t>
        </w:r>
        <w:r w:rsidRPr="001D3739">
          <w:rPr>
            <w:rStyle w:val="Hyperlink"/>
            <w:rFonts w:hint="cs"/>
            <w:color w:val="7030A0"/>
            <w:u w:val="none"/>
          </w:rPr>
          <w:t>'</w:t>
        </w:r>
      </w:hyperlink>
      <w:r w:rsidRPr="001D3739">
        <w:rPr>
          <w:rFonts w:hint="cs"/>
        </w:rPr>
        <w:t> </w:t>
      </w:r>
      <w:r w:rsidRPr="001D3739">
        <w:rPr>
          <w:rFonts w:hint="cs"/>
          <w:rtl/>
        </w:rPr>
        <w:t>וכ"מ שנאמן לומר פרעתי נאמן לו' מחלת לי אע"פ שמחילה טענה גרועה היא (מרדכי פ' השותפין וכ"כ לקמן </w:t>
      </w:r>
      <w:hyperlink r:id="rId37" w:tooltip="שולחן ערוך חושן משפט פב" w:history="1">
        <w:r w:rsidRPr="001D3739">
          <w:rPr>
            <w:rStyle w:val="Hyperlink"/>
            <w:rFonts w:hint="cs"/>
            <w:color w:val="7030A0"/>
            <w:u w:val="none"/>
            <w:rtl/>
          </w:rPr>
          <w:t>סי' פ"ב</w:t>
        </w:r>
      </w:hyperlink>
      <w:r w:rsidRPr="001D3739">
        <w:rPr>
          <w:rFonts w:hint="cs"/>
        </w:rPr>
        <w:t>)</w:t>
      </w:r>
      <w:r w:rsidRPr="001D3739">
        <w:t>:</w:t>
      </w:r>
    </w:p>
    <w:p w14:paraId="3EFF4176" w14:textId="6BA15EB4" w:rsidR="0064524C" w:rsidRDefault="0064524C" w:rsidP="0064524C">
      <w:pPr>
        <w:pStyle w:val="Style1"/>
        <w:rPr>
          <w:rtl/>
        </w:rPr>
      </w:pPr>
      <w:r>
        <w:rPr>
          <w:rFonts w:hint="cs"/>
          <w:rtl/>
        </w:rPr>
        <w:t>2)[</w:t>
      </w:r>
      <w:r>
        <w:rPr>
          <w:rtl/>
        </w:rPr>
        <w:t>רמב</w:t>
      </w:r>
      <w:r w:rsidR="0057095E">
        <w:rPr>
          <w:rtl/>
        </w:rPr>
        <w:t>”ם \משפטים\</w:t>
      </w:r>
      <w:r>
        <w:rPr>
          <w:rtl/>
        </w:rPr>
        <w:t xml:space="preserve"> הלכות טוען ונטען פרק ד הלכה ה</w:t>
      </w:r>
      <w:r>
        <w:rPr>
          <w:rFonts w:hint="cs"/>
          <w:rtl/>
        </w:rPr>
        <w:t xml:space="preserve">] </w:t>
      </w:r>
      <w:r>
        <w:rPr>
          <w:rtl/>
        </w:rPr>
        <w:t>שטר שכתוב בו סלעים ולא הזכיר מנין, מלוה אומר חמש סלעים שיש לי בידך הם הכתובים בו והלוה אומר אין לך בידי אלא שלש והם הכתובים בשטר, אף על פי שאין מחייבין אותו בשטר זה אלא בשתים והרי הודה בסלע שאפשר לכפור בה הרי זה פטור מפני שהוא כמשיב אבדה ותקנת חכמים היא שכל שישיב אבדה לא ישבע כמו שביארנו במקומו, וכן האומר לחבירו אמר לי אבא שיש לי בידך מנה והלה אומר אין לך בידי אלא חמשים הרי זה משיב אבדה ופטור אף משבועת היסת, ואין צריך לומר אם הודה מעצמו ואמר מנה היה לאביך בידי ונתתי לו חמשים דינרין ונשאר לו חמשים שזה פטור אף משבועת היסת, אבל יורש שטען ואמר אני יודע בודאי שיש לאבי בידך או ביד אביך מנה והוא אומר אין לו בידי אלא חמשים או אין לך ביד אבי אלא חמשים הרי זה מודה מקצת וישבע. /השגת הראב"ד/ וכן האומר לחבירו וכו' עד משבועת היסת. א"א אני אומר שזה מחלוקת ראב"י וחכמים ופסק הרב שהלכה כמותו עכ"ל.</w:t>
      </w:r>
    </w:p>
    <w:p w14:paraId="6B94065C" w14:textId="6FDF486A" w:rsidR="00E633B5" w:rsidRDefault="00E633B5" w:rsidP="00E633B5">
      <w:pPr>
        <w:pStyle w:val="Style1"/>
        <w:rPr>
          <w:rtl/>
        </w:rPr>
      </w:pPr>
      <w:r>
        <w:rPr>
          <w:rFonts w:hint="cs"/>
          <w:rtl/>
        </w:rPr>
        <w:t>2)[</w:t>
      </w:r>
      <w:r>
        <w:rPr>
          <w:rtl/>
        </w:rPr>
        <w:t>שולחן ערוך חושן משפט הלכות טוען ונטען סימן עה סעיף ג</w:t>
      </w:r>
      <w:r>
        <w:rPr>
          <w:rFonts w:hint="cs"/>
          <w:rtl/>
        </w:rPr>
        <w:t>]</w:t>
      </w:r>
      <w:r w:rsidR="005B6980">
        <w:rPr>
          <w:rFonts w:hint="cs"/>
          <w:rtl/>
        </w:rPr>
        <w:t xml:space="preserve"> </w:t>
      </w:r>
      <w:r w:rsidR="005B6980" w:rsidRPr="005B6980">
        <w:rPr>
          <w:rtl/>
        </w:rPr>
        <w:t>אם לא תבעו אדם אלא הוא מעצמו אומר מנה היה לאביך בידי ונתתי לו חמשים ונשאר לו חמשים פטור אף משבועת היסת (בעה"ת שער ז ושער ל"ח ורמב"ם פ"ד מהל' טוען דין זה)</w:t>
      </w:r>
      <w:r w:rsidR="005B6980" w:rsidRPr="005B6980">
        <w:t>:</w:t>
      </w:r>
    </w:p>
    <w:p w14:paraId="63E9FBDF" w14:textId="2DC35B73" w:rsidR="005B4958" w:rsidRDefault="005B4958" w:rsidP="005B4958">
      <w:pPr>
        <w:pStyle w:val="Style1"/>
        <w:rPr>
          <w:rtl/>
        </w:rPr>
      </w:pPr>
      <w:r>
        <w:rPr>
          <w:rFonts w:hint="cs"/>
          <w:rtl/>
        </w:rPr>
        <w:t>3)[</w:t>
      </w:r>
      <w:r>
        <w:rPr>
          <w:rtl/>
        </w:rPr>
        <w:t>רמב</w:t>
      </w:r>
      <w:r w:rsidR="0057095E">
        <w:rPr>
          <w:rtl/>
        </w:rPr>
        <w:t>”ם \משפטים\</w:t>
      </w:r>
      <w:r>
        <w:rPr>
          <w:rtl/>
        </w:rPr>
        <w:t xml:space="preserve"> הלכות טוען ונטען פרק ה הלכה ט</w:t>
      </w:r>
      <w:r>
        <w:rPr>
          <w:rFonts w:hint="cs"/>
          <w:rtl/>
        </w:rPr>
        <w:t xml:space="preserve">] </w:t>
      </w:r>
      <w:r>
        <w:rPr>
          <w:rtl/>
        </w:rPr>
        <w:t>אין נשבעין על טענת חרש שוטה וקטן, אחד הבא בטענת עצמו או בטענת אביו לפי שזה המקצת שהודה בו לקטן אינו אלא כמשיב אבדה, וכן אם כפר בכל ובא עד אחד והעיד לקטן אינו נשבע שזה עד אחד ואין שם תובע שתביעת קטן אינה תביעה גמורה, נמצאת אומר קטן שאמר לגדול מנה לי בידך, או אבא היה לו בידך והלה אומר אין לך בידי אלא חמשים או אין לך בידי כלום ועד אחד מעידו שיש לו הרי זה פטור משבועת התורה, אבל אם שמר לקטן וטען שאבד הרי זה נשבע שבועת השומרין לפי שאינו נשבע מחמת טענה, וכן אם הודה שהיה שותף לקטן או אפוטרופוס עליו יעמידו בית דין אפוטרופוס לקטן וישבע השותף וכיוצא בו בטענת שמא. /השגת הראב"ד/ וכן אם הודה שהיה וכו' עד טענת שמא. א"א נראין הדברים שנמסר החפץ לידו לשמירה מחיי אביו וכן השותף שהיה מחיי אביו והאפוטרופוס שמינוהו בית דין ומסתלק כשהוא קטן וזה אינו מן המנין שבית דין משביעין אותו עכ"ל.</w:t>
      </w:r>
    </w:p>
    <w:p w14:paraId="0FEA55E0" w14:textId="04BEF8CC" w:rsidR="000A4F1A" w:rsidRPr="000A4F1A" w:rsidRDefault="00A309B1" w:rsidP="000A4F1A">
      <w:pPr>
        <w:pStyle w:val="Style1"/>
      </w:pPr>
      <w:r>
        <w:rPr>
          <w:rFonts w:hint="cs"/>
          <w:rtl/>
        </w:rPr>
        <w:t>3)[</w:t>
      </w:r>
      <w:r>
        <w:rPr>
          <w:rtl/>
        </w:rPr>
        <w:t>שולחן ערוך חושן משפט הלכות טוען ונטען סימן צו סעיף א</w:t>
      </w:r>
      <w:r>
        <w:rPr>
          <w:rFonts w:hint="cs"/>
          <w:rtl/>
        </w:rPr>
        <w:t>]</w:t>
      </w:r>
      <w:r w:rsidR="000A4F1A">
        <w:rPr>
          <w:rFonts w:hint="cs"/>
          <w:rtl/>
        </w:rPr>
        <w:t xml:space="preserve"> </w:t>
      </w:r>
      <w:r w:rsidR="000A4F1A" w:rsidRPr="000A4F1A">
        <w:rPr>
          <w:rtl/>
        </w:rPr>
        <w:t>אין נשבעין על טענת חרש שוטה וקטן אחד הבא בטענת עצמו או בטענת אביו לפי שזה המקצת שהודה בו לקטן אינו אלא כמשיב אבידה וכן אם כפר בכל ובא עד אחד והעיד לקטן אינו נשבע שזה עד א' ואין שם תובע שתביעת הקטן אינה תביעה גמורה </w:t>
      </w:r>
      <w:r w:rsidR="000A4F1A" w:rsidRPr="000A4F1A">
        <w:rPr>
          <w:rFonts w:hint="cs"/>
          <w:rtl/>
        </w:rPr>
        <w:t>(וי"א דצריך לישבע על פי העד) (טור ומרדכי פרק הדיינים)</w:t>
      </w:r>
      <w:r w:rsidR="000A4F1A" w:rsidRPr="000A4F1A">
        <w:rPr>
          <w:rtl/>
        </w:rPr>
        <w:t> נמצאת אומר קטן שאמר לגדול מנה לי בידך או אבא היה לו בידך והלה אומר אין לך בידי אלא חמשים או אין לך בידי כלום ועד אחד מעידו שיש לו ה"ז פטור משבועת התורה אבל אם שמר לקטן וטוען שאבד ה"ז נשבע שבועת השומרים לפי שאינו נשבע מחמת טענה</w:t>
      </w:r>
      <w:r w:rsidR="000A4F1A" w:rsidRPr="000A4F1A">
        <w:t>:</w:t>
      </w:r>
    </w:p>
    <w:p w14:paraId="2BED21E2" w14:textId="77777777" w:rsidR="000A4F1A" w:rsidRPr="000A4F1A" w:rsidRDefault="000A4F1A" w:rsidP="000A4F1A">
      <w:pPr>
        <w:pStyle w:val="Style1"/>
      </w:pPr>
      <w:r w:rsidRPr="000A4F1A">
        <w:rPr>
          <w:rFonts w:hint="cs"/>
          <w:rtl/>
        </w:rPr>
        <w:t>הגה: וי"א דאין נשבעין לו שבועת שומרים שהיא שבועת התורה (טור בשם הרמב"ן והרא"ש והראב"ד שם בפ"ב משכירות בהשגתו) ואע"פ שתבעו כשהוא גדול רק שהנתינה היתה כשהיה קטן (שם בהשגות הראב"ד) וכן נ"ל עיקר</w:t>
      </w:r>
      <w:r w:rsidRPr="000A4F1A">
        <w:rPr>
          <w:rFonts w:hint="cs"/>
        </w:rPr>
        <w:t>.</w:t>
      </w:r>
    </w:p>
    <w:p w14:paraId="433994B9" w14:textId="77777777" w:rsidR="000A4F1A" w:rsidRPr="000A4F1A" w:rsidRDefault="000A4F1A" w:rsidP="000A4F1A">
      <w:pPr>
        <w:pStyle w:val="Style1"/>
      </w:pPr>
      <w:r w:rsidRPr="000A4F1A">
        <w:rPr>
          <w:rFonts w:hint="cs"/>
          <w:rtl/>
        </w:rPr>
        <w:t>וכן אם הודה שהיה שותף לקטן או אפוטרופס עליו יעמידו ב"ד אפוטרופס לקטן וישבע השותף וכיוצא בו טענת שמא</w:t>
      </w:r>
      <w:r w:rsidRPr="000A4F1A">
        <w:rPr>
          <w:rFonts w:hint="cs"/>
        </w:rPr>
        <w:t>.</w:t>
      </w:r>
    </w:p>
    <w:p w14:paraId="45C6ADDD" w14:textId="77777777" w:rsidR="000A4F1A" w:rsidRPr="000A4F1A" w:rsidRDefault="000A4F1A" w:rsidP="000A4F1A">
      <w:pPr>
        <w:pStyle w:val="Style1"/>
      </w:pPr>
    </w:p>
    <w:p w14:paraId="3E0B3C3A" w14:textId="6596FB00" w:rsidR="00A309B1" w:rsidRPr="005B6980" w:rsidRDefault="00A309B1" w:rsidP="00A309B1">
      <w:pPr>
        <w:pStyle w:val="Style1"/>
      </w:pPr>
    </w:p>
    <w:p w14:paraId="62EAD364" w14:textId="25F262B5" w:rsidR="00E633B5" w:rsidRPr="001D3739" w:rsidRDefault="00E633B5" w:rsidP="00E633B5">
      <w:pPr>
        <w:pStyle w:val="Style1"/>
      </w:pPr>
    </w:p>
    <w:p w14:paraId="37F2152B" w14:textId="028B26F7" w:rsidR="006A336B" w:rsidRPr="001D3739" w:rsidRDefault="006A336B" w:rsidP="006A336B">
      <w:pPr>
        <w:pStyle w:val="Style1"/>
        <w:rPr>
          <w:rStyle w:val="Style1Char"/>
        </w:rPr>
      </w:pPr>
    </w:p>
    <w:p w14:paraId="029323E6" w14:textId="20ED0FFF" w:rsidR="006A336B" w:rsidRPr="001E100C" w:rsidRDefault="006A336B" w:rsidP="006A336B">
      <w:pPr>
        <w:pStyle w:val="Style1"/>
        <w:rPr>
          <w:rStyle w:val="Style1Char"/>
          <w:rtl/>
        </w:rPr>
      </w:pPr>
    </w:p>
    <w:p w14:paraId="7DFA1C71" w14:textId="77777777" w:rsidR="00DA1858" w:rsidRDefault="00DA1858" w:rsidP="00DA1858">
      <w:pPr>
        <w:rPr>
          <w:rStyle w:val="Style1Char"/>
          <w:color w:val="00B050"/>
          <w:rtl/>
        </w:rPr>
      </w:pPr>
      <w:r>
        <w:rPr>
          <w:rStyle w:val="Style1Char"/>
          <w:color w:val="00B050"/>
          <w:rtl/>
        </w:rPr>
        <w:br w:type="page"/>
      </w:r>
    </w:p>
    <w:p w14:paraId="7F221268" w14:textId="77777777" w:rsidR="00DA1858" w:rsidRPr="00887069" w:rsidRDefault="00DA1858" w:rsidP="00DA1858">
      <w:pPr>
        <w:bidi/>
        <w:rPr>
          <w:rStyle w:val="Style1Char"/>
          <w:color w:val="00B050"/>
        </w:rPr>
      </w:pPr>
      <w:r w:rsidRPr="000F078B">
        <w:rPr>
          <w:rStyle w:val="Style1Char"/>
          <w:color w:val="00B050"/>
          <w:sz w:val="22"/>
          <w:szCs w:val="22"/>
          <w:highlight w:val="yellow"/>
          <w:rtl/>
        </w:rPr>
        <w:lastRenderedPageBreak/>
        <w:t>[דף יח עמוד ב]</w:t>
      </w:r>
      <w:r w:rsidRPr="000F078B">
        <w:rPr>
          <w:rStyle w:val="Style1Char"/>
          <w:color w:val="00B050"/>
          <w:sz w:val="22"/>
          <w:szCs w:val="22"/>
          <w:rtl/>
        </w:rPr>
        <w:t xml:space="preserve"> </w:t>
      </w:r>
      <w:r w:rsidRPr="00887069">
        <w:rPr>
          <w:rStyle w:val="Style1Char"/>
          <w:color w:val="00B050"/>
          <w:rtl/>
        </w:rPr>
        <w:t xml:space="preserve">ובכולה בעי דלודי ליה, והאי דלא אודי ליה - כי היכי דלישתמיט ליה, וסבר, עד דהוה לי זוזי ופרענא ליה, ורחמנא אמר: רמי שבועה עליה כי היכי דלודי ליה בכוליה; רבי אליעזר בן יעקב סבר: לא שנא בו ולא שנא בבנו אינו מעיז, והלכך לאו משיב אבידה הוי; ורבנן סברי: בו הוא דאינו מעיז, אבל בבנו מעיז, ומדלא העיז - משיב אבידה הוי. </w:t>
      </w:r>
    </w:p>
    <w:p w14:paraId="59292D9F" w14:textId="0BFE9DBB" w:rsidR="00DA1858" w:rsidRPr="00A256BD" w:rsidRDefault="00DA1858" w:rsidP="00DA1858">
      <w:pPr>
        <w:bidi/>
        <w:rPr>
          <w:rStyle w:val="Style1Char"/>
          <w:color w:val="auto"/>
          <w:sz w:val="22"/>
          <w:szCs w:val="22"/>
          <w:rtl/>
        </w:rPr>
      </w:pPr>
      <w:r w:rsidRPr="00A256BD">
        <w:rPr>
          <w:rStyle w:val="Style1Char"/>
          <w:color w:val="auto"/>
          <w:sz w:val="22"/>
          <w:szCs w:val="22"/>
          <w:rtl/>
        </w:rPr>
        <w:t xml:space="preserve">מתני'. </w:t>
      </w:r>
      <w:r w:rsidR="00444189">
        <w:rPr>
          <w:rStyle w:val="Style1Char"/>
          <w:rFonts w:hint="cs"/>
          <w:rtl/>
        </w:rPr>
        <w:t>(1)</w:t>
      </w:r>
      <w:r w:rsidRPr="00A256BD">
        <w:rPr>
          <w:rStyle w:val="Style1Char"/>
          <w:color w:val="auto"/>
          <w:sz w:val="22"/>
          <w:szCs w:val="22"/>
          <w:rtl/>
        </w:rPr>
        <w:t xml:space="preserve">העדים שאמרו: כתב ידינו הוא זה, אבל אנוסים היינו, קטנים היינו, פסולי עדות היינו - הרי אלו נאמנים; ואם יש עדים שהוא כתב ידם, או שהיה כתב ידם יוצא ממקום אחר - אינן נאמנין. </w:t>
      </w:r>
    </w:p>
    <w:p w14:paraId="1BC800C2" w14:textId="705174B9" w:rsidR="00DA1858" w:rsidRDefault="00DA1858" w:rsidP="00DA1858">
      <w:pPr>
        <w:bidi/>
        <w:rPr>
          <w:rStyle w:val="Style1Char"/>
          <w:color w:val="00B050"/>
          <w:rtl/>
        </w:rPr>
      </w:pPr>
      <w:r w:rsidRPr="00A256BD">
        <w:rPr>
          <w:rStyle w:val="Style1Char"/>
          <w:color w:val="auto"/>
          <w:sz w:val="22"/>
          <w:szCs w:val="22"/>
          <w:rtl/>
        </w:rPr>
        <w:t>גמ'.</w:t>
      </w:r>
      <w:r w:rsidRPr="00887069">
        <w:rPr>
          <w:rStyle w:val="Style1Char"/>
          <w:color w:val="00B050"/>
          <w:rtl/>
        </w:rPr>
        <w:t xml:space="preserve"> אמר רמי בר חמא: לא שנו אלא שאמרו אנוסים היינו מחמת ממון, אבל אנוסים היינו מחמת נפשות - הרי אלו נאמנין. אמר ליה רבא: </w:t>
      </w:r>
      <w:r w:rsidR="00BA6DF3">
        <w:rPr>
          <w:rStyle w:val="Style1Char"/>
          <w:rFonts w:hint="cs"/>
          <w:rtl/>
        </w:rPr>
        <w:t>(</w:t>
      </w:r>
      <w:r w:rsidR="0082388A">
        <w:rPr>
          <w:rStyle w:val="Style1Char"/>
          <w:rFonts w:hint="cs"/>
          <w:rtl/>
        </w:rPr>
        <w:t>1.3, 2</w:t>
      </w:r>
      <w:r w:rsidR="00BA6DF3">
        <w:rPr>
          <w:rStyle w:val="Style1Char"/>
          <w:rFonts w:hint="cs"/>
          <w:rtl/>
        </w:rPr>
        <w:t>)</w:t>
      </w:r>
      <w:r w:rsidRPr="00887069">
        <w:rPr>
          <w:rStyle w:val="Style1Char"/>
          <w:color w:val="00B050"/>
          <w:rtl/>
        </w:rPr>
        <w:t xml:space="preserve">כל כמיניה? כיון שהגיד שוב אינו חוזר ומגיד! וכי תימא הני מילי על פה, אבל בשטר לא, והא אמר ריש לקיש: עדים החתומים על השטר - נעשה כמי שנחקרה עדותן בב"ד! אלא כי אתמר - ארישא אתמר: הרי אלו נאמנין, </w:t>
      </w:r>
      <w:r w:rsidRPr="00A256BD">
        <w:rPr>
          <w:rStyle w:val="Style1Char"/>
          <w:color w:val="auto"/>
          <w:sz w:val="22"/>
          <w:szCs w:val="22"/>
          <w:rtl/>
        </w:rPr>
        <w:t xml:space="preserve">אמר רמי בר חמא: לא שנו אלא </w:t>
      </w:r>
      <w:r w:rsidR="002E0C8C">
        <w:rPr>
          <w:rStyle w:val="Style1Char"/>
          <w:rFonts w:hint="cs"/>
          <w:rtl/>
        </w:rPr>
        <w:t>(</w:t>
      </w:r>
      <w:r w:rsidR="0082388A">
        <w:rPr>
          <w:rStyle w:val="Style1Char"/>
          <w:rFonts w:hint="cs"/>
          <w:rtl/>
        </w:rPr>
        <w:t>1.3, 2</w:t>
      </w:r>
      <w:r w:rsidR="002E0C8C">
        <w:rPr>
          <w:rStyle w:val="Style1Char"/>
          <w:rFonts w:hint="cs"/>
          <w:rtl/>
        </w:rPr>
        <w:t>)</w:t>
      </w:r>
      <w:r w:rsidRPr="00A256BD">
        <w:rPr>
          <w:rStyle w:val="Style1Char"/>
          <w:color w:val="auto"/>
          <w:sz w:val="22"/>
          <w:szCs w:val="22"/>
          <w:rtl/>
        </w:rPr>
        <w:t>שאמרו אנוסין היינו מחמת נפשות, אבל אמרו אנוסין היינו מחמת ממון - אין נאמנין; מאי טעמא? אין אדם משים עצמו רשע</w:t>
      </w:r>
      <w:r w:rsidRPr="00A256BD">
        <w:rPr>
          <w:rStyle w:val="Style1Char"/>
          <w:color w:val="auto"/>
          <w:rtl/>
        </w:rPr>
        <w:t xml:space="preserve">. </w:t>
      </w:r>
      <w:r w:rsidRPr="00887069">
        <w:rPr>
          <w:rStyle w:val="Style1Char"/>
          <w:color w:val="00B050"/>
          <w:rtl/>
        </w:rPr>
        <w:t xml:space="preserve">תנו רבנן: אין נאמנים לפוסלו, דברי רבי מאיר, וחכמים אומרים: נאמנים. בשלמא לרבנן - כי טעמייהו, שהפה שאסר הוא הפה שהתיר, אלא לר' מאיר מ"ט? בשלמא פסולי עדות - מלוה גופיה מעיקרא מידק דייק ומחתם, קטנים - נמי כדרשב"ל, דאמר ריש לקיש: </w:t>
      </w:r>
    </w:p>
    <w:p w14:paraId="2A130B24" w14:textId="397D829B" w:rsidR="00444189" w:rsidRDefault="00444189" w:rsidP="00444189">
      <w:pPr>
        <w:pStyle w:val="Style1"/>
        <w:rPr>
          <w:rStyle w:val="Style1Char"/>
          <w:rtl/>
        </w:rPr>
      </w:pPr>
      <w:r>
        <w:rPr>
          <w:rStyle w:val="Style1Char"/>
          <w:rFonts w:hint="cs"/>
          <w:rtl/>
        </w:rPr>
        <w:t>1)[</w:t>
      </w:r>
      <w:r w:rsidRPr="00444189">
        <w:rPr>
          <w:rStyle w:val="Style1Char"/>
          <w:rtl/>
        </w:rPr>
        <w:t>רמב</w:t>
      </w:r>
      <w:r w:rsidR="0057095E">
        <w:rPr>
          <w:rStyle w:val="Style1Char"/>
          <w:rtl/>
        </w:rPr>
        <w:t>”ם \שופטים\</w:t>
      </w:r>
      <w:r w:rsidRPr="00444189">
        <w:rPr>
          <w:rStyle w:val="Style1Char"/>
          <w:rtl/>
        </w:rPr>
        <w:t xml:space="preserve"> הלכות עדות פרק ג הלכה ו</w:t>
      </w:r>
      <w:r>
        <w:rPr>
          <w:rStyle w:val="Style1Char"/>
          <w:rFonts w:hint="cs"/>
          <w:rtl/>
        </w:rPr>
        <w:t xml:space="preserve">] </w:t>
      </w:r>
      <w:r w:rsidRPr="00444189">
        <w:rPr>
          <w:rStyle w:val="Style1Char"/>
          <w:rtl/>
        </w:rPr>
        <w:t>עדים החתומים על השטר הרי זה כמי שנחקרה עדותן בבית דין ואין יכולין לחזור בהן, במה דברים אמורים כשאפשר לקיים השטר שלא מפיהן כגון שהיו שם עדים שזה כתב ידן או שהיה כתב ידן יוצא ממקום אחר אבל אם אי אפשר לקיים את השטר אלא מפיהן ואמרו כתב ידינו הוא זה אבל אנוסים היינו קטנים היינו קרובים היינו מוטעים היינו הרי אלו נאמנים ויבטל השטר.</w:t>
      </w:r>
    </w:p>
    <w:p w14:paraId="199FA190" w14:textId="1CFB55DC" w:rsidR="00AD6C00" w:rsidRDefault="00AD6C00" w:rsidP="00AD6C00">
      <w:pPr>
        <w:pStyle w:val="Style1"/>
        <w:rPr>
          <w:rStyle w:val="Style1Char"/>
          <w:rtl/>
        </w:rPr>
      </w:pPr>
      <w:r>
        <w:rPr>
          <w:rStyle w:val="Style1Char"/>
          <w:rFonts w:hint="cs"/>
          <w:rtl/>
        </w:rPr>
        <w:t>1)[</w:t>
      </w:r>
      <w:r w:rsidRPr="00AD6C00">
        <w:rPr>
          <w:rStyle w:val="Style1Char"/>
          <w:rtl/>
        </w:rPr>
        <w:t>רמב</w:t>
      </w:r>
      <w:r w:rsidR="0057095E">
        <w:rPr>
          <w:rStyle w:val="Style1Char"/>
          <w:rtl/>
        </w:rPr>
        <w:t>”ם \שופטים\</w:t>
      </w:r>
      <w:r w:rsidRPr="00AD6C00">
        <w:rPr>
          <w:rStyle w:val="Style1Char"/>
          <w:rtl/>
        </w:rPr>
        <w:t xml:space="preserve"> הלכות עדות פרק ג הלכה ז</w:t>
      </w:r>
      <w:r>
        <w:rPr>
          <w:rStyle w:val="Style1Char"/>
          <w:rFonts w:hint="cs"/>
          <w:rtl/>
        </w:rPr>
        <w:t xml:space="preserve">] </w:t>
      </w:r>
      <w:r w:rsidRPr="00AD6C00">
        <w:rPr>
          <w:rStyle w:val="Style1Char"/>
          <w:rtl/>
        </w:rPr>
        <w:t>אמרו פסולי עדות היינו בעבירה או שוחד לקחנו על עדות זו אין נאמנים שאין אדם משים עצמו רשע עד שיעידו עליו עדים שהוא רשע, וכן אם אמרו אמנה היו דברינו אין נאמנים שהמעיד על שטר אמנה כמעיד בשקר.</w:t>
      </w:r>
    </w:p>
    <w:p w14:paraId="2B4C9E5E" w14:textId="1B9B4255" w:rsidR="008572D7" w:rsidRPr="008572D7" w:rsidRDefault="001D311F" w:rsidP="008572D7">
      <w:pPr>
        <w:pStyle w:val="Style1"/>
      </w:pPr>
      <w:r>
        <w:rPr>
          <w:rStyle w:val="Style1Char"/>
          <w:rFonts w:hint="cs"/>
          <w:rtl/>
        </w:rPr>
        <w:t>1)[</w:t>
      </w:r>
      <w:r w:rsidRPr="001D311F">
        <w:rPr>
          <w:rStyle w:val="Style1Char"/>
          <w:rtl/>
        </w:rPr>
        <w:t>שולחן ערוך חושן משפט הלכות הלואה סימן מו סעיף לז</w:t>
      </w:r>
      <w:r>
        <w:rPr>
          <w:rStyle w:val="Style1Char"/>
          <w:rFonts w:hint="cs"/>
          <w:rtl/>
        </w:rPr>
        <w:t>]</w:t>
      </w:r>
      <w:r w:rsidR="008572D7">
        <w:rPr>
          <w:rStyle w:val="Style1Char"/>
          <w:rFonts w:hint="cs"/>
          <w:rtl/>
        </w:rPr>
        <w:t xml:space="preserve"> </w:t>
      </w:r>
      <w:r w:rsidR="008572D7" w:rsidRPr="008572D7">
        <w:rPr>
          <w:rtl/>
        </w:rPr>
        <w:t>שנים החתומים על השטר ומתו ואין כתב ידם יוצא ממקום אחר ובאו שנים ואמרו כתב ידם הוא אבל קטנים היו או פסולין הרי אלו נאמנים וקורעין השטר אא"כ טען שנקבע לו זמן לקיים השטר ואם יש עדים שהוא כתב ידם או שהיה כתב ידם יוצא ממקום אחר משטר שקרא עליו ערער והוחזק בב"ד אין קורעין אותו ויש מי שאומר שא"צ שקרא עליו ערער דבהוחזק בב"ד סגי אפילו לא קרא עליו ערער</w:t>
      </w:r>
      <w:r w:rsidR="008572D7" w:rsidRPr="008572D7">
        <w:t>:</w:t>
      </w:r>
    </w:p>
    <w:p w14:paraId="356447FA" w14:textId="77777777" w:rsidR="008572D7" w:rsidRPr="008572D7" w:rsidRDefault="008572D7" w:rsidP="008572D7">
      <w:pPr>
        <w:pStyle w:val="Style1"/>
      </w:pPr>
      <w:r w:rsidRPr="008572D7">
        <w:rPr>
          <w:rFonts w:hint="cs"/>
          <w:rtl/>
        </w:rPr>
        <w:t>הגה: וכל זה שכבר מתו העדים אבל אם העדים עדיין חיים וב' עדים אחרים באים לפוסלן ואמרו שפסולין הם גם השטר נפסל אע"פ שכתב ידם יוצא ממקום אחר (ר"ן בשם י"א וטור בשם התוס') וי"ח ומכשירין השטר (שם בשם אביו הרא"ש) והא דאין נאמנים כשכתב ידם יוצא ממקום אחר לא למהוי שטרא מעליא לגבות בו אלא דאי תפס מטלטלין לא מפקינן מניה (טור בשם רש"י והרא"ש)</w:t>
      </w:r>
      <w:r w:rsidRPr="008572D7">
        <w:t>:</w:t>
      </w:r>
    </w:p>
    <w:p w14:paraId="632A14C4" w14:textId="77777777" w:rsidR="008572D7" w:rsidRPr="008572D7" w:rsidRDefault="008572D7" w:rsidP="008572D7">
      <w:pPr>
        <w:pStyle w:val="Style1"/>
      </w:pPr>
      <w:r w:rsidRPr="008572D7">
        <w:rPr>
          <w:rtl/>
        </w:rPr>
        <w:t>עדים שאין כתב ידם יוצא ממקום אחר ואמרו כ"י הוא זה ואומרים בתוך כדי דבור אנוסים היינו מחמת נפשות או קטנים היינו או פסולי עדות היינו מחמת קורבה ונתרחקנו או מסר מודעא בפנינו או תנאי היה בדבר ולא ראינו שנתקיים התנאי הרי אלו נאמנים ואפי' עד א' אומר לא היה תנאי ועד א' אומר היה תנאי ולא נתקיים נאמן ואין כאן אלא עד א</w:t>
      </w:r>
      <w:r w:rsidRPr="008572D7">
        <w:t>'</w:t>
      </w:r>
    </w:p>
    <w:p w14:paraId="606B7FF6" w14:textId="77777777" w:rsidR="008572D7" w:rsidRPr="008572D7" w:rsidRDefault="008572D7" w:rsidP="008572D7">
      <w:pPr>
        <w:pStyle w:val="Style1"/>
      </w:pPr>
      <w:r w:rsidRPr="008572D7">
        <w:rPr>
          <w:rFonts w:hint="cs"/>
          <w:rtl/>
        </w:rPr>
        <w:t>ואם כתוב בשטרא ואנן סהדי מסהדינן דלא הוי שיור בשטרא אינן יכולין לומר תנאי היה בדבר דאינן חוזרין ומגידין מיהו אם אומרים מה שכתוב שלא היה בו שיור לא נאמר לבטל התנאי רק שלא היה שיור בגוף המכר נאמנין (טור סנ"ה) וכן יכולים לפרש דברי השטר בכל דבר שאינן סותרין דבריהם (נ"י פ' מי שמת)</w:t>
      </w:r>
    </w:p>
    <w:p w14:paraId="1718FBA1" w14:textId="2C4E7E29" w:rsidR="008572D7" w:rsidRDefault="008572D7" w:rsidP="008572D7">
      <w:pPr>
        <w:pStyle w:val="Style1"/>
        <w:rPr>
          <w:rtl/>
        </w:rPr>
      </w:pPr>
      <w:r w:rsidRPr="008572D7">
        <w:rPr>
          <w:rtl/>
        </w:rPr>
        <w:t>אבל אם אמרו שהיו אנוסין מחמת ממון או שהיה שטר אמנה או שהיו פסולים בעבירה אינם נאמנים ואפי' אמרו שאח"כ עשו תשובה ואע"פ שאינם נאמנים לבטל השטר מ"מ לגבי דידהו נאמנים וחייבים לשלם ללוה ההפסד שבא לו מכח חתימתם ואם אומרים שבשעה שחתמו לא ידעו שהיה אמנה ואח"כ נתברר להם שהיה אמנה נאמנים ואם כתב ידם יוצא ממק"א או שיש עדים שזה כתב ידם אין נאמנים בשום דבר שאמרו לבטל השטר חוץ מלומר בפנינו מסר מודעא</w:t>
      </w:r>
      <w:r w:rsidRPr="008572D7">
        <w:t>:</w:t>
      </w:r>
    </w:p>
    <w:p w14:paraId="5A4AC841" w14:textId="7C0F3804" w:rsidR="00BE537E" w:rsidRDefault="00BE537E" w:rsidP="00BE537E">
      <w:pPr>
        <w:pStyle w:val="Style1"/>
        <w:rPr>
          <w:rtl/>
        </w:rPr>
      </w:pPr>
      <w:r>
        <w:rPr>
          <w:rFonts w:hint="cs"/>
          <w:rtl/>
        </w:rPr>
        <w:t>2)[</w:t>
      </w:r>
      <w:r>
        <w:rPr>
          <w:rtl/>
        </w:rPr>
        <w:t>רמב</w:t>
      </w:r>
      <w:r w:rsidR="0057095E">
        <w:rPr>
          <w:rtl/>
        </w:rPr>
        <w:t>”ם \שופטים\</w:t>
      </w:r>
      <w:r>
        <w:rPr>
          <w:rtl/>
        </w:rPr>
        <w:t xml:space="preserve"> הלכות עדות פרק ג הלכה ו</w:t>
      </w:r>
      <w:r>
        <w:rPr>
          <w:rFonts w:hint="cs"/>
          <w:rtl/>
        </w:rPr>
        <w:t xml:space="preserve">] </w:t>
      </w:r>
      <w:r>
        <w:rPr>
          <w:rtl/>
        </w:rPr>
        <w:t>עדים החתומים על השטר הרי זה כמי שנחקרה עדותן בבית דין ואין יכולין לחזור בהן, במה דברים אמורים כשאפשר לקיים השטר שלא מפיהן כגון שהיו שם עדים שזה כתב ידן או שהיה כתב ידן יוצא ממקום אחר אבל אם אי אפשר לקיים את השטר אלא מפיהן ואמרו כתב ידינו הוא זה אבל אנוסים היינו קטנים היינו קרובים היינו מוטעים היינו הרי אלו נאמנים ויבטל השטר.</w:t>
      </w:r>
    </w:p>
    <w:p w14:paraId="6F4A388B" w14:textId="607387A3" w:rsidR="001D0083" w:rsidRDefault="001D0083" w:rsidP="001D0083">
      <w:pPr>
        <w:pStyle w:val="Style1"/>
        <w:rPr>
          <w:rtl/>
        </w:rPr>
      </w:pPr>
      <w:r>
        <w:rPr>
          <w:rFonts w:hint="cs"/>
          <w:rtl/>
        </w:rPr>
        <w:t>2)[</w:t>
      </w:r>
      <w:r>
        <w:rPr>
          <w:rtl/>
        </w:rPr>
        <w:t>רמב</w:t>
      </w:r>
      <w:r w:rsidR="0057095E">
        <w:rPr>
          <w:rtl/>
        </w:rPr>
        <w:t>”ם \שופטים\</w:t>
      </w:r>
      <w:r>
        <w:rPr>
          <w:rtl/>
        </w:rPr>
        <w:t xml:space="preserve"> הלכות עדות פרק ג הלכה ז</w:t>
      </w:r>
      <w:r>
        <w:rPr>
          <w:rFonts w:hint="cs"/>
          <w:rtl/>
        </w:rPr>
        <w:t xml:space="preserve">] </w:t>
      </w:r>
      <w:r>
        <w:rPr>
          <w:rtl/>
        </w:rPr>
        <w:t>אמרו פסולי עדות היינו בעבירה או שוחד לקחנו על עדות זו אין נאמנים שאין אדם משים עצמו רשע עד שיעידו עליו עדים שהוא רשע, וכן אם אמרו אמנה היו דברינו אין נאמנים שהמעיד על שטר אמנה כמעיד בשקר.</w:t>
      </w:r>
    </w:p>
    <w:p w14:paraId="2ACAB823" w14:textId="21E8E4F8" w:rsidR="00AA2B38" w:rsidRDefault="00AA2B38" w:rsidP="0082388A">
      <w:pPr>
        <w:pStyle w:val="Style1"/>
      </w:pPr>
    </w:p>
    <w:p w14:paraId="7D638F03" w14:textId="2AB78FBA" w:rsidR="00AA2B38" w:rsidRPr="008572D7" w:rsidRDefault="00AA2B38" w:rsidP="00AA2B38">
      <w:pPr>
        <w:pStyle w:val="Style1"/>
      </w:pPr>
    </w:p>
    <w:p w14:paraId="26B284DC" w14:textId="77777777" w:rsidR="008572D7" w:rsidRPr="008572D7" w:rsidRDefault="008572D7" w:rsidP="008572D7">
      <w:pPr>
        <w:pStyle w:val="Style1"/>
        <w:rPr>
          <w:rStyle w:val="Style1Char"/>
        </w:rPr>
      </w:pPr>
    </w:p>
    <w:p w14:paraId="59D472AC" w14:textId="5B473805" w:rsidR="001D311F" w:rsidRPr="008572D7" w:rsidRDefault="001D311F" w:rsidP="008572D7">
      <w:pPr>
        <w:pStyle w:val="Style1"/>
        <w:rPr>
          <w:rStyle w:val="Style1Char"/>
        </w:rPr>
      </w:pPr>
    </w:p>
    <w:p w14:paraId="62D1DDB4" w14:textId="77777777" w:rsidR="00DA1858" w:rsidRPr="008572D7" w:rsidRDefault="00DA1858" w:rsidP="008572D7">
      <w:pPr>
        <w:pStyle w:val="Style1"/>
        <w:rPr>
          <w:rStyle w:val="Style1Char"/>
          <w:rtl/>
        </w:rPr>
      </w:pPr>
    </w:p>
    <w:p w14:paraId="28332A51" w14:textId="77777777" w:rsidR="00DA1858" w:rsidRPr="008572D7" w:rsidRDefault="00DA1858" w:rsidP="008572D7">
      <w:pPr>
        <w:pStyle w:val="Style1"/>
        <w:rPr>
          <w:rStyle w:val="Style1Char"/>
          <w:rtl/>
        </w:rPr>
      </w:pPr>
    </w:p>
    <w:p w14:paraId="4DEB3CCB" w14:textId="77777777" w:rsidR="00DA1858" w:rsidRDefault="00DA1858" w:rsidP="00DA1858">
      <w:pPr>
        <w:rPr>
          <w:rStyle w:val="Style1Char"/>
          <w:color w:val="00B050"/>
          <w:rtl/>
        </w:rPr>
      </w:pPr>
      <w:r>
        <w:rPr>
          <w:rStyle w:val="Style1Char"/>
          <w:color w:val="00B050"/>
          <w:rtl/>
        </w:rPr>
        <w:br w:type="page"/>
      </w:r>
    </w:p>
    <w:p w14:paraId="548809A4" w14:textId="6D7AFF1C" w:rsidR="00DA1858" w:rsidRPr="0077125B" w:rsidRDefault="00DA1858" w:rsidP="00DA1858">
      <w:pPr>
        <w:bidi/>
        <w:rPr>
          <w:rStyle w:val="Style1Char"/>
          <w:color w:val="4472C4" w:themeColor="accent1"/>
        </w:rPr>
      </w:pPr>
      <w:r w:rsidRPr="00295EBF">
        <w:rPr>
          <w:rStyle w:val="Style1Char"/>
          <w:color w:val="00B050"/>
          <w:sz w:val="22"/>
          <w:szCs w:val="22"/>
          <w:highlight w:val="yellow"/>
          <w:rtl/>
        </w:rPr>
        <w:lastRenderedPageBreak/>
        <w:t>[דף יט עמוד א]</w:t>
      </w:r>
      <w:r w:rsidRPr="00295EBF">
        <w:rPr>
          <w:rStyle w:val="Style1Char"/>
          <w:color w:val="00B050"/>
          <w:sz w:val="22"/>
          <w:szCs w:val="22"/>
          <w:rtl/>
        </w:rPr>
        <w:t xml:space="preserve"> </w:t>
      </w:r>
      <w:r w:rsidR="00E726EC">
        <w:rPr>
          <w:rStyle w:val="Style1Char"/>
          <w:rFonts w:hint="cs"/>
          <w:rtl/>
        </w:rPr>
        <w:t>(1)</w:t>
      </w:r>
      <w:r w:rsidRPr="00887069">
        <w:rPr>
          <w:rStyle w:val="Style1Char"/>
          <w:color w:val="00B050"/>
          <w:rtl/>
        </w:rPr>
        <w:t xml:space="preserve">חזקה אין העדים חותמין על השטר אא"כ נעשה בגדול, אלא אנוסין מ"ט? אמר רב חסדא, קסבר ר"מ: עדים, שאמרו להם חתמו שקר ואל תהרגו - יהרגו ואל יחתמו שקר. אמר ליה רבא: השתא אילו אתו לקמן לאמלוכי, אמרינן להו: זילו חתומו ולא תתקטלון, דאמר מר: </w:t>
      </w:r>
      <w:r w:rsidR="005E424D">
        <w:rPr>
          <w:rStyle w:val="Style1Char"/>
          <w:rFonts w:hint="cs"/>
          <w:rtl/>
        </w:rPr>
        <w:t>(2)</w:t>
      </w:r>
      <w:r w:rsidRPr="00887069">
        <w:rPr>
          <w:rStyle w:val="Style1Char"/>
          <w:color w:val="00B050"/>
          <w:rtl/>
        </w:rPr>
        <w:t xml:space="preserve">אין לך דבר שעומד בפני פיקוח נפש - אלא עבודת כוכבים וגלוי עריות ושפיכות דמים בלבד, השתא דחתמו אמרינן להו אמאי חתמיתו? אלא טעמא דר"מ - כדרב הונא אמר רב, דא"ר הונא אמר רב: מודה בשטר שכתבו - אין צריך לקיימו. גופא, אמר רב הונא אמר רב: מודה בשטר שכתבו - אין צריך לקיימו. א"ל רב נחמן: גנובא גנובי למה לך? אי סבירא לך כר"מ, אימא: הלכה כר"מ! אמר ליה: ומר היכי סבירא ליה? אמר ליה: כי אתו לקמן לדינא, אמרינן להו: </w:t>
      </w:r>
      <w:r w:rsidR="005156B3">
        <w:rPr>
          <w:rStyle w:val="Style1Char"/>
          <w:rFonts w:hint="cs"/>
          <w:rtl/>
        </w:rPr>
        <w:t>(3)</w:t>
      </w:r>
      <w:r w:rsidRPr="00887069">
        <w:rPr>
          <w:rStyle w:val="Style1Char"/>
          <w:color w:val="00B050"/>
          <w:rtl/>
        </w:rPr>
        <w:t xml:space="preserve">זילו קיימו שטרייכו וחותו לדינא. </w:t>
      </w:r>
      <w:r w:rsidRPr="00DA7279">
        <w:rPr>
          <w:rStyle w:val="Style1Char"/>
          <w:color w:val="auto"/>
          <w:sz w:val="22"/>
          <w:szCs w:val="22"/>
          <w:rtl/>
        </w:rPr>
        <w:t>א"ר יהודה אמר רב: האומר שטר אמנה הוא זה - אינו נאמן. דקאמר מאן? אילימא דקאמר לוה, פשיטא,</w:t>
      </w:r>
      <w:r w:rsidRPr="004E4CAF">
        <w:rPr>
          <w:rStyle w:val="Style1Char"/>
          <w:sz w:val="22"/>
          <w:szCs w:val="22"/>
          <w:rtl/>
        </w:rPr>
        <w:t xml:space="preserve"> </w:t>
      </w:r>
      <w:r w:rsidRPr="004E4CAF">
        <w:rPr>
          <w:rStyle w:val="Style1Char"/>
          <w:color w:val="C00000"/>
          <w:sz w:val="22"/>
          <w:szCs w:val="22"/>
          <w:rtl/>
        </w:rPr>
        <w:t xml:space="preserve">לאו </w:t>
      </w:r>
      <w:r w:rsidRPr="00032243">
        <w:rPr>
          <w:rStyle w:val="Style1Char"/>
          <w:color w:val="auto"/>
          <w:sz w:val="22"/>
          <w:szCs w:val="22"/>
          <w:rtl/>
        </w:rPr>
        <w:t>כל כמיניה</w:t>
      </w:r>
      <w:r w:rsidRPr="00032243">
        <w:rPr>
          <w:rStyle w:val="Style1Char"/>
          <w:color w:val="ED7D31" w:themeColor="accent2"/>
          <w:rtl/>
        </w:rPr>
        <w:t>?</w:t>
      </w:r>
      <w:r w:rsidRPr="004E4CAF">
        <w:rPr>
          <w:rStyle w:val="Style1Char"/>
          <w:sz w:val="22"/>
          <w:szCs w:val="22"/>
          <w:rtl/>
        </w:rPr>
        <w:t xml:space="preserve"> </w:t>
      </w:r>
      <w:r w:rsidRPr="00032243">
        <w:rPr>
          <w:rStyle w:val="Style1Char"/>
          <w:color w:val="auto"/>
          <w:sz w:val="22"/>
          <w:szCs w:val="22"/>
          <w:rtl/>
        </w:rPr>
        <w:t>ואלא דקאמר מלוה, תבוא עליו ברכה! אלא דקאמרי עדים; אי דכתב ידם יוצא ממקום אחר, פשיטא</w:t>
      </w:r>
      <w:r w:rsidRPr="00ED70C4">
        <w:rPr>
          <w:rStyle w:val="Style1Char"/>
          <w:sz w:val="22"/>
          <w:szCs w:val="22"/>
          <w:rtl/>
        </w:rPr>
        <w:t xml:space="preserve"> </w:t>
      </w:r>
      <w:r w:rsidRPr="00032243">
        <w:rPr>
          <w:rStyle w:val="Style1Char"/>
          <w:color w:val="ED7D31" w:themeColor="accent2"/>
          <w:rtl/>
        </w:rPr>
        <w:t xml:space="preserve">דלא מהימני! </w:t>
      </w:r>
      <w:r w:rsidRPr="00032243">
        <w:rPr>
          <w:rStyle w:val="Style1Char"/>
          <w:color w:val="auto"/>
          <w:sz w:val="22"/>
          <w:szCs w:val="22"/>
          <w:rtl/>
        </w:rPr>
        <w:t xml:space="preserve">ואי דאין כתב ידם יוצא ממקום אחר, אמאי לא מהימני? </w:t>
      </w:r>
      <w:r w:rsidRPr="00887069">
        <w:rPr>
          <w:rStyle w:val="Style1Char"/>
          <w:color w:val="00B050"/>
          <w:rtl/>
        </w:rPr>
        <w:t xml:space="preserve">(סימן בא"ש) אמר רבא: לעולם דקאמר לוה, וכדרב הונא, דא"ר הונא אמר רב: מודה בשטר שכתבו - אין צריך לקיימו. </w:t>
      </w:r>
      <w:r w:rsidRPr="00032243">
        <w:rPr>
          <w:rStyle w:val="Style1Char"/>
          <w:color w:val="auto"/>
          <w:sz w:val="22"/>
          <w:szCs w:val="22"/>
          <w:rtl/>
        </w:rPr>
        <w:t xml:space="preserve">אביי אמר: לעולם דאמר מלוה, </w:t>
      </w:r>
      <w:r w:rsidR="008101B4">
        <w:rPr>
          <w:rStyle w:val="Style1Char"/>
          <w:rFonts w:hint="cs"/>
          <w:rtl/>
        </w:rPr>
        <w:t>(4)</w:t>
      </w:r>
      <w:r w:rsidRPr="00032243">
        <w:rPr>
          <w:rStyle w:val="Style1Char"/>
          <w:color w:val="auto"/>
          <w:sz w:val="22"/>
          <w:szCs w:val="22"/>
          <w:rtl/>
        </w:rPr>
        <w:t xml:space="preserve">וכגון שחב לאחרים, וכדרבי נתן; </w:t>
      </w:r>
      <w:r w:rsidRPr="00032243">
        <w:rPr>
          <w:rStyle w:val="Style1Char"/>
          <w:color w:val="ED7D31" w:themeColor="accent2"/>
          <w:rtl/>
        </w:rPr>
        <w:t>דתניא</w:t>
      </w:r>
      <w:r w:rsidRPr="00887069">
        <w:rPr>
          <w:rStyle w:val="Style1Char"/>
          <w:color w:val="00B050"/>
          <w:rtl/>
        </w:rPr>
        <w:t xml:space="preserve">, </w:t>
      </w:r>
      <w:r w:rsidRPr="00AC381E">
        <w:rPr>
          <w:rStyle w:val="Style1Char"/>
          <w:rFonts w:hint="cs"/>
          <w:color w:val="C00000"/>
          <w:sz w:val="22"/>
          <w:szCs w:val="22"/>
          <w:rtl/>
        </w:rPr>
        <w:t xml:space="preserve">דאמר </w:t>
      </w:r>
      <w:r w:rsidRPr="00032243">
        <w:rPr>
          <w:rStyle w:val="Style1Char"/>
          <w:color w:val="auto"/>
          <w:sz w:val="22"/>
          <w:szCs w:val="22"/>
          <w:rtl/>
        </w:rPr>
        <w:t xml:space="preserve">רבי נתן </w:t>
      </w:r>
      <w:r w:rsidRPr="00032243">
        <w:rPr>
          <w:rStyle w:val="Style1Char"/>
          <w:color w:val="ED7D31" w:themeColor="accent2"/>
          <w:rtl/>
        </w:rPr>
        <w:t>אומר</w:t>
      </w:r>
      <w:r w:rsidRPr="00887069">
        <w:rPr>
          <w:rStyle w:val="Style1Char"/>
          <w:color w:val="00B050"/>
          <w:rtl/>
        </w:rPr>
        <w:t xml:space="preserve">: </w:t>
      </w:r>
      <w:r w:rsidR="00884DBC">
        <w:rPr>
          <w:rStyle w:val="Style1Char"/>
          <w:rFonts w:hint="cs"/>
          <w:rtl/>
        </w:rPr>
        <w:t>(5)</w:t>
      </w:r>
      <w:r w:rsidRPr="00032243">
        <w:rPr>
          <w:rStyle w:val="Style1Char"/>
          <w:color w:val="auto"/>
          <w:sz w:val="22"/>
          <w:szCs w:val="22"/>
          <w:rtl/>
        </w:rPr>
        <w:t xml:space="preserve">מנין לנושה בחבירו מנה וחבירו בחבירו, מנין שמוציאין מזה ונותנין לזה? </w:t>
      </w:r>
      <w:r w:rsidRPr="00032243">
        <w:rPr>
          <w:rStyle w:val="Style1Char"/>
          <w:color w:val="ED7D31" w:themeColor="accent2"/>
          <w:rtl/>
        </w:rPr>
        <w:t xml:space="preserve">תלמוד לומר </w:t>
      </w:r>
      <w:r w:rsidRPr="00627139">
        <w:rPr>
          <w:rStyle w:val="Style1Char"/>
          <w:color w:val="C00000"/>
          <w:sz w:val="22"/>
          <w:szCs w:val="22"/>
          <w:rtl/>
        </w:rPr>
        <w:t>שנאמר</w:t>
      </w:r>
      <w:r w:rsidRPr="00627139">
        <w:rPr>
          <w:rStyle w:val="Style1Char"/>
          <w:sz w:val="22"/>
          <w:szCs w:val="22"/>
          <w:rtl/>
        </w:rPr>
        <w:t xml:space="preserve">: </w:t>
      </w:r>
      <w:r w:rsidRPr="00032243">
        <w:rPr>
          <w:rStyle w:val="Style1Char"/>
          <w:color w:val="auto"/>
          <w:sz w:val="22"/>
          <w:szCs w:val="22"/>
          <w:rtl/>
        </w:rPr>
        <w:t xml:space="preserve">ונתן לאשר אשם לו! </w:t>
      </w:r>
      <w:r w:rsidRPr="0077125B">
        <w:rPr>
          <w:rStyle w:val="Style1Char"/>
          <w:color w:val="4472C4" w:themeColor="accent1"/>
          <w:rtl/>
        </w:rPr>
        <w:t>ואם תאמר ולהימני' במיגו דאי בעי מחיל כדאמרי' לקמן (דף פה ב) המוכר שטר חוב לחבירו וחזר ומחלו מחול</w:t>
      </w:r>
      <w:r>
        <w:rPr>
          <w:rStyle w:val="Style1Char"/>
          <w:rFonts w:hint="cs"/>
          <w:color w:val="4472C4" w:themeColor="accent1"/>
        </w:rPr>
        <w:t>‍</w:t>
      </w:r>
      <w:r w:rsidRPr="0077125B">
        <w:rPr>
          <w:rStyle w:val="Style1Char"/>
          <w:color w:val="4472C4" w:themeColor="accent1"/>
          <w:rtl/>
        </w:rPr>
        <w:t xml:space="preserve"> וי"ל דהאי לאו מיגו הוא שאין דעתו למחול ולהפסיד חובו אבל במה שאומר שטר אמנה הוא לא יפסיד חובו שידוע שהלוה אינו גזלן ולא יעכב מעותיו </w:t>
      </w:r>
      <w:r>
        <w:rPr>
          <w:rStyle w:val="Style1Char"/>
          <w:rFonts w:hint="cs"/>
          <w:color w:val="4472C4" w:themeColor="accent1"/>
        </w:rPr>
        <w:t>‍</w:t>
      </w:r>
      <w:r w:rsidRPr="0077125B">
        <w:rPr>
          <w:rStyle w:val="Style1Char"/>
          <w:color w:val="4472C4" w:themeColor="accent1"/>
          <w:rtl/>
        </w:rPr>
        <w:t>וא"ת ואכתי להימניה במיגו דאי בעי מצנע ליה ולא מפיק ליה</w:t>
      </w:r>
      <w:r>
        <w:rPr>
          <w:rStyle w:val="Style1Char"/>
          <w:rFonts w:hint="cs"/>
          <w:color w:val="4472C4" w:themeColor="accent1"/>
        </w:rPr>
        <w:t>‍</w:t>
      </w:r>
      <w:r w:rsidRPr="0077125B">
        <w:rPr>
          <w:rStyle w:val="Style1Char"/>
          <w:color w:val="4472C4" w:themeColor="accent1"/>
          <w:rtl/>
        </w:rPr>
        <w:t xml:space="preserve"> וי"ל דכבר איתחזק בבי דינא ותו ליכא מיגו כדאמרי' בפ' זה בורר (דף לא א) גבי ההיא אתתא דנפק שטרא מתותי ידה. אי נמי מיירי שהשטר ביד שליש והוא הדין נמי דלא מצי למימר פרוע הוא.</w:t>
      </w:r>
      <w:r>
        <w:rPr>
          <w:rStyle w:val="Style1Char"/>
          <w:rFonts w:hint="cs"/>
          <w:color w:val="4472C4" w:themeColor="accent1"/>
        </w:rPr>
        <w:t>‍</w:t>
      </w:r>
      <w:r w:rsidRPr="0077125B">
        <w:rPr>
          <w:rStyle w:val="Style1Char"/>
          <w:color w:val="4472C4" w:themeColor="accent1"/>
          <w:rtl/>
        </w:rPr>
        <w:t xml:space="preserve"> והיכא דפרע לבעל חובו אחר שאמר שטר אמנה הוא ובא לגבות מן הלוה כתב הראב"ד ז"ל דגבי ליה מיניה כיון דמעיקרא לא הימניה לגבי אחרים דאמרינן לאשתמוטי מינייהו הוא דקאמר לגבי לוה נמי לא תפסינן ליה בהכי דהא אי לא פרע לאחרים מדידיה הוה מפקינן מיניה דלוה ויהיבנא ליה השתא דפרע להו מדידיה גבי מיניה דלוה דלא גרע מאחרים. וה"ר יונה ז"ל היה אומר דאם תבע בעל חוב בב"ד לגבות משטר זה ובא המלוה ואומר שטר אמנה זה יש לדון בזה כדברי הרב שלא אמר זה אלא לדחות את בעל חובו אבל אם אמר המלוה בלא תביעת ב"ח נראה דלגבי עצמו מהימן דהודאת בעל דין כמאה עדים דמי ולגבי ב"ח אינו נאמן וכן מסתבר ואף אם לא נודע לנו בשעת הודאתו שהוא חייב לאחרים כיון שנודע לנו אח"כ איגלויי מילתא למפרע שכוון לחוב לאחרים ולאו כל כמיניה</w:t>
      </w:r>
      <w:r w:rsidRPr="0077125B">
        <w:rPr>
          <w:rStyle w:val="Style1Char"/>
          <w:color w:val="4472C4" w:themeColor="accent1"/>
        </w:rPr>
        <w:t xml:space="preserve">: </w:t>
      </w:r>
    </w:p>
    <w:p w14:paraId="01E6C6E0" w14:textId="440C11C3" w:rsidR="00DA1858" w:rsidRDefault="00DA1858" w:rsidP="00DA1858">
      <w:pPr>
        <w:bidi/>
        <w:rPr>
          <w:rStyle w:val="Style1Char"/>
          <w:color w:val="auto"/>
          <w:sz w:val="22"/>
          <w:szCs w:val="22"/>
          <w:rtl/>
        </w:rPr>
      </w:pPr>
      <w:r w:rsidRPr="00032243">
        <w:rPr>
          <w:rStyle w:val="Style1Char"/>
          <w:color w:val="auto"/>
          <w:sz w:val="22"/>
          <w:szCs w:val="22"/>
          <w:rtl/>
        </w:rPr>
        <w:t xml:space="preserve">רב אשי אמר: לעולם דקאמרי עדים, ודאין כתב ידם יוצא ממקום אחר, ודקאמרת אמאי לא מהימני? כדרב כהנא, דא"ר כהנא: אסור לו לאדם שישהה שטר אמנה בתוך ביתו, משום שנאמר: אל תשכן באהליך עולה. </w:t>
      </w:r>
    </w:p>
    <w:p w14:paraId="1E124347" w14:textId="5714715D" w:rsidR="005E424D" w:rsidRDefault="005E424D" w:rsidP="005E424D">
      <w:pPr>
        <w:pStyle w:val="Style1"/>
        <w:rPr>
          <w:rStyle w:val="Style1Char"/>
          <w:rtl/>
        </w:rPr>
      </w:pPr>
      <w:r>
        <w:rPr>
          <w:rStyle w:val="Style1Char"/>
          <w:rFonts w:hint="cs"/>
          <w:rtl/>
        </w:rPr>
        <w:t>1)[</w:t>
      </w:r>
      <w:r w:rsidRPr="005E424D">
        <w:rPr>
          <w:rStyle w:val="Style1Char"/>
          <w:rtl/>
        </w:rPr>
        <w:t>רמב</w:t>
      </w:r>
      <w:r w:rsidR="0057095E">
        <w:rPr>
          <w:rStyle w:val="Style1Char"/>
          <w:rtl/>
        </w:rPr>
        <w:t>”ם \משפטים\</w:t>
      </w:r>
      <w:r w:rsidRPr="005E424D">
        <w:rPr>
          <w:rStyle w:val="Style1Char"/>
          <w:rtl/>
        </w:rPr>
        <w:t xml:space="preserve"> הלכות מלוה ולוה פרק כד הלכה ה</w:t>
      </w:r>
      <w:r>
        <w:rPr>
          <w:rStyle w:val="Style1Char"/>
          <w:rFonts w:hint="cs"/>
          <w:rtl/>
        </w:rPr>
        <w:t xml:space="preserve">] </w:t>
      </w:r>
      <w:r w:rsidRPr="005E424D">
        <w:rPr>
          <w:rStyle w:val="Style1Char"/>
          <w:rtl/>
        </w:rPr>
        <w:t>כל שטר שיצא לפנינו ויטעון הלוה ויאמר איני חייב כלום שמא רמאי אחר העלה שמו כשמי והודה לזה או שאמר לא לזה אני חייב כלום אלא לאחר וזה רמאי הוא והעלה שמו כשם בעל חובי, מאחר שלא הוחזק שם שנים ששמותיהן שוין אין חוששין לדבריו שחזקה הוא שאין העדים חותמין על השטר אלא א"כ מכירין אלו הנזכרים בו, וכן חזקה שאין חותמין על השטר אלא א"כ נודע להם בודאי שאלו שהעידו על עצמן גדולים ובני דעת, ואין העדים חותמין על השטר אלא אם כן יודעים לקרות ולחתום.</w:t>
      </w:r>
    </w:p>
    <w:p w14:paraId="00CF0007" w14:textId="329ED216" w:rsidR="00CB5BA0" w:rsidRPr="00CB5BA0" w:rsidRDefault="00CC1B27" w:rsidP="00CB5BA0">
      <w:pPr>
        <w:pStyle w:val="Style1"/>
      </w:pPr>
      <w:r>
        <w:rPr>
          <w:rStyle w:val="Style1Char"/>
          <w:rFonts w:hint="cs"/>
          <w:rtl/>
        </w:rPr>
        <w:t>1)[</w:t>
      </w:r>
      <w:r w:rsidRPr="00CC1B27">
        <w:rPr>
          <w:rStyle w:val="Style1Char"/>
          <w:rtl/>
        </w:rPr>
        <w:t>שולחן ערוך חושן משפט הלכות הלואה סימן מו סעיף לח</w:t>
      </w:r>
      <w:r>
        <w:rPr>
          <w:rStyle w:val="Style1Char"/>
          <w:rFonts w:hint="cs"/>
          <w:rtl/>
        </w:rPr>
        <w:t>]</w:t>
      </w:r>
      <w:r w:rsidR="00CB5BA0">
        <w:rPr>
          <w:rStyle w:val="Style1Char"/>
          <w:rFonts w:hint="cs"/>
          <w:rtl/>
        </w:rPr>
        <w:t xml:space="preserve"> </w:t>
      </w:r>
      <w:r w:rsidR="00CB5BA0" w:rsidRPr="00CB5BA0">
        <w:rPr>
          <w:rtl/>
        </w:rPr>
        <w:t>עדים החתומים על השטר שאמרו שהלוה היה קטן באותה שעה אינם נאמנים</w:t>
      </w:r>
      <w:r w:rsidR="00CB5BA0" w:rsidRPr="00CB5BA0">
        <w:t>:</w:t>
      </w:r>
    </w:p>
    <w:p w14:paraId="2040BF1F" w14:textId="0665152D" w:rsidR="00CB5BA0" w:rsidRDefault="00CB5BA0" w:rsidP="00CB5BA0">
      <w:pPr>
        <w:pStyle w:val="Style1"/>
        <w:rPr>
          <w:rtl/>
        </w:rPr>
      </w:pPr>
      <w:r w:rsidRPr="00CB5BA0">
        <w:rPr>
          <w:rFonts w:hint="cs"/>
          <w:rtl/>
        </w:rPr>
        <w:t>הגה: י"א הא דעדים החתומים על השטר כמי שנחקרה עדותן ואינן יכולין לחזור דוקא שנים אבל ע"א החתום בשטר יכול לחזור בו</w:t>
      </w:r>
      <w:r w:rsidRPr="00CB5BA0">
        <w:rPr>
          <w:rFonts w:hint="cs"/>
        </w:rPr>
        <w:t xml:space="preserve"> (</w:t>
      </w:r>
      <w:hyperlink r:id="rId38" w:tooltip="תשובות ריב&quot;ש/קכז" w:history="1">
        <w:r w:rsidRPr="00CB5BA0">
          <w:rPr>
            <w:rStyle w:val="Hyperlink"/>
            <w:rFonts w:hint="cs"/>
            <w:color w:val="7030A0"/>
            <w:u w:val="none"/>
            <w:rtl/>
          </w:rPr>
          <w:t>ריב"ש סי' קכ"ז</w:t>
        </w:r>
      </w:hyperlink>
      <w:r w:rsidRPr="00CB5BA0">
        <w:rPr>
          <w:rFonts w:hint="cs"/>
        </w:rPr>
        <w:t>)</w:t>
      </w:r>
      <w:r w:rsidRPr="00CB5BA0">
        <w:t>:</w:t>
      </w:r>
    </w:p>
    <w:p w14:paraId="6EEA09D4" w14:textId="5E0E1131" w:rsidR="00E67565" w:rsidRDefault="00E67565" w:rsidP="00E67565">
      <w:pPr>
        <w:pStyle w:val="Style1"/>
        <w:rPr>
          <w:rtl/>
        </w:rPr>
      </w:pPr>
      <w:r>
        <w:rPr>
          <w:rFonts w:hint="cs"/>
          <w:rtl/>
        </w:rPr>
        <w:t>2)[</w:t>
      </w:r>
      <w:r>
        <w:rPr>
          <w:rtl/>
        </w:rPr>
        <w:t>רמב</w:t>
      </w:r>
      <w:r w:rsidR="0057095E">
        <w:rPr>
          <w:rtl/>
        </w:rPr>
        <w:t>”ם \מדע\</w:t>
      </w:r>
      <w:r>
        <w:rPr>
          <w:rtl/>
        </w:rPr>
        <w:t xml:space="preserve"> הלכות יסודי התורה פרק ה הלכה א</w:t>
      </w:r>
      <w:r>
        <w:rPr>
          <w:rFonts w:hint="cs"/>
          <w:rtl/>
        </w:rPr>
        <w:t xml:space="preserve">] </w:t>
      </w:r>
      <w:r>
        <w:rPr>
          <w:rtl/>
        </w:rPr>
        <w:t>כל בית ישראל מצווין על קדוש השם הגדול הזה שנאמר ונקדשתי בתוך בני ישראל, ומוזהרין שלא לחללו שנאמר ולא תחללו את שם קדשי, כיצד כשיעמוד עובד כוכבים ויאנוס את ישראל לעבור על אחת מכל מצות האמורות בתורה או יהרגנו יעבור ואל יהרג שנאמר במצות אשר יעשה אותם האדם וחי בהם, וחי בהם ולא שימות בהם, ואם מת ולא עבר הרי זה מתחייב בנפשו.</w:t>
      </w:r>
    </w:p>
    <w:p w14:paraId="35118162" w14:textId="5F0E2092" w:rsidR="00660BCF" w:rsidRDefault="00660BCF" w:rsidP="00660BCF">
      <w:pPr>
        <w:pStyle w:val="Style1"/>
        <w:rPr>
          <w:rtl/>
        </w:rPr>
      </w:pPr>
      <w:r>
        <w:rPr>
          <w:rFonts w:hint="cs"/>
          <w:rtl/>
        </w:rPr>
        <w:t>2)[</w:t>
      </w:r>
      <w:r>
        <w:rPr>
          <w:rtl/>
        </w:rPr>
        <w:t>רמב</w:t>
      </w:r>
      <w:r w:rsidR="0057095E">
        <w:rPr>
          <w:rtl/>
        </w:rPr>
        <w:t>”ם \מדע\</w:t>
      </w:r>
      <w:r>
        <w:rPr>
          <w:rtl/>
        </w:rPr>
        <w:t xml:space="preserve"> הלכות יסודי התורה פרק ה הלכה ב</w:t>
      </w:r>
      <w:r>
        <w:rPr>
          <w:rFonts w:hint="cs"/>
          <w:rtl/>
        </w:rPr>
        <w:t xml:space="preserve">] </w:t>
      </w:r>
      <w:r>
        <w:rPr>
          <w:rtl/>
        </w:rPr>
        <w:t>במה דברים אמורים בשאר מצות חוץ מעבודת כוכבים וגלוי עריות ושפיכת דמים, אבל שלש עבירות אלו אם יאמר לו עבור על אחת מהן או תהרג, יהרג ואל יעבור, במה דברים אמורים בזמן שהעובד כוכבים מתכוין להנאת עצמו, כגון שאנסו לבנות לו ביתו בשבת או לבשל לו תבשילו, או אנס אשה לבועלה וכיוצא בזה, אבל אם נתכוין להעבירו על המצות בלבד, אם היה בינו לבין עצמו ואין שם עשרה מישראל יעבור ואל יהרג, ואם אנסו להעבירו בעשרה מישראל יהרג ואל יעבור, ואפילו לא נתכוין להעבירו אלא על מצוה משאר מצות בלבד.</w:t>
      </w:r>
    </w:p>
    <w:p w14:paraId="12B95B66" w14:textId="29F41562" w:rsidR="005262A8" w:rsidRPr="005262A8" w:rsidRDefault="00914AD3" w:rsidP="005262A8">
      <w:pPr>
        <w:pStyle w:val="Style1"/>
      </w:pPr>
      <w:r>
        <w:rPr>
          <w:rFonts w:hint="cs"/>
          <w:rtl/>
        </w:rPr>
        <w:t>2)[</w:t>
      </w:r>
      <w:r>
        <w:rPr>
          <w:rtl/>
        </w:rPr>
        <w:t>שולחן ערוך יורה דעה הלכות עבודת כוכבים סימן קנז סעיף א</w:t>
      </w:r>
      <w:r>
        <w:rPr>
          <w:rFonts w:hint="cs"/>
          <w:rtl/>
        </w:rPr>
        <w:t>]</w:t>
      </w:r>
      <w:r w:rsidR="005262A8">
        <w:rPr>
          <w:rFonts w:hint="cs"/>
          <w:rtl/>
        </w:rPr>
        <w:t xml:space="preserve"> </w:t>
      </w:r>
      <w:r w:rsidR="005262A8" w:rsidRPr="005262A8">
        <w:rPr>
          <w:rtl/>
        </w:rPr>
        <w:t>כל העבירות שבתורה חוץ מעבודת כוכבים וגלוי עריות ושפיכת דמים אם אומרים לו לאדם שיעבור עליהם או יהרג אם הוא בצינעה יעבור ואל יהרג ואם ירצה להחמיר על עצמו וליהרג רשאי אם העובד כוכבי' מכוין להעבירו על דת</w:t>
      </w:r>
      <w:r w:rsidR="005262A8" w:rsidRPr="005262A8">
        <w:t>:</w:t>
      </w:r>
    </w:p>
    <w:p w14:paraId="6BF411AC" w14:textId="77777777" w:rsidR="005262A8" w:rsidRPr="005262A8" w:rsidRDefault="005262A8" w:rsidP="005262A8">
      <w:pPr>
        <w:pStyle w:val="Style1"/>
      </w:pPr>
      <w:r w:rsidRPr="005262A8">
        <w:rPr>
          <w:rFonts w:hint="cs"/>
          <w:rtl/>
        </w:rPr>
        <w:t>הגה: ואם יוכל להציל עצמו בכל אשר לו צריך ליתן הכל ולא יעבור לא תעשה (ר"ן פרק לולב הגזול ורשב"א וראב"ד וריב"ש סימן שפ"ז) ובמקום שאמרו כל מי שיש בידו למחות ואינו מוחה הוא נתפס באותו עון מכל מקום בדבר שיש חשש סכנה אין צריך להוציא ממונו על זה. (מהרי"ו סימן קנ"ו)</w:t>
      </w:r>
    </w:p>
    <w:p w14:paraId="0D56E77A" w14:textId="1CC85289" w:rsidR="005262A8" w:rsidRPr="005262A8" w:rsidRDefault="005262A8" w:rsidP="005262A8">
      <w:pPr>
        <w:pStyle w:val="Style1"/>
      </w:pPr>
      <w:r w:rsidRPr="005262A8">
        <w:rPr>
          <w:rtl/>
        </w:rPr>
        <w:t>ואם הוא בפרהסיא דהיינו בפני עשרה מישראל חייב ליהרג ולא יעבור אם העובד כוכבים מכוין להעבירו על דת </w:t>
      </w:r>
      <w:r w:rsidRPr="005262A8">
        <w:rPr>
          <w:rFonts w:hint="cs"/>
          <w:rtl/>
        </w:rPr>
        <w:t>(אפילו על ערקתא דמסאנא) (ב"י)</w:t>
      </w:r>
      <w:r w:rsidRPr="005262A8">
        <w:t xml:space="preserve">. </w:t>
      </w:r>
      <w:r w:rsidRPr="005262A8">
        <w:rPr>
          <w:rtl/>
        </w:rPr>
        <w:t>אבל אם אינו מכוין אלא להנאתו יעבור ואל יהרג. ואם הוא שעת הגזירה</w:t>
      </w:r>
      <w:r w:rsidR="000E594F">
        <w:rPr>
          <w:rFonts w:hint="cs"/>
          <w:rtl/>
        </w:rPr>
        <w:t>(</w:t>
      </w:r>
      <w:hyperlink r:id="rId39" w:anchor="cite_note-1" w:history="1">
        <w:r w:rsidR="004034DC" w:rsidRPr="000E594F">
          <w:rPr>
            <w:rtl/>
          </w:rPr>
          <w:t>שגזרו עליהם להעבירם על דתם</w:t>
        </w:r>
      </w:hyperlink>
      <w:r w:rsidR="000E594F">
        <w:rPr>
          <w:rFonts w:hint="cs"/>
          <w:rtl/>
        </w:rPr>
        <w:t>)</w:t>
      </w:r>
      <w:r w:rsidRPr="005262A8">
        <w:t> </w:t>
      </w:r>
      <w:r w:rsidRPr="005262A8">
        <w:rPr>
          <w:rFonts w:hint="cs"/>
          <w:rtl/>
        </w:rPr>
        <w:t>(על ישראל לבדם) (ב"י בשם נ"י)</w:t>
      </w:r>
      <w:r w:rsidRPr="005262A8">
        <w:rPr>
          <w:rtl/>
        </w:rPr>
        <w:t> אפילו אערקתא דמסאנא</w:t>
      </w:r>
      <w:r w:rsidRPr="005262A8">
        <w:t xml:space="preserve"> (</w:t>
      </w:r>
      <w:r w:rsidRPr="005262A8">
        <w:rPr>
          <w:rtl/>
        </w:rPr>
        <w:t>פירוש רצועת המנעל</w:t>
      </w:r>
      <w:r w:rsidRPr="005262A8">
        <w:t xml:space="preserve">) </w:t>
      </w:r>
      <w:r w:rsidRPr="005262A8">
        <w:rPr>
          <w:rtl/>
        </w:rPr>
        <w:t>יהרג ואל יעבור</w:t>
      </w:r>
      <w:r w:rsidRPr="005262A8">
        <w:t>.</w:t>
      </w:r>
    </w:p>
    <w:p w14:paraId="0A7D65E3" w14:textId="77777777" w:rsidR="005262A8" w:rsidRPr="005262A8" w:rsidRDefault="005262A8" w:rsidP="005262A8">
      <w:pPr>
        <w:pStyle w:val="Style1"/>
      </w:pPr>
      <w:r w:rsidRPr="005262A8">
        <w:rPr>
          <w:rFonts w:hint="cs"/>
          <w:rtl/>
        </w:rPr>
        <w:t>הגה: ודוקא אם רוצים להעבירו במצות לא תעשה אבל אם גזרו גזרה שלא לקיים מצות עשה אין צריך לקיימו ושיהרג (ר"ן פרק במה טומנין ונ"י פרק סורר ומורה) מיהו אם השעה צריכה לכך ורוצה ליהרג ולקיימו הרשות בידו (מהרי"ק שורש פ"ת בשם הר"ן)</w:t>
      </w:r>
    </w:p>
    <w:p w14:paraId="07BA6CFE" w14:textId="77777777" w:rsidR="005262A8" w:rsidRPr="005262A8" w:rsidRDefault="005262A8" w:rsidP="005262A8">
      <w:pPr>
        <w:pStyle w:val="Style1"/>
      </w:pPr>
      <w:r w:rsidRPr="005262A8">
        <w:rPr>
          <w:rtl/>
        </w:rPr>
        <w:t>ובעבודת כוכבים ג"ע ש"ד אפילו בצינעה ושלא בשעת הגזרה ואפי' אין העובד כוכבים מכוין אלא להנאתו יהרג ועל יעבור</w:t>
      </w:r>
      <w:r w:rsidRPr="005262A8">
        <w:t>:</w:t>
      </w:r>
    </w:p>
    <w:p w14:paraId="15F3F03E" w14:textId="77777777" w:rsidR="005262A8" w:rsidRPr="005262A8" w:rsidRDefault="005262A8" w:rsidP="005262A8">
      <w:pPr>
        <w:pStyle w:val="Style1"/>
      </w:pPr>
      <w:r w:rsidRPr="005262A8">
        <w:rPr>
          <w:rFonts w:hint="cs"/>
          <w:rtl/>
        </w:rPr>
        <w:t>הגה: ודוקא כשאומרים לו לעשות מעשה כגון שאומרים לאיש לגלות ערוה או שיהרג. אבל אם אונסים לאשה לבא עליה או שרוצים להשליכו על התינוק להרגו או שהוא כבר מוקשה ורוצים לאנס אותו לערוה -- אין צריך ליהרג (ב"י בשם תוספות ור"ן פרק כ"ש)</w:t>
      </w:r>
      <w:r w:rsidRPr="005262A8">
        <w:rPr>
          <w:rFonts w:hint="cs"/>
        </w:rPr>
        <w:t>.</w:t>
      </w:r>
    </w:p>
    <w:p w14:paraId="4A543531" w14:textId="77777777" w:rsidR="005262A8" w:rsidRPr="005262A8" w:rsidRDefault="005262A8" w:rsidP="005262A8">
      <w:pPr>
        <w:pStyle w:val="Style1"/>
      </w:pPr>
      <w:r w:rsidRPr="005262A8">
        <w:rPr>
          <w:rFonts w:hint="cs"/>
          <w:rtl/>
        </w:rPr>
        <w:t>וכל איסור עבודת כוכבים וג"ע ושפיכות דמים -- אע"פ שאין בו מיתה רק לאו בעלמא -- צריך ליהרג ולא לעבור. אבל אלאו דלפני עור לא תתן מכשול -- יעבור ואל יהרג (ר"ן פרק כ"ש ופרק בן סורר ומורה)</w:t>
      </w:r>
      <w:r w:rsidRPr="005262A8">
        <w:rPr>
          <w:rFonts w:hint="cs"/>
        </w:rPr>
        <w:t>.</w:t>
      </w:r>
    </w:p>
    <w:p w14:paraId="1B897B42" w14:textId="77777777" w:rsidR="005262A8" w:rsidRPr="005262A8" w:rsidRDefault="005262A8" w:rsidP="005262A8">
      <w:pPr>
        <w:pStyle w:val="Style1"/>
      </w:pPr>
      <w:r w:rsidRPr="005262A8">
        <w:rPr>
          <w:rFonts w:hint="cs"/>
          <w:rtl/>
        </w:rPr>
        <w:t>ועובד כוכבים הבא על בת ישראל אינו בכלל גילוי עריות (ב"י בשם הרמב"ן והפוסקים הנ"ל)</w:t>
      </w:r>
      <w:r w:rsidRPr="005262A8">
        <w:rPr>
          <w:rFonts w:hint="cs"/>
        </w:rPr>
        <w:t>.</w:t>
      </w:r>
    </w:p>
    <w:p w14:paraId="044A6062" w14:textId="77777777" w:rsidR="005262A8" w:rsidRPr="005262A8" w:rsidRDefault="005262A8" w:rsidP="005262A8">
      <w:pPr>
        <w:pStyle w:val="Style1"/>
      </w:pPr>
      <w:r w:rsidRPr="005262A8">
        <w:rPr>
          <w:rFonts w:hint="cs"/>
          <w:rtl/>
        </w:rPr>
        <w:t>עובדי כוכבים שאמרו לישראל "תנו לנו אחד מכם ונהרגנו" -- לא יתנו להם אחד מהם אלא א"כ יחדוהו ואמרו "תנו לנו פלוני" (משנה פ' ח' דתרומות והרמב"ם פ"ה מהלכות יסודי התורה). ויש אומרים דאפילו בכה"ג אין למסרו אא"כ חייב מיתה כשבע בן בכרי (ב"י בשם רש"י ור"ן). וכן נשים שאמרו להן עובדי כוכבים "תנו לנו אחת מכם ונטמא אותה" -- יטמאו כולם ולא ימסרו נפש אחת מישראל (רמב"ם פ' הנזכר)</w:t>
      </w:r>
      <w:r w:rsidRPr="005262A8">
        <w:t>.</w:t>
      </w:r>
    </w:p>
    <w:p w14:paraId="34603511" w14:textId="6175820A" w:rsidR="005262A8" w:rsidRDefault="005262A8" w:rsidP="005262A8">
      <w:pPr>
        <w:pStyle w:val="Style1"/>
        <w:rPr>
          <w:rtl/>
        </w:rPr>
      </w:pPr>
      <w:r w:rsidRPr="005262A8">
        <w:rPr>
          <w:rFonts w:hint="cs"/>
          <w:rtl/>
        </w:rPr>
        <w:lastRenderedPageBreak/>
        <w:t>כל מקום שנאמר יהרג ואל יעבור, אם עבר ולא נהרג, אע"פ שחלל השם מכל מקום נקרא אנוס ופטור. ודוקא שלא יוכל לברוח אבל אם יכול לברוח ואינו עושה הרי הוא ככלב שב על קיאו ונקרא עובר במזיד (ב"י בשם הרמב"ם פ"ה דיסודי התורה)</w:t>
      </w:r>
      <w:r w:rsidRPr="005262A8">
        <w:rPr>
          <w:rFonts w:hint="cs"/>
        </w:rPr>
        <w:t>.</w:t>
      </w:r>
    </w:p>
    <w:p w14:paraId="740A9A96" w14:textId="32FBCC20" w:rsidR="003D1E9B" w:rsidRDefault="003D1E9B" w:rsidP="003D1E9B">
      <w:pPr>
        <w:pStyle w:val="Style1"/>
        <w:rPr>
          <w:rtl/>
        </w:rPr>
      </w:pPr>
      <w:r>
        <w:rPr>
          <w:rFonts w:hint="cs"/>
          <w:rtl/>
        </w:rPr>
        <w:t>3)[</w:t>
      </w:r>
      <w:r>
        <w:rPr>
          <w:rtl/>
        </w:rPr>
        <w:t>רמב</w:t>
      </w:r>
      <w:r w:rsidR="0057095E">
        <w:rPr>
          <w:rtl/>
        </w:rPr>
        <w:t>”ם \משפטים\</w:t>
      </w:r>
      <w:r>
        <w:rPr>
          <w:rtl/>
        </w:rPr>
        <w:t xml:space="preserve"> הלכות מלוה ולוה פרק יד הלכה ה</w:t>
      </w:r>
      <w:r>
        <w:rPr>
          <w:rFonts w:hint="cs"/>
          <w:rtl/>
        </w:rPr>
        <w:t xml:space="preserve">] </w:t>
      </w:r>
      <w:r>
        <w:rPr>
          <w:rtl/>
        </w:rPr>
        <w:t>הוציא עליו שטר חוב שאינו יכול לקיימו ואמר הלוה אמת שאני כתבתי שטר זה אבל פרעתיו או אמנה הוא או כתבתי ללוות ועדיין לא לויתי וכל כיוצא בזה הואיל ואם רצה אמר לא היו דברים מעולם והרי מפיו נתקיים הרי זה נאמן וישבע היסת ויפטר, ואם קיימו המלוה אח"כ בב"ד הרי היא כשאר השטרות.</w:t>
      </w:r>
    </w:p>
    <w:p w14:paraId="3F00D9EA" w14:textId="2FE1C914" w:rsidR="001F4830" w:rsidRDefault="001F4830" w:rsidP="001F4830">
      <w:pPr>
        <w:pStyle w:val="Style1"/>
        <w:rPr>
          <w:rtl/>
        </w:rPr>
      </w:pPr>
      <w:r>
        <w:rPr>
          <w:rFonts w:hint="cs"/>
          <w:rtl/>
        </w:rPr>
        <w:t>3)[</w:t>
      </w:r>
      <w:r>
        <w:rPr>
          <w:rtl/>
        </w:rPr>
        <w:t>רמב</w:t>
      </w:r>
      <w:r w:rsidR="0057095E">
        <w:rPr>
          <w:rtl/>
        </w:rPr>
        <w:t>”ם \משפטים\</w:t>
      </w:r>
      <w:r>
        <w:rPr>
          <w:rtl/>
        </w:rPr>
        <w:t xml:space="preserve"> הלכות מלוה ולוה פרק יד הלכה יג</w:t>
      </w:r>
      <w:r>
        <w:rPr>
          <w:rFonts w:hint="cs"/>
          <w:rtl/>
        </w:rPr>
        <w:t xml:space="preserve">] </w:t>
      </w:r>
      <w:r>
        <w:rPr>
          <w:rtl/>
        </w:rPr>
        <w:t>מי שהיה לו חוב על חבירו בשטר ואבד השטר והרי העדים קיימין אף על פי שקנו מידו וטען שפרע ה"ז נשבע היסת, והורו רבותי שאפילו היה החוב לזמן ועדיין לא הגיע זמנו להפרע הואיל וכתבו לו השטר ואין בידו שטר והלוה טוען פרעתי נאמן ונשבע היסת שפרעו שאנו חוששין שמא פרעו ולפיכך קרע השטר או שרפו, וכן הורו רבותי שאפילו היה השטר יוצא מתחת ידי אחר והלוה טוען ממני נפל אחר שפרעתי אף על פי שהוא בתוך זמנו נשבע היסת ונפטר שכיון שאין השטר ביד המלוה אין שם חזקה. /השגת הראב"ד/ מי שהיה לו וכו' עד ולפיכך וכו'. א"א אין דין זה מחוור ומלובן (דאם איתא דאפילו באבד כל תוך זמנו לא חיישינן לפריעה מה טעם לא מהדרינן ליה כשנפל דאמרינן בהדיא פ"ק דמציעא דאפילו כתוב בו ביום לא מהדרינן ליה אלא ודאי כל דנפל איתרע ליה וכל שכן אבד דאיתרע ליה ורגלים לדבר) דבשבועה מיהא יטול עכ"ל. /השגת הראב"ד/ וכן הורו רבותי וכו' עד אין שם חזקה. א"א ואף זה לא נהיר ולא בהיר ולא צהיר עכ"ל.</w:t>
      </w:r>
    </w:p>
    <w:p w14:paraId="3B420A36" w14:textId="52B2EAE9" w:rsidR="003A4EB2" w:rsidRDefault="003A4EB2" w:rsidP="003A4EB2">
      <w:pPr>
        <w:pStyle w:val="Style1"/>
        <w:rPr>
          <w:rtl/>
        </w:rPr>
      </w:pPr>
      <w:r>
        <w:rPr>
          <w:rFonts w:hint="cs"/>
          <w:rtl/>
        </w:rPr>
        <w:t>3)[</w:t>
      </w:r>
      <w:r>
        <w:rPr>
          <w:rtl/>
        </w:rPr>
        <w:t>שולחן ערוך חושן משפט הלכות הלואה סימן מו סעיף א</w:t>
      </w:r>
      <w:r>
        <w:rPr>
          <w:rFonts w:hint="cs"/>
          <w:rtl/>
        </w:rPr>
        <w:t>]</w:t>
      </w:r>
      <w:r w:rsidR="001A4C4F">
        <w:rPr>
          <w:rFonts w:hint="cs"/>
          <w:rtl/>
        </w:rPr>
        <w:t xml:space="preserve"> </w:t>
      </w:r>
      <w:r w:rsidR="001A4C4F" w:rsidRPr="001A4C4F">
        <w:rPr>
          <w:rtl/>
        </w:rPr>
        <w:t>המוציא שט"ח על חבירו כל זמן שלא נתקיים יכול הלוה לומר מזויף הוא ומעולם לא צויתי לכתבו ואפי' אם מודה ואומר אמת שאני צויתי לכתבו אבל פרעתיו או אמנה הוא או כתבתי ללות ועדיין לא לויתי וכל כיוצא בזה הואיל ואם רצה אמר לא היו דברים מעולם והרי מפיו נתקיים ה"ז נאמן וישבע היסת ויפטר ואם קיימו המלוה אח"כ בב"ד הרי הוא כשאר השטרות</w:t>
      </w:r>
      <w:r w:rsidR="001A4C4F" w:rsidRPr="001A4C4F">
        <w:t>. </w:t>
      </w:r>
      <w:r w:rsidR="001A4C4F" w:rsidRPr="001A4C4F">
        <w:rPr>
          <w:rFonts w:hint="cs"/>
        </w:rPr>
        <w:t>(</w:t>
      </w:r>
      <w:r w:rsidR="001A4C4F" w:rsidRPr="001A4C4F">
        <w:rPr>
          <w:rFonts w:hint="cs"/>
          <w:rtl/>
        </w:rPr>
        <w:t>ועיין לקמן ריש </w:t>
      </w:r>
      <w:hyperlink r:id="rId40" w:tooltip="שולחן ערוך חושן משפט פב" w:history="1">
        <w:r w:rsidR="001A4C4F" w:rsidRPr="001A4C4F">
          <w:rPr>
            <w:rFonts w:hint="cs"/>
            <w:rtl/>
          </w:rPr>
          <w:t>ס' פ"ב</w:t>
        </w:r>
      </w:hyperlink>
      <w:r w:rsidR="001A4C4F" w:rsidRPr="001A4C4F">
        <w:rPr>
          <w:rFonts w:hint="cs"/>
        </w:rPr>
        <w:t>)</w:t>
      </w:r>
      <w:r w:rsidR="001A4C4F" w:rsidRPr="001A4C4F">
        <w:t>:</w:t>
      </w:r>
    </w:p>
    <w:p w14:paraId="1EFCF813" w14:textId="018C3A55" w:rsidR="00494B15" w:rsidRPr="00494B15" w:rsidRDefault="00291CFE" w:rsidP="00494B15">
      <w:pPr>
        <w:pStyle w:val="Style1"/>
      </w:pPr>
      <w:r>
        <w:rPr>
          <w:rFonts w:hint="cs"/>
          <w:rtl/>
        </w:rPr>
        <w:t>3)[</w:t>
      </w:r>
      <w:r>
        <w:rPr>
          <w:rtl/>
        </w:rPr>
        <w:t>שולחן ערוך חושן משפט הלכות טוען ונטען סימן פב סעיף א</w:t>
      </w:r>
      <w:r>
        <w:rPr>
          <w:rFonts w:hint="cs"/>
          <w:rtl/>
        </w:rPr>
        <w:t>]</w:t>
      </w:r>
      <w:r w:rsidR="00494B15">
        <w:rPr>
          <w:rFonts w:hint="cs"/>
          <w:rtl/>
        </w:rPr>
        <w:t xml:space="preserve"> </w:t>
      </w:r>
      <w:r w:rsidR="00494B15" w:rsidRPr="00494B15">
        <w:rPr>
          <w:rtl/>
        </w:rPr>
        <w:t>מלוה שהוציא שטר שאינו מקוים ואינו מוציא עדים לקיימו והלוה מודה שכתבו אלא שטוען פרעתי נאמן ואפילו אם כתוב בו נאמנות אינו מועיל וה"ה לכל מה שיטעון בו דבר שמבטל השטר כגון אמנה או כתבתי ללות ולא לויתי או על תנאי נעשה ולא נתקיים התנאי </w:t>
      </w:r>
      <w:r w:rsidR="00494B15" w:rsidRPr="00494B15">
        <w:rPr>
          <w:rFonts w:hint="cs"/>
          <w:rtl/>
        </w:rPr>
        <w:t>(או שאמר קטן הייתי כשנכתב השטר נאמן) (נ"י פ' מי שמת)</w:t>
      </w:r>
      <w:r w:rsidR="00494B15" w:rsidRPr="00494B15">
        <w:rPr>
          <w:rtl/>
        </w:rPr>
        <w:t> ואם אח"כ מצא המלוה עדים לקיים השטר בב"ד הרי הוא כשאר השטרות וגובה בו</w:t>
      </w:r>
      <w:r w:rsidR="00494B15" w:rsidRPr="00494B15">
        <w:t>:</w:t>
      </w:r>
    </w:p>
    <w:p w14:paraId="69C5A713" w14:textId="3C8D3698" w:rsidR="00494B15" w:rsidRDefault="00494B15" w:rsidP="00494B15">
      <w:pPr>
        <w:pStyle w:val="Style1"/>
        <w:rPr>
          <w:rtl/>
        </w:rPr>
      </w:pPr>
      <w:r w:rsidRPr="00494B15">
        <w:rPr>
          <w:rFonts w:hint="cs"/>
          <w:rtl/>
        </w:rPr>
        <w:t>הגה: אמר תחלה מזויף השטר ואחר שהביא עדים לקיימו אמר הלוה פרוע י"א דהוחזק כפרן ואינו נאמן מאחר שאמר מזויף כאלו אמר לא לויתי ואינו נאמן אח"כ לומר פרעתי (נ"י סוף ב"ב) ויש חולקין ואומרים דנאמן הוא דהא לא כפר בהלואה רק שאומר שהשטר מזוייף ורצה לומר שיקיימנו ואח"כ ידין עמו (הרשב"א)</w:t>
      </w:r>
      <w:r w:rsidRPr="00494B15">
        <w:t>:</w:t>
      </w:r>
    </w:p>
    <w:p w14:paraId="107447C1" w14:textId="06987E52" w:rsidR="00CF6068" w:rsidRDefault="00CF6068" w:rsidP="00CF6068">
      <w:pPr>
        <w:pStyle w:val="Style1"/>
        <w:rPr>
          <w:rtl/>
        </w:rPr>
      </w:pPr>
      <w:r>
        <w:rPr>
          <w:rFonts w:hint="cs"/>
          <w:rtl/>
        </w:rPr>
        <w:t>4)[</w:t>
      </w:r>
      <w:r>
        <w:rPr>
          <w:rtl/>
        </w:rPr>
        <w:t>רמב</w:t>
      </w:r>
      <w:r w:rsidR="0057095E">
        <w:rPr>
          <w:rtl/>
        </w:rPr>
        <w:t>”ם \משפטים\</w:t>
      </w:r>
      <w:r>
        <w:rPr>
          <w:rtl/>
        </w:rPr>
        <w:t xml:space="preserve"> הלכות מלוה ולוה פרק ב הלכה ה</w:t>
      </w:r>
      <w:r>
        <w:rPr>
          <w:rFonts w:hint="cs"/>
          <w:rtl/>
        </w:rPr>
        <w:t xml:space="preserve">] </w:t>
      </w:r>
      <w:r>
        <w:rPr>
          <w:rtl/>
        </w:rPr>
        <w:t>מי שנתחייב בשבועה זו מפני שטר חוב שעליו והודה לאחרים בחובות אחרים והשיגה ידו יתר על הראוי לו לא יטול היתר אלא בעלי שטרות בלבד, שמא קנוניא עושה בהודאתו על נכסיו של זה.</w:t>
      </w:r>
    </w:p>
    <w:p w14:paraId="6C5533E0" w14:textId="7CBC78F9" w:rsidR="005B45B1" w:rsidRPr="005C1C54" w:rsidRDefault="005B45B1" w:rsidP="005B45B1">
      <w:pPr>
        <w:pStyle w:val="Style1"/>
        <w:rPr>
          <w:rtl/>
        </w:rPr>
      </w:pPr>
      <w:r>
        <w:rPr>
          <w:rFonts w:hint="cs"/>
          <w:rtl/>
        </w:rPr>
        <w:t>4)[</w:t>
      </w:r>
      <w:r>
        <w:rPr>
          <w:rtl/>
        </w:rPr>
        <w:t>שולחן ערוך חושן משפט הלכות הלואה סימן מז סעיף א</w:t>
      </w:r>
      <w:r>
        <w:rPr>
          <w:rFonts w:hint="cs"/>
          <w:rtl/>
        </w:rPr>
        <w:t>]</w:t>
      </w:r>
      <w:r w:rsidR="00EE6375">
        <w:rPr>
          <w:rFonts w:hint="cs"/>
          <w:rtl/>
        </w:rPr>
        <w:t xml:space="preserve"> </w:t>
      </w:r>
      <w:r w:rsidR="00EE6375" w:rsidRPr="005C1C54">
        <w:rPr>
          <w:rtl/>
        </w:rPr>
        <w:t>מלוה שאמר על שטר שבידו שהוא אמנה או פרוע אם הוא חייב לאחרים ואין לו ממה לפרוע אלא מזה השטר וכתוב בו נאמנות והוחזק השטר בב"ד או שהוא ביד שליש אינו נאמן ואפילו אם לא נודע בשעת הודאתו שהוא חייב לאחרים ונודע אח"כ אינו נאמן כיון שהוא בא לחוב לאחרים אפי' אם מפסיד גם לעצמו כגון שהשטר הוא ממאתים ואינו חייב לאחרים אלא מנה אינו נאמן אם אחר שאמר שטר אמנה הוא פרע לבעל חובו ובא לגבות השטר מהלוה רואים אם כשבעל חובו בא לגבות מזה השטר אמר שטר אמנה הוא אז ודאי לא היתה כוונתו אלא לדחות בעל חובו </w:t>
      </w:r>
      <w:r w:rsidR="00EE6375" w:rsidRPr="005C1C54">
        <w:rPr>
          <w:rFonts w:hint="cs"/>
          <w:rtl/>
        </w:rPr>
        <w:t>(וחוזר וגובה בו אבל אם מעצמו בלא תביעת בעל חובו) (טור)</w:t>
      </w:r>
      <w:r w:rsidR="00EE6375" w:rsidRPr="005C1C54">
        <w:t xml:space="preserve">. </w:t>
      </w:r>
      <w:r w:rsidR="00EE6375" w:rsidRPr="005C1C54">
        <w:rPr>
          <w:rtl/>
        </w:rPr>
        <w:t>הודה ששטר אמנה הוא אינו חוזר וגובה בו</w:t>
      </w:r>
      <w:r w:rsidR="00EE6375" w:rsidRPr="005C1C54">
        <w:t>:</w:t>
      </w:r>
    </w:p>
    <w:p w14:paraId="6579D4A7" w14:textId="6BAC7E21" w:rsidR="005C1C54" w:rsidRDefault="005C1C54" w:rsidP="00C65DB5">
      <w:pPr>
        <w:pStyle w:val="Style1"/>
        <w:rPr>
          <w:rtl/>
        </w:rPr>
      </w:pPr>
      <w:r>
        <w:rPr>
          <w:rFonts w:hint="cs"/>
          <w:rtl/>
        </w:rPr>
        <w:t>5</w:t>
      </w:r>
      <w:r w:rsidR="00C65DB5">
        <w:rPr>
          <w:rFonts w:hint="cs"/>
          <w:rtl/>
        </w:rPr>
        <w:t>)[</w:t>
      </w:r>
      <w:r>
        <w:rPr>
          <w:rtl/>
        </w:rPr>
        <w:t>רמב</w:t>
      </w:r>
      <w:r w:rsidR="0057095E">
        <w:rPr>
          <w:rtl/>
        </w:rPr>
        <w:t>”ם \משפטים\</w:t>
      </w:r>
      <w:r>
        <w:rPr>
          <w:rtl/>
        </w:rPr>
        <w:t xml:space="preserve"> הלכות מלוה ולוה פרק ב הלכה ו</w:t>
      </w:r>
      <w:r w:rsidR="00C65DB5">
        <w:rPr>
          <w:rFonts w:hint="cs"/>
          <w:rtl/>
        </w:rPr>
        <w:t xml:space="preserve">] </w:t>
      </w:r>
      <w:r>
        <w:rPr>
          <w:rtl/>
        </w:rPr>
        <w:t>ראובן שהיה חייב לשמעון מאה ולוי חייב לראובן מאה מוציאין מלוי ונותנין לשמעון, לפיכך אם אין לראובן נכסים והיו לו שטרי חוב על לוי ואמר לוי שטר אמנה הוא פרוע הוא והודה לו ראובן אין משגיחין על הודאתו שמא קנוניא הם עושין לאבד זכותו של שמעון אלא ישבע שמעון ויטול מלוי כדין כל טורף שאינו נפרע אלא בשבועה, וכן כל מי שיש עליו שטר חוב והודה לאחר מעצמו בחוב אחר אם אין לו נכסים כדי שיגבו שניהם גובה בעל השטר בלבד שלא יעשו קנוניא על שטרו של זה.</w:t>
      </w:r>
    </w:p>
    <w:p w14:paraId="0EE004BC" w14:textId="0AFA9B3C" w:rsidR="00022487" w:rsidRPr="00022487" w:rsidRDefault="00CE66B1" w:rsidP="00022487">
      <w:pPr>
        <w:pStyle w:val="Style1"/>
      </w:pPr>
      <w:r>
        <w:rPr>
          <w:rFonts w:hint="cs"/>
          <w:rtl/>
        </w:rPr>
        <w:t>5)[</w:t>
      </w:r>
      <w:r>
        <w:rPr>
          <w:rtl/>
        </w:rPr>
        <w:t>שולחן ערוך חושן משפט הלכות טוען ונטען סימן פו סעיף א</w:t>
      </w:r>
      <w:r>
        <w:rPr>
          <w:rFonts w:hint="cs"/>
          <w:rtl/>
        </w:rPr>
        <w:t>]</w:t>
      </w:r>
      <w:r w:rsidR="00022487">
        <w:rPr>
          <w:rFonts w:hint="cs"/>
          <w:rtl/>
        </w:rPr>
        <w:t xml:space="preserve"> </w:t>
      </w:r>
      <w:r w:rsidR="00022487" w:rsidRPr="00022487">
        <w:rPr>
          <w:rtl/>
        </w:rPr>
        <w:t>ראובן שנושה ק' בשמעון ושמעון בלוי מוציאין מלוי ונותנין לראובן ל"ש אם נתחייב לו כבר לשמעון בשעה שלוה מראובן ל"ש נתחייב לו אח"כ ואין חילוק בזה בין מלוה בשטר למלוה על פה כיון ששני הלווים מודים כל אחד למלוה שלו מוציאין מלוי ונותנים לראובן בכל ענין שיתחייב לוי לשמעון בין דרך הלואה שהלוה לו בין דרך מקח וממכר בין דרך שכירות</w:t>
      </w:r>
      <w:r w:rsidR="00022487" w:rsidRPr="00022487">
        <w:t>:</w:t>
      </w:r>
    </w:p>
    <w:p w14:paraId="432260E3" w14:textId="77777777" w:rsidR="00022487" w:rsidRPr="00022487" w:rsidRDefault="00022487" w:rsidP="00022487">
      <w:pPr>
        <w:pStyle w:val="Style1"/>
      </w:pPr>
      <w:r w:rsidRPr="00022487">
        <w:rPr>
          <w:rFonts w:hint="cs"/>
          <w:rtl/>
        </w:rPr>
        <w:t>הגה: ראובן שיש לו משכון מן העכו"ם והעכו"ם חייב לשמעון י"א דיוכל שמעון לפדות המשכון מראובן ונותן לו קרן ורבית שעלה עליו וגובה חובו מן המותר (תשו' מהרי"ל סי' קפ"ח) וכן נ"ל מאחר שאין לעכו"ם לפרוע בענין אחר שמעון יש לו כל זכות העכו"ם ואע"פ שיש מי שחולק בזה (ב"י </w:t>
      </w:r>
      <w:hyperlink r:id="rId41" w:tooltip="טור חושן משפט עד" w:history="1">
        <w:r w:rsidRPr="00022487">
          <w:rPr>
            <w:rStyle w:val="Hyperlink"/>
            <w:rFonts w:hint="cs"/>
            <w:color w:val="7030A0"/>
            <w:u w:val="none"/>
            <w:rtl/>
          </w:rPr>
          <w:t>סי' ע"ד</w:t>
        </w:r>
      </w:hyperlink>
      <w:r w:rsidRPr="00022487">
        <w:rPr>
          <w:rFonts w:hint="cs"/>
        </w:rPr>
        <w:t xml:space="preserve">) </w:t>
      </w:r>
      <w:r w:rsidRPr="00022487">
        <w:rPr>
          <w:rFonts w:hint="cs"/>
          <w:rtl/>
        </w:rPr>
        <w:t>נראה לדון כמו שכתבתי</w:t>
      </w:r>
      <w:r w:rsidRPr="00022487">
        <w:t>:</w:t>
      </w:r>
    </w:p>
    <w:p w14:paraId="39A06996" w14:textId="77777777" w:rsidR="00022487" w:rsidRPr="00022487" w:rsidRDefault="00022487" w:rsidP="00022487">
      <w:pPr>
        <w:pStyle w:val="Style1"/>
      </w:pPr>
    </w:p>
    <w:p w14:paraId="1685109C" w14:textId="0AD5E5EB" w:rsidR="00CE66B1" w:rsidRDefault="00CE66B1" w:rsidP="00CE66B1">
      <w:pPr>
        <w:pStyle w:val="Style1"/>
      </w:pPr>
    </w:p>
    <w:p w14:paraId="01200B8E" w14:textId="64795608" w:rsidR="005B45B1" w:rsidRPr="00494B15" w:rsidRDefault="005B45B1" w:rsidP="005B45B1">
      <w:pPr>
        <w:pStyle w:val="Style1"/>
      </w:pPr>
    </w:p>
    <w:p w14:paraId="1CBD58B3" w14:textId="77777777" w:rsidR="00494B15" w:rsidRPr="00494B15" w:rsidRDefault="00494B15" w:rsidP="00494B15">
      <w:pPr>
        <w:pStyle w:val="Style1"/>
      </w:pPr>
    </w:p>
    <w:p w14:paraId="34EAC0A4" w14:textId="78F2C029" w:rsidR="00943790" w:rsidRPr="001A4C4F" w:rsidRDefault="00943790" w:rsidP="00291CFE">
      <w:pPr>
        <w:pStyle w:val="Style1"/>
      </w:pPr>
    </w:p>
    <w:p w14:paraId="239D24BD" w14:textId="4B0C6910" w:rsidR="003A4EB2" w:rsidRPr="005262A8" w:rsidRDefault="003A4EB2" w:rsidP="003A4EB2">
      <w:pPr>
        <w:pStyle w:val="Style1"/>
      </w:pPr>
    </w:p>
    <w:p w14:paraId="5228BB7B" w14:textId="77777777" w:rsidR="005262A8" w:rsidRPr="005262A8" w:rsidRDefault="005262A8" w:rsidP="005262A8">
      <w:pPr>
        <w:pStyle w:val="Style1"/>
      </w:pPr>
    </w:p>
    <w:p w14:paraId="135B4D68" w14:textId="7A1748FC" w:rsidR="00914AD3" w:rsidRPr="005262A8" w:rsidRDefault="00914AD3" w:rsidP="005262A8">
      <w:pPr>
        <w:pStyle w:val="Style1"/>
        <w:rPr>
          <w:rtl/>
        </w:rPr>
      </w:pPr>
    </w:p>
    <w:p w14:paraId="4CCA1714" w14:textId="77777777" w:rsidR="00CB5BA0" w:rsidRPr="005262A8" w:rsidRDefault="00CB5BA0" w:rsidP="005262A8">
      <w:pPr>
        <w:pStyle w:val="Style1"/>
        <w:rPr>
          <w:rStyle w:val="Style1Char"/>
        </w:rPr>
      </w:pPr>
    </w:p>
    <w:p w14:paraId="739B8E09" w14:textId="77777777" w:rsidR="00DA1858" w:rsidRPr="00070EDF" w:rsidRDefault="00DA1858" w:rsidP="00DA1858">
      <w:pPr>
        <w:bidi/>
        <w:rPr>
          <w:rStyle w:val="Style1Char"/>
          <w:color w:val="C00000"/>
        </w:rPr>
      </w:pPr>
      <w:r w:rsidRPr="00070EDF">
        <w:rPr>
          <w:rStyle w:val="Style1Char"/>
          <w:color w:val="C00000"/>
          <w:rtl/>
        </w:rPr>
        <w:t xml:space="preserve"> </w:t>
      </w:r>
    </w:p>
    <w:p w14:paraId="31A4EE0D" w14:textId="77777777" w:rsidR="00DA1858" w:rsidRPr="004E4CAF" w:rsidRDefault="00DA1858" w:rsidP="00DA1858">
      <w:pPr>
        <w:bidi/>
        <w:rPr>
          <w:rStyle w:val="Style1Char"/>
          <w:color w:val="00B050"/>
          <w:rtl/>
        </w:rPr>
      </w:pPr>
    </w:p>
    <w:p w14:paraId="1F4D2917" w14:textId="77777777" w:rsidR="00DA1858" w:rsidRDefault="00DA1858" w:rsidP="00DA1858">
      <w:pPr>
        <w:rPr>
          <w:rStyle w:val="Style1Char"/>
          <w:color w:val="00B050"/>
          <w:rtl/>
        </w:rPr>
      </w:pPr>
      <w:r>
        <w:rPr>
          <w:rStyle w:val="Style1Char"/>
          <w:color w:val="00B050"/>
          <w:rtl/>
        </w:rPr>
        <w:br w:type="page"/>
      </w:r>
    </w:p>
    <w:p w14:paraId="6E2E0BF4" w14:textId="3E73879A" w:rsidR="00DA1858" w:rsidRPr="007552F6" w:rsidRDefault="00DA1858" w:rsidP="00DA1858">
      <w:pPr>
        <w:bidi/>
        <w:rPr>
          <w:rStyle w:val="Style1Char"/>
          <w:color w:val="4472C4" w:themeColor="accent1"/>
          <w:sz w:val="22"/>
          <w:szCs w:val="22"/>
        </w:rPr>
      </w:pPr>
      <w:r w:rsidRPr="00F31757">
        <w:rPr>
          <w:rStyle w:val="Style1Char"/>
          <w:color w:val="auto"/>
          <w:sz w:val="22"/>
          <w:szCs w:val="22"/>
          <w:highlight w:val="yellow"/>
          <w:rtl/>
        </w:rPr>
        <w:lastRenderedPageBreak/>
        <w:t>[דף יט עמוד ב]</w:t>
      </w:r>
      <w:r w:rsidRPr="00F31757">
        <w:rPr>
          <w:rStyle w:val="Style1Char"/>
          <w:color w:val="auto"/>
          <w:sz w:val="22"/>
          <w:szCs w:val="22"/>
          <w:rtl/>
        </w:rPr>
        <w:t xml:space="preserve"> ואמר רב</w:t>
      </w:r>
      <w:r w:rsidRPr="00F31757">
        <w:rPr>
          <w:rStyle w:val="Style1Char"/>
          <w:color w:val="auto"/>
          <w:rtl/>
        </w:rPr>
        <w:t xml:space="preserve"> </w:t>
      </w:r>
      <w:r w:rsidRPr="00887069">
        <w:rPr>
          <w:rStyle w:val="Style1Char"/>
          <w:color w:val="00B050"/>
          <w:rtl/>
        </w:rPr>
        <w:t xml:space="preserve">ששת </w:t>
      </w:r>
      <w:r w:rsidRPr="00F31757">
        <w:rPr>
          <w:rStyle w:val="Style1Char"/>
          <w:color w:val="806000" w:themeColor="accent4" w:themeShade="80"/>
          <w:sz w:val="22"/>
          <w:szCs w:val="22"/>
          <w:rtl/>
        </w:rPr>
        <w:t xml:space="preserve">שישא </w:t>
      </w:r>
      <w:r w:rsidRPr="00F31757">
        <w:rPr>
          <w:rStyle w:val="Style1Char"/>
          <w:color w:val="auto"/>
          <w:sz w:val="22"/>
          <w:szCs w:val="22"/>
          <w:rtl/>
        </w:rPr>
        <w:t xml:space="preserve">בריה דרב אידי, ש"מ מדרב כהנא: עדים שאמרו </w:t>
      </w:r>
      <w:r w:rsidR="00776CE7">
        <w:rPr>
          <w:rStyle w:val="Style1Char"/>
          <w:rFonts w:hint="cs"/>
          <w:rtl/>
        </w:rPr>
        <w:t>(1)</w:t>
      </w:r>
      <w:r w:rsidRPr="00F31757">
        <w:rPr>
          <w:rStyle w:val="Style1Char"/>
          <w:color w:val="auto"/>
          <w:sz w:val="22"/>
          <w:szCs w:val="22"/>
          <w:rtl/>
        </w:rPr>
        <w:t>אמנה היו דברינו - אין נאמנין; מאי טעמא? כיון דעולה הוא, אעולה לא חתמי</w:t>
      </w:r>
      <w:r>
        <w:rPr>
          <w:rStyle w:val="Style1Char"/>
          <w:color w:val="auto"/>
          <w:sz w:val="22"/>
          <w:szCs w:val="22"/>
        </w:rPr>
        <w:t xml:space="preserve"> </w:t>
      </w:r>
      <w:r>
        <w:rPr>
          <w:rStyle w:val="Style1Char"/>
          <w:rFonts w:hint="cs"/>
          <w:color w:val="4472C4" w:themeColor="accent1"/>
        </w:rPr>
        <w:t>‍</w:t>
      </w:r>
      <w:r w:rsidRPr="0077125B">
        <w:rPr>
          <w:rStyle w:val="Style1Char"/>
          <w:color w:val="4472C4" w:themeColor="accent1"/>
          <w:rtl/>
        </w:rPr>
        <w:t>אבל אם אמרי שלא ידעו בשעה שחתמו שהיו שטר אמנה ושוב</w:t>
      </w:r>
      <w:r>
        <w:rPr>
          <w:rStyle w:val="Style1Char"/>
          <w:rFonts w:hint="cs"/>
          <w:color w:val="4472C4" w:themeColor="accent1"/>
        </w:rPr>
        <w:t>‍</w:t>
      </w:r>
      <w:r w:rsidRPr="0077125B">
        <w:rPr>
          <w:rStyle w:val="Style1Char"/>
          <w:color w:val="4472C4" w:themeColor="accent1"/>
          <w:rtl/>
        </w:rPr>
        <w:t xml:space="preserve"> נתברר להם מהימני</w:t>
      </w:r>
      <w:r w:rsidRPr="0077125B">
        <w:rPr>
          <w:rStyle w:val="Style1Char"/>
          <w:color w:val="4472C4" w:themeColor="accent1"/>
        </w:rPr>
        <w:t>:</w:t>
      </w:r>
      <w:r w:rsidRPr="00F31757">
        <w:rPr>
          <w:rStyle w:val="Style1Char"/>
          <w:color w:val="auto"/>
          <w:sz w:val="22"/>
          <w:szCs w:val="22"/>
          <w:rtl/>
        </w:rPr>
        <w:t xml:space="preserve">. אמר רבי יהושע בן לוי: </w:t>
      </w:r>
      <w:r w:rsidR="00776CE7">
        <w:rPr>
          <w:rStyle w:val="Style1Char"/>
          <w:rFonts w:hint="cs"/>
          <w:rtl/>
        </w:rPr>
        <w:t>(2)</w:t>
      </w:r>
      <w:r w:rsidRPr="00F31757">
        <w:rPr>
          <w:rStyle w:val="Style1Char"/>
          <w:color w:val="auto"/>
          <w:sz w:val="22"/>
          <w:szCs w:val="22"/>
          <w:rtl/>
        </w:rPr>
        <w:t>אסור לו לאדם שישהה שטר פרוע בתוך ביתו, משום שנאמר: אל תשכן באהליך עולה</w:t>
      </w:r>
      <w:r w:rsidRPr="00887069">
        <w:rPr>
          <w:rStyle w:val="Style1Char"/>
          <w:color w:val="00B050"/>
          <w:rtl/>
        </w:rPr>
        <w:t xml:space="preserve">. במערבא משמיה דרב אמרי: אם און בידך הרחיקהו - זה שטר אמנה ושטר פסים, ואל תשכן באהלך עולה - זה שטר פרוע. </w:t>
      </w:r>
      <w:r w:rsidRPr="007552F6">
        <w:rPr>
          <w:rStyle w:val="Style1Char"/>
          <w:color w:val="ED7D31" w:themeColor="accent2"/>
          <w:sz w:val="22"/>
          <w:szCs w:val="22"/>
          <w:rtl/>
        </w:rPr>
        <w:t>מאן דאמר שטר פרוע, כל שכן שטר אמנה; ומאן דאמר שטר אמנה, אבל שטר פרוע לא, דזמנין דמשהי ליה אפשיטי דספרא</w:t>
      </w:r>
      <w:r w:rsidRPr="007552F6">
        <w:rPr>
          <w:rStyle w:val="Style1Char"/>
          <w:color w:val="4472C4" w:themeColor="accent1"/>
          <w:sz w:val="22"/>
          <w:szCs w:val="22"/>
          <w:rtl/>
        </w:rPr>
        <w:t xml:space="preserve"> </w:t>
      </w:r>
    </w:p>
    <w:p w14:paraId="778D7D1C" w14:textId="77777777" w:rsidR="00DA1858" w:rsidRPr="0077125B" w:rsidRDefault="00DA1858" w:rsidP="00DA1858">
      <w:pPr>
        <w:bidi/>
        <w:rPr>
          <w:rStyle w:val="Style1Char"/>
          <w:color w:val="4472C4" w:themeColor="accent1"/>
        </w:rPr>
      </w:pPr>
      <w:r w:rsidRPr="0077125B">
        <w:rPr>
          <w:rStyle w:val="Style1Char"/>
          <w:color w:val="4472C4" w:themeColor="accent1"/>
          <w:rtl/>
        </w:rPr>
        <w:t>פי' ע"י אותה שהיה משתלי לשהותו אחר שפרע לו פשיטי דספרא הלכך לא פסיק ביה למיקרי עולה ומ"ד שטר פרוע היה לו ליזהר אחר שפרע לו פשיטי דספרא שלא ישהה אבל אין לפרש משום שהייתו אפשיטי דספרא קרי ליה עולה</w:t>
      </w:r>
      <w:r>
        <w:rPr>
          <w:rStyle w:val="Style1Char"/>
          <w:rFonts w:hint="cs"/>
          <w:color w:val="4472C4" w:themeColor="accent1"/>
        </w:rPr>
        <w:t>‍</w:t>
      </w:r>
      <w:r w:rsidRPr="0077125B">
        <w:rPr>
          <w:rStyle w:val="Style1Char"/>
          <w:color w:val="4472C4" w:themeColor="accent1"/>
          <w:rtl/>
        </w:rPr>
        <w:t xml:space="preserve"> דמה פשע בזה</w:t>
      </w:r>
      <w:r w:rsidRPr="0077125B">
        <w:rPr>
          <w:rStyle w:val="Style1Char"/>
          <w:color w:val="4472C4" w:themeColor="accent1"/>
        </w:rPr>
        <w:t>:</w:t>
      </w:r>
    </w:p>
    <w:p w14:paraId="0A05838D" w14:textId="78BEB5E2" w:rsidR="00DA1858" w:rsidRPr="0077125B" w:rsidRDefault="00DA1858" w:rsidP="00DA1858">
      <w:pPr>
        <w:bidi/>
        <w:rPr>
          <w:rStyle w:val="Style1Char"/>
          <w:color w:val="4472C4" w:themeColor="accent1"/>
        </w:rPr>
      </w:pPr>
      <w:r w:rsidRPr="003C639A">
        <w:rPr>
          <w:rStyle w:val="Style1Char"/>
          <w:color w:val="auto"/>
          <w:rtl/>
        </w:rPr>
        <w:t xml:space="preserve">. </w:t>
      </w:r>
      <w:r w:rsidRPr="003C639A">
        <w:rPr>
          <w:rStyle w:val="Style1Char"/>
          <w:color w:val="auto"/>
          <w:sz w:val="22"/>
          <w:szCs w:val="22"/>
          <w:rtl/>
        </w:rPr>
        <w:t xml:space="preserve">אתמר: </w:t>
      </w:r>
      <w:r w:rsidR="00A82F15">
        <w:rPr>
          <w:rStyle w:val="Style1Char"/>
          <w:rFonts w:hint="cs"/>
          <w:rtl/>
        </w:rPr>
        <w:t>(3)</w:t>
      </w:r>
      <w:r w:rsidRPr="003C639A">
        <w:rPr>
          <w:rStyle w:val="Style1Char"/>
          <w:color w:val="auto"/>
          <w:sz w:val="22"/>
          <w:szCs w:val="22"/>
          <w:rtl/>
        </w:rPr>
        <w:t>ספר שאינו מוגה - אמר רבי אמי: עד ל' יום מותר לשהותו, מכאן ואילך אסור לשהותו, משום שנא': אל תשכן באהליך עולה</w:t>
      </w:r>
      <w:r w:rsidRPr="005C42B7">
        <w:rPr>
          <w:rStyle w:val="Style1Char"/>
          <w:color w:val="4472C4" w:themeColor="accent1"/>
          <w:rtl/>
        </w:rPr>
        <w:t xml:space="preserve"> </w:t>
      </w:r>
      <w:r w:rsidRPr="0077125B">
        <w:rPr>
          <w:rStyle w:val="Style1Char"/>
          <w:color w:val="4472C4" w:themeColor="accent1"/>
          <w:rtl/>
        </w:rPr>
        <w:t>פרש"י ס"ת נביאים וכתובים. ואפשר שפירש כך משום דבימי רב אמי לא היה להם כתובים ספרים אחרים ולא למעט ספרים המצויים לנו עתה</w:t>
      </w:r>
      <w:r>
        <w:rPr>
          <w:rStyle w:val="Style1Char"/>
          <w:rFonts w:hint="cs"/>
          <w:color w:val="4472C4" w:themeColor="accent1"/>
        </w:rPr>
        <w:t>‍</w:t>
      </w:r>
      <w:r w:rsidRPr="0077125B">
        <w:rPr>
          <w:rStyle w:val="Style1Char"/>
          <w:color w:val="4472C4" w:themeColor="accent1"/>
          <w:rtl/>
        </w:rPr>
        <w:t xml:space="preserve"> דאם נמצא טעות בגמ' או בספר מפוסקים יבא להתיר האסור ולאסור את המותר ולזכות את החייב ולחייב את הזכאי ואין עולה גדולה מזו</w:t>
      </w:r>
      <w:r w:rsidRPr="0077125B">
        <w:rPr>
          <w:rStyle w:val="Style1Char"/>
          <w:color w:val="4472C4" w:themeColor="accent1"/>
        </w:rPr>
        <w:t xml:space="preserve">: </w:t>
      </w:r>
    </w:p>
    <w:p w14:paraId="10946CC0" w14:textId="7C110A87" w:rsidR="00DA1858" w:rsidRDefault="00DA1858" w:rsidP="00DA1858">
      <w:pPr>
        <w:bidi/>
        <w:rPr>
          <w:rStyle w:val="Style1Char"/>
          <w:color w:val="00B050"/>
        </w:rPr>
      </w:pPr>
      <w:r w:rsidRPr="00FE2607">
        <w:rPr>
          <w:rStyle w:val="Style1Char"/>
          <w:color w:val="auto"/>
          <w:sz w:val="22"/>
          <w:szCs w:val="22"/>
          <w:rtl/>
        </w:rPr>
        <w:t xml:space="preserve">אמר רב נחמן: עדים שאמרו אמנה היו דברינו - אין נאמנין, מודעא היו דברינו - אין נאמנין. מר בר רב אשי אמר: </w:t>
      </w:r>
      <w:r w:rsidR="000736F8">
        <w:rPr>
          <w:rStyle w:val="Style1Char"/>
          <w:rFonts w:hint="cs"/>
          <w:rtl/>
        </w:rPr>
        <w:t>(</w:t>
      </w:r>
      <w:r w:rsidR="002F09BF">
        <w:rPr>
          <w:rStyle w:val="Style1Char"/>
          <w:rFonts w:hint="cs"/>
          <w:rtl/>
        </w:rPr>
        <w:t>1, 4</w:t>
      </w:r>
      <w:r w:rsidR="000736F8">
        <w:rPr>
          <w:rStyle w:val="Style1Char"/>
          <w:rFonts w:hint="cs"/>
          <w:rtl/>
        </w:rPr>
        <w:t>)</w:t>
      </w:r>
      <w:r w:rsidRPr="00FE2607">
        <w:rPr>
          <w:rStyle w:val="Style1Char"/>
          <w:color w:val="auto"/>
          <w:sz w:val="22"/>
          <w:szCs w:val="22"/>
          <w:rtl/>
        </w:rPr>
        <w:t xml:space="preserve">אמנה היו דברינו - אין נאמנין, </w:t>
      </w:r>
      <w:r w:rsidR="002F09BF">
        <w:rPr>
          <w:rStyle w:val="Style1Char"/>
          <w:rFonts w:hint="cs"/>
          <w:rtl/>
        </w:rPr>
        <w:t>(1, 4)</w:t>
      </w:r>
      <w:r w:rsidRPr="00FE2607">
        <w:rPr>
          <w:rStyle w:val="Style1Char"/>
          <w:color w:val="auto"/>
          <w:sz w:val="22"/>
          <w:szCs w:val="22"/>
          <w:rtl/>
        </w:rPr>
        <w:t>מודעא היו דברינו - נאמנין; מ"ט? האי ניתן ליכתב, והאי לא ניתן ליכתב</w:t>
      </w:r>
      <w:r w:rsidRPr="00FE2607">
        <w:rPr>
          <w:rStyle w:val="Style1Char"/>
          <w:color w:val="auto"/>
          <w:rtl/>
        </w:rPr>
        <w:t xml:space="preserve"> </w:t>
      </w:r>
      <w:r>
        <w:rPr>
          <w:rStyle w:val="Style1Char"/>
          <w:rFonts w:hint="cs"/>
          <w:color w:val="4472C4" w:themeColor="accent1"/>
        </w:rPr>
        <w:t>‍</w:t>
      </w:r>
      <w:r w:rsidRPr="0077125B">
        <w:rPr>
          <w:rStyle w:val="Style1Char"/>
          <w:color w:val="4472C4" w:themeColor="accent1"/>
          <w:rtl/>
        </w:rPr>
        <w:t xml:space="preserve"> ומיירי באין כתב ידן יוצא ממקום אחר מדתלי טעמא באין ניתן ליכתב</w:t>
      </w:r>
      <w:r>
        <w:rPr>
          <w:rStyle w:val="Style1Char"/>
          <w:rFonts w:hint="cs"/>
          <w:color w:val="4472C4" w:themeColor="accent1"/>
        </w:rPr>
        <w:t>‍</w:t>
      </w:r>
      <w:r w:rsidRPr="0077125B">
        <w:rPr>
          <w:rStyle w:val="Style1Char"/>
          <w:color w:val="4472C4" w:themeColor="accent1"/>
          <w:rtl/>
        </w:rPr>
        <w:t xml:space="preserve"> הא ניתן ליכתב מהימני א"כ ע"כ מיירי כדפרישית ואף על גב דאין כתב ידם יוצא ממקום אחר לא מהימני אאמנה משום דמשוי נפשייהו רשעים והילכתא כמר בר רב אשי.</w:t>
      </w:r>
      <w:r w:rsidRPr="00D9255E">
        <w:rPr>
          <w:rStyle w:val="Style1Char"/>
          <w:color w:val="C00000"/>
          <w:sz w:val="22"/>
          <w:szCs w:val="22"/>
          <w:rtl/>
        </w:rPr>
        <w:t>וכן הלכתא</w:t>
      </w:r>
      <w:r w:rsidRPr="00887069">
        <w:rPr>
          <w:rStyle w:val="Style1Char"/>
          <w:color w:val="00B050"/>
          <w:rtl/>
        </w:rPr>
        <w:t>.</w:t>
      </w:r>
    </w:p>
    <w:p w14:paraId="291CC1E4" w14:textId="73B2B958" w:rsidR="00DA1858" w:rsidRDefault="00DA1858" w:rsidP="00DA1858">
      <w:pPr>
        <w:bidi/>
        <w:rPr>
          <w:rStyle w:val="Style1Char"/>
          <w:color w:val="00B050"/>
        </w:rPr>
      </w:pPr>
      <w:r>
        <w:rPr>
          <w:rStyle w:val="Style1Char"/>
          <w:rFonts w:hint="cs"/>
          <w:color w:val="4472C4" w:themeColor="accent1"/>
        </w:rPr>
        <w:t>‍</w:t>
      </w:r>
      <w:r w:rsidRPr="0077125B">
        <w:rPr>
          <w:rStyle w:val="Style1Char"/>
          <w:color w:val="4472C4" w:themeColor="accent1"/>
          <w:rtl/>
        </w:rPr>
        <w:t xml:space="preserve"> </w:t>
      </w:r>
      <w:r w:rsidRPr="00887069">
        <w:rPr>
          <w:rStyle w:val="Style1Char"/>
          <w:color w:val="00B050"/>
          <w:rtl/>
        </w:rPr>
        <w:t xml:space="preserve">בעא מיניה רבא מרב נחמן: תנאי היו דברינו, מהו? מודעא ואמנה היינו טעמא, דקא עקרי ליה לשטרא, והאי נמי קא עקר לשטרא, או דלמא תנאי מילתא אחריתי היא? א"ל: </w:t>
      </w:r>
      <w:r w:rsidRPr="0024049A">
        <w:rPr>
          <w:rStyle w:val="Style1Char"/>
          <w:color w:val="806000" w:themeColor="accent4" w:themeShade="80"/>
          <w:sz w:val="22"/>
          <w:szCs w:val="22"/>
          <w:rtl/>
        </w:rPr>
        <w:t xml:space="preserve">עדים שאמרו תנאי היו דברינו נאמנים </w:t>
      </w:r>
      <w:r w:rsidRPr="0024049A">
        <w:rPr>
          <w:rStyle w:val="Style1Char"/>
          <w:rFonts w:hint="cs"/>
          <w:color w:val="806000" w:themeColor="accent4" w:themeShade="80"/>
          <w:sz w:val="22"/>
          <w:szCs w:val="22"/>
          <w:rtl/>
        </w:rPr>
        <w:t>ו</w:t>
      </w:r>
      <w:r w:rsidRPr="0024049A">
        <w:rPr>
          <w:rStyle w:val="Style1Char"/>
          <w:color w:val="auto"/>
          <w:sz w:val="22"/>
          <w:szCs w:val="22"/>
          <w:rtl/>
        </w:rPr>
        <w:t>כי</w:t>
      </w:r>
      <w:r w:rsidRPr="002F6AFB">
        <w:rPr>
          <w:rStyle w:val="Style1Char"/>
          <w:sz w:val="22"/>
          <w:szCs w:val="22"/>
          <w:rtl/>
        </w:rPr>
        <w:t xml:space="preserve"> </w:t>
      </w:r>
      <w:r w:rsidRPr="0024049A">
        <w:rPr>
          <w:rStyle w:val="Style1Char"/>
          <w:color w:val="auto"/>
          <w:sz w:val="22"/>
          <w:szCs w:val="22"/>
          <w:rtl/>
        </w:rPr>
        <w:t xml:space="preserve">אתו לקמן לדינא, אמרינן להו: </w:t>
      </w:r>
      <w:r w:rsidR="002F09BF">
        <w:rPr>
          <w:rStyle w:val="Style1Char"/>
          <w:rFonts w:hint="cs"/>
          <w:rtl/>
        </w:rPr>
        <w:t>(1, 4)</w:t>
      </w:r>
      <w:r w:rsidRPr="0024049A">
        <w:rPr>
          <w:rStyle w:val="Style1Char"/>
          <w:color w:val="auto"/>
          <w:sz w:val="22"/>
          <w:szCs w:val="22"/>
          <w:rtl/>
        </w:rPr>
        <w:t xml:space="preserve">זילו קיימו תנאייכו וחותו לדינא. עד אומר תנאי, ועד אומר אינו תנאי - א"ר פפא: תרוייהו בשטרא מעליא קא מסהדי, והאי דקאמר תנאי הוה ליה חד, ואין דבריו של אחד במקום שנים. מתקיף לה רב הונא בריה דרב יהושע: אי הכי, אפי' תרוייהו נמי! אלא אמרינן הני למיעקר סהדותייהו קאתו, האי נמי למיעקר סהדותיה קאתי. </w:t>
      </w:r>
      <w:r w:rsidR="002F09BF">
        <w:rPr>
          <w:rStyle w:val="Style1Char"/>
          <w:rFonts w:hint="cs"/>
          <w:rtl/>
        </w:rPr>
        <w:t>(1, 4)</w:t>
      </w:r>
      <w:r w:rsidRPr="0024049A">
        <w:rPr>
          <w:rStyle w:val="Style1Char"/>
          <w:color w:val="auto"/>
          <w:sz w:val="22"/>
          <w:szCs w:val="22"/>
          <w:rtl/>
        </w:rPr>
        <w:t xml:space="preserve">והלכתא כרב הונא בריה דרב יהושע. </w:t>
      </w:r>
      <w:r w:rsidRPr="00827CF7">
        <w:rPr>
          <w:rStyle w:val="Style1Char"/>
          <w:color w:val="auto"/>
          <w:sz w:val="22"/>
          <w:szCs w:val="22"/>
          <w:rtl/>
        </w:rPr>
        <w:t xml:space="preserve">ת"ר: </w:t>
      </w:r>
      <w:r w:rsidR="008D49E0">
        <w:rPr>
          <w:rStyle w:val="Style1Char"/>
          <w:rFonts w:hint="cs"/>
          <w:rtl/>
        </w:rPr>
        <w:t>(</w:t>
      </w:r>
      <w:r w:rsidR="008D49E0">
        <w:rPr>
          <w:rStyle w:val="Style1Char"/>
        </w:rPr>
        <w:t>4</w:t>
      </w:r>
      <w:r w:rsidR="008D49E0">
        <w:rPr>
          <w:rStyle w:val="Style1Char"/>
          <w:rFonts w:hint="cs"/>
          <w:rtl/>
        </w:rPr>
        <w:t>)</w:t>
      </w:r>
      <w:r w:rsidRPr="00827CF7">
        <w:rPr>
          <w:rStyle w:val="Style1Char"/>
          <w:color w:val="ED7D31" w:themeColor="accent2"/>
          <w:rtl/>
        </w:rPr>
        <w:t xml:space="preserve">שנים </w:t>
      </w:r>
      <w:r w:rsidRPr="008F5C98">
        <w:rPr>
          <w:rStyle w:val="Style1Char"/>
          <w:color w:val="C00000"/>
          <w:sz w:val="22"/>
          <w:szCs w:val="22"/>
          <w:rtl/>
        </w:rPr>
        <w:t xml:space="preserve">עדים </w:t>
      </w:r>
      <w:r w:rsidRPr="00827CF7">
        <w:rPr>
          <w:rStyle w:val="Style1Char"/>
          <w:color w:val="806000" w:themeColor="accent4" w:themeShade="80"/>
          <w:sz w:val="22"/>
          <w:szCs w:val="22"/>
          <w:rtl/>
        </w:rPr>
        <w:t>שהיו</w:t>
      </w:r>
      <w:r w:rsidRPr="008F5C98">
        <w:rPr>
          <w:rStyle w:val="Style1Char"/>
          <w:color w:val="C00000"/>
          <w:sz w:val="22"/>
          <w:szCs w:val="22"/>
          <w:rtl/>
        </w:rPr>
        <w:t xml:space="preserve"> </w:t>
      </w:r>
      <w:r w:rsidRPr="00827CF7">
        <w:rPr>
          <w:rStyle w:val="Style1Char"/>
          <w:color w:val="auto"/>
          <w:sz w:val="22"/>
          <w:szCs w:val="22"/>
          <w:rtl/>
        </w:rPr>
        <w:t xml:space="preserve">חתומין על השטר ומתו, ובאו שנים </w:t>
      </w:r>
      <w:r w:rsidRPr="00887069">
        <w:rPr>
          <w:rStyle w:val="Style1Char"/>
          <w:color w:val="00B050"/>
          <w:rtl/>
        </w:rPr>
        <w:t xml:space="preserve">מן השוק </w:t>
      </w:r>
      <w:r w:rsidRPr="00827CF7">
        <w:rPr>
          <w:rStyle w:val="Style1Char"/>
          <w:color w:val="auto"/>
          <w:sz w:val="22"/>
          <w:szCs w:val="22"/>
          <w:rtl/>
        </w:rPr>
        <w:t xml:space="preserve">ואמרו </w:t>
      </w:r>
      <w:r w:rsidRPr="00887069">
        <w:rPr>
          <w:rStyle w:val="Style1Char"/>
          <w:color w:val="00B050"/>
          <w:rtl/>
        </w:rPr>
        <w:t xml:space="preserve">ידענו </w:t>
      </w:r>
      <w:r w:rsidRPr="00C07EAE">
        <w:rPr>
          <w:rStyle w:val="Style1Char"/>
          <w:color w:val="00B050"/>
          <w:rtl/>
        </w:rPr>
        <w:t>ש</w:t>
      </w:r>
      <w:r w:rsidRPr="00827CF7">
        <w:rPr>
          <w:rStyle w:val="Style1Char"/>
          <w:color w:val="auto"/>
          <w:sz w:val="22"/>
          <w:szCs w:val="22"/>
          <w:rtl/>
        </w:rPr>
        <w:t>כתב</w:t>
      </w:r>
      <w:r w:rsidRPr="00C07EAE">
        <w:rPr>
          <w:rStyle w:val="Style1Char"/>
          <w:sz w:val="22"/>
          <w:szCs w:val="22"/>
          <w:rtl/>
        </w:rPr>
        <w:t xml:space="preserve"> </w:t>
      </w:r>
      <w:r w:rsidRPr="00827CF7">
        <w:rPr>
          <w:rStyle w:val="Style1Char"/>
          <w:color w:val="auto"/>
          <w:sz w:val="22"/>
          <w:szCs w:val="22"/>
          <w:rtl/>
        </w:rPr>
        <w:t>ידם הוא, אבל אנוסים היו, קטנים היו, פסולי עדות היו - הרי אלו נאמנים; ואם יש עדים שכתב ידם הוא זה, או שהיה כתב ידם יוצא ממקום אחר משטר שקרא עליו ערער והוחזק בב"ד - אין אלו נאמנין</w:t>
      </w:r>
      <w:r w:rsidRPr="00B444FE">
        <w:rPr>
          <w:rStyle w:val="Style1Char"/>
          <w:color w:val="4472C4" w:themeColor="accent1"/>
          <w:rtl/>
        </w:rPr>
        <w:t xml:space="preserve"> </w:t>
      </w:r>
      <w:r w:rsidRPr="0077125B">
        <w:rPr>
          <w:rStyle w:val="Style1Char"/>
          <w:color w:val="4472C4" w:themeColor="accent1"/>
          <w:rtl/>
        </w:rPr>
        <w:t>יראה דהא דקאמר שקרא עליו ערער והוחזק בב"ד</w:t>
      </w:r>
      <w:r>
        <w:rPr>
          <w:rStyle w:val="Style1Char"/>
          <w:rFonts w:hint="cs"/>
          <w:color w:val="4472C4" w:themeColor="accent1"/>
        </w:rPr>
        <w:t>‍</w:t>
      </w:r>
      <w:r w:rsidRPr="0077125B">
        <w:rPr>
          <w:rStyle w:val="Style1Char"/>
          <w:color w:val="4472C4" w:themeColor="accent1"/>
          <w:rtl/>
        </w:rPr>
        <w:t xml:space="preserve"> לאו דוקא דהוא הדין נמי אם הוחזק בלא ערער דכיון דמקויים בב"ד הוא בתר בי דינא לא דייקינן דודאי לא קיימוהו עד שנתברר להם שהוא חתימתן אלא שבימיהם לא היו נוהגים לקיים חתימת העדים בב"ד בלא ערער.</w:t>
      </w:r>
      <w:r w:rsidRPr="00827CF7">
        <w:rPr>
          <w:rStyle w:val="Style1Char"/>
          <w:color w:val="auto"/>
          <w:sz w:val="22"/>
          <w:szCs w:val="22"/>
          <w:rtl/>
        </w:rPr>
        <w:t xml:space="preserve">; </w:t>
      </w:r>
      <w:r w:rsidRPr="00B444FE">
        <w:rPr>
          <w:rStyle w:val="Style1Char"/>
          <w:color w:val="auto"/>
          <w:sz w:val="22"/>
          <w:szCs w:val="22"/>
          <w:rtl/>
        </w:rPr>
        <w:t xml:space="preserve">ומגבינן ביה </w:t>
      </w:r>
      <w:r w:rsidRPr="00887069">
        <w:rPr>
          <w:rStyle w:val="Style1Char"/>
          <w:color w:val="00B050"/>
          <w:rtl/>
        </w:rPr>
        <w:t xml:space="preserve">כבשטרא מעליא? </w:t>
      </w:r>
      <w:r w:rsidRPr="00B444FE">
        <w:rPr>
          <w:rStyle w:val="Style1Char"/>
          <w:color w:val="auto"/>
          <w:sz w:val="22"/>
          <w:szCs w:val="22"/>
          <w:rtl/>
        </w:rPr>
        <w:t xml:space="preserve">ואמאי? תרי ותרי נינהו! </w:t>
      </w:r>
      <w:r w:rsidRPr="0077125B">
        <w:rPr>
          <w:rStyle w:val="Style1Char"/>
          <w:color w:val="4472C4" w:themeColor="accent1"/>
          <w:rtl/>
        </w:rPr>
        <w:t>דעדים החתומים על השטר אף על פי שאלו מעידין עליהם שהיו פסולין הוי כאילו שנים אחרים מעידין עליהם שהם כשרים דחזקה דמלוה לא מחתים עדים פסולין על שטרו והך חזקה חשיבא כעדים ולא מיירי דמעידים שהם עתה פסולין דאהא לא הוה פריך תרי ותרי נינהו דפסולין לגמרי הן דלא עדיפא עדים החתומים ממה שאם היו עומדים לפנינו דהוו מצו אמרי פסולין הן</w:t>
      </w:r>
      <w:r>
        <w:rPr>
          <w:rStyle w:val="Style1Char"/>
          <w:rFonts w:hint="cs"/>
          <w:color w:val="4472C4" w:themeColor="accent1"/>
        </w:rPr>
        <w:t>‍</w:t>
      </w:r>
      <w:r w:rsidRPr="0077125B">
        <w:rPr>
          <w:rStyle w:val="Style1Char"/>
          <w:color w:val="4472C4" w:themeColor="accent1"/>
          <w:rtl/>
        </w:rPr>
        <w:t xml:space="preserve"> אלא מיירי דקאמרי פסולין היו כשחתמו השטר ועכשיו כשרים הן כך פירשו התוספות. ולי נראה דאפילו אי אמרי פסולי עדות הם גם עכשיו לא מהימני לפסול השטר שהרי מן הדין אף על פי שכתב ידם יוצא ממקום אחר היה לנו להאמין לאחרונים שהרי אינם באים לזייף חתימתם אלא מגרעין</w:t>
      </w:r>
      <w:r>
        <w:rPr>
          <w:rStyle w:val="Style1Char"/>
          <w:rFonts w:hint="cs"/>
          <w:color w:val="4472C4" w:themeColor="accent1"/>
        </w:rPr>
        <w:t>‍</w:t>
      </w:r>
      <w:r w:rsidRPr="0077125B">
        <w:rPr>
          <w:rStyle w:val="Style1Char"/>
          <w:color w:val="4472C4" w:themeColor="accent1"/>
          <w:rtl/>
        </w:rPr>
        <w:t xml:space="preserve"> השטר בפסול אחר והאי דלא מהימני היינו טעמא</w:t>
      </w:r>
      <w:r>
        <w:rPr>
          <w:rStyle w:val="Style1Char"/>
          <w:rFonts w:hint="cs"/>
          <w:color w:val="4472C4" w:themeColor="accent1"/>
        </w:rPr>
        <w:t>‍</w:t>
      </w:r>
      <w:r w:rsidRPr="0077125B">
        <w:rPr>
          <w:rStyle w:val="Style1Char"/>
          <w:color w:val="4472C4" w:themeColor="accent1"/>
          <w:rtl/>
        </w:rPr>
        <w:t xml:space="preserve"> דאנן סהדי דכל שטר שנכתב ונחתם בלא שום פסול נחתם הלכך אפילו אי אמרי פסולי עדות הם עכשיו לא מהימני לפסול השטר כיון דכתב ידם יוצא ממקום אחר. </w:t>
      </w:r>
      <w:r w:rsidRPr="00887069">
        <w:rPr>
          <w:rStyle w:val="Style1Char"/>
          <w:color w:val="00B050"/>
          <w:rtl/>
        </w:rPr>
        <w:t xml:space="preserve">אמר רב ששת, זאת אומרת: </w:t>
      </w:r>
      <w:r w:rsidR="00436DA8">
        <w:rPr>
          <w:rStyle w:val="Style1Char"/>
          <w:rFonts w:hint="cs"/>
          <w:rtl/>
        </w:rPr>
        <w:t>(</w:t>
      </w:r>
      <w:r w:rsidR="00436DA8">
        <w:rPr>
          <w:rStyle w:val="Style1Char"/>
        </w:rPr>
        <w:t>5</w:t>
      </w:r>
      <w:r w:rsidR="00436DA8">
        <w:rPr>
          <w:rStyle w:val="Style1Char"/>
          <w:rFonts w:hint="cs"/>
          <w:rtl/>
        </w:rPr>
        <w:t>)</w:t>
      </w:r>
      <w:r w:rsidRPr="00887069">
        <w:rPr>
          <w:rStyle w:val="Style1Char"/>
          <w:color w:val="00B050"/>
          <w:rtl/>
        </w:rPr>
        <w:t xml:space="preserve">הכחשה תחלת הזמה היא, </w:t>
      </w:r>
    </w:p>
    <w:p w14:paraId="668E73CC" w14:textId="42BC8422" w:rsidR="00373560" w:rsidRDefault="00373560" w:rsidP="00373560">
      <w:pPr>
        <w:pStyle w:val="Style1"/>
        <w:rPr>
          <w:rStyle w:val="Style1Char"/>
          <w:rtl/>
        </w:rPr>
      </w:pPr>
      <w:r>
        <w:rPr>
          <w:rStyle w:val="Style1Char"/>
          <w:rFonts w:hint="cs"/>
          <w:rtl/>
        </w:rPr>
        <w:t>1)[</w:t>
      </w:r>
      <w:r w:rsidRPr="00373560">
        <w:rPr>
          <w:rStyle w:val="Style1Char"/>
          <w:rtl/>
        </w:rPr>
        <w:t>רמב</w:t>
      </w:r>
      <w:r w:rsidR="0057095E">
        <w:rPr>
          <w:rStyle w:val="Style1Char"/>
          <w:rtl/>
        </w:rPr>
        <w:t>”ם \שופטים\</w:t>
      </w:r>
      <w:r w:rsidRPr="00373560">
        <w:rPr>
          <w:rStyle w:val="Style1Char"/>
          <w:rtl/>
        </w:rPr>
        <w:t xml:space="preserve"> הלכות עדות פרק ג הלכה ז</w:t>
      </w:r>
      <w:r>
        <w:rPr>
          <w:rStyle w:val="Style1Char"/>
          <w:rFonts w:hint="cs"/>
          <w:rtl/>
        </w:rPr>
        <w:t xml:space="preserve">] </w:t>
      </w:r>
      <w:r w:rsidRPr="00373560">
        <w:rPr>
          <w:rStyle w:val="Style1Char"/>
          <w:rtl/>
        </w:rPr>
        <w:t>אמרו פסולי עדות היינו בעבירה או שוחד לקחנו על עדות זו אין נאמנים שאין אדם משים עצמו רשע עד שיעידו עליו עדים שהוא רשע, וכן אם אמרו אמנה היו דברינו אין נאמנים שהמעיד על שטר אמנה כמעיד בשקר.</w:t>
      </w:r>
    </w:p>
    <w:p w14:paraId="615E89B0" w14:textId="0FE788C4" w:rsidR="00164231" w:rsidRPr="00164231" w:rsidRDefault="00B35298" w:rsidP="00164231">
      <w:pPr>
        <w:pStyle w:val="Style1"/>
      </w:pPr>
      <w:r>
        <w:rPr>
          <w:rStyle w:val="Style1Char"/>
          <w:rFonts w:hint="cs"/>
          <w:rtl/>
        </w:rPr>
        <w:t>1)[</w:t>
      </w:r>
      <w:r w:rsidR="00BC104E" w:rsidRPr="00BC104E">
        <w:rPr>
          <w:rStyle w:val="Style1Char"/>
          <w:rtl/>
        </w:rPr>
        <w:t>שולחן ערוך חושן משפט הלכות הלואה סימן מו סעיף לז</w:t>
      </w:r>
      <w:r>
        <w:rPr>
          <w:rStyle w:val="Style1Char"/>
          <w:rFonts w:hint="cs"/>
          <w:rtl/>
        </w:rPr>
        <w:t>]</w:t>
      </w:r>
      <w:r w:rsidR="00164231">
        <w:rPr>
          <w:rStyle w:val="Style1Char"/>
          <w:rFonts w:hint="cs"/>
          <w:rtl/>
        </w:rPr>
        <w:t xml:space="preserve"> </w:t>
      </w:r>
      <w:r w:rsidR="00164231" w:rsidRPr="00164231">
        <w:rPr>
          <w:rtl/>
        </w:rPr>
        <w:t>שנים החתומים על השטר ומתו ואין כתב ידם יוצא ממקום אחר ובאו שנים ואמרו כתב ידם הוא אבל קטנים היו או פסולין הרי אלו נאמנים וקורעין השטר אא"כ טען שנקבע לו זמן לקיים השטר ואם יש עדים שהוא כתב ידם או שהיה כתב ידם יוצא ממקום אחר משטר שקרא עליו ערער והוחזק בב"ד אין קורעין אותו ויש מי שאומר שא"צ שקרא עליו ערער דבהוחזק בב"ד סגי אפילו לא קרא עליו ערער</w:t>
      </w:r>
      <w:r w:rsidR="00164231" w:rsidRPr="00164231">
        <w:t>:</w:t>
      </w:r>
    </w:p>
    <w:p w14:paraId="02D50B98" w14:textId="77777777" w:rsidR="00164231" w:rsidRPr="00164231" w:rsidRDefault="00164231" w:rsidP="00164231">
      <w:pPr>
        <w:pStyle w:val="Style1"/>
      </w:pPr>
      <w:r w:rsidRPr="00164231">
        <w:rPr>
          <w:rFonts w:hint="cs"/>
          <w:rtl/>
        </w:rPr>
        <w:t>הגה: וכל זה שכבר מתו העדים אבל אם העדים עדיין חיים וב' עדים אחרים באים לפוסלן ואמרו שפסולין הם גם השטר נפסל אע"פ שכתב ידם יוצא ממקום אחר (ר"ן בשם י"א וטור בשם התוס') וי"ח ומכשירין השטר (שם בשם אביו הרא"ש) והא דאין נאמנים כשכתב ידם יוצא ממקום אחר לא למהוי שטרא מעליא לגבות בו אלא דאי תפס מטלטלין לא מפקינן מניה (טור בשם רש"י והרא"ש)</w:t>
      </w:r>
      <w:r w:rsidRPr="00164231">
        <w:t>:</w:t>
      </w:r>
    </w:p>
    <w:p w14:paraId="422A73DA" w14:textId="77777777" w:rsidR="00164231" w:rsidRPr="00164231" w:rsidRDefault="00164231" w:rsidP="00164231">
      <w:pPr>
        <w:pStyle w:val="Style1"/>
      </w:pPr>
      <w:r w:rsidRPr="00164231">
        <w:rPr>
          <w:rtl/>
        </w:rPr>
        <w:t>עדים שאין כתב ידם יוצא ממקום אחר ואמרו כ"י הוא זה ואומרים בתוך כדי דבור אנוסים היינו מחמת נפשות או קטנים היינו או פסולי עדות היינו מחמת קורבה ונתרחקנו או מסר מודעא בפנינו או תנאי היה בדבר ולא ראינו שנתקיים התנאי הרי אלו נאמנים ואפי' עד א' אומר לא היה תנאי ועד א' אומר היה תנאי ולא נתקיים נאמן ואין כאן אלא עד א</w:t>
      </w:r>
      <w:r w:rsidRPr="00164231">
        <w:t>'</w:t>
      </w:r>
    </w:p>
    <w:p w14:paraId="71AB3D6C" w14:textId="77777777" w:rsidR="00164231" w:rsidRPr="00164231" w:rsidRDefault="00164231" w:rsidP="00164231">
      <w:pPr>
        <w:pStyle w:val="Style1"/>
      </w:pPr>
      <w:r w:rsidRPr="00164231">
        <w:rPr>
          <w:rFonts w:hint="cs"/>
          <w:rtl/>
        </w:rPr>
        <w:t>ואם כתוב בשטרא ואנן סהדי מסהדינן דלא הוי שיור בשטרא אינן יכולין לומר תנאי היה בדבר דאינן חוזרין ומגידין מיהו אם אומרים מה שכתוב שלא היה בו שיור לא נאמר לבטל התנאי רק שלא היה שיור בגוף המכר נאמנין (טור סנ"ה) וכן יכולים לפרש דברי השטר בכל דבר שאינן סותרין דבריהם (נ"י פ' מי שמת)</w:t>
      </w:r>
    </w:p>
    <w:p w14:paraId="5160572A" w14:textId="3B3CE76C" w:rsidR="00164231" w:rsidRDefault="00164231" w:rsidP="00164231">
      <w:pPr>
        <w:pStyle w:val="Style1"/>
        <w:rPr>
          <w:rtl/>
        </w:rPr>
      </w:pPr>
      <w:r w:rsidRPr="00164231">
        <w:rPr>
          <w:rtl/>
        </w:rPr>
        <w:t>אבל אם אמרו שהיו אנוסין מחמת ממון או שהיה שטר אמנה או שהיו פסולים בעבירה אינם נאמנים ואפי' אמרו שאח"כ עשו תשובה ואע"פ שאינם נאמנים לבטל השטר מ"מ לגבי דידהו נאמנים וחייבים לשלם ללוה ההפסד שבא לו מכח חתימתם ואם אומרים שבשעה שחתמו לא ידעו שהיה אמנה ואח"כ נתברר להם שהיה אמנה נאמנים ואם כתב ידם יוצא ממק"א או שיש עדים שזה כתב ידם אין נאמנים בשום דבר שאמרו לבטל השטר חוץ מלומר בפנינו מסר מודעא</w:t>
      </w:r>
      <w:r w:rsidRPr="00164231">
        <w:t>:</w:t>
      </w:r>
    </w:p>
    <w:p w14:paraId="37AA1AA1" w14:textId="1FD4F4E7" w:rsidR="00D13B51" w:rsidRPr="00D13B51" w:rsidRDefault="005837EE" w:rsidP="00D13B51">
      <w:pPr>
        <w:pStyle w:val="Style1"/>
      </w:pPr>
      <w:r>
        <w:rPr>
          <w:rFonts w:hint="cs"/>
          <w:rtl/>
        </w:rPr>
        <w:lastRenderedPageBreak/>
        <w:t>2)[</w:t>
      </w:r>
      <w:r w:rsidR="00AE1581">
        <w:rPr>
          <w:rtl/>
        </w:rPr>
        <w:t>שולחן ערוך חושן משפט הלכות הלואה סימן נז סעיף א</w:t>
      </w:r>
      <w:r>
        <w:rPr>
          <w:rFonts w:hint="cs"/>
          <w:rtl/>
        </w:rPr>
        <w:t>]</w:t>
      </w:r>
      <w:r w:rsidR="00D13B51">
        <w:rPr>
          <w:rFonts w:hint="cs"/>
          <w:rtl/>
        </w:rPr>
        <w:t xml:space="preserve"> </w:t>
      </w:r>
      <w:r w:rsidR="00D13B51" w:rsidRPr="00D13B51">
        <w:rPr>
          <w:rtl/>
        </w:rPr>
        <w:t>אסור להשהות שטר פרוע בתוך ביתו </w:t>
      </w:r>
      <w:r w:rsidR="00D13B51" w:rsidRPr="00D13B51">
        <w:rPr>
          <w:rFonts w:hint="cs"/>
          <w:rtl/>
        </w:rPr>
        <w:t>(וה"ה שטר שנמחל שעבודו) (תשו' הרא"ש כלל ע"ח)</w:t>
      </w:r>
      <w:r w:rsidR="00D13B51" w:rsidRPr="00D13B51">
        <w:rPr>
          <w:rtl/>
        </w:rPr>
        <w:t> ואם אינו רוצה להחזיר שטר פרוע ראוי לנדותו עד שיחזירנו ואין לו לעכב השטר בשביל פשיטי דספרא</w:t>
      </w:r>
      <w:r w:rsidR="00D13B51" w:rsidRPr="00D13B51">
        <w:t>:</w:t>
      </w:r>
    </w:p>
    <w:p w14:paraId="13CC69A2" w14:textId="77777777" w:rsidR="00D13B51" w:rsidRPr="00D13B51" w:rsidRDefault="00D13B51" w:rsidP="00D13B51">
      <w:pPr>
        <w:pStyle w:val="Style1"/>
      </w:pPr>
      <w:r w:rsidRPr="00D13B51">
        <w:rPr>
          <w:rFonts w:hint="cs"/>
          <w:rtl/>
        </w:rPr>
        <w:t>הגה: ובמקום שאין הלוה נותן שכר הסופר א"צ להחזיר השטר ובלבד שיקרענו (ב"י בסי' ס"א בשם הרשב"א)</w:t>
      </w:r>
    </w:p>
    <w:p w14:paraId="23FD28D8" w14:textId="07D68306" w:rsidR="00D13B51" w:rsidRDefault="00D13B51" w:rsidP="00D13B51">
      <w:pPr>
        <w:pStyle w:val="Style1"/>
        <w:rPr>
          <w:rtl/>
        </w:rPr>
      </w:pPr>
      <w:r w:rsidRPr="00D13B51">
        <w:rPr>
          <w:rtl/>
        </w:rPr>
        <w:t>אבל מותר להשהות שטר של מנה אע"פ שאינו חייב אלא חמשים והוא שיכתוב שובר על גביו ממה שנפרע או יכתוב שובר בפני עצמו וימסרנו ללוה</w:t>
      </w:r>
      <w:r w:rsidRPr="00D13B51">
        <w:t>:</w:t>
      </w:r>
    </w:p>
    <w:p w14:paraId="4B6D287D" w14:textId="5404BEC3" w:rsidR="00524F79" w:rsidRDefault="00524F79" w:rsidP="00524F79">
      <w:pPr>
        <w:pStyle w:val="Style1"/>
        <w:rPr>
          <w:rtl/>
        </w:rPr>
      </w:pPr>
      <w:r>
        <w:rPr>
          <w:rFonts w:hint="cs"/>
          <w:rtl/>
        </w:rPr>
        <w:t>3)[</w:t>
      </w:r>
      <w:r>
        <w:rPr>
          <w:rtl/>
        </w:rPr>
        <w:t>רמב</w:t>
      </w:r>
      <w:r w:rsidR="00C764B2">
        <w:rPr>
          <w:rtl/>
        </w:rPr>
        <w:t>”ם \אהבה\</w:t>
      </w:r>
      <w:r>
        <w:rPr>
          <w:rtl/>
        </w:rPr>
        <w:t xml:space="preserve"> הלכות תפילין ומזוזה וספר תורה פרק ז הלכה יב</w:t>
      </w:r>
      <w:r>
        <w:rPr>
          <w:rFonts w:hint="cs"/>
          <w:rtl/>
        </w:rPr>
        <w:t xml:space="preserve">] </w:t>
      </w:r>
      <w:r>
        <w:rPr>
          <w:rtl/>
        </w:rPr>
        <w:t>ספר תורה שאינו מוגה אסור לשהותו יותר על שלשים יום אלא יתקן או יגנז, ספר תורה שיש בו שלש טעיות בכל דף ודף יתקן ואם היו ארבע יגנז, ואם היה רוב הספר מוגה והשאר יש בו ארבע טעיות בכל דף ונשאר אפילו דף אחד מאותו השאר המשובש בלא ארבע טעיות הרי זה יתקן.</w:t>
      </w:r>
    </w:p>
    <w:p w14:paraId="4BC3E4EC" w14:textId="77777777" w:rsidR="00077D66" w:rsidRDefault="00F55313" w:rsidP="006169A1">
      <w:pPr>
        <w:pStyle w:val="Style1"/>
        <w:rPr>
          <w:rtl/>
        </w:rPr>
      </w:pPr>
      <w:r>
        <w:rPr>
          <w:rFonts w:hint="cs"/>
          <w:rtl/>
        </w:rPr>
        <w:t>3)[</w:t>
      </w:r>
      <w:r>
        <w:rPr>
          <w:rtl/>
        </w:rPr>
        <w:t>שולחן ערוך יורה דעה הלכות ספר תורה סימן רעט סעיף א</w:t>
      </w:r>
      <w:r>
        <w:rPr>
          <w:rFonts w:hint="cs"/>
          <w:rtl/>
        </w:rPr>
        <w:t>]</w:t>
      </w:r>
      <w:r w:rsidR="00433E33" w:rsidRPr="00433E33">
        <w:rPr>
          <w:shd w:val="clear" w:color="auto" w:fill="FFFFFF"/>
          <w:rtl/>
        </w:rPr>
        <w:t xml:space="preserve"> </w:t>
      </w:r>
      <w:r w:rsidR="00433E33" w:rsidRPr="00433E33">
        <w:rPr>
          <w:rtl/>
        </w:rPr>
        <w:t>ספר תורה שאינו מוגה אסור להשהותו יותר משלשים יום אלא יתקן או יגנוז</w:t>
      </w:r>
      <w:r w:rsidR="00433E33" w:rsidRPr="00433E33">
        <w:t>. </w:t>
      </w:r>
      <w:r w:rsidR="00433E33" w:rsidRPr="00433E33">
        <w:rPr>
          <w:rFonts w:hint="cs"/>
          <w:rtl/>
        </w:rPr>
        <w:t>(והוא הדין לשאר ספרים) (רש"י וב"י בשם הגהות מימוני ורבינו ירוחם נתיב נ')</w:t>
      </w:r>
      <w:r w:rsidR="00433E33" w:rsidRPr="00433E33">
        <w:rPr>
          <w:rtl/>
        </w:rPr>
        <w:t> ואין להגיה שום ספר על פי הסברא כי אם בראיה ברורה שיש בו טעות (הרב ר' דוד כהן בית ט"ו וחרם קדמונים)</w:t>
      </w:r>
      <w:r w:rsidR="00433E33" w:rsidRPr="00433E33">
        <w:t>:</w:t>
      </w:r>
    </w:p>
    <w:p w14:paraId="6E8138B4" w14:textId="27AC921E" w:rsidR="00BC104E" w:rsidRDefault="00077D66" w:rsidP="00077D66">
      <w:pPr>
        <w:pStyle w:val="Style1"/>
        <w:rPr>
          <w:rStyle w:val="Style1Char"/>
          <w:rtl/>
        </w:rPr>
      </w:pPr>
      <w:r>
        <w:rPr>
          <w:rStyle w:val="Style1Char"/>
          <w:rFonts w:hint="cs"/>
          <w:rtl/>
        </w:rPr>
        <w:t>4)[</w:t>
      </w:r>
      <w:r w:rsidR="006169A1" w:rsidRPr="006169A1">
        <w:rPr>
          <w:rStyle w:val="Style1Char"/>
          <w:rtl/>
        </w:rPr>
        <w:t>רמב</w:t>
      </w:r>
      <w:r w:rsidR="0057095E">
        <w:rPr>
          <w:rStyle w:val="Style1Char"/>
          <w:rtl/>
        </w:rPr>
        <w:t>”ם \שופטים\</w:t>
      </w:r>
      <w:r w:rsidR="006169A1" w:rsidRPr="006169A1">
        <w:rPr>
          <w:rStyle w:val="Style1Char"/>
          <w:rtl/>
        </w:rPr>
        <w:t xml:space="preserve"> הלכות עדות פרק ג הלכה ח</w:t>
      </w:r>
      <w:r>
        <w:rPr>
          <w:rStyle w:val="Style1Char"/>
          <w:rFonts w:hint="cs"/>
          <w:rtl/>
        </w:rPr>
        <w:t xml:space="preserve">] </w:t>
      </w:r>
      <w:r w:rsidR="006169A1" w:rsidRPr="006169A1">
        <w:rPr>
          <w:rStyle w:val="Style1Char"/>
          <w:rtl/>
        </w:rPr>
        <w:t>אמרו העדים שטר מכר זה מודעה נמסרה לנו עליו אף על פי שכתב ידן יוצא ממקום אחר הרי אלו ו נאמנין.</w:t>
      </w:r>
    </w:p>
    <w:p w14:paraId="196E2895" w14:textId="7ABB78C9" w:rsidR="00D31F23" w:rsidRDefault="00D31F23" w:rsidP="00D31F23">
      <w:pPr>
        <w:pStyle w:val="Style1"/>
        <w:rPr>
          <w:rStyle w:val="Style1Char"/>
          <w:rtl/>
        </w:rPr>
      </w:pPr>
      <w:r>
        <w:rPr>
          <w:rStyle w:val="Style1Char"/>
          <w:rFonts w:hint="cs"/>
          <w:rtl/>
        </w:rPr>
        <w:t>4)[</w:t>
      </w:r>
      <w:r w:rsidRPr="00D31F23">
        <w:rPr>
          <w:rStyle w:val="Style1Char"/>
          <w:rtl/>
        </w:rPr>
        <w:t>רמב</w:t>
      </w:r>
      <w:r w:rsidR="0057095E">
        <w:rPr>
          <w:rStyle w:val="Style1Char"/>
          <w:rtl/>
        </w:rPr>
        <w:t>”ם \שופטים\</w:t>
      </w:r>
      <w:r w:rsidRPr="00D31F23">
        <w:rPr>
          <w:rStyle w:val="Style1Char"/>
          <w:rtl/>
        </w:rPr>
        <w:t xml:space="preserve"> הלכות עדות פרק ג הלכה ט</w:t>
      </w:r>
      <w:r>
        <w:rPr>
          <w:rStyle w:val="Style1Char"/>
          <w:rFonts w:hint="cs"/>
          <w:rtl/>
        </w:rPr>
        <w:t xml:space="preserve">] </w:t>
      </w:r>
      <w:r w:rsidRPr="00D31F23">
        <w:rPr>
          <w:rStyle w:val="Style1Char"/>
          <w:rtl/>
        </w:rPr>
        <w:t>אמרו על תנאי היה שטר זה, אם היה כתב ידן יוצא ממקום אחר אין נאמנין ואם אין השטר מתקיים אלא מפיהם נאמנים ואומר לבעלי הדין קיימו התנאי ובואו לדון. /השגת הראב"ד/ אמרו על תנאי וכו'. א"א לדעת רבו הוא זה אבל הגאון ז"ל לא אמר כן אלא נאמנין בכל ענין וכן עיקר.</w:t>
      </w:r>
    </w:p>
    <w:p w14:paraId="5143536B" w14:textId="2A8235B8" w:rsidR="00C3238F" w:rsidRDefault="00C3238F" w:rsidP="00C3238F">
      <w:pPr>
        <w:pStyle w:val="Style1"/>
        <w:rPr>
          <w:rStyle w:val="Style1Char"/>
          <w:rtl/>
        </w:rPr>
      </w:pPr>
      <w:r>
        <w:rPr>
          <w:rStyle w:val="Style1Char"/>
          <w:rFonts w:hint="cs"/>
          <w:rtl/>
        </w:rPr>
        <w:t>5)[</w:t>
      </w:r>
      <w:r w:rsidRPr="00C3238F">
        <w:rPr>
          <w:rStyle w:val="Style1Char"/>
          <w:rtl/>
        </w:rPr>
        <w:t>רמב</w:t>
      </w:r>
      <w:r w:rsidR="0057095E">
        <w:rPr>
          <w:rStyle w:val="Style1Char"/>
          <w:rtl/>
        </w:rPr>
        <w:t>”ם \שופטים\</w:t>
      </w:r>
      <w:r w:rsidRPr="00C3238F">
        <w:rPr>
          <w:rStyle w:val="Style1Char"/>
          <w:rtl/>
        </w:rPr>
        <w:t xml:space="preserve"> הלכות עדות פרק יח הלכה ד</w:t>
      </w:r>
      <w:r>
        <w:rPr>
          <w:rStyle w:val="Style1Char"/>
          <w:rFonts w:hint="cs"/>
          <w:rtl/>
        </w:rPr>
        <w:t xml:space="preserve">] </w:t>
      </w:r>
      <w:r w:rsidRPr="00C3238F">
        <w:rPr>
          <w:rStyle w:val="Style1Char"/>
          <w:rtl/>
        </w:rPr>
        <w:t>עדים זוממין אינן צריכין התראה, ועדים שהוכחשו ולבסוף הוזמו הרי אלו נהרגין או לוקין או משלמין מפני שהכחשה תחלת הזמה היא אלא שעדיין לא נגמרה.</w:t>
      </w:r>
    </w:p>
    <w:p w14:paraId="6DBFFAC6" w14:textId="1FE0885C" w:rsidR="00B44C45" w:rsidRPr="00B44C45" w:rsidRDefault="00B44C45" w:rsidP="00B44C45">
      <w:pPr>
        <w:pStyle w:val="Style1"/>
        <w:rPr>
          <w:rStyle w:val="Style1Char"/>
        </w:rPr>
      </w:pPr>
      <w:r>
        <w:rPr>
          <w:rStyle w:val="Style1Char"/>
          <w:rFonts w:hint="cs"/>
          <w:rtl/>
        </w:rPr>
        <w:t>5)[</w:t>
      </w:r>
      <w:r w:rsidRPr="00B44C45">
        <w:rPr>
          <w:rStyle w:val="Style1Char"/>
          <w:rtl/>
        </w:rPr>
        <w:t>טור חושן משפט הלכות עדות סימן לח</w:t>
      </w:r>
      <w:r>
        <w:rPr>
          <w:rStyle w:val="Style1Char"/>
          <w:rFonts w:hint="cs"/>
          <w:rtl/>
        </w:rPr>
        <w:t>]</w:t>
      </w:r>
    </w:p>
    <w:p w14:paraId="79047C55" w14:textId="77777777" w:rsidR="00B44C45" w:rsidRPr="00B44C45" w:rsidRDefault="00B44C45" w:rsidP="00B44C45">
      <w:pPr>
        <w:pStyle w:val="Style1"/>
        <w:rPr>
          <w:rStyle w:val="Style1Char"/>
        </w:rPr>
      </w:pPr>
      <w:r w:rsidRPr="00B44C45">
        <w:rPr>
          <w:rStyle w:val="Style1Char"/>
          <w:rtl/>
        </w:rPr>
        <w:t>א שני עדים שהעידו באחד שהרג הנפש או שחייב לפלוני מנה ובאו ב' והכחישום דברי שניהם בטלין והוא והן פטורין אבל אם באו האחרונים והזימום אז האחרונים נאמנין ועדות הראשונים בטלה והן חייבין כפי מה אשר רצו לחייב אותן שהעידו עליו אם באו לחייבו מיתה נהרגין במיתה שבאו להרגו בה:</w:t>
      </w:r>
    </w:p>
    <w:p w14:paraId="3C22B334" w14:textId="77777777" w:rsidR="00B44C45" w:rsidRPr="00B44C45" w:rsidRDefault="00B44C45" w:rsidP="00B44C45">
      <w:pPr>
        <w:pStyle w:val="Style1"/>
        <w:rPr>
          <w:rStyle w:val="Style1Char"/>
        </w:rPr>
      </w:pPr>
      <w:r w:rsidRPr="00B44C45">
        <w:rPr>
          <w:rStyle w:val="Style1Char"/>
          <w:rtl/>
        </w:rPr>
        <w:t>ב ואם לחייבו ממון באו משלמין הממון בין שניהן ואין לוקין כיון שמשלמין:</w:t>
      </w:r>
    </w:p>
    <w:p w14:paraId="1A41A224" w14:textId="77777777" w:rsidR="00B44C45" w:rsidRPr="00B44C45" w:rsidRDefault="00B44C45" w:rsidP="00B44C45">
      <w:pPr>
        <w:pStyle w:val="Style1"/>
        <w:rPr>
          <w:rStyle w:val="Style1Char"/>
        </w:rPr>
      </w:pPr>
      <w:r w:rsidRPr="00B44C45">
        <w:rPr>
          <w:rStyle w:val="Style1Char"/>
          <w:rtl/>
        </w:rPr>
        <w:t>ג חוץ מאם העידו על כהן שהוא בן גרושה או בן חלוצה שאז לוקין לפי שא"א לקיים בהם ועשיתם לו כאשר זמם וכן אם העידו באחד שהרג שוגג ובאו לחייבו גלות והוזמו או שהעידו באחד בשור המועד שלו שהרג ובאו לחייבו כופר והוזמו או שהעידו באחד שגנב ואין לו לשלם ובאו לחייבו להיותו נמכר בגנבתו והוזמו באחד מכל אלו לוקין:</w:t>
      </w:r>
    </w:p>
    <w:p w14:paraId="62F60728" w14:textId="77777777" w:rsidR="00B44C45" w:rsidRPr="00B44C45" w:rsidRDefault="00B44C45" w:rsidP="00B44C45">
      <w:pPr>
        <w:pStyle w:val="Style1"/>
        <w:rPr>
          <w:rStyle w:val="Style1Char"/>
        </w:rPr>
      </w:pPr>
      <w:r w:rsidRPr="00B44C45">
        <w:rPr>
          <w:rStyle w:val="Style1Char"/>
          <w:rtl/>
        </w:rPr>
        <w:t>ד ומה שמתחייבין הניזמין אינו אלא קנס לפיכך אין משלמין על פי עצמן שאם אמרו העדנו בב"ד פלוני והוזמנו אינן חייבין אבל אם אמרו הוזמנו בב"ד פלוני ונתחייבנו ליתן לו כך וכך הרי אלו משלמין שזה ממון גמור הוא כיון שכבר נתחייבו בו בב"ד:</w:t>
      </w:r>
    </w:p>
    <w:p w14:paraId="137D7FB2" w14:textId="77777777" w:rsidR="00B44C45" w:rsidRPr="00B44C45" w:rsidRDefault="00B44C45" w:rsidP="00B44C45">
      <w:pPr>
        <w:pStyle w:val="Style1"/>
        <w:rPr>
          <w:rStyle w:val="Style1Char"/>
        </w:rPr>
      </w:pPr>
      <w:r w:rsidRPr="00B44C45">
        <w:rPr>
          <w:rStyle w:val="Style1Char"/>
          <w:rtl/>
        </w:rPr>
        <w:t>ה אבל אם אמרו עדים שקר העדנו כתב ר"ח לא מיבעיא שאין משלמין ע"פ עצמן אלא אפי' העדות שהעידו נכונה חשבינן ליה ומתקיימת שכיון שהגיד שוב אינו חוזר ומגיד:</w:t>
      </w:r>
    </w:p>
    <w:p w14:paraId="5098944C" w14:textId="3877882B" w:rsidR="00B44C45" w:rsidRPr="00B44C45" w:rsidRDefault="00B44C45" w:rsidP="00B44C45">
      <w:pPr>
        <w:pStyle w:val="Style1"/>
        <w:rPr>
          <w:rStyle w:val="Style1Char"/>
        </w:rPr>
      </w:pPr>
      <w:r w:rsidRPr="00B44C45">
        <w:rPr>
          <w:rStyle w:val="Style1Char"/>
          <w:rtl/>
        </w:rPr>
        <w:t>ו ומה יש בין הכחשה להזמה הכחשה אינה בגוף העדים אלא שמכחישין אותן שאלו אומרים פלוני לוה מפלוני ואלו אומרים יודעין אנו שלא לוה כי היינו אצלו כל היום וראינו שלא לוה</w:t>
      </w:r>
      <w:r w:rsidR="007E30A5">
        <w:rPr>
          <w:rStyle w:val="Style1Char"/>
          <w:rFonts w:hint="cs"/>
          <w:rtl/>
        </w:rPr>
        <w:t xml:space="preserve"> </w:t>
      </w:r>
      <w:r w:rsidRPr="00B44C45">
        <w:rPr>
          <w:rStyle w:val="Style1Char"/>
          <w:rtl/>
        </w:rPr>
        <w:t>והזמה בגוף העדים שאומר באותו שעה שאתם אומרים שלוה הייתם עמנו:</w:t>
      </w:r>
    </w:p>
    <w:p w14:paraId="087E1023" w14:textId="77777777" w:rsidR="00B44C45" w:rsidRPr="00B44C45" w:rsidRDefault="00B44C45" w:rsidP="00B44C45">
      <w:pPr>
        <w:pStyle w:val="Style1"/>
        <w:rPr>
          <w:rStyle w:val="Style1Char"/>
        </w:rPr>
      </w:pPr>
      <w:r w:rsidRPr="00B44C45">
        <w:rPr>
          <w:rStyle w:val="Style1Char"/>
          <w:rtl/>
        </w:rPr>
        <w:t>ז ומפני זה האחרונים נאמנין כיון שמעידין על גופן של העדים והוי כאלו העידו עליהן שהרגו הנפש או שחללו שבת והן אינן נאמנין על עצמן לומר לא עשינו כך וכך:</w:t>
      </w:r>
    </w:p>
    <w:p w14:paraId="673DD119" w14:textId="77777777" w:rsidR="00B44C45" w:rsidRPr="00B44C45" w:rsidRDefault="00B44C45" w:rsidP="00B44C45">
      <w:pPr>
        <w:pStyle w:val="Style1"/>
        <w:rPr>
          <w:rStyle w:val="Style1Char"/>
        </w:rPr>
      </w:pPr>
      <w:r w:rsidRPr="00B44C45">
        <w:rPr>
          <w:rStyle w:val="Style1Char"/>
          <w:rtl/>
        </w:rPr>
        <w:t>ח ואפי' היו הראשונים ק' נאמנין אלו עליהן להורגם בין אם העידו המאה בבת אחת בין אם העידו בזה אחר זה שנים אחר שנים ואלו המזימין הזימו כל כת וכת בזה אחר זה:</w:t>
      </w:r>
    </w:p>
    <w:p w14:paraId="498BA9BD" w14:textId="77777777" w:rsidR="00B44C45" w:rsidRPr="00B44C45" w:rsidRDefault="00B44C45" w:rsidP="00B44C45">
      <w:pPr>
        <w:pStyle w:val="Style1"/>
        <w:rPr>
          <w:rStyle w:val="Style1Char"/>
        </w:rPr>
      </w:pPr>
      <w:r w:rsidRPr="00B44C45">
        <w:rPr>
          <w:rStyle w:val="Style1Char"/>
          <w:rtl/>
        </w:rPr>
        <w:t>ט עדים זוממין אין צריכין התראה:</w:t>
      </w:r>
    </w:p>
    <w:p w14:paraId="0DFB8298" w14:textId="77777777" w:rsidR="00B44C45" w:rsidRPr="00B44C45" w:rsidRDefault="00B44C45" w:rsidP="00B44C45">
      <w:pPr>
        <w:pStyle w:val="Style1"/>
        <w:rPr>
          <w:rStyle w:val="Style1Char"/>
        </w:rPr>
      </w:pPr>
      <w:r w:rsidRPr="00B44C45">
        <w:rPr>
          <w:rStyle w:val="Style1Char"/>
          <w:rtl/>
        </w:rPr>
        <w:t>י ואין מזימין אותן אלא בפניהם:</w:t>
      </w:r>
    </w:p>
    <w:p w14:paraId="04CDA6E9" w14:textId="77777777" w:rsidR="00B44C45" w:rsidRPr="00B44C45" w:rsidRDefault="00B44C45" w:rsidP="00B44C45">
      <w:pPr>
        <w:pStyle w:val="Style1"/>
        <w:rPr>
          <w:rStyle w:val="Style1Char"/>
        </w:rPr>
      </w:pPr>
      <w:r w:rsidRPr="00B44C45">
        <w:rPr>
          <w:rStyle w:val="Style1Char"/>
          <w:rtl/>
        </w:rPr>
        <w:t>יא אבל מכחישין אותן אפילו שלא בפניהם:</w:t>
      </w:r>
    </w:p>
    <w:p w14:paraId="6088FA21" w14:textId="77777777" w:rsidR="00B44C45" w:rsidRPr="00B44C45" w:rsidRDefault="00B44C45" w:rsidP="00B44C45">
      <w:pPr>
        <w:pStyle w:val="Style1"/>
        <w:rPr>
          <w:rStyle w:val="Style1Char"/>
        </w:rPr>
      </w:pPr>
      <w:r w:rsidRPr="00B44C45">
        <w:rPr>
          <w:rStyle w:val="Style1Char"/>
          <w:rtl/>
        </w:rPr>
        <w:t>יב ואם הוכחשו ואח"כ הוזמו לוקין או משלמין שהכחשה תחלת הזמה היא:</w:t>
      </w:r>
    </w:p>
    <w:p w14:paraId="01F0BAC1" w14:textId="77777777" w:rsidR="00B44C45" w:rsidRPr="00B44C45" w:rsidRDefault="00B44C45" w:rsidP="00B44C45">
      <w:pPr>
        <w:pStyle w:val="Style1"/>
        <w:rPr>
          <w:rStyle w:val="Style1Char"/>
        </w:rPr>
      </w:pPr>
      <w:r w:rsidRPr="00B44C45">
        <w:rPr>
          <w:rStyle w:val="Style1Char"/>
          <w:rtl/>
        </w:rPr>
        <w:t>יג והזמה שלא בפניהם אף על פי שאינה הזמה הכחשה מיהא הוי לבטל עדותן:</w:t>
      </w:r>
    </w:p>
    <w:p w14:paraId="0B392DC5" w14:textId="4F59BB38" w:rsidR="00B44C45" w:rsidRPr="00B44C45" w:rsidRDefault="00B44C45" w:rsidP="00B44C45">
      <w:pPr>
        <w:pStyle w:val="Style1"/>
        <w:rPr>
          <w:rStyle w:val="Style1Char"/>
        </w:rPr>
      </w:pPr>
      <w:r w:rsidRPr="00B44C45">
        <w:rPr>
          <w:rStyle w:val="Style1Char"/>
          <w:rtl/>
        </w:rPr>
        <w:t>יד אין העדים זוממין לוקין או משלמין עד שיהו כולם כשרים ראוים להעיד ויגמר הדין על פיהם ויוזמו כולם אפי' מאה אף על פי שהעדות מתקיים אפי' בב' אין חייבין עד שיוזמו כולם והוא שהעיד כל אחד ואחד תוך כדי דבור של חבירו או שאמר אחר עדות חבירו ואני כמותך</w:t>
      </w:r>
      <w:r w:rsidR="00ED628C">
        <w:rPr>
          <w:rStyle w:val="Style1Char"/>
          <w:rFonts w:hint="cs"/>
          <w:rtl/>
        </w:rPr>
        <w:t xml:space="preserve"> </w:t>
      </w:r>
      <w:r w:rsidRPr="00B44C45">
        <w:rPr>
          <w:rStyle w:val="Style1Char"/>
          <w:rtl/>
        </w:rPr>
        <w:t>אבל אם יש ביניהם הפסק יותר מכדי דבור אז נחלקה העדות והשנים שהוזמו נענשים והאחרונים שהיה הפסק ביניהן ובין דברי הראשונים אינן נענשין אף ע"פ שכל העדות בטילה וכתב הר"ר ישעיה מה שצריך שיעידו כולם בתכ"ד זהו דוקא כשהעידו מאליהם בלא התראת הדיינין לומר להם למיחזי קאתיתו או לאסהודי קא אתיתו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 ודוקא בשאר העדים בעינן שיעידו תכ"ד לצרפם עם ב' הראשונים אבל בשנים הראשונים אף על פי שהפסיקו בין זה לזה אין בכך כלום אבל אם לא הוזמו כולם או שהוזמו קודם שנגמר הדין על פיהם או שנמצא אחד מהן קרוב או פסול פטורין:</w:t>
      </w:r>
    </w:p>
    <w:p w14:paraId="2B9DA620" w14:textId="77777777" w:rsidR="00B44C45" w:rsidRPr="00B44C45" w:rsidRDefault="00B44C45" w:rsidP="00B44C45">
      <w:pPr>
        <w:pStyle w:val="Style1"/>
        <w:rPr>
          <w:rStyle w:val="Style1Char"/>
        </w:rPr>
      </w:pPr>
      <w:r w:rsidRPr="00B44C45">
        <w:rPr>
          <w:rStyle w:val="Style1Char"/>
          <w:rtl/>
        </w:rPr>
        <w:t>טו העידו שנים פלוני לוה מפלוני מנה במזרח הבירה ובאו שנים ואמרו עמנו הייתם במערב הבירה אם העומד במערב הבירה יכול להביט מה שעושין במזרחה אינן זוממין ואם לאו זוממין הם ואין אומרים מאור עיניהם של ראשונים גדול והביטו מרחוק יותר משאר כל אדם. וכן אם אמרו פלוני לוה מפלוני מנה בסוריא ביום פלוני בבקר ובאו שנים ואמרו באותו יום הייתם עמנו בנהרדעא בערב אם אדם יכול לרוץ בסוס מסוריא לנהרדעא מבוקר עד ערב אינם זוממין ואם לאו זוממין הם ואין אומרים שמא נזדמן להם סוס רץ יותר מבדרך העולם ובאו בו ביום אלא משערים כפי דרך העולם ולא יותר:</w:t>
      </w:r>
    </w:p>
    <w:p w14:paraId="59FAF600" w14:textId="77777777" w:rsidR="00B44C45" w:rsidRPr="00B44C45" w:rsidRDefault="00B44C45" w:rsidP="00B44C45">
      <w:pPr>
        <w:pStyle w:val="Style1"/>
        <w:rPr>
          <w:rStyle w:val="Style1Char"/>
        </w:rPr>
      </w:pPr>
      <w:r w:rsidRPr="00B44C45">
        <w:rPr>
          <w:rStyle w:val="Style1Char"/>
          <w:rtl/>
        </w:rPr>
        <w:t xml:space="preserve">טז שנים שהעידו באחד שגירש את אישתו ובאו לחייבו ליתן לה כתובתה והוזמו אין חייבים לפרוע לו כל הכתובה שהרי אף לפי מה שהוזמו נשאר עליו חיוב הכתובה לכשתתאלמן או שתתגרש אלא אומדין כמה אדם רוצה ליתן בכתובתה של זאת אם היתה עומדת לגבות מיד ורואין כמה היא שוה מי </w:t>
      </w:r>
      <w:r w:rsidRPr="00B44C45">
        <w:rPr>
          <w:rStyle w:val="Style1Char"/>
          <w:rtl/>
        </w:rPr>
        <w:lastRenderedPageBreak/>
        <w:t>שבא לקנותה מספק אם תתאלמן או תתגרש ומאי דבינו ביני יתנו הם לבעל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 וגם שמין לפי מה שהיא השדה המיוחדת לכתובתה אם היא עידית או בינונית או זיבורית:</w:t>
      </w:r>
    </w:p>
    <w:p w14:paraId="0BBC4D89" w14:textId="77777777" w:rsidR="00B44C45" w:rsidRPr="00B44C45" w:rsidRDefault="00B44C45" w:rsidP="00B44C45">
      <w:pPr>
        <w:pStyle w:val="Style1"/>
        <w:rPr>
          <w:rStyle w:val="Style1Char"/>
        </w:rPr>
      </w:pPr>
      <w:r w:rsidRPr="00B44C45">
        <w:rPr>
          <w:rStyle w:val="Style1Char"/>
          <w:rtl/>
        </w:rPr>
        <w:t>יז העידו באחד שחייב לחבירו מנה ליתנו לו לאחר שלשים יום והוא אומר שאינו חייב ליתנו לו אלא לאחר חמשה שנים והוזמו אומדים כמה אדם רוצה ליתן וישאר מנה בידו מל' יום ואילך על תשלום חמשה שנים וכך יתנו לו וכן כל כיוצא בזה:</w:t>
      </w:r>
    </w:p>
    <w:p w14:paraId="51F72F60" w14:textId="77777777" w:rsidR="00B44C45" w:rsidRPr="00B44C45" w:rsidRDefault="00B44C45" w:rsidP="00B44C45">
      <w:pPr>
        <w:pStyle w:val="Style1"/>
        <w:rPr>
          <w:rStyle w:val="Style1Char"/>
        </w:rPr>
      </w:pPr>
      <w:r w:rsidRPr="00B44C45">
        <w:rPr>
          <w:rStyle w:val="Style1Char"/>
          <w:rtl/>
        </w:rPr>
        <w:t>יח שנים שהעידו לאחד שהחזיק בשדה חבירו ג' שנים והוזמו משלמין לבעל השדה כל דמי השדה:</w:t>
      </w:r>
    </w:p>
    <w:p w14:paraId="12E14EF8" w14:textId="77777777" w:rsidR="00B44C45" w:rsidRPr="00B44C45" w:rsidRDefault="00B44C45" w:rsidP="00B44C45">
      <w:pPr>
        <w:pStyle w:val="Style1"/>
        <w:rPr>
          <w:rStyle w:val="Style1Char"/>
        </w:rPr>
      </w:pPr>
      <w:r w:rsidRPr="00B44C45">
        <w:rPr>
          <w:rStyle w:val="Style1Char"/>
          <w:rtl/>
        </w:rPr>
        <w:t>יט העידו שנים שאכלה שנה ראשונה ושנים העידו על שנה שנייה ושנים העידו על שנה השלישית והוזמו משלשין ביניהן כל כת וכת השליש:</w:t>
      </w:r>
    </w:p>
    <w:p w14:paraId="19F610D3" w14:textId="689F3272" w:rsidR="00B44C45" w:rsidRPr="00433E33" w:rsidRDefault="00B44C45" w:rsidP="00B44C45">
      <w:pPr>
        <w:pStyle w:val="Style1"/>
        <w:rPr>
          <w:rStyle w:val="Style1Char"/>
        </w:rPr>
      </w:pPr>
      <w:r w:rsidRPr="00B44C45">
        <w:rPr>
          <w:rStyle w:val="Style1Char"/>
          <w:rtl/>
        </w:rPr>
        <w:t>לפיכך ג' אחין ואחד מצטרף עם כל אחד ואחד מהם והעידו שנה שנה שנה הרי אלו שלשה עדיות ותתקיים בהם החזקה והם כעדות אחת לענין הזמה שאם הוזמו כולם שלשת האחים משלמים דמי חצי השדה וזה שנצטרף עם כל אחד ואחד משלם החצי האחר:</w:t>
      </w:r>
    </w:p>
    <w:p w14:paraId="4F470DE3" w14:textId="77777777" w:rsidR="00DA1858" w:rsidRPr="00827CF7" w:rsidRDefault="00DA1858" w:rsidP="00DA1858">
      <w:pPr>
        <w:bidi/>
        <w:rPr>
          <w:rStyle w:val="Style1Char"/>
          <w:color w:val="00B050"/>
          <w:rtl/>
        </w:rPr>
      </w:pPr>
    </w:p>
    <w:p w14:paraId="73EC90EF" w14:textId="77777777" w:rsidR="00DA1858" w:rsidRPr="00070EDF" w:rsidRDefault="00DA1858" w:rsidP="00DA1858">
      <w:pPr>
        <w:bidi/>
        <w:rPr>
          <w:rStyle w:val="Style1Char"/>
          <w:color w:val="C00000"/>
        </w:rPr>
      </w:pPr>
      <w:r w:rsidRPr="00070EDF">
        <w:rPr>
          <w:rStyle w:val="Style1Char"/>
          <w:color w:val="C00000"/>
          <w:rtl/>
        </w:rPr>
        <w:t xml:space="preserve"> </w:t>
      </w:r>
    </w:p>
    <w:p w14:paraId="55810800" w14:textId="77777777" w:rsidR="00DA1858" w:rsidRPr="002D390C" w:rsidRDefault="00DA1858" w:rsidP="00DA1858">
      <w:pPr>
        <w:bidi/>
        <w:rPr>
          <w:rStyle w:val="Style1Char"/>
          <w:color w:val="00B050"/>
          <w:rtl/>
        </w:rPr>
      </w:pPr>
    </w:p>
    <w:p w14:paraId="521CC67C" w14:textId="77777777" w:rsidR="00DA1858" w:rsidRDefault="00DA1858" w:rsidP="00DA1858">
      <w:pPr>
        <w:rPr>
          <w:rStyle w:val="Style1Char"/>
          <w:color w:val="00B050"/>
          <w:rtl/>
        </w:rPr>
      </w:pPr>
      <w:r>
        <w:rPr>
          <w:rStyle w:val="Style1Char"/>
          <w:color w:val="00B050"/>
          <w:rtl/>
        </w:rPr>
        <w:br w:type="page"/>
      </w:r>
    </w:p>
    <w:p w14:paraId="34F75EC3" w14:textId="54749CD0" w:rsidR="00DA1858" w:rsidRPr="0077125B" w:rsidRDefault="00DA1858" w:rsidP="00DA1858">
      <w:pPr>
        <w:bidi/>
        <w:rPr>
          <w:rStyle w:val="Style1Char"/>
          <w:color w:val="4472C4" w:themeColor="accent1"/>
        </w:rPr>
      </w:pPr>
      <w:r w:rsidRPr="00295EBF">
        <w:rPr>
          <w:rStyle w:val="Style1Char"/>
          <w:color w:val="00B050"/>
          <w:sz w:val="22"/>
          <w:szCs w:val="22"/>
          <w:highlight w:val="yellow"/>
          <w:rtl/>
        </w:rPr>
        <w:lastRenderedPageBreak/>
        <w:t>[דף כ עמוד א]</w:t>
      </w:r>
      <w:r w:rsidRPr="00295EBF">
        <w:rPr>
          <w:rStyle w:val="Style1Char"/>
          <w:color w:val="00B050"/>
          <w:sz w:val="22"/>
          <w:szCs w:val="22"/>
          <w:rtl/>
        </w:rPr>
        <w:t xml:space="preserve"> </w:t>
      </w:r>
      <w:r w:rsidRPr="00887069">
        <w:rPr>
          <w:rStyle w:val="Style1Char"/>
          <w:color w:val="00B050"/>
          <w:rtl/>
        </w:rPr>
        <w:t xml:space="preserve">וכשם שאין מזימין את העדים אלא בפניהם, כך אין מכחישין את העדים אלא בפניהם. אמר ליה רב נחמן: אילו הוו קמן ומכחישין להו הוה הכחשה, ולא הוה משגיחין בהו דהוי לה עדות מוכחשת, השתא דליתנהו, דאילו הוו לקמן דלמא הוו מודו להו, מהימני? אלא </w:t>
      </w:r>
      <w:r w:rsidRPr="00ED638B">
        <w:rPr>
          <w:rStyle w:val="Style1Char"/>
          <w:color w:val="auto"/>
          <w:sz w:val="22"/>
          <w:szCs w:val="22"/>
          <w:rtl/>
        </w:rPr>
        <w:t xml:space="preserve">אמר רב נחמן: </w:t>
      </w:r>
      <w:r w:rsidR="00512B02">
        <w:rPr>
          <w:rStyle w:val="Style1Char"/>
          <w:rFonts w:hint="cs"/>
          <w:rtl/>
        </w:rPr>
        <w:t>(1)</w:t>
      </w:r>
      <w:r w:rsidRPr="00ED638B">
        <w:rPr>
          <w:rStyle w:val="Style1Char"/>
          <w:color w:val="auto"/>
          <w:sz w:val="22"/>
          <w:szCs w:val="22"/>
          <w:rtl/>
        </w:rPr>
        <w:t>אוקי תרי להדי תרי ואוקי ממונא בחזקת מריה</w:t>
      </w:r>
      <w:r w:rsidRPr="00B45E05">
        <w:rPr>
          <w:rStyle w:val="Style1Char"/>
          <w:color w:val="4472C4" w:themeColor="accent1"/>
          <w:rtl/>
        </w:rPr>
        <w:t xml:space="preserve"> </w:t>
      </w:r>
      <w:r w:rsidRPr="0077125B">
        <w:rPr>
          <w:rStyle w:val="Style1Char"/>
          <w:color w:val="4472C4" w:themeColor="accent1"/>
          <w:rtl/>
        </w:rPr>
        <w:t>פרש"י והא דקתני אין נאמנין לאו דליהוי שטרא מעליא למגבי ביה</w:t>
      </w:r>
      <w:r>
        <w:rPr>
          <w:rStyle w:val="Style1Char"/>
          <w:rFonts w:hint="cs"/>
          <w:color w:val="4472C4" w:themeColor="accent1"/>
        </w:rPr>
        <w:t>‍</w:t>
      </w:r>
      <w:r w:rsidRPr="0077125B">
        <w:rPr>
          <w:rStyle w:val="Style1Char"/>
          <w:color w:val="4472C4" w:themeColor="accent1"/>
          <w:rtl/>
        </w:rPr>
        <w:t xml:space="preserve"> אלא דלא קרעינן ליה ואי תפיס מדידיה והדר אתי האי ותבע מיניה לא מפקינן מיניה והא דמהני תפיסה מספק כתבתי בפ"ק דב"מ (סי' יג) גבי תקפו כהן מוציאין אותו מידו ומיירי בדתפס קודם שנולד הספק א"נ שאני הכא שטוען ברי</w:t>
      </w:r>
      <w:r>
        <w:rPr>
          <w:rStyle w:val="Style1Char"/>
          <w:rFonts w:hint="cs"/>
          <w:color w:val="4472C4" w:themeColor="accent1"/>
        </w:rPr>
        <w:t>‍</w:t>
      </w:r>
      <w:r w:rsidRPr="0077125B">
        <w:rPr>
          <w:rStyle w:val="Style1Char"/>
          <w:color w:val="4472C4" w:themeColor="accent1"/>
          <w:rtl/>
        </w:rPr>
        <w:t>. ומצאתי כתוב בשם ה"ר יונה ז"ל</w:t>
      </w:r>
      <w:r>
        <w:rPr>
          <w:rStyle w:val="Style1Char"/>
          <w:rFonts w:hint="cs"/>
          <w:color w:val="4472C4" w:themeColor="accent1"/>
        </w:rPr>
        <w:t>‍</w:t>
      </w:r>
      <w:r w:rsidRPr="0077125B">
        <w:rPr>
          <w:rStyle w:val="Style1Char"/>
          <w:color w:val="4472C4" w:themeColor="accent1"/>
          <w:rtl/>
        </w:rPr>
        <w:t xml:space="preserve"> דתפיסה לא מהניא מדאמר לקמן בפרק אלמנה [דף צח א] גבי אלמנה שתפסה דאמרינן לה מאן שם לך</w:t>
      </w:r>
      <w:r>
        <w:rPr>
          <w:rStyle w:val="Style1Char"/>
          <w:rFonts w:hint="cs"/>
          <w:color w:val="4472C4" w:themeColor="accent1"/>
        </w:rPr>
        <w:t>‍</w:t>
      </w:r>
      <w:r w:rsidRPr="0077125B">
        <w:rPr>
          <w:rStyle w:val="Style1Char"/>
          <w:color w:val="4472C4" w:themeColor="accent1"/>
          <w:rtl/>
        </w:rPr>
        <w:t xml:space="preserve"> ולא מהני תפיסה אלא מיירי הכא כשהתפיסוהו בית דין</w:t>
      </w:r>
      <w:r>
        <w:rPr>
          <w:rStyle w:val="Style1Char"/>
          <w:rFonts w:hint="cs"/>
          <w:color w:val="4472C4" w:themeColor="accent1"/>
        </w:rPr>
        <w:t>‍</w:t>
      </w:r>
      <w:r w:rsidRPr="0077125B">
        <w:rPr>
          <w:rStyle w:val="Style1Char"/>
          <w:color w:val="4472C4" w:themeColor="accent1"/>
          <w:rtl/>
        </w:rPr>
        <w:t xml:space="preserve"> או שהתפיס המלוה קודם שבאו עדים. וה"ר מאיר הלוי כתב דאף תפיסת בית דין לא מהניא דאף אם התפיסוהו ב"ד קודם הספק כשיבואו עדים האחרונים מוציאים מידו כדאמרי' בחזקת הבתים (דף לב א) אנן אחתינן ליה ואנן מסקינן ליה לזילותא דבי דינא לא חיישינן וכי תימא הנ"מ במקרקעי משום דקרקע בחזקת בעליה עומדת אבל במטלטלי לא הא אשכחן בב"ק (דף קיב ב) דאפילו במטלטלי אמרי' הכי דאינה מועלת התפסת ב"ד דאמרי' התם לא שנא הכי ולא שנא הכי אדרכתא אמטלטלין לא כתבינן דילמא משתדפו מקרקעי דמלוה ומייתי הך סהדי ומרע לי' לשטרא וליכא לאישתלומי מיניה משמע הא איכא לאישתלומי מיניה אף על פי שכבר הורידוהו ב"ד חוזרין ומוציאין ממנו אפילו במטלטלין. ואין בהם ממש בכל אלו הדברים דההיא דאלמנה ששמה לעצמה איירי ששמה לעצמה נכסי היתומים בכתובתה ואח"כ הוקרו הנכסים דאמרי' אין שומתה כלום ולא יצאו הנכסים מרשות היתומים וברשותם הוקרו וההיא דאדרכתא דקאמר אי מרע לשטרא ואיכא לאישתלומי מיניה מפקינן מיניה מיירי דמרע לשטרא בעידי פרעון אבל אם היה מביא עדים להכחיש השטר כיון שתפס לא מפקינן מיניה כיון שטען ברי. דלא אשכחן דלא מהניא תפיסה אלא בספק בכור וכן בבא בסוף החדש דאמרי' כולו למשכיר דבהני אין לתופס טענת ברי אבל כל היכא שהמוחזק במטלטלין טוען ברי אין כח בב"ד להוציא מידו</w:t>
      </w:r>
      <w:r w:rsidRPr="0077125B">
        <w:rPr>
          <w:rStyle w:val="Style1Char"/>
          <w:color w:val="4472C4" w:themeColor="accent1"/>
        </w:rPr>
        <w:t xml:space="preserve">: </w:t>
      </w:r>
    </w:p>
    <w:p w14:paraId="10FB1EE8" w14:textId="00DE088F" w:rsidR="00DA1858" w:rsidRPr="0077125B" w:rsidRDefault="00DA1858" w:rsidP="00DA1858">
      <w:pPr>
        <w:bidi/>
        <w:rPr>
          <w:rStyle w:val="Style1Char"/>
          <w:color w:val="4472C4" w:themeColor="accent1"/>
        </w:rPr>
      </w:pPr>
      <w:r w:rsidRPr="00ED638B">
        <w:rPr>
          <w:rStyle w:val="Style1Char"/>
          <w:color w:val="auto"/>
          <w:sz w:val="22"/>
          <w:szCs w:val="22"/>
          <w:rtl/>
        </w:rPr>
        <w:t>,</w:t>
      </w:r>
      <w:r w:rsidRPr="00D3545C">
        <w:rPr>
          <w:rStyle w:val="Style1Char"/>
          <w:sz w:val="22"/>
          <w:szCs w:val="22"/>
          <w:rtl/>
        </w:rPr>
        <w:t xml:space="preserve"> מידי דהוה אנכסי דבר שטיא; </w:t>
      </w:r>
      <w:r w:rsidRPr="006C2431">
        <w:rPr>
          <w:rStyle w:val="Style1Char"/>
          <w:color w:val="auto"/>
          <w:sz w:val="22"/>
          <w:szCs w:val="22"/>
          <w:rtl/>
        </w:rPr>
        <w:t xml:space="preserve">דבר שטיא זבין נכסי, אתו בי תרי אמרי כשהוא שוטה זבין, ואתו בי תרי ואמרי כשהוא חלים זבין, אמר רב אשי: </w:t>
      </w:r>
      <w:r w:rsidR="00982870">
        <w:rPr>
          <w:rStyle w:val="Style1Char"/>
          <w:rFonts w:hint="cs"/>
          <w:rtl/>
        </w:rPr>
        <w:t>(2)</w:t>
      </w:r>
      <w:r w:rsidRPr="006C2431">
        <w:rPr>
          <w:rStyle w:val="Style1Char"/>
          <w:color w:val="auto"/>
          <w:sz w:val="22"/>
          <w:szCs w:val="22"/>
          <w:rtl/>
        </w:rPr>
        <w:t>אוקי תרי להדי תרי ואוקי ממונא בחזקת בר שטיא</w:t>
      </w:r>
      <w:r w:rsidRPr="00A869D8">
        <w:rPr>
          <w:rStyle w:val="Style1Char"/>
          <w:color w:val="4472C4" w:themeColor="accent1"/>
          <w:rtl/>
        </w:rPr>
        <w:t xml:space="preserve"> </w:t>
      </w:r>
      <w:r w:rsidRPr="0077125B">
        <w:rPr>
          <w:rStyle w:val="Style1Char"/>
          <w:color w:val="4472C4" w:themeColor="accent1"/>
          <w:rtl/>
        </w:rPr>
        <w:t xml:space="preserve">ודוקא במקרקעי הוא דאמרינן הכי אבל במטלטלי הוו בחזקת המוחזק בהן עתה כדמוכח בכמה מקומות פרק השואל (דף ק א) גבי המחליף פרה בחמור דפריך וליחזי ברשותא דמאן קאי ולהוי אידך המוציא מחבירו עליו הריה ומוקי לה דקאי באגם </w:t>
      </w:r>
      <w:r w:rsidRPr="006C2431">
        <w:rPr>
          <w:rStyle w:val="Style1Char"/>
          <w:color w:val="auto"/>
          <w:sz w:val="22"/>
          <w:szCs w:val="22"/>
          <w:rtl/>
        </w:rPr>
        <w:t>ולא אמרן אלא דאית ליה חזקה דאבהתיה, אבל לית ליה חזקה דאבהתיה, אמרינן: כשהוא שוטה זבן וכשהוא שוטה זבין</w:t>
      </w:r>
      <w:r w:rsidRPr="002373F6">
        <w:rPr>
          <w:rStyle w:val="Style1Char"/>
          <w:color w:val="4472C4" w:themeColor="accent1"/>
          <w:rtl/>
        </w:rPr>
        <w:t xml:space="preserve"> </w:t>
      </w:r>
      <w:r w:rsidRPr="0077125B">
        <w:rPr>
          <w:rStyle w:val="Style1Char"/>
          <w:color w:val="4472C4" w:themeColor="accent1"/>
          <w:rtl/>
        </w:rPr>
        <w:t>כתב הר"ר מאיר הלוי ז"ל נכסים שנתנו לו במתנה הווין ברשותו ואם הקנו לו אותם בקנין או בחזקה על ידי אחר דקנאם קנין גמור ואין מכירתו בהן כלום אבל קנה נכסים אפילו זיכן לו על ידי אחר לא זכה בהן זכיה גמורה. דזכיית המקח אינה באה מכח המוכר בלבד עד שיהא גם הלוקח בר דעת וראוי להקנאה כי צריך גם הלוקח להתחייב לו בדמים ואדעתא דהכי קא מקני ליה ואם אין בו דעת להתחייב בדמים שיוכל המוכר להוציאן ממנו בדין לא גמר ומקני ליה אבל מתנה זכין לאדם שלא בפניו ואית ליה זכייה לשוטה מידי דהוה אקטן דאית ליה זכייה הואיל ואתי לכלל דעת גם זה היה עתים חלים</w:t>
      </w:r>
      <w:r w:rsidRPr="0077125B">
        <w:rPr>
          <w:rStyle w:val="Style1Char"/>
          <w:color w:val="4472C4" w:themeColor="accent1"/>
        </w:rPr>
        <w:t>:</w:t>
      </w:r>
      <w:r w:rsidRPr="006C2431">
        <w:rPr>
          <w:rStyle w:val="Style1Char"/>
          <w:color w:val="auto"/>
          <w:sz w:val="22"/>
          <w:szCs w:val="22"/>
          <w:rtl/>
        </w:rPr>
        <w:t>.</w:t>
      </w:r>
      <w:r w:rsidRPr="0077125B">
        <w:rPr>
          <w:rStyle w:val="Style1Char"/>
          <w:color w:val="4472C4" w:themeColor="accent1"/>
          <w:rtl/>
        </w:rPr>
        <w:t xml:space="preserve">. </w:t>
      </w:r>
    </w:p>
    <w:p w14:paraId="0CDD6960" w14:textId="3667DBEC" w:rsidR="00DA1858" w:rsidRDefault="00DA1858" w:rsidP="00DA1858">
      <w:pPr>
        <w:bidi/>
        <w:rPr>
          <w:rStyle w:val="Style1Char"/>
          <w:color w:val="auto"/>
          <w:sz w:val="22"/>
          <w:szCs w:val="22"/>
        </w:rPr>
      </w:pPr>
      <w:r w:rsidRPr="006C2431">
        <w:rPr>
          <w:rStyle w:val="Style1Char"/>
          <w:color w:val="auto"/>
          <w:sz w:val="22"/>
          <w:szCs w:val="22"/>
          <w:rtl/>
        </w:rPr>
        <w:t xml:space="preserve">. א"ר אבהו: </w:t>
      </w:r>
      <w:r w:rsidR="002318B8">
        <w:rPr>
          <w:rStyle w:val="Style1Char"/>
          <w:rFonts w:hint="cs"/>
          <w:rtl/>
        </w:rPr>
        <w:t>(4)</w:t>
      </w:r>
      <w:r w:rsidRPr="006C2431">
        <w:rPr>
          <w:rStyle w:val="Style1Char"/>
          <w:color w:val="auto"/>
          <w:sz w:val="22"/>
          <w:szCs w:val="22"/>
          <w:rtl/>
        </w:rPr>
        <w:t xml:space="preserve">אין מזימין את העדים אלא בפניהן, ומכחישין את העדים שלא בפניהן, והזמה שלא בפניהן נהי דהזמה לא הוי, הכחשה מיהא הויא. </w:t>
      </w:r>
      <w:r w:rsidRPr="00887069">
        <w:rPr>
          <w:rStyle w:val="Style1Char"/>
          <w:color w:val="00B050"/>
          <w:rtl/>
        </w:rPr>
        <w:t>אמר מר: אם יש עדים שכתב ידם הוא זה, או שהיה כתב ידם יוצא ממקום אחר משטר שקרא עליו ערער והוחזק בב"ד - אין נאמנין. קרא עליו ערער - אין, לא קרא עליו ערער - לא, מסייע ליה לרבי אסי, ד</w:t>
      </w:r>
      <w:r w:rsidRPr="00660DB0">
        <w:rPr>
          <w:rStyle w:val="Style1Char"/>
          <w:color w:val="auto"/>
          <w:sz w:val="22"/>
          <w:szCs w:val="22"/>
          <w:rtl/>
        </w:rPr>
        <w:t>אמר</w:t>
      </w:r>
      <w:r w:rsidRPr="00660DB0">
        <w:rPr>
          <w:rStyle w:val="Style1Char"/>
          <w:color w:val="auto"/>
          <w:rtl/>
        </w:rPr>
        <w:t xml:space="preserve"> </w:t>
      </w:r>
      <w:r w:rsidRPr="00660DB0">
        <w:rPr>
          <w:rStyle w:val="Style1Char"/>
          <w:color w:val="auto"/>
          <w:sz w:val="22"/>
          <w:szCs w:val="22"/>
          <w:rtl/>
        </w:rPr>
        <w:t>רבי אסי:</w:t>
      </w:r>
      <w:r w:rsidRPr="00660DB0">
        <w:rPr>
          <w:rStyle w:val="Style1Char"/>
          <w:color w:val="auto"/>
          <w:rtl/>
        </w:rPr>
        <w:t xml:space="preserve"> </w:t>
      </w:r>
      <w:r w:rsidR="00AA1676">
        <w:rPr>
          <w:rStyle w:val="Style1Char"/>
          <w:rFonts w:hint="cs"/>
          <w:rtl/>
        </w:rPr>
        <w:t>(5)</w:t>
      </w:r>
      <w:r w:rsidRPr="00660DB0">
        <w:rPr>
          <w:rStyle w:val="Style1Char"/>
          <w:color w:val="auto"/>
          <w:sz w:val="22"/>
          <w:szCs w:val="22"/>
          <w:rtl/>
        </w:rPr>
        <w:t xml:space="preserve">אין מקיימין את השטר - </w:t>
      </w:r>
      <w:r w:rsidRPr="00A17F58">
        <w:rPr>
          <w:rStyle w:val="Style1Char"/>
          <w:color w:val="ED7D31" w:themeColor="accent2"/>
          <w:rtl/>
        </w:rPr>
        <w:t xml:space="preserve">אלא </w:t>
      </w:r>
      <w:r w:rsidRPr="00660DB0">
        <w:rPr>
          <w:rStyle w:val="Style1Char"/>
          <w:color w:val="auto"/>
          <w:sz w:val="22"/>
          <w:szCs w:val="22"/>
          <w:rtl/>
        </w:rPr>
        <w:t xml:space="preserve">משטר שקרא עליו ערער </w:t>
      </w:r>
      <w:r w:rsidRPr="00F7385D">
        <w:rPr>
          <w:rStyle w:val="Style1Char"/>
          <w:color w:val="C00000"/>
          <w:sz w:val="22"/>
          <w:szCs w:val="22"/>
          <w:rtl/>
        </w:rPr>
        <w:t xml:space="preserve">אא"כ </w:t>
      </w:r>
      <w:r w:rsidRPr="00887069">
        <w:rPr>
          <w:rStyle w:val="Style1Char"/>
          <w:color w:val="00B050"/>
          <w:rtl/>
        </w:rPr>
        <w:t>ו</w:t>
      </w:r>
      <w:r w:rsidRPr="00660DB0">
        <w:rPr>
          <w:rStyle w:val="Style1Char"/>
          <w:color w:val="auto"/>
          <w:sz w:val="22"/>
          <w:szCs w:val="22"/>
          <w:rtl/>
        </w:rPr>
        <w:t xml:space="preserve">הוחזק בב"ד. </w:t>
      </w:r>
      <w:r w:rsidRPr="00A17F58">
        <w:rPr>
          <w:rStyle w:val="Style1Char"/>
          <w:color w:val="auto"/>
          <w:sz w:val="22"/>
          <w:szCs w:val="22"/>
          <w:rtl/>
        </w:rPr>
        <w:t>אמרי נהרדעי: אין מקיימין את השטר - אלא משתי כתובות או</w:t>
      </w:r>
      <w:r w:rsidRPr="00994394">
        <w:rPr>
          <w:rStyle w:val="Style1Char"/>
          <w:sz w:val="22"/>
          <w:szCs w:val="22"/>
          <w:rtl/>
        </w:rPr>
        <w:t xml:space="preserve"> </w:t>
      </w:r>
      <w:r w:rsidRPr="00994394">
        <w:rPr>
          <w:rStyle w:val="Style1Char"/>
          <w:color w:val="C00000"/>
          <w:sz w:val="22"/>
          <w:szCs w:val="22"/>
          <w:rtl/>
        </w:rPr>
        <w:t xml:space="preserve">משטרי </w:t>
      </w:r>
      <w:r w:rsidRPr="00994394">
        <w:rPr>
          <w:rStyle w:val="Style1Char"/>
          <w:color w:val="00B050"/>
          <w:rtl/>
        </w:rPr>
        <w:t>מ</w:t>
      </w:r>
      <w:r w:rsidRPr="00E33786">
        <w:rPr>
          <w:rStyle w:val="Style1Char"/>
          <w:color w:val="auto"/>
          <w:sz w:val="22"/>
          <w:szCs w:val="22"/>
          <w:rtl/>
        </w:rPr>
        <w:t>שתי שדות; והוא, שאכלום בעליהן ג' שנים ובשופי</w:t>
      </w:r>
    </w:p>
    <w:p w14:paraId="2520391B" w14:textId="27892D9E" w:rsidR="00DA1858" w:rsidRDefault="00DA1858" w:rsidP="00DA1858">
      <w:pPr>
        <w:bidi/>
        <w:rPr>
          <w:rStyle w:val="Style1Char"/>
          <w:color w:val="00B050"/>
        </w:rPr>
      </w:pPr>
      <w:r w:rsidRPr="0077125B">
        <w:rPr>
          <w:rStyle w:val="Style1Char"/>
          <w:color w:val="4472C4" w:themeColor="accent1"/>
          <w:rtl/>
        </w:rPr>
        <w:t>לא פליגי אדרבי אסי דלרבי אסי מקיימין את השטר משטר מקויים</w:t>
      </w:r>
      <w:r>
        <w:rPr>
          <w:rStyle w:val="Style1Char"/>
          <w:rFonts w:hint="cs"/>
          <w:color w:val="4472C4" w:themeColor="accent1"/>
        </w:rPr>
        <w:t>‍</w:t>
      </w:r>
      <w:r w:rsidRPr="0077125B">
        <w:rPr>
          <w:rStyle w:val="Style1Char"/>
          <w:color w:val="4472C4" w:themeColor="accent1"/>
          <w:rtl/>
        </w:rPr>
        <w:t xml:space="preserve"> מאחר שמקויים משנים ורב אלפס ז"ל גרס אין מקיימין השטר משטר שקרא עליו ערער אא"כ הוחזק בב"ד ואין גירסא זו נכונה דמילתא דפשיטא היא דמאחר שמערערין עליו לומר שהוא מזוייף היאך יקיימו ממנו</w:t>
      </w:r>
      <w:r>
        <w:rPr>
          <w:rStyle w:val="Style1Char"/>
          <w:rFonts w:hint="cs"/>
          <w:color w:val="4472C4" w:themeColor="accent1"/>
        </w:rPr>
        <w:t>‍</w:t>
      </w:r>
      <w:r w:rsidRPr="0077125B">
        <w:rPr>
          <w:rStyle w:val="Style1Char"/>
          <w:color w:val="4472C4" w:themeColor="accent1"/>
          <w:rtl/>
        </w:rPr>
        <w:t xml:space="preserve"> מאי אולמיה דידיה מזה שרוצים לקיים ממנו</w:t>
      </w:r>
      <w:r>
        <w:rPr>
          <w:rStyle w:val="Style1Char"/>
          <w:rFonts w:hint="cs"/>
          <w:color w:val="4472C4" w:themeColor="accent1"/>
        </w:rPr>
        <w:t>‍</w:t>
      </w:r>
      <w:r w:rsidRPr="0077125B">
        <w:rPr>
          <w:rStyle w:val="Style1Char"/>
          <w:color w:val="4472C4" w:themeColor="accent1"/>
          <w:rtl/>
        </w:rPr>
        <w:t xml:space="preserve"> ועוד דמשמע דאם לא קרא עליו ערער מקיימין מאחד</w:t>
      </w:r>
      <w:r w:rsidRPr="00887069">
        <w:rPr>
          <w:rStyle w:val="Style1Char"/>
          <w:color w:val="00B050"/>
          <w:rtl/>
        </w:rPr>
        <w:t xml:space="preserve">. </w:t>
      </w:r>
      <w:r w:rsidRPr="001D0C3F">
        <w:rPr>
          <w:rStyle w:val="Style1Char"/>
          <w:color w:val="ED7D31" w:themeColor="accent2"/>
          <w:rtl/>
        </w:rPr>
        <w:t>א"ר שימי בר אשי</w:t>
      </w:r>
      <w:r w:rsidRPr="00887069">
        <w:rPr>
          <w:rStyle w:val="Style1Char"/>
          <w:color w:val="00B050"/>
          <w:rtl/>
        </w:rPr>
        <w:t xml:space="preserve">: </w:t>
      </w:r>
      <w:r w:rsidR="00245505">
        <w:rPr>
          <w:rStyle w:val="Style1Char"/>
          <w:rFonts w:hint="cs"/>
          <w:rtl/>
        </w:rPr>
        <w:t>(5)</w:t>
      </w:r>
      <w:r w:rsidRPr="001D0C3F">
        <w:rPr>
          <w:rStyle w:val="Style1Char"/>
          <w:color w:val="auto"/>
          <w:sz w:val="22"/>
          <w:szCs w:val="22"/>
          <w:rtl/>
        </w:rPr>
        <w:t>וביוצא מתחת יד אחר, אבל מיד עצמו - לא</w:t>
      </w:r>
      <w:r w:rsidRPr="00887069">
        <w:rPr>
          <w:rStyle w:val="Style1Char"/>
          <w:color w:val="00B050"/>
          <w:rtl/>
        </w:rPr>
        <w:t xml:space="preserve">. מאי שנא תחת יד עצמו דלא? </w:t>
      </w:r>
      <w:r w:rsidRPr="001D0C3F">
        <w:rPr>
          <w:rStyle w:val="Style1Char"/>
          <w:color w:val="806000" w:themeColor="accent4" w:themeShade="80"/>
          <w:sz w:val="22"/>
          <w:szCs w:val="22"/>
          <w:rtl/>
        </w:rPr>
        <w:t xml:space="preserve">חיישינן </w:t>
      </w:r>
      <w:r w:rsidRPr="001D0C3F">
        <w:rPr>
          <w:rStyle w:val="Style1Char"/>
          <w:color w:val="auto"/>
          <w:sz w:val="22"/>
          <w:szCs w:val="22"/>
          <w:rtl/>
        </w:rPr>
        <w:t>דלמא זיופי מזייף</w:t>
      </w:r>
      <w:r w:rsidRPr="00887069">
        <w:rPr>
          <w:rStyle w:val="Style1Char"/>
          <w:color w:val="00B050"/>
          <w:rtl/>
        </w:rPr>
        <w:t xml:space="preserve">, מתחת ידי אחר נמי, דלמא אזל וחזא אתא וזייף! כולי האי לא מצי מכוין. </w:t>
      </w:r>
    </w:p>
    <w:p w14:paraId="603B813F" w14:textId="77777777" w:rsidR="00DA1858" w:rsidRPr="0077125B" w:rsidRDefault="00DA1858" w:rsidP="00DA1858">
      <w:pPr>
        <w:bidi/>
        <w:rPr>
          <w:rStyle w:val="Style1Char"/>
          <w:color w:val="4472C4" w:themeColor="accent1"/>
        </w:rPr>
      </w:pPr>
      <w:r w:rsidRPr="0077125B">
        <w:rPr>
          <w:rStyle w:val="Style1Char"/>
          <w:color w:val="4472C4" w:themeColor="accent1"/>
          <w:rtl/>
        </w:rPr>
        <w:t>ואם יש לאדם ב' שטרות מחתימה אחת אומר ר"ת דלא אמרי' שיהא פסולין דשמא זייף אחד מחבירו דהכא הוא דוקא דחיישינן לפי שאין מכירין אנו החתימה אלא על ידי שאנו מדמין חתימה לחתימה אבל היכא דמכירין חתימת ידי העדים בטביעת עין אם איתא דזיופי זייף הוה ניכר ומדבריו נלמוד מי שיש לו שתי שטרות בחתימת שני עדים</w:t>
      </w:r>
      <w:r>
        <w:rPr>
          <w:rStyle w:val="Style1Char"/>
          <w:rFonts w:hint="cs"/>
          <w:color w:val="4472C4" w:themeColor="accent1"/>
        </w:rPr>
        <w:t>‍</w:t>
      </w:r>
      <w:r w:rsidRPr="0077125B">
        <w:rPr>
          <w:rStyle w:val="Style1Char"/>
          <w:color w:val="4472C4" w:themeColor="accent1"/>
          <w:rtl/>
        </w:rPr>
        <w:t xml:space="preserve"> שאין לקיימן אלא בטביעת עין ולא בדימוי וא"ת ביוצא מתחת ידי עצמו חיישינן דילמא זייף א"כ אם העד סופר אפילו ביוצא מתחת יד אחר היאך מקיימין אפילו משתי שדות ניחוש שמא זייף מתחת ספרו וי"ל דהכא ליכא למיחש לזיוף אלא מחתימת יד העדים אבל מתוך ספר אין אדם יכול ללקט האותיות יחד ולזייף וכן מוכח קצת לקמן (דף כא א) דקאמר לכתוב חתימת ידיה אחספא ולא קאמר לכתוב אלפא ביתא אפילו אמגילתא אלא ודאי אי אפשר לדמותם יחד אלא כשחותם שמו (ועיין במרדכי)</w:t>
      </w:r>
      <w:r w:rsidRPr="0077125B">
        <w:rPr>
          <w:rStyle w:val="Style1Char"/>
          <w:color w:val="4472C4" w:themeColor="accent1"/>
        </w:rPr>
        <w:t>:</w:t>
      </w:r>
    </w:p>
    <w:p w14:paraId="65DA2FD1" w14:textId="7FBF27EE" w:rsidR="00DA1858" w:rsidRDefault="00DA1858" w:rsidP="00DA1858">
      <w:pPr>
        <w:bidi/>
        <w:rPr>
          <w:rStyle w:val="Style1Char"/>
          <w:color w:val="auto"/>
          <w:sz w:val="22"/>
          <w:szCs w:val="22"/>
          <w:rtl/>
        </w:rPr>
      </w:pPr>
      <w:r w:rsidRPr="00FA38B8">
        <w:rPr>
          <w:rStyle w:val="Style1Char"/>
          <w:color w:val="auto"/>
          <w:sz w:val="22"/>
          <w:szCs w:val="22"/>
          <w:rtl/>
        </w:rPr>
        <w:t xml:space="preserve">ת"ר: </w:t>
      </w:r>
      <w:r w:rsidR="001769E2">
        <w:rPr>
          <w:rStyle w:val="Style1Char"/>
          <w:rFonts w:hint="cs"/>
          <w:rtl/>
        </w:rPr>
        <w:t>(6)</w:t>
      </w:r>
      <w:r w:rsidRPr="00FA38B8">
        <w:rPr>
          <w:rStyle w:val="Style1Char"/>
          <w:color w:val="auto"/>
          <w:sz w:val="22"/>
          <w:szCs w:val="22"/>
          <w:rtl/>
        </w:rPr>
        <w:t>כותב אדם עדותו על השטר, ומעיד עליה אפילו לאחר כמה שנים</w:t>
      </w:r>
      <w:r w:rsidRPr="00FA38B8">
        <w:rPr>
          <w:rStyle w:val="Style1Char"/>
          <w:color w:val="auto"/>
          <w:rtl/>
        </w:rPr>
        <w:t xml:space="preserve"> </w:t>
      </w:r>
      <w:r w:rsidRPr="00FA38B8">
        <w:rPr>
          <w:rStyle w:val="Style1Char"/>
          <w:color w:val="806000" w:themeColor="accent4" w:themeShade="80"/>
          <w:rtl/>
        </w:rPr>
        <w:t xml:space="preserve">פירש רב האי ז"ל כגון שיש בידו עדות בקנין ונשתהה לזמן מרובה ואחר כך תבעו מלוה לכתוב לו אותה עדות בשטר או שתבעו להעיד לו בה בב"ד הרי זה כותב לו עדותו על השטר או מעיד לו בה בב"ד אפילו לאחר כמה שנים ואינו חושש שמא נפרע אותו החוב או שמא נמחל. </w:t>
      </w:r>
      <w:r w:rsidRPr="0090777D">
        <w:rPr>
          <w:rStyle w:val="Style1Char"/>
          <w:color w:val="auto"/>
          <w:sz w:val="22"/>
          <w:szCs w:val="22"/>
          <w:rtl/>
        </w:rPr>
        <w:t xml:space="preserve">אמר רב הונא: והוא, שזוכרה מעצמו; רבי יוחנן אמר: </w:t>
      </w:r>
      <w:r w:rsidR="007C2D6E">
        <w:rPr>
          <w:rStyle w:val="Style1Char"/>
          <w:rFonts w:hint="cs"/>
          <w:rtl/>
        </w:rPr>
        <w:t>(6)</w:t>
      </w:r>
      <w:r w:rsidRPr="0090777D">
        <w:rPr>
          <w:rStyle w:val="Style1Char"/>
          <w:color w:val="auto"/>
          <w:sz w:val="22"/>
          <w:szCs w:val="22"/>
          <w:rtl/>
        </w:rPr>
        <w:t>אף על פי שאין זוכרה מעצמו</w:t>
      </w:r>
      <w:r w:rsidRPr="0090777D">
        <w:rPr>
          <w:rStyle w:val="Style1Char"/>
          <w:color w:val="auto"/>
          <w:rtl/>
        </w:rPr>
        <w:t xml:space="preserve"> </w:t>
      </w:r>
      <w:r w:rsidRPr="00E01AD0">
        <w:rPr>
          <w:rStyle w:val="Style1Char"/>
          <w:color w:val="806000" w:themeColor="accent4" w:themeShade="80"/>
          <w:sz w:val="22"/>
          <w:szCs w:val="22"/>
          <w:rtl/>
        </w:rPr>
        <w:t>אלא אחרים הזכירוהו ונזכר הרי זה מעיד</w:t>
      </w:r>
      <w:r w:rsidRPr="005C7D16">
        <w:rPr>
          <w:rStyle w:val="Style1Char"/>
          <w:sz w:val="22"/>
          <w:szCs w:val="22"/>
          <w:rtl/>
        </w:rPr>
        <w:t xml:space="preserve">. </w:t>
      </w:r>
      <w:r w:rsidRPr="00241650">
        <w:rPr>
          <w:rStyle w:val="Style1Char"/>
          <w:color w:val="auto"/>
          <w:sz w:val="22"/>
          <w:szCs w:val="22"/>
          <w:rtl/>
        </w:rPr>
        <w:t xml:space="preserve">אמר </w:t>
      </w:r>
      <w:r w:rsidRPr="00887069">
        <w:rPr>
          <w:rStyle w:val="Style1Char"/>
          <w:color w:val="00B050"/>
          <w:rtl/>
        </w:rPr>
        <w:t>רבה</w:t>
      </w:r>
      <w:r w:rsidRPr="005C7D16">
        <w:rPr>
          <w:rStyle w:val="Style1Char"/>
          <w:color w:val="C00000"/>
          <w:rtl/>
        </w:rPr>
        <w:t xml:space="preserve"> </w:t>
      </w:r>
      <w:r w:rsidRPr="00241650">
        <w:rPr>
          <w:rStyle w:val="Style1Char"/>
          <w:color w:val="806000" w:themeColor="accent4" w:themeShade="80"/>
          <w:sz w:val="22"/>
          <w:szCs w:val="22"/>
          <w:rtl/>
        </w:rPr>
        <w:t>רבא</w:t>
      </w:r>
      <w:r w:rsidRPr="00887069">
        <w:rPr>
          <w:rStyle w:val="Style1Char"/>
          <w:color w:val="00B050"/>
          <w:rtl/>
        </w:rPr>
        <w:t xml:space="preserve">: </w:t>
      </w:r>
      <w:r w:rsidRPr="005C7D16">
        <w:rPr>
          <w:rStyle w:val="Style1Char"/>
          <w:sz w:val="22"/>
          <w:szCs w:val="22"/>
          <w:rtl/>
        </w:rPr>
        <w:t>ש</w:t>
      </w:r>
      <w:r w:rsidRPr="00241650">
        <w:rPr>
          <w:rStyle w:val="Style1Char"/>
          <w:color w:val="auto"/>
          <w:sz w:val="22"/>
          <w:szCs w:val="22"/>
          <w:rtl/>
        </w:rPr>
        <w:t xml:space="preserve">"מ מדרבי יוחנן, </w:t>
      </w:r>
      <w:r w:rsidR="007C2D6E">
        <w:rPr>
          <w:rStyle w:val="Style1Char"/>
          <w:rFonts w:hint="cs"/>
          <w:rtl/>
        </w:rPr>
        <w:t>(7)</w:t>
      </w:r>
      <w:r w:rsidRPr="00241650">
        <w:rPr>
          <w:rStyle w:val="Style1Char"/>
          <w:color w:val="auto"/>
          <w:sz w:val="22"/>
          <w:szCs w:val="22"/>
          <w:rtl/>
        </w:rPr>
        <w:t>הני בי תרי דידעי סהדותא ומנשי חד מנייהו, מדכר</w:t>
      </w:r>
      <w:r w:rsidRPr="005C7D16">
        <w:rPr>
          <w:rStyle w:val="Style1Char"/>
          <w:sz w:val="22"/>
          <w:szCs w:val="22"/>
          <w:rtl/>
        </w:rPr>
        <w:t xml:space="preserve"> </w:t>
      </w:r>
      <w:r w:rsidRPr="00887069">
        <w:rPr>
          <w:rStyle w:val="Style1Char"/>
          <w:color w:val="00B050"/>
          <w:rtl/>
        </w:rPr>
        <w:t xml:space="preserve">חד </w:t>
      </w:r>
      <w:r w:rsidRPr="00241650">
        <w:rPr>
          <w:rStyle w:val="Style1Char"/>
          <w:color w:val="806000" w:themeColor="accent4" w:themeShade="80"/>
          <w:sz w:val="22"/>
          <w:szCs w:val="22"/>
          <w:rtl/>
        </w:rPr>
        <w:t xml:space="preserve">ליה </w:t>
      </w:r>
      <w:r w:rsidRPr="00241650">
        <w:rPr>
          <w:rStyle w:val="Style1Char"/>
          <w:color w:val="auto"/>
          <w:sz w:val="22"/>
          <w:szCs w:val="22"/>
          <w:rtl/>
        </w:rPr>
        <w:t>לחבריה</w:t>
      </w:r>
      <w:r w:rsidRPr="00241650">
        <w:rPr>
          <w:rStyle w:val="Style1Char"/>
          <w:color w:val="auto"/>
          <w:rtl/>
        </w:rPr>
        <w:t xml:space="preserve"> </w:t>
      </w:r>
      <w:r w:rsidRPr="00241650">
        <w:rPr>
          <w:rStyle w:val="Style1Char"/>
          <w:color w:val="806000" w:themeColor="accent4" w:themeShade="80"/>
          <w:sz w:val="22"/>
          <w:szCs w:val="22"/>
          <w:rtl/>
        </w:rPr>
        <w:t>ומדכר</w:t>
      </w:r>
      <w:r w:rsidRPr="00241650">
        <w:rPr>
          <w:rStyle w:val="Style1Char"/>
          <w:color w:val="806000" w:themeColor="accent4" w:themeShade="80"/>
          <w:rtl/>
        </w:rPr>
        <w:t xml:space="preserve"> </w:t>
      </w:r>
      <w:r w:rsidRPr="008515C6">
        <w:rPr>
          <w:rStyle w:val="Style1Char"/>
          <w:color w:val="806000" w:themeColor="accent4" w:themeShade="80"/>
          <w:rtl/>
        </w:rPr>
        <w:t>וי"א כותב אדם עדותו על השטר אינו שטר שביד מלוה אלא כגון ספר או שמוש שיש לו לאדם בתוך ביתו לכתוב בו זכרונותיו ובא אליו התובע ותבעו להעיד לו ומצא בזכרונותיו כתוב שביום פלוני נמסר לו עדות בכך וכך לאיש פלוני הולך ומעיד לו עליה אפי' לאחר כמה שנים א"ר הונא והוא שזוכרה מעצמו ורבי יוחנן אמר אף על פי שאין זוכרה מעצמו אלא מן הכתב שלו נזכר מעיד ודייק רבא מדר' יוחנן דאמר אף על פי שאין זוכרה מעצמו אלא מן הכתב שלו נזכר הולך ומעיד הכי נמי תרי דידעי סהדותא ואינשי חד מינייהו חבריה מדכר ליה ומדכר ומסהיד בהדי חבריה ושפיר דמי והאי דיוקא דדייק רבא לא סלקא אלא אליבא דהדין פירושא בתרא אבל לפירושא קמא לא סלקא דהיינו פשטיה דרבי יוחנן ולא צריך רבא למידק מיניה מידי הילכך האי פירושא בתרא עדיף וטפי מסתבר</w:t>
      </w:r>
      <w:r w:rsidRPr="008B0F43">
        <w:rPr>
          <w:rStyle w:val="Style1Char"/>
          <w:color w:val="4472C4" w:themeColor="accent1"/>
          <w:rtl/>
        </w:rPr>
        <w:t xml:space="preserve"> </w:t>
      </w:r>
      <w:r w:rsidRPr="0077125B">
        <w:rPr>
          <w:rStyle w:val="Style1Char"/>
          <w:color w:val="4472C4" w:themeColor="accent1"/>
          <w:rtl/>
        </w:rPr>
        <w:t>ומ"מ יראה שיש לסמוך על דברי גאון שיכול אדם לחתום עדות הנמסר לו ולהעיד עליו אחר כמה שנים</w:t>
      </w:r>
      <w:r>
        <w:rPr>
          <w:rStyle w:val="Style1Char"/>
          <w:rFonts w:hint="cs"/>
          <w:color w:val="4472C4" w:themeColor="accent1"/>
        </w:rPr>
        <w:t>‍</w:t>
      </w:r>
      <w:r w:rsidRPr="0077125B">
        <w:rPr>
          <w:rStyle w:val="Style1Char"/>
          <w:color w:val="4472C4" w:themeColor="accent1"/>
          <w:rtl/>
        </w:rPr>
        <w:t xml:space="preserve"> ואין לחוש לפרעון או למחילה (דלוה) דאית ליה למימר דאם איתא דפרע איבעי ליה לאודועי לסהדי שלא יחתמו או שלא יעידו ואיהו הוא דאפסיד אנפשיה.</w:t>
      </w:r>
      <w:r w:rsidRPr="00887069">
        <w:rPr>
          <w:rStyle w:val="Style1Char"/>
          <w:color w:val="00B050"/>
          <w:rtl/>
        </w:rPr>
        <w:t xml:space="preserve">. </w:t>
      </w:r>
      <w:r w:rsidRPr="00B418F4">
        <w:rPr>
          <w:rStyle w:val="Style1Char"/>
          <w:color w:val="auto"/>
          <w:sz w:val="22"/>
          <w:szCs w:val="22"/>
          <w:rtl/>
        </w:rPr>
        <w:t xml:space="preserve">איבעיא להו: </w:t>
      </w:r>
      <w:r w:rsidRPr="00E43986">
        <w:rPr>
          <w:rStyle w:val="Style1Char"/>
          <w:rFonts w:hint="cs"/>
          <w:color w:val="806000" w:themeColor="accent4" w:themeShade="80"/>
          <w:sz w:val="22"/>
          <w:szCs w:val="22"/>
          <w:rtl/>
        </w:rPr>
        <w:t>ל</w:t>
      </w:r>
      <w:r w:rsidRPr="00B418F4">
        <w:rPr>
          <w:rStyle w:val="Style1Char"/>
          <w:color w:val="auto"/>
          <w:sz w:val="22"/>
          <w:szCs w:val="22"/>
          <w:rtl/>
        </w:rPr>
        <w:t xml:space="preserve">עצמו מאי? </w:t>
      </w:r>
      <w:r w:rsidRPr="00E43986">
        <w:rPr>
          <w:rStyle w:val="Style1Char"/>
          <w:color w:val="806000" w:themeColor="accent4" w:themeShade="80"/>
          <w:rtl/>
        </w:rPr>
        <w:t xml:space="preserve">פירוש אם שכח העד מהו שיזכירו בעל דין </w:t>
      </w:r>
      <w:r w:rsidRPr="00E43986">
        <w:rPr>
          <w:rStyle w:val="Style1Char"/>
          <w:color w:val="auto"/>
          <w:sz w:val="22"/>
          <w:szCs w:val="22"/>
          <w:rtl/>
        </w:rPr>
        <w:t xml:space="preserve">רב חביבא אמר: אפילו עצמו, מר בריה דרב אשי אמר: עצמו לא. והלכתא: </w:t>
      </w:r>
      <w:r w:rsidR="00D80617">
        <w:rPr>
          <w:rStyle w:val="Style1Char"/>
          <w:rFonts w:hint="cs"/>
          <w:rtl/>
        </w:rPr>
        <w:t>(7)</w:t>
      </w:r>
      <w:r w:rsidRPr="00E43986">
        <w:rPr>
          <w:rStyle w:val="Style1Char"/>
          <w:color w:val="auto"/>
          <w:sz w:val="22"/>
          <w:szCs w:val="22"/>
          <w:rtl/>
        </w:rPr>
        <w:t xml:space="preserve">עצמו לא. </w:t>
      </w:r>
    </w:p>
    <w:p w14:paraId="58721B29" w14:textId="013E7229" w:rsidR="00FD2EE2" w:rsidRDefault="00FD2EE2" w:rsidP="00FD2EE2">
      <w:pPr>
        <w:pStyle w:val="Style1"/>
        <w:rPr>
          <w:rStyle w:val="Style1Char"/>
          <w:rtl/>
        </w:rPr>
      </w:pPr>
      <w:r>
        <w:rPr>
          <w:rStyle w:val="Style1Char"/>
          <w:rFonts w:hint="cs"/>
          <w:rtl/>
        </w:rPr>
        <w:t>1)[</w:t>
      </w:r>
      <w:r w:rsidRPr="00FD2EE2">
        <w:rPr>
          <w:rStyle w:val="Style1Char"/>
          <w:rtl/>
        </w:rPr>
        <w:t>רמב</w:t>
      </w:r>
      <w:r w:rsidR="0057095E">
        <w:rPr>
          <w:rStyle w:val="Style1Char"/>
          <w:rtl/>
        </w:rPr>
        <w:t>”ם \שופטים\</w:t>
      </w:r>
      <w:r w:rsidRPr="00FD2EE2">
        <w:rPr>
          <w:rStyle w:val="Style1Char"/>
          <w:rtl/>
        </w:rPr>
        <w:t xml:space="preserve"> הלכות עדות פרק ז הלכה ז</w:t>
      </w:r>
      <w:r>
        <w:rPr>
          <w:rStyle w:val="Style1Char"/>
          <w:rFonts w:hint="cs"/>
          <w:rtl/>
        </w:rPr>
        <w:t xml:space="preserve">] </w:t>
      </w:r>
      <w:r w:rsidRPr="00FD2EE2">
        <w:rPr>
          <w:rStyle w:val="Style1Char"/>
          <w:rtl/>
        </w:rPr>
        <w:t>שנים שהיו חתומין על השטר ומתו ובאו שנים ואמרו כתב ידן הוא זה אבל אנוסים היו קטנים היו פסולי עדות היו, אף על פי שיש שם עדים אחרים שזה כתב ידן או שהיה כתב ידן יוצא משטר אחר שקרא עליו ערער והוחזק בבית דין הרי זה לא נתקיים, אלא מעידין השנים שבשטר כנגד השנים שהעידו עליהן שהן פסולין ואין גובין בו כלום.</w:t>
      </w:r>
    </w:p>
    <w:p w14:paraId="18B33793" w14:textId="5F4AB408" w:rsidR="006360E2" w:rsidRPr="00164231" w:rsidRDefault="006360E2" w:rsidP="006360E2">
      <w:pPr>
        <w:pStyle w:val="Style1"/>
      </w:pPr>
      <w:r>
        <w:rPr>
          <w:rStyle w:val="Style1Char"/>
          <w:rFonts w:hint="cs"/>
          <w:rtl/>
        </w:rPr>
        <w:lastRenderedPageBreak/>
        <w:t>1)[</w:t>
      </w:r>
      <w:r w:rsidRPr="00BC104E">
        <w:rPr>
          <w:rStyle w:val="Style1Char"/>
          <w:rtl/>
        </w:rPr>
        <w:t>שולחן ערוך חושן משפט הלכות הלואה סימן מו סעיף לז</w:t>
      </w:r>
      <w:r>
        <w:rPr>
          <w:rStyle w:val="Style1Char"/>
          <w:rFonts w:hint="cs"/>
          <w:rtl/>
        </w:rPr>
        <w:t xml:space="preserve">] </w:t>
      </w:r>
      <w:r w:rsidRPr="00164231">
        <w:rPr>
          <w:rtl/>
        </w:rPr>
        <w:t>שנים החתומים על השטר ומתו ואין כתב ידם יוצא ממקום אחר ובאו שנים ואמרו כתב ידם הוא אבל קטנים היו או פסולין הרי אלו נאמנים וקורעין השטר אא"כ טען שנקבע לו זמן לקיים השטר ואם יש עדים שהוא כתב ידם או שהיה כתב ידם יוצא ממקום אחר משטר שקרא עליו ערער והוחזק בב"ד אין קורעין אותו ויש מי שאומר שא"צ שקרא עליו ערער דבהוחזק בב"ד סגי אפילו לא קרא עליו ערער</w:t>
      </w:r>
      <w:r w:rsidRPr="00164231">
        <w:t>:</w:t>
      </w:r>
    </w:p>
    <w:p w14:paraId="2E67B1C2" w14:textId="77777777" w:rsidR="006360E2" w:rsidRPr="00164231" w:rsidRDefault="006360E2" w:rsidP="006360E2">
      <w:pPr>
        <w:pStyle w:val="Style1"/>
      </w:pPr>
      <w:r w:rsidRPr="00164231">
        <w:rPr>
          <w:rFonts w:hint="cs"/>
          <w:rtl/>
        </w:rPr>
        <w:t>הגה: וכל זה שכבר מתו העדים אבל אם העדים עדיין חיים וב' עדים אחרים באים לפוסלן ואמרו שפסולין הם גם השטר נפסל אע"פ שכתב ידם יוצא ממקום אחר (ר"ן בשם י"א וטור בשם התוס') וי"ח ומכשירין השטר (שם בשם אביו הרא"ש) והא דאין נאמנים כשכתב ידם יוצא ממקום אחר לא למהוי שטרא מעליא לגבות בו אלא דאי תפס מטלטלין לא מפקינן מניה (טור בשם רש"י והרא"ש)</w:t>
      </w:r>
      <w:r w:rsidRPr="00164231">
        <w:t>:</w:t>
      </w:r>
    </w:p>
    <w:p w14:paraId="5B1B3186" w14:textId="77777777" w:rsidR="006360E2" w:rsidRPr="00164231" w:rsidRDefault="006360E2" w:rsidP="006360E2">
      <w:pPr>
        <w:pStyle w:val="Style1"/>
      </w:pPr>
      <w:r w:rsidRPr="00164231">
        <w:rPr>
          <w:rtl/>
        </w:rPr>
        <w:t>עדים שאין כתב ידם יוצא ממקום אחר ואמרו כ"י הוא זה ואומרים בתוך כדי דבור אנוסים היינו מחמת נפשות או קטנים היינו או פסולי עדות היינו מחמת קורבה ונתרחקנו או מסר מודעא בפנינו או תנאי היה בדבר ולא ראינו שנתקיים התנאי הרי אלו נאמנים ואפי' עד א' אומר לא היה תנאי ועד א' אומר היה תנאי ולא נתקיים נאמן ואין כאן אלא עד א</w:t>
      </w:r>
      <w:r w:rsidRPr="00164231">
        <w:t>'</w:t>
      </w:r>
    </w:p>
    <w:p w14:paraId="3D47B78C" w14:textId="77777777" w:rsidR="006360E2" w:rsidRPr="00164231" w:rsidRDefault="006360E2" w:rsidP="006360E2">
      <w:pPr>
        <w:pStyle w:val="Style1"/>
      </w:pPr>
      <w:r w:rsidRPr="00164231">
        <w:rPr>
          <w:rFonts w:hint="cs"/>
          <w:rtl/>
        </w:rPr>
        <w:t>ואם כתוב בשטרא ואנן סהדי מסהדינן דלא הוי שיור בשטרא אינן יכולין לומר תנאי היה בדבר דאינן חוזרין ומגידין מיהו אם אומרים מה שכתוב שלא היה בו שיור לא נאמר לבטל התנאי רק שלא היה שיור בגוף המכר נאמנין (טור סנ"ה) וכן יכולים לפרש דברי השטר בכל דבר שאינן סותרין דבריהם (נ"י פ' מי שמת)</w:t>
      </w:r>
    </w:p>
    <w:p w14:paraId="035955D9" w14:textId="52FDDB66" w:rsidR="006360E2" w:rsidRDefault="006360E2" w:rsidP="006360E2">
      <w:pPr>
        <w:pStyle w:val="Style1"/>
        <w:rPr>
          <w:rtl/>
        </w:rPr>
      </w:pPr>
      <w:r w:rsidRPr="00164231">
        <w:rPr>
          <w:rtl/>
        </w:rPr>
        <w:t>אבל אם אמרו שהיו אנוסין מחמת ממון או שהיה שטר אמנה או שהיו פסולים בעבירה אינם נאמנים ואפי' אמרו שאח"כ עשו תשובה ואע"פ שאינם נאמנים לבטל השטר מ"מ לגבי דידהו נאמנים וחייבים לשלם ללוה ההפסד שבא לו מכח חתימתם ואם אומרים שבשעה שחתמו לא ידעו שהיה אמנה ואח"כ נתברר להם שהיה אמנה נאמנים ואם כתב ידם יוצא ממק"א או שיש עדים שזה כתב ידם אין נאמנים בשום דבר שאמרו לבטל השטר חוץ מלומר בפנינו מסר מודעא</w:t>
      </w:r>
      <w:r w:rsidRPr="00164231">
        <w:t>:</w:t>
      </w:r>
    </w:p>
    <w:p w14:paraId="6FD6A7ED" w14:textId="2E46EBD5" w:rsidR="001207BF" w:rsidRDefault="001207BF" w:rsidP="001207BF">
      <w:pPr>
        <w:pStyle w:val="Style1"/>
        <w:rPr>
          <w:rtl/>
        </w:rPr>
      </w:pPr>
      <w:r>
        <w:rPr>
          <w:rFonts w:hint="cs"/>
          <w:rtl/>
        </w:rPr>
        <w:t>3)[</w:t>
      </w:r>
      <w:r>
        <w:rPr>
          <w:rtl/>
        </w:rPr>
        <w:t>רמב</w:t>
      </w:r>
      <w:r w:rsidR="00786216">
        <w:rPr>
          <w:rtl/>
        </w:rPr>
        <w:t>”ם \מכירה\</w:t>
      </w:r>
      <w:r>
        <w:rPr>
          <w:rtl/>
        </w:rPr>
        <w:t xml:space="preserve"> הלכות מכירה פרק כט הלכה ה</w:t>
      </w:r>
      <w:r>
        <w:rPr>
          <w:rFonts w:hint="cs"/>
          <w:rtl/>
        </w:rPr>
        <w:t xml:space="preserve">] </w:t>
      </w:r>
      <w:r>
        <w:rPr>
          <w:rtl/>
        </w:rPr>
        <w:t>מי שהוא עת שוטה ועת שפוי כגון אלו הנכפין, בעת שהוא שפוי כל מעשיו קיימין וזוכה לעצמו ולאחרים ככל בן דעת, וצריכין העדים לחקור הדבר היטב שמא בסוף שטותו או בתחלת שטותו עשה מה שעשה.</w:t>
      </w:r>
    </w:p>
    <w:p w14:paraId="6F23625D" w14:textId="6720CD3C" w:rsidR="001E11C2" w:rsidRDefault="001E11C2" w:rsidP="001E11C2">
      <w:pPr>
        <w:pStyle w:val="Style1"/>
        <w:rPr>
          <w:rtl/>
        </w:rPr>
      </w:pPr>
      <w:r>
        <w:rPr>
          <w:rFonts w:hint="cs"/>
          <w:rtl/>
        </w:rPr>
        <w:t>3)[</w:t>
      </w:r>
      <w:r>
        <w:rPr>
          <w:rtl/>
        </w:rPr>
        <w:t>שולחן ערוך חושן משפט הלכות אונאה ומקח טעות סימן רלה סעיף כא</w:t>
      </w:r>
      <w:r>
        <w:rPr>
          <w:rFonts w:hint="cs"/>
          <w:rtl/>
        </w:rPr>
        <w:t xml:space="preserve">] </w:t>
      </w:r>
      <w:r>
        <w:rPr>
          <w:rtl/>
        </w:rPr>
        <w:t>מי שהוא עת שוטה ועת שפוי, כגון אלו הנכפין, כשהוא שפוי כל מעשיו קיימין וזוכה לעצמו ולאחרים ככל בן דעת. וצריכים העדים לחקור הדבר היטב, שמא בסוף שטותו או בתחלת שטותו עשה מה שעשה. הגה: אמרו שנים: כשהיה שוטה זבין, ושנים אומרים: כשהיה שפוי זבין, קרקע בחזקת המוכר, מטלטלין בחזקת המחזיק בהן (ב"י בשם התוספות והרא"ש פ"ב דכתובות).</w:t>
      </w:r>
    </w:p>
    <w:p w14:paraId="706E689C" w14:textId="5FEA2009" w:rsidR="00482E0A" w:rsidRDefault="00482E0A" w:rsidP="00482E0A">
      <w:pPr>
        <w:pStyle w:val="Style1"/>
        <w:rPr>
          <w:rtl/>
        </w:rPr>
      </w:pPr>
      <w:r>
        <w:rPr>
          <w:rFonts w:hint="cs"/>
          <w:rtl/>
        </w:rPr>
        <w:t>4)[</w:t>
      </w:r>
      <w:r>
        <w:rPr>
          <w:rtl/>
        </w:rPr>
        <w:t>רמב</w:t>
      </w:r>
      <w:r w:rsidR="0057095E">
        <w:rPr>
          <w:rtl/>
        </w:rPr>
        <w:t>”ם \שופטים\</w:t>
      </w:r>
      <w:r>
        <w:rPr>
          <w:rtl/>
        </w:rPr>
        <w:t xml:space="preserve"> הלכות עדות פרק יח הלכה ה</w:t>
      </w:r>
      <w:r>
        <w:rPr>
          <w:rFonts w:hint="cs"/>
          <w:rtl/>
        </w:rPr>
        <w:t xml:space="preserve">] </w:t>
      </w:r>
      <w:r>
        <w:rPr>
          <w:rtl/>
        </w:rPr>
        <w:t>אין מזימין את העדים אלא בפניהם ומכחישין את העדים שלא בפניהם, ועדים שהוזמו שלא בפניהן הרי הוכחשו, לפיכך אם מתו העדים שהזימום קודם שיזימו אותם בפניהם אין כאן עדות שהרי הכחישו זה את זה.</w:t>
      </w:r>
    </w:p>
    <w:p w14:paraId="608F7FB3" w14:textId="7B857DE4" w:rsidR="00CD13D4" w:rsidRPr="00B44C45" w:rsidRDefault="00CD13D4" w:rsidP="00CD13D4">
      <w:pPr>
        <w:pStyle w:val="Style1"/>
        <w:rPr>
          <w:rStyle w:val="Style1Char"/>
        </w:rPr>
      </w:pPr>
      <w:r>
        <w:rPr>
          <w:rStyle w:val="Style1Char"/>
          <w:rFonts w:hint="cs"/>
          <w:rtl/>
        </w:rPr>
        <w:t>4)[</w:t>
      </w:r>
      <w:r w:rsidRPr="00B44C45">
        <w:rPr>
          <w:rStyle w:val="Style1Char"/>
          <w:rtl/>
        </w:rPr>
        <w:t>טור חושן משפט הלכות עדות סימן לח</w:t>
      </w:r>
      <w:r>
        <w:rPr>
          <w:rStyle w:val="Style1Char"/>
          <w:rFonts w:hint="cs"/>
          <w:rtl/>
        </w:rPr>
        <w:t>]</w:t>
      </w:r>
    </w:p>
    <w:p w14:paraId="7C22D465" w14:textId="77777777" w:rsidR="00CD13D4" w:rsidRPr="00B44C45" w:rsidRDefault="00CD13D4" w:rsidP="00CD13D4">
      <w:pPr>
        <w:pStyle w:val="Style1"/>
        <w:rPr>
          <w:rStyle w:val="Style1Char"/>
        </w:rPr>
      </w:pPr>
      <w:r w:rsidRPr="00B44C45">
        <w:rPr>
          <w:rStyle w:val="Style1Char"/>
          <w:rtl/>
        </w:rPr>
        <w:t>א שני עדים שהעידו באחד שהרג הנפש או שחייב לפלוני מנה ובאו ב' והכחישום דברי שניהם בטלין והוא והן פטורין אבל אם באו האחרונים והזימום אז האחרונים נאמנין ועדות הראשונים בטלה והן חייבין כפי מה אשר רצו לחייב אותן שהעידו עליו אם באו לחייבו מיתה נהרגין במיתה שבאו להרגו בה:</w:t>
      </w:r>
    </w:p>
    <w:p w14:paraId="5F3B3175" w14:textId="77777777" w:rsidR="00CD13D4" w:rsidRPr="00B44C45" w:rsidRDefault="00CD13D4" w:rsidP="00CD13D4">
      <w:pPr>
        <w:pStyle w:val="Style1"/>
        <w:rPr>
          <w:rStyle w:val="Style1Char"/>
        </w:rPr>
      </w:pPr>
      <w:r w:rsidRPr="00B44C45">
        <w:rPr>
          <w:rStyle w:val="Style1Char"/>
          <w:rtl/>
        </w:rPr>
        <w:t>ב ואם לחייבו ממון באו משלמין הממון בין שניהן ואין לוקין כיון שמשלמין:</w:t>
      </w:r>
    </w:p>
    <w:p w14:paraId="7CE53EA0" w14:textId="77777777" w:rsidR="00CD13D4" w:rsidRPr="00B44C45" w:rsidRDefault="00CD13D4" w:rsidP="00CD13D4">
      <w:pPr>
        <w:pStyle w:val="Style1"/>
        <w:rPr>
          <w:rStyle w:val="Style1Char"/>
        </w:rPr>
      </w:pPr>
      <w:r w:rsidRPr="00B44C45">
        <w:rPr>
          <w:rStyle w:val="Style1Char"/>
          <w:rtl/>
        </w:rPr>
        <w:t>ג חוץ מאם העידו על כהן שהוא בן גרושה או בן חלוצה שאז לוקין לפי שא"א לקיים בהם ועשיתם לו כאשר זמם וכן אם העידו באחד שהרג שוגג ובאו לחייבו גלות והוזמו או שהעידו באחד בשור המועד שלו שהרג ובאו לחייבו כופר והוזמו או שהעידו באחד שגנב ואין לו לשלם ובאו לחייבו להיותו נמכר בגנבתו והוזמו באחד מכל אלו לוקין:</w:t>
      </w:r>
    </w:p>
    <w:p w14:paraId="01A07A43" w14:textId="77777777" w:rsidR="00CD13D4" w:rsidRPr="00B44C45" w:rsidRDefault="00CD13D4" w:rsidP="00CD13D4">
      <w:pPr>
        <w:pStyle w:val="Style1"/>
        <w:rPr>
          <w:rStyle w:val="Style1Char"/>
        </w:rPr>
      </w:pPr>
      <w:r w:rsidRPr="00B44C45">
        <w:rPr>
          <w:rStyle w:val="Style1Char"/>
          <w:rtl/>
        </w:rPr>
        <w:t>ד ומה שמתחייבין הניזמין אינו אלא קנס לפיכך אין משלמין על פי עצמן שאם אמרו העדנו בב"ד פלוני והוזמנו אינן חייבין אבל אם אמרו הוזמנו בב"ד פלוני ונתחייבנו ליתן לו כך וכך הרי אלו משלמין שזה ממון גמור הוא כיון שכבר נתחייבו בו בב"ד:</w:t>
      </w:r>
    </w:p>
    <w:p w14:paraId="047F12D1" w14:textId="77777777" w:rsidR="00CD13D4" w:rsidRPr="00B44C45" w:rsidRDefault="00CD13D4" w:rsidP="00CD13D4">
      <w:pPr>
        <w:pStyle w:val="Style1"/>
        <w:rPr>
          <w:rStyle w:val="Style1Char"/>
        </w:rPr>
      </w:pPr>
      <w:r w:rsidRPr="00B44C45">
        <w:rPr>
          <w:rStyle w:val="Style1Char"/>
          <w:rtl/>
        </w:rPr>
        <w:t>ה אבל אם אמרו עדים שקר העדנו כתב ר"ח לא מיבעיא שאין משלמין ע"פ עצמן אלא אפי' העדות שהעידו נכונה חשבינן ליה ומתקיימת שכיון שהגיד שוב אינו חוזר ומגיד:</w:t>
      </w:r>
    </w:p>
    <w:p w14:paraId="1A01916E" w14:textId="77777777" w:rsidR="00CD13D4" w:rsidRPr="00B44C45" w:rsidRDefault="00CD13D4" w:rsidP="00CD13D4">
      <w:pPr>
        <w:pStyle w:val="Style1"/>
        <w:rPr>
          <w:rStyle w:val="Style1Char"/>
        </w:rPr>
      </w:pPr>
      <w:r w:rsidRPr="00B44C45">
        <w:rPr>
          <w:rStyle w:val="Style1Char"/>
          <w:rtl/>
        </w:rPr>
        <w:t>ו ומה יש בין הכחשה להזמה הכחשה אינה בגוף העדים אלא שמכחישין אותן שאלו אומרים פלוני לוה מפלוני ואלו אומרים יודעין אנו שלא לוה כי היינו אצלו כל היום וראינו שלא לוה</w:t>
      </w:r>
      <w:r>
        <w:rPr>
          <w:rStyle w:val="Style1Char"/>
          <w:rFonts w:hint="cs"/>
          <w:rtl/>
        </w:rPr>
        <w:t xml:space="preserve"> </w:t>
      </w:r>
      <w:r w:rsidRPr="00B44C45">
        <w:rPr>
          <w:rStyle w:val="Style1Char"/>
          <w:rtl/>
        </w:rPr>
        <w:t>והזמה בגוף העדים שאומר באותו שעה שאתם אומרים שלוה הייתם עמנו:</w:t>
      </w:r>
    </w:p>
    <w:p w14:paraId="4934DC18" w14:textId="77777777" w:rsidR="00CD13D4" w:rsidRPr="00B44C45" w:rsidRDefault="00CD13D4" w:rsidP="00CD13D4">
      <w:pPr>
        <w:pStyle w:val="Style1"/>
        <w:rPr>
          <w:rStyle w:val="Style1Char"/>
        </w:rPr>
      </w:pPr>
      <w:r w:rsidRPr="00B44C45">
        <w:rPr>
          <w:rStyle w:val="Style1Char"/>
          <w:rtl/>
        </w:rPr>
        <w:t>ז ומפני זה האחרונים נאמנין כיון שמעידין על גופן של העדים והוי כאלו העידו עליהן שהרגו הנפש או שחללו שבת והן אינן נאמנין על עצמן לומר לא עשינו כך וכך:</w:t>
      </w:r>
    </w:p>
    <w:p w14:paraId="0BEC68F5" w14:textId="77777777" w:rsidR="00CD13D4" w:rsidRPr="00B44C45" w:rsidRDefault="00CD13D4" w:rsidP="00CD13D4">
      <w:pPr>
        <w:pStyle w:val="Style1"/>
        <w:rPr>
          <w:rStyle w:val="Style1Char"/>
        </w:rPr>
      </w:pPr>
      <w:r w:rsidRPr="00B44C45">
        <w:rPr>
          <w:rStyle w:val="Style1Char"/>
          <w:rtl/>
        </w:rPr>
        <w:t>ח ואפי' היו הראשונים ק' נאמנין אלו עליהן להורגם בין אם העידו המאה בבת אחת בין אם העידו בזה אחר זה שנים אחר שנים ואלו המזימין הזימו כל כת וכת בזה אחר זה:</w:t>
      </w:r>
    </w:p>
    <w:p w14:paraId="07833BB3" w14:textId="77777777" w:rsidR="00CD13D4" w:rsidRPr="00B44C45" w:rsidRDefault="00CD13D4" w:rsidP="00CD13D4">
      <w:pPr>
        <w:pStyle w:val="Style1"/>
        <w:rPr>
          <w:rStyle w:val="Style1Char"/>
        </w:rPr>
      </w:pPr>
      <w:r w:rsidRPr="00B44C45">
        <w:rPr>
          <w:rStyle w:val="Style1Char"/>
          <w:rtl/>
        </w:rPr>
        <w:t>ט עדים זוממין אין צריכין התראה:</w:t>
      </w:r>
    </w:p>
    <w:p w14:paraId="5095FA73" w14:textId="77777777" w:rsidR="00CD13D4" w:rsidRPr="00B44C45" w:rsidRDefault="00CD13D4" w:rsidP="00CD13D4">
      <w:pPr>
        <w:pStyle w:val="Style1"/>
        <w:rPr>
          <w:rStyle w:val="Style1Char"/>
        </w:rPr>
      </w:pPr>
      <w:r w:rsidRPr="00B44C45">
        <w:rPr>
          <w:rStyle w:val="Style1Char"/>
          <w:rtl/>
        </w:rPr>
        <w:t>י ואין מזימין אותן אלא בפניהם:</w:t>
      </w:r>
    </w:p>
    <w:p w14:paraId="24B5DF00" w14:textId="77777777" w:rsidR="00CD13D4" w:rsidRPr="00B44C45" w:rsidRDefault="00CD13D4" w:rsidP="00CD13D4">
      <w:pPr>
        <w:pStyle w:val="Style1"/>
        <w:rPr>
          <w:rStyle w:val="Style1Char"/>
        </w:rPr>
      </w:pPr>
      <w:r w:rsidRPr="00B44C45">
        <w:rPr>
          <w:rStyle w:val="Style1Char"/>
          <w:rtl/>
        </w:rPr>
        <w:t>יא אבל מכחישין אותן אפילו שלא בפניהם:</w:t>
      </w:r>
    </w:p>
    <w:p w14:paraId="7038D8F1" w14:textId="77777777" w:rsidR="00CD13D4" w:rsidRPr="00B44C45" w:rsidRDefault="00CD13D4" w:rsidP="00CD13D4">
      <w:pPr>
        <w:pStyle w:val="Style1"/>
        <w:rPr>
          <w:rStyle w:val="Style1Char"/>
        </w:rPr>
      </w:pPr>
      <w:r w:rsidRPr="00B44C45">
        <w:rPr>
          <w:rStyle w:val="Style1Char"/>
          <w:rtl/>
        </w:rPr>
        <w:t>יב ואם הוכחשו ואח"כ הוזמו לוקין או משלמין שהכחשה תחלת הזמה היא:</w:t>
      </w:r>
    </w:p>
    <w:p w14:paraId="4FE77C80" w14:textId="77777777" w:rsidR="00CD13D4" w:rsidRPr="00B44C45" w:rsidRDefault="00CD13D4" w:rsidP="00CD13D4">
      <w:pPr>
        <w:pStyle w:val="Style1"/>
        <w:rPr>
          <w:rStyle w:val="Style1Char"/>
        </w:rPr>
      </w:pPr>
      <w:r w:rsidRPr="00B44C45">
        <w:rPr>
          <w:rStyle w:val="Style1Char"/>
          <w:rtl/>
        </w:rPr>
        <w:t>יג והזמה שלא בפניהם אף על פי שאינה הזמה הכחשה מיהא הוי לבטל עדותן:</w:t>
      </w:r>
    </w:p>
    <w:p w14:paraId="7EA02A84" w14:textId="77777777" w:rsidR="00CD13D4" w:rsidRPr="00B44C45" w:rsidRDefault="00CD13D4" w:rsidP="00CD13D4">
      <w:pPr>
        <w:pStyle w:val="Style1"/>
        <w:rPr>
          <w:rStyle w:val="Style1Char"/>
        </w:rPr>
      </w:pPr>
      <w:r w:rsidRPr="00B44C45">
        <w:rPr>
          <w:rStyle w:val="Style1Char"/>
          <w:rtl/>
        </w:rPr>
        <w:t>יד אין העדים זוממין לוקין או משלמין עד שיהו כולם כשרים ראוים להעיד ויגמר הדין על פיהם ויוזמו כולם אפי' מאה אף על פי שהעדות מתקיים אפי' בב' אין חייבין עד שיוזמו כולם והוא שהעיד כל אחד ואחד תוך כדי דבור של חבירו או שאמר אחר עדות חבירו ואני כמותך</w:t>
      </w:r>
      <w:r>
        <w:rPr>
          <w:rStyle w:val="Style1Char"/>
          <w:rFonts w:hint="cs"/>
          <w:rtl/>
        </w:rPr>
        <w:t xml:space="preserve"> </w:t>
      </w:r>
      <w:r w:rsidRPr="00B44C45">
        <w:rPr>
          <w:rStyle w:val="Style1Char"/>
          <w:rtl/>
        </w:rPr>
        <w:t>אבל אם יש ביניהם הפסק יותר מכדי דבור אז נחלקה העדות והשנים שהוזמו נענשים והאחרונים שהיה הפסק ביניהן ובין דברי הראשונים אינן נענשין אף ע"פ שכל העדות בטילה וכתב הר"ר ישעיה מה שצריך שיעידו כולם בתכ"ד זהו דוקא כשהעידו מאליהם בלא התראת הדיינין לומר להם למיחזי קאתיתו או לאסהודי קא אתיתו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 ודוקא בשאר העדים בעינן שיעידו תכ"ד לצרפם עם ב' הראשונים אבל בשנים הראשונים אף על פי שהפסיקו בין זה לזה אין בכך כלום אבל אם לא הוזמו כולם או שהוזמו קודם שנגמר הדין על פיהם או שנמצא אחד מהן קרוב או פסול פטורין:</w:t>
      </w:r>
    </w:p>
    <w:p w14:paraId="618BF8FF" w14:textId="77777777" w:rsidR="00CD13D4" w:rsidRPr="00B44C45" w:rsidRDefault="00CD13D4" w:rsidP="00CD13D4">
      <w:pPr>
        <w:pStyle w:val="Style1"/>
        <w:rPr>
          <w:rStyle w:val="Style1Char"/>
        </w:rPr>
      </w:pPr>
      <w:r w:rsidRPr="00B44C45">
        <w:rPr>
          <w:rStyle w:val="Style1Char"/>
          <w:rtl/>
        </w:rPr>
        <w:lastRenderedPageBreak/>
        <w:t>טו העידו שנים פלוני לוה מפלוני מנה במזרח הבירה ובאו שנים ואמרו עמנו הייתם במערב הבירה אם העומד במערב הבירה יכול להביט מה שעושין במזרחה אינן זוממין ואם לאו זוממין הם ואין אומרים מאור עיניהם של ראשונים גדול והביטו מרחוק יותר משאר כל אדם. וכן אם אמרו פלוני לוה מפלוני מנה בסוריא ביום פלוני בבקר ובאו שנים ואמרו באותו יום הייתם עמנו בנהרדעא בערב אם אדם יכול לרוץ בסוס מסוריא לנהרדעא מבוקר עד ערב אינם זוממין ואם לאו זוממין הם ואין אומרים שמא נזדמן להם סוס רץ יותר מבדרך העולם ובאו בו ביום אלא משערים כפי דרך העולם ולא יותר:</w:t>
      </w:r>
    </w:p>
    <w:p w14:paraId="51DC2FF8" w14:textId="77777777" w:rsidR="00CD13D4" w:rsidRPr="00B44C45" w:rsidRDefault="00CD13D4" w:rsidP="00CD13D4">
      <w:pPr>
        <w:pStyle w:val="Style1"/>
        <w:rPr>
          <w:rStyle w:val="Style1Char"/>
        </w:rPr>
      </w:pPr>
      <w:r w:rsidRPr="00B44C45">
        <w:rPr>
          <w:rStyle w:val="Style1Char"/>
          <w:rtl/>
        </w:rPr>
        <w:t>טז שנים שהעידו באחד שגירש את אישתו ובאו לחייבו ליתן לה כתובתה והוזמו אין חייבים לפרוע לו כל הכתובה שהרי אף לפי מה שהוזמו נשאר עליו חיוב הכתובה לכשתתאלמן או שתתגרש אלא אומדין כמה אדם רוצה ליתן בכתובתה של זאת אם היתה עומדת לגבות מיד ורואין כמה היא שוה מי שבא לקנותה מספק אם תתאלמן או תתגרש ומאי דבינו ביני יתנו הם לבעל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 וגם שמין לפי מה שהיא השדה המיוחדת לכתובתה אם היא עידית או בינונית או זיבורית:</w:t>
      </w:r>
    </w:p>
    <w:p w14:paraId="07291510" w14:textId="77777777" w:rsidR="00CD13D4" w:rsidRPr="00B44C45" w:rsidRDefault="00CD13D4" w:rsidP="00CD13D4">
      <w:pPr>
        <w:pStyle w:val="Style1"/>
        <w:rPr>
          <w:rStyle w:val="Style1Char"/>
        </w:rPr>
      </w:pPr>
      <w:r w:rsidRPr="00B44C45">
        <w:rPr>
          <w:rStyle w:val="Style1Char"/>
          <w:rtl/>
        </w:rPr>
        <w:t>יז העידו באחד שחייב לחבירו מנה ליתנו לו לאחר שלשים יום והוא אומר שאינו חייב ליתנו לו אלא לאחר חמשה שנים והוזמו אומדים כמה אדם רוצה ליתן וישאר מנה בידו מל' יום ואילך על תשלום חמשה שנים וכך יתנו לו וכן כל כיוצא בזה:</w:t>
      </w:r>
    </w:p>
    <w:p w14:paraId="4E19C3BB" w14:textId="77777777" w:rsidR="00CD13D4" w:rsidRPr="00B44C45" w:rsidRDefault="00CD13D4" w:rsidP="00CD13D4">
      <w:pPr>
        <w:pStyle w:val="Style1"/>
        <w:rPr>
          <w:rStyle w:val="Style1Char"/>
        </w:rPr>
      </w:pPr>
      <w:r w:rsidRPr="00B44C45">
        <w:rPr>
          <w:rStyle w:val="Style1Char"/>
          <w:rtl/>
        </w:rPr>
        <w:t>יח שנים שהעידו לאחד שהחזיק בשדה חבירו ג' שנים והוזמו משלמין לבעל השדה כל דמי השדה:</w:t>
      </w:r>
    </w:p>
    <w:p w14:paraId="4D76AA42" w14:textId="77777777" w:rsidR="00CD13D4" w:rsidRPr="00B44C45" w:rsidRDefault="00CD13D4" w:rsidP="00CD13D4">
      <w:pPr>
        <w:pStyle w:val="Style1"/>
        <w:rPr>
          <w:rStyle w:val="Style1Char"/>
        </w:rPr>
      </w:pPr>
      <w:r w:rsidRPr="00B44C45">
        <w:rPr>
          <w:rStyle w:val="Style1Char"/>
          <w:rtl/>
        </w:rPr>
        <w:t>יט העידו שנים שאכלה שנה ראשונה ושנים העידו על שנה שנייה ושנים העידו על שנה השלישית והוזמו משלשין ביניהן כל כת וכת השליש:</w:t>
      </w:r>
    </w:p>
    <w:p w14:paraId="5C6E9133" w14:textId="54A7C2B7" w:rsidR="00CD13D4" w:rsidRDefault="00CD13D4" w:rsidP="00CD13D4">
      <w:pPr>
        <w:pStyle w:val="Style1"/>
        <w:rPr>
          <w:rStyle w:val="Style1Char"/>
          <w:rtl/>
        </w:rPr>
      </w:pPr>
      <w:r w:rsidRPr="00B44C45">
        <w:rPr>
          <w:rStyle w:val="Style1Char"/>
          <w:rtl/>
        </w:rPr>
        <w:t>לפיכך ג' אחין ואחד מצטרף עם כל אחד ואחד מהם והעידו שנה שנה שנה הרי אלו שלשה עדיות ותתקיים בהם החזקה והם כעדות אחת לענין הזמה שאם הוזמו כולם שלשת האחים משלמים דמי חצי השדה וזה שנצטרף עם כל אחד ואחד משלם החצי האחר:</w:t>
      </w:r>
    </w:p>
    <w:p w14:paraId="42E5C8C9" w14:textId="163B4872" w:rsidR="00245505" w:rsidRDefault="00245505" w:rsidP="00245505">
      <w:pPr>
        <w:pStyle w:val="Style1"/>
        <w:rPr>
          <w:rStyle w:val="Style1Char"/>
          <w:rtl/>
        </w:rPr>
      </w:pPr>
      <w:r>
        <w:rPr>
          <w:rStyle w:val="Style1Char"/>
          <w:rFonts w:hint="cs"/>
          <w:rtl/>
        </w:rPr>
        <w:t>5)[</w:t>
      </w:r>
      <w:r w:rsidRPr="00245505">
        <w:rPr>
          <w:rStyle w:val="Style1Char"/>
          <w:rtl/>
        </w:rPr>
        <w:t>רמב</w:t>
      </w:r>
      <w:r w:rsidR="0057095E">
        <w:rPr>
          <w:rStyle w:val="Style1Char"/>
          <w:rtl/>
        </w:rPr>
        <w:t>”ם \שופטים\</w:t>
      </w:r>
      <w:r w:rsidRPr="00245505">
        <w:rPr>
          <w:rStyle w:val="Style1Char"/>
          <w:rtl/>
        </w:rPr>
        <w:t xml:space="preserve"> הלכות עדות פרק ו הלכה ג</w:t>
      </w:r>
      <w:r>
        <w:rPr>
          <w:rStyle w:val="Style1Char"/>
          <w:rFonts w:hint="cs"/>
          <w:rtl/>
        </w:rPr>
        <w:t xml:space="preserve">] </w:t>
      </w:r>
      <w:r w:rsidRPr="00245505">
        <w:rPr>
          <w:rStyle w:val="Style1Char"/>
          <w:rtl/>
        </w:rPr>
        <w:t>אין מקיימין את השטר משטרות אחרים אלא משני שטרות של שתי שדות שאכלום בעליהן שלש שנים אכילה גלויה נכונה בלא שום יראה ולא פחד מתביעה בעולם כדרך שאוכלין כל בעלי שדות שדותיהן, או משתי שטרי כתובות, והוא שיצאו שני השטרות מתחת ידי אחר לא מתחת ידי זה שרוצה לקיים שטרו שמא הוא זייף הכל, וכן מקיימין השטר משטר שקרא עליו ערער והוחזק בבית דין מקיימין ממנו לבדו כמו שמקיימין משטר שתי שדות או משתי כתובות. /השגת הראב"ד/ וכן מקיימין את השטר וכו'. א"א אין הגירסא שלו כגירסא שלנו עכ"ל.</w:t>
      </w:r>
    </w:p>
    <w:p w14:paraId="0C8C7951" w14:textId="073BC484" w:rsidR="00F51E93" w:rsidRPr="00F51E93" w:rsidRDefault="009A290A" w:rsidP="00F51E93">
      <w:pPr>
        <w:pStyle w:val="Style1"/>
      </w:pPr>
      <w:r>
        <w:rPr>
          <w:rStyle w:val="Style1Char"/>
          <w:rFonts w:hint="cs"/>
          <w:rtl/>
        </w:rPr>
        <w:t>5)[</w:t>
      </w:r>
      <w:r w:rsidRPr="009A290A">
        <w:rPr>
          <w:rStyle w:val="Style1Char"/>
          <w:rtl/>
        </w:rPr>
        <w:t>שולחן ערוך חושן משפט הלכות הלואה סימן מו סעיף ז</w:t>
      </w:r>
      <w:r>
        <w:rPr>
          <w:rStyle w:val="Style1Char"/>
          <w:rFonts w:hint="cs"/>
          <w:rtl/>
        </w:rPr>
        <w:t>]</w:t>
      </w:r>
      <w:r w:rsidR="00F51E93">
        <w:rPr>
          <w:rStyle w:val="Style1Char"/>
          <w:rFonts w:hint="cs"/>
          <w:rtl/>
        </w:rPr>
        <w:t xml:space="preserve"> </w:t>
      </w:r>
      <w:r w:rsidR="00F51E93" w:rsidRPr="00F51E93">
        <w:rPr>
          <w:rtl/>
        </w:rPr>
        <w:t>בא' מה' דרכים מתקיים השטר</w:t>
      </w:r>
      <w:r w:rsidR="00F51E93" w:rsidRPr="00F51E93">
        <w:t>.</w:t>
      </w:r>
    </w:p>
    <w:p w14:paraId="0416D280" w14:textId="77777777" w:rsidR="00F51E93" w:rsidRPr="00F51E93" w:rsidRDefault="00F51E93" w:rsidP="00F51E93">
      <w:pPr>
        <w:pStyle w:val="Style1"/>
      </w:pPr>
      <w:r w:rsidRPr="00F51E93">
        <w:rPr>
          <w:rtl/>
        </w:rPr>
        <w:t>האחד שיהיו הדיינים מכירים כתב ידי העדים</w:t>
      </w:r>
    </w:p>
    <w:p w14:paraId="7A962335" w14:textId="77777777" w:rsidR="00F51E93" w:rsidRPr="00F51E93" w:rsidRDefault="00F51E93" w:rsidP="00F51E93">
      <w:pPr>
        <w:pStyle w:val="Style1"/>
      </w:pPr>
      <w:r w:rsidRPr="00F51E93">
        <w:rPr>
          <w:rtl/>
        </w:rPr>
        <w:t>השני שיחתמו העדים בפניהם</w:t>
      </w:r>
    </w:p>
    <w:p w14:paraId="6CD1969F" w14:textId="77777777" w:rsidR="00F51E93" w:rsidRPr="00F51E93" w:rsidRDefault="00F51E93" w:rsidP="00F51E93">
      <w:pPr>
        <w:pStyle w:val="Style1"/>
      </w:pPr>
      <w:r w:rsidRPr="00F51E93">
        <w:rPr>
          <w:rtl/>
        </w:rPr>
        <w:t>הג' שיבואו העדים החתומים בו ויאמר </w:t>
      </w:r>
      <w:r w:rsidRPr="00F51E93">
        <w:rPr>
          <w:rFonts w:hint="cs"/>
        </w:rPr>
        <w:t>(</w:t>
      </w:r>
      <w:r w:rsidRPr="00F51E93">
        <w:rPr>
          <w:rFonts w:hint="cs"/>
          <w:rtl/>
        </w:rPr>
        <w:t>כל אחד</w:t>
      </w:r>
      <w:r w:rsidRPr="00F51E93">
        <w:rPr>
          <w:rFonts w:hint="cs"/>
        </w:rPr>
        <w:t>)</w:t>
      </w:r>
      <w:r w:rsidRPr="00F51E93">
        <w:t> </w:t>
      </w:r>
      <w:r w:rsidRPr="00F51E93">
        <w:rPr>
          <w:rtl/>
        </w:rPr>
        <w:t>זה כתב ידי ואני עד בדבר הזה</w:t>
      </w:r>
    </w:p>
    <w:p w14:paraId="3F8C4108" w14:textId="77777777" w:rsidR="00F51E93" w:rsidRPr="00F51E93" w:rsidRDefault="00F51E93" w:rsidP="00F51E93">
      <w:pPr>
        <w:pStyle w:val="Style1"/>
      </w:pPr>
      <w:r w:rsidRPr="00F51E93">
        <w:rPr>
          <w:rtl/>
        </w:rPr>
        <w:t>הרביעי שיבואו עדים ויעידו שזה כתב ידם של אלו </w:t>
      </w:r>
      <w:r w:rsidRPr="00F51E93">
        <w:rPr>
          <w:rFonts w:hint="cs"/>
          <w:rtl/>
        </w:rPr>
        <w:t>(ויכולין להעיד עדות זה מתוך כתבם ואינן צריכין להעיד בפיהם) (ריב"ש סי' שפ"ב ותי"ג)</w:t>
      </w:r>
    </w:p>
    <w:p w14:paraId="02A79FB5" w14:textId="77777777" w:rsidR="00F51E93" w:rsidRPr="00F51E93" w:rsidRDefault="00F51E93" w:rsidP="00F51E93">
      <w:pPr>
        <w:pStyle w:val="Style1"/>
      </w:pPr>
      <w:r w:rsidRPr="00F51E93">
        <w:rPr>
          <w:rtl/>
        </w:rPr>
        <w:t>החמישי שיהא כתב ידם יוצא משטרות אחרות ועורכים ב"ד זה הכתב לאותו הכתב שבשטרות אחרות ויראה להם שכתב ידי אלו הוא כתב ידי אלו</w:t>
      </w:r>
      <w:r w:rsidRPr="00F51E93">
        <w:t>.</w:t>
      </w:r>
    </w:p>
    <w:p w14:paraId="73A6A763" w14:textId="77777777" w:rsidR="00F51E93" w:rsidRPr="00F51E93" w:rsidRDefault="00F51E93" w:rsidP="00F51E93">
      <w:pPr>
        <w:pStyle w:val="Style1"/>
      </w:pPr>
      <w:r w:rsidRPr="00F51E93">
        <w:rPr>
          <w:rtl/>
        </w:rPr>
        <w:t>ואין מקיימים השטר משטרות אחרות אלא מב' שטרות של ב' שדות שאכלום בעליהם שלש שנים אכילה גלויה נכונה בלא שום יראה ולא פחד מתביעה בעולם כדרך שאכלום כל בעלי שדות שדותיהם או משתי שטרי כתובות והוא שיצאו השני השטרות מתחת יד אחר לא מתחת ידי זה (שרוצה) לקיים שטרו שמא הוא זייף הכל </w:t>
      </w:r>
      <w:r w:rsidRPr="00F51E93">
        <w:rPr>
          <w:rFonts w:hint="cs"/>
          <w:rtl/>
        </w:rPr>
        <w:t>אפילו אם ב' השטרות מקויימים אין מקיימין מהם אם יוצאין מתחת ידו (טור וב"י בשם רש"י). ויש חולקין (ר"ן לדעת הרמב"ם)</w:t>
      </w:r>
      <w:r w:rsidRPr="00F51E93">
        <w:t>.</w:t>
      </w:r>
    </w:p>
    <w:p w14:paraId="5B70697E" w14:textId="77777777" w:rsidR="00F51E93" w:rsidRPr="00F51E93" w:rsidRDefault="00F51E93" w:rsidP="00F51E93">
      <w:pPr>
        <w:pStyle w:val="Style1"/>
      </w:pPr>
      <w:r w:rsidRPr="00F51E93">
        <w:rPr>
          <w:rtl/>
        </w:rPr>
        <w:t>וכן מקיימים השטר משטר שקרא עליו ערער </w:t>
      </w:r>
      <w:r w:rsidRPr="00F51E93">
        <w:rPr>
          <w:rFonts w:hint="cs"/>
        </w:rPr>
        <w:t>(</w:t>
      </w:r>
      <w:r w:rsidRPr="00F51E93">
        <w:rPr>
          <w:rFonts w:hint="cs"/>
          <w:rtl/>
        </w:rPr>
        <w:t>וי"א דאפי' לא קרא עליו ערער רק שמקויים כדלקמן סעיף ל"ז</w:t>
      </w:r>
      <w:r w:rsidRPr="00F51E93">
        <w:rPr>
          <w:rFonts w:hint="cs"/>
        </w:rPr>
        <w:t>)</w:t>
      </w:r>
      <w:r w:rsidRPr="00F51E93">
        <w:t> </w:t>
      </w:r>
      <w:r w:rsidRPr="00F51E93">
        <w:rPr>
          <w:rtl/>
        </w:rPr>
        <w:t>והוחזק בב"ד מקיימים ממנו לבדו כמו שמקיימים משטרי שתי שרות או שתי כתובות</w:t>
      </w:r>
    </w:p>
    <w:p w14:paraId="028BE02B" w14:textId="2EB31165" w:rsidR="00F51E93" w:rsidRDefault="00F51E93" w:rsidP="00F51E93">
      <w:pPr>
        <w:pStyle w:val="Style1"/>
        <w:rPr>
          <w:rtl/>
        </w:rPr>
      </w:pPr>
      <w:r w:rsidRPr="00F51E93">
        <w:rPr>
          <w:rFonts w:hint="cs"/>
          <w:rtl/>
        </w:rPr>
        <w:t>הגה: וי"א דמקיימים חתימה מספר שכתב אבל לא מאיגרת שכתב (ריב"ש סי' קל"ו) וי"א דאפי' מספר אין מקיימים אא"כ חתם שמו בסוף דאז מקיימים מחתימתו (ר"ן פ"ב דכתובות)</w:t>
      </w:r>
      <w:r w:rsidRPr="00F51E93">
        <w:t>:</w:t>
      </w:r>
    </w:p>
    <w:p w14:paraId="26AF29E8" w14:textId="53C59115" w:rsidR="00115283" w:rsidRDefault="00115283" w:rsidP="00115283">
      <w:pPr>
        <w:pStyle w:val="Style1"/>
        <w:rPr>
          <w:rtl/>
        </w:rPr>
      </w:pPr>
      <w:r>
        <w:rPr>
          <w:rFonts w:hint="cs"/>
          <w:rtl/>
        </w:rPr>
        <w:t>6)[</w:t>
      </w:r>
      <w:r>
        <w:rPr>
          <w:rtl/>
        </w:rPr>
        <w:t>רמב</w:t>
      </w:r>
      <w:r w:rsidR="0057095E">
        <w:rPr>
          <w:rtl/>
        </w:rPr>
        <w:t>”ם \שופטים\</w:t>
      </w:r>
      <w:r>
        <w:rPr>
          <w:rtl/>
        </w:rPr>
        <w:t xml:space="preserve"> הלכות עדות פרק ח הלכה א</w:t>
      </w:r>
      <w:r>
        <w:rPr>
          <w:rFonts w:hint="cs"/>
          <w:rtl/>
        </w:rPr>
        <w:t xml:space="preserve">] </w:t>
      </w:r>
      <w:r>
        <w:rPr>
          <w:rtl/>
        </w:rPr>
        <w:t>מי שחתם על השטר ובא להעיד על כתב ידו בבית דין והכיר כתב ידו שזהו בודאי אבל אינו זוכר העדות כלל ולא ימצא בלבו זכרון כלל שזה לוה מזה לעולם, הרי זה אסור להעיד על כתב ידו שהוא זה בבית דין, שאין אדם מעיד על כתב ידו שהוא זה אלא על הממון שבשטר הוא מעיד שזה חייב לזה, וכתב ידו הוא כדי להזכירו הדבר אבל אם לא נזכר לא יעיד.</w:t>
      </w:r>
    </w:p>
    <w:p w14:paraId="75054596" w14:textId="29F6FC52" w:rsidR="00FF480E" w:rsidRDefault="00FF480E" w:rsidP="00FF480E">
      <w:pPr>
        <w:pStyle w:val="Style1"/>
        <w:rPr>
          <w:rtl/>
        </w:rPr>
      </w:pPr>
      <w:r>
        <w:rPr>
          <w:rFonts w:hint="cs"/>
          <w:rtl/>
        </w:rPr>
        <w:t>6)[</w:t>
      </w:r>
      <w:r>
        <w:rPr>
          <w:rtl/>
        </w:rPr>
        <w:t>שולחן ערוך חושן משפט הלכות עדות סימן כח סעיף יג</w:t>
      </w:r>
      <w:r>
        <w:rPr>
          <w:rFonts w:hint="cs"/>
          <w:rtl/>
        </w:rPr>
        <w:t>]</w:t>
      </w:r>
      <w:r w:rsidR="00711615">
        <w:rPr>
          <w:rFonts w:hint="cs"/>
          <w:rtl/>
        </w:rPr>
        <w:t xml:space="preserve"> </w:t>
      </w:r>
      <w:r w:rsidR="00711615" w:rsidRPr="00711615">
        <w:rPr>
          <w:rtl/>
        </w:rPr>
        <w:t>כל זמן שזוכר האדם יכול להעיד לעולם ואינו חושש שמא מתוך שנתיישן הדבר הרבה אינו זוכרו על בוריו אפי' אינו נזכר לעדות אלא מתוך הכתב שכשמסרוהו לו כתבו בפנקסו לזכרון דברים ושכח הדבר ואינו נזכר אלא מתוך הכתב יכול להעיד והוא שאחר שראה הכתב נזכר לדבר</w:t>
      </w:r>
      <w:r w:rsidR="00711615" w:rsidRPr="00711615">
        <w:t>. </w:t>
      </w:r>
      <w:r w:rsidR="00711615" w:rsidRPr="00711615">
        <w:rPr>
          <w:rFonts w:hint="cs"/>
        </w:rPr>
        <w:t>(</w:t>
      </w:r>
      <w:r w:rsidR="00711615" w:rsidRPr="00711615">
        <w:rPr>
          <w:rFonts w:hint="cs"/>
          <w:rtl/>
        </w:rPr>
        <w:t>וע' לקמן </w:t>
      </w:r>
      <w:hyperlink r:id="rId42" w:anchor="%D7%A1%D7%A2%D7%99%D7%A3_%D7%99" w:tooltip="שולחן ערוך חושן משפט מו" w:history="1">
        <w:r w:rsidR="00711615" w:rsidRPr="00711615">
          <w:rPr>
            <w:rFonts w:hint="cs"/>
            <w:rtl/>
          </w:rPr>
          <w:t>סי' מ"ו סעיף י</w:t>
        </w:r>
        <w:r w:rsidR="00711615" w:rsidRPr="00711615">
          <w:rPr>
            <w:rFonts w:hint="cs"/>
          </w:rPr>
          <w:t>'</w:t>
        </w:r>
      </w:hyperlink>
      <w:r w:rsidR="00711615" w:rsidRPr="00711615">
        <w:rPr>
          <w:rFonts w:hint="cs"/>
        </w:rPr>
        <w:t>)</w:t>
      </w:r>
      <w:r w:rsidR="00711615" w:rsidRPr="00711615">
        <w:t>:</w:t>
      </w:r>
    </w:p>
    <w:p w14:paraId="033A9EB3" w14:textId="22363AC9" w:rsidR="00FB02C7" w:rsidRDefault="00FB02C7" w:rsidP="00FB02C7">
      <w:pPr>
        <w:pStyle w:val="Style1"/>
        <w:rPr>
          <w:rtl/>
        </w:rPr>
      </w:pPr>
      <w:r>
        <w:rPr>
          <w:rFonts w:hint="cs"/>
          <w:rtl/>
        </w:rPr>
        <w:t>7)[</w:t>
      </w:r>
      <w:r>
        <w:rPr>
          <w:rtl/>
        </w:rPr>
        <w:t>רמב</w:t>
      </w:r>
      <w:r w:rsidR="0057095E">
        <w:rPr>
          <w:rtl/>
        </w:rPr>
        <w:t>”ם \שופטים\</w:t>
      </w:r>
      <w:r>
        <w:rPr>
          <w:rtl/>
        </w:rPr>
        <w:t xml:space="preserve"> הלכות עדות פרק ח הלכה ב</w:t>
      </w:r>
      <w:r>
        <w:rPr>
          <w:rFonts w:hint="cs"/>
          <w:rtl/>
        </w:rPr>
        <w:t xml:space="preserve">] </w:t>
      </w:r>
      <w:r>
        <w:rPr>
          <w:rtl/>
        </w:rPr>
        <w:t>אחד הזוכר את העדות ואחד שראה כתב ידו או שהזכירוהו אחרים ונזכר, אפילו הזכירו העד השני שהעיד אם נזכר הרי זה מעיד, אבל אם הזכיר אותו התובע עצמו אף על פי שנזכר אינו מעיד מפני שזה דומה בעיני בעל דין כאילו העיד שקר בדבר שלא ידע.</w:t>
      </w:r>
    </w:p>
    <w:p w14:paraId="29674270" w14:textId="582D4EA3" w:rsidR="00D50009" w:rsidRPr="002C00EE" w:rsidRDefault="00D50009" w:rsidP="00D50009">
      <w:pPr>
        <w:pStyle w:val="Style1"/>
      </w:pPr>
      <w:r>
        <w:rPr>
          <w:rFonts w:hint="cs"/>
          <w:rtl/>
        </w:rPr>
        <w:t>7)[</w:t>
      </w:r>
      <w:r>
        <w:rPr>
          <w:rtl/>
        </w:rPr>
        <w:t>שולחן ערוך חושן משפט הלכות עדות סימן כח סעיף יד</w:t>
      </w:r>
      <w:r>
        <w:rPr>
          <w:rFonts w:hint="cs"/>
          <w:rtl/>
        </w:rPr>
        <w:t>]</w:t>
      </w:r>
      <w:r w:rsidR="002C00EE">
        <w:rPr>
          <w:rFonts w:hint="cs"/>
          <w:rtl/>
        </w:rPr>
        <w:t xml:space="preserve"> </w:t>
      </w:r>
      <w:r w:rsidR="002C00EE" w:rsidRPr="002C00EE">
        <w:rPr>
          <w:rtl/>
        </w:rPr>
        <w:t>וכן אם נזכר לדבר ע"י אחר שהזכירו לו יכול להעיד אפי' היה המזכיר העד השני אבל אם הבעל דין בעצמו מזכירו ונזכר לא יעיד ואם העד ת"ח אף אם הבע"ד בעצמו מזכירו שפיר דמי שודאי אי לא היה נזכר לא היה מעיד</w:t>
      </w:r>
      <w:r w:rsidR="002C00EE" w:rsidRPr="002C00EE">
        <w:t>:</w:t>
      </w:r>
    </w:p>
    <w:p w14:paraId="5265C5DD" w14:textId="52A487EB" w:rsidR="00D50009" w:rsidRPr="00711615" w:rsidRDefault="00D50009" w:rsidP="00D50009">
      <w:pPr>
        <w:pStyle w:val="Style1"/>
      </w:pPr>
    </w:p>
    <w:p w14:paraId="5DB226E6" w14:textId="78F37796" w:rsidR="00FF480E" w:rsidRPr="00F51E93" w:rsidRDefault="00FF480E" w:rsidP="00FF480E">
      <w:pPr>
        <w:pStyle w:val="Style1"/>
      </w:pPr>
    </w:p>
    <w:p w14:paraId="150FAC22" w14:textId="77777777" w:rsidR="00F51E93" w:rsidRPr="00F51E93" w:rsidRDefault="00F51E93" w:rsidP="00F51E93">
      <w:pPr>
        <w:pStyle w:val="Style1"/>
        <w:rPr>
          <w:rStyle w:val="Style1Char"/>
        </w:rPr>
      </w:pPr>
    </w:p>
    <w:p w14:paraId="60B70B7E" w14:textId="228291FF" w:rsidR="009A290A" w:rsidRPr="00F51E93" w:rsidRDefault="009A290A" w:rsidP="00F51E93">
      <w:pPr>
        <w:pStyle w:val="Style1"/>
        <w:rPr>
          <w:rStyle w:val="Style1Char"/>
        </w:rPr>
      </w:pPr>
    </w:p>
    <w:p w14:paraId="1C32B67C" w14:textId="77777777" w:rsidR="00CD13D4" w:rsidRPr="00F51E93" w:rsidRDefault="00CD13D4" w:rsidP="00F51E93">
      <w:pPr>
        <w:pStyle w:val="Style1"/>
        <w:rPr>
          <w:rtl/>
        </w:rPr>
      </w:pPr>
    </w:p>
    <w:p w14:paraId="6882DFC5" w14:textId="606F1304" w:rsidR="004B7783" w:rsidRPr="00FD2EE2" w:rsidRDefault="004B7783" w:rsidP="004B7783">
      <w:pPr>
        <w:pStyle w:val="Style1"/>
        <w:rPr>
          <w:rStyle w:val="Style1Char"/>
        </w:rPr>
      </w:pPr>
    </w:p>
    <w:p w14:paraId="7E694E45" w14:textId="77777777" w:rsidR="00DA1858" w:rsidRPr="00FD2EE2" w:rsidRDefault="00DA1858" w:rsidP="00FD2EE2">
      <w:pPr>
        <w:pStyle w:val="Style1"/>
        <w:bidi w:val="0"/>
        <w:rPr>
          <w:rStyle w:val="Style1Char"/>
          <w:rtl/>
        </w:rPr>
      </w:pPr>
      <w:r w:rsidRPr="00FD2EE2">
        <w:rPr>
          <w:rStyle w:val="Style1Char"/>
          <w:rtl/>
        </w:rPr>
        <w:br w:type="page"/>
      </w:r>
    </w:p>
    <w:p w14:paraId="28ECBC1B" w14:textId="147EFF73" w:rsidR="00DA1858" w:rsidRPr="0077125B" w:rsidRDefault="00DA1858" w:rsidP="00DA1858">
      <w:pPr>
        <w:bidi/>
        <w:rPr>
          <w:rStyle w:val="Style1Char"/>
          <w:color w:val="4472C4" w:themeColor="accent1"/>
        </w:rPr>
      </w:pPr>
      <w:r w:rsidRPr="00E43986">
        <w:rPr>
          <w:rStyle w:val="Style1Char"/>
          <w:color w:val="auto"/>
          <w:sz w:val="22"/>
          <w:szCs w:val="22"/>
          <w:highlight w:val="yellow"/>
          <w:rtl/>
        </w:rPr>
        <w:lastRenderedPageBreak/>
        <w:t>[דף כ עמוד ב]</w:t>
      </w:r>
      <w:r w:rsidRPr="00E43986">
        <w:rPr>
          <w:rStyle w:val="Style1Char"/>
          <w:color w:val="auto"/>
          <w:sz w:val="22"/>
          <w:szCs w:val="22"/>
          <w:rtl/>
        </w:rPr>
        <w:t xml:space="preserve"> </w:t>
      </w:r>
      <w:r w:rsidR="00D80617">
        <w:rPr>
          <w:rStyle w:val="Style1Char"/>
          <w:rFonts w:hint="cs"/>
          <w:rtl/>
        </w:rPr>
        <w:t>(1)</w:t>
      </w:r>
      <w:r w:rsidRPr="00E43986">
        <w:rPr>
          <w:rStyle w:val="Style1Char"/>
          <w:color w:val="auto"/>
          <w:sz w:val="22"/>
          <w:szCs w:val="22"/>
          <w:rtl/>
        </w:rPr>
        <w:t>ואי צורבא מרבנן הוא, אפילו עצמו. כי הא דרב אשי הוה ידיע ליה בסהדותא לרב כהנא, אמר ליה: מי דכיר מר האי סהדותא? אמר ליה: לא</w:t>
      </w:r>
      <w:r w:rsidRPr="00C40889">
        <w:rPr>
          <w:rStyle w:val="Style1Char"/>
          <w:sz w:val="22"/>
          <w:szCs w:val="22"/>
          <w:rtl/>
        </w:rPr>
        <w:t xml:space="preserve">. </w:t>
      </w:r>
      <w:r w:rsidRPr="00393E79">
        <w:rPr>
          <w:rStyle w:val="Style1Char"/>
          <w:color w:val="806000" w:themeColor="accent4" w:themeShade="80"/>
          <w:sz w:val="22"/>
          <w:szCs w:val="22"/>
          <w:rtl/>
        </w:rPr>
        <w:t xml:space="preserve">אמר ליה </w:t>
      </w:r>
      <w:r w:rsidRPr="00393E79">
        <w:rPr>
          <w:rStyle w:val="Style1Char"/>
          <w:color w:val="auto"/>
          <w:sz w:val="22"/>
          <w:szCs w:val="22"/>
          <w:rtl/>
        </w:rPr>
        <w:t>ולאו הכי והכי הוה?</w:t>
      </w:r>
      <w:r w:rsidRPr="00393E79">
        <w:rPr>
          <w:rStyle w:val="Style1Char"/>
          <w:color w:val="auto"/>
          <w:rtl/>
        </w:rPr>
        <w:t xml:space="preserve"> </w:t>
      </w:r>
      <w:r w:rsidRPr="00393E79">
        <w:rPr>
          <w:rStyle w:val="Style1Char"/>
          <w:color w:val="auto"/>
          <w:sz w:val="22"/>
          <w:szCs w:val="22"/>
          <w:rtl/>
        </w:rPr>
        <w:t xml:space="preserve">א"ל: לא ידענא. לסוף אידכר רב אשי, </w:t>
      </w:r>
      <w:r w:rsidRPr="00393E79">
        <w:rPr>
          <w:rStyle w:val="Style1Char"/>
          <w:color w:val="806000" w:themeColor="accent4" w:themeShade="80"/>
          <w:sz w:val="22"/>
          <w:szCs w:val="22"/>
          <w:rtl/>
        </w:rPr>
        <w:t xml:space="preserve">אזל </w:t>
      </w:r>
      <w:r w:rsidRPr="00393E79">
        <w:rPr>
          <w:rStyle w:val="Style1Char"/>
          <w:color w:val="auto"/>
          <w:sz w:val="22"/>
          <w:szCs w:val="22"/>
          <w:rtl/>
        </w:rPr>
        <w:t>אסהיד ליה. חזייה לרב כהנא דהוה מחסם, א"ל: מי סברת עלך קא סמיכנא? אנא הוא דרמאי אנפשאי ואדכרי.</w:t>
      </w:r>
      <w:r w:rsidRPr="006679A4">
        <w:rPr>
          <w:rStyle w:val="Style1Char"/>
          <w:sz w:val="22"/>
          <w:szCs w:val="22"/>
          <w:rtl/>
        </w:rPr>
        <w:t xml:space="preserve"> </w:t>
      </w:r>
      <w:r w:rsidRPr="0077125B">
        <w:rPr>
          <w:rStyle w:val="Style1Char"/>
          <w:color w:val="4472C4" w:themeColor="accent1"/>
          <w:rtl/>
        </w:rPr>
        <w:t>ואדם הזוכר עדותו יכול להעיד עליה לעולם וא"צ לפקפק ולומר אולי נתישן הדבר כ"כ ואינו זוכרו על בוריו אלא כל כמה דרמי עלה אנפשיה ומידכר יכול להעיד</w:t>
      </w:r>
      <w:r w:rsidRPr="0077125B">
        <w:rPr>
          <w:rStyle w:val="Style1Char"/>
          <w:color w:val="4472C4" w:themeColor="accent1"/>
        </w:rPr>
        <w:t>:</w:t>
      </w:r>
    </w:p>
    <w:p w14:paraId="1CF92836" w14:textId="7EF3D1E6" w:rsidR="00DA1858" w:rsidRPr="00887069" w:rsidRDefault="00DA1858" w:rsidP="00DA1858">
      <w:pPr>
        <w:bidi/>
        <w:rPr>
          <w:rStyle w:val="Style1Char"/>
          <w:color w:val="00B050"/>
        </w:rPr>
      </w:pPr>
      <w:r w:rsidRPr="00887069">
        <w:rPr>
          <w:rStyle w:val="Style1Char"/>
          <w:color w:val="00B050"/>
          <w:rtl/>
        </w:rPr>
        <w:t xml:space="preserve">תנן התם: </w:t>
      </w:r>
      <w:r w:rsidR="00F640C1">
        <w:rPr>
          <w:rStyle w:val="Style1Char"/>
          <w:rFonts w:hint="cs"/>
          <w:rtl/>
        </w:rPr>
        <w:t>(2)</w:t>
      </w:r>
      <w:r w:rsidRPr="00887069">
        <w:rPr>
          <w:rStyle w:val="Style1Char"/>
          <w:color w:val="00B050"/>
          <w:rtl/>
        </w:rPr>
        <w:t xml:space="preserve">התלוליות הקרובות, בין לעיר ובין לדרך, אחד חדשות ואחד ישנות - טמאות; הרחוקות, חדשות - טהורות, ישנות - טמאות. איזוהי קרובה? חמשים אמה, ואיזו היא ישנה? ששים שנה, דברי ר"מ; רבי יהודה אומר: </w:t>
      </w:r>
      <w:r w:rsidR="00C7540B">
        <w:rPr>
          <w:rStyle w:val="Style1Char"/>
          <w:rFonts w:hint="cs"/>
          <w:rtl/>
        </w:rPr>
        <w:t>(2)</w:t>
      </w:r>
      <w:r w:rsidRPr="00887069">
        <w:rPr>
          <w:rStyle w:val="Style1Char"/>
          <w:color w:val="00B050"/>
          <w:rtl/>
        </w:rPr>
        <w:t xml:space="preserve">קרובה - שאין קרובה הימנה, ישנה - שאין אדם זוכרה. מאי עיר ומאי דרך? אילימא עיר - עיר ממש, דרך - דרך ממש, מספיקא מי מחזקינן טומאה? והאמר ריש לקיש: עילה מצאו וטהרו ארץ ישראל! א"ר זירא: </w:t>
      </w:r>
      <w:r w:rsidR="00D805F9">
        <w:rPr>
          <w:rStyle w:val="Style1Char"/>
          <w:rFonts w:hint="cs"/>
          <w:rtl/>
        </w:rPr>
        <w:t>(2)</w:t>
      </w:r>
      <w:r w:rsidRPr="00887069">
        <w:rPr>
          <w:rStyle w:val="Style1Char"/>
          <w:color w:val="00B050"/>
          <w:rtl/>
        </w:rPr>
        <w:t xml:space="preserve">עיר - עיר הסמוכה לבית הקברות, ודרך - דרך בית הקברות. בשלמא דרך בית הקברות, דזמנין דמתרמי בין השמשות ומקרו קברו בתל, אלא עיר הסמוכה לבית הקברות, כולהי לבית הקברות אזלי! אמר רבי חנינא: </w:t>
      </w:r>
      <w:r w:rsidR="005271BA">
        <w:rPr>
          <w:rStyle w:val="Style1Char"/>
          <w:rFonts w:hint="cs"/>
          <w:rtl/>
        </w:rPr>
        <w:t>(2)</w:t>
      </w:r>
      <w:r w:rsidRPr="00887069">
        <w:rPr>
          <w:rStyle w:val="Style1Char"/>
          <w:color w:val="00B050"/>
          <w:rtl/>
        </w:rPr>
        <w:t xml:space="preserve">מתוך שהנשים קוברות שם נפליהן ומוכי שחין זרועותיהם, עד חמשים אמה אזלא איהי לחודה, טפי דברא איניש בהדה ולבית הקברות אזלא, הלכך טומאה בארץ ישראל לא מחזקינן. אמר רב חסדא: ש"מ מרבי מאיר, האי סהדותא, עד שיתין שנין מידכר, טפי לא מידכר. ולא היא, התם הוא דלא רמיא עליה, אבל הכא </w:t>
      </w:r>
      <w:r w:rsidR="005271BA">
        <w:rPr>
          <w:rStyle w:val="Style1Char"/>
          <w:rFonts w:hint="cs"/>
          <w:rtl/>
        </w:rPr>
        <w:t>(3)</w:t>
      </w:r>
      <w:r w:rsidRPr="00887069">
        <w:rPr>
          <w:rStyle w:val="Style1Char"/>
          <w:color w:val="00B050"/>
          <w:rtl/>
        </w:rPr>
        <w:t xml:space="preserve">כיון דרמי עליה - אפילו טובא נמי. </w:t>
      </w:r>
    </w:p>
    <w:p w14:paraId="1D884F46" w14:textId="7D1B8E52" w:rsidR="00DA1858" w:rsidRPr="00D105A9" w:rsidRDefault="00DA1858" w:rsidP="00DA1858">
      <w:pPr>
        <w:bidi/>
        <w:rPr>
          <w:rStyle w:val="Style1Char"/>
          <w:color w:val="auto"/>
          <w:sz w:val="22"/>
          <w:szCs w:val="22"/>
        </w:rPr>
      </w:pPr>
      <w:r w:rsidRPr="00D105A9">
        <w:rPr>
          <w:rStyle w:val="Style1Char"/>
          <w:color w:val="auto"/>
          <w:sz w:val="22"/>
          <w:szCs w:val="22"/>
          <w:rtl/>
        </w:rPr>
        <w:t xml:space="preserve">מתני'. </w:t>
      </w:r>
      <w:r w:rsidR="003909ED">
        <w:rPr>
          <w:rStyle w:val="Style1Char"/>
          <w:rFonts w:hint="cs"/>
          <w:rtl/>
        </w:rPr>
        <w:t>(4)</w:t>
      </w:r>
      <w:r w:rsidRPr="00D105A9">
        <w:rPr>
          <w:rStyle w:val="Style1Char"/>
          <w:color w:val="auto"/>
          <w:sz w:val="22"/>
          <w:szCs w:val="22"/>
          <w:rtl/>
        </w:rPr>
        <w:t xml:space="preserve">זה אומר כתב ידי וזה כתב ידו של חבירי, וזה אומר זה כתב ידי וזה כתב ידו של חבירי - הרי אלו נאמנין. זה אומר זה כתב ידי, וזה אומר זה כתב ידי - צריכין לצרף עמהם אחר, דברי רבי; וחכמים אומרים: אינם צריכין לצרף עמהן אחר, </w:t>
      </w:r>
      <w:r w:rsidR="003909ED">
        <w:rPr>
          <w:rStyle w:val="Style1Char"/>
          <w:rFonts w:hint="cs"/>
          <w:rtl/>
        </w:rPr>
        <w:t>(4)</w:t>
      </w:r>
      <w:r w:rsidRPr="00D105A9">
        <w:rPr>
          <w:rStyle w:val="Style1Char"/>
          <w:color w:val="auto"/>
          <w:sz w:val="22"/>
          <w:szCs w:val="22"/>
          <w:rtl/>
        </w:rPr>
        <w:t xml:space="preserve">אלא נאמן אדם לומר זה כתב ידי. </w:t>
      </w:r>
    </w:p>
    <w:p w14:paraId="1155F7FD" w14:textId="47C9EE43" w:rsidR="00DA1858" w:rsidRDefault="00DA1858" w:rsidP="00DA1858">
      <w:pPr>
        <w:bidi/>
        <w:rPr>
          <w:rStyle w:val="Style1Char"/>
          <w:color w:val="auto"/>
          <w:sz w:val="22"/>
          <w:szCs w:val="22"/>
          <w:rtl/>
        </w:rPr>
      </w:pPr>
      <w:r w:rsidRPr="00F571CA">
        <w:rPr>
          <w:rStyle w:val="Style1Char"/>
          <w:color w:val="auto"/>
          <w:sz w:val="22"/>
          <w:szCs w:val="22"/>
          <w:rtl/>
        </w:rPr>
        <w:t xml:space="preserve">גמ'. כשתימצי לומר, לדברי רבי – </w:t>
      </w:r>
    </w:p>
    <w:p w14:paraId="28C66C63" w14:textId="000070A8" w:rsidR="00955C2C" w:rsidRPr="00955C2C" w:rsidRDefault="00955C2C" w:rsidP="00955C2C">
      <w:pPr>
        <w:pStyle w:val="Style1"/>
        <w:rPr>
          <w:rStyle w:val="Style1Char"/>
          <w:rtl/>
        </w:rPr>
      </w:pPr>
      <w:r>
        <w:rPr>
          <w:rStyle w:val="Style1Char"/>
          <w:rFonts w:hint="cs"/>
          <w:rtl/>
        </w:rPr>
        <w:t>1)[</w:t>
      </w:r>
      <w:r w:rsidRPr="00955C2C">
        <w:rPr>
          <w:rStyle w:val="Style1Char"/>
          <w:rtl/>
        </w:rPr>
        <w:t>רמב</w:t>
      </w:r>
      <w:r w:rsidR="0057095E">
        <w:rPr>
          <w:rStyle w:val="Style1Char"/>
          <w:rtl/>
        </w:rPr>
        <w:t>”ם \שופטים\</w:t>
      </w:r>
      <w:r w:rsidRPr="00955C2C">
        <w:rPr>
          <w:rStyle w:val="Style1Char"/>
          <w:rtl/>
        </w:rPr>
        <w:t xml:space="preserve"> הלכות עדות פרק ח הלכה ג</w:t>
      </w:r>
      <w:r>
        <w:rPr>
          <w:rStyle w:val="Style1Char"/>
          <w:rFonts w:hint="cs"/>
          <w:rtl/>
        </w:rPr>
        <w:t xml:space="preserve">] </w:t>
      </w:r>
      <w:r w:rsidRPr="00955C2C">
        <w:rPr>
          <w:rStyle w:val="Style1Char"/>
          <w:rtl/>
        </w:rPr>
        <w:t>לפיכך אם היה התובע תלמיד חכם והזכיר התובע הזה את העד ונזכר הרי זה יעיד לו שתלמיד חכם יודע שאילו לא זכר הדבר לא היה מעיד, וקל הוא שהקלו בדיני ממונות שאע"פ ששכח הדבר מכמה שנים והכתב הוא שהזכירו הרי זה מעיד.</w:t>
      </w:r>
    </w:p>
    <w:p w14:paraId="764065A1" w14:textId="2C6B8BA8" w:rsidR="00D80617" w:rsidRDefault="00D80617" w:rsidP="00D80617">
      <w:pPr>
        <w:pStyle w:val="Style1"/>
        <w:rPr>
          <w:rtl/>
        </w:rPr>
      </w:pPr>
      <w:r>
        <w:rPr>
          <w:rFonts w:hint="cs"/>
          <w:rtl/>
        </w:rPr>
        <w:t>1)[</w:t>
      </w:r>
      <w:r>
        <w:rPr>
          <w:rtl/>
        </w:rPr>
        <w:t>שולחן ערוך חושן משפט הלכות עדות סימן כח סעיף יד</w:t>
      </w:r>
      <w:r>
        <w:rPr>
          <w:rFonts w:hint="cs"/>
          <w:rtl/>
        </w:rPr>
        <w:t xml:space="preserve">] </w:t>
      </w:r>
      <w:r w:rsidRPr="002C00EE">
        <w:rPr>
          <w:rtl/>
        </w:rPr>
        <w:t>וכן אם נזכר לדבר ע"י אחר שהזכירו לו יכול להעיד אפי' היה המזכיר העד השני אבל אם הבעל דין בעצמו מזכירו ונזכר לא יעיד ואם העד ת"ח אף אם הבע"ד בעצמו מזכירו שפיר דמי שודאי אי לא היה נזכר לא היה מעיד</w:t>
      </w:r>
      <w:r w:rsidRPr="002C00EE">
        <w:t>:</w:t>
      </w:r>
    </w:p>
    <w:p w14:paraId="34D96A73" w14:textId="49D0F95D" w:rsidR="00801DB7" w:rsidRDefault="00801DB7" w:rsidP="00801DB7">
      <w:pPr>
        <w:pStyle w:val="Style1"/>
        <w:rPr>
          <w:rtl/>
        </w:rPr>
      </w:pPr>
      <w:r>
        <w:rPr>
          <w:rFonts w:hint="cs"/>
          <w:rtl/>
        </w:rPr>
        <w:t>2)[</w:t>
      </w:r>
      <w:r>
        <w:rPr>
          <w:rtl/>
        </w:rPr>
        <w:t>רמב</w:t>
      </w:r>
      <w:r w:rsidR="00786216">
        <w:rPr>
          <w:rtl/>
        </w:rPr>
        <w:t>”ם \טהרה\</w:t>
      </w:r>
      <w:r>
        <w:rPr>
          <w:rtl/>
        </w:rPr>
        <w:t xml:space="preserve"> הלכות טומאת מת פרק ח הלכה ג</w:t>
      </w:r>
      <w:r>
        <w:rPr>
          <w:rFonts w:hint="cs"/>
          <w:rtl/>
        </w:rPr>
        <w:t xml:space="preserve">] </w:t>
      </w:r>
      <w:r>
        <w:rPr>
          <w:rtl/>
        </w:rPr>
        <w:t>ושדה זו מותר לזרוע בתוכה כל זרע לפי שאין שרשי זרעים מגיעים עד לקבר, אבל אין נוטעין בתוכה אילני מאכל מפני שהשרשים מגיעין עד למת, התלוליות הקרובות לעיר הסמוכה לבית הקברות או לדרך בית הקברות אחד חדשות ואחד ישנות הרי אלו בחזקת טומאה מפני שהנשים קוברות שם את הנפלים ומוכי שחין קוברין שם איבריהן, אבל הרחוקות החדשות טהורות והישנות טמאות שמא היו קרובות מעיר שחרבה או מדרך שאבדה, ואי זהו תל קרוב כל שאין שם תל אחר קרוב יותר ממנו וישן שאין אדם זוכרו. /השגת הראב"ד/ אבל אין נוטעין בתוכה אילני מאכל מפני שהשרשים מגיעין עד למת וכו'. א"א המשנה אמרה אינה נטעת כל נטע ואין מקיימין בה אילנות חוץ מאילן סרק והטעם אילני מאכל אדם נמשך ועושה דירתו ביניהם מה שאין כן באילני סרק מכל מקום לכתחלה אינה נטעת כל נטע.</w:t>
      </w:r>
    </w:p>
    <w:p w14:paraId="1683AADC" w14:textId="59ABFEBD" w:rsidR="00116056" w:rsidRDefault="00116056" w:rsidP="00116056">
      <w:pPr>
        <w:pStyle w:val="Style1"/>
        <w:rPr>
          <w:rtl/>
        </w:rPr>
      </w:pPr>
      <w:r>
        <w:rPr>
          <w:rFonts w:hint="cs"/>
          <w:rtl/>
        </w:rPr>
        <w:t>3)[</w:t>
      </w:r>
      <w:r>
        <w:rPr>
          <w:rtl/>
        </w:rPr>
        <w:t>שולחן ערוך חושן משפט הלכות עדות סימן כח סעיף יג</w:t>
      </w:r>
      <w:r>
        <w:rPr>
          <w:rFonts w:hint="cs"/>
          <w:rtl/>
        </w:rPr>
        <w:t>]</w:t>
      </w:r>
      <w:r w:rsidR="00A718B7">
        <w:rPr>
          <w:rFonts w:hint="cs"/>
          <w:rtl/>
        </w:rPr>
        <w:t xml:space="preserve"> </w:t>
      </w:r>
      <w:r w:rsidR="00A718B7" w:rsidRPr="00A718B7">
        <w:rPr>
          <w:rtl/>
        </w:rPr>
        <w:t>כל זמן שזוכר האדם יכול להעיד לעולם ואינו חושש שמא מתוך שנתיישן הדבר הרבה אינו זוכרו על בוריו אפי' אינו נזכר לעדות אלא מתוך הכתב שכשמסרוהו לו כתבו בפנקסו לזכרון דברים ושכח הדבר ואינו נזכר אלא מתוך הכתב יכול להעיד והוא שאחר שראה הכתב נזכר לדבר</w:t>
      </w:r>
      <w:r w:rsidR="00A718B7" w:rsidRPr="00A718B7">
        <w:t>. </w:t>
      </w:r>
      <w:r w:rsidR="00A718B7" w:rsidRPr="00A718B7">
        <w:rPr>
          <w:rFonts w:hint="cs"/>
        </w:rPr>
        <w:t>(</w:t>
      </w:r>
      <w:r w:rsidR="00A718B7" w:rsidRPr="00A718B7">
        <w:rPr>
          <w:rFonts w:hint="cs"/>
          <w:rtl/>
        </w:rPr>
        <w:t>וע' לקמן </w:t>
      </w:r>
      <w:hyperlink r:id="rId43" w:anchor="%D7%A1%D7%A2%D7%99%D7%A3_%D7%99" w:tooltip="שולחן ערוך חושן משפט מו" w:history="1">
        <w:r w:rsidR="00A718B7" w:rsidRPr="00A718B7">
          <w:rPr>
            <w:rFonts w:hint="cs"/>
            <w:rtl/>
          </w:rPr>
          <w:t>סי' מ"ו סעיף י</w:t>
        </w:r>
        <w:r w:rsidR="00A718B7" w:rsidRPr="00A718B7">
          <w:rPr>
            <w:rFonts w:hint="cs"/>
          </w:rPr>
          <w:t>'</w:t>
        </w:r>
      </w:hyperlink>
      <w:r w:rsidR="00A718B7" w:rsidRPr="00A718B7">
        <w:rPr>
          <w:rFonts w:hint="cs"/>
        </w:rPr>
        <w:t>)</w:t>
      </w:r>
      <w:r w:rsidR="00A718B7" w:rsidRPr="00A718B7">
        <w:t>:</w:t>
      </w:r>
    </w:p>
    <w:p w14:paraId="46A19901" w14:textId="45A81B67" w:rsidR="00DA6CBB" w:rsidRPr="00DA6CBB" w:rsidRDefault="002111D9" w:rsidP="00337A57">
      <w:pPr>
        <w:pStyle w:val="Style1"/>
      </w:pPr>
      <w:r>
        <w:rPr>
          <w:rFonts w:hint="cs"/>
          <w:rtl/>
        </w:rPr>
        <w:t>4)[</w:t>
      </w:r>
      <w:r>
        <w:rPr>
          <w:rtl/>
        </w:rPr>
        <w:t>שולחן ערוך חושן משפט הלכות הלואה סימן מו סעיף י</w:t>
      </w:r>
      <w:r>
        <w:rPr>
          <w:rFonts w:hint="cs"/>
          <w:rtl/>
        </w:rPr>
        <w:t>]</w:t>
      </w:r>
      <w:r w:rsidR="00DA6CBB">
        <w:rPr>
          <w:rFonts w:hint="cs"/>
          <w:rtl/>
        </w:rPr>
        <w:t xml:space="preserve"> </w:t>
      </w:r>
      <w:r w:rsidR="00DA6CBB" w:rsidRPr="00DA6CBB">
        <w:rPr>
          <w:rtl/>
        </w:rPr>
        <w:t>מי שחתם על השטר ובא להעיד על כתב ידו בב"ד והכיר כתב ידו שזהו בודאי אבל אינו זוכר העדות כלל ולא ימצא בלבו זכרון כלל שזה לוה מזה מעולם הרי זה אסור להעיד על כתב ידו שהוא זה בב"ד שאין אדם מעיד על כתב ידו שהוא זה אלא על הממון שבשטר הוא מעיד שזה חייב לזה וכתב ידו הוא כדי להזכירו הדבר אבל אם לא נזכר לא יעיד הואיל והדבר כן שטר שיצא בב"ד ובאו עדים ואמרו כתב ידנו הוא זה אבל מעולם לא ידענו עדות זו ואין אנו זוכרים שזה לוה מזה או מכר לו לא נתקיים השטר והרי הם כחרשים עד שיזכרו עדותן וכל מי שאינו דן כן לא ידע בדיני ממונות בין ימינו לשמאלו אבל אם היה כתב ידם יוצא ממקום אחר או שהיו שם עדים שזה כתב ידן מקיימים השטר ואין משגיחין על דבריהם של אלו שאומרים אין אנו זוכרים העדות הואיל ומתקיים השטר שלא על פיהם ומפני טעם זה אנו מקיימים כל השטרות ואין אנו מצריכים להביא העדים ולשאול אותם אם הם זוכרים העדות או לאו שאפי' באו ואמרו אין אנו זוכרים אותם אין שומעין להם הואיל ואפשר לקיימו שלא מפיהם אלה דברי הרמב"ם ויש חולקים ואומרים שאפילו אין זוכרים שלוה או שחתמו מעולם על שטר זה ואין כתב ידן יוצא ממקום אחר כיון שמעידים שזה כתב ידם מקיימים השטר על פיהם ולפי דבריהם כשהם עצמם באים להעיד על כתב ידם אם שכחו ההלואה ואינם זוכרים כלל שחתמו בשטר זה צריך ב' עדים על כל חתימה לכן צריך או שיעיד כל א' על כתב ידו ועל כתב יד חבירו או שיצטרף אחר עמהן שיעיד על כתב ידי שניהם כדי שיהא על כל חתימה ב' עדים</w:t>
      </w:r>
      <w:r w:rsidR="00DA6CBB" w:rsidRPr="00DA6CBB">
        <w:t>:</w:t>
      </w:r>
    </w:p>
    <w:p w14:paraId="40779341" w14:textId="77777777" w:rsidR="00DA6CBB" w:rsidRPr="00DA6CBB" w:rsidRDefault="00DA6CBB" w:rsidP="00DA6CBB">
      <w:pPr>
        <w:pStyle w:val="Style1"/>
      </w:pPr>
      <w:r w:rsidRPr="00DA6CBB">
        <w:rPr>
          <w:rFonts w:hint="cs"/>
          <w:rtl/>
        </w:rPr>
        <w:t>הגה: ולא בעינן שיזכור העדות אלא בעד אחד או ב' עדים לענין קיום השטר אבל ב' עדים החתומים על השטר אע"פ שאין זוכרים העדות כלל ואין השטר כתוב כתקונו מ"מ העדאת עדים איכא (מהרי"ו סי' נ"ד והגהות מרדכי דכתובות) ואם נתקיים השטר אזלינן בתריה לכל מה שכתוב בו אע"ג שאין בו דין שטר גמור מ"מ לענין זה מיקרי שטר דלא יהא מפי כתבם וכמו שנתבאר לעיל </w:t>
      </w:r>
      <w:hyperlink r:id="rId44" w:anchor="%D7%A1%D7%A2%D7%99%D7%A3_%D7%99%D7%91" w:tooltip="שולחן ערוך חושן משפט כח" w:history="1">
        <w:r w:rsidRPr="00DA6CBB">
          <w:rPr>
            <w:rStyle w:val="Hyperlink"/>
            <w:rFonts w:hint="cs"/>
            <w:color w:val="7030A0"/>
            <w:u w:val="none"/>
            <w:rtl/>
          </w:rPr>
          <w:t>סי' כ"ח סעיף י"ב</w:t>
        </w:r>
      </w:hyperlink>
      <w:r w:rsidRPr="00DA6CBB">
        <w:rPr>
          <w:rFonts w:hint="cs"/>
        </w:rPr>
        <w:t> </w:t>
      </w:r>
      <w:r w:rsidRPr="00DA6CBB">
        <w:rPr>
          <w:rFonts w:hint="cs"/>
          <w:rtl/>
        </w:rPr>
        <w:t>(תשו' רשב"א סי' אלף ל"ט וע' סקנ"ד) ויש חולקים כמו שנתבאר לעיל ריש </w:t>
      </w:r>
      <w:hyperlink r:id="rId45" w:anchor="%D7%A1%D7%A2%D7%99%D7%A3_%D7%92" w:tooltip="שולחן ערוך חושן משפט לט" w:history="1">
        <w:r w:rsidRPr="00DA6CBB">
          <w:rPr>
            <w:rStyle w:val="Hyperlink"/>
            <w:rFonts w:hint="cs"/>
            <w:color w:val="7030A0"/>
            <w:u w:val="none"/>
            <w:rtl/>
          </w:rPr>
          <w:t>סי' ל"ט סעיף ג</w:t>
        </w:r>
        <w:r w:rsidRPr="00DA6CBB">
          <w:rPr>
            <w:rStyle w:val="Hyperlink"/>
            <w:rFonts w:hint="cs"/>
            <w:color w:val="7030A0"/>
            <w:u w:val="none"/>
          </w:rPr>
          <w:t>'</w:t>
        </w:r>
      </w:hyperlink>
      <w:r w:rsidRPr="00DA6CBB">
        <w:t>:</w:t>
      </w:r>
    </w:p>
    <w:p w14:paraId="4378A6F0" w14:textId="77777777" w:rsidR="00DA6CBB" w:rsidRPr="00DA6CBB" w:rsidRDefault="00DA6CBB" w:rsidP="00DA6CBB">
      <w:pPr>
        <w:pStyle w:val="Style1"/>
      </w:pPr>
    </w:p>
    <w:p w14:paraId="36587679" w14:textId="55E29F56" w:rsidR="002111D9" w:rsidRPr="00DA6CBB" w:rsidRDefault="002111D9" w:rsidP="00DA6CBB">
      <w:pPr>
        <w:pStyle w:val="Style1"/>
      </w:pPr>
    </w:p>
    <w:p w14:paraId="6B2F815E" w14:textId="7B9E40B6" w:rsidR="00116056" w:rsidRPr="002C00EE" w:rsidRDefault="00116056" w:rsidP="00116056">
      <w:pPr>
        <w:pStyle w:val="Style1"/>
      </w:pPr>
    </w:p>
    <w:p w14:paraId="4273F9BB" w14:textId="77777777" w:rsidR="00D80617" w:rsidRPr="00D80617" w:rsidRDefault="00D80617" w:rsidP="00D80617">
      <w:pPr>
        <w:bidi/>
        <w:rPr>
          <w:rStyle w:val="Style1Char"/>
          <w:color w:val="auto"/>
          <w:sz w:val="22"/>
          <w:szCs w:val="22"/>
        </w:rPr>
      </w:pPr>
    </w:p>
    <w:p w14:paraId="2A176A4C" w14:textId="77777777" w:rsidR="00DA1858" w:rsidRPr="00FA38B8" w:rsidRDefault="00DA1858" w:rsidP="00DA1858">
      <w:pPr>
        <w:bidi/>
        <w:rPr>
          <w:rStyle w:val="Style1Char"/>
          <w:sz w:val="22"/>
          <w:szCs w:val="22"/>
          <w:rtl/>
        </w:rPr>
      </w:pPr>
    </w:p>
    <w:p w14:paraId="5F55A0BA" w14:textId="77777777" w:rsidR="00DA1858" w:rsidRPr="001109DC" w:rsidRDefault="00DA1858" w:rsidP="00DA1858">
      <w:pPr>
        <w:bidi/>
        <w:rPr>
          <w:rStyle w:val="Style1Char"/>
          <w:sz w:val="22"/>
          <w:szCs w:val="22"/>
          <w:rtl/>
        </w:rPr>
      </w:pPr>
    </w:p>
    <w:p w14:paraId="17FC5DCA" w14:textId="77777777" w:rsidR="00DA1858" w:rsidRDefault="00DA1858" w:rsidP="00DA1858">
      <w:pPr>
        <w:rPr>
          <w:rStyle w:val="Style1Char"/>
          <w:color w:val="00B050"/>
          <w:rtl/>
        </w:rPr>
      </w:pPr>
      <w:r>
        <w:rPr>
          <w:rStyle w:val="Style1Char"/>
          <w:color w:val="00B050"/>
          <w:rtl/>
        </w:rPr>
        <w:br w:type="page"/>
      </w:r>
    </w:p>
    <w:p w14:paraId="47A6D33E" w14:textId="78C2ECCA" w:rsidR="00DA1858" w:rsidRPr="0077125B" w:rsidRDefault="00DA1858" w:rsidP="00DA1858">
      <w:pPr>
        <w:bidi/>
        <w:rPr>
          <w:rStyle w:val="Style1Char"/>
          <w:color w:val="4472C4" w:themeColor="accent1"/>
        </w:rPr>
      </w:pPr>
      <w:r w:rsidRPr="00F571CA">
        <w:rPr>
          <w:rStyle w:val="Style1Char"/>
          <w:color w:val="auto"/>
          <w:sz w:val="22"/>
          <w:szCs w:val="22"/>
          <w:highlight w:val="yellow"/>
          <w:rtl/>
        </w:rPr>
        <w:lastRenderedPageBreak/>
        <w:t>[דף כא עמוד א]</w:t>
      </w:r>
      <w:r w:rsidRPr="00F571CA">
        <w:rPr>
          <w:rStyle w:val="Style1Char"/>
          <w:color w:val="auto"/>
          <w:sz w:val="22"/>
          <w:szCs w:val="22"/>
          <w:rtl/>
        </w:rPr>
        <w:t xml:space="preserve"> על כתב ידן הם מעידים</w:t>
      </w:r>
      <w:r w:rsidRPr="00F571CA">
        <w:rPr>
          <w:rStyle w:val="Style1Char"/>
          <w:color w:val="auto"/>
          <w:rtl/>
        </w:rPr>
        <w:t xml:space="preserve"> </w:t>
      </w:r>
      <w:r w:rsidRPr="001109DC">
        <w:rPr>
          <w:rStyle w:val="Style1Char"/>
          <w:color w:val="C00000"/>
          <w:sz w:val="22"/>
          <w:szCs w:val="22"/>
          <w:rtl/>
        </w:rPr>
        <w:t>ולפיכך צריך לצרף עמהם אחר</w:t>
      </w:r>
      <w:r w:rsidRPr="001109DC">
        <w:rPr>
          <w:rStyle w:val="Style1Char"/>
          <w:sz w:val="22"/>
          <w:szCs w:val="22"/>
          <w:rtl/>
        </w:rPr>
        <w:t>,</w:t>
      </w:r>
      <w:r w:rsidRPr="00887069">
        <w:rPr>
          <w:rStyle w:val="Style1Char"/>
          <w:color w:val="00B050"/>
          <w:rtl/>
        </w:rPr>
        <w:t xml:space="preserve"> </w:t>
      </w:r>
      <w:r w:rsidRPr="00F571CA">
        <w:rPr>
          <w:rStyle w:val="Style1Char"/>
          <w:color w:val="auto"/>
          <w:sz w:val="22"/>
          <w:szCs w:val="22"/>
          <w:rtl/>
        </w:rPr>
        <w:t xml:space="preserve">לדברי חכמים - </w:t>
      </w:r>
      <w:r w:rsidR="00FA5218">
        <w:rPr>
          <w:rStyle w:val="Style1Char"/>
          <w:rFonts w:hint="cs"/>
          <w:rtl/>
        </w:rPr>
        <w:t>(1)</w:t>
      </w:r>
      <w:r w:rsidRPr="00F571CA">
        <w:rPr>
          <w:rStyle w:val="Style1Char"/>
          <w:color w:val="auto"/>
          <w:sz w:val="22"/>
          <w:szCs w:val="22"/>
          <w:rtl/>
        </w:rPr>
        <w:t>על מנה שבשטר הם מעידים</w:t>
      </w:r>
      <w:r w:rsidRPr="00F571CA">
        <w:rPr>
          <w:rStyle w:val="Style1Char"/>
          <w:color w:val="auto"/>
          <w:rtl/>
        </w:rPr>
        <w:t xml:space="preserve"> </w:t>
      </w:r>
      <w:r w:rsidRPr="000273B4">
        <w:rPr>
          <w:rStyle w:val="Style1Char"/>
          <w:color w:val="C00000"/>
          <w:sz w:val="22"/>
          <w:szCs w:val="22"/>
          <w:rtl/>
        </w:rPr>
        <w:t xml:space="preserve">ובתרוייהו סגיא </w:t>
      </w:r>
      <w:r w:rsidRPr="00F571CA">
        <w:rPr>
          <w:rStyle w:val="Style1Char"/>
          <w:color w:val="806000" w:themeColor="accent4" w:themeShade="80"/>
          <w:sz w:val="22"/>
          <w:szCs w:val="22"/>
          <w:rtl/>
        </w:rPr>
        <w:t>וקי"ל כרבנן</w:t>
      </w:r>
      <w:r w:rsidRPr="000273B4">
        <w:rPr>
          <w:rStyle w:val="Style1Char"/>
          <w:color w:val="C00000"/>
          <w:sz w:val="22"/>
          <w:szCs w:val="22"/>
          <w:rtl/>
        </w:rPr>
        <w:t>:</w:t>
      </w:r>
      <w:r w:rsidRPr="00887069">
        <w:rPr>
          <w:rStyle w:val="Style1Char"/>
          <w:color w:val="00B050"/>
          <w:rtl/>
        </w:rPr>
        <w:t xml:space="preserve">. </w:t>
      </w:r>
      <w:r w:rsidRPr="0077125B">
        <w:rPr>
          <w:rStyle w:val="Style1Char"/>
          <w:color w:val="4472C4" w:themeColor="accent1"/>
          <w:rtl/>
        </w:rPr>
        <w:t>ומתוך הירושלמי מוכיח דאם העדים שכחו לגמרי המלוה דאף מתוך ראיית השטר אינן זוכרין אותו מודו רבנן דצריכין לצרף עמהן אחר דגרסינן בירושלמי על מתני' דהכא תניא כותב אדם את עדותו ומעידה אפי' לאחר כמה שנים רב הונא אמר והוא שיהא זוכר עדותו ורבי יוחנן אמר אף על פי שאין זוכר עדותו ומוקי להא דרב הונא כרבי ור' יוחנן כרבנן והכי פירושא דסבירא דהיכא שהעדים הבאים לקיים חתימתם זוכרין ההלואה בלא ראיית השטר אין צריכין לצרף עמהם אחר מן השוק אפי' לרבי מתוך שהן באים להעיד על המלוה מעידין נמי על השטר</w:t>
      </w:r>
      <w:r>
        <w:rPr>
          <w:rStyle w:val="Style1Char"/>
          <w:rFonts w:hint="cs"/>
          <w:color w:val="4472C4" w:themeColor="accent1"/>
        </w:rPr>
        <w:t>‍</w:t>
      </w:r>
      <w:r w:rsidRPr="0077125B">
        <w:rPr>
          <w:rStyle w:val="Style1Char"/>
          <w:color w:val="4472C4" w:themeColor="accent1"/>
          <w:rtl/>
        </w:rPr>
        <w:t xml:space="preserve"> ואם אינן זוכרין ההלואה על ידי ראיית השטר אפילו רבנן מודו דצריכין לצרף עמהן אחר מן השוק כי פליגי היכא שזוכרין המלוה על ידי ראיית השטר רבנן סברי הואיל וע"י ראיית השטר הן זוכרין זכירתן זכירה והוי כאילו העידו על מנה שבשטר ורבי סבר זכירתן לאו זכירה היא ואינן מעידין אלא על כתב ידם הלכך צריך לצרף עמהם אחר. והכי איירי הך ברייתא כותב אדם עדותו רב הונא סבר צריך שיהא זוכר עדותו בלא ראיית השטר כרבי ואז מעיד יחיד על כתב ידו ור' יוחנן כרבנן.</w:t>
      </w:r>
      <w:r>
        <w:rPr>
          <w:rStyle w:val="Style1Char"/>
          <w:rFonts w:hint="cs"/>
          <w:color w:val="4472C4" w:themeColor="accent1"/>
        </w:rPr>
        <w:t>‍</w:t>
      </w:r>
      <w:r w:rsidRPr="0077125B">
        <w:rPr>
          <w:rStyle w:val="Style1Char"/>
          <w:color w:val="4472C4" w:themeColor="accent1"/>
          <w:rtl/>
        </w:rPr>
        <w:t xml:space="preserve"> הא דאמרינן דלדברי רבי על כתב ידם הם מעידים פירוש לעולם אנו חושבין אותם כמעידין על כתב ידם ואפילו אמרו בפירוש שמעידין על מנה שבשטר וכן לרבנן אפילו אמרו בפירוש שמעידין על כתב ידם אנו חושבין אותם כמעידין על מנה שבשטר אבל אין לפרש דבסתם פליגי אבל אם פרשו הכל לפי פירושו דאם כן הא דקאמר בסמוך אי ליכא תרי אלא חד לכתוב חתימת ידיה אחספא הוה ליה למימר שיאמרו לו שיפרש בהדיא שמעיד על כתב ידו</w:t>
      </w:r>
      <w:r w:rsidRPr="0077125B">
        <w:rPr>
          <w:rStyle w:val="Style1Char"/>
          <w:color w:val="4472C4" w:themeColor="accent1"/>
        </w:rPr>
        <w:t xml:space="preserve">: </w:t>
      </w:r>
    </w:p>
    <w:p w14:paraId="6602C897" w14:textId="16E75E13" w:rsidR="00DA1858" w:rsidRDefault="00DA1858" w:rsidP="00DA1858">
      <w:pPr>
        <w:bidi/>
        <w:rPr>
          <w:rStyle w:val="Style1Char"/>
          <w:sz w:val="22"/>
          <w:szCs w:val="22"/>
        </w:rPr>
      </w:pPr>
      <w:r w:rsidRPr="00887069">
        <w:rPr>
          <w:rStyle w:val="Style1Char"/>
          <w:color w:val="00B050"/>
          <w:rtl/>
        </w:rPr>
        <w:t xml:space="preserve">פשיטא! מהו דתימא, לרבי ספוקי מספקא ליה אי על כתב ידם הם מעידים או על מנה שבשטר הם מעידים, ונפקא מינה? </w:t>
      </w:r>
      <w:r w:rsidR="00FA5218">
        <w:rPr>
          <w:rStyle w:val="Style1Char"/>
          <w:rFonts w:hint="cs"/>
          <w:rtl/>
        </w:rPr>
        <w:t>(1)</w:t>
      </w:r>
      <w:r w:rsidRPr="00887069">
        <w:rPr>
          <w:rStyle w:val="Style1Char"/>
          <w:color w:val="00B050"/>
          <w:rtl/>
        </w:rPr>
        <w:t>היכא דמית חד מינייהו לבעי שנים מן השוק להעיד עליו, דאם כן קנפיק נכי ריבעא דממונא אפומא דחד סהדא, והכא לחומרא והכא לחומרא, קמ"ל, דרבי מיפשט פשיטא ליה בין לקולא בין לחומרא, ד</w:t>
      </w:r>
      <w:r w:rsidRPr="0012491E">
        <w:rPr>
          <w:rStyle w:val="Style1Char"/>
          <w:color w:val="auto"/>
          <w:sz w:val="22"/>
          <w:szCs w:val="22"/>
          <w:rtl/>
        </w:rPr>
        <w:t>אמר</w:t>
      </w:r>
      <w:r w:rsidRPr="00887069">
        <w:rPr>
          <w:rStyle w:val="Style1Char"/>
          <w:color w:val="00B050"/>
          <w:rtl/>
        </w:rPr>
        <w:t xml:space="preserve"> </w:t>
      </w:r>
      <w:r w:rsidRPr="0012491E">
        <w:rPr>
          <w:rStyle w:val="Style1Char"/>
          <w:color w:val="auto"/>
          <w:sz w:val="22"/>
          <w:szCs w:val="22"/>
          <w:rtl/>
        </w:rPr>
        <w:t xml:space="preserve">רב יהודה אמר רב: </w:t>
      </w:r>
      <w:r w:rsidR="00445FFC">
        <w:rPr>
          <w:rStyle w:val="Style1Char"/>
          <w:rFonts w:hint="cs"/>
          <w:rtl/>
        </w:rPr>
        <w:t>(2)</w:t>
      </w:r>
      <w:r w:rsidRPr="0012491E">
        <w:rPr>
          <w:rStyle w:val="Style1Char"/>
          <w:color w:val="auto"/>
          <w:sz w:val="22"/>
          <w:szCs w:val="22"/>
          <w:rtl/>
        </w:rPr>
        <w:t>שנים החתומין על השטר ומת אחד מהן - צריכין שנים מן השוק להעיד עליו</w:t>
      </w:r>
      <w:r w:rsidRPr="0012491E">
        <w:rPr>
          <w:rStyle w:val="Style1Char"/>
          <w:color w:val="auto"/>
          <w:rtl/>
        </w:rPr>
        <w:t xml:space="preserve"> </w:t>
      </w:r>
      <w:r w:rsidRPr="0012491E">
        <w:rPr>
          <w:rStyle w:val="Style1Char"/>
          <w:color w:val="806000" w:themeColor="accent4" w:themeShade="80"/>
          <w:sz w:val="22"/>
          <w:szCs w:val="22"/>
          <w:rtl/>
        </w:rPr>
        <w:t>כי היכי דלא ליפוק נכי ריבעא דממונא אפומא דחד סהדא וכן הלכתא</w:t>
      </w:r>
      <w:r w:rsidRPr="007F443A">
        <w:rPr>
          <w:rStyle w:val="Style1Char"/>
          <w:sz w:val="22"/>
          <w:szCs w:val="22"/>
          <w:rtl/>
        </w:rPr>
        <w:t>,</w:t>
      </w:r>
      <w:r w:rsidRPr="00887069">
        <w:rPr>
          <w:rStyle w:val="Style1Char"/>
          <w:color w:val="00B050"/>
          <w:rtl/>
        </w:rPr>
        <w:t xml:space="preserve"> בזו רבי לקולא ורבנן לחומרא. </w:t>
      </w:r>
      <w:r w:rsidRPr="0012491E">
        <w:rPr>
          <w:rStyle w:val="Style1Char"/>
          <w:color w:val="auto"/>
          <w:sz w:val="22"/>
          <w:szCs w:val="22"/>
          <w:rtl/>
        </w:rPr>
        <w:t xml:space="preserve">ואי ליכא </w:t>
      </w:r>
      <w:r w:rsidRPr="00E95267">
        <w:rPr>
          <w:rStyle w:val="Style1Char"/>
          <w:color w:val="ED7D31" w:themeColor="accent2"/>
          <w:rtl/>
        </w:rPr>
        <w:t xml:space="preserve">תרי </w:t>
      </w:r>
      <w:r w:rsidRPr="00E95267">
        <w:rPr>
          <w:rStyle w:val="Style1Char"/>
          <w:color w:val="auto"/>
          <w:sz w:val="22"/>
          <w:szCs w:val="22"/>
          <w:rtl/>
        </w:rPr>
        <w:t xml:space="preserve">אלא חד, מאי? אמר אביי: </w:t>
      </w:r>
      <w:r w:rsidR="005154DD">
        <w:rPr>
          <w:rStyle w:val="Style1Char"/>
          <w:rFonts w:hint="cs"/>
          <w:rtl/>
        </w:rPr>
        <w:t>(2)</w:t>
      </w:r>
      <w:r w:rsidRPr="00E95267">
        <w:rPr>
          <w:rStyle w:val="Style1Char"/>
          <w:color w:val="auto"/>
          <w:sz w:val="22"/>
          <w:szCs w:val="22"/>
          <w:rtl/>
        </w:rPr>
        <w:t xml:space="preserve">לכתוב חתימת ידיה אחספא ושדי ליה בבי דינא, ומחזקי ליה </w:t>
      </w:r>
      <w:r w:rsidRPr="00887069">
        <w:rPr>
          <w:rStyle w:val="Style1Char"/>
          <w:color w:val="00B050"/>
          <w:rtl/>
        </w:rPr>
        <w:t xml:space="preserve">בי דינא, (וחזו ליה) </w:t>
      </w:r>
      <w:r w:rsidRPr="00E95267">
        <w:rPr>
          <w:rStyle w:val="Style1Char"/>
          <w:color w:val="auto"/>
          <w:sz w:val="22"/>
          <w:szCs w:val="22"/>
          <w:rtl/>
        </w:rPr>
        <w:t xml:space="preserve">ולא צריך איהו לאסהודי אחתימת ידיה, ואזיל איהו והאי ומסהדי אאידך. ודוקא אחספא, </w:t>
      </w:r>
      <w:r w:rsidR="005154DD">
        <w:rPr>
          <w:rStyle w:val="Style1Char"/>
          <w:rFonts w:hint="cs"/>
          <w:rtl/>
        </w:rPr>
        <w:t>(3)</w:t>
      </w:r>
      <w:r w:rsidRPr="00E95267">
        <w:rPr>
          <w:rStyle w:val="Style1Char"/>
          <w:color w:val="auto"/>
          <w:sz w:val="22"/>
          <w:szCs w:val="22"/>
          <w:rtl/>
        </w:rPr>
        <w:t xml:space="preserve">אבל אמגלתא לא, דלמא משכח לה איניש דלא מעלי וכתב עילויה מאי דבעי, ותנן: </w:t>
      </w:r>
      <w:r w:rsidR="00CE022C">
        <w:rPr>
          <w:rStyle w:val="Style1Char"/>
          <w:rFonts w:hint="cs"/>
          <w:rtl/>
        </w:rPr>
        <w:t>(4)</w:t>
      </w:r>
      <w:r w:rsidRPr="00E95267">
        <w:rPr>
          <w:rStyle w:val="Style1Char"/>
          <w:color w:val="auto"/>
          <w:sz w:val="22"/>
          <w:szCs w:val="22"/>
          <w:rtl/>
        </w:rPr>
        <w:t>הוציא עליו כתב ידו שהוא חייב לו, גובה מנכסים בני חורין.</w:t>
      </w:r>
    </w:p>
    <w:p w14:paraId="13D6253F" w14:textId="77777777" w:rsidR="00DA1858" w:rsidRPr="0077125B" w:rsidRDefault="00DA1858" w:rsidP="00DA1858">
      <w:pPr>
        <w:bidi/>
        <w:rPr>
          <w:rStyle w:val="Style1Char"/>
          <w:color w:val="4472C4" w:themeColor="accent1"/>
        </w:rPr>
      </w:pPr>
      <w:r w:rsidRPr="0077125B">
        <w:rPr>
          <w:rStyle w:val="Style1Char"/>
          <w:color w:val="4472C4" w:themeColor="accent1"/>
          <w:rtl/>
        </w:rPr>
        <w:t>. ואף על פי</w:t>
      </w:r>
      <w:r>
        <w:rPr>
          <w:rStyle w:val="Style1Char"/>
          <w:rFonts w:hint="cs"/>
          <w:color w:val="4472C4" w:themeColor="accent1"/>
        </w:rPr>
        <w:t>‍</w:t>
      </w:r>
      <w:r w:rsidRPr="0077125B">
        <w:rPr>
          <w:rStyle w:val="Style1Char"/>
          <w:color w:val="4472C4" w:themeColor="accent1"/>
          <w:rtl/>
        </w:rPr>
        <w:t xml:space="preserve"> שפסק רב אלפס ז"ל וכן הרמב"ם ז"ל (פי"א מהל' מלוה ולוה)</w:t>
      </w:r>
      <w:r>
        <w:rPr>
          <w:rStyle w:val="Style1Char"/>
          <w:rFonts w:hint="cs"/>
          <w:color w:val="4472C4" w:themeColor="accent1"/>
        </w:rPr>
        <w:t>‍</w:t>
      </w:r>
      <w:r w:rsidRPr="0077125B">
        <w:rPr>
          <w:rStyle w:val="Style1Char"/>
          <w:color w:val="4472C4" w:themeColor="accent1"/>
          <w:rtl/>
        </w:rPr>
        <w:t xml:space="preserve"> וכן ר"י ז"ל שיכול לומר פרעתי</w:t>
      </w:r>
      <w:r>
        <w:rPr>
          <w:rStyle w:val="Style1Char"/>
          <w:rFonts w:hint="cs"/>
          <w:color w:val="4472C4" w:themeColor="accent1"/>
        </w:rPr>
        <w:t>‍</w:t>
      </w:r>
      <w:r w:rsidRPr="0077125B">
        <w:rPr>
          <w:rStyle w:val="Style1Char"/>
          <w:color w:val="4472C4" w:themeColor="accent1"/>
          <w:rtl/>
        </w:rPr>
        <w:t xml:space="preserve"> מ"מ איכא למיחש שמא יטעון האמת שלא לוה ממנו כלום וכל האומר לא לויתי כאומר לא פרעתי דמי</w:t>
      </w:r>
      <w:r>
        <w:rPr>
          <w:rStyle w:val="Style1Char"/>
          <w:rFonts w:hint="cs"/>
          <w:color w:val="4472C4" w:themeColor="accent1"/>
        </w:rPr>
        <w:t>‍</w:t>
      </w:r>
      <w:r w:rsidRPr="0077125B">
        <w:rPr>
          <w:rStyle w:val="Style1Char"/>
          <w:color w:val="4472C4" w:themeColor="accent1"/>
          <w:rtl/>
        </w:rPr>
        <w:t xml:space="preserve"> וי"א דלא מצי למימר פרעתי מידי דהוי אשטר שאין בו אחריות דאע"פ שאינו גובה ממשועבדים לא מצי למימר פרעתי דמצי א"ל (שטרא בידך) +שטרך בידי+ מאי בעי ומיהו איכא למימר</w:t>
      </w:r>
      <w:r>
        <w:rPr>
          <w:rStyle w:val="Style1Char"/>
          <w:rFonts w:hint="cs"/>
          <w:color w:val="4472C4" w:themeColor="accent1"/>
        </w:rPr>
        <w:t>‍</w:t>
      </w:r>
      <w:r w:rsidRPr="0077125B">
        <w:rPr>
          <w:rStyle w:val="Style1Char"/>
          <w:color w:val="4472C4" w:themeColor="accent1"/>
          <w:rtl/>
        </w:rPr>
        <w:t xml:space="preserve"> מתוך שאין עליו עדים לא חשש לתבוע כתב ידו וגם שטר שיש עליו עדים יש לו קול ולא מינשי ליה</w:t>
      </w:r>
      <w:r>
        <w:rPr>
          <w:rStyle w:val="Style1Char"/>
          <w:rFonts w:hint="cs"/>
          <w:color w:val="4472C4" w:themeColor="accent1"/>
        </w:rPr>
        <w:t>‍</w:t>
      </w:r>
      <w:r w:rsidRPr="0077125B">
        <w:rPr>
          <w:rStyle w:val="Style1Char"/>
          <w:color w:val="4472C4" w:themeColor="accent1"/>
          <w:rtl/>
        </w:rPr>
        <w:t xml:space="preserve"> אבל כתב ידו פעמים שאדם שוכח שמסר לו כתב ידו</w:t>
      </w:r>
      <w:r w:rsidRPr="0077125B">
        <w:rPr>
          <w:rStyle w:val="Style1Char"/>
          <w:color w:val="4472C4" w:themeColor="accent1"/>
        </w:rPr>
        <w:t xml:space="preserve">: </w:t>
      </w:r>
    </w:p>
    <w:p w14:paraId="195F93F1" w14:textId="77777777" w:rsidR="00DA1858" w:rsidRPr="0077125B" w:rsidRDefault="00DA1858" w:rsidP="00DA1858">
      <w:pPr>
        <w:bidi/>
        <w:rPr>
          <w:rStyle w:val="Style1Char"/>
          <w:color w:val="4472C4" w:themeColor="accent1"/>
        </w:rPr>
      </w:pPr>
      <w:r w:rsidRPr="00887069">
        <w:rPr>
          <w:rStyle w:val="Style1Char"/>
          <w:color w:val="00B050"/>
          <w:rtl/>
        </w:rPr>
        <w:t xml:space="preserve"> א"ר יהודה אמר שמואל: הלכה כדברי חכמים. פשיטא, יחיד ורבים הלכה כרבים! מהו דתימא הלכה כרבי מחבירו - ואפילו מחביריו, קא משמע לן. (סימן: נח נד חד) אמר ליה רב חננא בר חייא לרב יהודה, ואמרי לה רב הונא בר יהודה לרב יהודה, ואמרי לה רב חייא בר יהודה לרב יהודה: ומי אמר שמואל הכי? והא ההוא שטרא דנפיק מבי דינא דמר שמואל, והוה כתיב ביה: מדאתא רב ענן בר חייא ואסהיד אחתימות ידיה ואדחד דעמיה, ומנו? רב חנן בר רבה, ומדאתא רב חנן בר רבה ואסהיד אחתימות ידיה ואדחד דעמיה, ומנו? רב ענן בר חייא, אשרנוהי וקימנוהי כדחזי! א"ל: ההוא שטרא דיתמי הוה, וחש שמואל לב"ד טועין, וסבר שמואל, דלמא איכא דסבירא ליה הלכה כרבי מחבירו ולא מחביריו ובהא אפילו מחביריו, סבר: אעביד רווחא כי היכי דלא מפסדי יתמי. </w:t>
      </w:r>
      <w:r w:rsidRPr="00514CB8">
        <w:rPr>
          <w:rStyle w:val="Style1Char"/>
          <w:color w:val="auto"/>
          <w:sz w:val="22"/>
          <w:szCs w:val="22"/>
          <w:rtl/>
        </w:rPr>
        <w:t>אמר רב יהודה אמר שמואל: עד ודיין מצטרפין</w:t>
      </w:r>
      <w:r w:rsidRPr="00DC5500">
        <w:rPr>
          <w:rStyle w:val="Style1Char"/>
          <w:color w:val="4472C4" w:themeColor="accent1"/>
          <w:rtl/>
        </w:rPr>
        <w:t xml:space="preserve"> </w:t>
      </w:r>
      <w:r w:rsidRPr="0077125B">
        <w:rPr>
          <w:rStyle w:val="Style1Char"/>
          <w:color w:val="4472C4" w:themeColor="accent1"/>
          <w:rtl/>
        </w:rPr>
        <w:t>אם עד אחד החתום בשטר מעיד על כתב ידו ושני עדים מעידים על כתב יד אחד מן הדיינין או הדיין עצמו ואחר עמו מצטרפין אבל הדיין לבדו לא</w:t>
      </w:r>
      <w:r>
        <w:rPr>
          <w:rStyle w:val="Style1Char"/>
          <w:rFonts w:hint="cs"/>
          <w:color w:val="4472C4" w:themeColor="accent1"/>
        </w:rPr>
        <w:t>‍</w:t>
      </w:r>
      <w:r w:rsidRPr="0077125B">
        <w:rPr>
          <w:rStyle w:val="Style1Char"/>
          <w:color w:val="4472C4" w:themeColor="accent1"/>
          <w:rtl/>
        </w:rPr>
        <w:t xml:space="preserve"> אפילו לרבנן דאין מעיד על מנה שבשטר וכן העד אינו מצטרף עם הדיין להעיד על כתב ידו דאם כן נפיק כולי ממונא נכי ריבעא על ידו</w:t>
      </w:r>
      <w:r>
        <w:rPr>
          <w:rStyle w:val="Style1Char"/>
          <w:rFonts w:hint="cs"/>
          <w:color w:val="4472C4" w:themeColor="accent1"/>
        </w:rPr>
        <w:t>‍</w:t>
      </w:r>
      <w:r w:rsidRPr="0077125B">
        <w:rPr>
          <w:rStyle w:val="Style1Char"/>
          <w:color w:val="4472C4" w:themeColor="accent1"/>
        </w:rPr>
        <w:t>:</w:t>
      </w:r>
      <w:r w:rsidRPr="00514CB8">
        <w:rPr>
          <w:rStyle w:val="Style1Char"/>
          <w:color w:val="auto"/>
          <w:sz w:val="22"/>
          <w:szCs w:val="22"/>
          <w:rtl/>
        </w:rPr>
        <w:t>. אמר רמי בר חמא: כמה מעליא הא שמעתא! אמר רבא: מאי מעליותא? מאי דקא מסהיד סהדא לא קא מסהיד דיינא, ומאי דקא מסהיד דיינא לא קא מסהיד סהדא</w:t>
      </w:r>
      <w:r w:rsidRPr="00887069">
        <w:rPr>
          <w:rStyle w:val="Style1Char"/>
          <w:color w:val="00B050"/>
          <w:rtl/>
        </w:rPr>
        <w:t xml:space="preserve">! </w:t>
      </w:r>
      <w:r w:rsidRPr="008706C4">
        <w:rPr>
          <w:rStyle w:val="Style1Char"/>
          <w:color w:val="806000" w:themeColor="accent4" w:themeShade="80"/>
          <w:sz w:val="22"/>
          <w:szCs w:val="22"/>
          <w:rtl/>
        </w:rPr>
        <w:t xml:space="preserve">אלמא לא מצטרפי וכן הלכתא: </w:t>
      </w:r>
      <w:r w:rsidRPr="0077125B">
        <w:rPr>
          <w:rStyle w:val="Style1Char"/>
          <w:color w:val="4472C4" w:themeColor="accent1"/>
          <w:rtl/>
        </w:rPr>
        <w:t>הלכך כיון שאין השטר מתקיים ע"פ עד אחד ודיין אחד אין אנו חוששין אם הדיינין קרובים לעדים ואף על פי דגרסינן בירושלמי בפרק שבועת העדות (ה"א) שלא יהיו העדים קרובים לדיינין</w:t>
      </w:r>
      <w:r>
        <w:rPr>
          <w:rStyle w:val="Style1Char"/>
          <w:rFonts w:hint="cs"/>
          <w:color w:val="4472C4" w:themeColor="accent1"/>
        </w:rPr>
        <w:t>‍</w:t>
      </w:r>
      <w:r w:rsidRPr="0077125B">
        <w:rPr>
          <w:rStyle w:val="Style1Char"/>
          <w:color w:val="4472C4" w:themeColor="accent1"/>
          <w:rtl/>
        </w:rPr>
        <w:t xml:space="preserve"> היינו בעדים המעידין לפני הדיינין לפי שלא יקבלו עליהן הזמה</w:t>
      </w:r>
      <w:r>
        <w:rPr>
          <w:rStyle w:val="Style1Char"/>
          <w:rFonts w:hint="cs"/>
          <w:color w:val="4472C4" w:themeColor="accent1"/>
        </w:rPr>
        <w:t>‍</w:t>
      </w:r>
      <w:r w:rsidRPr="0077125B">
        <w:rPr>
          <w:rStyle w:val="Style1Char"/>
          <w:color w:val="4472C4" w:themeColor="accent1"/>
          <w:rtl/>
        </w:rPr>
        <w:t xml:space="preserve"> וטעמא דהזמה לא שייך הכא. וה"ר יונה ז"ל כתב אם שני דייני הקיום</w:t>
      </w:r>
      <w:r>
        <w:rPr>
          <w:rStyle w:val="Style1Char"/>
          <w:rFonts w:hint="cs"/>
          <w:color w:val="4472C4" w:themeColor="accent1"/>
        </w:rPr>
        <w:t>‍</w:t>
      </w:r>
      <w:r w:rsidRPr="0077125B">
        <w:rPr>
          <w:rStyle w:val="Style1Char"/>
          <w:color w:val="4472C4" w:themeColor="accent1"/>
          <w:rtl/>
        </w:rPr>
        <w:t xml:space="preserve"> כל אחד מעיד על כתב ידו השטר מקויים ולא אמרינן על כתב ידן הן מעידים אלא כל אחד ואחד מהן מעיד על קיום השטר שהוא כשר והרי הם כשני עדים שמקיימין השטר ודברים של טעם הם</w:t>
      </w:r>
      <w:r w:rsidRPr="0077125B">
        <w:rPr>
          <w:rStyle w:val="Style1Char"/>
          <w:color w:val="4472C4" w:themeColor="accent1"/>
        </w:rPr>
        <w:t xml:space="preserve">: </w:t>
      </w:r>
    </w:p>
    <w:p w14:paraId="02BB44EB" w14:textId="2BBB96C6" w:rsidR="00DA1858" w:rsidRDefault="00DA1858" w:rsidP="00DA1858">
      <w:pPr>
        <w:bidi/>
        <w:rPr>
          <w:rStyle w:val="Style1Char"/>
          <w:color w:val="00B050"/>
          <w:rtl/>
        </w:rPr>
      </w:pPr>
      <w:r w:rsidRPr="00887069">
        <w:rPr>
          <w:rStyle w:val="Style1Char"/>
          <w:color w:val="00B050"/>
          <w:rtl/>
        </w:rPr>
        <w:t xml:space="preserve">אלא, כי אתא רמי בר יחזקאל אמר: </w:t>
      </w:r>
      <w:r w:rsidR="00005F04">
        <w:rPr>
          <w:rStyle w:val="Style1Char"/>
          <w:rFonts w:hint="cs"/>
          <w:rtl/>
        </w:rPr>
        <w:t>(</w:t>
      </w:r>
      <w:r w:rsidR="00986BBD">
        <w:rPr>
          <w:rStyle w:val="Style1Char"/>
          <w:rFonts w:hint="cs"/>
          <w:rtl/>
        </w:rPr>
        <w:t>5</w:t>
      </w:r>
      <w:r w:rsidR="00005F04">
        <w:rPr>
          <w:rStyle w:val="Style1Char"/>
          <w:rFonts w:hint="cs"/>
          <w:rtl/>
        </w:rPr>
        <w:t>)</w:t>
      </w:r>
      <w:r w:rsidRPr="00887069">
        <w:rPr>
          <w:rStyle w:val="Style1Char"/>
          <w:color w:val="00B050"/>
          <w:rtl/>
        </w:rPr>
        <w:t xml:space="preserve">לא תציתינהו להני כללי דכייל יהודה אחי משמיה דשמואל. </w:t>
      </w:r>
    </w:p>
    <w:p w14:paraId="47AE30AC" w14:textId="7C30059E" w:rsidR="00764EEA" w:rsidRDefault="00764EEA" w:rsidP="00764EEA">
      <w:pPr>
        <w:pStyle w:val="Style1"/>
        <w:rPr>
          <w:rStyle w:val="Style1Char"/>
          <w:rtl/>
        </w:rPr>
      </w:pPr>
      <w:r>
        <w:rPr>
          <w:rStyle w:val="Style1Char"/>
          <w:rFonts w:hint="cs"/>
          <w:rtl/>
        </w:rPr>
        <w:t>1)[</w:t>
      </w:r>
      <w:r w:rsidRPr="00764EEA">
        <w:rPr>
          <w:rStyle w:val="Style1Char"/>
          <w:rtl/>
        </w:rPr>
        <w:t>רמב</w:t>
      </w:r>
      <w:r w:rsidR="0057095E">
        <w:rPr>
          <w:rStyle w:val="Style1Char"/>
          <w:rtl/>
        </w:rPr>
        <w:t>”ם \שופטים\</w:t>
      </w:r>
      <w:r w:rsidRPr="00764EEA">
        <w:rPr>
          <w:rStyle w:val="Style1Char"/>
          <w:rtl/>
        </w:rPr>
        <w:t xml:space="preserve"> הלכות עדות פרק ז הלכה ג</w:t>
      </w:r>
      <w:r>
        <w:rPr>
          <w:rStyle w:val="Style1Char"/>
          <w:rFonts w:hint="cs"/>
          <w:rtl/>
        </w:rPr>
        <w:t xml:space="preserve">] </w:t>
      </w:r>
      <w:r w:rsidRPr="00764EEA">
        <w:rPr>
          <w:rStyle w:val="Style1Char"/>
          <w:rtl/>
        </w:rPr>
        <w:t>שטר שעדיו ראובן ושמעון ובאו שנים והעידו שזה כתב ידו של ראובן וזה כתב ידו של שמעון נתקיים השטר, אבל אם העיד זה על כתב ידו של</w:t>
      </w:r>
      <w:r>
        <w:rPr>
          <w:rStyle w:val="Style1Char"/>
          <w:rFonts w:hint="cs"/>
          <w:rtl/>
        </w:rPr>
        <w:t xml:space="preserve"> </w:t>
      </w:r>
      <w:r w:rsidRPr="00764EEA">
        <w:rPr>
          <w:rStyle w:val="Style1Char"/>
          <w:rtl/>
        </w:rPr>
        <w:t>ראובן והשני העיד על כתב ידו של שמעון לא נתקיים השטר לפי שצריך שני עדים על כתב כל יד אחד משניהם, ואם יש שלישי מעיד על כתב ראובן ושמעון כאחד נתקיים.</w:t>
      </w:r>
    </w:p>
    <w:p w14:paraId="5A2B152C" w14:textId="1434313E" w:rsidR="004864BB" w:rsidRPr="004864BB" w:rsidRDefault="002F6A65" w:rsidP="004864BB">
      <w:pPr>
        <w:pStyle w:val="Style1"/>
      </w:pPr>
      <w:r>
        <w:rPr>
          <w:rStyle w:val="Style1Char"/>
          <w:rFonts w:hint="cs"/>
          <w:rtl/>
        </w:rPr>
        <w:t>1)[</w:t>
      </w:r>
      <w:r w:rsidRPr="002F6A65">
        <w:rPr>
          <w:rStyle w:val="Style1Char"/>
          <w:rtl/>
        </w:rPr>
        <w:t>שולחן ערוך חושן משפט הלכות עדות סימן כח סעיף י</w:t>
      </w:r>
      <w:r>
        <w:rPr>
          <w:rStyle w:val="Style1Char"/>
          <w:rFonts w:hint="cs"/>
          <w:rtl/>
        </w:rPr>
        <w:t>]</w:t>
      </w:r>
      <w:r w:rsidR="004864BB">
        <w:rPr>
          <w:rStyle w:val="Style1Char"/>
          <w:rFonts w:hint="cs"/>
          <w:rtl/>
        </w:rPr>
        <w:t xml:space="preserve"> </w:t>
      </w:r>
      <w:r w:rsidR="004864BB" w:rsidRPr="004864BB">
        <w:rPr>
          <w:rtl/>
        </w:rPr>
        <w:t>אם העדים אומרים עדותן מכוונת בלשון אחד ממש יש לחוש שמשקרים ובעצה אחת כיוונו לשונם וצריך לחקרם ולדרוש אותם</w:t>
      </w:r>
      <w:r w:rsidR="004864BB" w:rsidRPr="004864BB">
        <w:t>:</w:t>
      </w:r>
    </w:p>
    <w:p w14:paraId="41D821CF" w14:textId="1DF1DD25" w:rsidR="004864BB" w:rsidRDefault="004864BB" w:rsidP="004864BB">
      <w:pPr>
        <w:pStyle w:val="Style1"/>
        <w:rPr>
          <w:rtl/>
        </w:rPr>
      </w:pPr>
      <w:r w:rsidRPr="004864BB">
        <w:rPr>
          <w:rFonts w:hint="cs"/>
          <w:rtl/>
        </w:rPr>
        <w:t>הגה: ואם העד האחד אמר עדותו והשני אמר אף אני כמוהו ידעתי לא מהני אא"כ הלך למדינת הים וא"א לו להעיד בפירוש (רבי' ירוחם נ"ב ח"ב ובמרדכי פרק נגמר הדין)</w:t>
      </w:r>
      <w:r w:rsidRPr="004864BB">
        <w:t>:</w:t>
      </w:r>
    </w:p>
    <w:p w14:paraId="47087180" w14:textId="08B135C1" w:rsidR="0021472F" w:rsidRPr="0021472F" w:rsidRDefault="00CE2510" w:rsidP="0021472F">
      <w:pPr>
        <w:pStyle w:val="Style1"/>
      </w:pPr>
      <w:r>
        <w:rPr>
          <w:rFonts w:hint="cs"/>
          <w:rtl/>
        </w:rPr>
        <w:t>1)[</w:t>
      </w:r>
      <w:r>
        <w:rPr>
          <w:rtl/>
        </w:rPr>
        <w:t>שולחן ערוך חושן משפט הלכות עדות סימן כח סעיף יא</w:t>
      </w:r>
      <w:r>
        <w:rPr>
          <w:rFonts w:hint="cs"/>
          <w:rtl/>
        </w:rPr>
        <w:t>]</w:t>
      </w:r>
      <w:r w:rsidR="0021472F">
        <w:rPr>
          <w:rFonts w:hint="cs"/>
          <w:rtl/>
        </w:rPr>
        <w:t xml:space="preserve"> </w:t>
      </w:r>
      <w:r w:rsidR="0021472F" w:rsidRPr="0021472F">
        <w:rPr>
          <w:rtl/>
        </w:rPr>
        <w:t>העדים ששלחו עדותן בכתב לב"ד אינו עדות דכתיב על פי שנים עדים מפיהם ולא מפי כתבם</w:t>
      </w:r>
      <w:r w:rsidR="0021472F" w:rsidRPr="0021472F">
        <w:t>:</w:t>
      </w:r>
    </w:p>
    <w:p w14:paraId="29F706BB" w14:textId="0994A891" w:rsidR="0021472F" w:rsidRDefault="0021472F" w:rsidP="0021472F">
      <w:pPr>
        <w:pStyle w:val="Style1"/>
        <w:rPr>
          <w:rtl/>
        </w:rPr>
      </w:pPr>
      <w:r w:rsidRPr="0021472F">
        <w:rPr>
          <w:rFonts w:hint="cs"/>
          <w:rtl/>
        </w:rPr>
        <w:t>הגה: וכן נוהגין ודלא כיש מכשירין אם העדים ראויין להעיד ואינם אלמים (טור בשם רבינו תם)</w:t>
      </w:r>
      <w:r w:rsidRPr="0021472F">
        <w:t>:</w:t>
      </w:r>
    </w:p>
    <w:p w14:paraId="27137DCC" w14:textId="199AEAEB" w:rsidR="00242C98" w:rsidRDefault="00242C98" w:rsidP="00242C98">
      <w:pPr>
        <w:pStyle w:val="Style1"/>
        <w:rPr>
          <w:rtl/>
        </w:rPr>
      </w:pPr>
      <w:r>
        <w:rPr>
          <w:rFonts w:hint="cs"/>
          <w:rtl/>
        </w:rPr>
        <w:t>2)[</w:t>
      </w:r>
      <w:r>
        <w:rPr>
          <w:rtl/>
        </w:rPr>
        <w:t>רמב</w:t>
      </w:r>
      <w:r w:rsidR="0057095E">
        <w:rPr>
          <w:rtl/>
        </w:rPr>
        <w:t>”ם \שופטים\</w:t>
      </w:r>
      <w:r>
        <w:rPr>
          <w:rtl/>
        </w:rPr>
        <w:t xml:space="preserve"> הלכות עדות פרק ז הלכה ה</w:t>
      </w:r>
      <w:r>
        <w:rPr>
          <w:rFonts w:hint="cs"/>
          <w:rtl/>
        </w:rPr>
        <w:t xml:space="preserve">] </w:t>
      </w:r>
      <w:r>
        <w:rPr>
          <w:rtl/>
        </w:rPr>
        <w:t>שנים שחתומין על השטר ומת אחד מהן צריך שני עדים להעיד על כתב ידו של מת ואם לא נמצא אלא עד אחד עם זה העד החי כותב חתימת ידו בפני עדים אפילו על החרס ומשליכו בבית דין עד שתוחזק כתב ידו בבית דין ולא יהיה צריך לומר שזה כתב ידו, ויעיד הוא ואחר על כתב ידי המת ויתקיים כתב ידו שלא בפניו.</w:t>
      </w:r>
    </w:p>
    <w:p w14:paraId="3926F409" w14:textId="2E4674E2" w:rsidR="00A94E9F" w:rsidRDefault="00A94E9F" w:rsidP="00A94E9F">
      <w:pPr>
        <w:pStyle w:val="Style1"/>
        <w:rPr>
          <w:rtl/>
        </w:rPr>
      </w:pPr>
      <w:r>
        <w:rPr>
          <w:rFonts w:hint="cs"/>
          <w:rtl/>
        </w:rPr>
        <w:t>2)[</w:t>
      </w:r>
      <w:r>
        <w:rPr>
          <w:rtl/>
        </w:rPr>
        <w:t>שולחן ערוך חושן משפט הלכות עדות סימן כח סעיף יג</w:t>
      </w:r>
      <w:r>
        <w:rPr>
          <w:rFonts w:hint="cs"/>
          <w:rtl/>
        </w:rPr>
        <w:t xml:space="preserve">] </w:t>
      </w:r>
      <w:r w:rsidRPr="00A718B7">
        <w:rPr>
          <w:rtl/>
        </w:rPr>
        <w:t>כל זמן שזוכר האדם יכול להעיד לעולם ואינו חושש שמא מתוך שנתיישן הדבר הרבה אינו זוכרו על בוריו אפי' אינו נזכר לעדות אלא מתוך הכתב שכשמסרוהו לו כתבו בפנקסו לזכרון דברים ושכח הדבר ואינו נזכר אלא מתוך הכתב יכול להעיד והוא שאחר שראה הכתב נזכר לדבר</w:t>
      </w:r>
      <w:r w:rsidRPr="00A718B7">
        <w:t>. </w:t>
      </w:r>
      <w:r w:rsidRPr="00A718B7">
        <w:rPr>
          <w:rFonts w:hint="cs"/>
        </w:rPr>
        <w:t>(</w:t>
      </w:r>
      <w:r w:rsidRPr="00A718B7">
        <w:rPr>
          <w:rFonts w:hint="cs"/>
          <w:rtl/>
        </w:rPr>
        <w:t>וע' לקמן </w:t>
      </w:r>
      <w:hyperlink r:id="rId46" w:anchor="%D7%A1%D7%A2%D7%99%D7%A3_%D7%99" w:tooltip="שולחן ערוך חושן משפט מו" w:history="1">
        <w:r w:rsidRPr="00A718B7">
          <w:rPr>
            <w:rFonts w:hint="cs"/>
            <w:rtl/>
          </w:rPr>
          <w:t>סי' מ"ו סעיף י</w:t>
        </w:r>
        <w:r w:rsidRPr="00A718B7">
          <w:rPr>
            <w:rFonts w:hint="cs"/>
          </w:rPr>
          <w:t>'</w:t>
        </w:r>
      </w:hyperlink>
      <w:r w:rsidRPr="00A718B7">
        <w:rPr>
          <w:rFonts w:hint="cs"/>
        </w:rPr>
        <w:t>)</w:t>
      </w:r>
      <w:r w:rsidRPr="00A718B7">
        <w:t>:</w:t>
      </w:r>
    </w:p>
    <w:p w14:paraId="5D90C722" w14:textId="02CD2838" w:rsidR="00F61A4A" w:rsidRPr="00F61A4A" w:rsidRDefault="004F331D" w:rsidP="00F61A4A">
      <w:pPr>
        <w:pStyle w:val="Style1"/>
      </w:pPr>
      <w:r>
        <w:rPr>
          <w:rFonts w:hint="cs"/>
          <w:rtl/>
        </w:rPr>
        <w:lastRenderedPageBreak/>
        <w:t>3)[</w:t>
      </w:r>
      <w:r>
        <w:rPr>
          <w:rtl/>
        </w:rPr>
        <w:t>שולחן ערוך חושן משפט הלכות הלואה סימן סט סעיף ב</w:t>
      </w:r>
      <w:r>
        <w:rPr>
          <w:rFonts w:hint="cs"/>
          <w:rtl/>
        </w:rPr>
        <w:t>]</w:t>
      </w:r>
      <w:r w:rsidR="00F61A4A">
        <w:rPr>
          <w:rFonts w:hint="cs"/>
          <w:rtl/>
        </w:rPr>
        <w:t xml:space="preserve"> </w:t>
      </w:r>
      <w:r w:rsidR="00F61A4A" w:rsidRPr="00F61A4A">
        <w:rPr>
          <w:rtl/>
        </w:rPr>
        <w:t>אפי' נתקיים בב"ד שהוא כתב ידו אין לו אלא דין מלוה על פה בעדים ואינו גובה לא מן היורשים ולא מן הלקוחות אלא ממנו אם הודה שלא פרע אבל אם טוען פרעתי נאמן ונשבע היסת ונפטר ואינו יכול לומר שטרך בידי מאי בעי שאינו חושש להניחו בידו כיון שאינו שטר גמור ואם מודה לו מקצת נשבע שבועה דאורייתא ואם כפר ואמר שאינו כתב ידו אם נתקיים בב"ד או שעדים מעידים שהוא כתב ידו הוחזק כפרן ומשלם ואם לאו נשבע היסת ונפטר</w:t>
      </w:r>
      <w:r w:rsidR="00F61A4A" w:rsidRPr="00F61A4A">
        <w:t>:</w:t>
      </w:r>
    </w:p>
    <w:p w14:paraId="16345000" w14:textId="77777777" w:rsidR="00F61A4A" w:rsidRPr="00F61A4A" w:rsidRDefault="00F61A4A" w:rsidP="00F61A4A">
      <w:pPr>
        <w:pStyle w:val="Style1"/>
      </w:pPr>
      <w:r w:rsidRPr="00F61A4A">
        <w:rPr>
          <w:rFonts w:hint="cs"/>
          <w:rtl/>
        </w:rPr>
        <w:t>הגה: וי"א דאינו יכול לומר פרעתי על כ"י (טור בשם הרמ"ה ומגיד פי"א מה' מלוה ונ"י ס"פ המוכר את הבית ומרדכי פ' ג"פ) ואין לדיין בזה אלא מה שעיניו רואות (ריב"ש סי' תנ"ד)</w:t>
      </w:r>
      <w:r w:rsidRPr="00F61A4A">
        <w:t>:</w:t>
      </w:r>
    </w:p>
    <w:p w14:paraId="6FEDD202" w14:textId="77777777" w:rsidR="00F61A4A" w:rsidRPr="00F61A4A" w:rsidRDefault="00F61A4A" w:rsidP="00F61A4A">
      <w:pPr>
        <w:pStyle w:val="Style1"/>
      </w:pPr>
      <w:r w:rsidRPr="00F61A4A">
        <w:rPr>
          <w:rtl/>
        </w:rPr>
        <w:t>ואם טוען ואומר אמת כי היא חתימתי אבל מעולם לא חתמתי על הודאת הלואה אלא שכחתי וחתמתי שמי בסוף מגילה ואפשר שמצאה זה וכתב עליה</w:t>
      </w:r>
      <w:r w:rsidRPr="00F61A4A">
        <w:t>:</w:t>
      </w:r>
    </w:p>
    <w:p w14:paraId="119E97E8" w14:textId="77777777" w:rsidR="00F61A4A" w:rsidRPr="00F61A4A" w:rsidRDefault="00F61A4A" w:rsidP="00F61A4A">
      <w:pPr>
        <w:pStyle w:val="Style1"/>
      </w:pPr>
      <w:r w:rsidRPr="00F61A4A">
        <w:rPr>
          <w:rFonts w:hint="cs"/>
          <w:rtl/>
        </w:rPr>
        <w:t>הגה: ולא מהני טענה זו אלא בטוען ודאי לא חתמתי שמי מעולם אבל אם טוען טענת שמא לא מהני (ב"י בשם התרומות)</w:t>
      </w:r>
      <w:r w:rsidRPr="00F61A4A">
        <w:t>:</w:t>
      </w:r>
    </w:p>
    <w:p w14:paraId="0C365874" w14:textId="77777777" w:rsidR="00F61A4A" w:rsidRPr="00F61A4A" w:rsidRDefault="00F61A4A" w:rsidP="00F61A4A">
      <w:pPr>
        <w:pStyle w:val="Style1"/>
      </w:pPr>
      <w:r w:rsidRPr="00F61A4A">
        <w:rPr>
          <w:rtl/>
        </w:rPr>
        <w:t>או שטוען אמנה היתה הודאתי זאת ביני לבינו אבל לא לויתי הלואה זו מעולם נאמן בהיסת במיגו שאם היה רוצה היה אומר פרעתי ואם כתוב בו נאמנות אם נתקיימה חתימתו אינו נאמן לומר פרעתי שאלו פרעו לא היה מניחו בידו כיון שיש בו נאמנות ואם לא נתקיימה חתימתו וטען פרעתי נאמן בשבועת היסת</w:t>
      </w:r>
      <w:r w:rsidRPr="00F61A4A">
        <w:t>.</w:t>
      </w:r>
    </w:p>
    <w:p w14:paraId="1BEC2452" w14:textId="79CA0A81" w:rsidR="00F61A4A" w:rsidRDefault="00F61A4A" w:rsidP="00F61A4A">
      <w:pPr>
        <w:pStyle w:val="Style1"/>
        <w:rPr>
          <w:rtl/>
        </w:rPr>
      </w:pPr>
      <w:r w:rsidRPr="00F61A4A">
        <w:rPr>
          <w:rFonts w:hint="cs"/>
        </w:rPr>
        <w:t>(</w:t>
      </w:r>
      <w:r w:rsidRPr="00F61A4A">
        <w:rPr>
          <w:rFonts w:hint="cs"/>
          <w:rtl/>
        </w:rPr>
        <w:t>ועי' לקמן </w:t>
      </w:r>
      <w:hyperlink r:id="rId47" w:anchor="%D7%A1%D7%A2%D7%99%D7%A3_%D7%99%D7%92" w:tooltip="שולחן ערוך חושן משפט קכו" w:history="1">
        <w:r w:rsidRPr="00F61A4A">
          <w:rPr>
            <w:rStyle w:val="Hyperlink"/>
            <w:rFonts w:hint="cs"/>
            <w:color w:val="7030A0"/>
            <w:u w:val="none"/>
            <w:rtl/>
          </w:rPr>
          <w:t>סי' קכ"ו סי"ג</w:t>
        </w:r>
      </w:hyperlink>
      <w:r w:rsidRPr="00F61A4A">
        <w:rPr>
          <w:rFonts w:hint="cs"/>
        </w:rPr>
        <w:t> </w:t>
      </w:r>
      <w:r w:rsidRPr="00F61A4A">
        <w:rPr>
          <w:rFonts w:hint="cs"/>
          <w:rtl/>
        </w:rPr>
        <w:t>וי"ד אם נאמן לומר טעיתי במגו דפרעתי</w:t>
      </w:r>
      <w:r w:rsidRPr="00F61A4A">
        <w:rPr>
          <w:rFonts w:hint="cs"/>
        </w:rPr>
        <w:t>)</w:t>
      </w:r>
      <w:r w:rsidRPr="00F61A4A">
        <w:t>:</w:t>
      </w:r>
    </w:p>
    <w:p w14:paraId="5701DF03" w14:textId="7E6BE37E" w:rsidR="00BF16A2" w:rsidRDefault="00BF16A2" w:rsidP="00BF16A2">
      <w:pPr>
        <w:pStyle w:val="Style1"/>
        <w:rPr>
          <w:rtl/>
        </w:rPr>
      </w:pPr>
      <w:r>
        <w:rPr>
          <w:rFonts w:hint="cs"/>
          <w:rtl/>
        </w:rPr>
        <w:t>4)[</w:t>
      </w:r>
      <w:r>
        <w:rPr>
          <w:rtl/>
        </w:rPr>
        <w:t>רמב</w:t>
      </w:r>
      <w:r w:rsidR="0057095E">
        <w:rPr>
          <w:rtl/>
        </w:rPr>
        <w:t>”ם \משפטים\</w:t>
      </w:r>
      <w:r>
        <w:rPr>
          <w:rtl/>
        </w:rPr>
        <w:t xml:space="preserve"> הלכות מלוה ולוה פרק יא הלכה ג</w:t>
      </w:r>
      <w:r>
        <w:rPr>
          <w:rFonts w:hint="cs"/>
          <w:rtl/>
        </w:rPr>
        <w:t xml:space="preserve">] </w:t>
      </w:r>
      <w:r>
        <w:rPr>
          <w:rtl/>
        </w:rPr>
        <w:t>הוציא עליו כתב ידו שהוא חייב לו ואין שם עדים אף על פי שהוחזק כתב ידו בבית דין הרי זה כמלוה ע"פ לכל דבר, ואם טען שפרע נשבע היסת ונפטר ואינו גובה בכתב זה לא מן היורשין ולא מן הלקוחות.</w:t>
      </w:r>
    </w:p>
    <w:p w14:paraId="013D82A9" w14:textId="78455775" w:rsidR="00E1267D" w:rsidRDefault="00E1267D" w:rsidP="00E1267D">
      <w:pPr>
        <w:pStyle w:val="Style1"/>
        <w:rPr>
          <w:rtl/>
        </w:rPr>
      </w:pPr>
      <w:r>
        <w:rPr>
          <w:rFonts w:hint="cs"/>
          <w:rtl/>
        </w:rPr>
        <w:t>4)[</w:t>
      </w:r>
      <w:r>
        <w:rPr>
          <w:rtl/>
        </w:rPr>
        <w:t>רמב</w:t>
      </w:r>
      <w:r w:rsidR="0057095E">
        <w:rPr>
          <w:rtl/>
        </w:rPr>
        <w:t>”ם \משפטים\</w:t>
      </w:r>
      <w:r>
        <w:rPr>
          <w:rtl/>
        </w:rPr>
        <w:t xml:space="preserve"> הלכות מלוה ולוה פרק כז הלכה ב</w:t>
      </w:r>
      <w:r>
        <w:rPr>
          <w:rFonts w:hint="cs"/>
          <w:rtl/>
        </w:rPr>
        <w:t xml:space="preserve">] </w:t>
      </w:r>
      <w:r>
        <w:rPr>
          <w:rtl/>
        </w:rPr>
        <w:t>שטר שעדיו עכו"ם שמסרו הלוה ליד המלוה או המוכר ליד הלוקח בפני שני עדים מישראל אף על פי שאינו עשוי בערכאות של עכו"ם ואין בו כל הדברים שמנינו ה"ז גובה מבני חורין, והוא שיהיו העדים שמסר בפניהם יודעין לקרותו וקראוהו כשמסרו בפניהן ויהיה כתיקון שטר ישראל שאינו יכול להזדייף ולא להוסיף ולא לגרוע, ולמה לא יגבה בו מן המשועבדים מפני שאין לו קול.</w:t>
      </w:r>
    </w:p>
    <w:p w14:paraId="39D27989" w14:textId="153740D2" w:rsidR="004C4659" w:rsidRPr="004C4659" w:rsidRDefault="00A6434E" w:rsidP="004C4659">
      <w:pPr>
        <w:pStyle w:val="Style1"/>
      </w:pPr>
      <w:r>
        <w:rPr>
          <w:rFonts w:hint="cs"/>
          <w:rtl/>
        </w:rPr>
        <w:t>4)[</w:t>
      </w:r>
      <w:r>
        <w:rPr>
          <w:rtl/>
        </w:rPr>
        <w:t>שולחן ערוך חושן משפט הלכות הלואה סימן לט סעיף א</w:t>
      </w:r>
      <w:r>
        <w:rPr>
          <w:rFonts w:hint="cs"/>
          <w:rtl/>
        </w:rPr>
        <w:t>]</w:t>
      </w:r>
      <w:r w:rsidR="004C4659">
        <w:rPr>
          <w:rFonts w:hint="cs"/>
          <w:rtl/>
        </w:rPr>
        <w:t xml:space="preserve"> </w:t>
      </w:r>
      <w:r w:rsidR="004C4659" w:rsidRPr="004C4659">
        <w:rPr>
          <w:rtl/>
        </w:rPr>
        <w:t>המלוה את חבירו בעדים או שהודה בפני עדים שהוא חייב לו נקרא מלוה על פה ואינו גובה מהמשועבדים והמלוה את חבירו בשטר </w:t>
      </w:r>
      <w:r w:rsidR="004C4659" w:rsidRPr="004C4659">
        <w:rPr>
          <w:rFonts w:hint="cs"/>
        </w:rPr>
        <w:t>(</w:t>
      </w:r>
      <w:r w:rsidR="004C4659" w:rsidRPr="004C4659">
        <w:rPr>
          <w:rFonts w:hint="cs"/>
          <w:rtl/>
        </w:rPr>
        <w:t>גובה מן המשועבדים</w:t>
      </w:r>
      <w:r w:rsidR="004C4659" w:rsidRPr="004C4659">
        <w:rPr>
          <w:rFonts w:hint="cs"/>
        </w:rPr>
        <w:t>)</w:t>
      </w:r>
      <w:r w:rsidR="004C4659" w:rsidRPr="004C4659">
        <w:t> </w:t>
      </w:r>
      <w:r w:rsidR="004C4659" w:rsidRPr="004C4659">
        <w:rPr>
          <w:rtl/>
        </w:rPr>
        <w:t>אפילו לא כתב אחריות דקי"ל אחריות טעות סופר הוא ואם יש עדים שקנו מידו אפי' לא נכתב גובה ממשעבדי</w:t>
      </w:r>
      <w:r w:rsidR="004C4659" w:rsidRPr="004C4659">
        <w:t>:</w:t>
      </w:r>
    </w:p>
    <w:p w14:paraId="5A8D5928" w14:textId="567FBC17" w:rsidR="004C4659" w:rsidRDefault="004C4659" w:rsidP="004C4659">
      <w:pPr>
        <w:pStyle w:val="Style1"/>
        <w:rPr>
          <w:rtl/>
        </w:rPr>
      </w:pPr>
      <w:r w:rsidRPr="004C4659">
        <w:rPr>
          <w:rFonts w:hint="cs"/>
          <w:rtl/>
        </w:rPr>
        <w:t>הגה: ועי' לקמן </w:t>
      </w:r>
      <w:hyperlink r:id="rId48" w:tooltip="שולחן ערוך חושן משפט סא" w:history="1">
        <w:r w:rsidRPr="004C4659">
          <w:rPr>
            <w:rStyle w:val="Hyperlink"/>
            <w:rFonts w:hint="cs"/>
            <w:color w:val="7030A0"/>
            <w:u w:val="none"/>
            <w:rtl/>
          </w:rPr>
          <w:t>סי' ס"א</w:t>
        </w:r>
      </w:hyperlink>
      <w:r w:rsidRPr="004C4659">
        <w:rPr>
          <w:rFonts w:hint="cs"/>
        </w:rPr>
        <w:t> </w:t>
      </w:r>
      <w:r w:rsidRPr="004C4659">
        <w:rPr>
          <w:rFonts w:hint="cs"/>
          <w:rtl/>
        </w:rPr>
        <w:t>ס"ב וסעיף י' איזה מיקרי שטר. ועי' לקמן ריש </w:t>
      </w:r>
      <w:hyperlink r:id="rId49" w:tooltip="שולחן ערוך חושן משפט רכה" w:history="1">
        <w:r w:rsidRPr="004C4659">
          <w:rPr>
            <w:rStyle w:val="Hyperlink"/>
            <w:rFonts w:hint="cs"/>
            <w:color w:val="7030A0"/>
            <w:u w:val="none"/>
            <w:rtl/>
          </w:rPr>
          <w:t>סי' רכ"ה</w:t>
        </w:r>
      </w:hyperlink>
      <w:r w:rsidRPr="004C4659">
        <w:rPr>
          <w:rFonts w:hint="cs"/>
        </w:rPr>
        <w:t> </w:t>
      </w:r>
      <w:r w:rsidRPr="004C4659">
        <w:rPr>
          <w:rFonts w:hint="cs"/>
          <w:rtl/>
        </w:rPr>
        <w:t>מדין אחריות טעות סופר</w:t>
      </w:r>
      <w:r w:rsidRPr="004C4659">
        <w:t>:</w:t>
      </w:r>
    </w:p>
    <w:p w14:paraId="5D6E64BB" w14:textId="1FB1C81B" w:rsidR="00586F76" w:rsidRPr="00586F76" w:rsidRDefault="00BD3D0D" w:rsidP="00586F76">
      <w:pPr>
        <w:pStyle w:val="Style1"/>
      </w:pPr>
      <w:r>
        <w:rPr>
          <w:rFonts w:hint="cs"/>
          <w:rtl/>
        </w:rPr>
        <w:t>4)[</w:t>
      </w:r>
      <w:r>
        <w:rPr>
          <w:rtl/>
        </w:rPr>
        <w:t>שולחן ערוך חושן משפט הלכות הלואה סימן סט סעיף א</w:t>
      </w:r>
      <w:r>
        <w:rPr>
          <w:rFonts w:hint="cs"/>
          <w:rtl/>
        </w:rPr>
        <w:t>]</w:t>
      </w:r>
      <w:r w:rsidR="00586F76">
        <w:rPr>
          <w:rFonts w:hint="cs"/>
          <w:rtl/>
        </w:rPr>
        <w:t xml:space="preserve"> </w:t>
      </w:r>
      <w:r w:rsidR="00586F76" w:rsidRPr="00586F76">
        <w:rPr>
          <w:rtl/>
        </w:rPr>
        <w:t>הוציא עליו כתב ידו שהוא חייב לו גובה מנכסים בני חורין בין שכתב אני פלוני הבא על החתום מודה שאני חייב לפלוני מנה וחתם למטה בין שכתוב בכתב יד אחר והוא חתום למטה וה"ה אם לא חתם למטה אלא כתב אני פלוני בן פלוני חייב לך מנה אלא שבזה יש חילוק שכשחתם למטה אפי' כל העליון כתב יד אחר גובה אבל כשחתם שמו למעלה צריך שיהא הכל בכתיבת ידו דשמא חתם שמו בראש המגילה ומצאו אחר וכתב תחתיו אבל כשהכל הוא כתב ידו ליכא למיחש לזיופי אפי' לא כתב שמו אלא שכתב אני חייב לפלו' כו"כ כיון שהוא כתב ידו חייב לפיכך הפיתקות שהשותפים מוציאים זה על זה הואיל והוא כתב ידם אפילו אין בו חתימה כלל אלא קבלתי ביום פלוני כך וכך גובין בו מבני חורין ואינו נאמן לומר לא היו דברים מעולם</w:t>
      </w:r>
      <w:r w:rsidR="00586F76" w:rsidRPr="00586F76">
        <w:t>:</w:t>
      </w:r>
    </w:p>
    <w:p w14:paraId="6F1B3EA2" w14:textId="65700814" w:rsidR="00586F76" w:rsidRDefault="00586F76" w:rsidP="00586F76">
      <w:pPr>
        <w:pStyle w:val="Style1"/>
        <w:rPr>
          <w:rtl/>
        </w:rPr>
      </w:pPr>
      <w:r w:rsidRPr="00586F76">
        <w:rPr>
          <w:rFonts w:hint="cs"/>
          <w:rtl/>
        </w:rPr>
        <w:t>הגה: אפי' כתב לו בכתב ידו חתימת ידי דלמטה תעיד עלי כמאה עדים אפי' הכי לא הוי רק כשאר כתיבת יד (פסקי מהרא"י סי' ר"א)</w:t>
      </w:r>
      <w:r w:rsidRPr="00586F76">
        <w:t>:</w:t>
      </w:r>
    </w:p>
    <w:p w14:paraId="15F2C60E" w14:textId="2ABA4FB8" w:rsidR="0049441E" w:rsidRDefault="0049441E" w:rsidP="0049441E">
      <w:pPr>
        <w:pStyle w:val="Style1"/>
        <w:rPr>
          <w:rtl/>
        </w:rPr>
      </w:pPr>
      <w:r>
        <w:rPr>
          <w:rFonts w:hint="cs"/>
          <w:rtl/>
        </w:rPr>
        <w:t>5)[</w:t>
      </w:r>
      <w:r>
        <w:rPr>
          <w:rtl/>
        </w:rPr>
        <w:t>רמב</w:t>
      </w:r>
      <w:r w:rsidR="0057095E">
        <w:rPr>
          <w:rtl/>
        </w:rPr>
        <w:t>”ם \שופטים\</w:t>
      </w:r>
      <w:r>
        <w:rPr>
          <w:rtl/>
        </w:rPr>
        <w:t xml:space="preserve"> הלכות עדות פרק ד הלכה ו</w:t>
      </w:r>
      <w:r>
        <w:rPr>
          <w:rFonts w:hint="cs"/>
          <w:rtl/>
        </w:rPr>
        <w:t xml:space="preserve">] </w:t>
      </w:r>
      <w:r>
        <w:rPr>
          <w:rtl/>
        </w:rPr>
        <w:t>העיד האחד בבית דין זה והעד השני בבית דין אחר יבא בית דין אצל בית דין ויצטרפו עדותן, וכן אם העידו שני העדים בבית דין זה וחזרו והעידו בב"ד אחר יבא אחד מכל בית דין ויצטרפו אבל העד עם הדיין שהעידו שני העדים בפניו אין מצטרפין.</w:t>
      </w:r>
    </w:p>
    <w:p w14:paraId="429BC3DE" w14:textId="3CE1D57A" w:rsidR="00035535" w:rsidRDefault="00035535" w:rsidP="006F06B0">
      <w:pPr>
        <w:pStyle w:val="Style1"/>
        <w:rPr>
          <w:rtl/>
        </w:rPr>
      </w:pPr>
      <w:r>
        <w:rPr>
          <w:rFonts w:hint="cs"/>
          <w:rtl/>
        </w:rPr>
        <w:t>5)[</w:t>
      </w:r>
      <w:r>
        <w:rPr>
          <w:rtl/>
        </w:rPr>
        <w:t>שולחן ערוך חושן משפט הלכות עדות סימן ל סעיף יב</w:t>
      </w:r>
      <w:r>
        <w:rPr>
          <w:rFonts w:hint="cs"/>
          <w:rtl/>
        </w:rPr>
        <w:t>]</w:t>
      </w:r>
      <w:r w:rsidR="006F06B0">
        <w:rPr>
          <w:rFonts w:hint="cs"/>
          <w:rtl/>
        </w:rPr>
        <w:t xml:space="preserve"> </w:t>
      </w:r>
      <w:r w:rsidR="006F06B0" w:rsidRPr="006F06B0">
        <w:rPr>
          <w:rtl/>
        </w:rPr>
        <w:t>וכן אם העידו שני העדים בב"ד זה וחזרו והעידו בב"ד אחר וחזרו והעידו בב"ד ג' יבא אחד מכל ב"ד ויצטרפו לעשות ב"ד חדש לדון על מה ששמעו אבל דיין שהעידו שנים לפניו אינו מצטרף עם עד אחד מהעדים שהעידו לפניו</w:t>
      </w:r>
      <w:r w:rsidR="006F06B0" w:rsidRPr="006F06B0">
        <w:t>:</w:t>
      </w:r>
    </w:p>
    <w:p w14:paraId="4AE2A2EC" w14:textId="7A369058" w:rsidR="00517F65" w:rsidRPr="00517F65" w:rsidRDefault="00205507" w:rsidP="00517F65">
      <w:pPr>
        <w:pStyle w:val="Style1"/>
      </w:pPr>
      <w:r>
        <w:rPr>
          <w:rFonts w:hint="cs"/>
          <w:rtl/>
        </w:rPr>
        <w:t>5)[</w:t>
      </w:r>
      <w:r>
        <w:rPr>
          <w:rtl/>
        </w:rPr>
        <w:t>שולחן ערוך חושן משפט הלכות הלואה סימן מו סעיף יד</w:t>
      </w:r>
      <w:r>
        <w:rPr>
          <w:rFonts w:hint="cs"/>
          <w:rtl/>
        </w:rPr>
        <w:t>]</w:t>
      </w:r>
      <w:r w:rsidR="00517F65">
        <w:rPr>
          <w:rFonts w:hint="cs"/>
          <w:rtl/>
        </w:rPr>
        <w:t xml:space="preserve"> </w:t>
      </w:r>
      <w:r w:rsidR="00517F65" w:rsidRPr="00517F65">
        <w:rPr>
          <w:rtl/>
        </w:rPr>
        <w:t>אם אין מכירים לא חתימת העדים ולא חתימת דייני הקיום ואחד מעידי השטר מעיד על כתב ידו וב' עדים מעידים על חתימת א' מהדיינים או הדיין בעצמו ואחר עמו מעיד על כתב ידו אינו מועיל דמאי דמסהיד האי לא מסהיד האי העד מעיד על מנה שבשטר והדיין מעיד על חתימת העדים</w:t>
      </w:r>
    </w:p>
    <w:p w14:paraId="7391171E" w14:textId="77777777" w:rsidR="00517F65" w:rsidRPr="00517F65" w:rsidRDefault="00517F65" w:rsidP="00517F65">
      <w:pPr>
        <w:pStyle w:val="Style1"/>
      </w:pPr>
      <w:r w:rsidRPr="00517F65">
        <w:rPr>
          <w:rFonts w:hint="cs"/>
          <w:rtl/>
        </w:rPr>
        <w:t>( וכן אם נתקיים כתב הסופר ועד א' לא הוי קיום) (ב"י בשם ר"י נ"ב ח"ח)</w:t>
      </w:r>
      <w:r w:rsidRPr="00517F65">
        <w:t> ;</w:t>
      </w:r>
    </w:p>
    <w:p w14:paraId="6D5039FC" w14:textId="19DA0221" w:rsidR="00035535" w:rsidRPr="00517F65" w:rsidRDefault="00035535" w:rsidP="00517F65">
      <w:pPr>
        <w:pStyle w:val="Style1"/>
      </w:pPr>
    </w:p>
    <w:p w14:paraId="6F72DF49" w14:textId="77777777" w:rsidR="00586F76" w:rsidRPr="00586F76" w:rsidRDefault="00586F76" w:rsidP="00586F76">
      <w:pPr>
        <w:pStyle w:val="Style1"/>
      </w:pPr>
    </w:p>
    <w:p w14:paraId="7D5FA96D" w14:textId="52826F84" w:rsidR="00BD3D0D" w:rsidRPr="004C4659" w:rsidRDefault="00BD3D0D" w:rsidP="00BD3D0D">
      <w:pPr>
        <w:pStyle w:val="Style1"/>
      </w:pPr>
    </w:p>
    <w:p w14:paraId="4854A5D9" w14:textId="77777777" w:rsidR="004C4659" w:rsidRPr="004C4659" w:rsidRDefault="004C4659" w:rsidP="004C4659">
      <w:pPr>
        <w:pStyle w:val="Style1"/>
      </w:pPr>
    </w:p>
    <w:p w14:paraId="0D3405B7" w14:textId="6A61F550" w:rsidR="00A6434E" w:rsidRPr="00F61A4A" w:rsidRDefault="00A6434E" w:rsidP="00A6434E">
      <w:pPr>
        <w:pStyle w:val="Style1"/>
      </w:pPr>
    </w:p>
    <w:p w14:paraId="0A450546" w14:textId="77777777" w:rsidR="00F61A4A" w:rsidRPr="00F61A4A" w:rsidRDefault="00F61A4A" w:rsidP="00F61A4A">
      <w:pPr>
        <w:pStyle w:val="Style1"/>
      </w:pPr>
    </w:p>
    <w:p w14:paraId="5FFED472" w14:textId="5A844356" w:rsidR="004F331D" w:rsidRPr="00F61A4A" w:rsidRDefault="004F331D" w:rsidP="00F61A4A">
      <w:pPr>
        <w:pStyle w:val="Style1"/>
        <w:rPr>
          <w:rtl/>
        </w:rPr>
      </w:pPr>
    </w:p>
    <w:p w14:paraId="506A69BB" w14:textId="77777777" w:rsidR="0021472F" w:rsidRPr="00F61A4A" w:rsidRDefault="0021472F" w:rsidP="00F61A4A">
      <w:pPr>
        <w:pStyle w:val="Style1"/>
      </w:pPr>
    </w:p>
    <w:p w14:paraId="62BD9DA5" w14:textId="0735286F" w:rsidR="00CE2510" w:rsidRPr="004864BB" w:rsidRDefault="00CE2510" w:rsidP="00CE2510">
      <w:pPr>
        <w:pStyle w:val="Style1"/>
      </w:pPr>
    </w:p>
    <w:p w14:paraId="5BA25A09" w14:textId="77777777" w:rsidR="004864BB" w:rsidRPr="004864BB" w:rsidRDefault="004864BB" w:rsidP="004864BB">
      <w:pPr>
        <w:pStyle w:val="Style1"/>
        <w:rPr>
          <w:rStyle w:val="Style1Char"/>
        </w:rPr>
      </w:pPr>
    </w:p>
    <w:p w14:paraId="60A5C59D" w14:textId="77777777" w:rsidR="00DA1858" w:rsidRDefault="00DA1858" w:rsidP="00DA1858">
      <w:pPr>
        <w:rPr>
          <w:rStyle w:val="Style1Char"/>
          <w:color w:val="00B050"/>
          <w:rtl/>
        </w:rPr>
      </w:pPr>
      <w:r>
        <w:rPr>
          <w:rStyle w:val="Style1Char"/>
          <w:color w:val="00B050"/>
          <w:rtl/>
        </w:rPr>
        <w:br w:type="page"/>
      </w:r>
    </w:p>
    <w:p w14:paraId="529B092D" w14:textId="6B120F09" w:rsidR="00DA1858" w:rsidRDefault="00DA1858" w:rsidP="00DA1858">
      <w:pPr>
        <w:bidi/>
        <w:rPr>
          <w:rStyle w:val="Style1Char"/>
          <w:color w:val="C00000"/>
          <w:sz w:val="22"/>
          <w:szCs w:val="22"/>
        </w:rPr>
      </w:pPr>
      <w:r w:rsidRPr="00295EBF">
        <w:rPr>
          <w:rStyle w:val="Style1Char"/>
          <w:color w:val="00B050"/>
          <w:sz w:val="22"/>
          <w:szCs w:val="22"/>
          <w:highlight w:val="yellow"/>
          <w:rtl/>
        </w:rPr>
        <w:lastRenderedPageBreak/>
        <w:t>[דף כא עמוד ב]</w:t>
      </w:r>
      <w:r w:rsidRPr="00295EBF">
        <w:rPr>
          <w:rStyle w:val="Style1Char"/>
          <w:color w:val="00B050"/>
          <w:sz w:val="22"/>
          <w:szCs w:val="22"/>
          <w:rtl/>
        </w:rPr>
        <w:t xml:space="preserve"> </w:t>
      </w:r>
      <w:r w:rsidRPr="00887069">
        <w:rPr>
          <w:rStyle w:val="Style1Char"/>
          <w:color w:val="00B050"/>
          <w:rtl/>
        </w:rPr>
        <w:t xml:space="preserve">איקלע רבנאי אחוה דר' חייא בר אבא למזבן שומשמי ואמר, הכי אמר שמואל: עד ודיין מצטרפין. אמר אמימר: כמה מעליא הא שמעתא! אמר ליה רב אשי לאמימר: משום דקלסה אבוה דאמך, את נמי מקלסת לה? כבר פרכה רבא. אמר רב ספרא אמר רבי אבא אמר רב יצחק בר שמואל בר מרתא אמר רב הונא, ואמרי ליה </w:t>
      </w:r>
      <w:r w:rsidRPr="00E82CA5">
        <w:rPr>
          <w:rStyle w:val="Style1Char"/>
          <w:color w:val="auto"/>
          <w:sz w:val="22"/>
          <w:szCs w:val="22"/>
          <w:rtl/>
        </w:rPr>
        <w:t xml:space="preserve">אמר רב הונא אמר רב: </w:t>
      </w:r>
      <w:r w:rsidR="00986BBD">
        <w:rPr>
          <w:rStyle w:val="Style1Char"/>
          <w:rFonts w:hint="cs"/>
          <w:rtl/>
        </w:rPr>
        <w:t>(1)</w:t>
      </w:r>
      <w:r w:rsidRPr="00E82CA5">
        <w:rPr>
          <w:rStyle w:val="Style1Char"/>
          <w:color w:val="auto"/>
          <w:sz w:val="22"/>
          <w:szCs w:val="22"/>
          <w:rtl/>
        </w:rPr>
        <w:t>שלשה שישבו לקיים את השטר, שנים מכירין חתימות ידי עדים ואחד אינו מכיר, עד שלא חתמו - מעידין בפניו וחותם, משחתמו - אין מעידין בפניו וחותם</w:t>
      </w:r>
      <w:r w:rsidRPr="008C27CA">
        <w:rPr>
          <w:rStyle w:val="Style1Char"/>
          <w:color w:val="4472C4" w:themeColor="accent1"/>
          <w:rtl/>
        </w:rPr>
        <w:t xml:space="preserve"> </w:t>
      </w:r>
      <w:r w:rsidRPr="0077125B">
        <w:rPr>
          <w:rStyle w:val="Style1Char"/>
          <w:color w:val="4472C4" w:themeColor="accent1"/>
          <w:rtl/>
        </w:rPr>
        <w:t>וצריך להעיד בפניו קודם שחתמו כולן אבל אם חתמו השנים ואח"כ העידו בפני השלישי פסול מפני שהשנים חתמו חתימת שקר שכתבו במותב תלתא הוינא ואשתמודע לנא דהאי חתימת ידייהו ובשעה שחתמו לא ידע השלישי שהוא חתימת ידם.</w:t>
      </w:r>
      <w:r>
        <w:rPr>
          <w:rStyle w:val="Style1Char"/>
          <w:rFonts w:hint="cs"/>
          <w:color w:val="4472C4" w:themeColor="accent1"/>
        </w:rPr>
        <w:t>‍</w:t>
      </w:r>
      <w:r w:rsidRPr="0077125B">
        <w:rPr>
          <w:rStyle w:val="Style1Char"/>
          <w:color w:val="4472C4" w:themeColor="accent1"/>
          <w:rtl/>
        </w:rPr>
        <w:t xml:space="preserve"> ויש לדקדק מכאן שאין צריך להעיד על חתימת העדים בפני כל שלשתן יחד</w:t>
      </w:r>
      <w:r>
        <w:rPr>
          <w:rStyle w:val="Style1Char"/>
          <w:rFonts w:hint="cs"/>
          <w:color w:val="4472C4" w:themeColor="accent1"/>
        </w:rPr>
        <w:t>‍</w:t>
      </w:r>
      <w:r w:rsidRPr="0077125B">
        <w:rPr>
          <w:rStyle w:val="Style1Char"/>
          <w:color w:val="4472C4" w:themeColor="accent1"/>
          <w:rtl/>
        </w:rPr>
        <w:t xml:space="preserve"> אלא די שיעידו בפני כל אחד ואחד בפני עצמו דלא פסלינן הכא אלא בשביל שחתמו שקר.</w:t>
      </w:r>
      <w:r w:rsidRPr="00AD65CC">
        <w:rPr>
          <w:rStyle w:val="Style1Char"/>
          <w:sz w:val="22"/>
          <w:szCs w:val="22"/>
          <w:rtl/>
        </w:rPr>
        <w:t xml:space="preserve">. </w:t>
      </w:r>
      <w:r w:rsidRPr="00887069">
        <w:rPr>
          <w:rStyle w:val="Style1Char"/>
          <w:color w:val="00B050"/>
          <w:rtl/>
        </w:rPr>
        <w:t xml:space="preserve">ומי כתבינן? </w:t>
      </w:r>
      <w:r w:rsidRPr="00DE4DFB">
        <w:rPr>
          <w:rStyle w:val="Style1Char"/>
          <w:color w:val="4472C4" w:themeColor="accent1"/>
          <w:sz w:val="22"/>
          <w:szCs w:val="22"/>
          <w:rtl/>
        </w:rPr>
        <w:t>ודייק הש"ס עד שלא חתמו הא מיכתב כתבי</w:t>
      </w:r>
      <w:r w:rsidRPr="00DE4DFB">
        <w:rPr>
          <w:rStyle w:val="Style1Char"/>
          <w:color w:val="auto"/>
          <w:sz w:val="22"/>
          <w:szCs w:val="22"/>
          <w:rtl/>
        </w:rPr>
        <w:t>.</w:t>
      </w:r>
      <w:r w:rsidRPr="0099326D">
        <w:rPr>
          <w:rStyle w:val="Style1Char"/>
          <w:sz w:val="22"/>
          <w:szCs w:val="22"/>
          <w:rtl/>
        </w:rPr>
        <w:t xml:space="preserve"> </w:t>
      </w:r>
      <w:r w:rsidRPr="00887069">
        <w:rPr>
          <w:rStyle w:val="Style1Char"/>
          <w:color w:val="00B050"/>
          <w:rtl/>
        </w:rPr>
        <w:t>וה</w:t>
      </w:r>
      <w:r w:rsidRPr="00D52E46">
        <w:rPr>
          <w:rStyle w:val="Style1Char"/>
          <w:color w:val="auto"/>
          <w:sz w:val="22"/>
          <w:szCs w:val="22"/>
          <w:rtl/>
        </w:rPr>
        <w:t>אמר</w:t>
      </w:r>
      <w:r w:rsidRPr="00887069">
        <w:rPr>
          <w:rStyle w:val="Style1Char"/>
          <w:color w:val="00B050"/>
          <w:rtl/>
        </w:rPr>
        <w:t xml:space="preserve"> </w:t>
      </w:r>
      <w:r w:rsidRPr="00D52E46">
        <w:rPr>
          <w:rStyle w:val="Style1Char"/>
          <w:color w:val="auto"/>
          <w:sz w:val="22"/>
          <w:szCs w:val="22"/>
          <w:rtl/>
        </w:rPr>
        <w:t xml:space="preserve">רב פפי </w:t>
      </w:r>
      <w:r w:rsidRPr="00887069">
        <w:rPr>
          <w:rStyle w:val="Style1Char"/>
          <w:color w:val="00B050"/>
          <w:rtl/>
        </w:rPr>
        <w:t xml:space="preserve">משמיה דרבא: </w:t>
      </w:r>
      <w:r w:rsidRPr="00D52E46">
        <w:rPr>
          <w:rStyle w:val="Style1Char"/>
          <w:color w:val="auto"/>
          <w:sz w:val="22"/>
          <w:szCs w:val="22"/>
          <w:rtl/>
        </w:rPr>
        <w:t>האי אשרתא דדייני דניכתב מקמיה דניחוו סהדי אחתימת ידייהו - פסולה, דמתחזי כשקרא</w:t>
      </w:r>
      <w:r w:rsidRPr="00887069">
        <w:rPr>
          <w:rStyle w:val="Style1Char"/>
          <w:color w:val="00B050"/>
          <w:rtl/>
        </w:rPr>
        <w:t xml:space="preserve">, </w:t>
      </w:r>
      <w:r w:rsidRPr="00AD2754">
        <w:rPr>
          <w:rStyle w:val="Style1Char"/>
          <w:color w:val="ED7D31" w:themeColor="accent2"/>
          <w:rtl/>
        </w:rPr>
        <w:t>הכא נמי מתחזי כשקרא!</w:t>
      </w:r>
      <w:r w:rsidRPr="00887069">
        <w:rPr>
          <w:rStyle w:val="Style1Char"/>
          <w:color w:val="00B050"/>
          <w:rtl/>
        </w:rPr>
        <w:t xml:space="preserve"> </w:t>
      </w:r>
      <w:r w:rsidRPr="00AD2754">
        <w:rPr>
          <w:rStyle w:val="Style1Char"/>
          <w:color w:val="ED7D31" w:themeColor="accent2"/>
          <w:rtl/>
        </w:rPr>
        <w:t>אלא אימא: עד שלא כתבו - מעידין בפניו וחותם, משכתבו - אין מעידין בפניו וחותם.</w:t>
      </w:r>
      <w:r w:rsidRPr="00887069">
        <w:rPr>
          <w:rStyle w:val="Style1Char"/>
          <w:color w:val="00B050"/>
          <w:rtl/>
        </w:rPr>
        <w:t xml:space="preserve"> </w:t>
      </w:r>
      <w:r w:rsidRPr="00006C1A">
        <w:rPr>
          <w:rStyle w:val="Style1Char"/>
          <w:color w:val="auto"/>
          <w:sz w:val="22"/>
          <w:szCs w:val="22"/>
          <w:rtl/>
        </w:rPr>
        <w:t xml:space="preserve">ש"מ תלת: ש"מ עד נעשה דיין, וש"מ </w:t>
      </w:r>
      <w:r w:rsidR="00B01361">
        <w:rPr>
          <w:rStyle w:val="Style1Char"/>
          <w:rFonts w:hint="cs"/>
          <w:rtl/>
        </w:rPr>
        <w:t>(2)</w:t>
      </w:r>
      <w:r w:rsidRPr="00006C1A">
        <w:rPr>
          <w:rStyle w:val="Style1Char"/>
          <w:color w:val="auto"/>
          <w:sz w:val="22"/>
          <w:szCs w:val="22"/>
          <w:rtl/>
        </w:rPr>
        <w:t>דיינין המכירין חתימות ידי עדים - אינן צריכין להעיד בפניהם, וש"מ דיינין שאין מכירין חתימות ידי עדים - צריכין להעיד בפני כל אחד ואחד</w:t>
      </w:r>
      <w:r w:rsidRPr="003C65D7">
        <w:rPr>
          <w:rStyle w:val="Style1Char"/>
          <w:color w:val="4472C4" w:themeColor="accent1"/>
          <w:rtl/>
        </w:rPr>
        <w:t xml:space="preserve"> </w:t>
      </w:r>
      <w:r w:rsidRPr="00816BC9">
        <w:rPr>
          <w:rStyle w:val="Style1Char"/>
          <w:color w:val="C00000"/>
          <w:sz w:val="22"/>
          <w:szCs w:val="22"/>
          <w:rtl/>
        </w:rPr>
        <w:t xml:space="preserve">ולית הלכתא כרב פפא מדגרסינן בהאי מסכת פ' הכותב [דף פ"ה ע"א] ליתא לרב פפא דאמר רב נחמן אומר היה רבי מאיר אפי' מצאו באשפה חתמו ונתנו לה כשר ואפילו רבנן לא פליגי עליה דר' מאיר אלא בגיטי נשים דבעינן כתיבה לשמה אבל בשאר שטרות לא דאמר ר' אסי אמר ר' יוחנן שטר שלוה בו ופרעו אינו חוזר ולוה בו שכבר נמחל שעבודו טעמא דנמחל שעבודו הא לשקרא לא חיישינן ואיתא נמי להאי מימרא בגיטין [גיטין כ"ו ע"ב] פ' כל הגט: </w:t>
      </w:r>
    </w:p>
    <w:p w14:paraId="20BBE7D4" w14:textId="77777777" w:rsidR="00DA1858" w:rsidRPr="0077125B" w:rsidRDefault="00DA1858" w:rsidP="00DA1858">
      <w:pPr>
        <w:bidi/>
        <w:rPr>
          <w:rStyle w:val="Style1Char"/>
          <w:color w:val="4472C4" w:themeColor="accent1"/>
        </w:rPr>
      </w:pPr>
      <w:r w:rsidRPr="0077125B">
        <w:rPr>
          <w:rStyle w:val="Style1Char"/>
          <w:color w:val="4472C4" w:themeColor="accent1"/>
          <w:rtl/>
        </w:rPr>
        <w:t>תימה מאי פריך מרב פפי הא אמרינן לקמן בפרק הכותב (דף פה א) וכן בפרק כל הגט (דף כו ב) וליתא לדרב פפי מדרב נחמן וכו' ואין לומר דהכא פריך אליבא דרב דאמר משחתמו אין מעידין בפניו וחותם אם כן חייש רב למיחזי כשיקרא כדאמר רב פפי א"כ משכתבו עד שלא חתמו נמי דכתיבה נמי מחזי כשיקרא כדאמר רב פפי דאם כן הוה אמרינן דטעמא דרב משום דמיחזי כשיקרא ואי אפשר לומר כן דאם כן תיקשי מדרב אדרב דהכא חייש למיחזי כשיקרא ובפ' כל הגט [שם] אמרינן אמר רב אדא בר אהבה אמר רב הלכה כרבי אלעזר דקרי רב עליה טובינא דחכימי ואפי' בשאר שטרות והא אמר רב פפי משמיה דרבא האי אשרתא דדייני וכו' וליתא מדרב נחמן אלמא לא חייש רב למיחזי כשיקרא והא דקאמר רב הכא משחתמו אין מעידין בפניו וחותם</w:t>
      </w:r>
      <w:r>
        <w:rPr>
          <w:rStyle w:val="Style1Char"/>
          <w:rFonts w:hint="cs"/>
          <w:color w:val="4472C4" w:themeColor="accent1"/>
        </w:rPr>
        <w:t>‍</w:t>
      </w:r>
      <w:r w:rsidRPr="0077125B">
        <w:rPr>
          <w:rStyle w:val="Style1Char"/>
          <w:color w:val="4472C4" w:themeColor="accent1"/>
          <w:rtl/>
        </w:rPr>
        <w:t xml:space="preserve"> משום דהוי שקר גמור כיון שחתמו והשתא תיקשי שסותר דברי רב מההיא דרב פפי והא רב לית ליה דרב פפי כמו שהוכחתי מההיא דפרק כל הגט הלכך נ"ל דהא דקאמר ליתא לדרב פפי היינו דוקא בשאר שטרות דאינן מעשה ב"ד כי ההיא דכל הגט. ובפ' הכותב</w:t>
      </w:r>
      <w:r>
        <w:rPr>
          <w:rStyle w:val="Style1Char"/>
          <w:rFonts w:hint="cs"/>
          <w:color w:val="4472C4" w:themeColor="accent1"/>
        </w:rPr>
        <w:t>‍</w:t>
      </w:r>
      <w:r w:rsidRPr="0077125B">
        <w:rPr>
          <w:rStyle w:val="Style1Char"/>
          <w:color w:val="4472C4" w:themeColor="accent1"/>
          <w:rtl/>
        </w:rPr>
        <w:t xml:space="preserve"> הכי פירושא ליתא להך פירכא דפריך מרב פפי לרב ביבי בר אביי דלא חייש למיחזי כשיקרא בשאר שטרות מדרב נחמן דקאמר רב נחמן אומר היה רבי מאיר אפי' מצאו באשפה חתמו ונתנו לה כשר ואפי' רבנן לא פליגי עליה דר"מ אלא בגיטי נשים דבעי כתיבה לשמה אבל בשאר שטרות מודו דאמר רב אסי א"ר יוחנן שטר שלוה בו ופרעו אינו חוזר ולוה בו שכבר נמחל שעבודו טעמא דנמחל שעבודו הא לשקרא לא חיישינן אבל דרב פפי איתא בקיום שטרות והכא פריך מקיום שטרות אקיום שטרות דרב מודי דחיישינן למיחזי כשיקרא בקיום שטרות ודלא כרב אלפס שפסק דליתא לדרב פפי כלל</w:t>
      </w:r>
      <w:r w:rsidRPr="0077125B">
        <w:rPr>
          <w:rStyle w:val="Style1Char"/>
          <w:color w:val="4472C4" w:themeColor="accent1"/>
        </w:rPr>
        <w:t xml:space="preserve">: </w:t>
      </w:r>
    </w:p>
    <w:p w14:paraId="63B979BE" w14:textId="04DB4920" w:rsidR="00DA1858" w:rsidRDefault="00DA1858" w:rsidP="00DA1858">
      <w:pPr>
        <w:bidi/>
        <w:rPr>
          <w:rStyle w:val="Style1Char"/>
          <w:color w:val="00B050"/>
          <w:rtl/>
        </w:rPr>
      </w:pPr>
      <w:r w:rsidRPr="00887069">
        <w:rPr>
          <w:rStyle w:val="Style1Char"/>
          <w:color w:val="00B050"/>
          <w:rtl/>
        </w:rPr>
        <w:t xml:space="preserve">מתקיף לה רב אשי: בשלמא עד נעשה דיין שמעינן מינה, אלא דיינין המכירין חתימות ידי עדים אין צריכין להעיד בפניהם - דלמא לעולם אימא לך צריכין, ושאני הכא, דקא מקיימא הגדה בחד; ודיינין שאין מכירין חתימות ידי עדים צריכין להעיד בפני כל אחד ואחד - דלמא לעולם אימא לך אין צריכין, ושאני הכא, דלא קא מקיימא הגדה כלל. יתיב ר' אבא וקאמר לה להא שמעתא דעד נעשה דיין. איתיביה רב ספרא לרבי אבא: </w:t>
      </w:r>
      <w:r w:rsidR="0022342C">
        <w:rPr>
          <w:rStyle w:val="Style1Char"/>
          <w:rFonts w:hint="cs"/>
          <w:rtl/>
        </w:rPr>
        <w:t>(3)</w:t>
      </w:r>
      <w:r w:rsidRPr="00887069">
        <w:rPr>
          <w:rStyle w:val="Style1Char"/>
          <w:color w:val="00B050"/>
          <w:rtl/>
        </w:rPr>
        <w:t xml:space="preserve">ראוהו שלשה והן בית דין יעמדו שנים ויושיבו מחבריהם אצל היחיד, ויעידו בפניהם ויאמרו: מקודש החדש, מקודש, שאין היחיד נאמן על ידי עצמו; ואי סלקא דעתך דעד נעשה דיין, למה לי כולי האי? ליתבו בדוכתייהו וליקדשי! אמר ליה: אף לדידי קשיא לי ושאילתיה לרב יצחק בר שמואל בר מרתא, ורב יצחק לרב הונא, ורב הונא לחייא בר רב, וחייא בר רב לרב, ואמר להו: הנח </w:t>
      </w:r>
      <w:r w:rsidR="00D07E93">
        <w:rPr>
          <w:rStyle w:val="Style1Char"/>
          <w:rFonts w:hint="cs"/>
          <w:rtl/>
        </w:rPr>
        <w:t>(4)</w:t>
      </w:r>
      <w:r w:rsidRPr="00887069">
        <w:rPr>
          <w:rStyle w:val="Style1Char"/>
          <w:color w:val="00B050"/>
          <w:rtl/>
        </w:rPr>
        <w:t xml:space="preserve">לעדות החדש - דאוריית', </w:t>
      </w:r>
      <w:r w:rsidR="00827863">
        <w:rPr>
          <w:rStyle w:val="Style1Char"/>
          <w:rFonts w:hint="cs"/>
          <w:rtl/>
        </w:rPr>
        <w:t>(1.1, 5)</w:t>
      </w:r>
      <w:r w:rsidRPr="00887069">
        <w:rPr>
          <w:rStyle w:val="Style1Char"/>
          <w:color w:val="00B050"/>
          <w:rtl/>
        </w:rPr>
        <w:t xml:space="preserve">וקיום שטרות - דרבנן. </w:t>
      </w:r>
      <w:r w:rsidRPr="00435165">
        <w:rPr>
          <w:rStyle w:val="Style1Char"/>
          <w:color w:val="auto"/>
          <w:sz w:val="22"/>
          <w:szCs w:val="22"/>
          <w:rtl/>
        </w:rPr>
        <w:t xml:space="preserve">אמר רבי אבא אמר רב הונא אמר רב: </w:t>
      </w:r>
      <w:r w:rsidR="00FF2DE6">
        <w:rPr>
          <w:rStyle w:val="Style1Char"/>
          <w:rFonts w:hint="cs"/>
          <w:rtl/>
        </w:rPr>
        <w:t>(1.1, 5.1, 6)</w:t>
      </w:r>
      <w:r w:rsidRPr="00435165">
        <w:rPr>
          <w:rStyle w:val="Style1Char"/>
          <w:color w:val="auto"/>
          <w:sz w:val="22"/>
          <w:szCs w:val="22"/>
          <w:rtl/>
        </w:rPr>
        <w:t>שלשה שישבו לקיים את השטר, וקרא ערער על אחד מהן</w:t>
      </w:r>
      <w:r w:rsidRPr="00435165">
        <w:rPr>
          <w:rStyle w:val="Style1Char"/>
          <w:color w:val="auto"/>
          <w:rtl/>
        </w:rPr>
        <w:t xml:space="preserve"> </w:t>
      </w:r>
      <w:r w:rsidRPr="00B8526A">
        <w:rPr>
          <w:rStyle w:val="Style1Char"/>
          <w:color w:val="C00000"/>
          <w:sz w:val="22"/>
          <w:szCs w:val="22"/>
          <w:rtl/>
        </w:rPr>
        <w:t>בגזלנותא</w:t>
      </w:r>
      <w:r w:rsidRPr="008866E2">
        <w:rPr>
          <w:rStyle w:val="Style1Char"/>
          <w:sz w:val="22"/>
          <w:szCs w:val="22"/>
          <w:rtl/>
        </w:rPr>
        <w:t xml:space="preserve">, </w:t>
      </w:r>
      <w:r w:rsidRPr="00435165">
        <w:rPr>
          <w:rStyle w:val="Style1Char"/>
          <w:color w:val="auto"/>
          <w:sz w:val="22"/>
          <w:szCs w:val="22"/>
          <w:rtl/>
        </w:rPr>
        <w:t xml:space="preserve">עד שלא חתמו - מעידין עליו </w:t>
      </w:r>
      <w:r w:rsidRPr="00B8526A">
        <w:rPr>
          <w:rStyle w:val="Style1Char"/>
          <w:color w:val="C00000"/>
          <w:sz w:val="22"/>
          <w:szCs w:val="22"/>
          <w:rtl/>
        </w:rPr>
        <w:t xml:space="preserve">שחזר בתשובה </w:t>
      </w:r>
      <w:r w:rsidRPr="00435165">
        <w:rPr>
          <w:rStyle w:val="Style1Char"/>
          <w:color w:val="auto"/>
          <w:sz w:val="22"/>
          <w:szCs w:val="22"/>
          <w:rtl/>
        </w:rPr>
        <w:t xml:space="preserve">וחותם, משחתמו - אין מעידין עליו </w:t>
      </w:r>
      <w:r w:rsidRPr="00435165">
        <w:rPr>
          <w:rStyle w:val="Style1Char"/>
          <w:color w:val="ED7D31" w:themeColor="accent2"/>
          <w:rtl/>
        </w:rPr>
        <w:t xml:space="preserve">וחותם </w:t>
      </w:r>
      <w:r w:rsidRPr="00817F6C">
        <w:rPr>
          <w:rStyle w:val="Style1Char"/>
          <w:color w:val="C00000"/>
          <w:sz w:val="22"/>
          <w:szCs w:val="22"/>
          <w:rtl/>
        </w:rPr>
        <w:t xml:space="preserve">שחזר בתשובה </w:t>
      </w:r>
      <w:r w:rsidRPr="0077125B">
        <w:rPr>
          <w:rStyle w:val="Style1Char"/>
          <w:color w:val="4472C4" w:themeColor="accent1"/>
          <w:rtl/>
        </w:rPr>
        <w:t>פרש"י משום שנוגעין בעדות הן שגנאי הוא להם כשחתמו עם פסול</w:t>
      </w:r>
      <w:r>
        <w:rPr>
          <w:rStyle w:val="Style1Char"/>
          <w:rFonts w:hint="cs"/>
          <w:color w:val="4472C4" w:themeColor="accent1"/>
        </w:rPr>
        <w:t>‍</w:t>
      </w:r>
      <w:r w:rsidRPr="0077125B">
        <w:rPr>
          <w:rStyle w:val="Style1Char"/>
          <w:color w:val="4472C4" w:themeColor="accent1"/>
          <w:rtl/>
        </w:rPr>
        <w:t xml:space="preserve"> ורב אלפס ז"ל פירש וקרא ערער על אחד מהם בגזלנות עד שלא חתמו מעידין עליו שחזר בתשובה וחותם דהא במותב תלתא כחדא נינהו. משחתמו אין מעידין עליו שחזר בתשובה וחותם משום </w:t>
      </w:r>
      <w:r w:rsidRPr="00831DC4">
        <w:rPr>
          <w:rStyle w:val="Style1Char"/>
          <w:color w:val="806000" w:themeColor="accent4" w:themeShade="80"/>
          <w:sz w:val="22"/>
          <w:szCs w:val="22"/>
          <w:rtl/>
        </w:rPr>
        <w:t>דלא במותב כחדא נינהו דבעידנא דחתמי הנך תרי לא הוה מצטרף בהדייהו וכאילו בלחודייהו הוו יתבי ודוקא ערער דגזלנותא הוא דמבטל לצירופא דידהו אבל ערער דפגם משפחה ואתברר השתא דכשר הוא כיון דמעיקרא כשר הוה גלויי מילתא בעלמא הוא ולא בטיל צירופא דידהו וערער דגזלנותא נמי לא אמרן אלא דקא מסהדי תרי דגזלנא הוא ואתו תרי אחריני ומסהדי דהדר בתשובה דלא קמכחשי להנך אבל אי אתו תרי אחריני ואמרי לאו גזלנא הוא דמכחשי להנך לא חתים כלל דהוו להו תרי לבהדי תרי והוי ליה גברא ספק פסול הלכך לא מחתמינן ליה כלל דלא מפקינן ממונא אפומיה</w:t>
      </w:r>
      <w:r w:rsidRPr="00817F6C">
        <w:rPr>
          <w:rStyle w:val="Style1Char"/>
          <w:color w:val="C00000"/>
          <w:sz w:val="22"/>
          <w:szCs w:val="22"/>
          <w:rtl/>
        </w:rPr>
        <w:t>. וראיה לדבר הא דת"ר [דף י"ט ע"ב] שנים שהיו חתומים על השטר ומתו ובאו שנים ואמרו כתב ידם הוא אבל אנוסים היו וכו' עד או שהיה כתב ידם יוצא ממקום אחר אין נאמנים ומקשינן ומגבינן ביה אמאי תרי ותרי נינהו אלמא לא אמרינן אוקי גברא אחזקיה ומפקינן ממונא אפומיה:</w:t>
      </w:r>
      <w:r w:rsidRPr="008866E2">
        <w:rPr>
          <w:rStyle w:val="Style1Char"/>
          <w:sz w:val="22"/>
          <w:szCs w:val="22"/>
          <w:rtl/>
        </w:rPr>
        <w:t>.</w:t>
      </w:r>
      <w:r w:rsidRPr="00887069">
        <w:rPr>
          <w:rStyle w:val="Style1Char"/>
          <w:color w:val="00B050"/>
          <w:rtl/>
        </w:rPr>
        <w:t xml:space="preserve"> </w:t>
      </w:r>
    </w:p>
    <w:p w14:paraId="5D806409" w14:textId="77777777" w:rsidR="00DA1858" w:rsidRDefault="00DA1858" w:rsidP="00DA1858">
      <w:pPr>
        <w:bidi/>
        <w:rPr>
          <w:rStyle w:val="Style1Char"/>
          <w:color w:val="00B050"/>
          <w:rtl/>
        </w:rPr>
      </w:pPr>
      <w:r w:rsidRPr="0077125B">
        <w:rPr>
          <w:rStyle w:val="Style1Char"/>
          <w:color w:val="4472C4" w:themeColor="accent1"/>
          <w:rtl/>
        </w:rPr>
        <w:t>ולא אמרינן דאוקי תרי לבהדי תרי ואוקי גברא בחזקתיה כדאמרינן בשתי כתי עדים המכחישות זו את זו (שבועות דף מז ב) דאמר רב הונא זו באה בפ"ע ומעידה וזו באה בפ"ע ומעידה משום דאמרינן אוקי תרי לבהדי תרי ואוקי גברא בחזקתיה דהתם פסולי דידהו הוי משום דמכחישין זו את זו בעדות זו וחד מנייהו לפי דבריהם מסהדי שקרא וכיון דלא ידעינן הי מנייהו קא מסהיד שקרא</w:t>
      </w:r>
      <w:r>
        <w:rPr>
          <w:rStyle w:val="Style1Char"/>
          <w:rFonts w:hint="cs"/>
          <w:color w:val="4472C4" w:themeColor="accent1"/>
        </w:rPr>
        <w:t>‍</w:t>
      </w:r>
      <w:r w:rsidRPr="0077125B">
        <w:rPr>
          <w:rStyle w:val="Style1Char"/>
          <w:color w:val="4472C4" w:themeColor="accent1"/>
          <w:rtl/>
        </w:rPr>
        <w:t xml:space="preserve"> מוקמינן כל חד מניהו אחזקתיה אבל הכא דקא מסהדי לפסול אחד בגזלנות לעדות ולשבועה כי האי גוונא</w:t>
      </w:r>
      <w:r>
        <w:rPr>
          <w:rStyle w:val="Style1Char"/>
          <w:rFonts w:hint="cs"/>
          <w:color w:val="4472C4" w:themeColor="accent1"/>
        </w:rPr>
        <w:t>‍</w:t>
      </w:r>
      <w:r w:rsidRPr="0077125B">
        <w:rPr>
          <w:rStyle w:val="Style1Char"/>
          <w:color w:val="4472C4" w:themeColor="accent1"/>
          <w:rtl/>
        </w:rPr>
        <w:t xml:space="preserve"> לא מוקמינן ליה אחזקתיה דכל תרי ותרי אף על גב דאית ליה חזקה דכשרות ספיקא דרבנן היא כדאיתא בפ' ד' אחין (דף לא א)</w:t>
      </w:r>
      <w:r>
        <w:rPr>
          <w:rStyle w:val="Style1Char"/>
          <w:rFonts w:hint="cs"/>
          <w:color w:val="4472C4" w:themeColor="accent1"/>
        </w:rPr>
        <w:t>‍</w:t>
      </w:r>
      <w:r w:rsidRPr="0077125B">
        <w:rPr>
          <w:rStyle w:val="Style1Char"/>
          <w:color w:val="4472C4" w:themeColor="accent1"/>
          <w:rtl/>
        </w:rPr>
        <w:t xml:space="preserve"> וכן מוכח לקמן (דף כו ב) בשמעתין דזילותא דב"ד הוא</w:t>
      </w:r>
      <w:r>
        <w:rPr>
          <w:rStyle w:val="Style1Char"/>
          <w:rFonts w:hint="cs"/>
          <w:color w:val="4472C4" w:themeColor="accent1"/>
        </w:rPr>
        <w:t>‍</w:t>
      </w:r>
      <w:r w:rsidRPr="0077125B">
        <w:rPr>
          <w:rStyle w:val="Style1Char"/>
          <w:color w:val="4472C4" w:themeColor="accent1"/>
          <w:rtl/>
        </w:rPr>
        <w:t xml:space="preserve"> והכי אמר לקמן (ד' כב ב) גבי שנים אומרים נתקדשה דפריך הש"ס מ"ש רישא ומ"ש סיפא</w:t>
      </w:r>
      <w:r>
        <w:rPr>
          <w:rStyle w:val="Style1Char"/>
          <w:rFonts w:hint="cs"/>
          <w:color w:val="4472C4" w:themeColor="accent1"/>
        </w:rPr>
        <w:t>‍</w:t>
      </w:r>
      <w:r w:rsidRPr="0077125B">
        <w:rPr>
          <w:rStyle w:val="Style1Char"/>
          <w:color w:val="4472C4" w:themeColor="accent1"/>
          <w:rtl/>
        </w:rPr>
        <w:t xml:space="preserve"> וכן בפרק האומר בקדושין (דף סו א) גבי ינאי המלך ויבוקש הדבר ולא נמצא דפריך הש"ס אילימא דבי תרי אמרי אישתבאי ובי תרי אמרי לא אישתבאי אמאי לא נמצא תרי ותרי נינהו אלמא כל היכא דאיכא תרי ותרי לא מוקמינן ליה אחזקתיה ופסלינן ליה</w:t>
      </w:r>
      <w:r w:rsidRPr="00A736C0">
        <w:rPr>
          <w:rStyle w:val="Style1Char"/>
          <w:color w:val="00B050"/>
          <w:rtl/>
        </w:rPr>
        <w:t xml:space="preserve"> </w:t>
      </w:r>
    </w:p>
    <w:p w14:paraId="218A8A55" w14:textId="75646913" w:rsidR="00DA1858" w:rsidRDefault="00DA1858" w:rsidP="00DA1858">
      <w:pPr>
        <w:bidi/>
        <w:rPr>
          <w:rStyle w:val="Style1Char"/>
          <w:color w:val="4472C4" w:themeColor="accent1"/>
          <w:rtl/>
        </w:rPr>
      </w:pPr>
      <w:r w:rsidRPr="00887069">
        <w:rPr>
          <w:rStyle w:val="Style1Char"/>
          <w:color w:val="00B050"/>
          <w:rtl/>
        </w:rPr>
        <w:t>ערער דמאי? אי ערער דגזלנותא,</w:t>
      </w:r>
      <w:r w:rsidRPr="0077125B">
        <w:rPr>
          <w:rStyle w:val="Style1Char"/>
          <w:color w:val="4472C4" w:themeColor="accent1"/>
        </w:rPr>
        <w:t xml:space="preserve">: </w:t>
      </w:r>
    </w:p>
    <w:p w14:paraId="282001EE" w14:textId="7D40AA61" w:rsidR="00613246" w:rsidRDefault="00613246" w:rsidP="00613246">
      <w:pPr>
        <w:pStyle w:val="Style1"/>
        <w:rPr>
          <w:rStyle w:val="Style1Char"/>
          <w:rtl/>
        </w:rPr>
      </w:pPr>
      <w:r>
        <w:rPr>
          <w:rStyle w:val="Style1Char"/>
          <w:rFonts w:hint="cs"/>
          <w:rtl/>
        </w:rPr>
        <w:t>1)[</w:t>
      </w:r>
      <w:r w:rsidRPr="00613246">
        <w:rPr>
          <w:rStyle w:val="Style1Char"/>
          <w:rtl/>
        </w:rPr>
        <w:t>רמב</w:t>
      </w:r>
      <w:r w:rsidR="0057095E">
        <w:rPr>
          <w:rStyle w:val="Style1Char"/>
          <w:rtl/>
        </w:rPr>
        <w:t>”ם \שופטים\</w:t>
      </w:r>
      <w:r w:rsidRPr="00613246">
        <w:rPr>
          <w:rStyle w:val="Style1Char"/>
          <w:rtl/>
        </w:rPr>
        <w:t xml:space="preserve"> הלכות עדות פרק ז הלכה ו</w:t>
      </w:r>
      <w:r>
        <w:rPr>
          <w:rStyle w:val="Style1Char"/>
          <w:rFonts w:hint="cs"/>
          <w:rtl/>
        </w:rPr>
        <w:t xml:space="preserve">] </w:t>
      </w:r>
      <w:r w:rsidRPr="00613246">
        <w:rPr>
          <w:rStyle w:val="Style1Char"/>
          <w:rtl/>
        </w:rPr>
        <w:t>שלשה שישבו לקיים את השטר שנים מהן מכירין חתימת ידי עדים ואחד אינו מכיר, עד שלא חתמו מעידין בפניו וחותם שהעדים נעשים דיינים בדבר שהוא מדבריהם כמו שבארנו, אבל אחר שחתמו אין מעידין בפניו וחותם שהרי בעת שחתמו לא היו מכירין אלא השנים ואין מקיימין אלא עד שיהיו שלשתן מכירין או יעידו העדים על הכתב בפני כל אחד ואחד.</w:t>
      </w:r>
    </w:p>
    <w:p w14:paraId="674EC9A9" w14:textId="506C4FD3" w:rsidR="009F2309" w:rsidRDefault="009F2309" w:rsidP="009F2309">
      <w:pPr>
        <w:pStyle w:val="Style1"/>
        <w:rPr>
          <w:rtl/>
        </w:rPr>
      </w:pPr>
      <w:r>
        <w:rPr>
          <w:rStyle w:val="Style1Char"/>
          <w:rFonts w:hint="cs"/>
          <w:rtl/>
        </w:rPr>
        <w:lastRenderedPageBreak/>
        <w:t>1)[</w:t>
      </w:r>
      <w:r w:rsidRPr="009F2309">
        <w:rPr>
          <w:rStyle w:val="Style1Char"/>
          <w:rtl/>
        </w:rPr>
        <w:t>שולחן ערוך חושן משפט הלכות הלואה סימן מו סעיף כד</w:t>
      </w:r>
      <w:r>
        <w:rPr>
          <w:rStyle w:val="Style1Char"/>
          <w:rFonts w:hint="cs"/>
          <w:rtl/>
        </w:rPr>
        <w:t>]</w:t>
      </w:r>
      <w:r w:rsidR="00C77481">
        <w:rPr>
          <w:rStyle w:val="Style1Char"/>
          <w:rFonts w:hint="cs"/>
          <w:rtl/>
        </w:rPr>
        <w:t xml:space="preserve"> </w:t>
      </w:r>
      <w:r w:rsidR="00C77481" w:rsidRPr="00C77481">
        <w:rPr>
          <w:rtl/>
        </w:rPr>
        <w:t>שלשה שישבו לקיים את השטר שנים מהם מכירים חתימת ידי העדים ואחד אינו מכיר עד שלא חתמו מעידין בפניו וחותם משחתמו אין מעידים בפניו וחותם ומותר לכתוב הקיום בשטר קודם שיתקיים השטר שאין הכתיבה עיקר אלא החתימה ויש חולקים</w:t>
      </w:r>
      <w:r w:rsidR="00C77481" w:rsidRPr="00C77481">
        <w:t>:</w:t>
      </w:r>
    </w:p>
    <w:p w14:paraId="663F44BD" w14:textId="7562E3BB" w:rsidR="007426C3" w:rsidRDefault="007426C3" w:rsidP="007426C3">
      <w:pPr>
        <w:pStyle w:val="Style1"/>
        <w:rPr>
          <w:rtl/>
        </w:rPr>
      </w:pPr>
      <w:r>
        <w:rPr>
          <w:rFonts w:hint="cs"/>
          <w:rtl/>
        </w:rPr>
        <w:t>2)[</w:t>
      </w:r>
      <w:r>
        <w:rPr>
          <w:rtl/>
        </w:rPr>
        <w:t>רמב</w:t>
      </w:r>
      <w:r w:rsidR="0057095E">
        <w:rPr>
          <w:rtl/>
        </w:rPr>
        <w:t>”ם \שופטים\</w:t>
      </w:r>
      <w:r>
        <w:rPr>
          <w:rtl/>
        </w:rPr>
        <w:t xml:space="preserve"> הלכות עדות פרק ו הלכה ב</w:t>
      </w:r>
      <w:r>
        <w:rPr>
          <w:rFonts w:hint="cs"/>
          <w:rtl/>
        </w:rPr>
        <w:t xml:space="preserve">] </w:t>
      </w:r>
      <w:r>
        <w:rPr>
          <w:rtl/>
        </w:rPr>
        <w:t>באחד מחמשה דרכים מתקיים השטר בבית דין, הדרך האחד שיהיו דיינים מכירין כתב ידי העדים שזו עדות פלוני וזו עדות פלוני, הדרך השני שיחתמו העדים בפניהם, הדרך השלישי שיבואו העדים החתומים בפניהם ויאמר כל אחד ב ואחד זה כתב ידי ואני עד בדבר הזה, הדרך הרביעי שאם מתו עדי השטר או שהיו במדינה אחרת יבואו עדים ויעידו על כתב ידן שהוא זה, הדרך החמישי שיהיה כתב ידן יוצא משטרות אחרים ועורכין בית דין זה הכתב לאותו הכתב שבשטרות אחרים ויהיה דומה זה לזה ויראה להם ביחד שכתב ידי אלו הוא כתב ידי אלו.</w:t>
      </w:r>
    </w:p>
    <w:p w14:paraId="1E579728" w14:textId="4D704491" w:rsidR="005E6E87" w:rsidRPr="00F51E93" w:rsidRDefault="005E6E87" w:rsidP="005E6E87">
      <w:pPr>
        <w:pStyle w:val="Style1"/>
      </w:pPr>
      <w:r>
        <w:rPr>
          <w:rStyle w:val="Style1Char"/>
          <w:rFonts w:hint="cs"/>
          <w:rtl/>
        </w:rPr>
        <w:t>2)[</w:t>
      </w:r>
      <w:r w:rsidRPr="009A290A">
        <w:rPr>
          <w:rStyle w:val="Style1Char"/>
          <w:rtl/>
        </w:rPr>
        <w:t>שולחן ערוך חושן משפט הלכות הלואה סימן מו סעיף ז</w:t>
      </w:r>
      <w:r>
        <w:rPr>
          <w:rStyle w:val="Style1Char"/>
          <w:rFonts w:hint="cs"/>
          <w:rtl/>
        </w:rPr>
        <w:t xml:space="preserve">] </w:t>
      </w:r>
      <w:r w:rsidRPr="00F51E93">
        <w:rPr>
          <w:rtl/>
        </w:rPr>
        <w:t>בא' מה' דרכים מתקיים השטר</w:t>
      </w:r>
      <w:r w:rsidRPr="00F51E93">
        <w:t>.</w:t>
      </w:r>
    </w:p>
    <w:p w14:paraId="214E8DE9" w14:textId="77777777" w:rsidR="005E6E87" w:rsidRPr="00F51E93" w:rsidRDefault="005E6E87" w:rsidP="005E6E87">
      <w:pPr>
        <w:pStyle w:val="Style1"/>
      </w:pPr>
      <w:r w:rsidRPr="00F51E93">
        <w:rPr>
          <w:rtl/>
        </w:rPr>
        <w:t>האחד שיהיו הדיינים מכירים כתב ידי העדים</w:t>
      </w:r>
    </w:p>
    <w:p w14:paraId="5DA6D5D8" w14:textId="77777777" w:rsidR="005E6E87" w:rsidRPr="00F51E93" w:rsidRDefault="005E6E87" w:rsidP="005E6E87">
      <w:pPr>
        <w:pStyle w:val="Style1"/>
      </w:pPr>
      <w:r w:rsidRPr="00F51E93">
        <w:rPr>
          <w:rtl/>
        </w:rPr>
        <w:t>השני שיחתמו העדים בפניהם</w:t>
      </w:r>
    </w:p>
    <w:p w14:paraId="6466B421" w14:textId="77777777" w:rsidR="005E6E87" w:rsidRPr="00F51E93" w:rsidRDefault="005E6E87" w:rsidP="005E6E87">
      <w:pPr>
        <w:pStyle w:val="Style1"/>
      </w:pPr>
      <w:r w:rsidRPr="00F51E93">
        <w:rPr>
          <w:rtl/>
        </w:rPr>
        <w:t>הג' שיבואו העדים החתומים בו ויאמר </w:t>
      </w:r>
      <w:r w:rsidRPr="00F51E93">
        <w:rPr>
          <w:rFonts w:hint="cs"/>
        </w:rPr>
        <w:t>(</w:t>
      </w:r>
      <w:r w:rsidRPr="00F51E93">
        <w:rPr>
          <w:rFonts w:hint="cs"/>
          <w:rtl/>
        </w:rPr>
        <w:t>כל אחד</w:t>
      </w:r>
      <w:r w:rsidRPr="00F51E93">
        <w:rPr>
          <w:rFonts w:hint="cs"/>
        </w:rPr>
        <w:t>)</w:t>
      </w:r>
      <w:r w:rsidRPr="00F51E93">
        <w:t> </w:t>
      </w:r>
      <w:r w:rsidRPr="00F51E93">
        <w:rPr>
          <w:rtl/>
        </w:rPr>
        <w:t>זה כתב ידי ואני עד בדבר הזה</w:t>
      </w:r>
    </w:p>
    <w:p w14:paraId="53194F12" w14:textId="77777777" w:rsidR="005E6E87" w:rsidRPr="00F51E93" w:rsidRDefault="005E6E87" w:rsidP="005E6E87">
      <w:pPr>
        <w:pStyle w:val="Style1"/>
      </w:pPr>
      <w:r w:rsidRPr="00F51E93">
        <w:rPr>
          <w:rtl/>
        </w:rPr>
        <w:t>הרביעי שיבואו עדים ויעידו שזה כתב ידם של אלו </w:t>
      </w:r>
      <w:r w:rsidRPr="00F51E93">
        <w:rPr>
          <w:rFonts w:hint="cs"/>
          <w:rtl/>
        </w:rPr>
        <w:t>(ויכולין להעיד עדות זה מתוך כתבם ואינן צריכין להעיד בפיהם) (ריב"ש סי' שפ"ב ותי"ג)</w:t>
      </w:r>
    </w:p>
    <w:p w14:paraId="0CFB53C3" w14:textId="77777777" w:rsidR="005E6E87" w:rsidRPr="00F51E93" w:rsidRDefault="005E6E87" w:rsidP="005E6E87">
      <w:pPr>
        <w:pStyle w:val="Style1"/>
      </w:pPr>
      <w:r w:rsidRPr="00F51E93">
        <w:rPr>
          <w:rtl/>
        </w:rPr>
        <w:t>החמישי שיהא כתב ידם יוצא משטרות אחרות ועורכים ב"ד זה הכתב לאותו הכתב שבשטרות אחרות ויראה להם שכתב ידי אלו הוא כתב ידי אלו</w:t>
      </w:r>
      <w:r w:rsidRPr="00F51E93">
        <w:t>.</w:t>
      </w:r>
    </w:p>
    <w:p w14:paraId="20C91ABC" w14:textId="77777777" w:rsidR="005E6E87" w:rsidRPr="00F51E93" w:rsidRDefault="005E6E87" w:rsidP="005E6E87">
      <w:pPr>
        <w:pStyle w:val="Style1"/>
      </w:pPr>
      <w:r w:rsidRPr="00F51E93">
        <w:rPr>
          <w:rtl/>
        </w:rPr>
        <w:t>ואין מקיימים השטר משטרות אחרות אלא מב' שטרות של ב' שדות שאכלום בעליהם שלש שנים אכילה גלויה נכונה בלא שום יראה ולא פחד מתביעה בעולם כדרך שאכלום כל בעלי שדות שדותיהם או משתי שטרי כתובות והוא שיצאו השני השטרות מתחת יד אחר לא מתחת ידי זה (שרוצה) לקיים שטרו שמא הוא זייף הכל </w:t>
      </w:r>
      <w:r w:rsidRPr="00F51E93">
        <w:rPr>
          <w:rFonts w:hint="cs"/>
          <w:rtl/>
        </w:rPr>
        <w:t>אפילו אם ב' השטרות מקויימים אין מקיימין מהם אם יוצאין מתחת ידו (טור וב"י בשם רש"י). ויש חולקין (ר"ן לדעת הרמב"ם)</w:t>
      </w:r>
      <w:r w:rsidRPr="00F51E93">
        <w:t>.</w:t>
      </w:r>
    </w:p>
    <w:p w14:paraId="5E136F4B" w14:textId="77777777" w:rsidR="005E6E87" w:rsidRPr="00F51E93" w:rsidRDefault="005E6E87" w:rsidP="005E6E87">
      <w:pPr>
        <w:pStyle w:val="Style1"/>
      </w:pPr>
      <w:r w:rsidRPr="00F51E93">
        <w:rPr>
          <w:rtl/>
        </w:rPr>
        <w:t>וכן מקיימים השטר משטר שקרא עליו ערער </w:t>
      </w:r>
      <w:r w:rsidRPr="00F51E93">
        <w:rPr>
          <w:rFonts w:hint="cs"/>
        </w:rPr>
        <w:t>(</w:t>
      </w:r>
      <w:r w:rsidRPr="00F51E93">
        <w:rPr>
          <w:rFonts w:hint="cs"/>
          <w:rtl/>
        </w:rPr>
        <w:t>וי"א דאפי' לא קרא עליו ערער רק שמקויים כדלקמן סעיף ל"ז</w:t>
      </w:r>
      <w:r w:rsidRPr="00F51E93">
        <w:rPr>
          <w:rFonts w:hint="cs"/>
        </w:rPr>
        <w:t>)</w:t>
      </w:r>
      <w:r w:rsidRPr="00F51E93">
        <w:t> </w:t>
      </w:r>
      <w:r w:rsidRPr="00F51E93">
        <w:rPr>
          <w:rtl/>
        </w:rPr>
        <w:t>והוחזק בב"ד מקיימים ממנו לבדו כמו שמקיימים משטרי שתי שרות או שתי כתובות</w:t>
      </w:r>
    </w:p>
    <w:p w14:paraId="2AA177A6" w14:textId="6A869EFA" w:rsidR="005E6E87" w:rsidRDefault="005E6E87" w:rsidP="005E6E87">
      <w:pPr>
        <w:pStyle w:val="Style1"/>
        <w:rPr>
          <w:rtl/>
        </w:rPr>
      </w:pPr>
      <w:r w:rsidRPr="00F51E93">
        <w:rPr>
          <w:rFonts w:hint="cs"/>
          <w:rtl/>
        </w:rPr>
        <w:t>הגה: וי"א דמקיימים חתימה מספר שכתב אבל לא מאיגרת שכתב (ריב"ש סי' קל"ו) וי"א דאפי' מספר אין מקיימים אא"כ חתם שמו בסוף דאז מקיימים מחתימתו (ר"ן פ"ב דכתובות)</w:t>
      </w:r>
      <w:r w:rsidRPr="00F51E93">
        <w:t>:</w:t>
      </w:r>
    </w:p>
    <w:p w14:paraId="498DDF7F" w14:textId="18A023EA" w:rsidR="00B420A1" w:rsidRDefault="00B420A1" w:rsidP="00B420A1">
      <w:pPr>
        <w:pStyle w:val="Style1"/>
        <w:rPr>
          <w:rtl/>
        </w:rPr>
      </w:pPr>
      <w:r>
        <w:rPr>
          <w:rFonts w:hint="cs"/>
          <w:rtl/>
        </w:rPr>
        <w:t>3)[</w:t>
      </w:r>
      <w:r>
        <w:rPr>
          <w:rtl/>
        </w:rPr>
        <w:t>רמב</w:t>
      </w:r>
      <w:r w:rsidR="00786216">
        <w:rPr>
          <w:rtl/>
        </w:rPr>
        <w:t>”ם \זמנים\</w:t>
      </w:r>
      <w:r>
        <w:rPr>
          <w:rtl/>
        </w:rPr>
        <w:t xml:space="preserve"> הלכות קידוש החודש פרק ב הלכה ט</w:t>
      </w:r>
      <w:r>
        <w:rPr>
          <w:rFonts w:hint="cs"/>
          <w:rtl/>
        </w:rPr>
        <w:t xml:space="preserve">] </w:t>
      </w:r>
      <w:r>
        <w:rPr>
          <w:rtl/>
        </w:rPr>
        <w:t>ראוהו בית דין עצמן בסוף יום תשעה ועשרים, אם עדיין לא יצא כוכב בליל שלשים, בית דין אומרים מקודש מקודש שעדיין יום הוא, ואם ראוהו בליל שלשים אחר שיצאו שני כוכבים, למחר מושיבין שני דיינין אצל אחד מהם ויעידו הם השנים בפני השלשה ויקדשוהו השלשה.</w:t>
      </w:r>
    </w:p>
    <w:p w14:paraId="58699A15" w14:textId="152D46AD" w:rsidR="00773464" w:rsidRDefault="00773464" w:rsidP="00773464">
      <w:pPr>
        <w:pStyle w:val="Style1"/>
        <w:rPr>
          <w:rtl/>
        </w:rPr>
      </w:pPr>
      <w:r>
        <w:rPr>
          <w:rFonts w:hint="cs"/>
          <w:rtl/>
        </w:rPr>
        <w:t>4)[</w:t>
      </w:r>
      <w:r>
        <w:rPr>
          <w:rtl/>
        </w:rPr>
        <w:t>רמב</w:t>
      </w:r>
      <w:r w:rsidR="0057095E">
        <w:rPr>
          <w:rtl/>
        </w:rPr>
        <w:t>”ם \שופטים\</w:t>
      </w:r>
      <w:r>
        <w:rPr>
          <w:rtl/>
        </w:rPr>
        <w:t xml:space="preserve"> הלכות עדות פרק ה הלכה ט</w:t>
      </w:r>
      <w:r>
        <w:rPr>
          <w:rFonts w:hint="cs"/>
          <w:rtl/>
        </w:rPr>
        <w:t xml:space="preserve">] </w:t>
      </w:r>
      <w:r>
        <w:rPr>
          <w:rtl/>
        </w:rPr>
        <w:t>במה דברים אמורים בדבר שצריך עדים מן התורה וצריך דיינים לדון באותו הדבר מן התורה אבל בשל דבריהם עד נעשה דיין, כיצד אחד שהביא הגט ואמר בפני נכתב ובפני נחתם, הוא ושנים נותנין אותו לה ונמצא כאילו נטלוהו מבית דין וכן כל כיוצא בזה.</w:t>
      </w:r>
    </w:p>
    <w:p w14:paraId="0ADCE590" w14:textId="78A222A1" w:rsidR="0040472B" w:rsidRPr="0040472B" w:rsidRDefault="00E12FC0" w:rsidP="0040472B">
      <w:pPr>
        <w:pStyle w:val="Style1"/>
      </w:pPr>
      <w:r>
        <w:rPr>
          <w:rFonts w:hint="cs"/>
          <w:rtl/>
        </w:rPr>
        <w:t>4)[</w:t>
      </w:r>
      <w:r>
        <w:rPr>
          <w:rtl/>
        </w:rPr>
        <w:t>שולחן ערוך חושן משפט הלכות דיינים סימן ז סעיף ה</w:t>
      </w:r>
      <w:r>
        <w:rPr>
          <w:rFonts w:hint="cs"/>
          <w:rtl/>
        </w:rPr>
        <w:t>]</w:t>
      </w:r>
      <w:r w:rsidR="0040472B">
        <w:rPr>
          <w:rFonts w:hint="cs"/>
          <w:rtl/>
        </w:rPr>
        <w:t xml:space="preserve"> </w:t>
      </w:r>
      <w:r w:rsidR="0040472B" w:rsidRPr="0040472B">
        <w:rPr>
          <w:rtl/>
        </w:rPr>
        <w:t>יש אומרים דשתויי יין מותרים לדון דיני ממונות אין עד נעשה דיין ודוקא עד שמעיד כגון אם העיד א' מהדיינים בפני חבריו על מעשה שראה אינו יכול להצטרף עמהם לדון על אותו מעשה אבל אם אינו מעיד כגון שהג' דיינים ראו המעשה אפי' כוונו ראייתן בתורת עדות אם ראוהו ביום נעשים דיינים ודנים על המעשה ההוא אבל אם ראוהו בלילה אין דנין ע"פ עצמן אבל בעדות אחרים דנין ואם הוזמנו להעיד אף בעדות אחרים אין דנין וי"א שאף בהוזמנו להעיד דנים בעדות אחרים</w:t>
      </w:r>
      <w:r w:rsidR="0040472B" w:rsidRPr="0040472B">
        <w:t>.</w:t>
      </w:r>
    </w:p>
    <w:p w14:paraId="575F7EB5" w14:textId="496E4AA2" w:rsidR="0040472B" w:rsidRDefault="0040472B" w:rsidP="0040472B">
      <w:pPr>
        <w:pStyle w:val="Style1"/>
        <w:rPr>
          <w:rtl/>
        </w:rPr>
      </w:pPr>
      <w:r w:rsidRPr="0040472B">
        <w:rPr>
          <w:rFonts w:hint="cs"/>
          <w:rtl/>
        </w:rPr>
        <w:t>(וכל זה בדין דאורייתא אבל בדבר דרבנן עד נעשה דיין) (תוס' פ"ב דכתובות ונ"י שם ופ' אד"מ)</w:t>
      </w:r>
      <w:r w:rsidRPr="0040472B">
        <w:t>:</w:t>
      </w:r>
    </w:p>
    <w:p w14:paraId="27320491" w14:textId="7A35622B" w:rsidR="004C5CFE" w:rsidRDefault="00406CDE" w:rsidP="00406CDE">
      <w:pPr>
        <w:pStyle w:val="Style1"/>
        <w:rPr>
          <w:rtl/>
        </w:rPr>
      </w:pPr>
      <w:r>
        <w:rPr>
          <w:rFonts w:hint="cs"/>
          <w:rtl/>
        </w:rPr>
        <w:t>5)[</w:t>
      </w:r>
      <w:r w:rsidR="004C5CFE">
        <w:rPr>
          <w:rtl/>
        </w:rPr>
        <w:t>רמב</w:t>
      </w:r>
      <w:r w:rsidR="0057095E">
        <w:rPr>
          <w:rtl/>
        </w:rPr>
        <w:t>”ם \שופטים\</w:t>
      </w:r>
      <w:r w:rsidR="004C5CFE">
        <w:rPr>
          <w:rtl/>
        </w:rPr>
        <w:t xml:space="preserve"> הלכות עדות פרק ו הלכה א</w:t>
      </w:r>
      <w:r>
        <w:rPr>
          <w:rFonts w:hint="cs"/>
          <w:rtl/>
        </w:rPr>
        <w:t xml:space="preserve">] </w:t>
      </w:r>
      <w:r w:rsidR="004C5CFE">
        <w:rPr>
          <w:rtl/>
        </w:rPr>
        <w:t>כבר ביארנו שקיום שטרות מדבריהם כדי שלא תנעול דלת בפני לווין, אף על פי כן אין מקיימין שטרות אלא בשלשה אפילו שלשתן הדיוטות מפני שהוא דין, ולפיכך אין מקיימין שטרות בלילה כמו שביארנו.</w:t>
      </w:r>
    </w:p>
    <w:p w14:paraId="18CBF14F" w14:textId="5F64AD9E" w:rsidR="00627C3E" w:rsidRPr="00627C3E" w:rsidRDefault="00CF11FE" w:rsidP="00627C3E">
      <w:pPr>
        <w:pStyle w:val="Style1"/>
      </w:pPr>
      <w:r>
        <w:rPr>
          <w:rFonts w:hint="cs"/>
          <w:rtl/>
        </w:rPr>
        <w:t>5)[</w:t>
      </w:r>
      <w:r>
        <w:rPr>
          <w:rtl/>
        </w:rPr>
        <w:t>שולחן ערוך חושן משפט הלכות הלואה סימן מו סעיף ד</w:t>
      </w:r>
      <w:r>
        <w:rPr>
          <w:rFonts w:hint="cs"/>
          <w:rtl/>
        </w:rPr>
        <w:t>]</w:t>
      </w:r>
      <w:r w:rsidR="00627C3E">
        <w:rPr>
          <w:rFonts w:hint="cs"/>
          <w:rtl/>
        </w:rPr>
        <w:t xml:space="preserve"> </w:t>
      </w:r>
      <w:r w:rsidR="00627C3E" w:rsidRPr="00627C3E">
        <w:rPr>
          <w:rtl/>
        </w:rPr>
        <w:t>אין מקיימין שטרות אלא בג' מפני שהוא דין ולפיכך אין מקיימים שטרות בלילה</w:t>
      </w:r>
      <w:r w:rsidR="00627C3E" w:rsidRPr="00627C3E">
        <w:t>:</w:t>
      </w:r>
    </w:p>
    <w:p w14:paraId="62F5154D" w14:textId="55DC6914" w:rsidR="00627C3E" w:rsidRDefault="00627C3E" w:rsidP="00627C3E">
      <w:pPr>
        <w:pStyle w:val="Style1"/>
        <w:rPr>
          <w:rtl/>
        </w:rPr>
      </w:pPr>
      <w:r w:rsidRPr="00627C3E">
        <w:rPr>
          <w:rFonts w:hint="cs"/>
          <w:rtl/>
        </w:rPr>
        <w:t>הגה: ואם קיימו בשנים לא הוי קיום (מרדכי פרק השולח והגהת מרדכי דקדושין ונ"י פ' חזקת הבתים) ויש מי שכתב מאחר שנהגו שהרב התופש ישיבה מקיים ביחידי מנהג כזה מבטל הלכה (ת"ה סי' של"ב) וכן המנהג פשוט במדינות אלו ונ"ל הטעם דס"ל לענין קיום שטרות דרבנן דיחיד מומחה דינו כג' הדיוטות ומקרי ב"ד כמו שנתבאר לעיל </w:t>
      </w:r>
      <w:hyperlink r:id="rId50" w:tooltip="שולחן ערוך חושן משפט ג" w:history="1">
        <w:r w:rsidRPr="00627C3E">
          <w:rPr>
            <w:rStyle w:val="Hyperlink"/>
            <w:rFonts w:hint="cs"/>
            <w:color w:val="7030A0"/>
            <w:u w:val="none"/>
            <w:rtl/>
          </w:rPr>
          <w:t>סי' ג</w:t>
        </w:r>
        <w:r w:rsidRPr="00627C3E">
          <w:rPr>
            <w:rStyle w:val="Hyperlink"/>
            <w:rFonts w:hint="cs"/>
            <w:color w:val="7030A0"/>
            <w:u w:val="none"/>
          </w:rPr>
          <w:t>'</w:t>
        </w:r>
      </w:hyperlink>
      <w:r w:rsidRPr="00627C3E">
        <w:rPr>
          <w:rFonts w:hint="cs"/>
        </w:rPr>
        <w:t> </w:t>
      </w:r>
      <w:r w:rsidRPr="00627C3E">
        <w:rPr>
          <w:rFonts w:hint="cs"/>
          <w:rtl/>
        </w:rPr>
        <w:t>ו</w:t>
      </w:r>
      <w:hyperlink r:id="rId51" w:tooltip="שולחן ערוך חושן משפט כה" w:history="1">
        <w:r w:rsidRPr="00627C3E">
          <w:rPr>
            <w:rStyle w:val="Hyperlink"/>
            <w:rFonts w:hint="cs"/>
            <w:color w:val="7030A0"/>
            <w:u w:val="none"/>
            <w:rtl/>
          </w:rPr>
          <w:t>כ"ה</w:t>
        </w:r>
      </w:hyperlink>
      <w:r w:rsidRPr="00627C3E">
        <w:rPr>
          <w:rFonts w:hint="cs"/>
        </w:rPr>
        <w:t> </w:t>
      </w:r>
      <w:r w:rsidRPr="00627C3E">
        <w:rPr>
          <w:rFonts w:hint="cs"/>
          <w:rtl/>
        </w:rPr>
        <w:t>ואע"ג דאין יחיד מומחה בזמן הזה מ"מ לענין קיום שטרות דרבנן יש לסמוך עליו כנ"ל טעם המנהג</w:t>
      </w:r>
      <w:r w:rsidRPr="00627C3E">
        <w:t>:</w:t>
      </w:r>
    </w:p>
    <w:p w14:paraId="5FECD17B" w14:textId="435E4F70" w:rsidR="006E1B7E" w:rsidRPr="00D9446F" w:rsidRDefault="006E1B7E" w:rsidP="00D9446F">
      <w:pPr>
        <w:pStyle w:val="Style1"/>
      </w:pPr>
      <w:r>
        <w:rPr>
          <w:rFonts w:hint="cs"/>
          <w:rtl/>
        </w:rPr>
        <w:t>6)[</w:t>
      </w:r>
      <w:r>
        <w:rPr>
          <w:rtl/>
        </w:rPr>
        <w:t>שולחן ערוך חושן משפט הלכות הלואה סימן מו סעיף כו</w:t>
      </w:r>
      <w:r>
        <w:rPr>
          <w:rFonts w:hint="cs"/>
          <w:rtl/>
        </w:rPr>
        <w:t>]</w:t>
      </w:r>
      <w:r w:rsidR="00D9446F">
        <w:rPr>
          <w:rFonts w:hint="cs"/>
          <w:rtl/>
        </w:rPr>
        <w:t xml:space="preserve"> </w:t>
      </w:r>
      <w:r w:rsidR="00D9446F" w:rsidRPr="00D9446F">
        <w:rPr>
          <w:rtl/>
        </w:rPr>
        <w:t>ג' שישבו לקיים את השטר ובאו ב' עדי' וערערו על אחד מהן שהוא גזלן וכיוצא בו ובאו שנים אחרים והעידו שחזר בתשובה אם עד שלא חתמו העידו שחזר ה"ז חותם עמהן שהרי ג' היו ואם אחר שחתמו העידו עליו שחזר בתשובה אינו חותם עמהם שהרי הוא כמי שאינו בעת חתימת השנים</w:t>
      </w:r>
      <w:r w:rsidR="00D9446F" w:rsidRPr="00D9446F">
        <w:t>:</w:t>
      </w:r>
    </w:p>
    <w:p w14:paraId="3F7EF413" w14:textId="77777777" w:rsidR="00627C3E" w:rsidRPr="00D9446F" w:rsidRDefault="00627C3E" w:rsidP="00D9446F">
      <w:pPr>
        <w:pStyle w:val="Style1"/>
      </w:pPr>
    </w:p>
    <w:p w14:paraId="0D574338" w14:textId="2DAE78E1" w:rsidR="00FF37D2" w:rsidRPr="0040472B" w:rsidRDefault="00FF37D2" w:rsidP="00254A46">
      <w:pPr>
        <w:pStyle w:val="Style1"/>
      </w:pPr>
    </w:p>
    <w:p w14:paraId="5B5E228E" w14:textId="77777777" w:rsidR="0040472B" w:rsidRPr="0040472B" w:rsidRDefault="0040472B" w:rsidP="0040472B">
      <w:pPr>
        <w:pStyle w:val="Style1"/>
      </w:pPr>
    </w:p>
    <w:p w14:paraId="54736FB1" w14:textId="2998C4A9" w:rsidR="00E12FC0" w:rsidRDefault="00E12FC0" w:rsidP="00E12FC0">
      <w:pPr>
        <w:pStyle w:val="Style1"/>
        <w:rPr>
          <w:rtl/>
        </w:rPr>
      </w:pPr>
    </w:p>
    <w:p w14:paraId="4FE476F1" w14:textId="1BCCE442" w:rsidR="00091715" w:rsidRPr="00C77481" w:rsidRDefault="00091715" w:rsidP="00091715">
      <w:pPr>
        <w:pStyle w:val="Style1"/>
      </w:pPr>
    </w:p>
    <w:p w14:paraId="7242B2A7" w14:textId="62BD4421" w:rsidR="009F2309" w:rsidRPr="00613246" w:rsidRDefault="009F2309" w:rsidP="009F2309">
      <w:pPr>
        <w:pStyle w:val="Style1"/>
        <w:rPr>
          <w:rStyle w:val="Style1Char"/>
        </w:rPr>
      </w:pPr>
    </w:p>
    <w:p w14:paraId="5AE9A948" w14:textId="77777777" w:rsidR="00DA1858" w:rsidRDefault="00DA1858" w:rsidP="00DA1858">
      <w:pPr>
        <w:bidi/>
        <w:rPr>
          <w:rStyle w:val="Style1Char"/>
          <w:color w:val="C00000"/>
          <w:rtl/>
        </w:rPr>
      </w:pPr>
    </w:p>
    <w:p w14:paraId="715537DD" w14:textId="172CB3C4" w:rsidR="00DA1858" w:rsidRDefault="00DA1858" w:rsidP="00DA1858">
      <w:pPr>
        <w:rPr>
          <w:rStyle w:val="Style1Char"/>
          <w:color w:val="00B050"/>
          <w:rtl/>
        </w:rPr>
      </w:pPr>
    </w:p>
    <w:p w14:paraId="6D4D0D6C" w14:textId="4BF5F02E" w:rsidR="00DA1858" w:rsidRPr="00817F6C" w:rsidRDefault="00DA1858" w:rsidP="00DA1858">
      <w:pPr>
        <w:bidi/>
        <w:rPr>
          <w:rStyle w:val="Style1Char"/>
          <w:color w:val="C00000"/>
          <w:sz w:val="22"/>
          <w:szCs w:val="22"/>
        </w:rPr>
      </w:pPr>
      <w:r w:rsidRPr="00233F6C">
        <w:rPr>
          <w:rStyle w:val="Style1Char"/>
          <w:color w:val="00B050"/>
          <w:sz w:val="22"/>
          <w:szCs w:val="22"/>
          <w:highlight w:val="yellow"/>
          <w:rtl/>
        </w:rPr>
        <w:lastRenderedPageBreak/>
        <w:t>[דף כב עמוד א]</w:t>
      </w:r>
      <w:r w:rsidRPr="00233F6C">
        <w:rPr>
          <w:rStyle w:val="Style1Char"/>
          <w:color w:val="00B050"/>
          <w:sz w:val="22"/>
          <w:szCs w:val="22"/>
          <w:rtl/>
        </w:rPr>
        <w:t xml:space="preserve"> </w:t>
      </w:r>
      <w:r w:rsidRPr="00887069">
        <w:rPr>
          <w:rStyle w:val="Style1Char"/>
          <w:color w:val="00B050"/>
          <w:rtl/>
        </w:rPr>
        <w:t xml:space="preserve">תרי ותרי נינהו! </w:t>
      </w:r>
      <w:r w:rsidR="00A2448E">
        <w:rPr>
          <w:rStyle w:val="Style1Char"/>
          <w:rFonts w:hint="cs"/>
          <w:rtl/>
        </w:rPr>
        <w:t>(1)</w:t>
      </w:r>
      <w:r w:rsidRPr="00887069">
        <w:rPr>
          <w:rStyle w:val="Style1Char"/>
          <w:color w:val="00B050"/>
          <w:rtl/>
        </w:rPr>
        <w:t xml:space="preserve">אי ערער דפגם משפחה, גלוי מלתא בעלמא הוא! לעולם אימא לך ערער דגזלנותא, </w:t>
      </w:r>
      <w:r w:rsidR="00AF3793">
        <w:rPr>
          <w:rStyle w:val="Style1Char"/>
          <w:rFonts w:hint="cs"/>
          <w:rtl/>
        </w:rPr>
        <w:t>(</w:t>
      </w:r>
      <w:r w:rsidR="000E6B89">
        <w:rPr>
          <w:rStyle w:val="Style1Char"/>
          <w:rFonts w:hint="cs"/>
          <w:rtl/>
        </w:rPr>
        <w:t>1.1, 2</w:t>
      </w:r>
      <w:r w:rsidR="00AF3793">
        <w:rPr>
          <w:rStyle w:val="Style1Char"/>
          <w:rFonts w:hint="cs"/>
          <w:rtl/>
        </w:rPr>
        <w:t>)</w:t>
      </w:r>
      <w:r w:rsidRPr="00887069">
        <w:rPr>
          <w:rStyle w:val="Style1Char"/>
          <w:color w:val="00B050"/>
          <w:rtl/>
        </w:rPr>
        <w:t xml:space="preserve">וקאמרי הני: ידעינן ביה דעבד תשובה. </w:t>
      </w:r>
      <w:r w:rsidRPr="00A257DF">
        <w:rPr>
          <w:rStyle w:val="Style1Char"/>
          <w:color w:val="auto"/>
          <w:sz w:val="22"/>
          <w:szCs w:val="22"/>
          <w:rtl/>
        </w:rPr>
        <w:t xml:space="preserve">א"ר זירא: הא מלתא מרבי אבא שמיע לי, ואי לאו רבי אבא דמן עכו שכחתה: </w:t>
      </w:r>
      <w:r w:rsidR="000E6B89">
        <w:rPr>
          <w:rStyle w:val="Style1Char"/>
          <w:rFonts w:hint="cs"/>
          <w:rtl/>
        </w:rPr>
        <w:t>(3)</w:t>
      </w:r>
      <w:r w:rsidRPr="00A257DF">
        <w:rPr>
          <w:rStyle w:val="Style1Char"/>
          <w:color w:val="auto"/>
          <w:sz w:val="22"/>
          <w:szCs w:val="22"/>
          <w:rtl/>
        </w:rPr>
        <w:t xml:space="preserve">ג' שישבו לקיים את השטר ומת אחד מהם, צריכין למיכתב במותב תלתא </w:t>
      </w:r>
      <w:r w:rsidRPr="00A257DF">
        <w:rPr>
          <w:rStyle w:val="Style1Char"/>
          <w:color w:val="806000" w:themeColor="accent4" w:themeShade="80"/>
          <w:sz w:val="22"/>
          <w:szCs w:val="22"/>
          <w:rtl/>
        </w:rPr>
        <w:t xml:space="preserve">כחדא </w:t>
      </w:r>
      <w:r w:rsidRPr="00A257DF">
        <w:rPr>
          <w:rStyle w:val="Style1Char"/>
          <w:color w:val="auto"/>
          <w:sz w:val="22"/>
          <w:szCs w:val="22"/>
          <w:rtl/>
        </w:rPr>
        <w:t>הוינא וחד ליתוהי</w:t>
      </w:r>
      <w:r w:rsidRPr="00A257DF">
        <w:rPr>
          <w:rStyle w:val="Style1Char"/>
          <w:color w:val="4472C4" w:themeColor="accent1"/>
          <w:rtl/>
        </w:rPr>
        <w:t xml:space="preserve"> </w:t>
      </w:r>
      <w:r w:rsidRPr="0077125B">
        <w:rPr>
          <w:rStyle w:val="Style1Char"/>
          <w:color w:val="4472C4" w:themeColor="accent1"/>
          <w:rtl/>
        </w:rPr>
        <w:t>שאם לא יכתבו במותב תלתא הוינא אתי למימר דקיום שטרות בשנים הילכך כיון שאין חתומין עליו אלא שנים צריך לכתוב שהיו מתחלה שלשה וכיון שכותבין שהיו ג' טוב הוא שגם יכתבו וחד ליתוהי שאם לא יכתבוהו אתי למיטעי ולומר שאין צריך ב"ד בקיום השטר ומה שכתבו במותב תלתא הוינא לא לשם ב"ד כתבו אלא שהיה בדעתם לרבות ולא נזדמן להם אלא שנים שחתמו אבל כשכתבו וחד ליתוהי תו ליכא למיטעי. אבל כשלא כתבו וחד ליתוהי לא מיפסיל בהכי</w:t>
      </w:r>
      <w:r>
        <w:rPr>
          <w:rStyle w:val="Style1Char"/>
          <w:rFonts w:hint="cs"/>
          <w:color w:val="4472C4" w:themeColor="accent1"/>
        </w:rPr>
        <w:t>‍</w:t>
      </w:r>
      <w:r w:rsidRPr="0077125B">
        <w:rPr>
          <w:rStyle w:val="Style1Char"/>
          <w:color w:val="4472C4" w:themeColor="accent1"/>
          <w:rtl/>
        </w:rPr>
        <w:t xml:space="preserve"> תדע מדקאמר ואי כתב ביה בי דינא תו לא צריך</w:t>
      </w:r>
      <w:r>
        <w:rPr>
          <w:rStyle w:val="Style1Char"/>
          <w:rFonts w:hint="cs"/>
          <w:color w:val="4472C4" w:themeColor="accent1"/>
        </w:rPr>
        <w:t>‍</w:t>
      </w:r>
      <w:r w:rsidRPr="0077125B">
        <w:rPr>
          <w:rStyle w:val="Style1Char"/>
          <w:color w:val="4472C4" w:themeColor="accent1"/>
          <w:rtl/>
        </w:rPr>
        <w:t xml:space="preserve"> ומיירי דלא כתיב ביה וחד ליתוהי מדפריך ודילמא ב"ד חצוף הוה</w:t>
      </w:r>
      <w:r w:rsidRPr="00887069">
        <w:rPr>
          <w:rStyle w:val="Style1Char"/>
          <w:color w:val="00B050"/>
          <w:rtl/>
        </w:rPr>
        <w:t xml:space="preserve">. </w:t>
      </w:r>
      <w:r w:rsidRPr="00A257DF">
        <w:rPr>
          <w:rStyle w:val="Style1Char"/>
          <w:color w:val="auto"/>
          <w:sz w:val="22"/>
          <w:szCs w:val="22"/>
          <w:rtl/>
        </w:rPr>
        <w:t xml:space="preserve">אמר רב נחמן </w:t>
      </w:r>
      <w:r w:rsidRPr="00887069">
        <w:rPr>
          <w:rStyle w:val="Style1Char"/>
          <w:color w:val="00B050"/>
          <w:rtl/>
        </w:rPr>
        <w:t xml:space="preserve">בר יצחק: </w:t>
      </w:r>
      <w:r w:rsidRPr="00FF1B28">
        <w:rPr>
          <w:rStyle w:val="Style1Char"/>
          <w:color w:val="auto"/>
          <w:sz w:val="22"/>
          <w:szCs w:val="22"/>
          <w:rtl/>
        </w:rPr>
        <w:t xml:space="preserve">ואי כתב ביה </w:t>
      </w:r>
      <w:r w:rsidRPr="00887069">
        <w:rPr>
          <w:rStyle w:val="Style1Char"/>
          <w:color w:val="00B050"/>
          <w:rtl/>
        </w:rPr>
        <w:t xml:space="preserve">שטרא דנן נפק לקדמנא </w:t>
      </w:r>
      <w:r w:rsidRPr="00003C78">
        <w:rPr>
          <w:rStyle w:val="Style1Char"/>
          <w:color w:val="auto"/>
          <w:sz w:val="22"/>
          <w:szCs w:val="22"/>
          <w:rtl/>
        </w:rPr>
        <w:t xml:space="preserve">בי דינא, תו לא צריך. ודלמא בית דין חצוף הוא! וכדשמואל, דאמר שמואל: שנים שדנו - דיניהם דין, אלא שנקרא ב"ד חצוף! דכתיב ביה בי דינא דרבנא אשי. ודלמא רבנן דבי רב אשי כדשמואל סבירא להו! </w:t>
      </w:r>
      <w:r w:rsidR="00804536">
        <w:rPr>
          <w:rStyle w:val="Style1Char"/>
          <w:rFonts w:hint="cs"/>
          <w:rtl/>
        </w:rPr>
        <w:t>(3)</w:t>
      </w:r>
      <w:r w:rsidRPr="00003C78">
        <w:rPr>
          <w:rStyle w:val="Style1Char"/>
          <w:color w:val="auto"/>
          <w:sz w:val="22"/>
          <w:szCs w:val="22"/>
          <w:rtl/>
        </w:rPr>
        <w:t>דכתיב ביה ואמר לנא רבנא אשי</w:t>
      </w:r>
      <w:r w:rsidRPr="00817F6C">
        <w:rPr>
          <w:rStyle w:val="Style1Char"/>
          <w:sz w:val="22"/>
          <w:szCs w:val="22"/>
          <w:rtl/>
        </w:rPr>
        <w:t xml:space="preserve"> </w:t>
      </w:r>
      <w:r w:rsidRPr="00817F6C">
        <w:rPr>
          <w:rStyle w:val="Style1Char"/>
          <w:color w:val="C00000"/>
          <w:sz w:val="22"/>
          <w:szCs w:val="22"/>
          <w:rtl/>
        </w:rPr>
        <w:t>לקיומי ואמינא ליה לרבנא אשי מהני שמעתתא שמעינן דלית הלכתא כשמואל דאמר שנים שדנו דיניהן דין</w:t>
      </w:r>
      <w:r w:rsidRPr="00817F6C">
        <w:rPr>
          <w:rStyle w:val="Style1Char"/>
          <w:color w:val="C00000"/>
          <w:sz w:val="22"/>
          <w:szCs w:val="22"/>
        </w:rPr>
        <w:t>:</w:t>
      </w:r>
      <w:r w:rsidRPr="00610FE1">
        <w:rPr>
          <w:rStyle w:val="Style1Char"/>
          <w:color w:val="4472C4" w:themeColor="accent1"/>
          <w:rtl/>
        </w:rPr>
        <w:t xml:space="preserve"> </w:t>
      </w:r>
      <w:r w:rsidRPr="0077125B">
        <w:rPr>
          <w:rStyle w:val="Style1Char"/>
          <w:color w:val="4472C4" w:themeColor="accent1"/>
          <w:rtl/>
        </w:rPr>
        <w:t>. בפרק קמא דסנהדרין כתבתי אי הלכתא כשמואל</w:t>
      </w:r>
      <w:r w:rsidRPr="0077125B">
        <w:rPr>
          <w:rStyle w:val="Style1Char"/>
          <w:color w:val="4472C4" w:themeColor="accent1"/>
        </w:rPr>
        <w:t>:</w:t>
      </w:r>
    </w:p>
    <w:p w14:paraId="4008D70E" w14:textId="54EDCF71" w:rsidR="00DA1858" w:rsidRPr="004C16E1" w:rsidRDefault="00DA1858" w:rsidP="00DA1858">
      <w:pPr>
        <w:bidi/>
        <w:rPr>
          <w:rStyle w:val="Style1Char"/>
          <w:color w:val="auto"/>
          <w:sz w:val="22"/>
          <w:szCs w:val="22"/>
          <w:rtl/>
        </w:rPr>
      </w:pPr>
      <w:r w:rsidRPr="004C16E1">
        <w:rPr>
          <w:rStyle w:val="Style1Char"/>
          <w:color w:val="auto"/>
          <w:sz w:val="22"/>
          <w:szCs w:val="22"/>
          <w:rtl/>
        </w:rPr>
        <w:t xml:space="preserve">מתני'. </w:t>
      </w:r>
      <w:r w:rsidR="00CA10E5">
        <w:rPr>
          <w:rStyle w:val="Style1Char"/>
          <w:rFonts w:hint="cs"/>
          <w:rtl/>
        </w:rPr>
        <w:t>(4)</w:t>
      </w:r>
      <w:r w:rsidRPr="004C16E1">
        <w:rPr>
          <w:rStyle w:val="Style1Char"/>
          <w:color w:val="auto"/>
          <w:sz w:val="22"/>
          <w:szCs w:val="22"/>
          <w:rtl/>
        </w:rPr>
        <w:t xml:space="preserve">האשה שאמרה אשת איש הייתי וגרושה אני - נאמנת, שהפה שאסר הוא הפה שהתיר; </w:t>
      </w:r>
      <w:r w:rsidR="00CA10E5">
        <w:rPr>
          <w:rStyle w:val="Style1Char"/>
          <w:rFonts w:hint="cs"/>
          <w:rtl/>
        </w:rPr>
        <w:t>(4.1, 5)</w:t>
      </w:r>
      <w:r w:rsidRPr="004C16E1">
        <w:rPr>
          <w:rStyle w:val="Style1Char"/>
          <w:color w:val="auto"/>
          <w:sz w:val="22"/>
          <w:szCs w:val="22"/>
          <w:rtl/>
        </w:rPr>
        <w:t xml:space="preserve">ואם יש עדים שהיתה אשת איש, והיא אומרת גרושה אני - אינה נאמנת. </w:t>
      </w:r>
      <w:r w:rsidR="00273EF8">
        <w:rPr>
          <w:rStyle w:val="Style1Char"/>
          <w:rFonts w:hint="cs"/>
          <w:rtl/>
        </w:rPr>
        <w:t>(6)</w:t>
      </w:r>
      <w:r w:rsidRPr="004C16E1">
        <w:rPr>
          <w:rStyle w:val="Style1Char"/>
          <w:color w:val="auto"/>
          <w:sz w:val="22"/>
          <w:szCs w:val="22"/>
          <w:rtl/>
        </w:rPr>
        <w:t xml:space="preserve">אמרה נשביתי וטהורה אני - נאמנת, שהפה שאסר הוא הפה שהתיר; </w:t>
      </w:r>
      <w:r w:rsidR="00FF06FD">
        <w:rPr>
          <w:rStyle w:val="Style1Char"/>
          <w:rFonts w:hint="cs"/>
          <w:rtl/>
        </w:rPr>
        <w:t>(6)</w:t>
      </w:r>
      <w:r w:rsidRPr="004C16E1">
        <w:rPr>
          <w:rStyle w:val="Style1Char"/>
          <w:color w:val="auto"/>
          <w:sz w:val="22"/>
          <w:szCs w:val="22"/>
          <w:rtl/>
        </w:rPr>
        <w:t xml:space="preserve">ואם יש עדים שנשבית, והיא אומרת טהורה אני - אינה נאמנת. </w:t>
      </w:r>
      <w:r w:rsidR="008017C9">
        <w:rPr>
          <w:rStyle w:val="Style1Char"/>
          <w:rFonts w:hint="cs"/>
          <w:rtl/>
        </w:rPr>
        <w:t>(7)</w:t>
      </w:r>
      <w:r w:rsidRPr="004C16E1">
        <w:rPr>
          <w:rStyle w:val="Style1Char"/>
          <w:color w:val="auto"/>
          <w:sz w:val="22"/>
          <w:szCs w:val="22"/>
          <w:rtl/>
        </w:rPr>
        <w:t xml:space="preserve">ואם משנשאת באו עדים - הרי זו לא תצא. </w:t>
      </w:r>
    </w:p>
    <w:p w14:paraId="2E2F0070" w14:textId="36AD198E" w:rsidR="00DA1858" w:rsidRDefault="00DA1858" w:rsidP="00DA1858">
      <w:pPr>
        <w:bidi/>
        <w:rPr>
          <w:rStyle w:val="Style1Char"/>
          <w:color w:val="auto"/>
          <w:sz w:val="22"/>
          <w:szCs w:val="22"/>
          <w:rtl/>
        </w:rPr>
      </w:pPr>
      <w:r w:rsidRPr="00887069">
        <w:rPr>
          <w:rStyle w:val="Style1Char"/>
          <w:color w:val="00B050"/>
          <w:rtl/>
        </w:rPr>
        <w:t xml:space="preserve">גמ'. א"ר אסי: מנין להפה שאסר הוא הפה שהתיר מן התורה? שנאמר: את בתי נתתי לאיש הזה לאשה, לאיש - אסרה, הזה - התירה. ל"ל קרא? סברא היא, הוא אסרה והוא שרי לה! אלא, כי איצטריך קרא - לכדרב הונא אמר רב, דא"ר הונא אמר רב: </w:t>
      </w:r>
      <w:r w:rsidR="00274E75">
        <w:rPr>
          <w:rStyle w:val="Style1Char"/>
          <w:rFonts w:hint="cs"/>
          <w:rtl/>
        </w:rPr>
        <w:t>(8)</w:t>
      </w:r>
      <w:r w:rsidRPr="00887069">
        <w:rPr>
          <w:rStyle w:val="Style1Char"/>
          <w:color w:val="00B050"/>
          <w:rtl/>
        </w:rPr>
        <w:t xml:space="preserve">מנין לאב שנאמן לאסור את בתו מן התורה? שנאמר: את בתי נתתי לאיש. הזה למה לי? מיבעי ליה לכדתני ר' יונה, דתני ר' יונה: את בתי נתתי לאיש הזה, הזה - </w:t>
      </w:r>
      <w:r w:rsidR="00295C4D">
        <w:rPr>
          <w:rStyle w:val="Style1Char"/>
          <w:rFonts w:hint="cs"/>
          <w:rtl/>
        </w:rPr>
        <w:t>(9)</w:t>
      </w:r>
      <w:r w:rsidRPr="00887069">
        <w:rPr>
          <w:rStyle w:val="Style1Char"/>
          <w:color w:val="00B050"/>
          <w:rtl/>
        </w:rPr>
        <w:t xml:space="preserve">ולא ליבם. ת"ר: </w:t>
      </w:r>
      <w:r w:rsidR="00295C4D">
        <w:rPr>
          <w:rStyle w:val="Style1Char"/>
          <w:rFonts w:hint="cs"/>
          <w:rtl/>
        </w:rPr>
        <w:t>(10)</w:t>
      </w:r>
      <w:r w:rsidRPr="00887069">
        <w:rPr>
          <w:rStyle w:val="Style1Char"/>
          <w:color w:val="00B050"/>
          <w:rtl/>
        </w:rPr>
        <w:t xml:space="preserve">האשה שאמרה אשת איש אני, וחזרה ואמרה פנויה אני - נאמנת. והא שוויה לנפשה חתיכה דאיסורא! אמר רבא בר רב הונא: </w:t>
      </w:r>
      <w:r w:rsidR="007B37EB">
        <w:rPr>
          <w:rStyle w:val="Style1Char"/>
          <w:rFonts w:hint="cs"/>
          <w:rtl/>
        </w:rPr>
        <w:t>(10)</w:t>
      </w:r>
      <w:r w:rsidRPr="00887069">
        <w:rPr>
          <w:rStyle w:val="Style1Char"/>
          <w:color w:val="00B050"/>
          <w:rtl/>
        </w:rPr>
        <w:t xml:space="preserve">כגון שנתנה אמתלא לדבריה. תניא נמי הכי: </w:t>
      </w:r>
      <w:r w:rsidRPr="00ED5601">
        <w:rPr>
          <w:rStyle w:val="Style1Char"/>
          <w:color w:val="4472C4" w:themeColor="accent1"/>
          <w:sz w:val="20"/>
          <w:szCs w:val="20"/>
          <w:rtl/>
        </w:rPr>
        <w:t xml:space="preserve">תנו רבנן </w:t>
      </w:r>
      <w:r w:rsidRPr="00ED5601">
        <w:rPr>
          <w:rStyle w:val="Style1Char"/>
          <w:color w:val="auto"/>
          <w:sz w:val="22"/>
          <w:szCs w:val="22"/>
          <w:rtl/>
        </w:rPr>
        <w:t>אמרה אשת איש אני, וחזרה ואמרה פנויה אני - אינה נאמנת</w:t>
      </w:r>
      <w:r w:rsidRPr="00AE4663">
        <w:rPr>
          <w:rStyle w:val="Style1Char"/>
          <w:color w:val="4472C4" w:themeColor="accent1"/>
          <w:rtl/>
        </w:rPr>
        <w:t xml:space="preserve"> </w:t>
      </w:r>
      <w:r w:rsidRPr="0077125B">
        <w:rPr>
          <w:rStyle w:val="Style1Char"/>
          <w:color w:val="4472C4" w:themeColor="accent1"/>
          <w:rtl/>
        </w:rPr>
        <w:t>אם אמרה אחר כדי דיבור אבל בתוך כדי דיבור יכולה לחזור ולסתור דבריה הראשונים</w:t>
      </w:r>
      <w:r w:rsidRPr="00ED5601">
        <w:rPr>
          <w:rStyle w:val="Style1Char"/>
          <w:color w:val="auto"/>
          <w:sz w:val="22"/>
          <w:szCs w:val="22"/>
          <w:rtl/>
        </w:rPr>
        <w:t xml:space="preserve">, ואם נתנה אמתלא לדבריה - נאמנת; ומעשה נמי באשה אחת </w:t>
      </w:r>
      <w:r w:rsidRPr="00887069">
        <w:rPr>
          <w:rStyle w:val="Style1Char"/>
          <w:color w:val="00B050"/>
          <w:rtl/>
        </w:rPr>
        <w:t xml:space="preserve">גדולה, </w:t>
      </w:r>
      <w:r w:rsidRPr="00AE4663">
        <w:rPr>
          <w:rStyle w:val="Style1Char"/>
          <w:color w:val="auto"/>
          <w:sz w:val="22"/>
          <w:szCs w:val="22"/>
          <w:rtl/>
        </w:rPr>
        <w:t>שהיתה גדולה בנוי וקפצו עליה בני אדם לקדשה, ואמרה להם מקודשת אני, לימים עמדה וקידשה את עצמה, אמרו לה חכמים: מה ראית לעשות כן? אמרה להם: בתחלה שבאו עלי אנשים שאינם מהוגנים, אמרתי מקודשת אני, עכשיו שבאו עלי אנשים מהוגנים, עמדתי וקדשתי את עצמי; וזו הלכה העלה רב אחא שר הבירה לפני חכמי' באושא, ואמרו: אם נתנה אמתל' לדבריה - נאמנת</w:t>
      </w:r>
      <w:r w:rsidRPr="0078096D">
        <w:rPr>
          <w:rStyle w:val="Style1Char"/>
          <w:sz w:val="22"/>
          <w:szCs w:val="22"/>
          <w:rtl/>
        </w:rPr>
        <w:t xml:space="preserve">. </w:t>
      </w:r>
      <w:r w:rsidRPr="00AE4663">
        <w:rPr>
          <w:rStyle w:val="Style1Char"/>
          <w:color w:val="auto"/>
          <w:sz w:val="22"/>
          <w:szCs w:val="22"/>
          <w:rtl/>
        </w:rPr>
        <w:t xml:space="preserve">בעא מיניה שמואל מרב: אמרה טמאה אני, וחזרה ואמרה טהורה אני, מהו? אמר ליה: </w:t>
      </w:r>
      <w:r w:rsidR="007D7509">
        <w:rPr>
          <w:rStyle w:val="Style1Char"/>
          <w:rFonts w:hint="cs"/>
          <w:rtl/>
        </w:rPr>
        <w:t>(11)</w:t>
      </w:r>
      <w:r w:rsidRPr="00AE4663">
        <w:rPr>
          <w:rStyle w:val="Style1Char"/>
          <w:color w:val="auto"/>
          <w:sz w:val="22"/>
          <w:szCs w:val="22"/>
          <w:rtl/>
        </w:rPr>
        <w:t xml:space="preserve">אף בזו אם נתנה </w:t>
      </w:r>
    </w:p>
    <w:p w14:paraId="29BA4004" w14:textId="4CDF4B13" w:rsidR="007D7509" w:rsidRDefault="007D7509" w:rsidP="007D7509">
      <w:pPr>
        <w:pStyle w:val="Style1"/>
        <w:rPr>
          <w:rStyle w:val="Style1Char"/>
          <w:rtl/>
        </w:rPr>
      </w:pPr>
      <w:r>
        <w:rPr>
          <w:rStyle w:val="Style1Char"/>
          <w:rFonts w:hint="cs"/>
          <w:rtl/>
        </w:rPr>
        <w:t>1)[</w:t>
      </w:r>
      <w:r w:rsidRPr="007D7509">
        <w:rPr>
          <w:rStyle w:val="Style1Char"/>
          <w:rtl/>
        </w:rPr>
        <w:t>רמב</w:t>
      </w:r>
      <w:r w:rsidR="0057095E">
        <w:rPr>
          <w:rStyle w:val="Style1Char"/>
          <w:rtl/>
        </w:rPr>
        <w:t>”ם \שופטים\</w:t>
      </w:r>
      <w:r w:rsidRPr="007D7509">
        <w:rPr>
          <w:rStyle w:val="Style1Char"/>
          <w:rtl/>
        </w:rPr>
        <w:t xml:space="preserve"> הלכות עדות פרק ו הלכה ז</w:t>
      </w:r>
      <w:r>
        <w:rPr>
          <w:rStyle w:val="Style1Char"/>
          <w:rFonts w:hint="cs"/>
          <w:rtl/>
        </w:rPr>
        <w:t xml:space="preserve">] </w:t>
      </w:r>
      <w:r w:rsidRPr="007D7509">
        <w:rPr>
          <w:rStyle w:val="Style1Char"/>
          <w:rtl/>
        </w:rPr>
        <w:t>שלשה שישבו לקיים את השטר ובאו שני עדים וערערו על אחד מהן שהוא גזלן וכיוצא בו ובאו שנים אחרים והעידו שחזר בתשובה, אם עד שלא חתמו העידו שחזר הרי זה חותם עמהם שהרי שלשה היו ואם אחר שחתמו השנים העידו עליו שחזר בתשובה אינו חותם עמהן שהרי הוא כמי שאינו בעת חתימת השנים, במה דברים אמורים כשערערו עליו בעבירה, אבל ערערו עליו בפגם משפחה כמו שאמרו אמו לא נשתחררה ועבד הוא או לא נתגיירה ועכו"ם הוא ונודע אחר שחתמו השנים שאין במשפחתו פגם ושהוא כשר הרי זה חותם עמהם שזה גילוי דבר שהיה מקודם הוא.</w:t>
      </w:r>
    </w:p>
    <w:p w14:paraId="5EB24DD8" w14:textId="61D5399C" w:rsidR="00D47D54" w:rsidRDefault="00D47D54" w:rsidP="00D47D54">
      <w:pPr>
        <w:pStyle w:val="Style1"/>
        <w:rPr>
          <w:rStyle w:val="Style1Char"/>
          <w:rtl/>
        </w:rPr>
      </w:pPr>
      <w:r>
        <w:rPr>
          <w:rStyle w:val="Style1Char"/>
          <w:rFonts w:hint="cs"/>
          <w:rtl/>
        </w:rPr>
        <w:t>1)[</w:t>
      </w:r>
      <w:r w:rsidRPr="00D47D54">
        <w:rPr>
          <w:rStyle w:val="Style1Char"/>
          <w:rtl/>
        </w:rPr>
        <w:t>שולחן ערוך חושן משפט הלכות הלואה סימן מו סעיף כז</w:t>
      </w:r>
      <w:r>
        <w:rPr>
          <w:rStyle w:val="Style1Char"/>
          <w:rFonts w:hint="cs"/>
          <w:rtl/>
        </w:rPr>
        <w:t xml:space="preserve">] </w:t>
      </w:r>
      <w:r w:rsidRPr="00D47D54">
        <w:rPr>
          <w:rStyle w:val="Style1Char"/>
          <w:rtl/>
        </w:rPr>
        <w:t>במה דברים אמורים, כשערערו עליו בעבירה. אבל אם ערערו עליו בפגם משפחה, כגון שאמרו: אמו לא נשתחררה, ועבד הוא; או לא נתגיירו, ועו"ג הוא, ונודע אחר שחתמו השנים שאין במשפחתו פגם ושהוא כשר, הרי זה חותם עמהם, שזה גילוי דבר שהיה מקודם הוא.</w:t>
      </w:r>
    </w:p>
    <w:p w14:paraId="5C30A60C" w14:textId="46517F92" w:rsidR="00DA1858" w:rsidRDefault="00EB051D" w:rsidP="001C6BDB">
      <w:pPr>
        <w:pStyle w:val="Style1"/>
        <w:rPr>
          <w:rtl/>
        </w:rPr>
      </w:pPr>
      <w:r>
        <w:rPr>
          <w:rStyle w:val="Style1Char"/>
          <w:rFonts w:hint="cs"/>
          <w:rtl/>
        </w:rPr>
        <w:t>2)[</w:t>
      </w:r>
      <w:r w:rsidRPr="00EB051D">
        <w:rPr>
          <w:rStyle w:val="Style1Char"/>
          <w:rtl/>
        </w:rPr>
        <w:t>שולחן ערוך חושן משפט הלכות הלואה סימן מו סעיף כו</w:t>
      </w:r>
      <w:r>
        <w:rPr>
          <w:rStyle w:val="Style1Char"/>
          <w:rFonts w:hint="cs"/>
          <w:rtl/>
        </w:rPr>
        <w:t>]</w:t>
      </w:r>
      <w:r w:rsidR="001C6BDB">
        <w:rPr>
          <w:rStyle w:val="Style1Char"/>
          <w:rFonts w:hint="cs"/>
          <w:rtl/>
        </w:rPr>
        <w:t xml:space="preserve"> </w:t>
      </w:r>
      <w:r w:rsidR="001C6BDB" w:rsidRPr="001C6BDB">
        <w:rPr>
          <w:rtl/>
        </w:rPr>
        <w:t>ג' שישבו לקיים את השטר ובאו ב' עדי' וערערו על אחד מהן שהוא גזלן וכיוצא בו ובאו שנים אחרים והעידו שחזר בתשובה אם עד שלא חתמו העידו שחזר ה"ז חותם עמהן שהרי ג' היו ואם אחר שחתמו העידו עליו שחזר בתשובה אינו חותם עמהם שהרי הוא כמי שאינו בעת חתימת השנים</w:t>
      </w:r>
      <w:r w:rsidR="001C6BDB" w:rsidRPr="001C6BDB">
        <w:t>:</w:t>
      </w:r>
    </w:p>
    <w:p w14:paraId="3F97F10F" w14:textId="6FE58D17" w:rsidR="00B218EC" w:rsidRDefault="00B218EC" w:rsidP="00B218EC">
      <w:pPr>
        <w:pStyle w:val="Style1"/>
        <w:rPr>
          <w:rStyle w:val="Style1Char"/>
          <w:rtl/>
        </w:rPr>
      </w:pPr>
      <w:r>
        <w:rPr>
          <w:rStyle w:val="Style1Char"/>
          <w:rFonts w:hint="cs"/>
          <w:rtl/>
        </w:rPr>
        <w:t>3)[</w:t>
      </w:r>
      <w:r w:rsidRPr="00B218EC">
        <w:rPr>
          <w:rStyle w:val="Style1Char"/>
          <w:rtl/>
        </w:rPr>
        <w:t>רמב</w:t>
      </w:r>
      <w:r w:rsidR="0057095E">
        <w:rPr>
          <w:rStyle w:val="Style1Char"/>
          <w:rtl/>
        </w:rPr>
        <w:t>”ם \שופטים\</w:t>
      </w:r>
      <w:r w:rsidRPr="00B218EC">
        <w:rPr>
          <w:rStyle w:val="Style1Char"/>
          <w:rtl/>
        </w:rPr>
        <w:t xml:space="preserve"> הלכות עדות פרק ו הלכה ו</w:t>
      </w:r>
      <w:r>
        <w:rPr>
          <w:rStyle w:val="Style1Char"/>
          <w:rFonts w:hint="cs"/>
          <w:rtl/>
        </w:rPr>
        <w:t xml:space="preserve">] </w:t>
      </w:r>
      <w:r w:rsidRPr="00B218EC">
        <w:rPr>
          <w:rStyle w:val="Style1Char"/>
          <w:rtl/>
        </w:rPr>
        <w:t>שלשה שישבו לקיים את השטר ומת אחד מהם צריכין לכתוב במושב שלשה היינו והאחד איננו, שמא יאמר הרואה בית דין בשנים קיימוהו, אפילו היה כתוב בו בבית דין יאמר שמא דמו ששנים בית דין הם, ואם יש בו משמע שהיו שלשה אינו צריך.</w:t>
      </w:r>
    </w:p>
    <w:p w14:paraId="0CD2E107" w14:textId="0B357C9A" w:rsidR="002C106E" w:rsidRPr="002C106E" w:rsidRDefault="00340AE9" w:rsidP="002C106E">
      <w:pPr>
        <w:pStyle w:val="Style1"/>
      </w:pPr>
      <w:r>
        <w:rPr>
          <w:rStyle w:val="Style1Char"/>
          <w:rFonts w:hint="cs"/>
          <w:rtl/>
        </w:rPr>
        <w:t>3)[</w:t>
      </w:r>
      <w:r w:rsidRPr="00340AE9">
        <w:rPr>
          <w:rStyle w:val="Style1Char"/>
          <w:rtl/>
        </w:rPr>
        <w:t>שולחן ערוך חושן משפט הלכות הלואה סימן מו סעיף כט</w:t>
      </w:r>
      <w:r>
        <w:rPr>
          <w:rStyle w:val="Style1Char"/>
          <w:rFonts w:hint="cs"/>
          <w:rtl/>
        </w:rPr>
        <w:t>]</w:t>
      </w:r>
      <w:r w:rsidR="002C106E">
        <w:rPr>
          <w:rStyle w:val="Style1Char"/>
          <w:rFonts w:hint="cs"/>
          <w:rtl/>
        </w:rPr>
        <w:t xml:space="preserve"> </w:t>
      </w:r>
      <w:r w:rsidR="002C106E" w:rsidRPr="002C106E">
        <w:rPr>
          <w:rtl/>
        </w:rPr>
        <w:t>ג' שישבו לקיים את השטר ומת אחד מהם צריכין לכתוב במותב תלתא הוינא וחד ליתוהי כדי שלא יאמר הרואה בית דין של שנים קיימוהו אפי' היה כתוב בו בב"ד יאמר שמא רימו ששנים ב"ד הם ואם יש בו משמעות שהיו שלשה א"צ וי"א שאם לא כתבו וחד ליתוהי כשר ומ"מ לכ"ע אם כתב בי דינא ובמותב תלתא תו לא צריך וחותמים שנים מהם ודיו</w:t>
      </w:r>
      <w:r w:rsidR="002C106E" w:rsidRPr="002C106E">
        <w:t>:</w:t>
      </w:r>
    </w:p>
    <w:p w14:paraId="110F7707" w14:textId="32C30C13" w:rsidR="002C106E" w:rsidRDefault="002C106E" w:rsidP="002C106E">
      <w:pPr>
        <w:pStyle w:val="Style1"/>
        <w:rPr>
          <w:rtl/>
        </w:rPr>
      </w:pPr>
      <w:r w:rsidRPr="002C106E">
        <w:rPr>
          <w:rFonts w:hint="cs"/>
          <w:rtl/>
        </w:rPr>
        <w:t>הגה: ואם כל השלשה חתומים א"צ לכתוב במותב תלתא הוינא (נ"י פ' ג"פ וריב"ש סי' תי"ג וש"ח ורשב"א סי' אלף קנ"ג ור"ן פ"ב דכתובות) ואפי' אין כתוב בו רק שטר זה נתקיים כראוי די בכך (תשובת רמב"ן סי' צ"א)</w:t>
      </w:r>
      <w:r w:rsidRPr="002C106E">
        <w:t>:</w:t>
      </w:r>
    </w:p>
    <w:p w14:paraId="7FB2FDA7" w14:textId="7A50BC37" w:rsidR="000076A4" w:rsidRDefault="000076A4" w:rsidP="000076A4">
      <w:pPr>
        <w:pStyle w:val="Style1"/>
        <w:rPr>
          <w:rtl/>
        </w:rPr>
      </w:pPr>
      <w:r>
        <w:rPr>
          <w:rFonts w:hint="cs"/>
          <w:rtl/>
        </w:rPr>
        <w:t>4)[</w:t>
      </w:r>
      <w:r>
        <w:rPr>
          <w:rtl/>
        </w:rPr>
        <w:t>רמב</w:t>
      </w:r>
      <w:r w:rsidR="00213DA1">
        <w:rPr>
          <w:rtl/>
        </w:rPr>
        <w:t>”ם \נשים\</w:t>
      </w:r>
      <w:r>
        <w:rPr>
          <w:rtl/>
        </w:rPr>
        <w:t xml:space="preserve"> הלכות גירושין פרק יב הלכה א</w:t>
      </w:r>
      <w:r>
        <w:rPr>
          <w:rFonts w:hint="cs"/>
          <w:rtl/>
        </w:rPr>
        <w:t xml:space="preserve">] </w:t>
      </w:r>
      <w:r>
        <w:rPr>
          <w:rtl/>
        </w:rPr>
        <w:t>האשה שבאה ואמרה אשת איש הייתי וגרושה אני נאמנת, שהפה שאסר הוא הפה שהתיר, הוחזקה אשת איש ובאה ואמרה גירשני בעלי אינה נאמנת להתיר עצמה אבל פסלה עצמה לכהונה לעולם, ואם מת בעלה חוששין לדבריה וחולצת ולא מתיבמת.</w:t>
      </w:r>
    </w:p>
    <w:p w14:paraId="1037A295" w14:textId="4E7F8614" w:rsidR="00920E0E" w:rsidRDefault="00920E0E" w:rsidP="00540F8E">
      <w:pPr>
        <w:pStyle w:val="Style1"/>
        <w:rPr>
          <w:rtl/>
        </w:rPr>
      </w:pPr>
      <w:r>
        <w:rPr>
          <w:rFonts w:hint="cs"/>
          <w:rtl/>
        </w:rPr>
        <w:t>4)[</w:t>
      </w:r>
      <w:r>
        <w:rPr>
          <w:rtl/>
        </w:rPr>
        <w:t>שולחן ערוך אבן העזר הלכות גיטין סימן קנב סעיף ו</w:t>
      </w:r>
      <w:r>
        <w:rPr>
          <w:rFonts w:hint="cs"/>
          <w:rtl/>
        </w:rPr>
        <w:t>]</w:t>
      </w:r>
      <w:r w:rsidR="000860C5">
        <w:rPr>
          <w:rFonts w:hint="cs"/>
          <w:rtl/>
        </w:rPr>
        <w:t xml:space="preserve"> </w:t>
      </w:r>
      <w:r w:rsidR="000860C5" w:rsidRPr="00540F8E">
        <w:rPr>
          <w:rtl/>
        </w:rPr>
        <w:t>האשה שבאה ואמרה: אשת איש הייתי וגרושה אני -- נאמנת, שהפה שאסר הוא הפה שהתיר. ויש אומרים דווקא כשאמרה כך בתוך כדי דיבור, אלא אם כן נתנה אמתלא לדבריה</w:t>
      </w:r>
      <w:r w:rsidR="000860C5" w:rsidRPr="00540F8E">
        <w:t>:</w:t>
      </w:r>
    </w:p>
    <w:p w14:paraId="3C9A44FE" w14:textId="01A6B8C8" w:rsidR="00E472D5" w:rsidRPr="00E472D5" w:rsidRDefault="00E472D5" w:rsidP="00E472D5">
      <w:pPr>
        <w:pStyle w:val="Style1"/>
      </w:pPr>
      <w:r>
        <w:rPr>
          <w:rFonts w:hint="cs"/>
          <w:rtl/>
        </w:rPr>
        <w:t>5)[</w:t>
      </w:r>
      <w:r w:rsidR="00540F8E">
        <w:rPr>
          <w:rtl/>
        </w:rPr>
        <w:t>שולחן ערוך אבן העזר הלכות גיטין סימן קנב סעיף ז</w:t>
      </w:r>
      <w:r>
        <w:rPr>
          <w:rFonts w:hint="cs"/>
          <w:rtl/>
        </w:rPr>
        <w:t xml:space="preserve">] </w:t>
      </w:r>
      <w:r w:rsidRPr="00E472D5">
        <w:rPr>
          <w:rtl/>
        </w:rPr>
        <w:t>אם יש עדים שהיתה אשת איש, אינה נאמנת לומר גרושה אני, ואם נשאת, תצא. ואפילו אם נשאת קודם שבאו העדים שהעידו שהיתה אשת איש. אבל חוששין לדבריה ופסולה לכהונה לעולם; ואם מת, חולצת ולא מתיבמת</w:t>
      </w:r>
      <w:r w:rsidRPr="00E472D5">
        <w:t>.</w:t>
      </w:r>
    </w:p>
    <w:p w14:paraId="05558D98" w14:textId="67A4C8D6" w:rsidR="00E472D5" w:rsidRDefault="00E472D5" w:rsidP="00E472D5">
      <w:pPr>
        <w:pStyle w:val="Style1"/>
        <w:rPr>
          <w:rtl/>
        </w:rPr>
      </w:pPr>
      <w:r w:rsidRPr="00E472D5">
        <w:rPr>
          <w:rFonts w:hint="cs"/>
          <w:rtl/>
        </w:rPr>
        <w:t>הגה: באו עדים ואמרו "שמענו שהיא מגורשת", אין זה עדות להוציא מחזקתה, עד שיעידו שהיא גרושה</w:t>
      </w:r>
      <w:r w:rsidRPr="00E472D5">
        <w:rPr>
          <w:rFonts w:hint="cs"/>
        </w:rPr>
        <w:t xml:space="preserve"> (</w:t>
      </w:r>
      <w:hyperlink r:id="rId52" w:tooltip="תשובות ריב&quot;ש/תקד" w:history="1">
        <w:r w:rsidRPr="00E472D5">
          <w:rPr>
            <w:rStyle w:val="Hyperlink"/>
            <w:rFonts w:hint="cs"/>
            <w:color w:val="7030A0"/>
            <w:u w:val="none"/>
            <w:rtl/>
          </w:rPr>
          <w:t>ריב"ש סימן תק"ד</w:t>
        </w:r>
      </w:hyperlink>
      <w:r w:rsidRPr="00E472D5">
        <w:rPr>
          <w:rFonts w:hint="cs"/>
        </w:rPr>
        <w:t xml:space="preserve">). </w:t>
      </w:r>
      <w:r w:rsidRPr="00E472D5">
        <w:rPr>
          <w:rFonts w:hint="cs"/>
          <w:rtl/>
        </w:rPr>
        <w:t>אבל אם אין עדים שהיא אשת איש, רק אומרים "שמענו שנתקדשה ונתגרשה", דינו כקול בעלמא, וכדרך שנתבאר לעיל </w:t>
      </w:r>
      <w:hyperlink r:id="rId53" w:tooltip="שולחן ערוך אבן העזר מו" w:history="1">
        <w:r w:rsidRPr="00E472D5">
          <w:rPr>
            <w:rStyle w:val="Hyperlink"/>
            <w:rFonts w:hint="cs"/>
            <w:color w:val="7030A0"/>
            <w:u w:val="none"/>
            <w:rtl/>
          </w:rPr>
          <w:t>סי' מ"ו</w:t>
        </w:r>
      </w:hyperlink>
      <w:r w:rsidRPr="00E472D5">
        <w:t>:</w:t>
      </w:r>
    </w:p>
    <w:p w14:paraId="37B9B2E7" w14:textId="67908A31" w:rsidR="0082152F" w:rsidRDefault="0082152F" w:rsidP="0082152F">
      <w:pPr>
        <w:pStyle w:val="Style1"/>
        <w:rPr>
          <w:rtl/>
        </w:rPr>
      </w:pPr>
      <w:r>
        <w:rPr>
          <w:rFonts w:hint="cs"/>
          <w:rtl/>
        </w:rPr>
        <w:lastRenderedPageBreak/>
        <w:t>6)[</w:t>
      </w:r>
      <w:r>
        <w:rPr>
          <w:rtl/>
        </w:rPr>
        <w:t>רמב</w:t>
      </w:r>
      <w:r w:rsidR="00213DA1">
        <w:rPr>
          <w:rtl/>
        </w:rPr>
        <w:t>”ם \קדושה\</w:t>
      </w:r>
      <w:r>
        <w:rPr>
          <w:rtl/>
        </w:rPr>
        <w:t xml:space="preserve"> הלכות איסורי ביאה פרק יח הלכה כא</w:t>
      </w:r>
      <w:r>
        <w:rPr>
          <w:rFonts w:hint="cs"/>
          <w:rtl/>
        </w:rPr>
        <w:t xml:space="preserve">] </w:t>
      </w:r>
      <w:r>
        <w:rPr>
          <w:rtl/>
        </w:rPr>
        <w:t>האשה שאמרה נשביתי וטהורה אני נאמנת שהפה שאסר הוא הפה שהתיר אפילו היה שם עד אחד שמעיד שהיא שבויה, אבל אם יש שם שני עדים שנשבית אינה נאמנת עד שיעיד לה אחד שהיא טהורה, היו שם שני עדים שנשבית ועד אחד מעיד שנטמאת ואחד מכחיש אותו ומעיד לה שהיא טהורה ולא נתייחד עמה עכו"ם עד שנפדית אפילו זה שמעיד שהיא טהורה אשה או שפחה הרי זו מותרת.</w:t>
      </w:r>
    </w:p>
    <w:p w14:paraId="31C0FBB6" w14:textId="1AB7A2B5" w:rsidR="003C5E7E" w:rsidRDefault="003C5E7E" w:rsidP="003C5E7E">
      <w:pPr>
        <w:pStyle w:val="Style1"/>
        <w:rPr>
          <w:rtl/>
        </w:rPr>
      </w:pPr>
      <w:r>
        <w:rPr>
          <w:rFonts w:hint="cs"/>
          <w:rtl/>
        </w:rPr>
        <w:t>6)[</w:t>
      </w:r>
      <w:r>
        <w:rPr>
          <w:rtl/>
        </w:rPr>
        <w:t>שולחן ערוך אבן העזר הלכות אישות סימן ז סעיף ד</w:t>
      </w:r>
      <w:r>
        <w:rPr>
          <w:rFonts w:hint="cs"/>
          <w:rtl/>
        </w:rPr>
        <w:t xml:space="preserve">] </w:t>
      </w:r>
      <w:r>
        <w:rPr>
          <w:rtl/>
        </w:rPr>
        <w:t>האשה שאמרה: נשביתי, וטהורה אני, נאמנת, שהפה שאסר הוא הפה שהתיר. אפי' היה שם עד א' שמעיד שהיא שבויה. אבל אם יש שם שני עדים שנשבית, אינה נאמנת עד שיעיד לה אחד שהיא טהורה.</w:t>
      </w:r>
    </w:p>
    <w:p w14:paraId="11E9A704" w14:textId="7201F3FE" w:rsidR="00FB6157" w:rsidRDefault="00FB6157" w:rsidP="00FB6157">
      <w:pPr>
        <w:pStyle w:val="Style1"/>
        <w:rPr>
          <w:rtl/>
        </w:rPr>
      </w:pPr>
      <w:r>
        <w:rPr>
          <w:rFonts w:hint="cs"/>
          <w:rtl/>
        </w:rPr>
        <w:t>7)[</w:t>
      </w:r>
      <w:r>
        <w:rPr>
          <w:rtl/>
        </w:rPr>
        <w:t>רמב</w:t>
      </w:r>
      <w:r w:rsidR="00213DA1">
        <w:rPr>
          <w:rtl/>
        </w:rPr>
        <w:t>”ם \קדושה\</w:t>
      </w:r>
      <w:r>
        <w:rPr>
          <w:rtl/>
        </w:rPr>
        <w:t xml:space="preserve"> הלכות איסורי ביאה פרק יח הלכה כב</w:t>
      </w:r>
      <w:r>
        <w:rPr>
          <w:rFonts w:hint="cs"/>
          <w:rtl/>
        </w:rPr>
        <w:t xml:space="preserve">] </w:t>
      </w:r>
      <w:r>
        <w:rPr>
          <w:rtl/>
        </w:rPr>
        <w:t>מי שאמרה נשביתי וטהורה אני והתירוה בית דין להנשא ואח"כ באו שני עדים שנשבית הרי זו תנשא לכתחלה ולא תצא מהיתרה, ואפילו נכנס אחריה שבאי והרי היא שבויה לפנינו ביד אדוניה הרי זו לא תצא מהיתרה שהתירוה ומשמרין אותה מעתה עד שתפדה.</w:t>
      </w:r>
    </w:p>
    <w:p w14:paraId="54ED5063" w14:textId="5E3F5BE3" w:rsidR="00FA4B5C" w:rsidRDefault="00FA4B5C" w:rsidP="00137644">
      <w:pPr>
        <w:pStyle w:val="Style1"/>
        <w:rPr>
          <w:rtl/>
        </w:rPr>
      </w:pPr>
      <w:r>
        <w:rPr>
          <w:rFonts w:hint="cs"/>
          <w:rtl/>
        </w:rPr>
        <w:t>7)[</w:t>
      </w:r>
      <w:r>
        <w:rPr>
          <w:rtl/>
        </w:rPr>
        <w:t>שולחן ערוך אבן העזר הלכות אישות סימן ז סעיף ו</w:t>
      </w:r>
      <w:r>
        <w:rPr>
          <w:rFonts w:hint="cs"/>
          <w:rtl/>
        </w:rPr>
        <w:t>]</w:t>
      </w:r>
      <w:r w:rsidR="00137644">
        <w:rPr>
          <w:rFonts w:hint="cs"/>
          <w:rtl/>
        </w:rPr>
        <w:t xml:space="preserve"> </w:t>
      </w:r>
      <w:r w:rsidR="00137644" w:rsidRPr="00137644">
        <w:rPr>
          <w:rtl/>
        </w:rPr>
        <w:t>אמרה: "נשביתי וטהורה אני, ויש לי עדים שאני טהורה", אין אומרים: "נמתין עד שיבואו העדים", אלא מתירין אותה מיד. ולא עוד, אלא אפילו יצא עליה קול שיש עליה עידי טומאה, מתירין אותה עד שיבואו, שבשבויה הקילו</w:t>
      </w:r>
      <w:r w:rsidR="00137644" w:rsidRPr="00137644">
        <w:t>:</w:t>
      </w:r>
    </w:p>
    <w:p w14:paraId="3FB50BE0" w14:textId="44A28857" w:rsidR="002C7AAF" w:rsidRDefault="002C7AAF" w:rsidP="002C7AAF">
      <w:pPr>
        <w:pStyle w:val="Style1"/>
        <w:rPr>
          <w:rtl/>
        </w:rPr>
      </w:pPr>
      <w:r>
        <w:rPr>
          <w:rFonts w:hint="cs"/>
          <w:rtl/>
        </w:rPr>
        <w:t>8)[</w:t>
      </w:r>
      <w:r>
        <w:rPr>
          <w:rtl/>
        </w:rPr>
        <w:t>רמב</w:t>
      </w:r>
      <w:r w:rsidR="00213DA1">
        <w:rPr>
          <w:rtl/>
        </w:rPr>
        <w:t>”ם \נשים\</w:t>
      </w:r>
      <w:r>
        <w:rPr>
          <w:rtl/>
        </w:rPr>
        <w:t xml:space="preserve"> הלכות אישות פרק ט הלכה ג</w:t>
      </w:r>
      <w:r>
        <w:rPr>
          <w:rFonts w:hint="cs"/>
          <w:rtl/>
        </w:rPr>
        <w:t xml:space="preserve">] </w:t>
      </w:r>
      <w:r>
        <w:rPr>
          <w:rtl/>
        </w:rPr>
        <w:t>אמר לשתי אחיות הרי אחת מכם מקודשת לי בזה ונתן להן פרוטה או שקבלתה אחת על יד חבירתה, וכן האומר לאב אחת מבנותיך מקודשת לי וקיבל האב קידושיה, כולן צריכות גט ממנו, ואסור לו לבוא על אחת מהן מפני שהקידושין תופסין בהן ואף על פי שאי אפשר לבוא על אחת מהן.</w:t>
      </w:r>
    </w:p>
    <w:p w14:paraId="4025FBA4" w14:textId="4DB94602" w:rsidR="00020E48" w:rsidRDefault="00020E48" w:rsidP="00020E48">
      <w:pPr>
        <w:pStyle w:val="Style1"/>
        <w:rPr>
          <w:rtl/>
        </w:rPr>
      </w:pPr>
      <w:r>
        <w:rPr>
          <w:rFonts w:hint="cs"/>
          <w:rtl/>
        </w:rPr>
        <w:t>8)[</w:t>
      </w:r>
      <w:r>
        <w:rPr>
          <w:rtl/>
        </w:rPr>
        <w:t>רמב</w:t>
      </w:r>
      <w:r w:rsidR="00213DA1">
        <w:rPr>
          <w:rtl/>
        </w:rPr>
        <w:t>”ם \קדושה\</w:t>
      </w:r>
      <w:r>
        <w:rPr>
          <w:rtl/>
        </w:rPr>
        <w:t xml:space="preserve"> הלכות איסורי ביאה פרק יח הלכה כד</w:t>
      </w:r>
      <w:r>
        <w:rPr>
          <w:rFonts w:hint="cs"/>
          <w:rtl/>
        </w:rPr>
        <w:t xml:space="preserve">] </w:t>
      </w:r>
      <w:r>
        <w:rPr>
          <w:rtl/>
        </w:rPr>
        <w:t>האב שאמר קדשתי את בתי וגירשתיה והרי היא קטנה נאמן, קדשתיה וגירשתיה כשהיתה קטנה והרי היא גדולה אינו נאמן להחזיקה גרושה, נשבית ופדיתיה בין שהיא גדולה בין שהיא קטנה אינו נאמן, שלא האמינה אותו תורה אלא לאסרה משום אישות שנאמר את בתי נתתי לאיש הזה אבל לא לפוסלה משום זנות.</w:t>
      </w:r>
    </w:p>
    <w:p w14:paraId="6D609FB8" w14:textId="140FF491" w:rsidR="00D15CE7" w:rsidRDefault="00D15CE7" w:rsidP="00FB3CA5">
      <w:pPr>
        <w:pStyle w:val="Style1"/>
        <w:rPr>
          <w:rtl/>
        </w:rPr>
      </w:pPr>
      <w:r>
        <w:rPr>
          <w:rFonts w:hint="cs"/>
          <w:rtl/>
        </w:rPr>
        <w:t>8)[</w:t>
      </w:r>
      <w:r>
        <w:rPr>
          <w:rtl/>
        </w:rPr>
        <w:t>שולחן ערוך אבן העזר הלכות קידושין סימן לז סעיף כא</w:t>
      </w:r>
      <w:r>
        <w:rPr>
          <w:rFonts w:hint="cs"/>
          <w:rtl/>
        </w:rPr>
        <w:t>]</w:t>
      </w:r>
      <w:r w:rsidR="00FB3CA5">
        <w:rPr>
          <w:rFonts w:hint="cs"/>
          <w:rtl/>
        </w:rPr>
        <w:t xml:space="preserve"> </w:t>
      </w:r>
      <w:r w:rsidR="00FB3CA5" w:rsidRPr="00FB3CA5">
        <w:rPr>
          <w:rtl/>
        </w:rPr>
        <w:t>בא אחד ואמר </w:t>
      </w:r>
      <w:r w:rsidR="00FB3CA5" w:rsidRPr="00FB3CA5">
        <w:rPr>
          <w:rFonts w:hint="cs"/>
          <w:rtl/>
        </w:rPr>
        <w:t>בפני האב (הר"ן ורבינו ירוחם)</w:t>
      </w:r>
      <w:r w:rsidR="00FB3CA5" w:rsidRPr="00FB3CA5">
        <w:t xml:space="preserve">: </w:t>
      </w:r>
      <w:r w:rsidR="00FB3CA5" w:rsidRPr="00FB3CA5">
        <w:rPr>
          <w:rtl/>
        </w:rPr>
        <w:t>אני קידשתיה, נאמן, ומותרת לו, כיון שהאב אומר: איני יודע. וכשכונסה, אינו צריך לקדשה. אבל אם האב מכחישו, יש מי שאומר שאינו נאמן אפילו להצריכה גט</w:t>
      </w:r>
      <w:r w:rsidR="00FB3CA5" w:rsidRPr="00FB3CA5">
        <w:t>:</w:t>
      </w:r>
    </w:p>
    <w:p w14:paraId="43261D2B" w14:textId="67B25F17" w:rsidR="0051401F" w:rsidRDefault="0051401F" w:rsidP="0051401F">
      <w:pPr>
        <w:pStyle w:val="Style1"/>
        <w:rPr>
          <w:rtl/>
        </w:rPr>
      </w:pPr>
      <w:r>
        <w:rPr>
          <w:rFonts w:hint="cs"/>
          <w:rtl/>
        </w:rPr>
        <w:t>9)[</w:t>
      </w:r>
      <w:r>
        <w:rPr>
          <w:rtl/>
        </w:rPr>
        <w:t>רמב</w:t>
      </w:r>
      <w:r w:rsidR="00786216">
        <w:rPr>
          <w:rtl/>
        </w:rPr>
        <w:t>”ם \נשים\</w:t>
      </w:r>
      <w:r>
        <w:rPr>
          <w:rtl/>
        </w:rPr>
        <w:t xml:space="preserve"> הלכות נערה בתולה פרק ג הלכה ט</w:t>
      </w:r>
      <w:r>
        <w:rPr>
          <w:rFonts w:hint="cs"/>
          <w:rtl/>
        </w:rPr>
        <w:t xml:space="preserve">] </w:t>
      </w:r>
      <w:r>
        <w:rPr>
          <w:rtl/>
        </w:rPr>
        <w:t>קידש נערה וגירשה וחזר וקידשה והוציא עליה שם רע והביא עדים שזינתה תחתיו בקדושין הראשונים ונמצאו זוממים הרי זה פטור, וכן אם היתה יבמתו שכנסה והוציא עליה שם רע והביא עדים שזינתה תחת קידושי אחיו ונמצאו זוממים הרי זה פטור מן המלקות ומן התשלומין, וכל הפטור אם רצה לגרש יגרש.</w:t>
      </w:r>
    </w:p>
    <w:p w14:paraId="29A37F88" w14:textId="25BAA066" w:rsidR="00F04A4C" w:rsidRDefault="00F04A4C" w:rsidP="00F04A4C">
      <w:pPr>
        <w:pStyle w:val="Style1"/>
        <w:rPr>
          <w:rtl/>
        </w:rPr>
      </w:pPr>
      <w:r>
        <w:rPr>
          <w:rFonts w:hint="cs"/>
          <w:rtl/>
        </w:rPr>
        <w:t>10)[</w:t>
      </w:r>
      <w:r>
        <w:rPr>
          <w:rtl/>
        </w:rPr>
        <w:t>רמב</w:t>
      </w:r>
      <w:r w:rsidR="00213DA1">
        <w:rPr>
          <w:rtl/>
        </w:rPr>
        <w:t>”ם \נשים\</w:t>
      </w:r>
      <w:r>
        <w:rPr>
          <w:rtl/>
        </w:rPr>
        <w:t xml:space="preserve"> הלכות אישות פרק ט הלכה לא</w:t>
      </w:r>
      <w:r>
        <w:rPr>
          <w:rFonts w:hint="cs"/>
          <w:rtl/>
        </w:rPr>
        <w:t xml:space="preserve">] </w:t>
      </w:r>
      <w:r>
        <w:rPr>
          <w:rtl/>
        </w:rPr>
        <w:t>אמר עד אחד מקודשת היא והיא אומרת לא נתקדשתי הרי זו מותרת, אחד אומר מקודשת ואחד אומר אינה מקודשת לא תנשא ואם נישאת לא תצא שהרי היא אומרת לא נתקדשתי. אמרה מקודשת אני ולאחר זמן עמדה וקידשה עצמה אם נתנה אמתלא לדבריה ואמרה מפני כך וכך אמרתי בתחלה שאני מקודשת וראינו בדבריה ממש הרי זו מותרת לשני, ואם לא נתנה אמתלא או שנתנה ואין בה ממש הרי זו אסורה, וקידושי שני קידושי ספק, לפיכך נותן לה גט ותהיה אסורה עליו ועל הכל עד שיבוא ארוסה. וכן האשה שבאת ואמרה אשת איש אני וחזרה ואמרה פנויה אני אם נתנה אמתלא לדבריה ויש בדבריה ממש הרי זו נאמנת. /השגת הראב"ד/ אחד אומר מקודשת ואחד אומר אינה מקודשת לא תצא. א"א זה המחבר נראה שבא לפרש ואינו אלא סותם, מתחלה אמר כשהיא מכחשת את העד שאמר מקודשת היא מותרת ולבסוף אמר אפילו כשיש עד אחד שמסייע אותה לא תנשא, אבל בא וקבל דבר אמת שאם היתה היא מכחישתו מותרת היא וכל דכן הוא אלא בשאינה מכחשת כגון דאמר עד אחד אביה קידשה ועד אחד אמר לא קידשה אי נמי פלוני זרק לה קידושיה והיו קרוב לה ועד אחד אומר קרוב לו היו והיא אינה מכחשת כלל בזה אמרו תרוייהו בפנויה קא מסהדי וכו' לכתחילה לא תנשא וכו'.</w:t>
      </w:r>
    </w:p>
    <w:p w14:paraId="4A7DB21E" w14:textId="56769369" w:rsidR="00926304" w:rsidRPr="00926304" w:rsidRDefault="00792DED" w:rsidP="00926304">
      <w:pPr>
        <w:pStyle w:val="Style1"/>
      </w:pPr>
      <w:r>
        <w:rPr>
          <w:rFonts w:hint="cs"/>
          <w:rtl/>
        </w:rPr>
        <w:t>10)[</w:t>
      </w:r>
      <w:r>
        <w:rPr>
          <w:rtl/>
        </w:rPr>
        <w:t>שולחן ערוך אבן העזר הלכות קידושין סימן מו סעיף ד</w:t>
      </w:r>
      <w:r>
        <w:rPr>
          <w:rFonts w:hint="cs"/>
          <w:rtl/>
        </w:rPr>
        <w:t>]</w:t>
      </w:r>
      <w:r w:rsidR="00926304">
        <w:rPr>
          <w:rFonts w:hint="cs"/>
          <w:rtl/>
        </w:rPr>
        <w:t xml:space="preserve"> </w:t>
      </w:r>
      <w:r w:rsidR="00926304" w:rsidRPr="00926304">
        <w:rPr>
          <w:rtl/>
        </w:rPr>
        <w:t>יצא עליה קול שנתקדשה לפלוני, ולאחר ימים אמרו: אמתלאה, אם נראים הדברים לבית דין שהוא כן, סומכין על האמתלאה ולא החזקה מקדשת. ואם לאו, הואיל ולא נשמעת האמתלאה בעת שנשמעו הקדושין, אין חוששין לאמתלאה</w:t>
      </w:r>
      <w:r w:rsidR="00926304" w:rsidRPr="00926304">
        <w:t>.</w:t>
      </w:r>
    </w:p>
    <w:p w14:paraId="53270895" w14:textId="464E6C47" w:rsidR="00926304" w:rsidRDefault="00926304" w:rsidP="00926304">
      <w:pPr>
        <w:pStyle w:val="Style1"/>
        <w:rPr>
          <w:rtl/>
        </w:rPr>
      </w:pPr>
      <w:r w:rsidRPr="00926304">
        <w:rPr>
          <w:rFonts w:hint="cs"/>
          <w:rtl/>
        </w:rPr>
        <w:t>הגה: נתברר אחר כך ששקר היה הקול, כגון שבאו העדים שתלו בהן הקדושין ושנתקדשו בפניהם, ואומרים: לא היו דברים מעולם, מבטלין קלא (טור בשם הרמ"ה). ויש אומרים דבזמן הזה אין מבטלין קלא (בית יוסף שכן דעת הרמב"ם וכן משמע מהרי"ף וכן כתב הר"ן פרק המקדש). שלח לה סבלונות, והוא בדרך שאין חוששין לסבלונות ששלח לה, אף על גב דיצא עליה מזה קול מקדשת, אין חוששין לקול, שכן דרך לקרא לסבלונות, קדושין (כן משמע בתשובת הרא"ש כלל ל"ה). וכל מקום שאין צריכין להחמיר, אין להחמיר בקול כלל, כדי שלא יתן יד לרשעים שיוציאו קולות על בנות ישראל לעגנן או להוציא מהן ממון (בית יוסף בשם הרשב"א)</w:t>
      </w:r>
      <w:r w:rsidRPr="00926304">
        <w:t>:</w:t>
      </w:r>
    </w:p>
    <w:p w14:paraId="499CCCBD" w14:textId="69FB8422" w:rsidR="0073053E" w:rsidRDefault="0073053E" w:rsidP="0073053E">
      <w:pPr>
        <w:pStyle w:val="Style1"/>
        <w:rPr>
          <w:rtl/>
        </w:rPr>
      </w:pPr>
      <w:r>
        <w:rPr>
          <w:rFonts w:hint="cs"/>
          <w:rtl/>
        </w:rPr>
        <w:t>11)[</w:t>
      </w:r>
      <w:r>
        <w:rPr>
          <w:rtl/>
        </w:rPr>
        <w:t>רמב</w:t>
      </w:r>
      <w:r w:rsidR="00213DA1">
        <w:rPr>
          <w:rtl/>
        </w:rPr>
        <w:t>”ם \קדושה\</w:t>
      </w:r>
      <w:r>
        <w:rPr>
          <w:rtl/>
        </w:rPr>
        <w:t xml:space="preserve"> הלכות איסורי ביאה פרק ד הלכה י</w:t>
      </w:r>
      <w:r>
        <w:rPr>
          <w:rFonts w:hint="cs"/>
          <w:rtl/>
        </w:rPr>
        <w:t xml:space="preserve">] </w:t>
      </w:r>
      <w:r>
        <w:rPr>
          <w:rtl/>
        </w:rPr>
        <w:t>האשה שאמרה לבעלה טמאה אני וחזרה ואמרה טהורה אני ודרך שחוק אמרתי לך תחלה אינה נאמנת, ואם נתנה אמתלא לדבריה נאמנת, כיצד תבעה בעלה ואחותו או אמו עמה בחצר ואמרה טמאה אני ואח"כ חזרה ואמרה טהורה אני ולא אמרתי לך טמאה אלא מפני אחותך ואמך שמא יראו אותנו הרי זו נאמנת וכן כל כיוצא בזה.</w:t>
      </w:r>
    </w:p>
    <w:p w14:paraId="1613F609" w14:textId="52E18F8D" w:rsidR="00EC69F4" w:rsidRPr="00EC69F4" w:rsidRDefault="003D521D" w:rsidP="00EC69F4">
      <w:pPr>
        <w:pStyle w:val="Style1"/>
      </w:pPr>
      <w:r>
        <w:rPr>
          <w:rFonts w:hint="cs"/>
          <w:rtl/>
        </w:rPr>
        <w:t>11)[</w:t>
      </w:r>
      <w:r w:rsidR="00DD07D1">
        <w:rPr>
          <w:rtl/>
        </w:rPr>
        <w:t>שולחן ערוך יורה דעה הלכות נדה סימן קפה סעיף ג</w:t>
      </w:r>
      <w:r>
        <w:rPr>
          <w:rFonts w:hint="cs"/>
          <w:rtl/>
        </w:rPr>
        <w:t>]</w:t>
      </w:r>
      <w:r w:rsidR="00EC69F4">
        <w:rPr>
          <w:rFonts w:hint="cs"/>
          <w:rtl/>
        </w:rPr>
        <w:t xml:space="preserve"> </w:t>
      </w:r>
      <w:r w:rsidR="00EC69F4" w:rsidRPr="00EC69F4">
        <w:rPr>
          <w:rtl/>
        </w:rPr>
        <w:t>אמרה לבעלה: טמאה אני, ואחר כך אמרה: טהורה אני, אינה נאמנת</w:t>
      </w:r>
      <w:r w:rsidR="00EC69F4" w:rsidRPr="00EC69F4">
        <w:t>. </w:t>
      </w:r>
      <w:r w:rsidR="00EC69F4" w:rsidRPr="00EC69F4">
        <w:rPr>
          <w:rFonts w:hint="cs"/>
          <w:rtl/>
        </w:rPr>
        <w:t>(אם הוא לאחר כדי דבור) (ב"י בשם רבינו ירוחם)</w:t>
      </w:r>
      <w:r w:rsidR="00EC69F4" w:rsidRPr="00EC69F4">
        <w:t xml:space="preserve">. </w:t>
      </w:r>
      <w:r w:rsidR="00EC69F4" w:rsidRPr="00EC69F4">
        <w:rPr>
          <w:rtl/>
        </w:rPr>
        <w:t>ואם נתנה אמתלא לדבריה, כגון שאומרת שלא אמרה לו כן תחלה אלא מפני שלא היה בה כח לסבול תשמיש, או טענה אחרת כיוצא בזה, נאמנת</w:t>
      </w:r>
      <w:r w:rsidR="00EC69F4" w:rsidRPr="00EC69F4">
        <w:t>.</w:t>
      </w:r>
    </w:p>
    <w:p w14:paraId="16D26966" w14:textId="77777777" w:rsidR="00EC69F4" w:rsidRPr="00EC69F4" w:rsidRDefault="00EC69F4" w:rsidP="00EC69F4">
      <w:pPr>
        <w:pStyle w:val="Style1"/>
      </w:pPr>
      <w:r w:rsidRPr="00EC69F4">
        <w:rPr>
          <w:rFonts w:hint="cs"/>
          <w:rtl/>
        </w:rPr>
        <w:t>הגה: ומכל מקום מי שרוצה להחמיר על עצמו, שלא להאמין לה, מדת חסידות הוא. (ב"י), אבל מדינא נאמנת, אפילו בשתקה אח"כ רק שהיא באה ושוכבת אצל בעלה והוא יודע ומכיר שמה שאמרה תחלה: טמאה אני, עשתה מחמת קטטה שהיה לו עמה (מהרי"ו סימן כ"ב), וכדומה לזה</w:t>
      </w:r>
      <w:r w:rsidRPr="00EC69F4">
        <w:t>.</w:t>
      </w:r>
    </w:p>
    <w:p w14:paraId="21223563" w14:textId="77777777" w:rsidR="00EC69F4" w:rsidRPr="00EC69F4" w:rsidRDefault="00EC69F4" w:rsidP="00EC69F4">
      <w:pPr>
        <w:pStyle w:val="Style1"/>
      </w:pPr>
      <w:r w:rsidRPr="00EC69F4">
        <w:rPr>
          <w:rtl/>
        </w:rPr>
        <w:t>אבל אם ראוה לובשת בגדים המיוחדים לימי נדותה, ואח"כ אמרה: טהורה אני, אע"פ שנתנה אמתלא לדבריה, אינה נאמנת</w:t>
      </w:r>
      <w:r w:rsidRPr="00EC69F4">
        <w:t>.</w:t>
      </w:r>
    </w:p>
    <w:p w14:paraId="3866EDCF" w14:textId="77777777" w:rsidR="00EC69F4" w:rsidRPr="00EC69F4" w:rsidRDefault="00EC69F4" w:rsidP="00EC69F4">
      <w:pPr>
        <w:pStyle w:val="Style1"/>
      </w:pPr>
      <w:r w:rsidRPr="00EC69F4">
        <w:rPr>
          <w:rFonts w:hint="cs"/>
          <w:rtl/>
        </w:rPr>
        <w:t>אמרה: פלוני חכם טהר לי כתם, והחכם אומר שהיא משקרת, החכם נאמן, וטמאה היא. (ר"ן בשם הרמב"ן ורבינו ירוחם)</w:t>
      </w:r>
      <w:r w:rsidRPr="00EC69F4">
        <w:t>.</w:t>
      </w:r>
    </w:p>
    <w:p w14:paraId="641D785F" w14:textId="77777777" w:rsidR="00EC69F4" w:rsidRDefault="00EC69F4" w:rsidP="00EC69F4">
      <w:pPr>
        <w:pStyle w:val="Style1"/>
      </w:pPr>
    </w:p>
    <w:p w14:paraId="3205FBBB" w14:textId="77777777" w:rsidR="00926304" w:rsidRPr="00926304" w:rsidRDefault="00926304" w:rsidP="00926304">
      <w:pPr>
        <w:pStyle w:val="Style1"/>
      </w:pPr>
    </w:p>
    <w:p w14:paraId="74EE9271" w14:textId="4C375C66" w:rsidR="00792DED" w:rsidRPr="00FB3CA5" w:rsidRDefault="00792DED" w:rsidP="00792DED">
      <w:pPr>
        <w:pStyle w:val="Style1"/>
      </w:pPr>
    </w:p>
    <w:p w14:paraId="2AE4D983" w14:textId="52D2DF14" w:rsidR="00D15CE7" w:rsidRPr="00FB3CA5" w:rsidRDefault="00D15CE7" w:rsidP="00FB3CA5">
      <w:pPr>
        <w:pStyle w:val="Style1"/>
      </w:pPr>
    </w:p>
    <w:p w14:paraId="44A844BB" w14:textId="77777777" w:rsidR="00DA1858" w:rsidRPr="001C6BDB" w:rsidRDefault="00DA1858" w:rsidP="001C6BDB">
      <w:pPr>
        <w:pStyle w:val="Style1"/>
        <w:rPr>
          <w:rStyle w:val="Style1Char"/>
          <w:rtl/>
        </w:rPr>
      </w:pPr>
    </w:p>
    <w:p w14:paraId="066199C5" w14:textId="77777777" w:rsidR="00DA1858" w:rsidRDefault="00DA1858" w:rsidP="00DA1858">
      <w:pPr>
        <w:rPr>
          <w:rStyle w:val="Style1Char"/>
          <w:color w:val="00B050"/>
          <w:rtl/>
        </w:rPr>
      </w:pPr>
      <w:r>
        <w:rPr>
          <w:rStyle w:val="Style1Char"/>
          <w:color w:val="00B050"/>
          <w:rtl/>
        </w:rPr>
        <w:br w:type="page"/>
      </w:r>
    </w:p>
    <w:p w14:paraId="6954DA41" w14:textId="3D2D602A" w:rsidR="00DA1858" w:rsidRPr="00F80795" w:rsidRDefault="00DA1858" w:rsidP="00DA1858">
      <w:pPr>
        <w:bidi/>
        <w:rPr>
          <w:rStyle w:val="Style1Char"/>
          <w:color w:val="auto"/>
          <w:sz w:val="22"/>
          <w:szCs w:val="22"/>
          <w:rtl/>
        </w:rPr>
      </w:pPr>
      <w:r w:rsidRPr="00AE4663">
        <w:rPr>
          <w:rStyle w:val="Style1Char"/>
          <w:color w:val="auto"/>
          <w:sz w:val="22"/>
          <w:szCs w:val="22"/>
          <w:highlight w:val="yellow"/>
          <w:rtl/>
        </w:rPr>
        <w:lastRenderedPageBreak/>
        <w:t>[דף כב עמוד ב]</w:t>
      </w:r>
      <w:r w:rsidRPr="00AE4663">
        <w:rPr>
          <w:rStyle w:val="Style1Char"/>
          <w:color w:val="auto"/>
          <w:sz w:val="22"/>
          <w:szCs w:val="22"/>
          <w:rtl/>
        </w:rPr>
        <w:t xml:space="preserve"> אמתלא לדבריה - נאמנת. תנא מיניה ארבעים זימנין, ואפ"ה לא עבד שמואל עובדא בנפשיה</w:t>
      </w:r>
      <w:r w:rsidRPr="00887069">
        <w:rPr>
          <w:rStyle w:val="Style1Char"/>
          <w:color w:val="00B050"/>
          <w:rtl/>
        </w:rPr>
        <w:t xml:space="preserve">. </w:t>
      </w:r>
      <w:r w:rsidRPr="00F80795">
        <w:rPr>
          <w:rStyle w:val="Style1Char"/>
          <w:color w:val="auto"/>
          <w:sz w:val="22"/>
          <w:szCs w:val="22"/>
          <w:rtl/>
        </w:rPr>
        <w:t>ת"ר: שנים אומרים מת ושנים אומרים לא מת, שנים אומרים נתגרשה ושנים אומרים לא נתגרשה - הרי זו לא תנשא, ואם נשאת - לא תצא, רבי מנחם בר יוסי אומר: תצא. אמר רבי מנחם בר יוסי: אימתי אני אומר תצא? בזמן שבאו עדים ואח"כ נשאת, אבל נשאת ואח"כ באו עדים - לא תצא</w:t>
      </w:r>
      <w:r w:rsidRPr="00F80795">
        <w:rPr>
          <w:rStyle w:val="Style1Char"/>
          <w:color w:val="auto"/>
          <w:rtl/>
        </w:rPr>
        <w:t xml:space="preserve">. </w:t>
      </w:r>
      <w:r w:rsidRPr="00F80795">
        <w:rPr>
          <w:rStyle w:val="Style1Char"/>
          <w:color w:val="auto"/>
          <w:sz w:val="22"/>
          <w:szCs w:val="22"/>
          <w:rtl/>
        </w:rPr>
        <w:t xml:space="preserve">מכדי תרי ותרי נינהו, הבא עליה באשם תלוי קאי! א"ר ששת: </w:t>
      </w:r>
      <w:r w:rsidR="00284A36">
        <w:rPr>
          <w:rStyle w:val="Style1Char"/>
          <w:rFonts w:hint="cs"/>
          <w:rtl/>
        </w:rPr>
        <w:t>(1)</w:t>
      </w:r>
      <w:r w:rsidRPr="00F80795">
        <w:rPr>
          <w:rStyle w:val="Style1Char"/>
          <w:color w:val="auto"/>
          <w:sz w:val="22"/>
          <w:szCs w:val="22"/>
          <w:rtl/>
        </w:rPr>
        <w:t xml:space="preserve">כגון שנשאת לאחד מעדיה. היא גופה באשם תלוי קיימא! </w:t>
      </w:r>
      <w:r w:rsidR="00E6649E">
        <w:rPr>
          <w:rStyle w:val="Style1Char"/>
          <w:rFonts w:hint="cs"/>
          <w:rtl/>
        </w:rPr>
        <w:t>(1)</w:t>
      </w:r>
      <w:r w:rsidRPr="00F80795">
        <w:rPr>
          <w:rStyle w:val="Style1Char"/>
          <w:color w:val="auto"/>
          <w:sz w:val="22"/>
          <w:szCs w:val="22"/>
          <w:rtl/>
        </w:rPr>
        <w:t xml:space="preserve">באומרת ברי לי. אמר רבי יוחנן: </w:t>
      </w:r>
      <w:r w:rsidR="00E6649E">
        <w:rPr>
          <w:rStyle w:val="Style1Char"/>
          <w:rFonts w:hint="cs"/>
          <w:rtl/>
        </w:rPr>
        <w:t>(1)</w:t>
      </w:r>
      <w:r w:rsidRPr="00F80795">
        <w:rPr>
          <w:rStyle w:val="Style1Char"/>
          <w:color w:val="auto"/>
          <w:sz w:val="22"/>
          <w:szCs w:val="22"/>
          <w:rtl/>
        </w:rPr>
        <w:t xml:space="preserve">שנים אומרים מת ושנים אומרים לא מת - הרי זו לא תנשא, ואם נשאת - לא תצא; </w:t>
      </w:r>
      <w:r w:rsidR="00B80243">
        <w:rPr>
          <w:rStyle w:val="Style1Char"/>
          <w:rFonts w:hint="cs"/>
          <w:rtl/>
        </w:rPr>
        <w:t>(2)</w:t>
      </w:r>
      <w:r w:rsidRPr="00F80795">
        <w:rPr>
          <w:rStyle w:val="Style1Char"/>
          <w:color w:val="auto"/>
          <w:sz w:val="22"/>
          <w:szCs w:val="22"/>
          <w:rtl/>
        </w:rPr>
        <w:t>שנים אומרים נתגרשה ושנים אומרים לא נתגרשה - הרי זו לא תנשא, ואם נשאת - תצא. מאי שנא רישא, ומאי שנא סיפא?</w:t>
      </w:r>
    </w:p>
    <w:p w14:paraId="7745D896" w14:textId="19729AD6" w:rsidR="00DA1858" w:rsidRPr="0077125B" w:rsidRDefault="00DA1858" w:rsidP="00DA1858">
      <w:pPr>
        <w:bidi/>
        <w:rPr>
          <w:rStyle w:val="Style1Char"/>
          <w:color w:val="4472C4" w:themeColor="accent1"/>
        </w:rPr>
      </w:pPr>
      <w:r w:rsidRPr="00887069">
        <w:rPr>
          <w:rStyle w:val="Style1Char"/>
          <w:color w:val="00B050"/>
          <w:rtl/>
        </w:rPr>
        <w:t xml:space="preserve">אמר אביי: תרגמה - בעד אחד, </w:t>
      </w:r>
      <w:r w:rsidR="0062303A">
        <w:rPr>
          <w:rStyle w:val="Style1Char"/>
          <w:rFonts w:hint="cs"/>
          <w:rtl/>
        </w:rPr>
        <w:t>(2.1, 3)</w:t>
      </w:r>
      <w:r w:rsidRPr="00887069">
        <w:rPr>
          <w:rStyle w:val="Style1Char"/>
          <w:color w:val="00B050"/>
          <w:rtl/>
        </w:rPr>
        <w:t xml:space="preserve">עד אחד אומר מת - הימנוהו רבנן כבי תרי, וכדעולא, דאמר עולא: כל מקום שהאמינה תורה עד אחד הרי כאן שנים, והאי דקאמר לא מת הוה ליה חד, ואין דבריו של אחד במקום שנים. אי הכי, אפי' לכתחלה נמי! משום דרב אסי, דא"ר אסי: הסר ממך עקשות פה ולזות שפתים הרחק ממך. סיפא, </w:t>
      </w:r>
      <w:r w:rsidR="00D72841">
        <w:rPr>
          <w:rStyle w:val="Style1Char"/>
          <w:rFonts w:hint="cs"/>
          <w:rtl/>
        </w:rPr>
        <w:t>(4)</w:t>
      </w:r>
      <w:r w:rsidRPr="00887069">
        <w:rPr>
          <w:rStyle w:val="Style1Char"/>
          <w:color w:val="00B050"/>
          <w:rtl/>
        </w:rPr>
        <w:t xml:space="preserve">עד אחד אומר נתגרשה ועד אחד אומר לא נתגרשה - תרוייהו באשת איש קמסהדי, והאי דקאמר נתגרשה הוה ליה חד, ואין דבריו של אחד במקום שנים. </w:t>
      </w:r>
      <w:r w:rsidRPr="0040543F">
        <w:rPr>
          <w:rStyle w:val="Style1Char"/>
          <w:color w:val="ED7D31" w:themeColor="accent2"/>
          <w:sz w:val="22"/>
          <w:szCs w:val="22"/>
          <w:rtl/>
        </w:rPr>
        <w:t xml:space="preserve">רבא אמר: </w:t>
      </w:r>
      <w:r w:rsidRPr="00887069">
        <w:rPr>
          <w:rStyle w:val="Style1Char"/>
          <w:color w:val="00B050"/>
          <w:rtl/>
        </w:rPr>
        <w:t>לעולם תרי ותרי נינהו, ו</w:t>
      </w:r>
      <w:r w:rsidRPr="0040543F">
        <w:rPr>
          <w:rStyle w:val="Style1Char"/>
          <w:color w:val="auto"/>
          <w:sz w:val="22"/>
          <w:szCs w:val="22"/>
          <w:rtl/>
        </w:rPr>
        <w:t>ראה</w:t>
      </w:r>
      <w:r w:rsidRPr="00887069">
        <w:rPr>
          <w:rStyle w:val="Style1Char"/>
          <w:color w:val="00B050"/>
          <w:rtl/>
        </w:rPr>
        <w:t xml:space="preserve"> </w:t>
      </w:r>
      <w:r w:rsidRPr="0040543F">
        <w:rPr>
          <w:rStyle w:val="Style1Char"/>
          <w:color w:val="auto"/>
          <w:sz w:val="22"/>
          <w:szCs w:val="22"/>
          <w:rtl/>
        </w:rPr>
        <w:t xml:space="preserve">ר' יוחנן דבריו של ר' מנחם בר יוסי בגרושין, ולא ראה </w:t>
      </w:r>
      <w:r w:rsidRPr="00F35A51">
        <w:rPr>
          <w:rStyle w:val="Style1Char"/>
          <w:color w:val="4472C4" w:themeColor="accent1"/>
          <w:sz w:val="22"/>
          <w:szCs w:val="22"/>
          <w:rtl/>
        </w:rPr>
        <w:t xml:space="preserve">דבריו </w:t>
      </w:r>
      <w:r w:rsidRPr="0040543F">
        <w:rPr>
          <w:rStyle w:val="Style1Char"/>
          <w:color w:val="auto"/>
          <w:sz w:val="22"/>
          <w:szCs w:val="22"/>
          <w:rtl/>
        </w:rPr>
        <w:t>במיתה; מ"ט? מיתה - אינה יכולה מכחשתו, גרושין - יכולה מכחשתו</w:t>
      </w:r>
      <w:r w:rsidRPr="007C3E91">
        <w:rPr>
          <w:rStyle w:val="Style1Char"/>
          <w:sz w:val="22"/>
          <w:szCs w:val="22"/>
          <w:rtl/>
        </w:rPr>
        <w:t>.</w:t>
      </w:r>
      <w:r w:rsidRPr="00887069">
        <w:rPr>
          <w:rStyle w:val="Style1Char"/>
          <w:color w:val="00B050"/>
          <w:rtl/>
        </w:rPr>
        <w:t xml:space="preserve"> ומי חציפה כולי האי? והאמר </w:t>
      </w:r>
      <w:r w:rsidRPr="00F35A51">
        <w:rPr>
          <w:rStyle w:val="Style1Char"/>
          <w:color w:val="806000" w:themeColor="accent4" w:themeShade="80"/>
          <w:sz w:val="22"/>
          <w:szCs w:val="22"/>
          <w:rtl/>
        </w:rPr>
        <w:t xml:space="preserve">ואף על גב דאמר </w:t>
      </w:r>
      <w:r w:rsidRPr="00F35A51">
        <w:rPr>
          <w:rStyle w:val="Style1Char"/>
          <w:color w:val="auto"/>
          <w:sz w:val="22"/>
          <w:szCs w:val="22"/>
          <w:rtl/>
        </w:rPr>
        <w:t xml:space="preserve">רב המנונא: </w:t>
      </w:r>
      <w:r w:rsidR="0079052B">
        <w:rPr>
          <w:rStyle w:val="Style1Char"/>
          <w:rFonts w:hint="cs"/>
          <w:rtl/>
        </w:rPr>
        <w:t>(5)</w:t>
      </w:r>
      <w:r w:rsidRPr="00F35A51">
        <w:rPr>
          <w:rStyle w:val="Style1Char"/>
          <w:color w:val="auto"/>
          <w:sz w:val="22"/>
          <w:szCs w:val="22"/>
          <w:rtl/>
        </w:rPr>
        <w:t xml:space="preserve">האשה שאמרה לבעלה גרשתני - נאמנת, חזקה אין אשה מעיזה פניה בפני בעלה! הני מילי היכא דליכא עדים דקא מסייעי לה, </w:t>
      </w:r>
      <w:r w:rsidR="00E96567">
        <w:rPr>
          <w:rStyle w:val="Style1Char"/>
          <w:rFonts w:hint="cs"/>
          <w:rtl/>
        </w:rPr>
        <w:t>(6)</w:t>
      </w:r>
      <w:r w:rsidRPr="00F35A51">
        <w:rPr>
          <w:rStyle w:val="Style1Char"/>
          <w:color w:val="auto"/>
          <w:sz w:val="22"/>
          <w:szCs w:val="22"/>
          <w:rtl/>
        </w:rPr>
        <w:t>אבל היכא דאיכא עדים דקא מסייעי לה - מעיזה ומעיזה</w:t>
      </w:r>
      <w:r w:rsidRPr="00F35A51">
        <w:rPr>
          <w:rStyle w:val="Style1Char"/>
          <w:color w:val="auto"/>
          <w:rtl/>
        </w:rPr>
        <w:t xml:space="preserve">. </w:t>
      </w:r>
      <w:r w:rsidRPr="00F35A51">
        <w:rPr>
          <w:rStyle w:val="Style1Char"/>
          <w:color w:val="auto"/>
          <w:sz w:val="22"/>
          <w:szCs w:val="22"/>
          <w:rtl/>
        </w:rPr>
        <w:t xml:space="preserve">רב </w:t>
      </w:r>
      <w:r w:rsidRPr="00887069">
        <w:rPr>
          <w:rStyle w:val="Style1Char"/>
          <w:color w:val="00B050"/>
          <w:rtl/>
        </w:rPr>
        <w:t xml:space="preserve">אסי </w:t>
      </w:r>
      <w:r w:rsidRPr="004A41C9">
        <w:rPr>
          <w:rStyle w:val="Style1Char"/>
          <w:color w:val="806000" w:themeColor="accent4" w:themeShade="80"/>
          <w:sz w:val="22"/>
          <w:szCs w:val="22"/>
          <w:rtl/>
        </w:rPr>
        <w:t xml:space="preserve">אשי </w:t>
      </w:r>
      <w:r w:rsidRPr="004A41C9">
        <w:rPr>
          <w:rStyle w:val="Style1Char"/>
          <w:color w:val="auto"/>
          <w:sz w:val="22"/>
          <w:szCs w:val="22"/>
          <w:rtl/>
        </w:rPr>
        <w:t>אמר: כגון דאמרי עדים עכשיו מת עכשיו גירשה, מיתה ליכא לברורה,</w:t>
      </w:r>
      <w:r w:rsidR="00AA5EAD" w:rsidRPr="00AA5EAD">
        <w:rPr>
          <w:rFonts w:hint="cs"/>
          <w:rtl/>
        </w:rPr>
        <w:t xml:space="preserve"> </w:t>
      </w:r>
      <w:r w:rsidR="00AA5EAD">
        <w:rPr>
          <w:rStyle w:val="Style1Char"/>
          <w:rFonts w:hint="cs"/>
          <w:rtl/>
        </w:rPr>
        <w:t>(6)</w:t>
      </w:r>
      <w:r w:rsidRPr="004A41C9">
        <w:rPr>
          <w:rStyle w:val="Style1Char"/>
          <w:color w:val="auto"/>
          <w:sz w:val="22"/>
          <w:szCs w:val="22"/>
          <w:rtl/>
        </w:rPr>
        <w:t xml:space="preserve"> גירושין איכא לברורה, דאמרינן לה: אם איתא דהכי הוה, אחזי לן גיטיך</w:t>
      </w:r>
      <w:r w:rsidRPr="00D2470E">
        <w:rPr>
          <w:rStyle w:val="Style1Char"/>
          <w:color w:val="C00000"/>
          <w:rtl/>
        </w:rPr>
        <w:t xml:space="preserve"> </w:t>
      </w:r>
      <w:r w:rsidRPr="00F1636D">
        <w:rPr>
          <w:rStyle w:val="Style1Char"/>
          <w:color w:val="806000" w:themeColor="accent4" w:themeShade="80"/>
          <w:sz w:val="22"/>
          <w:szCs w:val="22"/>
          <w:rtl/>
        </w:rPr>
        <w:t>ושמעינן מהא דרב אשי דהיכא דקא מסהדי לאחר זמן לא שנא מיתה ולא שנא גירושין היכא דקא מכחשי אהדדי לא תנשא ואם נשאת לא תצא ולית הילכתא כרבי מנחם ברבי יוסי לא במיתה ולא בגירושין דקי"ל כרב אשי דבתרא הוא</w:t>
      </w:r>
      <w:r w:rsidRPr="00F1636D">
        <w:rPr>
          <w:rStyle w:val="Style1Char"/>
          <w:color w:val="4472C4" w:themeColor="accent1"/>
          <w:rtl/>
        </w:rPr>
        <w:t xml:space="preserve"> </w:t>
      </w:r>
      <w:r w:rsidRPr="0077125B">
        <w:rPr>
          <w:rStyle w:val="Style1Char"/>
          <w:color w:val="4472C4" w:themeColor="accent1"/>
          <w:rtl/>
        </w:rPr>
        <w:t>ולא כר"ח דפסיק דלית הילכתא כרב אשי אלא כרבא משום דמילתיה דרב אשי פריכא הוא</w:t>
      </w:r>
      <w:r>
        <w:rPr>
          <w:rStyle w:val="Style1Char"/>
          <w:rFonts w:hint="cs"/>
          <w:color w:val="4472C4" w:themeColor="accent1"/>
        </w:rPr>
        <w:t>‍</w:t>
      </w:r>
      <w:r w:rsidRPr="0077125B">
        <w:rPr>
          <w:rStyle w:val="Style1Char"/>
          <w:color w:val="4472C4" w:themeColor="accent1"/>
          <w:rtl/>
        </w:rPr>
        <w:t xml:space="preserve"> דהיכי קאמר רב אשי עכשיו מת לא תצא הא קי"ל (יבמות דף מא א) כל הנשים צריכות להמתין ג' חדשים. ולאו פריכא הוא דה"ק עכשיו מת לא תינשא עד לאחר ג' חדשים ואם נשאת לאחר ג' חדשים לא תצא אבל עכשיו נתגרשה אמרינן נשאת לאחר שלשה חדשים תצא</w:t>
      </w:r>
      <w:r w:rsidRPr="0077125B">
        <w:rPr>
          <w:rStyle w:val="Style1Char"/>
          <w:color w:val="4472C4" w:themeColor="accent1"/>
        </w:rPr>
        <w:t xml:space="preserve">: </w:t>
      </w:r>
    </w:p>
    <w:p w14:paraId="4D92DEB0" w14:textId="6E54E7CE" w:rsidR="00DA1858" w:rsidRDefault="00DA1858" w:rsidP="00DA1858">
      <w:pPr>
        <w:bidi/>
        <w:rPr>
          <w:rStyle w:val="Style1Char"/>
          <w:sz w:val="22"/>
          <w:szCs w:val="22"/>
          <w:rtl/>
        </w:rPr>
      </w:pPr>
      <w:r w:rsidRPr="00A2085B">
        <w:rPr>
          <w:rStyle w:val="Style1Char"/>
          <w:color w:val="auto"/>
          <w:sz w:val="22"/>
          <w:szCs w:val="22"/>
          <w:rtl/>
        </w:rPr>
        <w:t>תנו רבנן: שנים אומרים נתקדשה ושנים אומרים לא נתקדשה - הרי זו לא תנשא, ואם נשאת - לא תצא; שנים אומרים נתגרשה ושנים אומרים לא נתגרשה - הרי זו לא תנשא, ואם נשאת - תצא</w:t>
      </w:r>
      <w:r w:rsidRPr="00D2470E">
        <w:rPr>
          <w:rStyle w:val="Style1Char"/>
          <w:sz w:val="22"/>
          <w:szCs w:val="22"/>
          <w:rtl/>
        </w:rPr>
        <w:t xml:space="preserve">. </w:t>
      </w:r>
    </w:p>
    <w:p w14:paraId="4A4DB4E8" w14:textId="00DBA2A7" w:rsidR="006153A3" w:rsidRDefault="006153A3" w:rsidP="006153A3">
      <w:pPr>
        <w:pStyle w:val="Style1"/>
        <w:rPr>
          <w:rStyle w:val="Style1Char"/>
          <w:rtl/>
        </w:rPr>
      </w:pPr>
      <w:r>
        <w:rPr>
          <w:rStyle w:val="Style1Char"/>
          <w:rFonts w:hint="cs"/>
          <w:rtl/>
        </w:rPr>
        <w:t>1)[</w:t>
      </w:r>
      <w:r w:rsidRPr="006153A3">
        <w:rPr>
          <w:rStyle w:val="Style1Char"/>
          <w:rtl/>
        </w:rPr>
        <w:t>רמב</w:t>
      </w:r>
      <w:r w:rsidR="00213DA1">
        <w:rPr>
          <w:rStyle w:val="Style1Char"/>
          <w:rtl/>
        </w:rPr>
        <w:t>”ם \נשים\</w:t>
      </w:r>
      <w:r w:rsidRPr="006153A3">
        <w:rPr>
          <w:rStyle w:val="Style1Char"/>
          <w:rtl/>
        </w:rPr>
        <w:t xml:space="preserve"> הלכות גירושין פרק יב הלכה כג</w:t>
      </w:r>
      <w:r>
        <w:rPr>
          <w:rStyle w:val="Style1Char"/>
          <w:rFonts w:hint="cs"/>
          <w:rtl/>
        </w:rPr>
        <w:t xml:space="preserve">] </w:t>
      </w:r>
      <w:r w:rsidRPr="006153A3">
        <w:rPr>
          <w:rStyle w:val="Style1Char"/>
          <w:rtl/>
        </w:rPr>
        <w:t>שני עדים אומרין מת ושנים אומרין לא מת הרי זו לא תנשא ואם נשאת תצא מפני שהיא ספק, ואם נשאת לאחד מעדיה והיא אומרת בריא לי שמת הרי זו לא תצא.</w:t>
      </w:r>
    </w:p>
    <w:p w14:paraId="07CC019B" w14:textId="28279106" w:rsidR="00E51592" w:rsidRDefault="00821001" w:rsidP="00E51592">
      <w:pPr>
        <w:pStyle w:val="Style1"/>
        <w:rPr>
          <w:rtl/>
        </w:rPr>
      </w:pPr>
      <w:r>
        <w:rPr>
          <w:rStyle w:val="Style1Char"/>
          <w:rFonts w:hint="cs"/>
          <w:rtl/>
        </w:rPr>
        <w:t>1)[</w:t>
      </w:r>
      <w:r w:rsidRPr="00821001">
        <w:rPr>
          <w:rStyle w:val="Style1Char"/>
          <w:rtl/>
        </w:rPr>
        <w:t>שולחן ערוך אבן העזר הלכות אישות סימן יז סעיף מב</w:t>
      </w:r>
      <w:r>
        <w:rPr>
          <w:rStyle w:val="Style1Char"/>
          <w:rFonts w:hint="cs"/>
          <w:rtl/>
        </w:rPr>
        <w:t>]</w:t>
      </w:r>
      <w:r w:rsidR="00E51592">
        <w:rPr>
          <w:rStyle w:val="Style1Char"/>
          <w:rFonts w:hint="cs"/>
          <w:rtl/>
        </w:rPr>
        <w:t xml:space="preserve"> </w:t>
      </w:r>
      <w:r w:rsidR="00E51592" w:rsidRPr="00E51592">
        <w:rPr>
          <w:rtl/>
        </w:rPr>
        <w:t>ב' עדים אומרים מת וב' אומרים לא מת, הרי זו לא תינשא ואם נישאת תצא, מפני שהוא ספק. ואם נשאת לאחד מעידיה והיא אומרת ברי לי שמת, הרי זו לא תצא</w:t>
      </w:r>
      <w:r w:rsidR="00E51592" w:rsidRPr="00E51592">
        <w:t>. </w:t>
      </w:r>
      <w:r w:rsidR="00E51592" w:rsidRPr="00E51592">
        <w:rPr>
          <w:rFonts w:hint="cs"/>
          <w:rtl/>
        </w:rPr>
        <w:t>אין מוציאין אשה מבעלה אם יצא קול שבעלה הראשון חי (רבינו ירוחם)</w:t>
      </w:r>
      <w:r w:rsidR="00E51592" w:rsidRPr="00E51592">
        <w:t>:</w:t>
      </w:r>
    </w:p>
    <w:p w14:paraId="10F352A6" w14:textId="3F5E646C" w:rsidR="004F7733" w:rsidRDefault="004F7733" w:rsidP="004F7733">
      <w:pPr>
        <w:pStyle w:val="Style1"/>
        <w:rPr>
          <w:rStyle w:val="Style1Char"/>
          <w:rtl/>
        </w:rPr>
      </w:pPr>
      <w:r>
        <w:rPr>
          <w:rStyle w:val="Style1Char"/>
          <w:rFonts w:hint="cs"/>
          <w:rtl/>
        </w:rPr>
        <w:t>2)[</w:t>
      </w:r>
      <w:r w:rsidRPr="004F7733">
        <w:rPr>
          <w:rStyle w:val="Style1Char"/>
          <w:rtl/>
        </w:rPr>
        <w:t>רמב</w:t>
      </w:r>
      <w:r w:rsidR="00213DA1">
        <w:rPr>
          <w:rStyle w:val="Style1Char"/>
          <w:rtl/>
        </w:rPr>
        <w:t>”ם \נשים\</w:t>
      </w:r>
      <w:r w:rsidRPr="004F7733">
        <w:rPr>
          <w:rStyle w:val="Style1Char"/>
          <w:rtl/>
        </w:rPr>
        <w:t xml:space="preserve"> הלכות גירושין פרק יב הלכה ח</w:t>
      </w:r>
      <w:r>
        <w:rPr>
          <w:rStyle w:val="Style1Char"/>
          <w:rFonts w:hint="cs"/>
          <w:rtl/>
        </w:rPr>
        <w:t xml:space="preserve">] </w:t>
      </w:r>
      <w:r w:rsidRPr="004F7733">
        <w:rPr>
          <w:rStyle w:val="Style1Char"/>
          <w:rtl/>
        </w:rPr>
        <w:t>אמרו שנים ראינוה שנתגרשה ושנים אומרים לא ראינוה, אם היו כולם שרוים בחצר אחת הרי זו לא תנשא ואם נשאת לא תצא והולד כשר שבני אדם עשויין לגרש בצנעה.</w:t>
      </w:r>
    </w:p>
    <w:p w14:paraId="45CD875D" w14:textId="5816DB55" w:rsidR="004814BB" w:rsidRPr="004814BB" w:rsidRDefault="008E5F51" w:rsidP="004814BB">
      <w:pPr>
        <w:pStyle w:val="Style1"/>
      </w:pPr>
      <w:r>
        <w:rPr>
          <w:rStyle w:val="Style1Char"/>
          <w:rFonts w:hint="cs"/>
          <w:rtl/>
        </w:rPr>
        <w:t>2)[</w:t>
      </w:r>
      <w:r w:rsidRPr="008E5F51">
        <w:rPr>
          <w:rStyle w:val="Style1Char"/>
          <w:rtl/>
        </w:rPr>
        <w:t>שולחן ערוך אבן העזר הלכות גיטין סימן קנב סעיף ג</w:t>
      </w:r>
      <w:r>
        <w:rPr>
          <w:rStyle w:val="Style1Char"/>
          <w:rFonts w:hint="cs"/>
          <w:rtl/>
        </w:rPr>
        <w:t>]</w:t>
      </w:r>
      <w:r w:rsidR="004814BB">
        <w:rPr>
          <w:rStyle w:val="Style1Char"/>
          <w:rFonts w:hint="cs"/>
          <w:rtl/>
        </w:rPr>
        <w:t xml:space="preserve"> </w:t>
      </w:r>
      <w:r w:rsidR="004814BB" w:rsidRPr="004814BB">
        <w:rPr>
          <w:rtl/>
        </w:rPr>
        <w:t>שנים אומרים נתגרשה, ושנים אומרים לא נתגרשה, אפילו הבעל עומד והיא אומרת לו גרשתני -- הרי זו בחזקת אשת איש גמורה, מפני שהעדים סומכים אותה ואפשר שתעיז פניה. לפיכך, אם נשאת, תצא והולד ממזר</w:t>
      </w:r>
      <w:r w:rsidR="004814BB" w:rsidRPr="004814BB">
        <w:t>.</w:t>
      </w:r>
    </w:p>
    <w:p w14:paraId="78CED48C" w14:textId="77777777" w:rsidR="004814BB" w:rsidRPr="004814BB" w:rsidRDefault="004814BB" w:rsidP="004814BB">
      <w:pPr>
        <w:pStyle w:val="Style1"/>
      </w:pPr>
      <w:r w:rsidRPr="004814BB">
        <w:rPr>
          <w:rtl/>
        </w:rPr>
        <w:t>במה דברים אמורים, כשאמרו עכשיו נתגרשה, שהרי אומרים לה "אם אמת הדבר הוציאי גיטך", אבל אם אמרו העדים מכמה ימים נתגרשה, יש לומר אבד הגט, והואיל והיא אומרת "גרושה אני" בודאי, ושנים עדים מעידים לה, אף על פי שהשנים מכחישין אותם -- אם נשאת לאחד מעדיה, לא תצא, שהרי היא ובעלה יודעים בודאי שהיא מותרת, וחזקה היא שאין מקלקלים עצמם</w:t>
      </w:r>
      <w:r w:rsidRPr="004814BB">
        <w:t>.</w:t>
      </w:r>
    </w:p>
    <w:p w14:paraId="31BCEFED" w14:textId="77777777" w:rsidR="004814BB" w:rsidRPr="004814BB" w:rsidRDefault="004814BB" w:rsidP="004814BB">
      <w:pPr>
        <w:pStyle w:val="Style1"/>
      </w:pPr>
      <w:r w:rsidRPr="004814BB">
        <w:rPr>
          <w:rtl/>
        </w:rPr>
        <w:t>אבל אם נשאת לאחר הואיל והדבר אצלו ספק, וכן אם אמרה "איני יודעת", תצא והולד ספק ממזר</w:t>
      </w:r>
      <w:r w:rsidRPr="004814BB">
        <w:t>.</w:t>
      </w:r>
    </w:p>
    <w:p w14:paraId="384D34AF" w14:textId="0D60EF29" w:rsidR="004814BB" w:rsidRDefault="004814BB" w:rsidP="004814BB">
      <w:pPr>
        <w:pStyle w:val="Style1"/>
        <w:rPr>
          <w:rtl/>
        </w:rPr>
      </w:pPr>
      <w:r w:rsidRPr="004814BB">
        <w:rPr>
          <w:rtl/>
        </w:rPr>
        <w:t>אבל כל היכא דליכא הכחשה, אלא שנים אומרים נתגרשה עכשיו, ואמרינן לה "אחזינן גיטך", ואמרה נאבד או נקרע -- לא חיישינן לה</w:t>
      </w:r>
      <w:r w:rsidRPr="004814BB">
        <w:t>:</w:t>
      </w:r>
    </w:p>
    <w:p w14:paraId="0FB4150B" w14:textId="0C75FA53" w:rsidR="00192508" w:rsidRPr="00192508" w:rsidRDefault="00A84948" w:rsidP="00192508">
      <w:pPr>
        <w:pStyle w:val="Style1"/>
      </w:pPr>
      <w:r>
        <w:rPr>
          <w:rFonts w:hint="cs"/>
          <w:rtl/>
        </w:rPr>
        <w:t>3)[</w:t>
      </w:r>
      <w:r>
        <w:rPr>
          <w:rtl/>
        </w:rPr>
        <w:t>שולחן ערוך אבן העזר הלכות אישות סימן יז סעיף לז</w:t>
      </w:r>
      <w:r>
        <w:rPr>
          <w:rFonts w:hint="cs"/>
          <w:rtl/>
        </w:rPr>
        <w:t>]</w:t>
      </w:r>
      <w:r w:rsidR="00192508">
        <w:rPr>
          <w:rFonts w:hint="cs"/>
          <w:rtl/>
        </w:rPr>
        <w:t xml:space="preserve"> </w:t>
      </w:r>
      <w:r w:rsidR="00192508" w:rsidRPr="00192508">
        <w:rPr>
          <w:rtl/>
        </w:rPr>
        <w:t>בא עד אחד והעיד שמת בעלה והתירוה לינשא על פיו, ואחר כך בא עד אחד והכחיש את הראשון ואמר לא מת, הרי זו לא תצא מהיתירה ותינשא, שעד א' נאמן בעדות אשה כשני עדים בשאר עדיות, ואין דבריו של אחד במקום ב</w:t>
      </w:r>
      <w:r w:rsidR="00192508" w:rsidRPr="00192508">
        <w:t>'. </w:t>
      </w:r>
      <w:r w:rsidR="00192508" w:rsidRPr="00192508">
        <w:rPr>
          <w:rFonts w:hint="cs"/>
          <w:rtl/>
        </w:rPr>
        <w:t>מיהו משום לזות שפתים לא תינשא (טור)</w:t>
      </w:r>
      <w:r w:rsidR="00192508" w:rsidRPr="00192508">
        <w:t xml:space="preserve">. </w:t>
      </w:r>
      <w:r w:rsidR="00192508" w:rsidRPr="00192508">
        <w:rPr>
          <w:rtl/>
        </w:rPr>
        <w:t>אבל אם בא השני קודם שהתירוה, הרי זו לא תינשא ואם נישאת תצא, מפני שהוא ספק. ואם נישאת לעד שהעיד לה, והיא אומרת: ברי לי שמת, הרי זו לא תצא, ויש אומרים תצא. ואם באו ב' ואמרו לא מת, אף על פי שנישאת תצא לדברי הכל</w:t>
      </w:r>
      <w:r w:rsidR="00192508" w:rsidRPr="00192508">
        <w:t>:</w:t>
      </w:r>
    </w:p>
    <w:p w14:paraId="0A97F501" w14:textId="77777777" w:rsidR="00192508" w:rsidRPr="00192508" w:rsidRDefault="00192508" w:rsidP="00192508">
      <w:pPr>
        <w:pStyle w:val="Style1"/>
      </w:pPr>
      <w:r w:rsidRPr="00192508">
        <w:rPr>
          <w:rFonts w:hint="cs"/>
          <w:rtl/>
        </w:rPr>
        <w:t>הגה</w:t>
      </w:r>
      <w:r w:rsidRPr="00192508">
        <w:rPr>
          <w:rFonts w:hint="cs"/>
        </w:rPr>
        <w:t>: </w:t>
      </w:r>
      <w:r w:rsidRPr="00192508">
        <w:rPr>
          <w:rFonts w:hint="cs"/>
          <w:rtl/>
        </w:rPr>
        <w:t>ודוקא שהיא שותקת, אבל אם היא גם כן אומרת מת, הוי ליה כתרי ותרי, אם העדים הם נשים. אבל הבעל שנשאה אינו נאמן על עצמו (נ"י פ' האשה קמא)</w:t>
      </w:r>
      <w:r w:rsidRPr="00192508">
        <w:t>.</w:t>
      </w:r>
    </w:p>
    <w:p w14:paraId="029EEF13" w14:textId="77777777" w:rsidR="00192508" w:rsidRPr="00192508" w:rsidRDefault="00192508" w:rsidP="00192508">
      <w:pPr>
        <w:pStyle w:val="Style1"/>
      </w:pPr>
      <w:r w:rsidRPr="00192508">
        <w:rPr>
          <w:rtl/>
        </w:rPr>
        <w:t>במה דברים אמורים? כשהיה האחד שנישאת על פיו כמו שנים שבאו והכחישו אותו, כגון שנישאת על פי איש, ובאו שנים ואמרו לא מת, או שנישאת על פי אשה או על פי עצמו ובאו ב' נשים או שני פסולים של דבריהם ואמרו לא מת. אבל עד כשר אומר מת, ונשים רבות אומרות לא מת או פסולים אומרים לא מת, הרי זה כמחצה על מחצה</w:t>
      </w:r>
      <w:r w:rsidRPr="00192508">
        <w:t>:</w:t>
      </w:r>
    </w:p>
    <w:p w14:paraId="264658DC" w14:textId="77777777" w:rsidR="00192508" w:rsidRPr="00192508" w:rsidRDefault="00192508" w:rsidP="00192508">
      <w:pPr>
        <w:pStyle w:val="Style1"/>
      </w:pPr>
      <w:r w:rsidRPr="00192508">
        <w:rPr>
          <w:rFonts w:hint="cs"/>
          <w:rtl/>
        </w:rPr>
        <w:t>הגה</w:t>
      </w:r>
      <w:r w:rsidRPr="00192508">
        <w:rPr>
          <w:rFonts w:hint="cs"/>
        </w:rPr>
        <w:t>: </w:t>
      </w:r>
      <w:r w:rsidRPr="00192508">
        <w:rPr>
          <w:rFonts w:hint="cs"/>
          <w:rtl/>
        </w:rPr>
        <w:t>ודוקא שבאו ביחד קודם שהתירוה על פי עד א' הראשון. אבל אם התירוה על פי עד הכשר ואחר כך באו הפסולים, לא תצא מהתירה הראשון (טור)</w:t>
      </w:r>
      <w:r w:rsidRPr="00192508">
        <w:t>.</w:t>
      </w:r>
    </w:p>
    <w:p w14:paraId="73CBC929" w14:textId="77777777" w:rsidR="00192508" w:rsidRPr="00192508" w:rsidRDefault="00192508" w:rsidP="00192508">
      <w:pPr>
        <w:pStyle w:val="Style1"/>
      </w:pPr>
      <w:r w:rsidRPr="00192508">
        <w:rPr>
          <w:rtl/>
        </w:rPr>
        <w:t>ואם נישאת לאחר מעדיה והיא אומרת ברי לי שמת, הרי זו לא תצא</w:t>
      </w:r>
      <w:r w:rsidRPr="00192508">
        <w:t>:</w:t>
      </w:r>
    </w:p>
    <w:p w14:paraId="6BF1278C" w14:textId="1B0CB863" w:rsidR="00192508" w:rsidRDefault="00192508" w:rsidP="00192508">
      <w:pPr>
        <w:pStyle w:val="Style1"/>
        <w:rPr>
          <w:rtl/>
        </w:rPr>
      </w:pPr>
      <w:r w:rsidRPr="00192508">
        <w:rPr>
          <w:rFonts w:hint="cs"/>
          <w:rtl/>
        </w:rPr>
        <w:t>הגה</w:t>
      </w:r>
      <w:r w:rsidRPr="00192508">
        <w:rPr>
          <w:rFonts w:hint="cs"/>
        </w:rPr>
        <w:t>: </w:t>
      </w:r>
      <w:r w:rsidRPr="00192508">
        <w:rPr>
          <w:rFonts w:hint="cs"/>
          <w:rtl/>
        </w:rPr>
        <w:t>וכותים המסיחים לפי תומם, דינן כשאר פסולי עדות (מרדכי פרק האשה בתרא). וכל שאינו מסיח לפי תומו, אינו נאמן, לא לאסור ולא להתיר</w:t>
      </w:r>
      <w:r w:rsidRPr="00192508">
        <w:t>:</w:t>
      </w:r>
    </w:p>
    <w:p w14:paraId="520A6A22" w14:textId="4EAA8F26" w:rsidR="003E7404" w:rsidRDefault="003E7404" w:rsidP="003E7404">
      <w:pPr>
        <w:pStyle w:val="Style1"/>
        <w:rPr>
          <w:rtl/>
        </w:rPr>
      </w:pPr>
      <w:r>
        <w:rPr>
          <w:rFonts w:hint="cs"/>
          <w:rtl/>
        </w:rPr>
        <w:lastRenderedPageBreak/>
        <w:t>4)[</w:t>
      </w:r>
      <w:r>
        <w:rPr>
          <w:rtl/>
        </w:rPr>
        <w:t>רמב</w:t>
      </w:r>
      <w:r w:rsidR="00213DA1">
        <w:rPr>
          <w:rtl/>
        </w:rPr>
        <w:t>”ם \נשים\</w:t>
      </w:r>
      <w:r>
        <w:rPr>
          <w:rtl/>
        </w:rPr>
        <w:t xml:space="preserve"> הלכות גירושין פרק יב הלכה ט</w:t>
      </w:r>
      <w:r>
        <w:rPr>
          <w:rFonts w:hint="cs"/>
          <w:rtl/>
        </w:rPr>
        <w:t xml:space="preserve">] </w:t>
      </w:r>
      <w:r>
        <w:rPr>
          <w:rtl/>
        </w:rPr>
        <w:t>האשה שלא הוחזקה אשת איש ובא עד אחד ואמר אשת איש היתה ונתגרשה ובא עד אחד ואמר לא נתגרשה, הרי שניהן מעידין שהיא אשת איש ואחד מעיד שהיא גרושה ואין דבריו של אחד מועיל במקום שנים ולפיכך לא תנשא ואם נשאת תצא. /השגת הראב"ד/ האשה שלא הוחזקה אשת איש וכו' ולפיכך לא תנשא ואם נשאת תצא. א"א ובקידושין כי האי גונא אם נשאת לא תצא.</w:t>
      </w:r>
    </w:p>
    <w:p w14:paraId="528C5CDF" w14:textId="0951682E" w:rsidR="00925A49" w:rsidRDefault="00925A49" w:rsidP="00925A49">
      <w:pPr>
        <w:pStyle w:val="Style1"/>
        <w:rPr>
          <w:rtl/>
        </w:rPr>
      </w:pPr>
      <w:r>
        <w:rPr>
          <w:rFonts w:hint="cs"/>
          <w:rtl/>
        </w:rPr>
        <w:t>4)[</w:t>
      </w:r>
      <w:r>
        <w:rPr>
          <w:rtl/>
        </w:rPr>
        <w:t>שולחן ערוך אבן העזר הלכות גיטין סימן קנב סעיף ה</w:t>
      </w:r>
      <w:r>
        <w:rPr>
          <w:rFonts w:hint="cs"/>
          <w:rtl/>
        </w:rPr>
        <w:t xml:space="preserve">] </w:t>
      </w:r>
      <w:r w:rsidRPr="00925A49">
        <w:rPr>
          <w:rtl/>
        </w:rPr>
        <w:t>אחד אומר נתגרשה, ואחד אומר לא נתגרשה -- לא תינשא</w:t>
      </w:r>
      <w:r w:rsidRPr="00925A49">
        <w:t>.</w:t>
      </w:r>
      <w:r w:rsidRPr="00925A49">
        <w:br/>
      </w:r>
      <w:r w:rsidRPr="00925A49">
        <w:rPr>
          <w:rtl/>
        </w:rPr>
        <w:t>ואם נשאת, אם היתה בחזקת אשת איש, תצא בכל ענין</w:t>
      </w:r>
      <w:r w:rsidRPr="00925A49">
        <w:t>.</w:t>
      </w:r>
      <w:r w:rsidRPr="00925A49">
        <w:br/>
      </w:r>
      <w:r w:rsidRPr="00925A49">
        <w:rPr>
          <w:rtl/>
        </w:rPr>
        <w:t>ואם לא היתה בחזקת אשת איש, אלא על פיהם</w:t>
      </w:r>
      <w:r w:rsidRPr="00925A49">
        <w:t>,</w:t>
      </w:r>
      <w:r w:rsidRPr="00925A49">
        <w:br/>
      </w:r>
      <w:r w:rsidRPr="00925A49">
        <w:rPr>
          <w:rtl/>
        </w:rPr>
        <w:t>אם יש הכחשה בעדותן, כגון שאחד אומר נתגרשה, ואחד אומר מעולם לא היו בה ספק גרושין, תינשא לכתחלה</w:t>
      </w:r>
      <w:r w:rsidRPr="00925A49">
        <w:t>.</w:t>
      </w:r>
      <w:r w:rsidRPr="00925A49">
        <w:br/>
      </w:r>
      <w:r w:rsidRPr="00925A49">
        <w:rPr>
          <w:rtl/>
        </w:rPr>
        <w:t>ואם שניהם מעידים שהיא אשת איש, אלא שזרק לה גט, אחד אומר קרוב לו, ואחד אומר קרוב לה</w:t>
      </w:r>
      <w:r w:rsidRPr="00925A49">
        <w:t xml:space="preserve"> -- </w:t>
      </w:r>
      <w:r w:rsidRPr="00925A49">
        <w:rPr>
          <w:rFonts w:hint="cs"/>
        </w:rPr>
        <w:t>(</w:t>
      </w:r>
      <w:r w:rsidRPr="00925A49">
        <w:rPr>
          <w:rFonts w:hint="cs"/>
          <w:rtl/>
        </w:rPr>
        <w:t>אפילו</w:t>
      </w:r>
      <w:r w:rsidRPr="00925A49">
        <w:rPr>
          <w:rFonts w:hint="cs"/>
        </w:rPr>
        <w:t>)</w:t>
      </w:r>
      <w:r w:rsidRPr="00925A49">
        <w:t> </w:t>
      </w:r>
      <w:r w:rsidRPr="00925A49">
        <w:rPr>
          <w:rtl/>
        </w:rPr>
        <w:t>אם נישאת, תצא</w:t>
      </w:r>
      <w:r w:rsidRPr="00925A49">
        <w:t>:</w:t>
      </w:r>
    </w:p>
    <w:p w14:paraId="131669B5" w14:textId="10AB4102" w:rsidR="00A91CBC" w:rsidRDefault="00A91CBC" w:rsidP="00A91CBC">
      <w:pPr>
        <w:pStyle w:val="Style1"/>
        <w:rPr>
          <w:rtl/>
        </w:rPr>
      </w:pPr>
      <w:r>
        <w:rPr>
          <w:rFonts w:hint="cs"/>
          <w:rtl/>
        </w:rPr>
        <w:t>5)[</w:t>
      </w:r>
      <w:r>
        <w:rPr>
          <w:rtl/>
        </w:rPr>
        <w:t>רמב</w:t>
      </w:r>
      <w:r w:rsidR="00213DA1">
        <w:rPr>
          <w:rtl/>
        </w:rPr>
        <w:t>”ם \נשים\</w:t>
      </w:r>
      <w:r>
        <w:rPr>
          <w:rtl/>
        </w:rPr>
        <w:t xml:space="preserve"> הלכות גירושין פרק יב הלכה ד</w:t>
      </w:r>
      <w:r>
        <w:rPr>
          <w:rFonts w:hint="cs"/>
          <w:rtl/>
        </w:rPr>
        <w:t xml:space="preserve">] </w:t>
      </w:r>
      <w:r>
        <w:rPr>
          <w:rtl/>
        </w:rPr>
        <w:t>באה היא ובעלה היא אומרת גירשתני ואבד גיטי והוא אומר לא גירשתיך, אף על פי שהוחזקה אשתו הרי זו נאמנת, חזקה אין אשה מעיזה פניה בפני בעלה.</w:t>
      </w:r>
    </w:p>
    <w:p w14:paraId="07478FCC" w14:textId="64DC8DBF" w:rsidR="00113AFF" w:rsidRDefault="00113AFF" w:rsidP="00113AFF">
      <w:pPr>
        <w:pStyle w:val="Style1"/>
        <w:rPr>
          <w:rtl/>
        </w:rPr>
      </w:pPr>
      <w:r>
        <w:rPr>
          <w:rFonts w:hint="cs"/>
          <w:rtl/>
        </w:rPr>
        <w:t>5)[</w:t>
      </w:r>
      <w:r>
        <w:rPr>
          <w:rtl/>
        </w:rPr>
        <w:t>רמב</w:t>
      </w:r>
      <w:r w:rsidR="00213DA1">
        <w:rPr>
          <w:rtl/>
        </w:rPr>
        <w:t>”ם \נשים\</w:t>
      </w:r>
      <w:r>
        <w:rPr>
          <w:rtl/>
        </w:rPr>
        <w:t xml:space="preserve"> הלכות אישות פרק ד הלכה יג</w:t>
      </w:r>
      <w:r>
        <w:rPr>
          <w:rFonts w:hint="cs"/>
          <w:rtl/>
        </w:rPr>
        <w:t xml:space="preserve">] </w:t>
      </w:r>
      <w:r>
        <w:rPr>
          <w:rtl/>
        </w:rPr>
        <w:t>אשת איש שפשטה ידה וקבלה קידושין מאחר בפני בעלה הרי זו מקודשת לשני, שהאשה שאמרה לבעלה בפניו גירשתני נאמנת, חזקה אין אשה מעיזה פניה בפני בעלה, אבל אם קידשה אחר שלא בפני בעלה אין קידושין תופסין בה עד שתביא ראיה שנתגרשה קודם שתקבל הקידושין, כל שלא בפניו מעיזה. /השגת הראב"ד/ אשת איש שפשטה ידה וקבלה קדושין מאחר בפני בעלה הרי זו מקודשת לשני. א"א אני אומר שאינה נאמנת אלא שתופסין בה קידושין אבל לא להנשא ולא ליטול כתובה.</w:t>
      </w:r>
    </w:p>
    <w:p w14:paraId="2C16E0BB" w14:textId="03F5ECE7" w:rsidR="00D8093C" w:rsidRPr="00D8093C" w:rsidRDefault="007F48A8" w:rsidP="00D8093C">
      <w:pPr>
        <w:pStyle w:val="Style1"/>
      </w:pPr>
      <w:r>
        <w:rPr>
          <w:rFonts w:hint="cs"/>
          <w:rtl/>
        </w:rPr>
        <w:t>5)[</w:t>
      </w:r>
      <w:r>
        <w:rPr>
          <w:rtl/>
        </w:rPr>
        <w:t>שולחן ערוך אבן העזר הלכות אישות סימן יז סעיף ב</w:t>
      </w:r>
      <w:r>
        <w:rPr>
          <w:rFonts w:hint="cs"/>
          <w:rtl/>
        </w:rPr>
        <w:t>]</w:t>
      </w:r>
      <w:r w:rsidR="00D8093C">
        <w:rPr>
          <w:rFonts w:hint="cs"/>
          <w:rtl/>
        </w:rPr>
        <w:t xml:space="preserve"> </w:t>
      </w:r>
      <w:r w:rsidR="00D8093C" w:rsidRPr="00D8093C">
        <w:rPr>
          <w:rtl/>
        </w:rPr>
        <w:t>אשת איש שפשטה ידה וקיבלה קדושין בפני בעלה, הרי זו מקודשת לשני. האשה שאמרה לבעלה בפניו גרשתני, נאמנת, חזקה אין אשה מעיזה פניה בפני בעלה</w:t>
      </w:r>
      <w:r w:rsidR="00D8093C" w:rsidRPr="00D8093C">
        <w:t>:</w:t>
      </w:r>
    </w:p>
    <w:p w14:paraId="04B84061" w14:textId="77777777" w:rsidR="00D8093C" w:rsidRPr="00D8093C" w:rsidRDefault="00D8093C" w:rsidP="00D8093C">
      <w:pPr>
        <w:pStyle w:val="Style1"/>
      </w:pPr>
      <w:r w:rsidRPr="00D8093C">
        <w:rPr>
          <w:rFonts w:hint="cs"/>
          <w:rtl/>
        </w:rPr>
        <w:t>הגה</w:t>
      </w:r>
      <w:r w:rsidRPr="00D8093C">
        <w:rPr>
          <w:rFonts w:hint="cs"/>
        </w:rPr>
        <w:t>: </w:t>
      </w:r>
      <w:r w:rsidRPr="00D8093C">
        <w:rPr>
          <w:rFonts w:hint="cs"/>
          <w:rtl/>
        </w:rPr>
        <w:t>יש אומרים דוקא לענין שקידושין תופסין בה נאמנת וצריכה גט, אבל אינה נאמנת להנשא לאחר (הר"ן פ"ב דכתובות בשי"א) או ליטול כתובתה (הגהות מיימוני פ"ב דגירושין) (ויש חולקים וסבירא להו דלכל דבר נאמנת) (רמב"ם) (ויש אומרים עוד דבזמן הזה דנפישי חוצפא ופריצותא אינה נאמנת אלא לחומרא דאיתרע חזקה דאינה מעיזה) (ב"י בשם א"ח)</w:t>
      </w:r>
      <w:r w:rsidRPr="00D8093C">
        <w:t>:</w:t>
      </w:r>
    </w:p>
    <w:p w14:paraId="2B8A7692" w14:textId="1332E73E" w:rsidR="00D8093C" w:rsidRDefault="00D8093C" w:rsidP="00D8093C">
      <w:pPr>
        <w:pStyle w:val="Style1"/>
        <w:rPr>
          <w:rtl/>
        </w:rPr>
      </w:pPr>
      <w:r w:rsidRPr="00D8093C">
        <w:rPr>
          <w:rtl/>
        </w:rPr>
        <w:t>אבל אם קידשה אחר שלא בפני בעלה, אין קדושין תופסין בה עד שתביא ראייה שנתגרשה קודם שתקבל הקידושין, שכל שלא בפניו מעיזה. וכתב הרא"ש דכל שהוא בעיר שנתקדשה לאחר מיקרי בפניו </w:t>
      </w:r>
      <w:r w:rsidRPr="00D8093C">
        <w:rPr>
          <w:rFonts w:hint="cs"/>
          <w:rtl/>
        </w:rPr>
        <w:t>(ויש חולקין וסבירא להו דבעינן בפני בעלה ממש) (מהרי"ק שורש ע"ב ו</w:t>
      </w:r>
      <w:hyperlink r:id="rId54" w:tooltip="תשובות ריב&quot;ש/קנז" w:history="1">
        <w:r w:rsidRPr="00D8093C">
          <w:rPr>
            <w:rStyle w:val="Hyperlink"/>
            <w:rFonts w:hint="cs"/>
            <w:color w:val="7030A0"/>
            <w:u w:val="none"/>
            <w:rtl/>
          </w:rPr>
          <w:t>ריב"ש סימן קנ"ז</w:t>
        </w:r>
      </w:hyperlink>
      <w:r w:rsidRPr="00D8093C">
        <w:rPr>
          <w:rFonts w:hint="cs"/>
        </w:rPr>
        <w:t>)</w:t>
      </w:r>
      <w:r w:rsidRPr="00D8093C">
        <w:t xml:space="preserve">. </w:t>
      </w:r>
      <w:r w:rsidRPr="00D8093C">
        <w:rPr>
          <w:rtl/>
        </w:rPr>
        <w:t>והא דאמרינן דאין אשה מעיזה פניה בפני בעלה לומר גרשתני, הני מילי היכא דליכא מסייע לה, אבל היכא דאיכא דמסייע לה מעיזה ומעיזה. ואם נשאת לאחר שלא בפני בעלה, אף על פי שכשבא בעלה אומרת לו בפניו גרשתני, אינה נאמנת, דכיון שכבר נשאת מעיזה ומעיזה שלא תעשה עצמה זונה. ויש מי שאומר שאפילו לא נשאת עדיין לאחר אלא נתקדשה לו שלא בפני בעלה, ואחר כך בא בעלה ואומרת לו בפניו גרשתני, אינה נאמנת. ויש אומרים שאם היה קטטה ביניהם או שתובעת כתובתה אינה נאמנת לומר גרשתני אפילו בפניו</w:t>
      </w:r>
      <w:r w:rsidRPr="00D8093C">
        <w:t>. </w:t>
      </w:r>
      <w:r w:rsidRPr="00D8093C">
        <w:rPr>
          <w:rFonts w:hint="cs"/>
          <w:rtl/>
        </w:rPr>
        <w:t>יש אומרים במקום שנאמנת להינשא גובאת גם כן כתובתה (מהרי"ק שורש ע"ב ו</w:t>
      </w:r>
      <w:hyperlink r:id="rId55" w:tooltip="תשובות ריב&quot;ש/קנז" w:history="1">
        <w:r w:rsidRPr="00D8093C">
          <w:rPr>
            <w:rStyle w:val="Hyperlink"/>
            <w:rFonts w:hint="cs"/>
            <w:color w:val="7030A0"/>
            <w:u w:val="none"/>
            <w:rtl/>
          </w:rPr>
          <w:t>ריב"ש סי' קנ"ז</w:t>
        </w:r>
      </w:hyperlink>
      <w:r w:rsidRPr="00D8093C">
        <w:rPr>
          <w:rFonts w:hint="cs"/>
        </w:rPr>
        <w:t xml:space="preserve">) </w:t>
      </w:r>
      <w:r w:rsidRPr="00D8093C">
        <w:rPr>
          <w:rFonts w:hint="cs"/>
          <w:rtl/>
        </w:rPr>
        <w:t>ויש אומרים דאינה נאמנת לענין ממון כלל ונתבאר לעיל</w:t>
      </w:r>
      <w:r w:rsidRPr="00D8093C">
        <w:t>:</w:t>
      </w:r>
    </w:p>
    <w:p w14:paraId="22DDDF7C" w14:textId="5FF0630F" w:rsidR="001035AE" w:rsidRDefault="001035AE" w:rsidP="001035AE">
      <w:pPr>
        <w:pStyle w:val="Style1"/>
        <w:rPr>
          <w:rtl/>
        </w:rPr>
      </w:pPr>
      <w:r>
        <w:rPr>
          <w:rFonts w:hint="cs"/>
          <w:rtl/>
        </w:rPr>
        <w:t>6)[</w:t>
      </w:r>
      <w:r>
        <w:rPr>
          <w:rtl/>
        </w:rPr>
        <w:t>רמב</w:t>
      </w:r>
      <w:r w:rsidR="00213DA1">
        <w:rPr>
          <w:rtl/>
        </w:rPr>
        <w:t>”ם \נשים\</w:t>
      </w:r>
      <w:r>
        <w:rPr>
          <w:rtl/>
        </w:rPr>
        <w:t xml:space="preserve"> הלכות גירושין פרק יב הלכה ו</w:t>
      </w:r>
      <w:r>
        <w:rPr>
          <w:rFonts w:hint="cs"/>
          <w:rtl/>
        </w:rPr>
        <w:t xml:space="preserve">] </w:t>
      </w:r>
      <w:r>
        <w:rPr>
          <w:rtl/>
        </w:rPr>
        <w:t>שנים אומרין נתגרשה ושנים מכחישין אותן ואומרין לא נתגרשה אפילו הבעל עומד והיא אומרת לו גרשתני הרי זו בחזקת אשת איש גמורה כשהיתה, מפני העדים שסומכין אותה אפשר שתעיז פניה, לפיכך אם נשאת תצא והולד ממזר.</w:t>
      </w:r>
    </w:p>
    <w:p w14:paraId="31DA735A" w14:textId="5AC71672" w:rsidR="00301AFB" w:rsidRDefault="00301AFB" w:rsidP="00301AFB">
      <w:pPr>
        <w:pStyle w:val="Style1"/>
        <w:rPr>
          <w:rtl/>
        </w:rPr>
      </w:pPr>
      <w:r>
        <w:rPr>
          <w:rFonts w:hint="cs"/>
          <w:rtl/>
        </w:rPr>
        <w:t>6)[</w:t>
      </w:r>
      <w:r>
        <w:rPr>
          <w:rtl/>
        </w:rPr>
        <w:t>רמב</w:t>
      </w:r>
      <w:r w:rsidR="00213DA1">
        <w:rPr>
          <w:rtl/>
        </w:rPr>
        <w:t>”ם \נשים\</w:t>
      </w:r>
      <w:r>
        <w:rPr>
          <w:rtl/>
        </w:rPr>
        <w:t xml:space="preserve"> הלכות גירושין פרק יב הלכה ז</w:t>
      </w:r>
      <w:r>
        <w:rPr>
          <w:rFonts w:hint="cs"/>
          <w:rtl/>
        </w:rPr>
        <w:t xml:space="preserve">] </w:t>
      </w:r>
      <w:r>
        <w:rPr>
          <w:rtl/>
        </w:rPr>
        <w:t>במה דברים אמורים בשאמרו עכשיו נתגרשה שהרי אומרין לה אם אמת הדבר הוציאי גיטך, אבל אם אמרו העדים מכמה ימים נתגרשה יש לומר אבד הגט והואיל והיא אומרת גרושה אני בודאי ושני עדים מעידין לה אף על פי שהרי שנים מכחישין אותן אם נשאת לאחד מעדיה לא תצא, שהרי היא ובעלה יודעין בודאי שהיא מותרת וחזקה היא שאין מקלקלין עצמן, אבל אם נשאת לאחר הואיל והדבר אצלו ספק וכן אם אמרה היא איני יודעת אפילו נשאת לאחד מעדיה הרי זו תצא והולד ספק ממזר.</w:t>
      </w:r>
    </w:p>
    <w:p w14:paraId="01083C20" w14:textId="403856AD" w:rsidR="00642C7D" w:rsidRPr="00D8093C" w:rsidRDefault="00642C7D" w:rsidP="00642C7D">
      <w:pPr>
        <w:pStyle w:val="Style1"/>
      </w:pPr>
      <w:r>
        <w:rPr>
          <w:rFonts w:hint="cs"/>
          <w:rtl/>
        </w:rPr>
        <w:t>6)[</w:t>
      </w:r>
      <w:r>
        <w:rPr>
          <w:rtl/>
        </w:rPr>
        <w:t>שולחן ערוך אבן העזר הלכות גיטין סימן קנב סעיף ב</w:t>
      </w:r>
      <w:r>
        <w:rPr>
          <w:rFonts w:hint="cs"/>
          <w:rtl/>
        </w:rPr>
        <w:t xml:space="preserve">] </w:t>
      </w:r>
      <w:r>
        <w:rPr>
          <w:rtl/>
        </w:rPr>
        <w:t>האומרת לבעלה: גרשתני, והוא מכחישה, נתבאר בסימן י"ז.</w:t>
      </w:r>
    </w:p>
    <w:p w14:paraId="18D93F83" w14:textId="77777777" w:rsidR="00D8093C" w:rsidRPr="00D8093C" w:rsidRDefault="00D8093C" w:rsidP="00D8093C">
      <w:pPr>
        <w:pStyle w:val="Style1"/>
      </w:pPr>
    </w:p>
    <w:p w14:paraId="404EA390" w14:textId="0B5DB28C" w:rsidR="007F48A8" w:rsidRPr="00925A49" w:rsidRDefault="007F48A8" w:rsidP="007F48A8">
      <w:pPr>
        <w:pStyle w:val="Style1"/>
      </w:pPr>
    </w:p>
    <w:p w14:paraId="69D21255" w14:textId="6E7C1E1F" w:rsidR="00925A49" w:rsidRPr="00192508" w:rsidRDefault="00925A49" w:rsidP="00925A49">
      <w:pPr>
        <w:pStyle w:val="Style1"/>
      </w:pPr>
    </w:p>
    <w:p w14:paraId="035A23F0" w14:textId="77777777" w:rsidR="00192508" w:rsidRPr="00192508" w:rsidRDefault="00192508" w:rsidP="00192508">
      <w:pPr>
        <w:pStyle w:val="Style1"/>
      </w:pPr>
    </w:p>
    <w:p w14:paraId="5AC39D5B" w14:textId="4D3A8073" w:rsidR="00A84948" w:rsidRPr="00192508" w:rsidRDefault="00A84948" w:rsidP="00192508">
      <w:pPr>
        <w:pStyle w:val="Style1"/>
      </w:pPr>
    </w:p>
    <w:p w14:paraId="7B08D7A9" w14:textId="77777777" w:rsidR="004814BB" w:rsidRPr="00192508" w:rsidRDefault="004814BB" w:rsidP="00192508">
      <w:pPr>
        <w:pStyle w:val="Style1"/>
        <w:rPr>
          <w:rStyle w:val="Style1Char"/>
        </w:rPr>
      </w:pPr>
    </w:p>
    <w:p w14:paraId="0C598C6B" w14:textId="1FC82C1A" w:rsidR="00821001" w:rsidRPr="006153A3" w:rsidRDefault="00821001" w:rsidP="00821001">
      <w:pPr>
        <w:pStyle w:val="Style1"/>
        <w:rPr>
          <w:rStyle w:val="Style1Char"/>
          <w:rtl/>
        </w:rPr>
      </w:pPr>
    </w:p>
    <w:p w14:paraId="1675EADE" w14:textId="77777777" w:rsidR="00DA1858" w:rsidRPr="0078096D" w:rsidRDefault="00DA1858" w:rsidP="00DA1858">
      <w:pPr>
        <w:bidi/>
        <w:rPr>
          <w:rStyle w:val="Style1Char"/>
          <w:color w:val="00B050"/>
          <w:rtl/>
        </w:rPr>
      </w:pPr>
    </w:p>
    <w:p w14:paraId="44C013D3" w14:textId="77777777" w:rsidR="00DA1858" w:rsidRDefault="00DA1858" w:rsidP="00DA1858">
      <w:pPr>
        <w:rPr>
          <w:rStyle w:val="Style1Char"/>
          <w:color w:val="00B050"/>
          <w:rtl/>
        </w:rPr>
      </w:pPr>
      <w:r>
        <w:rPr>
          <w:rStyle w:val="Style1Char"/>
          <w:color w:val="00B050"/>
          <w:rtl/>
        </w:rPr>
        <w:br w:type="page"/>
      </w:r>
    </w:p>
    <w:p w14:paraId="17C562F1" w14:textId="3ADAA1B9" w:rsidR="00DA1858" w:rsidRDefault="00DA1858" w:rsidP="00DA1858">
      <w:pPr>
        <w:bidi/>
        <w:rPr>
          <w:rStyle w:val="Style1Char"/>
          <w:sz w:val="22"/>
          <w:szCs w:val="22"/>
          <w:rtl/>
        </w:rPr>
      </w:pPr>
      <w:r w:rsidRPr="00A2085B">
        <w:rPr>
          <w:rStyle w:val="Style1Char"/>
          <w:color w:val="auto"/>
          <w:sz w:val="22"/>
          <w:szCs w:val="22"/>
          <w:highlight w:val="yellow"/>
          <w:rtl/>
        </w:rPr>
        <w:lastRenderedPageBreak/>
        <w:t>[דף כג עמוד א]</w:t>
      </w:r>
      <w:r w:rsidRPr="00A2085B">
        <w:rPr>
          <w:rStyle w:val="Style1Char"/>
          <w:color w:val="auto"/>
          <w:sz w:val="22"/>
          <w:szCs w:val="22"/>
          <w:rtl/>
        </w:rPr>
        <w:t xml:space="preserve"> מאי שנא רישא, ומאי שנא סיפא?</w:t>
      </w:r>
      <w:r w:rsidRPr="00A2085B">
        <w:rPr>
          <w:rStyle w:val="Style1Char"/>
          <w:color w:val="auto"/>
          <w:rtl/>
        </w:rPr>
        <w:t xml:space="preserve"> </w:t>
      </w:r>
      <w:r w:rsidRPr="00A2085B">
        <w:rPr>
          <w:rStyle w:val="Style1Char"/>
          <w:color w:val="auto"/>
          <w:sz w:val="22"/>
          <w:szCs w:val="22"/>
          <w:rtl/>
        </w:rPr>
        <w:t xml:space="preserve">אמר </w:t>
      </w:r>
      <w:r w:rsidRPr="00887069">
        <w:rPr>
          <w:rStyle w:val="Style1Char"/>
          <w:color w:val="00B050"/>
          <w:rtl/>
        </w:rPr>
        <w:t>אביי</w:t>
      </w:r>
      <w:r w:rsidRPr="0011388B">
        <w:rPr>
          <w:rStyle w:val="Style1Char"/>
          <w:color w:val="C00000"/>
          <w:rtl/>
        </w:rPr>
        <w:t xml:space="preserve"> </w:t>
      </w:r>
      <w:r w:rsidRPr="00A2085B">
        <w:rPr>
          <w:rStyle w:val="Style1Char"/>
          <w:color w:val="806000" w:themeColor="accent4" w:themeShade="80"/>
          <w:sz w:val="22"/>
          <w:szCs w:val="22"/>
          <w:rtl/>
        </w:rPr>
        <w:t>רב פפא</w:t>
      </w:r>
      <w:r w:rsidRPr="00887069">
        <w:rPr>
          <w:rStyle w:val="Style1Char"/>
          <w:color w:val="00B050"/>
          <w:rtl/>
        </w:rPr>
        <w:t xml:space="preserve">: </w:t>
      </w:r>
      <w:r w:rsidRPr="00A2085B">
        <w:rPr>
          <w:rStyle w:val="Style1Char"/>
          <w:color w:val="auto"/>
          <w:sz w:val="22"/>
          <w:szCs w:val="22"/>
          <w:rtl/>
        </w:rPr>
        <w:t xml:space="preserve">תרגמה - בעד אחד, </w:t>
      </w:r>
      <w:r w:rsidR="008056C0">
        <w:rPr>
          <w:rStyle w:val="Style1Char"/>
          <w:rFonts w:hint="cs"/>
          <w:rtl/>
        </w:rPr>
        <w:t>(1)</w:t>
      </w:r>
      <w:r w:rsidRPr="00A2085B">
        <w:rPr>
          <w:rStyle w:val="Style1Char"/>
          <w:color w:val="auto"/>
          <w:sz w:val="22"/>
          <w:szCs w:val="22"/>
          <w:rtl/>
        </w:rPr>
        <w:t xml:space="preserve">עד אחד אומר נתקדשה ועד אחד אומר לא נתקדשה - תרוייהו בפנויה קמסהדי, והאי דקאמר נתקדשה הוה ליה חד, ואין דבריו של אחד במקום שנים; סיפא, עד אחד אומר נתגרשה ועד אחד אומר לא נתגרשה - תרוייהו באשת איש קמסהדי, והאי דקאמר נתגרשה הוה ליה חד, ואין דבריו של אחד במקום שנים. רב אשי אמר: לעולם תרי ותרי, ואיפוך, </w:t>
      </w:r>
      <w:r w:rsidR="00305C91">
        <w:rPr>
          <w:rStyle w:val="Style1Char"/>
          <w:rFonts w:hint="cs"/>
          <w:rtl/>
        </w:rPr>
        <w:t>(2)</w:t>
      </w:r>
      <w:r w:rsidRPr="00A2085B">
        <w:rPr>
          <w:rStyle w:val="Style1Char"/>
          <w:color w:val="auto"/>
          <w:sz w:val="22"/>
          <w:szCs w:val="22"/>
          <w:rtl/>
        </w:rPr>
        <w:t>שנים אומרים ראינוה שנתקדשה ושנים אומרים לא ראינוה שנתקדשה - הרי זו לא תנשא, ואם נשאת - תצא</w:t>
      </w:r>
      <w:r w:rsidRPr="0011388B">
        <w:rPr>
          <w:rStyle w:val="Style1Char"/>
          <w:sz w:val="22"/>
          <w:szCs w:val="22"/>
          <w:rtl/>
        </w:rPr>
        <w:t xml:space="preserve">. </w:t>
      </w:r>
      <w:r w:rsidRPr="00887069">
        <w:rPr>
          <w:rStyle w:val="Style1Char"/>
          <w:color w:val="00B050"/>
          <w:rtl/>
        </w:rPr>
        <w:t>פשיטא</w:t>
      </w:r>
      <w:r w:rsidRPr="00C056E5">
        <w:rPr>
          <w:rStyle w:val="Style1Char"/>
          <w:color w:val="C00000"/>
          <w:rtl/>
        </w:rPr>
        <w:t xml:space="preserve"> </w:t>
      </w:r>
      <w:r w:rsidRPr="00BC3DF6">
        <w:rPr>
          <w:rStyle w:val="Style1Char"/>
          <w:color w:val="806000" w:themeColor="accent4" w:themeShade="80"/>
          <w:sz w:val="22"/>
          <w:szCs w:val="22"/>
          <w:rtl/>
        </w:rPr>
        <w:t>מאי טעמא</w:t>
      </w:r>
      <w:r w:rsidRPr="00887069">
        <w:rPr>
          <w:rStyle w:val="Style1Char"/>
          <w:color w:val="00B050"/>
          <w:rtl/>
        </w:rPr>
        <w:t xml:space="preserve">, </w:t>
      </w:r>
      <w:r w:rsidRPr="00BC3DF6">
        <w:rPr>
          <w:rStyle w:val="Style1Char"/>
          <w:color w:val="auto"/>
          <w:sz w:val="22"/>
          <w:szCs w:val="22"/>
          <w:rtl/>
        </w:rPr>
        <w:t xml:space="preserve">לא ראינוה אינה ראיה! </w:t>
      </w:r>
      <w:r w:rsidRPr="00887069">
        <w:rPr>
          <w:rStyle w:val="Style1Char"/>
          <w:color w:val="00B050"/>
          <w:rtl/>
        </w:rPr>
        <w:t xml:space="preserve">לא צריכא </w:t>
      </w:r>
      <w:r w:rsidRPr="00BC3DF6">
        <w:rPr>
          <w:rStyle w:val="Style1Char"/>
          <w:color w:val="806000" w:themeColor="accent4" w:themeShade="80"/>
          <w:sz w:val="22"/>
          <w:szCs w:val="22"/>
          <w:rtl/>
        </w:rPr>
        <w:t xml:space="preserve">ואף על גב </w:t>
      </w:r>
      <w:r w:rsidRPr="00BC3DF6">
        <w:rPr>
          <w:rStyle w:val="Style1Char"/>
          <w:color w:val="auto"/>
          <w:sz w:val="22"/>
          <w:szCs w:val="22"/>
          <w:rtl/>
        </w:rPr>
        <w:t xml:space="preserve">דדיירי </w:t>
      </w:r>
      <w:r w:rsidRPr="00BC3DF6">
        <w:rPr>
          <w:rStyle w:val="Style1Char"/>
          <w:color w:val="806000" w:themeColor="accent4" w:themeShade="80"/>
          <w:sz w:val="22"/>
          <w:szCs w:val="22"/>
          <w:rtl/>
        </w:rPr>
        <w:t xml:space="preserve">כולהון </w:t>
      </w:r>
      <w:r w:rsidRPr="00BC3DF6">
        <w:rPr>
          <w:rStyle w:val="Style1Char"/>
          <w:color w:val="auto"/>
          <w:sz w:val="22"/>
          <w:szCs w:val="22"/>
          <w:rtl/>
        </w:rPr>
        <w:t>בחצר אחד</w:t>
      </w:r>
      <w:r w:rsidRPr="00887069">
        <w:rPr>
          <w:rStyle w:val="Style1Char"/>
          <w:color w:val="00B050"/>
          <w:rtl/>
        </w:rPr>
        <w:t>, מהו דתימא</w:t>
      </w:r>
      <w:r w:rsidRPr="00473349">
        <w:rPr>
          <w:rStyle w:val="Style1Char"/>
          <w:color w:val="C00000"/>
          <w:rtl/>
        </w:rPr>
        <w:t xml:space="preserve"> </w:t>
      </w:r>
      <w:r w:rsidRPr="00BC3DF6">
        <w:rPr>
          <w:rStyle w:val="Style1Char"/>
          <w:color w:val="806000" w:themeColor="accent4" w:themeShade="80"/>
          <w:sz w:val="22"/>
          <w:szCs w:val="22"/>
          <w:rtl/>
        </w:rPr>
        <w:t>לא אמרינן</w:t>
      </w:r>
      <w:r w:rsidRPr="00BC3DF6">
        <w:rPr>
          <w:rStyle w:val="Style1Char"/>
          <w:color w:val="806000" w:themeColor="accent4" w:themeShade="80"/>
          <w:rtl/>
        </w:rPr>
        <w:t xml:space="preserve">, </w:t>
      </w:r>
      <w:r w:rsidRPr="00BC3DF6">
        <w:rPr>
          <w:rStyle w:val="Style1Char"/>
          <w:color w:val="auto"/>
          <w:sz w:val="22"/>
          <w:szCs w:val="22"/>
          <w:rtl/>
        </w:rPr>
        <w:t>אם איתא דנתקדשה קלא אית לה למילתא</w:t>
      </w:r>
      <w:r w:rsidRPr="00887069">
        <w:rPr>
          <w:rStyle w:val="Style1Char"/>
          <w:color w:val="00B050"/>
          <w:rtl/>
        </w:rPr>
        <w:t xml:space="preserve">, קא משמע לן, </w:t>
      </w:r>
      <w:r w:rsidRPr="00BC3DF6">
        <w:rPr>
          <w:rStyle w:val="Style1Char"/>
          <w:color w:val="806000" w:themeColor="accent4" w:themeShade="80"/>
          <w:sz w:val="22"/>
          <w:szCs w:val="22"/>
          <w:rtl/>
        </w:rPr>
        <w:t xml:space="preserve">משום </w:t>
      </w:r>
      <w:r w:rsidRPr="00BC3DF6">
        <w:rPr>
          <w:rStyle w:val="Style1Char"/>
          <w:color w:val="auto"/>
          <w:sz w:val="22"/>
          <w:szCs w:val="22"/>
          <w:rtl/>
        </w:rPr>
        <w:t xml:space="preserve">דעבדי אינשי דמקדשי בצנעא. סיפא, </w:t>
      </w:r>
      <w:r w:rsidR="000B3E8A">
        <w:rPr>
          <w:rStyle w:val="Style1Char"/>
          <w:rFonts w:hint="cs"/>
          <w:rtl/>
        </w:rPr>
        <w:t>(3)</w:t>
      </w:r>
      <w:r w:rsidRPr="00BC3DF6">
        <w:rPr>
          <w:rStyle w:val="Style1Char"/>
          <w:color w:val="auto"/>
          <w:sz w:val="22"/>
          <w:szCs w:val="22"/>
          <w:rtl/>
        </w:rPr>
        <w:t>שנים אומרים ראינוה שנתגרשה ושנים אומרים לא ראינוה שנתגרשה - הרי זו לא תנשא, ואם נשאת - לא תצא.</w:t>
      </w:r>
      <w:r w:rsidRPr="00BC3DF6">
        <w:rPr>
          <w:rStyle w:val="Style1Char"/>
          <w:color w:val="auto"/>
          <w:rtl/>
        </w:rPr>
        <w:t xml:space="preserve"> </w:t>
      </w:r>
      <w:r w:rsidRPr="00887069">
        <w:rPr>
          <w:rStyle w:val="Style1Char"/>
          <w:color w:val="00B050"/>
          <w:rtl/>
        </w:rPr>
        <w:t xml:space="preserve">מאי קמ"ל? אף על גב דדיירי בחצר אחד, היינו הך! מהו דתימא, גבי קדושין הוא דעבידי אינשי דמקדשי בצנעא, אבל גבי גירושין, אם איתא דאיגרשא קלא אית לה למילתא, קמ"ל, </w:t>
      </w:r>
      <w:r w:rsidRPr="00BC3DF6">
        <w:rPr>
          <w:rStyle w:val="Style1Char"/>
          <w:color w:val="auto"/>
          <w:sz w:val="22"/>
          <w:szCs w:val="22"/>
          <w:rtl/>
        </w:rPr>
        <w:t xml:space="preserve">דעבידי אינשי </w:t>
      </w:r>
      <w:r w:rsidRPr="00887069">
        <w:rPr>
          <w:rStyle w:val="Style1Char"/>
          <w:color w:val="00B050"/>
          <w:rtl/>
        </w:rPr>
        <w:t xml:space="preserve">דמקדשי </w:t>
      </w:r>
      <w:r w:rsidRPr="00473349">
        <w:rPr>
          <w:rStyle w:val="Style1Char"/>
          <w:color w:val="00B050"/>
          <w:rtl/>
        </w:rPr>
        <w:t>ו</w:t>
      </w:r>
      <w:r w:rsidRPr="00BC3DF6">
        <w:rPr>
          <w:rStyle w:val="Style1Char"/>
          <w:color w:val="auto"/>
          <w:sz w:val="22"/>
          <w:szCs w:val="22"/>
          <w:rtl/>
        </w:rPr>
        <w:t>דמגרשי בצנעא</w:t>
      </w:r>
      <w:r w:rsidRPr="00473349">
        <w:rPr>
          <w:rStyle w:val="Style1Char"/>
          <w:sz w:val="22"/>
          <w:szCs w:val="22"/>
          <w:rtl/>
        </w:rPr>
        <w:t xml:space="preserve">. </w:t>
      </w:r>
    </w:p>
    <w:p w14:paraId="0A717080" w14:textId="047F600C" w:rsidR="00DA1858" w:rsidRPr="00887069" w:rsidRDefault="00DA1858" w:rsidP="00DA1858">
      <w:pPr>
        <w:bidi/>
        <w:rPr>
          <w:rStyle w:val="Style1Char"/>
          <w:color w:val="00B050"/>
        </w:rPr>
      </w:pPr>
      <w:r w:rsidRPr="00887069">
        <w:rPr>
          <w:rStyle w:val="Style1Char"/>
          <w:color w:val="00B050"/>
          <w:rtl/>
        </w:rPr>
        <w:t xml:space="preserve">ואם משנשאת באו עדים - לא תצא כו'. </w:t>
      </w:r>
      <w:r w:rsidRPr="002F33AE">
        <w:rPr>
          <w:rStyle w:val="Style1Char"/>
          <w:color w:val="ED7D31" w:themeColor="accent2"/>
          <w:sz w:val="22"/>
          <w:szCs w:val="22"/>
          <w:rtl/>
        </w:rPr>
        <w:t xml:space="preserve">רבי אושעיא מתני לה ארישא, רבה בר אבין מתני לה אסיפא. מאן דמתני לה ארישא, כ"ש אסיפא, דבשבויה הקילו; ומאן דמתני לה אסיפא, </w:t>
      </w:r>
      <w:r w:rsidR="00FD1565">
        <w:rPr>
          <w:rStyle w:val="Style1Char"/>
          <w:rFonts w:hint="cs"/>
          <w:rtl/>
        </w:rPr>
        <w:t>(4)</w:t>
      </w:r>
      <w:r w:rsidRPr="002F33AE">
        <w:rPr>
          <w:rStyle w:val="Style1Char"/>
          <w:color w:val="ED7D31" w:themeColor="accent2"/>
          <w:sz w:val="22"/>
          <w:szCs w:val="22"/>
          <w:rtl/>
        </w:rPr>
        <w:t>אבל ארישא לא</w:t>
      </w:r>
      <w:r w:rsidRPr="002F33AE">
        <w:rPr>
          <w:rStyle w:val="Style1Char"/>
          <w:color w:val="4472C4" w:themeColor="accent1"/>
          <w:rtl/>
        </w:rPr>
        <w:t xml:space="preserve"> </w:t>
      </w:r>
      <w:r w:rsidRPr="0077125B">
        <w:rPr>
          <w:rStyle w:val="Style1Char"/>
          <w:color w:val="4472C4" w:themeColor="accent1"/>
          <w:rtl/>
        </w:rPr>
        <w:t>פסק ר"ח כמאן דמתני לה אסיפא וכן משמע מתוך דברי רב אלפס שכתב הך דאם משנישאת באו עדים אהך דנשביתי ולא הביא פלוגתא דאמוראי</w:t>
      </w:r>
      <w:r w:rsidRPr="00887069">
        <w:rPr>
          <w:rStyle w:val="Style1Char"/>
          <w:color w:val="00B050"/>
          <w:rtl/>
        </w:rPr>
        <w:t xml:space="preserve">. לימא, בדרב המנונא קמיפלגי, דמאן דמתני לה ארישא - אית ליה דרב המנונא, ומאן דמתני לה אסיפא - לית ליה דרב המנונא! לא, דכולי עלמא אית להו דרב המנונא, והכא בהא קמיפלגי, דמר סבר: כי איתמר דרב המנונא - בפניו, </w:t>
      </w:r>
      <w:r w:rsidR="00971FFC">
        <w:rPr>
          <w:rStyle w:val="Style1Char"/>
          <w:rFonts w:hint="cs"/>
          <w:rtl/>
        </w:rPr>
        <w:t>(5)</w:t>
      </w:r>
      <w:r w:rsidRPr="00887069">
        <w:rPr>
          <w:rStyle w:val="Style1Char"/>
          <w:color w:val="00B050"/>
          <w:rtl/>
        </w:rPr>
        <w:t xml:space="preserve">אבל שלא בפניו מעיזה, ומר סבר: שלא בפניו נמי אינה מעיזה. </w:t>
      </w:r>
    </w:p>
    <w:p w14:paraId="3CF593C6" w14:textId="629BF678" w:rsidR="00DA1858" w:rsidRPr="00705399" w:rsidRDefault="00DA1858" w:rsidP="00DA1858">
      <w:pPr>
        <w:bidi/>
        <w:rPr>
          <w:rStyle w:val="Style1Char"/>
          <w:color w:val="auto"/>
          <w:sz w:val="22"/>
          <w:szCs w:val="22"/>
          <w:rtl/>
        </w:rPr>
      </w:pPr>
      <w:r w:rsidRPr="002F33AE">
        <w:rPr>
          <w:rStyle w:val="Style1Char"/>
          <w:color w:val="ED7D31" w:themeColor="accent2"/>
          <w:sz w:val="22"/>
          <w:szCs w:val="22"/>
          <w:rtl/>
        </w:rPr>
        <w:t xml:space="preserve">ואם משנשאת באו עדים וכו'. </w:t>
      </w:r>
      <w:r w:rsidRPr="002F33AE">
        <w:rPr>
          <w:rStyle w:val="Style1Char"/>
          <w:color w:val="auto"/>
          <w:sz w:val="22"/>
          <w:szCs w:val="22"/>
          <w:rtl/>
        </w:rPr>
        <w:t xml:space="preserve">אמר אבוה דשמואל: לא נשאת - נשאת ממש, אלא </w:t>
      </w:r>
      <w:r w:rsidR="005E1B7E">
        <w:rPr>
          <w:rStyle w:val="Style1Char"/>
          <w:rFonts w:hint="cs"/>
          <w:rtl/>
        </w:rPr>
        <w:t>(6)</w:t>
      </w:r>
      <w:r w:rsidRPr="002F33AE">
        <w:rPr>
          <w:rStyle w:val="Style1Char"/>
          <w:color w:val="auto"/>
          <w:sz w:val="22"/>
          <w:szCs w:val="22"/>
          <w:rtl/>
        </w:rPr>
        <w:t xml:space="preserve">כיון שהתירוה לינשא אף על פי שלא נשאת. והא לא תצא קתני! לא תצא מהתירה הראשון. ת"ר: </w:t>
      </w:r>
      <w:r w:rsidR="00E73ACE">
        <w:rPr>
          <w:rStyle w:val="Style1Char"/>
          <w:rFonts w:hint="cs"/>
          <w:rtl/>
        </w:rPr>
        <w:t>(7)</w:t>
      </w:r>
      <w:r w:rsidRPr="002F33AE">
        <w:rPr>
          <w:rStyle w:val="Style1Char"/>
          <w:color w:val="auto"/>
          <w:sz w:val="22"/>
          <w:szCs w:val="22"/>
          <w:rtl/>
        </w:rPr>
        <w:t xml:space="preserve">אמרה נשביתי וטהורה אני, ויש לי עדים שטהורה אני, אין אומרים נמתין עד שיבאו עדים, אלא מתירין אותה מיד; התירוה לינשא, ואחר כך באו עדים </w:t>
      </w:r>
      <w:r w:rsidRPr="00705399">
        <w:rPr>
          <w:rStyle w:val="Style1Char"/>
          <w:color w:val="806000" w:themeColor="accent4" w:themeShade="80"/>
          <w:sz w:val="22"/>
          <w:szCs w:val="22"/>
          <w:rtl/>
        </w:rPr>
        <w:t xml:space="preserve">שנשבית </w:t>
      </w:r>
      <w:r w:rsidRPr="00887069">
        <w:rPr>
          <w:rStyle w:val="Style1Char"/>
          <w:color w:val="00B050"/>
          <w:rtl/>
        </w:rPr>
        <w:t xml:space="preserve">ואמרו לא ידענו - </w:t>
      </w:r>
      <w:r w:rsidRPr="00705399">
        <w:rPr>
          <w:rStyle w:val="Style1Char"/>
          <w:color w:val="auto"/>
          <w:sz w:val="22"/>
          <w:szCs w:val="22"/>
          <w:rtl/>
        </w:rPr>
        <w:t xml:space="preserve">הרי זו לא תצא, </w:t>
      </w:r>
      <w:r w:rsidR="001F0907">
        <w:rPr>
          <w:rStyle w:val="Style1Char"/>
          <w:rFonts w:hint="cs"/>
          <w:rtl/>
        </w:rPr>
        <w:t>(6.2, 7.1)</w:t>
      </w:r>
      <w:r w:rsidRPr="00705399">
        <w:rPr>
          <w:rStyle w:val="Style1Char"/>
          <w:color w:val="auto"/>
          <w:sz w:val="22"/>
          <w:szCs w:val="22"/>
          <w:rtl/>
        </w:rPr>
        <w:t xml:space="preserve">ואם באו עדי טומאה, אפי' יש לה כמה בנים - תצא. </w:t>
      </w:r>
    </w:p>
    <w:p w14:paraId="3432F264" w14:textId="603DBA30" w:rsidR="00DA1858" w:rsidRDefault="00DA1858" w:rsidP="00DA1858">
      <w:pPr>
        <w:bidi/>
        <w:rPr>
          <w:rStyle w:val="Style1Char"/>
          <w:color w:val="00B050"/>
          <w:rtl/>
        </w:rPr>
      </w:pPr>
      <w:r w:rsidRPr="00887069">
        <w:rPr>
          <w:rStyle w:val="Style1Char"/>
          <w:color w:val="00B050"/>
          <w:rtl/>
        </w:rPr>
        <w:t xml:space="preserve">הני שבוייתא דאתיין לנהרדעא, אותיב אבוה דשמואל נטורי בהדייהו. א"ל שמואל: ועד האידנא מאן נטרינהו? א"ל: אילו בנתך הווין, מי הוית מזלזל בהו כולי האי? הואי כשגגה שיוצא מלפני השליט, ואישתביין בנתיה דמר שמואל ואסקינהו לארעא דישראל. אוקמן לשבויינהו מאבראי ועיילי לבי מדרשא דר' חנינא, הא אמרה נשביתי וטהורה אני, והא אמרה נשביתי וטהורה אני, שרינהו. סוף עול אתו שבויינהו, אמר רבי חנינא: </w:t>
      </w:r>
      <w:r w:rsidR="00EC5020">
        <w:rPr>
          <w:rStyle w:val="Style1Char"/>
          <w:rFonts w:hint="cs"/>
          <w:rtl/>
        </w:rPr>
        <w:t>(6.2, 7.1)</w:t>
      </w:r>
      <w:r w:rsidRPr="00887069">
        <w:rPr>
          <w:rStyle w:val="Style1Char"/>
          <w:color w:val="00B050"/>
          <w:rtl/>
        </w:rPr>
        <w:t xml:space="preserve">בנן דמוריין אינון. איגלאי מילתא דבנתיה דמר שמואל הווין, אמר ליה רבי חנינא לרב שמן בר אבא: פוק איטפל בקרובותיך, אמר ליה לרבי חנינא: והאיכא עדים במדינת הים! השתא מיהת ליתנהו קמן, עדים בצד אסתן ותאסר? טעמא דלא אתו עדים, הא אתו עדים מיתסרא, והאמר אבוה דשמואל: כיון שהתירוה לינשא אף על פי שלא נשאת! אמר רב אשי: עדי טומאה איתמר. </w:t>
      </w:r>
    </w:p>
    <w:p w14:paraId="7CCAE95B" w14:textId="5CCA056D" w:rsidR="007D2920" w:rsidRDefault="007D2920" w:rsidP="007D2920">
      <w:pPr>
        <w:pStyle w:val="Style1"/>
        <w:rPr>
          <w:rtl/>
        </w:rPr>
      </w:pPr>
      <w:r>
        <w:rPr>
          <w:rFonts w:hint="cs"/>
          <w:rtl/>
        </w:rPr>
        <w:t>1)[</w:t>
      </w:r>
      <w:r>
        <w:rPr>
          <w:rtl/>
        </w:rPr>
        <w:t>רמב</w:t>
      </w:r>
      <w:r w:rsidR="00213DA1">
        <w:rPr>
          <w:rtl/>
        </w:rPr>
        <w:t>”ם \נשים\</w:t>
      </w:r>
      <w:r>
        <w:rPr>
          <w:rtl/>
        </w:rPr>
        <w:t xml:space="preserve"> הלכות אישות פרק ט הלכה לא</w:t>
      </w:r>
      <w:r>
        <w:rPr>
          <w:rFonts w:hint="cs"/>
          <w:rtl/>
        </w:rPr>
        <w:t xml:space="preserve">] </w:t>
      </w:r>
      <w:r>
        <w:rPr>
          <w:rtl/>
        </w:rPr>
        <w:t>אמר עד אחד מקודשת היא והיא אומרת לא נתקדשתי הרי זו מותרת, אחד אומר מקודשת ואחד אומר אינה מקודשת לא תנשא ואם נישאת לא תצא שהרי היא אומרת לא נתקדשתי. אמרה מקודשת אני ולאחר זמן עמדה וקידשה עצמה אם נתנה אמתלא לדבריה ואמרה מפני כך וכך אמרתי בתחלה שאני מקודשת וראינו בדבריה ממש הרי זו מותרת לשני, ואם לא נתנה אמתלא או שנתנה ואין בה ממש הרי זו אסורה, וקידושי שני קידושי ספק, לפיכך נותן לה גט ותהיה אסורה עליו ועל הכל עד שיבוא ארוסה. וכן האשה שבאת ואמרה אשת איש אני וחזרה ואמרה פנויה אני אם נתנה אמתלא לדבריה ויש בדבריה ממש הרי זו נאמנת. /השגת הראב"ד/ אחד אומר מקודשת ואחד אומר אינה מקודשת לא תצא. א"א זה המחבר נראה שבא לפרש ואינו אלא סותם, מתחלה אמר כשהיא מכחשת את העד שאמר מקודשת היא מותרת ולבסוף אמר אפילו כשיש עד אחד שמסייע אותה לא תנשא, אבל בא וקבל דבר אמת שאם היתה היא מכחישתו מותרת היא וכל דכן הוא אלא בשאינה מכחשת כגון דאמר עד אחד אביה קידשה ועד אחד אמר לא קידשה אי נמי פלוני זרק לה קידושיה והיו קרוב לה ועד אחד אומר קרוב לו היו והיא אינה מכחשת כלל בזה אמרו תרוייהו בפנויה קא מסהדי וכו' לכתחילה לא תנשא וכו'.</w:t>
      </w:r>
    </w:p>
    <w:p w14:paraId="604D663F" w14:textId="4C4890DF" w:rsidR="007D2920" w:rsidRDefault="007D2920" w:rsidP="002152B6">
      <w:pPr>
        <w:pStyle w:val="Style1"/>
        <w:rPr>
          <w:rtl/>
        </w:rPr>
      </w:pPr>
      <w:r>
        <w:rPr>
          <w:rFonts w:hint="cs"/>
          <w:rtl/>
        </w:rPr>
        <w:t>1)[</w:t>
      </w:r>
      <w:r>
        <w:rPr>
          <w:rtl/>
        </w:rPr>
        <w:t>שולחן ערוך אבן העזר הלכות קידושין סימן מז סעיף ג</w:t>
      </w:r>
      <w:r>
        <w:rPr>
          <w:rFonts w:hint="cs"/>
          <w:rtl/>
        </w:rPr>
        <w:t>]</w:t>
      </w:r>
      <w:r w:rsidR="002152B6">
        <w:rPr>
          <w:rFonts w:hint="cs"/>
          <w:rtl/>
        </w:rPr>
        <w:t xml:space="preserve"> </w:t>
      </w:r>
      <w:r w:rsidR="002152B6" w:rsidRPr="002152B6">
        <w:rPr>
          <w:rtl/>
        </w:rPr>
        <w:t>עד אחד אומר נתקדשה, ועד אחד אומר לא נתקדשה -- אם אמר שמעולם לא היו בה ספק קדושין -- תנשא לכתחלה. ואם זרק לה קדושין, אחד אומר קרוב לו ואחד אומר קרוב לה -- לא תנשא. ואם נשאת, לא תצא. ועין לעיל </w:t>
      </w:r>
      <w:hyperlink r:id="rId56" w:anchor="%D7%A1%D7%A2%D7%99%D7%A3_%D7%91" w:tooltip="שולחן ערוך אבן העזר מב" w:history="1">
        <w:r w:rsidR="002152B6" w:rsidRPr="002152B6">
          <w:rPr>
            <w:rStyle w:val="Hyperlink"/>
            <w:color w:val="7030A0"/>
            <w:u w:val="none"/>
            <w:rtl/>
          </w:rPr>
          <w:t>סימן מ"ב סעיף ב</w:t>
        </w:r>
        <w:r w:rsidR="002152B6" w:rsidRPr="002152B6">
          <w:rPr>
            <w:rStyle w:val="Hyperlink"/>
            <w:color w:val="7030A0"/>
            <w:u w:val="none"/>
          </w:rPr>
          <w:t>'</w:t>
        </w:r>
      </w:hyperlink>
      <w:r w:rsidR="002152B6" w:rsidRPr="002152B6">
        <w:t>:</w:t>
      </w:r>
    </w:p>
    <w:p w14:paraId="16EA9873" w14:textId="06EF041E" w:rsidR="00946B94" w:rsidRDefault="00946B94" w:rsidP="00946B94">
      <w:pPr>
        <w:pStyle w:val="Style1"/>
        <w:rPr>
          <w:rtl/>
        </w:rPr>
      </w:pPr>
      <w:r>
        <w:rPr>
          <w:rFonts w:hint="cs"/>
          <w:rtl/>
        </w:rPr>
        <w:t>2)[</w:t>
      </w:r>
      <w:r>
        <w:rPr>
          <w:rtl/>
        </w:rPr>
        <w:t>רמב</w:t>
      </w:r>
      <w:r w:rsidR="00213DA1">
        <w:rPr>
          <w:rtl/>
        </w:rPr>
        <w:t>”ם \נשים\</w:t>
      </w:r>
      <w:r>
        <w:rPr>
          <w:rtl/>
        </w:rPr>
        <w:t xml:space="preserve"> הלכות אישות פרק ט הלכה ל</w:t>
      </w:r>
      <w:r>
        <w:rPr>
          <w:rFonts w:hint="cs"/>
          <w:rtl/>
        </w:rPr>
        <w:t xml:space="preserve">] </w:t>
      </w:r>
      <w:r>
        <w:rPr>
          <w:rtl/>
        </w:rPr>
        <w:t>שנים אומרין ראינוה שנתקדשה ביום פלוני ושנים אומרין לא ראינוה אף על פי שכולם שוכנים בחצר אחת הרי זו מקודשת שאין לא ראינוה ראיה שדרך העם לקדש בצנעה.</w:t>
      </w:r>
    </w:p>
    <w:p w14:paraId="3B412832" w14:textId="39F52626" w:rsidR="00464404" w:rsidRDefault="00464404" w:rsidP="00464404">
      <w:pPr>
        <w:pStyle w:val="Style1"/>
        <w:rPr>
          <w:rtl/>
        </w:rPr>
      </w:pPr>
      <w:r>
        <w:rPr>
          <w:rFonts w:hint="cs"/>
          <w:rtl/>
        </w:rPr>
        <w:t>2)[</w:t>
      </w:r>
      <w:r>
        <w:rPr>
          <w:rtl/>
        </w:rPr>
        <w:t>שולחן ערוך אבן העזר הלכות קידושין סימן מז סעיף א</w:t>
      </w:r>
      <w:r>
        <w:rPr>
          <w:rFonts w:hint="cs"/>
          <w:rtl/>
        </w:rPr>
        <w:t>]</w:t>
      </w:r>
      <w:r w:rsidR="00706EE2">
        <w:rPr>
          <w:rFonts w:hint="cs"/>
          <w:rtl/>
        </w:rPr>
        <w:t xml:space="preserve"> </w:t>
      </w:r>
      <w:r w:rsidR="00706EE2" w:rsidRPr="00706EE2">
        <w:rPr>
          <w:rtl/>
        </w:rPr>
        <w:t>שנים אומרים: ראינו שנתקדשה, ושנים אומרים: לא ראינו שנתקדשה, הרי זו מקודשת, אפילו כולם דרים עמה בחצר, לא ראינו אינו ראיה, שאפשר שנתקדשה בצנעה</w:t>
      </w:r>
      <w:r w:rsidR="00706EE2" w:rsidRPr="00706EE2">
        <w:t>:</w:t>
      </w:r>
    </w:p>
    <w:p w14:paraId="0CC56569" w14:textId="123B0593" w:rsidR="00706EE2" w:rsidRDefault="00706EE2" w:rsidP="00706EE2">
      <w:pPr>
        <w:pStyle w:val="Style1"/>
        <w:rPr>
          <w:rtl/>
        </w:rPr>
      </w:pPr>
      <w:r>
        <w:rPr>
          <w:rFonts w:hint="cs"/>
          <w:rtl/>
        </w:rPr>
        <w:t>3)[</w:t>
      </w:r>
      <w:r>
        <w:rPr>
          <w:rtl/>
        </w:rPr>
        <w:t>רמב</w:t>
      </w:r>
      <w:r w:rsidR="00213DA1">
        <w:rPr>
          <w:rtl/>
        </w:rPr>
        <w:t>”ם \נשים\</w:t>
      </w:r>
      <w:r>
        <w:rPr>
          <w:rtl/>
        </w:rPr>
        <w:t xml:space="preserve"> הלכות גירושין פרק יב הלכה ח</w:t>
      </w:r>
      <w:r>
        <w:rPr>
          <w:rFonts w:hint="cs"/>
          <w:rtl/>
        </w:rPr>
        <w:t xml:space="preserve">] </w:t>
      </w:r>
      <w:r>
        <w:rPr>
          <w:rtl/>
        </w:rPr>
        <w:t>אמרו שנים ראינוה שנתגרשה ושנים אומרים לא ראינוה, אם היו כולם שרוים בחצר אחת הרי זו לא תנשא ואם נשאת לא תצא והולד כשר שבני אדם עשויין לגרש בצנעה.</w:t>
      </w:r>
    </w:p>
    <w:p w14:paraId="7AC3E2B4" w14:textId="7BC74619" w:rsidR="0026558F" w:rsidRPr="0026558F" w:rsidRDefault="00C40CAD" w:rsidP="0026558F">
      <w:pPr>
        <w:pStyle w:val="Style1"/>
      </w:pPr>
      <w:r>
        <w:rPr>
          <w:rFonts w:hint="cs"/>
          <w:rtl/>
        </w:rPr>
        <w:t>3)[</w:t>
      </w:r>
      <w:r>
        <w:rPr>
          <w:rtl/>
        </w:rPr>
        <w:t>שולחן ערוך אבן העזר הלכות גיטין סימן קנב סעיף ד</w:t>
      </w:r>
      <w:r>
        <w:rPr>
          <w:rFonts w:hint="cs"/>
          <w:rtl/>
        </w:rPr>
        <w:t>]</w:t>
      </w:r>
      <w:r w:rsidR="0026558F">
        <w:rPr>
          <w:rFonts w:hint="cs"/>
          <w:rtl/>
        </w:rPr>
        <w:t xml:space="preserve"> </w:t>
      </w:r>
      <w:r w:rsidR="0026558F" w:rsidRPr="0026558F">
        <w:rPr>
          <w:rtl/>
        </w:rPr>
        <w:t>אמרו שנים: ראינוה שנתגרשה, ושנים אומרים: לא ראינוה, אפילו אם היו כולם שרויים בחצר אחת, הרי זו לא תינשא. ואם נישאת, לא תצא והולד כשר, שבני אדם עשויים לגרש בצינעא</w:t>
      </w:r>
      <w:r w:rsidR="0026558F" w:rsidRPr="0026558F">
        <w:t>.</w:t>
      </w:r>
    </w:p>
    <w:p w14:paraId="47DD12C5" w14:textId="78257037" w:rsidR="0026558F" w:rsidRDefault="0026558F" w:rsidP="0026558F">
      <w:pPr>
        <w:pStyle w:val="Style1"/>
        <w:rPr>
          <w:rtl/>
        </w:rPr>
      </w:pPr>
      <w:r w:rsidRPr="0026558F">
        <w:rPr>
          <w:rFonts w:hint="cs"/>
          <w:rtl/>
        </w:rPr>
        <w:t>הגה: ויש אומרים דאם אמרו שהיו כולם במעמד אחד, ושנים אומרים לא ראינו, הוי הכחשה, דכולי האי לא עבדי בצינעא (תא"ו נכ"ג ח"ג)</w:t>
      </w:r>
      <w:r w:rsidRPr="0026558F">
        <w:t>:</w:t>
      </w:r>
    </w:p>
    <w:p w14:paraId="4F4EEB8F" w14:textId="3AE63A21" w:rsidR="006A1ABA" w:rsidRDefault="006A1ABA" w:rsidP="006A1ABA">
      <w:pPr>
        <w:pStyle w:val="Style1"/>
        <w:rPr>
          <w:rtl/>
        </w:rPr>
      </w:pPr>
      <w:r>
        <w:rPr>
          <w:rFonts w:hint="cs"/>
          <w:rtl/>
        </w:rPr>
        <w:t>4)[</w:t>
      </w:r>
      <w:r>
        <w:rPr>
          <w:rtl/>
        </w:rPr>
        <w:t>רמב</w:t>
      </w:r>
      <w:r w:rsidR="00213DA1">
        <w:rPr>
          <w:rtl/>
        </w:rPr>
        <w:t>”ם \נשים\</w:t>
      </w:r>
      <w:r>
        <w:rPr>
          <w:rtl/>
        </w:rPr>
        <w:t xml:space="preserve"> הלכות גירושין פרק יב הלכה א</w:t>
      </w:r>
      <w:r>
        <w:rPr>
          <w:rFonts w:hint="cs"/>
          <w:rtl/>
        </w:rPr>
        <w:t xml:space="preserve">] </w:t>
      </w:r>
      <w:r>
        <w:rPr>
          <w:rtl/>
        </w:rPr>
        <w:t>האשה שבאה ואמרה אשת איש הייתי וגרושה אני נאמנת, שהפה שאסר הוא הפה שהתיר, הוחזקה אשת איש ובאה ואמרה גירשני בעלי אינה נאמנת להתיר עצמה אבל פסלה עצמה לכהונה לעולם, ואם מת בעלה חוששין לדבריה וחולצת ולא מתיבמת.</w:t>
      </w:r>
    </w:p>
    <w:p w14:paraId="0AADD4BA" w14:textId="52047DD6" w:rsidR="002454AB" w:rsidRPr="002454AB" w:rsidRDefault="009713A4" w:rsidP="002454AB">
      <w:pPr>
        <w:pStyle w:val="Style1"/>
      </w:pPr>
      <w:r>
        <w:rPr>
          <w:rFonts w:hint="cs"/>
          <w:rtl/>
        </w:rPr>
        <w:t>4)[</w:t>
      </w:r>
      <w:r>
        <w:rPr>
          <w:rtl/>
        </w:rPr>
        <w:t>שולחן ערוך אבן העזר הלכות גיטין סימן קנב סעיף ז</w:t>
      </w:r>
      <w:r>
        <w:rPr>
          <w:rFonts w:hint="cs"/>
          <w:rtl/>
        </w:rPr>
        <w:t>]</w:t>
      </w:r>
      <w:r w:rsidR="002454AB">
        <w:rPr>
          <w:rFonts w:hint="cs"/>
          <w:rtl/>
        </w:rPr>
        <w:t xml:space="preserve"> </w:t>
      </w:r>
      <w:r w:rsidR="002454AB" w:rsidRPr="002454AB">
        <w:rPr>
          <w:rtl/>
        </w:rPr>
        <w:t>אם יש עדים שהיתה אשת איש, אינה נאמנת לומר גרושה אני, ואם נשאת, תצא. ואפילו אם נשאת קודם שבאו העדים שהעידו שהיתה אשת איש. אבל חוששין לדבריה ופסולה לכהונה לעולם; ואם מת, חולצת ולא מתיבמת</w:t>
      </w:r>
      <w:r w:rsidR="002454AB" w:rsidRPr="002454AB">
        <w:t>.</w:t>
      </w:r>
    </w:p>
    <w:p w14:paraId="49C68EF4" w14:textId="613BAD8E" w:rsidR="002454AB" w:rsidRDefault="002454AB" w:rsidP="002454AB">
      <w:pPr>
        <w:pStyle w:val="Style1"/>
        <w:rPr>
          <w:rtl/>
        </w:rPr>
      </w:pPr>
      <w:r w:rsidRPr="002454AB">
        <w:rPr>
          <w:rFonts w:hint="cs"/>
          <w:rtl/>
        </w:rPr>
        <w:t>הגה: באו עדים ואמרו "שמענו שהיא מגורשת", אין זה עדות להוציא מחזקתה, עד שיעידו שהיא גרושה</w:t>
      </w:r>
      <w:r w:rsidRPr="002454AB">
        <w:rPr>
          <w:rFonts w:hint="cs"/>
        </w:rPr>
        <w:t xml:space="preserve"> (</w:t>
      </w:r>
      <w:hyperlink r:id="rId57" w:tooltip="תשובות ריב&quot;ש/תקד" w:history="1">
        <w:r w:rsidRPr="002454AB">
          <w:rPr>
            <w:rStyle w:val="Hyperlink"/>
            <w:rFonts w:hint="cs"/>
            <w:color w:val="7030A0"/>
            <w:u w:val="none"/>
            <w:rtl/>
          </w:rPr>
          <w:t>ריב"ש סימן תק"ד</w:t>
        </w:r>
      </w:hyperlink>
      <w:r w:rsidRPr="002454AB">
        <w:rPr>
          <w:rFonts w:hint="cs"/>
        </w:rPr>
        <w:t xml:space="preserve">). </w:t>
      </w:r>
      <w:r w:rsidRPr="002454AB">
        <w:rPr>
          <w:rFonts w:hint="cs"/>
          <w:rtl/>
        </w:rPr>
        <w:t>אבל אם אין עדים שהיא אשת איש, רק אומרים "שמענו שנתקדשה ונתגרשה", דינו כקול בעלמא, וכדרך שנתבאר לעיל </w:t>
      </w:r>
      <w:hyperlink r:id="rId58" w:tooltip="שולחן ערוך אבן העזר מו" w:history="1">
        <w:r w:rsidRPr="002454AB">
          <w:rPr>
            <w:rStyle w:val="Hyperlink"/>
            <w:rFonts w:hint="cs"/>
            <w:color w:val="7030A0"/>
            <w:u w:val="none"/>
            <w:rtl/>
          </w:rPr>
          <w:t>סי' מ"ו</w:t>
        </w:r>
      </w:hyperlink>
      <w:r w:rsidRPr="002454AB">
        <w:t>:</w:t>
      </w:r>
    </w:p>
    <w:p w14:paraId="497E0284" w14:textId="10ABB317" w:rsidR="00D04EF9" w:rsidRDefault="00D04EF9" w:rsidP="00D04EF9">
      <w:pPr>
        <w:pStyle w:val="Style1"/>
        <w:rPr>
          <w:rtl/>
        </w:rPr>
      </w:pPr>
      <w:r>
        <w:rPr>
          <w:rFonts w:hint="cs"/>
          <w:rtl/>
        </w:rPr>
        <w:lastRenderedPageBreak/>
        <w:t>5)[</w:t>
      </w:r>
      <w:r>
        <w:rPr>
          <w:rtl/>
        </w:rPr>
        <w:t>רמב</w:t>
      </w:r>
      <w:r w:rsidR="00213DA1">
        <w:rPr>
          <w:rtl/>
        </w:rPr>
        <w:t>”ם \נשים\</w:t>
      </w:r>
      <w:r>
        <w:rPr>
          <w:rtl/>
        </w:rPr>
        <w:t xml:space="preserve"> הלכות גירושין פרק יב הלכה ד</w:t>
      </w:r>
      <w:r>
        <w:rPr>
          <w:rFonts w:hint="cs"/>
          <w:rtl/>
        </w:rPr>
        <w:t xml:space="preserve">] </w:t>
      </w:r>
      <w:r>
        <w:rPr>
          <w:rtl/>
        </w:rPr>
        <w:t>באה היא ובעלה היא אומרת גירשתני ואבד גיטי והוא אומר לא גירשתיך, אף על פי שהוחזקה אשתו הרי זו נאמנת, חזקה אין אשה מעיזה פניה בפני בעלה.</w:t>
      </w:r>
    </w:p>
    <w:p w14:paraId="2EADAABC" w14:textId="6106B94A" w:rsidR="008B55E8" w:rsidRPr="00D8093C" w:rsidRDefault="008B55E8" w:rsidP="008B55E8">
      <w:pPr>
        <w:pStyle w:val="Style1"/>
      </w:pPr>
      <w:r>
        <w:rPr>
          <w:rFonts w:hint="cs"/>
          <w:rtl/>
        </w:rPr>
        <w:t>5)[</w:t>
      </w:r>
      <w:r>
        <w:rPr>
          <w:rtl/>
        </w:rPr>
        <w:t>שולחן ערוך אבן העזר הלכות אישות סימן יז סעיף ב</w:t>
      </w:r>
      <w:r>
        <w:rPr>
          <w:rFonts w:hint="cs"/>
          <w:rtl/>
        </w:rPr>
        <w:t xml:space="preserve">] </w:t>
      </w:r>
      <w:r w:rsidRPr="00D8093C">
        <w:rPr>
          <w:rtl/>
        </w:rPr>
        <w:t>אשת איש שפשטה ידה וקיבלה קדושין בפני בעלה, הרי זו מקודשת לשני. האשה שאמרה לבעלה בפניו גרשתני, נאמנת, חזקה אין אשה מעיזה פניה בפני בעלה</w:t>
      </w:r>
      <w:r w:rsidRPr="00D8093C">
        <w:t>:</w:t>
      </w:r>
    </w:p>
    <w:p w14:paraId="577BC18B" w14:textId="77777777" w:rsidR="008B55E8" w:rsidRPr="00D8093C" w:rsidRDefault="008B55E8" w:rsidP="008B55E8">
      <w:pPr>
        <w:pStyle w:val="Style1"/>
      </w:pPr>
      <w:r w:rsidRPr="00D8093C">
        <w:rPr>
          <w:rFonts w:hint="cs"/>
          <w:rtl/>
        </w:rPr>
        <w:t>הגה</w:t>
      </w:r>
      <w:r w:rsidRPr="00D8093C">
        <w:rPr>
          <w:rFonts w:hint="cs"/>
        </w:rPr>
        <w:t>: </w:t>
      </w:r>
      <w:r w:rsidRPr="00D8093C">
        <w:rPr>
          <w:rFonts w:hint="cs"/>
          <w:rtl/>
        </w:rPr>
        <w:t>יש אומרים דוקא לענין שקידושין תופסין בה נאמנת וצריכה גט, אבל אינה נאמנת להנשא לאחר (הר"ן פ"ב דכתובות בשי"א) או ליטול כתובתה (הגהות מיימוני פ"ב דגירושין) (ויש חולקים וסבירא להו דלכל דבר נאמנת) (רמב"ם) (ויש אומרים עוד דבזמן הזה דנפישי חוצפא ופריצותא אינה נאמנת אלא לחומרא דאיתרע חזקה דאינה מעיזה) (ב"י בשם א"ח)</w:t>
      </w:r>
      <w:r w:rsidRPr="00D8093C">
        <w:t>:</w:t>
      </w:r>
    </w:p>
    <w:p w14:paraId="41BCC3C5" w14:textId="6AB30BCA" w:rsidR="008B55E8" w:rsidRDefault="008B55E8" w:rsidP="008B55E8">
      <w:pPr>
        <w:pStyle w:val="Style1"/>
        <w:rPr>
          <w:rtl/>
        </w:rPr>
      </w:pPr>
      <w:r w:rsidRPr="00D8093C">
        <w:rPr>
          <w:rtl/>
        </w:rPr>
        <w:t>אבל אם קידשה אחר שלא בפני בעלה, אין קדושין תופסין בה עד שתביא ראייה שנתגרשה קודם שתקבל הקידושין, שכל שלא בפניו מעיזה. וכתב הרא"ש דכל שהוא בעיר שנתקדשה לאחר מיקרי בפניו </w:t>
      </w:r>
      <w:r w:rsidRPr="00D8093C">
        <w:rPr>
          <w:rFonts w:hint="cs"/>
          <w:rtl/>
        </w:rPr>
        <w:t>(ויש חולקין וסבירא להו דבעינן בפני בעלה ממש) (מהרי"ק שורש ע"ב ו</w:t>
      </w:r>
      <w:hyperlink r:id="rId59" w:tooltip="תשובות ריב&quot;ש/קנז" w:history="1">
        <w:r w:rsidRPr="00D8093C">
          <w:rPr>
            <w:rStyle w:val="Hyperlink"/>
            <w:rFonts w:hint="cs"/>
            <w:color w:val="7030A0"/>
            <w:u w:val="none"/>
            <w:rtl/>
          </w:rPr>
          <w:t>ריב"ש סימן קנ"ז</w:t>
        </w:r>
      </w:hyperlink>
      <w:r w:rsidRPr="00D8093C">
        <w:rPr>
          <w:rFonts w:hint="cs"/>
        </w:rPr>
        <w:t>)</w:t>
      </w:r>
      <w:r w:rsidRPr="00D8093C">
        <w:t xml:space="preserve">. </w:t>
      </w:r>
      <w:r w:rsidRPr="00D8093C">
        <w:rPr>
          <w:rtl/>
        </w:rPr>
        <w:t>והא דאמרינן דאין אשה מעיזה פניה בפני בעלה לומר גרשתני, הני מילי היכא דליכא מסייע לה, אבל היכא דאיכא דמסייע לה מעיזה ומעיזה. ואם נשאת לאחר שלא בפני בעלה, אף על פי שכשבא בעלה אומרת לו בפניו גרשתני, אינה נאמנת, דכיון שכבר נשאת מעיזה ומעיזה שלא תעשה עצמה זונה. ויש מי שאומר שאפילו לא נשאת עדיין לאחר אלא נתקדשה לו שלא בפני בעלה, ואחר כך בא בעלה ואומרת לו בפניו גרשתני, אינה נאמנת. ויש אומרים שאם היה קטטה ביניהם או שתובעת כתובתה אינה נאמנת לומר גרשתני אפילו בפניו</w:t>
      </w:r>
      <w:r w:rsidRPr="00D8093C">
        <w:t>. </w:t>
      </w:r>
      <w:r w:rsidRPr="00D8093C">
        <w:rPr>
          <w:rFonts w:hint="cs"/>
          <w:rtl/>
        </w:rPr>
        <w:t>יש אומרים במקום שנאמנת להינשא גובאת גם כן כתובתה (מהרי"ק שורש ע"ב ו</w:t>
      </w:r>
      <w:hyperlink r:id="rId60" w:tooltip="תשובות ריב&quot;ש/קנז" w:history="1">
        <w:r w:rsidRPr="00D8093C">
          <w:rPr>
            <w:rStyle w:val="Hyperlink"/>
            <w:rFonts w:hint="cs"/>
            <w:color w:val="7030A0"/>
            <w:u w:val="none"/>
            <w:rtl/>
          </w:rPr>
          <w:t>ריב"ש סי' קנ"ז</w:t>
        </w:r>
      </w:hyperlink>
      <w:r w:rsidRPr="00D8093C">
        <w:rPr>
          <w:rFonts w:hint="cs"/>
        </w:rPr>
        <w:t xml:space="preserve">) </w:t>
      </w:r>
      <w:r w:rsidRPr="00D8093C">
        <w:rPr>
          <w:rFonts w:hint="cs"/>
          <w:rtl/>
        </w:rPr>
        <w:t>ויש אומרים דאינה נאמנת לענין ממון כלל ונתבאר לעיל</w:t>
      </w:r>
      <w:r w:rsidRPr="00D8093C">
        <w:t>:</w:t>
      </w:r>
    </w:p>
    <w:p w14:paraId="71D83B97" w14:textId="7FE37B68" w:rsidR="00A433D3" w:rsidRDefault="00A433D3" w:rsidP="00A433D3">
      <w:pPr>
        <w:pStyle w:val="Style1"/>
        <w:rPr>
          <w:rtl/>
        </w:rPr>
      </w:pPr>
      <w:r>
        <w:rPr>
          <w:rFonts w:hint="cs"/>
          <w:rtl/>
        </w:rPr>
        <w:t>6)[</w:t>
      </w:r>
      <w:r>
        <w:rPr>
          <w:rtl/>
        </w:rPr>
        <w:t>רמב</w:t>
      </w:r>
      <w:r w:rsidR="00213DA1">
        <w:rPr>
          <w:rtl/>
        </w:rPr>
        <w:t>”ם \קדושה\</w:t>
      </w:r>
      <w:r>
        <w:rPr>
          <w:rtl/>
        </w:rPr>
        <w:t xml:space="preserve"> הלכות איסורי ביאה פרק יח הלכה כב</w:t>
      </w:r>
      <w:r>
        <w:rPr>
          <w:rFonts w:hint="cs"/>
          <w:rtl/>
        </w:rPr>
        <w:t xml:space="preserve">] </w:t>
      </w:r>
      <w:r>
        <w:rPr>
          <w:rtl/>
        </w:rPr>
        <w:t>מי שאמרה נשביתי וטהורה אני והתירוה בית דין להנשא ואח"כ באו שני עדים שנשבית הרי זו תנשא לכתחלה ולא תצא מהיתרה, ואפילו נכנס אחריה שבאי והרי היא שבויה לפנינו ביד אדוניה הרי זו לא תצא מהיתרה שהתירוה ומשמרין אותה מעתה עד שתפדה.</w:t>
      </w:r>
    </w:p>
    <w:p w14:paraId="5186A9DF" w14:textId="35451480" w:rsidR="0066241C" w:rsidRDefault="0066241C" w:rsidP="0066241C">
      <w:pPr>
        <w:pStyle w:val="Style1"/>
        <w:rPr>
          <w:rtl/>
        </w:rPr>
      </w:pPr>
      <w:r>
        <w:rPr>
          <w:rFonts w:hint="cs"/>
          <w:rtl/>
        </w:rPr>
        <w:t>6)[</w:t>
      </w:r>
      <w:r>
        <w:rPr>
          <w:rtl/>
        </w:rPr>
        <w:t>שולחן ערוך אבן העזר הלכות אישות סימן ז סעיף ו</w:t>
      </w:r>
      <w:r>
        <w:rPr>
          <w:rFonts w:hint="cs"/>
          <w:rtl/>
        </w:rPr>
        <w:t>]</w:t>
      </w:r>
      <w:r w:rsidR="00234F15">
        <w:rPr>
          <w:rFonts w:hint="cs"/>
          <w:rtl/>
        </w:rPr>
        <w:t xml:space="preserve"> </w:t>
      </w:r>
      <w:r w:rsidR="00234F15" w:rsidRPr="00234F15">
        <w:rPr>
          <w:rtl/>
        </w:rPr>
        <w:t>מי שאמרה נשביתי וטהורה אני והתירוה בית דין לינשא </w:t>
      </w:r>
      <w:r w:rsidR="00234F15" w:rsidRPr="00234F15">
        <w:rPr>
          <w:rFonts w:hint="cs"/>
        </w:rPr>
        <w:t>(</w:t>
      </w:r>
      <w:r w:rsidR="00234F15" w:rsidRPr="00234F15">
        <w:rPr>
          <w:rFonts w:hint="cs"/>
          <w:rtl/>
        </w:rPr>
        <w:t>או שנשאת לפני בית דין ולא מיחו בה</w:t>
      </w:r>
      <w:r w:rsidR="00234F15" w:rsidRPr="00234F15">
        <w:rPr>
          <w:rFonts w:hint="cs"/>
        </w:rPr>
        <w:t>)</w:t>
      </w:r>
      <w:r w:rsidR="00234F15" w:rsidRPr="00234F15">
        <w:t xml:space="preserve">, </w:t>
      </w:r>
      <w:r w:rsidR="00234F15" w:rsidRPr="00234F15">
        <w:rPr>
          <w:rtl/>
        </w:rPr>
        <w:t>ואחר כך באו שני עדים שנשבית, הרי זו תנשא לכתחלה ולא תצא מהתירה. ואפילו נכנס אחריה שבאי והרי היא שבויה לפנינו ביד אדונים, הרי זו לא תצא מהתירה שהתירוה, ומשמרין אותה מעתה עד שתיפדה. ואם באו לה ב' עדים אחר כך שנטמאת, אפילו נשאת ואפילו היו לה בנים, הרי זו תצא. ואם בא עד אחד אינו כלום</w:t>
      </w:r>
      <w:r w:rsidR="00234F15" w:rsidRPr="00234F15">
        <w:t>:</w:t>
      </w:r>
    </w:p>
    <w:p w14:paraId="36304512" w14:textId="5145DE81" w:rsidR="000521F4" w:rsidRDefault="000521F4" w:rsidP="000521F4">
      <w:pPr>
        <w:pStyle w:val="Style1"/>
        <w:rPr>
          <w:rtl/>
        </w:rPr>
      </w:pPr>
      <w:r>
        <w:rPr>
          <w:rFonts w:hint="cs"/>
          <w:rtl/>
        </w:rPr>
        <w:t>7)[</w:t>
      </w:r>
      <w:r>
        <w:rPr>
          <w:rtl/>
        </w:rPr>
        <w:t>רמב</w:t>
      </w:r>
      <w:r w:rsidR="00213DA1">
        <w:rPr>
          <w:rtl/>
        </w:rPr>
        <w:t>”ם \קדושה\</w:t>
      </w:r>
      <w:r>
        <w:rPr>
          <w:rtl/>
        </w:rPr>
        <w:t xml:space="preserve"> הלכות איסורי ביאה פרק יח הלכה כג</w:t>
      </w:r>
      <w:r>
        <w:rPr>
          <w:rFonts w:hint="cs"/>
          <w:rtl/>
        </w:rPr>
        <w:t xml:space="preserve">] </w:t>
      </w:r>
      <w:r>
        <w:rPr>
          <w:rtl/>
        </w:rPr>
        <w:t>באו לה שני עדים אח"כ שנטמאת אפילו נשאת ואפילו היו לה בנים הרי זו תצא, ואם בא עד אחד אינו כלום, אמרה נשביתי וטהורה אני ויש לי עדים שאני טהורה אין אומרין נמתין עד שיבואו העדים אלא מתירין אותה מיד, ולא עוד אלא אפילו יצא עליה קול שיש עליה עדי טומאה מתירין אותה עד שיבואו שבשבויה הקלו.</w:t>
      </w:r>
    </w:p>
    <w:p w14:paraId="028A8435" w14:textId="475E6E1C" w:rsidR="009551D6" w:rsidRPr="006F2E60" w:rsidRDefault="009551D6" w:rsidP="009551D6">
      <w:pPr>
        <w:pStyle w:val="Style1"/>
      </w:pPr>
      <w:r>
        <w:rPr>
          <w:rFonts w:hint="cs"/>
          <w:rtl/>
        </w:rPr>
        <w:t>7)[</w:t>
      </w:r>
      <w:r>
        <w:rPr>
          <w:rtl/>
        </w:rPr>
        <w:t>שולחן ערוך אבן העזר הלכות אישות סימן ז סעיף ז</w:t>
      </w:r>
      <w:r>
        <w:rPr>
          <w:rFonts w:hint="cs"/>
          <w:rtl/>
        </w:rPr>
        <w:t>]</w:t>
      </w:r>
      <w:r w:rsidR="006F2E60">
        <w:rPr>
          <w:rFonts w:hint="cs"/>
          <w:rtl/>
        </w:rPr>
        <w:t xml:space="preserve"> </w:t>
      </w:r>
      <w:r w:rsidR="006F2E60" w:rsidRPr="006F2E60">
        <w:rPr>
          <w:rtl/>
        </w:rPr>
        <w:t>אמרה: "נשביתי וטהורה אני, ויש לי עדים שאני טהורה", אין אומרים: "נמתין עד שיבואו העדים", אלא מתירין אותה מיד. ולא עוד, אלא אפילו יצא עליה קול שיש עליה עידי טומאה, מתירין אותה עד שיבואו, שבשבויה הקילו</w:t>
      </w:r>
      <w:r w:rsidR="006F2E60" w:rsidRPr="006F2E60">
        <w:t>:</w:t>
      </w:r>
    </w:p>
    <w:p w14:paraId="519CACBF" w14:textId="3D61B033" w:rsidR="009551D6" w:rsidRPr="00234F15" w:rsidRDefault="009551D6" w:rsidP="009551D6">
      <w:pPr>
        <w:pStyle w:val="Style1"/>
      </w:pPr>
    </w:p>
    <w:p w14:paraId="28476B3E" w14:textId="5FE9C6F7" w:rsidR="0066241C" w:rsidRDefault="0066241C" w:rsidP="0066241C">
      <w:pPr>
        <w:pStyle w:val="Style1"/>
        <w:rPr>
          <w:rtl/>
        </w:rPr>
      </w:pPr>
    </w:p>
    <w:p w14:paraId="65EF3402" w14:textId="56348A9F" w:rsidR="008B55E8" w:rsidRPr="002454AB" w:rsidRDefault="008B55E8" w:rsidP="008B55E8">
      <w:pPr>
        <w:pStyle w:val="Style1"/>
      </w:pPr>
    </w:p>
    <w:p w14:paraId="37194574" w14:textId="77777777" w:rsidR="002454AB" w:rsidRPr="002454AB" w:rsidRDefault="002454AB" w:rsidP="002454AB">
      <w:pPr>
        <w:pStyle w:val="Style1"/>
      </w:pPr>
    </w:p>
    <w:p w14:paraId="0B4DFDE8" w14:textId="0C32F29A" w:rsidR="009713A4" w:rsidRPr="002454AB" w:rsidRDefault="009713A4" w:rsidP="002454AB">
      <w:pPr>
        <w:pStyle w:val="Style1"/>
      </w:pPr>
    </w:p>
    <w:p w14:paraId="040923B9" w14:textId="6D570D5F" w:rsidR="00464404" w:rsidRPr="002454AB" w:rsidRDefault="00464404" w:rsidP="002454AB">
      <w:pPr>
        <w:pStyle w:val="Style1"/>
      </w:pPr>
    </w:p>
    <w:p w14:paraId="2189A98A" w14:textId="77777777" w:rsidR="00DA1858" w:rsidRPr="002152B6" w:rsidRDefault="00DA1858" w:rsidP="002152B6">
      <w:pPr>
        <w:pStyle w:val="Style1"/>
        <w:rPr>
          <w:rStyle w:val="Style1Char"/>
        </w:rPr>
      </w:pPr>
    </w:p>
    <w:p w14:paraId="3939EA5A" w14:textId="77777777" w:rsidR="00DA1858" w:rsidRPr="002D2762" w:rsidRDefault="00DA1858" w:rsidP="00DA1858">
      <w:pPr>
        <w:rPr>
          <w:rStyle w:val="Style1Char"/>
          <w:color w:val="00B050"/>
          <w:sz w:val="22"/>
          <w:szCs w:val="22"/>
          <w:rtl/>
        </w:rPr>
      </w:pPr>
      <w:r w:rsidRPr="002D2762">
        <w:rPr>
          <w:rStyle w:val="Style1Char"/>
          <w:color w:val="00B050"/>
          <w:sz w:val="22"/>
          <w:szCs w:val="22"/>
          <w:rtl/>
        </w:rPr>
        <w:br w:type="page"/>
      </w:r>
    </w:p>
    <w:p w14:paraId="7DE042A7" w14:textId="737B5015" w:rsidR="00DA1858" w:rsidRPr="001D54C7" w:rsidRDefault="00DA1858" w:rsidP="00DA1858">
      <w:pPr>
        <w:bidi/>
        <w:rPr>
          <w:rStyle w:val="Style1Char"/>
          <w:color w:val="auto"/>
          <w:sz w:val="22"/>
          <w:szCs w:val="22"/>
        </w:rPr>
      </w:pPr>
      <w:r w:rsidRPr="001D54C7">
        <w:rPr>
          <w:rStyle w:val="Style1Char"/>
          <w:color w:val="auto"/>
          <w:sz w:val="22"/>
          <w:szCs w:val="22"/>
          <w:highlight w:val="yellow"/>
          <w:rtl/>
        </w:rPr>
        <w:lastRenderedPageBreak/>
        <w:t>[דף כג עמוד ב]</w:t>
      </w:r>
      <w:r w:rsidRPr="001D54C7">
        <w:rPr>
          <w:rStyle w:val="Style1Char"/>
          <w:color w:val="auto"/>
          <w:sz w:val="22"/>
          <w:szCs w:val="22"/>
          <w:rtl/>
        </w:rPr>
        <w:t xml:space="preserve"> מתני'. שתי נשים שנשבו, זאת אומרת נשביתי וטהורה אני וזאת אומרת נשביתי וטהורה אני - אינן נאמנות, </w:t>
      </w:r>
      <w:r w:rsidR="00364DD9">
        <w:rPr>
          <w:rStyle w:val="Style1Char"/>
          <w:rFonts w:hint="cs"/>
          <w:rtl/>
        </w:rPr>
        <w:t>(1)</w:t>
      </w:r>
      <w:r w:rsidRPr="001D54C7">
        <w:rPr>
          <w:rStyle w:val="Style1Char"/>
          <w:color w:val="auto"/>
          <w:sz w:val="22"/>
          <w:szCs w:val="22"/>
          <w:rtl/>
        </w:rPr>
        <w:t xml:space="preserve">ובזמן שהן מעידות זו את זו - הרי אלו נאמנות. </w:t>
      </w:r>
    </w:p>
    <w:p w14:paraId="1F69F735" w14:textId="77777777" w:rsidR="00DA1858" w:rsidRPr="00887069" w:rsidRDefault="00DA1858" w:rsidP="00DA1858">
      <w:pPr>
        <w:bidi/>
        <w:rPr>
          <w:rStyle w:val="Style1Char"/>
          <w:color w:val="00B050"/>
        </w:rPr>
      </w:pPr>
      <w:r w:rsidRPr="00887069">
        <w:rPr>
          <w:rStyle w:val="Style1Char"/>
          <w:color w:val="00B050"/>
          <w:rtl/>
        </w:rPr>
        <w:t xml:space="preserve">גמ'. ת"ר: אני טמאה וחברתי טהורה - נאמנת, אני טהורה וחברתי טמאה - אינה נאמנת, אני וחברתי טמאה - נאמנת על עצמה ואינה נאמנת על חברתה, אני וחברתי טהורה - נאמנת על חברתה ואינה נאמנת על עצמה. אמר מר: אני טהורה וחברתי טמאה - אינה נאמנת. היכי דמי? אי דליכא עדים, על עצמה אמאי לא מהימנא? נשביתי וטהורה אני קאמרה! אלא פשיטא דאיכא עדים, אימא מציעתא: אני וחברתי טמאה - נאמנת על עצמה ואינה נאמנת על חברתה; ואי דאיכא עדים, אמאי לא מהימנא? אלא פשיטא דליכא עדים, אימא סיפא: אני וחברתי טהורה - נאמנת על חברתה ואינה נאמנת על עצמה; ואי דליכא עדים, אעצמה אמאי לא מהימנא? אלא פשיטא דאיכא עדים, רישא וסיפא דאיכא עדים, מציעתא דליכא עדים? אמר אביי: אין, רישא וסיפא דאיכא עדים, מציעתא דליכא עדים. רב פפא אמר: כולה דאיכא עדים, ואיכא עד אחד דקא אפיך, אמרה אני טמאה וחברתי טהורה, ואמר לה עד אחד את טהורה וחברתך טמאה - איהי שויתא לנפשה חתיכה דאיסורא, חברתה משתריא אפומא דידה; אני טהורה וחברתי טמאה, ואמר לה עד אחד את טמאה וחברתך טהורה - איהי כיון דאיכא עדים לאו כל כמינה, חברתה משתריא אפומא דעד; אני וחברתי טמאה, ואמר לה עד אחד את וחברתך טהורה - איהי שויתא לנפשה חתיכה דאיסורא, חברתא משתריא אפומא דעד. הא תו למה לי? היינו רישא! מהו דתימא הני תרוייהו טהורות נינהו, והאי דקאמרה הכי? תמות נפשי עם פלשתים היא דקא עבדה, קמ"ל. אני וחברתי טהורה, ואמר לה עד אחד את וחברתך טמאה - איהי כיון דאיכא עדים לאו כל כמינה, חברתה משתריא אפומא דידה. הא תו למה לי? היינו רישא דרישא! מהו דתימא כי מהימנא - במקום דפסלה נפשה, אבל במקום דמכשרא נפשה - אימא לא מהימנא, קא משמע לן. </w:t>
      </w:r>
    </w:p>
    <w:p w14:paraId="3F3D6D84" w14:textId="25018D2A" w:rsidR="00DA1858" w:rsidRPr="00482A12" w:rsidRDefault="00DA1858" w:rsidP="00DA1858">
      <w:pPr>
        <w:bidi/>
        <w:rPr>
          <w:rStyle w:val="Style1Char"/>
          <w:color w:val="auto"/>
          <w:sz w:val="22"/>
          <w:szCs w:val="22"/>
        </w:rPr>
      </w:pPr>
      <w:r w:rsidRPr="00482A12">
        <w:rPr>
          <w:rStyle w:val="Style1Char"/>
          <w:color w:val="auto"/>
          <w:sz w:val="22"/>
          <w:szCs w:val="22"/>
          <w:rtl/>
        </w:rPr>
        <w:t xml:space="preserve">מתני'. </w:t>
      </w:r>
      <w:r w:rsidR="0056780D">
        <w:rPr>
          <w:rStyle w:val="Style1Char"/>
          <w:rFonts w:hint="cs"/>
          <w:rtl/>
        </w:rPr>
        <w:t>(2)</w:t>
      </w:r>
      <w:r w:rsidRPr="00482A12">
        <w:rPr>
          <w:rStyle w:val="Style1Char"/>
          <w:color w:val="auto"/>
          <w:sz w:val="22"/>
          <w:szCs w:val="22"/>
          <w:rtl/>
        </w:rPr>
        <w:t xml:space="preserve">וכן שני אנשים, זה אומר כהן אני וזה אומר כהן אני - אינן נאמנין, </w:t>
      </w:r>
      <w:r w:rsidR="00195FAA">
        <w:rPr>
          <w:rStyle w:val="Style1Char"/>
          <w:rFonts w:hint="cs"/>
          <w:rtl/>
        </w:rPr>
        <w:t>(3)</w:t>
      </w:r>
      <w:r w:rsidRPr="00482A12">
        <w:rPr>
          <w:rStyle w:val="Style1Char"/>
          <w:color w:val="auto"/>
          <w:sz w:val="22"/>
          <w:szCs w:val="22"/>
          <w:rtl/>
        </w:rPr>
        <w:t xml:space="preserve">ובזמן שהן מעידין זה את זה - הרי אלו נאמנין; </w:t>
      </w:r>
      <w:r w:rsidR="00195FAA">
        <w:rPr>
          <w:rStyle w:val="Style1Char"/>
          <w:rFonts w:hint="cs"/>
          <w:rtl/>
        </w:rPr>
        <w:t>(4)</w:t>
      </w:r>
      <w:r w:rsidRPr="00482A12">
        <w:rPr>
          <w:rStyle w:val="Style1Char"/>
          <w:color w:val="auto"/>
          <w:sz w:val="22"/>
          <w:szCs w:val="22"/>
          <w:rtl/>
        </w:rPr>
        <w:t xml:space="preserve">רבי יהודה אומר: אין מעלין לכהונה על פי עד אחד; אמר רבי אלעזר: אימתי? במקום שיש עוררין, אבל במקום שאין עוררין - מעלין לכהונה על פי עד אחד; רשב"ג אומר משום רבי שמעון בן הסגן: מעלין לכהונה על פי עד אחד. </w:t>
      </w:r>
    </w:p>
    <w:p w14:paraId="329F42D0" w14:textId="0F87CD27" w:rsidR="00DA1858" w:rsidRDefault="00DA1858" w:rsidP="00DA1858">
      <w:pPr>
        <w:bidi/>
        <w:rPr>
          <w:rStyle w:val="Style1Char"/>
          <w:color w:val="00B050"/>
          <w:rtl/>
        </w:rPr>
      </w:pPr>
      <w:r w:rsidRPr="00887069">
        <w:rPr>
          <w:rStyle w:val="Style1Char"/>
          <w:color w:val="00B050"/>
          <w:rtl/>
        </w:rPr>
        <w:t xml:space="preserve">גמ'. כל הני למה לי? צריכי, דאי תנא מודה רבי יהושע, משום דאיכא דררא דממונא, אבל עדים דליכא דררא דממונא - אימא לא; ואי תנא עדים, משום דלעלמא, אבל איהו דלנפשיה </w:t>
      </w:r>
      <w:r w:rsidR="006B4E62">
        <w:rPr>
          <w:rStyle w:val="Style1Char"/>
          <w:color w:val="00B050"/>
          <w:rtl/>
        </w:rPr>
        <w:t>–</w:t>
      </w:r>
      <w:r w:rsidRPr="00887069">
        <w:rPr>
          <w:rStyle w:val="Style1Char"/>
          <w:color w:val="00B050"/>
          <w:rtl/>
        </w:rPr>
        <w:t xml:space="preserve"> </w:t>
      </w:r>
    </w:p>
    <w:p w14:paraId="7CA3F5DF" w14:textId="42347D29" w:rsidR="006B4E62" w:rsidRDefault="006B4E62" w:rsidP="006B4E62">
      <w:pPr>
        <w:pStyle w:val="Style1"/>
        <w:rPr>
          <w:rStyle w:val="Style1Char"/>
          <w:rtl/>
        </w:rPr>
      </w:pPr>
      <w:r>
        <w:rPr>
          <w:rStyle w:val="Style1Char"/>
          <w:rFonts w:hint="cs"/>
          <w:rtl/>
        </w:rPr>
        <w:t>1)[</w:t>
      </w:r>
      <w:r w:rsidRPr="006B4E62">
        <w:rPr>
          <w:rStyle w:val="Style1Char"/>
          <w:rtl/>
        </w:rPr>
        <w:t>רמב</w:t>
      </w:r>
      <w:r w:rsidR="00213DA1">
        <w:rPr>
          <w:rStyle w:val="Style1Char"/>
          <w:rtl/>
        </w:rPr>
        <w:t>”ם \קדושה\</w:t>
      </w:r>
      <w:r w:rsidRPr="006B4E62">
        <w:rPr>
          <w:rStyle w:val="Style1Char"/>
          <w:rtl/>
        </w:rPr>
        <w:t xml:space="preserve"> הלכות איסורי ביאה פרק יח הלכה יז</w:t>
      </w:r>
      <w:r>
        <w:rPr>
          <w:rStyle w:val="Style1Char"/>
          <w:rFonts w:hint="cs"/>
          <w:rtl/>
        </w:rPr>
        <w:t xml:space="preserve">] </w:t>
      </w:r>
      <w:r w:rsidRPr="006B4E62">
        <w:rPr>
          <w:rStyle w:val="Style1Char"/>
          <w:rtl/>
        </w:rPr>
        <w:t>השבויה שנפדית והיא בת ג' שנים ויום אחד או יתר אסורה לכהן מפני שהיא ספק זונה שמא נבעלה לעכו"ם, ואם יש לה עד שלא נתייחד העכו"ם עמה הרי זו כשרה לכהונה, ואפי' עבד או שפחה או קרוב נאמן לעדות זו, ושתי שבויות שהעידה כל אחת מהן לחבירתה הרי אלו נאמנות, הואיל ואיסור כל הספיקות כולן מדברי סופרים לפיכך הקלו בשבויה.</w:t>
      </w:r>
    </w:p>
    <w:p w14:paraId="51627FE9" w14:textId="12E8F892" w:rsidR="00305302" w:rsidRPr="00305302" w:rsidRDefault="00D04A88" w:rsidP="00305302">
      <w:pPr>
        <w:pStyle w:val="Style1"/>
      </w:pPr>
      <w:r>
        <w:rPr>
          <w:rStyle w:val="Style1Char"/>
          <w:rFonts w:hint="cs"/>
          <w:rtl/>
        </w:rPr>
        <w:t>1)[</w:t>
      </w:r>
      <w:r w:rsidRPr="00D04A88">
        <w:rPr>
          <w:rStyle w:val="Style1Char"/>
          <w:rtl/>
        </w:rPr>
        <w:t>שולחן ערוך אבן העזר הלכות אישות סימן ז סעיף א</w:t>
      </w:r>
      <w:r>
        <w:rPr>
          <w:rStyle w:val="Style1Char"/>
          <w:rFonts w:hint="cs"/>
          <w:rtl/>
        </w:rPr>
        <w:t>]</w:t>
      </w:r>
      <w:r w:rsidR="00305302">
        <w:rPr>
          <w:rStyle w:val="Style1Char"/>
          <w:rFonts w:hint="cs"/>
          <w:rtl/>
        </w:rPr>
        <w:t xml:space="preserve"> </w:t>
      </w:r>
      <w:r w:rsidR="00305302" w:rsidRPr="00305302">
        <w:rPr>
          <w:rtl/>
        </w:rPr>
        <w:t>שבויה שנשבית והיא בת ג' שנים ויום אחד או יותר, אסורה לכהן, מפני שהיא ספק זונה, שמא נבעלה לכותי. ואם יש לה עֵד שלא נתייחד כותי עמה, הרי זו כשרה לכהונה. ואפילו עבד או שפחה או קרוב נאמן לעדות זו</w:t>
      </w:r>
      <w:r w:rsidR="00305302" w:rsidRPr="00305302">
        <w:t>:</w:t>
      </w:r>
    </w:p>
    <w:p w14:paraId="4AD1DD98" w14:textId="77777777" w:rsidR="00305302" w:rsidRPr="00305302" w:rsidRDefault="00305302" w:rsidP="00305302">
      <w:pPr>
        <w:pStyle w:val="Style1"/>
      </w:pPr>
      <w:r w:rsidRPr="00305302">
        <w:rPr>
          <w:rFonts w:hint="cs"/>
          <w:rtl/>
        </w:rPr>
        <w:t>הגה</w:t>
      </w:r>
      <w:r w:rsidRPr="00305302">
        <w:rPr>
          <w:rFonts w:hint="cs"/>
        </w:rPr>
        <w:t>: </w:t>
      </w:r>
      <w:r w:rsidRPr="00305302">
        <w:rPr>
          <w:rFonts w:hint="cs"/>
          <w:rtl/>
        </w:rPr>
        <w:t>ואפילו נשים שאינן נאמנות בעדות אשה, כגון חמותה וכו', נאמנת בשבויה. (הגהות אלפסי פ"ב דכתובות)</w:t>
      </w:r>
      <w:r w:rsidRPr="00305302">
        <w:t>:</w:t>
      </w:r>
    </w:p>
    <w:p w14:paraId="702EE2CA" w14:textId="0C60C5B3" w:rsidR="00305302" w:rsidRDefault="00305302" w:rsidP="00305302">
      <w:pPr>
        <w:pStyle w:val="Style1"/>
        <w:rPr>
          <w:rtl/>
        </w:rPr>
      </w:pPr>
      <w:r w:rsidRPr="00305302">
        <w:rPr>
          <w:rtl/>
        </w:rPr>
        <w:t>וב' שבויות שהעידה כל אחת לחבירתה, הרי אלו נאמנות, וכן קטן שהיה מסיח לפי תומו נאמן. מעשה באחד שנשבה הוא ואמו, ובנה מסיח לפי תומו ואמר: נשבינו לבין הכותים אני ואמי, יצאתי לשאוב מים – דעתי על אמי, ללקוט עצים ודעתי על אמי, והשיאו אותה חכמים לכהן על פיו. ויש שכתב שהקטן נאמן אפילו במתכוין להעיד</w:t>
      </w:r>
      <w:r w:rsidRPr="00305302">
        <w:t>:</w:t>
      </w:r>
    </w:p>
    <w:p w14:paraId="778D0F8F" w14:textId="3F84E87B" w:rsidR="00A67ABA" w:rsidRDefault="00A67ABA" w:rsidP="00A67ABA">
      <w:pPr>
        <w:pStyle w:val="Style1"/>
        <w:rPr>
          <w:rtl/>
        </w:rPr>
      </w:pPr>
      <w:r>
        <w:rPr>
          <w:rFonts w:hint="cs"/>
          <w:rtl/>
        </w:rPr>
        <w:t>2)[</w:t>
      </w:r>
      <w:r>
        <w:rPr>
          <w:rtl/>
        </w:rPr>
        <w:t>רמב</w:t>
      </w:r>
      <w:r w:rsidR="00213DA1">
        <w:rPr>
          <w:rtl/>
        </w:rPr>
        <w:t>”ם \קדושה\</w:t>
      </w:r>
      <w:r>
        <w:rPr>
          <w:rtl/>
        </w:rPr>
        <w:t xml:space="preserve"> הלכות איסורי ביאה פרק כ הלכה יג</w:t>
      </w:r>
      <w:r>
        <w:rPr>
          <w:rFonts w:hint="cs"/>
          <w:rtl/>
        </w:rPr>
        <w:t xml:space="preserve">] </w:t>
      </w:r>
      <w:r>
        <w:rPr>
          <w:rtl/>
        </w:rPr>
        <w:t>מי שבא בזמן הזה ואמר כהן אני אינו נאמן ואין מעלין אותו לכהונה על פי עצמו ולא יקרא בתורה ראשון ולא ישא את כפיו ולא יאכל בקדשי הגבול עד שיהיה לו עד אחד, אבל אוסר עצמו בגרושה וזונה וחללה ואינו מטמא למתים ואם נשא או נטמא לוקה, והנבעלת לו ספק חללה.</w:t>
      </w:r>
    </w:p>
    <w:p w14:paraId="1629E45B" w14:textId="62F242BB" w:rsidR="00661147" w:rsidRPr="00661147" w:rsidRDefault="00E47B9C" w:rsidP="00661147">
      <w:pPr>
        <w:pStyle w:val="Style1"/>
      </w:pPr>
      <w:r>
        <w:rPr>
          <w:rFonts w:hint="cs"/>
          <w:rtl/>
        </w:rPr>
        <w:t>2)[</w:t>
      </w:r>
      <w:r>
        <w:rPr>
          <w:rtl/>
        </w:rPr>
        <w:t>שולחן ערוך אבן העזר הלכות פריה ורביה סימן ג סעיף א</w:t>
      </w:r>
      <w:r>
        <w:rPr>
          <w:rFonts w:hint="cs"/>
          <w:rtl/>
        </w:rPr>
        <w:t>]</w:t>
      </w:r>
      <w:r w:rsidR="00661147">
        <w:rPr>
          <w:rFonts w:hint="cs"/>
          <w:rtl/>
        </w:rPr>
        <w:t xml:space="preserve"> </w:t>
      </w:r>
      <w:r w:rsidR="00661147" w:rsidRPr="00661147">
        <w:rPr>
          <w:rtl/>
        </w:rPr>
        <w:t>מי שבא בזמן הזה ואמר: כהן אני, אינו נאמן, ואין מעלין אותו לכהונה על פי עצמו, ולא יקרא בתורה ראשון ולא ישא את כפיו</w:t>
      </w:r>
      <w:r w:rsidR="00661147" w:rsidRPr="00661147">
        <w:t>,</w:t>
      </w:r>
    </w:p>
    <w:p w14:paraId="602A2A88" w14:textId="77777777" w:rsidR="00661147" w:rsidRPr="00661147" w:rsidRDefault="00661147" w:rsidP="00661147">
      <w:pPr>
        <w:pStyle w:val="Style1"/>
      </w:pPr>
      <w:r w:rsidRPr="00661147">
        <w:rPr>
          <w:rFonts w:hint="cs"/>
          <w:rtl/>
        </w:rPr>
        <w:t>הגה</w:t>
      </w:r>
      <w:r w:rsidRPr="00661147">
        <w:rPr>
          <w:rFonts w:hint="cs"/>
        </w:rPr>
        <w:t>: </w:t>
      </w:r>
      <w:r w:rsidRPr="00661147">
        <w:rPr>
          <w:rFonts w:hint="cs"/>
          <w:rtl/>
        </w:rPr>
        <w:t>ויש אומרים דנאמן לקרות בתורה ראשון ולישא את כפיו בזמן הזה, שאין לנו תרומה דאורייתא שניחוש שמא יעלו אותו לתרומה (ב"י בשם הרמ"ך). וכן נוהגין האידנא בכל מקום, שאין נוהגין בתרומה בזמן הזה וליכא למיחש למידי</w:t>
      </w:r>
      <w:r w:rsidRPr="00661147">
        <w:rPr>
          <w:rFonts w:hint="cs"/>
        </w:rPr>
        <w:t>.</w:t>
      </w:r>
    </w:p>
    <w:p w14:paraId="4CAE9B71" w14:textId="77777777" w:rsidR="00661147" w:rsidRPr="00661147" w:rsidRDefault="00661147" w:rsidP="00661147">
      <w:pPr>
        <w:pStyle w:val="Style1"/>
      </w:pPr>
      <w:r w:rsidRPr="00661147">
        <w:rPr>
          <w:rtl/>
        </w:rPr>
        <w:t>ולא יאכל בקדשי הגבול, עד שיהיה לו עד אחד. אבל אוסר עצמו בגרושה וזונה וחללה, ואינו מטמא למתים. ואם נשא או נטמא, לוקה. והנבעלת </w:t>
      </w:r>
      <w:r w:rsidRPr="00661147">
        <w:rPr>
          <w:rFonts w:hint="cs"/>
        </w:rPr>
        <w:t>(</w:t>
      </w:r>
      <w:r w:rsidRPr="00661147">
        <w:rPr>
          <w:rFonts w:hint="cs"/>
          <w:rtl/>
        </w:rPr>
        <w:t>לו, אם היא פסולי כהונה</w:t>
      </w:r>
      <w:r w:rsidRPr="00661147">
        <w:rPr>
          <w:rFonts w:hint="cs"/>
        </w:rPr>
        <w:t>)</w:t>
      </w:r>
      <w:r w:rsidRPr="00661147">
        <w:t xml:space="preserve">, </w:t>
      </w:r>
      <w:r w:rsidRPr="00661147">
        <w:rPr>
          <w:rtl/>
        </w:rPr>
        <w:t>ספק חללה</w:t>
      </w:r>
      <w:r w:rsidRPr="00661147">
        <w:t>.</w:t>
      </w:r>
    </w:p>
    <w:p w14:paraId="618E1770" w14:textId="765006C2" w:rsidR="00661147" w:rsidRDefault="00661147" w:rsidP="00661147">
      <w:pPr>
        <w:pStyle w:val="Style1"/>
        <w:rPr>
          <w:rtl/>
        </w:rPr>
      </w:pPr>
      <w:r w:rsidRPr="00661147">
        <w:rPr>
          <w:rtl/>
        </w:rPr>
        <w:t>ואם היה מסיח לפי תומו, נאמן. כיצד? מעשה באחד שהיה מסיח לפי תומו ואמר: "זכור אני כשהייתי תינוק והייתי מורכב על כתפו של אבא, הוציאוני מבית הספר, הפשיטוני את כתנתי והטבילוני לאכול תרומה לערב וחבירי בדילים ממני, והיו קורין אותי יוחנן אוכל חלות", והעלהו רבינו הקדוש לכהונה על פי עצמו</w:t>
      </w:r>
      <w:r w:rsidRPr="00661147">
        <w:t>.</w:t>
      </w:r>
    </w:p>
    <w:p w14:paraId="77203BCE" w14:textId="2D88DC1E" w:rsidR="00F65FB2" w:rsidRDefault="00F65FB2" w:rsidP="00F65FB2">
      <w:pPr>
        <w:pStyle w:val="Style1"/>
        <w:rPr>
          <w:rtl/>
        </w:rPr>
      </w:pPr>
      <w:r>
        <w:rPr>
          <w:rFonts w:hint="cs"/>
          <w:rtl/>
        </w:rPr>
        <w:t>3)[</w:t>
      </w:r>
      <w:r>
        <w:rPr>
          <w:rtl/>
        </w:rPr>
        <w:t>רמב</w:t>
      </w:r>
      <w:r w:rsidR="00213DA1">
        <w:rPr>
          <w:rtl/>
        </w:rPr>
        <w:t>”ם \קדושה\</w:t>
      </w:r>
      <w:r>
        <w:rPr>
          <w:rtl/>
        </w:rPr>
        <w:t xml:space="preserve"> הלכות איסורי ביאה פרק כ הלכה יא</w:t>
      </w:r>
      <w:r>
        <w:rPr>
          <w:rFonts w:hint="cs"/>
          <w:rtl/>
        </w:rPr>
        <w:t xml:space="preserve">] </w:t>
      </w:r>
      <w:r>
        <w:rPr>
          <w:rtl/>
        </w:rPr>
        <w:t>שנים שבאו למדינה זה אומר אני וחבירי כהן וזה אומר אני וחבירי כהן אף על פי שנראין כגומלין זה את זה הרי אלו נאמנין ושניהם בחזקת כהנים, וכן עד שאמר ראיתי זה שנשא כפיו או שאכל בתרומה או שחלק על הגורן או שקרא בתורה ראשון וקרא אחריו לוי מחזיקין אותו בכהונה על פיו, וכן אם העיד שזה קרא שני בתורה אחר כהן מחזיקין אותו בלויה.</w:t>
      </w:r>
    </w:p>
    <w:p w14:paraId="21E7890A" w14:textId="5291E488" w:rsidR="00CE0034" w:rsidRDefault="00CE0034" w:rsidP="00CE0034">
      <w:pPr>
        <w:pStyle w:val="Style1"/>
        <w:rPr>
          <w:rtl/>
        </w:rPr>
      </w:pPr>
      <w:r>
        <w:rPr>
          <w:rFonts w:hint="cs"/>
          <w:rtl/>
        </w:rPr>
        <w:t>3)[</w:t>
      </w:r>
      <w:r>
        <w:rPr>
          <w:rtl/>
        </w:rPr>
        <w:t>שולחן ערוך אבן העזר הלכות פריה ורביה סימן ג סעיף ד</w:t>
      </w:r>
      <w:r>
        <w:rPr>
          <w:rFonts w:hint="cs"/>
          <w:rtl/>
        </w:rPr>
        <w:t xml:space="preserve">] </w:t>
      </w:r>
      <w:r>
        <w:rPr>
          <w:rtl/>
        </w:rPr>
        <w:t>אפילו באו שנים, וכל אחד מעיד על חבירו שהוא כהן, נאמנים, ולא חיישינן לגומלין.</w:t>
      </w:r>
    </w:p>
    <w:p w14:paraId="41F90EF2" w14:textId="6EB24302" w:rsidR="00143152" w:rsidRPr="00661147" w:rsidRDefault="00143152" w:rsidP="00143152">
      <w:pPr>
        <w:pStyle w:val="Style1"/>
      </w:pPr>
      <w:r>
        <w:rPr>
          <w:rFonts w:hint="cs"/>
          <w:rtl/>
        </w:rPr>
        <w:t>4)[</w:t>
      </w:r>
      <w:r>
        <w:rPr>
          <w:rtl/>
        </w:rPr>
        <w:t>רמב</w:t>
      </w:r>
      <w:r w:rsidR="00213DA1">
        <w:rPr>
          <w:rtl/>
        </w:rPr>
        <w:t>”ם \קדושה\</w:t>
      </w:r>
      <w:r>
        <w:rPr>
          <w:rtl/>
        </w:rPr>
        <w:t xml:space="preserve"> הלכות איסורי ביאה פרק כ הלכה ב</w:t>
      </w:r>
      <w:r>
        <w:rPr>
          <w:rFonts w:hint="cs"/>
          <w:rtl/>
        </w:rPr>
        <w:t xml:space="preserve">] </w:t>
      </w:r>
      <w:r>
        <w:rPr>
          <w:rtl/>
        </w:rPr>
        <w:t>אי זהו כהן מיוחס כל שהעידו לו שני עדים שהוא כהן בן פלוני הכהן ופלוני בן פלוני הכהן עד איש שאינו צריך בדיקה והוא הכהן ששימש על גבי המזבח, שאילו לא בדקו בית דין הגדול אחריו לא היו מניחין אותו לעבוד, לפיכך אין בודקין מהמזבח ומעלה ולא מן הסנהדרין ומעלה שאין ממנין בסנהדרין אלא כהנים לויים וישראלים מיוחסין.</w:t>
      </w:r>
    </w:p>
    <w:p w14:paraId="311273AF" w14:textId="77777777" w:rsidR="00661147" w:rsidRPr="00661147" w:rsidRDefault="00661147" w:rsidP="00661147">
      <w:pPr>
        <w:pStyle w:val="Style1"/>
      </w:pPr>
    </w:p>
    <w:p w14:paraId="3FFFCCC9" w14:textId="3D11C6AB" w:rsidR="00E47B9C" w:rsidRPr="00305302" w:rsidRDefault="00E47B9C" w:rsidP="00E47B9C">
      <w:pPr>
        <w:pStyle w:val="Style1"/>
      </w:pPr>
    </w:p>
    <w:p w14:paraId="126A9AD5" w14:textId="77777777" w:rsidR="00305302" w:rsidRPr="00E47B9C" w:rsidRDefault="00305302" w:rsidP="00305302">
      <w:pPr>
        <w:pStyle w:val="Style1"/>
        <w:rPr>
          <w:rStyle w:val="Style1Char"/>
        </w:rPr>
      </w:pPr>
    </w:p>
    <w:p w14:paraId="22D2E195" w14:textId="31133FBC" w:rsidR="00DA1858" w:rsidRDefault="00DA1858" w:rsidP="00DA1858">
      <w:pPr>
        <w:rPr>
          <w:rStyle w:val="Style1Char"/>
          <w:color w:val="00B050"/>
          <w:rtl/>
        </w:rPr>
      </w:pPr>
    </w:p>
    <w:p w14:paraId="0F24D791" w14:textId="2AD36ABE" w:rsidR="00DA1858" w:rsidRDefault="00DA1858" w:rsidP="00DA1858">
      <w:pPr>
        <w:bidi/>
        <w:rPr>
          <w:rStyle w:val="Style1Char"/>
          <w:color w:val="00B050"/>
          <w:rtl/>
        </w:rPr>
      </w:pPr>
      <w:r w:rsidRPr="00834C32">
        <w:rPr>
          <w:rStyle w:val="Style1Char"/>
          <w:color w:val="00B050"/>
          <w:sz w:val="22"/>
          <w:szCs w:val="22"/>
          <w:highlight w:val="yellow"/>
          <w:rtl/>
        </w:rPr>
        <w:lastRenderedPageBreak/>
        <w:t>[דף כד עמוד א]</w:t>
      </w:r>
      <w:r w:rsidRPr="00834C32">
        <w:rPr>
          <w:rStyle w:val="Style1Char"/>
          <w:color w:val="00B050"/>
          <w:sz w:val="22"/>
          <w:szCs w:val="22"/>
          <w:rtl/>
        </w:rPr>
        <w:t xml:space="preserve"> </w:t>
      </w:r>
      <w:r w:rsidRPr="00887069">
        <w:rPr>
          <w:rStyle w:val="Style1Char"/>
          <w:color w:val="00B050"/>
          <w:rtl/>
        </w:rPr>
        <w:t xml:space="preserve">אימא לא; ואי אשמעינן הני תרתי, משום דממונא, אבל אשת איש דאיסורא - אימא לא. נשביתי וטהורה אני למה לי? משום דקא בעי למיתני, ואם משנשאת באו עדים - הרי זו לא תצא. הניחא למאן דמתני לה אסיפא, אלא למאן דמתני לה ארישא מאי איכא למימר? משום דקא בעי למיתני שתי נשים שנשבו. ושתי נשים שנשבו למה לי? מהו דתימא ניחוש לגומלין, קמשמע לן. וכן שני אנשים למה לי? משום דקא בעי למיתני פלוגתא דרבי יהודה ורבנן. ת"ר: אני כהן וחברי כהן - נאמן להאכילו בתרומה, ואינו נאמן להשיאו אשה - עד שיהו ג', שנים מעידין על זה ושנים מעידין על זה; רבי יהודה אומר: אף אינו נאמן להאכילו בתרומה - עד שיהו שלשה, שנים מעידין על זה ושנים מעידין על זה. למימרא, דרבי יהודה חייש לגומלין, ורבנן לא חיישי לגומלין, והא איפכא שמעינן להו! דתנן: </w:t>
      </w:r>
      <w:r w:rsidR="00D42CBF">
        <w:rPr>
          <w:rStyle w:val="Style1Char"/>
          <w:rFonts w:hint="cs"/>
          <w:rtl/>
        </w:rPr>
        <w:t>(1)</w:t>
      </w:r>
      <w:r w:rsidRPr="00887069">
        <w:rPr>
          <w:rStyle w:val="Style1Char"/>
          <w:color w:val="00B050"/>
          <w:rtl/>
        </w:rPr>
        <w:t xml:space="preserve">החמרין שנכנסו לעיר, ואמר אחד מהן שלי חדש ושל חברי ישן, שלי אינו מתוקן ושל חברי מתוקן - אינו נאמן, רבי יהודה אומר: נאמן! אמר רב אדא בר אהבה אמר רב: מוחלפת השיטה. אביי אמר: לעולם לא תיפוך, בדמאי הקילו, רוב עמי הארץ מעשרין הן. אמר רבא: דרבי יהודה אדרבי יהודה קשיא, דרבנן אדרבנן לא קשיא? אלא דרבי יהודה אדרבי יהודה לא קשיא, כדשנינן; דרבנן אדרבנן לא קשיא, כדאמר רבי חמא בר עוקבא: בשכלי אומנותו בידו, </w:t>
      </w:r>
    </w:p>
    <w:p w14:paraId="0BB2C402" w14:textId="35BEDF62" w:rsidR="00D42CBF" w:rsidRPr="00D42CBF" w:rsidRDefault="00D42CBF" w:rsidP="00D42CBF">
      <w:pPr>
        <w:pStyle w:val="Style1"/>
        <w:rPr>
          <w:rStyle w:val="Style1Char"/>
        </w:rPr>
      </w:pPr>
      <w:r>
        <w:rPr>
          <w:rStyle w:val="Style1Char"/>
          <w:rFonts w:hint="cs"/>
          <w:rtl/>
        </w:rPr>
        <w:t>1)[</w:t>
      </w:r>
      <w:r w:rsidRPr="00D42CBF">
        <w:rPr>
          <w:rStyle w:val="Style1Char"/>
          <w:rtl/>
        </w:rPr>
        <w:t>רמב</w:t>
      </w:r>
      <w:r w:rsidR="00786216">
        <w:rPr>
          <w:rStyle w:val="Style1Char"/>
          <w:rtl/>
        </w:rPr>
        <w:t>”ם \זרעים\</w:t>
      </w:r>
      <w:r w:rsidRPr="00D42CBF">
        <w:rPr>
          <w:rStyle w:val="Style1Char"/>
          <w:rtl/>
        </w:rPr>
        <w:t xml:space="preserve"> הלכות מעשר פרק יב הלכה י</w:t>
      </w:r>
      <w:r>
        <w:rPr>
          <w:rStyle w:val="Style1Char"/>
          <w:rFonts w:hint="cs"/>
          <w:rtl/>
        </w:rPr>
        <w:t xml:space="preserve">] </w:t>
      </w:r>
      <w:r w:rsidRPr="00D42CBF">
        <w:rPr>
          <w:rStyle w:val="Style1Char"/>
          <w:rtl/>
        </w:rPr>
        <w:t>החמרין שנכנסו לעיר ואמר אחד מהן פירות אלו אינם מתוקנים ופירות חבירי מתוקנין אינו נאמן שמא קנוניא עשו ביניהן.</w:t>
      </w:r>
    </w:p>
    <w:p w14:paraId="136E7F44" w14:textId="77777777" w:rsidR="00DA1858" w:rsidRPr="00DB0C71" w:rsidRDefault="00DA1858" w:rsidP="00DA1858">
      <w:pPr>
        <w:bidi/>
        <w:rPr>
          <w:rStyle w:val="Style1Char"/>
          <w:color w:val="00B050"/>
          <w:rtl/>
        </w:rPr>
      </w:pPr>
    </w:p>
    <w:p w14:paraId="1114FFEA" w14:textId="77777777" w:rsidR="00DA1858" w:rsidRDefault="00DA1858" w:rsidP="00DA1858">
      <w:pPr>
        <w:rPr>
          <w:rStyle w:val="Style1Char"/>
          <w:color w:val="00B050"/>
          <w:rtl/>
        </w:rPr>
      </w:pPr>
      <w:r>
        <w:rPr>
          <w:rStyle w:val="Style1Char"/>
          <w:color w:val="00B050"/>
          <w:rtl/>
        </w:rPr>
        <w:br w:type="page"/>
      </w:r>
    </w:p>
    <w:p w14:paraId="6DAA6DED" w14:textId="5AF6274D" w:rsidR="00DA1858" w:rsidRDefault="00DA1858" w:rsidP="00DA1858">
      <w:pPr>
        <w:bidi/>
        <w:rPr>
          <w:rStyle w:val="Style1Char"/>
          <w:color w:val="00B050"/>
          <w:rtl/>
        </w:rPr>
      </w:pPr>
      <w:r w:rsidRPr="00834C32">
        <w:rPr>
          <w:rStyle w:val="Style1Char"/>
          <w:color w:val="00B050"/>
          <w:sz w:val="22"/>
          <w:szCs w:val="22"/>
          <w:highlight w:val="yellow"/>
          <w:rtl/>
        </w:rPr>
        <w:lastRenderedPageBreak/>
        <w:t>[דף כד עמוד ב]</w:t>
      </w:r>
      <w:r w:rsidRPr="00834C32">
        <w:rPr>
          <w:rStyle w:val="Style1Char"/>
          <w:color w:val="00B050"/>
          <w:sz w:val="22"/>
          <w:szCs w:val="22"/>
          <w:rtl/>
        </w:rPr>
        <w:t xml:space="preserve"> </w:t>
      </w:r>
      <w:r w:rsidRPr="00887069">
        <w:rPr>
          <w:rStyle w:val="Style1Char"/>
          <w:color w:val="00B050"/>
          <w:rtl/>
        </w:rPr>
        <w:t xml:space="preserve">הכא נמי בשכלי אומנותו בידו. והיכא אתמר דרבי חמא בר עוקבא? אהא דתנן: </w:t>
      </w:r>
      <w:r w:rsidR="00EE07D2">
        <w:rPr>
          <w:rStyle w:val="Style1Char"/>
          <w:rFonts w:hint="cs"/>
          <w:rtl/>
        </w:rPr>
        <w:t>(1)</w:t>
      </w:r>
      <w:r w:rsidRPr="00887069">
        <w:rPr>
          <w:rStyle w:val="Style1Char"/>
          <w:color w:val="00B050"/>
          <w:rtl/>
        </w:rPr>
        <w:t xml:space="preserve">הקדר שהניח קדירותיו וירד לשתות (מים מן היאור), הפנימיות - טהורות, והחיצונות - טמאות; והתניא: אלו ואלו טמאות! אמר רבי חמא בר עוקבא: </w:t>
      </w:r>
      <w:r w:rsidR="006C1A50">
        <w:rPr>
          <w:rStyle w:val="Style1Char"/>
          <w:rFonts w:hint="cs"/>
          <w:rtl/>
        </w:rPr>
        <w:t>(1)</w:t>
      </w:r>
      <w:r w:rsidRPr="00887069">
        <w:rPr>
          <w:rStyle w:val="Style1Char"/>
          <w:color w:val="00B050"/>
          <w:rtl/>
        </w:rPr>
        <w:t xml:space="preserve">בשכלי אומנותו בידו, מפני שיד הכל ממשמשת בהן. והתניא: אלו ואלו טהורות! א"ר חמא בר עוקבא: בשאין כלי אומנותו בידו. ואלא הא דתנן: הפנימיות טהורות, והחיצונות טמאות, היכי משכחת לה? </w:t>
      </w:r>
      <w:r w:rsidR="00B81F0C">
        <w:rPr>
          <w:rStyle w:val="Style1Char"/>
          <w:rFonts w:hint="cs"/>
          <w:rtl/>
        </w:rPr>
        <w:t>(1)</w:t>
      </w:r>
      <w:r w:rsidRPr="00887069">
        <w:rPr>
          <w:rStyle w:val="Style1Char"/>
          <w:color w:val="00B050"/>
          <w:rtl/>
        </w:rPr>
        <w:t xml:space="preserve">דסמיכא לרשות הרבים, ומשום חיפופי רשות הרבים. ואיבעית אימא: ר' יהודה ורבנן במעלין מתרומה ליוחסין קמיפלגי. איבעיא להו: מהו להעלות משטרות ליוחסין? היכי דמי? אילימא דכתיב ביה אני פלוני כהן חתמתי עד, מאן קא מסהיד עילויה? לא צריכא, דכתיב ביה אני פלוני כהן לויתי מנה מפלוני וחתימו סהדי, מאי? אמנה שבשטר קא מסהדי, או דלמא אכולה מילתא קא מסהדי? רב הונא ורב חסדא, חד אמר: מעלין, וחד אמר: </w:t>
      </w:r>
      <w:r w:rsidR="009A00D5">
        <w:rPr>
          <w:rStyle w:val="Style1Char"/>
          <w:rFonts w:hint="cs"/>
          <w:rtl/>
        </w:rPr>
        <w:t>(2)</w:t>
      </w:r>
      <w:r w:rsidRPr="00887069">
        <w:rPr>
          <w:rStyle w:val="Style1Char"/>
          <w:color w:val="00B050"/>
          <w:rtl/>
        </w:rPr>
        <w:t>אין מעלין. איבעיא להו: מהו להעלות מנשיאות כפים ליוחסין? תיבעי למ"ד מעלין מתרומה ליוחסין, ותיבעי למ"ד אין מעלין; תיבעי למ"ד מעלין, הני מילי תרומה דעון מיתה היא, אבל נשיאות כפים דאיסור עשה - לא, או דלמא לא שנא? תיבעי למ"ד אין מעלין, הני מילי תרומה דמיתאכלא בצנעא, אבל נשיאות כפים דבפרהסיא, אי לאו כהן הוא כולי האי לא מחציף אינש נפשיה, או דלמא לא שנא? רב חסדא ורבי אבינא, חד אמר: מעלין, וחד אמר: אין מעלין. א"ל רב נחמן בר יצחק לרבא: מהו להעלות מנשיאות כפים ליוחסין? א"ל: פלוגתא דרב חסדא ורבי אבינא. הלכתא מאי? א"ל: אנא מתניתא ידענא; דתניא, ר' יוסי אומר: גדולה חזקה, שנאמר: ומבני הכהנים בני חביה בני הקוץ בני ברזילי אשר לקח מבנות ברזילי הגלעדי אשה ויקרא על שמם, אלה בקשו כתבם המתיחשים ולא נמצאו ויגאלו מן הכהונה, ויאמר התרשתא להם אשר לא יאכלו מקדש הקדשים עד עמוד כהן לאורים ותומים, אמר להם: הרי אתם בחזקתכם, במה הייתם אוכלים בגולה? בקדשי הגבול, אף כאן בקדשי הגבול; ואי סלקא דעתך מעלין מנשיאות כפים ליוחסין, הני כיון דפרסי ידייהו אתי לאסוקינהו! שאני הכא, דריע חזקייהו, דאי לא תימא הכי, למאן דאמר, מעלין מתרומה ליוחסין, כיון דאכלי בתרומה אתי לאסוקינהו! אלא לאו משום דריע חזקייהו.</w:t>
      </w:r>
    </w:p>
    <w:p w14:paraId="67AEDC5A" w14:textId="145E3D44" w:rsidR="000A2AF2" w:rsidRDefault="000A2AF2" w:rsidP="000A2AF2">
      <w:pPr>
        <w:pStyle w:val="Style1"/>
        <w:rPr>
          <w:rStyle w:val="Style1Char"/>
          <w:rtl/>
        </w:rPr>
      </w:pPr>
      <w:r>
        <w:rPr>
          <w:rStyle w:val="Style1Char"/>
          <w:rFonts w:hint="cs"/>
          <w:rtl/>
        </w:rPr>
        <w:t>1)[</w:t>
      </w:r>
      <w:r w:rsidRPr="000A2AF2">
        <w:rPr>
          <w:rStyle w:val="Style1Char"/>
          <w:rtl/>
        </w:rPr>
        <w:t>רמב</w:t>
      </w:r>
      <w:r w:rsidR="00786216">
        <w:rPr>
          <w:rStyle w:val="Style1Char"/>
          <w:rtl/>
        </w:rPr>
        <w:t>”ם \טהרה\</w:t>
      </w:r>
      <w:r w:rsidRPr="000A2AF2">
        <w:rPr>
          <w:rStyle w:val="Style1Char"/>
          <w:rtl/>
        </w:rPr>
        <w:t xml:space="preserve"> הלכות מטמאי משכב ומושב פרק יב הלכה כג</w:t>
      </w:r>
      <w:r>
        <w:rPr>
          <w:rStyle w:val="Style1Char"/>
          <w:rFonts w:hint="cs"/>
          <w:rtl/>
        </w:rPr>
        <w:t xml:space="preserve">] </w:t>
      </w:r>
      <w:r w:rsidRPr="000A2AF2">
        <w:rPr>
          <w:rStyle w:val="Style1Char"/>
          <w:rtl/>
        </w:rPr>
        <w:t>אשת עם הארץ שנכנסה לתוך ביתו של חבר להוציא בנו או בתו או בהמתו של חבר כל שבבית טהור, מפני שנכנסה שלא ברשות, קדר חבר שהכניס קדירותיו למכור וירד לשתות הרי הפנימיות טהורות והחיצונות טמאות, בד"א בשהניחן סמוך לרשות הרבים מפני שהעוברים והשבין נוגעים בחיצונות בשעת הליכה, אבל היו רחוקות מרשות הרבים אם היו כלי אומנותו בידיו הכל טמאות מפני שכליו מוכיחין שהונחו למכור ויד הכל ממשמשות בהן, אין כלי אומנותו בידו הכל טהורות חזקתן שלא נגע בהן אדם, חבר שהניח אוכלין ומשקין על פתח חנותו ונכנס הרי אלו טמאים מפני שהעוברים והשבים ממשמשין בהן. /השגת הראב"ד/ מוכיחין שהונחו למכור. א"א אין זה הטעם יפה שהרי הכל יודעים שהביאן למכור אלא בשכלי אומנותו בידו הכל באין לראות האומניות.</w:t>
      </w:r>
    </w:p>
    <w:p w14:paraId="0C861287" w14:textId="677ED874" w:rsidR="0071375B" w:rsidRDefault="0071375B" w:rsidP="0071375B">
      <w:pPr>
        <w:pStyle w:val="Style1"/>
        <w:rPr>
          <w:rStyle w:val="Style1Char"/>
          <w:rtl/>
        </w:rPr>
      </w:pPr>
      <w:r>
        <w:rPr>
          <w:rStyle w:val="Style1Char"/>
          <w:rFonts w:hint="cs"/>
          <w:rtl/>
        </w:rPr>
        <w:t>2)[</w:t>
      </w:r>
      <w:r w:rsidRPr="0071375B">
        <w:rPr>
          <w:rStyle w:val="Style1Char"/>
          <w:rtl/>
        </w:rPr>
        <w:t>רמב</w:t>
      </w:r>
      <w:r w:rsidR="00213DA1">
        <w:rPr>
          <w:rStyle w:val="Style1Char"/>
          <w:rtl/>
        </w:rPr>
        <w:t>”ם \קדושה\</w:t>
      </w:r>
      <w:r w:rsidRPr="0071375B">
        <w:rPr>
          <w:rStyle w:val="Style1Char"/>
          <w:rtl/>
        </w:rPr>
        <w:t xml:space="preserve"> הלכות איסורי ביאה פרק כ הלכה ט</w:t>
      </w:r>
      <w:r>
        <w:rPr>
          <w:rStyle w:val="Style1Char"/>
          <w:rFonts w:hint="cs"/>
          <w:rtl/>
        </w:rPr>
        <w:t xml:space="preserve">] </w:t>
      </w:r>
      <w:r w:rsidRPr="0071375B">
        <w:rPr>
          <w:rStyle w:val="Style1Char"/>
          <w:rtl/>
        </w:rPr>
        <w:t>אין מעלין משטרות לכהונה, כיצד הרי שהיה כתוב בשטר פלוני כהן לוה מפלוני והלוהו כך וכך והעדים מלמטה אין מחזיקין בהם כהן זה שהוא מיוחס שמא לא העידו אלא על המלוה, בד"א לענין ייחוס אבל לחזקה שיהיה כהן ככהני זמן זה ויאכל תרומה וחלה של דברי סופרים ובשאר קדשי הגבול מעלין מן השטרות וע"פ עד אחד ומנשיאות כפים ומקריאה בתורה ראשון.</w:t>
      </w:r>
    </w:p>
    <w:p w14:paraId="45765C0C" w14:textId="0B923F4C" w:rsidR="00F71633" w:rsidRPr="00F71633" w:rsidRDefault="005A5DF3" w:rsidP="00F71633">
      <w:pPr>
        <w:pStyle w:val="Style1"/>
      </w:pPr>
      <w:r>
        <w:rPr>
          <w:rStyle w:val="Style1Char"/>
          <w:rFonts w:hint="cs"/>
          <w:rtl/>
        </w:rPr>
        <w:t>2)[</w:t>
      </w:r>
      <w:r w:rsidRPr="005A5DF3">
        <w:rPr>
          <w:rStyle w:val="Style1Char"/>
          <w:rtl/>
        </w:rPr>
        <w:t>שולחן ערוך אבן העזר הלכות פריה ורביה סימן ג סעיף ב</w:t>
      </w:r>
      <w:r>
        <w:rPr>
          <w:rStyle w:val="Style1Char"/>
          <w:rFonts w:hint="cs"/>
          <w:rtl/>
        </w:rPr>
        <w:t>]</w:t>
      </w:r>
      <w:r w:rsidR="00F71633">
        <w:rPr>
          <w:rStyle w:val="Style1Char"/>
          <w:rFonts w:hint="cs"/>
          <w:rtl/>
        </w:rPr>
        <w:t xml:space="preserve"> </w:t>
      </w:r>
      <w:r w:rsidR="00F71633" w:rsidRPr="00F71633">
        <w:rPr>
          <w:rtl/>
        </w:rPr>
        <w:t>היה עד אחד מעיד עליו, נאמן להאכילו בתרומה בזמן הזה, ולקרות בתורה ראשון, ולישא את כפיו. ואפילו אביו נאמן עליו. ואפילו משטרות מעלין לכהונה בזמן הזה. כיצד? הרי שהיה כתוב בשטר: "פלוני כהן לוה מפלוני מנה", ועדים חתומים עליו, הרי זה בחזקת כהן ככהני זמן זה. וכן מעלין מנשיאות כפים ומקריאה בתורה ראשון להיות כהן ככהני זמן זה</w:t>
      </w:r>
      <w:r w:rsidR="00F71633" w:rsidRPr="00F71633">
        <w:t>:</w:t>
      </w:r>
    </w:p>
    <w:p w14:paraId="68B615F1" w14:textId="77777777" w:rsidR="00F71633" w:rsidRPr="00F71633" w:rsidRDefault="00F71633" w:rsidP="00F71633">
      <w:pPr>
        <w:pStyle w:val="Style1"/>
      </w:pPr>
      <w:r w:rsidRPr="00F71633">
        <w:rPr>
          <w:rFonts w:hint="cs"/>
          <w:rtl/>
        </w:rPr>
        <w:t>הגה</w:t>
      </w:r>
      <w:r w:rsidRPr="00F71633">
        <w:rPr>
          <w:rFonts w:hint="cs"/>
        </w:rPr>
        <w:t>: </w:t>
      </w:r>
      <w:r w:rsidRPr="00F71633">
        <w:rPr>
          <w:rFonts w:hint="cs"/>
          <w:rtl/>
        </w:rPr>
        <w:t>וי"א דאם חתם עצמו "אני פלוני כהן עד" מהני בזמן הזה (הר"ן פרק ב דכתובות)</w:t>
      </w:r>
      <w:r w:rsidRPr="00F71633">
        <w:rPr>
          <w:rFonts w:hint="cs"/>
        </w:rPr>
        <w:t>:</w:t>
      </w:r>
    </w:p>
    <w:p w14:paraId="768F26D0" w14:textId="77777777" w:rsidR="00F71633" w:rsidRPr="00F71633" w:rsidRDefault="00F71633" w:rsidP="00F71633">
      <w:pPr>
        <w:pStyle w:val="Style1"/>
        <w:rPr>
          <w:rStyle w:val="Style1Char"/>
        </w:rPr>
      </w:pPr>
    </w:p>
    <w:p w14:paraId="0F146C31" w14:textId="6181C6BC" w:rsidR="005A5DF3" w:rsidRPr="000A2AF2" w:rsidRDefault="005A5DF3" w:rsidP="005A5DF3">
      <w:pPr>
        <w:pStyle w:val="Style1"/>
        <w:rPr>
          <w:rStyle w:val="Style1Char"/>
          <w:rtl/>
        </w:rPr>
      </w:pPr>
    </w:p>
    <w:p w14:paraId="3E480699" w14:textId="77777777" w:rsidR="00DA1858" w:rsidRDefault="00DA1858" w:rsidP="00DA1858">
      <w:pPr>
        <w:rPr>
          <w:rStyle w:val="Style1Char"/>
          <w:color w:val="00B050"/>
          <w:rtl/>
        </w:rPr>
      </w:pPr>
      <w:r>
        <w:rPr>
          <w:rStyle w:val="Style1Char"/>
          <w:color w:val="00B050"/>
          <w:rtl/>
        </w:rPr>
        <w:br w:type="page"/>
      </w:r>
    </w:p>
    <w:p w14:paraId="6C31EBD4" w14:textId="612C148D" w:rsidR="00DA1858" w:rsidRDefault="00DA1858" w:rsidP="00DA1858">
      <w:pPr>
        <w:bidi/>
        <w:rPr>
          <w:rStyle w:val="Style1Char"/>
          <w:color w:val="00B050"/>
          <w:rtl/>
        </w:rPr>
      </w:pPr>
      <w:r w:rsidRPr="00887069">
        <w:rPr>
          <w:rStyle w:val="Style1Char"/>
          <w:color w:val="00B050"/>
          <w:rtl/>
        </w:rPr>
        <w:lastRenderedPageBreak/>
        <w:t xml:space="preserve"> </w:t>
      </w:r>
      <w:r w:rsidRPr="00834C32">
        <w:rPr>
          <w:rStyle w:val="Style1Char"/>
          <w:color w:val="00B050"/>
          <w:sz w:val="22"/>
          <w:szCs w:val="22"/>
          <w:highlight w:val="yellow"/>
          <w:rtl/>
        </w:rPr>
        <w:t>[דף כה עמוד א]</w:t>
      </w:r>
      <w:r w:rsidRPr="00834C32">
        <w:rPr>
          <w:rStyle w:val="Style1Char"/>
          <w:color w:val="00B050"/>
          <w:sz w:val="22"/>
          <w:szCs w:val="22"/>
          <w:rtl/>
        </w:rPr>
        <w:t xml:space="preserve"> </w:t>
      </w:r>
      <w:r w:rsidRPr="00887069">
        <w:rPr>
          <w:rStyle w:val="Style1Char"/>
          <w:color w:val="00B050"/>
          <w:rtl/>
        </w:rPr>
        <w:t xml:space="preserve">ואלא מאי גדולה חזקה? מעיקרא אכול בתרומה דרבנן, השתא אכול בתרומה דאורייתא. ואי בעית אימא: </w:t>
      </w:r>
      <w:r w:rsidR="003D7A18">
        <w:rPr>
          <w:rStyle w:val="Style1Char"/>
          <w:rFonts w:hint="cs"/>
          <w:rtl/>
        </w:rPr>
        <w:t>(1)</w:t>
      </w:r>
      <w:r w:rsidRPr="00887069">
        <w:rPr>
          <w:rStyle w:val="Style1Char"/>
          <w:color w:val="00B050"/>
          <w:rtl/>
        </w:rPr>
        <w:t xml:space="preserve">השתא נמי בתרומה דרבנן אכול, בתרומה דאורייתא לא אכול, </w:t>
      </w:r>
      <w:r w:rsidR="00D9241F">
        <w:rPr>
          <w:rStyle w:val="Style1Char"/>
          <w:rFonts w:hint="cs"/>
          <w:rtl/>
        </w:rPr>
        <w:t>(2)</w:t>
      </w:r>
      <w:r w:rsidRPr="00887069">
        <w:rPr>
          <w:rStyle w:val="Style1Char"/>
          <w:color w:val="00B050"/>
          <w:rtl/>
        </w:rPr>
        <w:t xml:space="preserve">וכי מסקינן מתרומה ליוחסין - בתרומה דאורייתא, בתרומה דרבנן לא מסקינן. ואלא מאי גדולה חזקה? דאע"ג דאיכא למיגזר משום תרומה דאורייתא - לא גזרינן. ובתרומה דאורייתא לא אכול? והא כתיב: אשר לא יאכלו מקדש הקדשים, מקדש הקדשים הוא דלא אכול, הא בתרומה דאורייתא אכול! ה"ק: לא במידי דאיקרי קדש, דכתיב: וכל זר לא יאכל קדש, ולא במידי דאיקרי קדשים, דכתיב: ובת כהן כי תהיה לאיש זר היא בתרומת הקדשים לא תאכל, ואמר מר: במורם מן הקדשים לא תאכל. ת"ש: חזקה לכהונה - נשיאות כפים בבבל, ואכילת חלה בסוריא, וחילוק מתנות בכרכין; קתני מיהת נשיאות כפים, מאי לאו ליוחסין! </w:t>
      </w:r>
      <w:r w:rsidR="00B01CCF">
        <w:rPr>
          <w:rStyle w:val="Style1Char"/>
          <w:rFonts w:hint="cs"/>
          <w:rtl/>
        </w:rPr>
        <w:t>(3)</w:t>
      </w:r>
      <w:r w:rsidRPr="00887069">
        <w:rPr>
          <w:rStyle w:val="Style1Char"/>
          <w:color w:val="00B050"/>
          <w:rtl/>
        </w:rPr>
        <w:t xml:space="preserve">לא, לתרומה. והא דומיא דאכילת חלה קתני, מה אכילת חלה ליוחסין, אף נשיאות כפים ליוחסין! לא, אכילת חלה גופה לתרומה; קסבר: חלה בזמן הזה דרבנן, ותרומה דאורייתא, ומסקינן מחלה דרבנן לתרומה דאורייתא, וכדאפיך להו רב הונא בריה דרב יהושע לרבנן. ת"ש: חזקה לכהונה - נשיאות כפים וחילוק גרנות בא"י, ובסוריא ובכל מקום ששלוחי ראש חודש מגיעין - נשיאות כפים ראיה אבל לא חילוק גרנות, ובבל כסוריא; רשב"ג אומר: אף אלכסנדריא של מצרים בראשונה, מפני שבית דין קבועין שם; קתני מיהת נשיאות כפים, מאי לאו ליוחסין! לא, לחלה. הא דומיא דחילוק גרנות קתני, מה חילוק גרנות ליוחסין, אף נשיאות כפים ליוחסין! לא, חילוק גרנות גופה לחלה; </w:t>
      </w:r>
      <w:r w:rsidR="00FA0C78">
        <w:rPr>
          <w:rStyle w:val="Style1Char"/>
          <w:rFonts w:hint="cs"/>
          <w:rtl/>
        </w:rPr>
        <w:t>(4)</w:t>
      </w:r>
      <w:r w:rsidRPr="00887069">
        <w:rPr>
          <w:rStyle w:val="Style1Char"/>
          <w:color w:val="00B050"/>
          <w:rtl/>
        </w:rPr>
        <w:t xml:space="preserve">קסבר: תרומה בזמן הזה דרבנן, וחלה דאורייתא, ומסקינן מתרומה דרבנן לחלה דאורייתא, וכדאשכחינהו רב הונא בריה דרב יהושע לרבנן. דאמר רב הונא בריה דרב יהושע, אשכחתינהו לרבנן בבי רב דיתבי וקאמרי: אפילו למאן דאמר תרומה בזמן הזה דרבנן, חלה דאורייתא, שהרי ז' שכיבשו וז' שחילקו נתחייבו בחלה ולא נתחייבו בתרומה; ואמינא להו אנא: אדרבה, אפילו למ"ד תרומה בזמן הזה דאורייתא, </w:t>
      </w:r>
      <w:r w:rsidR="007D71D3">
        <w:rPr>
          <w:rStyle w:val="Style1Char"/>
          <w:rFonts w:hint="cs"/>
          <w:rtl/>
        </w:rPr>
        <w:t>(4.1, 5)</w:t>
      </w:r>
      <w:r w:rsidRPr="00887069">
        <w:rPr>
          <w:rStyle w:val="Style1Char"/>
          <w:color w:val="00B050"/>
          <w:rtl/>
        </w:rPr>
        <w:t xml:space="preserve">חלה דרבנן, דתניא: בבואכם אל הארץ - אי בבואכם, יכול משנכנסו לה שנים ושלשה מרגלים? ת"ל: בבואכם - בביאת כולכם אמרתי, ולא בביאת מקצתכם, וכי אסקינהו עזרא, </w:t>
      </w:r>
    </w:p>
    <w:p w14:paraId="013E95B6" w14:textId="029D8EBF" w:rsidR="00E3209C" w:rsidRDefault="00E3209C" w:rsidP="00E3209C">
      <w:pPr>
        <w:pStyle w:val="Style1"/>
        <w:rPr>
          <w:rStyle w:val="Style1Char"/>
          <w:rtl/>
        </w:rPr>
      </w:pPr>
      <w:r>
        <w:rPr>
          <w:rStyle w:val="Style1Char"/>
          <w:rFonts w:hint="cs"/>
          <w:rtl/>
        </w:rPr>
        <w:t>1)[</w:t>
      </w:r>
      <w:r w:rsidRPr="00E3209C">
        <w:rPr>
          <w:rStyle w:val="Style1Char"/>
          <w:rtl/>
        </w:rPr>
        <w:t>רמב</w:t>
      </w:r>
      <w:r w:rsidR="00213DA1">
        <w:rPr>
          <w:rStyle w:val="Style1Char"/>
          <w:rtl/>
        </w:rPr>
        <w:t>”ם \קדושה\</w:t>
      </w:r>
      <w:r w:rsidRPr="00E3209C">
        <w:rPr>
          <w:rStyle w:val="Style1Char"/>
          <w:rtl/>
        </w:rPr>
        <w:t xml:space="preserve"> הלכות איסורי ביאה פרק כ הלכה א</w:t>
      </w:r>
      <w:r>
        <w:rPr>
          <w:rStyle w:val="Style1Char"/>
          <w:rFonts w:hint="cs"/>
          <w:rtl/>
        </w:rPr>
        <w:t xml:space="preserve">] </w:t>
      </w:r>
      <w:r w:rsidRPr="00E3209C">
        <w:rPr>
          <w:rStyle w:val="Style1Char"/>
          <w:rtl/>
        </w:rPr>
        <w:t>כל כהנים בזמן הזה בחזקה הם כהנים ואין אוכלין אלא בקדשי הגבול, והוא שתהיה תרומה של דבריהם אבל תרומה של תורה וחלה של תורה אין אוכל אותה אלא כהן מיוחס.</w:t>
      </w:r>
    </w:p>
    <w:p w14:paraId="345CE00D" w14:textId="53A8321C" w:rsidR="00007203" w:rsidRDefault="00007203" w:rsidP="00007203">
      <w:pPr>
        <w:pStyle w:val="Style1"/>
        <w:rPr>
          <w:rStyle w:val="Style1Char"/>
          <w:rtl/>
        </w:rPr>
      </w:pPr>
      <w:r>
        <w:rPr>
          <w:rStyle w:val="Style1Char"/>
          <w:rFonts w:hint="cs"/>
          <w:rtl/>
        </w:rPr>
        <w:t>1)[</w:t>
      </w:r>
      <w:r w:rsidRPr="00007203">
        <w:rPr>
          <w:rStyle w:val="Style1Char"/>
          <w:rtl/>
        </w:rPr>
        <w:t>רמב</w:t>
      </w:r>
      <w:r w:rsidR="00786216">
        <w:rPr>
          <w:rStyle w:val="Style1Char"/>
          <w:rtl/>
        </w:rPr>
        <w:t>”ם \זרעים\</w:t>
      </w:r>
      <w:r w:rsidRPr="00007203">
        <w:rPr>
          <w:rStyle w:val="Style1Char"/>
          <w:rtl/>
        </w:rPr>
        <w:t xml:space="preserve"> הלכות תרומות פרק ו הלכה ב</w:t>
      </w:r>
      <w:r>
        <w:rPr>
          <w:rStyle w:val="Style1Char"/>
          <w:rFonts w:hint="cs"/>
          <w:rtl/>
        </w:rPr>
        <w:t xml:space="preserve">] </w:t>
      </w:r>
      <w:r w:rsidRPr="00007203">
        <w:rPr>
          <w:rStyle w:val="Style1Char"/>
          <w:rtl/>
        </w:rPr>
        <w:t>תרומה של תורה אין אוכל אותה אלא כהן מיוחס, אבל כהני חזקה אוכלין בתרומה של דבריהן בלבד ותרומה טהורה בין תרומה גדולה בין תרומת מעשר בין של תורה בין של דבריהן אינה ניתנת אלא לכהן תלמיד חכם, מפני שאסור לאכול תרומה טמאה, וכל עמי הארץ בחזקת טומאה לפיכך נותנין תרומה טמאה לכל כהן שירצה. /השגת הראב"ד/ וכל ע"ה וכו' עד לכל כהן שירצה. א"א זה אינו מחוור.</w:t>
      </w:r>
    </w:p>
    <w:p w14:paraId="294018C9" w14:textId="6D5D12A8" w:rsidR="00491E4F" w:rsidRDefault="00491E4F" w:rsidP="00491E4F">
      <w:pPr>
        <w:pStyle w:val="Style1"/>
        <w:rPr>
          <w:rStyle w:val="Style1Char"/>
          <w:rtl/>
        </w:rPr>
      </w:pPr>
      <w:r>
        <w:rPr>
          <w:rStyle w:val="Style1Char"/>
          <w:rFonts w:hint="cs"/>
          <w:rtl/>
        </w:rPr>
        <w:t>2)[</w:t>
      </w:r>
      <w:r w:rsidRPr="00491E4F">
        <w:rPr>
          <w:rStyle w:val="Style1Char"/>
          <w:rtl/>
        </w:rPr>
        <w:t>רמב</w:t>
      </w:r>
      <w:r w:rsidR="00213DA1">
        <w:rPr>
          <w:rStyle w:val="Style1Char"/>
          <w:rtl/>
        </w:rPr>
        <w:t>”ם \קדושה\</w:t>
      </w:r>
      <w:r w:rsidRPr="00491E4F">
        <w:rPr>
          <w:rStyle w:val="Style1Char"/>
          <w:rtl/>
        </w:rPr>
        <w:t xml:space="preserve"> הלכות איסורי ביאה פרק כ הלכה ד</w:t>
      </w:r>
      <w:r>
        <w:rPr>
          <w:rStyle w:val="Style1Char"/>
          <w:rFonts w:hint="cs"/>
          <w:rtl/>
        </w:rPr>
        <w:t xml:space="preserve">] </w:t>
      </w:r>
      <w:r w:rsidRPr="00491E4F">
        <w:rPr>
          <w:rStyle w:val="Style1Char"/>
          <w:rtl/>
        </w:rPr>
        <w:t>מי שהעידו עליו שני עדים שראוהו שהיה אוכל בתרומה של תורה הרי זה מיוחס, ואין מעלין ליוחסין לא מנשיאת כפים ולא מקריאה בתורה ראשון ולא מחילוק תרומה בבית הגרנות ולא על פי עד אחד.</w:t>
      </w:r>
    </w:p>
    <w:p w14:paraId="0446CD7E" w14:textId="204DC09B" w:rsidR="00605790" w:rsidRDefault="00605790" w:rsidP="00605790">
      <w:pPr>
        <w:pStyle w:val="Style1"/>
        <w:rPr>
          <w:rStyle w:val="Style1Char"/>
          <w:rtl/>
        </w:rPr>
      </w:pPr>
      <w:r>
        <w:rPr>
          <w:rStyle w:val="Style1Char"/>
          <w:rFonts w:hint="cs"/>
          <w:rtl/>
        </w:rPr>
        <w:t>3)[</w:t>
      </w:r>
      <w:r w:rsidRPr="00605790">
        <w:rPr>
          <w:rStyle w:val="Style1Char"/>
          <w:rtl/>
        </w:rPr>
        <w:t>רמב</w:t>
      </w:r>
      <w:r w:rsidR="00213DA1">
        <w:rPr>
          <w:rStyle w:val="Style1Char"/>
          <w:rtl/>
        </w:rPr>
        <w:t>”ם \קדושה\</w:t>
      </w:r>
      <w:r w:rsidRPr="00605790">
        <w:rPr>
          <w:rStyle w:val="Style1Char"/>
          <w:rtl/>
        </w:rPr>
        <w:t xml:space="preserve"> הלכות איסורי ביאה פרק כ הלכה יא</w:t>
      </w:r>
      <w:r>
        <w:rPr>
          <w:rStyle w:val="Style1Char"/>
          <w:rFonts w:hint="cs"/>
          <w:rtl/>
        </w:rPr>
        <w:t xml:space="preserve">] </w:t>
      </w:r>
      <w:r w:rsidRPr="00605790">
        <w:rPr>
          <w:rStyle w:val="Style1Char"/>
          <w:rtl/>
        </w:rPr>
        <w:t>שנים שבאו למדינה זה אומר אני וחבירי כהן וזה אומר אני וחבירי כהן אף על פי שנראין כגומלין זה את זה הרי אלו נאמנין ושניהם בחזקת כהנים, וכן עד שאמר ראיתי זה שנשא כפיו או שאכל בתרומה או שחלק על הגורן או שקרא בתורה ראשון וקרא אחריו לוי מחזיקין אותו בכהונה על פיו, וכן אם העיד שזה קרא שני בתורה אחר כהן מחזיקין אותו בלויה.</w:t>
      </w:r>
    </w:p>
    <w:p w14:paraId="35F350DC" w14:textId="04BB2C13" w:rsidR="00716631" w:rsidRPr="00F71633" w:rsidRDefault="00716631" w:rsidP="00716631">
      <w:pPr>
        <w:pStyle w:val="Style1"/>
      </w:pPr>
      <w:r>
        <w:rPr>
          <w:rStyle w:val="Style1Char"/>
          <w:rFonts w:hint="cs"/>
          <w:rtl/>
        </w:rPr>
        <w:t>3)[</w:t>
      </w:r>
      <w:r w:rsidRPr="005A5DF3">
        <w:rPr>
          <w:rStyle w:val="Style1Char"/>
          <w:rtl/>
        </w:rPr>
        <w:t>שולחן ערוך אבן העזר הלכות פריה ורביה סימן ג סעיף ב</w:t>
      </w:r>
      <w:r>
        <w:rPr>
          <w:rStyle w:val="Style1Char"/>
          <w:rFonts w:hint="cs"/>
          <w:rtl/>
        </w:rPr>
        <w:t xml:space="preserve">] </w:t>
      </w:r>
      <w:r w:rsidRPr="00F71633">
        <w:rPr>
          <w:rtl/>
        </w:rPr>
        <w:t>היה עד אחד מעיד עליו, נאמן להאכילו בתרומה בזמן הזה, ולקרות בתורה ראשון, ולישא את כפיו. ואפילו אביו נאמן עליו. ואפילו משטרות מעלין לכהונה בזמן הזה. כיצד? הרי שהיה כתוב בשטר: "פלוני כהן לוה מפלוני מנה", ועדים חתומים עליו, הרי זה בחזקת כהן ככהני זמן זה. וכן מעלין מנשיאות כפים ומקריאה בתורה ראשון להיות כהן ככהני זמן זה</w:t>
      </w:r>
      <w:r w:rsidRPr="00F71633">
        <w:t>:</w:t>
      </w:r>
    </w:p>
    <w:p w14:paraId="5271EAFA" w14:textId="37F27211" w:rsidR="00716631" w:rsidRDefault="00716631" w:rsidP="00716631">
      <w:pPr>
        <w:pStyle w:val="Style1"/>
        <w:rPr>
          <w:rtl/>
        </w:rPr>
      </w:pPr>
      <w:r w:rsidRPr="00F71633">
        <w:rPr>
          <w:rFonts w:hint="cs"/>
          <w:rtl/>
        </w:rPr>
        <w:t>הגה</w:t>
      </w:r>
      <w:r w:rsidRPr="00F71633">
        <w:rPr>
          <w:rFonts w:hint="cs"/>
        </w:rPr>
        <w:t>: </w:t>
      </w:r>
      <w:r w:rsidRPr="00F71633">
        <w:rPr>
          <w:rFonts w:hint="cs"/>
          <w:rtl/>
        </w:rPr>
        <w:t>וי"א דאם חתם עצמו "אני פלוני כהן עד" מהני בזמן הזה (הר"ן פרק ב דכתובות)</w:t>
      </w:r>
      <w:r w:rsidRPr="00F71633">
        <w:rPr>
          <w:rFonts w:hint="cs"/>
        </w:rPr>
        <w:t>:</w:t>
      </w:r>
    </w:p>
    <w:p w14:paraId="6B0ED22F" w14:textId="509C24E8" w:rsidR="00F169B9" w:rsidRDefault="00F169B9" w:rsidP="00F169B9">
      <w:pPr>
        <w:pStyle w:val="Style1"/>
        <w:rPr>
          <w:rtl/>
        </w:rPr>
      </w:pPr>
      <w:r>
        <w:rPr>
          <w:rFonts w:hint="cs"/>
          <w:rtl/>
        </w:rPr>
        <w:t>4)[</w:t>
      </w:r>
      <w:r>
        <w:rPr>
          <w:rtl/>
        </w:rPr>
        <w:t>רמב</w:t>
      </w:r>
      <w:r w:rsidR="00213DA1">
        <w:rPr>
          <w:rtl/>
        </w:rPr>
        <w:t>”ם \קדושה\</w:t>
      </w:r>
      <w:r>
        <w:rPr>
          <w:rtl/>
        </w:rPr>
        <w:t xml:space="preserve"> הלכות איסורי ביאה פרק כ הלכה ג</w:t>
      </w:r>
      <w:r>
        <w:rPr>
          <w:rFonts w:hint="cs"/>
          <w:rtl/>
        </w:rPr>
        <w:t xml:space="preserve">] </w:t>
      </w:r>
      <w:r>
        <w:rPr>
          <w:rtl/>
        </w:rPr>
        <w:t>חלה בזמן הזה ואפילו בארץ ישראל אינה של תורה שנאמר בבואכם אל הארץ ביאת כולכם ולא ביאת מקצתכם, וכשעלו בימי עזרא לא עלו כולם וכן תרומה בזמן הזה של דברי סופרים ולפיכך אוכלים אותה הכהנים שבזמנינו שהן בחזקה. /השגת הראב"ד/ הכהנים שבזמנינו וכו'. כתב הראב"ד ז"ל /א"א/ אף בזמנינו אין כהן אוכל תרומה אלא תרומת ח"ל וכהן קטן אבל תרומת הארץ לא דסבירא לן כרבי יוחנן אליבא דרבי יוסי דאמר ירושה שלישית אין להם עכ"ל.</w:t>
      </w:r>
    </w:p>
    <w:p w14:paraId="12837286" w14:textId="21A9A6A5" w:rsidR="002B1440" w:rsidRDefault="002B1440" w:rsidP="002B1440">
      <w:pPr>
        <w:pStyle w:val="Style1"/>
        <w:rPr>
          <w:rtl/>
        </w:rPr>
      </w:pPr>
      <w:r>
        <w:rPr>
          <w:rFonts w:hint="cs"/>
          <w:rtl/>
        </w:rPr>
        <w:t>4)[</w:t>
      </w:r>
      <w:r>
        <w:rPr>
          <w:rtl/>
        </w:rPr>
        <w:t>רמב</w:t>
      </w:r>
      <w:r w:rsidR="00786216">
        <w:rPr>
          <w:rtl/>
        </w:rPr>
        <w:t>”ם \זרעים\</w:t>
      </w:r>
      <w:r>
        <w:rPr>
          <w:rtl/>
        </w:rPr>
        <w:t xml:space="preserve"> הלכות תרומות פרק א הלכה א</w:t>
      </w:r>
      <w:r>
        <w:rPr>
          <w:rFonts w:hint="cs"/>
          <w:rtl/>
        </w:rPr>
        <w:t xml:space="preserve">] </w:t>
      </w:r>
      <w:r>
        <w:rPr>
          <w:rtl/>
        </w:rPr>
        <w:t>התרומות והמעשרות אינן נוהגין מן התורה אלא בארץ ישראל, בין בפני הבית בין שלא בפני הבית, ונביאים התקינו שיהו נוהגות אפילו בארץ שנער מפני שהיא סמוכה לא"י ורוב ישראל הולכין ושבין שם, והחכמים הראשונים התקינו שיהיו נוהגות אף בארץ מצרים ובארץ עמון ומואב מפני שהם סביבות לא"י.</w:t>
      </w:r>
    </w:p>
    <w:p w14:paraId="3AD22B63" w14:textId="051ACEB4" w:rsidR="00E47879" w:rsidRDefault="00E47879" w:rsidP="00E47879">
      <w:pPr>
        <w:pStyle w:val="Style1"/>
        <w:rPr>
          <w:rtl/>
        </w:rPr>
      </w:pPr>
      <w:r>
        <w:rPr>
          <w:rFonts w:hint="cs"/>
          <w:rtl/>
        </w:rPr>
        <w:t>4)[</w:t>
      </w:r>
      <w:r>
        <w:rPr>
          <w:rtl/>
        </w:rPr>
        <w:t>שולחן ערוך יורה דעה הלכות תרומות ומעשרות סימן שלא סעיף ב</w:t>
      </w:r>
      <w:r>
        <w:rPr>
          <w:rFonts w:hint="cs"/>
          <w:rtl/>
        </w:rPr>
        <w:t xml:space="preserve">] </w:t>
      </w:r>
      <w:r>
        <w:rPr>
          <w:rtl/>
        </w:rPr>
        <w:t>בזמן הזה, אפילו במקום שהחזיקו בו עולי בבל, ואפילו בימי עזרא אין חיוב תרומות ומעשרות מן התורה, אלא מדבריהם. מפני שנאמר: כי תבואו משמע ביאת כולכם ולא ביאת מקצתן, כמו שהיתה בימי עזרא. הגה: ויש חולקין, וסבירא להו דחייבין עכשיו בארץ ישראל בתרומות ומעשרות מדאורייתא, אך לא נהגו כן (טור בשם ר"י).</w:t>
      </w:r>
    </w:p>
    <w:p w14:paraId="7078900D" w14:textId="4538B3C4" w:rsidR="00436C53" w:rsidRPr="00F71633" w:rsidRDefault="00436C53" w:rsidP="00436C53">
      <w:pPr>
        <w:pStyle w:val="Style1"/>
      </w:pPr>
      <w:r>
        <w:rPr>
          <w:rFonts w:hint="cs"/>
          <w:rtl/>
        </w:rPr>
        <w:t>5)[</w:t>
      </w:r>
      <w:r>
        <w:rPr>
          <w:rtl/>
        </w:rPr>
        <w:t>שולחן ערוך יורה דעה הלכות חלה סימן שכב סעיף ב</w:t>
      </w:r>
      <w:r>
        <w:rPr>
          <w:rFonts w:hint="cs"/>
          <w:rtl/>
        </w:rPr>
        <w:t xml:space="preserve">] </w:t>
      </w:r>
      <w:r>
        <w:rPr>
          <w:rtl/>
        </w:rPr>
        <w:t>אין חייבים בחלה מן התורה אלא בארץ ישראל בלבד, שנאמר: והיה באכלכם מלחם הארץ (במדבר טו, יט) ובזמן שכל ישראל שם שנאמר בבואכם (במדבר טו, יח) ביאת כולכם ולא ביאת מקצתכם. לפיכך חלה בזמן הזה אפילו בימי עזרא בארץ ישראל, אינה אלא מדבריהם.</w:t>
      </w:r>
    </w:p>
    <w:p w14:paraId="52311276" w14:textId="77777777" w:rsidR="00DA1858" w:rsidRDefault="00DA1858" w:rsidP="00DA1858">
      <w:pPr>
        <w:rPr>
          <w:rStyle w:val="Style1Char"/>
          <w:color w:val="00B050"/>
          <w:rtl/>
        </w:rPr>
      </w:pPr>
      <w:r>
        <w:rPr>
          <w:rStyle w:val="Style1Char"/>
          <w:color w:val="00B050"/>
          <w:rtl/>
        </w:rPr>
        <w:br w:type="page"/>
      </w:r>
    </w:p>
    <w:p w14:paraId="3F9E08D1" w14:textId="76787379" w:rsidR="00DA1858" w:rsidRDefault="00DA1858" w:rsidP="00DA1858">
      <w:pPr>
        <w:bidi/>
        <w:rPr>
          <w:rStyle w:val="Style1Char"/>
          <w:color w:val="00B050"/>
          <w:rtl/>
        </w:rPr>
      </w:pPr>
      <w:r w:rsidRPr="00834C32">
        <w:rPr>
          <w:rStyle w:val="Style1Char"/>
          <w:color w:val="00B050"/>
          <w:sz w:val="22"/>
          <w:szCs w:val="22"/>
          <w:highlight w:val="yellow"/>
          <w:rtl/>
        </w:rPr>
        <w:lastRenderedPageBreak/>
        <w:t>[דף כה עמוד ב]</w:t>
      </w:r>
      <w:r w:rsidRPr="00887069">
        <w:rPr>
          <w:rStyle w:val="Style1Char"/>
          <w:color w:val="00B050"/>
          <w:rtl/>
        </w:rPr>
        <w:t xml:space="preserve"> לאו כולהו סלוק. ת"ש: חזקה לכהונה - נשיאות כפים, וחילוק גרנות, ועדות: עדות חזקה היא? אלא לאו הכי קאמר: נשיאות כפים כי עדות, מה עדות ליוחסין, אף נשיאות כפים ליוחסין! לא, עדות הבאה מכח חזקה כחזקה; </w:t>
      </w:r>
      <w:r w:rsidR="00F9600E">
        <w:rPr>
          <w:rStyle w:val="Style1Char"/>
          <w:rFonts w:hint="cs"/>
          <w:color w:val="00B050"/>
          <w:rtl/>
        </w:rPr>
        <w:t>;</w:t>
      </w:r>
      <w:r w:rsidR="00F9600E" w:rsidRPr="00F9600E">
        <w:rPr>
          <w:rFonts w:hint="cs"/>
          <w:rtl/>
        </w:rPr>
        <w:t xml:space="preserve"> </w:t>
      </w:r>
      <w:r w:rsidR="00F9600E">
        <w:rPr>
          <w:rStyle w:val="Style1Char"/>
          <w:rFonts w:hint="cs"/>
          <w:rtl/>
        </w:rPr>
        <w:t>(1)</w:t>
      </w:r>
      <w:r w:rsidRPr="00887069">
        <w:rPr>
          <w:rStyle w:val="Style1Char"/>
          <w:color w:val="00B050"/>
          <w:rtl/>
        </w:rPr>
        <w:t xml:space="preserve">כי ההוא דאתא לקמיה דרבי אמי, א"ל: מוחזקני בזה שהוא כהן, א"ל: מה ראית? אמר ליה: שקרא ראשון בבית הכנסת; בחזקת שהוא כהן או בחזקת שהוא גדול? שקרא אחריו לוי, והעלהו ר' אמי לכהונה על פיו. ההוא דאתא לקמיה דרבי יהושע בן לוי, אמר ליה: </w:t>
      </w:r>
      <w:r w:rsidR="00F868AC">
        <w:rPr>
          <w:rStyle w:val="Style1Char"/>
          <w:rFonts w:hint="cs"/>
          <w:rtl/>
        </w:rPr>
        <w:t>(1)</w:t>
      </w:r>
      <w:r w:rsidRPr="00887069">
        <w:rPr>
          <w:rStyle w:val="Style1Char"/>
          <w:color w:val="00B050"/>
          <w:rtl/>
        </w:rPr>
        <w:t xml:space="preserve">מוחזקני בזה שהוא לוי, אמר ליה: מה ראית? אמר ליה: שקרא שני בבית הכנסת; בחזקת שהוא לוי או בחזקת שהוא גדול? שקרא לפניו כהן, והעלהו רבי יהושע בן לוי ללויה על פיו. ההוא דאתא לקמיה דריש לקיש, אמר ליה: מוחזקני בזה שהוא כהן, א"ל: מה ראית? [א"ל:] שקרא ראשון בבית הכנסת, א"ל: ראיתיו שחילק על הגרנות? אמר לו ר' אלעזר: ואם אין שם גורן, בטלה כהונה? זימנין הוו יתבי קמיה דר' יוחנן, אתא כי הא מעשה לקמיה, א"ל ריש לקיש: ראיתיו שחילק על הגורן? א"ל ר' יוחנן: ואם אין שם גורן בטלה כהונה? הדר חזייה לר"א בישות, אמר: שמעת מילי דבר נפחא ולא אמרת לן משמיה. רבי ור' חייא, חד העלה בן ע"פ אביו לכהונה, וחד העלה אח ע"פ אחיו ללויה. תסתיים, דר' העלה בן ע"פ אביו לכהונה; דתניא: </w:t>
      </w:r>
      <w:r w:rsidR="00F868AC">
        <w:rPr>
          <w:rStyle w:val="Style1Char"/>
          <w:rFonts w:hint="cs"/>
          <w:rtl/>
        </w:rPr>
        <w:t>(2)</w:t>
      </w:r>
      <w:r w:rsidRPr="00887069">
        <w:rPr>
          <w:rStyle w:val="Style1Char"/>
          <w:color w:val="00B050"/>
          <w:rtl/>
        </w:rPr>
        <w:t xml:space="preserve">הרי שבא ואמר בני זה וכהן הוא - נאמן להאכילו בתרומה ואינו נאמן להשיאו אשה, דברי רבי; אמר לו ר' חייא: אם אתה מאמינו להאכילו בתרומה - תאמינו להשיאו אשה, ואם אי אתה מאמינו להשיאו אשה - לא תאמינו לאכול בתרומה! א"ל: אני מאמינו להאכילו בתרומה - שבידו להאכילו בתרומה, ואיני מאמינו להשיאו אשה - שאין בידו להשיאו אשה, תסתיים. ומדרבי העלה בן ע"פ אביו לכהונה, ר' חייא העלה אח ע"פ אחיו ללויה. ורבי חייא, מאי שנא בן דלא? דקרוב הוא אצל אביו, אח נמי קרוב הוא אצל אחיו! </w:t>
      </w:r>
    </w:p>
    <w:p w14:paraId="38907306" w14:textId="7A124006" w:rsidR="00C762EA" w:rsidRDefault="00C762EA" w:rsidP="00C762EA">
      <w:pPr>
        <w:pStyle w:val="Style1"/>
        <w:rPr>
          <w:rStyle w:val="Style1Char"/>
          <w:rtl/>
        </w:rPr>
      </w:pPr>
      <w:r>
        <w:rPr>
          <w:rStyle w:val="Style1Char"/>
          <w:rFonts w:hint="cs"/>
          <w:rtl/>
        </w:rPr>
        <w:t>1)[</w:t>
      </w:r>
      <w:r w:rsidRPr="00605790">
        <w:rPr>
          <w:rStyle w:val="Style1Char"/>
          <w:rtl/>
        </w:rPr>
        <w:t>רמב</w:t>
      </w:r>
      <w:r w:rsidR="00213DA1">
        <w:rPr>
          <w:rStyle w:val="Style1Char"/>
          <w:rtl/>
        </w:rPr>
        <w:t>”ם \קדושה\</w:t>
      </w:r>
      <w:r w:rsidRPr="00605790">
        <w:rPr>
          <w:rStyle w:val="Style1Char"/>
          <w:rtl/>
        </w:rPr>
        <w:t xml:space="preserve"> הלכות איסורי ביאה פרק כ הלכה יא</w:t>
      </w:r>
      <w:r>
        <w:rPr>
          <w:rStyle w:val="Style1Char"/>
          <w:rFonts w:hint="cs"/>
          <w:rtl/>
        </w:rPr>
        <w:t xml:space="preserve">] </w:t>
      </w:r>
      <w:r w:rsidRPr="00605790">
        <w:rPr>
          <w:rStyle w:val="Style1Char"/>
          <w:rtl/>
        </w:rPr>
        <w:t>שנים שבאו למדינה זה אומר אני וחבירי כהן וזה אומר אני וחבירי כהן אף על פי שנראין כגומלין זה את זה הרי אלו נאמנין ושניהם בחזקת כהנים, וכן עד שאמר ראיתי זה שנשא כפיו או שאכל בתרומה או שחלק על הגורן או שקרא בתורה ראשון וקרא אחריו לוי מחזיקין אותו בכהונה על פיו, וכן אם העיד שזה קרא שני בתורה אחר כהן מחזיקין אותו בלויה.</w:t>
      </w:r>
    </w:p>
    <w:p w14:paraId="1D51F613" w14:textId="123C1FA1" w:rsidR="003F3561" w:rsidRDefault="003F3561" w:rsidP="003F3561">
      <w:pPr>
        <w:pStyle w:val="Style1"/>
        <w:rPr>
          <w:rStyle w:val="Style1Char"/>
          <w:rtl/>
        </w:rPr>
      </w:pPr>
      <w:r>
        <w:rPr>
          <w:rStyle w:val="Style1Char"/>
          <w:rFonts w:hint="cs"/>
          <w:rtl/>
        </w:rPr>
        <w:t>2)[</w:t>
      </w:r>
      <w:r w:rsidRPr="003F3561">
        <w:rPr>
          <w:rStyle w:val="Style1Char"/>
          <w:rtl/>
        </w:rPr>
        <w:t>רמב</w:t>
      </w:r>
      <w:r w:rsidR="00213DA1">
        <w:rPr>
          <w:rStyle w:val="Style1Char"/>
          <w:rtl/>
        </w:rPr>
        <w:t>”ם \קדושה\</w:t>
      </w:r>
      <w:r w:rsidRPr="003F3561">
        <w:rPr>
          <w:rStyle w:val="Style1Char"/>
          <w:rtl/>
        </w:rPr>
        <w:t xml:space="preserve"> הלכות איסורי ביאה פרק כ הלכה ה</w:t>
      </w:r>
      <w:r>
        <w:rPr>
          <w:rStyle w:val="Style1Char"/>
          <w:rFonts w:hint="cs"/>
          <w:rtl/>
        </w:rPr>
        <w:t xml:space="preserve">] </w:t>
      </w:r>
      <w:r w:rsidRPr="003F3561">
        <w:rPr>
          <w:rStyle w:val="Style1Char"/>
          <w:rtl/>
        </w:rPr>
        <w:t>כהן מיוחס שאמר בני זה כהן הוא אין מעלין אותו ליוחסין על פיו עד שיביא עדים שהוא בנו.</w:t>
      </w:r>
    </w:p>
    <w:p w14:paraId="0F472CDA" w14:textId="77777777" w:rsidR="00C762EA" w:rsidRDefault="00C762EA" w:rsidP="00C762EA">
      <w:pPr>
        <w:bidi/>
        <w:rPr>
          <w:rStyle w:val="Style1Char"/>
          <w:color w:val="00B050"/>
          <w:rtl/>
        </w:rPr>
      </w:pPr>
    </w:p>
    <w:p w14:paraId="2CC50C80" w14:textId="77777777" w:rsidR="00DA1858" w:rsidRDefault="00DA1858" w:rsidP="00DA1858">
      <w:pPr>
        <w:rPr>
          <w:rStyle w:val="Style1Char"/>
          <w:color w:val="00B050"/>
          <w:rtl/>
        </w:rPr>
      </w:pPr>
      <w:r>
        <w:rPr>
          <w:rStyle w:val="Style1Char"/>
          <w:color w:val="00B050"/>
          <w:rtl/>
        </w:rPr>
        <w:br w:type="page"/>
      </w:r>
    </w:p>
    <w:p w14:paraId="1E7D446C" w14:textId="79B74C61" w:rsidR="00DA1858" w:rsidRPr="00887069" w:rsidRDefault="00DA1858" w:rsidP="00DA1858">
      <w:pPr>
        <w:bidi/>
        <w:rPr>
          <w:rStyle w:val="Style1Char"/>
          <w:color w:val="00B050"/>
        </w:rPr>
      </w:pPr>
      <w:r w:rsidRPr="00834C32">
        <w:rPr>
          <w:rStyle w:val="Style1Char"/>
          <w:color w:val="00B050"/>
          <w:sz w:val="22"/>
          <w:szCs w:val="22"/>
          <w:highlight w:val="yellow"/>
          <w:rtl/>
        </w:rPr>
        <w:lastRenderedPageBreak/>
        <w:t>[דף כו עמוד א]</w:t>
      </w:r>
      <w:r w:rsidRPr="00834C32">
        <w:rPr>
          <w:rStyle w:val="Style1Char"/>
          <w:color w:val="00B050"/>
          <w:sz w:val="22"/>
          <w:szCs w:val="22"/>
          <w:rtl/>
        </w:rPr>
        <w:t xml:space="preserve"> </w:t>
      </w:r>
      <w:r w:rsidRPr="00887069">
        <w:rPr>
          <w:rStyle w:val="Style1Char"/>
          <w:color w:val="00B050"/>
          <w:rtl/>
        </w:rPr>
        <w:t xml:space="preserve">במסיח לפי תומו; כי הא דאמר רב יהודה אמר שמואל: </w:t>
      </w:r>
      <w:r w:rsidR="004F6F51">
        <w:rPr>
          <w:rStyle w:val="Style1Char"/>
          <w:rFonts w:hint="cs"/>
          <w:rtl/>
        </w:rPr>
        <w:t>(1)</w:t>
      </w:r>
      <w:r w:rsidRPr="00887069">
        <w:rPr>
          <w:rStyle w:val="Style1Char"/>
          <w:color w:val="00B050"/>
          <w:rtl/>
        </w:rPr>
        <w:t xml:space="preserve">מעשה באדם אחד שהיה מסיח לפי תומו, ואמר: זכורני כשאני תינוק ומורכב על כתיפו של אבא, והוציאוני מבית הספר, והפשיטוני את כותנתי והטבילוני לאכול בתרומה לערב, ור' חייא מסיים בה: וחבירי בדילין ממני, והיו קורין אותי יוחנן אוכל חלות, והעלהו רבי לכהונה על פיו. תניא, ר"ש בן אלעזר אומר: כשם שתרומה חזקה לכהונה, כך מעשר ראשון חזקה לכהונה, והחולק בבית דין - אינה חזקה. מעשר ראשון דלוי הוא! כר"א בן עזריה; דתניא: </w:t>
      </w:r>
      <w:r w:rsidR="0002312D">
        <w:rPr>
          <w:rStyle w:val="Style1Char"/>
          <w:rFonts w:hint="cs"/>
          <w:rtl/>
        </w:rPr>
        <w:t>(2)</w:t>
      </w:r>
      <w:r w:rsidRPr="00887069">
        <w:rPr>
          <w:rStyle w:val="Style1Char"/>
          <w:color w:val="00B050"/>
          <w:rtl/>
        </w:rPr>
        <w:t xml:space="preserve">תרומה לכהן, מעשר ראשון ללוי, דברי ר"ע; ר"א בן עזריה אומר: מעשר ראשון אף לכהן. אימור דאר"א בן עזריה - אף לכהן, לכהן ולא ללוי מי אמר? </w:t>
      </w:r>
      <w:r w:rsidR="00804F5B">
        <w:rPr>
          <w:rStyle w:val="Style1Char"/>
          <w:rFonts w:hint="cs"/>
          <w:rtl/>
        </w:rPr>
        <w:t>(3)</w:t>
      </w:r>
      <w:r w:rsidRPr="00887069">
        <w:rPr>
          <w:rStyle w:val="Style1Char"/>
          <w:color w:val="00B050"/>
          <w:rtl/>
        </w:rPr>
        <w:t xml:space="preserve">אין, בתר דקנסינהו עזרא. ודלמא איקרו ויהבו ליה! אמר רב חסדא: הכא במאי עסקינן - </w:t>
      </w:r>
      <w:r w:rsidR="00435B43">
        <w:rPr>
          <w:rStyle w:val="Style1Char"/>
          <w:rFonts w:hint="cs"/>
          <w:rtl/>
        </w:rPr>
        <w:t>(4)</w:t>
      </w:r>
      <w:r w:rsidRPr="00887069">
        <w:rPr>
          <w:rStyle w:val="Style1Char"/>
          <w:color w:val="00B050"/>
          <w:rtl/>
        </w:rPr>
        <w:t xml:space="preserve">כגון דמוחזק לן באבוה דהאי דכהן הוא, ונפק עליה קלא דבן גרושה ובן חלוצה הוא, וחלקו ליה לדידיה מעשר בבית הגרנות, לוי - דלאו לוי הוא, מאי איכא למימר - בן גרושה או בן חלוצה הוא, לא מיבעיא למאן דאמר מעשר ראשון אסור לזרים, דלא הוו יהבי ליה, אלא אפילו למ"ד מעשר ראשון מותר לזרים, הני מילי למיספק להו, אבל בתורת חלוקה לא יהבי ליה. והחולק בבית דין - אינה חזקה. אי בבית דין לא הויא חזקה, היכא הויא חזקה? אמר רב ששת, הכי קאמר: </w:t>
      </w:r>
      <w:r w:rsidR="00435B43">
        <w:rPr>
          <w:rStyle w:val="Style1Char"/>
          <w:rFonts w:hint="cs"/>
          <w:rtl/>
        </w:rPr>
        <w:t>(5)</w:t>
      </w:r>
      <w:r w:rsidRPr="00887069">
        <w:rPr>
          <w:rStyle w:val="Style1Char"/>
          <w:color w:val="00B050"/>
          <w:rtl/>
        </w:rPr>
        <w:t xml:space="preserve">החולק תרומה בנכסי אביו עם אחיו בבית דין - אינה חזקה. פשיטא! מהו דתימא מדהנך לאכילה האי נמי לאכילה, קמ"ל: הנך לאכילה, האי לזבוני. </w:t>
      </w:r>
    </w:p>
    <w:p w14:paraId="46B6A65F" w14:textId="774ED52B" w:rsidR="00DA1858" w:rsidRDefault="00DA1858" w:rsidP="00DA1858">
      <w:pPr>
        <w:bidi/>
        <w:rPr>
          <w:rStyle w:val="Style1Char"/>
          <w:color w:val="00B050"/>
          <w:rtl/>
        </w:rPr>
      </w:pPr>
      <w:r w:rsidRPr="00887069">
        <w:rPr>
          <w:rStyle w:val="Style1Char"/>
          <w:color w:val="00B050"/>
          <w:rtl/>
        </w:rPr>
        <w:t xml:space="preserve">רבי יהודה אומר: אין מעלין לכהונה על פי עד אחד וכו'. </w:t>
      </w:r>
      <w:r w:rsidRPr="006E224D">
        <w:rPr>
          <w:rStyle w:val="Style1Char"/>
          <w:sz w:val="22"/>
          <w:szCs w:val="22"/>
          <w:rtl/>
        </w:rPr>
        <w:t xml:space="preserve">רשב"ג היינו </w:t>
      </w:r>
      <w:r w:rsidRPr="00887069">
        <w:rPr>
          <w:rStyle w:val="Style1Char"/>
          <w:color w:val="00B050"/>
          <w:rtl/>
        </w:rPr>
        <w:t>רבי אליעזר</w:t>
      </w:r>
      <w:r w:rsidRPr="00A20C1B">
        <w:rPr>
          <w:rStyle w:val="BalloonTextChar"/>
          <w:rFonts w:asciiTheme="minorHAnsi" w:hAnsiTheme="minorHAnsi" w:cs="Arial"/>
          <w:color w:val="C00000"/>
          <w:rtl/>
        </w:rPr>
        <w:t xml:space="preserve"> </w:t>
      </w:r>
      <w:r w:rsidRPr="00A20C1B">
        <w:rPr>
          <w:rStyle w:val="Style1Char"/>
          <w:color w:val="C00000"/>
          <w:sz w:val="22"/>
          <w:szCs w:val="22"/>
          <w:rtl/>
        </w:rPr>
        <w:t xml:space="preserve">ת"ק! </w:t>
      </w:r>
      <w:r w:rsidRPr="00887069">
        <w:rPr>
          <w:rStyle w:val="Style1Char"/>
          <w:color w:val="00B050"/>
          <w:rtl/>
        </w:rPr>
        <w:t xml:space="preserve">וכי תימא ערער חד איכא בינייהו, דרבי אליעזר סבר: ערער חד, ורשב"ג סבר: ערער תרי, האמר רבי יוחנן: דברי הכל אין ערער פחות משנים! אלא הכא במאי עסקינן - דמוחזק לן באבוה דהאי דכהן הוא, ונפק עליה קלא דבן גרושה או בן חלוצה הוא ואחתיניה, ואתא עד אחד ואמר ידענא ביה דכהן הוא </w:t>
      </w:r>
    </w:p>
    <w:p w14:paraId="2654BD79" w14:textId="43ED740D" w:rsidR="004F6F51" w:rsidRDefault="004F6F51" w:rsidP="004F6F51">
      <w:pPr>
        <w:pStyle w:val="Style1"/>
        <w:rPr>
          <w:rStyle w:val="Style1Char"/>
          <w:rtl/>
        </w:rPr>
      </w:pPr>
      <w:r>
        <w:rPr>
          <w:rStyle w:val="Style1Char"/>
          <w:rFonts w:hint="cs"/>
          <w:rtl/>
        </w:rPr>
        <w:t>1)[</w:t>
      </w:r>
      <w:r w:rsidRPr="004F6F51">
        <w:rPr>
          <w:rStyle w:val="Style1Char"/>
          <w:rtl/>
        </w:rPr>
        <w:t>רמב</w:t>
      </w:r>
      <w:r w:rsidR="00213DA1">
        <w:rPr>
          <w:rStyle w:val="Style1Char"/>
          <w:rtl/>
        </w:rPr>
        <w:t>”ם \קדושה\</w:t>
      </w:r>
      <w:r w:rsidRPr="004F6F51">
        <w:rPr>
          <w:rStyle w:val="Style1Char"/>
          <w:rtl/>
        </w:rPr>
        <w:t xml:space="preserve"> הלכות איסורי ביאה פרק כ הלכה יד</w:t>
      </w:r>
      <w:r>
        <w:rPr>
          <w:rStyle w:val="Style1Char"/>
          <w:rFonts w:hint="cs"/>
          <w:rtl/>
        </w:rPr>
        <w:t xml:space="preserve">] </w:t>
      </w:r>
      <w:r w:rsidRPr="004F6F51">
        <w:rPr>
          <w:rStyle w:val="Style1Char"/>
          <w:rtl/>
        </w:rPr>
        <w:t>ואם היה מסיח לפי תומו נאמן, כיצד מעשה באחד שהיה מסיח לפי תומו ואמר זכור אני כשהייתי תינוק והייתי מורכב על כתיפו של אבי הוציאוני מבית הספר והפשיטוני כתנתי והטבילוני לאכול תרומה לערב וחביריי בודלין ממני והיו קוראין אותי יוחנן אוכל חלות והעלהו רבינו הקדוש לכהונה ע"פ עצמו.</w:t>
      </w:r>
    </w:p>
    <w:p w14:paraId="7F137F43" w14:textId="77478718" w:rsidR="005E272C" w:rsidRPr="00661147" w:rsidRDefault="005E272C" w:rsidP="005E272C">
      <w:pPr>
        <w:pStyle w:val="Style1"/>
      </w:pPr>
      <w:r>
        <w:rPr>
          <w:rFonts w:hint="cs"/>
          <w:rtl/>
        </w:rPr>
        <w:t>1)[</w:t>
      </w:r>
      <w:r>
        <w:rPr>
          <w:rtl/>
        </w:rPr>
        <w:t>שולחן ערוך אבן העזר הלכות פריה ורביה סימן ג סעיף א</w:t>
      </w:r>
      <w:r>
        <w:rPr>
          <w:rFonts w:hint="cs"/>
          <w:rtl/>
        </w:rPr>
        <w:t xml:space="preserve">] </w:t>
      </w:r>
      <w:r w:rsidRPr="00661147">
        <w:rPr>
          <w:rtl/>
        </w:rPr>
        <w:t>מי שבא בזמן הזה ואמר: כהן אני, אינו נאמן, ואין מעלין אותו לכהונה על פי עצמו, ולא יקרא בתורה ראשון ולא ישא את כפיו</w:t>
      </w:r>
      <w:r w:rsidRPr="00661147">
        <w:t>,</w:t>
      </w:r>
    </w:p>
    <w:p w14:paraId="2A063BA1" w14:textId="77777777" w:rsidR="005E272C" w:rsidRPr="00661147" w:rsidRDefault="005E272C" w:rsidP="005E272C">
      <w:pPr>
        <w:pStyle w:val="Style1"/>
      </w:pPr>
      <w:r w:rsidRPr="00661147">
        <w:rPr>
          <w:rFonts w:hint="cs"/>
          <w:rtl/>
        </w:rPr>
        <w:t>הגה</w:t>
      </w:r>
      <w:r w:rsidRPr="00661147">
        <w:rPr>
          <w:rFonts w:hint="cs"/>
        </w:rPr>
        <w:t>: </w:t>
      </w:r>
      <w:r w:rsidRPr="00661147">
        <w:rPr>
          <w:rFonts w:hint="cs"/>
          <w:rtl/>
        </w:rPr>
        <w:t>ויש אומרים דנאמן לקרות בתורה ראשון ולישא את כפיו בזמן הזה, שאין לנו תרומה דאורייתא שניחוש שמא יעלו אותו לתרומה (ב"י בשם הרמ"ך). וכן נוהגין האידנא בכל מקום, שאין נוהגין בתרומה בזמן הזה וליכא למיחש למידי</w:t>
      </w:r>
      <w:r w:rsidRPr="00661147">
        <w:rPr>
          <w:rFonts w:hint="cs"/>
        </w:rPr>
        <w:t>.</w:t>
      </w:r>
    </w:p>
    <w:p w14:paraId="4C2A66EE" w14:textId="77777777" w:rsidR="005E272C" w:rsidRPr="00661147" w:rsidRDefault="005E272C" w:rsidP="005E272C">
      <w:pPr>
        <w:pStyle w:val="Style1"/>
      </w:pPr>
      <w:r w:rsidRPr="00661147">
        <w:rPr>
          <w:rtl/>
        </w:rPr>
        <w:t>ולא יאכל בקדשי הגבול, עד שיהיה לו עד אחד. אבל אוסר עצמו בגרושה וזונה וחללה, ואינו מטמא למתים. ואם נשא או נטמא, לוקה. והנבעלת </w:t>
      </w:r>
      <w:r w:rsidRPr="00661147">
        <w:rPr>
          <w:rFonts w:hint="cs"/>
        </w:rPr>
        <w:t>(</w:t>
      </w:r>
      <w:r w:rsidRPr="00661147">
        <w:rPr>
          <w:rFonts w:hint="cs"/>
          <w:rtl/>
        </w:rPr>
        <w:t>לו, אם היא פסולי כהונה</w:t>
      </w:r>
      <w:r w:rsidRPr="00661147">
        <w:rPr>
          <w:rFonts w:hint="cs"/>
        </w:rPr>
        <w:t>)</w:t>
      </w:r>
      <w:r w:rsidRPr="00661147">
        <w:t xml:space="preserve">, </w:t>
      </w:r>
      <w:r w:rsidRPr="00661147">
        <w:rPr>
          <w:rtl/>
        </w:rPr>
        <w:t>ספק חללה</w:t>
      </w:r>
      <w:r w:rsidRPr="00661147">
        <w:t>.</w:t>
      </w:r>
    </w:p>
    <w:p w14:paraId="11BB9154" w14:textId="71618697" w:rsidR="005E272C" w:rsidRDefault="005E272C" w:rsidP="005E272C">
      <w:pPr>
        <w:pStyle w:val="Style1"/>
        <w:rPr>
          <w:rtl/>
        </w:rPr>
      </w:pPr>
      <w:r w:rsidRPr="00661147">
        <w:rPr>
          <w:rtl/>
        </w:rPr>
        <w:t>ואם היה מסיח לפי תומו, נאמן. כיצד? מעשה באחד שהיה מסיח לפי תומו ואמר: "זכור אני כשהייתי תינוק והייתי מורכב על כתפו של אבא, הוציאוני מבית הספר, הפשיטוני את כתנתי והטבילוני לאכול תרומה לערב וחבירי בדילים ממני, והיו קורין אותי יוחנן אוכל חלות", והעלהו רבינו הקדוש לכהונה על פי עצמו</w:t>
      </w:r>
      <w:r w:rsidRPr="00661147">
        <w:t>.</w:t>
      </w:r>
    </w:p>
    <w:p w14:paraId="45754B29" w14:textId="0EDB3B94" w:rsidR="00957522" w:rsidRDefault="00957522" w:rsidP="00957522">
      <w:pPr>
        <w:pStyle w:val="Style1"/>
        <w:rPr>
          <w:rtl/>
        </w:rPr>
      </w:pPr>
      <w:r>
        <w:rPr>
          <w:rFonts w:hint="cs"/>
          <w:rtl/>
        </w:rPr>
        <w:t>2)[</w:t>
      </w:r>
      <w:r>
        <w:rPr>
          <w:rtl/>
        </w:rPr>
        <w:t>רמב</w:t>
      </w:r>
      <w:r w:rsidR="00786216">
        <w:rPr>
          <w:rtl/>
        </w:rPr>
        <w:t>”ם \זרעים\</w:t>
      </w:r>
      <w:r>
        <w:rPr>
          <w:rtl/>
        </w:rPr>
        <w:t xml:space="preserve"> הלכות תרומות פרק ו הלכה א</w:t>
      </w:r>
      <w:r>
        <w:rPr>
          <w:rFonts w:hint="cs"/>
          <w:rtl/>
        </w:rPr>
        <w:t xml:space="preserve">] </w:t>
      </w:r>
      <w:r>
        <w:rPr>
          <w:rtl/>
        </w:rPr>
        <w:t>תרומה ותרומת מעשר נאכלת לכהנים בין גדולים בין קטנים בין זכרים בין נקבות הם ועבדיהם הכנענים ובהמתן, שנאמר וכהן כי יקנה נפש קנין כספו וגו', עבד כהן שברח ואשת כהן שמרדה הרי אלו אוכלין.</w:t>
      </w:r>
    </w:p>
    <w:p w14:paraId="56971E44" w14:textId="08C3BEED" w:rsidR="001542DE" w:rsidRDefault="001542DE" w:rsidP="001542DE">
      <w:pPr>
        <w:pStyle w:val="Style1"/>
        <w:rPr>
          <w:rtl/>
        </w:rPr>
      </w:pPr>
      <w:r>
        <w:rPr>
          <w:rFonts w:hint="cs"/>
          <w:rtl/>
        </w:rPr>
        <w:t>3)[</w:t>
      </w:r>
      <w:r>
        <w:rPr>
          <w:rtl/>
        </w:rPr>
        <w:t>רמב</w:t>
      </w:r>
      <w:r w:rsidR="00786216">
        <w:rPr>
          <w:rtl/>
        </w:rPr>
        <w:t>”ם \זרעים\</w:t>
      </w:r>
      <w:r>
        <w:rPr>
          <w:rtl/>
        </w:rPr>
        <w:t xml:space="preserve"> הלכות מעשר פרק א הלכה ד</w:t>
      </w:r>
      <w:r>
        <w:rPr>
          <w:rFonts w:hint="cs"/>
          <w:rtl/>
        </w:rPr>
        <w:t xml:space="preserve">] </w:t>
      </w:r>
      <w:r>
        <w:rPr>
          <w:rtl/>
        </w:rPr>
        <w:t>אין מוציאין המעשר מיד הכהנים שנאמר כי תקחו מאת בני ישראל וכן כל מתנות כהונה אין מוציאין אותן מכהן לכהן, ועזרא קנס את הלוים בזמנו שלא יתנו להן מעשר ראשון אלא ינתן לכהנים לפי שלא עלו עמו לירושלים.</w:t>
      </w:r>
    </w:p>
    <w:p w14:paraId="6C412CC6" w14:textId="4F241569" w:rsidR="00513644" w:rsidRDefault="00513644" w:rsidP="00513644">
      <w:pPr>
        <w:pStyle w:val="Style1"/>
        <w:rPr>
          <w:rtl/>
        </w:rPr>
      </w:pPr>
      <w:r>
        <w:rPr>
          <w:rFonts w:hint="cs"/>
          <w:rtl/>
        </w:rPr>
        <w:t>4)[</w:t>
      </w:r>
      <w:r>
        <w:rPr>
          <w:rtl/>
        </w:rPr>
        <w:t>רמב</w:t>
      </w:r>
      <w:r w:rsidR="00213DA1">
        <w:rPr>
          <w:rtl/>
        </w:rPr>
        <w:t>”ם \קדושה\</w:t>
      </w:r>
      <w:r>
        <w:rPr>
          <w:rtl/>
        </w:rPr>
        <w:t xml:space="preserve"> הלכות איסורי ביאה פרק כ הלכה טז</w:t>
      </w:r>
      <w:r>
        <w:rPr>
          <w:rFonts w:hint="cs"/>
          <w:rtl/>
        </w:rPr>
        <w:t xml:space="preserve">] </w:t>
      </w:r>
      <w:r>
        <w:rPr>
          <w:rtl/>
        </w:rPr>
        <w:t>מי שהוחזק אביו כהן ויצא עליו קול שהוא בן גרושה או חלוצה חוששין לו ומורידין אותו, בא עד אחד אחר כך והעיד שהוא כשר מעלין אותו לכהונה על פיו, באו שנים עדים אחר כך והעידו שהוא חלל מורידין אותו מן הכהונה, בא עד אחד והעיד שהוא כשר מעלין אותו לכהונה שזה האחרון מצטרף לעד ראשון והרי שנים מעידין שהוא כשר ושנים מעידים שהוא פסול ידחו אלו ואלו וידחה הקול שהשנים כמאה וישאר כהן בחזקת אביו.</w:t>
      </w:r>
    </w:p>
    <w:p w14:paraId="6668FD57" w14:textId="6C4CBAB7" w:rsidR="00503840" w:rsidRPr="00503840" w:rsidRDefault="00A71E85" w:rsidP="00503840">
      <w:pPr>
        <w:pStyle w:val="Style1"/>
      </w:pPr>
      <w:r>
        <w:rPr>
          <w:rFonts w:hint="cs"/>
          <w:rtl/>
        </w:rPr>
        <w:t>4)[</w:t>
      </w:r>
      <w:r>
        <w:rPr>
          <w:rtl/>
        </w:rPr>
        <w:t>שולחן ערוך אבן העזר הלכות פריה ורביה סימן ג סעיף ו</w:t>
      </w:r>
      <w:r>
        <w:rPr>
          <w:rFonts w:hint="cs"/>
          <w:rtl/>
        </w:rPr>
        <w:t>]</w:t>
      </w:r>
      <w:r w:rsidR="00503840">
        <w:rPr>
          <w:rFonts w:hint="cs"/>
          <w:rtl/>
        </w:rPr>
        <w:t xml:space="preserve">  </w:t>
      </w:r>
      <w:r w:rsidR="00503840" w:rsidRPr="00503840">
        <w:rPr>
          <w:rtl/>
        </w:rPr>
        <w:t>מי שבא ואמר: כהן אני, ועד אחד מעיד שיודע באביו שהוא כהן, אין מעלין אותו לכהונה על פיו, שמא חלל הוא, עד שיעיד שזה כהן הוא. אבל אם הוחזק אביו כהן, או שבאו שנים והעידו שאביו של זה כהן הוא, הרי זה בחזקת אביו</w:t>
      </w:r>
      <w:r w:rsidR="00503840" w:rsidRPr="00503840">
        <w:t>:</w:t>
      </w:r>
    </w:p>
    <w:p w14:paraId="64CBD1D6" w14:textId="29C8F7EE" w:rsidR="00503840" w:rsidRDefault="00503840" w:rsidP="00503840">
      <w:pPr>
        <w:pStyle w:val="Style1"/>
        <w:rPr>
          <w:rtl/>
        </w:rPr>
      </w:pPr>
      <w:r w:rsidRPr="00503840">
        <w:rPr>
          <w:rFonts w:hint="cs"/>
        </w:rPr>
        <w:t>(</w:t>
      </w:r>
      <w:r w:rsidRPr="00503840">
        <w:rPr>
          <w:rFonts w:hint="cs"/>
          <w:rtl/>
        </w:rPr>
        <w:t>ובכל דבר הולכין אחר החזקה, שהרי שורפין וסוקלין על החזקה</w:t>
      </w:r>
      <w:r w:rsidRPr="00503840">
        <w:rPr>
          <w:rFonts w:hint="cs"/>
        </w:rPr>
        <w:t>)</w:t>
      </w:r>
      <w:r w:rsidRPr="00503840">
        <w:t>:</w:t>
      </w:r>
    </w:p>
    <w:p w14:paraId="1DDC271A" w14:textId="250F4D24" w:rsidR="004E022A" w:rsidRPr="00503840" w:rsidRDefault="004E022A" w:rsidP="004E022A">
      <w:pPr>
        <w:pStyle w:val="Style1"/>
      </w:pPr>
      <w:r>
        <w:rPr>
          <w:rFonts w:hint="cs"/>
          <w:rtl/>
        </w:rPr>
        <w:t>5)[</w:t>
      </w:r>
      <w:r>
        <w:rPr>
          <w:rtl/>
        </w:rPr>
        <w:t>רמב</w:t>
      </w:r>
      <w:r w:rsidR="00213DA1">
        <w:rPr>
          <w:rtl/>
        </w:rPr>
        <w:t>”ם \קדושה\</w:t>
      </w:r>
      <w:r>
        <w:rPr>
          <w:rtl/>
        </w:rPr>
        <w:t xml:space="preserve"> הלכות איסורי ביאה פרק כ הלכה יב</w:t>
      </w:r>
      <w:r>
        <w:rPr>
          <w:rFonts w:hint="cs"/>
          <w:rtl/>
        </w:rPr>
        <w:t xml:space="preserve">] </w:t>
      </w:r>
      <w:r>
        <w:rPr>
          <w:rtl/>
        </w:rPr>
        <w:t>העיד שראה זה שחלק עם אחיו בבית דין תרומה שהניח להן אביהן הכהן אין מעלין אותו לכהונה בעדות זו, שמא חלל הוא ולקח חלק ירושתו מתרומה למכרה.</w:t>
      </w:r>
    </w:p>
    <w:p w14:paraId="6C71F28A" w14:textId="77777777" w:rsidR="00503840" w:rsidRPr="00503840" w:rsidRDefault="00503840" w:rsidP="00503840">
      <w:pPr>
        <w:pStyle w:val="Style1"/>
      </w:pPr>
    </w:p>
    <w:p w14:paraId="2D8F74B6" w14:textId="39782818" w:rsidR="00A71E85" w:rsidRDefault="00A71E85" w:rsidP="00A71E85">
      <w:pPr>
        <w:pStyle w:val="Style1"/>
        <w:rPr>
          <w:rtl/>
        </w:rPr>
      </w:pPr>
    </w:p>
    <w:p w14:paraId="271E0471" w14:textId="7EA0EF91" w:rsidR="005E272C" w:rsidRPr="004F6F51" w:rsidRDefault="005E272C" w:rsidP="005E272C">
      <w:pPr>
        <w:pStyle w:val="Style1"/>
        <w:rPr>
          <w:rStyle w:val="Style1Char"/>
        </w:rPr>
      </w:pPr>
    </w:p>
    <w:p w14:paraId="68195AC2" w14:textId="77777777" w:rsidR="00DA1858" w:rsidRPr="004F6F51" w:rsidRDefault="00DA1858" w:rsidP="004F6F51">
      <w:pPr>
        <w:pStyle w:val="Style1"/>
        <w:rPr>
          <w:rStyle w:val="Style1Char"/>
          <w:rtl/>
        </w:rPr>
      </w:pPr>
    </w:p>
    <w:p w14:paraId="2FBBB2EC" w14:textId="77777777" w:rsidR="00DA1858" w:rsidRDefault="00DA1858" w:rsidP="00DA1858">
      <w:pPr>
        <w:rPr>
          <w:rStyle w:val="Style1Char"/>
          <w:color w:val="00B050"/>
          <w:rtl/>
        </w:rPr>
      </w:pPr>
      <w:r>
        <w:rPr>
          <w:rStyle w:val="Style1Char"/>
          <w:color w:val="00B050"/>
          <w:rtl/>
        </w:rPr>
        <w:br w:type="page"/>
      </w:r>
    </w:p>
    <w:p w14:paraId="4ECBD788" w14:textId="12F868C5" w:rsidR="00DA1858" w:rsidRPr="00C45C75" w:rsidRDefault="00DA1858" w:rsidP="00DA1858">
      <w:pPr>
        <w:bidi/>
        <w:rPr>
          <w:rStyle w:val="Style1Char"/>
          <w:sz w:val="22"/>
          <w:szCs w:val="22"/>
        </w:rPr>
      </w:pPr>
      <w:r w:rsidRPr="00834C32">
        <w:rPr>
          <w:rStyle w:val="Style1Char"/>
          <w:color w:val="00B050"/>
          <w:sz w:val="22"/>
          <w:szCs w:val="22"/>
          <w:highlight w:val="yellow"/>
          <w:rtl/>
        </w:rPr>
        <w:lastRenderedPageBreak/>
        <w:t>[דף כו עמוד ב]</w:t>
      </w:r>
      <w:r w:rsidRPr="00834C32">
        <w:rPr>
          <w:rStyle w:val="Style1Char"/>
          <w:color w:val="00B050"/>
          <w:sz w:val="22"/>
          <w:szCs w:val="22"/>
          <w:rtl/>
        </w:rPr>
        <w:t xml:space="preserve"> </w:t>
      </w:r>
      <w:r w:rsidRPr="00887069">
        <w:rPr>
          <w:rStyle w:val="Style1Char"/>
          <w:color w:val="00B050"/>
          <w:rtl/>
        </w:rPr>
        <w:t xml:space="preserve">ואסקיניה, ואתו בי תרי ואמרי בן גרושה ובן חלוצה הוא ואחתיניה, ואתא עד אחד ואמר ידענא ביה דכהן הוא, ודכולי עלמא - מצטרפין לעדות, והכא במיחש לזילותא דבי דינא קמיפלגי, תנא קמא סבר: כיון דאחתיניה לא מסקינן ליה, חיישינן לזילותא דבי דינא; ורשב"ג סבר: אנן אחתינן ליה ואנן מסקינן ליה, ולזילותא דבי דינא לא חיישינן. מתקיף לה רב אשי: אי הכי, אפי' תרי ותרי נמי! אלא </w:t>
      </w:r>
      <w:r w:rsidRPr="00C45C75">
        <w:rPr>
          <w:rStyle w:val="Style1Char"/>
          <w:sz w:val="22"/>
          <w:szCs w:val="22"/>
          <w:rtl/>
        </w:rPr>
        <w:t xml:space="preserve">אמר רב אשי: במצטרפין לעדות קמיפלגי, ובפלוגתא דהני תנאי; דתניא: אין עדותן מצטרפת עד שיראו שניהם כאחד, ר' יהושע בן קרחה אמר: </w:t>
      </w:r>
      <w:r w:rsidR="00DD5989">
        <w:rPr>
          <w:rStyle w:val="Style1Char"/>
          <w:rFonts w:hint="cs"/>
          <w:rtl/>
        </w:rPr>
        <w:t>(1)</w:t>
      </w:r>
      <w:r w:rsidRPr="00C45C75">
        <w:rPr>
          <w:rStyle w:val="Style1Char"/>
          <w:sz w:val="22"/>
          <w:szCs w:val="22"/>
          <w:rtl/>
        </w:rPr>
        <w:t xml:space="preserve">אפי' בזה אחר זה; ואין עדותן מתקיימת בב"ד עד שיעידו שניהם כאחד, ר' נתן אומר: </w:t>
      </w:r>
      <w:r w:rsidR="00AD52D3">
        <w:rPr>
          <w:rStyle w:val="Style1Char"/>
          <w:rFonts w:hint="cs"/>
          <w:rtl/>
        </w:rPr>
        <w:t>(1.1, 2)</w:t>
      </w:r>
      <w:r w:rsidRPr="00C45C75">
        <w:rPr>
          <w:rStyle w:val="Style1Char"/>
          <w:sz w:val="22"/>
          <w:szCs w:val="22"/>
          <w:rtl/>
        </w:rPr>
        <w:t>שומעין דבריו של זה היום, וכשיבא חבירו למחר שומעין דבריו</w:t>
      </w:r>
      <w:r w:rsidRPr="00C45C75">
        <w:rPr>
          <w:rStyle w:val="Style1Char"/>
          <w:color w:val="C00000"/>
          <w:rtl/>
        </w:rPr>
        <w:t xml:space="preserve"> </w:t>
      </w:r>
      <w:r w:rsidRPr="00C45C75">
        <w:rPr>
          <w:rStyle w:val="Style1Char"/>
          <w:color w:val="C00000"/>
          <w:sz w:val="22"/>
          <w:szCs w:val="22"/>
          <w:rtl/>
        </w:rPr>
        <w:t>והלכתא כר' יהושע ב"ק והלכתא כר' נתן</w:t>
      </w:r>
      <w:r w:rsidRPr="00C45C75">
        <w:rPr>
          <w:rStyle w:val="Style1Char"/>
          <w:color w:val="C00000"/>
          <w:sz w:val="22"/>
          <w:szCs w:val="22"/>
        </w:rPr>
        <w:t>:</w:t>
      </w:r>
      <w:r w:rsidRPr="00C45C75">
        <w:rPr>
          <w:rStyle w:val="Style1Char"/>
          <w:sz w:val="22"/>
          <w:szCs w:val="22"/>
          <w:rtl/>
        </w:rPr>
        <w:t xml:space="preserve">. </w:t>
      </w:r>
    </w:p>
    <w:p w14:paraId="7D186767" w14:textId="13BC78B7" w:rsidR="00DA1858" w:rsidRPr="009941CA" w:rsidRDefault="00DA1858" w:rsidP="00DA1858">
      <w:pPr>
        <w:bidi/>
        <w:rPr>
          <w:rStyle w:val="Style1Char"/>
          <w:sz w:val="22"/>
          <w:szCs w:val="22"/>
        </w:rPr>
      </w:pPr>
      <w:r w:rsidRPr="00DC499B">
        <w:rPr>
          <w:rStyle w:val="Style1Char"/>
          <w:color w:val="auto"/>
          <w:sz w:val="22"/>
          <w:szCs w:val="22"/>
          <w:rtl/>
        </w:rPr>
        <w:t xml:space="preserve">מתני'. </w:t>
      </w:r>
      <w:r w:rsidR="00DA66FB">
        <w:rPr>
          <w:rStyle w:val="Style1Char"/>
          <w:rFonts w:hint="cs"/>
          <w:rtl/>
        </w:rPr>
        <w:t>(3)</w:t>
      </w:r>
      <w:r w:rsidRPr="00DC499B">
        <w:rPr>
          <w:rStyle w:val="Style1Char"/>
          <w:color w:val="auto"/>
          <w:sz w:val="22"/>
          <w:szCs w:val="22"/>
          <w:rtl/>
        </w:rPr>
        <w:t>האשה שנחבשה בידי עובדי כוכבים, על ידי ממון - מותרת לבעלה, על ידי נפשות - אסורה לבעלה</w:t>
      </w:r>
      <w:r w:rsidRPr="009941CA">
        <w:rPr>
          <w:rStyle w:val="Style1Char"/>
          <w:sz w:val="22"/>
          <w:szCs w:val="22"/>
          <w:rtl/>
        </w:rPr>
        <w:t xml:space="preserve">. </w:t>
      </w:r>
      <w:r w:rsidRPr="0077125B">
        <w:rPr>
          <w:rStyle w:val="Style1Char"/>
          <w:color w:val="4472C4" w:themeColor="accent1"/>
          <w:rtl/>
        </w:rPr>
        <w:t>הא דקתני מותרת לבעלה מיירי אפילו באשת כהן דמשום הפסד ממונן נמנעין מלאונסה וכן מוכח בגמ' דקאמר לא שנו אלא שיד ישראל תקיפה על עובדי כוכבים אבל יד עובדי כוכבים תקיפה על עצמם אפילו ע"י ממון אסורה לבעלה</w:t>
      </w:r>
      <w:r>
        <w:rPr>
          <w:rStyle w:val="Style1Char"/>
          <w:rFonts w:hint="cs"/>
          <w:color w:val="4472C4" w:themeColor="accent1"/>
        </w:rPr>
        <w:t>‍</w:t>
      </w:r>
      <w:r w:rsidRPr="0077125B">
        <w:rPr>
          <w:rStyle w:val="Style1Char"/>
          <w:color w:val="4472C4" w:themeColor="accent1"/>
          <w:rtl/>
        </w:rPr>
        <w:t xml:space="preserve"> ועל כרחך היינו לבעלה כהן מדקאמר אף אנן נמי תנינא העיד ר' יוסי הכהן וכו' טעמא דעדים מעידין אותה הא אין עדים מעידין אותה לא פי' שפיר הוו עבדי בני משפחה דריחקוה והא לא שייך אלא בכהונה דבישראל לא שייך וריחקוה משפחה דאינה אסורה אלא לבעלה אלמא כשיד ישראל תקיפה מותרת לבעלה כהן. ועוד ראיה מפרק אין מעמידין (דף כב א) דתנן לא תתייחד אשה עם עובדי כוכבים מפני שחשודים על העריות ופריך עלה (שם כג ב) ממתניתין דהכא האשה שנחבשה ע"י ממון דמותרת לבעלה אי אמרת דמותרת לבעלה כהן ניחא דפריך שפיר דמדמותרת לבעלה כהן לא חיישינן שיבאו עליה באונס וא"כ אמאי לא תתיחד עמהן אבל אי אמרת דמותרת לבעלה ישראל דלא חיישינן שנתרצת להם אבל לבעלה כהן אסורה דחיישינן שמא נאנסה א"כ מאי פריך דין הוא שלא תתייחד עמהן שמא תאנס אלא וודאי מותרת אפילו לבעלה כהן דאף לאונס לא חיישינן ומן הדין הוה ליה למיתני מותרת לכהונה ובפנויה</w:t>
      </w:r>
      <w:r>
        <w:rPr>
          <w:rStyle w:val="Style1Char"/>
          <w:rFonts w:hint="cs"/>
          <w:color w:val="4472C4" w:themeColor="accent1"/>
        </w:rPr>
        <w:t>‍</w:t>
      </w:r>
      <w:r w:rsidRPr="0077125B">
        <w:rPr>
          <w:rStyle w:val="Style1Char"/>
          <w:color w:val="4472C4" w:themeColor="accent1"/>
          <w:rtl/>
        </w:rPr>
        <w:t xml:space="preserve"> דלכהונה אין חילוק בין פנויה לאשת איש אלא נקט לבעלה אגב סיפא. על ידי נפשות אסורה לבעלה פירוש אפילו ישראל דחישיינן שמא מחמת פחד נפשה נתרצת להן למצוא חן בעיניהם</w:t>
      </w:r>
      <w:r w:rsidRPr="0077125B">
        <w:rPr>
          <w:rStyle w:val="Style1Char"/>
          <w:color w:val="4472C4" w:themeColor="accent1"/>
        </w:rPr>
        <w:t>:</w:t>
      </w:r>
    </w:p>
    <w:p w14:paraId="2C43C2F2" w14:textId="68238C04" w:rsidR="00DA1858" w:rsidRDefault="00DA1858" w:rsidP="00DA1858">
      <w:pPr>
        <w:bidi/>
        <w:rPr>
          <w:rStyle w:val="Style1Char"/>
          <w:color w:val="00B050"/>
          <w:rtl/>
        </w:rPr>
      </w:pPr>
      <w:r w:rsidRPr="00767DAF">
        <w:rPr>
          <w:rStyle w:val="Style1Char"/>
          <w:color w:val="auto"/>
          <w:sz w:val="22"/>
          <w:szCs w:val="22"/>
          <w:rtl/>
        </w:rPr>
        <w:t xml:space="preserve">גמ'. אמר רב שמואל בר רב יצחק אמר רב: </w:t>
      </w:r>
      <w:r w:rsidR="004A7B0E">
        <w:rPr>
          <w:rStyle w:val="Style1Char"/>
          <w:rFonts w:hint="cs"/>
          <w:rtl/>
        </w:rPr>
        <w:t>(1)</w:t>
      </w:r>
      <w:r w:rsidRPr="00767DAF">
        <w:rPr>
          <w:rStyle w:val="Style1Char"/>
          <w:color w:val="auto"/>
          <w:sz w:val="22"/>
          <w:szCs w:val="22"/>
          <w:rtl/>
        </w:rPr>
        <w:t>לא שנו אלא שיד ישראל תקיפה על עובדי כוכבים, אבל יד עובדי כוכבים תקיפה על עצמן, אפילו על ידי ממון - אסורה</w:t>
      </w:r>
      <w:r w:rsidRPr="00767DAF">
        <w:rPr>
          <w:rStyle w:val="Style1Char"/>
          <w:color w:val="auto"/>
          <w:rtl/>
        </w:rPr>
        <w:t xml:space="preserve"> </w:t>
      </w:r>
      <w:r w:rsidRPr="00887069">
        <w:rPr>
          <w:rStyle w:val="Style1Char"/>
          <w:color w:val="00B050"/>
          <w:rtl/>
        </w:rPr>
        <w:t>לבעלה</w:t>
      </w:r>
      <w:r w:rsidRPr="002C7F37">
        <w:rPr>
          <w:rStyle w:val="Style1Char"/>
          <w:color w:val="4472C4" w:themeColor="accent1"/>
          <w:rtl/>
        </w:rPr>
        <w:t xml:space="preserve"> </w:t>
      </w:r>
      <w:r w:rsidRPr="0077125B">
        <w:rPr>
          <w:rStyle w:val="Style1Char"/>
          <w:color w:val="4472C4" w:themeColor="accent1"/>
          <w:rtl/>
        </w:rPr>
        <w:t>פי' לבעלה כהן כיון שאינן יראין להפסד ממונן חיישינן שמא אנסוה.</w:t>
      </w:r>
      <w:r w:rsidRPr="00887069">
        <w:rPr>
          <w:rStyle w:val="Style1Char"/>
          <w:color w:val="00B050"/>
          <w:rtl/>
        </w:rPr>
        <w:t xml:space="preserve">. מתיב רבא: העיד רבי יוסי הכהן ור' זכריה בן הקצב, על בת ישראל שהורהנה באשקלון וריחקוה בני משפחתה, ועדיה מעידים אותה שלא נסתרה ושלא נטמאה, ואמרו להם חכמים: אם אתם מאמינים שהורהנה - האמינו שלא נסתרה ושלא נטמאה, ואם אי אתם מאמינים שלא נסתרה ושלא נטמאה - אל תאמינו שהורהנה; והא אשקלון דיד עובדי כוכבים תקיפה על עצמן, וקתני: </w:t>
      </w:r>
    </w:p>
    <w:p w14:paraId="72C5B7B0" w14:textId="63A51503" w:rsidR="00887E68" w:rsidRDefault="00887E68" w:rsidP="00887E68">
      <w:pPr>
        <w:pStyle w:val="Style1"/>
        <w:rPr>
          <w:rStyle w:val="Style1Char"/>
          <w:rtl/>
        </w:rPr>
      </w:pPr>
      <w:r>
        <w:rPr>
          <w:rStyle w:val="Style1Char"/>
          <w:rFonts w:hint="cs"/>
          <w:rtl/>
        </w:rPr>
        <w:t>1)[</w:t>
      </w:r>
      <w:r w:rsidRPr="00887E68">
        <w:rPr>
          <w:rStyle w:val="Style1Char"/>
          <w:rtl/>
        </w:rPr>
        <w:t>רמב</w:t>
      </w:r>
      <w:r w:rsidR="0057095E">
        <w:rPr>
          <w:rStyle w:val="Style1Char"/>
          <w:rtl/>
        </w:rPr>
        <w:t>”ם \שופטים\</w:t>
      </w:r>
      <w:r w:rsidRPr="00887E68">
        <w:rPr>
          <w:rStyle w:val="Style1Char"/>
          <w:rtl/>
        </w:rPr>
        <w:t xml:space="preserve"> הלכות עדות פרק ד הלכה ד</w:t>
      </w:r>
      <w:r>
        <w:rPr>
          <w:rStyle w:val="Style1Char"/>
          <w:rFonts w:hint="cs"/>
          <w:rtl/>
        </w:rPr>
        <w:t xml:space="preserve">] </w:t>
      </w:r>
      <w:r w:rsidRPr="00887E68">
        <w:rPr>
          <w:rStyle w:val="Style1Char"/>
          <w:rtl/>
        </w:rPr>
        <w:t>וכן בעת שמעידין בבית דין יבא אחד ושומעין דבריו היום וכשיבוא העד השני לאחר זמן שומעין דבריו ומצטרפין זה לזה ומוציאין בהן הממון.</w:t>
      </w:r>
    </w:p>
    <w:p w14:paraId="30504EB4" w14:textId="1421490C" w:rsidR="002772EF" w:rsidRDefault="00DF6C7A" w:rsidP="002772EF">
      <w:pPr>
        <w:pStyle w:val="Style1"/>
        <w:rPr>
          <w:rtl/>
        </w:rPr>
      </w:pPr>
      <w:r>
        <w:rPr>
          <w:rStyle w:val="Style1Char"/>
          <w:rFonts w:hint="cs"/>
          <w:rtl/>
        </w:rPr>
        <w:t>1)[</w:t>
      </w:r>
      <w:r w:rsidRPr="00DF6C7A">
        <w:rPr>
          <w:rStyle w:val="Style1Char"/>
          <w:rtl/>
        </w:rPr>
        <w:t>שולחן ערוך חושן משפט הלכות עדות סימן ל סעיף ו</w:t>
      </w:r>
      <w:r>
        <w:rPr>
          <w:rStyle w:val="Style1Char"/>
          <w:rFonts w:hint="cs"/>
          <w:rtl/>
        </w:rPr>
        <w:t>]</w:t>
      </w:r>
      <w:r w:rsidR="002772EF">
        <w:rPr>
          <w:rStyle w:val="Style1Char"/>
          <w:rFonts w:hint="cs"/>
          <w:rtl/>
        </w:rPr>
        <w:t xml:space="preserve"> </w:t>
      </w:r>
      <w:r w:rsidR="002772EF" w:rsidRPr="002772EF">
        <w:rPr>
          <w:rtl/>
        </w:rPr>
        <w:t>בדיני ממונות אע"פ שלא ראו שני העדים המעשה כאחד עדותן מצטרפת כיצד אמר האחד בפני הלוהו ביום פלוני או בפני הודה לו ואמר העד האח' בפני הלוהו ביום אח' או הודה לו הרי אלו מצטרפין וכן אם אמר האחד בפני הלוהו והשני אומר בפני הודה לו או שאומר הראשון בפני הודה לו והשני אומר אחר זמן הלוהו בפני הרי אלו מצטרפין </w:t>
      </w:r>
      <w:r w:rsidR="002772EF" w:rsidRPr="002772EF">
        <w:rPr>
          <w:rFonts w:hint="cs"/>
          <w:rtl/>
        </w:rPr>
        <w:t>(וכן דיני עדות דבר איסור) (מרדכי פ"ב דיבמות) (וע' באה"ז </w:t>
      </w:r>
      <w:hyperlink r:id="rId61" w:tooltip="שולחן ערוך אבן העזר יא" w:history="1">
        <w:r w:rsidR="002772EF" w:rsidRPr="002772EF">
          <w:rPr>
            <w:rStyle w:val="Hyperlink"/>
            <w:rFonts w:hint="cs"/>
            <w:color w:val="7030A0"/>
            <w:u w:val="none"/>
            <w:rtl/>
          </w:rPr>
          <w:t>סי' י"א</w:t>
        </w:r>
      </w:hyperlink>
      <w:r w:rsidR="002772EF" w:rsidRPr="002772EF">
        <w:rPr>
          <w:rFonts w:hint="cs"/>
        </w:rPr>
        <w:t> </w:t>
      </w:r>
      <w:r w:rsidR="002772EF" w:rsidRPr="002772EF">
        <w:rPr>
          <w:rFonts w:hint="cs"/>
          <w:rtl/>
        </w:rPr>
        <w:t>ו</w:t>
      </w:r>
      <w:hyperlink r:id="rId62" w:anchor="%D7%A1%D7%A2%D7%99%D7%A3_%D7%99" w:tooltip="שולחן ערוך אבן העזר קמג" w:history="1">
        <w:r w:rsidR="002772EF" w:rsidRPr="002772EF">
          <w:rPr>
            <w:rStyle w:val="Hyperlink"/>
            <w:rFonts w:hint="cs"/>
            <w:color w:val="7030A0"/>
            <w:u w:val="none"/>
            <w:rtl/>
          </w:rPr>
          <w:t>סימן קמ"ג ס"י</w:t>
        </w:r>
      </w:hyperlink>
      <w:r w:rsidR="002772EF" w:rsidRPr="002772EF">
        <w:rPr>
          <w:rFonts w:hint="cs"/>
        </w:rPr>
        <w:t>)</w:t>
      </w:r>
      <w:r w:rsidR="002772EF" w:rsidRPr="002772EF">
        <w:t>:</w:t>
      </w:r>
    </w:p>
    <w:p w14:paraId="5BFC1026" w14:textId="7D87E80C" w:rsidR="001853DA" w:rsidRDefault="001853DA" w:rsidP="001853DA">
      <w:pPr>
        <w:pStyle w:val="Style1"/>
        <w:rPr>
          <w:rStyle w:val="Style1Char"/>
          <w:rtl/>
        </w:rPr>
      </w:pPr>
      <w:r>
        <w:rPr>
          <w:rStyle w:val="Style1Char"/>
          <w:rFonts w:hint="cs"/>
          <w:rtl/>
        </w:rPr>
        <w:t>2)[</w:t>
      </w:r>
      <w:r w:rsidRPr="001853DA">
        <w:rPr>
          <w:rStyle w:val="Style1Char"/>
          <w:rtl/>
        </w:rPr>
        <w:t>רמב</w:t>
      </w:r>
      <w:r w:rsidR="00213DA1">
        <w:rPr>
          <w:rStyle w:val="Style1Char"/>
          <w:rtl/>
        </w:rPr>
        <w:t>”ם \קדושה\</w:t>
      </w:r>
      <w:r w:rsidRPr="001853DA">
        <w:rPr>
          <w:rStyle w:val="Style1Char"/>
          <w:rtl/>
        </w:rPr>
        <w:t xml:space="preserve"> הלכות איסורי ביאה פרק כ הלכה טז</w:t>
      </w:r>
      <w:r>
        <w:rPr>
          <w:rStyle w:val="Style1Char"/>
          <w:rFonts w:hint="cs"/>
          <w:rtl/>
        </w:rPr>
        <w:t xml:space="preserve">] </w:t>
      </w:r>
      <w:r w:rsidRPr="001853DA">
        <w:rPr>
          <w:rStyle w:val="Style1Char"/>
          <w:rtl/>
        </w:rPr>
        <w:t>מי שהוחזק אביו כהן ויצא עליו קול שהוא בן גרושה או חלוצה חוששין לו ומורידין אותו, בא עד אחד אחר כך והעיד שהוא כשר מעלין אותו לכהונה על פיו, באו שנים עדים אחר כך והעידו שהוא חלל מורידין אותו מן הכהונה, בא עד אחד והעיד שהוא כשר מעלין אותו לכהונה שזה האחרון מצטרף לעד ראשון והרי שנים מעידין שהוא כשר ושנים מעידים שהוא פסול ידחו אלו ואלו וידחה הקול שהשנים כמאה וישאר כהן בחזקת אביו.</w:t>
      </w:r>
    </w:p>
    <w:p w14:paraId="393CB0DF" w14:textId="0A55D32A" w:rsidR="00BA0C06" w:rsidRDefault="00BA0C06" w:rsidP="006C69AA">
      <w:pPr>
        <w:pStyle w:val="Style1"/>
        <w:rPr>
          <w:rtl/>
        </w:rPr>
      </w:pPr>
      <w:r>
        <w:rPr>
          <w:rStyle w:val="Style1Char"/>
          <w:rFonts w:hint="cs"/>
          <w:rtl/>
        </w:rPr>
        <w:t>2)[</w:t>
      </w:r>
      <w:r w:rsidRPr="00BA0C06">
        <w:rPr>
          <w:rStyle w:val="Style1Char"/>
          <w:rtl/>
        </w:rPr>
        <w:t>שולחן ערוך חושן משפט הלכות עדות סימן ל סעיף ט</w:t>
      </w:r>
      <w:r>
        <w:rPr>
          <w:rStyle w:val="Style1Char"/>
          <w:rFonts w:hint="cs"/>
          <w:rtl/>
        </w:rPr>
        <w:t>]</w:t>
      </w:r>
      <w:r w:rsidR="006C69AA">
        <w:rPr>
          <w:rStyle w:val="Style1Char"/>
          <w:rFonts w:hint="cs"/>
          <w:rtl/>
        </w:rPr>
        <w:t xml:space="preserve"> </w:t>
      </w:r>
      <w:r w:rsidR="006C69AA" w:rsidRPr="006C69AA">
        <w:rPr>
          <w:rtl/>
        </w:rPr>
        <w:t>בדיני ממונות א"צ להעיד שני העדים כאחד אלא יבא אחד בפני ב"ד ושומעין דבריו היום וכשיבא העד השני לאחר זמן שומעין דבריו ומצטרפים זה לזה ומוציאי' בהם הממון</w:t>
      </w:r>
      <w:r w:rsidR="006C69AA" w:rsidRPr="006C69AA">
        <w:t>:</w:t>
      </w:r>
    </w:p>
    <w:p w14:paraId="0F5B9CAE" w14:textId="4F805907" w:rsidR="00F90C1C" w:rsidRDefault="001410CF" w:rsidP="00F90C1C">
      <w:pPr>
        <w:pStyle w:val="Style1"/>
        <w:rPr>
          <w:rtl/>
        </w:rPr>
      </w:pPr>
      <w:r>
        <w:rPr>
          <w:rStyle w:val="Style1Char"/>
          <w:rFonts w:hint="cs"/>
          <w:rtl/>
        </w:rPr>
        <w:t>2)[</w:t>
      </w:r>
      <w:r w:rsidRPr="001410CF">
        <w:rPr>
          <w:rStyle w:val="Style1Char"/>
          <w:rtl/>
        </w:rPr>
        <w:t>שולחן ערוך אבן העזר הלכות פריה ורביה סימן ג סעיף ז</w:t>
      </w:r>
      <w:r>
        <w:rPr>
          <w:rStyle w:val="Style1Char"/>
          <w:rFonts w:hint="cs"/>
          <w:rtl/>
        </w:rPr>
        <w:t>]</w:t>
      </w:r>
      <w:r w:rsidR="00F90C1C">
        <w:rPr>
          <w:rStyle w:val="Style1Char"/>
          <w:rFonts w:hint="cs"/>
          <w:rtl/>
        </w:rPr>
        <w:t xml:space="preserve"> </w:t>
      </w:r>
      <w:r w:rsidR="00F90C1C" w:rsidRPr="00F90C1C">
        <w:rPr>
          <w:rtl/>
        </w:rPr>
        <w:t>מי שהוחזק אביו כהן, ויצא עליו קול שהוא בן גרושה או בן חלוצה, חוששין לו ומורידין אותו. בא עד אחד אחר כך והעיד שהוא כשר, מעלין אותו לכהונה על פיו. באו ב' עדים אחר כך והעידו שהוא חלל, מורידין אותו מכהונה. בא עד אחד והעיד שהוא כשר, מעלין אותו לכהונה, שזה האחרון מצטרף לעד ראשון והרי שניים מעידים שהוא כשר ושניים מעידים שהוא פסול, ידחו אלו ואלו וידחה הקול, שהשניים כמאה, וישאר כהן בחזקת אביו</w:t>
      </w:r>
      <w:r w:rsidR="00F90C1C" w:rsidRPr="00F90C1C">
        <w:t>:</w:t>
      </w:r>
    </w:p>
    <w:p w14:paraId="09E45097" w14:textId="219C350E" w:rsidR="00B118BD" w:rsidRDefault="00B118BD" w:rsidP="00B118BD">
      <w:pPr>
        <w:pStyle w:val="Style1"/>
        <w:rPr>
          <w:rStyle w:val="Style1Char"/>
          <w:rtl/>
        </w:rPr>
      </w:pPr>
      <w:r>
        <w:rPr>
          <w:rStyle w:val="Style1Char"/>
          <w:rFonts w:hint="cs"/>
          <w:rtl/>
        </w:rPr>
        <w:t>3)[</w:t>
      </w:r>
      <w:r w:rsidRPr="00B118BD">
        <w:rPr>
          <w:rStyle w:val="Style1Char"/>
          <w:rtl/>
        </w:rPr>
        <w:t>רמב</w:t>
      </w:r>
      <w:r w:rsidR="00213DA1">
        <w:rPr>
          <w:rStyle w:val="Style1Char"/>
          <w:rtl/>
        </w:rPr>
        <w:t>”ם \קדושה\</w:t>
      </w:r>
      <w:r w:rsidRPr="00B118BD">
        <w:rPr>
          <w:rStyle w:val="Style1Char"/>
          <w:rtl/>
        </w:rPr>
        <w:t xml:space="preserve"> הלכות איסורי ביאה פרק יח הלכה ל</w:t>
      </w:r>
      <w:r>
        <w:rPr>
          <w:rStyle w:val="Style1Char"/>
          <w:rFonts w:hint="cs"/>
          <w:rtl/>
        </w:rPr>
        <w:t xml:space="preserve">] </w:t>
      </w:r>
      <w:r w:rsidRPr="00B118BD">
        <w:rPr>
          <w:rStyle w:val="Style1Char"/>
          <w:rtl/>
        </w:rPr>
        <w:t>האשה שנחבשה ביד עכו"ם ע"י ממון מותרת, ע"י נפשות אסורה לכהונה ולפיכך אם היה בעלה כהן נאסרה עליו, בד"א בזמן שיד ישראל תקיפה על העכו"ם והם יראין מהם, אבל בזמן שיד העכו"ם תקיפה אפילו ע"י ממון כיון שנעשית ברשות העכו"ם נאסרה אא"כ העיד לה אחד כשבויה כמו שביארנו.</w:t>
      </w:r>
    </w:p>
    <w:p w14:paraId="5C52FEEB" w14:textId="21CF406E" w:rsidR="00B40B4A" w:rsidRPr="00B40B4A" w:rsidRDefault="00220198" w:rsidP="00B40B4A">
      <w:pPr>
        <w:pStyle w:val="Style1"/>
      </w:pPr>
      <w:r>
        <w:rPr>
          <w:rStyle w:val="Style1Char"/>
          <w:rFonts w:hint="cs"/>
          <w:rtl/>
        </w:rPr>
        <w:t>3)[</w:t>
      </w:r>
      <w:r w:rsidRPr="00220198">
        <w:rPr>
          <w:rStyle w:val="Style1Char"/>
          <w:rtl/>
        </w:rPr>
        <w:t>שולחן ערוך אבן העזר הלכות אישות סימן ז סעיף יא</w:t>
      </w:r>
      <w:r>
        <w:rPr>
          <w:rStyle w:val="Style1Char"/>
          <w:rFonts w:hint="cs"/>
          <w:rtl/>
        </w:rPr>
        <w:t>]</w:t>
      </w:r>
      <w:r w:rsidR="00B40B4A">
        <w:rPr>
          <w:rStyle w:val="Style1Char"/>
          <w:rFonts w:hint="cs"/>
          <w:rtl/>
        </w:rPr>
        <w:t xml:space="preserve"> </w:t>
      </w:r>
      <w:r w:rsidR="00B40B4A" w:rsidRPr="00B40B4A">
        <w:rPr>
          <w:rtl/>
        </w:rPr>
        <w:t>האשה שנחבשה בידי עכו"ם על ידי ממון, מותרת אפילו לכהונה</w:t>
      </w:r>
      <w:r w:rsidR="00B40B4A" w:rsidRPr="00B40B4A">
        <w:t>:</w:t>
      </w:r>
    </w:p>
    <w:p w14:paraId="770A564F" w14:textId="77777777" w:rsidR="00B40B4A" w:rsidRPr="00B40B4A" w:rsidRDefault="00B40B4A" w:rsidP="00B40B4A">
      <w:pPr>
        <w:pStyle w:val="Style1"/>
      </w:pPr>
      <w:r w:rsidRPr="00B40B4A">
        <w:rPr>
          <w:rFonts w:hint="cs"/>
          <w:rtl/>
        </w:rPr>
        <w:t>הגה</w:t>
      </w:r>
      <w:r w:rsidRPr="00B40B4A">
        <w:rPr>
          <w:rFonts w:hint="cs"/>
        </w:rPr>
        <w:t>: </w:t>
      </w:r>
      <w:r w:rsidRPr="00B40B4A">
        <w:rPr>
          <w:rFonts w:hint="cs"/>
          <w:rtl/>
        </w:rPr>
        <w:t>ודווקא שחייבים להם, שיראו ליגע בה פן יפסידו מכיסם. אבל אם תפסו אותה כדי שיפדוה בממון, שלא יפסידו מכיסם, אסורה לבעלה כהן (תא"ו נתיב כ"ג וכן משמע בתוס' פרק אין מעמידין)</w:t>
      </w:r>
      <w:r w:rsidRPr="00B40B4A">
        <w:t>.</w:t>
      </w:r>
    </w:p>
    <w:p w14:paraId="629E05D7" w14:textId="77777777" w:rsidR="00B40B4A" w:rsidRPr="00B40B4A" w:rsidRDefault="00B40B4A" w:rsidP="00B40B4A">
      <w:pPr>
        <w:pStyle w:val="Style1"/>
      </w:pPr>
      <w:r w:rsidRPr="00B40B4A">
        <w:rPr>
          <w:rtl/>
        </w:rPr>
        <w:t>על ידי נפשות אסורה לכהונה, לפיכך אם היה בעלה כהן נאסרה עליו</w:t>
      </w:r>
      <w:r w:rsidRPr="00B40B4A">
        <w:t>:</w:t>
      </w:r>
    </w:p>
    <w:p w14:paraId="6352EDBB" w14:textId="77777777" w:rsidR="00B40B4A" w:rsidRPr="00B40B4A" w:rsidRDefault="00B40B4A" w:rsidP="00B40B4A">
      <w:pPr>
        <w:pStyle w:val="Style1"/>
      </w:pPr>
      <w:r w:rsidRPr="00B40B4A">
        <w:rPr>
          <w:rFonts w:hint="cs"/>
          <w:rtl/>
        </w:rPr>
        <w:t>הגה</w:t>
      </w:r>
      <w:r w:rsidRPr="00B40B4A">
        <w:rPr>
          <w:rFonts w:hint="cs"/>
        </w:rPr>
        <w:t>: </w:t>
      </w:r>
      <w:r w:rsidRPr="00B40B4A">
        <w:rPr>
          <w:rFonts w:hint="cs"/>
          <w:rtl/>
        </w:rPr>
        <w:t>ויש אומרים דעל ידי נפשות אסורה אפילו לבעלה ישראל, דחיישינן שמא נתרצית להם כדי שלא יהרגוה (תוס' והרא"ש והטור והר"ן ובפסקי מהרא"י סימן צ"ב). ודווקא בנחבשה מחמת עצמה ויש להם חשש מיתה (הגהות מיימוני פ' י"ח בשם י"א), אבל ביושבות חבושות מחמת בעליהן, אינן אסורות אלא אם כן נגמר דין בעליהן למיתה (בפסקי מהרא"י סי' צ"ב). ויש אומרים דכל מקום שהיא סבורה להחיות על ידי פדיון ולחזור, אינה אסורה לבעלה ישראל, דאינה מתרצית אע"פ שחבושה מחמת עצמה (שם במהרא"י). ובשעת הזעם והרג רב התירו רבותינו לבעלה ישראל, וכסברא הראשונה. ואם נחבשה בידי כותים, ויהודים נכנסים ויוצאים אצלה, שריא לבעלה (הגהות מיימוני פ' י"ח)</w:t>
      </w:r>
      <w:r w:rsidRPr="00B40B4A">
        <w:t>.</w:t>
      </w:r>
    </w:p>
    <w:p w14:paraId="7F771CF6" w14:textId="77777777" w:rsidR="00B40B4A" w:rsidRPr="00B40B4A" w:rsidRDefault="00B40B4A" w:rsidP="00B40B4A">
      <w:pPr>
        <w:pStyle w:val="Style1"/>
      </w:pPr>
      <w:r w:rsidRPr="00B40B4A">
        <w:rPr>
          <w:rFonts w:hint="cs"/>
          <w:rtl/>
        </w:rPr>
        <w:t>ישראל שהמיר הוא ואשתו וחזרו בהן, אשתו מותרת לו ולא חיישינן שמא זנתה תחתיו, ואפילו בעלה כהן. ואם אשתו המירה לחוד, אסורה לבעלה אפילו ישראל (תשובת רשב"א והגהות מרדכי דכתובות), אם לא שיש לה עד א' שלא זנתה, כשבויה. ויש מקילין ואומרים דלא חיישינן שמא זנתה (שם). ובשעת הגזירה, שהמירו דתן מחמת אונס וחזרו בהן לאחר שעבר האונס, יש להקל ולהתירן אפילו לבעלן כהנים (הרא"ש כלל ל"ב). ואם אשה נדרה להמיר עצמה ולא המירה עדיין וחזרה בה, מותרת לבעלה (מהרי"ק שורש ק"ס)</w:t>
      </w:r>
      <w:r w:rsidRPr="00B40B4A">
        <w:t>:</w:t>
      </w:r>
    </w:p>
    <w:p w14:paraId="179EF724" w14:textId="77777777" w:rsidR="00B40B4A" w:rsidRPr="00B40B4A" w:rsidRDefault="00B40B4A" w:rsidP="00B40B4A">
      <w:pPr>
        <w:pStyle w:val="Style1"/>
      </w:pPr>
      <w:r w:rsidRPr="00B40B4A">
        <w:rPr>
          <w:rtl/>
        </w:rPr>
        <w:t>במה דברים אמורים? בזמן שיד ישראל תקיפה על הכותים והם יראים מהם; אבל בזמן שיד הכותים תקיפה, אפילו על ידי ממון, כיון שנעשית ברשות הכותים נאסרה אלא אם כן העיד לה אחד, כשבויה</w:t>
      </w:r>
      <w:r w:rsidRPr="00B40B4A">
        <w:t>:</w:t>
      </w:r>
    </w:p>
    <w:p w14:paraId="487BD79A" w14:textId="77777777" w:rsidR="00B40B4A" w:rsidRPr="00B40B4A" w:rsidRDefault="00B40B4A" w:rsidP="00B40B4A">
      <w:pPr>
        <w:pStyle w:val="Style1"/>
      </w:pPr>
      <w:r w:rsidRPr="00B40B4A">
        <w:rPr>
          <w:rFonts w:hint="cs"/>
          <w:rtl/>
        </w:rPr>
        <w:lastRenderedPageBreak/>
        <w:t>הגה</w:t>
      </w:r>
      <w:r w:rsidRPr="00B40B4A">
        <w:rPr>
          <w:rFonts w:hint="cs"/>
        </w:rPr>
        <w:t>: </w:t>
      </w:r>
      <w:r w:rsidRPr="00B40B4A">
        <w:rPr>
          <w:rFonts w:hint="cs"/>
          <w:rtl/>
        </w:rPr>
        <w:t>וכל זה בנחבשה בידי כותים ומסורה בידם. אבל אם נתייחדה עם כותים, אפילו שחייבת להם, אין אוסרין על היחוד, אע"פ שעשאה שלא כדת. ואפילו יצא עליה קול זנות, כל קלא דבתר נשואין לא חיישינן לאוסרה על בעלה (שם בתשובת הרא"ש). מיהו אם נתייחדה לשם זנות יש להחמיר (מהרי"ק שורש ק"ס)</w:t>
      </w:r>
      <w:r w:rsidRPr="00B40B4A">
        <w:t>:</w:t>
      </w:r>
    </w:p>
    <w:p w14:paraId="595A51E7" w14:textId="77777777" w:rsidR="00B40B4A" w:rsidRPr="00B40B4A" w:rsidRDefault="00B40B4A" w:rsidP="00B40B4A">
      <w:pPr>
        <w:pStyle w:val="Style1"/>
        <w:rPr>
          <w:rStyle w:val="Style1Char"/>
        </w:rPr>
      </w:pPr>
    </w:p>
    <w:p w14:paraId="152050D9" w14:textId="033D14DE" w:rsidR="00220198" w:rsidRPr="00B40B4A" w:rsidRDefault="00220198" w:rsidP="00B40B4A">
      <w:pPr>
        <w:pStyle w:val="Style1"/>
        <w:rPr>
          <w:rStyle w:val="Style1Char"/>
        </w:rPr>
      </w:pPr>
    </w:p>
    <w:p w14:paraId="1992B7F2" w14:textId="4BB0D93C" w:rsidR="001410CF" w:rsidRPr="006C69AA" w:rsidRDefault="001410CF" w:rsidP="001410CF">
      <w:pPr>
        <w:pStyle w:val="Style1"/>
        <w:rPr>
          <w:rStyle w:val="Style1Char"/>
        </w:rPr>
      </w:pPr>
    </w:p>
    <w:p w14:paraId="3E9A8060" w14:textId="77777777" w:rsidR="00DA1858" w:rsidRPr="006C69AA" w:rsidRDefault="00DA1858" w:rsidP="006C69AA">
      <w:pPr>
        <w:pStyle w:val="Style1"/>
        <w:rPr>
          <w:rStyle w:val="Style1Char"/>
          <w:rtl/>
        </w:rPr>
      </w:pPr>
    </w:p>
    <w:p w14:paraId="483BC122" w14:textId="77777777" w:rsidR="00DA1858" w:rsidRPr="00DC499B" w:rsidRDefault="00DA1858" w:rsidP="00DA1858">
      <w:pPr>
        <w:bidi/>
        <w:rPr>
          <w:rStyle w:val="Style1Char"/>
          <w:color w:val="00B050"/>
        </w:rPr>
      </w:pPr>
    </w:p>
    <w:p w14:paraId="376D2286" w14:textId="77777777" w:rsidR="00DA1858" w:rsidRPr="00070EDF" w:rsidRDefault="00DA1858" w:rsidP="00DA1858">
      <w:pPr>
        <w:bidi/>
        <w:rPr>
          <w:rStyle w:val="Style1Char"/>
          <w:color w:val="C00000"/>
        </w:rPr>
      </w:pPr>
    </w:p>
    <w:p w14:paraId="70D23B1B" w14:textId="77777777" w:rsidR="00DA1858" w:rsidRPr="008A613E" w:rsidRDefault="00DA1858" w:rsidP="00DA1858">
      <w:pPr>
        <w:bidi/>
        <w:rPr>
          <w:rStyle w:val="Style1Char"/>
          <w:color w:val="00B050"/>
        </w:rPr>
      </w:pPr>
    </w:p>
    <w:p w14:paraId="4C325F23" w14:textId="77777777" w:rsidR="00DA1858" w:rsidRPr="00C45C75" w:rsidRDefault="00DA1858" w:rsidP="00DA1858">
      <w:pPr>
        <w:bidi/>
        <w:rPr>
          <w:rStyle w:val="Style1Char"/>
          <w:color w:val="00B050"/>
          <w:rtl/>
        </w:rPr>
      </w:pPr>
    </w:p>
    <w:p w14:paraId="4378A3F2" w14:textId="77777777" w:rsidR="00DA1858" w:rsidRDefault="00DA1858" w:rsidP="00DA1858">
      <w:pPr>
        <w:rPr>
          <w:rStyle w:val="Style1Char"/>
          <w:color w:val="00B050"/>
          <w:rtl/>
        </w:rPr>
      </w:pPr>
      <w:r>
        <w:rPr>
          <w:rStyle w:val="Style1Char"/>
          <w:color w:val="00B050"/>
          <w:rtl/>
        </w:rPr>
        <w:br w:type="page"/>
      </w:r>
    </w:p>
    <w:p w14:paraId="063659C7" w14:textId="77777777" w:rsidR="00DA1858" w:rsidRPr="00887069" w:rsidRDefault="00DA1858" w:rsidP="00DA1858">
      <w:pPr>
        <w:bidi/>
        <w:rPr>
          <w:rStyle w:val="Style1Char"/>
          <w:color w:val="00B050"/>
        </w:rPr>
      </w:pPr>
      <w:r w:rsidRPr="00834C32">
        <w:rPr>
          <w:rStyle w:val="Style1Char"/>
          <w:color w:val="00B050"/>
          <w:sz w:val="22"/>
          <w:szCs w:val="22"/>
          <w:highlight w:val="yellow"/>
          <w:rtl/>
        </w:rPr>
        <w:lastRenderedPageBreak/>
        <w:t>[דף כז עמוד א]</w:t>
      </w:r>
      <w:r w:rsidRPr="00834C32">
        <w:rPr>
          <w:rStyle w:val="Style1Char"/>
          <w:color w:val="00B050"/>
          <w:sz w:val="22"/>
          <w:szCs w:val="22"/>
          <w:rtl/>
        </w:rPr>
        <w:t xml:space="preserve"> </w:t>
      </w:r>
      <w:r w:rsidRPr="00887069">
        <w:rPr>
          <w:rStyle w:val="Style1Char"/>
          <w:color w:val="00B050"/>
          <w:rtl/>
        </w:rPr>
        <w:t xml:space="preserve">הורהנה אין, נחבשה לא! הוא הדין אפילו נחבשה, ומעשה שהיה כך היה. איכא דאמרי: אמר רבא, אף אנן נמי תנינא: העיד רבי יוסי הכהן ורבי זכריה בן הקצב, על בת ישראל שהורהנה באשקלון וריחקוה בני משפחתה, ועדיה מעידים עליה שלא נסתרה ושלא נטמאה, ואמרו חכמים: אם אתם מאמינים שהורהנה - האמינו שלא נסתרה ושלא נטמאה, ואם אין אתם מאמינים שלא נסתרה ושלא נטמאה - אל תאמינו שהורהנה; והא אשקלון דעל ידי ממון הוה, וטעמא דעדים מעידין אותה, הא אין עדים מעידין אותה - לא, מאי לאו לא שנא הורהנה ולא שנא נחבשה. לא, הורהנה שאני. איכא דרמי לה מירמא, תנן: על ידי ממון - מותרת לבעלה, ורמינהו: העיד רבי יוסי כו'; והא אשקלון דע"י ממון, וקתני טעמא דעדים מעידים אותה, הא אין עדים מעידין אותה - לא! ומשני, אמר רב שמואל בר רב יצחק, לא קשיא: כאן שיד ישראל תקיפה על עובדי כוכבים, כאן שיד עובדי כוכבים תקיפה על עצמן. </w:t>
      </w:r>
    </w:p>
    <w:p w14:paraId="6E1ED91E" w14:textId="58E34549" w:rsidR="00DA1858" w:rsidRPr="002C7F37" w:rsidRDefault="00DA1858" w:rsidP="00DA1858">
      <w:pPr>
        <w:bidi/>
        <w:rPr>
          <w:rStyle w:val="Style1Char"/>
          <w:color w:val="ED7D31" w:themeColor="accent2"/>
          <w:sz w:val="22"/>
          <w:szCs w:val="22"/>
          <w:rtl/>
        </w:rPr>
      </w:pPr>
      <w:r w:rsidRPr="00887069">
        <w:rPr>
          <w:rStyle w:val="Style1Char"/>
          <w:color w:val="00B050"/>
          <w:rtl/>
        </w:rPr>
        <w:t>על ידי נפשות - אסורה וכו'</w:t>
      </w:r>
      <w:r w:rsidRPr="002C7F37">
        <w:rPr>
          <w:rStyle w:val="Style1Char"/>
          <w:color w:val="4472C4" w:themeColor="accent1"/>
          <w:rtl/>
        </w:rPr>
        <w:t xml:space="preserve"> </w:t>
      </w:r>
      <w:r w:rsidRPr="002C7F37">
        <w:rPr>
          <w:rStyle w:val="Style1Char"/>
          <w:color w:val="4472C4" w:themeColor="accent1"/>
          <w:sz w:val="22"/>
          <w:szCs w:val="22"/>
          <w:rtl/>
        </w:rPr>
        <w:t>היכי דמי על ידי נפשות</w:t>
      </w:r>
      <w:r w:rsidRPr="00887069">
        <w:rPr>
          <w:rStyle w:val="Style1Char"/>
          <w:color w:val="00B050"/>
          <w:rtl/>
        </w:rPr>
        <w:t xml:space="preserve">. </w:t>
      </w:r>
      <w:r w:rsidRPr="002C7F37">
        <w:rPr>
          <w:rStyle w:val="Style1Char"/>
          <w:color w:val="ED7D31" w:themeColor="accent2"/>
          <w:sz w:val="22"/>
          <w:szCs w:val="22"/>
          <w:rtl/>
        </w:rPr>
        <w:t xml:space="preserve">אמר רב: כגון נשי גנבי, ולוי אמר: </w:t>
      </w:r>
      <w:r w:rsidR="00EA177E">
        <w:rPr>
          <w:rStyle w:val="Style1Char"/>
          <w:rFonts w:hint="cs"/>
          <w:rtl/>
        </w:rPr>
        <w:t>(1)</w:t>
      </w:r>
      <w:r w:rsidRPr="002C7F37">
        <w:rPr>
          <w:rStyle w:val="Style1Char"/>
          <w:color w:val="ED7D31" w:themeColor="accent2"/>
          <w:sz w:val="22"/>
          <w:szCs w:val="22"/>
          <w:rtl/>
        </w:rPr>
        <w:t xml:space="preserve">כגון אשתו של בן דונאי. אמר חזקיה: והוא שנגמר דינן להריגה, ורבי יוחנן אמר: </w:t>
      </w:r>
      <w:r w:rsidR="00884253">
        <w:rPr>
          <w:rStyle w:val="Style1Char"/>
          <w:rFonts w:hint="cs"/>
          <w:rtl/>
        </w:rPr>
        <w:t>(1)</w:t>
      </w:r>
      <w:r w:rsidRPr="002C7F37">
        <w:rPr>
          <w:rStyle w:val="Style1Char"/>
          <w:color w:val="ED7D31" w:themeColor="accent2"/>
          <w:sz w:val="22"/>
          <w:szCs w:val="22"/>
          <w:rtl/>
        </w:rPr>
        <w:t xml:space="preserve">אף על פי שלא נגמר דינן להריגה. </w:t>
      </w:r>
      <w:r w:rsidRPr="0077125B">
        <w:rPr>
          <w:rStyle w:val="Style1Char"/>
          <w:color w:val="4472C4" w:themeColor="accent1"/>
          <w:rtl/>
        </w:rPr>
        <w:t>והילכתא כחזקיה שהיה רבו של רבי יוחנן</w:t>
      </w:r>
      <w:r>
        <w:rPr>
          <w:rStyle w:val="Style1Char"/>
          <w:rFonts w:hint="cs"/>
          <w:color w:val="4472C4" w:themeColor="accent1"/>
        </w:rPr>
        <w:t>‍</w:t>
      </w:r>
      <w:r w:rsidRPr="0077125B">
        <w:rPr>
          <w:rStyle w:val="Style1Char"/>
          <w:color w:val="4472C4" w:themeColor="accent1"/>
        </w:rPr>
        <w:t>:</w:t>
      </w:r>
    </w:p>
    <w:p w14:paraId="307C4C16" w14:textId="4CF85679" w:rsidR="00DA1858" w:rsidRPr="00B86BBD" w:rsidRDefault="00DA1858" w:rsidP="00DA1858">
      <w:pPr>
        <w:bidi/>
        <w:rPr>
          <w:rStyle w:val="Style1Char"/>
          <w:color w:val="auto"/>
          <w:sz w:val="22"/>
          <w:szCs w:val="22"/>
        </w:rPr>
      </w:pPr>
      <w:r w:rsidRPr="00B86BBD">
        <w:rPr>
          <w:rStyle w:val="Style1Char"/>
          <w:color w:val="auto"/>
          <w:sz w:val="22"/>
          <w:szCs w:val="22"/>
          <w:rtl/>
        </w:rPr>
        <w:t xml:space="preserve">מתני'. </w:t>
      </w:r>
      <w:r w:rsidR="00884253">
        <w:rPr>
          <w:rStyle w:val="Style1Char"/>
          <w:rFonts w:hint="cs"/>
          <w:rtl/>
        </w:rPr>
        <w:t>(2)</w:t>
      </w:r>
      <w:r w:rsidRPr="00B86BBD">
        <w:rPr>
          <w:rStyle w:val="Style1Char"/>
          <w:color w:val="auto"/>
          <w:sz w:val="22"/>
          <w:szCs w:val="22"/>
          <w:rtl/>
        </w:rPr>
        <w:t xml:space="preserve">עיר שכבשוה כרכום, כל כהנות שנמצאו בתוכה - פסולות; </w:t>
      </w:r>
      <w:r w:rsidR="00A414DC">
        <w:rPr>
          <w:rStyle w:val="Style1Char"/>
          <w:rFonts w:hint="cs"/>
          <w:rtl/>
        </w:rPr>
        <w:t>(3)</w:t>
      </w:r>
      <w:r w:rsidRPr="00B86BBD">
        <w:rPr>
          <w:rStyle w:val="Style1Char"/>
          <w:color w:val="auto"/>
          <w:sz w:val="22"/>
          <w:szCs w:val="22"/>
          <w:rtl/>
        </w:rPr>
        <w:t xml:space="preserve">ואם יש להן עדים, אפילו עבד אפי' שפחה - הרי אלו נאמנין. ואין נאמן אדם על ידי עצמו. </w:t>
      </w:r>
    </w:p>
    <w:p w14:paraId="2B7FA8F5" w14:textId="59C6DBC8" w:rsidR="00DA1858" w:rsidRPr="0077125B" w:rsidRDefault="00DA1858" w:rsidP="00DA1858">
      <w:pPr>
        <w:bidi/>
        <w:rPr>
          <w:rStyle w:val="Style1Char"/>
          <w:color w:val="4472C4" w:themeColor="accent1"/>
        </w:rPr>
      </w:pPr>
      <w:r w:rsidRPr="00E82B1E">
        <w:rPr>
          <w:rStyle w:val="Style1Char"/>
          <w:color w:val="auto"/>
          <w:sz w:val="22"/>
          <w:szCs w:val="22"/>
          <w:rtl/>
        </w:rPr>
        <w:t xml:space="preserve">גמ' </w:t>
      </w:r>
      <w:r w:rsidRPr="00E82B1E">
        <w:rPr>
          <w:rStyle w:val="Style1Char"/>
          <w:color w:val="4472C4" w:themeColor="accent1"/>
          <w:sz w:val="22"/>
          <w:szCs w:val="22"/>
          <w:rtl/>
        </w:rPr>
        <w:t>והא דתנן כל הכהנות לאו דווקא דה"ה כל הנשים אפילו פנויות כיון דחיישינן שבא עליה עובד כוכבים ופסלה בביאתו והא דתנן כל הכהנות משום דבעי למיתני עובדא דרבי זכריה בן הקצב.</w:t>
      </w:r>
      <w:r w:rsidRPr="00E82B1E">
        <w:rPr>
          <w:rStyle w:val="Style1Char"/>
          <w:color w:val="00B050"/>
          <w:sz w:val="22"/>
          <w:szCs w:val="22"/>
          <w:rtl/>
        </w:rPr>
        <w:t xml:space="preserve">. </w:t>
      </w:r>
      <w:r w:rsidRPr="00E82B1E">
        <w:rPr>
          <w:rStyle w:val="Style1Char"/>
          <w:color w:val="ED7D31" w:themeColor="accent2"/>
          <w:sz w:val="22"/>
          <w:szCs w:val="22"/>
          <w:rtl/>
        </w:rPr>
        <w:t xml:space="preserve">ורמינהו: </w:t>
      </w:r>
      <w:r w:rsidR="00A414DC">
        <w:rPr>
          <w:rStyle w:val="Style1Char"/>
          <w:rFonts w:hint="cs"/>
          <w:rtl/>
        </w:rPr>
        <w:t>(4)</w:t>
      </w:r>
      <w:r w:rsidRPr="00E82B1E">
        <w:rPr>
          <w:rStyle w:val="Style1Char"/>
          <w:color w:val="ED7D31" w:themeColor="accent2"/>
          <w:sz w:val="22"/>
          <w:szCs w:val="22"/>
          <w:rtl/>
        </w:rPr>
        <w:t xml:space="preserve">בלשת שבאה לעיר, בשעת שלום - חביות פתוחות אסורות, סתומות מותרות, בשעת מלחמה - אלו ואלו מותרות, לפי שאין פנאי לנסך! אמר רב מרי: לבעול יש פנאי, לנסך אין פנאי. </w:t>
      </w:r>
      <w:r w:rsidRPr="00FA26E6">
        <w:rPr>
          <w:rStyle w:val="Style1Char"/>
          <w:color w:val="ED7D31" w:themeColor="accent2"/>
          <w:sz w:val="22"/>
          <w:szCs w:val="22"/>
          <w:rtl/>
        </w:rPr>
        <w:t xml:space="preserve">רבי יצחק בר אלעזר </w:t>
      </w:r>
      <w:r w:rsidRPr="00887069">
        <w:rPr>
          <w:rStyle w:val="Style1Char"/>
          <w:color w:val="00B050"/>
          <w:rtl/>
        </w:rPr>
        <w:t xml:space="preserve">משמיה דחזקיה </w:t>
      </w:r>
      <w:r w:rsidRPr="00FA26E6">
        <w:rPr>
          <w:rStyle w:val="Style1Char"/>
          <w:color w:val="ED7D31" w:themeColor="accent2"/>
          <w:sz w:val="22"/>
          <w:szCs w:val="22"/>
          <w:rtl/>
        </w:rPr>
        <w:t xml:space="preserve">אמר: </w:t>
      </w:r>
      <w:r w:rsidR="00B06DCB">
        <w:rPr>
          <w:rStyle w:val="Style1Char"/>
          <w:rFonts w:hint="cs"/>
          <w:rtl/>
        </w:rPr>
        <w:t>(</w:t>
      </w:r>
      <w:r w:rsidR="00091090">
        <w:rPr>
          <w:rStyle w:val="Style1Char"/>
          <w:rFonts w:hint="cs"/>
          <w:rtl/>
        </w:rPr>
        <w:t>2.2, 5</w:t>
      </w:r>
      <w:r w:rsidR="00B06DCB">
        <w:rPr>
          <w:rStyle w:val="Style1Char"/>
          <w:rFonts w:hint="cs"/>
          <w:rtl/>
        </w:rPr>
        <w:t>)</w:t>
      </w:r>
      <w:r w:rsidRPr="00FA26E6">
        <w:rPr>
          <w:rStyle w:val="Style1Char"/>
          <w:color w:val="ED7D31" w:themeColor="accent2"/>
          <w:sz w:val="22"/>
          <w:szCs w:val="22"/>
          <w:rtl/>
        </w:rPr>
        <w:t>כאן בכרכום של אותה מלכות, כאן בכרכום של מלכות אחרת</w:t>
      </w:r>
      <w:r w:rsidRPr="00887069">
        <w:rPr>
          <w:rStyle w:val="Style1Char"/>
          <w:color w:val="00B050"/>
          <w:rtl/>
        </w:rPr>
        <w:t xml:space="preserve">. </w:t>
      </w:r>
      <w:r w:rsidRPr="0077125B">
        <w:rPr>
          <w:rStyle w:val="Style1Char"/>
          <w:color w:val="4472C4" w:themeColor="accent1"/>
          <w:rtl/>
        </w:rPr>
        <w:t>וקי"ל כשינויא דרב מרי דבמסכת ע"ז (דף עא א) רמו מתניתין אהדדי</w:t>
      </w:r>
      <w:r>
        <w:rPr>
          <w:rStyle w:val="Style1Char"/>
          <w:rFonts w:hint="cs"/>
          <w:color w:val="4472C4" w:themeColor="accent1"/>
        </w:rPr>
        <w:t>‍</w:t>
      </w:r>
      <w:r w:rsidRPr="0077125B">
        <w:rPr>
          <w:rStyle w:val="Style1Char"/>
          <w:color w:val="4472C4" w:themeColor="accent1"/>
          <w:rtl/>
        </w:rPr>
        <w:t xml:space="preserve"> ומשני להו כדרב מרי ולא כשנויא אחרינא ולכך לא הביא רב אלפס ז"ל הסוגיא זו</w:t>
      </w:r>
      <w:r>
        <w:rPr>
          <w:rStyle w:val="Style1Char"/>
          <w:rFonts w:hint="cs"/>
          <w:color w:val="4472C4" w:themeColor="accent1"/>
        </w:rPr>
        <w:t>‍</w:t>
      </w:r>
      <w:r w:rsidRPr="0077125B">
        <w:rPr>
          <w:rStyle w:val="Style1Char"/>
          <w:color w:val="4472C4" w:themeColor="accent1"/>
          <w:rtl/>
        </w:rPr>
        <w:t xml:space="preserve"> לפי שאינו מחלק בין אותה מלכות למלכות אחרת אלא בכל ענין הכהנות אסורות והיין מותר.</w:t>
      </w:r>
      <w:r w:rsidRPr="00887069">
        <w:rPr>
          <w:rStyle w:val="Style1Char"/>
          <w:color w:val="00B050"/>
          <w:rtl/>
        </w:rPr>
        <w:t xml:space="preserve">של אותה מלכות נמי, אי אפשר דלא ערק חד מינייהו! אמר רב יהודה אמר שמואל: כשמשמרות רואות זו את זו. אי אפשר דלא ניימא פורתא! אמר רבי לוי: </w:t>
      </w:r>
      <w:r w:rsidR="00091090">
        <w:rPr>
          <w:rStyle w:val="Style1Char"/>
          <w:rFonts w:hint="cs"/>
          <w:rtl/>
        </w:rPr>
        <w:t>(2.2, 5)</w:t>
      </w:r>
      <w:r w:rsidRPr="00887069">
        <w:rPr>
          <w:rStyle w:val="Style1Char"/>
          <w:color w:val="00B050"/>
          <w:rtl/>
        </w:rPr>
        <w:t xml:space="preserve">כגון דמהדר לה למתא שושילתא וכלבא וגווזא ואווזא. אמר רבי אבא בר זבדא: פליגי בה רבי יהודה נשיאה ורבנן, חד אמר: כאן בכרכום של אותה מלכות, כאן בכרכום של מלכות אחרת, ולא קשיא ליה ולא מידי; וחד קשיא ליה כל הני, ומשני, כגון דמהדר ליה למתא שושילתא וכלבא וגווזא ואווזא. </w:t>
      </w:r>
      <w:r w:rsidRPr="00E65267">
        <w:rPr>
          <w:rStyle w:val="Style1Char"/>
          <w:color w:val="auto"/>
          <w:sz w:val="22"/>
          <w:szCs w:val="22"/>
          <w:rtl/>
        </w:rPr>
        <w:t xml:space="preserve">אמר רב אידי בר אבין אמר ר' יצחק בר אשיאן: </w:t>
      </w:r>
      <w:r w:rsidR="00091090">
        <w:rPr>
          <w:rStyle w:val="Style1Char"/>
          <w:rFonts w:hint="cs"/>
          <w:rtl/>
        </w:rPr>
        <w:t>(2.2, 5)</w:t>
      </w:r>
      <w:r w:rsidRPr="00E65267">
        <w:rPr>
          <w:rStyle w:val="Style1Char"/>
          <w:color w:val="auto"/>
          <w:sz w:val="22"/>
          <w:szCs w:val="22"/>
          <w:rtl/>
        </w:rPr>
        <w:t>אם יש שם מחבואה אחת, מצלת על הכהנות כולן</w:t>
      </w:r>
      <w:r w:rsidRPr="00E65267">
        <w:rPr>
          <w:rStyle w:val="Style1Char"/>
          <w:color w:val="auto"/>
          <w:rtl/>
        </w:rPr>
        <w:t xml:space="preserve"> </w:t>
      </w:r>
      <w:r w:rsidRPr="00DE3530">
        <w:rPr>
          <w:rStyle w:val="Style1Char"/>
          <w:color w:val="C00000"/>
          <w:sz w:val="22"/>
          <w:szCs w:val="22"/>
          <w:rtl/>
        </w:rPr>
        <w:t>ואפילו אינה מחזקת אלא אשה אחת כולהו שריאן דאמרינן בכל חדא וחדא היינו האי</w:t>
      </w:r>
      <w:r w:rsidRPr="00887069">
        <w:rPr>
          <w:rStyle w:val="Style1Char"/>
          <w:color w:val="00B050"/>
          <w:rtl/>
        </w:rPr>
        <w:t xml:space="preserve">. </w:t>
      </w:r>
      <w:r w:rsidRPr="00594C44">
        <w:rPr>
          <w:rStyle w:val="Style1Char"/>
          <w:color w:val="ED7D31" w:themeColor="accent2"/>
          <w:rtl/>
        </w:rPr>
        <w:t xml:space="preserve">בעי רבי ירמיה: אינה מחזקת אלא אחת, מהו? </w:t>
      </w:r>
      <w:r w:rsidRPr="00887069">
        <w:rPr>
          <w:rStyle w:val="Style1Char"/>
          <w:color w:val="00B050"/>
          <w:rtl/>
        </w:rPr>
        <w:t xml:space="preserve">מי אמרינן </w:t>
      </w:r>
      <w:r w:rsidR="00091090">
        <w:rPr>
          <w:rStyle w:val="Style1Char"/>
          <w:rFonts w:hint="cs"/>
          <w:rtl/>
        </w:rPr>
        <w:t>(2.2, 5)</w:t>
      </w:r>
      <w:r w:rsidRPr="00887069">
        <w:rPr>
          <w:rStyle w:val="Style1Char"/>
          <w:color w:val="00B050"/>
          <w:rtl/>
        </w:rPr>
        <w:t xml:space="preserve">כל חדא וחדא היינו הא, או דלמא לא אמרינן? </w:t>
      </w:r>
      <w:r w:rsidRPr="00594C44">
        <w:rPr>
          <w:rStyle w:val="Style1Char"/>
          <w:color w:val="ED7D31" w:themeColor="accent2"/>
          <w:rtl/>
        </w:rPr>
        <w:t>ומאי שנא משני שבילין, אחד טמא ואחד טהור</w:t>
      </w:r>
      <w:r w:rsidRPr="00594C44">
        <w:rPr>
          <w:rStyle w:val="Style1Char"/>
          <w:color w:val="4472C4" w:themeColor="accent1"/>
          <w:sz w:val="10"/>
          <w:szCs w:val="10"/>
          <w:rtl/>
        </w:rPr>
        <w:t xml:space="preserve"> </w:t>
      </w:r>
      <w:r w:rsidRPr="0077125B">
        <w:rPr>
          <w:rStyle w:val="Style1Char"/>
          <w:color w:val="4472C4" w:themeColor="accent1"/>
          <w:rtl/>
        </w:rPr>
        <w:t>וכו'</w:t>
      </w:r>
      <w:r w:rsidRPr="00887069">
        <w:rPr>
          <w:rStyle w:val="Style1Char"/>
          <w:color w:val="00B050"/>
          <w:rtl/>
        </w:rPr>
        <w:t xml:space="preserve">, והלך באחד מהן ועשה טהרות, ובא חבירו והלך בשני ועשה טהרות, רבי יהודה אומר: אם נשאל זה בפני עצמו וזה בפני עצמו - טהורות, שניהם כאחת - טמאות, ר' יוסי אומר: בין כך ובין כך - טמאין; ואמר רבא, ואיתימא ר' יוחנן: </w:t>
      </w:r>
      <w:r w:rsidR="00AD01FA">
        <w:rPr>
          <w:rStyle w:val="Style1Char"/>
          <w:rFonts w:hint="cs"/>
          <w:rtl/>
        </w:rPr>
        <w:t>(6)</w:t>
      </w:r>
      <w:r w:rsidRPr="00887069">
        <w:rPr>
          <w:rStyle w:val="Style1Char"/>
          <w:color w:val="00B050"/>
          <w:rtl/>
        </w:rPr>
        <w:t xml:space="preserve">בבת אחת - דברי הכל טמאין, בזה אחר זה - דברי הכל טהורים, לא נחלקו אלא בבא לישאל עליו ועל חבירו, מר מדמי ליה לבבת אחת, </w:t>
      </w:r>
      <w:r w:rsidR="002B234C">
        <w:rPr>
          <w:rStyle w:val="Style1Char"/>
          <w:rFonts w:hint="cs"/>
          <w:rtl/>
        </w:rPr>
        <w:t>(6)</w:t>
      </w:r>
      <w:r w:rsidRPr="00887069">
        <w:rPr>
          <w:rStyle w:val="Style1Char"/>
          <w:color w:val="00B050"/>
          <w:rtl/>
        </w:rPr>
        <w:t xml:space="preserve">ומר מדמי ליה לבזה אחר זה והכא נמי כיון דשרי להו לכולהו - כבת אחת דמי! </w:t>
      </w:r>
      <w:r w:rsidRPr="00594C44">
        <w:rPr>
          <w:rStyle w:val="Style1Char"/>
          <w:color w:val="ED7D31" w:themeColor="accent2"/>
          <w:rtl/>
        </w:rPr>
        <w:t>הכי השתא, התם ודאי איכא טומאה, הכא מי יימר דאיטמי</w:t>
      </w:r>
      <w:r w:rsidRPr="00C134F0">
        <w:rPr>
          <w:rStyle w:val="Style1Char"/>
          <w:color w:val="4472C4" w:themeColor="accent1"/>
          <w:rtl/>
        </w:rPr>
        <w:t xml:space="preserve"> </w:t>
      </w:r>
      <w:r w:rsidRPr="0077125B">
        <w:rPr>
          <w:rStyle w:val="Style1Char"/>
          <w:color w:val="4472C4" w:themeColor="accent1"/>
          <w:rtl/>
        </w:rPr>
        <w:t>לכאורה לא איפשיטא בעיא זו ורב אלפס ז"ל פסק לקולא</w:t>
      </w:r>
      <w:r>
        <w:rPr>
          <w:rStyle w:val="Style1Char"/>
          <w:rFonts w:hint="cs"/>
          <w:color w:val="4472C4" w:themeColor="accent1"/>
        </w:rPr>
        <w:t>‍</w:t>
      </w:r>
      <w:r w:rsidRPr="0077125B">
        <w:rPr>
          <w:rStyle w:val="Style1Char"/>
          <w:color w:val="4472C4" w:themeColor="accent1"/>
          <w:rtl/>
        </w:rPr>
        <w:t xml:space="preserve"> כיון דדחי הש"ס הכא מי יימר דאיטמי אלמא דמקילנא ביה דאמרינן בכל חדא וחדא</w:t>
      </w:r>
      <w:r>
        <w:rPr>
          <w:rStyle w:val="Style1Char"/>
          <w:rFonts w:hint="cs"/>
          <w:color w:val="4472C4" w:themeColor="accent1"/>
        </w:rPr>
        <w:t>‍</w:t>
      </w:r>
      <w:r w:rsidRPr="0077125B">
        <w:rPr>
          <w:rStyle w:val="Style1Char"/>
          <w:color w:val="4472C4" w:themeColor="accent1"/>
          <w:rtl/>
        </w:rPr>
        <w:t xml:space="preserve"> שמא נחבית ואת"ל לא נחבית שמא לא נטמית ויש שפסקו דלא תינשא לכהן ואם נישאת לא תצא ומסתבר כרב אלפס דקל היה לחכמים בדבר זה</w:t>
      </w:r>
      <w:r w:rsidRPr="0077125B">
        <w:rPr>
          <w:rStyle w:val="Style1Char"/>
          <w:color w:val="4472C4" w:themeColor="accent1"/>
        </w:rPr>
        <w:t>:</w:t>
      </w:r>
    </w:p>
    <w:p w14:paraId="5B8184FC" w14:textId="65DA1011" w:rsidR="00DA1858" w:rsidRDefault="00DA1858" w:rsidP="00DA1858">
      <w:pPr>
        <w:bidi/>
        <w:rPr>
          <w:rStyle w:val="Style1Char"/>
          <w:color w:val="auto"/>
          <w:sz w:val="22"/>
          <w:szCs w:val="22"/>
          <w:rtl/>
        </w:rPr>
      </w:pPr>
      <w:r w:rsidRPr="00193313">
        <w:rPr>
          <w:rStyle w:val="Style1Char"/>
          <w:color w:val="ED7D31" w:themeColor="accent2"/>
          <w:rtl/>
        </w:rPr>
        <w:t xml:space="preserve">. בעי רב אשי: </w:t>
      </w:r>
      <w:r w:rsidRPr="00935E39">
        <w:rPr>
          <w:rStyle w:val="Style1Char"/>
          <w:color w:val="C00000"/>
          <w:sz w:val="22"/>
          <w:szCs w:val="22"/>
          <w:rtl/>
        </w:rPr>
        <w:t xml:space="preserve">ואי </w:t>
      </w:r>
      <w:r w:rsidRPr="00193313">
        <w:rPr>
          <w:rStyle w:val="Style1Char"/>
          <w:color w:val="auto"/>
          <w:sz w:val="22"/>
          <w:szCs w:val="22"/>
          <w:rtl/>
        </w:rPr>
        <w:t>אמרה לא נחבאתי ולא נטמאתי</w:t>
      </w:r>
      <w:r w:rsidRPr="00193313">
        <w:rPr>
          <w:rStyle w:val="Style1Char"/>
          <w:color w:val="auto"/>
          <w:rtl/>
        </w:rPr>
        <w:t xml:space="preserve"> </w:t>
      </w:r>
      <w:r w:rsidRPr="00935E39">
        <w:rPr>
          <w:rStyle w:val="Style1Char"/>
          <w:color w:val="C00000"/>
          <w:sz w:val="22"/>
          <w:szCs w:val="22"/>
          <w:rtl/>
        </w:rPr>
        <w:t>נאמנת</w:t>
      </w:r>
      <w:r w:rsidRPr="00887069">
        <w:rPr>
          <w:rStyle w:val="Style1Char"/>
          <w:color w:val="00B050"/>
          <w:rtl/>
        </w:rPr>
        <w:t xml:space="preserve">, </w:t>
      </w:r>
      <w:r w:rsidRPr="00193313">
        <w:rPr>
          <w:rStyle w:val="Style1Char"/>
          <w:color w:val="ED7D31" w:themeColor="accent2"/>
          <w:rtl/>
        </w:rPr>
        <w:t xml:space="preserve">מהו? מי </w:t>
      </w:r>
      <w:r w:rsidRPr="00193313">
        <w:rPr>
          <w:rStyle w:val="Style1Char"/>
          <w:color w:val="auto"/>
          <w:sz w:val="22"/>
          <w:szCs w:val="22"/>
          <w:rtl/>
        </w:rPr>
        <w:t xml:space="preserve">אמרינן </w:t>
      </w:r>
    </w:p>
    <w:p w14:paraId="79A74D17" w14:textId="6868073E" w:rsidR="00927C7F" w:rsidRDefault="00927C7F" w:rsidP="00927C7F">
      <w:pPr>
        <w:pStyle w:val="Style1"/>
        <w:rPr>
          <w:rStyle w:val="Style1Char"/>
          <w:rtl/>
        </w:rPr>
      </w:pPr>
      <w:r>
        <w:rPr>
          <w:rStyle w:val="Style1Char"/>
          <w:rFonts w:hint="cs"/>
          <w:rtl/>
        </w:rPr>
        <w:t>1)[</w:t>
      </w:r>
      <w:r w:rsidRPr="00927C7F">
        <w:rPr>
          <w:rStyle w:val="Style1Char"/>
          <w:rtl/>
        </w:rPr>
        <w:t>רמב</w:t>
      </w:r>
      <w:r w:rsidR="00213DA1">
        <w:rPr>
          <w:rStyle w:val="Style1Char"/>
          <w:rtl/>
        </w:rPr>
        <w:t>”ם \קדושה\</w:t>
      </w:r>
      <w:r w:rsidRPr="00927C7F">
        <w:rPr>
          <w:rStyle w:val="Style1Char"/>
          <w:rtl/>
        </w:rPr>
        <w:t xml:space="preserve"> הלכות איסורי ביאה פרק יח הלכה ל</w:t>
      </w:r>
      <w:r>
        <w:rPr>
          <w:rStyle w:val="Style1Char"/>
          <w:rFonts w:hint="cs"/>
          <w:rtl/>
        </w:rPr>
        <w:t xml:space="preserve">] </w:t>
      </w:r>
      <w:r w:rsidRPr="00927C7F">
        <w:rPr>
          <w:rStyle w:val="Style1Char"/>
          <w:rtl/>
        </w:rPr>
        <w:t>האשה שנחבשה ביד עכו"ם ע"י ממון מותרת, ע"י נפשות אסורה לכהונה ולפיכך אם היה בעלה כהן נאסרה עליו, בד"א בזמן שיד ישראל תקיפה על העכו"ם והם יראין מהם, אבל בזמן שיד העכו"ם תקיפה אפילו ע"י ממון כיון שנעשית ברשות העכו"ם נאסרה אא"כ העיד ל לה אחד כשבויה כמו שביארנו.</w:t>
      </w:r>
    </w:p>
    <w:p w14:paraId="6980D5F9" w14:textId="1B5B8716" w:rsidR="00823B5D" w:rsidRPr="00B40B4A" w:rsidRDefault="00823B5D" w:rsidP="00823B5D">
      <w:pPr>
        <w:pStyle w:val="Style1"/>
      </w:pPr>
      <w:r>
        <w:rPr>
          <w:rStyle w:val="Style1Char"/>
          <w:rFonts w:hint="cs"/>
          <w:rtl/>
        </w:rPr>
        <w:t>1)[</w:t>
      </w:r>
      <w:r w:rsidRPr="00220198">
        <w:rPr>
          <w:rStyle w:val="Style1Char"/>
          <w:rtl/>
        </w:rPr>
        <w:t>שולחן ערוך אבן העזר הלכות אישות סימן ז סעיף יא</w:t>
      </w:r>
      <w:r>
        <w:rPr>
          <w:rStyle w:val="Style1Char"/>
          <w:rFonts w:hint="cs"/>
          <w:rtl/>
        </w:rPr>
        <w:t xml:space="preserve">] </w:t>
      </w:r>
      <w:r w:rsidRPr="00B40B4A">
        <w:rPr>
          <w:rtl/>
        </w:rPr>
        <w:t>האשה שנחבשה בידי עכו"ם על ידי ממון, מותרת אפילו לכהונה</w:t>
      </w:r>
      <w:r w:rsidRPr="00B40B4A">
        <w:t>:</w:t>
      </w:r>
    </w:p>
    <w:p w14:paraId="0E9DAE37" w14:textId="77777777" w:rsidR="00823B5D" w:rsidRPr="00B40B4A" w:rsidRDefault="00823B5D" w:rsidP="00823B5D">
      <w:pPr>
        <w:pStyle w:val="Style1"/>
      </w:pPr>
      <w:r w:rsidRPr="00B40B4A">
        <w:rPr>
          <w:rFonts w:hint="cs"/>
          <w:rtl/>
        </w:rPr>
        <w:t>הגה</w:t>
      </w:r>
      <w:r w:rsidRPr="00B40B4A">
        <w:rPr>
          <w:rFonts w:hint="cs"/>
        </w:rPr>
        <w:t>: </w:t>
      </w:r>
      <w:r w:rsidRPr="00B40B4A">
        <w:rPr>
          <w:rFonts w:hint="cs"/>
          <w:rtl/>
        </w:rPr>
        <w:t>ודווקא שחייבים להם, שיראו ליגע בה פן יפסידו מכיסם. אבל אם תפסו אותה כדי שיפדוה בממון, שלא יפסידו מכיסם, אסורה לבעלה כהן (תא"ו נתיב כ"ג וכן משמע בתוס' פרק אין מעמידין)</w:t>
      </w:r>
      <w:r w:rsidRPr="00B40B4A">
        <w:t>.</w:t>
      </w:r>
    </w:p>
    <w:p w14:paraId="52313804" w14:textId="77777777" w:rsidR="00823B5D" w:rsidRPr="00B40B4A" w:rsidRDefault="00823B5D" w:rsidP="00823B5D">
      <w:pPr>
        <w:pStyle w:val="Style1"/>
      </w:pPr>
      <w:r w:rsidRPr="00B40B4A">
        <w:rPr>
          <w:rtl/>
        </w:rPr>
        <w:t>על ידי נפשות אסורה לכהונה, לפיכך אם היה בעלה כהן נאסרה עליו</w:t>
      </w:r>
      <w:r w:rsidRPr="00B40B4A">
        <w:t>:</w:t>
      </w:r>
    </w:p>
    <w:p w14:paraId="453EC898" w14:textId="77777777" w:rsidR="00823B5D" w:rsidRPr="00B40B4A" w:rsidRDefault="00823B5D" w:rsidP="00823B5D">
      <w:pPr>
        <w:pStyle w:val="Style1"/>
      </w:pPr>
      <w:r w:rsidRPr="00B40B4A">
        <w:rPr>
          <w:rFonts w:hint="cs"/>
          <w:rtl/>
        </w:rPr>
        <w:t>הגה</w:t>
      </w:r>
      <w:r w:rsidRPr="00B40B4A">
        <w:rPr>
          <w:rFonts w:hint="cs"/>
        </w:rPr>
        <w:t>: </w:t>
      </w:r>
      <w:r w:rsidRPr="00B40B4A">
        <w:rPr>
          <w:rFonts w:hint="cs"/>
          <w:rtl/>
        </w:rPr>
        <w:t>ויש אומרים דעל ידי נפשות אסורה אפילו לבעלה ישראל, דחיישינן שמא נתרצית להם כדי שלא יהרגוה (תוס' והרא"ש והטור והר"ן ובפסקי מהרא"י סימן צ"ב). ודווקא בנחבשה מחמת עצמה ויש להם חשש מיתה (הגהות מיימוני פ' י"ח בשם י"א), אבל ביושבות חבושות מחמת בעליהן, אינן אסורות אלא אם כן נגמר דין בעליהן למיתה (בפסקי מהרא"י סי' צ"ב). ויש אומרים דכל מקום שהיא סבורה להחיות על ידי פדיון ולחזור, אינה אסורה לבעלה ישראל, דאינה מתרצית אע"פ שחבושה מחמת עצמה (שם במהרא"י). ובשעת הזעם והרג רב התירו רבותינו לבעלה ישראל, וכסברא הראשונה. ואם נחבשה בידי כותים, ויהודים נכנסים ויוצאים אצלה, שריא לבעלה (הגהות מיימוני פ' י"ח)</w:t>
      </w:r>
      <w:r w:rsidRPr="00B40B4A">
        <w:t>.</w:t>
      </w:r>
    </w:p>
    <w:p w14:paraId="14A25294" w14:textId="77777777" w:rsidR="00823B5D" w:rsidRPr="00B40B4A" w:rsidRDefault="00823B5D" w:rsidP="00823B5D">
      <w:pPr>
        <w:pStyle w:val="Style1"/>
      </w:pPr>
      <w:r w:rsidRPr="00B40B4A">
        <w:rPr>
          <w:rFonts w:hint="cs"/>
          <w:rtl/>
        </w:rPr>
        <w:t>ישראל שהמיר הוא ואשתו וחזרו בהן, אשתו מותרת לו ולא חיישינן שמא זנתה תחתיו, ואפילו בעלה כהן. ואם אשתו המירה לחוד, אסורה לבעלה אפילו ישראל (תשובת רשב"א והגהות מרדכי דכתובות), אם לא שיש לה עד א' שלא זנתה, כשבויה. ויש מקילין ואומרים דלא חיישינן שמא זנתה (שם). ובשעת הגזירה, שהמירו דתן מחמת אונס וחזרו בהן לאחר שעבר האונס, יש להקל ולהתירן אפילו לבעלן כהנים (הרא"ש כלל ל"ב). ואם אשה נדרה להמיר עצמה ולא המירה עדיין וחזרה בה, מותרת לבעלה (מהרי"ק שורש ק"ס)</w:t>
      </w:r>
      <w:r w:rsidRPr="00B40B4A">
        <w:t>:</w:t>
      </w:r>
    </w:p>
    <w:p w14:paraId="3246A5B3" w14:textId="77777777" w:rsidR="00823B5D" w:rsidRPr="00B40B4A" w:rsidRDefault="00823B5D" w:rsidP="00823B5D">
      <w:pPr>
        <w:pStyle w:val="Style1"/>
      </w:pPr>
      <w:r w:rsidRPr="00B40B4A">
        <w:rPr>
          <w:rtl/>
        </w:rPr>
        <w:t>במה דברים אמורים? בזמן שיד ישראל תקיפה על הכותים והם יראים מהם; אבל בזמן שיד הכותים תקיפה, אפילו על ידי ממון, כיון שנעשית ברשות הכותים נאסרה אלא אם כן העיד לה אחד, כשבויה</w:t>
      </w:r>
      <w:r w:rsidRPr="00B40B4A">
        <w:t>:</w:t>
      </w:r>
    </w:p>
    <w:p w14:paraId="5B4F84C4" w14:textId="01395800" w:rsidR="00823B5D" w:rsidRDefault="00823B5D" w:rsidP="00823B5D">
      <w:pPr>
        <w:pStyle w:val="Style1"/>
        <w:rPr>
          <w:rtl/>
        </w:rPr>
      </w:pPr>
      <w:r w:rsidRPr="00B40B4A">
        <w:rPr>
          <w:rFonts w:hint="cs"/>
          <w:rtl/>
        </w:rPr>
        <w:t>הגה</w:t>
      </w:r>
      <w:r w:rsidRPr="00B40B4A">
        <w:rPr>
          <w:rFonts w:hint="cs"/>
        </w:rPr>
        <w:t>: </w:t>
      </w:r>
      <w:r w:rsidRPr="00B40B4A">
        <w:rPr>
          <w:rFonts w:hint="cs"/>
          <w:rtl/>
        </w:rPr>
        <w:t>וכל זה בנחבשה בידי כותים ומסורה בידם. אבל אם נתייחדה עם כותים, אפילו שחייבת להם, אין אוסרין על היחוד, אע"פ שעשאה שלא כדת. ואפילו יצא עליה קול זנות, כל קלא דבתר נשואין לא חיישינן לאוסרה על בעלה (שם בתשובת הרא"ש). מיהו אם נתייחדה לשם זנות יש להחמיר (מהרי"ק שורש ק"ס)</w:t>
      </w:r>
      <w:r w:rsidRPr="00B40B4A">
        <w:t>:</w:t>
      </w:r>
    </w:p>
    <w:p w14:paraId="0FF1B5F8" w14:textId="3F4D1245" w:rsidR="00C23E70" w:rsidRDefault="00C23E70" w:rsidP="00C23E70">
      <w:pPr>
        <w:pStyle w:val="Style1"/>
        <w:rPr>
          <w:rtl/>
        </w:rPr>
      </w:pPr>
      <w:r>
        <w:rPr>
          <w:rFonts w:hint="cs"/>
          <w:rtl/>
        </w:rPr>
        <w:lastRenderedPageBreak/>
        <w:t>2)[</w:t>
      </w:r>
      <w:r>
        <w:rPr>
          <w:rtl/>
        </w:rPr>
        <w:t>רמב</w:t>
      </w:r>
      <w:r w:rsidR="00213DA1">
        <w:rPr>
          <w:rtl/>
        </w:rPr>
        <w:t>”ם \קדושה\</w:t>
      </w:r>
      <w:r>
        <w:rPr>
          <w:rtl/>
        </w:rPr>
        <w:t xml:space="preserve"> הלכות איסורי ביאה פרק יח הלכה כו</w:t>
      </w:r>
      <w:r>
        <w:rPr>
          <w:rFonts w:hint="cs"/>
          <w:rtl/>
        </w:rPr>
        <w:t xml:space="preserve">] </w:t>
      </w:r>
      <w:r>
        <w:rPr>
          <w:rtl/>
        </w:rPr>
        <w:t>עיר שבאה במצור ונכבשה אם היו העכו"ם מקיפין את העיר מכל רוחותיה כדי שלא תמלט אשה אחת עד שיראו אותה ותעשה ברשותן הרי כל הנשים שבתוכה פסולות לכהונה כשבויות שמא נבעלו לעכו"ם, אלא מי שהיתה מבת שלש שנים ולמטה כמו שביארנו.</w:t>
      </w:r>
    </w:p>
    <w:p w14:paraId="35244E12" w14:textId="61A48D6B" w:rsidR="0082772E" w:rsidRPr="0082772E" w:rsidRDefault="00F35AB6" w:rsidP="0082772E">
      <w:pPr>
        <w:pStyle w:val="Style1"/>
      </w:pPr>
      <w:r>
        <w:rPr>
          <w:rFonts w:hint="cs"/>
          <w:rtl/>
        </w:rPr>
        <w:t>2)[</w:t>
      </w:r>
      <w:r>
        <w:rPr>
          <w:rtl/>
        </w:rPr>
        <w:t>שולחן ערוך אבן העזר הלכות אישות סימן ז סעיף י</w:t>
      </w:r>
      <w:r>
        <w:rPr>
          <w:rFonts w:hint="cs"/>
          <w:rtl/>
        </w:rPr>
        <w:t>]</w:t>
      </w:r>
      <w:r w:rsidR="0082772E">
        <w:rPr>
          <w:rFonts w:hint="cs"/>
          <w:rtl/>
        </w:rPr>
        <w:t xml:space="preserve"> </w:t>
      </w:r>
      <w:r w:rsidR="0082772E" w:rsidRPr="0082772E">
        <w:rPr>
          <w:rtl/>
        </w:rPr>
        <w:t>עיר שבא במצור ונכבשה, אם היו כותים מקיפים את העיר מכל רוחותיה כדי שלא תמלט אשה אחת עד שיראו אותה ותיעשה ברשותם, הרי כל הנשים שבתוכה פסולות כשבויות, שמא נבעלו לכותים, אלא מי שהיתה מג' שנים ולמטה. ואם היה אפשר שתמלט אשה ולא ידעו בה, או שהיה בעיר מחבואה אחת, אפילו אינה מחזקת אלא אשה אחת, הרי זו מצלת הכל. כיצד מצלת? שכל אשה שאמרה "טהורה אני" – נאמנת ואע"פ שאין לה עד, מתוך שיכולה לומר: "נמלטתי כשנכבשה העיר", או "במחבואה הייתי ונצלתי", נאמנת לומר: "לא נמלטתי ולא נחבאתי ולא נטמאתי</w:t>
      </w:r>
      <w:r w:rsidR="0082772E" w:rsidRPr="0082772E">
        <w:t>".</w:t>
      </w:r>
    </w:p>
    <w:p w14:paraId="4CD3DEB5" w14:textId="3CBDB260" w:rsidR="0082772E" w:rsidRDefault="0082772E" w:rsidP="0082772E">
      <w:pPr>
        <w:pStyle w:val="Style1"/>
        <w:rPr>
          <w:rtl/>
        </w:rPr>
      </w:pPr>
      <w:r w:rsidRPr="0082772E">
        <w:rPr>
          <w:rtl/>
        </w:rPr>
        <w:t>במה דברים אמורים? בגדוד של אותה מלכות, שהם מתיישבין בעיר ואין יראים, לפיכך חוששין להם שמא בעלו. אבל גדוד של מלכות אחרת שפשט ושטף ועבר, לא נאסרו הנשים, מפני שאין להם פנאי לבעול, שהם עוסקים בשלל ובורחים להם. ואם שבו נשים ונעשו ברשותן, אע"פ שרדפו אחריהם ישראל והצילו אותם מידם, הרי הן אסורות. ויש חולקין ואומרים שאף בגדוד של מלכות אחרת אסורות</w:t>
      </w:r>
      <w:r w:rsidRPr="0082772E">
        <w:t>:</w:t>
      </w:r>
    </w:p>
    <w:p w14:paraId="5470D5C8" w14:textId="6ABA3143" w:rsidR="00C46F40" w:rsidRDefault="00C46F40" w:rsidP="00C46F40">
      <w:pPr>
        <w:pStyle w:val="Style1"/>
        <w:rPr>
          <w:rtl/>
        </w:rPr>
      </w:pPr>
      <w:r>
        <w:rPr>
          <w:rFonts w:hint="cs"/>
          <w:rtl/>
        </w:rPr>
        <w:t>3)[</w:t>
      </w:r>
      <w:r>
        <w:rPr>
          <w:rtl/>
        </w:rPr>
        <w:t>רמב</w:t>
      </w:r>
      <w:r w:rsidR="00213DA1">
        <w:rPr>
          <w:rtl/>
        </w:rPr>
        <w:t>”ם \קדושה\</w:t>
      </w:r>
      <w:r>
        <w:rPr>
          <w:rtl/>
        </w:rPr>
        <w:t xml:space="preserve"> הלכות איסורי ביאה פרק יח הלכה יט</w:t>
      </w:r>
      <w:r>
        <w:rPr>
          <w:rFonts w:hint="cs"/>
          <w:rtl/>
        </w:rPr>
        <w:t xml:space="preserve">] </w:t>
      </w:r>
      <w:r>
        <w:rPr>
          <w:rtl/>
        </w:rPr>
        <w:t>אין הבעל נאמן להעיד באשתו השבויה שלא נטמאה שאין אדם מעיד לעצמו, וכן שפחתה לא תעיד לה, אבל שפחת בעלה מעידה לה, ושפחתה שהיתה מסיחה לפי תומה נאמנת.</w:t>
      </w:r>
    </w:p>
    <w:p w14:paraId="4BFDC944" w14:textId="77777777" w:rsidR="003D3078" w:rsidRPr="00305302" w:rsidRDefault="003D3078" w:rsidP="003D3078">
      <w:pPr>
        <w:pStyle w:val="Style1"/>
      </w:pPr>
      <w:r>
        <w:rPr>
          <w:rFonts w:hint="cs"/>
          <w:rtl/>
        </w:rPr>
        <w:t>3</w:t>
      </w:r>
      <w:r>
        <w:rPr>
          <w:rStyle w:val="Style1Char"/>
          <w:rFonts w:hint="cs"/>
          <w:rtl/>
        </w:rPr>
        <w:t>)[</w:t>
      </w:r>
      <w:r w:rsidRPr="00D04A88">
        <w:rPr>
          <w:rStyle w:val="Style1Char"/>
          <w:rtl/>
        </w:rPr>
        <w:t>שולחן ערוך אבן העזר הלכות אישות סימן ז סעיף א</w:t>
      </w:r>
      <w:r>
        <w:rPr>
          <w:rStyle w:val="Style1Char"/>
          <w:rFonts w:hint="cs"/>
          <w:rtl/>
        </w:rPr>
        <w:t xml:space="preserve">] </w:t>
      </w:r>
      <w:r w:rsidRPr="00305302">
        <w:rPr>
          <w:rtl/>
        </w:rPr>
        <w:t>שבויה שנשבית והיא בת ג' שנים ויום אחד או יותר, אסורה לכהן, מפני שהיא ספק זונה, שמא נבעלה לכותי. ואם יש לה עֵד שלא נתייחד כותי עמה, הרי זו כשרה לכהונה. ואפילו עבד או שפחה או קרוב נאמן לעדות זו</w:t>
      </w:r>
      <w:r w:rsidRPr="00305302">
        <w:t>:</w:t>
      </w:r>
    </w:p>
    <w:p w14:paraId="621F1D41" w14:textId="77777777" w:rsidR="003D3078" w:rsidRPr="00305302" w:rsidRDefault="003D3078" w:rsidP="003D3078">
      <w:pPr>
        <w:pStyle w:val="Style1"/>
      </w:pPr>
      <w:r w:rsidRPr="00305302">
        <w:rPr>
          <w:rFonts w:hint="cs"/>
          <w:rtl/>
        </w:rPr>
        <w:t>הגה</w:t>
      </w:r>
      <w:r w:rsidRPr="00305302">
        <w:rPr>
          <w:rFonts w:hint="cs"/>
        </w:rPr>
        <w:t>: </w:t>
      </w:r>
      <w:r w:rsidRPr="00305302">
        <w:rPr>
          <w:rFonts w:hint="cs"/>
          <w:rtl/>
        </w:rPr>
        <w:t>ואפילו נשים שאינן נאמנות בעדות אשה, כגון חמותה וכו', נאמנת בשבויה. (הגהות אלפסי פ"ב דכתובות)</w:t>
      </w:r>
      <w:r w:rsidRPr="00305302">
        <w:t>:</w:t>
      </w:r>
    </w:p>
    <w:p w14:paraId="5EB22180" w14:textId="347371AE" w:rsidR="003D3078" w:rsidRDefault="003D3078" w:rsidP="003D3078">
      <w:pPr>
        <w:pStyle w:val="Style1"/>
        <w:rPr>
          <w:rtl/>
        </w:rPr>
      </w:pPr>
      <w:r w:rsidRPr="00305302">
        <w:rPr>
          <w:rtl/>
        </w:rPr>
        <w:t>וב' שבויות שהעידה כל אחת לחבירתה, הרי אלו נאמנות, וכן קטן שהיה מסיח לפי תומו נאמן. מעשה באחד שנשבה הוא ואמו, ובנה מסיח לפי תומו ואמר: נשבינו לבין הכותים אני ואמי, יצאתי לשאוב מים – דעתי על אמי, ללקוט עצים ודעתי על אמי, והשיאו אותה חכמים לכהן על פיו. ויש שכתב שהקטן נאמן אפילו במתכוין להעיד</w:t>
      </w:r>
      <w:r w:rsidRPr="00305302">
        <w:t>:</w:t>
      </w:r>
    </w:p>
    <w:p w14:paraId="4BDCFD6C" w14:textId="5DC5D35C" w:rsidR="00BA3075" w:rsidRDefault="00BA3075" w:rsidP="00BA3075">
      <w:pPr>
        <w:pStyle w:val="Style1"/>
        <w:rPr>
          <w:rtl/>
        </w:rPr>
      </w:pPr>
      <w:r>
        <w:rPr>
          <w:rFonts w:hint="cs"/>
          <w:rtl/>
        </w:rPr>
        <w:t>4)[</w:t>
      </w:r>
      <w:r>
        <w:rPr>
          <w:rtl/>
        </w:rPr>
        <w:t>רמב</w:t>
      </w:r>
      <w:r w:rsidR="0057095E">
        <w:rPr>
          <w:rtl/>
        </w:rPr>
        <w:t>”ם \קדושה\</w:t>
      </w:r>
      <w:r>
        <w:rPr>
          <w:rtl/>
        </w:rPr>
        <w:t xml:space="preserve"> הלכות מאכלות אסורות פרק יב הלכה כד</w:t>
      </w:r>
      <w:r>
        <w:rPr>
          <w:rFonts w:hint="cs"/>
          <w:rtl/>
        </w:rPr>
        <w:t xml:space="preserve">] </w:t>
      </w:r>
      <w:r>
        <w:rPr>
          <w:rtl/>
        </w:rPr>
        <w:t>גדוד שנכנס למדינה דרך שלום כל החביות הפתוחות שבחנויות אסורות וסתומות מותרות, ובשעת מלחמה אם פשט הגדוד במדינה ועבר אלו ואלו מותרות שאין פנאי לנסך.</w:t>
      </w:r>
    </w:p>
    <w:p w14:paraId="7E95E5B7" w14:textId="13BC0359" w:rsidR="000C00F1" w:rsidRDefault="000C00F1" w:rsidP="000C00F1">
      <w:pPr>
        <w:pStyle w:val="Style1"/>
        <w:rPr>
          <w:rtl/>
        </w:rPr>
      </w:pPr>
      <w:r>
        <w:rPr>
          <w:rFonts w:hint="cs"/>
          <w:rtl/>
        </w:rPr>
        <w:t>4)[</w:t>
      </w:r>
      <w:r>
        <w:rPr>
          <w:rtl/>
        </w:rPr>
        <w:t>שולחן ערוך יורה דעה הלכות יין נסך סימן קכט סעיף יב</w:t>
      </w:r>
      <w:r>
        <w:rPr>
          <w:rFonts w:hint="cs"/>
          <w:rtl/>
        </w:rPr>
        <w:t>]</w:t>
      </w:r>
      <w:r w:rsidR="0030162A">
        <w:rPr>
          <w:rFonts w:hint="cs"/>
          <w:rtl/>
        </w:rPr>
        <w:t xml:space="preserve"> </w:t>
      </w:r>
      <w:r w:rsidR="0030162A" w:rsidRPr="0030162A">
        <w:rPr>
          <w:rtl/>
        </w:rPr>
        <w:t>חיל שנכנס לעיר ונכנס לבית ישראל בשעת שלום חביות פתוחות אפילו הן פקוקות אסורות וסתומות במגופה של טיט מותרות ובשעת מלחמה אלו ואלו מותרות ודוקא בפתוחות מתחלתן אבל סתומות שנפתחו חיישינן להו</w:t>
      </w:r>
      <w:r w:rsidR="0030162A" w:rsidRPr="0030162A">
        <w:t>:</w:t>
      </w:r>
    </w:p>
    <w:p w14:paraId="2ED91D5D" w14:textId="2DC19389" w:rsidR="00302B2A" w:rsidRDefault="00302B2A" w:rsidP="00302B2A">
      <w:pPr>
        <w:pStyle w:val="Style1"/>
        <w:rPr>
          <w:rtl/>
        </w:rPr>
      </w:pPr>
      <w:r>
        <w:rPr>
          <w:rFonts w:hint="cs"/>
          <w:rtl/>
        </w:rPr>
        <w:t>5)[</w:t>
      </w:r>
      <w:r>
        <w:rPr>
          <w:rtl/>
        </w:rPr>
        <w:t>רמב</w:t>
      </w:r>
      <w:r w:rsidR="00213DA1">
        <w:rPr>
          <w:rtl/>
        </w:rPr>
        <w:t>”ם \קדושה\</w:t>
      </w:r>
      <w:r>
        <w:rPr>
          <w:rtl/>
        </w:rPr>
        <w:t xml:space="preserve"> הלכות איסורי ביאה פרק יח הלכה כז</w:t>
      </w:r>
      <w:r>
        <w:rPr>
          <w:rFonts w:hint="cs"/>
          <w:rtl/>
        </w:rPr>
        <w:t xml:space="preserve">] </w:t>
      </w:r>
      <w:r>
        <w:rPr>
          <w:rtl/>
        </w:rPr>
        <w:t>ואם היה איפשר שתמלט אשה אחת ולא ידעו בה או שתהיה בעיר מחבואה אחת אפילו אינה מחזקת אלא אשה אחת הרי זו מצלת על הכל.</w:t>
      </w:r>
    </w:p>
    <w:p w14:paraId="0F9F45CB" w14:textId="69D28C85" w:rsidR="003A377E" w:rsidRDefault="003A377E" w:rsidP="003A377E">
      <w:pPr>
        <w:pStyle w:val="Style1"/>
        <w:rPr>
          <w:rtl/>
        </w:rPr>
      </w:pPr>
      <w:r>
        <w:rPr>
          <w:rFonts w:hint="cs"/>
          <w:rtl/>
        </w:rPr>
        <w:t>5)[</w:t>
      </w:r>
      <w:r>
        <w:rPr>
          <w:rtl/>
        </w:rPr>
        <w:t>רמב</w:t>
      </w:r>
      <w:r w:rsidR="00213DA1">
        <w:rPr>
          <w:rtl/>
        </w:rPr>
        <w:t>”ם \קדושה\</w:t>
      </w:r>
      <w:r>
        <w:rPr>
          <w:rtl/>
        </w:rPr>
        <w:t xml:space="preserve"> הלכות איסורי ביאה פרק יח הלכה כח</w:t>
      </w:r>
      <w:r>
        <w:rPr>
          <w:rFonts w:hint="cs"/>
          <w:rtl/>
        </w:rPr>
        <w:t xml:space="preserve">] </w:t>
      </w:r>
      <w:r>
        <w:rPr>
          <w:rtl/>
        </w:rPr>
        <w:t>כיצד מצלת שכל אשה שאמרה טהורה אני נאמנת, ואף על פי שאין לה עד מתוך שיכולה לומר נמלטתי כשנכבשה העיר או במחבואה הייתי ונצלתי נאמנת לומר לא נמלטתי ולא נחבאתי ולא נטמאתי.</w:t>
      </w:r>
    </w:p>
    <w:p w14:paraId="73A2DC5D" w14:textId="533437B7" w:rsidR="00CC2FCF" w:rsidRDefault="00CC2FCF" w:rsidP="00CC2FCF">
      <w:pPr>
        <w:pStyle w:val="Style1"/>
        <w:rPr>
          <w:rtl/>
        </w:rPr>
      </w:pPr>
      <w:r>
        <w:rPr>
          <w:rFonts w:hint="cs"/>
          <w:rtl/>
        </w:rPr>
        <w:t>5)[</w:t>
      </w:r>
      <w:r>
        <w:rPr>
          <w:rtl/>
        </w:rPr>
        <w:t>רמב</w:t>
      </w:r>
      <w:r w:rsidR="00213DA1">
        <w:rPr>
          <w:rtl/>
        </w:rPr>
        <w:t>”ם \קדושה\</w:t>
      </w:r>
      <w:r>
        <w:rPr>
          <w:rtl/>
        </w:rPr>
        <w:t xml:space="preserve"> הלכות איסורי ביאה פרק יח הלכה כט</w:t>
      </w:r>
      <w:r>
        <w:rPr>
          <w:rFonts w:hint="cs"/>
          <w:rtl/>
        </w:rPr>
        <w:t>] ב</w:t>
      </w:r>
      <w:r>
        <w:rPr>
          <w:rtl/>
        </w:rPr>
        <w:t>ד"א בגדוד של אותה מלכות שהם מתיישבין בעיר ואין יראין לפיכך חוששין להם שמא בעלו, אבל גדוד של מלכות אחרת שפשט ושטף ועבר לא נאסרו הנשים מפני שאין להם פנאי לבעול שהן עוסקים בשלל ובורחין להם, ואם שבו נשים ונעשו ברשותן אף על פי שרדפו אחריהם ישראל והצילו אותן מידם הרי הן אסורות.</w:t>
      </w:r>
    </w:p>
    <w:p w14:paraId="14297B0E" w14:textId="6F4AAAE5" w:rsidR="00AF3F54" w:rsidRDefault="00AF3F54" w:rsidP="00AF3F54">
      <w:pPr>
        <w:pStyle w:val="Style1"/>
        <w:rPr>
          <w:rtl/>
        </w:rPr>
      </w:pPr>
      <w:r>
        <w:rPr>
          <w:rFonts w:hint="cs"/>
          <w:rtl/>
        </w:rPr>
        <w:t>6)[</w:t>
      </w:r>
      <w:r>
        <w:rPr>
          <w:rtl/>
        </w:rPr>
        <w:t>רמב</w:t>
      </w:r>
      <w:r w:rsidR="0057095E">
        <w:rPr>
          <w:rtl/>
        </w:rPr>
        <w:t>”ם \טהרה\</w:t>
      </w:r>
      <w:r>
        <w:rPr>
          <w:rtl/>
        </w:rPr>
        <w:t xml:space="preserve"> הלכות שאר אבות הטומאה פרק יט הלכה ב</w:t>
      </w:r>
      <w:r>
        <w:rPr>
          <w:rFonts w:hint="cs"/>
          <w:rtl/>
        </w:rPr>
        <w:t xml:space="preserve">] </w:t>
      </w:r>
      <w:r>
        <w:rPr>
          <w:rtl/>
        </w:rPr>
        <w:t>שני שבילין אחד טמא ואחד טהור הלך באחד מהן ועשה טהרות ובא חבירו והלך בשני ועשה טהרות אם באו ונשאלו זה אחר זה מורין לכל אחד מהן בפני עצמו שהוא טהור, באו שניהן כאחד או שבא האחד ושאל עליו ועל חבירו ואמר שנים היינו ובשני השבילים הלכנו ושתי טהרות עשינו הרי שניהם טמאין וטהרות שעשו נשרפות, וכן אם נטמאו בטומאה קלה כיצד שני ככרים אחד טמא ואחד טהור אכל את אחד מהם ועשה טהרות ובא חבירו ואכל את השני ועשה טהרות אם נשאלו זה אחר זה שניהן טהורין מפני שהן ספק דברי סופרים שהוא מכלל הספיקות שטהרו חכמים כמו שביארנו, נשאלו שניהן כאחת או שנשאל עליו ועל חבירו שניהן טמאין מספק וטהרותם נשרפות שהרי ודאי אחת מהן טמאה ואפילו ככר אחד טמא שנתערב במאה ככרות טהורין כולן טמאין וישרפו.</w:t>
      </w:r>
    </w:p>
    <w:p w14:paraId="26164450" w14:textId="49215749" w:rsidR="005928C3" w:rsidRPr="0030162A" w:rsidRDefault="005928C3" w:rsidP="005928C3">
      <w:pPr>
        <w:pStyle w:val="Style1"/>
      </w:pPr>
    </w:p>
    <w:p w14:paraId="0CE90892" w14:textId="5FA62B15" w:rsidR="000C00F1" w:rsidRDefault="000C00F1" w:rsidP="000C00F1">
      <w:pPr>
        <w:pStyle w:val="Style1"/>
        <w:rPr>
          <w:rtl/>
        </w:rPr>
      </w:pPr>
    </w:p>
    <w:p w14:paraId="14ABCB27" w14:textId="72BC1200" w:rsidR="003D3078" w:rsidRPr="0082772E" w:rsidRDefault="003D3078" w:rsidP="003D3078">
      <w:pPr>
        <w:pStyle w:val="Style1"/>
      </w:pPr>
    </w:p>
    <w:p w14:paraId="306BBDCF" w14:textId="77777777" w:rsidR="0082772E" w:rsidRPr="0082772E" w:rsidRDefault="0082772E" w:rsidP="0082772E">
      <w:pPr>
        <w:pStyle w:val="Style1"/>
      </w:pPr>
    </w:p>
    <w:p w14:paraId="71073682" w14:textId="3880F0F1" w:rsidR="00F35AB6" w:rsidRPr="00B40B4A" w:rsidRDefault="00F35AB6" w:rsidP="00F35AB6">
      <w:pPr>
        <w:pStyle w:val="Style1"/>
      </w:pPr>
    </w:p>
    <w:p w14:paraId="12D7AA6A" w14:textId="77777777" w:rsidR="00DA1858" w:rsidRPr="00823B5D" w:rsidRDefault="00DA1858" w:rsidP="00DA1858">
      <w:pPr>
        <w:bidi/>
        <w:rPr>
          <w:rStyle w:val="Style1Char"/>
          <w:sz w:val="22"/>
          <w:szCs w:val="22"/>
          <w:rtl/>
        </w:rPr>
      </w:pPr>
    </w:p>
    <w:p w14:paraId="76B16970" w14:textId="77777777" w:rsidR="00DA1858" w:rsidRPr="00C24DD2" w:rsidRDefault="00DA1858" w:rsidP="00DA1858">
      <w:pPr>
        <w:bidi/>
        <w:rPr>
          <w:rStyle w:val="Style1Char"/>
          <w:color w:val="00B050"/>
        </w:rPr>
      </w:pPr>
    </w:p>
    <w:p w14:paraId="0F26F217" w14:textId="77777777" w:rsidR="00DA1858" w:rsidRPr="008A613E" w:rsidRDefault="00DA1858" w:rsidP="00DA1858">
      <w:pPr>
        <w:bidi/>
        <w:rPr>
          <w:rStyle w:val="Style1Char"/>
          <w:color w:val="00B050"/>
          <w:rtl/>
        </w:rPr>
      </w:pPr>
    </w:p>
    <w:p w14:paraId="64220E55" w14:textId="77777777" w:rsidR="00DA1858" w:rsidRDefault="00DA1858" w:rsidP="00DA1858">
      <w:pPr>
        <w:rPr>
          <w:rStyle w:val="Style1Char"/>
          <w:color w:val="00B050"/>
          <w:rtl/>
        </w:rPr>
      </w:pPr>
      <w:r>
        <w:rPr>
          <w:rStyle w:val="Style1Char"/>
          <w:color w:val="00B050"/>
          <w:rtl/>
        </w:rPr>
        <w:br w:type="page"/>
      </w:r>
    </w:p>
    <w:p w14:paraId="098CB2A4" w14:textId="6E476124" w:rsidR="00DA1858" w:rsidRPr="00DF62D6" w:rsidRDefault="00DA1858" w:rsidP="00DA1858">
      <w:pPr>
        <w:bidi/>
        <w:rPr>
          <w:rStyle w:val="Style1Char"/>
          <w:color w:val="ED7D31" w:themeColor="accent2"/>
        </w:rPr>
      </w:pPr>
      <w:r w:rsidRPr="00193313">
        <w:rPr>
          <w:rStyle w:val="Style1Char"/>
          <w:color w:val="auto"/>
          <w:sz w:val="22"/>
          <w:szCs w:val="22"/>
          <w:highlight w:val="yellow"/>
          <w:rtl/>
        </w:rPr>
        <w:lastRenderedPageBreak/>
        <w:t>[דף כז עמוד ב]</w:t>
      </w:r>
      <w:r w:rsidRPr="00193313">
        <w:rPr>
          <w:rStyle w:val="Style1Char"/>
          <w:color w:val="auto"/>
          <w:sz w:val="22"/>
          <w:szCs w:val="22"/>
          <w:rtl/>
        </w:rPr>
        <w:t xml:space="preserve"> מה לי לשקר</w:t>
      </w:r>
      <w:r w:rsidRPr="00193313">
        <w:rPr>
          <w:rStyle w:val="Style1Char"/>
          <w:color w:val="auto"/>
          <w:rtl/>
        </w:rPr>
        <w:t xml:space="preserve"> </w:t>
      </w:r>
      <w:r w:rsidRPr="00935E39">
        <w:rPr>
          <w:rStyle w:val="Style1Char"/>
          <w:rFonts w:hint="cs"/>
          <w:color w:val="C00000"/>
          <w:sz w:val="22"/>
          <w:szCs w:val="22"/>
          <w:rtl/>
        </w:rPr>
        <w:t>ד</w:t>
      </w:r>
      <w:r w:rsidRPr="00935E39">
        <w:rPr>
          <w:rStyle w:val="Style1Char"/>
          <w:color w:val="C00000"/>
          <w:sz w:val="22"/>
          <w:szCs w:val="22"/>
          <w:rtl/>
        </w:rPr>
        <w:t>אי בעיא אמרה נחבאתי:</w:t>
      </w:r>
      <w:r w:rsidRPr="00887069">
        <w:rPr>
          <w:rStyle w:val="Style1Char"/>
          <w:color w:val="00B050"/>
          <w:rtl/>
        </w:rPr>
        <w:t xml:space="preserve">, </w:t>
      </w:r>
      <w:r w:rsidRPr="00193313">
        <w:rPr>
          <w:rStyle w:val="Style1Char"/>
          <w:color w:val="ED7D31" w:themeColor="accent2"/>
          <w:rtl/>
        </w:rPr>
        <w:t>או דלמא לא אמרינן</w:t>
      </w:r>
      <w:r w:rsidRPr="00193313">
        <w:rPr>
          <w:rStyle w:val="Style1Char"/>
          <w:color w:val="4472C4" w:themeColor="accent1"/>
          <w:rtl/>
        </w:rPr>
        <w:t xml:space="preserve"> </w:t>
      </w:r>
      <w:r w:rsidRPr="0077125B">
        <w:rPr>
          <w:rStyle w:val="Style1Char"/>
          <w:color w:val="4472C4" w:themeColor="accent1"/>
          <w:rtl/>
        </w:rPr>
        <w:t>מה לה לשקר</w:t>
      </w:r>
      <w:r w:rsidRPr="00193313">
        <w:rPr>
          <w:rStyle w:val="Style1Char"/>
          <w:color w:val="ED7D31" w:themeColor="accent2"/>
          <w:rtl/>
        </w:rPr>
        <w:t xml:space="preserve">? ומאי שנא מההוא מעשה דההוא גברא דאגר ליה חמרא </w:t>
      </w:r>
      <w:r w:rsidRPr="0077125B">
        <w:rPr>
          <w:rStyle w:val="Style1Char"/>
          <w:color w:val="4472C4" w:themeColor="accent1"/>
          <w:rtl/>
        </w:rPr>
        <w:t xml:space="preserve">וכו' </w:t>
      </w:r>
      <w:r w:rsidRPr="00917955">
        <w:rPr>
          <w:rStyle w:val="Style1Char"/>
          <w:color w:val="00B050"/>
          <w:rtl/>
        </w:rPr>
        <w:t>לחבריה</w:t>
      </w:r>
      <w:r w:rsidRPr="00887069">
        <w:rPr>
          <w:rStyle w:val="Style1Char"/>
          <w:color w:val="00B050"/>
          <w:rtl/>
        </w:rPr>
        <w:t xml:space="preserve">, א"ל: לא תיזיל באורחא דנהר פקוד דאיכא מיא, זיל באורחא דנרש דליכא מיא, ואזיל איהו באורחא דנהר פקוד ומית חמרא, אתא לקמיה דרבא, א"ל: אין, באורחא דנהר פקוד אזלי, מיהו לא הוו מיא, אמר רבא: מה לי לשקר, אי בעי א"ל באורחא דנרש אזלי, ואמר ליה אביי: </w:t>
      </w:r>
      <w:r w:rsidR="00C365F7">
        <w:rPr>
          <w:rStyle w:val="Style1Char"/>
          <w:rFonts w:hint="cs"/>
          <w:rtl/>
        </w:rPr>
        <w:t>(1)</w:t>
      </w:r>
      <w:r w:rsidRPr="00887069">
        <w:rPr>
          <w:rStyle w:val="Style1Char"/>
          <w:color w:val="00B050"/>
          <w:rtl/>
        </w:rPr>
        <w:t xml:space="preserve">מה לי לשקר במקום עדים לא אמרינן! </w:t>
      </w:r>
      <w:r w:rsidRPr="009E087E">
        <w:rPr>
          <w:rStyle w:val="Style1Char"/>
          <w:color w:val="ED7D31" w:themeColor="accent2"/>
          <w:rtl/>
        </w:rPr>
        <w:t xml:space="preserve">הכי השתא, התם ודאי </w:t>
      </w:r>
      <w:r w:rsidRPr="00887069">
        <w:rPr>
          <w:rStyle w:val="Style1Char"/>
          <w:color w:val="00B050"/>
          <w:rtl/>
        </w:rPr>
        <w:t>איכא עדים ד</w:t>
      </w:r>
      <w:r w:rsidRPr="009E087E">
        <w:rPr>
          <w:rStyle w:val="Style1Char"/>
          <w:color w:val="ED7D31" w:themeColor="accent2"/>
          <w:rtl/>
        </w:rPr>
        <w:t>איכא מיא</w:t>
      </w:r>
      <w:r w:rsidRPr="00DF62D6">
        <w:rPr>
          <w:rStyle w:val="Style1Char"/>
          <w:color w:val="4472C4" w:themeColor="accent1"/>
          <w:rtl/>
        </w:rPr>
        <w:t xml:space="preserve"> </w:t>
      </w:r>
      <w:r w:rsidRPr="0077125B">
        <w:rPr>
          <w:rStyle w:val="Style1Char"/>
          <w:color w:val="4472C4" w:themeColor="accent1"/>
          <w:rtl/>
        </w:rPr>
        <w:t>מה לי לשקר במקום עדים לא אמרינן</w:t>
      </w:r>
      <w:r w:rsidRPr="00887069">
        <w:rPr>
          <w:rStyle w:val="Style1Char"/>
          <w:color w:val="00B050"/>
          <w:rtl/>
        </w:rPr>
        <w:t xml:space="preserve">, </w:t>
      </w:r>
      <w:r w:rsidRPr="00DF62D6">
        <w:rPr>
          <w:rStyle w:val="Style1Char"/>
          <w:color w:val="ED7D31" w:themeColor="accent2"/>
          <w:rtl/>
        </w:rPr>
        <w:t xml:space="preserve">הכא ודאי איטמי? חששא הוא, </w:t>
      </w:r>
      <w:r w:rsidR="00C365F7">
        <w:rPr>
          <w:rStyle w:val="Style1Char"/>
          <w:rFonts w:hint="cs"/>
          <w:rtl/>
        </w:rPr>
        <w:t>(2)</w:t>
      </w:r>
      <w:r w:rsidRPr="00DF62D6">
        <w:rPr>
          <w:rStyle w:val="Style1Char"/>
          <w:color w:val="ED7D31" w:themeColor="accent2"/>
          <w:rtl/>
        </w:rPr>
        <w:t xml:space="preserve">ובמקום חששא אמרינן </w:t>
      </w:r>
      <w:r w:rsidRPr="0077125B">
        <w:rPr>
          <w:rStyle w:val="Style1Char"/>
          <w:color w:val="4472C4" w:themeColor="accent1"/>
          <w:rtl/>
        </w:rPr>
        <w:t>מה לי לשקר</w:t>
      </w:r>
      <w:r>
        <w:rPr>
          <w:rStyle w:val="Style1Char"/>
          <w:rFonts w:hint="cs"/>
          <w:color w:val="4472C4" w:themeColor="accent1"/>
          <w:rtl/>
        </w:rPr>
        <w:t>.</w:t>
      </w:r>
      <w:r>
        <w:rPr>
          <w:rStyle w:val="Style1Char"/>
          <w:rFonts w:hint="cs"/>
          <w:color w:val="4472C4" w:themeColor="accent1"/>
        </w:rPr>
        <w:t>‍</w:t>
      </w:r>
      <w:r w:rsidRPr="0077125B">
        <w:rPr>
          <w:rStyle w:val="Style1Char"/>
          <w:color w:val="4472C4" w:themeColor="accent1"/>
          <w:rtl/>
        </w:rPr>
        <w:t xml:space="preserve"> גם כאן פסק רב אלפס לקולא.</w:t>
      </w:r>
    </w:p>
    <w:p w14:paraId="75ADF64C" w14:textId="25EE2347" w:rsidR="00DA1858" w:rsidRPr="009741A2" w:rsidRDefault="00DA1858" w:rsidP="00DA1858">
      <w:pPr>
        <w:bidi/>
        <w:rPr>
          <w:rStyle w:val="Style1Char"/>
          <w:color w:val="ED7D31" w:themeColor="accent2"/>
          <w:sz w:val="22"/>
          <w:szCs w:val="22"/>
          <w:rtl/>
        </w:rPr>
      </w:pPr>
      <w:r w:rsidRPr="00386215">
        <w:rPr>
          <w:rStyle w:val="Style1Char"/>
          <w:sz w:val="22"/>
          <w:szCs w:val="22"/>
          <w:rtl/>
        </w:rPr>
        <w:t xml:space="preserve">אם יש עדים, </w:t>
      </w:r>
      <w:r w:rsidRPr="00CC3F35">
        <w:rPr>
          <w:rStyle w:val="Style1Char"/>
          <w:color w:val="auto"/>
          <w:sz w:val="22"/>
          <w:szCs w:val="22"/>
          <w:rtl/>
        </w:rPr>
        <w:t xml:space="preserve">אפילו עבד ואפילו שפחה </w:t>
      </w:r>
      <w:r w:rsidRPr="00887069">
        <w:rPr>
          <w:rStyle w:val="Style1Char"/>
          <w:color w:val="00B050"/>
          <w:rtl/>
        </w:rPr>
        <w:t>- נאמנין. ואפילו שפחה דידה מהימנא</w:t>
      </w:r>
      <w:r w:rsidRPr="00386215">
        <w:rPr>
          <w:rStyle w:val="Style1Char"/>
          <w:color w:val="C00000"/>
          <w:rtl/>
        </w:rPr>
        <w:t xml:space="preserve"> </w:t>
      </w:r>
      <w:r w:rsidRPr="00386215">
        <w:rPr>
          <w:rStyle w:val="Style1Char"/>
          <w:color w:val="C00000"/>
          <w:sz w:val="22"/>
          <w:szCs w:val="22"/>
          <w:rtl/>
        </w:rPr>
        <w:t>ואי שפחה דידה היא לא מהימנא:</w:t>
      </w:r>
      <w:r w:rsidRPr="00386215">
        <w:rPr>
          <w:rStyle w:val="Style1Char"/>
          <w:color w:val="C00000"/>
          <w:rtl/>
        </w:rPr>
        <w:t xml:space="preserve"> </w:t>
      </w:r>
      <w:r w:rsidRPr="00887069">
        <w:rPr>
          <w:rStyle w:val="Style1Char"/>
          <w:color w:val="00B050"/>
          <w:rtl/>
        </w:rPr>
        <w:t xml:space="preserve">; ורמינהי: </w:t>
      </w:r>
      <w:r w:rsidR="00414912">
        <w:rPr>
          <w:rStyle w:val="Style1Char"/>
          <w:rFonts w:hint="cs"/>
          <w:rtl/>
        </w:rPr>
        <w:t>(3)</w:t>
      </w:r>
      <w:r w:rsidRPr="00887069">
        <w:rPr>
          <w:rStyle w:val="Style1Char"/>
          <w:color w:val="00B050"/>
          <w:rtl/>
        </w:rPr>
        <w:t xml:space="preserve">לא תתייחד עמו אלא ע"פ עדים, ואפילו ע"פ עבד וע"פ שפחה, חוץ משפחתה, מפני שלבה גס בשפחתה! אמר רב פפי: בשבויה הקילו. רב פפא אמר: </w:t>
      </w:r>
      <w:r w:rsidR="00DD5F88">
        <w:rPr>
          <w:rStyle w:val="Style1Char"/>
          <w:rFonts w:hint="cs"/>
          <w:rtl/>
        </w:rPr>
        <w:t>(4)</w:t>
      </w:r>
      <w:r w:rsidRPr="00887069">
        <w:rPr>
          <w:rStyle w:val="Style1Char"/>
          <w:color w:val="00B050"/>
          <w:rtl/>
        </w:rPr>
        <w:t xml:space="preserve">הא בשפחה דידה, הא בשפחה דידיה. ושפחה דידה לא מהימנא? הא קתני: אין אדם מעיד על עצמו, הא שפחה דידה מהימנא! שפחתה נמי כעצמה דמי. רב אשי אמר: הא והא בשפחה דידה, ושפחה מיחזא חזיא ושתקה, התם דשתיקתה מתירתה - לא מהימנא, הכא דשתיקתה אוסרתה - מהימנא. השתא נמי אתיא ומשקרא! תרתי לא עבדה. כי הא דמרי בר איסק, ואמרי לה חנא בר איסק, אתא ליה אחא מבי חוזאה, א"ל: פלוג לי בנכסי דאבא, א"ל: לא ידענא לך, אתא לקמיה דרב חסדא, א"ל: שפיר קאמר לך, דכתיב: ויכר יוסף את אחיו והם לא הכירהו, מלמד, שיצא בלא חתימת זקן ובא בחתימת זקן. א"ל: זיל אייתי סהדי דאחוה את, א"ל: אית לי סהדי ומסתפינו מיניה, דגברא אלמא הוא. א"ל לדידיה: זיל אייתינהו את דלאו אחוך הוא, א"ל: דינא הכי? המוציא מחבירו עליו הראיה! א"ל: </w:t>
      </w:r>
      <w:r w:rsidR="002E0BB3">
        <w:rPr>
          <w:rStyle w:val="Style1Char"/>
          <w:rFonts w:hint="cs"/>
          <w:rtl/>
        </w:rPr>
        <w:t>(5)</w:t>
      </w:r>
      <w:r w:rsidRPr="00887069">
        <w:rPr>
          <w:rStyle w:val="Style1Char"/>
          <w:color w:val="00B050"/>
          <w:rtl/>
        </w:rPr>
        <w:t xml:space="preserve">הכי דאיננא לך ולכולהו אלמי חברך; השתא נמי אתו ומשקרי! תרתי לא עבדי. לימא כתנאי: </w:t>
      </w:r>
      <w:r w:rsidRPr="00580C07">
        <w:rPr>
          <w:rStyle w:val="Style1Char"/>
          <w:color w:val="4472C4" w:themeColor="accent1"/>
          <w:sz w:val="22"/>
          <w:szCs w:val="22"/>
          <w:rtl/>
        </w:rPr>
        <w:t xml:space="preserve">תניא </w:t>
      </w:r>
      <w:r w:rsidRPr="00580C07">
        <w:rPr>
          <w:rStyle w:val="Style1Char"/>
          <w:color w:val="ED7D31" w:themeColor="accent2"/>
          <w:sz w:val="22"/>
          <w:szCs w:val="22"/>
          <w:rtl/>
        </w:rPr>
        <w:t>זו עדות - איש ואשה, תינוק ותינוקת, אביה ואמה, ואחיה ואחותה, אבל לא בנה ובתה, לא עבדה ושפחתה, ותניא אידך: הכל נאמנין להעיד, חוץ מהימנה ובעלה</w:t>
      </w:r>
      <w:r w:rsidRPr="00887069">
        <w:rPr>
          <w:rStyle w:val="Style1Char"/>
          <w:color w:val="00B050"/>
          <w:rtl/>
        </w:rPr>
        <w:t xml:space="preserve">; דרב פפי ודרב אשי תנאי היא, דרב פפא [מי] לימא תנאי היא? אמר לך </w:t>
      </w:r>
      <w:r w:rsidRPr="00B46786">
        <w:rPr>
          <w:rStyle w:val="Style1Char"/>
          <w:color w:val="4472C4" w:themeColor="accent1"/>
          <w:sz w:val="22"/>
          <w:szCs w:val="22"/>
          <w:rtl/>
        </w:rPr>
        <w:t xml:space="preserve">ומוקי </w:t>
      </w:r>
      <w:r w:rsidRPr="00B46786">
        <w:rPr>
          <w:rStyle w:val="Style1Char"/>
          <w:color w:val="ED7D31" w:themeColor="accent2"/>
          <w:sz w:val="22"/>
          <w:szCs w:val="22"/>
          <w:rtl/>
        </w:rPr>
        <w:t>רב פפא:</w:t>
      </w:r>
      <w:r w:rsidRPr="00887069">
        <w:rPr>
          <w:rStyle w:val="Style1Char"/>
          <w:color w:val="00B050"/>
          <w:rtl/>
        </w:rPr>
        <w:t xml:space="preserve"> כי תניא ההיא - </w:t>
      </w:r>
      <w:r w:rsidR="00A44F9D">
        <w:rPr>
          <w:rStyle w:val="Style1Char"/>
          <w:rFonts w:hint="cs"/>
          <w:rtl/>
        </w:rPr>
        <w:t>(4)</w:t>
      </w:r>
      <w:r w:rsidRPr="00B46786">
        <w:rPr>
          <w:rStyle w:val="Style1Char"/>
          <w:color w:val="ED7D31" w:themeColor="accent2"/>
          <w:sz w:val="22"/>
          <w:szCs w:val="22"/>
          <w:rtl/>
        </w:rPr>
        <w:t>במסיחה לפי תומה</w:t>
      </w:r>
      <w:r w:rsidRPr="00887069">
        <w:rPr>
          <w:rStyle w:val="Style1Char"/>
          <w:color w:val="00B050"/>
          <w:rtl/>
        </w:rPr>
        <w:t xml:space="preserve">. </w:t>
      </w:r>
      <w:r w:rsidRPr="009741A2">
        <w:rPr>
          <w:rStyle w:val="Style1Char"/>
          <w:color w:val="ED7D31" w:themeColor="accent2"/>
          <w:sz w:val="22"/>
          <w:szCs w:val="22"/>
          <w:rtl/>
        </w:rPr>
        <w:t xml:space="preserve">כי הא דכי אתא רב דימי אמר, רב חנן קרטיגנאה משתעי: מעשה בא לפני רבי יהושע בן לוי, ואמרי לה </w:t>
      </w:r>
      <w:r w:rsidRPr="009741A2">
        <w:rPr>
          <w:rStyle w:val="Style1Char"/>
          <w:color w:val="4472C4" w:themeColor="accent1"/>
          <w:sz w:val="22"/>
          <w:szCs w:val="22"/>
          <w:rtl/>
        </w:rPr>
        <w:t xml:space="preserve">אמר </w:t>
      </w:r>
      <w:r w:rsidRPr="009741A2">
        <w:rPr>
          <w:rStyle w:val="Style1Char"/>
          <w:color w:val="ED7D31" w:themeColor="accent2"/>
          <w:sz w:val="22"/>
          <w:szCs w:val="22"/>
          <w:rtl/>
        </w:rPr>
        <w:t xml:space="preserve">רבי יהושע בן לוי </w:t>
      </w:r>
      <w:r w:rsidRPr="00887069">
        <w:rPr>
          <w:rStyle w:val="Style1Char"/>
          <w:color w:val="00B050"/>
          <w:rtl/>
        </w:rPr>
        <w:t xml:space="preserve">מישתעי: </w:t>
      </w:r>
      <w:r w:rsidRPr="009741A2">
        <w:rPr>
          <w:rStyle w:val="Style1Char"/>
          <w:color w:val="ED7D31" w:themeColor="accent2"/>
          <w:sz w:val="22"/>
          <w:szCs w:val="22"/>
          <w:rtl/>
        </w:rPr>
        <w:t xml:space="preserve">מעשה בא לפני רבי, באדם אחד שהיה מסיח לפי תומו ואמר: אני ואמי נשבינו לבין העובדי כוכבים, יצאתי לשאוב מים - דעתי על אמי, ללקט עצים - דעתי על אמי, </w:t>
      </w:r>
      <w:r w:rsidR="00090A4E">
        <w:rPr>
          <w:rStyle w:val="Style1Char"/>
          <w:rFonts w:hint="cs"/>
          <w:rtl/>
        </w:rPr>
        <w:t>(6)</w:t>
      </w:r>
      <w:r w:rsidRPr="009741A2">
        <w:rPr>
          <w:rStyle w:val="Style1Char"/>
          <w:color w:val="ED7D31" w:themeColor="accent2"/>
          <w:sz w:val="22"/>
          <w:szCs w:val="22"/>
          <w:rtl/>
        </w:rPr>
        <w:t xml:space="preserve">והשיאה ר' לכהונה על פיו. </w:t>
      </w:r>
    </w:p>
    <w:p w14:paraId="2DCEAEB5" w14:textId="77777777" w:rsidR="00DA1858" w:rsidRDefault="00DA1858" w:rsidP="00DA1858">
      <w:pPr>
        <w:bidi/>
        <w:rPr>
          <w:rStyle w:val="Style1Char"/>
          <w:color w:val="4472C4" w:themeColor="accent1"/>
          <w:rtl/>
        </w:rPr>
      </w:pPr>
      <w:r w:rsidRPr="0077125B">
        <w:rPr>
          <w:rStyle w:val="Style1Char"/>
          <w:color w:val="4472C4" w:themeColor="accent1"/>
          <w:rtl/>
        </w:rPr>
        <w:t xml:space="preserve">וכן הילכתא דבנה ובתה ועבדה ושפחתה לא מהימני אלא במסיח לפי תומו אבל בעלה אפילו מסיח לפי תומו לא מהימן. </w:t>
      </w:r>
      <w:r>
        <w:rPr>
          <w:rStyle w:val="Style1Char"/>
          <w:rFonts w:hint="cs"/>
          <w:color w:val="4472C4" w:themeColor="accent1"/>
        </w:rPr>
        <w:t>‍</w:t>
      </w:r>
      <w:r w:rsidRPr="0077125B">
        <w:rPr>
          <w:rStyle w:val="Style1Char"/>
          <w:color w:val="4472C4" w:themeColor="accent1"/>
          <w:rtl/>
        </w:rPr>
        <w:t>ויש</w:t>
      </w:r>
      <w:r>
        <w:rPr>
          <w:rStyle w:val="Style1Char"/>
          <w:rFonts w:hint="cs"/>
          <w:color w:val="4472C4" w:themeColor="accent1"/>
        </w:rPr>
        <w:t>‍</w:t>
      </w:r>
      <w:r w:rsidRPr="0077125B">
        <w:rPr>
          <w:rStyle w:val="Style1Char"/>
          <w:color w:val="4472C4" w:themeColor="accent1"/>
          <w:rtl/>
        </w:rPr>
        <w:t xml:space="preserve"> שפוסקים כר' אשי דבתראה הוא ואיהו אמר דשפחה דידה מהימנא ורב אלפס ז"ל פסק דשפחה דידה לא מהימנא כרב פפא וכן מסתבר דברייתא קמייתא מסייע ליה ובתרייתא מוקי לה במסיח לפי תומו</w:t>
      </w:r>
      <w:r w:rsidRPr="0077125B">
        <w:rPr>
          <w:rStyle w:val="Style1Char"/>
          <w:color w:val="4472C4" w:themeColor="accent1"/>
        </w:rPr>
        <w:t xml:space="preserve">: </w:t>
      </w:r>
    </w:p>
    <w:p w14:paraId="6D111B36" w14:textId="77777777" w:rsidR="00DA1858" w:rsidRPr="00552A0B" w:rsidRDefault="00DA1858" w:rsidP="00DA1858">
      <w:pPr>
        <w:bidi/>
        <w:rPr>
          <w:rStyle w:val="Style1Char"/>
          <w:color w:val="4472C4" w:themeColor="accent1"/>
          <w:sz w:val="22"/>
          <w:szCs w:val="22"/>
        </w:rPr>
      </w:pPr>
      <w:r w:rsidRPr="00552A0B">
        <w:rPr>
          <w:rStyle w:val="Style1Char"/>
          <w:color w:val="806000" w:themeColor="accent4" w:themeShade="80"/>
          <w:sz w:val="22"/>
          <w:szCs w:val="22"/>
          <w:rtl/>
        </w:rPr>
        <w:t>גרסי' בפ' אלו נערות [דף ל"ו ע"ב] הפודה את השבויה ומעיד בה ישאנה דלא שדי איניש זוזיה במיא מעיד בה כדי לא ישאנה שמא עיניו נתן בה:</w:t>
      </w:r>
    </w:p>
    <w:p w14:paraId="444DCF11" w14:textId="4459C3C0" w:rsidR="00DA1858" w:rsidRPr="001F6A46" w:rsidRDefault="00DA1858" w:rsidP="00DA1858">
      <w:pPr>
        <w:bidi/>
        <w:rPr>
          <w:rStyle w:val="Style1Char"/>
          <w:sz w:val="22"/>
          <w:szCs w:val="22"/>
        </w:rPr>
      </w:pPr>
      <w:r w:rsidRPr="001F6A46">
        <w:rPr>
          <w:rStyle w:val="Style1Char"/>
          <w:sz w:val="22"/>
          <w:szCs w:val="22"/>
          <w:rtl/>
        </w:rPr>
        <w:t xml:space="preserve">מתני'. אמר ר' זכריה בן הקצב: המעון הזה! לא זזה ידה מתוך ידי משעה שנכנסו עובדי כוכבים לירושלים ועד שיצאו, אמרו לו: </w:t>
      </w:r>
      <w:r w:rsidR="00752AD0">
        <w:rPr>
          <w:rStyle w:val="Style1Char"/>
          <w:rFonts w:hint="cs"/>
          <w:rtl/>
        </w:rPr>
        <w:t>(4)</w:t>
      </w:r>
      <w:r w:rsidRPr="001F6A46">
        <w:rPr>
          <w:rStyle w:val="Style1Char"/>
          <w:sz w:val="22"/>
          <w:szCs w:val="22"/>
          <w:rtl/>
        </w:rPr>
        <w:t xml:space="preserve">אין אדם מעיד על עצמו. </w:t>
      </w:r>
    </w:p>
    <w:p w14:paraId="780DA11B" w14:textId="5786A5F9" w:rsidR="00DA1858" w:rsidRDefault="00DA1858" w:rsidP="00DA1858">
      <w:pPr>
        <w:bidi/>
        <w:rPr>
          <w:rStyle w:val="Style1Char"/>
          <w:sz w:val="22"/>
          <w:szCs w:val="22"/>
          <w:rtl/>
        </w:rPr>
      </w:pPr>
      <w:r w:rsidRPr="00D30CF8">
        <w:rPr>
          <w:rStyle w:val="Style1Char"/>
          <w:color w:val="auto"/>
          <w:sz w:val="22"/>
          <w:szCs w:val="22"/>
          <w:rtl/>
        </w:rPr>
        <w:t>גמ'.</w:t>
      </w:r>
      <w:r w:rsidRPr="00D30CF8">
        <w:rPr>
          <w:rStyle w:val="Style1Char"/>
          <w:color w:val="auto"/>
          <w:rtl/>
        </w:rPr>
        <w:t xml:space="preserve"> </w:t>
      </w:r>
      <w:r w:rsidRPr="00D30CF8">
        <w:rPr>
          <w:rStyle w:val="Style1Char"/>
          <w:color w:val="auto"/>
          <w:sz w:val="22"/>
          <w:szCs w:val="22"/>
          <w:rtl/>
        </w:rPr>
        <w:t xml:space="preserve">תנא: </w:t>
      </w:r>
      <w:r w:rsidR="0023607F">
        <w:rPr>
          <w:rStyle w:val="Style1Char"/>
          <w:rFonts w:hint="cs"/>
          <w:rtl/>
        </w:rPr>
        <w:t>(7)</w:t>
      </w:r>
      <w:r w:rsidRPr="00D30CF8">
        <w:rPr>
          <w:rStyle w:val="Style1Char"/>
          <w:color w:val="auto"/>
          <w:sz w:val="22"/>
          <w:szCs w:val="22"/>
          <w:rtl/>
        </w:rPr>
        <w:t>ואעפ"כ ייחד לה בית בחצרו, וכשהיא יוצאה - יוצאה בראש בניה, וכשהיא נכנסת - נכנסת בסוף בניה</w:t>
      </w:r>
      <w:r w:rsidRPr="00386215">
        <w:rPr>
          <w:rStyle w:val="Style1Char"/>
          <w:sz w:val="22"/>
          <w:szCs w:val="22"/>
          <w:rtl/>
        </w:rPr>
        <w:t xml:space="preserve">. </w:t>
      </w:r>
      <w:r w:rsidRPr="00887069">
        <w:rPr>
          <w:rStyle w:val="Style1Char"/>
          <w:color w:val="00B050"/>
          <w:rtl/>
        </w:rPr>
        <w:t xml:space="preserve">בעי אביי: מהו לעשות בגרושה כן? התם הוא </w:t>
      </w:r>
      <w:r w:rsidRPr="00D30CF8">
        <w:rPr>
          <w:rStyle w:val="Style1Char"/>
          <w:color w:val="806000" w:themeColor="accent4" w:themeShade="80"/>
          <w:sz w:val="22"/>
          <w:szCs w:val="22"/>
          <w:rtl/>
        </w:rPr>
        <w:t xml:space="preserve">והני מילי בשבויה </w:t>
      </w:r>
      <w:r w:rsidRPr="00D30CF8">
        <w:rPr>
          <w:rStyle w:val="Style1Char"/>
          <w:color w:val="auto"/>
          <w:sz w:val="22"/>
          <w:szCs w:val="22"/>
          <w:rtl/>
        </w:rPr>
        <w:t xml:space="preserve">דבשבויה הקילו, אבל </w:t>
      </w:r>
      <w:r w:rsidRPr="00887069">
        <w:rPr>
          <w:rStyle w:val="Style1Char"/>
          <w:color w:val="00B050"/>
          <w:rtl/>
        </w:rPr>
        <w:t xml:space="preserve">הכא </w:t>
      </w:r>
      <w:r w:rsidRPr="00D30CF8">
        <w:rPr>
          <w:rStyle w:val="Style1Char"/>
          <w:color w:val="806000" w:themeColor="accent4" w:themeShade="80"/>
          <w:sz w:val="22"/>
          <w:szCs w:val="22"/>
          <w:rtl/>
        </w:rPr>
        <w:t>בגרושה</w:t>
      </w:r>
      <w:r w:rsidRPr="006A5EDF">
        <w:rPr>
          <w:rStyle w:val="Style1Char"/>
          <w:color w:val="C00000"/>
          <w:sz w:val="22"/>
          <w:szCs w:val="22"/>
          <w:rtl/>
        </w:rPr>
        <w:t xml:space="preserve"> </w:t>
      </w:r>
      <w:r w:rsidRPr="00D30CF8">
        <w:rPr>
          <w:rStyle w:val="Style1Char"/>
          <w:color w:val="auto"/>
          <w:sz w:val="22"/>
          <w:szCs w:val="22"/>
          <w:rtl/>
        </w:rPr>
        <w:t>לא</w:t>
      </w:r>
      <w:r w:rsidRPr="006A5EDF">
        <w:rPr>
          <w:rStyle w:val="Style1Char"/>
          <w:sz w:val="22"/>
          <w:szCs w:val="22"/>
          <w:rtl/>
        </w:rPr>
        <w:t>,</w:t>
      </w:r>
      <w:r w:rsidRPr="00887069">
        <w:rPr>
          <w:rStyle w:val="Style1Char"/>
          <w:color w:val="00B050"/>
          <w:rtl/>
        </w:rPr>
        <w:t xml:space="preserve"> או דלמא לא שנא? ת"ש, </w:t>
      </w:r>
      <w:r w:rsidRPr="00D30CF8">
        <w:rPr>
          <w:rStyle w:val="Style1Char"/>
          <w:color w:val="auto"/>
          <w:sz w:val="22"/>
          <w:szCs w:val="22"/>
          <w:rtl/>
        </w:rPr>
        <w:t xml:space="preserve">דתניא: </w:t>
      </w:r>
      <w:r w:rsidR="001A3DBA">
        <w:rPr>
          <w:rStyle w:val="Style1Char"/>
          <w:rFonts w:hint="cs"/>
          <w:rtl/>
        </w:rPr>
        <w:t>(7.2, 8)</w:t>
      </w:r>
      <w:r w:rsidRPr="00D30CF8">
        <w:rPr>
          <w:rStyle w:val="Style1Char"/>
          <w:color w:val="auto"/>
          <w:sz w:val="22"/>
          <w:szCs w:val="22"/>
          <w:rtl/>
        </w:rPr>
        <w:t>המגרש את אשתו - לא תנשא בשכונתו</w:t>
      </w:r>
      <w:r w:rsidRPr="006A5EDF">
        <w:rPr>
          <w:rStyle w:val="Style1Char"/>
          <w:sz w:val="22"/>
          <w:szCs w:val="22"/>
          <w:rtl/>
        </w:rPr>
        <w:t xml:space="preserve">, </w:t>
      </w:r>
    </w:p>
    <w:p w14:paraId="6AB86F0D" w14:textId="3B8C8333" w:rsidR="001C79B9" w:rsidRDefault="001C79B9" w:rsidP="001C79B9">
      <w:pPr>
        <w:pStyle w:val="Style1"/>
        <w:rPr>
          <w:rStyle w:val="Style1Char"/>
          <w:rtl/>
        </w:rPr>
      </w:pPr>
      <w:r>
        <w:rPr>
          <w:rStyle w:val="Style1Char"/>
          <w:rFonts w:hint="cs"/>
          <w:rtl/>
        </w:rPr>
        <w:t>1)[</w:t>
      </w:r>
      <w:r w:rsidRPr="001C79B9">
        <w:rPr>
          <w:rStyle w:val="Style1Char"/>
          <w:rtl/>
        </w:rPr>
        <w:t>רמב</w:t>
      </w:r>
      <w:r w:rsidR="00786216">
        <w:rPr>
          <w:rStyle w:val="Style1Char"/>
          <w:rtl/>
        </w:rPr>
        <w:t>”ם \משפטים\</w:t>
      </w:r>
      <w:r w:rsidRPr="001C79B9">
        <w:rPr>
          <w:rStyle w:val="Style1Char"/>
          <w:rtl/>
        </w:rPr>
        <w:t xml:space="preserve"> הלכות שכירות פרק ד הלכה ג</w:t>
      </w:r>
      <w:r>
        <w:rPr>
          <w:rStyle w:val="Style1Char"/>
          <w:rFonts w:hint="cs"/>
          <w:rtl/>
        </w:rPr>
        <w:t xml:space="preserve">] </w:t>
      </w:r>
      <w:r w:rsidRPr="001C79B9">
        <w:rPr>
          <w:rStyle w:val="Style1Char"/>
          <w:rtl/>
        </w:rPr>
        <w:t>שכרה לדוש בקטנית ודש בתבואה והוחלקה פטור בתבואה ודש בקטנית חייב שהקטנית מחלקת, מעשה באחד שהשכיר חמור לחבירו ואמר לו לא תלך בו בדרך נהר פקוד שהמים מצויין שם אלא בדרך נרש שאין בה מים הלך בדרך נהר פקוד ומת החמור ולא היו שם עדים שמעידים באי זה דרך הלך אלא הוא מעצמו אמר בנהר פקוד הלכתי ולא היו שם מים ומחמת עצמו מת ואמרו חכמים הואיל ויש עדים שהמים בנהר פקוד מצויין חייב לשלם שהרי שינה על דעת הבעלים ואין אומרים מה לי לשקר במקום עדים.</w:t>
      </w:r>
    </w:p>
    <w:p w14:paraId="08C4A209" w14:textId="4D798838" w:rsidR="00841A45" w:rsidRPr="00841A45" w:rsidRDefault="00841A45" w:rsidP="00841A45">
      <w:pPr>
        <w:pStyle w:val="Style1"/>
        <w:rPr>
          <w:rStyle w:val="Style1Char"/>
        </w:rPr>
      </w:pPr>
      <w:r>
        <w:rPr>
          <w:rStyle w:val="Style1Char"/>
          <w:rFonts w:hint="cs"/>
          <w:rtl/>
        </w:rPr>
        <w:t>1)[</w:t>
      </w:r>
      <w:r w:rsidRPr="00841A45">
        <w:rPr>
          <w:rStyle w:val="Style1Char"/>
          <w:rtl/>
        </w:rPr>
        <w:t>טור חושן משפט הלכות הלואה סימן סט</w:t>
      </w:r>
      <w:r>
        <w:rPr>
          <w:rStyle w:val="Style1Char"/>
          <w:rFonts w:hint="cs"/>
          <w:rtl/>
        </w:rPr>
        <w:t xml:space="preserve">] </w:t>
      </w:r>
      <w:r w:rsidRPr="00841A45">
        <w:rPr>
          <w:rStyle w:val="Style1Char"/>
          <w:rtl/>
        </w:rPr>
        <w:t>הלכות כתב ידו:</w:t>
      </w:r>
    </w:p>
    <w:p w14:paraId="7A88E3D2" w14:textId="77777777" w:rsidR="00841A45" w:rsidRPr="00841A45" w:rsidRDefault="00841A45" w:rsidP="00841A45">
      <w:pPr>
        <w:pStyle w:val="Style1"/>
        <w:rPr>
          <w:rStyle w:val="Style1Char"/>
        </w:rPr>
      </w:pPr>
      <w:r w:rsidRPr="00841A45">
        <w:rPr>
          <w:rStyle w:val="Style1Char"/>
          <w:rtl/>
        </w:rPr>
        <w:t>א מי שלוה מחבירו ולא עשה לו שטר אלא כתב בכתב ידו כגון שכתב אני הבא על החתום מודה שאני חייב לפלוני מנה וחתם למטה:</w:t>
      </w:r>
    </w:p>
    <w:p w14:paraId="7098E41A" w14:textId="77777777" w:rsidR="00841A45" w:rsidRPr="00841A45" w:rsidRDefault="00841A45" w:rsidP="00841A45">
      <w:pPr>
        <w:pStyle w:val="Style1"/>
        <w:rPr>
          <w:rStyle w:val="Style1Char"/>
        </w:rPr>
      </w:pPr>
      <w:r w:rsidRPr="00841A45">
        <w:rPr>
          <w:rStyle w:val="Style1Char"/>
          <w:rtl/>
        </w:rPr>
        <w:t>ב או שכתב בכתב יד אחר והוא חתום למטה ונתנו לו בינו לבינו היינו דתנן הוציא עליו כתב ידו גובה מבני חורין:</w:t>
      </w:r>
    </w:p>
    <w:p w14:paraId="34739A2E" w14:textId="77777777" w:rsidR="00841A45" w:rsidRPr="00841A45" w:rsidRDefault="00841A45" w:rsidP="00841A45">
      <w:pPr>
        <w:pStyle w:val="Style1"/>
        <w:rPr>
          <w:rStyle w:val="Style1Char"/>
        </w:rPr>
      </w:pPr>
      <w:r w:rsidRPr="00841A45">
        <w:rPr>
          <w:rStyle w:val="Style1Char"/>
          <w:rtl/>
        </w:rPr>
        <w:t>ג לפיכך אמרו חכמים לא ליחתום אינש אלא ארישא דמגילתא דילמא משכח אינש דלא מעלי וכתב עליה מאי דבעי ותנן הוציא עליו כתב ידו גובה מנכסים בני חורין:</w:t>
      </w:r>
    </w:p>
    <w:p w14:paraId="51EE9D5E" w14:textId="77777777" w:rsidR="00841A45" w:rsidRPr="00841A45" w:rsidRDefault="00841A45" w:rsidP="00841A45">
      <w:pPr>
        <w:pStyle w:val="Style1"/>
        <w:rPr>
          <w:rStyle w:val="Style1Char"/>
        </w:rPr>
      </w:pPr>
      <w:r w:rsidRPr="00841A45">
        <w:rPr>
          <w:rStyle w:val="Style1Char"/>
          <w:rtl/>
        </w:rPr>
        <w:t>ד וכתב הרמב"ן דה"ה נמי לא חתם למטה אלא כתב אני פלוני בר פלוני חייב לך מנה אלא שבזה יש חילוק כשחתם למטה אפילו כל העליון כתב יד אחר גובה אבל כשחתם שמו למעלה צריך שיהא הכל כתיבת ידו דשמא חתום שמו בראש המגילה ומצאו אחר וכתב תחתיו אבל כשהוא הכל כתב ידו תו ליכא למיחש לזיופא:</w:t>
      </w:r>
    </w:p>
    <w:p w14:paraId="4A180400" w14:textId="77777777" w:rsidR="00841A45" w:rsidRPr="00841A45" w:rsidRDefault="00841A45" w:rsidP="00841A45">
      <w:pPr>
        <w:pStyle w:val="Style1"/>
        <w:rPr>
          <w:rStyle w:val="Style1Char"/>
        </w:rPr>
      </w:pPr>
      <w:r w:rsidRPr="00841A45">
        <w:rPr>
          <w:rStyle w:val="Style1Char"/>
          <w:rtl/>
        </w:rPr>
        <w:t>ה אפילו לא כתב שמו אלא שכתב אני חייב לפלוני כך וכך כיון שהוא כתב ידו:</w:t>
      </w:r>
    </w:p>
    <w:p w14:paraId="165E6093" w14:textId="77777777" w:rsidR="00841A45" w:rsidRPr="00841A45" w:rsidRDefault="00841A45" w:rsidP="00841A45">
      <w:pPr>
        <w:pStyle w:val="Style1"/>
        <w:rPr>
          <w:rStyle w:val="Style1Char"/>
        </w:rPr>
      </w:pPr>
      <w:r w:rsidRPr="00841A45">
        <w:rPr>
          <w:rStyle w:val="Style1Char"/>
          <w:rtl/>
        </w:rPr>
        <w:t>ו לפיכך הפיתקות שהשותפין מוציאין זה על זה הואיל והוא כתב ידם אפילו אין בו חתימה כלל אלא קבלתי ביום פלוני כך וכך גובין בו מבני חורין ואינו נאמן לומר להד"מ:</w:t>
      </w:r>
    </w:p>
    <w:p w14:paraId="3DABA272" w14:textId="77777777" w:rsidR="00841A45" w:rsidRPr="00841A45" w:rsidRDefault="00841A45" w:rsidP="00841A45">
      <w:pPr>
        <w:pStyle w:val="Style1"/>
        <w:rPr>
          <w:rStyle w:val="Style1Char"/>
        </w:rPr>
      </w:pPr>
      <w:r w:rsidRPr="00841A45">
        <w:rPr>
          <w:rStyle w:val="Style1Char"/>
          <w:rtl/>
        </w:rPr>
        <w:t>ז ואפילו אם נתקיים כתב ידו בבית דין דינו כמלוה ע"פ בעדים ואינו גובה מהיורשים ומן הלקוחות אלא ממנו אם הוא מודה שלא פרע אבל אם טוען פרעתי נאמן ונשבע היסת ונפטר ואינו יכול לומר שטרך בידי מאי בעי שאינו חושש להניח בידו כיון שאינו שטר גמור והרמ"ה כתב נהי שאינו כשטר לגבות ממשועבדים משום דלית ליה קלא אבל חשוב כשטר לענין שאינו נאמן לומר פרעתי אבל רב אלפס כתב כסברא ראשונה וכ"כ א"א הרא"ש ז"ל ואם מודה לו במקצת נשבע לו שבועה דאורייתא שאין שטר זה שיעבוד קרקעות שהרי אין גובין אלא מבני חורין:</w:t>
      </w:r>
    </w:p>
    <w:p w14:paraId="7C83CE58" w14:textId="77777777" w:rsidR="00841A45" w:rsidRPr="00841A45" w:rsidRDefault="00841A45" w:rsidP="00841A45">
      <w:pPr>
        <w:pStyle w:val="Style1"/>
        <w:rPr>
          <w:rStyle w:val="Style1Char"/>
        </w:rPr>
      </w:pPr>
      <w:r w:rsidRPr="00841A45">
        <w:rPr>
          <w:rStyle w:val="Style1Char"/>
          <w:rtl/>
        </w:rPr>
        <w:t>ח ואם הוא כופר ואומר שאינו כתב ידו אם נתקיים בב"ד או שעדים מעידים שהוא כתב ידו הוחזק כפרן ומשלם ואם לאו נשבע היסת ונפטר:</w:t>
      </w:r>
    </w:p>
    <w:p w14:paraId="67900B7D" w14:textId="3C5FA4E4" w:rsidR="00841A45" w:rsidRPr="00841A45" w:rsidRDefault="00841A45" w:rsidP="00841A45">
      <w:pPr>
        <w:pStyle w:val="Style1"/>
        <w:rPr>
          <w:rStyle w:val="Style1Char"/>
        </w:rPr>
      </w:pPr>
      <w:r w:rsidRPr="00841A45">
        <w:rPr>
          <w:rStyle w:val="Style1Char"/>
          <w:rtl/>
        </w:rPr>
        <w:t xml:space="preserve">ט ואם טוען ואומר אמת כי היא חתימתי אבל מעולם לא חתמתי על הודאת הלואה זו אלא שכחתי וחתמתי שמי בסוף המגילה ואפשר שמצאה זה וכתב עליה או שטוען אמנה היתה הודאה זאת בינו לבינו אבל לא לויתי הלואה זו מעולם הואיל ולא כופר בחתימתו נאמן בהיסת במיגו שאם היה רוצה היה </w:t>
      </w:r>
      <w:r w:rsidRPr="00841A45">
        <w:rPr>
          <w:rStyle w:val="Style1Char"/>
          <w:rtl/>
        </w:rPr>
        <w:lastRenderedPageBreak/>
        <w:t>אומר פרעתי</w:t>
      </w:r>
      <w:r w:rsidR="000D009F">
        <w:rPr>
          <w:rStyle w:val="Style1Char"/>
          <w:rFonts w:hint="cs"/>
          <w:rtl/>
        </w:rPr>
        <w:t xml:space="preserve"> </w:t>
      </w:r>
      <w:r w:rsidRPr="00841A45">
        <w:rPr>
          <w:rStyle w:val="Style1Char"/>
          <w:rtl/>
        </w:rPr>
        <w:t>וכתב רב שרירא גאון מקיימין אותה על פי עדים שיעידו בבית דין שהוא כתב ידו אבל אם קיימוהו משני שטרות או משתי כתובות לא כיון דקיום שטרות דרבנן היכא דאיתמר איתמר היכא דלא איתמר לא איתמר ונראה שאין לחלק בין קיום דהכא לשאר קיומים</w:t>
      </w:r>
    </w:p>
    <w:p w14:paraId="1C15AEA0" w14:textId="77777777" w:rsidR="00841A45" w:rsidRPr="00841A45" w:rsidRDefault="00841A45" w:rsidP="00841A45">
      <w:pPr>
        <w:pStyle w:val="Style1"/>
        <w:rPr>
          <w:rStyle w:val="Style1Char"/>
        </w:rPr>
      </w:pPr>
      <w:r w:rsidRPr="00841A45">
        <w:rPr>
          <w:rStyle w:val="Style1Char"/>
          <w:rtl/>
        </w:rPr>
        <w:t>י ואם כתוב בו נאמנות שהאמינו עליו ועל יורשיו ונתקיים בבית דין או שיש עדים שהוא כתב ידו שוב אינו נאמן לומר פרעתי שאילו פרעו לא היה מניחו בידו כיון שיש בו נאמנות:</w:t>
      </w:r>
    </w:p>
    <w:p w14:paraId="06D8FF67" w14:textId="77777777" w:rsidR="00841A45" w:rsidRPr="00841A45" w:rsidRDefault="00841A45" w:rsidP="00841A45">
      <w:pPr>
        <w:pStyle w:val="Style1"/>
        <w:rPr>
          <w:rStyle w:val="Style1Char"/>
        </w:rPr>
      </w:pPr>
      <w:r w:rsidRPr="00841A45">
        <w:rPr>
          <w:rStyle w:val="Style1Char"/>
          <w:rtl/>
        </w:rPr>
        <w:t>יא ויש אומרים שצריך שיקנה בקנין על הנאמנות שאם לא כן אינו מועיל הנאמנות ובעל התרומות כתב שאין צריך קנין וכ"נ:</w:t>
      </w:r>
    </w:p>
    <w:p w14:paraId="4DCACCA3" w14:textId="77777777" w:rsidR="00841A45" w:rsidRPr="00841A45" w:rsidRDefault="00841A45" w:rsidP="00841A45">
      <w:pPr>
        <w:pStyle w:val="Style1"/>
        <w:rPr>
          <w:rStyle w:val="Style1Char"/>
        </w:rPr>
      </w:pPr>
      <w:r w:rsidRPr="00841A45">
        <w:rPr>
          <w:rStyle w:val="Style1Char"/>
          <w:rtl/>
        </w:rPr>
        <w:t>יב ואם יש בו נאמנות ואינו מקוים וטען פרעתי כתב בעל העיטור שאינו נאמן שאין כאן מיגו שנאמר שיהא נאמן במיגו שהיה אומר אינו כתב ידי שהרי דבריו סותרים כתב שהוא האמינו שלא יהא נאמן לומר פרוע ובעל התרומות כתב שהוא נאמן כיון שאין הכתב כלום אלא ע"י הודאתו שמודה לו נאמן לומר פרוע בשבועת היסת שאין טענתו סותרת הודאתו בנאמנות שאפשר שהאמינו ואף על פי כן פרעו ולא תבע שטרו לפי שהיה בטוח בו כיון שאינו יכול לקיימו כי אם על פיו:</w:t>
      </w:r>
    </w:p>
    <w:p w14:paraId="78196839" w14:textId="27C5F691" w:rsidR="00841A45" w:rsidRPr="00841A45" w:rsidRDefault="00841A45" w:rsidP="00841A45">
      <w:pPr>
        <w:pStyle w:val="Style1"/>
        <w:rPr>
          <w:rStyle w:val="Style1Char"/>
        </w:rPr>
      </w:pPr>
      <w:r w:rsidRPr="00841A45">
        <w:rPr>
          <w:rStyle w:val="Style1Char"/>
          <w:rtl/>
        </w:rPr>
        <w:t>יג מי שהוציא כתב יד הלוה על יורשיו אף על פי שמודים שהוא כתב יד אביהם אנו טוענין להם שפרוע הוא וכתב בעל התרומות ונשבעין היסת שלא אמר להם אביהם שהוא חייב חוב זה ואם הוא תוך הזמן או שהודה החייב וצוה בחליו שהוא חייב לו כך וכך בכתיבת ידו או שנדוהו כדי שיתן ומת בנדויו ולא נתן הואיל ומודים שהוא כתב יד אביהן או שהיה כתב יד אביהם יוצא ממקום אחר או שיש עדים שהוא כתב ידו גובין מהם ואם אין כתב ידו יוצא ממקום אחר וגם אין עדים שיקיימוהו אף על פי שהוא תוך הזמן או שיש אחד מאלו הדרכים אין גובין אותו דשמא מזוייף הוא ונשבעין היסת שאינו כתיבת יד אביהם ע"כ ולא נהירא מה שכתב ונשבעין היסת שאינו כתב יד אביהם וגם מ"ש ונשבעין היסת שלא אמר להם אביהם וכו' שלא מצינו שבועת יורשים אלא לגבות שטר שהניח להן אביהם אבל ליפטר אין צריכים שבועה וכן כתב א"א הרא"ש ז"ל בתשובה ששאלת ראובן הוציא כתב יד שמעון על יורשיו שהוא חייב לו מנה והם אומרים אף על פי שהוא כתב יד אבינו שמא פרע הדין עם היורשין ואם היה אביהם קיים היה נשבע שפרע והיורשים פטורים בלא שבועה שלא נתקנה שבועת היסת אלא בין טוען לנטען אבל לא על היורשין והא דנשבעין יורשין שבועה שלא פקדנו אבא היינו כשבאין לגבות בשטר שהניח להן אביהן אבל להחזיק מה שבידם אפילו שבועה לא בעו אלא מחרימין סתם במעמד היורשים שכל מי שיודע בממון זה אם פרוע שיודה ואם אינו פרוע שיעידו וגם היורשין יאמרו אם יודעים שאינו פרוע:</w:t>
      </w:r>
    </w:p>
    <w:p w14:paraId="01C038D7" w14:textId="77777777" w:rsidR="00841A45" w:rsidRPr="00841A45" w:rsidRDefault="00841A45" w:rsidP="00841A45">
      <w:pPr>
        <w:pStyle w:val="Style1"/>
        <w:rPr>
          <w:rStyle w:val="Style1Char"/>
        </w:rPr>
      </w:pPr>
      <w:r w:rsidRPr="00841A45">
        <w:rPr>
          <w:rStyle w:val="Style1Char"/>
          <w:rtl/>
        </w:rPr>
        <w:t>טו וגם השאלה השנייה שראובן הוציא פסק דין על יורשי שמעון שאביהם נתחייב לו שבועה על עסק תביעת ממון והם אומרים שמא נשבע או פרע לך היא בכלל תשובה זו כיון שאביהם לא היה חייב אלא שבועה הם פטורים אף בלא שבועה אלא מחרימין סתם במעמד היורשין כמפורש לעיל ע"כ:</w:t>
      </w:r>
    </w:p>
    <w:p w14:paraId="464A380C" w14:textId="02BE78CB" w:rsidR="00841A45" w:rsidRDefault="00841A45" w:rsidP="00841A45">
      <w:pPr>
        <w:pStyle w:val="Style1"/>
        <w:rPr>
          <w:rStyle w:val="Style1Char"/>
          <w:rtl/>
        </w:rPr>
      </w:pPr>
      <w:r w:rsidRPr="00841A45">
        <w:rPr>
          <w:rStyle w:val="Style1Char"/>
          <w:rtl/>
        </w:rPr>
        <w:t>טז כתב לו בכתב ידו ונתנו לו בפני עדים זהו שטר חוב גמור וגובה בו ממשעבדי משעת מסירה דקיימא לן עדי מסירה כרתי ואפילו אם לא היה כתב ידו היה לו דין שטר גמור אף על פי שפסק רב אלפס שאין הלכה כרבי אלעזר דאמר עדי מסירה כרתי אלא בגיטין אבל לא בשאר שטרות ר"י פסק כרבי אלעזר אף בשאר שטרות וכן היא מסקנת אדוני אבי הרא"ש ז"ל:</w:t>
      </w:r>
    </w:p>
    <w:p w14:paraId="602CA7A3" w14:textId="5CEC7622" w:rsidR="0033768E" w:rsidRDefault="0033768E" w:rsidP="0033768E">
      <w:pPr>
        <w:pStyle w:val="Style1"/>
        <w:rPr>
          <w:rStyle w:val="Style1Char"/>
          <w:rtl/>
        </w:rPr>
      </w:pPr>
      <w:r>
        <w:rPr>
          <w:rStyle w:val="Style1Char"/>
          <w:rFonts w:hint="cs"/>
          <w:rtl/>
        </w:rPr>
        <w:t>2)[</w:t>
      </w:r>
      <w:r w:rsidRPr="0033768E">
        <w:rPr>
          <w:rStyle w:val="Style1Char"/>
          <w:rtl/>
        </w:rPr>
        <w:t>רמב</w:t>
      </w:r>
      <w:r w:rsidR="00213DA1">
        <w:rPr>
          <w:rStyle w:val="Style1Char"/>
          <w:rtl/>
        </w:rPr>
        <w:t>”ם \קדושה\</w:t>
      </w:r>
      <w:r w:rsidRPr="0033768E">
        <w:rPr>
          <w:rStyle w:val="Style1Char"/>
          <w:rtl/>
        </w:rPr>
        <w:t xml:space="preserve"> הלכות איסורי ביאה פרק יח הלכה כח</w:t>
      </w:r>
      <w:r>
        <w:rPr>
          <w:rStyle w:val="Style1Char"/>
          <w:rFonts w:hint="cs"/>
          <w:rtl/>
        </w:rPr>
        <w:t xml:space="preserve">] </w:t>
      </w:r>
      <w:r w:rsidRPr="0033768E">
        <w:rPr>
          <w:rStyle w:val="Style1Char"/>
          <w:rtl/>
        </w:rPr>
        <w:t>כיצד מצלת שכל אשה שאמרה טהורה אני נאמנת, ואף על פי שאין לה עד מתוך שיכולה לומר נמלטתי כשנכבשה העיר או במחבואה הייתי ונצלתי נאמנת לומר לא נמלטתי ולא נחבאתי ולא נטמאתי.</w:t>
      </w:r>
    </w:p>
    <w:p w14:paraId="56D85C50" w14:textId="192DB181" w:rsidR="00C7250C" w:rsidRPr="0082772E" w:rsidRDefault="00C7250C" w:rsidP="00C7250C">
      <w:pPr>
        <w:pStyle w:val="Style1"/>
      </w:pPr>
      <w:r>
        <w:rPr>
          <w:rFonts w:hint="cs"/>
          <w:rtl/>
        </w:rPr>
        <w:t>2)[</w:t>
      </w:r>
      <w:r>
        <w:rPr>
          <w:rtl/>
        </w:rPr>
        <w:t>שולחן ערוך אבן העזר הלכות אישות סימן ז סעיף י</w:t>
      </w:r>
      <w:r>
        <w:rPr>
          <w:rFonts w:hint="cs"/>
          <w:rtl/>
        </w:rPr>
        <w:t xml:space="preserve">] </w:t>
      </w:r>
      <w:r w:rsidRPr="0082772E">
        <w:rPr>
          <w:rtl/>
        </w:rPr>
        <w:t>עיר שבא במצור ונכבשה, אם היו כותים מקיפים את העיר מכל רוחותיה כדי שלא תמלט אשה אחת עד שיראו אותה ותיעשה ברשותם, הרי כל הנשים שבתוכה פסולות כשבויות, שמא נבעלו לכותים, אלא מי שהיתה מג' שנים ולמטה. ואם היה אפשר שתמלט אשה ולא ידעו בה, או שהיה בעיר מחבואה אחת, אפילו אינה מחזקת אלא אשה אחת, הרי זו מצלת הכל. כיצד מצלת? שכל אשה שאמרה "טהורה אני" – נאמנת ואע"פ שאין לה עד, מתוך שיכולה לומר: "נמלטתי כשנכבשה העיר", או "במחבואה הייתי ונצלתי", נאמנת לומר: "לא נמלטתי ולא נחבאתי ולא נטמאתי</w:t>
      </w:r>
      <w:r w:rsidRPr="0082772E">
        <w:t>".</w:t>
      </w:r>
    </w:p>
    <w:p w14:paraId="455A52A3" w14:textId="08E33D7B" w:rsidR="00C7250C" w:rsidRDefault="00C7250C" w:rsidP="00C7250C">
      <w:pPr>
        <w:pStyle w:val="Style1"/>
        <w:rPr>
          <w:rtl/>
        </w:rPr>
      </w:pPr>
      <w:r w:rsidRPr="0082772E">
        <w:rPr>
          <w:rtl/>
        </w:rPr>
        <w:t>במה דברים אמורים? בגדוד של אותה מלכות, שהם מתיישבין בעיר ואין יראים, לפיכך חוששין להם שמא בעלו. אבל גדוד של מלכות אחרת שפשט ושטף ועבר, לא נאסרו הנשים, מפני שאין להם פנאי לבעול, שהם עוסקים בשלל ובורחים להם. ואם שבו נשים ונעשו ברשותן, אע"פ שרדפו אחריהם ישראל והצילו אותם מידם, הרי הן אסורות. ויש חולקין ואומרים שאף בגדוד של מלכות אחרת אסורות</w:t>
      </w:r>
      <w:r w:rsidRPr="0082772E">
        <w:t>:</w:t>
      </w:r>
    </w:p>
    <w:p w14:paraId="10BA42D8" w14:textId="3D143254" w:rsidR="00DD5F88" w:rsidRDefault="00DD5F88" w:rsidP="00DD5F88">
      <w:pPr>
        <w:pStyle w:val="Style1"/>
        <w:rPr>
          <w:rtl/>
        </w:rPr>
      </w:pPr>
      <w:r>
        <w:rPr>
          <w:rFonts w:hint="cs"/>
          <w:rtl/>
        </w:rPr>
        <w:t>3)[</w:t>
      </w:r>
      <w:r>
        <w:rPr>
          <w:rtl/>
        </w:rPr>
        <w:t>רמב</w:t>
      </w:r>
      <w:r w:rsidR="00213DA1">
        <w:rPr>
          <w:rtl/>
        </w:rPr>
        <w:t>”ם \נשים\</w:t>
      </w:r>
      <w:r>
        <w:rPr>
          <w:rtl/>
        </w:rPr>
        <w:t xml:space="preserve"> הלכות גירושין פרק ח הלכה ב</w:t>
      </w:r>
      <w:r>
        <w:rPr>
          <w:rFonts w:hint="cs"/>
          <w:rtl/>
        </w:rPr>
        <w:t xml:space="preserve">] </w:t>
      </w:r>
      <w:r>
        <w:rPr>
          <w:rtl/>
        </w:rPr>
        <w:t>כל המגרש על תנאי בין שאמר מעכשיו בין שאמר אם יהיה ואם לא יהיה הרי זה לא יתיחד עם אשתו כל זמן שלא נתקיים התנאי אלא בפני עד, ואפילו עבד ואפילו שפחה חוץ משפחתה או בנה הקטן מפני שאינה בושה מלשמש בפניהם, והדבר ידוע שאם נתיחד עמה בפני שני עדים כאחד אפילו לאחר שנתקיים התנאי הרי זו ספק מגורשת, שמא נבעלה ובטל הגט כמו שיתבאר בהלכות אלו.</w:t>
      </w:r>
    </w:p>
    <w:p w14:paraId="41A70CBB" w14:textId="1A9AF7E5" w:rsidR="00DE4A36" w:rsidRDefault="00DE4A36" w:rsidP="00DE4A36">
      <w:pPr>
        <w:pStyle w:val="Style1"/>
        <w:rPr>
          <w:rtl/>
        </w:rPr>
      </w:pPr>
      <w:r>
        <w:rPr>
          <w:rFonts w:hint="cs"/>
          <w:rtl/>
        </w:rPr>
        <w:t>3)[</w:t>
      </w:r>
      <w:r>
        <w:rPr>
          <w:rtl/>
        </w:rPr>
        <w:t>שולחן ערוך אבן העזר הלכות גיטין סימן קמח סעיף ב</w:t>
      </w:r>
      <w:r>
        <w:rPr>
          <w:rFonts w:hint="cs"/>
          <w:rtl/>
        </w:rPr>
        <w:t xml:space="preserve">] </w:t>
      </w:r>
      <w:r>
        <w:rPr>
          <w:rtl/>
        </w:rPr>
        <w:t>כל המגרש על תנאי, בין שאמר: מעכשיו, בין שאמר: אם יהיה ואם לא יהיה, ה"ז לא יתייחד עמה כל זמן שלא נתקיים התנאי, אלא בפני עד, אפילו עבד ואפילו שפחה, (וביוצא ונכנס) סגי, חוץ משפחתה או בנה הקטן, מפני שאינה בושה לשמש בפניהם. והדבר ידוע שאם נתייחד עמה בפני שני עדים כאחד, וראה הוא והיא אותם, אפילו נתקיים התנאי אח"כ, הרי זו ספק מגורשת, שמא בעלה וביטל הגט, ויתבאר בסימן שאחר זה.</w:t>
      </w:r>
    </w:p>
    <w:p w14:paraId="4624DDDD" w14:textId="2D9C35DA" w:rsidR="00AB3742" w:rsidRDefault="00AB3742" w:rsidP="00AB3742">
      <w:pPr>
        <w:pStyle w:val="Style1"/>
        <w:rPr>
          <w:rtl/>
        </w:rPr>
      </w:pPr>
      <w:r>
        <w:rPr>
          <w:rFonts w:hint="cs"/>
          <w:rtl/>
        </w:rPr>
        <w:t>4)[</w:t>
      </w:r>
      <w:r>
        <w:rPr>
          <w:rtl/>
        </w:rPr>
        <w:t>רמב</w:t>
      </w:r>
      <w:r w:rsidR="00213DA1">
        <w:rPr>
          <w:rtl/>
        </w:rPr>
        <w:t>”ם \קדושה\</w:t>
      </w:r>
      <w:r>
        <w:rPr>
          <w:rtl/>
        </w:rPr>
        <w:t xml:space="preserve"> הלכות איסורי ביאה פרק יח הלכה יט</w:t>
      </w:r>
      <w:r>
        <w:rPr>
          <w:rFonts w:hint="cs"/>
          <w:rtl/>
        </w:rPr>
        <w:t xml:space="preserve">] </w:t>
      </w:r>
      <w:r>
        <w:rPr>
          <w:rtl/>
        </w:rPr>
        <w:t>אין הבעל  נאמן להעיד באשתו השבויה שלא נטמאה שאין אדם מעיד לעצמו, וכן שפחתה לא תעיד לה, אבל שפחת בעלה מעידה לה, ושפחתה שהיתה מסיחה לפי תומה נאמנת.</w:t>
      </w:r>
    </w:p>
    <w:p w14:paraId="62E8CF0E" w14:textId="25D3C5BD" w:rsidR="00991C69" w:rsidRPr="00991C69" w:rsidRDefault="00F64551" w:rsidP="00991C69">
      <w:pPr>
        <w:pStyle w:val="Style1"/>
      </w:pPr>
      <w:r>
        <w:rPr>
          <w:rFonts w:hint="cs"/>
          <w:rtl/>
        </w:rPr>
        <w:t>4)[</w:t>
      </w:r>
      <w:r>
        <w:rPr>
          <w:rtl/>
        </w:rPr>
        <w:t>שולחן ערוך אבן העזר הלכות אישות סימן ז סעיף ב</w:t>
      </w:r>
      <w:r>
        <w:rPr>
          <w:rFonts w:hint="cs"/>
          <w:rtl/>
        </w:rPr>
        <w:t>]</w:t>
      </w:r>
      <w:r w:rsidR="00991C69">
        <w:rPr>
          <w:rFonts w:hint="cs"/>
          <w:rtl/>
        </w:rPr>
        <w:t xml:space="preserve"> </w:t>
      </w:r>
      <w:r w:rsidR="00991C69" w:rsidRPr="00991C69">
        <w:rPr>
          <w:rtl/>
        </w:rPr>
        <w:t>אין הבעל נאמן להעיד באשתו השבויה שלא נטמאה, שאין אדם מעיד לעצמה. וכן שפחתה לא תעיד לה, אבל שפחת בעלה מעידה לה, ושפחתה שהיתה מסיחה לפי תומה נאמנת</w:t>
      </w:r>
      <w:r w:rsidR="00991C69" w:rsidRPr="00991C69">
        <w:t>:</w:t>
      </w:r>
    </w:p>
    <w:p w14:paraId="185C3E48" w14:textId="675CDB1F" w:rsidR="00991C69" w:rsidRDefault="00991C69" w:rsidP="00991C69">
      <w:pPr>
        <w:pStyle w:val="Style1"/>
        <w:rPr>
          <w:rtl/>
        </w:rPr>
      </w:pPr>
      <w:r w:rsidRPr="00991C69">
        <w:rPr>
          <w:rFonts w:hint="cs"/>
          <w:rtl/>
        </w:rPr>
        <w:t>הגה</w:t>
      </w:r>
      <w:r w:rsidRPr="00991C69">
        <w:rPr>
          <w:rFonts w:hint="cs"/>
        </w:rPr>
        <w:t>: </w:t>
      </w:r>
      <w:r w:rsidRPr="00991C69">
        <w:rPr>
          <w:rFonts w:hint="cs"/>
          <w:rtl/>
        </w:rPr>
        <w:t>כותי פסול לעדות שבויה, ואפילו מסיח לפי תומו אינו נאמן (הרא"ש כלל ל"ב). ויש מקילין במסיח לפי תומו (ריא"ז), והוא הדין לעד מפי עד. ומסיח לפי תומו לא מהני רק להקל, אבל לא להחמיר (ר"ד כהן בית ח')</w:t>
      </w:r>
      <w:r w:rsidRPr="00991C69">
        <w:t>:</w:t>
      </w:r>
    </w:p>
    <w:p w14:paraId="704F28D9" w14:textId="32122220" w:rsidR="000F144C" w:rsidRDefault="000F144C" w:rsidP="000F144C">
      <w:pPr>
        <w:pStyle w:val="Style1"/>
        <w:rPr>
          <w:rtl/>
        </w:rPr>
      </w:pPr>
      <w:r>
        <w:rPr>
          <w:rFonts w:hint="cs"/>
          <w:rtl/>
        </w:rPr>
        <w:t>5)[</w:t>
      </w:r>
      <w:r>
        <w:rPr>
          <w:rtl/>
        </w:rPr>
        <w:t>רמב</w:t>
      </w:r>
      <w:r w:rsidR="0057095E">
        <w:rPr>
          <w:rtl/>
        </w:rPr>
        <w:t>”ם \שופטים\</w:t>
      </w:r>
      <w:r>
        <w:rPr>
          <w:rtl/>
        </w:rPr>
        <w:t xml:space="preserve"> הלכות עדות פרק ג הלכה יב</w:t>
      </w:r>
      <w:r>
        <w:rPr>
          <w:rFonts w:hint="cs"/>
          <w:rtl/>
        </w:rPr>
        <w:t xml:space="preserve">] </w:t>
      </w:r>
      <w:r>
        <w:rPr>
          <w:rtl/>
        </w:rPr>
        <w:t>כל מי שיש לו ראיה בעדים מטפל בעדים עד שיביאם לבית דין, ואם ידעו בית דין שבעל דינו אלם וטען התובע שהעדים מתפחדים מבעל דינו שיבואו ויעידו לו הרי בית דין כופין את בעל דינו שיביא הוא העדים וכן כל כיוצא בדברים אלו דנין בהן לאלם.</w:t>
      </w:r>
    </w:p>
    <w:p w14:paraId="39928B4E" w14:textId="2543D460" w:rsidR="00C17540" w:rsidRPr="00C17540" w:rsidRDefault="0080569F" w:rsidP="00C17540">
      <w:pPr>
        <w:pStyle w:val="Style1"/>
      </w:pPr>
      <w:r>
        <w:rPr>
          <w:rFonts w:hint="cs"/>
          <w:rtl/>
        </w:rPr>
        <w:t>5)[</w:t>
      </w:r>
      <w:r>
        <w:rPr>
          <w:rtl/>
        </w:rPr>
        <w:t>שולחן ערוך חושן משפט הלכות עדות סימן כח סעיף ה</w:t>
      </w:r>
      <w:r w:rsidR="0076491E">
        <w:rPr>
          <w:rFonts w:hint="cs"/>
          <w:rtl/>
        </w:rPr>
        <w:t>]</w:t>
      </w:r>
      <w:r w:rsidR="00C17540">
        <w:rPr>
          <w:rFonts w:hint="cs"/>
          <w:rtl/>
        </w:rPr>
        <w:t xml:space="preserve"> </w:t>
      </w:r>
      <w:r w:rsidR="00C17540" w:rsidRPr="00C17540">
        <w:rPr>
          <w:rtl/>
        </w:rPr>
        <w:t>ת"ח שיודע עדות לישראל ותבעו שיעיד לפני ב"ד קטן ממנו אם הוא עדות ממון אינו חייב לילך להעיד </w:t>
      </w:r>
      <w:r w:rsidR="00C17540" w:rsidRPr="00C17540">
        <w:rPr>
          <w:rFonts w:hint="cs"/>
          <w:rtl/>
        </w:rPr>
        <w:t>(אלא הם שולחין אליו ומעיד) (רבינו ירוחם נ"ב ח' ב')</w:t>
      </w:r>
      <w:r w:rsidR="00C17540" w:rsidRPr="00C17540">
        <w:rPr>
          <w:rtl/>
        </w:rPr>
        <w:t> אבל אם יש בו צד אפרושי מאיסורא חייב לילך ולהעיד וכל מי שיש לו ראיה בעדים מטפל בהם להביאם לב"ד ואם ידעו ב"ד שבעל דינו אלם וטען התובע שהעדים מפחדים מבעל דינו לבא להעיד </w:t>
      </w:r>
      <w:r w:rsidR="00C17540" w:rsidRPr="00C17540">
        <w:rPr>
          <w:rFonts w:hint="cs"/>
          <w:rtl/>
        </w:rPr>
        <w:t>(ויש הוכחה לדבריו) (טור)</w:t>
      </w:r>
      <w:r w:rsidR="00C17540" w:rsidRPr="00C17540">
        <w:rPr>
          <w:rtl/>
        </w:rPr>
        <w:t> הרי ב"ד כופין את בעל דינו שיביא הוא העדים וכן כל כיוצא בדברים אלו דנין בהם לאלם צריכים העדים לכתחלה להעיד מעומד ואם העד ת"ח מושיבין אותו</w:t>
      </w:r>
    </w:p>
    <w:p w14:paraId="45F6FFBC" w14:textId="560BBAD7" w:rsidR="00C17540" w:rsidRDefault="00C17540" w:rsidP="00C17540">
      <w:pPr>
        <w:pStyle w:val="Style1"/>
        <w:rPr>
          <w:rtl/>
        </w:rPr>
      </w:pPr>
      <w:r w:rsidRPr="00C17540">
        <w:rPr>
          <w:rFonts w:hint="cs"/>
        </w:rPr>
        <w:t>(</w:t>
      </w:r>
      <w:r w:rsidRPr="00C17540">
        <w:rPr>
          <w:rFonts w:hint="cs"/>
          <w:rtl/>
        </w:rPr>
        <w:t>וע"ל סוף סי' זה</w:t>
      </w:r>
      <w:r w:rsidRPr="00C17540">
        <w:rPr>
          <w:rFonts w:hint="cs"/>
        </w:rPr>
        <w:t>)</w:t>
      </w:r>
      <w:r w:rsidRPr="00C17540">
        <w:t>:</w:t>
      </w:r>
    </w:p>
    <w:p w14:paraId="1B0BAB4A" w14:textId="6A0519F9" w:rsidR="00EC2E13" w:rsidRDefault="00EC2E13" w:rsidP="00EC2E13">
      <w:pPr>
        <w:pStyle w:val="Style1"/>
        <w:rPr>
          <w:rtl/>
        </w:rPr>
      </w:pPr>
      <w:r>
        <w:rPr>
          <w:rFonts w:hint="cs"/>
          <w:rtl/>
        </w:rPr>
        <w:t>6)[</w:t>
      </w:r>
      <w:r>
        <w:rPr>
          <w:rtl/>
        </w:rPr>
        <w:t>רמב</w:t>
      </w:r>
      <w:r w:rsidR="00213DA1">
        <w:rPr>
          <w:rtl/>
        </w:rPr>
        <w:t>”ם \קדושה\</w:t>
      </w:r>
      <w:r>
        <w:rPr>
          <w:rtl/>
        </w:rPr>
        <w:t xml:space="preserve"> הלכות איסורי ביאה פרק יח הלכה יח</w:t>
      </w:r>
      <w:r>
        <w:rPr>
          <w:rFonts w:hint="cs"/>
          <w:rtl/>
        </w:rPr>
        <w:t xml:space="preserve">] </w:t>
      </w:r>
      <w:r>
        <w:rPr>
          <w:rtl/>
        </w:rPr>
        <w:t>וכן קטן שהיה מסיח לפי תומו נאמן, מעשה באחד שנשבה הוא ואמו ובנה מסיח לפי תומו ואמר נשבינו לבין העכו"ם אני ואמי יצאתי לשאוב מים ודעתי על אמי ללקוט עצים ודעתי על אמי והשיאו אותה חכמים לכהן על פיו.</w:t>
      </w:r>
    </w:p>
    <w:p w14:paraId="0080BC66" w14:textId="77777777" w:rsidR="00822B2C" w:rsidRPr="00305302" w:rsidRDefault="00822B2C" w:rsidP="00822B2C">
      <w:pPr>
        <w:pStyle w:val="Style1"/>
      </w:pPr>
      <w:r>
        <w:rPr>
          <w:rFonts w:hint="cs"/>
          <w:rtl/>
        </w:rPr>
        <w:lastRenderedPageBreak/>
        <w:t>6</w:t>
      </w:r>
      <w:r>
        <w:rPr>
          <w:rStyle w:val="Style1Char"/>
          <w:rFonts w:hint="cs"/>
          <w:rtl/>
        </w:rPr>
        <w:t>)[</w:t>
      </w:r>
      <w:r w:rsidRPr="00D04A88">
        <w:rPr>
          <w:rStyle w:val="Style1Char"/>
          <w:rtl/>
        </w:rPr>
        <w:t>שולחן ערוך אבן העזר הלכות אישות סימן ז סעיף א</w:t>
      </w:r>
      <w:r>
        <w:rPr>
          <w:rStyle w:val="Style1Char"/>
          <w:rFonts w:hint="cs"/>
          <w:rtl/>
        </w:rPr>
        <w:t xml:space="preserve">] </w:t>
      </w:r>
      <w:r w:rsidRPr="00305302">
        <w:rPr>
          <w:rtl/>
        </w:rPr>
        <w:t>שבויה שנשבית והיא בת ג' שנים ויום אחד או יותר, אסורה לכהן, מפני שהיא ספק זונה, שמא נבעלה לכותי. ואם יש לה עֵד שלא נתייחד כותי עמה, הרי זו כשרה לכהונה. ואפילו עבד או שפחה או קרוב נאמן לעדות זו</w:t>
      </w:r>
      <w:r w:rsidRPr="00305302">
        <w:t>:</w:t>
      </w:r>
    </w:p>
    <w:p w14:paraId="65C83D4A" w14:textId="77777777" w:rsidR="00822B2C" w:rsidRPr="00305302" w:rsidRDefault="00822B2C" w:rsidP="00822B2C">
      <w:pPr>
        <w:pStyle w:val="Style1"/>
      </w:pPr>
      <w:r w:rsidRPr="00305302">
        <w:rPr>
          <w:rFonts w:hint="cs"/>
          <w:rtl/>
        </w:rPr>
        <w:t>הגה</w:t>
      </w:r>
      <w:r w:rsidRPr="00305302">
        <w:rPr>
          <w:rFonts w:hint="cs"/>
        </w:rPr>
        <w:t>: </w:t>
      </w:r>
      <w:r w:rsidRPr="00305302">
        <w:rPr>
          <w:rFonts w:hint="cs"/>
          <w:rtl/>
        </w:rPr>
        <w:t>ואפילו נשים שאינן נאמנות בעדות אשה, כגון חמותה וכו', נאמנת בשבויה. (הגהות אלפסי פ"ב דכתובות)</w:t>
      </w:r>
      <w:r w:rsidRPr="00305302">
        <w:t>:</w:t>
      </w:r>
    </w:p>
    <w:p w14:paraId="4DE42E7A" w14:textId="2E870B10" w:rsidR="00822B2C" w:rsidRDefault="00822B2C" w:rsidP="00822B2C">
      <w:pPr>
        <w:pStyle w:val="Style1"/>
      </w:pPr>
      <w:r w:rsidRPr="00305302">
        <w:rPr>
          <w:rtl/>
        </w:rPr>
        <w:t>וב' שבויות שהעידה כל אחת לחבירתה, הרי אלו נאמנות, וכן קטן שהיה מסיח לפי תומו נאמן. מעשה באחד שנשבה הוא ואמו, ובנה מסיח לפי תומו ואמר: נשבינו לבין הכותים אני ואמי, יצאתי לשאוב מים – דעתי על אמי, ללקוט עצים ודעתי על אמי, והשיאו אותה חכמים לכהן על פיו. ויש שכתב שהקטן נאמן אפילו במתכוין להעיד</w:t>
      </w:r>
      <w:r w:rsidRPr="00305302">
        <w:t>:</w:t>
      </w:r>
    </w:p>
    <w:p w14:paraId="0DC01DE9" w14:textId="1BE2A028" w:rsidR="009350CA" w:rsidRDefault="009350CA" w:rsidP="009350CA">
      <w:pPr>
        <w:pStyle w:val="Style1"/>
        <w:rPr>
          <w:rtl/>
        </w:rPr>
      </w:pPr>
      <w:r>
        <w:rPr>
          <w:rFonts w:hint="cs"/>
          <w:rtl/>
        </w:rPr>
        <w:t>7)[</w:t>
      </w:r>
      <w:r>
        <w:rPr>
          <w:rtl/>
        </w:rPr>
        <w:t>רמב</w:t>
      </w:r>
      <w:r w:rsidR="00213DA1">
        <w:rPr>
          <w:rtl/>
        </w:rPr>
        <w:t>”ם \קדושה\</w:t>
      </w:r>
      <w:r>
        <w:rPr>
          <w:rtl/>
        </w:rPr>
        <w:t xml:space="preserve"> הלכות איסורי ביאה פרק יח הלכה כה</w:t>
      </w:r>
      <w:r>
        <w:rPr>
          <w:rFonts w:hint="cs"/>
          <w:rtl/>
        </w:rPr>
        <w:t xml:space="preserve">] </w:t>
      </w:r>
      <w:r>
        <w:rPr>
          <w:rtl/>
        </w:rPr>
        <w:t>אשת כהן שנאסרה עליו משום שבויה הואיל והדבר ספק הרי זו מותרת לדור עמו בחצר אחד ובלבד שיהיו עמו בניו ובני ביתו תמיד לשמרו.</w:t>
      </w:r>
    </w:p>
    <w:p w14:paraId="0340D0B6" w14:textId="5DC61E89" w:rsidR="005F1BD5" w:rsidRDefault="005F1BD5" w:rsidP="005F1BD5">
      <w:pPr>
        <w:pStyle w:val="Style1"/>
        <w:rPr>
          <w:rtl/>
        </w:rPr>
      </w:pPr>
      <w:r>
        <w:rPr>
          <w:rFonts w:hint="cs"/>
          <w:rtl/>
        </w:rPr>
        <w:t>7)[</w:t>
      </w:r>
      <w:r>
        <w:rPr>
          <w:rtl/>
        </w:rPr>
        <w:t>שולחן ערוך אבן העזר הלכות אישות סימן ז סעיף ט</w:t>
      </w:r>
      <w:r>
        <w:rPr>
          <w:rFonts w:hint="cs"/>
          <w:rtl/>
        </w:rPr>
        <w:t xml:space="preserve">] </w:t>
      </w:r>
      <w:r>
        <w:rPr>
          <w:rtl/>
        </w:rPr>
        <w:t>אשת כהן שנאסרת עליו משום שבויה, הואיל והדבר ספק, הרי זו מותרת לדור עמו בחצר אחד ובלבד שיהיו עמו תמיד בניו ובני ביתו לשומרו.</w:t>
      </w:r>
    </w:p>
    <w:p w14:paraId="148E55B3" w14:textId="4E6FD016" w:rsidR="00584E41" w:rsidRDefault="00584E41" w:rsidP="00584E41">
      <w:pPr>
        <w:pStyle w:val="Style1"/>
        <w:rPr>
          <w:rtl/>
        </w:rPr>
      </w:pPr>
      <w:r>
        <w:rPr>
          <w:rFonts w:hint="cs"/>
          <w:rtl/>
        </w:rPr>
        <w:t>8)[</w:t>
      </w:r>
      <w:r>
        <w:rPr>
          <w:rtl/>
        </w:rPr>
        <w:t>רמב</w:t>
      </w:r>
      <w:r w:rsidR="00213DA1">
        <w:rPr>
          <w:rtl/>
        </w:rPr>
        <w:t>”ם \קדושה\</w:t>
      </w:r>
      <w:r>
        <w:rPr>
          <w:rtl/>
        </w:rPr>
        <w:t xml:space="preserve"> הלכות איסורי ביאה פרק כא הלכה כז</w:t>
      </w:r>
      <w:r>
        <w:rPr>
          <w:rFonts w:hint="cs"/>
          <w:rtl/>
        </w:rPr>
        <w:t xml:space="preserve">] </w:t>
      </w:r>
      <w:r>
        <w:rPr>
          <w:rtl/>
        </w:rPr>
        <w:t>וכן מי שגירש את אשתו מן הנשואין לא תדור עמו בחצר שמא יבואו לידי זנות, ואם היה כהן לא תדור עמו במבוי, וכפר קטן נידון כמבוי, היה לה מלוה אצלו עושה שליח לתובעו, וגרושה שבאה עם המגרש לדין מנדין אותן או מכין אותן מכת מרדות, ואם נתגרשה מן האירוסין מותרת לתובעו בדין ולדור עמו, ואם היה לבו גס בה אף מן האירוסין אסור, ומי נדחה מפני מי היא נדחת מפניו, ואם היתה החצר שלה הוא ידחה מפניה.</w:t>
      </w:r>
    </w:p>
    <w:p w14:paraId="1ED61620" w14:textId="07E46029" w:rsidR="003A74BA" w:rsidRPr="003A74BA" w:rsidRDefault="00080FDA" w:rsidP="003A74BA">
      <w:pPr>
        <w:pStyle w:val="Style1"/>
      </w:pPr>
      <w:r>
        <w:rPr>
          <w:rFonts w:hint="cs"/>
          <w:rtl/>
        </w:rPr>
        <w:t>8)[</w:t>
      </w:r>
      <w:r>
        <w:rPr>
          <w:rtl/>
        </w:rPr>
        <w:t>שולחן ערוך אבן העזר הלכות גיטין סימן קיט סעיף ז</w:t>
      </w:r>
      <w:r>
        <w:rPr>
          <w:rFonts w:hint="cs"/>
          <w:rtl/>
        </w:rPr>
        <w:t>]</w:t>
      </w:r>
      <w:r w:rsidR="003A74BA">
        <w:rPr>
          <w:rFonts w:hint="cs"/>
          <w:rtl/>
        </w:rPr>
        <w:t xml:space="preserve"> </w:t>
      </w:r>
      <w:r w:rsidR="003A74BA" w:rsidRPr="003A74BA">
        <w:rPr>
          <w:rtl/>
        </w:rPr>
        <w:t>מי שגרש אשתו מן הנשואין, לא תדור עמו בחצר, שמא יבואו לידי זנות; ואם היה כהן, לא תדור עמו במבוי; וכפר קטן נדון כמבוי</w:t>
      </w:r>
      <w:r w:rsidR="003A74BA" w:rsidRPr="003A74BA">
        <w:t>.</w:t>
      </w:r>
    </w:p>
    <w:p w14:paraId="161B7E4D" w14:textId="77777777" w:rsidR="003A74BA" w:rsidRPr="003A74BA" w:rsidRDefault="003A74BA" w:rsidP="003A74BA">
      <w:pPr>
        <w:pStyle w:val="Style1"/>
      </w:pPr>
      <w:r w:rsidRPr="003A74BA">
        <w:rPr>
          <w:rFonts w:hint="cs"/>
          <w:rtl/>
        </w:rPr>
        <w:t>הגה: ואם נשאת לאחר, אפילו בישראל, לא תדור עמו במבוי (טור). וכל זה במבוי סתום, אבל במבוי מפולש שדרך רבים עובר ביניהם, מותרים לדור (בית יוסף בשם הר"ן שכן כתב בשם התוספות), אם רשות הרבים מפסיק בין בתיהם (הגהות אשרי פרק שני דכתובות), אפילו אין בכל העיר שום יהודי רק הם לבד, שרי</w:t>
      </w:r>
      <w:r w:rsidRPr="003A74BA">
        <w:rPr>
          <w:rFonts w:hint="cs"/>
        </w:rPr>
        <w:t xml:space="preserve"> (</w:t>
      </w:r>
      <w:hyperlink r:id="rId63" w:tooltip="תרומת הדשן/א/רמג" w:history="1">
        <w:r w:rsidRPr="003A74BA">
          <w:rPr>
            <w:rStyle w:val="Hyperlink"/>
            <w:rFonts w:hint="cs"/>
            <w:color w:val="7030A0"/>
            <w:u w:val="none"/>
            <w:rtl/>
          </w:rPr>
          <w:t>תרומת הדשן סימן רמ"ג</w:t>
        </w:r>
      </w:hyperlink>
      <w:r w:rsidRPr="003A74BA">
        <w:rPr>
          <w:rFonts w:hint="cs"/>
        </w:rPr>
        <w:t xml:space="preserve">). </w:t>
      </w:r>
      <w:r w:rsidRPr="003A74BA">
        <w:rPr>
          <w:rFonts w:hint="cs"/>
          <w:rtl/>
        </w:rPr>
        <w:t>גירשה משום שאסורה עליו, אפילו לא נשאת, אסור לדור עמה, כאילו נשאת לאחר (אור זרוע</w:t>
      </w:r>
      <w:r w:rsidRPr="003A74BA">
        <w:rPr>
          <w:rFonts w:hint="cs"/>
        </w:rPr>
        <w:t>)</w:t>
      </w:r>
      <w:r w:rsidRPr="003A74BA">
        <w:t>:</w:t>
      </w:r>
    </w:p>
    <w:p w14:paraId="49B9C0B7" w14:textId="77777777" w:rsidR="003A74BA" w:rsidRPr="003A74BA" w:rsidRDefault="003A74BA" w:rsidP="003A74BA">
      <w:pPr>
        <w:pStyle w:val="Style1"/>
      </w:pPr>
    </w:p>
    <w:p w14:paraId="07040CA6" w14:textId="1B615213" w:rsidR="00080FDA" w:rsidRDefault="00080FDA" w:rsidP="00080FDA">
      <w:pPr>
        <w:pStyle w:val="Style1"/>
        <w:rPr>
          <w:rtl/>
        </w:rPr>
      </w:pPr>
    </w:p>
    <w:p w14:paraId="1081C1AB" w14:textId="45D7E785" w:rsidR="00822B2C" w:rsidRPr="00C17540" w:rsidRDefault="00822B2C" w:rsidP="00822B2C">
      <w:pPr>
        <w:pStyle w:val="Style1"/>
      </w:pPr>
    </w:p>
    <w:p w14:paraId="0B56E58F" w14:textId="77777777" w:rsidR="00C17540" w:rsidRPr="00C17540" w:rsidRDefault="00C17540" w:rsidP="00C17540">
      <w:pPr>
        <w:pStyle w:val="Style1"/>
      </w:pPr>
    </w:p>
    <w:p w14:paraId="68F33C49" w14:textId="4ADE9272" w:rsidR="009403C1" w:rsidRPr="00991C69" w:rsidRDefault="009403C1" w:rsidP="0080569F">
      <w:pPr>
        <w:pStyle w:val="Style1"/>
      </w:pPr>
    </w:p>
    <w:p w14:paraId="0687DA58" w14:textId="77777777" w:rsidR="00991C69" w:rsidRPr="00991C69" w:rsidRDefault="00991C69" w:rsidP="00991C69">
      <w:pPr>
        <w:pStyle w:val="Style1"/>
      </w:pPr>
    </w:p>
    <w:p w14:paraId="47652A61" w14:textId="2F1C2D12" w:rsidR="00F64551" w:rsidRDefault="00F64551" w:rsidP="00F64551">
      <w:pPr>
        <w:pStyle w:val="Style1"/>
        <w:rPr>
          <w:rtl/>
        </w:rPr>
      </w:pPr>
    </w:p>
    <w:p w14:paraId="3DEA7229" w14:textId="77777777" w:rsidR="00DA1858" w:rsidRPr="00D30CF8" w:rsidRDefault="00DA1858" w:rsidP="00DA1858">
      <w:pPr>
        <w:bidi/>
        <w:rPr>
          <w:rStyle w:val="Style1Char"/>
          <w:sz w:val="22"/>
          <w:szCs w:val="22"/>
          <w:rtl/>
        </w:rPr>
      </w:pPr>
      <w:r w:rsidRPr="0077125B">
        <w:rPr>
          <w:rStyle w:val="Style1Char"/>
          <w:color w:val="4472C4" w:themeColor="accent1"/>
          <w:rtl/>
        </w:rPr>
        <w:t xml:space="preserve"> </w:t>
      </w:r>
    </w:p>
    <w:p w14:paraId="662A515B" w14:textId="77777777" w:rsidR="00DA1858" w:rsidRPr="00386215" w:rsidRDefault="00DA1858" w:rsidP="00DA1858">
      <w:pPr>
        <w:bidi/>
        <w:rPr>
          <w:rStyle w:val="Style1Char"/>
          <w:color w:val="00B050"/>
          <w:rtl/>
        </w:rPr>
      </w:pPr>
    </w:p>
    <w:p w14:paraId="007FEE53" w14:textId="77777777" w:rsidR="00DA1858" w:rsidRDefault="00DA1858" w:rsidP="00DA1858">
      <w:pPr>
        <w:rPr>
          <w:rStyle w:val="Style1Char"/>
          <w:color w:val="00B050"/>
          <w:rtl/>
        </w:rPr>
      </w:pPr>
      <w:r>
        <w:rPr>
          <w:rStyle w:val="Style1Char"/>
          <w:color w:val="00B050"/>
          <w:rtl/>
        </w:rPr>
        <w:br w:type="page"/>
      </w:r>
    </w:p>
    <w:p w14:paraId="46E68699" w14:textId="7B497702" w:rsidR="00DA1858" w:rsidRPr="000559E2" w:rsidRDefault="00DA1858" w:rsidP="00DA1858">
      <w:pPr>
        <w:bidi/>
        <w:rPr>
          <w:rStyle w:val="Style1Char"/>
          <w:color w:val="806000" w:themeColor="accent4" w:themeShade="80"/>
          <w:sz w:val="22"/>
          <w:szCs w:val="22"/>
          <w:rtl/>
        </w:rPr>
      </w:pPr>
      <w:r w:rsidRPr="00D30CF8">
        <w:rPr>
          <w:rStyle w:val="Style1Char"/>
          <w:color w:val="auto"/>
          <w:sz w:val="22"/>
          <w:szCs w:val="22"/>
          <w:highlight w:val="yellow"/>
          <w:rtl/>
        </w:rPr>
        <w:lastRenderedPageBreak/>
        <w:t>[דף כח עמוד א]</w:t>
      </w:r>
      <w:r w:rsidRPr="00D30CF8">
        <w:rPr>
          <w:rStyle w:val="Style1Char"/>
          <w:color w:val="auto"/>
          <w:sz w:val="22"/>
          <w:szCs w:val="22"/>
          <w:rtl/>
        </w:rPr>
        <w:t xml:space="preserve"> ואם היה כהן - לא תדור עמו במבוי;</w:t>
      </w:r>
      <w:r w:rsidRPr="00D30CF8">
        <w:rPr>
          <w:rStyle w:val="Style1Char"/>
          <w:color w:val="auto"/>
          <w:rtl/>
        </w:rPr>
        <w:t xml:space="preserve"> </w:t>
      </w:r>
      <w:r w:rsidRPr="00D30CF8">
        <w:rPr>
          <w:rStyle w:val="Style1Char"/>
          <w:color w:val="ED7D31" w:themeColor="accent2"/>
          <w:rtl/>
        </w:rPr>
        <w:t>אם היה כפר קטן</w:t>
      </w:r>
      <w:r w:rsidRPr="00887069">
        <w:rPr>
          <w:rStyle w:val="Style1Char"/>
          <w:color w:val="00B050"/>
          <w:rtl/>
        </w:rPr>
        <w:t xml:space="preserve">, </w:t>
      </w:r>
      <w:r w:rsidRPr="00D30CF8">
        <w:rPr>
          <w:rStyle w:val="Style1Char"/>
          <w:color w:val="auto"/>
          <w:sz w:val="22"/>
          <w:szCs w:val="22"/>
          <w:rtl/>
        </w:rPr>
        <w:t>זה היה מעשה, ואמרו: כפר קטן נידון כשכונה</w:t>
      </w:r>
      <w:r>
        <w:rPr>
          <w:rStyle w:val="Style1Char"/>
          <w:rFonts w:hint="cs"/>
          <w:color w:val="auto"/>
          <w:sz w:val="22"/>
          <w:szCs w:val="22"/>
          <w:rtl/>
        </w:rPr>
        <w:t xml:space="preserve"> </w:t>
      </w:r>
      <w:r>
        <w:rPr>
          <w:rStyle w:val="Style1Char"/>
          <w:rFonts w:hint="cs"/>
          <w:color w:val="4472C4" w:themeColor="accent1"/>
        </w:rPr>
        <w:t>‍</w:t>
      </w:r>
      <w:r w:rsidRPr="0077125B">
        <w:rPr>
          <w:rStyle w:val="Style1Char"/>
          <w:color w:val="4472C4" w:themeColor="accent1"/>
          <w:rtl/>
        </w:rPr>
        <w:t>שכונה גדולה ממבוי</w:t>
      </w:r>
      <w:r>
        <w:rPr>
          <w:rStyle w:val="Style1Char"/>
          <w:rFonts w:hint="cs"/>
          <w:color w:val="4472C4" w:themeColor="accent1"/>
        </w:rPr>
        <w:t>‍</w:t>
      </w:r>
      <w:r w:rsidRPr="0077125B">
        <w:rPr>
          <w:rStyle w:val="Style1Char"/>
          <w:color w:val="4472C4" w:themeColor="accent1"/>
          <w:rtl/>
        </w:rPr>
        <w:t xml:space="preserve"> ובאשת איש החמירו רבנן טפי מגרושה שהיא בלאו ואשתו שנישאת לאחר ונתארמלה או נתגרשה אינה כי אם בלאו ויש לה דין גרושה לכהן</w:t>
      </w:r>
      <w:r w:rsidRPr="0077125B">
        <w:rPr>
          <w:rStyle w:val="Style1Char"/>
          <w:color w:val="4472C4" w:themeColor="accent1"/>
        </w:rPr>
        <w:t>:</w:t>
      </w:r>
      <w:r w:rsidRPr="00D30CF8">
        <w:rPr>
          <w:rStyle w:val="Style1Char"/>
          <w:color w:val="auto"/>
          <w:sz w:val="22"/>
          <w:szCs w:val="22"/>
          <w:rtl/>
        </w:rPr>
        <w:t>. מי נדחה מפני מי?</w:t>
      </w:r>
      <w:r w:rsidRPr="00887069">
        <w:rPr>
          <w:rStyle w:val="Style1Char"/>
          <w:color w:val="00B050"/>
          <w:rtl/>
        </w:rPr>
        <w:t xml:space="preserve"> </w:t>
      </w:r>
      <w:r w:rsidR="00FD29C5" w:rsidRPr="00FD29C5">
        <w:rPr>
          <w:rStyle w:val="Style1Char"/>
          <w:rFonts w:hint="cs"/>
          <w:rtl/>
        </w:rPr>
        <w:t>(1)</w:t>
      </w:r>
      <w:r w:rsidRPr="00907E55">
        <w:rPr>
          <w:rStyle w:val="Style1Char"/>
          <w:color w:val="806000" w:themeColor="accent4" w:themeShade="80"/>
          <w:sz w:val="22"/>
          <w:szCs w:val="22"/>
          <w:rtl/>
        </w:rPr>
        <w:t xml:space="preserve">היא נדחת מפניו בחצר של שניהם וכל שכן בחצר של שכירות משום דטלטולא דגברא קשה מדאיתתא אבל בחצר שלה הוא נדחה מפניה </w:t>
      </w:r>
      <w:r w:rsidRPr="00887069">
        <w:rPr>
          <w:rStyle w:val="Style1Char"/>
          <w:color w:val="00B050"/>
          <w:rtl/>
        </w:rPr>
        <w:t xml:space="preserve">ת"ש, דתניא: היא נדחית מפניו, ואין הוא נדחה מפניה, ואם היתה חצר שלה - הוא נדחה מפניה. איבעיא להו: היתה חצר של שניהם, מהו? ת"ש: היא נדחית מפניו; במאי עסקינן? אילימא בחצר שלו, פשיטא! ואלא בחצר שלה, והתניא: אם היתה חצר שלה - הוא נדחה מפניה! אלא לאו כי האי גוונא. </w:t>
      </w:r>
      <w:r w:rsidR="00317A9C">
        <w:rPr>
          <w:rStyle w:val="Style1Char"/>
          <w:rFonts w:hint="cs"/>
          <w:rtl/>
        </w:rPr>
        <w:t>(1)</w:t>
      </w:r>
      <w:r w:rsidRPr="00887069">
        <w:rPr>
          <w:rStyle w:val="Style1Char"/>
          <w:color w:val="00B050"/>
          <w:rtl/>
        </w:rPr>
        <w:t xml:space="preserve">דלמא דאגיר מיגר. מאי הוי עלה? ת"ש: הנה ה' מטלטלך טלטלה גבר. ואמר רב: </w:t>
      </w:r>
      <w:r w:rsidR="00AD3847">
        <w:rPr>
          <w:rStyle w:val="Style1Char"/>
          <w:rFonts w:hint="cs"/>
          <w:rtl/>
        </w:rPr>
        <w:t>(1)</w:t>
      </w:r>
      <w:r w:rsidRPr="00887069">
        <w:rPr>
          <w:rStyle w:val="Style1Char"/>
          <w:color w:val="00B050"/>
          <w:rtl/>
        </w:rPr>
        <w:t xml:space="preserve">טלטולי דגברא קשין מדאיתתא. </w:t>
      </w:r>
      <w:r w:rsidRPr="00F30C15">
        <w:rPr>
          <w:rStyle w:val="Style1Char"/>
          <w:color w:val="auto"/>
          <w:sz w:val="22"/>
          <w:szCs w:val="22"/>
          <w:rtl/>
        </w:rPr>
        <w:t xml:space="preserve">ת"ר: </w:t>
      </w:r>
      <w:r w:rsidR="00933773">
        <w:rPr>
          <w:rStyle w:val="Style1Char"/>
          <w:rFonts w:hint="cs"/>
          <w:rtl/>
        </w:rPr>
        <w:t>(1.2, 2)</w:t>
      </w:r>
      <w:r w:rsidRPr="00F30C15">
        <w:rPr>
          <w:rStyle w:val="Style1Char"/>
          <w:color w:val="auto"/>
          <w:sz w:val="22"/>
          <w:szCs w:val="22"/>
          <w:rtl/>
        </w:rPr>
        <w:t xml:space="preserve">לוה הימנה בנכסי אביה - אינה נפרעת אלא ע"י אחר. אמר רב ששת: ואי אתו לקמן לדינא - לא מזדקקינן להו. רב פפא אמר: </w:t>
      </w:r>
      <w:r w:rsidR="00AB3C81">
        <w:rPr>
          <w:rStyle w:val="Style1Char"/>
          <w:rFonts w:hint="cs"/>
          <w:rtl/>
        </w:rPr>
        <w:t>(1.2, 3)</w:t>
      </w:r>
      <w:r w:rsidRPr="00F30C15">
        <w:rPr>
          <w:rStyle w:val="Style1Char"/>
          <w:color w:val="auto"/>
          <w:sz w:val="22"/>
          <w:szCs w:val="22"/>
          <w:rtl/>
        </w:rPr>
        <w:t xml:space="preserve">שמותי משמתינן להו. רב הונא בריה דרב יהושע אמר: </w:t>
      </w:r>
      <w:r w:rsidR="001179E1">
        <w:rPr>
          <w:rStyle w:val="Style1Char"/>
          <w:rFonts w:hint="cs"/>
          <w:rtl/>
        </w:rPr>
        <w:t>(1.2, 3)</w:t>
      </w:r>
      <w:r w:rsidRPr="00F30C15">
        <w:rPr>
          <w:rStyle w:val="Style1Char"/>
          <w:color w:val="auto"/>
          <w:sz w:val="22"/>
          <w:szCs w:val="22"/>
          <w:rtl/>
        </w:rPr>
        <w:t xml:space="preserve">נגודי נמי מנגדינן להו. אמר רב נחמן, תנא באבל רבתי: בד"א - שנתגרשה מן הנשואין, </w:t>
      </w:r>
      <w:r w:rsidR="001179E1">
        <w:rPr>
          <w:rStyle w:val="Style1Char"/>
          <w:rFonts w:hint="cs"/>
          <w:rtl/>
        </w:rPr>
        <w:t>(1.2, 4)</w:t>
      </w:r>
      <w:r w:rsidRPr="00F30C15">
        <w:rPr>
          <w:rStyle w:val="Style1Char"/>
          <w:color w:val="auto"/>
          <w:sz w:val="22"/>
          <w:szCs w:val="22"/>
          <w:rtl/>
        </w:rPr>
        <w:t>אבל כשנתגרשה מן האירוסין - נפרעת ע"י עצמה, שאין לבו גס בה</w:t>
      </w:r>
      <w:r w:rsidRPr="00F30C15">
        <w:rPr>
          <w:rStyle w:val="Style1Char"/>
          <w:color w:val="auto"/>
          <w:rtl/>
        </w:rPr>
        <w:t xml:space="preserve"> </w:t>
      </w:r>
      <w:r w:rsidRPr="000559E2">
        <w:rPr>
          <w:rStyle w:val="Style1Char"/>
          <w:color w:val="806000" w:themeColor="accent4" w:themeShade="80"/>
          <w:sz w:val="22"/>
          <w:szCs w:val="22"/>
          <w:rtl/>
        </w:rPr>
        <w:t>ואינה מכרת בקריצותיו וברמיזותיו והני מילי דלא גייסי בהדדי אבל גייסי בהדדי אפילו מן האירוסין אינה נפרעת אלא ע"י אחרים</w:t>
      </w:r>
      <w:r w:rsidRPr="000559E2">
        <w:rPr>
          <w:rStyle w:val="Style1Char"/>
          <w:color w:val="806000" w:themeColor="accent4" w:themeShade="80"/>
          <w:sz w:val="22"/>
          <w:szCs w:val="22"/>
        </w:rPr>
        <w:t>:</w:t>
      </w:r>
    </w:p>
    <w:p w14:paraId="14C66803" w14:textId="73DBDF9B" w:rsidR="00DA1858" w:rsidRDefault="00DA1858" w:rsidP="00DA1858">
      <w:pPr>
        <w:bidi/>
        <w:rPr>
          <w:rStyle w:val="Style1Char"/>
          <w:color w:val="00B050"/>
          <w:rtl/>
        </w:rPr>
      </w:pPr>
      <w:r w:rsidRPr="00887069">
        <w:rPr>
          <w:rStyle w:val="Style1Char"/>
          <w:color w:val="00B050"/>
          <w:rtl/>
        </w:rPr>
        <w:t xml:space="preserve">ההוא ארוס וארוסתו דאתו לקמיה דרבא, יתיב רב אדא בר מתנא קמיה, אוקי רבא שלוחא בינתייהו; א"ל רב אדא בר מתנא, והאמר רב נחמן: תנא באבל רבתי כו'! א"ל: קא חזינן דקא גייסי בהדדי. איכא דאמרי: לא אוקי רבא שליח בינתייהו, א"ל רב אדא בר מתנא: ניקום מר שלוחא בינתייהו! א"ל, והא [אמר] רב נחמן: תנא באבל רבתי כו'! א"ל: </w:t>
      </w:r>
      <w:r w:rsidR="00DB1883">
        <w:rPr>
          <w:rStyle w:val="Style1Char"/>
          <w:rFonts w:hint="cs"/>
          <w:rtl/>
        </w:rPr>
        <w:t>(1.2, 4)</w:t>
      </w:r>
      <w:r w:rsidRPr="00887069">
        <w:rPr>
          <w:rStyle w:val="Style1Char"/>
          <w:color w:val="00B050"/>
          <w:rtl/>
        </w:rPr>
        <w:t xml:space="preserve">ה"מ היכא דלא גייסי בהדדי, אבל הני קא חזינא להו דגייסי בהדדי. </w:t>
      </w:r>
    </w:p>
    <w:p w14:paraId="1A910486" w14:textId="40853F09" w:rsidR="00DA1858" w:rsidRPr="007E1B08" w:rsidRDefault="00DA1858" w:rsidP="00DA1858">
      <w:pPr>
        <w:bidi/>
        <w:rPr>
          <w:rStyle w:val="Style1Char"/>
          <w:color w:val="auto"/>
          <w:sz w:val="22"/>
          <w:szCs w:val="22"/>
        </w:rPr>
      </w:pPr>
      <w:r w:rsidRPr="007E1B08">
        <w:rPr>
          <w:rStyle w:val="Style1Char"/>
          <w:color w:val="auto"/>
          <w:sz w:val="22"/>
          <w:szCs w:val="22"/>
          <w:rtl/>
        </w:rPr>
        <w:t xml:space="preserve">מתני'. ואלו נאמנין להעיד בגודלן מה שראו בקוטנן: </w:t>
      </w:r>
      <w:r w:rsidR="00C653A3">
        <w:rPr>
          <w:rStyle w:val="Style1Char"/>
          <w:rFonts w:hint="cs"/>
          <w:rtl/>
        </w:rPr>
        <w:t>(5)</w:t>
      </w:r>
      <w:r w:rsidRPr="007E1B08">
        <w:rPr>
          <w:rStyle w:val="Style1Char"/>
          <w:color w:val="auto"/>
          <w:sz w:val="22"/>
          <w:szCs w:val="22"/>
          <w:rtl/>
        </w:rPr>
        <w:t xml:space="preserve">נאמן אדם לומר זה כתב ידו של אבא וזה כתב ידו של רבי וזה כתב ידו של אחי, זכור הייתי בפלונית שיצאה בהינומא וראשה פרוע, ושהיה איש פלוני יוצא מבית הספר לטבול לאכול בתרומה, ושהיה חולק עמנו על הגורן, והמקום הזה בית הפרס, ועד כאן היינו באין בשבת; אבל אין אדם נאמן לומר דרך היה לפלוני במקום הזה, מעמד ומספד היה לפלוני במקום הזה. </w:t>
      </w:r>
    </w:p>
    <w:p w14:paraId="48673C74" w14:textId="1D6283AB" w:rsidR="00DA1858" w:rsidRPr="0077125B" w:rsidRDefault="00DA1858" w:rsidP="00DA1858">
      <w:pPr>
        <w:bidi/>
        <w:rPr>
          <w:rStyle w:val="Style1Char"/>
          <w:color w:val="4472C4" w:themeColor="accent1"/>
        </w:rPr>
      </w:pPr>
      <w:r w:rsidRPr="008F17B5">
        <w:rPr>
          <w:rStyle w:val="Style1Char"/>
          <w:color w:val="auto"/>
          <w:sz w:val="22"/>
          <w:szCs w:val="22"/>
          <w:rtl/>
        </w:rPr>
        <w:t xml:space="preserve">גמ'. אמר רב הונא בריה דרב יהושע: </w:t>
      </w:r>
      <w:r w:rsidR="00C653A3">
        <w:rPr>
          <w:rStyle w:val="Style1Char"/>
          <w:rFonts w:hint="cs"/>
          <w:rtl/>
        </w:rPr>
        <w:t>(5)</w:t>
      </w:r>
      <w:r w:rsidRPr="008F17B5">
        <w:rPr>
          <w:rStyle w:val="Style1Char"/>
          <w:color w:val="auto"/>
          <w:sz w:val="22"/>
          <w:szCs w:val="22"/>
          <w:rtl/>
        </w:rPr>
        <w:t>והוא</w:t>
      </w:r>
      <w:r w:rsidRPr="0041578B">
        <w:rPr>
          <w:rStyle w:val="Style1Char"/>
          <w:sz w:val="22"/>
          <w:szCs w:val="22"/>
          <w:rtl/>
        </w:rPr>
        <w:t>,</w:t>
      </w:r>
      <w:r w:rsidRPr="00887069">
        <w:rPr>
          <w:rStyle w:val="Style1Char"/>
          <w:color w:val="00B050"/>
          <w:rtl/>
        </w:rPr>
        <w:t xml:space="preserve"> </w:t>
      </w:r>
      <w:r w:rsidRPr="008F17B5">
        <w:rPr>
          <w:rStyle w:val="Style1Char"/>
          <w:color w:val="ED7D31" w:themeColor="accent2"/>
          <w:rtl/>
        </w:rPr>
        <w:t xml:space="preserve">שיש גדול עמו </w:t>
      </w:r>
      <w:r w:rsidRPr="000632AD">
        <w:rPr>
          <w:rStyle w:val="Style1Char"/>
          <w:color w:val="C00000"/>
          <w:sz w:val="22"/>
          <w:szCs w:val="22"/>
          <w:rtl/>
        </w:rPr>
        <w:t>שהיה גדול עומד על גביו כלומר מעיד עמו</w:t>
      </w:r>
      <w:r>
        <w:rPr>
          <w:rStyle w:val="Style1Char"/>
          <w:rFonts w:hint="cs"/>
          <w:color w:val="C00000"/>
          <w:sz w:val="22"/>
          <w:szCs w:val="22"/>
          <w:rtl/>
        </w:rPr>
        <w:t xml:space="preserve"> </w:t>
      </w:r>
      <w:r w:rsidRPr="0077125B">
        <w:rPr>
          <w:rStyle w:val="Style1Char"/>
          <w:color w:val="4472C4" w:themeColor="accent1"/>
          <w:rtl/>
        </w:rPr>
        <w:t>דלא מפקינן ממונא אלא בתרי וכן הינומא</w:t>
      </w:r>
      <w:r>
        <w:rPr>
          <w:rStyle w:val="Style1Char"/>
          <w:rFonts w:hint="cs"/>
          <w:color w:val="4472C4" w:themeColor="accent1"/>
        </w:rPr>
        <w:t>‍</w:t>
      </w:r>
      <w:r w:rsidRPr="0077125B">
        <w:rPr>
          <w:rStyle w:val="Style1Char"/>
          <w:color w:val="4472C4" w:themeColor="accent1"/>
          <w:rtl/>
        </w:rPr>
        <w:t xml:space="preserve"> אבל בתרומה לא בעינן שיהא אחר עמו דהא מוקמינן לה בתרומה דרבנן ובלא גדול שעמו סגי כיון דלא מעלינן מתרומה דרבנן ליוחסין. וכן בית הפרס שהוא מעיד על גבולו לטהר סביבותיו וכן על תחום שבת א"צ שיהא גדול עמו דכיון דמדרבנן הם נאמנים</w:t>
      </w:r>
      <w:r w:rsidRPr="00887069">
        <w:rPr>
          <w:rStyle w:val="Style1Char"/>
          <w:color w:val="00B050"/>
          <w:rtl/>
        </w:rPr>
        <w:t xml:space="preserve">. </w:t>
      </w:r>
      <w:r w:rsidRPr="00B070E8">
        <w:rPr>
          <w:rStyle w:val="Style1Char"/>
          <w:color w:val="ED7D31" w:themeColor="accent2"/>
          <w:rtl/>
        </w:rPr>
        <w:t>וצריכא; דאי אשמעינן אביו, משום דשכיח גביה, אבל רבו לא; ואי אשמעינן רבו, משום דאית ליה אימתיה דרביה, אבל אביו לא; ואי אשמעינן הני תרתי, אביו - דשכיח גביה, ורבו - דאית ליה אימתיה, אבל אחיו דלית ליה לא הא ולא הא - אימא לא, קמ"ל</w:t>
      </w:r>
      <w:r w:rsidRPr="00887069">
        <w:rPr>
          <w:rStyle w:val="Style1Char"/>
          <w:color w:val="00B050"/>
          <w:rtl/>
        </w:rPr>
        <w:t xml:space="preserve">: </w:t>
      </w:r>
      <w:r w:rsidRPr="00B070E8">
        <w:rPr>
          <w:rStyle w:val="Style1Char"/>
          <w:color w:val="auto"/>
          <w:sz w:val="22"/>
          <w:szCs w:val="22"/>
          <w:rtl/>
        </w:rPr>
        <w:t>כיון דקיום שטרות מדרבנן, הימנוהו רבנן בדרבנן</w:t>
      </w:r>
      <w:r w:rsidRPr="000632AD">
        <w:rPr>
          <w:rStyle w:val="Style1Char"/>
          <w:sz w:val="22"/>
          <w:szCs w:val="22"/>
          <w:rtl/>
        </w:rPr>
        <w:t xml:space="preserve">. </w:t>
      </w:r>
      <w:r w:rsidRPr="0077125B">
        <w:rPr>
          <w:rStyle w:val="Style1Char"/>
          <w:color w:val="4472C4" w:themeColor="accent1"/>
          <w:rtl/>
        </w:rPr>
        <w:t>ונראה דדוקא בהני תלת אבל באיניש דעלמא לא והכי נמי אמרינן בירושלמי תני ובלבד דברים שהם רגילים בהן כלומר באלו השלשה שהוא תמיד מצוי ורגיל אצלם אבל באיניש דעלמא אפילו אם היה רגיל אצלו אינו חשוב רגילות</w:t>
      </w:r>
      <w:r w:rsidRPr="0077125B">
        <w:rPr>
          <w:rStyle w:val="Style1Char"/>
          <w:color w:val="4472C4" w:themeColor="accent1"/>
        </w:rPr>
        <w:t>:</w:t>
      </w:r>
    </w:p>
    <w:p w14:paraId="3B871BB0" w14:textId="478FF6EB" w:rsidR="00DA1858" w:rsidRPr="00B070E8" w:rsidRDefault="0016741E" w:rsidP="00DA1858">
      <w:pPr>
        <w:bidi/>
        <w:rPr>
          <w:rStyle w:val="Style1Char"/>
          <w:color w:val="auto"/>
        </w:rPr>
      </w:pPr>
      <w:r>
        <w:rPr>
          <w:rStyle w:val="Style1Char"/>
          <w:rFonts w:hint="cs"/>
          <w:rtl/>
        </w:rPr>
        <w:t>(6)</w:t>
      </w:r>
      <w:r w:rsidR="00DA1858" w:rsidRPr="00B070E8">
        <w:rPr>
          <w:rStyle w:val="Style1Char"/>
          <w:color w:val="auto"/>
          <w:sz w:val="22"/>
          <w:szCs w:val="22"/>
          <w:rtl/>
        </w:rPr>
        <w:t xml:space="preserve">זכור הייתי בפלונית </w:t>
      </w:r>
      <w:r w:rsidR="00DA1858" w:rsidRPr="00B070E8">
        <w:rPr>
          <w:rStyle w:val="Style1Char"/>
          <w:color w:val="ED7D31" w:themeColor="accent2"/>
          <w:sz w:val="22"/>
          <w:szCs w:val="22"/>
          <w:rtl/>
        </w:rPr>
        <w:t>שיצאה בהינומא וראשה פרוע</w:t>
      </w:r>
      <w:r w:rsidR="00DA1858" w:rsidRPr="00887069">
        <w:rPr>
          <w:rStyle w:val="Style1Char"/>
          <w:color w:val="00B050"/>
          <w:rtl/>
        </w:rPr>
        <w:t xml:space="preserve">. </w:t>
      </w:r>
      <w:r w:rsidR="00DA1858" w:rsidRPr="00B070E8">
        <w:rPr>
          <w:rStyle w:val="Style1Char"/>
          <w:color w:val="auto"/>
          <w:sz w:val="22"/>
          <w:szCs w:val="22"/>
          <w:rtl/>
        </w:rPr>
        <w:t>מאי טעמא? כיון דרוב נשים בתולות נישאות, גלוי מלתא בעלמא הוא</w:t>
      </w:r>
      <w:r w:rsidR="00DA1858" w:rsidRPr="00B070E8">
        <w:rPr>
          <w:rStyle w:val="Style1Char"/>
          <w:color w:val="auto"/>
          <w:rtl/>
        </w:rPr>
        <w:t xml:space="preserve">. </w:t>
      </w:r>
    </w:p>
    <w:p w14:paraId="493DF7D8" w14:textId="0489A4A7" w:rsidR="00DA1858" w:rsidRDefault="00337CDB" w:rsidP="00DA1858">
      <w:pPr>
        <w:bidi/>
        <w:rPr>
          <w:rStyle w:val="Style1Char"/>
          <w:color w:val="00B050"/>
          <w:rtl/>
        </w:rPr>
      </w:pPr>
      <w:r>
        <w:rPr>
          <w:rStyle w:val="Style1Char"/>
          <w:rFonts w:hint="cs"/>
          <w:rtl/>
        </w:rPr>
        <w:t>(7)</w:t>
      </w:r>
      <w:r w:rsidR="00DA1858" w:rsidRPr="00B070E8">
        <w:rPr>
          <w:rStyle w:val="Style1Char"/>
          <w:color w:val="auto"/>
          <w:sz w:val="22"/>
          <w:szCs w:val="22"/>
          <w:rtl/>
        </w:rPr>
        <w:t>ושהיה איש פלוני יוצא מבית הספר לטבול לאכול בתרומה. ודלמא עבד כהן הוא! מסייע ליה לר' יהושע בן לוי, דאמר</w:t>
      </w:r>
      <w:r w:rsidR="00DA1858" w:rsidRPr="00887069">
        <w:rPr>
          <w:rStyle w:val="Style1Char"/>
          <w:color w:val="00B050"/>
          <w:rtl/>
        </w:rPr>
        <w:t xml:space="preserve"> ר' יהושע בן לוי: </w:t>
      </w:r>
      <w:r>
        <w:rPr>
          <w:rStyle w:val="Style1Char"/>
          <w:rFonts w:hint="cs"/>
          <w:rtl/>
        </w:rPr>
        <w:t>(8)</w:t>
      </w:r>
      <w:r w:rsidR="00DA1858" w:rsidRPr="00B070E8">
        <w:rPr>
          <w:rStyle w:val="Style1Char"/>
          <w:color w:val="auto"/>
          <w:sz w:val="22"/>
          <w:szCs w:val="22"/>
          <w:rtl/>
        </w:rPr>
        <w:t>אסור לאדם שילמד את עבדו תורה</w:t>
      </w:r>
      <w:r w:rsidR="00DA1858" w:rsidRPr="00887069">
        <w:rPr>
          <w:rStyle w:val="Style1Char"/>
          <w:color w:val="00B050"/>
          <w:rtl/>
        </w:rPr>
        <w:t xml:space="preserve">. ולא? והתניא: </w:t>
      </w:r>
      <w:r w:rsidR="0045799C">
        <w:rPr>
          <w:rStyle w:val="Style1Char"/>
          <w:rFonts w:hint="cs"/>
          <w:rtl/>
        </w:rPr>
        <w:t>(9)</w:t>
      </w:r>
      <w:r w:rsidR="00DA1858" w:rsidRPr="00887069">
        <w:rPr>
          <w:rStyle w:val="Style1Char"/>
          <w:color w:val="00B050"/>
          <w:rtl/>
        </w:rPr>
        <w:t xml:space="preserve">לוה הימנו רבו, או שעשאו רבו </w:t>
      </w:r>
    </w:p>
    <w:p w14:paraId="2F7E4468" w14:textId="26B1CBC3" w:rsidR="00572A00" w:rsidRDefault="00572A00" w:rsidP="00572A00">
      <w:pPr>
        <w:pStyle w:val="Style1"/>
        <w:rPr>
          <w:rStyle w:val="Style1Char"/>
          <w:rtl/>
        </w:rPr>
      </w:pPr>
      <w:r>
        <w:rPr>
          <w:rStyle w:val="Style1Char"/>
          <w:rFonts w:hint="cs"/>
          <w:rtl/>
        </w:rPr>
        <w:t>1)[</w:t>
      </w:r>
      <w:r w:rsidRPr="00572A00">
        <w:rPr>
          <w:rStyle w:val="Style1Char"/>
          <w:rtl/>
        </w:rPr>
        <w:t>רמב</w:t>
      </w:r>
      <w:r w:rsidR="00213DA1">
        <w:rPr>
          <w:rStyle w:val="Style1Char"/>
          <w:rtl/>
        </w:rPr>
        <w:t>”ם \קדושה\</w:t>
      </w:r>
      <w:r w:rsidRPr="00572A00">
        <w:rPr>
          <w:rStyle w:val="Style1Char"/>
          <w:rtl/>
        </w:rPr>
        <w:t xml:space="preserve"> הלכות איסורי ביאה פרק כא הלכה כז</w:t>
      </w:r>
      <w:r>
        <w:rPr>
          <w:rStyle w:val="Style1Char"/>
          <w:rFonts w:hint="cs"/>
          <w:rtl/>
        </w:rPr>
        <w:t xml:space="preserve">] </w:t>
      </w:r>
      <w:r w:rsidRPr="00572A00">
        <w:rPr>
          <w:rStyle w:val="Style1Char"/>
          <w:rtl/>
        </w:rPr>
        <w:t>וכן מי שגירש את אשתו מן הנשואין לא תדור עמו בחצר שמא יבואו לידי זנות, ואם היה כהן לא תדור עמו במבוי, וכפר קטן נידון כמבוי, היה לה מלוה אצלו עושה שליח לתובעו, וגרושה שבאה עם המגרש לדין מנדין אותן או מכין אותן מכת מרדות, ואם נתגרשה מן האירוסין מותרת לתובעו בדין ולדור עמו, ואם היה לבו גס בה אף מן האירוסין אסור, ומי נדחה מפני מי היא נדחת מפניו, ואם היתה החצר שלה הוא ידחה מפניה.</w:t>
      </w:r>
    </w:p>
    <w:p w14:paraId="0A833533" w14:textId="194B0E25" w:rsidR="00705E28" w:rsidRDefault="00705E28" w:rsidP="00705E28">
      <w:pPr>
        <w:pStyle w:val="Style1"/>
        <w:rPr>
          <w:rStyle w:val="Style1Char"/>
          <w:rtl/>
        </w:rPr>
      </w:pPr>
      <w:r>
        <w:rPr>
          <w:rStyle w:val="Style1Char"/>
          <w:rFonts w:hint="cs"/>
          <w:rtl/>
        </w:rPr>
        <w:t>1)[</w:t>
      </w:r>
      <w:r w:rsidRPr="00705E28">
        <w:rPr>
          <w:rStyle w:val="Style1Char"/>
          <w:rtl/>
        </w:rPr>
        <w:t>שולחן ערוך אבן העזר הלכות פריה ורביה סימן ו סעיף ז</w:t>
      </w:r>
      <w:r>
        <w:rPr>
          <w:rStyle w:val="Style1Char"/>
          <w:rFonts w:hint="cs"/>
          <w:rtl/>
        </w:rPr>
        <w:t xml:space="preserve">] </w:t>
      </w:r>
      <w:r w:rsidRPr="00705E28">
        <w:rPr>
          <w:rStyle w:val="Style1Char"/>
          <w:rtl/>
        </w:rPr>
        <w:t>כהן שגירש אשתו, לא תדור עמו במבוי. ואם היו דרים בשכירות או בחצר של שניהם, היא נדחית מפניו. ואם החצר שלה, הוא נדחה מפניה. ויתבארו דברים אלו בסימן קי"ט.</w:t>
      </w:r>
    </w:p>
    <w:p w14:paraId="6F6A6FD0" w14:textId="1495231C" w:rsidR="00CC3C07" w:rsidRDefault="00CC3C07" w:rsidP="00CC3C07">
      <w:pPr>
        <w:pStyle w:val="Style1"/>
        <w:rPr>
          <w:rStyle w:val="Style1Char"/>
          <w:rtl/>
        </w:rPr>
      </w:pPr>
      <w:r>
        <w:rPr>
          <w:rStyle w:val="Style1Char"/>
          <w:rFonts w:hint="cs"/>
          <w:rtl/>
        </w:rPr>
        <w:t>1)[</w:t>
      </w:r>
      <w:r w:rsidRPr="00CC3C07">
        <w:rPr>
          <w:rStyle w:val="Style1Char"/>
          <w:rtl/>
        </w:rPr>
        <w:t>שולחן ערוך אבן העזר הלכות גיטין סימן קיט סעיף יא</w:t>
      </w:r>
      <w:r>
        <w:rPr>
          <w:rStyle w:val="Style1Char"/>
          <w:rFonts w:hint="cs"/>
          <w:rtl/>
        </w:rPr>
        <w:t xml:space="preserve">] </w:t>
      </w:r>
      <w:r w:rsidRPr="00CC3C07">
        <w:rPr>
          <w:rStyle w:val="Style1Char"/>
          <w:rtl/>
        </w:rPr>
        <w:t>מי נדחה מפני מי, היא נדחית מפניו. ואם היה החצר שלה, הוא ידחה מפניה.</w:t>
      </w:r>
    </w:p>
    <w:p w14:paraId="3787A152" w14:textId="45961E49" w:rsidR="00893F34" w:rsidRPr="00893F34" w:rsidRDefault="009E4ADF" w:rsidP="00893F34">
      <w:pPr>
        <w:pStyle w:val="Style1"/>
      </w:pPr>
      <w:r>
        <w:rPr>
          <w:rStyle w:val="Style1Char"/>
          <w:rFonts w:hint="cs"/>
          <w:rtl/>
        </w:rPr>
        <w:t>2)[</w:t>
      </w:r>
      <w:r w:rsidRPr="009E4ADF">
        <w:rPr>
          <w:rStyle w:val="Style1Char"/>
          <w:rtl/>
        </w:rPr>
        <w:t>שולחן ערוך אבן העזר הלכות גיטין סימן קיט סעיף ח</w:t>
      </w:r>
      <w:r>
        <w:rPr>
          <w:rStyle w:val="Style1Char"/>
          <w:rFonts w:hint="cs"/>
          <w:rtl/>
        </w:rPr>
        <w:t>]</w:t>
      </w:r>
      <w:r w:rsidR="00893F34">
        <w:rPr>
          <w:rStyle w:val="Style1Char"/>
          <w:rFonts w:hint="cs"/>
          <w:rtl/>
        </w:rPr>
        <w:t xml:space="preserve"> </w:t>
      </w:r>
      <w:r w:rsidR="00893F34" w:rsidRPr="00893F34">
        <w:rPr>
          <w:rtl/>
        </w:rPr>
        <w:t>היה לה מלוה אצלו, עושה שליח לתובעו</w:t>
      </w:r>
      <w:r w:rsidR="00893F34" w:rsidRPr="00893F34">
        <w:t>.</w:t>
      </w:r>
    </w:p>
    <w:p w14:paraId="69448FD8" w14:textId="6D55E7FB" w:rsidR="00893F34" w:rsidRDefault="00893F34" w:rsidP="00893F34">
      <w:pPr>
        <w:pStyle w:val="Style1"/>
        <w:rPr>
          <w:rtl/>
        </w:rPr>
      </w:pPr>
      <w:r w:rsidRPr="00893F34">
        <w:rPr>
          <w:rFonts w:hint="cs"/>
          <w:rtl/>
        </w:rPr>
        <w:t>הגה: ודוקא בכהאי גוונא, אבל מותר ליכנס לביתה אף על פי שנשאת, הואיל ואינו דר שם ואינו נושא ונותן עמה (כך משמע </w:t>
      </w:r>
      <w:hyperlink r:id="rId64" w:tooltip="תרומת הדשן/א/רמג" w:history="1">
        <w:r w:rsidRPr="00893F34">
          <w:rPr>
            <w:rStyle w:val="Hyperlink"/>
            <w:rFonts w:hint="cs"/>
            <w:color w:val="7030A0"/>
            <w:u w:val="none"/>
            <w:rtl/>
          </w:rPr>
          <w:t>בתרומת הדשן סימן רמ"ג</w:t>
        </w:r>
      </w:hyperlink>
      <w:r w:rsidRPr="00893F34">
        <w:rPr>
          <w:rFonts w:hint="cs"/>
        </w:rPr>
        <w:t xml:space="preserve">). </w:t>
      </w:r>
      <w:r w:rsidRPr="00893F34">
        <w:rPr>
          <w:rFonts w:hint="cs"/>
          <w:rtl/>
        </w:rPr>
        <w:t>ויש מחמירין (בית יוסף). ומותר לאדם לזון גרושתו, ומצווה הוא יותר מבשאר עני (הגהות מיימוני פרק כ"א מאסורי ביאה) ובלבד שלא יהא לו עסק עמה, רק יזונה על ידי שליח (אור זרוע</w:t>
      </w:r>
      <w:r w:rsidRPr="00893F34">
        <w:rPr>
          <w:rFonts w:hint="cs"/>
        </w:rPr>
        <w:t>)</w:t>
      </w:r>
      <w:r w:rsidRPr="00893F34">
        <w:t>:</w:t>
      </w:r>
    </w:p>
    <w:p w14:paraId="70ACD173" w14:textId="147F7286" w:rsidR="005D7A09" w:rsidRDefault="005D7A09" w:rsidP="005D7A09">
      <w:pPr>
        <w:pStyle w:val="Style1"/>
        <w:rPr>
          <w:rtl/>
        </w:rPr>
      </w:pPr>
      <w:r>
        <w:rPr>
          <w:rFonts w:hint="cs"/>
          <w:rtl/>
        </w:rPr>
        <w:t>3)[</w:t>
      </w:r>
      <w:r>
        <w:rPr>
          <w:rtl/>
        </w:rPr>
        <w:t>שולחן ערוך אבן העזר הלכות גיטין סימן קיט סעיף ט</w:t>
      </w:r>
      <w:r>
        <w:rPr>
          <w:rFonts w:hint="cs"/>
          <w:rtl/>
        </w:rPr>
        <w:t>]</w:t>
      </w:r>
      <w:r w:rsidR="00FB7666">
        <w:rPr>
          <w:rFonts w:hint="cs"/>
          <w:rtl/>
        </w:rPr>
        <w:t xml:space="preserve"> </w:t>
      </w:r>
      <w:r w:rsidR="00FB7666" w:rsidRPr="00FB7666">
        <w:rPr>
          <w:rtl/>
        </w:rPr>
        <w:t>גרושה שבאה עם המגרש לדין, מנדין אותם או מכין אותם מכת מרדות</w:t>
      </w:r>
      <w:r w:rsidR="00FB7666" w:rsidRPr="00FB7666">
        <w:t>:</w:t>
      </w:r>
    </w:p>
    <w:p w14:paraId="09E719FB" w14:textId="5E60AB55" w:rsidR="005745C0" w:rsidRDefault="005745C0" w:rsidP="005745C0">
      <w:pPr>
        <w:pStyle w:val="Style1"/>
        <w:rPr>
          <w:rtl/>
        </w:rPr>
      </w:pPr>
      <w:r>
        <w:rPr>
          <w:rFonts w:hint="cs"/>
          <w:rtl/>
        </w:rPr>
        <w:t>4)[</w:t>
      </w:r>
      <w:r>
        <w:rPr>
          <w:rtl/>
        </w:rPr>
        <w:t>שולחן ערוך אבן העזר הלכות גיטין סימן קיט סעיף י</w:t>
      </w:r>
      <w:r>
        <w:rPr>
          <w:rFonts w:hint="cs"/>
          <w:rtl/>
        </w:rPr>
        <w:t xml:space="preserve">] </w:t>
      </w:r>
      <w:r w:rsidRPr="005745C0">
        <w:rPr>
          <w:rtl/>
        </w:rPr>
        <w:t>אם נתגרשה מן הארוסין, מותרת לתבעו לדין ולדור עמו. ואם היה לבו גס בה, אף מן הארוסין אסור</w:t>
      </w:r>
      <w:r w:rsidRPr="005745C0">
        <w:t>:</w:t>
      </w:r>
    </w:p>
    <w:p w14:paraId="3D99B378" w14:textId="1BBEDF0F" w:rsidR="00CC1EC0" w:rsidRDefault="00CC1EC0" w:rsidP="00CC1EC0">
      <w:pPr>
        <w:pStyle w:val="Style1"/>
        <w:rPr>
          <w:rtl/>
        </w:rPr>
      </w:pPr>
      <w:r>
        <w:rPr>
          <w:rFonts w:hint="cs"/>
          <w:rtl/>
        </w:rPr>
        <w:t>5)[</w:t>
      </w:r>
      <w:r>
        <w:rPr>
          <w:rtl/>
        </w:rPr>
        <w:t>רמב</w:t>
      </w:r>
      <w:r w:rsidR="0057095E">
        <w:rPr>
          <w:rtl/>
        </w:rPr>
        <w:t>”ם \שופטים\</w:t>
      </w:r>
      <w:r>
        <w:rPr>
          <w:rtl/>
        </w:rPr>
        <w:t xml:space="preserve"> הלכות עדות פרק ז הלכה א</w:t>
      </w:r>
      <w:r>
        <w:rPr>
          <w:rFonts w:hint="cs"/>
          <w:rtl/>
        </w:rPr>
        <w:t xml:space="preserve">] </w:t>
      </w:r>
      <w:r>
        <w:rPr>
          <w:rtl/>
        </w:rPr>
        <w:t>מעיד קרוב על כתב קרובו כיצד שטר שעדיו ראובן ושמעון ומתו או שהלכו למדינת הים ובא בנו של ראובן ואמר זה כתב ידו של אבי ובא בנו של שמעון ואמר זה כתב ידו של אבי הרי אלו כשני עדים כשרים שאינן קרובים ואם יצטרף עמהם שלישי והעיד על כתב ידן של שניהם הרי נתקיים השטר.</w:t>
      </w:r>
    </w:p>
    <w:p w14:paraId="383FF067" w14:textId="3CD94D75" w:rsidR="000D1E54" w:rsidRDefault="000D1E54" w:rsidP="000D1E54">
      <w:pPr>
        <w:pStyle w:val="Style1"/>
        <w:rPr>
          <w:rtl/>
        </w:rPr>
      </w:pPr>
      <w:r>
        <w:rPr>
          <w:rFonts w:hint="cs"/>
          <w:rtl/>
        </w:rPr>
        <w:t>5)[</w:t>
      </w:r>
      <w:r>
        <w:rPr>
          <w:rtl/>
        </w:rPr>
        <w:t>רמב</w:t>
      </w:r>
      <w:r w:rsidR="0057095E">
        <w:rPr>
          <w:rtl/>
        </w:rPr>
        <w:t>”ם \שופטים\</w:t>
      </w:r>
      <w:r>
        <w:rPr>
          <w:rtl/>
        </w:rPr>
        <w:t xml:space="preserve"> הלכות עדות פרק יד הלכה ג</w:t>
      </w:r>
      <w:r>
        <w:rPr>
          <w:rFonts w:hint="cs"/>
          <w:rtl/>
        </w:rPr>
        <w:t xml:space="preserve">] </w:t>
      </w:r>
      <w:r>
        <w:rPr>
          <w:rtl/>
        </w:rPr>
        <w:t xml:space="preserve">ויש דברים שסומכין בהן על עדות שמעיד כשהוא גדול הואיל והם דברים של דבריהם, ואלו הן הדברים שאדם נאמן להעיד בגודלו על מה שראה בקטנו, נאמן אדם לומר זה כתב ידו של אבי או של רבי או של אחי מפני שקיום שטרות מדבריהם, זכור אני בפלונית שנישאת ונעשה לה מנהג הבתולות, הואיל ורוב נשים בתולות נישאות וכתובה מדבריהם, שהמקום הזה בית הפרס מפני שטומאתו מדבריהם, ועד כאן היינו באין בשבת שצמצום התחום עד אלפים אמה בלבד מדבריהם, שהיה איש פלוני יוצא מבית הספר לטבול ולאכול בתרומתו לערב, ושהיה חולק עמנו תרומה, ושהיינו מוליכים חלה ומתנות לפלוני כהן על ידי עצמו, ואמר לי אבא משפחה זו כשרה משפחה זו פסולה, ואכלנו בקצצה של פלוני </w:t>
      </w:r>
      <w:r>
        <w:rPr>
          <w:rtl/>
        </w:rPr>
        <w:lastRenderedPageBreak/>
        <w:t>שהאכילוני אחיו כדי להודיע שאחיהם פלוני נשא אשה שאינה הוגנת לו, שכל אלו הדברים להחזיק זה הכהן לאכול בתרומה של דבריהם או לדחותו ממנה.</w:t>
      </w:r>
    </w:p>
    <w:p w14:paraId="4BDD91A7" w14:textId="4630F18F" w:rsidR="00DF0BA5" w:rsidRDefault="00DF0BA5" w:rsidP="00DF0BA5">
      <w:pPr>
        <w:pStyle w:val="Style1"/>
        <w:rPr>
          <w:rtl/>
        </w:rPr>
      </w:pPr>
      <w:r>
        <w:rPr>
          <w:rFonts w:hint="cs"/>
          <w:rtl/>
        </w:rPr>
        <w:t>5)[</w:t>
      </w:r>
      <w:r>
        <w:rPr>
          <w:rtl/>
        </w:rPr>
        <w:t>שולחן ערוך חושן משפט הלכות עדות סימן לה סעיף ד</w:t>
      </w:r>
      <w:r>
        <w:rPr>
          <w:rFonts w:hint="cs"/>
          <w:rtl/>
        </w:rPr>
        <w:t>]</w:t>
      </w:r>
      <w:r w:rsidR="00CC4ABF">
        <w:rPr>
          <w:rFonts w:hint="cs"/>
          <w:rtl/>
        </w:rPr>
        <w:t xml:space="preserve"> </w:t>
      </w:r>
      <w:r w:rsidR="00CC4ABF" w:rsidRPr="00CC4ABF">
        <w:rPr>
          <w:rtl/>
        </w:rPr>
        <w:t>מי שהיה יודע בעדות כשהוא קטן והעיד בה כשהוא גדול אינו כלום ויש דברים שסומכים בהם על עדות שמעיד כשהוא גדול שראה בקטנות ואלו הם נאמן לומר זה כתב ידו של אבי או של רבי או של אחי ויש מי שאומר דעל כתב של אלו נאמן אבל לא על של אחרים</w:t>
      </w:r>
      <w:r w:rsidR="00CC4ABF" w:rsidRPr="00CC4ABF">
        <w:t>:</w:t>
      </w:r>
    </w:p>
    <w:p w14:paraId="7B395C7E" w14:textId="74A75087" w:rsidR="00AC4BE8" w:rsidRPr="00AC4BE8" w:rsidRDefault="00EB4131" w:rsidP="00AC4BE8">
      <w:pPr>
        <w:pStyle w:val="Style1"/>
      </w:pPr>
      <w:r>
        <w:rPr>
          <w:rFonts w:hint="cs"/>
          <w:rtl/>
        </w:rPr>
        <w:t>5)[</w:t>
      </w:r>
      <w:r>
        <w:rPr>
          <w:rtl/>
        </w:rPr>
        <w:t>שולחן ערוך חושן משפט הלכות עדות סימן לה סעיף ה</w:t>
      </w:r>
      <w:r>
        <w:rPr>
          <w:rFonts w:hint="cs"/>
          <w:rtl/>
        </w:rPr>
        <w:t>]</w:t>
      </w:r>
      <w:r w:rsidR="00AC4BE8">
        <w:rPr>
          <w:rFonts w:hint="cs"/>
          <w:rtl/>
        </w:rPr>
        <w:t xml:space="preserve">  </w:t>
      </w:r>
      <w:r w:rsidR="00AC4BE8" w:rsidRPr="00AC4BE8">
        <w:rPr>
          <w:rtl/>
        </w:rPr>
        <w:t>ונאמן לומר</w:t>
      </w:r>
      <w:r w:rsidR="00AC4BE8" w:rsidRPr="00AC4BE8">
        <w:t xml:space="preserve"> "</w:t>
      </w:r>
      <w:r w:rsidR="00AC4BE8" w:rsidRPr="00AC4BE8">
        <w:rPr>
          <w:rtl/>
        </w:rPr>
        <w:t>זכורני באשת פלוני שנעשה לה מנהג הבתולות כשנשאת</w:t>
      </w:r>
      <w:r w:rsidR="00AC4BE8" w:rsidRPr="00AC4BE8">
        <w:t>".</w:t>
      </w:r>
    </w:p>
    <w:p w14:paraId="629E5205" w14:textId="385579FD" w:rsidR="00AC4BE8" w:rsidRDefault="00AC4BE8" w:rsidP="00AC4BE8">
      <w:pPr>
        <w:pStyle w:val="Style1"/>
        <w:rPr>
          <w:rtl/>
        </w:rPr>
      </w:pPr>
      <w:r w:rsidRPr="00AC4BE8">
        <w:rPr>
          <w:rtl/>
        </w:rPr>
        <w:t>ונאמן לומר</w:t>
      </w:r>
      <w:r w:rsidRPr="00AC4BE8">
        <w:t xml:space="preserve"> "</w:t>
      </w:r>
      <w:r w:rsidRPr="00AC4BE8">
        <w:rPr>
          <w:rtl/>
        </w:rPr>
        <w:t>המקום הזה בית הפרס</w:t>
      </w:r>
      <w:r w:rsidRPr="00AC4BE8">
        <w:t>" (</w:t>
      </w:r>
      <w:r w:rsidRPr="00AC4BE8">
        <w:rPr>
          <w:rtl/>
        </w:rPr>
        <w:t>פי' שדה שנאבד או שנחרש בה קבר והוא לשון פרוסה שנפרסו ונתרוצצו בה עצמות מתים</w:t>
      </w:r>
      <w:r w:rsidRPr="00AC4BE8">
        <w:t>):</w:t>
      </w:r>
    </w:p>
    <w:p w14:paraId="21711B35" w14:textId="5E39C786" w:rsidR="004D1120" w:rsidRPr="004D1120" w:rsidRDefault="004D1120" w:rsidP="004D1120">
      <w:pPr>
        <w:pStyle w:val="Style1"/>
      </w:pPr>
      <w:r>
        <w:rPr>
          <w:rFonts w:hint="cs"/>
          <w:rtl/>
        </w:rPr>
        <w:t>5)[</w:t>
      </w:r>
      <w:r>
        <w:rPr>
          <w:rtl/>
        </w:rPr>
        <w:t>שולחן ערוך חושן משפט הלכות עדות סימן לה סעיף ו</w:t>
      </w:r>
      <w:r>
        <w:rPr>
          <w:rFonts w:hint="cs"/>
          <w:rtl/>
        </w:rPr>
        <w:t xml:space="preserve">] </w:t>
      </w:r>
      <w:r w:rsidRPr="004D1120">
        <w:rPr>
          <w:rtl/>
        </w:rPr>
        <w:t>ונאמן לומר </w:t>
      </w:r>
      <w:r w:rsidRPr="004D1120">
        <w:rPr>
          <w:rFonts w:hint="cs"/>
          <w:rtl/>
        </w:rPr>
        <w:t>(ואפי' הוא לבדו) (טור)</w:t>
      </w:r>
      <w:r w:rsidRPr="004D1120">
        <w:rPr>
          <w:rtl/>
        </w:rPr>
        <w:t> </w:t>
      </w:r>
      <w:r w:rsidRPr="004D1120">
        <w:t>"</w:t>
      </w:r>
      <w:r w:rsidRPr="004D1120">
        <w:rPr>
          <w:rtl/>
        </w:rPr>
        <w:t>עד כאן היינו באים בשבת</w:t>
      </w:r>
      <w:r w:rsidRPr="004D1120">
        <w:t xml:space="preserve">" </w:t>
      </w:r>
      <w:r w:rsidRPr="004D1120">
        <w:rPr>
          <w:rtl/>
        </w:rPr>
        <w:t>כיון שתחומים דרבנן (הגהות אלפסי פ"ב דכתובות) </w:t>
      </w:r>
      <w:r w:rsidRPr="004D1120">
        <w:rPr>
          <w:rFonts w:hint="cs"/>
        </w:rPr>
        <w:t>(</w:t>
      </w:r>
      <w:r w:rsidRPr="004D1120">
        <w:rPr>
          <w:rFonts w:hint="cs"/>
          <w:rtl/>
        </w:rPr>
        <w:t>וה"ה בשאר איסורי דרבנן</w:t>
      </w:r>
      <w:r w:rsidRPr="004D1120">
        <w:rPr>
          <w:rFonts w:hint="cs"/>
        </w:rPr>
        <w:t>)</w:t>
      </w:r>
      <w:r w:rsidRPr="004D1120">
        <w:t>.</w:t>
      </w:r>
    </w:p>
    <w:p w14:paraId="0B2D90BB" w14:textId="6EB313E5" w:rsidR="004D1120" w:rsidRDefault="004D1120" w:rsidP="004D1120">
      <w:pPr>
        <w:pStyle w:val="Style1"/>
        <w:rPr>
          <w:rtl/>
        </w:rPr>
      </w:pPr>
      <w:r w:rsidRPr="004D1120">
        <w:rPr>
          <w:rtl/>
        </w:rPr>
        <w:t>ונאמן לומר שהיה פלוני יוצא מבית הספר לטבול לאכול תרומתו לערב, ושהיה חולק עמנו תרומה, ושהיינו מוליכים חלה ומתנות לפלוני כהן על ידי עצמו, ושאמר לי אבא משפחה זו כשרה משפחה זו פסולה </w:t>
      </w:r>
      <w:r w:rsidRPr="004D1120">
        <w:rPr>
          <w:rFonts w:hint="cs"/>
          <w:rtl/>
        </w:rPr>
        <w:t>(או שעשו איזה סי' להודיע שאחד מן המשפחה נשא פסולה) (טור כמו שנתבאר </w:t>
      </w:r>
      <w:hyperlink r:id="rId65" w:tooltip="שולחן ערוך אבן העזר ב" w:history="1">
        <w:r w:rsidRPr="004D1120">
          <w:rPr>
            <w:rStyle w:val="Hyperlink"/>
            <w:rFonts w:hint="cs"/>
            <w:color w:val="7030A0"/>
            <w:u w:val="none"/>
            <w:rtl/>
          </w:rPr>
          <w:t>באה"ע סי' ב</w:t>
        </w:r>
        <w:r w:rsidRPr="004D1120">
          <w:rPr>
            <w:rStyle w:val="Hyperlink"/>
            <w:rFonts w:hint="cs"/>
            <w:color w:val="7030A0"/>
            <w:u w:val="none"/>
          </w:rPr>
          <w:t>'</w:t>
        </w:r>
      </w:hyperlink>
      <w:r w:rsidRPr="004D1120">
        <w:rPr>
          <w:rFonts w:hint="cs"/>
        </w:rPr>
        <w:t>)</w:t>
      </w:r>
      <w:r w:rsidRPr="004D1120">
        <w:t>:</w:t>
      </w:r>
    </w:p>
    <w:p w14:paraId="0AF5A5DE" w14:textId="0A599DB3" w:rsidR="002E1258" w:rsidRDefault="002E1258" w:rsidP="00EA1CEA">
      <w:pPr>
        <w:pStyle w:val="Style1"/>
        <w:rPr>
          <w:rtl/>
        </w:rPr>
      </w:pPr>
      <w:r>
        <w:rPr>
          <w:rFonts w:hint="cs"/>
          <w:rtl/>
        </w:rPr>
        <w:t>5)[</w:t>
      </w:r>
      <w:r>
        <w:rPr>
          <w:rtl/>
        </w:rPr>
        <w:t>שולחן ערוך חושן משפט הלכות הלואה סימן מו סעיף יז</w:t>
      </w:r>
      <w:r>
        <w:rPr>
          <w:rFonts w:hint="cs"/>
          <w:rtl/>
        </w:rPr>
        <w:t>]</w:t>
      </w:r>
      <w:r w:rsidR="00EA1CEA">
        <w:rPr>
          <w:rFonts w:hint="cs"/>
          <w:rtl/>
        </w:rPr>
        <w:t xml:space="preserve"> </w:t>
      </w:r>
      <w:r w:rsidR="00EA1CEA" w:rsidRPr="00EA1CEA">
        <w:rPr>
          <w:rtl/>
        </w:rPr>
        <w:t>עידי הקיום יכולים להיות קרובים לעידי השטר ולא עוד אלא אפי' מת האב החתום בעוד הבן קטן יכול להעיד על חתימת אביו אחר שיגדיל להצטרף עם אחר כשר וכן יכול להעיד על כתב יד אחיו או על כתב יד רבו שראה בקטנותו וי"א דדוקא אלו שרגיל עמהם אבל על כתב יד אחר אינו נאמן להעיד בגדלו שהכיר אותו בקטנותו</w:t>
      </w:r>
      <w:r w:rsidR="00EA1CEA" w:rsidRPr="00EA1CEA">
        <w:t>:</w:t>
      </w:r>
    </w:p>
    <w:p w14:paraId="2B038072" w14:textId="6455A0A9" w:rsidR="00D74AF3" w:rsidRDefault="00D74AF3" w:rsidP="00D74AF3">
      <w:pPr>
        <w:pStyle w:val="Style1"/>
        <w:rPr>
          <w:rtl/>
        </w:rPr>
      </w:pPr>
      <w:r>
        <w:rPr>
          <w:rFonts w:hint="cs"/>
          <w:rtl/>
        </w:rPr>
        <w:t>6)[</w:t>
      </w:r>
      <w:r>
        <w:rPr>
          <w:rtl/>
        </w:rPr>
        <w:t>רמב</w:t>
      </w:r>
      <w:r w:rsidR="00213DA1">
        <w:rPr>
          <w:rtl/>
        </w:rPr>
        <w:t>”ם \נשים\</w:t>
      </w:r>
      <w:r>
        <w:rPr>
          <w:rtl/>
        </w:rPr>
        <w:t xml:space="preserve"> הלכות אישות פרק טז הלכה כה</w:t>
      </w:r>
      <w:r>
        <w:rPr>
          <w:rFonts w:hint="cs"/>
          <w:rtl/>
        </w:rPr>
        <w:t xml:space="preserve">] </w:t>
      </w:r>
      <w:r>
        <w:rPr>
          <w:rtl/>
        </w:rPr>
        <w:t>היא אומרת בתולה נישאתי ועיקר כתובתי מאתים והבעל או יורשיו אומרים בעולה נשאת ואין לה אלא מאה, אם יש עדים שראו שעשו לה המנהגות שנהגו אנשי אותה העיר לעשותן לבתולה כגון מיני שמחה או כתרים או מלבוש ידוע או שאר דברים שאין עושין כך אלא לבתולה הרי זו נוטלת מאתים, ואם אין לה עדים בזה הרי זו נוטלת מנה, ואם היה הבעל קיים יש לה להשביעו שבועת  התורה שהרי הודה במקצת הטענה, ונאמן הקטן להעיד בגדלו ולומר זכור אני כשהייתי קטן שנעשה לפלונית מנהג הבתולות, וכל הדברים האלו במקום שאין כותבין כתובה כמו שאמרנו. /השגת הראב"ד/ ואם היה הבעל קיים יש לה להשביעו שבועת התורה שהרי הודה במקצת הטענה. א"א שבועת התורה אין כאן שהרי כפירת שיעבוד קרקעות הוא.</w:t>
      </w:r>
    </w:p>
    <w:p w14:paraId="745235EE" w14:textId="405E8A41" w:rsidR="00294DC5" w:rsidRPr="00294DC5" w:rsidRDefault="00A34324" w:rsidP="00294DC5">
      <w:pPr>
        <w:pStyle w:val="Style1"/>
      </w:pPr>
      <w:r>
        <w:rPr>
          <w:rFonts w:hint="cs"/>
          <w:rtl/>
        </w:rPr>
        <w:t>6)[</w:t>
      </w:r>
      <w:r>
        <w:rPr>
          <w:rtl/>
        </w:rPr>
        <w:t>שולחן ערוך אבן העזר הלכות כתובות סימן צו סעיף טו</w:t>
      </w:r>
      <w:r>
        <w:rPr>
          <w:rFonts w:hint="cs"/>
          <w:rtl/>
        </w:rPr>
        <w:t>]</w:t>
      </w:r>
      <w:r w:rsidR="00294DC5">
        <w:rPr>
          <w:rFonts w:hint="cs"/>
          <w:rtl/>
        </w:rPr>
        <w:t xml:space="preserve"> </w:t>
      </w:r>
      <w:r w:rsidR="00294DC5" w:rsidRPr="00294DC5">
        <w:rPr>
          <w:rtl/>
        </w:rPr>
        <w:t>היא אומרת: בתולה נשאתני וכתובתי מאתים, והבעל או היורשים אומרים: לא כי, אלא אלמנה, והכתובה נאבדה, או במקום שאין כותבין כתובה; אם יש עדים שעשו לה כמנהג הבתולות, כתובתה מאתים, אפלו אם אחד היה קטן כשראה העדות ועכשיו הוא גדול ויש אחר עמו, מהני. ואם אין עדים, לא תטל אלא מנה. והבעל צריך לשבע, יש מי שאומר שבועה דאוריתא, ויש מי שכתב שבועת היסת</w:t>
      </w:r>
      <w:r w:rsidR="00294DC5" w:rsidRPr="00294DC5">
        <w:t>.</w:t>
      </w:r>
    </w:p>
    <w:p w14:paraId="10EBD14B" w14:textId="3C7A8DD1" w:rsidR="00294DC5" w:rsidRDefault="00294DC5" w:rsidP="00294DC5">
      <w:pPr>
        <w:pStyle w:val="Style1"/>
        <w:rPr>
          <w:rtl/>
        </w:rPr>
      </w:pPr>
      <w:r w:rsidRPr="00294DC5">
        <w:rPr>
          <w:rFonts w:hint="cs"/>
          <w:rtl/>
        </w:rPr>
        <w:t>הגה: ויש אומרים במקום שאין כותבין כתובה, שבועת היסת; במקום שכותבין, ונאבדה, שבועה דאוריתא, דהרי מצי הכל לכפר ולומר: פרעתי, ולכן מקרי מודה מקצת (המגיד משנה פרק י"ו). ועין לקמן </w:t>
      </w:r>
      <w:hyperlink r:id="rId66" w:anchor="%D7%A1%D7%A2%D7%99%D7%A3_%D7%95" w:tooltip="שולחן ערוך אבן העזר ק" w:history="1">
        <w:r w:rsidRPr="00294DC5">
          <w:rPr>
            <w:rStyle w:val="Hyperlink"/>
            <w:rFonts w:hint="cs"/>
            <w:color w:val="7030A0"/>
            <w:u w:val="none"/>
            <w:rtl/>
          </w:rPr>
          <w:t>סימן ק' (סעיף ו')</w:t>
        </w:r>
      </w:hyperlink>
      <w:r w:rsidRPr="00294DC5">
        <w:t>:</w:t>
      </w:r>
    </w:p>
    <w:p w14:paraId="449F4E83" w14:textId="4DFAFB44" w:rsidR="00951C48" w:rsidRDefault="00951C48" w:rsidP="00951C48">
      <w:pPr>
        <w:pStyle w:val="Style1"/>
        <w:rPr>
          <w:rtl/>
        </w:rPr>
      </w:pPr>
      <w:r>
        <w:rPr>
          <w:rFonts w:hint="cs"/>
          <w:rtl/>
        </w:rPr>
        <w:t>7)[</w:t>
      </w:r>
      <w:r>
        <w:rPr>
          <w:rtl/>
        </w:rPr>
        <w:t>רמב</w:t>
      </w:r>
      <w:r w:rsidR="00213DA1">
        <w:rPr>
          <w:rtl/>
        </w:rPr>
        <w:t>”ם \קדושה\</w:t>
      </w:r>
      <w:r>
        <w:rPr>
          <w:rtl/>
        </w:rPr>
        <w:t xml:space="preserve"> הלכות איסורי ביאה פרק כ הלכה טו</w:t>
      </w:r>
      <w:r>
        <w:rPr>
          <w:rFonts w:hint="cs"/>
          <w:rtl/>
        </w:rPr>
        <w:t xml:space="preserve">] </w:t>
      </w:r>
      <w:r>
        <w:rPr>
          <w:rtl/>
        </w:rPr>
        <w:t>נאמן גדול לומר זכור אני כשהייתי תינוק וראיתי פלוני טובל ואוכל בתרומה לערב ומחזיקין אותו בכהונה בעדותו, מי שבא בזמן הזה ואמר כהן אני ועד אחד מעיד לו שאני יודע שאביו של זה כהן אין מעלין אותו לכהונה בעדות זה שמא חלל הוא, עד שיעיד שזה כהן הוא, אבל אם הוחזק אביו כהן, או שבאו שנים והעידו שאביו של זה כהן הרי הוא בחזקת אביו.</w:t>
      </w:r>
    </w:p>
    <w:p w14:paraId="62A53DA0" w14:textId="6D6D4E18" w:rsidR="004D134D" w:rsidRDefault="004D134D" w:rsidP="006679D9">
      <w:pPr>
        <w:pStyle w:val="Style1"/>
        <w:rPr>
          <w:shd w:val="clear" w:color="auto" w:fill="FFFFFF"/>
          <w:rtl/>
        </w:rPr>
      </w:pPr>
      <w:r>
        <w:rPr>
          <w:rFonts w:hint="cs"/>
          <w:rtl/>
        </w:rPr>
        <w:t>7)[</w:t>
      </w:r>
      <w:r>
        <w:rPr>
          <w:rtl/>
        </w:rPr>
        <w:t>שולחן ערוך אבן העזר הלכות פריה ורביה סימן ג סעיף ה</w:t>
      </w:r>
      <w:r>
        <w:rPr>
          <w:rFonts w:hint="cs"/>
          <w:rtl/>
        </w:rPr>
        <w:t>]</w:t>
      </w:r>
      <w:r w:rsidR="006679D9">
        <w:rPr>
          <w:rFonts w:hint="cs"/>
          <w:rtl/>
        </w:rPr>
        <w:t xml:space="preserve"> </w:t>
      </w:r>
      <w:r w:rsidR="006679D9">
        <w:rPr>
          <w:shd w:val="clear" w:color="auto" w:fill="FFFFFF"/>
          <w:rtl/>
        </w:rPr>
        <w:t>נאמן הגדול לומר: זכורני כשהייתי תינוק שראיתי לפלוני טובל ואוכל תרומה, ומעלין אותו על פיו להיות כהן ככהני זמן זה</w:t>
      </w:r>
      <w:r w:rsidR="006679D9">
        <w:rPr>
          <w:shd w:val="clear" w:color="auto" w:fill="FFFFFF"/>
        </w:rPr>
        <w:t>:</w:t>
      </w:r>
    </w:p>
    <w:p w14:paraId="1559F2BF" w14:textId="393DE8BC" w:rsidR="003928E4" w:rsidRDefault="003928E4" w:rsidP="003928E4">
      <w:pPr>
        <w:pStyle w:val="Style1"/>
        <w:rPr>
          <w:rtl/>
        </w:rPr>
      </w:pPr>
      <w:r>
        <w:rPr>
          <w:rFonts w:hint="cs"/>
          <w:rtl/>
        </w:rPr>
        <w:t>8)[</w:t>
      </w:r>
      <w:r>
        <w:rPr>
          <w:rtl/>
        </w:rPr>
        <w:t>רמב</w:t>
      </w:r>
      <w:r w:rsidR="005258D6">
        <w:rPr>
          <w:rtl/>
        </w:rPr>
        <w:t>”ם \קניין\</w:t>
      </w:r>
      <w:r>
        <w:rPr>
          <w:rtl/>
        </w:rPr>
        <w:t xml:space="preserve"> הלכות עבדים פרק ח הלכה יח</w:t>
      </w:r>
      <w:r>
        <w:rPr>
          <w:rFonts w:hint="cs"/>
          <w:rtl/>
        </w:rPr>
        <w:t xml:space="preserve">] </w:t>
      </w:r>
      <w:r>
        <w:rPr>
          <w:rtl/>
        </w:rPr>
        <w:t>ואסור לאדם ללמד את עבדו תורה ואם למדו לא יצא לחירות.</w:t>
      </w:r>
    </w:p>
    <w:p w14:paraId="032A7544" w14:textId="0925AC6B" w:rsidR="0014292A" w:rsidRDefault="0014292A" w:rsidP="0014292A">
      <w:pPr>
        <w:pStyle w:val="Style1"/>
        <w:rPr>
          <w:rtl/>
        </w:rPr>
      </w:pPr>
      <w:r>
        <w:rPr>
          <w:rFonts w:hint="cs"/>
          <w:rtl/>
        </w:rPr>
        <w:t>8)[</w:t>
      </w:r>
      <w:r>
        <w:rPr>
          <w:rtl/>
        </w:rPr>
        <w:t>שולחן ערוך יורה דעה הלכות עבדים סימן רסז סעיף עא</w:t>
      </w:r>
      <w:r>
        <w:rPr>
          <w:rFonts w:hint="cs"/>
          <w:rtl/>
        </w:rPr>
        <w:t xml:space="preserve">] </w:t>
      </w:r>
      <w:r>
        <w:rPr>
          <w:rtl/>
        </w:rPr>
        <w:t>אסור ללמד את עבדו תורה, ואם למדו לא יצא לחירות.</w:t>
      </w:r>
    </w:p>
    <w:p w14:paraId="05543461" w14:textId="4C3C6ED9" w:rsidR="001938E9" w:rsidRDefault="001938E9" w:rsidP="001938E9">
      <w:pPr>
        <w:pStyle w:val="Style1"/>
        <w:rPr>
          <w:rtl/>
        </w:rPr>
      </w:pPr>
      <w:r>
        <w:rPr>
          <w:rFonts w:hint="cs"/>
          <w:rtl/>
        </w:rPr>
        <w:t>9)[</w:t>
      </w:r>
      <w:r>
        <w:rPr>
          <w:rtl/>
        </w:rPr>
        <w:t>רמב</w:t>
      </w:r>
      <w:r w:rsidR="005258D6">
        <w:rPr>
          <w:rtl/>
        </w:rPr>
        <w:t>”ם \קניין\</w:t>
      </w:r>
      <w:r>
        <w:rPr>
          <w:rtl/>
        </w:rPr>
        <w:t xml:space="preserve"> הלכות עבדים פרק ח הלכה יז</w:t>
      </w:r>
      <w:r>
        <w:rPr>
          <w:rFonts w:hint="cs"/>
          <w:rtl/>
        </w:rPr>
        <w:t xml:space="preserve">] </w:t>
      </w:r>
      <w:r>
        <w:rPr>
          <w:rtl/>
        </w:rPr>
        <w:t>עבד שהשיאו רבו בת חורין או שהניח לו רבו תפילין בראשו או שאמר לו רבו לקרות שלשה פסוקין בספר תורה בפני צבור וכן כל כיוצא באלו הדברים שאינו חייב בהן אלא בן חורין יצא לחירות וכופין את רבו לכתוב לו גט שחרור, וכן אם נדר נדר שכופין עליו את העבדים כמו שביארנו בנדרים ואמר לו רבו מופר לך יצא לחירות שכיון שלא כפה אותו במקום שיש לו לכפותו גילה דעתו שהפקיע שעבודו, מכאן אני אומר שהמשחרר עבדו בכל לשון והוציא דברים מפיו שמשמען שלא נשאר לו עליו שעבוד כלל ושגמר בלבו לדבר זה שאינו יכול לחזור בו כופין אותו לכתוב לו גט שחרור אף על פי שעדיין לא כתב, אבל אם לוה מעבדו או שעשהו אפוטרופוס או שהניח תפילין בפני רבו או שקרא שלשה פסוקים בבית הכנסת בפני רבו ולא מיחה בו לא יצא לחירות. /השגת הראב"ד/ ואם נדר נדר שכופין עליו את העבדים וכו' גילה דעתו שהפקיע שעבודו. א"א נ"ל שיבוש הוא נשתבש בלשון המשנה פרק הכותים אין להם נזירות הפר לאשתו הפר עולמית הפר לעבדו ויצא לחירות משלים נזירותו כך אני שונה בוא"ו והוא שונה יצא לחירות ומשלים נזירותו וחיי ראשי לא אדע על אי זה דרך יוכל לפרש כי מאחר שהוא מפר איך גילה דעתו שהפקיע שעבודו אדרבה גילה דעתו שיש לו רשות עליו להפר נדרו.</w:t>
      </w:r>
    </w:p>
    <w:p w14:paraId="5A6DFB40" w14:textId="25FE341D" w:rsidR="0055762F" w:rsidRPr="0055762F" w:rsidRDefault="00123268" w:rsidP="0055762F">
      <w:pPr>
        <w:pStyle w:val="Style1"/>
      </w:pPr>
      <w:r>
        <w:rPr>
          <w:rFonts w:hint="cs"/>
          <w:rtl/>
        </w:rPr>
        <w:t>9)[</w:t>
      </w:r>
      <w:r>
        <w:rPr>
          <w:rtl/>
        </w:rPr>
        <w:t>שולחן ערוך יורה דעה הלכות עבדים סימן רסז סעיף ע</w:t>
      </w:r>
      <w:r>
        <w:rPr>
          <w:rFonts w:hint="cs"/>
          <w:rtl/>
        </w:rPr>
        <w:t>]</w:t>
      </w:r>
      <w:r w:rsidR="0055762F">
        <w:rPr>
          <w:rFonts w:hint="cs"/>
          <w:rtl/>
        </w:rPr>
        <w:t xml:space="preserve"> </w:t>
      </w:r>
      <w:r w:rsidR="0055762F" w:rsidRPr="0055762F">
        <w:rPr>
          <w:rtl/>
        </w:rPr>
        <w:t>עבד שהשיאו רבו בת חורין </w:t>
      </w:r>
      <w:r w:rsidR="0055762F" w:rsidRPr="0055762F">
        <w:rPr>
          <w:rFonts w:hint="cs"/>
          <w:rtl/>
        </w:rPr>
        <w:t>(וכ"ש אם נושא שפחתו) (טור)</w:t>
      </w:r>
      <w:r w:rsidR="0055762F" w:rsidRPr="0055762F">
        <w:t xml:space="preserve">, </w:t>
      </w:r>
      <w:r w:rsidR="0055762F" w:rsidRPr="0055762F">
        <w:rPr>
          <w:rtl/>
        </w:rPr>
        <w:t>או שהניח לו רבו תפילין בראשו, או שאמר לו רבו לקרות ג' פסוקים בספר תורה בפני הצבור, וכן כל כיוצא באלו הדברים שאינו חייב בהן אלא בן חורין -- יצא לחירות וכופין את רבו לכתוב לו גט שחרור.    אבל אם לוה מעבדו או שעשאו אפוטרופוס או שהניח תפילין בפני רבו או שקרא ג' פסוקים בצבור בפני רבו </w:t>
      </w:r>
      <w:r w:rsidR="0055762F" w:rsidRPr="0055762F">
        <w:rPr>
          <w:rFonts w:hint="cs"/>
          <w:rtl/>
        </w:rPr>
        <w:t>(או שנשא בת חורין לפניו) (טור)</w:t>
      </w:r>
      <w:r w:rsidR="0055762F" w:rsidRPr="0055762F">
        <w:rPr>
          <w:rtl/>
        </w:rPr>
        <w:t> ולא מיחה בו -- לא יצא לחירות</w:t>
      </w:r>
      <w:r w:rsidR="0055762F" w:rsidRPr="0055762F">
        <w:t>.</w:t>
      </w:r>
    </w:p>
    <w:p w14:paraId="28277CCB" w14:textId="1D5CEB18" w:rsidR="00123268" w:rsidRPr="0055762F" w:rsidRDefault="00123268" w:rsidP="0055762F">
      <w:pPr>
        <w:pStyle w:val="Style1"/>
      </w:pPr>
    </w:p>
    <w:p w14:paraId="5A6A8572" w14:textId="64B5B560" w:rsidR="004D134D" w:rsidRPr="00294DC5" w:rsidRDefault="004D134D" w:rsidP="006679D9">
      <w:pPr>
        <w:pStyle w:val="Style1"/>
      </w:pPr>
    </w:p>
    <w:p w14:paraId="710B868A" w14:textId="77777777" w:rsidR="004D1120" w:rsidRPr="00294DC5" w:rsidRDefault="004D1120" w:rsidP="006679D9">
      <w:pPr>
        <w:pStyle w:val="Style1"/>
      </w:pPr>
    </w:p>
    <w:p w14:paraId="4235ACE9" w14:textId="4027CA8A" w:rsidR="004D1120" w:rsidRPr="00AC4BE8" w:rsidRDefault="004D1120" w:rsidP="006679D9">
      <w:pPr>
        <w:pStyle w:val="Style1"/>
      </w:pPr>
    </w:p>
    <w:p w14:paraId="6959E931" w14:textId="77777777" w:rsidR="00DA1858" w:rsidRPr="008F17B5" w:rsidRDefault="00DA1858" w:rsidP="006679D9">
      <w:pPr>
        <w:pStyle w:val="Style1"/>
        <w:rPr>
          <w:rStyle w:val="Style1Char"/>
          <w:color w:val="00B050"/>
          <w:rtl/>
        </w:rPr>
      </w:pPr>
    </w:p>
    <w:p w14:paraId="3953E0D5" w14:textId="77777777" w:rsidR="00DA1858" w:rsidRDefault="00DA1858" w:rsidP="006679D9">
      <w:pPr>
        <w:pStyle w:val="Style1"/>
        <w:bidi w:val="0"/>
        <w:rPr>
          <w:rStyle w:val="Style1Char"/>
          <w:color w:val="00B050"/>
          <w:rtl/>
        </w:rPr>
      </w:pPr>
      <w:r>
        <w:rPr>
          <w:rStyle w:val="Style1Char"/>
          <w:color w:val="00B050"/>
          <w:rtl/>
        </w:rPr>
        <w:br w:type="page"/>
      </w:r>
    </w:p>
    <w:p w14:paraId="61E511A9" w14:textId="77777777" w:rsidR="00DA1858" w:rsidRPr="00887069" w:rsidRDefault="00DA1858" w:rsidP="00DA1858">
      <w:pPr>
        <w:bidi/>
        <w:rPr>
          <w:rStyle w:val="Style1Char"/>
          <w:color w:val="00B050"/>
        </w:rPr>
      </w:pPr>
      <w:r w:rsidRPr="00BB4BEA">
        <w:rPr>
          <w:rStyle w:val="Style1Char"/>
          <w:color w:val="00B050"/>
          <w:sz w:val="22"/>
          <w:szCs w:val="22"/>
          <w:highlight w:val="yellow"/>
          <w:rtl/>
        </w:rPr>
        <w:lastRenderedPageBreak/>
        <w:t>[דף כח עמוד ב]</w:t>
      </w:r>
      <w:r w:rsidRPr="00BB4BEA">
        <w:rPr>
          <w:rStyle w:val="Style1Char"/>
          <w:color w:val="00B050"/>
          <w:sz w:val="22"/>
          <w:szCs w:val="22"/>
          <w:rtl/>
        </w:rPr>
        <w:t xml:space="preserve"> </w:t>
      </w:r>
      <w:r w:rsidRPr="00887069">
        <w:rPr>
          <w:rStyle w:val="Style1Char"/>
          <w:color w:val="00B050"/>
          <w:rtl/>
        </w:rPr>
        <w:t xml:space="preserve">אפוטרופוס, או שהניח תפילין בפני רבו, או שקרא שלשה פסוקים בבית הכנסת - הרי זה לא יצא לחירות! התם דאיקרי עבד מדעתו, כי קאמרינן - דקא נהיג ביה מנהג בנים. </w:t>
      </w:r>
    </w:p>
    <w:p w14:paraId="2BE368C5" w14:textId="77777777" w:rsidR="00DA1858" w:rsidRPr="006E69FA" w:rsidRDefault="00DA1858" w:rsidP="00DA1858">
      <w:pPr>
        <w:bidi/>
        <w:rPr>
          <w:rStyle w:val="Style1Char"/>
          <w:sz w:val="22"/>
          <w:szCs w:val="22"/>
        </w:rPr>
      </w:pPr>
      <w:r w:rsidRPr="006E69FA">
        <w:rPr>
          <w:rStyle w:val="Style1Char"/>
          <w:sz w:val="22"/>
          <w:szCs w:val="22"/>
          <w:rtl/>
        </w:rPr>
        <w:t xml:space="preserve">לטבול לאכול בתרומה. בתרומה דרבנן. </w:t>
      </w:r>
    </w:p>
    <w:p w14:paraId="4E372861" w14:textId="77777777" w:rsidR="00DA1858" w:rsidRPr="00887069" w:rsidRDefault="00DA1858" w:rsidP="00DA1858">
      <w:pPr>
        <w:bidi/>
        <w:rPr>
          <w:rStyle w:val="Style1Char"/>
          <w:color w:val="00B050"/>
        </w:rPr>
      </w:pPr>
      <w:r w:rsidRPr="006E69FA">
        <w:rPr>
          <w:rStyle w:val="Style1Char"/>
          <w:sz w:val="22"/>
          <w:szCs w:val="22"/>
          <w:rtl/>
        </w:rPr>
        <w:t>ושהיה חולק עמנו על הגורן. ודלמא עבד כהן הוא</w:t>
      </w:r>
      <w:r w:rsidRPr="00887069">
        <w:rPr>
          <w:rStyle w:val="Style1Char"/>
          <w:color w:val="00B050"/>
          <w:rtl/>
        </w:rPr>
        <w:t xml:space="preserve">! תנן </w:t>
      </w:r>
      <w:r w:rsidRPr="006E69FA">
        <w:rPr>
          <w:rStyle w:val="Style1Char"/>
          <w:color w:val="C00000"/>
          <w:sz w:val="22"/>
          <w:szCs w:val="22"/>
          <w:rtl/>
        </w:rPr>
        <w:t xml:space="preserve">סבר </w:t>
      </w:r>
      <w:r w:rsidRPr="006E69FA">
        <w:rPr>
          <w:rStyle w:val="Style1Char"/>
          <w:sz w:val="22"/>
          <w:szCs w:val="22"/>
          <w:rtl/>
        </w:rPr>
        <w:t xml:space="preserve">כמאן דאמר: אין חולקין תרומה לעבד - אלא אם כן רבו עמו; </w:t>
      </w:r>
      <w:r w:rsidRPr="00887069">
        <w:rPr>
          <w:rStyle w:val="Style1Char"/>
          <w:color w:val="00B050"/>
          <w:rtl/>
        </w:rPr>
        <w:t xml:space="preserve">דתניא: אין חולקין תרומה לעבד - אלא אם כן רבו עמו, דברי רבי יהודה; רבי יוסי אומר: יכול הוא שיאמר אם כהן אני - תנו לי בשביל עצמי, ואם עבד כהן אני - תנו לי בשביל רבי! במקומו של רבי יהודה היו מעלין מתרומה ליוחסין, במקומו של רבי יוסי לא היו מעלין מתרומה ליוחסין. תניא, א"ר אלעזר ברבי יוסי: מימי לא העדתי, פעם אחת העדתי והעלו עבד לכהונה על פי; העלו סלקא דעתך? השתא ומה בהמתן של צדיקים אין הקדוש ברוך הוא מביא תקלה על ידם, צדיקים עצמם לא כ"ש! אלא, בקשו להעלות עבד לכהונה על פי, חזא באתריה דרבי יוסי, ואזל ואסהיד באתריה דרבי יהודה. </w:t>
      </w:r>
    </w:p>
    <w:p w14:paraId="3514F0C6" w14:textId="09034F08" w:rsidR="00DA1858" w:rsidRDefault="00DA1858" w:rsidP="00DA1858">
      <w:pPr>
        <w:bidi/>
        <w:rPr>
          <w:rStyle w:val="Style1Char"/>
          <w:color w:val="00B050"/>
          <w:rtl/>
        </w:rPr>
      </w:pPr>
      <w:r w:rsidRPr="006E69FA">
        <w:rPr>
          <w:rStyle w:val="Style1Char"/>
          <w:sz w:val="22"/>
          <w:szCs w:val="22"/>
          <w:rtl/>
        </w:rPr>
        <w:t xml:space="preserve">ושהמקום הזה בית הפרס </w:t>
      </w:r>
      <w:r w:rsidRPr="00887069">
        <w:rPr>
          <w:rStyle w:val="Style1Char"/>
          <w:color w:val="00B050"/>
          <w:rtl/>
        </w:rPr>
        <w:t xml:space="preserve">הוא. מ"ט? </w:t>
      </w:r>
      <w:r w:rsidRPr="006E69FA">
        <w:rPr>
          <w:rStyle w:val="Style1Char"/>
          <w:sz w:val="22"/>
          <w:szCs w:val="22"/>
          <w:rtl/>
        </w:rPr>
        <w:t>בית הפרס דרבנן</w:t>
      </w:r>
      <w:r w:rsidRPr="00887069">
        <w:rPr>
          <w:rStyle w:val="Style1Char"/>
          <w:color w:val="00B050"/>
          <w:rtl/>
        </w:rPr>
        <w:t xml:space="preserve">, דאמר רב יהודה אמר שמואל: </w:t>
      </w:r>
      <w:r w:rsidR="00FF2FF3">
        <w:rPr>
          <w:rStyle w:val="Style1Char"/>
          <w:rFonts w:hint="cs"/>
          <w:rtl/>
        </w:rPr>
        <w:t>(1)</w:t>
      </w:r>
      <w:r w:rsidRPr="00887069">
        <w:rPr>
          <w:rStyle w:val="Style1Char"/>
          <w:color w:val="00B050"/>
          <w:rtl/>
        </w:rPr>
        <w:t xml:space="preserve">מנפח אדם בית הפרס והולך. ורב יהודה בר אמי משמיה דרב יהודה אמר: </w:t>
      </w:r>
      <w:r w:rsidR="00B275B4">
        <w:rPr>
          <w:rStyle w:val="Style1Char"/>
          <w:rFonts w:hint="cs"/>
          <w:rtl/>
        </w:rPr>
        <w:t>(1)</w:t>
      </w:r>
      <w:r w:rsidRPr="00887069">
        <w:rPr>
          <w:rStyle w:val="Style1Char"/>
          <w:color w:val="00B050"/>
          <w:rtl/>
        </w:rPr>
        <w:t xml:space="preserve">בית הפרס שנידש - טהור; מאי טעמא? אי אפשר לעצם כשעורה שלא נידש ברגל. </w:t>
      </w:r>
    </w:p>
    <w:p w14:paraId="7F65A61B" w14:textId="77777777" w:rsidR="00DA1858" w:rsidRPr="0077125B" w:rsidRDefault="00DA1858" w:rsidP="00DA1858">
      <w:pPr>
        <w:bidi/>
        <w:rPr>
          <w:rStyle w:val="Style1Char"/>
          <w:color w:val="4472C4" w:themeColor="accent1"/>
        </w:rPr>
      </w:pPr>
      <w:r w:rsidRPr="0077125B">
        <w:rPr>
          <w:rStyle w:val="Style1Char"/>
          <w:color w:val="4472C4" w:themeColor="accent1"/>
          <w:rtl/>
        </w:rPr>
        <w:t>[דף כח ע"ב] ועד כאן היינו באים בשבת תחומין דרבנן. ואינו נאמן לומר דרך היה לפלוני במקום הזה</w:t>
      </w:r>
      <w:r>
        <w:rPr>
          <w:rStyle w:val="Style1Char"/>
          <w:rFonts w:hint="cs"/>
          <w:color w:val="4472C4" w:themeColor="accent1"/>
        </w:rPr>
        <w:t>‍</w:t>
      </w:r>
      <w:r w:rsidRPr="0077125B">
        <w:rPr>
          <w:rStyle w:val="Style1Char"/>
          <w:color w:val="4472C4" w:themeColor="accent1"/>
          <w:rtl/>
        </w:rPr>
        <w:t xml:space="preserve"> מ"ט אפוקי ממונא לא מפקינן </w:t>
      </w:r>
    </w:p>
    <w:p w14:paraId="79A25344" w14:textId="77777777" w:rsidR="00DA1858" w:rsidRPr="00B070E8" w:rsidRDefault="00DA1858" w:rsidP="00DA1858">
      <w:pPr>
        <w:bidi/>
        <w:rPr>
          <w:rStyle w:val="Style1Char"/>
          <w:color w:val="00B050"/>
          <w:rtl/>
        </w:rPr>
      </w:pPr>
    </w:p>
    <w:p w14:paraId="63614279" w14:textId="50C37F59" w:rsidR="00DA1858" w:rsidRPr="00B070E8" w:rsidRDefault="00B275B4" w:rsidP="00DA1858">
      <w:pPr>
        <w:bidi/>
        <w:rPr>
          <w:rStyle w:val="Style1Char"/>
          <w:color w:val="auto"/>
          <w:sz w:val="22"/>
          <w:szCs w:val="22"/>
        </w:rPr>
      </w:pPr>
      <w:r>
        <w:rPr>
          <w:rStyle w:val="Style1Char"/>
          <w:rFonts w:hint="cs"/>
          <w:rtl/>
        </w:rPr>
        <w:t>(2)</w:t>
      </w:r>
      <w:r w:rsidR="00DA1858" w:rsidRPr="00B070E8">
        <w:rPr>
          <w:rStyle w:val="Style1Char"/>
          <w:color w:val="auto"/>
          <w:sz w:val="22"/>
          <w:szCs w:val="22"/>
          <w:rtl/>
        </w:rPr>
        <w:t xml:space="preserve">ועד כאן היינו באין בשבת. קסבר: תחומין דרבנן. </w:t>
      </w:r>
    </w:p>
    <w:p w14:paraId="25401604" w14:textId="6E06413F" w:rsidR="00DA1858" w:rsidRDefault="00DA1858" w:rsidP="00DA1858">
      <w:pPr>
        <w:bidi/>
        <w:rPr>
          <w:rStyle w:val="Style1Char"/>
          <w:color w:val="00B050"/>
          <w:rtl/>
        </w:rPr>
      </w:pPr>
      <w:r w:rsidRPr="00B070E8">
        <w:rPr>
          <w:rStyle w:val="Style1Char"/>
          <w:color w:val="auto"/>
          <w:sz w:val="22"/>
          <w:szCs w:val="22"/>
          <w:rtl/>
        </w:rPr>
        <w:t>ואין נאמן לומר דרך היה לפלוני במקום הזה</w:t>
      </w:r>
      <w:r w:rsidRPr="00887069">
        <w:rPr>
          <w:rStyle w:val="Style1Char"/>
          <w:color w:val="00B050"/>
          <w:rtl/>
        </w:rPr>
        <w:t xml:space="preserve">, מעמד ומספד היה לפלוני במקום הזה. </w:t>
      </w:r>
      <w:r w:rsidRPr="00B070E8">
        <w:rPr>
          <w:rStyle w:val="Style1Char"/>
          <w:color w:val="auto"/>
          <w:sz w:val="22"/>
          <w:szCs w:val="22"/>
          <w:rtl/>
        </w:rPr>
        <w:t xml:space="preserve">מאי טעמא? אפוקי ממונא </w:t>
      </w:r>
      <w:r w:rsidRPr="00152CE4">
        <w:rPr>
          <w:rStyle w:val="Style1Char"/>
          <w:color w:val="C00000"/>
          <w:sz w:val="22"/>
          <w:szCs w:val="22"/>
          <w:rtl/>
        </w:rPr>
        <w:t xml:space="preserve">הוא </w:t>
      </w:r>
      <w:r w:rsidRPr="00887069">
        <w:rPr>
          <w:rStyle w:val="Style1Char"/>
          <w:color w:val="00B050"/>
          <w:rtl/>
        </w:rPr>
        <w:t>לא מפקינן</w:t>
      </w:r>
      <w:r w:rsidRPr="00152CE4">
        <w:rPr>
          <w:rStyle w:val="Style1Char"/>
          <w:color w:val="C00000"/>
          <w:sz w:val="22"/>
          <w:szCs w:val="22"/>
          <w:rtl/>
        </w:rPr>
        <w:t xml:space="preserve"> ולא מהימן</w:t>
      </w:r>
      <w:r w:rsidRPr="00152CE4">
        <w:rPr>
          <w:rStyle w:val="Style1Char"/>
          <w:color w:val="C00000"/>
          <w:sz w:val="22"/>
          <w:szCs w:val="22"/>
        </w:rPr>
        <w:t>:</w:t>
      </w:r>
      <w:r w:rsidRPr="00887069">
        <w:rPr>
          <w:rStyle w:val="Style1Char"/>
          <w:color w:val="00B050"/>
          <w:rtl/>
        </w:rPr>
        <w:t>.</w:t>
      </w:r>
      <w:r w:rsidRPr="0077125B">
        <w:rPr>
          <w:rStyle w:val="Style1Char"/>
          <w:color w:val="4472C4" w:themeColor="accent1"/>
        </w:rPr>
        <w:t>:</w:t>
      </w:r>
      <w:r w:rsidRPr="00887069">
        <w:rPr>
          <w:rStyle w:val="Style1Char"/>
          <w:color w:val="00B050"/>
          <w:rtl/>
        </w:rPr>
        <w:t xml:space="preserve">תנו רבנן: </w:t>
      </w:r>
      <w:r w:rsidR="00141D4D">
        <w:rPr>
          <w:rStyle w:val="Style1Char"/>
          <w:rFonts w:hint="cs"/>
          <w:rtl/>
        </w:rPr>
        <w:t>(3)</w:t>
      </w:r>
      <w:r w:rsidRPr="00887069">
        <w:rPr>
          <w:rStyle w:val="Style1Char"/>
          <w:color w:val="00B050"/>
          <w:rtl/>
        </w:rPr>
        <w:t xml:space="preserve">נאמן התינוק לומר, כך אמר לי אבא משפחה זו טהורה, משפחה זו טמאה; טהורה וטמאה סלקא דעתך? אלא, משפחה זו כשרה ומשפחה זו פסולה, ושאכלנו בקצצה של בת פלוני לפלוני, ושהיינו מוליכים חלה ומתנות לפלוני כהן על ידי עצמו, אבל לא על ידי אחר. </w:t>
      </w:r>
      <w:r w:rsidR="00141D4D">
        <w:rPr>
          <w:rStyle w:val="Style1Char"/>
          <w:rFonts w:hint="cs"/>
          <w:rtl/>
        </w:rPr>
        <w:t>(4)</w:t>
      </w:r>
      <w:r w:rsidRPr="00B070E8">
        <w:rPr>
          <w:rStyle w:val="Style1Char"/>
          <w:color w:val="ED7D31" w:themeColor="accent2"/>
          <w:sz w:val="22"/>
          <w:szCs w:val="22"/>
          <w:rtl/>
        </w:rPr>
        <w:t>וכולן, אם היה עובד כוכבים ונתגייר, עבד ונשתחרר - אין נאמנים</w:t>
      </w:r>
      <w:r w:rsidRPr="00887069">
        <w:rPr>
          <w:rStyle w:val="Style1Char"/>
          <w:color w:val="00B050"/>
          <w:rtl/>
        </w:rPr>
        <w:t xml:space="preserve">. ואין נאמן לומר דרך היה לפלוני במקום הזה, מעמד ומספד היה לפלוני במקום הזה. רבי יוחנן בן ברוקא אומר: נאמנים. ר' יוחנן בן ברוקא אהייא? אילימא אסיפא, אפוקי ממונא הוא! אלא ארישא: וכולם, אם היה עובד כוכבים ונתגייר, עבד ונשתחרר - אין נאמנין, ר' יוחנן בן ברוקא אומר: נאמנין. במאי קמיפלגי? ת"ק סבר: כיון דעובד כוכבים הוא לא הוה דייק, ורבי יוחנן בן ברוקא סבר: כיון דדעתיה לאיגיורי מידק הוה דייק. מאי קצצה? דתנו רבנן: כיצד קצצה? </w:t>
      </w:r>
      <w:r w:rsidR="00D51418">
        <w:rPr>
          <w:rStyle w:val="Style1Char"/>
          <w:rFonts w:hint="cs"/>
          <w:rtl/>
        </w:rPr>
        <w:t>(</w:t>
      </w:r>
      <w:r w:rsidR="00E042ED">
        <w:rPr>
          <w:rStyle w:val="Style1Char"/>
          <w:rFonts w:hint="cs"/>
          <w:rtl/>
        </w:rPr>
        <w:t>3.1, 5</w:t>
      </w:r>
      <w:r w:rsidR="00D51418">
        <w:rPr>
          <w:rStyle w:val="Style1Char"/>
          <w:rFonts w:hint="cs"/>
          <w:rtl/>
        </w:rPr>
        <w:t>)</w:t>
      </w:r>
      <w:r w:rsidRPr="00887069">
        <w:rPr>
          <w:rStyle w:val="Style1Char"/>
          <w:color w:val="00B050"/>
          <w:rtl/>
        </w:rPr>
        <w:t xml:space="preserve">אחד מן האחין שנשא אשה שאינה הוגנת לו, באין בני משפחה ומביאין חבית מליאה פירות, ושוברין אותה באמצע רחבה, ואומרים: אחינו בית ישראל שמעו, אחינו פלוני נשא אשה שאינה הוגנת לו, ומתייראים אנו שמא יתערב זרעו בזרעינו, בואו וקחו לכם דוגמא לדורות שלא יתערב זרעו בזרעינו, וזו היא קצצה שהתינוק נאמן להעיד עליה. </w:t>
      </w:r>
    </w:p>
    <w:p w14:paraId="2F6D9C8C" w14:textId="161FC091" w:rsidR="00A2516D" w:rsidRDefault="00A2516D" w:rsidP="00A2516D">
      <w:pPr>
        <w:pStyle w:val="Style1"/>
        <w:rPr>
          <w:rStyle w:val="Style1Char"/>
          <w:rtl/>
        </w:rPr>
      </w:pPr>
      <w:r>
        <w:rPr>
          <w:rStyle w:val="Style1Char"/>
          <w:rFonts w:hint="cs"/>
          <w:rtl/>
        </w:rPr>
        <w:t>1)[</w:t>
      </w:r>
      <w:r w:rsidRPr="00A2516D">
        <w:rPr>
          <w:rStyle w:val="Style1Char"/>
          <w:rtl/>
        </w:rPr>
        <w:t>רמב</w:t>
      </w:r>
      <w:r w:rsidR="005258D6">
        <w:rPr>
          <w:rStyle w:val="Style1Char"/>
          <w:rtl/>
        </w:rPr>
        <w:t>”ם \קרבנות\</w:t>
      </w:r>
      <w:r w:rsidRPr="00A2516D">
        <w:rPr>
          <w:rStyle w:val="Style1Char"/>
          <w:rtl/>
        </w:rPr>
        <w:t xml:space="preserve"> הלכות קרבן פסח פרק ו הלכה ח</w:t>
      </w:r>
      <w:r>
        <w:rPr>
          <w:rStyle w:val="Style1Char"/>
          <w:rFonts w:hint="cs"/>
          <w:rtl/>
        </w:rPr>
        <w:t xml:space="preserve">] </w:t>
      </w:r>
      <w:r w:rsidRPr="00A2516D">
        <w:rPr>
          <w:rStyle w:val="Style1Char"/>
          <w:rtl/>
        </w:rPr>
        <w:t>מי שבא בבית הפרס הרי זה מנפח והולך ואם לא מצא עצם ולא נטמא שוחט ואוכל פסחו ואף על פי שהלך בבית הפרס, שטומאת בית הפרס מדבריהן כמו שביארנו בהלכות טמא מת ולא העמידו דבריהם במקום כרת כמו שביארנו, וכן בית הפרס שנדוש טהור לעושה פסח.</w:t>
      </w:r>
    </w:p>
    <w:p w14:paraId="3B35B4FF" w14:textId="2226923A" w:rsidR="005E73E3" w:rsidRDefault="005E73E3" w:rsidP="005E73E3">
      <w:pPr>
        <w:pStyle w:val="Style1"/>
        <w:rPr>
          <w:rStyle w:val="Style1Char"/>
          <w:rtl/>
        </w:rPr>
      </w:pPr>
      <w:r>
        <w:rPr>
          <w:rStyle w:val="Style1Char"/>
          <w:rFonts w:hint="cs"/>
          <w:rtl/>
        </w:rPr>
        <w:t>2)[</w:t>
      </w:r>
      <w:r w:rsidRPr="005E73E3">
        <w:rPr>
          <w:rStyle w:val="Style1Char"/>
          <w:rtl/>
        </w:rPr>
        <w:t>רמב</w:t>
      </w:r>
      <w:r w:rsidR="00C764B2">
        <w:rPr>
          <w:rStyle w:val="Style1Char"/>
          <w:rtl/>
        </w:rPr>
        <w:t>”ם \זמנים\</w:t>
      </w:r>
      <w:r w:rsidRPr="005E73E3">
        <w:rPr>
          <w:rStyle w:val="Style1Char"/>
          <w:rtl/>
        </w:rPr>
        <w:t xml:space="preserve"> הלכות שבת פרק כח הלכה יט</w:t>
      </w:r>
      <w:r>
        <w:rPr>
          <w:rStyle w:val="Style1Char"/>
          <w:rFonts w:hint="cs"/>
          <w:rtl/>
        </w:rPr>
        <w:t xml:space="preserve">] </w:t>
      </w:r>
      <w:r w:rsidRPr="005E73E3">
        <w:rPr>
          <w:rStyle w:val="Style1Char"/>
          <w:rtl/>
        </w:rPr>
        <w:t>אפילו עבד אפילו שפחה נאמנין לומר עד כאן תחום השבת, ונאמן הגדול לומר זכור אני שעד כאן היינו באים בשבת כשהייתי קטן, וסומכין על עדותו בדבר זה, שלא אמרו חכמים בדבר להחמיר אלא להקל מפני ששיעור אלפים אמה מדבריהם.</w:t>
      </w:r>
    </w:p>
    <w:p w14:paraId="5BCF40E2" w14:textId="10AC3228" w:rsidR="00F73B0A" w:rsidRDefault="00F73B0A" w:rsidP="00534375">
      <w:pPr>
        <w:pStyle w:val="Style1"/>
        <w:rPr>
          <w:rtl/>
        </w:rPr>
      </w:pPr>
      <w:r>
        <w:rPr>
          <w:rStyle w:val="Style1Char"/>
          <w:rFonts w:hint="cs"/>
          <w:rtl/>
        </w:rPr>
        <w:t>2)[</w:t>
      </w:r>
      <w:r w:rsidRPr="00F73B0A">
        <w:rPr>
          <w:rStyle w:val="Style1Char"/>
          <w:rtl/>
        </w:rPr>
        <w:t>שולחן ערוך אורח חיים הלכות תחומין סימן שצט סעיף יא</w:t>
      </w:r>
      <w:r>
        <w:rPr>
          <w:rStyle w:val="Style1Char"/>
          <w:rFonts w:hint="cs"/>
          <w:rtl/>
        </w:rPr>
        <w:t>]</w:t>
      </w:r>
      <w:r w:rsidR="00534375">
        <w:rPr>
          <w:rStyle w:val="Style1Char"/>
          <w:rFonts w:hint="cs"/>
          <w:rtl/>
        </w:rPr>
        <w:t xml:space="preserve"> </w:t>
      </w:r>
      <w:r w:rsidR="00534375" w:rsidRPr="00534375">
        <w:rPr>
          <w:rtl/>
        </w:rPr>
        <w:t>אפילו עבד אפילו שפחה נאמנים לומר עד כאן תחום שבת אבל קטן לא בעודו קטן אבל נאמן הגדול לומר זכור אני שעד כאן היינו באים בשבת כשהייתי קטן וסומכין על עדותו</w:t>
      </w:r>
      <w:r w:rsidR="00534375" w:rsidRPr="00534375">
        <w:t>.</w:t>
      </w:r>
    </w:p>
    <w:p w14:paraId="390CE320" w14:textId="209BBFD5" w:rsidR="00B73478" w:rsidRDefault="00B73478" w:rsidP="00B73478">
      <w:pPr>
        <w:pStyle w:val="Style1"/>
        <w:rPr>
          <w:rStyle w:val="Style1Char"/>
          <w:rtl/>
        </w:rPr>
      </w:pPr>
      <w:r>
        <w:rPr>
          <w:rStyle w:val="Style1Char"/>
          <w:rFonts w:hint="cs"/>
          <w:rtl/>
        </w:rPr>
        <w:t>3)[</w:t>
      </w:r>
      <w:r w:rsidRPr="00B73478">
        <w:rPr>
          <w:rStyle w:val="Style1Char"/>
          <w:rtl/>
        </w:rPr>
        <w:t>רמב</w:t>
      </w:r>
      <w:r w:rsidR="0057095E">
        <w:rPr>
          <w:rStyle w:val="Style1Char"/>
          <w:rtl/>
        </w:rPr>
        <w:t>”ם \שופטים\</w:t>
      </w:r>
      <w:r w:rsidRPr="00B73478">
        <w:rPr>
          <w:rStyle w:val="Style1Char"/>
          <w:rtl/>
        </w:rPr>
        <w:t xml:space="preserve"> הלכות עדות פרק יד הלכה ג</w:t>
      </w:r>
      <w:r>
        <w:rPr>
          <w:rStyle w:val="Style1Char"/>
          <w:rFonts w:hint="cs"/>
          <w:rtl/>
        </w:rPr>
        <w:t xml:space="preserve">] </w:t>
      </w:r>
      <w:r w:rsidRPr="00B73478">
        <w:rPr>
          <w:rStyle w:val="Style1Char"/>
          <w:rtl/>
        </w:rPr>
        <w:t>ויש דברים שסומכין בהן על עדות שמעיד כשהוא גדול הואיל והם דברים של דבריהם, ואלו הן הדברים שאדם נאמן להעיד בגודלו על מה שראה בקטנו, נאמן אדם לומר זה כתב ידו של אבי או של רבי או של אחי מפני שקיום שטרות מדבריהם, זכור אני בפלונית שנישאת ונעשה לה מנהג הבתולות, הואיל ורוב נשים בתולות נישאות וכתובה מדבריהם, שהמקום הזה בית הפרס מפני שטומאתו מדבריהם, ועד כאן היינו באין בשבת שצמצום התחום עד אלפים אמה בלבד מדבריהם, שהיה איש פלוני יוצא מבית הספר לטבול ולאכול בתרומתו לערב, ושהיה חולק עמנו תרומה, ושהיינו מוליכים חלה ומתנות לפלוני כהן על ידי עצמו, ואמר לי אבא משפחה זו כשרה משפחה זו פסולה, ואכלנו בקצצה של פלוני שהאכילוני אחיו כדי להודיע שאחיהם פלוני נשא אשה שאינה הוגנת לו, שכל אלו הדברים להחזיק זה הכהן לאכול בתרומה של דבריהם או לדחותו ממנה.</w:t>
      </w:r>
    </w:p>
    <w:p w14:paraId="4B5FBD92" w14:textId="1DD04777" w:rsidR="005B3D85" w:rsidRPr="004D1120" w:rsidRDefault="005B3D85" w:rsidP="005B3D85">
      <w:pPr>
        <w:pStyle w:val="Style1"/>
      </w:pPr>
      <w:r>
        <w:rPr>
          <w:rFonts w:hint="cs"/>
          <w:rtl/>
        </w:rPr>
        <w:t>3)[</w:t>
      </w:r>
      <w:r>
        <w:rPr>
          <w:rtl/>
        </w:rPr>
        <w:t>שולחן ערוך חושן משפט הלכות עדות סימן לה סעיף ו</w:t>
      </w:r>
      <w:r>
        <w:rPr>
          <w:rFonts w:hint="cs"/>
          <w:rtl/>
        </w:rPr>
        <w:t xml:space="preserve">] </w:t>
      </w:r>
      <w:r w:rsidRPr="004D1120">
        <w:rPr>
          <w:rtl/>
        </w:rPr>
        <w:t>ונאמן לומר </w:t>
      </w:r>
      <w:r w:rsidRPr="004D1120">
        <w:rPr>
          <w:rFonts w:hint="cs"/>
          <w:rtl/>
        </w:rPr>
        <w:t>(ואפי' הוא לבדו) (טור)</w:t>
      </w:r>
      <w:r w:rsidRPr="004D1120">
        <w:rPr>
          <w:rtl/>
        </w:rPr>
        <w:t> </w:t>
      </w:r>
      <w:r w:rsidRPr="004D1120">
        <w:t>"</w:t>
      </w:r>
      <w:r w:rsidRPr="004D1120">
        <w:rPr>
          <w:rtl/>
        </w:rPr>
        <w:t>עד כאן היינו באים בשבת</w:t>
      </w:r>
      <w:r w:rsidRPr="004D1120">
        <w:t xml:space="preserve">" </w:t>
      </w:r>
      <w:r w:rsidRPr="004D1120">
        <w:rPr>
          <w:rtl/>
        </w:rPr>
        <w:t>כיון שתחומים דרבנן (הגהות אלפסי פ"ב דכתובות) </w:t>
      </w:r>
      <w:r w:rsidRPr="004D1120">
        <w:rPr>
          <w:rFonts w:hint="cs"/>
        </w:rPr>
        <w:t>(</w:t>
      </w:r>
      <w:r w:rsidRPr="004D1120">
        <w:rPr>
          <w:rFonts w:hint="cs"/>
          <w:rtl/>
        </w:rPr>
        <w:t>וה"ה בשאר איסורי דרבנן</w:t>
      </w:r>
      <w:r w:rsidRPr="004D1120">
        <w:rPr>
          <w:rFonts w:hint="cs"/>
        </w:rPr>
        <w:t>)</w:t>
      </w:r>
      <w:r w:rsidRPr="004D1120">
        <w:t>.</w:t>
      </w:r>
    </w:p>
    <w:p w14:paraId="32F86D8C" w14:textId="7C55B4F9" w:rsidR="005B3D85" w:rsidRDefault="005B3D85" w:rsidP="005B3D85">
      <w:pPr>
        <w:pStyle w:val="Style1"/>
        <w:rPr>
          <w:rtl/>
        </w:rPr>
      </w:pPr>
      <w:r w:rsidRPr="004D1120">
        <w:rPr>
          <w:rtl/>
        </w:rPr>
        <w:t>ונאמן לומר שהיה פלוני יוצא מבית הספר לטבול לאכול תרומתו לערב, ושהיה חולק עמנו תרומה, ושהיינו מוליכים חלה ומתנות לפלוני כהן על ידי עצמו, ושאמר לי אבא משפחה זו כשרה משפחה זו פסולה </w:t>
      </w:r>
      <w:r w:rsidRPr="004D1120">
        <w:rPr>
          <w:rFonts w:hint="cs"/>
          <w:rtl/>
        </w:rPr>
        <w:t>(או שעשו איזה סי' להודיע שאחד מן המשפחה נשא פסולה) (טור כמו שנתבאר </w:t>
      </w:r>
      <w:hyperlink r:id="rId67" w:tooltip="שולחן ערוך אבן העזר ב" w:history="1">
        <w:r w:rsidRPr="004D1120">
          <w:rPr>
            <w:rStyle w:val="Hyperlink"/>
            <w:rFonts w:hint="cs"/>
            <w:color w:val="7030A0"/>
            <w:u w:val="none"/>
            <w:rtl/>
          </w:rPr>
          <w:t>באה"ע סי' ב</w:t>
        </w:r>
        <w:r w:rsidRPr="004D1120">
          <w:rPr>
            <w:rStyle w:val="Hyperlink"/>
            <w:rFonts w:hint="cs"/>
            <w:color w:val="7030A0"/>
            <w:u w:val="none"/>
          </w:rPr>
          <w:t>'</w:t>
        </w:r>
      </w:hyperlink>
      <w:r w:rsidRPr="004D1120">
        <w:rPr>
          <w:rFonts w:hint="cs"/>
        </w:rPr>
        <w:t>)</w:t>
      </w:r>
      <w:r w:rsidRPr="004D1120">
        <w:t>:</w:t>
      </w:r>
    </w:p>
    <w:p w14:paraId="7F0CBD46" w14:textId="31457EAE" w:rsidR="0052375C" w:rsidRDefault="0052375C" w:rsidP="0052375C">
      <w:pPr>
        <w:pStyle w:val="Style1"/>
        <w:rPr>
          <w:rtl/>
        </w:rPr>
      </w:pPr>
      <w:r>
        <w:rPr>
          <w:rFonts w:hint="cs"/>
          <w:rtl/>
        </w:rPr>
        <w:t>4)[</w:t>
      </w:r>
      <w:r>
        <w:rPr>
          <w:rtl/>
        </w:rPr>
        <w:t>רמב</w:t>
      </w:r>
      <w:r w:rsidR="0057095E">
        <w:rPr>
          <w:rtl/>
        </w:rPr>
        <w:t>”ם \שופטים\</w:t>
      </w:r>
      <w:r>
        <w:rPr>
          <w:rtl/>
        </w:rPr>
        <w:t xml:space="preserve"> הלכות עדות פרק יד הלכה ד</w:t>
      </w:r>
      <w:r>
        <w:rPr>
          <w:rFonts w:hint="cs"/>
          <w:rtl/>
        </w:rPr>
        <w:t xml:space="preserve">] </w:t>
      </w:r>
      <w:r>
        <w:rPr>
          <w:rtl/>
        </w:rPr>
        <w:t>כל אלו שמעיד בהן הגדול במה שידע כשהיה קטן, אם היה עכו"ם או עבד כשראה דברים אלו והעיד אחר שנתגייר ונשתחרר אינו נאמן.</w:t>
      </w:r>
    </w:p>
    <w:p w14:paraId="52D4B618" w14:textId="38BF9012" w:rsidR="000D3B73" w:rsidRDefault="000D3B73" w:rsidP="000D3B73">
      <w:pPr>
        <w:pStyle w:val="Style1"/>
        <w:rPr>
          <w:rtl/>
        </w:rPr>
      </w:pPr>
      <w:r>
        <w:rPr>
          <w:rFonts w:hint="cs"/>
          <w:rtl/>
        </w:rPr>
        <w:t>4)[</w:t>
      </w:r>
      <w:r>
        <w:rPr>
          <w:rtl/>
        </w:rPr>
        <w:t>שולחן ערוך חושן משפט הלכות עדות סימן לה סעיף ז</w:t>
      </w:r>
      <w:r>
        <w:rPr>
          <w:rFonts w:hint="cs"/>
          <w:rtl/>
        </w:rPr>
        <w:t>]</w:t>
      </w:r>
      <w:r w:rsidR="00077355">
        <w:rPr>
          <w:rFonts w:hint="cs"/>
          <w:rtl/>
        </w:rPr>
        <w:t xml:space="preserve"> </w:t>
      </w:r>
      <w:r w:rsidR="00077355" w:rsidRPr="00077355">
        <w:rPr>
          <w:rtl/>
        </w:rPr>
        <w:t>וכל אלו אם עכו"ם או עבד ראה אותם והעיד אחר שנתגייר ונשתחרר אינו נאמן</w:t>
      </w:r>
      <w:r w:rsidR="00077355" w:rsidRPr="00077355">
        <w:t>:</w:t>
      </w:r>
    </w:p>
    <w:p w14:paraId="79153EB0" w14:textId="1C693FA0" w:rsidR="003836BD" w:rsidRPr="003836BD" w:rsidRDefault="008B2003" w:rsidP="003836BD">
      <w:pPr>
        <w:pStyle w:val="Style1"/>
      </w:pPr>
      <w:r>
        <w:rPr>
          <w:rFonts w:hint="cs"/>
          <w:rtl/>
        </w:rPr>
        <w:t>5)[</w:t>
      </w:r>
      <w:r>
        <w:rPr>
          <w:rtl/>
        </w:rPr>
        <w:t>שולחן ערוך אבן העזר הלכות פריה ורביה סימן ב סעיף א</w:t>
      </w:r>
      <w:r>
        <w:rPr>
          <w:rFonts w:hint="cs"/>
          <w:rtl/>
        </w:rPr>
        <w:t>]</w:t>
      </w:r>
      <w:r w:rsidR="003836BD">
        <w:rPr>
          <w:rFonts w:hint="cs"/>
          <w:rtl/>
        </w:rPr>
        <w:t xml:space="preserve"> </w:t>
      </w:r>
      <w:r w:rsidR="003836BD" w:rsidRPr="003836BD">
        <w:rPr>
          <w:rtl/>
        </w:rPr>
        <w:t>לא ישא אשה שיש בה שום פיסול</w:t>
      </w:r>
      <w:r w:rsidR="003836BD" w:rsidRPr="003836BD">
        <w:t>:</w:t>
      </w:r>
    </w:p>
    <w:p w14:paraId="3F12E624" w14:textId="77777777" w:rsidR="003836BD" w:rsidRPr="003836BD" w:rsidRDefault="003836BD" w:rsidP="003836BD">
      <w:pPr>
        <w:pStyle w:val="Style1"/>
      </w:pPr>
      <w:r w:rsidRPr="003836BD">
        <w:rPr>
          <w:rFonts w:hint="cs"/>
          <w:rtl/>
        </w:rPr>
        <w:t>הגה</w:t>
      </w:r>
      <w:r w:rsidRPr="003836BD">
        <w:rPr>
          <w:rFonts w:hint="cs"/>
        </w:rPr>
        <w:t>: </w:t>
      </w:r>
      <w:r w:rsidRPr="003836BD">
        <w:rPr>
          <w:rFonts w:hint="cs"/>
          <w:rtl/>
        </w:rPr>
        <w:t>כל הנושא אשה פסולה משום ממון, הווין לו בנים שאינם מהוגנים. אבל בלאו הכי, שאינה פסולה עליו, אלא נושאה משום ממון, מותר</w:t>
      </w:r>
      <w:r w:rsidRPr="003836BD">
        <w:rPr>
          <w:rFonts w:hint="cs"/>
        </w:rPr>
        <w:t>. (</w:t>
      </w:r>
      <w:hyperlink r:id="rId68" w:tooltip="תשובות ריב&quot;ש/טו" w:history="1">
        <w:r w:rsidRPr="003836BD">
          <w:rPr>
            <w:rStyle w:val="Hyperlink"/>
            <w:rFonts w:hint="cs"/>
            <w:color w:val="7030A0"/>
            <w:u w:val="none"/>
            <w:rtl/>
          </w:rPr>
          <w:t>תשובת הריב"ש סימן ט"ו</w:t>
        </w:r>
      </w:hyperlink>
      <w:r w:rsidRPr="003836BD">
        <w:rPr>
          <w:rFonts w:hint="cs"/>
        </w:rPr>
        <w:t xml:space="preserve">). </w:t>
      </w:r>
      <w:r w:rsidRPr="003836BD">
        <w:rPr>
          <w:rFonts w:hint="cs"/>
          <w:rtl/>
        </w:rPr>
        <w:t>מי שרוצה לישא אשה פסולה, בני משפחתו יכולין למחות בו</w:t>
      </w:r>
      <w:r w:rsidRPr="003836BD">
        <w:rPr>
          <w:rFonts w:hint="cs"/>
        </w:rPr>
        <w:t>. (</w:t>
      </w:r>
      <w:r w:rsidRPr="003836BD">
        <w:rPr>
          <w:rFonts w:hint="cs"/>
          <w:rtl/>
        </w:rPr>
        <w:t>הר"ן פרק המוכר</w:t>
      </w:r>
      <w:r w:rsidRPr="003836BD">
        <w:rPr>
          <w:rFonts w:hint="cs"/>
        </w:rPr>
        <w:t xml:space="preserve">). </w:t>
      </w:r>
      <w:r w:rsidRPr="003836BD">
        <w:rPr>
          <w:rFonts w:hint="cs"/>
          <w:rtl/>
        </w:rPr>
        <w:t>ואם אינו רוצה להשגיח בהם, יעשו איזה דבר לסימן שלא יתערב זרעו בזרעם. ומי שפסקו לו ממון הרבה לשידוכין וחזרו בהם, לא יעגן כלתו משום זה, ולא יתקוטט בעבור נכסי אשתו. ומי שעושה כן – אינו מצליח, ואין זיווגו עולה יפה, כי הממון שאדם לוקח עם אשתו אינו ממון של יושר. וכל העושה כן, מקרי נושא אשה לשם ממון. אלא כל מה שיתן לו חמיו וחמותו – יקח בעין טוב, ואז מצליח </w:t>
      </w:r>
      <w:r w:rsidRPr="003836BD">
        <w:rPr>
          <w:rFonts w:hint="cs"/>
        </w:rPr>
        <w:t>(</w:t>
      </w:r>
      <w:r w:rsidRPr="003836BD">
        <w:rPr>
          <w:rFonts w:hint="cs"/>
          <w:rtl/>
        </w:rPr>
        <w:t>ב"י בשם ארחות חיים</w:t>
      </w:r>
      <w:r w:rsidRPr="003836BD">
        <w:rPr>
          <w:rFonts w:hint="cs"/>
        </w:rPr>
        <w:t>)</w:t>
      </w:r>
      <w:r w:rsidRPr="003836BD">
        <w:t>:</w:t>
      </w:r>
    </w:p>
    <w:p w14:paraId="71C51FEF" w14:textId="77777777" w:rsidR="003836BD" w:rsidRPr="003836BD" w:rsidRDefault="003836BD" w:rsidP="003836BD">
      <w:pPr>
        <w:pStyle w:val="Style1"/>
      </w:pPr>
    </w:p>
    <w:p w14:paraId="2806D077" w14:textId="000F052A" w:rsidR="008B2003" w:rsidRPr="00077355" w:rsidRDefault="008B2003" w:rsidP="008B2003">
      <w:pPr>
        <w:pStyle w:val="Style1"/>
      </w:pPr>
    </w:p>
    <w:p w14:paraId="2ABF7B79" w14:textId="4343DF1A" w:rsidR="00F73B0A" w:rsidRPr="00534375" w:rsidRDefault="00F73B0A" w:rsidP="00534375">
      <w:pPr>
        <w:pStyle w:val="Style1"/>
        <w:rPr>
          <w:rStyle w:val="Style1Char"/>
          <w:rtl/>
        </w:rPr>
      </w:pPr>
    </w:p>
    <w:p w14:paraId="26996D2C" w14:textId="77777777" w:rsidR="00DA1858" w:rsidRPr="00F453CF" w:rsidRDefault="00DA1858" w:rsidP="00DA1858">
      <w:pPr>
        <w:bidi/>
        <w:rPr>
          <w:sz w:val="36"/>
          <w:szCs w:val="36"/>
        </w:rPr>
      </w:pPr>
      <w:r w:rsidRPr="00BB4BEA">
        <w:rPr>
          <w:rStyle w:val="Style1Char"/>
          <w:color w:val="auto"/>
          <w:sz w:val="28"/>
          <w:szCs w:val="28"/>
          <w:rtl/>
        </w:rPr>
        <w:t>הדרן עלך האשה שנתארמלה</w:t>
      </w:r>
      <w:r w:rsidRPr="00887069">
        <w:rPr>
          <w:rStyle w:val="Style1Char"/>
          <w:color w:val="auto"/>
          <w:sz w:val="22"/>
          <w:szCs w:val="22"/>
          <w:rtl/>
        </w:rPr>
        <w:t>.</w:t>
      </w:r>
    </w:p>
    <w:p w14:paraId="37DA3BDC" w14:textId="77777777" w:rsidR="00127B78" w:rsidRPr="00115293" w:rsidRDefault="00127B78" w:rsidP="00127B78">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B32DE1">
        <w:rPr>
          <w:rStyle w:val="Style1Char"/>
          <w:color w:val="auto"/>
          <w:sz w:val="24"/>
          <w:szCs w:val="24"/>
          <w:rtl/>
        </w:rPr>
        <w:t>פרק ג - אלו נערות</w:t>
      </w:r>
    </w:p>
    <w:p w14:paraId="4A372C01" w14:textId="77777777" w:rsidR="00127B78" w:rsidRPr="00847009" w:rsidRDefault="00127B78" w:rsidP="00127B78">
      <w:pPr>
        <w:bidi/>
        <w:rPr>
          <w:rStyle w:val="Style1Char"/>
          <w:color w:val="auto"/>
          <w:sz w:val="22"/>
          <w:szCs w:val="22"/>
          <w:rtl/>
        </w:rPr>
      </w:pPr>
      <w:r w:rsidRPr="00847009">
        <w:rPr>
          <w:rStyle w:val="Style1Char"/>
          <w:color w:val="auto"/>
          <w:sz w:val="22"/>
          <w:szCs w:val="22"/>
          <w:highlight w:val="yellow"/>
          <w:rtl/>
        </w:rPr>
        <w:t>[דף כט עמוד א]</w:t>
      </w:r>
      <w:r w:rsidRPr="00847009">
        <w:rPr>
          <w:rStyle w:val="Style1Char"/>
          <w:color w:val="auto"/>
          <w:sz w:val="22"/>
          <w:szCs w:val="22"/>
          <w:rtl/>
        </w:rPr>
        <w:t xml:space="preserve"> /מתני'/. </w:t>
      </w:r>
      <w:r w:rsidRPr="00EF64BD">
        <w:rPr>
          <w:rStyle w:val="Style1Char"/>
          <w:rFonts w:hint="cs"/>
          <w:rtl/>
        </w:rPr>
        <w:t>(1)</w:t>
      </w:r>
      <w:r w:rsidRPr="00847009">
        <w:rPr>
          <w:rStyle w:val="Style1Char"/>
          <w:color w:val="auto"/>
          <w:sz w:val="22"/>
          <w:szCs w:val="22"/>
          <w:rtl/>
        </w:rPr>
        <w:t xml:space="preserve">אלו נערות שיש להן קנס: הבא על הממזרת, ועל הנתינה, ועל הכותית, הבא על הגיורת, ועל השבויה, ועל השפחה, שנפדו ושנתגיירו ושנשתחררו פחותות מבנות שלש שנים ויום אחד, הבא על אחותו, ועל אחות אביו, ועל אחות אמו, ועל אחות אשתו, ועל אשת אחיו, ועל אשת אחי אביו, ועל הנדה - יש להם קנס, אף על פי שהן בהכרת - אין בהן מיתת בית דין. </w:t>
      </w:r>
    </w:p>
    <w:p w14:paraId="41A00E56" w14:textId="77777777" w:rsidR="00127B78" w:rsidRDefault="00127B78" w:rsidP="00127B78">
      <w:pPr>
        <w:bidi/>
        <w:rPr>
          <w:rStyle w:val="Style1Char"/>
          <w:color w:val="auto"/>
          <w:sz w:val="22"/>
          <w:szCs w:val="22"/>
        </w:rPr>
      </w:pPr>
      <w:r w:rsidRPr="003D4E34">
        <w:rPr>
          <w:rStyle w:val="Style1Char"/>
          <w:sz w:val="22"/>
          <w:szCs w:val="22"/>
          <w:rtl/>
        </w:rPr>
        <w:t xml:space="preserve">גמ' </w:t>
      </w:r>
      <w:r w:rsidRPr="003D4E34">
        <w:rPr>
          <w:rStyle w:val="Style1Char"/>
          <w:color w:val="C00000"/>
          <w:sz w:val="22"/>
          <w:szCs w:val="22"/>
          <w:rtl/>
        </w:rPr>
        <w:t>הא דקתני הבא על אשת אחיו משכחת לה כגון שהיו לאחיו בנים וקדש נערה ומת אי נמי אחיו מאמו שקדש נערה ומת או שגרשה דלאו בת חליצה וייבום היא וקאים עלה בכרת ואשת אחי אביו נמי כגון שקדש אחי אביו נערה ומת</w:t>
      </w:r>
      <w:r w:rsidRPr="00B32DE1">
        <w:rPr>
          <w:rStyle w:val="Style1Char"/>
          <w:color w:val="00B050"/>
          <w:rtl/>
        </w:rPr>
        <w:t>. הני נערות פסולות אית להו קנס, כשירות לא? הכי קאמר, אלו נערות פסולות שיש להם קנס: הבא על הממזרת, ועל הנתינה, ועל הכותית</w:t>
      </w:r>
      <w:r w:rsidRPr="00F348C1">
        <w:rPr>
          <w:rStyle w:val="Style1Char"/>
          <w:color w:val="auto"/>
          <w:rtl/>
        </w:rPr>
        <w:t xml:space="preserve">. </w:t>
      </w:r>
      <w:r w:rsidRPr="00F348C1">
        <w:rPr>
          <w:rStyle w:val="Style1Char"/>
          <w:color w:val="auto"/>
          <w:sz w:val="22"/>
          <w:szCs w:val="22"/>
          <w:rtl/>
        </w:rPr>
        <w:t xml:space="preserve">נערה אין, קטנה לא, מאן תנא? אמר רב יהודה אמר רב: רבי מאיר היא; דתניא: </w:t>
      </w:r>
      <w:r w:rsidRPr="00EF64BD">
        <w:rPr>
          <w:rStyle w:val="Style1Char"/>
          <w:rFonts w:hint="cs"/>
          <w:rtl/>
        </w:rPr>
        <w:t>(</w:t>
      </w:r>
      <w:r>
        <w:rPr>
          <w:rStyle w:val="Style1Char"/>
        </w:rPr>
        <w:t>2</w:t>
      </w:r>
      <w:r w:rsidRPr="00EF64BD">
        <w:rPr>
          <w:rStyle w:val="Style1Char"/>
          <w:rFonts w:hint="cs"/>
          <w:rtl/>
        </w:rPr>
        <w:t>)</w:t>
      </w:r>
      <w:r w:rsidRPr="00F348C1">
        <w:rPr>
          <w:rStyle w:val="Style1Char"/>
          <w:color w:val="auto"/>
          <w:sz w:val="22"/>
          <w:szCs w:val="22"/>
          <w:rtl/>
        </w:rPr>
        <w:t>קטנה מבת</w:t>
      </w:r>
      <w:r w:rsidRPr="00F348C1">
        <w:rPr>
          <w:rStyle w:val="Style1Char"/>
          <w:rFonts w:hint="cs"/>
          <w:color w:val="auto"/>
          <w:sz w:val="22"/>
          <w:szCs w:val="22"/>
          <w:rtl/>
        </w:rPr>
        <w:t xml:space="preserve"> </w:t>
      </w:r>
      <w:r w:rsidRPr="00F348C1">
        <w:rPr>
          <w:rStyle w:val="Style1Char"/>
          <w:color w:val="806000" w:themeColor="accent4" w:themeShade="80"/>
          <w:sz w:val="22"/>
          <w:szCs w:val="22"/>
          <w:rtl/>
        </w:rPr>
        <w:t>שלש שנים ו</w:t>
      </w:r>
      <w:r w:rsidRPr="00F348C1">
        <w:rPr>
          <w:rStyle w:val="Style1Char"/>
          <w:color w:val="auto"/>
          <w:sz w:val="22"/>
          <w:szCs w:val="22"/>
          <w:rtl/>
        </w:rPr>
        <w:t>יום</w:t>
      </w:r>
      <w:r w:rsidRPr="00B32DE1">
        <w:rPr>
          <w:rStyle w:val="Style1Char"/>
          <w:color w:val="00B050"/>
          <w:rtl/>
        </w:rPr>
        <w:t xml:space="preserve"> </w:t>
      </w:r>
      <w:r w:rsidRPr="00F348C1">
        <w:rPr>
          <w:rStyle w:val="Style1Char"/>
          <w:color w:val="auto"/>
          <w:sz w:val="22"/>
          <w:szCs w:val="22"/>
          <w:rtl/>
        </w:rPr>
        <w:t xml:space="preserve">אחד ועד שתביא שתי שערות - יש לה מכר ואין לה קנס, ומשתביא שתי שערות ועד שתיבגר - יש לה קנס ואין לה מכר, דברי רבי מאיר, שהיה רבי מאיר אומר: כל מקום שיש מכר אין קנס, וכל מקום שיש קנס אין מכר; </w:t>
      </w:r>
      <w:r w:rsidRPr="00EF64BD">
        <w:rPr>
          <w:rStyle w:val="Style1Char"/>
          <w:rFonts w:hint="cs"/>
          <w:rtl/>
        </w:rPr>
        <w:t>(</w:t>
      </w:r>
      <w:r>
        <w:rPr>
          <w:rStyle w:val="Style1Char"/>
        </w:rPr>
        <w:t>3</w:t>
      </w:r>
      <w:r w:rsidRPr="00EF64BD">
        <w:rPr>
          <w:rStyle w:val="Style1Char"/>
          <w:rFonts w:hint="cs"/>
          <w:rtl/>
        </w:rPr>
        <w:t>)</w:t>
      </w:r>
      <w:r w:rsidRPr="00F348C1">
        <w:rPr>
          <w:rStyle w:val="Style1Char"/>
          <w:color w:val="auto"/>
          <w:sz w:val="22"/>
          <w:szCs w:val="22"/>
          <w:rtl/>
        </w:rPr>
        <w:t xml:space="preserve">וחכמים אומרים: קטנה מבת שלש שנים ויום אחד ועד שתיבגר - יש לה קנס; קנס אין, מכר לא? אימא: </w:t>
      </w:r>
    </w:p>
    <w:p w14:paraId="3452C944" w14:textId="58467986" w:rsidR="00127B78" w:rsidRDefault="00127B78" w:rsidP="00127B78">
      <w:pPr>
        <w:pStyle w:val="Style1"/>
        <w:rPr>
          <w:rStyle w:val="Style1Char"/>
        </w:rPr>
      </w:pPr>
      <w:r>
        <w:rPr>
          <w:rStyle w:val="Style1Char"/>
          <w:rFonts w:hint="cs"/>
          <w:rtl/>
        </w:rPr>
        <w:t>1)[</w:t>
      </w:r>
      <w:r w:rsidRPr="000E1392">
        <w:rPr>
          <w:rStyle w:val="Style1Char"/>
          <w:rtl/>
        </w:rPr>
        <w:t>רמב</w:t>
      </w:r>
      <w:r w:rsidR="00786216">
        <w:rPr>
          <w:rStyle w:val="Style1Char"/>
          <w:rtl/>
        </w:rPr>
        <w:t>”ם \נשים\</w:t>
      </w:r>
      <w:r w:rsidRPr="000E1392">
        <w:rPr>
          <w:rStyle w:val="Style1Char"/>
          <w:rtl/>
        </w:rPr>
        <w:t xml:space="preserve"> הלכות נערה בתולה פרק א הלכה י</w:t>
      </w:r>
      <w:r>
        <w:rPr>
          <w:rStyle w:val="Style1Char"/>
        </w:rPr>
        <w:t xml:space="preserve">[ </w:t>
      </w:r>
      <w:r w:rsidRPr="000E1392">
        <w:rPr>
          <w:rStyle w:val="Style1Char"/>
          <w:rtl/>
        </w:rPr>
        <w:t>הגיורת והשבויה והמשוחררת אם נתגיירה ונפדית ונשתחררה והיא בת שלש שנים או פחות יש לה קנס, ואם היתה בת שלש שנים ויום אחד כשנתגיירה או כשנפדית או כשנשתחררה אין לה קנס הואיל וביאתן ביאה הרי הן כבעולות.</w:t>
      </w:r>
    </w:p>
    <w:p w14:paraId="67000F3E"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085599B0" w14:textId="74535752"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וכן אם נשאה ומצא בה ערות דבר יכול לגרשה ואם היא או אביה אינם חפצים שישא אותה יכולין לעכב</w:t>
      </w:r>
      <w:r w:rsidR="0085407B">
        <w:rPr>
          <w:rStyle w:val="Style1Char"/>
          <w:rFonts w:hint="cs"/>
        </w:rPr>
        <w:t>‍</w:t>
      </w:r>
      <w:r w:rsidRPr="00AE64BF">
        <w:rPr>
          <w:rStyle w:val="Style1Char"/>
          <w:rtl/>
        </w:rPr>
        <w:t xml:space="preserve">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56F5B872"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 xml:space="preserve">לפיכך המאנס אותה חייב </w:t>
      </w:r>
      <w:r w:rsidRPr="00AE64BF">
        <w:rPr>
          <w:rStyle w:val="Style1Char"/>
          <w:rtl/>
        </w:rPr>
        <w:lastRenderedPageBreak/>
        <w:t>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2BB1E081"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61FE8EB3" w14:textId="42B3CB58" w:rsidR="00127B78" w:rsidRDefault="00127B78" w:rsidP="00127B78">
      <w:pPr>
        <w:pStyle w:val="Style1"/>
        <w:rPr>
          <w:rStyle w:val="Style1Char"/>
          <w:rtl/>
        </w:rPr>
      </w:pPr>
      <w:r>
        <w:rPr>
          <w:rStyle w:val="Style1Char"/>
          <w:rFonts w:hint="cs"/>
          <w:rtl/>
        </w:rPr>
        <w:t>2)[</w:t>
      </w:r>
      <w:r w:rsidRPr="00C94601">
        <w:rPr>
          <w:rStyle w:val="Style1Char"/>
          <w:rtl/>
        </w:rPr>
        <w:t>רמב</w:t>
      </w:r>
      <w:r w:rsidR="005258D6">
        <w:rPr>
          <w:rStyle w:val="Style1Char"/>
          <w:rtl/>
        </w:rPr>
        <w:t>”ם \קניין\</w:t>
      </w:r>
      <w:r w:rsidRPr="00C94601">
        <w:rPr>
          <w:rStyle w:val="Style1Char"/>
          <w:rtl/>
        </w:rPr>
        <w:t xml:space="preserve"> הלכות עבדים פרק ד הלכה א</w:t>
      </w:r>
      <w:r>
        <w:rPr>
          <w:rStyle w:val="Style1Char"/>
          <w:rFonts w:hint="cs"/>
          <w:rtl/>
        </w:rPr>
        <w:t xml:space="preserve">] </w:t>
      </w:r>
      <w:r w:rsidRPr="00C94601">
        <w:rPr>
          <w:rStyle w:val="Style1Char"/>
          <w:rtl/>
        </w:rPr>
        <w:t>אמה העבריה היא הקטנה שמכרה אביה, ומשתביא שתי שערות אחר י"ב שנה ותיעשה נערה אינו יכול למכרה אף על פי שעדיין יש לו רשות בה ויש לו לקדשה לכל מי שירצה, אף הקטנה שהיא איילונית בסימניה ואינה ראויה להבאת שתי שערות יש לאביה למכרה כל זמן שהיא קטנה, אבל הטומטום והאנדרוגינוס אינו נמכר לא כעבד עברי ולא כדין האמה העבריה.</w:t>
      </w:r>
    </w:p>
    <w:p w14:paraId="7DB5610F" w14:textId="788AE62C" w:rsidR="00127B78" w:rsidRDefault="00127B78" w:rsidP="00127B78">
      <w:pPr>
        <w:pStyle w:val="Style1"/>
        <w:rPr>
          <w:rStyle w:val="Style1Char"/>
          <w:rtl/>
        </w:rPr>
      </w:pPr>
      <w:r>
        <w:rPr>
          <w:rStyle w:val="Style1Char"/>
          <w:rFonts w:hint="cs"/>
          <w:rtl/>
        </w:rPr>
        <w:t>3)[</w:t>
      </w:r>
      <w:r w:rsidRPr="003B0CF3">
        <w:rPr>
          <w:rStyle w:val="Style1Char"/>
          <w:rtl/>
        </w:rPr>
        <w:t>רמב</w:t>
      </w:r>
      <w:r w:rsidR="00786216">
        <w:rPr>
          <w:rStyle w:val="Style1Char"/>
          <w:rtl/>
        </w:rPr>
        <w:t>”ם \נשים\</w:t>
      </w:r>
      <w:r w:rsidRPr="003B0CF3">
        <w:rPr>
          <w:rStyle w:val="Style1Char"/>
          <w:rtl/>
        </w:rPr>
        <w:t xml:space="preserve"> הלכות נערה בתולה פרק א הלכה ח</w:t>
      </w:r>
      <w:r>
        <w:rPr>
          <w:rStyle w:val="Style1Char"/>
          <w:rFonts w:hint="cs"/>
          <w:rtl/>
        </w:rPr>
        <w:t xml:space="preserve">] </w:t>
      </w:r>
      <w:r w:rsidRPr="003B0CF3">
        <w:rPr>
          <w:rStyle w:val="Style1Char"/>
          <w:rtl/>
        </w:rPr>
        <w:t xml:space="preserve">אין האונס או המפתה חייב בקנס עד שיבוא עליה כדרכה ובעדים ואינו צריך התראה, ומאימתי יהיה לבת קנס מאחר שלש שנים גמורות עד שתבגור, נבעלה בתוך שלש שנים אין ביאתה ביאה, בא עליה משבגרה אין לה קנס שנ' </w:t>
      </w:r>
      <w:r>
        <w:rPr>
          <w:rStyle w:val="Style1Char"/>
          <w:rFonts w:hint="cs"/>
          <w:rtl/>
        </w:rPr>
        <w:t>(</w:t>
      </w:r>
      <w:r w:rsidRPr="003B0CF3">
        <w:rPr>
          <w:rStyle w:val="Style1Char"/>
          <w:rtl/>
        </w:rPr>
        <w:t>דברים כ"ב כ"ח</w:t>
      </w:r>
      <w:r>
        <w:rPr>
          <w:rStyle w:val="Style1Char"/>
          <w:rFonts w:hint="cs"/>
          <w:rtl/>
        </w:rPr>
        <w:t>)</w:t>
      </w:r>
      <w:r w:rsidRPr="003B0CF3">
        <w:rPr>
          <w:rStyle w:val="Style1Char"/>
          <w:rtl/>
        </w:rPr>
        <w:t xml:space="preserve"> נערה בתולה לא הבוגרת. /השגת הראב"ד/ אין האונס או המפתה חייב בקנס עד שיבוא עליה כדרכה. א"א טעות היא זו ומפורש בגמרא דאפילו שלא כדרכה משלם קנס.</w:t>
      </w:r>
    </w:p>
    <w:p w14:paraId="32597C34" w14:textId="77777777" w:rsidR="00127B78" w:rsidRPr="0003118B" w:rsidRDefault="00127B78" w:rsidP="00127B78">
      <w:pPr>
        <w:pStyle w:val="Style1"/>
      </w:pPr>
      <w:r>
        <w:rPr>
          <w:rStyle w:val="Style1Char"/>
          <w:rFonts w:hint="cs"/>
          <w:rtl/>
        </w:rPr>
        <w:t>3)[</w:t>
      </w:r>
      <w:r w:rsidRPr="00DC5965">
        <w:rPr>
          <w:rStyle w:val="Style1Char"/>
          <w:rtl/>
        </w:rPr>
        <w:t>שולחן ערוך אבן העזר הלכות אונס ומפתה סימן קעז סעיף א</w:t>
      </w:r>
      <w:r>
        <w:rPr>
          <w:rStyle w:val="Style1Char"/>
          <w:rFonts w:hint="cs"/>
          <w:rtl/>
        </w:rPr>
        <w:t xml:space="preserve">] </w:t>
      </w:r>
      <w:r w:rsidRPr="0003118B">
        <w:rPr>
          <w:rtl/>
        </w:rPr>
        <w:t>המפתה בתולת ישראל </w:t>
      </w:r>
      <w:r w:rsidRPr="0003118B">
        <w:rPr>
          <w:rFonts w:hint="cs"/>
          <w:rtl/>
        </w:rPr>
        <w:t>עד שלא תבגר, והיא מבת שלשה ואילך (טור הרא"ש)</w:t>
      </w:r>
      <w:r w:rsidRPr="0003118B">
        <w:t xml:space="preserve">, </w:t>
      </w:r>
      <w:r w:rsidRPr="0003118B">
        <w:rPr>
          <w:rtl/>
        </w:rPr>
        <w:t>משלם בשת ופגם וקנס. ואם אנסה, משלם עוד צער</w:t>
      </w:r>
      <w:r w:rsidRPr="0003118B">
        <w:t>.</w:t>
      </w:r>
    </w:p>
    <w:p w14:paraId="2DFEA531" w14:textId="77777777" w:rsidR="00127B78" w:rsidRPr="0003118B" w:rsidRDefault="00127B78" w:rsidP="00127B78">
      <w:pPr>
        <w:pStyle w:val="Style1"/>
      </w:pPr>
      <w:r w:rsidRPr="0003118B">
        <w:rPr>
          <w:rFonts w:hint="cs"/>
          <w:rtl/>
        </w:rPr>
        <w:t>ואם נשאה המפתה, אינו צריך לתן קנס (טור)</w:t>
      </w:r>
      <w:r w:rsidRPr="0003118B">
        <w:t>:</w:t>
      </w:r>
    </w:p>
    <w:p w14:paraId="1D141B86" w14:textId="77777777" w:rsidR="00127B78" w:rsidRPr="0003118B" w:rsidRDefault="00127B78" w:rsidP="00127B78">
      <w:pPr>
        <w:pStyle w:val="Style1"/>
        <w:rPr>
          <w:rStyle w:val="Style1Char"/>
        </w:rPr>
      </w:pPr>
    </w:p>
    <w:p w14:paraId="2770AB8A" w14:textId="77777777" w:rsidR="00127B78" w:rsidRPr="000E1392" w:rsidRDefault="00127B78" w:rsidP="00127B78">
      <w:pPr>
        <w:pStyle w:val="Style1"/>
        <w:rPr>
          <w:rStyle w:val="Style1Char"/>
          <w:rtl/>
        </w:rPr>
      </w:pPr>
    </w:p>
    <w:p w14:paraId="28718807" w14:textId="77777777" w:rsidR="00127B78" w:rsidRPr="00F348C1" w:rsidRDefault="00127B78" w:rsidP="00127B78">
      <w:pPr>
        <w:bidi/>
        <w:rPr>
          <w:rStyle w:val="Style1Char"/>
          <w:sz w:val="22"/>
          <w:szCs w:val="22"/>
          <w:rtl/>
        </w:rPr>
      </w:pPr>
    </w:p>
    <w:p w14:paraId="267C458B" w14:textId="77777777" w:rsidR="00127B78" w:rsidRPr="00790F19" w:rsidRDefault="00127B78" w:rsidP="00127B78">
      <w:pPr>
        <w:bidi/>
        <w:rPr>
          <w:rStyle w:val="Style1Char"/>
          <w:color w:val="00B050"/>
          <w:rtl/>
        </w:rPr>
      </w:pPr>
    </w:p>
    <w:p w14:paraId="0884A68A" w14:textId="77777777" w:rsidR="00127B78" w:rsidRDefault="00127B78" w:rsidP="00127B78">
      <w:pPr>
        <w:rPr>
          <w:rStyle w:val="Style1Char"/>
          <w:color w:val="00B050"/>
          <w:rtl/>
        </w:rPr>
      </w:pPr>
      <w:r>
        <w:rPr>
          <w:rStyle w:val="Style1Char"/>
          <w:color w:val="00B050"/>
          <w:rtl/>
        </w:rPr>
        <w:br w:type="page"/>
      </w:r>
    </w:p>
    <w:p w14:paraId="63F5A2B8" w14:textId="77777777" w:rsidR="00127B78" w:rsidRDefault="00127B78" w:rsidP="00127B78">
      <w:pPr>
        <w:bidi/>
        <w:rPr>
          <w:rStyle w:val="Style1Char"/>
          <w:color w:val="00B050"/>
          <w:rtl/>
        </w:rPr>
      </w:pPr>
      <w:r w:rsidRPr="00DA1180">
        <w:rPr>
          <w:rStyle w:val="Style1Char"/>
          <w:color w:val="auto"/>
          <w:sz w:val="22"/>
          <w:szCs w:val="22"/>
          <w:highlight w:val="yellow"/>
          <w:rtl/>
        </w:rPr>
        <w:lastRenderedPageBreak/>
        <w:t>[דף כט עמוד ב]</w:t>
      </w:r>
      <w:r w:rsidRPr="00DA1180">
        <w:rPr>
          <w:rStyle w:val="Style1Char"/>
          <w:color w:val="auto"/>
          <w:sz w:val="22"/>
          <w:szCs w:val="22"/>
          <w:rtl/>
        </w:rPr>
        <w:t xml:space="preserve"> אף קנס במקום מכר</w:t>
      </w:r>
      <w:r w:rsidRPr="00DA1180">
        <w:rPr>
          <w:rStyle w:val="Style1Char"/>
          <w:color w:val="auto"/>
          <w:rtl/>
        </w:rPr>
        <w:t xml:space="preserve"> </w:t>
      </w:r>
      <w:r w:rsidRPr="00165E97">
        <w:rPr>
          <w:rStyle w:val="Style1Char"/>
          <w:color w:val="C00000"/>
          <w:rtl/>
        </w:rPr>
        <w:t>פירוש במקום שיש מכר כלומר מבת ג' שנים ויום א' ועד שתביא שתי שערות יש לה מכר ויש לה קנס אבל משתביא שתי שערות עד שתבגר יש לה קנס ואין לה מכר דקי"ל אמה עבריה יוצאה מרשות אדון בסימנין:</w:t>
      </w:r>
      <w:r w:rsidRPr="00AE55BE">
        <w:rPr>
          <w:rStyle w:val="Style1Char"/>
          <w:sz w:val="22"/>
          <w:szCs w:val="22"/>
          <w:rtl/>
        </w:rPr>
        <w:t>.</w:t>
      </w:r>
      <w:r w:rsidRPr="00B32DE1">
        <w:rPr>
          <w:rStyle w:val="Style1Char"/>
          <w:color w:val="00B050"/>
          <w:rtl/>
        </w:rPr>
        <w:t xml:space="preserve"> </w:t>
      </w:r>
      <w:r w:rsidRPr="00DA1180">
        <w:rPr>
          <w:rStyle w:val="Style1Char"/>
          <w:color w:val="auto"/>
          <w:sz w:val="22"/>
          <w:szCs w:val="22"/>
          <w:rtl/>
        </w:rPr>
        <w:t xml:space="preserve">והני בני קנסא נינהו? </w:t>
      </w:r>
      <w:r w:rsidRPr="00B32DE1">
        <w:rPr>
          <w:rStyle w:val="Style1Char"/>
          <w:color w:val="00B050"/>
          <w:rtl/>
        </w:rPr>
        <w:t xml:space="preserve">ואמאי? </w:t>
      </w:r>
      <w:r w:rsidRPr="00DA1180">
        <w:rPr>
          <w:rStyle w:val="Style1Char"/>
          <w:color w:val="auto"/>
          <w:sz w:val="22"/>
          <w:szCs w:val="22"/>
          <w:rtl/>
        </w:rPr>
        <w:t>איקרי כאן ולו תהיה לאשה, אשה הראויה לו! אמר ריש לקיש</w:t>
      </w:r>
      <w:r w:rsidRPr="00AE55BE">
        <w:rPr>
          <w:rStyle w:val="Style1Char"/>
          <w:sz w:val="22"/>
          <w:szCs w:val="22"/>
          <w:rtl/>
        </w:rPr>
        <w:t xml:space="preserve">: </w:t>
      </w:r>
      <w:r w:rsidRPr="001C0FE6">
        <w:rPr>
          <w:rStyle w:val="Style1Char"/>
          <w:color w:val="ED7D31" w:themeColor="accent2"/>
          <w:rtl/>
        </w:rPr>
        <w:t xml:space="preserve">נערה </w:t>
      </w:r>
      <w:r w:rsidRPr="00AE55BE">
        <w:rPr>
          <w:rStyle w:val="Style1Char"/>
          <w:color w:val="C00000"/>
          <w:sz w:val="22"/>
          <w:szCs w:val="22"/>
          <w:rtl/>
        </w:rPr>
        <w:t xml:space="preserve">נער </w:t>
      </w:r>
      <w:r w:rsidRPr="001C0FE6">
        <w:rPr>
          <w:rStyle w:val="Style1Char"/>
          <w:color w:val="auto"/>
          <w:sz w:val="22"/>
          <w:szCs w:val="22"/>
          <w:rtl/>
        </w:rPr>
        <w:t xml:space="preserve">נערה הנערה - חד לגופיה, וחד לאתויי חייבי לאוין, וחד לאתויי חייבי כריתות. </w:t>
      </w:r>
      <w:r w:rsidRPr="00B32DE1">
        <w:rPr>
          <w:rStyle w:val="Style1Char"/>
          <w:color w:val="00B050"/>
          <w:rtl/>
        </w:rPr>
        <w:t xml:space="preserve">רב פפא אמר: בתולה בתולות הבתולות - חד לגופיה, וחד לאתויי חייבי לאוין, וחד לאתויי חייבי כריתות. ורב פפא מ"ט לא אמר כר"ל? ההוא מיבעי ליה לכדאביי, דאמר אביי: </w:t>
      </w:r>
      <w:r>
        <w:rPr>
          <w:rStyle w:val="Style1Char"/>
          <w:rFonts w:hint="cs"/>
          <w:rtl/>
        </w:rPr>
        <w:t>(1)</w:t>
      </w:r>
      <w:r w:rsidRPr="00B32DE1">
        <w:rPr>
          <w:rStyle w:val="Style1Char"/>
          <w:color w:val="00B050"/>
          <w:rtl/>
        </w:rPr>
        <w:t xml:space="preserve">בא עליה ומתה - פטור, שנאמר: ונתן לאבי הנערה, לאבי נערה ולא לאבי מתה. וריש לקיש מ"ט לא אמר כרב פפא? ההוא מיבעי ליה לגזירה שוה, דתניא: כסף ישקול כמוהר הבתולות - </w:t>
      </w:r>
      <w:r>
        <w:rPr>
          <w:rStyle w:val="Style1Char"/>
          <w:rFonts w:hint="cs"/>
          <w:rtl/>
        </w:rPr>
        <w:t>(2)</w:t>
      </w:r>
      <w:r w:rsidRPr="00B32DE1">
        <w:rPr>
          <w:rStyle w:val="Style1Char"/>
          <w:color w:val="00B050"/>
          <w:rtl/>
        </w:rPr>
        <w:t xml:space="preserve">שיהא זה כמוהר הבתולות, ומוהר הבתולות כזה. וריש לקיש נמי מיבעי ליה לכדאביי! ורב פפא נמי מיבעי ליה לגזירה שוה! אלא, שיתא קראי כתיבי: נערה נערה הנערה, בתולה בתולות, הבתולות - תרי לגופייהו, חד לכדאביי, וחד לגזירה שוה, אייתרו ליה תרי, חד לאתויי חייבי לאוין, וחד לאתויי חייבי כריתות. ולאפוקי מהאי תנא; דתניא: ולו תהיה לאשה - שמעון התימני אומר: אשה שיש בה הויה, רבי שמעון בן מנסיא אומר: </w:t>
      </w:r>
      <w:r>
        <w:rPr>
          <w:rStyle w:val="Style1Char"/>
          <w:rFonts w:hint="cs"/>
          <w:rtl/>
        </w:rPr>
        <w:t>(3)</w:t>
      </w:r>
      <w:r w:rsidRPr="00B32DE1">
        <w:rPr>
          <w:rStyle w:val="Style1Char"/>
          <w:color w:val="00B050"/>
          <w:rtl/>
        </w:rPr>
        <w:t xml:space="preserve">אשה הראויה לקיימה. מאי בינייהו? אמר ר' זירא: ממזרת ונתינה איכא בינייהו, למאן דאמר יש בה הויה, הא נמי יש בה הויה; למאן דאמר ראויה לקיימה, הא אינה ראויה לקיימה. ולרבי עקיבא, דאמר: אין קידושין תופסין בחייבי לאוין, מאי בינייהו? איכא בינייהו אלמנה לכהן גדול, כרבי סימאי; דתניא, רבי סימאי אומר: מן הכל עושה רבי עקיבא ממזרין, חוץ מאלמנה לכהן גדול, שהרי אמרה תורה: לא יקח... ולא יחלל, חילולין הוא עושה, ואין עושה ממזרין. ולרבי ישבב, דאמר: בואו ונצוח על עקיבא בן יוסף, שהיה אומר: כל שאין לו ביאה בישראל הולד ממזר, מאי בינייהו? איכא בינייהו </w:t>
      </w:r>
    </w:p>
    <w:p w14:paraId="61705B96" w14:textId="24C14FA2" w:rsidR="00127B78" w:rsidRDefault="00127B78" w:rsidP="00127B78">
      <w:pPr>
        <w:pStyle w:val="Style1"/>
        <w:rPr>
          <w:rStyle w:val="Style1Char"/>
          <w:rtl/>
        </w:rPr>
      </w:pPr>
      <w:r>
        <w:rPr>
          <w:rStyle w:val="Style1Char"/>
          <w:rFonts w:hint="cs"/>
          <w:rtl/>
        </w:rPr>
        <w:t>1)[</w:t>
      </w:r>
      <w:r w:rsidRPr="00AF0FE0">
        <w:rPr>
          <w:rStyle w:val="Style1Char"/>
          <w:rtl/>
        </w:rPr>
        <w:t>רמב</w:t>
      </w:r>
      <w:r w:rsidR="00786216">
        <w:rPr>
          <w:rStyle w:val="Style1Char"/>
          <w:rtl/>
        </w:rPr>
        <w:t>”ם \נשים\</w:t>
      </w:r>
      <w:r w:rsidRPr="00AF0FE0">
        <w:rPr>
          <w:rStyle w:val="Style1Char"/>
          <w:rtl/>
        </w:rPr>
        <w:t xml:space="preserve"> הלכות נערה בתולה פרק א הלכה טו</w:t>
      </w:r>
      <w:r>
        <w:rPr>
          <w:rStyle w:val="Style1Char"/>
          <w:rFonts w:hint="cs"/>
          <w:rtl/>
        </w:rPr>
        <w:t xml:space="preserve">] </w:t>
      </w:r>
      <w:r w:rsidRPr="00AF0FE0">
        <w:rPr>
          <w:rStyle w:val="Style1Char"/>
          <w:rtl/>
        </w:rPr>
        <w:t xml:space="preserve">בא עליה ומתה הרי זה פטור מן הקנס שנ' </w:t>
      </w:r>
      <w:r>
        <w:rPr>
          <w:rStyle w:val="Style1Char"/>
          <w:rFonts w:hint="cs"/>
          <w:rtl/>
        </w:rPr>
        <w:t>(</w:t>
      </w:r>
      <w:r w:rsidRPr="00AF0FE0">
        <w:rPr>
          <w:rStyle w:val="Style1Char"/>
          <w:rtl/>
        </w:rPr>
        <w:t>דברים כ"ב כ"ט</w:t>
      </w:r>
      <w:r>
        <w:rPr>
          <w:rStyle w:val="Style1Char"/>
          <w:rFonts w:hint="cs"/>
          <w:rtl/>
        </w:rPr>
        <w:t>)</w:t>
      </w:r>
      <w:r w:rsidRPr="00AF0FE0">
        <w:rPr>
          <w:rStyle w:val="Style1Char"/>
          <w:rtl/>
        </w:rPr>
        <w:t xml:space="preserve"> ונתן האיש השוכב עמה לאבי הנערה לא לאבי המתה והוא שתמות קודם שתעמוד בדין.</w:t>
      </w:r>
    </w:p>
    <w:p w14:paraId="2E76752A"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1179A6C6" w14:textId="2B6431FE"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02FFBD98"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28192485"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w:t>
      </w:r>
      <w:r w:rsidRPr="00AE64BF">
        <w:rPr>
          <w:rStyle w:val="Style1Char"/>
          <w:rtl/>
        </w:rPr>
        <w:lastRenderedPageBreak/>
        <w:t xml:space="preserve">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679AD3EA" w14:textId="7DCEA6DC" w:rsidR="00127B78" w:rsidRDefault="00127B78" w:rsidP="00127B78">
      <w:pPr>
        <w:pStyle w:val="Style1"/>
        <w:rPr>
          <w:rStyle w:val="Style1Char"/>
          <w:rtl/>
        </w:rPr>
      </w:pPr>
      <w:r>
        <w:rPr>
          <w:rStyle w:val="Style1Char"/>
          <w:rFonts w:hint="cs"/>
          <w:rtl/>
        </w:rPr>
        <w:t>2)[</w:t>
      </w:r>
      <w:r w:rsidRPr="00E148E2">
        <w:rPr>
          <w:rStyle w:val="Style1Char"/>
          <w:rtl/>
        </w:rPr>
        <w:t>רמב</w:t>
      </w:r>
      <w:r w:rsidR="00786216">
        <w:rPr>
          <w:rStyle w:val="Style1Char"/>
          <w:rtl/>
        </w:rPr>
        <w:t>”ם \נשים\</w:t>
      </w:r>
      <w:r w:rsidRPr="00E148E2">
        <w:rPr>
          <w:rStyle w:val="Style1Char"/>
          <w:rtl/>
        </w:rPr>
        <w:t xml:space="preserve"> הלכות נערה בתולה פרק א הלכה א</w:t>
      </w:r>
      <w:r>
        <w:rPr>
          <w:rStyle w:val="Style1Char"/>
          <w:rFonts w:hint="cs"/>
          <w:rtl/>
        </w:rPr>
        <w:t xml:space="preserve">] </w:t>
      </w:r>
      <w:r w:rsidRPr="00E148E2">
        <w:rPr>
          <w:rStyle w:val="Style1Char"/>
          <w:rtl/>
        </w:rPr>
        <w:t xml:space="preserve">מי שפיתה בתולה קונסין אותו משקל חמשים סלעים של כסף מזוקק וזה הוא הנקרא קנס וכן אם אנס אותה, וקנס זה מצות עשה של תורה שנ' </w:t>
      </w:r>
      <w:r>
        <w:rPr>
          <w:rStyle w:val="Style1Char"/>
          <w:rFonts w:hint="cs"/>
          <w:rtl/>
        </w:rPr>
        <w:t>(</w:t>
      </w:r>
      <w:r w:rsidRPr="00E148E2">
        <w:rPr>
          <w:rStyle w:val="Style1Char"/>
          <w:rtl/>
        </w:rPr>
        <w:t>דברים כ"ב כ"ט</w:t>
      </w:r>
      <w:r>
        <w:rPr>
          <w:rStyle w:val="Style1Char"/>
          <w:rFonts w:hint="cs"/>
          <w:rtl/>
        </w:rPr>
        <w:t>)</w:t>
      </w:r>
      <w:r w:rsidRPr="00E148E2">
        <w:rPr>
          <w:rStyle w:val="Style1Char"/>
          <w:rtl/>
        </w:rPr>
        <w:t xml:space="preserve"> ונתן האיש השוכב עמה לאבי הנערה חמשים כסף.</w:t>
      </w:r>
    </w:p>
    <w:p w14:paraId="39C0A16F" w14:textId="7CBF89AF" w:rsidR="00127B78" w:rsidRDefault="00127B78" w:rsidP="00127B78">
      <w:pPr>
        <w:pStyle w:val="Style1"/>
        <w:rPr>
          <w:rStyle w:val="Style1Char"/>
          <w:rtl/>
        </w:rPr>
      </w:pPr>
      <w:r>
        <w:rPr>
          <w:rStyle w:val="Style1Char"/>
          <w:rFonts w:hint="cs"/>
          <w:rtl/>
        </w:rPr>
        <w:t>3)[</w:t>
      </w:r>
      <w:r w:rsidRPr="00F90E11">
        <w:rPr>
          <w:rStyle w:val="Style1Char"/>
          <w:rtl/>
        </w:rPr>
        <w:t>רמב</w:t>
      </w:r>
      <w:r w:rsidR="00786216">
        <w:rPr>
          <w:rStyle w:val="Style1Char"/>
          <w:rtl/>
        </w:rPr>
        <w:t>”ם \נשים\</w:t>
      </w:r>
      <w:r w:rsidRPr="00F90E11">
        <w:rPr>
          <w:rStyle w:val="Style1Char"/>
          <w:rtl/>
        </w:rPr>
        <w:t xml:space="preserve"> הלכות נערה בתולה פרק א הלכה ה</w:t>
      </w:r>
      <w:r>
        <w:rPr>
          <w:rStyle w:val="Style1Char"/>
          <w:rFonts w:hint="cs"/>
          <w:rtl/>
        </w:rPr>
        <w:t xml:space="preserve">] </w:t>
      </w:r>
      <w:r w:rsidRPr="00F90E11">
        <w:rPr>
          <w:rStyle w:val="Style1Char"/>
          <w:rtl/>
        </w:rPr>
        <w:t>היתה אנוסה זו אסורה עליו אפילו מחייבי עשה ואפילו שנייה הרי זה לא ישאנה, וכן אם נמצא בה דבר זמה אחר שכנסה הרי זה יגרשנה שנ' ולו תהיה לאשה אשה הראויה לו.</w:t>
      </w:r>
    </w:p>
    <w:p w14:paraId="2DFDE89B" w14:textId="77777777" w:rsidR="00127B78" w:rsidRPr="00AF0FE0" w:rsidRDefault="00127B78" w:rsidP="00127B78">
      <w:pPr>
        <w:pStyle w:val="Style1"/>
        <w:rPr>
          <w:rStyle w:val="Style1Char"/>
          <w:rtl/>
        </w:rPr>
      </w:pPr>
    </w:p>
    <w:p w14:paraId="00D14E84" w14:textId="77777777" w:rsidR="00127B78" w:rsidRPr="00DA1180" w:rsidRDefault="00127B78" w:rsidP="00127B78">
      <w:pPr>
        <w:bidi/>
        <w:rPr>
          <w:rStyle w:val="Style1Char"/>
          <w:color w:val="00B050"/>
          <w:rtl/>
        </w:rPr>
      </w:pPr>
    </w:p>
    <w:p w14:paraId="78BDC703" w14:textId="77777777" w:rsidR="00127B78" w:rsidRPr="00AE55BE" w:rsidRDefault="00127B78" w:rsidP="00127B78">
      <w:pPr>
        <w:bidi/>
        <w:rPr>
          <w:rStyle w:val="Style1Char"/>
          <w:color w:val="00B050"/>
          <w:rtl/>
        </w:rPr>
      </w:pPr>
    </w:p>
    <w:p w14:paraId="2388AC9D" w14:textId="77777777" w:rsidR="00127B78" w:rsidRDefault="00127B78" w:rsidP="00127B78">
      <w:pPr>
        <w:rPr>
          <w:rStyle w:val="Style1Char"/>
          <w:color w:val="00B050"/>
          <w:rtl/>
        </w:rPr>
      </w:pPr>
      <w:r>
        <w:rPr>
          <w:rStyle w:val="Style1Char"/>
          <w:color w:val="00B050"/>
          <w:rtl/>
        </w:rPr>
        <w:br w:type="page"/>
      </w:r>
    </w:p>
    <w:p w14:paraId="4D52BF0D"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 עמוד א]</w:t>
      </w:r>
      <w:r w:rsidRPr="00936EC6">
        <w:rPr>
          <w:rStyle w:val="Style1Char"/>
          <w:color w:val="00B050"/>
          <w:sz w:val="22"/>
          <w:szCs w:val="22"/>
          <w:rtl/>
        </w:rPr>
        <w:t xml:space="preserve"> </w:t>
      </w:r>
      <w:r w:rsidRPr="00B32DE1">
        <w:rPr>
          <w:rStyle w:val="Style1Char"/>
          <w:color w:val="00B050"/>
          <w:rtl/>
        </w:rPr>
        <w:t xml:space="preserve">חייבי עשה מצרי ואדומי. הניחא לר' ישבב אי לאפוקי מטעמא דר' סימאי קאתי - שפיר, אלא אי טעמא דנפשיה קאמר: כל שאין לו ביאה בישראל הולד ממזר, ואפי' חייבי עשה, מאי בינייהו? איכא בינייהו בעולה לכ"ג. ומ"ש? דהוה ליה עשה שאינו שוה בכל. אמר רב חסדא: הכל מודים, בבא על הנדה שמשלם קנס; למ"ד יש בה הויה, הא נמי יש בה הויה, למ"ד ראויה לקיימה, הא נמי ראויה לקיימה. ולאפוקי מדרבי נחוניא בן הקנה; דתניא: רבי נחוניא בן הקנה היה עושה את יום הכפורים כשבת לתשלומין, מה שבת - מתחייב בנפשו ופטור מן התשלומין, אף יום הכפורים - מתחייב בנפשו ופטור מן התשלומין. מ"ט דר' נחוניא בן הקנה? אמר אביי: נאמר אסון בידי אדם, ונאמר אסון בידי שמים, מה אסון האמור בידי אדם - פטור מן התשלומין, אף אסון האמור בידי שמים - פטור מן התשלומין. מתקיף לה רב אדא בר אהבה: ממאי דכי קא מזהר להו יעקב לבניה, על צינים ופחים דבידי שמים נינהו? דלמא על אריא וגנבי דבידי אדם נינהו! אטו יעקב אהא אזהר, אהא לא אזהר? יעקב על כל מילי אזהר. וצינים פחים בידי שמים נינהו? והתניא: הכל בידי שמים, חוץ מצינים פחים, שנאמר: צינים פחים בדרך עיקש שומר נפשו ירחק מהם! ותו, אריא וגנבי בידי אדם נינהו? והאמר רב יוסף, וכן תני רבי חייא: מיום שחרב בית המקדש, אף על פי שבטלו סנהדרין, ארבע מיתות לא בטלו; לא בטלו? הא בטלו להו! אלא, </w:t>
      </w:r>
    </w:p>
    <w:p w14:paraId="7A784284" w14:textId="77777777" w:rsidR="00127B78" w:rsidRDefault="00127B78" w:rsidP="00127B78">
      <w:pPr>
        <w:rPr>
          <w:rStyle w:val="Style1Char"/>
          <w:color w:val="00B050"/>
          <w:rtl/>
        </w:rPr>
      </w:pPr>
      <w:r>
        <w:rPr>
          <w:rStyle w:val="Style1Char"/>
          <w:color w:val="00B050"/>
          <w:rtl/>
        </w:rPr>
        <w:br w:type="page"/>
      </w:r>
    </w:p>
    <w:p w14:paraId="729CB843"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 עמוד ב]</w:t>
      </w:r>
      <w:r w:rsidRPr="00936EC6">
        <w:rPr>
          <w:rStyle w:val="Style1Char"/>
          <w:color w:val="00B050"/>
          <w:sz w:val="22"/>
          <w:szCs w:val="22"/>
          <w:rtl/>
        </w:rPr>
        <w:t xml:space="preserve"> </w:t>
      </w:r>
      <w:r w:rsidRPr="00B32DE1">
        <w:rPr>
          <w:rStyle w:val="Style1Char"/>
          <w:color w:val="00B050"/>
          <w:rtl/>
        </w:rPr>
        <w:t xml:space="preserve">דין ארבע מיתות לא בטלו, מי שנתחייב סקילה - או נופל מן הגג או חיה דורסתו, ומי שנתחייב שריפה - או נופל בדליקה או נחש מכישו, ומי שנתחייב הריגה - או נמסר למלכות או ליסטים באין עליו, ומי שנתחייב חנק - או טובע בנהר או מת בסרונכי! אלא איפוך: אריא וגנבי בידי שמים, צינים ופחים בידי אדם. רבא אמר, טעמא דרבי נחוניא בן הקנה מהכא: ואם העלם יעלימו עם הארץ את עיניהם מן האיש ההוא בתתו מזרעו למולך... ושמתי אני את פני באיש ההוא ובמשפחתו והכרתי אותו, אמרה תורה: כרת שלי כמיתה שלכם, מה מיתה שלכם פטור מן התשלומין, אף כרת שלי פטור מן התשלומין. מאי איכא בין רבא לאביי? איכא בינייהו זר שאכל תרומה, לאביי </w:t>
      </w:r>
      <w:r>
        <w:rPr>
          <w:rStyle w:val="Style1Char"/>
          <w:rFonts w:hint="cs"/>
          <w:rtl/>
        </w:rPr>
        <w:t>(1)</w:t>
      </w:r>
      <w:r w:rsidRPr="00B32DE1">
        <w:rPr>
          <w:rStyle w:val="Style1Char"/>
          <w:color w:val="00B050"/>
          <w:rtl/>
        </w:rPr>
        <w:t xml:space="preserve">פטור, ולרבא חייב. ולאביי פטור? והאמר רב חסדא: מודה ר' נחוניא בן הקנה, </w:t>
      </w:r>
      <w:r>
        <w:rPr>
          <w:rStyle w:val="Style1Char"/>
          <w:rFonts w:hint="cs"/>
          <w:rtl/>
        </w:rPr>
        <w:t>(2)</w:t>
      </w:r>
      <w:r w:rsidRPr="00B32DE1">
        <w:rPr>
          <w:rStyle w:val="Style1Char"/>
          <w:color w:val="00B050"/>
          <w:rtl/>
        </w:rPr>
        <w:t xml:space="preserve">בגונב חלבו של חבירו ואכלו - שהוא חייב, שכבר נתחייב בגניבה קודם שבא לידי איסור חלב; אלמא דמעידנא דאגביה קנייה, מתחייב בנפשו לא הוה עד דאכיל ליה, הכא נמי בעידנא דאגביה קנייה, מתחייב בנפשו לא הוי עד דאכיל ליה! הכא במאי עסקינן - כגון שתחב לו חבירו לתוך פיו. סוף סוף כיון דלעסיה קנייה, מתחייב בנפשו לא הוי עד דבלעה! כגון שתחב לו לתוך בית הבליעה. היכי דמי? אי דמצי לאהדורה, ניהדר! אי לא מצי לאהדורה, אמאי חייב? לא צריכא, דמצי לאהדורה ע"י הדחק. רב פפא אמר: כגון שתחב לו חבירו משקין של תרומה לתוך פיו. רב אשי אמר: בזר שאכל תרומה משלו </w:t>
      </w:r>
    </w:p>
    <w:p w14:paraId="0155DB5A" w14:textId="30115297" w:rsidR="00127B78" w:rsidRDefault="00127B78" w:rsidP="00127B78">
      <w:pPr>
        <w:pStyle w:val="Style1"/>
        <w:rPr>
          <w:rStyle w:val="Style1Char"/>
          <w:rtl/>
        </w:rPr>
      </w:pPr>
      <w:r>
        <w:rPr>
          <w:rStyle w:val="Style1Char"/>
          <w:rFonts w:hint="cs"/>
          <w:rtl/>
        </w:rPr>
        <w:t>1)[</w:t>
      </w:r>
      <w:r w:rsidRPr="00512EFE">
        <w:rPr>
          <w:rStyle w:val="Style1Char"/>
          <w:rtl/>
        </w:rPr>
        <w:t>רמב</w:t>
      </w:r>
      <w:r w:rsidR="00786216">
        <w:rPr>
          <w:rStyle w:val="Style1Char"/>
          <w:rtl/>
        </w:rPr>
        <w:t>”ם \זרעים\</w:t>
      </w:r>
      <w:r w:rsidRPr="00512EFE">
        <w:rPr>
          <w:rStyle w:val="Style1Char"/>
          <w:rtl/>
        </w:rPr>
        <w:t xml:space="preserve"> הלכות תרומות פרק ו הלכה ו</w:t>
      </w:r>
      <w:r>
        <w:rPr>
          <w:rStyle w:val="Style1Char"/>
          <w:rFonts w:hint="cs"/>
          <w:rtl/>
        </w:rPr>
        <w:t xml:space="preserve">] </w:t>
      </w:r>
      <w:r w:rsidRPr="00512EFE">
        <w:rPr>
          <w:rStyle w:val="Style1Char"/>
          <w:rtl/>
        </w:rPr>
        <w:t>זר שאכל תרומה בזדון, בין שהיה טמא בין שהיה טהור בין שאכל תרומה טהורה בין שאכל טמאה חייב מיתה בידי שמים שנאמר ומתו בו כי יחללוהו, ולוקה על אכילתה, ואינו משלם דמי מה שאכל שאינו לוקה ומשלם, ואם אכל בשגגה מוסיף חומש שנאמר ואיש כי יאכל קדש בשגגה ויסף חמישיתו וגו'.</w:t>
      </w:r>
    </w:p>
    <w:p w14:paraId="55CCCCA8" w14:textId="0B47BF57" w:rsidR="00127B78" w:rsidRDefault="00127B78" w:rsidP="00127B78">
      <w:pPr>
        <w:pStyle w:val="Style1"/>
        <w:rPr>
          <w:rStyle w:val="Style1Char"/>
          <w:rtl/>
        </w:rPr>
      </w:pPr>
      <w:r>
        <w:rPr>
          <w:rStyle w:val="Style1Char"/>
          <w:rFonts w:hint="cs"/>
          <w:rtl/>
        </w:rPr>
        <w:t>2)[</w:t>
      </w:r>
      <w:r w:rsidRPr="00EF04AF">
        <w:rPr>
          <w:rStyle w:val="Style1Char"/>
          <w:rtl/>
        </w:rPr>
        <w:t>רמב</w:t>
      </w:r>
      <w:r w:rsidR="005258D6">
        <w:rPr>
          <w:rStyle w:val="Style1Char"/>
          <w:rtl/>
        </w:rPr>
        <w:t>”ם \נזיקין\</w:t>
      </w:r>
      <w:r w:rsidRPr="00EF04AF">
        <w:rPr>
          <w:rStyle w:val="Style1Char"/>
          <w:rtl/>
        </w:rPr>
        <w:t xml:space="preserve"> הלכות גניבה פרק ב הלכה ד</w:t>
      </w:r>
      <w:r>
        <w:rPr>
          <w:rStyle w:val="Style1Char"/>
          <w:rFonts w:hint="cs"/>
          <w:rtl/>
        </w:rPr>
        <w:t xml:space="preserve">] </w:t>
      </w:r>
      <w:r w:rsidRPr="00EF04AF">
        <w:rPr>
          <w:rStyle w:val="Style1Char"/>
          <w:rtl/>
        </w:rPr>
        <w:t>הגונב טבלו של חבירו ואכלו משלם לו דמי טבלו, וכן אם גנב חלבו ואכלו משלם לו דמי חלבו. /השגת הראב"ד/ הגונב טבלו של חברו ואכלו משלם לו דמי טבלו וכן הגונב חלבו ואכלו משלם לו דמי חלבו. א"א משלם לו כפל דמי טבלו וכן בחלבו משלם לו כפל דמי חלבו.</w:t>
      </w:r>
    </w:p>
    <w:p w14:paraId="2CD43561" w14:textId="77777777" w:rsidR="00127B78" w:rsidRPr="00512EFE" w:rsidRDefault="00127B78" w:rsidP="00127B78">
      <w:pPr>
        <w:pStyle w:val="Style1"/>
        <w:rPr>
          <w:rStyle w:val="Style1Char"/>
          <w:rtl/>
        </w:rPr>
      </w:pPr>
      <w:r>
        <w:rPr>
          <w:rStyle w:val="Style1Char"/>
          <w:rFonts w:hint="cs"/>
          <w:rtl/>
        </w:rPr>
        <w:t>2)[</w:t>
      </w:r>
      <w:r w:rsidRPr="00386A61">
        <w:rPr>
          <w:rStyle w:val="Style1Char"/>
          <w:rtl/>
        </w:rPr>
        <w:t>שולחן ערוך חושן משפט הלכות גניבה סימן שנ</w:t>
      </w:r>
      <w:r>
        <w:rPr>
          <w:rStyle w:val="Style1Char"/>
          <w:rFonts w:hint="cs"/>
          <w:rtl/>
        </w:rPr>
        <w:t xml:space="preserve">] </w:t>
      </w:r>
      <w:r w:rsidRPr="00386A61">
        <w:rPr>
          <w:rStyle w:val="Style1Char"/>
          <w:rtl/>
        </w:rPr>
        <w:t>גנב חלבו של חבירו ואכלו, משלם לו דמי חלבו.</w:t>
      </w:r>
    </w:p>
    <w:p w14:paraId="6410A234" w14:textId="77777777" w:rsidR="00127B78" w:rsidRDefault="00127B78" w:rsidP="00127B78">
      <w:pPr>
        <w:rPr>
          <w:rStyle w:val="Style1Char"/>
          <w:color w:val="00B050"/>
          <w:rtl/>
        </w:rPr>
      </w:pPr>
      <w:r>
        <w:rPr>
          <w:rStyle w:val="Style1Char"/>
          <w:color w:val="00B050"/>
          <w:rtl/>
        </w:rPr>
        <w:br w:type="page"/>
      </w:r>
    </w:p>
    <w:p w14:paraId="6D2B882B"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לא עמוד א]</w:t>
      </w:r>
      <w:r w:rsidRPr="00936EC6">
        <w:rPr>
          <w:rStyle w:val="Style1Char"/>
          <w:color w:val="00B050"/>
          <w:sz w:val="22"/>
          <w:szCs w:val="22"/>
          <w:rtl/>
        </w:rPr>
        <w:t xml:space="preserve"> </w:t>
      </w:r>
      <w:r w:rsidRPr="00B32DE1">
        <w:rPr>
          <w:rStyle w:val="Style1Char"/>
          <w:color w:val="00B050"/>
          <w:rtl/>
        </w:rPr>
        <w:t xml:space="preserve">וקרע שיראין של חבירו. גופא, אמר רב חסדא: מודה רבי נחוניא בן הקנה, בגונב חלבו של חבירו ואכלו - שהוא חייב, שכבר נתחייב בגנבה קודם שיבא לידי איסור חלב. לימא, פליגא דרבי אבין, דאמר רבי אבין: </w:t>
      </w:r>
      <w:r>
        <w:rPr>
          <w:rStyle w:val="Style1Char"/>
          <w:rFonts w:hint="cs"/>
          <w:rtl/>
        </w:rPr>
        <w:t>(1)</w:t>
      </w:r>
      <w:r w:rsidRPr="00B32DE1">
        <w:rPr>
          <w:rStyle w:val="Style1Char"/>
          <w:color w:val="00B050"/>
          <w:rtl/>
        </w:rPr>
        <w:t xml:space="preserve">הזורק חץ מתחילת ארבע לסוף ארבע וקרע שיראין בהליכתו - פטור, שעקירה צורך הנחה היא, הכא נמי הגבהה צורך אכילה היא! הכי השתא, התם אי אפשר להנחה בלא עקירה, הכא אפשר לאכילה בלא הגבהה, דאי בעי גחין ואכיל; אי נמי, התם אי בעי לאהדורה לא מצי מהדר לה, הכא מצי מהדר לה. מאי איכא בין האי לישנא להאי לישנא? איכא בינייהו: המעביר סכין ברה"ר וקרע שיראין בהליכתו, להך לישנא דאמרת אי אפשר להנחה בלא עקירה, הכא נמי אי אפשר להנחה בלא עקירה; להך לישנא דאמרת לא מצי מהדר לה, הכא מצי מהדר לה. גופא, אמר רבי אבין: הזורק חץ מתחלת ארבע לסוף ארבע וקרע שיראין בהליכתו - פטור, שעקירה צורך הנחה היא. מתיב רב ביבי בר אביי: </w:t>
      </w:r>
      <w:r>
        <w:rPr>
          <w:rStyle w:val="Style1Char"/>
          <w:rFonts w:hint="cs"/>
          <w:rtl/>
        </w:rPr>
        <w:t>(1, 2)</w:t>
      </w:r>
      <w:r w:rsidRPr="00B32DE1">
        <w:rPr>
          <w:rStyle w:val="Style1Char"/>
          <w:color w:val="00B050"/>
          <w:rtl/>
        </w:rPr>
        <w:t xml:space="preserve">הגונב כיס בשבת - חייב, שכבר נתחייב בגניבה קודם שיבא לידי איסור סקילה; </w:t>
      </w:r>
      <w:r>
        <w:rPr>
          <w:rStyle w:val="Style1Char"/>
          <w:rFonts w:hint="cs"/>
          <w:rtl/>
        </w:rPr>
        <w:t>(1, 2)</w:t>
      </w:r>
      <w:r w:rsidRPr="00B32DE1">
        <w:rPr>
          <w:rStyle w:val="Style1Char"/>
          <w:color w:val="00B050"/>
          <w:rtl/>
        </w:rPr>
        <w:t xml:space="preserve">היה מגרר ויוצא מגרר ויוצא - פטור, שהרי איסור שבת וגניבה באין כאחד; ואמאי? הכא נמי לימא הגבהה צורך הוצאה היא! הכא במאי עסקינן - כגון שהגביהו על מנת להצניעו, ונמלך עליו והוציאו. וכי האי גוונא מי חייב? והאמר רב סימון אמר רבי אמי אמר רבי יוחנן: </w:t>
      </w:r>
      <w:r>
        <w:rPr>
          <w:rStyle w:val="Style1Char"/>
          <w:rFonts w:hint="cs"/>
          <w:rtl/>
        </w:rPr>
        <w:t>(3)</w:t>
      </w:r>
      <w:r w:rsidRPr="00B32DE1">
        <w:rPr>
          <w:rStyle w:val="Style1Char"/>
          <w:color w:val="00B050"/>
          <w:rtl/>
        </w:rPr>
        <w:t xml:space="preserve">המפנה חפצים מזוית לזוית, ונמלך עליהם והוציאן - פטור, שלא היתה עקירה משעה ראשונה לכך! לא תימא ע"מ להצניעו אלא אימא ע"מ להוציאו, הכא במאי עסקינן - </w:t>
      </w:r>
      <w:r>
        <w:rPr>
          <w:rStyle w:val="Style1Char"/>
          <w:rFonts w:hint="cs"/>
          <w:rtl/>
        </w:rPr>
        <w:t>(3)</w:t>
      </w:r>
      <w:r w:rsidRPr="00B32DE1">
        <w:rPr>
          <w:rStyle w:val="Style1Char"/>
          <w:color w:val="00B050"/>
          <w:rtl/>
        </w:rPr>
        <w:t xml:space="preserve">כשעמד. עמד למאי? אי לכתף, אורחיה הוא! אלא בעומד לפוש. אבל לכתף מאי? </w:t>
      </w:r>
    </w:p>
    <w:p w14:paraId="3A13CD50" w14:textId="1C0E7D70" w:rsidR="00127B78" w:rsidRDefault="00127B78" w:rsidP="00127B78">
      <w:pPr>
        <w:pStyle w:val="Style1"/>
        <w:rPr>
          <w:rStyle w:val="Style1Char"/>
          <w:rtl/>
        </w:rPr>
      </w:pPr>
      <w:r>
        <w:rPr>
          <w:rStyle w:val="Style1Char"/>
          <w:rFonts w:hint="cs"/>
          <w:rtl/>
        </w:rPr>
        <w:t>1)[</w:t>
      </w:r>
      <w:r w:rsidRPr="00E11E65">
        <w:rPr>
          <w:rStyle w:val="Style1Char"/>
          <w:rtl/>
        </w:rPr>
        <w:t>רמב</w:t>
      </w:r>
      <w:r w:rsidR="005258D6">
        <w:rPr>
          <w:rStyle w:val="Style1Char"/>
          <w:rtl/>
        </w:rPr>
        <w:t>”ם \נזיקין\</w:t>
      </w:r>
      <w:r w:rsidRPr="00E11E65">
        <w:rPr>
          <w:rStyle w:val="Style1Char"/>
          <w:rtl/>
        </w:rPr>
        <w:t xml:space="preserve"> הלכות גניבה פרק ג הלכה ב</w:t>
      </w:r>
      <w:r>
        <w:rPr>
          <w:rStyle w:val="Style1Char"/>
          <w:rFonts w:hint="cs"/>
          <w:rtl/>
        </w:rPr>
        <w:t xml:space="preserve">] </w:t>
      </w:r>
      <w:r w:rsidRPr="00E11E65">
        <w:rPr>
          <w:rStyle w:val="Style1Char"/>
          <w:rtl/>
        </w:rPr>
        <w:t>כיצד, זרק חץ בשבת מתחלת ארבע לסוף ארבע וקרע בגד חבירו בהליכתו, או שהדליק גדיש חבירו בשבת, או שגנב כיס בשבת והיה מגררו עד שהוציאו מרשות הבעלים שהיא רשות היחיד לרשות הרבים ואבדו שם, הרי זה פטור מן התשלומין שאיסור שבת ואיסור גניבה והזק באין כאחת. אבל אם גנב כיס בשבת והגביהו שם ברשות היחיד ואחר כך הוציאו לרשות הרבים והשליכו לנהר חייב לשלם תשלומי כפל שהרי נתחייב באיסור גניבה קודם שיתחייב באיסור סקילה וכן כל כיוצא בזה. וכן אם קצץ אילן חבירו ביום טוב והתרו בו, או שהדליק את הגדיש ביום הכפורים והתרו בו, או גנב וטבח ביום הכפורים והתרו בו, פטור מן התשלומין, אבל אם לא התרו בו חייב בתשלומין ומשלם תשלומי ארבעה וחמשה.</w:t>
      </w:r>
    </w:p>
    <w:p w14:paraId="24B83AEC" w14:textId="77777777" w:rsidR="00127B78" w:rsidRPr="004C1423" w:rsidRDefault="00127B78" w:rsidP="00127B78">
      <w:pPr>
        <w:pStyle w:val="Style1"/>
      </w:pPr>
      <w:r>
        <w:rPr>
          <w:rStyle w:val="Style1Char"/>
          <w:rFonts w:hint="cs"/>
          <w:rtl/>
        </w:rPr>
        <w:t>2)[</w:t>
      </w:r>
      <w:r w:rsidRPr="000E59EA">
        <w:rPr>
          <w:rStyle w:val="Style1Char"/>
          <w:rtl/>
        </w:rPr>
        <w:t>שולחן ערוך חושן משפט הלכות גניבה סימן שנא</w:t>
      </w:r>
      <w:r>
        <w:rPr>
          <w:rStyle w:val="Style1Char"/>
          <w:rFonts w:hint="cs"/>
          <w:rtl/>
        </w:rPr>
        <w:t xml:space="preserve">] </w:t>
      </w:r>
      <w:r w:rsidRPr="004C1423">
        <w:rPr>
          <w:rtl/>
        </w:rPr>
        <w:t>יש גנב שפטור מלשלם ואיזה? זה שבא עם התשלומין חיוב מיתה כגון הגונב כיס בשבת ולא הגביהו ברשות הבעלים אלא היה מגררו ומוציאו מרשות הבעלים לרשות הרבים ואבדו שם </w:t>
      </w:r>
      <w:r w:rsidRPr="004C1423">
        <w:rPr>
          <w:rFonts w:hint="cs"/>
          <w:rtl/>
        </w:rPr>
        <w:t>הגה: אבל אם אבדו אח"כ חייב וכ"ש אם עדיין הוא בעין שחייב להחזירו (טור והמ"מ פ"ג דגניבה בשם י"מ ורמ"ה והרמב"ן ז"ל). וי"א שאם אינו בעין בכל ענין פטור מלשלם (המגיד פרק ג' דגניבה ובשם רש"י והרמב"ם)</w:t>
      </w:r>
      <w:r w:rsidRPr="004C1423">
        <w:rPr>
          <w:rtl/>
        </w:rPr>
        <w:t> </w:t>
      </w:r>
      <w:r w:rsidRPr="004C1423">
        <w:t xml:space="preserve">-- </w:t>
      </w:r>
      <w:r w:rsidRPr="004C1423">
        <w:rPr>
          <w:rtl/>
        </w:rPr>
        <w:t>הרי זה פטור מתשלומין שאיסור שבת ואיסור גניבה והיזק באים כאחד</w:t>
      </w:r>
      <w:r w:rsidRPr="004C1423">
        <w:t>.</w:t>
      </w:r>
    </w:p>
    <w:p w14:paraId="4AB946CD" w14:textId="77777777" w:rsidR="00127B78" w:rsidRDefault="00127B78" w:rsidP="00127B78">
      <w:pPr>
        <w:pStyle w:val="Style1"/>
        <w:rPr>
          <w:rtl/>
        </w:rPr>
      </w:pPr>
      <w:r w:rsidRPr="004C1423">
        <w:rPr>
          <w:rtl/>
        </w:rPr>
        <w:t>אבל אם גנב כיס בשבת והגביהו שם ברשות היחיד ואח"כ הוציאו לרשות הרבים והשליכו לנהר -- חייב לשלם שהרי נתחייב באיסור גניבה קודם שיתחייב באיסור סקילה וכן כל כיוצא בזה</w:t>
      </w:r>
      <w:r w:rsidRPr="004C1423">
        <w:t>:</w:t>
      </w:r>
    </w:p>
    <w:p w14:paraId="40DE02DC" w14:textId="5BB14A67" w:rsidR="00127B78" w:rsidRPr="004C1423" w:rsidRDefault="00127B78" w:rsidP="00127B78">
      <w:pPr>
        <w:pStyle w:val="Style1"/>
      </w:pPr>
      <w:r>
        <w:rPr>
          <w:rFonts w:hint="cs"/>
          <w:rtl/>
        </w:rPr>
        <w:t>3)[</w:t>
      </w:r>
      <w:r>
        <w:rPr>
          <w:rtl/>
        </w:rPr>
        <w:t>רמב</w:t>
      </w:r>
      <w:r w:rsidR="00C764B2">
        <w:rPr>
          <w:rtl/>
        </w:rPr>
        <w:t>”ם \זמנים\</w:t>
      </w:r>
      <w:r>
        <w:rPr>
          <w:rtl/>
        </w:rPr>
        <w:t xml:space="preserve"> הלכות שבת פרק יג הלכה יב</w:t>
      </w:r>
      <w:r>
        <w:rPr>
          <w:rFonts w:hint="cs"/>
          <w:rtl/>
        </w:rPr>
        <w:t xml:space="preserve">] </w:t>
      </w:r>
      <w:r>
        <w:rPr>
          <w:rtl/>
        </w:rPr>
        <w:t>עקר חפץ מזוית זו להניחו בזוית אחרת שנמצאת זו העקירה עקירה המותרת ונמלך בדרך והוציאו לרשות שניה פטור, מפני שלא היתה עקירה ראשונה לכך ונמצאת כאן הנחה בלא עקירה, וכן העוקר חפץ והניחו על חבירו כשהוא מהלך ובעת שירצה חבירו לעמוד נטלו מעל גבי חבירו הרי זה פטור שהרי יש כאן עקירה בלא הנחה.</w:t>
      </w:r>
    </w:p>
    <w:p w14:paraId="20208A57" w14:textId="77777777" w:rsidR="00127B78" w:rsidRPr="004C1423" w:rsidRDefault="00127B78" w:rsidP="00127B78">
      <w:pPr>
        <w:pStyle w:val="Style1"/>
        <w:rPr>
          <w:rStyle w:val="Style1Char"/>
        </w:rPr>
      </w:pPr>
    </w:p>
    <w:p w14:paraId="1B67EBF9" w14:textId="77777777" w:rsidR="00127B78" w:rsidRPr="00E11E65" w:rsidRDefault="00127B78" w:rsidP="00127B78">
      <w:pPr>
        <w:pStyle w:val="Style1"/>
        <w:rPr>
          <w:rStyle w:val="Style1Char"/>
          <w:rtl/>
        </w:rPr>
      </w:pPr>
    </w:p>
    <w:p w14:paraId="7CD4640E" w14:textId="77777777" w:rsidR="00127B78" w:rsidRPr="00E11E65" w:rsidRDefault="00127B78" w:rsidP="00127B78">
      <w:pPr>
        <w:pStyle w:val="Style1"/>
        <w:bidi w:val="0"/>
        <w:rPr>
          <w:rStyle w:val="Style1Char"/>
          <w:rtl/>
        </w:rPr>
      </w:pPr>
      <w:r w:rsidRPr="00E11E65">
        <w:rPr>
          <w:rStyle w:val="Style1Char"/>
          <w:rtl/>
        </w:rPr>
        <w:br w:type="page"/>
      </w:r>
    </w:p>
    <w:p w14:paraId="7B0F5A8E" w14:textId="77777777" w:rsidR="00127B78" w:rsidRPr="00B32DE1" w:rsidRDefault="00127B78" w:rsidP="00127B78">
      <w:pPr>
        <w:bidi/>
        <w:rPr>
          <w:rStyle w:val="Style1Char"/>
          <w:color w:val="00B050"/>
        </w:rPr>
      </w:pPr>
      <w:r w:rsidRPr="00936EC6">
        <w:rPr>
          <w:rStyle w:val="Style1Char"/>
          <w:color w:val="00B050"/>
          <w:sz w:val="22"/>
          <w:szCs w:val="22"/>
          <w:highlight w:val="yellow"/>
          <w:rtl/>
        </w:rPr>
        <w:lastRenderedPageBreak/>
        <w:t>[דף לא עמוד ב]</w:t>
      </w:r>
      <w:r w:rsidRPr="00936EC6">
        <w:rPr>
          <w:rStyle w:val="Style1Char"/>
          <w:color w:val="00B050"/>
          <w:sz w:val="22"/>
          <w:szCs w:val="22"/>
          <w:rtl/>
        </w:rPr>
        <w:t xml:space="preserve"> </w:t>
      </w:r>
      <w:r w:rsidRPr="00B32DE1">
        <w:rPr>
          <w:rStyle w:val="Style1Char"/>
          <w:color w:val="00B050"/>
          <w:rtl/>
        </w:rPr>
        <w:t xml:space="preserve">פטור, אדתני: היה מגרר ויוצא מגרר ויוצא - פטור, נפלוג וניתני בדידה: במה דברי' אמורים - בעומד לפוש, אבל לכתף - פטור! אלא, הא מני? בן עזאי היא, דאמר: מהלך כעומד דמי. אבל זורק מאי? פטור, ניפלוג [וניתני] בדידה: במה דברים אמורים - במהלך, אבל זורק - פטור! מגרר ויוצא איצטריכא ליה, ס"ד אמינא אין דרך הוצאה בכך, קמ"ל. ובמאי? אי ברברבי, אורחיה הוא! אי בזוטרי, לאו אורחיה הוא! אלא במיצעי. ודאפקיה להיכא? אי דאפקיה לרה"ר, איסור שבת איכא, איסור גניבה ליכא! אי דאפקיה לרשות היחיד, איסור גניבה איכא, איסור שבת ליכא! לא צריכא, דאפקיה לצידי רשות הרבים. וכמאן? אי כר' אליעזר, דאמר: צידי רה"ר כרה"ר דמו, איסור שבת איכא, איסור גניבה ליכא! אי כרבנן, דאמרי: צידי רה"ר לאו כרה"ר דמו, איסור גניבה איכא, איסור שבת ליכא! לעולם כר' אליעזר, וכי אמר ר"א צידי רה"ר כרה"ר דמו - הני מילי לענין חיובא דשבת, דזימנין דדחקי רבים ועיילי להתם, </w:t>
      </w:r>
      <w:r>
        <w:rPr>
          <w:rStyle w:val="Style1Char"/>
          <w:rFonts w:hint="cs"/>
          <w:rtl/>
        </w:rPr>
        <w:t>(1)</w:t>
      </w:r>
      <w:r w:rsidRPr="00B32DE1">
        <w:rPr>
          <w:rStyle w:val="Style1Char"/>
          <w:color w:val="00B050"/>
          <w:rtl/>
        </w:rPr>
        <w:t xml:space="preserve">אבל לענין מיקנא - קני, מ"ט? דהא לא שכיחי רבים. רב אשי אמר: כגון שצירף ידו למטה משלשה וקיבלו, כדרבא, דאמר רבא: </w:t>
      </w:r>
      <w:r>
        <w:rPr>
          <w:rStyle w:val="Style1Char"/>
          <w:rFonts w:hint="cs"/>
          <w:rtl/>
        </w:rPr>
        <w:t>(2)</w:t>
      </w:r>
      <w:r w:rsidRPr="00B32DE1">
        <w:rPr>
          <w:rStyle w:val="Style1Char"/>
          <w:color w:val="00B050"/>
          <w:rtl/>
        </w:rPr>
        <w:t xml:space="preserve">ידו של אדם חשובה לו כארבעה על ארבעה. רב אחא מתני הכי. רבינא מתני: לעולם דאפקיה לרה"ר, </w:t>
      </w:r>
      <w:r>
        <w:rPr>
          <w:rStyle w:val="Style1Char"/>
          <w:rFonts w:hint="cs"/>
          <w:rtl/>
        </w:rPr>
        <w:t>(3)</w:t>
      </w:r>
      <w:r w:rsidRPr="00B32DE1">
        <w:rPr>
          <w:rStyle w:val="Style1Char"/>
          <w:color w:val="00B050"/>
          <w:rtl/>
        </w:rPr>
        <w:t xml:space="preserve">וברה"ר נמי קנה. ותרוייהו בדיוקא דהא מתני' קמיפלגי, דתנן: </w:t>
      </w:r>
      <w:r>
        <w:rPr>
          <w:rStyle w:val="Style1Char"/>
          <w:rFonts w:hint="cs"/>
          <w:rtl/>
        </w:rPr>
        <w:t>(4)</w:t>
      </w:r>
      <w:r w:rsidRPr="00B32DE1">
        <w:rPr>
          <w:rStyle w:val="Style1Char"/>
          <w:color w:val="00B050"/>
          <w:rtl/>
        </w:rPr>
        <w:t xml:space="preserve">היה מושכו ויוצא ומת ברשות בעלים - פטור, הגביהו או שהוציאו מרשות בעלים ומת - חייב; רבינא דייק מרישא, רב אחא דייק מסיפא. רבינא דייק מרישא: היה מושכו ויוצא ומת ברשות בעלים - פטור, טעמא דמת ברשות בעלים, </w:t>
      </w:r>
      <w:r>
        <w:rPr>
          <w:rStyle w:val="Style1Char"/>
          <w:rFonts w:hint="cs"/>
          <w:rtl/>
        </w:rPr>
        <w:t>(4)</w:t>
      </w:r>
      <w:r w:rsidRPr="00B32DE1">
        <w:rPr>
          <w:rStyle w:val="Style1Char"/>
          <w:color w:val="00B050"/>
          <w:rtl/>
        </w:rPr>
        <w:t xml:space="preserve">הא הוציאו מרשות בעלים ומת - חייב; רב אחא דייק מסיפא: הגביהו או שהוציאו, הוצאה דומיא דהגבהה מה הגבהה דאתי לרשותיה, אף הוצאה נמי דאתי לרשותיה. לרב אחא קשיא רישא, לרבינא קשיא סיפא! רישא לרב אחא לא קשיא, כמה דלא אתי לרשותיה - רשות בעלים קרינא ביה; סיפא לרבינא לא קשיא, הוצאה דומיא דהגבהה לא אמרינן. </w:t>
      </w:r>
    </w:p>
    <w:p w14:paraId="1711E1F7" w14:textId="77777777" w:rsidR="00127B78" w:rsidRDefault="00127B78" w:rsidP="00127B78">
      <w:pPr>
        <w:bidi/>
        <w:rPr>
          <w:rStyle w:val="Style1Char"/>
          <w:color w:val="00B050"/>
          <w:rtl/>
        </w:rPr>
      </w:pPr>
      <w:r w:rsidRPr="00B32DE1">
        <w:rPr>
          <w:rStyle w:val="Style1Char"/>
          <w:color w:val="00B050"/>
          <w:rtl/>
        </w:rPr>
        <w:t xml:space="preserve">הבא על אחותו, ועל אחות אביו כו'. ורמינהו, </w:t>
      </w:r>
      <w:r>
        <w:rPr>
          <w:rStyle w:val="Style1Char"/>
          <w:rFonts w:hint="cs"/>
          <w:rtl/>
        </w:rPr>
        <w:t>(5)</w:t>
      </w:r>
      <w:r w:rsidRPr="00B32DE1">
        <w:rPr>
          <w:rStyle w:val="Style1Char"/>
          <w:color w:val="00B050"/>
          <w:rtl/>
        </w:rPr>
        <w:t xml:space="preserve">אלו הן הלוקין: הבא על אחותו, ועל אחות אביו, ועל אחות אמו, ועל אחות אשתו, ועל אשת אחיו, ועל אשת אחי אביו, ועל הנדה; </w:t>
      </w:r>
    </w:p>
    <w:p w14:paraId="24167542" w14:textId="249F1735" w:rsidR="00127B78" w:rsidRDefault="00127B78" w:rsidP="00127B78">
      <w:pPr>
        <w:pStyle w:val="Style1"/>
        <w:rPr>
          <w:rStyle w:val="Style1Char"/>
          <w:rtl/>
        </w:rPr>
      </w:pPr>
      <w:r>
        <w:rPr>
          <w:rStyle w:val="Style1Char"/>
          <w:rFonts w:hint="cs"/>
          <w:rtl/>
        </w:rPr>
        <w:t>1)[</w:t>
      </w:r>
      <w:r w:rsidRPr="00251B42">
        <w:rPr>
          <w:rStyle w:val="Style1Char"/>
          <w:rtl/>
        </w:rPr>
        <w:t>רמב</w:t>
      </w:r>
      <w:r w:rsidR="00786216">
        <w:rPr>
          <w:rStyle w:val="Style1Char"/>
          <w:rtl/>
        </w:rPr>
        <w:t>”ם \מכירה\</w:t>
      </w:r>
      <w:r w:rsidRPr="00251B42">
        <w:rPr>
          <w:rStyle w:val="Style1Char"/>
          <w:rtl/>
        </w:rPr>
        <w:t xml:space="preserve"> הלכות מכירה פרק ד הלכה ד</w:t>
      </w:r>
      <w:r>
        <w:rPr>
          <w:rStyle w:val="Style1Char"/>
          <w:rFonts w:hint="cs"/>
          <w:rtl/>
        </w:rPr>
        <w:t xml:space="preserve">] </w:t>
      </w:r>
      <w:r w:rsidRPr="00251B42">
        <w:rPr>
          <w:rStyle w:val="Style1Char"/>
          <w:rtl/>
        </w:rPr>
        <w:t>דבר הנקנה במשיכה אם היה ברשות הרבים ומשכו הלוקח לרשותו או לסימטא, כיון שהוציא מקצת החפץ מרשות הרבים קנה.</w:t>
      </w:r>
    </w:p>
    <w:p w14:paraId="0C9D251E" w14:textId="77777777" w:rsidR="00127B78" w:rsidRDefault="00127B78" w:rsidP="00127B78">
      <w:pPr>
        <w:pStyle w:val="Style1"/>
        <w:rPr>
          <w:rStyle w:val="Style1Char"/>
          <w:rtl/>
        </w:rPr>
      </w:pPr>
      <w:r>
        <w:rPr>
          <w:rStyle w:val="Style1Char"/>
          <w:rFonts w:hint="cs"/>
          <w:rtl/>
        </w:rPr>
        <w:t>1)[</w:t>
      </w:r>
      <w:r w:rsidRPr="00D231E4">
        <w:rPr>
          <w:rStyle w:val="Style1Char"/>
          <w:rtl/>
        </w:rPr>
        <w:t>שולחן ערוך חושן משפט הלכות מקח וממכר סימן קצח סעיף יד</w:t>
      </w:r>
      <w:r>
        <w:rPr>
          <w:rStyle w:val="Style1Char"/>
          <w:rFonts w:hint="cs"/>
          <w:rtl/>
        </w:rPr>
        <w:t xml:space="preserve">] </w:t>
      </w:r>
      <w:r w:rsidRPr="00D231E4">
        <w:rPr>
          <w:rStyle w:val="Style1Char"/>
          <w:rtl/>
        </w:rPr>
        <w:t>דבר הנקנה במשיכה שהיה בר"ה או בחצר שאינה של שניהם, ומשכו הלוקח לרשותו או לסימטא, כיון שהוציא מקצתו מר"ה או מרשות שאינה של שניהם, קנה, מאחר שמשכו כולו והוציאו מכל המקום שהיה בו.</w:t>
      </w:r>
    </w:p>
    <w:p w14:paraId="03A5B5F6" w14:textId="4124BC56" w:rsidR="00127B78" w:rsidRDefault="00127B78" w:rsidP="00127B78">
      <w:pPr>
        <w:pStyle w:val="Style1"/>
        <w:rPr>
          <w:rStyle w:val="Style1Char"/>
          <w:rtl/>
        </w:rPr>
      </w:pPr>
      <w:r>
        <w:rPr>
          <w:rStyle w:val="Style1Char"/>
          <w:rFonts w:hint="cs"/>
          <w:rtl/>
        </w:rPr>
        <w:t>2)[</w:t>
      </w:r>
      <w:r w:rsidRPr="007F41F0">
        <w:rPr>
          <w:rStyle w:val="Style1Char"/>
          <w:rtl/>
        </w:rPr>
        <w:t>רמב</w:t>
      </w:r>
      <w:r w:rsidR="00C764B2">
        <w:rPr>
          <w:rStyle w:val="Style1Char"/>
          <w:rtl/>
        </w:rPr>
        <w:t>”ם \זמנים\</w:t>
      </w:r>
      <w:r w:rsidRPr="007F41F0">
        <w:rPr>
          <w:rStyle w:val="Style1Char"/>
          <w:rtl/>
        </w:rPr>
        <w:t xml:space="preserve"> הלכות שבת פרק יג הלכה טו</w:t>
      </w:r>
      <w:r>
        <w:rPr>
          <w:rStyle w:val="Style1Char"/>
          <w:rFonts w:hint="cs"/>
          <w:rtl/>
        </w:rPr>
        <w:t xml:space="preserve">] </w:t>
      </w:r>
      <w:r w:rsidRPr="007F41F0">
        <w:rPr>
          <w:rStyle w:val="Style1Char"/>
          <w:rtl/>
        </w:rPr>
        <w:t>הזורק ונחה בתוך ידו של חבירו, אם עמד חבירו במקומו וקבלה הזורק חייב שהרי עקר והניח, ואם נעקר חבירו ממקומו וקבלה פטור, זרק ורץ הזורק עצמו אחר החפץ וקבלו בידו ברשות אחרת או חוץ לארבע אמות פטור כאילו נעקר אחר וקבלו, שאין ההנחה גמורה עד שינוח החפץ במקום שהיה לו לנוח בו בשעת עקירה.</w:t>
      </w:r>
    </w:p>
    <w:p w14:paraId="07424B7A" w14:textId="54BFEC90" w:rsidR="00127B78" w:rsidRDefault="00127B78" w:rsidP="00127B78">
      <w:pPr>
        <w:pStyle w:val="Style1"/>
        <w:rPr>
          <w:rStyle w:val="Style1Char"/>
          <w:rtl/>
        </w:rPr>
      </w:pPr>
      <w:r>
        <w:rPr>
          <w:rStyle w:val="Style1Char"/>
          <w:rFonts w:hint="cs"/>
          <w:rtl/>
        </w:rPr>
        <w:t>3)[</w:t>
      </w:r>
      <w:r w:rsidRPr="00E11E65">
        <w:rPr>
          <w:rStyle w:val="Style1Char"/>
          <w:rtl/>
        </w:rPr>
        <w:t>רמב</w:t>
      </w:r>
      <w:r w:rsidR="005258D6">
        <w:rPr>
          <w:rStyle w:val="Style1Char"/>
          <w:rtl/>
        </w:rPr>
        <w:t>”ם \נזיקין\</w:t>
      </w:r>
      <w:r w:rsidRPr="00E11E65">
        <w:rPr>
          <w:rStyle w:val="Style1Char"/>
          <w:rtl/>
        </w:rPr>
        <w:t xml:space="preserve"> הלכות גניבה פרק ג הלכה ב</w:t>
      </w:r>
      <w:r>
        <w:rPr>
          <w:rStyle w:val="Style1Char"/>
          <w:rFonts w:hint="cs"/>
          <w:rtl/>
        </w:rPr>
        <w:t xml:space="preserve">] </w:t>
      </w:r>
      <w:r w:rsidRPr="00E11E65">
        <w:rPr>
          <w:rStyle w:val="Style1Char"/>
          <w:rtl/>
        </w:rPr>
        <w:t>כיצד, זרק חץ בשבת מתחלת ארבע לסוף ארבע וקרע בגד חבירו בהליכתו, או שהדליק גדיש חבירו בשבת, או שגנב כיס בשבת והיה מגררו עד שהוציאו מרשות הבעלים שהיא רשות היחיד לרשות הרבים ואבדו שם, הרי זה פטור מן התשלומין שאיסור שבת ואיסור גניבה והזק באין כאחת. אבל אם גנב כיס בשבת והגביהו שם ברשות היחיד ואחר כך הוציאו לרשות הרבים והשליכו לנהר חייב לשלם תשלומי כפל שהרי נתחייב באיסור גניבה קודם שיתחייב באיסור סקילה וכן כל כיוצא בזה. וכן אם קצץ אילן חבירו ביום טוב והתרו בו, או שהדליק את הגדיש ביום הכפורים והתרו בו, או גנב וטבח ביום הכפורים והתרו בו, פטור מן התשלומין, אבל אם לא התרו בו חייב בתשלומין ומשלם תשלומי ארבעה וחמשה.</w:t>
      </w:r>
    </w:p>
    <w:p w14:paraId="15564823" w14:textId="77777777" w:rsidR="00127B78" w:rsidRPr="004C1423" w:rsidRDefault="00127B78" w:rsidP="00127B78">
      <w:pPr>
        <w:pStyle w:val="Style1"/>
      </w:pPr>
      <w:r>
        <w:rPr>
          <w:rStyle w:val="Style1Char"/>
          <w:rFonts w:hint="cs"/>
          <w:rtl/>
        </w:rPr>
        <w:t>3)[</w:t>
      </w:r>
      <w:r w:rsidRPr="000E59EA">
        <w:rPr>
          <w:rStyle w:val="Style1Char"/>
          <w:rtl/>
        </w:rPr>
        <w:t>שולחן ערוך חושן משפט הלכות גניבה סימן שנא</w:t>
      </w:r>
      <w:r>
        <w:rPr>
          <w:rStyle w:val="Style1Char"/>
          <w:rFonts w:hint="cs"/>
          <w:rtl/>
        </w:rPr>
        <w:t xml:space="preserve">] </w:t>
      </w:r>
      <w:r w:rsidRPr="004C1423">
        <w:rPr>
          <w:rtl/>
        </w:rPr>
        <w:t>יש גנב שפטור מלשלם ואיזה? זה שבא עם התשלומין חיוב מיתה כגון הגונב כיס בשבת ולא הגביהו ברשות הבעלים אלא היה מגררו ומוציאו מרשות הבעלים לרשות הרבים ואבדו שם </w:t>
      </w:r>
      <w:r w:rsidRPr="004C1423">
        <w:rPr>
          <w:rFonts w:hint="cs"/>
          <w:rtl/>
        </w:rPr>
        <w:t>הגה: אבל אם אבדו אח"כ חייב וכ"ש אם עדיין הוא בעין שחייב להחזירו (טור והמ"מ פ"ג דגניבה בשם י"מ ורמ"ה והרמב"ן ז"ל). וי"א שאם אינו בעין בכל ענין פטור מלשלם (המגיד פרק ג' דגניבה ובשם רש"י והרמב"ם)</w:t>
      </w:r>
      <w:r w:rsidRPr="004C1423">
        <w:rPr>
          <w:rtl/>
        </w:rPr>
        <w:t> </w:t>
      </w:r>
      <w:r w:rsidRPr="004C1423">
        <w:t xml:space="preserve">-- </w:t>
      </w:r>
      <w:r w:rsidRPr="004C1423">
        <w:rPr>
          <w:rtl/>
        </w:rPr>
        <w:t>הרי זה פטור מתשלומין שאיסור שבת ואיסור גניבה והיזק באים כאחד</w:t>
      </w:r>
      <w:r w:rsidRPr="004C1423">
        <w:t>.</w:t>
      </w:r>
    </w:p>
    <w:p w14:paraId="2A1A1EC3" w14:textId="77777777" w:rsidR="00127B78" w:rsidRDefault="00127B78" w:rsidP="00127B78">
      <w:pPr>
        <w:pStyle w:val="Style1"/>
        <w:rPr>
          <w:rtl/>
        </w:rPr>
      </w:pPr>
      <w:r w:rsidRPr="004C1423">
        <w:rPr>
          <w:rtl/>
        </w:rPr>
        <w:t>אבל אם גנב כיס בשבת והגביהו שם ברשות היחיד ואח"כ הוציאו לרשות הרבים והשליכו לנהר -- חייב לשלם שהרי נתחייב באיסור גניבה קודם שיתחייב באיסור סקילה וכן כל כיוצא בזה</w:t>
      </w:r>
      <w:r w:rsidRPr="004C1423">
        <w:t>:</w:t>
      </w:r>
    </w:p>
    <w:p w14:paraId="471AF395" w14:textId="646759BB" w:rsidR="00127B78" w:rsidRDefault="00127B78" w:rsidP="00127B78">
      <w:pPr>
        <w:pStyle w:val="Style1"/>
        <w:rPr>
          <w:rtl/>
        </w:rPr>
      </w:pPr>
      <w:r>
        <w:rPr>
          <w:rFonts w:hint="cs"/>
          <w:rtl/>
        </w:rPr>
        <w:t>4)[</w:t>
      </w:r>
      <w:r>
        <w:rPr>
          <w:rtl/>
        </w:rPr>
        <w:t>רמב</w:t>
      </w:r>
      <w:r w:rsidR="005258D6">
        <w:rPr>
          <w:rtl/>
        </w:rPr>
        <w:t>”ם \נזיקין\</w:t>
      </w:r>
      <w:r>
        <w:rPr>
          <w:rtl/>
        </w:rPr>
        <w:t xml:space="preserve"> הלכות גניבה פרק ב הלכה טז</w:t>
      </w:r>
      <w:r>
        <w:rPr>
          <w:rFonts w:hint="cs"/>
          <w:rtl/>
        </w:rPr>
        <w:t xml:space="preserve">] </w:t>
      </w:r>
      <w:r>
        <w:rPr>
          <w:rtl/>
        </w:rPr>
        <w:t xml:space="preserve">הגונב ברשות הבעלים הואיל והגניבה עדיין היא ברשותן פטור מן הכפל, וכן אם טבח ומכר שם ברשותן פטור, ואם הגביה הגניבה נתחייב משום גונב אף על פי שעדיין לא הוציאה מרשות הבעלים. כיצד, גנב טלה מן הדיר והיה מושכו ויוצא ומת ברשות הבעלים פטור, הגביהו או הוציאו מרשות הבעלים ומת חייב, נתנו שם בבית הבעלים לבכורת בנו ולבעל חובו או לשומר חנם ולשואל לנושא שכר ולשוכר והיה מושכו זה שניתן לו ומת פטור השומר, הגביהו או שהוציאו מרשות הבעלים ומת חייב השומר או בעל החוב שניתן לו מפני שעדיין לא הוציאו הגנב מרשות בעליו. /השגת הראב"ד/ נתנו שם בבית הבעלים וכו' מפני שעדיין לא הוציאו הגנב מרשות בעליו. א"א נר' מדבריו הא דקתני במתני' </w:t>
      </w:r>
      <w:r>
        <w:rPr>
          <w:rFonts w:hint="cs"/>
          <w:rtl/>
        </w:rPr>
        <w:t>(</w:t>
      </w:r>
      <w:r>
        <w:rPr>
          <w:rtl/>
        </w:rPr>
        <w:t>בבא קמא</w:t>
      </w:r>
      <w:r>
        <w:rPr>
          <w:rFonts w:hint="cs"/>
          <w:rtl/>
        </w:rPr>
        <w:t xml:space="preserve"> </w:t>
      </w:r>
      <w:r>
        <w:rPr>
          <w:rtl/>
        </w:rPr>
        <w:t>עט) הגביהו שומר חייב כפל לבעלים קאמר לפי שהוא גנב וא"כ היכי שמעינן מיניה תקנו משיכה בשומרים והלא משום גנב הוא חייב ולא משום שומר אלא ודאי הא דמוקמינן לה בשומר לאו בנתנו בבית בעלים קאמר ואף לא בגנב אלא מילתא באנפי נפשיה היא.</w:t>
      </w:r>
    </w:p>
    <w:p w14:paraId="6FFF85AD" w14:textId="77777777" w:rsidR="00127B78" w:rsidRPr="006A570F" w:rsidRDefault="00127B78" w:rsidP="00127B78">
      <w:pPr>
        <w:pStyle w:val="Style1"/>
      </w:pPr>
      <w:r>
        <w:rPr>
          <w:rFonts w:hint="cs"/>
          <w:rtl/>
        </w:rPr>
        <w:t>4)[</w:t>
      </w:r>
      <w:r>
        <w:rPr>
          <w:rtl/>
        </w:rPr>
        <w:t>שולחן ערוך חושן משפט הלכות גניבה סימן שמח סעיף ד</w:t>
      </w:r>
      <w:r>
        <w:rPr>
          <w:rFonts w:hint="cs"/>
          <w:rtl/>
        </w:rPr>
        <w:t xml:space="preserve">] </w:t>
      </w:r>
      <w:r w:rsidRPr="006A570F">
        <w:rPr>
          <w:rtl/>
        </w:rPr>
        <w:t>משעה שמשך הגניבה נעשה עליה גנב במה דברים אמורים שמשכה חוץ מרשות הבעלים אבל כ"ז שהיא ברשות הבעלים אינו חייב עד שיגביהנה ואם הכניסה לרשותו אפילו לגגו חצירו וקרפיפו אם היא משתמרת חייב אע"פ שלא משך ולא הגביה</w:t>
      </w:r>
      <w:r w:rsidRPr="006A570F">
        <w:t>:</w:t>
      </w:r>
    </w:p>
    <w:p w14:paraId="38B822ED" w14:textId="77777777" w:rsidR="00127B78" w:rsidRDefault="00127B78" w:rsidP="00127B78">
      <w:pPr>
        <w:pStyle w:val="Style1"/>
        <w:rPr>
          <w:rtl/>
        </w:rPr>
      </w:pPr>
      <w:r w:rsidRPr="006A570F">
        <w:rPr>
          <w:rFonts w:hint="cs"/>
          <w:rtl/>
        </w:rPr>
        <w:t>הגה: אימתי גנב חייב בכפל וארבעה וחמשה עיין בפנים ולא כתבן המחבר הזה לפי שהוא קנס ואינו נוהג האידנא מיהו יש נפקותא אם תפס וע"ל </w:t>
      </w:r>
      <w:hyperlink r:id="rId69" w:anchor="%D7%A1%D7%A2%D7%99%D7%A3_%D7%94" w:tooltip="שולחן ערוך חושן משפט א" w:history="1">
        <w:r w:rsidRPr="006A570F">
          <w:rPr>
            <w:rStyle w:val="Hyperlink"/>
            <w:rFonts w:hint="cs"/>
            <w:color w:val="7030A0"/>
            <w:u w:val="none"/>
            <w:rtl/>
          </w:rPr>
          <w:t>סי' א' ס"ה</w:t>
        </w:r>
      </w:hyperlink>
      <w:r w:rsidRPr="006A570F">
        <w:t>:</w:t>
      </w:r>
    </w:p>
    <w:p w14:paraId="0B20B94A" w14:textId="39E61676" w:rsidR="00127B78" w:rsidRPr="006A570F" w:rsidRDefault="00127B78" w:rsidP="00127B78">
      <w:pPr>
        <w:pStyle w:val="Style1"/>
      </w:pPr>
      <w:r>
        <w:rPr>
          <w:rFonts w:hint="cs"/>
          <w:rtl/>
        </w:rPr>
        <w:t>5)[</w:t>
      </w:r>
      <w:r>
        <w:rPr>
          <w:rtl/>
        </w:rPr>
        <w:t>רמב</w:t>
      </w:r>
      <w:r w:rsidR="005258D6">
        <w:rPr>
          <w:rtl/>
        </w:rPr>
        <w:t>”</w:t>
      </w:r>
      <w:r>
        <w:rPr>
          <w:rtl/>
        </w:rPr>
        <w:t>ם</w:t>
      </w:r>
      <w:r w:rsidR="005258D6">
        <w:rPr>
          <w:rtl/>
        </w:rPr>
        <w:t xml:space="preserve">\שופטים\ </w:t>
      </w:r>
      <w:r>
        <w:rPr>
          <w:rtl/>
        </w:rPr>
        <w:t xml:space="preserve"> הלכות סנהדרין פרק יט הלכה א</w:t>
      </w:r>
      <w:r>
        <w:rPr>
          <w:rFonts w:hint="cs"/>
          <w:rtl/>
        </w:rPr>
        <w:t xml:space="preserve">] </w:t>
      </w:r>
      <w:r>
        <w:rPr>
          <w:rtl/>
        </w:rPr>
        <w:t>כל לא תעשה שיש בו כרת ואין בו מיתת בית דין שלוקין עליהן אחד ועשרים ואלו הן: (א) הבא על אחותו, (ב) הבא על אחות אביו, (ג) הבא על אחות אמו, (ד) הבא על אחות אשתו, (ה) הבא על אשת אחיו, (ו) הבא על אשת אחי אביו, (ז) הבא על הנדה, (ח) האוכל חלב, (ט) האוכל דם, (י) האוכל חמץ בפסח, (יא) האוכל ביום הכפורים, (יב) העושה מלאכה ביום הכפורים, (יג) האוכל הנותר, (יד) האוכל פיגול, (טו) הטמא שאכל בשר קודש, (טז) הטמא שנכנס לעזרה, (יז) השוחט קדשים בחוץ, (יח) המעלה קדשים בחוץ, (יט) המפטם את השמן, (כ) הסך בשמן המשחה, (כא) המפטם את הקטרת.</w:t>
      </w:r>
    </w:p>
    <w:p w14:paraId="01710189" w14:textId="77777777" w:rsidR="00127B78" w:rsidRPr="006A570F" w:rsidRDefault="00127B78" w:rsidP="00127B78">
      <w:pPr>
        <w:pStyle w:val="Style1"/>
      </w:pPr>
    </w:p>
    <w:p w14:paraId="67549A57" w14:textId="77777777" w:rsidR="00127B78" w:rsidRPr="006A570F" w:rsidRDefault="00127B78" w:rsidP="00127B78">
      <w:pPr>
        <w:pStyle w:val="Style1"/>
        <w:rPr>
          <w:rtl/>
        </w:rPr>
      </w:pPr>
    </w:p>
    <w:p w14:paraId="33B1F6F1" w14:textId="77777777" w:rsidR="00127B78" w:rsidRPr="006A570F" w:rsidRDefault="00127B78" w:rsidP="00127B78">
      <w:pPr>
        <w:pStyle w:val="Style1"/>
        <w:rPr>
          <w:rStyle w:val="Style1Char"/>
          <w:rtl/>
        </w:rPr>
      </w:pPr>
    </w:p>
    <w:p w14:paraId="4D5B39BE" w14:textId="77777777" w:rsidR="00127B78" w:rsidRPr="00251B42" w:rsidRDefault="00127B78" w:rsidP="00127B78">
      <w:pPr>
        <w:pStyle w:val="Style1"/>
        <w:bidi w:val="0"/>
        <w:rPr>
          <w:rStyle w:val="Style1Char"/>
          <w:rtl/>
        </w:rPr>
      </w:pPr>
      <w:r w:rsidRPr="00251B42">
        <w:rPr>
          <w:rStyle w:val="Style1Char"/>
          <w:rtl/>
        </w:rPr>
        <w:br w:type="page"/>
      </w:r>
    </w:p>
    <w:p w14:paraId="3FC2FEB9"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לב עמוד א]</w:t>
      </w:r>
      <w:r w:rsidRPr="00936EC6">
        <w:rPr>
          <w:rStyle w:val="Style1Char"/>
          <w:color w:val="00B050"/>
          <w:sz w:val="22"/>
          <w:szCs w:val="22"/>
          <w:rtl/>
        </w:rPr>
        <w:t xml:space="preserve"> </w:t>
      </w:r>
      <w:r w:rsidRPr="00B32DE1">
        <w:rPr>
          <w:rStyle w:val="Style1Char"/>
          <w:color w:val="00B050"/>
          <w:rtl/>
        </w:rPr>
        <w:t xml:space="preserve">וקיימא לן דאינו לוקה ומשלם! אמר עולא, לא קשיא: כאן באחותו נערה, כאן באחותו בוגרת. אחותו בוגרת נמי, הא איכא </w:t>
      </w:r>
      <w:r>
        <w:rPr>
          <w:rStyle w:val="Style1Char"/>
          <w:rFonts w:hint="cs"/>
          <w:rtl/>
        </w:rPr>
        <w:t>(1)</w:t>
      </w:r>
      <w:r w:rsidRPr="00B32DE1">
        <w:rPr>
          <w:rStyle w:val="Style1Char"/>
          <w:color w:val="00B050"/>
          <w:rtl/>
        </w:rPr>
        <w:t xml:space="preserve">בושת ופגם! </w:t>
      </w:r>
      <w:r>
        <w:rPr>
          <w:rStyle w:val="Style1Char"/>
          <w:rFonts w:hint="cs"/>
          <w:rtl/>
        </w:rPr>
        <w:t>(1.1, 2)</w:t>
      </w:r>
      <w:r w:rsidRPr="00B32DE1">
        <w:rPr>
          <w:rStyle w:val="Style1Char"/>
          <w:color w:val="00B050"/>
          <w:rtl/>
        </w:rPr>
        <w:t xml:space="preserve">בשוטה. והא איכא </w:t>
      </w:r>
      <w:r>
        <w:rPr>
          <w:rStyle w:val="Style1Char"/>
          <w:rFonts w:hint="cs"/>
          <w:rtl/>
        </w:rPr>
        <w:t>(1.2, 3)</w:t>
      </w:r>
      <w:r w:rsidRPr="00B32DE1">
        <w:rPr>
          <w:rStyle w:val="Style1Char"/>
          <w:color w:val="00B050"/>
          <w:rtl/>
        </w:rPr>
        <w:t xml:space="preserve">צערא! במפותה. השתא דאתית להכי, אפי' תימא אחותו נערה, ביתומה ומפותה. אלמא קסבר עולא: כל היכא דאיכא ממון ומלקות - ממונא משלם, מילקא לא לקי, מנא ליה לעולא הא? גמר מחובל בחבירו, מה חובל בחבירו דאיכא ממון ומלקות - ממונא משלם, מילקא לא לקי, אף כל היכא דאיכא ממון ומלקות - ממונא משלם, מילקא לא לקי. מה לחובל בחבירו שכן חייב בחמשה דברים! ואי ממונא לקולא, שכן הותר מכללו בבית דין! אלא, גמר מעדים זוממין, מה עדים זוממין דאיכא ממון ומלקות - ממונא משלם, מילקא לא לקי, אף כל היכא דאיכא ממון ומלקות - ממונא משלם, מילקא לא לקי. </w:t>
      </w:r>
      <w:r>
        <w:rPr>
          <w:rStyle w:val="Style1Char"/>
          <w:rFonts w:hint="cs"/>
          <w:rtl/>
        </w:rPr>
        <w:t>(4)</w:t>
      </w:r>
      <w:r w:rsidRPr="00B32DE1">
        <w:rPr>
          <w:rStyle w:val="Style1Char"/>
          <w:color w:val="00B050"/>
          <w:rtl/>
        </w:rPr>
        <w:t xml:space="preserve">מה לעדים זוממין שכן אינן צריכים התראה! ואי ממונא לקולא הוא, שכן לא עשו מעשה! אלא גמר מתרוייהו, מה הצד השוה שבהן דאיכא ממון ומלקות - ממונא משלם, מילקא לא לקי, אף כל היכא דאיכא ממון ומלקות - ממונא משלם, מילקא לא לקי. מה להצד השוה שבהן - שכן יש בהן צד חמור! ואי ממונא לקולא הוא, שכן יש בהן צד הקל! </w:t>
      </w:r>
    </w:p>
    <w:p w14:paraId="36B2CABC" w14:textId="5DC0DA85" w:rsidR="00127B78" w:rsidRDefault="00127B78" w:rsidP="00127B78">
      <w:pPr>
        <w:pStyle w:val="Style1"/>
        <w:rPr>
          <w:rStyle w:val="Style1Char"/>
          <w:rtl/>
        </w:rPr>
      </w:pPr>
      <w:r>
        <w:rPr>
          <w:rStyle w:val="Style1Char"/>
          <w:rFonts w:hint="cs"/>
          <w:rtl/>
        </w:rPr>
        <w:t>1)[</w:t>
      </w:r>
      <w:r w:rsidRPr="006267F7">
        <w:rPr>
          <w:rStyle w:val="Style1Char"/>
          <w:rtl/>
        </w:rPr>
        <w:t>רמב</w:t>
      </w:r>
      <w:r w:rsidR="00786216">
        <w:rPr>
          <w:rStyle w:val="Style1Char"/>
          <w:rtl/>
        </w:rPr>
        <w:t>”ם \נשים\</w:t>
      </w:r>
      <w:r w:rsidRPr="006267F7">
        <w:rPr>
          <w:rStyle w:val="Style1Char"/>
          <w:rtl/>
        </w:rPr>
        <w:t xml:space="preserve"> הלכות נערה בתולה פרק ב הלכה יא</w:t>
      </w:r>
      <w:r>
        <w:rPr>
          <w:rStyle w:val="Style1Char"/>
          <w:rFonts w:hint="cs"/>
          <w:rtl/>
        </w:rPr>
        <w:t xml:space="preserve">] </w:t>
      </w:r>
      <w:r w:rsidRPr="006267F7">
        <w:rPr>
          <w:rStyle w:val="Style1Char"/>
          <w:rtl/>
        </w:rPr>
        <w:t>כיצד האונס את הבוגרת ואת הממאנת אף על פי שאין להן קנס יש להן בושת ופגם וצער, והאונס שוטה או חרשת משלם צער בלבד, אבל המפתה את כולן פטור מכלום.</w:t>
      </w:r>
    </w:p>
    <w:p w14:paraId="04186BBD"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37E9D22E"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2031021C"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132AA605"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w:t>
      </w:r>
      <w:r w:rsidRPr="00AE64BF">
        <w:rPr>
          <w:rStyle w:val="Style1Char"/>
          <w:rtl/>
        </w:rPr>
        <w:lastRenderedPageBreak/>
        <w:t xml:space="preserve">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662FC9FB" w14:textId="250B18D1" w:rsidR="00127B78" w:rsidRDefault="00127B78" w:rsidP="00127B78">
      <w:pPr>
        <w:pStyle w:val="Style1"/>
        <w:rPr>
          <w:rStyle w:val="Style1Char"/>
          <w:rtl/>
        </w:rPr>
      </w:pPr>
      <w:r>
        <w:rPr>
          <w:rStyle w:val="Style1Char"/>
          <w:rFonts w:hint="cs"/>
          <w:rtl/>
        </w:rPr>
        <w:t>2)[</w:t>
      </w:r>
      <w:r w:rsidRPr="00003DD0">
        <w:rPr>
          <w:rStyle w:val="Style1Char"/>
          <w:rtl/>
        </w:rPr>
        <w:t>רמב</w:t>
      </w:r>
      <w:r w:rsidR="005258D6">
        <w:rPr>
          <w:rStyle w:val="Style1Char"/>
          <w:rtl/>
        </w:rPr>
        <w:t>”ם \נזיקין\</w:t>
      </w:r>
      <w:r w:rsidRPr="00003DD0">
        <w:rPr>
          <w:rStyle w:val="Style1Char"/>
          <w:rtl/>
        </w:rPr>
        <w:t xml:space="preserve"> הלכות חובל ומזיק פרק ג הלכה ד</w:t>
      </w:r>
      <w:r>
        <w:rPr>
          <w:rStyle w:val="Style1Char"/>
          <w:rFonts w:hint="cs"/>
          <w:rtl/>
        </w:rPr>
        <w:t xml:space="preserve">] </w:t>
      </w:r>
      <w:r w:rsidRPr="00003DD0">
        <w:rPr>
          <w:rStyle w:val="Style1Char"/>
          <w:rtl/>
        </w:rPr>
        <w:t>המבייש את השוטה פטור והמבייש את החרש חייב, המבייש את הגר או את העבד חייב, המבייש את הקטן אם כשמכלימין אותו נכלם חייב ואם אינו נכלם פטור, ומכל מקום אינו דומה המבייש את הקטן למבייש את הגדול ולא המבייש את העבד למבייש בן חורין ולא מבייש חרש למבייש פקח.</w:t>
      </w:r>
    </w:p>
    <w:p w14:paraId="52649CEA" w14:textId="77777777" w:rsidR="00127B78" w:rsidRDefault="00127B78" w:rsidP="00127B78">
      <w:pPr>
        <w:pStyle w:val="Style1"/>
        <w:rPr>
          <w:rtl/>
        </w:rPr>
      </w:pPr>
      <w:r>
        <w:rPr>
          <w:rStyle w:val="Style1Char"/>
          <w:rFonts w:hint="cs"/>
          <w:rtl/>
        </w:rPr>
        <w:t>2)[</w:t>
      </w:r>
      <w:r w:rsidRPr="00E4742C">
        <w:rPr>
          <w:rStyle w:val="Style1Char"/>
          <w:rtl/>
        </w:rPr>
        <w:t>שולחן ערוך חושן משפט הלכות חובל בחבירו סימן תכ סעיף לז</w:t>
      </w:r>
      <w:r>
        <w:rPr>
          <w:rStyle w:val="Style1Char"/>
          <w:rFonts w:hint="cs"/>
          <w:rtl/>
        </w:rPr>
        <w:t xml:space="preserve">] </w:t>
      </w:r>
      <w:r w:rsidRPr="00104766">
        <w:rPr>
          <w:rtl/>
        </w:rPr>
        <w:t>המבייש את השוטה פטור את החרש או את הגר או את העבד או את הקטן שכשמכלימים אותו נכלם חייב ומ"מ אינו דומה המבייש את הקטן למבייש את הגדול ולא המבייש את העבד למבייש בן חורין ולא המבייש חרש למבייש פקח</w:t>
      </w:r>
      <w:r w:rsidRPr="00104766">
        <w:t>:</w:t>
      </w:r>
    </w:p>
    <w:p w14:paraId="78E4AB13" w14:textId="78A3AFB5" w:rsidR="00127B78" w:rsidRDefault="00127B78" w:rsidP="00127B78">
      <w:pPr>
        <w:pStyle w:val="Style1"/>
        <w:rPr>
          <w:rStyle w:val="Style1Char"/>
          <w:rtl/>
        </w:rPr>
      </w:pPr>
      <w:r>
        <w:rPr>
          <w:rStyle w:val="Style1Char"/>
          <w:rFonts w:hint="cs"/>
          <w:rtl/>
        </w:rPr>
        <w:t>3)[</w:t>
      </w:r>
      <w:r w:rsidRPr="00D74BC1">
        <w:rPr>
          <w:rStyle w:val="Style1Char"/>
          <w:rtl/>
        </w:rPr>
        <w:t>רמב</w:t>
      </w:r>
      <w:r w:rsidR="00786216">
        <w:rPr>
          <w:rStyle w:val="Style1Char"/>
          <w:rtl/>
        </w:rPr>
        <w:t>”ם \נשים\</w:t>
      </w:r>
      <w:r w:rsidRPr="00D74BC1">
        <w:rPr>
          <w:rStyle w:val="Style1Char"/>
          <w:rtl/>
        </w:rPr>
        <w:t xml:space="preserve"> הלכות נערה בתולה פרק א הלכה ב</w:t>
      </w:r>
      <w:r>
        <w:rPr>
          <w:rStyle w:val="Style1Char"/>
          <w:rFonts w:hint="cs"/>
          <w:rtl/>
        </w:rPr>
        <w:t xml:space="preserve">] </w:t>
      </w:r>
      <w:r w:rsidRPr="00D74BC1">
        <w:rPr>
          <w:rStyle w:val="Style1Char"/>
          <w:rtl/>
        </w:rPr>
        <w:t>ואיזה הוא מפתה ואיזה הוא אונס, מפתה לרצונה ואונס שבא עליה בעל כרחה. כל הנבעלת בשדה הרי זו בחזקת אנוסה ודנין בו דין אונס עד שיעידו העדים שברצונה נבעלה, וכל הנבעלת בעיר הרי זו בחזקת מפותה מפני שלא זעקה עד שיעידו העדים שהיא אנוסה כגון ששלף חרב ואמר לה אם תזעקי אהרוג אותך. /השגת הראב"ד/ כל הנבעלת בשדה הרי היא בחזקת אנוסה. א"א חיי ראשי חזקה זו איני יודע מה תועלת יש בה אם יש שם עדים יבואו ויעידו ואם אין שם עדים קנס אין שם, ואם לענין ג' דברים אם יש טענה ביניהם זה כלל גדול בדין המוציא מחבירו עליו הראיה והעיר והשדה שוות הם.</w:t>
      </w:r>
    </w:p>
    <w:p w14:paraId="7783F195" w14:textId="3D3C1F50" w:rsidR="00127B78" w:rsidRDefault="00127B78" w:rsidP="00127B78">
      <w:pPr>
        <w:pStyle w:val="Style1"/>
        <w:rPr>
          <w:rStyle w:val="Style1Char"/>
          <w:rtl/>
        </w:rPr>
      </w:pPr>
      <w:r>
        <w:rPr>
          <w:rStyle w:val="Style1Char"/>
          <w:rFonts w:hint="cs"/>
          <w:rtl/>
        </w:rPr>
        <w:t>4)[</w:t>
      </w:r>
      <w:r w:rsidRPr="005E1940">
        <w:rPr>
          <w:rStyle w:val="Style1Char"/>
          <w:rtl/>
        </w:rPr>
        <w:t>רמב</w:t>
      </w:r>
      <w:r w:rsidR="0057095E">
        <w:rPr>
          <w:rStyle w:val="Style1Char"/>
          <w:rtl/>
        </w:rPr>
        <w:t>”ם \שופטים\</w:t>
      </w:r>
      <w:r w:rsidRPr="005E1940">
        <w:rPr>
          <w:rStyle w:val="Style1Char"/>
          <w:rtl/>
        </w:rPr>
        <w:t xml:space="preserve"> הלכות עדות פרק יח הלכה ד</w:t>
      </w:r>
      <w:r>
        <w:rPr>
          <w:rStyle w:val="Style1Char"/>
          <w:rFonts w:hint="cs"/>
          <w:rtl/>
        </w:rPr>
        <w:t xml:space="preserve">] </w:t>
      </w:r>
      <w:r w:rsidRPr="005E1940">
        <w:rPr>
          <w:rStyle w:val="Style1Char"/>
          <w:rtl/>
        </w:rPr>
        <w:t>עדים זוממין אינן צריכין התראה, ועדים שהוכחשו ולבסוף הוזמו הרי אלו נהרגין או לוקין או משלמין מפני שהכחשה תחלת הזמה היא אלא שעדיין לא נגמרה.</w:t>
      </w:r>
    </w:p>
    <w:p w14:paraId="1BD7E0BC" w14:textId="77777777" w:rsidR="00127B78" w:rsidRPr="001E5E8E" w:rsidRDefault="00127B78" w:rsidP="00127B78">
      <w:pPr>
        <w:pStyle w:val="Style1"/>
        <w:rPr>
          <w:rStyle w:val="Style1Char"/>
        </w:rPr>
      </w:pPr>
      <w:r>
        <w:rPr>
          <w:rStyle w:val="Style1Char"/>
          <w:rFonts w:hint="cs"/>
          <w:rtl/>
        </w:rPr>
        <w:t>4)[</w:t>
      </w:r>
      <w:r w:rsidRPr="001E5E8E">
        <w:rPr>
          <w:rStyle w:val="Style1Char"/>
          <w:rtl/>
        </w:rPr>
        <w:t>טור חושן משפט הלכות עדות סימן לח</w:t>
      </w:r>
      <w:r>
        <w:rPr>
          <w:rStyle w:val="Style1Char"/>
          <w:rFonts w:hint="cs"/>
          <w:rtl/>
        </w:rPr>
        <w:t>]</w:t>
      </w:r>
    </w:p>
    <w:p w14:paraId="43D54CA9" w14:textId="77777777" w:rsidR="00127B78" w:rsidRPr="001E5E8E" w:rsidRDefault="00127B78" w:rsidP="00127B78">
      <w:pPr>
        <w:pStyle w:val="Style1"/>
        <w:rPr>
          <w:rStyle w:val="Style1Char"/>
        </w:rPr>
      </w:pPr>
      <w:r>
        <w:rPr>
          <w:rStyle w:val="Style1Char"/>
          <w:rFonts w:hint="cs"/>
          <w:rtl/>
        </w:rPr>
        <w:t xml:space="preserve">א </w:t>
      </w:r>
      <w:r w:rsidRPr="001E5E8E">
        <w:rPr>
          <w:rStyle w:val="Style1Char"/>
          <w:rtl/>
        </w:rPr>
        <w:t>שני עדים שהעידו באחד שהרג הנפש או שחייב לפלוני מנה ובאו ב' והכחישום דברי שניהם בטלין והוא והן פטורין אבל אם באו האחרונים והזימום אז האחרונים נאמנין ועדות הראשונים בטלה והן חייבין כפי מה אשר רצו לחייב אותן שהעידו עליו אם באו לחייבו מיתה נהרגין במיתה שבאו להרגו בה:</w:t>
      </w:r>
    </w:p>
    <w:p w14:paraId="68EACA5B" w14:textId="77777777" w:rsidR="00127B78" w:rsidRPr="001E5E8E" w:rsidRDefault="00127B78" w:rsidP="00127B78">
      <w:pPr>
        <w:pStyle w:val="Style1"/>
        <w:rPr>
          <w:rStyle w:val="Style1Char"/>
        </w:rPr>
      </w:pPr>
      <w:r w:rsidRPr="001E5E8E">
        <w:rPr>
          <w:rStyle w:val="Style1Char"/>
          <w:rtl/>
        </w:rPr>
        <w:t>ב ואם לחייבו ממון באו משלמין הממון בין שניהן ואין לוקין כיון שמשלמין:</w:t>
      </w:r>
    </w:p>
    <w:p w14:paraId="1261F288" w14:textId="77777777" w:rsidR="00127B78" w:rsidRPr="001E5E8E" w:rsidRDefault="00127B78" w:rsidP="00127B78">
      <w:pPr>
        <w:pStyle w:val="Style1"/>
        <w:rPr>
          <w:rStyle w:val="Style1Char"/>
        </w:rPr>
      </w:pPr>
      <w:r w:rsidRPr="001E5E8E">
        <w:rPr>
          <w:rStyle w:val="Style1Char"/>
          <w:rtl/>
        </w:rPr>
        <w:t>ג חוץ מאם העידו על כהן שהוא בן גרושה או בן חלוצה שאז לוקין לפי שא"א לקיים בהם ועשיתם לו כאשר זמם וכן אם העידו באחד שהרג שוגג ובאו לחייבו גלות והוזמו או שהעידו באחד בשור המועד שלו שהרג ובאו לחייבו כופר והוזמו או שהעידו באחד שגנב ואין לו לשלם ובאו לחייבו להיותו נמכר בגנבתו והוזמו באחד מכל אלו לוקין:</w:t>
      </w:r>
    </w:p>
    <w:p w14:paraId="52A20D58" w14:textId="77777777" w:rsidR="00127B78" w:rsidRPr="001E5E8E" w:rsidRDefault="00127B78" w:rsidP="00127B78">
      <w:pPr>
        <w:pStyle w:val="Style1"/>
        <w:rPr>
          <w:rStyle w:val="Style1Char"/>
        </w:rPr>
      </w:pPr>
      <w:r w:rsidRPr="001E5E8E">
        <w:rPr>
          <w:rStyle w:val="Style1Char"/>
          <w:rtl/>
        </w:rPr>
        <w:t>ד ומה שמתחייבין הניזמין אינו אלא קנס לפיכך אין משלמין על פי עצמן שאם אמרו העדנו בב"ד פלוני והוזמנו אינן חייבין אבל אם אמרו הוזמנו בב"ד פלוני ונתחייבנו ליתן לו כך וכך הרי אלו משלמין שזה ממון גמור הוא כיון שכבר נתחייבו בו בב"ד:</w:t>
      </w:r>
    </w:p>
    <w:p w14:paraId="2DE6BCD1" w14:textId="77777777" w:rsidR="00127B78" w:rsidRPr="001E5E8E" w:rsidRDefault="00127B78" w:rsidP="00127B78">
      <w:pPr>
        <w:pStyle w:val="Style1"/>
        <w:rPr>
          <w:rStyle w:val="Style1Char"/>
        </w:rPr>
      </w:pPr>
      <w:r w:rsidRPr="001E5E8E">
        <w:rPr>
          <w:rStyle w:val="Style1Char"/>
          <w:rtl/>
        </w:rPr>
        <w:t>ה אבל אם אמרו עדים שקר העדנו כתב ר"ח לא מיבעיא שאין משלמין ע"פ עצמן אלא אפי' העדות שהעידו נכונה חשבינן ליה ומתקיימת שכיון שהגיד שוב אינו חוזר ומגיד:</w:t>
      </w:r>
    </w:p>
    <w:p w14:paraId="07E65B39" w14:textId="77777777" w:rsidR="00127B78" w:rsidRPr="001E5E8E" w:rsidRDefault="00127B78" w:rsidP="00127B78">
      <w:pPr>
        <w:pStyle w:val="Style1"/>
        <w:rPr>
          <w:rStyle w:val="Style1Char"/>
        </w:rPr>
      </w:pPr>
      <w:r w:rsidRPr="001E5E8E">
        <w:rPr>
          <w:rStyle w:val="Style1Char"/>
          <w:rtl/>
        </w:rPr>
        <w:t>ו ומה יש בין הכחשה להזמה הכחשה אינה בגוף העדים אלא שמכחישין אותן שאלו אומרים פלוני לוה מפלוני ואלו אומרים יודעין אנו שלא לוה כי היינו אצלו כל היום וראינו שלא לוה והזמה בגוף העדים שאומר באותו שעה שאתם אומרים שלוה הייתם עמנו:</w:t>
      </w:r>
    </w:p>
    <w:p w14:paraId="2B463D26" w14:textId="77777777" w:rsidR="00127B78" w:rsidRPr="001E5E8E" w:rsidRDefault="00127B78" w:rsidP="00127B78">
      <w:pPr>
        <w:pStyle w:val="Style1"/>
        <w:rPr>
          <w:rStyle w:val="Style1Char"/>
        </w:rPr>
      </w:pPr>
      <w:r w:rsidRPr="001E5E8E">
        <w:rPr>
          <w:rStyle w:val="Style1Char"/>
          <w:rtl/>
        </w:rPr>
        <w:t>ז ומפני זה האחרונים נאמנין כיון שמעידין על גופן של העדים והוי כאלו העידו עליהן שהרגו הנפש או שחללו שבת והן אינן נאמנין על עצמן לומר לא עשינו כך וכך:</w:t>
      </w:r>
    </w:p>
    <w:p w14:paraId="40A4B16C" w14:textId="77777777" w:rsidR="00127B78" w:rsidRPr="001E5E8E" w:rsidRDefault="00127B78" w:rsidP="00127B78">
      <w:pPr>
        <w:pStyle w:val="Style1"/>
        <w:rPr>
          <w:rStyle w:val="Style1Char"/>
        </w:rPr>
      </w:pPr>
      <w:r w:rsidRPr="001E5E8E">
        <w:rPr>
          <w:rStyle w:val="Style1Char"/>
          <w:rtl/>
        </w:rPr>
        <w:t>ח ואפי' היו הראשונים ק' נאמנין אלו עליהן להורגם בין אם העידו המאה בבת אחת בין אם העידו בזה אחר זה שנים אחר שנים ואלו המזימין הזימו כל כת וכת בזה אחר זה:</w:t>
      </w:r>
    </w:p>
    <w:p w14:paraId="0937552E" w14:textId="77777777" w:rsidR="00127B78" w:rsidRPr="001E5E8E" w:rsidRDefault="00127B78" w:rsidP="00127B78">
      <w:pPr>
        <w:pStyle w:val="Style1"/>
        <w:rPr>
          <w:rStyle w:val="Style1Char"/>
        </w:rPr>
      </w:pPr>
      <w:r w:rsidRPr="001E5E8E">
        <w:rPr>
          <w:rStyle w:val="Style1Char"/>
          <w:rtl/>
        </w:rPr>
        <w:t>ט עדים זוממין אין צריכין התראה:</w:t>
      </w:r>
    </w:p>
    <w:p w14:paraId="2ACB6A21" w14:textId="77777777" w:rsidR="00127B78" w:rsidRPr="001E5E8E" w:rsidRDefault="00127B78" w:rsidP="00127B78">
      <w:pPr>
        <w:pStyle w:val="Style1"/>
        <w:rPr>
          <w:rStyle w:val="Style1Char"/>
        </w:rPr>
      </w:pPr>
      <w:r w:rsidRPr="001E5E8E">
        <w:rPr>
          <w:rStyle w:val="Style1Char"/>
          <w:rtl/>
        </w:rPr>
        <w:t>י ואין מזימין אותן אלא בפניהם:</w:t>
      </w:r>
    </w:p>
    <w:p w14:paraId="58B3321A" w14:textId="77777777" w:rsidR="00127B78" w:rsidRPr="001E5E8E" w:rsidRDefault="00127B78" w:rsidP="00127B78">
      <w:pPr>
        <w:pStyle w:val="Style1"/>
        <w:rPr>
          <w:rStyle w:val="Style1Char"/>
        </w:rPr>
      </w:pPr>
      <w:r w:rsidRPr="001E5E8E">
        <w:rPr>
          <w:rStyle w:val="Style1Char"/>
          <w:rtl/>
        </w:rPr>
        <w:t>יא אבל מכחישין אותן אפילו שלא בפניהם:</w:t>
      </w:r>
    </w:p>
    <w:p w14:paraId="6D95FF89" w14:textId="77777777" w:rsidR="00127B78" w:rsidRPr="001E5E8E" w:rsidRDefault="00127B78" w:rsidP="00127B78">
      <w:pPr>
        <w:pStyle w:val="Style1"/>
        <w:rPr>
          <w:rStyle w:val="Style1Char"/>
        </w:rPr>
      </w:pPr>
      <w:r w:rsidRPr="001E5E8E">
        <w:rPr>
          <w:rStyle w:val="Style1Char"/>
          <w:rtl/>
        </w:rPr>
        <w:t>יב ואם הוכחשו ואח"כ הוזמו לוקין או משלמין שהכחשה תחלת הזמה היא:</w:t>
      </w:r>
    </w:p>
    <w:p w14:paraId="2E7920C8" w14:textId="77777777" w:rsidR="00127B78" w:rsidRPr="001E5E8E" w:rsidRDefault="00127B78" w:rsidP="00127B78">
      <w:pPr>
        <w:pStyle w:val="Style1"/>
        <w:rPr>
          <w:rStyle w:val="Style1Char"/>
        </w:rPr>
      </w:pPr>
      <w:r w:rsidRPr="001E5E8E">
        <w:rPr>
          <w:rStyle w:val="Style1Char"/>
          <w:rtl/>
        </w:rPr>
        <w:t>יג והזמה שלא בפניהם אף על פי שאינה הזמה הכחשה מיהא הוי לבטל עדותן:</w:t>
      </w:r>
    </w:p>
    <w:p w14:paraId="77EB75CA" w14:textId="77777777" w:rsidR="00127B78" w:rsidRPr="001E5E8E" w:rsidRDefault="00127B78" w:rsidP="00127B78">
      <w:pPr>
        <w:pStyle w:val="Style1"/>
        <w:rPr>
          <w:rStyle w:val="Style1Char"/>
        </w:rPr>
      </w:pPr>
      <w:r w:rsidRPr="001E5E8E">
        <w:rPr>
          <w:rStyle w:val="Style1Char"/>
          <w:rtl/>
        </w:rPr>
        <w:t>יד אין העדים זוממין לוקין או משלמין עד שיהו כולם כשרים ראוים להעיד ויגמר הדין על פיהם ויוזמו כולם אפי' מאה אף על פי שהעדות מתקיים אפי' בב' אין חייבין עד שיוזמו כולם והוא שהעיד כל אחד ואחד תוך כדי דבור של חבירו או שאמר אחר עדות חבירו ואני כמותך</w:t>
      </w:r>
      <w:r>
        <w:rPr>
          <w:rStyle w:val="Style1Char"/>
          <w:rFonts w:hint="cs"/>
          <w:rtl/>
        </w:rPr>
        <w:t xml:space="preserve"> </w:t>
      </w:r>
      <w:r w:rsidRPr="001E5E8E">
        <w:rPr>
          <w:rStyle w:val="Style1Char"/>
          <w:rtl/>
        </w:rPr>
        <w:t>אבל אם יש ביניהם הפסק יותר מכדי דבור אז נחלקה העדות והשנים שהוזמו נענשים והאחרונים שהיה הפסק ביניהן ובין דברי הראשונים אינן נענשין אף ע"פ שכל העדות בטילה וכתב הר"ר ישעיה מה שצריך שיעידו כולם בתכ"ד זהו דוקא כשהעידו מאליהם בלא התראת הדיינין לומר להם למיחזי קאתיתו או לאסהודי קא אתיתו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 ודוקא בשאר העדים בעינן שיעידו תכ"ד לצרפם עם ב' הראשונים אבל בשנים הראשונים אף על פי שהפסיקו בין זה לזה אין בכך כלום אבל אם לא הוזמו כולם או שהוזמו קודם שנגמר הדין על פיהם או שנמצא אחד מהן קרוב או פסול פטורין:</w:t>
      </w:r>
    </w:p>
    <w:p w14:paraId="1F12BE1F" w14:textId="77777777" w:rsidR="00127B78" w:rsidRPr="001E5E8E" w:rsidRDefault="00127B78" w:rsidP="00127B78">
      <w:pPr>
        <w:pStyle w:val="Style1"/>
        <w:rPr>
          <w:rStyle w:val="Style1Char"/>
        </w:rPr>
      </w:pPr>
      <w:r w:rsidRPr="001E5E8E">
        <w:rPr>
          <w:rStyle w:val="Style1Char"/>
          <w:rtl/>
        </w:rPr>
        <w:t>טו העידו שנים פלוני לוה מפלוני מנה במזרח הבירה ובאו שנים ואמרו עמנו הייתם במערב הבירה אם העומד במערב הבירה יכול להביט מה שעושין במזרחה אינן זוממין ואם לאו זוממין הם ואין אומרים מאור עיניהם של ראשונים גדול והביטו מרחוק יותר משאר כל אדם. וכן אם אמרו פלוני לוה מפלוני מנה בסוריא ביום פלוני בבקר ובאו שנים ואמרו באותו יום הייתם עמנו בנהרדעא בערב אם אדם יכול לרוץ בסוס מסוריא לנהרדעא מבוקר עד ערב אינם זוממין ואם לאו זוממין הם ואין אומרים שמא נזדמן להם סוס רץ יותר מבדרך העולם ובאו בו ביום אלא משערים כפי דרך העולם ולא יותר:</w:t>
      </w:r>
    </w:p>
    <w:p w14:paraId="2D1468EE" w14:textId="77777777" w:rsidR="00127B78" w:rsidRPr="001E5E8E" w:rsidRDefault="00127B78" w:rsidP="00127B78">
      <w:pPr>
        <w:pStyle w:val="Style1"/>
        <w:rPr>
          <w:rStyle w:val="Style1Char"/>
        </w:rPr>
      </w:pPr>
      <w:r w:rsidRPr="001E5E8E">
        <w:rPr>
          <w:rStyle w:val="Style1Char"/>
          <w:rtl/>
        </w:rPr>
        <w:lastRenderedPageBreak/>
        <w:t>טז שנים שהעידו באחד שגירש את אישתו ובאו לחייבו ליתן לה כתובתה והוזמו אין חייבים לפרוע לו כל הכתובה שהרי אף לפי מה שהוזמו נשאר עליו חיוב הכתובה לכשתתאלמן או שתתגרש אלא אומדין כמה אדם רוצה ליתן בכתובתה של זאת אם היתה עומדת לגבות מיד ורואין כמה היא שוה מי שבא לקנותה מספק אם תתאלמן או תתגרש ומאי דבינו ביני יתנו הם לבעל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 וגם שמין לפי מה שהיא השדה המיוחדת לכתובתה אם היא עידית או בינונית או זיבורית:</w:t>
      </w:r>
    </w:p>
    <w:p w14:paraId="030A38BF" w14:textId="77777777" w:rsidR="00127B78" w:rsidRPr="001E5E8E" w:rsidRDefault="00127B78" w:rsidP="00127B78">
      <w:pPr>
        <w:pStyle w:val="Style1"/>
        <w:rPr>
          <w:rStyle w:val="Style1Char"/>
        </w:rPr>
      </w:pPr>
      <w:r w:rsidRPr="001E5E8E">
        <w:rPr>
          <w:rStyle w:val="Style1Char"/>
          <w:rtl/>
        </w:rPr>
        <w:t>יז העידו באחד שחייב לחבירו מנה ליתנו לו לאחר שלשים יום והוא אומר שאינו חייב ליתנו לו אלא לאחר חמשה שנים והוזמו אומדים כמה אדם רוצה ליתן וישאר מנה בידו מל' יום ואילך על תשלום חמשה שנים וכך יתנו לו וכן כל כיוצא בזה:</w:t>
      </w:r>
    </w:p>
    <w:p w14:paraId="3A2FB966" w14:textId="77777777" w:rsidR="00127B78" w:rsidRPr="001E5E8E" w:rsidRDefault="00127B78" w:rsidP="00127B78">
      <w:pPr>
        <w:pStyle w:val="Style1"/>
        <w:rPr>
          <w:rStyle w:val="Style1Char"/>
        </w:rPr>
      </w:pPr>
      <w:r w:rsidRPr="001E5E8E">
        <w:rPr>
          <w:rStyle w:val="Style1Char"/>
          <w:rtl/>
        </w:rPr>
        <w:t>יח שנים שהעידו לאחד שהחזיק בשדה חבירו ג' שנים והוזמו משלמין לבעל השדה כל דמי השדה:</w:t>
      </w:r>
    </w:p>
    <w:p w14:paraId="53E858DF" w14:textId="77777777" w:rsidR="00127B78" w:rsidRPr="001E5E8E" w:rsidRDefault="00127B78" w:rsidP="00127B78">
      <w:pPr>
        <w:pStyle w:val="Style1"/>
        <w:rPr>
          <w:rStyle w:val="Style1Char"/>
        </w:rPr>
      </w:pPr>
      <w:r w:rsidRPr="001E5E8E">
        <w:rPr>
          <w:rStyle w:val="Style1Char"/>
          <w:rtl/>
        </w:rPr>
        <w:t>יט העידו שנים שאכלה שנה ראשונה ושנים העידו על שנה שנייה ושנים העידו על שנה השלישית והוזמו משלשין ביניהן כל כת וכת השליש:</w:t>
      </w:r>
    </w:p>
    <w:p w14:paraId="13A63330" w14:textId="77777777" w:rsidR="00127B78" w:rsidRPr="00104766" w:rsidRDefault="00127B78" w:rsidP="00127B78">
      <w:pPr>
        <w:pStyle w:val="Style1"/>
        <w:rPr>
          <w:rStyle w:val="Style1Char"/>
        </w:rPr>
      </w:pPr>
      <w:r w:rsidRPr="001E5E8E">
        <w:rPr>
          <w:rStyle w:val="Style1Char"/>
          <w:rtl/>
        </w:rPr>
        <w:t>לפיכך ג' אחין ואחד מצטרף עם כל אחד ואחד מהם והעידו שנה שנה שנה הרי אלו שלשה עדיות ותתקיים בהם החזקה והם כעדות אחת לענין הזמה שאם הוזמו כולם שלשת האחים משלמים דמי חצי השדה וזה שנצטרף עם כל אחד ואחד משלם החצי האחר:</w:t>
      </w:r>
    </w:p>
    <w:p w14:paraId="6A06798C" w14:textId="77777777" w:rsidR="00127B78" w:rsidRDefault="00127B78" w:rsidP="00127B78">
      <w:pPr>
        <w:pStyle w:val="Style1"/>
        <w:rPr>
          <w:rStyle w:val="Style1Char"/>
          <w:rtl/>
        </w:rPr>
      </w:pPr>
    </w:p>
    <w:p w14:paraId="1571EA25" w14:textId="77777777" w:rsidR="00127B78" w:rsidRPr="006267F7" w:rsidRDefault="00127B78" w:rsidP="00127B78">
      <w:pPr>
        <w:pStyle w:val="Style1"/>
        <w:rPr>
          <w:rStyle w:val="Style1Char"/>
          <w:rtl/>
        </w:rPr>
      </w:pPr>
    </w:p>
    <w:p w14:paraId="4E3051B3" w14:textId="77777777" w:rsidR="00127B78" w:rsidRDefault="00127B78" w:rsidP="00127B78">
      <w:pPr>
        <w:rPr>
          <w:rStyle w:val="Style1Char"/>
          <w:color w:val="00B050"/>
          <w:rtl/>
        </w:rPr>
      </w:pPr>
      <w:r>
        <w:rPr>
          <w:rStyle w:val="Style1Char"/>
          <w:color w:val="00B050"/>
          <w:rtl/>
        </w:rPr>
        <w:br w:type="page"/>
      </w:r>
    </w:p>
    <w:p w14:paraId="2EBB2C13"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לב עמוד ב]</w:t>
      </w:r>
      <w:r w:rsidRPr="00936EC6">
        <w:rPr>
          <w:rStyle w:val="Style1Char"/>
          <w:color w:val="00B050"/>
          <w:sz w:val="22"/>
          <w:szCs w:val="22"/>
          <w:rtl/>
        </w:rPr>
        <w:t xml:space="preserve"> </w:t>
      </w:r>
      <w:r w:rsidRPr="00B32DE1">
        <w:rPr>
          <w:rStyle w:val="Style1Char"/>
          <w:color w:val="00B050"/>
          <w:rtl/>
        </w:rPr>
        <w:t xml:space="preserve">אלא, עולא תחת תחת גמר, כתיב הכא: תחת אשר ענה, וכתיב התם: עין תחת עין, מה התם - ממונא משלם, מילקא לא לקי, אף כל היכא דאיכא ממונא ומלקות - ממונא משלם, מילקא לא לקי. רבי יוחנן אמר: אפי' תימא אחותו נערה, כאן שהתרו בו, כאן שלא התרו בו. אלמא קסבר רבי יוחנן: כל היכא דאיכא ממון ומלקות ואתרו ביה - מילקא לקי, ממונא לא משלם, מנא ליה לר' יוחנן הא? אמר קרא: כדי רשעתו, משום רשעה אחת אתה מחייבו, ואי אתה מחייבו משום שתי רשעיות, וסמיך ליה ארבעים יכנו. והרי חובל בחבירו דאיכא ממון ומלקות, ממונא משלם, מילקא לא לקי! וכי תימא הני מילי היכא דלא אתרו ביה, אבל אתרו ביה - מילקא לקי, ממונא לא משלם, והאמר ר' אמי א"ר יוחנן: </w:t>
      </w:r>
      <w:r>
        <w:rPr>
          <w:rStyle w:val="Style1Char"/>
          <w:rFonts w:hint="cs"/>
          <w:rtl/>
        </w:rPr>
        <w:t>(1)</w:t>
      </w:r>
      <w:r w:rsidRPr="00B32DE1">
        <w:rPr>
          <w:rStyle w:val="Style1Char"/>
          <w:color w:val="00B050"/>
          <w:rtl/>
        </w:rPr>
        <w:t xml:space="preserve">הכהו הכאה שאין בה שוה פרוטה - לוקה, היכי דמי? אי דלא אתרו ביה, אמאי לוקה? אלא פשיטא דאתרו ביה, וטעמא דלית בה שוה פרוטה, הא אית בה שוה פרוטה - ממונא משלם, מילקא לא לקי! כדאמר רבי אילעא: בפירוש ריבתה תורה עדים זוממין לתשלומין, </w:t>
      </w:r>
      <w:r>
        <w:rPr>
          <w:rStyle w:val="Style1Char"/>
          <w:rFonts w:hint="cs"/>
          <w:rtl/>
        </w:rPr>
        <w:t>(2)</w:t>
      </w:r>
      <w:r w:rsidRPr="00B32DE1">
        <w:rPr>
          <w:rStyle w:val="Style1Char"/>
          <w:color w:val="00B050"/>
          <w:rtl/>
        </w:rPr>
        <w:t xml:space="preserve">הכא נמי בפירוש ריבתה תורה חובל בחבירו לתשלומין. והיכא איתמר דר' אילעא? אהא: מעידין אנו את איש פלוני שחייב לחבירו מאתים זוז, ונמצאו זוממין - לוקין ומשלמין, שלא השם המביאן לידי מכות מביאן לידי תשלומין, דברי ר"מ, וחכמים אומרים: </w:t>
      </w:r>
      <w:r>
        <w:rPr>
          <w:rStyle w:val="Style1Char"/>
          <w:rFonts w:hint="cs"/>
          <w:rtl/>
        </w:rPr>
        <w:t>(3)</w:t>
      </w:r>
      <w:r w:rsidRPr="00B32DE1">
        <w:rPr>
          <w:rStyle w:val="Style1Char"/>
          <w:color w:val="00B050"/>
          <w:rtl/>
        </w:rPr>
        <w:t xml:space="preserve">כל המשלם אינו לוקה; ונימא: כל הלוקה אינו משלם! א"ר אילעא: בפירוש ריבתה תורה עדים זוממין לתשלומין. היכן ריבתה תורה? מכדי כתיב: ועשיתם לו כאשר זמם לעשות לאחיו, יד ביד למה לי? דבר הניתן מיד ליד, ומאי ניהו? ממון. חובל בחבירו נמי, מכדי כתיב: כאשר עשה כן יעשה לו, כן ינתן בו למה לי? דבר שיש בו נתינה, ומאי ניהו? ממון. ורבי יוחנן מ"ט לא אמר כעולא? אם כן, בטלת ערות אחותך לא תגלה. </w:t>
      </w:r>
    </w:p>
    <w:p w14:paraId="5D96ABE5" w14:textId="3C2955DB" w:rsidR="00127B78" w:rsidRDefault="00127B78" w:rsidP="00127B78">
      <w:pPr>
        <w:pStyle w:val="Style1"/>
        <w:rPr>
          <w:rStyle w:val="Style1Char"/>
          <w:rtl/>
        </w:rPr>
      </w:pPr>
      <w:r>
        <w:rPr>
          <w:rStyle w:val="Style1Char"/>
          <w:rFonts w:hint="cs"/>
          <w:rtl/>
        </w:rPr>
        <w:t>1)[</w:t>
      </w:r>
      <w:r w:rsidRPr="002E73E3">
        <w:rPr>
          <w:rStyle w:val="Style1Char"/>
          <w:rtl/>
        </w:rPr>
        <w:t>רמב</w:t>
      </w:r>
      <w:r w:rsidR="005258D6">
        <w:rPr>
          <w:rStyle w:val="Style1Char"/>
          <w:rtl/>
        </w:rPr>
        <w:t>”</w:t>
      </w:r>
      <w:r w:rsidRPr="002E73E3">
        <w:rPr>
          <w:rStyle w:val="Style1Char"/>
          <w:rtl/>
        </w:rPr>
        <w:t>ם</w:t>
      </w:r>
      <w:r w:rsidR="005258D6">
        <w:rPr>
          <w:rStyle w:val="Style1Char"/>
          <w:rtl/>
        </w:rPr>
        <w:t xml:space="preserve">\שופטים\ </w:t>
      </w:r>
      <w:r w:rsidRPr="002E73E3">
        <w:rPr>
          <w:rStyle w:val="Style1Char"/>
          <w:rtl/>
        </w:rPr>
        <w:t xml:space="preserve"> הלכות סנהדרין פרק יט הלכה ד</w:t>
      </w:r>
      <w:r>
        <w:rPr>
          <w:rStyle w:val="Style1Char"/>
          <w:rFonts w:hint="cs"/>
          <w:rtl/>
        </w:rPr>
        <w:t xml:space="preserve">] </w:t>
      </w:r>
      <w:r w:rsidRPr="002E73E3">
        <w:rPr>
          <w:rStyle w:val="Style1Char"/>
          <w:rtl/>
        </w:rPr>
        <w:t>כל לא תעשה שבתורה שאין בהן לא כרת ולא מיתת בית דין שלוקין עליהן קס"ח, ואלו הן: (א) העושה אליל, (ב) העושה אליל לנוי, (ג) הפונה אל אלילים באחד מן המעשים, (ד) המקים מצבה, (ה) הנוטע אילן במקדש, (ו) הנותן אבן משכית, (ז) הנודר בשם ע"ז, (ח) הנשבע בשמה, (ט) הנהנה בה, (י) הבונה עיר הנדחת, (יא) הנהנה ממנה, (יב) העושה כחקות העכו"ם, (יג) הקוסם, (יד) המעונן, (טו) המנחש, (טז) החובר, (יז) הדורש אל המתים, (יח) המוחק שם וכיוצא בו כגון הורס אבן מן המזבח או שורף עץ מן המקדש, (יט) המכבה אש מן המזבח, (כ) העולה עליו במעלות, (כא) הנכנס לעזרה בבגדים טמאים, (כב) זב וכיוצא בו שנכנס להר הבית, (כג) המסיר בדי ארון, (כד) המזיח חשן מעל האפוד, (כה) הקורע פי המעיל, (כו) המקריב על מזבח הזהב, (כז) כהן שנכנס להיכל שלא בשעת העבודה, (כח) בעל מום שנכנס לשם, (כט) שתוי שנכנס לשם, (ל) בעל מום ששמש, (לא) ערל ששמש, (לב) כהן שעבד בעבודת הלוים, (לג) כהן שנכנס למקדש פרוע ראש, (לד) כהן שנכנס למקדש קרוע בגדים, (לה) המקדיש בעלי מומין, (לו) השוחטן, (לז) הזורק דמיהן, (לח) המקטיר אימוריהן, (לט) המקריב קרבנות עכו"ם בעלי מומין, (מ) המטיל מום בקדשים בזמן המקדש, (מא) העובד בקדשים, (מב) הגוזז אותן, (מג) המקטיר שאור או דבש, (מד) העושה שירי מנחות מחמץ, (מה) המקריב בלא מלח, (מו) המקריב אתנן או מחיר כלב, (מז) הנותן שמן על מנחת חוטא, (מח) הנותן עליה לבונה, (מט) הנותן שמן בקרבן סוטה, (נ) הנותן עליו לבונה. (נא) המבדיל בחטאת העוף, (נב) המימר בקדשי מזבח, (נג) האוכל בשר קודש שנטמא, (נד) האוכל מפסולי המוקדשין, (נה) כהן שאכל בשר קדשי קדשים חוץ לעזרה, (נו) זר שאכל בשר קדשי קדשים אחר מתן דמים, (נז) זר שאכל בשר בכור, (נח) כהנת שנשאת לזר שאוכלת חזה ושוק אפילו לאחר מיתת בעלה, (נט) חללה שאכלה תרומה, (ס) האוכל קדשים קלים חוץ לירושלים, (סא) האוכל קדשים קלים קודם זריקת דמים, (סב) האוכל בכור חוץ לירושלים, (סג) האוכל מעשר שני אחר שראה פני הבית חוץ לירושלים, (סד) כהן שאכל בכורים משנכנסו לירושלים קודם הנחה בעזרה, (סה) כהן שאכל בכורים חוץ לירושלים אחר שהניחו בעזרה, (סו) האוכל מעשר שני שנטמא בירושלים קודם שיפדה, (סז) טמא שאכל מעשר שני הטהור בירושלים, (סח) האוכל מעשר שני באנינות וכן כל הקדשים, (סט) ערל שאכל בשר קודש או תרומות, (ע) האוכל ממנחת כהן וכן מכל דבר שהוא כליל לאשים, (עא) האוכל מבשר חטאות הנשרפות וכן מכל הטעון שריפה, (עב) השוחט פסח על החמץ, (עג) השובר בו עצם בין בראשון בין בשני, (עד) המוציא מבשרו חוץ לחבורתו, (עה) האוכל מבשרו חוץ מחבורתו, (עו) האוכל מבשרו נא או מבושל, (עז) הנהנה מן ההקדש במזיד, (עח) האוכל טבל שעדיין לא הופרש ממנו מעשר אפילו מעשר עני אף על פי שהורמו תרומותיו, (עט) האוכל מבשר נפש חיה שנגמר דינה לסקילה אף על פי שנשחטה, (פ) האוכל בהמה טמאה, (פא) האוכל עוף טמא, (פב) האוכל דג טמא, (פג) האוכל שרץ העוף, (פד) האוכל שרץ הארץ, (פה) האוכל שרץ המים, (פו) האוכל רמש האדמה אף על פי שאינו רבה, (פז) האוכל תולעים שבפירות אחר שפירשו. (פח) האוכל נבילה, (פט) האוכל טריפה, (צ) האוכל אבר מן החי, (צא) האוכל גיד הנשה, (צב) האוכל בשר בחלב, (צג) המבשל בשר בחלב, (צד) האוכל מתבואה חדשה קודם הבאת העומר, [המקריב מנחה מתבואה חדשה קודם הבאת שתי הלחם], (צה) האוכל ערלה, (צו) האוכל כלאי הכרם, (צז) האוכל תערובת חמץ בפסח, (צח) האוכל חמץ אחר חצות, (צט) המקיים חמץ ברשותו וכגון שחימץ עיסתו, (ק) השותה יין נסך, (קא) נזיר שאכל מגפן היין, (קב) נזיר שגילח, (קג) נזיר שנטמא למת, (קד) המגלח את הנתק, (קה) החותך סימני צרעת או שכוואן באש, (קו) העובד בנחל שנתערפה בו העגלה, (קז) הזורע ארץ ישראל בשביעית, (קח) הזומר את האילן בשביעית, (קט) הקוצר ספיח בלא שינוי, (קי) הבוצר בלא שינוי, (קיא) הזורע בשנת היובל, (קיב) הקוצר בה בלא שינוי, (קיג) הבוצר בה בלא שינוי, (קיד) המכלה פאת שדה ולא נתנה לעני, (קטו) המעולל כרמו ולא נתנה לעני, (קטז) המלקט לקט ולא נתנו לעני, (קיז) פרט כרמו ולא נתנו לעני, (קיח) הלוקח עומר השכחה ולא נתנו לעני, (קיט) הלוקח אם על בנים ולא שלח האם, (קכ) הזורע כלאים בארץ בזרעים, (קכא) הזורע כלאי הכרם בארץ, (קכב) המרכיב אילנות כלאים בכל מקום, (קכג) המרביע בהמה כלאים בכל מקום, (קכד) המנהיג בכלאים בכל מקום, (קכה) החוסם בהמה בעת מלאכה בכל מקום, (קכו) השוחט אותו ואת בנו בכל מקום. (קכז) הממשכן חבירו בידו ולא החזיר לו העבוט, (קכח) החובל אלמנה ולא החזיר המשכון, (קכט) החובל כלים שעושין בהן אוכל נפש, (קל) עד זומם שאין בו תשלומין, (קלא) המכה חבירו הכאה שאין בה שוה פרוטה, (קלב) בן סורר ומורה בעדות ראשונה, (קלג) המוציא שם רע שנמצא דברו שקר, (קלד) המקלל את חבירו בשם, (קלה) הנשבע לשקר, (קלו) הנשבע לשוא, (קלז) המחלל נדרו, (קלח) היוצא חוץ לתחום בשבת, (קלט) העושה מלאכה ביום טוב, (קמ) המקיף פאת הראש, (קמא) המקיף פאת זקן, (קמב) השורט על מת, (קמג) הקורח ראשו על המת, (קמד) הכותב כתובת קעקע, (קמה) הלובש שעטנז, (קמו) הקוצץ אילני מאכל דרך השחתה. (קמז) איש שלבש מלבוש אשה, (קמח) אשה שלבשה מלבוש איש, (קמט) כהן שנטמא למת, (קנ) כהן שקדש אשה זונה ובעלה, (קנא) כהן שקדש גרושה ובעלה, (קנב) כהן שקדש חללה ובעלה, (קנג) כהן גדול שבעל אלמנה אף על פי שלא קדשה, (קנד) המחזיר גרושתו אחר שנתקדשה, (קנה) הנושא זקוקה ליבם, (קנו) הבא על הקדשה, (קנז) ממזר שנשא בת ישראל ובעל, (קנח) פצוע דכא שנשא בת ישראל ובעל, (קנט) המסרס איש וכן שאר זכרי בהמה חיה ועוף, (קס) אונס שגירש אנוסתו ולא החזירה, (קסא) המוציא שם רע שגירש אשתו ולא החזירה, (קסב) הקרב אל העריות בדרך מדרכי הזנות אף על פי שלא גילה ערוה וזהו החשוד על העריות, (קסג) המתחתן בעכו"ם, (קסד) גר עמוני שנשא בת ישראל ובעל, (קסה) גר מואבי שנשא בת ישראל ובעל, (קסו) מלך שהרבה נשים, (קסז) מלך שהרבה סוסים, (קסח) מלך שהרבה כסף וזהב. נמצאו כל הלוקים ר"ז וסימן להם ילקו זרים. /השגת הראב"ד/ פצוע דכא שנשא בת ישראל ובעל. א"א לא ידעתי נשואין מה צורך והרי מצינו על הממזרת משלם קנס והקשו בגמרא על רבא קשיא ממזרת לדעת רבי יצחק היאך לוקה ומשלם אלמא בביאה לחודה לוקה.</w:t>
      </w:r>
    </w:p>
    <w:p w14:paraId="784D459B" w14:textId="77777777" w:rsidR="00127B78" w:rsidRDefault="00127B78" w:rsidP="00127B78">
      <w:pPr>
        <w:pStyle w:val="Style1"/>
        <w:rPr>
          <w:rtl/>
        </w:rPr>
      </w:pPr>
      <w:r>
        <w:rPr>
          <w:rStyle w:val="Style1Char"/>
          <w:rFonts w:hint="cs"/>
          <w:rtl/>
        </w:rPr>
        <w:t>1)[</w:t>
      </w:r>
      <w:r w:rsidRPr="00CC4692">
        <w:rPr>
          <w:rStyle w:val="Style1Char"/>
          <w:rtl/>
        </w:rPr>
        <w:t>שולחן ערוך חושן משפט הלכות חובל בחבירו סימן תכ סעיף ב</w:t>
      </w:r>
      <w:r>
        <w:rPr>
          <w:rStyle w:val="Style1Char"/>
          <w:rFonts w:hint="cs"/>
          <w:rtl/>
        </w:rPr>
        <w:t xml:space="preserve">] </w:t>
      </w:r>
      <w:r w:rsidRPr="00AB2973">
        <w:rPr>
          <w:rtl/>
        </w:rPr>
        <w:t>הכהו מכה שאין בה שוה פרוטה לוקה כיון שאין בה חיוב ממון ואפי' הכה עבד כנעני לוקה הוא שהרי חייב במצות</w:t>
      </w:r>
      <w:r w:rsidRPr="00AB2973">
        <w:t>:</w:t>
      </w:r>
    </w:p>
    <w:p w14:paraId="47744E35" w14:textId="3270DCA4" w:rsidR="00127B78" w:rsidRDefault="00127B78" w:rsidP="00127B78">
      <w:pPr>
        <w:pStyle w:val="Style1"/>
        <w:rPr>
          <w:rtl/>
        </w:rPr>
      </w:pPr>
      <w:r>
        <w:rPr>
          <w:rFonts w:hint="cs"/>
          <w:rtl/>
        </w:rPr>
        <w:t>2)[</w:t>
      </w:r>
      <w:r>
        <w:rPr>
          <w:rtl/>
        </w:rPr>
        <w:t>רמב</w:t>
      </w:r>
      <w:r w:rsidR="005258D6">
        <w:rPr>
          <w:rtl/>
        </w:rPr>
        <w:t>”ם \נזיקין\</w:t>
      </w:r>
      <w:r>
        <w:rPr>
          <w:rtl/>
        </w:rPr>
        <w:t xml:space="preserve"> הלכות חובל ומזיק פרק ד הלכה א</w:t>
      </w:r>
      <w:r>
        <w:rPr>
          <w:rFonts w:hint="cs"/>
          <w:rtl/>
        </w:rPr>
        <w:t xml:space="preserve">] </w:t>
      </w:r>
      <w:r>
        <w:rPr>
          <w:rtl/>
        </w:rPr>
        <w:t>הנוגף את האשה ויצאו ילדיה אף על פי שלא נתכוון חייב לשלם דמי ולדות לבעל ונזק וצער לאשה.</w:t>
      </w:r>
    </w:p>
    <w:p w14:paraId="53E92DAE" w14:textId="77777777" w:rsidR="00127B78" w:rsidRDefault="00127B78" w:rsidP="00127B78">
      <w:pPr>
        <w:pStyle w:val="Style1"/>
        <w:rPr>
          <w:rtl/>
        </w:rPr>
      </w:pPr>
      <w:r>
        <w:rPr>
          <w:rFonts w:hint="cs"/>
          <w:rtl/>
        </w:rPr>
        <w:t>2)[</w:t>
      </w:r>
      <w:r>
        <w:rPr>
          <w:rtl/>
        </w:rPr>
        <w:t>שולחן ערוך חושן משפט הלכות חובל בחבירו סימן תכד סעיף ב</w:t>
      </w:r>
      <w:r>
        <w:rPr>
          <w:rFonts w:hint="cs"/>
          <w:rtl/>
        </w:rPr>
        <w:t xml:space="preserve">] </w:t>
      </w:r>
      <w:r w:rsidRPr="00125A44">
        <w:rPr>
          <w:rtl/>
        </w:rPr>
        <w:t>החובל בחבירו בשבת פטור מתשלומין אפילו הוא שוגג כיון שיש בו מיתת ב"ד אבל החובל בחבירו בי"הכ [אפילו] במזיד חייב לשלם לו</w:t>
      </w:r>
      <w:r w:rsidRPr="00125A44">
        <w:t>:</w:t>
      </w:r>
    </w:p>
    <w:p w14:paraId="338A51AA" w14:textId="785EDA50" w:rsidR="00127B78" w:rsidRDefault="00127B78" w:rsidP="00127B78">
      <w:pPr>
        <w:pStyle w:val="Style1"/>
        <w:rPr>
          <w:rtl/>
        </w:rPr>
      </w:pPr>
      <w:r>
        <w:rPr>
          <w:rFonts w:hint="cs"/>
          <w:rtl/>
        </w:rPr>
        <w:t>3)[</w:t>
      </w:r>
      <w:r>
        <w:rPr>
          <w:rtl/>
        </w:rPr>
        <w:t>רמב</w:t>
      </w:r>
      <w:r w:rsidR="0057095E">
        <w:rPr>
          <w:rtl/>
        </w:rPr>
        <w:t>”ם \שופטים\</w:t>
      </w:r>
      <w:r>
        <w:rPr>
          <w:rtl/>
        </w:rPr>
        <w:t xml:space="preserve"> הלכות עדות פרק יח הלכה א</w:t>
      </w:r>
      <w:r>
        <w:rPr>
          <w:rFonts w:hint="cs"/>
          <w:rtl/>
        </w:rPr>
        <w:t xml:space="preserve">] </w:t>
      </w:r>
      <w:r>
        <w:rPr>
          <w:rtl/>
        </w:rPr>
        <w:t>מי שהעיד בשקר ונודע בעדים שהעיד בשקר זהו שנקרא עד זומם, ומצות עשה לעשות לו כמה שרצה לעשות בעדותו לחבירו, אם בעבירה שחייבין עליה סקילה העידו והוזמו נסקלין כולן, ואם בשרפה נשרפין וכן שאר המיתות, ואם העידו במלקות לוקה כל אחד מהן כשאר מחוייבי מלקות, ואומדין כחו ומלקין אותו, ואם העידו לחייבו ממון משלשין הממון ביניהן לפי מנין העדים, כל אחד ואחד יתן חלק המגיע לו ואין לוקין במקום תשלומין.</w:t>
      </w:r>
    </w:p>
    <w:p w14:paraId="5C6BBE59" w14:textId="77777777" w:rsidR="00127B78" w:rsidRPr="001E5E8E" w:rsidRDefault="00127B78" w:rsidP="00127B78">
      <w:pPr>
        <w:pStyle w:val="Style1"/>
        <w:rPr>
          <w:rStyle w:val="Style1Char"/>
        </w:rPr>
      </w:pPr>
      <w:r>
        <w:rPr>
          <w:rFonts w:hint="cs"/>
          <w:rtl/>
        </w:rPr>
        <w:t>3</w:t>
      </w:r>
      <w:r>
        <w:rPr>
          <w:rStyle w:val="Style1Char"/>
          <w:rFonts w:hint="cs"/>
          <w:rtl/>
        </w:rPr>
        <w:t>)[</w:t>
      </w:r>
      <w:r w:rsidRPr="001E5E8E">
        <w:rPr>
          <w:rStyle w:val="Style1Char"/>
          <w:rtl/>
        </w:rPr>
        <w:t>טור חושן משפט הלכות עדות סימן לח</w:t>
      </w:r>
      <w:r>
        <w:rPr>
          <w:rStyle w:val="Style1Char"/>
          <w:rFonts w:hint="cs"/>
          <w:rtl/>
        </w:rPr>
        <w:t>]</w:t>
      </w:r>
    </w:p>
    <w:p w14:paraId="2C724323" w14:textId="77777777" w:rsidR="00127B78" w:rsidRPr="001E5E8E" w:rsidRDefault="00127B78" w:rsidP="00127B78">
      <w:pPr>
        <w:pStyle w:val="Style1"/>
        <w:rPr>
          <w:rStyle w:val="Style1Char"/>
        </w:rPr>
      </w:pPr>
      <w:r>
        <w:rPr>
          <w:rStyle w:val="Style1Char"/>
          <w:rFonts w:hint="cs"/>
          <w:rtl/>
        </w:rPr>
        <w:lastRenderedPageBreak/>
        <w:t xml:space="preserve">א </w:t>
      </w:r>
      <w:r w:rsidRPr="001E5E8E">
        <w:rPr>
          <w:rStyle w:val="Style1Char"/>
          <w:rtl/>
        </w:rPr>
        <w:t>שני עדים שהעידו באחד שהרג הנפש או שחייב לפלוני מנה ובאו ב' והכחישום דברי שניהם בטלין והוא והן פטורין אבל אם באו האחרונים והזימום אז האחרונים נאמנין ועדות הראשונים בטלה והן חייבין כפי מה אשר רצו לחייב אותן שהעידו עליו אם באו לחייבו מיתה נהרגין במיתה שבאו להרגו בה:</w:t>
      </w:r>
    </w:p>
    <w:p w14:paraId="36865149" w14:textId="77777777" w:rsidR="00127B78" w:rsidRPr="001E5E8E" w:rsidRDefault="00127B78" w:rsidP="00127B78">
      <w:pPr>
        <w:pStyle w:val="Style1"/>
        <w:rPr>
          <w:rStyle w:val="Style1Char"/>
        </w:rPr>
      </w:pPr>
      <w:r w:rsidRPr="001E5E8E">
        <w:rPr>
          <w:rStyle w:val="Style1Char"/>
          <w:rtl/>
        </w:rPr>
        <w:t>ב ואם לחייבו ממון באו משלמין הממון בין שניהן ואין לוקין כיון שמשלמין:</w:t>
      </w:r>
    </w:p>
    <w:p w14:paraId="59E92081" w14:textId="77777777" w:rsidR="00127B78" w:rsidRPr="001E5E8E" w:rsidRDefault="00127B78" w:rsidP="00127B78">
      <w:pPr>
        <w:pStyle w:val="Style1"/>
        <w:rPr>
          <w:rStyle w:val="Style1Char"/>
        </w:rPr>
      </w:pPr>
      <w:r w:rsidRPr="001E5E8E">
        <w:rPr>
          <w:rStyle w:val="Style1Char"/>
          <w:rtl/>
        </w:rPr>
        <w:t>ג חוץ מאם העידו על כהן שהוא בן גרושה או בן חלוצה שאז לוקין לפי שא"א לקיים בהם ועשיתם לו כאשר זמם וכן אם העידו באחד שהרג שוגג ובאו לחייבו גלות והוזמו או שהעידו באחד בשור המועד שלו שהרג ובאו לחייבו כופר והוזמו או שהעידו באחד שגנב ואין לו לשלם ובאו לחייבו להיותו נמכר בגנבתו והוזמו באחד מכל אלו לוקין:</w:t>
      </w:r>
    </w:p>
    <w:p w14:paraId="5F90DD89" w14:textId="77777777" w:rsidR="00127B78" w:rsidRPr="001E5E8E" w:rsidRDefault="00127B78" w:rsidP="00127B78">
      <w:pPr>
        <w:pStyle w:val="Style1"/>
        <w:rPr>
          <w:rStyle w:val="Style1Char"/>
        </w:rPr>
      </w:pPr>
      <w:r w:rsidRPr="001E5E8E">
        <w:rPr>
          <w:rStyle w:val="Style1Char"/>
          <w:rtl/>
        </w:rPr>
        <w:t>ד ומה שמתחייבין הניזמין אינו אלא קנס לפיכך אין משלמין על פי עצמן שאם אמרו העדנו בב"ד פלוני והוזמנו אינן חייבין אבל אם אמרו הוזמנו בב"ד פלוני ונתחייבנו ליתן לו כך וכך הרי אלו משלמין שזה ממון גמור הוא כיון שכבר נתחייבו בו בב"ד:</w:t>
      </w:r>
    </w:p>
    <w:p w14:paraId="538FC774" w14:textId="77777777" w:rsidR="00127B78" w:rsidRPr="001E5E8E" w:rsidRDefault="00127B78" w:rsidP="00127B78">
      <w:pPr>
        <w:pStyle w:val="Style1"/>
        <w:rPr>
          <w:rStyle w:val="Style1Char"/>
        </w:rPr>
      </w:pPr>
      <w:r w:rsidRPr="001E5E8E">
        <w:rPr>
          <w:rStyle w:val="Style1Char"/>
          <w:rtl/>
        </w:rPr>
        <w:t>ה אבל אם אמרו עדים שקר העדנו כתב ר"ח לא מיבעיא שאין משלמין ע"פ עצמן אלא אפי' העדות שהעידו נכונה חשבינן ליה ומתקיימת שכיון שהגיד שוב אינו חוזר ומגיד:</w:t>
      </w:r>
    </w:p>
    <w:p w14:paraId="4DE3A28D" w14:textId="77777777" w:rsidR="00127B78" w:rsidRPr="001E5E8E" w:rsidRDefault="00127B78" w:rsidP="00127B78">
      <w:pPr>
        <w:pStyle w:val="Style1"/>
        <w:rPr>
          <w:rStyle w:val="Style1Char"/>
        </w:rPr>
      </w:pPr>
      <w:r w:rsidRPr="001E5E8E">
        <w:rPr>
          <w:rStyle w:val="Style1Char"/>
          <w:rtl/>
        </w:rPr>
        <w:t>ו ומה יש בין הכחשה להזמה הכחשה אינה בגוף העדים אלא שמכחישין אותן שאלו אומרים פלוני לוה מפלוני ואלו אומרים יודעין אנו שלא לוה כי היינו אצלו כל היום וראינו שלא לוה והזמה בגוף העדים שאומר באותו שעה שאתם אומרים שלוה הייתם עמנו:</w:t>
      </w:r>
    </w:p>
    <w:p w14:paraId="30DFED44" w14:textId="77777777" w:rsidR="00127B78" w:rsidRPr="001E5E8E" w:rsidRDefault="00127B78" w:rsidP="00127B78">
      <w:pPr>
        <w:pStyle w:val="Style1"/>
        <w:rPr>
          <w:rStyle w:val="Style1Char"/>
        </w:rPr>
      </w:pPr>
      <w:r w:rsidRPr="001E5E8E">
        <w:rPr>
          <w:rStyle w:val="Style1Char"/>
          <w:rtl/>
        </w:rPr>
        <w:t>ז ומפני זה האחרונים נאמנין כיון שמעידין על גופן של העדים והוי כאלו העידו עליהן שהרגו הנפש או שחללו שבת והן אינן נאמנין על עצמן לומר לא עשינו כך וכך:</w:t>
      </w:r>
    </w:p>
    <w:p w14:paraId="199E0EB7" w14:textId="77777777" w:rsidR="00127B78" w:rsidRPr="001E5E8E" w:rsidRDefault="00127B78" w:rsidP="00127B78">
      <w:pPr>
        <w:pStyle w:val="Style1"/>
        <w:rPr>
          <w:rStyle w:val="Style1Char"/>
        </w:rPr>
      </w:pPr>
      <w:r w:rsidRPr="001E5E8E">
        <w:rPr>
          <w:rStyle w:val="Style1Char"/>
          <w:rtl/>
        </w:rPr>
        <w:t>ח ואפי' היו הראשונים ק' נאמנין אלו עליהן להורגם בין אם העידו המאה בבת אחת בין אם העידו בזה אחר זה שנים אחר שנים ואלו המזימין הזימו כל כת וכת בזה אחר זה:</w:t>
      </w:r>
    </w:p>
    <w:p w14:paraId="5FA7411E" w14:textId="77777777" w:rsidR="00127B78" w:rsidRPr="001E5E8E" w:rsidRDefault="00127B78" w:rsidP="00127B78">
      <w:pPr>
        <w:pStyle w:val="Style1"/>
        <w:rPr>
          <w:rStyle w:val="Style1Char"/>
        </w:rPr>
      </w:pPr>
      <w:r w:rsidRPr="001E5E8E">
        <w:rPr>
          <w:rStyle w:val="Style1Char"/>
          <w:rtl/>
        </w:rPr>
        <w:t>ט עדים זוממין אין צריכין התראה:</w:t>
      </w:r>
    </w:p>
    <w:p w14:paraId="2E7A1668" w14:textId="77777777" w:rsidR="00127B78" w:rsidRPr="001E5E8E" w:rsidRDefault="00127B78" w:rsidP="00127B78">
      <w:pPr>
        <w:pStyle w:val="Style1"/>
        <w:rPr>
          <w:rStyle w:val="Style1Char"/>
        </w:rPr>
      </w:pPr>
      <w:r w:rsidRPr="001E5E8E">
        <w:rPr>
          <w:rStyle w:val="Style1Char"/>
          <w:rtl/>
        </w:rPr>
        <w:t>י ואין מזימין אותן אלא בפניהם:</w:t>
      </w:r>
    </w:p>
    <w:p w14:paraId="1CBA6CF3" w14:textId="77777777" w:rsidR="00127B78" w:rsidRPr="001E5E8E" w:rsidRDefault="00127B78" w:rsidP="00127B78">
      <w:pPr>
        <w:pStyle w:val="Style1"/>
        <w:rPr>
          <w:rStyle w:val="Style1Char"/>
        </w:rPr>
      </w:pPr>
      <w:r w:rsidRPr="001E5E8E">
        <w:rPr>
          <w:rStyle w:val="Style1Char"/>
          <w:rtl/>
        </w:rPr>
        <w:t>יא אבל מכחישין אותן אפילו שלא בפניהם:</w:t>
      </w:r>
    </w:p>
    <w:p w14:paraId="36F25F99" w14:textId="77777777" w:rsidR="00127B78" w:rsidRPr="001E5E8E" w:rsidRDefault="00127B78" w:rsidP="00127B78">
      <w:pPr>
        <w:pStyle w:val="Style1"/>
        <w:rPr>
          <w:rStyle w:val="Style1Char"/>
        </w:rPr>
      </w:pPr>
      <w:r w:rsidRPr="001E5E8E">
        <w:rPr>
          <w:rStyle w:val="Style1Char"/>
          <w:rtl/>
        </w:rPr>
        <w:t>יב ואם הוכחשו ואח"כ הוזמו לוקין או משלמין שהכחשה תחלת הזמה היא:</w:t>
      </w:r>
    </w:p>
    <w:p w14:paraId="0B4A48B4" w14:textId="77777777" w:rsidR="00127B78" w:rsidRPr="001E5E8E" w:rsidRDefault="00127B78" w:rsidP="00127B78">
      <w:pPr>
        <w:pStyle w:val="Style1"/>
        <w:rPr>
          <w:rStyle w:val="Style1Char"/>
        </w:rPr>
      </w:pPr>
      <w:r w:rsidRPr="001E5E8E">
        <w:rPr>
          <w:rStyle w:val="Style1Char"/>
          <w:rtl/>
        </w:rPr>
        <w:t>יג והזמה שלא בפניהם אף על פי שאינה הזמה הכחשה מיהא הוי לבטל עדותן:</w:t>
      </w:r>
    </w:p>
    <w:p w14:paraId="3BD3C5E2" w14:textId="77777777" w:rsidR="00127B78" w:rsidRPr="001E5E8E" w:rsidRDefault="00127B78" w:rsidP="00127B78">
      <w:pPr>
        <w:pStyle w:val="Style1"/>
        <w:rPr>
          <w:rStyle w:val="Style1Char"/>
        </w:rPr>
      </w:pPr>
      <w:r w:rsidRPr="001E5E8E">
        <w:rPr>
          <w:rStyle w:val="Style1Char"/>
          <w:rtl/>
        </w:rPr>
        <w:t>יד אין העדים זוממין לוקין או משלמין עד שיהו כולם כשרים ראוים להעיד ויגמר הדין על פיהם ויוזמו כולם אפי' מאה אף על פי שהעדות מתקיים אפי' בב' אין חייבין עד שיוזמו כולם והוא שהעיד כל אחד ואחד תוך כדי דבור של חבירו או שאמר אחר עדות חבירו ואני כמותך</w:t>
      </w:r>
      <w:r>
        <w:rPr>
          <w:rStyle w:val="Style1Char"/>
          <w:rFonts w:hint="cs"/>
          <w:rtl/>
        </w:rPr>
        <w:t xml:space="preserve"> </w:t>
      </w:r>
      <w:r w:rsidRPr="001E5E8E">
        <w:rPr>
          <w:rStyle w:val="Style1Char"/>
          <w:rtl/>
        </w:rPr>
        <w:t>אבל אם יש ביניהם הפסק יותר מכדי דבור אז נחלקה העדות והשנים שהוזמו נענשים והאחרונים שהיה הפסק ביניהן ובין דברי הראשונים אינן נענשין אף ע"פ שכל העדות בטילה וכתב הר"ר ישעיה מה שצריך שיעידו כולם בתכ"ד זהו דוקא כשהעידו מאליהם בלא התראת הדיינין לומר להם למיחזי קאתיתו או לאסהודי קא אתיתו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 ודוקא בשאר העדים בעינן שיעידו תכ"ד לצרפם עם ב' הראשונים אבל בשנים הראשונים אף על פי שהפסיקו בין זה לזה אין בכך כלום אבל אם לא הוזמו כולם או שהוזמו קודם שנגמר הדין על פיהם או שנמצא אחד מהן קרוב או פסול פטורין:</w:t>
      </w:r>
    </w:p>
    <w:p w14:paraId="465B342F" w14:textId="77777777" w:rsidR="00127B78" w:rsidRPr="001E5E8E" w:rsidRDefault="00127B78" w:rsidP="00127B78">
      <w:pPr>
        <w:pStyle w:val="Style1"/>
        <w:rPr>
          <w:rStyle w:val="Style1Char"/>
        </w:rPr>
      </w:pPr>
      <w:r w:rsidRPr="001E5E8E">
        <w:rPr>
          <w:rStyle w:val="Style1Char"/>
          <w:rtl/>
        </w:rPr>
        <w:t>טו העידו שנים פלוני לוה מפלוני מנה במזרח הבירה ובאו שנים ואמרו עמנו הייתם במערב הבירה אם העומד במערב הבירה יכול להביט מה שעושין במזרחה אינן זוממין ואם לאו זוממין הם ואין אומרים מאור עיניהם של ראשונים גדול והביטו מרחוק יותר משאר כל אדם. וכן אם אמרו פלוני לוה מפלוני מנה בסוריא ביום פלוני בבקר ובאו שנים ואמרו באותו יום הייתם עמנו בנהרדעא בערב אם אדם יכול לרוץ בסוס מסוריא לנהרדעא מבוקר עד ערב אינם זוממין ואם לאו זוממין הם ואין אומרים שמא נזדמן להם סוס רץ יותר מבדרך העולם ובאו בו ביום אלא משערים כפי דרך העולם ולא יותר:</w:t>
      </w:r>
    </w:p>
    <w:p w14:paraId="33EDDB0C" w14:textId="77777777" w:rsidR="00127B78" w:rsidRPr="001E5E8E" w:rsidRDefault="00127B78" w:rsidP="00127B78">
      <w:pPr>
        <w:pStyle w:val="Style1"/>
        <w:rPr>
          <w:rStyle w:val="Style1Char"/>
        </w:rPr>
      </w:pPr>
      <w:r w:rsidRPr="001E5E8E">
        <w:rPr>
          <w:rStyle w:val="Style1Char"/>
          <w:rtl/>
        </w:rPr>
        <w:t>טז שנים שהעידו באחד שגירש את אישתו ובאו לחייבו ליתן לה כתובתה והוזמו אין חייבים לפרוע לו כל הכתובה שהרי אף לפי מה שהוזמו נשאר עליו חיוב הכתובה לכשתתאלמן או שתתגרש אלא אומדין כמה אדם רוצה ליתן בכתובתה של זאת אם היתה עומדת לגבות מיד ורואין כמה היא שוה מי שבא לקנותה מספק אם תתאלמן או תתגרש ומאי דבינו ביני יתנו הם לבעל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 וגם שמין לפי מה שהיא השדה המיוחדת לכתובתה אם היא עידית או בינונית או זיבורית:</w:t>
      </w:r>
    </w:p>
    <w:p w14:paraId="46F92B62" w14:textId="77777777" w:rsidR="00127B78" w:rsidRPr="001E5E8E" w:rsidRDefault="00127B78" w:rsidP="00127B78">
      <w:pPr>
        <w:pStyle w:val="Style1"/>
        <w:rPr>
          <w:rStyle w:val="Style1Char"/>
        </w:rPr>
      </w:pPr>
      <w:r w:rsidRPr="001E5E8E">
        <w:rPr>
          <w:rStyle w:val="Style1Char"/>
          <w:rtl/>
        </w:rPr>
        <w:t>יז העידו באחד שחייב לחבירו מנה ליתנו לו לאחר שלשים יום והוא אומר שאינו חייב ליתנו לו אלא לאחר חמשה שנים והוזמו אומדים כמה אדם רוצה ליתן וישאר מנה בידו מל' יום ואילך על תשלום חמשה שנים וכך יתנו לו וכן כל כיוצא בזה:</w:t>
      </w:r>
    </w:p>
    <w:p w14:paraId="60022824" w14:textId="77777777" w:rsidR="00127B78" w:rsidRPr="001E5E8E" w:rsidRDefault="00127B78" w:rsidP="00127B78">
      <w:pPr>
        <w:pStyle w:val="Style1"/>
        <w:rPr>
          <w:rStyle w:val="Style1Char"/>
        </w:rPr>
      </w:pPr>
      <w:r w:rsidRPr="001E5E8E">
        <w:rPr>
          <w:rStyle w:val="Style1Char"/>
          <w:rtl/>
        </w:rPr>
        <w:t>יח שנים שהעידו לאחד שהחזיק בשדה חבירו ג' שנים והוזמו משלמין לבעל השדה כל דמי השדה:</w:t>
      </w:r>
    </w:p>
    <w:p w14:paraId="4DCAC93D" w14:textId="77777777" w:rsidR="00127B78" w:rsidRPr="001E5E8E" w:rsidRDefault="00127B78" w:rsidP="00127B78">
      <w:pPr>
        <w:pStyle w:val="Style1"/>
        <w:rPr>
          <w:rStyle w:val="Style1Char"/>
        </w:rPr>
      </w:pPr>
      <w:r w:rsidRPr="001E5E8E">
        <w:rPr>
          <w:rStyle w:val="Style1Char"/>
          <w:rtl/>
        </w:rPr>
        <w:t>יט העידו שנים שאכלה שנה ראשונה ושנים העידו על שנה שנייה ושנים העידו על שנה השלישית והוזמו משלשין ביניהן כל כת וכת השליש:</w:t>
      </w:r>
    </w:p>
    <w:p w14:paraId="77971308" w14:textId="77777777" w:rsidR="00127B78" w:rsidRPr="00104766" w:rsidRDefault="00127B78" w:rsidP="00127B78">
      <w:pPr>
        <w:pStyle w:val="Style1"/>
        <w:rPr>
          <w:rStyle w:val="Style1Char"/>
        </w:rPr>
      </w:pPr>
      <w:r w:rsidRPr="001E5E8E">
        <w:rPr>
          <w:rStyle w:val="Style1Char"/>
          <w:rtl/>
        </w:rPr>
        <w:t>לפיכך ג' אחין ואחד מצטרף עם כל אחד ואחד מהם והעידו שנה שנה שנה הרי אלו שלשה עדיות ותתקיים בהם החזקה והם כעדות אחת לענין הזמה שאם הוזמו כולם שלשת האחים משלמים דמי חצי השדה וזה שנצטרף עם כל אחד ואחד משלם החצי האחר:</w:t>
      </w:r>
    </w:p>
    <w:p w14:paraId="79C20CFE" w14:textId="77777777" w:rsidR="00127B78" w:rsidRDefault="00127B78" w:rsidP="00127B78">
      <w:pPr>
        <w:pStyle w:val="Style1"/>
        <w:rPr>
          <w:rStyle w:val="Style1Char"/>
          <w:rtl/>
        </w:rPr>
      </w:pPr>
    </w:p>
    <w:p w14:paraId="24796C7A" w14:textId="77777777" w:rsidR="00127B78" w:rsidRPr="006267F7" w:rsidRDefault="00127B78" w:rsidP="00127B78">
      <w:pPr>
        <w:pStyle w:val="Style1"/>
        <w:rPr>
          <w:rStyle w:val="Style1Char"/>
          <w:rtl/>
        </w:rPr>
      </w:pPr>
    </w:p>
    <w:p w14:paraId="61435611" w14:textId="77777777" w:rsidR="00127B78" w:rsidRDefault="00127B78" w:rsidP="00127B78">
      <w:pPr>
        <w:rPr>
          <w:rStyle w:val="Style1Char"/>
          <w:color w:val="00B050"/>
          <w:rtl/>
        </w:rPr>
      </w:pPr>
      <w:r>
        <w:rPr>
          <w:rStyle w:val="Style1Char"/>
          <w:color w:val="00B050"/>
          <w:rtl/>
        </w:rPr>
        <w:br w:type="page"/>
      </w:r>
    </w:p>
    <w:p w14:paraId="6F49AA88" w14:textId="77777777" w:rsidR="00127B78" w:rsidRDefault="00127B78" w:rsidP="00127B78">
      <w:pPr>
        <w:pStyle w:val="Style1"/>
        <w:rPr>
          <w:rStyle w:val="Style1Char"/>
          <w:color w:val="00B050"/>
          <w:rtl/>
        </w:rPr>
      </w:pPr>
      <w:r w:rsidRPr="00936EC6">
        <w:rPr>
          <w:rStyle w:val="Style1Char"/>
          <w:color w:val="00B050"/>
          <w:sz w:val="22"/>
          <w:szCs w:val="22"/>
          <w:highlight w:val="yellow"/>
          <w:rtl/>
        </w:rPr>
        <w:lastRenderedPageBreak/>
        <w:t>[דף לג עמוד א]</w:t>
      </w:r>
      <w:r w:rsidRPr="00936EC6">
        <w:rPr>
          <w:rStyle w:val="Style1Char"/>
          <w:color w:val="00B050"/>
          <w:sz w:val="22"/>
          <w:szCs w:val="22"/>
          <w:rtl/>
        </w:rPr>
        <w:t xml:space="preserve"> </w:t>
      </w:r>
      <w:r w:rsidRPr="00B32DE1">
        <w:rPr>
          <w:rStyle w:val="Style1Char"/>
          <w:color w:val="00B050"/>
          <w:rtl/>
        </w:rPr>
        <w:t xml:space="preserve">חובל בחבירו נמי, א"כ בטלת לא יוסיף פן יוסיף! עדים זוממין נמי, א"כ בטלת והיה אם בן הכות הרשע! אלא, עדים זוממין אפשר לקיומה בבן גרושה ובן חלוצה. חובל בחבירו נמי, איכא לקיומה כגון שהכהו הכאה שאין בה שוה פרוטה! אחותו נמי, איכא לקיומה באחותו בוגרת! אמר לך ר' יוחנן: האי תחת אשר עינה מיבעי ליה לכדאביי, דאמר אביי, אמר קרא: תחת אשר עינה, האי, תחת אשר עינה, מכלל דאיכא בושת ופגם. ועולא נפקא ליה מדרבא, דאמר רבא, אמר קרא: ונתן האיש השוכב עמה לאבי הנערה חמשים כסף, הנאת שכיבה חמשים, מכלל דאיכא בושת ופגם. רבי אליעזר אומר: עדים זוממין ממונא משלמי ומילקא לא לקי, משום </w:t>
      </w:r>
      <w:r>
        <w:rPr>
          <w:rStyle w:val="Style1Char"/>
          <w:rFonts w:hint="cs"/>
          <w:rtl/>
        </w:rPr>
        <w:t>(1)</w:t>
      </w:r>
      <w:r w:rsidRPr="00B32DE1">
        <w:rPr>
          <w:rStyle w:val="Style1Char"/>
          <w:color w:val="00B050"/>
          <w:rtl/>
        </w:rPr>
        <w:t xml:space="preserve">דלאו בני התראה נינהו. אמר רבא: תדע, ניתרי בהו אימת? ניתרי בהו מעיקרא - </w:t>
      </w:r>
      <w:r>
        <w:rPr>
          <w:rStyle w:val="Style1Char"/>
          <w:rFonts w:hint="cs"/>
          <w:rtl/>
        </w:rPr>
        <w:t>(2)</w:t>
      </w:r>
      <w:r w:rsidRPr="00B32DE1">
        <w:rPr>
          <w:rStyle w:val="Style1Char"/>
          <w:color w:val="00B050"/>
          <w:rtl/>
        </w:rPr>
        <w:t xml:space="preserve">אמרי אישתלין, ניתרי בהו בשעת מעשה - פרשי ולא מסהדי, ניתרי בהו לבסוף - מאי דהוה הוה. מתקיף לה אביי: וניתרי בהו בתוך כדי דבור! מתקיף לה רב אחא בריה דרב איקא: וניתרי בהו מעיקרא, ונרמז בהו רמוזי! הדר אמר אביי: לאו מילתא היא דאמרי, אי סלקא דעתך עדים זוממין צריכין התראה, כי לא מתרינן בהו לא קטלינן להו, מי איכא מידי דאינהו בעו קטיל בלא התראה, ואינהו בעו התראה? הא בעינן ועשיתם לו כאשר זמם לעשות לאחיו וליכא. מתקיף לה רב סמא בריה דרב ירמיה: אלא מעתה, בן גרושה ובן חלוצה דלא מכאשר זמם קא מיתרבי, ליבעי התראה! אמר קרא: משפט אחד יהיה לכם, משפט השוה לכולכם. רב שישא בריה דרב אידי אמר: חובל בחבירו נמי ממונא משלם ומילקא לא לקי, מהכא: וכי ינצו אנשים ונגפו אשה הרה ויצאו ילדיה, ואמר רבי אלעזר: במצות שבמיתה הכתוב מדבר, דכתיב: ואם אסון יהיה ונתת נפש תחת נפש, היכי דמי? אי דלא אתרו ביה, אמאי מיקטיל? אלא פשיטא דאתרו ביה, </w:t>
      </w:r>
      <w:r>
        <w:rPr>
          <w:rStyle w:val="Style1Char"/>
          <w:rFonts w:hint="cs"/>
          <w:rtl/>
        </w:rPr>
        <w:t>(2)</w:t>
      </w:r>
      <w:r w:rsidRPr="00B32DE1">
        <w:rPr>
          <w:rStyle w:val="Style1Char"/>
          <w:color w:val="00B050"/>
          <w:rtl/>
        </w:rPr>
        <w:t xml:space="preserve">ומותרה לדבר חמור הוי מותרה לדבר הקל, ואמר רחמנא: ולא יהיה אסון ענוש יענש. מתקיף לה רב אשי: ממאי דמותרה לדבר חמור הוי מותרה לדבר הקל? דלמא לא הוי, אם תמצא לומר הוי, ממאי דמיתה חמורה? </w:t>
      </w:r>
    </w:p>
    <w:p w14:paraId="782013DF" w14:textId="551078E2" w:rsidR="00127B78" w:rsidRDefault="00127B78" w:rsidP="00127B78">
      <w:pPr>
        <w:pStyle w:val="Style1"/>
        <w:rPr>
          <w:rStyle w:val="Style1Char"/>
          <w:rtl/>
        </w:rPr>
      </w:pPr>
      <w:r>
        <w:rPr>
          <w:rStyle w:val="Style1Char"/>
          <w:rFonts w:hint="cs"/>
          <w:rtl/>
        </w:rPr>
        <w:t>1)[</w:t>
      </w:r>
      <w:r w:rsidRPr="009048E1">
        <w:rPr>
          <w:rStyle w:val="Style1Char"/>
          <w:rtl/>
        </w:rPr>
        <w:t>רמב</w:t>
      </w:r>
      <w:r w:rsidR="0057095E">
        <w:rPr>
          <w:rStyle w:val="Style1Char"/>
          <w:rtl/>
        </w:rPr>
        <w:t>”ם \שופטים\</w:t>
      </w:r>
      <w:r w:rsidRPr="009048E1">
        <w:rPr>
          <w:rStyle w:val="Style1Char"/>
          <w:rtl/>
        </w:rPr>
        <w:t xml:space="preserve"> הלכות עדות פרק יח הלכה ד</w:t>
      </w:r>
      <w:r>
        <w:rPr>
          <w:rStyle w:val="Style1Char"/>
          <w:rFonts w:hint="cs"/>
          <w:rtl/>
        </w:rPr>
        <w:t xml:space="preserve">] </w:t>
      </w:r>
      <w:r w:rsidRPr="009048E1">
        <w:rPr>
          <w:rStyle w:val="Style1Char"/>
          <w:rtl/>
        </w:rPr>
        <w:t>עדים זוממין אינן צריכין התראה, ועדים שהוכחשו ולבסוף הוזמו הרי אלו נהרגין או לוקין או משלמין מפני שהכחשה תחלת הזמה היא אלא שעדיין לא נגמרה.</w:t>
      </w:r>
    </w:p>
    <w:p w14:paraId="01A74495" w14:textId="77777777" w:rsidR="00127B78" w:rsidRDefault="00127B78" w:rsidP="00127B78">
      <w:pPr>
        <w:pStyle w:val="Style1"/>
        <w:rPr>
          <w:rStyle w:val="Style1Char"/>
        </w:rPr>
      </w:pPr>
      <w:r>
        <w:rPr>
          <w:rStyle w:val="Style1Char"/>
          <w:rFonts w:hint="cs"/>
          <w:rtl/>
        </w:rPr>
        <w:t>1)[טור חושן משפט הלכות עדות סימן לח]</w:t>
      </w:r>
    </w:p>
    <w:p w14:paraId="08FEB145" w14:textId="77777777" w:rsidR="00127B78" w:rsidRDefault="00127B78" w:rsidP="00127B78">
      <w:pPr>
        <w:pStyle w:val="Style1"/>
        <w:rPr>
          <w:rStyle w:val="Style1Char"/>
        </w:rPr>
      </w:pPr>
      <w:r>
        <w:rPr>
          <w:rStyle w:val="Style1Char"/>
          <w:rFonts w:hint="cs"/>
          <w:rtl/>
        </w:rPr>
        <w:t>א שני עדים שהעידו באחד שהרג הנפש או שחייב לפלוני מנה ובאו ב' והכחישום דברי שניהם בטלין והוא והן פטורין אבל אם באו האחרונים והזימום אז האחרונים נאמנין ועדות הראשונים בטלה והן חייבין כפי מה אשר רצו לחייב אותן שהעידו עליו אם באו לחייבו מיתה נהרגין במיתה שבאו להרגו בה:</w:t>
      </w:r>
    </w:p>
    <w:p w14:paraId="2DE34CD4" w14:textId="77777777" w:rsidR="00127B78" w:rsidRDefault="00127B78" w:rsidP="00127B78">
      <w:pPr>
        <w:pStyle w:val="Style1"/>
        <w:rPr>
          <w:rStyle w:val="Style1Char"/>
        </w:rPr>
      </w:pPr>
      <w:r>
        <w:rPr>
          <w:rStyle w:val="Style1Char"/>
          <w:rFonts w:hint="cs"/>
          <w:rtl/>
        </w:rPr>
        <w:t>ב ואם לחייבו ממון באו משלמין הממון בין שניהן ואין לוקין כיון שמשלמין:</w:t>
      </w:r>
    </w:p>
    <w:p w14:paraId="04073F2B" w14:textId="77777777" w:rsidR="00127B78" w:rsidRDefault="00127B78" w:rsidP="00127B78">
      <w:pPr>
        <w:pStyle w:val="Style1"/>
        <w:rPr>
          <w:rStyle w:val="Style1Char"/>
        </w:rPr>
      </w:pPr>
      <w:r>
        <w:rPr>
          <w:rStyle w:val="Style1Char"/>
          <w:rFonts w:hint="cs"/>
          <w:rtl/>
        </w:rPr>
        <w:t>ג חוץ מאם העידו על כהן שהוא בן גרושה או בן חלוצה שאז לוקין לפי שא"א לקיים בהם ועשיתם לו כאשר זמם וכן אם העידו באחד שהרג שוגג ובאו לחייבו גלות והוזמו או שהעידו באחד בשור המועד שלו שהרג ובאו לחייבו כופר והוזמו או שהעידו באחד שגנב ואין לו לשלם ובאו לחייבו להיותו נמכר בגנבתו והוזמו באחד מכל אלו לוקין:</w:t>
      </w:r>
    </w:p>
    <w:p w14:paraId="250EFDCC" w14:textId="77777777" w:rsidR="00127B78" w:rsidRDefault="00127B78" w:rsidP="00127B78">
      <w:pPr>
        <w:pStyle w:val="Style1"/>
        <w:rPr>
          <w:rStyle w:val="Style1Char"/>
        </w:rPr>
      </w:pPr>
      <w:r>
        <w:rPr>
          <w:rStyle w:val="Style1Char"/>
          <w:rFonts w:hint="cs"/>
          <w:rtl/>
        </w:rPr>
        <w:t>ד ומה שמתחייבין הניזמין אינו אלא קנס לפיכך אין משלמין על פי עצמן שאם אמרו העדנו בב"ד פלוני והוזמנו אינן חייבין אבל אם אמרו הוזמנו בב"ד פלוני ונתחייבנו ליתן לו כך וכך הרי אלו משלמין שזה ממון גמור הוא כיון שכבר נתחייבו בו בב"ד:</w:t>
      </w:r>
    </w:p>
    <w:p w14:paraId="4B2B3A89" w14:textId="77777777" w:rsidR="00127B78" w:rsidRDefault="00127B78" w:rsidP="00127B78">
      <w:pPr>
        <w:pStyle w:val="Style1"/>
        <w:rPr>
          <w:rStyle w:val="Style1Char"/>
        </w:rPr>
      </w:pPr>
      <w:r>
        <w:rPr>
          <w:rStyle w:val="Style1Char"/>
          <w:rFonts w:hint="cs"/>
          <w:rtl/>
        </w:rPr>
        <w:t>ה אבל אם אמרו עדים שקר העדנו כתב ר"ח לא מיבעיא שאין משלמין ע"פ עצמן אלא אפי' העדות שהעידו נכונה חשבינן ליה ומתקיימת שכיון שהגיד שוב אינו חוזר ומגיד:</w:t>
      </w:r>
    </w:p>
    <w:p w14:paraId="54717D89" w14:textId="77777777" w:rsidR="00127B78" w:rsidRDefault="00127B78" w:rsidP="00127B78">
      <w:pPr>
        <w:pStyle w:val="Style1"/>
        <w:rPr>
          <w:rStyle w:val="Style1Char"/>
        </w:rPr>
      </w:pPr>
      <w:r>
        <w:rPr>
          <w:rStyle w:val="Style1Char"/>
          <w:rFonts w:hint="cs"/>
          <w:rtl/>
        </w:rPr>
        <w:t>ו ומה יש בין הכחשה להזמה הכחשה אינה בגוף העדים אלא שמכחישין אותן שאלו אומרים פלוני לוה מפלוני ואלו אומרים יודעין אנו שלא לוה כי היינו אצלו כל היום וראינו שלא לוה והזמה בגוף העדים שאומר באותו שעה שאתם אומרים שלוה הייתם עמנו:</w:t>
      </w:r>
    </w:p>
    <w:p w14:paraId="20E9D82C" w14:textId="77777777" w:rsidR="00127B78" w:rsidRDefault="00127B78" w:rsidP="00127B78">
      <w:pPr>
        <w:pStyle w:val="Style1"/>
        <w:rPr>
          <w:rStyle w:val="Style1Char"/>
        </w:rPr>
      </w:pPr>
      <w:r>
        <w:rPr>
          <w:rStyle w:val="Style1Char"/>
          <w:rFonts w:hint="cs"/>
          <w:rtl/>
        </w:rPr>
        <w:t>ז ומפני זה האחרונים נאמנין כיון שמעידין על גופן של העדים והוי כאלו העידו עליהן שהרגו הנפש או שחללו שבת והן אינן נאמנין על עצמן לומר לא עשינו כך וכך:</w:t>
      </w:r>
    </w:p>
    <w:p w14:paraId="4616DCF0" w14:textId="77777777" w:rsidR="00127B78" w:rsidRDefault="00127B78" w:rsidP="00127B78">
      <w:pPr>
        <w:pStyle w:val="Style1"/>
        <w:rPr>
          <w:rStyle w:val="Style1Char"/>
        </w:rPr>
      </w:pPr>
      <w:r>
        <w:rPr>
          <w:rStyle w:val="Style1Char"/>
          <w:rFonts w:hint="cs"/>
          <w:rtl/>
        </w:rPr>
        <w:t>ח ואפי' היו הראשונים ק' נאמנין אלו עליהן להורגם בין אם העידו המאה בבת אחת בין אם העידו בזה אחר זה שנים אחר שנים ואלו המזימין הזימו כל כת וכת בזה אחר זה:</w:t>
      </w:r>
    </w:p>
    <w:p w14:paraId="7626AB91" w14:textId="77777777" w:rsidR="00127B78" w:rsidRDefault="00127B78" w:rsidP="00127B78">
      <w:pPr>
        <w:pStyle w:val="Style1"/>
        <w:rPr>
          <w:rStyle w:val="Style1Char"/>
        </w:rPr>
      </w:pPr>
      <w:r>
        <w:rPr>
          <w:rStyle w:val="Style1Char"/>
          <w:rFonts w:hint="cs"/>
          <w:rtl/>
        </w:rPr>
        <w:t>ט עדים זוממין אין צריכין התראה:</w:t>
      </w:r>
    </w:p>
    <w:p w14:paraId="4490C559" w14:textId="77777777" w:rsidR="00127B78" w:rsidRDefault="00127B78" w:rsidP="00127B78">
      <w:pPr>
        <w:pStyle w:val="Style1"/>
        <w:rPr>
          <w:rStyle w:val="Style1Char"/>
        </w:rPr>
      </w:pPr>
      <w:r>
        <w:rPr>
          <w:rStyle w:val="Style1Char"/>
          <w:rFonts w:hint="cs"/>
          <w:rtl/>
        </w:rPr>
        <w:t>י ואין מזימין אותן אלא בפניהם:</w:t>
      </w:r>
    </w:p>
    <w:p w14:paraId="00EFC1ED" w14:textId="77777777" w:rsidR="00127B78" w:rsidRDefault="00127B78" w:rsidP="00127B78">
      <w:pPr>
        <w:pStyle w:val="Style1"/>
        <w:rPr>
          <w:rStyle w:val="Style1Char"/>
        </w:rPr>
      </w:pPr>
      <w:r>
        <w:rPr>
          <w:rStyle w:val="Style1Char"/>
          <w:rFonts w:hint="cs"/>
          <w:rtl/>
        </w:rPr>
        <w:t>יא אבל מכחישין אותן אפילו שלא בפניהם:</w:t>
      </w:r>
    </w:p>
    <w:p w14:paraId="08EF455E" w14:textId="77777777" w:rsidR="00127B78" w:rsidRDefault="00127B78" w:rsidP="00127B78">
      <w:pPr>
        <w:pStyle w:val="Style1"/>
        <w:rPr>
          <w:rStyle w:val="Style1Char"/>
        </w:rPr>
      </w:pPr>
      <w:r>
        <w:rPr>
          <w:rStyle w:val="Style1Char"/>
          <w:rFonts w:hint="cs"/>
          <w:rtl/>
        </w:rPr>
        <w:t>יב ואם הוכחשו ואח"כ הוזמו לוקין או משלמין שהכחשה תחלת הזמה היא:</w:t>
      </w:r>
    </w:p>
    <w:p w14:paraId="5E44D754" w14:textId="77777777" w:rsidR="00127B78" w:rsidRDefault="00127B78" w:rsidP="00127B78">
      <w:pPr>
        <w:pStyle w:val="Style1"/>
        <w:rPr>
          <w:rStyle w:val="Style1Char"/>
        </w:rPr>
      </w:pPr>
      <w:r>
        <w:rPr>
          <w:rStyle w:val="Style1Char"/>
          <w:rFonts w:hint="cs"/>
          <w:rtl/>
        </w:rPr>
        <w:t>יג והזמה שלא בפניהם אף על פי שאינה הזמה הכחשה מיהא הוי לבטל עדותן:</w:t>
      </w:r>
    </w:p>
    <w:p w14:paraId="12058EFE" w14:textId="77777777" w:rsidR="00127B78" w:rsidRDefault="00127B78" w:rsidP="00127B78">
      <w:pPr>
        <w:pStyle w:val="Style1"/>
        <w:rPr>
          <w:rStyle w:val="Style1Char"/>
        </w:rPr>
      </w:pPr>
      <w:r>
        <w:rPr>
          <w:rStyle w:val="Style1Char"/>
          <w:rFonts w:hint="cs"/>
          <w:rtl/>
        </w:rPr>
        <w:t>יד אין העדים זוממין לוקין או משלמין עד שיהו כולם כשרים ראוים להעיד ויגמר הדין על פיהם ויוזמו כולם אפי' מאה אף על פי שהעדות מתקיים אפי' בב' אין חייבין עד שיוזמו כולם והוא שהעיד כל אחד ואחד תוך כדי דבור של חבירו או שאמר אחר עדות חבירו ואני כמותך אבל אם יש ביניהם הפסק יותר מכדי דבור אז נחלקה העדות והשנים שהוזמו נענשים והאחרונים שהיה הפסק ביניהן ובין דברי הראשונים אינן נענשין אף ע"פ שכל העדות בטילה וכתב הר"ר ישעיה מה שצריך שיעידו כולם בתכ"ד זהו דוקא כשהעידו מאליהם בלא התראת הדיינין לומר להם למיחזי קאתיתו או לאסהודי קא אתיתו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 ודוקא בשאר העדים בעינן שיעידו תכ"ד לצרפם עם ב' הראשונים אבל בשנים הראשונים אף על פי שהפסיקו בין זה לזה אין בכך כלום אבל אם לא הוזמו כולם או שהוזמו קודם שנגמר הדין על פיהם או שנמצא אחד מהן קרוב או פסול פטורין:</w:t>
      </w:r>
    </w:p>
    <w:p w14:paraId="7A4B5D6B" w14:textId="77777777" w:rsidR="00127B78" w:rsidRDefault="00127B78" w:rsidP="00127B78">
      <w:pPr>
        <w:pStyle w:val="Style1"/>
        <w:rPr>
          <w:rStyle w:val="Style1Char"/>
        </w:rPr>
      </w:pPr>
      <w:r>
        <w:rPr>
          <w:rStyle w:val="Style1Char"/>
          <w:rFonts w:hint="cs"/>
          <w:rtl/>
        </w:rPr>
        <w:t>טו העידו שנים פלוני לוה מפלוני מנה במזרח הבירה ובאו שנים ואמרו עמנו הייתם במערב הבירה אם העומד במערב הבירה יכול להביט מה שעושין במזרחה אינן זוממין ואם לאו זוממין הם ואין אומרים מאור עיניהם של ראשונים גדול והביטו מרחוק יותר משאר כל אדם. וכן אם אמרו פלוני לוה מפלוני מנה בסוריא ביום פלוני בבקר ובאו שנים ואמרו באותו יום הייתם עמנו בנהרדעא בערב אם אדם יכול לרוץ בסוס מסוריא לנהרדעא מבוקר עד ערב אינם זוממין ואם לאו זוממין הם ואין אומרים שמא נזדמן להם סוס רץ יותר מבדרך העולם ובאו בו ביום אלא משערים כפי דרך העולם ולא יותר:</w:t>
      </w:r>
    </w:p>
    <w:p w14:paraId="384BC616" w14:textId="77777777" w:rsidR="00127B78" w:rsidRDefault="00127B78" w:rsidP="00127B78">
      <w:pPr>
        <w:pStyle w:val="Style1"/>
        <w:rPr>
          <w:rStyle w:val="Style1Char"/>
        </w:rPr>
      </w:pPr>
      <w:r>
        <w:rPr>
          <w:rStyle w:val="Style1Char"/>
          <w:rFonts w:hint="cs"/>
          <w:rtl/>
        </w:rPr>
        <w:t>טז שנים שהעידו באחד שגירש את אישתו ובאו לחייבו ליתן לה כתובתה והוזמו אין חייבים לפרוע לו כל הכתובה שהרי אף לפי מה שהוזמו נשאר עליו חיוב הכתובה לכשתתאלמן או שתתגרש אלא אומדין כמה אדם רוצה ליתן בכתובתה של זאת אם היתה עומדת לגבות מיד ורואין כמה היא שוה מי שבא לקנותה מספק אם תתאלמן או תתגרש ומאי דבינו ביני יתנו הם לבעל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 וגם שמין לפי מה שהיא השדה המיוחדת לכתובתה אם היא עידית או בינונית או זיבורית:</w:t>
      </w:r>
    </w:p>
    <w:p w14:paraId="4DFB0957" w14:textId="77777777" w:rsidR="00127B78" w:rsidRDefault="00127B78" w:rsidP="00127B78">
      <w:pPr>
        <w:pStyle w:val="Style1"/>
        <w:rPr>
          <w:rStyle w:val="Style1Char"/>
        </w:rPr>
      </w:pPr>
      <w:r>
        <w:rPr>
          <w:rStyle w:val="Style1Char"/>
          <w:rFonts w:hint="cs"/>
          <w:rtl/>
        </w:rPr>
        <w:t>יז העידו באחד שחייב לחבירו מנה ליתנו לו לאחר שלשים יום והוא אומר שאינו חייב ליתנו לו אלא לאחר חמשה שנים והוזמו אומדים כמה אדם רוצה ליתן וישאר מנה בידו מל' יום ואילך על תשלום חמשה שנים וכך יתנו לו וכן כל כיוצא בזה:</w:t>
      </w:r>
    </w:p>
    <w:p w14:paraId="32A23628" w14:textId="77777777" w:rsidR="00127B78" w:rsidRDefault="00127B78" w:rsidP="00127B78">
      <w:pPr>
        <w:pStyle w:val="Style1"/>
        <w:rPr>
          <w:rStyle w:val="Style1Char"/>
        </w:rPr>
      </w:pPr>
      <w:r>
        <w:rPr>
          <w:rStyle w:val="Style1Char"/>
          <w:rFonts w:hint="cs"/>
          <w:rtl/>
        </w:rPr>
        <w:lastRenderedPageBreak/>
        <w:t>יח שנים שהעידו לאחד שהחזיק בשדה חבירו ג' שנים והוזמו משלמין לבעל השדה כל דמי השדה:</w:t>
      </w:r>
    </w:p>
    <w:p w14:paraId="1404776C" w14:textId="77777777" w:rsidR="00127B78" w:rsidRDefault="00127B78" w:rsidP="00127B78">
      <w:pPr>
        <w:pStyle w:val="Style1"/>
        <w:rPr>
          <w:rStyle w:val="Style1Char"/>
        </w:rPr>
      </w:pPr>
      <w:r>
        <w:rPr>
          <w:rStyle w:val="Style1Char"/>
          <w:rFonts w:hint="cs"/>
          <w:rtl/>
        </w:rPr>
        <w:t>יט העידו שנים שאכלה שנה ראשונה ושנים העידו על שנה שנייה ושנים העידו על שנה השלישית והוזמו משלשין ביניהן כל כת וכת השליש:</w:t>
      </w:r>
    </w:p>
    <w:p w14:paraId="0A662A60" w14:textId="77777777" w:rsidR="00127B78" w:rsidRDefault="00127B78" w:rsidP="00127B78">
      <w:pPr>
        <w:pStyle w:val="Style1"/>
        <w:rPr>
          <w:rStyle w:val="Style1Char"/>
          <w:rtl/>
        </w:rPr>
      </w:pPr>
      <w:r>
        <w:rPr>
          <w:rStyle w:val="Style1Char"/>
          <w:rFonts w:hint="cs"/>
          <w:rtl/>
        </w:rPr>
        <w:t>לפיכך ג' אחין ואחד מצטרף עם כל אחד ואחד מהם והעידו שנה שנה שנה הרי אלו שלשה עדיות ותתקיים בהם החזקה והם כעדות אחת לענין הזמה שאם הוזמו כולם שלשת האחים משלמים דמי חצי השדה וזה שנצטרף עם כל אחד ואחד משלם החצי האחר:</w:t>
      </w:r>
    </w:p>
    <w:p w14:paraId="0C746AF0" w14:textId="6D837423" w:rsidR="00127B78" w:rsidRDefault="00127B78" w:rsidP="00127B78">
      <w:pPr>
        <w:pStyle w:val="Style1"/>
        <w:rPr>
          <w:rStyle w:val="Style1Char"/>
        </w:rPr>
      </w:pPr>
      <w:r>
        <w:rPr>
          <w:rStyle w:val="Style1Char"/>
          <w:rFonts w:hint="cs"/>
          <w:rtl/>
        </w:rPr>
        <w:t>2)[</w:t>
      </w:r>
      <w:r w:rsidRPr="00054C72">
        <w:rPr>
          <w:rStyle w:val="Style1Char"/>
          <w:rtl/>
        </w:rPr>
        <w:t>רמב</w:t>
      </w:r>
      <w:r w:rsidR="005258D6">
        <w:rPr>
          <w:rStyle w:val="Style1Char"/>
          <w:rtl/>
        </w:rPr>
        <w:t>”</w:t>
      </w:r>
      <w:r w:rsidRPr="00054C72">
        <w:rPr>
          <w:rStyle w:val="Style1Char"/>
          <w:rtl/>
        </w:rPr>
        <w:t>ם</w:t>
      </w:r>
      <w:r w:rsidR="005258D6">
        <w:rPr>
          <w:rStyle w:val="Style1Char"/>
          <w:rtl/>
        </w:rPr>
        <w:t xml:space="preserve">\שופטים\ </w:t>
      </w:r>
      <w:r w:rsidRPr="00054C72">
        <w:rPr>
          <w:rStyle w:val="Style1Char"/>
          <w:rtl/>
        </w:rPr>
        <w:t xml:space="preserve"> הלכות סנהדרין פרק יב הלכה ב</w:t>
      </w:r>
      <w:r>
        <w:rPr>
          <w:rStyle w:val="Style1Char"/>
          <w:rFonts w:hint="cs"/>
          <w:rtl/>
        </w:rPr>
        <w:t xml:space="preserve">] </w:t>
      </w:r>
      <w:r w:rsidRPr="00054C72">
        <w:rPr>
          <w:rStyle w:val="Style1Char"/>
          <w:rtl/>
        </w:rPr>
        <w:t>אחד תלמיד חכם ואחד עם הארץ צריך התראה שלא ניתנה התראה אלא להבחין בין שוגג למזיד שמא שוגג היה, וכיצד מתרין בו אומרין לו פרוש או אל תעשה שזו עבירה היא וחייב אתה עליה מיתת בית דין או מלקות, אם פירש פטור, וכן אם שתק או הרכין בראשו פטור ואפילו אמר יודע אני פטור עד שיתיר עצמו למיתה ויאמר על מנת כן אני עושה ואח"כ יהרג, וצריך שיעבור ויעשה תיכף להתראה בתוך כדי דיבור, אבל אחר כדי דבור צריך התראה אחרת, ובין שהתרה בו אחד מן העדים ובין שהתרה בו אחר בפני עדים אפילו אשה או עבד אפילו, שמע קול המתרה ולא ראהו ואפילו התרה בעצמו הרי זה נהרג.</w:t>
      </w:r>
    </w:p>
    <w:p w14:paraId="6937264B" w14:textId="77777777" w:rsidR="00127B78" w:rsidRDefault="00127B78" w:rsidP="00127B78">
      <w:pPr>
        <w:pStyle w:val="Style1"/>
        <w:rPr>
          <w:rStyle w:val="Style1Char"/>
        </w:rPr>
      </w:pPr>
    </w:p>
    <w:p w14:paraId="03C4F26D" w14:textId="77777777" w:rsidR="00127B78" w:rsidRDefault="00127B78" w:rsidP="00127B78">
      <w:pPr>
        <w:pStyle w:val="Style1"/>
        <w:rPr>
          <w:rStyle w:val="Style1Char"/>
          <w:rtl/>
        </w:rPr>
      </w:pPr>
    </w:p>
    <w:p w14:paraId="3594F7A5" w14:textId="77777777" w:rsidR="00127B78" w:rsidRDefault="00127B78" w:rsidP="00127B78">
      <w:pPr>
        <w:rPr>
          <w:rStyle w:val="Style1Char"/>
          <w:color w:val="00B050"/>
          <w:rtl/>
        </w:rPr>
      </w:pPr>
      <w:r>
        <w:rPr>
          <w:rStyle w:val="Style1Char"/>
          <w:rFonts w:hint="cs"/>
          <w:color w:val="00B050"/>
          <w:rtl/>
        </w:rPr>
        <w:br w:type="page"/>
      </w:r>
    </w:p>
    <w:p w14:paraId="2EED49B0"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לג עמוד ב]</w:t>
      </w:r>
      <w:r w:rsidRPr="00936EC6">
        <w:rPr>
          <w:rStyle w:val="Style1Char"/>
          <w:color w:val="00B050"/>
          <w:sz w:val="22"/>
          <w:szCs w:val="22"/>
          <w:rtl/>
        </w:rPr>
        <w:t xml:space="preserve"> </w:t>
      </w:r>
      <w:r w:rsidRPr="00B32DE1">
        <w:rPr>
          <w:rStyle w:val="Style1Char"/>
          <w:color w:val="00B050"/>
          <w:rtl/>
        </w:rPr>
        <w:t xml:space="preserve">דלמא מלקות חמור, דאמר רב: אילמלי נגדוה לחנניה מישאל ועזריה, פלחו לצלמא! א"ל רב סמא בריה דרב אסי לרב אשי, ואמרי לה רב סמא בריה דרב אשי לרב אשי: ולא שני לך בין הכאה שיש לה קצבה להכאה שאין לה קצבה? מתקיף לה רב יעקב מנהר פקוד: הניחא לרבנן, דאמרי נפש ממש, אלא לרבי, דאמר ממון, מאי איכא למימר? אלא אמר רב יעקב מנהר פקוד משמיה דרבא, מהכא: אם יקום והתהלך בחוץ על משענתו ונקה המכה, וכי תעלה על דעתך שזה מהלך בשוק וזה נהרג? </w:t>
      </w:r>
      <w:r>
        <w:rPr>
          <w:rStyle w:val="Style1Char"/>
          <w:rFonts w:hint="cs"/>
          <w:rtl/>
        </w:rPr>
        <w:t>(1)</w:t>
      </w:r>
      <w:r w:rsidRPr="00B32DE1">
        <w:rPr>
          <w:rStyle w:val="Style1Char"/>
          <w:color w:val="00B050"/>
          <w:rtl/>
        </w:rPr>
        <w:t xml:space="preserve">אלא מלמד שחובשין אותו, ואי מית - קטלינן ליה, ואי לא מית - שבתו יתן ורפא ירפא; היכי דמי? אי דלא אתרו ביה, אמאי מיקטיל? אלא פשיטא דאתרו ביה, ומותרה לדבר חמור מותרה לדבר הקל, ואמר רחמנא: שבתו יתן ורפא ירפא. מתקיף לה רב אשי: ממאי דמותרה לדבר חמור הוי מותרה לדבר הקל? דלמא לא הוי, ואם תמצא לומר הוי, ממאי דמיתה חמורה? דלמא מלקות חמור, דאמר רב: אילמלי נגדוה לחנניה מישאל ועזריה, פלחו לצלמא! א"ל רב סמא בריה דרב אסי לרב אשי, ואמרי לה רב סמא בריה דרב אשי לרב אשי: ולא שני לך בין הכאה שיש לה קצבה להכאה שאין לה קצבה? מתקיף לה רב מרי: ממאי דבמזיד, ונקה מקטלא? דלמא בשוגג, ונקה מגלות! קשיא. ריש לקיש אמר: הא מני? רבי מאיר היא, דאמר: לוקה ומשלם. אי רבי מאיר, אפי' בתו נמי! וכי תימא, ר' מאיר לוקה ומשלם אית ליה, מת ומשלם לית ליה, ולא? והתניא: גנב וטבח בשבת, גנב וטבח לעבודת כוכבים, גנב שור הנסקל וטבחו - </w:t>
      </w:r>
      <w:r>
        <w:rPr>
          <w:rStyle w:val="Style1Char"/>
          <w:rFonts w:hint="cs"/>
          <w:rtl/>
        </w:rPr>
        <w:t>(2)</w:t>
      </w:r>
      <w:r w:rsidRPr="00B32DE1">
        <w:rPr>
          <w:rStyle w:val="Style1Char"/>
          <w:color w:val="00B050"/>
          <w:rtl/>
        </w:rPr>
        <w:t xml:space="preserve">משלם תשלומי ארבעה וחמשה, דברי רבי מאיר, וחכמים פוטרין! הא איתמר עלה: אמר רבי יעקב א"ר יוחנן, ואמרי לה אמר רבי ירמיה אמר ר' שמעון בן לקיש, ר' אבין ורבי אילעא וכל חבורתא משמיה דרבי יוחנן אמרי: </w:t>
      </w:r>
      <w:r>
        <w:rPr>
          <w:rStyle w:val="Style1Char"/>
          <w:rFonts w:hint="cs"/>
          <w:rtl/>
        </w:rPr>
        <w:t>(2)</w:t>
      </w:r>
      <w:r w:rsidRPr="00B32DE1">
        <w:rPr>
          <w:rStyle w:val="Style1Char"/>
          <w:color w:val="00B050"/>
          <w:rtl/>
        </w:rPr>
        <w:t xml:space="preserve">בטובח על ידי אחר. וכי זה חוטא וזה מתחייב? אמר רבא, אמר רחמנא: וטבחו או מכרו, </w:t>
      </w:r>
      <w:r>
        <w:rPr>
          <w:rStyle w:val="Style1Char"/>
          <w:rFonts w:hint="cs"/>
          <w:rtl/>
        </w:rPr>
        <w:t>(3)</w:t>
      </w:r>
      <w:r w:rsidRPr="00B32DE1">
        <w:rPr>
          <w:rStyle w:val="Style1Char"/>
          <w:color w:val="00B050"/>
          <w:rtl/>
        </w:rPr>
        <w:t xml:space="preserve">מה מכירה על ידי אחר, אף טביחה על ידי אחר. דבי רבי ישמעאל תנא: או - לרבות את השליח. דבי חזקיה תנא: תחת - לרבות את השליח. מתקיף לה מר זוטרא: מי איכא מידי דאילו עבד איהו לא מיחייב, ועביד שליח ומחייב? איהו לאו משום דלא מיחייב, </w:t>
      </w:r>
      <w:r>
        <w:rPr>
          <w:rStyle w:val="Style1Char"/>
          <w:rFonts w:hint="cs"/>
          <w:rtl/>
        </w:rPr>
        <w:t>(4)</w:t>
      </w:r>
      <w:r w:rsidRPr="00B32DE1">
        <w:rPr>
          <w:rStyle w:val="Style1Char"/>
          <w:color w:val="00B050"/>
          <w:rtl/>
        </w:rPr>
        <w:t xml:space="preserve">אלא משום דקם ליה בדרבה מיניה. אי בטובח על ידי אחר, מאי טעמייהו דרבנן דפטרי? מאן חכמים? </w:t>
      </w:r>
    </w:p>
    <w:p w14:paraId="6030A91F" w14:textId="70B81A5B" w:rsidR="00127B78" w:rsidRDefault="00127B78" w:rsidP="00127B78">
      <w:pPr>
        <w:pStyle w:val="Style1"/>
        <w:rPr>
          <w:rStyle w:val="Style1Char"/>
          <w:rtl/>
        </w:rPr>
      </w:pPr>
      <w:r>
        <w:rPr>
          <w:rStyle w:val="Style1Char"/>
          <w:rFonts w:hint="cs"/>
          <w:rtl/>
        </w:rPr>
        <w:t>1)[</w:t>
      </w:r>
      <w:r w:rsidRPr="00E00D70">
        <w:rPr>
          <w:rStyle w:val="Style1Char"/>
          <w:rtl/>
        </w:rPr>
        <w:t>רמב</w:t>
      </w:r>
      <w:r w:rsidR="0057095E">
        <w:rPr>
          <w:rStyle w:val="Style1Char"/>
          <w:rtl/>
        </w:rPr>
        <w:t>”ם \נזקין\</w:t>
      </w:r>
      <w:r w:rsidRPr="00E00D70">
        <w:rPr>
          <w:rStyle w:val="Style1Char"/>
          <w:rtl/>
        </w:rPr>
        <w:t xml:space="preserve"> הלכות רוצח ושמירת הנפש פרק ד הלכה ג</w:t>
      </w:r>
      <w:r>
        <w:rPr>
          <w:rStyle w:val="Style1Char"/>
          <w:rFonts w:hint="cs"/>
          <w:rtl/>
        </w:rPr>
        <w:t xml:space="preserve">] </w:t>
      </w:r>
      <w:r w:rsidRPr="00E00D70">
        <w:rPr>
          <w:rStyle w:val="Style1Char"/>
          <w:rtl/>
        </w:rPr>
        <w:t>המכה את חבירו באבן או באגרוף וכיוצא בהן אומדין אותו, אם אמדוהו לחיים נותן חמשה דברים ונפטר, ואפילו חלה המוכה והכביד ומת מחמת המכה הרי זה פטור. ואם אמדוהו למיתה אוסרין את המכה בבית הסוהר מיד וממתינים לזה, אם מת יהרג המכה ואם הקל ונתרפא רפואה שלימה והלך בשוק על רגליו כשאר הבריאים משלם המכה חמשה דברים ונפטר.</w:t>
      </w:r>
    </w:p>
    <w:p w14:paraId="45D4EF57" w14:textId="5AA73CEA" w:rsidR="00127B78" w:rsidRDefault="00127B78" w:rsidP="00127B78">
      <w:pPr>
        <w:pStyle w:val="Style1"/>
        <w:rPr>
          <w:rStyle w:val="Style1Char"/>
          <w:rtl/>
        </w:rPr>
      </w:pPr>
      <w:r>
        <w:rPr>
          <w:rStyle w:val="Style1Char"/>
          <w:rFonts w:hint="cs"/>
          <w:rtl/>
        </w:rPr>
        <w:t>2)[</w:t>
      </w:r>
      <w:r w:rsidRPr="00305292">
        <w:rPr>
          <w:rStyle w:val="Style1Char"/>
          <w:rtl/>
        </w:rPr>
        <w:t>רמב</w:t>
      </w:r>
      <w:r w:rsidR="005258D6">
        <w:rPr>
          <w:rStyle w:val="Style1Char"/>
          <w:rtl/>
        </w:rPr>
        <w:t>”ם \נזיקין\</w:t>
      </w:r>
      <w:r w:rsidRPr="00305292">
        <w:rPr>
          <w:rStyle w:val="Style1Char"/>
          <w:rtl/>
        </w:rPr>
        <w:t xml:space="preserve"> הלכות גניבה פרק ג הלכה ו</w:t>
      </w:r>
      <w:r>
        <w:rPr>
          <w:rStyle w:val="Style1Char"/>
          <w:rFonts w:hint="cs"/>
          <w:rtl/>
        </w:rPr>
        <w:t xml:space="preserve">] </w:t>
      </w:r>
      <w:r w:rsidRPr="00305292">
        <w:rPr>
          <w:rStyle w:val="Style1Char"/>
          <w:rtl/>
        </w:rPr>
        <w:t>עשה שליח לשחוט לו ושחט לו השליח בשבת הרי הגנב חייב בתשלומי ארבעה וחמשה, שהרי זה הגנב לא עשה עון מיתת בית דין וכבר ביארנו שהשוחט על ידי שליח חייב בתשלומין.</w:t>
      </w:r>
    </w:p>
    <w:p w14:paraId="14EEB7B9" w14:textId="01784E2C" w:rsidR="00127B78" w:rsidRDefault="00127B78" w:rsidP="00127B78">
      <w:pPr>
        <w:pStyle w:val="Style1"/>
        <w:rPr>
          <w:rStyle w:val="Style1Char"/>
          <w:rtl/>
        </w:rPr>
      </w:pPr>
      <w:r>
        <w:rPr>
          <w:rStyle w:val="Style1Char"/>
          <w:rFonts w:hint="cs"/>
          <w:rtl/>
        </w:rPr>
        <w:t>3)[</w:t>
      </w:r>
      <w:r w:rsidRPr="00EF4C72">
        <w:rPr>
          <w:rStyle w:val="Style1Char"/>
          <w:rtl/>
        </w:rPr>
        <w:t>רמב</w:t>
      </w:r>
      <w:r w:rsidR="005258D6">
        <w:rPr>
          <w:rStyle w:val="Style1Char"/>
          <w:rtl/>
        </w:rPr>
        <w:t>”ם \נזיקין\</w:t>
      </w:r>
      <w:r w:rsidRPr="00EF4C72">
        <w:rPr>
          <w:rStyle w:val="Style1Char"/>
          <w:rtl/>
        </w:rPr>
        <w:t xml:space="preserve"> הלכות גניבה פרק ב הלכה י</w:t>
      </w:r>
      <w:r>
        <w:rPr>
          <w:rStyle w:val="Style1Char"/>
          <w:rFonts w:hint="cs"/>
          <w:rtl/>
        </w:rPr>
        <w:t xml:space="preserve">] </w:t>
      </w:r>
      <w:r w:rsidRPr="00EF4C72">
        <w:rPr>
          <w:rStyle w:val="Style1Char"/>
          <w:rtl/>
        </w:rPr>
        <w:t>גנב ונתן לאחר במתנה או שנתן לאחר לטבוח וטבח או שנתן לאחר למכור לו ומכר האחר, גנב והקיף, גנב והחליף, גנב ופרע בהקיפו, או ששלחו סבלונות לבית חמיו, משלם תשלומי ארבעה וחמשה.</w:t>
      </w:r>
    </w:p>
    <w:p w14:paraId="250AE2E4" w14:textId="77B8AFC6" w:rsidR="00127B78" w:rsidRPr="00E00D70" w:rsidRDefault="00127B78" w:rsidP="00127B78">
      <w:pPr>
        <w:pStyle w:val="Style1"/>
        <w:rPr>
          <w:rStyle w:val="Style1Char"/>
          <w:rtl/>
        </w:rPr>
      </w:pPr>
      <w:r>
        <w:rPr>
          <w:rStyle w:val="Style1Char"/>
          <w:rFonts w:hint="cs"/>
          <w:rtl/>
        </w:rPr>
        <w:t>4)[</w:t>
      </w:r>
      <w:r w:rsidRPr="00A714EC">
        <w:rPr>
          <w:rStyle w:val="Style1Char"/>
          <w:rtl/>
        </w:rPr>
        <w:t>רמב</w:t>
      </w:r>
      <w:r w:rsidR="005258D6">
        <w:rPr>
          <w:rStyle w:val="Style1Char"/>
          <w:rtl/>
        </w:rPr>
        <w:t>”ם \נזיקין\</w:t>
      </w:r>
      <w:r w:rsidRPr="00A714EC">
        <w:rPr>
          <w:rStyle w:val="Style1Char"/>
          <w:rtl/>
        </w:rPr>
        <w:t xml:space="preserve"> הלכות גניבה פרק ג הלכה ג</w:t>
      </w:r>
      <w:r>
        <w:rPr>
          <w:rStyle w:val="Style1Char"/>
          <w:rFonts w:hint="cs"/>
          <w:rtl/>
        </w:rPr>
        <w:t xml:space="preserve">] </w:t>
      </w:r>
      <w:r w:rsidRPr="00A714EC">
        <w:rPr>
          <w:rStyle w:val="Style1Char"/>
          <w:rtl/>
        </w:rPr>
        <w:t>גנב וטבח בשבת או לע"ז אפילו בשגגה פטור מתשלומי ארבעה וחמשה כמו שביארנו.</w:t>
      </w:r>
    </w:p>
    <w:p w14:paraId="2DAEFE86" w14:textId="77777777" w:rsidR="00127B78" w:rsidRDefault="00127B78" w:rsidP="00127B78">
      <w:pPr>
        <w:rPr>
          <w:rStyle w:val="Style1Char"/>
          <w:color w:val="00B050"/>
          <w:rtl/>
        </w:rPr>
      </w:pPr>
      <w:r>
        <w:rPr>
          <w:rStyle w:val="Style1Char"/>
          <w:color w:val="00B050"/>
          <w:rtl/>
        </w:rPr>
        <w:br w:type="page"/>
      </w:r>
    </w:p>
    <w:p w14:paraId="2D672F46"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לד עמוד א]</w:t>
      </w:r>
      <w:r w:rsidRPr="00936EC6">
        <w:rPr>
          <w:rStyle w:val="Style1Char"/>
          <w:color w:val="00B050"/>
          <w:sz w:val="22"/>
          <w:szCs w:val="22"/>
          <w:rtl/>
        </w:rPr>
        <w:t xml:space="preserve"> </w:t>
      </w:r>
      <w:r w:rsidRPr="00B32DE1">
        <w:rPr>
          <w:rStyle w:val="Style1Char"/>
          <w:color w:val="00B050"/>
          <w:rtl/>
        </w:rPr>
        <w:t xml:space="preserve">ר' שמעון היא, דאמר: </w:t>
      </w:r>
      <w:r>
        <w:rPr>
          <w:rStyle w:val="Style1Char"/>
          <w:rFonts w:hint="cs"/>
          <w:rtl/>
        </w:rPr>
        <w:t>(1)</w:t>
      </w:r>
      <w:r w:rsidRPr="00B32DE1">
        <w:rPr>
          <w:rStyle w:val="Style1Char"/>
          <w:color w:val="00B050"/>
          <w:rtl/>
        </w:rPr>
        <w:t xml:space="preserve">שחיטה שאינה ראויה לא שמה שחיטה. התינח עבודת כוכבים ושור הנסקל, אלא שחיטת שבת שחיטה ראויה היא, דתנן: </w:t>
      </w:r>
      <w:r>
        <w:rPr>
          <w:rStyle w:val="Style1Char"/>
          <w:rFonts w:hint="cs"/>
          <w:rtl/>
        </w:rPr>
        <w:t>(2)</w:t>
      </w:r>
      <w:r w:rsidRPr="00B32DE1">
        <w:rPr>
          <w:rStyle w:val="Style1Char"/>
          <w:color w:val="00B050"/>
          <w:rtl/>
        </w:rPr>
        <w:t xml:space="preserve">השוחט בשבת וביום הכפורים, אף על פי שמתחייב בנפשו - שחיטתו כשרה! סבר לה כר' יוחנן הסנדלר; דתניא: המבשל בשבת, בשוגג - יאכל, במזיד - לא יאכל, דברי ר"מ: ר' יהודה אומר: </w:t>
      </w:r>
      <w:r>
        <w:rPr>
          <w:rStyle w:val="Style1Char"/>
          <w:rFonts w:hint="cs"/>
          <w:rtl/>
        </w:rPr>
        <w:t>(3)</w:t>
      </w:r>
      <w:r w:rsidRPr="00B32DE1">
        <w:rPr>
          <w:rStyle w:val="Style1Char"/>
          <w:color w:val="00B050"/>
          <w:rtl/>
        </w:rPr>
        <w:t xml:space="preserve">בשוגג - יאכל למוצאי שבת, במזיד - לא יאכל עולמית; רבי יוחנן הסנדלר אומר: בשוגג - יאכל למוצאי שבת לאחרים ולא לו, במזיד לא יאכל עולמית לא לו ולא לאחרים. מאי טעמא דרבי יוחנן הסנדלר? כדדריש ר' חייא אפיתחא דבי נשיאה: ושמרתם את השבת כי קדש היא לכם - מה קודש אסור באכילה, אף מעשה שבת אסורין באכילה. אי מה קודש אסור בהנאה, אף מעשה שבת אסור בהנאה? ת"ל: לכם, שלכם יהא. יכול אפילו בשוגג? ת"ל: מחלליה מות יומת, במזיד אמרתי לך ולא בשוגג. פליגי בה רב אחא ורבינא, חד אמר: מעשה שבת דאורייתא, וחד אמר: דרבנן. מאן דאמר דאורייתא, כדאמרן; מאן דאמר דרבנן, אמר קרא: קדש היא, היא קודש </w:t>
      </w:r>
      <w:r>
        <w:rPr>
          <w:rStyle w:val="Style1Char"/>
          <w:rFonts w:hint="cs"/>
          <w:rtl/>
        </w:rPr>
        <w:t>(4)</w:t>
      </w:r>
      <w:r w:rsidRPr="00B32DE1">
        <w:rPr>
          <w:rStyle w:val="Style1Char"/>
          <w:color w:val="00B050"/>
          <w:rtl/>
        </w:rPr>
        <w:t xml:space="preserve">ואין מעשיה קודש. ולמאן דאמר דרבנן, מאי טעמייהו דרבנן דפטרי? כי קא פטרי רבנן - אשארא. טובח לעבודת כוכבים, כיון דשחט ביה פורתא איתסר ליה, אידך כי קא טבח לאו דמריה קא טבח! אמר רבא: באומר בגמר זביחה הוא עובדה. שור הנסקל לאו דידיה הוא דקטבח! אמר רבה: הכא במאי עסקינן - כגון שמסרו לשומר, והזיק בבית שומר, ונגמר דיניה בבית שומר, וגנבו גנב מבית שומר, ורבי מאיר סבר לה כר' יעקב, וסבר לה כר"ש; סבר לה כר' יעקב, דאמר: אף משנגמר דינו החזירו שומר לבעליו - מוחזר; וסבר לה כר"ש, דאמר: </w:t>
      </w:r>
      <w:r>
        <w:rPr>
          <w:rStyle w:val="Style1Char"/>
          <w:rFonts w:hint="cs"/>
          <w:rtl/>
        </w:rPr>
        <w:t>(5)</w:t>
      </w:r>
      <w:r w:rsidRPr="00B32DE1">
        <w:rPr>
          <w:rStyle w:val="Style1Char"/>
          <w:color w:val="00B050"/>
          <w:rtl/>
        </w:rPr>
        <w:t xml:space="preserve">דבר הגורם לממון כממון דמי. רבה אמר: לעולם בטובח על ידי עצמו, </w:t>
      </w:r>
    </w:p>
    <w:p w14:paraId="6A8D6D0A" w14:textId="535E9902" w:rsidR="00127B78" w:rsidRDefault="00127B78" w:rsidP="00127B78">
      <w:pPr>
        <w:pStyle w:val="Style1"/>
        <w:rPr>
          <w:rStyle w:val="Style1Char"/>
          <w:rtl/>
        </w:rPr>
      </w:pPr>
      <w:r>
        <w:rPr>
          <w:rStyle w:val="Style1Char"/>
          <w:rFonts w:hint="cs"/>
          <w:rtl/>
        </w:rPr>
        <w:t>1)[</w:t>
      </w:r>
      <w:r w:rsidRPr="000F5C63">
        <w:rPr>
          <w:rStyle w:val="Style1Char"/>
          <w:rtl/>
        </w:rPr>
        <w:t>רמב</w:t>
      </w:r>
      <w:r w:rsidR="00C764B2">
        <w:rPr>
          <w:rStyle w:val="Style1Char"/>
          <w:rtl/>
        </w:rPr>
        <w:t>”ם \קדושה\</w:t>
      </w:r>
      <w:r w:rsidRPr="000F5C63">
        <w:rPr>
          <w:rStyle w:val="Style1Char"/>
          <w:rtl/>
        </w:rPr>
        <w:t xml:space="preserve"> הלכות שחיטה פרק יד הלכה י</w:t>
      </w:r>
      <w:r>
        <w:rPr>
          <w:rStyle w:val="Style1Char"/>
          <w:rFonts w:hint="cs"/>
          <w:rtl/>
        </w:rPr>
        <w:t xml:space="preserve">] </w:t>
      </w:r>
      <w:r w:rsidRPr="000F5C63">
        <w:rPr>
          <w:rStyle w:val="Style1Char"/>
          <w:rtl/>
        </w:rPr>
        <w:t>אין חייב בכסוי אלא דם שחיטה הראויה לאכילה שנאמר אשר יאכל, לפיכך השוחט ונמצאת טרפה, או השוחט חולין בעזרה, או השוחט חיה ועוף שנגמר דינן לסקילה והשוחט ונתנבלה בידו פטור מלכסות, וכן חרש שוטה וקטן ששחטו בינן לבין עצמן פטורין מלכסות דם שחיטתן.</w:t>
      </w:r>
    </w:p>
    <w:p w14:paraId="4E9D05F4" w14:textId="3612F258" w:rsidR="00127B78" w:rsidRDefault="00127B78" w:rsidP="00127B78">
      <w:pPr>
        <w:pStyle w:val="Style1"/>
        <w:rPr>
          <w:rStyle w:val="Style1Char"/>
          <w:rtl/>
        </w:rPr>
      </w:pPr>
      <w:r>
        <w:rPr>
          <w:rStyle w:val="Style1Char"/>
          <w:rFonts w:hint="cs"/>
          <w:rtl/>
        </w:rPr>
        <w:t>1)[</w:t>
      </w:r>
      <w:r w:rsidRPr="00D73D32">
        <w:rPr>
          <w:rStyle w:val="Style1Char"/>
          <w:rtl/>
        </w:rPr>
        <w:t>רמב</w:t>
      </w:r>
      <w:r w:rsidR="005258D6">
        <w:rPr>
          <w:rStyle w:val="Style1Char"/>
          <w:rtl/>
        </w:rPr>
        <w:t>”ם \נזיקין\</w:t>
      </w:r>
      <w:r w:rsidRPr="00D73D32">
        <w:rPr>
          <w:rStyle w:val="Style1Char"/>
          <w:rtl/>
        </w:rPr>
        <w:t xml:space="preserve"> הלכות גניבה פרק ב הלכה ח</w:t>
      </w:r>
      <w:r>
        <w:rPr>
          <w:rStyle w:val="Style1Char"/>
          <w:rFonts w:hint="cs"/>
          <w:rtl/>
        </w:rPr>
        <w:t xml:space="preserve">] </w:t>
      </w:r>
      <w:r w:rsidRPr="00D73D32">
        <w:rPr>
          <w:rStyle w:val="Style1Char"/>
          <w:rtl/>
        </w:rPr>
        <w:t>השוחט ונתנבלה בידו והנוחר והמעקר משלם תשלומי כפל בלבד, אבל אם שחט לרפואה או לכלבים או שנמצאת טריפה או ששחטו בעזרה משלם תשלומי ארבעה וחמשה, אף על פי שחולין שנשחטו בעזרה אסורין בהנאה הואיל ואיסורן מדבריהם הרי זה חייב לשלם תשלומי ארבעה וחמשה.</w:t>
      </w:r>
    </w:p>
    <w:p w14:paraId="78FA3C00" w14:textId="77777777" w:rsidR="00127B78" w:rsidRPr="006C5D81" w:rsidRDefault="00127B78" w:rsidP="00127B78">
      <w:pPr>
        <w:pStyle w:val="Style1"/>
      </w:pPr>
      <w:r>
        <w:rPr>
          <w:rStyle w:val="Style1Char"/>
          <w:rFonts w:hint="cs"/>
          <w:rtl/>
        </w:rPr>
        <w:t>1)[</w:t>
      </w:r>
      <w:r w:rsidRPr="00BE734A">
        <w:rPr>
          <w:rStyle w:val="Style1Char"/>
          <w:rtl/>
        </w:rPr>
        <w:t>שולחן ערוך יורה דעה הלכות שחיטה סימן טז סעיף ט</w:t>
      </w:r>
      <w:r>
        <w:rPr>
          <w:rStyle w:val="Style1Char"/>
          <w:rFonts w:hint="cs"/>
          <w:rtl/>
        </w:rPr>
        <w:t xml:space="preserve">] </w:t>
      </w:r>
      <w:r w:rsidRPr="006C5D81">
        <w:rPr>
          <w:rtl/>
        </w:rPr>
        <w:t>אין איסור" אותו ואת בנו" אלא בשחיטה בלבד, שנאמר "לא תשחטו". אבל אם ניחר</w:t>
      </w:r>
      <w:r w:rsidRPr="006C5D81">
        <w:t xml:space="preserve"> (</w:t>
      </w:r>
      <w:r w:rsidRPr="006C5D81">
        <w:rPr>
          <w:rtl/>
        </w:rPr>
        <w:t>פי' ענין הנחירה הוא שתוחב הסכין בנחיריו וחותך</w:t>
      </w:r>
      <w:r w:rsidRPr="006C5D81">
        <w:t xml:space="preserve">) </w:t>
      </w:r>
      <w:r w:rsidRPr="006C5D81">
        <w:rPr>
          <w:rtl/>
        </w:rPr>
        <w:t>את הראשון, או נתנבל בידו – מותר לשחוט השני. לפיכך, חרש שוטה וקטן ששחטו את הראשון בינם לבין עצמם – מותר לשחוט השני אחריהם, לפי שרוב מעשיהם מקולקלים</w:t>
      </w:r>
      <w:r w:rsidRPr="006C5D81">
        <w:t>.</w:t>
      </w:r>
    </w:p>
    <w:p w14:paraId="32DCCE74" w14:textId="77777777" w:rsidR="00127B78" w:rsidRDefault="00127B78" w:rsidP="00127B78">
      <w:pPr>
        <w:pStyle w:val="Style1"/>
        <w:rPr>
          <w:rtl/>
        </w:rPr>
      </w:pPr>
      <w:r w:rsidRPr="006C5D81">
        <w:rPr>
          <w:rFonts w:hint="cs"/>
          <w:rtl/>
        </w:rPr>
        <w:t>הגה</w:t>
      </w:r>
      <w:r w:rsidRPr="006C5D81">
        <w:rPr>
          <w:rFonts w:hint="cs"/>
        </w:rPr>
        <w:t>: </w:t>
      </w:r>
      <w:r w:rsidRPr="006C5D81">
        <w:rPr>
          <w:rFonts w:hint="cs"/>
          <w:rtl/>
        </w:rPr>
        <w:t>ואם אחרים רואים ששוחטין כראוי אסור לשחוט אחריהם (טור) כן נראה לי</w:t>
      </w:r>
      <w:r w:rsidRPr="006C5D81">
        <w:rPr>
          <w:rFonts w:hint="cs"/>
        </w:rPr>
        <w:t>.</w:t>
      </w:r>
    </w:p>
    <w:p w14:paraId="5BE8F4C2" w14:textId="77777777" w:rsidR="00127B78" w:rsidRDefault="00127B78" w:rsidP="00127B78">
      <w:pPr>
        <w:pStyle w:val="Style1"/>
        <w:rPr>
          <w:rtl/>
        </w:rPr>
      </w:pPr>
      <w:r>
        <w:rPr>
          <w:rFonts w:hint="cs"/>
          <w:rtl/>
        </w:rPr>
        <w:t>1)[</w:t>
      </w:r>
      <w:r>
        <w:rPr>
          <w:rtl/>
        </w:rPr>
        <w:t>שולחן ערוך יורה דעה הלכות שחיטה סימן כח סעיף יז</w:t>
      </w:r>
      <w:r>
        <w:rPr>
          <w:rFonts w:hint="cs"/>
          <w:rtl/>
        </w:rPr>
        <w:t xml:space="preserve">] </w:t>
      </w:r>
      <w:r>
        <w:rPr>
          <w:rtl/>
        </w:rPr>
        <w:t>השוחט ונתנבלה בידו, או ששחט ונמצאת טריפה, פטור מלכסות. וכן חרש שוטה וקטן ששחטו, ואין אחרים רואים אותם, חזקת שחיטתן מקולקלת ופטורה מכיסוי.</w:t>
      </w:r>
    </w:p>
    <w:p w14:paraId="13028E4C" w14:textId="77777777" w:rsidR="00127B78" w:rsidRDefault="00127B78" w:rsidP="00127B78">
      <w:pPr>
        <w:pStyle w:val="Style1"/>
      </w:pPr>
      <w:r>
        <w:rPr>
          <w:rFonts w:hint="cs"/>
          <w:rtl/>
        </w:rPr>
        <w:t>1)[</w:t>
      </w:r>
      <w:r>
        <w:rPr>
          <w:rtl/>
        </w:rPr>
        <w:t>טור חושן משפט הלכות שוכר סימן שז</w:t>
      </w:r>
      <w:r>
        <w:rPr>
          <w:rFonts w:hint="cs"/>
          <w:rtl/>
        </w:rPr>
        <w:t xml:space="preserve">] </w:t>
      </w:r>
      <w:r>
        <w:rPr>
          <w:rtl/>
        </w:rPr>
        <w:t>הלכות שוכר:</w:t>
      </w:r>
    </w:p>
    <w:p w14:paraId="6419A896" w14:textId="77777777" w:rsidR="00127B78" w:rsidRDefault="00127B78" w:rsidP="00127B78">
      <w:pPr>
        <w:pStyle w:val="Style1"/>
      </w:pPr>
      <w:r>
        <w:rPr>
          <w:rtl/>
        </w:rPr>
        <w:t>א השוכר מחבירו בהמה או כלים דינו כשומר שכר להפטר מאונסין ולהתחייב בגנבה ואבדה מיד משעה שנסתלקו הבעלים:</w:t>
      </w:r>
    </w:p>
    <w:p w14:paraId="47657E6C" w14:textId="77777777" w:rsidR="00127B78" w:rsidRDefault="00127B78" w:rsidP="00127B78">
      <w:pPr>
        <w:pStyle w:val="Style1"/>
      </w:pPr>
      <w:r>
        <w:rPr>
          <w:rtl/>
        </w:rPr>
        <w:t>ב אבל המשכיר יכול לחזור בו עד שימשוך השוכר במקום הראוי למשיכה או שיעשה קנין אחר הקונה בלוקח:</w:t>
      </w:r>
    </w:p>
    <w:p w14:paraId="1BAFDFB6" w14:textId="77777777" w:rsidR="00127B78" w:rsidRDefault="00127B78" w:rsidP="00127B78">
      <w:pPr>
        <w:pStyle w:val="Style1"/>
      </w:pPr>
      <w:r>
        <w:rPr>
          <w:rtl/>
        </w:rPr>
        <w:t>ג שאלה לא"א הרא"ש ז"ל ראובן שכר בית משמעון ונתן חטה באוצר העשוי לכך ומחמת שעמדה שם החטה ימים רבים נתקלקלו כותלי העלייה ונראה לשכנים קלקול העלייה והתרו בו שיסלק החטה ולא סלקה ונפלו כותלי העלייה ונפלו כותלים אחרים שהיו סמוכות על אותו עלייה ותובע שמעון ושכניו את ראובן שהזיקן והפסידן וטען ראובן שלא פשע אלא נתן חטה באותו אוצר העשוי לכך ותמיד היו רגילין ליתן שם יותר משהניח הוא לשם. תשובה אם היה ניכר וידוע קלקול הכותלין והתרו בו השכנים לסלק החטה ולא סלקה פושע הוא וחייב לשלם כל ההיזקות שעשה לבע"ה ולשכנים דהוי גירי דיליה שהכביד משאוי על כותלים רעועים שלא היו יכולין לסבלו והפילם:</w:t>
      </w:r>
    </w:p>
    <w:p w14:paraId="452600DD" w14:textId="77777777" w:rsidR="00127B78" w:rsidRDefault="00127B78" w:rsidP="00127B78">
      <w:pPr>
        <w:pStyle w:val="Style1"/>
      </w:pPr>
      <w:r>
        <w:rPr>
          <w:rtl/>
        </w:rPr>
        <w:t>ד כל דיני ש"ש בשבועותיו ובתשלומין ובענין קניית הכפל נוהגין ג"כ בשוכר וכשם שאין הש"ש רשאי למסור לאחר כך השוכר אין רשאי להשכיר לאחר ואם השכיר לאחר חייב אפי' באונסין אלא א"כ יש לשני ראיה שיפטר בה הראשון:</w:t>
      </w:r>
    </w:p>
    <w:p w14:paraId="5DFBFD84" w14:textId="77777777" w:rsidR="00127B78" w:rsidRDefault="00127B78" w:rsidP="00127B78">
      <w:pPr>
        <w:pStyle w:val="Style1"/>
      </w:pPr>
      <w:r>
        <w:rPr>
          <w:rtl/>
        </w:rPr>
        <w:t>ה ואם השאילה לאחר ומתה כדרכה או נאנסה כיון שהשני חייב תחזור לבעלים הראשונים שאין הלה עושה סחורה בפרתו של זה ואפילו אם המשכיר יודע שמתה כדרכה אפילו הכי חייב לשלם למשכיר ומיהו אם אמר לשוכר אם תרצה תשאילנה ויהיה דינך עם השואל ויהיה דיני עמך אז ישלם השואל לשוכר:</w:t>
      </w:r>
    </w:p>
    <w:p w14:paraId="2739ABFD" w14:textId="77777777" w:rsidR="00127B78" w:rsidRDefault="00127B78" w:rsidP="00127B78">
      <w:pPr>
        <w:pStyle w:val="Style1"/>
      </w:pPr>
      <w:r>
        <w:rPr>
          <w:rtl/>
        </w:rPr>
        <w:t>ו כתב א"א הרא"ש ז"ל השוכר מחברו פרה ונולד בה מכה בפשיעת השוכר שלא מחמת מלאכה כגון ששינה פסקו חכמי צרפת שהוא פטור מלשלם</w:t>
      </w:r>
      <w:r>
        <w:rPr>
          <w:rFonts w:hint="cs"/>
          <w:rtl/>
        </w:rPr>
        <w:t xml:space="preserve"> </w:t>
      </w:r>
      <w:r>
        <w:rPr>
          <w:rtl/>
        </w:rPr>
        <w:t>כיון שסופה להתרפאות מאותה מכה לא הוי אלא שבת ואין שבת בבהמה לפיכך אם מתבטלת כמה ימים פטור כיון שסופה להתרפאות ויש מחייבין דדוקא גבי אדם לא חשבינן מכה שסופה להתרפאות אלא שבת לפי שאינו עומד לימכר הילכך לא אפחית מכספיה אבל בהמה שבכל שעה עומדת לימכר ואם יבא למכרה ודאי תשוה פחות מחמת מכה זו חשוב נזק וחייב ע"כ:</w:t>
      </w:r>
    </w:p>
    <w:p w14:paraId="6A87C620" w14:textId="77777777" w:rsidR="00127B78" w:rsidRDefault="00127B78" w:rsidP="00127B78">
      <w:pPr>
        <w:pStyle w:val="Style1"/>
        <w:rPr>
          <w:rtl/>
        </w:rPr>
      </w:pPr>
      <w:r>
        <w:rPr>
          <w:rtl/>
        </w:rPr>
        <w:t>ז אין אדם רשאי לדוש בפרתו ערבית ולהשכירה שחרית וכן כל כיוצא בזה:</w:t>
      </w:r>
    </w:p>
    <w:p w14:paraId="75C8A2D2" w14:textId="58A85A3D" w:rsidR="00127B78" w:rsidRDefault="00127B78" w:rsidP="00127B78">
      <w:pPr>
        <w:pStyle w:val="Style1"/>
        <w:rPr>
          <w:rtl/>
        </w:rPr>
      </w:pPr>
      <w:r>
        <w:rPr>
          <w:rFonts w:hint="cs"/>
          <w:rtl/>
        </w:rPr>
        <w:t>2)[</w:t>
      </w:r>
      <w:r>
        <w:rPr>
          <w:rtl/>
        </w:rPr>
        <w:t>רמב</w:t>
      </w:r>
      <w:r w:rsidR="00C764B2">
        <w:rPr>
          <w:rtl/>
        </w:rPr>
        <w:t>”ם \קדושה\</w:t>
      </w:r>
      <w:r>
        <w:rPr>
          <w:rtl/>
        </w:rPr>
        <w:t xml:space="preserve"> הלכות שחיטה פרק א הלכה כט</w:t>
      </w:r>
      <w:r>
        <w:rPr>
          <w:rFonts w:hint="cs"/>
          <w:rtl/>
        </w:rPr>
        <w:t>]</w:t>
      </w:r>
      <w:r>
        <w:rPr>
          <w:rtl/>
        </w:rPr>
        <w:t>השוחט ביום הכפורים או בשבת בשוגג אף על פי שאילו היה מזיד היה מתחייב בנפשו או מתחייב מלקות על יום הכפורים שחיטתו כשרה.</w:t>
      </w:r>
    </w:p>
    <w:p w14:paraId="2D1B5364" w14:textId="77777777" w:rsidR="00127B78" w:rsidRDefault="00127B78" w:rsidP="00127B78">
      <w:pPr>
        <w:pStyle w:val="Style1"/>
        <w:rPr>
          <w:rtl/>
        </w:rPr>
      </w:pPr>
      <w:r>
        <w:rPr>
          <w:rFonts w:hint="cs"/>
          <w:rtl/>
        </w:rPr>
        <w:t>2)[</w:t>
      </w:r>
      <w:r>
        <w:rPr>
          <w:rtl/>
        </w:rPr>
        <w:t>שולחן ערוך יורה דעה הלכות שחיטה סימן יא סעיף ב</w:t>
      </w:r>
      <w:r>
        <w:rPr>
          <w:rFonts w:hint="cs"/>
          <w:rtl/>
        </w:rPr>
        <w:t xml:space="preserve">] </w:t>
      </w:r>
      <w:r w:rsidRPr="001E067A">
        <w:rPr>
          <w:rFonts w:hint="cs"/>
          <w:rtl/>
        </w:rPr>
        <w:t>ה</w:t>
      </w:r>
      <w:r w:rsidRPr="001E067A">
        <w:rPr>
          <w:rtl/>
        </w:rPr>
        <w:t>שוחט בשבת וביום הכפורים: אע"פ שאילו היה מזיד בשבת מתחייב בנפשו, והיה לוקה ביום כפור – שחיטתו כשרה</w:t>
      </w:r>
      <w:r w:rsidRPr="001E067A">
        <w:t>.</w:t>
      </w:r>
    </w:p>
    <w:p w14:paraId="0C5AFBF9" w14:textId="4CEA8A02" w:rsidR="00127B78" w:rsidRDefault="00127B78" w:rsidP="00127B78">
      <w:pPr>
        <w:pStyle w:val="Style1"/>
        <w:rPr>
          <w:rtl/>
        </w:rPr>
      </w:pPr>
      <w:r>
        <w:rPr>
          <w:rFonts w:hint="cs"/>
          <w:rtl/>
        </w:rPr>
        <w:t>3)[</w:t>
      </w:r>
      <w:r>
        <w:rPr>
          <w:rtl/>
        </w:rPr>
        <w:t>רמב</w:t>
      </w:r>
      <w:r w:rsidR="00C764B2">
        <w:rPr>
          <w:rtl/>
        </w:rPr>
        <w:t>”ם \זמנים\</w:t>
      </w:r>
      <w:r>
        <w:rPr>
          <w:rtl/>
        </w:rPr>
        <w:t xml:space="preserve"> הלכות שבת פרק ו הלכה כג</w:t>
      </w:r>
      <w:r>
        <w:rPr>
          <w:rFonts w:hint="cs"/>
          <w:rtl/>
        </w:rPr>
        <w:t xml:space="preserve">] </w:t>
      </w:r>
      <w:r>
        <w:rPr>
          <w:rtl/>
        </w:rPr>
        <w:t xml:space="preserve">ישראל שעשה מלאכה בשבת אם עבר ועשה בזדון אסור לו ליהנות באותה מלאכה לעולם, ושאר ישראל מותר להם ליהנות בה למוצאי שבת מיד שנאמר </w:t>
      </w:r>
      <w:r>
        <w:rPr>
          <w:rFonts w:hint="cs"/>
          <w:rtl/>
        </w:rPr>
        <w:t>(</w:t>
      </w:r>
      <w:r>
        <w:rPr>
          <w:rtl/>
        </w:rPr>
        <w:t>שמות ל"א</w:t>
      </w:r>
      <w:r>
        <w:rPr>
          <w:rFonts w:hint="cs"/>
          <w:rtl/>
        </w:rPr>
        <w:t>)</w:t>
      </w:r>
      <w:r>
        <w:rPr>
          <w:rtl/>
        </w:rPr>
        <w:t xml:space="preserve"> ושמרתם את השבת כי קדש היא היא קדש ואין מעשיה קדש, כיצד ישראל שבשל בשבת במזיד, למוצאי שבת יאכל לאחרים אבל לו לא יאכל עולמית, ואם בשל בשגגה למוצאי שבת יאכל בין הוא בין אחרים מיד וכן כל כיוצא בזה.</w:t>
      </w:r>
    </w:p>
    <w:p w14:paraId="19812E5D" w14:textId="77777777" w:rsidR="00127B78" w:rsidRDefault="00127B78" w:rsidP="00127B78">
      <w:pPr>
        <w:pStyle w:val="Style1"/>
        <w:rPr>
          <w:rtl/>
        </w:rPr>
      </w:pPr>
      <w:r>
        <w:rPr>
          <w:rFonts w:hint="cs"/>
          <w:rtl/>
        </w:rPr>
        <w:t>3)[</w:t>
      </w:r>
      <w:r>
        <w:rPr>
          <w:rtl/>
        </w:rPr>
        <w:t>שולחן ערוך אורח חיים הלכות שבת סימן שיח סעיף א</w:t>
      </w:r>
      <w:r>
        <w:rPr>
          <w:rFonts w:hint="cs"/>
          <w:rtl/>
        </w:rPr>
        <w:t xml:space="preserve">] </w:t>
      </w:r>
      <w:r w:rsidRPr="00A35D39">
        <w:rPr>
          <w:rtl/>
        </w:rPr>
        <w:t>המבשל בשבת </w:t>
      </w:r>
      <w:r w:rsidRPr="00A35D39">
        <w:rPr>
          <w:rFonts w:hint="cs"/>
        </w:rPr>
        <w:t>(</w:t>
      </w:r>
      <w:r w:rsidRPr="00A35D39">
        <w:rPr>
          <w:rFonts w:hint="cs"/>
          <w:rtl/>
        </w:rPr>
        <w:t>או שעשה אחת משאר מלאכות</w:t>
      </w:r>
      <w:r w:rsidRPr="00A35D39">
        <w:rPr>
          <w:rFonts w:hint="cs"/>
        </w:rPr>
        <w:t>)</w:t>
      </w:r>
      <w:r w:rsidRPr="00A35D39">
        <w:t> </w:t>
      </w:r>
      <w:r w:rsidRPr="00A35D39">
        <w:rPr>
          <w:rtl/>
        </w:rPr>
        <w:t>במזיד, אסור לו לעולם ולאחרים מותר למוצאי שבת מיד, ובשוגג, אסור בו ביום גם לאחרים, ולערב מותר לו מיד </w:t>
      </w:r>
      <w:r w:rsidRPr="00A35D39">
        <w:rPr>
          <w:rFonts w:hint="cs"/>
        </w:rPr>
        <w:t>(</w:t>
      </w:r>
      <w:r w:rsidRPr="00A35D39">
        <w:rPr>
          <w:rFonts w:hint="cs"/>
          <w:rtl/>
        </w:rPr>
        <w:t>ואם אמר לאינו יהודי לעשות לו מלאכה בשבת עיין לעיל סימן שז סעיף כ</w:t>
      </w:r>
      <w:r w:rsidRPr="00A35D39">
        <w:rPr>
          <w:rFonts w:hint="cs"/>
        </w:rPr>
        <w:t>)</w:t>
      </w:r>
      <w:r w:rsidRPr="00A35D39">
        <w:t>:</w:t>
      </w:r>
    </w:p>
    <w:p w14:paraId="0BDC7463" w14:textId="15DDFBB4" w:rsidR="00127B78" w:rsidRDefault="00127B78" w:rsidP="00127B78">
      <w:pPr>
        <w:pStyle w:val="Style1"/>
        <w:rPr>
          <w:rtl/>
        </w:rPr>
      </w:pPr>
      <w:r>
        <w:rPr>
          <w:rFonts w:hint="cs"/>
          <w:rtl/>
        </w:rPr>
        <w:t>4)[</w:t>
      </w:r>
      <w:r>
        <w:rPr>
          <w:rtl/>
        </w:rPr>
        <w:t>רמב</w:t>
      </w:r>
      <w:r w:rsidR="005258D6">
        <w:rPr>
          <w:rtl/>
        </w:rPr>
        <w:t>”ם \נזיקין\</w:t>
      </w:r>
      <w:r>
        <w:rPr>
          <w:rtl/>
        </w:rPr>
        <w:t xml:space="preserve"> הלכות חובל ומזיק פרק ז הלכה ז</w:t>
      </w:r>
      <w:r>
        <w:rPr>
          <w:rFonts w:hint="cs"/>
          <w:rtl/>
        </w:rPr>
        <w:t xml:space="preserve">] </w:t>
      </w:r>
      <w:r>
        <w:rPr>
          <w:rtl/>
        </w:rPr>
        <w:t>כל הגורם להזיק ממון חבירו חייב לשלם נזק שלם מן היפה שבנכסיו כשאר המזיקין, אף על פי שאינו הוא המזיק זה הנזק עצמו באחרונה הואיל והוא הגורם הראשון חייב. כיצד, הזורק כלי שלו מראש הגג על גבי כרים וכסתות ובא אחר וקדם וסלק את הכרים מעל הארץ ונחבט הכלי בארץ ונשבר חייב נזק שלם כאילו שברו בידו, שסלוק הכרים והכסתות גרם לו שישבר, וכן כל כיוצא בזה. /השגת הראב"ד/ שסלוק הכרים והכסתות גרם לו שישבר וכן כל כיוצא בזה. א"א הרב פסק כן משום דדיינינן דינא דגרמי ואין הכל מודין לו לפי שלא עשה בכלי שום מעשה.</w:t>
      </w:r>
    </w:p>
    <w:p w14:paraId="2369C233" w14:textId="77777777" w:rsidR="00127B78" w:rsidRPr="00396F3A" w:rsidRDefault="00127B78" w:rsidP="00127B78">
      <w:pPr>
        <w:pStyle w:val="Style1"/>
      </w:pPr>
      <w:r>
        <w:rPr>
          <w:rFonts w:hint="cs"/>
          <w:rtl/>
        </w:rPr>
        <w:lastRenderedPageBreak/>
        <w:t>4)[</w:t>
      </w:r>
      <w:r>
        <w:rPr>
          <w:rtl/>
        </w:rPr>
        <w:t>שולחן ערוך חושן משפט הלכות נזיקין סימן שפו סעיף ב</w:t>
      </w:r>
      <w:r>
        <w:rPr>
          <w:rFonts w:hint="cs"/>
          <w:rtl/>
        </w:rPr>
        <w:t xml:space="preserve">] </w:t>
      </w:r>
      <w:r w:rsidRPr="00396F3A">
        <w:rPr>
          <w:rtl/>
        </w:rPr>
        <w:t>וכן השורף שטר חוב של חבירו חייב לשלם כל החוב שהיה בשטר שאע"פ שאין גוף השטר ממון הרי גרם לאבד ממון ובלבד שיודה לו המזיק ששטר מקויים היה וכך וכך היה כתוב בו ומחמת ששרפו הוא אינו יכול לגבות החוב אבל אם לא האמינו אינו משלם לו אלא דמי הנייר בלבד</w:t>
      </w:r>
    </w:p>
    <w:p w14:paraId="2B4BD5E7" w14:textId="77777777" w:rsidR="00127B78" w:rsidRPr="00396F3A" w:rsidRDefault="00127B78" w:rsidP="00127B78">
      <w:pPr>
        <w:pStyle w:val="Style1"/>
      </w:pPr>
      <w:r w:rsidRPr="00396F3A">
        <w:rPr>
          <w:rFonts w:hint="cs"/>
        </w:rPr>
        <w:t>(</w:t>
      </w:r>
      <w:r w:rsidRPr="00396F3A">
        <w:rPr>
          <w:rFonts w:hint="cs"/>
          <w:rtl/>
        </w:rPr>
        <w:t>ומיירי שאין עדים שיודעים כמה היה כתוב בו שאם היו עדים אינו חייב לו כלום שהם יעשו לו שטר אחר כמו שנתבאר </w:t>
      </w:r>
      <w:hyperlink r:id="rId70" w:tooltip="שולחן ערוך חושן משפט מא" w:history="1">
        <w:r w:rsidRPr="00396F3A">
          <w:rPr>
            <w:rStyle w:val="Hyperlink"/>
            <w:rFonts w:hint="cs"/>
            <w:color w:val="7030A0"/>
            <w:u w:val="none"/>
            <w:rtl/>
          </w:rPr>
          <w:t>בסי' מ"א</w:t>
        </w:r>
      </w:hyperlink>
      <w:r w:rsidRPr="00396F3A">
        <w:rPr>
          <w:rFonts w:hint="cs"/>
        </w:rPr>
        <w:t>) (</w:t>
      </w:r>
      <w:r w:rsidRPr="00396F3A">
        <w:rPr>
          <w:rFonts w:hint="cs"/>
          <w:rtl/>
        </w:rPr>
        <w:t>טור</w:t>
      </w:r>
      <w:r w:rsidRPr="00396F3A">
        <w:rPr>
          <w:rFonts w:hint="cs"/>
        </w:rPr>
        <w:t>)</w:t>
      </w:r>
      <w:r w:rsidRPr="00396F3A">
        <w:t>:</w:t>
      </w:r>
    </w:p>
    <w:p w14:paraId="1759BB50" w14:textId="77777777" w:rsidR="00127B78" w:rsidRPr="00396F3A" w:rsidRDefault="00127B78" w:rsidP="00127B78">
      <w:pPr>
        <w:pStyle w:val="Style1"/>
      </w:pPr>
    </w:p>
    <w:p w14:paraId="6873AEF9" w14:textId="77777777" w:rsidR="00127B78" w:rsidRPr="00A35D39" w:rsidRDefault="00127B78" w:rsidP="00127B78">
      <w:pPr>
        <w:pStyle w:val="Style1"/>
      </w:pPr>
    </w:p>
    <w:p w14:paraId="390C682A" w14:textId="77777777" w:rsidR="00127B78" w:rsidRPr="00A35D39" w:rsidRDefault="00127B78" w:rsidP="00127B78">
      <w:pPr>
        <w:pStyle w:val="Style1"/>
      </w:pPr>
    </w:p>
    <w:p w14:paraId="2C04E7B4" w14:textId="77777777" w:rsidR="00127B78" w:rsidRPr="006C5D81" w:rsidRDefault="00127B78" w:rsidP="00127B78">
      <w:pPr>
        <w:pStyle w:val="Style1"/>
      </w:pPr>
    </w:p>
    <w:p w14:paraId="5339B311" w14:textId="77777777" w:rsidR="00127B78" w:rsidRPr="006C5D81" w:rsidRDefault="00127B78" w:rsidP="00127B78">
      <w:pPr>
        <w:pStyle w:val="Style1"/>
        <w:rPr>
          <w:rStyle w:val="Style1Char"/>
        </w:rPr>
      </w:pPr>
    </w:p>
    <w:p w14:paraId="6797625F" w14:textId="77777777" w:rsidR="00127B78" w:rsidRPr="006C5D81" w:rsidRDefault="00127B78" w:rsidP="00127B78">
      <w:pPr>
        <w:pStyle w:val="Style1"/>
        <w:rPr>
          <w:rStyle w:val="Style1Char"/>
          <w:rtl/>
        </w:rPr>
      </w:pPr>
    </w:p>
    <w:p w14:paraId="35A5D67D" w14:textId="77777777" w:rsidR="00127B78" w:rsidRPr="006C5D81" w:rsidRDefault="00127B78" w:rsidP="00127B78">
      <w:pPr>
        <w:pStyle w:val="Style1"/>
        <w:rPr>
          <w:rStyle w:val="Style1Char"/>
          <w:rtl/>
        </w:rPr>
      </w:pPr>
      <w:r w:rsidRPr="006C5D81">
        <w:rPr>
          <w:rStyle w:val="Style1Char"/>
          <w:rtl/>
        </w:rPr>
        <w:br w:type="page"/>
      </w:r>
    </w:p>
    <w:p w14:paraId="36225C8B"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לד עמוד ב]</w:t>
      </w:r>
      <w:r w:rsidRPr="00936EC6">
        <w:rPr>
          <w:rStyle w:val="Style1Char"/>
          <w:color w:val="00B050"/>
          <w:sz w:val="22"/>
          <w:szCs w:val="22"/>
          <w:rtl/>
        </w:rPr>
        <w:t xml:space="preserve"> </w:t>
      </w:r>
      <w:r w:rsidRPr="00B32DE1">
        <w:rPr>
          <w:rStyle w:val="Style1Char"/>
          <w:color w:val="00B050"/>
          <w:rtl/>
        </w:rPr>
        <w:t xml:space="preserve">ור' מאיר לוקה ומשלם אית ליה, מת ומשלם לית ליה, ושאני הני, דחידוש הוא שחידשה תורה בקנס, אף על גב דמיקטיל - משלם. ואזדא רבה לטעמיה, דאמר רבה: היה גדי גנוב לו וטבחו בשבת - חייב, שכבר נתחייב בגניבה קודם שיבא לידי איסור שבת; גנב וטבח בשבת - פטור, שאם אין גניבה, אין טביחה ואין מכירה. ואמר רבה: היה גדי גנוב לו וטבחו במחתרת - חייב, שכבר נתחייב בגניבה קודם שיבא לידי איסור מחתרת; </w:t>
      </w:r>
      <w:r>
        <w:rPr>
          <w:rStyle w:val="Style1Char"/>
          <w:rFonts w:hint="cs"/>
          <w:rtl/>
        </w:rPr>
        <w:t>(1)</w:t>
      </w:r>
      <w:r w:rsidRPr="00B32DE1">
        <w:rPr>
          <w:rStyle w:val="Style1Char"/>
          <w:color w:val="00B050"/>
          <w:rtl/>
        </w:rPr>
        <w:t xml:space="preserve">גנב וטבח במחתרת - פטור, שאם אין גניבה, אין טביחה ואין מכירה. וצריכא; דאי אשמעינן שבת, משום דאיסורה איסור עולם, אבל מחתרת דאיסור שעה הוא - אימא לא; ואי אשמעינן מחתרת, משום דמחתרתו זו היא התראתו, אבל שבת דבעיא התראה - אימא לא, צריכא. אמר רב פפא: היתה פרה גנובה לו וטבחה בשבת - חייב, שכבר נתחייב בגניבה קודם שיבא לידי איסור שבת; </w:t>
      </w:r>
      <w:r>
        <w:rPr>
          <w:rStyle w:val="Style1Char"/>
          <w:rFonts w:hint="cs"/>
          <w:rtl/>
        </w:rPr>
        <w:t>(2)</w:t>
      </w:r>
      <w:r w:rsidRPr="00B32DE1">
        <w:rPr>
          <w:rStyle w:val="Style1Char"/>
          <w:color w:val="00B050"/>
          <w:rtl/>
        </w:rPr>
        <w:t xml:space="preserve">היתה פרה שאולה לו וטבחה בשבת - פטור. אמר ליה רב אחא בריה דרבא לרב אשי: רב פפא פרה אתא לאשמועינן? אמר ליה: רב פפא שאולה אתא לאשמועינן, סלקא דעתך אמינא, הואיל ואמר רב פפא: </w:t>
      </w:r>
      <w:r>
        <w:rPr>
          <w:rStyle w:val="Style1Char"/>
          <w:rFonts w:hint="cs"/>
          <w:rtl/>
        </w:rPr>
        <w:t>(3)</w:t>
      </w:r>
      <w:r w:rsidRPr="00B32DE1">
        <w:rPr>
          <w:rStyle w:val="Style1Char"/>
          <w:color w:val="00B050"/>
          <w:rtl/>
        </w:rPr>
        <w:t xml:space="preserve">משעת משיכה הוא דאתחייב ליה במזונותיה, הכא נמי </w:t>
      </w:r>
      <w:r>
        <w:rPr>
          <w:rStyle w:val="Style1Char"/>
          <w:rFonts w:hint="cs"/>
          <w:rtl/>
        </w:rPr>
        <w:t>(3)</w:t>
      </w:r>
      <w:r w:rsidRPr="00B32DE1">
        <w:rPr>
          <w:rStyle w:val="Style1Char"/>
          <w:color w:val="00B050"/>
          <w:rtl/>
        </w:rPr>
        <w:t xml:space="preserve">משעת שאלה אתחייב באונסיה, קא משמע לן. אמר רבא: </w:t>
      </w:r>
      <w:r>
        <w:rPr>
          <w:rStyle w:val="Style1Char"/>
          <w:rFonts w:hint="cs"/>
          <w:rtl/>
        </w:rPr>
        <w:t>(4)</w:t>
      </w:r>
      <w:r w:rsidRPr="00B32DE1">
        <w:rPr>
          <w:rStyle w:val="Style1Char"/>
          <w:color w:val="00B050"/>
          <w:rtl/>
        </w:rPr>
        <w:t xml:space="preserve">הניח להן אביהן פרה שאולה - משתמשין בה כל ימי שאלתה, מתה - אין חייבין באונסה; </w:t>
      </w:r>
      <w:r>
        <w:rPr>
          <w:rStyle w:val="Style1Char"/>
          <w:rFonts w:hint="cs"/>
          <w:rtl/>
        </w:rPr>
        <w:t>(4.1, 5)</w:t>
      </w:r>
      <w:r w:rsidRPr="00B32DE1">
        <w:rPr>
          <w:rStyle w:val="Style1Char"/>
          <w:color w:val="00B050"/>
          <w:rtl/>
        </w:rPr>
        <w:t xml:space="preserve">כסבורין של אביהם היא, וטבחוה ואכלוה - משלמין דמי בשר בזול; הניח להן אביהן אחריות נכסים - חייבין לשלם. איכא דמתני לה ארישא, ואיכא דמתני לה אסיפא. מאן דמתני לה ארישא, כל שכן אסיפא, ופליגא דרב פפא; ומאן </w:t>
      </w:r>
      <w:r>
        <w:rPr>
          <w:rStyle w:val="Style1Char"/>
          <w:rFonts w:hint="cs"/>
          <w:rtl/>
        </w:rPr>
        <w:t>(4.1, 5)</w:t>
      </w:r>
      <w:r w:rsidRPr="00B32DE1">
        <w:rPr>
          <w:rStyle w:val="Style1Char"/>
          <w:color w:val="00B050"/>
          <w:rtl/>
        </w:rPr>
        <w:t xml:space="preserve">דמתני לה אסיפא, אבל ארישא לא, והיינו דרב פפא. בשלמא ר' יוחנן לא אמר כריש לקיש, דקא מוקים לה כרבנן, אלא ריש לקיש מ"ט לא אמר כר' יוחנן? אמר לך: כיון דאילו אתרו ביה פטור, כי לא אתרו ביה נמי פטור. ואזדו לטעמייהו, דכי אתא רב דימי אמר: חייבי מיתות שוגגין, וחייבי מלקיות שוגגין, ודבר אחר - ר' יוחנן אמר: חייב, וריש לקיש אמר: פטור; ר' יוחנן אמר חייב, דהא לא אתרו ביה; ר"ל אמר פטור, כיון דאילו אתרו ביה פטור, כי לא אתרו ביה נמי פטור. איתיביה ר"ל לרבי יוחנן: ולא יהיה אסון ענוש יענש, </w:t>
      </w:r>
    </w:p>
    <w:p w14:paraId="5F44FFE2" w14:textId="511F4DC3" w:rsidR="00127B78" w:rsidRDefault="00127B78" w:rsidP="00127B78">
      <w:pPr>
        <w:pStyle w:val="Style1"/>
        <w:rPr>
          <w:rStyle w:val="Style1Char"/>
          <w:rtl/>
        </w:rPr>
      </w:pPr>
      <w:r>
        <w:rPr>
          <w:rStyle w:val="Style1Char"/>
          <w:rFonts w:hint="cs"/>
          <w:rtl/>
        </w:rPr>
        <w:t>1)[</w:t>
      </w:r>
      <w:r w:rsidRPr="00AD47F0">
        <w:rPr>
          <w:rStyle w:val="Style1Char"/>
          <w:rtl/>
        </w:rPr>
        <w:t>רמב</w:t>
      </w:r>
      <w:r w:rsidR="005258D6">
        <w:rPr>
          <w:rStyle w:val="Style1Char"/>
          <w:rtl/>
        </w:rPr>
        <w:t>”ם \נזיקין\</w:t>
      </w:r>
      <w:r w:rsidRPr="00AD47F0">
        <w:rPr>
          <w:rStyle w:val="Style1Char"/>
          <w:rtl/>
        </w:rPr>
        <w:t xml:space="preserve"> הלכות גניבה פרק ט הלכה יג</w:t>
      </w:r>
      <w:r>
        <w:rPr>
          <w:rStyle w:val="Style1Char"/>
          <w:rFonts w:hint="cs"/>
          <w:rtl/>
        </w:rPr>
        <w:t xml:space="preserve">] </w:t>
      </w:r>
      <w:r w:rsidRPr="00AD47F0">
        <w:rPr>
          <w:rStyle w:val="Style1Char"/>
          <w:rtl/>
        </w:rPr>
        <w:t>כל גנב שיש לו דמים אם נפל עליו גל בשבת מפקחים עליו ואם שבר כלים בביאתו חייב בתשלומין, אבל מי שאין לו דמים ששבר כלים בביאתו פטור כמו שביארנו. בריך רחמנא דסייען.</w:t>
      </w:r>
    </w:p>
    <w:p w14:paraId="75197490" w14:textId="77A1EE3A" w:rsidR="00127B78" w:rsidRDefault="00127B78" w:rsidP="00127B78">
      <w:pPr>
        <w:pStyle w:val="Style1"/>
        <w:rPr>
          <w:rStyle w:val="Style1Char"/>
          <w:rtl/>
        </w:rPr>
      </w:pPr>
      <w:r>
        <w:rPr>
          <w:rStyle w:val="Style1Char"/>
          <w:rFonts w:hint="cs"/>
          <w:rtl/>
        </w:rPr>
        <w:t>2)[</w:t>
      </w:r>
      <w:r w:rsidRPr="00E44085">
        <w:rPr>
          <w:rStyle w:val="Style1Char"/>
          <w:rtl/>
        </w:rPr>
        <w:t>רמב</w:t>
      </w:r>
      <w:r w:rsidR="005258D6">
        <w:rPr>
          <w:rStyle w:val="Style1Char"/>
          <w:rtl/>
        </w:rPr>
        <w:t>”ם \נזיקין\</w:t>
      </w:r>
      <w:r w:rsidRPr="00E44085">
        <w:rPr>
          <w:rStyle w:val="Style1Char"/>
          <w:rtl/>
        </w:rPr>
        <w:t xml:space="preserve"> הלכות גניבה פרק ג הלכה ד</w:t>
      </w:r>
      <w:r>
        <w:rPr>
          <w:rStyle w:val="Style1Char"/>
          <w:rFonts w:hint="cs"/>
          <w:rtl/>
        </w:rPr>
        <w:t xml:space="preserve">] </w:t>
      </w:r>
      <w:r w:rsidRPr="00E44085">
        <w:rPr>
          <w:rStyle w:val="Style1Char"/>
          <w:rtl/>
        </w:rPr>
        <w:t>היתה פרה שאולה אצלו וטבחה בשבת דרך גניבה פטור אף מן הכפל שהרי איסור שבת ואיסור גניבה באין כאחת ואם אין גניבה אין טביחה ואין מכירה.</w:t>
      </w:r>
    </w:p>
    <w:p w14:paraId="6C99B4FE" w14:textId="47FC926C" w:rsidR="00127B78" w:rsidRDefault="00127B78" w:rsidP="00127B78">
      <w:pPr>
        <w:pStyle w:val="Style1"/>
        <w:rPr>
          <w:rStyle w:val="Style1Char"/>
          <w:rtl/>
        </w:rPr>
      </w:pPr>
      <w:r>
        <w:rPr>
          <w:rStyle w:val="Style1Char"/>
          <w:rFonts w:hint="cs"/>
          <w:rtl/>
        </w:rPr>
        <w:t>3)[</w:t>
      </w:r>
      <w:r w:rsidRPr="00382F11">
        <w:rPr>
          <w:rStyle w:val="Style1Char"/>
          <w:rtl/>
        </w:rPr>
        <w:t>רמב</w:t>
      </w:r>
      <w:r w:rsidR="005258D6">
        <w:rPr>
          <w:rStyle w:val="Style1Char"/>
          <w:rtl/>
        </w:rPr>
        <w:t>”ם \משפטים\</w:t>
      </w:r>
      <w:r w:rsidRPr="00382F11">
        <w:rPr>
          <w:rStyle w:val="Style1Char"/>
          <w:rtl/>
        </w:rPr>
        <w:t xml:space="preserve"> הלכות שאלה ופקדון פרק א הלכה ד</w:t>
      </w:r>
      <w:r>
        <w:rPr>
          <w:rStyle w:val="Style1Char"/>
          <w:rFonts w:hint="cs"/>
          <w:rtl/>
        </w:rPr>
        <w:t xml:space="preserve">] </w:t>
      </w:r>
      <w:r w:rsidRPr="00382F11">
        <w:rPr>
          <w:rStyle w:val="Style1Char"/>
          <w:rtl/>
        </w:rPr>
        <w:t>השואל בהמה חייב במזונותיה משעה שמשכה עד סוף ימי שאלתה, ואם כחש בשרה חייב לשלם מה שפחתה בדמיה, כחש בשרה מחמת המלאכה פטור וישבע שבועת השומרין שמחמת מלאכה כחשה.</w:t>
      </w:r>
    </w:p>
    <w:p w14:paraId="5FC157B4" w14:textId="77777777" w:rsidR="00127B78" w:rsidRPr="006D0E82" w:rsidRDefault="00127B78" w:rsidP="00127B78">
      <w:pPr>
        <w:pStyle w:val="Style1"/>
      </w:pPr>
      <w:r>
        <w:rPr>
          <w:rStyle w:val="Style1Char"/>
          <w:rFonts w:hint="cs"/>
          <w:rtl/>
        </w:rPr>
        <w:t>3)[</w:t>
      </w:r>
      <w:r w:rsidRPr="006C5493">
        <w:rPr>
          <w:rStyle w:val="Style1Char"/>
          <w:rtl/>
        </w:rPr>
        <w:t>שולחן ערוך חושן משפט הלכות שאלה סימן שמ סעיף ד</w:t>
      </w:r>
      <w:r>
        <w:rPr>
          <w:rStyle w:val="Style1Char"/>
          <w:rFonts w:hint="cs"/>
          <w:rtl/>
        </w:rPr>
        <w:t xml:space="preserve">] </w:t>
      </w:r>
      <w:r w:rsidRPr="006D0E82">
        <w:rPr>
          <w:rtl/>
        </w:rPr>
        <w:t>השואל בהמה חייב במזונותיה משעה שמשכה עד סוף ימי שאלתה</w:t>
      </w:r>
      <w:r w:rsidRPr="006D0E82">
        <w:t>:</w:t>
      </w:r>
    </w:p>
    <w:p w14:paraId="174E6FBB" w14:textId="77777777" w:rsidR="00127B78" w:rsidRPr="006D0E82" w:rsidRDefault="00127B78" w:rsidP="00127B78">
      <w:pPr>
        <w:pStyle w:val="Style1"/>
      </w:pPr>
      <w:r w:rsidRPr="006D0E82">
        <w:rPr>
          <w:rFonts w:hint="cs"/>
          <w:rtl/>
        </w:rPr>
        <w:t>הגה: וי"א דלא בענין משיכה אלא מיד שנסתלקו הבעלים (טור כדעת הר"י והרא"ש וע"ל ריש </w:t>
      </w:r>
      <w:hyperlink r:id="rId71" w:tooltip="שולחן ערוך חושן משפט רצא" w:history="1">
        <w:r w:rsidRPr="006D0E82">
          <w:rPr>
            <w:rStyle w:val="Hyperlink"/>
            <w:rFonts w:hint="cs"/>
            <w:color w:val="7030A0"/>
            <w:u w:val="none"/>
            <w:rtl/>
          </w:rPr>
          <w:t>סימן רצ"א</w:t>
        </w:r>
      </w:hyperlink>
      <w:r w:rsidRPr="006D0E82">
        <w:rPr>
          <w:rFonts w:hint="cs"/>
        </w:rPr>
        <w:t> </w:t>
      </w:r>
      <w:r w:rsidRPr="006D0E82">
        <w:rPr>
          <w:rFonts w:hint="cs"/>
          <w:rtl/>
        </w:rPr>
        <w:t>ו</w:t>
      </w:r>
      <w:hyperlink r:id="rId72" w:tooltip="שולחן ערוך חושן משפט שז" w:history="1">
        <w:r w:rsidRPr="006D0E82">
          <w:rPr>
            <w:rStyle w:val="Hyperlink"/>
            <w:rFonts w:hint="cs"/>
            <w:color w:val="7030A0"/>
            <w:u w:val="none"/>
            <w:rtl/>
          </w:rPr>
          <w:t>ש"ז</w:t>
        </w:r>
      </w:hyperlink>
      <w:r w:rsidRPr="006D0E82">
        <w:rPr>
          <w:rFonts w:hint="cs"/>
        </w:rPr>
        <w:t>)</w:t>
      </w:r>
      <w:r w:rsidRPr="006D0E82">
        <w:t>:</w:t>
      </w:r>
    </w:p>
    <w:p w14:paraId="37211C85" w14:textId="77777777" w:rsidR="00127B78" w:rsidRDefault="00127B78" w:rsidP="00127B78">
      <w:pPr>
        <w:pStyle w:val="Style1"/>
        <w:rPr>
          <w:rtl/>
        </w:rPr>
      </w:pPr>
      <w:r w:rsidRPr="006D0E82">
        <w:rPr>
          <w:rtl/>
        </w:rPr>
        <w:t>ואם כחש בשרה כחשה דלא הדר חייב לשלם מה שפחתו בדמים ואם היה הכחש מחמת מלאכה פטור וישבע שבועת השומרים שמחמת מלאכה כחשה</w:t>
      </w:r>
      <w:r w:rsidRPr="006D0E82">
        <w:t>:</w:t>
      </w:r>
    </w:p>
    <w:p w14:paraId="0C4FEE04" w14:textId="301305AD" w:rsidR="00127B78" w:rsidRDefault="00127B78" w:rsidP="00127B78">
      <w:pPr>
        <w:pStyle w:val="Style1"/>
        <w:rPr>
          <w:rtl/>
        </w:rPr>
      </w:pPr>
      <w:r>
        <w:rPr>
          <w:rFonts w:hint="cs"/>
          <w:rtl/>
        </w:rPr>
        <w:t>4)[</w:t>
      </w:r>
      <w:r>
        <w:rPr>
          <w:rtl/>
        </w:rPr>
        <w:t>רמב</w:t>
      </w:r>
      <w:r w:rsidR="005258D6">
        <w:rPr>
          <w:rtl/>
        </w:rPr>
        <w:t>”ם \משפטים\</w:t>
      </w:r>
      <w:r>
        <w:rPr>
          <w:rtl/>
        </w:rPr>
        <w:t xml:space="preserve"> הלכות שאלה ופקדון פרק א הלכה ה</w:t>
      </w:r>
      <w:r>
        <w:rPr>
          <w:rFonts w:hint="cs"/>
          <w:rtl/>
        </w:rPr>
        <w:t xml:space="preserve">] </w:t>
      </w:r>
      <w:r>
        <w:rPr>
          <w:rtl/>
        </w:rPr>
        <w:t>השואל כלי מחבירו או בהמה סתם הרי המשאיל מחזירו בכל עת שירצה, שאלו לזמן קצוב כיון שמשך וזכה אין הבעלים יכולין להחזירו מתחת ידו עד סוף ימי השאלה, ואפילו מת השואל הרי היורשין משתמשין בשאלה עד סוף הזמן, ודין הוא הלוקח קונה הגוף קנין עולם בדמים שנתן ומקבל מתנה קנה הגוף קנין עולם ולא נתן כלום והשוכר קנה הגוף לפירותיו עד זמן קצוב בדמים שנתן והשואל קנה הגוף לפירותיו עד זמן קצוב ולא נתן כלום, כשם שהנותן כמוכר שאינו יכול לחזור בו לעולם כך המשאיל כמשכיר שאינו יכול לחזור בתוך הזמן, הניח להם אביהם פרה שאולה ומתה אין חייבין באונסיה, חשבו שהיא של אביהם טבחוה ואכלוה משלמין דמי בשר בזול, ואם הניח להם אביהם נכסים ומתה או שטבחוה משלמין את דמיה מנכסיו.</w:t>
      </w:r>
    </w:p>
    <w:p w14:paraId="716ABECE" w14:textId="77777777" w:rsidR="00127B78" w:rsidRDefault="00127B78" w:rsidP="00127B78">
      <w:pPr>
        <w:pStyle w:val="Style1"/>
        <w:rPr>
          <w:rtl/>
        </w:rPr>
      </w:pPr>
      <w:r>
        <w:rPr>
          <w:rFonts w:hint="cs"/>
          <w:rtl/>
        </w:rPr>
        <w:t>4)[</w:t>
      </w:r>
      <w:r>
        <w:rPr>
          <w:rtl/>
        </w:rPr>
        <w:t>שולחן ערוך חושן משפט הלכות שאלה סימן שמא סעיף ג</w:t>
      </w:r>
      <w:r>
        <w:rPr>
          <w:rFonts w:hint="cs"/>
          <w:rtl/>
        </w:rPr>
        <w:t xml:space="preserve">] </w:t>
      </w:r>
      <w:r w:rsidRPr="00B36D9F">
        <w:rPr>
          <w:rtl/>
        </w:rPr>
        <w:t>הניח להם אביהם פרה שאולה משתמשים בה כל ימי שאלתה ואין חייבין באונסיה אפילו נשתמשו בה אבל חייבים עליה כשומר שכר </w:t>
      </w:r>
      <w:r w:rsidRPr="00B36D9F">
        <w:rPr>
          <w:rFonts w:hint="cs"/>
        </w:rPr>
        <w:t>(</w:t>
      </w:r>
      <w:r w:rsidRPr="00B36D9F">
        <w:rPr>
          <w:rFonts w:hint="cs"/>
          <w:rtl/>
        </w:rPr>
        <w:t>וע"ל </w:t>
      </w:r>
      <w:hyperlink r:id="rId73" w:anchor="%D7%A1%D7%A2%D7%99%D7%A3_%D7%95" w:tooltip="שולחן ערוך חושן משפט עב" w:history="1">
        <w:r w:rsidRPr="00B36D9F">
          <w:rPr>
            <w:rStyle w:val="Hyperlink"/>
            <w:rFonts w:hint="cs"/>
            <w:color w:val="7030A0"/>
            <w:u w:val="none"/>
            <w:rtl/>
          </w:rPr>
          <w:t>סי' ע"ב ס"ו</w:t>
        </w:r>
      </w:hyperlink>
      <w:r w:rsidRPr="00B36D9F">
        <w:rPr>
          <w:rFonts w:hint="cs"/>
        </w:rPr>
        <w:t>)</w:t>
      </w:r>
      <w:r w:rsidRPr="00B36D9F">
        <w:t> </w:t>
      </w:r>
      <w:r w:rsidRPr="00B36D9F">
        <w:rPr>
          <w:rtl/>
        </w:rPr>
        <w:t>אפילו לא נשתמשו בה ויש מי שאומר שאם אמר המשאיל ליתומים החזירו לי הפרה שהשאלתי את אביכם או קבלו עליכם חיוב אונסים שומעין לו</w:t>
      </w:r>
      <w:r w:rsidRPr="00B36D9F">
        <w:t>:</w:t>
      </w:r>
    </w:p>
    <w:p w14:paraId="2726DD3F" w14:textId="77777777" w:rsidR="00127B78" w:rsidRPr="00AE6CD7" w:rsidRDefault="00127B78" w:rsidP="00127B78">
      <w:pPr>
        <w:pStyle w:val="Style1"/>
      </w:pPr>
      <w:r>
        <w:rPr>
          <w:rFonts w:hint="cs"/>
          <w:rtl/>
        </w:rPr>
        <w:t>4)[</w:t>
      </w:r>
      <w:r>
        <w:rPr>
          <w:rtl/>
        </w:rPr>
        <w:t>שולחן ערוך חושן משפט הלכות שאלה סימן שמא סעיף ד</w:t>
      </w:r>
      <w:r>
        <w:rPr>
          <w:rFonts w:hint="cs"/>
          <w:rtl/>
        </w:rPr>
        <w:t xml:space="preserve">] </w:t>
      </w:r>
      <w:r w:rsidRPr="00AE6CD7">
        <w:rPr>
          <w:rtl/>
        </w:rPr>
        <w:t>חשבו שהיא של אביהם וטבחוה ואכלוה משלמים דמי בשר בזול שהוא שני שלישים והעור ישלמו כולו ואם הניח להם נכסים וטבחוה משלמים דמיה מנכסיו</w:t>
      </w:r>
      <w:r w:rsidRPr="00AE6CD7">
        <w:t>:</w:t>
      </w:r>
    </w:p>
    <w:p w14:paraId="19028FD5" w14:textId="77777777" w:rsidR="00127B78" w:rsidRPr="00B36D9F" w:rsidRDefault="00127B78" w:rsidP="00127B78">
      <w:pPr>
        <w:pStyle w:val="Style1"/>
      </w:pPr>
    </w:p>
    <w:p w14:paraId="12549EF8" w14:textId="77777777" w:rsidR="00127B78" w:rsidRPr="006D0E82" w:rsidRDefault="00127B78" w:rsidP="00127B78">
      <w:pPr>
        <w:pStyle w:val="Style1"/>
      </w:pPr>
    </w:p>
    <w:p w14:paraId="53635999" w14:textId="77777777" w:rsidR="00127B78" w:rsidRPr="006D0E82" w:rsidRDefault="00127B78" w:rsidP="00127B78">
      <w:pPr>
        <w:pStyle w:val="Style1"/>
        <w:rPr>
          <w:rStyle w:val="Style1Char"/>
        </w:rPr>
      </w:pPr>
    </w:p>
    <w:p w14:paraId="257123B1" w14:textId="77777777" w:rsidR="00127B78" w:rsidRPr="00AD47F0" w:rsidRDefault="00127B78" w:rsidP="00127B78">
      <w:pPr>
        <w:pStyle w:val="Style1"/>
        <w:rPr>
          <w:rStyle w:val="Style1Char"/>
          <w:rtl/>
        </w:rPr>
      </w:pPr>
    </w:p>
    <w:p w14:paraId="0073005E" w14:textId="77777777" w:rsidR="00127B78" w:rsidRDefault="00127B78" w:rsidP="00127B78">
      <w:pPr>
        <w:rPr>
          <w:rStyle w:val="Style1Char"/>
          <w:color w:val="00B050"/>
          <w:rtl/>
        </w:rPr>
      </w:pPr>
      <w:r>
        <w:rPr>
          <w:rStyle w:val="Style1Char"/>
          <w:color w:val="00B050"/>
          <w:rtl/>
        </w:rPr>
        <w:br w:type="page"/>
      </w:r>
    </w:p>
    <w:p w14:paraId="56E1B910"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לה עמוד א]</w:t>
      </w:r>
      <w:r w:rsidRPr="00936EC6">
        <w:rPr>
          <w:rStyle w:val="Style1Char"/>
          <w:color w:val="00B050"/>
          <w:sz w:val="22"/>
          <w:szCs w:val="22"/>
          <w:rtl/>
        </w:rPr>
        <w:t xml:space="preserve"> </w:t>
      </w:r>
      <w:r w:rsidRPr="00B32DE1">
        <w:rPr>
          <w:rStyle w:val="Style1Char"/>
          <w:color w:val="00B050"/>
          <w:rtl/>
        </w:rPr>
        <w:t xml:space="preserve">מאי לאו אסון ממש! לא, דין אסון. איכא דאמרי, איתיביה רבי יוחנן לר"ל: ולא יהיה אסון ענוש יענש, מאי לאו דין אסון! לא, אסון ממש. אמר רבא: ומי איכא למ"ד חייבי מיתות שוגגין חייבים? והא תנא דבי חזקיה: </w:t>
      </w:r>
      <w:r>
        <w:rPr>
          <w:rStyle w:val="Style1Char"/>
          <w:rFonts w:hint="cs"/>
          <w:rtl/>
        </w:rPr>
        <w:t>(1)</w:t>
      </w:r>
      <w:r w:rsidRPr="00B32DE1">
        <w:rPr>
          <w:rStyle w:val="Style1Char"/>
          <w:color w:val="00B050"/>
          <w:rtl/>
        </w:rPr>
        <w:t xml:space="preserve">מכה אדם ומכה בהמה, מה מכה בהמה - לא חילקת בו בין בשוגג בין במזיד, בין מתכוין לשאין מתכוין, בין דרך ירידה לדרך עלייה, לפוטרו ממון אלא לחייבו ממון, אף מכה אדם - לא תחלוק בו בין בשוגג בין במזיד, בין מתכוין לשאין מתכוין, בין דרך ירידה לדרך עלייה, לחייבו ממון אלא לפוטרו ממון! אלא כי אתא רבין אמר: </w:t>
      </w:r>
      <w:r>
        <w:rPr>
          <w:rStyle w:val="Style1Char"/>
          <w:rFonts w:hint="cs"/>
          <w:rtl/>
        </w:rPr>
        <w:t>(1)</w:t>
      </w:r>
      <w:r w:rsidRPr="00B32DE1">
        <w:rPr>
          <w:rStyle w:val="Style1Char"/>
          <w:color w:val="00B050"/>
          <w:rtl/>
        </w:rPr>
        <w:t xml:space="preserve">חייבי מיתות שוגגין - כולי עלמא לא פליגי דפטורין, כי פליגי - בחייבי מלקות שוגגין ודבר אחר, </w:t>
      </w:r>
      <w:r>
        <w:rPr>
          <w:rStyle w:val="Style1Char"/>
          <w:rFonts w:hint="cs"/>
          <w:rtl/>
        </w:rPr>
        <w:t>(2)</w:t>
      </w:r>
      <w:r w:rsidRPr="00B32DE1">
        <w:rPr>
          <w:rStyle w:val="Style1Char"/>
          <w:color w:val="00B050"/>
          <w:rtl/>
        </w:rPr>
        <w:t xml:space="preserve">רבי יוחנן אמר: חייב, חייבי מיתות איתקוש, חייבי מלקיות לא איתקוש; ריש לקיש אמר: פטור, בפירוש ריבתה תורה חייבי מלקיות כחייבי מיתות. היכן ריבתה תורה? אמר אביי: אתיא רשע רשע, רבא אמר: אתיא מכה מכה. אמר ליה רב פפא לרבא: הי מכה? אילימא ומכה בהמה ישלמנה ומכה אדם יומת, האי בקטלא כתיב! אלא האי מכה: מכה נפש בהמה ישלמנה נפש תחת נפש, וסמיך ליה: ואיש כי יתן מום בעמיתו [כאשר עשה כן יעשה לו], והאי לאו מכה היא! אנן הכאה הכאה קאמרינן. והא כי כתיב - בחובל בחבירו הוא דכתיב, וחובל בחבירו בר תשלומין הוא! אם אינו ענין להכאה שיש בה שוה פרוטה, </w:t>
      </w:r>
      <w:r>
        <w:rPr>
          <w:rStyle w:val="Style1Char"/>
          <w:rFonts w:hint="cs"/>
          <w:rtl/>
        </w:rPr>
        <w:t>(3)</w:t>
      </w:r>
      <w:r w:rsidRPr="00B32DE1">
        <w:rPr>
          <w:rStyle w:val="Style1Char"/>
          <w:color w:val="00B050"/>
          <w:rtl/>
        </w:rPr>
        <w:t xml:space="preserve">תנהו ענין להכאה שאין בה שוה פרוטה. </w:t>
      </w:r>
    </w:p>
    <w:p w14:paraId="2C858D61" w14:textId="0CF12B61" w:rsidR="00127B78" w:rsidRDefault="00127B78" w:rsidP="00127B78">
      <w:pPr>
        <w:pStyle w:val="Style1"/>
        <w:rPr>
          <w:rStyle w:val="Style1Char"/>
          <w:rtl/>
        </w:rPr>
      </w:pPr>
      <w:r>
        <w:rPr>
          <w:rStyle w:val="Style1Char"/>
          <w:rFonts w:hint="cs"/>
          <w:rtl/>
        </w:rPr>
        <w:t>1)[</w:t>
      </w:r>
      <w:r w:rsidRPr="00487B53">
        <w:rPr>
          <w:rStyle w:val="Style1Char"/>
          <w:rtl/>
        </w:rPr>
        <w:t>רמב</w:t>
      </w:r>
      <w:r w:rsidR="00786216">
        <w:rPr>
          <w:rStyle w:val="Style1Char"/>
          <w:rtl/>
        </w:rPr>
        <w:t>”ם \נשים\</w:t>
      </w:r>
      <w:r w:rsidRPr="00487B53">
        <w:rPr>
          <w:rStyle w:val="Style1Char"/>
          <w:rtl/>
        </w:rPr>
        <w:t xml:space="preserve"> הלכות נערה בתולה פרק א הלכה יג</w:t>
      </w:r>
      <w:r>
        <w:rPr>
          <w:rStyle w:val="Style1Char"/>
          <w:rFonts w:hint="cs"/>
          <w:rtl/>
        </w:rPr>
        <w:t xml:space="preserve">] </w:t>
      </w:r>
      <w:r w:rsidRPr="00487B53">
        <w:rPr>
          <w:rStyle w:val="Style1Char"/>
          <w:rtl/>
        </w:rPr>
        <w:t xml:space="preserve">היתה מחייבי מיתת בית דין כגון בתו ואשת בנו וכיוצא בהן בין התרו בו בין לא התרו בו פטור מן הקנס שנ' </w:t>
      </w:r>
      <w:r>
        <w:rPr>
          <w:rStyle w:val="Style1Char"/>
          <w:rFonts w:hint="cs"/>
          <w:rtl/>
        </w:rPr>
        <w:t>(</w:t>
      </w:r>
      <w:r w:rsidRPr="00487B53">
        <w:rPr>
          <w:rStyle w:val="Style1Char"/>
          <w:rtl/>
        </w:rPr>
        <w:t>שמות כ"א כ"ב</w:t>
      </w:r>
      <w:r>
        <w:rPr>
          <w:rStyle w:val="Style1Char"/>
          <w:rFonts w:hint="cs"/>
          <w:rtl/>
        </w:rPr>
        <w:t>)</w:t>
      </w:r>
      <w:r w:rsidRPr="00487B53">
        <w:rPr>
          <w:rStyle w:val="Style1Char"/>
          <w:rtl/>
        </w:rPr>
        <w:t xml:space="preserve"> ולא יהיה אסון ענוש יענש הא אם היה שם אסון אין שם עונש ואף על פי שהריגת האשה בשגגה שהרי לא נתכוונו לה שנ' כי ינצו אנשים ונגפו אשה הרה וגו' הא למדת שלא חלק באסון בין שוגג למזיד לפטרו מן התשלומין. והרי הוא אומר </w:t>
      </w:r>
      <w:r>
        <w:rPr>
          <w:rStyle w:val="Style1Char"/>
          <w:rFonts w:hint="cs"/>
          <w:rtl/>
        </w:rPr>
        <w:t>(</w:t>
      </w:r>
      <w:r w:rsidRPr="00487B53">
        <w:rPr>
          <w:rStyle w:val="Style1Char"/>
          <w:rtl/>
        </w:rPr>
        <w:t>ויקרא כ"ד כ"א</w:t>
      </w:r>
      <w:r>
        <w:rPr>
          <w:rStyle w:val="Style1Char"/>
          <w:rFonts w:hint="cs"/>
          <w:rtl/>
        </w:rPr>
        <w:t>)</w:t>
      </w:r>
      <w:r w:rsidRPr="00487B53">
        <w:rPr>
          <w:rStyle w:val="Style1Char"/>
          <w:rtl/>
        </w:rPr>
        <w:t xml:space="preserve"> מכה נפש בהמה ישלמנה ומכה אדם יומת מה מכה נפש בהמה לא חלק בו בין שוגג למזיד לחייבו בתשלומין אף מכה נפש אדם לא חלק בו בין שוגג למזיד לפטרו מן התשלומין.</w:t>
      </w:r>
    </w:p>
    <w:p w14:paraId="1A8D9D21" w14:textId="2F371FA2" w:rsidR="00127B78" w:rsidRDefault="00127B78" w:rsidP="00127B78">
      <w:pPr>
        <w:pStyle w:val="Style1"/>
        <w:rPr>
          <w:rStyle w:val="Style1Char"/>
          <w:rtl/>
        </w:rPr>
      </w:pPr>
      <w:r>
        <w:rPr>
          <w:rStyle w:val="Style1Char"/>
          <w:rFonts w:hint="cs"/>
          <w:rtl/>
        </w:rPr>
        <w:t>1)[</w:t>
      </w:r>
      <w:r w:rsidRPr="005205FE">
        <w:rPr>
          <w:rStyle w:val="Style1Char"/>
          <w:rtl/>
        </w:rPr>
        <w:t>רמב</w:t>
      </w:r>
      <w:r w:rsidR="005258D6">
        <w:rPr>
          <w:rStyle w:val="Style1Char"/>
          <w:rtl/>
        </w:rPr>
        <w:t>”ם \נזיקין\</w:t>
      </w:r>
      <w:r w:rsidRPr="005205FE">
        <w:rPr>
          <w:rStyle w:val="Style1Char"/>
          <w:rtl/>
        </w:rPr>
        <w:t xml:space="preserve"> הלכות חובל ומזיק פרק ד הלכה ז</w:t>
      </w:r>
      <w:r>
        <w:rPr>
          <w:rStyle w:val="Style1Char"/>
          <w:rFonts w:hint="cs"/>
          <w:rtl/>
        </w:rPr>
        <w:t xml:space="preserve">] </w:t>
      </w:r>
      <w:r w:rsidRPr="005205FE">
        <w:rPr>
          <w:rStyle w:val="Style1Char"/>
          <w:rtl/>
        </w:rPr>
        <w:t>המכה אביו ואמו ולא עשה בהן חבורה חייב בחמשה דברים אבל אם עשה בהם חבורה או שחבל בחבירו בשבת אפילו היה שוגג פטור מן התשלומין מפני שהוא עון מיתת בית דין וכבר ביארנו שלא חלק הכתוב בדבר שיש בו מיתת בית דין בין שוגג למזיד לפטרו מן התשלומין.</w:t>
      </w:r>
    </w:p>
    <w:p w14:paraId="45D1BB20" w14:textId="77777777" w:rsidR="00127B78" w:rsidRPr="0083622B" w:rsidRDefault="00127B78" w:rsidP="00127B78">
      <w:pPr>
        <w:pStyle w:val="Style1"/>
      </w:pPr>
      <w:r>
        <w:rPr>
          <w:rStyle w:val="Style1Char"/>
          <w:rFonts w:hint="cs"/>
          <w:rtl/>
        </w:rPr>
        <w:t>1)[</w:t>
      </w:r>
      <w:r w:rsidRPr="004C4779">
        <w:rPr>
          <w:rStyle w:val="Style1Char"/>
          <w:rtl/>
        </w:rPr>
        <w:t>שולחן ערוך חושן משפט הלכות חובל בחבירו סימן תכג סעיף ד</w:t>
      </w:r>
      <w:r>
        <w:rPr>
          <w:rStyle w:val="Style1Char"/>
          <w:rFonts w:hint="cs"/>
          <w:rtl/>
        </w:rPr>
        <w:t xml:space="preserve">] </w:t>
      </w:r>
      <w:r w:rsidRPr="0083622B">
        <w:rPr>
          <w:rtl/>
        </w:rPr>
        <w:t>הנוגף את האשה ויצאו ילדיה ומתה אע"פ שהיה שוגג ה"ז פטור מהתשלומין ואינו משלם כלום שנא' ולא יהיה אסון ענוש יענש (לא חילק הכתוב בין שוגג למזיד בדבר שיש בו מיתת ב"ד לפטרו מן התשלומין). במה דברים אמורים כשנתכוין לאשה אבל אם נתכוון לחבירו ונגף את האשה אע"פ שמתה הואיל והמיתה בלא כוונה ה"ז כדבר שאין בו מיתת ב"ד ומשלם דמי ולדות</w:t>
      </w:r>
    </w:p>
    <w:p w14:paraId="1A04A70D" w14:textId="77777777" w:rsidR="00127B78" w:rsidRDefault="00127B78" w:rsidP="00127B78">
      <w:pPr>
        <w:pStyle w:val="Style1"/>
        <w:rPr>
          <w:rtl/>
        </w:rPr>
      </w:pPr>
      <w:r w:rsidRPr="0083622B">
        <w:rPr>
          <w:rFonts w:hint="cs"/>
          <w:rtl/>
        </w:rPr>
        <w:t>(וי"א דאפי' לא נתכוין לאשה פטור מתשלומיו) (טור ס"ט בשם הראב"ד)</w:t>
      </w:r>
      <w:r w:rsidRPr="0083622B">
        <w:t>:</w:t>
      </w:r>
    </w:p>
    <w:p w14:paraId="3F894AD4" w14:textId="4CF74BA8" w:rsidR="00127B78" w:rsidRDefault="00127B78" w:rsidP="00127B78">
      <w:pPr>
        <w:pStyle w:val="Style1"/>
        <w:rPr>
          <w:rtl/>
        </w:rPr>
      </w:pPr>
      <w:r>
        <w:rPr>
          <w:rFonts w:hint="cs"/>
          <w:rtl/>
        </w:rPr>
        <w:t>2)[</w:t>
      </w:r>
      <w:r>
        <w:rPr>
          <w:rtl/>
        </w:rPr>
        <w:t>רמב</w:t>
      </w:r>
      <w:r w:rsidR="00786216">
        <w:rPr>
          <w:rtl/>
        </w:rPr>
        <w:t>”ם \נשים\</w:t>
      </w:r>
      <w:r>
        <w:rPr>
          <w:rtl/>
        </w:rPr>
        <w:t xml:space="preserve"> הלכות נערה בתולה פרק א הלכה יא</w:t>
      </w:r>
      <w:r>
        <w:rPr>
          <w:rFonts w:hint="cs"/>
          <w:rtl/>
        </w:rPr>
        <w:t xml:space="preserve">] </w:t>
      </w:r>
      <w:r>
        <w:rPr>
          <w:rtl/>
        </w:rPr>
        <w:t>היתה בתולה זו אסורה על האונס או המפתה אם היתה מחייבי כריתות כגון אחותו ודודתו והנדה וכיוצא בהן או שהיתה מחייבי לאוין, אם התרו בו הרי זה לוקה ואינו משלם קנס שאין אדם לוקה ומשלם, ואם לא היתה שם התראה הואיל ואינו חייב מלקות הרי זה משלם קנס.</w:t>
      </w:r>
    </w:p>
    <w:p w14:paraId="11088E32" w14:textId="34B155DA" w:rsidR="00127B78" w:rsidRDefault="00127B78" w:rsidP="00127B78">
      <w:pPr>
        <w:pStyle w:val="Style1"/>
        <w:rPr>
          <w:rtl/>
        </w:rPr>
      </w:pPr>
      <w:r>
        <w:rPr>
          <w:rFonts w:hint="cs"/>
          <w:rtl/>
        </w:rPr>
        <w:t>2)[</w:t>
      </w:r>
      <w:r>
        <w:rPr>
          <w:rtl/>
        </w:rPr>
        <w:t>רמב</w:t>
      </w:r>
      <w:r w:rsidR="005258D6">
        <w:rPr>
          <w:rtl/>
        </w:rPr>
        <w:t>”ם \נזיקין\</w:t>
      </w:r>
      <w:r>
        <w:rPr>
          <w:rtl/>
        </w:rPr>
        <w:t xml:space="preserve"> הלכות גניבה פרק ג הלכה א</w:t>
      </w:r>
      <w:r>
        <w:rPr>
          <w:rFonts w:hint="cs"/>
          <w:rtl/>
        </w:rPr>
        <w:t xml:space="preserve">] </w:t>
      </w:r>
      <w:r>
        <w:rPr>
          <w:rtl/>
        </w:rPr>
        <w:t>כבר ביארנו בהלכות נערה שכל העושה עבירה שיש בה עון מיתת בית דין ותשלומין אינו משלם אף על פי שהיה שוגג, והעושה עבירה שנתחייב בה מלקות ותשלומין לוקה ואינו משלם שאין אדם לוקה ומשלם, לפיכך אם היה שוגג או לא התרו בו משלם ואינו לוקה. במה דברים אמורים בשנתחייב בתשלומין עם עון מיתת בית דין כאחת או שנתחייב תשלומין ומלקות בבת אחת אבל אם נתחייב בתשלומין ואחר כך נתחייב במיתת בית דין או במלקות או שנתחייב מלקות או מיתת בית דין ואחר כך נתחייב בתשלומין הרי זה לוקה ומשלם ומת ומשלם.</w:t>
      </w:r>
    </w:p>
    <w:p w14:paraId="1043CC37" w14:textId="5B4FCD7E" w:rsidR="00127B78" w:rsidRDefault="00127B78" w:rsidP="00127B78">
      <w:pPr>
        <w:pStyle w:val="Style1"/>
        <w:rPr>
          <w:rtl/>
        </w:rPr>
      </w:pPr>
      <w:r>
        <w:rPr>
          <w:rFonts w:hint="cs"/>
          <w:rtl/>
        </w:rPr>
        <w:t>3)[</w:t>
      </w:r>
      <w:r>
        <w:rPr>
          <w:rtl/>
        </w:rPr>
        <w:t>רמב</w:t>
      </w:r>
      <w:r w:rsidR="005258D6">
        <w:rPr>
          <w:rtl/>
        </w:rPr>
        <w:t>”ם \נזיקין\</w:t>
      </w:r>
      <w:r>
        <w:rPr>
          <w:rtl/>
        </w:rPr>
        <w:t xml:space="preserve"> הלכות חובל ומזיק פרק ד הלכה ט</w:t>
      </w:r>
      <w:r>
        <w:rPr>
          <w:rFonts w:hint="cs"/>
          <w:rtl/>
        </w:rPr>
        <w:t xml:space="preserve">] </w:t>
      </w:r>
      <w:r>
        <w:rPr>
          <w:rtl/>
        </w:rPr>
        <w:t xml:space="preserve">החובל בחבירו ביום הכפורים אפילו במזיד חייב בתשלומין אף על פי שעבר עבירה שהוא חייב עליה מלקות, והלא כל המחוייב מלקות ותשלומין לוקה ואינו משלם שאין אדם לוקה ומשלם, כך הם הדברים בכל חוץ  מחובל בחבירו שהוא משלם שהרי בפירוש רבתה תורה חובל בחבירו לתשלומין שנ' </w:t>
      </w:r>
      <w:r>
        <w:rPr>
          <w:rFonts w:hint="cs"/>
          <w:rtl/>
        </w:rPr>
        <w:t>(</w:t>
      </w:r>
      <w:r>
        <w:rPr>
          <w:rtl/>
        </w:rPr>
        <w:t>שמות כ"א י"ט</w:t>
      </w:r>
      <w:r>
        <w:rPr>
          <w:rFonts w:hint="cs"/>
          <w:rtl/>
        </w:rPr>
        <w:t>)</w:t>
      </w:r>
      <w:r>
        <w:rPr>
          <w:rtl/>
        </w:rPr>
        <w:t xml:space="preserve"> רק שבתו יתן ורפא ירפא.</w:t>
      </w:r>
    </w:p>
    <w:p w14:paraId="13FE085D" w14:textId="3E341141" w:rsidR="00127B78" w:rsidRDefault="00127B78" w:rsidP="00127B78">
      <w:pPr>
        <w:pStyle w:val="Style1"/>
        <w:rPr>
          <w:rtl/>
        </w:rPr>
      </w:pPr>
      <w:r>
        <w:rPr>
          <w:rFonts w:hint="cs"/>
          <w:rtl/>
        </w:rPr>
        <w:t>3)[</w:t>
      </w:r>
      <w:r>
        <w:rPr>
          <w:rtl/>
        </w:rPr>
        <w:t>רמב</w:t>
      </w:r>
      <w:r w:rsidR="005258D6">
        <w:rPr>
          <w:rtl/>
        </w:rPr>
        <w:t>”ם \נזיקין\</w:t>
      </w:r>
      <w:r>
        <w:rPr>
          <w:rtl/>
        </w:rPr>
        <w:t xml:space="preserve"> הלכות חובל ומזיק פרק ה הלכה ג</w:t>
      </w:r>
      <w:r>
        <w:rPr>
          <w:rFonts w:hint="cs"/>
          <w:rtl/>
        </w:rPr>
        <w:t xml:space="preserve">] </w:t>
      </w:r>
      <w:r>
        <w:rPr>
          <w:rtl/>
        </w:rPr>
        <w:t xml:space="preserve">המכה את חבירו הכאה שאין בה שוה פרוטה לוקה, שהרי אין כאן תשלומין כדי שיהיה לאו זה ניתן לתשלומין, ואפילו הכה עבד חבירו הכאה שאין בה שוה פרוטה לוקה שהרי ישנו במקצת מצות, וגוי שהכה את ישראל חייב מיתה שנ' </w:t>
      </w:r>
      <w:r>
        <w:rPr>
          <w:rFonts w:hint="cs"/>
          <w:rtl/>
        </w:rPr>
        <w:t>(</w:t>
      </w:r>
      <w:r>
        <w:rPr>
          <w:rtl/>
        </w:rPr>
        <w:t>שמות ב' י"ב</w:t>
      </w:r>
      <w:r>
        <w:rPr>
          <w:rFonts w:hint="cs"/>
          <w:rtl/>
        </w:rPr>
        <w:t>)</w:t>
      </w:r>
      <w:r>
        <w:rPr>
          <w:rtl/>
        </w:rPr>
        <w:t xml:space="preserve"> ויפן כה וכה ויך את המצרי.</w:t>
      </w:r>
    </w:p>
    <w:p w14:paraId="13939BF9" w14:textId="77777777" w:rsidR="00127B78" w:rsidRPr="008B25A3" w:rsidRDefault="00127B78" w:rsidP="00127B78">
      <w:pPr>
        <w:pStyle w:val="Style1"/>
      </w:pPr>
      <w:r>
        <w:rPr>
          <w:rFonts w:hint="cs"/>
          <w:rtl/>
        </w:rPr>
        <w:t>3)[</w:t>
      </w:r>
      <w:r>
        <w:rPr>
          <w:rtl/>
        </w:rPr>
        <w:t>שולחן ערוך חושן משפט הלכות חובל בחבירו סימן תכ סעיף ב</w:t>
      </w:r>
      <w:r>
        <w:rPr>
          <w:rFonts w:hint="cs"/>
          <w:rtl/>
        </w:rPr>
        <w:t xml:space="preserve">] </w:t>
      </w:r>
      <w:r w:rsidRPr="008B25A3">
        <w:rPr>
          <w:rtl/>
        </w:rPr>
        <w:t>הכהו מכה שאין בה שוה פרוטה לוקה כיון שאין בה חיוב ממון ואפי' הכה עבד כנעני לוקה הוא שהרי חייב במצות</w:t>
      </w:r>
      <w:r w:rsidRPr="008B25A3">
        <w:t>:</w:t>
      </w:r>
    </w:p>
    <w:p w14:paraId="20D35E2D" w14:textId="77777777" w:rsidR="00127B78" w:rsidRPr="0083622B" w:rsidRDefault="00127B78" w:rsidP="00127B78">
      <w:pPr>
        <w:pStyle w:val="Style1"/>
      </w:pPr>
    </w:p>
    <w:p w14:paraId="67D09918" w14:textId="77777777" w:rsidR="00127B78" w:rsidRPr="0083622B" w:rsidRDefault="00127B78" w:rsidP="00127B78">
      <w:pPr>
        <w:pStyle w:val="Style1"/>
        <w:rPr>
          <w:rStyle w:val="Style1Char"/>
        </w:rPr>
      </w:pPr>
    </w:p>
    <w:p w14:paraId="488E2920" w14:textId="77777777" w:rsidR="00127B78" w:rsidRPr="00487B53" w:rsidRDefault="00127B78" w:rsidP="00127B78">
      <w:pPr>
        <w:pStyle w:val="Style1"/>
        <w:rPr>
          <w:rStyle w:val="Style1Char"/>
          <w:rtl/>
        </w:rPr>
      </w:pPr>
    </w:p>
    <w:p w14:paraId="10CC90B0" w14:textId="77777777" w:rsidR="00127B78" w:rsidRDefault="00127B78" w:rsidP="00127B78">
      <w:pPr>
        <w:rPr>
          <w:rStyle w:val="Style1Char"/>
          <w:color w:val="00B050"/>
          <w:rtl/>
        </w:rPr>
      </w:pPr>
      <w:r>
        <w:rPr>
          <w:rStyle w:val="Style1Char"/>
          <w:color w:val="00B050"/>
          <w:rtl/>
        </w:rPr>
        <w:br w:type="page"/>
      </w:r>
    </w:p>
    <w:p w14:paraId="12D75E2C"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לה עמוד ב]</w:t>
      </w:r>
      <w:r w:rsidRPr="00936EC6">
        <w:rPr>
          <w:rStyle w:val="Style1Char"/>
          <w:color w:val="00B050"/>
          <w:sz w:val="22"/>
          <w:szCs w:val="22"/>
          <w:rtl/>
        </w:rPr>
        <w:t xml:space="preserve"> </w:t>
      </w:r>
      <w:r w:rsidRPr="00B32DE1">
        <w:rPr>
          <w:rStyle w:val="Style1Char"/>
          <w:color w:val="00B050"/>
          <w:rtl/>
        </w:rPr>
        <w:t xml:space="preserve">סוף סוף לאו בר תשלומין הוא! לא צריכא, דבהדי דמחייה קרע שיראין דיליה. א"ל רב חייא לרבא: ולתנא דבי חזקיה, דאמר מכה אדם ומכה בהמה, ממאי דבחול כתיב, וליכא לאיפלוגי? דלמא בשבת כתיב, דבבהמה גופה איכא לאיפלוגי? לא ס"ד, דכתיב: ומכה בהמה ישלמנה ומכה אדם יומת, היכי דמי? אי דלא אתרו ביה, מכה אדם אמאי יומת? אלא פשיטא דאתרו ביה, ואי בשבת, מכה בהמה ישלמנה? אלא לאו בחול. א"ל רב פפא לאביי: לרבה, דאמר חידוש הוא שחידשה תורה בקנס, ואף על גב דמיקטיל משלם, מתניתין כמאן מוקים לה? אי כר"מ, קשיא בתו! אי כרבי נחוניא בן הקנה, קשיא אחותו! אי כר' יצחק, קשיא ממזרת! הניחא אי סבר לה כר' יוחנן, הוא נמי מתרץ לה כר' יוחנן, אלא אי סבר כר"ל היכי מתרץ לה? על כרחך כר' יוחנן ס"ל. א"ל רב מתנא לאביי: לר"ל, דאמר בפירוש ריבתה תורה חייבי מלקיות כחייבי מיתות, מאן תנא דפליג עליה דרבי נחוניא בן הקנה? אי ר"מ, אי רבי יצחק. ת"ר: עריות, ושניות לעריות - אין להן לא קנס ולא פיתוי, </w:t>
      </w:r>
      <w:r>
        <w:rPr>
          <w:rStyle w:val="Style1Char"/>
          <w:rFonts w:hint="cs"/>
          <w:rtl/>
        </w:rPr>
        <w:t>(1)</w:t>
      </w:r>
      <w:r w:rsidRPr="00B32DE1">
        <w:rPr>
          <w:rStyle w:val="Style1Char"/>
          <w:color w:val="00B050"/>
          <w:rtl/>
        </w:rPr>
        <w:t xml:space="preserve">הממאנת - אין לה לא קנס ולא פיתוי, איילונית - אין לה לא קנס ולא פיתוי, והיוצאת משום שם רע - אין לה לא קנס ולא פיתוי. מאי עריות ומאי שניות לעריות? אילימא עריות </w:t>
      </w:r>
      <w:r>
        <w:rPr>
          <w:rStyle w:val="Style1Char"/>
          <w:color w:val="00B050"/>
          <w:rtl/>
        </w:rPr>
        <w:t>–</w:t>
      </w:r>
      <w:r w:rsidRPr="00B32DE1">
        <w:rPr>
          <w:rStyle w:val="Style1Char"/>
          <w:color w:val="00B050"/>
          <w:rtl/>
        </w:rPr>
        <w:t xml:space="preserve"> </w:t>
      </w:r>
    </w:p>
    <w:p w14:paraId="6B44743B" w14:textId="135FA2B2" w:rsidR="00127B78" w:rsidRDefault="00127B78" w:rsidP="00127B78">
      <w:pPr>
        <w:pStyle w:val="Style1"/>
        <w:rPr>
          <w:rStyle w:val="Style1Char"/>
          <w:rtl/>
        </w:rPr>
      </w:pPr>
      <w:r>
        <w:rPr>
          <w:rStyle w:val="Style1Char"/>
          <w:rFonts w:hint="cs"/>
          <w:rtl/>
        </w:rPr>
        <w:t>1)[</w:t>
      </w:r>
      <w:r w:rsidRPr="00E149B0">
        <w:rPr>
          <w:rStyle w:val="Style1Char"/>
          <w:rtl/>
        </w:rPr>
        <w:t>רמב</w:t>
      </w:r>
      <w:r w:rsidR="00786216">
        <w:rPr>
          <w:rStyle w:val="Style1Char"/>
          <w:rtl/>
        </w:rPr>
        <w:t>”ם \נשים\</w:t>
      </w:r>
      <w:r w:rsidRPr="00E149B0">
        <w:rPr>
          <w:rStyle w:val="Style1Char"/>
          <w:rtl/>
        </w:rPr>
        <w:t xml:space="preserve"> הלכות נערה בתולה פרק א הלכה ט</w:t>
      </w:r>
      <w:r>
        <w:rPr>
          <w:rStyle w:val="Style1Char"/>
          <w:rFonts w:hint="cs"/>
          <w:rtl/>
        </w:rPr>
        <w:t xml:space="preserve">] </w:t>
      </w:r>
      <w:r w:rsidRPr="00E149B0">
        <w:rPr>
          <w:rStyle w:val="Style1Char"/>
          <w:rtl/>
        </w:rPr>
        <w:t>ואחת שיש לה אב או שאין לה אב יש לה קנס. ואלו שאין להן קנס הבוגרת והממאנת והאילונית והשוטה והחרשת ומי שיצא עליה שם רע בילדותה ובאו שנים והעידו שתבעה אותן לזנות עמה והמתגרשת מן הנישואין ועדיין היא נערה בתולה אבל המתגרשת מן האירוסין אם נאנסה יש לה קנס וקנסה לעצמה ואם נתפתתה אין לה קנס. /השגת הראב"ד/ ואלו שאין להן קנס הבוגרת והממאנת והאילונית. א"א גם זה טעות שהאילונית לדברי חכמים יש לה קנס עד שתהיה בת עשרים שמקטנותה יצאה לבגרות. /השגת הראב"ד/ והחרשת. /א"א/ אף זו טעות דלהדיא לרבנן יש לה קנס ופיתוי.</w:t>
      </w:r>
    </w:p>
    <w:p w14:paraId="3C2BE8C1"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7B8D0E8C"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6D741A47"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1A20F4BB"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w:t>
      </w:r>
      <w:r w:rsidRPr="00AE64BF">
        <w:rPr>
          <w:rStyle w:val="Style1Char"/>
          <w:rtl/>
        </w:rPr>
        <w:lastRenderedPageBreak/>
        <w:t xml:space="preserve">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7D5962CD" w14:textId="77777777" w:rsidR="00127B78" w:rsidRDefault="00127B78" w:rsidP="00127B78">
      <w:pPr>
        <w:rPr>
          <w:rStyle w:val="Style1Char"/>
          <w:color w:val="00B050"/>
          <w:rtl/>
        </w:rPr>
      </w:pPr>
      <w:r>
        <w:rPr>
          <w:rStyle w:val="Style1Char"/>
          <w:color w:val="00B050"/>
          <w:rtl/>
        </w:rPr>
        <w:br w:type="page"/>
      </w:r>
    </w:p>
    <w:p w14:paraId="69304D81" w14:textId="77777777" w:rsidR="00127B78" w:rsidRDefault="00127B78" w:rsidP="00127B78">
      <w:pPr>
        <w:bidi/>
        <w:rPr>
          <w:rStyle w:val="Style1Char"/>
          <w:color w:val="00B050"/>
          <w:rtl/>
        </w:rPr>
      </w:pPr>
      <w:r w:rsidRPr="00936EC6">
        <w:rPr>
          <w:rStyle w:val="Style1Char"/>
          <w:color w:val="00B050"/>
          <w:sz w:val="22"/>
          <w:szCs w:val="22"/>
          <w:highlight w:val="yellow"/>
          <w:rtl/>
        </w:rPr>
        <w:lastRenderedPageBreak/>
        <w:t>[דף לו עמוד א]</w:t>
      </w:r>
      <w:r w:rsidRPr="00936EC6">
        <w:rPr>
          <w:rStyle w:val="Style1Char"/>
          <w:color w:val="00B050"/>
          <w:sz w:val="22"/>
          <w:szCs w:val="22"/>
          <w:rtl/>
        </w:rPr>
        <w:t xml:space="preserve"> </w:t>
      </w:r>
      <w:r w:rsidRPr="00B32DE1">
        <w:rPr>
          <w:rStyle w:val="Style1Char"/>
          <w:color w:val="00B050"/>
          <w:rtl/>
        </w:rPr>
        <w:t xml:space="preserve">עריות ממש, שניות - מדברי סופרים, כיון דמדאורייתא חזיא ליה, אמאי אין להן קנס? אלא עריות - </w:t>
      </w:r>
      <w:r>
        <w:rPr>
          <w:rStyle w:val="Style1Char"/>
          <w:rFonts w:hint="cs"/>
          <w:rtl/>
        </w:rPr>
        <w:t>(1)</w:t>
      </w:r>
      <w:r w:rsidRPr="00B32DE1">
        <w:rPr>
          <w:rStyle w:val="Style1Char"/>
          <w:color w:val="00B050"/>
          <w:rtl/>
        </w:rPr>
        <w:t xml:space="preserve">חייבי מיתות בית דין, שניות - חייבי כריתות, אבל חייבי לאוין יש להן קנס, ומני? שמעון התימני היא. איכא דאמרי: עריות - חייבי מיתות ב"ד וחייבי כריתות, שניות - חייבי לאוין, מני? ר"ש בן מנסיא היא. הממאנת - אין לה לא קנס ולא פיתוי. הא קטנה בעלמא אית לה, מני? רבנן היא, דאמרי: קטנה יש לה קנס; אימא סיפא: איילונית - אין לה לא קנס ולא פיתוי, אתא לר"מ, דאמר: קטנה אין לה קנס, והא מקטנותה יצתה לבגר, רישא רבנן וסיפא ר"מ? וכ"ת כולה ר"מ היא, ובממאנת סבר לה כרבי יהודה, ומי סבר לה? והתניא: </w:t>
      </w:r>
      <w:r>
        <w:rPr>
          <w:rStyle w:val="Style1Char"/>
          <w:rFonts w:hint="cs"/>
          <w:rtl/>
        </w:rPr>
        <w:t>(2)</w:t>
      </w:r>
      <w:r w:rsidRPr="00B32DE1">
        <w:rPr>
          <w:rStyle w:val="Style1Char"/>
          <w:color w:val="00B050"/>
          <w:rtl/>
        </w:rPr>
        <w:t xml:space="preserve">עד מתי הבת ממאנת? עד שתביא שתי שערות, דברי ר"מ, ר' יהודה אומר: עד שירבה שחור על הלבן! אלא ר' יהודה היא, ובקטנה סבר לה כר"מ. ומי סבר לה? והאמר רב יהודה אמר רב: זו דברי ר"מ, ואם איתא, זו דברי ר"מ ור' יהודה מיבעי ליה! האי תנא סבר לה כר"מ בחדא, ופליג עליה בחדא. רפרם אמר: מאי ממאנת? הראויה למאן. וליתני קטנה! קשיא. איילונית - אין לה לא קנס ולא פיתוי. ורמינהי: החרשת, והשוטה, והאיילונית - יש להן קנס ויש להן טענת בתולים! והא מאי רומיא? הא ר"מ, הא רבנן. ודקארי לה מאי קארי לה? משום דאית ליה למירמא אחריתי עילויה: </w:t>
      </w:r>
      <w:r>
        <w:rPr>
          <w:rStyle w:val="Style1Char"/>
          <w:rFonts w:hint="cs"/>
          <w:rtl/>
        </w:rPr>
        <w:t>(3)</w:t>
      </w:r>
      <w:r w:rsidRPr="00B32DE1">
        <w:rPr>
          <w:rStyle w:val="Style1Char"/>
          <w:color w:val="00B050"/>
          <w:rtl/>
        </w:rPr>
        <w:t xml:space="preserve">החרשת, והשוטה, והבוגרת, ומוכת עץ - אין להן טענת בתולים, </w:t>
      </w:r>
      <w:r>
        <w:rPr>
          <w:rStyle w:val="Style1Char"/>
          <w:rFonts w:hint="cs"/>
          <w:rtl/>
        </w:rPr>
        <w:t>(3.1, 3.2, 4)</w:t>
      </w:r>
      <w:r w:rsidRPr="00B32DE1">
        <w:rPr>
          <w:rStyle w:val="Style1Char"/>
          <w:color w:val="00B050"/>
          <w:rtl/>
        </w:rPr>
        <w:t xml:space="preserve">הסומא ואיילונית - יש להן טענת בתולים, סומכוס אומר משום ר"מ: סומא אין לה טענת בתולים! אמר רב ששת, לא קשיא: הא רבן גמליאל, והא ר' יהושע. אימר דשמעת ליה לרבן גמליאל - היכא דקא טענה איהי, היכא דלא קא טענה איהי מי שמעת ליה? אין, כיון דאמר ר"ג: מהימנא, כגון זו פתח פיך לאלם הוא. והבוגרת אין לה טענת בתולים. והאמר רב: </w:t>
      </w:r>
      <w:r>
        <w:rPr>
          <w:rStyle w:val="Style1Char"/>
          <w:rFonts w:hint="cs"/>
          <w:rtl/>
        </w:rPr>
        <w:t>(5)</w:t>
      </w:r>
      <w:r w:rsidRPr="00B32DE1">
        <w:rPr>
          <w:rStyle w:val="Style1Char"/>
          <w:color w:val="00B050"/>
          <w:rtl/>
        </w:rPr>
        <w:t xml:space="preserve">בוגרת נותנין לה לילה הראשון! </w:t>
      </w:r>
    </w:p>
    <w:p w14:paraId="7D1A3197" w14:textId="7E7E7230" w:rsidR="00127B78" w:rsidRDefault="00127B78" w:rsidP="00127B78">
      <w:pPr>
        <w:pStyle w:val="Style1"/>
        <w:rPr>
          <w:rStyle w:val="Style1Char"/>
          <w:rtl/>
        </w:rPr>
      </w:pPr>
      <w:r>
        <w:rPr>
          <w:rStyle w:val="Style1Char"/>
          <w:rFonts w:hint="cs"/>
          <w:rtl/>
        </w:rPr>
        <w:t>1)[</w:t>
      </w:r>
      <w:r w:rsidRPr="00297519">
        <w:rPr>
          <w:rStyle w:val="Style1Char"/>
          <w:rtl/>
        </w:rPr>
        <w:t>רמב</w:t>
      </w:r>
      <w:r w:rsidR="00786216">
        <w:rPr>
          <w:rStyle w:val="Style1Char"/>
          <w:rtl/>
        </w:rPr>
        <w:t>”ם \נשים\</w:t>
      </w:r>
      <w:r w:rsidRPr="00297519">
        <w:rPr>
          <w:rStyle w:val="Style1Char"/>
          <w:rtl/>
        </w:rPr>
        <w:t xml:space="preserve"> הלכות נערה בתולה פרק א הלכה יא</w:t>
      </w:r>
      <w:r>
        <w:rPr>
          <w:rStyle w:val="Style1Char"/>
          <w:rFonts w:hint="cs"/>
          <w:rtl/>
        </w:rPr>
        <w:t xml:space="preserve">] </w:t>
      </w:r>
      <w:r w:rsidRPr="00297519">
        <w:rPr>
          <w:rStyle w:val="Style1Char"/>
          <w:rtl/>
        </w:rPr>
        <w:t>היתה בתולה זו אסורה על האונס או המפתה אם היתה מחייבי כריתות כגון אחותו ודודתו והנדה וכיוצא בהן או שהיתה מחייבי לאוין, אם התרו בו הרי זה לוקה ואינו משלם קנס שאין אדם לוקה ומשלם, ואם לא היתה שם התראה הואיל ואינו חייב מלקות הרי זה משלם קנס.</w:t>
      </w:r>
    </w:p>
    <w:p w14:paraId="70ED64FD" w14:textId="29389F81" w:rsidR="00127B78" w:rsidRDefault="00127B78" w:rsidP="00127B78">
      <w:pPr>
        <w:pStyle w:val="Style1"/>
        <w:rPr>
          <w:rStyle w:val="Style1Char"/>
          <w:rtl/>
        </w:rPr>
      </w:pPr>
      <w:r>
        <w:rPr>
          <w:rStyle w:val="Style1Char"/>
          <w:rFonts w:hint="cs"/>
          <w:rtl/>
        </w:rPr>
        <w:t>1)[</w:t>
      </w:r>
      <w:r w:rsidRPr="00487B53">
        <w:rPr>
          <w:rStyle w:val="Style1Char"/>
          <w:rtl/>
        </w:rPr>
        <w:t>רמב</w:t>
      </w:r>
      <w:r w:rsidR="00786216">
        <w:rPr>
          <w:rStyle w:val="Style1Char"/>
          <w:rtl/>
        </w:rPr>
        <w:t>”ם \נשים\</w:t>
      </w:r>
      <w:r w:rsidRPr="00487B53">
        <w:rPr>
          <w:rStyle w:val="Style1Char"/>
          <w:rtl/>
        </w:rPr>
        <w:t xml:space="preserve"> הלכות נערה בתולה פרק א הלכה יג</w:t>
      </w:r>
      <w:r>
        <w:rPr>
          <w:rStyle w:val="Style1Char"/>
          <w:rFonts w:hint="cs"/>
          <w:rtl/>
        </w:rPr>
        <w:t xml:space="preserve">] </w:t>
      </w:r>
      <w:r w:rsidRPr="00487B53">
        <w:rPr>
          <w:rStyle w:val="Style1Char"/>
          <w:rtl/>
        </w:rPr>
        <w:t xml:space="preserve">היתה מחייבי מיתת בית דין כגון בתו ואשת בנו וכיוצא בהן בין התרו בו בין לא התרו בו פטור מן הקנס שנ' </w:t>
      </w:r>
      <w:r>
        <w:rPr>
          <w:rStyle w:val="Style1Char"/>
          <w:rFonts w:hint="cs"/>
          <w:rtl/>
        </w:rPr>
        <w:t>(</w:t>
      </w:r>
      <w:r w:rsidRPr="00487B53">
        <w:rPr>
          <w:rStyle w:val="Style1Char"/>
          <w:rtl/>
        </w:rPr>
        <w:t>שמות כ"א כ"ב</w:t>
      </w:r>
      <w:r>
        <w:rPr>
          <w:rStyle w:val="Style1Char"/>
          <w:rFonts w:hint="cs"/>
          <w:rtl/>
        </w:rPr>
        <w:t>)</w:t>
      </w:r>
      <w:r w:rsidRPr="00487B53">
        <w:rPr>
          <w:rStyle w:val="Style1Char"/>
          <w:rtl/>
        </w:rPr>
        <w:t xml:space="preserve"> ולא יהיה אסון ענוש יענש הא אם היה שם אסון אין שם עונש ואף על פי שהריגת האשה בשגגה שהרי לא נתכוונו לה שנ' כי ינצו אנשים ונגפו אשה הרה וגו' הא למדת שלא חלק באסון בין שוגג למזיד לפטרו מן התשלומין. והרי הוא אומר </w:t>
      </w:r>
      <w:r>
        <w:rPr>
          <w:rStyle w:val="Style1Char"/>
          <w:rFonts w:hint="cs"/>
          <w:rtl/>
        </w:rPr>
        <w:t>(</w:t>
      </w:r>
      <w:r w:rsidRPr="00487B53">
        <w:rPr>
          <w:rStyle w:val="Style1Char"/>
          <w:rtl/>
        </w:rPr>
        <w:t>ויקרא כ"ד כ"א</w:t>
      </w:r>
      <w:r>
        <w:rPr>
          <w:rStyle w:val="Style1Char"/>
          <w:rFonts w:hint="cs"/>
          <w:rtl/>
        </w:rPr>
        <w:t>)</w:t>
      </w:r>
      <w:r w:rsidRPr="00487B53">
        <w:rPr>
          <w:rStyle w:val="Style1Char"/>
          <w:rtl/>
        </w:rPr>
        <w:t xml:space="preserve"> מכה נפש בהמה ישלמנה ומכה אדם יומת מה מכה נפש בהמה לא חלק בו בין שוגג למזיד לחייבו בתשלומין אף מכה נפש אדם לא חלק בו בין שוגג למזיד לפטרו מן התשלומין.</w:t>
      </w:r>
    </w:p>
    <w:p w14:paraId="5E4836EB"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136FBCB3"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40A6E503"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5DAC7097" w14:textId="77777777" w:rsidR="00127B78" w:rsidRDefault="00127B78" w:rsidP="00127B78">
      <w:pPr>
        <w:pStyle w:val="Style1"/>
        <w:rPr>
          <w:rStyle w:val="Style1Char"/>
          <w:rtl/>
        </w:rPr>
      </w:pPr>
      <w:r w:rsidRPr="00AE64BF">
        <w:rPr>
          <w:rStyle w:val="Style1Char"/>
          <w:rtl/>
        </w:rPr>
        <w:lastRenderedPageBreak/>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3B683C27" w14:textId="624DCE4D" w:rsidR="00127B78" w:rsidRDefault="00127B78" w:rsidP="00127B78">
      <w:pPr>
        <w:pStyle w:val="Style1"/>
        <w:rPr>
          <w:rStyle w:val="Style1Char"/>
          <w:rtl/>
        </w:rPr>
      </w:pPr>
      <w:r>
        <w:rPr>
          <w:rStyle w:val="Style1Char"/>
          <w:rFonts w:hint="cs"/>
          <w:rtl/>
        </w:rPr>
        <w:t>2)[</w:t>
      </w:r>
      <w:r w:rsidRPr="00F670DB">
        <w:rPr>
          <w:rStyle w:val="Style1Char"/>
          <w:rtl/>
        </w:rPr>
        <w:t>רמב</w:t>
      </w:r>
      <w:r w:rsidR="00213DA1">
        <w:rPr>
          <w:rStyle w:val="Style1Char"/>
          <w:rtl/>
        </w:rPr>
        <w:t>”ם \נשים\</w:t>
      </w:r>
      <w:r w:rsidRPr="00F670DB">
        <w:rPr>
          <w:rStyle w:val="Style1Char"/>
          <w:rtl/>
        </w:rPr>
        <w:t xml:space="preserve"> הלכות גירושין פרק יא הלכה ד</w:t>
      </w:r>
      <w:r>
        <w:rPr>
          <w:rStyle w:val="Style1Char"/>
          <w:rFonts w:hint="cs"/>
          <w:rtl/>
        </w:rPr>
        <w:t xml:space="preserve">] </w:t>
      </w:r>
      <w:r w:rsidRPr="00F670DB">
        <w:rPr>
          <w:rStyle w:val="Style1Char"/>
          <w:rtl/>
        </w:rPr>
        <w:t>ועד מתי הבת ממאנת כל זמן שהיא קטנה, עד שתהיה נערה או עד שיודע שהיא אילונית, במה דברים אמורים בשלא בא עליה הבעל אחר שנעשית בת שתים עשרה שנה ויום אחד, אבל אם הגיעה לזמן הזה ונבעלה הואיל והבעילה קונה מן התורה כמו שבארנו הרי זו אינה ממאנת ואינה צריכה בדיקה למיאון שחזקתה שהביאה סימנין.</w:t>
      </w:r>
    </w:p>
    <w:p w14:paraId="28D88234" w14:textId="77777777" w:rsidR="00127B78" w:rsidRDefault="00127B78" w:rsidP="00127B78">
      <w:pPr>
        <w:pStyle w:val="Style1"/>
        <w:rPr>
          <w:rtl/>
        </w:rPr>
      </w:pPr>
      <w:r>
        <w:rPr>
          <w:rStyle w:val="Style1Char"/>
          <w:rFonts w:hint="cs"/>
          <w:rtl/>
        </w:rPr>
        <w:t>2)[</w:t>
      </w:r>
      <w:r w:rsidRPr="00D33B13">
        <w:rPr>
          <w:rStyle w:val="Style1Char"/>
          <w:rtl/>
        </w:rPr>
        <w:t>שולחן ערוך אבן העזר הלכות מיאון סימן קנה סעיף יב</w:t>
      </w:r>
      <w:r>
        <w:rPr>
          <w:rStyle w:val="Style1Char"/>
          <w:rFonts w:hint="cs"/>
          <w:rtl/>
        </w:rPr>
        <w:t xml:space="preserve">] </w:t>
      </w:r>
      <w:r w:rsidRPr="00171E1F">
        <w:rPr>
          <w:rtl/>
        </w:rPr>
        <w:t>עד מתי הקטנה ממאנת, עד שתביא ב' שערות אחר י"ב שנה, או עד שתלד</w:t>
      </w:r>
      <w:r w:rsidRPr="00171E1F">
        <w:t>. </w:t>
      </w:r>
      <w:r w:rsidRPr="00171E1F">
        <w:rPr>
          <w:rFonts w:hint="cs"/>
          <w:rtl/>
        </w:rPr>
        <w:t>ומשעת הריון הוי כגדולה (א"ז)</w:t>
      </w:r>
      <w:r w:rsidRPr="00171E1F">
        <w:t xml:space="preserve">. </w:t>
      </w:r>
      <w:r w:rsidRPr="00171E1F">
        <w:rPr>
          <w:rtl/>
        </w:rPr>
        <w:t>וכל זמן שלא הביאה ב' שערות ולא ילדה, חשובה כקטנה, אפלו נולדו לה סימני אילונית. אבל אם היא בת עשרים, ונולדו בה סימני אילונית, חשובה כגדולה </w:t>
      </w:r>
      <w:r w:rsidRPr="00171E1F">
        <w:rPr>
          <w:rFonts w:hint="cs"/>
          <w:rtl/>
        </w:rPr>
        <w:t>למפרע, מזמן שהיתה בת י"ב, אף על גב שהביאה אחר כך שתי שערות</w:t>
      </w:r>
      <w:r w:rsidRPr="00171E1F">
        <w:rPr>
          <w:rFonts w:hint="cs"/>
        </w:rPr>
        <w:t xml:space="preserve"> (</w:t>
      </w:r>
      <w:hyperlink r:id="rId74" w:tooltip="שולחן ערוך חושן משפט רלה" w:history="1">
        <w:r w:rsidRPr="00171E1F">
          <w:rPr>
            <w:rStyle w:val="Hyperlink"/>
            <w:rFonts w:hint="cs"/>
            <w:color w:val="7030A0"/>
            <w:u w:val="none"/>
            <w:rtl/>
          </w:rPr>
          <w:t>בחשן המשפט סי' רל"ה</w:t>
        </w:r>
      </w:hyperlink>
      <w:r w:rsidRPr="00171E1F">
        <w:rPr>
          <w:rFonts w:hint="cs"/>
        </w:rPr>
        <w:t>)</w:t>
      </w:r>
      <w:r w:rsidRPr="00171E1F">
        <w:t xml:space="preserve">, </w:t>
      </w:r>
      <w:r w:rsidRPr="00171E1F">
        <w:rPr>
          <w:rtl/>
        </w:rPr>
        <w:t>ואינה יכולה למאן. ובת י"ט שנה ושלשים יום, דינה כבת כ', דל' יום בשנה חשוב שנה. ויש מי שאומר, שאינה חשובה בת כ' שנה עד שתהיה בת כ' שנה פחות ל' יום</w:t>
      </w:r>
      <w:r w:rsidRPr="00171E1F">
        <w:t>:</w:t>
      </w:r>
    </w:p>
    <w:p w14:paraId="1507DD29" w14:textId="05D6909B" w:rsidR="00127B78" w:rsidRDefault="00127B78" w:rsidP="00127B78">
      <w:pPr>
        <w:pStyle w:val="Style1"/>
        <w:rPr>
          <w:rStyle w:val="Style1Char"/>
          <w:rtl/>
        </w:rPr>
      </w:pPr>
      <w:r>
        <w:rPr>
          <w:rStyle w:val="Style1Char"/>
          <w:rFonts w:hint="cs"/>
          <w:rtl/>
        </w:rPr>
        <w:t>3)[</w:t>
      </w:r>
      <w:r w:rsidRPr="00681D2E">
        <w:rPr>
          <w:rStyle w:val="Style1Char"/>
          <w:rtl/>
        </w:rPr>
        <w:t>רמב</w:t>
      </w:r>
      <w:r w:rsidR="00213DA1">
        <w:rPr>
          <w:rStyle w:val="Style1Char"/>
          <w:rtl/>
        </w:rPr>
        <w:t>”ם \נשים\</w:t>
      </w:r>
      <w:r w:rsidRPr="00681D2E">
        <w:rPr>
          <w:rStyle w:val="Style1Char"/>
          <w:rtl/>
        </w:rPr>
        <w:t xml:space="preserve"> הלכות אישות פרק יא הלכה ג</w:t>
      </w:r>
      <w:r>
        <w:rPr>
          <w:rStyle w:val="Style1Char"/>
          <w:rFonts w:hint="cs"/>
          <w:rtl/>
        </w:rPr>
        <w:t xml:space="preserve">] </w:t>
      </w:r>
      <w:r w:rsidRPr="00681D2E">
        <w:rPr>
          <w:rStyle w:val="Style1Char"/>
          <w:rtl/>
        </w:rPr>
        <w:t>מוכת עץ כתובתה מאה, אפילו נשאת על מנת שהיא בתולה שלימה ונמצאת מוכת עץ כתובתה מאה. קטנה מבת שלש שנים ולמטה שנבעלה אפילו בא עליה אדם גדול כתובתה מאתים, סופה שתחזור בתולה כשאר הבתולות, וכן גדולה שבא עליה קטן מבן תשע שנים ולמטה כתובתה מאתים כאילו לא נבעלה כלל, שביאת בן תשע שנים ויום אחד ביאתו ביאה פחות מזה אין ביאתו ביאה.</w:t>
      </w:r>
    </w:p>
    <w:p w14:paraId="69BC2052" w14:textId="37C5F55E" w:rsidR="00127B78" w:rsidRDefault="00127B78" w:rsidP="00127B78">
      <w:pPr>
        <w:pStyle w:val="Style1"/>
        <w:rPr>
          <w:rStyle w:val="Style1Char"/>
          <w:rtl/>
        </w:rPr>
      </w:pPr>
      <w:r>
        <w:rPr>
          <w:rStyle w:val="Style1Char"/>
          <w:rFonts w:hint="cs"/>
          <w:rtl/>
        </w:rPr>
        <w:t>3)[</w:t>
      </w:r>
      <w:r w:rsidRPr="00AC7EF3">
        <w:rPr>
          <w:rStyle w:val="Style1Char"/>
          <w:rtl/>
        </w:rPr>
        <w:t>רמב</w:t>
      </w:r>
      <w:r w:rsidR="00213DA1">
        <w:rPr>
          <w:rStyle w:val="Style1Char"/>
          <w:rtl/>
        </w:rPr>
        <w:t>”ם \נשים\</w:t>
      </w:r>
      <w:r w:rsidRPr="00AC7EF3">
        <w:rPr>
          <w:rStyle w:val="Style1Char"/>
          <w:rtl/>
        </w:rPr>
        <w:t xml:space="preserve"> הלכות אישות פרק יא הלכה ד</w:t>
      </w:r>
      <w:r>
        <w:rPr>
          <w:rStyle w:val="Style1Char"/>
          <w:rFonts w:hint="cs"/>
          <w:rtl/>
        </w:rPr>
        <w:t xml:space="preserve">] </w:t>
      </w:r>
      <w:r w:rsidRPr="00AC7EF3">
        <w:rPr>
          <w:rStyle w:val="Style1Char"/>
          <w:rtl/>
        </w:rPr>
        <w:t>בתולה שהיא בוגרת או סומה או אילונית כתובתן מאתים, אבל החרשת והשוטה לא תיקנו להן חכמים כתובה, השוטה לא תיקנו לה נישואין כלל, והחרשת אף על פי שיש לה נישואין מדבריהם לא תיקנו לה כתובה כדי שלא ימנעו מלשאת אותה, וכשם שאין לה כתובה כך אין לה מזונות ולא תנאי מתנאי כתובה, ואם כנס החרשת ונתפקחה יש לה כתובה ותנאי כתובה וכתובתה מאה.</w:t>
      </w:r>
    </w:p>
    <w:p w14:paraId="7130CCFE" w14:textId="77777777" w:rsidR="00127B78" w:rsidRDefault="00127B78" w:rsidP="00127B78">
      <w:pPr>
        <w:pStyle w:val="Style1"/>
        <w:rPr>
          <w:rStyle w:val="Style1Char"/>
          <w:rtl/>
        </w:rPr>
      </w:pPr>
      <w:r>
        <w:rPr>
          <w:rStyle w:val="Style1Char"/>
          <w:rFonts w:hint="cs"/>
          <w:rtl/>
        </w:rPr>
        <w:t>3)[</w:t>
      </w:r>
      <w:r w:rsidRPr="007E02CF">
        <w:rPr>
          <w:rStyle w:val="Style1Char"/>
          <w:rtl/>
        </w:rPr>
        <w:t>שולחן ערוך אבן העזר הלכות כתובות סימן סז סעיף ה</w:t>
      </w:r>
      <w:r>
        <w:rPr>
          <w:rStyle w:val="Style1Char"/>
          <w:rFonts w:hint="cs"/>
          <w:rtl/>
        </w:rPr>
        <w:t xml:space="preserve">] </w:t>
      </w:r>
      <w:r w:rsidRPr="007E02CF">
        <w:rPr>
          <w:rStyle w:val="Style1Char"/>
          <w:rtl/>
        </w:rPr>
        <w:t>מוכת עץ, כתובתה מנה, ואפילו לא הכיר בה, וכנסה ע"מ שהיא בתולה שלימה; אבל כנסה בחזקת בתולה, ונמצאת בעולה, אפילו מנה אין לה.</w:t>
      </w:r>
    </w:p>
    <w:p w14:paraId="783518FE" w14:textId="77777777" w:rsidR="00127B78" w:rsidRDefault="00127B78" w:rsidP="00127B78">
      <w:pPr>
        <w:pStyle w:val="Style1"/>
        <w:rPr>
          <w:rStyle w:val="Style1Char"/>
          <w:rtl/>
        </w:rPr>
      </w:pPr>
      <w:r>
        <w:rPr>
          <w:rStyle w:val="Style1Char"/>
          <w:rFonts w:hint="cs"/>
          <w:rtl/>
        </w:rPr>
        <w:t>4)[</w:t>
      </w:r>
      <w:r w:rsidRPr="00B61A1A">
        <w:rPr>
          <w:rStyle w:val="Style1Char"/>
          <w:rtl/>
        </w:rPr>
        <w:t>שולחן ערוך אבן העזר הלכות כתובות סימן סז סעיף ו</w:t>
      </w:r>
      <w:r>
        <w:rPr>
          <w:rStyle w:val="Style1Char"/>
          <w:rFonts w:hint="cs"/>
          <w:rtl/>
        </w:rPr>
        <w:t xml:space="preserve">] </w:t>
      </w:r>
      <w:r w:rsidRPr="00B61A1A">
        <w:rPr>
          <w:rStyle w:val="Style1Char"/>
          <w:rtl/>
        </w:rPr>
        <w:t>בתולה שהיא בוגרת או סומא, כתובתה מאתים; וכן אילונית, אם הכיר בה, כתובתה מאתים.</w:t>
      </w:r>
    </w:p>
    <w:p w14:paraId="280CB7B2" w14:textId="2A71031D" w:rsidR="00127B78" w:rsidRPr="00171E1F" w:rsidRDefault="00127B78" w:rsidP="00127B78">
      <w:pPr>
        <w:pStyle w:val="Style1"/>
        <w:rPr>
          <w:rStyle w:val="Style1Char"/>
        </w:rPr>
      </w:pPr>
      <w:r>
        <w:rPr>
          <w:rStyle w:val="Style1Char"/>
          <w:rFonts w:hint="cs"/>
          <w:rtl/>
        </w:rPr>
        <w:t>5)[</w:t>
      </w:r>
      <w:r w:rsidRPr="00A07234">
        <w:rPr>
          <w:rStyle w:val="Style1Char"/>
          <w:rtl/>
        </w:rPr>
        <w:t>רמב</w:t>
      </w:r>
      <w:r w:rsidR="00213DA1">
        <w:rPr>
          <w:rStyle w:val="Style1Char"/>
          <w:rtl/>
        </w:rPr>
        <w:t>”ם \קדושה\</w:t>
      </w:r>
      <w:r w:rsidRPr="00A07234">
        <w:rPr>
          <w:rStyle w:val="Style1Char"/>
          <w:rtl/>
        </w:rPr>
        <w:t xml:space="preserve"> הלכות איסורי ביאה פרק ה הלכה יט</w:t>
      </w:r>
      <w:r>
        <w:rPr>
          <w:rStyle w:val="Style1Char"/>
          <w:rFonts w:hint="cs"/>
          <w:rtl/>
        </w:rPr>
        <w:t xml:space="preserve">] </w:t>
      </w:r>
      <w:r w:rsidRPr="00A07234">
        <w:rPr>
          <w:rStyle w:val="Style1Char"/>
          <w:rtl/>
        </w:rPr>
        <w:t>נשאת כשהיא נערה אם לא ראתה מימיה דם הרי זו מותרת לבעלה ארבעה ימים ביום ובלילה אף על פי שהדם שותת והוא שלא חיתה המכה, ואם ראתה דם בבית אביה ואח"כ נשאת אין לו לבא עליה אלא בעילה ראשונה ופורש ויהיה דם בתולים זה כאילו היא תחלת נדה, ובוגרת שלא ראתה מימיה נותנין לה כל לילה הראשון. /השגת הראב"ד/ ואם ראתה דם בבית אביה וכו'. כתב הראב"ד ז"ל כב"ש היא עכ"ל.</w:t>
      </w:r>
    </w:p>
    <w:p w14:paraId="0AEFDF0A" w14:textId="77777777" w:rsidR="00127B78" w:rsidRDefault="00127B78" w:rsidP="00127B78">
      <w:pPr>
        <w:pStyle w:val="Style1"/>
        <w:rPr>
          <w:rStyle w:val="Style1Char"/>
          <w:rtl/>
        </w:rPr>
      </w:pPr>
    </w:p>
    <w:p w14:paraId="2F4C3F07" w14:textId="77777777" w:rsidR="00127B78" w:rsidRDefault="00127B78" w:rsidP="00127B78">
      <w:pPr>
        <w:pStyle w:val="Style1"/>
        <w:rPr>
          <w:rStyle w:val="Style1Char"/>
          <w:color w:val="00B050"/>
          <w:rtl/>
        </w:rPr>
      </w:pPr>
      <w:r>
        <w:rPr>
          <w:rStyle w:val="Style1Char"/>
          <w:color w:val="00B050"/>
          <w:rtl/>
        </w:rPr>
        <w:br w:type="page"/>
      </w:r>
    </w:p>
    <w:p w14:paraId="1B1AB275" w14:textId="77777777" w:rsidR="00127B78" w:rsidRPr="00417841" w:rsidRDefault="00127B78" w:rsidP="00127B78">
      <w:pPr>
        <w:bidi/>
        <w:rPr>
          <w:rStyle w:val="Style1Char"/>
          <w:color w:val="4472C4" w:themeColor="accent1"/>
        </w:rPr>
      </w:pPr>
      <w:r w:rsidRPr="00936EC6">
        <w:rPr>
          <w:rStyle w:val="Style1Char"/>
          <w:color w:val="00B050"/>
          <w:sz w:val="22"/>
          <w:szCs w:val="22"/>
          <w:highlight w:val="yellow"/>
          <w:rtl/>
        </w:rPr>
        <w:lastRenderedPageBreak/>
        <w:t>[דף לו עמוד ב]</w:t>
      </w:r>
      <w:r w:rsidRPr="00936EC6">
        <w:rPr>
          <w:rStyle w:val="Style1Char"/>
          <w:color w:val="00B050"/>
          <w:sz w:val="22"/>
          <w:szCs w:val="22"/>
          <w:rtl/>
        </w:rPr>
        <w:t xml:space="preserve"> </w:t>
      </w:r>
      <w:r w:rsidRPr="00B32DE1">
        <w:rPr>
          <w:rStyle w:val="Style1Char"/>
          <w:color w:val="00B050"/>
          <w:rtl/>
        </w:rPr>
        <w:t xml:space="preserve">אי דקא טעין טענת דמים הכי נמי, הכא במאי עסקינן - דקטעין טענת פתח פתוח. סומכוס אומר משום ר"מ: סומא אין לה טענת בתולים. מ"ט דסומכוס? א"ר זירא: מפני שנחבטת על גבי קרקע. כולהו נמי חבוטי מיחבטי! כולהו רואות ומראות לאמן, זו אינה רואה ואינה מראה לאמה. </w:t>
      </w:r>
      <w:r w:rsidRPr="000A2B46">
        <w:rPr>
          <w:rStyle w:val="Style1Char"/>
          <w:color w:val="806000" w:themeColor="accent4" w:themeShade="80"/>
          <w:sz w:val="22"/>
          <w:szCs w:val="22"/>
          <w:rtl/>
        </w:rPr>
        <w:t xml:space="preserve">ת"ר </w:t>
      </w:r>
      <w:r w:rsidRPr="000A2B46">
        <w:rPr>
          <w:rStyle w:val="Style1Char"/>
          <w:color w:val="auto"/>
          <w:sz w:val="22"/>
          <w:szCs w:val="22"/>
          <w:rtl/>
        </w:rPr>
        <w:t>והיוצאת משום שם רע - אין לה לא קנס ולא פיתוי. היוצאת משום שם רע בת סקילה היא! אמר רב ששת, הכי קאמר: מי שיצא עליה שם רע בילדותה - אין לה לא קנס ולא פיתוי</w:t>
      </w:r>
      <w:r w:rsidRPr="000A2B46">
        <w:rPr>
          <w:rStyle w:val="Style1Char"/>
          <w:color w:val="auto"/>
          <w:rtl/>
        </w:rPr>
        <w:t xml:space="preserve"> </w:t>
      </w:r>
      <w:r w:rsidRPr="004A25C7">
        <w:rPr>
          <w:rStyle w:val="Style1Char"/>
          <w:color w:val="C00000"/>
          <w:sz w:val="22"/>
          <w:szCs w:val="22"/>
          <w:rtl/>
        </w:rPr>
        <w:t>היכי דמי שם רע כגון דאתו בתרי ואמרי לדידן תבעה לן באיסורא:</w:t>
      </w:r>
      <w:r w:rsidRPr="00B32DE1">
        <w:rPr>
          <w:rStyle w:val="Style1Char"/>
          <w:color w:val="00B050"/>
          <w:rtl/>
        </w:rPr>
        <w:t xml:space="preserve">. </w:t>
      </w:r>
      <w:r w:rsidRPr="003C5CEF">
        <w:rPr>
          <w:rStyle w:val="Style1Char"/>
          <w:color w:val="auto"/>
          <w:sz w:val="22"/>
          <w:szCs w:val="22"/>
          <w:rtl/>
        </w:rPr>
        <w:t>אמר רב פפא: ש"מ, האי שטרא ריעא לא מגבינן ביה</w:t>
      </w:r>
      <w:r w:rsidRPr="003C5CEF">
        <w:rPr>
          <w:rStyle w:val="Style1Char"/>
          <w:color w:val="auto"/>
          <w:rtl/>
        </w:rPr>
        <w:t xml:space="preserve">. </w:t>
      </w:r>
      <w:r w:rsidRPr="003C5CEF">
        <w:rPr>
          <w:rStyle w:val="Style1Char"/>
          <w:color w:val="auto"/>
          <w:sz w:val="22"/>
          <w:szCs w:val="22"/>
          <w:rtl/>
        </w:rPr>
        <w:t>היכי דמי</w:t>
      </w:r>
      <w:r w:rsidRPr="003C5CEF">
        <w:rPr>
          <w:rStyle w:val="Style1Char"/>
          <w:color w:val="auto"/>
          <w:rtl/>
        </w:rPr>
        <w:t xml:space="preserve"> </w:t>
      </w:r>
      <w:r w:rsidRPr="0063252A">
        <w:rPr>
          <w:rStyle w:val="Style1Char"/>
          <w:color w:val="C00000"/>
          <w:sz w:val="22"/>
          <w:szCs w:val="22"/>
          <w:rtl/>
        </w:rPr>
        <w:t>שטרא ריעא</w:t>
      </w:r>
      <w:r w:rsidRPr="0063252A">
        <w:rPr>
          <w:rStyle w:val="Style1Char"/>
          <w:sz w:val="22"/>
          <w:szCs w:val="22"/>
          <w:rtl/>
        </w:rPr>
        <w:t xml:space="preserve">? </w:t>
      </w:r>
      <w:r w:rsidRPr="00EF05F2">
        <w:rPr>
          <w:rStyle w:val="Style1Char"/>
          <w:color w:val="ED7D31" w:themeColor="accent2"/>
          <w:sz w:val="22"/>
          <w:szCs w:val="22"/>
          <w:rtl/>
        </w:rPr>
        <w:t xml:space="preserve">אילימא דנפק קלא עליה דשטרא דזייפא הוא, דכוותה הכא דנפק עלה קלא דזנאי, והא אמר רבא: </w:t>
      </w:r>
      <w:r>
        <w:rPr>
          <w:rStyle w:val="Style1Char"/>
          <w:rFonts w:hint="cs"/>
          <w:rtl/>
        </w:rPr>
        <w:t>(1)</w:t>
      </w:r>
      <w:r w:rsidRPr="00EF05F2">
        <w:rPr>
          <w:rStyle w:val="Style1Char"/>
          <w:color w:val="ED7D31" w:themeColor="accent2"/>
          <w:sz w:val="22"/>
          <w:szCs w:val="22"/>
          <w:rtl/>
        </w:rPr>
        <w:t xml:space="preserve">יצא לה שם מזנה בעיר - אין חוששין לה! אלא </w:t>
      </w:r>
      <w:r>
        <w:rPr>
          <w:rStyle w:val="Style1Char"/>
          <w:rFonts w:hint="cs"/>
          <w:rtl/>
        </w:rPr>
        <w:t>(2)</w:t>
      </w:r>
      <w:r w:rsidRPr="00EF05F2">
        <w:rPr>
          <w:rStyle w:val="Style1Char"/>
          <w:color w:val="ED7D31" w:themeColor="accent2"/>
          <w:sz w:val="22"/>
          <w:szCs w:val="22"/>
          <w:rtl/>
        </w:rPr>
        <w:t xml:space="preserve">דאתו בי תרי ואמרי: לדידהו תבעתנהי באיסורא, דכוותה הכא </w:t>
      </w:r>
      <w:r w:rsidRPr="0063252A">
        <w:rPr>
          <w:rStyle w:val="Style1Char"/>
          <w:color w:val="C00000"/>
          <w:sz w:val="22"/>
          <w:szCs w:val="22"/>
          <w:rtl/>
        </w:rPr>
        <w:t xml:space="preserve">כגון </w:t>
      </w:r>
      <w:r>
        <w:rPr>
          <w:rStyle w:val="Style1Char"/>
          <w:rFonts w:hint="cs"/>
          <w:rtl/>
        </w:rPr>
        <w:t>(3)</w:t>
      </w:r>
      <w:r w:rsidRPr="003C5CEF">
        <w:rPr>
          <w:rStyle w:val="Style1Char"/>
          <w:color w:val="auto"/>
          <w:sz w:val="22"/>
          <w:szCs w:val="22"/>
          <w:rtl/>
        </w:rPr>
        <w:t>דאתו בי תרי ואמרי: לדידהו אמר להו זייפו לי</w:t>
      </w:r>
      <w:r w:rsidRPr="003C5CEF">
        <w:rPr>
          <w:rStyle w:val="Style1Char"/>
          <w:color w:val="auto"/>
          <w:rtl/>
        </w:rPr>
        <w:t xml:space="preserve"> </w:t>
      </w:r>
      <w:r w:rsidRPr="0063252A">
        <w:rPr>
          <w:rStyle w:val="Style1Char"/>
          <w:color w:val="C00000"/>
          <w:sz w:val="22"/>
          <w:szCs w:val="22"/>
          <w:rtl/>
        </w:rPr>
        <w:t>האי שטרא</w:t>
      </w:r>
      <w:r w:rsidRPr="0054259E">
        <w:rPr>
          <w:rStyle w:val="Style1Char"/>
          <w:color w:val="4472C4" w:themeColor="accent1"/>
          <w:rtl/>
        </w:rPr>
        <w:t xml:space="preserve"> </w:t>
      </w:r>
      <w:r w:rsidRPr="00417841">
        <w:rPr>
          <w:rStyle w:val="Style1Char"/>
          <w:color w:val="4472C4" w:themeColor="accent1"/>
          <w:rtl/>
        </w:rPr>
        <w:t>י"מ כיון דהעידו עליו דמהדר אזיופא כל שטרות היוצאין מתחת ידו מחזקינן להו בחזקת מזוייפין עד שיבואו העדים החתומים עליהם ויעידו שחתמו עליהן ולא מסתבר כן דלישנא דהש"ס לא משמע הכי דקאמר האי שטרא ריעא לא מגבינן ביה דמשמע דוקא האי שטרא דאית ביה ריעותא כגון שאמרו העדים פלוני בקשנו לכתוב ולחתום לו שטר של מנה על פלוני ואח"כ הוציא שטר מנה על פלוני האי שטרא ודאי איתרעי ולא שאר שטרות היוצאים מתחת ידו שלא הוחזק לזייף שטרות על כל בני האדם אלא דווקא על אותו פלוני שהזכירו עדים דתלינן שמא מנה היה אצלו בע"פ וירא שמא יכפור. אבל אם העדים לא הזכירו שם הלוה וסכום המעות בהא מסתבר קצת שחשוד לזייף כל שטרותיו ותלינן שזייף שטר אחד ולא ידענא הי ניהו</w:t>
      </w:r>
      <w:r w:rsidRPr="00417841">
        <w:rPr>
          <w:rStyle w:val="Style1Char"/>
          <w:color w:val="4472C4" w:themeColor="accent1"/>
        </w:rPr>
        <w:t xml:space="preserve">: </w:t>
      </w:r>
    </w:p>
    <w:p w14:paraId="6A3CEDD8" w14:textId="77777777" w:rsidR="00127B78" w:rsidRDefault="00127B78" w:rsidP="00127B78">
      <w:pPr>
        <w:bidi/>
        <w:rPr>
          <w:rStyle w:val="Style1Char"/>
          <w:color w:val="00B050"/>
          <w:rtl/>
        </w:rPr>
      </w:pPr>
      <w:r w:rsidRPr="0063252A">
        <w:rPr>
          <w:rStyle w:val="Style1Char"/>
          <w:sz w:val="22"/>
          <w:szCs w:val="22"/>
          <w:rtl/>
        </w:rPr>
        <w:t xml:space="preserve">, </w:t>
      </w:r>
      <w:r w:rsidRPr="00B32DE1">
        <w:rPr>
          <w:rStyle w:val="Style1Char"/>
          <w:color w:val="00B050"/>
          <w:rtl/>
        </w:rPr>
        <w:t xml:space="preserve">בשלמא התם שכיחי פרוצין, אלא הכא אם הוא הוחזק, כל ישראל מי הוחזקו? הכא נמי, </w:t>
      </w:r>
      <w:r w:rsidRPr="0063252A">
        <w:rPr>
          <w:rStyle w:val="Style1Char"/>
          <w:sz w:val="22"/>
          <w:szCs w:val="22"/>
          <w:rtl/>
        </w:rPr>
        <w:t xml:space="preserve">כיון דקא מהדר אזיופא, אימר זיופי זייף </w:t>
      </w:r>
      <w:r w:rsidRPr="00B32DE1">
        <w:rPr>
          <w:rStyle w:val="Style1Char"/>
          <w:color w:val="00B050"/>
          <w:rtl/>
        </w:rPr>
        <w:t xml:space="preserve">וכתב. </w:t>
      </w:r>
    </w:p>
    <w:p w14:paraId="3E7D7247" w14:textId="77777777" w:rsidR="00127B78" w:rsidRPr="006A5F92" w:rsidRDefault="00127B78" w:rsidP="00127B78">
      <w:pPr>
        <w:bidi/>
        <w:rPr>
          <w:rStyle w:val="Style1Char"/>
          <w:color w:val="00B050"/>
          <w:rtl/>
        </w:rPr>
      </w:pPr>
    </w:p>
    <w:p w14:paraId="6D95DC77" w14:textId="77777777" w:rsidR="00127B78" w:rsidRPr="00037D16" w:rsidRDefault="00127B78" w:rsidP="00127B78">
      <w:pPr>
        <w:bidi/>
        <w:rPr>
          <w:rStyle w:val="Style1Char"/>
          <w:color w:val="806000" w:themeColor="accent4" w:themeShade="80"/>
          <w:rtl/>
        </w:rPr>
      </w:pPr>
      <w:r w:rsidRPr="00037D16">
        <w:rPr>
          <w:rStyle w:val="Style1Char"/>
          <w:color w:val="auto"/>
          <w:sz w:val="22"/>
          <w:szCs w:val="22"/>
          <w:rtl/>
        </w:rPr>
        <w:t xml:space="preserve">מתני'. </w:t>
      </w:r>
      <w:r>
        <w:rPr>
          <w:rStyle w:val="Style1Char"/>
          <w:rFonts w:hint="cs"/>
          <w:rtl/>
        </w:rPr>
        <w:t>(4)</w:t>
      </w:r>
      <w:r w:rsidRPr="00037D16">
        <w:rPr>
          <w:rStyle w:val="Style1Char"/>
          <w:color w:val="auto"/>
          <w:sz w:val="22"/>
          <w:szCs w:val="22"/>
          <w:rtl/>
        </w:rPr>
        <w:t>ואלו שאין להן קנס: הבא על הגיורת, ועל השבויה, ועל השפחה, שנפדו ושנתגיירו ושנשתחררו יתירות על בנות שלש שנים ויום אחד; רבי יהודה אומר: שבויה שנפדית - הרי היא בקדושתה אף על פי שגדולה</w:t>
      </w:r>
      <w:r w:rsidRPr="00037D16">
        <w:rPr>
          <w:rFonts w:cs="Arial"/>
          <w:rtl/>
        </w:rPr>
        <w:t xml:space="preserve"> </w:t>
      </w:r>
      <w:r w:rsidRPr="00037D16">
        <w:rPr>
          <w:rStyle w:val="Style1Char"/>
          <w:color w:val="806000" w:themeColor="accent4" w:themeShade="80"/>
          <w:rtl/>
        </w:rPr>
        <w:t>וליתא לדרבי יהודה</w:t>
      </w:r>
      <w:r w:rsidRPr="00037D16">
        <w:rPr>
          <w:rStyle w:val="Style1Char"/>
          <w:color w:val="806000" w:themeColor="accent4" w:themeShade="80"/>
        </w:rPr>
        <w:t>:</w:t>
      </w:r>
    </w:p>
    <w:p w14:paraId="2937B6CB" w14:textId="77777777" w:rsidR="00127B78" w:rsidRPr="001A635E" w:rsidRDefault="00127B78" w:rsidP="00127B78">
      <w:pPr>
        <w:bidi/>
        <w:rPr>
          <w:rStyle w:val="Style1Char"/>
          <w:color w:val="auto"/>
          <w:sz w:val="22"/>
          <w:szCs w:val="22"/>
          <w:rtl/>
        </w:rPr>
      </w:pPr>
      <w:r w:rsidRPr="001A635E">
        <w:rPr>
          <w:rStyle w:val="Style1Char"/>
          <w:color w:val="auto"/>
          <w:sz w:val="22"/>
          <w:szCs w:val="22"/>
          <w:rtl/>
        </w:rPr>
        <w:t xml:space="preserve">הבא על בתו, על בת בתו, על בת בנו, על בת אשתו, על בת בנה, על בת בתה - אין להן קנס, מפני שמתחייב בנפשו, שמיתתן בידי בית דין, וכל המתחייב בנפשו אין משלם ממון, שנאמר: ואם לא יהיה אסון ענוש יענש. </w:t>
      </w:r>
    </w:p>
    <w:p w14:paraId="596C636F" w14:textId="77777777" w:rsidR="00127B78" w:rsidRDefault="00127B78" w:rsidP="00127B78">
      <w:pPr>
        <w:bidi/>
        <w:rPr>
          <w:rStyle w:val="Style1Char"/>
          <w:color w:val="00B050"/>
          <w:rtl/>
        </w:rPr>
      </w:pPr>
      <w:r w:rsidRPr="00B32DE1">
        <w:rPr>
          <w:rStyle w:val="Style1Char"/>
          <w:color w:val="00B050"/>
          <w:rtl/>
        </w:rPr>
        <w:t xml:space="preserve">גמ'. א"ר יוחנן: רבי יהודה ורבי דוסא אמרו דבר אחד. רבי יהודה, הא דאמרן. רבי דוסא, דתניא: שבויה אוכלת בתרומה, דברי ר' דוסא, אמר רבי דוסא: וכי מה עשה לה ערבי הלז? וכי מפני שמיעך לה בין דדיה פסלה מן הכהונה? אמר רבה: דלמא לא היא, עד כאן לא קאמר ר' יהודה הכא - אלא שלא יהא חוטא נשכר, אבל התם </w:t>
      </w:r>
      <w:r>
        <w:rPr>
          <w:rStyle w:val="Style1Char"/>
          <w:rFonts w:hint="cs"/>
          <w:rtl/>
        </w:rPr>
        <w:t>(6)</w:t>
      </w:r>
      <w:r w:rsidRPr="00B32DE1">
        <w:rPr>
          <w:rStyle w:val="Style1Char"/>
          <w:color w:val="00B050"/>
          <w:rtl/>
        </w:rPr>
        <w:t xml:space="preserve">כרבנן סבירא ליה; אי נמי, עד כאן לא קאמר ר' דוסא התם - אלא בתרומה דרבנן, אבל קנס דאורייתא - כרבנן סבירא ליה. אמר ליה אביי: וטעמיה דרבי יהודה הכא שלא יהא חוטא נשכר הוא? והא תניא, ר' יהודה אומר: שבויה שנשבית - הרי היא בקדושתה, אפי' בת עשר שנים - כתובתה מאתים; והתם מאי שלא יהא חוטא נשכר איכא? התם נמי, דלמא מימנעי ולא נסבי לה. וסבר ר"י בקדושתה קיימה? והתניא: הפודה את השבויה - ישאנה, מעיד בה - לא ישאנה, ר' יהודה אומר: בין כך ובין כך לא ישאנה; הא גופה קשיא, אמרת: הפודה את השבויה ישאנה, והדר תנא: מעיד בה לא ישאנה, משום דמעיד בה לא ישאנה? הא לא קשיא, הכי קאמר: הפודה את השבויה ומעיד בה - ישאנה, מעיד בה כדי - לא ישאנה; מ"מ קשיא לר' יהודה! אמר רב פפא: אימא, רבי יהודה אומר: בין כך ובין כך ישאנה. רב הונא בריה דרב יהושע אומר: לעולם כדקתני, ר' יהודה לדבריהם דרבנן קאמר להו: לדידי, בין כך ובין כך ישאנה, אלא לדידכו, בין כך ובין כך לא ישאנה מבעי ליה. ורבנן? </w:t>
      </w:r>
      <w:r>
        <w:rPr>
          <w:rStyle w:val="Style1Char"/>
          <w:rFonts w:hint="cs"/>
          <w:rtl/>
        </w:rPr>
        <w:t>(7)</w:t>
      </w:r>
      <w:r w:rsidRPr="00B32DE1">
        <w:rPr>
          <w:rStyle w:val="Style1Char"/>
          <w:color w:val="00B050"/>
          <w:rtl/>
        </w:rPr>
        <w:t xml:space="preserve">הפודה את השבויה ומעיד בה - ישאנה, לא שדי איניש זוזי בכדי; </w:t>
      </w:r>
      <w:r>
        <w:rPr>
          <w:rStyle w:val="Style1Char"/>
          <w:rFonts w:hint="cs"/>
          <w:rtl/>
        </w:rPr>
        <w:t>(7)</w:t>
      </w:r>
      <w:r w:rsidRPr="00B32DE1">
        <w:rPr>
          <w:rStyle w:val="Style1Char"/>
          <w:color w:val="00B050"/>
          <w:rtl/>
        </w:rPr>
        <w:t xml:space="preserve">מעיד בה כדי - לא ישאנה, שמא עיניו נתן בה. רמי ליה רב פפא בר שמואל לרב יוסף: </w:t>
      </w:r>
    </w:p>
    <w:p w14:paraId="2E2F836D" w14:textId="7CC43907" w:rsidR="00127B78" w:rsidRDefault="00127B78" w:rsidP="00127B78">
      <w:pPr>
        <w:pStyle w:val="Style1"/>
        <w:rPr>
          <w:rStyle w:val="Style1Char"/>
          <w:rtl/>
        </w:rPr>
      </w:pPr>
      <w:r>
        <w:rPr>
          <w:rStyle w:val="Style1Char"/>
          <w:rFonts w:hint="cs"/>
          <w:rtl/>
        </w:rPr>
        <w:t>1)[</w:t>
      </w:r>
      <w:r w:rsidRPr="00C679BF">
        <w:rPr>
          <w:rStyle w:val="Style1Char"/>
          <w:rtl/>
        </w:rPr>
        <w:t>רמב</w:t>
      </w:r>
      <w:r w:rsidR="00213DA1">
        <w:rPr>
          <w:rStyle w:val="Style1Char"/>
          <w:rtl/>
        </w:rPr>
        <w:t>”ם \קדושה\</w:t>
      </w:r>
      <w:r w:rsidRPr="00C679BF">
        <w:rPr>
          <w:rStyle w:val="Style1Char"/>
          <w:rtl/>
        </w:rPr>
        <w:t xml:space="preserve"> הלכות איסורי ביאה פרק יז הלכה כא</w:t>
      </w:r>
      <w:r>
        <w:rPr>
          <w:rStyle w:val="Style1Char"/>
          <w:rFonts w:hint="cs"/>
          <w:rtl/>
        </w:rPr>
        <w:t xml:space="preserve">] </w:t>
      </w:r>
      <w:r w:rsidRPr="00C679BF">
        <w:rPr>
          <w:rStyle w:val="Style1Char"/>
          <w:rtl/>
        </w:rPr>
        <w:t>יצא קול על הבתולה שהיא בעולה אין חוששין לה ותנשא לכהן גדול, יצא עליה קול שהיא שפחה אין חוששין לה ותנשא אפילו לכהן, יצא לה שם מזנה בעיר אין חוששין לה, ואפילו הוציאה בעלה משום שעברה על דת יהודית או בעדי דבר מכוער ומת קודם שיתן לה גט הרי זו מותרת לכהן שאין אוסרין אשה מאלו אלא בעדות ברורה או בהודאת פיה.</w:t>
      </w:r>
    </w:p>
    <w:p w14:paraId="6FD1A7DD" w14:textId="77777777" w:rsidR="00127B78" w:rsidRDefault="00127B78" w:rsidP="00127B78">
      <w:pPr>
        <w:pStyle w:val="Style1"/>
        <w:rPr>
          <w:rtl/>
        </w:rPr>
      </w:pPr>
      <w:r>
        <w:rPr>
          <w:rStyle w:val="Style1Char"/>
          <w:rFonts w:hint="cs"/>
          <w:rtl/>
        </w:rPr>
        <w:t>1)[</w:t>
      </w:r>
      <w:r w:rsidRPr="00C41559">
        <w:rPr>
          <w:rStyle w:val="Style1Char"/>
          <w:rtl/>
        </w:rPr>
        <w:t>שולחן ערוך אבן העזר הלכות פריה ורביה סימן ו סעיף טז</w:t>
      </w:r>
      <w:r>
        <w:rPr>
          <w:rStyle w:val="Style1Char"/>
          <w:rFonts w:hint="cs"/>
          <w:rtl/>
        </w:rPr>
        <w:t xml:space="preserve">] </w:t>
      </w:r>
      <w:r w:rsidRPr="00CD4F4A">
        <w:rPr>
          <w:rtl/>
        </w:rPr>
        <w:t>יצא לה שם מזנה בעיר, אין חוששין לה. ואפילו הוציאה בעלה משום שעברה על דת יהודית או בעדי דבר מכוער, ומת קודם שנתן לה גט, הרי זו מותרת לכהן</w:t>
      </w:r>
      <w:r w:rsidRPr="00CD4F4A">
        <w:t>:</w:t>
      </w:r>
    </w:p>
    <w:p w14:paraId="5921BD20" w14:textId="04B0242B" w:rsidR="00127B78" w:rsidRDefault="00127B78" w:rsidP="00127B78">
      <w:pPr>
        <w:pStyle w:val="Style1"/>
        <w:rPr>
          <w:rtl/>
        </w:rPr>
      </w:pPr>
      <w:r>
        <w:rPr>
          <w:rFonts w:hint="cs"/>
          <w:rtl/>
        </w:rPr>
        <w:t>2)[</w:t>
      </w:r>
      <w:r>
        <w:rPr>
          <w:rtl/>
        </w:rPr>
        <w:t>רמב</w:t>
      </w:r>
      <w:r w:rsidR="00786216">
        <w:rPr>
          <w:rtl/>
        </w:rPr>
        <w:t>”ם \נשים\</w:t>
      </w:r>
      <w:r>
        <w:rPr>
          <w:rtl/>
        </w:rPr>
        <w:t xml:space="preserve"> הלכות נערה בתולה פרק א הלכה ט</w:t>
      </w:r>
      <w:r>
        <w:rPr>
          <w:rFonts w:hint="cs"/>
          <w:rtl/>
        </w:rPr>
        <w:t xml:space="preserve">] </w:t>
      </w:r>
      <w:r>
        <w:rPr>
          <w:rtl/>
        </w:rPr>
        <w:t>ואחת שיש לה אב או שאין לה אב יש לה קנס. ואלו שאין להן קנס הבוגרת והממאנת והאילונית והשוטה והחרשת ומי שיצא עליה שם רע בילדותה ובאו שנים והעידו שתבעה אותן לזנות עמה והמתגרשת מן הנישואין ועדיין היא נערה בתולה אבל המתגרשת מן האירוסין אם נאנסה יש לה קנס וקנסה לעצמה ואם נתפתתה אין לה קנס. /השגת הראב"ד/ ואלו שאין להן קנס הבוגרת והממאנת והאילונית. א"א גם זה טעות שהאילונית לדברי חכמים יש לה קנס עד שתהיה בת עשרים שמקטנותה יצאה לבגרות. /השגת הראב"ד/ והחרשת. /א"א/ אף זו טעות דלהדיא לרבנן יש לה קנס ופיתוי.</w:t>
      </w:r>
    </w:p>
    <w:p w14:paraId="7E614791" w14:textId="77777777" w:rsidR="00127B78" w:rsidRDefault="00127B78" w:rsidP="00127B78">
      <w:pPr>
        <w:pStyle w:val="Style1"/>
        <w:rPr>
          <w:rtl/>
        </w:rPr>
      </w:pPr>
      <w:r>
        <w:rPr>
          <w:rFonts w:hint="cs"/>
          <w:rtl/>
        </w:rPr>
        <w:t>2)[</w:t>
      </w:r>
      <w:r>
        <w:rPr>
          <w:rtl/>
        </w:rPr>
        <w:t>שולחן ערוך חושן משפט הלכות שותפים סימן קעז סעיף ד</w:t>
      </w:r>
      <w:r>
        <w:rPr>
          <w:rFonts w:hint="cs"/>
          <w:rtl/>
        </w:rPr>
        <w:t xml:space="preserve">] </w:t>
      </w:r>
      <w:r w:rsidRPr="009A7D9F">
        <w:rPr>
          <w:rtl/>
        </w:rPr>
        <w:t>אחד מאחים השותפים שרצה לילך ללמוד תורה או אומנות ישומו כמה יגיעו לחלקו בהוצאתן כשהם ביחד וכן יתנו לו אף על פי שצריך יותר כשהוא לבדו</w:t>
      </w:r>
      <w:r w:rsidRPr="009A7D9F">
        <w:t>:</w:t>
      </w:r>
    </w:p>
    <w:p w14:paraId="750388CC" w14:textId="6851DA42" w:rsidR="00127B78" w:rsidRDefault="00127B78" w:rsidP="00127B78">
      <w:pPr>
        <w:pStyle w:val="Style1"/>
        <w:rPr>
          <w:rtl/>
        </w:rPr>
      </w:pPr>
      <w:r>
        <w:rPr>
          <w:rFonts w:hint="cs"/>
          <w:rtl/>
        </w:rPr>
        <w:t>3)[</w:t>
      </w:r>
      <w:r>
        <w:rPr>
          <w:rtl/>
        </w:rPr>
        <w:t>רמב</w:t>
      </w:r>
      <w:r w:rsidR="0057095E">
        <w:rPr>
          <w:rtl/>
        </w:rPr>
        <w:t>”ם \שופטים\</w:t>
      </w:r>
      <w:r>
        <w:rPr>
          <w:rtl/>
        </w:rPr>
        <w:t xml:space="preserve"> הלכות עדות פרק כב הלכה ה</w:t>
      </w:r>
      <w:r>
        <w:rPr>
          <w:rFonts w:hint="cs"/>
          <w:rtl/>
        </w:rPr>
        <w:t xml:space="preserve">] </w:t>
      </w:r>
      <w:r>
        <w:rPr>
          <w:rtl/>
        </w:rPr>
        <w:t>מי שהביא עדים ונחקרה עדותן והוזמו וחזר והביא עדים אחרים באותה הטענה עצמה והוזמו אפילו מאה כת, ואחר כך הביא עדים אחרים באותה הטענה עצמה ונמצאת עדות אלו האחרונים מכוונת דנין על פיהן, שאע"פ שהוחזק זה שטען טענה זו להביא עדים שקרנים הרי לא הוחזקו אלו העדים האחרונים שהן משקרין, אבל שטר שקרא עליו ערער והוא שיבאו שנים ויאמרו ממנו שאל לזייף לו שטר זה אף על פי שנתקיים השטר מחותמיו אין גובין בו לעולם, ויראה לי שאם באו עדי השטר והעידו הן בעצמן על כתב ידן גובין בו. סליקו להו הלכות עדות בס"ד.</w:t>
      </w:r>
    </w:p>
    <w:p w14:paraId="23A3F585" w14:textId="77777777" w:rsidR="00127B78" w:rsidRDefault="00127B78" w:rsidP="00127B78">
      <w:pPr>
        <w:pStyle w:val="Style1"/>
        <w:rPr>
          <w:rtl/>
        </w:rPr>
      </w:pPr>
      <w:r>
        <w:rPr>
          <w:rFonts w:hint="cs"/>
          <w:rtl/>
        </w:rPr>
        <w:t>3)[</w:t>
      </w:r>
      <w:r>
        <w:rPr>
          <w:rtl/>
        </w:rPr>
        <w:t>שולחן ערוך חושן משפט הלכות עדות סימן לא סעיף ד</w:t>
      </w:r>
      <w:r>
        <w:rPr>
          <w:rFonts w:hint="cs"/>
          <w:rtl/>
        </w:rPr>
        <w:t xml:space="preserve">] </w:t>
      </w:r>
      <w:r w:rsidRPr="000149EB">
        <w:rPr>
          <w:rtl/>
        </w:rPr>
        <w:t>מי שהביא עדים והוכחשו מתוך עדותן ואחר כך הביא עדים אחרים על אותה תביעה והוכחשו וכן עד מאה כת ואח"כ הביא עדים אחרים ונמצאת עדותן מכוונת דנין על פיהם אבל שטר שבאו שנים ואמרו ממנו שאל לזייף שטר זה אע"פ שנתקיים השטר בחותמיו אין גובים בו לעולם אלא א"כ באו עדי השטר והעידו הם בעצמם על כת"י</w:t>
      </w:r>
      <w:r w:rsidRPr="000149EB">
        <w:t>:</w:t>
      </w:r>
    </w:p>
    <w:p w14:paraId="640EA916" w14:textId="77777777" w:rsidR="00127B78" w:rsidRPr="00A31EAB" w:rsidRDefault="00127B78" w:rsidP="00127B78">
      <w:pPr>
        <w:pStyle w:val="Style1"/>
      </w:pPr>
      <w:r>
        <w:rPr>
          <w:rFonts w:hint="cs"/>
          <w:rtl/>
        </w:rPr>
        <w:t>3)[</w:t>
      </w:r>
      <w:r>
        <w:rPr>
          <w:rtl/>
        </w:rPr>
        <w:t>שולחן ערוך חושן משפט הלכות הלואה סימן סג סעיף א</w:t>
      </w:r>
      <w:r>
        <w:rPr>
          <w:rFonts w:hint="cs"/>
          <w:rtl/>
        </w:rPr>
        <w:t xml:space="preserve">]  </w:t>
      </w:r>
      <w:r w:rsidRPr="00A31EAB">
        <w:rPr>
          <w:rtl/>
        </w:rPr>
        <w:t>המוציא שט"ח על חבירו ובאו שנים ואמרו ממנו שאל לזייף לו שטר זה אע"פ שנתקיים השטר בחותמיו אין גובין בו לעולם אא"כ עידי השטר מעידים שראו ההלואה או אחרים מעידים עליהם שראו שחתמו ואם עידי השטר מעידים שזו היא חתימתן גובין בו</w:t>
      </w:r>
    </w:p>
    <w:p w14:paraId="21798C8F" w14:textId="77777777" w:rsidR="00127B78" w:rsidRDefault="00127B78" w:rsidP="00127B78">
      <w:pPr>
        <w:pStyle w:val="Style1"/>
        <w:rPr>
          <w:rtl/>
        </w:rPr>
      </w:pPr>
      <w:r w:rsidRPr="00A31EAB">
        <w:rPr>
          <w:rFonts w:hint="cs"/>
          <w:rtl/>
        </w:rPr>
        <w:t>(ויש חולקין וס"ל דהכרת החתימה לא מהני) (טור בשם הרמ"ה ור"ן פ' אלו נערות)</w:t>
      </w:r>
      <w:r w:rsidRPr="00A31EAB">
        <w:t>:</w:t>
      </w:r>
    </w:p>
    <w:p w14:paraId="4F11FC13" w14:textId="5B359ED7" w:rsidR="00127B78" w:rsidRDefault="00127B78" w:rsidP="00127B78">
      <w:pPr>
        <w:pStyle w:val="Style1"/>
        <w:rPr>
          <w:rtl/>
        </w:rPr>
      </w:pPr>
      <w:r>
        <w:rPr>
          <w:rFonts w:hint="cs"/>
          <w:rtl/>
        </w:rPr>
        <w:lastRenderedPageBreak/>
        <w:t>4)[</w:t>
      </w:r>
      <w:r>
        <w:rPr>
          <w:rtl/>
        </w:rPr>
        <w:t>רמב</w:t>
      </w:r>
      <w:r w:rsidR="00786216">
        <w:rPr>
          <w:rtl/>
        </w:rPr>
        <w:t>”ם \נשים\</w:t>
      </w:r>
      <w:r>
        <w:rPr>
          <w:rtl/>
        </w:rPr>
        <w:t xml:space="preserve"> הלכות נערה בתולה פרק א הלכה י</w:t>
      </w:r>
      <w:r>
        <w:rPr>
          <w:rFonts w:hint="cs"/>
          <w:rtl/>
        </w:rPr>
        <w:t xml:space="preserve">] </w:t>
      </w:r>
      <w:r>
        <w:rPr>
          <w:rtl/>
        </w:rPr>
        <w:t>הגיורת והשבויה והמשוחררת אם נתגיירה ונפדית ונשתחררה והיא בת שלש שנים או פחות יש לה קנס, ואם היתה בת שלש שנים ויום אחד כשנתגיירה או כשנפדית או כשנשתחררה אין לה קנס הואיל וביאתן ביאה הרי הן כבעולות.</w:t>
      </w:r>
    </w:p>
    <w:p w14:paraId="0000529A" w14:textId="77777777" w:rsidR="00127B78" w:rsidRPr="00AE64BF" w:rsidRDefault="00127B78" w:rsidP="00127B78">
      <w:pPr>
        <w:pStyle w:val="Style1"/>
        <w:rPr>
          <w:rStyle w:val="Style1Char"/>
        </w:rPr>
      </w:pPr>
      <w:r>
        <w:rPr>
          <w:rStyle w:val="Style1Char"/>
          <w:rFonts w:hint="cs"/>
          <w:rtl/>
        </w:rPr>
        <w:t>4)[</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276D8E6D"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30FDB315"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0FCBF8D6"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1F15D2CE" w14:textId="449819C0" w:rsidR="00127B78" w:rsidRDefault="00127B78" w:rsidP="00127B78">
      <w:pPr>
        <w:pStyle w:val="Style1"/>
        <w:rPr>
          <w:rStyle w:val="Style1Char"/>
          <w:rtl/>
        </w:rPr>
      </w:pPr>
      <w:r>
        <w:rPr>
          <w:rStyle w:val="Style1Char"/>
          <w:rFonts w:hint="cs"/>
          <w:rtl/>
        </w:rPr>
        <w:t>5)[</w:t>
      </w:r>
      <w:r w:rsidRPr="00487B53">
        <w:rPr>
          <w:rStyle w:val="Style1Char"/>
          <w:rtl/>
        </w:rPr>
        <w:t>רמב</w:t>
      </w:r>
      <w:r w:rsidR="00786216">
        <w:rPr>
          <w:rStyle w:val="Style1Char"/>
          <w:rtl/>
        </w:rPr>
        <w:t>”ם \נשים\</w:t>
      </w:r>
      <w:r w:rsidRPr="00487B53">
        <w:rPr>
          <w:rStyle w:val="Style1Char"/>
          <w:rtl/>
        </w:rPr>
        <w:t xml:space="preserve"> הלכות נערה בתולה פרק א הלכה יג</w:t>
      </w:r>
      <w:r>
        <w:rPr>
          <w:rStyle w:val="Style1Char"/>
          <w:rFonts w:hint="cs"/>
          <w:rtl/>
        </w:rPr>
        <w:t xml:space="preserve">] </w:t>
      </w:r>
      <w:r w:rsidRPr="00487B53">
        <w:rPr>
          <w:rStyle w:val="Style1Char"/>
          <w:rtl/>
        </w:rPr>
        <w:t xml:space="preserve">היתה מחייבי מיתת בית דין כגון בתו ואשת בנו וכיוצא בהן בין התרו בו בין לא התרו בו פטור מן הקנס שנ' </w:t>
      </w:r>
      <w:r>
        <w:rPr>
          <w:rStyle w:val="Style1Char"/>
          <w:rFonts w:hint="cs"/>
          <w:rtl/>
        </w:rPr>
        <w:t>(</w:t>
      </w:r>
      <w:r w:rsidRPr="00487B53">
        <w:rPr>
          <w:rStyle w:val="Style1Char"/>
          <w:rtl/>
        </w:rPr>
        <w:t>שמות כ"א כ"ב</w:t>
      </w:r>
      <w:r>
        <w:rPr>
          <w:rStyle w:val="Style1Char"/>
          <w:rFonts w:hint="cs"/>
          <w:rtl/>
        </w:rPr>
        <w:t>)</w:t>
      </w:r>
      <w:r w:rsidRPr="00487B53">
        <w:rPr>
          <w:rStyle w:val="Style1Char"/>
          <w:rtl/>
        </w:rPr>
        <w:t xml:space="preserve"> ולא יהיה אסון ענוש יענש הא אם היה שם אסון אין שם עונש ואף על פי שהריגת האשה בשגגה שהרי לא נתכוונו לה שנ' כי ינצו </w:t>
      </w:r>
      <w:r w:rsidRPr="00487B53">
        <w:rPr>
          <w:rStyle w:val="Style1Char"/>
          <w:rtl/>
        </w:rPr>
        <w:lastRenderedPageBreak/>
        <w:t xml:space="preserve">אנשים ונגפו אשה הרה וגו' הא למדת שלא חלק באסון בין שוגג למזיד לפטרו מן התשלומין. והרי הוא אומר </w:t>
      </w:r>
      <w:r>
        <w:rPr>
          <w:rStyle w:val="Style1Char"/>
          <w:rFonts w:hint="cs"/>
          <w:rtl/>
        </w:rPr>
        <w:t>(</w:t>
      </w:r>
      <w:r w:rsidRPr="00487B53">
        <w:rPr>
          <w:rStyle w:val="Style1Char"/>
          <w:rtl/>
        </w:rPr>
        <w:t>ויקרא כ"ד כ"א</w:t>
      </w:r>
      <w:r>
        <w:rPr>
          <w:rStyle w:val="Style1Char"/>
          <w:rFonts w:hint="cs"/>
          <w:rtl/>
        </w:rPr>
        <w:t>)</w:t>
      </w:r>
      <w:r w:rsidRPr="00487B53">
        <w:rPr>
          <w:rStyle w:val="Style1Char"/>
          <w:rtl/>
        </w:rPr>
        <w:t xml:space="preserve"> מכה נפש בהמה ישלמנה ומכה אדם יומת מה מכה נפש בהמה לא חלק בו בין שוגג למזיד לחייבו בתשלומין אף מכה נפש אדם לא חלק בו בין שוגג למזיד לפטרו מן התשלומין.</w:t>
      </w:r>
    </w:p>
    <w:p w14:paraId="2344F0FE" w14:textId="7646794C" w:rsidR="00127B78" w:rsidRDefault="00127B78" w:rsidP="00127B78">
      <w:pPr>
        <w:pStyle w:val="Style1"/>
        <w:rPr>
          <w:rStyle w:val="Style1Char"/>
          <w:rtl/>
        </w:rPr>
      </w:pPr>
      <w:r>
        <w:rPr>
          <w:rStyle w:val="Style1Char"/>
          <w:rFonts w:hint="cs"/>
          <w:rtl/>
        </w:rPr>
        <w:t>5)[</w:t>
      </w:r>
      <w:r w:rsidRPr="00AC67DB">
        <w:rPr>
          <w:rStyle w:val="Style1Char"/>
          <w:rtl/>
        </w:rPr>
        <w:t>רמב</w:t>
      </w:r>
      <w:r w:rsidR="00786216">
        <w:rPr>
          <w:rStyle w:val="Style1Char"/>
          <w:rtl/>
        </w:rPr>
        <w:t>”ם \נשים\</w:t>
      </w:r>
      <w:r w:rsidRPr="00AC67DB">
        <w:rPr>
          <w:rStyle w:val="Style1Char"/>
          <w:rtl/>
        </w:rPr>
        <w:t xml:space="preserve"> הלכות נערה בתולה פרק א הלכה יד</w:t>
      </w:r>
      <w:r>
        <w:rPr>
          <w:rStyle w:val="Style1Char"/>
          <w:rFonts w:hint="cs"/>
          <w:rtl/>
        </w:rPr>
        <w:t xml:space="preserve">] </w:t>
      </w:r>
      <w:r w:rsidRPr="00AC67DB">
        <w:rPr>
          <w:rStyle w:val="Style1Char"/>
          <w:rtl/>
        </w:rPr>
        <w:t>והוא הדין לכל עבירה שיש בה מיתת בית דין שאין בה תשלומין.</w:t>
      </w:r>
    </w:p>
    <w:p w14:paraId="26DE170B" w14:textId="6EAC44F5" w:rsidR="00127B78" w:rsidRDefault="00127B78" w:rsidP="00127B78">
      <w:pPr>
        <w:pStyle w:val="Style1"/>
        <w:rPr>
          <w:rStyle w:val="Style1Char"/>
          <w:rtl/>
        </w:rPr>
      </w:pPr>
      <w:r>
        <w:rPr>
          <w:rStyle w:val="Style1Char"/>
          <w:rFonts w:hint="cs"/>
          <w:rtl/>
        </w:rPr>
        <w:t>6)[</w:t>
      </w:r>
      <w:r w:rsidRPr="00517BD8">
        <w:rPr>
          <w:rStyle w:val="Style1Char"/>
          <w:rtl/>
        </w:rPr>
        <w:t>רמב</w:t>
      </w:r>
      <w:r w:rsidR="00786216">
        <w:rPr>
          <w:rStyle w:val="Style1Char"/>
          <w:rtl/>
        </w:rPr>
        <w:t>”ם \זרעים\</w:t>
      </w:r>
      <w:r w:rsidRPr="00517BD8">
        <w:rPr>
          <w:rStyle w:val="Style1Char"/>
          <w:rtl/>
        </w:rPr>
        <w:t xml:space="preserve"> הלכות תרומות פרק ו הלכה יא</w:t>
      </w:r>
      <w:r>
        <w:rPr>
          <w:rStyle w:val="Style1Char"/>
          <w:rFonts w:hint="cs"/>
          <w:rtl/>
        </w:rPr>
        <w:t xml:space="preserve">] </w:t>
      </w:r>
      <w:r w:rsidRPr="00517BD8">
        <w:rPr>
          <w:rStyle w:val="Style1Char"/>
          <w:rtl/>
        </w:rPr>
        <w:t>לפיכך השבויה אינה אוכלת בתרומה ואף על פי שאומרת טהורה אני, וכל שבויה שנאמנת לומר טהורה אני או שיש לה עד כדי שתהיה מותרת לבעלה הרי זו אוכלת בתרומה, והנרבעת לבהמה לא נפסלה מן הכהונה ואוכלת.</w:t>
      </w:r>
    </w:p>
    <w:p w14:paraId="3126C183" w14:textId="5DA7EB5C" w:rsidR="00127B78" w:rsidRDefault="00127B78" w:rsidP="00127B78">
      <w:pPr>
        <w:pStyle w:val="Style1"/>
        <w:rPr>
          <w:rStyle w:val="Style1Char"/>
          <w:rtl/>
        </w:rPr>
      </w:pPr>
      <w:r>
        <w:rPr>
          <w:rStyle w:val="Style1Char"/>
          <w:rFonts w:hint="cs"/>
          <w:rtl/>
        </w:rPr>
        <w:t>7)[</w:t>
      </w:r>
      <w:r w:rsidRPr="00B041D4">
        <w:rPr>
          <w:rStyle w:val="Style1Char"/>
          <w:rtl/>
        </w:rPr>
        <w:t>רמב</w:t>
      </w:r>
      <w:r w:rsidR="00213DA1">
        <w:rPr>
          <w:rStyle w:val="Style1Char"/>
          <w:rtl/>
        </w:rPr>
        <w:t>”ם \קדושה\</w:t>
      </w:r>
      <w:r w:rsidRPr="00B041D4">
        <w:rPr>
          <w:rStyle w:val="Style1Char"/>
          <w:rtl/>
        </w:rPr>
        <w:t xml:space="preserve"> הלכות איסורי ביאה פרק יח הלכה כ</w:t>
      </w:r>
      <w:r>
        <w:rPr>
          <w:rStyle w:val="Style1Char"/>
          <w:rFonts w:hint="cs"/>
          <w:rtl/>
        </w:rPr>
        <w:t xml:space="preserve">] </w:t>
      </w:r>
      <w:r w:rsidRPr="00B041D4">
        <w:rPr>
          <w:rStyle w:val="Style1Char"/>
          <w:rtl/>
        </w:rPr>
        <w:t>כהן שהעיד לשבויה שהיא טהורה הרי זה לא ישאנה שמא עיניו נתן בה, ואם פדאה והעיד בה הרי זה ישאנה, שאילו לא ידע שהיא טהורה לא נתן בה מעותיו.</w:t>
      </w:r>
    </w:p>
    <w:p w14:paraId="36DA8121" w14:textId="77777777" w:rsidR="00127B78" w:rsidRPr="0003320F" w:rsidRDefault="00127B78" w:rsidP="00127B78">
      <w:pPr>
        <w:pStyle w:val="Style1"/>
      </w:pPr>
      <w:r>
        <w:rPr>
          <w:rStyle w:val="Style1Char"/>
          <w:rFonts w:hint="cs"/>
          <w:rtl/>
        </w:rPr>
        <w:t>7)[</w:t>
      </w:r>
      <w:r w:rsidRPr="00150493">
        <w:rPr>
          <w:rStyle w:val="Style1Char"/>
          <w:rtl/>
        </w:rPr>
        <w:t>שולחן ערוך אבן העזר הלכות אישות סימן ז סעיף ג</w:t>
      </w:r>
      <w:r>
        <w:rPr>
          <w:rStyle w:val="Style1Char"/>
          <w:rFonts w:hint="cs"/>
          <w:rtl/>
        </w:rPr>
        <w:t xml:space="preserve">] </w:t>
      </w:r>
      <w:r w:rsidRPr="0003320F">
        <w:rPr>
          <w:rtl/>
        </w:rPr>
        <w:t>כהן שהעיד לשבויה שהיא טהורה, הרי זה לא ישאנה, שמא עיניו נתן בה. ואם פדאה והעיד בה – הרי זה ישאנה, שאילו לא ידע שהיא טהורה, לא נתן בה מעותיו</w:t>
      </w:r>
      <w:r w:rsidRPr="0003320F">
        <w:t>:</w:t>
      </w:r>
    </w:p>
    <w:p w14:paraId="77988DDA" w14:textId="77777777" w:rsidR="00127B78" w:rsidRDefault="00127B78" w:rsidP="00127B78">
      <w:pPr>
        <w:pStyle w:val="Style1"/>
        <w:rPr>
          <w:rStyle w:val="Style1Char"/>
          <w:rtl/>
        </w:rPr>
      </w:pPr>
    </w:p>
    <w:p w14:paraId="3286CD3F" w14:textId="77777777" w:rsidR="00127B78" w:rsidRPr="00A31EAB" w:rsidRDefault="00127B78" w:rsidP="00127B78">
      <w:pPr>
        <w:pStyle w:val="Style1"/>
      </w:pPr>
    </w:p>
    <w:p w14:paraId="787CB6D6" w14:textId="77777777" w:rsidR="00127B78" w:rsidRPr="00A31EAB" w:rsidRDefault="00127B78" w:rsidP="00127B78">
      <w:pPr>
        <w:pStyle w:val="Style1"/>
      </w:pPr>
    </w:p>
    <w:p w14:paraId="637F1E7C" w14:textId="77777777" w:rsidR="00127B78" w:rsidRPr="00A31EAB" w:rsidRDefault="00127B78" w:rsidP="00127B78">
      <w:pPr>
        <w:pStyle w:val="Style1"/>
        <w:rPr>
          <w:rStyle w:val="Style1Char"/>
          <w:rtl/>
        </w:rPr>
      </w:pPr>
    </w:p>
    <w:p w14:paraId="1EC166DF" w14:textId="77777777" w:rsidR="00127B78" w:rsidRDefault="00127B78" w:rsidP="00127B78">
      <w:pPr>
        <w:rPr>
          <w:rStyle w:val="Style1Char"/>
          <w:color w:val="00B050"/>
          <w:rtl/>
        </w:rPr>
      </w:pPr>
      <w:r>
        <w:rPr>
          <w:rStyle w:val="Style1Char"/>
          <w:color w:val="00B050"/>
          <w:rtl/>
        </w:rPr>
        <w:br w:type="page"/>
      </w:r>
    </w:p>
    <w:p w14:paraId="7C943B18" w14:textId="77777777" w:rsidR="00127B78" w:rsidRDefault="00127B78" w:rsidP="00127B78">
      <w:pPr>
        <w:bidi/>
        <w:rPr>
          <w:rStyle w:val="Style1Char"/>
          <w:color w:val="00B050"/>
          <w:rtl/>
        </w:rPr>
      </w:pPr>
      <w:r w:rsidRPr="009D1408">
        <w:rPr>
          <w:rStyle w:val="Style1Char"/>
          <w:color w:val="00B050"/>
          <w:sz w:val="22"/>
          <w:szCs w:val="22"/>
          <w:highlight w:val="yellow"/>
          <w:rtl/>
        </w:rPr>
        <w:lastRenderedPageBreak/>
        <w:t>[דף לז עמוד א]</w:t>
      </w:r>
      <w:r w:rsidRPr="009D1408">
        <w:rPr>
          <w:rStyle w:val="Style1Char"/>
          <w:color w:val="00B050"/>
          <w:sz w:val="22"/>
          <w:szCs w:val="22"/>
          <w:rtl/>
        </w:rPr>
        <w:t xml:space="preserve"> </w:t>
      </w:r>
      <w:r w:rsidRPr="00B32DE1">
        <w:rPr>
          <w:rStyle w:val="Style1Char"/>
          <w:color w:val="00B050"/>
          <w:rtl/>
        </w:rPr>
        <w:t xml:space="preserve">וסבר רבי יהודה בקדושתה קיימא? והתניא: הגיורת שנתגיירה וראתה דם, ר' יהודה אומר: דיה שעתה, ר' יוסי אומר: הרי היא ככל הנשים, ומטמאה מעת לעת ומפקידה לפקידה; וצריכה להמתין ג' חדשים, דברי ר' יהודה, ר' יוסי מתיר ליארס ולינשא מיד! א"ל: גיורת אשבויה קא רמית? גיורת לא מנטרא נפשה, שבויה מנטרא נפשה. ורמי שבויה אשבויה; דתניא: הגיורת, והשבויה, והשפחה, שנפדו ושנתגיירו ושנשתחררו יתירות על בנות ג' שנים ויום אחד - </w:t>
      </w:r>
      <w:r>
        <w:rPr>
          <w:rStyle w:val="Style1Char"/>
          <w:rFonts w:hint="cs"/>
          <w:rtl/>
        </w:rPr>
        <w:t>(1)</w:t>
      </w:r>
      <w:r w:rsidRPr="00B32DE1">
        <w:rPr>
          <w:rStyle w:val="Style1Char"/>
          <w:color w:val="00B050"/>
          <w:rtl/>
        </w:rPr>
        <w:t xml:space="preserve">צריכות להמתין ג' חדשים, דברי ר' יהודה, </w:t>
      </w:r>
      <w:r>
        <w:rPr>
          <w:rStyle w:val="Style1Char"/>
          <w:rFonts w:hint="cs"/>
          <w:rtl/>
        </w:rPr>
        <w:t>(1)</w:t>
      </w:r>
      <w:r w:rsidRPr="00B32DE1">
        <w:rPr>
          <w:rStyle w:val="Style1Char"/>
          <w:color w:val="00B050"/>
          <w:rtl/>
        </w:rPr>
        <w:t xml:space="preserve">ר' יוסי מתיר ליארס ולינשא מיד! אשתיק. א"ל: מידי שמיע לך בהא? אמר ליה, הכי אמר רב ששת: שראוה שנבעלה. א"ה, מאי טעמא דר' יוסי? אמר רבה, קסבר ר' יוסי: </w:t>
      </w:r>
      <w:r>
        <w:rPr>
          <w:rStyle w:val="Style1Char"/>
          <w:rFonts w:hint="cs"/>
          <w:rtl/>
        </w:rPr>
        <w:t>(1)</w:t>
      </w:r>
      <w:r w:rsidRPr="00B32DE1">
        <w:rPr>
          <w:rStyle w:val="Style1Char"/>
          <w:color w:val="00B050"/>
          <w:rtl/>
        </w:rPr>
        <w:t xml:space="preserve">אשה מזנה משמשת במוך שלא תתעבר. בשלמא גיורת - כיון דדעתה לאיגיורי מנטרא נפשה, שבויה נמי - דלא ידעה היכא ממטו לה, שפחה נמי - דשמעה מפי מרה, אלא יוצאה בשן ועין מאי איכא למימר? וכי תימא, כל ממילא לא א"ר יוסי, הרי אנוסה ומפותה דממילא, ותניא: אנוסה ומפותה - צריכות להמתין ג' חדשים, דברי ר' יהודה, ר' יוסי מתיר ליארס ולינשא מיד! אלא אמר רבה, קסבר ר' יוסי: אשה מזנה מתהפכת כדי שלא תתעבר. ואידך? חיישי' שמא לא נהפכה יפה יפה. שנא': ולא יהיה אסון ענוש יענש וכו'. והא מהכא נפקא? מהתם נפקא: כדי רשעתו - משום רשעה אחת אתה מחייבו, ואי אתה מחייבו משום שתי רשעיות! חדא במיתה וממון, וחדא במלקות וממון; וצריכא, דאי אשמעינן מיתה וממון, משום דאיכא איבוד נשמה, אבל מלקות וממון דליכא איבוד נשמה - אימא לא; ואי אשמעינן מלקות וממון, משום דלא חמיר איסוריה, אבל מיתה וממון דחמיר איסוריה - אימא לא, צריכא. ולרבי מאיר, דאמר: לוקה ומשלם, תרתי למה לי? חדא במיתה וממון, </w:t>
      </w:r>
    </w:p>
    <w:p w14:paraId="5DAC0FDD" w14:textId="68D77954" w:rsidR="00127B78" w:rsidRDefault="00127B78" w:rsidP="00127B78">
      <w:pPr>
        <w:pStyle w:val="Style1"/>
        <w:rPr>
          <w:rStyle w:val="Style1Char"/>
          <w:rtl/>
        </w:rPr>
      </w:pPr>
      <w:r>
        <w:rPr>
          <w:rStyle w:val="Style1Char"/>
          <w:rFonts w:hint="cs"/>
          <w:rtl/>
        </w:rPr>
        <w:t>1)[</w:t>
      </w:r>
      <w:r w:rsidRPr="00102D74">
        <w:rPr>
          <w:rStyle w:val="Style1Char"/>
          <w:rtl/>
        </w:rPr>
        <w:t>רמב</w:t>
      </w:r>
      <w:r w:rsidR="00213DA1">
        <w:rPr>
          <w:rStyle w:val="Style1Char"/>
          <w:rtl/>
        </w:rPr>
        <w:t>”ם \נשים\</w:t>
      </w:r>
      <w:r w:rsidRPr="00102D74">
        <w:rPr>
          <w:rStyle w:val="Style1Char"/>
          <w:rtl/>
        </w:rPr>
        <w:t xml:space="preserve"> הלכות גירושין פרק יא הלכה כא</w:t>
      </w:r>
      <w:r>
        <w:rPr>
          <w:rStyle w:val="Style1Char"/>
          <w:rFonts w:hint="cs"/>
          <w:rtl/>
        </w:rPr>
        <w:t xml:space="preserve">] </w:t>
      </w:r>
      <w:r w:rsidRPr="00102D74">
        <w:rPr>
          <w:rStyle w:val="Style1Char"/>
          <w:rtl/>
        </w:rPr>
        <w:t>שפחה שנשתחררה וגיורת שנתגיירה ממתינין תשעים יום, ואפילו גר ואשתו שנתגיירו מפרישין אותן תשעים יום כדי להבחין בין זרע שנזרע בקדושה לזרע שלא נזרע בקדושה, וכן יפת תאר אף על פי שנתנה לה תורה שלשים יום לתקנת עצמה צריכה להמתין תשעים יום לתקנת הולד, והשלשים מכלל התשעים.</w:t>
      </w:r>
    </w:p>
    <w:p w14:paraId="2CE96CC6" w14:textId="6AA2B5E1" w:rsidR="00127B78" w:rsidRDefault="00127B78" w:rsidP="00127B78">
      <w:pPr>
        <w:pStyle w:val="Style1"/>
        <w:rPr>
          <w:rStyle w:val="Style1Char"/>
          <w:rtl/>
        </w:rPr>
      </w:pPr>
      <w:r>
        <w:rPr>
          <w:rStyle w:val="Style1Char"/>
          <w:rFonts w:hint="cs"/>
          <w:rtl/>
        </w:rPr>
        <w:t>1)[</w:t>
      </w:r>
      <w:r w:rsidRPr="00B6235F">
        <w:rPr>
          <w:rStyle w:val="Style1Char"/>
          <w:rtl/>
        </w:rPr>
        <w:t>רמב</w:t>
      </w:r>
      <w:r w:rsidR="00213DA1">
        <w:rPr>
          <w:rStyle w:val="Style1Char"/>
          <w:rtl/>
        </w:rPr>
        <w:t>”ם \נשים\</w:t>
      </w:r>
      <w:r w:rsidRPr="00B6235F">
        <w:rPr>
          <w:rStyle w:val="Style1Char"/>
          <w:rtl/>
        </w:rPr>
        <w:t xml:space="preserve"> הלכות גירושין פרק יא הלכה כב</w:t>
      </w:r>
      <w:r>
        <w:rPr>
          <w:rStyle w:val="Style1Char"/>
          <w:rFonts w:hint="cs"/>
          <w:rtl/>
        </w:rPr>
        <w:t xml:space="preserve">] </w:t>
      </w:r>
      <w:r w:rsidRPr="00B6235F">
        <w:rPr>
          <w:rStyle w:val="Style1Char"/>
          <w:rtl/>
        </w:rPr>
        <w:t>הממאנת אינה צריכה להמתין לא גזרו אלא בגרושה, וכן המזנה אינה צריכה להמתין מפני שהיא משמרת עצמה שלא תתעבר, וכן אנוסה ומפותה אינן צריכות להמתין.</w:t>
      </w:r>
    </w:p>
    <w:p w14:paraId="11FEB974" w14:textId="77777777" w:rsidR="00127B78" w:rsidRDefault="00127B78" w:rsidP="00127B78">
      <w:pPr>
        <w:pStyle w:val="Style1"/>
        <w:rPr>
          <w:rtl/>
        </w:rPr>
      </w:pPr>
      <w:r>
        <w:rPr>
          <w:rStyle w:val="Style1Char"/>
          <w:rFonts w:hint="cs"/>
          <w:rtl/>
        </w:rPr>
        <w:t>1)[</w:t>
      </w:r>
      <w:r w:rsidRPr="00831757">
        <w:rPr>
          <w:rStyle w:val="Style1Char"/>
          <w:rtl/>
        </w:rPr>
        <w:t>שולחן ערוך אבן העזר הלכות אישות סימן יג סעיף ה</w:t>
      </w:r>
      <w:r>
        <w:rPr>
          <w:rStyle w:val="Style1Char"/>
          <w:rFonts w:hint="cs"/>
          <w:rtl/>
        </w:rPr>
        <w:t xml:space="preserve">] </w:t>
      </w:r>
      <w:r w:rsidRPr="00DA0229">
        <w:rPr>
          <w:rtl/>
        </w:rPr>
        <w:t>שפחה וגיורת שהיו נשואות לבעלים בגיותן ובעבדותן, ונתגיירו או נשתחררו, צריכות להמתין, ואפילו גר ואשתו שנתגיירו מפרישין אותם צ' יום כדי להבחין בין זרע הנזרע בקדושה לזרע שנזרע שלא בקדושה</w:t>
      </w:r>
      <w:r w:rsidRPr="00DA0229">
        <w:t>:</w:t>
      </w:r>
    </w:p>
    <w:p w14:paraId="741D6297" w14:textId="77777777" w:rsidR="00127B78" w:rsidRPr="00795BE5" w:rsidRDefault="00127B78" w:rsidP="00127B78">
      <w:pPr>
        <w:pStyle w:val="Style1"/>
      </w:pPr>
      <w:r>
        <w:rPr>
          <w:rStyle w:val="Style1Char"/>
          <w:rFonts w:hint="cs"/>
          <w:rtl/>
        </w:rPr>
        <w:t>1)[</w:t>
      </w:r>
      <w:r w:rsidRPr="00026318">
        <w:rPr>
          <w:rStyle w:val="Style1Char"/>
          <w:rtl/>
        </w:rPr>
        <w:t>שולחן ערוך אבן העזר הלכות אישות סימן יג סעיף ו</w:t>
      </w:r>
      <w:r>
        <w:rPr>
          <w:rStyle w:val="Style1Char"/>
          <w:rFonts w:hint="cs"/>
          <w:rtl/>
        </w:rPr>
        <w:t xml:space="preserve">] </w:t>
      </w:r>
      <w:r w:rsidRPr="00795BE5">
        <w:rPr>
          <w:rtl/>
        </w:rPr>
        <w:t>הממאנת אינה צריכה להמתין, לא גזרו אלא בגרושה. וכן המזנה אינה צריכה להמתין, מפני שמהפכת עצמה בשעת תשמיש כדי שלא תתעבר. וכן אנוסה ומפותה אינן צריכות להמתין, והוא הדין לשבויה, אפילו היא גדולה</w:t>
      </w:r>
      <w:r w:rsidRPr="00795BE5">
        <w:t>:</w:t>
      </w:r>
    </w:p>
    <w:p w14:paraId="265C37B0" w14:textId="77777777" w:rsidR="00127B78" w:rsidRPr="00795BE5" w:rsidRDefault="00127B78" w:rsidP="00127B78">
      <w:pPr>
        <w:pStyle w:val="Style1"/>
      </w:pPr>
      <w:r w:rsidRPr="00795BE5">
        <w:rPr>
          <w:rFonts w:hint="cs"/>
          <w:rtl/>
        </w:rPr>
        <w:t>הגה</w:t>
      </w:r>
      <w:r w:rsidRPr="00795BE5">
        <w:rPr>
          <w:rFonts w:hint="cs"/>
        </w:rPr>
        <w:t>: </w:t>
      </w:r>
      <w:r w:rsidRPr="00795BE5">
        <w:rPr>
          <w:rFonts w:hint="cs"/>
          <w:rtl/>
        </w:rPr>
        <w:t>ויש אומרים דכל אלו צריכין להמתין אם הם גדולות וראויות להתעבר (טור). אשה שנאנסה תחת בעלה, אם לא נבעלה לבעלה תחילה צריכה להמתין (א"ז)</w:t>
      </w:r>
      <w:r w:rsidRPr="00795BE5">
        <w:t>:</w:t>
      </w:r>
    </w:p>
    <w:p w14:paraId="3AD12617" w14:textId="77777777" w:rsidR="00127B78" w:rsidRPr="00795BE5" w:rsidRDefault="00127B78" w:rsidP="00127B78">
      <w:pPr>
        <w:pStyle w:val="Style1"/>
        <w:rPr>
          <w:rStyle w:val="Style1Char"/>
        </w:rPr>
      </w:pPr>
    </w:p>
    <w:p w14:paraId="04AF2151" w14:textId="77777777" w:rsidR="00127B78" w:rsidRPr="00DA0229" w:rsidRDefault="00127B78" w:rsidP="00127B78">
      <w:pPr>
        <w:pStyle w:val="Style1"/>
        <w:rPr>
          <w:rStyle w:val="Style1Char"/>
        </w:rPr>
      </w:pPr>
    </w:p>
    <w:p w14:paraId="4D9DD58D" w14:textId="77777777" w:rsidR="00127B78" w:rsidRPr="00DA0229" w:rsidRDefault="00127B78" w:rsidP="00127B78">
      <w:pPr>
        <w:pStyle w:val="Style1"/>
        <w:rPr>
          <w:rStyle w:val="Style1Char"/>
          <w:rtl/>
        </w:rPr>
      </w:pPr>
    </w:p>
    <w:p w14:paraId="3B1653BF" w14:textId="77777777" w:rsidR="00127B78" w:rsidRDefault="00127B78" w:rsidP="00127B78">
      <w:pPr>
        <w:rPr>
          <w:rStyle w:val="Style1Char"/>
          <w:color w:val="00B050"/>
          <w:rtl/>
        </w:rPr>
      </w:pPr>
      <w:r>
        <w:rPr>
          <w:rStyle w:val="Style1Char"/>
          <w:color w:val="00B050"/>
          <w:rtl/>
        </w:rPr>
        <w:br w:type="page"/>
      </w:r>
    </w:p>
    <w:p w14:paraId="629791D6" w14:textId="77777777" w:rsidR="00127B78" w:rsidRDefault="00127B78" w:rsidP="00127B78">
      <w:pPr>
        <w:bidi/>
        <w:rPr>
          <w:rStyle w:val="Style1Char"/>
          <w:color w:val="00B050"/>
          <w:rtl/>
        </w:rPr>
      </w:pPr>
      <w:r w:rsidRPr="009D1408">
        <w:rPr>
          <w:rStyle w:val="Style1Char"/>
          <w:color w:val="00B050"/>
          <w:sz w:val="22"/>
          <w:szCs w:val="22"/>
          <w:highlight w:val="yellow"/>
          <w:rtl/>
        </w:rPr>
        <w:lastRenderedPageBreak/>
        <w:t>[דף לז עמוד ב]</w:t>
      </w:r>
      <w:r w:rsidRPr="009D1408">
        <w:rPr>
          <w:rStyle w:val="Style1Char"/>
          <w:color w:val="00B050"/>
          <w:sz w:val="22"/>
          <w:szCs w:val="22"/>
          <w:rtl/>
        </w:rPr>
        <w:t xml:space="preserve"> </w:t>
      </w:r>
      <w:r w:rsidRPr="00B32DE1">
        <w:rPr>
          <w:rStyle w:val="Style1Char"/>
          <w:color w:val="00B050"/>
          <w:rtl/>
        </w:rPr>
        <w:t xml:space="preserve">וחדא במיתה ומלקות; וצריכא, דאי אשמעינן מיתה וממון, משום דחדא בגופיה וחדא בממוניה לא עבדינן, אבל במיתה ומלקות דאידי ואידי בגופיה - אימא מיתה אריכתא היא ונעביד ביה; ואי אשמעינן מיתה ומלקות, דתרתי בגופיה לא עבדינן, אבל מיתה וממון דחדא בגופיה וחדא בממוניה - אימא נעביד ביה, צריכא. ולא תקחו כופר לנפש רוצח למה לי? דאמר רחמנא: </w:t>
      </w:r>
      <w:r>
        <w:rPr>
          <w:rStyle w:val="Style1Char"/>
          <w:rFonts w:hint="cs"/>
          <w:rtl/>
        </w:rPr>
        <w:t>(1)</w:t>
      </w:r>
      <w:r w:rsidRPr="00B32DE1">
        <w:rPr>
          <w:rStyle w:val="Style1Char"/>
          <w:color w:val="00B050"/>
          <w:rtl/>
        </w:rPr>
        <w:t xml:space="preserve">לא תשקול ממונא מיניה ותפטריה מקטלא. לא תקחו כופר לנוס אל עיר מקלטו למה לי? </w:t>
      </w:r>
      <w:r>
        <w:rPr>
          <w:rStyle w:val="Style1Char"/>
          <w:rFonts w:hint="cs"/>
          <w:rtl/>
        </w:rPr>
        <w:t>(2)</w:t>
      </w:r>
      <w:r w:rsidRPr="00B32DE1">
        <w:rPr>
          <w:rStyle w:val="Style1Char"/>
          <w:color w:val="00B050"/>
          <w:rtl/>
        </w:rPr>
        <w:t xml:space="preserve">דאמר רחמנא: לא תשקול ממונא מיניה ותפטריה מן גלות. ותרי קראי למה לי? חד בשוגג, וחד במזיד; וצריכי, דאי אשמעינן מזיד, משום דחמיר איסוריה, אבל שוגג דלא חמיר איסוריה - אימא לא; ואי אשמעינן שוגג, משום דליכא איבוד נשמה, אבל מזיד דאיכא איבוד נשמה - אימא לא, צריכא. ולארץ לא יכופר לדם אשר שופך בה כי אם בדם שופכו למה לי? מבעי ליה לכדתניא: מנין </w:t>
      </w:r>
      <w:r>
        <w:rPr>
          <w:rStyle w:val="Style1Char"/>
          <w:rFonts w:hint="cs"/>
          <w:rtl/>
        </w:rPr>
        <w:t>(3)</w:t>
      </w:r>
      <w:r w:rsidRPr="00B32DE1">
        <w:rPr>
          <w:rStyle w:val="Style1Char"/>
          <w:color w:val="00B050"/>
          <w:rtl/>
        </w:rPr>
        <w:t xml:space="preserve">שאם נתערפה עגלה ואח"כ נמצא ההורג, מנין שאין פוטרין אותו? שנאמר: ולארץ לא יכופר לדם אשר שופך בה וגו'. ואתה תבער הדם הנקי מקרבך למה לי? מיבעי ליה לכדתניא: מנין למומתים בסייף שהוא מן הצואר? ת"ל: ואתה תבער הדם הנקי מקרבך, הוקשו כל שופכי דמים לעגלה ערופה, מה להלן מן הצואר, </w:t>
      </w:r>
      <w:r>
        <w:rPr>
          <w:rStyle w:val="Style1Char"/>
          <w:rFonts w:hint="cs"/>
          <w:rtl/>
        </w:rPr>
        <w:t>(4)</w:t>
      </w:r>
      <w:r w:rsidRPr="00B32DE1">
        <w:rPr>
          <w:rStyle w:val="Style1Char"/>
          <w:color w:val="00B050"/>
          <w:rtl/>
        </w:rPr>
        <w:t xml:space="preserve">אף שופכי דמים מן הצואר. אי מה </w:t>
      </w:r>
      <w:r>
        <w:rPr>
          <w:rStyle w:val="Style1Char"/>
          <w:rFonts w:hint="cs"/>
          <w:rtl/>
        </w:rPr>
        <w:t>(5)</w:t>
      </w:r>
      <w:r w:rsidRPr="00B32DE1">
        <w:rPr>
          <w:rStyle w:val="Style1Char"/>
          <w:color w:val="00B050"/>
          <w:rtl/>
        </w:rPr>
        <w:t xml:space="preserve">להלן בקופיץ וממול עורף, אף כאן בקופיץ וממול עורף? אמר רב נחמן אמר רבה בר אבוה, אמר קרא: ואהבת לרעך כמוך, ברור לו מיתה יפה. כל חרם אשר יחרם מן האדם לא יפדה למה לי? מיבעי ליה לכדתניא: מנין ליוצא ליהרג ואמר אחד ערכו עלי, </w:t>
      </w:r>
      <w:r>
        <w:rPr>
          <w:rStyle w:val="Style1Char"/>
          <w:rFonts w:hint="cs"/>
          <w:rtl/>
        </w:rPr>
        <w:t>(6)</w:t>
      </w:r>
      <w:r w:rsidRPr="00B32DE1">
        <w:rPr>
          <w:rStyle w:val="Style1Char"/>
          <w:color w:val="00B050"/>
          <w:rtl/>
        </w:rPr>
        <w:t xml:space="preserve">מנין שלא אמר כלום? שנאמר: כל חרם אשר יחרם מן האדם לא יפדה; יכול אף קודם שנגמר דינו כן? ת"ל: מן האדם, ולא כל האדם. ולרבי חנניא בן עקביא, דאמר: נערך, מפני שדמיו קצובין, האי כל חרם מאי עביד ליה? מיבעי ליה לכדתניא; רבי ישמעאל בנו של ר' יוחנן בן ברוקה אומר: </w:t>
      </w:r>
      <w:r>
        <w:rPr>
          <w:rStyle w:val="Style1Char"/>
          <w:rFonts w:hint="cs"/>
          <w:rtl/>
        </w:rPr>
        <w:t>(7)</w:t>
      </w:r>
      <w:r w:rsidRPr="00B32DE1">
        <w:rPr>
          <w:rStyle w:val="Style1Char"/>
          <w:color w:val="00B050"/>
          <w:rtl/>
        </w:rPr>
        <w:t xml:space="preserve">לפי שמצינו למומתים בידי שמים שנותנין ממון ומתכפר להן, שנאמר: אם כופר יושת עליו, יכול אף בידי אדם כן? ת"ל: חרם מן האדם לא יפדה; ואין לי אלא מיתות חמורות שלא ניתנה שגגתן לכפרה, מיתות קלות שניתנה שגגתן לכפרה, מנין? ת"ל: כל חרם. ולא ממילא מלא תקחו כופר שמעת מינה: לא תשקול ממונא מיניה ותיפטריה? כל חרם ל"ל? אמר רמי בר חמא: איצטריך, ס"ד אמינא </w:t>
      </w:r>
    </w:p>
    <w:p w14:paraId="6BC2BB92" w14:textId="372ADA51" w:rsidR="00127B78" w:rsidRDefault="00127B78" w:rsidP="00127B78">
      <w:pPr>
        <w:pStyle w:val="Style1"/>
        <w:rPr>
          <w:rStyle w:val="Style1Char"/>
          <w:rtl/>
        </w:rPr>
      </w:pPr>
      <w:r>
        <w:rPr>
          <w:rStyle w:val="Style1Char"/>
          <w:rFonts w:hint="cs"/>
          <w:rtl/>
        </w:rPr>
        <w:t>1)[</w:t>
      </w:r>
      <w:r w:rsidRPr="002959EC">
        <w:rPr>
          <w:rStyle w:val="Style1Char"/>
          <w:rtl/>
        </w:rPr>
        <w:t>רמב</w:t>
      </w:r>
      <w:r w:rsidR="0057095E">
        <w:rPr>
          <w:rStyle w:val="Style1Char"/>
          <w:rtl/>
        </w:rPr>
        <w:t>”ם \נזקין\</w:t>
      </w:r>
      <w:r w:rsidRPr="002959EC">
        <w:rPr>
          <w:rStyle w:val="Style1Char"/>
          <w:rtl/>
        </w:rPr>
        <w:t xml:space="preserve"> הלכות רוצח ושמירת הנפש פרק א הלכה ד</w:t>
      </w:r>
      <w:r>
        <w:rPr>
          <w:rStyle w:val="Style1Char"/>
          <w:rFonts w:hint="cs"/>
          <w:rtl/>
        </w:rPr>
        <w:t xml:space="preserve">] </w:t>
      </w:r>
      <w:r w:rsidRPr="002959EC">
        <w:rPr>
          <w:rStyle w:val="Style1Char"/>
          <w:rtl/>
        </w:rPr>
        <w:t xml:space="preserve">ומוזהרין בית דין שלא ליקח כופר מן הרוצח ואפילו נתן כל ממון שבעולם ואפילו רצה גואל הדם לפטרו שאין נפשו של זה הנהרג קנין גואל הדם אלא קנין הקדוש ברוך הוא, שנאמר </w:t>
      </w:r>
      <w:r>
        <w:rPr>
          <w:rStyle w:val="Style1Char"/>
          <w:rFonts w:hint="cs"/>
          <w:rtl/>
        </w:rPr>
        <w:t>(</w:t>
      </w:r>
      <w:r w:rsidRPr="002959EC">
        <w:rPr>
          <w:rStyle w:val="Style1Char"/>
          <w:rtl/>
        </w:rPr>
        <w:t>במדבר ל"ה ל"א - ל"ג</w:t>
      </w:r>
      <w:r>
        <w:rPr>
          <w:rStyle w:val="Style1Char"/>
          <w:rFonts w:hint="cs"/>
          <w:rtl/>
        </w:rPr>
        <w:t>)</w:t>
      </w:r>
      <w:r w:rsidRPr="002959EC">
        <w:rPr>
          <w:rStyle w:val="Style1Char"/>
          <w:rtl/>
        </w:rPr>
        <w:t xml:space="preserve"> ולא תקחו כופר לנפש רוצח, ואין לך דבר שהקפידה תורה עליו כשפיכות דמים, שנאמר ולא תחניפו את הארץ, כי הדם הוא יחניף את הארץ.</w:t>
      </w:r>
    </w:p>
    <w:p w14:paraId="28A2C168" w14:textId="3F2299F9" w:rsidR="00127B78" w:rsidRDefault="00127B78" w:rsidP="00127B78">
      <w:pPr>
        <w:pStyle w:val="Style1"/>
        <w:rPr>
          <w:rStyle w:val="Style1Char"/>
          <w:rtl/>
        </w:rPr>
      </w:pPr>
      <w:r>
        <w:rPr>
          <w:rStyle w:val="Style1Char"/>
          <w:rFonts w:hint="cs"/>
          <w:rtl/>
        </w:rPr>
        <w:t>2)[</w:t>
      </w:r>
      <w:r w:rsidRPr="00291E18">
        <w:rPr>
          <w:rStyle w:val="Style1Char"/>
          <w:rtl/>
        </w:rPr>
        <w:t>רמב</w:t>
      </w:r>
      <w:r w:rsidR="0057095E">
        <w:rPr>
          <w:rStyle w:val="Style1Char"/>
          <w:rtl/>
        </w:rPr>
        <w:t>”ם \נזקין\</w:t>
      </w:r>
      <w:r w:rsidRPr="00291E18">
        <w:rPr>
          <w:rStyle w:val="Style1Char"/>
          <w:rtl/>
        </w:rPr>
        <w:t xml:space="preserve"> הלכות רוצח ושמירת הנפש פרק ה הלכה א</w:t>
      </w:r>
      <w:r>
        <w:rPr>
          <w:rStyle w:val="Style1Char"/>
          <w:rFonts w:hint="cs"/>
          <w:rtl/>
        </w:rPr>
        <w:t xml:space="preserve">] </w:t>
      </w:r>
      <w:r w:rsidRPr="00291E18">
        <w:rPr>
          <w:rStyle w:val="Style1Char"/>
          <w:rtl/>
        </w:rPr>
        <w:t xml:space="preserve">כל ההורג בשגגה גולה ממדינה שהרג בה לערי מקלט ומצות עשה להגלותו שנאמר </w:t>
      </w:r>
      <w:r>
        <w:rPr>
          <w:rStyle w:val="Style1Char"/>
          <w:rFonts w:hint="cs"/>
          <w:rtl/>
        </w:rPr>
        <w:t>(</w:t>
      </w:r>
      <w:r w:rsidRPr="00291E18">
        <w:rPr>
          <w:rStyle w:val="Style1Char"/>
          <w:rtl/>
        </w:rPr>
        <w:t>במדבר ל"ה כ"ח</w:t>
      </w:r>
      <w:r>
        <w:rPr>
          <w:rStyle w:val="Style1Char"/>
          <w:rFonts w:hint="cs"/>
          <w:rtl/>
        </w:rPr>
        <w:t>)</w:t>
      </w:r>
      <w:r w:rsidRPr="00291E18">
        <w:rPr>
          <w:rStyle w:val="Style1Char"/>
          <w:rtl/>
        </w:rPr>
        <w:t xml:space="preserve"> וישב בה עד מות הכהן הגדול, והוזהרו בית דין שלא ליקח כופר מן הרוצח בשגגה כדי לישב בעירו שנאמר </w:t>
      </w:r>
      <w:r>
        <w:rPr>
          <w:rStyle w:val="Style1Char"/>
          <w:rFonts w:hint="cs"/>
          <w:rtl/>
        </w:rPr>
        <w:t>(</w:t>
      </w:r>
      <w:r w:rsidRPr="00291E18">
        <w:rPr>
          <w:rStyle w:val="Style1Char"/>
          <w:rtl/>
        </w:rPr>
        <w:t>במדבר ל"ה כ"ה</w:t>
      </w:r>
      <w:r>
        <w:rPr>
          <w:rStyle w:val="Style1Char"/>
          <w:rFonts w:hint="cs"/>
          <w:rtl/>
        </w:rPr>
        <w:t>)</w:t>
      </w:r>
      <w:r w:rsidRPr="00291E18">
        <w:rPr>
          <w:rStyle w:val="Style1Char"/>
          <w:rtl/>
        </w:rPr>
        <w:t xml:space="preserve"> ולא תקחו כופר לנוס אל עיר מקלטו.</w:t>
      </w:r>
    </w:p>
    <w:p w14:paraId="06E285E1" w14:textId="34E8B58D" w:rsidR="00127B78" w:rsidRDefault="00127B78" w:rsidP="00127B78">
      <w:pPr>
        <w:pStyle w:val="Style1"/>
        <w:rPr>
          <w:rStyle w:val="Style1Char"/>
          <w:rtl/>
        </w:rPr>
      </w:pPr>
      <w:r>
        <w:rPr>
          <w:rStyle w:val="Style1Char"/>
          <w:rFonts w:hint="cs"/>
          <w:rtl/>
        </w:rPr>
        <w:t>3)[</w:t>
      </w:r>
      <w:r w:rsidRPr="00E94E3E">
        <w:rPr>
          <w:rStyle w:val="Style1Char"/>
          <w:rtl/>
        </w:rPr>
        <w:t>רמב</w:t>
      </w:r>
      <w:r w:rsidR="0057095E">
        <w:rPr>
          <w:rStyle w:val="Style1Char"/>
          <w:rtl/>
        </w:rPr>
        <w:t>”ם \נזקין\</w:t>
      </w:r>
      <w:r w:rsidRPr="00E94E3E">
        <w:rPr>
          <w:rStyle w:val="Style1Char"/>
          <w:rtl/>
        </w:rPr>
        <w:t xml:space="preserve"> הלכות רוצח ושמירת הנפש פרק י הלכה ח</w:t>
      </w:r>
      <w:r>
        <w:rPr>
          <w:rStyle w:val="Style1Char"/>
          <w:rFonts w:hint="cs"/>
          <w:rtl/>
        </w:rPr>
        <w:t xml:space="preserve">] </w:t>
      </w:r>
      <w:r w:rsidRPr="00E94E3E">
        <w:rPr>
          <w:rStyle w:val="Style1Char"/>
          <w:rtl/>
        </w:rPr>
        <w:t xml:space="preserve">נמצא ההורג עד שלא תערף העגלה תצא ותרעה בעדר, נמצא אחר שנערפה תקבר במקומה, שעל הספק באה מתחילתה, כפרה ספיקה והלכה לה, ואף על פי שנמצא הרוצח אחר עריפתה הרי זה יהרג שנ' </w:t>
      </w:r>
      <w:r>
        <w:rPr>
          <w:rStyle w:val="Style1Char"/>
          <w:rFonts w:hint="cs"/>
          <w:rtl/>
        </w:rPr>
        <w:t>(</w:t>
      </w:r>
      <w:r w:rsidRPr="00E94E3E">
        <w:rPr>
          <w:rStyle w:val="Style1Char"/>
          <w:rtl/>
        </w:rPr>
        <w:t>דברים כ"א ט'</w:t>
      </w:r>
      <w:r>
        <w:rPr>
          <w:rStyle w:val="Style1Char"/>
          <w:rFonts w:hint="cs"/>
          <w:rtl/>
        </w:rPr>
        <w:t>)</w:t>
      </w:r>
      <w:r w:rsidRPr="00E94E3E">
        <w:rPr>
          <w:rStyle w:val="Style1Char"/>
          <w:rtl/>
        </w:rPr>
        <w:t xml:space="preserve"> ואתה תבער הדם הנקי מקרבך.</w:t>
      </w:r>
    </w:p>
    <w:p w14:paraId="3B36CD13" w14:textId="39F2EDB9" w:rsidR="00127B78" w:rsidRDefault="00127B78" w:rsidP="00127B78">
      <w:pPr>
        <w:pStyle w:val="Style1"/>
        <w:rPr>
          <w:rStyle w:val="Style1Char"/>
          <w:rtl/>
        </w:rPr>
      </w:pPr>
      <w:r>
        <w:rPr>
          <w:rStyle w:val="Style1Char"/>
          <w:rFonts w:hint="cs"/>
          <w:rtl/>
        </w:rPr>
        <w:t>4)[</w:t>
      </w:r>
      <w:r w:rsidRPr="00092939">
        <w:rPr>
          <w:rStyle w:val="Style1Char"/>
          <w:rtl/>
        </w:rPr>
        <w:t>רמב</w:t>
      </w:r>
      <w:r w:rsidR="005258D6">
        <w:rPr>
          <w:rStyle w:val="Style1Char"/>
          <w:rtl/>
        </w:rPr>
        <w:t>”</w:t>
      </w:r>
      <w:r w:rsidRPr="00092939">
        <w:rPr>
          <w:rStyle w:val="Style1Char"/>
          <w:rtl/>
        </w:rPr>
        <w:t>ם</w:t>
      </w:r>
      <w:r w:rsidR="005258D6">
        <w:rPr>
          <w:rStyle w:val="Style1Char"/>
          <w:rtl/>
        </w:rPr>
        <w:t xml:space="preserve">\שופטים\ </w:t>
      </w:r>
      <w:r w:rsidRPr="00092939">
        <w:rPr>
          <w:rStyle w:val="Style1Char"/>
          <w:rtl/>
        </w:rPr>
        <w:t xml:space="preserve"> הלכות סנהדרין פרק טו הלכה ד</w:t>
      </w:r>
      <w:r>
        <w:rPr>
          <w:rStyle w:val="Style1Char"/>
          <w:rFonts w:hint="cs"/>
          <w:rtl/>
        </w:rPr>
        <w:t xml:space="preserve">] </w:t>
      </w:r>
      <w:r w:rsidRPr="00092939">
        <w:rPr>
          <w:rStyle w:val="Style1Char"/>
          <w:rtl/>
        </w:rPr>
        <w:t>מצות הנהרגין מתיזין את ראשו בסייף כדרך שהמלכים עושים.</w:t>
      </w:r>
    </w:p>
    <w:p w14:paraId="40661E8E" w14:textId="6168ACDE" w:rsidR="00127B78" w:rsidRDefault="00127B78" w:rsidP="00127B78">
      <w:pPr>
        <w:pStyle w:val="Style1"/>
        <w:rPr>
          <w:rStyle w:val="Style1Char"/>
          <w:rtl/>
        </w:rPr>
      </w:pPr>
      <w:r>
        <w:rPr>
          <w:rStyle w:val="Style1Char"/>
          <w:rFonts w:hint="cs"/>
          <w:rtl/>
        </w:rPr>
        <w:t>5)[</w:t>
      </w:r>
      <w:r w:rsidRPr="00092939">
        <w:rPr>
          <w:rStyle w:val="Style1Char"/>
          <w:rtl/>
        </w:rPr>
        <w:t>רמב</w:t>
      </w:r>
      <w:r w:rsidR="0057095E">
        <w:rPr>
          <w:rStyle w:val="Style1Char"/>
          <w:rtl/>
        </w:rPr>
        <w:t>”ם \נזקין\</w:t>
      </w:r>
      <w:r w:rsidRPr="00092939">
        <w:rPr>
          <w:rStyle w:val="Style1Char"/>
          <w:rtl/>
        </w:rPr>
        <w:t xml:space="preserve"> הלכות רוצח ושמירת הנפש פרק ט הלכה ג</w:t>
      </w:r>
      <w:r>
        <w:rPr>
          <w:rStyle w:val="Style1Char"/>
          <w:rFonts w:hint="cs"/>
          <w:rtl/>
        </w:rPr>
        <w:t xml:space="preserve">] </w:t>
      </w:r>
      <w:r w:rsidRPr="00092939">
        <w:rPr>
          <w:rStyle w:val="Style1Char"/>
          <w:rtl/>
        </w:rPr>
        <w:t>ועורפין אותה שם בקופיץ מאחריה, ובית דין של אותה העיר עם כל זקני העיר אפילו הם מאה הכל רוחצין את ידיהן שם במקום עריפתה של עגלה. ואומרים שם בתוך הנחל בלשון הקודש ידינו לא שפכה את הדם הזה ועינינו לא ראו, כלומר שלא בא לידינו הנהרג הזה ופטרנוהו בלא מזונות ולא ראינוהו והנחנוהו בלא לויה, והכהנים אומרים בלשון הקודש כפר לעמך ישראל אשר פדית ה' ואל תתן דם נקי בקרב עמך ישראל, והולכין להן, והקב"ה מכפר על הדם שנ' ונכפר להם הדם.</w:t>
      </w:r>
    </w:p>
    <w:p w14:paraId="28AF0075" w14:textId="51A89B39" w:rsidR="00127B78" w:rsidRDefault="00127B78" w:rsidP="00127B78">
      <w:pPr>
        <w:pStyle w:val="Style1"/>
        <w:rPr>
          <w:rStyle w:val="Style1Char"/>
          <w:rtl/>
        </w:rPr>
      </w:pPr>
      <w:r>
        <w:rPr>
          <w:rStyle w:val="Style1Char"/>
          <w:rFonts w:hint="cs"/>
          <w:rtl/>
        </w:rPr>
        <w:t>6)[</w:t>
      </w:r>
      <w:r w:rsidRPr="00EE3624">
        <w:rPr>
          <w:rStyle w:val="Style1Char"/>
          <w:rtl/>
        </w:rPr>
        <w:t>רמב</w:t>
      </w:r>
      <w:r w:rsidR="005258D6">
        <w:rPr>
          <w:rStyle w:val="Style1Char"/>
          <w:rtl/>
        </w:rPr>
        <w:t>”ם \הפלאה\</w:t>
      </w:r>
      <w:r w:rsidRPr="00EE3624">
        <w:rPr>
          <w:rStyle w:val="Style1Char"/>
          <w:rtl/>
        </w:rPr>
        <w:t xml:space="preserve"> הלכות ערכין וחרמין פרק א הלכה יג</w:t>
      </w:r>
      <w:r>
        <w:rPr>
          <w:rStyle w:val="Style1Char"/>
          <w:rFonts w:hint="cs"/>
          <w:rtl/>
        </w:rPr>
        <w:t xml:space="preserve">] </w:t>
      </w:r>
      <w:r w:rsidRPr="00EE3624">
        <w:rPr>
          <w:rStyle w:val="Style1Char"/>
          <w:rtl/>
        </w:rPr>
        <w:t>הגוסס אין לו לא ערך ולא דמים הואיל ורוב הגוססין למיתה הרי הוא כמת, וכן מי שנגמר דינו בבית דין של ישראל להורגו על עבירה שעבר והעריכו אחר או שהעריך עצמו או שאמר דמי עלי או שאמר אחר דמי זה עלי אינו חייב כלום שזה כמת הוא והמת אין לו ערך ולא דמים, ועל זה נאמר כל חרם אשר יחרם מן האדם לא יפדה כלומר אין לו פדיון אלא הרי הוא כמת.</w:t>
      </w:r>
    </w:p>
    <w:p w14:paraId="5CB15E4C" w14:textId="06B1D86F" w:rsidR="00127B78" w:rsidRPr="002959EC" w:rsidRDefault="00127B78" w:rsidP="00127B78">
      <w:pPr>
        <w:pStyle w:val="Style1"/>
        <w:rPr>
          <w:rStyle w:val="Style1Char"/>
          <w:rtl/>
        </w:rPr>
      </w:pPr>
      <w:r>
        <w:rPr>
          <w:rStyle w:val="Style1Char"/>
          <w:rFonts w:hint="cs"/>
          <w:rtl/>
        </w:rPr>
        <w:t>7)[</w:t>
      </w:r>
      <w:r w:rsidRPr="00A74085">
        <w:rPr>
          <w:rStyle w:val="Style1Char"/>
          <w:rtl/>
        </w:rPr>
        <w:t>רמב</w:t>
      </w:r>
      <w:r w:rsidR="00EC109D">
        <w:rPr>
          <w:rStyle w:val="Style1Char"/>
          <w:rtl/>
        </w:rPr>
        <w:t>”ם \נזיקין\</w:t>
      </w:r>
      <w:r w:rsidRPr="00A74085">
        <w:rPr>
          <w:rStyle w:val="Style1Char"/>
          <w:rtl/>
        </w:rPr>
        <w:t xml:space="preserve"> הלכות נזקי ממון פרק י הלכה ד</w:t>
      </w:r>
      <w:r>
        <w:rPr>
          <w:rStyle w:val="Style1Char"/>
          <w:rFonts w:hint="cs"/>
          <w:rtl/>
        </w:rPr>
        <w:t xml:space="preserve">] </w:t>
      </w:r>
      <w:r w:rsidRPr="00A74085">
        <w:rPr>
          <w:rStyle w:val="Style1Char"/>
          <w:rtl/>
        </w:rPr>
        <w:t xml:space="preserve">זה שנאמר בתורה </w:t>
      </w:r>
      <w:r>
        <w:rPr>
          <w:rStyle w:val="Style1Char"/>
          <w:rFonts w:hint="cs"/>
          <w:rtl/>
        </w:rPr>
        <w:t>(</w:t>
      </w:r>
      <w:r w:rsidRPr="00A74085">
        <w:rPr>
          <w:rStyle w:val="Style1Char"/>
          <w:rtl/>
        </w:rPr>
        <w:t>שמות כ"א כ"ט</w:t>
      </w:r>
      <w:r>
        <w:rPr>
          <w:rStyle w:val="Style1Char"/>
          <w:rFonts w:hint="cs"/>
          <w:rtl/>
        </w:rPr>
        <w:t>)</w:t>
      </w:r>
      <w:r w:rsidRPr="00A74085">
        <w:rPr>
          <w:rStyle w:val="Style1Char"/>
          <w:rtl/>
        </w:rPr>
        <w:t xml:space="preserve"> וגם בעליו יומת מפי השמועה למדו שחיוב מיתה זו בידי שמים ואם נתן כופר הנהרג נתכפר לו, ואף על פי שהכופר כפרה הוא ממשכנין את מי שנתחייב בכופר בעל כרחו.</w:t>
      </w:r>
    </w:p>
    <w:p w14:paraId="1B7B62A0" w14:textId="77777777" w:rsidR="00127B78" w:rsidRDefault="00127B78" w:rsidP="00127B78">
      <w:pPr>
        <w:rPr>
          <w:rStyle w:val="Style1Char"/>
          <w:color w:val="00B050"/>
          <w:rtl/>
        </w:rPr>
      </w:pPr>
      <w:r>
        <w:rPr>
          <w:rStyle w:val="Style1Char"/>
          <w:color w:val="00B050"/>
          <w:rtl/>
        </w:rPr>
        <w:br w:type="page"/>
      </w:r>
    </w:p>
    <w:p w14:paraId="678365DF" w14:textId="77777777" w:rsidR="00127B78" w:rsidRPr="00B32DE1" w:rsidRDefault="00127B78" w:rsidP="00127B78">
      <w:pPr>
        <w:bidi/>
        <w:rPr>
          <w:rStyle w:val="Style1Char"/>
          <w:color w:val="00B050"/>
        </w:rPr>
      </w:pPr>
      <w:r w:rsidRPr="009D1408">
        <w:rPr>
          <w:rStyle w:val="Style1Char"/>
          <w:color w:val="00B050"/>
          <w:sz w:val="22"/>
          <w:szCs w:val="22"/>
          <w:highlight w:val="yellow"/>
          <w:rtl/>
        </w:rPr>
        <w:lastRenderedPageBreak/>
        <w:t>[דף לח עמוד א]</w:t>
      </w:r>
      <w:r w:rsidRPr="009D1408">
        <w:rPr>
          <w:rStyle w:val="Style1Char"/>
          <w:color w:val="00B050"/>
          <w:sz w:val="22"/>
          <w:szCs w:val="22"/>
          <w:rtl/>
        </w:rPr>
        <w:t xml:space="preserve"> </w:t>
      </w:r>
      <w:r w:rsidRPr="00B32DE1">
        <w:rPr>
          <w:rStyle w:val="Style1Char"/>
          <w:color w:val="00B050"/>
          <w:rtl/>
        </w:rPr>
        <w:t xml:space="preserve">הני מילי היכא דהרגו דרך עלייה, </w:t>
      </w:r>
      <w:r>
        <w:rPr>
          <w:rStyle w:val="Style1Char"/>
          <w:rFonts w:hint="cs"/>
          <w:rtl/>
        </w:rPr>
        <w:t>(1)</w:t>
      </w:r>
      <w:r w:rsidRPr="00B32DE1">
        <w:rPr>
          <w:rStyle w:val="Style1Char"/>
          <w:color w:val="00B050"/>
          <w:rtl/>
        </w:rPr>
        <w:t xml:space="preserve">שלא ניתנה שגגתו לכפרה, אבל הרגו דרך ירידה דניתנה שגגתו לכפרה - אימא נישקול ממונא מיניה וניפטריה, קמ"ל. א"ל רבא: הא מדתנא דבי חזקיה נפקא! דתנא דבי חזקיה: מכה אדם ומכה בהמה, מה מכה בהמה - לא חלקת בו בין שוגג למזיד, בין מתכוין לשאין מתכוין, בין דרך ירידה לדרך עלייה, לפוטרו ממון אלא לחייבו ממון, אף מכה אדם - לא תחלוק בו בין שוגג למזיד, בין מתכוין לשאין מתכוין, בין דרך ירידה לדרך עליה, לחייבו ממון אלא לפוטרו ממון! אלא אמר רמי בר חמא: איצטריך, ס"ד אמינא ה"מ היכא דסימא את עינו והרגו בה, אבל היכא דסימא את עינו והרגו בדבר אחר - אימא נישקול ממונא מיניה. א"ל רבא: הא נמי מאידך תנא דבי חזקיה נפקא! דתנא דבי חזקיה: עין תחת עין - </w:t>
      </w:r>
      <w:r>
        <w:rPr>
          <w:rStyle w:val="Style1Char"/>
          <w:rFonts w:hint="cs"/>
          <w:rtl/>
        </w:rPr>
        <w:t>(2)</w:t>
      </w:r>
      <w:r w:rsidRPr="00B32DE1">
        <w:rPr>
          <w:rStyle w:val="Style1Char"/>
          <w:color w:val="00B050"/>
          <w:rtl/>
        </w:rPr>
        <w:t xml:space="preserve">ולא עין ונפש תחת עין! אלא אמר רב אשי: איצטריך, ס"ד אמינא הואיל וחידוש הוא שחידשה תורה בקנס, אף על גב דמיקטיל - משלם, קמ"ל. ולרבה, דאמר: חידוש הוא שחידשה תורה בקנס, אף על גב דמיקטיל - משלם, האי כל חרם מאי עביד ליה? סבר לה כתנא קמא דר' חנניא בן עקביא. </w:t>
      </w:r>
    </w:p>
    <w:p w14:paraId="36E7FC5F" w14:textId="77777777" w:rsidR="00127B78" w:rsidRPr="00031255" w:rsidRDefault="00127B78" w:rsidP="00127B78">
      <w:pPr>
        <w:bidi/>
        <w:rPr>
          <w:rStyle w:val="Style1Char"/>
          <w:color w:val="auto"/>
          <w:sz w:val="22"/>
          <w:szCs w:val="22"/>
        </w:rPr>
      </w:pPr>
      <w:r w:rsidRPr="00031255">
        <w:rPr>
          <w:rStyle w:val="Style1Char"/>
          <w:color w:val="auto"/>
          <w:sz w:val="22"/>
          <w:szCs w:val="22"/>
          <w:rtl/>
        </w:rPr>
        <w:t xml:space="preserve">מתני'. נערה שנתארסה ונתגרשה - רבי יוסי הגלילי אומר: אין לה קנס, ר"ע אומר: </w:t>
      </w:r>
      <w:r>
        <w:rPr>
          <w:rStyle w:val="Style1Char"/>
          <w:rFonts w:hint="cs"/>
          <w:rtl/>
        </w:rPr>
        <w:t>(3)</w:t>
      </w:r>
      <w:r w:rsidRPr="00031255">
        <w:rPr>
          <w:rStyle w:val="Style1Char"/>
          <w:color w:val="auto"/>
          <w:sz w:val="22"/>
          <w:szCs w:val="22"/>
          <w:rtl/>
        </w:rPr>
        <w:t xml:space="preserve">יש לה קנס וקנסה לעצמה. </w:t>
      </w:r>
    </w:p>
    <w:p w14:paraId="7CC9929D" w14:textId="77777777" w:rsidR="00127B78" w:rsidRPr="00417841" w:rsidRDefault="00127B78" w:rsidP="00127B78">
      <w:pPr>
        <w:bidi/>
        <w:rPr>
          <w:rStyle w:val="Style1Char"/>
          <w:color w:val="4472C4" w:themeColor="accent1"/>
        </w:rPr>
      </w:pPr>
      <w:r w:rsidRPr="00E5254D">
        <w:rPr>
          <w:rStyle w:val="Style1Char"/>
          <w:sz w:val="22"/>
          <w:szCs w:val="22"/>
          <w:rtl/>
        </w:rPr>
        <w:t xml:space="preserve">גמ'. </w:t>
      </w:r>
      <w:r w:rsidRPr="00031255">
        <w:rPr>
          <w:rStyle w:val="Style1Char"/>
          <w:color w:val="806000" w:themeColor="accent4" w:themeShade="80"/>
          <w:sz w:val="22"/>
          <w:szCs w:val="22"/>
          <w:rtl/>
        </w:rPr>
        <w:t>והלכה כר"ע דקיימא לן הלכה כרבי עקיבא מחברו:</w:t>
      </w:r>
      <w:r w:rsidRPr="00E5254D">
        <w:rPr>
          <w:rStyle w:val="Style1Char"/>
          <w:color w:val="C00000"/>
          <w:sz w:val="22"/>
          <w:szCs w:val="22"/>
          <w:rtl/>
        </w:rPr>
        <w:t xml:space="preserve"> </w:t>
      </w:r>
      <w:r w:rsidRPr="00417841">
        <w:rPr>
          <w:rStyle w:val="Style1Char"/>
          <w:color w:val="4472C4" w:themeColor="accent1"/>
          <w:rtl/>
        </w:rPr>
        <w:t>ועוד דלקמן במתני' דיתומה שנתארסה ונתגרשה סבר ר' אלעזר כר"ע ופסק רב הלכה כר"א. והרמב"ם ז"ל (פ"ב מהל' נערה) כתב דקנס לבד לעצמה אבל בושתה ופגמה לאביה ואפשר דטעמיה מהא דאמרי' לקמן (דף מ ב) על בושת ופגם ואימא לדידה ומסיק דבושת ופגם לאביה משום דאי בעי מסר לה למנוול ולמוכה שחין והאי טעמא שייך נמי כשנתארסה ונתגרשה וקרא דלא אורשה לא קאי אלא אקנסא דכתיב בקרא אבל בושת ופגם יליף מדכתיב ונתן האיש השוכב עמה וכו' הנאת שכיבה חמשים מכלל דאיכא בושת ופגם כמו בשאר חבלות אבל בהאי קרא לא כתיבי ומיהו נראה דגם בושתה ופגמה לעצמה מדקאמר ר"א ביתומה ונתארסה ונתגרשה המפתה פטור ואם איתא דבושתה ופגמה לאביה לא ה"ל למיתני דמפתה פטור בסתם כיון דחייב בבושת ופגם והיינו טעמא משום דלענין גביית האב יש לבושת ופגם דין קנס משום דאיתקוש לקנס דכתיב ונתן לאבי הנערה חמשים כסף ולו תהיה לאשה תחת אשר ענה</w:t>
      </w:r>
      <w:r>
        <w:rPr>
          <w:rStyle w:val="Style1Char"/>
          <w:rFonts w:hint="cs"/>
          <w:color w:val="4472C4" w:themeColor="accent1"/>
        </w:rPr>
        <w:t>‍</w:t>
      </w:r>
      <w:r w:rsidRPr="00417841">
        <w:rPr>
          <w:rStyle w:val="Style1Char"/>
          <w:color w:val="4472C4" w:themeColor="accent1"/>
          <w:rtl/>
        </w:rPr>
        <w:t xml:space="preserve"> ודרשינן מהאי קרא מכלל דאיכא בושת ופגם ולענין גביית האב איתקוש</w:t>
      </w:r>
      <w:r>
        <w:rPr>
          <w:rStyle w:val="Style1Char"/>
          <w:rFonts w:hint="cs"/>
          <w:color w:val="4472C4" w:themeColor="accent1"/>
        </w:rPr>
        <w:t>‍</w:t>
      </w:r>
      <w:r w:rsidRPr="00417841">
        <w:rPr>
          <w:rStyle w:val="Style1Char"/>
          <w:color w:val="4472C4" w:themeColor="accent1"/>
          <w:rtl/>
        </w:rPr>
        <w:t xml:space="preserve"> דבמקום שהקנס לאב גם הוא לאב ומהאי טעמא תנן לקמן בפ' נערה (דף מא ב) לא הספיקה לעמוד בדין עד שמת האב הרי הן של עצמה ואבושת ופגם נמי קאי מדקתני הרי הן אלמא בשת ופגם אף על גב דממונא הוי אין מורישו לבניו משום דאתקוש לקנס לענין גביית האב (דאיתקש לקנס) הלכך נתארסה ונתגרשה כיון שנתמעט האב מלא אורשה מדין קנס נתמעט נמי מדין בשת ופגם והכל לעצמה. והא דפריך הש"ס ואימא לדידה ולא אמרינן דאיתקוש לקנס פי' ר"י (דף מ ב ד"ה ואימא לדידה) דדוקא בתר דידעינן שהם לאב מקשינן להו לכל דינם לגביית האב אבל משום ההיא היקישא לא מפקינן מינה למיתבינהו לאב</w:t>
      </w:r>
      <w:r w:rsidRPr="00417841">
        <w:rPr>
          <w:rStyle w:val="Style1Char"/>
          <w:color w:val="4472C4" w:themeColor="accent1"/>
        </w:rPr>
        <w:t>:</w:t>
      </w:r>
    </w:p>
    <w:p w14:paraId="5C0A8386" w14:textId="77777777" w:rsidR="00127B78" w:rsidRDefault="00127B78" w:rsidP="00127B78">
      <w:pPr>
        <w:bidi/>
        <w:rPr>
          <w:rStyle w:val="Style1Char"/>
          <w:color w:val="00B050"/>
          <w:rtl/>
        </w:rPr>
      </w:pPr>
      <w:r w:rsidRPr="00B32DE1">
        <w:rPr>
          <w:rStyle w:val="Style1Char"/>
          <w:color w:val="00B050"/>
          <w:rtl/>
        </w:rPr>
        <w:t xml:space="preserve">מ"ט דר' יוסי הגלילי? אמר קרא: אשר לא אורשה, הא אורסה - אין לה קנס. ור"ע? אשר לא אורשה - לאביה, הא אורסה - לעצמה. אלא מעתה נערה - ולא בוגרת, ה"נ דלעצמה! בתולה - ולא בעולה, ה"נ דלעצמה! אלא לגמרי, הכא נמי לגמרי! אמר לך ר"ע, האי לא אורשה מיבעי ליה לכדתניא: אשר לא אורשה - פרט לנערה שנתארסה ונתגרשה שאין לה קנס, דברי ר' יוסי הגלילי; ר"ע אומר: יש לה קנס וקנסה לאביה, והדין נותן: הואיל ואביה זכאי בכסף קידושיה ואביה זכאי בכסף קנסה, </w:t>
      </w:r>
      <w:r>
        <w:rPr>
          <w:rStyle w:val="Style1Char"/>
          <w:rFonts w:hint="cs"/>
          <w:rtl/>
        </w:rPr>
        <w:t>(4)</w:t>
      </w:r>
      <w:r w:rsidRPr="00B32DE1">
        <w:rPr>
          <w:rStyle w:val="Style1Char"/>
          <w:color w:val="00B050"/>
          <w:rtl/>
        </w:rPr>
        <w:t>מה כסף קידושיה אף על פי שנתארסה ונתגרשה - לאביה, אף כסף קנסה אף על פי שנתארסה ונתגרשה - לאביה! א"כ, מה ת"ל אשר לא אורשה? מופנה, להקיש לו ולדון הימנו ג"ש, נאמר כאן אשר לא אורשה, ונאמר להלן אשר לא אורשה, מה כאן נ' אף להלן נ', ומה להלן שקלים אף כאן שקלים. ור"ע, מאי חזית דאשר לא אורשה לג"ש ובתולה למעוטי בעולה?</w:t>
      </w:r>
    </w:p>
    <w:p w14:paraId="1A649A80" w14:textId="6B962706" w:rsidR="00127B78" w:rsidRDefault="00127B78" w:rsidP="00127B78">
      <w:pPr>
        <w:pStyle w:val="Style1"/>
        <w:rPr>
          <w:rStyle w:val="Style1Char"/>
          <w:rtl/>
        </w:rPr>
      </w:pPr>
      <w:r>
        <w:rPr>
          <w:rStyle w:val="Style1Char"/>
          <w:rFonts w:hint="cs"/>
          <w:rtl/>
        </w:rPr>
        <w:t>1)[</w:t>
      </w:r>
      <w:r w:rsidRPr="00C11FBE">
        <w:rPr>
          <w:rStyle w:val="Style1Char"/>
          <w:rtl/>
        </w:rPr>
        <w:t>רמב</w:t>
      </w:r>
      <w:r w:rsidR="0057095E">
        <w:rPr>
          <w:rStyle w:val="Style1Char"/>
          <w:rtl/>
        </w:rPr>
        <w:t>”ם \נזקין\</w:t>
      </w:r>
      <w:r w:rsidRPr="00C11FBE">
        <w:rPr>
          <w:rStyle w:val="Style1Char"/>
          <w:rtl/>
        </w:rPr>
        <w:t xml:space="preserve"> הלכות רוצח ושמירת הנפש פרק ו הלכה יב</w:t>
      </w:r>
      <w:r>
        <w:rPr>
          <w:rStyle w:val="Style1Char"/>
          <w:rFonts w:hint="cs"/>
          <w:rtl/>
        </w:rPr>
        <w:t xml:space="preserve">] </w:t>
      </w:r>
      <w:r w:rsidRPr="00C11FBE">
        <w:rPr>
          <w:rStyle w:val="Style1Char"/>
          <w:rtl/>
        </w:rPr>
        <w:t xml:space="preserve">מי שהיה דולה את החבית להעלותה לגג ונפסק החבל ונפלה על חבירו והרגתהו או שהיה עולה בסולם ונפל על חבירו והרגו פטור מן הגלות, שזה כמו אנוס הוא שאין זה דבר הקרוב להיות ברוב העתים אלא כמו פלא הוא. אבל אם היה משלשל את החבית ונפלה על חבירו והרגתהו, היה יורד בסולם ונפל על חבירו והרגו, היה מעגל במעגלה ונפלה על חבירו והרגתהו, גולה, שנ' </w:t>
      </w:r>
      <w:r>
        <w:rPr>
          <w:rStyle w:val="Style1Char"/>
          <w:rFonts w:hint="cs"/>
          <w:rtl/>
        </w:rPr>
        <w:t>(</w:t>
      </w:r>
      <w:r w:rsidRPr="00C11FBE">
        <w:rPr>
          <w:rStyle w:val="Style1Char"/>
          <w:rtl/>
        </w:rPr>
        <w:t>במדבר ל"ה כ"ג</w:t>
      </w:r>
      <w:r>
        <w:rPr>
          <w:rStyle w:val="Style1Char"/>
          <w:rFonts w:hint="cs"/>
          <w:rtl/>
        </w:rPr>
        <w:t>)</w:t>
      </w:r>
      <w:r w:rsidRPr="00C11FBE">
        <w:rPr>
          <w:rStyle w:val="Style1Char"/>
          <w:rtl/>
        </w:rPr>
        <w:t xml:space="preserve"> ויפל עליו וימת, עד שיפול דרך נפילה, שהרי דרך נפילה מצוי ברוב העתים להזיק ודבר קרוב הוא להיות שהרי טבע הכבד לירד למטה במהרה והואיל ולא זירז עצמו ותיקן מעשיו יפה בשעת ירידה יגלה, וכן כל כיוצא בזה.</w:t>
      </w:r>
    </w:p>
    <w:p w14:paraId="2087ECC7" w14:textId="6C072DD4" w:rsidR="00127B78" w:rsidRDefault="00127B78" w:rsidP="00127B78">
      <w:pPr>
        <w:pStyle w:val="Style1"/>
        <w:rPr>
          <w:rStyle w:val="Style1Char"/>
        </w:rPr>
      </w:pPr>
      <w:r>
        <w:rPr>
          <w:rStyle w:val="Style1Char"/>
          <w:rFonts w:hint="cs"/>
          <w:rtl/>
        </w:rPr>
        <w:t>1)[</w:t>
      </w:r>
      <w:r w:rsidRPr="00065129">
        <w:rPr>
          <w:rStyle w:val="Style1Char"/>
          <w:rtl/>
        </w:rPr>
        <w:t>רמב</w:t>
      </w:r>
      <w:r w:rsidR="0057095E">
        <w:rPr>
          <w:rStyle w:val="Style1Char"/>
          <w:rtl/>
        </w:rPr>
        <w:t>”ם \נזקין\</w:t>
      </w:r>
      <w:r w:rsidRPr="00065129">
        <w:rPr>
          <w:rStyle w:val="Style1Char"/>
          <w:rtl/>
        </w:rPr>
        <w:t xml:space="preserve"> הלכות רוצח ושמירת הנפש פרק ו הלכה יג</w:t>
      </w:r>
      <w:r>
        <w:rPr>
          <w:rStyle w:val="Style1Char"/>
          <w:rFonts w:hint="cs"/>
          <w:rtl/>
        </w:rPr>
        <w:t xml:space="preserve">] </w:t>
      </w:r>
      <w:r w:rsidRPr="00065129">
        <w:rPr>
          <w:rStyle w:val="Style1Char"/>
          <w:rtl/>
        </w:rPr>
        <w:t>קצב שהיה מקצב והגביה ידו בקופיץ לאחוריו והחזירו לשבר העצם כדרך שהקצבים עושין, כל שימות בהולכה שהיא הגבהה מלפניו וירידה מאחוריו אינו גולה עליו וכל שימות בהחזרה שהיא עלייה מאחוריו וירידה מלפניו גולה, זה הכלל כל שבדרך ירידתו גולה שלא בדרך ירידתו אינו גולה, ואפילו בירידה שהיא צורך עלייה אינו גולה.</w:t>
      </w:r>
    </w:p>
    <w:p w14:paraId="199364B0" w14:textId="42902ECC" w:rsidR="00127B78" w:rsidRDefault="00127B78" w:rsidP="00127B78">
      <w:pPr>
        <w:pStyle w:val="Style1"/>
        <w:rPr>
          <w:rStyle w:val="Style1Char"/>
          <w:rtl/>
        </w:rPr>
      </w:pPr>
      <w:r>
        <w:rPr>
          <w:rStyle w:val="Style1Char"/>
        </w:rPr>
        <w:t>2</w:t>
      </w:r>
      <w:r>
        <w:rPr>
          <w:rStyle w:val="Style1Char"/>
          <w:rFonts w:hint="cs"/>
          <w:rtl/>
        </w:rPr>
        <w:t>)[</w:t>
      </w:r>
      <w:r w:rsidRPr="00905524">
        <w:rPr>
          <w:rStyle w:val="Style1Char"/>
          <w:rtl/>
        </w:rPr>
        <w:t>רמב</w:t>
      </w:r>
      <w:r w:rsidR="005258D6">
        <w:rPr>
          <w:rStyle w:val="Style1Char"/>
          <w:rtl/>
        </w:rPr>
        <w:t>”ם \נזיקין\</w:t>
      </w:r>
      <w:r w:rsidRPr="00905524">
        <w:rPr>
          <w:rStyle w:val="Style1Char"/>
          <w:rtl/>
        </w:rPr>
        <w:t xml:space="preserve"> הלכות חובל ומזיק פרק א הלכה ב</w:t>
      </w:r>
      <w:r>
        <w:rPr>
          <w:rStyle w:val="Style1Char"/>
          <w:rFonts w:hint="cs"/>
          <w:rtl/>
        </w:rPr>
        <w:t xml:space="preserve">] </w:t>
      </w:r>
      <w:r w:rsidRPr="00905524">
        <w:rPr>
          <w:rStyle w:val="Style1Char"/>
          <w:rtl/>
        </w:rPr>
        <w:t xml:space="preserve">נזק כיצד, שאם קטע יד חבירו או רגלו רואין אותו כאלו הוא עבד נמכר בשוק כמה היה יפה וכמה הוא יפה עתה ומשלם הפחת שהפחית מדמיו, שנ' </w:t>
      </w:r>
      <w:r>
        <w:rPr>
          <w:rStyle w:val="Style1Char"/>
          <w:rFonts w:hint="cs"/>
          <w:rtl/>
        </w:rPr>
        <w:t>(</w:t>
      </w:r>
      <w:r w:rsidRPr="00905524">
        <w:rPr>
          <w:rStyle w:val="Style1Char"/>
          <w:rtl/>
        </w:rPr>
        <w:t>שמות כ"א כ"ד, ויקרא כד כ</w:t>
      </w:r>
      <w:r>
        <w:rPr>
          <w:rStyle w:val="Style1Char"/>
          <w:rFonts w:hint="cs"/>
          <w:rtl/>
        </w:rPr>
        <w:t>)</w:t>
      </w:r>
      <w:r w:rsidRPr="00905524">
        <w:rPr>
          <w:rStyle w:val="Style1Char"/>
          <w:rtl/>
        </w:rPr>
        <w:t xml:space="preserve"> עין תחת עין, מפי השמועה למדו שזה שנאמר תחת לשלם ממון הוא.</w:t>
      </w:r>
    </w:p>
    <w:p w14:paraId="468A77F9" w14:textId="71CCC6EA" w:rsidR="00127B78" w:rsidRDefault="00127B78" w:rsidP="00127B78">
      <w:pPr>
        <w:pStyle w:val="Style1"/>
        <w:rPr>
          <w:rStyle w:val="Style1Char"/>
          <w:rtl/>
        </w:rPr>
      </w:pPr>
      <w:r>
        <w:rPr>
          <w:rStyle w:val="Style1Char"/>
          <w:rFonts w:hint="cs"/>
          <w:rtl/>
        </w:rPr>
        <w:t>2)[</w:t>
      </w:r>
      <w:r w:rsidRPr="005A3DB9">
        <w:rPr>
          <w:rStyle w:val="Style1Char"/>
          <w:rtl/>
        </w:rPr>
        <w:t>רמב</w:t>
      </w:r>
      <w:r w:rsidR="005258D6">
        <w:rPr>
          <w:rStyle w:val="Style1Char"/>
          <w:rtl/>
        </w:rPr>
        <w:t>”ם \נזיקין\</w:t>
      </w:r>
      <w:r w:rsidRPr="005A3DB9">
        <w:rPr>
          <w:rStyle w:val="Style1Char"/>
          <w:rtl/>
        </w:rPr>
        <w:t xml:space="preserve"> הלכות חובל ומזיק פרק א הלכה ג</w:t>
      </w:r>
      <w:r>
        <w:rPr>
          <w:rStyle w:val="Style1Char"/>
          <w:rFonts w:hint="cs"/>
          <w:rtl/>
        </w:rPr>
        <w:t xml:space="preserve">] </w:t>
      </w:r>
      <w:r w:rsidRPr="005A3DB9">
        <w:rPr>
          <w:rStyle w:val="Style1Char"/>
          <w:rtl/>
        </w:rPr>
        <w:t xml:space="preserve">זה שנאמר בתורה כאשר יתן מום באדם כן ינתן בו אינו לחבול בזה כמו שחבל בחבירו אלא שהוא ראוי לחסרו אבר או לחבול בו כמו שעשה ולפיכך משלם נזקו, והרי הוא אומר </w:t>
      </w:r>
      <w:r>
        <w:rPr>
          <w:rStyle w:val="Style1Char"/>
          <w:rFonts w:hint="cs"/>
          <w:rtl/>
        </w:rPr>
        <w:t>(</w:t>
      </w:r>
      <w:r w:rsidRPr="005A3DB9">
        <w:rPr>
          <w:rStyle w:val="Style1Char"/>
          <w:rtl/>
        </w:rPr>
        <w:t>במדבר ל"ה ל"א</w:t>
      </w:r>
      <w:r>
        <w:rPr>
          <w:rStyle w:val="Style1Char"/>
          <w:rFonts w:hint="cs"/>
          <w:rtl/>
        </w:rPr>
        <w:t>)</w:t>
      </w:r>
      <w:r w:rsidRPr="005A3DB9">
        <w:rPr>
          <w:rStyle w:val="Style1Char"/>
          <w:rtl/>
        </w:rPr>
        <w:t xml:space="preserve"> ולא תקחו כופר לנפש רוצח, לרוצח בלבד הוא שאין כופר אבל לחסרון איברים או לחבלות יש כופר.</w:t>
      </w:r>
    </w:p>
    <w:p w14:paraId="49296299" w14:textId="5DAAE785" w:rsidR="00127B78" w:rsidRDefault="00127B78" w:rsidP="00127B78">
      <w:pPr>
        <w:pStyle w:val="Style1"/>
        <w:rPr>
          <w:rStyle w:val="Style1Char"/>
          <w:rtl/>
        </w:rPr>
      </w:pPr>
      <w:r>
        <w:rPr>
          <w:rStyle w:val="Style1Char"/>
          <w:rFonts w:hint="cs"/>
          <w:rtl/>
        </w:rPr>
        <w:t>2)[</w:t>
      </w:r>
      <w:r w:rsidRPr="00BF398E">
        <w:rPr>
          <w:rStyle w:val="Style1Char"/>
          <w:rtl/>
        </w:rPr>
        <w:t>רמב</w:t>
      </w:r>
      <w:r w:rsidR="005258D6">
        <w:rPr>
          <w:rStyle w:val="Style1Char"/>
          <w:rtl/>
        </w:rPr>
        <w:t>”ם \נזיקין\</w:t>
      </w:r>
      <w:r w:rsidRPr="00BF398E">
        <w:rPr>
          <w:rStyle w:val="Style1Char"/>
          <w:rtl/>
        </w:rPr>
        <w:t xml:space="preserve"> הלכות חובל ומזיק פרק א הלכה ד</w:t>
      </w:r>
      <w:r>
        <w:rPr>
          <w:rStyle w:val="Style1Char"/>
          <w:rFonts w:hint="cs"/>
          <w:rtl/>
        </w:rPr>
        <w:t xml:space="preserve">] </w:t>
      </w:r>
      <w:r w:rsidRPr="00BF398E">
        <w:rPr>
          <w:rStyle w:val="Style1Char"/>
          <w:rtl/>
        </w:rPr>
        <w:t>וכן זה שנאמר בחובל בחבירו ומזיקו לא תחוס עינך שלא תחוס בתשלומין שמא תאמר עני הוא זה ושלא בכוונה חבל בו ארחמנו לכך נאמר לא תחוס עינך.</w:t>
      </w:r>
    </w:p>
    <w:p w14:paraId="53B86AF0" w14:textId="3BBA8873" w:rsidR="00127B78" w:rsidRDefault="00127B78" w:rsidP="00127B78">
      <w:pPr>
        <w:pStyle w:val="Style1"/>
        <w:rPr>
          <w:rStyle w:val="Style1Char"/>
          <w:rtl/>
        </w:rPr>
      </w:pPr>
      <w:r>
        <w:rPr>
          <w:rStyle w:val="Style1Char"/>
          <w:rFonts w:hint="cs"/>
          <w:rtl/>
        </w:rPr>
        <w:t>3)[</w:t>
      </w:r>
      <w:r w:rsidRPr="00E453AF">
        <w:rPr>
          <w:rStyle w:val="Style1Char"/>
          <w:rtl/>
        </w:rPr>
        <w:t>רמב</w:t>
      </w:r>
      <w:r w:rsidR="00786216">
        <w:rPr>
          <w:rStyle w:val="Style1Char"/>
          <w:rtl/>
        </w:rPr>
        <w:t>”ם \נשים\</w:t>
      </w:r>
      <w:r w:rsidRPr="00E453AF">
        <w:rPr>
          <w:rStyle w:val="Style1Char"/>
          <w:rtl/>
        </w:rPr>
        <w:t xml:space="preserve"> הלכות נערה בתולה פרק ב הלכה טז</w:t>
      </w:r>
      <w:r>
        <w:rPr>
          <w:rStyle w:val="Style1Char"/>
          <w:rFonts w:hint="cs"/>
          <w:rtl/>
        </w:rPr>
        <w:t xml:space="preserve">] </w:t>
      </w:r>
      <w:r w:rsidRPr="00E453AF">
        <w:rPr>
          <w:rStyle w:val="Style1Char"/>
          <w:rtl/>
        </w:rPr>
        <w:t>הבת שנתארסה ונתגרשה קנסה לבדו לעצמה נאנסה או נתפתתה ואחר כך נתקדשה לאחר  קנסה ושאר הדברים לאביה שאין האירוסין מוציאין מרשות האב.</w:t>
      </w:r>
    </w:p>
    <w:p w14:paraId="64EB4D7B" w14:textId="77777777" w:rsidR="00127B78" w:rsidRPr="00AE64BF" w:rsidRDefault="00127B78" w:rsidP="00127B78">
      <w:pPr>
        <w:pStyle w:val="Style1"/>
        <w:rPr>
          <w:rStyle w:val="Style1Char"/>
        </w:rPr>
      </w:pPr>
      <w:r>
        <w:rPr>
          <w:rStyle w:val="Style1Char"/>
          <w:rFonts w:hint="cs"/>
          <w:rtl/>
        </w:rPr>
        <w:t>3)[</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32084EC9"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w:t>
      </w:r>
      <w:r w:rsidRPr="00AE64BF">
        <w:rPr>
          <w:rStyle w:val="Style1Char"/>
          <w:rtl/>
        </w:rPr>
        <w:lastRenderedPageBreak/>
        <w:t xml:space="preserve">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03C34C77"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765923BB"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54BCA71B" w14:textId="2EA16D23" w:rsidR="00127B78" w:rsidRDefault="00127B78" w:rsidP="00127B78">
      <w:pPr>
        <w:pStyle w:val="Style1"/>
        <w:rPr>
          <w:rStyle w:val="Style1Char"/>
          <w:rtl/>
        </w:rPr>
      </w:pPr>
      <w:r>
        <w:rPr>
          <w:rStyle w:val="Style1Char"/>
          <w:rFonts w:hint="cs"/>
          <w:rtl/>
        </w:rPr>
        <w:t>4)[</w:t>
      </w:r>
      <w:r w:rsidRPr="00F364F8">
        <w:rPr>
          <w:rStyle w:val="Style1Char"/>
          <w:rtl/>
        </w:rPr>
        <w:t>רמב</w:t>
      </w:r>
      <w:r w:rsidR="00213DA1">
        <w:rPr>
          <w:rStyle w:val="Style1Char"/>
          <w:rtl/>
        </w:rPr>
        <w:t>”ם \נשים\</w:t>
      </w:r>
      <w:r w:rsidRPr="00F364F8">
        <w:rPr>
          <w:rStyle w:val="Style1Char"/>
          <w:rtl/>
        </w:rPr>
        <w:t xml:space="preserve"> הלכות אישות פרק ג הלכה יא</w:t>
      </w:r>
      <w:r>
        <w:rPr>
          <w:rStyle w:val="Style1Char"/>
          <w:rFonts w:hint="cs"/>
          <w:rtl/>
        </w:rPr>
        <w:t xml:space="preserve">] </w:t>
      </w:r>
      <w:r w:rsidRPr="00F364F8">
        <w:rPr>
          <w:rStyle w:val="Style1Char"/>
          <w:rtl/>
        </w:rPr>
        <w:t xml:space="preserve">האב מקדש את בתו שלא לדעתה כל זמן שהיא קטנה וכשהיא נערה רשותה בידו שנאמר </w:t>
      </w:r>
      <w:r>
        <w:rPr>
          <w:rStyle w:val="Style1Char"/>
          <w:rFonts w:hint="cs"/>
          <w:rtl/>
        </w:rPr>
        <w:t>(</w:t>
      </w:r>
      <w:r w:rsidRPr="00F364F8">
        <w:rPr>
          <w:rStyle w:val="Style1Char"/>
          <w:rtl/>
        </w:rPr>
        <w:t>דברים כ"ב</w:t>
      </w:r>
      <w:r>
        <w:rPr>
          <w:rStyle w:val="Style1Char"/>
          <w:rFonts w:hint="cs"/>
          <w:rtl/>
        </w:rPr>
        <w:t>)</w:t>
      </w:r>
      <w:r w:rsidRPr="00F364F8">
        <w:rPr>
          <w:rStyle w:val="Style1Char"/>
          <w:rtl/>
        </w:rPr>
        <w:t xml:space="preserve"> את בתי נתתי לאיש הזה, וקידושיה לאביה, וכן הוא זכאי במציאתה ובמעשה ידיה ובכתובתה ואם נתגרשה או נתאלמנה מן האירוסין הוא זכאי בכל עד שתבגור. לפיכך מקבל האב קידושי בתו מיום שתולד עד שתבגור, ואפילו היתה חרשת או שוטה וקידשה האב הרי היא אשת איש גמורה. ואם היתה בת שלש שנים ויום אחד מתקדשת בביאה מדעת אביה, פחות מכן אם קדשה אביה בביאה אינה מקודשת.</w:t>
      </w:r>
    </w:p>
    <w:p w14:paraId="64639F7B" w14:textId="77777777" w:rsidR="00127B78" w:rsidRPr="00E933A1" w:rsidRDefault="00127B78" w:rsidP="00127B78">
      <w:pPr>
        <w:pStyle w:val="Style1"/>
      </w:pPr>
      <w:r>
        <w:rPr>
          <w:rStyle w:val="Style1Char"/>
          <w:rFonts w:hint="cs"/>
          <w:rtl/>
        </w:rPr>
        <w:t>4)[</w:t>
      </w:r>
      <w:r w:rsidRPr="00255AD7">
        <w:rPr>
          <w:rStyle w:val="Style1Char"/>
          <w:rtl/>
        </w:rPr>
        <w:t>שולחן ערוך אבן העזר הלכות קידושין סימן לז סעיף א</w:t>
      </w:r>
      <w:r>
        <w:rPr>
          <w:rStyle w:val="Style1Char"/>
          <w:rFonts w:hint="cs"/>
          <w:rtl/>
        </w:rPr>
        <w:t xml:space="preserve">] </w:t>
      </w:r>
      <w:r w:rsidRPr="00E933A1">
        <w:rPr>
          <w:rtl/>
        </w:rPr>
        <w:t>האב מקדש את בתו שלא לדעתה, כל זמן שהיא קטנה. וכן כשהיא נערה, רשותה בידו וקידושיה לאביה. וכן הוא זכאי במציאתה ובמעשה ידיה ובכתובתה. אם נתאלמנה או נתגרשה מן האירוסין, הוא זכאי בכל עד שתבגר. לפיכך, מקבל האב קידושי בתו מיום שתיוולד עד שתבגר; ואפילו היתה חירשת או שוטה וקידשה האב, הרי היא אשת איש גמורה. ואם היתה בת שלש שנים ויום אחד, מתקדשת בביאה מדעת אביה. פחות מכאן, אם מסרה אביה לקידושי ביאה, אינה מקודשת</w:t>
      </w:r>
      <w:r w:rsidRPr="00E933A1">
        <w:t>.</w:t>
      </w:r>
    </w:p>
    <w:p w14:paraId="5CEA285E" w14:textId="77777777" w:rsidR="00127B78" w:rsidRPr="00E933A1" w:rsidRDefault="00127B78" w:rsidP="00127B78">
      <w:pPr>
        <w:pStyle w:val="Style1"/>
      </w:pPr>
      <w:r w:rsidRPr="00E933A1">
        <w:rPr>
          <w:rFonts w:hint="cs"/>
          <w:rtl/>
        </w:rPr>
        <w:t>הגה: יש אומרים דאין קידושין תופסין בנפל, ואם קבל אביו בו קידושין והמקדש קידש אחר כך אחותו, צריכה גט (אור זרוע)</w:t>
      </w:r>
      <w:r w:rsidRPr="00E933A1">
        <w:t>:</w:t>
      </w:r>
    </w:p>
    <w:p w14:paraId="1E1B9390" w14:textId="77777777" w:rsidR="00127B78" w:rsidRPr="00E933A1" w:rsidRDefault="00127B78" w:rsidP="00127B78">
      <w:pPr>
        <w:pStyle w:val="Style1"/>
        <w:rPr>
          <w:rStyle w:val="Style1Char"/>
        </w:rPr>
      </w:pPr>
    </w:p>
    <w:p w14:paraId="22F8C6FE" w14:textId="77777777" w:rsidR="00127B78" w:rsidRDefault="00127B78" w:rsidP="00127B78">
      <w:pPr>
        <w:pStyle w:val="Style1"/>
        <w:rPr>
          <w:rStyle w:val="Style1Char"/>
          <w:rtl/>
        </w:rPr>
      </w:pPr>
    </w:p>
    <w:p w14:paraId="3CF6C348" w14:textId="77777777" w:rsidR="00127B78" w:rsidRPr="00C11FBE" w:rsidRDefault="00127B78" w:rsidP="00127B78">
      <w:pPr>
        <w:pStyle w:val="Style1"/>
        <w:rPr>
          <w:rStyle w:val="Style1Char"/>
          <w:rtl/>
        </w:rPr>
      </w:pPr>
    </w:p>
    <w:p w14:paraId="61AE8628" w14:textId="77777777" w:rsidR="00127B78" w:rsidRDefault="00127B78" w:rsidP="00127B78">
      <w:pPr>
        <w:bidi/>
        <w:rPr>
          <w:rStyle w:val="Style1Char"/>
          <w:color w:val="4472C4" w:themeColor="accent1"/>
        </w:rPr>
      </w:pPr>
    </w:p>
    <w:p w14:paraId="7F5DA709" w14:textId="77777777" w:rsidR="00127B78" w:rsidRDefault="00127B78" w:rsidP="00127B78">
      <w:pPr>
        <w:rPr>
          <w:rStyle w:val="Style1Char"/>
          <w:color w:val="00B050"/>
          <w:rtl/>
        </w:rPr>
      </w:pPr>
      <w:r>
        <w:rPr>
          <w:rStyle w:val="Style1Char"/>
          <w:color w:val="00B050"/>
          <w:rtl/>
        </w:rPr>
        <w:br w:type="page"/>
      </w:r>
    </w:p>
    <w:p w14:paraId="46DE03CC" w14:textId="77777777" w:rsidR="00127B78" w:rsidRDefault="00127B78" w:rsidP="00127B78">
      <w:pPr>
        <w:bidi/>
        <w:rPr>
          <w:rStyle w:val="Style1Char"/>
          <w:color w:val="00B050"/>
          <w:rtl/>
        </w:rPr>
      </w:pPr>
      <w:r w:rsidRPr="00B32DE1">
        <w:rPr>
          <w:rStyle w:val="Style1Char"/>
          <w:color w:val="00B050"/>
          <w:rtl/>
        </w:rPr>
        <w:lastRenderedPageBreak/>
        <w:t xml:space="preserve"> </w:t>
      </w:r>
      <w:r w:rsidRPr="00264891">
        <w:rPr>
          <w:rStyle w:val="Style1Char"/>
          <w:color w:val="00B050"/>
          <w:sz w:val="22"/>
          <w:szCs w:val="22"/>
          <w:highlight w:val="yellow"/>
          <w:rtl/>
        </w:rPr>
        <w:t>[דף לח עמוד ב]</w:t>
      </w:r>
      <w:r w:rsidRPr="00264891">
        <w:rPr>
          <w:rStyle w:val="Style1Char"/>
          <w:color w:val="00B050"/>
          <w:sz w:val="22"/>
          <w:szCs w:val="22"/>
          <w:rtl/>
        </w:rPr>
        <w:t xml:space="preserve"> </w:t>
      </w:r>
      <w:r w:rsidRPr="00B32DE1">
        <w:rPr>
          <w:rStyle w:val="Style1Char"/>
          <w:color w:val="00B050"/>
          <w:rtl/>
        </w:rPr>
        <w:t>אימא בתולה לגזירה שוה ואשר לא אורסה - פרט לנערה שנתארסה ונתגרשה! מסתברא, אשר לא אורסה לגזירה שוה, שהרי אני קורא בה נערה בתולה. אדרבה בתולה לגזירה שוה, שהרי אני קורא בה אשר לא אורסה! מסתברא, הא אישתני גופה, והא לא אישתני גופה. ורבי יוסי הגלילי האי סברא מנא ליה? נפקא ליה מדתניא: כסף ישקול כמוהר הבתולות - שיהא זה כמוהר הבתולות, ומוהר הבתולות כזה. קשיא דר"ע אדר' עקיבא! תרי תנאי ואליבא דר"ע. בשלמא ר"ע דמתני', לא אתיא ג"ש ומפקא ליה לקרא מפשטיה לגמרי, אלא לר"ע דברייתא, אתיא גזירה שוה ומפקא מפשטיה לגמרי? אמר רב נחמן בר יצחק: קרי ביה אשר לא ארוסה. ארוסה בת סקילה היא! ס"ד אמינא, הואיל וחידוש הוא שחידשה תורה בקנס, אף על גב דמיקטיל - משלם. ולרבה, דאמר: חידוש הוא שחידשה תורה בקנס, אף על גב דמיקטיל - משלם, מאי איכא למימר? סבר לה כרבי עקיבא דמתניתין. תנו רבנן: קנסה למי? לאביה; ויש אומרים: לעצמה. לעצמה אמאי? אמר רב חסדא: הכא בנערה שנתארסה ונתגרשה עסקינן, וקמיפלגי בפלוגתא דר"ע דמתניתין ורבי עקיבא דברייתא</w:t>
      </w:r>
      <w:r w:rsidRPr="00373B97">
        <w:rPr>
          <w:rStyle w:val="Style1Char"/>
          <w:color w:val="auto"/>
          <w:rtl/>
        </w:rPr>
        <w:t xml:space="preserve">. </w:t>
      </w:r>
      <w:r w:rsidRPr="00373B97">
        <w:rPr>
          <w:rStyle w:val="Style1Char"/>
          <w:color w:val="auto"/>
          <w:sz w:val="22"/>
          <w:szCs w:val="22"/>
          <w:rtl/>
        </w:rPr>
        <w:t xml:space="preserve">אמר אביי: </w:t>
      </w:r>
      <w:r>
        <w:rPr>
          <w:rStyle w:val="Style1Char"/>
          <w:rFonts w:hint="cs"/>
          <w:rtl/>
        </w:rPr>
        <w:t>(1)</w:t>
      </w:r>
      <w:r w:rsidRPr="00373B97">
        <w:rPr>
          <w:rStyle w:val="Style1Char"/>
          <w:color w:val="auto"/>
          <w:sz w:val="22"/>
          <w:szCs w:val="22"/>
          <w:rtl/>
        </w:rPr>
        <w:t>בא עליה ומתה - פטור, שנאמר: ונתן לאבי הנערה - ולא לאבי מתה</w:t>
      </w:r>
      <w:r w:rsidRPr="00373B97">
        <w:rPr>
          <w:rStyle w:val="Style1Char"/>
          <w:color w:val="4472C4" w:themeColor="accent1"/>
          <w:rtl/>
        </w:rPr>
        <w:t xml:space="preserve"> </w:t>
      </w:r>
      <w:r w:rsidRPr="00417841">
        <w:rPr>
          <w:rStyle w:val="Style1Char"/>
          <w:color w:val="4472C4" w:themeColor="accent1"/>
          <w:rtl/>
        </w:rPr>
        <w:t xml:space="preserve">ואף על גב דהך מילתא מיבעיא ליה לרבא כיון דלאביי פשיטא ליה אזלינן בתר פשיטותא דאביי. </w:t>
      </w:r>
      <w:r w:rsidRPr="00373B97">
        <w:rPr>
          <w:rStyle w:val="Style1Char"/>
          <w:color w:val="auto"/>
          <w:sz w:val="22"/>
          <w:szCs w:val="22"/>
          <w:rtl/>
        </w:rPr>
        <w:t xml:space="preserve">. </w:t>
      </w:r>
      <w:r w:rsidRPr="00B32DE1">
        <w:rPr>
          <w:rStyle w:val="Style1Char"/>
          <w:color w:val="00B050"/>
          <w:rtl/>
        </w:rPr>
        <w:t xml:space="preserve">מלתא דפשיטא ליה לאביי מיבעיא ליה לרבא, דבעי רבא: יש בגר בקבר, או אין בגר בקבר? יש בגר בקבר ודבנה הוי, או דלמא אין בגר בקבר ודאביה הוי? </w:t>
      </w:r>
    </w:p>
    <w:p w14:paraId="4E4488F1" w14:textId="0071838C" w:rsidR="00127B78" w:rsidRDefault="00127B78" w:rsidP="00127B78">
      <w:pPr>
        <w:pStyle w:val="Style1"/>
        <w:rPr>
          <w:rStyle w:val="Style1Char"/>
          <w:rtl/>
        </w:rPr>
      </w:pPr>
      <w:r>
        <w:rPr>
          <w:rStyle w:val="Style1Char"/>
          <w:rFonts w:hint="cs"/>
          <w:rtl/>
        </w:rPr>
        <w:t>1)[</w:t>
      </w:r>
      <w:r w:rsidRPr="008802DF">
        <w:rPr>
          <w:rStyle w:val="Style1Char"/>
          <w:rtl/>
        </w:rPr>
        <w:t>רמב</w:t>
      </w:r>
      <w:r w:rsidR="00786216">
        <w:rPr>
          <w:rStyle w:val="Style1Char"/>
          <w:rtl/>
        </w:rPr>
        <w:t>”ם \נשים\</w:t>
      </w:r>
      <w:r w:rsidRPr="008802DF">
        <w:rPr>
          <w:rStyle w:val="Style1Char"/>
          <w:rtl/>
        </w:rPr>
        <w:t xml:space="preserve"> הלכות נערה בתולה פרק א הלכה טו</w:t>
      </w:r>
      <w:r>
        <w:rPr>
          <w:rStyle w:val="Style1Char"/>
          <w:rFonts w:hint="cs"/>
          <w:rtl/>
        </w:rPr>
        <w:t xml:space="preserve">] </w:t>
      </w:r>
      <w:r w:rsidRPr="008802DF">
        <w:rPr>
          <w:rStyle w:val="Style1Char"/>
          <w:rtl/>
        </w:rPr>
        <w:t xml:space="preserve">בא עליה ומתה הרי זה פטור מן הקנס שנ' </w:t>
      </w:r>
      <w:r>
        <w:rPr>
          <w:rStyle w:val="Style1Char"/>
          <w:rFonts w:hint="cs"/>
          <w:rtl/>
        </w:rPr>
        <w:t>(</w:t>
      </w:r>
      <w:r w:rsidRPr="008802DF">
        <w:rPr>
          <w:rStyle w:val="Style1Char"/>
          <w:rtl/>
        </w:rPr>
        <w:t>דברים כ"ב כ"ט</w:t>
      </w:r>
      <w:r>
        <w:rPr>
          <w:rStyle w:val="Style1Char"/>
          <w:rFonts w:hint="cs"/>
          <w:rtl/>
        </w:rPr>
        <w:t>)</w:t>
      </w:r>
      <w:r w:rsidRPr="008802DF">
        <w:rPr>
          <w:rStyle w:val="Style1Char"/>
          <w:rtl/>
        </w:rPr>
        <w:t xml:space="preserve"> ונתן האיש השוכב עמה לאבי הנערה לא לאבי המתה והוא שתמות קודם שתעמוד בדין.</w:t>
      </w:r>
    </w:p>
    <w:p w14:paraId="36466B9B"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469ADBEB"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3DF3B291"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4916499B"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w:t>
      </w:r>
      <w:r w:rsidRPr="00AE64BF">
        <w:rPr>
          <w:rStyle w:val="Style1Char"/>
          <w:rtl/>
        </w:rPr>
        <w:lastRenderedPageBreak/>
        <w:t xml:space="preserve">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77128C7B" w14:textId="77777777" w:rsidR="00127B78" w:rsidRDefault="00127B78" w:rsidP="00127B78">
      <w:pPr>
        <w:pStyle w:val="Style1"/>
        <w:rPr>
          <w:rStyle w:val="Style1Char"/>
          <w:rtl/>
        </w:rPr>
      </w:pPr>
    </w:p>
    <w:p w14:paraId="1DA44E56" w14:textId="77777777" w:rsidR="00127B78" w:rsidRPr="008802DF" w:rsidRDefault="00127B78" w:rsidP="00127B78">
      <w:pPr>
        <w:pStyle w:val="Style1"/>
        <w:rPr>
          <w:rStyle w:val="Style1Char"/>
          <w:rtl/>
        </w:rPr>
      </w:pPr>
    </w:p>
    <w:p w14:paraId="435DF243" w14:textId="77777777" w:rsidR="00127B78" w:rsidRPr="00373B97" w:rsidRDefault="00127B78" w:rsidP="00127B78">
      <w:pPr>
        <w:bidi/>
        <w:rPr>
          <w:rStyle w:val="Style1Char"/>
          <w:color w:val="00B050"/>
          <w:rtl/>
        </w:rPr>
      </w:pPr>
    </w:p>
    <w:p w14:paraId="0623D6F3" w14:textId="77777777" w:rsidR="00127B78" w:rsidRPr="00E5254D" w:rsidRDefault="00127B78" w:rsidP="00127B78">
      <w:pPr>
        <w:bidi/>
        <w:rPr>
          <w:rStyle w:val="Style1Char"/>
          <w:color w:val="00B050"/>
          <w:rtl/>
        </w:rPr>
      </w:pPr>
    </w:p>
    <w:p w14:paraId="27F9DD41" w14:textId="77777777" w:rsidR="00127B78" w:rsidRDefault="00127B78" w:rsidP="00127B78">
      <w:pPr>
        <w:rPr>
          <w:rStyle w:val="Style1Char"/>
          <w:color w:val="00B050"/>
          <w:rtl/>
        </w:rPr>
      </w:pPr>
      <w:r>
        <w:rPr>
          <w:rStyle w:val="Style1Char"/>
          <w:color w:val="00B050"/>
          <w:rtl/>
        </w:rPr>
        <w:br w:type="page"/>
      </w:r>
    </w:p>
    <w:p w14:paraId="37A9CA33" w14:textId="77777777" w:rsidR="00127B78" w:rsidRPr="00A10563" w:rsidRDefault="00127B78" w:rsidP="00127B78">
      <w:pPr>
        <w:bidi/>
        <w:rPr>
          <w:rStyle w:val="Style1Char"/>
          <w:color w:val="806000" w:themeColor="accent4" w:themeShade="80"/>
          <w:sz w:val="22"/>
          <w:szCs w:val="22"/>
          <w:rtl/>
        </w:rPr>
      </w:pPr>
      <w:r w:rsidRPr="00C20788">
        <w:rPr>
          <w:rStyle w:val="Style1Char"/>
          <w:color w:val="00B050"/>
          <w:sz w:val="22"/>
          <w:szCs w:val="22"/>
          <w:highlight w:val="yellow"/>
          <w:rtl/>
        </w:rPr>
        <w:lastRenderedPageBreak/>
        <w:t>[דף לט עמוד א]</w:t>
      </w:r>
      <w:r w:rsidRPr="00C20788">
        <w:rPr>
          <w:rStyle w:val="Style1Char"/>
          <w:color w:val="00B050"/>
          <w:sz w:val="22"/>
          <w:szCs w:val="22"/>
          <w:rtl/>
        </w:rPr>
        <w:t xml:space="preserve"> </w:t>
      </w:r>
      <w:r w:rsidRPr="00B32DE1">
        <w:rPr>
          <w:rStyle w:val="Style1Char"/>
          <w:color w:val="00B050"/>
          <w:rtl/>
        </w:rPr>
        <w:t xml:space="preserve">ומי מעברא? והתני רב ביבי קמיה דרב נחמן: שלש נשים משמשות במוך, אלו הן: קטנה, ומעוברת, ומניקה; קטנה - שמא תתעבר ותמות, מעוברת - שמא תעשה עוברה סנדל, מניקה - שמא תגמול את בנה; ואיזוהי קטנה? מבת אחת עשרה שנה ויום אחד עד שתים עשרה שנה ויום אחד, פחות מיכן ויתר על כן - משמשת כדרכה והולכת, דברי ר"מ; וחכמים אומרים: אחת זו ואחת זו משמשת כדרכה והולכת, ומן השמים ירחמו, משום שנאמר: שומר פתאים ה'! וכי תימא, דאיעברא כשהיא נערה ואולידה כשהיא נערה, ובשיתא ירחי מי קא ילדה? והאמר שמואל: </w:t>
      </w:r>
      <w:r>
        <w:rPr>
          <w:rStyle w:val="Style1Char"/>
          <w:rFonts w:hint="cs"/>
          <w:rtl/>
        </w:rPr>
        <w:t>(1)</w:t>
      </w:r>
      <w:r w:rsidRPr="00B32DE1">
        <w:rPr>
          <w:rStyle w:val="Style1Char"/>
          <w:color w:val="00B050"/>
          <w:rtl/>
        </w:rPr>
        <w:t xml:space="preserve">אין בין נערות לבגרות אלא ששה חדשים! וכי תימא בציר הוא דליכא, הא טפי איכא, הא אלא קאמר! אלא הכי קמיבעיא ליה: יש בגר בקבר ופקע אב, או דלמא אין בגר בקבר ולא פקע אב? מר בר רב אשי בעי לה הכי: מיתה עושה בגרות, או אין עושה בגרות? תיקו. בעי מיניה רבא מאביי: </w:t>
      </w:r>
      <w:r w:rsidRPr="00373B97">
        <w:rPr>
          <w:rStyle w:val="Style1Char"/>
          <w:color w:val="auto"/>
          <w:sz w:val="22"/>
          <w:szCs w:val="22"/>
          <w:rtl/>
        </w:rPr>
        <w:t xml:space="preserve">בא עליה </w:t>
      </w:r>
      <w:r w:rsidRPr="00373B97">
        <w:rPr>
          <w:rStyle w:val="Style1Char"/>
          <w:color w:val="806000" w:themeColor="accent4" w:themeShade="80"/>
          <w:sz w:val="22"/>
          <w:szCs w:val="22"/>
          <w:rtl/>
        </w:rPr>
        <w:t xml:space="preserve">עד שלא נתארסה </w:t>
      </w:r>
      <w:r w:rsidRPr="00373B97">
        <w:rPr>
          <w:rStyle w:val="Style1Char"/>
          <w:color w:val="auto"/>
          <w:sz w:val="22"/>
          <w:szCs w:val="22"/>
          <w:rtl/>
        </w:rPr>
        <w:t>ונתארסה</w:t>
      </w:r>
      <w:r w:rsidRPr="001866DD">
        <w:rPr>
          <w:rStyle w:val="Style1Char"/>
          <w:sz w:val="22"/>
          <w:szCs w:val="22"/>
          <w:rtl/>
        </w:rPr>
        <w:t xml:space="preserve">, </w:t>
      </w:r>
      <w:r w:rsidRPr="00B32DE1">
        <w:rPr>
          <w:rStyle w:val="Style1Char"/>
          <w:color w:val="00B050"/>
          <w:rtl/>
        </w:rPr>
        <w:t xml:space="preserve">מהו? א"ל: </w:t>
      </w:r>
      <w:r>
        <w:rPr>
          <w:rStyle w:val="Style1Char"/>
          <w:rFonts w:hint="cs"/>
          <w:rtl/>
        </w:rPr>
        <w:t>(2)</w:t>
      </w:r>
      <w:r w:rsidRPr="00B32DE1">
        <w:rPr>
          <w:rStyle w:val="Style1Char"/>
          <w:color w:val="00B050"/>
          <w:rtl/>
        </w:rPr>
        <w:t xml:space="preserve">מי כתיב ונתן לאבי הנערה אשר לא ארוסה? ולטעמיך, הא דתניא: </w:t>
      </w:r>
      <w:r>
        <w:rPr>
          <w:rStyle w:val="Style1Char"/>
          <w:rFonts w:hint="cs"/>
          <w:rtl/>
        </w:rPr>
        <w:t>(3)</w:t>
      </w:r>
      <w:r w:rsidRPr="00B32DE1">
        <w:rPr>
          <w:rStyle w:val="Style1Char"/>
          <w:color w:val="00B050"/>
          <w:rtl/>
        </w:rPr>
        <w:t xml:space="preserve">בא עליה ונשאת - לעצמה, מי כתיב ונתן לאבי הנערה אשר לא נשואה? הכי השתא, התם הואיל ובגרות מוציאה מרשות אב, ונישואין מוציאין מרשות אב, מה בגרות בא עליה ובגרה - לעצמה, אף נישואין בא עליה ונשאת - לעצמה, אלא אירוסין מי קא מפקי מרשותא דאב לגמרי? הא </w:t>
      </w:r>
      <w:r w:rsidRPr="00373B97">
        <w:rPr>
          <w:rStyle w:val="Style1Char"/>
          <w:color w:val="806000" w:themeColor="accent4" w:themeShade="80"/>
          <w:sz w:val="22"/>
          <w:szCs w:val="22"/>
          <w:rtl/>
        </w:rPr>
        <w:t>קנסה לאביה הוא דעדיין לא נפקא לה מרשות אביה ד</w:t>
      </w:r>
      <w:r w:rsidRPr="00373B97">
        <w:rPr>
          <w:rStyle w:val="Style1Char"/>
          <w:color w:val="auto"/>
          <w:sz w:val="22"/>
          <w:szCs w:val="22"/>
          <w:rtl/>
        </w:rPr>
        <w:t>תנן</w:t>
      </w:r>
      <w:r w:rsidRPr="00417841">
        <w:rPr>
          <w:rStyle w:val="Style1Char"/>
          <w:color w:val="4472C4" w:themeColor="accent1"/>
          <w:rtl/>
        </w:rPr>
        <w:t>(בנדרים דף סו ב)</w:t>
      </w:r>
      <w:r w:rsidRPr="00373B97">
        <w:rPr>
          <w:rStyle w:val="Style1Char"/>
          <w:color w:val="auto"/>
          <w:sz w:val="22"/>
          <w:szCs w:val="22"/>
          <w:rtl/>
        </w:rPr>
        <w:t>:</w:t>
      </w:r>
      <w:r w:rsidRPr="00227A85">
        <w:rPr>
          <w:rStyle w:val="Style1Char"/>
          <w:sz w:val="22"/>
          <w:szCs w:val="22"/>
          <w:rtl/>
        </w:rPr>
        <w:t xml:space="preserve"> </w:t>
      </w:r>
      <w:r>
        <w:rPr>
          <w:rStyle w:val="Style1Char"/>
          <w:rFonts w:hint="cs"/>
          <w:rtl/>
        </w:rPr>
        <w:t>(4)</w:t>
      </w:r>
      <w:r w:rsidRPr="00373B97">
        <w:rPr>
          <w:rStyle w:val="Style1Char"/>
          <w:color w:val="auto"/>
          <w:sz w:val="22"/>
          <w:szCs w:val="22"/>
          <w:rtl/>
        </w:rPr>
        <w:t>נערה המאורסה - אביה ובעלה מפירין לה נדריה</w:t>
      </w:r>
      <w:r w:rsidRPr="00227A85">
        <w:rPr>
          <w:rStyle w:val="Style1Char"/>
          <w:sz w:val="22"/>
          <w:szCs w:val="22"/>
          <w:rtl/>
        </w:rPr>
        <w:t>.</w:t>
      </w:r>
      <w:r w:rsidRPr="001866DD">
        <w:rPr>
          <w:rStyle w:val="Style1Char"/>
          <w:color w:val="C00000"/>
          <w:sz w:val="22"/>
          <w:szCs w:val="22"/>
          <w:rtl/>
        </w:rPr>
        <w:t xml:space="preserve"> </w:t>
      </w:r>
      <w:r w:rsidRPr="00A10563">
        <w:rPr>
          <w:rStyle w:val="Style1Char"/>
          <w:color w:val="806000" w:themeColor="accent4" w:themeShade="80"/>
          <w:sz w:val="22"/>
          <w:szCs w:val="22"/>
          <w:rtl/>
        </w:rPr>
        <w:t>אבל אם בא עליה ואח"כ נשאת או בגרה קנסה לעצמה דבגרות ונשואין מפקי מרשות אב לגמרי והוא שלא עמדה בדין קודם בגרותה ונשואיה אבל אם עמדה בדין קנסה לאביה</w:t>
      </w:r>
      <w:r w:rsidRPr="00A10563">
        <w:rPr>
          <w:rStyle w:val="Style1Char"/>
          <w:color w:val="806000" w:themeColor="accent4" w:themeShade="80"/>
          <w:sz w:val="22"/>
          <w:szCs w:val="22"/>
        </w:rPr>
        <w:t>:</w:t>
      </w:r>
    </w:p>
    <w:p w14:paraId="07BEDA3A" w14:textId="77777777" w:rsidR="00127B78" w:rsidRPr="003C52F0" w:rsidRDefault="00127B78" w:rsidP="00127B78">
      <w:pPr>
        <w:bidi/>
        <w:rPr>
          <w:rStyle w:val="Style1Char"/>
          <w:color w:val="auto"/>
          <w:sz w:val="22"/>
          <w:szCs w:val="22"/>
        </w:rPr>
      </w:pPr>
      <w:r w:rsidRPr="003C52F0">
        <w:rPr>
          <w:rStyle w:val="Style1Char"/>
          <w:color w:val="auto"/>
          <w:sz w:val="22"/>
          <w:szCs w:val="22"/>
          <w:rtl/>
        </w:rPr>
        <w:t xml:space="preserve">מתני'. </w:t>
      </w:r>
      <w:r>
        <w:rPr>
          <w:rStyle w:val="Style1Char"/>
          <w:rFonts w:hint="cs"/>
          <w:rtl/>
        </w:rPr>
        <w:t>(5)</w:t>
      </w:r>
      <w:r w:rsidRPr="003C52F0">
        <w:rPr>
          <w:rStyle w:val="Style1Char"/>
          <w:color w:val="auto"/>
          <w:sz w:val="22"/>
          <w:szCs w:val="22"/>
          <w:rtl/>
        </w:rPr>
        <w:t xml:space="preserve">המפתה נותן שלשה דברים, והאונס - ארבעה; המפתה נותן בושת ופגם וקנס, מוסיף עליו אונס שנותן את הצער. </w:t>
      </w:r>
      <w:r w:rsidRPr="00960F54">
        <w:rPr>
          <w:rStyle w:val="Style1Char"/>
          <w:color w:val="auto"/>
          <w:sz w:val="22"/>
          <w:szCs w:val="22"/>
          <w:rtl/>
        </w:rPr>
        <w:t>מה בין אונס למפתה? האונס נותן את הצער, והמפתה אינו נותן את הצער; האונס נותן מיד, והמפתה - לכשיוציא; האונס שותה בעציצו, והמפתה אם רצה להוציא - מוציא</w:t>
      </w:r>
      <w:r w:rsidRPr="00960F54">
        <w:rPr>
          <w:rStyle w:val="Style1Char"/>
          <w:color w:val="auto"/>
          <w:rtl/>
        </w:rPr>
        <w:t xml:space="preserve">. </w:t>
      </w:r>
      <w:r>
        <w:rPr>
          <w:rStyle w:val="Style1Char"/>
          <w:rFonts w:hint="cs"/>
          <w:rtl/>
        </w:rPr>
        <w:t>(6)</w:t>
      </w:r>
      <w:r w:rsidRPr="003C52F0">
        <w:rPr>
          <w:rStyle w:val="Style1Char"/>
          <w:color w:val="auto"/>
          <w:sz w:val="22"/>
          <w:szCs w:val="22"/>
          <w:rtl/>
        </w:rPr>
        <w:t xml:space="preserve">כיצד שותה בעציצו? אפילו היא חיגרת, אפי' היא סומא, ואפילו היא מוכת שחין. </w:t>
      </w:r>
      <w:r>
        <w:rPr>
          <w:rStyle w:val="Style1Char"/>
          <w:rFonts w:hint="cs"/>
          <w:rtl/>
        </w:rPr>
        <w:t>(7)</w:t>
      </w:r>
      <w:r w:rsidRPr="003C52F0">
        <w:rPr>
          <w:rStyle w:val="Style1Char"/>
          <w:color w:val="auto"/>
          <w:sz w:val="22"/>
          <w:szCs w:val="22"/>
          <w:rtl/>
        </w:rPr>
        <w:t xml:space="preserve">נמצא בה דבר ערוה, או שאינה ראויה לבא בישראל - אינו רשאי לקיימה, שנאמר: ולו תהיה לאשה, אשה הראויה לו. </w:t>
      </w:r>
    </w:p>
    <w:p w14:paraId="3FC6926D" w14:textId="77777777" w:rsidR="00127B78" w:rsidRDefault="00127B78" w:rsidP="00127B78">
      <w:pPr>
        <w:bidi/>
        <w:rPr>
          <w:rStyle w:val="Style1Char"/>
          <w:color w:val="00B050"/>
          <w:rtl/>
        </w:rPr>
      </w:pPr>
      <w:r w:rsidRPr="00B32DE1">
        <w:rPr>
          <w:rStyle w:val="Style1Char"/>
          <w:color w:val="00B050"/>
          <w:rtl/>
        </w:rPr>
        <w:t xml:space="preserve">גמ'. צער דמאי? אמר אבוה דשמואל: צער שחבטה על גבי קרקע. מתקיף לה רבי זירא: אלא מעתה, חבטה על גבי שיראין, הכי נמי דפטור? וכי תימא הכי נמי, והתניא, ר' שמעון בן יהודה אומר משום רבי שמעון: אונס אינו משלם את הצער, מפני </w:t>
      </w:r>
    </w:p>
    <w:p w14:paraId="3FEC31A5" w14:textId="3954D61C" w:rsidR="00127B78" w:rsidRDefault="00127B78" w:rsidP="00127B78">
      <w:pPr>
        <w:pStyle w:val="Style1"/>
        <w:rPr>
          <w:rStyle w:val="Style1Char"/>
          <w:rtl/>
        </w:rPr>
      </w:pPr>
      <w:r>
        <w:rPr>
          <w:rStyle w:val="Style1Char"/>
          <w:rFonts w:hint="cs"/>
          <w:rtl/>
        </w:rPr>
        <w:t>1)[</w:t>
      </w:r>
      <w:r w:rsidRPr="00A95BA2">
        <w:rPr>
          <w:rStyle w:val="Style1Char"/>
          <w:rtl/>
        </w:rPr>
        <w:t>רמב</w:t>
      </w:r>
      <w:r w:rsidR="00213DA1">
        <w:rPr>
          <w:rStyle w:val="Style1Char"/>
          <w:rtl/>
        </w:rPr>
        <w:t>”ם \נשים\</w:t>
      </w:r>
      <w:r w:rsidRPr="00A95BA2">
        <w:rPr>
          <w:rStyle w:val="Style1Char"/>
          <w:rtl/>
        </w:rPr>
        <w:t xml:space="preserve"> הלכות אישות פרק ב הלכה ב</w:t>
      </w:r>
      <w:r>
        <w:rPr>
          <w:rStyle w:val="Style1Char"/>
          <w:rFonts w:hint="cs"/>
          <w:rtl/>
        </w:rPr>
        <w:t xml:space="preserve">] </w:t>
      </w:r>
      <w:r w:rsidRPr="00A95BA2">
        <w:rPr>
          <w:rStyle w:val="Style1Char"/>
          <w:rtl/>
        </w:rPr>
        <w:t>והבאת שתי שערות בזמן הזה נקרא סימן התחתון. ומאחר שתביא סימן התחתון תקרא נערה עד ששה חדשים גמורים, ומתחלת יום תשלום הששה חדשים ומעלה תקרא בוגרת, ואין בין נערות לבגרות אלא ששה חדשים בלבד.</w:t>
      </w:r>
    </w:p>
    <w:p w14:paraId="63395CCF" w14:textId="77777777" w:rsidR="00127B78" w:rsidRPr="00192052" w:rsidRDefault="00127B78" w:rsidP="00127B78">
      <w:pPr>
        <w:pStyle w:val="Style1"/>
      </w:pPr>
      <w:r>
        <w:rPr>
          <w:rStyle w:val="Style1Char"/>
          <w:rFonts w:hint="cs"/>
          <w:rtl/>
        </w:rPr>
        <w:t>1)[</w:t>
      </w:r>
      <w:r w:rsidRPr="001D3343">
        <w:rPr>
          <w:rStyle w:val="Style1Char"/>
          <w:rtl/>
        </w:rPr>
        <w:t>שולחן ערוך יורה דעה הלכות נדרים סימן רלד סעיף א</w:t>
      </w:r>
      <w:r>
        <w:rPr>
          <w:rStyle w:val="Style1Char"/>
          <w:rFonts w:hint="cs"/>
          <w:rtl/>
        </w:rPr>
        <w:t xml:space="preserve">] </w:t>
      </w:r>
      <w:r w:rsidRPr="00192052">
        <w:rPr>
          <w:rtl/>
        </w:rPr>
        <w:t>האב מפר נדרי בתו כל זמן שהיא קטנה או נערה אפי' נדרה על דעת רבים</w:t>
      </w:r>
      <w:r w:rsidRPr="00192052">
        <w:t>.</w:t>
      </w:r>
    </w:p>
    <w:p w14:paraId="2AAA512F" w14:textId="77777777" w:rsidR="00127B78" w:rsidRDefault="00127B78" w:rsidP="00127B78">
      <w:pPr>
        <w:pStyle w:val="Style1"/>
        <w:rPr>
          <w:rtl/>
        </w:rPr>
      </w:pPr>
      <w:r w:rsidRPr="00192052">
        <w:rPr>
          <w:rtl/>
        </w:rPr>
        <w:t>בגרה</w:t>
      </w:r>
      <w:r w:rsidRPr="00192052">
        <w:t xml:space="preserve"> (</w:t>
      </w:r>
      <w:r w:rsidRPr="00192052">
        <w:rPr>
          <w:rtl/>
        </w:rPr>
        <w:t>פי' כשהאשה עברה שתים עשרה שנה ויום א' אז אם הביאה ב' שערות נקראת "נערה" עד ו' חדשים אח"כ שאז נקראת בוגרת כלומר מלאה שער כי תרגום ירושלמי של "איש שעיר" גבר בגר</w:t>
      </w:r>
      <w:r w:rsidRPr="00192052">
        <w:t xml:space="preserve">) </w:t>
      </w:r>
      <w:r w:rsidRPr="00192052">
        <w:rPr>
          <w:rtl/>
        </w:rPr>
        <w:t>או נשאת -- שוב אינו יכול להפר</w:t>
      </w:r>
      <w:r w:rsidRPr="00192052">
        <w:t>:</w:t>
      </w:r>
    </w:p>
    <w:p w14:paraId="62F945B3" w14:textId="5B53F6A7" w:rsidR="00127B78" w:rsidRDefault="00127B78" w:rsidP="00127B78">
      <w:pPr>
        <w:pStyle w:val="Style1"/>
        <w:rPr>
          <w:rtl/>
        </w:rPr>
      </w:pPr>
      <w:r>
        <w:rPr>
          <w:rFonts w:hint="cs"/>
          <w:rtl/>
        </w:rPr>
        <w:t>2)[</w:t>
      </w:r>
      <w:r>
        <w:rPr>
          <w:rtl/>
        </w:rPr>
        <w:t>רמב</w:t>
      </w:r>
      <w:r w:rsidR="00786216">
        <w:rPr>
          <w:rtl/>
        </w:rPr>
        <w:t>”ם \נשים\</w:t>
      </w:r>
      <w:r>
        <w:rPr>
          <w:rtl/>
        </w:rPr>
        <w:t xml:space="preserve"> הלכות נערה בתולה פרק ב הלכה טז</w:t>
      </w:r>
      <w:r>
        <w:rPr>
          <w:rFonts w:hint="cs"/>
          <w:rtl/>
        </w:rPr>
        <w:t xml:space="preserve">] </w:t>
      </w:r>
      <w:r>
        <w:rPr>
          <w:rtl/>
        </w:rPr>
        <w:t>הבת שנתארסה ונתגרשה קנסה לבדו לעצמה נאנסה או נתפתתה ואחר כך נתקדשה לאחר קנסה ושאר הדברים לאביה שאין האירוסין מוציאין מרשות האב.</w:t>
      </w:r>
    </w:p>
    <w:p w14:paraId="0FF3C4C3" w14:textId="77777777" w:rsidR="00127B78" w:rsidRPr="00AE64BF" w:rsidRDefault="00127B78" w:rsidP="00127B78">
      <w:pPr>
        <w:pStyle w:val="Style1"/>
        <w:rPr>
          <w:rStyle w:val="Style1Char"/>
        </w:rPr>
      </w:pPr>
      <w:r>
        <w:rPr>
          <w:rStyle w:val="Style1Char"/>
          <w:rFonts w:hint="cs"/>
          <w:rtl/>
        </w:rPr>
        <w:t>2)[</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15D0336D"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w:t>
      </w:r>
      <w:r w:rsidRPr="00AE64BF">
        <w:rPr>
          <w:rStyle w:val="Style1Char"/>
          <w:rtl/>
        </w:rPr>
        <w:lastRenderedPageBreak/>
        <w:t xml:space="preserve">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6F51941E"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27AC3398"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144408E4" w14:textId="5631FA64" w:rsidR="00127B78" w:rsidRDefault="00127B78" w:rsidP="00127B78">
      <w:pPr>
        <w:pStyle w:val="Style1"/>
        <w:rPr>
          <w:rStyle w:val="Style1Char"/>
          <w:rtl/>
        </w:rPr>
      </w:pPr>
      <w:r>
        <w:rPr>
          <w:rStyle w:val="Style1Char"/>
          <w:rFonts w:hint="cs"/>
          <w:rtl/>
        </w:rPr>
        <w:t>3)[</w:t>
      </w:r>
      <w:r w:rsidRPr="005D15C7">
        <w:rPr>
          <w:rStyle w:val="Style1Char"/>
          <w:rtl/>
        </w:rPr>
        <w:t>רמב</w:t>
      </w:r>
      <w:r w:rsidR="00786216">
        <w:rPr>
          <w:rStyle w:val="Style1Char"/>
          <w:rtl/>
        </w:rPr>
        <w:t>”ם \נשים\</w:t>
      </w:r>
      <w:r w:rsidRPr="005D15C7">
        <w:rPr>
          <w:rStyle w:val="Style1Char"/>
          <w:rtl/>
        </w:rPr>
        <w:t xml:space="preserve"> הלכות נערה בתולה פרק ב הלכה טו</w:t>
      </w:r>
      <w:r>
        <w:rPr>
          <w:rStyle w:val="Style1Char"/>
          <w:rFonts w:hint="cs"/>
          <w:rtl/>
        </w:rPr>
        <w:t xml:space="preserve">] </w:t>
      </w:r>
      <w:r w:rsidRPr="005D15C7">
        <w:rPr>
          <w:rStyle w:val="Style1Char"/>
          <w:rtl/>
        </w:rPr>
        <w:t>מפותה או אנוסה שלא תבעה עד שבגרה או עד שנשאת או עד שמת האב הרי הארבעה דברים או השלשה שלה, עמדה בדין ותבעה אותו ואחר כך בגרה או נשאת הרי הן של אב ואם מת האב אחר עמידתה בדין הרי הן של אחין שהן יורשי האב מעת שעמדה בדין זכה בהן האב. /השגת הראב"ד/ מפותה או אנוסה שלא תבעה עד שבגרה או עד שנשאת או עד שמת האב הרי הארבעה או השלשה שלה. א"א השלשה במפותה אם מת האב למה וכי יורשת אביה היא.</w:t>
      </w:r>
    </w:p>
    <w:p w14:paraId="1115CEEC" w14:textId="6A4EC9E0" w:rsidR="00127B78" w:rsidRDefault="00127B78" w:rsidP="00127B78">
      <w:pPr>
        <w:pStyle w:val="Style1"/>
        <w:rPr>
          <w:rStyle w:val="Style1Char"/>
          <w:rtl/>
        </w:rPr>
      </w:pPr>
      <w:r>
        <w:rPr>
          <w:rStyle w:val="Style1Char"/>
          <w:rFonts w:hint="cs"/>
          <w:rtl/>
        </w:rPr>
        <w:t>4)[</w:t>
      </w:r>
      <w:r w:rsidRPr="00047B72">
        <w:rPr>
          <w:rStyle w:val="Style1Char"/>
          <w:rtl/>
        </w:rPr>
        <w:t>רמב</w:t>
      </w:r>
      <w:r w:rsidR="00EC109D">
        <w:rPr>
          <w:rStyle w:val="Style1Char"/>
          <w:rtl/>
        </w:rPr>
        <w:t>”ם \הפלאה\</w:t>
      </w:r>
      <w:r w:rsidRPr="00047B72">
        <w:rPr>
          <w:rStyle w:val="Style1Char"/>
          <w:rtl/>
        </w:rPr>
        <w:t xml:space="preserve"> הלכות נדרים פרק יא הלכה ט</w:t>
      </w:r>
      <w:r>
        <w:rPr>
          <w:rStyle w:val="Style1Char"/>
          <w:rFonts w:hint="cs"/>
          <w:rtl/>
        </w:rPr>
        <w:t xml:space="preserve">] </w:t>
      </w:r>
      <w:r w:rsidRPr="00047B72">
        <w:rPr>
          <w:rStyle w:val="Style1Char"/>
          <w:rtl/>
        </w:rPr>
        <w:t>נערה מאורסה אין מפר נדריה אלא האב עם הבעל כאחד, ואם הפר האחד לבדו אינו מופר, הפר הבעל לבדו ועברה על נדרה קודם שיפר האב אינה לוקה.</w:t>
      </w:r>
    </w:p>
    <w:p w14:paraId="0CB00124" w14:textId="77777777" w:rsidR="00127B78" w:rsidRPr="00A500E2" w:rsidRDefault="00127B78" w:rsidP="00127B78">
      <w:pPr>
        <w:pStyle w:val="Style1"/>
      </w:pPr>
      <w:r>
        <w:rPr>
          <w:rStyle w:val="Style1Char"/>
          <w:rFonts w:hint="cs"/>
          <w:rtl/>
        </w:rPr>
        <w:t>4)[</w:t>
      </w:r>
      <w:r w:rsidRPr="006500F5">
        <w:rPr>
          <w:rStyle w:val="Style1Char"/>
          <w:rtl/>
        </w:rPr>
        <w:t>שולחן ערוך יורה דעה הלכות נדרים סימן רלד סעיף ה</w:t>
      </w:r>
      <w:r>
        <w:rPr>
          <w:rStyle w:val="Style1Char"/>
          <w:rFonts w:hint="cs"/>
          <w:rtl/>
        </w:rPr>
        <w:t xml:space="preserve">] </w:t>
      </w:r>
      <w:r w:rsidRPr="00A500E2">
        <w:rPr>
          <w:rtl/>
        </w:rPr>
        <w:t>נשאת לאיסורי לאוין או לחייבי עשה והפר לה בעלה הרי זה מופר משתתארס עד שתכנס לחופה אין הבעל מפר לבדו אפילו אם הוא חייב במזונותיה ולא האב לבדו מפר אלא שניהם מפירים בשותפות ואפילו נדרים שהיו עליה קודם שנתארסה ואם הפר א' בלא שני אינו מופר ומיהו חלקו של שני נשאר קלוש והקל איסורו שאין בו מלקות וצריך שישמעו שניהם ביום א' אבל אם שמע א' היום והפר ושמע השני ביום אחר אינו יכול להפר ויש אומרים שכל א' מפר ביום שמעו אף על פי שלא שמעו ביום א</w:t>
      </w:r>
      <w:r w:rsidRPr="00A500E2">
        <w:t>'.</w:t>
      </w:r>
    </w:p>
    <w:p w14:paraId="5728678B" w14:textId="77777777" w:rsidR="00127B78" w:rsidRDefault="00127B78" w:rsidP="00127B78">
      <w:pPr>
        <w:pStyle w:val="Style1"/>
        <w:rPr>
          <w:rtl/>
        </w:rPr>
      </w:pPr>
      <w:r w:rsidRPr="00A500E2">
        <w:rPr>
          <w:rFonts w:hint="cs"/>
          <w:rtl/>
        </w:rPr>
        <w:t>(ואם נתארסה ואין לה אב אין הארוס יכול להפר). (רשב"א סימן קס"ו)</w:t>
      </w:r>
      <w:r w:rsidRPr="00A500E2">
        <w:t>:</w:t>
      </w:r>
    </w:p>
    <w:p w14:paraId="44191271" w14:textId="311370A7" w:rsidR="00127B78" w:rsidRDefault="00127B78" w:rsidP="00127B78">
      <w:pPr>
        <w:pStyle w:val="Style1"/>
        <w:rPr>
          <w:rtl/>
        </w:rPr>
      </w:pPr>
      <w:r>
        <w:rPr>
          <w:rFonts w:hint="cs"/>
          <w:rtl/>
        </w:rPr>
        <w:t>5)[</w:t>
      </w:r>
      <w:r>
        <w:rPr>
          <w:rtl/>
        </w:rPr>
        <w:t>רמב</w:t>
      </w:r>
      <w:r w:rsidR="00786216">
        <w:rPr>
          <w:rtl/>
        </w:rPr>
        <w:t>”ם \נשים\</w:t>
      </w:r>
      <w:r>
        <w:rPr>
          <w:rtl/>
        </w:rPr>
        <w:t xml:space="preserve"> הלכות נערה בתולה פרק ב הלכה ז</w:t>
      </w:r>
      <w:r>
        <w:rPr>
          <w:rFonts w:hint="cs"/>
          <w:rtl/>
        </w:rPr>
        <w:t xml:space="preserve">] </w:t>
      </w:r>
      <w:r>
        <w:rPr>
          <w:rtl/>
        </w:rPr>
        <w:t xml:space="preserve">המפתה נותן בושת ופגם מיד ואינו נותן את הקנס אלא אם כן לא נשאה שנ' </w:t>
      </w:r>
      <w:r>
        <w:rPr>
          <w:rFonts w:hint="cs"/>
          <w:rtl/>
        </w:rPr>
        <w:t>(</w:t>
      </w:r>
      <w:r>
        <w:rPr>
          <w:rtl/>
        </w:rPr>
        <w:t>שמות כ"ב ט"ז</w:t>
      </w:r>
      <w:r>
        <w:rPr>
          <w:rFonts w:hint="cs"/>
          <w:rtl/>
        </w:rPr>
        <w:t>)</w:t>
      </w:r>
      <w:r>
        <w:rPr>
          <w:rtl/>
        </w:rPr>
        <w:t xml:space="preserve"> ואם מאן ימאן אביה לתתה לו כסף ישקול כמהר הבתולות, אבל האונס נותן ארבעה דברים מיד וכונס, לפיכך כשתרצה להתגרש או אם מת אין לה כלום.</w:t>
      </w:r>
    </w:p>
    <w:p w14:paraId="10E555D1" w14:textId="77777777" w:rsidR="00127B78" w:rsidRPr="00EE0AD2" w:rsidRDefault="00127B78" w:rsidP="00127B78">
      <w:pPr>
        <w:pStyle w:val="Style1"/>
      </w:pPr>
      <w:r>
        <w:rPr>
          <w:rFonts w:hint="cs"/>
          <w:rtl/>
        </w:rPr>
        <w:t>5)[</w:t>
      </w:r>
      <w:r>
        <w:rPr>
          <w:rtl/>
        </w:rPr>
        <w:t>שולחן ערוך אבן העזר הלכות אונס ומפתה סימן קעז סעיף א</w:t>
      </w:r>
      <w:r>
        <w:rPr>
          <w:rFonts w:hint="cs"/>
          <w:rtl/>
        </w:rPr>
        <w:t xml:space="preserve">]  </w:t>
      </w:r>
      <w:r w:rsidRPr="00EE0AD2">
        <w:rPr>
          <w:rtl/>
        </w:rPr>
        <w:t>המפתה בתולת ישראל </w:t>
      </w:r>
      <w:r w:rsidRPr="00EE0AD2">
        <w:rPr>
          <w:rFonts w:hint="cs"/>
          <w:rtl/>
        </w:rPr>
        <w:t>עד שלא תבגר, והיא מבת שלשה ואילך (טור הרא"ש)</w:t>
      </w:r>
      <w:r w:rsidRPr="00EE0AD2">
        <w:t xml:space="preserve">, </w:t>
      </w:r>
      <w:r w:rsidRPr="00EE0AD2">
        <w:rPr>
          <w:rtl/>
        </w:rPr>
        <w:t>משלם בשת ופגם וקנס. ואם אנסה, משלם עוד צער</w:t>
      </w:r>
      <w:r w:rsidRPr="00EE0AD2">
        <w:t>.</w:t>
      </w:r>
    </w:p>
    <w:p w14:paraId="4919E175" w14:textId="77777777" w:rsidR="00127B78" w:rsidRDefault="00127B78" w:rsidP="00127B78">
      <w:pPr>
        <w:pStyle w:val="Style1"/>
        <w:rPr>
          <w:rtl/>
        </w:rPr>
      </w:pPr>
      <w:r w:rsidRPr="00EE0AD2">
        <w:rPr>
          <w:rFonts w:hint="cs"/>
          <w:rtl/>
        </w:rPr>
        <w:t>ואם נשאה המפתה, אינו צריך לתן קנס (טור)</w:t>
      </w:r>
      <w:r w:rsidRPr="00EE0AD2">
        <w:t>:</w:t>
      </w:r>
    </w:p>
    <w:p w14:paraId="00EB17A1" w14:textId="0846A637" w:rsidR="00127B78" w:rsidRDefault="00127B78" w:rsidP="00127B78">
      <w:pPr>
        <w:pStyle w:val="Style1"/>
        <w:rPr>
          <w:rtl/>
        </w:rPr>
      </w:pPr>
      <w:r>
        <w:rPr>
          <w:rFonts w:hint="cs"/>
          <w:rtl/>
        </w:rPr>
        <w:t>6)[</w:t>
      </w:r>
      <w:r>
        <w:rPr>
          <w:rtl/>
        </w:rPr>
        <w:t>רמב</w:t>
      </w:r>
      <w:r w:rsidR="00786216">
        <w:rPr>
          <w:rtl/>
        </w:rPr>
        <w:t>”ם \נשים\</w:t>
      </w:r>
      <w:r>
        <w:rPr>
          <w:rtl/>
        </w:rPr>
        <w:t xml:space="preserve"> הלכות נערה בתולה פרק א הלכה ג</w:t>
      </w:r>
      <w:r>
        <w:rPr>
          <w:rFonts w:hint="cs"/>
          <w:rtl/>
        </w:rPr>
        <w:t xml:space="preserve">] </w:t>
      </w:r>
      <w:r>
        <w:rPr>
          <w:rtl/>
        </w:rPr>
        <w:t xml:space="preserve">המפותה שלא רצת להנשא למפתה, או שלא רצה אביה ליתנה לו, או שלא רצה הוא לכנוס, הרי זה נותן קנסה והולך ואין כופין אותו לכנוס, ואם רצו וכנסה אינו משלם קנס אלא כותב לה כתובה כשאר הבתולות. אבל האנוסה שלא רצת היא או אביה להנשא לאונס הרשות בידם ונותן קנס, רצת היא ואביה ולא רצה הוא כופין אותו וכונס ונותן קנס שנ' </w:t>
      </w:r>
      <w:r>
        <w:rPr>
          <w:rFonts w:hint="cs"/>
          <w:rtl/>
        </w:rPr>
        <w:t>(</w:t>
      </w:r>
      <w:r>
        <w:rPr>
          <w:rtl/>
        </w:rPr>
        <w:t>דברים כ"ב כ"ט</w:t>
      </w:r>
      <w:r>
        <w:rPr>
          <w:rFonts w:hint="cs"/>
          <w:rtl/>
        </w:rPr>
        <w:t>)</w:t>
      </w:r>
      <w:r>
        <w:rPr>
          <w:rtl/>
        </w:rPr>
        <w:t xml:space="preserve"> ולו תהיה לאשה הרי זו מצות עשה, אפילו היא חגרת או סומה או מצורעת כופין אותו לכנוס ואינו מוציא לרצונו לעולם שנ' </w:t>
      </w:r>
      <w:r>
        <w:rPr>
          <w:rFonts w:hint="cs"/>
          <w:rtl/>
        </w:rPr>
        <w:t>(</w:t>
      </w:r>
      <w:r>
        <w:rPr>
          <w:rtl/>
        </w:rPr>
        <w:t>דברים כ"ב כ"ט</w:t>
      </w:r>
      <w:r>
        <w:rPr>
          <w:rFonts w:hint="cs"/>
          <w:rtl/>
        </w:rPr>
        <w:t>)</w:t>
      </w:r>
      <w:r>
        <w:rPr>
          <w:rtl/>
        </w:rPr>
        <w:t xml:space="preserve"> לא יוכל שלחה כל ימיו הרי זו מצות לא תעשה.</w:t>
      </w:r>
    </w:p>
    <w:p w14:paraId="55F631F6" w14:textId="77777777" w:rsidR="00127B78" w:rsidRDefault="00127B78" w:rsidP="00127B78">
      <w:pPr>
        <w:pStyle w:val="Style1"/>
        <w:rPr>
          <w:rtl/>
        </w:rPr>
      </w:pPr>
      <w:r>
        <w:rPr>
          <w:rFonts w:hint="cs"/>
          <w:rtl/>
        </w:rPr>
        <w:t>6)[</w:t>
      </w:r>
      <w:r>
        <w:rPr>
          <w:rtl/>
        </w:rPr>
        <w:t>שולחן ערוך אבן העזר הלכות אונס ומפתה סימן קעז סעיף ג</w:t>
      </w:r>
      <w:r>
        <w:rPr>
          <w:rFonts w:hint="cs"/>
          <w:rtl/>
        </w:rPr>
        <w:t xml:space="preserve">] </w:t>
      </w:r>
      <w:r w:rsidRPr="00FB1650">
        <w:rPr>
          <w:rtl/>
        </w:rPr>
        <w:t>האונס את הבתולה, חייב לישא אותה, ובלבד שהיא ואביה יהיו מרצים, אפילו היא חיגרת או סומא, ואינו רשאי להוציאה לעולם אלא לרצונה. לפיכך, אינו צריך לכתוב לה כתובה. ואם עבר והוציאה, כופין אותו להחזירה</w:t>
      </w:r>
      <w:r w:rsidRPr="00FB1650">
        <w:t>:</w:t>
      </w:r>
    </w:p>
    <w:p w14:paraId="60E7863B" w14:textId="0DEE0F8B" w:rsidR="00127B78" w:rsidRDefault="00127B78" w:rsidP="00127B78">
      <w:pPr>
        <w:pStyle w:val="Style1"/>
        <w:rPr>
          <w:rtl/>
        </w:rPr>
      </w:pPr>
      <w:r>
        <w:rPr>
          <w:rFonts w:hint="cs"/>
          <w:rtl/>
        </w:rPr>
        <w:t>7)[</w:t>
      </w:r>
      <w:r>
        <w:rPr>
          <w:rtl/>
        </w:rPr>
        <w:t>רמב</w:t>
      </w:r>
      <w:r w:rsidR="00786216">
        <w:rPr>
          <w:rtl/>
        </w:rPr>
        <w:t>”ם \נשים\</w:t>
      </w:r>
      <w:r>
        <w:rPr>
          <w:rtl/>
        </w:rPr>
        <w:t xml:space="preserve"> הלכות נערה בתולה פרק א הלכה ה</w:t>
      </w:r>
      <w:r>
        <w:rPr>
          <w:rFonts w:hint="cs"/>
          <w:rtl/>
        </w:rPr>
        <w:t xml:space="preserve">] </w:t>
      </w:r>
      <w:r>
        <w:rPr>
          <w:rtl/>
        </w:rPr>
        <w:t>היתה אנוסה זו אסורה עליו אפילו מחייבי עשה ואפילו שנייה הרי זה לא ישאנה, וכן אם נמצא בה דבר זמה אחר שכנסה הרי זה יגרשנה שנ' ולו תהיה לאשה אשה הראויה לו.</w:t>
      </w:r>
    </w:p>
    <w:p w14:paraId="2D155EE6" w14:textId="77777777" w:rsidR="00127B78" w:rsidRPr="00B45213" w:rsidRDefault="00127B78" w:rsidP="00127B78">
      <w:pPr>
        <w:pStyle w:val="Style1"/>
      </w:pPr>
      <w:r>
        <w:rPr>
          <w:rFonts w:hint="cs"/>
          <w:rtl/>
        </w:rPr>
        <w:t>7)[</w:t>
      </w:r>
      <w:r>
        <w:rPr>
          <w:rtl/>
        </w:rPr>
        <w:t>שולחן ערוך אבן העזר הלכות אונס ומפתה סימן קעז סעיף ד</w:t>
      </w:r>
      <w:r>
        <w:rPr>
          <w:rFonts w:hint="cs"/>
          <w:rtl/>
        </w:rPr>
        <w:t xml:space="preserve">] </w:t>
      </w:r>
      <w:r w:rsidRPr="00B45213">
        <w:rPr>
          <w:rtl/>
        </w:rPr>
        <w:t>הייתה אסורה לו, אפילו איסור דרבנן, אינו רשאי לישא אותה. וכן אם נשאה ומצא בה ערות דבר, יגרשנה</w:t>
      </w:r>
      <w:r w:rsidRPr="00B45213">
        <w:t>.</w:t>
      </w:r>
    </w:p>
    <w:p w14:paraId="27E672C0" w14:textId="77777777" w:rsidR="00127B78" w:rsidRDefault="00127B78" w:rsidP="00127B78">
      <w:pPr>
        <w:pStyle w:val="Style1"/>
        <w:rPr>
          <w:rStyle w:val="Style1Char"/>
          <w:color w:val="00B050"/>
          <w:rtl/>
        </w:rPr>
      </w:pPr>
      <w:r w:rsidRPr="00B45213">
        <w:rPr>
          <w:rFonts w:hint="cs"/>
          <w:rtl/>
        </w:rPr>
        <w:t>הגה: יצא עליה שם רע, כגון שבאו שנים והעידו עליה שתבעתו לזנות, אין לה קנס. אבל משום קול בעלמא על שם רע שיצא עליה, לא הפסידה הקנס (טור). בא עליה באונס ואחר כך פיתה אותה, מקרי מאנס, אף על גב דאחר כך נתרצית לו (מהרי"ק שרש קכ"ט)</w:t>
      </w:r>
      <w:r w:rsidRPr="00B45213">
        <w:t>:</w:t>
      </w:r>
    </w:p>
    <w:p w14:paraId="4ECCF762" w14:textId="77777777" w:rsidR="00127B78" w:rsidRPr="00B32DE1" w:rsidRDefault="00127B78" w:rsidP="00127B78">
      <w:pPr>
        <w:bidi/>
        <w:rPr>
          <w:rStyle w:val="Style1Char"/>
          <w:color w:val="00B050"/>
        </w:rPr>
      </w:pPr>
      <w:r w:rsidRPr="00C20788">
        <w:rPr>
          <w:rStyle w:val="Style1Char"/>
          <w:color w:val="00B050"/>
          <w:sz w:val="22"/>
          <w:szCs w:val="22"/>
          <w:highlight w:val="yellow"/>
          <w:rtl/>
        </w:rPr>
        <w:lastRenderedPageBreak/>
        <w:t>[דף לט עמוד ב]</w:t>
      </w:r>
      <w:r w:rsidRPr="00C20788">
        <w:rPr>
          <w:rStyle w:val="Style1Char"/>
          <w:color w:val="00B050"/>
          <w:sz w:val="22"/>
          <w:szCs w:val="22"/>
          <w:rtl/>
        </w:rPr>
        <w:t xml:space="preserve"> </w:t>
      </w:r>
      <w:r w:rsidRPr="00B32DE1">
        <w:rPr>
          <w:rStyle w:val="Style1Char"/>
          <w:color w:val="00B050"/>
          <w:rtl/>
        </w:rPr>
        <w:t xml:space="preserve">שסופה להצטער תחת בעלה, אמרו לו: אינו דומה נבעלת באונס לנבעלת ברצון! אלא אמר רב נחמן אמר רבה בר אבוה: צער של פיסוק הרגלים, וכן הוא אומר: ותפשקי את רגליך לכל עובר. אי הכי, מפותה נמי! אמר רב נחמן אמר רבה בר אבוה: משל דמפותה, למה הדבר דומה? לאדם שאמר לחבירו קרע שיראין שלי והפטר. שלי? דאבוה נינהו! אלא אמר רב נחמן אמר רבה בר אבוה: פקחות שבהן אומרות מפותה אין לה צער. והא קא חזינן דאית לה! אמר אביי, אמרה לי אם: כמיא חמימי על רישיה דקרחא. רבא אמר, אמרה לי בת רב חסדא: כי ריבדא דכוסילתא. רב פפא אמר, אמרה לי בת אבא סוראה: כי נהמא אקושא בחינכי. </w:t>
      </w:r>
    </w:p>
    <w:p w14:paraId="283B36F5" w14:textId="77777777" w:rsidR="00127B78" w:rsidRDefault="00127B78" w:rsidP="00127B78">
      <w:pPr>
        <w:bidi/>
        <w:rPr>
          <w:rStyle w:val="Style1Char"/>
          <w:color w:val="00B050"/>
          <w:rtl/>
        </w:rPr>
      </w:pPr>
      <w:r w:rsidRPr="00B32DE1">
        <w:rPr>
          <w:rStyle w:val="Style1Char"/>
          <w:color w:val="00B050"/>
          <w:rtl/>
        </w:rPr>
        <w:t xml:space="preserve">האונס נותן מיד, </w:t>
      </w:r>
      <w:r w:rsidRPr="003802C2">
        <w:rPr>
          <w:rStyle w:val="Style1Char"/>
          <w:color w:val="auto"/>
          <w:sz w:val="22"/>
          <w:szCs w:val="22"/>
          <w:rtl/>
        </w:rPr>
        <w:t>המפתה</w:t>
      </w:r>
      <w:r w:rsidRPr="003802C2">
        <w:rPr>
          <w:rStyle w:val="Style1Char"/>
          <w:color w:val="auto"/>
          <w:rtl/>
        </w:rPr>
        <w:t xml:space="preserve"> </w:t>
      </w:r>
      <w:r w:rsidRPr="00B32DE1">
        <w:rPr>
          <w:rStyle w:val="Style1Char"/>
          <w:color w:val="00B050"/>
          <w:rtl/>
        </w:rPr>
        <w:t xml:space="preserve">לכשיוציא וכו'. </w:t>
      </w:r>
      <w:r w:rsidRPr="003802C2">
        <w:rPr>
          <w:rStyle w:val="Style1Char"/>
          <w:color w:val="auto"/>
          <w:sz w:val="22"/>
          <w:szCs w:val="22"/>
          <w:rtl/>
        </w:rPr>
        <w:t>לכשיוציא, אשתו היא? אמר אביי, אימא: לכשלא יכנוס</w:t>
      </w:r>
      <w:r w:rsidRPr="003802C2">
        <w:rPr>
          <w:rStyle w:val="Style1Char"/>
          <w:color w:val="auto"/>
          <w:rtl/>
        </w:rPr>
        <w:t xml:space="preserve">. </w:t>
      </w:r>
      <w:r w:rsidRPr="003802C2">
        <w:rPr>
          <w:rStyle w:val="Style1Char"/>
          <w:color w:val="auto"/>
          <w:sz w:val="22"/>
          <w:szCs w:val="22"/>
          <w:rtl/>
        </w:rPr>
        <w:t xml:space="preserve">תניא נמי הכי: אף על פי שאמרו </w:t>
      </w:r>
      <w:r>
        <w:rPr>
          <w:rStyle w:val="Style1Char"/>
          <w:rFonts w:hint="cs"/>
          <w:rtl/>
        </w:rPr>
        <w:t>(1)</w:t>
      </w:r>
      <w:r w:rsidRPr="003802C2">
        <w:rPr>
          <w:rStyle w:val="Style1Char"/>
          <w:color w:val="auto"/>
          <w:sz w:val="22"/>
          <w:szCs w:val="22"/>
          <w:rtl/>
        </w:rPr>
        <w:t xml:space="preserve">המפתה נותן לכשלא יכנוס, בושת ופגם נותן מיד; ואחד </w:t>
      </w:r>
      <w:r>
        <w:rPr>
          <w:rStyle w:val="Style1Char"/>
          <w:rFonts w:hint="cs"/>
          <w:rtl/>
        </w:rPr>
        <w:t>(1.2, 2)</w:t>
      </w:r>
      <w:r w:rsidRPr="003802C2">
        <w:rPr>
          <w:rStyle w:val="Style1Char"/>
          <w:color w:val="auto"/>
          <w:sz w:val="22"/>
          <w:szCs w:val="22"/>
          <w:rtl/>
        </w:rPr>
        <w:t xml:space="preserve">האונס ואחד המפתה, בין היא ובין אביה יכולין לעכב. </w:t>
      </w:r>
      <w:r w:rsidRPr="00B32DE1">
        <w:rPr>
          <w:rStyle w:val="Style1Char"/>
          <w:color w:val="00B050"/>
          <w:rtl/>
        </w:rPr>
        <w:t xml:space="preserve">בשלמא מפותה, כתיב: אם מאן ימאן אביה, אין לי אלא אביה, היא עצמה מנין? תלמוד לומר: ימאן, מכל מקום; אלא אונס, בשלמא איהי, כתיב: ולו תהיה - מדעתה, אלא אביה מנלן? אמר אביי: שלא יהא חוטא נשכר. רבא אמר: ק"ו, ומה מפתה שלא עבר אלא על דעת אביה בלבד, בין היא ובין אביה יכולין לעכב, אונס שעבר על דעת אביה ועל דעת עצמה - לא כל שכן. רבא לא אמר כאביי, כיון דקא משלם קנס - לאו חוטא נשכר הוא; אביי לא אמר כרבא, מפתה דאיהו מצי מעכב - אביה נמי מצי מעכב, אונס דאיהו לא מצי מעכב - אביה נמי לא מצי מעכב. </w:t>
      </w:r>
      <w:r w:rsidRPr="00EA04EC">
        <w:rPr>
          <w:rStyle w:val="Style1Char"/>
          <w:color w:val="auto"/>
          <w:sz w:val="22"/>
          <w:szCs w:val="22"/>
          <w:rtl/>
        </w:rPr>
        <w:t xml:space="preserve">תניא אידך: אף על פי שאמרו אונס נותן מיד, </w:t>
      </w:r>
      <w:r w:rsidRPr="00EC4287">
        <w:rPr>
          <w:rStyle w:val="Style1Char"/>
          <w:color w:val="00B050"/>
          <w:rtl/>
        </w:rPr>
        <w:t>כשיוציא הוא אין לה עליו כלום</w:t>
      </w:r>
      <w:r w:rsidRPr="005A56CF">
        <w:rPr>
          <w:rStyle w:val="Style1Char"/>
          <w:sz w:val="22"/>
          <w:szCs w:val="22"/>
          <w:rtl/>
        </w:rPr>
        <w:t xml:space="preserve">. </w:t>
      </w:r>
      <w:r w:rsidRPr="00B32DE1">
        <w:rPr>
          <w:rStyle w:val="Style1Char"/>
          <w:color w:val="00B050"/>
          <w:rtl/>
        </w:rPr>
        <w:t xml:space="preserve">כשיוציא, מי מצי מפיק לה? אימא: </w:t>
      </w:r>
      <w:r w:rsidRPr="00EC4287">
        <w:rPr>
          <w:rStyle w:val="Style1Char"/>
          <w:color w:val="auto"/>
          <w:sz w:val="22"/>
          <w:szCs w:val="22"/>
          <w:rtl/>
        </w:rPr>
        <w:t xml:space="preserve">כשתצא היא אין לה עליו כלום; </w:t>
      </w:r>
      <w:r>
        <w:rPr>
          <w:rStyle w:val="Style1Char"/>
          <w:rFonts w:hint="cs"/>
          <w:rtl/>
        </w:rPr>
        <w:t>(3)</w:t>
      </w:r>
      <w:r w:rsidRPr="00EC4287">
        <w:rPr>
          <w:rStyle w:val="Style1Char"/>
          <w:color w:val="ED7D31" w:themeColor="accent2"/>
          <w:sz w:val="22"/>
          <w:szCs w:val="22"/>
          <w:rtl/>
        </w:rPr>
        <w:t>מת - יצא כסף קנסה בכתובתה, רבי יוסי ברבי יהודה אומר: יש לה כתובה מנה</w:t>
      </w:r>
      <w:r w:rsidRPr="00EC4287">
        <w:rPr>
          <w:rStyle w:val="Style1Char"/>
          <w:color w:val="4472C4" w:themeColor="accent1"/>
          <w:rtl/>
        </w:rPr>
        <w:t xml:space="preserve"> </w:t>
      </w:r>
      <w:r w:rsidRPr="00EC4287">
        <w:rPr>
          <w:rStyle w:val="Style1Char"/>
          <w:color w:val="4472C4" w:themeColor="accent1"/>
          <w:sz w:val="22"/>
          <w:szCs w:val="22"/>
          <w:rtl/>
        </w:rPr>
        <w:t>והלכה כרבנן</w:t>
      </w:r>
      <w:r w:rsidRPr="00EC4287">
        <w:rPr>
          <w:rStyle w:val="Style1Char"/>
          <w:color w:val="4472C4" w:themeColor="accent1"/>
          <w:sz w:val="22"/>
          <w:szCs w:val="22"/>
        </w:rPr>
        <w:t>:</w:t>
      </w:r>
      <w:r w:rsidRPr="00EC4287">
        <w:rPr>
          <w:rStyle w:val="Style1Char"/>
          <w:color w:val="ED7D31" w:themeColor="accent2"/>
          <w:sz w:val="22"/>
          <w:szCs w:val="22"/>
          <w:rtl/>
        </w:rPr>
        <w:t xml:space="preserve">. </w:t>
      </w:r>
      <w:r w:rsidRPr="00B32DE1">
        <w:rPr>
          <w:rStyle w:val="Style1Char"/>
          <w:color w:val="00B050"/>
          <w:rtl/>
        </w:rPr>
        <w:t xml:space="preserve">במאי קמיפלגי? רבנן סברי: </w:t>
      </w:r>
      <w:r>
        <w:rPr>
          <w:rStyle w:val="Style1Char"/>
          <w:rFonts w:hint="cs"/>
          <w:rtl/>
        </w:rPr>
        <w:t>(3)</w:t>
      </w:r>
      <w:r w:rsidRPr="00B32DE1">
        <w:rPr>
          <w:rStyle w:val="Style1Char"/>
          <w:color w:val="00B050"/>
          <w:rtl/>
        </w:rPr>
        <w:t xml:space="preserve">טעמא מאי תקינו רבנן כתובה? כדי שלא תהא קלה בעיניו להוציאה, והא לא מצי מפיק לה; ורבי יוסי ברבי יהודה סבר: הא נמי מצער לה, עד דאמרה היא לא בעינא לך. אונס שותה בעציצו. אמר ליה רבא מפרזקיא לרב אשי: מכדי מיגמר גמרי מהדדי, </w:t>
      </w:r>
    </w:p>
    <w:p w14:paraId="02B80C01" w14:textId="53CB6417" w:rsidR="00127B78" w:rsidRDefault="00127B78" w:rsidP="00127B78">
      <w:pPr>
        <w:pStyle w:val="Style1"/>
        <w:rPr>
          <w:rtl/>
        </w:rPr>
      </w:pPr>
      <w:r>
        <w:rPr>
          <w:rFonts w:hint="cs"/>
          <w:rtl/>
        </w:rPr>
        <w:t>1)[</w:t>
      </w:r>
      <w:r>
        <w:rPr>
          <w:rtl/>
        </w:rPr>
        <w:t>רמב</w:t>
      </w:r>
      <w:r w:rsidR="00786216">
        <w:rPr>
          <w:rtl/>
        </w:rPr>
        <w:t>”ם \נשים\</w:t>
      </w:r>
      <w:r>
        <w:rPr>
          <w:rtl/>
        </w:rPr>
        <w:t xml:space="preserve"> הלכות נערה בתולה פרק ב הלכה ז</w:t>
      </w:r>
      <w:r>
        <w:rPr>
          <w:rFonts w:hint="cs"/>
          <w:rtl/>
        </w:rPr>
        <w:t xml:space="preserve">] </w:t>
      </w:r>
      <w:r>
        <w:rPr>
          <w:rtl/>
        </w:rPr>
        <w:t xml:space="preserve">המפתה נותן בושת ופגם מיד ואינו נותן את הקנס אלא אם כן לא נשאה שנ' </w:t>
      </w:r>
      <w:r>
        <w:rPr>
          <w:rFonts w:hint="cs"/>
          <w:rtl/>
        </w:rPr>
        <w:t>(</w:t>
      </w:r>
      <w:r>
        <w:rPr>
          <w:rtl/>
        </w:rPr>
        <w:t>שמות כ"ב ט"ז</w:t>
      </w:r>
      <w:r>
        <w:rPr>
          <w:rFonts w:hint="cs"/>
          <w:rtl/>
        </w:rPr>
        <w:t>)</w:t>
      </w:r>
      <w:r>
        <w:rPr>
          <w:rtl/>
        </w:rPr>
        <w:t xml:space="preserve"> ואם מאן ימאן אביה לתתה לו כסף ישקול כמהר הבתולות, אבל האונס נותן ארבעה דברים מיד וכונס, לפיכך כשתרצה להתגרש או אם מת אין לה כלום.</w:t>
      </w:r>
    </w:p>
    <w:p w14:paraId="69B14246" w14:textId="77777777" w:rsidR="00127B78" w:rsidRPr="00AE64BF" w:rsidRDefault="00127B78" w:rsidP="00127B78">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50487550"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06C94E8A"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73D6BAC1" w14:textId="77777777" w:rsidR="00127B78" w:rsidRDefault="00127B78" w:rsidP="00127B78">
      <w:pPr>
        <w:pStyle w:val="Style1"/>
        <w:rPr>
          <w:rStyle w:val="Style1Char"/>
          <w:rtl/>
        </w:rPr>
      </w:pPr>
      <w:r w:rsidRPr="00AE64BF">
        <w:rPr>
          <w:rStyle w:val="Style1Char"/>
          <w:rtl/>
        </w:rPr>
        <w:lastRenderedPageBreak/>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0FC767EA" w14:textId="6EA48F11" w:rsidR="00127B78" w:rsidRDefault="00127B78" w:rsidP="00127B78">
      <w:pPr>
        <w:pStyle w:val="Style1"/>
        <w:rPr>
          <w:rtl/>
        </w:rPr>
      </w:pPr>
      <w:r>
        <w:rPr>
          <w:rFonts w:hint="cs"/>
          <w:rtl/>
        </w:rPr>
        <w:t>2)[</w:t>
      </w:r>
      <w:r>
        <w:rPr>
          <w:rtl/>
        </w:rPr>
        <w:t>רמב</w:t>
      </w:r>
      <w:r w:rsidR="00786216">
        <w:rPr>
          <w:rtl/>
        </w:rPr>
        <w:t>”ם \נשים\</w:t>
      </w:r>
      <w:r>
        <w:rPr>
          <w:rtl/>
        </w:rPr>
        <w:t xml:space="preserve"> הלכות נערה בתולה פרק א הלכה ג</w:t>
      </w:r>
      <w:r>
        <w:rPr>
          <w:rFonts w:hint="cs"/>
          <w:rtl/>
        </w:rPr>
        <w:t xml:space="preserve">] </w:t>
      </w:r>
      <w:r>
        <w:rPr>
          <w:rtl/>
        </w:rPr>
        <w:t xml:space="preserve">המפותה שלא רצת להנשא למפתה, או שלא רצה אביה ליתנה לו, או שלא רצה הוא לכנוס, הרי זה נותן קנסה והולך ואין כופין אותו לכנוס, ואם רצו וכנסה אינו משלם קנס אלא כותב לה כתובה כשאר הבתולות. אבל האנוסה שלא רצת היא או אביה להנשא לאונס הרשות בידם ונותן קנס, רצת היא ואביה ולא רצה הוא כופין אותו וכונס ונותן קנס שנ' </w:t>
      </w:r>
      <w:r>
        <w:rPr>
          <w:rFonts w:hint="cs"/>
          <w:rtl/>
        </w:rPr>
        <w:t>(</w:t>
      </w:r>
      <w:r>
        <w:rPr>
          <w:rtl/>
        </w:rPr>
        <w:t>דברים כ"ב כ"ט</w:t>
      </w:r>
      <w:r>
        <w:rPr>
          <w:rFonts w:hint="cs"/>
          <w:rtl/>
        </w:rPr>
        <w:t>)</w:t>
      </w:r>
      <w:r>
        <w:rPr>
          <w:rtl/>
        </w:rPr>
        <w:t xml:space="preserve"> ולו תהיה לאשה הרי זו מצות עשה, אפילו היא חגרת או סומה או מצורעת כופין אותו לכנוס ואינו מוציא לרצונו לעולם שנ' </w:t>
      </w:r>
      <w:r>
        <w:rPr>
          <w:rFonts w:hint="cs"/>
          <w:rtl/>
        </w:rPr>
        <w:t>(</w:t>
      </w:r>
      <w:r>
        <w:rPr>
          <w:rtl/>
        </w:rPr>
        <w:t>דברים כ"ב כ"ט</w:t>
      </w:r>
      <w:r>
        <w:rPr>
          <w:rFonts w:hint="cs"/>
          <w:rtl/>
        </w:rPr>
        <w:t>)</w:t>
      </w:r>
      <w:r>
        <w:rPr>
          <w:rtl/>
        </w:rPr>
        <w:t xml:space="preserve"> לא יוכל שלחה כל ימיו הרי זו מצות לא תעשה.</w:t>
      </w:r>
    </w:p>
    <w:p w14:paraId="6FEA41C3" w14:textId="4C8CDB32" w:rsidR="00127B78" w:rsidRDefault="00127B78" w:rsidP="00127B78">
      <w:pPr>
        <w:pStyle w:val="Style1"/>
        <w:rPr>
          <w:rtl/>
        </w:rPr>
      </w:pPr>
      <w:r>
        <w:rPr>
          <w:rFonts w:hint="cs"/>
          <w:rtl/>
        </w:rPr>
        <w:t>3)[</w:t>
      </w:r>
      <w:r>
        <w:rPr>
          <w:rtl/>
        </w:rPr>
        <w:t>רמב</w:t>
      </w:r>
      <w:r w:rsidR="00786216">
        <w:rPr>
          <w:rtl/>
        </w:rPr>
        <w:t>”ם \נשים\</w:t>
      </w:r>
      <w:r>
        <w:rPr>
          <w:rtl/>
        </w:rPr>
        <w:t xml:space="preserve"> הלכות נערה בתולה פרק א הלכה ד</w:t>
      </w:r>
      <w:r>
        <w:rPr>
          <w:rFonts w:hint="cs"/>
          <w:rtl/>
        </w:rPr>
        <w:t xml:space="preserve">] </w:t>
      </w:r>
      <w:r>
        <w:rPr>
          <w:rtl/>
        </w:rPr>
        <w:t>ואין לה כתובה שלא תקנו חכמים כתובה לאשה אלא כדי שלא תהיה קלה בעיניו להוציאה וזה אינו יכול להוציא.</w:t>
      </w:r>
    </w:p>
    <w:p w14:paraId="08E9DA2B" w14:textId="77777777" w:rsidR="00127B78" w:rsidRDefault="00127B78" w:rsidP="00127B78">
      <w:pPr>
        <w:pStyle w:val="Style1"/>
        <w:rPr>
          <w:rtl/>
        </w:rPr>
      </w:pPr>
    </w:p>
    <w:p w14:paraId="0E634EB5" w14:textId="77777777" w:rsidR="00127B78" w:rsidRPr="00693955" w:rsidRDefault="00127B78" w:rsidP="00127B78">
      <w:pPr>
        <w:bidi/>
        <w:rPr>
          <w:rStyle w:val="Style1Char"/>
          <w:color w:val="00B050"/>
          <w:rtl/>
        </w:rPr>
      </w:pPr>
    </w:p>
    <w:p w14:paraId="12CF3A3E" w14:textId="77777777" w:rsidR="00127B78" w:rsidRDefault="00127B78" w:rsidP="00127B78">
      <w:pPr>
        <w:rPr>
          <w:rStyle w:val="Style1Char"/>
          <w:color w:val="00B050"/>
          <w:rtl/>
        </w:rPr>
      </w:pPr>
      <w:r>
        <w:rPr>
          <w:rStyle w:val="Style1Char"/>
          <w:color w:val="00B050"/>
          <w:rtl/>
        </w:rPr>
        <w:br w:type="page"/>
      </w:r>
    </w:p>
    <w:p w14:paraId="32FA10C0" w14:textId="77777777" w:rsidR="00127B78" w:rsidRPr="00B32DE1" w:rsidRDefault="00127B78" w:rsidP="00127B78">
      <w:pPr>
        <w:bidi/>
        <w:rPr>
          <w:rStyle w:val="Style1Char"/>
          <w:color w:val="00B050"/>
        </w:rPr>
      </w:pPr>
      <w:r w:rsidRPr="003852CC">
        <w:rPr>
          <w:rStyle w:val="Style1Char"/>
          <w:color w:val="00B050"/>
          <w:sz w:val="22"/>
          <w:szCs w:val="22"/>
          <w:highlight w:val="yellow"/>
          <w:rtl/>
        </w:rPr>
        <w:lastRenderedPageBreak/>
        <w:t>[דף מ עמוד א]</w:t>
      </w:r>
      <w:r w:rsidRPr="003852CC">
        <w:rPr>
          <w:rStyle w:val="Style1Char"/>
          <w:color w:val="00B050"/>
          <w:sz w:val="22"/>
          <w:szCs w:val="22"/>
          <w:rtl/>
        </w:rPr>
        <w:t xml:space="preserve"> </w:t>
      </w:r>
      <w:r w:rsidRPr="00B32DE1">
        <w:rPr>
          <w:rStyle w:val="Style1Char"/>
          <w:color w:val="00B050"/>
          <w:rtl/>
        </w:rPr>
        <w:t xml:space="preserve">להא מילתא נמי ליגמרו מהדדי! אמר קרא: מהר ימהרנה לו לאשה, לו - מדעתו. </w:t>
      </w:r>
    </w:p>
    <w:p w14:paraId="3E616061" w14:textId="77777777" w:rsidR="00127B78" w:rsidRPr="00FC4194" w:rsidRDefault="00127B78" w:rsidP="00127B78">
      <w:pPr>
        <w:bidi/>
        <w:rPr>
          <w:rStyle w:val="Style1Char"/>
          <w:color w:val="auto"/>
          <w:rtl/>
        </w:rPr>
      </w:pPr>
      <w:r w:rsidRPr="00B32DE1">
        <w:rPr>
          <w:rStyle w:val="Style1Char"/>
          <w:color w:val="00B050"/>
          <w:rtl/>
        </w:rPr>
        <w:t>כיצד שותה בעציצו כו'. אמר רב כהנא, אמריתא לשמעתא קמיה דרב זביד מנהרדעא</w:t>
      </w:r>
      <w:r w:rsidRPr="00C23E9E">
        <w:rPr>
          <w:rStyle w:val="Style1Char"/>
          <w:sz w:val="22"/>
          <w:szCs w:val="22"/>
          <w:rtl/>
        </w:rPr>
        <w:t xml:space="preserve">: </w:t>
      </w:r>
      <w:r w:rsidRPr="00FC4194">
        <w:rPr>
          <w:rStyle w:val="Style1Char"/>
          <w:color w:val="auto"/>
          <w:sz w:val="22"/>
          <w:szCs w:val="22"/>
          <w:rtl/>
        </w:rPr>
        <w:t>ניתי עשה ונדחה ל"ת!</w:t>
      </w:r>
      <w:r w:rsidRPr="00FC4194">
        <w:rPr>
          <w:rStyle w:val="Style1Char"/>
          <w:color w:val="auto"/>
          <w:rtl/>
        </w:rPr>
        <w:t xml:space="preserve"> </w:t>
      </w:r>
      <w:r w:rsidRPr="00B32DE1">
        <w:rPr>
          <w:rStyle w:val="Style1Char"/>
          <w:color w:val="00B050"/>
          <w:rtl/>
        </w:rPr>
        <w:t xml:space="preserve">אמר לי: </w:t>
      </w:r>
      <w:r>
        <w:rPr>
          <w:rStyle w:val="Style1Char"/>
          <w:rFonts w:hint="cs"/>
          <w:rtl/>
        </w:rPr>
        <w:t>(1)</w:t>
      </w:r>
      <w:r w:rsidRPr="00FC4194">
        <w:rPr>
          <w:rStyle w:val="Style1Char"/>
          <w:color w:val="auto"/>
          <w:sz w:val="22"/>
          <w:szCs w:val="22"/>
          <w:rtl/>
        </w:rPr>
        <w:t>היכא אמרינן ניתי עשה ונידחי ל"ת - כגון מילה בצרעת</w:t>
      </w:r>
      <w:r w:rsidRPr="00FC4194">
        <w:rPr>
          <w:rStyle w:val="Style1Char"/>
          <w:color w:val="4472C4" w:themeColor="accent1"/>
          <w:rtl/>
        </w:rPr>
        <w:t xml:space="preserve"> </w:t>
      </w:r>
      <w:r w:rsidRPr="00FC4194">
        <w:rPr>
          <w:rStyle w:val="Style1Char"/>
          <w:color w:val="4472C4" w:themeColor="accent1"/>
          <w:sz w:val="22"/>
          <w:szCs w:val="22"/>
          <w:rtl/>
        </w:rPr>
        <w:t>וכלאים בציצית</w:t>
      </w:r>
      <w:r w:rsidRPr="00FC4194">
        <w:rPr>
          <w:rStyle w:val="Style1Char"/>
          <w:color w:val="auto"/>
          <w:sz w:val="22"/>
          <w:szCs w:val="22"/>
          <w:rtl/>
        </w:rPr>
        <w:t xml:space="preserve">, דלא אפשר לקיומיה לעשה, אבל הכא אי אמרה דלא בעינא, מי איתיה לעשה כלל? </w:t>
      </w:r>
      <w:r w:rsidRPr="00417841">
        <w:rPr>
          <w:rStyle w:val="Style1Char"/>
          <w:color w:val="4472C4" w:themeColor="accent1"/>
          <w:rtl/>
        </w:rPr>
        <w:t>הלכך אפי' אי אמרה בעינא ליה לא דחי כיון דלא דמיא למילה בצרעת</w:t>
      </w:r>
      <w:r w:rsidRPr="00417841">
        <w:rPr>
          <w:rStyle w:val="Style1Char"/>
          <w:color w:val="4472C4" w:themeColor="accent1"/>
        </w:rPr>
        <w:t>:</w:t>
      </w:r>
    </w:p>
    <w:p w14:paraId="38BB3FC8" w14:textId="77777777" w:rsidR="00127B78" w:rsidRPr="00BC3B77" w:rsidRDefault="00127B78" w:rsidP="00127B78">
      <w:pPr>
        <w:bidi/>
        <w:rPr>
          <w:rStyle w:val="Style1Char"/>
          <w:color w:val="auto"/>
          <w:sz w:val="22"/>
          <w:szCs w:val="22"/>
        </w:rPr>
      </w:pPr>
      <w:r w:rsidRPr="00BC3B77">
        <w:rPr>
          <w:rStyle w:val="Style1Char"/>
          <w:color w:val="auto"/>
          <w:sz w:val="22"/>
          <w:szCs w:val="22"/>
          <w:rtl/>
        </w:rPr>
        <w:t xml:space="preserve">מתני'. יתומה שנתארסה ונתגרשה, ר' אלעזר אומר: האונס - חייב, והמפתה - פטור. </w:t>
      </w:r>
    </w:p>
    <w:p w14:paraId="028AADA2" w14:textId="77777777" w:rsidR="00127B78" w:rsidRPr="00963A2F" w:rsidRDefault="00127B78" w:rsidP="00127B78">
      <w:pPr>
        <w:bidi/>
        <w:rPr>
          <w:rStyle w:val="Style1Char"/>
          <w:color w:val="auto"/>
          <w:sz w:val="22"/>
          <w:szCs w:val="22"/>
          <w:rtl/>
        </w:rPr>
      </w:pPr>
      <w:r w:rsidRPr="00B32DE1">
        <w:rPr>
          <w:rStyle w:val="Style1Char"/>
          <w:color w:val="00B050"/>
          <w:rtl/>
        </w:rPr>
        <w:t xml:space="preserve">גמ'. אמר רבה בר בר חנה אמר ר' יוחנן: ר"א בשיטת ר"ע רבו אמרה, דאמר: יש לה קנס וקנסה לעצמה. ממאי? מדקתני: יתומה, ר"א אומר: האונס - חייב, והמפתה - פטור, יתומה פשיטא! אלא הא קמ"ל, דנערה שנתארסה ונתגרשה כיתומה, מה </w:t>
      </w:r>
      <w:r>
        <w:rPr>
          <w:rStyle w:val="Style1Char"/>
          <w:rFonts w:hint="cs"/>
          <w:rtl/>
        </w:rPr>
        <w:t>(2)</w:t>
      </w:r>
      <w:r w:rsidRPr="00B32DE1">
        <w:rPr>
          <w:rStyle w:val="Style1Char"/>
          <w:color w:val="00B050"/>
          <w:rtl/>
        </w:rPr>
        <w:t xml:space="preserve">יתומה - לעצמה, אף נערה שנתארסה ונתגרשה - לעצמה. א"ר זירא אמר רבה בר שילא אמר רב המנונא סבא </w:t>
      </w:r>
      <w:r w:rsidRPr="00963A2F">
        <w:rPr>
          <w:rStyle w:val="Style1Char"/>
          <w:color w:val="auto"/>
          <w:sz w:val="22"/>
          <w:szCs w:val="22"/>
          <w:rtl/>
        </w:rPr>
        <w:t xml:space="preserve">א"ר אדא בר אהבה </w:t>
      </w:r>
      <w:r w:rsidRPr="007634E8">
        <w:rPr>
          <w:rStyle w:val="Style1Char"/>
          <w:color w:val="ED7D31" w:themeColor="accent2"/>
          <w:sz w:val="22"/>
          <w:szCs w:val="22"/>
          <w:rtl/>
        </w:rPr>
        <w:t xml:space="preserve">אמר רב: </w:t>
      </w:r>
      <w:r>
        <w:rPr>
          <w:rStyle w:val="Style1Char"/>
          <w:rFonts w:hint="cs"/>
          <w:rtl/>
        </w:rPr>
        <w:t>(2.2, 3)</w:t>
      </w:r>
      <w:r w:rsidRPr="00963A2F">
        <w:rPr>
          <w:rStyle w:val="Style1Char"/>
          <w:color w:val="auto"/>
          <w:sz w:val="22"/>
          <w:szCs w:val="22"/>
          <w:rtl/>
        </w:rPr>
        <w:t xml:space="preserve">הלכה כר' אלעזר. קרי רב עליה דרבי אלעזר: טובינא דחכימי. </w:t>
      </w:r>
    </w:p>
    <w:p w14:paraId="1D33C864" w14:textId="77777777" w:rsidR="00127B78" w:rsidRPr="007634E8" w:rsidRDefault="00127B78" w:rsidP="00127B78">
      <w:pPr>
        <w:bidi/>
        <w:rPr>
          <w:rStyle w:val="Style1Char"/>
          <w:color w:val="auto"/>
          <w:sz w:val="22"/>
          <w:szCs w:val="22"/>
          <w:rtl/>
        </w:rPr>
      </w:pPr>
      <w:r w:rsidRPr="007634E8">
        <w:rPr>
          <w:rStyle w:val="Style1Char"/>
          <w:color w:val="auto"/>
          <w:sz w:val="22"/>
          <w:szCs w:val="22"/>
          <w:rtl/>
        </w:rPr>
        <w:t xml:space="preserve">מתני'. איזהו בושת? </w:t>
      </w:r>
      <w:r>
        <w:rPr>
          <w:rStyle w:val="Style1Char"/>
          <w:rFonts w:hint="cs"/>
          <w:rtl/>
        </w:rPr>
        <w:t>(2.2, 4)</w:t>
      </w:r>
      <w:r w:rsidRPr="007634E8">
        <w:rPr>
          <w:rStyle w:val="Style1Char"/>
          <w:color w:val="auto"/>
          <w:sz w:val="22"/>
          <w:szCs w:val="22"/>
          <w:rtl/>
        </w:rPr>
        <w:t xml:space="preserve">הכל לפי המבייש והמתבייש. פגם - רואין אותה כאילו היא שפחה נמכרת בשוק, כמה היתה יפה וכמה היא יפה. </w:t>
      </w:r>
      <w:r>
        <w:rPr>
          <w:rStyle w:val="Style1Char"/>
          <w:rFonts w:hint="cs"/>
          <w:rtl/>
        </w:rPr>
        <w:t>(2.2, 5)</w:t>
      </w:r>
      <w:r w:rsidRPr="007634E8">
        <w:rPr>
          <w:rStyle w:val="Style1Char"/>
          <w:color w:val="auto"/>
          <w:sz w:val="22"/>
          <w:szCs w:val="22"/>
          <w:rtl/>
        </w:rPr>
        <w:t xml:space="preserve">קנס - שוה בכל אדם. וכל שיש לו קצבה מן התורה - שוה בכל אדם. </w:t>
      </w:r>
    </w:p>
    <w:p w14:paraId="669B6212" w14:textId="77777777" w:rsidR="00127B78" w:rsidRPr="00B32DE1" w:rsidRDefault="00127B78" w:rsidP="00127B78">
      <w:pPr>
        <w:bidi/>
        <w:rPr>
          <w:rStyle w:val="Style1Char"/>
          <w:color w:val="00B050"/>
        </w:rPr>
      </w:pPr>
      <w:r w:rsidRPr="00417841">
        <w:rPr>
          <w:rStyle w:val="Style1Char"/>
          <w:color w:val="4472C4" w:themeColor="accent1"/>
          <w:rtl/>
        </w:rPr>
        <w:t>והבא על הבתולה בין כדרכה בין שלא כדרכה משלם קנס כדאמרינן בפ"ק דקדושין (דף ט ב) באו עליה עשרה בני אדם ועדיין היא בתולה פי' שבאו עליה שלא כדרכה הראשון בסקילה וכולן בחנק וקאמר עלה התם מודה רבי לענין קנס דכולהו משלמין. וכן בפרק הבא על יבמתו (דף נט א) גבי הא דתניא ולו תהיה לאשה באשה הראויה לו פרט לאלמנה לכהן גדול ופריך היכי דמי אילימא כדרכה מאי אריא משום אלמנה תיפוק ליה משום בעולה אלא לאו שלא כדרכה אלמא דיש קנס שלא כדרכה ודלא כמו שכתב הרמב"ם ז"ל (פ"א מהל' נערה) דאין משלם קנס אלא כדרכה.</w:t>
      </w:r>
    </w:p>
    <w:p w14:paraId="720E30CA" w14:textId="77777777" w:rsidR="00127B78" w:rsidRDefault="00127B78" w:rsidP="00127B78">
      <w:pPr>
        <w:bidi/>
        <w:rPr>
          <w:rStyle w:val="Style1Char"/>
          <w:color w:val="00B050"/>
          <w:rtl/>
        </w:rPr>
      </w:pPr>
      <w:r w:rsidRPr="002F378E">
        <w:rPr>
          <w:rStyle w:val="Style1Char"/>
          <w:color w:val="auto"/>
          <w:sz w:val="22"/>
          <w:szCs w:val="22"/>
          <w:rtl/>
        </w:rPr>
        <w:t xml:space="preserve"> גמ'.</w:t>
      </w:r>
      <w:r w:rsidRPr="002F378E">
        <w:rPr>
          <w:rStyle w:val="BalloonTextChar"/>
          <w:rFonts w:asciiTheme="minorHAnsi" w:hAnsiTheme="minorHAnsi" w:cs="Arial"/>
          <w:color w:val="4472C4" w:themeColor="accent1"/>
          <w:rtl/>
        </w:rPr>
        <w:t xml:space="preserve"> </w:t>
      </w:r>
      <w:r w:rsidRPr="002F378E">
        <w:rPr>
          <w:rStyle w:val="Style1Char"/>
          <w:color w:val="00B050"/>
          <w:rtl/>
        </w:rPr>
        <w:t>ו</w:t>
      </w:r>
      <w:r w:rsidRPr="00B32DE1">
        <w:rPr>
          <w:rStyle w:val="Style1Char"/>
          <w:color w:val="00B050"/>
          <w:rtl/>
        </w:rPr>
        <w:t xml:space="preserve">אימא: חמשים סלעים אמר רחמנא מכל מילי? א"ר זירא, יאמרו: בעל בת מלכים חמשים, בעל בת הדיוטות חמשים! א"ל אביי: אי הכי, גבי עבד נמי יאמרו: עבד נוקב מרגליות שלשים, עבד עושה </w:t>
      </w:r>
    </w:p>
    <w:p w14:paraId="2572B6F0" w14:textId="49018B7F" w:rsidR="00127B78" w:rsidRDefault="00127B78" w:rsidP="00127B78">
      <w:pPr>
        <w:pStyle w:val="Style1"/>
        <w:rPr>
          <w:rStyle w:val="Style1Char"/>
          <w:rtl/>
        </w:rPr>
      </w:pPr>
      <w:r>
        <w:rPr>
          <w:rStyle w:val="Style1Char"/>
          <w:rFonts w:hint="cs"/>
          <w:rtl/>
        </w:rPr>
        <w:t>1)[</w:t>
      </w:r>
      <w:r w:rsidRPr="00892CFF">
        <w:rPr>
          <w:rStyle w:val="Style1Char"/>
          <w:rtl/>
        </w:rPr>
        <w:t>רמב</w:t>
      </w:r>
      <w:r w:rsidR="00EC109D">
        <w:rPr>
          <w:rStyle w:val="Style1Char"/>
          <w:rtl/>
        </w:rPr>
        <w:t>”ם \אהבה\</w:t>
      </w:r>
      <w:r w:rsidRPr="00892CFF">
        <w:rPr>
          <w:rStyle w:val="Style1Char"/>
          <w:rtl/>
        </w:rPr>
        <w:t xml:space="preserve"> הלכות ציצית פרק ג הלכה ו</w:t>
      </w:r>
      <w:r>
        <w:rPr>
          <w:rStyle w:val="Style1Char"/>
          <w:rFonts w:hint="cs"/>
          <w:rtl/>
        </w:rPr>
        <w:t xml:space="preserve">] </w:t>
      </w:r>
      <w:r w:rsidRPr="00892CFF">
        <w:rPr>
          <w:rStyle w:val="Style1Char"/>
          <w:rtl/>
        </w:rPr>
        <w:t>ומה הוא לעשות חוטי צמר בכסות של פשתן או חוטי פשתן בכסות של צמר, אף על פי שהוא לבן לבדו בלא תכלת, בדין הוא שיהא מותר שהשעטנז מותר לענין ציצית, שהרי התכלת צמר הוא ומטילין אותה לפשתן, ומפני מה אין עושין כן, מפני שאפשר לעשות הלבן שלה ממינה, וכל מקום שאתה מוצא עשה ולא תעשה אם יכול אתה לקיים את שתיהן הרי מוטב, ואם לאו יבא עשה וידחה את לא תעשה, וכאן אפשר לקיים את שתיהן.</w:t>
      </w:r>
    </w:p>
    <w:p w14:paraId="3CE0CAE9" w14:textId="723E14C0" w:rsidR="00127B78" w:rsidRDefault="00127B78" w:rsidP="00127B78">
      <w:pPr>
        <w:pStyle w:val="Style1"/>
        <w:rPr>
          <w:rStyle w:val="Style1Char"/>
          <w:rtl/>
        </w:rPr>
      </w:pPr>
      <w:r>
        <w:rPr>
          <w:rStyle w:val="Style1Char"/>
          <w:rFonts w:hint="cs"/>
          <w:rtl/>
        </w:rPr>
        <w:t>2)[</w:t>
      </w:r>
      <w:r w:rsidRPr="00A82E29">
        <w:rPr>
          <w:rStyle w:val="Style1Char"/>
          <w:rtl/>
        </w:rPr>
        <w:t>רמב</w:t>
      </w:r>
      <w:r w:rsidR="00786216">
        <w:rPr>
          <w:rStyle w:val="Style1Char"/>
          <w:rtl/>
        </w:rPr>
        <w:t>”ם \נשים\</w:t>
      </w:r>
      <w:r w:rsidRPr="00A82E29">
        <w:rPr>
          <w:rStyle w:val="Style1Char"/>
          <w:rtl/>
        </w:rPr>
        <w:t xml:space="preserve"> הלכות נערה בתולה פרק ב הלכה יד</w:t>
      </w:r>
      <w:r>
        <w:rPr>
          <w:rStyle w:val="Style1Char"/>
          <w:rFonts w:hint="cs"/>
          <w:rtl/>
        </w:rPr>
        <w:t xml:space="preserve">] </w:t>
      </w:r>
      <w:r w:rsidRPr="00A82E29">
        <w:rPr>
          <w:rStyle w:val="Style1Char"/>
          <w:rtl/>
        </w:rPr>
        <w:t>שלשה דברים של מפתה וארבעה של אונס הרי הן של אב שכל שבח נעורים לאב, ואם אין לה אב הרי הן של עצמה.</w:t>
      </w:r>
    </w:p>
    <w:p w14:paraId="16D52F8D" w14:textId="77777777" w:rsidR="00127B78" w:rsidRPr="00AE64BF" w:rsidRDefault="00127B78" w:rsidP="00127B78">
      <w:pPr>
        <w:pStyle w:val="Style1"/>
        <w:rPr>
          <w:rStyle w:val="Style1Char"/>
        </w:rPr>
      </w:pPr>
      <w:r>
        <w:rPr>
          <w:rStyle w:val="Style1Char"/>
          <w:rFonts w:hint="cs"/>
          <w:rtl/>
        </w:rPr>
        <w:t>2)[</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0B8E0513"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62655D00" w14:textId="77777777" w:rsidR="00127B78" w:rsidRPr="00AE64BF" w:rsidRDefault="00127B78" w:rsidP="00127B78">
      <w:pPr>
        <w:pStyle w:val="Style1"/>
        <w:rPr>
          <w:rStyle w:val="Style1Char"/>
        </w:rPr>
      </w:pPr>
      <w:r>
        <w:rPr>
          <w:rStyle w:val="Style1Char"/>
          <w:rFonts w:hint="cs"/>
        </w:rPr>
        <w:lastRenderedPageBreak/>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65ADC48E"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565A6994" w14:textId="1E6B9AD8" w:rsidR="00127B78" w:rsidRDefault="00127B78" w:rsidP="00127B78">
      <w:pPr>
        <w:pStyle w:val="Style1"/>
        <w:rPr>
          <w:rStyle w:val="Style1Char"/>
          <w:rtl/>
        </w:rPr>
      </w:pPr>
      <w:r>
        <w:rPr>
          <w:rStyle w:val="Style1Char"/>
          <w:rFonts w:hint="cs"/>
          <w:rtl/>
        </w:rPr>
        <w:t>3)[</w:t>
      </w:r>
      <w:r w:rsidRPr="000E474E">
        <w:rPr>
          <w:rStyle w:val="Style1Char"/>
          <w:rtl/>
        </w:rPr>
        <w:t>רמב</w:t>
      </w:r>
      <w:r w:rsidR="00786216">
        <w:rPr>
          <w:rStyle w:val="Style1Char"/>
          <w:rtl/>
        </w:rPr>
        <w:t>”ם \נשים\</w:t>
      </w:r>
      <w:r w:rsidRPr="000E474E">
        <w:rPr>
          <w:rStyle w:val="Style1Char"/>
          <w:rtl/>
        </w:rPr>
        <w:t xml:space="preserve"> הלכות נערה בתולה פרק א הלכה ט</w:t>
      </w:r>
      <w:r>
        <w:rPr>
          <w:rStyle w:val="Style1Char"/>
          <w:rFonts w:hint="cs"/>
          <w:rtl/>
        </w:rPr>
        <w:t xml:space="preserve">] </w:t>
      </w:r>
      <w:r w:rsidRPr="000E474E">
        <w:rPr>
          <w:rStyle w:val="Style1Char"/>
          <w:rtl/>
        </w:rPr>
        <w:t>ואחת שיש לה אב או שאין לה אב יש לה קנס. ואלו שאין להן קנס הבוגרת והממאנת והאילונית והשוטה והחרשת ומי שיצא עליה שם רע בילדותה ובאו שנים והעידו שתבעה אותן לזנות עמה והמתגרשת מן הנישואין ועדיין היא נערה בתולה אבל המתגרשת מן האירוסין אם נאנסה יש לה קנס וקנסה לעצמה ואם נתפתתה אין לה קנס. /השגת הראב"ד/ ואלו שאין להן קנס הבוגרת והממאנת והאילונית. א"א גם זה טעות שהאילונית לדברי חכמים יש לה קנס עד שתהיה בת עשרים שמקטנותה יצאה לבגרות. /השגת הראב"ד/ והחרשת. /א"א/ אף זו טעות דלהדיא לרבנן יש לה קנס ופיתוי.</w:t>
      </w:r>
    </w:p>
    <w:p w14:paraId="6591457B" w14:textId="6577BEBF" w:rsidR="00127B78" w:rsidRDefault="00127B78" w:rsidP="00127B78">
      <w:pPr>
        <w:pStyle w:val="Style1"/>
        <w:rPr>
          <w:rStyle w:val="Style1Char"/>
          <w:rtl/>
        </w:rPr>
      </w:pPr>
      <w:r>
        <w:rPr>
          <w:rStyle w:val="Style1Char"/>
          <w:rFonts w:hint="cs"/>
          <w:rtl/>
        </w:rPr>
        <w:t>4)[</w:t>
      </w:r>
      <w:r w:rsidRPr="008B6DEC">
        <w:rPr>
          <w:rStyle w:val="Style1Char"/>
          <w:rtl/>
        </w:rPr>
        <w:t>רמב</w:t>
      </w:r>
      <w:r w:rsidR="00786216">
        <w:rPr>
          <w:rStyle w:val="Style1Char"/>
          <w:rtl/>
        </w:rPr>
        <w:t>”ם \נשים\</w:t>
      </w:r>
      <w:r w:rsidRPr="008B6DEC">
        <w:rPr>
          <w:rStyle w:val="Style1Char"/>
          <w:rtl/>
        </w:rPr>
        <w:t xml:space="preserve"> הלכות נערה בתולה פרק ב הלכה ד</w:t>
      </w:r>
      <w:r>
        <w:rPr>
          <w:rStyle w:val="Style1Char"/>
          <w:rFonts w:hint="cs"/>
          <w:rtl/>
        </w:rPr>
        <w:t xml:space="preserve">] </w:t>
      </w:r>
      <w:r w:rsidRPr="008B6DEC">
        <w:rPr>
          <w:rStyle w:val="Style1Char"/>
          <w:rtl/>
        </w:rPr>
        <w:t>כיצד שמין הבושת, הכל לפי המבייש והמתבייש שאינו דומה המבייש נערה חשובה וממשפחה מיוחסה למבייש קטנה ענייה בזויה ואינו דומה המתבייש מאדם חשוב וגדול למי שמביישו אחד מן הנבלים וקל מן הקלים.</w:t>
      </w:r>
    </w:p>
    <w:p w14:paraId="11235D0C" w14:textId="689606F6" w:rsidR="00127B78" w:rsidRDefault="00127B78" w:rsidP="00127B78">
      <w:pPr>
        <w:pStyle w:val="Style1"/>
        <w:rPr>
          <w:rStyle w:val="Style1Char"/>
          <w:rtl/>
        </w:rPr>
      </w:pPr>
      <w:r>
        <w:rPr>
          <w:rStyle w:val="Style1Char"/>
          <w:rFonts w:hint="cs"/>
          <w:rtl/>
        </w:rPr>
        <w:t>4)[</w:t>
      </w:r>
      <w:r w:rsidRPr="000179EB">
        <w:rPr>
          <w:rStyle w:val="Style1Char"/>
          <w:rtl/>
        </w:rPr>
        <w:t>רמב</w:t>
      </w:r>
      <w:r w:rsidR="005258D6">
        <w:rPr>
          <w:rStyle w:val="Style1Char"/>
          <w:rtl/>
        </w:rPr>
        <w:t>”ם \נזיקין\</w:t>
      </w:r>
      <w:r w:rsidRPr="000179EB">
        <w:rPr>
          <w:rStyle w:val="Style1Char"/>
          <w:rtl/>
        </w:rPr>
        <w:t xml:space="preserve"> הלכות חובל ומזיק פרק ג הלכה א</w:t>
      </w:r>
      <w:r>
        <w:rPr>
          <w:rStyle w:val="Style1Char"/>
          <w:rFonts w:hint="cs"/>
          <w:rtl/>
        </w:rPr>
        <w:t xml:space="preserve">] </w:t>
      </w:r>
      <w:r w:rsidRPr="000179EB">
        <w:rPr>
          <w:rStyle w:val="Style1Char"/>
          <w:rtl/>
        </w:rPr>
        <w:t>כיצד משערין הבושת, הכל לפי המבייש והמתבייש, אינו דומה מתבייש מן הקטן למתבייש מאדם גדול ומכובד, שזה שביישו זה הקל בשתו מרובה.</w:t>
      </w:r>
    </w:p>
    <w:p w14:paraId="14B55547" w14:textId="77777777" w:rsidR="00127B78" w:rsidRPr="006B36CB" w:rsidRDefault="00127B78" w:rsidP="00127B78">
      <w:pPr>
        <w:pStyle w:val="Style1"/>
      </w:pPr>
      <w:r>
        <w:rPr>
          <w:rStyle w:val="Style1Char"/>
          <w:rFonts w:hint="cs"/>
          <w:rtl/>
        </w:rPr>
        <w:t>4)[</w:t>
      </w:r>
      <w:r w:rsidRPr="00196A2D">
        <w:rPr>
          <w:rStyle w:val="Style1Char"/>
          <w:rtl/>
        </w:rPr>
        <w:t>שולחן ערוך חושן משפט הלכות חובל בחבירו סימן תכ סעיף כד</w:t>
      </w:r>
      <w:r>
        <w:rPr>
          <w:rStyle w:val="Style1Char"/>
          <w:rFonts w:hint="cs"/>
          <w:rtl/>
        </w:rPr>
        <w:t xml:space="preserve">] </w:t>
      </w:r>
      <w:r w:rsidRPr="006B36CB">
        <w:rPr>
          <w:rtl/>
        </w:rPr>
        <w:t>כיצד משערין הבושת הכל לפי המבייש והמתבייש אינו דומה מתבייש מהקטן למתבייש מאדם גדול ומכובד שזה שביישו הקל בושתו מרובה</w:t>
      </w:r>
      <w:r w:rsidRPr="006B36CB">
        <w:t>:</w:t>
      </w:r>
    </w:p>
    <w:p w14:paraId="0B9535F3" w14:textId="77777777" w:rsidR="00127B78" w:rsidRDefault="00127B78" w:rsidP="00127B78">
      <w:pPr>
        <w:pStyle w:val="Style1"/>
        <w:rPr>
          <w:rtl/>
        </w:rPr>
      </w:pPr>
      <w:r w:rsidRPr="006B36CB">
        <w:rPr>
          <w:rFonts w:hint="cs"/>
          <w:rtl/>
        </w:rPr>
        <w:t>הגה: וכן המתבייש כפי מה שכבודו גדול בושתו מרובה (טור) והמבזה כהן בושתו יותר גדולה מבאיש אחר</w:t>
      </w:r>
      <w:r w:rsidRPr="006B36CB">
        <w:rPr>
          <w:rFonts w:hint="cs"/>
        </w:rPr>
        <w:t xml:space="preserve"> (</w:t>
      </w:r>
      <w:hyperlink r:id="rId75" w:tooltip="תשובות ריב&quot;ש/נד" w:history="1">
        <w:r w:rsidRPr="006B36CB">
          <w:rPr>
            <w:rStyle w:val="Hyperlink"/>
            <w:rFonts w:hint="cs"/>
            <w:color w:val="7030A0"/>
            <w:u w:val="none"/>
            <w:rtl/>
          </w:rPr>
          <w:t>ריב"ש סי' נ"ד</w:t>
        </w:r>
      </w:hyperlink>
      <w:r w:rsidRPr="006B36CB">
        <w:rPr>
          <w:rFonts w:hint="cs"/>
        </w:rPr>
        <w:t>)</w:t>
      </w:r>
      <w:r w:rsidRPr="006B36CB">
        <w:t>:</w:t>
      </w:r>
    </w:p>
    <w:p w14:paraId="764364BF" w14:textId="783DE505" w:rsidR="00127B78" w:rsidRPr="006B36CB" w:rsidRDefault="00127B78" w:rsidP="00127B78">
      <w:pPr>
        <w:pStyle w:val="Style1"/>
      </w:pPr>
      <w:r>
        <w:rPr>
          <w:rFonts w:hint="cs"/>
          <w:rtl/>
        </w:rPr>
        <w:t>5)[</w:t>
      </w:r>
      <w:r>
        <w:rPr>
          <w:rtl/>
        </w:rPr>
        <w:t>רמב</w:t>
      </w:r>
      <w:r w:rsidR="00786216">
        <w:rPr>
          <w:rtl/>
        </w:rPr>
        <w:t>”ם \נשים\</w:t>
      </w:r>
      <w:r>
        <w:rPr>
          <w:rtl/>
        </w:rPr>
        <w:t xml:space="preserve"> הלכות נערה בתולה פרק ב הלכה ג</w:t>
      </w:r>
      <w:r>
        <w:rPr>
          <w:rFonts w:hint="cs"/>
          <w:rtl/>
        </w:rPr>
        <w:t xml:space="preserve">] </w:t>
      </w:r>
      <w:r>
        <w:rPr>
          <w:rtl/>
        </w:rPr>
        <w:t>קנס שוה בכל, אחד הבא על בת כהן גדול ואחד הבא על בת גר או ממזרת קנסה חמשים כסף אבל הבושת והפגם והצער אינן שוין בכל וצריכין שומא.</w:t>
      </w:r>
    </w:p>
    <w:p w14:paraId="127CD971" w14:textId="77777777" w:rsidR="00127B78" w:rsidRPr="006B36CB" w:rsidRDefault="00127B78" w:rsidP="00127B78">
      <w:pPr>
        <w:pStyle w:val="Style1"/>
        <w:rPr>
          <w:rStyle w:val="Style1Char"/>
        </w:rPr>
      </w:pPr>
    </w:p>
    <w:p w14:paraId="5AAE86D0" w14:textId="77777777" w:rsidR="00127B78" w:rsidRDefault="00127B78" w:rsidP="00127B78">
      <w:pPr>
        <w:pStyle w:val="Style1"/>
        <w:rPr>
          <w:rStyle w:val="Style1Char"/>
          <w:rtl/>
        </w:rPr>
      </w:pPr>
    </w:p>
    <w:p w14:paraId="7476AD54" w14:textId="77777777" w:rsidR="00127B78" w:rsidRPr="00892CFF" w:rsidRDefault="00127B78" w:rsidP="00127B78">
      <w:pPr>
        <w:pStyle w:val="Style1"/>
        <w:rPr>
          <w:rStyle w:val="Style1Char"/>
          <w:rtl/>
        </w:rPr>
      </w:pPr>
    </w:p>
    <w:p w14:paraId="07E47292" w14:textId="77777777" w:rsidR="00127B78" w:rsidRPr="00FC4194" w:rsidRDefault="00127B78" w:rsidP="00127B78">
      <w:pPr>
        <w:bidi/>
        <w:rPr>
          <w:rStyle w:val="Style1Char"/>
          <w:color w:val="00B050"/>
          <w:rtl/>
        </w:rPr>
      </w:pPr>
    </w:p>
    <w:p w14:paraId="620BF2AD" w14:textId="77777777" w:rsidR="00127B78" w:rsidRDefault="00127B78" w:rsidP="00127B78">
      <w:pPr>
        <w:rPr>
          <w:rStyle w:val="Style1Char"/>
          <w:color w:val="00B050"/>
          <w:rtl/>
        </w:rPr>
      </w:pPr>
      <w:r>
        <w:rPr>
          <w:rStyle w:val="Style1Char"/>
          <w:color w:val="00B050"/>
          <w:rtl/>
        </w:rPr>
        <w:br w:type="page"/>
      </w:r>
    </w:p>
    <w:p w14:paraId="7F69B40E" w14:textId="77777777" w:rsidR="00127B78" w:rsidRPr="00B32DE1" w:rsidRDefault="00127B78" w:rsidP="00127B78">
      <w:pPr>
        <w:bidi/>
        <w:rPr>
          <w:rStyle w:val="Style1Char"/>
          <w:color w:val="00B050"/>
        </w:rPr>
      </w:pPr>
      <w:r w:rsidRPr="00815AC9">
        <w:rPr>
          <w:rStyle w:val="Style1Char"/>
          <w:color w:val="00B050"/>
          <w:sz w:val="22"/>
          <w:szCs w:val="22"/>
          <w:highlight w:val="yellow"/>
          <w:rtl/>
        </w:rPr>
        <w:lastRenderedPageBreak/>
        <w:t>[דף מ עמוד ב]</w:t>
      </w:r>
      <w:r w:rsidRPr="00815AC9">
        <w:rPr>
          <w:rStyle w:val="Style1Char"/>
          <w:color w:val="00B050"/>
          <w:sz w:val="22"/>
          <w:szCs w:val="22"/>
          <w:rtl/>
        </w:rPr>
        <w:t xml:space="preserve"> </w:t>
      </w:r>
      <w:r w:rsidRPr="00B32DE1">
        <w:rPr>
          <w:rStyle w:val="Style1Char"/>
          <w:color w:val="00B050"/>
          <w:rtl/>
        </w:rPr>
        <w:t xml:space="preserve">מעשה מחט שלשים! אלא א"ר זירא: אילו באו עליה שנים, אחד כדרכה ואחד שלא כדרכה, יאמרו: בעל שלימה חמשים, בעל פגומה חמשים! א"ל אביי: אי הכי, גבי עבד נמי יאמרו: עבד בריא שלשים, עבד מוכה שחין שלשים! אלא אמר אביי, אמר קרא: תחת אשר עינה, הני תחת אשר עינה, מכלל דאיכא בושת ופגם. רבא אמר, אמר קרא: ונתן האיש השוכב עמה לאבי הנערה חמשים כסף, </w:t>
      </w:r>
      <w:r>
        <w:rPr>
          <w:rStyle w:val="Style1Char"/>
          <w:rFonts w:hint="cs"/>
          <w:rtl/>
        </w:rPr>
        <w:t>(1)</w:t>
      </w:r>
      <w:r w:rsidRPr="00B32DE1">
        <w:rPr>
          <w:rStyle w:val="Style1Char"/>
          <w:color w:val="00B050"/>
          <w:rtl/>
        </w:rPr>
        <w:t xml:space="preserve">הנאת שכיבה נ', מכלל דאיכא בושת ופגם. ואימא: לדידה! א"ק: בנעוריה בית אביה, </w:t>
      </w:r>
      <w:r>
        <w:rPr>
          <w:rStyle w:val="Style1Char"/>
          <w:rFonts w:hint="cs"/>
          <w:rtl/>
        </w:rPr>
        <w:t>(2)</w:t>
      </w:r>
      <w:r w:rsidRPr="00B32DE1">
        <w:rPr>
          <w:rStyle w:val="Style1Char"/>
          <w:color w:val="00B050"/>
          <w:rtl/>
        </w:rPr>
        <w:t xml:space="preserve">כל שבח נעוריה לאביה. ואלא הא דאמר רב הונא אמר רב: מנין שמעשה הבת לאביה? שנאמר: וכי ימכור איש את בתו לאמה, מה אמה מעשה ידיה לרבה, </w:t>
      </w:r>
      <w:r>
        <w:rPr>
          <w:rStyle w:val="Style1Char"/>
          <w:rFonts w:hint="cs"/>
          <w:rtl/>
        </w:rPr>
        <w:t>(3)</w:t>
      </w:r>
      <w:r w:rsidRPr="00B32DE1">
        <w:rPr>
          <w:rStyle w:val="Style1Char"/>
          <w:color w:val="00B050"/>
          <w:rtl/>
        </w:rPr>
        <w:t xml:space="preserve">אף בת מעשה ידיה לאביה, למה לי? תיפוק ליה מבנעוריה בית אביה! אלא, ההיא בהפרת נדרים הוא דכתי'; וכי תימא נילף מיניה, ממונא מאיסורא לא ילפינן! וכי תימא נילף מקנסא, ממונא מקנסא לא ילפינן! אלא, מסתברא דאביה הוי, דאי בעי מסר לה למנוול ומוכה שחין. </w:t>
      </w:r>
    </w:p>
    <w:p w14:paraId="152D7BCB" w14:textId="77777777" w:rsidR="00127B78" w:rsidRDefault="00127B78" w:rsidP="00127B78">
      <w:pPr>
        <w:bidi/>
        <w:rPr>
          <w:rStyle w:val="Style1Char"/>
          <w:color w:val="4472C4" w:themeColor="accent1"/>
          <w:rtl/>
        </w:rPr>
      </w:pPr>
      <w:r>
        <w:rPr>
          <w:rStyle w:val="Style1Char"/>
          <w:rFonts w:hint="cs"/>
          <w:rtl/>
        </w:rPr>
        <w:t>(4)</w:t>
      </w:r>
      <w:r w:rsidRPr="002F378E">
        <w:rPr>
          <w:rStyle w:val="Style1Char"/>
          <w:color w:val="auto"/>
          <w:sz w:val="22"/>
          <w:szCs w:val="22"/>
          <w:rtl/>
        </w:rPr>
        <w:t xml:space="preserve">פגם - רואין אותה כאילו היא שפחה נמכרת. </w:t>
      </w:r>
      <w:r w:rsidRPr="00417841">
        <w:rPr>
          <w:rStyle w:val="Style1Char"/>
          <w:color w:val="4472C4" w:themeColor="accent1"/>
          <w:rtl/>
        </w:rPr>
        <w:t>מפרש בגמ' בעבד שיש לו לרבו קורת רוח הימנו וחביב עליו כ"כ שרוצה להוציא ממונו להשיא לו בתולה ולא אשה כיוצא בה כזאת שנאנסה ובאשה זו שמין כמה יש בין בתולה לבעולה נמצא כל אשה נישומית לפי ערכה ומשפחתה</w:t>
      </w:r>
    </w:p>
    <w:p w14:paraId="0CF2D438" w14:textId="77777777" w:rsidR="00127B78" w:rsidRPr="00B32DE1" w:rsidRDefault="00127B78" w:rsidP="00127B78">
      <w:pPr>
        <w:bidi/>
        <w:rPr>
          <w:rStyle w:val="Style1Char"/>
          <w:color w:val="00B050"/>
        </w:rPr>
      </w:pPr>
      <w:r w:rsidRPr="00417841">
        <w:rPr>
          <w:rStyle w:val="Style1Char"/>
          <w:color w:val="4472C4" w:themeColor="accent1"/>
        </w:rPr>
        <w:t>:</w:t>
      </w:r>
      <w:r w:rsidRPr="00792554">
        <w:rPr>
          <w:rStyle w:val="Style1Char"/>
          <w:sz w:val="22"/>
          <w:szCs w:val="22"/>
          <w:rtl/>
        </w:rPr>
        <w:t xml:space="preserve">היכי שיימינן לה? אמר אבוה דשמואל: אומדין כמה אדם רוצה ליתן </w:t>
      </w:r>
      <w:r w:rsidRPr="00B32DE1">
        <w:rPr>
          <w:rStyle w:val="Style1Char"/>
          <w:color w:val="00B050"/>
          <w:rtl/>
        </w:rPr>
        <w:t xml:space="preserve">בין שפחה בתולה לשפחה בעולה לשמשו. שפחה בעולה לשמשו, מאי נפקא ליה מינה? אלא, </w:t>
      </w:r>
      <w:r w:rsidRPr="003621B2">
        <w:rPr>
          <w:rStyle w:val="Style1Char"/>
          <w:sz w:val="22"/>
          <w:szCs w:val="22"/>
          <w:rtl/>
        </w:rPr>
        <w:t>בין שפחה בעולה לשפחה שאינה בעולה להשיאה לעבדו.</w:t>
      </w:r>
      <w:r w:rsidRPr="00B32DE1">
        <w:rPr>
          <w:rStyle w:val="Style1Char"/>
          <w:color w:val="00B050"/>
          <w:rtl/>
        </w:rPr>
        <w:t xml:space="preserve"> ולעבדו, מאי נפקא ליה מינה? </w:t>
      </w:r>
      <w:r>
        <w:rPr>
          <w:rStyle w:val="Style1Char"/>
          <w:rFonts w:hint="cs"/>
          <w:rtl/>
        </w:rPr>
        <w:t>(4)</w:t>
      </w:r>
      <w:r w:rsidRPr="00B32DE1">
        <w:rPr>
          <w:rStyle w:val="Style1Char"/>
          <w:color w:val="00B050"/>
          <w:rtl/>
        </w:rPr>
        <w:t xml:space="preserve">בעבד </w:t>
      </w:r>
      <w:r w:rsidRPr="00B26D13">
        <w:rPr>
          <w:rStyle w:val="Style1Char"/>
          <w:sz w:val="22"/>
          <w:szCs w:val="22"/>
          <w:rtl/>
        </w:rPr>
        <w:t xml:space="preserve">שיש לו לרבו קורת רוח הימנו. </w:t>
      </w:r>
    </w:p>
    <w:p w14:paraId="5AC42808" w14:textId="77777777" w:rsidR="00127B78" w:rsidRPr="00792554" w:rsidRDefault="00127B78" w:rsidP="00127B78">
      <w:pPr>
        <w:bidi/>
        <w:rPr>
          <w:rStyle w:val="Style1Char"/>
          <w:color w:val="auto"/>
          <w:sz w:val="22"/>
          <w:szCs w:val="22"/>
          <w:rtl/>
        </w:rPr>
      </w:pPr>
      <w:r w:rsidRPr="00792554">
        <w:rPr>
          <w:rStyle w:val="Style1Char"/>
          <w:color w:val="auto"/>
          <w:sz w:val="22"/>
          <w:szCs w:val="22"/>
          <w:rtl/>
        </w:rPr>
        <w:t xml:space="preserve">מתני'. כל מקום שיש מכר אין קנס, וכל מקום שיש קנס אין מכר; קטנה - יש לה מכר ואין לה קנס, נערה - יש לה קנס ואין לה מכר. הבוגרת - אין לה לא מכר ולא קנס. </w:t>
      </w:r>
    </w:p>
    <w:p w14:paraId="3240A3E2" w14:textId="77777777" w:rsidR="00127B78" w:rsidRDefault="00127B78" w:rsidP="00127B78">
      <w:pPr>
        <w:bidi/>
        <w:rPr>
          <w:rStyle w:val="Style1Char"/>
          <w:color w:val="C00000"/>
          <w:rtl/>
        </w:rPr>
      </w:pPr>
      <w:r w:rsidRPr="0084046A">
        <w:rPr>
          <w:rStyle w:val="Style1Char"/>
          <w:color w:val="auto"/>
          <w:sz w:val="22"/>
          <w:szCs w:val="22"/>
          <w:rtl/>
        </w:rPr>
        <w:t xml:space="preserve">גמ'. </w:t>
      </w:r>
      <w:r w:rsidRPr="00BE61BB">
        <w:rPr>
          <w:rStyle w:val="Style1Char"/>
          <w:color w:val="C00000"/>
          <w:sz w:val="22"/>
          <w:szCs w:val="22"/>
          <w:rtl/>
        </w:rPr>
        <w:t>כ"מ שיש מכר אין קנס</w:t>
      </w:r>
      <w:r w:rsidRPr="0084046A">
        <w:rPr>
          <w:rStyle w:val="Style1Char"/>
          <w:color w:val="auto"/>
          <w:sz w:val="22"/>
          <w:szCs w:val="22"/>
          <w:rtl/>
        </w:rPr>
        <w:t xml:space="preserve">: אמר רב יהודה אמר רב: זו דברי ר"מ, אבל חכמים אומרים: יש לה קנס במקום מכר; </w:t>
      </w:r>
      <w:r w:rsidRPr="00AD0031">
        <w:rPr>
          <w:rStyle w:val="Style1Char"/>
          <w:color w:val="806000" w:themeColor="accent4" w:themeShade="80"/>
          <w:rtl/>
        </w:rPr>
        <w:t xml:space="preserve">כדכתבינן לעיל איכא מ"ד הלכה כר"מ משום דסתם מתני' כותיה ואנן לא ס"ל הכי חדא דהא רב יהודה אמר זו דברי ר"מ אבל חכמים אומרים כו' דאלמא לא סבירא ליה כר"מ דיחידאה הוא (ולית הילכתא כותיה) </w:t>
      </w:r>
      <w:r w:rsidRPr="00417841">
        <w:rPr>
          <w:rStyle w:val="Style1Char"/>
          <w:color w:val="4472C4" w:themeColor="accent1"/>
          <w:rtl/>
        </w:rPr>
        <w:t>בכל דוכתא שאומר האמורא זו דברי פלוני משמע זו ולא ס"ל עד דמפרש ליה הש"ס בהדיא זו וס"ל כההיא דבפרק בית כור (דף קה א) אמר רב יהודה אמר שמואל זו דברי בן ננס וכו' ופריך זו ולא סבירא ליה והא רב ושמואל דאמרי תרווייהו וכו' אלא זו וס"ל וכן בריש פרק שור שנגח (דף מו א) א"ר יהודה אמר רב זו דברי סומכוס ועוד דאי זו וסבירא ליה קאמר איכא לאקשויי עלה מאי קמ"ל כדמקשי עלה ביבמות פרק אלמנה לכ"ג (דף סז א) והתם משני קמ"ל דפליגי רבנן עליה דרבי יוסי אבל הכא פשיטא דברייתא היא דפליג רבנן עליה דר"מ.</w:t>
      </w:r>
      <w:r w:rsidRPr="009C6602">
        <w:rPr>
          <w:rStyle w:val="Style1Char"/>
          <w:color w:val="4472C4" w:themeColor="accent1"/>
          <w:rtl/>
        </w:rPr>
        <w:t xml:space="preserve"> </w:t>
      </w:r>
      <w:r w:rsidRPr="00417841">
        <w:rPr>
          <w:rStyle w:val="Style1Char"/>
          <w:color w:val="4472C4" w:themeColor="accent1"/>
          <w:rtl/>
        </w:rPr>
        <w:t>ועוד הביא רב אלפס ז"ל ראיה מרבא (דף לח ב)</w:t>
      </w:r>
    </w:p>
    <w:p w14:paraId="74DBDAEF" w14:textId="77777777" w:rsidR="00127B78" w:rsidRPr="00417841" w:rsidRDefault="00127B78" w:rsidP="00127B78">
      <w:pPr>
        <w:bidi/>
        <w:rPr>
          <w:rStyle w:val="Style1Char"/>
          <w:color w:val="4472C4" w:themeColor="accent1"/>
        </w:rPr>
      </w:pPr>
      <w:r>
        <w:rPr>
          <w:rStyle w:val="Style1Char"/>
          <w:rFonts w:hint="cs"/>
          <w:color w:val="C00000"/>
          <w:rtl/>
        </w:rPr>
        <w:t>ו</w:t>
      </w:r>
      <w:r w:rsidRPr="00165E97">
        <w:rPr>
          <w:rStyle w:val="Style1Char"/>
          <w:color w:val="C00000"/>
          <w:rtl/>
        </w:rPr>
        <w:t xml:space="preserve">עוד הא אשכחן לרבא דהוא בתרא דס"ל כרבנן </w:t>
      </w:r>
      <w:r w:rsidRPr="009C6602">
        <w:rPr>
          <w:rStyle w:val="Style1Char"/>
          <w:color w:val="806000" w:themeColor="accent4" w:themeShade="80"/>
          <w:rtl/>
        </w:rPr>
        <w:t xml:space="preserve">דבעי רבא </w:t>
      </w:r>
      <w:r w:rsidRPr="009C6602">
        <w:rPr>
          <w:rStyle w:val="Style1Char"/>
          <w:color w:val="C00000"/>
          <w:rtl/>
        </w:rPr>
        <w:t xml:space="preserve">יש בגר בקבר או אין בגר בקבר </w:t>
      </w:r>
      <w:r w:rsidRPr="009C6602">
        <w:rPr>
          <w:rStyle w:val="Style1Char"/>
          <w:color w:val="806000" w:themeColor="accent4" w:themeShade="80"/>
          <w:rtl/>
        </w:rPr>
        <w:t xml:space="preserve">יש בגר בקבר ודבנה הוי או דילמא אין בגר בקבר ודאביה הוי </w:t>
      </w:r>
      <w:r w:rsidRPr="00165E97">
        <w:rPr>
          <w:rStyle w:val="Style1Char"/>
          <w:color w:val="C00000"/>
          <w:rtl/>
        </w:rPr>
        <w:t xml:space="preserve">(הוי אומר אין בגר בקבר ודאביה הוי) </w:t>
      </w:r>
      <w:r w:rsidRPr="009C6602">
        <w:rPr>
          <w:rStyle w:val="Style1Char"/>
          <w:color w:val="806000" w:themeColor="accent4" w:themeShade="80"/>
          <w:rtl/>
        </w:rPr>
        <w:t>ש"מ כרבנן ס"ל דאמרי קטנה יש לה קנס דלא משכחת לה דיש לה בן קודם בגרות אלא היכא דבא עליה (אונס) כשהיא קטנה ואף על גב דאיפריכא האי בעיא לאו מהאי טעמא איפריכא ועוד דגרסי' בפ' נערה שנתפתתה [דף מ"ד ע"ב] אמר ריש לקיש המוציא שם רע על הקטנה פטור שנאמר ונתן לאבי הנערה נערה מלא דבר הכתוב וכו' עד אלא כאן נערה הא כל מקום שנאמר נער אפילו קטנה במשמע אלמא כרבנן סבירא ליה וכן הלכתא</w:t>
      </w:r>
      <w:r w:rsidRPr="00791BD6">
        <w:rPr>
          <w:rStyle w:val="Style1Char"/>
          <w:color w:val="4472C4" w:themeColor="accent1"/>
          <w:rtl/>
        </w:rPr>
        <w:t xml:space="preserve"> </w:t>
      </w:r>
      <w:r w:rsidRPr="00417841">
        <w:rPr>
          <w:rStyle w:val="Style1Char"/>
          <w:color w:val="4472C4" w:themeColor="accent1"/>
          <w:rtl/>
        </w:rPr>
        <w:t>ור"ח והראב"ד ז"ל פסקו כר"מ וכמו שפסק רב אלפס ז"ל נראה</w:t>
      </w:r>
      <w:r>
        <w:rPr>
          <w:rStyle w:val="Style1Char"/>
          <w:rFonts w:hint="cs"/>
          <w:color w:val="4472C4" w:themeColor="accent1"/>
        </w:rPr>
        <w:t>‍</w:t>
      </w:r>
      <w:r w:rsidRPr="00417841">
        <w:rPr>
          <w:rStyle w:val="Style1Char"/>
          <w:color w:val="4472C4" w:themeColor="accent1"/>
          <w:rtl/>
        </w:rPr>
        <w:t xml:space="preserve"> דאין סתם משנה כנגד דברי האמוראים</w:t>
      </w:r>
      <w:r w:rsidRPr="00417841">
        <w:rPr>
          <w:rStyle w:val="Style1Char"/>
          <w:color w:val="4472C4" w:themeColor="accent1"/>
        </w:rPr>
        <w:t>:</w:t>
      </w:r>
    </w:p>
    <w:p w14:paraId="316AE7C1" w14:textId="77777777" w:rsidR="00127B78" w:rsidRDefault="00127B78" w:rsidP="00127B78">
      <w:pPr>
        <w:bidi/>
        <w:rPr>
          <w:rStyle w:val="Style1Char"/>
          <w:color w:val="00B050"/>
          <w:rtl/>
        </w:rPr>
      </w:pPr>
      <w:r w:rsidRPr="00165E97">
        <w:rPr>
          <w:rStyle w:val="Style1Char"/>
          <w:color w:val="C00000"/>
          <w:rtl/>
        </w:rPr>
        <w:t xml:space="preserve">: </w:t>
      </w:r>
      <w:r w:rsidRPr="00B32DE1">
        <w:rPr>
          <w:rStyle w:val="Style1Char"/>
          <w:color w:val="00B050"/>
          <w:rtl/>
        </w:rPr>
        <w:t xml:space="preserve">דתניא: קטנה מבת יום אחד ועד שתביא שתי שערות - יש לה מכר ואין לה קנס, משתביא שתי שערות עד שתיבגר - יש לה קנס ואין לה מכר, דברי ר"מ, שהיה ר"מ אומר: כ"מ שיש מכר אין קנס, וכ"מ שיש קנס אין מכר; וחכמים אומרים: קטנה מבת ג' שנים ויום אחד ועד שתיבגר - יש לה קנס; קנס אין, מכר לא! אימא: אף קנס במקום מכר. א"ר חסדא: מ"ט דר"מ? א"ק: ולו תהיה לאשה, במהוה עצמה הכתוב מדבר. ורבנן? אמר ר"ל, א"ק: נערה, אפילו קטנה במשמע. שמעה רב פפא בריה דרב חנן מבי כלוחית, אזל אמרה קמיה דרב שימי בר אשי; א"ל: אתון אהא מתניתו לה, אנן אהא מתנינן לה, אמר ר"ל: </w:t>
      </w:r>
      <w:r>
        <w:rPr>
          <w:rStyle w:val="Style1Char"/>
          <w:rFonts w:hint="cs"/>
          <w:rtl/>
        </w:rPr>
        <w:t>(4.3, 5)</w:t>
      </w:r>
      <w:r w:rsidRPr="00B32DE1">
        <w:rPr>
          <w:rStyle w:val="Style1Char"/>
          <w:color w:val="00B050"/>
          <w:rtl/>
        </w:rPr>
        <w:t xml:space="preserve">המוציא שם רע על הקטנה - פטור, שנא': ונתנו לאבי הנערה, נערה מלא דיבר הכתוב. מתקיף לה רב אדא בר אהבה: טעמא דכתב רחמנא נערה, הא לאו הכי - הוה אמינא אפילו קטנה, והא כתיב: ואם אמת היה הדבר הזה לא נמצאו בתולים לנערה, והוציאו את הנערה אל פתח בית אביה וסקלוה, וקטנה לאו בת עונשין היא! אלא כאן נערה, הא כל מקום שנאמר נער - אפילו קטנה במשמע. </w:t>
      </w:r>
    </w:p>
    <w:p w14:paraId="6D49A45D" w14:textId="77777777" w:rsidR="00127B78" w:rsidRDefault="00127B78" w:rsidP="00127B78">
      <w:pPr>
        <w:bidi/>
        <w:rPr>
          <w:rStyle w:val="Style1Char"/>
          <w:color w:val="806000" w:themeColor="accent4" w:themeShade="80"/>
          <w:rtl/>
        </w:rPr>
      </w:pPr>
      <w:r w:rsidRPr="00EC2E62">
        <w:rPr>
          <w:rStyle w:val="Style1Char"/>
          <w:color w:val="806000" w:themeColor="accent4" w:themeShade="80"/>
          <w:rtl/>
        </w:rPr>
        <w:t>בוגרת אין לה מכר ואין לה קנס דייקינן מינה הא בושת ופגם אית לה ודוקא אנוסה בוגרת אבל מפותה בוגרת אין לה כלום</w:t>
      </w:r>
      <w:r w:rsidRPr="00EC2E62">
        <w:rPr>
          <w:rStyle w:val="Style1Char"/>
          <w:color w:val="806000" w:themeColor="accent4" w:themeShade="80"/>
        </w:rPr>
        <w:t>:</w:t>
      </w:r>
    </w:p>
    <w:p w14:paraId="3D33680A" w14:textId="6E1F4B2E" w:rsidR="00127B78" w:rsidRDefault="00127B78" w:rsidP="00127B78">
      <w:pPr>
        <w:pStyle w:val="Style1"/>
        <w:rPr>
          <w:rStyle w:val="Style1Char"/>
          <w:rtl/>
        </w:rPr>
      </w:pPr>
      <w:r>
        <w:rPr>
          <w:rStyle w:val="Style1Char"/>
          <w:rFonts w:hint="cs"/>
          <w:rtl/>
        </w:rPr>
        <w:t>1)[</w:t>
      </w:r>
      <w:r w:rsidRPr="009F34F8">
        <w:rPr>
          <w:rStyle w:val="Style1Char"/>
          <w:rtl/>
        </w:rPr>
        <w:t>רמב</w:t>
      </w:r>
      <w:r w:rsidR="00786216">
        <w:rPr>
          <w:rStyle w:val="Style1Char"/>
          <w:rtl/>
        </w:rPr>
        <w:t>”ם \נשים\</w:t>
      </w:r>
      <w:r w:rsidRPr="009F34F8">
        <w:rPr>
          <w:rStyle w:val="Style1Char"/>
          <w:rtl/>
        </w:rPr>
        <w:t xml:space="preserve"> הלכות נערה בתולה פרק ב הלכה א</w:t>
      </w:r>
      <w:r>
        <w:rPr>
          <w:rStyle w:val="Style1Char"/>
          <w:rFonts w:hint="cs"/>
          <w:rtl/>
        </w:rPr>
        <w:t xml:space="preserve">] </w:t>
      </w:r>
      <w:r w:rsidRPr="009F34F8">
        <w:rPr>
          <w:rStyle w:val="Style1Char"/>
          <w:rtl/>
        </w:rPr>
        <w:t xml:space="preserve">חמשים כסף של קנס הם דמי הנאת שכיבה בלבד, וחייב המפתה ליתן בושת ופגם יתר על הקנס הקצוב בתורה, יתר עליו האונס שהוא נותן את הצער, שהנבעלת ברצונה אין לה צער ואנוסה יש לה צער וכן הוא אומר באנוסה </w:t>
      </w:r>
      <w:r>
        <w:rPr>
          <w:rStyle w:val="Style1Char"/>
          <w:rFonts w:hint="cs"/>
          <w:rtl/>
        </w:rPr>
        <w:t>(</w:t>
      </w:r>
      <w:r w:rsidRPr="009F34F8">
        <w:rPr>
          <w:rStyle w:val="Style1Char"/>
          <w:rtl/>
        </w:rPr>
        <w:t>דברים כ"ב כ"ט</w:t>
      </w:r>
      <w:r>
        <w:rPr>
          <w:rStyle w:val="Style1Char"/>
          <w:rFonts w:hint="cs"/>
          <w:rtl/>
        </w:rPr>
        <w:t>)</w:t>
      </w:r>
      <w:r w:rsidRPr="009F34F8">
        <w:rPr>
          <w:rStyle w:val="Style1Char"/>
          <w:rtl/>
        </w:rPr>
        <w:t xml:space="preserve"> תחת אשר ענה.</w:t>
      </w:r>
    </w:p>
    <w:p w14:paraId="782B22F8" w14:textId="77777777" w:rsidR="00127B78" w:rsidRPr="00EE0AD2" w:rsidRDefault="00127B78" w:rsidP="00127B78">
      <w:pPr>
        <w:pStyle w:val="Style1"/>
      </w:pPr>
      <w:r>
        <w:rPr>
          <w:rFonts w:hint="cs"/>
          <w:rtl/>
        </w:rPr>
        <w:t>1)[</w:t>
      </w:r>
      <w:r>
        <w:rPr>
          <w:rtl/>
        </w:rPr>
        <w:t>שולחן ערוך אבן העזר הלכות אונס ומפתה סימן קעז סעיף א</w:t>
      </w:r>
      <w:r>
        <w:rPr>
          <w:rFonts w:hint="cs"/>
          <w:rtl/>
        </w:rPr>
        <w:t xml:space="preserve">]  </w:t>
      </w:r>
      <w:r w:rsidRPr="00EE0AD2">
        <w:rPr>
          <w:rtl/>
        </w:rPr>
        <w:t>המפתה בתולת ישראל </w:t>
      </w:r>
      <w:r w:rsidRPr="00EE0AD2">
        <w:rPr>
          <w:rFonts w:hint="cs"/>
          <w:rtl/>
        </w:rPr>
        <w:t>עד שלא תבגר, והיא מבת שלשה ואילך (טור הרא"ש)</w:t>
      </w:r>
      <w:r w:rsidRPr="00EE0AD2">
        <w:t xml:space="preserve">, </w:t>
      </w:r>
      <w:r w:rsidRPr="00EE0AD2">
        <w:rPr>
          <w:rtl/>
        </w:rPr>
        <w:t>משלם בשת ופגם וקנס. ואם אנסה, משלם עוד צער</w:t>
      </w:r>
      <w:r w:rsidRPr="00EE0AD2">
        <w:t>.</w:t>
      </w:r>
    </w:p>
    <w:p w14:paraId="29E96E0B" w14:textId="77777777" w:rsidR="00127B78" w:rsidRDefault="00127B78" w:rsidP="00127B78">
      <w:pPr>
        <w:pStyle w:val="Style1"/>
        <w:rPr>
          <w:rtl/>
        </w:rPr>
      </w:pPr>
      <w:r w:rsidRPr="00EE0AD2">
        <w:rPr>
          <w:rFonts w:hint="cs"/>
          <w:rtl/>
        </w:rPr>
        <w:t>ואם נשאה המפתה, אינו צריך לתן קנס (טור)</w:t>
      </w:r>
      <w:r w:rsidRPr="00EE0AD2">
        <w:t>:</w:t>
      </w:r>
    </w:p>
    <w:p w14:paraId="7B2F6FD6" w14:textId="69E528C1" w:rsidR="00127B78" w:rsidRDefault="00127B78" w:rsidP="00127B78">
      <w:pPr>
        <w:pStyle w:val="Style1"/>
        <w:rPr>
          <w:rtl/>
        </w:rPr>
      </w:pPr>
      <w:r>
        <w:rPr>
          <w:rFonts w:hint="cs"/>
          <w:rtl/>
        </w:rPr>
        <w:t>2)[</w:t>
      </w:r>
      <w:r>
        <w:rPr>
          <w:rtl/>
        </w:rPr>
        <w:t>רמב</w:t>
      </w:r>
      <w:r w:rsidR="00786216">
        <w:rPr>
          <w:rtl/>
        </w:rPr>
        <w:t>”ם \נשים\</w:t>
      </w:r>
      <w:r>
        <w:rPr>
          <w:rtl/>
        </w:rPr>
        <w:t xml:space="preserve"> הלכות נערה בתולה פרק ב הלכה יד</w:t>
      </w:r>
      <w:r>
        <w:rPr>
          <w:rFonts w:hint="cs"/>
          <w:rtl/>
        </w:rPr>
        <w:t xml:space="preserve">] </w:t>
      </w:r>
      <w:r>
        <w:rPr>
          <w:rtl/>
        </w:rPr>
        <w:t>שלשה דברים של מפתה וארבעה של אונס הרי הן של אב שכל שבח נעורים לאב, ואם אין לה אב הרי הן של עצמה.</w:t>
      </w:r>
    </w:p>
    <w:p w14:paraId="65E26EC2" w14:textId="4619CF5A" w:rsidR="00127B78" w:rsidRDefault="00127B78" w:rsidP="00127B78">
      <w:pPr>
        <w:pStyle w:val="Style1"/>
        <w:rPr>
          <w:rtl/>
        </w:rPr>
      </w:pPr>
      <w:r>
        <w:rPr>
          <w:rFonts w:hint="cs"/>
          <w:rtl/>
        </w:rPr>
        <w:t>3)[</w:t>
      </w:r>
      <w:r>
        <w:rPr>
          <w:rtl/>
        </w:rPr>
        <w:t>רמב</w:t>
      </w:r>
      <w:r w:rsidR="00213DA1">
        <w:rPr>
          <w:rtl/>
        </w:rPr>
        <w:t>”ם \נשים\</w:t>
      </w:r>
      <w:r>
        <w:rPr>
          <w:rtl/>
        </w:rPr>
        <w:t xml:space="preserve"> הלכות אישות פרק ג הלכה יא</w:t>
      </w:r>
      <w:r>
        <w:rPr>
          <w:rFonts w:hint="cs"/>
          <w:rtl/>
        </w:rPr>
        <w:t xml:space="preserve">] </w:t>
      </w:r>
      <w:r>
        <w:rPr>
          <w:rtl/>
        </w:rPr>
        <w:t xml:space="preserve">האב מקדש את בתו שלא לדעתה כל זמן שהיא קטנה וכשהיא נערה רשותה בידו שנאמר </w:t>
      </w:r>
      <w:r>
        <w:rPr>
          <w:rFonts w:hint="cs"/>
          <w:rtl/>
        </w:rPr>
        <w:t>(</w:t>
      </w:r>
      <w:r>
        <w:rPr>
          <w:rtl/>
        </w:rPr>
        <w:t>דברים כ"ב</w:t>
      </w:r>
      <w:r>
        <w:rPr>
          <w:rFonts w:hint="cs"/>
          <w:rtl/>
        </w:rPr>
        <w:t>)</w:t>
      </w:r>
      <w:r>
        <w:rPr>
          <w:rtl/>
        </w:rPr>
        <w:t xml:space="preserve"> את בתי נתתי לאיש הזה, וקידושיה לאביה, וכן הוא זכאי במציאתה ובמעשה ידיה ובכתובתה ואם נתגרשה או נתאלמנה מן האירוסין הוא זכאי בכל עד שתבגור. לפיכך מקבל האב קידושי בתו מיום שתולד עד שתבגור, ואפילו היתה חרשת או שוטה וקידשה האב הרי היא אשת איש גמורה. ואם היתה בת שלש שנים ויום אחד מתקדשת בביאה מדעת אביה, פחות מכן אם קדשה אביה בביאה אינה מקודשת.</w:t>
      </w:r>
    </w:p>
    <w:p w14:paraId="3ABFF8CB" w14:textId="77777777" w:rsidR="00127B78" w:rsidRPr="002A597A" w:rsidRDefault="00127B78" w:rsidP="00127B78">
      <w:pPr>
        <w:pStyle w:val="Style1"/>
      </w:pPr>
      <w:r>
        <w:rPr>
          <w:rFonts w:hint="cs"/>
          <w:rtl/>
        </w:rPr>
        <w:t>3)[</w:t>
      </w:r>
      <w:r>
        <w:rPr>
          <w:rtl/>
        </w:rPr>
        <w:t>שולחן ערוך אבן העזר הלכות קידושין סימן לז סעיף א</w:t>
      </w:r>
      <w:r>
        <w:rPr>
          <w:rFonts w:hint="cs"/>
          <w:rtl/>
        </w:rPr>
        <w:t xml:space="preserve">] </w:t>
      </w:r>
      <w:r w:rsidRPr="002A597A">
        <w:rPr>
          <w:rtl/>
        </w:rPr>
        <w:t>האב מקדש את בתו שלא לדעתה, כל זמן שהיא קטנה. וכן כשהיא נערה, רשותה בידו וקידושיה לאביה. וכן הוא זכאי במציאתה ובמעשה ידיה ובכתובתה. אם נתאלמנה או נתגרשה מן האירוסין, הוא זכאי בכל עד שתבגר. לפיכך, מקבל האב קידושי בתו מיום שתיוולד עד שתבגר; ואפילו היתה חירשת או שוטה וקידשה האב, הרי היא אשת איש גמורה. ואם היתה בת שלש שנים ויום אחד, מתקדשת בביאה מדעת אביה. פחות מכאן, אם מסרה אביה לקידושי ביאה, אינה מקודשת</w:t>
      </w:r>
      <w:r w:rsidRPr="002A597A">
        <w:t>.</w:t>
      </w:r>
    </w:p>
    <w:p w14:paraId="71B8684C" w14:textId="77777777" w:rsidR="00127B78" w:rsidRDefault="00127B78" w:rsidP="00127B78">
      <w:pPr>
        <w:pStyle w:val="Style1"/>
        <w:rPr>
          <w:rtl/>
        </w:rPr>
      </w:pPr>
      <w:r w:rsidRPr="002A597A">
        <w:rPr>
          <w:rFonts w:hint="cs"/>
          <w:rtl/>
        </w:rPr>
        <w:t>הגה: יש אומרים דאין קידושין תופסין בנפל, ואם קבל אביו בו קידושין והמקדש קידש אחר כך אחותו, צריכה גט (אור זרוע)</w:t>
      </w:r>
      <w:r w:rsidRPr="002A597A">
        <w:t>:</w:t>
      </w:r>
    </w:p>
    <w:p w14:paraId="4A8622AC" w14:textId="5BB0D18A" w:rsidR="00127B78" w:rsidRDefault="00127B78" w:rsidP="00127B78">
      <w:pPr>
        <w:pStyle w:val="Style1"/>
        <w:rPr>
          <w:rtl/>
        </w:rPr>
      </w:pPr>
      <w:r>
        <w:rPr>
          <w:rFonts w:hint="cs"/>
          <w:rtl/>
        </w:rPr>
        <w:t>4)[</w:t>
      </w:r>
      <w:r>
        <w:rPr>
          <w:rtl/>
        </w:rPr>
        <w:t>רמב</w:t>
      </w:r>
      <w:r w:rsidR="00786216">
        <w:rPr>
          <w:rtl/>
        </w:rPr>
        <w:t>”ם \נשים\</w:t>
      </w:r>
      <w:r>
        <w:rPr>
          <w:rtl/>
        </w:rPr>
        <w:t xml:space="preserve"> הלכות נערה בתולה פרק ב הלכה ו</w:t>
      </w:r>
      <w:r>
        <w:rPr>
          <w:rFonts w:hint="cs"/>
          <w:rtl/>
        </w:rPr>
        <w:t xml:space="preserve">] </w:t>
      </w:r>
      <w:r>
        <w:rPr>
          <w:rtl/>
        </w:rPr>
        <w:t>פגם לפי יפיה, רואין אותה כאילו היא שפחה נמכרת בשוק כמה היא שוה בעולה וכמה היתה שוה בתולה כשאדם רוצה לקנות שפחה בתולה ליתנה לעבדו שהוא רוצה בהנאתו וטובתו, ורואין כמה פחתה וישלם. צער לפי קטנותה ובנין גופה ולפי שניו וגופו אומדין כמה האב רוצה ליתן ולא תצטער זו מזה ויתן.</w:t>
      </w:r>
    </w:p>
    <w:p w14:paraId="16ECEC17" w14:textId="3CD0E27A" w:rsidR="00127B78" w:rsidRDefault="00127B78" w:rsidP="00127B78">
      <w:pPr>
        <w:pStyle w:val="Style1"/>
        <w:rPr>
          <w:rtl/>
        </w:rPr>
      </w:pPr>
      <w:r>
        <w:rPr>
          <w:rFonts w:hint="cs"/>
          <w:rtl/>
        </w:rPr>
        <w:lastRenderedPageBreak/>
        <w:t>4)[</w:t>
      </w:r>
      <w:r>
        <w:rPr>
          <w:rtl/>
        </w:rPr>
        <w:t>רמב</w:t>
      </w:r>
      <w:r w:rsidR="005258D6">
        <w:rPr>
          <w:rtl/>
        </w:rPr>
        <w:t>”ם \נזיקין\</w:t>
      </w:r>
      <w:r>
        <w:rPr>
          <w:rtl/>
        </w:rPr>
        <w:t xml:space="preserve"> הלכות חובל ומזיק פרק א הלכה ב</w:t>
      </w:r>
      <w:r>
        <w:rPr>
          <w:rFonts w:hint="cs"/>
          <w:rtl/>
        </w:rPr>
        <w:t xml:space="preserve">] </w:t>
      </w:r>
      <w:r>
        <w:rPr>
          <w:rtl/>
        </w:rPr>
        <w:t xml:space="preserve">נזק כיצד, שאם קטע יד חבירו או רגלו רואין אותו כאלו הוא עבד נמכר בשוק כמה היה יפה וכמה הוא יפה עתה ומשלם הפחת שהפחית מדמיו, שנ' </w:t>
      </w:r>
      <w:r>
        <w:rPr>
          <w:rFonts w:hint="cs"/>
          <w:rtl/>
        </w:rPr>
        <w:t>(</w:t>
      </w:r>
      <w:r>
        <w:rPr>
          <w:rtl/>
        </w:rPr>
        <w:t>שמות כ"א כ"ד, ויקרא כד כ</w:t>
      </w:r>
      <w:r>
        <w:rPr>
          <w:rFonts w:hint="cs"/>
          <w:rtl/>
        </w:rPr>
        <w:t>)</w:t>
      </w:r>
      <w:r>
        <w:rPr>
          <w:rtl/>
        </w:rPr>
        <w:t xml:space="preserve"> עין תחת עין, מפי השמועה למדו שזה שנאמר תחת לשלם ממון הוא.</w:t>
      </w:r>
    </w:p>
    <w:p w14:paraId="1A29EC66" w14:textId="77777777" w:rsidR="00127B78" w:rsidRPr="00AE64BF" w:rsidRDefault="00127B78" w:rsidP="00127B78">
      <w:pPr>
        <w:pStyle w:val="Style1"/>
        <w:rPr>
          <w:rStyle w:val="Style1Char"/>
        </w:rPr>
      </w:pPr>
      <w:r>
        <w:rPr>
          <w:rStyle w:val="Style1Char"/>
          <w:rFonts w:hint="cs"/>
          <w:rtl/>
        </w:rPr>
        <w:t>4)[</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555EC7D1"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302470B2" w14:textId="77777777" w:rsidR="00127B78" w:rsidRPr="00AE64BF" w:rsidRDefault="00127B78" w:rsidP="00127B78">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0104395B" w14:textId="77777777" w:rsidR="00127B78" w:rsidRDefault="00127B78" w:rsidP="00127B78">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1A18FFA0" w14:textId="77777777" w:rsidR="00127B78" w:rsidRPr="00B07FA5" w:rsidRDefault="00127B78" w:rsidP="00127B78">
      <w:pPr>
        <w:pStyle w:val="Style1"/>
      </w:pPr>
      <w:r>
        <w:rPr>
          <w:rFonts w:hint="cs"/>
          <w:rtl/>
        </w:rPr>
        <w:t>4)[</w:t>
      </w:r>
      <w:r>
        <w:rPr>
          <w:rtl/>
        </w:rPr>
        <w:t>שולחן ערוך חושן משפט הלכות חובל בחבירו סימן תכ סעיף טו</w:t>
      </w:r>
      <w:r>
        <w:rPr>
          <w:rFonts w:hint="cs"/>
          <w:rtl/>
        </w:rPr>
        <w:t xml:space="preserve">] </w:t>
      </w:r>
      <w:r w:rsidRPr="00B07FA5">
        <w:rPr>
          <w:rtl/>
        </w:rPr>
        <w:t>כיצד משערים הה' דברים נזק אם חסרו אבר או חבל חבורה שאין סופה לחזור שמין אותו כאלו הוא עבד נמכר בשוק כמה היה שוה קודם שחבל בו וכמה נפחתו דמיו אחר החבלה וכך יתן לו</w:t>
      </w:r>
      <w:r w:rsidRPr="00B07FA5">
        <w:t>:</w:t>
      </w:r>
    </w:p>
    <w:p w14:paraId="4C134D01" w14:textId="77777777" w:rsidR="00127B78" w:rsidRDefault="00127B78" w:rsidP="00127B78">
      <w:pPr>
        <w:pStyle w:val="Style1"/>
        <w:rPr>
          <w:rtl/>
        </w:rPr>
      </w:pPr>
      <w:r w:rsidRPr="00B07FA5">
        <w:rPr>
          <w:rFonts w:hint="cs"/>
          <w:rtl/>
        </w:rPr>
        <w:lastRenderedPageBreak/>
        <w:t>הגה: ואם היה בעל אומנות כגון נוקב מרגליות וקטע לו ידו משערינן הזיקו כפי מה שהוא אבל אם קטע רגלו שאין מזיק לו כל כך משערינן היזיקו כאלו לא היה בעל אומנות (טור בשם הרא"ש)</w:t>
      </w:r>
      <w:r w:rsidRPr="00B07FA5">
        <w:t>:</w:t>
      </w:r>
    </w:p>
    <w:p w14:paraId="1B7E0754" w14:textId="693792DB" w:rsidR="00127B78" w:rsidRPr="00B07FA5" w:rsidRDefault="00127B78" w:rsidP="00127B78">
      <w:pPr>
        <w:pStyle w:val="Style1"/>
      </w:pPr>
      <w:r>
        <w:rPr>
          <w:rFonts w:hint="cs"/>
          <w:rtl/>
        </w:rPr>
        <w:t>5)[</w:t>
      </w:r>
      <w:r>
        <w:rPr>
          <w:rtl/>
        </w:rPr>
        <w:t>רמב</w:t>
      </w:r>
      <w:r w:rsidR="00786216">
        <w:rPr>
          <w:rtl/>
        </w:rPr>
        <w:t>”ם \נשים\</w:t>
      </w:r>
      <w:r>
        <w:rPr>
          <w:rtl/>
        </w:rPr>
        <w:t xml:space="preserve"> הלכות נערה בתולה פרק ג הלכה ב</w:t>
      </w:r>
      <w:r>
        <w:rPr>
          <w:rFonts w:hint="cs"/>
          <w:rtl/>
        </w:rPr>
        <w:t xml:space="preserve">] </w:t>
      </w:r>
      <w:r>
        <w:rPr>
          <w:rtl/>
        </w:rPr>
        <w:t xml:space="preserve">והמוציא שם רע על הקטנה או על הבוגרת פטור מן הקנס ומן המלקות ואינו חייב עד שיוציא על הנערה שנ' </w:t>
      </w:r>
      <w:r>
        <w:rPr>
          <w:rFonts w:hint="cs"/>
          <w:rtl/>
        </w:rPr>
        <w:t>(</w:t>
      </w:r>
      <w:r>
        <w:rPr>
          <w:rtl/>
        </w:rPr>
        <w:t>דברים כ"ב ט"ו - כ'</w:t>
      </w:r>
      <w:r>
        <w:rPr>
          <w:rFonts w:hint="cs"/>
          <w:rtl/>
        </w:rPr>
        <w:t>)</w:t>
      </w:r>
      <w:r>
        <w:rPr>
          <w:rtl/>
        </w:rPr>
        <w:t xml:space="preserve"> והוציאו את בתולי הנערה נערה מלא דבר הכתוב.</w:t>
      </w:r>
    </w:p>
    <w:p w14:paraId="4CEBE926" w14:textId="77777777" w:rsidR="00127B78" w:rsidRPr="00B07FA5" w:rsidRDefault="00127B78" w:rsidP="00127B78">
      <w:pPr>
        <w:pStyle w:val="Style1"/>
      </w:pPr>
    </w:p>
    <w:p w14:paraId="115C2329" w14:textId="77777777" w:rsidR="00127B78" w:rsidRPr="002A597A" w:rsidRDefault="00127B78" w:rsidP="00127B78">
      <w:pPr>
        <w:pStyle w:val="Style1"/>
      </w:pPr>
    </w:p>
    <w:p w14:paraId="16BD92E5" w14:textId="77777777" w:rsidR="00127B78" w:rsidRPr="002A597A" w:rsidRDefault="00127B78" w:rsidP="00127B78">
      <w:pPr>
        <w:pStyle w:val="Style1"/>
      </w:pPr>
    </w:p>
    <w:p w14:paraId="01B91B1C" w14:textId="77777777" w:rsidR="00127B78" w:rsidRPr="002A597A" w:rsidRDefault="00127B78" w:rsidP="00127B78">
      <w:pPr>
        <w:pStyle w:val="Style1"/>
        <w:rPr>
          <w:rtl/>
        </w:rPr>
      </w:pPr>
    </w:p>
    <w:p w14:paraId="3551B253" w14:textId="77777777" w:rsidR="00127B78" w:rsidRPr="002A597A" w:rsidRDefault="00127B78" w:rsidP="00127B78">
      <w:pPr>
        <w:pStyle w:val="Style1"/>
        <w:rPr>
          <w:rStyle w:val="Style1Char"/>
          <w:rtl/>
        </w:rPr>
      </w:pPr>
    </w:p>
    <w:p w14:paraId="1A32F9FE" w14:textId="77777777" w:rsidR="00127B78" w:rsidRPr="00BE61BB" w:rsidRDefault="00127B78" w:rsidP="00127B78">
      <w:pPr>
        <w:bidi/>
        <w:rPr>
          <w:rStyle w:val="Style1Char"/>
          <w:color w:val="00B050"/>
        </w:rPr>
      </w:pPr>
    </w:p>
    <w:p w14:paraId="30AD359A" w14:textId="77777777" w:rsidR="00127B78" w:rsidRDefault="00127B78" w:rsidP="00127B78">
      <w:pPr>
        <w:rPr>
          <w:rStyle w:val="Style1Char"/>
          <w:color w:val="00B050"/>
          <w:sz w:val="22"/>
          <w:szCs w:val="22"/>
          <w:rtl/>
        </w:rPr>
      </w:pPr>
      <w:r w:rsidRPr="00C50F01">
        <w:rPr>
          <w:rStyle w:val="Style1Char"/>
          <w:color w:val="00B050"/>
          <w:sz w:val="22"/>
          <w:szCs w:val="22"/>
          <w:rtl/>
        </w:rPr>
        <w:br w:type="page"/>
      </w:r>
    </w:p>
    <w:p w14:paraId="7FEE34DA" w14:textId="77777777" w:rsidR="00127B78" w:rsidRPr="00C50F01" w:rsidRDefault="00127B78" w:rsidP="00127B78">
      <w:pPr>
        <w:rPr>
          <w:rStyle w:val="Style1Char"/>
          <w:color w:val="00B050"/>
          <w:sz w:val="22"/>
          <w:szCs w:val="22"/>
          <w:rtl/>
        </w:rPr>
      </w:pPr>
    </w:p>
    <w:p w14:paraId="706E7C37" w14:textId="77777777" w:rsidR="00127B78" w:rsidRPr="00496871" w:rsidRDefault="00127B78" w:rsidP="00127B78">
      <w:pPr>
        <w:bidi/>
        <w:rPr>
          <w:rStyle w:val="Style1Char"/>
          <w:color w:val="auto"/>
          <w:sz w:val="22"/>
          <w:szCs w:val="22"/>
        </w:rPr>
      </w:pPr>
      <w:r w:rsidRPr="00534105">
        <w:rPr>
          <w:rStyle w:val="Style1Char"/>
          <w:color w:val="auto"/>
          <w:sz w:val="22"/>
          <w:szCs w:val="22"/>
          <w:highlight w:val="yellow"/>
          <w:rtl/>
        </w:rPr>
        <w:t>[דף מא עמוד א]</w:t>
      </w:r>
      <w:r w:rsidRPr="00534105">
        <w:rPr>
          <w:rStyle w:val="Style1Char"/>
          <w:color w:val="auto"/>
          <w:sz w:val="22"/>
          <w:szCs w:val="22"/>
          <w:rtl/>
        </w:rPr>
        <w:t xml:space="preserve"> מתני'. </w:t>
      </w:r>
      <w:r>
        <w:rPr>
          <w:rStyle w:val="Style1Char"/>
          <w:rFonts w:hint="cs"/>
          <w:rtl/>
        </w:rPr>
        <w:t>(1)</w:t>
      </w:r>
      <w:r w:rsidRPr="00534105">
        <w:rPr>
          <w:rStyle w:val="Style1Char"/>
          <w:color w:val="auto"/>
          <w:sz w:val="22"/>
          <w:szCs w:val="22"/>
          <w:rtl/>
        </w:rPr>
        <w:t xml:space="preserve">האומר פתיתי את בתו של פלוני - משלם בושת ופגם על פי עצמו, ואין משלם קנס. </w:t>
      </w:r>
      <w:r>
        <w:rPr>
          <w:rStyle w:val="Style1Char"/>
          <w:rFonts w:hint="cs"/>
          <w:rtl/>
        </w:rPr>
        <w:t>(2)</w:t>
      </w:r>
      <w:r w:rsidRPr="00534105">
        <w:rPr>
          <w:rStyle w:val="Style1Char"/>
          <w:color w:val="auto"/>
          <w:sz w:val="22"/>
          <w:szCs w:val="22"/>
          <w:rtl/>
        </w:rPr>
        <w:t xml:space="preserve">האומר גנבתי </w:t>
      </w:r>
      <w:r w:rsidRPr="00160176">
        <w:rPr>
          <w:rStyle w:val="Style1Char"/>
          <w:color w:val="C00000"/>
          <w:sz w:val="22"/>
          <w:szCs w:val="22"/>
          <w:rtl/>
        </w:rPr>
        <w:t xml:space="preserve">שורו של פלוני </w:t>
      </w:r>
      <w:r w:rsidRPr="00160176">
        <w:rPr>
          <w:rStyle w:val="Style1Char"/>
          <w:sz w:val="22"/>
          <w:szCs w:val="22"/>
          <w:rtl/>
        </w:rPr>
        <w:t xml:space="preserve">- </w:t>
      </w:r>
      <w:r w:rsidRPr="00496871">
        <w:rPr>
          <w:rStyle w:val="Style1Char"/>
          <w:color w:val="auto"/>
          <w:sz w:val="22"/>
          <w:szCs w:val="22"/>
          <w:rtl/>
        </w:rPr>
        <w:t xml:space="preserve">משלם את הקרן על פי עצמו, ואין משלם תשלומי כפל ותשלומי ארבעה וחמשה. </w:t>
      </w:r>
      <w:r>
        <w:rPr>
          <w:rStyle w:val="Style1Char"/>
          <w:rFonts w:hint="cs"/>
          <w:rtl/>
        </w:rPr>
        <w:t>(3)</w:t>
      </w:r>
      <w:r w:rsidRPr="00496871">
        <w:rPr>
          <w:rStyle w:val="Style1Char"/>
          <w:color w:val="auto"/>
          <w:sz w:val="22"/>
          <w:szCs w:val="22"/>
          <w:rtl/>
        </w:rPr>
        <w:t xml:space="preserve">המית שורי את פלוני או שורו של פלוני - הרי זה משלם על פי עצמו; המית שורי עבדו של פלוני - אין משלם ע"פ עצמו. </w:t>
      </w:r>
      <w:r>
        <w:rPr>
          <w:rStyle w:val="Style1Char"/>
          <w:rFonts w:hint="cs"/>
          <w:rtl/>
        </w:rPr>
        <w:t>(4)</w:t>
      </w:r>
      <w:r w:rsidRPr="00496871">
        <w:rPr>
          <w:rStyle w:val="Style1Char"/>
          <w:color w:val="auto"/>
          <w:sz w:val="22"/>
          <w:szCs w:val="22"/>
          <w:rtl/>
        </w:rPr>
        <w:t xml:space="preserve">זה הכלל: כל המשלם יתר על מה שהזיק - אינו משלם ע"פ עצמו. </w:t>
      </w:r>
    </w:p>
    <w:p w14:paraId="59A02EE8" w14:textId="77777777" w:rsidR="00127B78" w:rsidRDefault="00127B78" w:rsidP="00127B78">
      <w:pPr>
        <w:bidi/>
        <w:rPr>
          <w:rStyle w:val="Style1Char"/>
          <w:color w:val="00B050"/>
        </w:rPr>
      </w:pPr>
      <w:r w:rsidRPr="00B32DE1">
        <w:rPr>
          <w:rStyle w:val="Style1Char"/>
          <w:color w:val="00B050"/>
          <w:rtl/>
        </w:rPr>
        <w:t xml:space="preserve">גמ'. וליתני אנסתי! לא מבעיא קאמר, לא מבעיא אנסתי - דלא קא פגים לה, דמשלם בושת ופגם על פי עצמו, אבל פתיתי - דקא פגים לה, אימא לא משלם על פי עצמו, קא משמע לן. מתניתין דלא כי האי תנא; דתניא, רבי שמעון בן יהודה אומר משום ר' שמעון: אף בושת ופגם אינו משלם ע"פ עצמו, לא כל הימנו שיפגום בתו של פלוני. אמר ליה רב פפא לאביי: ניחא לה לדידה, מאי? דלמא לא ניחא ליה לאביה. ניחא ליה לאביה, מאי? דלמא לא ניחא להו לבני משפחה. ניחא להו לבני משפחה, מאי? אי אפשר דליכא חד במדינת הים דלא ניחא ליה. </w:t>
      </w:r>
    </w:p>
    <w:p w14:paraId="71346DE5" w14:textId="77777777" w:rsidR="00127B78" w:rsidRDefault="00127B78" w:rsidP="00127B78">
      <w:pPr>
        <w:bidi/>
        <w:rPr>
          <w:rStyle w:val="Style1Char"/>
          <w:color w:val="00B050"/>
          <w:rtl/>
        </w:rPr>
      </w:pPr>
      <w:r w:rsidRPr="00B32DE1">
        <w:rPr>
          <w:rStyle w:val="Style1Char"/>
          <w:color w:val="00B050"/>
          <w:rtl/>
        </w:rPr>
        <w:t xml:space="preserve">האומר גנבתי - משלם את הקרן וכו'. איתמר: פלגא ניזקא - רב פפא אמר: פלגא ניזקא ממונא, רב הונא בריה דרב יהושע אמר: </w:t>
      </w:r>
      <w:r>
        <w:rPr>
          <w:rStyle w:val="Style1Char"/>
          <w:rFonts w:hint="cs"/>
          <w:rtl/>
        </w:rPr>
        <w:t>(5)</w:t>
      </w:r>
      <w:r w:rsidRPr="00B32DE1">
        <w:rPr>
          <w:rStyle w:val="Style1Char"/>
          <w:color w:val="00B050"/>
          <w:rtl/>
        </w:rPr>
        <w:t xml:space="preserve">פלגא ניזקא קנסא. רב פפא אמר פלגא ניזקא ממונא, קסבר: סתם שוורים לאו בחזקת שימור קיימי, ובדין הוא דמשלם כוליה, ורחמנא הוא דחייס עלויה, דאכתי לא איעד תורא. רב הונא בריה דרב יהושע אמר פלגא ניזקא קנסא, קסבר: סתם שוורים בחזקת שימור קיימי, ובדין הוא דלא לישלם כלל, ורחמנא הוא דקנסיה, כי היכי דנינטריה לתוריה. (סימן: היזיק מה והמית כלל) תנן: הניזק והמזיק בתשלומין; בשלמא למאן דאמר פלגא ניזקא ממונא, היינו דשייך ניזק בתשלומין, אלא למ"ד פלגא ניזקא קנסא, השתא דלאו דידיה קא שקיל, בתשלומין איתיה? לא נצרכא אלא לפחת נבילה. פחת נבילה, תנינא: תשלומי נזק, </w:t>
      </w:r>
      <w:r>
        <w:rPr>
          <w:rStyle w:val="Style1Char"/>
          <w:rFonts w:hint="cs"/>
          <w:rtl/>
        </w:rPr>
        <w:t>(6)</w:t>
      </w:r>
      <w:r w:rsidRPr="00B32DE1">
        <w:rPr>
          <w:rStyle w:val="Style1Char"/>
          <w:color w:val="00B050"/>
          <w:rtl/>
        </w:rPr>
        <w:t xml:space="preserve">מלמד שהבעלים מטפלין בנבילה! חדא בתם, וחדא במועד. וצריכא, דאי אשמועינן תם, משום דאכתי לא איעד, אבל מועד דאיעד - אימא לא; ואי אשמועינן מועד, משום דקא משלם כוליה, אבל תם - אימא לא, צריכא. ת"ש: מה בין תם למועד? </w:t>
      </w:r>
      <w:r>
        <w:rPr>
          <w:rStyle w:val="Style1Char"/>
          <w:rFonts w:hint="cs"/>
          <w:rtl/>
        </w:rPr>
        <w:t>(6)</w:t>
      </w:r>
      <w:r w:rsidRPr="00B32DE1">
        <w:rPr>
          <w:rStyle w:val="Style1Char"/>
          <w:color w:val="00B050"/>
          <w:rtl/>
        </w:rPr>
        <w:t xml:space="preserve">שהתם משלם חצי נזק מגופו, </w:t>
      </w:r>
      <w:r>
        <w:rPr>
          <w:rStyle w:val="Style1Char"/>
          <w:rFonts w:hint="cs"/>
          <w:rtl/>
        </w:rPr>
        <w:t>(6)</w:t>
      </w:r>
      <w:r w:rsidRPr="00B32DE1">
        <w:rPr>
          <w:rStyle w:val="Style1Char"/>
          <w:color w:val="00B050"/>
          <w:rtl/>
        </w:rPr>
        <w:t xml:space="preserve">ומועד משלם נזק שלם מן העלייה; ולא קתני: שהתם אינו משלם ע"פ עצמו, ומועד משלם ע"פ עצמו! תנא ושייר. מאי שייר דהאי שייר? שייר </w:t>
      </w:r>
      <w:r>
        <w:rPr>
          <w:rStyle w:val="Style1Char"/>
          <w:rFonts w:hint="cs"/>
          <w:rtl/>
        </w:rPr>
        <w:t>(7)</w:t>
      </w:r>
      <w:r w:rsidRPr="00B32DE1">
        <w:rPr>
          <w:rStyle w:val="Style1Char"/>
          <w:color w:val="00B050"/>
          <w:rtl/>
        </w:rPr>
        <w:t xml:space="preserve">חצי כופר. אי משום חצי כופר לאו שיורא הוא, </w:t>
      </w:r>
    </w:p>
    <w:p w14:paraId="0368CE73" w14:textId="5926BAAD" w:rsidR="00127B78" w:rsidRDefault="00127B78" w:rsidP="00127B78">
      <w:pPr>
        <w:pStyle w:val="Style1"/>
        <w:rPr>
          <w:rStyle w:val="Style1Char"/>
          <w:rtl/>
        </w:rPr>
      </w:pPr>
      <w:r>
        <w:rPr>
          <w:rStyle w:val="Style1Char"/>
          <w:rFonts w:hint="cs"/>
          <w:rtl/>
        </w:rPr>
        <w:t>1)[</w:t>
      </w:r>
      <w:r w:rsidRPr="00A353BA">
        <w:rPr>
          <w:rStyle w:val="Style1Char"/>
          <w:rtl/>
        </w:rPr>
        <w:t>רמב</w:t>
      </w:r>
      <w:r w:rsidR="00786216">
        <w:rPr>
          <w:rStyle w:val="Style1Char"/>
          <w:rtl/>
        </w:rPr>
        <w:t>”ם \נשים\</w:t>
      </w:r>
      <w:r w:rsidRPr="00A353BA">
        <w:rPr>
          <w:rStyle w:val="Style1Char"/>
          <w:rtl/>
        </w:rPr>
        <w:t xml:space="preserve"> הלכות נערה בתולה פרק ב הלכה יב</w:t>
      </w:r>
      <w:r>
        <w:rPr>
          <w:rStyle w:val="Style1Char"/>
          <w:rFonts w:hint="cs"/>
          <w:rtl/>
        </w:rPr>
        <w:t xml:space="preserve">] </w:t>
      </w:r>
      <w:r w:rsidRPr="00A353BA">
        <w:rPr>
          <w:rStyle w:val="Style1Char"/>
          <w:rtl/>
        </w:rPr>
        <w:t>אין אדם משלם קנס בכל מקום בהודאת פיו אלא על פי עדים, לפיכך האומר אנסתי או פתיתי בתו של פלוני אינו משלם קנס אבל משלם בשת ופגם בהודאת פיו, וכן בת שתבעה איש בדין ואמרה לו אנסת או פתית אותי והוא אומר לא היו דברים מעולם הרי זה נשבע שבועת הסת שאילו הודה היה משלם לה בשת ופגם וצער על פי עצמו.</w:t>
      </w:r>
    </w:p>
    <w:p w14:paraId="66C4C6C0" w14:textId="2A337B75" w:rsidR="00127B78" w:rsidRDefault="00127B78" w:rsidP="00127B78">
      <w:pPr>
        <w:pStyle w:val="Style1"/>
        <w:rPr>
          <w:rStyle w:val="Style1Char"/>
          <w:rtl/>
        </w:rPr>
      </w:pPr>
      <w:r>
        <w:rPr>
          <w:rStyle w:val="Style1Char"/>
          <w:rFonts w:hint="cs"/>
          <w:rtl/>
        </w:rPr>
        <w:t>1)[</w:t>
      </w:r>
      <w:r w:rsidRPr="007800D3">
        <w:rPr>
          <w:rStyle w:val="Style1Char"/>
          <w:rtl/>
        </w:rPr>
        <w:t>רמב</w:t>
      </w:r>
      <w:r w:rsidR="005258D6">
        <w:rPr>
          <w:rStyle w:val="Style1Char"/>
          <w:rtl/>
        </w:rPr>
        <w:t>”</w:t>
      </w:r>
      <w:r w:rsidRPr="007800D3">
        <w:rPr>
          <w:rStyle w:val="Style1Char"/>
          <w:rtl/>
        </w:rPr>
        <w:t>ם</w:t>
      </w:r>
      <w:r w:rsidR="005258D6">
        <w:rPr>
          <w:rStyle w:val="Style1Char"/>
          <w:rtl/>
        </w:rPr>
        <w:t xml:space="preserve">\שופטים\ </w:t>
      </w:r>
      <w:r w:rsidRPr="007800D3">
        <w:rPr>
          <w:rStyle w:val="Style1Char"/>
          <w:rtl/>
        </w:rPr>
        <w:t xml:space="preserve"> הלכות סנהדרין פרק ה הלכה יד</w:t>
      </w:r>
      <w:r>
        <w:rPr>
          <w:rStyle w:val="Style1Char"/>
          <w:rFonts w:hint="cs"/>
          <w:rtl/>
        </w:rPr>
        <w:t xml:space="preserve">] </w:t>
      </w:r>
      <w:r w:rsidRPr="007800D3">
        <w:rPr>
          <w:rStyle w:val="Style1Char"/>
          <w:rtl/>
        </w:rPr>
        <w:t>ולא כל המשלם על פי עצמו גובין ממנו דייני חוצה לארץ שהרי הפגם והבשת והכופר משלם אדם על פי עצמו כגון שאמר פתיתי בתו של פלוני והמית שורי את פלוני ואין גובין אותו דייני חוצה לארץ.</w:t>
      </w:r>
    </w:p>
    <w:p w14:paraId="26099DB3" w14:textId="733B0E77" w:rsidR="00127B78" w:rsidRDefault="00127B78" w:rsidP="00127B78">
      <w:pPr>
        <w:pStyle w:val="Style1"/>
        <w:rPr>
          <w:rStyle w:val="Style1Char"/>
          <w:rtl/>
        </w:rPr>
      </w:pPr>
      <w:r>
        <w:rPr>
          <w:rStyle w:val="Style1Char"/>
          <w:rFonts w:hint="cs"/>
          <w:rtl/>
        </w:rPr>
        <w:t>2)[</w:t>
      </w:r>
      <w:r w:rsidRPr="00CB7316">
        <w:rPr>
          <w:rStyle w:val="Style1Char"/>
          <w:rtl/>
        </w:rPr>
        <w:t>רמב</w:t>
      </w:r>
      <w:r w:rsidR="005258D6">
        <w:rPr>
          <w:rStyle w:val="Style1Char"/>
          <w:rtl/>
        </w:rPr>
        <w:t>”ם \נזיקין\</w:t>
      </w:r>
      <w:r w:rsidRPr="00CB7316">
        <w:rPr>
          <w:rStyle w:val="Style1Char"/>
          <w:rtl/>
        </w:rPr>
        <w:t xml:space="preserve"> הלכות גניבה פרק ג הלכה ט</w:t>
      </w:r>
      <w:r>
        <w:rPr>
          <w:rStyle w:val="Style1Char"/>
          <w:rFonts w:hint="cs"/>
          <w:rtl/>
        </w:rPr>
        <w:t xml:space="preserve">] </w:t>
      </w:r>
      <w:r w:rsidRPr="00CB7316">
        <w:rPr>
          <w:rStyle w:val="Style1Char"/>
          <w:rtl/>
        </w:rPr>
        <w:t>כיצד, הודה בבית דין שגנב ואחר כך באו עדים שגנב פטור מן הכפל שהרי חייב עצמו בקרן קודם שיבואו עדים, אבל אם אמר לא גנבתי שפטר עצמו מן הכל ובאו עדים שגנב וחזר ואמר בבית דין טבחתי או מכרתי אם באו עדים אחר כך שטבח או מכר משלם תשלומי ארבעה וחמשה לפי שפטר עצמו תחילה מכלום עד שבאו העדים.</w:t>
      </w:r>
    </w:p>
    <w:p w14:paraId="59F3AFB9" w14:textId="77777777" w:rsidR="00127B78" w:rsidRPr="006343FB" w:rsidRDefault="00127B78" w:rsidP="00127B78">
      <w:pPr>
        <w:pStyle w:val="Style1"/>
        <w:rPr>
          <w:rStyle w:val="Style1Char"/>
        </w:rPr>
      </w:pPr>
      <w:r>
        <w:rPr>
          <w:rStyle w:val="Style1Char"/>
          <w:rFonts w:hint="cs"/>
          <w:rtl/>
        </w:rPr>
        <w:t>2)[</w:t>
      </w:r>
      <w:r w:rsidRPr="006343FB">
        <w:rPr>
          <w:rStyle w:val="Style1Char"/>
          <w:rtl/>
        </w:rPr>
        <w:t>טור חושן משפט הלכות גניבה סימן שמח</w:t>
      </w:r>
      <w:r>
        <w:rPr>
          <w:rStyle w:val="Style1Char"/>
          <w:rFonts w:hint="cs"/>
          <w:rtl/>
        </w:rPr>
        <w:t xml:space="preserve">] </w:t>
      </w:r>
      <w:r w:rsidRPr="006343FB">
        <w:rPr>
          <w:rStyle w:val="Style1Char"/>
          <w:rtl/>
        </w:rPr>
        <w:t>הלכות גניבה:</w:t>
      </w:r>
    </w:p>
    <w:p w14:paraId="74A921EC" w14:textId="77777777" w:rsidR="00127B78" w:rsidRPr="006343FB" w:rsidRDefault="00127B78" w:rsidP="00127B78">
      <w:pPr>
        <w:pStyle w:val="Style1"/>
        <w:rPr>
          <w:rStyle w:val="Style1Char"/>
        </w:rPr>
      </w:pPr>
      <w:r w:rsidRPr="006343FB">
        <w:rPr>
          <w:rStyle w:val="Style1Char"/>
          <w:rtl/>
        </w:rPr>
        <w:t>א אסור לגנוב אפילו כל שהוא אפי' דרך שחוק ואפי' ע"מ להחזיר או ע"מ לשלם הכל אסור שלא ירגיל עצמו בכך וכל הגונב אפי' ש"פ עובר על לאו דלא תגנובו וחייב לשלם:</w:t>
      </w:r>
    </w:p>
    <w:p w14:paraId="17875326" w14:textId="77777777" w:rsidR="00127B78" w:rsidRPr="006343FB" w:rsidRDefault="00127B78" w:rsidP="00127B78">
      <w:pPr>
        <w:pStyle w:val="Style1"/>
        <w:rPr>
          <w:rStyle w:val="Style1Char"/>
        </w:rPr>
      </w:pPr>
      <w:r w:rsidRPr="006343FB">
        <w:rPr>
          <w:rStyle w:val="Style1Char"/>
          <w:rtl/>
        </w:rPr>
        <w:t>ב אחד הגונב מישראל בין קטן בין גדול ואחד הגונב מעובד כו"ם שגניבתו אסור:</w:t>
      </w:r>
    </w:p>
    <w:p w14:paraId="3D8D8862" w14:textId="77777777" w:rsidR="00127B78" w:rsidRPr="006343FB" w:rsidRDefault="00127B78" w:rsidP="00127B78">
      <w:pPr>
        <w:pStyle w:val="Style1"/>
        <w:rPr>
          <w:rStyle w:val="Style1Char"/>
        </w:rPr>
      </w:pPr>
      <w:r w:rsidRPr="006343FB">
        <w:rPr>
          <w:rStyle w:val="Style1Char"/>
          <w:rtl/>
        </w:rPr>
        <w:t>ג אבל טעותו של כותי היה מותר ובלבד שלא יודע לו דליכא חילול השם:</w:t>
      </w:r>
    </w:p>
    <w:p w14:paraId="79B5FE8D" w14:textId="77777777" w:rsidR="00127B78" w:rsidRPr="006343FB" w:rsidRDefault="00127B78" w:rsidP="00127B78">
      <w:pPr>
        <w:pStyle w:val="Style1"/>
        <w:rPr>
          <w:rStyle w:val="Style1Char"/>
        </w:rPr>
      </w:pPr>
      <w:r w:rsidRPr="006343FB">
        <w:rPr>
          <w:rStyle w:val="Style1Char"/>
          <w:rtl/>
        </w:rPr>
        <w:t>ד ואיזהו גנב כגון הלוקח בסתר ואפי' רואין אותו כיון שמטמין עצמו להסתיר דבריו נקרא גנב. וגזלן זה הלוקח בגלוי ובחזקה:</w:t>
      </w:r>
    </w:p>
    <w:p w14:paraId="55F35717" w14:textId="77777777" w:rsidR="00127B78" w:rsidRPr="006343FB" w:rsidRDefault="00127B78" w:rsidP="00127B78">
      <w:pPr>
        <w:pStyle w:val="Style1"/>
        <w:rPr>
          <w:rStyle w:val="Style1Char"/>
        </w:rPr>
      </w:pPr>
      <w:r w:rsidRPr="006343FB">
        <w:rPr>
          <w:rStyle w:val="Style1Char"/>
          <w:rtl/>
        </w:rPr>
        <w:t>ה ומשעה שמשך הגניבה נעשה עליה גנב בד"א שמשכה חוץ מרשות הבעלים אבל כל זמן שהיא ברשות הבעלים אינו חייב עד שיגביהנה:</w:t>
      </w:r>
    </w:p>
    <w:p w14:paraId="7360EE89" w14:textId="77777777" w:rsidR="00127B78" w:rsidRPr="006343FB" w:rsidRDefault="00127B78" w:rsidP="00127B78">
      <w:pPr>
        <w:pStyle w:val="Style1"/>
        <w:rPr>
          <w:rStyle w:val="Style1Char"/>
        </w:rPr>
      </w:pPr>
      <w:r w:rsidRPr="006343FB">
        <w:rPr>
          <w:rStyle w:val="Style1Char"/>
          <w:rtl/>
        </w:rPr>
        <w:t>ו ואם הכניסה לרשותו אפי' לגגו חצירו וקרפיפו אם היא משתמרת חייב אף על פי שלא משכה ולא הגביהה ומה משלם הגנב כפל דכתיב אם המצא תמצא בידו הגניבה וגו' שנים ישלם וכל דבר נתרבה לענין כפל ומוסף עליהם שור ושה שאם טבחם או מכרם משלם ד' תחת השה וה' תחת השור:</w:t>
      </w:r>
    </w:p>
    <w:p w14:paraId="68ABEE29" w14:textId="77777777" w:rsidR="00127B78" w:rsidRPr="006343FB" w:rsidRDefault="00127B78" w:rsidP="00127B78">
      <w:pPr>
        <w:pStyle w:val="Style1"/>
        <w:rPr>
          <w:rStyle w:val="Style1Char"/>
        </w:rPr>
      </w:pPr>
      <w:r w:rsidRPr="006343FB">
        <w:rPr>
          <w:rStyle w:val="Style1Char"/>
          <w:rtl/>
        </w:rPr>
        <w:t>ז בד"א שבאו עדים שגנב וטבח ומכר אבל אם הודה מעצמו אינו משלם אלא הקרן דכתיב אשר ירשיעון אלהים ודרשינן פרט למרשיע את עצמו ואפילו מודה בקנס ואח"כ באו עדים פטור ובלבד שמחייב עצמו בקרן כגון שהודה שגנב וטבח או מכר שנמצא שחייב עצמו בקרן ואח"כ באו עדים שגנב וטבח ומכר אבל אם אמר לא גנבתי ובאו עדים שגנב והודה שטבח ומכר ואח"כ באו עדים שטבח ומכר חייב ד' וה' ומיהו אין מודה בקנס פטור אלא דוקא בפני ב"ד ובמקום ב"ד אבל הודה בפני ב' או אפילו בפני ג' חוץ מבית דין אינו מועיל להפטר מקנס:</w:t>
      </w:r>
    </w:p>
    <w:p w14:paraId="26DC866B" w14:textId="77777777" w:rsidR="00127B78" w:rsidRPr="006343FB" w:rsidRDefault="00127B78" w:rsidP="00127B78">
      <w:pPr>
        <w:pStyle w:val="Style1"/>
        <w:rPr>
          <w:rStyle w:val="Style1Char"/>
        </w:rPr>
      </w:pPr>
      <w:r w:rsidRPr="006343FB">
        <w:rPr>
          <w:rStyle w:val="Style1Char"/>
          <w:rtl/>
        </w:rPr>
        <w:t>ח לפיכך האידנא שאין לנו בית דין הראויין לדון דיני קנסות אין מועיל שום הודאה ליפטר מקנס:</w:t>
      </w:r>
    </w:p>
    <w:p w14:paraId="751D8372" w14:textId="77777777" w:rsidR="00127B78" w:rsidRPr="006343FB" w:rsidRDefault="00127B78" w:rsidP="00127B78">
      <w:pPr>
        <w:pStyle w:val="Style1"/>
        <w:rPr>
          <w:rStyle w:val="Style1Char"/>
        </w:rPr>
      </w:pPr>
      <w:r w:rsidRPr="006343FB">
        <w:rPr>
          <w:rStyle w:val="Style1Char"/>
          <w:rtl/>
        </w:rPr>
        <w:t>ט ואלו התשלומין בין קרן בין כפל אם יש לו מטלטלין גובין מהם ואם אין לו מטלטלין אלא מקרקעי יורדין להן וגובין מהעדית שלו כשאר נזקים ואם אין לו מקרקעי ולא מטלטלין בזמן שהיובל נוהג דבר תורה מוכר את עצמו ומשלם לזה את הקרן אבל בזמן הזה אינו נמכר שאין תורת עבד עברי נוהג אלא בזמן שהיובל נוהג:</w:t>
      </w:r>
    </w:p>
    <w:p w14:paraId="08489EAF" w14:textId="77777777" w:rsidR="00127B78" w:rsidRPr="006343FB" w:rsidRDefault="00127B78" w:rsidP="00127B78">
      <w:pPr>
        <w:pStyle w:val="Style1"/>
        <w:rPr>
          <w:rStyle w:val="Style1Char"/>
        </w:rPr>
      </w:pPr>
      <w:r w:rsidRPr="006343FB">
        <w:rPr>
          <w:rStyle w:val="Style1Char"/>
          <w:rtl/>
        </w:rPr>
        <w:t>י שאלה לגאון מי שנחשד בגניבה ואין עליו עדים ויש עליו עדים על גניבה אחרת קודם לכן מה דין יש עליו. תשובה כך ראינו שאין עליו לא דין ולא מלקות שלא צותה תורה מלקות אלא בשני עדים אלא גוזרין עליו בגזירה בס"ת ובשופרות וכן הלכתא:</w:t>
      </w:r>
    </w:p>
    <w:p w14:paraId="64FC5333" w14:textId="77777777" w:rsidR="00127B78" w:rsidRPr="006343FB" w:rsidRDefault="00127B78" w:rsidP="00127B78">
      <w:pPr>
        <w:pStyle w:val="Style1"/>
        <w:rPr>
          <w:rStyle w:val="Style1Char"/>
        </w:rPr>
      </w:pPr>
      <w:r w:rsidRPr="006343FB">
        <w:rPr>
          <w:rStyle w:val="Style1Char"/>
          <w:rtl/>
        </w:rPr>
        <w:t xml:space="preserve">יא שאלה לא"א הרא"ש ז"ל ששאלת ראובן שאמר לשמעון הברחת ממוני השיבו שמעון ראית זה א"ל ראובן לא אלא כך אני סבור שוב בירר ראובן דבריו שאשתו לקחה חפצים מביתו השליכתם דרך חלון לחצר אחרת ושמעון סייע לאשתו להוליכן משום שהיא אחותו וכתבת שחייבת לשמעון שבועה שלא גנב מאומה ושאין בידו כלום מראובן. תשובה מן הדין לא היה לך לחייב לשמעון שבועה דכיון שא"ל ראובן לא ראיתי אבל אני סבור שגנבת הו"ל טענת שמא ואין נשבעין על טענת שמא אא"כ אמר ברי לי שמנה לי בידך או עבדי גנבת ואף על מה שסייע לאשת ראובן להוליך הבגדים אין לחייבו כי מיד שהגביהה החפצים ע"ד לגנבם קנאתם אפילו ברשות הבעלים וכיון שנתחייבה בהגבהתם תו לא מיחייב שמעון במה שסייע להוליכם והא דאמרינן גזל ולא נתייאשו הבעלים רצה מזה גובה רצה מזה גובה היינו דוקא כשהשני גזלם מהראשון דכיון שלא נתייאשו הבעלים הוה כאילו גזלן מהבעלים אבל הכא שלא בא לגנוב אלא לסייע לאחותו והיא כבר קנאתם בהגבהה לא מיחייב דגנב אין כאן שלא נתכוין לקנות בהגבהתו ועוד כיון שאין לראובן עדים שלקחה אשתו החפצים אם היתה אומרת ודאי לקחתי אבל היו שלי שהופקדו אצלי היתה נאמנת והיאך יתחייב במה שסייע לה להוליכם ואין לומר נהי </w:t>
      </w:r>
      <w:r w:rsidRPr="006343FB">
        <w:rPr>
          <w:rStyle w:val="Style1Char"/>
          <w:rtl/>
        </w:rPr>
        <w:lastRenderedPageBreak/>
        <w:t>שאין ראובן יכול להוציא מיד אשתו כיון שאין לו עדי גניבה מכל מקום שמעון שראה וידע שאחותם גנבתם מבעלה יש לו להחזיקה בתורת גזלנות שהרי החוטף חפץ מחבירו בפני עדים לאו כל כמיניה לומר אין חטפי ודידי חטפי הא ליתא שהרי טוען שמעון שבדין לקחה החפצים:</w:t>
      </w:r>
    </w:p>
    <w:p w14:paraId="3F10AB23" w14:textId="77777777" w:rsidR="00127B78" w:rsidRPr="006343FB" w:rsidRDefault="00127B78" w:rsidP="00127B78">
      <w:pPr>
        <w:pStyle w:val="Style1"/>
        <w:rPr>
          <w:rStyle w:val="Style1Char"/>
        </w:rPr>
      </w:pPr>
      <w:r w:rsidRPr="006343FB">
        <w:rPr>
          <w:rStyle w:val="Style1Char"/>
          <w:rtl/>
        </w:rPr>
        <w:t>יב ועוד אני אומר אם ראה ראובן ששמעון נכנס לבית לוי וגנב חפץ א' ובא אותו חפץ ליד ראובן והחזירו לשמעון אין לוי יכול להוציאו ממנו בדין ולא דמי לשומר אבדה שצריך להשיבה ליד בעלים כיון ששמעון אומר שמן הדין נטלה מבית לוי מחמת תביעה שיש לו עליו ואם היה ראובן מחזירו ללוי יהיה שמעון עוין עליו כל ימיו ואם יתפוש שמעון משל ראובן לא היה מחזירו לו אין ראובן חייב להציל ממון לוי בממונו:</w:t>
      </w:r>
    </w:p>
    <w:p w14:paraId="7D822EDC" w14:textId="77777777" w:rsidR="00127B78" w:rsidRDefault="00127B78" w:rsidP="00127B78">
      <w:pPr>
        <w:pStyle w:val="Style1"/>
        <w:rPr>
          <w:rStyle w:val="Style1Char"/>
          <w:rtl/>
        </w:rPr>
      </w:pPr>
      <w:r w:rsidRPr="006343FB">
        <w:rPr>
          <w:rStyle w:val="Style1Char"/>
          <w:rtl/>
        </w:rPr>
        <w:t>יג ששאלת ראובן תבע לשמעון שנכנס לחדרו וגנב ספריו והוציאן מרשותו והשיב שמעון אמת היה שהוצאתים אבל כך היה המעשה שבקשני קרובתי כלתך להוציאם כי לא יכלה שאתם ולא ידעתי של מי היו שלה או שלך וגם לא לקחתים ולא הגבהתים ממקומך אך היא הגביהתם ונתנתם לי וטרחתי בשבילה ונתתים לאביה. תשובה שמעון חייב להחזיר הספרים</w:t>
      </w:r>
      <w:r>
        <w:rPr>
          <w:rStyle w:val="Style1Char"/>
          <w:rFonts w:hint="cs"/>
          <w:rtl/>
        </w:rPr>
        <w:t xml:space="preserve"> </w:t>
      </w:r>
      <w:r w:rsidRPr="006343FB">
        <w:rPr>
          <w:rStyle w:val="Style1Char"/>
          <w:rtl/>
        </w:rPr>
        <w:t>כי מה היה לו ליכנס לחדרו ולהוציא ספרים שלא מדעתו כי כל המונח בביתו של אדם הוא בחזקת שלו וגם ניכר הדבר שכיון לסייע לקרובתו לגזול חמיה ומה שטוען שהיא הגביהתם ונתנתם לו מ"מ הרי טוען שהיו כבדים ולא יכלה שאתם וכיון שלא יכלה להוציאם משם אם לא שסייעה הוה ליה כאילו הוציאם הוא ויגבה ראובן ממי שירצה מכלתו שהודתה לו שהם ברשותה ואם ירצה יגבה משמעון:</w:t>
      </w:r>
    </w:p>
    <w:p w14:paraId="064CA343" w14:textId="5C24859A" w:rsidR="00127B78" w:rsidRDefault="00127B78" w:rsidP="00127B78">
      <w:pPr>
        <w:pStyle w:val="Style1"/>
        <w:rPr>
          <w:rStyle w:val="Style1Char"/>
          <w:rtl/>
        </w:rPr>
      </w:pPr>
      <w:r>
        <w:rPr>
          <w:rStyle w:val="Style1Char"/>
          <w:rFonts w:hint="cs"/>
          <w:rtl/>
        </w:rPr>
        <w:t>3)[</w:t>
      </w:r>
      <w:r w:rsidRPr="00372144">
        <w:rPr>
          <w:rStyle w:val="Style1Char"/>
          <w:rtl/>
        </w:rPr>
        <w:t>רמב</w:t>
      </w:r>
      <w:r w:rsidR="005258D6">
        <w:rPr>
          <w:rStyle w:val="Style1Char"/>
          <w:rtl/>
        </w:rPr>
        <w:t>”</w:t>
      </w:r>
      <w:r w:rsidRPr="00372144">
        <w:rPr>
          <w:rStyle w:val="Style1Char"/>
          <w:rtl/>
        </w:rPr>
        <w:t>ם</w:t>
      </w:r>
      <w:r w:rsidR="005258D6">
        <w:rPr>
          <w:rStyle w:val="Style1Char"/>
          <w:rtl/>
        </w:rPr>
        <w:t xml:space="preserve">\שופטים\ </w:t>
      </w:r>
      <w:r w:rsidRPr="00372144">
        <w:rPr>
          <w:rStyle w:val="Style1Char"/>
          <w:rtl/>
        </w:rPr>
        <w:t xml:space="preserve"> הלכות סנהדרין פרק ה הלכה יד</w:t>
      </w:r>
      <w:r>
        <w:rPr>
          <w:rStyle w:val="Style1Char"/>
          <w:rFonts w:hint="cs"/>
          <w:rtl/>
        </w:rPr>
        <w:t xml:space="preserve">] </w:t>
      </w:r>
      <w:r w:rsidRPr="00372144">
        <w:rPr>
          <w:rStyle w:val="Style1Char"/>
          <w:rtl/>
        </w:rPr>
        <w:t>ולא כל המשלם על פי עצמו גובין ממנו דייני חוצה לארץ שהרי הפגם והבשת והכופר משלם אדם על פי עצמו כגון שאמר פתיתי בתו של פלוני והמית שורי את פלוני ואין גובין אותו דייני חוצה לארץ.</w:t>
      </w:r>
    </w:p>
    <w:p w14:paraId="45200633" w14:textId="044A11A2" w:rsidR="00127B78" w:rsidRDefault="00127B78" w:rsidP="00127B78">
      <w:pPr>
        <w:pStyle w:val="Style1"/>
        <w:rPr>
          <w:rStyle w:val="Style1Char"/>
          <w:rtl/>
        </w:rPr>
      </w:pPr>
      <w:r>
        <w:rPr>
          <w:rStyle w:val="Style1Char"/>
          <w:rFonts w:hint="cs"/>
          <w:rtl/>
        </w:rPr>
        <w:t>4)[</w:t>
      </w:r>
      <w:r w:rsidRPr="00CA0614">
        <w:rPr>
          <w:rStyle w:val="Style1Char"/>
          <w:rtl/>
        </w:rPr>
        <w:t>רמב</w:t>
      </w:r>
      <w:r w:rsidR="00EC109D">
        <w:rPr>
          <w:rStyle w:val="Style1Char"/>
          <w:rtl/>
        </w:rPr>
        <w:t>”ם \נזיקין\</w:t>
      </w:r>
      <w:r w:rsidRPr="00CA0614">
        <w:rPr>
          <w:rStyle w:val="Style1Char"/>
          <w:rtl/>
        </w:rPr>
        <w:t xml:space="preserve"> הלכות נזקי ממון פרק ב הלכה ח</w:t>
      </w:r>
      <w:r>
        <w:rPr>
          <w:rStyle w:val="Style1Char"/>
          <w:rFonts w:hint="cs"/>
          <w:rtl/>
        </w:rPr>
        <w:t xml:space="preserve">] </w:t>
      </w:r>
      <w:r w:rsidRPr="00CA0614">
        <w:rPr>
          <w:rStyle w:val="Style1Char"/>
          <w:rtl/>
        </w:rPr>
        <w:t>זה הכלל כל המשלם מה שהזיק הרי זה ממון וכל המשלם יתר או פחות כגון תשלומי כפל או חצי נזק הרי היתר על הקרן או הפחות קנס, ואין חייבין קנס אלא ע"פ עדים אבל המודה בכל קנס מן הקנסות פטור.</w:t>
      </w:r>
    </w:p>
    <w:p w14:paraId="789AA997" w14:textId="307B11A3" w:rsidR="00127B78" w:rsidRDefault="00127B78" w:rsidP="00127B78">
      <w:pPr>
        <w:pStyle w:val="Style1"/>
        <w:rPr>
          <w:rStyle w:val="Style1Char"/>
          <w:rtl/>
        </w:rPr>
      </w:pPr>
      <w:r>
        <w:rPr>
          <w:rStyle w:val="Style1Char"/>
          <w:rFonts w:hint="cs"/>
          <w:rtl/>
        </w:rPr>
        <w:t>5)[</w:t>
      </w:r>
      <w:r w:rsidRPr="00AC0514">
        <w:rPr>
          <w:rStyle w:val="Style1Char"/>
          <w:rtl/>
        </w:rPr>
        <w:t>רמב</w:t>
      </w:r>
      <w:r w:rsidR="00EC109D">
        <w:rPr>
          <w:rStyle w:val="Style1Char"/>
          <w:rtl/>
        </w:rPr>
        <w:t>”ם \נזיקין\</w:t>
      </w:r>
      <w:r w:rsidRPr="00AC0514">
        <w:rPr>
          <w:rStyle w:val="Style1Char"/>
          <w:rtl/>
        </w:rPr>
        <w:t xml:space="preserve"> הלכות נזקי ממון פרק ב הלכה ז</w:t>
      </w:r>
      <w:r>
        <w:rPr>
          <w:rStyle w:val="Style1Char"/>
          <w:rFonts w:hint="cs"/>
          <w:rtl/>
        </w:rPr>
        <w:t xml:space="preserve">] </w:t>
      </w:r>
      <w:r w:rsidRPr="00AC0514">
        <w:rPr>
          <w:rStyle w:val="Style1Char"/>
          <w:rtl/>
        </w:rPr>
        <w:t>כל המשלם נזק שלם הרי התשלומין ממון שהוא חייב לשלמו כמי שלוה מחבירו שהוא חייב לשלם, וכל המשלם חצי נזק הרי התשלומין קנס חוץ מחצי נזק של צרורות שהוא הלכה כמו שביארנו.</w:t>
      </w:r>
    </w:p>
    <w:p w14:paraId="6069089B" w14:textId="59F52C24" w:rsidR="00127B78" w:rsidRDefault="00127B78" w:rsidP="00127B78">
      <w:pPr>
        <w:pStyle w:val="Style1"/>
        <w:rPr>
          <w:rStyle w:val="Style1Char"/>
          <w:rtl/>
        </w:rPr>
      </w:pPr>
      <w:r>
        <w:rPr>
          <w:rStyle w:val="Style1Char"/>
          <w:rFonts w:hint="cs"/>
          <w:rtl/>
        </w:rPr>
        <w:t>5)[</w:t>
      </w:r>
      <w:r w:rsidRPr="00206E42">
        <w:rPr>
          <w:rStyle w:val="Style1Char"/>
          <w:rtl/>
        </w:rPr>
        <w:t>רמב</w:t>
      </w:r>
      <w:r w:rsidR="005258D6">
        <w:rPr>
          <w:rStyle w:val="Style1Char"/>
          <w:rtl/>
        </w:rPr>
        <w:t>”</w:t>
      </w:r>
      <w:r w:rsidRPr="00206E42">
        <w:rPr>
          <w:rStyle w:val="Style1Char"/>
          <w:rtl/>
        </w:rPr>
        <w:t>ם</w:t>
      </w:r>
      <w:r w:rsidR="005258D6">
        <w:rPr>
          <w:rStyle w:val="Style1Char"/>
          <w:rtl/>
        </w:rPr>
        <w:t xml:space="preserve">\שופטים\ </w:t>
      </w:r>
      <w:r w:rsidRPr="00206E42">
        <w:rPr>
          <w:rStyle w:val="Style1Char"/>
          <w:rtl/>
        </w:rPr>
        <w:t xml:space="preserve"> הלכות סנהדרין פרק ה הלכה ט</w:t>
      </w:r>
      <w:r>
        <w:rPr>
          <w:rStyle w:val="Style1Char"/>
          <w:rFonts w:hint="cs"/>
          <w:rtl/>
        </w:rPr>
        <w:t xml:space="preserve">] </w:t>
      </w:r>
      <w:r w:rsidRPr="00206E42">
        <w:rPr>
          <w:rStyle w:val="Style1Char"/>
          <w:rtl/>
        </w:rPr>
        <w:t>אין דנין בית דין של חוצה לארץ אלא דברים המצויין תמיד ויש בהן חסרון כיס, כגון הודאות והלואות ומזיק ממון חבירו, אבל דברים שאין מצויין אף על פי שיש בהן חסרון כיס כגון בהמה שחבלה בחברתה, או דברים המצויין אבל אין בהן חסרון כיס כגון תשלומי כפל אין דנין אותן דייני חוצה לארץ, וכן כל הקנסות שקנסו חכמים בתוקע לחבירו ובסוטר את חבירו וכיוצא בהן אין גובין אותו דייני חוצה לארץ, וכל המשלם חצי נזק אין גובין אותו דייני חוצה לארץ חוץ מחצי נזק צרורות מפני שהוא ממון ואינו קנס.</w:t>
      </w:r>
    </w:p>
    <w:p w14:paraId="387BFACD" w14:textId="77777777" w:rsidR="00127B78" w:rsidRPr="001E62EB" w:rsidRDefault="00127B78" w:rsidP="00127B78">
      <w:pPr>
        <w:pStyle w:val="Style1"/>
      </w:pPr>
      <w:r>
        <w:rPr>
          <w:rStyle w:val="Style1Char"/>
          <w:rFonts w:hint="cs"/>
          <w:rtl/>
        </w:rPr>
        <w:t>5)[</w:t>
      </w:r>
      <w:r w:rsidRPr="00075A79">
        <w:rPr>
          <w:rStyle w:val="Style1Char"/>
          <w:rtl/>
        </w:rPr>
        <w:t>שולחן ערוך חושן משפט הלכות דיינים סימן א סעיף א</w:t>
      </w:r>
      <w:r>
        <w:rPr>
          <w:rStyle w:val="Style1Char"/>
          <w:rFonts w:hint="cs"/>
          <w:rtl/>
        </w:rPr>
        <w:t xml:space="preserve">] </w:t>
      </w:r>
      <w:r w:rsidRPr="001E62EB">
        <w:rPr>
          <w:rtl/>
        </w:rPr>
        <w:t>בזמן הזה דנים הדיינים דיני הודאות והלוואות וכתובות אשה וירושות ומתנות ומזיק ממון חבירו, שהם הדברים המצויים תמיד ויש בהם חסרון כיס</w:t>
      </w:r>
      <w:r w:rsidRPr="001E62EB">
        <w:t>.</w:t>
      </w:r>
    </w:p>
    <w:p w14:paraId="075151CF" w14:textId="77777777" w:rsidR="00127B78" w:rsidRDefault="00127B78" w:rsidP="00127B78">
      <w:pPr>
        <w:pStyle w:val="Style1"/>
        <w:rPr>
          <w:rtl/>
        </w:rPr>
      </w:pPr>
      <w:r w:rsidRPr="001E62EB">
        <w:rPr>
          <w:rtl/>
        </w:rPr>
        <w:t>אבל דברים שאינם מצויים, אף על פי שיש בהם חסרון כיס, כגון בהמה שחבלה בחברתה; או שאין בהם חסרון כיס, אף על פי שהם מצויים, כגון תשלומי כפל, וכן כל הקנסות שקנסו חכמים, כתוקע לחבירו</w:t>
      </w:r>
      <w:r w:rsidRPr="001E62EB">
        <w:t xml:space="preserve"> (</w:t>
      </w:r>
      <w:r w:rsidRPr="001E62EB">
        <w:rPr>
          <w:rtl/>
        </w:rPr>
        <w:t>פירוש, שתוקע בקול באוזנו ומבעיתו</w:t>
      </w:r>
      <w:r w:rsidRPr="001E62EB">
        <w:t xml:space="preserve">), </w:t>
      </w:r>
      <w:r w:rsidRPr="001E62EB">
        <w:rPr>
          <w:rtl/>
        </w:rPr>
        <w:t>וכסוטר את חבירו</w:t>
      </w:r>
      <w:r w:rsidRPr="001E62EB">
        <w:t xml:space="preserve"> (</w:t>
      </w:r>
      <w:r w:rsidRPr="001E62EB">
        <w:rPr>
          <w:rtl/>
        </w:rPr>
        <w:t>פירוש, מכה בידו על הלחי</w:t>
      </w:r>
      <w:r w:rsidRPr="001E62EB">
        <w:t xml:space="preserve">), </w:t>
      </w:r>
      <w:r w:rsidRPr="001E62EB">
        <w:rPr>
          <w:rtl/>
        </w:rPr>
        <w:t>וכן כל המשלם יותר ממה שהזיק, או המשלם חצי נזק, אין דנין אותו אלא מומחים הסמוכים בארץ ישראל. חוץ מחצי נזק צרורות, מפני שהוא ממון ואינו קנס</w:t>
      </w:r>
      <w:r w:rsidRPr="001E62EB">
        <w:t>.</w:t>
      </w:r>
    </w:p>
    <w:p w14:paraId="55BC22AD" w14:textId="199662AD" w:rsidR="00127B78" w:rsidRDefault="00127B78" w:rsidP="00127B78">
      <w:pPr>
        <w:pStyle w:val="Style1"/>
        <w:rPr>
          <w:rtl/>
        </w:rPr>
      </w:pPr>
      <w:r>
        <w:rPr>
          <w:rFonts w:hint="cs"/>
          <w:rtl/>
        </w:rPr>
        <w:t>6)[</w:t>
      </w:r>
      <w:r>
        <w:rPr>
          <w:rtl/>
        </w:rPr>
        <w:t>רמב</w:t>
      </w:r>
      <w:r w:rsidR="00EC109D">
        <w:rPr>
          <w:rtl/>
        </w:rPr>
        <w:t>”ם \נזיקין\</w:t>
      </w:r>
      <w:r>
        <w:rPr>
          <w:rtl/>
        </w:rPr>
        <w:t xml:space="preserve"> הלכות נזקי ממון פרק א הלכה ג</w:t>
      </w:r>
      <w:r>
        <w:rPr>
          <w:rFonts w:hint="cs"/>
          <w:rtl/>
        </w:rPr>
        <w:t xml:space="preserve">] </w:t>
      </w:r>
      <w:r>
        <w:rPr>
          <w:rtl/>
        </w:rPr>
        <w:t>כיצד שור שוה מנה שנגח לשור שוה עשרים והמיתו והרי הנבלה שוה ארבעה בעל השור חייב לשלם שמונה שהוא חצי הנזק, ואינו חייב לשלם אלא מגוף השור שהזיק שנ' ומכרו את השור החי, לפיכך אם המית שור שוה עשרים לשור שוה מאתים והנבלה שוה מנה אין בעל הנבלה יכול לומר לבעל החי תן לי חמשים אלא אומר לו הרי שור שהזיק לפניך קחהו ולך אפילו אינו שוה אלא דינר, וכן כל כיוצא בזה.</w:t>
      </w:r>
    </w:p>
    <w:p w14:paraId="2D8B34B2" w14:textId="77777777" w:rsidR="00127B78" w:rsidRDefault="00127B78" w:rsidP="00127B78">
      <w:pPr>
        <w:pStyle w:val="Style1"/>
        <w:rPr>
          <w:shd w:val="clear" w:color="auto" w:fill="FFFFFF"/>
          <w:rtl/>
        </w:rPr>
      </w:pPr>
      <w:r>
        <w:rPr>
          <w:rFonts w:hint="cs"/>
          <w:rtl/>
        </w:rPr>
        <w:t>6)[</w:t>
      </w:r>
      <w:r>
        <w:rPr>
          <w:rtl/>
        </w:rPr>
        <w:t>שולחן ערוך חושן משפט הלכות נזקי ממון סימן שפט סעיף ב</w:t>
      </w:r>
      <w:r>
        <w:rPr>
          <w:rFonts w:hint="cs"/>
          <w:rtl/>
        </w:rPr>
        <w:t xml:space="preserve">] </w:t>
      </w:r>
      <w:r>
        <w:rPr>
          <w:shd w:val="clear" w:color="auto" w:fill="FFFFFF"/>
          <w:rtl/>
        </w:rPr>
        <w:t>וכמה משלם אם הזיקו בדברים שדרכה לעשות תמיד כמנהג ברייתה כגון בהמה שאכלה תבן או עמיר או שהזיקה ברגלה או בדרך הילוכה חייב לשלם נזק שלם מהיפה שבנכסיו שנאמר מיטב שדהו ומיטב כרמו ישלם ואם שנה ועשה מעשים שאין דרכה לעשות תמיד והזיקה בהם כגון שור שנגח או נשך חייב לשלם חצי נזק מגוף המזיק עצמו שנאמר ומכרו את השור החי וחצו את כספו וגו</w:t>
      </w:r>
      <w:r>
        <w:rPr>
          <w:shd w:val="clear" w:color="auto" w:fill="FFFFFF"/>
        </w:rPr>
        <w:t>':</w:t>
      </w:r>
    </w:p>
    <w:p w14:paraId="50714F14" w14:textId="77777777" w:rsidR="00127B78" w:rsidRDefault="00127B78" w:rsidP="00127B78">
      <w:pPr>
        <w:pStyle w:val="Style1"/>
        <w:rPr>
          <w:rtl/>
        </w:rPr>
      </w:pPr>
      <w:r>
        <w:rPr>
          <w:rFonts w:hint="cs"/>
          <w:rtl/>
        </w:rPr>
        <w:t>6)[</w:t>
      </w:r>
      <w:r>
        <w:rPr>
          <w:rtl/>
        </w:rPr>
        <w:t>שולחן ערוך חושן משפט הלכות נזקי ממון סימן שפט סעיף ג</w:t>
      </w:r>
      <w:r>
        <w:rPr>
          <w:rFonts w:hint="cs"/>
          <w:rtl/>
        </w:rPr>
        <w:t xml:space="preserve">] </w:t>
      </w:r>
      <w:r>
        <w:rPr>
          <w:rtl/>
        </w:rPr>
        <w:t>כיצד, שור שוה מנה שנגח לשור שוה עשרים והמיתו, והרי הנבלה שוה ארבעה, בעל השור המזיק חייב לשלם שמנה, ואינו חייב לשלם אלא מגוף השור שהזיק, שנאמר: ומכרו את השור החי (שמות כא, לו).</w:t>
      </w:r>
    </w:p>
    <w:p w14:paraId="25F397DF" w14:textId="77777777" w:rsidR="00127B78" w:rsidRDefault="00127B78" w:rsidP="00127B78">
      <w:pPr>
        <w:pStyle w:val="Style1"/>
        <w:rPr>
          <w:rtl/>
        </w:rPr>
      </w:pPr>
      <w:r>
        <w:rPr>
          <w:rFonts w:hint="cs"/>
          <w:rtl/>
        </w:rPr>
        <w:t>6)[</w:t>
      </w:r>
      <w:r>
        <w:rPr>
          <w:rtl/>
        </w:rPr>
        <w:t>שולחן ערוך חושן משפט הלכות נזקי ממון סימן שפט סעיף ד</w:t>
      </w:r>
      <w:r>
        <w:rPr>
          <w:rFonts w:hint="cs"/>
          <w:rtl/>
        </w:rPr>
        <w:t xml:space="preserve">] </w:t>
      </w:r>
      <w:r>
        <w:rPr>
          <w:rtl/>
        </w:rPr>
        <w:t>לפיכך אם המית שור שוה עשרים לשור שוה מאתים, והנבלה שוה מנה, אין בעל הנבלה יכול לומר לבעל החי: תן לי חמשים, אלא אומר לו: הרי השור שהזיק לפניך, קחהו ולך, אפילו אינו שוה אלא דינר; וכן כל כיוצא בזה.</w:t>
      </w:r>
    </w:p>
    <w:p w14:paraId="0D16052E" w14:textId="77777777" w:rsidR="00127B78" w:rsidRDefault="00127B78" w:rsidP="00127B78">
      <w:pPr>
        <w:pStyle w:val="Style1"/>
        <w:rPr>
          <w:rtl/>
        </w:rPr>
      </w:pPr>
      <w:r>
        <w:rPr>
          <w:rFonts w:hint="cs"/>
          <w:rtl/>
        </w:rPr>
        <w:t>6)[</w:t>
      </w:r>
      <w:r>
        <w:rPr>
          <w:rtl/>
        </w:rPr>
        <w:t>שולחן ערוך חושן משפט הלכות נזקי ממון סימן שפט סעיף ט</w:t>
      </w:r>
      <w:r>
        <w:rPr>
          <w:rFonts w:hint="cs"/>
          <w:rtl/>
        </w:rPr>
        <w:t xml:space="preserve">] </w:t>
      </w:r>
      <w:r>
        <w:rPr>
          <w:rtl/>
        </w:rPr>
        <w:t>כל מועד משלם נזק שלם מהיפה שבנכסיו; וכל תם משלם חצי נזק מגופו.</w:t>
      </w:r>
    </w:p>
    <w:p w14:paraId="20D16DE9" w14:textId="725C30A5" w:rsidR="00127B78" w:rsidRDefault="00127B78" w:rsidP="00127B78">
      <w:pPr>
        <w:pStyle w:val="Style1"/>
      </w:pPr>
      <w:r>
        <w:rPr>
          <w:rFonts w:hint="cs"/>
          <w:rtl/>
        </w:rPr>
        <w:t>7)[</w:t>
      </w:r>
      <w:r>
        <w:rPr>
          <w:rtl/>
        </w:rPr>
        <w:t>רמב</w:t>
      </w:r>
      <w:r w:rsidR="00EC109D">
        <w:rPr>
          <w:rtl/>
        </w:rPr>
        <w:t>”ם \נזיקין\</w:t>
      </w:r>
      <w:r>
        <w:rPr>
          <w:rtl/>
        </w:rPr>
        <w:t xml:space="preserve"> הלכות נזקי ממון פרק י הלכה ב</w:t>
      </w:r>
      <w:r>
        <w:rPr>
          <w:rFonts w:hint="cs"/>
          <w:rtl/>
        </w:rPr>
        <w:t xml:space="preserve">] </w:t>
      </w:r>
      <w:r>
        <w:rPr>
          <w:rtl/>
        </w:rPr>
        <w:t>ואחד השור ואחד שאר בהמה חיה ועוף שהמיתו הרי אלו נסקלין. מה בין תם שהרג את האדם למועד שהרג, שהתם פטור מן הכופר והמועד חייב בכופר ובלבד שיהיה מועד להרוג.</w:t>
      </w:r>
    </w:p>
    <w:p w14:paraId="1D723FF7" w14:textId="77777777" w:rsidR="00127B78" w:rsidRPr="001E62EB" w:rsidRDefault="00127B78" w:rsidP="00127B78">
      <w:pPr>
        <w:pStyle w:val="Style1"/>
      </w:pPr>
    </w:p>
    <w:p w14:paraId="430CA2AC" w14:textId="77777777" w:rsidR="00127B78" w:rsidRPr="001E62EB" w:rsidRDefault="00127B78" w:rsidP="00127B78">
      <w:pPr>
        <w:pStyle w:val="Style1"/>
        <w:rPr>
          <w:rStyle w:val="Style1Char"/>
        </w:rPr>
      </w:pPr>
    </w:p>
    <w:p w14:paraId="56C98650" w14:textId="77777777" w:rsidR="00127B78" w:rsidRPr="00A353BA" w:rsidRDefault="00127B78" w:rsidP="00127B78">
      <w:pPr>
        <w:pStyle w:val="Style1"/>
        <w:rPr>
          <w:rStyle w:val="Style1Char"/>
          <w:rtl/>
        </w:rPr>
      </w:pPr>
    </w:p>
    <w:p w14:paraId="0C327F23" w14:textId="77777777" w:rsidR="00127B78" w:rsidRDefault="00127B78" w:rsidP="00127B78">
      <w:pPr>
        <w:pStyle w:val="Style1"/>
        <w:bidi w:val="0"/>
        <w:rPr>
          <w:rStyle w:val="Style1Char"/>
          <w:color w:val="00B050"/>
          <w:rtl/>
        </w:rPr>
      </w:pPr>
      <w:r>
        <w:rPr>
          <w:rStyle w:val="Style1Char"/>
          <w:color w:val="00B050"/>
          <w:rtl/>
        </w:rPr>
        <w:br w:type="page"/>
      </w:r>
    </w:p>
    <w:p w14:paraId="08440D8D" w14:textId="77777777" w:rsidR="00127B78" w:rsidRDefault="00127B78" w:rsidP="00127B78">
      <w:pPr>
        <w:bidi/>
        <w:rPr>
          <w:rStyle w:val="Style1Char"/>
          <w:color w:val="00B050"/>
          <w:rtl/>
        </w:rPr>
      </w:pPr>
      <w:r w:rsidRPr="005068D2">
        <w:rPr>
          <w:rStyle w:val="Style1Char"/>
          <w:color w:val="00B050"/>
          <w:sz w:val="22"/>
          <w:szCs w:val="22"/>
          <w:highlight w:val="yellow"/>
          <w:rtl/>
        </w:rPr>
        <w:lastRenderedPageBreak/>
        <w:t>[דף מא עמוד ב]</w:t>
      </w:r>
      <w:r w:rsidRPr="005068D2">
        <w:rPr>
          <w:rStyle w:val="Style1Char"/>
          <w:color w:val="00B050"/>
          <w:sz w:val="22"/>
          <w:szCs w:val="22"/>
          <w:rtl/>
        </w:rPr>
        <w:t xml:space="preserve"> </w:t>
      </w:r>
      <w:r w:rsidRPr="00B32DE1">
        <w:rPr>
          <w:rStyle w:val="Style1Char"/>
          <w:color w:val="00B050"/>
          <w:rtl/>
        </w:rPr>
        <w:t xml:space="preserve">הא מני? ר' יוסי הגלילי היא, דאמר: תם משלם חצי כופר. ת"ש: המית שורי את פלוני או שורו של פלוני - הרי זה משלם על פי עצמו; מאי לאו בתם! לא, במועד. אבל בתם מאי? אינו משלם על פי עצמו, אדתני סיפא: עבדו של פלוני - אינו משלם ע"פ עצמו, ניפלוג וניתני בדידה: במה דברים אמורים - במועד, אבל תם - אינו משלם על פי עצמו! כולה במועד קמיירי. ת"ש, זה הכלל: כל המשלם יתר על מה שהזיק - אינו משלם ע"פ עצמו; הא פחות ממה שהזיק - משלם ע"פ עצמו! לא תימא: הא פחות ממה שהזיק, אלא אימא: הא כמה שהזיק - משלם ע"פ עצמו. אבל פחות מאי? אינו משלם ע"פ עצמו, ליתני, זה הכלל: כל שאינו משלם כמה שהזיק - אינו משלם על פי עצמו, דמשמע פחות ומשמע יתר! תיובתא. והלכתא: פלגא ניזקא קנסא. תיובתא והלכתא? אין, טעמא מאי איתותב? משום דלא קתני כמה שהזיק, לא פסיקא ליה, כיון דאיכא </w:t>
      </w:r>
      <w:r>
        <w:rPr>
          <w:rStyle w:val="Style1Char"/>
          <w:rFonts w:hint="cs"/>
          <w:rtl/>
        </w:rPr>
        <w:t>(1)</w:t>
      </w:r>
      <w:r w:rsidRPr="00B32DE1">
        <w:rPr>
          <w:rStyle w:val="Style1Char"/>
          <w:color w:val="00B050"/>
          <w:rtl/>
        </w:rPr>
        <w:t xml:space="preserve">חצי נזק צרורות, דהלכתא גמירי לה דממונא הוא, משום הכי לא קתני. והשתא דאמרת פלגא ניזקא קנסא, </w:t>
      </w:r>
      <w:r>
        <w:rPr>
          <w:rStyle w:val="Style1Char"/>
          <w:rFonts w:hint="cs"/>
          <w:rtl/>
        </w:rPr>
        <w:t>(1.3, 2)</w:t>
      </w:r>
      <w:r w:rsidRPr="00B32DE1">
        <w:rPr>
          <w:rStyle w:val="Style1Char"/>
          <w:color w:val="00B050"/>
          <w:rtl/>
        </w:rPr>
        <w:t xml:space="preserve">האי כלבא דאכל אימרי ושונרא דאכיל תרנגולי רברבי - משונה הוא, ולא מגבינן בבבל, אבל זוטרי - אורחיה הוא, ומגבינן, </w:t>
      </w:r>
      <w:r>
        <w:rPr>
          <w:rStyle w:val="Style1Char"/>
          <w:rFonts w:hint="cs"/>
          <w:rtl/>
        </w:rPr>
        <w:t>(3)</w:t>
      </w:r>
      <w:r w:rsidRPr="00B32DE1">
        <w:rPr>
          <w:rStyle w:val="Style1Char"/>
          <w:color w:val="00B050"/>
          <w:rtl/>
        </w:rPr>
        <w:t xml:space="preserve">ואי תפס לא מפקינן מיניה, ואי אמר אקבעו לי זימנא לארץ ישראל - מקבעינן ליה, ואי לא אזיל משמתינן ליה, בין כך ובין כך משמתינן ליה, דאמרינן ליה סליק הזיקך, מדרבי נתן; דתניא, ר' נתן אומר: </w:t>
      </w:r>
      <w:r>
        <w:rPr>
          <w:rStyle w:val="Style1Char"/>
          <w:rFonts w:hint="cs"/>
          <w:rtl/>
        </w:rPr>
        <w:t>(4)</w:t>
      </w:r>
      <w:r w:rsidRPr="00B32DE1">
        <w:rPr>
          <w:rStyle w:val="Style1Char"/>
          <w:color w:val="00B050"/>
          <w:rtl/>
        </w:rPr>
        <w:t xml:space="preserve">מנין שלא יגדל אדם כלב רע בתוך ביתו, ולא יעמיד סולם רעוע בתוך ביתו? שנאמר: ולא תשים דמים בביתך. </w:t>
      </w:r>
    </w:p>
    <w:p w14:paraId="35C897AA" w14:textId="39E16E73" w:rsidR="00127B78" w:rsidRDefault="00127B78" w:rsidP="00127B78">
      <w:pPr>
        <w:pStyle w:val="Style1"/>
        <w:rPr>
          <w:rStyle w:val="Style1Char"/>
          <w:rtl/>
        </w:rPr>
      </w:pPr>
      <w:r>
        <w:rPr>
          <w:rStyle w:val="Style1Char"/>
          <w:rFonts w:hint="cs"/>
          <w:rtl/>
        </w:rPr>
        <w:t>1)[</w:t>
      </w:r>
      <w:r w:rsidRPr="00BB5B7E">
        <w:rPr>
          <w:rStyle w:val="Style1Char"/>
          <w:rtl/>
        </w:rPr>
        <w:t>רמב</w:t>
      </w:r>
      <w:r w:rsidR="00EC109D">
        <w:rPr>
          <w:rStyle w:val="Style1Char"/>
          <w:rtl/>
        </w:rPr>
        <w:t>”ם \נזיקין\</w:t>
      </w:r>
      <w:r w:rsidRPr="00BB5B7E">
        <w:rPr>
          <w:rStyle w:val="Style1Char"/>
          <w:rtl/>
        </w:rPr>
        <w:t xml:space="preserve"> הלכות נזקי ממון פרק ב הלכה ב</w:t>
      </w:r>
      <w:r>
        <w:rPr>
          <w:rStyle w:val="Style1Char"/>
          <w:rFonts w:hint="cs"/>
          <w:rtl/>
        </w:rPr>
        <w:t xml:space="preserve">] </w:t>
      </w:r>
      <w:r w:rsidRPr="00BB5B7E">
        <w:rPr>
          <w:rStyle w:val="Style1Char"/>
          <w:rtl/>
        </w:rPr>
        <w:t>כל תולדה כאב שלה חוץ מצרורות המנתזין מתחת רגלי הבהמה בשעת הילוכה שאע"פ שתולדת הרגל הן ופטור עליהן ברשות הרבים כרגל ואם הזיקו ברשות הניזק משלם מן היפה שבנכסיו כרגל שהוא אב אף על פי כן אינו משלם אלא חצי נזק.</w:t>
      </w:r>
    </w:p>
    <w:p w14:paraId="6B6F2C7F" w14:textId="5D826849" w:rsidR="00127B78" w:rsidRDefault="00127B78" w:rsidP="00127B78">
      <w:pPr>
        <w:pStyle w:val="Style1"/>
        <w:rPr>
          <w:rStyle w:val="Style1Char"/>
          <w:rtl/>
        </w:rPr>
      </w:pPr>
      <w:r>
        <w:rPr>
          <w:rStyle w:val="Style1Char"/>
          <w:rFonts w:hint="cs"/>
          <w:rtl/>
        </w:rPr>
        <w:t>1)[</w:t>
      </w:r>
      <w:r w:rsidRPr="005F1827">
        <w:rPr>
          <w:rStyle w:val="Style1Char"/>
          <w:rtl/>
        </w:rPr>
        <w:t>רמב</w:t>
      </w:r>
      <w:r w:rsidR="00EC109D">
        <w:rPr>
          <w:rStyle w:val="Style1Char"/>
          <w:rtl/>
        </w:rPr>
        <w:t>”ם \נזיקין\</w:t>
      </w:r>
      <w:r w:rsidRPr="005F1827">
        <w:rPr>
          <w:rStyle w:val="Style1Char"/>
          <w:rtl/>
        </w:rPr>
        <w:t xml:space="preserve"> הלכות נזקי ממון פרק ב הלכה ז</w:t>
      </w:r>
      <w:r>
        <w:rPr>
          <w:rStyle w:val="Style1Char"/>
          <w:rFonts w:hint="cs"/>
          <w:rtl/>
        </w:rPr>
        <w:t xml:space="preserve">] </w:t>
      </w:r>
      <w:r w:rsidRPr="005F1827">
        <w:rPr>
          <w:rStyle w:val="Style1Char"/>
          <w:rtl/>
        </w:rPr>
        <w:t>כל המשלם נזק שלם הרי התשלומין ממון שהוא חייב לשלמו כמי שלוה מחבירו שהוא חייב לשלם, וכל המשלם חצי נזק הרי התשלומין קנס חוץ מחצי נזק של צרורות שהוא הלכה כמו שביארנו.</w:t>
      </w:r>
    </w:p>
    <w:p w14:paraId="230AF8E1" w14:textId="77777777" w:rsidR="00127B78" w:rsidRPr="001E62EB" w:rsidRDefault="00127B78" w:rsidP="00127B78">
      <w:pPr>
        <w:pStyle w:val="Style1"/>
      </w:pPr>
      <w:r>
        <w:rPr>
          <w:rStyle w:val="Style1Char"/>
          <w:rFonts w:hint="cs"/>
          <w:rtl/>
        </w:rPr>
        <w:t>1)[</w:t>
      </w:r>
      <w:r w:rsidRPr="00075A79">
        <w:rPr>
          <w:rStyle w:val="Style1Char"/>
          <w:rtl/>
        </w:rPr>
        <w:t>שולחן ערוך חושן משפט הלכות דיינים סימן א סעיף א</w:t>
      </w:r>
      <w:r>
        <w:rPr>
          <w:rStyle w:val="Style1Char"/>
          <w:rFonts w:hint="cs"/>
          <w:rtl/>
        </w:rPr>
        <w:t xml:space="preserve">] </w:t>
      </w:r>
      <w:r w:rsidRPr="001E62EB">
        <w:rPr>
          <w:rtl/>
        </w:rPr>
        <w:t>בזמן הזה דנים הדיינים דיני הודאות והלוואות וכתובות אשה וירושות ומתנות ומזיק ממון חבירו, שהם הדברים המצויים תמיד ויש בהם חסרון כיס</w:t>
      </w:r>
      <w:r w:rsidRPr="001E62EB">
        <w:t>.</w:t>
      </w:r>
    </w:p>
    <w:p w14:paraId="76FA8336" w14:textId="77777777" w:rsidR="00127B78" w:rsidRDefault="00127B78" w:rsidP="00127B78">
      <w:pPr>
        <w:pStyle w:val="Style1"/>
        <w:rPr>
          <w:rtl/>
        </w:rPr>
      </w:pPr>
      <w:r w:rsidRPr="001E62EB">
        <w:rPr>
          <w:rtl/>
        </w:rPr>
        <w:t>אבל דברים שאינם מצויים, אף על פי שיש בהם חסרון כיס, כגון בהמה שחבלה בחברתה; או שאין בהם חסרון כיס, אף על פי שהם מצויים, כגון תשלומי כפל, וכן כל הקנסות שקנסו חכמים, כתוקע לחבירו</w:t>
      </w:r>
      <w:r w:rsidRPr="001E62EB">
        <w:t xml:space="preserve"> (</w:t>
      </w:r>
      <w:r w:rsidRPr="001E62EB">
        <w:rPr>
          <w:rtl/>
        </w:rPr>
        <w:t>פירוש, שתוקע בקול באוזנו ומבעיתו</w:t>
      </w:r>
      <w:r w:rsidRPr="001E62EB">
        <w:t xml:space="preserve">), </w:t>
      </w:r>
      <w:r w:rsidRPr="001E62EB">
        <w:rPr>
          <w:rtl/>
        </w:rPr>
        <w:t>וכסוטר את חבירו</w:t>
      </w:r>
      <w:r w:rsidRPr="001E62EB">
        <w:t xml:space="preserve"> (</w:t>
      </w:r>
      <w:r w:rsidRPr="001E62EB">
        <w:rPr>
          <w:rtl/>
        </w:rPr>
        <w:t>פירוש, מכה בידו על הלחי</w:t>
      </w:r>
      <w:r w:rsidRPr="001E62EB">
        <w:t xml:space="preserve">), </w:t>
      </w:r>
      <w:r w:rsidRPr="001E62EB">
        <w:rPr>
          <w:rtl/>
        </w:rPr>
        <w:t>וכן כל המשלם יותר ממה שהזיק, או המשלם חצי נזק, אין דנין אותו אלא מומחים הסמוכים בארץ ישראל. חוץ מחצי נזק צרורות, מפני שהוא ממון ואינו קנס</w:t>
      </w:r>
    </w:p>
    <w:p w14:paraId="0388A6A8" w14:textId="77777777" w:rsidR="00127B78" w:rsidRDefault="00127B78" w:rsidP="00127B78">
      <w:pPr>
        <w:pStyle w:val="Style1"/>
        <w:rPr>
          <w:rStyle w:val="Style1Char"/>
          <w:rtl/>
        </w:rPr>
      </w:pPr>
      <w:r>
        <w:rPr>
          <w:rStyle w:val="Style1Char"/>
          <w:rFonts w:hint="cs"/>
          <w:rtl/>
        </w:rPr>
        <w:t>1)[</w:t>
      </w:r>
      <w:r w:rsidRPr="009D27A9">
        <w:rPr>
          <w:rStyle w:val="Style1Char"/>
          <w:rtl/>
        </w:rPr>
        <w:t>שולחן ערוך חושן משפט הלכות נזקי ממון סימן שצ סעיף ג</w:t>
      </w:r>
      <w:r>
        <w:rPr>
          <w:rStyle w:val="Style1Char"/>
          <w:rFonts w:hint="cs"/>
          <w:rtl/>
        </w:rPr>
        <w:t xml:space="preserve">] </w:t>
      </w:r>
      <w:r w:rsidRPr="009D27A9">
        <w:rPr>
          <w:rStyle w:val="Style1Char"/>
          <w:rtl/>
        </w:rPr>
        <w:t>כל תולדה כאב שלה, חוץ מצרורות המנתזין מתחת רגלי הבהמה בשעת הילוכה, שאף על פי שתולדות רגל הם ופטור עליהם בר"ה כרגל, אם הזיקו ברשות הניזק משלם מהיפה שבנכסיו כרגל שהוא אב, אף על פי כן אינו משלם אלא חצי נזק. כיצד, בהמה שנכנסה לחצר הניזק והיו צרורות מנתזין מתחת רגליה ושברו את הכלים, משלם חצי נזק מהיפה שבנכסיו; ודבר זה הלכה למשה מסיני.</w:t>
      </w:r>
    </w:p>
    <w:p w14:paraId="2C6E2E35" w14:textId="47A125AB" w:rsidR="00127B78" w:rsidRDefault="00127B78" w:rsidP="00127B78">
      <w:pPr>
        <w:pStyle w:val="Style1"/>
        <w:rPr>
          <w:rStyle w:val="Style1Char"/>
          <w:rtl/>
        </w:rPr>
      </w:pPr>
      <w:r>
        <w:rPr>
          <w:rStyle w:val="Style1Char"/>
          <w:rFonts w:hint="cs"/>
          <w:rtl/>
        </w:rPr>
        <w:t>2)[</w:t>
      </w:r>
      <w:r w:rsidRPr="00574062">
        <w:rPr>
          <w:rStyle w:val="Style1Char"/>
          <w:rtl/>
        </w:rPr>
        <w:t>רמב</w:t>
      </w:r>
      <w:r w:rsidR="00EC109D">
        <w:rPr>
          <w:rStyle w:val="Style1Char"/>
          <w:rtl/>
        </w:rPr>
        <w:t>”ם \נזיקין\</w:t>
      </w:r>
      <w:r w:rsidRPr="00574062">
        <w:rPr>
          <w:rStyle w:val="Style1Char"/>
          <w:rtl/>
        </w:rPr>
        <w:t xml:space="preserve"> הלכות נזקי ממון פרק ג הלכה ז</w:t>
      </w:r>
      <w:r>
        <w:rPr>
          <w:rStyle w:val="Style1Char"/>
          <w:rFonts w:hint="cs"/>
          <w:rtl/>
        </w:rPr>
        <w:t xml:space="preserve">] </w:t>
      </w:r>
      <w:r w:rsidRPr="00574062">
        <w:rPr>
          <w:rStyle w:val="Style1Char"/>
          <w:rtl/>
        </w:rPr>
        <w:t>חיה שנכנסה לרשות הניזק וטרפה ואכלה בהמה או בשר משלם נזק שלם שזה הוא דרכה, אבל כלב שאכל כבשים קטנים או חתול שאכל תרנגולים גדולים הרי זה שינוי ומשלם חצי נזק.</w:t>
      </w:r>
    </w:p>
    <w:p w14:paraId="19EF836B" w14:textId="20B79EA0" w:rsidR="00127B78" w:rsidRDefault="00127B78" w:rsidP="00127B78">
      <w:pPr>
        <w:pStyle w:val="Style1"/>
        <w:rPr>
          <w:rStyle w:val="Style1Char"/>
          <w:rtl/>
        </w:rPr>
      </w:pPr>
      <w:r>
        <w:rPr>
          <w:rStyle w:val="Style1Char"/>
          <w:rFonts w:hint="cs"/>
          <w:rtl/>
        </w:rPr>
        <w:t>2)[</w:t>
      </w:r>
      <w:r w:rsidRPr="00695A63">
        <w:rPr>
          <w:rStyle w:val="Style1Char"/>
          <w:rtl/>
        </w:rPr>
        <w:t>רמב</w:t>
      </w:r>
      <w:r w:rsidR="005258D6">
        <w:rPr>
          <w:rStyle w:val="Style1Char"/>
          <w:rtl/>
        </w:rPr>
        <w:t>”</w:t>
      </w:r>
      <w:r w:rsidRPr="00695A63">
        <w:rPr>
          <w:rStyle w:val="Style1Char"/>
          <w:rtl/>
        </w:rPr>
        <w:t>ם</w:t>
      </w:r>
      <w:r w:rsidR="005258D6">
        <w:rPr>
          <w:rStyle w:val="Style1Char"/>
          <w:rtl/>
        </w:rPr>
        <w:t xml:space="preserve">\שופטים\ </w:t>
      </w:r>
      <w:r w:rsidRPr="00695A63">
        <w:rPr>
          <w:rStyle w:val="Style1Char"/>
          <w:rtl/>
        </w:rPr>
        <w:t xml:space="preserve"> הלכות סנהדרין פרק ה הלכה ט</w:t>
      </w:r>
      <w:r>
        <w:rPr>
          <w:rStyle w:val="Style1Char"/>
          <w:rFonts w:hint="cs"/>
          <w:rtl/>
        </w:rPr>
        <w:t xml:space="preserve">] </w:t>
      </w:r>
      <w:r w:rsidRPr="00695A63">
        <w:rPr>
          <w:rStyle w:val="Style1Char"/>
          <w:rtl/>
        </w:rPr>
        <w:t>אין דנין בית דין של חוצה לארץ אלא דברים המצויין תמיד ויש בהן חסרון כיס, כגון הודאות והלואות ומזיק ממון חבירו, אבל דברים שאין מצויין אף על פי שיש בהן חסרון כיס כגון בהמה שחבלה בחברתה, או דברים המצויין אבל אין בהן חסרון כיס כגון תשלומי כפל אין דנין אותן דייני חוצה לארץ, וכן כל הקנסות שקנסו חכמים בתוקע לחבירו ובסוטר את חבירו וכיוצא בהן אין גובין אותו דייני חוצה לארץ, וכל המשלם חצי נזק אין גובין אותו דייני חוצה לארץ חוץ מחצי נזק צרורות מפני שהוא ממון ואינו קנס.</w:t>
      </w:r>
    </w:p>
    <w:p w14:paraId="14916362" w14:textId="77777777" w:rsidR="00127B78" w:rsidRDefault="00127B78" w:rsidP="00127B78">
      <w:pPr>
        <w:pStyle w:val="Style1"/>
        <w:rPr>
          <w:rtl/>
        </w:rPr>
      </w:pPr>
      <w:r>
        <w:rPr>
          <w:rStyle w:val="Style1Char"/>
          <w:rFonts w:hint="cs"/>
          <w:rtl/>
        </w:rPr>
        <w:t>2)[</w:t>
      </w:r>
      <w:r w:rsidRPr="000F3E0E">
        <w:rPr>
          <w:rStyle w:val="Style1Char"/>
          <w:rtl/>
        </w:rPr>
        <w:t>שולחן ערוך חושן משפט הלכות נזקי ממון סימן שצא סעיף ו</w:t>
      </w:r>
      <w:r>
        <w:rPr>
          <w:rStyle w:val="Style1Char"/>
          <w:rFonts w:hint="cs"/>
          <w:rtl/>
        </w:rPr>
        <w:t xml:space="preserve">] </w:t>
      </w:r>
      <w:r w:rsidRPr="009B126B">
        <w:rPr>
          <w:rtl/>
        </w:rPr>
        <w:t>חיה שטרפה בהמה ואכלתה או שאכלה בשר חי אורחא היא ומשלם נזק שלם אבל כלב שהמית כבש וחתול שהמית תרנגולים גדולים ואכלם משונה הוא ואינו משלם אלא חצי נזק ודוקא בפחת שפחתה מיתה אבל דמי הנבילה משלם ברשות הניזק נזק שלם ובר"ה מה שנהנית שאכילה אינו שינוי שכן דרכן לאכול נבילות אפי' של בהמות גדולות</w:t>
      </w:r>
      <w:r w:rsidRPr="009B126B">
        <w:t>:</w:t>
      </w:r>
    </w:p>
    <w:p w14:paraId="289E7354" w14:textId="0CB91851" w:rsidR="00127B78" w:rsidRDefault="00127B78" w:rsidP="00127B78">
      <w:pPr>
        <w:pStyle w:val="Style1"/>
        <w:rPr>
          <w:rtl/>
        </w:rPr>
      </w:pPr>
      <w:r>
        <w:rPr>
          <w:rFonts w:hint="cs"/>
          <w:rtl/>
        </w:rPr>
        <w:t>3)[</w:t>
      </w:r>
      <w:r>
        <w:rPr>
          <w:rtl/>
        </w:rPr>
        <w:t>רמב</w:t>
      </w:r>
      <w:r w:rsidR="005258D6">
        <w:rPr>
          <w:rtl/>
        </w:rPr>
        <w:t>”</w:t>
      </w:r>
      <w:r>
        <w:rPr>
          <w:rtl/>
        </w:rPr>
        <w:t>ם</w:t>
      </w:r>
      <w:r w:rsidR="005258D6">
        <w:rPr>
          <w:rtl/>
        </w:rPr>
        <w:t xml:space="preserve">\שופטים\ </w:t>
      </w:r>
      <w:r>
        <w:rPr>
          <w:rtl/>
        </w:rPr>
        <w:t xml:space="preserve"> הלכות סנהדרין פרק ה הלכה יז</w:t>
      </w:r>
      <w:r>
        <w:rPr>
          <w:rFonts w:hint="cs"/>
          <w:rtl/>
        </w:rPr>
        <w:t xml:space="preserve">] </w:t>
      </w:r>
      <w:r>
        <w:rPr>
          <w:rtl/>
        </w:rPr>
        <w:t>מנהג הישיבות בחוצה לארץ אף על פי שאין גובין שם קנס מנדין אותו עד שיפייס לבעל דינו או יעלה עמו לדין לארץ ישראל, וכיון שיתן לו שיעור הראוי לו מתירין נדויו בין שנתפייס בעל דינו בין שלא נתפייס, וכן אם תפש הניזק שיעור מה שראוי לו ליטול אין מוציאין אותו מידו.</w:t>
      </w:r>
    </w:p>
    <w:p w14:paraId="61BB375A" w14:textId="77777777" w:rsidR="00127B78" w:rsidRPr="002F3FF6" w:rsidRDefault="00127B78" w:rsidP="00127B78">
      <w:pPr>
        <w:pStyle w:val="Style1"/>
      </w:pPr>
      <w:r>
        <w:rPr>
          <w:rFonts w:hint="cs"/>
          <w:rtl/>
        </w:rPr>
        <w:t>3)[</w:t>
      </w:r>
      <w:r>
        <w:rPr>
          <w:rtl/>
        </w:rPr>
        <w:t>שולחן ערוך חושן משפט הלכות דיינים סימן א סעיף ה</w:t>
      </w:r>
      <w:r>
        <w:rPr>
          <w:rFonts w:hint="cs"/>
          <w:rtl/>
        </w:rPr>
        <w:t xml:space="preserve">] </w:t>
      </w:r>
      <w:r w:rsidRPr="002F3FF6">
        <w:rPr>
          <w:rtl/>
        </w:rPr>
        <w:t>אע"פ שדיינים שאינם סמוכים בארץ ישראל אינן מגבין קנסות - מנדין אותו עד שיפייס לבעל דינו. וכיון שיתן לו שיעור הראוי לו - מתירין לו </w:t>
      </w:r>
      <w:r w:rsidRPr="002F3FF6">
        <w:rPr>
          <w:rFonts w:hint="cs"/>
        </w:rPr>
        <w:t>(</w:t>
      </w:r>
      <w:r w:rsidRPr="002F3FF6">
        <w:rPr>
          <w:rFonts w:hint="cs"/>
          <w:rtl/>
        </w:rPr>
        <w:t>בין נתפייס בעל דינו בין לא נתפייס</w:t>
      </w:r>
      <w:r w:rsidRPr="002F3FF6">
        <w:rPr>
          <w:rFonts w:hint="cs"/>
        </w:rPr>
        <w:t>)</w:t>
      </w:r>
      <w:r w:rsidRPr="002F3FF6">
        <w:t xml:space="preserve">. </w:t>
      </w:r>
      <w:r w:rsidRPr="002F3FF6">
        <w:rPr>
          <w:rtl/>
        </w:rPr>
        <w:t>וכן אם תפס הניזק שיעור מה שראוי ליטול - אין מוציאין מידו</w:t>
      </w:r>
      <w:r w:rsidRPr="002F3FF6">
        <w:t>.</w:t>
      </w:r>
    </w:p>
    <w:p w14:paraId="66476FBA" w14:textId="77777777" w:rsidR="00127B78" w:rsidRDefault="00127B78" w:rsidP="00127B78">
      <w:pPr>
        <w:pStyle w:val="Style1"/>
        <w:rPr>
          <w:rtl/>
        </w:rPr>
      </w:pPr>
      <w:r w:rsidRPr="002F3FF6">
        <w:rPr>
          <w:rFonts w:hint="cs"/>
          <w:rtl/>
        </w:rPr>
        <w:t>הגה: ואם יאמר הניזק: "שומו לי נזקי, שאדע עד כמה אתפוס" - אין שומעין לו; אלא אם כבר תפס - שמין לו, ואומרים לו: "כך וכך תחזיק, וכך וכך תחזיר" (טור בשם הרא"ש פרק החובל וספ"ק דב"ק). וכל זה דווקא קנסות הכתובים, אבל קנסות שבאים חכמים לקנוס מעצמם על תקנתן - גובין בכל מקום. וכמו שיתבאר </w:t>
      </w:r>
      <w:hyperlink r:id="rId76" w:tooltip="שולחן ערוך חושן משפט ב" w:history="1">
        <w:r w:rsidRPr="002F3FF6">
          <w:rPr>
            <w:rStyle w:val="Hyperlink"/>
            <w:rFonts w:hint="cs"/>
            <w:color w:val="7030A0"/>
            <w:u w:val="none"/>
            <w:rtl/>
          </w:rPr>
          <w:t>בסימן ב</w:t>
        </w:r>
        <w:r w:rsidRPr="002F3FF6">
          <w:rPr>
            <w:rStyle w:val="Hyperlink"/>
            <w:rFonts w:hint="cs"/>
            <w:color w:val="7030A0"/>
            <w:u w:val="none"/>
          </w:rPr>
          <w:t>'</w:t>
        </w:r>
      </w:hyperlink>
      <w:r w:rsidRPr="002F3FF6">
        <w:rPr>
          <w:rFonts w:hint="cs"/>
        </w:rPr>
        <w:t> (</w:t>
      </w:r>
      <w:r w:rsidRPr="002F3FF6">
        <w:rPr>
          <w:rFonts w:hint="cs"/>
          <w:rtl/>
        </w:rPr>
        <w:t>מרדכי ס"פ השולח</w:t>
      </w:r>
      <w:r w:rsidRPr="002F3FF6">
        <w:rPr>
          <w:rFonts w:hint="cs"/>
        </w:rPr>
        <w:t>)</w:t>
      </w:r>
      <w:r w:rsidRPr="002F3FF6">
        <w:t>.</w:t>
      </w:r>
    </w:p>
    <w:p w14:paraId="5D963252" w14:textId="7E51F889" w:rsidR="00127B78" w:rsidRDefault="00127B78" w:rsidP="00127B78">
      <w:pPr>
        <w:pStyle w:val="Style1"/>
        <w:rPr>
          <w:rtl/>
        </w:rPr>
      </w:pPr>
      <w:r>
        <w:rPr>
          <w:rFonts w:hint="cs"/>
          <w:rtl/>
        </w:rPr>
        <w:t>4)[</w:t>
      </w:r>
      <w:r>
        <w:rPr>
          <w:rtl/>
        </w:rPr>
        <w:t>רמב</w:t>
      </w:r>
      <w:r w:rsidR="00EC109D">
        <w:rPr>
          <w:rtl/>
        </w:rPr>
        <w:t>”ם \נזיקין\</w:t>
      </w:r>
      <w:r>
        <w:rPr>
          <w:rtl/>
        </w:rPr>
        <w:t xml:space="preserve"> הלכות נזקי ממון פרק ה הלכה ט</w:t>
      </w:r>
      <w:r>
        <w:rPr>
          <w:rFonts w:hint="cs"/>
          <w:rtl/>
        </w:rPr>
        <w:t xml:space="preserve">] </w:t>
      </w:r>
      <w:r>
        <w:rPr>
          <w:rtl/>
        </w:rPr>
        <w:t>וכן אסרו חכמים לגדל חזירים בכל מקום, ולא את הכלב אלא אם כן היה קשור בשלשלת, אבל מגדל הוא כלבים בעיר הסמוכה לספר, ביום קושרו ובלילה מתירו, ואמרו חכמים ארור מגדל כלבים וחזירים מפני שהזיקן מרובה ומצוי.</w:t>
      </w:r>
    </w:p>
    <w:p w14:paraId="66156860" w14:textId="4EF6AD29" w:rsidR="00127B78" w:rsidRDefault="00127B78" w:rsidP="00127B78">
      <w:pPr>
        <w:pStyle w:val="Style1"/>
        <w:rPr>
          <w:rtl/>
        </w:rPr>
      </w:pPr>
      <w:r>
        <w:rPr>
          <w:rFonts w:hint="cs"/>
          <w:rtl/>
        </w:rPr>
        <w:t>4)[</w:t>
      </w:r>
      <w:r>
        <w:rPr>
          <w:rtl/>
        </w:rPr>
        <w:t>רמב</w:t>
      </w:r>
      <w:r w:rsidR="0057095E">
        <w:rPr>
          <w:rtl/>
        </w:rPr>
        <w:t>”ם \נזקין\</w:t>
      </w:r>
      <w:r>
        <w:rPr>
          <w:rtl/>
        </w:rPr>
        <w:t xml:space="preserve"> הלכות רוצח ושמירת הנפש פרק יא הלכה ד</w:t>
      </w:r>
      <w:r>
        <w:rPr>
          <w:rFonts w:hint="cs"/>
          <w:rtl/>
        </w:rPr>
        <w:t xml:space="preserve">] </w:t>
      </w:r>
      <w:r>
        <w:rPr>
          <w:rtl/>
        </w:rPr>
        <w:t xml:space="preserve">אחד הגג ואחד כל דבר שיש בו סכנה וראוי שיכשל בו אדם וימות כגון שהיתה לו באר או בור בחצירו בין שיש בהן מים בין שאין בהן מים חייב לעשות להן חוליה גבוהה עשרה טפחים או לעשות לה כסוי כדי שלא יפול בה אדם וימות. וכן כל מכשול שיש בו סכנת נפשות מצות עשה להסירו ולהשמר ממנו ולהזהר בדבר יפה יפה שנ' </w:t>
      </w:r>
      <w:r>
        <w:rPr>
          <w:rFonts w:hint="cs"/>
          <w:rtl/>
        </w:rPr>
        <w:t>(</w:t>
      </w:r>
      <w:r>
        <w:rPr>
          <w:rtl/>
        </w:rPr>
        <w:t>דברים ד' ט'</w:t>
      </w:r>
      <w:r>
        <w:rPr>
          <w:rFonts w:hint="cs"/>
          <w:rtl/>
        </w:rPr>
        <w:t>)</w:t>
      </w:r>
      <w:r>
        <w:rPr>
          <w:rtl/>
        </w:rPr>
        <w:t xml:space="preserve"> השמר לך ושמור נפשך, ואם לא הסיר, והניח המכשולות המביאין לידי סכנה, ביטל מצות עשה ועבר על לא תשים דמים.</w:t>
      </w:r>
    </w:p>
    <w:p w14:paraId="5E521CFD" w14:textId="77777777" w:rsidR="00127B78" w:rsidRDefault="00127B78" w:rsidP="00127B78">
      <w:pPr>
        <w:pStyle w:val="Style1"/>
        <w:rPr>
          <w:rtl/>
        </w:rPr>
      </w:pPr>
      <w:r>
        <w:rPr>
          <w:rFonts w:hint="cs"/>
          <w:rtl/>
        </w:rPr>
        <w:t>4)[</w:t>
      </w:r>
      <w:r>
        <w:rPr>
          <w:rtl/>
        </w:rPr>
        <w:t>שולחן ערוך חושן משפט הלכות נזקי ממון סימן תט סעיף ג</w:t>
      </w:r>
      <w:r>
        <w:rPr>
          <w:rFonts w:hint="cs"/>
          <w:rtl/>
        </w:rPr>
        <w:t xml:space="preserve">] </w:t>
      </w:r>
      <w:r>
        <w:rPr>
          <w:rtl/>
        </w:rPr>
        <w:t>אסור לגדל כלב רע, אלא אם כן הוא אסור בשלשלאות של ברזל וקשור בהם. ובעיר הסמוכה לספר, מותר לגדלו; וקושרו ביום ומתירו בלילה. הגה: וי"א דהשתא שאנו שרוין בין העכו"ם ואומות בכל ענין שרי, ופוק חזי מאי עמא דבר (הגהת אלפסי החדשים). מיהו נראה אם הוא כלב רע, שיש לחוש שיזיק בני אדם, דאסור לגדלו אלא אם כן קשור בשלשלאות של ברזל.</w:t>
      </w:r>
    </w:p>
    <w:p w14:paraId="378F641C" w14:textId="2AD3A071" w:rsidR="00127B78" w:rsidRPr="00BB5B7E" w:rsidRDefault="00127B78" w:rsidP="00361AC5">
      <w:pPr>
        <w:pStyle w:val="Style1"/>
        <w:rPr>
          <w:rStyle w:val="Style1Char"/>
          <w:rtl/>
        </w:rPr>
      </w:pPr>
      <w:r>
        <w:rPr>
          <w:rFonts w:hint="cs"/>
          <w:rtl/>
        </w:rPr>
        <w:t>4)[</w:t>
      </w:r>
      <w:r>
        <w:rPr>
          <w:rtl/>
        </w:rPr>
        <w:t>שולחן ערוך חושן משפט הלכות שמירת נפש סימן תכז סעיף ח</w:t>
      </w:r>
      <w:r>
        <w:rPr>
          <w:rFonts w:hint="cs"/>
          <w:rtl/>
        </w:rPr>
        <w:t xml:space="preserve">] </w:t>
      </w:r>
      <w:r>
        <w:rPr>
          <w:rtl/>
        </w:rPr>
        <w:t>וכן כל מכשול שיש בו סכנת נפשות, מצות עשה להסירו ולהשמר ממנו ולהזהר בדבר יפה, שנאמר: השמר לך ושמור נפשך (דברים ד, ט). ואם לא הסיר והניח המכשולות המביאים לידי סכנה ביטל מצות עשה ועבר בלא תשים דמים (דברים ד, ט).</w:t>
      </w:r>
    </w:p>
    <w:p w14:paraId="1300602A" w14:textId="77777777" w:rsidR="00127B78" w:rsidRDefault="00127B78" w:rsidP="00127B78">
      <w:pPr>
        <w:bidi/>
        <w:rPr>
          <w:rStyle w:val="Style1Char"/>
          <w:color w:val="00B050"/>
          <w:rtl/>
        </w:rPr>
      </w:pPr>
    </w:p>
    <w:p w14:paraId="1075E482" w14:textId="58DBFB80" w:rsidR="00127B78" w:rsidRDefault="00127B78" w:rsidP="00127B78">
      <w:pPr>
        <w:bidi/>
        <w:rPr>
          <w:rStyle w:val="Style1Char"/>
          <w:color w:val="auto"/>
          <w:sz w:val="28"/>
          <w:szCs w:val="28"/>
          <w:rtl/>
        </w:rPr>
      </w:pPr>
      <w:r w:rsidRPr="00C77661">
        <w:rPr>
          <w:rStyle w:val="Style1Char"/>
          <w:color w:val="auto"/>
          <w:sz w:val="28"/>
          <w:szCs w:val="28"/>
          <w:rtl/>
        </w:rPr>
        <w:t>הדרן עלך אלו נערות.</w:t>
      </w:r>
    </w:p>
    <w:p w14:paraId="2CB9AAD3" w14:textId="77777777" w:rsidR="000357F0" w:rsidRPr="00115293" w:rsidRDefault="000357F0" w:rsidP="000357F0">
      <w:pPr>
        <w:bidi/>
        <w:rPr>
          <w:rStyle w:val="Style1Char"/>
          <w:color w:val="auto"/>
          <w:sz w:val="28"/>
          <w:szCs w:val="28"/>
        </w:rPr>
      </w:pPr>
      <w:r w:rsidRPr="00EF64BD">
        <w:rPr>
          <w:rStyle w:val="Style1Char"/>
          <w:rFonts w:hint="cs"/>
          <w:rtl/>
        </w:rPr>
        <w:lastRenderedPageBreak/>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B32DE1">
        <w:rPr>
          <w:rStyle w:val="Style1Char"/>
          <w:color w:val="auto"/>
          <w:sz w:val="24"/>
          <w:szCs w:val="24"/>
          <w:rtl/>
        </w:rPr>
        <w:t xml:space="preserve">פרק </w:t>
      </w:r>
      <w:r w:rsidRPr="002F2700">
        <w:rPr>
          <w:rStyle w:val="Style1Char"/>
          <w:color w:val="auto"/>
          <w:sz w:val="22"/>
          <w:szCs w:val="22"/>
          <w:rtl/>
        </w:rPr>
        <w:t>ד - נערה שנתפתתה</w:t>
      </w:r>
    </w:p>
    <w:p w14:paraId="69DB3671" w14:textId="14A05E7A" w:rsidR="000357F0" w:rsidRDefault="000357F0" w:rsidP="000357F0">
      <w:pPr>
        <w:bidi/>
        <w:rPr>
          <w:rStyle w:val="Style1Char"/>
          <w:color w:val="auto"/>
          <w:sz w:val="22"/>
          <w:szCs w:val="22"/>
          <w:rtl/>
        </w:rPr>
      </w:pPr>
      <w:r w:rsidRPr="001761B4">
        <w:rPr>
          <w:rStyle w:val="Style1Char"/>
          <w:color w:val="auto"/>
          <w:sz w:val="22"/>
          <w:szCs w:val="22"/>
          <w:rtl/>
        </w:rPr>
        <w:t xml:space="preserve">/מתני'/. </w:t>
      </w:r>
      <w:r w:rsidRPr="00EF64BD">
        <w:rPr>
          <w:rStyle w:val="Style1Char"/>
          <w:rFonts w:hint="cs"/>
          <w:rtl/>
        </w:rPr>
        <w:t>(1)</w:t>
      </w:r>
      <w:r w:rsidRPr="001761B4">
        <w:rPr>
          <w:rStyle w:val="Style1Char"/>
          <w:color w:val="auto"/>
          <w:sz w:val="22"/>
          <w:szCs w:val="22"/>
          <w:rtl/>
        </w:rPr>
        <w:t xml:space="preserve">נערה שנתפתתה - בושתה ופגמה וקנסה של אביה, והצער בתפוסה. </w:t>
      </w:r>
      <w:r w:rsidR="00F3433F">
        <w:rPr>
          <w:rStyle w:val="Style1Char"/>
          <w:rFonts w:hint="cs"/>
          <w:rtl/>
        </w:rPr>
        <w:t>(2)</w:t>
      </w:r>
      <w:r w:rsidRPr="001761B4">
        <w:rPr>
          <w:rStyle w:val="Style1Char"/>
          <w:color w:val="auto"/>
          <w:sz w:val="22"/>
          <w:szCs w:val="22"/>
          <w:rtl/>
        </w:rPr>
        <w:t xml:space="preserve">עמדה בדין עד שלא מת האב - הרי הן של אב, מת האב - הרי הן של אחין. לא הספיקה לעמוד בדין עד שמת האב - הרי הן של עצמה. עמדה בדין עד שלא בגרה - הרי הן של אב, מת האב - הרי הן של אחין. לא הספיקה לעמוד בדין עד שבגרה - הרי הן של עצמה; רבי שמעון אומר: אם לא הספיקה לגבות עד שמת האב - הרי הן של עצמה. </w:t>
      </w:r>
    </w:p>
    <w:p w14:paraId="29928918" w14:textId="16190C96" w:rsidR="00F80B26" w:rsidRDefault="00F80B26" w:rsidP="00F80B26">
      <w:pPr>
        <w:pStyle w:val="Style1"/>
        <w:rPr>
          <w:rStyle w:val="Style1Char"/>
          <w:rtl/>
        </w:rPr>
      </w:pPr>
      <w:r>
        <w:rPr>
          <w:rStyle w:val="Style1Char"/>
          <w:rFonts w:hint="cs"/>
          <w:rtl/>
        </w:rPr>
        <w:t>1)[</w:t>
      </w:r>
      <w:r w:rsidRPr="008A5FED">
        <w:rPr>
          <w:rStyle w:val="Style1Char"/>
          <w:rtl/>
        </w:rPr>
        <w:t>רמב</w:t>
      </w:r>
      <w:r w:rsidR="00786216">
        <w:rPr>
          <w:rStyle w:val="Style1Char"/>
          <w:rtl/>
        </w:rPr>
        <w:t>”ם \נשים\</w:t>
      </w:r>
      <w:r w:rsidRPr="008A5FED">
        <w:rPr>
          <w:rStyle w:val="Style1Char"/>
          <w:rtl/>
        </w:rPr>
        <w:t xml:space="preserve"> הלכות נערה בתולה פרק ב הלכה יד</w:t>
      </w:r>
      <w:r>
        <w:rPr>
          <w:rStyle w:val="Style1Char"/>
          <w:rFonts w:hint="cs"/>
          <w:rtl/>
        </w:rPr>
        <w:t xml:space="preserve">] </w:t>
      </w:r>
      <w:r w:rsidRPr="008A5FED">
        <w:rPr>
          <w:rStyle w:val="Style1Char"/>
          <w:rtl/>
        </w:rPr>
        <w:t>שלשה דברים של מפתה וארבעה של אונס הרי הן של אב שכל שבח נעורים לאב, ואם אין לה אב הרי הן של עצמה.</w:t>
      </w:r>
    </w:p>
    <w:p w14:paraId="1B77DB6C" w14:textId="6D8093C3" w:rsidR="00F80B26" w:rsidRPr="00AE64BF" w:rsidRDefault="00F80B26" w:rsidP="00F80B26">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60298EDB" w14:textId="77777777" w:rsidR="00F80B26" w:rsidRPr="00AE64BF" w:rsidRDefault="00F80B26" w:rsidP="00F80B26">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355A527B" w14:textId="77777777" w:rsidR="00F80B26" w:rsidRPr="00AE64BF" w:rsidRDefault="00F80B26" w:rsidP="00F80B26">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651B1A3D" w14:textId="53124D22" w:rsidR="00F80B26" w:rsidRDefault="00F80B26" w:rsidP="00F80B26">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w:t>
      </w:r>
      <w:r w:rsidRPr="00AE64BF">
        <w:rPr>
          <w:rStyle w:val="Style1Char"/>
          <w:rtl/>
        </w:rPr>
        <w:lastRenderedPageBreak/>
        <w:t xml:space="preserve">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0025F349" w14:textId="7DD1425F" w:rsidR="009F7FE2" w:rsidRDefault="009F7FE2" w:rsidP="009F7FE2">
      <w:pPr>
        <w:pStyle w:val="Style1"/>
        <w:rPr>
          <w:rStyle w:val="Style1Char"/>
          <w:rtl/>
        </w:rPr>
      </w:pPr>
      <w:r>
        <w:rPr>
          <w:rStyle w:val="Style1Char"/>
          <w:rFonts w:hint="cs"/>
          <w:rtl/>
        </w:rPr>
        <w:t>2)[</w:t>
      </w:r>
      <w:r w:rsidRPr="009F7FE2">
        <w:rPr>
          <w:rStyle w:val="Style1Char"/>
          <w:rtl/>
        </w:rPr>
        <w:t>רמב</w:t>
      </w:r>
      <w:r w:rsidR="00786216">
        <w:rPr>
          <w:rStyle w:val="Style1Char"/>
          <w:rtl/>
        </w:rPr>
        <w:t>”ם \נשים\</w:t>
      </w:r>
      <w:r w:rsidRPr="009F7FE2">
        <w:rPr>
          <w:rStyle w:val="Style1Char"/>
          <w:rtl/>
        </w:rPr>
        <w:t xml:space="preserve"> הלכות נערה בתולה פרק ב הלכה טו</w:t>
      </w:r>
      <w:r>
        <w:rPr>
          <w:rStyle w:val="Style1Char"/>
          <w:rFonts w:hint="cs"/>
          <w:rtl/>
        </w:rPr>
        <w:t xml:space="preserve">] </w:t>
      </w:r>
      <w:r w:rsidRPr="009F7FE2">
        <w:rPr>
          <w:rStyle w:val="Style1Char"/>
          <w:rtl/>
        </w:rPr>
        <w:t>מפותה או אנוסה שלא תבעה עד שבגרה או עד שנשאת או עד שמת האב הרי הארבעה דברים או השלשה שלה, עמדה בדין ותבעה אותו ואחר כך בגרה או נשאת הרי הן של אב ואם מת האב אחר עמידתה בדין הרי הן של אחין שהן יורשי האב מעת שעמדה בדין זכה בהן האב. /השגת הראב"ד/ מפותה או אנוסה שלא תבעה עד שבגרה או עד שנשאת או עד שמת האב הרי הארבעה או השלשה שלה. א"א השלשה במפותה אם מת האב למה וכי יורשת אביה היא.</w:t>
      </w:r>
    </w:p>
    <w:p w14:paraId="19C48C6E" w14:textId="77777777" w:rsidR="000357F0" w:rsidRPr="001761B4" w:rsidRDefault="000357F0" w:rsidP="000357F0">
      <w:pPr>
        <w:bidi/>
        <w:rPr>
          <w:rStyle w:val="Style1Char"/>
          <w:sz w:val="22"/>
          <w:szCs w:val="22"/>
          <w:rtl/>
        </w:rPr>
      </w:pPr>
    </w:p>
    <w:p w14:paraId="244C29B6" w14:textId="77777777" w:rsidR="000357F0" w:rsidRPr="0046357A" w:rsidRDefault="000357F0" w:rsidP="000357F0">
      <w:pPr>
        <w:bidi/>
        <w:rPr>
          <w:rStyle w:val="Style1Char"/>
          <w:color w:val="00B050"/>
          <w:rtl/>
        </w:rPr>
      </w:pPr>
    </w:p>
    <w:p w14:paraId="18E8E51D" w14:textId="77777777" w:rsidR="000357F0" w:rsidRDefault="000357F0" w:rsidP="000357F0">
      <w:pPr>
        <w:rPr>
          <w:rStyle w:val="Style1Char"/>
          <w:color w:val="00B050"/>
          <w:rtl/>
        </w:rPr>
      </w:pPr>
      <w:r>
        <w:rPr>
          <w:rStyle w:val="Style1Char"/>
          <w:color w:val="00B050"/>
          <w:rtl/>
        </w:rPr>
        <w:br w:type="page"/>
      </w:r>
    </w:p>
    <w:p w14:paraId="39AA53A4" w14:textId="77777777" w:rsidR="000357F0" w:rsidRPr="001761B4" w:rsidRDefault="000357F0" w:rsidP="000357F0">
      <w:pPr>
        <w:bidi/>
        <w:rPr>
          <w:rStyle w:val="Style1Char"/>
          <w:color w:val="auto"/>
          <w:sz w:val="22"/>
          <w:szCs w:val="22"/>
        </w:rPr>
      </w:pPr>
      <w:r w:rsidRPr="001761B4">
        <w:rPr>
          <w:rStyle w:val="Style1Char"/>
          <w:color w:val="auto"/>
          <w:sz w:val="22"/>
          <w:szCs w:val="22"/>
          <w:highlight w:val="yellow"/>
          <w:rtl/>
        </w:rPr>
        <w:lastRenderedPageBreak/>
        <w:t>[דף מב עמוד א]</w:t>
      </w:r>
      <w:r w:rsidRPr="001761B4">
        <w:rPr>
          <w:rStyle w:val="Style1Char"/>
          <w:color w:val="auto"/>
          <w:sz w:val="22"/>
          <w:szCs w:val="22"/>
          <w:rtl/>
        </w:rPr>
        <w:t xml:space="preserve"> מעשה ידיה ומציאתה אף על פי שלא גבתה, מת האב - הרי הן של אחין. </w:t>
      </w:r>
    </w:p>
    <w:p w14:paraId="565786B4" w14:textId="2B8D64E0" w:rsidR="000357F0" w:rsidRDefault="000357F0" w:rsidP="000357F0">
      <w:pPr>
        <w:bidi/>
        <w:rPr>
          <w:rStyle w:val="Style1Char"/>
          <w:color w:val="00B050"/>
          <w:rtl/>
        </w:rPr>
      </w:pPr>
      <w:r w:rsidRPr="002F2700">
        <w:rPr>
          <w:rStyle w:val="Style1Char"/>
          <w:color w:val="00B050"/>
          <w:rtl/>
        </w:rPr>
        <w:t xml:space="preserve">גמ'. מאי קמ"ל? תנינא: המפתה נותן שלשה דברים, והאונס - ארבעה; המפתה נותן בושת ופגם וקנס, מוסיף עליו אונס שנותן את הצער! לאביה איצטריך ליה. לאביה נמי פשיטא, מדקא יהיב מפתה, דאי לעצמה, אמאי יהיב מפתה? מדעתה עבד! עמדה בדין איצטריכא ליה, פלוגתא דר"ש ורבנן. תנן התם: </w:t>
      </w:r>
      <w:r w:rsidR="009E766C">
        <w:rPr>
          <w:rStyle w:val="Style1Char"/>
          <w:rFonts w:hint="cs"/>
          <w:rtl/>
        </w:rPr>
        <w:t>(1)</w:t>
      </w:r>
      <w:r w:rsidRPr="002F2700">
        <w:rPr>
          <w:rStyle w:val="Style1Char"/>
          <w:color w:val="00B050"/>
          <w:rtl/>
        </w:rPr>
        <w:t xml:space="preserve">אנסת ופיתית את בתי, והוא אומר לא אנסתי ולא פיתיתי, משביעך אני, ואמר אמן, ואח"כ הודה - חייב, ר"ש פוטר, שאינו משלם קנס ע"פ עצמו; אמרו לו: </w:t>
      </w:r>
      <w:r w:rsidR="00AF6CBD">
        <w:rPr>
          <w:rStyle w:val="Style1Char"/>
          <w:rFonts w:hint="cs"/>
          <w:rtl/>
        </w:rPr>
        <w:t>(1, 2)</w:t>
      </w:r>
      <w:r w:rsidRPr="002F2700">
        <w:rPr>
          <w:rStyle w:val="Style1Char"/>
          <w:color w:val="00B050"/>
          <w:rtl/>
        </w:rPr>
        <w:t xml:space="preserve">אף על פי שאינו משלם קנס ע"פ עצמו, אבל משלם בושת ופגם ע"פ עצמו. בעא מיניה אביי מרבה: האומר לחבירו אנסת ופיתית את בתי, והעמדתיך בדין ונתחייבת לי ממון, והוא אומר לא אנסתי ולא פיתיתי, ולא העמדתני בדין ולא נתחייבתי לך ממון, ונשבע והודה, לר' שמעון מאי? כיון דעמד בדין ממונא הואי, ומיחייב עליה קרבן שבועה, או דלמא אף על גב דעמד בדין קנס הוי? א"ל: ממונא הוי, ומיחייב עליה קרבן שבועה. איתיביה, ר"ש אומר: יכול האומר לחבירו אנסת ופיתית את בתי והוא אומר לא אנסתי ולא פיתיתי, המית שורך את עבדי והוא אומר לא המית, או שאמר לו עבדו הפלת את שיני וסימית את עיני והוא אומר לא הפלתי ולא סימיתי, ונשבע והודה, יכול יהא חייב? ת"ל: וכחש בעמיתו בפקדון או בתשומת יד או בגזל או עשק את עמיתו, או מצא אבידה וכחש בה ונשבע על שקר, </w:t>
      </w:r>
      <w:r w:rsidR="00DC38B2">
        <w:rPr>
          <w:rStyle w:val="Style1Char"/>
          <w:rFonts w:hint="cs"/>
          <w:rtl/>
        </w:rPr>
        <w:t>(3)</w:t>
      </w:r>
      <w:r w:rsidRPr="002F2700">
        <w:rPr>
          <w:rStyle w:val="Style1Char"/>
          <w:color w:val="00B050"/>
          <w:rtl/>
        </w:rPr>
        <w:t xml:space="preserve">מה אלו מיוחדין שהן ממון, אף כל שהן ממון, יצאו אלו שהן קנס; </w:t>
      </w:r>
    </w:p>
    <w:p w14:paraId="63276902" w14:textId="6EC897D1" w:rsidR="00AE30B7" w:rsidRDefault="00AE30B7" w:rsidP="00AE30B7">
      <w:pPr>
        <w:pStyle w:val="Style1"/>
        <w:rPr>
          <w:rStyle w:val="Style1Char"/>
          <w:rtl/>
        </w:rPr>
      </w:pPr>
      <w:r>
        <w:rPr>
          <w:rStyle w:val="Style1Char"/>
          <w:rFonts w:hint="cs"/>
          <w:rtl/>
        </w:rPr>
        <w:t>1)[</w:t>
      </w:r>
      <w:r w:rsidRPr="00AE30B7">
        <w:rPr>
          <w:rStyle w:val="Style1Char"/>
          <w:rtl/>
        </w:rPr>
        <w:t>רמב</w:t>
      </w:r>
      <w:r w:rsidR="00EC109D">
        <w:rPr>
          <w:rStyle w:val="Style1Char"/>
          <w:rtl/>
        </w:rPr>
        <w:t>”ם \הפלאה\</w:t>
      </w:r>
      <w:r w:rsidRPr="00AE30B7">
        <w:rPr>
          <w:rStyle w:val="Style1Char"/>
          <w:rtl/>
        </w:rPr>
        <w:t xml:space="preserve"> הלכות שבועות פרק ח הלכה ג</w:t>
      </w:r>
      <w:r>
        <w:rPr>
          <w:rStyle w:val="Style1Char"/>
          <w:rFonts w:hint="cs"/>
          <w:rtl/>
        </w:rPr>
        <w:t xml:space="preserve">] </w:t>
      </w:r>
      <w:r w:rsidRPr="00AE30B7">
        <w:rPr>
          <w:rStyle w:val="Style1Char"/>
          <w:rtl/>
        </w:rPr>
        <w:t>התובע את חבירו בדבר שיש בו קנס שאינו משלם אותו על פי עצמו כמו שבארנו, ויש בו ממון שהוא משלם אותו על פי עצמו וכפר בכל דבר ונשבע הרי זה חייב משום שבועת הפקדון, כיצד תבעו ואמר לו אנסת או פתית בתי והוא אמר לא אנסתי ולא פתיתי ונשבע חייב בשבועת הפקדון, שאע"פ שאינו משלם קנס על פי עצמו אילו הודה היה משלם בשת ופגם על פי עצמו, וכן האומר לחבירו גנבת שורי והוא אומר לא גנבתי ונשבע חייב בשבועת הפקדון שאע"פ שאינו משלם כפל בהודאתו משלם הוא את הקרן בהודאתו.</w:t>
      </w:r>
    </w:p>
    <w:p w14:paraId="204641A6" w14:textId="02834D19" w:rsidR="00F97A72" w:rsidRDefault="00F97A72" w:rsidP="00F97A72">
      <w:pPr>
        <w:pStyle w:val="Style1"/>
        <w:rPr>
          <w:rStyle w:val="Style1Char"/>
          <w:rtl/>
        </w:rPr>
      </w:pPr>
      <w:r>
        <w:rPr>
          <w:rStyle w:val="Style1Char"/>
          <w:rFonts w:hint="cs"/>
          <w:rtl/>
        </w:rPr>
        <w:t>2)[</w:t>
      </w:r>
      <w:r w:rsidRPr="00F97A72">
        <w:rPr>
          <w:rStyle w:val="Style1Char"/>
          <w:rtl/>
        </w:rPr>
        <w:t>רמב</w:t>
      </w:r>
      <w:r w:rsidR="00786216">
        <w:rPr>
          <w:rStyle w:val="Style1Char"/>
          <w:rtl/>
        </w:rPr>
        <w:t>”ם \נשים\</w:t>
      </w:r>
      <w:r w:rsidRPr="00F97A72">
        <w:rPr>
          <w:rStyle w:val="Style1Char"/>
          <w:rtl/>
        </w:rPr>
        <w:t xml:space="preserve"> הלכות נערה בתולה פרק ב הלכה יב</w:t>
      </w:r>
      <w:r>
        <w:rPr>
          <w:rStyle w:val="Style1Char"/>
          <w:rFonts w:hint="cs"/>
          <w:rtl/>
        </w:rPr>
        <w:t xml:space="preserve">] </w:t>
      </w:r>
      <w:r w:rsidRPr="00F97A72">
        <w:rPr>
          <w:rStyle w:val="Style1Char"/>
          <w:rtl/>
        </w:rPr>
        <w:t>אין אדם משלם קנס בכל מקום בהודאת פיו אלא על פי עדים, לפיכך האומר אנסתי או פתיתי בתו של פלוני אינו משלם קנס אבל משלם בשת ופגם בהודאת פיו, וכן בת שתבעה איש בדין ואמרה לו אנסת או פתית אותי והוא אומר לא היו דברים מעולם הרי זה נשבע שבועת הסת שאילו הודה היה משלם לה בשת ופגם וצער על פי עצמו.</w:t>
      </w:r>
    </w:p>
    <w:p w14:paraId="719D51B2" w14:textId="45C4F130" w:rsidR="0007009B" w:rsidRDefault="0007009B" w:rsidP="0007009B">
      <w:pPr>
        <w:pStyle w:val="Style1"/>
        <w:rPr>
          <w:rStyle w:val="Style1Char"/>
          <w:rtl/>
        </w:rPr>
      </w:pPr>
      <w:r>
        <w:rPr>
          <w:rStyle w:val="Style1Char"/>
          <w:rFonts w:hint="cs"/>
          <w:rtl/>
        </w:rPr>
        <w:t>3)[</w:t>
      </w:r>
      <w:r w:rsidRPr="0007009B">
        <w:rPr>
          <w:rStyle w:val="Style1Char"/>
          <w:rtl/>
        </w:rPr>
        <w:t>רמב</w:t>
      </w:r>
      <w:r w:rsidR="00EC109D">
        <w:rPr>
          <w:rStyle w:val="Style1Char"/>
          <w:rtl/>
        </w:rPr>
        <w:t>”ם \הפלאה\</w:t>
      </w:r>
      <w:r w:rsidRPr="0007009B">
        <w:rPr>
          <w:rStyle w:val="Style1Char"/>
          <w:rtl/>
        </w:rPr>
        <w:t xml:space="preserve"> הלכות שבועות פרק ז הלכה ב</w:t>
      </w:r>
      <w:r>
        <w:rPr>
          <w:rStyle w:val="Style1Char"/>
          <w:rFonts w:hint="cs"/>
          <w:rtl/>
        </w:rPr>
        <w:t xml:space="preserve">] </w:t>
      </w:r>
      <w:r w:rsidRPr="0007009B">
        <w:rPr>
          <w:rStyle w:val="Style1Char"/>
          <w:rtl/>
        </w:rPr>
        <w:t>תבעו בממון שאם יודה לו ויאמר כן הדבר לא יהיה חייב לשלם, כגון שתבעו בקנס שאין אדם משלם קנס ע"פ עצמו, וכפר ונשבע, הרי זה פטור משבועת הפקדון וחייב משום שבועת ביטוי.</w:t>
      </w:r>
    </w:p>
    <w:p w14:paraId="71ED6E67" w14:textId="66BDD6E7" w:rsidR="00E45DDE" w:rsidRPr="00AE30B7" w:rsidRDefault="00E45DDE" w:rsidP="00E45DDE">
      <w:pPr>
        <w:pStyle w:val="Style1"/>
        <w:rPr>
          <w:rStyle w:val="Style1Char"/>
          <w:rtl/>
        </w:rPr>
      </w:pPr>
      <w:r>
        <w:rPr>
          <w:rStyle w:val="Style1Char"/>
          <w:rFonts w:hint="cs"/>
          <w:rtl/>
        </w:rPr>
        <w:t>3)[</w:t>
      </w:r>
      <w:r w:rsidRPr="00E45DDE">
        <w:rPr>
          <w:rStyle w:val="Style1Char"/>
          <w:rtl/>
        </w:rPr>
        <w:t>רמב</w:t>
      </w:r>
      <w:r w:rsidR="00EC109D">
        <w:rPr>
          <w:rStyle w:val="Style1Char"/>
          <w:rtl/>
        </w:rPr>
        <w:t>”ם \הפלאה\</w:t>
      </w:r>
      <w:r w:rsidRPr="00E45DDE">
        <w:rPr>
          <w:rStyle w:val="Style1Char"/>
          <w:rtl/>
        </w:rPr>
        <w:t xml:space="preserve"> הלכות שבועות פרק ז הלכה ג</w:t>
      </w:r>
      <w:r>
        <w:rPr>
          <w:rStyle w:val="Style1Char"/>
          <w:rFonts w:hint="cs"/>
          <w:rtl/>
        </w:rPr>
        <w:t xml:space="preserve">] </w:t>
      </w:r>
      <w:r w:rsidRPr="00E45DDE">
        <w:rPr>
          <w:rStyle w:val="Style1Char"/>
          <w:rtl/>
        </w:rPr>
        <w:t>וכן אם תבעו בקרקע או בעבד או בשטר וכפר ונשבע פטור משבועת הפקדון וחייב בשבועת ביטוי שהרי נשבע על שקר.</w:t>
      </w:r>
    </w:p>
    <w:p w14:paraId="76D79635" w14:textId="77777777" w:rsidR="000357F0" w:rsidRPr="00AE30B7" w:rsidRDefault="000357F0" w:rsidP="00AE30B7">
      <w:pPr>
        <w:pStyle w:val="Style1"/>
        <w:rPr>
          <w:rStyle w:val="Style1Char"/>
          <w:rtl/>
        </w:rPr>
      </w:pPr>
    </w:p>
    <w:p w14:paraId="47AA61E5" w14:textId="77777777" w:rsidR="000357F0" w:rsidRDefault="000357F0" w:rsidP="000357F0">
      <w:pPr>
        <w:rPr>
          <w:rStyle w:val="Style1Char"/>
          <w:color w:val="00B050"/>
          <w:rtl/>
        </w:rPr>
      </w:pPr>
      <w:r>
        <w:rPr>
          <w:rStyle w:val="Style1Char"/>
          <w:color w:val="00B050"/>
          <w:rtl/>
        </w:rPr>
        <w:br w:type="page"/>
      </w:r>
    </w:p>
    <w:p w14:paraId="6E7A64BB" w14:textId="77777777" w:rsidR="000357F0" w:rsidRDefault="000357F0" w:rsidP="000357F0">
      <w:pPr>
        <w:bidi/>
        <w:rPr>
          <w:rStyle w:val="Style1Char"/>
          <w:color w:val="00B050"/>
          <w:rtl/>
        </w:rPr>
      </w:pPr>
      <w:r w:rsidRPr="002F2700">
        <w:rPr>
          <w:rStyle w:val="Style1Char"/>
          <w:color w:val="00B050"/>
          <w:sz w:val="22"/>
          <w:szCs w:val="22"/>
          <w:highlight w:val="yellow"/>
          <w:rtl/>
        </w:rPr>
        <w:lastRenderedPageBreak/>
        <w:t>[דף מב עמוד ב]</w:t>
      </w:r>
      <w:r w:rsidRPr="002F2700">
        <w:rPr>
          <w:rStyle w:val="Style1Char"/>
          <w:color w:val="00B050"/>
          <w:sz w:val="22"/>
          <w:szCs w:val="22"/>
          <w:rtl/>
        </w:rPr>
        <w:t xml:space="preserve"> </w:t>
      </w:r>
      <w:r w:rsidRPr="002F2700">
        <w:rPr>
          <w:rStyle w:val="Style1Char"/>
          <w:color w:val="00B050"/>
          <w:rtl/>
        </w:rPr>
        <w:t xml:space="preserve">מאי לאו בשעמד בדין! לא, בשלא עמד בדין. והא מדרישא בשעמד בדין, סיפא נמי בשעמד בדין! דקתני רישא: אין לי אלא דברים שמשלמין עליהם את הקרן, תשלומי כפל תשלומי ארבעה וחמשה והאונס והמפתה ומוציא שם רע מנין? ת"ל: ומעלה מעל - ריבה; היכי דמי? אי דלא עמד בדין, כפילא מי איכא? אלא פשיטא בשעמד בדין, ומדרישא בשעמד בדין, סיפא נמי בשעמד בדין! א"ל, יכילנא לשנויי לך: רישא בשעמד בדין, וסיפא בשלא עמד בדין, וכולה ר"ש היא, ושינויי דחיקי לא משנינן לך, דא"כ, אמרת לי: ליתני רישא ר"ש אומר, או ליתני סיפא דברי ר"ש! אלא כולה בשעמד בדין, ורישא רבנן, וסיפא ר"ש, ומודינא לך לענין קרבן שבועה דרחמנא פטריה, מוכחש, וכי קאמינא ממון הוי - להורישו לבניו. איתיביה, ר"ש אומר: אם לא הספיקה לגבות עד שמת האב - הרי הן של עצמה; ואי אמרת ממון הוי להורישו לבניו, לעצמה אמאי? דאחין בעי מיהוי! אמר רבא: האי מילתא קשאי בה רבה ורב יוסף עשרין ותרתין שנין, ולא איפרק עד דיתיב רב יוסף ברישא ופירקה, שאני התם, דאמר קרא: ונתן האיש השוכב עמה לאבי הנערה חמשים כסף, לא זיכתה תורה לאב אלא משעת נתינה, וכי קאמר רבה ממונא הוי להורישו לבניו - בשאר קנסות. אלא מעתה, גבי עבד דכתיב: כסף שלשים שקלים יתן לאדוניו, הכי נמי לא זיכתה תורה לאדון אלא משעת נתינה! יתן לחוד, ונתן לחוד. אי הכי, ת"ל, וכחש? ת"ל ונתן מיבעי ליה! אמר רבא: כי איצטריך וכחש, כגון שעמדה בדין ובגרה ומתה, דהתם כי קא ירית אביה - מינה דידה קא ירית. אי הכי, יצאו אלו שהן קנס, ממון הוא! אמר רב נחמן בר יצחק: יצאו אלו שעיקרן קנס. איתיביה: ר"ש פוטר, שאינו משלם קנס על פי עצמו; טעמא דלא עמד בדין, הא עמד בדין דמשלם על פי עצמו, קרבן שבועה נמי מיחייב! רבי שמעון לדבריהם דרבנן קאמר להו: לדידי, אף על גב דעמד בדין רחמנא פטריה, מוכחש, אלא לדידכו, אודו לי מיהת היכא דלא עמד בדין, דכי קא תבע - קנסא קא תבע, </w:t>
      </w:r>
    </w:p>
    <w:p w14:paraId="68775244" w14:textId="77777777" w:rsidR="000357F0" w:rsidRDefault="000357F0" w:rsidP="000357F0">
      <w:pPr>
        <w:rPr>
          <w:rStyle w:val="Style1Char"/>
          <w:color w:val="00B050"/>
          <w:rtl/>
        </w:rPr>
      </w:pPr>
      <w:r>
        <w:rPr>
          <w:rStyle w:val="Style1Char"/>
          <w:color w:val="00B050"/>
          <w:rtl/>
        </w:rPr>
        <w:br w:type="page"/>
      </w:r>
    </w:p>
    <w:p w14:paraId="449BF01E" w14:textId="0133B005" w:rsidR="000357F0" w:rsidRDefault="000357F0" w:rsidP="000357F0">
      <w:pPr>
        <w:bidi/>
        <w:rPr>
          <w:rStyle w:val="Style1Char"/>
          <w:color w:val="00B050"/>
          <w:rtl/>
        </w:rPr>
      </w:pPr>
      <w:r w:rsidRPr="002F2700">
        <w:rPr>
          <w:rStyle w:val="Style1Char"/>
          <w:color w:val="00B050"/>
          <w:sz w:val="22"/>
          <w:szCs w:val="22"/>
          <w:highlight w:val="yellow"/>
          <w:rtl/>
        </w:rPr>
        <w:lastRenderedPageBreak/>
        <w:t>[דף מג עמוד א]</w:t>
      </w:r>
      <w:r w:rsidRPr="002F2700">
        <w:rPr>
          <w:rStyle w:val="Style1Char"/>
          <w:color w:val="00B050"/>
          <w:sz w:val="22"/>
          <w:szCs w:val="22"/>
          <w:rtl/>
        </w:rPr>
        <w:t xml:space="preserve"> </w:t>
      </w:r>
      <w:r w:rsidRPr="002F2700">
        <w:rPr>
          <w:rStyle w:val="Style1Char"/>
          <w:color w:val="00B050"/>
          <w:rtl/>
        </w:rPr>
        <w:t xml:space="preserve">ומודה בקנס פטור, ורבנן סברי: כי קא תבע - בושת ופגם קא תבע. במאי קא מיפלגי? א"ר פפא, ר"ש סבר: לא שביק איניש מידי דקיץ, ותבע מידי דלא קיץ; ורבנן סברי: לא שביק איניש מידי דכי מודי ביה לא מיפטר, ותבע מידי דכי מודה ביה מיפטר. </w:t>
      </w:r>
      <w:r w:rsidRPr="004339A7">
        <w:rPr>
          <w:rStyle w:val="Style1Char"/>
          <w:color w:val="auto"/>
          <w:sz w:val="22"/>
          <w:szCs w:val="22"/>
          <w:rtl/>
        </w:rPr>
        <w:t xml:space="preserve">בעא מיניה רבי אבינא מרב ששת: בת הניזונת מן האחין, מעשה ידיה למי? במקום אב קיימי, מה התם מעשה ידיה לאב, ה"נ מעשה ידיה לאחין, או דלמא לא דמי לאב, התם מדידיה מיתזנא, הכא לאו מדידהו מיתזנא? </w:t>
      </w:r>
      <w:r w:rsidRPr="002F2700">
        <w:rPr>
          <w:rStyle w:val="Style1Char"/>
          <w:color w:val="00B050"/>
          <w:rtl/>
        </w:rPr>
        <w:t xml:space="preserve">א"ל, תניתוה: </w:t>
      </w:r>
      <w:r w:rsidR="00052BFD">
        <w:rPr>
          <w:rStyle w:val="Style1Char"/>
          <w:rFonts w:hint="cs"/>
          <w:rtl/>
        </w:rPr>
        <w:t>(1)</w:t>
      </w:r>
      <w:r w:rsidRPr="002F2700">
        <w:rPr>
          <w:rStyle w:val="Style1Char"/>
          <w:color w:val="00B050"/>
          <w:rtl/>
        </w:rPr>
        <w:t xml:space="preserve">אלמנה ניזונת מנכסי יתומים, ומעשה ידיה שלהן. מי דמי? אלמנתו לא ניחא ליה בהרווחה, בתו ניחא ליה בהרווחה. למימרא, דבתו עדיפא ליה מאלמנתו, והאמר רבי אבא א"ר יוסי: עשו אלמנה אצל הבת כבת אצל אחין בנכסין מועטין, מה הבת אצל אחין - </w:t>
      </w:r>
      <w:r w:rsidR="004D03A0">
        <w:rPr>
          <w:rStyle w:val="Style1Char"/>
          <w:rFonts w:hint="cs"/>
          <w:rtl/>
        </w:rPr>
        <w:t>(2)</w:t>
      </w:r>
      <w:r w:rsidRPr="002F2700">
        <w:rPr>
          <w:rStyle w:val="Style1Char"/>
          <w:color w:val="00B050"/>
          <w:rtl/>
        </w:rPr>
        <w:t xml:space="preserve">הבת ניזונת והאחין ישאלו על הפתחים, אף אלמנה אצל הבת - </w:t>
      </w:r>
      <w:r w:rsidR="00B52CA5">
        <w:rPr>
          <w:rStyle w:val="Style1Char"/>
          <w:rFonts w:hint="cs"/>
          <w:rtl/>
        </w:rPr>
        <w:t>(3)</w:t>
      </w:r>
      <w:r w:rsidRPr="002F2700">
        <w:rPr>
          <w:rStyle w:val="Style1Char"/>
          <w:color w:val="00B050"/>
          <w:rtl/>
        </w:rPr>
        <w:t xml:space="preserve">אלמנה ניזונת והבת תשאל על הפתחים! לענין זילותא אלמנתו עדיפא ליה, לענין הרווחה בתו עדיפא ליה. מתיב רב יוסף: מעשה ידיה ומציאתה אף על פי שלא גבתה, מת האב - הרי הן של אחין; טעמא דבחיי האב, הא לאחר מיתת האב - לעצמה, מאי לאו בניזונת! לא, בשאינה ניזונת. אי בשאינה ניזונת, מאי למימרא? אפילו למ"ד: יכול הרב לומר לעבד עשה עמי ואיני זנך, </w:t>
      </w:r>
      <w:r w:rsidR="00825942">
        <w:rPr>
          <w:rStyle w:val="Style1Char"/>
          <w:rFonts w:hint="cs"/>
          <w:rtl/>
        </w:rPr>
        <w:t>(4)</w:t>
      </w:r>
      <w:r w:rsidRPr="002F2700">
        <w:rPr>
          <w:rStyle w:val="Style1Char"/>
          <w:color w:val="00B050"/>
          <w:rtl/>
        </w:rPr>
        <w:t xml:space="preserve">ה"מ בעבד כנעני, דלא כתיב ביה עמך, אבל עבד עברי דכתיב ביה עמך - לא, כל שכן בתו! אמר רבה בר עולא: לא נצרכה אלא להעדפה. אמר רבא: גברא רבה כרב יוסף לא ידע דאיכא העדפה וקמותיב תיובתא? אלא אמר רבא: רב יוסף, מתני' גופא קשיא ליה, </w:t>
      </w:r>
      <w:r w:rsidRPr="00251237">
        <w:rPr>
          <w:rStyle w:val="Style1Char"/>
          <w:color w:val="806000" w:themeColor="accent4" w:themeShade="80"/>
          <w:sz w:val="22"/>
          <w:szCs w:val="22"/>
          <w:rtl/>
        </w:rPr>
        <w:t xml:space="preserve">ופשיט רב יוסף מעשה ידיה לעצמה ודייק לה ממתניתין </w:t>
      </w:r>
      <w:r w:rsidRPr="00251237">
        <w:rPr>
          <w:rStyle w:val="Style1Char"/>
          <w:color w:val="auto"/>
          <w:sz w:val="22"/>
          <w:szCs w:val="22"/>
          <w:rtl/>
        </w:rPr>
        <w:t>דקתני</w:t>
      </w:r>
      <w:r w:rsidRPr="00251237">
        <w:rPr>
          <w:rStyle w:val="Style1Char"/>
          <w:color w:val="auto"/>
          <w:rtl/>
        </w:rPr>
        <w:t xml:space="preserve">: </w:t>
      </w:r>
      <w:r w:rsidRPr="00251237">
        <w:rPr>
          <w:rStyle w:val="Style1Char"/>
          <w:color w:val="auto"/>
          <w:sz w:val="22"/>
          <w:szCs w:val="22"/>
          <w:rtl/>
        </w:rPr>
        <w:t xml:space="preserve">מעשה ידיה ומציאתה אף על פי שלא גבתה, מציאתה ממאן גביא? אלא לאו הכי קאמר: מעשה ידיה כמציאתה, מה מציאתה - בחיי האב לאב, לאחר מיתת האב לעצמה, אף מעשה ידיה נמי - בחיי האב לאב, </w:t>
      </w:r>
      <w:r w:rsidR="007511E0">
        <w:rPr>
          <w:rStyle w:val="Style1Char"/>
          <w:rFonts w:hint="cs"/>
          <w:rtl/>
        </w:rPr>
        <w:t>(5)</w:t>
      </w:r>
      <w:r w:rsidRPr="00251237">
        <w:rPr>
          <w:rStyle w:val="Style1Char"/>
          <w:color w:val="auto"/>
          <w:sz w:val="22"/>
          <w:szCs w:val="22"/>
          <w:rtl/>
        </w:rPr>
        <w:t>לאחר מיתת האב לעצמה</w:t>
      </w:r>
      <w:r w:rsidRPr="002F2700">
        <w:rPr>
          <w:rStyle w:val="Style1Char"/>
          <w:color w:val="00B050"/>
          <w:rtl/>
        </w:rPr>
        <w:t xml:space="preserve">, ש"מ. </w:t>
      </w:r>
      <w:r w:rsidRPr="00251237">
        <w:rPr>
          <w:rStyle w:val="Style1Char"/>
          <w:color w:val="auto"/>
          <w:sz w:val="22"/>
          <w:szCs w:val="22"/>
          <w:rtl/>
        </w:rPr>
        <w:t xml:space="preserve">איתמר נמי, א"ר יהודה אמר רב: </w:t>
      </w:r>
      <w:r w:rsidR="00CE76A0">
        <w:rPr>
          <w:rStyle w:val="Style1Char"/>
          <w:rFonts w:hint="cs"/>
          <w:rtl/>
        </w:rPr>
        <w:t>(5)</w:t>
      </w:r>
      <w:r w:rsidRPr="00251237">
        <w:rPr>
          <w:rStyle w:val="Style1Char"/>
          <w:color w:val="auto"/>
          <w:sz w:val="22"/>
          <w:szCs w:val="22"/>
          <w:rtl/>
        </w:rPr>
        <w:t>בת הניזונת מן האחין - מעשה ידיה לעצמה. אמר רב כהנא: מ"ט? דכתיב: והתנחלתם אותם לבניכם אחריכם, אותם לבניכם - ולא בנותיכם לבניכם, מגיד שאין אדם מוריש זכות בתו לבנו</w:t>
      </w:r>
      <w:r w:rsidRPr="00251237">
        <w:rPr>
          <w:rStyle w:val="Style1Char"/>
          <w:color w:val="auto"/>
          <w:rtl/>
        </w:rPr>
        <w:t xml:space="preserve"> </w:t>
      </w:r>
      <w:r w:rsidRPr="00251237">
        <w:rPr>
          <w:rStyle w:val="Style1Char"/>
          <w:color w:val="806000" w:themeColor="accent4" w:themeShade="80"/>
          <w:sz w:val="22"/>
          <w:szCs w:val="22"/>
          <w:rtl/>
        </w:rPr>
        <w:t>וכן הלכתא</w:t>
      </w:r>
      <w:r w:rsidRPr="000D3108">
        <w:rPr>
          <w:rStyle w:val="Style1Char"/>
          <w:color w:val="C00000"/>
          <w:sz w:val="22"/>
          <w:szCs w:val="22"/>
        </w:rPr>
        <w:t>:</w:t>
      </w:r>
      <w:r w:rsidRPr="000D3108">
        <w:rPr>
          <w:rStyle w:val="Style1Char"/>
          <w:sz w:val="22"/>
          <w:szCs w:val="22"/>
          <w:rtl/>
        </w:rPr>
        <w:t>.</w:t>
      </w:r>
      <w:r w:rsidRPr="002F2700">
        <w:rPr>
          <w:rStyle w:val="Style1Char"/>
          <w:color w:val="00B050"/>
          <w:rtl/>
        </w:rPr>
        <w:t xml:space="preserve"> מתקיף לה רבה, ואימא: בפיתוי הבת, וקנסות וחבלות הכתוב מדבר! וכן תנא רב חנינא: בפתוי הבת, וקנסות וחבלות הכתוב מדבר. </w:t>
      </w:r>
      <w:r w:rsidR="00F867E5">
        <w:rPr>
          <w:rStyle w:val="Style1Char"/>
          <w:rFonts w:hint="cs"/>
          <w:rtl/>
        </w:rPr>
        <w:t>(6)</w:t>
      </w:r>
      <w:r w:rsidRPr="002F2700">
        <w:rPr>
          <w:rStyle w:val="Style1Char"/>
          <w:color w:val="00B050"/>
          <w:rtl/>
        </w:rPr>
        <w:t xml:space="preserve">חבלות - צערא דגופא נינהו! </w:t>
      </w:r>
      <w:r w:rsidR="00722FA0">
        <w:rPr>
          <w:rStyle w:val="Style1Char"/>
          <w:rFonts w:hint="cs"/>
          <w:rtl/>
        </w:rPr>
        <w:t>(6)</w:t>
      </w:r>
      <w:r w:rsidRPr="002F2700">
        <w:rPr>
          <w:rStyle w:val="Style1Char"/>
          <w:color w:val="00B050"/>
          <w:rtl/>
        </w:rPr>
        <w:t xml:space="preserve">אמר רבי יוסי בר חנינא: </w:t>
      </w:r>
    </w:p>
    <w:p w14:paraId="1C9F9824" w14:textId="67A0E684" w:rsidR="002E136D" w:rsidRDefault="002E136D" w:rsidP="002E136D">
      <w:pPr>
        <w:pStyle w:val="Style1"/>
        <w:rPr>
          <w:rStyle w:val="Style1Char"/>
          <w:rtl/>
        </w:rPr>
      </w:pPr>
      <w:r>
        <w:rPr>
          <w:rStyle w:val="Style1Char"/>
          <w:rFonts w:hint="cs"/>
          <w:rtl/>
        </w:rPr>
        <w:t>1)[</w:t>
      </w:r>
      <w:r w:rsidRPr="002E136D">
        <w:rPr>
          <w:rStyle w:val="Style1Char"/>
          <w:rtl/>
        </w:rPr>
        <w:t>רמב</w:t>
      </w:r>
      <w:r w:rsidR="00213DA1">
        <w:rPr>
          <w:rStyle w:val="Style1Char"/>
          <w:rtl/>
        </w:rPr>
        <w:t>”ם \נשים\</w:t>
      </w:r>
      <w:r w:rsidRPr="002E136D">
        <w:rPr>
          <w:rStyle w:val="Style1Char"/>
          <w:rtl/>
        </w:rPr>
        <w:t xml:space="preserve"> הלכות אישות פרק יח הלכה א</w:t>
      </w:r>
      <w:r>
        <w:rPr>
          <w:rStyle w:val="Style1Char"/>
          <w:rFonts w:hint="cs"/>
          <w:rtl/>
        </w:rPr>
        <w:t xml:space="preserve">] </w:t>
      </w:r>
      <w:r w:rsidRPr="002E136D">
        <w:rPr>
          <w:rStyle w:val="Style1Char"/>
          <w:rtl/>
        </w:rPr>
        <w:t>אלמנה ניזונת מנכסי יורשין כל זמן אלמנותה עד שתטול כתובתה, ומשתתבע כתובתה בבית דין אין לה מזונות, וכן אם מכרה כתובתה כולה או משכנה כתובתה או עשתה כתובתה אפותיקי לאחר והוא שתאמר לו פה תקנה חובך בין שעשת דברים אלו בבית דין מומחין בין שלא בבית דין בין שעשת בחיי בעלה בין שעשת לאחר מיתת בעלה אין לה מזונות מן היורשים, אבל אם מכרה מקצתה יש לה מזונות, ומשתתארס האלמנה אבדה מזונותיה.</w:t>
      </w:r>
    </w:p>
    <w:p w14:paraId="53A81A45" w14:textId="3A7E33E0" w:rsidR="00F76404" w:rsidRDefault="00F76404" w:rsidP="00F76404">
      <w:pPr>
        <w:pStyle w:val="Style1"/>
      </w:pPr>
      <w:r>
        <w:rPr>
          <w:rStyle w:val="Style1Char"/>
          <w:rFonts w:hint="cs"/>
          <w:rtl/>
        </w:rPr>
        <w:t>1)[</w:t>
      </w:r>
      <w:r w:rsidRPr="00F76404">
        <w:rPr>
          <w:rStyle w:val="Style1Char"/>
          <w:rtl/>
        </w:rPr>
        <w:t>שולחן ערוך אבן העזר הלכות כתובות סימן צה סעיף א</w:t>
      </w:r>
      <w:r>
        <w:rPr>
          <w:rStyle w:val="Style1Char"/>
          <w:rFonts w:hint="cs"/>
          <w:rtl/>
        </w:rPr>
        <w:t>]</w:t>
      </w:r>
      <w:r w:rsidR="00D827FD">
        <w:rPr>
          <w:rStyle w:val="Style1Char"/>
          <w:rFonts w:hint="cs"/>
          <w:rtl/>
        </w:rPr>
        <w:t xml:space="preserve"> </w:t>
      </w:r>
      <w:r w:rsidR="00D827FD" w:rsidRPr="00D827FD">
        <w:rPr>
          <w:rtl/>
        </w:rPr>
        <w:t>מאחר שהיורשים חיבים במזונות האלמנה, מעשה ידיה שלהם. ואם היורשים אומרים לה: טלי מעשה ידיך למזונותיך, אין שומעין להם. אבל אם היא אומרת כן, שומעין לה</w:t>
      </w:r>
      <w:r w:rsidR="00D827FD" w:rsidRPr="00D827FD">
        <w:t>:</w:t>
      </w:r>
    </w:p>
    <w:p w14:paraId="1698F896" w14:textId="0FB7E8CA" w:rsidR="00A21400" w:rsidRDefault="00A21400" w:rsidP="00A21400">
      <w:pPr>
        <w:pStyle w:val="Style1"/>
        <w:rPr>
          <w:rtl/>
        </w:rPr>
      </w:pPr>
      <w:r>
        <w:rPr>
          <w:rFonts w:hint="cs"/>
          <w:rtl/>
        </w:rPr>
        <w:t>2)[</w:t>
      </w:r>
      <w:r>
        <w:rPr>
          <w:rtl/>
        </w:rPr>
        <w:t>רמב</w:t>
      </w:r>
      <w:r w:rsidR="00213DA1">
        <w:rPr>
          <w:rtl/>
        </w:rPr>
        <w:t>”ם \נשים\</w:t>
      </w:r>
      <w:r>
        <w:rPr>
          <w:rtl/>
        </w:rPr>
        <w:t xml:space="preserve"> הלכות אישות פרק יט הלכה טז</w:t>
      </w:r>
      <w:r>
        <w:rPr>
          <w:rFonts w:hint="cs"/>
          <w:rtl/>
        </w:rPr>
        <w:t xml:space="preserve">] </w:t>
      </w:r>
      <w:r>
        <w:rPr>
          <w:rtl/>
        </w:rPr>
        <w:t>נשאת הבת ומיאנה או נתגרשה או נתאלמנה אפילו היא שומרת יבם הואיל וחזרה לבית אביה ועדיין לא בגרה הרי זו ניזונת מנכסי אביה עד שתבגור או עד שתתארס.</w:t>
      </w:r>
    </w:p>
    <w:p w14:paraId="79BD34EE" w14:textId="42E72AB7" w:rsidR="00C53F6B" w:rsidRDefault="00C53F6B" w:rsidP="00C53F6B">
      <w:pPr>
        <w:pStyle w:val="Style1"/>
        <w:rPr>
          <w:rtl/>
        </w:rPr>
      </w:pPr>
      <w:r>
        <w:rPr>
          <w:rFonts w:hint="cs"/>
          <w:rtl/>
        </w:rPr>
        <w:t>2)[</w:t>
      </w:r>
      <w:r>
        <w:rPr>
          <w:rtl/>
        </w:rPr>
        <w:t>רמב</w:t>
      </w:r>
      <w:r w:rsidR="00EC109D">
        <w:rPr>
          <w:rtl/>
        </w:rPr>
        <w:t>”ם \משפטים\</w:t>
      </w:r>
      <w:r>
        <w:rPr>
          <w:rtl/>
        </w:rPr>
        <w:t xml:space="preserve"> הלכות נחלות פרק ה הלכה ב</w:t>
      </w:r>
      <w:r>
        <w:rPr>
          <w:rFonts w:hint="cs"/>
          <w:rtl/>
        </w:rPr>
        <w:t xml:space="preserve">] </w:t>
      </w:r>
      <w:r>
        <w:rPr>
          <w:rtl/>
        </w:rPr>
        <w:t>כבר ביארנו בהלכות אישות דין הבנות עם הבנים במזונותיהן ובפרנסתן ושם בארנו שהמזונות מתנאי כתובה, בזמן שהנכסים מרובין אין לבנות אלא מזונותיהן והבנים יירשו הכל ויתפרנסו הבנות בעשור נכסים כדי שינשאו בו לבעליהן, ובזמן שהנכסים מועטין אין לבנים כלום אלא הכל למזון הבנות, לפיכך מי שמת והניח בנים ובנות וטומטום או אנדרוגינוס, בזמן שהנכסים מרובין הבנים יורשין ודוחין הטומטום אצל הבנות ונזון כמותן, ובזמן שהנכסין מועטין הבנות דוחות את הטומטום אצל הבנים ואומרות לו זכר אתה ואין לך עמנו מזונות.</w:t>
      </w:r>
    </w:p>
    <w:p w14:paraId="6237FE3B" w14:textId="3D2570ED" w:rsidR="007F5DC1" w:rsidRPr="007F5DC1" w:rsidRDefault="0086446F" w:rsidP="007F5DC1">
      <w:pPr>
        <w:pStyle w:val="Style1"/>
      </w:pPr>
      <w:r>
        <w:rPr>
          <w:rFonts w:hint="cs"/>
          <w:rtl/>
        </w:rPr>
        <w:t>2)[</w:t>
      </w:r>
      <w:r>
        <w:rPr>
          <w:rtl/>
        </w:rPr>
        <w:t>שולחן ערוך אבן העזר הלכות כתובות סימן קיב סעיף יא</w:t>
      </w:r>
      <w:r>
        <w:rPr>
          <w:rFonts w:hint="cs"/>
          <w:rtl/>
        </w:rPr>
        <w:t>]</w:t>
      </w:r>
      <w:r w:rsidR="007F5DC1">
        <w:rPr>
          <w:rFonts w:hint="cs"/>
          <w:rtl/>
        </w:rPr>
        <w:t xml:space="preserve"> </w:t>
      </w:r>
      <w:r w:rsidR="007F5DC1" w:rsidRPr="007F5DC1">
        <w:rPr>
          <w:rtl/>
        </w:rPr>
        <w:t>מי שמת והניח בנים ובנות, יירשו הבנים כל הנכסים והם זנים אחיותיהם עד שיבגרו או עד שיתארסו</w:t>
      </w:r>
      <w:r w:rsidR="007F5DC1" w:rsidRPr="007F5DC1">
        <w:t>.</w:t>
      </w:r>
    </w:p>
    <w:p w14:paraId="1920FAA6" w14:textId="77777777" w:rsidR="007F5DC1" w:rsidRPr="007F5DC1" w:rsidRDefault="007F5DC1" w:rsidP="007F5DC1">
      <w:pPr>
        <w:pStyle w:val="Style1"/>
      </w:pPr>
      <w:r w:rsidRPr="007F5DC1">
        <w:rPr>
          <w:rtl/>
        </w:rPr>
        <w:t>הגה: ואין מחייבים הבנים לצמצם במזונות, אלא אם ירצו יותירו במזונות. ומכל מקום אם רואים בית דין שהבנים מכלין הממון ואין משגיחין בישוב העולם, חייבין בית דין להשגיח בתיקון הבנות ולהפריש להן חלקן (טור)</w:t>
      </w:r>
      <w:r w:rsidRPr="007F5DC1">
        <w:t>:</w:t>
      </w:r>
    </w:p>
    <w:p w14:paraId="213C6449" w14:textId="77777777" w:rsidR="007F5DC1" w:rsidRPr="007F5DC1" w:rsidRDefault="007F5DC1" w:rsidP="007F5DC1">
      <w:pPr>
        <w:pStyle w:val="Style1"/>
      </w:pPr>
      <w:r w:rsidRPr="007F5DC1">
        <w:rPr>
          <w:rtl/>
        </w:rPr>
        <w:t>במה דברים אמורים, כשהניח נכסים שאפשר שיזונו מהם הבנים והבנות כאחד עד שיבגרו הבנות, ואלו הם הנקראים נכסים מרובים. אבל אם אין בנכסים שהניח אלא פחות מזה, מוציאים מהם מזונות לבנות עד שיבגרו, ונותנים השאר לבנים. ואם אין שם אלא כדי מזון הבנות בלבד, נזונים מהם עד שיבגרו או עד שיתארסו, והבנים ישאלו על הפתחים</w:t>
      </w:r>
      <w:r w:rsidRPr="007F5DC1">
        <w:t>.</w:t>
      </w:r>
    </w:p>
    <w:p w14:paraId="24DFFDEB" w14:textId="17D389F7" w:rsidR="007F5DC1" w:rsidRDefault="007F5DC1" w:rsidP="007F5DC1">
      <w:pPr>
        <w:pStyle w:val="Style1"/>
        <w:rPr>
          <w:rtl/>
        </w:rPr>
      </w:pPr>
      <w:r w:rsidRPr="007F5DC1">
        <w:rPr>
          <w:rtl/>
        </w:rPr>
        <w:t>הגה: ויש אומרים דאסור לבנים למכור אפילו נכסים מרובים, אם לא שהוא לצורך פדיון שבויים וכיוצא בזה; אבל בנכסים מועטים, אפילו בכהאי גוונא אסור (מרדכי פרק מי שמת). ואם עברו ומכרו, יתבאר לקמן </w:t>
      </w:r>
      <w:hyperlink r:id="rId77" w:anchor="%D7%A1%D7%A2%D7%99%D7%A3_%D7%99%D7%93" w:history="1">
        <w:r w:rsidRPr="007F5DC1">
          <w:rPr>
            <w:rStyle w:val="Hyperlink"/>
            <w:color w:val="7030A0"/>
            <w:u w:val="none"/>
            <w:rtl/>
          </w:rPr>
          <w:t>סעיף י"ד</w:t>
        </w:r>
      </w:hyperlink>
      <w:r w:rsidRPr="007F5DC1">
        <w:t>:</w:t>
      </w:r>
    </w:p>
    <w:p w14:paraId="2960917D" w14:textId="14043E88" w:rsidR="00C843D2" w:rsidRDefault="00C843D2" w:rsidP="00C843D2">
      <w:pPr>
        <w:pStyle w:val="Style1"/>
        <w:rPr>
          <w:rtl/>
        </w:rPr>
      </w:pPr>
      <w:r>
        <w:rPr>
          <w:rFonts w:hint="cs"/>
          <w:rtl/>
        </w:rPr>
        <w:t>3)[</w:t>
      </w:r>
      <w:r>
        <w:rPr>
          <w:rtl/>
        </w:rPr>
        <w:t>רמב</w:t>
      </w:r>
      <w:r w:rsidR="00213DA1">
        <w:rPr>
          <w:rtl/>
        </w:rPr>
        <w:t>”ם \נשים\</w:t>
      </w:r>
      <w:r>
        <w:rPr>
          <w:rtl/>
        </w:rPr>
        <w:t xml:space="preserve"> הלכות אישות פרק יט הלכה כא</w:t>
      </w:r>
      <w:r>
        <w:rPr>
          <w:rFonts w:hint="cs"/>
          <w:rtl/>
        </w:rPr>
        <w:t xml:space="preserve">] </w:t>
      </w:r>
      <w:r>
        <w:rPr>
          <w:rtl/>
        </w:rPr>
        <w:t>הניח אלמנה ובת ממנה או מאשה אחרת ואין בנכסים כדי שיזונו שתיהן האלמנה ניזונת והבת תשאל על הפתחים, וכן אני אומר שמזונות הבת קודמין לירושת הבן כתובת אמו שמתה בחיי אביו ואף על פי ששניהם מתנאי כתובה, קל וחומר הדברים ומה אם נדחת ירושה של תורה מפני מזונות הבת לא תדחה ירושת הכתובה שהיא תנאי בית דין מפני מזונות הבת.</w:t>
      </w:r>
    </w:p>
    <w:p w14:paraId="1A89A9E4" w14:textId="465E4352" w:rsidR="007D6B98" w:rsidRDefault="007D6B98" w:rsidP="007D6B98">
      <w:pPr>
        <w:pStyle w:val="Style1"/>
        <w:rPr>
          <w:rtl/>
        </w:rPr>
      </w:pPr>
      <w:r>
        <w:rPr>
          <w:rFonts w:hint="cs"/>
          <w:rtl/>
        </w:rPr>
        <w:t>3)[</w:t>
      </w:r>
      <w:r>
        <w:rPr>
          <w:rtl/>
        </w:rPr>
        <w:t>שולחן ערוך אבן העזר הלכות כתובות סימן קיב סעיף טז</w:t>
      </w:r>
      <w:r>
        <w:rPr>
          <w:rFonts w:hint="cs"/>
          <w:rtl/>
        </w:rPr>
        <w:t xml:space="preserve">] </w:t>
      </w:r>
      <w:r>
        <w:rPr>
          <w:rtl/>
        </w:rPr>
        <w:t>הניח אלמנה ובת ממנה או מאשה אחרת, ואין בנכסים כדי שיזונו שתיהן, האלמנה ניזונית והבת תשאל על הפתחים. ויש חולקין, כמו שנתבאר בסימן צ"ג.</w:t>
      </w:r>
    </w:p>
    <w:p w14:paraId="27F0E708" w14:textId="23879CBB" w:rsidR="00954668" w:rsidRPr="00954668" w:rsidRDefault="004D5FBB" w:rsidP="00954668">
      <w:pPr>
        <w:pStyle w:val="Style1"/>
      </w:pPr>
      <w:r>
        <w:rPr>
          <w:rFonts w:hint="cs"/>
          <w:rtl/>
        </w:rPr>
        <w:t>3)[</w:t>
      </w:r>
      <w:r>
        <w:rPr>
          <w:rtl/>
        </w:rPr>
        <w:t>שולחן ערוך אבן העזר הלכות כתובות סימן צג סעיף ד</w:t>
      </w:r>
      <w:r>
        <w:rPr>
          <w:rFonts w:hint="cs"/>
          <w:rtl/>
        </w:rPr>
        <w:t>]</w:t>
      </w:r>
      <w:r w:rsidR="00954668">
        <w:rPr>
          <w:rFonts w:hint="cs"/>
          <w:rtl/>
        </w:rPr>
        <w:t xml:space="preserve"> </w:t>
      </w:r>
      <w:r w:rsidR="00954668" w:rsidRPr="00954668">
        <w:rPr>
          <w:rtl/>
        </w:rPr>
        <w:t>המניח אלמנה ובת, ממנה או מאשה אחרת, ואין בנכסים כדי שיזונו שתיהן, האלמנה נזונית והבת תשאל על הפתחים. ויש אומרים דבין שהנכסים מרובין בין שהן מועטים, אם יש אלמנה ובן או אלמנה ובת, תזון היא עם הבן או עם הבת עד שיאכלו הנכסים; ואפילו אם תנשא הבת ומכנסת הנכסים לבעל, היא תזון מהם אפילו אחר מיתת הבת. אבל אם יש אלמנה ובן ובת, והנכסים מועטים שאין בהם כדי שיזונו הבת והבן עד שתבגר הבת, אז ידחו הבן והבת ותזון האלמנה לבדה עד שתגבה כתובתה</w:t>
      </w:r>
      <w:r w:rsidR="00954668" w:rsidRPr="00954668">
        <w:t>.</w:t>
      </w:r>
    </w:p>
    <w:p w14:paraId="5FDBE503" w14:textId="5D484BE0" w:rsidR="00954668" w:rsidRDefault="00954668" w:rsidP="00954668">
      <w:pPr>
        <w:pStyle w:val="Style1"/>
        <w:rPr>
          <w:rtl/>
        </w:rPr>
      </w:pPr>
      <w:r w:rsidRPr="00954668">
        <w:rPr>
          <w:rtl/>
        </w:rPr>
        <w:t>הגה: ובמקום שהאלמנה דוחה הבנות, מוציאין לאלמנה מזון עד זמן שאומדין בית דין שראויה לחיות, אם זקנה ואם ילדה, ונותנין ביד שליש והוא מפרנסה אחד לשלשים יום (בית יוסף בשם המגיד משנה שכן כתב בשם הרמב"ן והרשב"א)</w:t>
      </w:r>
      <w:r w:rsidRPr="00954668">
        <w:t>:</w:t>
      </w:r>
    </w:p>
    <w:p w14:paraId="3993A8D4" w14:textId="6222FD51" w:rsidR="002C31EC" w:rsidRDefault="002C31EC" w:rsidP="002C31EC">
      <w:pPr>
        <w:pStyle w:val="Style1"/>
        <w:rPr>
          <w:rtl/>
        </w:rPr>
      </w:pPr>
      <w:r>
        <w:rPr>
          <w:rFonts w:hint="cs"/>
          <w:rtl/>
        </w:rPr>
        <w:t>4)[</w:t>
      </w:r>
      <w:r>
        <w:rPr>
          <w:rtl/>
        </w:rPr>
        <w:t>רמב</w:t>
      </w:r>
      <w:r w:rsidR="005258D6">
        <w:rPr>
          <w:rtl/>
        </w:rPr>
        <w:t>”ם \קניין\</w:t>
      </w:r>
      <w:r>
        <w:rPr>
          <w:rtl/>
        </w:rPr>
        <w:t xml:space="preserve"> הלכות עבדים פרק ט הלכה ז</w:t>
      </w:r>
      <w:r>
        <w:rPr>
          <w:rFonts w:hint="cs"/>
          <w:rtl/>
        </w:rPr>
        <w:t xml:space="preserve">] </w:t>
      </w:r>
      <w:r>
        <w:rPr>
          <w:rtl/>
        </w:rPr>
        <w:t>יכול הרב לומר לעבדו כנעני עשה עמי ואיני זנך אלא ילך וישאל על הפתחים ויתפרנס מן הצדקה שישראל מצווין להחיות העבדים שביניהם, בד"א בעבדיו שאין ב"ד נזקקין לגדולים לשמור ממונם ואם לא יאכיל לעבדיו וישקם כראוי הם יברחו או ימותו ואדם חס על ממון עצמו יתר מכל אדם, אבל עבדים שהכניסה לו אשתו בתורת נכסי מלוג חייב במזונותיהן שעל מנת כן הכניס אותם שאם לא יזון אותם ימותו ויברחו והרי אינו חייב באחריותן. /השגת הראב"ד/ אבל עבדים שהכניסה לו אשתו וכו' עד שעל מנת כן הכניסן וכו'. א"א לא נתברר לי דבר זה שאם אמר הבעל איני עובד ואיני זן יכול הוא לעשות.</w:t>
      </w:r>
    </w:p>
    <w:p w14:paraId="7B182F79" w14:textId="4AF8C2A4" w:rsidR="00064A74" w:rsidRPr="00064A74" w:rsidRDefault="005440F3" w:rsidP="00064A74">
      <w:pPr>
        <w:pStyle w:val="Style1"/>
      </w:pPr>
      <w:r>
        <w:rPr>
          <w:rFonts w:hint="cs"/>
          <w:rtl/>
        </w:rPr>
        <w:lastRenderedPageBreak/>
        <w:t>4)[</w:t>
      </w:r>
      <w:r>
        <w:rPr>
          <w:rtl/>
        </w:rPr>
        <w:t>שולחן ערוך יורה דעה הלכות עבדים סימן רסז סעיף כ</w:t>
      </w:r>
      <w:r>
        <w:rPr>
          <w:rFonts w:hint="cs"/>
          <w:rtl/>
        </w:rPr>
        <w:t>]</w:t>
      </w:r>
      <w:r w:rsidR="00064A74">
        <w:rPr>
          <w:rFonts w:hint="cs"/>
          <w:rtl/>
        </w:rPr>
        <w:t xml:space="preserve"> </w:t>
      </w:r>
      <w:r w:rsidR="00064A74" w:rsidRPr="00064A74">
        <w:rPr>
          <w:rtl/>
        </w:rPr>
        <w:t>יכול הרב לומר לעבדו</w:t>
      </w:r>
      <w:r w:rsidR="00064A74" w:rsidRPr="00064A74">
        <w:t xml:space="preserve"> "</w:t>
      </w:r>
      <w:r w:rsidR="00064A74" w:rsidRPr="00064A74">
        <w:rPr>
          <w:rtl/>
        </w:rPr>
        <w:t>עשה עמי ואיני זנך</w:t>
      </w:r>
      <w:r w:rsidR="00064A74" w:rsidRPr="00064A74">
        <w:t xml:space="preserve">". </w:t>
      </w:r>
      <w:r w:rsidR="00064A74" w:rsidRPr="00064A74">
        <w:rPr>
          <w:rtl/>
        </w:rPr>
        <w:t>אבל עבדי נכסי מלוג</w:t>
      </w:r>
      <w:r w:rsidR="00064A74" w:rsidRPr="00064A74">
        <w:t xml:space="preserve"> (</w:t>
      </w:r>
      <w:r w:rsidR="00064A74" w:rsidRPr="00064A74">
        <w:rPr>
          <w:rtl/>
        </w:rPr>
        <w:t>פירוש נכסי מלוג כענין מליגת הראש שתולשין השער ועוזבין הראש, כך הבעל אוכל פירות ומניח הקרן ואין לו רשות בזו</w:t>
      </w:r>
      <w:r w:rsidR="00064A74" w:rsidRPr="00064A74">
        <w:t xml:space="preserve">) </w:t>
      </w:r>
      <w:r w:rsidR="00064A74" w:rsidRPr="00064A74">
        <w:rPr>
          <w:rtl/>
        </w:rPr>
        <w:t>חייב לזונם</w:t>
      </w:r>
      <w:r w:rsidR="00064A74" w:rsidRPr="00064A74">
        <w:t>.</w:t>
      </w:r>
    </w:p>
    <w:p w14:paraId="69E21E01" w14:textId="06C647F1" w:rsidR="00064A74" w:rsidRDefault="00064A74" w:rsidP="00064A74">
      <w:pPr>
        <w:pStyle w:val="Style1"/>
        <w:rPr>
          <w:rtl/>
        </w:rPr>
      </w:pPr>
      <w:r w:rsidRPr="00064A74">
        <w:rPr>
          <w:rtl/>
        </w:rPr>
        <w:t>הגה: ויש אומרים הא דיכול לומר איני זנך היינו כשהשנים כתיקונן. אבל בשנת בצורת, שאין מרחמים עליו, לא. אבל יכול לומר לו</w:t>
      </w:r>
      <w:r w:rsidRPr="00064A74">
        <w:t xml:space="preserve"> "</w:t>
      </w:r>
      <w:r w:rsidRPr="00064A74">
        <w:rPr>
          <w:rtl/>
        </w:rPr>
        <w:t>צא מעשה ידיך במזונותיך</w:t>
      </w:r>
      <w:r w:rsidRPr="00064A74">
        <w:t xml:space="preserve">", </w:t>
      </w:r>
      <w:r w:rsidRPr="00064A74">
        <w:rPr>
          <w:rtl/>
        </w:rPr>
        <w:t>אע"פ שאינן מספיקין (טור והתוס' והרא"ש והרשב"א)</w:t>
      </w:r>
    </w:p>
    <w:p w14:paraId="7FC2955B" w14:textId="7B84B36A" w:rsidR="00A94AC1" w:rsidRDefault="00A94AC1" w:rsidP="00A94AC1">
      <w:pPr>
        <w:pStyle w:val="Style1"/>
        <w:rPr>
          <w:rtl/>
        </w:rPr>
      </w:pPr>
      <w:r>
        <w:rPr>
          <w:rFonts w:hint="cs"/>
          <w:rtl/>
        </w:rPr>
        <w:t>5)[</w:t>
      </w:r>
      <w:r>
        <w:rPr>
          <w:rtl/>
        </w:rPr>
        <w:t>רמב</w:t>
      </w:r>
      <w:r w:rsidR="00213DA1">
        <w:rPr>
          <w:rtl/>
        </w:rPr>
        <w:t>”ם \נשים\</w:t>
      </w:r>
      <w:r>
        <w:rPr>
          <w:rtl/>
        </w:rPr>
        <w:t xml:space="preserve"> הלכות אישות פרק יט הלכה י</w:t>
      </w:r>
      <w:r>
        <w:rPr>
          <w:rFonts w:hint="cs"/>
          <w:rtl/>
        </w:rPr>
        <w:t xml:space="preserve">] </w:t>
      </w:r>
      <w:r>
        <w:rPr>
          <w:rtl/>
        </w:rPr>
        <w:t>ומתנאי כתובה שתהיינה הבנות ניזונות מנכסי אביהן אחר מותו עד שיתארסו או עד שיבגורו, בגרה הבת אף על פי שלא  נתארסה או נתארסה אף על פי שלא בגרה אין לה מזונות, ובת הניזונת מנכסי אביה לאחר מותו מעשה ידיה ומציאתה לעצמה לא לאחים.</w:t>
      </w:r>
    </w:p>
    <w:p w14:paraId="2DD7AFF9" w14:textId="51FFA213" w:rsidR="00A82943" w:rsidRDefault="00A82943" w:rsidP="00A82943">
      <w:pPr>
        <w:pStyle w:val="Style1"/>
        <w:rPr>
          <w:rtl/>
        </w:rPr>
      </w:pPr>
      <w:r>
        <w:rPr>
          <w:rFonts w:hint="cs"/>
          <w:rtl/>
        </w:rPr>
        <w:t>5)[</w:t>
      </w:r>
      <w:r>
        <w:rPr>
          <w:rtl/>
        </w:rPr>
        <w:t>רמב</w:t>
      </w:r>
      <w:r w:rsidR="005258D6">
        <w:rPr>
          <w:rtl/>
        </w:rPr>
        <w:t>”ם \קניין\</w:t>
      </w:r>
      <w:r>
        <w:rPr>
          <w:rtl/>
        </w:rPr>
        <w:t xml:space="preserve"> הלכות עבדים פרק ג הלכה טו</w:t>
      </w:r>
      <w:r>
        <w:rPr>
          <w:rFonts w:hint="cs"/>
          <w:rtl/>
        </w:rPr>
        <w:t xml:space="preserve">] </w:t>
      </w:r>
      <w:r>
        <w:rPr>
          <w:rtl/>
        </w:rPr>
        <w:t>אם ברח ופגע בו יובל כשהוא בורח ויצא לחירות אינו חייב להעניקו שנאמר וכי תשלחנו וגו', ענק עבד עברי לעצמו ואין בעל חוב גובה הימנו, וענק אמה העבריה וכן מציאתה לאביה, ואם מת אביה קודם שיבא לידו הרי הן של עצמה ואין לאחיה בהם כלום שאין אדם מוריש זכות שיש לו בבתו לבנו.</w:t>
      </w:r>
    </w:p>
    <w:p w14:paraId="556FAFE7" w14:textId="36F452A9" w:rsidR="00163352" w:rsidRDefault="00163352" w:rsidP="00163352">
      <w:pPr>
        <w:pStyle w:val="Style1"/>
        <w:rPr>
          <w:rtl/>
        </w:rPr>
      </w:pPr>
      <w:r>
        <w:rPr>
          <w:rFonts w:hint="cs"/>
          <w:rtl/>
        </w:rPr>
        <w:t>5)[</w:t>
      </w:r>
      <w:r>
        <w:rPr>
          <w:rtl/>
        </w:rPr>
        <w:t>שולחן ערוך אבן העזר הלכות כתובות סימן קיב סעיף ב</w:t>
      </w:r>
      <w:r>
        <w:rPr>
          <w:rFonts w:hint="cs"/>
          <w:rtl/>
        </w:rPr>
        <w:t xml:space="preserve">] </w:t>
      </w:r>
      <w:r>
        <w:rPr>
          <w:rtl/>
        </w:rPr>
        <w:t>בת הניזונת מנכסי אביה לאחר מותו, מעשה ידיה ומציאתה לעצמה.</w:t>
      </w:r>
    </w:p>
    <w:p w14:paraId="5613E2A1" w14:textId="2A57F669" w:rsidR="00722FA0" w:rsidRDefault="00722FA0" w:rsidP="00722FA0">
      <w:pPr>
        <w:pStyle w:val="Style1"/>
        <w:rPr>
          <w:rtl/>
        </w:rPr>
      </w:pPr>
      <w:r>
        <w:rPr>
          <w:rFonts w:hint="cs"/>
          <w:rtl/>
        </w:rPr>
        <w:t>6)[</w:t>
      </w:r>
      <w:r>
        <w:rPr>
          <w:rtl/>
        </w:rPr>
        <w:t>רמב</w:t>
      </w:r>
      <w:r w:rsidR="005258D6">
        <w:rPr>
          <w:rtl/>
        </w:rPr>
        <w:t>”ם \נזיקין\</w:t>
      </w:r>
      <w:r>
        <w:rPr>
          <w:rtl/>
        </w:rPr>
        <w:t xml:space="preserve"> הלכות חובל ומזיק פרק ד הלכה יד</w:t>
      </w:r>
      <w:r>
        <w:rPr>
          <w:rFonts w:hint="cs"/>
          <w:rtl/>
        </w:rPr>
        <w:t xml:space="preserve">] </w:t>
      </w:r>
      <w:r>
        <w:rPr>
          <w:rtl/>
        </w:rPr>
        <w:t>החובל בבת קטנה של אחרים, אם נזק הפוחת אותה מכספה הוא הרי הוא של אב וכן שבתה של אב שהרי מעשה ידיה וכסף מכירתה של אביה הוא, אבל צער ובושת וריפוי הרי הוא שלה וכן נזק שאינו פוחת אותה מכספה הרי הוא שלה, וכן החובל בבתו משלם לה צער ורפוי ובושת. /השגת הראב"ד/ וכן החובל בבתו משלם לה צער וריפוי ובושת. א"א דוקא בושת דחבלות אבל בושת דאונס ופתוי אינו חייב דהא אי בעי מסר לה למנוול ומוכה שחין, והכי איתא בכתובות.</w:t>
      </w:r>
    </w:p>
    <w:p w14:paraId="06F98F3B" w14:textId="418F3FE2" w:rsidR="00487045" w:rsidRPr="00487045" w:rsidRDefault="000F0C26" w:rsidP="00487045">
      <w:pPr>
        <w:pStyle w:val="Style1"/>
      </w:pPr>
      <w:r>
        <w:rPr>
          <w:rFonts w:hint="cs"/>
          <w:rtl/>
        </w:rPr>
        <w:t>6)[</w:t>
      </w:r>
      <w:r>
        <w:rPr>
          <w:rtl/>
        </w:rPr>
        <w:t>שולחן ערוך חושן משפט הלכות חובל בחבירו סימן תכד סעיף ו</w:t>
      </w:r>
      <w:r>
        <w:rPr>
          <w:rFonts w:hint="cs"/>
          <w:rtl/>
        </w:rPr>
        <w:t>]</w:t>
      </w:r>
      <w:r w:rsidR="00487045">
        <w:rPr>
          <w:rFonts w:hint="cs"/>
          <w:rtl/>
        </w:rPr>
        <w:t xml:space="preserve"> </w:t>
      </w:r>
      <w:r w:rsidR="00487045" w:rsidRPr="00487045">
        <w:rPr>
          <w:rtl/>
        </w:rPr>
        <w:t>החובל בבת קטנה של אחרים אם נזק הפוחת אותה מכספה הוא הרי הוא של האב וכן שבתה של אב שהרי מעשה ידיה וכסף מכירתה של אביה</w:t>
      </w:r>
    </w:p>
    <w:p w14:paraId="2EF88B9F" w14:textId="77777777" w:rsidR="00487045" w:rsidRPr="00487045" w:rsidRDefault="00487045" w:rsidP="00487045">
      <w:pPr>
        <w:pStyle w:val="Style1"/>
      </w:pPr>
      <w:r w:rsidRPr="00487045">
        <w:rPr>
          <w:rFonts w:hint="cs"/>
          <w:rtl/>
        </w:rPr>
        <w:t>(וי"א דוקא בסמוכה על שולחנו אבל אינה סמוכה על שלחנו היא שלה (טור בשם הרמב"ם) וי"א אפי' בסמוכה על שלחנו הוא שלה אם אחרים חבלו בה) (שם בשם הרא"ש)</w:t>
      </w:r>
    </w:p>
    <w:p w14:paraId="10112DA7" w14:textId="77777777" w:rsidR="00487045" w:rsidRPr="00487045" w:rsidRDefault="00487045" w:rsidP="00487045">
      <w:pPr>
        <w:pStyle w:val="Style1"/>
      </w:pPr>
      <w:r w:rsidRPr="00487045">
        <w:rPr>
          <w:rtl/>
        </w:rPr>
        <w:t>אבל צער וריפוי ובושת שלה וכן נזק שאינה פוחתה מכספה הרי הוא שלה וכן החובל בבתו משלם צער וריפוי ובושת</w:t>
      </w:r>
      <w:r w:rsidRPr="00487045">
        <w:t>:</w:t>
      </w:r>
    </w:p>
    <w:p w14:paraId="7E111FCE" w14:textId="77777777" w:rsidR="00487045" w:rsidRPr="00487045" w:rsidRDefault="00487045" w:rsidP="00487045">
      <w:pPr>
        <w:pStyle w:val="Style1"/>
        <w:rPr>
          <w:rFonts w:ascii="Arial" w:eastAsia="Times New Roman" w:hAnsi="Arial"/>
          <w:color w:val="202122"/>
          <w:sz w:val="21"/>
          <w:szCs w:val="21"/>
        </w:rPr>
      </w:pPr>
      <w:r w:rsidRPr="00487045">
        <w:rPr>
          <w:rFonts w:hint="cs"/>
          <w:rtl/>
        </w:rPr>
        <w:t>הגה: ונראה לי דוקא באינה סמוכה על שלחנו (ע' בד"מ) אבל סמוכה על שלחנו י"א דפטור (המ"מ לדעת הרמב"ם) וכמו שיתבאר בסמוך</w:t>
      </w:r>
      <w:r w:rsidRPr="00487045">
        <w:t>:</w:t>
      </w:r>
    </w:p>
    <w:p w14:paraId="51C70E03" w14:textId="77777777" w:rsidR="00487045" w:rsidRPr="00487045" w:rsidRDefault="00487045" w:rsidP="00487045">
      <w:pPr>
        <w:pStyle w:val="Style1"/>
      </w:pPr>
    </w:p>
    <w:p w14:paraId="7C09F714" w14:textId="71BEAB43" w:rsidR="000F0C26" w:rsidRPr="00064A74" w:rsidRDefault="000F0C26" w:rsidP="000F0C26">
      <w:pPr>
        <w:pStyle w:val="Style1"/>
      </w:pPr>
    </w:p>
    <w:p w14:paraId="51CCAB8D" w14:textId="77777777" w:rsidR="00064A74" w:rsidRPr="00064A74" w:rsidRDefault="00064A74" w:rsidP="00064A74">
      <w:pPr>
        <w:pStyle w:val="Style1"/>
      </w:pPr>
    </w:p>
    <w:p w14:paraId="56B18E85" w14:textId="6DE1DF81" w:rsidR="005440F3" w:rsidRPr="00954668" w:rsidRDefault="005440F3" w:rsidP="005440F3">
      <w:pPr>
        <w:pStyle w:val="Style1"/>
      </w:pPr>
    </w:p>
    <w:p w14:paraId="58D16817" w14:textId="77777777" w:rsidR="00954668" w:rsidRPr="00954668" w:rsidRDefault="00954668" w:rsidP="00954668">
      <w:pPr>
        <w:pStyle w:val="Style1"/>
      </w:pPr>
    </w:p>
    <w:p w14:paraId="294972C3" w14:textId="2C35FE2F" w:rsidR="004D5FBB" w:rsidRPr="007F5DC1" w:rsidRDefault="004D5FBB" w:rsidP="004D5FBB">
      <w:pPr>
        <w:pStyle w:val="Style1"/>
      </w:pPr>
    </w:p>
    <w:p w14:paraId="01B6BB06" w14:textId="77777777" w:rsidR="007F5DC1" w:rsidRPr="007F5DC1" w:rsidRDefault="007F5DC1" w:rsidP="007F5DC1">
      <w:pPr>
        <w:pStyle w:val="Style1"/>
      </w:pPr>
    </w:p>
    <w:p w14:paraId="5C737E83" w14:textId="24AB8CD2" w:rsidR="0086446F" w:rsidRPr="00D827FD" w:rsidRDefault="0086446F" w:rsidP="0086446F">
      <w:pPr>
        <w:pStyle w:val="Style1"/>
      </w:pPr>
    </w:p>
    <w:p w14:paraId="7AA35163" w14:textId="1579FDFB" w:rsidR="00F76404" w:rsidRPr="002E136D" w:rsidRDefault="00F76404" w:rsidP="00F76404">
      <w:pPr>
        <w:pStyle w:val="Style1"/>
        <w:rPr>
          <w:rStyle w:val="Style1Char"/>
        </w:rPr>
      </w:pPr>
    </w:p>
    <w:p w14:paraId="2D577A94" w14:textId="77777777" w:rsidR="000357F0" w:rsidRPr="002E136D" w:rsidRDefault="000357F0" w:rsidP="002E136D">
      <w:pPr>
        <w:pStyle w:val="Style1"/>
        <w:rPr>
          <w:rStyle w:val="Style1Char"/>
          <w:rtl/>
        </w:rPr>
      </w:pPr>
    </w:p>
    <w:p w14:paraId="100644C7" w14:textId="77777777" w:rsidR="000357F0" w:rsidRPr="002E136D" w:rsidRDefault="000357F0" w:rsidP="002E136D">
      <w:pPr>
        <w:pStyle w:val="Style1"/>
        <w:rPr>
          <w:rStyle w:val="Style1Char"/>
          <w:rtl/>
        </w:rPr>
      </w:pPr>
    </w:p>
    <w:p w14:paraId="5B8944EF" w14:textId="77777777" w:rsidR="000357F0" w:rsidRPr="002E136D" w:rsidRDefault="000357F0" w:rsidP="002E136D">
      <w:pPr>
        <w:pStyle w:val="Style1"/>
        <w:bidi w:val="0"/>
        <w:rPr>
          <w:rStyle w:val="Style1Char"/>
          <w:rtl/>
        </w:rPr>
      </w:pPr>
      <w:r w:rsidRPr="002E136D">
        <w:rPr>
          <w:rStyle w:val="Style1Char"/>
          <w:rtl/>
        </w:rPr>
        <w:br w:type="page"/>
      </w:r>
    </w:p>
    <w:p w14:paraId="3C2658F8" w14:textId="77777777" w:rsidR="000357F0" w:rsidRPr="002F2700" w:rsidRDefault="000357F0" w:rsidP="000357F0">
      <w:pPr>
        <w:bidi/>
        <w:rPr>
          <w:rStyle w:val="Style1Char"/>
          <w:color w:val="00B050"/>
        </w:rPr>
      </w:pPr>
      <w:r w:rsidRPr="002F2700">
        <w:rPr>
          <w:rStyle w:val="Style1Char"/>
          <w:color w:val="00B050"/>
          <w:sz w:val="22"/>
          <w:szCs w:val="22"/>
          <w:highlight w:val="yellow"/>
          <w:rtl/>
        </w:rPr>
        <w:lastRenderedPageBreak/>
        <w:t>[דף מג עמוד ב]</w:t>
      </w:r>
      <w:r w:rsidRPr="002F2700">
        <w:rPr>
          <w:rStyle w:val="Style1Char"/>
          <w:color w:val="00B050"/>
          <w:sz w:val="22"/>
          <w:szCs w:val="22"/>
          <w:rtl/>
        </w:rPr>
        <w:t xml:space="preserve"> </w:t>
      </w:r>
      <w:r w:rsidRPr="002F2700">
        <w:rPr>
          <w:rStyle w:val="Style1Char"/>
          <w:color w:val="00B050"/>
          <w:rtl/>
        </w:rPr>
        <w:t xml:space="preserve">שפצעה בפניה. אמר רב זירא אמר רב מתנה אמר רב, ואמרי לה אמר רבי זירא א"ר מתנה אמר רב: בת הניזונת מן האחין - מעשה ידיה לעצמה, דכתיב: והתנחלתם אותם לבניכם אחריכם, אותם לבניכם - ולא בנותיכם לבניכם, מגיד שאין אדם מוריש זכות בתו לבנו. א"ל אבימי בר פפי: שקוד אמרה. שקוד מנו? שמואל, הא רב אמרה! אימא: אף שקוד אמרה. אמר מר בר אמימר לרב אשי, הכי אמרי נהרדעי: הלכתא כוותיה דרב ששת. רב אשי אמר: הלכתא כוותיה דרב. והלכתא כוותיה דרב. </w:t>
      </w:r>
    </w:p>
    <w:p w14:paraId="262FFB43" w14:textId="5369A413" w:rsidR="000357F0" w:rsidRPr="00325BA7" w:rsidRDefault="000357F0" w:rsidP="000357F0">
      <w:pPr>
        <w:bidi/>
        <w:rPr>
          <w:rStyle w:val="Style1Char"/>
          <w:color w:val="auto"/>
          <w:sz w:val="22"/>
          <w:szCs w:val="22"/>
        </w:rPr>
      </w:pPr>
      <w:r w:rsidRPr="00325BA7">
        <w:rPr>
          <w:rStyle w:val="Style1Char"/>
          <w:color w:val="auto"/>
          <w:sz w:val="22"/>
          <w:szCs w:val="22"/>
          <w:rtl/>
        </w:rPr>
        <w:t xml:space="preserve">מתני'. </w:t>
      </w:r>
      <w:r w:rsidR="00893798">
        <w:rPr>
          <w:rStyle w:val="Style1Char"/>
          <w:rFonts w:hint="cs"/>
          <w:rtl/>
        </w:rPr>
        <w:t>(1)</w:t>
      </w:r>
      <w:r w:rsidRPr="00325BA7">
        <w:rPr>
          <w:rStyle w:val="Style1Char"/>
          <w:color w:val="auto"/>
          <w:sz w:val="22"/>
          <w:szCs w:val="22"/>
          <w:rtl/>
        </w:rPr>
        <w:t xml:space="preserve">המארס את בתו וגרשה, אירסה ונתארמלה - כתובתה שלו; השיאה וגרשה, השיאה ונתארמלה - כתובתה שלה; ר' יהודה אומר: הראשונה של אב, אמרו לו: </w:t>
      </w:r>
      <w:r w:rsidR="00A84FFD">
        <w:rPr>
          <w:rStyle w:val="Style1Char"/>
          <w:rFonts w:hint="cs"/>
          <w:rtl/>
        </w:rPr>
        <w:t>(2)</w:t>
      </w:r>
      <w:r w:rsidRPr="00325BA7">
        <w:rPr>
          <w:rStyle w:val="Style1Char"/>
          <w:color w:val="auto"/>
          <w:sz w:val="22"/>
          <w:szCs w:val="22"/>
          <w:rtl/>
        </w:rPr>
        <w:t xml:space="preserve">משהשיאה אין לאביה רשות בה. </w:t>
      </w:r>
    </w:p>
    <w:p w14:paraId="19C6F2AA" w14:textId="7931DB6B" w:rsidR="000357F0" w:rsidRPr="002F2700" w:rsidRDefault="000357F0" w:rsidP="000357F0">
      <w:pPr>
        <w:bidi/>
        <w:rPr>
          <w:rStyle w:val="Style1Char"/>
          <w:color w:val="00B050"/>
        </w:rPr>
      </w:pPr>
      <w:r w:rsidRPr="00C8123C">
        <w:rPr>
          <w:rStyle w:val="Style1Char"/>
          <w:color w:val="auto"/>
          <w:sz w:val="22"/>
          <w:szCs w:val="22"/>
          <w:rtl/>
        </w:rPr>
        <w:t xml:space="preserve">גמ'. טעמא דהשיאה וגרשה, השיאה ונתארמלה, </w:t>
      </w:r>
      <w:r w:rsidR="00A550E2">
        <w:rPr>
          <w:rStyle w:val="Style1Char"/>
          <w:rFonts w:hint="cs"/>
          <w:rtl/>
        </w:rPr>
        <w:t>(3)</w:t>
      </w:r>
      <w:r w:rsidRPr="00C8123C">
        <w:rPr>
          <w:rStyle w:val="Style1Char"/>
          <w:color w:val="auto"/>
          <w:sz w:val="22"/>
          <w:szCs w:val="22"/>
          <w:rtl/>
        </w:rPr>
        <w:t xml:space="preserve">אבל נתארמלה תרי זמני - תו לא </w:t>
      </w:r>
      <w:r w:rsidRPr="00C81021">
        <w:rPr>
          <w:rStyle w:val="Style1Char"/>
          <w:color w:val="4472C4" w:themeColor="accent1"/>
          <w:rtl/>
        </w:rPr>
        <w:t xml:space="preserve">שריא </w:t>
      </w:r>
      <w:r w:rsidRPr="00C8123C">
        <w:rPr>
          <w:rStyle w:val="Style1Char"/>
          <w:sz w:val="22"/>
          <w:szCs w:val="22"/>
          <w:rtl/>
        </w:rPr>
        <w:t xml:space="preserve">חזיא </w:t>
      </w:r>
      <w:r w:rsidRPr="00C8123C">
        <w:rPr>
          <w:rStyle w:val="Style1Char"/>
          <w:color w:val="auto"/>
          <w:sz w:val="22"/>
          <w:szCs w:val="22"/>
          <w:rtl/>
        </w:rPr>
        <w:t>לאינסובי</w:t>
      </w:r>
      <w:r w:rsidRPr="008F4531">
        <w:rPr>
          <w:rStyle w:val="Style1Char"/>
          <w:color w:val="4472C4" w:themeColor="accent1"/>
          <w:rtl/>
        </w:rPr>
        <w:t xml:space="preserve"> </w:t>
      </w:r>
      <w:r w:rsidRPr="00C81021">
        <w:rPr>
          <w:rStyle w:val="Style1Char"/>
          <w:color w:val="4472C4" w:themeColor="accent1"/>
          <w:rtl/>
        </w:rPr>
        <w:t>ולא ניחא ליה לתנא לאשתעויי בקלקולא דאשה שאסורה לינשא וי"מ דלהכי לא תני נתארמלה תרי זימני מפני שאין לה כתובה מן השני דאיגלאי מילתא למפרע דקטלנית היא. וכן היה אומר ה"ר משה ב"ר יהודה ז"ל מנרבונ"א דאין לה כתובה מן השני משום דכיון דלא שריא לאנסובי לא קרינא ביה לכשתנשאי לאחר תטלי מה שכתוב ליכי וליתא להך פירושא דודאי מן השני יש לה כתובה אף על גב דאיגלאי מילתא למפרע דקטלנית היא דכהאי גוונא אמר בפרק הבא על יבמתו (דף סה א) נישאת לראשון ולא היה לו בנים לשני ולא היה לו בנים לשלישי לא תינשא אלא למי שיש לו בנים ואם נישאת תצא בלא כתובה ומשמע הא משני היה לה כתובה ועוד מדקאמר התם נישאת לשלישי ולא היו לו בנים מהו דלתבעוה הנך קמאי אלמא תרי קמאי נתנו לה כתובה אלמא אף על גב דסבר הך תנא כרבי דבתרי זימני הוי חזקה מדקאמר לשלישי לא תנשא אפ"ה יש לה כתובה מן השני וטעמא כדפרישית התם משום דלענין ממון לא סמכינן אחזקה דתרי זימני עד דאיתחזק בג' כדאשכחן בשור המועד דלכ"ע לא איתחזק עד תלתא זימני. ומה שאמר ה"ר משה ז"ל משום דלא קרינן ביה לכשתנשאי לאחר האי טעמא ליתא דכיון דקדושין תופסין בה וגם אם נישאת אין כופין אותו להוציא קרינא ביה לכשתנשאי לאחר</w:t>
      </w:r>
      <w:r>
        <w:rPr>
          <w:rStyle w:val="Style1Char"/>
          <w:rFonts w:hint="cs"/>
          <w:color w:val="4472C4" w:themeColor="accent1"/>
        </w:rPr>
        <w:t>‍</w:t>
      </w:r>
      <w:r w:rsidRPr="00C81021">
        <w:rPr>
          <w:rStyle w:val="Style1Char"/>
          <w:color w:val="4472C4" w:themeColor="accent1"/>
          <w:rtl/>
        </w:rPr>
        <w:t xml:space="preserve"> ודוקא גבי יבם הוא דאמרינן כיון דמחמת זיקתו אסור לינשא לא קרינא ביה לכשתנשאי לאחר הלכך מן השני יש לה כתובה ומן השלישי אם לא הכיר בה אין לה כתובה ואם הכיר בה יש לה כתובה.</w:t>
      </w:r>
      <w:r>
        <w:rPr>
          <w:rStyle w:val="Style1Char"/>
          <w:rFonts w:hint="cs"/>
          <w:color w:val="4472C4" w:themeColor="accent1"/>
        </w:rPr>
        <w:t>‍</w:t>
      </w:r>
      <w:r w:rsidRPr="00C81021">
        <w:rPr>
          <w:rStyle w:val="Style1Char"/>
          <w:color w:val="4472C4" w:themeColor="accent1"/>
          <w:rtl/>
        </w:rPr>
        <w:t xml:space="preserve"> ויראה שכופין אותו להוציא דחמירא סכנתא מאיסורא וכמו שמחויבין ב"ד להפריש את האדם מן העבירה</w:t>
      </w:r>
      <w:r>
        <w:rPr>
          <w:rStyle w:val="Style1Char"/>
          <w:rFonts w:hint="cs"/>
          <w:color w:val="4472C4" w:themeColor="accent1"/>
        </w:rPr>
        <w:t>‍</w:t>
      </w:r>
      <w:r w:rsidRPr="00C81021">
        <w:rPr>
          <w:rStyle w:val="Style1Char"/>
          <w:color w:val="4472C4" w:themeColor="accent1"/>
          <w:rtl/>
        </w:rPr>
        <w:t xml:space="preserve"> כך מחויבין להפרישו שלא יפשע בנפשו וסתם לן תנא כרבי דאמר בתרי זימני הוי חזקה וכן הלכתא כדאמרינן בפ' הבא על יבמתו (דף סד ב) נישואין ומלקות כרבי וסתות ושור המועד כרשב"ג</w:t>
      </w:r>
    </w:p>
    <w:p w14:paraId="00581584" w14:textId="77777777" w:rsidR="000357F0" w:rsidRDefault="000357F0" w:rsidP="000357F0">
      <w:pPr>
        <w:bidi/>
        <w:rPr>
          <w:rStyle w:val="Style1Char"/>
          <w:color w:val="C00000"/>
        </w:rPr>
      </w:pPr>
      <w:r w:rsidRPr="00873E6B">
        <w:rPr>
          <w:rStyle w:val="Style1Char"/>
          <w:sz w:val="22"/>
          <w:szCs w:val="22"/>
          <w:rtl/>
        </w:rPr>
        <w:t>,</w:t>
      </w:r>
      <w:r w:rsidRPr="002F2700">
        <w:rPr>
          <w:rStyle w:val="Style1Char"/>
          <w:color w:val="00B050"/>
          <w:rtl/>
        </w:rPr>
        <w:t xml:space="preserve"> ואגב אורחיה </w:t>
      </w:r>
      <w:r w:rsidRPr="00825E1A">
        <w:rPr>
          <w:rStyle w:val="Style1Char"/>
          <w:sz w:val="22"/>
          <w:szCs w:val="22"/>
          <w:rtl/>
        </w:rPr>
        <w:t xml:space="preserve">קא סתים לן תנא כרבי, דאמר: בתרי זמני הויא חזקה. </w:t>
      </w:r>
      <w:r w:rsidRPr="001D4E59">
        <w:rPr>
          <w:rStyle w:val="Style1Char"/>
          <w:color w:val="C00000"/>
          <w:rtl/>
        </w:rPr>
        <w:t>וכן הלכתא דגרסינן פרק הבא על יבמתו [יבמות ס"ד ע"ב] נשואין ומלקיות כרבי וסתות ושור המועד כרבן שמעון בן]גמליאל נשואין הא דאמרן מלקיות דתנן [סנהדרין פ"א ע"ב] מי שלקה ושנה בית דין כונסין אותו לכיפה ומאכילין אותו שעורין עד שכריסו נבקעת וסתות דתנן [נדה ס"ג ע"ב] אין האשה קובעת לה וסת עד שתקבענה ג' פעמים ואינה מטהרת לה מן הווסת עד שתעקר ממנה שלשה פעמים שור המועד דתנן [בבא - קמא כ"ג ע"ב] איזהו מועד כל שהעידו בו שלשה ימים:</w:t>
      </w:r>
    </w:p>
    <w:p w14:paraId="4E3E0D71" w14:textId="77777777" w:rsidR="000357F0" w:rsidRDefault="000357F0" w:rsidP="000357F0">
      <w:pPr>
        <w:bidi/>
        <w:rPr>
          <w:rStyle w:val="Style1Char"/>
          <w:color w:val="4472C4" w:themeColor="accent1"/>
        </w:rPr>
      </w:pPr>
      <w:r w:rsidRPr="002F2700">
        <w:rPr>
          <w:rStyle w:val="Style1Char"/>
          <w:color w:val="00B050"/>
          <w:rtl/>
        </w:rPr>
        <w:t>רבי יהודה אומר: הראשונה של אב. מ"ט דרבי יהודה? רבה ורב יוסף דאמרי תרוייהו: הואיל ומשעת אירוסין זכה בהן האב. מתיב רבא, רבי יהודה אומר: הראשונה של אב, ומודה רבי יהודה, במארס את בתו כשהיא קטנה ובגרה ואח"כ נשאת, שאין לאביה רשות בה; אמאי? ה"נ לימא: הואיל ומשעת אירוסין זכה בהן האב! אלא אי אתמר הכי אתמר, רבה ורב יוסף דאמרי תרוייהו: הואיל וברשותו נכתבין</w:t>
      </w:r>
      <w:r w:rsidRPr="00F8380A">
        <w:rPr>
          <w:rStyle w:val="Style1Char"/>
          <w:color w:val="C00000"/>
          <w:rtl/>
        </w:rPr>
        <w:t xml:space="preserve"> </w:t>
      </w:r>
      <w:r w:rsidRPr="00F8380A">
        <w:rPr>
          <w:rStyle w:val="Style1Char"/>
          <w:color w:val="C00000"/>
          <w:sz w:val="22"/>
          <w:szCs w:val="22"/>
          <w:rtl/>
        </w:rPr>
        <w:t>כתובתה שלה:</w:t>
      </w:r>
      <w:r w:rsidRPr="002F2700">
        <w:rPr>
          <w:rStyle w:val="Style1Char"/>
          <w:color w:val="00B050"/>
          <w:rtl/>
        </w:rPr>
        <w:t xml:space="preserve">. </w:t>
      </w:r>
      <w:r w:rsidRPr="002078C1">
        <w:rPr>
          <w:rStyle w:val="Style1Char"/>
          <w:color w:val="auto"/>
          <w:sz w:val="22"/>
          <w:szCs w:val="22"/>
          <w:rtl/>
        </w:rPr>
        <w:t xml:space="preserve">ומיגבא מאימת גביא? </w:t>
      </w:r>
      <w:r w:rsidRPr="00C81021">
        <w:rPr>
          <w:rStyle w:val="Style1Char"/>
          <w:color w:val="4472C4" w:themeColor="accent1"/>
          <w:rtl/>
        </w:rPr>
        <w:t>פרש"י לענין זכיית האב חזינן דלאו בתר ארוסין אזלינן אפי' לר' יהודה כדקתני ומודה ר"י במארס את בתו ובגרה וכו' אלמא בתר כתיבה אזלינן. לענין מיטרף לקוחות מאימת טרפא ממשעבדי משעת אירוסין דהא מההיא שעתא מחייב בתקנתא דרבנן או דלמא עד שעת כתיבה דהויא מלוה בשטר לא טרפא</w:t>
      </w:r>
      <w:r>
        <w:rPr>
          <w:rStyle w:val="Style1Char"/>
          <w:rFonts w:hint="cs"/>
          <w:color w:val="4472C4" w:themeColor="accent1"/>
        </w:rPr>
        <w:t>‍</w:t>
      </w:r>
      <w:r w:rsidRPr="00C81021">
        <w:rPr>
          <w:rStyle w:val="Style1Char"/>
          <w:color w:val="4472C4" w:themeColor="accent1"/>
          <w:rtl/>
        </w:rPr>
        <w:t xml:space="preserve"> וקשה לפירושו דמאי שייכא האי בעיא למיבעי הכא בכולה הש"ס מצי למיבעי זמן טריפת כתובת אירוסין דהיינו מנה ומאתים מאימתי. ועוד מדנקט מאימת גביא משמע דמבעי ליה בנשואה אם גובה ממשעבדי מן האירוסין או מן הנשואין</w:t>
      </w:r>
      <w:r>
        <w:rPr>
          <w:rStyle w:val="Style1Char"/>
          <w:rFonts w:hint="cs"/>
          <w:color w:val="4472C4" w:themeColor="accent1"/>
        </w:rPr>
        <w:t>‍</w:t>
      </w:r>
      <w:r w:rsidRPr="00C81021">
        <w:rPr>
          <w:rStyle w:val="Style1Char"/>
          <w:color w:val="4472C4" w:themeColor="accent1"/>
          <w:rtl/>
        </w:rPr>
        <w:t xml:space="preserve"> ליבעי ארוסה שנתגרשה או שנתארמלה אי טרפא ממשעבדי או לא. ונראה לפרש דדוקא אהך מילתא דר"י שייך למבעי הך בעיא דקתני ומודה רבי יהודה במארס את בתו כשהיא קטנה ובגרה ואח"כ נישאת שאין לאביה זכות בה</w:t>
      </w:r>
      <w:r>
        <w:rPr>
          <w:rStyle w:val="Style1Char"/>
          <w:rFonts w:hint="cs"/>
          <w:color w:val="4472C4" w:themeColor="accent1"/>
        </w:rPr>
        <w:t>‍</w:t>
      </w:r>
      <w:r w:rsidRPr="00C81021">
        <w:rPr>
          <w:rStyle w:val="Style1Char"/>
          <w:color w:val="4472C4" w:themeColor="accent1"/>
          <w:rtl/>
        </w:rPr>
        <w:t xml:space="preserve"> ומפרש טעמא משום דלא נכתבה ברשותו ומספקא ליה בטעמיה דרבי יהודה אי טעמיה דמודה דאין לאביה רשות בה משום</w:t>
      </w:r>
      <w:r>
        <w:rPr>
          <w:rStyle w:val="Style1Char"/>
          <w:rFonts w:hint="cs"/>
          <w:color w:val="4472C4" w:themeColor="accent1"/>
        </w:rPr>
        <w:t>‍</w:t>
      </w:r>
      <w:r w:rsidRPr="00C81021">
        <w:rPr>
          <w:rStyle w:val="Style1Char"/>
          <w:color w:val="4472C4" w:themeColor="accent1"/>
          <w:rtl/>
        </w:rPr>
        <w:t xml:space="preserve"> דמסתמא כל אשה בשעת כתיבת כתובתה בשעת נישואין היא מוחלת לזכיה קמייתא ושעבודא דאירוסין מדכתבה למנה מאתים בהדי תוספת דהשתא ואינה מקפדת לכותבו משעת אירוסין ש"מ מחלה לשעבודא קמא לגמרי הלכך היא גופא לא גביא מידי ולאביה נמי אין לו זכיה בה. והא לא תקשי לך הואיל ואם לא היתה מוחלת היה האב זוכה היאך יכולה היא למחול זכות האב די"ל דתקנתא דרבנן בעלמא היא מה שזוכה בה כיון דאין הגביה ברשותו ולא תקינו רבנן אלא כשלא מחלה בתו או דלמא טעמא דר' יהודה דאמר דלית ליה זכיה לאביה לאו משום דמחלה לזכיה קמא לשעבודא אלא משום דלא תקינו ליה חכמים זכיה כלל אלא כשנכתבה ברשותו דאז אלים כחו דקצת כגבוי דמי ולעולם לא מחלה וא"כ יכולה היא לגבות מזמן ראשון ותפשוט מינה דבכ"מ גובה מזמן ראשון.</w:t>
      </w:r>
      <w:r>
        <w:rPr>
          <w:rStyle w:val="Style1Char"/>
          <w:rFonts w:hint="cs"/>
          <w:color w:val="4472C4" w:themeColor="accent1"/>
        </w:rPr>
        <w:t>‍</w:t>
      </w:r>
      <w:r w:rsidRPr="00C81021">
        <w:rPr>
          <w:rStyle w:val="Style1Char"/>
          <w:color w:val="4472C4" w:themeColor="accent1"/>
          <w:rtl/>
        </w:rPr>
        <w:t xml:space="preserve"> אבל הא לא מיבעיא ליה להש"ס דארוסה אי טרפא ממשעבדי או לא דהואיל וקים ליה דאית לה כתובה בדלא כתב לה כדפריש' והינו בתנאי ב"ד אם כן אמאי לא תטרוף ממשעבדי כמו מן הנשואין היכא דלא כתבינן וכ"ת התם נמי מספקא ליה א"כ ליבעי נמי מן הנשואין אלא ודאי מן הנשואין פשיטא דטרפא ממשעבדי אף על גב דלא כתב לה דכיון דאית לה בתנאי ב"ד כמלוה שטר דמיא ומספקא ליה מן האירוסין מהני טעמי דפרשי'. </w:t>
      </w:r>
    </w:p>
    <w:p w14:paraId="3D969380" w14:textId="41D78908" w:rsidR="000357F0" w:rsidRDefault="000357F0" w:rsidP="000357F0">
      <w:pPr>
        <w:bidi/>
        <w:rPr>
          <w:rStyle w:val="Style1Char"/>
          <w:color w:val="00B050"/>
          <w:rtl/>
        </w:rPr>
      </w:pPr>
      <w:r w:rsidRPr="003773EC">
        <w:rPr>
          <w:rStyle w:val="Style1Char"/>
          <w:color w:val="auto"/>
          <w:sz w:val="22"/>
          <w:szCs w:val="22"/>
          <w:rtl/>
        </w:rPr>
        <w:t>אמר רב הונא: מנה מאתים מן האירוסין, ותוספת מן הנשואין</w:t>
      </w:r>
      <w:r w:rsidRPr="003773EC">
        <w:rPr>
          <w:rStyle w:val="Style1Char"/>
          <w:color w:val="4472C4" w:themeColor="accent1"/>
          <w:rtl/>
        </w:rPr>
        <w:t xml:space="preserve"> </w:t>
      </w:r>
      <w:r w:rsidRPr="00C81021">
        <w:rPr>
          <w:rStyle w:val="Style1Char"/>
          <w:color w:val="4472C4" w:themeColor="accent1"/>
          <w:rtl/>
        </w:rPr>
        <w:t>משום דלא מחלה לשעבודא קמא</w:t>
      </w:r>
      <w:r w:rsidRPr="003773EC">
        <w:rPr>
          <w:rStyle w:val="Style1Char"/>
          <w:color w:val="auto"/>
          <w:sz w:val="22"/>
          <w:szCs w:val="22"/>
          <w:rtl/>
        </w:rPr>
        <w:t>;</w:t>
      </w:r>
      <w:r w:rsidRPr="00F8380A">
        <w:rPr>
          <w:rStyle w:val="Style1Char"/>
          <w:sz w:val="22"/>
          <w:szCs w:val="22"/>
          <w:rtl/>
        </w:rPr>
        <w:t xml:space="preserve"> </w:t>
      </w:r>
      <w:r w:rsidRPr="003773EC">
        <w:rPr>
          <w:rStyle w:val="Style1Char"/>
          <w:color w:val="auto"/>
          <w:sz w:val="22"/>
          <w:szCs w:val="22"/>
          <w:rtl/>
        </w:rPr>
        <w:t xml:space="preserve">ורב </w:t>
      </w:r>
      <w:r w:rsidRPr="003773EC">
        <w:rPr>
          <w:rStyle w:val="Style1Char"/>
          <w:color w:val="ED7D31" w:themeColor="accent2"/>
          <w:rtl/>
        </w:rPr>
        <w:t xml:space="preserve">אסי </w:t>
      </w:r>
      <w:r w:rsidRPr="00F8380A">
        <w:rPr>
          <w:rStyle w:val="Style1Char"/>
          <w:color w:val="C00000"/>
          <w:sz w:val="22"/>
          <w:szCs w:val="22"/>
          <w:rtl/>
        </w:rPr>
        <w:t xml:space="preserve">אשי </w:t>
      </w:r>
      <w:r w:rsidRPr="003773EC">
        <w:rPr>
          <w:rStyle w:val="Style1Char"/>
          <w:color w:val="auto"/>
          <w:sz w:val="22"/>
          <w:szCs w:val="22"/>
          <w:rtl/>
        </w:rPr>
        <w:t>אמר</w:t>
      </w:r>
      <w:r w:rsidRPr="003773EC">
        <w:rPr>
          <w:rStyle w:val="Style1Char"/>
          <w:color w:val="auto"/>
          <w:rtl/>
        </w:rPr>
        <w:t xml:space="preserve">: </w:t>
      </w:r>
      <w:r w:rsidR="00C400BF">
        <w:rPr>
          <w:rStyle w:val="Style1Char"/>
          <w:rFonts w:hint="cs"/>
          <w:rtl/>
        </w:rPr>
        <w:t>(4)</w:t>
      </w:r>
      <w:r w:rsidRPr="003773EC">
        <w:rPr>
          <w:rStyle w:val="Style1Char"/>
          <w:color w:val="auto"/>
          <w:sz w:val="22"/>
          <w:szCs w:val="22"/>
          <w:rtl/>
        </w:rPr>
        <w:t>אחד זה ואחד זה מן הנשואין</w:t>
      </w:r>
      <w:r w:rsidRPr="00C8522B">
        <w:rPr>
          <w:rStyle w:val="Style1Char"/>
          <w:color w:val="4472C4" w:themeColor="accent1"/>
          <w:rtl/>
        </w:rPr>
        <w:t xml:space="preserve"> </w:t>
      </w:r>
      <w:r w:rsidRPr="00C81021">
        <w:rPr>
          <w:rStyle w:val="Style1Char"/>
          <w:color w:val="4472C4" w:themeColor="accent1"/>
          <w:rtl/>
        </w:rPr>
        <w:t>ולדברי המפרשים דארוסה אין לה כתובה מפרשים הכא בדכתב לה מן האירוסין וכן פי' ר"ח דמיירי בדכתב לה מן האירוסין מנה או מאתים וכתב לה בשעת נשואין ואוסיפת לך כך וכך אמנה או מאתים ואפ"ה קאמר רב אסי דאינה גובה מנה ומאתים אלא מן הנשואין דקסבר דכיון שהזכיר המנה והמאתים עם התוספת בשטר הכתובה מחלה שיעבודא הנכתב לה מן האירוסין. ומילתא דתמיה היא דבשלמא היכא דלא כתב לה אף על גב דגביא ממשעבדי בתנאי ב"ד מ"מ איכא למימר בשעת הנשואין כשכתב לה הבעל כתובתה וכלל המנה ומאתים עם התוספת ולא הקפידה לכתוב זמן מנה ומאתים מן האירוסין מחלה אותו שיעבוד שהיה לה בעל פה כדי שיכתבו לה עתה בשטר עם התוספת ותגבה הכל מזמן הכתיבה אבל היכא דכתב לה למה תמחול שיעבוד שטר שבידה במה שנכלל המנה והמאתים עם התוספת אין זה הוכחה שמחלה כי אי אפשר לכתוב בענין אחר כי כן דרך להוסיף על עיקר כתובתה וכן כתב רב שרירא דאם כתב לה כתובה מן האירוסין ונתארמלה או נתגרשה לא טרפא ממשעבדי ואם נשאת לא טרפה מנה ומאתים אלא משעת נשואין וכן כתב הרמב"ם ז"ל (פ"י מהל' אישות) המארס את האשה וכתב לה כתובה ומת או גירשה גובה עיקר מבני חרי ואינה גובה תוספת כלל. וכל אלו דברים תמוהין הן דמ"ש שטר כתובה משאר שטרות שלא תטרוף בו ממשעבדי ועוד דקאמר ראב"ע (לקמן דף נד א) מן הנשואין גובה הכל מן האירוסין בתולה מאתים ואלמנה מנה משמע דגובה מנה ומאתים מן האירוסין ממשעבדי כי היכי דגובה הכל מן הנישואין ממשעבדי. ואפי' לא כתב לה בכתובת אירוסין אחריות הא קי"ל אחריות טעות סופר הוא אף בכתובה דהא בכתובה נחלקו ר"מ ורבנן (לקמן נא א) אי אמרינן אחריות טעות סופר הוא אם לאו. וה"ר יונה ז"ל דחק ליישב דברי הגאונים דאיירי בשלא כתב לה אחריות והא דפליגי באחריות טעות סופר הוא בכתובה היינו כשנכתבה בנישואין דתקנת שמעון בן שטח שיהו כל הנכסים אחראין וערבאין לכתובה בנשואין תיקן בזה נחלקו ר"מ ורבנן רבנן סברי כיון שתיקן שמעון בן שטח שיהא כותב לה כל נכסיו אחראין וערבאין לכתובה אף על פי שלא כתב כמאן דכתב דמי ור"מ סבר נהי דתיקן לכתוב אם לא כתב לא אמרינן טעות סופר הוא ולא פליגי אלא בנשואין שבזה היתה התקנה אבל כתב לה כתובה מן האירוסין אף רבנן מודו דלא אמרינן אחריות טעות סופר הוא.</w:t>
      </w:r>
      <w:r w:rsidRPr="00273548">
        <w:rPr>
          <w:rStyle w:val="Style1Char"/>
          <w:sz w:val="22"/>
          <w:szCs w:val="22"/>
          <w:rtl/>
        </w:rPr>
        <w:t xml:space="preserve">. </w:t>
      </w:r>
      <w:r w:rsidRPr="002F2700">
        <w:rPr>
          <w:rStyle w:val="Style1Char"/>
          <w:color w:val="00B050"/>
          <w:rtl/>
        </w:rPr>
        <w:t xml:space="preserve">ומי אמר רב הונא הכי? והאתמר: הוציאה עליו שתי כתובות, אחת של מאתים ואחת של שלש מאות, ואמר רב הונא: באתה לגבות מאתים - גובה מזמן ראשון, שלש מאות - גובה מזמן שני; ואם איתא, תיגבי מאתים מזמן ראשון ומאה מזמן שני! ולטעמיך, תיגבי חמש מאות כולם, מאתים מזמן ראשון, תלת מאה מזמן שני! אלא חמש מאות מ"ט לא גביא? כיון דלא כתב לה צביתי ואוסיפית לך תלת מאה אמאתים, הכי קאמר לה: אי מזמן ראשון גביאת - גביא מאתים, אי מזמן שני גביאת - גביא תלת מאה, </w:t>
      </w:r>
    </w:p>
    <w:p w14:paraId="1EEC7A91" w14:textId="3EE8AF99" w:rsidR="00A84FFD" w:rsidRDefault="006B2F82" w:rsidP="006B2F82">
      <w:pPr>
        <w:pStyle w:val="Style1"/>
        <w:rPr>
          <w:rStyle w:val="Style1Char"/>
          <w:rtl/>
        </w:rPr>
      </w:pPr>
      <w:r>
        <w:rPr>
          <w:rStyle w:val="Style1Char"/>
          <w:rFonts w:hint="cs"/>
          <w:rtl/>
        </w:rPr>
        <w:lastRenderedPageBreak/>
        <w:t>1)[</w:t>
      </w:r>
      <w:r w:rsidR="00A84FFD" w:rsidRPr="00A84FFD">
        <w:rPr>
          <w:rStyle w:val="Style1Char"/>
          <w:rtl/>
        </w:rPr>
        <w:t>רמב</w:t>
      </w:r>
      <w:r w:rsidR="00213DA1">
        <w:rPr>
          <w:rStyle w:val="Style1Char"/>
          <w:rtl/>
        </w:rPr>
        <w:t>”ם \נשים\</w:t>
      </w:r>
      <w:r w:rsidR="00A84FFD" w:rsidRPr="00A84FFD">
        <w:rPr>
          <w:rStyle w:val="Style1Char"/>
          <w:rtl/>
        </w:rPr>
        <w:t xml:space="preserve"> הלכות אישות פרק ג הלכה א</w:t>
      </w:r>
      <w:r>
        <w:rPr>
          <w:rStyle w:val="Style1Char"/>
          <w:rFonts w:hint="cs"/>
          <w:rtl/>
        </w:rPr>
        <w:t xml:space="preserve">] </w:t>
      </w:r>
      <w:r w:rsidR="00A84FFD" w:rsidRPr="00A84FFD">
        <w:rPr>
          <w:rStyle w:val="Style1Char"/>
          <w:rtl/>
        </w:rPr>
        <w:t>כיצד האשה מתקדשת, אם בכסף הוא מקדש אין פחות מפרוטה כסף או א שוה פרוטה, אומר לה הרי את מקודשת לי, או הרי את מאורסת לי, או הרי את לי לאשה בזה, ונותנן לה בפני עדים, והאיש הוא שאומר דברים שמשמען שקונה אותה לו לאשה והוא שיתן לה הכסף.</w:t>
      </w:r>
    </w:p>
    <w:p w14:paraId="78DD6192" w14:textId="07C6B92D" w:rsidR="00960FB6" w:rsidRDefault="006B2F82" w:rsidP="006B2F82">
      <w:pPr>
        <w:pStyle w:val="Style1"/>
        <w:rPr>
          <w:rStyle w:val="Style1Char"/>
          <w:rtl/>
        </w:rPr>
      </w:pPr>
      <w:r>
        <w:rPr>
          <w:rStyle w:val="Style1Char"/>
          <w:rFonts w:hint="cs"/>
          <w:rtl/>
        </w:rPr>
        <w:t>1)[</w:t>
      </w:r>
      <w:r w:rsidR="00960FB6" w:rsidRPr="00960FB6">
        <w:rPr>
          <w:rStyle w:val="Style1Char"/>
          <w:rtl/>
        </w:rPr>
        <w:t>רמב</w:t>
      </w:r>
      <w:r w:rsidR="00213DA1">
        <w:rPr>
          <w:rStyle w:val="Style1Char"/>
          <w:rtl/>
        </w:rPr>
        <w:t>”ם \נשים\</w:t>
      </w:r>
      <w:r w:rsidR="00960FB6" w:rsidRPr="00960FB6">
        <w:rPr>
          <w:rStyle w:val="Style1Char"/>
          <w:rtl/>
        </w:rPr>
        <w:t xml:space="preserve"> הלכות אישות פרק י הלכה יא</w:t>
      </w:r>
      <w:r>
        <w:rPr>
          <w:rStyle w:val="Style1Char"/>
          <w:rFonts w:hint="cs"/>
          <w:rtl/>
        </w:rPr>
        <w:t xml:space="preserve">] </w:t>
      </w:r>
      <w:r w:rsidR="00960FB6" w:rsidRPr="00960FB6">
        <w:rPr>
          <w:rStyle w:val="Style1Char"/>
          <w:rtl/>
        </w:rPr>
        <w:t>המארס את האשה וכתב לה כתובה ולא נכנסה לחופה עדיין ארוסה היא ואינה נשואה שאין הכתובה עושה נישואין, ואם מת או גרשה גובה עיקר כתובתה מבני חורין ואינה גובה תוספת כלל הואיל ולא כנסה, אבל אם ארס ולא כתב לה כתובה ומת או גרשה והיא ארוסה אין לה כלום ואפילו העיקר שלא תיקנו לה עיקר כתובה עד שתנשא או עד שיכתוב, והמארס את בתו וכתב לה כתובה ומת או גרשה כשהיא נערה כתובתה לאביה כמו שביארנו.</w:t>
      </w:r>
    </w:p>
    <w:p w14:paraId="272E96D6" w14:textId="1FD94DBF" w:rsidR="00455023" w:rsidRPr="00455023" w:rsidRDefault="006B2F82" w:rsidP="006B2F82">
      <w:pPr>
        <w:pStyle w:val="Style1"/>
      </w:pPr>
      <w:r>
        <w:rPr>
          <w:rStyle w:val="Style1Char"/>
          <w:rFonts w:hint="cs"/>
          <w:rtl/>
        </w:rPr>
        <w:t>1)[</w:t>
      </w:r>
      <w:r w:rsidR="00455023" w:rsidRPr="00455023">
        <w:rPr>
          <w:rStyle w:val="Style1Char"/>
          <w:rtl/>
        </w:rPr>
        <w:t>שולחן ערוך אבן העזר הלכות קידושין סימן לז סעיף א</w:t>
      </w:r>
      <w:r>
        <w:rPr>
          <w:rStyle w:val="Style1Char"/>
          <w:rFonts w:hint="cs"/>
          <w:rtl/>
        </w:rPr>
        <w:t xml:space="preserve">] </w:t>
      </w:r>
      <w:r w:rsidR="00455023" w:rsidRPr="00455023">
        <w:rPr>
          <w:rtl/>
        </w:rPr>
        <w:t>האב מקדש את בתו שלא לדעתה, כל זמן שהיא קטנה. וכן כשהיא נערה, רשותה בידו וקידושיה לאביה. וכן הוא זכאי במציאתה ובמעשה ידיה ובכתובתה. אם נתאלמנה או נתגרשה מן האירוסין, הוא זכאי בכל עד שתבגר. לפיכך, מקבל האב קידושי בתו מיום שתיוולד עד שתבגר; ואפילו היתה חירשת או שוטה וקידשה האב, הרי היא אשת איש גמורה. ואם היתה בת שלש שנים ויום אחד, מתקדשת בביאה מדעת אביה. פחות מכאן, אם מסרה אביה לקידושי ביאה, אינה מקודשת</w:t>
      </w:r>
      <w:r w:rsidR="00455023" w:rsidRPr="00455023">
        <w:t>.</w:t>
      </w:r>
    </w:p>
    <w:p w14:paraId="415D5DAB" w14:textId="16D0BAB6" w:rsidR="00455023" w:rsidRDefault="00455023" w:rsidP="00455023">
      <w:pPr>
        <w:pStyle w:val="Style1"/>
        <w:rPr>
          <w:rtl/>
        </w:rPr>
      </w:pPr>
      <w:r w:rsidRPr="00455023">
        <w:rPr>
          <w:rFonts w:hint="cs"/>
          <w:rtl/>
        </w:rPr>
        <w:t>הגה: יש אומרים דאין קידושין תופסין בנפל, ואם קבל אביו בו קידושין והמקדש קידש אחר כך אחותו, צריכה גט (אור זרוע)</w:t>
      </w:r>
      <w:r w:rsidRPr="00455023">
        <w:t>:</w:t>
      </w:r>
    </w:p>
    <w:p w14:paraId="60978752" w14:textId="2A6597EF" w:rsidR="002F4D38" w:rsidRDefault="002F4D38" w:rsidP="002F4D38">
      <w:pPr>
        <w:pStyle w:val="Style1"/>
        <w:rPr>
          <w:rtl/>
        </w:rPr>
      </w:pPr>
      <w:r>
        <w:rPr>
          <w:rFonts w:hint="cs"/>
          <w:rtl/>
        </w:rPr>
        <w:t>2)[</w:t>
      </w:r>
      <w:r>
        <w:rPr>
          <w:rtl/>
        </w:rPr>
        <w:t>רמב</w:t>
      </w:r>
      <w:r w:rsidR="00213DA1">
        <w:rPr>
          <w:rtl/>
        </w:rPr>
        <w:t>”ם \נשים\</w:t>
      </w:r>
      <w:r>
        <w:rPr>
          <w:rtl/>
        </w:rPr>
        <w:t xml:space="preserve"> הלכות אישות פרק ג הלכה יב</w:t>
      </w:r>
      <w:r>
        <w:rPr>
          <w:rFonts w:hint="cs"/>
          <w:rtl/>
        </w:rPr>
        <w:t xml:space="preserve">] </w:t>
      </w:r>
      <w:r>
        <w:rPr>
          <w:rtl/>
        </w:rPr>
        <w:t>בגרה הבת אין לאביה בה רשות והרי היא כשאר כל הנשים שאין מתקדשת אלא לדעתה, וכן אם השיאה אביה ונתאלמנה או נתגרשה בחיי אביה הרי היא ברשות עצמה, ואף על פי שעדיין היא קטנה, כיון שנישאת אין לאביה בה רשות לעולם.</w:t>
      </w:r>
    </w:p>
    <w:p w14:paraId="39E91FA3" w14:textId="529BF2D1" w:rsidR="002034B6" w:rsidRDefault="002034B6" w:rsidP="002034B6">
      <w:pPr>
        <w:pStyle w:val="Style1"/>
        <w:rPr>
          <w:rtl/>
        </w:rPr>
      </w:pPr>
      <w:r>
        <w:rPr>
          <w:rFonts w:hint="cs"/>
          <w:rtl/>
        </w:rPr>
        <w:t>2)[</w:t>
      </w:r>
      <w:r>
        <w:rPr>
          <w:rtl/>
        </w:rPr>
        <w:t>שולחן ערוך אבן העזר הלכות קידושין סימן לז סעיף ג</w:t>
      </w:r>
      <w:r>
        <w:rPr>
          <w:rFonts w:hint="cs"/>
          <w:rtl/>
        </w:rPr>
        <w:t xml:space="preserve">] </w:t>
      </w:r>
      <w:r>
        <w:rPr>
          <w:rtl/>
        </w:rPr>
        <w:t>וכן אם השיאה אביה ונתאלמנה או נתגרשה בחיי אביה, הרי היא ברשות עצמה. ואף על פי שעדיין היא קטנה, כיון שנשאת, אין לאביה בה רשות לעולם. יא] אבל אם קדשה, ונתאלמנה או נתגרשה כמה פעמים קודם שתבגר, חוזרת לרשות אביה.</w:t>
      </w:r>
    </w:p>
    <w:p w14:paraId="43BF123E" w14:textId="40DED865" w:rsidR="00B23A64" w:rsidRDefault="00796C4C" w:rsidP="00796C4C">
      <w:pPr>
        <w:pStyle w:val="Style1"/>
        <w:rPr>
          <w:rtl/>
        </w:rPr>
      </w:pPr>
      <w:r>
        <w:rPr>
          <w:rFonts w:hint="cs"/>
          <w:rtl/>
        </w:rPr>
        <w:t>3)[</w:t>
      </w:r>
      <w:r w:rsidR="00B23A64">
        <w:rPr>
          <w:rtl/>
        </w:rPr>
        <w:t>רמב</w:t>
      </w:r>
      <w:r w:rsidR="00213DA1">
        <w:rPr>
          <w:rtl/>
        </w:rPr>
        <w:t>”ם \קדושה\</w:t>
      </w:r>
      <w:r w:rsidR="00B23A64">
        <w:rPr>
          <w:rtl/>
        </w:rPr>
        <w:t xml:space="preserve"> הלכות איסורי ביאה פרק כא הלכה לא</w:t>
      </w:r>
      <w:r>
        <w:rPr>
          <w:rFonts w:hint="cs"/>
          <w:rtl/>
        </w:rPr>
        <w:t xml:space="preserve">] </w:t>
      </w:r>
      <w:r w:rsidR="00B23A64">
        <w:rPr>
          <w:rtl/>
        </w:rPr>
        <w:t>אשה שנשאת לשני אנשים ומתו, לשלישי לא תנשא ואם נשאת לא תצא, ואפילו נתקדשה יכנוס, ולא ישא ישראל עם הארץ כהנת שזה כמו חילול לזרעו של אהרן, ואם נשא אמרו חכמים אין זווגן עולה יפה אלא מת בלא בנים או מת הוא או היא במהרה או קטטה תהיה ביניהם, אבל תלמיד חכם שנשא כהנת הרי זה נאה ומשובח הרי תורה וכהונה כאחד.</w:t>
      </w:r>
    </w:p>
    <w:p w14:paraId="1B68147F" w14:textId="13FE9717" w:rsidR="00BC1904" w:rsidRPr="00BC1904" w:rsidRDefault="00E65089" w:rsidP="00BC1904">
      <w:pPr>
        <w:pStyle w:val="Style1"/>
      </w:pPr>
      <w:r>
        <w:rPr>
          <w:rFonts w:hint="cs"/>
          <w:rtl/>
        </w:rPr>
        <w:t>3)[</w:t>
      </w:r>
      <w:r>
        <w:rPr>
          <w:rtl/>
        </w:rPr>
        <w:t>שולחן ערוך אבן העזר הלכות אישות סימן ט סעיף א</w:t>
      </w:r>
      <w:r>
        <w:rPr>
          <w:rFonts w:hint="cs"/>
          <w:rtl/>
        </w:rPr>
        <w:t>]</w:t>
      </w:r>
      <w:r w:rsidR="00BC1904">
        <w:rPr>
          <w:rFonts w:hint="cs"/>
          <w:rtl/>
        </w:rPr>
        <w:t xml:space="preserve"> </w:t>
      </w:r>
      <w:r w:rsidR="00BC1904" w:rsidRPr="00BC1904">
        <w:rPr>
          <w:rtl/>
        </w:rPr>
        <w:t>אשה שנשאת </w:t>
      </w:r>
      <w:r w:rsidR="00BC1904" w:rsidRPr="00BC1904">
        <w:rPr>
          <w:rFonts w:hint="cs"/>
          <w:rtl/>
        </w:rPr>
        <w:t>(או נתארסה) (מ"מ פכ"א ונ"י פ' הבא על יבמתו)</w:t>
      </w:r>
      <w:r w:rsidR="00BC1904" w:rsidRPr="00BC1904">
        <w:rPr>
          <w:rtl/>
        </w:rPr>
        <w:t> לשני אנשים ומתו לא תנשא לשלישי שכבר הוחזקה להיות אנשיה מתים ואם נשאת לא תצא ואפילו נתקדשה יכנוס ואם הכיר בה יש לה כתובה לא הכיר בה אין לה כתובה משלישי אבל משני יש לה כתובה אפילו לא הכיר בה</w:t>
      </w:r>
      <w:r w:rsidR="00BC1904" w:rsidRPr="00BC1904">
        <w:t>:</w:t>
      </w:r>
    </w:p>
    <w:p w14:paraId="02E70CA7" w14:textId="4C4BB266" w:rsidR="00BC1904" w:rsidRDefault="00BC1904" w:rsidP="00BC1904">
      <w:pPr>
        <w:pStyle w:val="Style1"/>
        <w:rPr>
          <w:rtl/>
        </w:rPr>
      </w:pPr>
      <w:r w:rsidRPr="00BC1904">
        <w:rPr>
          <w:rFonts w:hint="cs"/>
          <w:rtl/>
        </w:rPr>
        <w:t>הגה</w:t>
      </w:r>
      <w:r w:rsidRPr="00BC1904">
        <w:rPr>
          <w:rFonts w:hint="cs"/>
        </w:rPr>
        <w:t>: </w:t>
      </w:r>
      <w:r w:rsidRPr="00BC1904">
        <w:rPr>
          <w:rFonts w:hint="cs"/>
          <w:rtl/>
        </w:rPr>
        <w:t>ויש אומרים דדווקא אם מתו מיתת עצמם אבל אם נהרגו אחד מהן או מת בדבר או נפל ומת וכדומה אינו כלום ולכן רבים מקילים בדברים אלו ואין מוחין בידיהם (ב"י בשם תשובת הרמב"ן שכ"כ בסי"א). יש אומרים דהוא הדין אשה שנתגרשה שני פעמים אין לישא אותה (רש"י פ"י דיבמות והר"ן ר"פ נערה) אבל יש אומרים מיתה דוקא (הגהות מיי' בשם התוס') (וכן עיקר)</w:t>
      </w:r>
      <w:r w:rsidRPr="00BC1904">
        <w:t>:</w:t>
      </w:r>
    </w:p>
    <w:p w14:paraId="0F07C674" w14:textId="240A4D93" w:rsidR="00583D8B" w:rsidRDefault="00583D8B" w:rsidP="00583D8B">
      <w:pPr>
        <w:pStyle w:val="Style1"/>
        <w:rPr>
          <w:rtl/>
        </w:rPr>
      </w:pPr>
      <w:r>
        <w:rPr>
          <w:rFonts w:hint="cs"/>
          <w:rtl/>
        </w:rPr>
        <w:t>4)[</w:t>
      </w:r>
      <w:r>
        <w:rPr>
          <w:rtl/>
        </w:rPr>
        <w:t>רמב</w:t>
      </w:r>
      <w:r w:rsidR="00213DA1">
        <w:rPr>
          <w:rtl/>
        </w:rPr>
        <w:t>”ם \נשים\</w:t>
      </w:r>
      <w:r>
        <w:rPr>
          <w:rtl/>
        </w:rPr>
        <w:t xml:space="preserve"> הלכות אישות פרק י הלכה יא</w:t>
      </w:r>
      <w:r>
        <w:rPr>
          <w:rFonts w:hint="cs"/>
          <w:rtl/>
        </w:rPr>
        <w:t xml:space="preserve">] </w:t>
      </w:r>
      <w:r>
        <w:rPr>
          <w:rtl/>
        </w:rPr>
        <w:t>המארס את האשה וכתב לה כתובה ולא נכנסה לחופה עדיין ארוסה היא ואינה נשואה שאין הכתובה עושה נישואין, ואם מת או גרשה גובה עיקר כתובתה מבני חורין ואינה גובה תוספת כלל הואיל ולא כנסה, אבל אם ארס ולא כתב לה כתובה ומת או גרשה והיא ארוסה אין לה כלום ואפילו העיקר שלא תיקנו לה עיקר כתובה עד שתנשא או עד שיכתוב, והמארס את בתו וכתב לה כתובה ומת או גרשה כשהיא נערה כתובתה לאביה כמו שביארנו.</w:t>
      </w:r>
    </w:p>
    <w:p w14:paraId="6EF3A6CA" w14:textId="7CFD9ADE" w:rsidR="000C484A" w:rsidRDefault="000C484A" w:rsidP="000C484A">
      <w:pPr>
        <w:pStyle w:val="Style1"/>
        <w:rPr>
          <w:rtl/>
        </w:rPr>
      </w:pPr>
      <w:r>
        <w:rPr>
          <w:rFonts w:hint="cs"/>
          <w:rtl/>
        </w:rPr>
        <w:t>4)[</w:t>
      </w:r>
      <w:r>
        <w:rPr>
          <w:rtl/>
        </w:rPr>
        <w:t>רמב</w:t>
      </w:r>
      <w:r w:rsidR="00213DA1">
        <w:rPr>
          <w:rtl/>
        </w:rPr>
        <w:t>”ם \נשים\</w:t>
      </w:r>
      <w:r>
        <w:rPr>
          <w:rtl/>
        </w:rPr>
        <w:t xml:space="preserve"> הלכות אישות פרק טז הלכה י</w:t>
      </w:r>
      <w:r>
        <w:rPr>
          <w:rFonts w:hint="cs"/>
          <w:rtl/>
        </w:rPr>
        <w:t xml:space="preserve">] </w:t>
      </w:r>
      <w:r>
        <w:rPr>
          <w:rtl/>
        </w:rPr>
        <w:t>ועוד תקנו חכמים שיהיו כל נכסי הבעל אחראין וערבאין לכתובה, אפילו כתובתה מנה ויש לו קרקע באלפים זהובים הכל תחת שיעבוד הכתובה, וכל שימכור אחר הנישואין מנכסיו אף על פי שממכרו קיים ויש לו למכור כל נכסיו אם ירצה יש לה לטרוף אותן בכתובתה כשיגרשנה או כשימות אם לא תמצא נכסים בני חורין, וכשתטרוף לא תטרוף אלא בשבועה בנקיטת חפץ כדין כל בעלי חובות, ותקנה זו כדי שלא תהיה כתובתה קלה בעיניו.</w:t>
      </w:r>
    </w:p>
    <w:p w14:paraId="08E06BE0" w14:textId="0554E64F" w:rsidR="002E3705" w:rsidRPr="00BC1904" w:rsidRDefault="002E3705" w:rsidP="002E3705">
      <w:pPr>
        <w:pStyle w:val="Style1"/>
      </w:pPr>
      <w:r>
        <w:rPr>
          <w:rFonts w:hint="cs"/>
          <w:rtl/>
        </w:rPr>
        <w:t>4)[</w:t>
      </w:r>
      <w:r>
        <w:rPr>
          <w:rtl/>
        </w:rPr>
        <w:t>שולחן ערוך אבן העזר הלכות כתובות סימן ק סעיף יד</w:t>
      </w:r>
      <w:r>
        <w:rPr>
          <w:rFonts w:hint="cs"/>
          <w:rtl/>
        </w:rPr>
        <w:t xml:space="preserve">] </w:t>
      </w:r>
      <w:r>
        <w:rPr>
          <w:rtl/>
        </w:rPr>
        <w:t>הוציאה ב' כתובות וגט אחד, אינה גובה אלא כתובה אחת. ואיזו מהם גובה, אם שתיהן שוות ביטלה האחרונה את הראשונה ואינה טורפת אלא מזמן האחרונה. ואם היתה באחת משתיהן תוספת על חבירתה ולא כתב לה: ואוסיפית לך כך וכך על הראשונה, אם רוצה לגבות הראשונה גובה מזמן ראשון, או שניה מזמן שני. ואם כתב לה: ואוסיפית לה כך וכך על הראשונה, גובה ראשונה מזמן ראשון והתוספת מזמן שני. בד"א, ששתיהן מן האירוסין או מן הנשואין, אבל אם אחת מן האירוסין והשנייה מן הנשואין, בכל ענין אינה גובה אלא אותה שמן הנשואין.</w:t>
      </w:r>
    </w:p>
    <w:p w14:paraId="523BC2AF" w14:textId="77777777" w:rsidR="00BC1904" w:rsidRPr="00BC1904" w:rsidRDefault="00BC1904" w:rsidP="00BC1904">
      <w:pPr>
        <w:pStyle w:val="Style1"/>
      </w:pPr>
    </w:p>
    <w:p w14:paraId="4C353120" w14:textId="4145EB25" w:rsidR="00E65089" w:rsidRPr="00455023" w:rsidRDefault="00E65089" w:rsidP="00E65089">
      <w:pPr>
        <w:pStyle w:val="Style1"/>
      </w:pPr>
    </w:p>
    <w:p w14:paraId="7E205EB1" w14:textId="77777777" w:rsidR="00455023" w:rsidRPr="00455023" w:rsidRDefault="00455023" w:rsidP="00455023">
      <w:pPr>
        <w:pStyle w:val="Style1"/>
        <w:rPr>
          <w:rStyle w:val="Style1Char"/>
        </w:rPr>
      </w:pPr>
    </w:p>
    <w:p w14:paraId="294F8A9C" w14:textId="246CA0B2" w:rsidR="00455023" w:rsidRPr="00A84FFD" w:rsidRDefault="00455023" w:rsidP="00455023">
      <w:pPr>
        <w:pStyle w:val="Style1"/>
        <w:rPr>
          <w:rStyle w:val="Style1Char"/>
        </w:rPr>
      </w:pPr>
    </w:p>
    <w:p w14:paraId="54A5697E" w14:textId="77777777" w:rsidR="000357F0" w:rsidRPr="00D01D46" w:rsidRDefault="000357F0" w:rsidP="000357F0">
      <w:pPr>
        <w:bidi/>
        <w:rPr>
          <w:rStyle w:val="Style1Char"/>
          <w:color w:val="00B050"/>
          <w:rtl/>
        </w:rPr>
      </w:pPr>
    </w:p>
    <w:p w14:paraId="68CCF85D" w14:textId="77777777" w:rsidR="000357F0" w:rsidRPr="00873E6B" w:rsidRDefault="000357F0" w:rsidP="000357F0">
      <w:pPr>
        <w:bidi/>
        <w:rPr>
          <w:rStyle w:val="Style1Char"/>
          <w:color w:val="00B050"/>
          <w:rtl/>
        </w:rPr>
      </w:pPr>
    </w:p>
    <w:p w14:paraId="1A60EFB7" w14:textId="77777777" w:rsidR="000357F0" w:rsidRDefault="000357F0" w:rsidP="000357F0">
      <w:pPr>
        <w:rPr>
          <w:rStyle w:val="Style1Char"/>
          <w:color w:val="00B050"/>
          <w:rtl/>
        </w:rPr>
      </w:pPr>
      <w:r>
        <w:rPr>
          <w:rStyle w:val="Style1Char"/>
          <w:color w:val="00B050"/>
          <w:rtl/>
        </w:rPr>
        <w:br w:type="page"/>
      </w:r>
    </w:p>
    <w:p w14:paraId="13D8F07D" w14:textId="624D4166" w:rsidR="000357F0" w:rsidRPr="00C81021" w:rsidRDefault="000357F0" w:rsidP="000357F0">
      <w:pPr>
        <w:bidi/>
        <w:rPr>
          <w:rStyle w:val="Style1Char"/>
          <w:color w:val="4472C4" w:themeColor="accent1"/>
        </w:rPr>
      </w:pPr>
      <w:r w:rsidRPr="002F2700">
        <w:rPr>
          <w:rStyle w:val="Style1Char"/>
          <w:color w:val="00B050"/>
          <w:sz w:val="22"/>
          <w:szCs w:val="22"/>
          <w:highlight w:val="yellow"/>
          <w:rtl/>
        </w:rPr>
        <w:lastRenderedPageBreak/>
        <w:t>[דף מד עמוד א]</w:t>
      </w:r>
      <w:r w:rsidRPr="002F2700">
        <w:rPr>
          <w:rStyle w:val="Style1Char"/>
          <w:color w:val="00B050"/>
          <w:rtl/>
        </w:rPr>
        <w:t xml:space="preserve"> הכא נמי היינו טעמא דלא גביא, מדלא כתב לה אוסיפית לך מאה אמאתים, אחולי אחילתיה לשעבודא קמא. אמר מר: </w:t>
      </w:r>
      <w:r w:rsidR="001360E8">
        <w:rPr>
          <w:rStyle w:val="Style1Char"/>
          <w:rFonts w:hint="cs"/>
          <w:rtl/>
        </w:rPr>
        <w:t>(1)</w:t>
      </w:r>
      <w:r w:rsidRPr="002F2700">
        <w:rPr>
          <w:rStyle w:val="Style1Char"/>
          <w:color w:val="00B050"/>
          <w:rtl/>
        </w:rPr>
        <w:t>אי בעיא בהאי גביא, אי בעיא בהאי גביא. לימא, פליגא דרב נחמן, ד</w:t>
      </w:r>
      <w:r w:rsidRPr="000629CE">
        <w:rPr>
          <w:rStyle w:val="Style1Char"/>
          <w:color w:val="auto"/>
          <w:sz w:val="22"/>
          <w:szCs w:val="22"/>
          <w:rtl/>
        </w:rPr>
        <w:t>אמר</w:t>
      </w:r>
      <w:r w:rsidRPr="00537077">
        <w:rPr>
          <w:rStyle w:val="Style1Char"/>
          <w:sz w:val="22"/>
          <w:szCs w:val="22"/>
          <w:rtl/>
        </w:rPr>
        <w:t xml:space="preserve"> </w:t>
      </w:r>
      <w:r w:rsidRPr="000629CE">
        <w:rPr>
          <w:rStyle w:val="Style1Char"/>
          <w:color w:val="auto"/>
          <w:sz w:val="22"/>
          <w:szCs w:val="22"/>
          <w:rtl/>
        </w:rPr>
        <w:t xml:space="preserve">רב נחמן: </w:t>
      </w:r>
      <w:r w:rsidR="00A1013C">
        <w:rPr>
          <w:rStyle w:val="Style1Char"/>
          <w:rFonts w:hint="cs"/>
          <w:rtl/>
        </w:rPr>
        <w:t>(1)</w:t>
      </w:r>
      <w:r w:rsidRPr="000629CE">
        <w:rPr>
          <w:rStyle w:val="Style1Char"/>
          <w:color w:val="auto"/>
          <w:sz w:val="22"/>
          <w:szCs w:val="22"/>
          <w:rtl/>
        </w:rPr>
        <w:t>שני שטרות היוצאין בזה אחר זה - ביטל שני את הראשון!</w:t>
      </w:r>
      <w:r w:rsidRPr="00537077">
        <w:rPr>
          <w:rStyle w:val="Style1Char"/>
          <w:sz w:val="22"/>
          <w:szCs w:val="22"/>
          <w:rtl/>
        </w:rPr>
        <w:t xml:space="preserve"> </w:t>
      </w:r>
      <w:r w:rsidRPr="002F2700">
        <w:rPr>
          <w:rStyle w:val="Style1Char"/>
          <w:color w:val="00B050"/>
          <w:rtl/>
        </w:rPr>
        <w:t xml:space="preserve">לאו מי איתמר עלה, </w:t>
      </w:r>
      <w:r w:rsidRPr="00C304CD">
        <w:rPr>
          <w:rStyle w:val="Style1Char"/>
          <w:color w:val="00B050"/>
          <w:rtl/>
        </w:rPr>
        <w:t xml:space="preserve">אמר רב פפא: ומודה ר"נ, </w:t>
      </w:r>
      <w:r w:rsidR="00F75E31">
        <w:rPr>
          <w:rStyle w:val="Style1Char"/>
          <w:rFonts w:hint="cs"/>
          <w:rtl/>
        </w:rPr>
        <w:t>(1)</w:t>
      </w:r>
      <w:r w:rsidRPr="00C304CD">
        <w:rPr>
          <w:rStyle w:val="Style1Char"/>
          <w:color w:val="00B050"/>
          <w:rtl/>
        </w:rPr>
        <w:t>דאי אוסיף ביה דיקלא - לתוספת כתביה</w:t>
      </w:r>
      <w:r w:rsidRPr="002F2700">
        <w:rPr>
          <w:rStyle w:val="Style1Char"/>
          <w:color w:val="00B050"/>
          <w:rtl/>
        </w:rPr>
        <w:t xml:space="preserve">? הכא נמי הא אוסיף לה מידי. גופא, אמר רב נחמן: </w:t>
      </w:r>
      <w:r w:rsidR="00E057FB">
        <w:rPr>
          <w:rStyle w:val="Style1Char"/>
          <w:rFonts w:hint="cs"/>
          <w:rtl/>
        </w:rPr>
        <w:t>(2)</w:t>
      </w:r>
      <w:r w:rsidRPr="002F2700">
        <w:rPr>
          <w:rStyle w:val="Style1Char"/>
          <w:color w:val="00B050"/>
          <w:rtl/>
        </w:rPr>
        <w:t xml:space="preserve">שני שטרות היוצאין בזה אחר זה - ביטל שני את הראשון. </w:t>
      </w:r>
      <w:r w:rsidRPr="00423219">
        <w:rPr>
          <w:rStyle w:val="Style1Char"/>
          <w:color w:val="auto"/>
          <w:sz w:val="22"/>
          <w:szCs w:val="22"/>
          <w:rtl/>
        </w:rPr>
        <w:t xml:space="preserve">אמר רב פפא: ומודה רב נחמן, </w:t>
      </w:r>
      <w:r w:rsidR="00982D7A">
        <w:rPr>
          <w:rStyle w:val="Style1Char"/>
          <w:rFonts w:hint="cs"/>
          <w:rtl/>
        </w:rPr>
        <w:t>(2)</w:t>
      </w:r>
      <w:r w:rsidRPr="00423219">
        <w:rPr>
          <w:rStyle w:val="Style1Char"/>
          <w:color w:val="auto"/>
          <w:sz w:val="22"/>
          <w:szCs w:val="22"/>
          <w:rtl/>
        </w:rPr>
        <w:t>דאי אוסיף ביה דיקלא - לתוספת כתביה</w:t>
      </w:r>
      <w:r w:rsidRPr="00C52F7F">
        <w:rPr>
          <w:rStyle w:val="Style1Char"/>
          <w:color w:val="4472C4" w:themeColor="accent1"/>
          <w:rtl/>
        </w:rPr>
        <w:t xml:space="preserve"> </w:t>
      </w:r>
      <w:r w:rsidRPr="00C81021">
        <w:rPr>
          <w:rStyle w:val="Style1Char"/>
          <w:color w:val="4472C4" w:themeColor="accent1"/>
          <w:rtl/>
        </w:rPr>
        <w:t>ולא ביטל שני את הראשון אלא השטר הראשון קיים וקנה הדקל בשטר השני (לכאורה משמע דכיון דאיכא למימר לתוספת כתביה לא ביטל שני את הראשון ושניהם קיימין) וקשה מאי שנא מהא דאמר רב הונא הוציאה עליו שתי כתובות אחת של מאתים ואחת של שלש מאות באתה לגבות מאתים גובה מזמן ראשון שלש מאות גובה מזמן שני אלמא אף על פי שהוסיף בכתובה שניה לא אמרינן שתיהן קיימות ותגבה מאתים מזמן ראשון ומאה מזמן שני אלא מדלא כתב לה ואוסיפת לך מאה אמאתים אחילתא לשעבודא קמא אם באת לגבות השני וכן הכא לישנא דאי אוסיף בה דיקלא לא משמע דכתב ליה ואוסיפת לך אשטר הראשון אלא שטר אחר כתב לו ממש ויש בו דקל יותר מבשטר ראשון וא"כ אמאי שניהם קיימין. ומיהו רש"י פירש גם כאן לתוספת כתביה לא שיהו שניהם קיימין אלא אם ירצה בשטר הראשון יגבה השדה בלא הדקל ואם ירצה בשטר השני יגבה גם הדקל וכן כתב רב אלפס ז"ל בתשובה ולישנא דאי אוסיף בה דיקלא לתוספת כתביה משמע דבהא מודה רב נחמן דלא בטל השני את הראשון ושניהן קיימין. וה"ר יצחק בר ברוך ז"ל תירץ דלא דמיין אהדדי דבכתובה שדרך העולם כשמוסיפין על עיקר כתובה שכותבין ואוסיף לה כך וכך והשתא לא עביד ליה הכי אלא כתב לה שתי כתובות סתם ולא הזכיר באחרונה לשון תוספת כמנהג העולם מוכחא מילתא דלא נתכוון להוסיף על הראשונה אלא שאם תרצה לזכות בשניה שתתבטל הראשונה אבל במכר שאין דרך המוכרים שני דברים לכתוב בשטר שני ואוסיפת לך דבר זה על המכר הראשון סתמא דמילתא אנו אומרים שלא בטל שני את הראשון אלא השני לתוספת הדקל נכתב והשטר הראשון קיים ויגבה הדקל בשטר השני וכן עיקר. וא"ת תקשי הלכתא אהלכתא דקי"ל הלכתא כרב נחמן בדיני וכן מדפליגי רפרם ורב אחא אליביה אלמא הלכתא כוותיה ולקמן נמי בשילהי הכותב (דף פט ב) דייק סוגיא דשמעתין כוותיה ולעיל פסקינן הילכתא כרב אסי דאמר אחד זה ואחד זה מן הנשואין ובטלה כתובה שניה את הראשונה אף על פי שיש בה תוספת ולמאי דפרישית דאיירי בדלא כתב לה מן האירוסין ניחא דבטלה השניה את התנאי הראשון שהיה בע"פ אבל הכא דאיכא שני שטרות לא בטל שני את הראשון</w:t>
      </w:r>
      <w:r>
        <w:rPr>
          <w:rStyle w:val="Style1Char"/>
          <w:rFonts w:hint="cs"/>
          <w:color w:val="4472C4" w:themeColor="accent1"/>
        </w:rPr>
        <w:t>‍</w:t>
      </w:r>
      <w:r w:rsidRPr="00C81021">
        <w:rPr>
          <w:rStyle w:val="Style1Char"/>
          <w:color w:val="4472C4" w:themeColor="accent1"/>
          <w:rtl/>
        </w:rPr>
        <w:t xml:space="preserve"> ואף לדברי המפרשים דאיירי בשמעתין בדכתב לה יש לחלק כיון שמנהג לכלול יחד מנה ומאתים ותוספת אומדנא דדעתא הוא שזהו עיקר תחילת השעבוד וכתב האירוסין לא נכתב אלא שאם תתאלמן או תתגרש מן האירוסין וכשבאו לכלל נשואין ונכתב הכל בשטר אחד נתבטל הראשון לגמרי אבל בשאר שטרות השני לתוספת נכתב ולא נתבטל הראשון</w:t>
      </w:r>
      <w:r w:rsidRPr="00C81021">
        <w:rPr>
          <w:rStyle w:val="Style1Char"/>
          <w:color w:val="4472C4" w:themeColor="accent1"/>
        </w:rPr>
        <w:t>:</w:t>
      </w:r>
    </w:p>
    <w:p w14:paraId="048E96F3" w14:textId="71165410" w:rsidR="000357F0" w:rsidRPr="003945D8" w:rsidRDefault="00982D7A" w:rsidP="000357F0">
      <w:pPr>
        <w:bidi/>
        <w:rPr>
          <w:rStyle w:val="Style1Char"/>
          <w:color w:val="806000" w:themeColor="accent4" w:themeShade="80"/>
        </w:rPr>
      </w:pPr>
      <w:r>
        <w:rPr>
          <w:rStyle w:val="Style1Char"/>
          <w:rFonts w:hint="cs"/>
          <w:rtl/>
        </w:rPr>
        <w:t>(2)</w:t>
      </w:r>
      <w:r w:rsidR="000357F0" w:rsidRPr="00423219">
        <w:rPr>
          <w:rStyle w:val="Style1Char"/>
          <w:color w:val="auto"/>
          <w:sz w:val="22"/>
          <w:szCs w:val="22"/>
          <w:rtl/>
        </w:rPr>
        <w:t>פשיטא, ראשון במכר ושני במתנה - ליפות כחו הוא דכתב ליה, משום דינא דבר מצרא</w:t>
      </w:r>
      <w:r w:rsidR="000357F0" w:rsidRPr="00472038">
        <w:rPr>
          <w:rStyle w:val="Style1Char"/>
          <w:color w:val="4472C4" w:themeColor="accent1"/>
          <w:rtl/>
        </w:rPr>
        <w:t xml:space="preserve"> </w:t>
      </w:r>
      <w:r w:rsidR="000357F0" w:rsidRPr="00C81021">
        <w:rPr>
          <w:rStyle w:val="Style1Char"/>
          <w:color w:val="4472C4" w:themeColor="accent1"/>
          <w:rtl/>
        </w:rPr>
        <w:t>שאם יבא בעל המצר לסלקו יראה שטר מתנה ולא יראה שטר המכר וכיון דאיכא למיתלי דליפות כחו נכתב האחרון הראשון קיים והשני אינו כלום ואי לא שייך ביה דינא דבר מצרא כגון שהלוקח או המוכר עצמו מצרנין אי דאית ביה שום יפוי כח אחר משום מתנה כגון לענין דרך דנותן בעין יפה נותן ומוכר בעין רעה מוכר לא בטל האחרון את הראשון. ואם לאו בטל האחרון את הראשון</w:t>
      </w:r>
      <w:r w:rsidR="000357F0" w:rsidRPr="00423219">
        <w:rPr>
          <w:rStyle w:val="Style1Char"/>
          <w:color w:val="auto"/>
          <w:sz w:val="22"/>
          <w:szCs w:val="22"/>
          <w:rtl/>
        </w:rPr>
        <w:t>, וכל שכן ראשון במתנה ושני במכר - דאמרינן: משום דינא דבעל חוב הוא דכתב כן</w:t>
      </w:r>
      <w:r w:rsidR="000357F0" w:rsidRPr="00F31D21">
        <w:rPr>
          <w:rStyle w:val="Style1Char"/>
          <w:color w:val="4472C4" w:themeColor="accent1"/>
          <w:rtl/>
        </w:rPr>
        <w:t xml:space="preserve"> </w:t>
      </w:r>
      <w:r w:rsidR="000357F0" w:rsidRPr="00C81021">
        <w:rPr>
          <w:rStyle w:val="Style1Char"/>
          <w:color w:val="4472C4" w:themeColor="accent1"/>
          <w:rtl/>
        </w:rPr>
        <w:t>ויראה שטר האחרון ולא הראשון אם יבא בעל חוב לטרוף ממנו שאם יראה שניהם השני אינו כלום כיון דליפות כחו כתביה ולא נתבטל הראשון.</w:t>
      </w:r>
      <w:r w:rsidR="000357F0" w:rsidRPr="00C304CD">
        <w:rPr>
          <w:rStyle w:val="Style1Char"/>
          <w:sz w:val="22"/>
          <w:szCs w:val="22"/>
          <w:rtl/>
        </w:rPr>
        <w:t xml:space="preserve">, </w:t>
      </w:r>
      <w:r w:rsidR="000357F0" w:rsidRPr="002F2700">
        <w:rPr>
          <w:rStyle w:val="Style1Char"/>
          <w:color w:val="00B050"/>
          <w:rtl/>
        </w:rPr>
        <w:t xml:space="preserve">אלא אי </w:t>
      </w:r>
      <w:r w:rsidR="000357F0" w:rsidRPr="00F31D21">
        <w:rPr>
          <w:rStyle w:val="Style1Char"/>
          <w:color w:val="806000" w:themeColor="accent4" w:themeShade="80"/>
          <w:sz w:val="22"/>
          <w:szCs w:val="22"/>
          <w:rtl/>
        </w:rPr>
        <w:t xml:space="preserve">ודאי </w:t>
      </w:r>
      <w:r w:rsidR="000357F0" w:rsidRPr="00F31D21">
        <w:rPr>
          <w:rStyle w:val="Style1Char"/>
          <w:color w:val="auto"/>
          <w:sz w:val="22"/>
          <w:szCs w:val="22"/>
          <w:rtl/>
        </w:rPr>
        <w:t xml:space="preserve">שניהם במכר, שניהם במתנה - ביטל שני את הראשון. מאי טעמא? רפרם אמר: אימר אודויי אודי ליה, רב אחא אמר: </w:t>
      </w:r>
      <w:r w:rsidR="004D5332">
        <w:rPr>
          <w:rStyle w:val="Style1Char"/>
          <w:rFonts w:hint="cs"/>
          <w:rtl/>
        </w:rPr>
        <w:t>(2)</w:t>
      </w:r>
      <w:r w:rsidR="000357F0" w:rsidRPr="00F31D21">
        <w:rPr>
          <w:rStyle w:val="Style1Char"/>
          <w:color w:val="auto"/>
          <w:sz w:val="22"/>
          <w:szCs w:val="22"/>
          <w:rtl/>
        </w:rPr>
        <w:t>אימר אחולי אחליה לשיעבודיה</w:t>
      </w:r>
      <w:r w:rsidR="000357F0" w:rsidRPr="00F31D21">
        <w:rPr>
          <w:rStyle w:val="Style1Char"/>
          <w:color w:val="auto"/>
          <w:rtl/>
        </w:rPr>
        <w:t xml:space="preserve"> </w:t>
      </w:r>
      <w:r w:rsidR="000357F0" w:rsidRPr="00F31D21">
        <w:rPr>
          <w:rStyle w:val="Style1Char"/>
          <w:color w:val="806000" w:themeColor="accent4" w:themeShade="80"/>
          <w:sz w:val="22"/>
          <w:szCs w:val="22"/>
          <w:rtl/>
        </w:rPr>
        <w:t>קמא</w:t>
      </w:r>
      <w:r w:rsidR="000357F0" w:rsidRPr="00C304CD">
        <w:rPr>
          <w:rStyle w:val="Style1Char"/>
          <w:sz w:val="22"/>
          <w:szCs w:val="22"/>
          <w:rtl/>
        </w:rPr>
        <w:t xml:space="preserve">. </w:t>
      </w:r>
      <w:r w:rsidR="000357F0" w:rsidRPr="00F31D21">
        <w:rPr>
          <w:rStyle w:val="Style1Char"/>
          <w:color w:val="auto"/>
          <w:sz w:val="22"/>
          <w:szCs w:val="22"/>
          <w:rtl/>
        </w:rPr>
        <w:t xml:space="preserve">מאי בינייהו? </w:t>
      </w:r>
      <w:r w:rsidR="00E66076">
        <w:rPr>
          <w:rStyle w:val="Style1Char"/>
          <w:rFonts w:hint="cs"/>
          <w:rtl/>
        </w:rPr>
        <w:t>(2)</w:t>
      </w:r>
      <w:r w:rsidR="000357F0" w:rsidRPr="00F31D21">
        <w:rPr>
          <w:rStyle w:val="Style1Char"/>
          <w:color w:val="auto"/>
          <w:sz w:val="22"/>
          <w:szCs w:val="22"/>
          <w:rtl/>
        </w:rPr>
        <w:t>איכא בינייהו: אורועי סהדי</w:t>
      </w:r>
      <w:r w:rsidR="000357F0" w:rsidRPr="00690ABC">
        <w:rPr>
          <w:rStyle w:val="Style1Char"/>
          <w:color w:val="4472C4" w:themeColor="accent1"/>
          <w:rtl/>
        </w:rPr>
        <w:t xml:space="preserve"> </w:t>
      </w:r>
      <w:r w:rsidR="000357F0" w:rsidRPr="00C81021">
        <w:rPr>
          <w:rStyle w:val="Style1Char"/>
          <w:color w:val="4472C4" w:themeColor="accent1"/>
          <w:rtl/>
        </w:rPr>
        <w:t>לרפרם דאמר אודיי אודי כיון שהודה המקבל מתנה שהשטר הראשון מזוייף כל שטר שיצא מתחת ידו שאלו העדים חתומים בו לא מגבינן ביה הואיל והודה הם פסולים או שמא הוא זייפו כמו שזייף חתימתן בשטר הראשון ולרב אחא לא מרעינן סהדי דאמר אחולי אחליה לשעבודיה ואפילו במתנה דלית ביה אחריות שייך מחילת שיעבוד כגון שבין זמן הראשון לזמן השני קנה הנותן שדה אצל שדה זו שנתן ואחליה המקבל לשעבודיה שלא יוכל לסלקו משום דינא דבר מצרא אי נמי לענין זה שיטרפו בעל חוב של נותן שבין זמן ראשון לזמן שני א"נ אם הנותן אכל פירות בין זמן ראשון לזמן שני מחל לו וא"ת למה יש לנו לתלות שמחל שעבודו בדבר שיש לו הפסד וי"ל שמא שמע שמסר הנותן מודעא על השטר הראשון. וכתב הר"מ ז"ל דהלכתא כרב אחא דכיון דאיכא פלוגתא ולא ידעינן כמאן הלכתא לא מרעינן סהדי דאוקי סהדי אחזקתייהו וגם נוקי המקבל בחזקת אדם הגון ולא זייף העדים וגם לענין פירי וטסקא קרקע בחזקת מקבל עומד ע"י שטר הראשון ולא מבטלינן האי חזקה מספק ועוד הביא ראיה מדקאמר הש"ס לעיל אליבא דרב הונא אחולי אחלתיה לשעבודא קמא ולאו ראיה היא דהתם מחלה בשביל מאה שהוסיף ולדעת כן הוסיף לה שאם תרצה לגבות שלש מאות שתמחול הראשונה אבל הכא שהשטרות שוין אין לנו לתלות שמחל השעבוד הראשון ומיהו הלכה כרב אחא מטעמי קמאי.</w:t>
      </w:r>
      <w:r w:rsidR="000357F0" w:rsidRPr="002F2700">
        <w:rPr>
          <w:rStyle w:val="Style1Char"/>
          <w:color w:val="00B050"/>
          <w:rtl/>
        </w:rPr>
        <w:t xml:space="preserve">, ולשלומי </w:t>
      </w:r>
      <w:r w:rsidR="000357F0" w:rsidRPr="0052033A">
        <w:rPr>
          <w:rStyle w:val="Style1Char"/>
          <w:color w:val="C00000"/>
          <w:sz w:val="22"/>
          <w:szCs w:val="22"/>
          <w:rtl/>
        </w:rPr>
        <w:t xml:space="preserve">ומכנש </w:t>
      </w:r>
      <w:r w:rsidR="000357F0" w:rsidRPr="00C304CD">
        <w:rPr>
          <w:rStyle w:val="Style1Char"/>
          <w:sz w:val="22"/>
          <w:szCs w:val="22"/>
          <w:rtl/>
        </w:rPr>
        <w:t>פירי, ולטסקא</w:t>
      </w:r>
      <w:r w:rsidR="000357F0" w:rsidRPr="00B94DD1">
        <w:rPr>
          <w:rStyle w:val="Style1Char"/>
          <w:color w:val="C00000"/>
          <w:rtl/>
        </w:rPr>
        <w:t xml:space="preserve"> </w:t>
      </w:r>
      <w:r w:rsidR="000357F0" w:rsidRPr="00C81021">
        <w:rPr>
          <w:rStyle w:val="Style1Char"/>
          <w:color w:val="4472C4" w:themeColor="accent1"/>
          <w:rtl/>
        </w:rPr>
        <w:t xml:space="preserve">פי' רב אלפס </w:t>
      </w:r>
      <w:r w:rsidR="000357F0" w:rsidRPr="001D4E59">
        <w:rPr>
          <w:rStyle w:val="Style1Char"/>
          <w:color w:val="C00000"/>
          <w:rtl/>
        </w:rPr>
        <w:t xml:space="preserve">פירוש </w:t>
      </w:r>
      <w:r w:rsidR="000357F0" w:rsidRPr="003945D8">
        <w:rPr>
          <w:rStyle w:val="Style1Char"/>
          <w:color w:val="806000" w:themeColor="accent4" w:themeShade="80"/>
          <w:rtl/>
        </w:rPr>
        <w:t>הא דאמר רב נחמן ביטל שני את הראשון הני מילי בשטר קרקעות ומאי דדמי להו כגון כתובת אשה אבל בהודאות והלואות גבי תרוייהו כל חד וחד לפום שעבודא דיליה ולא אמרינן האי שטרא היינו האי שטרא ואף על גב דתרוייהו סכום אחד דגרסינן בגט פשוט [בבא - בתרא קע"ב ע"א] אמר רבא האי מאן דנקיט תרי שטרי בר חמשין חמשין ואמר שוינהו ניהליה חד בר מאה לא משוינן ליה עבוד רבנן מילתא דניחא ליה ללוה וניחא ליה למלוה ניחא ליה למלוה כי היכא דלא לפגום שטריה וניחא ליה ללוה כדי שלא יכוף לפרעו אלמא גבי תרוייהו</w:t>
      </w:r>
      <w:r w:rsidR="000357F0" w:rsidRPr="003945D8">
        <w:rPr>
          <w:rStyle w:val="Style1Char"/>
          <w:color w:val="806000" w:themeColor="accent4" w:themeShade="80"/>
        </w:rPr>
        <w:t>:</w:t>
      </w:r>
    </w:p>
    <w:p w14:paraId="6D4189D8" w14:textId="77777777" w:rsidR="000357F0" w:rsidRPr="00C81021" w:rsidRDefault="000357F0" w:rsidP="000357F0">
      <w:pPr>
        <w:bidi/>
        <w:rPr>
          <w:rStyle w:val="Style1Char"/>
          <w:color w:val="4472C4" w:themeColor="accent1"/>
        </w:rPr>
      </w:pPr>
      <w:r w:rsidRPr="00D066EB">
        <w:rPr>
          <w:rStyle w:val="Style1Char"/>
          <w:color w:val="auto"/>
          <w:sz w:val="22"/>
          <w:szCs w:val="22"/>
          <w:rtl/>
        </w:rPr>
        <w:t xml:space="preserve">מאי הוי עלה </w:t>
      </w:r>
      <w:r w:rsidRPr="00D066EB">
        <w:rPr>
          <w:rStyle w:val="Style1Char"/>
          <w:color w:val="ED7D31" w:themeColor="accent2"/>
          <w:rtl/>
        </w:rPr>
        <w:t>דכתובה</w:t>
      </w:r>
      <w:r w:rsidRPr="00D066EB">
        <w:rPr>
          <w:rStyle w:val="Style1Char"/>
          <w:color w:val="auto"/>
          <w:sz w:val="22"/>
          <w:szCs w:val="22"/>
          <w:rtl/>
        </w:rPr>
        <w:t>?</w:t>
      </w:r>
      <w:r w:rsidRPr="00D066EB">
        <w:rPr>
          <w:rStyle w:val="Style1Char"/>
          <w:color w:val="auto"/>
          <w:rtl/>
        </w:rPr>
        <w:t xml:space="preserve"> </w:t>
      </w:r>
      <w:r w:rsidRPr="00D066EB">
        <w:rPr>
          <w:rStyle w:val="Style1Char"/>
          <w:color w:val="auto"/>
          <w:sz w:val="22"/>
          <w:szCs w:val="22"/>
          <w:rtl/>
        </w:rPr>
        <w:t xml:space="preserve">ת"ש, דאמר רב יהודה אמר שמואל משום ר"א בר"ש: מנה מאתים מן האירוסין, ותוספת מן הנישואין; וחכ"א: אחד זה ואחד זה מן הנישואין. והלכתא: אחד זה ואחד זה מן הנישואין. </w:t>
      </w:r>
      <w:r w:rsidRPr="00C81021">
        <w:rPr>
          <w:rStyle w:val="Style1Char"/>
          <w:color w:val="4472C4" w:themeColor="accent1"/>
          <w:rtl/>
        </w:rPr>
        <w:t>ותימה הא דמיבעי ליה הש"ס בשילהי פ"ק דב"מ (דף יז ב) ולקמן בפרק הכותב (דף פט ב) אלמנה מן האירוסין מנלן דאית לה כתובה היכא דלא כתב לה אמאי לא פשיט משמעתין ממילתייהו דרב הונא ורב אסי דאית לה ולפי' ר"ח דמוקי שמעתא בדכתב לה ניחא אבל אי אפשר לומר כן כמו שפרשתי וי"ל דפשיטא ליה להש"ס דארוסה יש לה כתובה אף על גב דלא כתב לה אבל התם לא בעי לאוכוחי מדברי אמוראים אלא ממשנה או מברייתא. וכן היה יכול לפשוט מהא דתנן בקדושין בפ' האומר (דף סה א) היא אומרת קדשתני והוא אומר לא קדשתיך וכו' וקאמר עלה בגמ' אמר רב אם נתן גט מעצמו דכופין אותו ליתן כתובה אלמא מוכח שהיו נוהגין להגבות כתובה לארוסה אף על גב דלא כתב לה דאי לאו הכי מצי למימר ודאי קדשתיך ולהכי גירשתיה אבל לא נשאתיה ולא אתן לה כתובה וע"כ בדלא כתב לה מיירי מדקאמר לא קדשתיך ואין לומר באתרא דכתבי והדר מקדשי דאין הכתיבה ראיה דא"כ ה"ל לפרושי ועוד כל כמה דלא מיקדשה אין הכתובה בידה אלא ודאי לא רצה לפשוט מדברי אמוראי והא דלא מוכח ממילתיה דר' אלעזר בן שמוע האי נמי מימרא הוא וממתני' דהמארס את בתו ליכא למיפשט דאיכא למימר בדכתב לה. מיהו תימה אמאי לא פשט ליה מהא דתניא לעיל מודה ר' יהודה במארס את בתו כשהיא קטנה ובגרה ונישאת וכו' וע"כ בדלא כתב לה איירי דאי בדכתב לה של אב הויא הואיל וברשותו נכתבה ואי ארוסה אין לה כתובה פשיטא דאין לו בה כלום ותירץ ה"ר שמעון מנויטרזא דאיכא למימר לעולם בדכתב לה ואין לו בה כלום דקתני אתוספת קאי שהוסיף לה בשעת נשואין קאמר דסד"א הואיל ומנה ומאתים שלו תוספת נמי שלו וכ"ת תפשוט מהא דתניא בפ' מי שמת (דף קמה א) המארס את האשה בתולה גובה מאתים ואלמנה מנה וי"ל משום דאיכא לאוקמי בדכתב לה וסיפא אצטריכא ליה מקום שנהגו להחזיר קידושין מחזירין וכל הני שינויי דחיקי נינהו ומוכחא מילתא דתקנת חכמים היא אף מן האירוסין</w:t>
      </w:r>
      <w:r>
        <w:rPr>
          <w:rStyle w:val="Style1Char"/>
          <w:rFonts w:hint="cs"/>
          <w:color w:val="4472C4" w:themeColor="accent1"/>
        </w:rPr>
        <w:t>‍</w:t>
      </w:r>
      <w:r w:rsidRPr="00C81021">
        <w:rPr>
          <w:rStyle w:val="Style1Char"/>
          <w:color w:val="4472C4" w:themeColor="accent1"/>
          <w:rtl/>
        </w:rPr>
        <w:t xml:space="preserve"> וגביא ממשעבדי בתנאי ב"ד אף בדלא כתב לה וכן נוהגין באשכנז ובצרפת</w:t>
      </w:r>
      <w:r w:rsidRPr="00C81021">
        <w:rPr>
          <w:rStyle w:val="Style1Char"/>
          <w:color w:val="4472C4" w:themeColor="accent1"/>
        </w:rPr>
        <w:t xml:space="preserve">: </w:t>
      </w:r>
    </w:p>
    <w:p w14:paraId="0E303C86" w14:textId="01979537" w:rsidR="00BA77C5" w:rsidRDefault="000357F0" w:rsidP="000357F0">
      <w:pPr>
        <w:bidi/>
        <w:rPr>
          <w:rStyle w:val="Style1Char"/>
          <w:color w:val="000000" w:themeColor="text1"/>
          <w:sz w:val="22"/>
          <w:szCs w:val="22"/>
          <w:rtl/>
        </w:rPr>
      </w:pPr>
      <w:r w:rsidRPr="007E0541">
        <w:rPr>
          <w:rStyle w:val="Style1Char"/>
          <w:color w:val="000000" w:themeColor="text1"/>
          <w:sz w:val="22"/>
          <w:szCs w:val="22"/>
          <w:rtl/>
        </w:rPr>
        <w:t xml:space="preserve">מתני'. </w:t>
      </w:r>
      <w:r w:rsidR="00E66076">
        <w:rPr>
          <w:rStyle w:val="Style1Char"/>
          <w:rFonts w:hint="cs"/>
          <w:rtl/>
        </w:rPr>
        <w:t>(3)</w:t>
      </w:r>
      <w:r w:rsidRPr="007E0541">
        <w:rPr>
          <w:rStyle w:val="Style1Char"/>
          <w:color w:val="000000" w:themeColor="text1"/>
          <w:sz w:val="22"/>
          <w:szCs w:val="22"/>
          <w:rtl/>
        </w:rPr>
        <w:t xml:space="preserve">הגיורת שנתגיירה בתה עמה וזינתה - הרי זו בחנק, אין לה לא פתח בית האב ולא מאה סלע. </w:t>
      </w:r>
      <w:r w:rsidR="009651A1">
        <w:rPr>
          <w:rStyle w:val="Style1Char"/>
          <w:rFonts w:hint="cs"/>
          <w:rtl/>
        </w:rPr>
        <w:t>(4)</w:t>
      </w:r>
      <w:r w:rsidRPr="007E0541">
        <w:rPr>
          <w:rStyle w:val="Style1Char"/>
          <w:color w:val="000000" w:themeColor="text1"/>
          <w:sz w:val="22"/>
          <w:szCs w:val="22"/>
          <w:rtl/>
        </w:rPr>
        <w:t xml:space="preserve">היתה הורתה שלא בקדושה ולידתה בקדושה - הרי זו בסקילה, ואין לה לא פתח בית האב </w:t>
      </w:r>
      <w:r w:rsidR="009651A1">
        <w:rPr>
          <w:rStyle w:val="Style1Char"/>
          <w:rFonts w:hint="cs"/>
          <w:rtl/>
        </w:rPr>
        <w:t>(5)</w:t>
      </w:r>
      <w:r w:rsidRPr="007E0541">
        <w:rPr>
          <w:rStyle w:val="Style1Char"/>
          <w:color w:val="000000" w:themeColor="text1"/>
          <w:sz w:val="22"/>
          <w:szCs w:val="22"/>
          <w:rtl/>
        </w:rPr>
        <w:t xml:space="preserve">ולא מאה סלע; היתה הורתה ולידתה בקדושה - הרי היא כבת ישראל לכל דבריה. </w:t>
      </w:r>
      <w:r w:rsidR="0070234E">
        <w:rPr>
          <w:rStyle w:val="Style1Char"/>
          <w:rFonts w:hint="cs"/>
          <w:rtl/>
        </w:rPr>
        <w:t>(</w:t>
      </w:r>
      <w:r w:rsidR="00D23328">
        <w:rPr>
          <w:rStyle w:val="Style1Char"/>
          <w:rFonts w:hint="cs"/>
          <w:rtl/>
        </w:rPr>
        <w:t>4</w:t>
      </w:r>
      <w:r w:rsidR="0070234E">
        <w:rPr>
          <w:rStyle w:val="Style1Char"/>
          <w:rFonts w:hint="cs"/>
          <w:rtl/>
        </w:rPr>
        <w:t>)</w:t>
      </w:r>
      <w:r w:rsidRPr="007E0541">
        <w:rPr>
          <w:rStyle w:val="Style1Char"/>
          <w:color w:val="000000" w:themeColor="text1"/>
          <w:sz w:val="22"/>
          <w:szCs w:val="22"/>
          <w:rtl/>
        </w:rPr>
        <w:t xml:space="preserve">יש לה אב ואין לה פתח בית האב, יש לה פתח בית האב ואין לה אב - הרי זו בסקילה, לא נאמר פתח בית אב אלא למצוה. </w:t>
      </w:r>
    </w:p>
    <w:p w14:paraId="37395DFB" w14:textId="1A1B3B04" w:rsidR="001D0746" w:rsidRPr="001D0746" w:rsidRDefault="001D0746" w:rsidP="001D0746">
      <w:pPr>
        <w:pStyle w:val="Style1"/>
        <w:rPr>
          <w:rStyle w:val="Style1Char"/>
          <w:rtl/>
        </w:rPr>
      </w:pPr>
      <w:r>
        <w:rPr>
          <w:rStyle w:val="Style1Char"/>
          <w:rFonts w:hint="cs"/>
          <w:rtl/>
        </w:rPr>
        <w:lastRenderedPageBreak/>
        <w:t>1)[</w:t>
      </w:r>
      <w:r w:rsidRPr="001D0746">
        <w:rPr>
          <w:rStyle w:val="Style1Char"/>
          <w:rtl/>
        </w:rPr>
        <w:t>רמב</w:t>
      </w:r>
      <w:r w:rsidR="00213DA1">
        <w:rPr>
          <w:rStyle w:val="Style1Char"/>
          <w:rtl/>
        </w:rPr>
        <w:t>”ם \נשים\</w:t>
      </w:r>
      <w:r w:rsidRPr="001D0746">
        <w:rPr>
          <w:rStyle w:val="Style1Char"/>
          <w:rtl/>
        </w:rPr>
        <w:t xml:space="preserve"> הלכות אישות פרק טז הלכה כט</w:t>
      </w:r>
      <w:r>
        <w:rPr>
          <w:rStyle w:val="Style1Char"/>
          <w:rFonts w:hint="cs"/>
          <w:rtl/>
        </w:rPr>
        <w:t xml:space="preserve">] </w:t>
      </w:r>
      <w:r w:rsidRPr="001D0746">
        <w:rPr>
          <w:rStyle w:val="Style1Char"/>
          <w:rtl/>
        </w:rPr>
        <w:t>הוציאה שני גיטין ושתי כתובות גובה שתי כתובות, הוציאה שתי כתובות וגט אחד אינה גובה אלא כתובה אחת, ואיזו מהן גובה, אם שתיהן שוות בטלה האחרונה את הראשונה ואינה טורפת אלא מזמן האחרונה, ואם היה באחת משתיהן תוספת על חבירתה גובה באיזו מהן שתרצה ותבטל השניה.</w:t>
      </w:r>
    </w:p>
    <w:p w14:paraId="6B8E8B50" w14:textId="3F622A9A" w:rsidR="00BA77C5" w:rsidRDefault="00BA77C5" w:rsidP="00BA77C5">
      <w:pPr>
        <w:pStyle w:val="Style1"/>
        <w:rPr>
          <w:rtl/>
        </w:rPr>
      </w:pPr>
      <w:r>
        <w:rPr>
          <w:rFonts w:hint="cs"/>
          <w:rtl/>
        </w:rPr>
        <w:t>1)[</w:t>
      </w:r>
      <w:r>
        <w:rPr>
          <w:rtl/>
        </w:rPr>
        <w:t>שולחן ערוך אבן העזר הלכות כתובות סימן ק סעיף יד</w:t>
      </w:r>
      <w:r>
        <w:rPr>
          <w:rFonts w:hint="cs"/>
          <w:rtl/>
        </w:rPr>
        <w:t xml:space="preserve">] </w:t>
      </w:r>
      <w:r>
        <w:rPr>
          <w:rtl/>
        </w:rPr>
        <w:t>הוציאה ב' כתובות וגט אחד, אינה גובה אלא כתובה אחת. ואיזו מהם גובה, אם שתיהן שוות ביטלה האחרונה את הראשונה ואינה טורפת אלא מזמן האחרונה. ואם היתה באחת משתיהן תוספת על חבירתה ולא כתב לה: ואוסיפית לך כך וכך על הראשונה, אם רוצה לגבות הראשונה גובה מזמן ראשון, או שניה מזמן שני. ואם כתב לה: ואוסיפית לה כך וכך על הראשונה, גובה ראשונה מזמן ראשון והתוספת מזמן שני. בד"א, ששתיהן מן האירוסין או מן הנשואין, אבל אם אחת מן האירוסין והשנייה מן הנשואין, בכל ענין אינה גובה אלא אותה שמן הנשואין.</w:t>
      </w:r>
    </w:p>
    <w:p w14:paraId="3409285E" w14:textId="69051CEB" w:rsidR="00010065" w:rsidRDefault="00010065" w:rsidP="00010065">
      <w:pPr>
        <w:pStyle w:val="Style1"/>
        <w:rPr>
          <w:rtl/>
        </w:rPr>
      </w:pPr>
      <w:r>
        <w:rPr>
          <w:rFonts w:hint="cs"/>
          <w:rtl/>
        </w:rPr>
        <w:t>2)[</w:t>
      </w:r>
      <w:r>
        <w:rPr>
          <w:rtl/>
        </w:rPr>
        <w:t>רמב</w:t>
      </w:r>
      <w:r w:rsidR="00C764B2">
        <w:rPr>
          <w:rtl/>
        </w:rPr>
        <w:t>”ם \קנין\</w:t>
      </w:r>
      <w:r>
        <w:rPr>
          <w:rtl/>
        </w:rPr>
        <w:t xml:space="preserve"> הלכות זכיה ומתנה פרק ה הלכה ח</w:t>
      </w:r>
      <w:r>
        <w:rPr>
          <w:rFonts w:hint="cs"/>
          <w:rtl/>
        </w:rPr>
        <w:t xml:space="preserve">] </w:t>
      </w:r>
      <w:r>
        <w:rPr>
          <w:rtl/>
        </w:rPr>
        <w:t>שני שטרות היוצאים על שדה אחת בשם קונה אחד ואין זמנם שוה, אם היה שטר אחד מכר ואחד מתנה, אם היה השטר הראשון מתנה והשני שאחריו מכר לא בטל האחרון את הראשון, שיש לומר להוסיף לו אחריות חזר וכתב בשם מכר, אף על פי שלא היה כותב שם אחריות שאחריות טעות סופר הוא, וכן אם הראשון מכר והשני מתנה קנה השדה מזמן ראשון, שלא כתב לו שטר מתנה אלא ליפות כחו ומשום דין בן המצר.</w:t>
      </w:r>
    </w:p>
    <w:p w14:paraId="02081474" w14:textId="3FEAADD2" w:rsidR="004D4A19" w:rsidRDefault="004D4A19" w:rsidP="004D4A19">
      <w:pPr>
        <w:pStyle w:val="Style1"/>
        <w:rPr>
          <w:rtl/>
        </w:rPr>
      </w:pPr>
      <w:r>
        <w:rPr>
          <w:rFonts w:hint="cs"/>
          <w:rtl/>
        </w:rPr>
        <w:t>2)[</w:t>
      </w:r>
      <w:r>
        <w:rPr>
          <w:rtl/>
        </w:rPr>
        <w:t>רמב</w:t>
      </w:r>
      <w:r w:rsidR="00C764B2">
        <w:rPr>
          <w:rtl/>
        </w:rPr>
        <w:t>”ם \קנין\</w:t>
      </w:r>
      <w:r>
        <w:rPr>
          <w:rtl/>
        </w:rPr>
        <w:t xml:space="preserve"> הלכות זכיה ומתנה פרק ה הלכה ט</w:t>
      </w:r>
      <w:r>
        <w:rPr>
          <w:rFonts w:hint="cs"/>
          <w:rtl/>
        </w:rPr>
        <w:t xml:space="preserve">] </w:t>
      </w:r>
      <w:r>
        <w:rPr>
          <w:rtl/>
        </w:rPr>
        <w:t>היו שני השטרות במכר או שניהם במתנה, אם הוסיף בשני כלום הרי הראשון קיים שלא כתב השני אלא מפני התוספת, ואם לא הוסיף ביטל שטר שני את הראשון ואין לו אחריות אלא מזמן השני, לפיכך כל הפירות שאכל הלוקח מזמן ראשון עד לזמן שני מחזיר אותם, ואם היה על אותה שדה חוק למלך בכל שנה, הנותן או המוכר נותן אותו החוק עד זמן השטר השני.</w:t>
      </w:r>
    </w:p>
    <w:p w14:paraId="10D2FDDC" w14:textId="0DD4E935" w:rsidR="005817A8" w:rsidRPr="005817A8" w:rsidRDefault="008D3E64" w:rsidP="005817A8">
      <w:pPr>
        <w:pStyle w:val="Style1"/>
      </w:pPr>
      <w:r>
        <w:rPr>
          <w:rFonts w:hint="cs"/>
          <w:rtl/>
        </w:rPr>
        <w:t>2)[</w:t>
      </w:r>
      <w:r>
        <w:rPr>
          <w:rtl/>
        </w:rPr>
        <w:t>שולחן ערוך חושן משפט הלכות אונאה ומקח טעות סימן רמ סעיף א</w:t>
      </w:r>
      <w:r>
        <w:rPr>
          <w:rFonts w:hint="cs"/>
          <w:rtl/>
        </w:rPr>
        <w:t>]</w:t>
      </w:r>
      <w:r w:rsidR="005817A8">
        <w:rPr>
          <w:rFonts w:hint="cs"/>
          <w:rtl/>
        </w:rPr>
        <w:t xml:space="preserve"> </w:t>
      </w:r>
      <w:r w:rsidR="005817A8" w:rsidRPr="005817A8">
        <w:rPr>
          <w:rtl/>
        </w:rPr>
        <w:t>שני שטרות היוצאים על שדה אחת בשם קונה אחד ואין זמנם שוה אם היה הראשון מתנה והשני מכר לא ביטל האחרון את הראשון שי"ל שלהוסיף לו אחריות חזר וכתב בשם מכר אע"פ שלא היה כתוב שם אחריות שאחריות טעות סופר הוא וכן אם הראשון מכר והשני מתנה קנה השדה מזמן הראשון שלא כתב לו שטר מתנה אלא ליפות כחו משום דין בן המצר</w:t>
      </w:r>
      <w:r w:rsidR="005817A8" w:rsidRPr="005817A8">
        <w:t>:</w:t>
      </w:r>
    </w:p>
    <w:p w14:paraId="09619F44" w14:textId="68A3A9D0" w:rsidR="005817A8" w:rsidRDefault="005817A8" w:rsidP="005817A8">
      <w:pPr>
        <w:pStyle w:val="Style1"/>
      </w:pPr>
      <w:r w:rsidRPr="005817A8">
        <w:rPr>
          <w:rFonts w:hint="cs"/>
          <w:rtl/>
        </w:rPr>
        <w:t>הגה: או לשאר דברים שמתנה עדיפא ממכר וצריך שלא יראה בבית דין רק האחרון דאם מראה שניהן הראשון עיקר (טור) וי"א דאם האחרון במכר אע"פ שמראה שניהם בב"ד שניהן קיימין (טור שם בשם הרמ"ה)</w:t>
      </w:r>
      <w:r w:rsidRPr="005817A8">
        <w:t>:</w:t>
      </w:r>
    </w:p>
    <w:p w14:paraId="6EBF59D5" w14:textId="17A70FE3" w:rsidR="00793837" w:rsidRPr="00360E69" w:rsidRDefault="00793837" w:rsidP="00EA3F7C">
      <w:pPr>
        <w:pStyle w:val="Style1"/>
      </w:pPr>
      <w:r>
        <w:rPr>
          <w:rFonts w:hint="cs"/>
          <w:rtl/>
        </w:rPr>
        <w:t>2)[</w:t>
      </w:r>
      <w:r w:rsidR="00EF52A6">
        <w:rPr>
          <w:rtl/>
        </w:rPr>
        <w:t>שולחן ערוך חושן משפט הלכות אונאה ומקח טעות סימן רמ סעיף ב</w:t>
      </w:r>
      <w:r>
        <w:rPr>
          <w:rFonts w:hint="cs"/>
          <w:rtl/>
        </w:rPr>
        <w:t>]</w:t>
      </w:r>
      <w:r w:rsidR="00EA3F7C">
        <w:rPr>
          <w:rFonts w:hint="cs"/>
          <w:rtl/>
        </w:rPr>
        <w:t xml:space="preserve"> </w:t>
      </w:r>
      <w:r w:rsidRPr="00360E69">
        <w:rPr>
          <w:rtl/>
        </w:rPr>
        <w:t>היו ב' השטרות במכר או שניהם במתנה אם הוסיף בשני כלום הרי הראשון קיים שלא כתב ה</w:t>
      </w:r>
      <w:r w:rsidRPr="00360E69">
        <w:rPr>
          <w:rFonts w:hint="cs"/>
          <w:rtl/>
        </w:rPr>
        <w:t>שני</w:t>
      </w:r>
      <w:r w:rsidRPr="00360E69">
        <w:rPr>
          <w:rtl/>
        </w:rPr>
        <w:t xml:space="preserve"> אלא מפני התוס' ואם לא הוסיף בטל שטר השני את הראשון ואין לו אחריות אלא מזמן שני לפיכך כל הפירות שאכל הלוקח מזמן ראשון עד זמן שני מחזיר אותם ואם היה על אותה שדה חוק למלך בכל שנה הנותן או המוכר נותן אותו החוק עד זמן השטר השני</w:t>
      </w:r>
      <w:r w:rsidRPr="00360E69">
        <w:t>:</w:t>
      </w:r>
    </w:p>
    <w:p w14:paraId="3DE62BC0" w14:textId="2F4401C0" w:rsidR="00793837" w:rsidRDefault="00793837" w:rsidP="00360E69">
      <w:pPr>
        <w:pStyle w:val="Style1"/>
        <w:rPr>
          <w:rtl/>
        </w:rPr>
      </w:pPr>
      <w:r w:rsidRPr="00360E69">
        <w:rPr>
          <w:rFonts w:hint="cs"/>
          <w:rtl/>
        </w:rPr>
        <w:t>הגה: וכ"ש אם כ' לו תחילה שדה שלם ואח"כ חצי שדה (ר"ן פ' נערה) שכיב מרע שאמר תנו מנה לפלוני וחזר ואמר כן אין לו אלא מנה אחת הואיל ולא אמר עוד תנו (מרדכי פרק נערה והגמ"ר דב"ב)</w:t>
      </w:r>
      <w:r w:rsidRPr="00360E69">
        <w:t>:</w:t>
      </w:r>
    </w:p>
    <w:p w14:paraId="5F03E104" w14:textId="3A5F5D58" w:rsidR="00D23328" w:rsidRDefault="00D23328" w:rsidP="00D23328">
      <w:pPr>
        <w:pStyle w:val="Style1"/>
        <w:rPr>
          <w:rtl/>
        </w:rPr>
      </w:pPr>
      <w:r>
        <w:rPr>
          <w:rFonts w:hint="cs"/>
          <w:rtl/>
        </w:rPr>
        <w:t>3)[</w:t>
      </w:r>
      <w:r>
        <w:rPr>
          <w:rtl/>
        </w:rPr>
        <w:t>רמב</w:t>
      </w:r>
      <w:r w:rsidR="00213DA1">
        <w:rPr>
          <w:rtl/>
        </w:rPr>
        <w:t>”ם \קדושה\</w:t>
      </w:r>
      <w:r>
        <w:rPr>
          <w:rtl/>
        </w:rPr>
        <w:t xml:space="preserve"> הלכות איסורי ביאה פרק ג הלכה ז</w:t>
      </w:r>
      <w:r>
        <w:rPr>
          <w:rFonts w:hint="cs"/>
          <w:rtl/>
        </w:rPr>
        <w:t xml:space="preserve">] </w:t>
      </w:r>
      <w:r>
        <w:rPr>
          <w:rtl/>
        </w:rPr>
        <w:t>נערה מאורשה שהיתה משוחררת או גיורת אף על פי שנשתחררה ונתגיירה והיא פחותה מבת שלש שנים ויום אחד הרי זו בחנק ככל אשת איש.</w:t>
      </w:r>
    </w:p>
    <w:p w14:paraId="4550618E" w14:textId="6E441A9B" w:rsidR="00507DB5" w:rsidRDefault="00507DB5" w:rsidP="00507DB5">
      <w:pPr>
        <w:pStyle w:val="Style1"/>
        <w:rPr>
          <w:rtl/>
        </w:rPr>
      </w:pPr>
      <w:r>
        <w:rPr>
          <w:rFonts w:hint="cs"/>
          <w:rtl/>
        </w:rPr>
        <w:t>4)[</w:t>
      </w:r>
      <w:r>
        <w:rPr>
          <w:rtl/>
        </w:rPr>
        <w:t>רמב</w:t>
      </w:r>
      <w:r w:rsidR="00213DA1">
        <w:rPr>
          <w:rtl/>
        </w:rPr>
        <w:t>”ם \קדושה\</w:t>
      </w:r>
      <w:r>
        <w:rPr>
          <w:rtl/>
        </w:rPr>
        <w:t xml:space="preserve"> הלכות איסורי ביאה פרק ג הלכה יא</w:t>
      </w:r>
      <w:r>
        <w:rPr>
          <w:rFonts w:hint="cs"/>
          <w:rtl/>
        </w:rPr>
        <w:t xml:space="preserve">] </w:t>
      </w:r>
      <w:r>
        <w:rPr>
          <w:rtl/>
        </w:rPr>
        <w:t>היתה הורתה שלא בקדושה ולידתה בקדושה נסקלת על פתח שער העיר, כל מי שמצותה לסקול אותה על פתח שער העיר אם היתה עיר שרובה עכו"ם סוקלין אותה על פתח ב"ד, וכל מי שמצותה לסקול אותה על פתח בית אביה אם לא היה לה אב או שהיה לה אב ולא היה לו בית הרי זו נסקלת בבית הסקילה, לא נאמר פתח בית אב אלא למצוה.</w:t>
      </w:r>
    </w:p>
    <w:p w14:paraId="006E5721" w14:textId="3D513A9D" w:rsidR="00492377" w:rsidRPr="00360E69" w:rsidRDefault="00492377" w:rsidP="00492377">
      <w:pPr>
        <w:pStyle w:val="Style1"/>
      </w:pPr>
      <w:r>
        <w:rPr>
          <w:rFonts w:hint="cs"/>
          <w:rtl/>
        </w:rPr>
        <w:t>5)[</w:t>
      </w:r>
      <w:r>
        <w:rPr>
          <w:rtl/>
        </w:rPr>
        <w:t>רמב</w:t>
      </w:r>
      <w:r w:rsidR="00786216">
        <w:rPr>
          <w:rtl/>
        </w:rPr>
        <w:t>”ם \נשים\</w:t>
      </w:r>
      <w:r>
        <w:rPr>
          <w:rtl/>
        </w:rPr>
        <w:t xml:space="preserve"> הלכות נערה בתולה פרק ג הלכה ח</w:t>
      </w:r>
      <w:r>
        <w:rPr>
          <w:rFonts w:hint="cs"/>
          <w:rtl/>
        </w:rPr>
        <w:t xml:space="preserve">] </w:t>
      </w:r>
      <w:r>
        <w:rPr>
          <w:rtl/>
        </w:rPr>
        <w:t>כל נערה שאין לה קנס אם נאנסה או נתפתתה כך המוציא עליה שם רע פטור מן המלקות ומן התשלומין, וכן הנכרית שנתגיירה והשפחה שנשתחררה פחותה מבת שלש שנים אפילו היתה הורתה שלא בקדושה ולידתה בקדושה המוציא עליה שם רע פטור מן הקנס ומן המלקות שנ' כי הוציא שם רע על בתולת ישראל עד שתהיה הורתה ולידתה בקדושה.</w:t>
      </w:r>
    </w:p>
    <w:p w14:paraId="2E08BAFC" w14:textId="77777777" w:rsidR="00793837" w:rsidRPr="00360E69" w:rsidRDefault="00793837" w:rsidP="00360E69">
      <w:pPr>
        <w:pStyle w:val="Style1"/>
      </w:pPr>
    </w:p>
    <w:p w14:paraId="69B6873F" w14:textId="0C2CB958" w:rsidR="00EF52A6" w:rsidRPr="005817A8" w:rsidRDefault="00EF52A6" w:rsidP="00EF52A6">
      <w:pPr>
        <w:pStyle w:val="Style1"/>
      </w:pPr>
    </w:p>
    <w:p w14:paraId="564B0565" w14:textId="77777777" w:rsidR="005817A8" w:rsidRPr="005817A8" w:rsidRDefault="005817A8" w:rsidP="005817A8">
      <w:pPr>
        <w:pStyle w:val="Style1"/>
      </w:pPr>
    </w:p>
    <w:p w14:paraId="11882C8D" w14:textId="519D5808" w:rsidR="008D3E64" w:rsidRPr="00BC1904" w:rsidRDefault="008D3E64" w:rsidP="008D3E64">
      <w:pPr>
        <w:pStyle w:val="Style1"/>
      </w:pPr>
    </w:p>
    <w:p w14:paraId="06520BB3" w14:textId="25822E20" w:rsidR="000357F0" w:rsidRPr="00273548" w:rsidRDefault="000357F0" w:rsidP="00BA77C5">
      <w:pPr>
        <w:bidi/>
        <w:rPr>
          <w:rStyle w:val="Style1Char"/>
          <w:color w:val="00B050"/>
          <w:sz w:val="22"/>
          <w:szCs w:val="22"/>
          <w:rtl/>
        </w:rPr>
      </w:pPr>
      <w:r w:rsidRPr="00273548">
        <w:rPr>
          <w:rStyle w:val="Style1Char"/>
          <w:color w:val="00B050"/>
          <w:sz w:val="22"/>
          <w:szCs w:val="22"/>
          <w:rtl/>
        </w:rPr>
        <w:br w:type="page"/>
      </w:r>
    </w:p>
    <w:p w14:paraId="1497789E" w14:textId="71FB5E37" w:rsidR="000357F0" w:rsidRDefault="000357F0" w:rsidP="000357F0">
      <w:pPr>
        <w:bidi/>
        <w:rPr>
          <w:rStyle w:val="Style1Char"/>
          <w:sz w:val="22"/>
          <w:szCs w:val="22"/>
          <w:rtl/>
        </w:rPr>
      </w:pPr>
      <w:r w:rsidRPr="002F2700">
        <w:rPr>
          <w:rStyle w:val="Style1Char"/>
          <w:color w:val="00B050"/>
          <w:sz w:val="22"/>
          <w:szCs w:val="22"/>
          <w:highlight w:val="yellow"/>
          <w:rtl/>
        </w:rPr>
        <w:lastRenderedPageBreak/>
        <w:t>[דף מד עמוד ב]</w:t>
      </w:r>
      <w:r w:rsidRPr="002F2700">
        <w:rPr>
          <w:rStyle w:val="Style1Char"/>
          <w:color w:val="00B050"/>
          <w:sz w:val="22"/>
          <w:szCs w:val="22"/>
          <w:rtl/>
        </w:rPr>
        <w:t xml:space="preserve"> </w:t>
      </w:r>
      <w:r w:rsidRPr="002F2700">
        <w:rPr>
          <w:rStyle w:val="Style1Char"/>
          <w:color w:val="00B050"/>
          <w:rtl/>
        </w:rPr>
        <w:t>גמ'. מנא הני מילי? אמר ר"ל, דאמר קרא: ומתה, לרבות הורתה שלא בקדושה ולידתה בקדושה. אי הכי, מילקא נמי נילקי, ומאה סלע נמי לשלם! אמר קרא: ומתה, למיתה נתרבתה ולא לקנס. ואימא: לרבות הורתה ולידתה בקדושה! ההיא ישראלית מעלייתא היא. ואימא: לרבות הורתה ולידתה שלא בקדושה! א"כ, בישראל מאי אהני ליה</w:t>
      </w:r>
      <w:r w:rsidRPr="00267BBC">
        <w:rPr>
          <w:rStyle w:val="Style1Char"/>
          <w:sz w:val="24"/>
          <w:szCs w:val="24"/>
          <w:rtl/>
        </w:rPr>
        <w:t xml:space="preserve">. </w:t>
      </w:r>
      <w:r w:rsidRPr="00520407">
        <w:rPr>
          <w:rStyle w:val="Style1Char"/>
          <w:color w:val="000000" w:themeColor="text1"/>
          <w:sz w:val="24"/>
          <w:szCs w:val="24"/>
          <w:rtl/>
        </w:rPr>
        <w:t>אמר ר' יוסי בר חנינא: המוציא שם רע על היתומה - פטור, שנאמר: ונתנו לאבי הנערה, פרט לזו שאין לה אב</w:t>
      </w:r>
      <w:r w:rsidRPr="00267BBC">
        <w:rPr>
          <w:rStyle w:val="Style1Char"/>
          <w:sz w:val="24"/>
          <w:szCs w:val="24"/>
          <w:rtl/>
        </w:rPr>
        <w:t>.</w:t>
      </w:r>
      <w:r w:rsidRPr="002F2700">
        <w:rPr>
          <w:rStyle w:val="Style1Char"/>
          <w:color w:val="00B050"/>
          <w:rtl/>
        </w:rPr>
        <w:t xml:space="preserve"> מתיב ר' יוסי בר אבין, ואיתימא ר' יוסי בר זבידא: ואם מאן ימאן אביה - לרבות יתומה לקנס, דברי ר' יוסי הגלילי! הוא מותיב לה, והוא מפרק לה: בבא עליה ואח"כ נתיתמה. </w:t>
      </w:r>
      <w:r w:rsidRPr="00520407">
        <w:rPr>
          <w:rStyle w:val="Style1Char"/>
          <w:color w:val="000000" w:themeColor="text1"/>
          <w:sz w:val="22"/>
          <w:szCs w:val="22"/>
          <w:rtl/>
        </w:rPr>
        <w:t xml:space="preserve">רבא אמר: </w:t>
      </w:r>
      <w:r w:rsidR="003B091F">
        <w:rPr>
          <w:rStyle w:val="Style1Char"/>
          <w:rFonts w:hint="cs"/>
          <w:rtl/>
        </w:rPr>
        <w:t>(1)</w:t>
      </w:r>
      <w:r w:rsidRPr="00520407">
        <w:rPr>
          <w:rStyle w:val="Style1Char"/>
          <w:color w:val="000000" w:themeColor="text1"/>
          <w:sz w:val="22"/>
          <w:szCs w:val="22"/>
          <w:rtl/>
        </w:rPr>
        <w:t>חייב</w:t>
      </w:r>
      <w:r w:rsidRPr="00520407">
        <w:rPr>
          <w:rStyle w:val="Style1Char"/>
          <w:color w:val="000000" w:themeColor="text1"/>
          <w:rtl/>
        </w:rPr>
        <w:t xml:space="preserve"> </w:t>
      </w:r>
      <w:r w:rsidRPr="00520407">
        <w:rPr>
          <w:rStyle w:val="Style1Char"/>
          <w:color w:val="806000" w:themeColor="accent4" w:themeShade="80"/>
          <w:sz w:val="22"/>
          <w:szCs w:val="22"/>
          <w:rtl/>
        </w:rPr>
        <w:t>וכן הילכתא</w:t>
      </w:r>
      <w:r w:rsidRPr="007E2A89">
        <w:rPr>
          <w:rStyle w:val="Style1Char"/>
          <w:sz w:val="22"/>
          <w:szCs w:val="22"/>
          <w:rtl/>
        </w:rPr>
        <w:t xml:space="preserve">. </w:t>
      </w:r>
      <w:r w:rsidRPr="002F2700">
        <w:rPr>
          <w:rStyle w:val="Style1Char"/>
          <w:color w:val="00B050"/>
          <w:rtl/>
        </w:rPr>
        <w:t xml:space="preserve">ממאי? מדתני אמי: בתולת ישראל - ולא בתולת גרים; אי אמרת בשלמא כי האי גוונא בישראל מיחייב, היינו דאיצטריך קרא למעוטי גרים, אלא אי אמרת בישראל כה"ג פטור, השתא בישראל פטור, בגרים מיבעיא? </w:t>
      </w:r>
      <w:r w:rsidRPr="00520407">
        <w:rPr>
          <w:rStyle w:val="Style1Char"/>
          <w:color w:val="auto"/>
          <w:sz w:val="22"/>
          <w:szCs w:val="22"/>
          <w:rtl/>
        </w:rPr>
        <w:t xml:space="preserve">אמר ריש לקיש: </w:t>
      </w:r>
      <w:r w:rsidR="00A33B7F">
        <w:rPr>
          <w:rStyle w:val="Style1Char"/>
          <w:rFonts w:hint="cs"/>
          <w:rtl/>
        </w:rPr>
        <w:t>(2)</w:t>
      </w:r>
      <w:r w:rsidRPr="00520407">
        <w:rPr>
          <w:rStyle w:val="Style1Char"/>
          <w:color w:val="auto"/>
          <w:sz w:val="22"/>
          <w:szCs w:val="22"/>
          <w:rtl/>
        </w:rPr>
        <w:t>המוציא שם רע על הקטנה - פטור, שנאמר: ונתנו לאבי הנערה, נערה מלא דבר הכתוב.</w:t>
      </w:r>
      <w:r w:rsidRPr="002F2700">
        <w:rPr>
          <w:rStyle w:val="Style1Char"/>
          <w:color w:val="00B050"/>
          <w:rtl/>
        </w:rPr>
        <w:t xml:space="preserve"> מתקיף לה רב אחא בר אבא: טעמא דכתיב בה הנערה, הא לאו הכי - הוה אמינא אפילו קטנה, הא כתיב: ואם אמת היה הדבר הזה לא נמצאו בתולים לנערה, והוציאו את הנערה אל פתח בית אביה וסקלוה, וקטנה לאו בת עונשין היא! אלא כאן נערה, </w:t>
      </w:r>
      <w:r w:rsidRPr="00520407">
        <w:rPr>
          <w:rStyle w:val="Style1Char"/>
          <w:color w:val="auto"/>
          <w:sz w:val="22"/>
          <w:szCs w:val="22"/>
          <w:rtl/>
        </w:rPr>
        <w:t>הא כל מקום שנאמר נער - אפילו קטנה במשמע</w:t>
      </w:r>
      <w:r w:rsidRPr="00520407">
        <w:rPr>
          <w:rStyle w:val="Style1Char"/>
          <w:color w:val="auto"/>
          <w:rtl/>
        </w:rPr>
        <w:t xml:space="preserve">. </w:t>
      </w:r>
      <w:r w:rsidRPr="00567B71">
        <w:rPr>
          <w:rStyle w:val="Style1Char"/>
          <w:sz w:val="22"/>
          <w:szCs w:val="22"/>
          <w:rtl/>
        </w:rPr>
        <w:t xml:space="preserve">תני שילא, שלש מדות בנערה: באו לה עדים בבית חמיה שזינתה בבית אביה – </w:t>
      </w:r>
    </w:p>
    <w:p w14:paraId="51ACF3CE" w14:textId="41B90DF8" w:rsidR="009D68DF" w:rsidRDefault="009D68DF" w:rsidP="009D68DF">
      <w:pPr>
        <w:pStyle w:val="Style1"/>
        <w:rPr>
          <w:rStyle w:val="Style1Char"/>
          <w:rtl/>
        </w:rPr>
      </w:pPr>
      <w:r>
        <w:rPr>
          <w:rStyle w:val="Style1Char"/>
          <w:rFonts w:hint="cs"/>
          <w:rtl/>
        </w:rPr>
        <w:t>1)[</w:t>
      </w:r>
      <w:r w:rsidRPr="009D68DF">
        <w:rPr>
          <w:rStyle w:val="Style1Char"/>
          <w:rtl/>
        </w:rPr>
        <w:t>רמב</w:t>
      </w:r>
      <w:r w:rsidR="00786216">
        <w:rPr>
          <w:rStyle w:val="Style1Char"/>
          <w:rtl/>
        </w:rPr>
        <w:t>”ם \נשים\</w:t>
      </w:r>
      <w:r w:rsidRPr="009D68DF">
        <w:rPr>
          <w:rStyle w:val="Style1Char"/>
          <w:rtl/>
        </w:rPr>
        <w:t xml:space="preserve"> הלכות נערה בתולה פרק ג הלכה א</w:t>
      </w:r>
      <w:r>
        <w:rPr>
          <w:rStyle w:val="Style1Char"/>
          <w:rFonts w:hint="cs"/>
          <w:rtl/>
        </w:rPr>
        <w:t xml:space="preserve">] </w:t>
      </w:r>
      <w:r w:rsidRPr="009D68DF">
        <w:rPr>
          <w:rStyle w:val="Style1Char"/>
          <w:rtl/>
        </w:rPr>
        <w:t xml:space="preserve">המוציא שם רע על בת ישראל ונמצא הדבר שקר לוקה שנ' </w:t>
      </w:r>
      <w:r>
        <w:rPr>
          <w:rStyle w:val="Style1Char"/>
          <w:rFonts w:hint="cs"/>
          <w:rtl/>
        </w:rPr>
        <w:t>(</w:t>
      </w:r>
      <w:r w:rsidRPr="009D68DF">
        <w:rPr>
          <w:rStyle w:val="Style1Char"/>
          <w:rtl/>
        </w:rPr>
        <w:t>דברים כ"ב י"ח</w:t>
      </w:r>
      <w:r>
        <w:rPr>
          <w:rStyle w:val="Style1Char"/>
          <w:rFonts w:hint="cs"/>
          <w:rtl/>
        </w:rPr>
        <w:t>)</w:t>
      </w:r>
      <w:r w:rsidRPr="009D68DF">
        <w:rPr>
          <w:rStyle w:val="Style1Char"/>
          <w:rtl/>
        </w:rPr>
        <w:t xml:space="preserve"> ויסרו אותו ואזהרה שלו </w:t>
      </w:r>
      <w:r>
        <w:rPr>
          <w:rStyle w:val="Style1Char"/>
          <w:rFonts w:hint="cs"/>
          <w:rtl/>
        </w:rPr>
        <w:t>(</w:t>
      </w:r>
      <w:r w:rsidRPr="009D68DF">
        <w:rPr>
          <w:rStyle w:val="Style1Char"/>
          <w:rtl/>
        </w:rPr>
        <w:t>ויקרא י"ט ט"ז</w:t>
      </w:r>
      <w:r>
        <w:rPr>
          <w:rStyle w:val="Style1Char"/>
          <w:rFonts w:hint="cs"/>
          <w:rtl/>
        </w:rPr>
        <w:t>)</w:t>
      </w:r>
      <w:r w:rsidRPr="009D68DF">
        <w:rPr>
          <w:rStyle w:val="Style1Char"/>
          <w:rtl/>
        </w:rPr>
        <w:t xml:space="preserve"> מלא תלך רכיל בעמך, ונותן לאביה משקל מאה סלעים כסף מזוקק ואם היתה יתומה הרי הן של עצמה.</w:t>
      </w:r>
    </w:p>
    <w:p w14:paraId="14BE3067" w14:textId="5B5EE609" w:rsidR="00193E23" w:rsidRPr="00AE64BF" w:rsidRDefault="00193E23" w:rsidP="00193E23">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5F53930B" w14:textId="77777777" w:rsidR="00193E23" w:rsidRPr="00AE64BF" w:rsidRDefault="00193E23" w:rsidP="00193E23">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243CEC9B" w14:textId="77777777" w:rsidR="00193E23" w:rsidRPr="00AE64BF" w:rsidRDefault="00193E23" w:rsidP="00193E23">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504DC775" w14:textId="7ED4DE2B" w:rsidR="00193E23" w:rsidRDefault="00193E23" w:rsidP="00193E23">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w:t>
      </w:r>
      <w:r w:rsidRPr="00AE64BF">
        <w:rPr>
          <w:rStyle w:val="Style1Char"/>
          <w:rtl/>
        </w:rPr>
        <w:lastRenderedPageBreak/>
        <w:t xml:space="preserve">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475C00D2" w14:textId="564FDBDF" w:rsidR="00B4556D" w:rsidRDefault="00B4556D" w:rsidP="00B4556D">
      <w:pPr>
        <w:pStyle w:val="Style1"/>
        <w:rPr>
          <w:rStyle w:val="Style1Char"/>
          <w:rtl/>
        </w:rPr>
      </w:pPr>
      <w:r>
        <w:rPr>
          <w:rStyle w:val="Style1Char"/>
          <w:rFonts w:hint="cs"/>
          <w:rtl/>
        </w:rPr>
        <w:t>2)[</w:t>
      </w:r>
      <w:r w:rsidRPr="00B4556D">
        <w:rPr>
          <w:rStyle w:val="Style1Char"/>
          <w:rtl/>
        </w:rPr>
        <w:t>רמב</w:t>
      </w:r>
      <w:r w:rsidR="00786216">
        <w:rPr>
          <w:rStyle w:val="Style1Char"/>
          <w:rtl/>
        </w:rPr>
        <w:t>”ם \נשים\</w:t>
      </w:r>
      <w:r w:rsidRPr="00B4556D">
        <w:rPr>
          <w:rStyle w:val="Style1Char"/>
          <w:rtl/>
        </w:rPr>
        <w:t xml:space="preserve"> הלכות נערה בתולה פרק ג הלכה ב</w:t>
      </w:r>
      <w:r>
        <w:rPr>
          <w:rStyle w:val="Style1Char"/>
          <w:rFonts w:hint="cs"/>
          <w:rtl/>
        </w:rPr>
        <w:t xml:space="preserve">] </w:t>
      </w:r>
      <w:r w:rsidRPr="00B4556D">
        <w:rPr>
          <w:rStyle w:val="Style1Char"/>
          <w:rtl/>
        </w:rPr>
        <w:t xml:space="preserve">והמוציא שם רע על הקטנה או על הבוגרת פטור מן הקנס ומן המלקות ואינו חייב עד שיוציא על הנערה שנ' </w:t>
      </w:r>
      <w:r>
        <w:rPr>
          <w:rStyle w:val="Style1Char"/>
          <w:rFonts w:hint="cs"/>
          <w:rtl/>
        </w:rPr>
        <w:t>(</w:t>
      </w:r>
      <w:r w:rsidRPr="00B4556D">
        <w:rPr>
          <w:rStyle w:val="Style1Char"/>
          <w:rtl/>
        </w:rPr>
        <w:t>דברים כ"ב ט"ו - כ'</w:t>
      </w:r>
      <w:r>
        <w:rPr>
          <w:rStyle w:val="Style1Char"/>
          <w:rFonts w:hint="cs"/>
          <w:rtl/>
        </w:rPr>
        <w:t>)</w:t>
      </w:r>
      <w:r w:rsidRPr="00B4556D">
        <w:rPr>
          <w:rStyle w:val="Style1Char"/>
          <w:rtl/>
        </w:rPr>
        <w:t xml:space="preserve"> והוציאו את בתולי הנערה נערה מלא דבר הכתוב.</w:t>
      </w:r>
    </w:p>
    <w:p w14:paraId="69C902C6" w14:textId="23416555" w:rsidR="00193E23" w:rsidRPr="009D68DF" w:rsidRDefault="00193E23" w:rsidP="00193E23">
      <w:pPr>
        <w:pStyle w:val="Style1"/>
        <w:rPr>
          <w:rStyle w:val="Style1Char"/>
        </w:rPr>
      </w:pPr>
    </w:p>
    <w:p w14:paraId="11FB0DC8" w14:textId="77777777" w:rsidR="000357F0" w:rsidRPr="00520407" w:rsidRDefault="000357F0" w:rsidP="000357F0">
      <w:pPr>
        <w:bidi/>
        <w:rPr>
          <w:rStyle w:val="Style1Char"/>
          <w:sz w:val="22"/>
          <w:szCs w:val="22"/>
          <w:rtl/>
        </w:rPr>
      </w:pPr>
    </w:p>
    <w:p w14:paraId="674C76F6" w14:textId="77777777" w:rsidR="000357F0" w:rsidRPr="001D4E59" w:rsidRDefault="000357F0" w:rsidP="000357F0">
      <w:pPr>
        <w:bidi/>
        <w:rPr>
          <w:rStyle w:val="Style1Char"/>
          <w:color w:val="C00000"/>
        </w:rPr>
      </w:pPr>
      <w:r w:rsidRPr="001D4E59">
        <w:rPr>
          <w:rStyle w:val="Style1Char"/>
          <w:color w:val="C00000"/>
          <w:rtl/>
        </w:rPr>
        <w:t xml:space="preserve"> </w:t>
      </w:r>
    </w:p>
    <w:p w14:paraId="7B7CBC3E" w14:textId="77777777" w:rsidR="000357F0" w:rsidRPr="00267BBC" w:rsidRDefault="000357F0" w:rsidP="000357F0">
      <w:pPr>
        <w:bidi/>
        <w:rPr>
          <w:rStyle w:val="Style1Char"/>
          <w:sz w:val="22"/>
          <w:szCs w:val="22"/>
          <w:rtl/>
        </w:rPr>
      </w:pPr>
    </w:p>
    <w:p w14:paraId="7B4E808B" w14:textId="77777777" w:rsidR="000357F0" w:rsidRPr="001D4E59" w:rsidRDefault="000357F0" w:rsidP="000357F0">
      <w:pPr>
        <w:bidi/>
        <w:rPr>
          <w:rStyle w:val="Style1Char"/>
          <w:color w:val="C00000"/>
        </w:rPr>
      </w:pPr>
    </w:p>
    <w:p w14:paraId="0DA6559A" w14:textId="77777777" w:rsidR="000357F0" w:rsidRPr="008D71AA" w:rsidRDefault="000357F0" w:rsidP="000357F0">
      <w:pPr>
        <w:bidi/>
        <w:rPr>
          <w:rStyle w:val="Style1Char"/>
          <w:color w:val="00B050"/>
          <w:rtl/>
        </w:rPr>
      </w:pPr>
    </w:p>
    <w:p w14:paraId="412EA739" w14:textId="77777777" w:rsidR="000357F0" w:rsidRDefault="000357F0" w:rsidP="000357F0">
      <w:pPr>
        <w:rPr>
          <w:rStyle w:val="Style1Char"/>
          <w:color w:val="00B050"/>
          <w:rtl/>
        </w:rPr>
      </w:pPr>
      <w:r>
        <w:rPr>
          <w:rStyle w:val="Style1Char"/>
          <w:color w:val="00B050"/>
          <w:rtl/>
        </w:rPr>
        <w:br w:type="page"/>
      </w:r>
    </w:p>
    <w:p w14:paraId="35D20AFA" w14:textId="02458E21" w:rsidR="000357F0" w:rsidRDefault="000357F0" w:rsidP="000357F0">
      <w:pPr>
        <w:bidi/>
        <w:rPr>
          <w:rStyle w:val="Style1Char"/>
          <w:color w:val="00B050"/>
          <w:rtl/>
        </w:rPr>
      </w:pPr>
      <w:r w:rsidRPr="00567B71">
        <w:rPr>
          <w:rStyle w:val="Style1Char"/>
          <w:sz w:val="22"/>
          <w:szCs w:val="22"/>
          <w:highlight w:val="yellow"/>
          <w:rtl/>
        </w:rPr>
        <w:lastRenderedPageBreak/>
        <w:t>[דף מה עמוד א]</w:t>
      </w:r>
      <w:r w:rsidRPr="00567B71">
        <w:rPr>
          <w:rStyle w:val="Style1Char"/>
          <w:sz w:val="22"/>
          <w:szCs w:val="22"/>
          <w:rtl/>
        </w:rPr>
        <w:t xml:space="preserve"> סוקלין אותה על פתח בית אביה, כלומר: ראו גידולים שגידלתם; באו לה עדים בבית אביה שזינתה בבית אביה - סוקלין אותה על פתח שער העיר; סרחה ולבסוף בגרה - תידון בחנק. למימרא, דכל היכא דאישתני גופא אישתני קטלא;</w:t>
      </w:r>
      <w:r w:rsidRPr="00567B71">
        <w:rPr>
          <w:rStyle w:val="Style1Char"/>
          <w:rtl/>
        </w:rPr>
        <w:t xml:space="preserve"> </w:t>
      </w:r>
      <w:r w:rsidRPr="00567B71">
        <w:rPr>
          <w:rStyle w:val="Style1Char"/>
          <w:sz w:val="22"/>
          <w:szCs w:val="22"/>
          <w:rtl/>
        </w:rPr>
        <w:t xml:space="preserve">ורמינהי: </w:t>
      </w:r>
      <w:r w:rsidR="00846918">
        <w:rPr>
          <w:rStyle w:val="Style1Char"/>
          <w:rFonts w:hint="cs"/>
          <w:rtl/>
        </w:rPr>
        <w:t>(1)</w:t>
      </w:r>
      <w:r w:rsidRPr="00567B71">
        <w:rPr>
          <w:rStyle w:val="Style1Char"/>
          <w:sz w:val="22"/>
          <w:szCs w:val="22"/>
          <w:rtl/>
        </w:rPr>
        <w:t xml:space="preserve">נערה המאורסה שזינתה, ומשבגרה הוציא עליה שם רע - הוא אינו לוקה ואינו נותן מאה סלע, היא וזוממיה מקדימין לבית הסקילה; היא וזוממיה ס"ד? </w:t>
      </w:r>
      <w:r w:rsidR="00B87DF0">
        <w:rPr>
          <w:rStyle w:val="Style1Char"/>
          <w:rFonts w:hint="cs"/>
          <w:rtl/>
        </w:rPr>
        <w:t>(1, 2)</w:t>
      </w:r>
      <w:r w:rsidRPr="00567B71">
        <w:rPr>
          <w:rStyle w:val="Style1Char"/>
          <w:sz w:val="22"/>
          <w:szCs w:val="22"/>
          <w:rtl/>
        </w:rPr>
        <w:t xml:space="preserve">אלא, או היא או זוממיה מקדימין לבית הסקילה! אמר רבא: מוציא שם רע קאמרת? </w:t>
      </w:r>
      <w:r w:rsidR="00965850">
        <w:rPr>
          <w:rStyle w:val="Style1Char"/>
          <w:rFonts w:hint="cs"/>
          <w:rtl/>
        </w:rPr>
        <w:t>(3)</w:t>
      </w:r>
      <w:r w:rsidRPr="00567B71">
        <w:rPr>
          <w:rStyle w:val="Style1Char"/>
          <w:sz w:val="22"/>
          <w:szCs w:val="22"/>
          <w:rtl/>
        </w:rPr>
        <w:t>שאני מוציא שם רע דחידוש הוא</w:t>
      </w:r>
      <w:r w:rsidRPr="00567B71">
        <w:rPr>
          <w:rStyle w:val="Style1Char"/>
          <w:color w:val="C00000"/>
          <w:rtl/>
        </w:rPr>
        <w:t xml:space="preserve"> </w:t>
      </w:r>
      <w:r w:rsidRPr="00567B71">
        <w:rPr>
          <w:rStyle w:val="Style1Char"/>
          <w:color w:val="C00000"/>
          <w:sz w:val="22"/>
          <w:szCs w:val="22"/>
          <w:rtl/>
        </w:rPr>
        <w:t>שחידשה תורה</w:t>
      </w:r>
      <w:r w:rsidRPr="00567B71">
        <w:rPr>
          <w:rStyle w:val="Style1Char"/>
          <w:sz w:val="22"/>
          <w:szCs w:val="22"/>
          <w:rtl/>
        </w:rPr>
        <w:t xml:space="preserve">, </w:t>
      </w:r>
      <w:r w:rsidRPr="005E4720">
        <w:rPr>
          <w:rStyle w:val="Style1Char"/>
          <w:sz w:val="22"/>
          <w:szCs w:val="22"/>
          <w:rtl/>
        </w:rPr>
        <w:t xml:space="preserve">דהא </w:t>
      </w:r>
      <w:r w:rsidRPr="005E4720">
        <w:rPr>
          <w:rStyle w:val="Style1Char"/>
          <w:color w:val="C00000"/>
          <w:sz w:val="22"/>
          <w:szCs w:val="22"/>
          <w:rtl/>
        </w:rPr>
        <w:t xml:space="preserve">נערה המאורסה דעלמא שזינתה בסקילה </w:t>
      </w:r>
      <w:r w:rsidRPr="005E4720">
        <w:rPr>
          <w:rStyle w:val="Style1Char"/>
          <w:sz w:val="22"/>
          <w:szCs w:val="22"/>
          <w:rtl/>
        </w:rPr>
        <w:t xml:space="preserve">נכנסה לחופה ולא נבעלה </w:t>
      </w:r>
      <w:r w:rsidRPr="002F2700">
        <w:rPr>
          <w:rStyle w:val="Style1Char"/>
          <w:color w:val="00B050"/>
          <w:rtl/>
        </w:rPr>
        <w:t xml:space="preserve">בעלמא </w:t>
      </w:r>
      <w:r w:rsidRPr="005E4720">
        <w:rPr>
          <w:rStyle w:val="Style1Char"/>
          <w:sz w:val="22"/>
          <w:szCs w:val="22"/>
          <w:rtl/>
        </w:rPr>
        <w:t xml:space="preserve">וזינתה - בחנק, ואילו מוציא שם רע - בסקילה. </w:t>
      </w:r>
      <w:r w:rsidRPr="001D3B20">
        <w:rPr>
          <w:rStyle w:val="Style1Char"/>
          <w:sz w:val="22"/>
          <w:szCs w:val="22"/>
          <w:rtl/>
        </w:rPr>
        <w:t xml:space="preserve">אמר ליה רב הונא בריה דרב יהושע לרבא: דלמא כי חדית רחמנא - היכא דלא אישתני גופא, אבל היכא דאישתני גופא לא חדית רחמנא! </w:t>
      </w:r>
      <w:r w:rsidRPr="001D4E59">
        <w:rPr>
          <w:rStyle w:val="Style1Char"/>
          <w:color w:val="C00000"/>
          <w:rtl/>
        </w:rPr>
        <w:t xml:space="preserve">האי שמעתא קהוו בה רבואתא ופירשו בה כמה פירושי וליכא חד פירושא מינייהו דסליק ליה כהוגן ומש"ה חזינן לפרושה ולברורה כהוגן ומהכא בעיא פירושה סרחה ולבסוף בגרה תידון בחנק מ"ט כיון דאילו סרחה השתא משבגרה דאישתני גופה תידון בחנק הכי נמי היכא דסרחה ולבסוף בגרה כיון דאישתני גופה אישתני קטלא ותידון בחנק כדהשתא ורמינן עלה הא מתני' דתני אם משבגרה הוציא עליה שם רע היא או זוממיה בסקילה דהא הכא אף על גב דאשתני גופה לא אשתני קטלא ופריק רבא לא תיקשי לך מוציא שם רע משבגרה אסרחה ולבסוף בגרה דעלמא דמוציא שם רע דנערה דבסקילה חדוש הוא דהא נערה המאורסה שזינתה בבית אביה בסקילה נכנסה לחופה ולא נבעלה וזינתה בחנק ואף על גב דהשתא נמי נערה בתולה היא כדמעיקרא כיון דאתיא לה לכלל רשות הבעל אשתני דינא ולא דיינינן לה כדמעיקרא ואילו מוציא שם רע אחר כניסתה לחופה אף על גב דאתיא לה לרשותיה לא דיינינן לה כדהשתא אלא כדמעיקרא דיינינן לה בסקילה הרי נתברר דחדוש הוא שחידשה תורה במוציא שם רע דלא דיינינן לה כדהשתא אלא כדמעיקרא והואיל וחדית בה רחמנא בהא מילתא דתידון כדמעיקרא הכא נמי חדית רחמנא בהא מילתא אחריתי דהיכא דהוציא עליה שם רע משבגרה אף על גב דאישתני גופה תידון בסקילה כדמעיקרא ואפילו לדתני שילא אבל נערה דעלמא דלא חדית בה רחמנא מידי אם סרחה ולבסוף בגרה כדהשתא דיינינן לה בחנק ואפילו להאי תנא דתני ומשבגרה הוציא עליה שם רע היא או זוממיה בסקילה ולא קשיין אהדדי ואקשי ליה רב הונא בריה דרב יהושע לרבא וא"ל ממאי דהא דתני שילא סרחה ולבסוף בגרה תידון בחנק משום דלא חדית בה רחמנא הוא אבל מוציא ש"ר דחדית בה רחמנא בנערה תידון כדמעיקרא ה"נ חדית בה במוציא שם רע משבגרה דתידון בסקילה כדמעיקרא דילמא לא סבירא ליה לדתני שילא דחדית רחמנא אלא בנערה בלחוד דלא אישתני גופה אבל בבוגרת דאשתני גופא לא חדית רחמנא בה מידי וכי היכי דסרחה ולבסוף בגרה תידון בחנק ה"נ סרחה ומשבגרה הוציא עליה שם רע תידון בחנק וכן נמי האי תנא דתני ומשבגרה הוציא עליה שם רע בסקילה דילמא הכי נמי ס"ל בסרחה ולבסוף בגרה דתידון בסקילה ולא חדית בה רחמנא מידי וקשיין אהדדי ובטיל ליה פירוקא דרבא ואתא רב נחמן בר יצחק לאוקומי להני תרתי מתניאתא כתנאי ולא קמו וא"ל ר' יוחנן לתנא תני בהאי דתני שילא תידון בחנק תידון בסקילה דלא אשכחן תנא דסבר דהיכא דאישתני גופה אישתני קטלא: </w:t>
      </w:r>
      <w:r w:rsidRPr="002F2700">
        <w:rPr>
          <w:rStyle w:val="Style1Char"/>
          <w:color w:val="00B050"/>
          <w:rtl/>
        </w:rPr>
        <w:t xml:space="preserve">אלא אמר רב נחמן בר יצחק: אישתני ולא אישתני תנאי היא; דתנן: </w:t>
      </w:r>
      <w:r w:rsidR="00965850">
        <w:rPr>
          <w:rStyle w:val="Style1Char"/>
          <w:rFonts w:hint="cs"/>
          <w:rtl/>
        </w:rPr>
        <w:t>(4)</w:t>
      </w:r>
      <w:r w:rsidRPr="002F2700">
        <w:rPr>
          <w:rStyle w:val="Style1Char"/>
          <w:color w:val="00B050"/>
          <w:rtl/>
        </w:rPr>
        <w:t xml:space="preserve">חטאו עד שלא נתמנו ונתמנו - הרי הן כהדיוטות, רבי שמעון אומר: אם נודע להם עד שלא נתמנו - חייבים, משנתמנו - פטורים. </w:t>
      </w:r>
    </w:p>
    <w:p w14:paraId="416A479A" w14:textId="7A788134" w:rsidR="00F46A29" w:rsidRDefault="00F46A29" w:rsidP="00F46A29">
      <w:pPr>
        <w:pStyle w:val="Style1"/>
        <w:rPr>
          <w:rStyle w:val="Style1Char"/>
          <w:rtl/>
        </w:rPr>
      </w:pPr>
      <w:r>
        <w:rPr>
          <w:rStyle w:val="Style1Char"/>
          <w:rFonts w:hint="cs"/>
          <w:rtl/>
        </w:rPr>
        <w:t>1)[</w:t>
      </w:r>
      <w:r w:rsidRPr="00F46A29">
        <w:rPr>
          <w:rStyle w:val="Style1Char"/>
          <w:rtl/>
        </w:rPr>
        <w:t>רמב</w:t>
      </w:r>
      <w:r w:rsidR="00786216">
        <w:rPr>
          <w:rStyle w:val="Style1Char"/>
          <w:rtl/>
        </w:rPr>
        <w:t>”ם \נשים\</w:t>
      </w:r>
      <w:r w:rsidRPr="00F46A29">
        <w:rPr>
          <w:rStyle w:val="Style1Char"/>
          <w:rtl/>
        </w:rPr>
        <w:t xml:space="preserve"> הלכות נערה בתולה פרק ג הלכה ז</w:t>
      </w:r>
      <w:r>
        <w:rPr>
          <w:rStyle w:val="Style1Char"/>
          <w:rFonts w:hint="cs"/>
          <w:rtl/>
        </w:rPr>
        <w:t xml:space="preserve">] </w:t>
      </w:r>
      <w:r w:rsidRPr="00F46A29">
        <w:rPr>
          <w:rStyle w:val="Style1Char"/>
          <w:rtl/>
        </w:rPr>
        <w:t>הוציא עליה שם רע והיא בוגרת אף על פי שהביא עדים שזינת תחתיו כשהיתה נערה הרי זה פטור מן המלקות ומן הקנס, ואם נמצא הדבר אמת הרי זו תסקל אף על פי שהיא בוגרת הואיל ובעת שזינתה נערה היתה.</w:t>
      </w:r>
    </w:p>
    <w:p w14:paraId="55B7260C" w14:textId="14EC993E" w:rsidR="0010050C" w:rsidRDefault="0010050C" w:rsidP="0010050C">
      <w:pPr>
        <w:pStyle w:val="Style1"/>
        <w:rPr>
          <w:rStyle w:val="Style1Char"/>
          <w:rtl/>
        </w:rPr>
      </w:pPr>
      <w:r>
        <w:rPr>
          <w:rStyle w:val="Style1Char"/>
          <w:rFonts w:hint="cs"/>
          <w:rtl/>
        </w:rPr>
        <w:t>2)[</w:t>
      </w:r>
      <w:r w:rsidRPr="0010050C">
        <w:rPr>
          <w:rStyle w:val="Style1Char"/>
          <w:rtl/>
        </w:rPr>
        <w:t>רמב</w:t>
      </w:r>
      <w:r w:rsidR="00213DA1">
        <w:rPr>
          <w:rStyle w:val="Style1Char"/>
          <w:rtl/>
        </w:rPr>
        <w:t>”ם \קדושה\</w:t>
      </w:r>
      <w:r w:rsidRPr="0010050C">
        <w:rPr>
          <w:rStyle w:val="Style1Char"/>
          <w:rtl/>
        </w:rPr>
        <w:t xml:space="preserve"> הלכות איסורי ביאה פרק ג הלכה י</w:t>
      </w:r>
      <w:r>
        <w:rPr>
          <w:rStyle w:val="Style1Char"/>
          <w:rFonts w:hint="cs"/>
          <w:rtl/>
        </w:rPr>
        <w:t xml:space="preserve">] </w:t>
      </w:r>
      <w:r w:rsidRPr="0010050C">
        <w:rPr>
          <w:rStyle w:val="Style1Char"/>
          <w:rtl/>
        </w:rPr>
        <w:t>באו עדים אחר שבגרה או אחר שבעלה בעלה אף על פי שהעידו שזינתה בבית אביה כשהיתה נערה הרי זו נסקלת בבית הסקילה. /השגת הראב"ד/ נסקלת בבית הסקילה. כתב הראב"ד ז"ל /א"א/ זה שבוש דהלכה כראב"י שלא נאמרו דברי מוציא שם רע אלא כשבעל קודם שיוציא שם רע ואחר כל זאת פתח בית אביה וחכמים ג"כ מודים לראב"י דאף בשבעל היה הדין כן ורבי אליעזר לא היה מודה לחכמים עכ"ל.</w:t>
      </w:r>
    </w:p>
    <w:p w14:paraId="1C7BF871" w14:textId="7751DA5A" w:rsidR="00236D8B" w:rsidRDefault="00236D8B" w:rsidP="00236D8B">
      <w:pPr>
        <w:pStyle w:val="Style1"/>
        <w:rPr>
          <w:rStyle w:val="Style1Char"/>
          <w:rtl/>
        </w:rPr>
      </w:pPr>
      <w:r>
        <w:rPr>
          <w:rStyle w:val="Style1Char"/>
          <w:rFonts w:hint="cs"/>
          <w:rtl/>
        </w:rPr>
        <w:t>3)[</w:t>
      </w:r>
      <w:r w:rsidRPr="00236D8B">
        <w:rPr>
          <w:rStyle w:val="Style1Char"/>
          <w:rtl/>
        </w:rPr>
        <w:t>רמב</w:t>
      </w:r>
      <w:r w:rsidR="00213DA1">
        <w:rPr>
          <w:rStyle w:val="Style1Char"/>
          <w:rtl/>
        </w:rPr>
        <w:t>”ם \קדושה\</w:t>
      </w:r>
      <w:r w:rsidRPr="00236D8B">
        <w:rPr>
          <w:rStyle w:val="Style1Char"/>
          <w:rtl/>
        </w:rPr>
        <w:t xml:space="preserve"> הלכות איסורי ביאה פרק ג הלכה ח</w:t>
      </w:r>
      <w:r>
        <w:rPr>
          <w:rStyle w:val="Style1Char"/>
          <w:rFonts w:hint="cs"/>
          <w:rtl/>
        </w:rPr>
        <w:t xml:space="preserve">] </w:t>
      </w:r>
      <w:r w:rsidRPr="00236D8B">
        <w:rPr>
          <w:rStyle w:val="Style1Char"/>
          <w:rtl/>
        </w:rPr>
        <w:t>דין חדש יש במוציא שם רע, ומה הוא החדוש שאם נמצא הדבר אמת ובאו עדים שזינתה כשהיתה נערה מאורשה אף על פי שזינתה אחר שיצאה מבית אביה ואפילו שזינתה אחר שנכנסה לחופה קודם בעילת הבעל סוקלין אותה על פתח בית אביה, אבל שאר נערות מאורסות שלא היה להן דין הוצאת שם רע שזנו מאחר שיצאו מבית האב הרי הן בחנק כמו שביארנו, הא למדת שבאשת איש שלש מיתות, יש אשת איש שהיא בחנק, ויש אשת איש שהיא בשריפה, ויש אשת איש שהיא בסקילה. /השגת הראב"ד/ דין חדש וכו'. כתב הראב"ד ז"ל /א"א/ בודאי זה חידוש שלא שמענו אותו מעולם וכי מפני שהבעל הביא עדים יוציאו לזו בסקילה והלא משנה שלימה שנינו כיון שנכנסה לחופה אף על פי שלא נבעלה ה"ז בחנק, והטעה אותו מה שראה בכמה מקומות דהא נכנסה לחופה ולא נבעלה וזינתה בעלמא בחנק והכא בסקילה, ויס"ג ואילו מוציא שם רע בסקילה ואינו מתפרש כמו שהוא סובר וקלישת הדעת הוא זה עכ"ל.</w:t>
      </w:r>
    </w:p>
    <w:p w14:paraId="69CC4DDA" w14:textId="4C44F047" w:rsidR="00CB1D2A" w:rsidRPr="00F46A29" w:rsidRDefault="00CB1D2A" w:rsidP="00CB1D2A">
      <w:pPr>
        <w:pStyle w:val="Style1"/>
        <w:rPr>
          <w:rStyle w:val="Style1Char"/>
          <w:rtl/>
        </w:rPr>
      </w:pPr>
      <w:r>
        <w:rPr>
          <w:rStyle w:val="Style1Char"/>
          <w:rFonts w:hint="cs"/>
          <w:rtl/>
        </w:rPr>
        <w:t>4)[</w:t>
      </w:r>
      <w:r w:rsidRPr="00CB1D2A">
        <w:rPr>
          <w:rStyle w:val="Style1Char"/>
          <w:rtl/>
        </w:rPr>
        <w:t>רמב</w:t>
      </w:r>
      <w:r w:rsidR="00EC109D">
        <w:rPr>
          <w:rStyle w:val="Style1Char"/>
          <w:rtl/>
        </w:rPr>
        <w:t>”ם \קרבנות\</w:t>
      </w:r>
      <w:r w:rsidRPr="00CB1D2A">
        <w:rPr>
          <w:rStyle w:val="Style1Char"/>
          <w:rtl/>
        </w:rPr>
        <w:t xml:space="preserve"> הלכות שגגות פרק טו הלכה י</w:t>
      </w:r>
      <w:r>
        <w:rPr>
          <w:rStyle w:val="Style1Char"/>
          <w:rFonts w:hint="cs"/>
          <w:rtl/>
        </w:rPr>
        <w:t xml:space="preserve">] </w:t>
      </w:r>
      <w:r w:rsidRPr="00CB1D2A">
        <w:rPr>
          <w:rStyle w:val="Style1Char"/>
          <w:rtl/>
        </w:rPr>
        <w:t>כהן משיח או מלך שחטאו עד שלא נתמנו, אף על פי שלא נודע להם אלא אחר שנתמנו הרי אלו כהדיוט, שנאמר אשר נשיא יחטא, אם הכהן המשיח יחטא, עד שיחטא כשהוא נשיא וכשהוא משיח, לפיכך אם אכל ספק חלב כשהוא הדיוט ונודע לו על ספקו אחר שהתמנה להיות כהן גדול הרי זה מביא אשם תלוי, אכל חצי זית חלב כשהוא הדיוט וחצי זית כשהוא נשיא בהעלם אחת או שאכל חצי זית כשהוא נשיא וחצי זית אחר שעבר אינו מצטרף ופטור, אכל חצי זית כשהוא הדיוט ונתמנה ועבר ואכל חצי זית כשהוא הדיוט, הרי זה ספק אם מצטרף או כבר הפסיקה הנשיאות. סליקו להו הלכות שגגות בס"ד.</w:t>
      </w:r>
    </w:p>
    <w:p w14:paraId="55FBE76B" w14:textId="77777777" w:rsidR="000357F0" w:rsidRPr="00F46A29" w:rsidRDefault="000357F0" w:rsidP="00F46A29">
      <w:pPr>
        <w:pStyle w:val="Style1"/>
        <w:rPr>
          <w:rStyle w:val="Style1Char"/>
          <w:rtl/>
        </w:rPr>
      </w:pPr>
    </w:p>
    <w:p w14:paraId="3BE9E277" w14:textId="77777777" w:rsidR="000357F0" w:rsidRDefault="000357F0" w:rsidP="000357F0">
      <w:pPr>
        <w:rPr>
          <w:rStyle w:val="Style1Char"/>
          <w:color w:val="00B050"/>
          <w:rtl/>
        </w:rPr>
      </w:pPr>
      <w:r>
        <w:rPr>
          <w:rStyle w:val="Style1Char"/>
          <w:color w:val="00B050"/>
          <w:rtl/>
        </w:rPr>
        <w:br w:type="page"/>
      </w:r>
    </w:p>
    <w:p w14:paraId="16A1CCF8" w14:textId="19648B66" w:rsidR="000357F0" w:rsidRDefault="000357F0" w:rsidP="000357F0">
      <w:pPr>
        <w:bidi/>
        <w:rPr>
          <w:rStyle w:val="Style1Char"/>
          <w:sz w:val="22"/>
          <w:szCs w:val="22"/>
          <w:rtl/>
        </w:rPr>
      </w:pPr>
      <w:r w:rsidRPr="002F2700">
        <w:rPr>
          <w:rStyle w:val="Style1Char"/>
          <w:color w:val="00B050"/>
          <w:sz w:val="22"/>
          <w:szCs w:val="22"/>
          <w:highlight w:val="yellow"/>
          <w:rtl/>
        </w:rPr>
        <w:lastRenderedPageBreak/>
        <w:t>[דף מה עמוד ב]</w:t>
      </w:r>
      <w:r w:rsidRPr="002F2700">
        <w:rPr>
          <w:rStyle w:val="Style1Char"/>
          <w:color w:val="00B050"/>
          <w:sz w:val="22"/>
          <w:szCs w:val="22"/>
          <w:rtl/>
        </w:rPr>
        <w:t xml:space="preserve"> </w:t>
      </w:r>
      <w:r w:rsidRPr="002F2700">
        <w:rPr>
          <w:rStyle w:val="Style1Char"/>
          <w:color w:val="00B050"/>
          <w:rtl/>
        </w:rPr>
        <w:t xml:space="preserve">אימור דשמעינן ליה לר"ש - דאזיל אף בתר ידיעה, דאזיל בתר ידיעה ולא אזיל בתר חטאה מי שמעת ליה? א"כ, לייתי קרבן כי דהשתא, משוח - פר, ונשיא - שעיר! האמר ליה ר' יוחנן לתנא, תני: תידון בסקילה. ואמאי? נערה המאורסה אמר רחמנא, והא בוגרת היא! א"ר אילעא, אמר קרא: הנערה, הנערה שהיתה כבר. א"ל רבי חנניא לרבי אילעא: אי הכי, מילקא נמי לילקי, ומאה סלע נמי לישלם! א"ל: רחמנא ניצלן מהאי דעתא! אדרבה, רחמנא ניצלן מדעתא דידך. וטעמא מאי? אמר רבי יצחק בר אבין, ואיתימא רבי יצחק בר אבא: זו מעשיה גרמו לה, וזה עקימת שפתיו גרמו לו; זו מעשיה גרמו לה, כשהיא זנאי - נערה זנאי; וזה עקימת שפתיו גרמו לו, אימת קא מיחייב? ההיא שעתא, וההיא שעתא בוגרת הואי. ת"ר: נערה המאורסה שזינתה - סוקלין אותה על פתח בית אביה, אין לה פתח בית האב - סוקלין אותה על פתח שער העיר ההיא, </w:t>
      </w:r>
      <w:r w:rsidR="00AC6563">
        <w:rPr>
          <w:rStyle w:val="Style1Char"/>
          <w:rFonts w:hint="cs"/>
          <w:rtl/>
        </w:rPr>
        <w:t>(1)</w:t>
      </w:r>
      <w:r w:rsidRPr="002F2700">
        <w:rPr>
          <w:rStyle w:val="Style1Char"/>
          <w:color w:val="00B050"/>
          <w:rtl/>
        </w:rPr>
        <w:t xml:space="preserve">ובעיר שרובה עובדי כוכבים - סוקלין אותה על פתח בית דין; כיוצא בדבר אתה אומר: </w:t>
      </w:r>
      <w:r w:rsidR="00AC6563">
        <w:rPr>
          <w:rStyle w:val="Style1Char"/>
          <w:rFonts w:hint="cs"/>
          <w:rtl/>
        </w:rPr>
        <w:t>(</w:t>
      </w:r>
      <w:r w:rsidR="00AC6563">
        <w:rPr>
          <w:rStyle w:val="Style1Char"/>
        </w:rPr>
        <w:t>2</w:t>
      </w:r>
      <w:r w:rsidR="00AC6563">
        <w:rPr>
          <w:rStyle w:val="Style1Char"/>
          <w:rFonts w:hint="cs"/>
          <w:rtl/>
        </w:rPr>
        <w:t>)</w:t>
      </w:r>
      <w:r w:rsidRPr="002F2700">
        <w:rPr>
          <w:rStyle w:val="Style1Char"/>
          <w:color w:val="00B050"/>
          <w:rtl/>
        </w:rPr>
        <w:t xml:space="preserve">העובד עבודת כוכבים - סוקלין אותו על שער שעבד בו, ובעיר שרובה עובדי כוכבים - סוקלין אותו על פתח בית דין. מנא הני מילי? דתנו רבנן: שעריך - זה שער שעבד בו; אתה אומר: שער שעבד בו, או אינו אלא שער שנידון בו? נאמר שעריך למטה ונאמר שעריך למעלה, מה שעריך האמור למעלה - שער שעבד בו, אף שעריך האמור למטה - שער שעבד בו. דבר אחר: שעריך - ולא שערי עובדי כוכבים. האי שעריך הא אפיקתיה! אם כן, לימא קרא שער, מאי שעריך? שמע מינה תרתי. אשכחן עבודת כוכבים נערה המאורסה מנא לן? א"ר אבהו: גמר פתח מפתח, ופתח משער, ושער משעריך. תנו רבנן: המוציא שם רע - לוקה ונותן מאה סלע; רבי יהודה אומר: ללקות לוקה מכל מקום, מאה סלע, בעל - נותן, לא בעל - אינו נותן. קא מיפלגי בפלוגתא דרבי אליעזר בן יעקב ורבנן, והכי קאמר: המוציא שם רע - לוקה ונותן מאה סלע, בין בעל בין שלא בעל, כרבנן; ר' יהודה אומר: ללקות לוקה מ"מ, מאה סלע, בעל - נותן, לא בעל - אינו נותן, כר"א בן יעקב. איכא דאמרי: כולה כרבי אליעזר בן יעקב, והכי קאמר: </w:t>
      </w:r>
      <w:r w:rsidR="0085579D">
        <w:rPr>
          <w:rStyle w:val="Style1Char"/>
          <w:rFonts w:hint="cs"/>
          <w:rtl/>
        </w:rPr>
        <w:t>(</w:t>
      </w:r>
      <w:r w:rsidR="0085579D">
        <w:rPr>
          <w:rStyle w:val="Style1Char"/>
        </w:rPr>
        <w:t>3</w:t>
      </w:r>
      <w:r w:rsidR="0085579D">
        <w:rPr>
          <w:rStyle w:val="Style1Char"/>
          <w:rFonts w:hint="cs"/>
          <w:rtl/>
        </w:rPr>
        <w:t>)</w:t>
      </w:r>
      <w:r w:rsidRPr="00EF696D">
        <w:rPr>
          <w:rStyle w:val="Style1Char"/>
          <w:sz w:val="22"/>
          <w:szCs w:val="22"/>
          <w:rtl/>
        </w:rPr>
        <w:t xml:space="preserve">המוציא שם רע </w:t>
      </w:r>
      <w:r w:rsidRPr="002F2700">
        <w:rPr>
          <w:rStyle w:val="Style1Char"/>
          <w:color w:val="00B050"/>
          <w:rtl/>
        </w:rPr>
        <w:t xml:space="preserve">- לוקה ונותן מאה סלע, והוא שבעל; רבי יהודה אומר: ללקות לוקה מ"מ. וסבר רבי יהודה ללקות לוקה מ"מ? והתניא, רבי יהודה אומר: בעל - לוקה, </w:t>
      </w:r>
      <w:r w:rsidRPr="00EF696D">
        <w:rPr>
          <w:rStyle w:val="Style1Char"/>
          <w:sz w:val="22"/>
          <w:szCs w:val="22"/>
          <w:rtl/>
        </w:rPr>
        <w:t xml:space="preserve">לא בעל </w:t>
      </w:r>
      <w:r w:rsidRPr="002F2700">
        <w:rPr>
          <w:rStyle w:val="Style1Char"/>
          <w:color w:val="00B050"/>
          <w:rtl/>
        </w:rPr>
        <w:t xml:space="preserve">- אינו לוקה! אמר רב נחמן בר יצחק: </w:t>
      </w:r>
      <w:r w:rsidR="00BC6511">
        <w:rPr>
          <w:rStyle w:val="Style1Char"/>
          <w:rFonts w:hint="cs"/>
          <w:rtl/>
        </w:rPr>
        <w:t>(3)</w:t>
      </w:r>
      <w:r w:rsidRPr="00EF696D">
        <w:rPr>
          <w:rStyle w:val="Style1Char"/>
          <w:sz w:val="22"/>
          <w:szCs w:val="22"/>
          <w:rtl/>
        </w:rPr>
        <w:t xml:space="preserve">לוקה מכת מרדות מדרבנן. </w:t>
      </w:r>
    </w:p>
    <w:p w14:paraId="576069CC" w14:textId="21E307F7" w:rsidR="00141C58" w:rsidRDefault="00141C58" w:rsidP="00141C58">
      <w:pPr>
        <w:pStyle w:val="Style1"/>
        <w:rPr>
          <w:rStyle w:val="Style1Char"/>
          <w:rtl/>
        </w:rPr>
      </w:pPr>
      <w:r>
        <w:rPr>
          <w:rStyle w:val="Style1Char"/>
          <w:rFonts w:hint="cs"/>
          <w:rtl/>
        </w:rPr>
        <w:t>1)[</w:t>
      </w:r>
      <w:r w:rsidRPr="00141C58">
        <w:rPr>
          <w:rStyle w:val="Style1Char"/>
          <w:rtl/>
        </w:rPr>
        <w:t>רמב</w:t>
      </w:r>
      <w:r w:rsidR="00213DA1">
        <w:rPr>
          <w:rStyle w:val="Style1Char"/>
          <w:rtl/>
        </w:rPr>
        <w:t>”ם \קדושה\</w:t>
      </w:r>
      <w:r w:rsidRPr="00141C58">
        <w:rPr>
          <w:rStyle w:val="Style1Char"/>
          <w:rtl/>
        </w:rPr>
        <w:t xml:space="preserve"> הלכות איסורי ביאה פרק ג הלכה יא</w:t>
      </w:r>
      <w:r>
        <w:rPr>
          <w:rStyle w:val="Style1Char"/>
          <w:rFonts w:hint="cs"/>
          <w:rtl/>
        </w:rPr>
        <w:t xml:space="preserve">] </w:t>
      </w:r>
      <w:r w:rsidRPr="00141C58">
        <w:rPr>
          <w:rStyle w:val="Style1Char"/>
          <w:rtl/>
        </w:rPr>
        <w:t>היתה הורתה שלא בקדושה ולידתה בקדושה נסקלת על פתח שער העיר, כל מי שמצותה לסקול אותה על פתח שער העיר אם היתה עיר שרובה עכו"ם סוקלין אותה על פתח ב"ד, וכל מי שמצותה לסקול אותה על פתח בית אביה אם לא היה לה אב או שהיה לה אב ולא היה לו בית הרי זו נסקלת בבית הסקילה, לא נאמר פתח בית אב אלא למצוה.</w:t>
      </w:r>
    </w:p>
    <w:p w14:paraId="637BEED7" w14:textId="2FBA1D72" w:rsidR="00267965" w:rsidRDefault="00267965" w:rsidP="00267965">
      <w:pPr>
        <w:pStyle w:val="Style1"/>
        <w:rPr>
          <w:rStyle w:val="Style1Char"/>
          <w:rtl/>
        </w:rPr>
      </w:pPr>
      <w:r>
        <w:rPr>
          <w:rStyle w:val="Style1Char"/>
          <w:rFonts w:hint="cs"/>
          <w:rtl/>
        </w:rPr>
        <w:t>2)[</w:t>
      </w:r>
      <w:r w:rsidRPr="00267965">
        <w:rPr>
          <w:rStyle w:val="Style1Char"/>
          <w:rtl/>
        </w:rPr>
        <w:t>רמב</w:t>
      </w:r>
      <w:r w:rsidR="005258D6">
        <w:rPr>
          <w:rStyle w:val="Style1Char"/>
          <w:rtl/>
        </w:rPr>
        <w:t>”</w:t>
      </w:r>
      <w:r w:rsidRPr="00267965">
        <w:rPr>
          <w:rStyle w:val="Style1Char"/>
          <w:rtl/>
        </w:rPr>
        <w:t>ם</w:t>
      </w:r>
      <w:r w:rsidR="005258D6">
        <w:rPr>
          <w:rStyle w:val="Style1Char"/>
          <w:rtl/>
        </w:rPr>
        <w:t xml:space="preserve">\שופטים\ </w:t>
      </w:r>
      <w:r w:rsidRPr="00267965">
        <w:rPr>
          <w:rStyle w:val="Style1Char"/>
          <w:rtl/>
        </w:rPr>
        <w:t xml:space="preserve"> הלכות סנהדרין פרק טו הלכה ב</w:t>
      </w:r>
      <w:r>
        <w:rPr>
          <w:rStyle w:val="Style1Char"/>
          <w:rFonts w:hint="cs"/>
          <w:rtl/>
        </w:rPr>
        <w:t xml:space="preserve">] </w:t>
      </w:r>
      <w:r w:rsidRPr="00267965">
        <w:rPr>
          <w:rStyle w:val="Style1Char"/>
          <w:rtl/>
        </w:rPr>
        <w:t>עובד ע"ז אין סוקלין אותו אלא על שער שעבד בו, ואם היתה עיר שרובה עכו"ם סוקלין אותו על פתח בית דין, ודבר זה קבלה מפי השמועה אל שעריך זה שער שעבד בו ולא שנגמר דינו בו.</w:t>
      </w:r>
    </w:p>
    <w:p w14:paraId="2450CF86" w14:textId="67BFA546" w:rsidR="00A46208" w:rsidRDefault="00C37335" w:rsidP="00C37335">
      <w:pPr>
        <w:pStyle w:val="Style1"/>
        <w:rPr>
          <w:rStyle w:val="Style1Char"/>
          <w:rtl/>
        </w:rPr>
      </w:pPr>
      <w:r>
        <w:rPr>
          <w:rStyle w:val="Style1Char"/>
          <w:rFonts w:hint="cs"/>
          <w:rtl/>
        </w:rPr>
        <w:t>3)[</w:t>
      </w:r>
      <w:r w:rsidR="00A46208" w:rsidRPr="00A46208">
        <w:rPr>
          <w:rStyle w:val="Style1Char"/>
          <w:rtl/>
        </w:rPr>
        <w:t>רמב</w:t>
      </w:r>
      <w:r w:rsidR="00786216">
        <w:rPr>
          <w:rStyle w:val="Style1Char"/>
          <w:rtl/>
        </w:rPr>
        <w:t>”ם \נשים\</w:t>
      </w:r>
      <w:r w:rsidR="00A46208" w:rsidRPr="00A46208">
        <w:rPr>
          <w:rStyle w:val="Style1Char"/>
          <w:rtl/>
        </w:rPr>
        <w:t xml:space="preserve"> הלכות נערה בתולה פרק ג הלכה א</w:t>
      </w:r>
      <w:r>
        <w:rPr>
          <w:rStyle w:val="Style1Char"/>
          <w:rFonts w:hint="cs"/>
          <w:rtl/>
        </w:rPr>
        <w:t xml:space="preserve">] </w:t>
      </w:r>
      <w:r w:rsidR="00A46208" w:rsidRPr="00A46208">
        <w:rPr>
          <w:rStyle w:val="Style1Char"/>
          <w:rtl/>
        </w:rPr>
        <w:t xml:space="preserve">המוציא שם רע על בת ישראל ונמצא הדבר שקר לוקה שנ' </w:t>
      </w:r>
      <w:r>
        <w:rPr>
          <w:rStyle w:val="Style1Char"/>
          <w:rFonts w:hint="cs"/>
          <w:rtl/>
        </w:rPr>
        <w:t>(</w:t>
      </w:r>
      <w:r w:rsidR="00A46208" w:rsidRPr="00A46208">
        <w:rPr>
          <w:rStyle w:val="Style1Char"/>
          <w:rtl/>
        </w:rPr>
        <w:t>דברים כ"ב י"ח</w:t>
      </w:r>
      <w:r>
        <w:rPr>
          <w:rStyle w:val="Style1Char"/>
          <w:rFonts w:hint="cs"/>
          <w:rtl/>
        </w:rPr>
        <w:t>)</w:t>
      </w:r>
      <w:r w:rsidR="00A46208" w:rsidRPr="00A46208">
        <w:rPr>
          <w:rStyle w:val="Style1Char"/>
          <w:rtl/>
        </w:rPr>
        <w:t xml:space="preserve"> ויסרו אותו ואזהרה שלו </w:t>
      </w:r>
      <w:r>
        <w:rPr>
          <w:rStyle w:val="Style1Char"/>
          <w:rFonts w:hint="cs"/>
          <w:rtl/>
        </w:rPr>
        <w:t>(</w:t>
      </w:r>
      <w:r w:rsidR="00A46208" w:rsidRPr="00A46208">
        <w:rPr>
          <w:rStyle w:val="Style1Char"/>
          <w:rtl/>
        </w:rPr>
        <w:t>ויקרא י"ט ט"ז</w:t>
      </w:r>
      <w:r>
        <w:rPr>
          <w:rStyle w:val="Style1Char"/>
          <w:rFonts w:hint="cs"/>
          <w:rtl/>
        </w:rPr>
        <w:t>)</w:t>
      </w:r>
      <w:r w:rsidR="00A46208" w:rsidRPr="00A46208">
        <w:rPr>
          <w:rStyle w:val="Style1Char"/>
          <w:rtl/>
        </w:rPr>
        <w:t xml:space="preserve"> מלא תלך רכיל בעמך, ונותן לאביה משקל מאה סלעים כסף מזוקק ואם היתה יתומה הרי הן של עצמה.</w:t>
      </w:r>
    </w:p>
    <w:p w14:paraId="1B184621" w14:textId="09FCD89E" w:rsidR="00736D1C" w:rsidRPr="00AE64BF" w:rsidRDefault="00736D1C" w:rsidP="00736D1C">
      <w:pPr>
        <w:pStyle w:val="Style1"/>
        <w:rPr>
          <w:rStyle w:val="Style1Char"/>
        </w:rPr>
      </w:pPr>
      <w:r>
        <w:rPr>
          <w:rStyle w:val="Style1Char"/>
          <w:rFonts w:hint="cs"/>
          <w:rtl/>
        </w:rPr>
        <w:t>3)[</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0D47291F" w14:textId="77777777" w:rsidR="00736D1C" w:rsidRPr="00AE64BF" w:rsidRDefault="00736D1C" w:rsidP="00736D1C">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7E014886" w14:textId="77777777" w:rsidR="00736D1C" w:rsidRPr="00AE64BF" w:rsidRDefault="00736D1C" w:rsidP="00736D1C">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w:t>
      </w:r>
      <w:r w:rsidRPr="00AE64BF">
        <w:rPr>
          <w:rStyle w:val="Style1Char"/>
          <w:rtl/>
        </w:rPr>
        <w:lastRenderedPageBreak/>
        <w:t xml:space="preserve">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12483AB6" w14:textId="77777777" w:rsidR="00736D1C" w:rsidRDefault="00736D1C" w:rsidP="00736D1C">
      <w:pPr>
        <w:pStyle w:val="Style1"/>
        <w:rPr>
          <w:rStyle w:val="Style1Char"/>
          <w:rtl/>
        </w:rPr>
      </w:pPr>
      <w:r w:rsidRPr="00AE64BF">
        <w:rPr>
          <w:rStyle w:val="Style1Char"/>
          <w:rtl/>
        </w:rPr>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69C73A66" w14:textId="77777777" w:rsidR="00736D1C" w:rsidRPr="00141C58" w:rsidRDefault="00736D1C" w:rsidP="00736D1C">
      <w:pPr>
        <w:pStyle w:val="Style1"/>
        <w:rPr>
          <w:rStyle w:val="Style1Char"/>
          <w:rtl/>
        </w:rPr>
      </w:pPr>
    </w:p>
    <w:p w14:paraId="5841027C" w14:textId="77777777" w:rsidR="000357F0" w:rsidRPr="00141C58" w:rsidRDefault="000357F0" w:rsidP="00141C58">
      <w:pPr>
        <w:pStyle w:val="Style1"/>
        <w:rPr>
          <w:rStyle w:val="Style1Char"/>
          <w:rtl/>
        </w:rPr>
      </w:pPr>
    </w:p>
    <w:p w14:paraId="51093852" w14:textId="77777777" w:rsidR="000357F0" w:rsidRPr="00141C58" w:rsidRDefault="000357F0" w:rsidP="00141C58">
      <w:pPr>
        <w:pStyle w:val="Style1"/>
        <w:rPr>
          <w:rStyle w:val="Style1Char"/>
          <w:rtl/>
        </w:rPr>
      </w:pPr>
    </w:p>
    <w:p w14:paraId="69C2837E" w14:textId="77777777" w:rsidR="000357F0" w:rsidRPr="00141C58" w:rsidRDefault="000357F0" w:rsidP="00141C58">
      <w:pPr>
        <w:pStyle w:val="Style1"/>
        <w:bidi w:val="0"/>
        <w:rPr>
          <w:rStyle w:val="Style1Char"/>
          <w:rtl/>
        </w:rPr>
      </w:pPr>
      <w:r w:rsidRPr="00141C58">
        <w:rPr>
          <w:rStyle w:val="Style1Char"/>
          <w:rtl/>
        </w:rPr>
        <w:br w:type="page"/>
      </w:r>
    </w:p>
    <w:p w14:paraId="663B7394" w14:textId="6E798496" w:rsidR="000357F0" w:rsidRDefault="000357F0" w:rsidP="000357F0">
      <w:pPr>
        <w:bidi/>
        <w:rPr>
          <w:rStyle w:val="Style1Char"/>
          <w:color w:val="00B050"/>
          <w:rtl/>
        </w:rPr>
      </w:pPr>
      <w:r w:rsidRPr="002F2700">
        <w:rPr>
          <w:rStyle w:val="Style1Char"/>
          <w:color w:val="00B050"/>
          <w:sz w:val="22"/>
          <w:szCs w:val="22"/>
          <w:highlight w:val="yellow"/>
          <w:rtl/>
        </w:rPr>
        <w:lastRenderedPageBreak/>
        <w:t>[דף מו עמוד א]</w:t>
      </w:r>
      <w:r w:rsidRPr="002F2700">
        <w:rPr>
          <w:rStyle w:val="Style1Char"/>
          <w:color w:val="00B050"/>
          <w:sz w:val="22"/>
          <w:szCs w:val="22"/>
          <w:rtl/>
        </w:rPr>
        <w:t xml:space="preserve"> </w:t>
      </w:r>
      <w:r w:rsidRPr="002F2700">
        <w:rPr>
          <w:rStyle w:val="Style1Char"/>
          <w:color w:val="00B050"/>
          <w:rtl/>
        </w:rPr>
        <w:t xml:space="preserve">רב פפא אמר: מאי בעל לוקה דקתני התם? ממון. וקרי ליה לממון מלקות? אין, והא תנן: </w:t>
      </w:r>
      <w:r w:rsidR="001269BC">
        <w:rPr>
          <w:rStyle w:val="Style1Char"/>
          <w:rFonts w:hint="cs"/>
          <w:rtl/>
        </w:rPr>
        <w:t>(1)</w:t>
      </w:r>
      <w:r w:rsidRPr="002F2700">
        <w:rPr>
          <w:rStyle w:val="Style1Char"/>
          <w:color w:val="00B050"/>
          <w:rtl/>
        </w:rPr>
        <w:t xml:space="preserve">האומר חצי ערכי עלי - נותן חצי ערכו, רבי יוסי בר' יהודה אומר: לוקה ונותן ערך שלם; לוקה אמאי? אמר רב פפא: לוקה בערך שלם, מאי טעמא? גזירה חצי ערכו אטו ערך חציו, </w:t>
      </w:r>
      <w:r w:rsidR="00476547">
        <w:rPr>
          <w:rStyle w:val="Style1Char"/>
          <w:rFonts w:hint="cs"/>
          <w:rtl/>
        </w:rPr>
        <w:t>(1)</w:t>
      </w:r>
      <w:r w:rsidRPr="002F2700">
        <w:rPr>
          <w:rStyle w:val="Style1Char"/>
          <w:color w:val="00B050"/>
          <w:rtl/>
        </w:rPr>
        <w:t xml:space="preserve">וערך חציו הוי ליה אבר שהנשמה תלויה בו. ת"ר: וענשו אותו - זה ממון, ויסרו - זה מלקות. בשלמא וענשו זה ממון, דכתיב: וענשו אותו מאה כסף ונתנו לאבי הנערה, אלא ויסרו זה מלקות מנלן? א"ר אבהו: למדנו יסרו מיסרו, ויסרו מבן, ובן מבן, והיה אם בן הכות הרשע. אזהרה למוציא שם רע מנלן? ר' אלעזר אמר: מלא תלך רכיל, רבי נתן אומר: מונשמרת מכל דבר רע. ורבי אלעזר מאי טעמא לא אמר מהאי? ההוא מיבעי ליה לכדר' פנחס בן יאיר, ונשמרת מכל דבר רע - מכאן אמר ר' פנחס בן יאיר: </w:t>
      </w:r>
      <w:r w:rsidR="00455EBE">
        <w:rPr>
          <w:rStyle w:val="Style1Char"/>
          <w:rFonts w:hint="cs"/>
          <w:rtl/>
        </w:rPr>
        <w:t>(2)</w:t>
      </w:r>
      <w:r w:rsidRPr="002F2700">
        <w:rPr>
          <w:rStyle w:val="Style1Char"/>
          <w:color w:val="00B050"/>
          <w:rtl/>
        </w:rPr>
        <w:t xml:space="preserve">אל יהרהר אדם ביום ויבא לידי טומאה בלילה. ור' נתן מאי טעמא לא אמר מהאי? ההוא </w:t>
      </w:r>
      <w:r w:rsidR="0098206D">
        <w:rPr>
          <w:rStyle w:val="Style1Char"/>
          <w:rFonts w:hint="cs"/>
          <w:rtl/>
        </w:rPr>
        <w:t>(3)</w:t>
      </w:r>
      <w:r w:rsidRPr="002F2700">
        <w:rPr>
          <w:rStyle w:val="Style1Char"/>
          <w:color w:val="00B050"/>
          <w:rtl/>
        </w:rPr>
        <w:t xml:space="preserve">אזהרה לב"ד, שלא יהא רך לזה וקשה לזה. </w:t>
      </w:r>
      <w:r w:rsidR="002E5511">
        <w:rPr>
          <w:rStyle w:val="Style1Char"/>
          <w:rFonts w:hint="cs"/>
          <w:rtl/>
        </w:rPr>
        <w:t>(4)</w:t>
      </w:r>
      <w:r w:rsidRPr="002F2700">
        <w:rPr>
          <w:rStyle w:val="Style1Char"/>
          <w:color w:val="00B050"/>
          <w:rtl/>
        </w:rPr>
        <w:t xml:space="preserve">לא אמר לעדים בואו והעידוני, והן מעידים אותו מאליהן - הוא אינו לוקה ואינו נותן מאה סלעים, היא וזוממיה מקדימין לבית הסקילה; היא וזוממיה סלקא דעתך? אלא, או היא או זוממיה מקדימין לבית הסקילה. טעמא דלא אמר להו, הא אמר להו - אף על גב דלא אגרינהו, לאפוקי מדר' יהודה; דתניא, רבי יהודה אומר: אינו חייב עד שישכור עדים. מ"ט דר' יהודה? אמר ר' אבהו: אתיא שימה שימה, כתיב הכא: ושם לה עלילות דברים, וכתיב התם: לא תשימון עליו נשך, מה להלן ממון, אף כאן ממון. אמר רב נחמן בר יצחק, וכן תני רב יוסף צידוני בי רבי שמעון בן יוחאי: אתיא שימה שימה. בעי רבי ירמיה: שכרן בקרקע, מהו? בפחות משוה פרוטה, מהו? שניהם בפרוטה, מהו? בעי רב אשי: </w:t>
      </w:r>
      <w:r w:rsidR="00590B76">
        <w:rPr>
          <w:rStyle w:val="Style1Char"/>
          <w:rFonts w:hint="cs"/>
          <w:rtl/>
        </w:rPr>
        <w:t>(5)</w:t>
      </w:r>
      <w:r w:rsidRPr="002F2700">
        <w:rPr>
          <w:rStyle w:val="Style1Char"/>
          <w:color w:val="00B050"/>
          <w:rtl/>
        </w:rPr>
        <w:t xml:space="preserve">הוציא שם רע על הנישואין הראשונים, מהו? על נשואי אחיו, מהו? פשוט מיהא חדא, דתני ר' יונה: את בתי נתתי לאיש הזה, </w:t>
      </w:r>
      <w:r w:rsidR="0081173F">
        <w:rPr>
          <w:rStyle w:val="Style1Char"/>
          <w:rFonts w:hint="cs"/>
          <w:rtl/>
        </w:rPr>
        <w:t>(5)</w:t>
      </w:r>
      <w:r w:rsidRPr="002F2700">
        <w:rPr>
          <w:rStyle w:val="Style1Char"/>
          <w:color w:val="00B050"/>
          <w:rtl/>
        </w:rPr>
        <w:t>לזה - ולא ליבם. מאי רבנן ומאי ר' אליעזר בן יעקב? ד</w:t>
      </w:r>
      <w:r w:rsidRPr="00B018AB">
        <w:rPr>
          <w:rStyle w:val="Style1Char"/>
          <w:color w:val="auto"/>
          <w:sz w:val="22"/>
          <w:szCs w:val="22"/>
          <w:rtl/>
        </w:rPr>
        <w:t xml:space="preserve">תניא: </w:t>
      </w:r>
      <w:r w:rsidR="006206AB">
        <w:rPr>
          <w:rStyle w:val="Style1Char"/>
          <w:rFonts w:hint="cs"/>
          <w:rtl/>
        </w:rPr>
        <w:t>(6)</w:t>
      </w:r>
      <w:r w:rsidRPr="00B018AB">
        <w:rPr>
          <w:rStyle w:val="Style1Char"/>
          <w:color w:val="auto"/>
          <w:sz w:val="22"/>
          <w:szCs w:val="22"/>
          <w:rtl/>
        </w:rPr>
        <w:t xml:space="preserve">כיצד הוצאת שם רע? בא לבית דין ואמר פלוני, לא מצאתי </w:t>
      </w:r>
      <w:r w:rsidRPr="00B018AB">
        <w:rPr>
          <w:rStyle w:val="Style1Char"/>
          <w:color w:val="ED7D31" w:themeColor="accent2"/>
          <w:rtl/>
        </w:rPr>
        <w:t xml:space="preserve">לבתך </w:t>
      </w:r>
      <w:r w:rsidRPr="00CB35BF">
        <w:rPr>
          <w:rStyle w:val="Style1Char"/>
          <w:color w:val="C00000"/>
          <w:sz w:val="22"/>
          <w:szCs w:val="22"/>
          <w:rtl/>
        </w:rPr>
        <w:t xml:space="preserve">לבתו </w:t>
      </w:r>
      <w:r w:rsidRPr="00B018AB">
        <w:rPr>
          <w:rStyle w:val="Style1Char"/>
          <w:color w:val="auto"/>
          <w:sz w:val="22"/>
          <w:szCs w:val="22"/>
          <w:rtl/>
        </w:rPr>
        <w:t>בתולים</w:t>
      </w:r>
      <w:r w:rsidRPr="002F2700">
        <w:rPr>
          <w:rStyle w:val="Style1Char"/>
          <w:color w:val="00B050"/>
          <w:rtl/>
        </w:rPr>
        <w:t xml:space="preserve">, אם יש עדים שזינתה תחתיו - יש לה כתובה מנה; אם יש עדים שזינתה תחתיו יש לה כתובה מנה? בת סקילה היא! הכי קאמר: </w:t>
      </w:r>
      <w:r w:rsidRPr="00B018AB">
        <w:rPr>
          <w:rStyle w:val="Style1Char"/>
          <w:color w:val="auto"/>
          <w:sz w:val="22"/>
          <w:szCs w:val="22"/>
          <w:rtl/>
        </w:rPr>
        <w:t xml:space="preserve">אם יש עדים שזינתה תחתיו - בסקילה, זינתה מעיקרא - יש לה כתובה מנה; נמצא </w:t>
      </w:r>
      <w:r w:rsidRPr="004E513A">
        <w:rPr>
          <w:rStyle w:val="Style1Char"/>
          <w:color w:val="ED7D31" w:themeColor="accent2"/>
          <w:rtl/>
        </w:rPr>
        <w:t xml:space="preserve">ששם רע אינו </w:t>
      </w:r>
      <w:r w:rsidRPr="00B018AB">
        <w:rPr>
          <w:rStyle w:val="Style1Char"/>
          <w:color w:val="auto"/>
          <w:sz w:val="22"/>
          <w:szCs w:val="22"/>
          <w:rtl/>
        </w:rPr>
        <w:t>שם רע - הוא לוקה ונותן מאה סלע, בין בעל ובין לא בעל, רבי אליעזר בן יעקב אומר: לא נאמרו דברים הללו אלא כשבעל</w:t>
      </w:r>
      <w:r w:rsidRPr="00B018AB">
        <w:rPr>
          <w:rStyle w:val="Style1Char"/>
          <w:color w:val="auto"/>
          <w:rtl/>
        </w:rPr>
        <w:t xml:space="preserve"> </w:t>
      </w:r>
      <w:r w:rsidRPr="00F656D4">
        <w:rPr>
          <w:rStyle w:val="Style1Char"/>
          <w:color w:val="806000" w:themeColor="accent4" w:themeShade="80"/>
          <w:rtl/>
        </w:rPr>
        <w:t>והוא שאמר לעדים בואו והעידוני אבל באו מאליהן פטור וכ"ש אם לא באו עדים שפטור הא דקתני הכא זנתה מעיקרא יש לה כתובה מנה ליתא דקי"ל כרבא דאמר מקח טעות לגמרי משמע ולית לה כלום כדכתבינן בפרקא קמא</w:t>
      </w:r>
      <w:r w:rsidRPr="00920FCD">
        <w:rPr>
          <w:rStyle w:val="Style1Char"/>
          <w:color w:val="4472C4" w:themeColor="accent1"/>
          <w:rtl/>
        </w:rPr>
        <w:t xml:space="preserve"> </w:t>
      </w:r>
      <w:r w:rsidRPr="00920FCD">
        <w:rPr>
          <w:rStyle w:val="Style1Char"/>
          <w:color w:val="806000" w:themeColor="accent4" w:themeShade="80"/>
          <w:rtl/>
        </w:rPr>
        <w:t>שלח רב כהנא משמיה דרבי יוחנן המוציא ש"ר אינו לוקה עד שיבעול כדרכה ויוציא ש"ר שכדרכה נבעלה והמוציא שם רע ולא בעל לוקה מכת מרדות דרבנן:</w:t>
      </w:r>
      <w:r w:rsidRPr="00920FCD">
        <w:rPr>
          <w:rStyle w:val="Style1Char"/>
          <w:color w:val="806000" w:themeColor="accent4" w:themeShade="80"/>
          <w:sz w:val="22"/>
          <w:szCs w:val="22"/>
          <w:rtl/>
        </w:rPr>
        <w:t xml:space="preserve">. </w:t>
      </w:r>
      <w:r w:rsidRPr="002F2700">
        <w:rPr>
          <w:rStyle w:val="Style1Char"/>
          <w:color w:val="00B050"/>
          <w:rtl/>
        </w:rPr>
        <w:t xml:space="preserve">בשלמא לרבי אליעזר בן יעקב, היינו דכתיב: ובא אליה ואקרב אליה, אלא לרבנן מאי ובא אליה ואקרב אליה? ובא אליה - בעלילות ואקרב אליה - בדברים. בשלמא לרבי אליעזר בן יעקב, היינו דכתיב: לא מצאתי לבתך בתולים, אלא לרבנן מאי לא מצאתי לבתך בתולים? לא מצאתי לבתך כשרי בתולים. בשלמא לרבי אליעזר בן יעקב, היינו דכתיב: ואלה בתולי בתי, אלא לרבנן מאי ואלה בתולי בתי? </w:t>
      </w:r>
      <w:r w:rsidR="0050702A">
        <w:rPr>
          <w:rStyle w:val="Style1Char"/>
          <w:rFonts w:hint="cs"/>
          <w:rtl/>
        </w:rPr>
        <w:t>(</w:t>
      </w:r>
      <w:r w:rsidR="00792766">
        <w:rPr>
          <w:rStyle w:val="Style1Char"/>
          <w:rFonts w:hint="cs"/>
          <w:rtl/>
        </w:rPr>
        <w:t>6</w:t>
      </w:r>
      <w:r w:rsidR="0050702A">
        <w:rPr>
          <w:rStyle w:val="Style1Char"/>
          <w:rFonts w:hint="cs"/>
          <w:rtl/>
        </w:rPr>
        <w:t>)</w:t>
      </w:r>
      <w:r w:rsidRPr="002F2700">
        <w:rPr>
          <w:rStyle w:val="Style1Char"/>
          <w:color w:val="00B050"/>
          <w:rtl/>
        </w:rPr>
        <w:t xml:space="preserve">ואלה כשרי בתולי בתי. בשלמא לר"א בן יעקב, היינו דכתיב: ופרשו השמלה, אלא לרבנן מאי ופרשו השמלה? אמר רבי אבהו: פרשו מה ששם לה; כדתניא: ופרשו השמלה - </w:t>
      </w:r>
      <w:r w:rsidR="00C04538">
        <w:rPr>
          <w:rStyle w:val="Style1Char"/>
          <w:rFonts w:hint="cs"/>
          <w:rtl/>
        </w:rPr>
        <w:t>(</w:t>
      </w:r>
      <w:r w:rsidR="00B4787F">
        <w:rPr>
          <w:rStyle w:val="Style1Char"/>
          <w:rFonts w:hint="cs"/>
          <w:rtl/>
        </w:rPr>
        <w:t>6</w:t>
      </w:r>
      <w:r w:rsidR="00C04538">
        <w:rPr>
          <w:rStyle w:val="Style1Char"/>
          <w:rFonts w:hint="cs"/>
          <w:rtl/>
        </w:rPr>
        <w:t>)</w:t>
      </w:r>
      <w:r w:rsidRPr="002F2700">
        <w:rPr>
          <w:rStyle w:val="Style1Char"/>
          <w:color w:val="00B050"/>
          <w:rtl/>
        </w:rPr>
        <w:t xml:space="preserve">מלמד, שבאין עדים של זה ועדים של זה ובוררין את הדבר כשמלה חדשה; רבי אליעזר בן יעקב אומר: דברים ככתבן, שמלה ממש. שלח רבי יצחק בר רב יעקב בר גיורי משמיה דרבי יוחנן: אף על גב </w:t>
      </w:r>
      <w:r w:rsidR="00EA6140">
        <w:rPr>
          <w:rStyle w:val="Style1Char"/>
          <w:rFonts w:hint="cs"/>
          <w:rtl/>
        </w:rPr>
        <w:t>(</w:t>
      </w:r>
      <w:r w:rsidR="00B4787F">
        <w:rPr>
          <w:rStyle w:val="Style1Char"/>
          <w:rFonts w:hint="cs"/>
          <w:rtl/>
        </w:rPr>
        <w:t>7</w:t>
      </w:r>
      <w:r w:rsidR="00EA6140">
        <w:rPr>
          <w:rStyle w:val="Style1Char"/>
          <w:rFonts w:hint="cs"/>
          <w:rtl/>
        </w:rPr>
        <w:t>)</w:t>
      </w:r>
      <w:r w:rsidRPr="002F2700">
        <w:rPr>
          <w:rStyle w:val="Style1Char"/>
          <w:color w:val="00B050"/>
          <w:rtl/>
        </w:rPr>
        <w:t xml:space="preserve">שלא מצינו בכל התורה כולה שחלק הכתוב בין ביאה כדרכה לביאה שלא כדרכה למכות ולעונשין, אבל מוציא שם רע חלק, אינו חייב עד שיבעול שלא כדרכה, ויוציא שם רע כדרכה. כמאן? אי כרבנן, אף על גב דלא בעל! אי כר' אליעזר בן יעקב, </w:t>
      </w:r>
    </w:p>
    <w:p w14:paraId="425742EE" w14:textId="5EE41D26" w:rsidR="00D83856" w:rsidRDefault="00D83856" w:rsidP="00D83856">
      <w:pPr>
        <w:pStyle w:val="Style1"/>
        <w:rPr>
          <w:rStyle w:val="Style1Char"/>
          <w:rtl/>
        </w:rPr>
      </w:pPr>
      <w:r>
        <w:rPr>
          <w:rStyle w:val="Style1Char"/>
          <w:rFonts w:hint="cs"/>
          <w:rtl/>
        </w:rPr>
        <w:t>1)[</w:t>
      </w:r>
      <w:r w:rsidRPr="00D83856">
        <w:rPr>
          <w:rStyle w:val="Style1Char"/>
          <w:rtl/>
        </w:rPr>
        <w:t>רמב</w:t>
      </w:r>
      <w:r w:rsidR="005258D6">
        <w:rPr>
          <w:rStyle w:val="Style1Char"/>
          <w:rtl/>
        </w:rPr>
        <w:t>”ם \הפלאה\</w:t>
      </w:r>
      <w:r w:rsidRPr="00D83856">
        <w:rPr>
          <w:rStyle w:val="Style1Char"/>
          <w:rtl/>
        </w:rPr>
        <w:t xml:space="preserve"> הלכות ערכין וחרמין פרק ב הלכה ב</w:t>
      </w:r>
      <w:r>
        <w:rPr>
          <w:rStyle w:val="Style1Char"/>
          <w:rFonts w:hint="cs"/>
          <w:rtl/>
        </w:rPr>
        <w:t xml:space="preserve">] </w:t>
      </w:r>
      <w:r w:rsidRPr="00D83856">
        <w:rPr>
          <w:rStyle w:val="Style1Char"/>
          <w:rtl/>
        </w:rPr>
        <w:t>אמר חצי ערכי עלי נותן חצי ערכו, ערך חציי עלי נותן ערך כולו שאי אפשר שינטל חציו ויחיה.</w:t>
      </w:r>
    </w:p>
    <w:p w14:paraId="49480680" w14:textId="5279A638" w:rsidR="00A159D6" w:rsidRDefault="00A159D6" w:rsidP="00A159D6">
      <w:pPr>
        <w:pStyle w:val="Style1"/>
        <w:rPr>
          <w:rStyle w:val="Style1Char"/>
          <w:rtl/>
        </w:rPr>
      </w:pPr>
      <w:r>
        <w:rPr>
          <w:rStyle w:val="Style1Char"/>
          <w:rFonts w:hint="cs"/>
          <w:rtl/>
        </w:rPr>
        <w:t>2)[</w:t>
      </w:r>
      <w:r w:rsidRPr="00A159D6">
        <w:rPr>
          <w:rStyle w:val="Style1Char"/>
          <w:rtl/>
        </w:rPr>
        <w:t>רמב</w:t>
      </w:r>
      <w:r w:rsidR="00213DA1">
        <w:rPr>
          <w:rStyle w:val="Style1Char"/>
          <w:rtl/>
        </w:rPr>
        <w:t>”ם \קדושה\</w:t>
      </w:r>
      <w:r w:rsidRPr="00A159D6">
        <w:rPr>
          <w:rStyle w:val="Style1Char"/>
          <w:rtl/>
        </w:rPr>
        <w:t xml:space="preserve"> הלכות איסורי ביאה פרק כא הלכה ה</w:t>
      </w:r>
      <w:r>
        <w:rPr>
          <w:rStyle w:val="Style1Char"/>
          <w:rFonts w:hint="cs"/>
          <w:rtl/>
        </w:rPr>
        <w:t xml:space="preserve">] </w:t>
      </w:r>
      <w:r w:rsidRPr="00A159D6">
        <w:rPr>
          <w:rStyle w:val="Style1Char"/>
          <w:rtl/>
        </w:rPr>
        <w:t>אסור להשתמש באשה כלל בין גדולה בין קטנה בין שפחה בין משוחררת שמא יבוא לידי הרהור, באי זה שמוש אמרו רחיצת פניו ידיו ורגליו והצעת מטה לפניו ומזיגת הכוס שאין עושה לאיש דברים אלו אלא אשתו בלבד, ואין שואלין בשלום אשה כלל ואפילו על ידי שליח.</w:t>
      </w:r>
    </w:p>
    <w:p w14:paraId="6754B7DC" w14:textId="572BB697" w:rsidR="00C3148D" w:rsidRDefault="00C3148D" w:rsidP="00C3148D">
      <w:pPr>
        <w:pStyle w:val="Style1"/>
        <w:rPr>
          <w:rtl/>
        </w:rPr>
      </w:pPr>
      <w:r>
        <w:rPr>
          <w:rStyle w:val="Style1Char"/>
          <w:rFonts w:hint="cs"/>
          <w:rtl/>
        </w:rPr>
        <w:t>2)[</w:t>
      </w:r>
      <w:r w:rsidRPr="00C3148D">
        <w:rPr>
          <w:rStyle w:val="Style1Char"/>
          <w:rtl/>
        </w:rPr>
        <w:t>שולחן ערוך אבן העזר הלכות אישות סימן כג סעיף ג</w:t>
      </w:r>
      <w:r>
        <w:rPr>
          <w:rStyle w:val="Style1Char"/>
          <w:rFonts w:hint="cs"/>
          <w:rtl/>
        </w:rPr>
        <w:t>]</w:t>
      </w:r>
      <w:r w:rsidR="002B1BF4">
        <w:rPr>
          <w:rStyle w:val="Style1Char"/>
          <w:rFonts w:hint="cs"/>
          <w:rtl/>
        </w:rPr>
        <w:t xml:space="preserve"> </w:t>
      </w:r>
      <w:r w:rsidR="002B1BF4" w:rsidRPr="002B1BF4">
        <w:rPr>
          <w:rtl/>
        </w:rPr>
        <w:t>אסור להוציא שכבת זרע לבטלה, ועון זה חמור מכל עבירות שבתורה, לפיכך לא יהיה אדם דש מבפנים וזורה מבחוץ ולא ישא קטנה שאינה ראויה לילד</w:t>
      </w:r>
      <w:r w:rsidR="002B1BF4" w:rsidRPr="002B1BF4">
        <w:t>:</w:t>
      </w:r>
    </w:p>
    <w:p w14:paraId="43089061" w14:textId="657F3AE2" w:rsidR="00592C86" w:rsidRDefault="00592C86" w:rsidP="00592C86">
      <w:pPr>
        <w:pStyle w:val="Style1"/>
        <w:rPr>
          <w:rtl/>
        </w:rPr>
      </w:pPr>
      <w:r>
        <w:rPr>
          <w:rFonts w:hint="cs"/>
          <w:rtl/>
        </w:rPr>
        <w:t>3)[</w:t>
      </w:r>
      <w:r>
        <w:rPr>
          <w:rtl/>
        </w:rPr>
        <w:t>רמב</w:t>
      </w:r>
      <w:r w:rsidR="005258D6">
        <w:rPr>
          <w:rtl/>
        </w:rPr>
        <w:t>”</w:t>
      </w:r>
      <w:r>
        <w:rPr>
          <w:rtl/>
        </w:rPr>
        <w:t>ם</w:t>
      </w:r>
      <w:r w:rsidR="005258D6">
        <w:rPr>
          <w:rtl/>
        </w:rPr>
        <w:t xml:space="preserve">\שופטים\ </w:t>
      </w:r>
      <w:r>
        <w:rPr>
          <w:rtl/>
        </w:rPr>
        <w:t xml:space="preserve"> הלכות סנהדרין פרק כא הלכה א</w:t>
      </w:r>
      <w:r>
        <w:rPr>
          <w:rFonts w:hint="cs"/>
          <w:rtl/>
        </w:rPr>
        <w:t xml:space="preserve">] </w:t>
      </w:r>
      <w:r>
        <w:rPr>
          <w:rtl/>
        </w:rPr>
        <w:t>מצות עשה לשפוט השופט בצדק שנאמר בצדק תשפוט עמיתך, אי זהו צדק המשפט זו השויית שני בעלי דינין בכל דבר, לא יהא אחד מדבר כל צרכו ואחד אומר לו קצר דבריך, ולא יסביר פנים לאחד וידבר לו רכות וירע פניו לאחר וידבר לו קשות.</w:t>
      </w:r>
    </w:p>
    <w:p w14:paraId="2E94DC3B" w14:textId="0B61DE41" w:rsidR="00D436F8" w:rsidRPr="00D436F8" w:rsidRDefault="00050D07" w:rsidP="00D436F8">
      <w:pPr>
        <w:pStyle w:val="Style1"/>
      </w:pPr>
      <w:r>
        <w:rPr>
          <w:rFonts w:hint="cs"/>
          <w:rtl/>
        </w:rPr>
        <w:t>3)[</w:t>
      </w:r>
      <w:r>
        <w:rPr>
          <w:rtl/>
        </w:rPr>
        <w:t>שולחן ערוך חושן משפט הלכות דיינים סימן יז סעיף א</w:t>
      </w:r>
      <w:r>
        <w:rPr>
          <w:rFonts w:hint="cs"/>
          <w:rtl/>
        </w:rPr>
        <w:t>]</w:t>
      </w:r>
      <w:r w:rsidR="00D436F8">
        <w:rPr>
          <w:rFonts w:hint="cs"/>
          <w:rtl/>
        </w:rPr>
        <w:t xml:space="preserve"> </w:t>
      </w:r>
      <w:r w:rsidR="00D436F8" w:rsidRPr="00D436F8">
        <w:rPr>
          <w:rtl/>
        </w:rPr>
        <w:t>בצדק תשפוט עמיתך איזהו צדק המשפט זו השוויית שני הבעלי דינים בכל דבר לא יהא אחד מדבר כל צרכו ואחד אומר לו קצר דברך ולא יסבירו פנים לאחד וידבר לו רכות וירע פניו לאחר וידבר לו קשות ואם היה אחד מהם מלובש בגדים יקרים והשני מלובש בגדים בזויים אומרים למכובד או הלבישהו כמותך או לבוש כמוהו ולא יהא אחד יושב ואחד עומד אלא שניהם עומדים ואם רצו ב"ד להושיב את שניהם מושיבים ולא ישב אחד למעלה ואחד למטה אלא זה בצד זה בד"א בשעת משא ומתן </w:t>
      </w:r>
      <w:r w:rsidR="00D436F8" w:rsidRPr="00D436F8">
        <w:rPr>
          <w:rFonts w:hint="cs"/>
        </w:rPr>
        <w:t>(</w:t>
      </w:r>
      <w:r w:rsidR="00D436F8" w:rsidRPr="00D436F8">
        <w:rPr>
          <w:rFonts w:hint="cs"/>
          <w:rtl/>
        </w:rPr>
        <w:t>דהטענות</w:t>
      </w:r>
      <w:r w:rsidR="00D436F8" w:rsidRPr="00D436F8">
        <w:rPr>
          <w:rFonts w:hint="cs"/>
        </w:rPr>
        <w:t>)</w:t>
      </w:r>
      <w:r w:rsidR="00D436F8" w:rsidRPr="00D436F8">
        <w:t> </w:t>
      </w:r>
      <w:r w:rsidR="00D436F8" w:rsidRPr="00D436F8">
        <w:rPr>
          <w:rtl/>
        </w:rPr>
        <w:t>אבל בשעת גמר דין שניהם בעמידה לכתחלה איזהו גמר דין איש פלוני אתה זכאי איש פלו' אתה חייב והעדים לכתחלה לעולם בעמידה</w:t>
      </w:r>
      <w:r w:rsidR="00D436F8" w:rsidRPr="00D436F8">
        <w:t>:</w:t>
      </w:r>
    </w:p>
    <w:p w14:paraId="1FD18526" w14:textId="0E0033EF" w:rsidR="00D436F8" w:rsidRDefault="00D436F8" w:rsidP="00D436F8">
      <w:pPr>
        <w:pStyle w:val="Style1"/>
        <w:rPr>
          <w:rtl/>
        </w:rPr>
      </w:pPr>
      <w:r w:rsidRPr="00D436F8">
        <w:rPr>
          <w:rFonts w:hint="cs"/>
          <w:rtl/>
        </w:rPr>
        <w:t>הגה: ועמידה ע"י סמיכה מקרי שפיר עמידה לענין זה (ריב"ש סי' רס"ו) ועיין לקמן </w:t>
      </w:r>
      <w:hyperlink r:id="rId78" w:tooltip="שולחן ערוך חושן משפט כח" w:history="1">
        <w:r w:rsidRPr="00D436F8">
          <w:rPr>
            <w:rStyle w:val="Hyperlink"/>
            <w:rFonts w:hint="cs"/>
            <w:color w:val="7030A0"/>
            <w:u w:val="none"/>
            <w:rtl/>
          </w:rPr>
          <w:t>סי' כ"ח</w:t>
        </w:r>
      </w:hyperlink>
      <w:r>
        <w:t>:</w:t>
      </w:r>
    </w:p>
    <w:p w14:paraId="38D50CE0" w14:textId="78018282" w:rsidR="007F162E" w:rsidRDefault="007F162E" w:rsidP="007F162E">
      <w:pPr>
        <w:pStyle w:val="Style1"/>
        <w:rPr>
          <w:rtl/>
        </w:rPr>
      </w:pPr>
      <w:r>
        <w:rPr>
          <w:rFonts w:hint="cs"/>
          <w:rtl/>
        </w:rPr>
        <w:t>4)[</w:t>
      </w:r>
      <w:r>
        <w:rPr>
          <w:rtl/>
        </w:rPr>
        <w:t>רמב</w:t>
      </w:r>
      <w:r w:rsidR="00786216">
        <w:rPr>
          <w:rtl/>
        </w:rPr>
        <w:t>”ם \נשים\</w:t>
      </w:r>
      <w:r>
        <w:rPr>
          <w:rtl/>
        </w:rPr>
        <w:t xml:space="preserve"> הלכות נערה בתולה פרק ג הלכה ט</w:t>
      </w:r>
      <w:r>
        <w:rPr>
          <w:rFonts w:hint="cs"/>
          <w:rtl/>
        </w:rPr>
        <w:t xml:space="preserve">] </w:t>
      </w:r>
      <w:r>
        <w:rPr>
          <w:rtl/>
        </w:rPr>
        <w:t>קידש נערה וגירשה וחזר וקידשה והוציא עליה שם רע והביא עדים שזינתה תחתיו בקדושין הראשונים ונמצאו זוממים הרי זה פטור, וכן אם היתה יבמתו שכנסה והוציא עליה שם רע והביא עדים שזינתה תחת קידושי אחיו ונמצאו זוממים הרי זה פטור מן המלקות ומן התשלומין, וכל הפטור אם רצה לגרש יגרש.</w:t>
      </w:r>
    </w:p>
    <w:p w14:paraId="09F95DAF" w14:textId="1D520354" w:rsidR="00FF60DD" w:rsidRDefault="00FF60DD" w:rsidP="00FF60DD">
      <w:pPr>
        <w:pStyle w:val="Style1"/>
        <w:rPr>
          <w:rtl/>
        </w:rPr>
      </w:pPr>
      <w:r>
        <w:rPr>
          <w:rFonts w:hint="cs"/>
          <w:rtl/>
        </w:rPr>
        <w:t>5)[</w:t>
      </w:r>
      <w:r>
        <w:rPr>
          <w:rtl/>
        </w:rPr>
        <w:t>רמב</w:t>
      </w:r>
      <w:r w:rsidR="00786216">
        <w:rPr>
          <w:rtl/>
        </w:rPr>
        <w:t>”ם \נשים\</w:t>
      </w:r>
      <w:r>
        <w:rPr>
          <w:rtl/>
        </w:rPr>
        <w:t xml:space="preserve"> הלכות נערה בתולה פרק ג הלכה ו</w:t>
      </w:r>
      <w:r>
        <w:rPr>
          <w:rFonts w:hint="cs"/>
          <w:rtl/>
        </w:rPr>
        <w:t xml:space="preserve">] </w:t>
      </w:r>
      <w:r>
        <w:rPr>
          <w:rtl/>
        </w:rPr>
        <w:t>כיצד הוצאת שם רע הוא שיבא לבית דין ויאמר נערה זו בעלתי ולא מצאתי לה בתולים וכשבקשתי על הדבר נודע לי שזינתה תחתי אחר שארסתיה ואלו הן עידי שזינתה בפניהן ובית דין שומעין דברי העדים וחוקרין עדותן אם נמצא הדבר אמת נסקלת, ואם הביא האב עדים והזימו העדים שהביא הבעל ונמצאו שהעידו שקר יסקלו וילקה הוא ויתן מאה סלע, ועל זה נאמר ואלה בתולי בתי אלו העדים שיזימו עידי הבעל, חזר הבעל והביא עדים אחרים והזים עידי האב הרי הנערה ועידי אביה נסקלין ועל זה נאמר ואם אמת היה הדבר הזה, מפי השמועה למדו שפרשה זו יש בה עדים וזוממין וזוממי זוממין.</w:t>
      </w:r>
    </w:p>
    <w:p w14:paraId="581C6708" w14:textId="06F5925B" w:rsidR="00310E3E" w:rsidRDefault="00310E3E" w:rsidP="00310E3E">
      <w:pPr>
        <w:pStyle w:val="Style1"/>
        <w:rPr>
          <w:rtl/>
        </w:rPr>
      </w:pPr>
      <w:r>
        <w:rPr>
          <w:rFonts w:hint="cs"/>
          <w:rtl/>
        </w:rPr>
        <w:t>5)[</w:t>
      </w:r>
      <w:r>
        <w:rPr>
          <w:rtl/>
        </w:rPr>
        <w:t>רמב</w:t>
      </w:r>
      <w:r w:rsidR="00786216">
        <w:rPr>
          <w:rtl/>
        </w:rPr>
        <w:t>”ם \נשים\</w:t>
      </w:r>
      <w:r>
        <w:rPr>
          <w:rtl/>
        </w:rPr>
        <w:t xml:space="preserve"> הלכות נערה בתולה פרק ג הלכה יב</w:t>
      </w:r>
      <w:r>
        <w:rPr>
          <w:rFonts w:hint="cs"/>
          <w:rtl/>
        </w:rPr>
        <w:t xml:space="preserve">] </w:t>
      </w:r>
      <w:r>
        <w:rPr>
          <w:rtl/>
        </w:rPr>
        <w:t xml:space="preserve">זה שנ' בתורה ופרשו השמלה לשון כבוד שנושאין ונותנין בסתרי הדבר, וכן זה שיאמר האב ואלה בתולי בתי הן זוממי עידי הבעל, וזה שנ' ואם אמת היה הדבר תהרג בשזינת אחר האירוסין בעדים שנ' </w:t>
      </w:r>
      <w:r w:rsidR="00786563">
        <w:rPr>
          <w:rFonts w:hint="cs"/>
          <w:rtl/>
        </w:rPr>
        <w:t>(</w:t>
      </w:r>
      <w:r>
        <w:rPr>
          <w:rtl/>
        </w:rPr>
        <w:t>דברים כ"ב י"ז - כ"א</w:t>
      </w:r>
      <w:r w:rsidR="00786563">
        <w:rPr>
          <w:rFonts w:hint="cs"/>
          <w:rtl/>
        </w:rPr>
        <w:t>)</w:t>
      </w:r>
      <w:r>
        <w:rPr>
          <w:rtl/>
        </w:rPr>
        <w:t xml:space="preserve"> לזנות בית אביה, אבל קודם האירוסין כבר דנה תורה בה שהיא פטורה מכלום ובועלה חייב בתשלומי ממון בלבד בין פיתה בין אנס. בריך רחמנא דסייען.</w:t>
      </w:r>
    </w:p>
    <w:p w14:paraId="1D4CA3EA" w14:textId="07387469" w:rsidR="00E44F2E" w:rsidRDefault="00E44F2E" w:rsidP="00E44F2E">
      <w:pPr>
        <w:pStyle w:val="Style1"/>
        <w:rPr>
          <w:rtl/>
        </w:rPr>
      </w:pPr>
      <w:r>
        <w:rPr>
          <w:rFonts w:hint="cs"/>
          <w:rtl/>
        </w:rPr>
        <w:t>6)[</w:t>
      </w:r>
      <w:r>
        <w:rPr>
          <w:rtl/>
        </w:rPr>
        <w:t>רמב</w:t>
      </w:r>
      <w:r w:rsidR="00213DA1">
        <w:rPr>
          <w:rtl/>
        </w:rPr>
        <w:t>”ם \קדושה\</w:t>
      </w:r>
      <w:r>
        <w:rPr>
          <w:rtl/>
        </w:rPr>
        <w:t xml:space="preserve"> הלכות איסורי ביאה פרק א הלכה י</w:t>
      </w:r>
      <w:r>
        <w:rPr>
          <w:rFonts w:hint="cs"/>
          <w:rtl/>
        </w:rPr>
        <w:t xml:space="preserve">] </w:t>
      </w:r>
      <w:r>
        <w:rPr>
          <w:rtl/>
        </w:rPr>
        <w:t>המכניס ראש העטרה בלבד הוא הנקרא מערה מלשון את מקורה הערה, והמכניס כל האבר הוא הנקרא גומר, ובכל הביאות האסורות אחד המערה ואחד הגומר ואף על פי שלא הוציא שכבת זרע ואף ע"פ שפירש ולא גמר כיון שהכניס ראש העטרה נתחייבו שניהם מיתת ב"ד או כרת או מלקות או מכת מרדות, (ואחד הבא על הערוה כדרכה ואחד הבא עליה שלא כדרכה) משיערה בה יתחייבו שניהן מיתה או כרת או מלקות או מכת מרדות בין שהיו שוכבין בין שהיו עומדים על הכנסת העטרה הוא החיוב.</w:t>
      </w:r>
    </w:p>
    <w:p w14:paraId="49FC44B0" w14:textId="10C7B980" w:rsidR="00947D91" w:rsidRDefault="00947D91" w:rsidP="00947D91">
      <w:pPr>
        <w:pStyle w:val="Style1"/>
        <w:rPr>
          <w:rtl/>
        </w:rPr>
      </w:pPr>
      <w:r>
        <w:rPr>
          <w:rFonts w:hint="cs"/>
          <w:rtl/>
        </w:rPr>
        <w:t>6)[</w:t>
      </w:r>
      <w:r>
        <w:rPr>
          <w:rtl/>
        </w:rPr>
        <w:t>רמב</w:t>
      </w:r>
      <w:r w:rsidR="00213DA1">
        <w:rPr>
          <w:rtl/>
        </w:rPr>
        <w:t>”ם \קדושה\</w:t>
      </w:r>
      <w:r>
        <w:rPr>
          <w:rtl/>
        </w:rPr>
        <w:t xml:space="preserve"> הלכות איסורי ביאה פרק א הלכה טז</w:t>
      </w:r>
      <w:r>
        <w:rPr>
          <w:rFonts w:hint="cs"/>
          <w:rtl/>
        </w:rPr>
        <w:t xml:space="preserve">] </w:t>
      </w:r>
      <w:r>
        <w:rPr>
          <w:rtl/>
        </w:rPr>
        <w:t>הבא על הבהמה או שהביא בהמה עליו שניהן נסקלין שנאמר ובכל בהמה לא תתן שכבתך בין שרבעה או הביאה עליו, ואחד בהמה ואחד חיה ועוף הכל בסקילה, ולא חלק הכתוב בבהמה בין גדולה לקטנה שנאמר ובכל בהמה אפילו ביום לידתה (הבא עליה בין כדרכה בין שלא כדרכה) כיון שהערה בה או שהערתה בו חייב.</w:t>
      </w:r>
    </w:p>
    <w:p w14:paraId="3FE6857C" w14:textId="57A3B13A" w:rsidR="00B01FA2" w:rsidRDefault="00B01FA2" w:rsidP="00B01FA2">
      <w:pPr>
        <w:pStyle w:val="Style1"/>
        <w:rPr>
          <w:rtl/>
        </w:rPr>
      </w:pPr>
      <w:r>
        <w:rPr>
          <w:rFonts w:hint="cs"/>
          <w:rtl/>
        </w:rPr>
        <w:lastRenderedPageBreak/>
        <w:t>6)[</w:t>
      </w:r>
      <w:r>
        <w:rPr>
          <w:rtl/>
        </w:rPr>
        <w:t>רמב</w:t>
      </w:r>
      <w:r w:rsidR="00213DA1">
        <w:rPr>
          <w:rtl/>
        </w:rPr>
        <w:t>”ם \קדושה\</w:t>
      </w:r>
      <w:r>
        <w:rPr>
          <w:rtl/>
        </w:rPr>
        <w:t xml:space="preserve"> הלכות איסורי ביאה פרק א הלכה יז</w:t>
      </w:r>
      <w:r>
        <w:rPr>
          <w:rFonts w:hint="cs"/>
          <w:rtl/>
        </w:rPr>
        <w:t xml:space="preserve">] </w:t>
      </w:r>
      <w:r>
        <w:rPr>
          <w:rtl/>
        </w:rPr>
        <w:t>קטן בן ט' שנים ויום אחד שבא על הבהמה או הביאה עליו היא נסקלת על ידו והוא פטור, היה בן ט' או פחות אין סוקלין את הבהמה, וכן קטנה בת ג' שנים ויום אחד שהביאה בהמה וחיה עליה בין בהמה גדולה בין בהמה קטנה כיון שהערתה בה הבהמה (בין כדרכה בין שלא כדרכה) הבהמה נסקלת והיא פטורה, ואם היתה גדולה שניהן נסקלין ואם היתה מבת ג' שנים ולמטה אין הבהמה נסקלת.</w:t>
      </w:r>
    </w:p>
    <w:p w14:paraId="656A07A9" w14:textId="2C67F69E" w:rsidR="00954DB2" w:rsidRPr="00954DB2" w:rsidRDefault="009C1ACE" w:rsidP="00954DB2">
      <w:pPr>
        <w:pStyle w:val="Style1"/>
      </w:pPr>
      <w:r>
        <w:rPr>
          <w:rFonts w:hint="cs"/>
          <w:rtl/>
        </w:rPr>
        <w:t>6)[</w:t>
      </w:r>
      <w:r>
        <w:rPr>
          <w:rtl/>
        </w:rPr>
        <w:t>שולחן ערוך אבן העזר הלכות אישות סימן כ סעיף א</w:t>
      </w:r>
      <w:r>
        <w:rPr>
          <w:rFonts w:hint="cs"/>
          <w:rtl/>
        </w:rPr>
        <w:t>]</w:t>
      </w:r>
      <w:r w:rsidR="00954DB2">
        <w:rPr>
          <w:rFonts w:hint="cs"/>
          <w:rtl/>
        </w:rPr>
        <w:t xml:space="preserve"> </w:t>
      </w:r>
      <w:r w:rsidR="00954DB2" w:rsidRPr="00954DB2">
        <w:rPr>
          <w:rtl/>
        </w:rPr>
        <w:t>הבא על אחת מן העריות דרך איברים, או שחיבק ונישק ונהנה בקירוב בשר, הרי זה לוקה וחשוד על העריות</w:t>
      </w:r>
      <w:r w:rsidR="00954DB2" w:rsidRPr="00954DB2">
        <w:t>.</w:t>
      </w:r>
    </w:p>
    <w:p w14:paraId="2FB4B982" w14:textId="77777777" w:rsidR="00954DB2" w:rsidRPr="00954DB2" w:rsidRDefault="00954DB2" w:rsidP="00954DB2">
      <w:pPr>
        <w:pStyle w:val="Style1"/>
      </w:pPr>
      <w:r w:rsidRPr="00954DB2">
        <w:rPr>
          <w:rFonts w:hint="cs"/>
          <w:rtl/>
        </w:rPr>
        <w:t>הגה</w:t>
      </w:r>
      <w:r w:rsidRPr="00954DB2">
        <w:rPr>
          <w:rFonts w:hint="cs"/>
        </w:rPr>
        <w:t>: </w:t>
      </w:r>
      <w:r w:rsidRPr="00954DB2">
        <w:rPr>
          <w:rFonts w:hint="cs"/>
          <w:rtl/>
        </w:rPr>
        <w:t>הבא עליה בין כדרכה בין שלא כדרכה, כיון שהערה בה, היינו שהכניס העטרה, חייב עליה מיתה או כרת. ואין צריכים לראות כמכחול בשפופרת, אלא משיראו העדים אותם דבוקים זה בזה כדרך המנאפים – נהרגים על זה, והאשה נאסרת על בעלה</w:t>
      </w:r>
      <w:r w:rsidRPr="00954DB2">
        <w:t>.</w:t>
      </w:r>
    </w:p>
    <w:p w14:paraId="433D8545" w14:textId="77777777" w:rsidR="00954DB2" w:rsidRPr="00954DB2" w:rsidRDefault="00954DB2" w:rsidP="00954DB2">
      <w:pPr>
        <w:pStyle w:val="Style1"/>
      </w:pPr>
      <w:r w:rsidRPr="00954DB2">
        <w:rPr>
          <w:rFonts w:hint="cs"/>
          <w:rtl/>
        </w:rPr>
        <w:t>אשה גדולה שבא עליה קטן פחות מבן ט' שנים, אינה חייבת מיתה על ידו. ונראה לי דהוא הדין אינה נאסרת על בעלה. ולכן כתב הרב בעל הטורים הרבה דינים אימתי חייבים מיתה או לא, נפקא מינה בזמן הזה באיזה ביאה אשה נאסרת על בעלה. ועיין בפנים</w:t>
      </w:r>
      <w:r w:rsidRPr="00954DB2">
        <w:rPr>
          <w:rFonts w:hint="cs"/>
        </w:rPr>
        <w:t>.</w:t>
      </w:r>
    </w:p>
    <w:p w14:paraId="2A2E8820" w14:textId="77777777" w:rsidR="00954DB2" w:rsidRPr="00954DB2" w:rsidRDefault="00954DB2" w:rsidP="00954DB2">
      <w:pPr>
        <w:pStyle w:val="Style1"/>
      </w:pPr>
      <w:r w:rsidRPr="00954DB2">
        <w:rPr>
          <w:rFonts w:hint="cs"/>
          <w:rtl/>
        </w:rPr>
        <w:t>אשה פחותה מבת שלש אין ביאתה ביאה, דכל פחותה משלש שנים אין ביאתה ביאה ובתוליה חוזרין </w:t>
      </w:r>
      <w:r w:rsidRPr="00954DB2">
        <w:rPr>
          <w:rFonts w:hint="cs"/>
        </w:rPr>
        <w:t>(</w:t>
      </w:r>
      <w:r w:rsidRPr="00954DB2">
        <w:rPr>
          <w:rFonts w:hint="cs"/>
          <w:rtl/>
        </w:rPr>
        <w:t>בהגהות דיבמות</w:t>
      </w:r>
      <w:r w:rsidRPr="00954DB2">
        <w:rPr>
          <w:rFonts w:hint="cs"/>
        </w:rPr>
        <w:t xml:space="preserve">), </w:t>
      </w:r>
      <w:r w:rsidRPr="00954DB2">
        <w:rPr>
          <w:rFonts w:hint="cs"/>
          <w:rtl/>
        </w:rPr>
        <w:t>אפילו נתעברו השנים – בתוליה חוזרין </w:t>
      </w:r>
      <w:r w:rsidRPr="00954DB2">
        <w:rPr>
          <w:rFonts w:hint="cs"/>
        </w:rPr>
        <w:t>(</w:t>
      </w:r>
      <w:r w:rsidRPr="00954DB2">
        <w:rPr>
          <w:rFonts w:hint="cs"/>
          <w:rtl/>
        </w:rPr>
        <w:t>דברי הרב מהירושלמי</w:t>
      </w:r>
      <w:r w:rsidRPr="00954DB2">
        <w:rPr>
          <w:rFonts w:hint="cs"/>
        </w:rPr>
        <w:t>)</w:t>
      </w:r>
      <w:r w:rsidRPr="00954DB2">
        <w:t>:</w:t>
      </w:r>
    </w:p>
    <w:p w14:paraId="5CA5BD14" w14:textId="77777777" w:rsidR="00954DB2" w:rsidRPr="00954DB2" w:rsidRDefault="00954DB2" w:rsidP="00954DB2">
      <w:pPr>
        <w:pStyle w:val="Style1"/>
      </w:pPr>
    </w:p>
    <w:p w14:paraId="59C59978" w14:textId="62AC40A8" w:rsidR="009C1ACE" w:rsidRDefault="009C1ACE" w:rsidP="009C1ACE">
      <w:pPr>
        <w:pStyle w:val="Style1"/>
        <w:rPr>
          <w:rtl/>
        </w:rPr>
      </w:pPr>
    </w:p>
    <w:p w14:paraId="64C37A1D" w14:textId="77777777" w:rsidR="007C5D60" w:rsidRDefault="007C5D60" w:rsidP="007C5D60">
      <w:pPr>
        <w:pStyle w:val="Style1"/>
      </w:pPr>
    </w:p>
    <w:p w14:paraId="68C7B546" w14:textId="77777777" w:rsidR="00D436F8" w:rsidRPr="00D436F8" w:rsidRDefault="00D436F8" w:rsidP="00D436F8">
      <w:pPr>
        <w:pStyle w:val="Style1"/>
      </w:pPr>
    </w:p>
    <w:p w14:paraId="36C40C13" w14:textId="08E40CEA" w:rsidR="00050D07" w:rsidRPr="002B1BF4" w:rsidRDefault="00050D07" w:rsidP="00050D07">
      <w:pPr>
        <w:pStyle w:val="Style1"/>
      </w:pPr>
    </w:p>
    <w:p w14:paraId="1FD2EE74" w14:textId="005F04E4" w:rsidR="00C3148D" w:rsidRPr="00D83856" w:rsidRDefault="00C3148D" w:rsidP="00C3148D">
      <w:pPr>
        <w:pStyle w:val="Style1"/>
        <w:rPr>
          <w:rStyle w:val="Style1Char"/>
        </w:rPr>
      </w:pPr>
    </w:p>
    <w:p w14:paraId="11CDE9CF" w14:textId="77777777" w:rsidR="000357F0" w:rsidRPr="00C81021" w:rsidRDefault="000357F0" w:rsidP="000357F0">
      <w:pPr>
        <w:bidi/>
        <w:rPr>
          <w:rStyle w:val="Style1Char"/>
          <w:color w:val="4472C4" w:themeColor="accent1"/>
        </w:rPr>
      </w:pPr>
      <w:r w:rsidRPr="00C81021">
        <w:rPr>
          <w:rStyle w:val="Style1Char"/>
          <w:color w:val="4472C4" w:themeColor="accent1"/>
        </w:rPr>
        <w:t xml:space="preserve">: </w:t>
      </w:r>
    </w:p>
    <w:p w14:paraId="238F530A" w14:textId="77777777" w:rsidR="000357F0" w:rsidRPr="00B018AB" w:rsidRDefault="000357F0" w:rsidP="000357F0">
      <w:pPr>
        <w:bidi/>
        <w:rPr>
          <w:rStyle w:val="Style1Char"/>
          <w:color w:val="00B050"/>
          <w:rtl/>
        </w:rPr>
      </w:pPr>
    </w:p>
    <w:p w14:paraId="4C7159E2" w14:textId="77777777" w:rsidR="000357F0" w:rsidRPr="00CB35BF" w:rsidRDefault="000357F0" w:rsidP="000357F0">
      <w:pPr>
        <w:bidi/>
        <w:rPr>
          <w:rStyle w:val="Style1Char"/>
          <w:color w:val="00B050"/>
          <w:rtl/>
        </w:rPr>
      </w:pPr>
    </w:p>
    <w:p w14:paraId="3392163C" w14:textId="77777777" w:rsidR="000357F0" w:rsidRDefault="000357F0" w:rsidP="000357F0">
      <w:pPr>
        <w:rPr>
          <w:rStyle w:val="Style1Char"/>
          <w:color w:val="00B050"/>
          <w:rtl/>
        </w:rPr>
      </w:pPr>
      <w:r>
        <w:rPr>
          <w:rStyle w:val="Style1Char"/>
          <w:color w:val="00B050"/>
          <w:rtl/>
        </w:rPr>
        <w:br w:type="page"/>
      </w:r>
    </w:p>
    <w:p w14:paraId="066BBB31" w14:textId="57543BD2" w:rsidR="000357F0" w:rsidRPr="002F2700" w:rsidRDefault="000357F0" w:rsidP="000357F0">
      <w:pPr>
        <w:bidi/>
        <w:rPr>
          <w:rStyle w:val="Style1Char"/>
          <w:color w:val="00B050"/>
        </w:rPr>
      </w:pPr>
      <w:r w:rsidRPr="002F2700">
        <w:rPr>
          <w:rStyle w:val="Style1Char"/>
          <w:color w:val="00B050"/>
          <w:sz w:val="22"/>
          <w:szCs w:val="22"/>
          <w:highlight w:val="yellow"/>
          <w:rtl/>
        </w:rPr>
        <w:lastRenderedPageBreak/>
        <w:t>[דף מו עמוד ב]</w:t>
      </w:r>
      <w:r w:rsidRPr="002F2700">
        <w:rPr>
          <w:rStyle w:val="Style1Char"/>
          <w:color w:val="00B050"/>
          <w:sz w:val="22"/>
          <w:szCs w:val="22"/>
          <w:rtl/>
        </w:rPr>
        <w:t xml:space="preserve"> </w:t>
      </w:r>
      <w:r w:rsidRPr="002F2700">
        <w:rPr>
          <w:rStyle w:val="Style1Char"/>
          <w:color w:val="00B050"/>
          <w:rtl/>
        </w:rPr>
        <w:t xml:space="preserve">אידי ואידי כדרכה בעינן! אלא </w:t>
      </w:r>
      <w:r w:rsidRPr="004A0BA9">
        <w:rPr>
          <w:rStyle w:val="Style1Char"/>
          <w:sz w:val="22"/>
          <w:szCs w:val="22"/>
          <w:rtl/>
        </w:rPr>
        <w:t xml:space="preserve">שלח רב כהנא משמיה דרבי יוחנן: </w:t>
      </w:r>
      <w:r w:rsidRPr="004A0BA9">
        <w:rPr>
          <w:rStyle w:val="Style1Char"/>
          <w:color w:val="C00000"/>
          <w:sz w:val="22"/>
          <w:szCs w:val="22"/>
          <w:rtl/>
        </w:rPr>
        <w:t xml:space="preserve">מוציא שם רע </w:t>
      </w:r>
      <w:r w:rsidR="00E27CB6">
        <w:rPr>
          <w:rStyle w:val="Style1Char"/>
          <w:rFonts w:hint="cs"/>
          <w:rtl/>
        </w:rPr>
        <w:t>(1)</w:t>
      </w:r>
      <w:r w:rsidRPr="004A0BA9">
        <w:rPr>
          <w:rStyle w:val="Style1Char"/>
          <w:sz w:val="22"/>
          <w:szCs w:val="22"/>
          <w:rtl/>
        </w:rPr>
        <w:t xml:space="preserve">אינו חייב - עד שיבעול כדרכה, ויוציא שם רע בכדרכה. </w:t>
      </w:r>
    </w:p>
    <w:p w14:paraId="6DF8ED89" w14:textId="7027AB76" w:rsidR="000357F0" w:rsidRPr="00CB494F" w:rsidRDefault="000357F0" w:rsidP="000357F0">
      <w:pPr>
        <w:bidi/>
        <w:rPr>
          <w:rStyle w:val="Style1Char"/>
          <w:color w:val="auto"/>
          <w:sz w:val="22"/>
          <w:szCs w:val="22"/>
          <w:rtl/>
        </w:rPr>
      </w:pPr>
      <w:r w:rsidRPr="00CB494F">
        <w:rPr>
          <w:rStyle w:val="Style1Char"/>
          <w:color w:val="auto"/>
          <w:sz w:val="22"/>
          <w:szCs w:val="22"/>
          <w:rtl/>
        </w:rPr>
        <w:t xml:space="preserve">מתני'. </w:t>
      </w:r>
      <w:r w:rsidR="00D150A3">
        <w:rPr>
          <w:rStyle w:val="Style1Char"/>
          <w:rFonts w:hint="cs"/>
          <w:rtl/>
        </w:rPr>
        <w:t>(2)</w:t>
      </w:r>
      <w:r w:rsidRPr="00CB494F">
        <w:rPr>
          <w:rStyle w:val="Style1Char"/>
          <w:color w:val="auto"/>
          <w:sz w:val="22"/>
          <w:szCs w:val="22"/>
          <w:rtl/>
        </w:rPr>
        <w:t xml:space="preserve">האב זכאי בבתו בקידושיה - בכסף, בשטר, ובביאה, זכאי במציאתה, ובמעשה ידיה, </w:t>
      </w:r>
      <w:r w:rsidR="00F05E34">
        <w:rPr>
          <w:rStyle w:val="Style1Char"/>
          <w:rFonts w:hint="cs"/>
          <w:rtl/>
        </w:rPr>
        <w:t>(3)</w:t>
      </w:r>
      <w:r w:rsidRPr="00CB494F">
        <w:rPr>
          <w:rStyle w:val="Style1Char"/>
          <w:color w:val="auto"/>
          <w:sz w:val="22"/>
          <w:szCs w:val="22"/>
          <w:rtl/>
        </w:rPr>
        <w:t xml:space="preserve">ובהפרת נדריה, </w:t>
      </w:r>
      <w:r w:rsidR="00F05E34">
        <w:rPr>
          <w:rStyle w:val="Style1Char"/>
          <w:rFonts w:hint="cs"/>
          <w:rtl/>
        </w:rPr>
        <w:t>(4)</w:t>
      </w:r>
      <w:r w:rsidRPr="00CB494F">
        <w:rPr>
          <w:rStyle w:val="Style1Char"/>
          <w:color w:val="auto"/>
          <w:sz w:val="22"/>
          <w:szCs w:val="22"/>
          <w:rtl/>
        </w:rPr>
        <w:t xml:space="preserve">ומקבל את גיטה, </w:t>
      </w:r>
      <w:r w:rsidR="00383987">
        <w:rPr>
          <w:rStyle w:val="Style1Char"/>
          <w:rFonts w:hint="cs"/>
          <w:rtl/>
        </w:rPr>
        <w:t>(5)</w:t>
      </w:r>
      <w:r w:rsidRPr="00CB494F">
        <w:rPr>
          <w:rStyle w:val="Style1Char"/>
          <w:color w:val="auto"/>
          <w:sz w:val="22"/>
          <w:szCs w:val="22"/>
          <w:rtl/>
        </w:rPr>
        <w:t xml:space="preserve">ואינו אוכל פירות בחייה. נשאת, יתר עליו הבעל </w:t>
      </w:r>
      <w:r w:rsidR="00722E95">
        <w:rPr>
          <w:rStyle w:val="Style1Char"/>
          <w:rFonts w:hint="cs"/>
          <w:rtl/>
        </w:rPr>
        <w:t>(6)</w:t>
      </w:r>
      <w:r w:rsidRPr="00CB494F">
        <w:rPr>
          <w:rStyle w:val="Style1Char"/>
          <w:color w:val="auto"/>
          <w:sz w:val="22"/>
          <w:szCs w:val="22"/>
          <w:rtl/>
        </w:rPr>
        <w:t xml:space="preserve">שאוכל פירות בחייה, </w:t>
      </w:r>
      <w:r w:rsidR="007B6435">
        <w:rPr>
          <w:rStyle w:val="Style1Char"/>
          <w:rFonts w:hint="cs"/>
          <w:rtl/>
        </w:rPr>
        <w:t>(7)</w:t>
      </w:r>
      <w:r w:rsidRPr="00CB494F">
        <w:rPr>
          <w:rStyle w:val="Style1Char"/>
          <w:color w:val="auto"/>
          <w:sz w:val="22"/>
          <w:szCs w:val="22"/>
          <w:rtl/>
        </w:rPr>
        <w:t xml:space="preserve">וחייב במזונותיה, ובפרקונה, וקבורתה; רבי יהודה אומר: </w:t>
      </w:r>
      <w:r w:rsidR="00FC3E58">
        <w:rPr>
          <w:rStyle w:val="Style1Char"/>
          <w:rFonts w:hint="cs"/>
          <w:rtl/>
        </w:rPr>
        <w:t>(8)</w:t>
      </w:r>
      <w:r w:rsidRPr="00CB494F">
        <w:rPr>
          <w:rStyle w:val="Style1Char"/>
          <w:color w:val="auto"/>
          <w:sz w:val="22"/>
          <w:szCs w:val="22"/>
          <w:rtl/>
        </w:rPr>
        <w:t xml:space="preserve">אפי' עני שבישראל לא יפחות משני חלילין ומקוננת: </w:t>
      </w:r>
    </w:p>
    <w:p w14:paraId="01BD9D74" w14:textId="77777777" w:rsidR="000357F0" w:rsidRPr="002F2700" w:rsidRDefault="000357F0" w:rsidP="000357F0">
      <w:pPr>
        <w:bidi/>
        <w:rPr>
          <w:rStyle w:val="Style1Char"/>
          <w:color w:val="00B050"/>
        </w:rPr>
      </w:pPr>
      <w:r w:rsidRPr="002F2700">
        <w:rPr>
          <w:rStyle w:val="Style1Char"/>
          <w:color w:val="00B050"/>
          <w:rtl/>
        </w:rPr>
        <w:t xml:space="preserve">גמ'. בכסף מנלן? אמר רב יהודה, אמר קרא: ויצאה חנם אין כסף, אין כסף לאדון זה, ויש כסף לאדון אחר, ומנו? אביה. ואימא: לדידה! השתא אביה מקבל קידושיה, דכתיב: את בתי נתתי לאיש הזה, איהי שקלא כספא? ואימא: הני מילי קטנה, דלית לה יד, אבל נערה דאית לה יד, איהי תקדש נפשה ואיהי תשקול כספא! אמר קרא: בנעוריה בית אביה, כל שבח נעורים לאביה. ואלא הא דא"ר הונא אמר רב: מנין שמעשה הבת לאביה? שנאמר: וכי ימכור איש את בתו לאמה, מה אמה מעשה ידיה לרבה, אף בת מעשה ידיה לאביה, למה לי? תיפוק ליה מבנעוריה בית אביה! אלא, ההוא בהפרת נדרים הוא דכתיב, וכ"ת נילף מינה, ממונא מאיסורא לא ילפינן! וכ"ת נילף מקנסא, ממונא מקנסא לא ילפינן! וכ"ת נילף מבושת ופגם, שאני בושת ופגם, דאביה נמי שייך ביה! אלא מסתברא, דכי ממעט רחמנא - יציאה דכוותה קא ממעט. והא לא דמיא הא יציאה להא יציאה, התם גבי אדון נפקא לה מרשותיה לגמרי, יציאה דאב אכתי מחסרא מסירה לחופה! מהפרת נדרים מיהא נפקא לה מרשותיה, דתנן: נערה המאורסה - אביה ובעלה מפירין לה נדריה. שטר, וביאה. מנא לן? אמר קרא: והיתה לאיש אחר, איתקוש הוויות להדדי. </w:t>
      </w:r>
    </w:p>
    <w:p w14:paraId="624E2835" w14:textId="43E4DC97" w:rsidR="000357F0" w:rsidRDefault="000357F0" w:rsidP="000357F0">
      <w:pPr>
        <w:bidi/>
        <w:rPr>
          <w:rStyle w:val="Style1Char"/>
          <w:color w:val="00B050"/>
        </w:rPr>
      </w:pPr>
      <w:r w:rsidRPr="002F2700">
        <w:rPr>
          <w:rStyle w:val="Style1Char"/>
          <w:color w:val="00B050"/>
          <w:rtl/>
        </w:rPr>
        <w:t xml:space="preserve">זכאי במציאתה. </w:t>
      </w:r>
    </w:p>
    <w:p w14:paraId="3DEF63EC" w14:textId="10B69AEC" w:rsidR="00AB1FA5" w:rsidRDefault="00AB1FA5" w:rsidP="00AB1FA5">
      <w:pPr>
        <w:pStyle w:val="Style1"/>
        <w:rPr>
          <w:rStyle w:val="Style1Char"/>
          <w:rtl/>
        </w:rPr>
      </w:pPr>
      <w:r>
        <w:rPr>
          <w:rStyle w:val="Style1Char"/>
          <w:rFonts w:hint="cs"/>
          <w:rtl/>
        </w:rPr>
        <w:t>1)[</w:t>
      </w:r>
      <w:r w:rsidRPr="00AB1FA5">
        <w:rPr>
          <w:rStyle w:val="Style1Char"/>
          <w:rtl/>
        </w:rPr>
        <w:t>רמב</w:t>
      </w:r>
      <w:r w:rsidR="00786216">
        <w:rPr>
          <w:rStyle w:val="Style1Char"/>
          <w:rtl/>
        </w:rPr>
        <w:t>”ם \נשים\</w:t>
      </w:r>
      <w:r w:rsidRPr="00AB1FA5">
        <w:rPr>
          <w:rStyle w:val="Style1Char"/>
          <w:rtl/>
        </w:rPr>
        <w:t xml:space="preserve"> הלכות נערה בתולה פרק ג הלכה י</w:t>
      </w:r>
      <w:r>
        <w:rPr>
          <w:rStyle w:val="Style1Char"/>
          <w:rFonts w:hint="cs"/>
          <w:rtl/>
        </w:rPr>
        <w:t xml:space="preserve">] </w:t>
      </w:r>
      <w:r w:rsidRPr="00AB1FA5">
        <w:rPr>
          <w:rStyle w:val="Style1Char"/>
          <w:rtl/>
        </w:rPr>
        <w:t>אינו חייב עד שיבעול אותה כדרכה ויוציא שם רע כדרכה, בעלה שלא כדרכה ואמר לא מצאתיה בתולה פטור ומכין אותו מכת מרדות.</w:t>
      </w:r>
    </w:p>
    <w:p w14:paraId="5CA73F44" w14:textId="36215781" w:rsidR="009A5563" w:rsidRPr="00AE64BF" w:rsidRDefault="009A5563" w:rsidP="009A5563">
      <w:pPr>
        <w:pStyle w:val="Style1"/>
        <w:rPr>
          <w:rStyle w:val="Style1Char"/>
        </w:rPr>
      </w:pPr>
      <w:r>
        <w:rPr>
          <w:rStyle w:val="Style1Char"/>
          <w:rFonts w:hint="cs"/>
          <w:rtl/>
        </w:rPr>
        <w:t>1)[</w:t>
      </w:r>
      <w:r w:rsidRPr="00AE64BF">
        <w:rPr>
          <w:rStyle w:val="Style1Char"/>
          <w:rtl/>
        </w:rPr>
        <w:t>טור אבן העזר הלכות אונס ומפתה סימן קעז</w:t>
      </w:r>
      <w:r>
        <w:rPr>
          <w:rStyle w:val="Style1Char"/>
          <w:rFonts w:hint="cs"/>
          <w:rtl/>
        </w:rPr>
        <w:t xml:space="preserve">] </w:t>
      </w:r>
      <w:r w:rsidRPr="00AE64BF">
        <w:rPr>
          <w:rStyle w:val="Style1Char"/>
          <w:rtl/>
        </w:rPr>
        <w:t>הלכות אונס ומפתה:</w:t>
      </w:r>
    </w:p>
    <w:p w14:paraId="1732FBDB" w14:textId="77777777" w:rsidR="009A5563" w:rsidRPr="00AE64BF" w:rsidRDefault="009A5563" w:rsidP="009A5563">
      <w:pPr>
        <w:pStyle w:val="Style1"/>
        <w:rPr>
          <w:rStyle w:val="Style1Char"/>
        </w:rPr>
      </w:pPr>
      <w:r>
        <w:rPr>
          <w:rStyle w:val="Style1Char"/>
          <w:rFonts w:hint="cs"/>
        </w:rPr>
        <w:t>‍</w:t>
      </w:r>
      <w:r w:rsidRPr="00AE64BF">
        <w:rPr>
          <w:rStyle w:val="Style1Char"/>
          <w:rtl/>
        </w:rPr>
        <w:t xml:space="preserve">המפתה או מאנס בתולת ישראל קונסין אותו נ' סלעים כסף בין אם היתה בת גדול שבישראל או בת קטן שבישראל ואיזהו מפתה ואיזהו מאנס מפתה לרצונה מאנס שלא לרצונה וכתב הרמב"ם כל הנבעלה בשדה הוא בחזקת אנוסה ודנין בו דין אונס עד שיעידו עדים שלרצונה נבעלה וכל הנבעלת בעיר היא בחזקת מפותה מפני שלא צעקה עד שיעידו שהיתה אנוסה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כגון ששלף חרבו ואמר לה אם תצעק אני אהרוג אותך וכתב הראב"ד חזקה זו איני יודע מה תועלת יש בה אם יש עדים יבאו ויעידו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ואם אין עדים אין שם קנס </w:t>
      </w:r>
      <w:r>
        <w:rPr>
          <w:rStyle w:val="Style1Char"/>
          <w:rFonts w:hint="cs"/>
        </w:rPr>
        <w:t>‍</w:t>
      </w:r>
      <w:r w:rsidRPr="00AE64BF">
        <w:rPr>
          <w:rStyle w:val="Style1Char"/>
          <w:rtl/>
        </w:rPr>
        <w:t xml:space="preserve">ואם לענין שלשה דברים אם יש טענה ביניהם כלל גדול בדין המע"ה והעיר והשדה שווים הם דין נ' סלעים הם הם קנס על המעשה הרע שעשה אבל מלבד זה צריך ליתן לה במפותה בושת ופגם אבל לא צער שאין למפותה צער ובאנוסה שיש לה צער צער ובושת ופגם ואלו אינן שוין בכל אדם אלא הכל לפי מה שהא בושת הכל לפי המבייש והמתבייש שאינו דומה המבייש נערה חשובה ממשפחה מיוחסת למבייש בזויה וענייה ואינו דומה המתבייש מאדם חשוב למתבייש </w:t>
      </w:r>
      <w:r>
        <w:rPr>
          <w:rStyle w:val="Style1Char"/>
          <w:rFonts w:hint="cs"/>
        </w:rPr>
        <w:t>‍</w:t>
      </w:r>
      <w:r w:rsidRPr="00AE64BF">
        <w:rPr>
          <w:rStyle w:val="Style1Char"/>
          <w:rtl/>
        </w:rPr>
        <w:t xml:space="preserve">מאדם בזוי ונקלה לפ"ז רואין ב"ד מעלתו למעלתה ושמין כמה היה נותן אביה ומשפחתה ולא יארע להם דבר זה מאדם זה וכמוהו יתן לו. פגם רואין כמה שוה פחות ממה שהיתה שוה תחלה ושמין אותה כשפחה הנמכרת בשוק לפי יפיה ולפי משפחתה כיצד מי שיש לו עבד שחשוב בעיניו וחביב עליו עד שירצה להשיאו אשה יפה ומיוחסת כזאת כמה יוסיף ליתן לה כשהיא בתולה מבעולה. צער רואין לפי קטנו וקטנותה </w:t>
      </w:r>
      <w:r>
        <w:rPr>
          <w:rStyle w:val="Style1Char"/>
          <w:rFonts w:hint="cs"/>
        </w:rPr>
        <w:t>‍</w:t>
      </w:r>
      <w:r w:rsidRPr="00AE64BF">
        <w:rPr>
          <w:rStyle w:val="Style1Char"/>
          <w:rtl/>
        </w:rPr>
        <w:t xml:space="preserve">ולפי בריאותה כמה נצטערה וכן יתן מותר על חמשים של קנס </w:t>
      </w:r>
      <w:r>
        <w:rPr>
          <w:rStyle w:val="Style1Char"/>
          <w:rFonts w:hint="cs"/>
        </w:rPr>
        <w:t>‍</w:t>
      </w:r>
      <w:r w:rsidRPr="00AE64BF">
        <w:rPr>
          <w:rStyle w:val="Style1Char"/>
          <w:rtl/>
        </w:rPr>
        <w:t xml:space="preserve">וקונסין המאנס שצריך לישא אותה אפילו היא חגרת או סומא </w:t>
      </w:r>
      <w:r>
        <w:rPr>
          <w:rStyle w:val="Style1Char"/>
          <w:rFonts w:hint="cs"/>
        </w:rPr>
        <w:t>‍</w:t>
      </w:r>
      <w:r w:rsidRPr="00AE64BF">
        <w:rPr>
          <w:rStyle w:val="Style1Char"/>
          <w:rtl/>
        </w:rPr>
        <w:t xml:space="preserve">ואינו רשאי להוציאה לעולם אלא לרצונה לפיכך א"צ </w:t>
      </w:r>
      <w:r>
        <w:rPr>
          <w:rStyle w:val="Style1Char"/>
          <w:rFonts w:hint="cs"/>
        </w:rPr>
        <w:t>‍</w:t>
      </w:r>
      <w:r w:rsidRPr="00AE64BF">
        <w:rPr>
          <w:rStyle w:val="Style1Char"/>
          <w:rtl/>
        </w:rPr>
        <w:t xml:space="preserve">לכתוב לה כתובה ואם עבר והוציא כופין אותו להחזירה דה"ל לאו הניתק לעשה דכתיב ולו תהיה לאשה </w:t>
      </w:r>
      <w:r>
        <w:rPr>
          <w:rStyle w:val="Style1Char"/>
          <w:rFonts w:hint="cs"/>
        </w:rPr>
        <w:t>‍</w:t>
      </w:r>
      <w:r w:rsidRPr="00AE64BF">
        <w:rPr>
          <w:rStyle w:val="Style1Char"/>
          <w:rtl/>
        </w:rPr>
        <w:t xml:space="preserve">אף על גב דכתיב קודם לא יוכל לשלחה כל ימיו הכי פירושו לא יוכל לשלחה שילוחים שתהיה בה כל ימיו אלא יחזירנה לפיכך אם עבר וגירש </w:t>
      </w:r>
      <w:r>
        <w:rPr>
          <w:rStyle w:val="Style1Char"/>
          <w:rFonts w:hint="cs"/>
        </w:rPr>
        <w:t>‍</w:t>
      </w:r>
      <w:r w:rsidRPr="00AE64BF">
        <w:rPr>
          <w:rStyle w:val="Style1Char"/>
          <w:rtl/>
        </w:rPr>
        <w:t xml:space="preserve">כופין אותו להחזירה ואינו לוקה מתה גרושתו קודם שיחזירנה </w:t>
      </w:r>
      <w:r>
        <w:rPr>
          <w:rStyle w:val="Style1Char"/>
          <w:rFonts w:hint="cs"/>
        </w:rPr>
        <w:t>‍</w:t>
      </w:r>
      <w:r w:rsidRPr="00AE64BF">
        <w:rPr>
          <w:rStyle w:val="Style1Char"/>
          <w:rtl/>
        </w:rPr>
        <w:t xml:space="preserve">או שנתקדשה לאחר או שהוא כהן שאסור בגרושה הרי זה לוקה שהרי עבר על לא תעשה ואין יכול לקיים עשה שבה ומיהו אם היא אסורה לו אפילו אינה אלא חייבי לאוין ועשה </w:t>
      </w:r>
      <w:r>
        <w:rPr>
          <w:rStyle w:val="Style1Char"/>
          <w:rFonts w:hint="cs"/>
        </w:rPr>
        <w:t>‍</w:t>
      </w:r>
      <w:r w:rsidRPr="00AE64BF">
        <w:rPr>
          <w:rStyle w:val="Style1Char"/>
          <w:rtl/>
        </w:rPr>
        <w:t xml:space="preserve">או אפילו שנייה דרבנן א"צ לישא אותה </w:t>
      </w:r>
      <w:r>
        <w:rPr>
          <w:rStyle w:val="Style1Char"/>
          <w:rFonts w:hint="cs"/>
        </w:rPr>
        <w:t>‍</w:t>
      </w:r>
      <w:r w:rsidRPr="00AE64BF">
        <w:rPr>
          <w:rStyle w:val="Style1Char"/>
          <w:rtl/>
        </w:rPr>
        <w:t xml:space="preserve">וכן אם נשאה ומצא בה ערות דבר יכול לגרשה ואם היא או אביה אינם חפצים שישא אותה יכולין לעכב(א) אבל הוא אינו יכול לעכב בד"א במאנס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אבל במפתה בין הוא או היא או אביה יכולין לעכב הנישואין ואם כנס המפתה אינו נותן נ' כסף אלא נותן לאביה בשת ופגם וכותב לה כתובה כמו לשאר הבתולות אבל מאנס אף על פי שכונסה צריך ליתן מיד הקנס ובושת צער ופגם ומיהו אם מת או מוציאה לרצונה א"צ ליתן לה כתובה </w:t>
      </w:r>
      <w:r>
        <w:rPr>
          <w:rStyle w:val="Style1Char"/>
          <w:rFonts w:hint="cs"/>
        </w:rPr>
        <w:t>‍</w:t>
      </w:r>
      <w:r w:rsidRPr="00AE64BF">
        <w:rPr>
          <w:rStyle w:val="Style1Char"/>
          <w:rtl/>
        </w:rPr>
        <w:t xml:space="preserve">שכסף קנסה יוציא בכתובתה כתב הרמב"ם אין האונס והמפתה חייב בקנס עד שיבא עליה כדרכה ובעדים </w:t>
      </w:r>
      <w:r>
        <w:rPr>
          <w:rStyle w:val="Style1Char"/>
          <w:rFonts w:hint="cs"/>
        </w:rPr>
        <w:t>‍</w:t>
      </w:r>
      <w:r w:rsidRPr="00AE64BF">
        <w:rPr>
          <w:rStyle w:val="Style1Char"/>
          <w:rtl/>
        </w:rPr>
        <w:t>התראה באו עליה שנים אחד כדרכה ואחד שלא כדרכה אם הראשון בא עליה שלא כדרכה חייב בבושת ופגם ולא בקנס ואם הוא האחרון אינו חייב אלא בבושת שכבר נפגמה וזה שבא עליה כדרכה בין הראשון או אחרון חייב בקנס ובשאר הדברים אבל אין בושת ופגם של בת שלא נבעלה כלל כבושת ופגם של זו שנבעלה שלא כדרכה ע"כ. וא"א הרא"ש ז"ל כתב שחייב בקנס אפי' שלא כדרכה ואם באו עליה הרבה זה אחר זה שלא כדרכה כולם חייבים בקנס</w:t>
      </w:r>
      <w:r>
        <w:rPr>
          <w:rStyle w:val="Style1Char"/>
          <w:rFonts w:hint="cs"/>
          <w:rtl/>
        </w:rPr>
        <w:t xml:space="preserve"> -</w:t>
      </w:r>
      <w:r w:rsidRPr="00AE64BF">
        <w:rPr>
          <w:rStyle w:val="Style1Char"/>
          <w:rtl/>
        </w:rPr>
        <w:t xml:space="preserve">וכן כתב הראב"ד מאימתי יש לה קנס משתהיה בת ג' שנים ויום אחד </w:t>
      </w:r>
      <w:r>
        <w:rPr>
          <w:rStyle w:val="Style1Char"/>
          <w:rFonts w:hint="cs"/>
        </w:rPr>
        <w:t>‍</w:t>
      </w:r>
      <w:r w:rsidRPr="00AE64BF">
        <w:rPr>
          <w:rStyle w:val="Style1Char"/>
          <w:rtl/>
        </w:rPr>
        <w:t xml:space="preserve">עד שתבגר בין אם יש לה אב </w:t>
      </w:r>
      <w:r>
        <w:rPr>
          <w:rStyle w:val="Style1Char"/>
          <w:rFonts w:hint="cs"/>
        </w:rPr>
        <w:t>‍</w:t>
      </w:r>
      <w:r w:rsidRPr="00AE64BF">
        <w:rPr>
          <w:rStyle w:val="Style1Char"/>
          <w:rtl/>
        </w:rPr>
        <w:t xml:space="preserve">או אין לה אב אבל קודם ג' שנים ולאחר שתבגר אין לה ור"ח פסק שאין קנס לקטנה אלא משנעשית נערה עד שתבגר וא"א הרא"ש ז"ל </w:t>
      </w:r>
      <w:r>
        <w:rPr>
          <w:rStyle w:val="Style1Char"/>
          <w:rFonts w:hint="cs"/>
        </w:rPr>
        <w:t>‍</w:t>
      </w:r>
      <w:r w:rsidRPr="00AE64BF">
        <w:rPr>
          <w:rStyle w:val="Style1Char"/>
          <w:rtl/>
        </w:rPr>
        <w:t xml:space="preserve">הסכים לסברא ראשונה גיורת ושבויה ושפחה שנתגיירו ונפדו ונשתחררו בת ג' שנים </w:t>
      </w:r>
      <w:r>
        <w:rPr>
          <w:rStyle w:val="Style1Char"/>
          <w:rFonts w:hint="cs"/>
        </w:rPr>
        <w:t>‍</w:t>
      </w:r>
      <w:r w:rsidRPr="00AE64BF">
        <w:rPr>
          <w:rStyle w:val="Style1Char"/>
          <w:rtl/>
        </w:rPr>
        <w:t xml:space="preserve">או פחות </w:t>
      </w:r>
      <w:r>
        <w:rPr>
          <w:rStyle w:val="Style1Char"/>
          <w:rFonts w:hint="cs"/>
        </w:rPr>
        <w:t>‍</w:t>
      </w:r>
      <w:r w:rsidRPr="00AE64BF">
        <w:rPr>
          <w:rStyle w:val="Style1Char"/>
          <w:rtl/>
        </w:rPr>
        <w:t xml:space="preserve">יש להן קנס ואם נתגיירו או נפדו או נשתחררו מבת ג' שנים ולמעלה אין להן קנס </w:t>
      </w:r>
      <w:r>
        <w:rPr>
          <w:rStyle w:val="Style1Char"/>
          <w:rFonts w:hint="cs"/>
        </w:rPr>
        <w:t>‍</w:t>
      </w:r>
      <w:r w:rsidRPr="00AE64BF">
        <w:rPr>
          <w:rStyle w:val="Style1Char"/>
          <w:rtl/>
        </w:rPr>
        <w:t xml:space="preserve">נתארסה ונתגרשה מן האירוסין יש להם קנס נתגרשה מן הנישואין אף על פי שהיא בתולה כגון שנכנסה לחופה ולא נבעלה אין לה קנס מי שיצא עליה שם רע כגון שבאו שנים והעידו עליה שתבעתם לזנות אין לה קנס אבל בשביל קול בעלמא על ש"ר שיצא עליה אינה מפסדת הקנס הבא על אסורה לו באיסור לאו כגון ממזרת נתינה וכותית או באיסור כרת כגון אחותו ואחות אביו ואחות אמו ואשת אחיו ואשת אחי אביו ונדה </w:t>
      </w:r>
      <w:r>
        <w:rPr>
          <w:rStyle w:val="Style1Char"/>
          <w:rFonts w:hint="cs"/>
        </w:rPr>
        <w:t>‍</w:t>
      </w:r>
      <w:r w:rsidRPr="00AE64BF">
        <w:rPr>
          <w:rStyle w:val="Style1Char"/>
          <w:rtl/>
        </w:rPr>
        <w:t xml:space="preserve">אם התרו בו לוקה ואינו משלם שאין אדם לוקה ומשלם ואם לא התרו בו משלם כיון שאינו חייב מלקות ואם בא על חייבי עשה או שנייה משלם לעולם כיון שאין בהן מלקות ואם בא על חייבי מיתות ב"ד כגון בתו ובת בתו ובת בנו בת אשתו בת בנה בת בתה </w:t>
      </w:r>
      <w:r>
        <w:rPr>
          <w:rStyle w:val="Style1Char"/>
          <w:rFonts w:hint="cs"/>
        </w:rPr>
        <w:t>‍</w:t>
      </w:r>
      <w:r w:rsidRPr="00AE64BF">
        <w:rPr>
          <w:rStyle w:val="Style1Char"/>
          <w:rtl/>
        </w:rPr>
        <w:t xml:space="preserve">אף על פי שלא התרו בו פטור מן הקנס </w:t>
      </w:r>
      <w:r>
        <w:rPr>
          <w:rStyle w:val="Style1Char"/>
          <w:rFonts w:hint="cs"/>
        </w:rPr>
        <w:t>‍</w:t>
      </w:r>
      <w:r w:rsidRPr="00AE64BF">
        <w:rPr>
          <w:rStyle w:val="Style1Char"/>
          <w:rtl/>
        </w:rPr>
        <w:t xml:space="preserve">כתב הרמב"ם הממאנת והבוגרת והאיילונית החרשת ושוטה אין להם קנס </w:t>
      </w:r>
      <w:r>
        <w:rPr>
          <w:rStyle w:val="Style1Char"/>
          <w:rFonts w:hint="cs"/>
        </w:rPr>
        <w:t>‍</w:t>
      </w:r>
      <w:r w:rsidRPr="00AE64BF">
        <w:rPr>
          <w:rStyle w:val="Style1Char"/>
          <w:rtl/>
        </w:rPr>
        <w:t xml:space="preserve">ולא נהירא שהרי הוא פסק כרבנן שקטנה יש לה קנס והאיילונית דינה כקטנה עד שתהיה בת כ' שנה ומשם </w:t>
      </w:r>
      <w:r>
        <w:rPr>
          <w:rStyle w:val="Style1Char"/>
          <w:rFonts w:hint="cs"/>
        </w:rPr>
        <w:t>‍</w:t>
      </w:r>
      <w:r w:rsidRPr="00AE64BF">
        <w:rPr>
          <w:rStyle w:val="Style1Char"/>
          <w:rtl/>
        </w:rPr>
        <w:t xml:space="preserve">ואילך דינה כבוגרת שמקטנותה יוצאת לבגר וכן בחרשת ושוטה השיג עליו הראב"ד וכתב יש לה קנס וכ"כ הרמ"ה ואפילו למוכת עץ ומדברי ר"י יראה שאין קנס לחרשת ושוטה ולא למוכת עץ כתב הרמב"ם כל בת שיש לה קנס יש לה בושת ופגם ואם היתה אנוסה יש לה צער וכל בת שאין לה קנס אין לה בושת ולא פגם אם נתפתתה </w:t>
      </w:r>
      <w:r>
        <w:rPr>
          <w:rStyle w:val="Style1Char"/>
          <w:rFonts w:hint="cs"/>
        </w:rPr>
        <w:t>‍</w:t>
      </w:r>
      <w:r w:rsidRPr="00AE64BF">
        <w:rPr>
          <w:rStyle w:val="Style1Char"/>
          <w:rtl/>
        </w:rPr>
        <w:t xml:space="preserve">וכן אם נאנסה חוץ מבוגרת וממאנת וחרשת ושוטה כיצד האונס את הבוגרת ואת הממאנת אף על פי שאין להן קנס יש להן בושת ופגם וצער והאונס השוטה והחרשת </w:t>
      </w:r>
      <w:r>
        <w:rPr>
          <w:rStyle w:val="Style1Char"/>
          <w:rFonts w:hint="cs"/>
        </w:rPr>
        <w:t>‍</w:t>
      </w:r>
      <w:r w:rsidRPr="00AE64BF">
        <w:rPr>
          <w:rStyle w:val="Style1Char"/>
          <w:rtl/>
        </w:rPr>
        <w:t xml:space="preserve">משלם את הצער בלבד </w:t>
      </w:r>
      <w:r>
        <w:rPr>
          <w:rStyle w:val="Style1Char"/>
          <w:rFonts w:hint="cs"/>
        </w:rPr>
        <w:t>‍</w:t>
      </w:r>
      <w:r w:rsidRPr="00AE64BF">
        <w:rPr>
          <w:rStyle w:val="Style1Char"/>
          <w:rtl/>
        </w:rPr>
        <w:t xml:space="preserve">אבל המפתה את כולן פטור מכולם עד כאן ואיני מבין דבריו דמה תלוי צער ובושת ופגם בקנס דאף על פי שאין להן קנס </w:t>
      </w:r>
      <w:r>
        <w:rPr>
          <w:rStyle w:val="Style1Char"/>
          <w:rFonts w:hint="cs"/>
        </w:rPr>
        <w:t>‍</w:t>
      </w:r>
      <w:r w:rsidRPr="00AE64BF">
        <w:rPr>
          <w:rStyle w:val="Style1Char"/>
          <w:rtl/>
        </w:rPr>
        <w:t>למה לא יהא להן שאר הדברים:</w:t>
      </w:r>
    </w:p>
    <w:p w14:paraId="19F4C678" w14:textId="77777777" w:rsidR="009A5563" w:rsidRPr="00AE64BF" w:rsidRDefault="009A5563" w:rsidP="009A5563">
      <w:pPr>
        <w:pStyle w:val="Style1"/>
        <w:rPr>
          <w:rStyle w:val="Style1Char"/>
        </w:rPr>
      </w:pPr>
      <w:r>
        <w:rPr>
          <w:rStyle w:val="Style1Char"/>
          <w:rFonts w:hint="cs"/>
        </w:rPr>
        <w:t>‍</w:t>
      </w:r>
      <w:r w:rsidRPr="00AE64BF">
        <w:rPr>
          <w:rStyle w:val="Style1Char"/>
          <w:rtl/>
        </w:rPr>
        <w:t xml:space="preserve">בא עליה ומתה קודם שהעמידו האב בדין פטור כתב הרמב"ם ג' דברים של מפתה וארבע של אונס הם של אב נתארסה אחר שנתפתית אין האירוסין מוציאין מרשות האב והן שלו ואם אין לה אב הרי הן של עצמה והראב"ד כתב דצער לעצמה דכי היכי דאמרי' בשאר חבלות </w:t>
      </w:r>
      <w:r>
        <w:rPr>
          <w:rStyle w:val="Style1Char"/>
          <w:rFonts w:hint="cs"/>
        </w:rPr>
        <w:t>‍</w:t>
      </w:r>
      <w:r w:rsidRPr="00AE64BF">
        <w:rPr>
          <w:rStyle w:val="Style1Char"/>
          <w:rtl/>
        </w:rPr>
        <w:t>צערא דגופה לא אקני ליה רחמנא לאב ה"ה נמי ה</w:t>
      </w:r>
      <w:r>
        <w:rPr>
          <w:rStyle w:val="Style1Char"/>
          <w:rFonts w:hint="cs"/>
          <w:rtl/>
        </w:rPr>
        <w:t>כ</w:t>
      </w:r>
      <w:r w:rsidRPr="00AE64BF">
        <w:rPr>
          <w:rStyle w:val="Style1Char"/>
          <w:rtl/>
        </w:rPr>
        <w:t xml:space="preserve">א אפילו אם יש לה אב ואם לא הספיק האב להעמידו בדין עד שבגרה או ניסת או מת הכל לעצמה אבל אם העמידו בדין ואחר כך בגרה או ניסת כבר זכה בו משעת העמדה בדין והוא שלו ואם מת מורישו לבניו </w:t>
      </w:r>
      <w:r>
        <w:rPr>
          <w:rStyle w:val="Style1Char"/>
          <w:rFonts w:hint="cs"/>
        </w:rPr>
        <w:t>‍</w:t>
      </w:r>
      <w:r w:rsidRPr="00AE64BF">
        <w:rPr>
          <w:rStyle w:val="Style1Char"/>
          <w:rtl/>
        </w:rPr>
        <w:t xml:space="preserve">נערה שנתארסה ונתגרשה </w:t>
      </w:r>
      <w:r>
        <w:rPr>
          <w:rStyle w:val="Style1Char"/>
          <w:rFonts w:hint="cs"/>
        </w:rPr>
        <w:t>‍</w:t>
      </w:r>
      <w:r w:rsidRPr="00AE64BF">
        <w:rPr>
          <w:rStyle w:val="Style1Char"/>
          <w:rtl/>
        </w:rPr>
        <w:t xml:space="preserve">קנסה לעצמה </w:t>
      </w:r>
      <w:r>
        <w:rPr>
          <w:rStyle w:val="Style1Char"/>
          <w:rFonts w:hint="cs"/>
        </w:rPr>
        <w:t>‍</w:t>
      </w:r>
      <w:r w:rsidRPr="00AE64BF">
        <w:rPr>
          <w:rStyle w:val="Style1Char"/>
          <w:rtl/>
        </w:rPr>
        <w:t>לפיכך המאנס אותה חייב והמפתה פטור שמחלה לו</w:t>
      </w:r>
      <w:r>
        <w:rPr>
          <w:rStyle w:val="Style1Char"/>
          <w:rFonts w:hint="cs"/>
        </w:rPr>
        <w:t>‍</w:t>
      </w:r>
      <w:r w:rsidRPr="00AE64BF">
        <w:rPr>
          <w:rStyle w:val="Style1Char"/>
          <w:rtl/>
        </w:rPr>
        <w:t xml:space="preserve"> וכתב הרמב"ם שהקנס לבד הוא לעצמה </w:t>
      </w:r>
      <w:r>
        <w:rPr>
          <w:rStyle w:val="Style1Char"/>
          <w:rFonts w:hint="cs"/>
        </w:rPr>
        <w:t>‍</w:t>
      </w:r>
      <w:r w:rsidRPr="00AE64BF">
        <w:rPr>
          <w:rStyle w:val="Style1Char"/>
          <w:rtl/>
        </w:rPr>
        <w:t xml:space="preserve">אבל צער ובושת ופגם הוא לאביה וא"א הרא"ש ז"ל כתב שהכל לעצמה אין אדם משלם קנס ע"פ עצמו אלא ע"פ עדים לפיכך האומר אנסתי או פתיתי בתו של פלוני אינו משלם קנס אבל משלם צער ובושת ופגם כתב הרמב"ם אם הבת תבעתו ואומרת אנסת או פתית אותי והוא אומר לא היו דברים מעולם הרי זה נשבע שבועת היסת </w:t>
      </w:r>
      <w:r>
        <w:rPr>
          <w:rStyle w:val="Style1Char"/>
          <w:rFonts w:hint="cs"/>
        </w:rPr>
        <w:t>‍</w:t>
      </w:r>
      <w:r w:rsidRPr="00AE64BF">
        <w:rPr>
          <w:rStyle w:val="Style1Char"/>
          <w:rtl/>
        </w:rPr>
        <w:t xml:space="preserve">שאילו הודה היה משלם בושת ופגם וצער ע"פ עצמו </w:t>
      </w:r>
      <w:r>
        <w:rPr>
          <w:rStyle w:val="Style1Char"/>
          <w:rFonts w:hint="cs"/>
        </w:rPr>
        <w:t>‍</w:t>
      </w:r>
      <w:r w:rsidRPr="00AE64BF">
        <w:rPr>
          <w:rStyle w:val="Style1Char"/>
          <w:rtl/>
        </w:rPr>
        <w:t xml:space="preserve">אמרה לו אנסת אותי והוא אומר לא כי אלא פתיתי הרי זה </w:t>
      </w:r>
      <w:r>
        <w:rPr>
          <w:rStyle w:val="Style1Char"/>
          <w:rFonts w:hint="cs"/>
        </w:rPr>
        <w:t>‍</w:t>
      </w:r>
      <w:r w:rsidRPr="00AE64BF">
        <w:rPr>
          <w:rStyle w:val="Style1Char"/>
          <w:rtl/>
        </w:rPr>
        <w:t xml:space="preserve">נשבע שבועת התורה על דמי הצער ומשלם בושת ופגם שהרי הודה במקצת הטענה והראב"ד כתב שהצער לעצמה דצער דגופה לא אקני ליה רחמנא </w:t>
      </w:r>
      <w:r>
        <w:rPr>
          <w:rStyle w:val="Style1Char"/>
          <w:rFonts w:hint="cs"/>
        </w:rPr>
        <w:t>‍</w:t>
      </w:r>
      <w:r w:rsidRPr="00AE64BF">
        <w:rPr>
          <w:rStyle w:val="Style1Char"/>
          <w:rtl/>
        </w:rPr>
        <w:t xml:space="preserve"> </w:t>
      </w:r>
      <w:r>
        <w:rPr>
          <w:rStyle w:val="Style1Char"/>
          <w:rFonts w:hint="cs"/>
        </w:rPr>
        <w:t>‍</w:t>
      </w:r>
      <w:r w:rsidRPr="00AE64BF">
        <w:rPr>
          <w:rStyle w:val="Style1Char"/>
          <w:rtl/>
        </w:rPr>
        <w:t xml:space="preserve">הלכך אינו מודה במקצת דהנך ג' דברים דאביה נינהו ומה שהודה לאביה הודה </w:t>
      </w:r>
      <w:r>
        <w:rPr>
          <w:rStyle w:val="Style1Char"/>
          <w:rFonts w:hint="cs"/>
        </w:rPr>
        <w:t>‍</w:t>
      </w:r>
      <w:r w:rsidRPr="00AE64BF">
        <w:rPr>
          <w:rStyle w:val="Style1Char"/>
          <w:rtl/>
        </w:rPr>
        <w:t xml:space="preserve">ומה שכפר לה כפר ועוד אם טען אביה טענת שמא הוא. אונס ומפתה דנין אותו בג' </w:t>
      </w:r>
      <w:r>
        <w:rPr>
          <w:rStyle w:val="Style1Char"/>
          <w:rFonts w:hint="cs"/>
        </w:rPr>
        <w:t>‍</w:t>
      </w:r>
      <w:r w:rsidRPr="00AE64BF">
        <w:rPr>
          <w:rStyle w:val="Style1Char"/>
          <w:rtl/>
        </w:rPr>
        <w:t xml:space="preserve">לפיכך דנין אותו בכל זמן </w:t>
      </w:r>
      <w:r>
        <w:rPr>
          <w:rStyle w:val="Style1Char"/>
          <w:rFonts w:hint="cs"/>
        </w:rPr>
        <w:t>‍</w:t>
      </w:r>
      <w:r w:rsidRPr="00AE64BF">
        <w:rPr>
          <w:rStyle w:val="Style1Char"/>
          <w:rtl/>
        </w:rPr>
        <w:t xml:space="preserve">ואפי' שלא בזמן הבית </w:t>
      </w:r>
      <w:r>
        <w:rPr>
          <w:rStyle w:val="Style1Char"/>
          <w:rFonts w:hint="cs"/>
        </w:rPr>
        <w:t>‍</w:t>
      </w:r>
      <w:r w:rsidRPr="00AE64BF">
        <w:rPr>
          <w:rStyle w:val="Style1Char"/>
          <w:rtl/>
        </w:rPr>
        <w:t xml:space="preserve">אבל צריך מומחין </w:t>
      </w:r>
      <w:r>
        <w:rPr>
          <w:rStyle w:val="Style1Char"/>
          <w:rFonts w:hint="cs"/>
        </w:rPr>
        <w:t>‍</w:t>
      </w:r>
      <w:r w:rsidRPr="00AE64BF">
        <w:rPr>
          <w:rStyle w:val="Style1Char"/>
          <w:rtl/>
        </w:rPr>
        <w:t xml:space="preserve">לפיכך אין דנין אותו בבבל </w:t>
      </w:r>
      <w:r>
        <w:rPr>
          <w:rStyle w:val="Style1Char"/>
          <w:rFonts w:hint="cs"/>
        </w:rPr>
        <w:t>‍</w:t>
      </w:r>
      <w:r w:rsidRPr="00AE64BF">
        <w:rPr>
          <w:rStyle w:val="Style1Char"/>
          <w:rtl/>
        </w:rPr>
        <w:t xml:space="preserve">ולא עבדינן בהו שליחותייהו אבל מתקנת הגאונים </w:t>
      </w:r>
      <w:r>
        <w:rPr>
          <w:rStyle w:val="Style1Char"/>
          <w:rFonts w:hint="cs"/>
        </w:rPr>
        <w:t>‍</w:t>
      </w:r>
      <w:r w:rsidRPr="00AE64BF">
        <w:rPr>
          <w:rStyle w:val="Style1Char"/>
          <w:rtl/>
        </w:rPr>
        <w:t>מנדין אותו עד שיפייס לחבריה וכ"כ הרי"ף מנהג שתי ישיבות אף על פי שאין גובין בבבל מנדין אותו עד דמפייס לחבריה וכד יהיב שיעור מאי דחזי למיתב שרינן ליה לאלתר בין איפייס בין לא איפייס:</w:t>
      </w:r>
    </w:p>
    <w:p w14:paraId="5E6EAF20" w14:textId="26CE2078" w:rsidR="009A5563" w:rsidRDefault="009A5563" w:rsidP="009A5563">
      <w:pPr>
        <w:pStyle w:val="Style1"/>
        <w:rPr>
          <w:rStyle w:val="Style1Char"/>
          <w:rtl/>
        </w:rPr>
      </w:pPr>
      <w:r w:rsidRPr="00AE64BF">
        <w:rPr>
          <w:rStyle w:val="Style1Char"/>
          <w:rtl/>
        </w:rPr>
        <w:lastRenderedPageBreak/>
        <w:t xml:space="preserve">וכן נשאל מרב צמח גאון אלו נערות שיש להן קנס מהו לגבותו כדי שלא יהא חוטא נשכר ושלא יהו ישראל פרוצים בנזקין והשיב כבר אמרו חכמים אין גובין קנס בבבל אבל כדי שלא יהא חוטא נשכר ושלא יהו ישראל פרוצים בנזקין נהגו חכמים האחרונים לנדותו עד שיפייסו בממון או עד שירבה עליו רעים ויפייסו בדברים כתב א"א ז"ל הנטען על הפנויה יש דעות חלוקות י"א שלא לכנוס משום לזות שפתים וי"א שמצוה לכנוס כדאשכחן באונס ומפתה ולו תהיה לאשה ואני אומר נהי דחייבתו תורה לכונסה אחר שפגמה ה"מ בודאי אבל בקול דעלמא </w:t>
      </w:r>
      <w:r>
        <w:rPr>
          <w:rStyle w:val="Style1Char"/>
          <w:rFonts w:hint="cs"/>
        </w:rPr>
        <w:t>‍</w:t>
      </w:r>
      <w:r w:rsidRPr="00AE64BF">
        <w:rPr>
          <w:rStyle w:val="Style1Char"/>
          <w:rtl/>
        </w:rPr>
        <w:t>אין להחזיק הקול לפגום שניהם</w:t>
      </w:r>
      <w:r>
        <w:rPr>
          <w:rStyle w:val="Style1Char"/>
          <w:rFonts w:hint="cs"/>
        </w:rPr>
        <w:t>‍</w:t>
      </w:r>
      <w:r w:rsidRPr="00AE64BF">
        <w:rPr>
          <w:rStyle w:val="Style1Char"/>
          <w:rtl/>
        </w:rPr>
        <w:t xml:space="preserve"> כתב הרמב"ם אני אומר זה שאמרה תורה אל תחלל את בתך להזנותה שלא יאמר אדם הואיל ולא חייבה תורה אונס ומפתה אלא שיתן ממון לאב הריני שוכר בתי הבתולה לזה לבא עליה בממון בכ"מ שארצה או אניח לזה לבא עליה בחנם שיש לאדם למחול וליתן ממונו לכל מי שירצה לכך נאמר אל תחלל את בתך להזנותה שזה שחייבה תורה לאונס ומפתה ממון ולא מלקות כשאירע הדבר במקרה שלא מדעת אביה שדבר זה אינו מצוי אבל אם הפקיר את בתו הבתולה לכל מי שיבא עליה גורם שתתמלא הארץ זימה שנמצא אב נושא בתו ואח נושא אחותו שאם תתעבר ותלד לא יודע בן מי הוא והמכין בתו לכך הרי היא קדשה ולוקה הבועל והנבעלת משום לא תהיה קדשה ואין קונסין אותו שלא קנסה תורה אלא לאונס ומפתה על זו שהכינה עצמה לכך בין מדעתה בין מדעת אביה </w:t>
      </w:r>
      <w:r>
        <w:rPr>
          <w:rStyle w:val="Style1Char"/>
          <w:rFonts w:hint="cs"/>
        </w:rPr>
        <w:t>‍</w:t>
      </w:r>
      <w:r w:rsidRPr="00AE64BF">
        <w:rPr>
          <w:rStyle w:val="Style1Char"/>
          <w:rtl/>
        </w:rPr>
        <w:t xml:space="preserve">הרי זו קדשה ואיסור קדשה אחד הוא בין בתולה בין בעולה ולפיכך אמרו חכמים שהיוצא עליה שם רע בילדותה אין לה קנס כמו שביארנו שהרי זו בחזקה שהפקירה עצמה לדבר זה לרצונה המוציא שם רע על בתולת ישראל ונמצא הדבר שקר </w:t>
      </w:r>
      <w:r>
        <w:rPr>
          <w:rStyle w:val="Style1Char"/>
          <w:rFonts w:hint="cs"/>
        </w:rPr>
        <w:t>‍</w:t>
      </w:r>
      <w:r w:rsidRPr="00AE64BF">
        <w:rPr>
          <w:rStyle w:val="Style1Char"/>
          <w:rtl/>
        </w:rPr>
        <w:t xml:space="preserve">לוקה ומשלם ק' סלעים כסף לאביה ואם היא יתומה הרי הוא של עצמה </w:t>
      </w:r>
      <w:r>
        <w:rPr>
          <w:rStyle w:val="Style1Char"/>
          <w:rFonts w:hint="cs"/>
        </w:rPr>
        <w:t>‍</w:t>
      </w:r>
      <w:r w:rsidRPr="00AE64BF">
        <w:rPr>
          <w:rStyle w:val="Style1Char"/>
          <w:rtl/>
        </w:rPr>
        <w:t xml:space="preserve">והמוציא שם רע על הקטנה ועל הבוגרת פטור מהקנס וכיצד הוא הוצאת שם רע בא לבית דין ואומר בעלתי כדרכה ולא מצאתי לה בתולים ומביא עדים שזינתה אם זינתה קודם אירוסין פטורה ואין לה כתובה ואם לאחר אירוסין זינתה סוקלין אותה הוזמו עדים לוקה ומשלם ק' כסף </w:t>
      </w:r>
      <w:r>
        <w:rPr>
          <w:rStyle w:val="Style1Char"/>
          <w:rFonts w:hint="cs"/>
        </w:rPr>
        <w:t>‍</w:t>
      </w:r>
      <w:r w:rsidRPr="00AE64BF">
        <w:rPr>
          <w:rStyle w:val="Style1Char"/>
          <w:rtl/>
        </w:rPr>
        <w:t xml:space="preserve">אבל אם לא הביא העדים אלא שהעידו מעצמן והוזמו הן נהרגין והוא פטור וכן אם הוציא עליה שם רע </w:t>
      </w:r>
      <w:r>
        <w:rPr>
          <w:rStyle w:val="Style1Char"/>
          <w:rFonts w:hint="cs"/>
        </w:rPr>
        <w:t>‍</w:t>
      </w:r>
      <w:r w:rsidRPr="00AE64BF">
        <w:rPr>
          <w:rStyle w:val="Style1Char"/>
          <w:rtl/>
        </w:rPr>
        <w:t xml:space="preserve">שזינתה שלא כדרכה והוזמו פטור לא בעל ואפילו אם בעל אלא שלא בעל כדרכה והוציא עליה שם רע </w:t>
      </w:r>
      <w:r>
        <w:rPr>
          <w:rStyle w:val="Style1Char"/>
          <w:rFonts w:hint="cs"/>
        </w:rPr>
        <w:t>‍</w:t>
      </w:r>
      <w:r w:rsidRPr="00AE64BF">
        <w:rPr>
          <w:rStyle w:val="Style1Char"/>
          <w:rtl/>
        </w:rPr>
        <w:t xml:space="preserve">אפילו שנבעלה כדרכה והוזמו עדיו </w:t>
      </w:r>
      <w:r>
        <w:rPr>
          <w:rStyle w:val="Style1Char"/>
          <w:rFonts w:hint="cs"/>
        </w:rPr>
        <w:t>‍</w:t>
      </w:r>
      <w:r w:rsidRPr="00AE64BF">
        <w:rPr>
          <w:rStyle w:val="Style1Char"/>
          <w:rtl/>
        </w:rPr>
        <w:t xml:space="preserve">אינו חייב </w:t>
      </w:r>
      <w:r>
        <w:rPr>
          <w:rStyle w:val="Style1Char"/>
          <w:rFonts w:hint="cs"/>
        </w:rPr>
        <w:t>‍</w:t>
      </w:r>
      <w:r w:rsidRPr="00AE64BF">
        <w:rPr>
          <w:rStyle w:val="Style1Char"/>
          <w:rtl/>
        </w:rPr>
        <w:t xml:space="preserve">אלא מכות מרדות מדרבנן ועוד יש בו דינין הרבה </w:t>
      </w:r>
      <w:r>
        <w:rPr>
          <w:rStyle w:val="Style1Char"/>
          <w:rFonts w:hint="cs"/>
        </w:rPr>
        <w:t>‍</w:t>
      </w:r>
      <w:r w:rsidRPr="00AE64BF">
        <w:rPr>
          <w:rStyle w:val="Style1Char"/>
          <w:rtl/>
        </w:rPr>
        <w:t>ואין רצוני להאריך בהן לפי שאינו נוהג עתה שאין דנין אותו אלא בב"ד של כ"ג:</w:t>
      </w:r>
    </w:p>
    <w:p w14:paraId="4CC053CA" w14:textId="0BE65577" w:rsidR="00212CBE" w:rsidRDefault="00F90652" w:rsidP="00F90652">
      <w:pPr>
        <w:pStyle w:val="Style1"/>
        <w:rPr>
          <w:rStyle w:val="Style1Char"/>
          <w:rtl/>
        </w:rPr>
      </w:pPr>
      <w:r>
        <w:rPr>
          <w:rStyle w:val="Style1Char"/>
          <w:rFonts w:hint="cs"/>
          <w:rtl/>
        </w:rPr>
        <w:t>2)[</w:t>
      </w:r>
      <w:r w:rsidR="00212CBE" w:rsidRPr="00212CBE">
        <w:rPr>
          <w:rStyle w:val="Style1Char"/>
          <w:rtl/>
        </w:rPr>
        <w:t>רמב</w:t>
      </w:r>
      <w:r w:rsidR="00213DA1">
        <w:rPr>
          <w:rStyle w:val="Style1Char"/>
          <w:rtl/>
        </w:rPr>
        <w:t>”ם \נשים\</w:t>
      </w:r>
      <w:r w:rsidR="00212CBE" w:rsidRPr="00212CBE">
        <w:rPr>
          <w:rStyle w:val="Style1Char"/>
          <w:rtl/>
        </w:rPr>
        <w:t xml:space="preserve"> הלכות אישות פרק ג הלכה יא</w:t>
      </w:r>
      <w:r>
        <w:rPr>
          <w:rStyle w:val="Style1Char"/>
          <w:rFonts w:hint="cs"/>
          <w:rtl/>
        </w:rPr>
        <w:t xml:space="preserve">] </w:t>
      </w:r>
      <w:r w:rsidR="00212CBE" w:rsidRPr="00212CBE">
        <w:rPr>
          <w:rStyle w:val="Style1Char"/>
          <w:rtl/>
        </w:rPr>
        <w:t xml:space="preserve">האב מקדש את בתו שלא לדעתה כל זמן שהיא קטנה וכשהיא נערה רשותה בידו שנאמר </w:t>
      </w:r>
      <w:r w:rsidR="009142FA">
        <w:rPr>
          <w:rStyle w:val="Style1Char"/>
          <w:rFonts w:hint="cs"/>
          <w:rtl/>
        </w:rPr>
        <w:t>(</w:t>
      </w:r>
      <w:r w:rsidR="00212CBE" w:rsidRPr="00212CBE">
        <w:rPr>
          <w:rStyle w:val="Style1Char"/>
          <w:rtl/>
        </w:rPr>
        <w:t>דברים כ"ב</w:t>
      </w:r>
      <w:r w:rsidR="009142FA">
        <w:rPr>
          <w:rStyle w:val="Style1Char"/>
          <w:rFonts w:hint="cs"/>
          <w:rtl/>
        </w:rPr>
        <w:t>)</w:t>
      </w:r>
      <w:r w:rsidR="00212CBE" w:rsidRPr="00212CBE">
        <w:rPr>
          <w:rStyle w:val="Style1Char"/>
          <w:rtl/>
        </w:rPr>
        <w:t xml:space="preserve"> את בתי נתתי לאיש הזה, וקידושיה לאביה, וכן הוא זכאי במציאתה ובמעשה ידיה ובכתובתה ואם נתגרשה או נתאלמנה מן האירוסין הוא זכאי בכל עד שתבגור. לפיכך מקבל האב קידושי בתו מיום שתולד עד שתבגור, ואפילו היתה חרשת או שוטה וקידשה האב הרי היא אשת איש גמורה. ואם היתה בת שלש שנים ויום אחד מתקדשת בביאה מדעת אביה, פחות מכן אם קדשה אביה בביאה אינה מקודשת.</w:t>
      </w:r>
    </w:p>
    <w:p w14:paraId="3B39BCE5" w14:textId="07B3A251" w:rsidR="00DA7BC4" w:rsidRDefault="00DA7BC4" w:rsidP="005703DC">
      <w:pPr>
        <w:pStyle w:val="Style1"/>
        <w:rPr>
          <w:rStyle w:val="Style1Char"/>
          <w:rtl/>
        </w:rPr>
      </w:pPr>
      <w:r>
        <w:rPr>
          <w:rStyle w:val="Style1Char"/>
          <w:rFonts w:hint="cs"/>
          <w:rtl/>
        </w:rPr>
        <w:t>2)[</w:t>
      </w:r>
      <w:r w:rsidRPr="00DA7BC4">
        <w:rPr>
          <w:rStyle w:val="Style1Char"/>
          <w:rtl/>
        </w:rPr>
        <w:t>רמב</w:t>
      </w:r>
      <w:r w:rsidR="00EC109D">
        <w:rPr>
          <w:rStyle w:val="Style1Char"/>
          <w:rtl/>
        </w:rPr>
        <w:t>”ם \נזיקין\</w:t>
      </w:r>
      <w:r w:rsidRPr="00DA7BC4">
        <w:rPr>
          <w:rStyle w:val="Style1Char"/>
          <w:rtl/>
        </w:rPr>
        <w:t xml:space="preserve"> הלכות גזלה ואבדה פרק יז הלכה יג</w:t>
      </w:r>
      <w:r w:rsidR="005703DC">
        <w:rPr>
          <w:rStyle w:val="Style1Char"/>
          <w:rFonts w:hint="cs"/>
          <w:rtl/>
        </w:rPr>
        <w:t xml:space="preserve">] </w:t>
      </w:r>
      <w:r w:rsidRPr="00DA7BC4">
        <w:rPr>
          <w:rStyle w:val="Style1Char"/>
          <w:rtl/>
        </w:rPr>
        <w:t>מציאת בנו ובתו הסמוכים על שלחנו אף על פי שהן גדולים, ומציאת בתו הנערה אף על פי שאינה סומכת על שלחנו, ואפילו היתה מכורה אמה, ומציאת עבדו ושפחתו הכנענים, ומציאת אשתו הרי אלו שלו. אבל מציאת בנו שאינו סומך על שולחנו אף על פי שהוא קטן ומציאת עבדו ושפחתו העברים ומציאת אשתו שהיא מגורשת ואינה מגורשת כל אלו המציאות אינן שלו.</w:t>
      </w:r>
    </w:p>
    <w:p w14:paraId="5E754C36" w14:textId="2044929F" w:rsidR="007428B8" w:rsidRPr="007428B8" w:rsidRDefault="0070095B" w:rsidP="007428B8">
      <w:pPr>
        <w:pStyle w:val="Style1"/>
      </w:pPr>
      <w:r>
        <w:rPr>
          <w:rStyle w:val="Style1Char"/>
          <w:rFonts w:hint="cs"/>
          <w:rtl/>
        </w:rPr>
        <w:t>2)[</w:t>
      </w:r>
      <w:r w:rsidRPr="0070095B">
        <w:rPr>
          <w:rStyle w:val="Style1Char"/>
          <w:rtl/>
        </w:rPr>
        <w:t>שולחן ערוך אבן העזר הלכות קידושין סימן לז סעיף א</w:t>
      </w:r>
      <w:r>
        <w:rPr>
          <w:rStyle w:val="Style1Char"/>
          <w:rFonts w:hint="cs"/>
          <w:rtl/>
        </w:rPr>
        <w:t>]</w:t>
      </w:r>
      <w:r w:rsidR="007428B8">
        <w:rPr>
          <w:rStyle w:val="Style1Char"/>
          <w:rFonts w:hint="cs"/>
          <w:rtl/>
        </w:rPr>
        <w:t xml:space="preserve"> </w:t>
      </w:r>
      <w:r w:rsidR="007428B8" w:rsidRPr="007428B8">
        <w:rPr>
          <w:rtl/>
        </w:rPr>
        <w:t>האב מקדש את בתו שלא לדעתה, כל זמן שהיא קטנה. וכן כשהיא נערה, רשותה בידו וקידושיה לאביה. וכן הוא זכאי במציאתה ובמעשה ידיה ובכתובתה. אם נתאלמנה או נתגרשה מן האירוסין, הוא זכאי בכל עד שתבגר. לפיכך, מקבל האב קידושי בתו מיום שתיוולד עד שתבגר; ואפילו היתה חירשת או שוטה וקידשה האב, הרי היא אשת איש גמורה. ואם היתה בת שלש שנים ויום אחד, מתקדשת בביאה מדעת אביה. פחות מכאן, אם מסרה אביה לקידושי ביאה, אינה מקודשת</w:t>
      </w:r>
      <w:r w:rsidR="007428B8" w:rsidRPr="007428B8">
        <w:t>.</w:t>
      </w:r>
    </w:p>
    <w:p w14:paraId="54F9AE20" w14:textId="1150C1A0" w:rsidR="007428B8" w:rsidRDefault="007428B8" w:rsidP="007428B8">
      <w:pPr>
        <w:pStyle w:val="Style1"/>
      </w:pPr>
      <w:r w:rsidRPr="007428B8">
        <w:rPr>
          <w:rFonts w:hint="cs"/>
          <w:rtl/>
        </w:rPr>
        <w:t>הגה: יש אומרים דאין קידושין תופסין בנפל, ואם קבל אביו בו קידושין והמקדש קידש אחר כך אחותו, צריכה גט (אור זרוע)</w:t>
      </w:r>
      <w:r w:rsidRPr="007428B8">
        <w:t>:</w:t>
      </w:r>
    </w:p>
    <w:p w14:paraId="28266D1F" w14:textId="23AE54EE" w:rsidR="00014DE1" w:rsidRPr="00014DE1" w:rsidRDefault="00992909" w:rsidP="00014DE1">
      <w:pPr>
        <w:pStyle w:val="Style1"/>
      </w:pPr>
      <w:r>
        <w:rPr>
          <w:rFonts w:hint="cs"/>
          <w:rtl/>
        </w:rPr>
        <w:t>2)[</w:t>
      </w:r>
      <w:r w:rsidR="006F5EEF">
        <w:rPr>
          <w:rtl/>
        </w:rPr>
        <w:t>שולחן ערוך חושן משפט הלכות אבידה ומציאה סימן רע סעיף ב</w:t>
      </w:r>
      <w:r>
        <w:rPr>
          <w:rFonts w:hint="cs"/>
          <w:rtl/>
        </w:rPr>
        <w:t>]</w:t>
      </w:r>
      <w:r w:rsidR="00014DE1">
        <w:rPr>
          <w:rFonts w:hint="cs"/>
          <w:rtl/>
        </w:rPr>
        <w:t xml:space="preserve"> </w:t>
      </w:r>
      <w:r w:rsidR="00014DE1" w:rsidRPr="00014DE1">
        <w:rPr>
          <w:rtl/>
        </w:rPr>
        <w:t>מציאת בנו ובתו הסמוכים על שולחנו אע"פ שהם גדולים ומציאת בתו הנערה אע"פ שאינה סומכת על שולחנו ומציאת עבדו ושפחתו הכנענים ומציאת אשתו הרי אלו שלו</w:t>
      </w:r>
    </w:p>
    <w:p w14:paraId="653501FF" w14:textId="77777777" w:rsidR="00014DE1" w:rsidRPr="00014DE1" w:rsidRDefault="00014DE1" w:rsidP="00014DE1">
      <w:pPr>
        <w:pStyle w:val="Style1"/>
      </w:pPr>
      <w:r w:rsidRPr="00014DE1">
        <w:rPr>
          <w:rFonts w:hint="cs"/>
          <w:rtl/>
        </w:rPr>
        <w:t>(וה"ה אם הרויחו בסחורה או במלאכה (נ"י ססי' קע"ז בשם עיטור) אבל אם מת אינו מוריש מלאכת בן אחד לשאר יורשיו) (הגהות שניות דמרדכי דב"מ)</w:t>
      </w:r>
    </w:p>
    <w:p w14:paraId="3D9A7545" w14:textId="77777777" w:rsidR="00014DE1" w:rsidRPr="00014DE1" w:rsidRDefault="00014DE1" w:rsidP="00014DE1">
      <w:pPr>
        <w:pStyle w:val="Style1"/>
      </w:pPr>
      <w:r w:rsidRPr="00014DE1">
        <w:rPr>
          <w:rtl/>
        </w:rPr>
        <w:t>אבל מציאת בנו שאינו סומך על שולחנו אע"פ שהוא קטן ומציאת עבדו ושפחתו העברים ומציאת אשתו שהיא מגורשת ואינה מגורשת אינה שלו</w:t>
      </w:r>
      <w:r w:rsidRPr="00014DE1">
        <w:t>.</w:t>
      </w:r>
    </w:p>
    <w:p w14:paraId="6991A58A" w14:textId="6AFD2AF2" w:rsidR="00014DE1" w:rsidRDefault="00014DE1" w:rsidP="00014DE1">
      <w:pPr>
        <w:pStyle w:val="Style1"/>
        <w:rPr>
          <w:rtl/>
        </w:rPr>
      </w:pPr>
      <w:r w:rsidRPr="00014DE1">
        <w:rPr>
          <w:rFonts w:hint="cs"/>
          <w:rtl/>
        </w:rPr>
        <w:t>ואם נתנו מתנה לקטן הסומך על שולחן אביו הרי היא של אביו אבל לא בבנו הגדול (נ"י פ"ק דמציעא) יתום הסמוך על שלחן אחרים מציאתו לעצמו (מרדכי ותוס' פ"ק דמציעא)</w:t>
      </w:r>
      <w:r w:rsidRPr="00014DE1">
        <w:t>:</w:t>
      </w:r>
    </w:p>
    <w:p w14:paraId="0D6568BF" w14:textId="7E363909" w:rsidR="00AF7540" w:rsidRDefault="00AF7540" w:rsidP="00AF7540">
      <w:pPr>
        <w:pStyle w:val="Style1"/>
        <w:rPr>
          <w:rtl/>
        </w:rPr>
      </w:pPr>
      <w:r>
        <w:rPr>
          <w:rFonts w:hint="cs"/>
          <w:rtl/>
        </w:rPr>
        <w:t>3)[</w:t>
      </w:r>
      <w:r>
        <w:rPr>
          <w:rtl/>
        </w:rPr>
        <w:t>רמב</w:t>
      </w:r>
      <w:r w:rsidR="00EC109D">
        <w:rPr>
          <w:rtl/>
        </w:rPr>
        <w:t>”ם \הפלאה\</w:t>
      </w:r>
      <w:r>
        <w:rPr>
          <w:rtl/>
        </w:rPr>
        <w:t xml:space="preserve"> הלכות נדרים פרק יא הלכה ו</w:t>
      </w:r>
      <w:r>
        <w:rPr>
          <w:rFonts w:hint="cs"/>
          <w:rtl/>
        </w:rPr>
        <w:t xml:space="preserve">] </w:t>
      </w:r>
      <w:r>
        <w:rPr>
          <w:rtl/>
        </w:rPr>
        <w:t>בד"א שבת י"ב שנה ויום אחד נדריה קיימין, בשלא היתה ברשות האב או ברשות הבעל, אבל אם היתה ברשות האב אפילו הגדילה והרי היא נערה, אביה מפר כל נדריה וכל שבועות שתשבע ביום שמעו שנאמר כל נדריה ואסריה וגו' כי הניא אביה אותה וגו'.</w:t>
      </w:r>
    </w:p>
    <w:p w14:paraId="1FB627DE" w14:textId="2E20F2BC" w:rsidR="00CA53D9" w:rsidRPr="00CA53D9" w:rsidRDefault="00B348F1" w:rsidP="00CA53D9">
      <w:pPr>
        <w:pStyle w:val="Style1"/>
      </w:pPr>
      <w:r>
        <w:rPr>
          <w:rFonts w:hint="cs"/>
          <w:rtl/>
        </w:rPr>
        <w:t>3)[</w:t>
      </w:r>
      <w:r>
        <w:rPr>
          <w:rtl/>
        </w:rPr>
        <w:t>שולחן ערוך יורה דעה הלכות נדרים סימן רלד סעיף א</w:t>
      </w:r>
      <w:r>
        <w:rPr>
          <w:rFonts w:hint="cs"/>
          <w:rtl/>
        </w:rPr>
        <w:t>]</w:t>
      </w:r>
      <w:r w:rsidR="00CA53D9">
        <w:rPr>
          <w:rFonts w:hint="cs"/>
          <w:rtl/>
        </w:rPr>
        <w:t xml:space="preserve"> </w:t>
      </w:r>
      <w:r w:rsidR="00CA53D9" w:rsidRPr="00CA53D9">
        <w:rPr>
          <w:rtl/>
        </w:rPr>
        <w:t>האב מפר נדרי בתו כל זמן שהיא קטנה או נערה אפי' נדרה על דעת רבים</w:t>
      </w:r>
      <w:r w:rsidR="00CA53D9" w:rsidRPr="00CA53D9">
        <w:t>.</w:t>
      </w:r>
    </w:p>
    <w:p w14:paraId="2A242C44" w14:textId="4CAE9113" w:rsidR="00CA53D9" w:rsidRDefault="00CA53D9" w:rsidP="00CA53D9">
      <w:pPr>
        <w:pStyle w:val="Style1"/>
        <w:rPr>
          <w:rtl/>
        </w:rPr>
      </w:pPr>
      <w:r w:rsidRPr="00CA53D9">
        <w:rPr>
          <w:rtl/>
        </w:rPr>
        <w:t>בגרה</w:t>
      </w:r>
      <w:r w:rsidRPr="00CA53D9">
        <w:t xml:space="preserve"> (</w:t>
      </w:r>
      <w:r w:rsidRPr="00CA53D9">
        <w:rPr>
          <w:rtl/>
        </w:rPr>
        <w:t>פי' כשהאשה עברה שתים עשרה שנה ויום א' אז אם הביאה ב' שערות נקראת "נערה" עד ו' חדשים אח"כ שאז נקראת בוגרת כלומר מלאה שער כי תרגום ירושלמי של "איש שעיר" גבר בגר</w:t>
      </w:r>
      <w:r w:rsidRPr="00CA53D9">
        <w:t xml:space="preserve">) </w:t>
      </w:r>
      <w:r w:rsidRPr="00CA53D9">
        <w:rPr>
          <w:rtl/>
        </w:rPr>
        <w:t>או נשאת -- שוב אינו יכול להפר</w:t>
      </w:r>
      <w:r w:rsidRPr="00CA53D9">
        <w:t>:</w:t>
      </w:r>
    </w:p>
    <w:p w14:paraId="6000522D" w14:textId="4A593967" w:rsidR="00A736E2" w:rsidRDefault="00A736E2" w:rsidP="00A736E2">
      <w:pPr>
        <w:pStyle w:val="Style1"/>
        <w:rPr>
          <w:rtl/>
        </w:rPr>
      </w:pPr>
      <w:r>
        <w:rPr>
          <w:rFonts w:hint="cs"/>
          <w:rtl/>
        </w:rPr>
        <w:t>4)[</w:t>
      </w:r>
      <w:r>
        <w:rPr>
          <w:rtl/>
        </w:rPr>
        <w:t>רמב</w:t>
      </w:r>
      <w:r w:rsidR="00213DA1">
        <w:rPr>
          <w:rtl/>
        </w:rPr>
        <w:t>”ם \נשים\</w:t>
      </w:r>
      <w:r>
        <w:rPr>
          <w:rtl/>
        </w:rPr>
        <w:t xml:space="preserve"> הלכות גירושין פרק ב הלכה יח</w:t>
      </w:r>
      <w:r>
        <w:rPr>
          <w:rFonts w:hint="cs"/>
          <w:rtl/>
        </w:rPr>
        <w:t xml:space="preserve">] </w:t>
      </w:r>
      <w:r>
        <w:rPr>
          <w:rtl/>
        </w:rPr>
        <w:t>המקדש קטנה על ידי אביה וגירשה כשהיא קטנה אביה מקבל גיטה ומשיגיע הגט ליד האב נתגרשה, גירשה כשהיא נערה אם הגיע הגט לידה או ליד אביה נתגרשה, ואין נערה מאורשה עושה שליח לקבל גיטה מיד בעלה בחיי אביה, אבל האב עושה שליח לקבל הגט לבתו המאורשת בין קטנה בין נערה.</w:t>
      </w:r>
    </w:p>
    <w:p w14:paraId="7BBC7D6C" w14:textId="5A455CF8" w:rsidR="00DA3F93" w:rsidRDefault="000F73BE" w:rsidP="00DA3F93">
      <w:pPr>
        <w:pStyle w:val="Style1"/>
        <w:rPr>
          <w:rtl/>
        </w:rPr>
      </w:pPr>
      <w:r>
        <w:rPr>
          <w:rFonts w:hint="cs"/>
          <w:rtl/>
        </w:rPr>
        <w:t>4)[</w:t>
      </w:r>
      <w:r w:rsidR="00DA3F93">
        <w:rPr>
          <w:rtl/>
        </w:rPr>
        <w:t>שולחן ערוך אבן העזר הלכות גיטין סימן קמא סעיף ד</w:t>
      </w:r>
      <w:r>
        <w:rPr>
          <w:rFonts w:hint="cs"/>
          <w:rtl/>
        </w:rPr>
        <w:t>]</w:t>
      </w:r>
      <w:r w:rsidR="00B5580C">
        <w:rPr>
          <w:rFonts w:hint="cs"/>
          <w:rtl/>
        </w:rPr>
        <w:t xml:space="preserve"> </w:t>
      </w:r>
      <w:r w:rsidR="00B5580C" w:rsidRPr="00B5580C">
        <w:rPr>
          <w:rtl/>
        </w:rPr>
        <w:t>המקדש קטנה על ידי אביה, וגרשה כשהיא קטנה </w:t>
      </w:r>
      <w:r w:rsidR="00B5580C" w:rsidRPr="00B5580C">
        <w:rPr>
          <w:rFonts w:hint="cs"/>
          <w:rtl/>
        </w:rPr>
        <w:t>בעודה ארוסה ואביה חי (טור)</w:t>
      </w:r>
      <w:r w:rsidR="00B5580C" w:rsidRPr="00B5580C">
        <w:t xml:space="preserve">, </w:t>
      </w:r>
      <w:r w:rsidR="00B5580C" w:rsidRPr="00B5580C">
        <w:rPr>
          <w:rtl/>
        </w:rPr>
        <w:t>אביה מקבל גטה, ולא היא שלא מדעתו. ויש אומרים שהיא יכולה לקבל גטה</w:t>
      </w:r>
      <w:r w:rsidR="00B5580C" w:rsidRPr="00B5580C">
        <w:t>:</w:t>
      </w:r>
    </w:p>
    <w:p w14:paraId="320C6F2F" w14:textId="6BBFE375" w:rsidR="00FB5681" w:rsidRDefault="00FB5681" w:rsidP="00FB5681">
      <w:pPr>
        <w:pStyle w:val="Style1"/>
        <w:rPr>
          <w:rtl/>
        </w:rPr>
      </w:pPr>
      <w:r>
        <w:rPr>
          <w:rFonts w:hint="cs"/>
          <w:rtl/>
        </w:rPr>
        <w:t>5)[</w:t>
      </w:r>
      <w:r>
        <w:rPr>
          <w:rtl/>
        </w:rPr>
        <w:t>רמב</w:t>
      </w:r>
      <w:r w:rsidR="005258D6">
        <w:rPr>
          <w:rtl/>
        </w:rPr>
        <w:t>”ם \נזיקין\</w:t>
      </w:r>
      <w:r>
        <w:rPr>
          <w:rtl/>
        </w:rPr>
        <w:t xml:space="preserve"> הלכות חובל ומזיק פרק ד הלכה יט</w:t>
      </w:r>
      <w:r>
        <w:rPr>
          <w:rFonts w:hint="cs"/>
          <w:rtl/>
        </w:rPr>
        <w:t xml:space="preserve">] </w:t>
      </w:r>
      <w:r>
        <w:rPr>
          <w:rtl/>
        </w:rPr>
        <w:t>החובל בבניו הגדולים אם אין סמוכין על שלחנו נותן להם מיד, והקטנים ילקח להן קרקע בנזקן והן אוכלין פירותיו, וכן הדין באחרים שחבלו בהן, ואם היו סמוכין על שלחנו וחבל בהן פטור בין שהיו גדולים בין שהיו קטנים, ואם חבלו בהן אחרים בגדולים יתן להם מיד ובקטנים ילקח בהן קרקע והן אוכלין פירותיה עד שיגדילו. /השגת הראב"ד/ עד שיגדילו. א"א אפילו מציאתם שלו היא.</w:t>
      </w:r>
    </w:p>
    <w:p w14:paraId="31B5CF2E" w14:textId="37C1AD36" w:rsidR="00E140BF" w:rsidRPr="00E140BF" w:rsidRDefault="00E60350" w:rsidP="00E140BF">
      <w:pPr>
        <w:pStyle w:val="Style1"/>
      </w:pPr>
      <w:r>
        <w:rPr>
          <w:rFonts w:hint="cs"/>
          <w:rtl/>
        </w:rPr>
        <w:t>5)[</w:t>
      </w:r>
      <w:r>
        <w:rPr>
          <w:rtl/>
        </w:rPr>
        <w:t>שולחן ערוך חושן משפט הלכות חובל בחבירו סימן תכד סעיף ז</w:t>
      </w:r>
      <w:r>
        <w:rPr>
          <w:rFonts w:hint="cs"/>
          <w:rtl/>
        </w:rPr>
        <w:t>]</w:t>
      </w:r>
      <w:r w:rsidR="00E140BF">
        <w:rPr>
          <w:rFonts w:hint="cs"/>
          <w:rtl/>
        </w:rPr>
        <w:t xml:space="preserve"> </w:t>
      </w:r>
      <w:r w:rsidR="00E140BF" w:rsidRPr="00E140BF">
        <w:rPr>
          <w:rtl/>
        </w:rPr>
        <w:t>החובל בבניו הגדולים אם אינם סמוכים על שלחנו נותן להם מיד והקטנים ילקח קרקע בנזקן </w:t>
      </w:r>
      <w:r w:rsidR="00E140BF" w:rsidRPr="00E140BF">
        <w:rPr>
          <w:rFonts w:hint="cs"/>
          <w:rtl/>
        </w:rPr>
        <w:t>(וי"א ספר תורה) (טור סי"א בשם הרא"ש)</w:t>
      </w:r>
      <w:r w:rsidR="00E140BF" w:rsidRPr="00E140BF">
        <w:rPr>
          <w:rtl/>
        </w:rPr>
        <w:t> והם אוכלים פירותיו וכן באחרים שחבלו בהם ואם היו סמוכים על שולחנו </w:t>
      </w:r>
      <w:r w:rsidR="00E140BF" w:rsidRPr="00E140BF">
        <w:rPr>
          <w:rFonts w:hint="cs"/>
        </w:rPr>
        <w:t>(</w:t>
      </w:r>
      <w:r w:rsidR="00E140BF" w:rsidRPr="00E140BF">
        <w:rPr>
          <w:rFonts w:hint="cs"/>
          <w:rtl/>
        </w:rPr>
        <w:t>חבל</w:t>
      </w:r>
      <w:r w:rsidR="00E140BF" w:rsidRPr="00E140BF">
        <w:rPr>
          <w:rFonts w:hint="cs"/>
        </w:rPr>
        <w:t>)</w:t>
      </w:r>
      <w:r w:rsidR="00E140BF" w:rsidRPr="00E140BF">
        <w:t> </w:t>
      </w:r>
      <w:r w:rsidR="00E140BF" w:rsidRPr="00E140BF">
        <w:rPr>
          <w:rtl/>
        </w:rPr>
        <w:t>בהם </w:t>
      </w:r>
      <w:r w:rsidR="00E140BF" w:rsidRPr="00E140BF">
        <w:rPr>
          <w:rFonts w:hint="cs"/>
        </w:rPr>
        <w:t>(</w:t>
      </w:r>
      <w:r w:rsidR="00E140BF" w:rsidRPr="00E140BF">
        <w:rPr>
          <w:rFonts w:hint="cs"/>
          <w:rtl/>
        </w:rPr>
        <w:t>הוא</w:t>
      </w:r>
      <w:r w:rsidR="00E140BF" w:rsidRPr="00E140BF">
        <w:rPr>
          <w:rFonts w:hint="cs"/>
        </w:rPr>
        <w:t>)</w:t>
      </w:r>
      <w:r w:rsidR="00E140BF" w:rsidRPr="00E140BF">
        <w:t> </w:t>
      </w:r>
      <w:r w:rsidR="00E140BF" w:rsidRPr="00E140BF">
        <w:rPr>
          <w:rtl/>
        </w:rPr>
        <w:t>פטור בין שהיו גדולים בין שהיו קטנים ואם אחרים חבלו בהם בגדולים יתן להם מיד בקטנים ילקח בהם קרקע והוא אוכל פירותיו עד שיגדלו</w:t>
      </w:r>
      <w:r w:rsidR="00E140BF" w:rsidRPr="00E140BF">
        <w:t>:</w:t>
      </w:r>
    </w:p>
    <w:p w14:paraId="26D9F898" w14:textId="0F147652" w:rsidR="00E140BF" w:rsidRDefault="00E140BF" w:rsidP="00E140BF">
      <w:pPr>
        <w:pStyle w:val="Style1"/>
        <w:rPr>
          <w:rtl/>
        </w:rPr>
      </w:pPr>
      <w:r w:rsidRPr="00E140BF">
        <w:rPr>
          <w:rFonts w:hint="cs"/>
          <w:rtl/>
        </w:rPr>
        <w:t>הגה: וי"א דאינו פטור בסמוכים על שולחנו אלא משבת אבל חייב בשאר ד' דברים ודינו בהם כאלו חבלו בהן אחרים (טור בשם הרא"ש)</w:t>
      </w:r>
      <w:r w:rsidRPr="00E140BF">
        <w:t>:</w:t>
      </w:r>
    </w:p>
    <w:p w14:paraId="1F0BE48F" w14:textId="4F61DB65" w:rsidR="006233C3" w:rsidRDefault="006233C3" w:rsidP="006233C3">
      <w:pPr>
        <w:pStyle w:val="Style1"/>
        <w:rPr>
          <w:rtl/>
        </w:rPr>
      </w:pPr>
      <w:r>
        <w:rPr>
          <w:rFonts w:hint="cs"/>
          <w:rtl/>
        </w:rPr>
        <w:t>6)[</w:t>
      </w:r>
      <w:r>
        <w:rPr>
          <w:rtl/>
        </w:rPr>
        <w:t>רמב</w:t>
      </w:r>
      <w:r w:rsidR="00213DA1">
        <w:rPr>
          <w:rtl/>
        </w:rPr>
        <w:t>”ם \נשים\</w:t>
      </w:r>
      <w:r>
        <w:rPr>
          <w:rtl/>
        </w:rPr>
        <w:t xml:space="preserve"> הלכות אישות פרק יב הלכה ג</w:t>
      </w:r>
      <w:r>
        <w:rPr>
          <w:rFonts w:hint="cs"/>
          <w:rtl/>
        </w:rPr>
        <w:t xml:space="preserve">] </w:t>
      </w:r>
      <w:r>
        <w:rPr>
          <w:rtl/>
        </w:rPr>
        <w:t>והארבעה שזוכה בהן כולם מדברי סופרים, ואלו הן, להיות מעשה ידיה שלו, ולהיות מציאתה שלו, ושיהיה אוכל כל פירות נכסיה בחייה, ואם מתה בחייו יירשנה, והוא קודם לכל אדם בירושה. /השגת הראב"ד/ ואם מתה בחייו ירשנה והוא קודם לכל אדם בירושה. א"א אומר אני ירושת הבעל דבר תורה.</w:t>
      </w:r>
    </w:p>
    <w:p w14:paraId="51D07925" w14:textId="164E2E84" w:rsidR="00F470CA" w:rsidRDefault="00F470CA" w:rsidP="00F470CA">
      <w:pPr>
        <w:pStyle w:val="Style1"/>
        <w:rPr>
          <w:rtl/>
        </w:rPr>
      </w:pPr>
      <w:r>
        <w:rPr>
          <w:rFonts w:hint="cs"/>
          <w:rtl/>
        </w:rPr>
        <w:lastRenderedPageBreak/>
        <w:t>6)[</w:t>
      </w:r>
      <w:r>
        <w:rPr>
          <w:rtl/>
        </w:rPr>
        <w:t>רמב</w:t>
      </w:r>
      <w:r w:rsidR="00213DA1">
        <w:rPr>
          <w:rtl/>
        </w:rPr>
        <w:t>”ם \נשים\</w:t>
      </w:r>
      <w:r>
        <w:rPr>
          <w:rtl/>
        </w:rPr>
        <w:t xml:space="preserve"> הלכות אישות פרק כב הלכה ז</w:t>
      </w:r>
      <w:r>
        <w:rPr>
          <w:rFonts w:hint="cs"/>
          <w:rtl/>
        </w:rPr>
        <w:t xml:space="preserve">] </w:t>
      </w:r>
      <w:r>
        <w:rPr>
          <w:rtl/>
        </w:rPr>
        <w:t>כל נכסים שיש לאשה בין נכסי צאן ברזל בין נכסי מלוג הבעל אוכל כל פירותיהן בחייה ואם מתה בחיי בעלה יורש בעלה הכל, לפיכך אם מכרה האשה נכסי מלוג אחר שנשאת אף על פי שאותן הנכסים נפלו לה קודם שתתארס הבעל מוציא הפירות מיד הלקוחות כל ימי חייה, אבל לא  גוף הקרקע שאין לו כלום בגוף נכסי מלוג עד שתמות. מתה בחייו מוציא הגוף מיד הלקוחות בלא דמים, ואם הדמים שלקחה מן הלקוחות קיימין בעצמן מחזירן ללקוחות, ואינו יכול לומר שמא מציאה הן.</w:t>
      </w:r>
    </w:p>
    <w:p w14:paraId="604759FC" w14:textId="4CAA21A2" w:rsidR="006B1077" w:rsidRDefault="006B1077" w:rsidP="006B1077">
      <w:pPr>
        <w:pStyle w:val="Style1"/>
        <w:rPr>
          <w:rtl/>
        </w:rPr>
      </w:pPr>
      <w:r>
        <w:rPr>
          <w:rFonts w:hint="cs"/>
          <w:rtl/>
        </w:rPr>
        <w:t>6)[</w:t>
      </w:r>
      <w:r>
        <w:rPr>
          <w:rtl/>
        </w:rPr>
        <w:t>שולחן ערוך אבן העזר הלכות כתובות סימן סט סעיף ג</w:t>
      </w:r>
      <w:r>
        <w:rPr>
          <w:rFonts w:hint="cs"/>
          <w:rtl/>
        </w:rPr>
        <w:t xml:space="preserve">] </w:t>
      </w:r>
      <w:r>
        <w:rPr>
          <w:rtl/>
        </w:rPr>
        <w:t>אלו הם הארבע: מעשה ידיה, ומציאתה, ופירותיה, וירושתה.</w:t>
      </w:r>
    </w:p>
    <w:p w14:paraId="35D9221D" w14:textId="58193CE3" w:rsidR="008C4070" w:rsidRDefault="008C4070" w:rsidP="008C4070">
      <w:pPr>
        <w:pStyle w:val="Style1"/>
        <w:rPr>
          <w:rtl/>
        </w:rPr>
      </w:pPr>
      <w:r>
        <w:rPr>
          <w:rFonts w:hint="cs"/>
          <w:rtl/>
        </w:rPr>
        <w:t>7)[</w:t>
      </w:r>
      <w:r>
        <w:rPr>
          <w:rtl/>
        </w:rPr>
        <w:t>רמב</w:t>
      </w:r>
      <w:r w:rsidR="00213DA1">
        <w:rPr>
          <w:rtl/>
        </w:rPr>
        <w:t>”ם \נשים\</w:t>
      </w:r>
      <w:r>
        <w:rPr>
          <w:rtl/>
        </w:rPr>
        <w:t xml:space="preserve"> הלכות אישות פרק יב הלכה ב</w:t>
      </w:r>
      <w:r>
        <w:rPr>
          <w:rFonts w:hint="cs"/>
          <w:rtl/>
        </w:rPr>
        <w:t xml:space="preserve">] </w:t>
      </w:r>
      <w:r>
        <w:rPr>
          <w:rtl/>
        </w:rPr>
        <w:t>והעשרה שלשה מהן מן התורה ואלו הן שארה כסותה ועונתה, שארה אלו מזונותיה, כסותה כמשמעה, עונתה לבא עליה כדרך כל הארץ: והשבעה מדברי סופרים וכולן תנאי בית דין הם, האחד מהם עיקר כתובה, והשאר הם הנקראין תנאי כתובה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p>
    <w:p w14:paraId="4BA41002" w14:textId="693F9B92" w:rsidR="0057056B" w:rsidRDefault="0057056B" w:rsidP="0057056B">
      <w:pPr>
        <w:pStyle w:val="Style1"/>
        <w:rPr>
          <w:rtl/>
        </w:rPr>
      </w:pPr>
      <w:r>
        <w:rPr>
          <w:rFonts w:hint="cs"/>
          <w:rtl/>
        </w:rPr>
        <w:t>7)[</w:t>
      </w:r>
      <w:r>
        <w:rPr>
          <w:rtl/>
        </w:rPr>
        <w:t>שולחן ערוך אבן העזר הלכות כתובות סימן סט סעיף ב</w:t>
      </w:r>
      <w:r>
        <w:rPr>
          <w:rFonts w:hint="cs"/>
          <w:rtl/>
        </w:rPr>
        <w:t xml:space="preserve">] </w:t>
      </w:r>
      <w:r>
        <w:rPr>
          <w:rtl/>
        </w:rPr>
        <w:t>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w:t>
      </w:r>
    </w:p>
    <w:p w14:paraId="48400E86" w14:textId="02CD3164" w:rsidR="009C0B30" w:rsidRDefault="009C0B30" w:rsidP="009C0B30">
      <w:pPr>
        <w:pStyle w:val="Style1"/>
        <w:rPr>
          <w:rtl/>
        </w:rPr>
      </w:pPr>
      <w:r>
        <w:rPr>
          <w:rFonts w:hint="cs"/>
          <w:rtl/>
        </w:rPr>
        <w:t>8)[</w:t>
      </w:r>
      <w:r>
        <w:rPr>
          <w:rtl/>
        </w:rPr>
        <w:t>רמב</w:t>
      </w:r>
      <w:r w:rsidR="00213DA1">
        <w:rPr>
          <w:rtl/>
        </w:rPr>
        <w:t>”ם \נשים\</w:t>
      </w:r>
      <w:r>
        <w:rPr>
          <w:rtl/>
        </w:rPr>
        <w:t xml:space="preserve"> הלכות אישות פרק יד הלכה כג</w:t>
      </w:r>
      <w:r>
        <w:rPr>
          <w:rFonts w:hint="cs"/>
          <w:rtl/>
        </w:rPr>
        <w:t xml:space="preserve">] </w:t>
      </w:r>
      <w:r>
        <w:rPr>
          <w:rtl/>
        </w:rPr>
        <w:t>מתה אשתו חייב בקבורתה ולעשות לה הספד וקינים כדרך כל המדינה, ואפילו עני שבישראל לא יפחתו לו משני חלילין ומקוננת, ואם היה עשיר הכל לפי כבודו, ואם היה כבודה יתר מכבודו קוברין אותה לפי כבודה שהאשה עולה עם בעלה ואינה יורדת אפילו לאחר מותה.</w:t>
      </w:r>
    </w:p>
    <w:p w14:paraId="7E847291" w14:textId="6C5214D0" w:rsidR="00976385" w:rsidRPr="00976385" w:rsidRDefault="006C188A" w:rsidP="00976385">
      <w:pPr>
        <w:pStyle w:val="Style1"/>
      </w:pPr>
      <w:r>
        <w:rPr>
          <w:rFonts w:hint="cs"/>
          <w:rtl/>
        </w:rPr>
        <w:t>8)[</w:t>
      </w:r>
      <w:r>
        <w:rPr>
          <w:rtl/>
        </w:rPr>
        <w:t>שולחן ערוך אבן העזר הלכות כתובות סימן פט סעיף א</w:t>
      </w:r>
      <w:r>
        <w:rPr>
          <w:rFonts w:hint="cs"/>
          <w:rtl/>
        </w:rPr>
        <w:t>]</w:t>
      </w:r>
      <w:r w:rsidR="00976385">
        <w:rPr>
          <w:rFonts w:hint="cs"/>
          <w:rtl/>
        </w:rPr>
        <w:t xml:space="preserve"> </w:t>
      </w:r>
      <w:r w:rsidR="00976385" w:rsidRPr="00976385">
        <w:rPr>
          <w:rtl/>
        </w:rPr>
        <w:t>מתה האשה בחיי הבעל, חיב לקברה ולטפל בכל צרכי קבורתה, ובכלל זה האבן שנותנים על הקבר. וכן חיב לעשות לה מספד וקינים, כדרך כל המדינה. ואם דרכם להספיד בחלילין, לא יפחת משני חלילין ומקוננות, אפלו עני שבישראל; ואם היה עשיר, הכל לפי כבודו. ואם היה כבודה יותר מכבודו, קוברים אותה לפי כבודה, שעולה עמו ואינה יורדת</w:t>
      </w:r>
      <w:r w:rsidR="00976385" w:rsidRPr="00976385">
        <w:t>:</w:t>
      </w:r>
    </w:p>
    <w:p w14:paraId="7CC536C9" w14:textId="697B0A57" w:rsidR="006C188A" w:rsidRPr="00E140BF" w:rsidRDefault="006C188A" w:rsidP="006C188A">
      <w:pPr>
        <w:pStyle w:val="Style1"/>
      </w:pPr>
    </w:p>
    <w:p w14:paraId="2AA4E517" w14:textId="77777777" w:rsidR="00E140BF" w:rsidRPr="00E140BF" w:rsidRDefault="00E140BF" w:rsidP="00E140BF">
      <w:pPr>
        <w:pStyle w:val="Style1"/>
      </w:pPr>
    </w:p>
    <w:p w14:paraId="0F2BC8D9" w14:textId="518DCD54" w:rsidR="00E60350" w:rsidRPr="00E140BF" w:rsidRDefault="00E60350" w:rsidP="00E140BF">
      <w:pPr>
        <w:pStyle w:val="Style1"/>
      </w:pPr>
    </w:p>
    <w:p w14:paraId="274C1400" w14:textId="5A83CC39" w:rsidR="00DA3F93" w:rsidRPr="00E140BF" w:rsidRDefault="00DA3F93" w:rsidP="00E140BF">
      <w:pPr>
        <w:pStyle w:val="Style1"/>
      </w:pPr>
    </w:p>
    <w:p w14:paraId="0428D65D" w14:textId="77777777" w:rsidR="00CA53D9" w:rsidRPr="00E140BF" w:rsidRDefault="00CA53D9" w:rsidP="00E140BF">
      <w:pPr>
        <w:pStyle w:val="Style1"/>
      </w:pPr>
    </w:p>
    <w:p w14:paraId="24BBF012" w14:textId="31677A18" w:rsidR="00B348F1" w:rsidRPr="00E140BF" w:rsidRDefault="00B348F1" w:rsidP="00E140BF">
      <w:pPr>
        <w:pStyle w:val="Style1"/>
      </w:pPr>
    </w:p>
    <w:p w14:paraId="30658D3B" w14:textId="77777777" w:rsidR="00014DE1" w:rsidRPr="00014DE1" w:rsidRDefault="00014DE1" w:rsidP="00014DE1">
      <w:pPr>
        <w:pStyle w:val="Style1"/>
      </w:pPr>
    </w:p>
    <w:p w14:paraId="3A8E7F3A" w14:textId="77777777" w:rsidR="007428B8" w:rsidRPr="007428B8" w:rsidRDefault="007428B8" w:rsidP="007428B8">
      <w:pPr>
        <w:pStyle w:val="Style1"/>
        <w:rPr>
          <w:rStyle w:val="Style1Char"/>
        </w:rPr>
      </w:pPr>
    </w:p>
    <w:p w14:paraId="338C1206" w14:textId="52592855" w:rsidR="0070095B" w:rsidRDefault="0070095B" w:rsidP="0070095B">
      <w:pPr>
        <w:pStyle w:val="Style1"/>
        <w:rPr>
          <w:rStyle w:val="Style1Char"/>
          <w:rtl/>
        </w:rPr>
      </w:pPr>
    </w:p>
    <w:p w14:paraId="4345825F" w14:textId="77777777" w:rsidR="009A5563" w:rsidRPr="00AB1FA5" w:rsidRDefault="009A5563" w:rsidP="009A5563">
      <w:pPr>
        <w:pStyle w:val="Style1"/>
        <w:rPr>
          <w:rStyle w:val="Style1Char"/>
          <w:rtl/>
        </w:rPr>
      </w:pPr>
    </w:p>
    <w:p w14:paraId="6B695484" w14:textId="77777777" w:rsidR="000357F0" w:rsidRPr="00AB1FA5" w:rsidRDefault="000357F0" w:rsidP="00AB1FA5">
      <w:pPr>
        <w:pStyle w:val="Style1"/>
        <w:rPr>
          <w:rStyle w:val="Style1Char"/>
          <w:rtl/>
        </w:rPr>
      </w:pPr>
    </w:p>
    <w:p w14:paraId="42DC45F0" w14:textId="77777777" w:rsidR="000357F0" w:rsidRPr="00C82987" w:rsidRDefault="000357F0" w:rsidP="000357F0">
      <w:pPr>
        <w:bidi/>
        <w:rPr>
          <w:rStyle w:val="Style1Char"/>
          <w:color w:val="00B050"/>
          <w:rtl/>
        </w:rPr>
      </w:pPr>
    </w:p>
    <w:p w14:paraId="1773D6F1" w14:textId="77777777" w:rsidR="000357F0" w:rsidRDefault="000357F0" w:rsidP="000357F0">
      <w:pPr>
        <w:rPr>
          <w:rStyle w:val="Style1Char"/>
          <w:color w:val="00B050"/>
          <w:rtl/>
        </w:rPr>
      </w:pPr>
      <w:r>
        <w:rPr>
          <w:rStyle w:val="Style1Char"/>
          <w:color w:val="00B050"/>
          <w:rtl/>
        </w:rPr>
        <w:br w:type="page"/>
      </w:r>
    </w:p>
    <w:p w14:paraId="52098B5B" w14:textId="77777777" w:rsidR="000357F0" w:rsidRPr="002F2700" w:rsidRDefault="000357F0" w:rsidP="000357F0">
      <w:pPr>
        <w:bidi/>
        <w:rPr>
          <w:rStyle w:val="Style1Char"/>
          <w:color w:val="00B050"/>
        </w:rPr>
      </w:pPr>
      <w:r w:rsidRPr="002F2700">
        <w:rPr>
          <w:rStyle w:val="Style1Char"/>
          <w:color w:val="00B050"/>
          <w:sz w:val="22"/>
          <w:szCs w:val="22"/>
          <w:highlight w:val="yellow"/>
          <w:rtl/>
        </w:rPr>
        <w:lastRenderedPageBreak/>
        <w:t>[דף מז עמוד א]</w:t>
      </w:r>
      <w:r w:rsidRPr="002F2700">
        <w:rPr>
          <w:rStyle w:val="Style1Char"/>
          <w:color w:val="00B050"/>
          <w:sz w:val="22"/>
          <w:szCs w:val="22"/>
          <w:rtl/>
        </w:rPr>
        <w:t xml:space="preserve"> </w:t>
      </w:r>
      <w:r w:rsidRPr="002F2700">
        <w:rPr>
          <w:rStyle w:val="Style1Char"/>
          <w:color w:val="00B050"/>
          <w:rtl/>
        </w:rPr>
        <w:t xml:space="preserve">משום איבה. </w:t>
      </w:r>
    </w:p>
    <w:p w14:paraId="5333F78D" w14:textId="77777777" w:rsidR="000357F0" w:rsidRPr="002F2700" w:rsidRDefault="000357F0" w:rsidP="000357F0">
      <w:pPr>
        <w:bidi/>
        <w:rPr>
          <w:rStyle w:val="Style1Char"/>
          <w:color w:val="00B050"/>
        </w:rPr>
      </w:pPr>
      <w:r w:rsidRPr="002F2700">
        <w:rPr>
          <w:rStyle w:val="Style1Char"/>
          <w:color w:val="00B050"/>
          <w:rtl/>
        </w:rPr>
        <w:t xml:space="preserve">במעשה ידיה. מנלן? דאמר רב הונא אמר רב: מנין שמעשה הבת לאב? שנאמר: וכי ימכור איש את בתו לאמה, מה אמה מעשה ידיה לרבה, אף בת מעשה ידיה לאביה. ואימא: הני מילי קטנה דמצי מזבן לה, אבל נערה דלא מצי מזבן לה, מעשה ידיה דידה הוו! מסתברא דאביה הוו, דאי ס"ד מעשה ידיה לאו דאביה, אלא הא דזכי ליה רחמנא לאב למימסרה לחופה, היכי מצי מסר לה? הא קמבטל לה ממעשה ידיה. פריך רב אחאי, אימא: דיהיב לה שכר פקעתה! אי נמי, דמסר לה בליליא! אי נמי, דמסר לה בשבתות וימים טובים! אלא, קטנה לא צריכא קרא, השתא זבוני מזבין לה, מעשה ידיה מיבעי? [אלא] כי איצטריך קרא - לנערה. </w:t>
      </w:r>
    </w:p>
    <w:p w14:paraId="0BACBFBB" w14:textId="77777777" w:rsidR="000357F0" w:rsidRPr="002F2700" w:rsidRDefault="000357F0" w:rsidP="000357F0">
      <w:pPr>
        <w:bidi/>
        <w:rPr>
          <w:rStyle w:val="Style1Char"/>
          <w:color w:val="00B050"/>
        </w:rPr>
      </w:pPr>
      <w:r w:rsidRPr="002F2700">
        <w:rPr>
          <w:rStyle w:val="Style1Char"/>
          <w:color w:val="00B050"/>
          <w:rtl/>
        </w:rPr>
        <w:t xml:space="preserve">בהפרת נדריה. מנלן? דכתיב: בנעוריה בית אביה. </w:t>
      </w:r>
    </w:p>
    <w:p w14:paraId="7D4424CC" w14:textId="77777777" w:rsidR="000357F0" w:rsidRPr="002F2700" w:rsidRDefault="000357F0" w:rsidP="000357F0">
      <w:pPr>
        <w:bidi/>
        <w:rPr>
          <w:rStyle w:val="Style1Char"/>
          <w:color w:val="00B050"/>
        </w:rPr>
      </w:pPr>
      <w:r w:rsidRPr="002F2700">
        <w:rPr>
          <w:rStyle w:val="Style1Char"/>
          <w:color w:val="00B050"/>
          <w:rtl/>
        </w:rPr>
        <w:t xml:space="preserve">ומקבל את גיטה. מנלן? דכתיב: ויצאה, והיתה, איתקוש יציאה להוייה. </w:t>
      </w:r>
    </w:p>
    <w:p w14:paraId="3A44AB55" w14:textId="77777777" w:rsidR="000357F0" w:rsidRPr="002F2700" w:rsidRDefault="000357F0" w:rsidP="000357F0">
      <w:pPr>
        <w:bidi/>
        <w:rPr>
          <w:rStyle w:val="Style1Char"/>
          <w:color w:val="00B050"/>
        </w:rPr>
      </w:pPr>
      <w:r w:rsidRPr="002F2700">
        <w:rPr>
          <w:rStyle w:val="Style1Char"/>
          <w:color w:val="00B050"/>
          <w:rtl/>
        </w:rPr>
        <w:t xml:space="preserve">ואינו אוכל פירות בחייה. ת"ר: האב אינו אוכל פירות בחיי בתו, רבי יוסי ברבי יהודה אומר: האב אוכל פירות בחיי בתו. במאי קמיפלגי? ת"ק סבר: בשלמא בעל תקינו ליה רבנן פירי, דא"כ מימנע ולא פריק, אלא אב מאי איכא למימר - דמימנע ולא פריק, בלאו הכי פריק לה; ור' יוסי בר' יהודה סבר: אב נמי מימנע ולא פריק, סבר, כיסא נקיטא עילוה, תיזיל ותפרוק נפשה. </w:t>
      </w:r>
    </w:p>
    <w:p w14:paraId="776DB437" w14:textId="77777777" w:rsidR="000357F0" w:rsidRDefault="000357F0" w:rsidP="000357F0">
      <w:pPr>
        <w:bidi/>
        <w:rPr>
          <w:rStyle w:val="Style1Char"/>
          <w:sz w:val="22"/>
          <w:szCs w:val="22"/>
        </w:rPr>
      </w:pPr>
      <w:r w:rsidRPr="00161075">
        <w:rPr>
          <w:rStyle w:val="Style1Char"/>
          <w:color w:val="auto"/>
          <w:sz w:val="22"/>
          <w:szCs w:val="22"/>
          <w:rtl/>
        </w:rPr>
        <w:t>ניסת, יתר עליו</w:t>
      </w:r>
      <w:r w:rsidRPr="008810B5">
        <w:rPr>
          <w:rStyle w:val="Style1Char"/>
          <w:sz w:val="22"/>
          <w:szCs w:val="22"/>
          <w:rtl/>
        </w:rPr>
        <w:t xml:space="preserve"> הבעל שהוא אוכל </w:t>
      </w:r>
      <w:r w:rsidRPr="008810B5">
        <w:rPr>
          <w:rStyle w:val="Style1Char"/>
          <w:color w:val="C00000"/>
          <w:sz w:val="22"/>
          <w:szCs w:val="22"/>
          <w:rtl/>
        </w:rPr>
        <w:t xml:space="preserve">פירות בחייה. </w:t>
      </w:r>
      <w:r w:rsidRPr="00161075">
        <w:rPr>
          <w:rStyle w:val="Style1Char"/>
          <w:color w:val="auto"/>
          <w:sz w:val="22"/>
          <w:szCs w:val="22"/>
          <w:rtl/>
        </w:rPr>
        <w:t>כו'. ת"ר: כתב לה פירות, כסות וכלים שיבואו עמה מבית אביה לבית בעלה, מתה - לא זכה הבעל בדברים הללו; משום רבי נתן אמרו: זכה הבעל בדברים הללו</w:t>
      </w:r>
      <w:r w:rsidRPr="007D6F05">
        <w:rPr>
          <w:rStyle w:val="Style1Char"/>
          <w:color w:val="4472C4" w:themeColor="accent1"/>
          <w:rtl/>
        </w:rPr>
        <w:t xml:space="preserve"> </w:t>
      </w:r>
      <w:r w:rsidRPr="00C81021">
        <w:rPr>
          <w:rStyle w:val="Style1Char"/>
          <w:color w:val="4472C4" w:themeColor="accent1"/>
          <w:rtl/>
        </w:rPr>
        <w:t>פירש רש"י דמן האירוסין מיירי ולא נהירא לר"ת דאילו מן האירוסין מיירי אמאי קתני לה אמתני' דקתני נישאת ועוד הא קתני שיבואו עמה מבית אביה לבית בעלה ואמאי זכה לר' נתן והלא לא באו ועוד דמסיק אבל הכא משום איחתוני והא איחתנו להו ואי באירוסין לא קרי חיתון אלא איקרובי דעתא כדלקמן בפרק אף על פי (דף נו א) אף על גב דלקמן בפרק הכותב (דף קב א) אמרינן עמדו וקדשו הן הן הדברים הנקנין באמירה ומפרש טעמא בההיא הנאה דמיתחתני אהדדי גמר ומקנה הכי פירושא בההיא הנאה דסופו להתחתן בנישואין גמרי ומקני אהדדי משעת אירוסין</w:t>
      </w:r>
      <w:r>
        <w:rPr>
          <w:rStyle w:val="Style1Char"/>
          <w:rFonts w:hint="cs"/>
          <w:color w:val="4472C4" w:themeColor="accent1"/>
        </w:rPr>
        <w:t>‍</w:t>
      </w:r>
      <w:r w:rsidRPr="00C81021">
        <w:rPr>
          <w:rStyle w:val="Style1Char"/>
          <w:color w:val="4472C4" w:themeColor="accent1"/>
          <w:rtl/>
        </w:rPr>
        <w:t xml:space="preserve"> הלכך נראה לר"ת דהך ברייתא בנישואין איירי ופסק לו פירות כסות וכלים שיבואו עמה ועדיין לא באו והיינו טעמא דלא זכה לת"ק דאנן סהדי שלא היה דעת האב להקנות וליתן הנדוניא אלא על מנת שתהנה בתו ממנה הלכך אם לא באו לידי החתן בחיי בתו לא זכה בהם ורבי נתן סבר קנה דלית ליה האי אומדנא</w:t>
      </w:r>
      <w:r w:rsidRPr="00161075">
        <w:rPr>
          <w:rStyle w:val="Style1Char"/>
          <w:color w:val="auto"/>
          <w:sz w:val="22"/>
          <w:szCs w:val="22"/>
          <w:rtl/>
        </w:rPr>
        <w:t xml:space="preserve">. </w:t>
      </w:r>
      <w:r w:rsidRPr="007D6F05">
        <w:rPr>
          <w:rStyle w:val="Style1Char"/>
          <w:color w:val="auto"/>
          <w:sz w:val="22"/>
          <w:szCs w:val="22"/>
          <w:rtl/>
        </w:rPr>
        <w:t>לימא, בפלוגתא דרבי אלעזר בן עזריה ורבנן קמיפלגי; דתנן:</w:t>
      </w:r>
      <w:r w:rsidRPr="008810B5">
        <w:rPr>
          <w:rStyle w:val="Style1Char"/>
          <w:sz w:val="22"/>
          <w:szCs w:val="22"/>
          <w:rtl/>
        </w:rPr>
        <w:t xml:space="preserve"> </w:t>
      </w:r>
      <w:r w:rsidRPr="007D6F05">
        <w:rPr>
          <w:rStyle w:val="Style1Char"/>
          <w:color w:val="806000" w:themeColor="accent4" w:themeShade="80"/>
          <w:sz w:val="22"/>
          <w:szCs w:val="22"/>
          <w:rtl/>
        </w:rPr>
        <w:t xml:space="preserve">אף על פי שאמרו בתולה גובה מאתים ואלמנה מנה אם רוצה להוסיף אפילו עד מאה מנה מוסיף </w:t>
      </w:r>
      <w:r w:rsidRPr="007D6F05">
        <w:rPr>
          <w:rStyle w:val="Style1Char"/>
          <w:color w:val="auto"/>
          <w:sz w:val="22"/>
          <w:szCs w:val="22"/>
          <w:rtl/>
        </w:rPr>
        <w:t xml:space="preserve">נתארמלה או נתגרשה, בין מן הנשואין בין מן האירוסין - גובה את הכל; ר"א ב"ע אומר: מן הנשואין - גובה את הכל, ומן האירוסין - בתולה גובה מאתים, ואלמנה מנה, </w:t>
      </w:r>
    </w:p>
    <w:p w14:paraId="46A7A81A" w14:textId="77777777" w:rsidR="000357F0" w:rsidRPr="00161075" w:rsidRDefault="000357F0" w:rsidP="000357F0">
      <w:pPr>
        <w:bidi/>
        <w:rPr>
          <w:rStyle w:val="Style1Char"/>
          <w:color w:val="00B050"/>
          <w:rtl/>
        </w:rPr>
      </w:pPr>
    </w:p>
    <w:p w14:paraId="28E8CCAE" w14:textId="77777777" w:rsidR="000357F0" w:rsidRPr="009A6197" w:rsidRDefault="000357F0" w:rsidP="000357F0">
      <w:pPr>
        <w:bidi/>
        <w:rPr>
          <w:rStyle w:val="Style1Char"/>
          <w:color w:val="00B050"/>
          <w:rtl/>
        </w:rPr>
      </w:pPr>
    </w:p>
    <w:p w14:paraId="060103E2" w14:textId="77777777" w:rsidR="000357F0" w:rsidRPr="001C750B" w:rsidRDefault="000357F0" w:rsidP="000357F0">
      <w:pPr>
        <w:bidi/>
        <w:rPr>
          <w:rStyle w:val="Style1Char"/>
          <w:color w:val="00B050"/>
          <w:rtl/>
        </w:rPr>
      </w:pPr>
    </w:p>
    <w:p w14:paraId="6FFEB251" w14:textId="77777777" w:rsidR="000357F0" w:rsidRDefault="000357F0" w:rsidP="000357F0">
      <w:pPr>
        <w:rPr>
          <w:rStyle w:val="Style1Char"/>
          <w:color w:val="00B050"/>
          <w:rtl/>
        </w:rPr>
      </w:pPr>
      <w:r>
        <w:rPr>
          <w:rStyle w:val="Style1Char"/>
          <w:color w:val="00B050"/>
          <w:rtl/>
        </w:rPr>
        <w:br w:type="page"/>
      </w:r>
    </w:p>
    <w:p w14:paraId="190BB6A1" w14:textId="247ECE7B" w:rsidR="000357F0" w:rsidRPr="00C81021" w:rsidRDefault="000357F0" w:rsidP="000357F0">
      <w:pPr>
        <w:bidi/>
        <w:rPr>
          <w:rStyle w:val="Style1Char"/>
          <w:color w:val="4472C4" w:themeColor="accent1"/>
        </w:rPr>
      </w:pPr>
      <w:r w:rsidRPr="007D6F05">
        <w:rPr>
          <w:rStyle w:val="Style1Char"/>
          <w:color w:val="auto"/>
          <w:sz w:val="22"/>
          <w:szCs w:val="22"/>
          <w:highlight w:val="yellow"/>
          <w:rtl/>
        </w:rPr>
        <w:lastRenderedPageBreak/>
        <w:t>[דף מז עמוד ב]</w:t>
      </w:r>
      <w:r w:rsidRPr="007D6F05">
        <w:rPr>
          <w:rStyle w:val="Style1Char"/>
          <w:color w:val="auto"/>
          <w:sz w:val="22"/>
          <w:szCs w:val="22"/>
          <w:rtl/>
        </w:rPr>
        <w:t xml:space="preserve"> שלא כתב לה אלא על מנת לכונסה; </w:t>
      </w:r>
      <w:r w:rsidR="00C766AF">
        <w:rPr>
          <w:rStyle w:val="Style1Char"/>
          <w:rFonts w:hint="cs"/>
          <w:rtl/>
        </w:rPr>
        <w:t>(1)</w:t>
      </w:r>
      <w:r w:rsidRPr="007D6F05">
        <w:rPr>
          <w:rStyle w:val="Style1Char"/>
          <w:color w:val="auto"/>
          <w:sz w:val="22"/>
          <w:szCs w:val="22"/>
          <w:rtl/>
        </w:rPr>
        <w:t>למאן דאמר לא זכה - כרבי אלעזר בן עזריה</w:t>
      </w:r>
      <w:r w:rsidRPr="00C24B00">
        <w:rPr>
          <w:rStyle w:val="Style1Char"/>
          <w:color w:val="4472C4" w:themeColor="accent1"/>
          <w:rtl/>
        </w:rPr>
        <w:t xml:space="preserve"> </w:t>
      </w:r>
      <w:r w:rsidRPr="00C81021">
        <w:rPr>
          <w:rStyle w:val="Style1Char"/>
          <w:color w:val="4472C4" w:themeColor="accent1"/>
          <w:rtl/>
        </w:rPr>
        <w:t>דכי היכי דאזיל רבי אלעזר בתר אומדנא דלא כתב לה אלא על מנת לכונסה הכי נמי אזלי רבנן בתר אומדנא דלא כתב לה אלא על מנת שתהנה בתו ממנה אף על גב דהאי אומדנא דרבי אלעזר מהאירוסין לנישואין וההיא דלעיל בנישואין גופייהו נראה לו לבעל הש"ס לדמינהו אהדדי</w:t>
      </w:r>
      <w:r w:rsidRPr="007D6F05">
        <w:rPr>
          <w:rStyle w:val="Style1Char"/>
          <w:color w:val="auto"/>
          <w:sz w:val="22"/>
          <w:szCs w:val="22"/>
          <w:rtl/>
        </w:rPr>
        <w:t xml:space="preserve">, ומאן דאמר זכה - כרבנן! לא, דכולי עלמא כרבי אלעזר בן עזריה, מאן דאמר לא זכה, כרבי אלעזר בן עזריה; </w:t>
      </w:r>
      <w:r w:rsidRPr="00B95A57">
        <w:rPr>
          <w:rStyle w:val="Style1Char"/>
          <w:sz w:val="22"/>
          <w:szCs w:val="22"/>
          <w:rtl/>
        </w:rPr>
        <w:t xml:space="preserve">ומאן דאמר זכה, עד כאן לא קאמר רבי אלעזר בן עזריה - אלא מדידיה לדידה, שלא כתב לה אלא על מנת לכונסה, אבל מדידה לדידיה - אפילו ר' אלעזר בן עזריה מודי דמשום איחתוני הוא, והא איחתני להו. </w:t>
      </w:r>
      <w:r w:rsidRPr="00C81021">
        <w:rPr>
          <w:rStyle w:val="Style1Char"/>
          <w:color w:val="4472C4" w:themeColor="accent1"/>
          <w:rtl/>
        </w:rPr>
        <w:t xml:space="preserve">וכן היה פוסק ר"ת בנדוניות חתנים שלא גבו דלא זכה בהם הבעל דהלכה כרבנן </w:t>
      </w:r>
      <w:r>
        <w:rPr>
          <w:rStyle w:val="Style1Char"/>
          <w:rFonts w:hint="cs"/>
          <w:color w:val="4472C4" w:themeColor="accent1"/>
        </w:rPr>
        <w:t>‍</w:t>
      </w:r>
      <w:r w:rsidRPr="00C81021">
        <w:rPr>
          <w:rStyle w:val="Style1Char"/>
          <w:color w:val="4472C4" w:themeColor="accent1"/>
          <w:rtl/>
        </w:rPr>
        <w:t>וכן פסק ר"ח כרבנן ואף על גב דרבי נתן דיינא ונחית לעומקא דדינא לית הילכתא כוותיה כנגד רבים ועוד דבעי הש"ס לאוקומי רבנן כרבי אלעזר וכוותיה פסקינן לקמן בפרק אף על פי (דף נו ב) אף על גב דדחי ליה הש"ס דיחויא הוא ולא סמכינן עילויה והא דאמרינן לקמן בפרק מציאת האשה (דף סו א) הפוסק מעות לחתנו ומת חתנו יכול הוא לומר לאחיך הייתי רוצה ליתן ולך איני רוצה ליתן ופריך עלה בירושל' (שם הל"ב) והלא דברים הנקנין באמירה הן ומשני כשפסק על מנת לכנוס</w:t>
      </w:r>
      <w:r>
        <w:rPr>
          <w:rStyle w:val="Style1Char"/>
          <w:rFonts w:hint="cs"/>
          <w:color w:val="4472C4" w:themeColor="accent1"/>
        </w:rPr>
        <w:t>‍</w:t>
      </w:r>
      <w:r w:rsidRPr="00C81021">
        <w:rPr>
          <w:rStyle w:val="Style1Char"/>
          <w:color w:val="4472C4" w:themeColor="accent1"/>
          <w:rtl/>
        </w:rPr>
        <w:t xml:space="preserve"> הא אם לא פסק על מנת לכנוס גובה אחיו אף על פי שלא גבה שאני התם דבתו קיימת ותהנה מהן והא דקתני לקמן (דף מח ב) או שהיתה לו חצר בדרך ונכנסה עמו לשם נישואין אף על פי שכתובתה בבית אביה בעלה יורשה אתי' כרבי נתן</w:t>
      </w:r>
      <w:r w:rsidRPr="00C81021">
        <w:rPr>
          <w:rStyle w:val="Style1Char"/>
          <w:color w:val="4472C4" w:themeColor="accent1"/>
        </w:rPr>
        <w:t xml:space="preserve">: </w:t>
      </w:r>
    </w:p>
    <w:p w14:paraId="7169F2DC" w14:textId="77777777" w:rsidR="000357F0" w:rsidRPr="00C81021" w:rsidRDefault="000357F0" w:rsidP="000357F0">
      <w:pPr>
        <w:bidi/>
        <w:rPr>
          <w:rStyle w:val="Style1Char"/>
          <w:color w:val="4472C4" w:themeColor="accent1"/>
        </w:rPr>
      </w:pPr>
      <w:r w:rsidRPr="00123F03">
        <w:rPr>
          <w:rStyle w:val="Style1Char"/>
          <w:color w:val="auto"/>
          <w:sz w:val="22"/>
          <w:szCs w:val="22"/>
          <w:rtl/>
        </w:rPr>
        <w:t xml:space="preserve">חייב במזונותיה וכו'. תנו רבנן: תיקנו מזונותיה תחת מעשה ידיה, </w:t>
      </w:r>
      <w:r w:rsidRPr="00123F03">
        <w:rPr>
          <w:rStyle w:val="Style1Char"/>
          <w:color w:val="4472C4" w:themeColor="accent1"/>
          <w:sz w:val="22"/>
          <w:szCs w:val="22"/>
          <w:rtl/>
        </w:rPr>
        <w:t xml:space="preserve">ופרקונה תחת פירות </w:t>
      </w:r>
      <w:r w:rsidRPr="00123F03">
        <w:rPr>
          <w:rStyle w:val="Style1Char"/>
          <w:color w:val="auto"/>
          <w:sz w:val="22"/>
          <w:szCs w:val="22"/>
          <w:rtl/>
        </w:rPr>
        <w:t xml:space="preserve">וקבורתה תחת כתובתה, לפיכך בעל אוכל פירות. </w:t>
      </w:r>
      <w:r w:rsidRPr="001C750B">
        <w:rPr>
          <w:rStyle w:val="Style1Char"/>
          <w:sz w:val="22"/>
          <w:szCs w:val="22"/>
          <w:rtl/>
        </w:rPr>
        <w:t>פירות מאן דכר שמייהו? חסורי מחסרא והכי קתני: תיקנו מזונותיה תחת מעשה ידיה, ופירקונה תחת פירות, וקבורתה תחת כתובתה, לפיכך בעל אוכל פירות</w:t>
      </w:r>
      <w:r w:rsidRPr="002F2700">
        <w:rPr>
          <w:rStyle w:val="Style1Char"/>
          <w:color w:val="00B050"/>
          <w:rtl/>
        </w:rPr>
        <w:t xml:space="preserve">. </w:t>
      </w:r>
      <w:r w:rsidRPr="00123F03">
        <w:rPr>
          <w:rStyle w:val="Style1Char"/>
          <w:color w:val="ED7D31" w:themeColor="accent2"/>
          <w:sz w:val="22"/>
          <w:szCs w:val="22"/>
          <w:rtl/>
        </w:rPr>
        <w:t xml:space="preserve">מאי לפיכך? מהו דתימא מיכל לא נכלינהו אנוחי ננחינהו, דאם כן מימנע ולא פריק, קמ"ל דהא עדיפא, זימנין דלא מלו ופריק לה מדידיה. </w:t>
      </w:r>
      <w:r w:rsidRPr="00C81021">
        <w:rPr>
          <w:rStyle w:val="Style1Char"/>
          <w:color w:val="4472C4" w:themeColor="accent1"/>
          <w:rtl/>
        </w:rPr>
        <w:t>משמע דתקנתא דידה היא מה שהבעל אוכל פירות וכן משמע לעיל דקאמר בשלמא בעל תקינו ליה רבנן פירי דא"כ מימנע ולא פריק וא"כ משמע דאי אמרה איני נפדית ואיני נותנת פירות הרשות בידה. וקשה מהא דקתני בברייתא פרקונה תחת פירות משמע דפירי עיקר ואינה יכולה לומר איני נפדית ואיני נותנת פירות דהא לקמן (דף נח ב) פרכינן לרב הונא דאמר יכולה אשה לומר איני ניזונת ואני עושה דסבר מזוני עיקר ותקנו לו חכמים מעשה ידיה תחת מזונות מהא דקתני תקנו מזונות תחת מעשה ידיה אלמא מעשה ידיה עיקר והוצרך להגיה הברייתא ולשנות תקנו מעשה ידיה תחת מזונות ועוד דבפרק חזקת הבתים (דף מט א) ובגיטין פרק הזורק (דף עז א) לא מצי לאשכוחי שיהא לאשה חצר בלא בעלה דפריך חצרה מה שקנתה אשה קנה בעלה ודחיק לשנויי בכותב לה ועודה ארוסה ולוקמא כגון שאמרה איני נפדית ואיני נותנת פירות אפילו לאחר שנישאת אלא ע"כ אינה יכולה לומר כן וצריך ליתן טעם כיון דתקנתה דידה היא מאי שנא ממעשה ידיה למ"ד מזוני עיקר וי"ל דשאני התם דלא פקעה תקנתא ממעשה ידיה לגמרי שאם אמרה איני ניזונת היום ואיני עושה למחר היא ניזונת ועושה אבל הכא מיד שאמרה איני נפדית ואיני נותנת פירות היא מפקעת תקנת פירות דפירות כל ימיה הן תחת פרקונה אפילו את"ל שיכולה לגמרי להפקיע מעשה ידיה ולומר איני ניזונת לעולם ואיני עושה לעולם אכתי מצינא למימר דפרקונה היינו טעמא כדי שלא תיטמע בין עובדי כוכבים אי נמי שאני פירות שהבעל זוכה בתקנת חכמים בגוף השדה לפירות אבל מעשה ידיה לא שייך למימר שיזכה בגוף הידים</w:t>
      </w:r>
      <w:r w:rsidRPr="00C81021">
        <w:rPr>
          <w:rStyle w:val="Style1Char"/>
          <w:color w:val="4472C4" w:themeColor="accent1"/>
        </w:rPr>
        <w:t>:</w:t>
      </w:r>
    </w:p>
    <w:p w14:paraId="0896E0DB" w14:textId="4F9508F9" w:rsidR="000357F0" w:rsidRDefault="000357F0" w:rsidP="000357F0">
      <w:pPr>
        <w:bidi/>
        <w:rPr>
          <w:rStyle w:val="Style1Char"/>
          <w:color w:val="00B050"/>
          <w:rtl/>
        </w:rPr>
      </w:pPr>
      <w:r w:rsidRPr="002F2700">
        <w:rPr>
          <w:rStyle w:val="Style1Char"/>
          <w:color w:val="00B050"/>
          <w:rtl/>
        </w:rPr>
        <w:t xml:space="preserve">ואיפוך אנא! אמר אביי: תיקנו מצוי למצוי, ושאינו מצוי לשאינו מצוי. אמר רבא: האי תנא סבר מזונות מדאורייתא, דתניא: שארה - </w:t>
      </w:r>
      <w:r w:rsidR="003E5512">
        <w:rPr>
          <w:rStyle w:val="Style1Char"/>
          <w:rFonts w:hint="cs"/>
          <w:rtl/>
        </w:rPr>
        <w:t>(2)</w:t>
      </w:r>
      <w:r w:rsidRPr="002F2700">
        <w:rPr>
          <w:rStyle w:val="Style1Char"/>
          <w:color w:val="00B050"/>
          <w:rtl/>
        </w:rPr>
        <w:t xml:space="preserve">אלו מזונות, וכן הוא אומר: ואשר אכלו שאר עמי; כסותה - כמשמעו; עונתה - זו עונה האמורה בתורה, וכן הוא אומר: אם תענה את בנותי. רבי אלעזר אומר: שארה - זו עונה, וכן הוא אומר: איש איש אל כל שאר בשרו לא תקרבו לגלות ערוה; כסותה - כמשמעו; עונתה - אלו מזונות, וכן הוא אומר: ויענך וירעיבך. </w:t>
      </w:r>
    </w:p>
    <w:p w14:paraId="21E0B7D1" w14:textId="4CB99C53" w:rsidR="00386F05" w:rsidRPr="004E5DBC" w:rsidRDefault="004E5DBC" w:rsidP="004E5DBC">
      <w:pPr>
        <w:pStyle w:val="Style1"/>
        <w:rPr>
          <w:rStyle w:val="Style1Char"/>
        </w:rPr>
      </w:pPr>
      <w:r>
        <w:rPr>
          <w:rStyle w:val="Style1Char"/>
          <w:rFonts w:hint="cs"/>
          <w:rtl/>
        </w:rPr>
        <w:t>1)[</w:t>
      </w:r>
      <w:r w:rsidR="00386F05" w:rsidRPr="004E5DBC">
        <w:rPr>
          <w:rStyle w:val="Style1Char"/>
          <w:rtl/>
        </w:rPr>
        <w:t>רמב</w:t>
      </w:r>
      <w:r w:rsidR="00213DA1">
        <w:rPr>
          <w:rStyle w:val="Style1Char"/>
          <w:rtl/>
        </w:rPr>
        <w:t>”</w:t>
      </w:r>
      <w:r w:rsidR="00386F05" w:rsidRPr="004E5DBC">
        <w:rPr>
          <w:rStyle w:val="Style1Char"/>
          <w:rtl/>
        </w:rPr>
        <w:t xml:space="preserve">ם </w:t>
      </w:r>
      <w:r w:rsidR="00213DA1">
        <w:rPr>
          <w:rStyle w:val="Style1Char"/>
          <w:rtl/>
        </w:rPr>
        <w:t xml:space="preserve">\נשים\ </w:t>
      </w:r>
      <w:r w:rsidR="00386F05" w:rsidRPr="004E5DBC">
        <w:rPr>
          <w:rStyle w:val="Style1Char"/>
          <w:rtl/>
        </w:rPr>
        <w:t>הלכות אישות פרק כג</w:t>
      </w:r>
      <w:r>
        <w:rPr>
          <w:rStyle w:val="Style1Char"/>
          <w:rFonts w:hint="cs"/>
          <w:rtl/>
        </w:rPr>
        <w:t>]</w:t>
      </w:r>
    </w:p>
    <w:p w14:paraId="44F89528" w14:textId="77777777" w:rsidR="00386F05" w:rsidRPr="004E5DBC" w:rsidRDefault="00386F05" w:rsidP="004E5DBC">
      <w:pPr>
        <w:pStyle w:val="Style1"/>
        <w:rPr>
          <w:rStyle w:val="Style1Char"/>
        </w:rPr>
      </w:pPr>
      <w:r w:rsidRPr="004E5DBC">
        <w:rPr>
          <w:rStyle w:val="Style1Char"/>
          <w:rtl/>
        </w:rPr>
        <w:t>הלכה א</w:t>
      </w:r>
    </w:p>
    <w:p w14:paraId="0F7EFD45" w14:textId="77777777" w:rsidR="00386F05" w:rsidRPr="004E5DBC" w:rsidRDefault="00386F05" w:rsidP="004E5DBC">
      <w:pPr>
        <w:pStyle w:val="Style1"/>
        <w:rPr>
          <w:rStyle w:val="Style1Char"/>
        </w:rPr>
      </w:pPr>
      <w:r w:rsidRPr="004E5DBC">
        <w:rPr>
          <w:rStyle w:val="Style1Char"/>
          <w:rtl/>
        </w:rPr>
        <w:t xml:space="preserve">האשה שהתנת על בעלה לבטל זכות מדברים שזוכה בהן הבעל, אם כתב לה ועודה ארוסה קודם הנישואין אינו צריך לקנות מידו אלא כל מה שכתב לה קיים, ואם כתב לה אחר הנישואין צריך לקנות מידו. </w:t>
      </w:r>
    </w:p>
    <w:p w14:paraId="15C6FC76" w14:textId="77777777" w:rsidR="00386F05" w:rsidRPr="004E5DBC" w:rsidRDefault="00386F05" w:rsidP="004E5DBC">
      <w:pPr>
        <w:pStyle w:val="Style1"/>
        <w:rPr>
          <w:rStyle w:val="Style1Char"/>
        </w:rPr>
      </w:pPr>
      <w:r w:rsidRPr="004E5DBC">
        <w:rPr>
          <w:rStyle w:val="Style1Char"/>
          <w:rtl/>
        </w:rPr>
        <w:t>הלכה ב</w:t>
      </w:r>
    </w:p>
    <w:p w14:paraId="0DCFFDC8" w14:textId="748DEA82" w:rsidR="00386F05" w:rsidRPr="004E5DBC" w:rsidRDefault="00386F05" w:rsidP="004E5DBC">
      <w:pPr>
        <w:pStyle w:val="Style1"/>
        <w:rPr>
          <w:rStyle w:val="Style1Char"/>
        </w:rPr>
      </w:pPr>
      <w:r w:rsidRPr="004E5DBC">
        <w:rPr>
          <w:rStyle w:val="Style1Char"/>
          <w:rtl/>
        </w:rPr>
        <w:t xml:space="preserve">התנה עמה שלא יהיה לו דין ודברים בנכסיה אם מכרה ונתנה מכרה קיים ומתנתה קיימת אבל אוכל פירותיהן כל זמן שהן ברשותה, ואם קנו מידו כשהיא ארוסה שאין לו דין ודברים בנכסיה הרי סילק עצמו מגוף הקרקע ואין לו בנכסיה פירות לעולם, ואפילו ערער על קניינו ואמר לא עלה בדעתי שאין לי פירות מפני קנין זה אלא שאם מכרה מכרה קיים שאין אדם נושא אשה בלא נכסים אין שומעין לו אלא כבר סילק עצמו מגוף הקרקע. /השגת הראב"ד/ ואם קנו מידו כשהיא ארוסה שאין לו דין ודברים בנכסיה הרי סילק עצמו מגוף הקרקע ואין לו בנכסיה פירות. א"א כל מה שכתב כאן הכל הבל ורעות רוח. </w:t>
      </w:r>
    </w:p>
    <w:p w14:paraId="7F479CFF" w14:textId="77777777" w:rsidR="00386F05" w:rsidRPr="004E5DBC" w:rsidRDefault="00386F05" w:rsidP="004E5DBC">
      <w:pPr>
        <w:pStyle w:val="Style1"/>
        <w:rPr>
          <w:rStyle w:val="Style1Char"/>
        </w:rPr>
      </w:pPr>
      <w:r w:rsidRPr="004E5DBC">
        <w:rPr>
          <w:rStyle w:val="Style1Char"/>
          <w:rtl/>
        </w:rPr>
        <w:t>הלכה ג</w:t>
      </w:r>
    </w:p>
    <w:p w14:paraId="795EDD71" w14:textId="77777777" w:rsidR="00386F05" w:rsidRPr="004E5DBC" w:rsidRDefault="00386F05" w:rsidP="004E5DBC">
      <w:pPr>
        <w:pStyle w:val="Style1"/>
        <w:rPr>
          <w:rStyle w:val="Style1Char"/>
        </w:rPr>
      </w:pPr>
      <w:r w:rsidRPr="004E5DBC">
        <w:rPr>
          <w:rStyle w:val="Style1Char"/>
          <w:rtl/>
        </w:rPr>
        <w:t xml:space="preserve">התנה עמה שלא יאכל פירות נכסיה הרי זה אינו אוכל פירותיהן אבל מוכרין את הפירות ולוקחין בהן קרקע והוא אוכל פירותיה, שלא סילק עצמו אלא מפירות נכסים אלו בלבד. </w:t>
      </w:r>
    </w:p>
    <w:p w14:paraId="47622D2A" w14:textId="77777777" w:rsidR="00386F05" w:rsidRPr="004E5DBC" w:rsidRDefault="00386F05" w:rsidP="004E5DBC">
      <w:pPr>
        <w:pStyle w:val="Style1"/>
        <w:rPr>
          <w:rStyle w:val="Style1Char"/>
        </w:rPr>
      </w:pPr>
      <w:r w:rsidRPr="004E5DBC">
        <w:rPr>
          <w:rStyle w:val="Style1Char"/>
          <w:rtl/>
        </w:rPr>
        <w:t>הלכה ד</w:t>
      </w:r>
    </w:p>
    <w:p w14:paraId="1C6B7A81" w14:textId="77777777" w:rsidR="00386F05" w:rsidRPr="004E5DBC" w:rsidRDefault="00386F05" w:rsidP="004E5DBC">
      <w:pPr>
        <w:pStyle w:val="Style1"/>
        <w:rPr>
          <w:rStyle w:val="Style1Char"/>
        </w:rPr>
      </w:pPr>
      <w:r w:rsidRPr="004E5DBC">
        <w:rPr>
          <w:rStyle w:val="Style1Char"/>
          <w:rtl/>
        </w:rPr>
        <w:t xml:space="preserve">התנה עמה שלא יאכל פירות נכסיה ולא פירי פירותיהן לוקחין הפירות וקונין בהם קרקע ולוקחין פירות קרקע זו וקונין בהם קרקע שנייה והוא אוכל פירות אלו שהן פירי פירי פירות, וכן הדבר תמיד עד שיתנה עמה שלא יהיו לו לא פירות ולא פירי פירותיהן עד לעולם ואחר כך לא יהיו לו פירות בחייה אבל אם מתה יירש הכל. </w:t>
      </w:r>
    </w:p>
    <w:p w14:paraId="62475CF6" w14:textId="77777777" w:rsidR="00386F05" w:rsidRPr="004E5DBC" w:rsidRDefault="00386F05" w:rsidP="004E5DBC">
      <w:pPr>
        <w:pStyle w:val="Style1"/>
        <w:rPr>
          <w:rStyle w:val="Style1Char"/>
        </w:rPr>
      </w:pPr>
      <w:r w:rsidRPr="004E5DBC">
        <w:rPr>
          <w:rStyle w:val="Style1Char"/>
          <w:rtl/>
        </w:rPr>
        <w:t>הלכה ה</w:t>
      </w:r>
    </w:p>
    <w:p w14:paraId="66C628C0" w14:textId="77777777" w:rsidR="00386F05" w:rsidRPr="004E5DBC" w:rsidRDefault="00386F05" w:rsidP="004E5DBC">
      <w:pPr>
        <w:pStyle w:val="Style1"/>
        <w:rPr>
          <w:rStyle w:val="Style1Char"/>
        </w:rPr>
      </w:pPr>
      <w:r w:rsidRPr="004E5DBC">
        <w:rPr>
          <w:rStyle w:val="Style1Char"/>
          <w:rtl/>
        </w:rPr>
        <w:t xml:space="preserve">התנה עמה שלא יירשנה הרי זה לא א יירשנה אבל אוכל פירות בחייה וכן אם התנה עמה שיירש מקצת נכסיה וכן אם התנה עמה שאם מתה בלא בנים יחזרו נכסין לבית אביה הכל קיים. </w:t>
      </w:r>
    </w:p>
    <w:p w14:paraId="5B16305B" w14:textId="77777777" w:rsidR="00386F05" w:rsidRPr="004E5DBC" w:rsidRDefault="00386F05" w:rsidP="004E5DBC">
      <w:pPr>
        <w:pStyle w:val="Style1"/>
        <w:rPr>
          <w:rStyle w:val="Style1Char"/>
        </w:rPr>
      </w:pPr>
      <w:r w:rsidRPr="004E5DBC">
        <w:rPr>
          <w:rStyle w:val="Style1Char"/>
          <w:rtl/>
        </w:rPr>
        <w:t>הלכה ו</w:t>
      </w:r>
    </w:p>
    <w:p w14:paraId="7D49EE65" w14:textId="77777777" w:rsidR="00386F05" w:rsidRPr="004E5DBC" w:rsidRDefault="00386F05" w:rsidP="004E5DBC">
      <w:pPr>
        <w:pStyle w:val="Style1"/>
        <w:rPr>
          <w:rStyle w:val="Style1Char"/>
        </w:rPr>
      </w:pPr>
      <w:r w:rsidRPr="004E5DBC">
        <w:rPr>
          <w:rStyle w:val="Style1Char"/>
          <w:rtl/>
        </w:rPr>
        <w:t xml:space="preserve">במה דברים אמורים בשהתנה עמה קודם שתנשא, שהנחלה הבאה לו לאדם שלא ממשפחתו מתנה עליה שלא יירשנה קודם שתהא ראויה לו, אבל אם התנה עמה אחר שנישאת תנאו בטל ויירשנה כמו שביארנו. </w:t>
      </w:r>
    </w:p>
    <w:p w14:paraId="184B82A5" w14:textId="77777777" w:rsidR="00386F05" w:rsidRPr="004E5DBC" w:rsidRDefault="00386F05" w:rsidP="004E5DBC">
      <w:pPr>
        <w:pStyle w:val="Style1"/>
        <w:rPr>
          <w:rStyle w:val="Style1Char"/>
        </w:rPr>
      </w:pPr>
      <w:r w:rsidRPr="004E5DBC">
        <w:rPr>
          <w:rStyle w:val="Style1Char"/>
          <w:rtl/>
        </w:rPr>
        <w:lastRenderedPageBreak/>
        <w:t>הלכה ז</w:t>
      </w:r>
    </w:p>
    <w:p w14:paraId="23DFA16D" w14:textId="64DBC463" w:rsidR="00386F05" w:rsidRPr="004E5DBC" w:rsidRDefault="00386F05" w:rsidP="004E5DBC">
      <w:pPr>
        <w:pStyle w:val="Style1"/>
        <w:rPr>
          <w:rStyle w:val="Style1Char"/>
        </w:rPr>
      </w:pPr>
      <w:r w:rsidRPr="004E5DBC">
        <w:rPr>
          <w:rStyle w:val="Style1Char"/>
          <w:rtl/>
        </w:rPr>
        <w:t xml:space="preserve">התנה עמה אחר נישואין שלא יהיה לו דין ודברים בנכסיה ולא בפירי פירותיהן עד עולם בחייה ובמותה הרי זה אינו אוכל פירות כלל אבל אם מתה יירשנה כמו שביארנו. /השגת הראב"ד/ התנה עמה אחר נישואין שלא יהיה לו דין ודברים בנכסיה ולא בפירי פירותיהן עד עולם בחייה ובמותה הרי זה אינו אוכל פירות. א"א נ"ל שחסר מכאן וקנו מידו, ואף על פי שקנו מידו לסלוק הירושה אינו מועיל אחר נישואין לפי שסלוק הירושה לאחר מותה היא ואינו הקנאה לשום אדם והוה ליה כקנין דברים והנישואין כבר חלו על הכל אבל תנאי דקודם נישואין לא חלו הנישואין אלא על מנת שלא יירשנה ותנאי ממון קיים. </w:t>
      </w:r>
    </w:p>
    <w:p w14:paraId="55408FE3" w14:textId="77777777" w:rsidR="00386F05" w:rsidRPr="004E5DBC" w:rsidRDefault="00386F05" w:rsidP="004E5DBC">
      <w:pPr>
        <w:pStyle w:val="Style1"/>
        <w:rPr>
          <w:rStyle w:val="Style1Char"/>
        </w:rPr>
      </w:pPr>
      <w:r w:rsidRPr="004E5DBC">
        <w:rPr>
          <w:rStyle w:val="Style1Char"/>
          <w:rtl/>
        </w:rPr>
        <w:t>הלכה ח</w:t>
      </w:r>
    </w:p>
    <w:p w14:paraId="28DCE7A2" w14:textId="77777777" w:rsidR="00386F05" w:rsidRPr="004E5DBC" w:rsidRDefault="00386F05" w:rsidP="004E5DBC">
      <w:pPr>
        <w:pStyle w:val="Style1"/>
        <w:rPr>
          <w:rStyle w:val="Style1Char"/>
        </w:rPr>
      </w:pPr>
      <w:r w:rsidRPr="004E5DBC">
        <w:rPr>
          <w:rStyle w:val="Style1Char"/>
          <w:rtl/>
        </w:rPr>
        <w:t xml:space="preserve">הבעל שהוציא הוצאות על נכסי מלוג בין שהוציא מעט ואכל פירות הרבה בין שהוציא הרבה ואכל פירות מעט אפילו אכל גרוגרת אחת דרך כבוד או שאכל דינר אחד אפילו שלא דרך כבוד ואפילו לא לקח בפירות מה שהוציא אלא חבילה של זמורות מה שהוציא הוציא ומה שאכל אכל. </w:t>
      </w:r>
    </w:p>
    <w:p w14:paraId="3DAF0878" w14:textId="77777777" w:rsidR="00386F05" w:rsidRPr="004E5DBC" w:rsidRDefault="00386F05" w:rsidP="004E5DBC">
      <w:pPr>
        <w:pStyle w:val="Style1"/>
        <w:rPr>
          <w:rStyle w:val="Style1Char"/>
        </w:rPr>
      </w:pPr>
      <w:r w:rsidRPr="004E5DBC">
        <w:rPr>
          <w:rStyle w:val="Style1Char"/>
          <w:rtl/>
        </w:rPr>
        <w:t>הלכה ט</w:t>
      </w:r>
    </w:p>
    <w:p w14:paraId="7EE4BC88" w14:textId="2CCDEEEE" w:rsidR="00386F05" w:rsidRPr="004E5DBC" w:rsidRDefault="00386F05" w:rsidP="004E5DBC">
      <w:pPr>
        <w:pStyle w:val="Style1"/>
        <w:rPr>
          <w:rStyle w:val="Style1Char"/>
        </w:rPr>
      </w:pPr>
      <w:r w:rsidRPr="004E5DBC">
        <w:rPr>
          <w:rStyle w:val="Style1Char"/>
          <w:rtl/>
        </w:rPr>
        <w:t xml:space="preserve">ג וכן אם נפלו לה כספים במקום רחוק והוציא עליהן הוצאות עד שהביאן או עד שהוציאן מיד מי שהיו אצלו ולקח בהן קרקע ואכל פירותיה כשיעור מה שהוציא הוציא ומה שאכל אכל. הוציא ולא אכל או שאכל פחות מכשיעור, שמין כמה השביח ושואלין אותו כמה הוציא, אם השבח יתר על ההוצאה ישבע בנקיטת חפץ כמה הוציא ונוטל ההוצאה ואם ההוצאה יתירה על השבח אין לו מן ההוצאה אלא כשיעור השבח ה ובשבועה. </w:t>
      </w:r>
    </w:p>
    <w:p w14:paraId="28219E8D" w14:textId="77777777" w:rsidR="00386F05" w:rsidRPr="004E5DBC" w:rsidRDefault="00386F05" w:rsidP="004E5DBC">
      <w:pPr>
        <w:pStyle w:val="Style1"/>
        <w:rPr>
          <w:rStyle w:val="Style1Char"/>
        </w:rPr>
      </w:pPr>
      <w:r w:rsidRPr="004E5DBC">
        <w:rPr>
          <w:rStyle w:val="Style1Char"/>
          <w:rtl/>
        </w:rPr>
        <w:t>הלכה י</w:t>
      </w:r>
    </w:p>
    <w:p w14:paraId="2CCC457D" w14:textId="77777777" w:rsidR="00386F05" w:rsidRPr="004E5DBC" w:rsidRDefault="00386F05" w:rsidP="004E5DBC">
      <w:pPr>
        <w:pStyle w:val="Style1"/>
        <w:rPr>
          <w:rStyle w:val="Style1Char"/>
        </w:rPr>
      </w:pPr>
      <w:r w:rsidRPr="004E5DBC">
        <w:rPr>
          <w:rStyle w:val="Style1Char"/>
          <w:rtl/>
        </w:rPr>
        <w:t xml:space="preserve">במה דברים אמורים במגרש אבל האשה שמרדה על בעלה אפילו אכל הרבה שמין לו כמה אכל ופוחתין אותו ממה שראוי ליתן לו מן ההוצאה אחר שישבע ונוטלו, שלא הקנה לה כדי שתטול ותצא מעצמה, וכן המוציא הוצאות על נכסי אשתו קטנה ומיאנה רואין כמה אכל וכמה הוציא וכמה השביח ושמין לו כאריס שהרי ברשות ירד. </w:t>
      </w:r>
    </w:p>
    <w:p w14:paraId="3392A414" w14:textId="77777777" w:rsidR="00386F05" w:rsidRPr="004E5DBC" w:rsidRDefault="00386F05" w:rsidP="004E5DBC">
      <w:pPr>
        <w:pStyle w:val="Style1"/>
        <w:rPr>
          <w:rStyle w:val="Style1Char"/>
        </w:rPr>
      </w:pPr>
      <w:r w:rsidRPr="004E5DBC">
        <w:rPr>
          <w:rStyle w:val="Style1Char"/>
          <w:rtl/>
        </w:rPr>
        <w:t>הלכה יא</w:t>
      </w:r>
    </w:p>
    <w:p w14:paraId="1BAD5AAD" w14:textId="77777777" w:rsidR="00386F05" w:rsidRPr="004E5DBC" w:rsidRDefault="00386F05" w:rsidP="004E5DBC">
      <w:pPr>
        <w:pStyle w:val="Style1"/>
        <w:rPr>
          <w:rStyle w:val="Style1Char"/>
        </w:rPr>
      </w:pPr>
      <w:r w:rsidRPr="004E5DBC">
        <w:rPr>
          <w:rStyle w:val="Style1Char"/>
          <w:rtl/>
        </w:rPr>
        <w:t xml:space="preserve">מנהגות רבות יש בנדוניא, יש מקומות שנהגו שיכתבו בכתובה הנדוניא ביתר על דמיה בשליש או בחמיש או במחצה, כגון שתהיה נדוניתה מאה וכותבים שהכניסה לו מאה וחמשים כדי להרבות בפני העם וכשתבוא לגבות לא תגבה אלא המאה. ויש מקומות שנהגו לכתוב בפחות ואם פסקה להביא לו במאה כלים נותנת שוה מאה ועשרים או מאה וחמשים וכותבין שהכניסה לו מאה, ויש מקומות שנהגו לכתוב שוה בשוה, ויש מקומות שנהגו שיתן האיש מעות לפי הנדוניא דבר קצוב שתתקשט בו הכלה ותקנה בו בשמים וכיוצא בהן, ויש מקומות שיכניס האיש שום משלו לאשה יצטרף לנדוניתה להתנאות בו. </w:t>
      </w:r>
    </w:p>
    <w:p w14:paraId="647C564B" w14:textId="77777777" w:rsidR="00386F05" w:rsidRPr="004E5DBC" w:rsidRDefault="00386F05" w:rsidP="004E5DBC">
      <w:pPr>
        <w:pStyle w:val="Style1"/>
        <w:rPr>
          <w:rStyle w:val="Style1Char"/>
        </w:rPr>
      </w:pPr>
      <w:r w:rsidRPr="004E5DBC">
        <w:rPr>
          <w:rStyle w:val="Style1Char"/>
          <w:rtl/>
        </w:rPr>
        <w:t>הלכה יב</w:t>
      </w:r>
    </w:p>
    <w:p w14:paraId="110764F9" w14:textId="77777777" w:rsidR="00386F05" w:rsidRPr="004E5DBC" w:rsidRDefault="00386F05" w:rsidP="004E5DBC">
      <w:pPr>
        <w:pStyle w:val="Style1"/>
        <w:rPr>
          <w:rStyle w:val="Style1Char"/>
        </w:rPr>
      </w:pPr>
      <w:r w:rsidRPr="004E5DBC">
        <w:rPr>
          <w:rStyle w:val="Style1Char"/>
          <w:rtl/>
        </w:rPr>
        <w:t xml:space="preserve">הנושא סתם כותב ונותן ו כמנהג המדינה, וכן היא שפסקה להכניס נותנת כמנהג המדינה וכשתבא לגבות כתובתה מגבין לה מה שבכתובתה כמנהג המדינה, ובכל הדברים האלו וכיוצא בהן מנהג המדינה עיקר גדול הוא ועל פיו דנין, והוא שיהיה אותו מנהג פשוט בכל המדינה. </w:t>
      </w:r>
    </w:p>
    <w:p w14:paraId="63B9633F" w14:textId="77777777" w:rsidR="00386F05" w:rsidRPr="004E5DBC" w:rsidRDefault="00386F05" w:rsidP="004E5DBC">
      <w:pPr>
        <w:pStyle w:val="Style1"/>
        <w:rPr>
          <w:rStyle w:val="Style1Char"/>
        </w:rPr>
      </w:pPr>
      <w:r w:rsidRPr="004E5DBC">
        <w:rPr>
          <w:rStyle w:val="Style1Char"/>
          <w:rtl/>
        </w:rPr>
        <w:t>הלכה יג</w:t>
      </w:r>
    </w:p>
    <w:p w14:paraId="5A2149F7" w14:textId="74772653" w:rsidR="00386F05" w:rsidRPr="004E5DBC" w:rsidRDefault="00386F05" w:rsidP="004E5DBC">
      <w:pPr>
        <w:pStyle w:val="Style1"/>
        <w:rPr>
          <w:rStyle w:val="Style1Char"/>
        </w:rPr>
      </w:pPr>
      <w:r w:rsidRPr="004E5DBC">
        <w:rPr>
          <w:rStyle w:val="Style1Char"/>
          <w:rtl/>
        </w:rPr>
        <w:t xml:space="preserve">איש ואשה שהיו ביניהם שדוכין ואמר לה כמה את מכנסת לי כך וכך ואמרה לו וכמה אתה נותן לי או כותב לי כך וכך, וכן האב שפסק ע"י בנו ובתו כמה אתה נותן לבנך כך וכך וכמה אתה נותן לבתך כך וכך, ועמדו וקדשו, קנו אותן הדברים ואף על פי שלא היה ביניהן קנין מידם, ואלו הן הדברים ח הנקנין באמירה. </w:t>
      </w:r>
    </w:p>
    <w:p w14:paraId="4A1F8004" w14:textId="77777777" w:rsidR="00386F05" w:rsidRPr="004E5DBC" w:rsidRDefault="00386F05" w:rsidP="004E5DBC">
      <w:pPr>
        <w:pStyle w:val="Style1"/>
        <w:rPr>
          <w:rStyle w:val="Style1Char"/>
        </w:rPr>
      </w:pPr>
      <w:r w:rsidRPr="004E5DBC">
        <w:rPr>
          <w:rStyle w:val="Style1Char"/>
          <w:rtl/>
        </w:rPr>
        <w:t>הלכה יד</w:t>
      </w:r>
    </w:p>
    <w:p w14:paraId="357EF9E3" w14:textId="6AE27AB6" w:rsidR="00386F05" w:rsidRPr="004E5DBC" w:rsidRDefault="00386F05" w:rsidP="004E5DBC">
      <w:pPr>
        <w:pStyle w:val="Style1"/>
        <w:rPr>
          <w:rStyle w:val="Style1Char"/>
        </w:rPr>
      </w:pPr>
      <w:r w:rsidRPr="004E5DBC">
        <w:rPr>
          <w:rStyle w:val="Style1Char"/>
          <w:rtl/>
        </w:rPr>
        <w:t xml:space="preserve">במה דברים אמורים בשפסק האב לבתו בין גדולה בין קטנה ופסק האב האחר לבנו ובנישואין ראשונים שדעתו של אדם קרובה אצל בנו ומרוב שמחתו בנישואין הראשונים גמר ומקנה לו באמירה, אבל אח שפסק לאחותו או אשה שפסקה לבתה וכן שאר קרובים, או האב שפסק לבנו או לבתו בנישואין שניים, לא קנו אותן הדברים עד שיקנו מידי הפוסק שנתן כך וכך. </w:t>
      </w:r>
    </w:p>
    <w:p w14:paraId="63454A89" w14:textId="77777777" w:rsidR="00386F05" w:rsidRPr="004E5DBC" w:rsidRDefault="00386F05" w:rsidP="004E5DBC">
      <w:pPr>
        <w:pStyle w:val="Style1"/>
        <w:rPr>
          <w:rStyle w:val="Style1Char"/>
        </w:rPr>
      </w:pPr>
      <w:r w:rsidRPr="004E5DBC">
        <w:rPr>
          <w:rStyle w:val="Style1Char"/>
          <w:rtl/>
        </w:rPr>
        <w:t>הלכה טו</w:t>
      </w:r>
    </w:p>
    <w:p w14:paraId="74495823" w14:textId="77777777" w:rsidR="00386F05" w:rsidRPr="004E5DBC" w:rsidRDefault="00386F05" w:rsidP="004E5DBC">
      <w:pPr>
        <w:pStyle w:val="Style1"/>
        <w:rPr>
          <w:rStyle w:val="Style1Char"/>
        </w:rPr>
      </w:pPr>
      <w:r w:rsidRPr="004E5DBC">
        <w:rPr>
          <w:rStyle w:val="Style1Char"/>
          <w:rtl/>
        </w:rPr>
        <w:t xml:space="preserve">האב שפסק על ידי בתו לא קנת הבת אותה המתנה עד שיכנוס אותה בעלה וכן הבן לא קנה עד שיכנוס, שכל הפוסק אינו פוסק אלא על מנת לכנוס, לפיכך הפוסק מעות לחתנו ומת קודם שיכנוס ונפלה לפני אחיו ליבום יכול האב לומר ליבם לאחיך הייתי רוצה ליתן ולך איני רוצה ליתן, ואפילו היה הראשון עם הארץ והשני חכם ואף על פי שהבת רוצה בו. </w:t>
      </w:r>
    </w:p>
    <w:p w14:paraId="3CC725E9" w14:textId="77777777" w:rsidR="00386F05" w:rsidRPr="004E5DBC" w:rsidRDefault="00386F05" w:rsidP="004E5DBC">
      <w:pPr>
        <w:pStyle w:val="Style1"/>
        <w:rPr>
          <w:rStyle w:val="Style1Char"/>
        </w:rPr>
      </w:pPr>
      <w:r w:rsidRPr="004E5DBC">
        <w:rPr>
          <w:rStyle w:val="Style1Char"/>
          <w:rtl/>
        </w:rPr>
        <w:t>הלכה טז</w:t>
      </w:r>
    </w:p>
    <w:p w14:paraId="3F062466" w14:textId="2C8D2385" w:rsidR="00386F05" w:rsidRPr="004E5DBC" w:rsidRDefault="00386F05" w:rsidP="004E5DBC">
      <w:pPr>
        <w:pStyle w:val="Style1"/>
        <w:rPr>
          <w:rStyle w:val="Style1Char"/>
        </w:rPr>
      </w:pPr>
      <w:r w:rsidRPr="004E5DBC">
        <w:rPr>
          <w:rStyle w:val="Style1Char"/>
          <w:rtl/>
        </w:rPr>
        <w:t xml:space="preserve">הפוסק מעות לחתנו והלך האב למדינה אחרת יכולה היא לומר לבעל אני לא פסקתי על עצמי מה אני יכולה לעשות או כנוס בלא נדוניא או פטרני בגט, אבל אם פסקה היא על עצמה ולא הגיעה ידה הרי זו יושבת עד שתמצא מה שפסקה או עד שתמות. ולמה לא תפטור עצמה במרדות, שהמורדת כשהיא ארוסה הבעל רוצה לכנסה והיא אינה רוצה אבל זו אין הבעל רוצה בה עד שתתן הנדוניא שפסקה והיא רוצה בו שהרי היא אומרת לו או כנוס או פטור, במה דברים אמורים בגדולה אבל קטנה שפסקה על עצמה כופין אותו ליתן גט או יכנוס בלא נדוניא. </w:t>
      </w:r>
    </w:p>
    <w:p w14:paraId="69AF4534" w14:textId="77777777" w:rsidR="00386F05" w:rsidRPr="004E5DBC" w:rsidRDefault="00386F05" w:rsidP="004E5DBC">
      <w:pPr>
        <w:pStyle w:val="Style1"/>
        <w:rPr>
          <w:rStyle w:val="Style1Char"/>
        </w:rPr>
      </w:pPr>
      <w:r w:rsidRPr="004E5DBC">
        <w:rPr>
          <w:rStyle w:val="Style1Char"/>
          <w:rtl/>
        </w:rPr>
        <w:t>הלכה יז</w:t>
      </w:r>
    </w:p>
    <w:p w14:paraId="03FEC82A" w14:textId="466EFC8D" w:rsidR="00386F05" w:rsidRPr="004E5DBC" w:rsidRDefault="00386F05" w:rsidP="004E5DBC">
      <w:pPr>
        <w:pStyle w:val="Style1"/>
        <w:rPr>
          <w:rStyle w:val="Style1Char"/>
        </w:rPr>
      </w:pPr>
      <w:r w:rsidRPr="004E5DBC">
        <w:rPr>
          <w:rStyle w:val="Style1Char"/>
          <w:rtl/>
        </w:rPr>
        <w:t xml:space="preserve">הנושא את האשה ופסקה עמו שיהיה זן את בתה כך וכך שנים חייב לזון אותם שנים שקיבל על עצמו והוא שיתנו על דבר זה בשעת קידושין, אבל שלא בשעת קידושין עד שיקנו מידו או עד שיכתוב בשטר וכיוצא בו כמו שיתבאר בהלכות מקח וממכר. נתגרשה בתוך השנים שקיבל על עצמו לזון את בתה ונשאת לאחר ופסקה עמו שיהיה זן אותה הבת כך וכך שנים לא יאמר הראשון אם תבוא לביתי אזונה אלא מוליך מזונותיה למקום שהיא שם אמה, וכן לא יאמרו שניהם הרי אנו זנין אותה כאחת אלא אחד זנה ואחד נותן לה דמי מזונות. </w:t>
      </w:r>
    </w:p>
    <w:p w14:paraId="6051B8CA" w14:textId="77777777" w:rsidR="00386F05" w:rsidRPr="004E5DBC" w:rsidRDefault="00386F05" w:rsidP="004E5DBC">
      <w:pPr>
        <w:pStyle w:val="Style1"/>
        <w:rPr>
          <w:rStyle w:val="Style1Char"/>
        </w:rPr>
      </w:pPr>
      <w:r w:rsidRPr="004E5DBC">
        <w:rPr>
          <w:rStyle w:val="Style1Char"/>
          <w:rtl/>
        </w:rPr>
        <w:t>הלכה יח</w:t>
      </w:r>
    </w:p>
    <w:p w14:paraId="3CBDD074" w14:textId="2A9F1208" w:rsidR="00386F05" w:rsidRDefault="00386F05" w:rsidP="004E5DBC">
      <w:pPr>
        <w:pStyle w:val="Style1"/>
        <w:rPr>
          <w:rStyle w:val="Style1Char"/>
          <w:rtl/>
        </w:rPr>
      </w:pPr>
      <w:r w:rsidRPr="004E5DBC">
        <w:rPr>
          <w:rStyle w:val="Style1Char"/>
          <w:rtl/>
        </w:rPr>
        <w:t>נישאת הבת בתוך זמן זה הבעל חייב במזונותיה, ובעלי אמה שניהם כל אחד ואחד נותן לה דמי מזונות, מתו אלו שפסקו לזון אותה אם קנו מידן או שחייב עצמו בשטר הרי זו כבעל חוב בשטר וטורפת מזונותיה מנכסיהן המשועבדים עד סוף הזמן שפסקו, ואם פסקו בשעת הקידושין ולא היה שם קנין הרי הם דברים שלא ניתנו ליכתב ואינה טורפת במזונותיה.</w:t>
      </w:r>
    </w:p>
    <w:p w14:paraId="2D580B86" w14:textId="5E73428F" w:rsidR="00456734" w:rsidRPr="00456734" w:rsidRDefault="00314CD6" w:rsidP="00456734">
      <w:pPr>
        <w:pStyle w:val="Style1"/>
      </w:pPr>
      <w:r>
        <w:rPr>
          <w:rStyle w:val="Style1Char"/>
          <w:rFonts w:hint="cs"/>
          <w:rtl/>
        </w:rPr>
        <w:lastRenderedPageBreak/>
        <w:t>1)[</w:t>
      </w:r>
      <w:r w:rsidR="00B44D06" w:rsidRPr="00B44D06">
        <w:rPr>
          <w:rStyle w:val="Style1Char"/>
          <w:rtl/>
        </w:rPr>
        <w:t>שולחן ערוך אבן העזר הלכות קידושין סימן נג סעיף ג</w:t>
      </w:r>
      <w:r>
        <w:rPr>
          <w:rStyle w:val="Style1Char"/>
          <w:rFonts w:hint="cs"/>
          <w:rtl/>
        </w:rPr>
        <w:t>]</w:t>
      </w:r>
      <w:r w:rsidR="00456734">
        <w:rPr>
          <w:rStyle w:val="Style1Char"/>
          <w:rFonts w:hint="cs"/>
          <w:rtl/>
        </w:rPr>
        <w:t xml:space="preserve"> </w:t>
      </w:r>
      <w:r w:rsidR="00456734" w:rsidRPr="00456734">
        <w:rPr>
          <w:rtl/>
        </w:rPr>
        <w:t>הפוסק מעות לחתנו בשעת הקדושין, ונתנם לו קודם החופה, ומתה הבת ויש לה בן, יחזיר המעות לאב, שכל הפוסק דעתו על מנת לכנוס. ויש מי שאומר, דהני מילי בפוסק לחתנו, אבל מי שנותן לבתו סתם שתנשא בו, ולא הזכיר שתנשא לפלוני, קנתה אותה מתנה, וכיון שנתקדשה, אף על פי שבטלו הקדושין כשמת הארוס, אין האב יכול לחזור בו</w:t>
      </w:r>
      <w:r w:rsidR="00456734" w:rsidRPr="00456734">
        <w:t>.</w:t>
      </w:r>
    </w:p>
    <w:p w14:paraId="25BEDF49" w14:textId="77777777" w:rsidR="00456734" w:rsidRPr="00456734" w:rsidRDefault="00456734" w:rsidP="00456734">
      <w:pPr>
        <w:pStyle w:val="Style1"/>
      </w:pPr>
      <w:r w:rsidRPr="00456734">
        <w:rPr>
          <w:rFonts w:hint="cs"/>
          <w:rtl/>
        </w:rPr>
        <w:t>הגה</w:t>
      </w:r>
      <w:r w:rsidRPr="00456734">
        <w:rPr>
          <w:rFonts w:hint="cs"/>
        </w:rPr>
        <w:t>: </w:t>
      </w:r>
      <w:r w:rsidRPr="00456734">
        <w:rPr>
          <w:rFonts w:hint="cs"/>
          <w:rtl/>
        </w:rPr>
        <w:t>מי שנדר מעות להשיא יתומה, ומתה, עיין </w:t>
      </w:r>
      <w:hyperlink r:id="rId79" w:tooltip="שולחן ערוך יורה דעה רנג" w:history="1">
        <w:r w:rsidRPr="00456734">
          <w:rPr>
            <w:rStyle w:val="Hyperlink"/>
            <w:rFonts w:hint="cs"/>
            <w:color w:val="7030A0"/>
            <w:u w:val="none"/>
            <w:rtl/>
          </w:rPr>
          <w:t>ביורה דעה סימן רנ"ג</w:t>
        </w:r>
      </w:hyperlink>
      <w:r w:rsidRPr="00456734">
        <w:rPr>
          <w:rFonts w:hint="cs"/>
        </w:rPr>
        <w:t>.</w:t>
      </w:r>
    </w:p>
    <w:p w14:paraId="2688B190" w14:textId="77777777" w:rsidR="00456734" w:rsidRPr="00456734" w:rsidRDefault="00456734" w:rsidP="00456734">
      <w:pPr>
        <w:pStyle w:val="Style1"/>
      </w:pPr>
      <w:r w:rsidRPr="00456734">
        <w:rPr>
          <w:rFonts w:hint="cs"/>
          <w:rtl/>
        </w:rPr>
        <w:t>הפוסק מעות לחתנו או לבתו, וכנסה, ואחר כך מתה הבת ועדיין לא נתן, יש אומרים שזכה בהן הבעל וצריך ליתן לו כל מה שפסק (רש"י והרמב"ם והר"ן ומרדכי בשם ר"י הלבן); ורבנו תם פירש דלא זכה בהן הבעל; ומכח ספק לא מפקינן ממונא מן האב</w:t>
      </w:r>
      <w:r w:rsidRPr="00456734">
        <w:rPr>
          <w:rFonts w:hint="cs"/>
        </w:rPr>
        <w:t xml:space="preserve"> (</w:t>
      </w:r>
      <w:hyperlink r:id="rId80" w:tooltip="תרומת הדשן/א/שכא" w:history="1">
        <w:r w:rsidRPr="00456734">
          <w:rPr>
            <w:rStyle w:val="Hyperlink"/>
            <w:rFonts w:hint="cs"/>
            <w:color w:val="7030A0"/>
            <w:u w:val="none"/>
            <w:rtl/>
          </w:rPr>
          <w:t>תרומת הדשן שכ"א</w:t>
        </w:r>
      </w:hyperlink>
      <w:r w:rsidRPr="00456734">
        <w:rPr>
          <w:rFonts w:hint="cs"/>
        </w:rPr>
        <w:t> </w:t>
      </w:r>
      <w:r w:rsidRPr="00456734">
        <w:rPr>
          <w:rFonts w:hint="cs"/>
          <w:rtl/>
        </w:rPr>
        <w:t>ומהרי"ק שרש צ"א והגהות מימוני) כל זמן שלא באו פעם אחת ליד החתן (מרדכי פרק נערה), אפילו בא ליד שליש מכח שניהם</w:t>
      </w:r>
      <w:r w:rsidRPr="00456734">
        <w:rPr>
          <w:rFonts w:hint="cs"/>
        </w:rPr>
        <w:t xml:space="preserve"> (</w:t>
      </w:r>
      <w:hyperlink r:id="rId81" w:tooltip="תרומת הדשן/א/שכא" w:history="1">
        <w:r w:rsidRPr="00456734">
          <w:rPr>
            <w:rStyle w:val="Hyperlink"/>
            <w:rFonts w:hint="cs"/>
            <w:color w:val="7030A0"/>
            <w:u w:val="none"/>
            <w:rtl/>
          </w:rPr>
          <w:t>שם בתרומת הדשן</w:t>
        </w:r>
      </w:hyperlink>
      <w:r w:rsidRPr="00456734">
        <w:rPr>
          <w:rFonts w:hint="cs"/>
        </w:rPr>
        <w:t>).</w:t>
      </w:r>
    </w:p>
    <w:p w14:paraId="6510A412" w14:textId="77777777" w:rsidR="00456734" w:rsidRPr="00456734" w:rsidRDefault="00456734" w:rsidP="00456734">
      <w:pPr>
        <w:pStyle w:val="Style1"/>
      </w:pPr>
      <w:r w:rsidRPr="00456734">
        <w:rPr>
          <w:rFonts w:hint="cs"/>
          <w:rtl/>
        </w:rPr>
        <w:t>ויש אומרים דאם באו ליד שליש, זכה בהם (מרדכי), וכן אם העמיד לו ערבות (הגהות מרדכי), אבל בלא זה, אפילו עשה האב עליו שטר וזקפן עליו במלוה ויש לו בנים ממנה, לא זכה בהן הבעל</w:t>
      </w:r>
      <w:r w:rsidRPr="00456734">
        <w:rPr>
          <w:rFonts w:hint="cs"/>
        </w:rPr>
        <w:t xml:space="preserve"> (</w:t>
      </w:r>
      <w:hyperlink r:id="rId82" w:tooltip="תרומת הדשן/א/שכא" w:history="1">
        <w:r w:rsidRPr="00456734">
          <w:rPr>
            <w:rStyle w:val="Hyperlink"/>
            <w:rFonts w:hint="cs"/>
            <w:color w:val="7030A0"/>
            <w:u w:val="none"/>
            <w:rtl/>
          </w:rPr>
          <w:t>תרומת הדשן סימן שכ"א</w:t>
        </w:r>
      </w:hyperlink>
      <w:r w:rsidRPr="00456734">
        <w:rPr>
          <w:rFonts w:hint="cs"/>
        </w:rPr>
        <w:t xml:space="preserve">), </w:t>
      </w:r>
      <w:r w:rsidRPr="00456734">
        <w:rPr>
          <w:rFonts w:hint="cs"/>
          <w:rtl/>
        </w:rPr>
        <w:t>ולא מפקינן מן האב; אבל אם תפס החתן לא מפקינן מיניה, דיכול לומר קים לי כסברא הראשונה (מרדכי</w:t>
      </w:r>
      <w:r w:rsidRPr="00456734">
        <w:rPr>
          <w:rFonts w:hint="cs"/>
        </w:rPr>
        <w:t>).</w:t>
      </w:r>
    </w:p>
    <w:p w14:paraId="4A7340AC" w14:textId="77777777" w:rsidR="00456734" w:rsidRPr="00456734" w:rsidRDefault="00456734" w:rsidP="00456734">
      <w:pPr>
        <w:pStyle w:val="Style1"/>
      </w:pPr>
      <w:r w:rsidRPr="00456734">
        <w:rPr>
          <w:rFonts w:hint="cs"/>
          <w:rtl/>
        </w:rPr>
        <w:t>וכל זה שלא בא פעם אחת ליד החתן בחיי הבת, אבל אם בא לידו פעם אחת, אף על פי שהחזיר ליד האב, זכה בכל. ואין חילוק בכל זה בין פוסק לבתו או לבנו ומת (כן משמע מלשון התקנה, וכן כתב הגהות מרדכי בשם מוהר"ם)</w:t>
      </w:r>
      <w:r w:rsidRPr="00456734">
        <w:rPr>
          <w:rFonts w:hint="cs"/>
        </w:rPr>
        <w:t>.</w:t>
      </w:r>
    </w:p>
    <w:p w14:paraId="4284E32C" w14:textId="77777777" w:rsidR="00456734" w:rsidRPr="00456734" w:rsidRDefault="00456734" w:rsidP="00456734">
      <w:pPr>
        <w:pStyle w:val="Style1"/>
      </w:pPr>
      <w:r w:rsidRPr="00456734">
        <w:rPr>
          <w:rFonts w:hint="cs"/>
          <w:rtl/>
        </w:rPr>
        <w:t>עוד תקן רבנו תם וחכמי צרפת, שאף אם כבר נתן האב הנדוניא, אם מתה האשה או האיש תוך שנה ראשונה בלא זרע קיימא, חוזר הכל לאב או ליורשי המת. ויש אומרים עוד, דאף בשנה שניה יחזרו חצי הנדוניא (הכל במרדכי), וכן המנהג פשוט במדינות אלו שנוהגים בזה כתקנת קהלות שו"ם</w:t>
      </w:r>
      <w:r w:rsidRPr="00456734">
        <w:rPr>
          <w:rFonts w:hint="cs"/>
        </w:rPr>
        <w:t xml:space="preserve"> (= </w:t>
      </w:r>
      <w:hyperlink r:id="rId83" w:tooltip="w:שפייר" w:history="1">
        <w:r w:rsidRPr="00456734">
          <w:rPr>
            <w:rStyle w:val="Hyperlink"/>
            <w:rFonts w:hint="cs"/>
            <w:color w:val="7030A0"/>
            <w:u w:val="none"/>
            <w:rtl/>
          </w:rPr>
          <w:t>שפיר</w:t>
        </w:r>
      </w:hyperlink>
      <w:r w:rsidRPr="00456734">
        <w:rPr>
          <w:rFonts w:hint="cs"/>
        </w:rPr>
        <w:t>, </w:t>
      </w:r>
      <w:hyperlink r:id="rId84" w:tooltip="w:וורמס" w:history="1">
        <w:r w:rsidRPr="00456734">
          <w:rPr>
            <w:rStyle w:val="Hyperlink"/>
            <w:rFonts w:hint="cs"/>
            <w:color w:val="7030A0"/>
            <w:u w:val="none"/>
            <w:rtl/>
          </w:rPr>
          <w:t>ורמיזא</w:t>
        </w:r>
      </w:hyperlink>
      <w:r w:rsidRPr="00456734">
        <w:rPr>
          <w:rFonts w:hint="cs"/>
        </w:rPr>
        <w:t>, </w:t>
      </w:r>
      <w:hyperlink r:id="rId85" w:tooltip="w:מיינץ" w:history="1">
        <w:r w:rsidRPr="00456734">
          <w:rPr>
            <w:rStyle w:val="Hyperlink"/>
            <w:rFonts w:hint="cs"/>
            <w:color w:val="7030A0"/>
            <w:u w:val="none"/>
            <w:rtl/>
          </w:rPr>
          <w:t>מגנצא</w:t>
        </w:r>
      </w:hyperlink>
      <w:r w:rsidRPr="00456734">
        <w:rPr>
          <w:rFonts w:hint="cs"/>
        </w:rPr>
        <w:t>).</w:t>
      </w:r>
    </w:p>
    <w:p w14:paraId="7F0BDCE8" w14:textId="77777777" w:rsidR="00456734" w:rsidRPr="00456734" w:rsidRDefault="00456734" w:rsidP="00456734">
      <w:pPr>
        <w:pStyle w:val="Style1"/>
      </w:pPr>
      <w:r w:rsidRPr="00456734">
        <w:rPr>
          <w:rFonts w:hint="cs"/>
          <w:rtl/>
        </w:rPr>
        <w:t>ודוקא מה שהוא בעין, חוזר. אבל מה שהוציא או נאבד, פטור, ובלבד שלא בזבז לאחר מיתה רק לצרכי קבורתה (גם זה שם)</w:t>
      </w:r>
      <w:r w:rsidRPr="00456734">
        <w:rPr>
          <w:rFonts w:hint="cs"/>
        </w:rPr>
        <w:t>.</w:t>
      </w:r>
    </w:p>
    <w:p w14:paraId="0526ACE4" w14:textId="7955A586" w:rsidR="00456734" w:rsidRDefault="00456734" w:rsidP="00456734">
      <w:pPr>
        <w:pStyle w:val="Style1"/>
        <w:rPr>
          <w:rtl/>
        </w:rPr>
      </w:pPr>
      <w:r w:rsidRPr="00456734">
        <w:rPr>
          <w:rFonts w:hint="cs"/>
          <w:rtl/>
        </w:rPr>
        <w:t>יש אומרים דאם החתן רוצה למכור נכסים תוך שנתיים, יורשים יכולים למחות מהאי טעמא (הגהות אלפסי פרק מציאת האשה). ועיין עוד מאלו הדינין לקמן </w:t>
      </w:r>
      <w:hyperlink r:id="rId86" w:tooltip="שולחן ערוך אבן העזר קיח" w:history="1">
        <w:r w:rsidRPr="00456734">
          <w:rPr>
            <w:rStyle w:val="Hyperlink"/>
            <w:rFonts w:hint="cs"/>
            <w:color w:val="7030A0"/>
            <w:u w:val="none"/>
            <w:rtl/>
          </w:rPr>
          <w:t>סימן קי"ח</w:t>
        </w:r>
      </w:hyperlink>
      <w:r w:rsidRPr="00456734">
        <w:t>:</w:t>
      </w:r>
    </w:p>
    <w:p w14:paraId="65BC11A5" w14:textId="5E34020A" w:rsidR="000832C5" w:rsidRDefault="000832C5" w:rsidP="000832C5">
      <w:pPr>
        <w:pStyle w:val="Style1"/>
        <w:rPr>
          <w:rtl/>
        </w:rPr>
      </w:pPr>
      <w:r>
        <w:rPr>
          <w:rFonts w:hint="cs"/>
          <w:rtl/>
        </w:rPr>
        <w:t>2)[</w:t>
      </w:r>
      <w:r>
        <w:rPr>
          <w:rtl/>
        </w:rPr>
        <w:t>רמב</w:t>
      </w:r>
      <w:r w:rsidR="00213DA1">
        <w:rPr>
          <w:rtl/>
        </w:rPr>
        <w:t>”ם \נשים\</w:t>
      </w:r>
      <w:r>
        <w:rPr>
          <w:rtl/>
        </w:rPr>
        <w:t xml:space="preserve"> הלכות אישות פרק יב הלכה ב</w:t>
      </w:r>
      <w:r>
        <w:rPr>
          <w:rFonts w:hint="cs"/>
          <w:rtl/>
        </w:rPr>
        <w:t xml:space="preserve">] </w:t>
      </w:r>
      <w:r>
        <w:rPr>
          <w:rtl/>
        </w:rPr>
        <w:t>והעשרה שלשה מהן מן התורה ואלו הן שארה כסותה ועונתה, שארה אלו מזונותיה, כסותה כמשמעה, עונתה לבא עליה כדרך כל הארץ: והשבעה מדברי סופרים וכולן תנאי בית דין הם, האחד מהם עיקר כתובה, והשאר הם הנקראין תנאי כתובה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p>
    <w:p w14:paraId="0861B4DD" w14:textId="0F78A136" w:rsidR="00790FD5" w:rsidRDefault="00790FD5" w:rsidP="00790FD5">
      <w:pPr>
        <w:pStyle w:val="Style1"/>
        <w:rPr>
          <w:rtl/>
        </w:rPr>
      </w:pPr>
      <w:r>
        <w:rPr>
          <w:rFonts w:hint="cs"/>
          <w:rtl/>
        </w:rPr>
        <w:t>2)[</w:t>
      </w:r>
      <w:r>
        <w:rPr>
          <w:rtl/>
        </w:rPr>
        <w:t>שולחן ערוך אבן העזר הלכות כתובות סימן סט סעיף ב</w:t>
      </w:r>
      <w:r>
        <w:rPr>
          <w:rFonts w:hint="cs"/>
          <w:rtl/>
        </w:rPr>
        <w:t xml:space="preserve">] </w:t>
      </w:r>
      <w:r>
        <w:rPr>
          <w:rtl/>
        </w:rPr>
        <w:t>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w:t>
      </w:r>
    </w:p>
    <w:p w14:paraId="37E456EE" w14:textId="77777777" w:rsidR="00456734" w:rsidRPr="00456734" w:rsidRDefault="00456734" w:rsidP="00456734">
      <w:pPr>
        <w:pStyle w:val="Style1"/>
        <w:rPr>
          <w:rStyle w:val="Style1Char"/>
        </w:rPr>
      </w:pPr>
    </w:p>
    <w:p w14:paraId="33837C85" w14:textId="5D043AD6" w:rsidR="00B44D06" w:rsidRPr="00456734" w:rsidRDefault="00B44D06" w:rsidP="00456734">
      <w:pPr>
        <w:pStyle w:val="Style1"/>
        <w:rPr>
          <w:rStyle w:val="Style1Char"/>
        </w:rPr>
      </w:pPr>
    </w:p>
    <w:p w14:paraId="1F3CD9A6" w14:textId="77777777" w:rsidR="000357F0" w:rsidRPr="00456734" w:rsidRDefault="000357F0" w:rsidP="00456734">
      <w:pPr>
        <w:pStyle w:val="Style1"/>
        <w:rPr>
          <w:rStyle w:val="Style1Char"/>
        </w:rPr>
      </w:pPr>
    </w:p>
    <w:p w14:paraId="7C766F98" w14:textId="77777777" w:rsidR="000357F0" w:rsidRPr="00456734" w:rsidRDefault="000357F0" w:rsidP="00456734">
      <w:pPr>
        <w:pStyle w:val="Style1"/>
        <w:rPr>
          <w:rStyle w:val="Style1Char"/>
          <w:rtl/>
        </w:rPr>
      </w:pPr>
    </w:p>
    <w:p w14:paraId="66A4268F" w14:textId="77777777" w:rsidR="000357F0" w:rsidRPr="004E5DBC" w:rsidRDefault="000357F0" w:rsidP="004E5DBC">
      <w:pPr>
        <w:pStyle w:val="Style1"/>
        <w:rPr>
          <w:rStyle w:val="Style1Char"/>
          <w:rtl/>
        </w:rPr>
      </w:pPr>
    </w:p>
    <w:p w14:paraId="42681E08" w14:textId="77777777" w:rsidR="000357F0" w:rsidRPr="003C295E" w:rsidRDefault="000357F0" w:rsidP="000357F0">
      <w:pPr>
        <w:bidi/>
        <w:rPr>
          <w:rStyle w:val="Style1Char"/>
          <w:color w:val="00B050"/>
          <w:rtl/>
        </w:rPr>
      </w:pPr>
    </w:p>
    <w:p w14:paraId="2F54E9D5" w14:textId="77777777" w:rsidR="000357F0" w:rsidRPr="001C750B" w:rsidRDefault="000357F0" w:rsidP="000357F0">
      <w:pPr>
        <w:bidi/>
        <w:rPr>
          <w:rStyle w:val="Style1Char"/>
          <w:color w:val="00B050"/>
          <w:rtl/>
        </w:rPr>
      </w:pPr>
    </w:p>
    <w:p w14:paraId="679B4A72" w14:textId="77777777" w:rsidR="000357F0" w:rsidRDefault="000357F0" w:rsidP="000357F0">
      <w:pPr>
        <w:rPr>
          <w:rStyle w:val="Style1Char"/>
          <w:color w:val="00B050"/>
          <w:rtl/>
        </w:rPr>
      </w:pPr>
      <w:r>
        <w:rPr>
          <w:rStyle w:val="Style1Char"/>
          <w:color w:val="00B050"/>
          <w:rtl/>
        </w:rPr>
        <w:br w:type="page"/>
      </w:r>
    </w:p>
    <w:p w14:paraId="4B83EED9" w14:textId="3458AAC8" w:rsidR="000357F0" w:rsidRPr="00CA48E0" w:rsidRDefault="000357F0" w:rsidP="000357F0">
      <w:pPr>
        <w:bidi/>
        <w:rPr>
          <w:rStyle w:val="Style1Char"/>
          <w:sz w:val="22"/>
          <w:szCs w:val="22"/>
        </w:rPr>
      </w:pPr>
      <w:r w:rsidRPr="002F2700">
        <w:rPr>
          <w:rStyle w:val="Style1Char"/>
          <w:color w:val="00B050"/>
          <w:sz w:val="22"/>
          <w:szCs w:val="22"/>
          <w:highlight w:val="yellow"/>
          <w:rtl/>
        </w:rPr>
        <w:lastRenderedPageBreak/>
        <w:t>[דף מח עמוד א]</w:t>
      </w:r>
      <w:r w:rsidRPr="002F2700">
        <w:rPr>
          <w:rStyle w:val="Style1Char"/>
          <w:color w:val="00B050"/>
          <w:sz w:val="22"/>
          <w:szCs w:val="22"/>
          <w:rtl/>
        </w:rPr>
        <w:t xml:space="preserve"> </w:t>
      </w:r>
      <w:r w:rsidRPr="002F2700">
        <w:rPr>
          <w:rStyle w:val="Style1Char"/>
          <w:color w:val="00B050"/>
          <w:rtl/>
        </w:rPr>
        <w:t xml:space="preserve">רבי אליעזר בן יעקב אומר: שארה כסותה - לפום שארה תן כסותה, שלא יתן לה לא של ילדה לזקינה ולא של זקינה לילדה; כסותה ועונתה - לפום עונתה תן כסותה, </w:t>
      </w:r>
      <w:r w:rsidR="005310CC">
        <w:rPr>
          <w:rStyle w:val="Style1Char"/>
          <w:rFonts w:hint="cs"/>
          <w:rtl/>
        </w:rPr>
        <w:t>(1)</w:t>
      </w:r>
      <w:r w:rsidRPr="002F2700">
        <w:rPr>
          <w:rStyle w:val="Style1Char"/>
          <w:color w:val="00B050"/>
          <w:rtl/>
        </w:rPr>
        <w:t xml:space="preserve">שלא יתן חדשים בימות החמה ולא שחקים בימות הגשמים. </w:t>
      </w:r>
      <w:r w:rsidRPr="00CA48E0">
        <w:rPr>
          <w:rStyle w:val="Style1Char"/>
          <w:rFonts w:hint="cs"/>
          <w:sz w:val="22"/>
          <w:szCs w:val="22"/>
          <w:rtl/>
        </w:rPr>
        <w:t>(</w:t>
      </w:r>
      <w:r w:rsidRPr="00CA48E0">
        <w:rPr>
          <w:rStyle w:val="Style1Char"/>
          <w:sz w:val="22"/>
          <w:szCs w:val="22"/>
          <w:rtl/>
        </w:rPr>
        <w:t xml:space="preserve">תני רב יוסף: שארה - זו קרוב בשר, שלא ינהג בה מנהג פרסיים, שמשמשין מטותיהן בלבושיהן. מסייע ליה לרב הונא, דאמר רב הונא: </w:t>
      </w:r>
      <w:r w:rsidR="006E1F23">
        <w:rPr>
          <w:rStyle w:val="Style1Char"/>
          <w:rFonts w:hint="cs"/>
          <w:rtl/>
        </w:rPr>
        <w:t>(2)</w:t>
      </w:r>
      <w:r w:rsidRPr="00CA48E0">
        <w:rPr>
          <w:rStyle w:val="Style1Char"/>
          <w:sz w:val="22"/>
          <w:szCs w:val="22"/>
          <w:rtl/>
        </w:rPr>
        <w:t>האומר אי אפשי אלא אני בבגדי והיא בבגדה - יוציא ונותן כתובה.</w:t>
      </w:r>
      <w:r>
        <w:rPr>
          <w:rStyle w:val="Style1Char"/>
          <w:rFonts w:hint="cs"/>
          <w:sz w:val="22"/>
          <w:szCs w:val="22"/>
          <w:rtl/>
        </w:rPr>
        <w:t>)</w:t>
      </w:r>
      <w:r w:rsidRPr="00CA48E0">
        <w:rPr>
          <w:rStyle w:val="Style1Char"/>
          <w:sz w:val="22"/>
          <w:szCs w:val="22"/>
          <w:rtl/>
        </w:rPr>
        <w:t xml:space="preserve"> </w:t>
      </w:r>
    </w:p>
    <w:p w14:paraId="1F6EE934" w14:textId="7C58A5DD" w:rsidR="000357F0" w:rsidRPr="00940F9B" w:rsidRDefault="000357F0" w:rsidP="000357F0">
      <w:pPr>
        <w:bidi/>
        <w:rPr>
          <w:rStyle w:val="Style1Char"/>
          <w:color w:val="auto"/>
          <w:sz w:val="22"/>
          <w:szCs w:val="22"/>
        </w:rPr>
      </w:pPr>
      <w:r w:rsidRPr="00207F02">
        <w:rPr>
          <w:rStyle w:val="Style1Char"/>
          <w:color w:val="auto"/>
          <w:sz w:val="22"/>
          <w:szCs w:val="22"/>
          <w:rtl/>
        </w:rPr>
        <w:t xml:space="preserve">רבי יהודה אומר: אפילו עני שבישראל וכו'. </w:t>
      </w:r>
      <w:r w:rsidRPr="002F2700">
        <w:rPr>
          <w:rStyle w:val="Style1Char"/>
          <w:color w:val="00B050"/>
          <w:rtl/>
        </w:rPr>
        <w:t xml:space="preserve">מכלל דת"ק סבר: הני לא, היכי דמי? אי דאורחה, מ"ט דת"ק דאמר לא? ואי דלאו אורחה, מ"ט דר"י? לא צריכא, </w:t>
      </w:r>
      <w:r w:rsidRPr="00EA388D">
        <w:rPr>
          <w:rStyle w:val="Style1Char"/>
          <w:color w:val="4472C4" w:themeColor="accent1"/>
          <w:sz w:val="22"/>
          <w:szCs w:val="22"/>
          <w:rtl/>
        </w:rPr>
        <w:t xml:space="preserve">ומסיק דפליגי </w:t>
      </w:r>
      <w:r w:rsidRPr="00EA388D">
        <w:rPr>
          <w:rStyle w:val="Style1Char"/>
          <w:color w:val="ED7D31" w:themeColor="accent2"/>
          <w:sz w:val="22"/>
          <w:szCs w:val="22"/>
          <w:rtl/>
        </w:rPr>
        <w:t>כגון דאורחיה דידיה ולאו אורחה דידה, ת"ק סבר: כי אמרינן עולה עמו ואינה יורדת עמו - הני מילי מחיים, אבל לאחר מיתה לא; ורבי יהודה סבר: אפילו לאחר מיתה</w:t>
      </w:r>
      <w:r w:rsidRPr="002F2700">
        <w:rPr>
          <w:rStyle w:val="Style1Char"/>
          <w:color w:val="00B050"/>
          <w:rtl/>
        </w:rPr>
        <w:t xml:space="preserve">. </w:t>
      </w:r>
      <w:r w:rsidRPr="00EA388D">
        <w:rPr>
          <w:rStyle w:val="Style1Char"/>
          <w:color w:val="auto"/>
          <w:sz w:val="22"/>
          <w:szCs w:val="22"/>
          <w:rtl/>
        </w:rPr>
        <w:t xml:space="preserve">אמר רב חסדא אמר מר עוקבא: הלכה כרבי יהודה. </w:t>
      </w:r>
      <w:r w:rsidRPr="00997F30">
        <w:rPr>
          <w:rStyle w:val="Style1Char"/>
          <w:color w:val="auto"/>
          <w:sz w:val="22"/>
          <w:szCs w:val="22"/>
          <w:rtl/>
        </w:rPr>
        <w:t xml:space="preserve">ואמר רב חסדא אמר מר עוקבא: </w:t>
      </w:r>
      <w:r w:rsidR="006F4211">
        <w:rPr>
          <w:rStyle w:val="Style1Char"/>
          <w:rFonts w:hint="cs"/>
          <w:rtl/>
        </w:rPr>
        <w:t>(2)</w:t>
      </w:r>
      <w:r w:rsidRPr="00997F30">
        <w:rPr>
          <w:rStyle w:val="Style1Char"/>
          <w:color w:val="auto"/>
          <w:sz w:val="22"/>
          <w:szCs w:val="22"/>
          <w:rtl/>
        </w:rPr>
        <w:t xml:space="preserve">מי שנשתטה, בית דין יורדין לנכסיו, וזנין ומפרנסין את אשתו </w:t>
      </w:r>
      <w:r w:rsidR="005E4C83">
        <w:rPr>
          <w:rStyle w:val="Style1Char"/>
          <w:rFonts w:hint="cs"/>
          <w:rtl/>
        </w:rPr>
        <w:t>(2.1, 3)</w:t>
      </w:r>
      <w:r w:rsidRPr="00997F30">
        <w:rPr>
          <w:rStyle w:val="Style1Char"/>
          <w:color w:val="auto"/>
          <w:sz w:val="22"/>
          <w:szCs w:val="22"/>
          <w:rtl/>
        </w:rPr>
        <w:t>ובניו ובנותיו ודבר אחר.</w:t>
      </w:r>
      <w:r w:rsidRPr="002F2700">
        <w:rPr>
          <w:rStyle w:val="Style1Char"/>
          <w:color w:val="00B050"/>
          <w:rtl/>
        </w:rPr>
        <w:t xml:space="preserve"> </w:t>
      </w:r>
      <w:r w:rsidRPr="00542C8F">
        <w:rPr>
          <w:rStyle w:val="Style1Char"/>
          <w:color w:val="ED7D31" w:themeColor="accent2"/>
          <w:rtl/>
        </w:rPr>
        <w:t>א"ל רבינא לרב אשי, מ"ש מהא ד</w:t>
      </w:r>
      <w:r w:rsidRPr="00542C8F">
        <w:rPr>
          <w:rStyle w:val="Style1Char"/>
          <w:color w:val="auto"/>
          <w:sz w:val="22"/>
          <w:szCs w:val="22"/>
          <w:rtl/>
        </w:rPr>
        <w:t>תניא:</w:t>
      </w:r>
      <w:r w:rsidRPr="00542C8F">
        <w:rPr>
          <w:rStyle w:val="Style1Char"/>
          <w:sz w:val="22"/>
          <w:szCs w:val="22"/>
          <w:rtl/>
        </w:rPr>
        <w:t xml:space="preserve"> </w:t>
      </w:r>
      <w:r w:rsidRPr="00542C8F">
        <w:rPr>
          <w:rStyle w:val="Style1Char"/>
          <w:color w:val="auto"/>
          <w:sz w:val="22"/>
          <w:szCs w:val="22"/>
          <w:rtl/>
        </w:rPr>
        <w:t xml:space="preserve">מי שהלך למדינת הים ואשתו תובעת מזונות, בית דין יורדין לנכסיו וזנין ומפרנסין </w:t>
      </w:r>
      <w:r w:rsidR="004D54A3">
        <w:rPr>
          <w:rStyle w:val="Style1Char"/>
          <w:rFonts w:hint="cs"/>
          <w:rtl/>
        </w:rPr>
        <w:t>(2.1, 3)</w:t>
      </w:r>
      <w:r w:rsidRPr="00542C8F">
        <w:rPr>
          <w:rStyle w:val="Style1Char"/>
          <w:color w:val="auto"/>
          <w:sz w:val="22"/>
          <w:szCs w:val="22"/>
          <w:rtl/>
        </w:rPr>
        <w:t xml:space="preserve">את אשתו, אבל לא בניו ובנותיו ולא דבר אחר </w:t>
      </w:r>
      <w:r w:rsidRPr="00D1716D">
        <w:rPr>
          <w:rStyle w:val="Style1Char"/>
          <w:color w:val="C00000"/>
          <w:sz w:val="22"/>
          <w:szCs w:val="22"/>
          <w:rtl/>
        </w:rPr>
        <w:t>ומ"ש מדמר עוקבא</w:t>
      </w:r>
      <w:r w:rsidRPr="00D1716D">
        <w:rPr>
          <w:rStyle w:val="Style1Char"/>
          <w:sz w:val="22"/>
          <w:szCs w:val="22"/>
          <w:rtl/>
        </w:rPr>
        <w:t xml:space="preserve">? </w:t>
      </w:r>
      <w:r w:rsidRPr="00263AC6">
        <w:rPr>
          <w:rStyle w:val="Style1Char"/>
          <w:color w:val="ED7D31" w:themeColor="accent2"/>
          <w:rtl/>
        </w:rPr>
        <w:t xml:space="preserve">א"ל: ולא שאני לך בין יוצא לדעת ליוצא שלא לדעת? </w:t>
      </w:r>
      <w:r w:rsidRPr="00D1716D">
        <w:rPr>
          <w:rStyle w:val="Style1Char"/>
          <w:color w:val="C00000"/>
          <w:sz w:val="22"/>
          <w:szCs w:val="22"/>
          <w:rtl/>
        </w:rPr>
        <w:t xml:space="preserve">התם שלא לדעת הכא יצא לדעת </w:t>
      </w:r>
      <w:r w:rsidRPr="00263AC6">
        <w:rPr>
          <w:rStyle w:val="Style1Char"/>
          <w:color w:val="auto"/>
          <w:sz w:val="22"/>
          <w:szCs w:val="22"/>
          <w:rtl/>
        </w:rPr>
        <w:t xml:space="preserve">מאי דבר אחר? רב חסדא אמר: </w:t>
      </w:r>
      <w:r w:rsidR="00052A30">
        <w:rPr>
          <w:rStyle w:val="Style1Char"/>
          <w:rFonts w:hint="cs"/>
          <w:rtl/>
        </w:rPr>
        <w:t>(4)</w:t>
      </w:r>
      <w:r w:rsidRPr="00263AC6">
        <w:rPr>
          <w:rStyle w:val="Style1Char"/>
          <w:color w:val="auto"/>
          <w:sz w:val="22"/>
          <w:szCs w:val="22"/>
          <w:rtl/>
        </w:rPr>
        <w:t xml:space="preserve">זה תכשיט, רב יוסף אמר: </w:t>
      </w:r>
      <w:r w:rsidR="00052A30">
        <w:rPr>
          <w:rStyle w:val="Style1Char"/>
          <w:rFonts w:hint="cs"/>
          <w:rtl/>
        </w:rPr>
        <w:t>(5)</w:t>
      </w:r>
      <w:r w:rsidRPr="00263AC6">
        <w:rPr>
          <w:rStyle w:val="Style1Char"/>
          <w:color w:val="auto"/>
          <w:sz w:val="22"/>
          <w:szCs w:val="22"/>
          <w:rtl/>
        </w:rPr>
        <w:t xml:space="preserve">צדקה. מ"ד תכשיט, כ"ש צדקה; מ"ד צדקה, אבל תכשיט יהבינן לה, דלא ניחא ליה דתינוול. אמר רב חייא בר אבין אמר רב הונא: </w:t>
      </w:r>
      <w:r w:rsidR="001E02A4">
        <w:rPr>
          <w:rStyle w:val="Style1Char"/>
          <w:rFonts w:hint="cs"/>
          <w:rtl/>
        </w:rPr>
        <w:t>(</w:t>
      </w:r>
      <w:r w:rsidR="00F20BE1">
        <w:rPr>
          <w:rStyle w:val="Style1Char"/>
          <w:rFonts w:hint="cs"/>
          <w:rtl/>
        </w:rPr>
        <w:t>3.2, 5, 6</w:t>
      </w:r>
      <w:r w:rsidR="001E02A4">
        <w:rPr>
          <w:rStyle w:val="Style1Char"/>
          <w:rFonts w:hint="cs"/>
          <w:rtl/>
        </w:rPr>
        <w:t>)</w:t>
      </w:r>
      <w:r w:rsidRPr="00263AC6">
        <w:rPr>
          <w:rStyle w:val="Style1Char"/>
          <w:color w:val="auto"/>
          <w:sz w:val="22"/>
          <w:szCs w:val="22"/>
          <w:rtl/>
        </w:rPr>
        <w:t xml:space="preserve">מי שהלך למדינת הים ומתה אשתו, ב"ד יורדין לנכסיו וקוברין אותה לפי כבודו. לפי כבודו ולא לפי כבודה? אימא: </w:t>
      </w:r>
      <w:r w:rsidR="001E02A4">
        <w:rPr>
          <w:rStyle w:val="Style1Char"/>
          <w:rFonts w:hint="cs"/>
          <w:rtl/>
        </w:rPr>
        <w:t>(</w:t>
      </w:r>
      <w:r w:rsidR="00F20BE1">
        <w:rPr>
          <w:rStyle w:val="Style1Char"/>
          <w:rFonts w:hint="cs"/>
          <w:rtl/>
        </w:rPr>
        <w:t>3.2, 5, 6</w:t>
      </w:r>
      <w:r w:rsidR="001E02A4">
        <w:rPr>
          <w:rStyle w:val="Style1Char"/>
          <w:rFonts w:hint="cs"/>
          <w:rtl/>
        </w:rPr>
        <w:t>)</w:t>
      </w:r>
      <w:r w:rsidRPr="00263AC6">
        <w:rPr>
          <w:rStyle w:val="Style1Char"/>
          <w:color w:val="auto"/>
          <w:sz w:val="22"/>
          <w:szCs w:val="22"/>
          <w:rtl/>
        </w:rPr>
        <w:t>אף לפי כבודו</w:t>
      </w:r>
      <w:r w:rsidRPr="00AC1EDC">
        <w:rPr>
          <w:rStyle w:val="Style1Char"/>
          <w:sz w:val="22"/>
          <w:szCs w:val="22"/>
          <w:rtl/>
        </w:rPr>
        <w:t xml:space="preserve">, </w:t>
      </w:r>
      <w:r w:rsidRPr="00C41B85">
        <w:rPr>
          <w:rStyle w:val="Style1Char"/>
          <w:color w:val="auto"/>
          <w:sz w:val="22"/>
          <w:szCs w:val="22"/>
          <w:rtl/>
        </w:rPr>
        <w:t>הא קמ"ל: עולה עמו ואינה יורדת עמו ואפילו לאחר מיתה. אמר רב מתנה: האומר אם מתה לא תקברוה מנכסיו - שומעין לו. מ"ש כי אמר? דנפלי נכסי קמי יתמי</w:t>
      </w:r>
      <w:r w:rsidRPr="00940F9B">
        <w:rPr>
          <w:rStyle w:val="Style1Char"/>
          <w:color w:val="4472C4" w:themeColor="accent1"/>
          <w:rtl/>
        </w:rPr>
        <w:t xml:space="preserve"> </w:t>
      </w:r>
      <w:r w:rsidRPr="00C81021">
        <w:rPr>
          <w:rStyle w:val="Style1Char"/>
          <w:color w:val="4472C4" w:themeColor="accent1"/>
          <w:rtl/>
        </w:rPr>
        <w:t>ואין היורשין חייבין בקבורתה דתנן אלמנה ניזונת מנכסי יתומים ומעשה ידיה שלהן מתה אין חייבין בקבורתה</w:t>
      </w:r>
      <w:r w:rsidRPr="00C41B85">
        <w:rPr>
          <w:rStyle w:val="Style1Char"/>
          <w:color w:val="auto"/>
          <w:sz w:val="22"/>
          <w:szCs w:val="22"/>
          <w:rtl/>
        </w:rPr>
        <w:t>, כי לא אמר, נמי נכסי קמי יתמי רמו!</w:t>
      </w:r>
      <w:r w:rsidRPr="00C41B85">
        <w:rPr>
          <w:rStyle w:val="Style1Char"/>
          <w:color w:val="auto"/>
          <w:rtl/>
        </w:rPr>
        <w:t xml:space="preserve"> </w:t>
      </w:r>
      <w:r w:rsidRPr="001D4E59">
        <w:rPr>
          <w:rStyle w:val="Style1Char"/>
          <w:color w:val="C00000"/>
          <w:rtl/>
        </w:rPr>
        <w:t xml:space="preserve">הלכך בין אמר בין לא אמר כיון דנפלו נכסי קמי יתמי לא קברינן לה מנכסי דיתמי ואין היתומים חייבים בקבורתה דהא תנן אלמנה ניזונת מנכסי יתומים ומעשה ידיה שלהן מתה אין חייבין בקבורתה </w:t>
      </w:r>
      <w:r w:rsidRPr="00940F9B">
        <w:rPr>
          <w:rStyle w:val="Style1Char"/>
          <w:color w:val="auto"/>
          <w:sz w:val="22"/>
          <w:szCs w:val="22"/>
          <w:rtl/>
        </w:rPr>
        <w:t xml:space="preserve">אלא, </w:t>
      </w:r>
      <w:r w:rsidR="00246985">
        <w:rPr>
          <w:rStyle w:val="Style1Char"/>
          <w:rFonts w:hint="cs"/>
          <w:rtl/>
        </w:rPr>
        <w:t>(7)</w:t>
      </w:r>
      <w:r w:rsidRPr="00940F9B">
        <w:rPr>
          <w:rStyle w:val="Style1Char"/>
          <w:color w:val="auto"/>
          <w:sz w:val="22"/>
          <w:szCs w:val="22"/>
          <w:rtl/>
        </w:rPr>
        <w:t xml:space="preserve">האומר אם מת הוא לא תקברוהו מנכסיו - אין שומעין לו, לאו כל הימנו שיעשיר את בניו ויפיל עצמו על הציבור. </w:t>
      </w:r>
    </w:p>
    <w:p w14:paraId="7CF538B8" w14:textId="76E283DE" w:rsidR="000357F0" w:rsidRDefault="000357F0" w:rsidP="000357F0">
      <w:pPr>
        <w:bidi/>
        <w:rPr>
          <w:rStyle w:val="Style1Char"/>
          <w:color w:val="auto"/>
          <w:sz w:val="22"/>
          <w:szCs w:val="22"/>
          <w:rtl/>
        </w:rPr>
      </w:pPr>
      <w:r w:rsidRPr="004018C9">
        <w:rPr>
          <w:rStyle w:val="Style1Char"/>
          <w:color w:val="auto"/>
          <w:sz w:val="22"/>
          <w:szCs w:val="22"/>
          <w:rtl/>
        </w:rPr>
        <w:t>מתני'. לעולם היא ברשות האב - עד שתכנס</w:t>
      </w:r>
    </w:p>
    <w:p w14:paraId="6AE9D75A" w14:textId="6C36AAFA" w:rsidR="00C07828" w:rsidRDefault="00C07828" w:rsidP="00C07828">
      <w:pPr>
        <w:pStyle w:val="Style1"/>
        <w:rPr>
          <w:rStyle w:val="Style1Char"/>
          <w:rtl/>
        </w:rPr>
      </w:pPr>
      <w:r>
        <w:rPr>
          <w:rStyle w:val="Style1Char"/>
          <w:rFonts w:hint="cs"/>
          <w:rtl/>
        </w:rPr>
        <w:t>1)[</w:t>
      </w:r>
      <w:r w:rsidRPr="00C07828">
        <w:rPr>
          <w:rStyle w:val="Style1Char"/>
          <w:rtl/>
        </w:rPr>
        <w:t>רמב</w:t>
      </w:r>
      <w:r w:rsidR="00213DA1">
        <w:rPr>
          <w:rStyle w:val="Style1Char"/>
          <w:rtl/>
        </w:rPr>
        <w:t>”ם \נשים\</w:t>
      </w:r>
      <w:r w:rsidRPr="00C07828">
        <w:rPr>
          <w:rStyle w:val="Style1Char"/>
          <w:rtl/>
        </w:rPr>
        <w:t xml:space="preserve"> הלכות אישות פרק יג הלכה א</w:t>
      </w:r>
      <w:r>
        <w:rPr>
          <w:rStyle w:val="Style1Char"/>
          <w:rFonts w:hint="cs"/>
          <w:rtl/>
        </w:rPr>
        <w:t xml:space="preserve">] </w:t>
      </w:r>
      <w:r w:rsidRPr="00C07828">
        <w:rPr>
          <w:rStyle w:val="Style1Char"/>
          <w:rtl/>
        </w:rPr>
        <w:t>כמה הכסות שהוא חייב ליתן לה, בגדים של חמשים זוז משנה לשנה ממטבע אותן הימים שנמצאו החמשים ששה דינרין ורביע דינר כסף, נותנין לה חדשים בימות הגשמים ולובשת בלאותיהן בימות החמה, והשחקים והם מותר הכסות הרי הן שלה כדי שתתכסה בהם בימי נדתה, ונותן לה חגור למתניה וכפה לראשה, ומנעל ממועד למועד.</w:t>
      </w:r>
    </w:p>
    <w:p w14:paraId="1F91A8AF" w14:textId="77777777" w:rsidR="00414C14" w:rsidRPr="00414C14" w:rsidRDefault="002F38BB" w:rsidP="00414C14">
      <w:pPr>
        <w:pStyle w:val="Style1"/>
      </w:pPr>
      <w:r>
        <w:rPr>
          <w:rStyle w:val="Style1Char"/>
          <w:rFonts w:hint="cs"/>
          <w:rtl/>
        </w:rPr>
        <w:t>1)[</w:t>
      </w:r>
      <w:r w:rsidRPr="002F38BB">
        <w:rPr>
          <w:rStyle w:val="Style1Char"/>
          <w:rtl/>
        </w:rPr>
        <w:t>שולחן ערוך אבן העזר הלכות כתובות סימן עג סעיף א</w:t>
      </w:r>
      <w:r>
        <w:rPr>
          <w:rStyle w:val="Style1Char"/>
          <w:rFonts w:hint="cs"/>
          <w:rtl/>
        </w:rPr>
        <w:t>]</w:t>
      </w:r>
      <w:r w:rsidR="00414C14">
        <w:rPr>
          <w:rStyle w:val="Style1Char"/>
          <w:rFonts w:hint="cs"/>
          <w:rtl/>
        </w:rPr>
        <w:t xml:space="preserve"> </w:t>
      </w:r>
      <w:r w:rsidR="00414C14" w:rsidRPr="00414C14">
        <w:rPr>
          <w:rtl/>
        </w:rPr>
        <w:t>כסותה כיצד, חייב לתן לה בגדים הראויים לה בימות הגשמים ובימות החמה, בפחות שלובשת כל אשה בעלת בית שבאותה המדינה. ואם באותו מקום אין דרך לצאת אשה לשוק עד שיהיה עליה רדיד החופה את כל גופה, נותן לה רדיד הפחות שבכל הרדידין</w:t>
      </w:r>
      <w:r w:rsidR="00414C14" w:rsidRPr="00414C14">
        <w:t>. </w:t>
      </w:r>
      <w:r w:rsidR="00414C14" w:rsidRPr="00414C14">
        <w:rPr>
          <w:rFonts w:hint="cs"/>
          <w:rtl/>
        </w:rPr>
        <w:t>ואשה לא תרגיל עצמה לצאת הרבה, שאין יופי לאשה אלא לישב בזויות ביתה (טור)</w:t>
      </w:r>
      <w:r w:rsidR="00414C14" w:rsidRPr="00414C14">
        <w:t>.</w:t>
      </w:r>
    </w:p>
    <w:p w14:paraId="320114AC" w14:textId="40F09834" w:rsidR="00414C14" w:rsidRDefault="00414C14" w:rsidP="00414C14">
      <w:pPr>
        <w:pStyle w:val="Style1"/>
        <w:rPr>
          <w:rtl/>
        </w:rPr>
      </w:pPr>
      <w:r w:rsidRPr="00414C14">
        <w:rPr>
          <w:rtl/>
        </w:rPr>
        <w:t>ובכלל הכסות שהוא חייב לתן לה, כלי בית, ומדור שיושבת בו. ומה הם כלי בית, מטה מצעת ומפץ</w:t>
      </w:r>
      <w:r w:rsidRPr="00414C14">
        <w:t xml:space="preserve"> (</w:t>
      </w:r>
      <w:r w:rsidRPr="00414C14">
        <w:rPr>
          <w:rtl/>
        </w:rPr>
        <w:t>פרוש, כעין מחצלת</w:t>
      </w:r>
      <w:r w:rsidRPr="00414C14">
        <w:t xml:space="preserve">) </w:t>
      </w:r>
      <w:r w:rsidRPr="00414C14">
        <w:rPr>
          <w:rtl/>
        </w:rPr>
        <w:t>או מחצלת לישב עליה, וכלי אכילה ושתיה כגון קדרה וקערה וחבית ופך ונר וכוס ובקבוק וכיוצא בהן</w:t>
      </w:r>
      <w:r w:rsidRPr="00414C14">
        <w:t>:</w:t>
      </w:r>
    </w:p>
    <w:p w14:paraId="31D631A7" w14:textId="474F6CB3" w:rsidR="002A7BEA" w:rsidRPr="002A7BEA" w:rsidRDefault="00E60A8C" w:rsidP="002A7BEA">
      <w:pPr>
        <w:pStyle w:val="Style1"/>
      </w:pPr>
      <w:r>
        <w:rPr>
          <w:rFonts w:hint="cs"/>
          <w:rtl/>
        </w:rPr>
        <w:t>2)[</w:t>
      </w:r>
      <w:r>
        <w:rPr>
          <w:rtl/>
        </w:rPr>
        <w:t>שולחן ערוך אבן העזר הלכות כתובות סימן עו סעיף יג</w:t>
      </w:r>
      <w:r>
        <w:rPr>
          <w:rFonts w:hint="cs"/>
          <w:rtl/>
        </w:rPr>
        <w:t>]</w:t>
      </w:r>
      <w:r w:rsidR="002A7BEA">
        <w:rPr>
          <w:rFonts w:hint="cs"/>
          <w:rtl/>
        </w:rPr>
        <w:t xml:space="preserve"> </w:t>
      </w:r>
      <w:r w:rsidR="002A7BEA" w:rsidRPr="002A7BEA">
        <w:rPr>
          <w:rtl/>
        </w:rPr>
        <w:t>האומר: אי אפשי אלא אני בבגדי והיא בבגדה, יוציא ויתן כתובה; וכל שכן אם אינו נזקק לה כלל</w:t>
      </w:r>
      <w:r w:rsidR="002A7BEA" w:rsidRPr="002A7BEA">
        <w:t>.</w:t>
      </w:r>
    </w:p>
    <w:p w14:paraId="013BAAD0" w14:textId="7D965E53" w:rsidR="002A7BEA" w:rsidRDefault="002A7BEA" w:rsidP="002A7BEA">
      <w:pPr>
        <w:pStyle w:val="Style1"/>
        <w:rPr>
          <w:rtl/>
        </w:rPr>
      </w:pPr>
      <w:r w:rsidRPr="002A7BEA">
        <w:rPr>
          <w:rFonts w:hint="cs"/>
          <w:rtl/>
        </w:rPr>
        <w:t>וכן היא אומרת: אי אפשי אלא אני בבגדי והוא בבגדו, תצא בלא כתובה (בית יוסף בשם הריטב"א)</w:t>
      </w:r>
      <w:r w:rsidRPr="002A7BEA">
        <w:t>:</w:t>
      </w:r>
    </w:p>
    <w:p w14:paraId="0CAD86EC" w14:textId="226C0DA6" w:rsidR="00A52AF4" w:rsidRDefault="00A52AF4" w:rsidP="00A52AF4">
      <w:pPr>
        <w:pStyle w:val="Style1"/>
        <w:rPr>
          <w:rtl/>
        </w:rPr>
      </w:pPr>
      <w:r>
        <w:rPr>
          <w:rFonts w:hint="cs"/>
          <w:rtl/>
        </w:rPr>
        <w:t>3)[</w:t>
      </w:r>
      <w:r>
        <w:rPr>
          <w:rtl/>
        </w:rPr>
        <w:t>רמב</w:t>
      </w:r>
      <w:r w:rsidR="00213DA1">
        <w:rPr>
          <w:rtl/>
        </w:rPr>
        <w:t>”ם \נשים\</w:t>
      </w:r>
      <w:r>
        <w:rPr>
          <w:rtl/>
        </w:rPr>
        <w:t xml:space="preserve"> הלכות אישות פרק יב הלכה יז</w:t>
      </w:r>
      <w:r>
        <w:rPr>
          <w:rFonts w:hint="cs"/>
          <w:rtl/>
        </w:rPr>
        <w:t xml:space="preserve">] </w:t>
      </w:r>
      <w:r>
        <w:rPr>
          <w:rtl/>
        </w:rPr>
        <w:t>וכשם שבית דין מוכרין למזון האשה שהלך בעלה כך מוכרין למזון בניו ובנותיו שהן בני שש שנים או פחות, אבל יתר על שש אינן זנין אותן מנכסיו שלא בפניו אף על פי שהוא אמוד, וכן מי שנשתטה בית דין יורדין לנכסיו ומוכרין וזנין אשתו ובניו ובנותיו שהן בני שש שנים או פחות ומפרנסין אותן.</w:t>
      </w:r>
    </w:p>
    <w:p w14:paraId="4EF1D1EB" w14:textId="63BE7CBF" w:rsidR="00277726" w:rsidRDefault="00277726" w:rsidP="00277726">
      <w:pPr>
        <w:pStyle w:val="Style1"/>
        <w:rPr>
          <w:rtl/>
        </w:rPr>
      </w:pPr>
      <w:r>
        <w:rPr>
          <w:rFonts w:hint="cs"/>
          <w:rtl/>
        </w:rPr>
        <w:t>3)[</w:t>
      </w:r>
      <w:r>
        <w:rPr>
          <w:rtl/>
        </w:rPr>
        <w:t>שולחן ערוך אבן העזר הלכות כתובות סימן ע סעיף ו</w:t>
      </w:r>
      <w:r>
        <w:rPr>
          <w:rFonts w:hint="cs"/>
          <w:rtl/>
        </w:rPr>
        <w:t xml:space="preserve">] </w:t>
      </w:r>
      <w:r>
        <w:rPr>
          <w:rtl/>
        </w:rPr>
        <w:t>מי שנשתטה או נתחרש, פוסקין לאשתו תכשיט (ומפרנסין את אשתו מנכסיו).</w:t>
      </w:r>
    </w:p>
    <w:p w14:paraId="1DC49710" w14:textId="031783AB" w:rsidR="002078C5" w:rsidRDefault="002078C5" w:rsidP="000C7D71">
      <w:pPr>
        <w:pStyle w:val="Style1"/>
        <w:rPr>
          <w:rtl/>
        </w:rPr>
      </w:pPr>
      <w:r>
        <w:rPr>
          <w:rFonts w:hint="cs"/>
          <w:rtl/>
        </w:rPr>
        <w:t>4)[</w:t>
      </w:r>
      <w:r>
        <w:rPr>
          <w:rtl/>
        </w:rPr>
        <w:t>שולחן ערוך אבן העזר הלכות כתובות סימן עא סעיף ג</w:t>
      </w:r>
      <w:r>
        <w:rPr>
          <w:rFonts w:hint="cs"/>
          <w:rtl/>
        </w:rPr>
        <w:t>]</w:t>
      </w:r>
      <w:r w:rsidR="000C7D71">
        <w:rPr>
          <w:rFonts w:hint="cs"/>
          <w:rtl/>
        </w:rPr>
        <w:t xml:space="preserve"> </w:t>
      </w:r>
      <w:r>
        <w:rPr>
          <w:rtl/>
        </w:rPr>
        <w:t>מי שנשתטה, מפרנסים מנכסיו בניו ובנותיו, אפילו הן יתרין על שש, עד שיגדלו.</w:t>
      </w:r>
    </w:p>
    <w:p w14:paraId="5C8F5DD6" w14:textId="7AE59F07" w:rsidR="007C21DD" w:rsidRPr="007C21DD" w:rsidRDefault="00740341" w:rsidP="007C21DD">
      <w:pPr>
        <w:pStyle w:val="Style1"/>
      </w:pPr>
      <w:r>
        <w:rPr>
          <w:rFonts w:hint="cs"/>
          <w:rtl/>
        </w:rPr>
        <w:t>5)[</w:t>
      </w:r>
      <w:r>
        <w:rPr>
          <w:rtl/>
        </w:rPr>
        <w:t>שולחן ערוך אבן העזר הלכות כתובות סימן ע סעיף ה</w:t>
      </w:r>
      <w:r>
        <w:rPr>
          <w:rFonts w:hint="cs"/>
          <w:rtl/>
        </w:rPr>
        <w:t>]</w:t>
      </w:r>
      <w:r w:rsidR="007C21DD">
        <w:rPr>
          <w:rFonts w:hint="cs"/>
          <w:rtl/>
        </w:rPr>
        <w:t xml:space="preserve"> </w:t>
      </w:r>
      <w:r w:rsidR="007C21DD" w:rsidRPr="007C21DD">
        <w:rPr>
          <w:rtl/>
        </w:rPr>
        <w:t>מי שהלך למדינת הים ובאה אשתו לבית דין לתבוע מזונות, שלשה חדשים הראשונים מיום הליכתו אין פוסקים לה בהם מזונות, שחזקה אין אדם מניח ביתו ריקן</w:t>
      </w:r>
      <w:r w:rsidR="007C21DD" w:rsidRPr="007C21DD">
        <w:t>.</w:t>
      </w:r>
    </w:p>
    <w:p w14:paraId="030FC3A5" w14:textId="77777777" w:rsidR="007C21DD" w:rsidRPr="007C21DD" w:rsidRDefault="007C21DD" w:rsidP="007C21DD">
      <w:pPr>
        <w:pStyle w:val="Style1"/>
      </w:pPr>
      <w:r w:rsidRPr="007C21DD">
        <w:rPr>
          <w:rFonts w:hint="cs"/>
          <w:rtl/>
        </w:rPr>
        <w:t>הגה: אבל אם שתקה יותר, ותבעה אחר כך, אין פוסקין לה למפרע, רק מיום התביעה אפילו החמיצו הבית דין את הדין (הר"ן פרק שני דיני גזרות). ויש אומרים דאם נפרד ממנה בקטטה, ורוצה לעגנה, פוסקין לה לאלתר, דודאי הניח ביתו ריקן (מרדכי ריש דיני גזרות)</w:t>
      </w:r>
      <w:r w:rsidRPr="007C21DD">
        <w:t>.</w:t>
      </w:r>
    </w:p>
    <w:p w14:paraId="0ED14FCF" w14:textId="4BB2FDE6" w:rsidR="007C21DD" w:rsidRDefault="007C21DD" w:rsidP="007C21DD">
      <w:pPr>
        <w:pStyle w:val="Style1"/>
        <w:rPr>
          <w:rtl/>
        </w:rPr>
      </w:pPr>
      <w:r w:rsidRPr="007C21DD">
        <w:rPr>
          <w:rtl/>
        </w:rPr>
        <w:t>מכאן ואילך, אפילו אין כתובתה בידה פוסקים לה מזונות, אבל אין נותנים לה במה שתתקשט. ואם היו לו נכסים, בית דין יורדים לנכסיו ומוכרים למזונותיה, אפילו לא שמעו בו שמת. ואין מחשבים עמה על מעשה ידיה, עד שיבוא בעלה, אם מצא שעשתה הרי אלו שלו. וכן אם לא עמדה בדין, אלא מכרה לעצמה למזונות, מכרה קיים, ואינה צריכה הכרזה ולא שבועה, עד שיבוא בעלה ויטען, או עד שתבוא לגבות כתובתה אחר מותו, מגלגלין עליה שלא מכרה אלא למזונות שהיא צריכה להם</w:t>
      </w:r>
      <w:r w:rsidRPr="007C21DD">
        <w:t>:</w:t>
      </w:r>
    </w:p>
    <w:p w14:paraId="2CC34197" w14:textId="102E4B7D" w:rsidR="008B32E5" w:rsidRDefault="008B32E5" w:rsidP="008B32E5">
      <w:pPr>
        <w:pStyle w:val="Style1"/>
        <w:rPr>
          <w:rtl/>
        </w:rPr>
      </w:pPr>
      <w:r>
        <w:rPr>
          <w:rFonts w:hint="cs"/>
          <w:rtl/>
        </w:rPr>
        <w:t>6)[</w:t>
      </w:r>
      <w:r>
        <w:rPr>
          <w:rtl/>
        </w:rPr>
        <w:t>רמב</w:t>
      </w:r>
      <w:r w:rsidR="00213DA1">
        <w:rPr>
          <w:rtl/>
        </w:rPr>
        <w:t>”ם \נשים\</w:t>
      </w:r>
      <w:r>
        <w:rPr>
          <w:rtl/>
        </w:rPr>
        <w:t xml:space="preserve"> הלכות אישות פרק יג הלכה ז</w:t>
      </w:r>
      <w:r>
        <w:rPr>
          <w:rFonts w:hint="cs"/>
          <w:rtl/>
        </w:rPr>
        <w:t xml:space="preserve">] </w:t>
      </w:r>
      <w:r>
        <w:rPr>
          <w:rtl/>
        </w:rPr>
        <w:t>האשה שהלך בעלה ופסקו לה בית דין מזונות וכסות וכלי בית ושכר מדור אין פוסקין לה תכשיט שהרי אין לה בעל שתתקשט לו, אבל מי שנשתטה בעלה או שנתחרש פוסקין לה תכשיט, ודין הבעל עם אשתו בטענת הכסות והכלים ושכר המדור כדינם בטענת המזונות אם אמר הוא נתתי והיא אומרת לא נתת דין אחד לכל.</w:t>
      </w:r>
    </w:p>
    <w:p w14:paraId="612DA77D" w14:textId="1091F6D7" w:rsidR="00F54850" w:rsidRDefault="00F54850" w:rsidP="00F54850">
      <w:pPr>
        <w:pStyle w:val="Style1"/>
        <w:rPr>
          <w:rtl/>
        </w:rPr>
      </w:pPr>
      <w:r>
        <w:rPr>
          <w:rFonts w:hint="cs"/>
          <w:rtl/>
        </w:rPr>
        <w:t>7)[</w:t>
      </w:r>
      <w:r>
        <w:rPr>
          <w:rtl/>
        </w:rPr>
        <w:t>רמב</w:t>
      </w:r>
      <w:r w:rsidR="00C764B2">
        <w:rPr>
          <w:rtl/>
        </w:rPr>
        <w:t>”ם \קנין\</w:t>
      </w:r>
      <w:r>
        <w:rPr>
          <w:rtl/>
        </w:rPr>
        <w:t xml:space="preserve"> הלכות זכיה ומתנה פרק יא הלכה כד</w:t>
      </w:r>
      <w:r>
        <w:rPr>
          <w:rFonts w:hint="cs"/>
          <w:rtl/>
        </w:rPr>
        <w:t xml:space="preserve">] </w:t>
      </w:r>
      <w:r>
        <w:rPr>
          <w:rtl/>
        </w:rPr>
        <w:t>שכיב מרע שצוה ואמר אל תספדוהו, אין סופדין אותו, אל תקברוהו מנכסיו, אין שומעין לו שיחוס על ממון בניו ויפיל עצמו על הצבור, שאסור להניחו בלא קבורה, אלא כופין את היורשין לקוברו מנכסיו.</w:t>
      </w:r>
    </w:p>
    <w:p w14:paraId="1A58E078" w14:textId="471ECF02" w:rsidR="009076C5" w:rsidRDefault="009076C5" w:rsidP="009076C5">
      <w:pPr>
        <w:pStyle w:val="Style1"/>
        <w:rPr>
          <w:rtl/>
        </w:rPr>
      </w:pPr>
      <w:r>
        <w:rPr>
          <w:rFonts w:hint="cs"/>
          <w:rtl/>
        </w:rPr>
        <w:lastRenderedPageBreak/>
        <w:t>7)[</w:t>
      </w:r>
      <w:r>
        <w:rPr>
          <w:rtl/>
        </w:rPr>
        <w:t>שולחן ערוך יורה דעה הלכות אבילות סימן שמח סעיף ב</w:t>
      </w:r>
      <w:r>
        <w:rPr>
          <w:rFonts w:hint="cs"/>
          <w:rtl/>
        </w:rPr>
        <w:t xml:space="preserve">] </w:t>
      </w:r>
      <w:r>
        <w:rPr>
          <w:rtl/>
        </w:rPr>
        <w:t>האומר: אל תקברוהו מנכסיו, אין שומעין לו, אלא מוציאין מיורשיו כל צרכי קבורתו בעל כרחו, וכן כל מה שרגילין לעשות לבני משפחתו, ואפילו האבן שנותנין על הקבר; והוא שירשו ממון מאביהם.</w:t>
      </w:r>
    </w:p>
    <w:p w14:paraId="03F85440" w14:textId="097248E3" w:rsidR="002E51D9" w:rsidRPr="007C21DD" w:rsidRDefault="002E51D9" w:rsidP="002E51D9">
      <w:pPr>
        <w:pStyle w:val="Style1"/>
      </w:pPr>
      <w:r>
        <w:rPr>
          <w:rFonts w:hint="cs"/>
          <w:rtl/>
        </w:rPr>
        <w:t>7)[</w:t>
      </w:r>
      <w:r>
        <w:rPr>
          <w:rtl/>
        </w:rPr>
        <w:t>שולחן ערוך חושן משפט הלכות מתנת שכיב מרע סימן רנג סעיף ל</w:t>
      </w:r>
      <w:r>
        <w:rPr>
          <w:rFonts w:hint="cs"/>
          <w:rtl/>
        </w:rPr>
        <w:t xml:space="preserve">] </w:t>
      </w:r>
      <w:r>
        <w:rPr>
          <w:rtl/>
        </w:rPr>
        <w:t>שכיב מרע שצוה ואמר: אל תספדוהו, אין סופדין אותו. אמר: אל תקברוהו מנכסיו, אין שומעין לו, אלא כופין את היורשים לקברו מנכסיו.</w:t>
      </w:r>
    </w:p>
    <w:p w14:paraId="690BCFC4" w14:textId="686F6B4F" w:rsidR="00E60A8C" w:rsidRPr="007C21DD" w:rsidRDefault="00E60A8C" w:rsidP="00E60A8C">
      <w:pPr>
        <w:pStyle w:val="Style1"/>
      </w:pPr>
    </w:p>
    <w:p w14:paraId="66B10E01" w14:textId="6E82CED1" w:rsidR="002F38BB" w:rsidRPr="00414C14" w:rsidRDefault="002F38BB" w:rsidP="00414C14">
      <w:pPr>
        <w:pStyle w:val="Style1"/>
        <w:rPr>
          <w:rStyle w:val="Style1Char"/>
        </w:rPr>
      </w:pPr>
    </w:p>
    <w:p w14:paraId="44A8F3A8" w14:textId="2A8BB382" w:rsidR="002F38BB" w:rsidRPr="00C07828" w:rsidRDefault="002F38BB" w:rsidP="002F38BB">
      <w:pPr>
        <w:pStyle w:val="Style1"/>
        <w:rPr>
          <w:rStyle w:val="Style1Char"/>
        </w:rPr>
      </w:pPr>
    </w:p>
    <w:p w14:paraId="668DD9F6" w14:textId="77777777" w:rsidR="000357F0" w:rsidRPr="00965902" w:rsidRDefault="000357F0" w:rsidP="000357F0">
      <w:pPr>
        <w:bidi/>
        <w:rPr>
          <w:rStyle w:val="Style1Char"/>
          <w:color w:val="00B050"/>
          <w:rtl/>
        </w:rPr>
      </w:pPr>
    </w:p>
    <w:p w14:paraId="6AEF9A97" w14:textId="77777777" w:rsidR="000357F0" w:rsidRDefault="000357F0" w:rsidP="000357F0">
      <w:pPr>
        <w:rPr>
          <w:rStyle w:val="Style1Char"/>
          <w:color w:val="00B050"/>
          <w:rtl/>
        </w:rPr>
      </w:pPr>
      <w:r>
        <w:rPr>
          <w:rStyle w:val="Style1Char"/>
          <w:color w:val="00B050"/>
          <w:rtl/>
        </w:rPr>
        <w:br w:type="page"/>
      </w:r>
    </w:p>
    <w:p w14:paraId="050A8619" w14:textId="77777777" w:rsidR="000357F0" w:rsidRPr="004018C9" w:rsidRDefault="000357F0" w:rsidP="000357F0">
      <w:pPr>
        <w:bidi/>
        <w:rPr>
          <w:rStyle w:val="Style1Char"/>
          <w:color w:val="auto"/>
          <w:sz w:val="22"/>
          <w:szCs w:val="22"/>
        </w:rPr>
      </w:pPr>
      <w:r w:rsidRPr="004018C9">
        <w:rPr>
          <w:rStyle w:val="Style1Char"/>
          <w:color w:val="auto"/>
          <w:sz w:val="22"/>
          <w:szCs w:val="22"/>
          <w:rtl/>
        </w:rPr>
        <w:lastRenderedPageBreak/>
        <w:t xml:space="preserve"> </w:t>
      </w:r>
      <w:r w:rsidRPr="004018C9">
        <w:rPr>
          <w:rStyle w:val="Style1Char"/>
          <w:color w:val="auto"/>
          <w:sz w:val="22"/>
          <w:szCs w:val="22"/>
          <w:highlight w:val="yellow"/>
          <w:rtl/>
        </w:rPr>
        <w:t>[דף מח עמוד ב]</w:t>
      </w:r>
      <w:r w:rsidRPr="004018C9">
        <w:rPr>
          <w:rStyle w:val="Style1Char"/>
          <w:color w:val="auto"/>
          <w:sz w:val="22"/>
          <w:szCs w:val="22"/>
          <w:rtl/>
        </w:rPr>
        <w:t xml:space="preserve"> לרשות הבעל לנשואין. מסר האב לשלוחי הבעל - הרי היא ברשות הבעל. הלך האב עם שלוחי הבעל, או שהלכו שלוחי האב עם שלוחי הבעל - הרי היא ברשות האב. מסרו שלוחי האב לשלוחי הבעל - הרי היא ברשות הבעל. </w:t>
      </w:r>
    </w:p>
    <w:p w14:paraId="7FC72EA4" w14:textId="77777777" w:rsidR="000357F0" w:rsidRPr="001A7389" w:rsidRDefault="000357F0" w:rsidP="000357F0">
      <w:pPr>
        <w:bidi/>
        <w:rPr>
          <w:rStyle w:val="Style1Char"/>
          <w:color w:val="806000" w:themeColor="accent4" w:themeShade="80"/>
          <w:sz w:val="22"/>
          <w:szCs w:val="22"/>
        </w:rPr>
      </w:pPr>
      <w:r w:rsidRPr="001A7389">
        <w:rPr>
          <w:rStyle w:val="Style1Char"/>
          <w:color w:val="auto"/>
          <w:sz w:val="22"/>
          <w:szCs w:val="22"/>
          <w:rtl/>
        </w:rPr>
        <w:t xml:space="preserve">גמ'. מאי לעולם? לאפוקי ממשנה ראשונה, דתנן: הגיע זמן ולא נישאו - אוכלות משלו ואוכלות בתרומה, קמ"ל: לעולם. </w:t>
      </w:r>
      <w:r w:rsidRPr="001A7389">
        <w:rPr>
          <w:rStyle w:val="Style1Char"/>
          <w:color w:val="806000" w:themeColor="accent4" w:themeShade="80"/>
          <w:sz w:val="22"/>
          <w:szCs w:val="22"/>
          <w:rtl/>
        </w:rPr>
        <w:t>דאין האשה אוכלת בתרומה עד שתכנס לחופה כמשנה אחרונה דתנן ובית דין של אחריהן אמרו אין האשה אוכלת בתרומה עד שתכנס לחופה</w:t>
      </w:r>
    </w:p>
    <w:p w14:paraId="17554750" w14:textId="2C667F31" w:rsidR="000357F0" w:rsidRDefault="000357F0" w:rsidP="000357F0">
      <w:pPr>
        <w:bidi/>
        <w:rPr>
          <w:rStyle w:val="Style1Char"/>
          <w:color w:val="00B050"/>
          <w:rtl/>
        </w:rPr>
      </w:pPr>
      <w:r w:rsidRPr="002F2700">
        <w:rPr>
          <w:rStyle w:val="Style1Char"/>
          <w:color w:val="00B050"/>
          <w:rtl/>
        </w:rPr>
        <w:t xml:space="preserve">מסר האב לשלוחי הבעל - הרי היא ברשות הבעל וכו'. אמר רב: מסירתה לכל, חוץ מתרומה; ורב אסי אמר: אף לתרומה. איתיביה רב הונא לרב אסי, ואמרי לה חייא בר רב לרב אסי: לעולם היא ברשות האב עד שתכנס לחופה! אמר להו רב: לאו אמינא לכו לא תיזלו בתר איפכא? יכול לשנויי לכו: מסירתה זו היא כניסתה לחופה. ושמואל אמר: לירושתה, ר"ל אמר: לכתובתה. כתובתה מאי היא? דאי מתה ירית לה, היינו דשמואל? אמר רבינא, לומר: כתובתה מאחר מנה. רבי יוחנן ורבי חנינא דאמרי תרוייהו: מסירתה לכל, אף לתרומה. מיתיבי: </w:t>
      </w:r>
      <w:r w:rsidRPr="001A7389">
        <w:rPr>
          <w:rStyle w:val="Style1Char"/>
          <w:color w:val="806000" w:themeColor="accent4" w:themeShade="80"/>
          <w:sz w:val="22"/>
          <w:szCs w:val="22"/>
          <w:rtl/>
        </w:rPr>
        <w:t>ת"ר</w:t>
      </w:r>
      <w:r w:rsidRPr="001A7389">
        <w:rPr>
          <w:rStyle w:val="Style1Char"/>
          <w:color w:val="806000" w:themeColor="accent4" w:themeShade="80"/>
          <w:sz w:val="32"/>
          <w:szCs w:val="32"/>
          <w:rtl/>
        </w:rPr>
        <w:t xml:space="preserve"> </w:t>
      </w:r>
      <w:r w:rsidR="00354615">
        <w:rPr>
          <w:rStyle w:val="Style1Char"/>
          <w:rFonts w:hint="cs"/>
          <w:rtl/>
        </w:rPr>
        <w:t>(1)</w:t>
      </w:r>
      <w:r w:rsidRPr="00286A7C">
        <w:rPr>
          <w:rStyle w:val="Style1Char"/>
          <w:color w:val="auto"/>
          <w:sz w:val="22"/>
          <w:szCs w:val="22"/>
          <w:rtl/>
        </w:rPr>
        <w:t>הלך האב עם שלוחי הבעל, או שהלכו שלוחי האב עם שלוחי הבעל, או שהיתה לה חצר בדרך ונכנסה עמו ללין, אף על פי שכתובתה בבית בעלה, מתה - אביה יורשה; מסר האב לשלוחי הבעל, או שמסרו שלוחי האב לשלוחי הבעל, או שהיתה לו חצר בדרך ונכנסה עמו</w:t>
      </w:r>
      <w:r w:rsidRPr="00286A7C">
        <w:rPr>
          <w:rStyle w:val="Style1Char"/>
          <w:color w:val="auto"/>
          <w:rtl/>
        </w:rPr>
        <w:t xml:space="preserve"> </w:t>
      </w:r>
      <w:r w:rsidRPr="0023306C">
        <w:rPr>
          <w:rStyle w:val="Style1Char"/>
          <w:color w:val="C00000"/>
          <w:sz w:val="22"/>
          <w:szCs w:val="22"/>
          <w:rtl/>
        </w:rPr>
        <w:t xml:space="preserve">ללון שם </w:t>
      </w:r>
      <w:r w:rsidRPr="00286A7C">
        <w:rPr>
          <w:rStyle w:val="Style1Char"/>
          <w:color w:val="auto"/>
          <w:sz w:val="22"/>
          <w:szCs w:val="22"/>
          <w:rtl/>
        </w:rPr>
        <w:t xml:space="preserve">לשום נישואין, אף על פי שכתובתה בבית אביה, מתה - בעלה יורשה; בד"א - לירושתה, </w:t>
      </w:r>
      <w:r w:rsidR="0018658C">
        <w:rPr>
          <w:rStyle w:val="Style1Char"/>
          <w:rFonts w:hint="cs"/>
          <w:rtl/>
        </w:rPr>
        <w:t>(2)</w:t>
      </w:r>
      <w:r w:rsidRPr="00286A7C">
        <w:rPr>
          <w:rStyle w:val="Style1Char"/>
          <w:color w:val="auto"/>
          <w:sz w:val="22"/>
          <w:szCs w:val="22"/>
          <w:rtl/>
        </w:rPr>
        <w:t>אבל לתרומה - אין אשה אוכלת בתרומה עד שתכנס לחופה</w:t>
      </w:r>
      <w:r w:rsidRPr="0023306C">
        <w:rPr>
          <w:rStyle w:val="Style1Char"/>
          <w:sz w:val="22"/>
          <w:szCs w:val="22"/>
          <w:rtl/>
        </w:rPr>
        <w:t xml:space="preserve">; </w:t>
      </w:r>
      <w:r w:rsidRPr="002F2700">
        <w:rPr>
          <w:rStyle w:val="Style1Char"/>
          <w:color w:val="00B050"/>
          <w:rtl/>
        </w:rPr>
        <w:t xml:space="preserve">תיובתא דכולהו! תיובתא. הא גופא קשיא, אמרת: נכנסה עמו ללין, טעמא דללין, הא סתמא - לשם נישואין; אימא סיפא: נכנסה עמו לשם נישואין, הא סתמא - ללין! אמר רב אשי: סתמי סתמי קתני, </w:t>
      </w:r>
      <w:r w:rsidR="001E5B94">
        <w:rPr>
          <w:rStyle w:val="Style1Char"/>
          <w:rFonts w:hint="cs"/>
          <w:rtl/>
        </w:rPr>
        <w:t>(1.4)</w:t>
      </w:r>
      <w:r w:rsidRPr="002F2700">
        <w:rPr>
          <w:rStyle w:val="Style1Char"/>
          <w:color w:val="00B050"/>
          <w:rtl/>
        </w:rPr>
        <w:t xml:space="preserve">סתם חצר דידה - ללין, סתם חצר דידיה - לנשואין. תנא: </w:t>
      </w:r>
      <w:r w:rsidR="001E5B94">
        <w:rPr>
          <w:rStyle w:val="Style1Char"/>
          <w:rFonts w:hint="cs"/>
          <w:rtl/>
        </w:rPr>
        <w:t>(3)</w:t>
      </w:r>
      <w:r w:rsidRPr="002F2700">
        <w:rPr>
          <w:rStyle w:val="Style1Char"/>
          <w:color w:val="00B050"/>
          <w:rtl/>
        </w:rPr>
        <w:t xml:space="preserve">מסר האב לשלוחי הבעל וזינתה - הרי זו בחנק. מנה"מ? א"ר אמי בר חמא, אמר קרא: לזנות בית אביה - פרט לשמסר האב לשלוחי הבעל. ואימא: פרט שנכנסה לחופה ולא נבעלה! אמר רבא: אמר לי אמי, חופה בהדיא כתיבא: כי יהיה נערה בתולה מאורשה לאיש, </w:t>
      </w:r>
      <w:r w:rsidR="002E3016">
        <w:rPr>
          <w:rStyle w:val="Style1Char"/>
          <w:rFonts w:hint="cs"/>
          <w:rtl/>
        </w:rPr>
        <w:t>(3)</w:t>
      </w:r>
      <w:r w:rsidRPr="002F2700">
        <w:rPr>
          <w:rStyle w:val="Style1Char"/>
          <w:color w:val="00B050"/>
          <w:rtl/>
        </w:rPr>
        <w:t xml:space="preserve">נערה - ולא בוגרת, בתולה - ולא בעולה, מאורשה - ולא נשואה; מאי נשואה? אילימא נשואה ממש, היינו בתולה ולא בעולה! אלא לאו שנכנסה לחופה ולא נבעלה. </w:t>
      </w:r>
    </w:p>
    <w:p w14:paraId="4F6F5F88" w14:textId="774987C3" w:rsidR="00984A28" w:rsidRDefault="00984A28" w:rsidP="00984A28">
      <w:pPr>
        <w:pStyle w:val="Style1"/>
        <w:rPr>
          <w:rStyle w:val="Style1Char"/>
          <w:rtl/>
        </w:rPr>
      </w:pPr>
      <w:r>
        <w:rPr>
          <w:rStyle w:val="Style1Char"/>
          <w:rFonts w:hint="cs"/>
          <w:rtl/>
        </w:rPr>
        <w:t>1)[</w:t>
      </w:r>
      <w:r w:rsidRPr="00984A28">
        <w:rPr>
          <w:rStyle w:val="Style1Char"/>
          <w:rtl/>
        </w:rPr>
        <w:t>רמב</w:t>
      </w:r>
      <w:r w:rsidR="00213DA1">
        <w:rPr>
          <w:rStyle w:val="Style1Char"/>
          <w:rtl/>
        </w:rPr>
        <w:t>”ם \נשים\</w:t>
      </w:r>
      <w:r w:rsidRPr="00984A28">
        <w:rPr>
          <w:rStyle w:val="Style1Char"/>
          <w:rtl/>
        </w:rPr>
        <w:t xml:space="preserve"> הלכות אישות פרק כב הלכה ב</w:t>
      </w:r>
      <w:r>
        <w:rPr>
          <w:rStyle w:val="Style1Char"/>
          <w:rFonts w:hint="cs"/>
          <w:rtl/>
        </w:rPr>
        <w:t xml:space="preserve">] </w:t>
      </w:r>
      <w:r w:rsidRPr="00984A28">
        <w:rPr>
          <w:rStyle w:val="Style1Char"/>
          <w:rtl/>
        </w:rPr>
        <w:t>כיצד האשה שנתארסה ומסרה אביה לבעלה או לשלוחי בעלה או מסרוה שלוחי האב לבעלה או לשלוחי בעלה ומתה בדרך קודם שתכנס לחופה אף על פי שכתובתה עדיין בבית אביה בעלה יורשה, וכן אם הלך האב או שלוחי האב עם הבעל ונכנס עמה בעלה בדרך לחצר ונתיחד עמה שם לשם נשואין ומתה הרי זו יירשנה בעלה. אבל אם עדיין האב עם הבעל להוליכה לבית בעלה או שהלכו שלוחי האב עם שלוחי הבעל או עם הבעל ואפילו נכנס הבעל עמה לחצר ללון כדרך שלנין עוברי דרכים בפונדק הואיל והאב או שלוחיו עמה ועדיין לא נתיחד עמה לשם נשואין אם מתה יירשנה אביה אף על פי שכתובתה בבית בעלה. /השגת הראב"ד/ וכן אם הלך האב או שלוחי האב עם הבעל ונכנס עמה בעלה בדרך לחצר. א"א אם חצר דידיה הוא אפילו בסתם. /השגת הראב"ד/ ואפי' נכנס הבעל עמה לחצר ללון כדרך שלנין עוברי דרכים בפונדק. א"א ואם חצר דידה אפילו בסתם.</w:t>
      </w:r>
    </w:p>
    <w:p w14:paraId="0E3CFD69" w14:textId="3A217376" w:rsidR="008241A2" w:rsidRDefault="008241A2" w:rsidP="008241A2">
      <w:pPr>
        <w:pStyle w:val="Style1"/>
        <w:rPr>
          <w:rStyle w:val="Style1Char"/>
          <w:rtl/>
        </w:rPr>
      </w:pPr>
      <w:r>
        <w:rPr>
          <w:rStyle w:val="Style1Char"/>
          <w:rFonts w:hint="cs"/>
          <w:rtl/>
        </w:rPr>
        <w:t>1)[</w:t>
      </w:r>
      <w:r w:rsidRPr="008241A2">
        <w:rPr>
          <w:rStyle w:val="Style1Char"/>
          <w:rtl/>
        </w:rPr>
        <w:t>רמב</w:t>
      </w:r>
      <w:r w:rsidR="00EC109D">
        <w:rPr>
          <w:rStyle w:val="Style1Char"/>
          <w:rtl/>
        </w:rPr>
        <w:t>”ם \הפלאה\</w:t>
      </w:r>
      <w:r w:rsidRPr="008241A2">
        <w:rPr>
          <w:rStyle w:val="Style1Char"/>
          <w:rtl/>
        </w:rPr>
        <w:t xml:space="preserve"> הלכות נדרים פרק יא הלכה כב</w:t>
      </w:r>
      <w:r>
        <w:rPr>
          <w:rStyle w:val="Style1Char"/>
          <w:rFonts w:hint="cs"/>
          <w:rtl/>
        </w:rPr>
        <w:t xml:space="preserve">] </w:t>
      </w:r>
      <w:r w:rsidRPr="008241A2">
        <w:rPr>
          <w:rStyle w:val="Style1Char"/>
          <w:rtl/>
        </w:rPr>
        <w:t>הלך האב עם שלוחי הבעל או שהלכו שלוחי האב עם שלוחי הבעל עדיין אביה ובעלה מפירין נדריה, מסר האב לשלוחי הבעל או שמסרו שלוחי האב לשלוחי הבעל אין האב יכול להפר שהרי יצאת מרשותו ולא הבעל יכול להפר שאין הבעל מפר בקודמין כמו שבארנו.</w:t>
      </w:r>
    </w:p>
    <w:p w14:paraId="72E4739E" w14:textId="5F2EBA95" w:rsidR="000B6A93" w:rsidRDefault="00EA04D9" w:rsidP="00EA04D9">
      <w:pPr>
        <w:pStyle w:val="Style1"/>
        <w:rPr>
          <w:rStyle w:val="Style1Char"/>
          <w:rtl/>
        </w:rPr>
      </w:pPr>
      <w:r>
        <w:rPr>
          <w:rStyle w:val="Style1Char"/>
          <w:rFonts w:hint="cs"/>
          <w:rtl/>
        </w:rPr>
        <w:t>1)[</w:t>
      </w:r>
      <w:r w:rsidR="000B6A93" w:rsidRPr="000B6A93">
        <w:rPr>
          <w:rStyle w:val="Style1Char"/>
          <w:rtl/>
        </w:rPr>
        <w:t>שולחן ערוך יורה דעה הלכות נדרים סימן רלד סעיף ח</w:t>
      </w:r>
      <w:r>
        <w:rPr>
          <w:rStyle w:val="Style1Char"/>
          <w:rFonts w:hint="cs"/>
          <w:rtl/>
        </w:rPr>
        <w:t xml:space="preserve">] </w:t>
      </w:r>
      <w:r w:rsidR="000B6A93" w:rsidRPr="000B6A93">
        <w:rPr>
          <w:rStyle w:val="Style1Char"/>
          <w:rtl/>
        </w:rPr>
        <w:t>הלך האב או שלוחיו עם שלוחי הבעל להביאה לו להכניסה לחופה, עדיין היא ברשות שניהם להפרה. מסרה האב או שלוחיו לשלוחי הבעל, יצאת מרשות האב (ר"ן ותוספות). וי"א דמכל מקום אין הבעל מפר לה עד שתכנס לחופה (טור).</w:t>
      </w:r>
    </w:p>
    <w:p w14:paraId="78794520" w14:textId="7EDADF02" w:rsidR="004E35E7" w:rsidRPr="004E35E7" w:rsidRDefault="000107E9" w:rsidP="004E35E7">
      <w:pPr>
        <w:pStyle w:val="Style1"/>
      </w:pPr>
      <w:r>
        <w:rPr>
          <w:rStyle w:val="Style1Char"/>
          <w:rFonts w:hint="cs"/>
          <w:rtl/>
        </w:rPr>
        <w:t>1)[</w:t>
      </w:r>
      <w:r w:rsidRPr="000107E9">
        <w:rPr>
          <w:rStyle w:val="Style1Char"/>
          <w:rtl/>
        </w:rPr>
        <w:t>שולחן ערוך אבן העזר הלכות קידושין סימן נז</w:t>
      </w:r>
      <w:r>
        <w:rPr>
          <w:rStyle w:val="Style1Char"/>
          <w:rFonts w:hint="cs"/>
          <w:rtl/>
        </w:rPr>
        <w:t>]</w:t>
      </w:r>
      <w:r w:rsidR="004E35E7">
        <w:rPr>
          <w:rStyle w:val="Style1Char"/>
          <w:rFonts w:hint="cs"/>
          <w:rtl/>
        </w:rPr>
        <w:t xml:space="preserve"> </w:t>
      </w:r>
      <w:r w:rsidR="004E35E7" w:rsidRPr="004E35E7">
        <w:rPr>
          <w:rtl/>
        </w:rPr>
        <w:t>הבעל קודם לכל אדם בירושת אשתו. ומאימתי יזכה בירושתה, משתצא מרשות האב, ואף על פי שעדיין לא נכנסה לחופה, הואיל ונעשית ברשות בעלה, יירשנה. כיצד, האשה שנתארסה ומסרה אביה לבעלה, או לשלוחי בעלה, או מסרוה שלוחי האב לבעלה או לשלוחיו, ומתה בדרך קדם שתכנס לחופה, אף על פי שהנדוניא עדין בבית אביה, בעלה יורשה</w:t>
      </w:r>
      <w:r w:rsidR="004E35E7" w:rsidRPr="004E35E7">
        <w:t>.</w:t>
      </w:r>
    </w:p>
    <w:p w14:paraId="5F5DE824" w14:textId="77777777" w:rsidR="004E35E7" w:rsidRPr="004E35E7" w:rsidRDefault="004E35E7" w:rsidP="004E35E7">
      <w:pPr>
        <w:pStyle w:val="Style1"/>
      </w:pPr>
      <w:r w:rsidRPr="004E35E7">
        <w:rPr>
          <w:rFonts w:hint="cs"/>
          <w:rtl/>
        </w:rPr>
        <w:t>ועין לעיל </w:t>
      </w:r>
      <w:hyperlink r:id="rId87" w:tooltip="שולחן ערוך אבן העזר נג" w:history="1">
        <w:r w:rsidRPr="004E35E7">
          <w:rPr>
            <w:rStyle w:val="Hyperlink"/>
            <w:rFonts w:hint="cs"/>
            <w:color w:val="7030A0"/>
            <w:u w:val="none"/>
            <w:rtl/>
          </w:rPr>
          <w:t>סוף סימן נ"ג</w:t>
        </w:r>
      </w:hyperlink>
      <w:r w:rsidRPr="004E35E7">
        <w:rPr>
          <w:rFonts w:hint="cs"/>
        </w:rPr>
        <w:t> </w:t>
      </w:r>
      <w:r w:rsidRPr="004E35E7">
        <w:rPr>
          <w:rFonts w:hint="cs"/>
          <w:rtl/>
        </w:rPr>
        <w:t>ולקמן </w:t>
      </w:r>
      <w:hyperlink r:id="rId88" w:tooltip="שולחן ערוך אבן העזר קיח" w:history="1">
        <w:r w:rsidRPr="004E35E7">
          <w:rPr>
            <w:rStyle w:val="Hyperlink"/>
            <w:rFonts w:hint="cs"/>
            <w:color w:val="7030A0"/>
            <w:u w:val="none"/>
            <w:rtl/>
          </w:rPr>
          <w:t>סימן קי"ח</w:t>
        </w:r>
      </w:hyperlink>
      <w:r w:rsidRPr="004E35E7">
        <w:rPr>
          <w:rFonts w:hint="cs"/>
        </w:rPr>
        <w:t xml:space="preserve">. </w:t>
      </w:r>
      <w:r w:rsidRPr="004E35E7">
        <w:rPr>
          <w:rFonts w:hint="cs"/>
          <w:rtl/>
        </w:rPr>
        <w:t>ויש חולקין אם הנדוניא לא הגיע לידה (טור בשם רבנו תם)</w:t>
      </w:r>
      <w:r w:rsidRPr="004E35E7">
        <w:t>.</w:t>
      </w:r>
    </w:p>
    <w:p w14:paraId="309FA63D" w14:textId="77777777" w:rsidR="004E35E7" w:rsidRPr="004E35E7" w:rsidRDefault="004E35E7" w:rsidP="004E35E7">
      <w:pPr>
        <w:pStyle w:val="Style1"/>
      </w:pPr>
      <w:r w:rsidRPr="004E35E7">
        <w:rPr>
          <w:rtl/>
        </w:rPr>
        <w:t>וכן אם הלך האב או שלוחי האב עם הבעל, ונכנס עמה בדרך לחצר ונתיחד עמה שם לשם נשואין, ומתה, הרי זה יירשנה בעלה. אבל אם עדין האב עם הבעל להוליכה לבית בעלה, או שהלכו שלוחי האב עם שלוחי הבעל, או עם הבעל, אפלו נכנס הבעל עמה לחצר ללון כדרך שלנין עוברי דרכים בפונדק אחד, הואיל והאב או שלוחיו עמה, ועדין לא נתייחד עמה לשם נשואין, אם מתה יירשנה אביה, אף על פי שנדוניתה בבית בעלה. וכן אם היתה בוגרת או יתומה או אלמנה, והלכה היא בעצמה מבית אביה לבית בעלה, ואין עמה לא בעלה ולא שלוחיו, ומתה בדרך, אין הבעל יורש אותה</w:t>
      </w:r>
      <w:r w:rsidRPr="004E35E7">
        <w:t>.</w:t>
      </w:r>
    </w:p>
    <w:p w14:paraId="77B940FB" w14:textId="0E459695" w:rsidR="004E35E7" w:rsidRDefault="004E35E7" w:rsidP="004E35E7">
      <w:pPr>
        <w:pStyle w:val="Style1"/>
      </w:pPr>
      <w:r w:rsidRPr="004E35E7">
        <w:rPr>
          <w:rFonts w:hint="cs"/>
          <w:rtl/>
        </w:rPr>
        <w:t>הגה: ויש אומרים דבחצר שלו, או של שניהם, סתם יחוד הוי לשם נשואין (הר"ן פרק נערה); ובחצר שלה, או שאינה של שניהם, סתם יחוד הוי ללון (המגיד משנה בשם הרמב"ן והרשב"א)</w:t>
      </w:r>
      <w:r w:rsidRPr="004E35E7">
        <w:t>:</w:t>
      </w:r>
    </w:p>
    <w:p w14:paraId="1EAE89CE" w14:textId="29A485F4" w:rsidR="00B41360" w:rsidRDefault="001243EE" w:rsidP="00093603">
      <w:pPr>
        <w:pStyle w:val="Style1"/>
      </w:pPr>
      <w:r>
        <w:rPr>
          <w:rFonts w:hint="cs"/>
          <w:rtl/>
        </w:rPr>
        <w:t>2)[</w:t>
      </w:r>
      <w:r w:rsidR="00B41360">
        <w:rPr>
          <w:rtl/>
        </w:rPr>
        <w:t>רמב</w:t>
      </w:r>
      <w:r w:rsidR="00786216">
        <w:rPr>
          <w:rtl/>
        </w:rPr>
        <w:t>”ם \זרעים\</w:t>
      </w:r>
      <w:r w:rsidR="00B41360">
        <w:rPr>
          <w:rtl/>
        </w:rPr>
        <w:t xml:space="preserve"> הלכות תרומות פרק ו הלכה ג</w:t>
      </w:r>
      <w:r w:rsidR="00B41360">
        <w:t>[</w:t>
      </w:r>
      <w:r w:rsidR="00093603">
        <w:t xml:space="preserve"> </w:t>
      </w:r>
      <w:r w:rsidR="00B41360">
        <w:rPr>
          <w:rtl/>
        </w:rPr>
        <w:t>ישראלית שנשאת לכהן אפילו קטנה בת ג' שנים ויום אחד תאכל בתרומה וחזה ושוק, ודין תורה שתאכל משנתארסה שהרי היא קנינו, אבל אסרו חכמים שתאכל עד שתכנס לחופה גזירה שמא תאכיל תרומה לאביה ולאחיה כשהיא ארוסה בבית אביה.</w:t>
      </w:r>
    </w:p>
    <w:p w14:paraId="7F83D548" w14:textId="355D0D28" w:rsidR="001243EE" w:rsidRDefault="001243EE" w:rsidP="001243EE">
      <w:pPr>
        <w:pStyle w:val="Style1"/>
        <w:rPr>
          <w:rtl/>
        </w:rPr>
      </w:pPr>
      <w:r>
        <w:rPr>
          <w:rFonts w:hint="cs"/>
          <w:rtl/>
        </w:rPr>
        <w:t>2)[</w:t>
      </w:r>
      <w:r>
        <w:rPr>
          <w:rtl/>
        </w:rPr>
        <w:t>רמב</w:t>
      </w:r>
      <w:r w:rsidR="00786216">
        <w:rPr>
          <w:rtl/>
        </w:rPr>
        <w:t>”ם \זרעים\</w:t>
      </w:r>
      <w:r>
        <w:rPr>
          <w:rtl/>
        </w:rPr>
        <w:t xml:space="preserve"> הלכות תרומות פרק ח הלכה ז</w:t>
      </w:r>
      <w:r>
        <w:rPr>
          <w:rFonts w:hint="cs"/>
          <w:rtl/>
        </w:rPr>
        <w:t xml:space="preserve">] </w:t>
      </w:r>
      <w:r>
        <w:rPr>
          <w:rtl/>
        </w:rPr>
        <w:t>האירוסין כיצד, בת כהן שנתארסה לישראל אסורה לאכול שהרי יש לו בה קנין, ובת ישראל שנתארסה לכהן לא תאכל עד שתכנס לחופה שמא תאכיל לבני בית אביה כמו שביארנו.</w:t>
      </w:r>
    </w:p>
    <w:p w14:paraId="21C2B088" w14:textId="5C24FDA7" w:rsidR="00EF0B44" w:rsidRDefault="00EF0B44" w:rsidP="00952C8B">
      <w:pPr>
        <w:pStyle w:val="Style1"/>
      </w:pPr>
      <w:r>
        <w:rPr>
          <w:rFonts w:hint="cs"/>
          <w:rtl/>
        </w:rPr>
        <w:t>3)[</w:t>
      </w:r>
      <w:r>
        <w:rPr>
          <w:rtl/>
        </w:rPr>
        <w:t>רמב</w:t>
      </w:r>
      <w:r w:rsidR="00213DA1">
        <w:rPr>
          <w:rtl/>
        </w:rPr>
        <w:t>”ם \קדושה\</w:t>
      </w:r>
      <w:r>
        <w:rPr>
          <w:rtl/>
        </w:rPr>
        <w:t xml:space="preserve"> הלכות איסורי ביאה פרק ג הלכה ד</w:t>
      </w:r>
      <w:r>
        <w:rPr>
          <w:rFonts w:hint="cs"/>
          <w:rtl/>
        </w:rPr>
        <w:t>]</w:t>
      </w:r>
      <w:r w:rsidR="00952C8B">
        <w:rPr>
          <w:rFonts w:hint="cs"/>
          <w:rtl/>
        </w:rPr>
        <w:t xml:space="preserve"> </w:t>
      </w:r>
      <w:r>
        <w:rPr>
          <w:rtl/>
        </w:rPr>
        <w:t>הבא על נערה מאורשה שניהן בסקילה ואינן חייבין סקילה עד שתהיה נערה בתולה מאורשה והיא בבית אביה, היתה בוגרת או שנכנסה לחופה אף על פי שלא נבעלה אפילו מסרה האב לשלוחי הבעל וזנתה בדרך הרי זו בחנק.</w:t>
      </w:r>
    </w:p>
    <w:p w14:paraId="043D5315" w14:textId="7CE84F51" w:rsidR="00730E62" w:rsidRDefault="00730E62" w:rsidP="003B05F3">
      <w:pPr>
        <w:pStyle w:val="Style1"/>
      </w:pPr>
    </w:p>
    <w:p w14:paraId="0967C206" w14:textId="528F90CE" w:rsidR="00730E62" w:rsidRPr="004E35E7" w:rsidRDefault="00730E62" w:rsidP="00730E62">
      <w:pPr>
        <w:pStyle w:val="Style1"/>
      </w:pPr>
    </w:p>
    <w:p w14:paraId="65FDA52E" w14:textId="77777777" w:rsidR="004E35E7" w:rsidRPr="004E35E7" w:rsidRDefault="004E35E7" w:rsidP="004E35E7">
      <w:pPr>
        <w:pStyle w:val="Style1"/>
        <w:rPr>
          <w:rStyle w:val="Style1Char"/>
        </w:rPr>
      </w:pPr>
    </w:p>
    <w:p w14:paraId="1EB8DCF8" w14:textId="340DC33E" w:rsidR="000107E9" w:rsidRPr="00984A28" w:rsidRDefault="000107E9" w:rsidP="000107E9">
      <w:pPr>
        <w:pStyle w:val="Style1"/>
        <w:rPr>
          <w:rStyle w:val="Style1Char"/>
          <w:rtl/>
        </w:rPr>
      </w:pPr>
    </w:p>
    <w:p w14:paraId="0C0A699A" w14:textId="77777777" w:rsidR="000357F0" w:rsidRDefault="000357F0" w:rsidP="000357F0">
      <w:pPr>
        <w:rPr>
          <w:rStyle w:val="Style1Char"/>
          <w:color w:val="00B050"/>
          <w:rtl/>
        </w:rPr>
      </w:pPr>
      <w:r>
        <w:rPr>
          <w:rStyle w:val="Style1Char"/>
          <w:color w:val="00B050"/>
          <w:rtl/>
        </w:rPr>
        <w:br w:type="page"/>
      </w:r>
    </w:p>
    <w:p w14:paraId="0681E036" w14:textId="1394659A" w:rsidR="000357F0" w:rsidRPr="002F2700" w:rsidRDefault="000357F0" w:rsidP="000357F0">
      <w:pPr>
        <w:bidi/>
        <w:rPr>
          <w:rStyle w:val="Style1Char"/>
          <w:color w:val="00B050"/>
        </w:rPr>
      </w:pPr>
      <w:r w:rsidRPr="00DC0DB4">
        <w:rPr>
          <w:rStyle w:val="Style1Char"/>
          <w:color w:val="00B050"/>
          <w:sz w:val="22"/>
          <w:szCs w:val="22"/>
          <w:highlight w:val="yellow"/>
          <w:rtl/>
        </w:rPr>
        <w:lastRenderedPageBreak/>
        <w:t>[דף מט עמוד א]</w:t>
      </w:r>
      <w:r w:rsidRPr="00DC0DB4">
        <w:rPr>
          <w:rStyle w:val="Style1Char"/>
          <w:color w:val="00B050"/>
          <w:sz w:val="22"/>
          <w:szCs w:val="22"/>
          <w:rtl/>
        </w:rPr>
        <w:t xml:space="preserve"> </w:t>
      </w:r>
      <w:r w:rsidRPr="002F2700">
        <w:rPr>
          <w:rStyle w:val="Style1Char"/>
          <w:color w:val="00B050"/>
          <w:rtl/>
        </w:rPr>
        <w:t xml:space="preserve">ואימא: היכא דהדרא לבי נשא הדרא למילתא קמייתא! אמר רבא: ההוא כבר פסקה תנא דבי רבי ישמעאל; דתנא דבי רבי ישמעאל: ונדר אלמנה וגרושה כל אשר אסרה על נפשה יקום עליה - מה תלמוד לומר? והלא מוצאת מכלל אב ומוצאת מכלל בעל! </w:t>
      </w:r>
      <w:r w:rsidR="00E856BA">
        <w:rPr>
          <w:rStyle w:val="Style1Char"/>
          <w:rFonts w:hint="cs"/>
          <w:rtl/>
        </w:rPr>
        <w:t>(1)</w:t>
      </w:r>
      <w:r w:rsidRPr="002F2700">
        <w:rPr>
          <w:rStyle w:val="Style1Char"/>
          <w:color w:val="00B050"/>
          <w:rtl/>
        </w:rPr>
        <w:t xml:space="preserve">אלא, הרי שמסר האב לשלוחי הבעל, או שמסרו שלוחי האב לשלוחי הבעל, ונתארמלה בדרך או נתגרשה, היאך אני קורא בה, בית אביה של זו או בית בעלה של זו? אלא לומר לך, כיון שיצאה שעה אחת מרשות האב, שוב אינו יכול להפר. אמר רב פפא, אף אנן נמי תנינא: הבא על נערה המאורסה, אינו חייב עד שתהא נערה בתולה מאורסה והיא בבית אביה; בשלמא נערה - ולא בוגרת, בתולה - ולא בעולה, מאורסה - ולא נשואה, בבית אביה למעוטי מאי? לאו למעוטי מסר האב לשלוחי הבעל. אמר רב נחמן בר יצחק, אף אנן נמי תנינא: הבא על אשת איש, כיון שנכנסה לרשות הבעל לנשואין, אף על פי שלא נבעלה - הבא עליה הרי זה בחנק; נכנסה לרשות הבעל בעלמא, שמע מינה. </w:t>
      </w:r>
    </w:p>
    <w:p w14:paraId="3F8331FD" w14:textId="77777777" w:rsidR="000357F0" w:rsidRPr="00A76E2E" w:rsidRDefault="000357F0" w:rsidP="000357F0">
      <w:pPr>
        <w:bidi/>
        <w:rPr>
          <w:rStyle w:val="Style1Char"/>
          <w:color w:val="auto"/>
          <w:sz w:val="22"/>
          <w:szCs w:val="22"/>
        </w:rPr>
      </w:pPr>
      <w:r w:rsidRPr="00A76E2E">
        <w:rPr>
          <w:rStyle w:val="Style1Char"/>
          <w:color w:val="auto"/>
          <w:sz w:val="22"/>
          <w:szCs w:val="22"/>
          <w:rtl/>
        </w:rPr>
        <w:t xml:space="preserve">מתני'. האב אינו חייב במזונות בתו. זה מדרש דרש רבי אלעזר בן עזריה לפני חכמים בכרם ביבנה: הבנים יירשו והבנות יזונו, מה הבנים אינן יורשין אלא לאחר מיתת האב, אף הבנות אין ניזונות אלא לאחר מיתת אביהן. </w:t>
      </w:r>
    </w:p>
    <w:p w14:paraId="27217D7F" w14:textId="1B153A1C" w:rsidR="000357F0" w:rsidRDefault="000357F0" w:rsidP="000357F0">
      <w:pPr>
        <w:bidi/>
        <w:rPr>
          <w:rStyle w:val="Style1Char"/>
          <w:color w:val="00B050"/>
          <w:rtl/>
        </w:rPr>
      </w:pPr>
      <w:r w:rsidRPr="002F2700">
        <w:rPr>
          <w:rStyle w:val="Style1Char"/>
          <w:color w:val="00B050"/>
          <w:rtl/>
        </w:rPr>
        <w:t xml:space="preserve">גמ'. במזונות בתו הוא דאינו חייב, הא במזונות בנו חייב, בתו נמי חובה הוא דליכא, הא מצוה איכא, מני מתניתין? לא רבי מאיר, לא רבי יהודה, ולא רבי יוחנן בן ברוקא! דתניא: מצוה לזון את הבנות, קל וחומר לבנים, דעסקי בתורה, דברי רבי מאיר; רבי יהודה אומר: מצוה לזון את הבנים, וקל וחומר לבנות, משום זילותא; ר' יוחנן בן ברוקא אומר: חובה לזון את הבנות לאחר מיתת אביהן, אבל בחיי אביהן - אלו ואלו אינן ניזונין; מני מתניתין? אי רבי מאיר, הא אמר: בנים מצוה! אי רבי יהודה, הא אמר: בנים נמי מצוה! אי רבי יוחנן בן ברוקא, אפי' מצוה נמי ליכא! איבעית אימא: רבי מאיר, איבעית אימא: ר' יהודה, איבעית אימא: רבי יוחנן בן ברוקא. איבעית אימא ר' מאיר, והכי קאמר: האב אינו חייב במזונות בתו והוא הדין לבנו, הא מצוה בבתו איכא, קל וחומר לבנים, והאי דקתני בתו? הא קמ"ל, </w:t>
      </w:r>
    </w:p>
    <w:p w14:paraId="1863042A" w14:textId="1ED66432" w:rsidR="00795419" w:rsidRDefault="00795419" w:rsidP="00795419">
      <w:pPr>
        <w:pStyle w:val="Style1"/>
        <w:rPr>
          <w:rStyle w:val="Style1Char"/>
          <w:rtl/>
        </w:rPr>
      </w:pPr>
      <w:r>
        <w:rPr>
          <w:rStyle w:val="Style1Char"/>
          <w:rFonts w:hint="cs"/>
          <w:rtl/>
        </w:rPr>
        <w:t>1)[</w:t>
      </w:r>
      <w:r w:rsidRPr="00795419">
        <w:rPr>
          <w:rStyle w:val="Style1Char"/>
          <w:rtl/>
        </w:rPr>
        <w:t>רמב</w:t>
      </w:r>
      <w:r w:rsidR="00EC109D">
        <w:rPr>
          <w:rStyle w:val="Style1Char"/>
          <w:rtl/>
        </w:rPr>
        <w:t>”ם \הפלאה\</w:t>
      </w:r>
      <w:r w:rsidRPr="00795419">
        <w:rPr>
          <w:rStyle w:val="Style1Char"/>
          <w:rtl/>
        </w:rPr>
        <w:t xml:space="preserve"> הלכות נדרים פרק יא הלכה כב</w:t>
      </w:r>
      <w:r>
        <w:rPr>
          <w:rStyle w:val="Style1Char"/>
          <w:rFonts w:hint="cs"/>
          <w:rtl/>
        </w:rPr>
        <w:t xml:space="preserve">] </w:t>
      </w:r>
      <w:r w:rsidRPr="00795419">
        <w:rPr>
          <w:rStyle w:val="Style1Char"/>
          <w:rtl/>
        </w:rPr>
        <w:t>הלך האב עם שלוחי הבעל או שהלכו שלוחי האב עם שלוחי הבעל עדיין אביה ובעלה מפירין נדריה, מסר האב לשלוחי הבעל או שמסרו שלוחי האב לשלוחי הבעל אין האב יכול להפר שהרי יצאת מרשותו ולא הבעל יכול להפר שאין הבעל מפר בקודמין כמו שבארנו.</w:t>
      </w:r>
    </w:p>
    <w:p w14:paraId="75BB5B07" w14:textId="0F3BCA00" w:rsidR="00485CCF" w:rsidRPr="00795419" w:rsidRDefault="00485CCF" w:rsidP="00485CCF">
      <w:pPr>
        <w:pStyle w:val="Style1"/>
        <w:rPr>
          <w:rStyle w:val="Style1Char"/>
          <w:rtl/>
        </w:rPr>
      </w:pPr>
      <w:r>
        <w:rPr>
          <w:rStyle w:val="Style1Char"/>
          <w:rFonts w:hint="cs"/>
          <w:rtl/>
        </w:rPr>
        <w:t>1)[</w:t>
      </w:r>
      <w:r w:rsidRPr="00485CCF">
        <w:rPr>
          <w:rStyle w:val="Style1Char"/>
          <w:rtl/>
        </w:rPr>
        <w:t>שולחן ערוך יורה דעה הלכות נדרים סימן רלד סעיף יב</w:t>
      </w:r>
      <w:r>
        <w:rPr>
          <w:rStyle w:val="Style1Char"/>
          <w:rFonts w:hint="cs"/>
          <w:rtl/>
        </w:rPr>
        <w:t xml:space="preserve">] </w:t>
      </w:r>
      <w:r w:rsidRPr="00485CCF">
        <w:rPr>
          <w:rStyle w:val="Style1Char"/>
          <w:rtl/>
        </w:rPr>
        <w:t>כנסה או שמסרה לו האב או שלוחיו להכניסה, ומת בעודה נערה, אינה חוזרת לרשות האב.</w:t>
      </w:r>
    </w:p>
    <w:p w14:paraId="4AD828A9" w14:textId="77777777" w:rsidR="000357F0" w:rsidRDefault="000357F0" w:rsidP="000357F0">
      <w:pPr>
        <w:rPr>
          <w:rStyle w:val="Style1Char"/>
          <w:color w:val="00B050"/>
          <w:rtl/>
        </w:rPr>
      </w:pPr>
      <w:r>
        <w:rPr>
          <w:rStyle w:val="Style1Char"/>
          <w:color w:val="00B050"/>
          <w:rtl/>
        </w:rPr>
        <w:br w:type="page"/>
      </w:r>
    </w:p>
    <w:p w14:paraId="619CA5B9" w14:textId="49BBA9A9" w:rsidR="000357F0" w:rsidRPr="00C81021" w:rsidRDefault="000357F0" w:rsidP="000357F0">
      <w:pPr>
        <w:bidi/>
        <w:rPr>
          <w:rStyle w:val="Style1Char"/>
          <w:color w:val="4472C4" w:themeColor="accent1"/>
        </w:rPr>
      </w:pPr>
      <w:r w:rsidRPr="00DC0DB4">
        <w:rPr>
          <w:rStyle w:val="Style1Char"/>
          <w:color w:val="00B050"/>
          <w:sz w:val="22"/>
          <w:szCs w:val="22"/>
          <w:highlight w:val="yellow"/>
          <w:rtl/>
        </w:rPr>
        <w:lastRenderedPageBreak/>
        <w:t>[דף מט עמוד ב]</w:t>
      </w:r>
      <w:r w:rsidRPr="00DC0DB4">
        <w:rPr>
          <w:rStyle w:val="Style1Char"/>
          <w:color w:val="00B050"/>
          <w:sz w:val="22"/>
          <w:szCs w:val="22"/>
          <w:rtl/>
        </w:rPr>
        <w:t xml:space="preserve"> </w:t>
      </w:r>
      <w:r w:rsidRPr="002F2700">
        <w:rPr>
          <w:rStyle w:val="Style1Char"/>
          <w:color w:val="00B050"/>
          <w:rtl/>
        </w:rPr>
        <w:t xml:space="preserve">דאפילו בתו, חובה הוא דליכא, הא מצוה איכא. ואיבעית אימא ר' יהודה, והכי קאמר: האב אינו חייב במזונות בתו וכל שכן לבנו, הא מצוה בבנו איכא, וקל וחומר לבנות, והא דקתני, בתו? הא קא משמע לן, דאפילו בתו, חובה ליכא. ואיבעית אימא ר' יוחנן בן ברוקא, והכי קאמר: אינו חייב במזונות בתו והוא הדין לבנו, והוא הדין דאפילו מצוה נמי ליכא, ואיידי דבנות לאחר מיתת אביהן חובה, תנא נמי אינו חייב. </w:t>
      </w:r>
      <w:r w:rsidRPr="005E685D">
        <w:rPr>
          <w:rStyle w:val="Style1Char"/>
          <w:color w:val="auto"/>
          <w:sz w:val="22"/>
          <w:szCs w:val="22"/>
          <w:rtl/>
        </w:rPr>
        <w:t xml:space="preserve">אמר רבי </w:t>
      </w:r>
      <w:r w:rsidRPr="005E685D">
        <w:rPr>
          <w:rStyle w:val="Style1Char"/>
          <w:color w:val="ED7D31" w:themeColor="accent2"/>
          <w:rtl/>
        </w:rPr>
        <w:t xml:space="preserve">אילעא </w:t>
      </w:r>
      <w:r w:rsidRPr="005F4454">
        <w:rPr>
          <w:rStyle w:val="Style1Char"/>
          <w:color w:val="C00000"/>
          <w:sz w:val="22"/>
          <w:szCs w:val="22"/>
          <w:rtl/>
        </w:rPr>
        <w:t xml:space="preserve">אילא </w:t>
      </w:r>
      <w:r w:rsidRPr="00967335">
        <w:rPr>
          <w:rStyle w:val="Style1Char"/>
          <w:color w:val="auto"/>
          <w:sz w:val="22"/>
          <w:szCs w:val="22"/>
          <w:rtl/>
        </w:rPr>
        <w:t xml:space="preserve">אמר ריש לקיש משום רבי </w:t>
      </w:r>
      <w:r w:rsidRPr="00C81021">
        <w:rPr>
          <w:rStyle w:val="Style1Char"/>
          <w:color w:val="4472C4" w:themeColor="accent1"/>
          <w:rtl/>
        </w:rPr>
        <w:t xml:space="preserve">יוסי </w:t>
      </w:r>
      <w:r w:rsidRPr="005F4454">
        <w:rPr>
          <w:rStyle w:val="Style1Char"/>
          <w:sz w:val="22"/>
          <w:szCs w:val="22"/>
          <w:rtl/>
        </w:rPr>
        <w:t xml:space="preserve">יהודה </w:t>
      </w:r>
      <w:r w:rsidRPr="00967335">
        <w:rPr>
          <w:rStyle w:val="Style1Char"/>
          <w:color w:val="auto"/>
          <w:sz w:val="22"/>
          <w:szCs w:val="22"/>
          <w:rtl/>
        </w:rPr>
        <w:t xml:space="preserve">בר חנינא: </w:t>
      </w:r>
      <w:r w:rsidR="003165C8">
        <w:rPr>
          <w:rStyle w:val="Style1Char"/>
          <w:rFonts w:hint="cs"/>
          <w:rtl/>
        </w:rPr>
        <w:t>(1)</w:t>
      </w:r>
      <w:r w:rsidRPr="00967335">
        <w:rPr>
          <w:rStyle w:val="Style1Char"/>
          <w:color w:val="auto"/>
          <w:sz w:val="22"/>
          <w:szCs w:val="22"/>
          <w:rtl/>
        </w:rPr>
        <w:t>באושא התקינו, שיהא אדם זן את בניו ואת בנותיו</w:t>
      </w:r>
      <w:r w:rsidRPr="00967335">
        <w:rPr>
          <w:rStyle w:val="Style1Char"/>
          <w:color w:val="auto"/>
          <w:rtl/>
        </w:rPr>
        <w:t xml:space="preserve"> </w:t>
      </w:r>
      <w:r w:rsidRPr="00967335">
        <w:rPr>
          <w:rStyle w:val="Style1Char"/>
          <w:color w:val="ED7D31" w:themeColor="accent2"/>
          <w:rtl/>
        </w:rPr>
        <w:t xml:space="preserve">כשהן </w:t>
      </w:r>
      <w:r w:rsidRPr="00967335">
        <w:rPr>
          <w:rStyle w:val="Style1Char"/>
          <w:color w:val="auto"/>
          <w:sz w:val="22"/>
          <w:szCs w:val="22"/>
          <w:rtl/>
        </w:rPr>
        <w:t>קטנים</w:t>
      </w:r>
      <w:r w:rsidRPr="002F2700">
        <w:rPr>
          <w:rStyle w:val="Style1Char"/>
          <w:color w:val="00B050"/>
          <w:rtl/>
        </w:rPr>
        <w:t xml:space="preserve">. איבעיא להו: </w:t>
      </w:r>
      <w:r w:rsidRPr="00251334">
        <w:rPr>
          <w:rStyle w:val="Style1Char"/>
          <w:color w:val="auto"/>
          <w:sz w:val="22"/>
          <w:szCs w:val="22"/>
          <w:rtl/>
        </w:rPr>
        <w:t>הלכתא כוותיה, או אין הלכתא כוותיה? תא שמע:</w:t>
      </w:r>
      <w:r w:rsidRPr="005F4454">
        <w:rPr>
          <w:rStyle w:val="Style1Char"/>
          <w:sz w:val="22"/>
          <w:szCs w:val="22"/>
          <w:rtl/>
        </w:rPr>
        <w:t xml:space="preserve"> </w:t>
      </w:r>
      <w:r w:rsidR="00887B11">
        <w:rPr>
          <w:rStyle w:val="Style1Char"/>
          <w:rFonts w:hint="cs"/>
          <w:rtl/>
        </w:rPr>
        <w:t>(1)</w:t>
      </w:r>
      <w:r w:rsidRPr="005F4454">
        <w:rPr>
          <w:rStyle w:val="Style1Char"/>
          <w:sz w:val="22"/>
          <w:szCs w:val="22"/>
          <w:rtl/>
        </w:rPr>
        <w:t xml:space="preserve">כי הוה אתו לקמיה דרב יהודה, אמר להו: יארוד ילדה ואבני מתא שדיא! </w:t>
      </w:r>
      <w:r w:rsidRPr="00251334">
        <w:rPr>
          <w:rStyle w:val="Style1Char"/>
          <w:color w:val="auto"/>
          <w:sz w:val="22"/>
          <w:szCs w:val="22"/>
          <w:rtl/>
        </w:rPr>
        <w:t xml:space="preserve">כי הוה אתו לקמיה דרב חסדא, אמר להו: כפו ליה אסיתא בצבורא, וליקום ולימא: עורבא בעי בניה, וההוא גברא לא בעי בניה! </w:t>
      </w:r>
      <w:r w:rsidRPr="002F2700">
        <w:rPr>
          <w:rStyle w:val="Style1Char"/>
          <w:color w:val="00B050"/>
          <w:rtl/>
        </w:rPr>
        <w:t xml:space="preserve">ועורבא בעי בניה? והכתיב: לבני עורב אשר יקראו! לא קשיא: הא בחיורי, הא באוכמי. </w:t>
      </w:r>
      <w:r w:rsidRPr="00251334">
        <w:rPr>
          <w:rStyle w:val="Style1Char"/>
          <w:color w:val="auto"/>
          <w:sz w:val="22"/>
          <w:szCs w:val="22"/>
          <w:rtl/>
        </w:rPr>
        <w:t xml:space="preserve">כי הוה אתי לקמיה דרבא, אמר ליה: ניחא לך דמיתזני בניך מצדקה? ולא אמרן אלא דלא אמיד, </w:t>
      </w:r>
      <w:r w:rsidR="0092757E">
        <w:rPr>
          <w:rStyle w:val="Style1Char"/>
          <w:rFonts w:hint="cs"/>
          <w:rtl/>
        </w:rPr>
        <w:t>(</w:t>
      </w:r>
      <w:r w:rsidR="004116BB">
        <w:rPr>
          <w:rStyle w:val="Style1Char"/>
          <w:rFonts w:hint="cs"/>
          <w:rtl/>
        </w:rPr>
        <w:t>1.2, 2</w:t>
      </w:r>
      <w:r w:rsidR="0092757E">
        <w:rPr>
          <w:rStyle w:val="Style1Char"/>
          <w:rFonts w:hint="cs"/>
          <w:rtl/>
        </w:rPr>
        <w:t>)</w:t>
      </w:r>
      <w:r w:rsidRPr="00251334">
        <w:rPr>
          <w:rStyle w:val="Style1Char"/>
          <w:color w:val="auto"/>
          <w:sz w:val="22"/>
          <w:szCs w:val="22"/>
          <w:rtl/>
        </w:rPr>
        <w:t>אבל אמיד - כפינן ליה על כרחיה</w:t>
      </w:r>
      <w:r w:rsidRPr="00251334">
        <w:rPr>
          <w:rStyle w:val="Style1Char"/>
          <w:color w:val="auto"/>
          <w:rtl/>
        </w:rPr>
        <w:t xml:space="preserve"> </w:t>
      </w:r>
      <w:r w:rsidRPr="00C603BC">
        <w:rPr>
          <w:rStyle w:val="Style1Char"/>
          <w:color w:val="806000" w:themeColor="accent4" w:themeShade="80"/>
          <w:sz w:val="22"/>
          <w:szCs w:val="22"/>
          <w:rtl/>
        </w:rPr>
        <w:t>לא יהא אלא אחר</w:t>
      </w:r>
      <w:r w:rsidRPr="002F2700">
        <w:rPr>
          <w:rStyle w:val="Style1Char"/>
          <w:color w:val="00B050"/>
          <w:rtl/>
        </w:rPr>
        <w:t xml:space="preserve">, </w:t>
      </w:r>
      <w:r w:rsidRPr="00C603BC">
        <w:rPr>
          <w:rStyle w:val="Style1Char"/>
          <w:color w:val="auto"/>
          <w:sz w:val="22"/>
          <w:szCs w:val="22"/>
          <w:rtl/>
        </w:rPr>
        <w:t>כי הא דרבא כפייה לרב נתן בר אמי, ואפיק מיניה ד' מאה זוזי לצדקה</w:t>
      </w:r>
      <w:r w:rsidRPr="00814C05">
        <w:rPr>
          <w:rStyle w:val="Style1Char"/>
          <w:color w:val="C00000"/>
          <w:rtl/>
        </w:rPr>
        <w:t xml:space="preserve"> </w:t>
      </w:r>
      <w:r w:rsidRPr="00C603BC">
        <w:rPr>
          <w:rStyle w:val="Style1Char"/>
          <w:color w:val="806000" w:themeColor="accent4" w:themeShade="80"/>
          <w:rtl/>
        </w:rPr>
        <w:t xml:space="preserve">והנ"מ בניו ובנותיו קטנים אבל קטני קטנים אף על גב דלא אמיד לצדקה כייפינן ליה בעל כרחיה דגרסינן בסוף אף על פי דרש </w:t>
      </w:r>
      <w:r w:rsidRPr="00C81021">
        <w:rPr>
          <w:rStyle w:val="Style1Char"/>
          <w:color w:val="4472C4" w:themeColor="accent1"/>
          <w:rtl/>
        </w:rPr>
        <w:t xml:space="preserve">ר' שמלאי </w:t>
      </w:r>
      <w:r w:rsidRPr="003F082E">
        <w:rPr>
          <w:rStyle w:val="Style1Char"/>
          <w:color w:val="C00000"/>
          <w:rtl/>
        </w:rPr>
        <w:t xml:space="preserve">רבה בר עולא רבה </w:t>
      </w:r>
      <w:r w:rsidRPr="00C603BC">
        <w:rPr>
          <w:rStyle w:val="Style1Char"/>
          <w:color w:val="806000" w:themeColor="accent4" w:themeShade="80"/>
          <w:rtl/>
        </w:rPr>
        <w:t>אפתחא דבי נשיאה אף על פי שאמרו אין אדם זן בניו ובנותיו קטנים אבל זן אותם קטני קטנים ועד כמה עד שש שנים ותנן נמי אם היתה מניקה פוחתין לה ממעשה ידיה ומוסיפין לה על מזונותיה ש"מ חייב אדם לזון בניו ובנותיו כשהן קטני קטנים:</w:t>
      </w:r>
      <w:r w:rsidRPr="00C603BC">
        <w:rPr>
          <w:rStyle w:val="Style1Char"/>
          <w:color w:val="806000" w:themeColor="accent4" w:themeShade="80"/>
          <w:sz w:val="22"/>
          <w:szCs w:val="22"/>
          <w:rtl/>
        </w:rPr>
        <w:t xml:space="preserve">. </w:t>
      </w:r>
      <w:r w:rsidRPr="00C81021">
        <w:rPr>
          <w:rStyle w:val="Style1Char"/>
          <w:color w:val="4472C4" w:themeColor="accent1"/>
          <w:rtl/>
        </w:rPr>
        <w:t>ואפילו יש להם נכסים שנפלו להם מבית אבי אמם פסק רבינו מאיר דחייב לזונם דכיון דתקנת חכמים היא זכו במזונותיהם אפי' יש להם להתפרנס משלהן דומיא דמזונות האשה מדכלל מזונות האשה דקתני ומוסיפין לה על מזונותיה בשביל הקטן אלמא דין אחד להם</w:t>
      </w:r>
      <w:r w:rsidRPr="00C81021">
        <w:rPr>
          <w:rStyle w:val="Style1Char"/>
          <w:color w:val="4472C4" w:themeColor="accent1"/>
        </w:rPr>
        <w:t xml:space="preserve">: </w:t>
      </w:r>
    </w:p>
    <w:p w14:paraId="518E8B3D" w14:textId="0BEE7235" w:rsidR="000357F0" w:rsidRDefault="000357F0" w:rsidP="000357F0">
      <w:pPr>
        <w:bidi/>
        <w:rPr>
          <w:rStyle w:val="Style1Char"/>
          <w:color w:val="00B050"/>
          <w:rtl/>
        </w:rPr>
      </w:pPr>
      <w:r w:rsidRPr="00923372">
        <w:rPr>
          <w:rStyle w:val="Style1Char"/>
          <w:color w:val="auto"/>
          <w:sz w:val="22"/>
          <w:szCs w:val="22"/>
          <w:rtl/>
        </w:rPr>
        <w:t xml:space="preserve">אמר רבי </w:t>
      </w:r>
      <w:r w:rsidRPr="00923372">
        <w:rPr>
          <w:rStyle w:val="Style1Char"/>
          <w:color w:val="ED7D31" w:themeColor="accent2"/>
          <w:rtl/>
        </w:rPr>
        <w:t xml:space="preserve">אילעא </w:t>
      </w:r>
      <w:r w:rsidRPr="00814C05">
        <w:rPr>
          <w:rStyle w:val="Style1Char"/>
          <w:color w:val="C00000"/>
          <w:sz w:val="22"/>
          <w:szCs w:val="22"/>
          <w:rtl/>
        </w:rPr>
        <w:t xml:space="preserve">אילא </w:t>
      </w:r>
      <w:r w:rsidRPr="00923372">
        <w:rPr>
          <w:rStyle w:val="Style1Char"/>
          <w:color w:val="auto"/>
          <w:sz w:val="22"/>
          <w:szCs w:val="22"/>
          <w:rtl/>
        </w:rPr>
        <w:t xml:space="preserve">אמר ריש לקיש: </w:t>
      </w:r>
      <w:r w:rsidRPr="002F2700">
        <w:rPr>
          <w:rStyle w:val="Style1Char"/>
          <w:color w:val="00B050"/>
          <w:rtl/>
        </w:rPr>
        <w:t>באושא התקינו</w:t>
      </w:r>
      <w:r w:rsidRPr="00814C05">
        <w:rPr>
          <w:rStyle w:val="Style1Char"/>
          <w:sz w:val="22"/>
          <w:szCs w:val="22"/>
          <w:rtl/>
        </w:rPr>
        <w:t xml:space="preserve">, </w:t>
      </w:r>
      <w:r w:rsidRPr="00923372">
        <w:rPr>
          <w:rStyle w:val="Style1Char"/>
          <w:color w:val="auto"/>
          <w:sz w:val="22"/>
          <w:szCs w:val="22"/>
          <w:rtl/>
        </w:rPr>
        <w:t>הכותב כל נכסיו לבניו - הוא ואשתו נזונים מהם</w:t>
      </w:r>
      <w:r w:rsidRPr="00923372">
        <w:rPr>
          <w:rStyle w:val="Style1Char"/>
          <w:color w:val="auto"/>
          <w:rtl/>
        </w:rPr>
        <w:t xml:space="preserve"> </w:t>
      </w:r>
      <w:r w:rsidRPr="00923372">
        <w:rPr>
          <w:rStyle w:val="Style1Char"/>
          <w:color w:val="806000" w:themeColor="accent4" w:themeShade="80"/>
          <w:sz w:val="22"/>
          <w:szCs w:val="22"/>
          <w:rtl/>
        </w:rPr>
        <w:t>ולית הלכתא כוותיה.</w:t>
      </w:r>
      <w:r w:rsidRPr="00814C05">
        <w:rPr>
          <w:rStyle w:val="Style1Char"/>
          <w:sz w:val="22"/>
          <w:szCs w:val="22"/>
          <w:rtl/>
        </w:rPr>
        <w:t xml:space="preserve"> </w:t>
      </w:r>
      <w:r w:rsidRPr="002F2700">
        <w:rPr>
          <w:rStyle w:val="Style1Char"/>
          <w:color w:val="00B050"/>
          <w:rtl/>
        </w:rPr>
        <w:t xml:space="preserve">מתקיף לה רבי זירא, ואיתימא רבי שמואל בר נחמני, גדולה מזו אמרו: אלמנתו נזונת מנכסיו, הוא ואשתו מיבעיא? דשלח רבין באיגרתיה: מי שמת והניח אלמנה ובת - </w:t>
      </w:r>
      <w:r w:rsidR="008F2FC3">
        <w:rPr>
          <w:rStyle w:val="Style1Char"/>
          <w:rFonts w:hint="cs"/>
          <w:rtl/>
        </w:rPr>
        <w:t>(</w:t>
      </w:r>
      <w:r w:rsidR="00127A34">
        <w:rPr>
          <w:rStyle w:val="Style1Char"/>
          <w:rFonts w:hint="cs"/>
          <w:rtl/>
        </w:rPr>
        <w:t>3</w:t>
      </w:r>
      <w:r w:rsidR="008F2FC3">
        <w:rPr>
          <w:rStyle w:val="Style1Char"/>
          <w:rFonts w:hint="cs"/>
          <w:rtl/>
        </w:rPr>
        <w:t>)</w:t>
      </w:r>
      <w:r w:rsidRPr="002F2700">
        <w:rPr>
          <w:rStyle w:val="Style1Char"/>
          <w:color w:val="00B050"/>
          <w:rtl/>
        </w:rPr>
        <w:t xml:space="preserve">אלמנתו ניזונת מנכסיו, נישאת הבת - אלמנתו ניזונת מנכסיו, מתה הבת - אמר רבי יהודה בן אחותו של רבי יוסי בר חנינא: על ידי היה מעשה, ואמרו: </w:t>
      </w:r>
      <w:r w:rsidR="00127A34">
        <w:rPr>
          <w:rStyle w:val="Style1Char"/>
          <w:rFonts w:hint="cs"/>
          <w:rtl/>
        </w:rPr>
        <w:t>(3)</w:t>
      </w:r>
      <w:r w:rsidRPr="002F2700">
        <w:rPr>
          <w:rStyle w:val="Style1Char"/>
          <w:color w:val="00B050"/>
          <w:rtl/>
        </w:rPr>
        <w:t xml:space="preserve">אלמנתו ניזונת מנכסיו, הוא ואשתו מיבעיא? מהו דתימא, התם הוא דליכא דטרח, אבל הכא נטרח לדידיה ולדידה, קא משמע לן. איבעיא להו: הלכתא כוותיה, או לית הלכתא כוותיה? ת"ש: דרבי חנינא ור' יונתן הוו קיימי, אתא ההוא גברא גחין ונשקיה לר' יונתן אכרעיה, אמר ליה ר' חנינא: מאי האי? א"ל: כותב נכסיו לבניו הוא, </w:t>
      </w:r>
    </w:p>
    <w:p w14:paraId="77578A81" w14:textId="677AD4BD" w:rsidR="00203CBD" w:rsidRDefault="00203CBD" w:rsidP="00203CBD">
      <w:pPr>
        <w:pStyle w:val="Style1"/>
        <w:rPr>
          <w:rStyle w:val="Style1Char"/>
          <w:rtl/>
        </w:rPr>
      </w:pPr>
      <w:r>
        <w:rPr>
          <w:rStyle w:val="Style1Char"/>
          <w:rFonts w:hint="cs"/>
          <w:rtl/>
        </w:rPr>
        <w:t>1)[</w:t>
      </w:r>
      <w:r w:rsidRPr="00203CBD">
        <w:rPr>
          <w:rStyle w:val="Style1Char"/>
          <w:rtl/>
        </w:rPr>
        <w:t>רמב</w:t>
      </w:r>
      <w:r w:rsidR="00213DA1">
        <w:rPr>
          <w:rStyle w:val="Style1Char"/>
          <w:rtl/>
        </w:rPr>
        <w:t>”ם \נשים\</w:t>
      </w:r>
      <w:r w:rsidRPr="00203CBD">
        <w:rPr>
          <w:rStyle w:val="Style1Char"/>
          <w:rtl/>
        </w:rPr>
        <w:t xml:space="preserve"> הלכות אישות פרק יב הלכה יד</w:t>
      </w:r>
      <w:r>
        <w:rPr>
          <w:rStyle w:val="Style1Char"/>
          <w:rFonts w:hint="cs"/>
          <w:rtl/>
        </w:rPr>
        <w:t xml:space="preserve">] </w:t>
      </w:r>
      <w:r w:rsidRPr="00203CBD">
        <w:rPr>
          <w:rStyle w:val="Style1Char"/>
          <w:rtl/>
        </w:rPr>
        <w:t>כשם שאדם חייב במזונות אשתו כך הוא חייב במזונות בניו ובנותיו הקטנים עד שיהיו בני שש שנים, מכאן ואילך מאכילן עד שיגדלו כתקנת חכמים, ואם לא רצה גוערין בו ומכלימין אותו ופוצרין בו, אם לא רצה מכריזין עליו בציבור ואומרים פלוני אכזרי הוא ואינו רוצה לזון בניו והרי הוא פחות מעוף טמא שהוא זן את אפרוחיו, ואין כופין אותו לזונם אחר שש.</w:t>
      </w:r>
    </w:p>
    <w:p w14:paraId="0D30B3A1" w14:textId="098D4CC1" w:rsidR="0026771A" w:rsidRPr="001B7119" w:rsidRDefault="0035115C" w:rsidP="001B7119">
      <w:pPr>
        <w:pStyle w:val="Style1"/>
      </w:pPr>
      <w:r>
        <w:rPr>
          <w:rStyle w:val="Style1Char"/>
          <w:rFonts w:hint="cs"/>
          <w:rtl/>
        </w:rPr>
        <w:t>1)[</w:t>
      </w:r>
      <w:r w:rsidRPr="0035115C">
        <w:rPr>
          <w:rStyle w:val="Style1Char"/>
          <w:rtl/>
        </w:rPr>
        <w:t>שולחן ערוך אבן העזר הלכות כתובות סימן עא סעיף א</w:t>
      </w:r>
      <w:r>
        <w:rPr>
          <w:rStyle w:val="Style1Char"/>
          <w:rFonts w:hint="cs"/>
          <w:rtl/>
        </w:rPr>
        <w:t>]</w:t>
      </w:r>
      <w:r w:rsidR="001B7119">
        <w:rPr>
          <w:rStyle w:val="Style1Char"/>
          <w:rFonts w:hint="cs"/>
          <w:rtl/>
        </w:rPr>
        <w:t xml:space="preserve"> </w:t>
      </w:r>
      <w:r w:rsidR="0026771A" w:rsidRPr="001B7119">
        <w:rPr>
          <w:rtl/>
        </w:rPr>
        <w:t>חייב אדם לזון בניו ובנותיו עד שיהיו בני שש, אפילו יש להם נכסים שנפלו להם מבית אבי אמם; ומשם ואילך, זנן כתקנת חכמים עד שיגדלו. ואם לא רצה, גוערין בו ומכלימין אותו ופוצרין בו. ואם לא רצה, מכריזין עליו בציבור ואומרים: "פלוני אכזרי הוא ואינו רוצה לזון בניו, והרי הוא פחות מעוף טמא שהוא זן אפרוחיו"; ואין כופין אותו לזונן. במה דברים אמורים, בשאינו אמוד, אבל אם היה אמוד שיש לו ממון הראוי ליתן צדקה המספקת להם, מוציאים ממנו בעל כרחו, משום צדקה, וזנין אותם עד שיגדלו</w:t>
      </w:r>
      <w:r w:rsidR="0026771A" w:rsidRPr="001B7119">
        <w:t>.</w:t>
      </w:r>
    </w:p>
    <w:p w14:paraId="2067CCF4" w14:textId="7B6CDF78" w:rsidR="0026771A" w:rsidRDefault="0026771A" w:rsidP="001B7119">
      <w:pPr>
        <w:pStyle w:val="Style1"/>
        <w:rPr>
          <w:rtl/>
        </w:rPr>
      </w:pPr>
      <w:r w:rsidRPr="001B7119">
        <w:rPr>
          <w:rFonts w:hint="cs"/>
          <w:rtl/>
        </w:rPr>
        <w:t>הגה: ודווקא לעניין מזונות הבנות, אבל לא כופין להשיא בנותיו; ואף על פי שמצוה ליתן לבתו נדוניא ראויה, מכל מקום לא כייפינן לה, אלא מה שירצה יתן, רק שישיאן (הגהות מרדכי דקדושין, וכן כתב תא"ו נתיב כ"ב)</w:t>
      </w:r>
      <w:r w:rsidRPr="001B7119">
        <w:t>:</w:t>
      </w:r>
    </w:p>
    <w:p w14:paraId="1AC5FDD3" w14:textId="33F55D9B" w:rsidR="00E649DE" w:rsidRDefault="00E649DE" w:rsidP="00E649DE">
      <w:pPr>
        <w:pStyle w:val="Style1"/>
        <w:rPr>
          <w:rtl/>
        </w:rPr>
      </w:pPr>
      <w:r>
        <w:rPr>
          <w:rFonts w:hint="cs"/>
          <w:rtl/>
        </w:rPr>
        <w:t>2)[</w:t>
      </w:r>
      <w:r>
        <w:rPr>
          <w:rtl/>
        </w:rPr>
        <w:t>רמב</w:t>
      </w:r>
      <w:r w:rsidR="00213DA1">
        <w:rPr>
          <w:rtl/>
        </w:rPr>
        <w:t>”ם \נשים\</w:t>
      </w:r>
      <w:r>
        <w:rPr>
          <w:rtl/>
        </w:rPr>
        <w:t xml:space="preserve"> הלכות אישות פרק יב הלכה טו</w:t>
      </w:r>
      <w:r>
        <w:rPr>
          <w:rFonts w:hint="cs"/>
          <w:rtl/>
        </w:rPr>
        <w:t xml:space="preserve">] </w:t>
      </w:r>
      <w:r>
        <w:rPr>
          <w:rtl/>
        </w:rPr>
        <w:t>במה דברים אמורים באיש שאינו אמוד ואין ידוע אם ראוי ליתן צדקה או אינו ראוי אבל אם היה אמוד שיש לו ממון הראוי ליתן ממנו צדקה המספקת להן מוציאין ממנו בעל כרחו משום צדקה וזנין אותן עד שיגדלו.</w:t>
      </w:r>
    </w:p>
    <w:p w14:paraId="25AA8522" w14:textId="6BF55BCF" w:rsidR="00091830" w:rsidRDefault="00091830" w:rsidP="00091830">
      <w:pPr>
        <w:pStyle w:val="Style1"/>
        <w:rPr>
          <w:rtl/>
        </w:rPr>
      </w:pPr>
      <w:r>
        <w:rPr>
          <w:rFonts w:hint="cs"/>
          <w:rtl/>
        </w:rPr>
        <w:t>2)[</w:t>
      </w:r>
      <w:r>
        <w:rPr>
          <w:rtl/>
        </w:rPr>
        <w:t>רמב</w:t>
      </w:r>
      <w:r w:rsidR="00EC109D">
        <w:rPr>
          <w:rtl/>
        </w:rPr>
        <w:t>”ם \זרעים\</w:t>
      </w:r>
      <w:r>
        <w:rPr>
          <w:rtl/>
        </w:rPr>
        <w:t xml:space="preserve"> הלכות מתנות עניים פרק ז הלכה י</w:t>
      </w:r>
      <w:r>
        <w:rPr>
          <w:rFonts w:hint="cs"/>
          <w:rtl/>
        </w:rPr>
        <w:t xml:space="preserve">] </w:t>
      </w:r>
      <w:r>
        <w:rPr>
          <w:rtl/>
        </w:rPr>
        <w:t>מי שאינו רוצה ליתן צדקה או שיתן מעט ממה שראוי לו, בית דין כופין אותו ומכין אותו מכת מרדות עד שיתן מה שאמדוהו ליתן, ויורדין לנכסיו בפניו ולוקחין ממנו מה שראוי לו ליתן, וממשכנין על הצדקה ואפילו בערבי שבתות.</w:t>
      </w:r>
    </w:p>
    <w:p w14:paraId="54BF759B" w14:textId="1EE91AF4" w:rsidR="007C6887" w:rsidRDefault="008810F9" w:rsidP="007C6887">
      <w:pPr>
        <w:pStyle w:val="Style1"/>
        <w:rPr>
          <w:rtl/>
        </w:rPr>
      </w:pPr>
      <w:r>
        <w:rPr>
          <w:rFonts w:hint="cs"/>
          <w:rtl/>
        </w:rPr>
        <w:t>2</w:t>
      </w:r>
      <w:r w:rsidR="007C6887">
        <w:rPr>
          <w:rFonts w:hint="cs"/>
          <w:rtl/>
        </w:rPr>
        <w:t>)[</w:t>
      </w:r>
      <w:r w:rsidR="007C6887">
        <w:rPr>
          <w:rtl/>
        </w:rPr>
        <w:t>שולחן ערוך יורה דעה הלכות צדקה סימן רמח סעיף א</w:t>
      </w:r>
      <w:r w:rsidR="007C6887">
        <w:rPr>
          <w:rFonts w:hint="cs"/>
          <w:rtl/>
        </w:rPr>
        <w:t>]</w:t>
      </w:r>
      <w:r w:rsidR="004116BB">
        <w:rPr>
          <w:rFonts w:hint="cs"/>
          <w:rtl/>
        </w:rPr>
        <w:t xml:space="preserve"> </w:t>
      </w:r>
      <w:r w:rsidR="004116BB" w:rsidRPr="004116BB">
        <w:rPr>
          <w:rtl/>
        </w:rPr>
        <w:t>כל אדם חייב ליתן צדקה. אפילו עני המתפרנס מן הצדקה חייב ליתן ממה שיתנו לו. ומי שנותן פחות ממה שראוי (לו) ליתן -- בית דין היו כופין אותו ומכין אותו מכת מרדות עד שיתן מה שאמדוהו ליתן, ויורדים לנכסיו בפניו ולוקחין ממנו מה שראוי לו ליתן</w:t>
      </w:r>
      <w:r w:rsidR="004116BB" w:rsidRPr="004116BB">
        <w:t>:</w:t>
      </w:r>
    </w:p>
    <w:p w14:paraId="6FBBC001" w14:textId="26638D41" w:rsidR="007277C2" w:rsidRDefault="007277C2" w:rsidP="007277C2">
      <w:pPr>
        <w:pStyle w:val="Style1"/>
        <w:rPr>
          <w:rtl/>
        </w:rPr>
      </w:pPr>
      <w:r>
        <w:rPr>
          <w:rFonts w:hint="cs"/>
          <w:rtl/>
        </w:rPr>
        <w:t>3)[</w:t>
      </w:r>
      <w:r>
        <w:rPr>
          <w:rtl/>
        </w:rPr>
        <w:t>רמב</w:t>
      </w:r>
      <w:r w:rsidR="00213DA1">
        <w:rPr>
          <w:rtl/>
        </w:rPr>
        <w:t>”ם \נשים\</w:t>
      </w:r>
      <w:r>
        <w:rPr>
          <w:rtl/>
        </w:rPr>
        <w:t xml:space="preserve"> הלכות אישות פרק יט הלכה כא</w:t>
      </w:r>
      <w:r>
        <w:rPr>
          <w:rFonts w:hint="cs"/>
          <w:rtl/>
        </w:rPr>
        <w:t xml:space="preserve">] </w:t>
      </w:r>
      <w:r>
        <w:rPr>
          <w:rtl/>
        </w:rPr>
        <w:t>הניח אלמנה ובת ממנה או מאשה אחרת ואין בנכסים כדי שיזונו שתיהן האלמנה ניזונת והבת תשאל על הפתחים, וכן אני אומר שמזונות הבת קודמין לירושת הבן כתובת אמו שמתה בחיי אביו ואף על פי ששניהם מתנאי כתובה, קל וחומר הדברים ומה אם נדחת ירושה של תורה מפני מזונות הבת לא תדחה ירושת הכתובה שהיא תנאי בית דין מפני מזונות הבת.</w:t>
      </w:r>
    </w:p>
    <w:p w14:paraId="05A46B50" w14:textId="406BEEAD" w:rsidR="003054D3" w:rsidRPr="003054D3" w:rsidRDefault="008C5C8C" w:rsidP="003054D3">
      <w:pPr>
        <w:pStyle w:val="Style1"/>
      </w:pPr>
      <w:r>
        <w:rPr>
          <w:rFonts w:hint="cs"/>
          <w:rtl/>
        </w:rPr>
        <w:t>3)[</w:t>
      </w:r>
      <w:r>
        <w:rPr>
          <w:rtl/>
        </w:rPr>
        <w:t>שולחן ערוך אבן העזר הלכות כתובות סימן צג סעיף ד</w:t>
      </w:r>
      <w:r>
        <w:rPr>
          <w:rFonts w:hint="cs"/>
          <w:rtl/>
        </w:rPr>
        <w:t xml:space="preserve">] </w:t>
      </w:r>
      <w:r w:rsidR="003054D3" w:rsidRPr="003054D3">
        <w:rPr>
          <w:rtl/>
        </w:rPr>
        <w:t>המניח אלמנה ובת, ממנה או מאשה אחרת, ואין בנכסים כדי שיזונו שתיהן, האלמנה נזונית והבת תשאל על הפתחים. ויש אומרים דבין שהנכסים מרובין בין שהן מועטים, אם יש אלמנה ובן או אלמנה ובת, תזון היא עם הבן או עם הבת עד שיאכלו הנכסים; ואפילו אם תנשא הבת ומכנסת הנכסים לבעל, היא תזון מהם אפילו אחר מיתת הבת. אבל אם יש אלמנה ובן ובת, והנכסים מועטים שאין בהם כדי שיזונו הבת והבן עד שתבגר הבת, אז ידחו הבן והבת ותזון האלמנה לבדה עד שתגבה כתובתה</w:t>
      </w:r>
      <w:r w:rsidR="003054D3" w:rsidRPr="003054D3">
        <w:t>.</w:t>
      </w:r>
    </w:p>
    <w:p w14:paraId="0FB59C0E" w14:textId="77777777" w:rsidR="003054D3" w:rsidRPr="003054D3" w:rsidRDefault="003054D3" w:rsidP="003054D3">
      <w:pPr>
        <w:pStyle w:val="Style1"/>
      </w:pPr>
      <w:r w:rsidRPr="003054D3">
        <w:rPr>
          <w:rFonts w:hint="cs"/>
          <w:rtl/>
        </w:rPr>
        <w:t>הגה: ובמקום שהאלמנה דוחה הבנות, מוציאין לאלמנה מזון עד זמן שאומדין בית דין שראויה לחיות, אם זקנה ואם ילדה, ונותנין ביד שליש והוא מפרנסה אחד לשלשים יום (בית יוסף בשם המגיד משנה שכן כתב בשם הרמב"ן והרשב"א)</w:t>
      </w:r>
      <w:r w:rsidRPr="003054D3">
        <w:t>:</w:t>
      </w:r>
    </w:p>
    <w:p w14:paraId="6FB94B04" w14:textId="77777777" w:rsidR="003054D3" w:rsidRPr="003054D3" w:rsidRDefault="003054D3" w:rsidP="003054D3">
      <w:pPr>
        <w:pStyle w:val="Style1"/>
      </w:pPr>
    </w:p>
    <w:p w14:paraId="5D492607" w14:textId="0E3FF66D" w:rsidR="008810F9" w:rsidRPr="001B7119" w:rsidRDefault="008810F9" w:rsidP="008810F9">
      <w:pPr>
        <w:pStyle w:val="Style1"/>
      </w:pPr>
    </w:p>
    <w:p w14:paraId="1B7930AA" w14:textId="77777777" w:rsidR="0026771A" w:rsidRPr="001B7119" w:rsidRDefault="0026771A" w:rsidP="001B7119">
      <w:pPr>
        <w:pStyle w:val="Style1"/>
        <w:rPr>
          <w:rStyle w:val="Style1Char"/>
        </w:rPr>
      </w:pPr>
    </w:p>
    <w:p w14:paraId="03B591ED" w14:textId="47ECD103" w:rsidR="0035115C" w:rsidRPr="00203CBD" w:rsidRDefault="0035115C" w:rsidP="0035115C">
      <w:pPr>
        <w:pStyle w:val="Style1"/>
        <w:rPr>
          <w:rStyle w:val="Style1Char"/>
        </w:rPr>
      </w:pPr>
    </w:p>
    <w:p w14:paraId="6480859D" w14:textId="77777777" w:rsidR="000357F0" w:rsidRPr="00203CBD" w:rsidRDefault="000357F0" w:rsidP="00203CBD">
      <w:pPr>
        <w:pStyle w:val="Style1"/>
        <w:rPr>
          <w:rStyle w:val="Style1Char"/>
        </w:rPr>
      </w:pPr>
    </w:p>
    <w:p w14:paraId="79C61B21" w14:textId="77777777" w:rsidR="000357F0" w:rsidRDefault="000357F0" w:rsidP="000357F0">
      <w:pPr>
        <w:rPr>
          <w:rStyle w:val="Style1Char"/>
          <w:color w:val="00B050"/>
          <w:rtl/>
        </w:rPr>
      </w:pPr>
      <w:r>
        <w:rPr>
          <w:rStyle w:val="Style1Char"/>
          <w:color w:val="00B050"/>
          <w:rtl/>
        </w:rPr>
        <w:br w:type="page"/>
      </w:r>
    </w:p>
    <w:p w14:paraId="400BBC3F" w14:textId="35BDCA02" w:rsidR="000357F0" w:rsidRDefault="000357F0" w:rsidP="000357F0">
      <w:pPr>
        <w:bidi/>
        <w:rPr>
          <w:rStyle w:val="Style1Char"/>
          <w:color w:val="00B050"/>
        </w:rPr>
      </w:pPr>
      <w:r w:rsidRPr="00DC0DB4">
        <w:rPr>
          <w:rStyle w:val="Style1Char"/>
          <w:color w:val="00B050"/>
          <w:sz w:val="22"/>
          <w:szCs w:val="22"/>
          <w:highlight w:val="yellow"/>
          <w:rtl/>
        </w:rPr>
        <w:lastRenderedPageBreak/>
        <w:t>[דף נ עמוד א]</w:t>
      </w:r>
      <w:r w:rsidRPr="00DC0DB4">
        <w:rPr>
          <w:rStyle w:val="Style1Char"/>
          <w:color w:val="00B050"/>
          <w:sz w:val="22"/>
          <w:szCs w:val="22"/>
          <w:rtl/>
        </w:rPr>
        <w:t xml:space="preserve"> </w:t>
      </w:r>
      <w:r w:rsidRPr="002F2700">
        <w:rPr>
          <w:rStyle w:val="Style1Char"/>
          <w:color w:val="00B050"/>
          <w:rtl/>
        </w:rPr>
        <w:t xml:space="preserve">ועשיתינהו לזניה; אי אמרת בשלמא לאו דינא, משום הכי עשיינהו, </w:t>
      </w:r>
      <w:r w:rsidR="00431606">
        <w:rPr>
          <w:rStyle w:val="Style1Char"/>
          <w:rFonts w:hint="cs"/>
          <w:rtl/>
        </w:rPr>
        <w:t>(1)</w:t>
      </w:r>
      <w:r w:rsidRPr="002F2700">
        <w:rPr>
          <w:rStyle w:val="Style1Char"/>
          <w:color w:val="00B050"/>
          <w:rtl/>
        </w:rPr>
        <w:t xml:space="preserve">אלא אי אמרת דינא, עשיינהו בעי? </w:t>
      </w:r>
      <w:r w:rsidRPr="00BF5C0E">
        <w:rPr>
          <w:rStyle w:val="Style1Char"/>
          <w:color w:val="auto"/>
          <w:sz w:val="22"/>
          <w:szCs w:val="22"/>
          <w:rtl/>
        </w:rPr>
        <w:t>א"ר</w:t>
      </w:r>
      <w:r w:rsidRPr="008F20FA">
        <w:rPr>
          <w:rStyle w:val="Style1Char"/>
          <w:sz w:val="22"/>
          <w:szCs w:val="22"/>
          <w:rtl/>
        </w:rPr>
        <w:t xml:space="preserve"> </w:t>
      </w:r>
      <w:r w:rsidRPr="00BF5C0E">
        <w:rPr>
          <w:rStyle w:val="Style1Char"/>
          <w:color w:val="ED7D31" w:themeColor="accent2"/>
          <w:rtl/>
        </w:rPr>
        <w:t xml:space="preserve">אילעא </w:t>
      </w:r>
      <w:r w:rsidRPr="008F20FA">
        <w:rPr>
          <w:rStyle w:val="Style1Char"/>
          <w:color w:val="C00000"/>
          <w:sz w:val="22"/>
          <w:szCs w:val="22"/>
          <w:rtl/>
        </w:rPr>
        <w:t>אילא</w:t>
      </w:r>
      <w:r w:rsidRPr="008F20FA">
        <w:rPr>
          <w:rStyle w:val="Style1Char"/>
          <w:sz w:val="22"/>
          <w:szCs w:val="22"/>
          <w:rtl/>
        </w:rPr>
        <w:t xml:space="preserve">: </w:t>
      </w:r>
      <w:r w:rsidRPr="00BF5C0E">
        <w:rPr>
          <w:rStyle w:val="Style1Char"/>
          <w:color w:val="auto"/>
          <w:sz w:val="22"/>
          <w:szCs w:val="22"/>
          <w:rtl/>
        </w:rPr>
        <w:t xml:space="preserve">באושא התקינו, </w:t>
      </w:r>
      <w:r w:rsidR="0066552D">
        <w:rPr>
          <w:rStyle w:val="Style1Char"/>
          <w:rFonts w:hint="cs"/>
          <w:rtl/>
        </w:rPr>
        <w:t>(2)</w:t>
      </w:r>
      <w:r w:rsidRPr="00BF5C0E">
        <w:rPr>
          <w:rStyle w:val="Style1Char"/>
          <w:color w:val="auto"/>
          <w:sz w:val="22"/>
          <w:szCs w:val="22"/>
          <w:rtl/>
        </w:rPr>
        <w:t>המבזבז - אל יבזבז יותר מחומש</w:t>
      </w:r>
      <w:r w:rsidRPr="008F20FA">
        <w:rPr>
          <w:rStyle w:val="Style1Char"/>
          <w:sz w:val="22"/>
          <w:szCs w:val="22"/>
          <w:rtl/>
        </w:rPr>
        <w:t xml:space="preserve">. </w:t>
      </w:r>
      <w:r w:rsidRPr="002F2700">
        <w:rPr>
          <w:rStyle w:val="Style1Char"/>
          <w:color w:val="00B050"/>
          <w:rtl/>
        </w:rPr>
        <w:t xml:space="preserve">תניא נמי הכי: המבזבז - אל יבזבז יותר מחומש, </w:t>
      </w:r>
      <w:r w:rsidRPr="00BF5C0E">
        <w:rPr>
          <w:rStyle w:val="Style1Char"/>
          <w:color w:val="auto"/>
          <w:sz w:val="22"/>
          <w:szCs w:val="22"/>
          <w:rtl/>
        </w:rPr>
        <w:t>שמא יצטרך לבריות</w:t>
      </w:r>
      <w:r w:rsidRPr="00BF5C0E">
        <w:rPr>
          <w:rStyle w:val="Style1Char"/>
          <w:color w:val="auto"/>
          <w:rtl/>
        </w:rPr>
        <w:t xml:space="preserve"> </w:t>
      </w:r>
      <w:r w:rsidRPr="00C81021">
        <w:rPr>
          <w:rStyle w:val="Style1Char"/>
          <w:color w:val="4472C4" w:themeColor="accent1"/>
          <w:rtl/>
        </w:rPr>
        <w:t>ירושלמי פעם ראשונה יכול לבזבז חומש ואח"כ חומש מן הריוח בכל שנה</w:t>
      </w:r>
      <w:r w:rsidRPr="00085BA8">
        <w:rPr>
          <w:rStyle w:val="Style1Char"/>
          <w:color w:val="C00000"/>
          <w:sz w:val="22"/>
          <w:szCs w:val="22"/>
          <w:rtl/>
        </w:rPr>
        <w:t xml:space="preserve"> והני מילי מחיים אבל לאחר מיתה לית לן בה כמעשה דמר עוקבא בפרק מציאת האשה [כתובות ס"ז ע"ב]:</w:t>
      </w:r>
      <w:r w:rsidRPr="002F2700">
        <w:rPr>
          <w:rStyle w:val="Style1Char"/>
          <w:color w:val="00B050"/>
          <w:rtl/>
        </w:rPr>
        <w:t xml:space="preserve">; ומעשה באחד שבקש לבזבז [יותר מחומש] ולא הניח לו חבירו, ומנו? רבי ישבב, ואמרי לה רבי ישבב, ולא הניחו חבירו, ומנו? רבי עקיבא. אמר רב נחמן, ואיתימא רב אחא בר יעקב: מאי קרא? וכל אשר תתן לי עשר אעשרנו לך. והא לא דמי עישורא בתרא לעישורא קמא! אמר רב אשי: אעשרנו לבתרא כי קמא, אמר רב שימי בר אשי: ושמועות הללו מתמעטות והולכות, וסימניך: קטנים כתבו ובזבזו. </w:t>
      </w:r>
    </w:p>
    <w:p w14:paraId="1D418F16" w14:textId="51BEEEF8" w:rsidR="000357F0" w:rsidRDefault="000357F0" w:rsidP="000357F0">
      <w:pPr>
        <w:bidi/>
        <w:rPr>
          <w:rStyle w:val="Style1Char"/>
          <w:color w:val="00B050"/>
        </w:rPr>
      </w:pPr>
      <w:r w:rsidRPr="00A16FD6">
        <w:rPr>
          <w:rStyle w:val="Style1Char"/>
          <w:color w:val="auto"/>
          <w:sz w:val="22"/>
          <w:szCs w:val="22"/>
          <w:rtl/>
        </w:rPr>
        <w:t xml:space="preserve">אמר רב יצחק: באושא התקינו, שיהא אדם מתגלגל עם בנו </w:t>
      </w:r>
      <w:r w:rsidRPr="004E761B">
        <w:rPr>
          <w:rStyle w:val="Style1Char"/>
          <w:color w:val="C00000"/>
          <w:sz w:val="22"/>
          <w:szCs w:val="22"/>
          <w:rtl/>
        </w:rPr>
        <w:t xml:space="preserve">בתלמוד תורה </w:t>
      </w:r>
      <w:r w:rsidRPr="00A16FD6">
        <w:rPr>
          <w:rStyle w:val="Style1Char"/>
          <w:color w:val="auto"/>
          <w:sz w:val="22"/>
          <w:szCs w:val="22"/>
          <w:rtl/>
        </w:rPr>
        <w:t xml:space="preserve">עד שתים עשרה שנה, מכאן ואילך יורד עמו לחייו. איני? והא אמר ליה רב לרב שמואל בר שילת: </w:t>
      </w:r>
      <w:r w:rsidR="00755EBC">
        <w:rPr>
          <w:rStyle w:val="Style1Char"/>
          <w:rFonts w:hint="cs"/>
          <w:rtl/>
        </w:rPr>
        <w:t>(3)</w:t>
      </w:r>
      <w:r w:rsidRPr="00A16FD6">
        <w:rPr>
          <w:rStyle w:val="Style1Char"/>
          <w:color w:val="auto"/>
          <w:sz w:val="22"/>
          <w:szCs w:val="22"/>
          <w:rtl/>
        </w:rPr>
        <w:t xml:space="preserve">בציר מבר שית לא תקביל, בר שית קביל וספי ליה כתורא! </w:t>
      </w:r>
      <w:r w:rsidRPr="002F2700">
        <w:rPr>
          <w:rStyle w:val="Style1Char"/>
          <w:color w:val="00B050"/>
          <w:rtl/>
        </w:rPr>
        <w:t xml:space="preserve">אין, ספי ליה כתורא, מיהו אינו יורד עמו לחייו עד לאחר שתים עשרה שנה. ואב"א, </w:t>
      </w:r>
      <w:r w:rsidRPr="00AC5747">
        <w:rPr>
          <w:rStyle w:val="Style1Char"/>
          <w:color w:val="auto"/>
          <w:sz w:val="22"/>
          <w:szCs w:val="22"/>
          <w:rtl/>
        </w:rPr>
        <w:t>לא קשיא: הא למקרא, הא למשנה; דאמר אביי, אמרה לי אם: בר שית למקרא, בר עשר למשנה,</w:t>
      </w:r>
      <w:r w:rsidRPr="00AC5747">
        <w:rPr>
          <w:rStyle w:val="Style1Char"/>
          <w:color w:val="auto"/>
          <w:rtl/>
        </w:rPr>
        <w:t xml:space="preserve"> </w:t>
      </w:r>
      <w:r w:rsidRPr="00AC5747">
        <w:rPr>
          <w:rStyle w:val="Style1Char"/>
          <w:color w:val="auto"/>
          <w:sz w:val="22"/>
          <w:szCs w:val="22"/>
          <w:rtl/>
        </w:rPr>
        <w:t>בר</w:t>
      </w:r>
      <w:r w:rsidRPr="003903F3">
        <w:rPr>
          <w:rStyle w:val="Style1Char"/>
          <w:sz w:val="22"/>
          <w:szCs w:val="22"/>
          <w:rtl/>
        </w:rPr>
        <w:t xml:space="preserve"> </w:t>
      </w:r>
      <w:r w:rsidRPr="002F2700">
        <w:rPr>
          <w:rStyle w:val="Style1Char"/>
          <w:color w:val="00B050"/>
          <w:rtl/>
        </w:rPr>
        <w:t xml:space="preserve">תליסר </w:t>
      </w:r>
      <w:r w:rsidRPr="00AC5747">
        <w:rPr>
          <w:rStyle w:val="Style1Char"/>
          <w:color w:val="806000" w:themeColor="accent4" w:themeShade="80"/>
          <w:sz w:val="22"/>
          <w:szCs w:val="22"/>
          <w:rtl/>
        </w:rPr>
        <w:t xml:space="preserve">תריסר </w:t>
      </w:r>
      <w:r w:rsidRPr="00AC5747">
        <w:rPr>
          <w:rStyle w:val="Style1Char"/>
          <w:color w:val="auto"/>
          <w:sz w:val="22"/>
          <w:szCs w:val="22"/>
          <w:rtl/>
        </w:rPr>
        <w:t xml:space="preserve">לתעניתא </w:t>
      </w:r>
      <w:r w:rsidRPr="003903F3">
        <w:rPr>
          <w:rStyle w:val="Style1Char"/>
          <w:sz w:val="22"/>
          <w:szCs w:val="22"/>
          <w:rtl/>
        </w:rPr>
        <w:t xml:space="preserve">מעת לעת, </w:t>
      </w:r>
      <w:r w:rsidRPr="00AC5747">
        <w:rPr>
          <w:rStyle w:val="Style1Char"/>
          <w:color w:val="auto"/>
          <w:sz w:val="22"/>
          <w:szCs w:val="22"/>
          <w:rtl/>
        </w:rPr>
        <w:t xml:space="preserve">ובתינוקת </w:t>
      </w:r>
      <w:r w:rsidRPr="002F2700">
        <w:rPr>
          <w:rStyle w:val="Style1Char"/>
          <w:color w:val="00B050"/>
          <w:rtl/>
        </w:rPr>
        <w:t xml:space="preserve">- בת תריסר. אמר אביי, אמרה לי אם: האי בר שית דטרקא ליה עקרבא ביומא דמישלם שית - לא חיי; מאי אסותיה? מררתא דדיה חיורתא בשיכרא, נשפייה ונשקייה. האי בר שתא דטריק ליה זיבורא ביומא דמישלם שתא - לא חיי; מאי אסותיה? אצותא דדיקלא במיא, נשפייה ונשקייה. אמר רב קטינא: כל המכניס את בנו פחות מבן שש - רץ אחריו ואינו מגיעו. איכא דאמרי: חביריו רצין אחריו ואין מגיעין אותו. ותרוייהו איתנהו, חליש וגמיר. איבעית אימא: </w:t>
      </w:r>
      <w:r w:rsidR="00844D07">
        <w:rPr>
          <w:rStyle w:val="Style1Char"/>
          <w:rFonts w:hint="cs"/>
          <w:rtl/>
        </w:rPr>
        <w:t>(</w:t>
      </w:r>
      <w:r w:rsidR="00863225">
        <w:rPr>
          <w:rStyle w:val="Style1Char"/>
          <w:rFonts w:hint="cs"/>
          <w:rtl/>
        </w:rPr>
        <w:t>4</w:t>
      </w:r>
      <w:r w:rsidR="00844D07">
        <w:rPr>
          <w:rStyle w:val="Style1Char"/>
          <w:rFonts w:hint="cs"/>
          <w:rtl/>
        </w:rPr>
        <w:t>)</w:t>
      </w:r>
      <w:r w:rsidRPr="002F2700">
        <w:rPr>
          <w:rStyle w:val="Style1Char"/>
          <w:color w:val="00B050"/>
          <w:rtl/>
        </w:rPr>
        <w:t xml:space="preserve">הא דכחיש, הא דבריא. </w:t>
      </w:r>
    </w:p>
    <w:p w14:paraId="771AFC6E" w14:textId="203B8E30" w:rsidR="000357F0" w:rsidRDefault="000357F0" w:rsidP="000357F0">
      <w:pPr>
        <w:bidi/>
        <w:rPr>
          <w:rStyle w:val="Style1Char"/>
          <w:color w:val="4472C4" w:themeColor="accent1"/>
        </w:rPr>
      </w:pPr>
      <w:r w:rsidRPr="005413FF">
        <w:rPr>
          <w:rStyle w:val="Style1Char"/>
          <w:color w:val="auto"/>
          <w:sz w:val="22"/>
          <w:szCs w:val="22"/>
          <w:rtl/>
        </w:rPr>
        <w:t xml:space="preserve">אמר רבי יוסי בר חנינא: באושא התקינו, </w:t>
      </w:r>
      <w:r w:rsidR="005D5B0D">
        <w:rPr>
          <w:rStyle w:val="Style1Char"/>
          <w:rFonts w:hint="cs"/>
          <w:rtl/>
        </w:rPr>
        <w:t>(</w:t>
      </w:r>
      <w:r w:rsidR="00863225">
        <w:rPr>
          <w:rStyle w:val="Style1Char"/>
          <w:rFonts w:hint="cs"/>
          <w:rtl/>
        </w:rPr>
        <w:t>5</w:t>
      </w:r>
      <w:r w:rsidR="005D5B0D">
        <w:rPr>
          <w:rStyle w:val="Style1Char"/>
          <w:rFonts w:hint="cs"/>
          <w:rtl/>
        </w:rPr>
        <w:t>)</w:t>
      </w:r>
      <w:r w:rsidRPr="005413FF">
        <w:rPr>
          <w:rStyle w:val="Style1Char"/>
          <w:color w:val="auto"/>
          <w:sz w:val="22"/>
          <w:szCs w:val="22"/>
          <w:rtl/>
        </w:rPr>
        <w:t>האשה שמכרה בנכסי מלוג בחיי בעלה ומתה - הבעל מוציא מיד הלקוחות</w:t>
      </w:r>
      <w:r w:rsidRPr="005413FF">
        <w:rPr>
          <w:rStyle w:val="Style1Char"/>
          <w:color w:val="auto"/>
          <w:rtl/>
        </w:rPr>
        <w:t xml:space="preserve"> </w:t>
      </w:r>
      <w:r w:rsidRPr="00C81021">
        <w:rPr>
          <w:rStyle w:val="Style1Char"/>
          <w:color w:val="4472C4" w:themeColor="accent1"/>
          <w:rtl/>
        </w:rPr>
        <w:t xml:space="preserve">דשוויה רבנן כלוקח ראשון הילכך מוציא בלא דמים ומוציא לאו דווקא דכל ימי האשה הקרקע ביד הבעל ואוכל פירות והיא מוכרת הגוף מעכשיו והפירות לאחר מיתתה והבעל מוציא מיד הלוקח הגוף שמכרה לו מעכשיו וישאר אצלו </w:t>
      </w:r>
      <w:r>
        <w:rPr>
          <w:rStyle w:val="Style1Char"/>
          <w:rFonts w:hint="cs"/>
          <w:color w:val="4472C4" w:themeColor="accent1"/>
        </w:rPr>
        <w:t>‍</w:t>
      </w:r>
      <w:r w:rsidRPr="00C81021">
        <w:rPr>
          <w:rStyle w:val="Style1Char"/>
          <w:color w:val="4472C4" w:themeColor="accent1"/>
          <w:rtl/>
        </w:rPr>
        <w:t>ואי איתנהו להנהו דמי דשקלה איתתיה מהדר להו ללוקח דגזל הוו כיון דהמכר לא הוה מכר אם נמצאו מעות בידה אנו תולים שדמי מכר זה הן ולא מצי בעל למימר דילמא מציאה אשכחה</w:t>
      </w:r>
    </w:p>
    <w:p w14:paraId="61530610" w14:textId="1F4FE3DF" w:rsidR="000357F0" w:rsidRPr="002F2700" w:rsidRDefault="000357F0" w:rsidP="000357F0">
      <w:pPr>
        <w:bidi/>
        <w:rPr>
          <w:rStyle w:val="Style1Char"/>
          <w:color w:val="00B050"/>
        </w:rPr>
      </w:pPr>
      <w:r w:rsidRPr="00C81021">
        <w:rPr>
          <w:rStyle w:val="Style1Char"/>
          <w:color w:val="4472C4" w:themeColor="accent1"/>
        </w:rPr>
        <w:t xml:space="preserve">: </w:t>
      </w:r>
      <w:r w:rsidRPr="001D4E59">
        <w:rPr>
          <w:rStyle w:val="Style1Char"/>
          <w:color w:val="C00000"/>
          <w:rtl/>
        </w:rPr>
        <w:t>וקי"ל דבעל מוציא מיד הלקוחות בלא דמים ואי איתנהו להנהו דמי דשקלה אתתיה מהדר להו ללוקח ולא יכול בעל למימר דילמא מציאה אשכחה:</w:t>
      </w:r>
      <w:r w:rsidRPr="002F2700">
        <w:rPr>
          <w:rStyle w:val="Style1Char"/>
          <w:color w:val="00B050"/>
          <w:rtl/>
        </w:rPr>
        <w:t>. אשכחיה רב יצחק בר יוסף לר' אבהו דהוה קאי באוכלוסא דאושא, אמר ליה: מאן מרה דשמעתא דאושא? אמר ליה: רבי יוסי בר חנינא; תנא מיניה ארבעין זימנין, ודמי ליה כמאן דמנחא ליה בכיסתיה</w:t>
      </w:r>
      <w:r w:rsidRPr="003903F3">
        <w:rPr>
          <w:rStyle w:val="Style1Char"/>
          <w:sz w:val="22"/>
          <w:szCs w:val="22"/>
          <w:rtl/>
        </w:rPr>
        <w:t xml:space="preserve">. </w:t>
      </w:r>
      <w:r w:rsidRPr="004000DC">
        <w:rPr>
          <w:rStyle w:val="Style1Char"/>
          <w:color w:val="auto"/>
          <w:sz w:val="22"/>
          <w:szCs w:val="22"/>
          <w:rtl/>
        </w:rPr>
        <w:t xml:space="preserve">אשרי שומרי משפט עושה צדקה בכל עת - וכי אפשר לעשות צדקה בכל עת? דרשו רבותינו שביבנה, ואמרי לה רבי אליעזר: </w:t>
      </w:r>
      <w:r w:rsidR="005D5B0D">
        <w:rPr>
          <w:rStyle w:val="Style1Char"/>
          <w:rFonts w:hint="cs"/>
          <w:rtl/>
        </w:rPr>
        <w:t>(</w:t>
      </w:r>
      <w:r w:rsidR="00863225">
        <w:rPr>
          <w:rStyle w:val="Style1Char"/>
          <w:rFonts w:hint="cs"/>
          <w:rtl/>
        </w:rPr>
        <w:t>6</w:t>
      </w:r>
      <w:r w:rsidR="005D5B0D">
        <w:rPr>
          <w:rStyle w:val="Style1Char"/>
          <w:rFonts w:hint="cs"/>
          <w:rtl/>
        </w:rPr>
        <w:t>)</w:t>
      </w:r>
      <w:r w:rsidRPr="004000DC">
        <w:rPr>
          <w:rStyle w:val="Style1Char"/>
          <w:color w:val="auto"/>
          <w:sz w:val="22"/>
          <w:szCs w:val="22"/>
          <w:rtl/>
        </w:rPr>
        <w:t>זה הזן בניו ובנותיו כשהן קטנים. רבי שמואל בר נחמני אמר: זה המגדל יתום ויתומה בתוך ביתו ומשיאן</w:t>
      </w:r>
      <w:r w:rsidRPr="004000DC">
        <w:rPr>
          <w:rStyle w:val="Style1Char"/>
          <w:color w:val="auto"/>
          <w:rtl/>
        </w:rPr>
        <w:t xml:space="preserve"> </w:t>
      </w:r>
      <w:r w:rsidRPr="000761E8">
        <w:rPr>
          <w:rStyle w:val="Style1Char"/>
          <w:color w:val="C00000"/>
          <w:sz w:val="22"/>
          <w:szCs w:val="22"/>
          <w:rtl/>
        </w:rPr>
        <w:t>סמוך לפרקן</w:t>
      </w:r>
      <w:r w:rsidRPr="000761E8">
        <w:rPr>
          <w:rStyle w:val="Style1Char"/>
          <w:sz w:val="22"/>
          <w:szCs w:val="22"/>
          <w:rtl/>
        </w:rPr>
        <w:t>.</w:t>
      </w:r>
      <w:r w:rsidRPr="002F2700">
        <w:rPr>
          <w:rStyle w:val="Style1Char"/>
          <w:color w:val="00B050"/>
          <w:rtl/>
        </w:rPr>
        <w:t xml:space="preserve"> </w:t>
      </w:r>
      <w:r w:rsidRPr="004000DC">
        <w:rPr>
          <w:rStyle w:val="Style1Char"/>
          <w:color w:val="auto"/>
          <w:sz w:val="22"/>
          <w:szCs w:val="22"/>
          <w:rtl/>
        </w:rPr>
        <w:t>הון ועושר בביתו וצדקתו עומדת לעד - רב הונא ורב חסדא, חד אמר: זה הלומד תורה ומלמדה, וחד אמר: זה הכותב תורה נביאים וכתובים ומשאילן לאחרים</w:t>
      </w:r>
      <w:r w:rsidRPr="002F2700">
        <w:rPr>
          <w:rStyle w:val="Style1Char"/>
          <w:color w:val="00B050"/>
          <w:rtl/>
        </w:rPr>
        <w:t xml:space="preserve">. וראה בנים לבניך שלום על ישראל - אמר רבי יהושע בן לוי: כיון שבנים לבניך שלום על ישראל, דלא אתי לידי חליצה ויבום. רבי שמואל בר נחמני אמר: כיון שבנים לבניך שלום על דייני ישראל, דלא אתי לאינצויי. </w:t>
      </w:r>
    </w:p>
    <w:p w14:paraId="491C88A0" w14:textId="4B874BD1" w:rsidR="000357F0" w:rsidRDefault="000357F0" w:rsidP="000357F0">
      <w:pPr>
        <w:bidi/>
        <w:rPr>
          <w:rStyle w:val="Style1Char"/>
          <w:color w:val="00B050"/>
          <w:rtl/>
        </w:rPr>
      </w:pPr>
      <w:r w:rsidRPr="00C25A4D">
        <w:rPr>
          <w:rStyle w:val="Style1Char"/>
          <w:color w:val="auto"/>
          <w:sz w:val="22"/>
          <w:szCs w:val="22"/>
          <w:rtl/>
        </w:rPr>
        <w:t xml:space="preserve">זה מדרש דרש ר"א </w:t>
      </w:r>
      <w:r w:rsidRPr="00814B0E">
        <w:rPr>
          <w:rStyle w:val="Style1Char"/>
          <w:color w:val="806000" w:themeColor="accent4" w:themeShade="80"/>
          <w:sz w:val="22"/>
          <w:szCs w:val="22"/>
          <w:rtl/>
        </w:rPr>
        <w:t xml:space="preserve">בן עזריה </w:t>
      </w:r>
      <w:r w:rsidRPr="002F2700">
        <w:rPr>
          <w:rStyle w:val="Style1Char"/>
          <w:color w:val="00B050"/>
          <w:rtl/>
        </w:rPr>
        <w:t xml:space="preserve">לפני חכמים כו'. </w:t>
      </w:r>
    </w:p>
    <w:p w14:paraId="07C3E161" w14:textId="7EF0FE51" w:rsidR="00D93F3F" w:rsidRPr="00D93F3F" w:rsidRDefault="00D93F3F" w:rsidP="00D93F3F">
      <w:pPr>
        <w:pStyle w:val="Style1"/>
        <w:rPr>
          <w:rStyle w:val="Style1Char"/>
        </w:rPr>
      </w:pPr>
      <w:r>
        <w:rPr>
          <w:rStyle w:val="Style1Char"/>
          <w:rFonts w:hint="cs"/>
          <w:rtl/>
        </w:rPr>
        <w:t>1)[</w:t>
      </w:r>
      <w:r w:rsidRPr="00D93F3F">
        <w:rPr>
          <w:rStyle w:val="Style1Char"/>
          <w:rtl/>
        </w:rPr>
        <w:t>טור חושן משפט הלכות מתנת שכיב מרע סימן רנז</w:t>
      </w:r>
      <w:r w:rsidR="00274F4A">
        <w:rPr>
          <w:rStyle w:val="Style1Char"/>
          <w:rFonts w:hint="cs"/>
          <w:rtl/>
        </w:rPr>
        <w:t>]</w:t>
      </w:r>
    </w:p>
    <w:p w14:paraId="00A9E8DC" w14:textId="488C27EC" w:rsidR="00D93F3F" w:rsidRPr="00D93F3F" w:rsidRDefault="00D93F3F" w:rsidP="00D93F3F">
      <w:pPr>
        <w:pStyle w:val="Style1"/>
        <w:rPr>
          <w:rStyle w:val="Style1Char"/>
        </w:rPr>
      </w:pPr>
      <w:r w:rsidRPr="00D93F3F">
        <w:rPr>
          <w:rStyle w:val="Style1Char"/>
          <w:rtl/>
        </w:rPr>
        <w:t>א הכותב נכסיו לבנו הגוף מהיום והפירות לאחר מיתה</w:t>
      </w:r>
      <w:r w:rsidR="00274F4A">
        <w:rPr>
          <w:rStyle w:val="Style1Char"/>
          <w:rFonts w:hint="cs"/>
          <w:rtl/>
        </w:rPr>
        <w:t xml:space="preserve"> </w:t>
      </w:r>
      <w:r w:rsidRPr="00D93F3F">
        <w:rPr>
          <w:rStyle w:val="Style1Char"/>
          <w:rtl/>
        </w:rPr>
        <w:t>האב תולש הפירות כל ימי חייו ואוכל ומאכיל לכל מי שירצה ומה שהניח תלוש כשמת אפי' תלשו קודם שהגיע זמנו לתלוש או שהגיע זמנו לתלוש אפילו הוא מחובר חשוב כתלוש והן של יורשין אבל המחובר שלא הגיע זמנו עדיין לתלוש הוא של בן המקבל המתנה:</w:t>
      </w:r>
    </w:p>
    <w:p w14:paraId="1156F041" w14:textId="1A7FCC41" w:rsidR="00D93F3F" w:rsidRPr="00D93F3F" w:rsidRDefault="00D93F3F" w:rsidP="00D93F3F">
      <w:pPr>
        <w:pStyle w:val="Style1"/>
        <w:rPr>
          <w:rStyle w:val="Style1Char"/>
        </w:rPr>
      </w:pPr>
      <w:r w:rsidRPr="00D93F3F">
        <w:rPr>
          <w:rStyle w:val="Style1Char"/>
          <w:rtl/>
        </w:rPr>
        <w:t>ב בד"א בנותן לבנו לפי</w:t>
      </w:r>
      <w:r w:rsidR="00607942">
        <w:rPr>
          <w:rStyle w:val="Style1Char"/>
          <w:rFonts w:hint="cs"/>
          <w:rtl/>
        </w:rPr>
        <w:t xml:space="preserve"> </w:t>
      </w:r>
      <w:r w:rsidRPr="00D93F3F">
        <w:rPr>
          <w:rStyle w:val="Style1Char"/>
          <w:rtl/>
        </w:rPr>
        <w:t>שדעתו של אדם קרובה אצל בנו אבל אם נתן לנכרי או שמכר בן המקבל המתנה כחו לנכרי אפילו במחוברים שלא הגיע זמנן ליתלש אין לנכרי המקבל או לבא מכח הבן כלום אלא הן של היורשין ושמין כמה הן שוין עתה וכן יתן המקבל ליורשי הנותן או יניחם בשדה ליורשי הנותן עד שיגמרו:</w:t>
      </w:r>
    </w:p>
    <w:p w14:paraId="4F4BA729" w14:textId="77777777" w:rsidR="00D93F3F" w:rsidRPr="00D93F3F" w:rsidRDefault="00D93F3F" w:rsidP="00D93F3F">
      <w:pPr>
        <w:pStyle w:val="Style1"/>
        <w:rPr>
          <w:rStyle w:val="Style1Char"/>
        </w:rPr>
      </w:pPr>
      <w:r w:rsidRPr="00D93F3F">
        <w:rPr>
          <w:rStyle w:val="Style1Char"/>
          <w:rtl/>
        </w:rPr>
        <w:t>ג האב אינו יכול למכור הגוף והבן אינו יכול למכור הפירות מעכשיו מכר האב הפירות מכורין עד שימות וכשימות האב הולך הבן ומוציא מהלקוחות כדרך שהיה עושה אם לא מכר האב:</w:t>
      </w:r>
    </w:p>
    <w:p w14:paraId="2458A20E" w14:textId="77777777" w:rsidR="00D93F3F" w:rsidRPr="00D93F3F" w:rsidRDefault="00D93F3F" w:rsidP="00D93F3F">
      <w:pPr>
        <w:pStyle w:val="Style1"/>
        <w:rPr>
          <w:rStyle w:val="Style1Char"/>
        </w:rPr>
      </w:pPr>
      <w:r w:rsidRPr="00D93F3F">
        <w:rPr>
          <w:rStyle w:val="Style1Char"/>
          <w:rtl/>
        </w:rPr>
        <w:t>ד ואפילו אם מת הבן בחיי האב יורשין עומדין במקומו לירש מתנתו:</w:t>
      </w:r>
    </w:p>
    <w:p w14:paraId="774DC042" w14:textId="77777777" w:rsidR="00D93F3F" w:rsidRPr="00D93F3F" w:rsidRDefault="00D93F3F" w:rsidP="00D93F3F">
      <w:pPr>
        <w:pStyle w:val="Style1"/>
        <w:rPr>
          <w:rStyle w:val="Style1Char"/>
        </w:rPr>
      </w:pPr>
      <w:r w:rsidRPr="00D93F3F">
        <w:rPr>
          <w:rStyle w:val="Style1Char"/>
          <w:rtl/>
        </w:rPr>
        <w:t>ה מכר הבן אין ללוקח כלום עד שימות האב וכשימות האב יקח הלוקח הכל אפילו אם מת הבן:</w:t>
      </w:r>
    </w:p>
    <w:p w14:paraId="7CD5A79F" w14:textId="292E0F87" w:rsidR="00D93F3F" w:rsidRPr="00D93F3F" w:rsidRDefault="00D93F3F" w:rsidP="00D93F3F">
      <w:pPr>
        <w:pStyle w:val="Style1"/>
        <w:rPr>
          <w:rStyle w:val="Style1Char"/>
        </w:rPr>
      </w:pPr>
      <w:r w:rsidRPr="00D93F3F">
        <w:rPr>
          <w:rStyle w:val="Style1Char"/>
          <w:rtl/>
        </w:rPr>
        <w:t>ו כתב הרמב"ם ז"ל מתנת בריא שכתוב בה מהיום ולאחר מיתה הרי זו מתנת שכ"מ שאינה קונה אלא לאחר מיתה שמשמע [דברים אלו] אף על פי שקונה הגוף מחיים אינו זוכה בו לאכול הפירות עד לאחר מיתה ע"כ</w:t>
      </w:r>
      <w:r w:rsidR="00274F4A">
        <w:rPr>
          <w:rStyle w:val="Style1Char"/>
          <w:rFonts w:hint="cs"/>
          <w:rtl/>
        </w:rPr>
        <w:t xml:space="preserve"> </w:t>
      </w:r>
      <w:r w:rsidRPr="00D93F3F">
        <w:rPr>
          <w:rStyle w:val="Style1Char"/>
          <w:rtl/>
        </w:rPr>
        <w:t>לפיכך הגוף קונה מיד ואינו יכול לחזור בו ופירות לאחר מיתה:</w:t>
      </w:r>
    </w:p>
    <w:p w14:paraId="20747AA7" w14:textId="4CFB6DE4" w:rsidR="00D93F3F" w:rsidRDefault="00D93F3F" w:rsidP="00D93F3F">
      <w:pPr>
        <w:pStyle w:val="Style1"/>
        <w:rPr>
          <w:rStyle w:val="Style1Char"/>
          <w:rtl/>
        </w:rPr>
      </w:pPr>
      <w:r w:rsidRPr="00D93F3F">
        <w:rPr>
          <w:rStyle w:val="Style1Char"/>
          <w:rtl/>
        </w:rPr>
        <w:t>ז ואם כתב לו מהיום אם לא אחזור בי עד לאחר מיתה ודאי היא לגמרי כמתנת שכ"מ ויכול לחזור בו כל ימי חייו אף מן הגוף:</w:t>
      </w:r>
    </w:p>
    <w:p w14:paraId="64B3A263" w14:textId="3F4CCC83" w:rsidR="0066552D" w:rsidRDefault="0066552D" w:rsidP="001443DD">
      <w:pPr>
        <w:pStyle w:val="Style1"/>
        <w:rPr>
          <w:rStyle w:val="Style1Char"/>
          <w:rtl/>
        </w:rPr>
      </w:pPr>
      <w:r>
        <w:rPr>
          <w:rStyle w:val="Style1Char"/>
          <w:rFonts w:hint="cs"/>
          <w:rtl/>
        </w:rPr>
        <w:t>2)[</w:t>
      </w:r>
      <w:r w:rsidRPr="0066552D">
        <w:rPr>
          <w:rStyle w:val="Style1Char"/>
          <w:rtl/>
        </w:rPr>
        <w:t>רמב</w:t>
      </w:r>
      <w:r w:rsidR="005258D6">
        <w:rPr>
          <w:rStyle w:val="Style1Char"/>
          <w:rtl/>
        </w:rPr>
        <w:t>”ם \הפלאה\</w:t>
      </w:r>
      <w:r w:rsidRPr="0066552D">
        <w:rPr>
          <w:rStyle w:val="Style1Char"/>
          <w:rtl/>
        </w:rPr>
        <w:t xml:space="preserve"> הלכות ערכין וחרמין פרק ח הלכה יג</w:t>
      </w:r>
      <w:r>
        <w:rPr>
          <w:rStyle w:val="Style1Char"/>
          <w:rFonts w:hint="cs"/>
          <w:rtl/>
        </w:rPr>
        <w:t>]</w:t>
      </w:r>
      <w:r w:rsidR="001443DD">
        <w:rPr>
          <w:rStyle w:val="Style1Char"/>
          <w:rFonts w:hint="cs"/>
          <w:rtl/>
        </w:rPr>
        <w:t xml:space="preserve"> </w:t>
      </w:r>
      <w:r w:rsidRPr="0066552D">
        <w:rPr>
          <w:rStyle w:val="Style1Char"/>
          <w:rtl/>
        </w:rPr>
        <w:t>לעולם לא יקדיש אדם ולא יחרים כל נכסיו, והעושה כן עובר על דעת הכתוב שהרי הוא אומר מכל אשר לו ולא כל אשר לו כמו שבארו חכמים, ואין זו חסידות אלא שטות שהרי הוא מאבד כל ממונו ויצטרך לבריות, ואין מרחמין עליו, ובזה וכיוצא בו אמרו חכמים חסיד שוטה מכלל מבלי עולם, אלא כל המפזר ממונו במצות אל יפזר יותר מחומש, ויהיה כמו שצוו נביאים מכלכל דבריו במשפט בין בדברי תורה בין בדברי עולם, אפילו בקרבנות שאדם חייב בהן הרי חסה תורה על הממון ואמרה שיביא כפי מסת ידו, קל וחומר לדברים שלא נתחייב בהן אלא מחמת נדרו שלא ינדור אלא כראוי לו שנאמר איש כמתנת ידו כברכת ה' אלהיך אשר נתן לך. סליקו להו הלכות ערכין וחרמין בס"ד. נגמר ספר הפלאה ומנין פרקיו שלשה וארבעים פרקים: הלכות שבועות שנים עשר פרקים, הלכות נדרים שלשה עשר פרקים, הלכות נזירות עשרה פרקים, הלכות ערכין וחרמין שמנה פרקים.</w:t>
      </w:r>
    </w:p>
    <w:p w14:paraId="08E214F8" w14:textId="4A3DD022" w:rsidR="00667F2D" w:rsidRPr="00667F2D" w:rsidRDefault="0042709A" w:rsidP="00667F2D">
      <w:pPr>
        <w:pStyle w:val="Style1"/>
      </w:pPr>
      <w:r>
        <w:rPr>
          <w:rStyle w:val="Style1Char"/>
          <w:rFonts w:hint="cs"/>
          <w:rtl/>
        </w:rPr>
        <w:t>2)[</w:t>
      </w:r>
      <w:r w:rsidRPr="0042709A">
        <w:rPr>
          <w:rStyle w:val="Style1Char"/>
          <w:rtl/>
        </w:rPr>
        <w:t>שולחן ערוך יורה דעה הלכות צדקה סימן רמט סעיף א</w:t>
      </w:r>
      <w:r>
        <w:rPr>
          <w:rStyle w:val="Style1Char"/>
          <w:rFonts w:hint="cs"/>
          <w:rtl/>
        </w:rPr>
        <w:t>]</w:t>
      </w:r>
      <w:r w:rsidR="00667F2D">
        <w:rPr>
          <w:rStyle w:val="Style1Char"/>
          <w:rFonts w:hint="cs"/>
          <w:rtl/>
        </w:rPr>
        <w:t xml:space="preserve"> </w:t>
      </w:r>
      <w:r w:rsidR="00667F2D" w:rsidRPr="00667F2D">
        <w:rPr>
          <w:rtl/>
        </w:rPr>
        <w:t>שיעור נתינתה אם ידו משגת יתן כפי צורך העניים ואם אין ידו משגת כל כך יתן עד חומש נכסיו מצוה מן המובחר ואחד מעשרה מדה בינונית פחות מכאן עין רעה וחומש זה שאמרו שנה ראשונה מהקרן מכאן ואלך חומש שהרויח בכל שנה</w:t>
      </w:r>
      <w:r w:rsidR="00667F2D" w:rsidRPr="00667F2D">
        <w:t>:</w:t>
      </w:r>
    </w:p>
    <w:p w14:paraId="644B2983" w14:textId="6A119C2D" w:rsidR="00667F2D" w:rsidRDefault="00667F2D" w:rsidP="00667F2D">
      <w:pPr>
        <w:pStyle w:val="Style1"/>
        <w:rPr>
          <w:rtl/>
        </w:rPr>
      </w:pPr>
      <w:r w:rsidRPr="00667F2D">
        <w:rPr>
          <w:rFonts w:hint="cs"/>
          <w:rtl/>
        </w:rPr>
        <w:lastRenderedPageBreak/>
        <w:t>הגה: ואל יבזבז אדם יותר מחומש שלא יצטרך לבריות (ב"י בשם הגמ' פ' נערה שנתפתתה) ודוקא כל ימי חייו אבל בשעת מותו יכול אדם ליתן צדקה כל מה שירצה (ג"ז שם פ' מציאת האשה ומייתי לה רי"ף ורא"ש ור"ן ומרדכי) ואין לעשות ממעשר שלו דבר מצוה כגון נרות לבית הכנסת או שאר דבר מצוה רק יתננו לעניים (מהרי"ל הל' ראש השנה)</w:t>
      </w:r>
      <w:r w:rsidRPr="00667F2D">
        <w:t>:</w:t>
      </w:r>
    </w:p>
    <w:p w14:paraId="40A163F5" w14:textId="703A5F83" w:rsidR="008D7E0F" w:rsidRDefault="008D7E0F" w:rsidP="008D7E0F">
      <w:pPr>
        <w:pStyle w:val="Style1"/>
        <w:rPr>
          <w:rtl/>
        </w:rPr>
      </w:pPr>
      <w:r>
        <w:rPr>
          <w:rFonts w:hint="cs"/>
          <w:rtl/>
        </w:rPr>
        <w:t>3)[</w:t>
      </w:r>
      <w:r>
        <w:rPr>
          <w:rtl/>
        </w:rPr>
        <w:t>רמב</w:t>
      </w:r>
      <w:r w:rsidR="0057095E">
        <w:rPr>
          <w:rtl/>
        </w:rPr>
        <w:t>”ם \מדע\</w:t>
      </w:r>
      <w:r>
        <w:rPr>
          <w:rtl/>
        </w:rPr>
        <w:t xml:space="preserve"> הלכות תלמוד תורה פרק א הלכה ו</w:t>
      </w:r>
      <w:r>
        <w:rPr>
          <w:rFonts w:hint="cs"/>
          <w:rtl/>
        </w:rPr>
        <w:t xml:space="preserve">] </w:t>
      </w:r>
      <w:r>
        <w:rPr>
          <w:rtl/>
        </w:rPr>
        <w:t>מאימתי אביו חייב ללמדו תורה משיתחיל לדבר מלמדו תורה צוה לנו משה ושמע ישראל, ואחר כך מלמדו מעט מעט פסוקים פסוקים עד שיהיה בן שש או בן שבע הכל לפי בוריו, ומוליכו אצל מלמד התינוקות.</w:t>
      </w:r>
    </w:p>
    <w:p w14:paraId="7288E86C" w14:textId="640BBB1E" w:rsidR="00ED6D3E" w:rsidRDefault="00ED6D3E" w:rsidP="00ED6D3E">
      <w:pPr>
        <w:pStyle w:val="Style1"/>
        <w:rPr>
          <w:rtl/>
        </w:rPr>
      </w:pPr>
      <w:r>
        <w:rPr>
          <w:rFonts w:hint="cs"/>
          <w:rtl/>
        </w:rPr>
        <w:t>3)[</w:t>
      </w:r>
      <w:r>
        <w:rPr>
          <w:rtl/>
        </w:rPr>
        <w:t>רמב</w:t>
      </w:r>
      <w:r w:rsidR="0057095E">
        <w:rPr>
          <w:rtl/>
        </w:rPr>
        <w:t>”ם \מדע\</w:t>
      </w:r>
      <w:r>
        <w:rPr>
          <w:rtl/>
        </w:rPr>
        <w:t xml:space="preserve"> הלכות תלמוד תורה פרק ב הלכה ב</w:t>
      </w:r>
      <w:r>
        <w:rPr>
          <w:rFonts w:hint="cs"/>
          <w:rtl/>
        </w:rPr>
        <w:t xml:space="preserve">] </w:t>
      </w:r>
      <w:r>
        <w:rPr>
          <w:rtl/>
        </w:rPr>
        <w:t>מכניסין את התינוקות להתלמד כבן שש כבן שבע לפי כח הבן ובנין גופו, ופחות מבן שש אין מכניסים אותו, ומכה אותן המלמד להטיל עליהם אימה, ואינו מכה אותם מכת אויב מכת אכזרי, לפיכך לא יכה אותם בשוטים ולא במקלות אלא ברצועה קטנה, ויושב ומלמדן כל היום כולו ומקצת מן הלילה כדי לחנכן ללמוד ביום ובלילה, ולא יבטלו התינוקות כלל חוץ מערבי שבתות וימים טובים בסוף הימים ובימים טובים, אבל בשבת אין קורין בתחלה אבל שונין בראשון, ואין מבטלין התינוקות ואפילו לבנין בית המקדש.</w:t>
      </w:r>
    </w:p>
    <w:p w14:paraId="021FA07D" w14:textId="5ED41007" w:rsidR="0091391F" w:rsidRDefault="0091391F" w:rsidP="0091391F">
      <w:pPr>
        <w:pStyle w:val="Style1"/>
        <w:rPr>
          <w:rtl/>
        </w:rPr>
      </w:pPr>
      <w:r>
        <w:rPr>
          <w:rFonts w:hint="cs"/>
          <w:rtl/>
        </w:rPr>
        <w:t>3)[</w:t>
      </w:r>
      <w:r>
        <w:rPr>
          <w:rtl/>
        </w:rPr>
        <w:t>שולחן ערוך יורה דעה הלכות תלמוד תורה סימן רמה סעיף ה</w:t>
      </w:r>
      <w:r>
        <w:rPr>
          <w:rFonts w:hint="cs"/>
          <w:rtl/>
        </w:rPr>
        <w:t xml:space="preserve">] </w:t>
      </w:r>
      <w:r>
        <w:rPr>
          <w:rtl/>
        </w:rPr>
        <w:t>מאימתי מתחיל ללמד לבנו, משיתחיל לדבר מתחיל ללמדו: תורה צוה לנו וגו' (דברים לג, ד), ופסוק ראשון מפרשת שמע (דברים ו, ד), ואח"כ מלמדו מעט מעט</w:t>
      </w:r>
      <w:r>
        <w:rPr>
          <w:rFonts w:hint="cs"/>
          <w:rtl/>
        </w:rPr>
        <w:t xml:space="preserve"> </w:t>
      </w:r>
      <w:r>
        <w:rPr>
          <w:rtl/>
        </w:rPr>
        <w:t>עד שיהא כבן ששה או כבן שבעה, ואז מוליכו אצל מלמדי תינוקות.</w:t>
      </w:r>
    </w:p>
    <w:p w14:paraId="687A93C8" w14:textId="4AA73438" w:rsidR="000F0919" w:rsidRPr="000F0919" w:rsidRDefault="004C7954" w:rsidP="000F0919">
      <w:pPr>
        <w:pStyle w:val="Style1"/>
      </w:pPr>
      <w:r>
        <w:rPr>
          <w:rFonts w:hint="cs"/>
          <w:rtl/>
        </w:rPr>
        <w:t>4)[</w:t>
      </w:r>
      <w:r>
        <w:rPr>
          <w:rtl/>
        </w:rPr>
        <w:t>שולחן ערוך יורה דעה הלכות תלמוד תורה סימן רמה סעיף ח</w:t>
      </w:r>
      <w:r>
        <w:rPr>
          <w:rFonts w:hint="cs"/>
          <w:rtl/>
        </w:rPr>
        <w:t>]</w:t>
      </w:r>
      <w:r w:rsidR="000F0919">
        <w:rPr>
          <w:rFonts w:hint="cs"/>
          <w:rtl/>
        </w:rPr>
        <w:t xml:space="preserve"> </w:t>
      </w:r>
      <w:r w:rsidR="000F0919" w:rsidRPr="000F0919">
        <w:rPr>
          <w:rtl/>
        </w:rPr>
        <w:t>מכניסים התינוקות להתלמד, בן חמש שנים שלמות, ובפחות מכאן אין מכניסין אותן. ואם הוא כחוש, מכניסין אותו בן ו' שנים שלמות</w:t>
      </w:r>
      <w:r w:rsidR="000F0919" w:rsidRPr="000F0919">
        <w:t>.</w:t>
      </w:r>
    </w:p>
    <w:p w14:paraId="418446FC" w14:textId="0517BCBC" w:rsidR="000F0919" w:rsidRDefault="000F0919" w:rsidP="000F0919">
      <w:pPr>
        <w:pStyle w:val="Style1"/>
        <w:rPr>
          <w:rtl/>
        </w:rPr>
      </w:pPr>
      <w:r w:rsidRPr="000F0919">
        <w:rPr>
          <w:rFonts w:hint="cs"/>
          <w:rtl/>
        </w:rPr>
        <w:t>הגה</w:t>
      </w:r>
      <w:r w:rsidRPr="000F0919">
        <w:rPr>
          <w:rFonts w:hint="cs"/>
        </w:rPr>
        <w:t>: </w:t>
      </w:r>
      <w:r w:rsidRPr="000F0919">
        <w:rPr>
          <w:rFonts w:hint="cs"/>
          <w:rtl/>
        </w:rPr>
        <w:t>ומכל מקום מיד שיהיה בן ג' שנים שלמות מלמדין אתו אותיות התורה, כדי שירגיל עצמו לקרות בתורה. (הרב אברבנאל בפרוש לאבות)</w:t>
      </w:r>
      <w:r w:rsidRPr="000F0919">
        <w:rPr>
          <w:rFonts w:hint="cs"/>
        </w:rPr>
        <w:t>.</w:t>
      </w:r>
    </w:p>
    <w:p w14:paraId="7AB02686" w14:textId="20E35C21" w:rsidR="00C770E6" w:rsidRDefault="00C770E6" w:rsidP="00C770E6">
      <w:pPr>
        <w:pStyle w:val="Style1"/>
        <w:rPr>
          <w:rtl/>
        </w:rPr>
      </w:pPr>
      <w:r>
        <w:rPr>
          <w:rFonts w:hint="cs"/>
          <w:rtl/>
        </w:rPr>
        <w:t>5)[</w:t>
      </w:r>
      <w:r>
        <w:rPr>
          <w:rtl/>
        </w:rPr>
        <w:t>רמב</w:t>
      </w:r>
      <w:r w:rsidR="00213DA1">
        <w:rPr>
          <w:rtl/>
        </w:rPr>
        <w:t>”ם \נשים\</w:t>
      </w:r>
      <w:r>
        <w:rPr>
          <w:rtl/>
        </w:rPr>
        <w:t xml:space="preserve"> הלכות אישות פרק כב הלכה ז</w:t>
      </w:r>
      <w:r>
        <w:rPr>
          <w:rFonts w:hint="cs"/>
          <w:rtl/>
        </w:rPr>
        <w:t xml:space="preserve">] </w:t>
      </w:r>
      <w:r>
        <w:rPr>
          <w:rtl/>
        </w:rPr>
        <w:t>כל נכסים שיש לאשה בין נכסי צאן ברזל בין נכסי מלוג הבעל אוכל כל פירותיהן בחייה ואם מתה בחיי בעלה יורש בעלה הכל, לפיכך אם מכרה האשה נכסי מלוג אחר שנשאת אף על פי שאותן הנכסים נפלו לה קודם שתתארס ד הבעל מוציא הפירות מיד הלקוחות ה כל ימי חייה, אבל לא  גוף הקרקע שאין לו כלום בגוף נכסי מלוג עד שתמות. מתה בחייו מוציא הגוף מיד הלקוחות בלא דמים, ואם הדמים שלקחה מן הלקוחות קיימין בעצמן מחזירן ללקוחות, ואינו יכול לומר שמא מציאה הן.</w:t>
      </w:r>
    </w:p>
    <w:p w14:paraId="1F232506" w14:textId="58A2B8C8" w:rsidR="00F913AB" w:rsidRPr="00F913AB" w:rsidRDefault="00840EEF" w:rsidP="00F913AB">
      <w:pPr>
        <w:pStyle w:val="Style1"/>
      </w:pPr>
      <w:r>
        <w:rPr>
          <w:rFonts w:hint="cs"/>
          <w:rtl/>
        </w:rPr>
        <w:t>5)[</w:t>
      </w:r>
      <w:r>
        <w:rPr>
          <w:rtl/>
        </w:rPr>
        <w:t>שולחן ערוך אבן העזר הלכות כתובות סימן צ סעיף ט</w:t>
      </w:r>
      <w:r>
        <w:rPr>
          <w:rFonts w:hint="cs"/>
          <w:rtl/>
        </w:rPr>
        <w:t>]</w:t>
      </w:r>
      <w:r w:rsidR="00F913AB">
        <w:rPr>
          <w:rFonts w:hint="cs"/>
          <w:rtl/>
        </w:rPr>
        <w:t xml:space="preserve"> </w:t>
      </w:r>
      <w:r w:rsidR="00F913AB" w:rsidRPr="00F913AB">
        <w:rPr>
          <w:rtl/>
        </w:rPr>
        <w:t>האשה שמכרה מנכסי מלוג אחר שנשאת, אף על פי שאותן הנכסים נפלו לה קדם שתתארס, הבעל מוציא פרות מיד הלקוחות כל ימי חייה, אבל לא גוף הקרקע; ואם מתה בחייו, מוציא הגוף מיד הלקוחות בלא דמים</w:t>
      </w:r>
      <w:r w:rsidR="00F913AB" w:rsidRPr="00F913AB">
        <w:t>. </w:t>
      </w:r>
      <w:r w:rsidR="00F913AB" w:rsidRPr="00F913AB">
        <w:rPr>
          <w:rFonts w:hint="cs"/>
          <w:rtl/>
        </w:rPr>
        <w:t>ויש אומרים דאף בחייה מוציא גוף הקרקע מיד הלוקח בלא דמים (טור והרא"ש)</w:t>
      </w:r>
      <w:r w:rsidR="00F913AB" w:rsidRPr="00F913AB">
        <w:t>.</w:t>
      </w:r>
    </w:p>
    <w:p w14:paraId="225019A5" w14:textId="77777777" w:rsidR="00F913AB" w:rsidRPr="00F913AB" w:rsidRDefault="00F913AB" w:rsidP="00F913AB">
      <w:pPr>
        <w:pStyle w:val="Style1"/>
      </w:pPr>
      <w:r w:rsidRPr="00F913AB">
        <w:rPr>
          <w:rtl/>
        </w:rPr>
        <w:t>ואם הדמים שלקחה מהלקוחות קימים בעצמם</w:t>
      </w:r>
      <w:r w:rsidRPr="00F913AB">
        <w:t>, </w:t>
      </w:r>
      <w:r w:rsidRPr="00F913AB">
        <w:rPr>
          <w:rFonts w:hint="cs"/>
          <w:rtl/>
        </w:rPr>
        <w:t>או שנמצאו מעות בידה ונוכל לתלות שהם אלו (טור בשם הרא"ש)</w:t>
      </w:r>
      <w:r w:rsidRPr="00F913AB">
        <w:t xml:space="preserve">, </w:t>
      </w:r>
      <w:r w:rsidRPr="00F913AB">
        <w:rPr>
          <w:rtl/>
        </w:rPr>
        <w:t>מחזירן ללקוחות, ואינו יכול לומר: שמא מציאה הן</w:t>
      </w:r>
      <w:r w:rsidRPr="00F913AB">
        <w:t>.</w:t>
      </w:r>
    </w:p>
    <w:p w14:paraId="75F486D6" w14:textId="6B97B993" w:rsidR="00F913AB" w:rsidRDefault="00F913AB" w:rsidP="00F913AB">
      <w:pPr>
        <w:pStyle w:val="Style1"/>
        <w:rPr>
          <w:rtl/>
        </w:rPr>
      </w:pPr>
      <w:r w:rsidRPr="00F913AB">
        <w:rPr>
          <w:rFonts w:hint="cs"/>
          <w:rtl/>
        </w:rPr>
        <w:t>הגה: נתאלמנה או נתגרשה, מכרה קים (טור ורב הפוסקים). וכל ימי חייה, אם הבעל רוצה לבנות או לסתור בקרקע, הלוקח יכול למחות (נמוקי יוסף פרק חזקת הבתים). ואין חילוק בין אם מכרה הנכסים או הקדישה אותן</w:t>
      </w:r>
      <w:r w:rsidRPr="00F913AB">
        <w:rPr>
          <w:rFonts w:hint="cs"/>
        </w:rPr>
        <w:t xml:space="preserve"> (</w:t>
      </w:r>
      <w:hyperlink r:id="rId89" w:tooltip="תרומת הדשן/א/רעב" w:history="1">
        <w:r w:rsidRPr="00F913AB">
          <w:rPr>
            <w:rStyle w:val="Hyperlink"/>
            <w:rFonts w:hint="cs"/>
            <w:color w:val="7030A0"/>
            <w:u w:val="none"/>
            <w:rtl/>
          </w:rPr>
          <w:t>תרומת הדשן סימן רע"ב</w:t>
        </w:r>
      </w:hyperlink>
      <w:r w:rsidRPr="00F913AB">
        <w:rPr>
          <w:rFonts w:hint="cs"/>
        </w:rPr>
        <w:t>)</w:t>
      </w:r>
      <w:r w:rsidRPr="00F913AB">
        <w:t>:</w:t>
      </w:r>
    </w:p>
    <w:p w14:paraId="36B73F4E" w14:textId="4CAC079F" w:rsidR="00034EEC" w:rsidRDefault="00034EEC" w:rsidP="00034EEC">
      <w:pPr>
        <w:pStyle w:val="Style1"/>
        <w:rPr>
          <w:rtl/>
        </w:rPr>
      </w:pPr>
      <w:r>
        <w:rPr>
          <w:rFonts w:hint="cs"/>
          <w:rtl/>
        </w:rPr>
        <w:t>6)[</w:t>
      </w:r>
      <w:r>
        <w:rPr>
          <w:rtl/>
        </w:rPr>
        <w:t>רמב</w:t>
      </w:r>
      <w:r w:rsidR="00EC109D">
        <w:rPr>
          <w:rtl/>
        </w:rPr>
        <w:t>”ם \זרעים\</w:t>
      </w:r>
      <w:r>
        <w:rPr>
          <w:rtl/>
        </w:rPr>
        <w:t xml:space="preserve"> הלכות מתנות עניים פרק י הלכה טז</w:t>
      </w:r>
      <w:r>
        <w:rPr>
          <w:rFonts w:hint="cs"/>
          <w:rtl/>
        </w:rPr>
        <w:t xml:space="preserve">] </w:t>
      </w:r>
      <w:r>
        <w:rPr>
          <w:rtl/>
        </w:rPr>
        <w:t>הנותן מזונות לבניו ולבנותיו הגדולים שאינו חייב במזונותיהן כדי ללמד הזכרים תורה ולהנהיג הבנות בדרך ישרה ולא יהיו מבוזות, וכן הנותן מזונות לאביו ולאמו הרי זה בכלל הצדקה, וצדקה גדולה היא שהקרוב קודם, וכל המאכיל ומשקה עניים ויתומים על שלחנו הרי זה קורא אל ה' ויענהו ומתענג שנאמר אז תקרא וה' יענה.</w:t>
      </w:r>
    </w:p>
    <w:p w14:paraId="2D9ECEBC" w14:textId="5C761CAC" w:rsidR="00117147" w:rsidRPr="00117147" w:rsidRDefault="00342960" w:rsidP="00117147">
      <w:pPr>
        <w:pStyle w:val="Style1"/>
      </w:pPr>
      <w:r>
        <w:rPr>
          <w:rFonts w:hint="cs"/>
          <w:rtl/>
        </w:rPr>
        <w:t>6)[</w:t>
      </w:r>
      <w:r>
        <w:rPr>
          <w:rtl/>
        </w:rPr>
        <w:t>שולחן ערוך יורה דעה הלכות צדקה סימן רנא סעיף ג</w:t>
      </w:r>
      <w:r>
        <w:rPr>
          <w:rFonts w:hint="cs"/>
          <w:rtl/>
        </w:rPr>
        <w:t>]</w:t>
      </w:r>
      <w:r w:rsidR="00117147">
        <w:rPr>
          <w:rFonts w:hint="cs"/>
          <w:rtl/>
        </w:rPr>
        <w:t xml:space="preserve"> </w:t>
      </w:r>
      <w:r w:rsidR="00117147" w:rsidRPr="00117147">
        <w:rPr>
          <w:rtl/>
        </w:rPr>
        <w:t>הנותן לבניו ובנותיו הגדולים שאינו חייב במזונותיהם כדי ללמד את הבנים תורה ולהנהיג הבנות בדרך ישרה; וכן הנותן מתנות לאביו והם צריכים להם -- הרי זה בכלל צדקה. ולא עוד אלא שצריך להקדימו לאחרים</w:t>
      </w:r>
      <w:r w:rsidR="00117147" w:rsidRPr="00117147">
        <w:t>.</w:t>
      </w:r>
    </w:p>
    <w:p w14:paraId="406DBDF1" w14:textId="77777777" w:rsidR="00117147" w:rsidRPr="00117147" w:rsidRDefault="00117147" w:rsidP="00117147">
      <w:pPr>
        <w:pStyle w:val="Style1"/>
      </w:pPr>
      <w:r w:rsidRPr="00117147">
        <w:rPr>
          <w:rtl/>
        </w:rPr>
        <w:t>ואפילו אינו בנו ולא אביו אלא קרובו -- צריך להקדימו לכל אדם. ואחיו מאביו קודם לאחיו מאמו. ועניי ביתו קודמין עניי עירו. ועניי עירו קודמין לעניי עיר אחרת (כ"מ בסמ"ג וסמ"ק וטור)</w:t>
      </w:r>
      <w:r w:rsidRPr="00117147">
        <w:t>:</w:t>
      </w:r>
    </w:p>
    <w:p w14:paraId="4D1C9081" w14:textId="77777777" w:rsidR="00117147" w:rsidRPr="00117147" w:rsidRDefault="00117147" w:rsidP="00117147">
      <w:pPr>
        <w:pStyle w:val="Style1"/>
      </w:pPr>
      <w:r w:rsidRPr="00117147">
        <w:rPr>
          <w:rFonts w:hint="cs"/>
          <w:rtl/>
        </w:rPr>
        <w:t>הגה: והקבועים בעיר קרואים עניי העיר והם קודמין לעניים אחרים הבאים לשם ממקומות אחרים (טור דלא כר"י בר ברוך)</w:t>
      </w:r>
    </w:p>
    <w:p w14:paraId="5BE0896A" w14:textId="77777777" w:rsidR="00117147" w:rsidRPr="00117147" w:rsidRDefault="00117147" w:rsidP="00117147">
      <w:pPr>
        <w:pStyle w:val="Style1"/>
      </w:pPr>
      <w:r w:rsidRPr="00117147">
        <w:rPr>
          <w:rtl/>
        </w:rPr>
        <w:t>ויושבי ארץ ישראל קודמין ליושבי חוצה לארץ</w:t>
      </w:r>
      <w:r w:rsidRPr="00117147">
        <w:t>:</w:t>
      </w:r>
    </w:p>
    <w:p w14:paraId="50049E91" w14:textId="77777777" w:rsidR="00117147" w:rsidRPr="00117147" w:rsidRDefault="00117147" w:rsidP="00117147">
      <w:pPr>
        <w:pStyle w:val="Style1"/>
      </w:pPr>
      <w:r w:rsidRPr="00117147">
        <w:rPr>
          <w:rFonts w:hint="cs"/>
          <w:rtl/>
        </w:rPr>
        <w:t>הגה: פרנסת עצמו קודמת לכל אדם, ואינו חייב לתת צדקה עד שיהיה לו פרנסתו. ואח"כ יקדים פרנסת אביו ואמו אם הם עניים. והם קודמים לפרנסת בניו. ואח"כ בניו. והם קודמים לאחיו. והם קודמין לשאר קרובים. והקרובים קודמים לשכיניו. ושכיניו לאנשי עירו. ואנשי עירו לעיר אחרת. והוא הדין אם היו שבוים וצריך לפדותן (הכל בטור)</w:t>
      </w:r>
      <w:r w:rsidRPr="00117147">
        <w:t>:</w:t>
      </w:r>
    </w:p>
    <w:p w14:paraId="02854734" w14:textId="77777777" w:rsidR="00117147" w:rsidRPr="00117147" w:rsidRDefault="00117147" w:rsidP="00117147">
      <w:pPr>
        <w:pStyle w:val="Style1"/>
      </w:pPr>
    </w:p>
    <w:p w14:paraId="1365B251" w14:textId="22429164" w:rsidR="00342960" w:rsidRPr="00F913AB" w:rsidRDefault="00342960" w:rsidP="00342960">
      <w:pPr>
        <w:pStyle w:val="Style1"/>
      </w:pPr>
    </w:p>
    <w:p w14:paraId="78248579" w14:textId="77777777" w:rsidR="00F913AB" w:rsidRPr="00F913AB" w:rsidRDefault="00F913AB" w:rsidP="00F913AB">
      <w:pPr>
        <w:pStyle w:val="Style1"/>
      </w:pPr>
    </w:p>
    <w:p w14:paraId="5F4503DC" w14:textId="4229CD68" w:rsidR="00840EEF" w:rsidRPr="000F0919" w:rsidRDefault="00840EEF" w:rsidP="00840EEF">
      <w:pPr>
        <w:pStyle w:val="Style1"/>
      </w:pPr>
    </w:p>
    <w:p w14:paraId="71F3ECBE" w14:textId="77777777" w:rsidR="000F0919" w:rsidRPr="000F0919" w:rsidRDefault="000F0919" w:rsidP="000F0919">
      <w:pPr>
        <w:pStyle w:val="Style1"/>
      </w:pPr>
    </w:p>
    <w:p w14:paraId="0877BEA1" w14:textId="02D45903" w:rsidR="004C7954" w:rsidRPr="00667F2D" w:rsidRDefault="004C7954" w:rsidP="004C7954">
      <w:pPr>
        <w:pStyle w:val="Style1"/>
      </w:pPr>
    </w:p>
    <w:p w14:paraId="6F2708C4" w14:textId="77777777" w:rsidR="00667F2D" w:rsidRPr="00667F2D" w:rsidRDefault="00667F2D" w:rsidP="00667F2D">
      <w:pPr>
        <w:pStyle w:val="Style1"/>
        <w:rPr>
          <w:rStyle w:val="Style1Char"/>
        </w:rPr>
      </w:pPr>
    </w:p>
    <w:p w14:paraId="6322CBE1" w14:textId="0FA640A3" w:rsidR="0042709A" w:rsidRPr="00D93F3F" w:rsidRDefault="0042709A" w:rsidP="0042709A">
      <w:pPr>
        <w:pStyle w:val="Style1"/>
        <w:rPr>
          <w:rStyle w:val="Style1Char"/>
        </w:rPr>
      </w:pPr>
    </w:p>
    <w:p w14:paraId="66B242C8" w14:textId="77777777" w:rsidR="000357F0" w:rsidRPr="004000DC" w:rsidRDefault="000357F0" w:rsidP="000357F0">
      <w:pPr>
        <w:bidi/>
        <w:rPr>
          <w:rStyle w:val="Style1Char"/>
          <w:color w:val="4472C4" w:themeColor="accent1"/>
        </w:rPr>
      </w:pPr>
    </w:p>
    <w:p w14:paraId="5FB8D8A2" w14:textId="77777777" w:rsidR="000357F0" w:rsidRPr="005413FF" w:rsidRDefault="000357F0" w:rsidP="000357F0">
      <w:pPr>
        <w:bidi/>
        <w:rPr>
          <w:rStyle w:val="Style1Char"/>
          <w:color w:val="00B050"/>
          <w:rtl/>
        </w:rPr>
      </w:pPr>
    </w:p>
    <w:p w14:paraId="4336E1E0" w14:textId="77777777" w:rsidR="000357F0" w:rsidRDefault="000357F0" w:rsidP="000357F0">
      <w:pPr>
        <w:rPr>
          <w:rStyle w:val="Style1Char"/>
          <w:color w:val="00B050"/>
          <w:rtl/>
        </w:rPr>
      </w:pPr>
      <w:r>
        <w:rPr>
          <w:rStyle w:val="Style1Char"/>
          <w:color w:val="00B050"/>
          <w:rtl/>
        </w:rPr>
        <w:br w:type="page"/>
      </w:r>
    </w:p>
    <w:p w14:paraId="2B8432EE" w14:textId="4B44644B" w:rsidR="000357F0" w:rsidRDefault="000357F0" w:rsidP="000357F0">
      <w:pPr>
        <w:bidi/>
        <w:rPr>
          <w:rStyle w:val="Style1Char"/>
          <w:sz w:val="22"/>
          <w:szCs w:val="22"/>
          <w:rtl/>
        </w:rPr>
      </w:pPr>
      <w:r w:rsidRPr="00814B0E">
        <w:rPr>
          <w:rStyle w:val="Style1Char"/>
          <w:color w:val="auto"/>
          <w:sz w:val="22"/>
          <w:szCs w:val="22"/>
          <w:highlight w:val="yellow"/>
          <w:rtl/>
        </w:rPr>
        <w:lastRenderedPageBreak/>
        <w:t>[דף נ עמוד ב]</w:t>
      </w:r>
      <w:r w:rsidRPr="00814B0E">
        <w:rPr>
          <w:rStyle w:val="Style1Char"/>
          <w:color w:val="auto"/>
          <w:sz w:val="22"/>
          <w:szCs w:val="22"/>
          <w:rtl/>
        </w:rPr>
        <w:t xml:space="preserve"> יתיב רב יוסף קמיה דרב המנונא, ויתיב רב המנונא וקאמר: כשם שאין הבנים יורשין </w:t>
      </w:r>
      <w:r w:rsidRPr="00814B0E">
        <w:rPr>
          <w:rStyle w:val="Style1Char"/>
          <w:color w:val="806000" w:themeColor="accent4" w:themeShade="80"/>
          <w:sz w:val="22"/>
          <w:szCs w:val="22"/>
          <w:rtl/>
        </w:rPr>
        <w:t xml:space="preserve">כתובת בנין דיכרין </w:t>
      </w:r>
      <w:r w:rsidRPr="00814B0E">
        <w:rPr>
          <w:rStyle w:val="Style1Char"/>
          <w:color w:val="auto"/>
          <w:sz w:val="22"/>
          <w:szCs w:val="22"/>
          <w:rtl/>
        </w:rPr>
        <w:t>אלא מן הקרקע, כך אין בנות ניזונות אלא מן הקרקע</w:t>
      </w:r>
      <w:r w:rsidRPr="00814B0E">
        <w:rPr>
          <w:rStyle w:val="Style1Char"/>
          <w:color w:val="auto"/>
          <w:rtl/>
        </w:rPr>
        <w:t xml:space="preserve"> </w:t>
      </w:r>
      <w:r w:rsidRPr="00814B0E">
        <w:rPr>
          <w:rStyle w:val="Style1Char"/>
          <w:color w:val="806000" w:themeColor="accent4" w:themeShade="80"/>
          <w:rtl/>
        </w:rPr>
        <w:t xml:space="preserve">והאידנא תקון רבנן </w:t>
      </w:r>
      <w:r w:rsidRPr="001D4E59">
        <w:rPr>
          <w:rStyle w:val="Style1Char"/>
          <w:color w:val="C00000"/>
          <w:rtl/>
        </w:rPr>
        <w:t xml:space="preserve">בתראי </w:t>
      </w:r>
      <w:r w:rsidRPr="00814B0E">
        <w:rPr>
          <w:rStyle w:val="Style1Char"/>
          <w:color w:val="806000" w:themeColor="accent4" w:themeShade="80"/>
          <w:rtl/>
        </w:rPr>
        <w:t>למיזן אפילו מן המטלטלין:</w:t>
      </w:r>
      <w:r w:rsidRPr="00814B0E">
        <w:rPr>
          <w:rStyle w:val="Style1Char"/>
          <w:color w:val="806000" w:themeColor="accent4" w:themeShade="80"/>
          <w:sz w:val="22"/>
          <w:szCs w:val="22"/>
          <w:rtl/>
        </w:rPr>
        <w:t xml:space="preserve">. </w:t>
      </w:r>
      <w:r w:rsidRPr="002F2700">
        <w:rPr>
          <w:rStyle w:val="Style1Char"/>
          <w:color w:val="00B050"/>
          <w:rtl/>
        </w:rPr>
        <w:t xml:space="preserve">אווש עליה כולי עלמא, דשביק ארעא הוא דירתי ליה בניה, דלא שביק ארעא לא ירתי ליה בניה? אמר ליה רב יוסף: ודלמא </w:t>
      </w:r>
      <w:r w:rsidR="00F44D1E">
        <w:rPr>
          <w:rStyle w:val="Style1Char"/>
          <w:rFonts w:hint="cs"/>
          <w:rtl/>
        </w:rPr>
        <w:t>(1)</w:t>
      </w:r>
      <w:r w:rsidRPr="002F2700">
        <w:rPr>
          <w:rStyle w:val="Style1Char"/>
          <w:color w:val="00B050"/>
          <w:rtl/>
        </w:rPr>
        <w:t xml:space="preserve">כתובת בנין דכרין קאמר מר? אמר ליה: מר דגברא רבא הוא, ידע מאי קאמינא. </w:t>
      </w:r>
      <w:r w:rsidRPr="00C16A48">
        <w:rPr>
          <w:rStyle w:val="Style1Char"/>
          <w:sz w:val="22"/>
          <w:szCs w:val="22"/>
          <w:rtl/>
        </w:rPr>
        <w:t xml:space="preserve">אמר רבי חייא בר יוסף: רב זן </w:t>
      </w:r>
      <w:r w:rsidRPr="00C16A48">
        <w:rPr>
          <w:rStyle w:val="Style1Char"/>
          <w:color w:val="C00000"/>
          <w:sz w:val="22"/>
          <w:szCs w:val="22"/>
          <w:rtl/>
        </w:rPr>
        <w:t xml:space="preserve">אפילו </w:t>
      </w:r>
      <w:r w:rsidRPr="00C16A48">
        <w:rPr>
          <w:rStyle w:val="Style1Char"/>
          <w:sz w:val="22"/>
          <w:szCs w:val="22"/>
          <w:rtl/>
        </w:rPr>
        <w:t>מחיטי דעלייה</w:t>
      </w:r>
      <w:r w:rsidRPr="002F2700">
        <w:rPr>
          <w:rStyle w:val="Style1Char"/>
          <w:color w:val="00B050"/>
          <w:rtl/>
        </w:rPr>
        <w:t xml:space="preserve">. </w:t>
      </w:r>
      <w:r w:rsidRPr="00C16A48">
        <w:rPr>
          <w:rStyle w:val="Style1Char"/>
          <w:sz w:val="22"/>
          <w:szCs w:val="22"/>
          <w:rtl/>
        </w:rPr>
        <w:t xml:space="preserve">איבעיא להו: פרנסה הויא, ומאי עלייה? </w:t>
      </w:r>
      <w:r w:rsidRPr="00E07CE7">
        <w:rPr>
          <w:rStyle w:val="Style1Char"/>
          <w:sz w:val="22"/>
          <w:szCs w:val="22"/>
          <w:rtl/>
        </w:rPr>
        <w:t xml:space="preserve">מעילוייא דאב, וכדשמואל, דאמר שמואל: </w:t>
      </w:r>
      <w:r w:rsidR="00EF2610">
        <w:rPr>
          <w:rStyle w:val="Style1Char"/>
          <w:rFonts w:hint="cs"/>
          <w:rtl/>
        </w:rPr>
        <w:t>(2)</w:t>
      </w:r>
      <w:r w:rsidRPr="00E07CE7">
        <w:rPr>
          <w:rStyle w:val="Style1Char"/>
          <w:sz w:val="22"/>
          <w:szCs w:val="22"/>
          <w:rtl/>
        </w:rPr>
        <w:t>לפרנסה שמין באב, או דלמא מזוני ממש הוה, ומאי עלייה? מדברים טובים שנאמרו בעלייה, דאמר רב יצחק בר יוסף: בעלייה התקינו, שיהו בנות ניזונות מן המטלטלין? תא שמע: בידיה דרבי בנאי אחוה דרבי חייא בר אבא הוו מטלטלין דיתמי, אתו לקמיה דשמואל, א"ל: זיל זון</w:t>
      </w:r>
      <w:r w:rsidRPr="002F2700">
        <w:rPr>
          <w:rStyle w:val="Style1Char"/>
          <w:color w:val="00B050"/>
          <w:rtl/>
        </w:rPr>
        <w:t xml:space="preserve">; מאי לאו </w:t>
      </w:r>
      <w:r w:rsidRPr="00E07CE7">
        <w:rPr>
          <w:rStyle w:val="Style1Char"/>
          <w:color w:val="C00000"/>
          <w:sz w:val="22"/>
          <w:szCs w:val="22"/>
          <w:rtl/>
        </w:rPr>
        <w:t xml:space="preserve">לימא </w:t>
      </w:r>
      <w:r w:rsidRPr="00F844A0">
        <w:rPr>
          <w:rStyle w:val="Style1Char"/>
          <w:sz w:val="22"/>
          <w:szCs w:val="22"/>
          <w:rtl/>
        </w:rPr>
        <w:t xml:space="preserve">למזוני, וכדרב יצחק בר יוסף סבירא ליה. לא, התם לפרנסה הואי, ושמואל לטעמיה, דאמר שמואל: לפרנסה שמין באב. הוה עובדא בנהרדעא, ודון דייני דנהרדעא; בפומבדיתא, ואגבי רב חנא בר ביזנא. </w:t>
      </w:r>
      <w:r w:rsidRPr="00A56AEA">
        <w:rPr>
          <w:rStyle w:val="Style1Char"/>
          <w:sz w:val="22"/>
          <w:szCs w:val="22"/>
          <w:rtl/>
        </w:rPr>
        <w:t>אמר להו רב נחמן: זילו אהדרו, ואי לא - מגבינא לכו לאפדנייכו מינייכו. רבי אמי ורבי אסי סבור למיזן ממטלטלי, אמר להו רבי יעקב בר אידי: מילתא דר' יוחנן ור"ל לא עבדו בה עובדא, אתון עבדין בה עובדא? רבי אלעזר סבר למיזן ממטלטלין, אמר לפניו רבי שמעון בן אליקים: רבי, יודע אני בך שאין מדת הדין אתה עושה אלא מדת רחמנות, אלא שמא יראו התלמידים ויקבעו הלכה לדורות</w:t>
      </w:r>
      <w:r w:rsidRPr="002F2700">
        <w:rPr>
          <w:rStyle w:val="Style1Char"/>
          <w:color w:val="00B050"/>
          <w:rtl/>
        </w:rPr>
        <w:t xml:space="preserve">. ההוא דאתא </w:t>
      </w:r>
      <w:r w:rsidRPr="00E567E9">
        <w:rPr>
          <w:rStyle w:val="Style1Char"/>
          <w:color w:val="C00000"/>
          <w:sz w:val="22"/>
          <w:szCs w:val="22"/>
          <w:rtl/>
        </w:rPr>
        <w:t xml:space="preserve">ההיא דאתאי </w:t>
      </w:r>
      <w:r w:rsidRPr="00E567E9">
        <w:rPr>
          <w:rStyle w:val="Style1Char"/>
          <w:sz w:val="22"/>
          <w:szCs w:val="22"/>
          <w:rtl/>
        </w:rPr>
        <w:t xml:space="preserve">לקמיה דרב יוסף, אמר להו: הבו לה מתמרי דעל בודיא. אמר ליה אביי: אילו בעל חוב הוה, כי האי גוונא מי הוה יהיב ליה מר? אמר ליה: דחזייא לבודיא קאמינא. </w:t>
      </w:r>
    </w:p>
    <w:p w14:paraId="6248228B" w14:textId="618307BE" w:rsidR="009E3922" w:rsidRDefault="009E3922" w:rsidP="009E3922">
      <w:pPr>
        <w:pStyle w:val="Style1"/>
        <w:rPr>
          <w:rStyle w:val="Style1Char"/>
          <w:rtl/>
        </w:rPr>
      </w:pPr>
      <w:r>
        <w:rPr>
          <w:rStyle w:val="Style1Char"/>
          <w:rFonts w:hint="cs"/>
          <w:rtl/>
        </w:rPr>
        <w:t>1)[</w:t>
      </w:r>
      <w:r w:rsidRPr="009E3922">
        <w:rPr>
          <w:rStyle w:val="Style1Char"/>
          <w:rtl/>
        </w:rPr>
        <w:t>רמב</w:t>
      </w:r>
      <w:r w:rsidR="00213DA1">
        <w:rPr>
          <w:rStyle w:val="Style1Char"/>
          <w:rtl/>
        </w:rPr>
        <w:t>”ם \נשים\</w:t>
      </w:r>
      <w:r w:rsidRPr="009E3922">
        <w:rPr>
          <w:rStyle w:val="Style1Char"/>
          <w:rtl/>
        </w:rPr>
        <w:t xml:space="preserve"> הלכות אישות פרק טז הלכה ז</w:t>
      </w:r>
      <w:r>
        <w:rPr>
          <w:rStyle w:val="Style1Char"/>
          <w:rFonts w:hint="cs"/>
          <w:rtl/>
        </w:rPr>
        <w:t xml:space="preserve">] </w:t>
      </w:r>
      <w:r w:rsidRPr="009E3922">
        <w:rPr>
          <w:rStyle w:val="Style1Char"/>
          <w:rtl/>
        </w:rPr>
        <w:t>תקנו הגאונים בכל הישיבות שתהיה האשה גובה כתובתה אחרי מות בעלה אף מן המטלטלין כדרך שהתקינו לבעל חוב לגבות מן המטלטלין, ופשטה תקנה זו ברוב ישראל, וכן שאר תנאי כתובה כולן ככתובה הן וישנן במטלטלין כבקרקע, חוץ מכתובת בנין דכרין שלא מצאנו מנהג ירושתה פשוט בכל הישיבות, לפיכך אני אומר מעמידין אותה על דין התלמוד שאין יורשין כתובת אמן אלא מן הקרקע.</w:t>
      </w:r>
    </w:p>
    <w:p w14:paraId="3C9852EB" w14:textId="57F78A9D" w:rsidR="00501659" w:rsidRDefault="00501659" w:rsidP="00501659">
      <w:pPr>
        <w:pStyle w:val="Style1"/>
        <w:rPr>
          <w:rStyle w:val="Style1Char"/>
          <w:rtl/>
        </w:rPr>
      </w:pPr>
      <w:r>
        <w:rPr>
          <w:rStyle w:val="Style1Char"/>
          <w:rFonts w:hint="cs"/>
          <w:rtl/>
        </w:rPr>
        <w:t>1)[</w:t>
      </w:r>
      <w:r w:rsidRPr="00501659">
        <w:rPr>
          <w:rStyle w:val="Style1Char"/>
          <w:rtl/>
        </w:rPr>
        <w:t>שולחן ערוך אבן העזר הלכות כתובות סימן קיא סעיף יד</w:t>
      </w:r>
      <w:r>
        <w:rPr>
          <w:rStyle w:val="Style1Char"/>
          <w:rFonts w:hint="cs"/>
          <w:rtl/>
        </w:rPr>
        <w:t xml:space="preserve">] </w:t>
      </w:r>
      <w:r w:rsidRPr="00501659">
        <w:rPr>
          <w:rStyle w:val="Style1Char"/>
          <w:rtl/>
        </w:rPr>
        <w:t>י"א דוקא במקרקעי, שיש שם קרקע כדי שתי הכתובות, נהיגא כתובת בנין דכרין. אבל אם אין שם אלא מטלטלי, לא. ומיהו אפילו אין המותר אלא מטלטלי, שפיר דמי. ויש מי שאומר דהאידנא דכתבינן בכתובה דילן מטלטלי אגב מקרקעי, גם כתובות בנין דכרין נגבית ממטלטלים, דתנאי כתובה ככתובה.</w:t>
      </w:r>
    </w:p>
    <w:p w14:paraId="4E8D93A8" w14:textId="2586FDFD" w:rsidR="00406E75" w:rsidRDefault="00406E75" w:rsidP="00406E75">
      <w:pPr>
        <w:pStyle w:val="Style1"/>
        <w:rPr>
          <w:rStyle w:val="Style1Char"/>
          <w:rtl/>
        </w:rPr>
      </w:pPr>
      <w:r>
        <w:rPr>
          <w:rStyle w:val="Style1Char"/>
          <w:rFonts w:hint="cs"/>
          <w:rtl/>
        </w:rPr>
        <w:t>2)[</w:t>
      </w:r>
      <w:r w:rsidRPr="00406E75">
        <w:rPr>
          <w:rStyle w:val="Style1Char"/>
          <w:rtl/>
        </w:rPr>
        <w:t>רמב</w:t>
      </w:r>
      <w:r w:rsidR="00213DA1">
        <w:rPr>
          <w:rStyle w:val="Style1Char"/>
          <w:rtl/>
        </w:rPr>
        <w:t>”ם \נשים\</w:t>
      </w:r>
      <w:r w:rsidRPr="00406E75">
        <w:rPr>
          <w:rStyle w:val="Style1Char"/>
          <w:rtl/>
        </w:rPr>
        <w:t xml:space="preserve"> הלכות אישות פרק כ הלכה ג</w:t>
      </w:r>
      <w:r>
        <w:rPr>
          <w:rStyle w:val="Style1Char"/>
          <w:rFonts w:hint="cs"/>
          <w:rtl/>
        </w:rPr>
        <w:t xml:space="preserve">] </w:t>
      </w:r>
      <w:r w:rsidRPr="00406E75">
        <w:rPr>
          <w:rStyle w:val="Style1Char"/>
          <w:rtl/>
        </w:rPr>
        <w:t>האב שמת והניח בת אומדין דעתו כמה היה בלבו ליתן לה לפרנסתה ונותנין לה, ומנין יודעין אומדן דעתו, מרעיו ומיודעיו וממשאו ומתנו וכבודו, וכן אם השיא בת בחייו אומדין בה, ואם לא ידעו לו בית דין אומדן דעת נותנין לה מנכסיו עישור לפרנסתה.</w:t>
      </w:r>
    </w:p>
    <w:p w14:paraId="39C7E48D" w14:textId="42860D78" w:rsidR="00D507BB" w:rsidRPr="00D507BB" w:rsidRDefault="00DC3DF7" w:rsidP="00D507BB">
      <w:pPr>
        <w:pStyle w:val="Style1"/>
      </w:pPr>
      <w:r>
        <w:rPr>
          <w:rStyle w:val="Style1Char"/>
          <w:rFonts w:hint="cs"/>
          <w:rtl/>
        </w:rPr>
        <w:t>2)[</w:t>
      </w:r>
      <w:r w:rsidRPr="00DC3DF7">
        <w:rPr>
          <w:rStyle w:val="Style1Char"/>
          <w:rtl/>
        </w:rPr>
        <w:t>שולחן ערוך אבן העזר הלכות כתובות סימן קיג סעיף א</w:t>
      </w:r>
      <w:r>
        <w:rPr>
          <w:rStyle w:val="Style1Char"/>
          <w:rFonts w:hint="cs"/>
          <w:rtl/>
        </w:rPr>
        <w:t>]</w:t>
      </w:r>
      <w:r w:rsidR="00D507BB">
        <w:rPr>
          <w:rStyle w:val="Style1Char"/>
          <w:rFonts w:hint="cs"/>
          <w:rtl/>
        </w:rPr>
        <w:t xml:space="preserve"> </w:t>
      </w:r>
      <w:r w:rsidR="00D507BB" w:rsidRPr="00D507BB">
        <w:rPr>
          <w:rtl/>
        </w:rPr>
        <w:t>מי שמת והניח בת, אומדים דעתו כמה היה בלבו ליתן לה לפרנסת נדוניתא ונותנים לה. ומנין יהיו יודעים אומדן דעתו? מריעיו ומיודעיו ומשאו ומתנו וכבודו. וכן אם השיא בת בחייו אומדים בה</w:t>
      </w:r>
      <w:r w:rsidR="00D507BB" w:rsidRPr="00D507BB">
        <w:t>.</w:t>
      </w:r>
    </w:p>
    <w:p w14:paraId="4497C83E" w14:textId="77777777" w:rsidR="00D507BB" w:rsidRPr="00D507BB" w:rsidRDefault="00D507BB" w:rsidP="00D507BB">
      <w:pPr>
        <w:pStyle w:val="Style1"/>
      </w:pPr>
      <w:r w:rsidRPr="00D507BB">
        <w:rPr>
          <w:rFonts w:hint="cs"/>
          <w:rtl/>
        </w:rPr>
        <w:t>הגה: ואם היה עשיר והעני, או ותרן ונשתנה דעתו, הולכין אחר דעתו האחרונה (טור)</w:t>
      </w:r>
      <w:r w:rsidRPr="00D507BB">
        <w:t>.</w:t>
      </w:r>
    </w:p>
    <w:p w14:paraId="0DE9D642" w14:textId="77777777" w:rsidR="00D507BB" w:rsidRPr="00D507BB" w:rsidRDefault="00D507BB" w:rsidP="00D507BB">
      <w:pPr>
        <w:pStyle w:val="Style1"/>
      </w:pPr>
      <w:r w:rsidRPr="00D507BB">
        <w:rPr>
          <w:rtl/>
        </w:rPr>
        <w:t>ואם לא ידעו בית דין אומדן דעתו, נותנים לה מנכסיו עישור לפרנסת נדוניתה</w:t>
      </w:r>
      <w:r w:rsidRPr="00D507BB">
        <w:t>.</w:t>
      </w:r>
    </w:p>
    <w:p w14:paraId="5ECD4C62" w14:textId="77777777" w:rsidR="00D507BB" w:rsidRPr="00D507BB" w:rsidRDefault="00D507BB" w:rsidP="00D507BB">
      <w:pPr>
        <w:pStyle w:val="Style1"/>
      </w:pPr>
      <w:r w:rsidRPr="00D507BB">
        <w:rPr>
          <w:rFonts w:hint="cs"/>
          <w:rtl/>
        </w:rPr>
        <w:t>הגה: וכשם שנותנין לבת פרנסה לנדוניא מנכסי האב, כך נותנים לה פרנסה מנכסי האם (נמוקי יוסף פרק יש נוחלין). ויש חולקין (מהרי"ל סימן ע"ה). יש אומרים דאף האב בחיים אין לו [להוסיף] לבתו יותר מעישור נכסים (הר"ן פרק מציאת האשה), ואין נוהגין כן</w:t>
      </w:r>
      <w:r w:rsidRPr="00D507BB">
        <w:t>:</w:t>
      </w:r>
    </w:p>
    <w:p w14:paraId="7EB203F8" w14:textId="77777777" w:rsidR="00D507BB" w:rsidRPr="00D507BB" w:rsidRDefault="00D507BB" w:rsidP="00D507BB">
      <w:pPr>
        <w:pStyle w:val="Style1"/>
        <w:rPr>
          <w:rStyle w:val="Style1Char"/>
        </w:rPr>
      </w:pPr>
    </w:p>
    <w:p w14:paraId="515B9DB8" w14:textId="398B6E66" w:rsidR="00DC3DF7" w:rsidRPr="009E3922" w:rsidRDefault="00DC3DF7" w:rsidP="00DC3DF7">
      <w:pPr>
        <w:pStyle w:val="Style1"/>
        <w:rPr>
          <w:rStyle w:val="Style1Char"/>
        </w:rPr>
      </w:pPr>
    </w:p>
    <w:p w14:paraId="09A2A52A" w14:textId="77777777" w:rsidR="000357F0" w:rsidRPr="009E3922" w:rsidRDefault="000357F0" w:rsidP="009E3922">
      <w:pPr>
        <w:pStyle w:val="Style1"/>
        <w:rPr>
          <w:rStyle w:val="Style1Char"/>
          <w:rtl/>
        </w:rPr>
      </w:pPr>
    </w:p>
    <w:p w14:paraId="3FA6E16C" w14:textId="77777777" w:rsidR="000357F0" w:rsidRDefault="000357F0" w:rsidP="000357F0">
      <w:pPr>
        <w:rPr>
          <w:rStyle w:val="Style1Char"/>
          <w:color w:val="00B050"/>
          <w:rtl/>
        </w:rPr>
      </w:pPr>
      <w:r>
        <w:rPr>
          <w:rStyle w:val="Style1Char"/>
          <w:color w:val="00B050"/>
          <w:rtl/>
        </w:rPr>
        <w:br w:type="page"/>
      </w:r>
    </w:p>
    <w:p w14:paraId="0022C9AD" w14:textId="2DF2B0F8" w:rsidR="000357F0" w:rsidRDefault="000357F0" w:rsidP="000357F0">
      <w:pPr>
        <w:bidi/>
        <w:rPr>
          <w:rStyle w:val="Style1Char"/>
          <w:color w:val="00B050"/>
        </w:rPr>
      </w:pPr>
      <w:r w:rsidRPr="00E567E9">
        <w:rPr>
          <w:rStyle w:val="Style1Char"/>
          <w:sz w:val="22"/>
          <w:szCs w:val="22"/>
          <w:highlight w:val="yellow"/>
          <w:rtl/>
        </w:rPr>
        <w:lastRenderedPageBreak/>
        <w:t>[דף נא עמוד א]</w:t>
      </w:r>
      <w:r w:rsidRPr="00E567E9">
        <w:rPr>
          <w:rStyle w:val="Style1Char"/>
          <w:sz w:val="22"/>
          <w:szCs w:val="22"/>
          <w:rtl/>
        </w:rPr>
        <w:t xml:space="preserve"> סוף סוף כל העומד לגזוז כגזוז דמי!</w:t>
      </w:r>
      <w:r w:rsidRPr="00E567E9">
        <w:rPr>
          <w:rStyle w:val="Style1Char"/>
          <w:rtl/>
        </w:rPr>
        <w:t xml:space="preserve"> </w:t>
      </w:r>
      <w:r w:rsidRPr="00E567E9">
        <w:rPr>
          <w:rStyle w:val="Style1Char"/>
          <w:color w:val="C00000"/>
          <w:sz w:val="22"/>
          <w:szCs w:val="22"/>
          <w:rtl/>
        </w:rPr>
        <w:t xml:space="preserve">א"ל אנא </w:t>
      </w:r>
      <w:r w:rsidRPr="00E567E9">
        <w:rPr>
          <w:rStyle w:val="Style1Char"/>
          <w:sz w:val="22"/>
          <w:szCs w:val="22"/>
          <w:rtl/>
        </w:rPr>
        <w:t xml:space="preserve">דצריכא לדיקלא קאמינא. ההוא יתום ויתומה דאתו לקמיה דרבא, אמר להו </w:t>
      </w:r>
      <w:r w:rsidRPr="002F2700">
        <w:rPr>
          <w:rStyle w:val="Style1Char"/>
          <w:color w:val="00B050"/>
          <w:rtl/>
        </w:rPr>
        <w:t xml:space="preserve">רבא: </w:t>
      </w:r>
      <w:r w:rsidRPr="00E567E9">
        <w:rPr>
          <w:rStyle w:val="Style1Char"/>
          <w:sz w:val="22"/>
          <w:szCs w:val="22"/>
          <w:rtl/>
        </w:rPr>
        <w:t xml:space="preserve">העלו ליתום בשביל יתומה. אמרי ליה רבנן לרבא, והא מר הוא דאמר: ממקרקעי ולא ממטלטלי, בין למזוני, בין לכתובה, ובין לפרנסה! אמר להו: </w:t>
      </w:r>
      <w:r w:rsidRPr="00E567E9">
        <w:rPr>
          <w:rStyle w:val="Style1Char"/>
          <w:color w:val="C00000"/>
          <w:sz w:val="22"/>
          <w:szCs w:val="22"/>
          <w:rtl/>
        </w:rPr>
        <w:t xml:space="preserve">עני בר טובים הוא </w:t>
      </w:r>
      <w:r w:rsidRPr="00E567E9">
        <w:rPr>
          <w:rStyle w:val="Style1Char"/>
          <w:sz w:val="22"/>
          <w:szCs w:val="22"/>
          <w:rtl/>
        </w:rPr>
        <w:t>אילו רצה שפחה לשמשו, מי לא יהבינן ליה? כל שכן הכא דאיכא תרתי</w:t>
      </w:r>
      <w:r w:rsidRPr="002F2700">
        <w:rPr>
          <w:rStyle w:val="Style1Char"/>
          <w:color w:val="00B050"/>
          <w:rtl/>
        </w:rPr>
        <w:t xml:space="preserve">. </w:t>
      </w:r>
      <w:r w:rsidRPr="00E567E9">
        <w:rPr>
          <w:rStyle w:val="Style1Char"/>
          <w:sz w:val="22"/>
          <w:szCs w:val="22"/>
          <w:rtl/>
        </w:rPr>
        <w:t xml:space="preserve">תנו רבנן: </w:t>
      </w:r>
      <w:r w:rsidR="00CE673C">
        <w:rPr>
          <w:rStyle w:val="Style1Char"/>
          <w:rFonts w:hint="cs"/>
          <w:rtl/>
        </w:rPr>
        <w:t>(1)</w:t>
      </w:r>
      <w:r w:rsidRPr="00E567E9">
        <w:rPr>
          <w:rStyle w:val="Style1Char"/>
          <w:sz w:val="22"/>
          <w:szCs w:val="22"/>
          <w:rtl/>
        </w:rPr>
        <w:t xml:space="preserve">אחד נכסים שיש להן אחריות, ואחד נכסים שאין להן אחריות - מוציאין למזון אשה ולבנות, דברי רבי; רבי שמעון בן אלעזר אומר: נכסים שיש להן אחריות </w:t>
      </w:r>
      <w:r w:rsidRPr="00CB5514">
        <w:rPr>
          <w:rStyle w:val="Style1Char"/>
          <w:sz w:val="22"/>
          <w:szCs w:val="22"/>
          <w:rtl/>
        </w:rPr>
        <w:t xml:space="preserve">- מוציאין לבנות מן הבנים ולבנות </w:t>
      </w:r>
      <w:r w:rsidRPr="00662F84">
        <w:rPr>
          <w:rStyle w:val="Style1Char"/>
          <w:sz w:val="22"/>
          <w:szCs w:val="22"/>
          <w:rtl/>
        </w:rPr>
        <w:t>מן הבנות ולבנים מן הבנים ולבנים מן הבנות בנכסים מרובין, אבל לא לבנים מן הבנות בנכסים מועטין;</w:t>
      </w:r>
      <w:r w:rsidRPr="002F2700">
        <w:rPr>
          <w:rStyle w:val="Style1Char"/>
          <w:color w:val="00B050"/>
          <w:rtl/>
        </w:rPr>
        <w:t xml:space="preserve"> </w:t>
      </w:r>
      <w:r w:rsidRPr="00662F84">
        <w:rPr>
          <w:rStyle w:val="Style1Char"/>
          <w:sz w:val="22"/>
          <w:szCs w:val="22"/>
          <w:rtl/>
        </w:rPr>
        <w:t>נכסים שאין להן אחריות - מוציאין לבנים מן הבנים ולבנות מן הבנות ולבנים מן הבנות</w:t>
      </w:r>
      <w:r w:rsidRPr="001D4E59">
        <w:rPr>
          <w:rStyle w:val="Style1Char"/>
          <w:color w:val="C00000"/>
          <w:rtl/>
        </w:rPr>
        <w:t>(בנכסים מרובין)</w:t>
      </w:r>
      <w:r w:rsidRPr="00662F84">
        <w:rPr>
          <w:rStyle w:val="Style1Char"/>
          <w:sz w:val="22"/>
          <w:szCs w:val="22"/>
          <w:rtl/>
        </w:rPr>
        <w:t>, אבל לא לבנות מן הבנים</w:t>
      </w:r>
      <w:r w:rsidRPr="001D4E59">
        <w:rPr>
          <w:rStyle w:val="Style1Char"/>
          <w:color w:val="C00000"/>
          <w:rtl/>
        </w:rPr>
        <w:t>(בנכסים מועטין)</w:t>
      </w:r>
      <w:r w:rsidRPr="001D4E59">
        <w:rPr>
          <w:rStyle w:val="Style1Char"/>
          <w:color w:val="C00000"/>
        </w:rPr>
        <w:t>:</w:t>
      </w:r>
      <w:r w:rsidRPr="00662F84">
        <w:rPr>
          <w:rStyle w:val="Style1Char"/>
          <w:sz w:val="22"/>
          <w:szCs w:val="22"/>
          <w:rtl/>
        </w:rPr>
        <w:t xml:space="preserve">. </w:t>
      </w:r>
      <w:r w:rsidRPr="002F2700">
        <w:rPr>
          <w:rStyle w:val="Style1Char"/>
          <w:color w:val="00B050"/>
          <w:rtl/>
        </w:rPr>
        <w:t xml:space="preserve">אף על גב דקיימא לן הלכה כרבי מחבירו, הכא הלכה כרבי שמעון בן אלעזר, דאמר רבא, </w:t>
      </w:r>
      <w:r w:rsidR="004F1822">
        <w:rPr>
          <w:rStyle w:val="Style1Char"/>
          <w:rFonts w:hint="cs"/>
          <w:rtl/>
        </w:rPr>
        <w:t>(1)</w:t>
      </w:r>
      <w:r w:rsidRPr="002F2700">
        <w:rPr>
          <w:rStyle w:val="Style1Char"/>
          <w:color w:val="00B050"/>
          <w:rtl/>
        </w:rPr>
        <w:t xml:space="preserve">הלכתא: ממקרקעי ולא ממטלטלי, בין לכתובה, בין למזוני, בין לפרנסה. </w:t>
      </w:r>
    </w:p>
    <w:p w14:paraId="519F925E" w14:textId="27E071B8" w:rsidR="000357F0" w:rsidRPr="000754DE" w:rsidRDefault="000357F0" w:rsidP="000357F0">
      <w:pPr>
        <w:bidi/>
        <w:rPr>
          <w:rStyle w:val="Style1Char"/>
          <w:color w:val="auto"/>
          <w:sz w:val="22"/>
          <w:szCs w:val="22"/>
        </w:rPr>
      </w:pPr>
      <w:r w:rsidRPr="000754DE">
        <w:rPr>
          <w:rStyle w:val="Style1Char"/>
          <w:color w:val="auto"/>
          <w:sz w:val="22"/>
          <w:szCs w:val="22"/>
          <w:rtl/>
        </w:rPr>
        <w:t xml:space="preserve">מתני'. </w:t>
      </w:r>
      <w:r w:rsidR="004619C4">
        <w:rPr>
          <w:rStyle w:val="Style1Char"/>
          <w:rFonts w:hint="cs"/>
          <w:rtl/>
        </w:rPr>
        <w:t>(</w:t>
      </w:r>
      <w:r w:rsidR="00AD1DC7">
        <w:rPr>
          <w:rStyle w:val="Style1Char"/>
          <w:rFonts w:hint="cs"/>
          <w:rtl/>
        </w:rPr>
        <w:t>2</w:t>
      </w:r>
      <w:r w:rsidR="004619C4">
        <w:rPr>
          <w:rStyle w:val="Style1Char"/>
          <w:rFonts w:hint="cs"/>
          <w:rtl/>
        </w:rPr>
        <w:t>)</w:t>
      </w:r>
      <w:r w:rsidRPr="000754DE">
        <w:rPr>
          <w:rStyle w:val="Style1Char"/>
          <w:color w:val="auto"/>
          <w:sz w:val="22"/>
          <w:szCs w:val="22"/>
          <w:rtl/>
        </w:rPr>
        <w:t xml:space="preserve">לא כתב לה כתובה - בתולה גובה מאתים ואלמנה מנה, מפני שהוא תנאי בית דין. כתב לה שדה שוה מנה תחת מאתים זוז, </w:t>
      </w:r>
      <w:r w:rsidR="00C0474D">
        <w:rPr>
          <w:rStyle w:val="Style1Char"/>
          <w:rFonts w:hint="cs"/>
          <w:rtl/>
        </w:rPr>
        <w:t>(</w:t>
      </w:r>
      <w:r w:rsidR="00EB7E0B">
        <w:rPr>
          <w:rStyle w:val="Style1Char"/>
          <w:rFonts w:hint="cs"/>
          <w:rtl/>
        </w:rPr>
        <w:t>1.2, 3</w:t>
      </w:r>
      <w:r w:rsidR="00C0474D">
        <w:rPr>
          <w:rStyle w:val="Style1Char"/>
          <w:rFonts w:hint="cs"/>
          <w:rtl/>
        </w:rPr>
        <w:t>)</w:t>
      </w:r>
      <w:r w:rsidRPr="000754DE">
        <w:rPr>
          <w:rStyle w:val="Style1Char"/>
          <w:color w:val="auto"/>
          <w:sz w:val="22"/>
          <w:szCs w:val="22"/>
          <w:rtl/>
        </w:rPr>
        <w:t xml:space="preserve">ולא כתב לה כל נכסים דאית לי אחראין לכתובתיך - חייב, שהוא תנאי בית דין. </w:t>
      </w:r>
      <w:r w:rsidR="00C0474D">
        <w:rPr>
          <w:rStyle w:val="Style1Char"/>
          <w:rFonts w:hint="cs"/>
          <w:rtl/>
        </w:rPr>
        <w:t>(4)</w:t>
      </w:r>
      <w:r w:rsidRPr="000754DE">
        <w:rPr>
          <w:rStyle w:val="Style1Char"/>
          <w:color w:val="auto"/>
          <w:sz w:val="22"/>
          <w:szCs w:val="22"/>
          <w:rtl/>
        </w:rPr>
        <w:t xml:space="preserve">לא כתב לה אם תשתבאי אפרקינך ואותבינך לי לאינתו, </w:t>
      </w:r>
      <w:r w:rsidR="008639A6">
        <w:rPr>
          <w:rStyle w:val="Style1Char"/>
          <w:rFonts w:hint="cs"/>
          <w:rtl/>
        </w:rPr>
        <w:t>(4.</w:t>
      </w:r>
      <w:r w:rsidR="004E61F4">
        <w:rPr>
          <w:rStyle w:val="Style1Char"/>
          <w:rFonts w:hint="cs"/>
          <w:rtl/>
        </w:rPr>
        <w:t>2</w:t>
      </w:r>
      <w:r w:rsidR="008639A6">
        <w:rPr>
          <w:rStyle w:val="Style1Char"/>
          <w:rFonts w:hint="cs"/>
          <w:rtl/>
        </w:rPr>
        <w:t>, 5)</w:t>
      </w:r>
      <w:r w:rsidRPr="000754DE">
        <w:rPr>
          <w:rStyle w:val="Style1Char"/>
          <w:color w:val="auto"/>
          <w:sz w:val="22"/>
          <w:szCs w:val="22"/>
          <w:rtl/>
        </w:rPr>
        <w:t xml:space="preserve">ובכהנת אהדרינך למדינתך - חייב, שהוא תנאי בית דין. </w:t>
      </w:r>
      <w:r w:rsidR="006B4D03">
        <w:rPr>
          <w:rStyle w:val="Style1Char"/>
          <w:rFonts w:hint="cs"/>
          <w:rtl/>
        </w:rPr>
        <w:t>(4.</w:t>
      </w:r>
      <w:r w:rsidR="004E61F4">
        <w:rPr>
          <w:rStyle w:val="Style1Char"/>
          <w:rFonts w:hint="cs"/>
          <w:rtl/>
        </w:rPr>
        <w:t>2</w:t>
      </w:r>
      <w:r w:rsidR="006B4D03">
        <w:rPr>
          <w:rStyle w:val="Style1Char"/>
          <w:rFonts w:hint="cs"/>
          <w:rtl/>
        </w:rPr>
        <w:t>, 6)</w:t>
      </w:r>
      <w:r w:rsidRPr="000754DE">
        <w:rPr>
          <w:rStyle w:val="Style1Char"/>
          <w:color w:val="auto"/>
          <w:sz w:val="22"/>
          <w:szCs w:val="22"/>
          <w:rtl/>
        </w:rPr>
        <w:t xml:space="preserve">נשבית - חייב לפדותה, </w:t>
      </w:r>
      <w:r w:rsidR="00D945AD">
        <w:rPr>
          <w:rStyle w:val="Style1Char"/>
          <w:rFonts w:hint="cs"/>
          <w:rtl/>
        </w:rPr>
        <w:t>(4.</w:t>
      </w:r>
      <w:r w:rsidR="00496DD6">
        <w:rPr>
          <w:rStyle w:val="Style1Char"/>
          <w:rFonts w:hint="cs"/>
          <w:rtl/>
        </w:rPr>
        <w:t>2</w:t>
      </w:r>
      <w:r w:rsidR="00D945AD">
        <w:rPr>
          <w:rStyle w:val="Style1Char"/>
          <w:rFonts w:hint="cs"/>
          <w:rtl/>
        </w:rPr>
        <w:t>, 6)</w:t>
      </w:r>
      <w:r w:rsidRPr="000754DE">
        <w:rPr>
          <w:rStyle w:val="Style1Char"/>
          <w:color w:val="auto"/>
          <w:sz w:val="22"/>
          <w:szCs w:val="22"/>
          <w:rtl/>
        </w:rPr>
        <w:t xml:space="preserve">ואם אמר הרי גיטה וכתובתה ותפדה את עצמה - אינו רשאי. </w:t>
      </w:r>
      <w:r w:rsidR="005E6E50">
        <w:rPr>
          <w:rStyle w:val="Style1Char"/>
          <w:rFonts w:hint="cs"/>
          <w:rtl/>
        </w:rPr>
        <w:t>(</w:t>
      </w:r>
      <w:r w:rsidR="00740B4E">
        <w:rPr>
          <w:rStyle w:val="Style1Char"/>
          <w:rFonts w:hint="cs"/>
          <w:rtl/>
        </w:rPr>
        <w:t>7</w:t>
      </w:r>
      <w:r w:rsidR="005E6E50">
        <w:rPr>
          <w:rStyle w:val="Style1Char"/>
          <w:rFonts w:hint="cs"/>
          <w:rtl/>
        </w:rPr>
        <w:t>)</w:t>
      </w:r>
      <w:r w:rsidRPr="000754DE">
        <w:rPr>
          <w:rStyle w:val="Style1Char"/>
          <w:color w:val="auto"/>
          <w:sz w:val="22"/>
          <w:szCs w:val="22"/>
          <w:rtl/>
        </w:rPr>
        <w:t xml:space="preserve">לקתה - חייב לרפאותה, </w:t>
      </w:r>
      <w:r w:rsidR="00384E8D">
        <w:rPr>
          <w:rStyle w:val="Style1Char"/>
          <w:rFonts w:hint="cs"/>
          <w:rtl/>
        </w:rPr>
        <w:t>(</w:t>
      </w:r>
      <w:r w:rsidR="00740B4E">
        <w:rPr>
          <w:rStyle w:val="Style1Char"/>
          <w:rFonts w:hint="cs"/>
          <w:rtl/>
        </w:rPr>
        <w:t>7</w:t>
      </w:r>
      <w:r w:rsidR="00384E8D">
        <w:rPr>
          <w:rStyle w:val="Style1Char"/>
          <w:rFonts w:hint="cs"/>
          <w:rtl/>
        </w:rPr>
        <w:t xml:space="preserve">.1, </w:t>
      </w:r>
      <w:r w:rsidR="00740B4E">
        <w:rPr>
          <w:rStyle w:val="Style1Char"/>
          <w:rFonts w:hint="cs"/>
          <w:rtl/>
        </w:rPr>
        <w:t>8</w:t>
      </w:r>
      <w:r w:rsidR="00384E8D">
        <w:rPr>
          <w:rStyle w:val="Style1Char"/>
          <w:rFonts w:hint="cs"/>
          <w:rtl/>
        </w:rPr>
        <w:t>)</w:t>
      </w:r>
      <w:r w:rsidRPr="000754DE">
        <w:rPr>
          <w:rStyle w:val="Style1Char"/>
          <w:color w:val="auto"/>
          <w:sz w:val="22"/>
          <w:szCs w:val="22"/>
          <w:rtl/>
        </w:rPr>
        <w:t xml:space="preserve">אמר הרי גיטה וכתובתה תרפא את עצמה - רשאי. </w:t>
      </w:r>
    </w:p>
    <w:p w14:paraId="71BEF38B" w14:textId="2ED73B03" w:rsidR="000357F0" w:rsidRDefault="000357F0" w:rsidP="000357F0">
      <w:pPr>
        <w:bidi/>
        <w:rPr>
          <w:rStyle w:val="Style1Char"/>
          <w:color w:val="00B050"/>
          <w:rtl/>
        </w:rPr>
      </w:pPr>
      <w:r w:rsidRPr="002F2700">
        <w:rPr>
          <w:rStyle w:val="Style1Char"/>
          <w:color w:val="00B050"/>
          <w:rtl/>
        </w:rPr>
        <w:t xml:space="preserve">גמ'. מני? רבי מאיר היא, דאמר: </w:t>
      </w:r>
      <w:r w:rsidR="00384E8D">
        <w:rPr>
          <w:rStyle w:val="Style1Char"/>
          <w:rFonts w:hint="cs"/>
          <w:rtl/>
        </w:rPr>
        <w:t>(</w:t>
      </w:r>
      <w:r w:rsidR="00675C98">
        <w:rPr>
          <w:rStyle w:val="Style1Char"/>
          <w:rFonts w:hint="cs"/>
          <w:rtl/>
        </w:rPr>
        <w:t>2.1, 9</w:t>
      </w:r>
      <w:r w:rsidR="00384E8D">
        <w:rPr>
          <w:rStyle w:val="Style1Char"/>
          <w:rFonts w:hint="cs"/>
          <w:rtl/>
        </w:rPr>
        <w:t>)</w:t>
      </w:r>
      <w:r w:rsidRPr="002F2700">
        <w:rPr>
          <w:rStyle w:val="Style1Char"/>
          <w:color w:val="00B050"/>
          <w:rtl/>
        </w:rPr>
        <w:t xml:space="preserve">כל הפוחת לבתולה ממאתים ולאלמנה ממנה - הרי זו בעילת זנות, דאי רבי יהודה האמר: רצה, כותב לבתולה שטר של מאתים והיא כותבת התקבלתי ממך מנה, ולאלמנה מנה והיא כותבת התקבלתי ממך חמשים זוז; אימא סיפא: כתב לה שדה שוה מנה תחת מאתים זוז, ולא כתב לה כל נכסים דאית לי אחראין לכתובתיך - חייב, שהוא תנאי בית דין, אתאן לר"י, דאמר: אחריות טעות סופר הוא, דאי רבי מאיר, האמר: אחריות לאו טעות סופר הוא, דתנן: מצא שטרי חוב, אם </w:t>
      </w:r>
    </w:p>
    <w:p w14:paraId="6EF02819" w14:textId="629DD51E" w:rsidR="00311F17" w:rsidRDefault="00311F17" w:rsidP="00311F17">
      <w:pPr>
        <w:pStyle w:val="Style1"/>
        <w:rPr>
          <w:rStyle w:val="Style1Char"/>
          <w:rtl/>
        </w:rPr>
      </w:pPr>
      <w:r>
        <w:rPr>
          <w:rStyle w:val="Style1Char"/>
          <w:rFonts w:hint="cs"/>
          <w:rtl/>
        </w:rPr>
        <w:t>1)[</w:t>
      </w:r>
      <w:r w:rsidRPr="00311F17">
        <w:rPr>
          <w:rStyle w:val="Style1Char"/>
          <w:rtl/>
        </w:rPr>
        <w:t>רמב</w:t>
      </w:r>
      <w:r w:rsidR="00213DA1">
        <w:rPr>
          <w:rStyle w:val="Style1Char"/>
          <w:rtl/>
        </w:rPr>
        <w:t>”ם \נשים\</w:t>
      </w:r>
      <w:r w:rsidRPr="00311F17">
        <w:rPr>
          <w:rStyle w:val="Style1Char"/>
          <w:rtl/>
        </w:rPr>
        <w:t xml:space="preserve"> הלכות אישות פרק טז הלכה ז</w:t>
      </w:r>
      <w:r>
        <w:rPr>
          <w:rStyle w:val="Style1Char"/>
          <w:rFonts w:hint="cs"/>
          <w:rtl/>
        </w:rPr>
        <w:t xml:space="preserve">] </w:t>
      </w:r>
      <w:r w:rsidRPr="00311F17">
        <w:rPr>
          <w:rStyle w:val="Style1Char"/>
          <w:rtl/>
        </w:rPr>
        <w:t>תקנו הגאונים בכל הישיבות שתהיה האשה גובה כתובתה אחרי מות בעלה אף מן המטלטלין כדרך שהתקינו לבעל חוב לגבות מן המטלטלין, ופשטה תקנה זו ברוב ישראל, וכן שאר תנאי כתובה כולן ככתובה הן וישנן במטלטלין כבקרקע, חוץ מכתובת בנין דכרין שלא מצאנו מנהג ירושתה פשוט בכל הישיבות, לפיכך אני אומר מעמידין אותה על דין התלמוד שאין יורשין כתובת אמן אלא מן הקרקע.</w:t>
      </w:r>
    </w:p>
    <w:p w14:paraId="5D5D547A" w14:textId="11323652" w:rsidR="00A50C6B" w:rsidRPr="00A50C6B" w:rsidRDefault="00277FCB" w:rsidP="00A50C6B">
      <w:pPr>
        <w:pStyle w:val="Style1"/>
      </w:pPr>
      <w:r>
        <w:rPr>
          <w:rStyle w:val="Style1Char"/>
          <w:rFonts w:hint="cs"/>
          <w:rtl/>
        </w:rPr>
        <w:t>1)[</w:t>
      </w:r>
      <w:r w:rsidRPr="00277FCB">
        <w:rPr>
          <w:rStyle w:val="Style1Char"/>
          <w:rtl/>
        </w:rPr>
        <w:t>שולחן ערוך אבן העזר הלכות כתובות סימן ק סעיף א</w:t>
      </w:r>
      <w:r>
        <w:rPr>
          <w:rStyle w:val="Style1Char"/>
          <w:rFonts w:hint="cs"/>
          <w:rtl/>
        </w:rPr>
        <w:t>]</w:t>
      </w:r>
      <w:r w:rsidR="00A50C6B">
        <w:rPr>
          <w:rStyle w:val="Style1Char"/>
          <w:rFonts w:hint="cs"/>
          <w:rtl/>
        </w:rPr>
        <w:t xml:space="preserve"> </w:t>
      </w:r>
      <w:r w:rsidR="00A50C6B" w:rsidRPr="00A50C6B">
        <w:rPr>
          <w:rtl/>
        </w:rPr>
        <w:t>מדינא דגמרא, הכתובה, דהינו עיקר כתובה ותוספת, אינם נגבים אלא מן הקרקע. ומתקנת הגאונים נגבים אף מן המטלטלים. והוא הדין לכל תנאיה, חוץ מכתובת בנין דכרין. לפיכך, אם גבו היורשים מעות בחובת אביהם, גובה מהם</w:t>
      </w:r>
      <w:r w:rsidR="00A50C6B" w:rsidRPr="00A50C6B">
        <w:t>. </w:t>
      </w:r>
      <w:r w:rsidR="00A50C6B" w:rsidRPr="00A50C6B">
        <w:rPr>
          <w:rFonts w:hint="cs"/>
          <w:rtl/>
        </w:rPr>
        <w:t>ומיהו, רשות ביד היורשים לסלקה בקרקע (הגהות אלפסי פרק הכותב)</w:t>
      </w:r>
      <w:r w:rsidR="00A50C6B" w:rsidRPr="00A50C6B">
        <w:t>.</w:t>
      </w:r>
    </w:p>
    <w:p w14:paraId="607EC567" w14:textId="77777777" w:rsidR="00A50C6B" w:rsidRPr="00A50C6B" w:rsidRDefault="00A50C6B" w:rsidP="00A50C6B">
      <w:pPr>
        <w:pStyle w:val="Style1"/>
      </w:pPr>
      <w:r w:rsidRPr="00A50C6B">
        <w:rPr>
          <w:rtl/>
        </w:rPr>
        <w:t>ודוקא מטלטלי בני חרי, אבל אם מכרם הבעל או נתנם במתנת בריא, אינה גובה מהם</w:t>
      </w:r>
      <w:r w:rsidRPr="00A50C6B">
        <w:t>.</w:t>
      </w:r>
    </w:p>
    <w:p w14:paraId="7A67EEA2" w14:textId="77777777" w:rsidR="00A50C6B" w:rsidRPr="00A50C6B" w:rsidRDefault="00A50C6B" w:rsidP="00A50C6B">
      <w:pPr>
        <w:pStyle w:val="Style1"/>
      </w:pPr>
      <w:r w:rsidRPr="00A50C6B">
        <w:rPr>
          <w:rFonts w:hint="cs"/>
          <w:rtl/>
        </w:rPr>
        <w:t>הגה: ויש אומרים דוקא שנתן לאחרים, אבל אם נתן ליורשיו במתנת בריא, אשה גובאת כתובתה מהם (הגהות מימוני פרק י"ו ומהרא"י סימן פ"ו ומהרי"ו סימן קנ"ו), דכל מה שנתן ליורשיו אינו אלא כירשה, והאשה גובאת כתובתה משם (מרדכי פרק נערה בשם מוהר"ם). מי שצוה לתת מנכסיו לאחר מותו כך וכך, אף על פי שצוה כך כשהיה בריא, אשה גובאת כתובתה משם, דאינה אלא כמתנת שכיב מרע דגובאת כתבתה משם. (ועין בחשן המשפט </w:t>
      </w:r>
      <w:hyperlink r:id="rId90" w:tooltip="שולחן ערוך חושן משפט רנא" w:history="1">
        <w:r w:rsidRPr="00A50C6B">
          <w:rPr>
            <w:rStyle w:val="Hyperlink"/>
            <w:rFonts w:hint="cs"/>
            <w:color w:val="7030A0"/>
            <w:u w:val="none"/>
            <w:rtl/>
          </w:rPr>
          <w:t>סימן רנ"א</w:t>
        </w:r>
      </w:hyperlink>
      <w:r w:rsidRPr="00A50C6B">
        <w:rPr>
          <w:rFonts w:hint="cs"/>
        </w:rPr>
        <w:t> </w:t>
      </w:r>
      <w:hyperlink r:id="rId91" w:tooltip="שולחן ערוך חושן משפט רנב" w:history="1">
        <w:r w:rsidRPr="00A50C6B">
          <w:rPr>
            <w:rStyle w:val="Hyperlink"/>
            <w:rFonts w:hint="cs"/>
            <w:color w:val="7030A0"/>
            <w:u w:val="none"/>
            <w:rtl/>
          </w:rPr>
          <w:t>ורנ"ב</w:t>
        </w:r>
      </w:hyperlink>
      <w:r w:rsidRPr="00A50C6B">
        <w:rPr>
          <w:rFonts w:hint="cs"/>
        </w:rPr>
        <w:t> </w:t>
      </w:r>
      <w:hyperlink r:id="rId92" w:tooltip="שולחן ערוך חושן משפט רנז" w:history="1">
        <w:r w:rsidRPr="00A50C6B">
          <w:rPr>
            <w:rStyle w:val="Hyperlink"/>
            <w:rFonts w:hint="cs"/>
            <w:color w:val="7030A0"/>
            <w:u w:val="none"/>
            <w:rtl/>
          </w:rPr>
          <w:t>ורנ"ז</w:t>
        </w:r>
      </w:hyperlink>
      <w:r w:rsidRPr="00A50C6B">
        <w:rPr>
          <w:rFonts w:hint="cs"/>
        </w:rPr>
        <w:t>.)</w:t>
      </w:r>
    </w:p>
    <w:p w14:paraId="003AC47A" w14:textId="77777777" w:rsidR="00A50C6B" w:rsidRPr="00A50C6B" w:rsidRDefault="00A50C6B" w:rsidP="00A50C6B">
      <w:pPr>
        <w:pStyle w:val="Style1"/>
      </w:pPr>
      <w:r w:rsidRPr="00A50C6B">
        <w:rPr>
          <w:rtl/>
        </w:rPr>
        <w:t>ואם מכרום יורשים אחר מותו, גובה מהם. ועכשיו נוהגים לכתוב בכל הכתובות ששעבד לה כל נכסיו מקרקעי ומטלטלי מטלטלי אגב מקרקעי דקנאית ודאקנה. ומכל מקום, לא נהגו לגבות ממטלטלין שמכר או נתן במתנת בריא, ולא אפילו ממטלטלין שמכרו היורשים, מפני תקנת השוק</w:t>
      </w:r>
      <w:r w:rsidRPr="00A50C6B">
        <w:t>.</w:t>
      </w:r>
    </w:p>
    <w:p w14:paraId="6990271A" w14:textId="2177A145" w:rsidR="00A50C6B" w:rsidRDefault="00A50C6B" w:rsidP="00A50C6B">
      <w:pPr>
        <w:pStyle w:val="Style1"/>
        <w:rPr>
          <w:rtl/>
        </w:rPr>
      </w:pPr>
      <w:r w:rsidRPr="00A50C6B">
        <w:rPr>
          <w:rFonts w:hint="cs"/>
          <w:rtl/>
        </w:rPr>
        <w:t>ועין </w:t>
      </w:r>
      <w:hyperlink r:id="rId93" w:tooltip="שולחן ערוך חושן משפט קיג" w:history="1">
        <w:r w:rsidRPr="00A50C6B">
          <w:rPr>
            <w:rStyle w:val="Hyperlink"/>
            <w:rFonts w:hint="cs"/>
            <w:color w:val="7030A0"/>
            <w:u w:val="none"/>
            <w:rtl/>
          </w:rPr>
          <w:t>בחשן המשפט סימן קי"ג</w:t>
        </w:r>
      </w:hyperlink>
      <w:r w:rsidRPr="00A50C6B">
        <w:rPr>
          <w:rFonts w:hint="cs"/>
        </w:rPr>
        <w:t xml:space="preserve">. </w:t>
      </w:r>
      <w:r w:rsidRPr="00A50C6B">
        <w:rPr>
          <w:rFonts w:hint="cs"/>
          <w:rtl/>
        </w:rPr>
        <w:t>עין לקמן </w:t>
      </w:r>
      <w:hyperlink r:id="rId94" w:tooltip="שולחן ערוך אבן העזר קיח" w:history="1">
        <w:r w:rsidRPr="00A50C6B">
          <w:rPr>
            <w:rStyle w:val="Hyperlink"/>
            <w:rFonts w:hint="cs"/>
            <w:color w:val="7030A0"/>
            <w:u w:val="none"/>
            <w:rtl/>
          </w:rPr>
          <w:t>סימן קי"ח</w:t>
        </w:r>
      </w:hyperlink>
      <w:r w:rsidRPr="00A50C6B">
        <w:rPr>
          <w:rFonts w:hint="cs"/>
        </w:rPr>
        <w:t xml:space="preserve">, </w:t>
      </w:r>
      <w:r w:rsidRPr="00A50C6B">
        <w:rPr>
          <w:rFonts w:hint="cs"/>
          <w:rtl/>
        </w:rPr>
        <w:t>אם אשה חייבת לקבר בעלה קדם שתגבה כתובתה</w:t>
      </w:r>
      <w:r w:rsidRPr="00A50C6B">
        <w:t>:</w:t>
      </w:r>
    </w:p>
    <w:p w14:paraId="0572A8AA" w14:textId="0B597CD9" w:rsidR="00CD7C41" w:rsidRDefault="00CD7C41" w:rsidP="00CD7C41">
      <w:pPr>
        <w:pStyle w:val="Style1"/>
        <w:rPr>
          <w:rtl/>
        </w:rPr>
      </w:pPr>
      <w:r>
        <w:rPr>
          <w:rFonts w:hint="cs"/>
          <w:rtl/>
        </w:rPr>
        <w:t>1)[</w:t>
      </w:r>
      <w:r>
        <w:rPr>
          <w:rtl/>
        </w:rPr>
        <w:t>שולחן ערוך אבן העזר הלכות כתובות סימן קיב סעיף ז</w:t>
      </w:r>
      <w:r>
        <w:rPr>
          <w:rFonts w:hint="cs"/>
          <w:rtl/>
        </w:rPr>
        <w:t xml:space="preserve">] </w:t>
      </w:r>
      <w:r>
        <w:rPr>
          <w:rtl/>
        </w:rPr>
        <w:t>עכשיו שכתובה נגבית אפילו ממטלטלים, גם הבנות נזונות מהם. ואינם ניזונות אלא מבני חרי, אבל לא ממשעבדי, כגון אם מכר האב או נתן האב במתנת בריא או אם הבנים אחר מיתת אביהם מכרו או משכנו או נתנו, אינן נזונות מהן.</w:t>
      </w:r>
    </w:p>
    <w:p w14:paraId="03173A92" w14:textId="65E97458" w:rsidR="00F6567F" w:rsidRDefault="00F6567F" w:rsidP="00F6567F">
      <w:pPr>
        <w:pStyle w:val="Style1"/>
        <w:rPr>
          <w:rtl/>
        </w:rPr>
      </w:pPr>
      <w:r>
        <w:rPr>
          <w:rFonts w:hint="cs"/>
          <w:rtl/>
        </w:rPr>
        <w:t>2)[</w:t>
      </w:r>
      <w:r>
        <w:rPr>
          <w:rtl/>
        </w:rPr>
        <w:t>רמב</w:t>
      </w:r>
      <w:r w:rsidR="00213DA1">
        <w:rPr>
          <w:rtl/>
        </w:rPr>
        <w:t>”ם \נשים\</w:t>
      </w:r>
      <w:r>
        <w:rPr>
          <w:rtl/>
        </w:rPr>
        <w:t xml:space="preserve"> הלכות אישות פרק יב הלכה ב</w:t>
      </w:r>
      <w:r>
        <w:rPr>
          <w:rFonts w:hint="cs"/>
          <w:rtl/>
        </w:rPr>
        <w:t xml:space="preserve">] </w:t>
      </w:r>
      <w:r>
        <w:rPr>
          <w:rtl/>
        </w:rPr>
        <w:t>והעשרה שלשה מהן מן התורה ואלו הן שארה כסותה ועונתה, שארה אלו מזונותיה, כסותה כמשמעה, עונתה לבא עליה כדרך כל הארץ: והשבעה מדברי סופרים וכולן תנאי בית דין הם, האחד מהם עיקר כתובה, והשאר הם הנקראין תנאי כתובה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p>
    <w:p w14:paraId="492F498B" w14:textId="3D6E1E49" w:rsidR="008D60F5" w:rsidRDefault="008D60F5" w:rsidP="008D60F5">
      <w:pPr>
        <w:pStyle w:val="Style1"/>
        <w:rPr>
          <w:rtl/>
        </w:rPr>
      </w:pPr>
      <w:r>
        <w:rPr>
          <w:rFonts w:hint="cs"/>
          <w:rtl/>
        </w:rPr>
        <w:t>2)[</w:t>
      </w:r>
      <w:r>
        <w:rPr>
          <w:rtl/>
        </w:rPr>
        <w:t>רמב</w:t>
      </w:r>
      <w:r w:rsidR="00213DA1">
        <w:rPr>
          <w:rtl/>
        </w:rPr>
        <w:t>”ם \נשים\</w:t>
      </w:r>
      <w:r>
        <w:rPr>
          <w:rtl/>
        </w:rPr>
        <w:t xml:space="preserve"> הלכות אישות פרק יב הלכה ה</w:t>
      </w:r>
      <w:r>
        <w:rPr>
          <w:rFonts w:hint="cs"/>
          <w:rtl/>
        </w:rPr>
        <w:t xml:space="preserve">] </w:t>
      </w:r>
      <w:r>
        <w:rPr>
          <w:rtl/>
        </w:rPr>
        <w:t>כל הדברים האלו אף על פי שלא נכתבו בשטר הכתובה ואפילו לא כתבו כתובה אלא נשא סתם כיון שנשאה זכה בארבעה דברים שלו וזכת האשה בעשרה דברים שלה ואינן צריכין לפרש.</w:t>
      </w:r>
    </w:p>
    <w:p w14:paraId="4F4840AD" w14:textId="2A1B4B0B" w:rsidR="00AE5626" w:rsidRDefault="00AE5626" w:rsidP="00AE5626">
      <w:pPr>
        <w:pStyle w:val="Style1"/>
        <w:rPr>
          <w:rtl/>
        </w:rPr>
      </w:pPr>
      <w:r>
        <w:rPr>
          <w:rFonts w:hint="cs"/>
          <w:rtl/>
        </w:rPr>
        <w:t>2)[</w:t>
      </w:r>
      <w:r>
        <w:rPr>
          <w:rtl/>
        </w:rPr>
        <w:t>שולחן ערוך אבן העזר הלכות כתובות סימן סט סעיף א</w:t>
      </w:r>
      <w:r>
        <w:rPr>
          <w:rFonts w:hint="cs"/>
          <w:rtl/>
        </w:rPr>
        <w:t xml:space="preserve">] </w:t>
      </w:r>
      <w:r>
        <w:rPr>
          <w:rtl/>
        </w:rPr>
        <w:t>כשנושא אדם אשה מתחייב לה בעשרה דברים, וזכה בה בד' דברים, אפילו לא נכתבו.</w:t>
      </w:r>
    </w:p>
    <w:p w14:paraId="3186B5FB" w14:textId="0430F0D5" w:rsidR="00B93165" w:rsidRDefault="00B93165" w:rsidP="00B93165">
      <w:pPr>
        <w:pStyle w:val="Style1"/>
        <w:rPr>
          <w:rtl/>
        </w:rPr>
      </w:pPr>
      <w:r>
        <w:rPr>
          <w:rFonts w:hint="cs"/>
          <w:rtl/>
        </w:rPr>
        <w:t>2)[</w:t>
      </w:r>
      <w:r>
        <w:rPr>
          <w:rtl/>
        </w:rPr>
        <w:t>שולחן ערוך אבן העזר הלכות כתובות סימן סט סעיף ב</w:t>
      </w:r>
      <w:r>
        <w:rPr>
          <w:rFonts w:hint="cs"/>
          <w:rtl/>
        </w:rPr>
        <w:t xml:space="preserve">] </w:t>
      </w:r>
      <w:r>
        <w:rPr>
          <w:rtl/>
        </w:rPr>
        <w:t>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w:t>
      </w:r>
    </w:p>
    <w:p w14:paraId="0769B95B" w14:textId="60C47438" w:rsidR="00F52681" w:rsidRDefault="00EB7E0B" w:rsidP="00427C59">
      <w:pPr>
        <w:pStyle w:val="Style1"/>
        <w:rPr>
          <w:rtl/>
        </w:rPr>
      </w:pPr>
      <w:r>
        <w:rPr>
          <w:rFonts w:hint="cs"/>
          <w:rtl/>
        </w:rPr>
        <w:t>3</w:t>
      </w:r>
      <w:r w:rsidR="00427C59">
        <w:rPr>
          <w:rFonts w:hint="cs"/>
          <w:rtl/>
        </w:rPr>
        <w:t>)[</w:t>
      </w:r>
      <w:r w:rsidR="00F52681">
        <w:rPr>
          <w:rtl/>
        </w:rPr>
        <w:t>רמב</w:t>
      </w:r>
      <w:r w:rsidR="00213DA1">
        <w:rPr>
          <w:rtl/>
        </w:rPr>
        <w:t>”ם \נשים\</w:t>
      </w:r>
      <w:r w:rsidR="00F52681">
        <w:rPr>
          <w:rtl/>
        </w:rPr>
        <w:t xml:space="preserve"> הלכות אישות פרק טז הלכה י</w:t>
      </w:r>
      <w:r w:rsidR="00427C59">
        <w:rPr>
          <w:rFonts w:hint="cs"/>
          <w:rtl/>
        </w:rPr>
        <w:t xml:space="preserve">] </w:t>
      </w:r>
      <w:r w:rsidR="00F52681">
        <w:rPr>
          <w:rtl/>
        </w:rPr>
        <w:t>ועוד תקנו חכמים שיהיו כל נכסי הבעל אחראין וערבאין לכתובה, אפילו כתובתה מנה ויש לו קרקע באלפים זהובים הכל תחת שיעבוד הכתובה, וכל שימכור אחר הנישואין מנכסיו אף על פי שממכרו קיים ויש לו למכור כל נכסיו אם ירצה יש לה לטרוף אותן בכתובתה כשיגרשנה או כשימות אם לא תמצא נכסים בני חורין, וכשתטרוף לא תטרוף אלא בשבועה בנקיטת חפץ כדין כל בעלי חובות, ותקנה זו כדי שלא תהיה כתובתה קלה בעיניו.</w:t>
      </w:r>
    </w:p>
    <w:p w14:paraId="2AE2E81B" w14:textId="5DEF2BA0" w:rsidR="00EB7E0B" w:rsidRDefault="00EB7E0B" w:rsidP="00427C59">
      <w:pPr>
        <w:pStyle w:val="Style1"/>
        <w:rPr>
          <w:rtl/>
        </w:rPr>
      </w:pPr>
    </w:p>
    <w:p w14:paraId="3B696E78" w14:textId="77777777" w:rsidR="00EB7E0B" w:rsidRDefault="00EB7E0B" w:rsidP="00427C59">
      <w:pPr>
        <w:pStyle w:val="Style1"/>
        <w:rPr>
          <w:rtl/>
        </w:rPr>
      </w:pPr>
    </w:p>
    <w:p w14:paraId="7FFF9A1F" w14:textId="29BCECEB" w:rsidR="00545656" w:rsidRDefault="005B350C" w:rsidP="00545656">
      <w:pPr>
        <w:pStyle w:val="Style1"/>
        <w:rPr>
          <w:rtl/>
        </w:rPr>
      </w:pPr>
      <w:r>
        <w:rPr>
          <w:rFonts w:hint="cs"/>
          <w:rtl/>
        </w:rPr>
        <w:lastRenderedPageBreak/>
        <w:t>4</w:t>
      </w:r>
      <w:r w:rsidR="00545656">
        <w:rPr>
          <w:rFonts w:hint="cs"/>
          <w:rtl/>
        </w:rPr>
        <w:t>)[</w:t>
      </w:r>
      <w:r w:rsidR="00545656">
        <w:rPr>
          <w:rtl/>
        </w:rPr>
        <w:t>רמב</w:t>
      </w:r>
      <w:r w:rsidR="00213DA1">
        <w:rPr>
          <w:rtl/>
        </w:rPr>
        <w:t>”ם \נשים\</w:t>
      </w:r>
      <w:r w:rsidR="00545656">
        <w:rPr>
          <w:rtl/>
        </w:rPr>
        <w:t xml:space="preserve"> הלכות אישות פרק יב הלכה ה</w:t>
      </w:r>
      <w:r w:rsidR="00545656">
        <w:rPr>
          <w:rFonts w:hint="cs"/>
          <w:rtl/>
        </w:rPr>
        <w:t xml:space="preserve">] </w:t>
      </w:r>
      <w:r w:rsidR="00545656">
        <w:rPr>
          <w:rtl/>
        </w:rPr>
        <w:t>כל הדברים האלו אף על פי שלא נכתבו בשטר הכתובה ואפילו לא כתבו כתובה אלא נשא סתם כיון שנשאה זכה בארבעה דברים שלו וזכת האשה בעשרה דברים שלה ואינן צריכין לפרש.</w:t>
      </w:r>
    </w:p>
    <w:p w14:paraId="36D5CAAF" w14:textId="70A56DAB" w:rsidR="00230F7A" w:rsidRDefault="005B350C" w:rsidP="00230F7A">
      <w:pPr>
        <w:pStyle w:val="Style1"/>
        <w:rPr>
          <w:rtl/>
        </w:rPr>
      </w:pPr>
      <w:r>
        <w:rPr>
          <w:rFonts w:hint="cs"/>
          <w:rtl/>
        </w:rPr>
        <w:t>4</w:t>
      </w:r>
      <w:r w:rsidR="00230F7A">
        <w:rPr>
          <w:rFonts w:hint="cs"/>
          <w:rtl/>
        </w:rPr>
        <w:t>)[</w:t>
      </w:r>
      <w:r w:rsidR="00230F7A">
        <w:rPr>
          <w:rtl/>
        </w:rPr>
        <w:t>רמב</w:t>
      </w:r>
      <w:r w:rsidR="00213DA1">
        <w:rPr>
          <w:rtl/>
        </w:rPr>
        <w:t>”ם \נשים\</w:t>
      </w:r>
      <w:r w:rsidR="00230F7A">
        <w:rPr>
          <w:rtl/>
        </w:rPr>
        <w:t xml:space="preserve"> הלכות אישות פרק יד הלכה יח</w:t>
      </w:r>
      <w:r w:rsidR="00230F7A">
        <w:rPr>
          <w:rFonts w:hint="cs"/>
          <w:rtl/>
        </w:rPr>
        <w:t xml:space="preserve">] </w:t>
      </w:r>
      <w:r w:rsidR="00230F7A">
        <w:rPr>
          <w:rtl/>
        </w:rPr>
        <w:t>נשבית חייב לפדותה, ואם היה כהן שכבר נאסרה עליו פודה אותה ומחזירה לבית אביה, אפילו היה בעיר אחרת מטפל בה עד שמחזירה למדינתה ומגרשה ונותן לה כל כתובתה, היה בעלה ישראל שהשבויה מותרת לו מחזירה לו לאשה כמות שהיתה ואם רצה אחר כך מגרשה ונותן לה כתובתה.</w:t>
      </w:r>
    </w:p>
    <w:p w14:paraId="6E3B0B11" w14:textId="14FC81A3" w:rsidR="00ED63CD" w:rsidRDefault="005B350C" w:rsidP="00ED63CD">
      <w:pPr>
        <w:pStyle w:val="Style1"/>
        <w:rPr>
          <w:rtl/>
        </w:rPr>
      </w:pPr>
      <w:r>
        <w:rPr>
          <w:rFonts w:hint="cs"/>
          <w:rtl/>
        </w:rPr>
        <w:t>4</w:t>
      </w:r>
      <w:r w:rsidR="00ED63CD">
        <w:rPr>
          <w:rFonts w:hint="cs"/>
          <w:rtl/>
        </w:rPr>
        <w:t>)[</w:t>
      </w:r>
      <w:r w:rsidR="00ED63CD">
        <w:rPr>
          <w:rtl/>
        </w:rPr>
        <w:t>שולחן ערוך אבן העזר הלכות כתובות סימן סט סעיף א</w:t>
      </w:r>
      <w:r w:rsidR="00ED63CD">
        <w:rPr>
          <w:rFonts w:hint="cs"/>
          <w:rtl/>
        </w:rPr>
        <w:t xml:space="preserve">] </w:t>
      </w:r>
      <w:r w:rsidR="00ED63CD">
        <w:rPr>
          <w:rtl/>
        </w:rPr>
        <w:t>כשנושא אדם אשה מתחייב לה בעשרה דברים, וזכה בה בד' דברים, אפילו לא נכתבו.</w:t>
      </w:r>
    </w:p>
    <w:p w14:paraId="6F6B3F62" w14:textId="7DB8645F" w:rsidR="000E0998" w:rsidRDefault="0063418D" w:rsidP="000E0998">
      <w:pPr>
        <w:pStyle w:val="Style1"/>
        <w:rPr>
          <w:rtl/>
        </w:rPr>
      </w:pPr>
      <w:r>
        <w:rPr>
          <w:rFonts w:hint="cs"/>
          <w:rtl/>
        </w:rPr>
        <w:t>5</w:t>
      </w:r>
      <w:r w:rsidR="000E0998">
        <w:rPr>
          <w:rFonts w:hint="cs"/>
          <w:rtl/>
        </w:rPr>
        <w:t>)[</w:t>
      </w:r>
      <w:r w:rsidR="000E0998">
        <w:rPr>
          <w:rtl/>
        </w:rPr>
        <w:t>שולחן ערוך אבן העזר הלכות כתובות סימן עח סעיף ז</w:t>
      </w:r>
      <w:r w:rsidR="000E0998">
        <w:rPr>
          <w:rFonts w:hint="cs"/>
          <w:rtl/>
        </w:rPr>
        <w:t>]</w:t>
      </w:r>
      <w:r w:rsidR="00184ED7">
        <w:rPr>
          <w:rFonts w:hint="cs"/>
          <w:rtl/>
        </w:rPr>
        <w:t xml:space="preserve"> </w:t>
      </w:r>
      <w:r w:rsidR="00184ED7" w:rsidRPr="00184ED7">
        <w:rPr>
          <w:rtl/>
        </w:rPr>
        <w:t>האשה שהיתה אסורה על בעלה, מחייבי לאוין, ונשבית, אינו חיב לפדותה אלא נותן לה כתובתה והיא תפדה את עצמה</w:t>
      </w:r>
      <w:r w:rsidR="00184ED7" w:rsidRPr="00184ED7">
        <w:t>. </w:t>
      </w:r>
      <w:r w:rsidR="00184ED7" w:rsidRPr="00184ED7">
        <w:rPr>
          <w:rFonts w:hint="cs"/>
          <w:rtl/>
        </w:rPr>
        <w:t>ומשלם לה הפירות שאכל מנכסיה (הר"ן פרק אלמנה ניזונת)</w:t>
      </w:r>
      <w:r w:rsidR="00184ED7" w:rsidRPr="00184ED7">
        <w:t>:</w:t>
      </w:r>
    </w:p>
    <w:p w14:paraId="02C12FB0" w14:textId="1706DBE4" w:rsidR="00463164" w:rsidRDefault="00F63D9B" w:rsidP="00463164">
      <w:pPr>
        <w:pStyle w:val="Style1"/>
        <w:rPr>
          <w:rtl/>
        </w:rPr>
      </w:pPr>
      <w:r>
        <w:rPr>
          <w:rFonts w:hint="cs"/>
          <w:rtl/>
        </w:rPr>
        <w:t>6</w:t>
      </w:r>
      <w:r w:rsidR="00463164">
        <w:rPr>
          <w:rFonts w:hint="cs"/>
          <w:rtl/>
        </w:rPr>
        <w:t>)[</w:t>
      </w:r>
      <w:r w:rsidR="00463164">
        <w:rPr>
          <w:rtl/>
        </w:rPr>
        <w:t>רמב</w:t>
      </w:r>
      <w:r w:rsidR="00213DA1">
        <w:rPr>
          <w:rtl/>
        </w:rPr>
        <w:t>”ם \נשים\</w:t>
      </w:r>
      <w:r w:rsidR="00463164">
        <w:rPr>
          <w:rtl/>
        </w:rPr>
        <w:t xml:space="preserve"> הלכות אישות פרק יד הלכה יט</w:t>
      </w:r>
      <w:r w:rsidR="00463164">
        <w:rPr>
          <w:rFonts w:hint="cs"/>
          <w:rtl/>
        </w:rPr>
        <w:t xml:space="preserve">] </w:t>
      </w:r>
      <w:r w:rsidR="00463164">
        <w:rPr>
          <w:rtl/>
        </w:rPr>
        <w:t>אין מחייבין את הבעל לפדות את אשתו ביתר על דמיה אלא כמה שהיא שוה כשאר השבויות, היו דמיה יתר על כדי כתובתה ואמר הריני מגרשה וזו כתובתה ותלך ותפדה את עצמה אין שומעין לו אלא כופין אותו ופודה אותה אפילו היו דמיה עד עשרה בכתובתה ואפילו אין לו אלא כדי פדיונה, במה דברים אמורים בפעם ראשונה אבל אם פדאה ונשבית פעם שנייה ורצה לגרשה הרי זה מגרש ויתן כתובה והיא תפדה את עצמה.</w:t>
      </w:r>
    </w:p>
    <w:p w14:paraId="294352E6" w14:textId="0B1A4469" w:rsidR="001E47BF" w:rsidRDefault="00496DD6" w:rsidP="001E47BF">
      <w:pPr>
        <w:pStyle w:val="Style1"/>
        <w:rPr>
          <w:rtl/>
        </w:rPr>
      </w:pPr>
      <w:r>
        <w:rPr>
          <w:rFonts w:hint="cs"/>
          <w:rtl/>
        </w:rPr>
        <w:t>6</w:t>
      </w:r>
      <w:r w:rsidR="000C4B96">
        <w:rPr>
          <w:rFonts w:hint="cs"/>
          <w:rtl/>
        </w:rPr>
        <w:t>)[</w:t>
      </w:r>
      <w:r w:rsidR="000C4B96">
        <w:rPr>
          <w:rtl/>
        </w:rPr>
        <w:t>שולחן ערוך אבן העזר הלכות כתובות סימן עח סעיף א</w:t>
      </w:r>
      <w:r w:rsidR="000C4B96">
        <w:rPr>
          <w:rFonts w:hint="cs"/>
          <w:rtl/>
        </w:rPr>
        <w:t>]</w:t>
      </w:r>
      <w:r w:rsidR="001E47BF">
        <w:rPr>
          <w:rFonts w:hint="cs"/>
          <w:rtl/>
        </w:rPr>
        <w:t xml:space="preserve"> </w:t>
      </w:r>
      <w:r w:rsidR="001E47BF" w:rsidRPr="001E47BF">
        <w:rPr>
          <w:rtl/>
        </w:rPr>
        <w:t>פדיונה כיצד, נשבית, חייב לפדותה ואינו יכול לומר לה: הרי גיטך וכתובתך ופדי את עצמך; ואפלו אם יאמר: איני פודך ולא אטול פירות, אין שומעין לו, אלא חייב לפדותה</w:t>
      </w:r>
      <w:r w:rsidR="001E47BF" w:rsidRPr="001E47BF">
        <w:t>:</w:t>
      </w:r>
    </w:p>
    <w:p w14:paraId="09BF274C" w14:textId="7886021E" w:rsidR="00493229" w:rsidRDefault="00493229" w:rsidP="00493229">
      <w:pPr>
        <w:pStyle w:val="Style1"/>
        <w:rPr>
          <w:rtl/>
        </w:rPr>
      </w:pPr>
      <w:r>
        <w:rPr>
          <w:rFonts w:hint="cs"/>
          <w:rtl/>
        </w:rPr>
        <w:t>7)[</w:t>
      </w:r>
      <w:r>
        <w:rPr>
          <w:rtl/>
        </w:rPr>
        <w:t>רמב</w:t>
      </w:r>
      <w:r w:rsidR="00213DA1">
        <w:rPr>
          <w:rtl/>
        </w:rPr>
        <w:t>”ם \נשים\</w:t>
      </w:r>
      <w:r>
        <w:rPr>
          <w:rtl/>
        </w:rPr>
        <w:t xml:space="preserve"> הלכות אישות פרק יד הלכה יז</w:t>
      </w:r>
      <w:r>
        <w:rPr>
          <w:rFonts w:hint="cs"/>
          <w:rtl/>
        </w:rPr>
        <w:t>]</w:t>
      </w:r>
      <w:r>
        <w:rPr>
          <w:rFonts w:hint="cs"/>
        </w:rPr>
        <w:t xml:space="preserve"> </w:t>
      </w:r>
      <w:r>
        <w:rPr>
          <w:rtl/>
        </w:rPr>
        <w:t>האשה שחלתה חייב לרפאות אותה עד שתבריא, ראה שהחולי ארוך ויפסיד ממון הרבה לרפואה ואמר לה הרי כתובתיך מונחת או רפאי עצמך מכתובתיך או הריני מגרשך ונותן כתובה והולך שומעין לו, ואין ראוי לעשות כן מפני דרך ארץ.</w:t>
      </w:r>
    </w:p>
    <w:p w14:paraId="6B336F29" w14:textId="1298C43C" w:rsidR="00C37788" w:rsidRDefault="00E04BC1" w:rsidP="00E04BC1">
      <w:pPr>
        <w:pStyle w:val="Style1"/>
        <w:rPr>
          <w:rtl/>
        </w:rPr>
      </w:pPr>
      <w:r>
        <w:rPr>
          <w:rFonts w:hint="cs"/>
          <w:rtl/>
        </w:rPr>
        <w:t>7)[</w:t>
      </w:r>
      <w:r w:rsidR="00C37788">
        <w:rPr>
          <w:rtl/>
        </w:rPr>
        <w:t>שולחן ערוך אבן העזר הלכות כתובות סימן עט סעיף א</w:t>
      </w:r>
      <w:r>
        <w:rPr>
          <w:rFonts w:hint="cs"/>
          <w:rtl/>
        </w:rPr>
        <w:t>]</w:t>
      </w:r>
      <w:r>
        <w:rPr>
          <w:rFonts w:hint="cs"/>
        </w:rPr>
        <w:t xml:space="preserve"> </w:t>
      </w:r>
      <w:r w:rsidRPr="00E04BC1">
        <w:rPr>
          <w:rtl/>
        </w:rPr>
        <w:t>רפואתה כיצד? לקתה -- חייב לרפאותה; בין רפואה שיש לה קצבה בין רפואה שאין לה קצבה. אבל אלמנתו אינה מתרפאת מנכסיו אלא ברפואה שאין לה קצבה שהיא דומה למזונות</w:t>
      </w:r>
      <w:r w:rsidRPr="00E04BC1">
        <w:t>:</w:t>
      </w:r>
    </w:p>
    <w:p w14:paraId="04BDF45F" w14:textId="16B019F0" w:rsidR="0066161A" w:rsidRDefault="0066161A" w:rsidP="0066161A">
      <w:pPr>
        <w:pStyle w:val="Style1"/>
        <w:rPr>
          <w:rtl/>
        </w:rPr>
      </w:pPr>
      <w:r>
        <w:rPr>
          <w:rFonts w:hint="cs"/>
          <w:rtl/>
        </w:rPr>
        <w:t>8)[</w:t>
      </w:r>
      <w:r>
        <w:rPr>
          <w:rtl/>
        </w:rPr>
        <w:t>שולחן ערוך אבן העזר הלכות כתובות סימן עט סעיף ג</w:t>
      </w:r>
      <w:r>
        <w:rPr>
          <w:rFonts w:hint="cs"/>
          <w:rtl/>
        </w:rPr>
        <w:t>]</w:t>
      </w:r>
      <w:r w:rsidR="002D5093">
        <w:rPr>
          <w:rFonts w:hint="cs"/>
        </w:rPr>
        <w:t xml:space="preserve"> </w:t>
      </w:r>
      <w:r w:rsidR="002D5093" w:rsidRPr="002D5093">
        <w:rPr>
          <w:rtl/>
        </w:rPr>
        <w:t>אם ראה הבעל שהחולי ארוך, יכול לומר לה: הרי כתובתך מונחת - או רפאי עצמך מכתובתך או הריני מגרשך ונותן כתובה. ואין ראוי לעשות כן מפני דרך ארץ</w:t>
      </w:r>
      <w:r w:rsidR="002D5093" w:rsidRPr="002D5093">
        <w:t>.</w:t>
      </w:r>
    </w:p>
    <w:p w14:paraId="7CDFD670" w14:textId="1761F2EB" w:rsidR="00D31952" w:rsidRDefault="00D31952" w:rsidP="00D31952">
      <w:pPr>
        <w:pStyle w:val="Style1"/>
        <w:rPr>
          <w:rtl/>
        </w:rPr>
      </w:pPr>
      <w:r>
        <w:rPr>
          <w:rFonts w:hint="cs"/>
          <w:rtl/>
        </w:rPr>
        <w:t>9)[</w:t>
      </w:r>
      <w:r>
        <w:rPr>
          <w:rtl/>
        </w:rPr>
        <w:t>רמב</w:t>
      </w:r>
      <w:r w:rsidR="00213DA1">
        <w:rPr>
          <w:rtl/>
        </w:rPr>
        <w:t>”ם \נשים\</w:t>
      </w:r>
      <w:r>
        <w:rPr>
          <w:rtl/>
        </w:rPr>
        <w:t xml:space="preserve"> הלכות אישות פרק י הלכה ז</w:t>
      </w:r>
      <w:r>
        <w:rPr>
          <w:rFonts w:hint="cs"/>
          <w:rtl/>
        </w:rPr>
        <w:t>]</w:t>
      </w:r>
      <w:r>
        <w:rPr>
          <w:rFonts w:hint="cs"/>
        </w:rPr>
        <w:t xml:space="preserve"> </w:t>
      </w:r>
      <w:r>
        <w:rPr>
          <w:rtl/>
        </w:rPr>
        <w:t>וצריך לכתוב כתובה קודם כניסה לחופה ואחר כך יהיה מותר באשתו, והחתן נותן שכר הסופר,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 ודין התוספת ודין העיקר אחד הוא לרוב הדברים, לפיכך כל מקום שנאמר בו כתובה סתם הוא העיקר והתוספת כאחד, וחכמים הם שתיקנו כתובה לאשה כדי שלא תהיה קלה בעיניו להוציאה.</w:t>
      </w:r>
    </w:p>
    <w:p w14:paraId="0B600FF4" w14:textId="3D89327E" w:rsidR="0068543B" w:rsidRPr="005679CA" w:rsidRDefault="00675C98" w:rsidP="0068543B">
      <w:pPr>
        <w:pStyle w:val="Style1"/>
        <w:rPr>
          <w:rtl/>
        </w:rPr>
      </w:pPr>
      <w:r>
        <w:rPr>
          <w:rFonts w:hint="cs"/>
          <w:rtl/>
        </w:rPr>
        <w:t>9</w:t>
      </w:r>
      <w:r w:rsidR="0068543B">
        <w:rPr>
          <w:rFonts w:hint="cs"/>
          <w:rtl/>
        </w:rPr>
        <w:t>)[</w:t>
      </w:r>
      <w:r w:rsidR="0068543B">
        <w:rPr>
          <w:rtl/>
        </w:rPr>
        <w:t>שולחן ערוך אבן העזר הלכות כתובות סימן סו סעיף ט</w:t>
      </w:r>
      <w:r w:rsidR="0068543B">
        <w:rPr>
          <w:rFonts w:hint="cs"/>
          <w:rtl/>
        </w:rPr>
        <w:t>]</w:t>
      </w:r>
      <w:r w:rsidR="005679CA" w:rsidRPr="005679CA">
        <w:rPr>
          <w:rFonts w:ascii="Arial" w:hAnsi="Arial"/>
          <w:color w:val="202122"/>
          <w:sz w:val="21"/>
          <w:szCs w:val="21"/>
          <w:shd w:val="clear" w:color="auto" w:fill="FFFFFF"/>
          <w:rtl/>
        </w:rPr>
        <w:t xml:space="preserve"> </w:t>
      </w:r>
      <w:r w:rsidR="005679CA" w:rsidRPr="005679CA">
        <w:rPr>
          <w:rtl/>
        </w:rPr>
        <w:t>כל הפוחת משיעור הכתובה, בעילתו בעילת זנות; לא מבעיא אם כתבה לו אחר כך: התקבלתי ממך הכתובה, או מקצתה, דאז אין לה לדעת קצת פוסקים, אלא אפילו התנה בשעת קדושין שלא יהא לה כתובה, או שפיחת לה משיעורה, אף על פי שתנאו בטל ויש לה כתובה משלם, אפילו הכי בעילתו בעילת זנות, כיון שהיא סבורה שאין לה, לא סמכה דעתה</w:t>
      </w:r>
      <w:r w:rsidR="005679CA" w:rsidRPr="005679CA">
        <w:t>:</w:t>
      </w:r>
    </w:p>
    <w:p w14:paraId="5BE3570A" w14:textId="77777777" w:rsidR="005679CA" w:rsidRDefault="005679CA" w:rsidP="005679CA">
      <w:pPr>
        <w:pStyle w:val="Style1"/>
      </w:pPr>
    </w:p>
    <w:p w14:paraId="30B75F4B" w14:textId="77777777" w:rsidR="001E47BF" w:rsidRPr="00E04BC1" w:rsidRDefault="001E47BF" w:rsidP="00E04BC1">
      <w:pPr>
        <w:pStyle w:val="Style1"/>
      </w:pPr>
    </w:p>
    <w:p w14:paraId="3F3B01B6" w14:textId="51311067" w:rsidR="000C4B96" w:rsidRPr="00184ED7" w:rsidRDefault="000C4B96" w:rsidP="000C4B96">
      <w:pPr>
        <w:pStyle w:val="Style1"/>
      </w:pPr>
    </w:p>
    <w:p w14:paraId="7453044E" w14:textId="381A0F89" w:rsidR="000E0998" w:rsidRDefault="000E0998" w:rsidP="000E0998">
      <w:pPr>
        <w:pStyle w:val="Style1"/>
        <w:rPr>
          <w:rtl/>
        </w:rPr>
      </w:pPr>
    </w:p>
    <w:p w14:paraId="65BC2AF5" w14:textId="5693AAF9" w:rsidR="00432D7F" w:rsidRDefault="00432D7F" w:rsidP="00AD1DC7">
      <w:pPr>
        <w:pStyle w:val="Style1"/>
      </w:pPr>
    </w:p>
    <w:p w14:paraId="2EA8344F" w14:textId="7BD71CE9" w:rsidR="00432D7F" w:rsidRPr="00A50C6B" w:rsidRDefault="00432D7F" w:rsidP="00432D7F">
      <w:pPr>
        <w:pStyle w:val="Style1"/>
      </w:pPr>
    </w:p>
    <w:p w14:paraId="2DB04FFB" w14:textId="77777777" w:rsidR="00A50C6B" w:rsidRPr="00A50C6B" w:rsidRDefault="00A50C6B" w:rsidP="00A50C6B">
      <w:pPr>
        <w:pStyle w:val="Style1"/>
        <w:rPr>
          <w:rStyle w:val="Style1Char"/>
        </w:rPr>
      </w:pPr>
    </w:p>
    <w:p w14:paraId="614DC5DC" w14:textId="25F74CD2" w:rsidR="00277FCB" w:rsidRPr="00311F17" w:rsidRDefault="00277FCB" w:rsidP="00277FCB">
      <w:pPr>
        <w:pStyle w:val="Style1"/>
        <w:rPr>
          <w:rStyle w:val="Style1Char"/>
        </w:rPr>
      </w:pPr>
    </w:p>
    <w:p w14:paraId="45920A17" w14:textId="77777777" w:rsidR="000357F0" w:rsidRDefault="000357F0" w:rsidP="000357F0">
      <w:pPr>
        <w:rPr>
          <w:rStyle w:val="Style1Char"/>
          <w:color w:val="00B050"/>
          <w:rtl/>
        </w:rPr>
      </w:pPr>
      <w:r>
        <w:rPr>
          <w:rStyle w:val="Style1Char"/>
          <w:color w:val="00B050"/>
          <w:rtl/>
        </w:rPr>
        <w:br w:type="page"/>
      </w:r>
    </w:p>
    <w:p w14:paraId="0E99F218" w14:textId="2622A2DE" w:rsidR="000357F0" w:rsidRPr="002F2700" w:rsidRDefault="000357F0" w:rsidP="000357F0">
      <w:pPr>
        <w:bidi/>
        <w:rPr>
          <w:rStyle w:val="Style1Char"/>
          <w:color w:val="00B050"/>
        </w:rPr>
      </w:pPr>
      <w:r w:rsidRPr="00DC0DB4">
        <w:rPr>
          <w:rStyle w:val="Style1Char"/>
          <w:color w:val="00B050"/>
          <w:sz w:val="22"/>
          <w:szCs w:val="22"/>
          <w:highlight w:val="yellow"/>
          <w:rtl/>
        </w:rPr>
        <w:lastRenderedPageBreak/>
        <w:t>[דף נא עמוד ב]</w:t>
      </w:r>
      <w:r w:rsidRPr="00DC0DB4">
        <w:rPr>
          <w:rStyle w:val="Style1Char"/>
          <w:color w:val="00B050"/>
          <w:sz w:val="22"/>
          <w:szCs w:val="22"/>
          <w:rtl/>
        </w:rPr>
        <w:t xml:space="preserve"> </w:t>
      </w:r>
      <w:r w:rsidRPr="002F2700">
        <w:rPr>
          <w:rStyle w:val="Style1Char"/>
          <w:color w:val="00B050"/>
          <w:rtl/>
        </w:rPr>
        <w:t xml:space="preserve">יש בהן אחריות נכסים - לא יחזיר, שבית דין נפרעין מהן, אין בהן אחריות נכסים - יחזיר, שאין בית דין נפרעין מהן, דברי רבי מאיר; וחכמים אומרים: </w:t>
      </w:r>
      <w:r w:rsidR="00ED6372">
        <w:rPr>
          <w:rStyle w:val="Style1Char"/>
          <w:rFonts w:hint="cs"/>
          <w:rtl/>
        </w:rPr>
        <w:t>(1)</w:t>
      </w:r>
      <w:r w:rsidRPr="002F2700">
        <w:rPr>
          <w:rStyle w:val="Style1Char"/>
          <w:color w:val="00B050"/>
          <w:rtl/>
        </w:rPr>
        <w:t xml:space="preserve">אחד זה ואחד זה לא יחזיר, שבית דין נפרעין מהן; רישא ר"מ וסיפא ר' יהודה? וכי תימא כולה ר' מאיר היא, ושאני ליה לר"מ בין כתובה לשטרי, ומי שאני ליה? והתניא: חמשה גובין מן המחוררין, ואלו הן: </w:t>
      </w:r>
      <w:r w:rsidR="00B5294E">
        <w:rPr>
          <w:rStyle w:val="Style1Char"/>
          <w:rFonts w:hint="cs"/>
          <w:rtl/>
        </w:rPr>
        <w:t>(2)</w:t>
      </w:r>
      <w:r w:rsidRPr="002F2700">
        <w:rPr>
          <w:rStyle w:val="Style1Char"/>
          <w:color w:val="00B050"/>
          <w:rtl/>
        </w:rPr>
        <w:t xml:space="preserve">פירות, </w:t>
      </w:r>
      <w:r w:rsidR="007F22A9">
        <w:rPr>
          <w:rStyle w:val="Style1Char"/>
          <w:rFonts w:hint="cs"/>
          <w:rtl/>
        </w:rPr>
        <w:t>(2.1, 3)</w:t>
      </w:r>
      <w:r w:rsidRPr="002F2700">
        <w:rPr>
          <w:rStyle w:val="Style1Char"/>
          <w:color w:val="00B050"/>
          <w:rtl/>
        </w:rPr>
        <w:t xml:space="preserve">ושבח פירות, </w:t>
      </w:r>
      <w:r w:rsidR="004601BD">
        <w:rPr>
          <w:rStyle w:val="Style1Char"/>
          <w:rFonts w:hint="cs"/>
          <w:rtl/>
        </w:rPr>
        <w:t>(4)</w:t>
      </w:r>
      <w:r w:rsidRPr="002F2700">
        <w:rPr>
          <w:rStyle w:val="Style1Char"/>
          <w:color w:val="00B050"/>
          <w:rtl/>
        </w:rPr>
        <w:t xml:space="preserve">והמקבל עליו לזון את בן אשתו ובת אשתו, וגט חוב שאין בו אחריות, וכתובת אשה שאין בה אחריות; מאן שמעת ליה דאמר אחריות לאו טעות סופר הוא? רבי מאיר, וקתני כתובת אשה. איבעית אימא: ר' מאיר, ואיבעית אימא: ר' יהודה. איבעית אימא ר' יהודה, התם כתבה ליה התקבלתי הכא לא כתבה ליה התקבלתי; איבעית אימא ר' מאיר, מאי חייב דקתני? מן המחוררין. </w:t>
      </w:r>
    </w:p>
    <w:p w14:paraId="42E93F1C" w14:textId="36423BBF" w:rsidR="000357F0" w:rsidRPr="002F2700" w:rsidRDefault="000357F0" w:rsidP="000357F0">
      <w:pPr>
        <w:bidi/>
        <w:rPr>
          <w:rStyle w:val="Style1Char"/>
          <w:color w:val="00B050"/>
        </w:rPr>
      </w:pPr>
      <w:r w:rsidRPr="002F2700">
        <w:rPr>
          <w:rStyle w:val="Style1Char"/>
          <w:color w:val="00B050"/>
          <w:rtl/>
        </w:rPr>
        <w:t xml:space="preserve">לא כתב לה וכו'. </w:t>
      </w:r>
      <w:r w:rsidRPr="006B089B">
        <w:rPr>
          <w:rStyle w:val="Style1Char"/>
          <w:color w:val="auto"/>
          <w:sz w:val="22"/>
          <w:szCs w:val="22"/>
          <w:rtl/>
        </w:rPr>
        <w:t>אמר אבוה דשמואל: אשת ישראל שנאנסה - אסורה לבעלה, חיישינן שמא תחלתה באונס וסופה ברצון.</w:t>
      </w:r>
      <w:r w:rsidRPr="006B089B">
        <w:rPr>
          <w:rStyle w:val="Style1Char"/>
          <w:color w:val="auto"/>
          <w:rtl/>
        </w:rPr>
        <w:t xml:space="preserve"> </w:t>
      </w:r>
      <w:r w:rsidRPr="002F2700">
        <w:rPr>
          <w:rStyle w:val="Style1Char"/>
          <w:color w:val="00B050"/>
          <w:rtl/>
        </w:rPr>
        <w:t xml:space="preserve">איתיביה רב לאבוה דשמואל: אם תשתבאי אפרקינך ואותבינך לי לאינתו! אישתיק. קרי רב עליה דאבוה דשמואל: שרים עצרו במלים וכף ישימו לפיהם. מאי אית ליה למימר? בשבויה הקילו. ולאבוה דשמואל, אונס דשריא רחמנא היכי משכחת לה? כגון דקאמרי עדים שצווחה מתחלה ועד סוף. </w:t>
      </w:r>
      <w:r w:rsidRPr="006B089B">
        <w:rPr>
          <w:rStyle w:val="Style1Char"/>
          <w:color w:val="auto"/>
          <w:sz w:val="22"/>
          <w:szCs w:val="22"/>
          <w:rtl/>
        </w:rPr>
        <w:t xml:space="preserve">ופליגא דרבא, דאמר רבא: </w:t>
      </w:r>
      <w:r w:rsidR="00EF0C60">
        <w:rPr>
          <w:rStyle w:val="Style1Char"/>
          <w:rFonts w:hint="cs"/>
          <w:rtl/>
        </w:rPr>
        <w:t>(5)</w:t>
      </w:r>
      <w:r w:rsidRPr="006B089B">
        <w:rPr>
          <w:rStyle w:val="Style1Char"/>
          <w:color w:val="auto"/>
          <w:sz w:val="22"/>
          <w:szCs w:val="22"/>
          <w:rtl/>
        </w:rPr>
        <w:t xml:space="preserve">כל שתחלתה באונס וסוף ברצון, אפי' היא אומרת, הניחו לו, שאלמלא נזקק לה היא שוכרתו - מותרת, מ"ט? יצר אלבשה. תניא כוותיה דרבא: והיא לא נתפשה אסורה, </w:t>
      </w:r>
      <w:r w:rsidR="00EF0C60">
        <w:rPr>
          <w:rStyle w:val="Style1Char"/>
          <w:rFonts w:hint="cs"/>
          <w:rtl/>
        </w:rPr>
        <w:t>(5.1, 6)</w:t>
      </w:r>
      <w:r w:rsidRPr="006B089B">
        <w:rPr>
          <w:rStyle w:val="Style1Char"/>
          <w:color w:val="auto"/>
          <w:sz w:val="22"/>
          <w:szCs w:val="22"/>
          <w:rtl/>
        </w:rPr>
        <w:t>הא נתפשה מותרת, ויש לך אחרת שאע"פ שלא נתפשה מותרת, ואיזו? זו כל שתחלתה באונס וסופה ברצון</w:t>
      </w:r>
      <w:r w:rsidRPr="006B089B">
        <w:rPr>
          <w:rStyle w:val="Style1Char"/>
          <w:color w:val="auto"/>
          <w:rtl/>
        </w:rPr>
        <w:t>.</w:t>
      </w:r>
      <w:r w:rsidRPr="002F2700">
        <w:rPr>
          <w:rStyle w:val="Style1Char"/>
          <w:color w:val="00B050"/>
          <w:rtl/>
        </w:rPr>
        <w:t xml:space="preserve"> תניא אידך: והיא לא נתפשה אסורה, הא נתפשה מותרת, ויש לך אחרת שאע"פ שנתפשה אסורה, ואיזו? </w:t>
      </w:r>
      <w:r w:rsidR="00A13A1A">
        <w:rPr>
          <w:rStyle w:val="Style1Char"/>
          <w:rFonts w:hint="cs"/>
          <w:rtl/>
        </w:rPr>
        <w:t>(6.1, 7)</w:t>
      </w:r>
      <w:r w:rsidRPr="002F2700">
        <w:rPr>
          <w:rStyle w:val="Style1Char"/>
          <w:color w:val="00B050"/>
          <w:rtl/>
        </w:rPr>
        <w:t xml:space="preserve">זו אשת כהן. אמר רב יהודה אמר שמואל משום רבי ישמעאל: והיא לא נתפשה אסורה, הא נתפשה מותרת, </w:t>
      </w:r>
      <w:r w:rsidR="00B514CE">
        <w:rPr>
          <w:rStyle w:val="Style1Char"/>
          <w:rFonts w:hint="cs"/>
          <w:rtl/>
        </w:rPr>
        <w:t>(8)</w:t>
      </w:r>
      <w:r w:rsidRPr="002F2700">
        <w:rPr>
          <w:rStyle w:val="Style1Char"/>
          <w:color w:val="00B050"/>
          <w:rtl/>
        </w:rPr>
        <w:t xml:space="preserve">ויש לה אחרת שאע"פ שלא נתפשה מותרת, ואיזו? זו שקידושיה קדושי טעות, שאפי' בנה מורכב על כתיפה - ממאנת והולכת לה. </w:t>
      </w:r>
      <w:r w:rsidRPr="003B1826">
        <w:rPr>
          <w:rStyle w:val="Style1Char"/>
          <w:color w:val="auto"/>
          <w:sz w:val="22"/>
          <w:szCs w:val="22"/>
          <w:rtl/>
        </w:rPr>
        <w:t xml:space="preserve">אמר רב יהודה: </w:t>
      </w:r>
      <w:r w:rsidR="00305AD0">
        <w:rPr>
          <w:rStyle w:val="Style1Char"/>
          <w:rFonts w:hint="cs"/>
          <w:rtl/>
        </w:rPr>
        <w:t>(9)</w:t>
      </w:r>
      <w:r w:rsidRPr="003B1826">
        <w:rPr>
          <w:rStyle w:val="Style1Char"/>
          <w:color w:val="auto"/>
          <w:sz w:val="22"/>
          <w:szCs w:val="22"/>
          <w:rtl/>
        </w:rPr>
        <w:t>הני נשי דגנבו גנבי - שריין לגוברייהו</w:t>
      </w:r>
      <w:r w:rsidRPr="002F2700">
        <w:rPr>
          <w:rStyle w:val="Style1Char"/>
          <w:color w:val="00B050"/>
          <w:rtl/>
        </w:rPr>
        <w:t xml:space="preserve">. אמרי ליה רבנן לרב יהודה: והא קא ממטיאן להו נהמא! מחמת יראה. והא קא משלחן להו גירי! מחמת יראה. </w:t>
      </w:r>
      <w:r w:rsidRPr="003B1826">
        <w:rPr>
          <w:rStyle w:val="Style1Char"/>
          <w:color w:val="806000" w:themeColor="accent4" w:themeShade="80"/>
          <w:sz w:val="22"/>
          <w:szCs w:val="22"/>
          <w:rtl/>
        </w:rPr>
        <w:t xml:space="preserve">דכל דעבדן להו מיראה עבדין להו </w:t>
      </w:r>
      <w:r w:rsidRPr="002F2700">
        <w:rPr>
          <w:rStyle w:val="Style1Char"/>
          <w:color w:val="00B050"/>
          <w:rtl/>
        </w:rPr>
        <w:t xml:space="preserve">ודאי, </w:t>
      </w:r>
      <w:r w:rsidRPr="003B1826">
        <w:rPr>
          <w:rStyle w:val="Style1Char"/>
          <w:color w:val="806000" w:themeColor="accent4" w:themeShade="80"/>
          <w:sz w:val="22"/>
          <w:szCs w:val="22"/>
          <w:rtl/>
        </w:rPr>
        <w:t xml:space="preserve">אבל </w:t>
      </w:r>
      <w:r w:rsidRPr="003B1826">
        <w:rPr>
          <w:rStyle w:val="Style1Char"/>
          <w:color w:val="auto"/>
          <w:sz w:val="22"/>
          <w:szCs w:val="22"/>
          <w:rtl/>
        </w:rPr>
        <w:t>שבקינהו ואזלן מנפשייהו - אסירן</w:t>
      </w:r>
      <w:r w:rsidRPr="003B1826">
        <w:rPr>
          <w:rStyle w:val="Style1Char"/>
          <w:color w:val="auto"/>
          <w:rtl/>
        </w:rPr>
        <w:t xml:space="preserve">. </w:t>
      </w:r>
      <w:r w:rsidRPr="003B1826">
        <w:rPr>
          <w:rStyle w:val="Style1Char"/>
          <w:color w:val="auto"/>
          <w:sz w:val="22"/>
          <w:szCs w:val="22"/>
          <w:rtl/>
        </w:rPr>
        <w:t>ת"ר: שבויי מלכות - הרי הן כשבויין, גנובי ליסטות - אינן כשבויין</w:t>
      </w:r>
      <w:r w:rsidRPr="003B1826">
        <w:rPr>
          <w:rStyle w:val="Style1Char"/>
          <w:color w:val="auto"/>
          <w:rtl/>
        </w:rPr>
        <w:t>.</w:t>
      </w:r>
      <w:r w:rsidRPr="002F2700">
        <w:rPr>
          <w:rStyle w:val="Style1Char"/>
          <w:color w:val="00B050"/>
          <w:rtl/>
        </w:rPr>
        <w:t xml:space="preserve"> והתניא איפכא! מלכות אמלכות לא קשיא: הא במלכות אחשורוש, הא במלכות בן נצר; ליסטות אליסטות לא קשיא: הא בבן נצר, הא בליסטים דעלמא. ובן נצר, התם קרי ליה מלך, והכא קרי ליה לסטים? אין, גבי אחשורוש לסטים הוא, גבי לסטים דעלמא מלך הוא. </w:t>
      </w:r>
    </w:p>
    <w:p w14:paraId="0926FE73" w14:textId="027083CB" w:rsidR="000357F0" w:rsidRDefault="000357F0" w:rsidP="000357F0">
      <w:pPr>
        <w:bidi/>
        <w:rPr>
          <w:rStyle w:val="Style1Char"/>
          <w:color w:val="auto"/>
          <w:sz w:val="22"/>
          <w:szCs w:val="22"/>
          <w:rtl/>
        </w:rPr>
      </w:pPr>
      <w:r w:rsidRPr="000A1EDD">
        <w:rPr>
          <w:rStyle w:val="Style1Char"/>
          <w:color w:val="auto"/>
          <w:sz w:val="22"/>
          <w:szCs w:val="22"/>
          <w:rtl/>
        </w:rPr>
        <w:t xml:space="preserve">ובכהנת אהדרינך למדינתך וכו'. אמר אביי: אלמנה לכ"ג </w:t>
      </w:r>
      <w:r w:rsidRPr="000A1EDD">
        <w:rPr>
          <w:rStyle w:val="Style1Char"/>
          <w:color w:val="4472C4" w:themeColor="accent1"/>
          <w:sz w:val="22"/>
          <w:szCs w:val="22"/>
          <w:rtl/>
        </w:rPr>
        <w:t xml:space="preserve">גרושה וחלוצה לכהן הדיוט </w:t>
      </w:r>
      <w:r w:rsidRPr="000A1EDD">
        <w:rPr>
          <w:rStyle w:val="Style1Char"/>
          <w:color w:val="auto"/>
          <w:sz w:val="22"/>
          <w:szCs w:val="22"/>
          <w:rtl/>
        </w:rPr>
        <w:t>- חייב לפדותה, שאני קורא בה:</w:t>
      </w:r>
      <w:r w:rsidRPr="002F2700">
        <w:rPr>
          <w:rStyle w:val="Style1Char"/>
          <w:color w:val="00B050"/>
          <w:rtl/>
        </w:rPr>
        <w:t xml:space="preserve"> ובכהנת </w:t>
      </w:r>
      <w:r w:rsidRPr="00844E7C">
        <w:rPr>
          <w:rStyle w:val="Style1Char"/>
          <w:color w:val="auto"/>
          <w:sz w:val="22"/>
          <w:szCs w:val="22"/>
          <w:rtl/>
        </w:rPr>
        <w:t xml:space="preserve">אהדרינך למדינתך; </w:t>
      </w:r>
    </w:p>
    <w:p w14:paraId="317CA67D" w14:textId="293EDAE1" w:rsidR="00B7441E" w:rsidRDefault="00B7441E" w:rsidP="00B7441E">
      <w:pPr>
        <w:pStyle w:val="Style1"/>
        <w:rPr>
          <w:rStyle w:val="Style1Char"/>
          <w:rtl/>
        </w:rPr>
      </w:pPr>
      <w:r>
        <w:rPr>
          <w:rStyle w:val="Style1Char"/>
          <w:rFonts w:hint="cs"/>
          <w:rtl/>
        </w:rPr>
        <w:t>1)[</w:t>
      </w:r>
      <w:r w:rsidRPr="00B7441E">
        <w:rPr>
          <w:rStyle w:val="Style1Char"/>
          <w:rtl/>
        </w:rPr>
        <w:t>רמב</w:t>
      </w:r>
      <w:r w:rsidR="00EC109D">
        <w:rPr>
          <w:rStyle w:val="Style1Char"/>
          <w:rtl/>
        </w:rPr>
        <w:t>”ם \נזיקין\</w:t>
      </w:r>
      <w:r w:rsidRPr="00B7441E">
        <w:rPr>
          <w:rStyle w:val="Style1Char"/>
          <w:rtl/>
        </w:rPr>
        <w:t xml:space="preserve"> הלכות גזלה ואבדה פרק יח הלכה א</w:t>
      </w:r>
      <w:r>
        <w:rPr>
          <w:rStyle w:val="Style1Char"/>
          <w:rFonts w:hint="cs"/>
          <w:rtl/>
        </w:rPr>
        <w:t xml:space="preserve">] </w:t>
      </w:r>
      <w:r w:rsidRPr="00B7441E">
        <w:rPr>
          <w:rStyle w:val="Style1Char"/>
          <w:rtl/>
        </w:rPr>
        <w:t>המוצא שטר חוב אף על פי שלא פירש בו אחריות נכסים ואף על פי שהחייב מודה ואף על פי שהוא מקויים הרי זה א לא יחזיר, שמא פרעו וקנוניא הם עושים כדי לטרוף בו לקוחות שלא כדין ולפיכך הודה לו שהרי יש לו לטרוף בשטר שלא פירש בו אחריות שהאחריות שלא נתפרשה טעות סופר הוא בין בשטרי הלואה בין בשטרי מקח וממכר, לפיכך אם פירש בשטר זה שהוא שלא באחריות אם היה החייב מודה יחזיר ואם לאו לא יחזיר שמא פרעו.</w:t>
      </w:r>
    </w:p>
    <w:p w14:paraId="476A745C" w14:textId="55D906EE" w:rsidR="00690486" w:rsidRDefault="00690486" w:rsidP="00EB144B">
      <w:pPr>
        <w:pStyle w:val="Style1"/>
        <w:rPr>
          <w:rtl/>
        </w:rPr>
      </w:pPr>
      <w:r>
        <w:rPr>
          <w:rStyle w:val="Style1Char"/>
          <w:rFonts w:hint="cs"/>
          <w:rtl/>
        </w:rPr>
        <w:t>1)[</w:t>
      </w:r>
      <w:r w:rsidRPr="00690486">
        <w:rPr>
          <w:rStyle w:val="Style1Char"/>
          <w:rtl/>
        </w:rPr>
        <w:t>שולחן ערוך חושן משפט הלכות הלואה סימן סה סעיף ו</w:t>
      </w:r>
      <w:r>
        <w:rPr>
          <w:rStyle w:val="Style1Char"/>
          <w:rFonts w:hint="cs"/>
          <w:rtl/>
        </w:rPr>
        <w:t>]</w:t>
      </w:r>
      <w:r w:rsidR="00DC686B">
        <w:rPr>
          <w:rStyle w:val="Style1Char"/>
          <w:rFonts w:hint="cs"/>
          <w:rtl/>
        </w:rPr>
        <w:t xml:space="preserve"> </w:t>
      </w:r>
      <w:r w:rsidR="00DC686B" w:rsidRPr="00EB144B">
        <w:rPr>
          <w:rtl/>
        </w:rPr>
        <w:t>המוצא שט"ח אע"פ שישבו נאמנות אפי' הוא תוך זמנו ואפי' אין בו אחריות ולוה מודה לא יחזיר דחיישינן לפרעון ולקנוניא ואפי' אמר הלוה או המלוה נקב יש בו בצד אות פלוני לא יחזיר לא לזה ולא לזה ואם מפורש בשטר בהדיא שאינו חייב באחריות אם חייב מודה יחזיר</w:t>
      </w:r>
      <w:r w:rsidR="00DC686B" w:rsidRPr="00EB144B">
        <w:t>:</w:t>
      </w:r>
      <w:r w:rsidR="00FC0039" w:rsidRPr="00EB144B">
        <w:rPr>
          <w:rFonts w:hint="cs"/>
          <w:rtl/>
        </w:rPr>
        <w:t xml:space="preserve"> </w:t>
      </w:r>
    </w:p>
    <w:p w14:paraId="01EBAABC" w14:textId="51E20D54" w:rsidR="00E337DA" w:rsidRDefault="00E337DA" w:rsidP="00E337DA">
      <w:pPr>
        <w:pStyle w:val="Style1"/>
        <w:rPr>
          <w:rStyle w:val="Style1Char"/>
          <w:rtl/>
        </w:rPr>
      </w:pPr>
      <w:r>
        <w:rPr>
          <w:rStyle w:val="Style1Char"/>
          <w:rFonts w:hint="cs"/>
          <w:rtl/>
        </w:rPr>
        <w:t>2)[</w:t>
      </w:r>
      <w:r w:rsidRPr="00E337DA">
        <w:rPr>
          <w:rStyle w:val="Style1Char"/>
          <w:rtl/>
        </w:rPr>
        <w:t>רמב</w:t>
      </w:r>
      <w:r w:rsidR="00EC109D">
        <w:rPr>
          <w:rStyle w:val="Style1Char"/>
          <w:rtl/>
        </w:rPr>
        <w:t>”ם \נזיקין\</w:t>
      </w:r>
      <w:r w:rsidRPr="00E337DA">
        <w:rPr>
          <w:rStyle w:val="Style1Char"/>
          <w:rtl/>
        </w:rPr>
        <w:t xml:space="preserve"> הלכות גזלה ואבדה פרק ט הלכה ז</w:t>
      </w:r>
      <w:r>
        <w:rPr>
          <w:rStyle w:val="Style1Char"/>
          <w:rFonts w:hint="cs"/>
          <w:rtl/>
        </w:rPr>
        <w:t xml:space="preserve">] </w:t>
      </w:r>
      <w:r w:rsidRPr="00E337DA">
        <w:rPr>
          <w:rStyle w:val="Style1Char"/>
          <w:rtl/>
        </w:rPr>
        <w:t>הקרן מנכסים משועבדים ושאר השבח מבני חורין, ואם הכיר בה שהיא גזולה כשלקחה אינו נוטל מן הגזלן אלא הקרן בלבד ומפסיד שאר השבח היתר על ההוצאה. היתה ההוצאה יתירה על השבח בין שהכיר בה שהיא גזולה בין שלא הכיר בה אין לו מן ההוצאה אלא שיעור השבח נוטלו מבעל השדה ונוטל הקרן מן הגזלן מנכסים משועבדין.</w:t>
      </w:r>
    </w:p>
    <w:p w14:paraId="761BDA49" w14:textId="04F7B571" w:rsidR="00E10368" w:rsidRDefault="00E10368" w:rsidP="00E10368">
      <w:pPr>
        <w:pStyle w:val="Style1"/>
        <w:rPr>
          <w:rtl/>
        </w:rPr>
      </w:pPr>
      <w:r>
        <w:rPr>
          <w:rStyle w:val="Style1Char"/>
          <w:rFonts w:hint="cs"/>
          <w:rtl/>
        </w:rPr>
        <w:t>2)[</w:t>
      </w:r>
      <w:r w:rsidRPr="00E10368">
        <w:rPr>
          <w:rStyle w:val="Style1Char"/>
          <w:rtl/>
        </w:rPr>
        <w:t>שולחן ערוך חושן משפט הלכות גזילה סימן שעב סעיף א</w:t>
      </w:r>
      <w:r>
        <w:rPr>
          <w:rStyle w:val="Style1Char"/>
          <w:rFonts w:hint="cs"/>
          <w:rtl/>
        </w:rPr>
        <w:t>]</w:t>
      </w:r>
      <w:r w:rsidR="00AA2129">
        <w:rPr>
          <w:rStyle w:val="Style1Char"/>
          <w:rFonts w:hint="cs"/>
          <w:rtl/>
        </w:rPr>
        <w:t xml:space="preserve"> </w:t>
      </w:r>
      <w:r w:rsidR="00AA2129" w:rsidRPr="00AA2129">
        <w:rPr>
          <w:rtl/>
        </w:rPr>
        <w:t>גזל קרקע והפסידה בידו או שאכל פירותיה כשבעל השדה גובה דמי מה שהפסיד הגזלן או דמי פירות שאכל גובה מנכסים בני חורין מפני שהיא כמלוה על פה ואם עמד הגזלן בדין ונתחייב לשלם ואח"כ מכר גובה מנכסים משועבדים ואם לא עמד בדין אלא על אחד מהם אינו מועיל לב' להיות טורף ממשעבדי</w:t>
      </w:r>
      <w:r w:rsidR="00AA2129" w:rsidRPr="00AA2129">
        <w:t>:</w:t>
      </w:r>
    </w:p>
    <w:p w14:paraId="7C3E0F50" w14:textId="7882583A" w:rsidR="000F10B8" w:rsidRPr="000F10B8" w:rsidRDefault="00CC761A" w:rsidP="000F10B8">
      <w:pPr>
        <w:pStyle w:val="Style1"/>
      </w:pPr>
      <w:r>
        <w:rPr>
          <w:rFonts w:hint="cs"/>
          <w:rtl/>
        </w:rPr>
        <w:t>3)[</w:t>
      </w:r>
      <w:r>
        <w:rPr>
          <w:rtl/>
        </w:rPr>
        <w:t>שולחן ערוך חושן משפט הלכות גזילה סימן שעג סעיף א</w:t>
      </w:r>
      <w:r>
        <w:rPr>
          <w:rFonts w:hint="cs"/>
          <w:rtl/>
        </w:rPr>
        <w:t>]</w:t>
      </w:r>
      <w:r w:rsidR="000F10B8">
        <w:rPr>
          <w:rFonts w:hint="cs"/>
          <w:rtl/>
        </w:rPr>
        <w:t xml:space="preserve">  </w:t>
      </w:r>
      <w:r w:rsidR="000F10B8" w:rsidRPr="000F10B8">
        <w:rPr>
          <w:rtl/>
        </w:rPr>
        <w:t>גזל שדה ומכרה והשביחה הלוקח אם השבח יותר על ההוצאה נוטל ההוצאה מבעל השדה </w:t>
      </w:r>
      <w:r w:rsidR="000F10B8" w:rsidRPr="000F10B8">
        <w:rPr>
          <w:rFonts w:hint="cs"/>
          <w:rtl/>
        </w:rPr>
        <w:t>(וי"א אפילו לא היתה עדיפא מבשעה שגזלה כגון שהכסיפה הגזלן אפ"ה נוטל היציאה מנגזל (נ"י בפ"ק דמציעא בשם הר"ן) ויש חולקין) (שם בשם רש"י)</w:t>
      </w:r>
      <w:r w:rsidR="000F10B8" w:rsidRPr="000F10B8">
        <w:rPr>
          <w:rtl/>
        </w:rPr>
        <w:t> והקרן עם שאר השבח נוטל מהגזלן הקרן גובה מנכסים משועבדים ושאר השבח מנכסים בני חורין ואם הכיר בה שהיא גזולה כשלקחה אינו נוטל מהגזלן אלא הקרן בלבד ומפסיד שאר השבח היתר על ההוצאה היתה ההוצאה יתירה על השבח בין שהכיר בה שהיא גזול בין שלא הכיר אין לו מההוצאה אלא שיעור השבח ונוטלו מבעל השדה</w:t>
      </w:r>
    </w:p>
    <w:p w14:paraId="73DE65FF" w14:textId="77777777" w:rsidR="000F10B8" w:rsidRPr="000F10B8" w:rsidRDefault="000F10B8" w:rsidP="000F10B8">
      <w:pPr>
        <w:pStyle w:val="Style1"/>
      </w:pPr>
      <w:r w:rsidRPr="000F10B8">
        <w:rPr>
          <w:rFonts w:hint="cs"/>
          <w:rtl/>
        </w:rPr>
        <w:t>וי"א דהואיל וידע שאינה שלו הפסיד אפילו ההוצאה (טור ס"א בשם ר"י והרא"ש) וי"א דאם קבל אחריות בהדיא צריך ליתן כפי מה שקבל עליו (שם בשם הרמ"ה ותשובת הרשב"א בסימן אלף קנ"ה וכן כתב הריב"ש </w:t>
      </w:r>
      <w:hyperlink r:id="rId95" w:tooltip="תשובות ריב&quot;ש/רנ" w:history="1">
        <w:r w:rsidRPr="000F10B8">
          <w:rPr>
            <w:rStyle w:val="Hyperlink"/>
            <w:rFonts w:hint="cs"/>
            <w:color w:val="7030A0"/>
            <w:u w:val="none"/>
            <w:rtl/>
          </w:rPr>
          <w:t>בסי' ר"ן</w:t>
        </w:r>
      </w:hyperlink>
      <w:r w:rsidRPr="000F10B8">
        <w:rPr>
          <w:rFonts w:hint="cs"/>
        </w:rPr>
        <w:t> </w:t>
      </w:r>
      <w:r w:rsidRPr="000F10B8">
        <w:rPr>
          <w:rFonts w:hint="cs"/>
          <w:rtl/>
        </w:rPr>
        <w:t>בשמו והמ"מ פ"ט דגזילה בשם יש אומרים) ויש חולקין (שם בשם אביו הרא"ש והמגיד פ"ח דגזילה ונ"י פ"ק דמציעא וגם הר"ן כתב דלא מחוור בעיניו</w:t>
      </w:r>
      <w:r w:rsidRPr="000F10B8">
        <w:rPr>
          <w:rFonts w:hint="cs"/>
        </w:rPr>
        <w:t>)</w:t>
      </w:r>
    </w:p>
    <w:p w14:paraId="35FBE43E" w14:textId="308F015C" w:rsidR="000F10B8" w:rsidRDefault="000F10B8" w:rsidP="000F10B8">
      <w:pPr>
        <w:pStyle w:val="Style1"/>
        <w:rPr>
          <w:rtl/>
        </w:rPr>
      </w:pPr>
      <w:r w:rsidRPr="000F10B8">
        <w:rPr>
          <w:rtl/>
        </w:rPr>
        <w:t>והקרן נוטל מהגזלן מנכסים משועבדים</w:t>
      </w:r>
      <w:r w:rsidRPr="000F10B8">
        <w:t>:</w:t>
      </w:r>
    </w:p>
    <w:p w14:paraId="7933FBE9" w14:textId="563AC874" w:rsidR="00D34DED" w:rsidRDefault="00D34DED" w:rsidP="00D34DED">
      <w:pPr>
        <w:pStyle w:val="Style1"/>
        <w:rPr>
          <w:rtl/>
        </w:rPr>
      </w:pPr>
      <w:r>
        <w:rPr>
          <w:rFonts w:hint="cs"/>
          <w:rtl/>
        </w:rPr>
        <w:t>4)[</w:t>
      </w:r>
      <w:r>
        <w:rPr>
          <w:rtl/>
        </w:rPr>
        <w:t>רמב</w:t>
      </w:r>
      <w:r w:rsidR="00213DA1">
        <w:rPr>
          <w:rtl/>
        </w:rPr>
        <w:t>”ם \נשים\</w:t>
      </w:r>
      <w:r>
        <w:rPr>
          <w:rtl/>
        </w:rPr>
        <w:t xml:space="preserve"> הלכות אישות פרק כג הלכה יח</w:t>
      </w:r>
      <w:r>
        <w:rPr>
          <w:rFonts w:hint="cs"/>
          <w:rtl/>
        </w:rPr>
        <w:t xml:space="preserve">] </w:t>
      </w:r>
      <w:r>
        <w:rPr>
          <w:rtl/>
        </w:rPr>
        <w:t>נישאת הבת בתוך זמן זה הבעל חייב במזונותיה, ובעלי אמה שניהם כל אחד ואחד נותן לה דמי מזונות, מתו אלו שפסקו לזון אותה אם קנו מידן או שחייב עצמו בשטר הרי זו כבעל חוב בשטר וטורפת מזונותיה מנכסיהן המשועבדים עד סוף הזמן שפסקו, ואם פסקו בשעת הקידושין ולא היה שם קנין הרי הם דברים שלא ניתנו ליכתב ואינה טורפת במזונותיה.</w:t>
      </w:r>
    </w:p>
    <w:p w14:paraId="3A98BB59" w14:textId="7ADB8E73" w:rsidR="008546F1" w:rsidRDefault="008546F1" w:rsidP="008546F1">
      <w:pPr>
        <w:pStyle w:val="Style1"/>
        <w:rPr>
          <w:rtl/>
        </w:rPr>
      </w:pPr>
      <w:r>
        <w:rPr>
          <w:rFonts w:hint="cs"/>
          <w:rtl/>
        </w:rPr>
        <w:t>4)[</w:t>
      </w:r>
      <w:r>
        <w:rPr>
          <w:rtl/>
        </w:rPr>
        <w:t>שולחן ערוך אבן העזר הלכות כתובות סימן קיד סעיף ד</w:t>
      </w:r>
      <w:r w:rsidRPr="00970E08">
        <w:rPr>
          <w:rFonts w:hint="cs"/>
          <w:rtl/>
        </w:rPr>
        <w:t>]</w:t>
      </w:r>
      <w:r w:rsidR="00970E08" w:rsidRPr="00970E08">
        <w:rPr>
          <w:rFonts w:hint="cs"/>
          <w:rtl/>
        </w:rPr>
        <w:t xml:space="preserve"> </w:t>
      </w:r>
      <w:r w:rsidR="00970E08" w:rsidRPr="00970E08">
        <w:rPr>
          <w:rtl/>
        </w:rPr>
        <w:t>מת הבעל, הבת מוציאה מזונותיה מנכסים משעבדים כשאר בעל חוב. ודוקא שקנו מידו או שחיב עצמו במזונותיה, בשטר; אבל אם לא היה שם קנין, הם דברים שלא נתנו לכתב ואינה נזונית ממשעבדים</w:t>
      </w:r>
      <w:r w:rsidR="00970E08" w:rsidRPr="00970E08">
        <w:t>:</w:t>
      </w:r>
    </w:p>
    <w:p w14:paraId="53F4DAF8" w14:textId="46232A4F" w:rsidR="00F575EB" w:rsidRDefault="00F575EB" w:rsidP="00F575EB">
      <w:pPr>
        <w:pStyle w:val="Style1"/>
        <w:rPr>
          <w:rtl/>
        </w:rPr>
      </w:pPr>
      <w:r>
        <w:rPr>
          <w:rFonts w:hint="cs"/>
          <w:rtl/>
        </w:rPr>
        <w:t>5)[</w:t>
      </w:r>
      <w:r>
        <w:rPr>
          <w:rtl/>
        </w:rPr>
        <w:t>רמב</w:t>
      </w:r>
      <w:r w:rsidR="00213DA1">
        <w:rPr>
          <w:rtl/>
        </w:rPr>
        <w:t>”ם \נשים\</w:t>
      </w:r>
      <w:r>
        <w:rPr>
          <w:rtl/>
        </w:rPr>
        <w:t xml:space="preserve"> הלכות אישות פרק כד הלכה יט</w:t>
      </w:r>
      <w:r>
        <w:rPr>
          <w:rFonts w:hint="cs"/>
          <w:rtl/>
        </w:rPr>
        <w:t xml:space="preserve">] </w:t>
      </w:r>
      <w:r>
        <w:rPr>
          <w:rtl/>
        </w:rPr>
        <w:t xml:space="preserve">האשה שזינת תחת בעלה בשגגה או באונס הרי זו מותרת לבעלה שנאמר </w:t>
      </w:r>
      <w:r>
        <w:rPr>
          <w:rFonts w:hint="cs"/>
          <w:rtl/>
        </w:rPr>
        <w:t>(</w:t>
      </w:r>
      <w:r>
        <w:rPr>
          <w:rtl/>
        </w:rPr>
        <w:t>במדבר ה'</w:t>
      </w:r>
      <w:r>
        <w:rPr>
          <w:rFonts w:hint="cs"/>
          <w:rtl/>
        </w:rPr>
        <w:t>)</w:t>
      </w:r>
      <w:r>
        <w:rPr>
          <w:rtl/>
        </w:rPr>
        <w:t xml:space="preserve"> והיא לא נתפשה הא נתפשה מותרת, בין שאנסה גוי בין שאנסה ישראל, וכל שתחלת ביאתה באונס אף על פי שסופה ברצון ואפילו אמרה הניחו לו שאלמלא לא אנס אותי הייתי שוכרתו הרי זו מותרת שהיצר לבשה, מתחלתה באונס היתה.</w:t>
      </w:r>
    </w:p>
    <w:p w14:paraId="6497B545" w14:textId="03692138" w:rsidR="00593A90" w:rsidRDefault="00593A90" w:rsidP="00593A90">
      <w:pPr>
        <w:pStyle w:val="Style1"/>
        <w:rPr>
          <w:rtl/>
        </w:rPr>
      </w:pPr>
      <w:r>
        <w:rPr>
          <w:rFonts w:hint="cs"/>
          <w:rtl/>
        </w:rPr>
        <w:t>5)[</w:t>
      </w:r>
      <w:r>
        <w:rPr>
          <w:rtl/>
        </w:rPr>
        <w:t>רמב</w:t>
      </w:r>
      <w:r w:rsidR="00213DA1">
        <w:rPr>
          <w:rtl/>
        </w:rPr>
        <w:t>”ם \קדושה\</w:t>
      </w:r>
      <w:r>
        <w:rPr>
          <w:rtl/>
        </w:rPr>
        <w:t xml:space="preserve"> הלכות איסורי ביאה פרק א הלכה ט</w:t>
      </w:r>
      <w:r>
        <w:rPr>
          <w:rFonts w:hint="cs"/>
          <w:rtl/>
        </w:rPr>
        <w:t xml:space="preserve">] </w:t>
      </w:r>
      <w:r>
        <w:rPr>
          <w:rtl/>
        </w:rPr>
        <w:t>אנוס פטור מכלום מן המלקות ומן הקרבן ואין צריך לומר מן המיתה שנאמר ולנערה לא תעשה דבר, בד"א בשנאנס הנבעל, אבל הבועל אין לו אונס שאין קישוי אלא לדעת, ואשה שתחלת ביאתה באונס וסופה ברצון פטורה מכלום שמשהתחיל לבעול באונס אין בידה שלא תרצה שיצר האדם וטבעו כופה אותה לרצות. /השגת הראב"ד/ שאין קשוי אלא לדעת. כתב הראב"ד ז"ל /א"א/ יש אונס שהוא פטור כגון שהוא מתכוון לאשתו ותקפתו אחת מן העריות והביאתו עליה או שדבקוהו עכו"ם עליה עכ"ל.</w:t>
      </w:r>
    </w:p>
    <w:p w14:paraId="355D2A87" w14:textId="7DE8254B" w:rsidR="002D1E4F" w:rsidRDefault="002D1E4F" w:rsidP="002D1E4F">
      <w:pPr>
        <w:pStyle w:val="Style1"/>
        <w:rPr>
          <w:rtl/>
        </w:rPr>
      </w:pPr>
      <w:r>
        <w:rPr>
          <w:rFonts w:hint="cs"/>
          <w:rtl/>
        </w:rPr>
        <w:lastRenderedPageBreak/>
        <w:t>6)[</w:t>
      </w:r>
      <w:r>
        <w:rPr>
          <w:rtl/>
        </w:rPr>
        <w:t>רמב</w:t>
      </w:r>
      <w:r w:rsidR="00213DA1">
        <w:rPr>
          <w:rtl/>
        </w:rPr>
        <w:t>”ם \קדושה\</w:t>
      </w:r>
      <w:r>
        <w:rPr>
          <w:rtl/>
        </w:rPr>
        <w:t xml:space="preserve"> הלכות איסורי ביאה פרק יח הלכה ח</w:t>
      </w:r>
      <w:r>
        <w:rPr>
          <w:rFonts w:hint="cs"/>
          <w:rtl/>
        </w:rPr>
        <w:t xml:space="preserve">] </w:t>
      </w:r>
      <w:r>
        <w:rPr>
          <w:rtl/>
        </w:rPr>
        <w:t>אשת ישראל שנאנסה אף על פי שהיא מותרת לבעלה אסורה לכהונה אשת כהן שאמרה לבעלה נאנסתי או שגגתי ובא עלי אחד או שבא עד אחד והעיד לו עליה שזינתה בין באונס בין ברצון הרי זו אינה אסורה עליו, שמא עיניה נתנה באחר, ואם היא נאמנת לו או העד נאמן לו וסמך דעתו לדבריהם ה"ז יוציא כדי לצאת ידי ספק.</w:t>
      </w:r>
    </w:p>
    <w:p w14:paraId="2DC6BFF2" w14:textId="74C03B92" w:rsidR="00B85B53" w:rsidRDefault="00B85B53" w:rsidP="00B85B53">
      <w:pPr>
        <w:pStyle w:val="Style1"/>
        <w:rPr>
          <w:rtl/>
        </w:rPr>
      </w:pPr>
      <w:r>
        <w:rPr>
          <w:rFonts w:hint="cs"/>
          <w:rtl/>
        </w:rPr>
        <w:t>6)[</w:t>
      </w:r>
      <w:r>
        <w:rPr>
          <w:rtl/>
        </w:rPr>
        <w:t>שולחן ערוך אבן העזר הלכות פריה ורביה סימן ו סעיף יא</w:t>
      </w:r>
      <w:r>
        <w:rPr>
          <w:rFonts w:hint="cs"/>
          <w:rtl/>
        </w:rPr>
        <w:t xml:space="preserve">] </w:t>
      </w:r>
      <w:r>
        <w:rPr>
          <w:rtl/>
        </w:rPr>
        <w:t>אשת ישראל שנאנסה, אף על פי שמותרת לבעלה, אסורה לכהונה.</w:t>
      </w:r>
    </w:p>
    <w:p w14:paraId="0DBA48FA" w14:textId="65AC1D23" w:rsidR="002E343E" w:rsidRDefault="002E343E" w:rsidP="002E343E">
      <w:pPr>
        <w:pStyle w:val="Style1"/>
        <w:rPr>
          <w:rtl/>
        </w:rPr>
      </w:pPr>
      <w:r>
        <w:rPr>
          <w:rFonts w:hint="cs"/>
          <w:rtl/>
        </w:rPr>
        <w:t>7)[</w:t>
      </w:r>
      <w:r>
        <w:rPr>
          <w:rtl/>
        </w:rPr>
        <w:t>שולחן ערוך אבן העזר הלכות פריה ורביה סימן ו סעיף י</w:t>
      </w:r>
      <w:r>
        <w:rPr>
          <w:rFonts w:hint="cs"/>
          <w:rtl/>
        </w:rPr>
        <w:t xml:space="preserve">] </w:t>
      </w:r>
      <w:r>
        <w:rPr>
          <w:rtl/>
        </w:rPr>
        <w:t>אשת כהן שנבעלה, אפילו באונס, אסורה לו.</w:t>
      </w:r>
    </w:p>
    <w:p w14:paraId="16E6BD81" w14:textId="645F913B" w:rsidR="00026646" w:rsidRDefault="00026646" w:rsidP="00026646">
      <w:pPr>
        <w:pStyle w:val="Style1"/>
        <w:rPr>
          <w:rtl/>
        </w:rPr>
      </w:pPr>
      <w:r>
        <w:rPr>
          <w:rFonts w:hint="cs"/>
          <w:rtl/>
        </w:rPr>
        <w:t>8)[</w:t>
      </w:r>
      <w:r>
        <w:rPr>
          <w:rtl/>
        </w:rPr>
        <w:t>רמב</w:t>
      </w:r>
      <w:r w:rsidR="00213DA1">
        <w:rPr>
          <w:rtl/>
        </w:rPr>
        <w:t>”ם \קדושה\</w:t>
      </w:r>
      <w:r>
        <w:rPr>
          <w:rtl/>
        </w:rPr>
        <w:t xml:space="preserve"> הלכות איסורי ביאה פרק ג הלכה ב</w:t>
      </w:r>
      <w:r>
        <w:rPr>
          <w:rFonts w:hint="cs"/>
          <w:rtl/>
        </w:rPr>
        <w:t xml:space="preserve">] </w:t>
      </w:r>
      <w:r>
        <w:rPr>
          <w:rtl/>
        </w:rPr>
        <w:t>הבא על הקטנה אשת הגדול אם קידשה אביה הרי זה בחנק והיא פטורה מכלום ונאסרה על בעלה כמו שביארנו בהלכות סוטה, ואם היא בת מיאון מכין אותו מכת מרדות והיא מותרת לבעלה, ואפילו היה כהן. /השגת הראב"ד/ ונאסרה על בעלה. כתב הראב"ד ז"ל /א"א/ לא ידעתי למה נאסרת על בעלה ישראל שהרי אמרו פיתוי קטנה אונס הוא עכ"ל.</w:t>
      </w:r>
    </w:p>
    <w:p w14:paraId="2F47A8A6" w14:textId="7B7582B0" w:rsidR="007508BB" w:rsidRPr="00970E08" w:rsidRDefault="007508BB" w:rsidP="007508BB">
      <w:pPr>
        <w:pStyle w:val="Style1"/>
      </w:pPr>
      <w:r>
        <w:rPr>
          <w:rFonts w:hint="cs"/>
          <w:rtl/>
        </w:rPr>
        <w:t>9)[</w:t>
      </w:r>
      <w:r>
        <w:rPr>
          <w:rtl/>
        </w:rPr>
        <w:t>רמב</w:t>
      </w:r>
      <w:r w:rsidR="00213DA1">
        <w:rPr>
          <w:rtl/>
        </w:rPr>
        <w:t>”ם \נשים\</w:t>
      </w:r>
      <w:r>
        <w:rPr>
          <w:rtl/>
        </w:rPr>
        <w:t xml:space="preserve"> הלכות אישות פרק כד הלכה כ</w:t>
      </w:r>
      <w:r>
        <w:rPr>
          <w:rFonts w:hint="cs"/>
          <w:rtl/>
        </w:rPr>
        <w:t xml:space="preserve">] </w:t>
      </w:r>
      <w:r>
        <w:rPr>
          <w:rtl/>
        </w:rPr>
        <w:t>נשים שגנבו אותן לסטים הרי הן כשבויות שהן אנוסות ומותרות לבעליהן, ואם הניחום והלכו ללסטים מעצמן הרי אלו ברצון ואסורות לבעליהן, ודין השוגגת ודין הנאנסת אחד הוא שהשגגה אונס יש בה.</w:t>
      </w:r>
    </w:p>
    <w:p w14:paraId="707DBEEF" w14:textId="1FE18A76" w:rsidR="008546F1" w:rsidRPr="000F10B8" w:rsidRDefault="008546F1" w:rsidP="008546F1">
      <w:pPr>
        <w:pStyle w:val="Style1"/>
      </w:pPr>
    </w:p>
    <w:p w14:paraId="5F02DF31" w14:textId="77777777" w:rsidR="000F10B8" w:rsidRPr="000F10B8" w:rsidRDefault="000F10B8" w:rsidP="000F10B8">
      <w:pPr>
        <w:pStyle w:val="Style1"/>
      </w:pPr>
    </w:p>
    <w:p w14:paraId="2DF869D2" w14:textId="25E47D68" w:rsidR="00CC761A" w:rsidRPr="00AA2129" w:rsidRDefault="00CC761A" w:rsidP="00CC761A">
      <w:pPr>
        <w:pStyle w:val="Style1"/>
      </w:pPr>
    </w:p>
    <w:p w14:paraId="346E7B02" w14:textId="71EC094B" w:rsidR="00E10368" w:rsidRPr="00EB144B" w:rsidRDefault="00E10368" w:rsidP="00E10368">
      <w:pPr>
        <w:pStyle w:val="Style1"/>
        <w:rPr>
          <w:rStyle w:val="Style1Char"/>
        </w:rPr>
      </w:pPr>
    </w:p>
    <w:p w14:paraId="7A3E07E8" w14:textId="1CB697F5" w:rsidR="00690486" w:rsidRPr="00EB144B" w:rsidRDefault="00690486" w:rsidP="00EB144B">
      <w:pPr>
        <w:pStyle w:val="Style1"/>
        <w:rPr>
          <w:rStyle w:val="Style1Char"/>
        </w:rPr>
      </w:pPr>
    </w:p>
    <w:p w14:paraId="37FC3D1F" w14:textId="77777777" w:rsidR="000357F0" w:rsidRDefault="000357F0" w:rsidP="000357F0">
      <w:pPr>
        <w:rPr>
          <w:rStyle w:val="Style1Char"/>
          <w:color w:val="00B050"/>
          <w:rtl/>
        </w:rPr>
      </w:pPr>
      <w:r>
        <w:rPr>
          <w:rStyle w:val="Style1Char"/>
          <w:color w:val="00B050"/>
          <w:rtl/>
        </w:rPr>
        <w:br w:type="page"/>
      </w:r>
    </w:p>
    <w:p w14:paraId="62C1A2B4" w14:textId="60099769" w:rsidR="000357F0" w:rsidRDefault="000357F0" w:rsidP="000357F0">
      <w:pPr>
        <w:bidi/>
        <w:rPr>
          <w:rStyle w:val="Style1Char"/>
          <w:color w:val="00B050"/>
        </w:rPr>
      </w:pPr>
      <w:r w:rsidRPr="00916604">
        <w:rPr>
          <w:rStyle w:val="Style1Char"/>
          <w:color w:val="auto"/>
          <w:sz w:val="22"/>
          <w:szCs w:val="22"/>
          <w:highlight w:val="yellow"/>
          <w:rtl/>
        </w:rPr>
        <w:lastRenderedPageBreak/>
        <w:t>[דף נב עמוד א]</w:t>
      </w:r>
      <w:r w:rsidRPr="00916604">
        <w:rPr>
          <w:rStyle w:val="Style1Char"/>
          <w:color w:val="auto"/>
          <w:sz w:val="22"/>
          <w:szCs w:val="22"/>
          <w:rtl/>
        </w:rPr>
        <w:t xml:space="preserve"> ממזרת ונתינה לישראל - אינו חייב לפדותה, שאין אני קורא בה ואותבינך לי לאנתו. רבא אמר: כל שאיסור שבייה גורם לה - חייב לפדותה, איסור דבר אחר גורם לה - אינו חייב לפדותה</w:t>
      </w:r>
      <w:r w:rsidRPr="00916604">
        <w:rPr>
          <w:rStyle w:val="Style1Char"/>
          <w:color w:val="auto"/>
          <w:rtl/>
        </w:rPr>
        <w:t xml:space="preserve"> </w:t>
      </w:r>
      <w:r w:rsidRPr="00916604">
        <w:rPr>
          <w:rStyle w:val="Style1Char"/>
          <w:color w:val="806000" w:themeColor="accent4" w:themeShade="80"/>
          <w:sz w:val="22"/>
          <w:szCs w:val="22"/>
          <w:rtl/>
        </w:rPr>
        <w:t>והלכה כרבא</w:t>
      </w:r>
      <w:r w:rsidRPr="00B06EFA">
        <w:rPr>
          <w:rStyle w:val="Style1Char"/>
          <w:color w:val="C00000"/>
          <w:sz w:val="22"/>
          <w:szCs w:val="22"/>
        </w:rPr>
        <w:t>:</w:t>
      </w:r>
      <w:r w:rsidRPr="00B06EFA">
        <w:rPr>
          <w:rStyle w:val="Style1Char"/>
          <w:sz w:val="22"/>
          <w:szCs w:val="22"/>
          <w:rtl/>
        </w:rPr>
        <w:t>.</w:t>
      </w:r>
      <w:r w:rsidRPr="00B06EFA">
        <w:rPr>
          <w:rStyle w:val="Style1Char"/>
          <w:rtl/>
        </w:rPr>
        <w:t xml:space="preserve"> </w:t>
      </w:r>
      <w:r w:rsidRPr="002F2700">
        <w:rPr>
          <w:rStyle w:val="Style1Char"/>
          <w:color w:val="00B050"/>
          <w:rtl/>
        </w:rPr>
        <w:t xml:space="preserve">לימא כתנאי: המדיר את אשתו ונשבית, רבי אליעזר אומר: פודה ונותן לה כתובתה, רבי יהושע אומר: </w:t>
      </w:r>
      <w:r w:rsidR="00067219">
        <w:rPr>
          <w:rStyle w:val="Style1Char"/>
          <w:rFonts w:hint="cs"/>
          <w:rtl/>
        </w:rPr>
        <w:t>(1)</w:t>
      </w:r>
      <w:r w:rsidRPr="002F2700">
        <w:rPr>
          <w:rStyle w:val="Style1Char"/>
          <w:color w:val="00B050"/>
          <w:rtl/>
        </w:rPr>
        <w:t xml:space="preserve">נותן לה כתובתה ואינו פודה; אמר רבי נתן, שאלתי את סומכוס: כשאמר רבי יהושע נותן לה כתובתה ואינו פודה, כשהדירה ולבסוף נשבית, או בנשבית ולבסוף הדירה? ואמר לי: לא שמעתי, ונראין דברים </w:t>
      </w:r>
      <w:r w:rsidR="003B35B9">
        <w:rPr>
          <w:rStyle w:val="Style1Char"/>
          <w:rFonts w:hint="cs"/>
          <w:rtl/>
        </w:rPr>
        <w:t>(1)</w:t>
      </w:r>
      <w:r w:rsidRPr="002F2700">
        <w:rPr>
          <w:rStyle w:val="Style1Char"/>
          <w:color w:val="00B050"/>
          <w:rtl/>
        </w:rPr>
        <w:t xml:space="preserve">שהדירה ולבסוף נשבית, דאי אמרת נשבית ולבסוף הדירה אתי לאיערומי; מאי לאו במדיר אשת כהן קמיפלגי, ואביי דאמר כרבי אליעזר, ורבא דאמר כרבי יהושע! לא, הכא במאי עסקינן - כגון שנדרה איהי וקיים לה הוא, ר' אליעזר סבר: </w:t>
      </w:r>
      <w:r w:rsidR="00695E89">
        <w:rPr>
          <w:rStyle w:val="Style1Char"/>
          <w:rFonts w:hint="cs"/>
          <w:rtl/>
        </w:rPr>
        <w:t>(2)</w:t>
      </w:r>
      <w:r w:rsidRPr="002F2700">
        <w:rPr>
          <w:rStyle w:val="Style1Char"/>
          <w:color w:val="00B050"/>
          <w:rtl/>
        </w:rPr>
        <w:t xml:space="preserve">הוא נותן אצבע בין שיניה, ורבי יהושע סבר: היא נתנה אצבע בין שיניה. אי היא נתנה אצבע בין שיניה, כתובה מאי עבידתה? ותו, אמר ר' נתן, שאלתי את סומכוס: כשאמר רבי יהושע נותן לה כתובתה ואינו פודה, כשהדירה ולבסוף נשבית, או בשנשבית ולבסוף הדירה? ואמר: לא שמעתי; ואי דנדרה איהי, מה לי הדירה ולבסוף נשבית, מה לי נשבית ולבסוף הדירה! אלא, לעולם דאדרה איהו, ואביי מתרץ לטעמיה, ורבא מתרץ לטעמיה; אביי מתרץ לטעמיה: אלמנה לכהן גדול - כולי עלמא לא פליגי דחייב לפדותה, ממזרת ונתינה לישראל - כולי עלמא לא פליגי דאינו חייב לפדותה, מדיר אשת כהן נמי - כולי עלמא לא פליגי דחייב לפדותה, דהיינו אלמנה [לכ"ג], כי פליגי - במדיר אשת ישראל, רבי אליעזר אזיל בתר מעיקרא, ורבי יהושע אזיל בתר בסוף; רבא מתרץ לטעמיה: אלמנה לכ"ג, ממזרת ונתינה לישראל - כולי עלמא לא פליגי דאינו חייב לפדותה, כי פליגי - במדיר בין אשת כהן ובין אשת ישראל, רבי אליעזר אזיל בתר מעיקרא, ורבי יהושע אזיל בתר בסוף. </w:t>
      </w:r>
    </w:p>
    <w:p w14:paraId="398BC86E" w14:textId="5B004861" w:rsidR="000357F0" w:rsidRPr="00C81021" w:rsidRDefault="000357F0" w:rsidP="000357F0">
      <w:pPr>
        <w:bidi/>
        <w:rPr>
          <w:rStyle w:val="Style1Char"/>
          <w:color w:val="4472C4" w:themeColor="accent1"/>
        </w:rPr>
      </w:pPr>
      <w:r w:rsidRPr="002F2700">
        <w:rPr>
          <w:rStyle w:val="Style1Char"/>
          <w:color w:val="00B050"/>
          <w:rtl/>
        </w:rPr>
        <w:t xml:space="preserve">נשבית - חייב לפדותה וכו'. ת"ר: נשבית בחיי בעלה ואח"כ מת בעלה, הכיר בה בעלה - יורשין חייבין לפדותה, לא הכיר בה בעלה - אין יורשין חייבין לפדותה. לוי סבר למיעבד עובדא כי הא מתניתא, א"ל רב, הכי אמר חביבי: לית הלכתא כי הא מתניתא, אלא כי הא דתניא: </w:t>
      </w:r>
      <w:r w:rsidRPr="003B6CDE">
        <w:rPr>
          <w:rStyle w:val="Style1Char"/>
          <w:color w:val="4472C4" w:themeColor="accent1"/>
          <w:sz w:val="22"/>
          <w:szCs w:val="22"/>
          <w:rtl/>
        </w:rPr>
        <w:t xml:space="preserve">ת"ר </w:t>
      </w:r>
      <w:r w:rsidR="009653E1">
        <w:rPr>
          <w:rStyle w:val="Style1Char"/>
          <w:rFonts w:hint="cs"/>
          <w:rtl/>
        </w:rPr>
        <w:t>(3)</w:t>
      </w:r>
      <w:r w:rsidRPr="003B6CDE">
        <w:rPr>
          <w:rStyle w:val="Style1Char"/>
          <w:color w:val="auto"/>
          <w:sz w:val="22"/>
          <w:szCs w:val="22"/>
          <w:rtl/>
        </w:rPr>
        <w:t>נשבית לאחר מיתת בעלה - אין היתומין חייבין לפדותה; ולא עוד, אלא אפילו נשבית בחיי בעלה ואחר כך מת בעלה - אין היתומין חייבין לפדותה, שאין אני קורא בה ואותבינך לאינתו</w:t>
      </w:r>
      <w:r w:rsidRPr="003B6CDE">
        <w:rPr>
          <w:rStyle w:val="Style1Char"/>
          <w:color w:val="auto"/>
          <w:rtl/>
        </w:rPr>
        <w:t xml:space="preserve"> </w:t>
      </w:r>
      <w:r w:rsidRPr="00567E6C">
        <w:rPr>
          <w:rStyle w:val="Style1Char"/>
          <w:color w:val="806000" w:themeColor="accent4" w:themeShade="80"/>
          <w:rtl/>
        </w:rPr>
        <w:t>הלכך לית להו פירי דכי תקינו רבנן פירות לבעל תחת פרקונה הוא דתקינו והני כיון דלא מיחייבי בפרקונה לית להו פירי תדע דהא תנן אלמנה ניזונית מנכסי יתומים ומעשה ידיה שלהן ואין חייבין בקבורתה אלמא דכיון דחייבין במזונותיה מעשה ידיה שלהן וכיון דאין יורשין כתובתה אין חייבין בקבורתה הכא נמי כיון דלא מיחייבי בפרקונה לית להו פירי</w:t>
      </w:r>
      <w:r w:rsidRPr="00567E6C">
        <w:rPr>
          <w:rStyle w:val="Style1Char"/>
          <w:color w:val="806000" w:themeColor="accent4" w:themeShade="80"/>
          <w:sz w:val="22"/>
          <w:szCs w:val="22"/>
          <w:rtl/>
        </w:rPr>
        <w:t xml:space="preserve">. </w:t>
      </w:r>
      <w:r w:rsidRPr="00C81021">
        <w:rPr>
          <w:rStyle w:val="Style1Char"/>
          <w:color w:val="4472C4" w:themeColor="accent1"/>
          <w:rtl/>
        </w:rPr>
        <w:t>וכן יבם נמי לא אכיל פירי ואינו חייב בפרקונה.</w:t>
      </w:r>
      <w:r>
        <w:rPr>
          <w:rStyle w:val="Style1Char"/>
          <w:rFonts w:hint="cs"/>
          <w:color w:val="4472C4" w:themeColor="accent1"/>
        </w:rPr>
        <w:t>‍</w:t>
      </w:r>
      <w:r w:rsidRPr="00C81021">
        <w:rPr>
          <w:rStyle w:val="Style1Char"/>
          <w:color w:val="4472C4" w:themeColor="accent1"/>
          <w:rtl/>
        </w:rPr>
        <w:t xml:space="preserve"> ואית ספרים דגרסי ואין היבמין חייבין לפדותה וכן גורס רב אלפס. והא דיבם לא אכיל פירות היינו בנכסים שנפלו לה כשהיא שומרת יבם אבל נכסים שנפלו לה כשהיא תחתיו דבעל אוכל יבם פירי לרבא דאמר לקמן בריש פרק הכותב (דף פג א) דידו עדיפא מידה כדמוכח בפרק החולץ (דף לט א) ומיהו לא מיחייב בפרקונה כל זמן שלא כנסה דלא קרינא ביה ואותבינך לי לאינתו</w:t>
      </w:r>
      <w:r w:rsidRPr="00C81021">
        <w:rPr>
          <w:rStyle w:val="Style1Char"/>
          <w:color w:val="4472C4" w:themeColor="accent1"/>
        </w:rPr>
        <w:t>:</w:t>
      </w:r>
    </w:p>
    <w:p w14:paraId="4294F329" w14:textId="1D66B770" w:rsidR="000357F0" w:rsidRDefault="000357F0" w:rsidP="000357F0">
      <w:pPr>
        <w:bidi/>
        <w:rPr>
          <w:rStyle w:val="Style1Char"/>
          <w:color w:val="auto"/>
          <w:sz w:val="22"/>
          <w:szCs w:val="22"/>
        </w:rPr>
      </w:pPr>
      <w:r w:rsidRPr="008141F2">
        <w:rPr>
          <w:rStyle w:val="Style1Char"/>
          <w:color w:val="auto"/>
          <w:sz w:val="22"/>
          <w:szCs w:val="22"/>
          <w:rtl/>
        </w:rPr>
        <w:t xml:space="preserve">תנו רבנן: </w:t>
      </w:r>
      <w:r w:rsidR="004F75D5">
        <w:rPr>
          <w:rStyle w:val="Style1Char"/>
          <w:rFonts w:hint="cs"/>
          <w:rtl/>
        </w:rPr>
        <w:t>(4)</w:t>
      </w:r>
      <w:r w:rsidRPr="008141F2">
        <w:rPr>
          <w:rStyle w:val="Style1Char"/>
          <w:color w:val="auto"/>
          <w:sz w:val="22"/>
          <w:szCs w:val="22"/>
          <w:rtl/>
        </w:rPr>
        <w:t xml:space="preserve">נשבית, והיו מבקשין ממנו עד עשרה בדמיה - פעם ראשונה פודה, מכאן ואילך, רצה - פודה, רצה - אינו פודה; רבן שמעון בן גמליאל אומר: </w:t>
      </w:r>
    </w:p>
    <w:p w14:paraId="7154B31D" w14:textId="7F530372" w:rsidR="009E2B02" w:rsidRDefault="009E2B02" w:rsidP="009E2B02">
      <w:pPr>
        <w:pStyle w:val="Style1"/>
        <w:rPr>
          <w:rStyle w:val="Style1Char"/>
          <w:rtl/>
        </w:rPr>
      </w:pPr>
      <w:r>
        <w:rPr>
          <w:rStyle w:val="Style1Char"/>
          <w:rFonts w:hint="cs"/>
          <w:rtl/>
        </w:rPr>
        <w:t>1)[</w:t>
      </w:r>
      <w:r w:rsidRPr="009E2B02">
        <w:rPr>
          <w:rStyle w:val="Style1Char"/>
          <w:rtl/>
        </w:rPr>
        <w:t>רמב</w:t>
      </w:r>
      <w:r w:rsidR="00213DA1">
        <w:rPr>
          <w:rStyle w:val="Style1Char"/>
          <w:rtl/>
        </w:rPr>
        <w:t>”ם \נשים\</w:t>
      </w:r>
      <w:r w:rsidRPr="009E2B02">
        <w:rPr>
          <w:rStyle w:val="Style1Char"/>
          <w:rtl/>
        </w:rPr>
        <w:t xml:space="preserve"> הלכות אישות פרק יד הלכה כא</w:t>
      </w:r>
      <w:r>
        <w:rPr>
          <w:rStyle w:val="Style1Char"/>
          <w:rFonts w:hint="cs"/>
          <w:rtl/>
        </w:rPr>
        <w:t xml:space="preserve">] </w:t>
      </w:r>
      <w:r w:rsidRPr="009E2B02">
        <w:rPr>
          <w:rStyle w:val="Style1Char"/>
          <w:rtl/>
        </w:rPr>
        <w:t>המדיר את אשתו נדר שהוא חייב בגללו לגרשה וליתן כתובה ונשבית אחר שהדירה אינו חייב לפדותה, שמשעה שהדירה נתחייב לגרשה וליתן כתובתה.</w:t>
      </w:r>
    </w:p>
    <w:p w14:paraId="48578CD9" w14:textId="397540FC" w:rsidR="00994616" w:rsidRDefault="00346821" w:rsidP="00817EAB">
      <w:pPr>
        <w:pStyle w:val="Style1"/>
        <w:rPr>
          <w:rtl/>
        </w:rPr>
      </w:pPr>
      <w:r>
        <w:rPr>
          <w:rStyle w:val="Style1Char"/>
          <w:rFonts w:hint="cs"/>
          <w:rtl/>
        </w:rPr>
        <w:t>1)[</w:t>
      </w:r>
      <w:r w:rsidR="00994616" w:rsidRPr="00994616">
        <w:rPr>
          <w:rStyle w:val="Style1Char"/>
          <w:rtl/>
        </w:rPr>
        <w:t>שולחן ערוך אבן העזר הלכות כתובות סימן עח סעיף ה</w:t>
      </w:r>
      <w:r>
        <w:rPr>
          <w:rStyle w:val="Style1Char"/>
          <w:rFonts w:hint="cs"/>
          <w:rtl/>
        </w:rPr>
        <w:t>]</w:t>
      </w:r>
      <w:r w:rsidR="00817EAB">
        <w:rPr>
          <w:rStyle w:val="Style1Char"/>
          <w:rFonts w:hint="cs"/>
          <w:rtl/>
        </w:rPr>
        <w:t xml:space="preserve"> </w:t>
      </w:r>
      <w:r w:rsidR="00817EAB" w:rsidRPr="00817EAB">
        <w:rPr>
          <w:rtl/>
        </w:rPr>
        <w:t>המדיר את אשתו נדר שהוא חיב בגללו לגרשה וליתן כתובתה, ונשבית אחר שהדירה, אינו חייב לפדותה, שמשעה שהדירה נתחייב לגרשה וליתן לה כתובתה</w:t>
      </w:r>
      <w:r w:rsidR="00817EAB" w:rsidRPr="00817EAB">
        <w:t>:</w:t>
      </w:r>
    </w:p>
    <w:p w14:paraId="624AE1A8" w14:textId="683036C4" w:rsidR="00E22EAC" w:rsidRDefault="005C6F32" w:rsidP="005C6F32">
      <w:pPr>
        <w:pStyle w:val="Style1"/>
        <w:rPr>
          <w:rStyle w:val="Style1Char"/>
          <w:rtl/>
        </w:rPr>
      </w:pPr>
      <w:r>
        <w:rPr>
          <w:rStyle w:val="Style1Char"/>
          <w:rFonts w:hint="cs"/>
          <w:rtl/>
        </w:rPr>
        <w:t xml:space="preserve">2)[ </w:t>
      </w:r>
      <w:r w:rsidR="00E22EAC" w:rsidRPr="00E22EAC">
        <w:rPr>
          <w:rStyle w:val="Style1Char"/>
          <w:rtl/>
        </w:rPr>
        <w:t>רמב</w:t>
      </w:r>
      <w:r w:rsidR="00213DA1">
        <w:rPr>
          <w:rStyle w:val="Style1Char"/>
          <w:rtl/>
        </w:rPr>
        <w:t>”ם \נשים\</w:t>
      </w:r>
      <w:r w:rsidR="00E22EAC" w:rsidRPr="00E22EAC">
        <w:rPr>
          <w:rStyle w:val="Style1Char"/>
          <w:rtl/>
        </w:rPr>
        <w:t xml:space="preserve"> הלכות אישות פרק יב הלכה כד</w:t>
      </w:r>
      <w:r>
        <w:rPr>
          <w:rStyle w:val="Style1Char"/>
          <w:rFonts w:hint="cs"/>
          <w:rtl/>
        </w:rPr>
        <w:t xml:space="preserve">] </w:t>
      </w:r>
      <w:r w:rsidR="00E22EAC" w:rsidRPr="00E22EAC">
        <w:rPr>
          <w:rStyle w:val="Style1Char"/>
          <w:rtl/>
        </w:rPr>
        <w:t>המדיר את אשתו שלא תטעום אחד מכל הפירות ממתינין לו שלשים יום, יתר על כן יוציא ויתן כתובה, אפילו הדירה שלא תאכל מאכל רע, אפילו הדירה ממין שלא אכלה אותו מימיה, יוציא אחר שלשים יום ויתן כתובה. נדרה היא שלא תאכל אחד מכל הפירות וקיים לה הוא את נדרה או שנדרה בנזיר ולא הפר לה, אם רצה שתשב תחתיו ולא תאכל פירות או תהיה נזירה תשב, ואם אמר איני רוצה באשה נדרנית יוציא ויתן כתובה שהרי היה בידו להפר והוא קיים לה ברצונו.</w:t>
      </w:r>
    </w:p>
    <w:p w14:paraId="38D53738" w14:textId="005D6079" w:rsidR="00180765" w:rsidRDefault="00263CF9" w:rsidP="00180765">
      <w:pPr>
        <w:pStyle w:val="Style1"/>
        <w:rPr>
          <w:rtl/>
        </w:rPr>
      </w:pPr>
      <w:r>
        <w:rPr>
          <w:rStyle w:val="Style1Char"/>
          <w:rFonts w:hint="cs"/>
          <w:rtl/>
        </w:rPr>
        <w:t>2)[</w:t>
      </w:r>
      <w:r w:rsidRPr="00263CF9">
        <w:rPr>
          <w:rStyle w:val="Style1Char"/>
          <w:rtl/>
        </w:rPr>
        <w:t>שולחן ערוך יורה דעה הלכות נדרים סימן רלה סעיף ג</w:t>
      </w:r>
      <w:r>
        <w:rPr>
          <w:rStyle w:val="Style1Char"/>
          <w:rFonts w:hint="cs"/>
          <w:rtl/>
        </w:rPr>
        <w:t>]</w:t>
      </w:r>
      <w:r w:rsidR="00180765">
        <w:rPr>
          <w:rStyle w:val="Style1Char"/>
          <w:rFonts w:hint="cs"/>
          <w:rtl/>
        </w:rPr>
        <w:t xml:space="preserve"> </w:t>
      </w:r>
      <w:r w:rsidR="00180765" w:rsidRPr="00180765">
        <w:rPr>
          <w:rtl/>
        </w:rPr>
        <w:t>הדירה שלא תתקשט או שלא תאכל אחד מהמינים אפילו הוא רע ולא טעמתו מעולם ותלאו בתשמיש שאמר קונם תשמישך עלי אם תתקשטי או תאכלי מין פלוני או שאמר קונם הנאת תשמישך עלי אם תלכי לבית אביך יותר מחודש אם הוא דר עמה בעיר או יותר מרגל אם הוא דר בעיר אחרת יקיים ז' ימים ואז יוציא ויתן כתובה ואם היא נדרה שאמרה קונם מין פלוני עלי או קונם שלא אתקשט בקישוט פלוני או שאמרה יאסר תשמישך עלי אם אוכל מין פלוני או אתקשט בקישוט פלוני או אם אלך לבית אבי והוא שמע ולא הפר לה יוציא מיד ויתן כתובה ולהרמב"ם בנדרה היא וקיים לה הוא אם רוצה לישב ולא תאכל מאותו המין תשב ואם הוא אומר אי איפשי באשה נדרנית יוציא ויתן כתובה והוא הדין אם נדרה שלא תלך לבית אביה שאמרה קונם תשמישך עלי אם אלך לבית אבי ושמע הבעל ולא הפר וכן אם אמרה קונם תשמישך עלי אם אלך לבית האבל או לבית המשתה ושמע ולא הפר לה והוא הדין אם אמרה קונם תשמישך עלי אם אעשה שום מלאכה ושמע ולא הפר לה והוא הדין אם אמרה קונם תשמישך עלי אם אשאל משכני כלום או אם אשאיל כלי ושמע ולא הפר</w:t>
      </w:r>
      <w:r w:rsidR="00180765" w:rsidRPr="00180765">
        <w:t>:</w:t>
      </w:r>
    </w:p>
    <w:p w14:paraId="194AAB2C" w14:textId="0255255B" w:rsidR="00012834" w:rsidRDefault="00012834" w:rsidP="00012834">
      <w:pPr>
        <w:pStyle w:val="Style1"/>
        <w:rPr>
          <w:rtl/>
        </w:rPr>
      </w:pPr>
      <w:r>
        <w:rPr>
          <w:rFonts w:hint="cs"/>
          <w:rtl/>
        </w:rPr>
        <w:t>2)[</w:t>
      </w:r>
      <w:r>
        <w:rPr>
          <w:rtl/>
        </w:rPr>
        <w:t>טור אבן העזר הלכות כתובות סימן עב</w:t>
      </w:r>
      <w:r>
        <w:rPr>
          <w:rFonts w:hint="cs"/>
          <w:rtl/>
        </w:rPr>
        <w:t xml:space="preserve">] </w:t>
      </w:r>
      <w:r>
        <w:rPr>
          <w:rtl/>
        </w:rPr>
        <w:t>המדיר את אשתו מליהנות ממנו אין הנדר חל להפקיע מזונותיה שהרי הוא משועבד לה שאינו יכול להפקיעם ואם אמר לה צאי מעשה ידיך למזונותיך והיא מספקת לדברים גדולים ולא לדברים קטנים ואותם הדברים קטנים נוהגין בהם בני אביה מפני שהוא עשיר אבל שאר משפחתה שיש להם עושר כמו שיש לבעלה אין נוהגין בהן אז חל הנדר שהרי אינו חייב לה באלו דברים הקטנים כל זמן שהיא עמו אבל משהדירה ואינה עוד עמו צריך להנהיגה בכבוד בית אביה אף באותן הדברים הקטנים לפיכך אם הדירה עד ל' יום יפרנסנה באלו הדברים הקטנים ע"י פרנס שיאמר לו כל הזן אינו מפסיד אבל לא יאמר לו להדיא לך ותזון אותה דא"כ הוה ליה שלוחו ה)וכן אם הדירה סתם או זמן רב יפרנסנה ע"י פרנס ל' יום דשמא בתוך כך יתיר נדרו אחר ל' יום יוציא ויתן כתובה לר"י כופין אותו בשוטים ו)ולר"ח אין כופין ולזה הסכים א"א הרא"ש ז"ל ז)נדרה שלא תטעום א' מן המינים וקיים לה הוא ח)או שאמרה לו הנאת תשמישך עלי אם אוכלנו אפי' הוא רע ולא טעמה אותו מעולם י)יוציא מיד ויתן כתובה יא)ואם הוא הדירה שאמר לה הנאת תשמישך עלי אם תטעום מאותו המין יב)יקיים ז' ימים ואז יוציא ויתן כתובה יג] יג)כתב הרמב"ם בנדרה היא וקיים לה הוא אם רוצה לישב עמו ולא תאכל מאותה המין תשב(ג) ואם הוא אומר אי אפשי באשה נדרנית יוציא ויתן כתובה שהרי הוא היה לו להתיר וקיימה לה מרצונו:</w:t>
      </w:r>
    </w:p>
    <w:p w14:paraId="1786C344" w14:textId="6EE9A347" w:rsidR="00833D07" w:rsidRDefault="00833D07" w:rsidP="00833D07">
      <w:pPr>
        <w:pStyle w:val="Style1"/>
        <w:rPr>
          <w:rtl/>
        </w:rPr>
      </w:pPr>
      <w:r>
        <w:rPr>
          <w:rFonts w:hint="cs"/>
          <w:rtl/>
        </w:rPr>
        <w:t>3)[</w:t>
      </w:r>
      <w:r>
        <w:rPr>
          <w:rtl/>
        </w:rPr>
        <w:t>רמב</w:t>
      </w:r>
      <w:r w:rsidR="00213DA1">
        <w:rPr>
          <w:rtl/>
        </w:rPr>
        <w:t>”ם \נשים\</w:t>
      </w:r>
      <w:r>
        <w:rPr>
          <w:rtl/>
        </w:rPr>
        <w:t xml:space="preserve"> הלכות אישות פרק יח הלכה ה</w:t>
      </w:r>
      <w:r>
        <w:rPr>
          <w:rFonts w:hint="cs"/>
          <w:rtl/>
        </w:rPr>
        <w:t xml:space="preserve">] </w:t>
      </w:r>
      <w:r>
        <w:rPr>
          <w:rtl/>
        </w:rPr>
        <w:t>אלמנה שחלתה אם צריכה לרפואה שאין לה קצבה הרי זו כמזונות ויורשין חייבין בה, ואם היא רפואה שיש לה קצבה הרי זו מתרפאה מכתובתה. נשבית אין היורשין חייבין לפדותה אפילו היתה יבמה ואפילו נשבית בחיי בעלה ומת והיא בשביה אין חייבין לפדותה מנכסיו אלא נפדית משל עצמה או תטול כתובתה ותפדה עצמה.</w:t>
      </w:r>
    </w:p>
    <w:p w14:paraId="7BB28B08" w14:textId="20314EF2" w:rsidR="000E5901" w:rsidRDefault="000E5901" w:rsidP="000E5901">
      <w:pPr>
        <w:pStyle w:val="Style1"/>
        <w:rPr>
          <w:rtl/>
        </w:rPr>
      </w:pPr>
      <w:r>
        <w:rPr>
          <w:rFonts w:hint="cs"/>
          <w:rtl/>
        </w:rPr>
        <w:t>4)[</w:t>
      </w:r>
      <w:r>
        <w:rPr>
          <w:rtl/>
        </w:rPr>
        <w:t>רמב</w:t>
      </w:r>
      <w:r w:rsidR="00213DA1">
        <w:rPr>
          <w:rtl/>
        </w:rPr>
        <w:t>”ם \נשים\</w:t>
      </w:r>
      <w:r>
        <w:rPr>
          <w:rtl/>
        </w:rPr>
        <w:t xml:space="preserve"> הלכות אישות פרק יד הלכה יט</w:t>
      </w:r>
      <w:r>
        <w:rPr>
          <w:rFonts w:hint="cs"/>
          <w:rtl/>
        </w:rPr>
        <w:t xml:space="preserve">] </w:t>
      </w:r>
      <w:r>
        <w:rPr>
          <w:rtl/>
        </w:rPr>
        <w:t>אין מחייבין את הבעל לפדות את אשתו ביתר על דמיה אלא כמה שהיא שוה כשאר השבויות, היו דמיה יתר על כדי כתובתה ואמר הריני מגרשה וזו כתובתה ותלך ותפדה את עצמה אין שומעין לו אלא כופין אותו ופודה אותה אפילו היו דמיה עד עשרה בכתובתה ואפילו אין לו אלא כדי פדיונה, במה דברים אמורים בפעם ראשונה אבל אם פדאה ונשבית פעם שנייה ורצה לגרשה הרי זה  מגרש ויתן כתובה והיא תפדה את עצמה.</w:t>
      </w:r>
    </w:p>
    <w:p w14:paraId="0C6058A8" w14:textId="2396446C" w:rsidR="000A29C4" w:rsidRDefault="000A29C4" w:rsidP="000A29C4">
      <w:pPr>
        <w:pStyle w:val="Style1"/>
      </w:pPr>
      <w:r>
        <w:rPr>
          <w:rFonts w:hint="cs"/>
          <w:rtl/>
        </w:rPr>
        <w:t>4)[</w:t>
      </w:r>
      <w:r>
        <w:rPr>
          <w:rtl/>
        </w:rPr>
        <w:t>טור יורה דעה הלכות צדקה סימן רנב</w:t>
      </w:r>
      <w:r>
        <w:rPr>
          <w:rFonts w:hint="cs"/>
          <w:rtl/>
        </w:rPr>
        <w:t xml:space="preserve">] </w:t>
      </w:r>
      <w:r>
        <w:rPr>
          <w:rtl/>
        </w:rPr>
        <w:t xml:space="preserve">פדיון שבויים קודם לפרנסת עניים ולכסותן ואין מצוה גדולה כפדיון שבויים הילכך לכל דבר מצוה שגבו מעות בשבילו יכולין לשנותן לפדיון שבויים ואפי' אם גבו לצורך בנין בית הכנסת ואפי' אם קנו העצים והאבנים והקצום לצורך הבנין שאסור למוכרו בשביל מצוה אחרת מותר למוכרם לצורך פדיון שבויים אבל אם בנאוה כבר לא ימכרו אותם אין פודין השבויים יותר מכדי דמיהן מפני תיקון העולם שלא יהו </w:t>
      </w:r>
      <w:r>
        <w:rPr>
          <w:rtl/>
        </w:rPr>
        <w:lastRenderedPageBreak/>
        <w:t>האויבים מוסרין עצמם עליהם לשבותם ואפילו אם קרובים רוצים לפדותו ביותר מכדי דמיו אין מניחין אותן אבל אדם יכול לפדות את עצמו בכל מה שירצה וכן לאשתו שהיא כגופו וכן לת"ח או אפי' אין ת"ח ורואין אותו מצליח שאפשר שיהיה ת"ח יכולין לפדותו בכל מה שיכלו:</w:t>
      </w:r>
    </w:p>
    <w:p w14:paraId="6735DF19" w14:textId="656E44EF" w:rsidR="000A29C4" w:rsidRDefault="000A29C4" w:rsidP="000A29C4">
      <w:pPr>
        <w:pStyle w:val="Style1"/>
      </w:pPr>
      <w:r>
        <w:rPr>
          <w:rtl/>
        </w:rPr>
        <w:t>אין מבריחין השבויים (בלא עולה) כדי שלא יהיו האויבים</w:t>
      </w:r>
      <w:r w:rsidR="00FA7BDD">
        <w:rPr>
          <w:rFonts w:hint="cs"/>
          <w:rtl/>
        </w:rPr>
        <w:t xml:space="preserve"> </w:t>
      </w:r>
      <w:r>
        <w:rPr>
          <w:rtl/>
        </w:rPr>
        <w:t>מכבידים עולם עליהם ויוסיפו שמירה על שמירתם:</w:t>
      </w:r>
    </w:p>
    <w:p w14:paraId="319F48CA" w14:textId="04728097" w:rsidR="000A29C4" w:rsidRDefault="000A29C4" w:rsidP="000A29C4">
      <w:pPr>
        <w:pStyle w:val="Style1"/>
        <w:rPr>
          <w:rtl/>
        </w:rPr>
      </w:pPr>
      <w:r>
        <w:rPr>
          <w:rtl/>
        </w:rPr>
        <w:t>מי שמכר עצמו לנכרים או שלוה מהם ושבו אותו בהלואתו פעם ראשונה ושנייה פודין אותו שלישית אין פודין אותו אבל פודין את הבנים לאחר מיתת אביהם ואם בקשו להורגו פודין אותו מיד אפי' אחר כמה פעמים עבד שנשבה הואיל וטבל לשם עבדות וקבל עליו מצות פודין אותו כישראל שנשבה שבוי שהמיר אפי' למצוה אחת כגון שאוכל נבילות להכעיס וכיוצא בו אסור לפדותו פודין האשה קודם לאיש ואם נתבעו שניהם לדבר עבירה מקדימין האיש לפי שאין דרכו לכך:</w:t>
      </w:r>
    </w:p>
    <w:p w14:paraId="37BBDCB9" w14:textId="3FAAF928" w:rsidR="00534FA3" w:rsidRDefault="00534FA3" w:rsidP="00103C34">
      <w:pPr>
        <w:pStyle w:val="Style1"/>
        <w:rPr>
          <w:rtl/>
        </w:rPr>
      </w:pPr>
      <w:r>
        <w:rPr>
          <w:rFonts w:hint="cs"/>
          <w:rtl/>
        </w:rPr>
        <w:t>4)[</w:t>
      </w:r>
      <w:r>
        <w:rPr>
          <w:rtl/>
        </w:rPr>
        <w:t>שולחן ערוך אבן העזר הלכות כתובות סימן עח סעיף ג</w:t>
      </w:r>
      <w:r>
        <w:rPr>
          <w:rFonts w:hint="cs"/>
          <w:rtl/>
        </w:rPr>
        <w:t>]</w:t>
      </w:r>
      <w:r w:rsidR="00103C34">
        <w:rPr>
          <w:rFonts w:hint="cs"/>
          <w:rtl/>
        </w:rPr>
        <w:t xml:space="preserve"> </w:t>
      </w:r>
      <w:r>
        <w:rPr>
          <w:rtl/>
        </w:rPr>
        <w:t>היו דמיה יותר על כדי כתובתה, ואמר: הריני מגרשה וזו כתובתה ותלך ותפדה את עצמה, אין שומעין לו, אלא כופין אותו ופודה אותה אפילו היו דמיה עד י' בכתובתה, ואפילו אין לו אלא כדי פדיונה. בד"א, בפעם ראשונה; אבל אם פדאה ונשבית פעם שנייה, ורצה לגרשה, מגרשה ונותן לה כתובתה והיא תפדה את עצמה; (אבל בלאו הכי אינו חייב לפדותה בפעם שניה) (ב"י).</w:t>
      </w:r>
    </w:p>
    <w:p w14:paraId="218F5A8F" w14:textId="77777777" w:rsidR="00C24E91" w:rsidRPr="00180765" w:rsidRDefault="00C24E91" w:rsidP="00C24E91">
      <w:pPr>
        <w:pStyle w:val="Style1"/>
      </w:pPr>
    </w:p>
    <w:p w14:paraId="2AB39319" w14:textId="66B42301" w:rsidR="00263CF9" w:rsidRPr="00180765" w:rsidRDefault="00263CF9" w:rsidP="00180765">
      <w:pPr>
        <w:pStyle w:val="Style1"/>
        <w:rPr>
          <w:rStyle w:val="Style1Char"/>
        </w:rPr>
      </w:pPr>
    </w:p>
    <w:p w14:paraId="3A9D005A" w14:textId="2C75679E" w:rsidR="00263CF9" w:rsidRPr="00817EAB" w:rsidRDefault="00263CF9" w:rsidP="00263CF9">
      <w:pPr>
        <w:pStyle w:val="Style1"/>
        <w:rPr>
          <w:rStyle w:val="Style1Char"/>
        </w:rPr>
      </w:pPr>
    </w:p>
    <w:p w14:paraId="31122C2B" w14:textId="1C608B1F" w:rsidR="00994616" w:rsidRPr="00817EAB" w:rsidRDefault="00994616" w:rsidP="00817EAB">
      <w:pPr>
        <w:pStyle w:val="Style1"/>
        <w:rPr>
          <w:rStyle w:val="Style1Char"/>
        </w:rPr>
      </w:pPr>
    </w:p>
    <w:p w14:paraId="67414582" w14:textId="77777777" w:rsidR="000357F0" w:rsidRPr="008141F2" w:rsidRDefault="000357F0" w:rsidP="000357F0">
      <w:pPr>
        <w:bidi/>
        <w:rPr>
          <w:rStyle w:val="Style1Char"/>
          <w:sz w:val="22"/>
          <w:szCs w:val="22"/>
        </w:rPr>
      </w:pPr>
    </w:p>
    <w:p w14:paraId="4E146F5B" w14:textId="77777777" w:rsidR="000357F0" w:rsidRPr="003B6CDE" w:rsidRDefault="000357F0" w:rsidP="000357F0">
      <w:pPr>
        <w:bidi/>
        <w:rPr>
          <w:rStyle w:val="Style1Char"/>
          <w:sz w:val="22"/>
          <w:szCs w:val="22"/>
        </w:rPr>
      </w:pPr>
    </w:p>
    <w:p w14:paraId="0100DBD1" w14:textId="77777777" w:rsidR="000357F0" w:rsidRPr="00C92F7D" w:rsidRDefault="000357F0" w:rsidP="000357F0">
      <w:pPr>
        <w:bidi/>
        <w:rPr>
          <w:rStyle w:val="Style1Char"/>
          <w:color w:val="00B050"/>
          <w:rtl/>
        </w:rPr>
      </w:pPr>
    </w:p>
    <w:p w14:paraId="18FD87AB" w14:textId="77777777" w:rsidR="000357F0" w:rsidRDefault="000357F0" w:rsidP="000357F0">
      <w:pPr>
        <w:rPr>
          <w:rStyle w:val="Style1Char"/>
          <w:color w:val="00B050"/>
          <w:rtl/>
        </w:rPr>
      </w:pPr>
      <w:r>
        <w:rPr>
          <w:rStyle w:val="Style1Char"/>
          <w:color w:val="00B050"/>
          <w:rtl/>
        </w:rPr>
        <w:br w:type="page"/>
      </w:r>
    </w:p>
    <w:p w14:paraId="514A5B13" w14:textId="18DD4A2B" w:rsidR="000357F0" w:rsidRPr="00C81021" w:rsidRDefault="000357F0" w:rsidP="000357F0">
      <w:pPr>
        <w:bidi/>
        <w:rPr>
          <w:rStyle w:val="Style1Char"/>
          <w:color w:val="4472C4" w:themeColor="accent1"/>
        </w:rPr>
      </w:pPr>
      <w:r w:rsidRPr="008141F2">
        <w:rPr>
          <w:rStyle w:val="Style1Char"/>
          <w:color w:val="auto"/>
          <w:sz w:val="22"/>
          <w:szCs w:val="22"/>
          <w:highlight w:val="yellow"/>
          <w:rtl/>
        </w:rPr>
        <w:lastRenderedPageBreak/>
        <w:t>[דף נב עמוד ב]</w:t>
      </w:r>
      <w:r w:rsidRPr="008141F2">
        <w:rPr>
          <w:rStyle w:val="Style1Char"/>
          <w:color w:val="auto"/>
          <w:sz w:val="22"/>
          <w:szCs w:val="22"/>
          <w:rtl/>
        </w:rPr>
        <w:t xml:space="preserve"> </w:t>
      </w:r>
      <w:r w:rsidR="005C2156">
        <w:rPr>
          <w:rStyle w:val="Style1Char"/>
          <w:rFonts w:hint="cs"/>
          <w:rtl/>
        </w:rPr>
        <w:t>(1)</w:t>
      </w:r>
      <w:r w:rsidRPr="008141F2">
        <w:rPr>
          <w:rStyle w:val="Style1Char"/>
          <w:color w:val="auto"/>
          <w:sz w:val="22"/>
          <w:szCs w:val="22"/>
          <w:rtl/>
        </w:rPr>
        <w:t>אין פודין את השבויין יותר על כדי דמיהם, מפני תקון העולם</w:t>
      </w:r>
      <w:r w:rsidRPr="008141F2">
        <w:rPr>
          <w:rStyle w:val="Style1Char"/>
          <w:color w:val="auto"/>
          <w:rtl/>
        </w:rPr>
        <w:t xml:space="preserve"> </w:t>
      </w:r>
      <w:r w:rsidRPr="004D4EDF">
        <w:rPr>
          <w:rStyle w:val="Style1Char"/>
          <w:color w:val="C00000"/>
          <w:sz w:val="22"/>
          <w:szCs w:val="22"/>
          <w:rtl/>
        </w:rPr>
        <w:t>וכן הלכה</w:t>
      </w:r>
      <w:r w:rsidRPr="008141F2">
        <w:rPr>
          <w:rStyle w:val="Style1Char"/>
          <w:color w:val="4472C4" w:themeColor="accent1"/>
          <w:rtl/>
        </w:rPr>
        <w:t xml:space="preserve"> </w:t>
      </w:r>
      <w:r w:rsidRPr="00C81021">
        <w:rPr>
          <w:rStyle w:val="Style1Char"/>
          <w:color w:val="4472C4" w:themeColor="accent1"/>
          <w:rtl/>
        </w:rPr>
        <w:t>פסק רב אלפס ז"ל הלכה כרשב"ג משום דקתני סתמא דמתני' בגיטין (דף מה א) אין פודין את השבוים יתר על כדי דמיהם מפני תקון העולם ומשמע כל שבויין אפילו אשתו נמי והר"ר מאיר הלוי ז"ל פסק כתנא קמא</w:t>
      </w:r>
      <w:r>
        <w:rPr>
          <w:rStyle w:val="Style1Char"/>
          <w:rFonts w:hint="cs"/>
          <w:color w:val="4472C4" w:themeColor="accent1"/>
        </w:rPr>
        <w:t>‍</w:t>
      </w:r>
      <w:r w:rsidRPr="00C81021">
        <w:rPr>
          <w:rStyle w:val="Style1Char"/>
          <w:color w:val="4472C4" w:themeColor="accent1"/>
          <w:rtl/>
        </w:rPr>
        <w:t xml:space="preserve"> דהלכה כרבים ומתני' דגיטין איירי בשאר שבויין אבל אשתו כגופו וכמו שאדם יכול לפדות עצמו בכל ממונו אשתו נמי כיון דחייב לפדותה בתנאי כתובה כמו שיש לה ממון דמי וכן מסתבר.</w:t>
      </w:r>
      <w:r w:rsidRPr="004D4EDF">
        <w:rPr>
          <w:rStyle w:val="Style1Char"/>
          <w:sz w:val="22"/>
          <w:szCs w:val="22"/>
          <w:rtl/>
        </w:rPr>
        <w:t>.</w:t>
      </w:r>
      <w:r w:rsidRPr="004D4EDF">
        <w:rPr>
          <w:rStyle w:val="Style1Char"/>
          <w:rtl/>
        </w:rPr>
        <w:t xml:space="preserve"> </w:t>
      </w:r>
      <w:r w:rsidR="00B75404">
        <w:rPr>
          <w:rStyle w:val="Style1Char"/>
          <w:rFonts w:hint="cs"/>
          <w:rtl/>
        </w:rPr>
        <w:t>(1.1, 1.2, 2)</w:t>
      </w:r>
      <w:r w:rsidRPr="002F2700">
        <w:rPr>
          <w:rStyle w:val="Style1Char"/>
          <w:color w:val="00B050"/>
          <w:rtl/>
        </w:rPr>
        <w:t xml:space="preserve">הא בכדי דמיהן פודין, אף על גב דפרקונה יותר על כתובתה; ורמינהי: </w:t>
      </w:r>
      <w:r w:rsidRPr="001D3F13">
        <w:rPr>
          <w:rStyle w:val="Style1Char"/>
          <w:color w:val="4472C4" w:themeColor="accent1"/>
          <w:sz w:val="22"/>
          <w:szCs w:val="22"/>
          <w:rtl/>
        </w:rPr>
        <w:t xml:space="preserve">ת"ר </w:t>
      </w:r>
      <w:r w:rsidRPr="001D3F13">
        <w:rPr>
          <w:rStyle w:val="Style1Char"/>
          <w:color w:val="auto"/>
          <w:sz w:val="22"/>
          <w:szCs w:val="22"/>
          <w:rtl/>
        </w:rPr>
        <w:t xml:space="preserve">נשבית, והיו מבקשין ממנו עד עשרה בכתובתה - </w:t>
      </w:r>
      <w:r w:rsidR="00595E7F">
        <w:rPr>
          <w:rStyle w:val="Style1Char"/>
          <w:rFonts w:hint="cs"/>
          <w:rtl/>
        </w:rPr>
        <w:t>(1.1, 1.2, 2)</w:t>
      </w:r>
      <w:r w:rsidRPr="001D3F13">
        <w:rPr>
          <w:rStyle w:val="Style1Char"/>
          <w:color w:val="auto"/>
          <w:sz w:val="22"/>
          <w:szCs w:val="22"/>
          <w:rtl/>
        </w:rPr>
        <w:t>פעם ראשונה פודה, מכאן ואילך, רצה - פודה, רצה - אינו פודה</w:t>
      </w:r>
      <w:r w:rsidRPr="004C79C5">
        <w:rPr>
          <w:rStyle w:val="Style1Char"/>
          <w:color w:val="C00000"/>
          <w:sz w:val="22"/>
          <w:szCs w:val="22"/>
          <w:rtl/>
        </w:rPr>
        <w:t xml:space="preserve"> </w:t>
      </w:r>
      <w:r w:rsidRPr="004C79C5">
        <w:rPr>
          <w:rStyle w:val="Style1Char"/>
          <w:color w:val="806000" w:themeColor="accent4" w:themeShade="80"/>
          <w:sz w:val="22"/>
          <w:szCs w:val="22"/>
          <w:rtl/>
        </w:rPr>
        <w:t>דברי רבי</w:t>
      </w:r>
      <w:r w:rsidRPr="004D4EDF">
        <w:rPr>
          <w:rStyle w:val="Style1Char"/>
          <w:sz w:val="22"/>
          <w:szCs w:val="22"/>
          <w:rtl/>
        </w:rPr>
        <w:t xml:space="preserve">; </w:t>
      </w:r>
      <w:r w:rsidRPr="004C79C5">
        <w:rPr>
          <w:rStyle w:val="Style1Char"/>
          <w:color w:val="auto"/>
          <w:sz w:val="22"/>
          <w:szCs w:val="22"/>
          <w:rtl/>
        </w:rPr>
        <w:t xml:space="preserve">ר"ש בן גמליאל אומר: אם היה פרקונה כנגד כתובתה - פודה, אם לאו - אינו פודה! </w:t>
      </w:r>
      <w:r w:rsidRPr="004D4EDF">
        <w:rPr>
          <w:rStyle w:val="Style1Char"/>
          <w:color w:val="C00000"/>
          <w:sz w:val="22"/>
          <w:szCs w:val="22"/>
          <w:rtl/>
        </w:rPr>
        <w:t>והלכה כרבי</w:t>
      </w:r>
      <w:r w:rsidRPr="00DA1B17">
        <w:rPr>
          <w:rStyle w:val="Style1Char"/>
          <w:color w:val="4472C4" w:themeColor="accent1"/>
          <w:rtl/>
        </w:rPr>
        <w:t xml:space="preserve"> </w:t>
      </w:r>
      <w:r w:rsidRPr="00C81021">
        <w:rPr>
          <w:rStyle w:val="Style1Char"/>
          <w:color w:val="4472C4" w:themeColor="accent1"/>
          <w:rtl/>
        </w:rPr>
        <w:t>הא דקאמר רצה אינו פודה פירש רש"י אינו פודה כלל דלא תקינו לאשה אלא פדיון אחד</w:t>
      </w:r>
      <w:r>
        <w:rPr>
          <w:rStyle w:val="Style1Char"/>
          <w:rFonts w:hint="cs"/>
          <w:color w:val="4472C4" w:themeColor="accent1"/>
        </w:rPr>
        <w:t>‍</w:t>
      </w:r>
      <w:r w:rsidRPr="00C81021">
        <w:rPr>
          <w:rStyle w:val="Style1Char"/>
          <w:color w:val="4472C4" w:themeColor="accent1"/>
          <w:rtl/>
        </w:rPr>
        <w:t xml:space="preserve"> וי"מ ביתר מכדי כתובה ומסתבר כפי' רש"י דמאי שנא פדיון שני מפדיון ראשון אם חייבוהו חכמים בפרקונה לעולם כי היכי דבפדיון ראשון עבדי טפל חמור מן העיקר ה"ה בפדיון שני ופסק רב אלפס ז"ל הלכה כרבי ואף על גב דקי"ל הלכה כרבי מחבירו ורשב"ג אביו היה</w:t>
      </w:r>
      <w:r>
        <w:rPr>
          <w:rStyle w:val="Style1Char"/>
          <w:rFonts w:hint="cs"/>
          <w:color w:val="4472C4" w:themeColor="accent1"/>
        </w:rPr>
        <w:t>‍</w:t>
      </w:r>
      <w:r w:rsidRPr="00C81021">
        <w:rPr>
          <w:rStyle w:val="Style1Char"/>
          <w:color w:val="4472C4" w:themeColor="accent1"/>
          <w:rtl/>
        </w:rPr>
        <w:t xml:space="preserve"> הכא מתני' דייקא כרבי דקתני סתם נשבית חייב לפדותה בכל מקום שנשבית אפי' ביותר מכתובתה</w:t>
      </w:r>
      <w:r>
        <w:rPr>
          <w:rStyle w:val="Style1Char"/>
          <w:rFonts w:hint="cs"/>
          <w:color w:val="4472C4" w:themeColor="accent1"/>
        </w:rPr>
        <w:t>‍</w:t>
      </w:r>
      <w:r w:rsidRPr="00C81021">
        <w:rPr>
          <w:rStyle w:val="Style1Char"/>
          <w:color w:val="4472C4" w:themeColor="accent1"/>
          <w:rtl/>
        </w:rPr>
        <w:t xml:space="preserve"> והרמב"ם ז"ל כתב (פי"ד מהל' אישות הל' יט) אם נשבית פעם שנייה ורצה לגרשה הרי זה מגרשה ותפדה את עצמה בכתובתה</w:t>
      </w:r>
      <w:r w:rsidRPr="00C81021">
        <w:rPr>
          <w:rStyle w:val="Style1Char"/>
          <w:color w:val="4472C4" w:themeColor="accent1"/>
        </w:rPr>
        <w:t xml:space="preserve">: </w:t>
      </w:r>
    </w:p>
    <w:p w14:paraId="2C94D6D6" w14:textId="77777777" w:rsidR="000357F0" w:rsidRDefault="000357F0" w:rsidP="000357F0">
      <w:pPr>
        <w:bidi/>
        <w:rPr>
          <w:rStyle w:val="Style1Char"/>
          <w:color w:val="00B050"/>
        </w:rPr>
      </w:pPr>
      <w:r w:rsidRPr="002F2700">
        <w:rPr>
          <w:rStyle w:val="Style1Char"/>
          <w:color w:val="00B050"/>
          <w:rtl/>
        </w:rPr>
        <w:t xml:space="preserve">רבן שמעון בן גמליאל תרי קולי אית ליה. </w:t>
      </w:r>
    </w:p>
    <w:p w14:paraId="65029353" w14:textId="3E65769D" w:rsidR="000357F0" w:rsidRPr="00C81021" w:rsidRDefault="000357F0" w:rsidP="000357F0">
      <w:pPr>
        <w:bidi/>
        <w:rPr>
          <w:rStyle w:val="Style1Char"/>
          <w:color w:val="4472C4" w:themeColor="accent1"/>
        </w:rPr>
      </w:pPr>
      <w:r w:rsidRPr="00322245">
        <w:rPr>
          <w:rStyle w:val="Style1Char"/>
          <w:color w:val="auto"/>
          <w:sz w:val="22"/>
          <w:szCs w:val="22"/>
          <w:rtl/>
        </w:rPr>
        <w:t>לקתה - חייב לרפאותה. תנו רבנן: אלמנה ניזונת מנכסי יתומין</w:t>
      </w:r>
      <w:r w:rsidRPr="004D4EDF">
        <w:rPr>
          <w:rStyle w:val="Style1Char"/>
          <w:sz w:val="22"/>
          <w:szCs w:val="22"/>
          <w:rtl/>
        </w:rPr>
        <w:t xml:space="preserve">, </w:t>
      </w:r>
      <w:r w:rsidRPr="00322245">
        <w:rPr>
          <w:rStyle w:val="Style1Char"/>
          <w:color w:val="806000" w:themeColor="accent4" w:themeShade="80"/>
          <w:sz w:val="22"/>
          <w:szCs w:val="22"/>
          <w:rtl/>
        </w:rPr>
        <w:t xml:space="preserve">ואם היתה </w:t>
      </w:r>
      <w:r w:rsidRPr="002F2700">
        <w:rPr>
          <w:rStyle w:val="Style1Char"/>
          <w:color w:val="00B050"/>
          <w:rtl/>
        </w:rPr>
        <w:t>ו</w:t>
      </w:r>
      <w:r w:rsidRPr="00322245">
        <w:rPr>
          <w:rStyle w:val="Style1Char"/>
          <w:color w:val="auto"/>
          <w:sz w:val="22"/>
          <w:szCs w:val="22"/>
          <w:rtl/>
        </w:rPr>
        <w:t>צריכה</w:t>
      </w:r>
      <w:r w:rsidRPr="004D4EDF">
        <w:rPr>
          <w:rStyle w:val="Style1Char"/>
          <w:sz w:val="22"/>
          <w:szCs w:val="22"/>
          <w:rtl/>
        </w:rPr>
        <w:t xml:space="preserve"> </w:t>
      </w:r>
      <w:r w:rsidRPr="00322245">
        <w:rPr>
          <w:rStyle w:val="Style1Char"/>
          <w:color w:val="auto"/>
          <w:sz w:val="22"/>
          <w:szCs w:val="22"/>
          <w:rtl/>
        </w:rPr>
        <w:t xml:space="preserve">רפואה </w:t>
      </w:r>
      <w:r w:rsidRPr="002F2700">
        <w:rPr>
          <w:rStyle w:val="Style1Char"/>
          <w:color w:val="00B050"/>
          <w:rtl/>
        </w:rPr>
        <w:t xml:space="preserve">- </w:t>
      </w:r>
      <w:r w:rsidRPr="00322245">
        <w:rPr>
          <w:rStyle w:val="Style1Char"/>
          <w:color w:val="auto"/>
          <w:sz w:val="22"/>
          <w:szCs w:val="22"/>
          <w:rtl/>
        </w:rPr>
        <w:t xml:space="preserve">הרי </w:t>
      </w:r>
      <w:r w:rsidRPr="00322245">
        <w:rPr>
          <w:rStyle w:val="Style1Char"/>
          <w:color w:val="ED7D31" w:themeColor="accent2"/>
          <w:rtl/>
        </w:rPr>
        <w:t xml:space="preserve">היא </w:t>
      </w:r>
      <w:r w:rsidRPr="004D4EDF">
        <w:rPr>
          <w:rStyle w:val="Style1Char"/>
          <w:color w:val="C00000"/>
          <w:sz w:val="22"/>
          <w:szCs w:val="22"/>
          <w:rtl/>
        </w:rPr>
        <w:t xml:space="preserve">הן </w:t>
      </w:r>
      <w:r w:rsidRPr="00322245">
        <w:rPr>
          <w:rStyle w:val="Style1Char"/>
          <w:color w:val="auto"/>
          <w:sz w:val="22"/>
          <w:szCs w:val="22"/>
          <w:rtl/>
        </w:rPr>
        <w:t xml:space="preserve">כמזונות; רבן שמעון בן גמליאל אומר: </w:t>
      </w:r>
      <w:r w:rsidR="00E91EA4">
        <w:rPr>
          <w:rStyle w:val="Style1Char"/>
          <w:rFonts w:hint="cs"/>
          <w:rtl/>
        </w:rPr>
        <w:t>(3)</w:t>
      </w:r>
      <w:r w:rsidRPr="00322245">
        <w:rPr>
          <w:rStyle w:val="Style1Char"/>
          <w:color w:val="auto"/>
          <w:sz w:val="22"/>
          <w:szCs w:val="22"/>
          <w:rtl/>
        </w:rPr>
        <w:t>רפואה שיש לה קצבה - נתרפאת מכתובתה,</w:t>
      </w:r>
      <w:r w:rsidRPr="00483F65">
        <w:rPr>
          <w:rStyle w:val="Style1Char"/>
          <w:sz w:val="22"/>
          <w:szCs w:val="22"/>
          <w:rtl/>
        </w:rPr>
        <w:t xml:space="preserve"> </w:t>
      </w:r>
      <w:r w:rsidRPr="00EF4169">
        <w:rPr>
          <w:rStyle w:val="Style1Char"/>
          <w:color w:val="806000" w:themeColor="accent4" w:themeShade="80"/>
          <w:sz w:val="22"/>
          <w:szCs w:val="22"/>
          <w:rtl/>
        </w:rPr>
        <w:t>רפואה</w:t>
      </w:r>
      <w:r w:rsidRPr="00EF4169">
        <w:rPr>
          <w:rStyle w:val="Style1Char"/>
          <w:color w:val="806000" w:themeColor="accent4" w:themeShade="80"/>
          <w:sz w:val="32"/>
          <w:szCs w:val="32"/>
          <w:rtl/>
        </w:rPr>
        <w:t xml:space="preserve"> </w:t>
      </w:r>
      <w:r w:rsidRPr="00EF4169">
        <w:rPr>
          <w:rStyle w:val="Style1Char"/>
          <w:color w:val="auto"/>
          <w:sz w:val="22"/>
          <w:szCs w:val="22"/>
          <w:rtl/>
        </w:rPr>
        <w:t>שאין לה קצבה - הרי היא כמזונות</w:t>
      </w:r>
      <w:r w:rsidRPr="00EF4169">
        <w:rPr>
          <w:rStyle w:val="Style1Char"/>
          <w:color w:val="auto"/>
          <w:rtl/>
        </w:rPr>
        <w:t xml:space="preserve"> </w:t>
      </w:r>
      <w:r w:rsidRPr="00EF4169">
        <w:rPr>
          <w:rStyle w:val="Style1Char"/>
          <w:color w:val="806000" w:themeColor="accent4" w:themeShade="80"/>
          <w:sz w:val="22"/>
          <w:szCs w:val="22"/>
          <w:rtl/>
        </w:rPr>
        <w:t>והלכה כרשב"ג</w:t>
      </w:r>
      <w:r w:rsidRPr="00483F65">
        <w:rPr>
          <w:rStyle w:val="Style1Char"/>
          <w:sz w:val="22"/>
          <w:szCs w:val="22"/>
          <w:rtl/>
        </w:rPr>
        <w:t xml:space="preserve">. </w:t>
      </w:r>
      <w:r w:rsidRPr="00EF4169">
        <w:rPr>
          <w:rStyle w:val="Style1Char"/>
          <w:color w:val="auto"/>
          <w:sz w:val="22"/>
          <w:szCs w:val="22"/>
          <w:rtl/>
        </w:rPr>
        <w:t>אמר רבי יוחנן: עשו הקזת דם בארץ ישראל כרפואה שאין לה קצבה</w:t>
      </w:r>
      <w:r w:rsidRPr="00204A14">
        <w:rPr>
          <w:rStyle w:val="Style1Char"/>
          <w:color w:val="4472C4" w:themeColor="accent1"/>
          <w:rtl/>
        </w:rPr>
        <w:t xml:space="preserve"> </w:t>
      </w:r>
      <w:r w:rsidRPr="00C81021">
        <w:rPr>
          <w:rStyle w:val="Style1Char"/>
          <w:color w:val="4472C4" w:themeColor="accent1"/>
          <w:rtl/>
        </w:rPr>
        <w:t>לפי שבארץ ישראל היו רגילין להקיז דם תדיר ואין לה קצבה והויא כמזונות אבל רפואה שיש לה קצבה דמיא לפרקונה דאתי בבת אחת וכי היכי דאין היורשין חייבין בפרקונה הכי נמי לא מיחייבי בה. לכאורה דווקא ביתומין הוא דיש חילוק בין רפואה שיש לה קצבה לשאין לה קצבה מטעמא דפרישית דדמיא לפרקונה אבל בחיי הבעל לא ועוד מדלא מפליג אלא גבי אלמנה אבל בירושלמי משמע דה"ה בחיי הבעל דגרסינן בפרק מי שמת (הלכה ו) קרובתיה דר"ש בר אבא חששא עינא אתת גבי ר' יוחנן אמר לה אי קיצא הוא אסיא מפורניך ואי לא בעליך יהיב לך אלמא אפילו בחיי הבעל רפואה שיש לה קצבה מתרפאת מכתובתה ותו גרס התם בעלה בעי הן דקציצין והיא בעיא הן דלא קציצין למאן שומעין לאו לבעלה אתמהה כלומר ודאי לבעלה שומעין לקיצוץ כדי שתתרפא מכתובתה. ויראה לי כיון דלכאורה לפום גמרא דידן לגבי בעל אין חילוק בין יש קצבה לאין קצבה וכן מסתבר מפרשי' גמרא דבני מערבא ואי לא בעליך יהיב לך</w:t>
      </w:r>
      <w:r>
        <w:rPr>
          <w:rStyle w:val="Style1Char"/>
          <w:rFonts w:hint="cs"/>
          <w:color w:val="4472C4" w:themeColor="accent1"/>
        </w:rPr>
        <w:t>‍</w:t>
      </w:r>
      <w:r w:rsidRPr="00C81021">
        <w:rPr>
          <w:rStyle w:val="Style1Char"/>
          <w:color w:val="4472C4" w:themeColor="accent1"/>
          <w:rtl/>
        </w:rPr>
        <w:t xml:space="preserve"> פירוש מן בעליך יהבי ליך כי היכי דלא ליפלוג אגמרא דידן וכן דרך תנא ירושלמי בקיצור לשון</w:t>
      </w:r>
      <w:r w:rsidRPr="00C81021">
        <w:rPr>
          <w:rStyle w:val="Style1Char"/>
          <w:color w:val="4472C4" w:themeColor="accent1"/>
        </w:rPr>
        <w:t>:</w:t>
      </w:r>
    </w:p>
    <w:p w14:paraId="2EDAD136" w14:textId="3FFA2230" w:rsidR="000357F0" w:rsidRPr="00393D57" w:rsidRDefault="000357F0" w:rsidP="000357F0">
      <w:pPr>
        <w:bidi/>
        <w:rPr>
          <w:rStyle w:val="Style1Char"/>
          <w:color w:val="auto"/>
          <w:sz w:val="22"/>
          <w:szCs w:val="22"/>
          <w:rtl/>
        </w:rPr>
      </w:pPr>
      <w:r w:rsidRPr="000A44BE">
        <w:rPr>
          <w:rStyle w:val="Style1Char"/>
          <w:color w:val="auto"/>
          <w:sz w:val="22"/>
          <w:szCs w:val="22"/>
          <w:rtl/>
        </w:rPr>
        <w:t xml:space="preserve">קריביה דרבי יוחנן הוה להו איתת אבא דהות צריכה רפואה כל יומא, אתו לקמיה דר' יוחנן, אמר להו: </w:t>
      </w:r>
      <w:r w:rsidR="00E91EA4">
        <w:rPr>
          <w:rStyle w:val="Style1Char"/>
          <w:rFonts w:hint="cs"/>
          <w:rtl/>
        </w:rPr>
        <w:t>(4)</w:t>
      </w:r>
      <w:r w:rsidRPr="000A44BE">
        <w:rPr>
          <w:rStyle w:val="Style1Char"/>
          <w:color w:val="auto"/>
          <w:sz w:val="22"/>
          <w:szCs w:val="22"/>
          <w:rtl/>
        </w:rPr>
        <w:t>איזילו קוצו ליה מידי לרופא</w:t>
      </w:r>
      <w:r w:rsidRPr="008C15AB">
        <w:rPr>
          <w:rStyle w:val="Style1Char"/>
          <w:color w:val="C00000"/>
          <w:rtl/>
        </w:rPr>
        <w:t xml:space="preserve"> </w:t>
      </w:r>
      <w:r w:rsidRPr="000A44BE">
        <w:rPr>
          <w:rStyle w:val="Style1Char"/>
          <w:color w:val="806000" w:themeColor="accent4" w:themeShade="80"/>
          <w:sz w:val="22"/>
          <w:szCs w:val="22"/>
          <w:rtl/>
        </w:rPr>
        <w:t>דהויא לה רפואה שיש לה קצבה</w:t>
      </w:r>
      <w:r w:rsidRPr="00C31862">
        <w:rPr>
          <w:rStyle w:val="Style1Char"/>
          <w:sz w:val="22"/>
          <w:szCs w:val="22"/>
          <w:rtl/>
        </w:rPr>
        <w:t xml:space="preserve">. </w:t>
      </w:r>
      <w:r w:rsidRPr="00393D57">
        <w:rPr>
          <w:rStyle w:val="Style1Char"/>
          <w:color w:val="auto"/>
          <w:sz w:val="22"/>
          <w:szCs w:val="22"/>
          <w:rtl/>
        </w:rPr>
        <w:t xml:space="preserve">אמר רבי יוחנן: עשינו עצמינו כעורכי הדיינין. מעיקרא מאי סבר, ולבסוף מאי סבר? מעיקרא סבר: ומבשרך לא תתעלם, ולבסוף סבר: אדם חשוב שאני. </w:t>
      </w:r>
    </w:p>
    <w:p w14:paraId="1B98DA56" w14:textId="20130945" w:rsidR="000357F0" w:rsidRDefault="000357F0" w:rsidP="000357F0">
      <w:pPr>
        <w:bidi/>
        <w:rPr>
          <w:rStyle w:val="Style1Char"/>
          <w:sz w:val="22"/>
          <w:szCs w:val="22"/>
        </w:rPr>
      </w:pPr>
      <w:r w:rsidRPr="00671723">
        <w:rPr>
          <w:rStyle w:val="Style1Char"/>
          <w:color w:val="auto"/>
          <w:sz w:val="22"/>
          <w:szCs w:val="22"/>
          <w:rtl/>
        </w:rPr>
        <w:t xml:space="preserve">מתני'. </w:t>
      </w:r>
      <w:r w:rsidR="00F12B7B">
        <w:rPr>
          <w:rStyle w:val="Style1Char"/>
          <w:rFonts w:hint="cs"/>
          <w:rtl/>
        </w:rPr>
        <w:t>(5)</w:t>
      </w:r>
      <w:r w:rsidRPr="00671723">
        <w:rPr>
          <w:rStyle w:val="Style1Char"/>
          <w:color w:val="auto"/>
          <w:sz w:val="22"/>
          <w:szCs w:val="22"/>
          <w:rtl/>
        </w:rPr>
        <w:t xml:space="preserve">לא כתב לה </w:t>
      </w:r>
      <w:r w:rsidR="007619A7">
        <w:rPr>
          <w:rStyle w:val="Style1Char"/>
          <w:rFonts w:hint="cs"/>
          <w:rtl/>
        </w:rPr>
        <w:t>(5)</w:t>
      </w:r>
      <w:r w:rsidRPr="00671723">
        <w:rPr>
          <w:rStyle w:val="Style1Char"/>
          <w:color w:val="auto"/>
          <w:sz w:val="22"/>
          <w:szCs w:val="22"/>
          <w:rtl/>
        </w:rPr>
        <w:t xml:space="preserve">בנין דכרין דיהוו ליכי מינאי, אינון ירתון כסף כתובתיך יתר על חולקהון דעם אחוהון - חייב, שהוא תנאי ב"ד. </w:t>
      </w:r>
      <w:r w:rsidR="007619A7">
        <w:rPr>
          <w:rStyle w:val="Style1Char"/>
          <w:rFonts w:hint="cs"/>
          <w:rtl/>
        </w:rPr>
        <w:t>(</w:t>
      </w:r>
      <w:r w:rsidR="006D64C7">
        <w:rPr>
          <w:rStyle w:val="Style1Char"/>
          <w:rFonts w:hint="cs"/>
          <w:rtl/>
        </w:rPr>
        <w:t>5, 6</w:t>
      </w:r>
      <w:r w:rsidR="007619A7">
        <w:rPr>
          <w:rStyle w:val="Style1Char"/>
          <w:rFonts w:hint="cs"/>
          <w:rtl/>
        </w:rPr>
        <w:t>)</w:t>
      </w:r>
      <w:r w:rsidRPr="00DE4F14">
        <w:rPr>
          <w:rStyle w:val="Style1Char"/>
          <w:color w:val="auto"/>
          <w:sz w:val="22"/>
          <w:szCs w:val="22"/>
          <w:rtl/>
        </w:rPr>
        <w:t>בנן נוקבן דיהוין ליכי מינאי, יהוין יתבן בביתי ומיתזנן מנכסי עד דתלקחון לגוברין - חייב, שהוא תנאי בית דין.</w:t>
      </w:r>
      <w:r w:rsidRPr="00D53AAF">
        <w:rPr>
          <w:rStyle w:val="Style1Char"/>
          <w:sz w:val="22"/>
          <w:szCs w:val="22"/>
          <w:rtl/>
        </w:rPr>
        <w:t xml:space="preserve"> </w:t>
      </w:r>
      <w:r w:rsidRPr="00B159DE">
        <w:rPr>
          <w:rStyle w:val="Style1Char"/>
          <w:color w:val="C00000"/>
          <w:sz w:val="22"/>
          <w:szCs w:val="22"/>
          <w:rtl/>
        </w:rPr>
        <w:t xml:space="preserve">לא כתב לה </w:t>
      </w:r>
      <w:r w:rsidR="004A0FC1">
        <w:rPr>
          <w:rStyle w:val="Style1Char"/>
          <w:rFonts w:hint="cs"/>
          <w:rtl/>
        </w:rPr>
        <w:t>(</w:t>
      </w:r>
      <w:r w:rsidR="006D64C7">
        <w:rPr>
          <w:rStyle w:val="Style1Char"/>
          <w:rFonts w:hint="cs"/>
          <w:rtl/>
        </w:rPr>
        <w:t>5, 6</w:t>
      </w:r>
      <w:r w:rsidR="004A0FC1">
        <w:rPr>
          <w:rStyle w:val="Style1Char"/>
          <w:rFonts w:hint="cs"/>
          <w:rtl/>
        </w:rPr>
        <w:t>)</w:t>
      </w:r>
      <w:r w:rsidRPr="00B6119D">
        <w:rPr>
          <w:rStyle w:val="Style1Char"/>
          <w:sz w:val="22"/>
          <w:szCs w:val="22"/>
          <w:rtl/>
        </w:rPr>
        <w:t xml:space="preserve">את תהא יתבא בביתי ומיתזנא מנכסי כל ימי מיגר אלמנותיך בביתי - חייב, שהוא תנאי בית דין. </w:t>
      </w:r>
      <w:r w:rsidRPr="00A118FC">
        <w:rPr>
          <w:rStyle w:val="Style1Char"/>
          <w:sz w:val="22"/>
          <w:szCs w:val="22"/>
          <w:rtl/>
        </w:rPr>
        <w:t xml:space="preserve">כך היו אנשי ירושלים כותבין. אנשי גליל היו כותבין כאנשי ירושלים. אנשי יהודה היו כותבין עד שירצו היורשין ליתן לך כתובתיך, לפיכך אם רצו יורשין - נותנין לה כתובתה ופוטרין אותה. </w:t>
      </w:r>
    </w:p>
    <w:p w14:paraId="6E41D7C0" w14:textId="652CA3A9" w:rsidR="000357F0" w:rsidRPr="00C81021" w:rsidRDefault="000357F0" w:rsidP="000357F0">
      <w:pPr>
        <w:bidi/>
        <w:rPr>
          <w:rStyle w:val="Style1Char"/>
          <w:color w:val="4472C4" w:themeColor="accent1"/>
        </w:rPr>
      </w:pPr>
      <w:r w:rsidRPr="00F165FC">
        <w:rPr>
          <w:rStyle w:val="Style1Char"/>
          <w:color w:val="auto"/>
          <w:sz w:val="22"/>
          <w:szCs w:val="22"/>
          <w:rtl/>
        </w:rPr>
        <w:t>גמ'. אמר רבי יוחנן משום רבי שמעון בן יוחאי: מפני מה התקינו כתובת בנין דכרין? כדי שיקפוץ אדם ויכתוב לבתו כבנו</w:t>
      </w:r>
      <w:r w:rsidRPr="00287433">
        <w:rPr>
          <w:rStyle w:val="Style1Char"/>
          <w:sz w:val="22"/>
          <w:szCs w:val="22"/>
          <w:rtl/>
        </w:rPr>
        <w:t>.</w:t>
      </w:r>
      <w:r w:rsidRPr="002F2700">
        <w:rPr>
          <w:rStyle w:val="Style1Char"/>
          <w:color w:val="00B050"/>
          <w:rtl/>
        </w:rPr>
        <w:t xml:space="preserve"> ומי איכא מידי, דרחמנא אמר ברא לירות ברתא לא תירות, ואתו רבנן ומתקני דתירות ברתא? הא נמי דאורייתא הוא, דכתיב: קחו נשים והולידו בנים ובנות וקחו לבניכם נשים ואת בנותיכם תנו לאנשים, בשלמא בנים בידיה קיימי, אלא בנתיה מי קיימן בידיה? </w:t>
      </w:r>
      <w:r w:rsidR="0012758F">
        <w:rPr>
          <w:rStyle w:val="Style1Char"/>
          <w:rFonts w:hint="cs"/>
          <w:rtl/>
        </w:rPr>
        <w:t>(7)</w:t>
      </w:r>
      <w:r w:rsidRPr="002F2700">
        <w:rPr>
          <w:rStyle w:val="Style1Char"/>
          <w:color w:val="00B050"/>
          <w:rtl/>
        </w:rPr>
        <w:t xml:space="preserve">הא קא משמע לן, דנלבשה וניכסה וניתיב לה מידי, כי היכי דקפצי עלה ואתו נסבי לה. </w:t>
      </w:r>
      <w:r w:rsidRPr="00F165FC">
        <w:rPr>
          <w:rStyle w:val="Style1Char"/>
          <w:color w:val="auto"/>
          <w:sz w:val="22"/>
          <w:szCs w:val="22"/>
          <w:rtl/>
        </w:rPr>
        <w:t xml:space="preserve">ועד כמה? אביי ורבא דאמרי תרוייהו: </w:t>
      </w:r>
      <w:r w:rsidR="001973D2">
        <w:rPr>
          <w:rStyle w:val="Style1Char"/>
          <w:rFonts w:hint="cs"/>
          <w:rtl/>
        </w:rPr>
        <w:t>(8)</w:t>
      </w:r>
      <w:r w:rsidRPr="00F165FC">
        <w:rPr>
          <w:rStyle w:val="Style1Char"/>
          <w:color w:val="auto"/>
          <w:sz w:val="22"/>
          <w:szCs w:val="22"/>
          <w:rtl/>
        </w:rPr>
        <w:t xml:space="preserve">עד לעישור נכסי. ואימא: דאב לירות, דבעל לא לירות! אם כן, אב נמי מימנע ולא כתב. ואימא: היכא דכתב אב </w:t>
      </w:r>
      <w:r w:rsidRPr="006320BF">
        <w:rPr>
          <w:rStyle w:val="Style1Char"/>
          <w:color w:val="00B050"/>
          <w:rtl/>
        </w:rPr>
        <w:t>לכתוב בעל</w:t>
      </w:r>
      <w:r w:rsidRPr="006320BF">
        <w:rPr>
          <w:rStyle w:val="Style1Char"/>
          <w:color w:val="C00000"/>
          <w:rtl/>
        </w:rPr>
        <w:t xml:space="preserve"> </w:t>
      </w:r>
      <w:r w:rsidRPr="006320BF">
        <w:rPr>
          <w:rStyle w:val="Style1Char"/>
          <w:color w:val="C00000"/>
          <w:sz w:val="22"/>
          <w:szCs w:val="22"/>
          <w:rtl/>
        </w:rPr>
        <w:t>לירתו</w:t>
      </w:r>
      <w:r w:rsidRPr="00287433">
        <w:rPr>
          <w:rStyle w:val="Style1Char"/>
          <w:sz w:val="22"/>
          <w:szCs w:val="22"/>
          <w:rtl/>
        </w:rPr>
        <w:t xml:space="preserve">, </w:t>
      </w:r>
      <w:r w:rsidRPr="00715020">
        <w:rPr>
          <w:rStyle w:val="Style1Char"/>
          <w:color w:val="auto"/>
          <w:sz w:val="22"/>
          <w:szCs w:val="22"/>
          <w:rtl/>
        </w:rPr>
        <w:t xml:space="preserve">היכא דלא כתב אב לא </w:t>
      </w:r>
      <w:r w:rsidRPr="006320BF">
        <w:rPr>
          <w:rStyle w:val="Style1Char"/>
          <w:color w:val="00B050"/>
          <w:rtl/>
        </w:rPr>
        <w:t xml:space="preserve">לכתוב בעל! </w:t>
      </w:r>
      <w:r w:rsidRPr="00715020">
        <w:rPr>
          <w:rStyle w:val="Style1Char"/>
          <w:color w:val="806000" w:themeColor="accent4" w:themeShade="80"/>
          <w:sz w:val="22"/>
          <w:szCs w:val="22"/>
          <w:rtl/>
        </w:rPr>
        <w:t xml:space="preserve">לירתו </w:t>
      </w:r>
      <w:r w:rsidRPr="00715020">
        <w:rPr>
          <w:rStyle w:val="Style1Char"/>
          <w:color w:val="auto"/>
          <w:sz w:val="22"/>
          <w:szCs w:val="22"/>
          <w:rtl/>
        </w:rPr>
        <w:t>לא פלוג רבנן</w:t>
      </w:r>
      <w:r w:rsidRPr="00287433">
        <w:rPr>
          <w:rStyle w:val="Style1Char"/>
          <w:sz w:val="22"/>
          <w:szCs w:val="22"/>
          <w:rtl/>
        </w:rPr>
        <w:t xml:space="preserve">. </w:t>
      </w:r>
      <w:r w:rsidRPr="009701BA">
        <w:rPr>
          <w:rStyle w:val="Style1Char"/>
          <w:color w:val="ED7D31" w:themeColor="accent2"/>
          <w:rtl/>
        </w:rPr>
        <w:t>בת בין הבנים נמי תירות! כנחלה שויוה רבנן</w:t>
      </w:r>
      <w:r w:rsidRPr="002F2700">
        <w:rPr>
          <w:rStyle w:val="Style1Char"/>
          <w:color w:val="00B050"/>
          <w:rtl/>
        </w:rPr>
        <w:t xml:space="preserve">. </w:t>
      </w:r>
      <w:r w:rsidRPr="00C5434B">
        <w:rPr>
          <w:rStyle w:val="Style1Char"/>
          <w:color w:val="auto"/>
          <w:sz w:val="22"/>
          <w:szCs w:val="22"/>
          <w:rtl/>
        </w:rPr>
        <w:t xml:space="preserve">בת בין הבנות </w:t>
      </w:r>
      <w:r w:rsidRPr="00F82384">
        <w:rPr>
          <w:rStyle w:val="Style1Char"/>
          <w:color w:val="C00000"/>
          <w:sz w:val="22"/>
          <w:szCs w:val="22"/>
          <w:rtl/>
        </w:rPr>
        <w:t xml:space="preserve">נמי </w:t>
      </w:r>
      <w:r w:rsidRPr="00C5434B">
        <w:rPr>
          <w:rStyle w:val="Style1Char"/>
          <w:color w:val="auto"/>
          <w:sz w:val="22"/>
          <w:szCs w:val="22"/>
          <w:rtl/>
        </w:rPr>
        <w:t xml:space="preserve">תירות! לא פלוג רבנן. ותיגבי ממטלטלי! ככתובה שויוה רבנן. תטרוף ממשעבדי! ירתון תנן. ואימא: אף על גב דליכא מותר דינר! </w:t>
      </w:r>
      <w:r w:rsidR="00146496">
        <w:rPr>
          <w:rStyle w:val="Style1Char"/>
          <w:rFonts w:hint="cs"/>
          <w:rtl/>
        </w:rPr>
        <w:t>(9)</w:t>
      </w:r>
      <w:r w:rsidRPr="00C5434B">
        <w:rPr>
          <w:rStyle w:val="Style1Char"/>
          <w:color w:val="auto"/>
          <w:sz w:val="22"/>
          <w:szCs w:val="22"/>
          <w:rtl/>
        </w:rPr>
        <w:t>במקום דקא מיעקרא נחלה דאורייתא - לא תקינו רבנן</w:t>
      </w:r>
      <w:r w:rsidRPr="00B92047">
        <w:rPr>
          <w:rStyle w:val="Style1Char"/>
          <w:color w:val="4472C4" w:themeColor="accent1"/>
          <w:rtl/>
        </w:rPr>
        <w:t xml:space="preserve"> </w:t>
      </w:r>
      <w:r w:rsidRPr="00C81021">
        <w:rPr>
          <w:rStyle w:val="Style1Char"/>
          <w:color w:val="4472C4" w:themeColor="accent1"/>
          <w:rtl/>
        </w:rPr>
        <w:t>רב מתתיה גאון ז"ל היה אומר שאין דנין כתובת בנין דיכרין בזמן הזה כיון שאין הטעם אלא כדי שיקפוץ אדם ויתן לבתו כבנו ועכשיו נהגו ליתן יותר ויותר וכן כתב בעל העיטור ז"ל תשובה לרב חנינא ברבי יהודה ז"ל היום כמה שנים בטלה כתובת בנין דיכרין מישיבתינו ולמה בטלה לפי שצריך לדקדק בנכסים שיש להם אחריות בראוי ובמוחזק ובמותר דינר ואם אומרים יתומים הרי אנו מעלין על נכסי אבינו מותר דינר אין שומעין להן וצריך שומת בבית דין וחקירת זקנים שלא להוסיף על הדמים ועוד דעיקר דתקנתא כדי שיקפוץ ויתן לה והיום הלואי שיתן לבנו כבתו</w:t>
      </w:r>
      <w:r>
        <w:rPr>
          <w:rStyle w:val="Style1Char"/>
          <w:rFonts w:hint="cs"/>
          <w:color w:val="4472C4" w:themeColor="accent1"/>
        </w:rPr>
        <w:t>‍</w:t>
      </w:r>
      <w:r w:rsidRPr="00C81021">
        <w:rPr>
          <w:rStyle w:val="Style1Char"/>
          <w:color w:val="4472C4" w:themeColor="accent1"/>
          <w:rtl/>
        </w:rPr>
        <w:t xml:space="preserve"> וכמה הוצרך הדבר לנדות כל מי שירבה במתנת בתו (וכמה עד) והיום הזה כמה שנים שאין ישיבתינו דנה בכתובת בנין דיכרין ומר בר רב דוסא אמר לא חזינן רבוותא דהוו מקמן דדייני כתובת בנין דיכרין ומפני נפישתא לא דייני לה בתרתי מתיבתא וכיון דעברי להו כמה שנין אנן לא דיינינן אלא דמר רב האי גאון אמר היכי מבטלי רבנן כתובת בנין דיכרין ומר בר רב שמואל אמר הרבה חכמים נהגו כן לבטל כתובת בנין דיכרין בזמן הזה ואפילו למ"ד לא בטלה</w:t>
      </w:r>
      <w:r>
        <w:rPr>
          <w:rStyle w:val="Style1Char"/>
          <w:rFonts w:hint="cs"/>
          <w:color w:val="4472C4" w:themeColor="accent1"/>
        </w:rPr>
        <w:t>‍</w:t>
      </w:r>
      <w:r w:rsidRPr="00C81021">
        <w:rPr>
          <w:rStyle w:val="Style1Char"/>
          <w:color w:val="4472C4" w:themeColor="accent1"/>
          <w:rtl/>
        </w:rPr>
        <w:t xml:space="preserve"> הני מילי במקרקעי ולא במטלטלי. ורבנו מאיר כתב דנראה לו כדברי רב האי</w:t>
      </w:r>
      <w:r>
        <w:rPr>
          <w:rStyle w:val="Style1Char"/>
          <w:rFonts w:hint="cs"/>
          <w:color w:val="4472C4" w:themeColor="accent1"/>
        </w:rPr>
        <w:t>‍</w:t>
      </w:r>
      <w:r w:rsidRPr="00C81021">
        <w:rPr>
          <w:rStyle w:val="Style1Char"/>
          <w:color w:val="4472C4" w:themeColor="accent1"/>
          <w:rtl/>
        </w:rPr>
        <w:t xml:space="preserve"> וכן אומר ריצב"א בכתובת בנין דיכרין דגביא אף במטלטלי בזמן הזה כיון דתקינו דכתובה גביא ממטלטלי ה"ה כתובת בנין דיכרין דתנאי כתובה ככתובה. וה"ר מאיר הלוי ז"ל וה"ר יונה ז"ל כתבו דודאי כתובת בנין דיכרין נהגו האידנא דאין לעקור תקנת חכמים אבל כיון שמרבין ליתן לבנות נעמיד התקנה בחזקת מעיקרא ממקרקעי ולא ממטלטלי ולענין מה שתקנו הגאונים דכתובה גביא ממטלטלי נאמר דלענין זה לא יעשו כתובת בנין דיכרין ככתובה וכן עיקר</w:t>
      </w:r>
      <w:r w:rsidRPr="00C81021">
        <w:rPr>
          <w:rStyle w:val="Style1Char"/>
          <w:color w:val="4472C4" w:themeColor="accent1"/>
        </w:rPr>
        <w:t>:</w:t>
      </w:r>
    </w:p>
    <w:p w14:paraId="6EFEC0BB" w14:textId="7402E6C6" w:rsidR="000357F0" w:rsidRDefault="000357F0" w:rsidP="000357F0">
      <w:pPr>
        <w:bidi/>
        <w:rPr>
          <w:rStyle w:val="Style1Char"/>
          <w:color w:val="00B050"/>
        </w:rPr>
      </w:pPr>
      <w:r w:rsidRPr="002F2700">
        <w:rPr>
          <w:rStyle w:val="Style1Char"/>
          <w:color w:val="00B050"/>
          <w:rtl/>
        </w:rPr>
        <w:t xml:space="preserve">רב פפא איעסק ליה לבריה בי אבא סוראה, אזיל למיכתב לה כתובתה, שמע יהודה בר מרימר, נפק אתא איתחזי ליה. כי מטו לפיתחא הוה קא מפטר מיניה, אמר ליה: ניעול מר בהדאי, </w:t>
      </w:r>
    </w:p>
    <w:p w14:paraId="2E5C21DB" w14:textId="547B7379" w:rsidR="00BF6D07" w:rsidRDefault="00BF6D07" w:rsidP="00BF6D07">
      <w:pPr>
        <w:pStyle w:val="Style1"/>
        <w:rPr>
          <w:rStyle w:val="Style1Char"/>
          <w:rtl/>
        </w:rPr>
      </w:pPr>
      <w:r>
        <w:rPr>
          <w:rStyle w:val="Style1Char"/>
          <w:rFonts w:hint="cs"/>
          <w:rtl/>
        </w:rPr>
        <w:t>1)[</w:t>
      </w:r>
      <w:r w:rsidRPr="00BF6D07">
        <w:rPr>
          <w:rStyle w:val="Style1Char"/>
          <w:rtl/>
        </w:rPr>
        <w:t>רמב</w:t>
      </w:r>
      <w:r w:rsidR="00EC109D">
        <w:rPr>
          <w:rStyle w:val="Style1Char"/>
          <w:rtl/>
        </w:rPr>
        <w:t>”ם \זרעים\</w:t>
      </w:r>
      <w:r w:rsidRPr="00BF6D07">
        <w:rPr>
          <w:rStyle w:val="Style1Char"/>
          <w:rtl/>
        </w:rPr>
        <w:t xml:space="preserve"> הלכות מתנות עניים פרק ח הלכה יב</w:t>
      </w:r>
      <w:r>
        <w:rPr>
          <w:rStyle w:val="Style1Char"/>
          <w:rFonts w:hint="cs"/>
          <w:rtl/>
        </w:rPr>
        <w:t xml:space="preserve">] </w:t>
      </w:r>
      <w:r w:rsidRPr="00BF6D07">
        <w:rPr>
          <w:rStyle w:val="Style1Char"/>
          <w:rtl/>
        </w:rPr>
        <w:t>אין פודין את השבויים ביתר על דמיהן מפני תקון העולם, שלא יהיו האויבים רודפין אחריהם לשבותם, ואין מבריחין את השבויים מפני תקון העולם שלא יהיו האויבים מכבידין עליהן את העול ומרבים בשמירתן.</w:t>
      </w:r>
    </w:p>
    <w:p w14:paraId="74D76E2B" w14:textId="23EF380F" w:rsidR="007E7F45" w:rsidRDefault="007E7F45" w:rsidP="007E7F45">
      <w:pPr>
        <w:pStyle w:val="Style1"/>
        <w:rPr>
          <w:rStyle w:val="Style1Char"/>
          <w:rtl/>
        </w:rPr>
      </w:pPr>
      <w:r>
        <w:rPr>
          <w:rStyle w:val="Style1Char"/>
          <w:rFonts w:hint="cs"/>
          <w:rtl/>
        </w:rPr>
        <w:lastRenderedPageBreak/>
        <w:t>1)[</w:t>
      </w:r>
      <w:r w:rsidRPr="007E7F45">
        <w:rPr>
          <w:rStyle w:val="Style1Char"/>
          <w:rtl/>
        </w:rPr>
        <w:t>רמב</w:t>
      </w:r>
      <w:r w:rsidR="00213DA1">
        <w:rPr>
          <w:rStyle w:val="Style1Char"/>
          <w:rtl/>
        </w:rPr>
        <w:t>”ם \נשים\</w:t>
      </w:r>
      <w:r w:rsidRPr="007E7F45">
        <w:rPr>
          <w:rStyle w:val="Style1Char"/>
          <w:rtl/>
        </w:rPr>
        <w:t xml:space="preserve"> הלכות אישות פרק יד הלכה יט</w:t>
      </w:r>
      <w:r>
        <w:rPr>
          <w:rStyle w:val="Style1Char"/>
          <w:rFonts w:hint="cs"/>
          <w:rtl/>
        </w:rPr>
        <w:t xml:space="preserve">] </w:t>
      </w:r>
      <w:r w:rsidRPr="007E7F45">
        <w:rPr>
          <w:rStyle w:val="Style1Char"/>
          <w:rtl/>
        </w:rPr>
        <w:t>אין מחייבין את הבעל לפדות את אשתו ביתר על דמיה אלא כמה</w:t>
      </w:r>
      <w:r>
        <w:rPr>
          <w:rStyle w:val="Style1Char"/>
          <w:rFonts w:hint="cs"/>
          <w:rtl/>
        </w:rPr>
        <w:t xml:space="preserve"> </w:t>
      </w:r>
      <w:r w:rsidRPr="007E7F45">
        <w:rPr>
          <w:rStyle w:val="Style1Char"/>
          <w:rtl/>
        </w:rPr>
        <w:t>שהיא שוה כשאר השבויות, היו דמיה יתר על כדי כתובתה ואמר הריני מגרשה וזו כתובתה ותלך ותפדה את עצמה אין שומעין לו אלא כופין אותו ופודה אותה אפילו היו דמיה עד עשרה בכתובתה ואפילו אין לו אלא כדי פדיונה, במה דברים אמורים בפעם ראשונה אבל אם פדאה ונשבית פעם שנייה ורצה לגרשה הרי זה  מגרש ויתן כתובה והיא תפדה את עצמה.</w:t>
      </w:r>
    </w:p>
    <w:p w14:paraId="6E6A4619" w14:textId="77777777" w:rsidR="00CF6E3A" w:rsidRPr="00CF6E3A" w:rsidRDefault="00C15EAB" w:rsidP="00CF6E3A">
      <w:pPr>
        <w:pStyle w:val="Style1"/>
      </w:pPr>
      <w:r>
        <w:rPr>
          <w:rStyle w:val="Style1Char"/>
          <w:rFonts w:hint="cs"/>
          <w:rtl/>
        </w:rPr>
        <w:t>1)[</w:t>
      </w:r>
      <w:r w:rsidRPr="00C15EAB">
        <w:rPr>
          <w:rStyle w:val="Style1Char"/>
          <w:rtl/>
        </w:rPr>
        <w:t>שולחן ערוך יורה דעה הלכות צדקה סימן רנב סעיף ד</w:t>
      </w:r>
      <w:r w:rsidRPr="00CF6E3A">
        <w:rPr>
          <w:rStyle w:val="Style1Char"/>
          <w:rFonts w:hint="cs"/>
          <w:rtl/>
        </w:rPr>
        <w:t>]</w:t>
      </w:r>
      <w:r w:rsidR="00CF6E3A" w:rsidRPr="00CF6E3A">
        <w:rPr>
          <w:rStyle w:val="Style1Char"/>
          <w:rFonts w:hint="cs"/>
          <w:rtl/>
        </w:rPr>
        <w:t xml:space="preserve"> </w:t>
      </w:r>
      <w:r w:rsidR="00CF6E3A" w:rsidRPr="00CF6E3A">
        <w:rPr>
          <w:rtl/>
        </w:rPr>
        <w:t>אין פודין השבויים יותר מכדי דמיהם מפני תיקון העולם שלא יהיו האויבים מוסרים עצמם עליהם לשבותם אבל אדם יכול לפדות את עצמו בכל מה שירצה וכן לת"ח או אפי' אינו ת"ח אלא שהוא תלמיד חריף ואפשר שיהיה אדם גדול פודים אותו בדמים מרובים</w:t>
      </w:r>
      <w:r w:rsidR="00CF6E3A" w:rsidRPr="00CF6E3A">
        <w:t>.</w:t>
      </w:r>
    </w:p>
    <w:p w14:paraId="7E100CFD" w14:textId="505F1D5B" w:rsidR="00CF6E3A" w:rsidRDefault="00CF6E3A" w:rsidP="00CF6E3A">
      <w:pPr>
        <w:pStyle w:val="Style1"/>
        <w:rPr>
          <w:rtl/>
        </w:rPr>
      </w:pPr>
      <w:r w:rsidRPr="00CF6E3A">
        <w:rPr>
          <w:rFonts w:hint="cs"/>
        </w:rPr>
        <w:t>(</w:t>
      </w:r>
      <w:r w:rsidRPr="00CF6E3A">
        <w:rPr>
          <w:rFonts w:hint="cs"/>
          <w:rtl/>
        </w:rPr>
        <w:t>ואם אשתו כאחר דמי או לא -- עיין בטור אבן העזר </w:t>
      </w:r>
      <w:hyperlink r:id="rId96" w:tooltip="טור אבן העזר עח" w:history="1">
        <w:r w:rsidRPr="00CF6E3A">
          <w:rPr>
            <w:rStyle w:val="Hyperlink"/>
            <w:rFonts w:hint="cs"/>
            <w:color w:val="7030A0"/>
            <w:u w:val="none"/>
            <w:rtl/>
          </w:rPr>
          <w:t>סי' ע"ח</w:t>
        </w:r>
      </w:hyperlink>
      <w:r w:rsidRPr="00CF6E3A">
        <w:rPr>
          <w:rFonts w:hint="cs"/>
        </w:rPr>
        <w:t>)</w:t>
      </w:r>
      <w:r w:rsidRPr="00CF6E3A">
        <w:t>:</w:t>
      </w:r>
    </w:p>
    <w:p w14:paraId="6878FBF1" w14:textId="1058DD01" w:rsidR="002A3175" w:rsidRPr="002A3175" w:rsidRDefault="00E570EC" w:rsidP="002A3175">
      <w:pPr>
        <w:pStyle w:val="Style1"/>
      </w:pPr>
      <w:r>
        <w:rPr>
          <w:rFonts w:hint="cs"/>
          <w:rtl/>
        </w:rPr>
        <w:t>1)[</w:t>
      </w:r>
      <w:r>
        <w:rPr>
          <w:rtl/>
        </w:rPr>
        <w:t>שולחן ערוך אבן העזר הלכות כתובות סימן עח סעיף ב</w:t>
      </w:r>
      <w:r>
        <w:rPr>
          <w:rFonts w:hint="cs"/>
          <w:rtl/>
        </w:rPr>
        <w:t>]</w:t>
      </w:r>
      <w:r w:rsidR="002A3175">
        <w:rPr>
          <w:rFonts w:hint="cs"/>
          <w:rtl/>
        </w:rPr>
        <w:t xml:space="preserve"> </w:t>
      </w:r>
      <w:r w:rsidR="002A3175" w:rsidRPr="002A3175">
        <w:rPr>
          <w:rtl/>
        </w:rPr>
        <w:t>אין מחייבים את הבעל לפדות את אשתו יותר על דמיה, אלא כמו שהיא שוה כשאר השבויות</w:t>
      </w:r>
      <w:r w:rsidR="002A3175" w:rsidRPr="002A3175">
        <w:t>.</w:t>
      </w:r>
    </w:p>
    <w:p w14:paraId="04662AE4" w14:textId="0DE64D10" w:rsidR="002A3175" w:rsidRDefault="002A3175" w:rsidP="002A3175">
      <w:pPr>
        <w:pStyle w:val="Style1"/>
        <w:rPr>
          <w:rtl/>
        </w:rPr>
      </w:pPr>
      <w:r w:rsidRPr="002A3175">
        <w:rPr>
          <w:rFonts w:hint="cs"/>
          <w:rtl/>
        </w:rPr>
        <w:t>ויש אומרים דאשתו כגופו דמי, ויכול לפדות בכל אשר לו (טור והרא"ש בשם הרמ"ה הובא בבית יוסף)</w:t>
      </w:r>
    </w:p>
    <w:p w14:paraId="18B7876B" w14:textId="57F1C59E" w:rsidR="00F01A17" w:rsidRDefault="00F01A17" w:rsidP="00844E45">
      <w:pPr>
        <w:pStyle w:val="Style1"/>
        <w:rPr>
          <w:rtl/>
        </w:rPr>
      </w:pPr>
      <w:r>
        <w:rPr>
          <w:rFonts w:hint="cs"/>
          <w:rtl/>
        </w:rPr>
        <w:t>2)[</w:t>
      </w:r>
      <w:r>
        <w:rPr>
          <w:rtl/>
        </w:rPr>
        <w:t>שולחן ערוך אבן העזר הלכות כתובות סימן עח סעיף ג</w:t>
      </w:r>
      <w:r>
        <w:rPr>
          <w:rFonts w:hint="cs"/>
          <w:rtl/>
        </w:rPr>
        <w:t>]</w:t>
      </w:r>
      <w:r w:rsidR="00844E45">
        <w:rPr>
          <w:rFonts w:hint="cs"/>
          <w:rtl/>
        </w:rPr>
        <w:t xml:space="preserve"> </w:t>
      </w:r>
      <w:r w:rsidR="00844E45" w:rsidRPr="00844E45">
        <w:rPr>
          <w:rtl/>
        </w:rPr>
        <w:t>היו דמיה יותר על כדי כתובתה, ואמר: הריני מגרשה וזו כתובתה ותלך ותפדה את עצמה, אין שומעין לו, אלא כופין אותו ופודה אותה אפילו היו דמיה עד עשרה בכתובתה, ואפילו אין לו אלא כדי פדיונה. במה דברים אמורים, בפעם ראשונה; אבל אם פדאה ונשבית פעם שניה, ורצה לגרשה, מגרשה ונותן לה כתובתה והיא תפדה את עצמה</w:t>
      </w:r>
      <w:r w:rsidR="00844E45" w:rsidRPr="00844E45">
        <w:t>; </w:t>
      </w:r>
      <w:r w:rsidR="00844E45" w:rsidRPr="00844E45">
        <w:rPr>
          <w:rFonts w:hint="cs"/>
          <w:rtl/>
        </w:rPr>
        <w:t>אבל בלאו הכי אינו חייב לפדותה בפעם שניה (בית יוסף)</w:t>
      </w:r>
      <w:r w:rsidR="00844E45" w:rsidRPr="00844E45">
        <w:t>:</w:t>
      </w:r>
    </w:p>
    <w:p w14:paraId="71372233" w14:textId="42AC9828" w:rsidR="0069632C" w:rsidRDefault="0069632C" w:rsidP="0069632C">
      <w:pPr>
        <w:pStyle w:val="Style1"/>
        <w:rPr>
          <w:rtl/>
        </w:rPr>
      </w:pPr>
      <w:r>
        <w:rPr>
          <w:rFonts w:hint="cs"/>
          <w:rtl/>
        </w:rPr>
        <w:t>3)[</w:t>
      </w:r>
      <w:r>
        <w:rPr>
          <w:rtl/>
        </w:rPr>
        <w:t>רמב</w:t>
      </w:r>
      <w:r w:rsidR="00213DA1">
        <w:rPr>
          <w:rtl/>
        </w:rPr>
        <w:t>”ם \נשים\</w:t>
      </w:r>
      <w:r>
        <w:rPr>
          <w:rtl/>
        </w:rPr>
        <w:t xml:space="preserve"> הלכות אישות פרק יח הלכה ה</w:t>
      </w:r>
      <w:r>
        <w:rPr>
          <w:rFonts w:hint="cs"/>
          <w:rtl/>
        </w:rPr>
        <w:t xml:space="preserve">] </w:t>
      </w:r>
      <w:r>
        <w:rPr>
          <w:rtl/>
        </w:rPr>
        <w:t>אלמנה שחלתה אם צריכה לרפואה שאין לה קצבה הרי זו כמזונות ויורשין חייבין בה, ואם היא רפואה שיש לה קצבה הרי זו מתרפאה מכתובתה. נשבית אין היורשין חייבין לפדותה אפילו היתה יבמה ואפילו נשבית בחיי בעלה ומת והיא בשביה אין חייבין לפדותה מנכסיו אלא נפדית משל עצמה או תטול כתובתה ותפדה עצמה.</w:t>
      </w:r>
    </w:p>
    <w:p w14:paraId="7EA38DF3" w14:textId="313859D1" w:rsidR="00807A50" w:rsidRDefault="00807A50" w:rsidP="00C04235">
      <w:pPr>
        <w:pStyle w:val="Style1"/>
        <w:rPr>
          <w:rtl/>
        </w:rPr>
      </w:pPr>
      <w:r>
        <w:rPr>
          <w:rFonts w:hint="cs"/>
          <w:rtl/>
        </w:rPr>
        <w:t>3)[</w:t>
      </w:r>
      <w:r>
        <w:rPr>
          <w:rtl/>
        </w:rPr>
        <w:t>שולחן ערוך אבן העזר הלכות כתובות סימן עט סעיף א</w:t>
      </w:r>
      <w:r>
        <w:rPr>
          <w:rFonts w:hint="cs"/>
          <w:rtl/>
        </w:rPr>
        <w:t>]</w:t>
      </w:r>
      <w:r w:rsidR="00C04235">
        <w:rPr>
          <w:rFonts w:hint="cs"/>
          <w:rtl/>
        </w:rPr>
        <w:t xml:space="preserve"> </w:t>
      </w:r>
      <w:r w:rsidR="00C04235" w:rsidRPr="00C04235">
        <w:rPr>
          <w:rtl/>
        </w:rPr>
        <w:t>רפואתה כיצד? לקתה -- חייב לרפאותה; בין רפואה שיש לה קצבה בין רפואה שאין לה קצבה. אבל אלמנתו אינה מתרפאת מנכסיו אלא ברפואה שאין לה קצבה שהיא דומה למזונות</w:t>
      </w:r>
      <w:r w:rsidR="00C04235" w:rsidRPr="00C04235">
        <w:t>:</w:t>
      </w:r>
    </w:p>
    <w:p w14:paraId="59DA863C" w14:textId="6FC38F4E" w:rsidR="003D4DA6" w:rsidRDefault="003D4DA6" w:rsidP="003D4DA6">
      <w:pPr>
        <w:pStyle w:val="Style1"/>
        <w:rPr>
          <w:rtl/>
        </w:rPr>
      </w:pPr>
      <w:r>
        <w:rPr>
          <w:rFonts w:hint="cs"/>
          <w:rtl/>
        </w:rPr>
        <w:t>3)[</w:t>
      </w:r>
      <w:r>
        <w:rPr>
          <w:rtl/>
        </w:rPr>
        <w:t>שולחן ערוך אבן העזר הלכות כתובות סימן צד סעיף ז</w:t>
      </w:r>
      <w:r>
        <w:rPr>
          <w:rFonts w:hint="cs"/>
          <w:rtl/>
        </w:rPr>
        <w:t xml:space="preserve">] </w:t>
      </w:r>
      <w:r>
        <w:rPr>
          <w:rtl/>
        </w:rPr>
        <w:t>חייבים לפרוע בשבילה כסף גולגלתה ומס שעליה, כדרך שפרע בעלה בשבילה. אבל אין חייבין בפדיונה, ולא ברפואתה שיש לה קצבה, ולא בקבורתה.</w:t>
      </w:r>
    </w:p>
    <w:p w14:paraId="3C5D9A3F" w14:textId="62D7EDED" w:rsidR="008A2486" w:rsidRDefault="008A2486" w:rsidP="008A2486">
      <w:pPr>
        <w:pStyle w:val="Style1"/>
        <w:rPr>
          <w:rtl/>
        </w:rPr>
      </w:pPr>
      <w:r>
        <w:rPr>
          <w:rFonts w:hint="cs"/>
          <w:rtl/>
        </w:rPr>
        <w:t>4)[</w:t>
      </w:r>
      <w:r>
        <w:rPr>
          <w:rtl/>
        </w:rPr>
        <w:t>שולחן ערוך אבן העזר הלכות כתובות סימן עט סעיף ב</w:t>
      </w:r>
      <w:r>
        <w:rPr>
          <w:rFonts w:hint="cs"/>
          <w:rtl/>
        </w:rPr>
        <w:t xml:space="preserve">] </w:t>
      </w:r>
      <w:r>
        <w:rPr>
          <w:rtl/>
        </w:rPr>
        <w:t>רצו היורשין לקצוב עם הרופא, כדי שיהיה לה קצבה ויפטרו ממנה, הרשות בידם.</w:t>
      </w:r>
    </w:p>
    <w:p w14:paraId="10CF9416" w14:textId="6C87E99E" w:rsidR="00C4369D" w:rsidRDefault="00C4369D" w:rsidP="00C4369D">
      <w:pPr>
        <w:pStyle w:val="Style1"/>
        <w:rPr>
          <w:rtl/>
        </w:rPr>
      </w:pPr>
      <w:r>
        <w:rPr>
          <w:rFonts w:hint="cs"/>
          <w:rtl/>
        </w:rPr>
        <w:t>5)[</w:t>
      </w:r>
      <w:r>
        <w:rPr>
          <w:rtl/>
        </w:rPr>
        <w:t>רמב</w:t>
      </w:r>
      <w:r w:rsidR="00213DA1">
        <w:rPr>
          <w:rtl/>
        </w:rPr>
        <w:t>”ם \נשים\</w:t>
      </w:r>
      <w:r>
        <w:rPr>
          <w:rtl/>
        </w:rPr>
        <w:t xml:space="preserve"> הלכות אישות פרק יב הלכה א</w:t>
      </w:r>
      <w:r>
        <w:rPr>
          <w:rFonts w:hint="cs"/>
          <w:rtl/>
        </w:rPr>
        <w:t xml:space="preserve">] </w:t>
      </w:r>
      <w:r>
        <w:rPr>
          <w:rtl/>
        </w:rPr>
        <w:t>כשנושא אדם אשה בין בתולה בין בעולה בין גדולה בין קטנה אחת בת ישראל ואחת הגיורת או המשוחררת יתחייב לה בעשרה דברים ויזכה בארבעה דברים.</w:t>
      </w:r>
    </w:p>
    <w:p w14:paraId="27E06FCE" w14:textId="4D5B75A4" w:rsidR="00C26E7E" w:rsidRDefault="00C26E7E" w:rsidP="00C26E7E">
      <w:pPr>
        <w:pStyle w:val="Style1"/>
        <w:rPr>
          <w:rtl/>
        </w:rPr>
      </w:pPr>
      <w:r>
        <w:rPr>
          <w:rFonts w:hint="cs"/>
          <w:rtl/>
        </w:rPr>
        <w:t>5)[</w:t>
      </w:r>
      <w:r>
        <w:rPr>
          <w:rtl/>
        </w:rPr>
        <w:t>רמב</w:t>
      </w:r>
      <w:r w:rsidR="00213DA1">
        <w:rPr>
          <w:rtl/>
        </w:rPr>
        <w:t>”ם \נשים\</w:t>
      </w:r>
      <w:r>
        <w:rPr>
          <w:rtl/>
        </w:rPr>
        <w:t xml:space="preserve"> הלכות אישות פרק יב הלכה ב</w:t>
      </w:r>
      <w:r>
        <w:rPr>
          <w:rFonts w:hint="cs"/>
          <w:rtl/>
        </w:rPr>
        <w:t xml:space="preserve">] </w:t>
      </w:r>
      <w:r>
        <w:rPr>
          <w:rtl/>
        </w:rPr>
        <w:t>והעשרה שלשה מהן מן התורה ואלו הן שארה כסותה ועונתה, שארה אלו מזונותיה, כסותה כמשמעה, עונתה לבא עליה כדרך כל הארץ: והשבעה מדברי סופרים וכולן תנאי בית דין הם, האחד מהם עיקר כתובה, והשאר הם הנקראין תנאי כתובה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p>
    <w:p w14:paraId="2DB11EC6" w14:textId="06D0C141" w:rsidR="00842C04" w:rsidRDefault="00842C04" w:rsidP="00842C04">
      <w:pPr>
        <w:pStyle w:val="Style1"/>
        <w:rPr>
          <w:rtl/>
        </w:rPr>
      </w:pPr>
      <w:r>
        <w:rPr>
          <w:rFonts w:hint="cs"/>
          <w:rtl/>
        </w:rPr>
        <w:t>5)[</w:t>
      </w:r>
      <w:r>
        <w:rPr>
          <w:rtl/>
        </w:rPr>
        <w:t>שולחן ערוך אבן העזר הלכות כתובות סימן סט סעיף א</w:t>
      </w:r>
      <w:r>
        <w:rPr>
          <w:rFonts w:hint="cs"/>
          <w:rtl/>
        </w:rPr>
        <w:t xml:space="preserve">] </w:t>
      </w:r>
      <w:r>
        <w:rPr>
          <w:rtl/>
        </w:rPr>
        <w:t>כשנושא אדם אשה מתחייב לה בעשרה דברים, וזכה בה בד' דברים, אפילו לא נכתבו.</w:t>
      </w:r>
    </w:p>
    <w:p w14:paraId="27FE3346" w14:textId="5F5312E7" w:rsidR="00137940" w:rsidRDefault="00137940" w:rsidP="00137940">
      <w:pPr>
        <w:pStyle w:val="Style1"/>
        <w:rPr>
          <w:rtl/>
        </w:rPr>
      </w:pPr>
      <w:r>
        <w:rPr>
          <w:rFonts w:hint="cs"/>
          <w:rtl/>
        </w:rPr>
        <w:t>5)[</w:t>
      </w:r>
      <w:r>
        <w:rPr>
          <w:rtl/>
        </w:rPr>
        <w:t>שולחן ערוך אבן העזר הלכות כתובות סימן סט סעיף ב</w:t>
      </w:r>
      <w:r>
        <w:rPr>
          <w:rFonts w:hint="cs"/>
          <w:rtl/>
        </w:rPr>
        <w:t xml:space="preserve">] </w:t>
      </w:r>
      <w:r>
        <w:rPr>
          <w:rtl/>
        </w:rPr>
        <w:t>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w:t>
      </w:r>
    </w:p>
    <w:p w14:paraId="11090E59" w14:textId="13B7292D" w:rsidR="006059E8" w:rsidRDefault="006059E8" w:rsidP="006059E8">
      <w:pPr>
        <w:pStyle w:val="Style1"/>
        <w:rPr>
          <w:rtl/>
        </w:rPr>
      </w:pPr>
      <w:r>
        <w:rPr>
          <w:rFonts w:hint="cs"/>
          <w:rtl/>
        </w:rPr>
        <w:t>6)[</w:t>
      </w:r>
      <w:r>
        <w:rPr>
          <w:rtl/>
        </w:rPr>
        <w:t>רמב</w:t>
      </w:r>
      <w:r w:rsidR="00213DA1">
        <w:rPr>
          <w:rtl/>
        </w:rPr>
        <w:t>”ם \נשים\</w:t>
      </w:r>
      <w:r>
        <w:rPr>
          <w:rtl/>
        </w:rPr>
        <w:t xml:space="preserve"> הלכות אישות פרק יט הלכה י</w:t>
      </w:r>
      <w:r>
        <w:rPr>
          <w:rFonts w:hint="cs"/>
          <w:rtl/>
        </w:rPr>
        <w:t xml:space="preserve">] </w:t>
      </w:r>
      <w:r>
        <w:rPr>
          <w:rtl/>
        </w:rPr>
        <w:t>ומתנאי כתובה שתהיינה הבנות ניזונות מנכסי אביהן אחר מותו עד שיתארסו או עד שיבגורו, בגרה הבת אף על פי שלא נתארסה או נתארסה אף על פי שלא בגרה אין לה מזונות, ובת הניזונת מנכסי אביה לאחר מותו מעשה ידיה ומציאתה לעצמה לא לאחים.</w:t>
      </w:r>
    </w:p>
    <w:p w14:paraId="35B250B8" w14:textId="48E6763F" w:rsidR="002218F1" w:rsidRPr="002218F1" w:rsidRDefault="001640A7" w:rsidP="006D64C7">
      <w:pPr>
        <w:pStyle w:val="Style1"/>
      </w:pPr>
      <w:r>
        <w:rPr>
          <w:rFonts w:hint="cs"/>
          <w:rtl/>
        </w:rPr>
        <w:t>6)[</w:t>
      </w:r>
      <w:r>
        <w:rPr>
          <w:rtl/>
        </w:rPr>
        <w:t>שולחן ערוך אבן העזר הלכות כתובות סימן קיב סעיף א</w:t>
      </w:r>
      <w:r>
        <w:rPr>
          <w:rFonts w:hint="cs"/>
          <w:rtl/>
        </w:rPr>
        <w:t>]</w:t>
      </w:r>
      <w:r w:rsidR="006D64C7">
        <w:rPr>
          <w:rFonts w:hint="cs"/>
          <w:rtl/>
        </w:rPr>
        <w:t xml:space="preserve"> </w:t>
      </w:r>
      <w:r w:rsidR="002218F1" w:rsidRPr="002218F1">
        <w:rPr>
          <w:rtl/>
        </w:rPr>
        <w:t>מתנאי כתובה שתהיינה הבנות נזונות מנכסי אביהם אחר מותו, עד שיתארסו או עד שיבגרו</w:t>
      </w:r>
      <w:r w:rsidR="002218F1" w:rsidRPr="002218F1">
        <w:t>.</w:t>
      </w:r>
    </w:p>
    <w:p w14:paraId="14CF6BFA" w14:textId="4664CD31" w:rsidR="002218F1" w:rsidRDefault="002218F1" w:rsidP="002218F1">
      <w:pPr>
        <w:pStyle w:val="Style1"/>
        <w:rPr>
          <w:rtl/>
        </w:rPr>
      </w:pPr>
      <w:r w:rsidRPr="002218F1">
        <w:rPr>
          <w:rFonts w:hint="cs"/>
          <w:rtl/>
        </w:rPr>
        <w:t>הגה: אפילו לא נכתב בכתובה, או אפילו אין לה כתובה ובמקום שאין כותבין כתובה (טור). ויש אומרים דאפילו במקום שכותבין כתובה ואין להם שטר כתובה, ואפילו מחלה אמם כתובתה בפירוש, יש לבנות מזונות (הראב"ד פרק י"ט דאישות). וכן אם נתגרשה האם, אפילו הכי חייב במזונות הבנות</w:t>
      </w:r>
      <w:r w:rsidRPr="002218F1">
        <w:t>:</w:t>
      </w:r>
    </w:p>
    <w:p w14:paraId="2420A326" w14:textId="1E505740" w:rsidR="004E6E7F" w:rsidRDefault="004E6E7F" w:rsidP="004E6E7F">
      <w:pPr>
        <w:pStyle w:val="Style1"/>
        <w:rPr>
          <w:rtl/>
        </w:rPr>
      </w:pPr>
      <w:r>
        <w:rPr>
          <w:rFonts w:hint="cs"/>
          <w:rtl/>
        </w:rPr>
        <w:t>7)[</w:t>
      </w:r>
      <w:r>
        <w:rPr>
          <w:rtl/>
        </w:rPr>
        <w:t>רמב</w:t>
      </w:r>
      <w:r w:rsidR="00213DA1">
        <w:rPr>
          <w:rtl/>
        </w:rPr>
        <w:t>”ם \נשים\</w:t>
      </w:r>
      <w:r>
        <w:rPr>
          <w:rtl/>
        </w:rPr>
        <w:t xml:space="preserve"> הלכות אישות פרק כ הלכה א</w:t>
      </w:r>
      <w:r>
        <w:rPr>
          <w:rFonts w:hint="cs"/>
          <w:rtl/>
        </w:rPr>
        <w:t xml:space="preserve">] </w:t>
      </w:r>
      <w:r>
        <w:rPr>
          <w:rtl/>
        </w:rPr>
        <w:t>צוו חכמים שיתן אדם מנכסיו מעט לבתו כדי שתנשא בו, וזה הוא הנקרא פרנסה, המשיא את בתו סתם לא יפחות לה מכסות שפוסקין לאשת עני שבישראל כמו שביארנו, במה דברים אמורים בשהיה האב עני אבל אם היה עשיר הרי זה ראוי ליתן לה כפי עשרו.</w:t>
      </w:r>
    </w:p>
    <w:p w14:paraId="6B6D24A8" w14:textId="63D53730" w:rsidR="003B3D0F" w:rsidRPr="003B3D0F" w:rsidRDefault="00171F00" w:rsidP="003B3D0F">
      <w:pPr>
        <w:pStyle w:val="Style1"/>
      </w:pPr>
      <w:r>
        <w:rPr>
          <w:rFonts w:hint="cs"/>
          <w:rtl/>
        </w:rPr>
        <w:t>7)[</w:t>
      </w:r>
      <w:r>
        <w:rPr>
          <w:rtl/>
        </w:rPr>
        <w:t>שולחן ערוך אבן העזר הלכות קידושין סימן נח סעיף א</w:t>
      </w:r>
      <w:r>
        <w:rPr>
          <w:rFonts w:hint="cs"/>
          <w:rtl/>
        </w:rPr>
        <w:t>]</w:t>
      </w:r>
      <w:r w:rsidR="003B3D0F">
        <w:rPr>
          <w:rFonts w:hint="cs"/>
          <w:rtl/>
        </w:rPr>
        <w:t xml:space="preserve"> </w:t>
      </w:r>
      <w:r w:rsidR="003B3D0F" w:rsidRPr="003B3D0F">
        <w:rPr>
          <w:rtl/>
        </w:rPr>
        <w:t>צוו חכמים שיתן אדם מנכסיו מעט לבתו, וזהו הנקרא "פרנסה</w:t>
      </w:r>
      <w:r w:rsidR="003B3D0F" w:rsidRPr="003B3D0F">
        <w:t>".</w:t>
      </w:r>
    </w:p>
    <w:p w14:paraId="552433AC" w14:textId="0DD77A03" w:rsidR="003B3D0F" w:rsidRDefault="003B3D0F" w:rsidP="003B3D0F">
      <w:pPr>
        <w:pStyle w:val="Style1"/>
        <w:rPr>
          <w:rtl/>
        </w:rPr>
      </w:pPr>
      <w:r w:rsidRPr="003B3D0F">
        <w:rPr>
          <w:rtl/>
        </w:rPr>
        <w:t>המשיא את בתו סתם, לא יפחת לה מכסות שפוסקין לאשת עני שבישראל. במה דברים אמורים, שהיה האב עני; אבל אם היה עשיר, הרי זה ראוי ליתן לה כפי עשרו</w:t>
      </w:r>
      <w:r w:rsidRPr="003B3D0F">
        <w:t>:</w:t>
      </w:r>
    </w:p>
    <w:p w14:paraId="1E7078B8" w14:textId="49DD079A" w:rsidR="007E3E2A" w:rsidRDefault="007E3E2A" w:rsidP="007E3E2A">
      <w:pPr>
        <w:pStyle w:val="Style1"/>
      </w:pPr>
      <w:r>
        <w:rPr>
          <w:rFonts w:hint="cs"/>
          <w:rtl/>
        </w:rPr>
        <w:t>8)[</w:t>
      </w:r>
      <w:r>
        <w:rPr>
          <w:rtl/>
        </w:rPr>
        <w:t>רמב</w:t>
      </w:r>
      <w:r w:rsidR="00213DA1">
        <w:rPr>
          <w:rtl/>
        </w:rPr>
        <w:t>”ם \נשים\</w:t>
      </w:r>
      <w:r>
        <w:rPr>
          <w:rtl/>
        </w:rPr>
        <w:t xml:space="preserve"> הלכות אישות פרק כ הלכה ג</w:t>
      </w:r>
      <w:r>
        <w:rPr>
          <w:rFonts w:hint="cs"/>
          <w:rtl/>
        </w:rPr>
        <w:t xml:space="preserve">] </w:t>
      </w:r>
      <w:r>
        <w:rPr>
          <w:rtl/>
        </w:rPr>
        <w:t>האב שמת והניח בת אומדין דעתו כמה היה בלבו ליתן לה לפרנסתה ונותנין לה, ומנין יודעין אומדן דעתו, מרעיו ומיודעיו וממשאו ומתנו וכבודו, וכן אם השיא בת בחייו אומדין בה, ואם לא ידעו לו בית דין אומדן דעת נותנין לה מנכסיו עישור לפרנסתה.</w:t>
      </w:r>
    </w:p>
    <w:p w14:paraId="4ADF1453" w14:textId="18759ABC" w:rsidR="000A49AE" w:rsidRPr="00D507BB" w:rsidRDefault="000A49AE" w:rsidP="000A49AE">
      <w:pPr>
        <w:pStyle w:val="Style1"/>
      </w:pPr>
      <w:r>
        <w:rPr>
          <w:rStyle w:val="Style1Char"/>
        </w:rPr>
        <w:t>8</w:t>
      </w:r>
      <w:r>
        <w:rPr>
          <w:rStyle w:val="Style1Char"/>
          <w:rFonts w:hint="cs"/>
          <w:rtl/>
        </w:rPr>
        <w:t>)[</w:t>
      </w:r>
      <w:r w:rsidRPr="00DC3DF7">
        <w:rPr>
          <w:rStyle w:val="Style1Char"/>
          <w:rtl/>
        </w:rPr>
        <w:t>שולחן ערוך אבן העזר הלכות כתובות סימן קיג סעיף א</w:t>
      </w:r>
      <w:r>
        <w:rPr>
          <w:rStyle w:val="Style1Char"/>
          <w:rFonts w:hint="cs"/>
          <w:rtl/>
        </w:rPr>
        <w:t xml:space="preserve">] </w:t>
      </w:r>
      <w:r w:rsidRPr="00D507BB">
        <w:rPr>
          <w:rtl/>
        </w:rPr>
        <w:t>מי שמת והניח בת, אומדים דעתו כמה היה בלבו ליתן לה לפרנסת נדוניתא ונותנים לה. ומנין יהיו יודעים אומדן דעתו? מריעיו ומיודעיו ומשאו ומתנו וכבודו. וכן אם השיא בת בחייו אומדים בה</w:t>
      </w:r>
      <w:r w:rsidRPr="00D507BB">
        <w:t>.</w:t>
      </w:r>
    </w:p>
    <w:p w14:paraId="6B1B8081" w14:textId="77777777" w:rsidR="000A49AE" w:rsidRPr="00D507BB" w:rsidRDefault="000A49AE" w:rsidP="000A49AE">
      <w:pPr>
        <w:pStyle w:val="Style1"/>
      </w:pPr>
      <w:r w:rsidRPr="00D507BB">
        <w:rPr>
          <w:rFonts w:hint="cs"/>
          <w:rtl/>
        </w:rPr>
        <w:t>הגה: ואם היה עשיר והעני, או ותרן ונשתנה דעתו, הולכין אחר דעתו האחרונה (טור)</w:t>
      </w:r>
      <w:r w:rsidRPr="00D507BB">
        <w:t>.</w:t>
      </w:r>
    </w:p>
    <w:p w14:paraId="191DB23A" w14:textId="77777777" w:rsidR="000A49AE" w:rsidRPr="00D507BB" w:rsidRDefault="000A49AE" w:rsidP="000A49AE">
      <w:pPr>
        <w:pStyle w:val="Style1"/>
      </w:pPr>
      <w:r w:rsidRPr="00D507BB">
        <w:rPr>
          <w:rtl/>
        </w:rPr>
        <w:t>ואם לא ידעו בית דין אומדן דעתו, נותנים לה מנכסיו עישור לפרנסת נדוניתה</w:t>
      </w:r>
      <w:r w:rsidRPr="00D507BB">
        <w:t>.</w:t>
      </w:r>
    </w:p>
    <w:p w14:paraId="234B1B23" w14:textId="4224ADFB" w:rsidR="000A49AE" w:rsidRDefault="000A49AE" w:rsidP="000A49AE">
      <w:pPr>
        <w:pStyle w:val="Style1"/>
      </w:pPr>
      <w:r w:rsidRPr="00D507BB">
        <w:rPr>
          <w:rFonts w:hint="cs"/>
          <w:rtl/>
        </w:rPr>
        <w:lastRenderedPageBreak/>
        <w:t>הגה: וכשם שנותנין לבת פרנסה לנדוניא מנכסי האב, כך נותנים לה פרנסה מנכסי האם (נמוקי יוסף פרק יש נוחלין). ויש חולקין (מהרי"ל סימן ע"ה). יש אומרים דאף האב בחיים אין לו [להוסיף] לבתו יותר מעישור נכסים (הר"ן פרק מציאת האשה), ואין נוהגין כן</w:t>
      </w:r>
      <w:r w:rsidRPr="00D507BB">
        <w:t>:</w:t>
      </w:r>
    </w:p>
    <w:p w14:paraId="14335A84" w14:textId="314C9201" w:rsidR="00DA4F5F" w:rsidRDefault="00DA4F5F" w:rsidP="00DA4F5F">
      <w:pPr>
        <w:pStyle w:val="Style1"/>
        <w:rPr>
          <w:rtl/>
        </w:rPr>
      </w:pPr>
      <w:r>
        <w:rPr>
          <w:rFonts w:hint="cs"/>
          <w:rtl/>
        </w:rPr>
        <w:t>9)[</w:t>
      </w:r>
      <w:r>
        <w:rPr>
          <w:rtl/>
        </w:rPr>
        <w:t>רמב</w:t>
      </w:r>
      <w:r w:rsidR="00213DA1">
        <w:rPr>
          <w:rtl/>
        </w:rPr>
        <w:t>”ם \נשים\</w:t>
      </w:r>
      <w:r>
        <w:rPr>
          <w:rtl/>
        </w:rPr>
        <w:t xml:space="preserve"> הלכות אישות פרק יט הלכה ג</w:t>
      </w:r>
      <w:r>
        <w:rPr>
          <w:rFonts w:hint="cs"/>
          <w:rtl/>
        </w:rPr>
        <w:t xml:space="preserve">] </w:t>
      </w:r>
      <w:r>
        <w:rPr>
          <w:rtl/>
        </w:rPr>
        <w:t>במה דברים אמורים בשהניח יתר על כדי שתי הכתובות דינר אחד או יתר כדי שיחלקו השאר בשוה, אבל אם לא הניח יתר דינר חולקים הכל בשוה, שאם יירשו אלו כתובת אמן ואלו כתובת אמן ולא ישאר דינר אחד לחלוק אותו בין היורשים נמצא תנאי זה מבטל חלוק ירושה בין הבנים בשוה שהוא מן התורה.</w:t>
      </w:r>
    </w:p>
    <w:p w14:paraId="17392C7C" w14:textId="4409E93E" w:rsidR="00472B87" w:rsidRDefault="00472B87" w:rsidP="00472B87">
      <w:pPr>
        <w:pStyle w:val="Style1"/>
      </w:pPr>
      <w:r>
        <w:rPr>
          <w:rFonts w:hint="cs"/>
          <w:rtl/>
        </w:rPr>
        <w:t>9)[</w:t>
      </w:r>
      <w:r>
        <w:rPr>
          <w:rtl/>
        </w:rPr>
        <w:t>שולחן ערוך אבן העזר הלכות כתובות סימן קיא סעיף ב</w:t>
      </w:r>
      <w:r>
        <w:rPr>
          <w:rFonts w:hint="cs"/>
          <w:rtl/>
        </w:rPr>
        <w:t>]</w:t>
      </w:r>
    </w:p>
    <w:p w14:paraId="18C001F5" w14:textId="77777777" w:rsidR="003B3D0F" w:rsidRPr="000A49AE" w:rsidRDefault="003B3D0F" w:rsidP="003B3D0F">
      <w:pPr>
        <w:pStyle w:val="Style1"/>
      </w:pPr>
    </w:p>
    <w:p w14:paraId="10818EFD" w14:textId="19CE123A" w:rsidR="00171F00" w:rsidRPr="002218F1" w:rsidRDefault="00171F00" w:rsidP="00171F00">
      <w:pPr>
        <w:pStyle w:val="Style1"/>
      </w:pPr>
    </w:p>
    <w:p w14:paraId="31CB5DD6" w14:textId="77777777" w:rsidR="002218F1" w:rsidRPr="002218F1" w:rsidRDefault="002218F1" w:rsidP="002218F1">
      <w:pPr>
        <w:pStyle w:val="Style1"/>
      </w:pPr>
    </w:p>
    <w:p w14:paraId="119293A3" w14:textId="77777777" w:rsidR="00842C04" w:rsidRDefault="00842C04" w:rsidP="00842C04">
      <w:pPr>
        <w:pStyle w:val="Style1"/>
        <w:rPr>
          <w:rtl/>
        </w:rPr>
      </w:pPr>
    </w:p>
    <w:p w14:paraId="03DE6D6B" w14:textId="2FD35424" w:rsidR="00807A50" w:rsidRPr="00C04235" w:rsidRDefault="00807A50" w:rsidP="00C04235">
      <w:pPr>
        <w:pStyle w:val="Style1"/>
      </w:pPr>
    </w:p>
    <w:p w14:paraId="57270699" w14:textId="57F18479" w:rsidR="00F01A17" w:rsidRPr="00844E45" w:rsidRDefault="00F01A17" w:rsidP="00844E45">
      <w:pPr>
        <w:pStyle w:val="Style1"/>
      </w:pPr>
    </w:p>
    <w:p w14:paraId="6ACCFDA6" w14:textId="77777777" w:rsidR="002A3175" w:rsidRPr="002A3175" w:rsidRDefault="002A3175" w:rsidP="002A3175">
      <w:pPr>
        <w:pStyle w:val="Style1"/>
      </w:pPr>
    </w:p>
    <w:p w14:paraId="6BF60DB0" w14:textId="54F1E15A" w:rsidR="00E570EC" w:rsidRPr="002A3175" w:rsidRDefault="00E570EC" w:rsidP="002A3175">
      <w:pPr>
        <w:pStyle w:val="Style1"/>
      </w:pPr>
    </w:p>
    <w:p w14:paraId="535166E8" w14:textId="48CF32EE" w:rsidR="00C15EAB" w:rsidRPr="00CF6E3A" w:rsidRDefault="00C15EAB" w:rsidP="00CF6E3A">
      <w:pPr>
        <w:pStyle w:val="Style1"/>
        <w:rPr>
          <w:rStyle w:val="Style1Char"/>
        </w:rPr>
      </w:pPr>
    </w:p>
    <w:p w14:paraId="3E34B9FF" w14:textId="67ECC2DD" w:rsidR="000357F0" w:rsidRPr="00F165FC" w:rsidRDefault="000357F0" w:rsidP="00C15EAB">
      <w:pPr>
        <w:pStyle w:val="Style1"/>
        <w:rPr>
          <w:rStyle w:val="Style1Char"/>
          <w:color w:val="00B050"/>
        </w:rPr>
      </w:pPr>
    </w:p>
    <w:p w14:paraId="07D0536B" w14:textId="77777777" w:rsidR="000357F0" w:rsidRDefault="000357F0" w:rsidP="000357F0">
      <w:pPr>
        <w:rPr>
          <w:rStyle w:val="Style1Char"/>
          <w:color w:val="00B050"/>
          <w:rtl/>
        </w:rPr>
      </w:pPr>
      <w:r>
        <w:rPr>
          <w:rStyle w:val="Style1Char"/>
          <w:color w:val="00B050"/>
          <w:rtl/>
        </w:rPr>
        <w:br w:type="page"/>
      </w:r>
    </w:p>
    <w:p w14:paraId="5E1CD2F0" w14:textId="4A5E20A1" w:rsidR="000357F0" w:rsidRPr="00C81021" w:rsidRDefault="000357F0" w:rsidP="000357F0">
      <w:pPr>
        <w:bidi/>
        <w:rPr>
          <w:rStyle w:val="Style1Char"/>
          <w:color w:val="4472C4" w:themeColor="accent1"/>
        </w:rPr>
      </w:pPr>
      <w:r w:rsidRPr="00DC0DB4">
        <w:rPr>
          <w:rStyle w:val="Style1Char"/>
          <w:color w:val="00B050"/>
          <w:sz w:val="22"/>
          <w:szCs w:val="22"/>
          <w:highlight w:val="yellow"/>
          <w:rtl/>
        </w:rPr>
        <w:lastRenderedPageBreak/>
        <w:t>[דף נג עמוד א]</w:t>
      </w:r>
      <w:r w:rsidRPr="00DC0DB4">
        <w:rPr>
          <w:rStyle w:val="Style1Char"/>
          <w:color w:val="00B050"/>
          <w:sz w:val="22"/>
          <w:szCs w:val="22"/>
          <w:rtl/>
        </w:rPr>
        <w:t xml:space="preserve"> </w:t>
      </w:r>
      <w:r w:rsidRPr="002F2700">
        <w:rPr>
          <w:rStyle w:val="Style1Char"/>
          <w:color w:val="00B050"/>
          <w:rtl/>
        </w:rPr>
        <w:t xml:space="preserve">חזייה דלא הוה ניחא ליה, אמר ליה: מאי דעתיך? משום דאמר ליה שמואל לרב יהודה: שיננא, </w:t>
      </w:r>
      <w:r w:rsidR="000261F1">
        <w:rPr>
          <w:rStyle w:val="Style1Char"/>
          <w:rFonts w:hint="cs"/>
          <w:rtl/>
        </w:rPr>
        <w:t>(1)</w:t>
      </w:r>
      <w:r w:rsidRPr="002F2700">
        <w:rPr>
          <w:rStyle w:val="Style1Char"/>
          <w:color w:val="00B050"/>
          <w:rtl/>
        </w:rPr>
        <w:t xml:space="preserve">לא תיהוי בעבורי אחסנתא אפילו מברא בישא לברא טבא, דלא ידיעא מאי זרעא נפיק מיניה, וכל שכן מברא לברתא, האי נמי תקנתא דרבנן היא, דאמר רבי יוחנן משום ר' שמעון בן יוחי! אמר ליה: </w:t>
      </w:r>
      <w:r w:rsidR="0003495D">
        <w:rPr>
          <w:rStyle w:val="Style1Char"/>
          <w:rFonts w:hint="cs"/>
          <w:rtl/>
        </w:rPr>
        <w:t>(2)</w:t>
      </w:r>
      <w:r w:rsidRPr="002F2700">
        <w:rPr>
          <w:rStyle w:val="Style1Char"/>
          <w:color w:val="00B050"/>
          <w:rtl/>
        </w:rPr>
        <w:t xml:space="preserve">ה"מ מדעתיה, לעשוייה נמי? א"ל: אטו מי קאמינא לך דעול ועשייה? עול ולא תעשייה קאמינא! אמר ליה: מעלאי דידי היינו עשייה. אכפייה ועול, אישתיק ויתיב. סבר ההוא מירתח רתח, כתביה לכל מאי דהוה ליה. לסוף אמר ליה: השתא נמי לא מישתעי מר? חיי דמר, לא שביקי מידי לנפשאי! אמר ליה: אי מינאי דידי, אפי' האי נמי דכתבת לא ניחא לי. א"ל: השתא נמי אהדר בי! א"ל: שוייה נפשך הדרנא לא קאמינא. בעא מיניה רב יימר סבא מרב נחמן: מכרה כתובתה לבעלה, יש לה כתובת בנין דכרין או אין לה כתובת בנין דכרין? א"ל רבא: ותבעי לך מוחלת! אמר ליה: השתא מוכרת קמיבעיא לי, דאע"ג דאיכא למימר זוזי אנסוה, דאמינא כמאן דקא מחו לה מאה עוכלי בעוכלא מוחלת מיבעיא? </w:t>
      </w:r>
      <w:r w:rsidRPr="00F43D36">
        <w:rPr>
          <w:rStyle w:val="Style1Char"/>
          <w:color w:val="auto"/>
          <w:sz w:val="22"/>
          <w:szCs w:val="22"/>
          <w:rtl/>
        </w:rPr>
        <w:t xml:space="preserve">אמר רבא: פשיטא לי, </w:t>
      </w:r>
      <w:r w:rsidR="00610808">
        <w:rPr>
          <w:rStyle w:val="Style1Char"/>
          <w:rFonts w:hint="cs"/>
          <w:rtl/>
        </w:rPr>
        <w:t>(3)</w:t>
      </w:r>
      <w:r w:rsidRPr="00F43D36">
        <w:rPr>
          <w:rStyle w:val="Style1Char"/>
          <w:color w:val="auto"/>
          <w:sz w:val="22"/>
          <w:szCs w:val="22"/>
          <w:rtl/>
        </w:rPr>
        <w:t xml:space="preserve">מוכרת כתובתה </w:t>
      </w:r>
      <w:r w:rsidRPr="00F43D36">
        <w:rPr>
          <w:rStyle w:val="Style1Char"/>
          <w:color w:val="806000" w:themeColor="accent4" w:themeShade="80"/>
          <w:sz w:val="22"/>
          <w:szCs w:val="22"/>
          <w:rtl/>
        </w:rPr>
        <w:t xml:space="preserve">בין </w:t>
      </w:r>
      <w:r w:rsidRPr="00F43D36">
        <w:rPr>
          <w:rStyle w:val="Style1Char"/>
          <w:color w:val="auto"/>
          <w:sz w:val="22"/>
          <w:szCs w:val="22"/>
          <w:rtl/>
        </w:rPr>
        <w:t xml:space="preserve">לאחרים </w:t>
      </w:r>
      <w:r w:rsidRPr="00F43D36">
        <w:rPr>
          <w:rStyle w:val="Style1Char"/>
          <w:color w:val="806000" w:themeColor="accent4" w:themeShade="80"/>
          <w:sz w:val="22"/>
          <w:szCs w:val="22"/>
          <w:rtl/>
        </w:rPr>
        <w:t xml:space="preserve">בין לבעלה </w:t>
      </w:r>
      <w:r w:rsidRPr="00EA7C44">
        <w:rPr>
          <w:rStyle w:val="Style1Char"/>
          <w:sz w:val="22"/>
          <w:szCs w:val="22"/>
          <w:rtl/>
        </w:rPr>
        <w:t xml:space="preserve">- </w:t>
      </w:r>
      <w:r w:rsidRPr="00F43D36">
        <w:rPr>
          <w:rStyle w:val="Style1Char"/>
          <w:color w:val="auto"/>
          <w:sz w:val="22"/>
          <w:szCs w:val="22"/>
          <w:rtl/>
        </w:rPr>
        <w:t xml:space="preserve">יש לה כתובת בנין דכרין, מאי טעמא? זוזי אנסוה; </w:t>
      </w:r>
      <w:r w:rsidR="00D161BF">
        <w:rPr>
          <w:rStyle w:val="Style1Char"/>
          <w:rFonts w:hint="cs"/>
          <w:rtl/>
        </w:rPr>
        <w:t>(3)</w:t>
      </w:r>
      <w:r w:rsidRPr="00F43D36">
        <w:rPr>
          <w:rStyle w:val="Style1Char"/>
          <w:color w:val="auto"/>
          <w:sz w:val="22"/>
          <w:szCs w:val="22"/>
          <w:rtl/>
        </w:rPr>
        <w:t>מוחלת כתובתה לבעלה - אין לה כתובת בנין דכרין, מאי טעמא? אחולי אחילתא</w:t>
      </w:r>
      <w:r w:rsidRPr="000E30C1">
        <w:rPr>
          <w:rStyle w:val="Style1Char"/>
          <w:color w:val="4472C4" w:themeColor="accent1"/>
          <w:rtl/>
        </w:rPr>
        <w:t xml:space="preserve"> </w:t>
      </w:r>
      <w:r w:rsidRPr="00C81021">
        <w:rPr>
          <w:rStyle w:val="Style1Char"/>
          <w:color w:val="4472C4" w:themeColor="accent1"/>
          <w:rtl/>
        </w:rPr>
        <w:t>ומוחלת כתובתה אף על גב דקי"ל דאסור לשהות עמה בלא כתובה מ"מ מחילתה מחילה ואי מיית לאלתר או שהה עמה באיסור אין לה כתובת בנין דיכרין או אם כתב לה מאתים יורשיה נוטלין מאתים ולא כתובה הראשונה</w:t>
      </w:r>
      <w:r w:rsidRPr="00EA7C44">
        <w:rPr>
          <w:rStyle w:val="Style1Char"/>
          <w:sz w:val="22"/>
          <w:szCs w:val="22"/>
          <w:rtl/>
        </w:rPr>
        <w:t xml:space="preserve">. </w:t>
      </w:r>
      <w:r w:rsidRPr="002F2700">
        <w:rPr>
          <w:rStyle w:val="Style1Char"/>
          <w:color w:val="00B050"/>
          <w:rtl/>
        </w:rPr>
        <w:t xml:space="preserve">בעי רבא: מוכרת כתובתה לבעלה, כמוכרת לאחרים דמי או כמוחלת לבעלה דמי? בתר דבעיא הדר פשטא: </w:t>
      </w:r>
      <w:r w:rsidR="00015E73">
        <w:rPr>
          <w:rStyle w:val="Style1Char"/>
          <w:rFonts w:hint="cs"/>
          <w:rtl/>
        </w:rPr>
        <w:t>(3)</w:t>
      </w:r>
      <w:r w:rsidRPr="002F2700">
        <w:rPr>
          <w:rStyle w:val="Style1Char"/>
          <w:color w:val="00B050"/>
          <w:rtl/>
        </w:rPr>
        <w:t xml:space="preserve">מוכרת כתובה לבעלה - כמוכרת לאחרים דמי. מתיב רב אידי בר אבין: </w:t>
      </w:r>
      <w:r w:rsidR="008F42FE">
        <w:rPr>
          <w:rStyle w:val="Style1Char"/>
          <w:rFonts w:hint="cs"/>
          <w:rtl/>
        </w:rPr>
        <w:t>(4)</w:t>
      </w:r>
      <w:r w:rsidRPr="002F2700">
        <w:rPr>
          <w:rStyle w:val="Style1Char"/>
          <w:color w:val="00B050"/>
          <w:rtl/>
        </w:rPr>
        <w:t xml:space="preserve">מתה, אין יורשין של זה ואין יורשין של זה יורשין כתובתה; והוינן בה, כתובתה מאי עבידתה? ואמר רב פפא: </w:t>
      </w:r>
      <w:r w:rsidR="00C835CB">
        <w:rPr>
          <w:rStyle w:val="Style1Char"/>
          <w:rFonts w:hint="cs"/>
          <w:rtl/>
        </w:rPr>
        <w:t>(</w:t>
      </w:r>
      <w:r w:rsidR="008670DF">
        <w:rPr>
          <w:rStyle w:val="Style1Char"/>
          <w:rFonts w:hint="cs"/>
          <w:rtl/>
        </w:rPr>
        <w:t>4</w:t>
      </w:r>
      <w:r w:rsidR="00C835CB">
        <w:rPr>
          <w:rStyle w:val="Style1Char"/>
          <w:rFonts w:hint="cs"/>
          <w:rtl/>
        </w:rPr>
        <w:t>)</w:t>
      </w:r>
      <w:r w:rsidRPr="002F2700">
        <w:rPr>
          <w:rStyle w:val="Style1Char"/>
          <w:color w:val="00B050"/>
          <w:rtl/>
        </w:rPr>
        <w:t>כתובת בנין דכרין; ואמאי? הכא נמי לימא: יצר אנסה! התם קנסא הוא דקנסוה רבנן</w:t>
      </w:r>
      <w:r w:rsidRPr="00E722CE">
        <w:rPr>
          <w:rStyle w:val="Style1Char"/>
          <w:sz w:val="22"/>
          <w:szCs w:val="22"/>
          <w:rtl/>
        </w:rPr>
        <w:t xml:space="preserve">. </w:t>
      </w:r>
      <w:r w:rsidRPr="000E30C1">
        <w:rPr>
          <w:rStyle w:val="Style1Char"/>
          <w:color w:val="auto"/>
          <w:sz w:val="22"/>
          <w:szCs w:val="22"/>
          <w:rtl/>
        </w:rPr>
        <w:t xml:space="preserve">יתיב רבין בר חנינא קמיה דרב חסדא, ויתיב וקאמר משמיה דרבי אלעזר: </w:t>
      </w:r>
      <w:r w:rsidR="00B13271">
        <w:rPr>
          <w:rStyle w:val="Style1Char"/>
          <w:rFonts w:hint="cs"/>
          <w:rtl/>
        </w:rPr>
        <w:t>(3.1, 5)</w:t>
      </w:r>
      <w:r w:rsidRPr="000E30C1">
        <w:rPr>
          <w:rStyle w:val="Style1Char"/>
          <w:color w:val="auto"/>
          <w:sz w:val="22"/>
          <w:szCs w:val="22"/>
          <w:rtl/>
        </w:rPr>
        <w:t>מוחלת כתובתה לבעלה - אין לה מזונות. אמר ליה: אי לאו דקאמרת לי משמיה דגברא רבא, הוה אמינא לך: משיב רעה תחת טובה לא תמוש רעה מביתו</w:t>
      </w:r>
      <w:r w:rsidRPr="000E30C1">
        <w:rPr>
          <w:rStyle w:val="Style1Char"/>
          <w:color w:val="4472C4" w:themeColor="accent1"/>
          <w:rtl/>
        </w:rPr>
        <w:t xml:space="preserve"> </w:t>
      </w:r>
      <w:r w:rsidRPr="00C81021">
        <w:rPr>
          <w:rStyle w:val="Style1Char"/>
          <w:color w:val="4472C4" w:themeColor="accent1"/>
          <w:rtl/>
        </w:rPr>
        <w:t>ראיתי מפרשים אין לה מזונות אפילו מן הבעל והא ליתא כלל דמזונות אשתו אינם כתנאי כתובה אלא למ"ד דאורייתא ולמ"ד דרבנן תיקנו לה מעשה ידיה תחת מזונות ואם נוטל מעשה ידיה צריך לזונה אבל מזונותיה מן היורשין הוי כתנאי כתובה</w:t>
      </w:r>
      <w:r w:rsidRPr="00C81021">
        <w:rPr>
          <w:rStyle w:val="Style1Char"/>
          <w:color w:val="4472C4" w:themeColor="accent1"/>
        </w:rPr>
        <w:t xml:space="preserve">: </w:t>
      </w:r>
    </w:p>
    <w:p w14:paraId="12D51B54" w14:textId="174D06B6" w:rsidR="000357F0" w:rsidRDefault="000357F0" w:rsidP="000357F0">
      <w:pPr>
        <w:bidi/>
        <w:rPr>
          <w:rStyle w:val="Style1Char"/>
          <w:color w:val="00B050"/>
          <w:rtl/>
        </w:rPr>
      </w:pPr>
      <w:r w:rsidRPr="002F2700">
        <w:rPr>
          <w:rStyle w:val="Style1Char"/>
          <w:color w:val="00B050"/>
          <w:rtl/>
        </w:rPr>
        <w:t xml:space="preserve">. יתיב ר"נ ועולא ואבימי בר רב פפי, ויתיב רב חייא בר אמי גבייהו, אתא ההוא גברא דשכיבא ארוסתו, אמרי ליה: זיל קבר או הב לה כתובתה; אמר להו רב חייא, תנינא: </w:t>
      </w:r>
      <w:r w:rsidR="00AC0B6E">
        <w:rPr>
          <w:rStyle w:val="Style1Char"/>
          <w:rFonts w:hint="cs"/>
          <w:rtl/>
        </w:rPr>
        <w:t>(6)</w:t>
      </w:r>
      <w:r w:rsidRPr="002F2700">
        <w:rPr>
          <w:rStyle w:val="Style1Char"/>
          <w:color w:val="00B050"/>
          <w:rtl/>
        </w:rPr>
        <w:t xml:space="preserve">אשתו ארוסה - לא אונן ולא מיטמא לה, וכן היא לא אוננת ולא מיטמאה לו, </w:t>
      </w:r>
      <w:r w:rsidR="00B35886">
        <w:rPr>
          <w:rStyle w:val="Style1Char"/>
          <w:rFonts w:hint="cs"/>
          <w:rtl/>
        </w:rPr>
        <w:t>(</w:t>
      </w:r>
      <w:r w:rsidR="00B13E54">
        <w:rPr>
          <w:rStyle w:val="Style1Char"/>
          <w:rFonts w:hint="cs"/>
          <w:rtl/>
        </w:rPr>
        <w:t>6.2</w:t>
      </w:r>
      <w:r w:rsidR="00B35886">
        <w:rPr>
          <w:rStyle w:val="Style1Char"/>
          <w:rFonts w:hint="cs"/>
          <w:rtl/>
        </w:rPr>
        <w:t>, 7)</w:t>
      </w:r>
      <w:r w:rsidRPr="002F2700">
        <w:rPr>
          <w:rStyle w:val="Style1Char"/>
          <w:color w:val="00B050"/>
          <w:rtl/>
        </w:rPr>
        <w:t xml:space="preserve">מתה - אינו יורשה, </w:t>
      </w:r>
      <w:r w:rsidR="00B13E54">
        <w:rPr>
          <w:rStyle w:val="Style1Char"/>
          <w:rFonts w:hint="cs"/>
          <w:rtl/>
        </w:rPr>
        <w:t>(8)</w:t>
      </w:r>
      <w:r w:rsidRPr="002F2700">
        <w:rPr>
          <w:rStyle w:val="Style1Char"/>
          <w:color w:val="00B050"/>
          <w:rtl/>
        </w:rPr>
        <w:t xml:space="preserve">מת הוא - גובה כתובתה; טעמא דמת הוא, </w:t>
      </w:r>
      <w:r w:rsidR="00B13E54">
        <w:rPr>
          <w:rStyle w:val="Style1Char"/>
          <w:rFonts w:hint="cs"/>
          <w:rtl/>
        </w:rPr>
        <w:t>(6.2)</w:t>
      </w:r>
      <w:r w:rsidRPr="002F2700">
        <w:rPr>
          <w:rStyle w:val="Style1Char"/>
          <w:color w:val="00B050"/>
          <w:rtl/>
        </w:rPr>
        <w:t xml:space="preserve">הא מתה היא - אין לה כתובה. מאי טעמא? אמר רב הושעיא: שאין אני קורא בה לכשתנשאי לאחר תטלי מה שכתוב ליכי, כי אתא רבין </w:t>
      </w:r>
      <w:r w:rsidRPr="003B2F26">
        <w:rPr>
          <w:rStyle w:val="Style1Char"/>
          <w:color w:val="ED7D31" w:themeColor="accent2"/>
          <w:sz w:val="22"/>
          <w:szCs w:val="22"/>
          <w:rtl/>
        </w:rPr>
        <w:t>אמר ריש לקיש: ארוסה שמתה - אין לה כתובה</w:t>
      </w:r>
      <w:r>
        <w:rPr>
          <w:rStyle w:val="Style1Char"/>
          <w:rFonts w:hint="cs"/>
          <w:color w:val="ED7D31" w:themeColor="accent2"/>
          <w:sz w:val="22"/>
          <w:szCs w:val="22"/>
          <w:rtl/>
        </w:rPr>
        <w:t xml:space="preserve"> </w:t>
      </w:r>
      <w:r w:rsidRPr="00C81021">
        <w:rPr>
          <w:rStyle w:val="Style1Char"/>
          <w:color w:val="4472C4" w:themeColor="accent1"/>
          <w:rtl/>
        </w:rPr>
        <w:t xml:space="preserve">פי' אין הארוס חייב לקוברה תחת כתובתה שיורש ממנה כי חכמים תקנו שיקבור האיש את אשתו תחת נדוניא שהכניסה לו ולא תחת כתובתה וארוסה אביה יורש נדונייתה. </w:t>
      </w:r>
      <w:r w:rsidRPr="000D58D3">
        <w:rPr>
          <w:rStyle w:val="Style1Char"/>
          <w:color w:val="4472C4" w:themeColor="accent1"/>
          <w:sz w:val="22"/>
          <w:szCs w:val="22"/>
          <w:rtl/>
        </w:rPr>
        <w:t>א"ר הושעיא מ"ט שאין אני קורא בה לכשתנשאי לאחר תטלי מה שכתוב ליכי</w:t>
      </w:r>
      <w:r w:rsidRPr="000D58D3">
        <w:rPr>
          <w:rStyle w:val="Style1Char"/>
          <w:color w:val="00B050"/>
          <w:sz w:val="22"/>
          <w:szCs w:val="22"/>
          <w:rtl/>
        </w:rPr>
        <w:t xml:space="preserve">. </w:t>
      </w:r>
      <w:r w:rsidRPr="002F2700">
        <w:rPr>
          <w:rStyle w:val="Style1Char"/>
          <w:color w:val="00B050"/>
          <w:rtl/>
        </w:rPr>
        <w:t xml:space="preserve">אמר להו אביי, זילו אמרי ליה: </w:t>
      </w:r>
    </w:p>
    <w:p w14:paraId="12F9FBD4" w14:textId="7C4CD030" w:rsidR="00827BEE" w:rsidRDefault="00827BEE" w:rsidP="00827BEE">
      <w:pPr>
        <w:pStyle w:val="Style1"/>
        <w:rPr>
          <w:rStyle w:val="Style1Char"/>
          <w:rtl/>
        </w:rPr>
      </w:pPr>
      <w:r>
        <w:rPr>
          <w:rStyle w:val="Style1Char"/>
          <w:rFonts w:hint="cs"/>
          <w:rtl/>
        </w:rPr>
        <w:t>1)[</w:t>
      </w:r>
      <w:r w:rsidRPr="00827BEE">
        <w:rPr>
          <w:rStyle w:val="Style1Char"/>
          <w:rtl/>
        </w:rPr>
        <w:t>רמב</w:t>
      </w:r>
      <w:r w:rsidR="00EC109D">
        <w:rPr>
          <w:rStyle w:val="Style1Char"/>
          <w:rtl/>
        </w:rPr>
        <w:t>”ם \משפטים\</w:t>
      </w:r>
      <w:r w:rsidRPr="00827BEE">
        <w:rPr>
          <w:rStyle w:val="Style1Char"/>
          <w:rtl/>
        </w:rPr>
        <w:t xml:space="preserve"> הלכות נחלות פרק ו הלכה יא</w:t>
      </w:r>
      <w:r>
        <w:rPr>
          <w:rStyle w:val="Style1Char"/>
          <w:rFonts w:hint="cs"/>
          <w:rtl/>
        </w:rPr>
        <w:t xml:space="preserve">] </w:t>
      </w:r>
      <w:r w:rsidRPr="00827BEE">
        <w:rPr>
          <w:rStyle w:val="Style1Char"/>
          <w:rtl/>
        </w:rPr>
        <w:t>כל הנותן נכסיו לאחרים והניח היורשין, אף על פי שאין היורשין נוהגין (בו) כשורה אין רוח חכמים נוחה הימנו, וזכו האחרים בכל מה שנתן להן, מדת חסידות היא שלא יעיד אדם חסיד בצוואה שמעבירין בו הירושה מן היורש אפילו מבן שאינו נוהג כשורה לאחיו חכם ונוהג כשורה.</w:t>
      </w:r>
    </w:p>
    <w:p w14:paraId="49F574E3" w14:textId="77777777" w:rsidR="0044233A" w:rsidRPr="0044233A" w:rsidRDefault="00D723BD" w:rsidP="0044233A">
      <w:pPr>
        <w:pStyle w:val="Style1"/>
      </w:pPr>
      <w:r>
        <w:rPr>
          <w:rStyle w:val="Style1Char"/>
          <w:rFonts w:hint="cs"/>
          <w:rtl/>
        </w:rPr>
        <w:t>1)[</w:t>
      </w:r>
      <w:r w:rsidR="0029040B" w:rsidRPr="0029040B">
        <w:rPr>
          <w:rStyle w:val="Style1Char"/>
          <w:rtl/>
        </w:rPr>
        <w:t>שולחן ערוך חושן משפט הלכות נחלות סימן רפב</w:t>
      </w:r>
      <w:r>
        <w:rPr>
          <w:rStyle w:val="Style1Char"/>
          <w:rFonts w:hint="cs"/>
          <w:rtl/>
        </w:rPr>
        <w:t>]</w:t>
      </w:r>
      <w:r w:rsidR="0044233A">
        <w:rPr>
          <w:rStyle w:val="Style1Char"/>
          <w:rFonts w:hint="cs"/>
          <w:rtl/>
        </w:rPr>
        <w:t xml:space="preserve"> </w:t>
      </w:r>
      <w:r w:rsidR="0044233A" w:rsidRPr="0044233A">
        <w:rPr>
          <w:rtl/>
        </w:rPr>
        <w:t>כל הנותן נכסיו לאחרים והניח היורשים אע"פ שאין היורשים נוהגים בו כשורה אין רוח חכמים נוחה הימנו וזכו האחרים בכל מה שנתן להם ומדת חסידות שלא להעיד בצואה שמעבירין בה הירושה מהיורש אפי' מבן שאינו נוהג כשורה לאחיו חכם ונוהג כשורה</w:t>
      </w:r>
      <w:r w:rsidR="0044233A" w:rsidRPr="0044233A">
        <w:t>:</w:t>
      </w:r>
    </w:p>
    <w:p w14:paraId="68920FF0" w14:textId="21A8A9CC" w:rsidR="0044233A" w:rsidRDefault="0044233A" w:rsidP="0044233A">
      <w:pPr>
        <w:pStyle w:val="Style1"/>
        <w:rPr>
          <w:rtl/>
        </w:rPr>
      </w:pPr>
      <w:r w:rsidRPr="0044233A">
        <w:rPr>
          <w:rFonts w:hint="cs"/>
          <w:rtl/>
        </w:rPr>
        <w:t>הגה: מי שצוה לעשות בנכסיו הטוב שאפשר לעשות יתנהו ליורשיו כי אין טוב מזה (מרדכי פרק מי שמת)</w:t>
      </w:r>
      <w:r w:rsidRPr="0044233A">
        <w:t>:</w:t>
      </w:r>
    </w:p>
    <w:p w14:paraId="5E86AEC8" w14:textId="061E10EE" w:rsidR="00D5611F" w:rsidRDefault="00D5611F" w:rsidP="00D5611F">
      <w:pPr>
        <w:pStyle w:val="Style1"/>
        <w:rPr>
          <w:rtl/>
        </w:rPr>
      </w:pPr>
      <w:r>
        <w:rPr>
          <w:rFonts w:hint="cs"/>
          <w:rtl/>
        </w:rPr>
        <w:t>2)[</w:t>
      </w:r>
      <w:r>
        <w:rPr>
          <w:rtl/>
        </w:rPr>
        <w:t>רמב</w:t>
      </w:r>
      <w:r w:rsidR="00213DA1">
        <w:rPr>
          <w:rtl/>
        </w:rPr>
        <w:t>”ם \נשים\</w:t>
      </w:r>
      <w:r>
        <w:rPr>
          <w:rtl/>
        </w:rPr>
        <w:t xml:space="preserve"> הלכות אישות פרק כ הלכה א</w:t>
      </w:r>
      <w:r>
        <w:rPr>
          <w:rFonts w:hint="cs"/>
          <w:rtl/>
        </w:rPr>
        <w:t xml:space="preserve">] </w:t>
      </w:r>
      <w:r>
        <w:rPr>
          <w:rtl/>
        </w:rPr>
        <w:t>צוו חכמים שיתן אדם מנכסיו מעט לבתו כדי שתנשא בו, וזה הוא הנקרא פרנסה, המשיא את בתו סתם לא יפחות לה מכסות שפוסקין לאשת עני שבישראל כמו שביארנו, במה דברים אמורים בשהיה האב עני אבל אם היה עשיר הרי זה ראוי ליתן לה כפי עשרו.</w:t>
      </w:r>
    </w:p>
    <w:p w14:paraId="72E4C5C3" w14:textId="06E0B0AD" w:rsidR="00911C3C" w:rsidRPr="001B7119" w:rsidRDefault="00911C3C" w:rsidP="00911C3C">
      <w:pPr>
        <w:pStyle w:val="Style1"/>
      </w:pPr>
      <w:r>
        <w:rPr>
          <w:rStyle w:val="Style1Char"/>
          <w:rFonts w:hint="cs"/>
          <w:rtl/>
        </w:rPr>
        <w:t>2)[</w:t>
      </w:r>
      <w:r w:rsidRPr="0035115C">
        <w:rPr>
          <w:rStyle w:val="Style1Char"/>
          <w:rtl/>
        </w:rPr>
        <w:t>שולחן ערוך אבן העזר הלכות כתובות סימן עא סעיף א</w:t>
      </w:r>
      <w:r>
        <w:rPr>
          <w:rStyle w:val="Style1Char"/>
          <w:rFonts w:hint="cs"/>
          <w:rtl/>
        </w:rPr>
        <w:t xml:space="preserve">] </w:t>
      </w:r>
      <w:r w:rsidRPr="001B7119">
        <w:rPr>
          <w:rtl/>
        </w:rPr>
        <w:t>חייב אדם לזון בניו ובנותיו עד שיהיו בני שש, אפילו יש להם נכסים שנפלו להם מבית אבי אמם; ומשם ואילך, זנן כתקנת חכמים עד שיגדלו. ואם לא רצה, גוערין בו ומכלימין אותו ופוצרין בו. ואם לא רצה, מכריזין עליו בציבור ואומרים: "פלוני אכזרי הוא ואינו רוצה לזון בניו, והרי הוא פחות מעוף טמא שהוא זן אפרוחיו"; ואין כופין אותו לזונן. במה דברים אמורים, בשאינו אמוד, אבל אם היה אמוד שיש לו ממון הראוי ליתן צדקה המספקת להם, מוציאים ממנו בעל כרחו, משום צדקה, וזנין אותם עד שיגדלו</w:t>
      </w:r>
      <w:r w:rsidRPr="001B7119">
        <w:t>.</w:t>
      </w:r>
    </w:p>
    <w:p w14:paraId="4D83C95E" w14:textId="23081EEA" w:rsidR="00911C3C" w:rsidRDefault="00911C3C" w:rsidP="00911C3C">
      <w:pPr>
        <w:pStyle w:val="Style1"/>
        <w:rPr>
          <w:rtl/>
        </w:rPr>
      </w:pPr>
      <w:r w:rsidRPr="001B7119">
        <w:rPr>
          <w:rFonts w:hint="cs"/>
          <w:rtl/>
        </w:rPr>
        <w:t>הגה: ודווקא לעניין מזונות הבנות, אבל לא כופין להשיא בנותיו; ואף על פי שמצוה ליתן לבתו נדוניא ראויה, מכל מקום לא כייפינן לה, אלא מה שירצה יתן, רק שישיאן (הגהות מרדכי דקדושין, וכן כתב תא"ו נתיב כ"ב)</w:t>
      </w:r>
      <w:r w:rsidRPr="001B7119">
        <w:t>:</w:t>
      </w:r>
    </w:p>
    <w:p w14:paraId="0996BA00" w14:textId="1A5F91D3" w:rsidR="00AF00B1" w:rsidRDefault="00AF00B1" w:rsidP="00AF00B1">
      <w:pPr>
        <w:pStyle w:val="Style1"/>
        <w:rPr>
          <w:rtl/>
        </w:rPr>
      </w:pPr>
      <w:r>
        <w:rPr>
          <w:rFonts w:hint="cs"/>
          <w:rtl/>
        </w:rPr>
        <w:t>3)[</w:t>
      </w:r>
      <w:r>
        <w:rPr>
          <w:rtl/>
        </w:rPr>
        <w:t>רמב</w:t>
      </w:r>
      <w:r w:rsidR="00213DA1">
        <w:rPr>
          <w:rtl/>
        </w:rPr>
        <w:t>”ם \נשים\</w:t>
      </w:r>
      <w:r>
        <w:rPr>
          <w:rtl/>
        </w:rPr>
        <w:t xml:space="preserve"> הלכות אישות פרק יז הלכה יט</w:t>
      </w:r>
      <w:r>
        <w:rPr>
          <w:rFonts w:hint="cs"/>
          <w:rtl/>
        </w:rPr>
        <w:t xml:space="preserve">] </w:t>
      </w:r>
      <w:r>
        <w:rPr>
          <w:rtl/>
        </w:rPr>
        <w:t>המוכרת כתובתה בין לאחרים בין לבעלה לא אבדה שאר תנאי כתובה, ואם היה לה בן זכר יורש כנגד הכתובה הזאת שנמכרה מנכסי אביו יתר על חלקו כדין תנאי זה, אבל המוחלת כתובתה לבעלה איבדה כל תנאי כתובתה ואפילו מזונות אין לה עליו, ומוחלת כתובתה אינה צריכה קנין ולא עדים כשאר המוחלים שאינן צריכין לא עדים ולא קנין אלא בדברים בלבד, והוא שיהיו דברים שהדעת סומכת עליהן ולא יהיו דברי שחוק והתול או דברי תימה אלא בדעת נכונה.</w:t>
      </w:r>
    </w:p>
    <w:p w14:paraId="1CD0004F" w14:textId="3B469774" w:rsidR="005D68A8" w:rsidRDefault="005D68A8" w:rsidP="005D68A8">
      <w:pPr>
        <w:pStyle w:val="Style1"/>
        <w:rPr>
          <w:rtl/>
        </w:rPr>
      </w:pPr>
      <w:r>
        <w:rPr>
          <w:rFonts w:hint="cs"/>
          <w:rtl/>
        </w:rPr>
        <w:t>3)[</w:t>
      </w:r>
      <w:r>
        <w:rPr>
          <w:rtl/>
        </w:rPr>
        <w:t>שולחן ערוך אבן העזר הלכות כתובות סימן קיא סעיף טו</w:t>
      </w:r>
      <w:r>
        <w:rPr>
          <w:rFonts w:hint="cs"/>
          <w:rtl/>
        </w:rPr>
        <w:t>]</w:t>
      </w:r>
      <w:r w:rsidR="009A2916">
        <w:rPr>
          <w:rFonts w:hint="cs"/>
          <w:rtl/>
        </w:rPr>
        <w:t xml:space="preserve"> </w:t>
      </w:r>
      <w:r w:rsidR="009A2916" w:rsidRPr="009A2916">
        <w:rPr>
          <w:rtl/>
        </w:rPr>
        <w:t>המוכרת כתבתה, בין לבעלה בין לאחרים, לא הפסידה כתבת בנין דכרין. אבל אם מחלה כתבתה לבעלה, הפסידו בניה כתבת בנין דכרין. לפיכך, אין הבנים יורשין כתבת בנין דכרין עד שיהיה שטר הכתבה יוצא מתחת ידם, אבל אם אין שם שטר כתבה אין להם כלום, שמא מחלה אמם. ואם אין דרכם לכתב כתבה, יש להם</w:t>
      </w:r>
      <w:r w:rsidR="009A2916" w:rsidRPr="009A2916">
        <w:t>:</w:t>
      </w:r>
    </w:p>
    <w:p w14:paraId="1E2D170F" w14:textId="6B73115F" w:rsidR="002E59F4" w:rsidRDefault="002E59F4" w:rsidP="002E59F4">
      <w:pPr>
        <w:pStyle w:val="Style1"/>
        <w:rPr>
          <w:rtl/>
        </w:rPr>
      </w:pPr>
      <w:r>
        <w:rPr>
          <w:rFonts w:hint="cs"/>
          <w:rtl/>
        </w:rPr>
        <w:t>4)[</w:t>
      </w:r>
      <w:r>
        <w:rPr>
          <w:rtl/>
        </w:rPr>
        <w:t>רמב</w:t>
      </w:r>
      <w:r w:rsidR="00213DA1">
        <w:rPr>
          <w:rtl/>
        </w:rPr>
        <w:t>”ם \נשים\</w:t>
      </w:r>
      <w:r>
        <w:rPr>
          <w:rtl/>
        </w:rPr>
        <w:t xml:space="preserve"> הלכות גירושין פרק י הלכה ז</w:t>
      </w:r>
      <w:r>
        <w:rPr>
          <w:rFonts w:hint="cs"/>
          <w:rtl/>
        </w:rPr>
        <w:t xml:space="preserve">] </w:t>
      </w:r>
      <w:r>
        <w:rPr>
          <w:rtl/>
        </w:rPr>
        <w:t>האשה שנשאת ואחר כך נמצא הגט בטל, או בא בעלה אחר ששמעה שמת, אין הבעל הראשון והשני זכאין לא במציאתה ולא במעשה ידיה ולא בהפר נדריה, וכל פירות שאכלו שניהן אחר שנשאת אין מוציאין מהן, ואין לה כתובה ולא תנאי מתנאי כתובה ולא מזונות לא על זה ולא על זה, ואם נטלה מזה או מזה תחזיר, וכל מה שבלה או אבד מנכסיה אפילו מנכסי צאן ברזל אין מוציאין אותן לא מזה ולא מזה, והולד מן השני ממזר, ואם בא עליה הראשון קודם שיגרש השני הרי הולד ממזר מדבריהם. גירשה השני ונטלה ממנו כתובה ואחר כך בא בעלה או נמצא הגט בטל אין מוציאין מידה מה שנטלה לא מן המזונות ולא מן הכתובה.</w:t>
      </w:r>
    </w:p>
    <w:p w14:paraId="03E1155D" w14:textId="0F7EE74B" w:rsidR="0004679D" w:rsidRDefault="00A415F3" w:rsidP="0004679D">
      <w:pPr>
        <w:pStyle w:val="Style1"/>
        <w:rPr>
          <w:rtl/>
        </w:rPr>
      </w:pPr>
      <w:r>
        <w:rPr>
          <w:rFonts w:hint="cs"/>
          <w:rtl/>
        </w:rPr>
        <w:t>4)[</w:t>
      </w:r>
      <w:r>
        <w:rPr>
          <w:rtl/>
        </w:rPr>
        <w:t>שולחן ערוך אבן העזר הלכות אישות סימן יז סעיף נו</w:t>
      </w:r>
      <w:r>
        <w:rPr>
          <w:rFonts w:hint="cs"/>
          <w:rtl/>
        </w:rPr>
        <w:t>]</w:t>
      </w:r>
      <w:r w:rsidR="0004679D">
        <w:rPr>
          <w:rFonts w:hint="cs"/>
          <w:rtl/>
        </w:rPr>
        <w:t xml:space="preserve"> </w:t>
      </w:r>
      <w:r w:rsidR="0004679D" w:rsidRPr="0004679D">
        <w:rPr>
          <w:rtl/>
        </w:rPr>
        <w:t>האשה שהלך בעלה למדינה אחרת ובאו ואמרו לה מת בעלך, ונישאת ואחר כך בא בעלה, לא שנא נישאת על פי עד אחד או על פי שנים עדים </w:t>
      </w:r>
      <w:r w:rsidR="0004679D" w:rsidRPr="0004679D">
        <w:rPr>
          <w:rFonts w:hint="cs"/>
          <w:rtl/>
        </w:rPr>
        <w:t>(אפילו לא נבעלה) (הרא"ש והריב"ש והריטב"א ונ"י סימן תק"ח)</w:t>
      </w:r>
      <w:r w:rsidR="0004679D" w:rsidRPr="0004679D">
        <w:t xml:space="preserve">, </w:t>
      </w:r>
      <w:r w:rsidR="0004679D" w:rsidRPr="0004679D">
        <w:rPr>
          <w:rtl/>
        </w:rPr>
        <w:t>תצא מזה ומזה, וצריכה גט משניהם, ואין לה כתובה משניהם </w:t>
      </w:r>
      <w:r w:rsidR="0004679D" w:rsidRPr="0004679D">
        <w:rPr>
          <w:rFonts w:hint="cs"/>
          <w:rtl/>
        </w:rPr>
        <w:t>(אפילו החזירה הראשון) (הגהות אלפסי)</w:t>
      </w:r>
      <w:r w:rsidR="0004679D" w:rsidRPr="0004679D">
        <w:rPr>
          <w:rtl/>
        </w:rPr>
        <w:t xml:space="preserve"> ולא פירות שאכלו מנכסי מלוג שלה, אף על פי שאינם חייבים בפרקונה. ודווקא שאכל השני קודם שבא הראשון, אבל מה שאכל אחר שבא הראשון צריך להחזיר. ואינו חייב ליתן הבלאות מנכסי צאן ברזל שלה, והוא שבלו לגמרי, אבל מה שיש מהם בעין נוטלתן. ואם נטלה מזה או מזה כתובה או פירות, צריך להחזיר. ודוקא שנטלה מהשני אחר שבא הראשון, אבל אם נטלה ממנו קודם שבא הראשון אינה צריכה להחזיר. ושניהם אינם מטמאים לה אם הם כהנים, ואינם זכאים במציאתה ובמעשה ידיה ובהפרת נדריה, ונפסלה מהכהונה </w:t>
      </w:r>
      <w:r w:rsidR="0004679D" w:rsidRPr="0004679D">
        <w:rPr>
          <w:rtl/>
        </w:rPr>
        <w:lastRenderedPageBreak/>
        <w:t>ומהתרומה ומהמעשר אם היא בת לוי </w:t>
      </w:r>
      <w:r w:rsidR="0004679D" w:rsidRPr="0004679D">
        <w:rPr>
          <w:rFonts w:hint="cs"/>
          <w:rtl/>
        </w:rPr>
        <w:t>(אבל בעלה הראשון יורשה אם מתה) (ב"י והמ"מ)</w:t>
      </w:r>
      <w:r w:rsidR="0004679D" w:rsidRPr="0004679D">
        <w:t xml:space="preserve">. </w:t>
      </w:r>
      <w:r w:rsidR="0004679D" w:rsidRPr="0004679D">
        <w:rPr>
          <w:rtl/>
        </w:rPr>
        <w:t>מתו, אחיו של זה ואחיו של זה חולצין ולא מיבמין. והוולד מהשני הוא ממזר מהתורה אם הולידה עד שלא גרשה הראשון, אבל אם לא הולידה אלא אחר שמת ראשון או גירשה, אין הוולד משני אלא ממזר דרבנן. ואם בא עליה (הראשון) קודם שגירש השני, הוולד שיוליד ממנה ממזר מדבריהם</w:t>
      </w:r>
      <w:r w:rsidR="0004679D" w:rsidRPr="0004679D">
        <w:t>:</w:t>
      </w:r>
    </w:p>
    <w:p w14:paraId="127BE252" w14:textId="04447A6F" w:rsidR="00BD6DF1" w:rsidRDefault="00BD6DF1" w:rsidP="00BD6DF1">
      <w:pPr>
        <w:pStyle w:val="Style1"/>
        <w:rPr>
          <w:rtl/>
        </w:rPr>
      </w:pPr>
      <w:r>
        <w:rPr>
          <w:rFonts w:hint="cs"/>
          <w:rtl/>
        </w:rPr>
        <w:t>5)[</w:t>
      </w:r>
      <w:r>
        <w:rPr>
          <w:rtl/>
        </w:rPr>
        <w:t>רמב</w:t>
      </w:r>
      <w:r w:rsidR="00213DA1">
        <w:rPr>
          <w:rtl/>
        </w:rPr>
        <w:t>”ם \נשים\</w:t>
      </w:r>
      <w:r>
        <w:rPr>
          <w:rtl/>
        </w:rPr>
        <w:t xml:space="preserve"> הלכות אישות פרק יב הלכה יח</w:t>
      </w:r>
      <w:r>
        <w:rPr>
          <w:rFonts w:hint="cs"/>
          <w:rtl/>
        </w:rPr>
        <w:t xml:space="preserve">] </w:t>
      </w:r>
      <w:r>
        <w:rPr>
          <w:rtl/>
        </w:rPr>
        <w:t>יש מן הגאונים שהורה שאין פוסקין מזונות לאשה שהלך בעלה או שמת בעלה עד שיהא שטר כתובה יוצא מתחת ידה, ואם לא תוציא שטר כתובה אין לה מזונות שמא נטלה כתובתה מבעלה או מחלה לו כתובתה שאין לה מזונות כמו שיתבאר. ויש מי שהורה שפוסקין לה מזונות בחזקת שלא נטלה ולא מחלה ואין מצריכין אותה להביא כתובה, ודעתי נוטה לזה במי שהלך בעלה הואיל ויש לה מזונות מן התורה, אבל אם מת בעלה אין לה מזונות עד שתביא כתובה מפני שהיא אוכלת בתקנת חכמים, ועוד שניזונת מנכסי יורשים ולעולם טוענין ליורש.</w:t>
      </w:r>
    </w:p>
    <w:p w14:paraId="2EA71CF1" w14:textId="3EB72497" w:rsidR="00C53A8F" w:rsidRDefault="00C53A8F" w:rsidP="00C53A8F">
      <w:pPr>
        <w:pStyle w:val="Style1"/>
        <w:rPr>
          <w:rtl/>
        </w:rPr>
      </w:pPr>
      <w:r>
        <w:rPr>
          <w:rFonts w:hint="cs"/>
          <w:rtl/>
        </w:rPr>
        <w:t>5)[</w:t>
      </w:r>
      <w:r>
        <w:rPr>
          <w:rtl/>
        </w:rPr>
        <w:t>רמב</w:t>
      </w:r>
      <w:r w:rsidR="00213DA1">
        <w:rPr>
          <w:rtl/>
        </w:rPr>
        <w:t>”ם \נשים\</w:t>
      </w:r>
      <w:r>
        <w:rPr>
          <w:rtl/>
        </w:rPr>
        <w:t xml:space="preserve"> הלכות אישות פרק יח הלכה כג</w:t>
      </w:r>
      <w:r>
        <w:rPr>
          <w:rFonts w:hint="cs"/>
          <w:rtl/>
        </w:rPr>
        <w:t xml:space="preserve">] </w:t>
      </w:r>
      <w:r>
        <w:rPr>
          <w:rtl/>
        </w:rPr>
        <w:t>אלמנה שאין שטר כתובה יוצא מתחת ידה אין לה מזונות שמא מחלה כתובתה או מכרה או משכנה אותה, ואף על פי שלא טען יורש אנו טוענין לו ואומרים לה הביאי כתובתיך והשבעי וטלי מזונות אלא אם אין דרכם לכתוב כתובה.</w:t>
      </w:r>
    </w:p>
    <w:p w14:paraId="57C09A09" w14:textId="49E87314" w:rsidR="00F11D18" w:rsidRPr="00F11D18" w:rsidRDefault="008079C3" w:rsidP="00F11D18">
      <w:pPr>
        <w:pStyle w:val="Style1"/>
      </w:pPr>
      <w:r>
        <w:rPr>
          <w:rFonts w:hint="cs"/>
          <w:rtl/>
        </w:rPr>
        <w:t>5)[</w:t>
      </w:r>
      <w:r>
        <w:rPr>
          <w:rtl/>
        </w:rPr>
        <w:t>שולחן ערוך אבן העזר הלכות כתובות סימן צג סעיף ט</w:t>
      </w:r>
      <w:r>
        <w:rPr>
          <w:rFonts w:hint="cs"/>
          <w:rtl/>
        </w:rPr>
        <w:t>]</w:t>
      </w:r>
      <w:r w:rsidR="00F11D18">
        <w:rPr>
          <w:rFonts w:hint="cs"/>
          <w:rtl/>
        </w:rPr>
        <w:t xml:space="preserve"> </w:t>
      </w:r>
      <w:r w:rsidR="00F11D18" w:rsidRPr="00F11D18">
        <w:rPr>
          <w:rtl/>
        </w:rPr>
        <w:t>מחלה כתובתה לבעלה, הפסידה מזונותיה שאחר מותו, אבל בחייו יש לה מזונות. ויש מי שאומר, שאף בחייו הפסידה מזונות</w:t>
      </w:r>
      <w:r w:rsidR="00F11D18" w:rsidRPr="00F11D18">
        <w:t>.</w:t>
      </w:r>
    </w:p>
    <w:p w14:paraId="12E21FA4" w14:textId="642C7158" w:rsidR="00F11D18" w:rsidRDefault="00F11D18" w:rsidP="00F11D18">
      <w:pPr>
        <w:pStyle w:val="Style1"/>
        <w:rPr>
          <w:rtl/>
        </w:rPr>
      </w:pPr>
      <w:r w:rsidRPr="00F11D18">
        <w:rPr>
          <w:rFonts w:hint="cs"/>
          <w:rtl/>
        </w:rPr>
        <w:t>וכן אם מחלה ליתומים אבדה מזונותיה (הר"ן פרק נערה בשם יש אומרים, וכן כתב הבית יוסף)</w:t>
      </w:r>
      <w:r w:rsidRPr="00F11D18">
        <w:t>:</w:t>
      </w:r>
    </w:p>
    <w:p w14:paraId="0D009DF3" w14:textId="057FB439" w:rsidR="0023730E" w:rsidRPr="0023730E" w:rsidRDefault="00AD7049" w:rsidP="0023730E">
      <w:pPr>
        <w:pStyle w:val="Style1"/>
      </w:pPr>
      <w:r>
        <w:rPr>
          <w:rFonts w:hint="cs"/>
          <w:rtl/>
        </w:rPr>
        <w:t>5)[</w:t>
      </w:r>
      <w:r>
        <w:rPr>
          <w:rtl/>
        </w:rPr>
        <w:t>שולחן ערוך אבן העזר הלכות כתובות סימן קה סעיף ד</w:t>
      </w:r>
      <w:r>
        <w:rPr>
          <w:rFonts w:hint="cs"/>
          <w:rtl/>
        </w:rPr>
        <w:t>]</w:t>
      </w:r>
      <w:r w:rsidR="0023730E">
        <w:rPr>
          <w:rFonts w:hint="cs"/>
          <w:rtl/>
        </w:rPr>
        <w:t xml:space="preserve"> </w:t>
      </w:r>
      <w:r w:rsidR="0023730E" w:rsidRPr="0023730E">
        <w:rPr>
          <w:rtl/>
        </w:rPr>
        <w:t>המוכרת כתובתה, בין לבעלה בין לאחרים, לא הפסידה שום דבר מתנאי כתובתה. אבל המוחלת כתובתה לבעלה, איבדה כל תנאי כתובה</w:t>
      </w:r>
      <w:r w:rsidR="0023730E" w:rsidRPr="0023730E">
        <w:t>.</w:t>
      </w:r>
    </w:p>
    <w:p w14:paraId="6BB82660" w14:textId="0EF6E5CC" w:rsidR="0023730E" w:rsidRDefault="0023730E" w:rsidP="0023730E">
      <w:pPr>
        <w:pStyle w:val="Style1"/>
        <w:rPr>
          <w:rtl/>
        </w:rPr>
      </w:pPr>
      <w:r w:rsidRPr="0023730E">
        <w:rPr>
          <w:rFonts w:hint="cs"/>
          <w:rtl/>
        </w:rPr>
        <w:t>הגה: ואפילו נדונייתה הפסידה, אם אינה בעין</w:t>
      </w:r>
      <w:r w:rsidRPr="0023730E">
        <w:rPr>
          <w:rFonts w:hint="cs"/>
        </w:rPr>
        <w:t xml:space="preserve"> (</w:t>
      </w:r>
      <w:hyperlink r:id="rId97" w:tooltip="תשובות ריב&quot;ש/קמט" w:history="1">
        <w:r w:rsidRPr="0023730E">
          <w:rPr>
            <w:rStyle w:val="Hyperlink"/>
            <w:rFonts w:hint="cs"/>
            <w:color w:val="7030A0"/>
            <w:u w:val="none"/>
            <w:rtl/>
          </w:rPr>
          <w:t>ריב"ש סימן קמ"ט</w:t>
        </w:r>
      </w:hyperlink>
      <w:r w:rsidRPr="0023730E">
        <w:rPr>
          <w:rFonts w:hint="cs"/>
        </w:rPr>
        <w:t> </w:t>
      </w:r>
      <w:r w:rsidRPr="0023730E">
        <w:rPr>
          <w:rFonts w:hint="cs"/>
          <w:rtl/>
        </w:rPr>
        <w:t>בשם הרמב"ן והרשב"א). ויש אומרים דלא הפסידה נדונייתה אלא אם כן אמרה: כל מה שבשטר מחול לך (מהרי"ו סימן י"ט</w:t>
      </w:r>
      <w:r w:rsidRPr="0023730E">
        <w:rPr>
          <w:rFonts w:hint="cs"/>
        </w:rPr>
        <w:t>):</w:t>
      </w:r>
    </w:p>
    <w:p w14:paraId="30DA6D4C" w14:textId="552D43D1" w:rsidR="0020094D" w:rsidRDefault="0020094D" w:rsidP="0020094D">
      <w:pPr>
        <w:pStyle w:val="Style1"/>
        <w:rPr>
          <w:rtl/>
        </w:rPr>
      </w:pPr>
      <w:r>
        <w:rPr>
          <w:rFonts w:hint="cs"/>
          <w:rtl/>
        </w:rPr>
        <w:t>6)[</w:t>
      </w:r>
      <w:r>
        <w:rPr>
          <w:rtl/>
        </w:rPr>
        <w:t>רמב</w:t>
      </w:r>
      <w:r w:rsidR="00213DA1">
        <w:rPr>
          <w:rtl/>
        </w:rPr>
        <w:t>”ם \שופטים\</w:t>
      </w:r>
      <w:r>
        <w:rPr>
          <w:rtl/>
        </w:rPr>
        <w:t xml:space="preserve"> הלכות אבל פרק ב הלכה ז</w:t>
      </w:r>
      <w:r>
        <w:rPr>
          <w:rFonts w:hint="cs"/>
          <w:rtl/>
        </w:rPr>
        <w:t xml:space="preserve">] </w:t>
      </w:r>
      <w:r>
        <w:rPr>
          <w:rtl/>
        </w:rPr>
        <w:t>אשתו של כהן מתטמא לה על כרחו ואינו מטמא לה אלא מדברי סופרים, עשאוה כמת מצוה, כיון שאין לה יורש אלא הוא לא תמצא מי שיתעסק בה, ואינו מטמא אלא לנשואה בלבד אבל הארוסה אינו מטמא לה.</w:t>
      </w:r>
    </w:p>
    <w:p w14:paraId="6B10CC9B" w14:textId="0F1E00DF" w:rsidR="00005C46" w:rsidRPr="00005C46" w:rsidRDefault="00D96E45" w:rsidP="00005C46">
      <w:pPr>
        <w:pStyle w:val="Style1"/>
      </w:pPr>
      <w:r>
        <w:rPr>
          <w:rFonts w:hint="cs"/>
          <w:rtl/>
        </w:rPr>
        <w:t>6)[</w:t>
      </w:r>
      <w:r>
        <w:rPr>
          <w:rtl/>
        </w:rPr>
        <w:t>שולחן ערוך יורה דעה הלכות אבילות סימן שעג סעיף ד</w:t>
      </w:r>
      <w:r>
        <w:rPr>
          <w:rFonts w:hint="cs"/>
          <w:rtl/>
        </w:rPr>
        <w:t>]</w:t>
      </w:r>
      <w:r w:rsidR="00005C46">
        <w:rPr>
          <w:rFonts w:hint="cs"/>
          <w:rtl/>
        </w:rPr>
        <w:t xml:space="preserve"> </w:t>
      </w:r>
      <w:r w:rsidR="00005C46" w:rsidRPr="00005C46">
        <w:rPr>
          <w:rtl/>
        </w:rPr>
        <w:t>אלו הם הקרובים שמיטמא להם</w:t>
      </w:r>
      <w:r w:rsidR="00005C46" w:rsidRPr="00005C46">
        <w:t>:</w:t>
      </w:r>
    </w:p>
    <w:p w14:paraId="7E864546" w14:textId="77777777" w:rsidR="00005C46" w:rsidRPr="00005C46" w:rsidRDefault="00005C46" w:rsidP="00005C46">
      <w:pPr>
        <w:pStyle w:val="Style1"/>
      </w:pPr>
      <w:r w:rsidRPr="00005C46">
        <w:rPr>
          <w:rtl/>
        </w:rPr>
        <w:t>אשתו נשואה שהיא כשרה. אבל פסולה או גרושה או ארוסה -- לא אונן ולא מיטמא לה. וכן היא לא אוננת ולא מיטמאה לו</w:t>
      </w:r>
      <w:r w:rsidRPr="00005C46">
        <w:t>.</w:t>
      </w:r>
    </w:p>
    <w:p w14:paraId="001C8F16" w14:textId="77777777" w:rsidR="00005C46" w:rsidRPr="00005C46" w:rsidRDefault="00005C46" w:rsidP="00005C46">
      <w:pPr>
        <w:pStyle w:val="Style1"/>
      </w:pPr>
      <w:r w:rsidRPr="00005C46">
        <w:rPr>
          <w:rtl/>
        </w:rPr>
        <w:t>ומיטמא לאמו אפילו נתחללה</w:t>
      </w:r>
    </w:p>
    <w:p w14:paraId="62A9EDD2" w14:textId="77777777" w:rsidR="00005C46" w:rsidRPr="00005C46" w:rsidRDefault="00005C46" w:rsidP="00005C46">
      <w:pPr>
        <w:pStyle w:val="Style1"/>
      </w:pPr>
      <w:r w:rsidRPr="00005C46">
        <w:rPr>
          <w:rtl/>
        </w:rPr>
        <w:t>ולבנו ולבתו דקים ליה שכלו לו חדשיו או שהם משלשים יום ואילך, אפילו הם פסולים. חוץ מבנו ובתו משפחה או כותית</w:t>
      </w:r>
    </w:p>
    <w:p w14:paraId="2C157F49" w14:textId="77777777" w:rsidR="00005C46" w:rsidRPr="00005C46" w:rsidRDefault="00005C46" w:rsidP="00005C46">
      <w:pPr>
        <w:pStyle w:val="Style1"/>
      </w:pPr>
      <w:r w:rsidRPr="00005C46">
        <w:rPr>
          <w:rtl/>
        </w:rPr>
        <w:t>ולאחיו ולאחותו מאביו אפילו הם פסולים. אלא אם כן הם בני שפחה או כותית</w:t>
      </w:r>
    </w:p>
    <w:p w14:paraId="4FC0EE42" w14:textId="11C0904A" w:rsidR="00005C46" w:rsidRDefault="00005C46" w:rsidP="00005C46">
      <w:pPr>
        <w:pStyle w:val="Style1"/>
        <w:rPr>
          <w:rtl/>
        </w:rPr>
      </w:pPr>
      <w:r w:rsidRPr="00005C46">
        <w:rPr>
          <w:rtl/>
        </w:rPr>
        <w:t>אבל לאחיו ולאחותו מאמו אינו מיטמא</w:t>
      </w:r>
      <w:r w:rsidRPr="00005C46">
        <w:t xml:space="preserve">. </w:t>
      </w:r>
      <w:r w:rsidRPr="00005C46">
        <w:rPr>
          <w:rtl/>
        </w:rPr>
        <w:t>וכן אינו מיטמא</w:t>
      </w:r>
      <w:r w:rsidR="00570A28">
        <w:rPr>
          <w:rFonts w:hint="cs"/>
          <w:rtl/>
        </w:rPr>
        <w:t xml:space="preserve"> </w:t>
      </w:r>
      <w:r w:rsidRPr="00005C46">
        <w:rPr>
          <w:rtl/>
        </w:rPr>
        <w:t>לאחותו ארוסה אפילו היא ארוסה לכהן. ולא לאנוסה ומפותה. אבל מטמא לאחותו ארוסה שנתגרשה. ובוגרת ומוכת עץ. ומיטמא לשומרת יבם אפילו אם כתב בכתובתה</w:t>
      </w:r>
      <w:r w:rsidRPr="00005C46">
        <w:t xml:space="preserve"> "</w:t>
      </w:r>
      <w:r w:rsidRPr="00005C46">
        <w:rPr>
          <w:rtl/>
        </w:rPr>
        <w:t>אי מיתת בלא בנים תהדר כתובתך לבי נשא</w:t>
      </w:r>
      <w:r w:rsidRPr="00005C46">
        <w:t>" (</w:t>
      </w:r>
      <w:r w:rsidRPr="00005C46">
        <w:rPr>
          <w:rtl/>
        </w:rPr>
        <w:t>פירוש: לבית אביה</w:t>
      </w:r>
      <w:r w:rsidRPr="00005C46">
        <w:t>).</w:t>
      </w:r>
    </w:p>
    <w:p w14:paraId="2EA69C6C" w14:textId="6FC0EC3B" w:rsidR="00A84226" w:rsidRPr="00A84226" w:rsidRDefault="00032E78" w:rsidP="00A84226">
      <w:pPr>
        <w:pStyle w:val="Style1"/>
      </w:pPr>
      <w:r>
        <w:rPr>
          <w:rFonts w:hint="cs"/>
          <w:rtl/>
        </w:rPr>
        <w:t>6)[</w:t>
      </w:r>
      <w:r w:rsidR="00301C55">
        <w:rPr>
          <w:rtl/>
        </w:rPr>
        <w:t>שולחן ערוך יורה דעה הלכות אבילות סימן שעד סעיף ד</w:t>
      </w:r>
      <w:r>
        <w:rPr>
          <w:rFonts w:hint="cs"/>
          <w:rtl/>
        </w:rPr>
        <w:t>]</w:t>
      </w:r>
      <w:r w:rsidR="00A84226">
        <w:rPr>
          <w:rFonts w:hint="cs"/>
          <w:rtl/>
        </w:rPr>
        <w:t xml:space="preserve"> </w:t>
      </w:r>
      <w:r w:rsidR="00A84226" w:rsidRPr="00A84226">
        <w:rPr>
          <w:rtl/>
        </w:rPr>
        <w:t>כל הקרובים שהכהן מיטמא להם -- שהם אביו ואמו ובנו ובתו ואחיו ואחותו מאביו הבתולה ואשתו -- מתאבלים עליהם. ועוד הוסיפו עליהם אחיו-מאמו ואחותו-מאמו (בין בתולה בין נשואה), ואחותו נשואה מאביו -- שמתאבלים עליהם אף על פי שאין כהן מיטמא להם</w:t>
      </w:r>
      <w:r w:rsidR="00A84226" w:rsidRPr="00A84226">
        <w:t>.</w:t>
      </w:r>
    </w:p>
    <w:p w14:paraId="48CBB24D" w14:textId="77777777" w:rsidR="00A84226" w:rsidRPr="00A84226" w:rsidRDefault="00A84226" w:rsidP="00A84226">
      <w:pPr>
        <w:pStyle w:val="Style1"/>
      </w:pPr>
      <w:r w:rsidRPr="00A84226">
        <w:rPr>
          <w:rtl/>
        </w:rPr>
        <w:t>וכשם שהוא מתאבל על אשתו כך היא מתאבלת עליו. ודוקא אשתו כשרה ונשואה אבל פסולה או ארוסה לא</w:t>
      </w:r>
      <w:r w:rsidRPr="00A84226">
        <w:t>.</w:t>
      </w:r>
    </w:p>
    <w:p w14:paraId="4984105C" w14:textId="1F7DC19A" w:rsidR="00A84226" w:rsidRDefault="00A84226" w:rsidP="00A84226">
      <w:pPr>
        <w:pStyle w:val="Style1"/>
        <w:rPr>
          <w:rtl/>
        </w:rPr>
      </w:pPr>
      <w:r w:rsidRPr="00A84226">
        <w:rPr>
          <w:rtl/>
        </w:rPr>
        <w:t>אבל בנו ובתו ואחיו ואחותו -- אפילו הם פסולים -- מתאבל עליהם. חוץ מבנו ובתו ואחיו ואחותו משפחה וכותית שאינו מתאבל עליהם</w:t>
      </w:r>
      <w:r w:rsidRPr="00A84226">
        <w:t>.</w:t>
      </w:r>
    </w:p>
    <w:p w14:paraId="64AC6211" w14:textId="33FD1B75" w:rsidR="003D6D3F" w:rsidRPr="003D6D3F" w:rsidRDefault="005D27DA" w:rsidP="003D6D3F">
      <w:pPr>
        <w:pStyle w:val="Style1"/>
      </w:pPr>
      <w:r>
        <w:rPr>
          <w:rFonts w:hint="cs"/>
          <w:rtl/>
        </w:rPr>
        <w:t>6)[</w:t>
      </w:r>
      <w:r>
        <w:rPr>
          <w:rtl/>
        </w:rPr>
        <w:t>שולחן ערוך אבן העזר הלכות קידושין סימן נה סעיף ה</w:t>
      </w:r>
      <w:r>
        <w:rPr>
          <w:rFonts w:hint="cs"/>
          <w:rtl/>
        </w:rPr>
        <w:t>]</w:t>
      </w:r>
      <w:r w:rsidR="003D6D3F">
        <w:rPr>
          <w:rFonts w:hint="cs"/>
          <w:rtl/>
        </w:rPr>
        <w:t xml:space="preserve"> </w:t>
      </w:r>
      <w:r w:rsidR="003D6D3F" w:rsidRPr="003D6D3F">
        <w:rPr>
          <w:rtl/>
        </w:rPr>
        <w:t>ארוסה שמתה, אם היה הארוס כהן, אינו מטמא לה. ואם מת הוא, אינה חייבת לטמא לו, ואינו יורשה, ואינו חייב בקבורתה, אלא אביה יורשה ואביה קוברה</w:t>
      </w:r>
      <w:r w:rsidR="003D6D3F" w:rsidRPr="003D6D3F">
        <w:t>.</w:t>
      </w:r>
    </w:p>
    <w:p w14:paraId="443B03C3" w14:textId="6EA7C5BD" w:rsidR="003D6D3F" w:rsidRDefault="003D6D3F" w:rsidP="003D6D3F">
      <w:pPr>
        <w:pStyle w:val="Style1"/>
        <w:rPr>
          <w:rtl/>
        </w:rPr>
      </w:pPr>
      <w:r w:rsidRPr="003D6D3F">
        <w:rPr>
          <w:rFonts w:hint="cs"/>
          <w:rtl/>
        </w:rPr>
        <w:t>והוא הדין אם נשאה במקום שלא זכה בנדוניא (סברת הרב), כדרך שנתבאר </w:t>
      </w:r>
      <w:hyperlink r:id="rId98" w:tooltip="שולחן ערוך אבן העזר נד" w:history="1">
        <w:r w:rsidRPr="003D6D3F">
          <w:rPr>
            <w:rStyle w:val="Hyperlink"/>
            <w:rFonts w:hint="cs"/>
            <w:color w:val="7030A0"/>
            <w:u w:val="none"/>
            <w:rtl/>
          </w:rPr>
          <w:t>סוף סימן נ"ד</w:t>
        </w:r>
      </w:hyperlink>
      <w:r w:rsidRPr="003D6D3F">
        <w:rPr>
          <w:rFonts w:hint="cs"/>
        </w:rPr>
        <w:t>. (</w:t>
      </w:r>
      <w:r w:rsidRPr="003D6D3F">
        <w:rPr>
          <w:rFonts w:hint="cs"/>
          <w:rtl/>
        </w:rPr>
        <w:t>וע"ל </w:t>
      </w:r>
      <w:hyperlink r:id="rId99" w:anchor="%D7%A1%D7%A2%D7%99%D7%A3_%D7%94" w:tooltip="שולחן ערוך אבן העזר סט" w:history="1">
        <w:r w:rsidRPr="003D6D3F">
          <w:rPr>
            <w:rStyle w:val="Hyperlink"/>
            <w:rFonts w:hint="cs"/>
            <w:color w:val="7030A0"/>
            <w:u w:val="none"/>
            <w:rtl/>
          </w:rPr>
          <w:t>סי' ס"ט סעיף ה</w:t>
        </w:r>
        <w:r w:rsidRPr="003D6D3F">
          <w:rPr>
            <w:rStyle w:val="Hyperlink"/>
            <w:rFonts w:hint="cs"/>
            <w:color w:val="7030A0"/>
            <w:u w:val="none"/>
          </w:rPr>
          <w:t>'</w:t>
        </w:r>
      </w:hyperlink>
      <w:r w:rsidRPr="003D6D3F">
        <w:rPr>
          <w:rFonts w:hint="cs"/>
        </w:rPr>
        <w:t>)</w:t>
      </w:r>
      <w:r w:rsidRPr="003D6D3F">
        <w:t>:</w:t>
      </w:r>
    </w:p>
    <w:p w14:paraId="3559CA2A" w14:textId="0BE4C490" w:rsidR="00B1579A" w:rsidRDefault="00B1579A" w:rsidP="00B1579A">
      <w:pPr>
        <w:pStyle w:val="Style1"/>
        <w:rPr>
          <w:rtl/>
        </w:rPr>
      </w:pPr>
      <w:r>
        <w:rPr>
          <w:rFonts w:hint="cs"/>
          <w:rtl/>
        </w:rPr>
        <w:t>7)[</w:t>
      </w:r>
      <w:r>
        <w:rPr>
          <w:rtl/>
        </w:rPr>
        <w:t>רמב</w:t>
      </w:r>
      <w:r w:rsidR="00213DA1">
        <w:rPr>
          <w:rtl/>
        </w:rPr>
        <w:t>”ם \נשים\</w:t>
      </w:r>
      <w:r>
        <w:rPr>
          <w:rtl/>
        </w:rPr>
        <w:t xml:space="preserve"> הלכות אישות פרק כב הלכה ב</w:t>
      </w:r>
      <w:r>
        <w:rPr>
          <w:rFonts w:hint="cs"/>
          <w:rtl/>
        </w:rPr>
        <w:t xml:space="preserve">] </w:t>
      </w:r>
      <w:r>
        <w:rPr>
          <w:rtl/>
        </w:rPr>
        <w:t>כיצד האשה שנתארסה ומסרה אביה לבעלה או לשלוחי בעלה או מסרוה שלוחי האב לבעלה או לשלוחי בעלה ומתה בדרך קודם שתכנס לחופה אף על פי שכתובתה עדיין בבית אביה בעלה יורשה, וכן אם הלך האב או שלוחי האב עם הבעל ונכנס עמה בעלה בדרך לחצר ונתיחד עמה שם לשם נשואין ומתה הרי זו יירשנה בעלה. אבל אם עדיין האב עם הבעל להוליכה לבית בעלה או שהלכו שלוחי האב עם שלוחי הבעל או עם הבעל ואפילו נכנס הבעל עמה לחצר ללון כדרך שלנין עוברי דרכים בפונדק הואיל והאב או שלוחיו עמה ועדיין לא נתיחד עמה לשם נשואין אם מתה יירשנה אביה אף על פי שכתובתה בבית בעלה. /השגת הראב"ד/ וכן אם הלך האב או שלוחי האב עם הבעל ונכנס עמה בעלה בדרך לחצר. א"א אם חצר דידיה הוא אפילו בסתם. /השגת הראב"ד/ ואפי' נכנס הבעל עמה לחצר ללון כדרך שלנין עוברי דרכים בפונדק. א"א ואם חצר דידה אפילו בסתם.</w:t>
      </w:r>
    </w:p>
    <w:p w14:paraId="130A27E2" w14:textId="70E326EB" w:rsidR="00846F66" w:rsidRPr="00846F66" w:rsidRDefault="004B6CD9" w:rsidP="00846F66">
      <w:pPr>
        <w:pStyle w:val="Style1"/>
      </w:pPr>
      <w:r>
        <w:rPr>
          <w:rFonts w:hint="cs"/>
          <w:rtl/>
        </w:rPr>
        <w:t>7)[</w:t>
      </w:r>
      <w:r>
        <w:rPr>
          <w:rtl/>
        </w:rPr>
        <w:t>שולחן ערוך אבן העזר הלכות קידושין סימן נז</w:t>
      </w:r>
      <w:r>
        <w:rPr>
          <w:rFonts w:hint="cs"/>
          <w:rtl/>
        </w:rPr>
        <w:t>]</w:t>
      </w:r>
      <w:r w:rsidR="00846F66">
        <w:rPr>
          <w:rFonts w:hint="cs"/>
          <w:rtl/>
        </w:rPr>
        <w:t xml:space="preserve"> </w:t>
      </w:r>
      <w:r w:rsidR="00846F66" w:rsidRPr="00846F66">
        <w:rPr>
          <w:rtl/>
        </w:rPr>
        <w:t>הבעל קודם לכל אדם בירושת אשתו. ומאימתי יזכה בירושתה, משתצא מרשות האב, ואף על פי שעדיין לא נכנסה לחופה, הואיל ונעשית ברשות בעלה, יירשנה. כיצד, האשה שנתארסה ומסרה אביה לבעלה, או לשלוחי בעלה, או מסרוה שלוחי האב לבעלה או לשלוחיו, ומתה בדרך קדם שתכנס לחופה, אף על פי שהנדוניא עדין בבית אביה, בעלה יורשה</w:t>
      </w:r>
      <w:r w:rsidR="00846F66" w:rsidRPr="00846F66">
        <w:t>.</w:t>
      </w:r>
    </w:p>
    <w:p w14:paraId="07A8CA5E" w14:textId="77777777" w:rsidR="00846F66" w:rsidRPr="00846F66" w:rsidRDefault="00846F66" w:rsidP="00846F66">
      <w:pPr>
        <w:pStyle w:val="Style1"/>
      </w:pPr>
      <w:r w:rsidRPr="00846F66">
        <w:rPr>
          <w:rFonts w:hint="cs"/>
          <w:rtl/>
        </w:rPr>
        <w:t>ועין לעיל </w:t>
      </w:r>
      <w:hyperlink r:id="rId100" w:tooltip="שולחן ערוך אבן העזר נג" w:history="1">
        <w:r w:rsidRPr="00846F66">
          <w:rPr>
            <w:rStyle w:val="Hyperlink"/>
            <w:rFonts w:hint="cs"/>
            <w:color w:val="7030A0"/>
            <w:u w:val="none"/>
            <w:rtl/>
          </w:rPr>
          <w:t>סוף סימן נ"ג</w:t>
        </w:r>
      </w:hyperlink>
      <w:r w:rsidRPr="00846F66">
        <w:rPr>
          <w:rFonts w:hint="cs"/>
        </w:rPr>
        <w:t> </w:t>
      </w:r>
      <w:r w:rsidRPr="00846F66">
        <w:rPr>
          <w:rFonts w:hint="cs"/>
          <w:rtl/>
        </w:rPr>
        <w:t>ולקמן </w:t>
      </w:r>
      <w:hyperlink r:id="rId101" w:tooltip="שולחן ערוך אבן העזר קיח" w:history="1">
        <w:r w:rsidRPr="00846F66">
          <w:rPr>
            <w:rStyle w:val="Hyperlink"/>
            <w:rFonts w:hint="cs"/>
            <w:color w:val="7030A0"/>
            <w:u w:val="none"/>
            <w:rtl/>
          </w:rPr>
          <w:t>סימן קי"ח</w:t>
        </w:r>
      </w:hyperlink>
      <w:r w:rsidRPr="00846F66">
        <w:rPr>
          <w:rFonts w:hint="cs"/>
        </w:rPr>
        <w:t xml:space="preserve">. </w:t>
      </w:r>
      <w:r w:rsidRPr="00846F66">
        <w:rPr>
          <w:rFonts w:hint="cs"/>
          <w:rtl/>
        </w:rPr>
        <w:t>ויש חולקין אם הנדוניא לא הגיע לידה (טור בשם רבנו תם)</w:t>
      </w:r>
      <w:r w:rsidRPr="00846F66">
        <w:t>.</w:t>
      </w:r>
    </w:p>
    <w:p w14:paraId="716833A4" w14:textId="77777777" w:rsidR="00846F66" w:rsidRPr="00846F66" w:rsidRDefault="00846F66" w:rsidP="00846F66">
      <w:pPr>
        <w:pStyle w:val="Style1"/>
      </w:pPr>
      <w:r w:rsidRPr="00846F66">
        <w:rPr>
          <w:rtl/>
        </w:rPr>
        <w:t>וכן אם הלך האב או שלוחי האב עם הבעל, ונכנס עמה בדרך לחצר ונתיחד עמה שם לשם נשואין, ומתה, הרי זה יירשנה בעלה. אבל אם עדין האב עם הבעל להוליכה לבית בעלה, או שהלכו שלוחי האב עם שלוחי הבעל, או עם הבעל, אפלו נכנס הבעל עמה לחצר ללון כדרך שלנין עוברי דרכים בפונדק אחד, הואיל והאב או שלוחיו עמה, ועדין לא נתייחד עמה לשם נשואין, אם מתה יירשנה אביה, אף על פי שנדוניתה בבית בעלה. וכן אם היתה בוגרת או יתומה או אלמנה, והלכה היא בעצמה מבית אביה לבית בעלה, ואין עמה לא בעלה ולא שלוחיו, ומתה בדרך, אין הבעל יורש אותה</w:t>
      </w:r>
      <w:r w:rsidRPr="00846F66">
        <w:t>.</w:t>
      </w:r>
    </w:p>
    <w:p w14:paraId="4591FCF5" w14:textId="1E8ED5AD" w:rsidR="00846F66" w:rsidRDefault="00846F66" w:rsidP="00846F66">
      <w:pPr>
        <w:pStyle w:val="Style1"/>
        <w:rPr>
          <w:rtl/>
        </w:rPr>
      </w:pPr>
      <w:r w:rsidRPr="00846F66">
        <w:rPr>
          <w:rFonts w:hint="cs"/>
          <w:rtl/>
        </w:rPr>
        <w:t>הגה: ויש אומרים דבחצר שלו, או של שניהם, סתם יחוד הוי לשם נשואין (הר"ן פרק נערה); ובחצר שלה, או שאינה של שניהם, סתם יחוד הוי ללון (המגיד משנה בשם הרמב"ן והרשב"א)</w:t>
      </w:r>
      <w:r w:rsidRPr="00846F66">
        <w:t>:</w:t>
      </w:r>
    </w:p>
    <w:p w14:paraId="68A7FED9" w14:textId="03CE4DD1" w:rsidR="00FD6774" w:rsidRDefault="00FD6774" w:rsidP="00FD6774">
      <w:pPr>
        <w:pStyle w:val="Style1"/>
        <w:rPr>
          <w:rtl/>
        </w:rPr>
      </w:pPr>
      <w:r>
        <w:rPr>
          <w:rFonts w:hint="cs"/>
          <w:rtl/>
        </w:rPr>
        <w:lastRenderedPageBreak/>
        <w:t>8)[</w:t>
      </w:r>
      <w:r>
        <w:rPr>
          <w:rtl/>
        </w:rPr>
        <w:t>רמב</w:t>
      </w:r>
      <w:r w:rsidR="00213DA1">
        <w:rPr>
          <w:rtl/>
        </w:rPr>
        <w:t>”ם \נשים\</w:t>
      </w:r>
      <w:r>
        <w:rPr>
          <w:rtl/>
        </w:rPr>
        <w:t xml:space="preserve"> הלכות אישות פרק י הלכה יא</w:t>
      </w:r>
      <w:r>
        <w:rPr>
          <w:rFonts w:hint="cs"/>
          <w:rtl/>
        </w:rPr>
        <w:t xml:space="preserve">] </w:t>
      </w:r>
      <w:r>
        <w:rPr>
          <w:rtl/>
        </w:rPr>
        <w:t>המארס את האשה וכתב לה כתובה ולא נכנסה לחופה עדיין ארוסה היא ואינה נשואה שאין הכתובה עושה נישואין, ואם מת או גרשה גובה עיקר כתובתה מבני חורין ואינה גובה תוספת כלל הואיל ולא כנסה, אבל אם ארס ולא כתב כ לה כתובה ומת או גרשה והיא ארוסה אין לה כלום ואפילו העיקר שלא תיקנו לה עיקר כתובה עד שתנשא או עד שיכתוב, והמארס את בתו וכתב לה כתובה ומת או גרשה כשהיא נערה כתובתה לאביה כמו שביארנו.</w:t>
      </w:r>
    </w:p>
    <w:p w14:paraId="340E6A15" w14:textId="29F92C2D" w:rsidR="00236E7F" w:rsidRPr="00236E7F" w:rsidRDefault="005513A1" w:rsidP="00236E7F">
      <w:pPr>
        <w:pStyle w:val="Style1"/>
      </w:pPr>
      <w:r>
        <w:rPr>
          <w:rFonts w:hint="cs"/>
          <w:rtl/>
        </w:rPr>
        <w:t>8)[</w:t>
      </w:r>
      <w:r>
        <w:rPr>
          <w:rtl/>
        </w:rPr>
        <w:t>שולחן ערוך אבן העזר הלכות קידושין סימן נה סעיף ו</w:t>
      </w:r>
      <w:r>
        <w:rPr>
          <w:rFonts w:hint="cs"/>
          <w:rtl/>
        </w:rPr>
        <w:t>]</w:t>
      </w:r>
      <w:r w:rsidR="00236E7F">
        <w:rPr>
          <w:rFonts w:hint="cs"/>
          <w:rtl/>
        </w:rPr>
        <w:t xml:space="preserve"> </w:t>
      </w:r>
      <w:r w:rsidR="00236E7F" w:rsidRPr="00236E7F">
        <w:rPr>
          <w:rtl/>
        </w:rPr>
        <w:t>המארס את האשה וכתב לה כתובה, ולא כנסה לחופה, עדיין ארוסה היא ואינה נשואה, שאין הכתובה עושה נשואין; ואם מת או גרשה, גובה עיקר כתובה מבני חורין, ואינה גובה תוספות כלל, הואיל ולא כנסה. אבל אם ארס אשה ולא כתב לה כתובה, ומת או גרשה והיא ארוסה, אין לה כלום, ואפילו העיקר, שלא תקנו לה עיקר כתובה עד שתנשא או עד שיכתב</w:t>
      </w:r>
      <w:r w:rsidR="00236E7F" w:rsidRPr="00236E7F">
        <w:t>.</w:t>
      </w:r>
    </w:p>
    <w:p w14:paraId="280869DE" w14:textId="77777777" w:rsidR="00236E7F" w:rsidRPr="00236E7F" w:rsidRDefault="00236E7F" w:rsidP="00236E7F">
      <w:pPr>
        <w:pStyle w:val="Style1"/>
      </w:pPr>
      <w:r w:rsidRPr="00236E7F">
        <w:rPr>
          <w:rFonts w:hint="cs"/>
          <w:rtl/>
        </w:rPr>
        <w:t>ויש אומרים דארוסה יש לה כתובה (הרא"ש והר"ן והטור), אבל נוהגין כסברא הראשונה</w:t>
      </w:r>
      <w:r w:rsidRPr="00236E7F">
        <w:t>:</w:t>
      </w:r>
    </w:p>
    <w:p w14:paraId="0790A309" w14:textId="77777777" w:rsidR="00236E7F" w:rsidRPr="00236E7F" w:rsidRDefault="00236E7F" w:rsidP="00236E7F">
      <w:pPr>
        <w:pStyle w:val="Style1"/>
      </w:pPr>
    </w:p>
    <w:p w14:paraId="4AB01022" w14:textId="77777777" w:rsidR="00846F66" w:rsidRPr="00236E7F" w:rsidRDefault="00846F66" w:rsidP="00236E7F">
      <w:pPr>
        <w:pStyle w:val="Style1"/>
      </w:pPr>
    </w:p>
    <w:p w14:paraId="6F214C0F" w14:textId="34297B59" w:rsidR="004B6CD9" w:rsidRPr="00236E7F" w:rsidRDefault="004B6CD9" w:rsidP="00236E7F">
      <w:pPr>
        <w:pStyle w:val="Style1"/>
        <w:rPr>
          <w:rtl/>
        </w:rPr>
      </w:pPr>
    </w:p>
    <w:p w14:paraId="0B5A6C9B" w14:textId="23658F3A" w:rsidR="00BB05EC" w:rsidRDefault="00BB05EC" w:rsidP="00E014CB">
      <w:pPr>
        <w:pStyle w:val="Style1"/>
      </w:pPr>
    </w:p>
    <w:p w14:paraId="4DE196AA" w14:textId="0D20AA2F" w:rsidR="00BB05EC" w:rsidRPr="003D6D3F" w:rsidRDefault="00BB05EC" w:rsidP="00BB05EC">
      <w:pPr>
        <w:pStyle w:val="Style1"/>
      </w:pPr>
    </w:p>
    <w:p w14:paraId="7C8B6CBD" w14:textId="77777777" w:rsidR="003D6D3F" w:rsidRPr="003D6D3F" w:rsidRDefault="003D6D3F" w:rsidP="003D6D3F">
      <w:pPr>
        <w:pStyle w:val="Style1"/>
      </w:pPr>
    </w:p>
    <w:p w14:paraId="00AFF2FE" w14:textId="77777777" w:rsidR="00005C46" w:rsidRPr="00A84226" w:rsidRDefault="00005C46" w:rsidP="00A84226">
      <w:pPr>
        <w:pStyle w:val="Style1"/>
      </w:pPr>
    </w:p>
    <w:p w14:paraId="72E0F05C" w14:textId="558A11E9" w:rsidR="00D96E45" w:rsidRPr="0023730E" w:rsidRDefault="00D96E45" w:rsidP="00D96E45">
      <w:pPr>
        <w:pStyle w:val="Style1"/>
      </w:pPr>
    </w:p>
    <w:p w14:paraId="33012421" w14:textId="77777777" w:rsidR="0023730E" w:rsidRPr="0023730E" w:rsidRDefault="0023730E" w:rsidP="0023730E">
      <w:pPr>
        <w:pStyle w:val="Style1"/>
      </w:pPr>
    </w:p>
    <w:p w14:paraId="34F699EB" w14:textId="77777777" w:rsidR="00F11D18" w:rsidRPr="0023730E" w:rsidRDefault="00F11D18" w:rsidP="0023730E">
      <w:pPr>
        <w:pStyle w:val="Style1"/>
      </w:pPr>
    </w:p>
    <w:p w14:paraId="248F9CCE" w14:textId="22D6CDA6" w:rsidR="00753AFF" w:rsidRPr="0023730E" w:rsidRDefault="00753AFF" w:rsidP="0023730E">
      <w:pPr>
        <w:pStyle w:val="Style1"/>
      </w:pPr>
    </w:p>
    <w:p w14:paraId="58C0469C" w14:textId="347863EC" w:rsidR="00A415F3" w:rsidRPr="009A2916" w:rsidRDefault="00A415F3" w:rsidP="00A415F3">
      <w:pPr>
        <w:pStyle w:val="Style1"/>
      </w:pPr>
    </w:p>
    <w:p w14:paraId="5A1C6C9A" w14:textId="471D1CA8" w:rsidR="005D68A8" w:rsidRDefault="005D68A8" w:rsidP="005D68A8">
      <w:pPr>
        <w:pStyle w:val="Style1"/>
        <w:rPr>
          <w:rtl/>
        </w:rPr>
      </w:pPr>
    </w:p>
    <w:p w14:paraId="75CEE49A" w14:textId="467A6478" w:rsidR="0029040B" w:rsidRPr="0044233A" w:rsidRDefault="0029040B" w:rsidP="0044233A">
      <w:pPr>
        <w:pStyle w:val="Style1"/>
        <w:rPr>
          <w:rStyle w:val="Style1Char"/>
        </w:rPr>
      </w:pPr>
    </w:p>
    <w:p w14:paraId="26992FC2" w14:textId="2C9743CB" w:rsidR="0029040B" w:rsidRPr="00827BEE" w:rsidRDefault="0029040B" w:rsidP="0029040B">
      <w:pPr>
        <w:pStyle w:val="Style1"/>
        <w:rPr>
          <w:rStyle w:val="Style1Char"/>
        </w:rPr>
      </w:pPr>
    </w:p>
    <w:p w14:paraId="14862CB3" w14:textId="77777777" w:rsidR="000357F0" w:rsidRPr="003B2F26" w:rsidRDefault="000357F0" w:rsidP="000357F0">
      <w:pPr>
        <w:bidi/>
        <w:rPr>
          <w:rStyle w:val="Style1Char"/>
          <w:color w:val="00B050"/>
          <w:rtl/>
        </w:rPr>
      </w:pPr>
    </w:p>
    <w:p w14:paraId="7A6D97EE" w14:textId="77777777" w:rsidR="000357F0" w:rsidRPr="00F43D36" w:rsidRDefault="000357F0" w:rsidP="000357F0">
      <w:pPr>
        <w:bidi/>
        <w:rPr>
          <w:rStyle w:val="Style1Char"/>
          <w:color w:val="00B050"/>
        </w:rPr>
      </w:pPr>
    </w:p>
    <w:p w14:paraId="596A7B8C" w14:textId="77777777" w:rsidR="000357F0" w:rsidRPr="00890DA4" w:rsidRDefault="000357F0" w:rsidP="000357F0">
      <w:pPr>
        <w:bidi/>
        <w:rPr>
          <w:rStyle w:val="Style1Char"/>
          <w:color w:val="00B050"/>
          <w:rtl/>
        </w:rPr>
      </w:pPr>
    </w:p>
    <w:p w14:paraId="65128DE3" w14:textId="77777777" w:rsidR="000357F0" w:rsidRDefault="000357F0" w:rsidP="000357F0">
      <w:pPr>
        <w:rPr>
          <w:rStyle w:val="Style1Char"/>
          <w:color w:val="00B050"/>
          <w:rtl/>
        </w:rPr>
      </w:pPr>
      <w:r>
        <w:rPr>
          <w:rStyle w:val="Style1Char"/>
          <w:color w:val="00B050"/>
          <w:rtl/>
        </w:rPr>
        <w:br w:type="page"/>
      </w:r>
    </w:p>
    <w:p w14:paraId="13DA2A1D" w14:textId="77777777" w:rsidR="000357F0" w:rsidRPr="002F2700" w:rsidRDefault="000357F0" w:rsidP="000357F0">
      <w:pPr>
        <w:bidi/>
        <w:rPr>
          <w:rStyle w:val="Style1Char"/>
          <w:color w:val="00B050"/>
        </w:rPr>
      </w:pPr>
      <w:r w:rsidRPr="00DC0DB4">
        <w:rPr>
          <w:rStyle w:val="Style1Char"/>
          <w:color w:val="00B050"/>
          <w:sz w:val="22"/>
          <w:szCs w:val="22"/>
          <w:highlight w:val="yellow"/>
          <w:rtl/>
        </w:rPr>
        <w:lastRenderedPageBreak/>
        <w:t>[דף נג עמוד ב]</w:t>
      </w:r>
      <w:r w:rsidRPr="00DC0DB4">
        <w:rPr>
          <w:rStyle w:val="Style1Char"/>
          <w:color w:val="00B050"/>
          <w:sz w:val="22"/>
          <w:szCs w:val="22"/>
          <w:rtl/>
        </w:rPr>
        <w:t xml:space="preserve"> </w:t>
      </w:r>
      <w:r w:rsidRPr="002F2700">
        <w:rPr>
          <w:rStyle w:val="Style1Char"/>
          <w:color w:val="00B050"/>
          <w:rtl/>
        </w:rPr>
        <w:t xml:space="preserve">שקילא טיבותך שדיא אחיזרי, כבר תרגמא רב הושעיא לשמעתי' בבבל. </w:t>
      </w:r>
    </w:p>
    <w:p w14:paraId="338E5C8C" w14:textId="49B13234" w:rsidR="000357F0" w:rsidRPr="000A1C1B" w:rsidRDefault="000357F0" w:rsidP="000357F0">
      <w:pPr>
        <w:bidi/>
        <w:rPr>
          <w:rStyle w:val="Style1Char"/>
          <w:color w:val="auto"/>
          <w:sz w:val="22"/>
          <w:szCs w:val="22"/>
          <w:rtl/>
        </w:rPr>
      </w:pPr>
      <w:r w:rsidRPr="00AF569F">
        <w:rPr>
          <w:rStyle w:val="Style1Char"/>
          <w:color w:val="auto"/>
          <w:sz w:val="22"/>
          <w:szCs w:val="22"/>
          <w:rtl/>
        </w:rPr>
        <w:t xml:space="preserve">בנן נוקבן דיהויין ליכי מינאי וכו'. רב תני: עד דתלקחן </w:t>
      </w:r>
      <w:r w:rsidRPr="002F2700">
        <w:rPr>
          <w:rStyle w:val="Style1Char"/>
          <w:color w:val="00B050"/>
          <w:rtl/>
        </w:rPr>
        <w:t xml:space="preserve">לגוברין, </w:t>
      </w:r>
      <w:r w:rsidRPr="00AF569F">
        <w:rPr>
          <w:rStyle w:val="Style1Char"/>
          <w:color w:val="auto"/>
          <w:sz w:val="22"/>
          <w:szCs w:val="22"/>
          <w:rtl/>
        </w:rPr>
        <w:t>ולוי תני: עד דתבגרן</w:t>
      </w:r>
      <w:r w:rsidRPr="002F2700">
        <w:rPr>
          <w:rStyle w:val="Style1Char"/>
          <w:color w:val="00B050"/>
          <w:rtl/>
        </w:rPr>
        <w:t xml:space="preserve">. לרב אף על גב דבגר? ולוי אף על גב דאינסיב? אלא </w:t>
      </w:r>
      <w:r w:rsidR="00F256CE">
        <w:rPr>
          <w:rStyle w:val="Style1Char"/>
          <w:rFonts w:hint="cs"/>
          <w:rtl/>
        </w:rPr>
        <w:t>(1)</w:t>
      </w:r>
      <w:r w:rsidRPr="00AF569F">
        <w:rPr>
          <w:rStyle w:val="Style1Char"/>
          <w:color w:val="auto"/>
          <w:sz w:val="22"/>
          <w:szCs w:val="22"/>
          <w:rtl/>
        </w:rPr>
        <w:t>בגר ולא אינסיב, אינסיב ולא בגר - דכולי עלמא לא פליגי</w:t>
      </w:r>
      <w:r w:rsidRPr="00AF569F">
        <w:rPr>
          <w:rStyle w:val="Style1Char"/>
          <w:color w:val="auto"/>
          <w:rtl/>
        </w:rPr>
        <w:t xml:space="preserve"> </w:t>
      </w:r>
      <w:r w:rsidRPr="00AF569F">
        <w:rPr>
          <w:rStyle w:val="Style1Char"/>
          <w:color w:val="806000" w:themeColor="accent4" w:themeShade="80"/>
          <w:sz w:val="22"/>
          <w:szCs w:val="22"/>
          <w:rtl/>
        </w:rPr>
        <w:t>דלית לה</w:t>
      </w:r>
      <w:r w:rsidRPr="00AF569F">
        <w:rPr>
          <w:rStyle w:val="Style1Char"/>
          <w:color w:val="auto"/>
          <w:sz w:val="22"/>
          <w:szCs w:val="22"/>
          <w:rtl/>
        </w:rPr>
        <w:t>,</w:t>
      </w:r>
      <w:r w:rsidRPr="00AF569F">
        <w:rPr>
          <w:rStyle w:val="Style1Char"/>
          <w:color w:val="auto"/>
          <w:rtl/>
        </w:rPr>
        <w:t xml:space="preserve"> </w:t>
      </w:r>
      <w:r w:rsidRPr="00AF569F">
        <w:rPr>
          <w:rStyle w:val="Style1Char"/>
          <w:color w:val="auto"/>
          <w:sz w:val="22"/>
          <w:szCs w:val="22"/>
          <w:rtl/>
        </w:rPr>
        <w:t xml:space="preserve">כי פליגי - בארוסה </w:t>
      </w:r>
      <w:r w:rsidRPr="002F2700">
        <w:rPr>
          <w:rStyle w:val="Style1Char"/>
          <w:color w:val="00B050"/>
          <w:rtl/>
        </w:rPr>
        <w:t>ולא בגר</w:t>
      </w:r>
      <w:r w:rsidRPr="00EB4792">
        <w:rPr>
          <w:rStyle w:val="BalloonTextChar"/>
          <w:rFonts w:asciiTheme="minorHAnsi" w:hAnsiTheme="minorHAnsi" w:cs="Arial"/>
          <w:color w:val="806000" w:themeColor="accent4" w:themeShade="80"/>
          <w:rtl/>
        </w:rPr>
        <w:t xml:space="preserve"> </w:t>
      </w:r>
      <w:r w:rsidRPr="00EB4792">
        <w:rPr>
          <w:rStyle w:val="Style1Char"/>
          <w:color w:val="806000" w:themeColor="accent4" w:themeShade="80"/>
          <w:sz w:val="22"/>
          <w:szCs w:val="22"/>
          <w:rtl/>
        </w:rPr>
        <w:t>דרב סבר לית לה ולוי סבר אית לה עד דתבגרן או ימטי זמניהון לאיתנסבא</w:t>
      </w:r>
      <w:r w:rsidRPr="00EB4792">
        <w:rPr>
          <w:rStyle w:val="Style1Char"/>
          <w:color w:val="806000" w:themeColor="accent4" w:themeShade="80"/>
          <w:rtl/>
        </w:rPr>
        <w:t xml:space="preserve"> </w:t>
      </w:r>
      <w:r w:rsidRPr="003D3F76">
        <w:rPr>
          <w:rStyle w:val="Style1Char"/>
          <w:color w:val="C00000"/>
          <w:sz w:val="22"/>
          <w:szCs w:val="22"/>
          <w:rtl/>
        </w:rPr>
        <w:t>כדתנן נותנין לבתולה י"ב חדש משתבעה הבעל לפרנס עצמה ותנן הגיע זמן ולא נשאו אוכלות משלו</w:t>
      </w:r>
      <w:r w:rsidRPr="002F2700">
        <w:rPr>
          <w:rStyle w:val="Style1Char"/>
          <w:color w:val="00B050"/>
          <w:rtl/>
        </w:rPr>
        <w:t xml:space="preserve">. </w:t>
      </w:r>
      <w:r w:rsidRPr="003D3F76">
        <w:rPr>
          <w:rStyle w:val="Style1Char"/>
          <w:sz w:val="22"/>
          <w:szCs w:val="22"/>
          <w:rtl/>
        </w:rPr>
        <w:t xml:space="preserve">וכן תני לוי במתניתיה: </w:t>
      </w:r>
      <w:r w:rsidRPr="005F3EC1">
        <w:rPr>
          <w:rStyle w:val="Style1Char"/>
          <w:sz w:val="22"/>
          <w:szCs w:val="22"/>
          <w:rtl/>
        </w:rPr>
        <w:t xml:space="preserve">עד דתבגרן </w:t>
      </w:r>
      <w:r w:rsidRPr="002F2700">
        <w:rPr>
          <w:rStyle w:val="Style1Char"/>
          <w:color w:val="00B050"/>
          <w:rtl/>
        </w:rPr>
        <w:t xml:space="preserve">וימטי זמניהון דאינסבן. תרתי? אלא, או תבגרן </w:t>
      </w:r>
      <w:r w:rsidRPr="005F3EC1">
        <w:rPr>
          <w:rStyle w:val="Style1Char"/>
          <w:sz w:val="22"/>
          <w:szCs w:val="22"/>
          <w:rtl/>
        </w:rPr>
        <w:t xml:space="preserve">או ימטי זמניהון לאיתנסבא. </w:t>
      </w:r>
      <w:r w:rsidRPr="00A248DD">
        <w:rPr>
          <w:rStyle w:val="Style1Char"/>
          <w:color w:val="auto"/>
          <w:sz w:val="22"/>
          <w:szCs w:val="22"/>
          <w:rtl/>
        </w:rPr>
        <w:t xml:space="preserve">כתנאי: </w:t>
      </w:r>
      <w:r w:rsidR="00D24DC4">
        <w:rPr>
          <w:rStyle w:val="Style1Char"/>
          <w:rFonts w:hint="cs"/>
          <w:rtl/>
        </w:rPr>
        <w:t>(1)</w:t>
      </w:r>
      <w:r w:rsidRPr="00A248DD">
        <w:rPr>
          <w:rStyle w:val="Style1Char"/>
          <w:color w:val="auto"/>
          <w:sz w:val="22"/>
          <w:szCs w:val="22"/>
          <w:rtl/>
        </w:rPr>
        <w:t>עד מתי הבת נזונית? עד שתארס, משום רבי אלעזר אמרו: עד שתבגר</w:t>
      </w:r>
      <w:r w:rsidRPr="00A248DD">
        <w:rPr>
          <w:rStyle w:val="Style1Char"/>
          <w:color w:val="auto"/>
          <w:rtl/>
        </w:rPr>
        <w:t xml:space="preserve"> </w:t>
      </w:r>
      <w:r w:rsidRPr="000A1C1B">
        <w:rPr>
          <w:rStyle w:val="Style1Char"/>
          <w:color w:val="4472C4" w:themeColor="accent1"/>
          <w:sz w:val="22"/>
          <w:szCs w:val="22"/>
          <w:rtl/>
        </w:rPr>
        <w:t xml:space="preserve">והילכתא כרב דקאי לה כת"ק. </w:t>
      </w:r>
      <w:r w:rsidRPr="00435509">
        <w:rPr>
          <w:rStyle w:val="Style1Char"/>
          <w:color w:val="C00000"/>
          <w:sz w:val="22"/>
          <w:szCs w:val="22"/>
          <w:rtl/>
        </w:rPr>
        <w:t>רב כתנא קמא ולוי כר' אלעזר והלכתא כרב דקאי כתנא קמא</w:t>
      </w:r>
      <w:r w:rsidRPr="002F2700">
        <w:rPr>
          <w:rStyle w:val="Style1Char"/>
          <w:color w:val="00B050"/>
          <w:rtl/>
        </w:rPr>
        <w:t xml:space="preserve">. תני רב יוסף: עד דיהוויין. איבעיא להו: הויה דאירוסין, או הויה דנישואין? תיקו. </w:t>
      </w:r>
      <w:r w:rsidRPr="000A1C1B">
        <w:rPr>
          <w:rStyle w:val="Style1Char"/>
          <w:color w:val="auto"/>
          <w:sz w:val="22"/>
          <w:szCs w:val="22"/>
          <w:rtl/>
        </w:rPr>
        <w:t xml:space="preserve">אמר ליה רב חסדא לרב יוסף: מי שמיע לך מיניה דרב יהודה, ארוסה יש לה מזונות או אין לה מזונות? </w:t>
      </w:r>
    </w:p>
    <w:p w14:paraId="778141AB" w14:textId="689B77FD" w:rsidR="000357F0" w:rsidRPr="001D4E59" w:rsidRDefault="000357F0" w:rsidP="000357F0">
      <w:pPr>
        <w:bidi/>
        <w:rPr>
          <w:rStyle w:val="Style1Char"/>
          <w:color w:val="C00000"/>
        </w:rPr>
      </w:pPr>
      <w:r w:rsidRPr="000A1C1B">
        <w:rPr>
          <w:rStyle w:val="Style1Char"/>
          <w:color w:val="ED7D31" w:themeColor="accent2"/>
          <w:sz w:val="22"/>
          <w:szCs w:val="22"/>
          <w:rtl/>
        </w:rPr>
        <w:t>אמר ליה: משמע לא שמיע לי, אלא מסברא לית לה, כיון דאירסה - לא ניחא ליה דתיתזיל; אמר ליה: אם משמע לא שמיע לך, מסברא אית לה, כיון דלא קים ליה בגוה - לא שדי זוזי בכדי</w:t>
      </w:r>
      <w:r w:rsidRPr="00A13194">
        <w:rPr>
          <w:rStyle w:val="Style1Char"/>
          <w:color w:val="4472C4" w:themeColor="accent1"/>
          <w:rtl/>
        </w:rPr>
        <w:t xml:space="preserve"> </w:t>
      </w:r>
      <w:r w:rsidRPr="00C81021">
        <w:rPr>
          <w:rStyle w:val="Style1Char"/>
          <w:color w:val="4472C4" w:themeColor="accent1"/>
          <w:rtl/>
        </w:rPr>
        <w:t>ואיכא לישנא אחרינא איפכא זו היא גירסת רש"י ומפרש לה ביתומה ארוסה אם ניזונת מן האחין ולא שמיע ליה פלוגתא דהנך אמוראי אי נמי שמיע ליה ומבעיא ליה הילכתא כמאן וקי"ל כלישנא בתראה דאמר מסברא לית לה והיינו כרבורב אלפס גרס א"ל מישמע לא שמיע לי מסברא אית לה דכיון דאירסה לא ניחא ליה דתיתזיל א"ל אי משמע לא שמיע לך מסברא לית לה דלא שדי איניש זוזי בכדי לישנא אחרינא איפכא</w:t>
      </w:r>
      <w:r>
        <w:rPr>
          <w:rStyle w:val="Style1Char"/>
          <w:rFonts w:hint="cs"/>
          <w:color w:val="4472C4" w:themeColor="accent1"/>
        </w:rPr>
        <w:t>‍</w:t>
      </w:r>
      <w:r w:rsidRPr="00C81021">
        <w:rPr>
          <w:rStyle w:val="Style1Char"/>
          <w:color w:val="4472C4" w:themeColor="accent1"/>
          <w:rtl/>
        </w:rPr>
        <w:t xml:space="preserve"> ומפרש לה במארס יתומה הניזונת מן האחין ומשום דידע ארוס דאחר שנתארסה אינה ניזונת מן האחין דקי"ל כרב מספקא ליה אי אירסה אדעתא דהכי שיזונה או לא ופסק הלכה כלישנא בתראה דאית לה ופרש"י עיקר דלאידך פירושא</w:t>
      </w:r>
      <w:r>
        <w:rPr>
          <w:rStyle w:val="Style1Char"/>
          <w:rFonts w:hint="cs"/>
          <w:color w:val="4472C4" w:themeColor="accent1"/>
        </w:rPr>
        <w:t>‍</w:t>
      </w:r>
      <w:r w:rsidRPr="00C81021">
        <w:rPr>
          <w:rStyle w:val="Style1Char"/>
          <w:color w:val="4472C4" w:themeColor="accent1"/>
          <w:rtl/>
        </w:rPr>
        <w:t xml:space="preserve"> הוה ליה לפרושי ארוסה יתומה יש לה מן הארוס או לא</w:t>
      </w:r>
      <w:r w:rsidRPr="000A1C1B">
        <w:rPr>
          <w:rStyle w:val="Style1Char"/>
          <w:color w:val="ED7D31" w:themeColor="accent2"/>
          <w:sz w:val="22"/>
          <w:szCs w:val="22"/>
          <w:rtl/>
        </w:rPr>
        <w:t xml:space="preserve">. </w:t>
      </w:r>
      <w:r w:rsidRPr="00A13194">
        <w:rPr>
          <w:rStyle w:val="Style1Char"/>
          <w:sz w:val="22"/>
          <w:szCs w:val="22"/>
          <w:rtl/>
        </w:rPr>
        <w:t>ואיכא דאמרי</w:t>
      </w:r>
      <w:r w:rsidRPr="002F2700">
        <w:rPr>
          <w:rStyle w:val="Style1Char"/>
          <w:color w:val="00B050"/>
          <w:rtl/>
        </w:rPr>
        <w:t xml:space="preserve">, </w:t>
      </w:r>
      <w:r w:rsidRPr="009D48AF">
        <w:rPr>
          <w:rStyle w:val="Style1Char"/>
          <w:sz w:val="22"/>
          <w:szCs w:val="22"/>
          <w:rtl/>
        </w:rPr>
        <w:t xml:space="preserve">אמר ליה: משמע לא שמיע לי, מסברא </w:t>
      </w:r>
      <w:r w:rsidRPr="00D351CF">
        <w:rPr>
          <w:rStyle w:val="Style1Char"/>
          <w:color w:val="00B050"/>
          <w:rtl/>
        </w:rPr>
        <w:t xml:space="preserve">אית </w:t>
      </w:r>
      <w:r w:rsidRPr="00D351CF">
        <w:rPr>
          <w:rStyle w:val="Style1Char"/>
          <w:color w:val="C00000"/>
          <w:sz w:val="22"/>
          <w:szCs w:val="22"/>
          <w:rtl/>
        </w:rPr>
        <w:t xml:space="preserve">לית </w:t>
      </w:r>
      <w:r w:rsidRPr="009D48AF">
        <w:rPr>
          <w:rStyle w:val="Style1Char"/>
          <w:sz w:val="22"/>
          <w:szCs w:val="22"/>
          <w:rtl/>
        </w:rPr>
        <w:t xml:space="preserve">לה, כיון דלא קים ליה בגוה - לא שדי זוזי בכדי; אמר ליה: </w:t>
      </w:r>
      <w:r w:rsidR="00756C6B">
        <w:rPr>
          <w:rStyle w:val="Style1Char"/>
          <w:rFonts w:hint="cs"/>
          <w:rtl/>
        </w:rPr>
        <w:t>(2)</w:t>
      </w:r>
      <w:r w:rsidRPr="009D48AF">
        <w:rPr>
          <w:rStyle w:val="Style1Char"/>
          <w:sz w:val="22"/>
          <w:szCs w:val="22"/>
          <w:rtl/>
        </w:rPr>
        <w:t xml:space="preserve">אי משמע לא שמיע לך, מסברא </w:t>
      </w:r>
      <w:r w:rsidRPr="00D351CF">
        <w:rPr>
          <w:rStyle w:val="Style1Char"/>
          <w:color w:val="00B050"/>
          <w:rtl/>
        </w:rPr>
        <w:t xml:space="preserve">לית </w:t>
      </w:r>
      <w:r w:rsidRPr="00D351CF">
        <w:rPr>
          <w:rStyle w:val="Style1Char"/>
          <w:color w:val="C00000"/>
          <w:sz w:val="22"/>
          <w:szCs w:val="22"/>
          <w:rtl/>
        </w:rPr>
        <w:t xml:space="preserve">אית </w:t>
      </w:r>
      <w:r w:rsidRPr="009D48AF">
        <w:rPr>
          <w:rStyle w:val="Style1Char"/>
          <w:sz w:val="22"/>
          <w:szCs w:val="22"/>
          <w:rtl/>
        </w:rPr>
        <w:t xml:space="preserve">לה, כיון דאירסה - לא ניחא ליה </w:t>
      </w:r>
      <w:r w:rsidRPr="00D351CF">
        <w:rPr>
          <w:rStyle w:val="Style1Char"/>
          <w:color w:val="00B050"/>
          <w:rtl/>
        </w:rPr>
        <w:t>דתיתזיל</w:t>
      </w:r>
      <w:r w:rsidRPr="00D351CF">
        <w:rPr>
          <w:rStyle w:val="Style1Char"/>
          <w:color w:val="C00000"/>
          <w:rtl/>
        </w:rPr>
        <w:t xml:space="preserve"> </w:t>
      </w:r>
      <w:r w:rsidRPr="00D351CF">
        <w:rPr>
          <w:rStyle w:val="Style1Char"/>
          <w:color w:val="C00000"/>
          <w:sz w:val="22"/>
          <w:szCs w:val="22"/>
          <w:rtl/>
        </w:rPr>
        <w:t>דתינוול</w:t>
      </w:r>
      <w:r w:rsidRPr="000C6277">
        <w:rPr>
          <w:rStyle w:val="Style1Char"/>
          <w:color w:val="C00000"/>
          <w:rtl/>
        </w:rPr>
        <w:t xml:space="preserve"> </w:t>
      </w:r>
      <w:r w:rsidRPr="000C6277">
        <w:rPr>
          <w:rStyle w:val="Style1Char"/>
          <w:color w:val="C00000"/>
          <w:sz w:val="22"/>
          <w:szCs w:val="22"/>
          <w:rtl/>
        </w:rPr>
        <w:t>דהא לית לה מזוני מן האחים וקא פסקי רבנן הלכתא כי האי לישנא בתרא והני מילי לאחר י"ב חדש</w:t>
      </w:r>
      <w:r w:rsidRPr="009D48AF">
        <w:rPr>
          <w:rStyle w:val="Style1Char"/>
          <w:sz w:val="22"/>
          <w:szCs w:val="22"/>
          <w:rtl/>
        </w:rPr>
        <w:t xml:space="preserve">. </w:t>
      </w:r>
      <w:r w:rsidRPr="002F2700">
        <w:rPr>
          <w:rStyle w:val="Style1Char"/>
          <w:color w:val="00B050"/>
          <w:rtl/>
        </w:rPr>
        <w:t xml:space="preserve">(סימן: דגברי שק זרף, מאנה ויבמה שניה ארוסה ואנסה) </w:t>
      </w:r>
      <w:r w:rsidRPr="007016CB">
        <w:rPr>
          <w:rStyle w:val="Style1Char"/>
          <w:color w:val="auto"/>
          <w:sz w:val="22"/>
          <w:szCs w:val="22"/>
          <w:rtl/>
        </w:rPr>
        <w:t>בעו מיניה מרב ששת: ממאנת, יש לה מזונות או אין לה מזונות</w:t>
      </w:r>
      <w:r w:rsidRPr="007016CB">
        <w:rPr>
          <w:rStyle w:val="Style1Char"/>
          <w:color w:val="auto"/>
          <w:rtl/>
        </w:rPr>
        <w:t xml:space="preserve"> </w:t>
      </w:r>
      <w:r w:rsidRPr="001D4E59">
        <w:rPr>
          <w:rStyle w:val="Style1Char"/>
          <w:color w:val="C00000"/>
          <w:rtl/>
        </w:rPr>
        <w:t>פירוש מן האחים</w:t>
      </w:r>
      <w:r w:rsidRPr="000C6277">
        <w:rPr>
          <w:rStyle w:val="Style1Char"/>
          <w:sz w:val="22"/>
          <w:szCs w:val="22"/>
          <w:rtl/>
        </w:rPr>
        <w:t xml:space="preserve">? </w:t>
      </w:r>
      <w:r w:rsidRPr="007016CB">
        <w:rPr>
          <w:rStyle w:val="Style1Char"/>
          <w:color w:val="auto"/>
          <w:sz w:val="22"/>
          <w:szCs w:val="22"/>
          <w:rtl/>
        </w:rPr>
        <w:t xml:space="preserve">אמר להו רב ששת, תניתוה: </w:t>
      </w:r>
      <w:r w:rsidR="00963B7F">
        <w:rPr>
          <w:rStyle w:val="Style1Char"/>
          <w:rFonts w:hint="cs"/>
          <w:rtl/>
        </w:rPr>
        <w:t>(3)</w:t>
      </w:r>
      <w:r w:rsidRPr="007016CB">
        <w:rPr>
          <w:rStyle w:val="Style1Char"/>
          <w:color w:val="auto"/>
          <w:sz w:val="22"/>
          <w:szCs w:val="22"/>
          <w:rtl/>
        </w:rPr>
        <w:t xml:space="preserve">אלמנה בבית אביה, וגרושה בבית אביה, ושומרת יבם בבית אביה - יש לה מזונות; רבי יהודה אומר: עודה בבית אביה - יש לה מזונות, אינה בבית אביה - אין לה מזונות; רבי יהודה היינו ת"ק! אלא לאו ממאנת איכא בינייהו, דתנא קמא סבר: </w:t>
      </w:r>
      <w:r w:rsidR="005B46E6">
        <w:rPr>
          <w:rStyle w:val="Style1Char"/>
          <w:rFonts w:hint="cs"/>
          <w:rtl/>
        </w:rPr>
        <w:t>(3)</w:t>
      </w:r>
      <w:r w:rsidRPr="007016CB">
        <w:rPr>
          <w:rStyle w:val="Style1Char"/>
          <w:color w:val="auto"/>
          <w:sz w:val="22"/>
          <w:szCs w:val="22"/>
          <w:rtl/>
        </w:rPr>
        <w:t>אית לה, ורבי יהודה סבר: לית לה</w:t>
      </w:r>
      <w:r w:rsidRPr="007016CB">
        <w:rPr>
          <w:rStyle w:val="Style1Char"/>
          <w:color w:val="auto"/>
          <w:rtl/>
        </w:rPr>
        <w:t xml:space="preserve"> </w:t>
      </w:r>
      <w:r w:rsidRPr="007016CB">
        <w:rPr>
          <w:rStyle w:val="Style1Char"/>
          <w:color w:val="806000" w:themeColor="accent4" w:themeShade="80"/>
          <w:sz w:val="22"/>
          <w:szCs w:val="22"/>
          <w:rtl/>
        </w:rPr>
        <w:t>והלכתא כת"ק</w:t>
      </w:r>
      <w:r w:rsidRPr="007016CB">
        <w:rPr>
          <w:rStyle w:val="BalloonTextChar"/>
          <w:rFonts w:asciiTheme="minorHAnsi" w:hAnsiTheme="minorHAnsi" w:cs="Arial"/>
          <w:color w:val="806000" w:themeColor="accent4" w:themeShade="80"/>
          <w:rtl/>
        </w:rPr>
        <w:t xml:space="preserve"> </w:t>
      </w:r>
    </w:p>
    <w:p w14:paraId="34C14305" w14:textId="7D0806CF" w:rsidR="000357F0" w:rsidRDefault="000357F0" w:rsidP="000357F0">
      <w:pPr>
        <w:bidi/>
        <w:rPr>
          <w:rStyle w:val="Style1Char"/>
          <w:color w:val="00B050"/>
          <w:rtl/>
        </w:rPr>
      </w:pPr>
      <w:r w:rsidRPr="002F2700">
        <w:rPr>
          <w:rStyle w:val="Style1Char"/>
          <w:color w:val="00B050"/>
          <w:rtl/>
        </w:rPr>
        <w:t>. בעי ריש לקיש</w:t>
      </w:r>
      <w:r w:rsidRPr="0041735E">
        <w:rPr>
          <w:rStyle w:val="Style1Char"/>
          <w:color w:val="4472C4" w:themeColor="accent1"/>
          <w:rtl/>
        </w:rPr>
        <w:t xml:space="preserve"> </w:t>
      </w:r>
      <w:r w:rsidRPr="0041735E">
        <w:rPr>
          <w:rStyle w:val="Style1Char"/>
          <w:color w:val="4472C4" w:themeColor="accent1"/>
          <w:sz w:val="22"/>
          <w:szCs w:val="22"/>
          <w:rtl/>
        </w:rPr>
        <w:t>איבעיא להו</w:t>
      </w:r>
      <w:r w:rsidRPr="002F2700">
        <w:rPr>
          <w:rStyle w:val="Style1Char"/>
          <w:color w:val="00B050"/>
          <w:rtl/>
        </w:rPr>
        <w:t xml:space="preserve">: </w:t>
      </w:r>
      <w:r w:rsidRPr="0041735E">
        <w:rPr>
          <w:rStyle w:val="Style1Char"/>
          <w:color w:val="ED7D31" w:themeColor="accent2"/>
          <w:sz w:val="22"/>
          <w:szCs w:val="22"/>
          <w:rtl/>
        </w:rPr>
        <w:t xml:space="preserve">בת יבמה, יש לה מזונות או אין לה מזונות? כיון דאמר מר </w:t>
      </w:r>
      <w:r w:rsidR="009F7A98">
        <w:rPr>
          <w:rStyle w:val="Style1Char"/>
          <w:rFonts w:hint="cs"/>
          <w:rtl/>
        </w:rPr>
        <w:t>(4)</w:t>
      </w:r>
      <w:r w:rsidRPr="0041735E">
        <w:rPr>
          <w:rStyle w:val="Style1Char"/>
          <w:color w:val="ED7D31" w:themeColor="accent2"/>
          <w:sz w:val="22"/>
          <w:szCs w:val="22"/>
          <w:rtl/>
        </w:rPr>
        <w:t>כתובתה על נכסי בעלה הראשון - לית לה</w:t>
      </w:r>
      <w:r w:rsidRPr="0041735E">
        <w:rPr>
          <w:rStyle w:val="Style1Char"/>
          <w:color w:val="4472C4" w:themeColor="accent1"/>
          <w:rtl/>
        </w:rPr>
        <w:t xml:space="preserve"> </w:t>
      </w:r>
      <w:r w:rsidRPr="00C81021">
        <w:rPr>
          <w:rStyle w:val="Style1Char"/>
          <w:color w:val="4472C4" w:themeColor="accent1"/>
          <w:rtl/>
        </w:rPr>
        <w:t>דלא קרינא ביה בנן נוקבן דתיהוון ליכי מינאי ומיירי דאית ליה נכסי לראשון</w:t>
      </w:r>
      <w:r w:rsidRPr="0041735E">
        <w:rPr>
          <w:rStyle w:val="Style1Char"/>
          <w:color w:val="ED7D31" w:themeColor="accent2"/>
          <w:sz w:val="22"/>
          <w:szCs w:val="22"/>
          <w:rtl/>
        </w:rPr>
        <w:t xml:space="preserve">, או דלמא כיון </w:t>
      </w:r>
      <w:r w:rsidR="00B22E13">
        <w:rPr>
          <w:rStyle w:val="Style1Char"/>
          <w:rFonts w:hint="cs"/>
          <w:rtl/>
        </w:rPr>
        <w:t>(4)</w:t>
      </w:r>
      <w:r w:rsidRPr="0041735E">
        <w:rPr>
          <w:rStyle w:val="Style1Char"/>
          <w:color w:val="ED7D31" w:themeColor="accent2"/>
          <w:sz w:val="22"/>
          <w:szCs w:val="22"/>
          <w:rtl/>
        </w:rPr>
        <w:t>דאי לית לה מראשון תקינו לה רבנן משני - אית לה</w:t>
      </w:r>
      <w:r w:rsidRPr="006C7854">
        <w:rPr>
          <w:rStyle w:val="Style1Char"/>
          <w:color w:val="4472C4" w:themeColor="accent1"/>
          <w:rtl/>
        </w:rPr>
        <w:t xml:space="preserve"> </w:t>
      </w:r>
      <w:r w:rsidRPr="00C81021">
        <w:rPr>
          <w:rStyle w:val="Style1Char"/>
          <w:color w:val="4472C4" w:themeColor="accent1"/>
          <w:rtl/>
        </w:rPr>
        <w:t>ואית לה דלגבי תנאי כתובתה ה"ל כאילו לית ליה נכסי לראשון אבל יבמה גופה לא קמיבעיא ליה דפשיטא דאית לה דקרינא ביה שפיר כל ימי מיגר אלמנותיך בביתי כיון שנשאה אחיו להקים לו שם תיקו וכן בת שניה</w:t>
      </w:r>
      <w:r w:rsidRPr="0041735E">
        <w:rPr>
          <w:rStyle w:val="Style1Char"/>
          <w:color w:val="ED7D31" w:themeColor="accent2"/>
          <w:sz w:val="22"/>
          <w:szCs w:val="22"/>
          <w:rtl/>
        </w:rPr>
        <w:t xml:space="preserve">? </w:t>
      </w:r>
      <w:r w:rsidRPr="006C7854">
        <w:rPr>
          <w:rStyle w:val="Style1Char"/>
          <w:color w:val="4472C4" w:themeColor="accent1"/>
          <w:sz w:val="22"/>
          <w:szCs w:val="22"/>
          <w:rtl/>
        </w:rPr>
        <w:t>עלתה</w:t>
      </w:r>
      <w:r w:rsidRPr="006C7854">
        <w:rPr>
          <w:rStyle w:val="Style1Char"/>
          <w:color w:val="00B050"/>
          <w:sz w:val="22"/>
          <w:szCs w:val="22"/>
          <w:rtl/>
        </w:rPr>
        <w:t xml:space="preserve"> </w:t>
      </w:r>
      <w:r w:rsidRPr="006C7854">
        <w:rPr>
          <w:rStyle w:val="Style1Char"/>
          <w:rFonts w:hint="cs"/>
          <w:color w:val="4472C4" w:themeColor="accent1"/>
          <w:sz w:val="22"/>
          <w:szCs w:val="22"/>
          <w:rtl/>
        </w:rPr>
        <w:t>ב</w:t>
      </w:r>
      <w:r w:rsidRPr="006C7854">
        <w:rPr>
          <w:rStyle w:val="Style1Char"/>
          <w:color w:val="ED7D31" w:themeColor="accent2"/>
          <w:sz w:val="22"/>
          <w:szCs w:val="22"/>
          <w:rtl/>
        </w:rPr>
        <w:t>תיקו</w:t>
      </w:r>
      <w:r w:rsidRPr="002F2700">
        <w:rPr>
          <w:rStyle w:val="Style1Char"/>
          <w:color w:val="00B050"/>
          <w:rtl/>
        </w:rPr>
        <w:t xml:space="preserve">. בעי רבי אלעזר: בת שניה, יש לה מזונות או אין לה מזונות? </w:t>
      </w:r>
    </w:p>
    <w:p w14:paraId="7534E111" w14:textId="4C53873F" w:rsidR="000357F0" w:rsidRDefault="000357F0" w:rsidP="000357F0">
      <w:pPr>
        <w:bidi/>
        <w:rPr>
          <w:rStyle w:val="Style1Char"/>
          <w:color w:val="4472C4" w:themeColor="accent1"/>
          <w:rtl/>
        </w:rPr>
      </w:pPr>
      <w:r w:rsidRPr="005F5CB2">
        <w:rPr>
          <w:rStyle w:val="Style1Char"/>
          <w:color w:val="806000" w:themeColor="accent4" w:themeShade="80"/>
          <w:rtl/>
        </w:rPr>
        <w:t xml:space="preserve">בת יבמה ובת שניה ובת ארוסה ובת אנוסה כולן עלו בתיקו הילכך לית להו דכל תיקו דממונא חומרא לתובע וקולא לנתבע והנ"מ לאחר מיתה אבל בחיי אבוהן חייב לזונן </w:t>
      </w:r>
      <w:r w:rsidRPr="00C81021">
        <w:rPr>
          <w:rStyle w:val="Style1Char"/>
          <w:color w:val="4472C4" w:themeColor="accent1"/>
          <w:rtl/>
        </w:rPr>
        <w:t xml:space="preserve">בתקנת אושא </w:t>
      </w:r>
      <w:r w:rsidRPr="005F5CB2">
        <w:rPr>
          <w:rStyle w:val="Style1Char"/>
          <w:color w:val="806000" w:themeColor="accent4" w:themeShade="80"/>
          <w:rtl/>
        </w:rPr>
        <w:t xml:space="preserve">עד שש שנים </w:t>
      </w:r>
      <w:r w:rsidRPr="001D4E59">
        <w:rPr>
          <w:rStyle w:val="Style1Char"/>
          <w:color w:val="C00000"/>
          <w:rtl/>
        </w:rPr>
        <w:t>כדכתבינן לעיל</w:t>
      </w:r>
      <w:r w:rsidRPr="001D4E59">
        <w:rPr>
          <w:rStyle w:val="Style1Char"/>
          <w:color w:val="C00000"/>
        </w:rPr>
        <w:t>:</w:t>
      </w:r>
      <w:r w:rsidRPr="005F5CB2">
        <w:rPr>
          <w:rStyle w:val="Style1Char"/>
          <w:color w:val="4472C4" w:themeColor="accent1"/>
          <w:rtl/>
        </w:rPr>
        <w:t xml:space="preserve"> </w:t>
      </w:r>
      <w:r w:rsidRPr="00C81021">
        <w:rPr>
          <w:rStyle w:val="Style1Char"/>
          <w:color w:val="4472C4" w:themeColor="accent1"/>
          <w:rtl/>
        </w:rPr>
        <w:t>והראב"ד ז"ל פירש בת ארוסה שנשאת ומיבעי ליה כיון שנולדה קודם שנכתבה הכתובה והאי פירושא ניחא טפי דאילו לא נשאת כיון דהיא עצמה לית לה אף בתה לית לה</w:t>
      </w:r>
      <w:r w:rsidRPr="00C81021">
        <w:rPr>
          <w:rStyle w:val="Style1Char"/>
          <w:color w:val="4472C4" w:themeColor="accent1"/>
        </w:rPr>
        <w:t xml:space="preserve">: </w:t>
      </w:r>
    </w:p>
    <w:p w14:paraId="3B784A90" w14:textId="4429AA61" w:rsidR="00CE4E30" w:rsidRDefault="00CE4E30" w:rsidP="00CE4E30">
      <w:pPr>
        <w:pStyle w:val="Style1"/>
        <w:rPr>
          <w:rStyle w:val="Style1Char"/>
          <w:rtl/>
        </w:rPr>
      </w:pPr>
      <w:r>
        <w:rPr>
          <w:rStyle w:val="Style1Char"/>
          <w:rFonts w:hint="cs"/>
          <w:rtl/>
        </w:rPr>
        <w:t>1)[</w:t>
      </w:r>
      <w:r w:rsidRPr="00CE4E30">
        <w:rPr>
          <w:rStyle w:val="Style1Char"/>
          <w:rtl/>
        </w:rPr>
        <w:t>רמב</w:t>
      </w:r>
      <w:r w:rsidR="00213DA1">
        <w:rPr>
          <w:rStyle w:val="Style1Char"/>
          <w:rtl/>
        </w:rPr>
        <w:t>”ם \נשים\</w:t>
      </w:r>
      <w:r w:rsidRPr="00CE4E30">
        <w:rPr>
          <w:rStyle w:val="Style1Char"/>
          <w:rtl/>
        </w:rPr>
        <w:t xml:space="preserve"> הלכות אישות פרק יט הלכה י</w:t>
      </w:r>
      <w:r>
        <w:rPr>
          <w:rStyle w:val="Style1Char"/>
          <w:rFonts w:hint="cs"/>
          <w:rtl/>
        </w:rPr>
        <w:t xml:space="preserve">] </w:t>
      </w:r>
      <w:r w:rsidRPr="00CE4E30">
        <w:rPr>
          <w:rStyle w:val="Style1Char"/>
          <w:rtl/>
        </w:rPr>
        <w:t>ומתנאי כתובה שתהיינה הבנות ניזונות מנכסי אביהן אחר מותו עד שיתארסו או עד שיבגורו, בגרה הבת אף על פי שלא נתארסה או נתארסה אף על פי שלא בגרה אין לה מזונות, ובת הניזונת מנכסי אביה לאחר מותו מעשה ידיה ומציאתה לעצמה לא לאחים.</w:t>
      </w:r>
    </w:p>
    <w:p w14:paraId="5BA30061" w14:textId="6083B10A" w:rsidR="00A72609" w:rsidRDefault="00A72609" w:rsidP="00A72609">
      <w:pPr>
        <w:pStyle w:val="Style1"/>
        <w:rPr>
          <w:rtl/>
        </w:rPr>
      </w:pPr>
      <w:r>
        <w:rPr>
          <w:rFonts w:hint="cs"/>
          <w:rtl/>
        </w:rPr>
        <w:t>1)[</w:t>
      </w:r>
      <w:r>
        <w:rPr>
          <w:rtl/>
        </w:rPr>
        <w:t>שולחן ערוך אבן העזר הלכות כתובות סימן סט סעיף ב</w:t>
      </w:r>
      <w:r>
        <w:rPr>
          <w:rFonts w:hint="cs"/>
          <w:rtl/>
        </w:rPr>
        <w:t xml:space="preserve">] </w:t>
      </w:r>
      <w:r>
        <w:rPr>
          <w:rtl/>
        </w:rPr>
        <w:t>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w:t>
      </w:r>
    </w:p>
    <w:p w14:paraId="59D1BECE" w14:textId="202D0E1D" w:rsidR="0027598B" w:rsidRPr="002218F1" w:rsidRDefault="0027598B" w:rsidP="0027598B">
      <w:pPr>
        <w:pStyle w:val="Style1"/>
      </w:pPr>
      <w:r>
        <w:rPr>
          <w:rFonts w:hint="cs"/>
          <w:rtl/>
        </w:rPr>
        <w:t>1)[</w:t>
      </w:r>
      <w:r>
        <w:rPr>
          <w:rtl/>
        </w:rPr>
        <w:t>שולחן ערוך אבן העזר הלכות כתובות סימן קיב סעיף א</w:t>
      </w:r>
      <w:r>
        <w:rPr>
          <w:rFonts w:hint="cs"/>
          <w:rtl/>
        </w:rPr>
        <w:t xml:space="preserve">] </w:t>
      </w:r>
      <w:r w:rsidRPr="002218F1">
        <w:rPr>
          <w:rtl/>
        </w:rPr>
        <w:t>מתנאי כתובה שתהיינה הבנות נזונות מנכסי אביהם אחר מותו, עד שיתארסו או עד שיבגרו</w:t>
      </w:r>
      <w:r w:rsidRPr="002218F1">
        <w:t>.</w:t>
      </w:r>
    </w:p>
    <w:p w14:paraId="5E91C3C5" w14:textId="03B0B6B0" w:rsidR="0027598B" w:rsidRDefault="0027598B" w:rsidP="0027598B">
      <w:pPr>
        <w:pStyle w:val="Style1"/>
        <w:rPr>
          <w:rtl/>
        </w:rPr>
      </w:pPr>
      <w:r w:rsidRPr="002218F1">
        <w:rPr>
          <w:rFonts w:hint="cs"/>
          <w:rtl/>
        </w:rPr>
        <w:t>הגה: אפילו לא נכתב בכתובה, או אפילו אין לה כתובה ובמקום שאין כותבין כתובה (טור). ויש אומרים דאפילו במקום שכותבין כתובה ואין להם שטר כתובה, ואפילו מחלה אמם כתובתה בפירוש, יש לבנות מזונות (הראב"ד פרק י"ט דאישות). וכן אם נתגרשה האם, אפילו הכי חייב במזונות הבנות</w:t>
      </w:r>
      <w:r w:rsidRPr="002218F1">
        <w:t>:</w:t>
      </w:r>
    </w:p>
    <w:p w14:paraId="2D5D2188" w14:textId="22BC38A1" w:rsidR="00751670" w:rsidRDefault="00751670" w:rsidP="00751670">
      <w:pPr>
        <w:pStyle w:val="Style1"/>
        <w:rPr>
          <w:rtl/>
        </w:rPr>
      </w:pPr>
      <w:r>
        <w:rPr>
          <w:rFonts w:hint="cs"/>
          <w:rtl/>
        </w:rPr>
        <w:t>2)[</w:t>
      </w:r>
      <w:r>
        <w:rPr>
          <w:rtl/>
        </w:rPr>
        <w:t>רמב</w:t>
      </w:r>
      <w:r w:rsidR="00213DA1">
        <w:rPr>
          <w:rtl/>
        </w:rPr>
        <w:t>”ם \נשים\</w:t>
      </w:r>
      <w:r>
        <w:rPr>
          <w:rtl/>
        </w:rPr>
        <w:t xml:space="preserve"> הלכות אישות פרק יט הלכה טו</w:t>
      </w:r>
      <w:r>
        <w:rPr>
          <w:rFonts w:hint="cs"/>
          <w:rtl/>
        </w:rPr>
        <w:t xml:space="preserve">] </w:t>
      </w:r>
      <w:r>
        <w:rPr>
          <w:rtl/>
        </w:rPr>
        <w:t>המארס בת הניזונת מן האחין חייב במזונותיה משעת האירוסין, שהרי אין לה מזונות מאחיה משנתארסה ואינה בוגרת כדי שתזון עצמה אלא קטנה או נערה ואין אדם רוצה שתתבזה ארוסתו ותלך ותשאל על הפתחים.</w:t>
      </w:r>
    </w:p>
    <w:p w14:paraId="70C9BCFF" w14:textId="4657229E" w:rsidR="00D7640B" w:rsidRPr="00D7640B" w:rsidRDefault="00E46A02" w:rsidP="00D7640B">
      <w:pPr>
        <w:pStyle w:val="Style1"/>
      </w:pPr>
      <w:r>
        <w:rPr>
          <w:rFonts w:hint="cs"/>
          <w:rtl/>
        </w:rPr>
        <w:t>2)[</w:t>
      </w:r>
      <w:r>
        <w:rPr>
          <w:rtl/>
        </w:rPr>
        <w:t>שולחן ערוך אבן העזר הלכות כתובות סימן קיב סעיף ג</w:t>
      </w:r>
      <w:r>
        <w:rPr>
          <w:rFonts w:hint="cs"/>
          <w:rtl/>
        </w:rPr>
        <w:t>]</w:t>
      </w:r>
      <w:r w:rsidR="00D7640B">
        <w:rPr>
          <w:rFonts w:hint="cs"/>
          <w:rtl/>
        </w:rPr>
        <w:t xml:space="preserve"> </w:t>
      </w:r>
      <w:r w:rsidR="00D7640B" w:rsidRPr="00D7640B">
        <w:rPr>
          <w:rtl/>
        </w:rPr>
        <w:t>נתארסה בעודה קטנה, אבדה מזונות מן האחין והארוס חייב במזונותיה</w:t>
      </w:r>
      <w:r w:rsidR="00D7640B" w:rsidRPr="00D7640B">
        <w:t>.</w:t>
      </w:r>
    </w:p>
    <w:p w14:paraId="06648145" w14:textId="4850663E" w:rsidR="00D7640B" w:rsidRDefault="00D7640B" w:rsidP="00D7640B">
      <w:pPr>
        <w:pStyle w:val="Style1"/>
        <w:rPr>
          <w:rtl/>
        </w:rPr>
      </w:pPr>
      <w:r w:rsidRPr="00D7640B">
        <w:rPr>
          <w:rFonts w:hint="cs"/>
          <w:rtl/>
        </w:rPr>
        <w:t>הגה: ויש אומרים דלא אבדה מזונות אלא כשתתארס משהיא נערה (כן כתב המגיד משנה פרק י"ט בשם ר"ח והרשב"א). ויש אומרים דוקא שנתארסה מעצמה, אבל נתארסה מדעת אחיה לא אבדה מזונות (טור בשם הרמ"ה)</w:t>
      </w:r>
      <w:r w:rsidRPr="00D7640B">
        <w:t>:</w:t>
      </w:r>
    </w:p>
    <w:p w14:paraId="4F6F28FF" w14:textId="737A2396" w:rsidR="00113AC1" w:rsidRDefault="00113AC1" w:rsidP="00113AC1">
      <w:pPr>
        <w:pStyle w:val="Style1"/>
        <w:rPr>
          <w:rtl/>
        </w:rPr>
      </w:pPr>
      <w:r>
        <w:rPr>
          <w:rFonts w:hint="cs"/>
          <w:rtl/>
        </w:rPr>
        <w:t>3)[</w:t>
      </w:r>
      <w:r>
        <w:rPr>
          <w:rtl/>
        </w:rPr>
        <w:t>רמב</w:t>
      </w:r>
      <w:r w:rsidR="00213DA1">
        <w:rPr>
          <w:rtl/>
        </w:rPr>
        <w:t>”ם \נשים\</w:t>
      </w:r>
      <w:r>
        <w:rPr>
          <w:rtl/>
        </w:rPr>
        <w:t xml:space="preserve"> הלכות אישות פרק יט הלכה טז</w:t>
      </w:r>
      <w:r>
        <w:rPr>
          <w:rFonts w:hint="cs"/>
          <w:rtl/>
        </w:rPr>
        <w:t xml:space="preserve">] </w:t>
      </w:r>
      <w:r>
        <w:rPr>
          <w:rtl/>
        </w:rPr>
        <w:t>נשאת הבת ומיאנה או נתגרשה או נתאלמנה אפילו היא שומרת יבם הואיל וחזרה לבית אביה ועדיין לא בגרה הרי זו ניזונת מנכסי אביה עד שתבגור או עד שתתארס.</w:t>
      </w:r>
    </w:p>
    <w:p w14:paraId="006DDD6F" w14:textId="321476B4" w:rsidR="006B234C" w:rsidRPr="006B234C" w:rsidRDefault="005C1E75" w:rsidP="006B234C">
      <w:pPr>
        <w:pStyle w:val="Style1"/>
      </w:pPr>
      <w:r>
        <w:rPr>
          <w:rFonts w:hint="cs"/>
          <w:rtl/>
        </w:rPr>
        <w:t>3)[</w:t>
      </w:r>
      <w:r>
        <w:rPr>
          <w:rtl/>
        </w:rPr>
        <w:t>שולחן ערוך אבן העזר הלכות כתובות סימן קיב סעיף ד</w:t>
      </w:r>
      <w:r>
        <w:rPr>
          <w:rFonts w:hint="cs"/>
          <w:rtl/>
        </w:rPr>
        <w:t>]</w:t>
      </w:r>
      <w:r w:rsidR="006B234C">
        <w:rPr>
          <w:rFonts w:hint="cs"/>
          <w:rtl/>
        </w:rPr>
        <w:t xml:space="preserve"> </w:t>
      </w:r>
      <w:r w:rsidR="006B234C" w:rsidRPr="006B234C">
        <w:rPr>
          <w:rtl/>
        </w:rPr>
        <w:t>נישאת הבת, או מאנה או נתגרשה או נתאלמנה, אפילו היא שומרת יבם, הואיל וחזרה לבית אביה ועדיין לא בגרה, הרי זו נזונית מנכסי אביה עד שתיבגר או עד שתתארס</w:t>
      </w:r>
      <w:r w:rsidR="006B234C" w:rsidRPr="006B234C">
        <w:t>.</w:t>
      </w:r>
    </w:p>
    <w:p w14:paraId="11D4A2B3" w14:textId="55A58CC0" w:rsidR="006B234C" w:rsidRDefault="006B234C" w:rsidP="006B234C">
      <w:pPr>
        <w:pStyle w:val="Style1"/>
        <w:rPr>
          <w:rtl/>
        </w:rPr>
      </w:pPr>
      <w:r w:rsidRPr="006B234C">
        <w:rPr>
          <w:rFonts w:hint="cs"/>
          <w:rtl/>
        </w:rPr>
        <w:lastRenderedPageBreak/>
        <w:t>הגה: ויש אומרים דוקא מן הארוסין, אבל משנישאת שוב אין לה מזונות (טור). ויש אומרים עוד, דוקא בחיי אביה, דכשמת אביה היתה ברשותו, אבל לאחר מיתת אביה אבדה מזונות מיד שנתארסה (טור בשם הרא"ש), וכן נראה עיקר</w:t>
      </w:r>
      <w:r w:rsidRPr="006B234C">
        <w:t>:</w:t>
      </w:r>
    </w:p>
    <w:p w14:paraId="4B157EF6" w14:textId="2F05C9DC" w:rsidR="00315799" w:rsidRDefault="00315799" w:rsidP="00315799">
      <w:pPr>
        <w:pStyle w:val="Style1"/>
        <w:rPr>
          <w:rtl/>
        </w:rPr>
      </w:pPr>
      <w:r>
        <w:rPr>
          <w:rFonts w:hint="cs"/>
          <w:rtl/>
        </w:rPr>
        <w:t>4)[</w:t>
      </w:r>
      <w:r>
        <w:rPr>
          <w:rtl/>
        </w:rPr>
        <w:t>רמב</w:t>
      </w:r>
      <w:r w:rsidR="00213DA1">
        <w:rPr>
          <w:rtl/>
        </w:rPr>
        <w:t>”ם \נשים\</w:t>
      </w:r>
      <w:r>
        <w:rPr>
          <w:rtl/>
        </w:rPr>
        <w:t xml:space="preserve"> הלכות אישות פרק יט הלכה יד</w:t>
      </w:r>
      <w:r>
        <w:rPr>
          <w:rFonts w:hint="cs"/>
          <w:rtl/>
        </w:rPr>
        <w:t xml:space="preserve">] </w:t>
      </w:r>
      <w:r>
        <w:rPr>
          <w:rtl/>
        </w:rPr>
        <w:t>בת הממאנת הרי היא כשאר הבנות ויש לה מזונות, אבל בת היבמה ובת השנייה ובת הארוסה ובת האנוסה אין להן מזונות אחר מיתת אביהן בתנאי זה, אבל בחיי אביהן הוא חייב במזונותן כדין שאר הבנים והבנות בחיי אביהן. /השגת הראב"ד/ בת הממאנת הרי היא כשאר הבנות. א"א מה שאינו כתב, בת הממאנת, אין לה לא בת ולא בן ולא שאלו עליה אלא על עצמה אם תחזור לבית אביה אם יש לה מזונות מן האחים או לא ופשטו לה שיש לה.</w:t>
      </w:r>
    </w:p>
    <w:p w14:paraId="67D5BFAC" w14:textId="75CFC7AD" w:rsidR="007C159B" w:rsidRPr="007C159B" w:rsidRDefault="00691AAB" w:rsidP="007C159B">
      <w:pPr>
        <w:pStyle w:val="Style1"/>
      </w:pPr>
      <w:r>
        <w:rPr>
          <w:rFonts w:hint="cs"/>
          <w:rtl/>
        </w:rPr>
        <w:t>4)[</w:t>
      </w:r>
      <w:r>
        <w:rPr>
          <w:rtl/>
        </w:rPr>
        <w:t>שולחן ערוך אבן העזר הלכות כתובות סימן קיב סעיף ה</w:t>
      </w:r>
      <w:r>
        <w:rPr>
          <w:rFonts w:hint="cs"/>
          <w:rtl/>
        </w:rPr>
        <w:t>]</w:t>
      </w:r>
      <w:r w:rsidR="007C159B">
        <w:rPr>
          <w:rFonts w:hint="cs"/>
          <w:rtl/>
        </w:rPr>
        <w:t xml:space="preserve"> </w:t>
      </w:r>
      <w:r w:rsidR="007C159B" w:rsidRPr="007C159B">
        <w:rPr>
          <w:rtl/>
        </w:rPr>
        <w:t>ייבם אשת אחיו וילדה לו בת, אם לא היה לאחיו נכסים, הבת ניזונת מנכסי אביה. אבל אם היו לאחיו נכסים, וכן בת שניה וכן בת אנוסתו אפילו נולדו לו אחר שנשאה, וכן בת ארוסתו שנולדה לו בעודה ארוסה ואחר כך נשאה, אין להן מזונות אחר מיתת אביהן, אבל בחייו הוא חייב במזונותן כדין שאר הבנים והבנות בחיי אביהן</w:t>
      </w:r>
      <w:r w:rsidR="007C159B" w:rsidRPr="007C159B">
        <w:t>:</w:t>
      </w:r>
    </w:p>
    <w:p w14:paraId="6DE8ADD3" w14:textId="76877091" w:rsidR="00691AAB" w:rsidRPr="007C159B" w:rsidRDefault="00691AAB" w:rsidP="007C159B">
      <w:pPr>
        <w:pStyle w:val="Style1"/>
      </w:pPr>
    </w:p>
    <w:p w14:paraId="0487E448" w14:textId="77777777" w:rsidR="006B234C" w:rsidRPr="007C159B" w:rsidRDefault="006B234C" w:rsidP="007C159B">
      <w:pPr>
        <w:pStyle w:val="Style1"/>
      </w:pPr>
    </w:p>
    <w:p w14:paraId="6C4670FC" w14:textId="0B757BA4" w:rsidR="005C1E75" w:rsidRPr="006B234C" w:rsidRDefault="005C1E75" w:rsidP="006B234C">
      <w:pPr>
        <w:pStyle w:val="Style1"/>
      </w:pPr>
    </w:p>
    <w:p w14:paraId="273F52D8" w14:textId="77777777" w:rsidR="00D7640B" w:rsidRPr="00D7640B" w:rsidRDefault="00D7640B" w:rsidP="00D7640B">
      <w:pPr>
        <w:pStyle w:val="Style1"/>
      </w:pPr>
    </w:p>
    <w:p w14:paraId="4E986143" w14:textId="7ACBB4F9" w:rsidR="00E46A02" w:rsidRDefault="00E46A02" w:rsidP="00E46A02">
      <w:pPr>
        <w:pStyle w:val="Style1"/>
        <w:rPr>
          <w:rtl/>
        </w:rPr>
      </w:pPr>
    </w:p>
    <w:p w14:paraId="08AB499B" w14:textId="77777777" w:rsidR="000357F0" w:rsidRPr="00CE4E30" w:rsidRDefault="000357F0" w:rsidP="00CE4E30">
      <w:pPr>
        <w:pStyle w:val="Style1"/>
        <w:rPr>
          <w:rStyle w:val="Style1Char"/>
        </w:rPr>
      </w:pPr>
    </w:p>
    <w:p w14:paraId="2E337FAC" w14:textId="77777777" w:rsidR="000357F0" w:rsidRPr="007016CB" w:rsidRDefault="000357F0" w:rsidP="000357F0">
      <w:pPr>
        <w:bidi/>
        <w:rPr>
          <w:rStyle w:val="Style1Char"/>
          <w:color w:val="00B050"/>
        </w:rPr>
      </w:pPr>
    </w:p>
    <w:p w14:paraId="08B5C473" w14:textId="77777777" w:rsidR="000357F0" w:rsidRPr="00E722CE" w:rsidRDefault="000357F0" w:rsidP="000357F0">
      <w:pPr>
        <w:bidi/>
        <w:rPr>
          <w:rStyle w:val="Style1Char"/>
          <w:color w:val="00B050"/>
          <w:rtl/>
        </w:rPr>
      </w:pPr>
    </w:p>
    <w:p w14:paraId="403E36E2" w14:textId="77777777" w:rsidR="000357F0" w:rsidRDefault="000357F0" w:rsidP="000357F0">
      <w:pPr>
        <w:rPr>
          <w:rStyle w:val="Style1Char"/>
          <w:color w:val="00B050"/>
          <w:rtl/>
        </w:rPr>
      </w:pPr>
      <w:r>
        <w:rPr>
          <w:rStyle w:val="Style1Char"/>
          <w:color w:val="00B050"/>
          <w:rtl/>
        </w:rPr>
        <w:br w:type="page"/>
      </w:r>
    </w:p>
    <w:p w14:paraId="2DCC6467" w14:textId="2BE6B0CC" w:rsidR="000357F0" w:rsidRDefault="000357F0" w:rsidP="000357F0">
      <w:pPr>
        <w:bidi/>
        <w:rPr>
          <w:rStyle w:val="Style1Char"/>
          <w:color w:val="00B050"/>
          <w:rtl/>
        </w:rPr>
      </w:pPr>
      <w:r w:rsidRPr="00DC0DB4">
        <w:rPr>
          <w:rStyle w:val="Style1Char"/>
          <w:color w:val="00B050"/>
          <w:sz w:val="22"/>
          <w:szCs w:val="22"/>
          <w:highlight w:val="yellow"/>
          <w:rtl/>
        </w:rPr>
        <w:lastRenderedPageBreak/>
        <w:t>[דף נד עמוד א]</w:t>
      </w:r>
      <w:r w:rsidRPr="00DC0DB4">
        <w:rPr>
          <w:rStyle w:val="Style1Char"/>
          <w:color w:val="00B050"/>
          <w:sz w:val="22"/>
          <w:szCs w:val="22"/>
          <w:rtl/>
        </w:rPr>
        <w:t xml:space="preserve"> </w:t>
      </w:r>
      <w:r w:rsidRPr="002F2700">
        <w:rPr>
          <w:rStyle w:val="Style1Char"/>
          <w:color w:val="00B050"/>
          <w:rtl/>
        </w:rPr>
        <w:t xml:space="preserve">כיון דלית לה כתובה </w:t>
      </w:r>
      <w:r w:rsidR="0044062B">
        <w:rPr>
          <w:rStyle w:val="Style1Char"/>
          <w:rFonts w:hint="cs"/>
          <w:rtl/>
        </w:rPr>
        <w:t>(1)</w:t>
      </w:r>
      <w:r w:rsidRPr="002F2700">
        <w:rPr>
          <w:rStyle w:val="Style1Char"/>
          <w:color w:val="00B050"/>
          <w:rtl/>
        </w:rPr>
        <w:t xml:space="preserve">לית לה מזוני, או דלמא אמה דעבדא איסורא קנסוה רבנן, איהי דלא עבדא איסורא לא קנסוה רבנן? תיקו. בעי רבא: בת ארוסה, יש לה מזונות או אין לה מזונות? כיון דאית לה כתובה - אית לה, או דלמא כיון דלא תקינו רבנן כתובה עד שעת נישואין - </w:t>
      </w:r>
      <w:r w:rsidR="00537051">
        <w:rPr>
          <w:rStyle w:val="Style1Char"/>
          <w:rFonts w:hint="cs"/>
          <w:rtl/>
        </w:rPr>
        <w:t>(1)</w:t>
      </w:r>
      <w:r w:rsidRPr="002F2700">
        <w:rPr>
          <w:rStyle w:val="Style1Char"/>
          <w:color w:val="00B050"/>
          <w:rtl/>
        </w:rPr>
        <w:t xml:space="preserve">לית לה? תיקו. בעי רב פפא: בת אנוסה, יש לה מזונות או אין לה מזונות? אליבא דרבי יוסי ברבי יהודה לא תיבעי לך, דאמר: יש לה כתובה מנה, כי תיבעי לך - אליבא דרבנן, דאמרי: יצא כסף קנסה בכתובתה, מאי? כיון דלית לה כתובה </w:t>
      </w:r>
      <w:r w:rsidR="00110132">
        <w:rPr>
          <w:rStyle w:val="Style1Char"/>
          <w:rFonts w:hint="cs"/>
          <w:rtl/>
        </w:rPr>
        <w:t>(2)</w:t>
      </w:r>
      <w:r w:rsidRPr="002F2700">
        <w:rPr>
          <w:rStyle w:val="Style1Char"/>
          <w:color w:val="00B050"/>
          <w:rtl/>
        </w:rPr>
        <w:t xml:space="preserve">לית לה מזוני, או דלמא כתובה טעמא מאי? כדי שלא תהא קלה בעיניו להוציאה, והא לא מצי מפיק לה? תיקו. </w:t>
      </w:r>
    </w:p>
    <w:p w14:paraId="15349744" w14:textId="77777777" w:rsidR="000357F0" w:rsidRPr="00C81021" w:rsidRDefault="000357F0" w:rsidP="000357F0">
      <w:pPr>
        <w:bidi/>
        <w:rPr>
          <w:rStyle w:val="Style1Char"/>
          <w:color w:val="4472C4" w:themeColor="accent1"/>
        </w:rPr>
      </w:pPr>
      <w:r w:rsidRPr="002F2700">
        <w:rPr>
          <w:rStyle w:val="Style1Char"/>
          <w:color w:val="00B050"/>
          <w:rtl/>
        </w:rPr>
        <w:t xml:space="preserve">את תהא יתבא בביתי וכו'. </w:t>
      </w:r>
      <w:r w:rsidRPr="007F21DE">
        <w:rPr>
          <w:rStyle w:val="Style1Char"/>
          <w:color w:val="auto"/>
          <w:sz w:val="22"/>
          <w:szCs w:val="22"/>
          <w:rtl/>
        </w:rPr>
        <w:t xml:space="preserve">תני רב יוסף: בביתי - ולא </w:t>
      </w:r>
      <w:r w:rsidRPr="002F2700">
        <w:rPr>
          <w:rStyle w:val="Style1Char"/>
          <w:color w:val="00B050"/>
          <w:rtl/>
        </w:rPr>
        <w:t>בביקתי</w:t>
      </w:r>
      <w:r w:rsidRPr="0042692F">
        <w:rPr>
          <w:rStyle w:val="Style1Char"/>
          <w:color w:val="C00000"/>
          <w:rtl/>
        </w:rPr>
        <w:t xml:space="preserve"> </w:t>
      </w:r>
      <w:r w:rsidRPr="00C81021">
        <w:rPr>
          <w:rStyle w:val="Style1Char"/>
          <w:color w:val="4472C4" w:themeColor="accent1"/>
          <w:rtl/>
        </w:rPr>
        <w:t xml:space="preserve">בבית עקתי </w:t>
      </w:r>
      <w:r w:rsidRPr="0042692F">
        <w:rPr>
          <w:rStyle w:val="Style1Char"/>
          <w:color w:val="C00000"/>
          <w:sz w:val="22"/>
          <w:szCs w:val="22"/>
          <w:rtl/>
        </w:rPr>
        <w:t>בעקתי</w:t>
      </w:r>
      <w:r w:rsidRPr="002F2700">
        <w:rPr>
          <w:rStyle w:val="Style1Char"/>
          <w:color w:val="00B050"/>
          <w:rtl/>
        </w:rPr>
        <w:t xml:space="preserve">, </w:t>
      </w:r>
      <w:r w:rsidRPr="00C81021">
        <w:rPr>
          <w:rStyle w:val="Style1Char"/>
          <w:color w:val="4472C4" w:themeColor="accent1"/>
          <w:rtl/>
        </w:rPr>
        <w:t xml:space="preserve">שאם היה בית קטן מהכיל אלמנה והיתומים ובחיי אביהן היו יורשין שוכרין בתים ועתה רוצים לחזור לביתם או שהיה בעלה שוכר בית ובניו היו דרים בביתו וכשמת אין היורשין חייבין לשכור לה בית שלא התנה אלא שתהא יושבת בביתו והבית קטן מהכילם תצא האלמנה מן הבית </w:t>
      </w:r>
      <w:r w:rsidRPr="00342281">
        <w:rPr>
          <w:rStyle w:val="Style1Char"/>
          <w:color w:val="auto"/>
          <w:sz w:val="22"/>
          <w:szCs w:val="22"/>
          <w:rtl/>
        </w:rPr>
        <w:t>אבל מזוני אית לה</w:t>
      </w:r>
      <w:r w:rsidRPr="00E17A3C">
        <w:rPr>
          <w:rStyle w:val="Style1Char"/>
          <w:color w:val="4472C4" w:themeColor="accent1"/>
          <w:rtl/>
        </w:rPr>
        <w:t xml:space="preserve"> </w:t>
      </w:r>
      <w:r w:rsidRPr="00C81021">
        <w:rPr>
          <w:rStyle w:val="Style1Char"/>
          <w:color w:val="4472C4" w:themeColor="accent1"/>
          <w:rtl/>
        </w:rPr>
        <w:t>וה"ה נמי אם אין הנכסים מספיקין לזונה והיא רוצה לשבת בבית בעלה בלא מזונות ובלא תביעת כתובתה תשב דאין המזונות והדירה תלויין זה בזה.</w:t>
      </w:r>
      <w:r w:rsidRPr="00342281">
        <w:rPr>
          <w:rStyle w:val="Style1Char"/>
          <w:color w:val="auto"/>
          <w:sz w:val="22"/>
          <w:szCs w:val="22"/>
          <w:rtl/>
        </w:rPr>
        <w:t xml:space="preserve">. מר בר רב אשי אמר: אפילו מזוני </w:t>
      </w:r>
      <w:r w:rsidRPr="008F4444">
        <w:rPr>
          <w:rStyle w:val="Style1Char"/>
          <w:color w:val="00B050"/>
          <w:rtl/>
        </w:rPr>
        <w:t xml:space="preserve">נמי </w:t>
      </w:r>
      <w:r w:rsidRPr="00342281">
        <w:rPr>
          <w:rStyle w:val="Style1Char"/>
          <w:color w:val="auto"/>
          <w:sz w:val="22"/>
          <w:szCs w:val="22"/>
          <w:rtl/>
        </w:rPr>
        <w:t>לית לה. ולית הלכתא כמר בר רב אשי</w:t>
      </w:r>
      <w:r w:rsidRPr="0042692F">
        <w:rPr>
          <w:rStyle w:val="Style1Char"/>
          <w:color w:val="C00000"/>
          <w:rtl/>
        </w:rPr>
        <w:t xml:space="preserve"> </w:t>
      </w:r>
      <w:r w:rsidRPr="00A94111">
        <w:rPr>
          <w:rStyle w:val="Style1Char"/>
          <w:color w:val="806000" w:themeColor="accent4" w:themeShade="80"/>
          <w:rtl/>
        </w:rPr>
        <w:t>גרסי' בפרק הנושא את האשה [דף ק"ג ע"ב] ת"ר משתמשת במדור שנשתמשה בו בחיי בעלה בכרים ובכסתות שנשתמשה בהן בחיי בעלה בעבדים ושפחות שנשתמשה בהן בחיי בעלה וגרסי' התם מדור אלמנה שנפל אין היורשים חייבים לבנותו ולא עוד אלא אפי' היא אומרת הניחו לי ואני אבננו משלי אין שומעין לה בעי אביי שיפוצא מאי תיקו הילכך לא תשפץ</w:t>
      </w:r>
      <w:r w:rsidRPr="001D4E59">
        <w:rPr>
          <w:rStyle w:val="Style1Char"/>
          <w:color w:val="C00000"/>
          <w:rtl/>
        </w:rPr>
        <w:t xml:space="preserve">: </w:t>
      </w:r>
      <w:r w:rsidRPr="00C81021">
        <w:rPr>
          <w:rStyle w:val="Style1Char"/>
          <w:color w:val="4472C4" w:themeColor="accent1"/>
          <w:rtl/>
        </w:rPr>
        <w:t>וכ"ש שאין היורשין חייבין לשכור לה בית. וכן מוכח שמעתין דכשהבית צר מוציאין אותה ואין שוכרין לה בית דירה דאי חייבין לשכור לה דירה פשיטא דמזונות אית לה והיאך קאמר מר בר רב אשי דלית לה מזונות. ובירושלמי משמע שחייבין לשכור לה בית דגרס ר' זעירא שלח שאלה לרב נחמן בר יצחק ולר' אבימי בר פפא לא היה שם בית מאי א"ל היורשין שוכרין לה בית מכאן ואילך היא אומרת קרקע והם אומרים מעות הדין עם היתומים כהדא חדא איתתא הות פורנא כ' דינרים והות תמן חד בית טב עשרה דינרין אתא עובדא קמיה דר"ח ואמר אי יהבין לה ביתא יהבין לה עשרה דינרין א"ל ר' מנא מכיון דלית ביתא אלא בי' דינרין מכאן דלית לה פורנא אלא בעשרה דינרין</w:t>
      </w:r>
      <w:r>
        <w:rPr>
          <w:rStyle w:val="Style1Char"/>
          <w:rFonts w:hint="cs"/>
          <w:color w:val="4472C4" w:themeColor="accent1"/>
        </w:rPr>
        <w:t>‍</w:t>
      </w:r>
      <w:r w:rsidRPr="00C81021">
        <w:rPr>
          <w:rStyle w:val="Style1Char"/>
          <w:color w:val="4472C4" w:themeColor="accent1"/>
          <w:rtl/>
        </w:rPr>
        <w:t xml:space="preserve"> מכאן ואילך היא אומרת קרקע והיתומים מעות הדין עם היתומים ע"כ הירושלמי. וזה פירושו לא היה שם בית ראוי לדירת אלמנה והיתומים מהו א"ל היורשין שוכרין לה בית ואם היא אומרת קרקע פירוש בבית בעלי אני רוצה לדור והם אומרים מעות פי' נשכור לך בית למדור ונדור בבתינו הדין עם היורשין לפי שאין גוף הקרקע קנוי לה אלא לדירה בעלמא הלכך יכולין לשכור לה בית אחר וידורו הם בביתם. והא דאמרינן משתמשת במדור שנשתמשה בו בחיי בעלה היינו כשיש לכולם דירה והם רוצים ליתן דירה פחותה מבית בעלה. כהדא חדא איתתא וכו'</w:t>
      </w:r>
      <w:r>
        <w:rPr>
          <w:rStyle w:val="Style1Char"/>
          <w:rFonts w:hint="cs"/>
          <w:color w:val="4472C4" w:themeColor="accent1"/>
        </w:rPr>
        <w:t>‍</w:t>
      </w:r>
      <w:r w:rsidRPr="00C81021">
        <w:rPr>
          <w:rStyle w:val="Style1Char"/>
          <w:color w:val="4472C4" w:themeColor="accent1"/>
          <w:rtl/>
        </w:rPr>
        <w:t xml:space="preserve"> שהיתה כתובתה עשרים דינרין ולא היה ליתומים קרקע אלא בית שוה י' דינרין ואמר ר' חנינא שיתנו לה הבית או עשרים דינרים ואמר ר' מנא שלא תטול הקרקע אלא שיתנו לה דמיו שאין גוף הקרקע קנוי לה אלא שעבוד בעלמא יש לה עליו הכא נמי כיון שאין לה בגוף הבית כלום אלא שעבוד דירה יסלקוה במעות וישכירו לה בית אחר. וי"מ גמרא דידן כמו הירושלמי בביתי ולא בבית עקתי כגון שהבית צר מהכיל כולם ישכירו לה בית אחר ואינה יכולה לומר אדור בבית בעלי ואתם תשכרו לכם בית. והא דקאמר מר בר רב אשי אף מזוני לית לה פי' אין לה מזונות משלם אלא לפי ברכת הבית ורב יוסף סבר דמזוני משלם אית לה ולא דמי להא דאמרינן לקמן (דף קג א) יכולין היורשין לומר אם את אצלינו אית לך מזונות אין את אצלינו אין לך מזונות ואסיקנא דכשאינה אצלם דיהבו לה לפי ברכת הבית דהתם היורשין רוצים לזונה אצלם והיא רוצה לצאת אבל הכא שהיורשין מוציאין אותה נותנין לה מזונות משלם ומדור אלמנה שנפל אין חייבין לבנותו אלא שוכרין לה בית וגם אין מניחין לה לבנותו ולא לשפץ</w:t>
      </w:r>
      <w:r>
        <w:rPr>
          <w:rStyle w:val="Style1Char"/>
          <w:rFonts w:hint="cs"/>
          <w:color w:val="4472C4" w:themeColor="accent1"/>
        </w:rPr>
        <w:t>‍</w:t>
      </w:r>
      <w:r w:rsidRPr="00C81021">
        <w:rPr>
          <w:rStyle w:val="Style1Char"/>
          <w:color w:val="4472C4" w:themeColor="accent1"/>
          <w:rtl/>
        </w:rPr>
        <w:t xml:space="preserve"> כי חפצים יותר לשכור לה בית</w:t>
      </w:r>
      <w:r w:rsidRPr="00C81021">
        <w:rPr>
          <w:rStyle w:val="Style1Char"/>
          <w:color w:val="4472C4" w:themeColor="accent1"/>
        </w:rPr>
        <w:t xml:space="preserve">: </w:t>
      </w:r>
    </w:p>
    <w:p w14:paraId="1D9BC8FF" w14:textId="69A005D8" w:rsidR="000357F0" w:rsidRPr="00C81021" w:rsidRDefault="000357F0" w:rsidP="000357F0">
      <w:pPr>
        <w:bidi/>
        <w:rPr>
          <w:rStyle w:val="Style1Char"/>
          <w:color w:val="4472C4" w:themeColor="accent1"/>
        </w:rPr>
      </w:pPr>
      <w:r w:rsidRPr="0042692F">
        <w:rPr>
          <w:rStyle w:val="Style1Char"/>
          <w:sz w:val="22"/>
          <w:szCs w:val="22"/>
          <w:rtl/>
        </w:rPr>
        <w:t xml:space="preserve">. </w:t>
      </w:r>
      <w:r w:rsidRPr="002F2700">
        <w:rPr>
          <w:rStyle w:val="Style1Char"/>
          <w:color w:val="00B050"/>
          <w:rtl/>
        </w:rPr>
        <w:t>אמר רב נחמן אמר שמואל: תבעוה להנשא ונתפייסה - אין לה מזונות. הא לא נתפייסה - יש לה מזונות? אמר רב ענן, לדידי מפרשא לי מיניה דמר שמואל: אמרה מחמת פלוני בעלי - יש לה מזונות, מחמת בני אדם שאינן מהוגנין לה - אין לה מזונות. אמר רב חסדא: זינתה - אין לה מזונות. אמר רב יוסף: כיחלה ופירכסה - אין לה מזונות. מאן דאמר זינתה, כל שכן כיחלה ופירכסה; מאן דאמר כיחלה ופירכסה, אבל זינתה - אית לה, מאי טעמא? יצר אנסה. ולית הלכתא ככל הני שמעתתא, אלא כי הא ד</w:t>
      </w:r>
      <w:r w:rsidRPr="0007203C">
        <w:rPr>
          <w:rStyle w:val="Style1Char"/>
          <w:color w:val="auto"/>
          <w:sz w:val="22"/>
          <w:szCs w:val="22"/>
          <w:rtl/>
        </w:rPr>
        <w:t>אמר</w:t>
      </w:r>
      <w:r w:rsidRPr="002F2700">
        <w:rPr>
          <w:rStyle w:val="Style1Char"/>
          <w:color w:val="00B050"/>
          <w:rtl/>
        </w:rPr>
        <w:t xml:space="preserve"> </w:t>
      </w:r>
      <w:r w:rsidRPr="008A4D32">
        <w:rPr>
          <w:rStyle w:val="Style1Char"/>
          <w:color w:val="auto"/>
          <w:sz w:val="22"/>
          <w:szCs w:val="22"/>
          <w:rtl/>
        </w:rPr>
        <w:t xml:space="preserve">רב יהודה אמר שמואל: </w:t>
      </w:r>
      <w:r w:rsidR="008F1D23">
        <w:rPr>
          <w:rStyle w:val="Style1Char"/>
          <w:rFonts w:hint="cs"/>
          <w:rtl/>
        </w:rPr>
        <w:t>(2)</w:t>
      </w:r>
      <w:r w:rsidRPr="008A4D32">
        <w:rPr>
          <w:rStyle w:val="Style1Char"/>
          <w:color w:val="auto"/>
          <w:sz w:val="22"/>
          <w:szCs w:val="22"/>
          <w:rtl/>
        </w:rPr>
        <w:t>התובעת כתובתה בבית דין - אין לה מזונות</w:t>
      </w:r>
      <w:r w:rsidRPr="002F2700">
        <w:rPr>
          <w:rStyle w:val="Style1Char"/>
          <w:color w:val="00B050"/>
          <w:rtl/>
        </w:rPr>
        <w:t xml:space="preserve">. ולא? </w:t>
      </w:r>
      <w:r w:rsidRPr="008A4D32">
        <w:rPr>
          <w:rStyle w:val="Style1Char"/>
          <w:color w:val="806000" w:themeColor="accent4" w:themeShade="80"/>
          <w:sz w:val="22"/>
          <w:szCs w:val="22"/>
          <w:rtl/>
        </w:rPr>
        <w:t xml:space="preserve">ודווקא בב"ד אבל שלא בב"ד יש לה מזונות </w:t>
      </w:r>
      <w:r w:rsidRPr="00C81021">
        <w:rPr>
          <w:rStyle w:val="Style1Char"/>
          <w:color w:val="4472C4" w:themeColor="accent1"/>
          <w:rtl/>
        </w:rPr>
        <w:t>ומשעת תביעה איבדה מזונותיה אפילו לא פרעו לה כדאיתא בגיטין פ' השולח (דף לה א) ירושלמי ובלבד מן השופי אבל מן האונס לא כהדא ארמלתא דרבי אבהו רימו בה ואמרו לה בר כהן בעי לך תבעת פורנא ואבדה מזונות. מן דאתידעון מיליא עלון עובדא קמיה דרב אסי חזר לה מזונות פי' רימו בה ואמרו אדם גדול רוצה לישא אותך וכשידע רב אסי שרימו בה החזירה למזונותיה. וכן נמי אם לא רצו לזונה ומחמת זה תבעה כתובתה אין זה מן השופי ואית לה מזונות. רב אלפס ז"ל לא הביא הגמרא א"ר נחמן אמר שמואל תבעוה לינשא ונתפייסה אין לה מזונות הא לא נתפייסה יש לה מזונות אמר רב ענן לדידי מיפרשא לי מיניה דמר שמואל מחמת פלוני בעלי יש לה מזונות מחמת בני אדם שאינם מהוגנים לי אין לה. אמר רב חסדא זינתה אין לה מזונות רב יוסף אמר כחלה ופרכסה אין לה מזונות ולית הילכתא ככל הני שמעתתא אלא כי הא דא"ר יהודה אמר שמואל התובעת כתובתה וכו' וסבירא לרב אלפס הא דקאמר לית הילכתא ככל הני שמעתתא קאי אכל הני דאמר לעיל הלכך לא הביא אלא הך מימרא דהתובעת כתובתה והתוס' כתבו הא דקאמר לית הילכתא ככל הני שמעתתא לא קאי אלא אמילתייהו דרב חסדא ורב יוסף דאי קאי אכולהו קשה דשמואל אדשמואל וכה"ג אשכחן</w:t>
      </w:r>
      <w:r>
        <w:rPr>
          <w:rStyle w:val="Style1Char"/>
          <w:rFonts w:hint="cs"/>
          <w:color w:val="4472C4" w:themeColor="accent1"/>
        </w:rPr>
        <w:t>‍</w:t>
      </w:r>
      <w:r w:rsidRPr="00C81021">
        <w:rPr>
          <w:rStyle w:val="Style1Char"/>
          <w:color w:val="4472C4" w:themeColor="accent1"/>
          <w:rtl/>
        </w:rPr>
        <w:t xml:space="preserve"> בפרק במה מדליקין (דף כד א) דקאמר לית הילכתא ככל הני שמעתתא ולא קאי אכל הנך דלעיל ונראה לי כדברי רב אלפס ז"ל ולא קשה מידי דשמואל אדשמואל דודאי שמואל אית ליה תבעוה לינשא ונתפייסה או תובעת כתובתה אין לה מזונות והש"ס סבר כוותיה בחדא ולא באידך</w:t>
      </w:r>
      <w:r w:rsidRPr="00C81021">
        <w:rPr>
          <w:rStyle w:val="Style1Char"/>
          <w:color w:val="4472C4" w:themeColor="accent1"/>
        </w:rPr>
        <w:t>:</w:t>
      </w:r>
    </w:p>
    <w:p w14:paraId="7C7AA870" w14:textId="370CA109" w:rsidR="000357F0" w:rsidRDefault="000357F0" w:rsidP="000357F0">
      <w:pPr>
        <w:bidi/>
        <w:rPr>
          <w:rStyle w:val="Style1Char"/>
          <w:color w:val="00B050"/>
          <w:rtl/>
        </w:rPr>
      </w:pPr>
      <w:r w:rsidRPr="002F2700">
        <w:rPr>
          <w:rStyle w:val="Style1Char"/>
          <w:color w:val="00B050"/>
          <w:rtl/>
        </w:rPr>
        <w:t>וה</w:t>
      </w:r>
      <w:r w:rsidRPr="00E0712B">
        <w:rPr>
          <w:rStyle w:val="Style1Char"/>
          <w:color w:val="auto"/>
          <w:sz w:val="22"/>
          <w:szCs w:val="22"/>
          <w:rtl/>
        </w:rPr>
        <w:t>תניא:</w:t>
      </w:r>
      <w:r w:rsidRPr="002357BF">
        <w:rPr>
          <w:rStyle w:val="Style1Char"/>
          <w:sz w:val="22"/>
          <w:szCs w:val="22"/>
          <w:rtl/>
        </w:rPr>
        <w:t xml:space="preserve"> </w:t>
      </w:r>
      <w:r w:rsidR="00926E92">
        <w:rPr>
          <w:rStyle w:val="Style1Char"/>
          <w:rFonts w:hint="cs"/>
          <w:rtl/>
        </w:rPr>
        <w:t>(2.1, 3)</w:t>
      </w:r>
      <w:r w:rsidRPr="00E0712B">
        <w:rPr>
          <w:rStyle w:val="Style1Char"/>
          <w:color w:val="auto"/>
          <w:sz w:val="22"/>
          <w:szCs w:val="22"/>
          <w:rtl/>
        </w:rPr>
        <w:t xml:space="preserve">מכרה כתובתה, ומשכנה כתובתה, עשתה כתובתה אפותיקי לאחר </w:t>
      </w:r>
      <w:r w:rsidRPr="001B7329">
        <w:rPr>
          <w:rStyle w:val="Style1Char"/>
          <w:color w:val="806000" w:themeColor="accent4" w:themeShade="80"/>
          <w:sz w:val="22"/>
          <w:szCs w:val="22"/>
          <w:rtl/>
        </w:rPr>
        <w:t xml:space="preserve">בין בבית דין בין שלא בבית דין - </w:t>
      </w:r>
      <w:r w:rsidRPr="001B7329">
        <w:rPr>
          <w:rStyle w:val="Style1Char"/>
          <w:color w:val="000000" w:themeColor="text1"/>
          <w:sz w:val="22"/>
          <w:szCs w:val="22"/>
          <w:rtl/>
        </w:rPr>
        <w:t xml:space="preserve">אין לה מזונות; </w:t>
      </w:r>
      <w:r w:rsidRPr="002F2700">
        <w:rPr>
          <w:rStyle w:val="Style1Char"/>
          <w:color w:val="00B050"/>
          <w:rtl/>
        </w:rPr>
        <w:t xml:space="preserve">הני אין, אבל תובעת לא! הני בין בבית דין בין שלא בבית דין, תובעת - בבית דין אין, שלא בב"ד לא. </w:t>
      </w:r>
    </w:p>
    <w:p w14:paraId="089CCDAC" w14:textId="5B4BD90F" w:rsidR="000357F0" w:rsidRDefault="000357F0" w:rsidP="000357F0">
      <w:pPr>
        <w:bidi/>
        <w:rPr>
          <w:rStyle w:val="Style1Char"/>
          <w:color w:val="C00000"/>
          <w:rtl/>
        </w:rPr>
      </w:pPr>
      <w:r w:rsidRPr="002F2700">
        <w:rPr>
          <w:rStyle w:val="Style1Char"/>
          <w:color w:val="00B050"/>
          <w:rtl/>
        </w:rPr>
        <w:t xml:space="preserve">וכך היו אנשי ירושלים וכו'. </w:t>
      </w:r>
      <w:r w:rsidRPr="00DC0DEF">
        <w:rPr>
          <w:rStyle w:val="Style1Char"/>
          <w:color w:val="000000" w:themeColor="text1"/>
          <w:sz w:val="22"/>
          <w:szCs w:val="22"/>
          <w:rtl/>
        </w:rPr>
        <w:t xml:space="preserve">אתמר, רב אמר: הלכה כאנשי יהודה, ושמואל אמר: </w:t>
      </w:r>
      <w:r w:rsidR="00734FE1">
        <w:rPr>
          <w:rStyle w:val="Style1Char"/>
          <w:rFonts w:hint="cs"/>
          <w:rtl/>
        </w:rPr>
        <w:t>(</w:t>
      </w:r>
      <w:r w:rsidR="00965C35">
        <w:rPr>
          <w:rStyle w:val="Style1Char"/>
          <w:rFonts w:hint="cs"/>
          <w:rtl/>
        </w:rPr>
        <w:t>2.1, 4</w:t>
      </w:r>
      <w:r w:rsidR="00734FE1">
        <w:rPr>
          <w:rStyle w:val="Style1Char"/>
          <w:rFonts w:hint="cs"/>
          <w:rtl/>
        </w:rPr>
        <w:t>)</w:t>
      </w:r>
      <w:r w:rsidRPr="00DC0DEF">
        <w:rPr>
          <w:rStyle w:val="Style1Char"/>
          <w:color w:val="000000" w:themeColor="text1"/>
          <w:sz w:val="22"/>
          <w:szCs w:val="22"/>
          <w:rtl/>
        </w:rPr>
        <w:t>הלכה כאנשי גליל. בבל וכל פרוודהא נהוג כרב, נהרדעא וכל פרוודהא נהוג כשמואל</w:t>
      </w:r>
      <w:r w:rsidRPr="00011270">
        <w:rPr>
          <w:rStyle w:val="Style1Char"/>
          <w:sz w:val="22"/>
          <w:szCs w:val="22"/>
          <w:rtl/>
        </w:rPr>
        <w:t>.</w:t>
      </w:r>
      <w:r w:rsidRPr="002F2700">
        <w:rPr>
          <w:rStyle w:val="Style1Char"/>
          <w:color w:val="00B050"/>
          <w:rtl/>
        </w:rPr>
        <w:t xml:space="preserve"> ההיא בת מחוזא דהות נסיבא לנהרדעא, אתו לקמיה דרב נחמן, </w:t>
      </w:r>
      <w:r w:rsidR="002C12A8">
        <w:rPr>
          <w:rStyle w:val="Style1Char"/>
          <w:rFonts w:hint="cs"/>
          <w:rtl/>
        </w:rPr>
        <w:t>(2.1, 4)</w:t>
      </w:r>
      <w:r w:rsidRPr="002F2700">
        <w:rPr>
          <w:rStyle w:val="Style1Char"/>
          <w:color w:val="00B050"/>
          <w:rtl/>
        </w:rPr>
        <w:t xml:space="preserve">שמעה לקלה דבת מחוזא היא, אמר להו: בבל וכל פרוודהא נהוג כרב. אמרו ליה: והא לנהרדעא נסיבא! אמר להו: אי הכי, נהרדעא וכל פרוודהא נהוג כשמואל. </w:t>
      </w:r>
      <w:r w:rsidRPr="00DC0DEF">
        <w:rPr>
          <w:rStyle w:val="Style1Char"/>
          <w:color w:val="000000" w:themeColor="text1"/>
          <w:sz w:val="22"/>
          <w:szCs w:val="22"/>
          <w:rtl/>
        </w:rPr>
        <w:t>ועד היכא נהרדעא? עד היכא דסגי קבא דנהרדעא</w:t>
      </w:r>
      <w:r w:rsidRPr="00DC0DEF">
        <w:rPr>
          <w:rStyle w:val="Style1Char"/>
          <w:color w:val="000000" w:themeColor="text1"/>
          <w:rtl/>
        </w:rPr>
        <w:t xml:space="preserve"> </w:t>
      </w:r>
      <w:r w:rsidRPr="001D4E59">
        <w:rPr>
          <w:rStyle w:val="Style1Char"/>
          <w:color w:val="C00000"/>
          <w:rtl/>
        </w:rPr>
        <w:t xml:space="preserve">איכא מאן דאמר מדקא יהבינן קיצותא לנהרדעא מכלל דכולי עלמא כרב עבדי והלכתא כוותיה ואנן לא חזינן להאי סברא דהאי דקא יהבינן קיצותא לנהרדעא לאו למימרא דכולי עלמא עבדי כרב אלא למימרא דשאר בבל ופרוודהא עבדי כרב אבל כולי עלמא דלית להו מנהגא כשמואל עבדי דקי"ל הלכה כשמואל בדיני ומר רב משה גאון הכי סבירא ליה כדכתבינן ואייתי סייעתא להאי סברא מהא דתנן אלמנה ניזונת מנכסי יתומים ואיבעיא לן בגמרא [דף צ"ה ע"ב] ניזונת תנן וכאנשי גליל או הניזונת תנן וכאנשי יהודה ואסיקנא לעולם ניזונת תנן וכאנשי גליל </w:t>
      </w:r>
    </w:p>
    <w:p w14:paraId="028AF211" w14:textId="77777777" w:rsidR="000357F0" w:rsidRDefault="000357F0" w:rsidP="000357F0">
      <w:pPr>
        <w:bidi/>
        <w:rPr>
          <w:rStyle w:val="Style1Char"/>
          <w:sz w:val="22"/>
          <w:szCs w:val="22"/>
          <w:rtl/>
        </w:rPr>
      </w:pPr>
      <w:r w:rsidRPr="001D4E59">
        <w:rPr>
          <w:rStyle w:val="Style1Char"/>
          <w:color w:val="C00000"/>
          <w:rtl/>
        </w:rPr>
        <w:t>ועוד אייתי סייעתא מהא דאמרינן [דף נ"ד ע"א] קריביה דרבי יוחנן הוה להו איתת אבא דהוה נפישי מזונה אתו לקמיה דרבי יוחנן אמר להו זילו אמרו ליה לחביבי דנייחד לה ארעא למזונה ואי סלקא דעתך ס"ל לרבי יוחנן כאנשי יהודה למה ליה לייחודי לה ארעא ליתן לה כתובה וליפטרה אלא ש"מ כאנשי גליל ס"ל ובסוף יש נוחלין [בבא - בתרא קל"ט ע"א] נמי אמרינן שלח רבין באיגרתיה מי שמת והניח אלמנה ובת אלמנה ניזונת מנכסיו נישאת הבת אלמנתו ניזונת מנכסיו מתה הבת אמר רב יהודה בן אחותו של רבי יוסי ברבי חנינא על ידי היה מעשה ואמרו אלמנתו ניזונת מנכסיו ושמעינן מהני כולהו דהלכה כאנשי גליל:</w:t>
      </w:r>
      <w:r w:rsidRPr="006132BC">
        <w:rPr>
          <w:rStyle w:val="Style1Char"/>
          <w:sz w:val="22"/>
          <w:szCs w:val="22"/>
          <w:rtl/>
        </w:rPr>
        <w:t xml:space="preserve">. </w:t>
      </w:r>
    </w:p>
    <w:p w14:paraId="27751A98" w14:textId="77777777" w:rsidR="000357F0" w:rsidRPr="00C81021" w:rsidRDefault="000357F0" w:rsidP="000357F0">
      <w:pPr>
        <w:bidi/>
        <w:rPr>
          <w:rStyle w:val="Style1Char"/>
          <w:color w:val="4472C4" w:themeColor="accent1"/>
        </w:rPr>
      </w:pPr>
      <w:r w:rsidRPr="00C81021">
        <w:rPr>
          <w:rStyle w:val="Style1Char"/>
          <w:color w:val="4472C4" w:themeColor="accent1"/>
          <w:rtl/>
        </w:rPr>
        <w:t>פסק ר"ת במקום שיש מנהג ידוע יש לילך אחר המנהג ובמקום שאין מנהג ידוע יעשו כשמואל דהלכתא כוותיה בדיני והא דבעי עד היכא נהרדעא לאו משום דבשאר כל המקומות יש לעשות כרב דהילכתא כוותיה</w:t>
      </w:r>
      <w:r>
        <w:rPr>
          <w:rStyle w:val="Style1Char"/>
          <w:rFonts w:hint="cs"/>
          <w:color w:val="4472C4" w:themeColor="accent1"/>
        </w:rPr>
        <w:t>‍</w:t>
      </w:r>
      <w:r w:rsidRPr="00C81021">
        <w:rPr>
          <w:rStyle w:val="Style1Char"/>
          <w:color w:val="4472C4" w:themeColor="accent1"/>
          <w:rtl/>
        </w:rPr>
        <w:t xml:space="preserve"> אלא נוהגין היו כרב בשאר מקומות וקא בעי עד היכן נהרדעא לידע באיזה מקום נהגו כרב ובאיזה מקום נהגו כשמואל וכן פסק רב אלפס.</w:t>
      </w:r>
      <w:r>
        <w:rPr>
          <w:rStyle w:val="Style1Char"/>
          <w:rFonts w:hint="cs"/>
          <w:color w:val="4472C4" w:themeColor="accent1"/>
        </w:rPr>
        <w:t>‍</w:t>
      </w:r>
      <w:r w:rsidRPr="00C81021">
        <w:rPr>
          <w:rStyle w:val="Style1Char"/>
          <w:color w:val="4472C4" w:themeColor="accent1"/>
          <w:rtl/>
        </w:rPr>
        <w:t xml:space="preserve"> ומר רב משה גאון ז"ל הביא מהא דתנן לקמן (דף צה ב) אלמנה ניזונת מנכסי יתומים ואיבעיא לן ניזונת </w:t>
      </w:r>
      <w:r w:rsidRPr="00C81021">
        <w:rPr>
          <w:rStyle w:val="Style1Char"/>
          <w:color w:val="4472C4" w:themeColor="accent1"/>
          <w:rtl/>
        </w:rPr>
        <w:lastRenderedPageBreak/>
        <w:t>מנכסי יתומים תנן כאנשי גליל או הניזונת כאנשי יהודה ואסיקנא דניזונת תנן כאנשי גליל ולאו ראיה היא כי התוס' פירשו דלא קא מיבעי היכי תנן במתני' לענין פסק הלכה דהא פלוגתא דרב ושמואל היא ואפילו אי הוה מחלוקת ואח"כ סתם אפשר דהוי הלכתא כחד מהנך אמוראי דבמקום דאיכא פלוגתא דאמוראי לא אזלינן בתר מחלוקת ואח"כ סתם ועוד היכי בעי למיפשט ממילתיה דשמואל הא שמואל פסק כאנשי גליל הכא ומאי ראיה מייתי מדברי שמואל ועוד היכי מצי למיפשט ממילתיה דשמואל דהניזונת תנן וכאנשי יהודה הא איהו קאמר הכא איפכא</w:t>
      </w:r>
      <w:r>
        <w:rPr>
          <w:rStyle w:val="Style1Char"/>
          <w:rFonts w:hint="cs"/>
          <w:color w:val="4472C4" w:themeColor="accent1"/>
        </w:rPr>
        <w:t>‍</w:t>
      </w:r>
      <w:r w:rsidRPr="00C81021">
        <w:rPr>
          <w:rStyle w:val="Style1Char"/>
          <w:color w:val="4472C4" w:themeColor="accent1"/>
          <w:rtl/>
        </w:rPr>
        <w:t xml:space="preserve"> אלא לענין דינא קא בעי ניזונת תנן וכאנשי גליל שתהא ניזונת בעל כרחם של יתומים הלכך מעשה ידיה שלהן אבל לאנשי יהודה שניזונת מדעתן ויכולין לסלקה אין מעשה ידיה שלהן או הניזונת תנן וכאנשי יהודה דאפילו לאנשי יהודה כל זמן שניזונת מיהא מעשה ידיה שלהן. ועוד הביא ראיה מקריביה דרבי יוחנן דקריביה דרבי יוחנן הוה להו איתת אבא</w:t>
      </w:r>
      <w:r>
        <w:rPr>
          <w:rStyle w:val="Style1Char"/>
          <w:rFonts w:hint="cs"/>
          <w:color w:val="4472C4" w:themeColor="accent1"/>
        </w:rPr>
        <w:t>‍</w:t>
      </w:r>
      <w:r w:rsidRPr="00C81021">
        <w:rPr>
          <w:rStyle w:val="Style1Char"/>
          <w:color w:val="4472C4" w:themeColor="accent1"/>
          <w:rtl/>
        </w:rPr>
        <w:t xml:space="preserve"> דהות מפסדא מזוני אתו לקמיה דרבי יוחנן ואמר להו זילו ואמרו לאבוכון דנייחד לה ארעא למזוני ואי סלקא דעתיך דס"ל לרבי יוחנן כאנשי יהודה למה ליה לייחד ארעא ליתבו לה כתובתה וליפטרה אלא שמע מינה כאנשי גליל סבירא ליה. ונראה לי דלאו ראיה היא כל כך דשמא היתה כתובתה מרובה ויותר היו חפצים שתהיה ניזונת ויתפרנסו כולם מן הנכסים. ועוד הביא ראיה מההוא דשילהי יש נוחלין (דף קלט א) דשלח רבין באגרתיה מי שמת והניח אלמנה ובת אלמנתו ניזונת מנכסיו נישאת הבת אלמנתו ניזונת מנכסיו מתה הבת א"ר יהודה בן אחותו של רבי יוסי בר חנינא על ידי היה מעשה</w:t>
      </w:r>
      <w:r>
        <w:rPr>
          <w:rStyle w:val="Style1Char"/>
          <w:rFonts w:hint="cs"/>
          <w:color w:val="4472C4" w:themeColor="accent1"/>
        </w:rPr>
        <w:t>‍</w:t>
      </w:r>
      <w:r w:rsidRPr="00C81021">
        <w:rPr>
          <w:rStyle w:val="Style1Char"/>
          <w:color w:val="4472C4" w:themeColor="accent1"/>
          <w:rtl/>
        </w:rPr>
        <w:t xml:space="preserve"> ואמרו אלמנתו ניזונת מנכסיו גם זו אינה ראיה</w:t>
      </w:r>
      <w:r>
        <w:rPr>
          <w:rStyle w:val="Style1Char"/>
          <w:rFonts w:hint="cs"/>
          <w:color w:val="4472C4" w:themeColor="accent1"/>
        </w:rPr>
        <w:t>‍</w:t>
      </w:r>
      <w:r w:rsidRPr="00C81021">
        <w:rPr>
          <w:rStyle w:val="Style1Char"/>
          <w:color w:val="4472C4" w:themeColor="accent1"/>
          <w:rtl/>
        </w:rPr>
        <w:t xml:space="preserve"> מטעמא דפרישית.</w:t>
      </w:r>
      <w:r>
        <w:rPr>
          <w:rStyle w:val="Style1Char"/>
          <w:rFonts w:hint="cs"/>
          <w:color w:val="4472C4" w:themeColor="accent1"/>
        </w:rPr>
        <w:t>‍</w:t>
      </w:r>
      <w:r w:rsidRPr="00C81021">
        <w:rPr>
          <w:rStyle w:val="Style1Char"/>
          <w:color w:val="4472C4" w:themeColor="accent1"/>
          <w:rtl/>
        </w:rPr>
        <w:t xml:space="preserve"> ובתוספתא תניא כל הארצות כותבין כאנשי ירושלים ובירושלמי גרסינן קסרין כיהודה ושאר כל המקומות כירושלים וכן משמע</w:t>
      </w:r>
      <w:r>
        <w:rPr>
          <w:rStyle w:val="Style1Char"/>
          <w:rFonts w:hint="cs"/>
          <w:color w:val="4472C4" w:themeColor="accent1"/>
        </w:rPr>
        <w:t>‍</w:t>
      </w:r>
      <w:r w:rsidRPr="00C81021">
        <w:rPr>
          <w:rStyle w:val="Style1Char"/>
          <w:color w:val="4472C4" w:themeColor="accent1"/>
          <w:rtl/>
        </w:rPr>
        <w:t xml:space="preserve"> מהא דתנן האשה שאמרה מת בעלי רצתה ניזונת רצתה גובה כתובתה וכן כתב רב שרירא גאון ז"ל דבמקום שאין מנהג יש לעשות כאנשי ירושלים וכשמואל</w:t>
      </w:r>
      <w:r w:rsidRPr="00C81021">
        <w:rPr>
          <w:rStyle w:val="Style1Char"/>
          <w:color w:val="4472C4" w:themeColor="accent1"/>
        </w:rPr>
        <w:t xml:space="preserve">: </w:t>
      </w:r>
    </w:p>
    <w:p w14:paraId="5289F756" w14:textId="04AC51BF" w:rsidR="000357F0" w:rsidRPr="00C81021" w:rsidRDefault="000357F0" w:rsidP="000357F0">
      <w:pPr>
        <w:bidi/>
        <w:rPr>
          <w:rStyle w:val="Style1Char"/>
          <w:color w:val="4472C4" w:themeColor="accent1"/>
        </w:rPr>
      </w:pPr>
      <w:r w:rsidRPr="00C073B6">
        <w:rPr>
          <w:rStyle w:val="Style1Char"/>
          <w:color w:val="000000" w:themeColor="text1"/>
          <w:sz w:val="22"/>
          <w:szCs w:val="22"/>
          <w:rtl/>
        </w:rPr>
        <w:t xml:space="preserve">איתמר: </w:t>
      </w:r>
      <w:r w:rsidR="00FB48BF">
        <w:rPr>
          <w:rStyle w:val="Style1Char"/>
          <w:rFonts w:hint="cs"/>
          <w:rtl/>
        </w:rPr>
        <w:t>(5)</w:t>
      </w:r>
      <w:r w:rsidRPr="00C073B6">
        <w:rPr>
          <w:rStyle w:val="Style1Char"/>
          <w:color w:val="000000" w:themeColor="text1"/>
          <w:sz w:val="22"/>
          <w:szCs w:val="22"/>
          <w:rtl/>
        </w:rPr>
        <w:t xml:space="preserve">אלמנה - רב אמר: </w:t>
      </w:r>
      <w:r w:rsidR="0023737A">
        <w:rPr>
          <w:rStyle w:val="Style1Char"/>
          <w:rFonts w:hint="cs"/>
          <w:rtl/>
        </w:rPr>
        <w:t>(5)</w:t>
      </w:r>
      <w:r w:rsidRPr="00C073B6">
        <w:rPr>
          <w:rStyle w:val="Style1Char"/>
          <w:color w:val="000000" w:themeColor="text1"/>
          <w:sz w:val="22"/>
          <w:szCs w:val="22"/>
          <w:rtl/>
        </w:rPr>
        <w:t>שמין מה שעליה, ושמואל אמר: אין שמין מה שעליה</w:t>
      </w:r>
      <w:r w:rsidRPr="00C073B6">
        <w:rPr>
          <w:rStyle w:val="Style1Char"/>
          <w:color w:val="000000" w:themeColor="text1"/>
          <w:rtl/>
        </w:rPr>
        <w:t xml:space="preserve">. </w:t>
      </w:r>
      <w:r w:rsidRPr="002F2700">
        <w:rPr>
          <w:rStyle w:val="Style1Char"/>
          <w:color w:val="00B050"/>
          <w:rtl/>
        </w:rPr>
        <w:t xml:space="preserve">אמר רב חייא בר אבין: וחילופה בלקיט. </w:t>
      </w:r>
      <w:r w:rsidRPr="00A559B7">
        <w:rPr>
          <w:rStyle w:val="Style1Char"/>
          <w:color w:val="auto"/>
          <w:sz w:val="22"/>
          <w:szCs w:val="22"/>
          <w:rtl/>
        </w:rPr>
        <w:t>רב כהנא מתני: וכן בלקיט, ומנח בה סימנא: יתמא וארמלתא שלח ופוק</w:t>
      </w:r>
      <w:r w:rsidRPr="00A559B7">
        <w:rPr>
          <w:rStyle w:val="Style1Char"/>
          <w:color w:val="auto"/>
          <w:rtl/>
        </w:rPr>
        <w:t xml:space="preserve"> </w:t>
      </w:r>
      <w:r w:rsidRPr="00A559B7">
        <w:rPr>
          <w:rStyle w:val="Style1Char"/>
          <w:color w:val="806000" w:themeColor="accent4" w:themeShade="80"/>
          <w:rtl/>
        </w:rPr>
        <w:t>ושמעינן מינה דמאן דגריש לאתתיה מדעתא דנפשיה אין שמין לו מה שעליה דלאו איהי בעיא למיפק אלא איהו בעי לאפוקה</w:t>
      </w:r>
      <w:r w:rsidRPr="002F2700">
        <w:rPr>
          <w:rStyle w:val="Style1Char"/>
          <w:color w:val="00B050"/>
          <w:rtl/>
        </w:rPr>
        <w:t xml:space="preserve">. </w:t>
      </w:r>
      <w:r w:rsidRPr="00C666AC">
        <w:rPr>
          <w:rStyle w:val="Style1Char"/>
          <w:color w:val="806000" w:themeColor="accent4" w:themeShade="80"/>
          <w:sz w:val="22"/>
          <w:szCs w:val="22"/>
          <w:rtl/>
        </w:rPr>
        <w:t xml:space="preserve">אמר רבא </w:t>
      </w:r>
      <w:r w:rsidRPr="00C666AC">
        <w:rPr>
          <w:rStyle w:val="Style1Char"/>
          <w:color w:val="auto"/>
          <w:sz w:val="22"/>
          <w:szCs w:val="22"/>
          <w:rtl/>
        </w:rPr>
        <w:t xml:space="preserve">אמר רב נחמן: אף על גב דתנן במתניתין כוותיה דשמואל, הלכתא כוותיה דרב; דתנן: אחד </w:t>
      </w:r>
      <w:r w:rsidR="00C76AA9">
        <w:rPr>
          <w:rStyle w:val="Style1Char"/>
          <w:rFonts w:hint="cs"/>
          <w:rtl/>
        </w:rPr>
        <w:t>(6)</w:t>
      </w:r>
      <w:r w:rsidRPr="00C666AC">
        <w:rPr>
          <w:rStyle w:val="Style1Char"/>
          <w:color w:val="auto"/>
          <w:sz w:val="22"/>
          <w:szCs w:val="22"/>
          <w:rtl/>
        </w:rPr>
        <w:t xml:space="preserve">המקדיש נכסיו, ואחד המעריך את עצמו - אין לו לא בכסות אשתו ולא בכסות בניו, ולא בצבע שצבע לשמן, ולא בסנדלים חדשים </w:t>
      </w:r>
      <w:r w:rsidRPr="00DA30E2">
        <w:rPr>
          <w:rStyle w:val="Style1Char"/>
          <w:color w:val="4472C4" w:themeColor="accent1"/>
          <w:sz w:val="22"/>
          <w:szCs w:val="22"/>
          <w:rtl/>
        </w:rPr>
        <w:t xml:space="preserve">ולא בכלים חדשים </w:t>
      </w:r>
      <w:r w:rsidRPr="00C666AC">
        <w:rPr>
          <w:rStyle w:val="Style1Char"/>
          <w:color w:val="auto"/>
          <w:sz w:val="22"/>
          <w:szCs w:val="22"/>
          <w:rtl/>
        </w:rPr>
        <w:t xml:space="preserve">שלקח לשמן. אמר ליה רבא לרב נחמן: וכי מאחר דתנן מתניתין כוותיה דשמואל, אמאי הלכתא כוותיה דרב? אמר ליה: לכאורה </w:t>
      </w:r>
      <w:r w:rsidRPr="001C3B65">
        <w:rPr>
          <w:rStyle w:val="Style1Char"/>
          <w:color w:val="4472C4" w:themeColor="accent1"/>
          <w:sz w:val="22"/>
          <w:szCs w:val="22"/>
          <w:rtl/>
        </w:rPr>
        <w:t xml:space="preserve">מתניתין </w:t>
      </w:r>
      <w:r w:rsidRPr="00C666AC">
        <w:rPr>
          <w:rStyle w:val="Style1Char"/>
          <w:color w:val="auto"/>
          <w:sz w:val="22"/>
          <w:szCs w:val="22"/>
          <w:rtl/>
        </w:rPr>
        <w:t>כשמואל רהיטא, כי מעיינת בה הלכתא כוותיה דרב, מאי טעמא? כי אקני לה - אדעתא למיקם קמיה, אדעתא למשקל ולמיפק לא אקני לה</w:t>
      </w:r>
      <w:r w:rsidRPr="00C666AC">
        <w:rPr>
          <w:rStyle w:val="Style1Char"/>
          <w:color w:val="auto"/>
          <w:rtl/>
        </w:rPr>
        <w:t xml:space="preserve"> </w:t>
      </w:r>
      <w:r w:rsidRPr="001C3B65">
        <w:rPr>
          <w:rStyle w:val="Style1Char"/>
          <w:color w:val="806000" w:themeColor="accent4" w:themeShade="80"/>
          <w:sz w:val="22"/>
          <w:szCs w:val="22"/>
          <w:rtl/>
        </w:rPr>
        <w:t>וכן הלכתא</w:t>
      </w:r>
      <w:r w:rsidRPr="008A4CB7">
        <w:rPr>
          <w:rStyle w:val="Style1Char"/>
          <w:color w:val="4472C4" w:themeColor="accent1"/>
          <w:rtl/>
        </w:rPr>
        <w:t xml:space="preserve"> </w:t>
      </w:r>
      <w:r w:rsidRPr="00C81021">
        <w:rPr>
          <w:rStyle w:val="Style1Char"/>
          <w:color w:val="4472C4" w:themeColor="accent1"/>
          <w:rtl/>
        </w:rPr>
        <w:t>לקיט הוא עני המלקט בביתו של בעל הבית ואוכל פתו של עצמו ומסייע לבעל הבית במלאכתו ובעל הבית מהנהו לפעמים במאכל ובמשתה ופעמים נותן לו מלבוש אבל אין לו שכר קצוב ואם יצא מעצמו מפשיט בגדיו מעליו אבל שכיר שנשכר אצל בעה"ב לזמן ידוע וקנה לו בגדים אם יצא תוך זמנו כההיא דאמרינן (ב"מ דף עז א) פועל חוזר ואפי' בחצי היום אדעתא דהכי לא יהיב ליה אבל אם יצא בזמנו כיון דידע בעה"ב דאורחיה דשכיר למיפק בזמניה איבעי ליה לאתנויי ומדיהיב ליה בסתם גמר ומקני ליה ולהכי נקט לקיט ולא נקיט שכיר כי ההיא דלקמן (דף נז ב) לקיט כהן לישראל לא ליכול ובגדי אלמנה וגרושה אין חילוק בין בגדי חול לבגדי שבת ולא דמי לההיא דאמרינן בפ"ק דב"ק (דף יא ב) האחין שחלקו מה שעליהן שמין ומה שעל נשיהם ובניהם אין שמין וקאמר עלה בירושלמי דבגדי שבת שמין דהתם איכא טעמא למילתא דאחין מקני להו בגדי חול דגנאי הוא שיפשיטו בגדיהם מעליהם כדי לשומם מה שאין כן בבגדי שבת אבל הכא (בגרושה) אקנויי אקני לה כל מה שקנה וצבע לשמה ובאלמנה [וגרושה] אדעתיה למיפק לא אקני מידי</w:t>
      </w:r>
      <w:r w:rsidRPr="00C81021">
        <w:rPr>
          <w:rStyle w:val="Style1Char"/>
          <w:color w:val="4472C4" w:themeColor="accent1"/>
        </w:rPr>
        <w:t>:</w:t>
      </w:r>
      <w:r w:rsidRPr="001C3B65">
        <w:rPr>
          <w:rStyle w:val="Style1Char"/>
          <w:color w:val="806000" w:themeColor="accent4" w:themeShade="80"/>
          <w:sz w:val="22"/>
          <w:szCs w:val="22"/>
          <w:rtl/>
        </w:rPr>
        <w:t xml:space="preserve">. </w:t>
      </w:r>
      <w:r w:rsidRPr="002F2700">
        <w:rPr>
          <w:rStyle w:val="Style1Char"/>
          <w:color w:val="00B050"/>
          <w:rtl/>
        </w:rPr>
        <w:t xml:space="preserve">כלתא דבי בר אלישיב הוה קא תבעה כתובתה מיתמי, הוה קא ממטי להו לבי דינא, אמרי: זילא לן מילתא דתיזלי הכי. אזלא לבישתינהו ואיכסתינהו </w:t>
      </w:r>
    </w:p>
    <w:p w14:paraId="11E27EFA" w14:textId="6B06E760" w:rsidR="000357F0" w:rsidRDefault="000357F0" w:rsidP="000357F0">
      <w:pPr>
        <w:bidi/>
        <w:rPr>
          <w:rStyle w:val="Style1Char"/>
          <w:color w:val="auto"/>
          <w:sz w:val="22"/>
          <w:szCs w:val="22"/>
          <w:rtl/>
        </w:rPr>
      </w:pPr>
      <w:r w:rsidRPr="002F2700">
        <w:rPr>
          <w:rStyle w:val="Style1Char"/>
          <w:color w:val="00B050"/>
          <w:rtl/>
        </w:rPr>
        <w:t xml:space="preserve">לכוליה מנא, אתו לקמיה דרבינא, אמר להו: הלכתא כוותיה דרב, דאמר: אלמנה שמין מה שעליה. </w:t>
      </w:r>
      <w:r w:rsidRPr="00233C81">
        <w:rPr>
          <w:rStyle w:val="Style1Char"/>
          <w:color w:val="auto"/>
          <w:sz w:val="22"/>
          <w:szCs w:val="22"/>
          <w:rtl/>
        </w:rPr>
        <w:t xml:space="preserve">ההוא דאמר להו נדוניא לברת, זל נדוניא, א"ר אידי בר אבין: </w:t>
      </w:r>
      <w:r w:rsidR="006F1514">
        <w:rPr>
          <w:rStyle w:val="Style1Char"/>
          <w:rFonts w:hint="cs"/>
          <w:rtl/>
        </w:rPr>
        <w:t>(7)</w:t>
      </w:r>
      <w:r w:rsidRPr="00233C81">
        <w:rPr>
          <w:rStyle w:val="Style1Char"/>
          <w:color w:val="auto"/>
          <w:sz w:val="22"/>
          <w:szCs w:val="22"/>
          <w:rtl/>
        </w:rPr>
        <w:t>פורנא ליתמי</w:t>
      </w:r>
      <w:r w:rsidRPr="00000076">
        <w:rPr>
          <w:rStyle w:val="Style1Char"/>
          <w:color w:val="4472C4" w:themeColor="accent1"/>
          <w:rtl/>
        </w:rPr>
        <w:t xml:space="preserve"> </w:t>
      </w:r>
      <w:r w:rsidRPr="00C81021">
        <w:rPr>
          <w:rStyle w:val="Style1Char"/>
          <w:color w:val="4472C4" w:themeColor="accent1"/>
          <w:rtl/>
        </w:rPr>
        <w:t>וה"ה נמי אם הוקרה ההפסד ליתומים ובספרים כתוב ארבע מאה זוזי נדוניא לברת ואותה גירסא נראה לי עיקר דאם לא הוזכר סכום המעות מה חידוש הוא זה דפורנא ליתמי אבל עתה שהזכיר סכום מעות שהיתה הנדוניא שוה באותה שעה השתא הוי חידוש אף על פי שהזכיר סכום מעות הריוח ליתומים כי לא היה דעתו אלא שיתנו לה הנדוניא</w:t>
      </w:r>
      <w:r w:rsidRPr="00233C81">
        <w:rPr>
          <w:rStyle w:val="Style1Char"/>
          <w:color w:val="auto"/>
          <w:sz w:val="22"/>
          <w:szCs w:val="22"/>
          <w:rtl/>
        </w:rPr>
        <w:t xml:space="preserve">. </w:t>
      </w:r>
      <w:r w:rsidR="006F1514">
        <w:rPr>
          <w:rStyle w:val="Style1Char"/>
          <w:rFonts w:hint="cs"/>
          <w:rtl/>
        </w:rPr>
        <w:t>(7)</w:t>
      </w:r>
      <w:r w:rsidRPr="00233C81">
        <w:rPr>
          <w:rStyle w:val="Style1Char"/>
          <w:color w:val="auto"/>
          <w:sz w:val="22"/>
          <w:szCs w:val="22"/>
          <w:rtl/>
        </w:rPr>
        <w:t xml:space="preserve">ההוא דאמר להו </w:t>
      </w:r>
    </w:p>
    <w:p w14:paraId="603D2D21" w14:textId="6F157066" w:rsidR="00FD555D" w:rsidRDefault="00FD555D" w:rsidP="00FD555D">
      <w:pPr>
        <w:pStyle w:val="Style1"/>
        <w:rPr>
          <w:rtl/>
        </w:rPr>
      </w:pPr>
      <w:r>
        <w:rPr>
          <w:rFonts w:hint="cs"/>
          <w:rtl/>
        </w:rPr>
        <w:t>1)[</w:t>
      </w:r>
      <w:r>
        <w:rPr>
          <w:rtl/>
        </w:rPr>
        <w:t>רמב</w:t>
      </w:r>
      <w:r w:rsidR="00213DA1">
        <w:rPr>
          <w:rtl/>
        </w:rPr>
        <w:t>”ם \נשים\</w:t>
      </w:r>
      <w:r>
        <w:rPr>
          <w:rtl/>
        </w:rPr>
        <w:t xml:space="preserve"> הלכות אישות פרק יט הלכה יד</w:t>
      </w:r>
      <w:r>
        <w:rPr>
          <w:rFonts w:hint="cs"/>
          <w:rtl/>
        </w:rPr>
        <w:t xml:space="preserve">] </w:t>
      </w:r>
      <w:r>
        <w:rPr>
          <w:rtl/>
        </w:rPr>
        <w:t>בת הממאנת הרי היא כשאר הבנות ויש לה מזונות, אבל בת היבמה ובת השנייה ובת הארוסה ובת האנוסה אין להן מזונות אחר מיתת אביהן בתנאי זה, אבל בחיי אביהן הוא חייב במזונותן כדין שאר הבנים והבנות בחיי אביהן. /השגת הראב"ד/ בת הממאנת הרי היא כשאר הבנות. א"א מה שאינו כתב, בת הממאנת, אין לה לא בת ולא בן ולא שאלו עליה אלא על עצמה אם תחזור לבית אביה אם יש לה מזונות מן האחים או לא ופשטו לה שיש לה.</w:t>
      </w:r>
    </w:p>
    <w:p w14:paraId="7271A817" w14:textId="245FA6F9" w:rsidR="007119D5" w:rsidRPr="007119D5" w:rsidRDefault="00DE4D15" w:rsidP="007119D5">
      <w:pPr>
        <w:pStyle w:val="Style1"/>
      </w:pPr>
      <w:r>
        <w:rPr>
          <w:rFonts w:hint="cs"/>
          <w:rtl/>
        </w:rPr>
        <w:t>1)[</w:t>
      </w:r>
      <w:r>
        <w:rPr>
          <w:rtl/>
        </w:rPr>
        <w:t>שולחן ערוך אבן העזר הלכות כתובות סימן סט סעיף ה</w:t>
      </w:r>
      <w:r>
        <w:rPr>
          <w:rFonts w:hint="cs"/>
          <w:rtl/>
        </w:rPr>
        <w:t>]</w:t>
      </w:r>
      <w:r w:rsidR="007119D5">
        <w:rPr>
          <w:rFonts w:hint="cs"/>
          <w:rtl/>
        </w:rPr>
        <w:t xml:space="preserve"> </w:t>
      </w:r>
      <w:r w:rsidR="007119D5" w:rsidRPr="007119D5">
        <w:rPr>
          <w:rtl/>
        </w:rPr>
        <w:t>אם היא אומרת: איני נותנת לך פירות ואיני חפצה שתפדני אם אשבה, אין שומעין לה, כדי שלא תתערב בין הכותים</w:t>
      </w:r>
      <w:r w:rsidR="007119D5" w:rsidRPr="007119D5">
        <w:t>.</w:t>
      </w:r>
    </w:p>
    <w:p w14:paraId="0D4A758A" w14:textId="110433C8" w:rsidR="007119D5" w:rsidRDefault="007119D5" w:rsidP="007119D5">
      <w:pPr>
        <w:pStyle w:val="Style1"/>
        <w:rPr>
          <w:rtl/>
        </w:rPr>
      </w:pPr>
      <w:r w:rsidRPr="007119D5">
        <w:rPr>
          <w:rFonts w:hint="cs"/>
          <w:rtl/>
        </w:rPr>
        <w:t>וכן בירושה וקבורה, אין אחד מהם יכול לומר: איני קובר ואיני יורש, אלא קובר ויורש (ר"ן פרק נערה)</w:t>
      </w:r>
      <w:r w:rsidRPr="007119D5">
        <w:t>:</w:t>
      </w:r>
    </w:p>
    <w:p w14:paraId="414BAF50" w14:textId="4014A90A" w:rsidR="0011633E" w:rsidRDefault="00E620F4" w:rsidP="0011633E">
      <w:pPr>
        <w:pStyle w:val="Style1"/>
        <w:rPr>
          <w:rStyle w:val="Style1Char"/>
          <w:rtl/>
        </w:rPr>
      </w:pPr>
      <w:r>
        <w:rPr>
          <w:rStyle w:val="Style1Char"/>
          <w:rFonts w:hint="cs"/>
          <w:rtl/>
        </w:rPr>
        <w:t>2</w:t>
      </w:r>
      <w:r w:rsidR="0011633E">
        <w:rPr>
          <w:rStyle w:val="Style1Char"/>
          <w:rFonts w:hint="cs"/>
          <w:rtl/>
        </w:rPr>
        <w:t>)[</w:t>
      </w:r>
      <w:r w:rsidR="0011633E" w:rsidRPr="002E136D">
        <w:rPr>
          <w:rStyle w:val="Style1Char"/>
          <w:rtl/>
        </w:rPr>
        <w:t>רמב</w:t>
      </w:r>
      <w:r w:rsidR="00213DA1">
        <w:rPr>
          <w:rStyle w:val="Style1Char"/>
          <w:rtl/>
        </w:rPr>
        <w:t>”ם \נשים\</w:t>
      </w:r>
      <w:r w:rsidR="0011633E" w:rsidRPr="002E136D">
        <w:rPr>
          <w:rStyle w:val="Style1Char"/>
          <w:rtl/>
        </w:rPr>
        <w:t xml:space="preserve"> הלכות אישות פרק יח הלכה א</w:t>
      </w:r>
      <w:r w:rsidR="0011633E">
        <w:rPr>
          <w:rStyle w:val="Style1Char"/>
          <w:rFonts w:hint="cs"/>
          <w:rtl/>
        </w:rPr>
        <w:t xml:space="preserve">] </w:t>
      </w:r>
      <w:r w:rsidR="0011633E" w:rsidRPr="002E136D">
        <w:rPr>
          <w:rStyle w:val="Style1Char"/>
          <w:rtl/>
        </w:rPr>
        <w:t>אלמנה ניזונת מנכסי יורשין כל זמן אלמנותה עד שתטול כתובתה, ומשתתבע כתובתה בבית דין אין לה מזונות, וכן אם מכרה כתובתה כולה או משכנה כתובתה או עשתה כתובתה אפותיקי לאחר והוא שתאמר לו פה תקנה חובך בין שעשת דברים אלו בבית דין מומחין בין שלא בבית דין בין שעשת בחיי בעלה בין שעשת לאחר מיתת בעלה אין לה מזונות מן היורשים, אבל אם מכרה מקצתה יש לה מזונות, ומשתתארס האלמנה אבדה מזונותיה.</w:t>
      </w:r>
    </w:p>
    <w:p w14:paraId="02357DE2" w14:textId="6493CE77" w:rsidR="0088439A" w:rsidRPr="0088439A" w:rsidRDefault="00E620F4" w:rsidP="0088439A">
      <w:pPr>
        <w:pStyle w:val="Style1"/>
      </w:pPr>
      <w:r>
        <w:rPr>
          <w:rStyle w:val="Style1Char"/>
          <w:rFonts w:hint="cs"/>
          <w:rtl/>
        </w:rPr>
        <w:t>2</w:t>
      </w:r>
      <w:r w:rsidR="0011633E">
        <w:rPr>
          <w:rStyle w:val="Style1Char"/>
          <w:rFonts w:hint="cs"/>
          <w:rtl/>
        </w:rPr>
        <w:t>)[</w:t>
      </w:r>
      <w:r w:rsidR="0011633E" w:rsidRPr="00F76404">
        <w:rPr>
          <w:rStyle w:val="Style1Char"/>
          <w:rtl/>
        </w:rPr>
        <w:t>שולחן ערוך אבן העזר הלכות כתובות סימן צ</w:t>
      </w:r>
      <w:r w:rsidR="00544B91">
        <w:rPr>
          <w:rStyle w:val="Style1Char"/>
          <w:rFonts w:hint="cs"/>
          <w:rtl/>
        </w:rPr>
        <w:t>ג</w:t>
      </w:r>
      <w:r w:rsidR="0011633E" w:rsidRPr="00F76404">
        <w:rPr>
          <w:rStyle w:val="Style1Char"/>
          <w:rtl/>
        </w:rPr>
        <w:t xml:space="preserve"> סעיף </w:t>
      </w:r>
      <w:r w:rsidR="00544B91">
        <w:rPr>
          <w:rStyle w:val="Style1Char"/>
          <w:rFonts w:hint="cs"/>
          <w:rtl/>
        </w:rPr>
        <w:t>ה</w:t>
      </w:r>
      <w:r w:rsidR="0011633E">
        <w:rPr>
          <w:rStyle w:val="Style1Char"/>
          <w:rFonts w:hint="cs"/>
          <w:rtl/>
        </w:rPr>
        <w:t>]</w:t>
      </w:r>
      <w:r w:rsidR="0088439A">
        <w:rPr>
          <w:rStyle w:val="Style1Char"/>
          <w:rFonts w:hint="cs"/>
          <w:rtl/>
        </w:rPr>
        <w:t xml:space="preserve"> </w:t>
      </w:r>
      <w:r w:rsidR="0088439A" w:rsidRPr="0088439A">
        <w:rPr>
          <w:rtl/>
        </w:rPr>
        <w:t>אלמנה שתבעה כתובתה בבית דין, אין לה עוד מזונות, ואפילו לא פרעוה</w:t>
      </w:r>
      <w:r w:rsidR="0088439A" w:rsidRPr="0088439A">
        <w:t>. </w:t>
      </w:r>
      <w:r w:rsidR="0088439A" w:rsidRPr="0088439A">
        <w:rPr>
          <w:rFonts w:hint="cs"/>
          <w:rtl/>
        </w:rPr>
        <w:t>אבל תבעה שלא בבית דין, לא הפסידה (טור)</w:t>
      </w:r>
      <w:r w:rsidR="0088439A" w:rsidRPr="0088439A">
        <w:t>.</w:t>
      </w:r>
    </w:p>
    <w:p w14:paraId="592AF8ED" w14:textId="77777777" w:rsidR="0088439A" w:rsidRPr="0088439A" w:rsidRDefault="0088439A" w:rsidP="0088439A">
      <w:pPr>
        <w:pStyle w:val="Style1"/>
      </w:pPr>
      <w:r w:rsidRPr="0088439A">
        <w:rPr>
          <w:rtl/>
        </w:rPr>
        <w:t>ויש אומרים שאפילו תבעה בבית דין לא הפסידה, אלא אם כן תבעה מעצמה, אבל אם תבעה מדחק, שלא נתנו לה מזונות, או שרמוה ואמרו לה: פלוני חפץ לשא אותך, ומחמת זה תבעה כתובתה או כיוצא בזה, לא הפסידה מזונותיה</w:t>
      </w:r>
      <w:r w:rsidRPr="0088439A">
        <w:t>.</w:t>
      </w:r>
    </w:p>
    <w:p w14:paraId="609C9449" w14:textId="3F0EE897" w:rsidR="0088439A" w:rsidRDefault="0088439A" w:rsidP="0088439A">
      <w:pPr>
        <w:pStyle w:val="Style1"/>
        <w:rPr>
          <w:rtl/>
        </w:rPr>
      </w:pPr>
      <w:r w:rsidRPr="0088439A">
        <w:rPr>
          <w:rFonts w:hint="cs"/>
          <w:rtl/>
        </w:rPr>
        <w:t>הגה: הנשבעת על כתובתה לפני בית דין לא הפסידה מזונות, דשבועתה לא הוי כתביעה (הגהות אלפסי סוף פרק נערה)</w:t>
      </w:r>
      <w:r w:rsidRPr="0088439A">
        <w:t>:</w:t>
      </w:r>
    </w:p>
    <w:p w14:paraId="39FDC0AC" w14:textId="5D463C00" w:rsidR="00E620F4" w:rsidRDefault="00E620F4" w:rsidP="00E620F4">
      <w:pPr>
        <w:pStyle w:val="Style1"/>
        <w:rPr>
          <w:rtl/>
        </w:rPr>
      </w:pPr>
      <w:r>
        <w:rPr>
          <w:rStyle w:val="Style1Char"/>
          <w:rFonts w:hint="cs"/>
          <w:rtl/>
        </w:rPr>
        <w:t>3)[</w:t>
      </w:r>
      <w:r w:rsidRPr="00F76404">
        <w:rPr>
          <w:rStyle w:val="Style1Char"/>
          <w:rtl/>
        </w:rPr>
        <w:t>שולחן ערוך אבן העזר הלכות כתובות סימן צ</w:t>
      </w:r>
      <w:r>
        <w:rPr>
          <w:rStyle w:val="Style1Char"/>
          <w:rFonts w:hint="cs"/>
          <w:rtl/>
        </w:rPr>
        <w:t>ג</w:t>
      </w:r>
      <w:r w:rsidRPr="00F76404">
        <w:rPr>
          <w:rStyle w:val="Style1Char"/>
          <w:rtl/>
        </w:rPr>
        <w:t xml:space="preserve"> סעיף </w:t>
      </w:r>
      <w:r>
        <w:rPr>
          <w:rStyle w:val="Style1Char"/>
          <w:rFonts w:hint="cs"/>
          <w:rtl/>
        </w:rPr>
        <w:t>ח]</w:t>
      </w:r>
      <w:r w:rsidR="006959F5">
        <w:rPr>
          <w:rStyle w:val="Style1Char"/>
          <w:rFonts w:hint="cs"/>
          <w:rtl/>
        </w:rPr>
        <w:t xml:space="preserve"> </w:t>
      </w:r>
      <w:r w:rsidR="006959F5" w:rsidRPr="006959F5">
        <w:rPr>
          <w:rtl/>
        </w:rPr>
        <w:t>מכרה כתובתה כולה או משכנה או עשאתה אפותיקי לאחר, בין שעשתה דברים אלו בפני בית דין ממחין בין בפני שלשה נאמנים, בין שעשתה בחיי בעלה בין שעשתה לאחר מיתת בעלה, אין לה מזונות מהיורשים</w:t>
      </w:r>
      <w:r w:rsidR="006959F5" w:rsidRPr="006959F5">
        <w:t>:</w:t>
      </w:r>
    </w:p>
    <w:p w14:paraId="3583D69B" w14:textId="7F714F3B" w:rsidR="00965C35" w:rsidRPr="00965C35" w:rsidRDefault="00AB2E2D" w:rsidP="00965C35">
      <w:pPr>
        <w:pStyle w:val="Style1"/>
      </w:pPr>
      <w:r>
        <w:rPr>
          <w:rStyle w:val="Style1Char"/>
          <w:rFonts w:hint="cs"/>
          <w:rtl/>
        </w:rPr>
        <w:t>4)[</w:t>
      </w:r>
      <w:r w:rsidRPr="00F76404">
        <w:rPr>
          <w:rStyle w:val="Style1Char"/>
          <w:rtl/>
        </w:rPr>
        <w:t>שולחן ערוך אבן העזר הלכות כתובות סימן צ</w:t>
      </w:r>
      <w:r>
        <w:rPr>
          <w:rStyle w:val="Style1Char"/>
          <w:rFonts w:hint="cs"/>
          <w:rtl/>
        </w:rPr>
        <w:t>ג</w:t>
      </w:r>
      <w:r w:rsidRPr="00F76404">
        <w:rPr>
          <w:rStyle w:val="Style1Char"/>
          <w:rtl/>
        </w:rPr>
        <w:t xml:space="preserve"> סעיף </w:t>
      </w:r>
      <w:r>
        <w:rPr>
          <w:rStyle w:val="Style1Char"/>
          <w:rFonts w:hint="cs"/>
          <w:rtl/>
        </w:rPr>
        <w:t>ג]</w:t>
      </w:r>
      <w:r w:rsidR="00965C35">
        <w:rPr>
          <w:rStyle w:val="Style1Char"/>
          <w:rFonts w:hint="cs"/>
          <w:rtl/>
        </w:rPr>
        <w:t xml:space="preserve"> </w:t>
      </w:r>
      <w:r w:rsidR="00965C35" w:rsidRPr="00965C35">
        <w:rPr>
          <w:rtl/>
        </w:rPr>
        <w:t>אלמנה נזונית מנכסי יורשין כל זמן אלמנותה, אפילו אם לא נכתב בכתובה, ואפילו אם צוה בשעת מיתה: אל תזון אלמנתי מנכסי, אין שומעין לו. ואין היורשים יכולין לפרע לה כתובתה ולסלקה מהמזונות, אלא היא נזונית על כרחם כל זמן שלא תתבע כתובתה, אלא אם כן התנו כן בפרוש שלא תזון אלמנתו מנכסיו, או שהיה מנהג המקום כן</w:t>
      </w:r>
      <w:r w:rsidR="00965C35" w:rsidRPr="00965C35">
        <w:t>.</w:t>
      </w:r>
    </w:p>
    <w:p w14:paraId="1DCCC15E" w14:textId="1C337D12" w:rsidR="00965C35" w:rsidRDefault="00965C35" w:rsidP="00965C35">
      <w:pPr>
        <w:pStyle w:val="Style1"/>
        <w:rPr>
          <w:rtl/>
        </w:rPr>
      </w:pPr>
      <w:r w:rsidRPr="00965C35">
        <w:rPr>
          <w:rFonts w:hint="cs"/>
          <w:rtl/>
        </w:rPr>
        <w:t>ויכולין בית דין לתקן במקומן שהיתומים יסלקו אותה כשירצו (בית יוסף ו</w:t>
      </w:r>
      <w:hyperlink r:id="rId102" w:tooltip="תשובות ריב&quot;ש/קז" w:history="1">
        <w:r w:rsidRPr="00965C35">
          <w:rPr>
            <w:rStyle w:val="Hyperlink"/>
            <w:rFonts w:hint="cs"/>
            <w:color w:val="7030A0"/>
            <w:u w:val="none"/>
            <w:rtl/>
          </w:rPr>
          <w:t>ריב"ש סימן ק"ז</w:t>
        </w:r>
      </w:hyperlink>
      <w:r w:rsidRPr="00965C35">
        <w:rPr>
          <w:rFonts w:hint="cs"/>
        </w:rPr>
        <w:t>)</w:t>
      </w:r>
      <w:r w:rsidRPr="00965C35">
        <w:t>:</w:t>
      </w:r>
    </w:p>
    <w:p w14:paraId="7E51E7F6" w14:textId="39DF0A3D" w:rsidR="00A943FA" w:rsidRDefault="00A943FA" w:rsidP="00A943FA">
      <w:pPr>
        <w:pStyle w:val="Style1"/>
        <w:rPr>
          <w:rtl/>
        </w:rPr>
      </w:pPr>
      <w:r>
        <w:rPr>
          <w:rFonts w:hint="cs"/>
          <w:rtl/>
        </w:rPr>
        <w:lastRenderedPageBreak/>
        <w:t>5)[</w:t>
      </w:r>
      <w:r>
        <w:rPr>
          <w:rtl/>
        </w:rPr>
        <w:t>רמב</w:t>
      </w:r>
      <w:r w:rsidR="00213DA1">
        <w:rPr>
          <w:rtl/>
        </w:rPr>
        <w:t>”ם \נשים\</w:t>
      </w:r>
      <w:r>
        <w:rPr>
          <w:rtl/>
        </w:rPr>
        <w:t xml:space="preserve"> הלכות אישות פרק טז הלכה ד</w:t>
      </w:r>
      <w:r>
        <w:rPr>
          <w:rFonts w:hint="cs"/>
          <w:rtl/>
        </w:rPr>
        <w:t xml:space="preserve">] </w:t>
      </w:r>
      <w:r>
        <w:rPr>
          <w:rtl/>
        </w:rPr>
        <w:t>וכן התקינו שכשתבוא לגבות כתובתה אחר מותו לא תגבה עד שתשבע בנקיטת חפץ שלא הניח אצלה כלום ולא מכרה לו כתובתה ולא  מחלה אותה, ושמין לה כל מה שעליה ופוחתין אותו מכתובתה, אבל אם גירשה לרצונו גובה בלא שבועה ואין שמין כסות שעליה שהרי לקחן לה וזכתה בהן והוא רוצה להוציאה לא היא.</w:t>
      </w:r>
    </w:p>
    <w:p w14:paraId="0D76CA59" w14:textId="169E6233" w:rsidR="00075209" w:rsidRPr="00075209" w:rsidRDefault="00B35554" w:rsidP="00075209">
      <w:pPr>
        <w:pStyle w:val="Style1"/>
      </w:pPr>
      <w:r>
        <w:rPr>
          <w:rFonts w:hint="cs"/>
          <w:rtl/>
        </w:rPr>
        <w:t>5)[</w:t>
      </w:r>
      <w:r>
        <w:rPr>
          <w:rtl/>
        </w:rPr>
        <w:t>שולחן ערוך אבן העזר הלכות כתובות סימן צט סעיף א</w:t>
      </w:r>
      <w:r>
        <w:rPr>
          <w:rFonts w:hint="cs"/>
          <w:rtl/>
        </w:rPr>
        <w:t>]</w:t>
      </w:r>
      <w:r w:rsidR="00075209">
        <w:rPr>
          <w:rFonts w:hint="cs"/>
          <w:rtl/>
        </w:rPr>
        <w:t xml:space="preserve"> </w:t>
      </w:r>
      <w:r w:rsidR="00075209" w:rsidRPr="00075209">
        <w:rPr>
          <w:rtl/>
        </w:rPr>
        <w:t>אלמנה שבאה לגבות כתובתה, שמין כל בגדיה בין של חול בין של שבת, ומנכין אותם מכתובתה</w:t>
      </w:r>
      <w:r w:rsidR="00075209" w:rsidRPr="00075209">
        <w:t>. </w:t>
      </w:r>
      <w:r w:rsidR="00075209" w:rsidRPr="00075209">
        <w:rPr>
          <w:rFonts w:hint="cs"/>
          <w:rtl/>
        </w:rPr>
        <w:t>וחלוצה דינה כאלמנה (בית יוסף בשם </w:t>
      </w:r>
      <w:hyperlink r:id="rId103" w:tooltip="תשובות ריב&quot;ש/שב" w:history="1">
        <w:r w:rsidR="00075209" w:rsidRPr="00075209">
          <w:rPr>
            <w:rStyle w:val="Hyperlink"/>
            <w:rFonts w:hint="cs"/>
            <w:color w:val="7030A0"/>
            <w:u w:val="none"/>
            <w:rtl/>
          </w:rPr>
          <w:t>ריב"ש סימן ש"ב</w:t>
        </w:r>
      </w:hyperlink>
      <w:r w:rsidR="00075209" w:rsidRPr="00075209">
        <w:rPr>
          <w:rFonts w:hint="cs"/>
        </w:rPr>
        <w:t>)</w:t>
      </w:r>
      <w:r w:rsidR="00075209" w:rsidRPr="00075209">
        <w:t>.</w:t>
      </w:r>
    </w:p>
    <w:p w14:paraId="213D7A7F" w14:textId="77777777" w:rsidR="00075209" w:rsidRPr="00075209" w:rsidRDefault="00075209" w:rsidP="00075209">
      <w:pPr>
        <w:pStyle w:val="Style1"/>
      </w:pPr>
      <w:r w:rsidRPr="00075209">
        <w:rPr>
          <w:rtl/>
        </w:rPr>
        <w:t>אבל גרושה שגרשה בעלה מדעתו בלא טענה, אין שמין לה בגדי חול, אבל של רגל ושל שבת שמין לה</w:t>
      </w:r>
      <w:r w:rsidRPr="00075209">
        <w:t>.</w:t>
      </w:r>
    </w:p>
    <w:p w14:paraId="4E911C86" w14:textId="69DF1FF8" w:rsidR="00075209" w:rsidRDefault="00075209" w:rsidP="00075209">
      <w:pPr>
        <w:pStyle w:val="Style1"/>
        <w:rPr>
          <w:rtl/>
        </w:rPr>
      </w:pPr>
      <w:r w:rsidRPr="00075209">
        <w:rPr>
          <w:rFonts w:hint="cs"/>
          <w:rtl/>
        </w:rPr>
        <w:t>ואין יכולין לסלקה מבגדיה במעות (בית יוסף בשם הריטב"א), אלא היא נוטלת אותן בשוין (תשובת הרא"ש כלל פ')</w:t>
      </w:r>
      <w:r w:rsidRPr="00075209">
        <w:t>:</w:t>
      </w:r>
    </w:p>
    <w:p w14:paraId="2FDA6102" w14:textId="5EB5CF6E" w:rsidR="00A411A7" w:rsidRDefault="00A411A7" w:rsidP="00A411A7">
      <w:pPr>
        <w:pStyle w:val="Style1"/>
        <w:rPr>
          <w:rtl/>
        </w:rPr>
      </w:pPr>
      <w:r>
        <w:rPr>
          <w:rFonts w:hint="cs"/>
          <w:rtl/>
        </w:rPr>
        <w:t>6)[</w:t>
      </w:r>
      <w:r>
        <w:rPr>
          <w:rtl/>
        </w:rPr>
        <w:t>רמב</w:t>
      </w:r>
      <w:r w:rsidR="005258D6">
        <w:rPr>
          <w:rtl/>
        </w:rPr>
        <w:t>”ם \הפלאה\</w:t>
      </w:r>
      <w:r>
        <w:rPr>
          <w:rtl/>
        </w:rPr>
        <w:t xml:space="preserve"> הלכות ערכין וחרמין פרק ג הלכה יד</w:t>
      </w:r>
      <w:r>
        <w:rPr>
          <w:rFonts w:hint="cs"/>
          <w:rtl/>
        </w:rPr>
        <w:t xml:space="preserve">] </w:t>
      </w:r>
      <w:r>
        <w:rPr>
          <w:rtl/>
        </w:rPr>
        <w:t>חייבי ערכין ודמים ממשכנין אותן ולוקחין מהן בעל כרחן מה שנדרו ואינן חייבין להחזיר להם המשכון ביום או בלילה, ומוכרין כל הנמצא להם מן הקרקע ומן המטלטלין מכסות וכלי תשמיש הבית ועבדים ובהמה ונפרעין מן הכל, ואין מוכרין לא כסות אשתו ולא כסות בניו ולא בגדים שצבען לשמן ולא סנדלים חדשים שלקחן לשמן, וכן המקדיש כל נכסיו לא הקדיש את אלו.</w:t>
      </w:r>
    </w:p>
    <w:p w14:paraId="6CD75A6B" w14:textId="7318FB9C" w:rsidR="00366CCE" w:rsidRDefault="00366CCE" w:rsidP="00366CCE">
      <w:pPr>
        <w:pStyle w:val="Style1"/>
        <w:rPr>
          <w:rtl/>
        </w:rPr>
      </w:pPr>
      <w:r>
        <w:rPr>
          <w:rFonts w:hint="cs"/>
          <w:rtl/>
        </w:rPr>
        <w:t>7)[</w:t>
      </w:r>
      <w:r>
        <w:rPr>
          <w:rtl/>
        </w:rPr>
        <w:t>רמב</w:t>
      </w:r>
      <w:r w:rsidR="00C764B2">
        <w:rPr>
          <w:rtl/>
        </w:rPr>
        <w:t>”ם \קנין\</w:t>
      </w:r>
      <w:r>
        <w:rPr>
          <w:rtl/>
        </w:rPr>
        <w:t xml:space="preserve"> הלכות זכיה ומתנה פרק יא הלכה כב</w:t>
      </w:r>
      <w:r>
        <w:rPr>
          <w:rFonts w:hint="cs"/>
          <w:rtl/>
        </w:rPr>
        <w:t xml:space="preserve">] </w:t>
      </w:r>
      <w:r>
        <w:rPr>
          <w:rtl/>
        </w:rPr>
        <w:t>אמר תנו נדוניא לבתי כך וכך בגדים כך וכך כלים הוזלו הבגדים והכלים אחר כן, הריוח ליתומים ונותנין לה כשער הזול, וכן אם אמר תנו ארבע מאות זוז דמי היין לבתי והוקר היין הריוח ליתומים ונותנין לה ארבע מאות זוז, מעשה באחד שהיה יוצא בקולר ואמר תנו לפלוני ארבע מאות זוז מהיין של מקום פלוני, ואמרו חכמים יטול ארבע מאות זוז מדמי אותו היין שלא נתכוון זה ליתן לו מן היין משקל ארבע מאות זוז ולא נתכוון אלא לדמים וזה שייחדן כדי ליפות את כחו, ושוב מעשה באחד שאמר הדקל לבתי והניח שני חצאי דקל אמרו חכמים תטול השני חצאים שלזה נתכוון והם שקרא דקל, ושוב מעשה באחד שאמר תנו לפלוני בית המחזיק מאה כורין ונמצא הבית שיש לזה המצוה מחזיק מאה ועשרים, ואמרו חכמים זכה בבית זה שהדברים מראין שכוונתו לזה היתה שכל הנותן בעין יפה נותן, וכן כל כיוצא בדברים אלו.</w:t>
      </w:r>
    </w:p>
    <w:p w14:paraId="1FD87E13" w14:textId="3B396B25" w:rsidR="00132475" w:rsidRPr="00132475" w:rsidRDefault="0059779B" w:rsidP="00132475">
      <w:pPr>
        <w:pStyle w:val="Style1"/>
      </w:pPr>
      <w:r>
        <w:rPr>
          <w:rFonts w:hint="cs"/>
          <w:rtl/>
        </w:rPr>
        <w:t>7)[</w:t>
      </w:r>
      <w:r>
        <w:rPr>
          <w:rtl/>
        </w:rPr>
        <w:t>שולחן ערוך חושן משפט הלכות מתנת שכיב מרע סימן רנג סעיף טז</w:t>
      </w:r>
      <w:r>
        <w:rPr>
          <w:rFonts w:hint="cs"/>
          <w:rtl/>
        </w:rPr>
        <w:t>]</w:t>
      </w:r>
      <w:r w:rsidR="00132475">
        <w:rPr>
          <w:rFonts w:hint="cs"/>
          <w:rtl/>
        </w:rPr>
        <w:t xml:space="preserve"> </w:t>
      </w:r>
      <w:r w:rsidR="00132475" w:rsidRPr="00132475">
        <w:rPr>
          <w:rtl/>
        </w:rPr>
        <w:t>אם אמר ק"ק זוז לפלונית בנדונייתא, אין להם לתת עד שתנשא ותצטרך לכך. ואם מתה בנתים, אין ליורשיה כלום. אבל האומר תנו ק"ק זה לנדונייתא, חייבים לתת לה מעכשיו, ויוקרא וזולא דידה הוי, ואם מתה קודם שתנשא זכו בהם יורשיה</w:t>
      </w:r>
      <w:r w:rsidR="00132475" w:rsidRPr="00132475">
        <w:t>.</w:t>
      </w:r>
    </w:p>
    <w:p w14:paraId="4F695BAB" w14:textId="3AA86C73" w:rsidR="00132475" w:rsidRPr="00132475" w:rsidRDefault="00132475" w:rsidP="00132475">
      <w:pPr>
        <w:pStyle w:val="Style1"/>
      </w:pPr>
      <w:r w:rsidRPr="00132475">
        <w:rPr>
          <w:rFonts w:hint="cs"/>
          <w:rtl/>
        </w:rPr>
        <w:t>הגה: בכל אלו אין חילוק בין שכיב מרע למתנת בריא בקנין (טור). ויש חולקין באלו הדינין וסבירא להו דאם אמר ליתן להשיאה ומתה לא זכו בהם יורשיה (מרדכי פ' אע"פ), וכנ"ל עיקר (ועיין ביו"ד </w:t>
      </w:r>
      <w:hyperlink r:id="rId104" w:anchor="%D7%A1%D7%A2%D7%99%D7%A3_%D7%95" w:tooltip="שולחן ערוך יורה דעה רנג" w:history="1">
        <w:r w:rsidRPr="00132475">
          <w:rPr>
            <w:rStyle w:val="Hyperlink"/>
            <w:rFonts w:hint="cs"/>
            <w:color w:val="7030A0"/>
            <w:u w:val="none"/>
            <w:rtl/>
          </w:rPr>
          <w:t>סי' רנ"ג סעיף ו</w:t>
        </w:r>
        <w:r w:rsidRPr="00132475">
          <w:rPr>
            <w:rStyle w:val="Hyperlink"/>
            <w:rFonts w:hint="cs"/>
            <w:color w:val="7030A0"/>
            <w:u w:val="none"/>
          </w:rPr>
          <w:t>'</w:t>
        </w:r>
      </w:hyperlink>
      <w:r w:rsidRPr="00132475">
        <w:rPr>
          <w:rFonts w:hint="cs"/>
        </w:rPr>
        <w:t>)</w:t>
      </w:r>
      <w:r w:rsidRPr="00132475">
        <w:t>.</w:t>
      </w:r>
    </w:p>
    <w:p w14:paraId="27ACA8A8" w14:textId="77777777" w:rsidR="00132475" w:rsidRPr="00132475" w:rsidRDefault="00132475" w:rsidP="00132475">
      <w:pPr>
        <w:pStyle w:val="Style1"/>
      </w:pPr>
    </w:p>
    <w:p w14:paraId="742B28F6" w14:textId="6BA4ACA0" w:rsidR="0059779B" w:rsidRPr="00075209" w:rsidRDefault="0059779B" w:rsidP="0059779B">
      <w:pPr>
        <w:pStyle w:val="Style1"/>
      </w:pPr>
    </w:p>
    <w:p w14:paraId="55ED7F5B" w14:textId="77777777" w:rsidR="00075209" w:rsidRPr="00075209" w:rsidRDefault="00075209" w:rsidP="00075209">
      <w:pPr>
        <w:pStyle w:val="Style1"/>
      </w:pPr>
    </w:p>
    <w:p w14:paraId="79A0A7A2" w14:textId="5E042598" w:rsidR="00B35554" w:rsidRPr="00965C35" w:rsidRDefault="00B35554" w:rsidP="00B35554">
      <w:pPr>
        <w:pStyle w:val="Style1"/>
      </w:pPr>
    </w:p>
    <w:p w14:paraId="41E69473" w14:textId="77777777" w:rsidR="00965C35" w:rsidRPr="00965C35" w:rsidRDefault="00965C35" w:rsidP="00965C35">
      <w:pPr>
        <w:pStyle w:val="Style1"/>
      </w:pPr>
    </w:p>
    <w:p w14:paraId="58BE2F91" w14:textId="77777777" w:rsidR="0088439A" w:rsidRPr="0088439A" w:rsidRDefault="0088439A" w:rsidP="0088439A">
      <w:pPr>
        <w:pStyle w:val="Style1"/>
      </w:pPr>
    </w:p>
    <w:p w14:paraId="3128E023" w14:textId="3589B381" w:rsidR="00DE4D15" w:rsidRDefault="00DE4D15" w:rsidP="00DE4D15">
      <w:pPr>
        <w:pStyle w:val="Style1"/>
        <w:rPr>
          <w:rtl/>
        </w:rPr>
      </w:pPr>
    </w:p>
    <w:p w14:paraId="1AB9AD61" w14:textId="77777777" w:rsidR="00FD555D" w:rsidRPr="00233C81" w:rsidRDefault="00FD555D" w:rsidP="00FD555D">
      <w:pPr>
        <w:bidi/>
        <w:rPr>
          <w:rStyle w:val="Style1Char"/>
          <w:color w:val="auto"/>
          <w:sz w:val="22"/>
          <w:szCs w:val="22"/>
          <w:rtl/>
        </w:rPr>
      </w:pPr>
    </w:p>
    <w:p w14:paraId="392E0367" w14:textId="77777777" w:rsidR="000357F0" w:rsidRPr="00C073B6" w:rsidRDefault="000357F0" w:rsidP="000357F0">
      <w:pPr>
        <w:bidi/>
        <w:rPr>
          <w:rStyle w:val="Style1Char"/>
          <w:color w:val="00B050"/>
        </w:rPr>
      </w:pPr>
    </w:p>
    <w:p w14:paraId="3545644E" w14:textId="77777777" w:rsidR="000357F0" w:rsidRPr="00011270" w:rsidRDefault="000357F0" w:rsidP="000357F0">
      <w:pPr>
        <w:bidi/>
        <w:rPr>
          <w:rStyle w:val="Style1Char"/>
          <w:color w:val="00B050"/>
          <w:rtl/>
        </w:rPr>
      </w:pPr>
    </w:p>
    <w:p w14:paraId="4225CEAA" w14:textId="77777777" w:rsidR="000357F0" w:rsidRDefault="000357F0" w:rsidP="000357F0">
      <w:pPr>
        <w:rPr>
          <w:rStyle w:val="Style1Char"/>
          <w:color w:val="00B050"/>
          <w:rtl/>
        </w:rPr>
      </w:pPr>
      <w:r>
        <w:rPr>
          <w:rStyle w:val="Style1Char"/>
          <w:color w:val="00B050"/>
          <w:rtl/>
        </w:rPr>
        <w:br w:type="page"/>
      </w:r>
    </w:p>
    <w:p w14:paraId="3F7630CA" w14:textId="77777777" w:rsidR="000357F0" w:rsidRPr="00C81021" w:rsidRDefault="000357F0" w:rsidP="000357F0">
      <w:pPr>
        <w:bidi/>
        <w:rPr>
          <w:rStyle w:val="Style1Char"/>
          <w:color w:val="4472C4" w:themeColor="accent1"/>
        </w:rPr>
      </w:pPr>
      <w:r w:rsidRPr="00000076">
        <w:rPr>
          <w:rStyle w:val="Style1Char"/>
          <w:color w:val="auto"/>
          <w:sz w:val="22"/>
          <w:szCs w:val="22"/>
          <w:highlight w:val="yellow"/>
          <w:rtl/>
        </w:rPr>
        <w:lastRenderedPageBreak/>
        <w:t>[דף נד עמוד ב]</w:t>
      </w:r>
      <w:r w:rsidRPr="00000076">
        <w:rPr>
          <w:rStyle w:val="Style1Char"/>
          <w:color w:val="auto"/>
          <w:sz w:val="22"/>
          <w:szCs w:val="22"/>
          <w:rtl/>
        </w:rPr>
        <w:t xml:space="preserve"> ארבע מאה זוזי מן חמרא לברת, אייקר חמרא, אמר רב יוסף: רווחא ליתמי</w:t>
      </w:r>
      <w:r w:rsidRPr="00000076">
        <w:rPr>
          <w:rStyle w:val="Style1Char"/>
          <w:color w:val="4472C4" w:themeColor="accent1"/>
          <w:rtl/>
        </w:rPr>
        <w:t xml:space="preserve"> </w:t>
      </w:r>
      <w:r w:rsidRPr="00C81021">
        <w:rPr>
          <w:rStyle w:val="Style1Char"/>
          <w:color w:val="4472C4" w:themeColor="accent1"/>
          <w:rtl/>
        </w:rPr>
        <w:t>כתב הראב"ד ז"ל</w:t>
      </w:r>
      <w:r>
        <w:rPr>
          <w:rStyle w:val="Style1Char"/>
          <w:rFonts w:hint="cs"/>
          <w:color w:val="4472C4" w:themeColor="accent1"/>
        </w:rPr>
        <w:t>‍</w:t>
      </w:r>
      <w:r w:rsidRPr="00C81021">
        <w:rPr>
          <w:rStyle w:val="Style1Char"/>
          <w:color w:val="4472C4" w:themeColor="accent1"/>
          <w:rtl/>
        </w:rPr>
        <w:t xml:space="preserve"> דווקא דאמר מדמי חמרא</w:t>
      </w:r>
      <w:r>
        <w:rPr>
          <w:rStyle w:val="Style1Char"/>
          <w:rFonts w:hint="cs"/>
          <w:color w:val="4472C4" w:themeColor="accent1"/>
        </w:rPr>
        <w:t>‍</w:t>
      </w:r>
      <w:r w:rsidRPr="00C81021">
        <w:rPr>
          <w:rStyle w:val="Style1Char"/>
          <w:color w:val="4472C4" w:themeColor="accent1"/>
          <w:rtl/>
        </w:rPr>
        <w:t xml:space="preserve"> אבל אמר מחמרא רווחא לברתא כדאיתא בפ' התקבל (דף סו א) ולא דמיא כלל להך דהכא דהתם לא קאמר אלא לענין אם קנה אם לא קנה דר' אבא סבר לא קנה משום דחמרא לא אמר דמי חמרא לא אמר מחמרא קאמר</w:t>
      </w:r>
      <w:r>
        <w:rPr>
          <w:rStyle w:val="Style1Char"/>
          <w:rFonts w:hint="cs"/>
          <w:color w:val="4472C4" w:themeColor="accent1"/>
        </w:rPr>
        <w:t>‍</w:t>
      </w:r>
      <w:r w:rsidRPr="00C81021">
        <w:rPr>
          <w:rStyle w:val="Style1Char"/>
          <w:color w:val="4472C4" w:themeColor="accent1"/>
          <w:rtl/>
        </w:rPr>
        <w:t xml:space="preserve"> ומסיק דמחמרא ליפות כחו קאמר וקנה אבל הכא לא שנא</w:t>
      </w:r>
      <w:r w:rsidRPr="00C81021">
        <w:rPr>
          <w:rStyle w:val="Style1Char"/>
          <w:color w:val="4472C4" w:themeColor="accent1"/>
        </w:rPr>
        <w:t xml:space="preserve">: </w:t>
      </w:r>
    </w:p>
    <w:p w14:paraId="343A97D7" w14:textId="43E47FCF" w:rsidR="000357F0" w:rsidRDefault="000357F0" w:rsidP="000357F0">
      <w:pPr>
        <w:bidi/>
        <w:rPr>
          <w:rStyle w:val="Style1Char"/>
          <w:color w:val="auto"/>
          <w:sz w:val="32"/>
          <w:szCs w:val="32"/>
          <w:rtl/>
        </w:rPr>
      </w:pPr>
      <w:r w:rsidRPr="00095AA7">
        <w:rPr>
          <w:rStyle w:val="Style1Char"/>
          <w:color w:val="auto"/>
          <w:sz w:val="22"/>
          <w:szCs w:val="22"/>
          <w:rtl/>
        </w:rPr>
        <w:t xml:space="preserve">. קריביה דרבי יוחנן הוה להו איתת אבא דהוה קמפסדה מזוני, אתו לקמיה דרבי יוחנן, אמר להו: איזילו ואמרו ליה </w:t>
      </w:r>
      <w:r w:rsidRPr="00EC38B9">
        <w:rPr>
          <w:rStyle w:val="Style1Char"/>
          <w:color w:val="C00000"/>
          <w:sz w:val="22"/>
          <w:szCs w:val="22"/>
          <w:rtl/>
        </w:rPr>
        <w:t xml:space="preserve">לחביבי </w:t>
      </w:r>
      <w:r w:rsidRPr="00095AA7">
        <w:rPr>
          <w:rStyle w:val="Style1Char"/>
          <w:color w:val="ED7D31" w:themeColor="accent2"/>
          <w:rtl/>
        </w:rPr>
        <w:t>ל</w:t>
      </w:r>
      <w:r w:rsidRPr="00095AA7">
        <w:rPr>
          <w:rStyle w:val="Style1Char"/>
          <w:color w:val="auto"/>
          <w:sz w:val="22"/>
          <w:szCs w:val="22"/>
          <w:rtl/>
        </w:rPr>
        <w:t>אבוכון</w:t>
      </w:r>
      <w:r w:rsidRPr="00506BCB">
        <w:rPr>
          <w:rStyle w:val="Style1Char"/>
          <w:sz w:val="22"/>
          <w:szCs w:val="22"/>
          <w:rtl/>
        </w:rPr>
        <w:t xml:space="preserve"> </w:t>
      </w:r>
      <w:r w:rsidRPr="00095AA7">
        <w:rPr>
          <w:rStyle w:val="Style1Char"/>
          <w:color w:val="auto"/>
          <w:sz w:val="22"/>
          <w:szCs w:val="22"/>
          <w:rtl/>
        </w:rPr>
        <w:t>דנייחד לה ארעא למזונה. אתו לקמיה דריש לקיש, אמר להו: כל שכן שריבה לה מזונות.</w:t>
      </w:r>
      <w:r w:rsidRPr="00095AA7">
        <w:rPr>
          <w:rStyle w:val="Style1Char"/>
          <w:color w:val="auto"/>
          <w:rtl/>
        </w:rPr>
        <w:t xml:space="preserve"> </w:t>
      </w:r>
      <w:r w:rsidRPr="002F2700">
        <w:rPr>
          <w:rStyle w:val="Style1Char"/>
          <w:color w:val="00B050"/>
          <w:rtl/>
        </w:rPr>
        <w:t xml:space="preserve">אמרו ליה: והא רבי יוחנן לא אמר הכי? אמר להו: זילו הבו לה, ואי לא - מפיקנא לכו רבי יוחנן מאונייכו. אתו לקמיה דרבי יוחנן, אמר להו: מה אעשה, שכנגדי חלוק עלי. </w:t>
      </w:r>
      <w:r w:rsidRPr="00095AA7">
        <w:rPr>
          <w:rStyle w:val="Style1Char"/>
          <w:color w:val="auto"/>
          <w:sz w:val="22"/>
          <w:szCs w:val="22"/>
          <w:rtl/>
        </w:rPr>
        <w:t>אמר רבי אבהו, לדידי מפרשא לי מיניה דרבי יוחנן: אמר למזונות - ריבה לה מזונות, אמר במזונות - קצץ לה מזונות.</w:t>
      </w:r>
      <w:r w:rsidRPr="00095AA7">
        <w:rPr>
          <w:rStyle w:val="Style1Char"/>
          <w:color w:val="auto"/>
          <w:sz w:val="32"/>
          <w:szCs w:val="32"/>
          <w:rtl/>
        </w:rPr>
        <w:t xml:space="preserve"> </w:t>
      </w:r>
    </w:p>
    <w:p w14:paraId="3008063C" w14:textId="476FA3F7" w:rsidR="00D131A8" w:rsidRDefault="00D131A8" w:rsidP="00D131A8">
      <w:pPr>
        <w:pStyle w:val="Style1"/>
        <w:rPr>
          <w:rStyle w:val="Style1Char"/>
          <w:rtl/>
        </w:rPr>
      </w:pPr>
      <w:r>
        <w:rPr>
          <w:rStyle w:val="Style1Char"/>
          <w:rFonts w:hint="cs"/>
          <w:rtl/>
        </w:rPr>
        <w:t>1)[</w:t>
      </w:r>
      <w:r w:rsidRPr="00D131A8">
        <w:rPr>
          <w:rStyle w:val="Style1Char"/>
          <w:rtl/>
        </w:rPr>
        <w:t>רמב</w:t>
      </w:r>
      <w:r w:rsidR="00213DA1">
        <w:rPr>
          <w:rStyle w:val="Style1Char"/>
          <w:rtl/>
        </w:rPr>
        <w:t>”ם \נשים\</w:t>
      </w:r>
      <w:r w:rsidRPr="00D131A8">
        <w:rPr>
          <w:rStyle w:val="Style1Char"/>
          <w:rtl/>
        </w:rPr>
        <w:t xml:space="preserve"> הלכות אישות פרק יח הלכה יח</w:t>
      </w:r>
      <w:r>
        <w:rPr>
          <w:rStyle w:val="Style1Char"/>
          <w:rFonts w:hint="cs"/>
          <w:rtl/>
        </w:rPr>
        <w:t xml:space="preserve">] </w:t>
      </w:r>
      <w:r w:rsidRPr="00D131A8">
        <w:rPr>
          <w:rStyle w:val="Style1Char"/>
          <w:rtl/>
        </w:rPr>
        <w:t>מי שייחד קרקע לאשתו במזונותיה בשעת מיתה ואמר יהיה מקום פלוני למזונות הרי ריבה לה מזונות, ואם היה שכרו פחות ממזונות הראויות לה נוטלת השאר משאר נכסים, ואם היה שכרו יתר מן הראוי לה נוטלת הכל, אבל אם אמר לה יהיה מקום פלוני במזונות ושתקה אין לה אלא פירות אותו מקום בלבד שהרי קצץ לה מזונות.</w:t>
      </w:r>
    </w:p>
    <w:p w14:paraId="61F330B9" w14:textId="23A297AD" w:rsidR="00FE3E3A" w:rsidRPr="00FE3E3A" w:rsidRDefault="00666586" w:rsidP="00FE3E3A">
      <w:pPr>
        <w:pStyle w:val="Style1"/>
        <w:rPr>
          <w:rStyle w:val="Style1Char"/>
        </w:rPr>
      </w:pPr>
      <w:r>
        <w:rPr>
          <w:rStyle w:val="Style1Char"/>
          <w:rFonts w:hint="cs"/>
          <w:rtl/>
        </w:rPr>
        <w:t>1)[</w:t>
      </w:r>
      <w:r w:rsidRPr="00666586">
        <w:rPr>
          <w:rStyle w:val="Style1Char"/>
          <w:rtl/>
        </w:rPr>
        <w:t>שולחן ערוך אבן העזר הלכות כתובות סימן צג סעיף טז</w:t>
      </w:r>
      <w:r>
        <w:rPr>
          <w:rStyle w:val="Style1Char"/>
          <w:rFonts w:hint="cs"/>
          <w:rtl/>
        </w:rPr>
        <w:t>]</w:t>
      </w:r>
      <w:r w:rsidR="00FE3E3A">
        <w:rPr>
          <w:rStyle w:val="Style1Char"/>
          <w:rFonts w:hint="cs"/>
          <w:rtl/>
        </w:rPr>
        <w:t xml:space="preserve"> </w:t>
      </w:r>
      <w:r w:rsidR="00FE3E3A" w:rsidRPr="00FE3E3A">
        <w:rPr>
          <w:rtl/>
        </w:rPr>
        <w:t>מי שיחד קרקע לאשתו בשעת מיתה שתהיה נזונית ממנו, אם אמר: יהא קרקע פלוני למזונותיך, הרי רבה לה מזונות; ואם היה שכרו פחות ממזונות הראויים לה נוטלת השאר משאר נכסים, ואם היה שכרו יותר מהראוי לה נוטלת הכל. אבל אם אמר לה: יהא קרקע פלוני במזונות, ושתקה, אין לה אלא פרות אותו קרקע בלבד</w:t>
      </w:r>
      <w:r w:rsidR="00FE3E3A" w:rsidRPr="00FE3E3A">
        <w:t>:</w:t>
      </w:r>
    </w:p>
    <w:p w14:paraId="5D637479" w14:textId="79E3FA57" w:rsidR="00666586" w:rsidRPr="00FE3E3A" w:rsidRDefault="00666586" w:rsidP="00FE3E3A">
      <w:pPr>
        <w:pStyle w:val="Style1"/>
        <w:rPr>
          <w:rStyle w:val="Style1Char"/>
          <w:rtl/>
        </w:rPr>
      </w:pPr>
    </w:p>
    <w:p w14:paraId="46DFE082" w14:textId="77777777" w:rsidR="000357F0" w:rsidRPr="00EC38B9" w:rsidRDefault="000357F0" w:rsidP="000357F0">
      <w:pPr>
        <w:bidi/>
        <w:rPr>
          <w:rStyle w:val="Style1Char"/>
          <w:sz w:val="32"/>
          <w:szCs w:val="32"/>
        </w:rPr>
      </w:pPr>
    </w:p>
    <w:p w14:paraId="15B4A70F" w14:textId="77777777" w:rsidR="000357F0" w:rsidRPr="002F2700" w:rsidRDefault="000357F0" w:rsidP="000357F0">
      <w:pPr>
        <w:bidi/>
        <w:rPr>
          <w:color w:val="00B050"/>
          <w:sz w:val="20"/>
          <w:szCs w:val="20"/>
        </w:rPr>
      </w:pPr>
      <w:r w:rsidRPr="002F2700">
        <w:rPr>
          <w:rStyle w:val="Style1Char"/>
          <w:color w:val="auto"/>
          <w:sz w:val="28"/>
          <w:szCs w:val="28"/>
          <w:rtl/>
        </w:rPr>
        <w:t>הדרן עלך נערה.</w:t>
      </w:r>
    </w:p>
    <w:p w14:paraId="0A4C5085" w14:textId="77777777" w:rsidR="000357F0" w:rsidRPr="00B32DE1" w:rsidRDefault="000357F0" w:rsidP="000357F0">
      <w:pPr>
        <w:bidi/>
        <w:rPr>
          <w:color w:val="00B050"/>
          <w:sz w:val="16"/>
          <w:szCs w:val="16"/>
        </w:rPr>
      </w:pPr>
    </w:p>
    <w:p w14:paraId="364377A9" w14:textId="77777777" w:rsidR="002C4635" w:rsidRPr="00115293" w:rsidRDefault="002C4635" w:rsidP="002C4635">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B32DE1">
        <w:rPr>
          <w:rStyle w:val="Style1Char"/>
          <w:color w:val="auto"/>
          <w:sz w:val="24"/>
          <w:szCs w:val="24"/>
          <w:rtl/>
        </w:rPr>
        <w:t xml:space="preserve">פרק </w:t>
      </w:r>
      <w:r w:rsidRPr="005F123E">
        <w:rPr>
          <w:rStyle w:val="Style1Char"/>
          <w:color w:val="auto"/>
          <w:sz w:val="24"/>
          <w:szCs w:val="24"/>
          <w:rtl/>
        </w:rPr>
        <w:t>ה - אף על פי</w:t>
      </w:r>
    </w:p>
    <w:p w14:paraId="55524EAF" w14:textId="3963E48A" w:rsidR="002C4635" w:rsidRPr="00F24BFA" w:rsidRDefault="002C4635" w:rsidP="002C4635">
      <w:pPr>
        <w:bidi/>
        <w:rPr>
          <w:rStyle w:val="Style1Char"/>
          <w:color w:val="4472C4" w:themeColor="accent1"/>
        </w:rPr>
      </w:pPr>
      <w:r w:rsidRPr="00016A5C">
        <w:rPr>
          <w:rStyle w:val="Style1Char"/>
          <w:color w:val="auto"/>
          <w:sz w:val="22"/>
          <w:szCs w:val="22"/>
          <w:rtl/>
        </w:rPr>
        <w:t xml:space="preserve">/מתני'/. אף על פי שאמרו בתולה גובה מאתים ואלמנה מנה, </w:t>
      </w:r>
      <w:r w:rsidR="00E43633" w:rsidRPr="00EF64BD">
        <w:rPr>
          <w:rStyle w:val="Style1Char"/>
          <w:rFonts w:hint="cs"/>
          <w:rtl/>
        </w:rPr>
        <w:t>(1)</w:t>
      </w:r>
      <w:r w:rsidRPr="00016A5C">
        <w:rPr>
          <w:rStyle w:val="Style1Char"/>
          <w:color w:val="auto"/>
          <w:sz w:val="22"/>
          <w:szCs w:val="22"/>
          <w:rtl/>
        </w:rPr>
        <w:t xml:space="preserve">אם רצה להוסיף אפי' מאה מנה - יוסיף. נתארמלה או נתגרשה, בין מן הארוסין בין מן הנשואין - גובה את הכל; רבי אלעזר בן עזריה אומר: </w:t>
      </w:r>
      <w:r w:rsidR="00A906E5" w:rsidRPr="00EF64BD">
        <w:rPr>
          <w:rStyle w:val="Style1Char"/>
          <w:rFonts w:hint="cs"/>
          <w:rtl/>
        </w:rPr>
        <w:t>(</w:t>
      </w:r>
      <w:r w:rsidR="00A906E5">
        <w:rPr>
          <w:rStyle w:val="Style1Char"/>
          <w:rFonts w:hint="cs"/>
          <w:rtl/>
        </w:rPr>
        <w:t>2</w:t>
      </w:r>
      <w:r w:rsidR="00A906E5" w:rsidRPr="00EF64BD">
        <w:rPr>
          <w:rStyle w:val="Style1Char"/>
          <w:rFonts w:hint="cs"/>
          <w:rtl/>
        </w:rPr>
        <w:t>)</w:t>
      </w:r>
      <w:r w:rsidRPr="00016A5C">
        <w:rPr>
          <w:rStyle w:val="Style1Char"/>
          <w:color w:val="auto"/>
          <w:sz w:val="22"/>
          <w:szCs w:val="22"/>
          <w:rtl/>
        </w:rPr>
        <w:t>מן הנשואין - גובה את הכל, מן האירוסין - בתולה גובה מאתים, ואלמנה מנה, שלא כתב לה אלא על מנת לכונסה</w:t>
      </w:r>
      <w:r w:rsidRPr="00CD5F54">
        <w:rPr>
          <w:rStyle w:val="Style1Char"/>
          <w:color w:val="4472C4" w:themeColor="accent1"/>
          <w:rtl/>
        </w:rPr>
        <w:t xml:space="preserve"> </w:t>
      </w:r>
      <w:r w:rsidRPr="00F24BFA">
        <w:rPr>
          <w:rStyle w:val="Style1Char"/>
          <w:color w:val="4472C4" w:themeColor="accent1"/>
          <w:rtl/>
        </w:rPr>
        <w:t>שאלו את רבינו אליהו ז"ל היאך יכול האדם לשעבד לו עצמו על מאה מנה כיון שאין לו עכשיו וגם אינו מחוייב בהן בשלמא כשהוא מחוייב ממון יכול לשעבד לו הואיל וגופו מחוייב דאע"ג דאין אדם מקנה דבר שלא בא לעולם משעבד הוא דבר שלא בא לעולם הואיל וכתב דאנא עתיד למיקני כדאמרי' בפ' מי שמת (דף קנז א) דאקני קנה ומכר משתעבד וגם אם היו לו נכסים היה יכול לשעבד לחוב זה שחייב לאח"כ אבל זה שאין לו נכסים וגם אין משעבד עצמו לחוב זה שיתחייב מיד אלא לכשתתאלמן או תתגרש ומתני' דהכא איכא לאוקומי בדאית ליה אבל קשה על המנהג שלנו דנהגו לשעבד עצמו בכתובה גדולה אף על פי שאין לו כלום והשיב דמצינו כענין זה בפ' השוכר את הפועלים (דף צד א) מתנה שומר חנם להיות כשואל ופריך במאי ומשני כשקנו מידו ומשמע דאיירי בכל ענין אפי' אין לו נכסים עכשיו וגם אינו חייב לו כלום עד שיבא האונס ומשעבד עצמו לכשיתחייב. ואין זה קנין דברים דלא מיקרי קנין דברים אלא כי ההוא דריש ב"ב שותפין שהתנו לחלק שאין לו לקנין על מה לחול אבל הכא הוא משעבד עצמו לחוב גמור מעכשיו והנכסים כשיקנה חל עליהם השעבוד וי"מ הואיל וכותב סתמא ושעבדתי לו כל נכסי הרי הודה שיש לו נכסים אף על פי שאנו יודעין בבירור שאין לו אמרי' הודאת בעל דין כמאה עדים דמי מידי דהוה אמה שאנו כותבין בשטרות והקניתי לו ד' אמות קרקע בחצירי אף על פי שאנו יודעין בבירור שאין לו קרקע ואומר ר"ת ז"ל דהיינו טעמא דהואיל ומודה שיש לו הודאת בע"ד כק' עדים דמי ונ"ל שאין טעם זה מספיק לנכסים הידועים שלא היו לו באותה שעה והראשון עיקר</w:t>
      </w:r>
      <w:r w:rsidRPr="00F24BFA">
        <w:rPr>
          <w:rStyle w:val="Style1Char"/>
          <w:color w:val="4472C4" w:themeColor="accent1"/>
        </w:rPr>
        <w:t>:</w:t>
      </w:r>
    </w:p>
    <w:p w14:paraId="51A16391" w14:textId="06F6251B" w:rsidR="002C4635" w:rsidRPr="00C861D5" w:rsidRDefault="002C4635" w:rsidP="002C4635">
      <w:pPr>
        <w:bidi/>
        <w:rPr>
          <w:rStyle w:val="Style1Char"/>
          <w:color w:val="222A35" w:themeColor="text2" w:themeShade="80"/>
          <w:sz w:val="22"/>
          <w:szCs w:val="22"/>
        </w:rPr>
      </w:pPr>
      <w:r w:rsidRPr="00C861D5">
        <w:rPr>
          <w:rStyle w:val="Style1Char"/>
          <w:color w:val="222A35" w:themeColor="text2" w:themeShade="80"/>
          <w:rtl/>
        </w:rPr>
        <w:t xml:space="preserve">. </w:t>
      </w:r>
      <w:r w:rsidRPr="00C861D5">
        <w:rPr>
          <w:rStyle w:val="Style1Char"/>
          <w:color w:val="222A35" w:themeColor="text2" w:themeShade="80"/>
          <w:sz w:val="22"/>
          <w:szCs w:val="22"/>
          <w:rtl/>
        </w:rPr>
        <w:t xml:space="preserve">רבי יהודה אומר: אם רצה, כותב לבתולה שטר של מאתים והיא כותבת התקבלתי ממך מנה, ולאלמנה מנה והיא כותבת התקבלתי ממך חמשים זוז; רבי מאיר אומר: </w:t>
      </w:r>
      <w:r w:rsidR="00ED353F" w:rsidRPr="00EF64BD">
        <w:rPr>
          <w:rStyle w:val="Style1Char"/>
          <w:rFonts w:hint="cs"/>
          <w:rtl/>
        </w:rPr>
        <w:t>(</w:t>
      </w:r>
      <w:r w:rsidR="00ED353F">
        <w:rPr>
          <w:rStyle w:val="Style1Char"/>
          <w:rFonts w:hint="cs"/>
          <w:rtl/>
        </w:rPr>
        <w:t>1.1, 3</w:t>
      </w:r>
      <w:r w:rsidR="00ED353F" w:rsidRPr="00EF64BD">
        <w:rPr>
          <w:rStyle w:val="Style1Char"/>
          <w:rFonts w:hint="cs"/>
          <w:rtl/>
        </w:rPr>
        <w:t>)</w:t>
      </w:r>
      <w:r w:rsidRPr="00C861D5">
        <w:rPr>
          <w:rStyle w:val="Style1Char"/>
          <w:color w:val="222A35" w:themeColor="text2" w:themeShade="80"/>
          <w:sz w:val="22"/>
          <w:szCs w:val="22"/>
          <w:rtl/>
        </w:rPr>
        <w:t xml:space="preserve">כל הפוחת לבתולה ממאתים, ולאלמנה ממנה - הרי זו בעילת זנות. </w:t>
      </w:r>
    </w:p>
    <w:p w14:paraId="3775A345" w14:textId="77777777" w:rsidR="002C4635" w:rsidRPr="005F123E" w:rsidRDefault="002C4635" w:rsidP="002C4635">
      <w:pPr>
        <w:bidi/>
        <w:rPr>
          <w:rStyle w:val="Style1Char"/>
          <w:color w:val="00B050"/>
        </w:rPr>
      </w:pPr>
      <w:r w:rsidRPr="00A263FA">
        <w:rPr>
          <w:rStyle w:val="Style1Char"/>
          <w:color w:val="auto"/>
          <w:sz w:val="22"/>
          <w:szCs w:val="22"/>
          <w:rtl/>
        </w:rPr>
        <w:t>גמ'</w:t>
      </w:r>
      <w:r w:rsidRPr="00A263FA">
        <w:rPr>
          <w:rStyle w:val="Style1Char"/>
          <w:color w:val="auto"/>
          <w:rtl/>
        </w:rPr>
        <w:t>.</w:t>
      </w:r>
      <w:r w:rsidRPr="005F123E">
        <w:rPr>
          <w:rStyle w:val="Style1Char"/>
          <w:color w:val="00B050"/>
          <w:rtl/>
        </w:rPr>
        <w:t xml:space="preserve"> פשיטא! מהו דתימא קיצותא עבדו רבנן, שלא לבייש את מי שאין לו, קמ"ל. </w:t>
      </w:r>
    </w:p>
    <w:p w14:paraId="37054FA1" w14:textId="5F2A9E5E" w:rsidR="002C4635" w:rsidRDefault="002C4635" w:rsidP="002C4635">
      <w:pPr>
        <w:bidi/>
        <w:rPr>
          <w:rStyle w:val="Style1Char"/>
          <w:color w:val="auto"/>
          <w:sz w:val="22"/>
          <w:szCs w:val="22"/>
          <w:rtl/>
        </w:rPr>
      </w:pPr>
      <w:r w:rsidRPr="005F123E">
        <w:rPr>
          <w:rStyle w:val="Style1Char"/>
          <w:color w:val="00B050"/>
          <w:rtl/>
        </w:rPr>
        <w:t xml:space="preserve">[אם רצה להוסיף כו']. </w:t>
      </w:r>
      <w:r w:rsidRPr="00A263FA">
        <w:rPr>
          <w:rStyle w:val="Style1Char"/>
          <w:color w:val="auto"/>
          <w:sz w:val="22"/>
          <w:szCs w:val="22"/>
          <w:rtl/>
        </w:rPr>
        <w:t>רצה לכתוב לה לא קתני אלא</w:t>
      </w:r>
      <w:r w:rsidRPr="003C3A2E">
        <w:rPr>
          <w:rStyle w:val="Style1Char"/>
          <w:sz w:val="22"/>
          <w:szCs w:val="22"/>
          <w:rtl/>
        </w:rPr>
        <w:t xml:space="preserve"> </w:t>
      </w:r>
      <w:r w:rsidRPr="005F123E">
        <w:rPr>
          <w:rStyle w:val="Style1Char"/>
          <w:color w:val="00B050"/>
          <w:rtl/>
        </w:rPr>
        <w:t xml:space="preserve">רצה </w:t>
      </w:r>
      <w:r w:rsidRPr="00A263FA">
        <w:rPr>
          <w:rStyle w:val="Style1Char"/>
          <w:color w:val="auto"/>
          <w:sz w:val="22"/>
          <w:szCs w:val="22"/>
          <w:rtl/>
        </w:rPr>
        <w:t xml:space="preserve">להוסיף, מסייע ליה לר' איבו </w:t>
      </w:r>
      <w:r w:rsidRPr="00A263FA">
        <w:rPr>
          <w:rStyle w:val="Style1Char"/>
          <w:color w:val="ED7D31" w:themeColor="accent2"/>
          <w:rtl/>
        </w:rPr>
        <w:t xml:space="preserve">אמר רבי ינאי, </w:t>
      </w:r>
      <w:r w:rsidRPr="00A263FA">
        <w:rPr>
          <w:rStyle w:val="Style1Char"/>
          <w:color w:val="auto"/>
          <w:sz w:val="22"/>
          <w:szCs w:val="22"/>
          <w:rtl/>
        </w:rPr>
        <w:t xml:space="preserve">דאמר ר' איבו אמר רבי ינאי: </w:t>
      </w:r>
      <w:r w:rsidR="00B254AB" w:rsidRPr="00EF64BD">
        <w:rPr>
          <w:rStyle w:val="Style1Char"/>
          <w:rFonts w:hint="cs"/>
          <w:rtl/>
        </w:rPr>
        <w:t>(1)</w:t>
      </w:r>
      <w:r w:rsidRPr="00A263FA">
        <w:rPr>
          <w:rStyle w:val="Style1Char"/>
          <w:color w:val="auto"/>
          <w:sz w:val="22"/>
          <w:szCs w:val="22"/>
          <w:rtl/>
        </w:rPr>
        <w:t>תנאי כתובה ככתובה</w:t>
      </w:r>
      <w:r w:rsidRPr="00A263FA">
        <w:rPr>
          <w:rStyle w:val="Style1Char"/>
          <w:color w:val="auto"/>
          <w:rtl/>
        </w:rPr>
        <w:t xml:space="preserve"> </w:t>
      </w:r>
      <w:r w:rsidRPr="005F123E">
        <w:rPr>
          <w:rStyle w:val="Style1Char"/>
          <w:color w:val="00B050"/>
          <w:rtl/>
        </w:rPr>
        <w:t xml:space="preserve">דמי. </w:t>
      </w:r>
      <w:r w:rsidRPr="00F24BFA">
        <w:rPr>
          <w:rStyle w:val="Style1Char"/>
          <w:color w:val="4472C4" w:themeColor="accent1"/>
          <w:rtl/>
        </w:rPr>
        <w:t xml:space="preserve">למאי </w:t>
      </w:r>
      <w:r w:rsidRPr="003859A9">
        <w:rPr>
          <w:rStyle w:val="Style1Char"/>
          <w:color w:val="auto"/>
          <w:sz w:val="22"/>
          <w:szCs w:val="22"/>
          <w:rtl/>
        </w:rPr>
        <w:t xml:space="preserve">נפקא מינה? </w:t>
      </w:r>
      <w:r w:rsidR="00812DAE" w:rsidRPr="00EF64BD">
        <w:rPr>
          <w:rStyle w:val="Style1Char"/>
          <w:rFonts w:hint="cs"/>
          <w:rtl/>
        </w:rPr>
        <w:t>(</w:t>
      </w:r>
      <w:r w:rsidR="00812DAE">
        <w:rPr>
          <w:rStyle w:val="Style1Char"/>
          <w:rFonts w:hint="cs"/>
          <w:rtl/>
        </w:rPr>
        <w:t>4</w:t>
      </w:r>
      <w:r w:rsidR="00812DAE" w:rsidRPr="00EF64BD">
        <w:rPr>
          <w:rStyle w:val="Style1Char"/>
          <w:rFonts w:hint="cs"/>
          <w:rtl/>
        </w:rPr>
        <w:t>)</w:t>
      </w:r>
      <w:r w:rsidRPr="003859A9">
        <w:rPr>
          <w:rStyle w:val="Style1Char"/>
          <w:color w:val="auto"/>
          <w:sz w:val="22"/>
          <w:szCs w:val="22"/>
          <w:rtl/>
        </w:rPr>
        <w:t xml:space="preserve">למוכרת, ולמוחלת, </w:t>
      </w:r>
      <w:r w:rsidR="00812DAE" w:rsidRPr="00EF64BD">
        <w:rPr>
          <w:rStyle w:val="Style1Char"/>
          <w:rFonts w:hint="cs"/>
          <w:rtl/>
        </w:rPr>
        <w:t>(</w:t>
      </w:r>
      <w:r w:rsidR="00812DAE">
        <w:rPr>
          <w:rStyle w:val="Style1Char"/>
          <w:rFonts w:hint="cs"/>
          <w:rtl/>
        </w:rPr>
        <w:t>5</w:t>
      </w:r>
      <w:r w:rsidR="00812DAE" w:rsidRPr="00EF64BD">
        <w:rPr>
          <w:rStyle w:val="Style1Char"/>
          <w:rFonts w:hint="cs"/>
          <w:rtl/>
        </w:rPr>
        <w:t>)</w:t>
      </w:r>
      <w:r w:rsidRPr="003859A9">
        <w:rPr>
          <w:rStyle w:val="Style1Char"/>
          <w:color w:val="auto"/>
          <w:sz w:val="22"/>
          <w:szCs w:val="22"/>
          <w:rtl/>
        </w:rPr>
        <w:t xml:space="preserve">למורדת, ולפוגמת, </w:t>
      </w:r>
      <w:r w:rsidR="00CC31AB" w:rsidRPr="00EF64BD">
        <w:rPr>
          <w:rStyle w:val="Style1Char"/>
          <w:rFonts w:hint="cs"/>
          <w:rtl/>
        </w:rPr>
        <w:t>(</w:t>
      </w:r>
      <w:r w:rsidR="00CC31AB">
        <w:rPr>
          <w:rStyle w:val="Style1Char"/>
          <w:rFonts w:hint="cs"/>
          <w:rtl/>
        </w:rPr>
        <w:t>6</w:t>
      </w:r>
      <w:r w:rsidR="00CC31AB" w:rsidRPr="00EF64BD">
        <w:rPr>
          <w:rStyle w:val="Style1Char"/>
          <w:rFonts w:hint="cs"/>
          <w:rtl/>
        </w:rPr>
        <w:t>)</w:t>
      </w:r>
      <w:r w:rsidRPr="003859A9">
        <w:rPr>
          <w:rStyle w:val="Style1Char"/>
          <w:color w:val="auto"/>
          <w:sz w:val="22"/>
          <w:szCs w:val="22"/>
          <w:rtl/>
        </w:rPr>
        <w:t xml:space="preserve">לתובעת, </w:t>
      </w:r>
      <w:r w:rsidR="00CC31AB" w:rsidRPr="00EF64BD">
        <w:rPr>
          <w:rStyle w:val="Style1Char"/>
          <w:rFonts w:hint="cs"/>
          <w:rtl/>
        </w:rPr>
        <w:t>(</w:t>
      </w:r>
      <w:r w:rsidR="00CC31AB">
        <w:rPr>
          <w:rStyle w:val="Style1Char"/>
          <w:rFonts w:hint="cs"/>
          <w:rtl/>
        </w:rPr>
        <w:t>7</w:t>
      </w:r>
      <w:r w:rsidR="00CC31AB" w:rsidRPr="00EF64BD">
        <w:rPr>
          <w:rStyle w:val="Style1Char"/>
          <w:rFonts w:hint="cs"/>
          <w:rtl/>
        </w:rPr>
        <w:t>)</w:t>
      </w:r>
      <w:r w:rsidRPr="003859A9">
        <w:rPr>
          <w:rStyle w:val="Style1Char"/>
          <w:color w:val="auto"/>
          <w:sz w:val="22"/>
          <w:szCs w:val="22"/>
          <w:rtl/>
        </w:rPr>
        <w:t xml:space="preserve">ולעוברת על דת, </w:t>
      </w:r>
    </w:p>
    <w:p w14:paraId="010A540B" w14:textId="7FC19117" w:rsidR="007E7EFF" w:rsidRDefault="007E7EFF" w:rsidP="007E7EFF">
      <w:pPr>
        <w:pStyle w:val="Style1"/>
        <w:rPr>
          <w:rStyle w:val="Style1Char"/>
          <w:rtl/>
        </w:rPr>
      </w:pPr>
      <w:r>
        <w:rPr>
          <w:rStyle w:val="Style1Char"/>
          <w:rFonts w:hint="cs"/>
          <w:rtl/>
        </w:rPr>
        <w:t>1)[</w:t>
      </w:r>
      <w:r w:rsidRPr="007E7EFF">
        <w:rPr>
          <w:rStyle w:val="Style1Char"/>
          <w:rtl/>
        </w:rPr>
        <w:t>רמב</w:t>
      </w:r>
      <w:r w:rsidR="00213DA1">
        <w:rPr>
          <w:rStyle w:val="Style1Char"/>
          <w:rtl/>
        </w:rPr>
        <w:t>”ם \נשים\</w:t>
      </w:r>
      <w:r w:rsidRPr="007E7EFF">
        <w:rPr>
          <w:rStyle w:val="Style1Char"/>
          <w:rtl/>
        </w:rPr>
        <w:t xml:space="preserve"> הלכות אישות פרק י הלכה ז</w:t>
      </w:r>
      <w:r>
        <w:rPr>
          <w:rStyle w:val="Style1Char"/>
          <w:rFonts w:hint="cs"/>
          <w:rtl/>
        </w:rPr>
        <w:t xml:space="preserve">] </w:t>
      </w:r>
      <w:r w:rsidRPr="007E7EFF">
        <w:rPr>
          <w:rStyle w:val="Style1Char"/>
          <w:rtl/>
        </w:rPr>
        <w:t>וצריך לכתוב כתובה קודם כניסה לחופה ואחר כך יהיה מותר באשתו, והחתן נותן שכר הסופר,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 ודין התוספת ודין העיקר אחד הוא לרוב הדברים, לפיכך כל מקום שנאמר בו כתובה סתם הוא העיקר והתוספת כאחד, וחכמים הם שתיקנו כתובה לאשה כדי שלא תהיה קלה בעיניו להוציאה.</w:t>
      </w:r>
    </w:p>
    <w:p w14:paraId="11176751" w14:textId="467FC92A" w:rsidR="00AE2DC4" w:rsidRDefault="00AE2DC4" w:rsidP="00AE2DC4">
      <w:pPr>
        <w:pStyle w:val="Style1"/>
        <w:rPr>
          <w:rStyle w:val="Style1Char"/>
          <w:rtl/>
        </w:rPr>
      </w:pPr>
      <w:r>
        <w:rPr>
          <w:rStyle w:val="Style1Char"/>
          <w:rFonts w:hint="cs"/>
          <w:rtl/>
        </w:rPr>
        <w:t>1)[</w:t>
      </w:r>
      <w:r w:rsidRPr="00AE2DC4">
        <w:rPr>
          <w:rStyle w:val="Style1Char"/>
          <w:rtl/>
        </w:rPr>
        <w:t>רמב</w:t>
      </w:r>
      <w:r w:rsidR="00213DA1">
        <w:rPr>
          <w:rStyle w:val="Style1Char"/>
          <w:rtl/>
        </w:rPr>
        <w:t>”ם \נשים\</w:t>
      </w:r>
      <w:r w:rsidRPr="00AE2DC4">
        <w:rPr>
          <w:rStyle w:val="Style1Char"/>
          <w:rtl/>
        </w:rPr>
        <w:t xml:space="preserve"> הלכות אישות פרק טז הלכה ג</w:t>
      </w:r>
      <w:r>
        <w:rPr>
          <w:rStyle w:val="Style1Char"/>
          <w:rFonts w:hint="cs"/>
          <w:rtl/>
        </w:rPr>
        <w:t xml:space="preserve">] </w:t>
      </w:r>
      <w:r w:rsidRPr="00AE2DC4">
        <w:rPr>
          <w:rStyle w:val="Style1Char"/>
          <w:rtl/>
        </w:rPr>
        <w:t>כבר הודענו שחכמים תקנו כתובה לאשה, ודין התוספת כדין העיקר, ולא תקנוה לגבותה כל זמן שתרצה אלא הרי היא כחוב שיש לו זמן ואין הכתובה נגבית אלא לאחר מיתת הבעל או אם גירשה. וכן התקינו שאם היה לבעל שדות טובות ורעות ובינוניות ובאה האשה לגבות כתובתה ממנו שלא תגבה אלא מן הרעה שבנכסיו והיא הנקראת זיבורית.</w:t>
      </w:r>
    </w:p>
    <w:p w14:paraId="40C6EBAE" w14:textId="3D314F6F" w:rsidR="00B374B1" w:rsidRPr="00D16BE2" w:rsidRDefault="00B374B1" w:rsidP="00B374B1">
      <w:pPr>
        <w:pStyle w:val="Style1"/>
      </w:pPr>
      <w:r>
        <w:rPr>
          <w:rStyle w:val="Style1Char"/>
          <w:rFonts w:hint="cs"/>
          <w:rtl/>
        </w:rPr>
        <w:t>1)[</w:t>
      </w:r>
      <w:r w:rsidRPr="008B77B5">
        <w:rPr>
          <w:rStyle w:val="Style1Char"/>
          <w:rtl/>
        </w:rPr>
        <w:t>שולחן ערוך אבן העזר הלכות כתובות סימן סו סעיף ז</w:t>
      </w:r>
      <w:r>
        <w:rPr>
          <w:rStyle w:val="Style1Char"/>
          <w:rFonts w:hint="cs"/>
          <w:rtl/>
        </w:rPr>
        <w:t>]</w:t>
      </w:r>
      <w:r>
        <w:rPr>
          <w:rStyle w:val="Style1Char"/>
        </w:rPr>
        <w:t xml:space="preserve"> </w:t>
      </w:r>
      <w:r w:rsidRPr="00D16BE2">
        <w:rPr>
          <w:rtl/>
        </w:rPr>
        <w:t>אם ירצה להוסיף על זה, מוסיף; וזה התוספות שמוסיף, יש דברים שדינו בהם כעיקר הכתובה, ויש דברים שהוא חלוק בהם מעיקר הכתובה, כדלקמן</w:t>
      </w:r>
      <w:r w:rsidRPr="00D16BE2">
        <w:t>.</w:t>
      </w:r>
    </w:p>
    <w:p w14:paraId="2A4C5AD0" w14:textId="1C24C658" w:rsidR="00B374B1" w:rsidRDefault="00B374B1" w:rsidP="00B374B1">
      <w:pPr>
        <w:pStyle w:val="Style1"/>
        <w:rPr>
          <w:rtl/>
        </w:rPr>
      </w:pPr>
      <w:r w:rsidRPr="00D16BE2">
        <w:rPr>
          <w:rFonts w:hint="cs"/>
          <w:rtl/>
        </w:rPr>
        <w:lastRenderedPageBreak/>
        <w:t>הגה: ואין צריך לפרש עיקר הכתובה בפני עצמה והתוספת בפני עצמו, אלא כולל הכל ביחד, אם ירצה (הר"ן ריש אף על פי והמגיד משנה פרק י</w:t>
      </w:r>
      <w:r w:rsidRPr="00D16BE2">
        <w:rPr>
          <w:rFonts w:hint="cs"/>
        </w:rPr>
        <w:t>' </w:t>
      </w:r>
      <w:hyperlink r:id="rId105" w:tooltip="תשובות ריב&quot;ש/סה" w:history="1">
        <w:r w:rsidRPr="00D16BE2">
          <w:rPr>
            <w:rStyle w:val="Hyperlink"/>
            <w:rFonts w:hint="cs"/>
            <w:color w:val="7030A0"/>
            <w:u w:val="none"/>
            <w:rtl/>
          </w:rPr>
          <w:t>וריב"ש סימן ס"ה</w:t>
        </w:r>
      </w:hyperlink>
      <w:r w:rsidRPr="00D16BE2">
        <w:rPr>
          <w:rFonts w:hint="cs"/>
        </w:rPr>
        <w:t xml:space="preserve">); </w:t>
      </w:r>
      <w:r w:rsidRPr="00D16BE2">
        <w:rPr>
          <w:rFonts w:hint="cs"/>
          <w:rtl/>
        </w:rPr>
        <w:t>ויש חולקים, וסבירא להו דצריך לכתוב הכתובה כמנהג המדינה בפני עצמה, והתוספת בפני עצמו, וכן נוהגין. ואם יש משפחה שכולן נוהגים בתוספת, אין צריך לכתוב כל אחד בפני עצמו (מרדכי פרק קמא דכתבות). כתובה שכתב בה: "ודין נדוניא דהנעלת לה מאה דינרין והוסיף לה מן דילה כך וכך", אין עיקר כתובה בכלל, וצריך לשלם לה בפני עצמו, עד שיהא כתוב: "ויהיבנא ליכי מוהר בתולייכי כסף זוזי אלף", דאז העיקר כתובה בכלל</w:t>
      </w:r>
      <w:r w:rsidRPr="00D16BE2">
        <w:rPr>
          <w:rFonts w:hint="cs"/>
        </w:rPr>
        <w:t xml:space="preserve"> (</w:t>
      </w:r>
      <w:hyperlink r:id="rId106" w:tooltip="תשובות ריב&quot;ש/סה" w:history="1">
        <w:r w:rsidRPr="00D16BE2">
          <w:rPr>
            <w:rStyle w:val="Hyperlink"/>
            <w:rFonts w:hint="cs"/>
            <w:color w:val="7030A0"/>
            <w:u w:val="none"/>
            <w:rtl/>
          </w:rPr>
          <w:t>ריב"ש סימן ס"ה</w:t>
        </w:r>
      </w:hyperlink>
      <w:r w:rsidRPr="00D16BE2">
        <w:rPr>
          <w:rFonts w:hint="cs"/>
        </w:rPr>
        <w:t>)</w:t>
      </w:r>
      <w:r w:rsidRPr="00D16BE2">
        <w:t>:</w:t>
      </w:r>
    </w:p>
    <w:p w14:paraId="49D9D6C4" w14:textId="6E995125" w:rsidR="00DD490C" w:rsidRDefault="00DD490C" w:rsidP="00DD490C">
      <w:pPr>
        <w:pStyle w:val="Style1"/>
        <w:rPr>
          <w:rtl/>
        </w:rPr>
      </w:pPr>
      <w:r>
        <w:rPr>
          <w:rFonts w:hint="cs"/>
          <w:rtl/>
        </w:rPr>
        <w:t>2)[</w:t>
      </w:r>
      <w:r>
        <w:rPr>
          <w:rtl/>
        </w:rPr>
        <w:t>רמב</w:t>
      </w:r>
      <w:r w:rsidR="00213DA1">
        <w:rPr>
          <w:rtl/>
        </w:rPr>
        <w:t>”ם \נשים\</w:t>
      </w:r>
      <w:r>
        <w:rPr>
          <w:rtl/>
        </w:rPr>
        <w:t xml:space="preserve"> הלכות אישות פרק י הלכה יא</w:t>
      </w:r>
      <w:r>
        <w:rPr>
          <w:rFonts w:hint="cs"/>
          <w:rtl/>
        </w:rPr>
        <w:t xml:space="preserve">] </w:t>
      </w:r>
      <w:r>
        <w:rPr>
          <w:rtl/>
        </w:rPr>
        <w:t>המארס את האשה וכתב לה כתובה ולא נכנסה לחופה עדיין ארוסה היא ואינה נשואה שאין הכתובה עושה נישואין, ואם מת או גרשה גובה עיקר כתובתה מבני חורין ואינה גובה תוספת כלל הואיל ולא כנסה, אבל אם ארס ולא כתב לה כתובה ומת או גרשה והיא ארוסה אין לה כלום ואפילו העיקר שלא תיקנו לה עיקר כתובה עד שתנשא או עד שיכתוב, והמארס את בתו וכתב לה כתובה ומת או גרשה כשהיא נערה כתובתה לאביה כמו שביארנו.</w:t>
      </w:r>
    </w:p>
    <w:p w14:paraId="2B17A60C" w14:textId="66BC1720" w:rsidR="002112A1" w:rsidRPr="00236E7F" w:rsidRDefault="002112A1" w:rsidP="002112A1">
      <w:pPr>
        <w:pStyle w:val="Style1"/>
      </w:pPr>
      <w:r>
        <w:rPr>
          <w:rFonts w:hint="cs"/>
          <w:rtl/>
        </w:rPr>
        <w:t>2)[</w:t>
      </w:r>
      <w:r>
        <w:rPr>
          <w:rtl/>
        </w:rPr>
        <w:t>שולחן ערוך אבן העזר הלכות קידושין סימן נה סעיף ו</w:t>
      </w:r>
      <w:r>
        <w:rPr>
          <w:rFonts w:hint="cs"/>
          <w:rtl/>
        </w:rPr>
        <w:t xml:space="preserve">] </w:t>
      </w:r>
      <w:r w:rsidRPr="00236E7F">
        <w:rPr>
          <w:rtl/>
        </w:rPr>
        <w:t>המארס את האשה וכתב לה כתובה, ולא כנסה לחופה, עדיין ארוסה היא ואינה נשואה, שאין הכתובה עושה נשואין; ואם מת או גרשה, גובה עיקר כתובה מבני חורין, ואינה גובה תוספות כלל, הואיל ולא כנסה. אבל אם ארס אשה ולא כתב לה כתובה, ומת או גרשה והיא ארוסה, אין לה כלום, ואפילו העיקר, שלא תקנו לה עיקר כתובה עד שתנשא או עד שיכתב</w:t>
      </w:r>
      <w:r w:rsidRPr="00236E7F">
        <w:t>.</w:t>
      </w:r>
    </w:p>
    <w:p w14:paraId="4549E49D" w14:textId="3318A7F3" w:rsidR="002112A1" w:rsidRDefault="002112A1" w:rsidP="002112A1">
      <w:pPr>
        <w:pStyle w:val="Style1"/>
        <w:rPr>
          <w:rtl/>
        </w:rPr>
      </w:pPr>
      <w:r w:rsidRPr="00236E7F">
        <w:rPr>
          <w:rFonts w:hint="cs"/>
          <w:rtl/>
        </w:rPr>
        <w:t>ויש אומרים דארוסה יש לה כתובה (הרא"ש והר"ן והטור), אבל נוהגין כסברא הראשונה</w:t>
      </w:r>
      <w:r w:rsidRPr="00236E7F">
        <w:t>:</w:t>
      </w:r>
    </w:p>
    <w:p w14:paraId="53EFD378" w14:textId="2347F697" w:rsidR="00DB383D" w:rsidRDefault="00DB383D" w:rsidP="00DB383D">
      <w:pPr>
        <w:pStyle w:val="Style1"/>
        <w:rPr>
          <w:rtl/>
        </w:rPr>
      </w:pPr>
      <w:r>
        <w:rPr>
          <w:rFonts w:hint="cs"/>
          <w:rtl/>
        </w:rPr>
        <w:t>3)[</w:t>
      </w:r>
      <w:r>
        <w:rPr>
          <w:rtl/>
        </w:rPr>
        <w:t>רמב</w:t>
      </w:r>
      <w:r w:rsidR="00213DA1">
        <w:rPr>
          <w:rtl/>
        </w:rPr>
        <w:t>”ם \נשים\</w:t>
      </w:r>
      <w:r>
        <w:rPr>
          <w:rtl/>
        </w:rPr>
        <w:t xml:space="preserve"> הלכות אישות פרק יב הלכה ח</w:t>
      </w:r>
      <w:r>
        <w:rPr>
          <w:rFonts w:hint="cs"/>
          <w:rtl/>
        </w:rPr>
        <w:t xml:space="preserve">] </w:t>
      </w:r>
      <w:r>
        <w:rPr>
          <w:rtl/>
        </w:rPr>
        <w:t>התנה עמה לפחות מעיקר כתובה או שכתב לה מאתים או מאה עיקר כתובה וכתבה לו שנתקבלה מהן כך וכך והיא לא נתקבלה תנאו בטל שכל הפוחת לבתולה ממאתים ולאלמנה ממנה הרי זו בעילת זנות.</w:t>
      </w:r>
    </w:p>
    <w:p w14:paraId="6C232E43" w14:textId="4A4D2E56" w:rsidR="000A41DC" w:rsidRDefault="000A41DC" w:rsidP="000A41DC">
      <w:pPr>
        <w:pStyle w:val="Style1"/>
        <w:rPr>
          <w:rtl/>
        </w:rPr>
      </w:pPr>
      <w:r>
        <w:rPr>
          <w:rFonts w:hint="cs"/>
          <w:rtl/>
        </w:rPr>
        <w:t>3)[</w:t>
      </w:r>
      <w:r>
        <w:rPr>
          <w:rtl/>
        </w:rPr>
        <w:t>שולחן ערוך אבן העזר הלכות כתובות סימן סו סעיף ט</w:t>
      </w:r>
      <w:r>
        <w:rPr>
          <w:rFonts w:hint="cs"/>
          <w:rtl/>
        </w:rPr>
        <w:t>]</w:t>
      </w:r>
      <w:r w:rsidRPr="005679CA">
        <w:rPr>
          <w:rFonts w:ascii="Arial" w:hAnsi="Arial"/>
          <w:color w:val="202122"/>
          <w:sz w:val="21"/>
          <w:szCs w:val="21"/>
          <w:shd w:val="clear" w:color="auto" w:fill="FFFFFF"/>
          <w:rtl/>
        </w:rPr>
        <w:t xml:space="preserve"> </w:t>
      </w:r>
      <w:r w:rsidRPr="005679CA">
        <w:rPr>
          <w:rtl/>
        </w:rPr>
        <w:t>כל הפוחת משיעור הכתובה, בעילתו בעילת זנות; לא מבעיא אם כתבה לו אחר כך: התקבלתי ממך הכתובה, או מקצתה, דאז אין לה לדעת קצת פוסקים, אלא אפילו התנה בשעת קדושין שלא יהא לה כתובה, או שפיחת לה משיעורה, אף על פי שתנאו בטל ויש לה כתובה משלם, אפילו הכי בעילתו בעילת זנות, כיון שהיא סבורה שאין לה, לא סמכה דעתה</w:t>
      </w:r>
      <w:r w:rsidRPr="005679CA">
        <w:t>:</w:t>
      </w:r>
    </w:p>
    <w:p w14:paraId="0DF76825" w14:textId="16C9B2EB" w:rsidR="00581D11" w:rsidRDefault="00581D11" w:rsidP="00581D11">
      <w:pPr>
        <w:pStyle w:val="Style1"/>
        <w:rPr>
          <w:rtl/>
        </w:rPr>
      </w:pPr>
      <w:r>
        <w:rPr>
          <w:rFonts w:hint="cs"/>
          <w:rtl/>
        </w:rPr>
        <w:t>4)[</w:t>
      </w:r>
      <w:r>
        <w:rPr>
          <w:rtl/>
        </w:rPr>
        <w:t>רמב</w:t>
      </w:r>
      <w:r w:rsidR="00213DA1">
        <w:rPr>
          <w:rtl/>
        </w:rPr>
        <w:t>”ם \נשים\</w:t>
      </w:r>
      <w:r>
        <w:rPr>
          <w:rtl/>
        </w:rPr>
        <w:t xml:space="preserve"> הלכות אישות פרק יח הלכה כח</w:t>
      </w:r>
      <w:r>
        <w:rPr>
          <w:rFonts w:hint="cs"/>
          <w:rtl/>
        </w:rPr>
        <w:t xml:space="preserve">] </w:t>
      </w:r>
      <w:r>
        <w:rPr>
          <w:rtl/>
        </w:rPr>
        <w:t>דין תוספת כתובה כדין העיקר, לפיכך אלמנה שתבעה או מכרה או מחלה או משכנה תוספת כתובתה עם העיקר אין לה מזונות, ואם תבעה מקצת והניחה מקצת הרי זו כמי שתבעה מקצת העיקר והניחה מקצתו, וכל המוכרת או המוחלת סתם מכרה ומחלה התוספת עם העיקר ששניהם כתובה שמם בכל מקום. /השגת הראב"ד/ לפיכך אלמנה שתבעה או מכרה או מחלה או משכנה תוספת כתובתה עם העיקר אין לה מזונות. א"א לא כך כתב הרב ז"ל בהלכותיו ותמהנו עליו</w:t>
      </w:r>
    </w:p>
    <w:p w14:paraId="5419890B" w14:textId="67F9C2D7" w:rsidR="003F07F0" w:rsidRDefault="003F07F0" w:rsidP="003F07F0">
      <w:pPr>
        <w:pStyle w:val="Style1"/>
        <w:rPr>
          <w:rtl/>
        </w:rPr>
      </w:pPr>
      <w:r>
        <w:rPr>
          <w:rFonts w:hint="cs"/>
          <w:rtl/>
        </w:rPr>
        <w:t>4)[</w:t>
      </w:r>
      <w:r>
        <w:rPr>
          <w:rtl/>
        </w:rPr>
        <w:t>שולחן ערוך אבן העזר הלכות כתובות סימן צג סעיף י</w:t>
      </w:r>
      <w:r>
        <w:rPr>
          <w:rFonts w:hint="cs"/>
          <w:rtl/>
        </w:rPr>
        <w:t xml:space="preserve">] </w:t>
      </w:r>
      <w:r>
        <w:rPr>
          <w:rtl/>
        </w:rPr>
        <w:t>בד"א, כשמכרה או משכנה או מחלה כל הכתובה, עיקר ותוספת. אבל אם שיירה מקצת, נזונת, אפילו לא שיירה אלא התוספות או מקצתו. ומיהו אם ירצו היורשים, יפרעו לה מה ששיירה ויפטרו ממזונותיה. וכל המוכרת או מוחלת סתם, מכרה ומחלה התוספת עם העיקר.</w:t>
      </w:r>
    </w:p>
    <w:p w14:paraId="73B4A784" w14:textId="37484A44" w:rsidR="00CD7205" w:rsidRDefault="00CD7205" w:rsidP="00CD7205">
      <w:pPr>
        <w:pStyle w:val="Style1"/>
        <w:rPr>
          <w:rtl/>
        </w:rPr>
      </w:pPr>
      <w:r>
        <w:rPr>
          <w:rFonts w:hint="cs"/>
          <w:rtl/>
        </w:rPr>
        <w:t>5)[</w:t>
      </w:r>
      <w:r>
        <w:rPr>
          <w:rtl/>
        </w:rPr>
        <w:t>רמב</w:t>
      </w:r>
      <w:r w:rsidR="00213DA1">
        <w:rPr>
          <w:rtl/>
        </w:rPr>
        <w:t>”ם \נשים\</w:t>
      </w:r>
      <w:r>
        <w:rPr>
          <w:rtl/>
        </w:rPr>
        <w:t xml:space="preserve"> הלכות אישות פרק יד הלכה ח</w:t>
      </w:r>
      <w:r>
        <w:rPr>
          <w:rFonts w:hint="cs"/>
          <w:rtl/>
        </w:rPr>
        <w:t xml:space="preserve">] </w:t>
      </w:r>
      <w:r>
        <w:rPr>
          <w:rtl/>
        </w:rPr>
        <w:t>האשה שמנעה בעלה מתשמיש המטה היא הנקראת מורדת, ושואלין אותה מפני מה מרדה, אם אמרה מאסתיהו ואיני יכולה להבעל לו מדעתי כופין אותו להוציא לשעתו לפי שאינה כשבויה שתבעל לשנוי לה, ותצא בלא כתובה כלל 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p>
    <w:p w14:paraId="6273885D" w14:textId="59EA8778" w:rsidR="00951A57" w:rsidRDefault="00951A57" w:rsidP="00951A57">
      <w:pPr>
        <w:pStyle w:val="Style1"/>
        <w:rPr>
          <w:rtl/>
        </w:rPr>
      </w:pPr>
      <w:r>
        <w:rPr>
          <w:rFonts w:hint="cs"/>
          <w:rtl/>
        </w:rPr>
        <w:t>5)[</w:t>
      </w:r>
      <w:r>
        <w:rPr>
          <w:rtl/>
        </w:rPr>
        <w:t>רמב</w:t>
      </w:r>
      <w:r w:rsidR="00213DA1">
        <w:rPr>
          <w:rtl/>
        </w:rPr>
        <w:t>”ם \נשים\</w:t>
      </w:r>
      <w:r>
        <w:rPr>
          <w:rtl/>
        </w:rPr>
        <w:t xml:space="preserve"> הלכות אישות פרק יד הלכה ט</w:t>
      </w:r>
      <w:r>
        <w:rPr>
          <w:rFonts w:hint="cs"/>
          <w:rtl/>
        </w:rPr>
        <w:t xml:space="preserve">] </w:t>
      </w:r>
      <w:r>
        <w:rPr>
          <w:rtl/>
        </w:rPr>
        <w:t>ואם מרדה מתחת בעלה כדי לצערו ואמרה הריני מצערת אותו בכך מפני שעשה לי כך וכך או מפני שקללני או מפני שעשה עמי מריבה וכיוצא בדברים אלו, שולחים לה מבית דין ואומרין לה הוי יודעת שאם את עומדת במרדך אפילו כתובתך מאה מנה הפסדת אותה, ואחר כך מכריזין עליה בבתי כנסיות ובבתי מדרשות בכל יום ארבע שבתות זו אחר זו ואומרים פלונית מרדה על בעלה.</w:t>
      </w:r>
    </w:p>
    <w:p w14:paraId="43B44A52" w14:textId="030279E0" w:rsidR="008B516A" w:rsidRDefault="008B516A" w:rsidP="008B516A">
      <w:pPr>
        <w:pStyle w:val="Style1"/>
        <w:rPr>
          <w:rtl/>
        </w:rPr>
      </w:pPr>
      <w:r>
        <w:rPr>
          <w:rFonts w:hint="cs"/>
          <w:rtl/>
        </w:rPr>
        <w:t>5)[</w:t>
      </w:r>
      <w:r>
        <w:rPr>
          <w:rtl/>
        </w:rPr>
        <w:t>רמב</w:t>
      </w:r>
      <w:r w:rsidR="00213DA1">
        <w:rPr>
          <w:rtl/>
        </w:rPr>
        <w:t>”ם \נשים\</w:t>
      </w:r>
      <w:r>
        <w:rPr>
          <w:rtl/>
        </w:rPr>
        <w:t xml:space="preserve"> הלכות אישות פרק טז הלכה יד</w:t>
      </w:r>
      <w:r>
        <w:rPr>
          <w:rFonts w:hint="cs"/>
          <w:rtl/>
        </w:rPr>
        <w:t xml:space="preserve">] </w:t>
      </w:r>
      <w:r>
        <w:rPr>
          <w:rtl/>
        </w:rPr>
        <w:t>הפוגמת כתובתה לא תפרע אלא בשבועה כיצד, הוציאה שטר כתובה שיש בו אלף זוז הבעל אומר נתקבלה הכל והיא אומרת לא נתקבלתי אלא כך וכך, ואפילו יש עליה עדים במקצת שנטלה ואפילו דקדקה בחשבון מה שנטלה בחצי חצי פרוטה, לא תטול השאר אלא בשבועה.</w:t>
      </w:r>
    </w:p>
    <w:p w14:paraId="44332F8E" w14:textId="334C4E75" w:rsidR="00E01E39" w:rsidRPr="00E01E39" w:rsidRDefault="00EC0A07" w:rsidP="00E01E39">
      <w:pPr>
        <w:pStyle w:val="Style1"/>
      </w:pPr>
      <w:r>
        <w:rPr>
          <w:rFonts w:hint="cs"/>
          <w:rtl/>
        </w:rPr>
        <w:t>5)[</w:t>
      </w:r>
      <w:r>
        <w:rPr>
          <w:rtl/>
        </w:rPr>
        <w:t>שולחן ערוך אבן העזר הלכות כתובות סימן עז סעיף ב</w:t>
      </w:r>
      <w:r>
        <w:rPr>
          <w:rFonts w:hint="cs"/>
          <w:rtl/>
        </w:rPr>
        <w:t>]</w:t>
      </w:r>
      <w:r w:rsidR="00E01E39">
        <w:rPr>
          <w:rFonts w:hint="cs"/>
          <w:rtl/>
        </w:rPr>
        <w:t xml:space="preserve"> </w:t>
      </w:r>
      <w:r w:rsidR="00E01E39" w:rsidRPr="00E01E39">
        <w:rPr>
          <w:rtl/>
        </w:rPr>
        <w:t>האשה שמנעה בעלה מתשמיש, היא הנקראת "מורדת"; ושואלין אותה מפני מה מרדה, אם אמרה: מאסתיהו ואיני יכולה להיבעל לו מדעתי</w:t>
      </w:r>
      <w:r w:rsidR="00E01E39" w:rsidRPr="00E01E39">
        <w:t>, </w:t>
      </w:r>
      <w:r w:rsidR="00E01E39" w:rsidRPr="00E01E39">
        <w:rPr>
          <w:rFonts w:hint="cs"/>
          <w:rtl/>
        </w:rPr>
        <w:t>ודווקא שמבקשת גט בלא כתובה, אבל אם אומרת: יתן לי גט וכתובתי, חיישינן שמא נתנה עיניה באחר, ויש לה דין מורדת דבעינא ומצערנא ליה (בית יוסף בשם תשובת הר"ן וכן פרש"י בגמרא)</w:t>
      </w:r>
      <w:r w:rsidR="00E01E39" w:rsidRPr="00E01E39">
        <w:t xml:space="preserve">, </w:t>
      </w:r>
      <w:r w:rsidR="00E01E39" w:rsidRPr="00E01E39">
        <w:rPr>
          <w:rtl/>
        </w:rPr>
        <w:t>אם רצה הבעל לגרשה אין לה כתובה כלל, ותיטול בלאותיה הקיימים, בין מנכסים שהכניסה לבעלה ונתחייב באחריותן, בין נכסי מלוג שלא נתחיב באחריותן, ואינה נוטלת משל בעלה כלום, ואפילו מנעל שברגליה ומטפחת שבראשה שלקחם לה, פושטת ונותנת, וכל מה שנתן לה מתנה מחזרת אותו</w:t>
      </w:r>
      <w:r w:rsidR="00E01E39" w:rsidRPr="00E01E39">
        <w:t>.</w:t>
      </w:r>
    </w:p>
    <w:p w14:paraId="7AB426C9" w14:textId="77777777" w:rsidR="00E01E39" w:rsidRPr="00E01E39" w:rsidRDefault="00E01E39" w:rsidP="00E01E39">
      <w:pPr>
        <w:pStyle w:val="Style1"/>
      </w:pPr>
      <w:r w:rsidRPr="00E01E39">
        <w:rPr>
          <w:rFonts w:hint="cs"/>
          <w:rtl/>
        </w:rPr>
        <w:t>ויש אומרים דאף מנכסי צאן ברזל אינה נוטלת אלא מה שתפסה. ויש אומרים דאפילו נכסי מלוג אינה נוטלת אלא מה שתפסה (בית יוסף בשם תשובת הר"ן שכן כתב בשם הרשב"א)</w:t>
      </w:r>
      <w:r w:rsidRPr="00E01E39">
        <w:t>.</w:t>
      </w:r>
    </w:p>
    <w:p w14:paraId="6C40E2CE" w14:textId="77777777" w:rsidR="00E01E39" w:rsidRPr="00E01E39" w:rsidRDefault="00E01E39" w:rsidP="00E01E39">
      <w:pPr>
        <w:pStyle w:val="Style1"/>
      </w:pPr>
      <w:r w:rsidRPr="00E01E39">
        <w:rPr>
          <w:rtl/>
        </w:rPr>
        <w:t>ואם מרדה מתחת בעלה כדי לצערו, ואמרה: הריני מצערת אותו בכך, מפני שעשה לי כך וכך, או מפני שקללני, או מפני שעשה עמי מריבה וכיוצא בדברים אלו, שולחין לה מבית דין ואומרים לה: הוי יודעת שאם את עומדת במרדך, אפילו כתובתיך מאה מנה הפסדת אותם. ואחר כך מכריזין עליה בבתי כנסיות ובתי מדרשות, בכל יום, ארבע שבתות זו אחר זו</w:t>
      </w:r>
      <w:r w:rsidRPr="00E01E39">
        <w:t>, </w:t>
      </w:r>
      <w:r w:rsidRPr="00E01E39">
        <w:rPr>
          <w:rFonts w:hint="cs"/>
          <w:rtl/>
        </w:rPr>
        <w:t>ויש אומרים דאין צריך להכריז בכל יום, אלא ארבע שבתות ממש, (הר"ן והגהות מימוני, וכן משמע לשון הטור), וכן נראה לי עיקר</w:t>
      </w:r>
      <w:r w:rsidRPr="00E01E39">
        <w:t xml:space="preserve">, </w:t>
      </w:r>
      <w:r w:rsidRPr="00E01E39">
        <w:rPr>
          <w:rtl/>
        </w:rPr>
        <w:t>ואומרים: פלונית מרדה על בעלה. ואחר ההכרזה שולחין לה בית דין פעם שנית: אם את עומדת במרדך הפסדת כתובתיך, אם עמדה במרדה ולא חזרה, נמלכין בה ותאבד כתובתה, ולא יהיה לה כתובה כלל; ואין נותנים לה גט עד שנים עשר חודש; ואין לה מזונות כל שנים עשר חדש</w:t>
      </w:r>
      <w:r w:rsidRPr="00E01E39">
        <w:t>, </w:t>
      </w:r>
      <w:r w:rsidRPr="00E01E39">
        <w:rPr>
          <w:rFonts w:hint="cs"/>
          <w:rtl/>
        </w:rPr>
        <w:t>ואפילו היא מעוברת (בית יוסף בשם תשובת הרשב"א); ומעשה ידיה שלה, אבל נוטל פירות (טור)</w:t>
      </w:r>
      <w:r w:rsidRPr="00E01E39">
        <w:t>.</w:t>
      </w:r>
    </w:p>
    <w:p w14:paraId="1049E75C" w14:textId="77777777" w:rsidR="00E01E39" w:rsidRPr="00E01E39" w:rsidRDefault="00E01E39" w:rsidP="00E01E39">
      <w:pPr>
        <w:pStyle w:val="Style1"/>
      </w:pPr>
      <w:r w:rsidRPr="00E01E39">
        <w:rPr>
          <w:rtl/>
        </w:rPr>
        <w:t>ואם מתה קודם הגט, בעלה יורשה </w:t>
      </w:r>
      <w:r w:rsidRPr="00E01E39">
        <w:rPr>
          <w:rFonts w:hint="cs"/>
          <w:rtl/>
        </w:rPr>
        <w:t>וחייב בפדיונה וקבורתה (טור). ולאחר שנים עשר חודש אין לבעל עליה כלום, וכן היא עליו; מאחר שאבדה הכתובה, אין לה כל תנאי כתובה, מאחר שיוכל לגרשה בלא כתובה והוא מעכבה מרצונו (דברי הרב וכן משמע במהרי"ן סימן כ')</w:t>
      </w:r>
      <w:r w:rsidRPr="00E01E39">
        <w:t xml:space="preserve">. </w:t>
      </w:r>
      <w:r w:rsidRPr="00E01E39">
        <w:rPr>
          <w:rtl/>
        </w:rPr>
        <w:t>כסדר הזה עושין לה, אם מרדה כדי לצערו</w:t>
      </w:r>
      <w:r w:rsidRPr="00E01E39">
        <w:t>.</w:t>
      </w:r>
    </w:p>
    <w:p w14:paraId="7E3D64E6" w14:textId="77777777" w:rsidR="00E01E39" w:rsidRPr="00E01E39" w:rsidRDefault="00E01E39" w:rsidP="00E01E39">
      <w:pPr>
        <w:pStyle w:val="Style1"/>
      </w:pPr>
      <w:r w:rsidRPr="00E01E39">
        <w:rPr>
          <w:rFonts w:hint="cs"/>
          <w:rtl/>
        </w:rPr>
        <w:t xml:space="preserve">ולאחר שנים עשר חודש לא מהני חזרתה, אלא איבדה כתובתה, ואם רוצה לקיימה, צריך לכתוב לה כתובה אחרת. אבל תוך שנים עשר חודש יכולה לחזור בה, ויש לה כתובה. ואם מת תוך שנים עשר חודש, יש לה כתובה מן היורשים (כל זה בהר"ן פרק אף על פי). ואם רוצה לגרשה תוך שנים עשר חדש נותן לה צאן ברזל שלה, וכתובתה וכל מה שכתב לה (בית יוסף בשם תשובת הרשב"א). ויש אומרים דבזמן הזה שאין נושאין שתי נשים, לא משהינן לה שנים עשר חדש אם רוצה לגרשה, ואם אינה רוצה, מתירין לו לישא אחרת (מרדכי סוף אף על פי בשם ראב"ן). ויש חולקין שאין להתיר לו לישא אחרת (שם בהגהת ותשובת הרשב"א סימן תת"ס ומהרי"ק שרש ס"ג), וכן עיקר. ודווקא בנשואה, אבל ארוסה המורדת על בעלה ואינה רוצה להיכנס לו, יגרשנה בעל כרחה, או ישא אחרת, ומתירין לו (שם). ונראה לי, דווקא תוך שנים עשר חודש, אבל לאחר שנים עשר חדש אם הוא רוצה </w:t>
      </w:r>
      <w:r w:rsidRPr="00E01E39">
        <w:rPr>
          <w:rFonts w:hint="cs"/>
          <w:rtl/>
        </w:rPr>
        <w:lastRenderedPageBreak/>
        <w:t>לגרש צריכה לקבל ממנו בעל כרחה, או מתירין לו לישא אחרת, דאין כח ביד האשה לעגנו לעולם, וכן נראה לי (להורות). ויש אומרים דאפילו תוך שנים עשר חודש אם עבר ונשא אחרת מחמת מרידתה, אין כופין לגרש (מהרי"ק שרש כ"ט)</w:t>
      </w:r>
      <w:r w:rsidRPr="00E01E39">
        <w:t>.</w:t>
      </w:r>
    </w:p>
    <w:p w14:paraId="1454B967" w14:textId="77777777" w:rsidR="00E01E39" w:rsidRPr="00E01E39" w:rsidRDefault="00E01E39" w:rsidP="00E01E39">
      <w:pPr>
        <w:pStyle w:val="Style1"/>
      </w:pPr>
      <w:r w:rsidRPr="00E01E39">
        <w:rPr>
          <w:rtl/>
        </w:rPr>
        <w:t>ואפילו היתה נדה או חולה שאינה ראויה לתשמיש. ואין חילוק בין התחילה למרוד קודם חליה או אחר כך (הר"ן פרק אף על פי, וכן משמע במרדכי בשם ראבי"ה והגהות אלפסי), ויש חולקין (שם בשם מוהר"ם)</w:t>
      </w:r>
      <w:r w:rsidRPr="00E01E39">
        <w:t>.</w:t>
      </w:r>
    </w:p>
    <w:p w14:paraId="115962FC" w14:textId="0C8F5484" w:rsidR="00E01E39" w:rsidRDefault="00E01E39" w:rsidP="00E01E39">
      <w:pPr>
        <w:pStyle w:val="Style1"/>
        <w:rPr>
          <w:rtl/>
        </w:rPr>
      </w:pPr>
      <w:r w:rsidRPr="00E01E39">
        <w:rPr>
          <w:rtl/>
        </w:rPr>
        <w:t>ואפילו היה בעלה מלח שעונתו לשישה חדשים, ואפילו יש לו אשה אחרת. וכן ארוסה שהגיע זמנה לינשא, ומרדה כדי לצערו ולא נישאת, הרי זו מורדת מתשמיש. ויש אומרים שגם יבמה שלא רצתה להתייבם כדי לצערו, כסדר הזה עושין לה</w:t>
      </w:r>
      <w:r w:rsidRPr="00E01E39">
        <w:t>:</w:t>
      </w:r>
    </w:p>
    <w:p w14:paraId="71A9F589" w14:textId="31A30860" w:rsidR="000B6BD8" w:rsidRDefault="000B6BD8" w:rsidP="000B6BD8">
      <w:pPr>
        <w:pStyle w:val="Style1"/>
        <w:rPr>
          <w:rtl/>
        </w:rPr>
      </w:pPr>
      <w:r>
        <w:rPr>
          <w:rFonts w:hint="cs"/>
          <w:rtl/>
        </w:rPr>
        <w:t>5)[</w:t>
      </w:r>
      <w:r>
        <w:rPr>
          <w:rtl/>
        </w:rPr>
        <w:t>שולחן ערוך אבן העזר הלכות כתובות סימן צו סעיף ז</w:t>
      </w:r>
      <w:r>
        <w:rPr>
          <w:rFonts w:hint="cs"/>
          <w:rtl/>
        </w:rPr>
        <w:t>] פ</w:t>
      </w:r>
      <w:r>
        <w:rPr>
          <w:rtl/>
        </w:rPr>
        <w:t>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w:t>
      </w:r>
    </w:p>
    <w:p w14:paraId="56850FF6" w14:textId="52039EBA" w:rsidR="000001C9" w:rsidRDefault="000001C9" w:rsidP="000001C9">
      <w:pPr>
        <w:pStyle w:val="Style1"/>
        <w:rPr>
          <w:rtl/>
        </w:rPr>
      </w:pPr>
      <w:r>
        <w:rPr>
          <w:rFonts w:hint="cs"/>
          <w:rtl/>
        </w:rPr>
        <w:t>6)[</w:t>
      </w:r>
      <w:r>
        <w:rPr>
          <w:rtl/>
        </w:rPr>
        <w:t>רמב</w:t>
      </w:r>
      <w:r w:rsidR="00213DA1">
        <w:rPr>
          <w:rtl/>
        </w:rPr>
        <w:t>”ם \נשים\</w:t>
      </w:r>
      <w:r>
        <w:rPr>
          <w:rtl/>
        </w:rPr>
        <w:t xml:space="preserve"> הלכות אישות פרק כד הלכה טז</w:t>
      </w:r>
      <w:r>
        <w:rPr>
          <w:rFonts w:hint="cs"/>
          <w:rtl/>
        </w:rPr>
        <w:t xml:space="preserve">] </w:t>
      </w:r>
      <w:r>
        <w:rPr>
          <w:rtl/>
        </w:rPr>
        <w:t>עוברת על דת משה או על דת יהודית וכן זו שעשת דבר מכוער אין כופין את הבעל להוציא אלא אם רצה לא יוציא, ואף על פי שלא הוציא אין להן כתובה, שהכתובה תקנת חכמים היא כדי שלא תהא קלה בעיניו להוציאה ולא הקפידו אלא על בנות ישראל הצנועות אבל אלו הפרוצות אין להן תקנה זו אלא תהא קלה בעיניו להוציאה.</w:t>
      </w:r>
    </w:p>
    <w:p w14:paraId="7BD3F0D3" w14:textId="74DD2E59" w:rsidR="00EF7A92" w:rsidRPr="00EF7A92" w:rsidRDefault="00557952" w:rsidP="00EF7A92">
      <w:pPr>
        <w:pStyle w:val="Style1"/>
      </w:pPr>
      <w:r>
        <w:rPr>
          <w:rFonts w:hint="cs"/>
          <w:rtl/>
        </w:rPr>
        <w:t>6)[</w:t>
      </w:r>
      <w:r>
        <w:rPr>
          <w:rtl/>
        </w:rPr>
        <w:t>שולחן ערוך אבן העזר הלכות כתובות סימן קטו סעיף ד</w:t>
      </w:r>
      <w:r>
        <w:rPr>
          <w:rFonts w:hint="cs"/>
          <w:rtl/>
        </w:rPr>
        <w:t>]</w:t>
      </w:r>
      <w:r w:rsidR="00EF7A92">
        <w:rPr>
          <w:rFonts w:hint="cs"/>
          <w:rtl/>
        </w:rPr>
        <w:t xml:space="preserve"> </w:t>
      </w:r>
      <w:r w:rsidR="00EF7A92" w:rsidRPr="00EF7A92">
        <w:rPr>
          <w:rtl/>
        </w:rPr>
        <w:t>איזו היא דת יהודית, הוא מנהג הצניעות שנהגו בנות ישראל. ואלו הם הדברים שאם עשתה אחת מהם עברה על דת יהודית: יוצאת לשוק או למבוי מפלש או בחצר שהרבים בוקעים בו וראשה פרוע ואין עליה רדיד ככל הנשים, אף על פי ששערה מכסה במטפחת; או שהיתה טווה בשוק וורד וכיוצא בו כנגד פניה על פדחתה או לחיה, כדרך שעושות הגויות הפרוצות; או שטווה בשוק ומראה זרועותיה לבני אדם</w:t>
      </w:r>
      <w:r w:rsidR="00EF7A92" w:rsidRPr="00EF7A92">
        <w:t>, </w:t>
      </w:r>
      <w:r w:rsidR="00EF7A92" w:rsidRPr="00EF7A92">
        <w:rPr>
          <w:rFonts w:hint="cs"/>
          <w:rtl/>
        </w:rPr>
        <w:t>ורגילה בכך (רשב"א סימן תקע"א)</w:t>
      </w:r>
      <w:r w:rsidR="00EF7A92" w:rsidRPr="00EF7A92">
        <w:t xml:space="preserve">; </w:t>
      </w:r>
      <w:r w:rsidR="00EF7A92" w:rsidRPr="00EF7A92">
        <w:rPr>
          <w:rtl/>
        </w:rPr>
        <w:t>או שהיתה משחקת עם הבחורים; או שהיתה תובעת התשמיש בקול רם מבעלה עד ששכנותיה שומעות אותה מדברת על עסקי תשמיש; או שהיתה מקללת אבי בעלה בפני בעלה</w:t>
      </w:r>
      <w:r w:rsidR="00EF7A92" w:rsidRPr="00EF7A92">
        <w:t>, </w:t>
      </w:r>
      <w:r w:rsidR="00EF7A92" w:rsidRPr="00EF7A92">
        <w:rPr>
          <w:rFonts w:hint="cs"/>
          <w:rtl/>
        </w:rPr>
        <w:t>ויש אומרים דהוא הדין אם קללה אפלו אבי בעלה בפני עצמו (וכן משמע מפרש"י בגמרא הביאו הבית יוסף), ועין לקמן </w:t>
      </w:r>
      <w:hyperlink r:id="rId107" w:tooltip="שולחן ערוך אבן העזר קנד" w:history="1">
        <w:r w:rsidR="00EF7A92" w:rsidRPr="00EF7A92">
          <w:rPr>
            <w:rStyle w:val="Hyperlink"/>
            <w:rFonts w:hint="cs"/>
            <w:color w:val="7030A0"/>
            <w:u w:val="none"/>
            <w:rtl/>
          </w:rPr>
          <w:t>סימן קנ"ד</w:t>
        </w:r>
      </w:hyperlink>
      <w:r w:rsidR="00EF7A92" w:rsidRPr="00EF7A92">
        <w:rPr>
          <w:rFonts w:hint="cs"/>
        </w:rPr>
        <w:t xml:space="preserve">, </w:t>
      </w:r>
      <w:r w:rsidR="00EF7A92" w:rsidRPr="00EF7A92">
        <w:rPr>
          <w:rFonts w:hint="cs"/>
          <w:rtl/>
        </w:rPr>
        <w:t>הוא הדין המקללת בעלה בפניו (הרמב"ן סימן ק"ב)</w:t>
      </w:r>
      <w:r w:rsidR="00EF7A92" w:rsidRPr="00EF7A92">
        <w:t>;</w:t>
      </w:r>
    </w:p>
    <w:p w14:paraId="0CCAC8A4" w14:textId="77777777" w:rsidR="00EF7A92" w:rsidRPr="00EF7A92" w:rsidRDefault="00EF7A92" w:rsidP="00EF7A92">
      <w:pPr>
        <w:pStyle w:val="Style1"/>
      </w:pPr>
      <w:r w:rsidRPr="00EF7A92">
        <w:rPr>
          <w:rtl/>
        </w:rPr>
        <w:t>בכל אחד מאלו תצא בלא כתבה, אם יש עדים שהתרה בה תחלה ועברה על התראתו. ואם אין עדים, תשבע שהוא כדבריה. ואם רצה לקים אותה אחר כך, אין כופין אותו להוציאה, מכל מקום מצוה עליו שיוציאנה</w:t>
      </w:r>
      <w:r w:rsidRPr="00EF7A92">
        <w:t>.</w:t>
      </w:r>
    </w:p>
    <w:p w14:paraId="5A7FE3F7" w14:textId="522115F2" w:rsidR="00EF7A92" w:rsidRDefault="00EF7A92" w:rsidP="00EF7A92">
      <w:pPr>
        <w:pStyle w:val="Style1"/>
        <w:rPr>
          <w:rtl/>
        </w:rPr>
      </w:pPr>
      <w:r w:rsidRPr="00EF7A92">
        <w:rPr>
          <w:rFonts w:hint="cs"/>
          <w:rtl/>
        </w:rPr>
        <w:t>הגה: ואינה יכולה לעכב על ידו שלא יגרשנה, ויכול לגרשה בעל כרחה, ואין בזה משום חרם רבנו גרשם (תשובת מור"ם בהגהות מרדכי דיבמות וכן הוא ברשב"א סימן תקנ"ז). ואשה שגזמה לבעלה שרצונה להשכיר עליו כותים להרגו אם יעשה לה דבר, מקרי עוברת על דת (הגהות מימוני פרק כ"ד). אשה הרגילה להתיחד עם כותים, נקראת עוברת על דת</w:t>
      </w:r>
      <w:r w:rsidRPr="00EF7A92">
        <w:rPr>
          <w:rFonts w:hint="cs"/>
        </w:rPr>
        <w:t xml:space="preserve"> (</w:t>
      </w:r>
      <w:hyperlink r:id="rId108" w:tooltip="תרומת הדשן/א/רמב" w:history="1">
        <w:r w:rsidRPr="00EF7A92">
          <w:rPr>
            <w:rStyle w:val="Hyperlink"/>
            <w:rFonts w:hint="cs"/>
            <w:color w:val="7030A0"/>
            <w:u w:val="none"/>
            <w:rtl/>
          </w:rPr>
          <w:t>תרומת הדשן סימן רמ"ב</w:t>
        </w:r>
      </w:hyperlink>
      <w:r w:rsidRPr="00EF7A92">
        <w:rPr>
          <w:rFonts w:hint="cs"/>
        </w:rPr>
        <w:t>)</w:t>
      </w:r>
      <w:r w:rsidRPr="00EF7A92">
        <w:t>:</w:t>
      </w:r>
    </w:p>
    <w:p w14:paraId="586A8851" w14:textId="791D3F11" w:rsidR="008442B6" w:rsidRPr="008442B6" w:rsidRDefault="003F26C7" w:rsidP="008442B6">
      <w:pPr>
        <w:pStyle w:val="Style1"/>
      </w:pPr>
      <w:r>
        <w:rPr>
          <w:rFonts w:hint="cs"/>
          <w:rtl/>
        </w:rPr>
        <w:t>6)[</w:t>
      </w:r>
      <w:r>
        <w:rPr>
          <w:rtl/>
        </w:rPr>
        <w:t>שולחן ערוך אבן העזר הלכות כתובות סימן קטו סעיף ה</w:t>
      </w:r>
      <w:r>
        <w:rPr>
          <w:rFonts w:hint="cs"/>
          <w:rtl/>
        </w:rPr>
        <w:t>]</w:t>
      </w:r>
      <w:r w:rsidR="008442B6">
        <w:rPr>
          <w:rFonts w:hint="cs"/>
          <w:rtl/>
        </w:rPr>
        <w:t xml:space="preserve"> </w:t>
      </w:r>
      <w:r w:rsidR="008442B6" w:rsidRPr="008442B6">
        <w:rPr>
          <w:rtl/>
        </w:rPr>
        <w:t>כל אלו אין להם לא עקר כתבה ולא תנאי כתבה ולא תוספת, אבל תטל מה שהכניסה לו והוא בעין, בין מנכסי צאן ברזל בין מנכסי מלוג. ואם כלה או נגנב או נאבד, אין מוציאין ממנו. וכן הדין במי שזנתה או שיוצאת משום שם רע, שאבדה עקר כתבה ותוספת, ונוטלת מה שהוא בעין מכל מה שהכניסה. וכן הדין בכל אותם ששנינו בהן תצא מזה ומזה</w:t>
      </w:r>
      <w:r w:rsidR="008442B6" w:rsidRPr="008442B6">
        <w:t>:</w:t>
      </w:r>
    </w:p>
    <w:p w14:paraId="5A53BBFB" w14:textId="2E5F9E25" w:rsidR="003F26C7" w:rsidRPr="00EF7A92" w:rsidRDefault="003F26C7" w:rsidP="003F26C7">
      <w:pPr>
        <w:pStyle w:val="Style1"/>
      </w:pPr>
    </w:p>
    <w:p w14:paraId="01828A77" w14:textId="77777777" w:rsidR="00EF7A92" w:rsidRPr="00EF7A92" w:rsidRDefault="00EF7A92" w:rsidP="00EF7A92">
      <w:pPr>
        <w:pStyle w:val="Style1"/>
      </w:pPr>
    </w:p>
    <w:p w14:paraId="1F99DE01" w14:textId="73148D4E" w:rsidR="00557952" w:rsidRPr="00EF7A92" w:rsidRDefault="00557952" w:rsidP="00EF7A92">
      <w:pPr>
        <w:pStyle w:val="Style1"/>
      </w:pPr>
    </w:p>
    <w:p w14:paraId="08FBE02E" w14:textId="66561B4A" w:rsidR="000A41DC" w:rsidRPr="00E01E39" w:rsidRDefault="000A41DC" w:rsidP="00E01E39">
      <w:pPr>
        <w:pStyle w:val="Style1"/>
      </w:pPr>
    </w:p>
    <w:p w14:paraId="61CCAADA" w14:textId="77777777" w:rsidR="002C4635" w:rsidRPr="00E01E39" w:rsidRDefault="002C4635" w:rsidP="00E01E39">
      <w:pPr>
        <w:pStyle w:val="Style1"/>
        <w:rPr>
          <w:rStyle w:val="Style1Char"/>
          <w:rtl/>
        </w:rPr>
      </w:pPr>
    </w:p>
    <w:p w14:paraId="03C36576" w14:textId="77777777" w:rsidR="002C4635" w:rsidRPr="00E01E39" w:rsidRDefault="002C4635" w:rsidP="00E01E39">
      <w:pPr>
        <w:pStyle w:val="Style1"/>
        <w:rPr>
          <w:rStyle w:val="Style1Char"/>
          <w:rtl/>
        </w:rPr>
      </w:pPr>
    </w:p>
    <w:p w14:paraId="7A18016F" w14:textId="77777777" w:rsidR="002C4635" w:rsidRDefault="002C4635" w:rsidP="002C4635">
      <w:pPr>
        <w:rPr>
          <w:rStyle w:val="Style1Char"/>
          <w:color w:val="00B050"/>
          <w:rtl/>
        </w:rPr>
      </w:pPr>
      <w:r>
        <w:rPr>
          <w:rStyle w:val="Style1Char"/>
          <w:color w:val="00B050"/>
          <w:rtl/>
        </w:rPr>
        <w:br w:type="page"/>
      </w:r>
    </w:p>
    <w:p w14:paraId="05FBE78E" w14:textId="0980800D" w:rsidR="002C4635" w:rsidRPr="00F24BFA" w:rsidRDefault="002C4635" w:rsidP="002C4635">
      <w:pPr>
        <w:bidi/>
        <w:rPr>
          <w:rStyle w:val="Style1Char"/>
          <w:color w:val="4472C4" w:themeColor="accent1"/>
        </w:rPr>
      </w:pPr>
      <w:r w:rsidRPr="003859A9">
        <w:rPr>
          <w:rStyle w:val="Style1Char"/>
          <w:color w:val="auto"/>
          <w:sz w:val="22"/>
          <w:szCs w:val="22"/>
          <w:highlight w:val="yellow"/>
          <w:rtl/>
        </w:rPr>
        <w:lastRenderedPageBreak/>
        <w:t>[דף נה עמוד א]</w:t>
      </w:r>
      <w:r w:rsidRPr="003859A9">
        <w:rPr>
          <w:rStyle w:val="Style1Char"/>
          <w:color w:val="auto"/>
          <w:sz w:val="22"/>
          <w:szCs w:val="22"/>
          <w:rtl/>
        </w:rPr>
        <w:t xml:space="preserve"> </w:t>
      </w:r>
      <w:r w:rsidR="007D7AC5">
        <w:rPr>
          <w:rStyle w:val="Style1Char"/>
          <w:rFonts w:hint="cs"/>
          <w:rtl/>
        </w:rPr>
        <w:t>(1)</w:t>
      </w:r>
      <w:r w:rsidRPr="003859A9">
        <w:rPr>
          <w:rStyle w:val="Style1Char"/>
          <w:color w:val="auto"/>
          <w:sz w:val="22"/>
          <w:szCs w:val="22"/>
          <w:rtl/>
        </w:rPr>
        <w:t xml:space="preserve">לשבח, </w:t>
      </w:r>
      <w:r w:rsidR="00654D64">
        <w:rPr>
          <w:rStyle w:val="Style1Char"/>
          <w:rFonts w:hint="cs"/>
          <w:rtl/>
        </w:rPr>
        <w:t>(</w:t>
      </w:r>
      <w:r w:rsidR="001649AD">
        <w:rPr>
          <w:rStyle w:val="Style1Char"/>
          <w:rFonts w:hint="cs"/>
          <w:rtl/>
        </w:rPr>
        <w:t>2</w:t>
      </w:r>
      <w:r w:rsidR="00654D64">
        <w:rPr>
          <w:rStyle w:val="Style1Char"/>
          <w:rFonts w:hint="cs"/>
          <w:rtl/>
        </w:rPr>
        <w:t>)</w:t>
      </w:r>
      <w:r w:rsidRPr="003859A9">
        <w:rPr>
          <w:rStyle w:val="Style1Char"/>
          <w:color w:val="auto"/>
          <w:sz w:val="22"/>
          <w:szCs w:val="22"/>
          <w:rtl/>
        </w:rPr>
        <w:t xml:space="preserve">לשבועה, </w:t>
      </w:r>
      <w:r w:rsidR="00654D64">
        <w:rPr>
          <w:rStyle w:val="Style1Char"/>
          <w:rFonts w:hint="cs"/>
          <w:rtl/>
        </w:rPr>
        <w:t>(</w:t>
      </w:r>
      <w:r w:rsidR="001649AD">
        <w:rPr>
          <w:rStyle w:val="Style1Char"/>
          <w:rFonts w:hint="cs"/>
          <w:rtl/>
        </w:rPr>
        <w:t>3</w:t>
      </w:r>
      <w:r w:rsidR="00654D64">
        <w:rPr>
          <w:rStyle w:val="Style1Char"/>
          <w:rFonts w:hint="cs"/>
          <w:rtl/>
        </w:rPr>
        <w:t>)</w:t>
      </w:r>
      <w:r w:rsidRPr="003859A9">
        <w:rPr>
          <w:rStyle w:val="Style1Char"/>
          <w:color w:val="auto"/>
          <w:sz w:val="22"/>
          <w:szCs w:val="22"/>
          <w:rtl/>
        </w:rPr>
        <w:t xml:space="preserve">ולשביעית, </w:t>
      </w:r>
      <w:r w:rsidR="00654D64">
        <w:rPr>
          <w:rStyle w:val="Style1Char"/>
          <w:rFonts w:hint="cs"/>
          <w:rtl/>
        </w:rPr>
        <w:t>(</w:t>
      </w:r>
      <w:r w:rsidR="001649AD">
        <w:rPr>
          <w:rStyle w:val="Style1Char"/>
          <w:rFonts w:hint="cs"/>
          <w:rtl/>
        </w:rPr>
        <w:t>4</w:t>
      </w:r>
      <w:r w:rsidR="00654D64">
        <w:rPr>
          <w:rStyle w:val="Style1Char"/>
          <w:rFonts w:hint="cs"/>
          <w:rtl/>
        </w:rPr>
        <w:t>)</w:t>
      </w:r>
      <w:r w:rsidRPr="003859A9">
        <w:rPr>
          <w:rStyle w:val="Style1Char"/>
          <w:color w:val="auto"/>
          <w:sz w:val="22"/>
          <w:szCs w:val="22"/>
          <w:rtl/>
        </w:rPr>
        <w:t xml:space="preserve">ולכותב כל נכסיו לבניו, לגבות מן הקרקע </w:t>
      </w:r>
      <w:r w:rsidR="00857B8E">
        <w:rPr>
          <w:rStyle w:val="Style1Char"/>
          <w:rFonts w:hint="cs"/>
          <w:rtl/>
        </w:rPr>
        <w:t>(</w:t>
      </w:r>
      <w:r w:rsidR="001649AD">
        <w:rPr>
          <w:rStyle w:val="Style1Char"/>
          <w:rFonts w:hint="cs"/>
          <w:rtl/>
        </w:rPr>
        <w:t>5</w:t>
      </w:r>
      <w:r w:rsidR="00857B8E">
        <w:rPr>
          <w:rStyle w:val="Style1Char"/>
          <w:rFonts w:hint="cs"/>
          <w:rtl/>
        </w:rPr>
        <w:t>)</w:t>
      </w:r>
      <w:r w:rsidRPr="003859A9">
        <w:rPr>
          <w:rStyle w:val="Style1Char"/>
          <w:color w:val="auto"/>
          <w:sz w:val="22"/>
          <w:szCs w:val="22"/>
          <w:rtl/>
        </w:rPr>
        <w:t xml:space="preserve">ומן הזיבורית, </w:t>
      </w:r>
      <w:r w:rsidR="001649AD">
        <w:rPr>
          <w:rStyle w:val="Style1Char"/>
          <w:rFonts w:hint="cs"/>
          <w:rtl/>
        </w:rPr>
        <w:t>(6)</w:t>
      </w:r>
      <w:r w:rsidRPr="003859A9">
        <w:rPr>
          <w:rStyle w:val="Style1Char"/>
          <w:color w:val="auto"/>
          <w:sz w:val="22"/>
          <w:szCs w:val="22"/>
          <w:rtl/>
        </w:rPr>
        <w:t>וכל זמן שהיא בבית אביה</w:t>
      </w:r>
      <w:r w:rsidRPr="003859A9">
        <w:rPr>
          <w:rStyle w:val="Style1Char"/>
          <w:color w:val="auto"/>
          <w:rtl/>
        </w:rPr>
        <w:t xml:space="preserve"> </w:t>
      </w:r>
      <w:r w:rsidRPr="0037291D">
        <w:rPr>
          <w:rStyle w:val="Style1Char"/>
          <w:color w:val="C00000"/>
          <w:sz w:val="22"/>
          <w:szCs w:val="22"/>
          <w:rtl/>
        </w:rPr>
        <w:t>גובה כתובתה לעולם</w:t>
      </w:r>
      <w:r w:rsidRPr="0037291D">
        <w:rPr>
          <w:rStyle w:val="Style1Char"/>
          <w:sz w:val="22"/>
          <w:szCs w:val="22"/>
          <w:rtl/>
        </w:rPr>
        <w:t xml:space="preserve">, </w:t>
      </w:r>
      <w:r w:rsidR="00857B8E">
        <w:rPr>
          <w:rStyle w:val="Style1Char"/>
          <w:rFonts w:hint="cs"/>
          <w:rtl/>
        </w:rPr>
        <w:t>(</w:t>
      </w:r>
      <w:r w:rsidR="001649AD">
        <w:rPr>
          <w:rStyle w:val="Style1Char"/>
          <w:rFonts w:hint="cs"/>
          <w:rtl/>
        </w:rPr>
        <w:t>7</w:t>
      </w:r>
      <w:r w:rsidR="00857B8E">
        <w:rPr>
          <w:rStyle w:val="Style1Char"/>
          <w:rFonts w:hint="cs"/>
          <w:rtl/>
        </w:rPr>
        <w:t>)</w:t>
      </w:r>
      <w:r w:rsidRPr="000A4C4F">
        <w:rPr>
          <w:rStyle w:val="Style1Char"/>
          <w:color w:val="auto"/>
          <w:sz w:val="22"/>
          <w:szCs w:val="22"/>
          <w:rtl/>
        </w:rPr>
        <w:t>ולכתובת בנין דכרין</w:t>
      </w:r>
      <w:r w:rsidRPr="000A4C4F">
        <w:rPr>
          <w:rStyle w:val="Style1Char"/>
          <w:color w:val="auto"/>
          <w:rtl/>
        </w:rPr>
        <w:t xml:space="preserve"> </w:t>
      </w:r>
      <w:r w:rsidRPr="00F24BFA">
        <w:rPr>
          <w:rStyle w:val="Style1Char"/>
          <w:color w:val="4472C4" w:themeColor="accent1"/>
          <w:rtl/>
        </w:rPr>
        <w:t>תנאי כתובה ככתובה דמי פרש"י תוספת שהוא נותן לה וכן מזונות וכל הנך דתנן בפירקין לעיל (דף נב) ולא היה לו להזכיר הני דבפ' דלעיל דאמר ר"י למנ"מ למוכרת ואמרי' בפרקא דלעיל (דף נג א) מכרה כתובתה יש לה כתובה בנין דיכרין הלכך אין להזכיר כאן אלא תוספת כתובתה ונדוניא נמי דמיקריא כתובה כדאמר לעיל (דף מז א) קבורתה תחת כתובתה אין דינו ככתובתה וכל הנ"מ דאמרי' לקמן (דף קא ב) אם היא זינתה נכסים מי זינו ועוברת על דת יש לה נדוניא ואין לה כתובה וגם יש דברים שתוספת כתובתה אינם ככתובה כגון אלמנה לכ"ג וגרושה וחלוצה לכהן הדיוט וממזרת ונתינה לישראל אין להן כתובה ויש להן תוספת ולהכי פרט כל הדינין ולא אמר בסתם תנאי כתובה ככתובה</w:t>
      </w:r>
      <w:r w:rsidRPr="00F24BFA">
        <w:rPr>
          <w:rStyle w:val="Style1Char"/>
          <w:color w:val="4472C4" w:themeColor="accent1"/>
        </w:rPr>
        <w:t>:</w:t>
      </w:r>
    </w:p>
    <w:p w14:paraId="2BEED92D" w14:textId="77777777" w:rsidR="002C4635" w:rsidRDefault="002C4635" w:rsidP="002C4635">
      <w:pPr>
        <w:bidi/>
        <w:rPr>
          <w:rStyle w:val="Style1Char"/>
          <w:color w:val="C00000"/>
          <w:rtl/>
        </w:rPr>
      </w:pPr>
      <w:r w:rsidRPr="0056797E">
        <w:rPr>
          <w:rStyle w:val="Style1Char"/>
          <w:color w:val="806000" w:themeColor="accent4" w:themeShade="80"/>
          <w:rtl/>
        </w:rPr>
        <w:t>למוכרת כיצד מכרה כתובתה לבעלה או לאחר אינה יכולה לומר עיקר כתובה מכרתי ותוספת לא מכרתי אלא אף התוספת מכרה. למוחלת שאם מחלה כתובתה מחלה אף התוספת. מורדת ועוברת על דת אבדו כתובתן והתוספת. והפוגמת כתובתה נשבעת בין על הכתובה בין על התוספת.</w:t>
      </w:r>
      <w:r w:rsidRPr="00EE5379">
        <w:rPr>
          <w:rStyle w:val="Style1Char"/>
          <w:color w:val="4472C4" w:themeColor="accent1"/>
          <w:rtl/>
        </w:rPr>
        <w:t xml:space="preserve"> </w:t>
      </w:r>
      <w:r w:rsidRPr="00F24BFA">
        <w:rPr>
          <w:rStyle w:val="Style1Char"/>
          <w:color w:val="4472C4" w:themeColor="accent1"/>
          <w:rtl/>
        </w:rPr>
        <w:t>ואפי' הכתובה בשטר אחד והתוס' בשטר אחר דאי שניהם בשטר אחד אפילו לא הוי תוספת כתובה ככתובה כך הדין בכל השטרות הפוגם שטרו לא יפרע אלא בשבועה. ולתובעת ל"ש תובעת כתובתה בב"ד ול"ש תובעת תוספת אין לה מזונות כך פירשו רב אלפס ורש"י ז"ל ולא נהירא דקי"ל כרבנן בפ' אלמנה (דף צז ב) דאמרה מכרה או משכנה או נתנה מקצתה יש לה מזונות הלכך נראה לפרש שאם תבעה מנה או מאתים ושיירה תוספת כאילו לא תבעה אלא מקצת מנה או מאתים וניזונת בשביל התוספת</w:t>
      </w:r>
      <w:r>
        <w:rPr>
          <w:rStyle w:val="Style1Char"/>
          <w:rFonts w:hint="cs"/>
          <w:color w:val="4472C4" w:themeColor="accent1"/>
          <w:rtl/>
        </w:rPr>
        <w:t xml:space="preserve"> </w:t>
      </w:r>
      <w:r w:rsidRPr="00F24BFA">
        <w:rPr>
          <w:rStyle w:val="Style1Char"/>
          <w:color w:val="4472C4" w:themeColor="accent1"/>
          <w:rtl/>
        </w:rPr>
        <w:t>א"נ אם תבעה כתובתה בסתם התוספת בכלל ואבדה מזונותיה</w:t>
      </w:r>
    </w:p>
    <w:p w14:paraId="050E5BBB" w14:textId="77777777" w:rsidR="002C4635" w:rsidRDefault="002C4635" w:rsidP="002C4635">
      <w:pPr>
        <w:bidi/>
        <w:rPr>
          <w:rStyle w:val="Style1Char"/>
          <w:color w:val="C00000"/>
        </w:rPr>
      </w:pPr>
      <w:r w:rsidRPr="00D12A6B">
        <w:rPr>
          <w:rStyle w:val="Style1Char"/>
          <w:color w:val="806000" w:themeColor="accent4" w:themeShade="80"/>
          <w:rtl/>
        </w:rPr>
        <w:t xml:space="preserve"> לשבח </w:t>
      </w:r>
      <w:r w:rsidRPr="00181F0E">
        <w:rPr>
          <w:rStyle w:val="Style1Char"/>
          <w:color w:val="C00000"/>
          <w:rtl/>
        </w:rPr>
        <w:t xml:space="preserve">שאם הוסיף לה קרקע או בהמה או עבדים והשביחו כשם ששבח כתובה לבעל כך [שבח] תוספת לבעל פירוש אחר </w:t>
      </w:r>
      <w:r w:rsidRPr="00D12A6B">
        <w:rPr>
          <w:rStyle w:val="Style1Char"/>
          <w:color w:val="806000" w:themeColor="accent4" w:themeShade="80"/>
          <w:rtl/>
        </w:rPr>
        <w:t xml:space="preserve">אין האשה גובה מן השבח </w:t>
      </w:r>
      <w:r w:rsidRPr="00F24BFA">
        <w:rPr>
          <w:rStyle w:val="Style1Char"/>
          <w:color w:val="4472C4" w:themeColor="accent1"/>
          <w:rtl/>
        </w:rPr>
        <w:t>שהשביחו בנכסי אביהם</w:t>
      </w:r>
      <w:r>
        <w:rPr>
          <w:rStyle w:val="Style1Char"/>
          <w:rFonts w:hint="cs"/>
          <w:color w:val="4472C4" w:themeColor="accent1"/>
        </w:rPr>
        <w:t>‍‍</w:t>
      </w:r>
      <w:r w:rsidRPr="00F24BFA">
        <w:rPr>
          <w:rStyle w:val="Style1Char"/>
          <w:color w:val="4472C4" w:themeColor="accent1"/>
          <w:rtl/>
        </w:rPr>
        <w:t xml:space="preserve">. </w:t>
      </w:r>
      <w:r w:rsidRPr="00181F0E">
        <w:rPr>
          <w:rStyle w:val="Style1Char"/>
          <w:color w:val="C00000"/>
          <w:rtl/>
        </w:rPr>
        <w:t>לא כתובה ולא תוספת דגרסינן פ' יש בכור לנחלה [בכורות נ"ב ע"א] הבכור אינו נוטל פי שנים בשבח ולא בראוי כבמוחזק ולא האשה בכתובתה ואקשינן והא אמר שמואל בעל חוב גובה את השבח ופרקינן מקולי כתובה שאנו כאן. תובעת לא שנא תובעת כתובתה בב"ד ולא שנא תובעת תוספת אין לה מזונות</w:t>
      </w:r>
      <w:r w:rsidRPr="00981A6E">
        <w:rPr>
          <w:rStyle w:val="Style1Char"/>
          <w:color w:val="4472C4" w:themeColor="accent1"/>
          <w:rtl/>
        </w:rPr>
        <w:t xml:space="preserve"> </w:t>
      </w:r>
      <w:r w:rsidRPr="00F24BFA">
        <w:rPr>
          <w:rStyle w:val="Style1Char"/>
          <w:color w:val="4472C4" w:themeColor="accent1"/>
          <w:rtl/>
        </w:rPr>
        <w:t>אבל ב"ח גובה את השבח כדאיתא בבכורות פ' יש בכור (דף נב א)</w:t>
      </w:r>
      <w:r w:rsidRPr="00181F0E">
        <w:rPr>
          <w:rStyle w:val="Style1Char"/>
          <w:color w:val="C00000"/>
          <w:rtl/>
        </w:rPr>
        <w:t>.</w:t>
      </w:r>
    </w:p>
    <w:p w14:paraId="12E1DA3F" w14:textId="77777777" w:rsidR="002C4635" w:rsidRPr="00F24BFA" w:rsidRDefault="002C4635" w:rsidP="002C4635">
      <w:pPr>
        <w:bidi/>
        <w:rPr>
          <w:rStyle w:val="Style1Char"/>
          <w:color w:val="4472C4" w:themeColor="accent1"/>
        </w:rPr>
      </w:pPr>
      <w:r w:rsidRPr="00F24BFA">
        <w:rPr>
          <w:rStyle w:val="Style1Char"/>
          <w:color w:val="4472C4" w:themeColor="accent1"/>
          <w:rtl/>
        </w:rPr>
        <w:t>ותוספת ככתובה</w:t>
      </w:r>
      <w:r w:rsidRPr="00181F0E">
        <w:rPr>
          <w:rStyle w:val="Style1Char"/>
          <w:color w:val="C00000"/>
          <w:rtl/>
        </w:rPr>
        <w:t xml:space="preserve"> </w:t>
      </w:r>
      <w:r w:rsidRPr="00981A6E">
        <w:rPr>
          <w:rStyle w:val="Style1Char"/>
          <w:color w:val="806000" w:themeColor="accent4" w:themeShade="80"/>
          <w:rtl/>
        </w:rPr>
        <w:t>לשבועה כשם שאינה נפרעת כתובתה אלא בשבועה כך אינה נפרעת תוספת אלא בשבועה:</w:t>
      </w:r>
      <w:r w:rsidRPr="009E58E8">
        <w:rPr>
          <w:rStyle w:val="Style1Char"/>
          <w:color w:val="4472C4" w:themeColor="accent1"/>
          <w:rtl/>
        </w:rPr>
        <w:t xml:space="preserve"> </w:t>
      </w:r>
      <w:r w:rsidRPr="00F24BFA">
        <w:rPr>
          <w:rStyle w:val="Style1Char"/>
          <w:color w:val="4472C4" w:themeColor="accent1"/>
          <w:rtl/>
        </w:rPr>
        <w:t>וקשיא דא"נ לאו ככתובה דמיא כל שטרי חובות אין נפרעין מן היתומים אלא בשבועה</w:t>
      </w:r>
      <w:r w:rsidRPr="00F24BFA">
        <w:rPr>
          <w:rStyle w:val="Style1Char"/>
          <w:color w:val="4472C4" w:themeColor="accent1"/>
        </w:rPr>
        <w:t>:</w:t>
      </w:r>
    </w:p>
    <w:p w14:paraId="7D7E5709" w14:textId="77777777" w:rsidR="002C4635" w:rsidRPr="00F24BFA" w:rsidRDefault="002C4635" w:rsidP="002C4635">
      <w:pPr>
        <w:bidi/>
        <w:rPr>
          <w:rStyle w:val="Style1Char"/>
          <w:color w:val="4472C4" w:themeColor="accent1"/>
        </w:rPr>
      </w:pPr>
      <w:r w:rsidRPr="00F24BFA">
        <w:rPr>
          <w:rStyle w:val="Style1Char"/>
          <w:color w:val="4472C4" w:themeColor="accent1"/>
          <w:rtl/>
        </w:rPr>
        <w:t>וכן אם עד אחד מעיד שהיא פרועה והנפרעת שלא בפניו. ומפרש ר"ת שאם נשבעה בסתם על הכתובה התוספת בכלל ואינה צריכה לשבע שנית כשתבעה לגבות התוספת וה"ר מאיר הלוי ז"ל פירש דאם לא תוספת ככתובה לא היתה צריכה לישבע על התוספת כשנפרעת מן היתומים דלא ניתנה כתובה לגבות מחיים דבעל חוב ולא מטא זימניה בחיי הלוה גבי בלא שבועה דקי"ל כר"ל בפ' השותפין (דף ה ב) דאפילו מיתמי אמרינן חזקה אין אדם פורע בתוך זמנו וגבי כתובה הוא דתקינו רבנן שבועה משום דלא ניחא ליה שתתבזה בב"ד וחיישינן דלמא אתפסה צררי ותוספת כתובה ככתובה לעניין שבועה זו</w:t>
      </w:r>
      <w:r w:rsidRPr="00F24BFA">
        <w:rPr>
          <w:rStyle w:val="Style1Char"/>
          <w:color w:val="4472C4" w:themeColor="accent1"/>
        </w:rPr>
        <w:t>:</w:t>
      </w:r>
    </w:p>
    <w:p w14:paraId="72DDDE4A" w14:textId="77777777" w:rsidR="002C4635" w:rsidRPr="00CA5AA5" w:rsidRDefault="002C4635" w:rsidP="002C4635">
      <w:pPr>
        <w:bidi/>
        <w:rPr>
          <w:rStyle w:val="Style1Char"/>
          <w:color w:val="806000" w:themeColor="accent4" w:themeShade="80"/>
          <w:sz w:val="22"/>
          <w:szCs w:val="22"/>
          <w:rtl/>
        </w:rPr>
      </w:pPr>
      <w:r w:rsidRPr="009E58E8">
        <w:rPr>
          <w:rStyle w:val="Style1Char"/>
          <w:color w:val="806000" w:themeColor="accent4" w:themeShade="80"/>
          <w:rtl/>
        </w:rPr>
        <w:t xml:space="preserve"> לשביעית שאם פגמה </w:t>
      </w:r>
      <w:r w:rsidRPr="00F24BFA">
        <w:rPr>
          <w:rStyle w:val="Style1Char"/>
          <w:color w:val="4472C4" w:themeColor="accent1"/>
          <w:rtl/>
        </w:rPr>
        <w:t xml:space="preserve">הכתובה ולא פגמה התוספת </w:t>
      </w:r>
      <w:r w:rsidRPr="00181F0E">
        <w:rPr>
          <w:rStyle w:val="Style1Char"/>
          <w:color w:val="C00000"/>
          <w:rtl/>
        </w:rPr>
        <w:t xml:space="preserve">וזקפה </w:t>
      </w:r>
      <w:r w:rsidRPr="00FB0600">
        <w:rPr>
          <w:rStyle w:val="Style1Char"/>
          <w:color w:val="806000" w:themeColor="accent4" w:themeShade="80"/>
          <w:rtl/>
        </w:rPr>
        <w:t>משמטת הכל כתובה ותוספת</w:t>
      </w:r>
      <w:r w:rsidRPr="00FB0600">
        <w:rPr>
          <w:rStyle w:val="Style1Char"/>
          <w:color w:val="4472C4" w:themeColor="accent1"/>
          <w:rtl/>
        </w:rPr>
        <w:t xml:space="preserve"> </w:t>
      </w:r>
      <w:r w:rsidRPr="00F24BFA">
        <w:rPr>
          <w:rStyle w:val="Style1Char"/>
          <w:color w:val="4472C4" w:themeColor="accent1"/>
          <w:rtl/>
        </w:rPr>
        <w:t>כאילו פגמה גם התוספת</w:t>
      </w:r>
      <w:r w:rsidRPr="00181F0E">
        <w:rPr>
          <w:rStyle w:val="Style1Char"/>
          <w:color w:val="C00000"/>
          <w:rtl/>
        </w:rPr>
        <w:t xml:space="preserve">: </w:t>
      </w:r>
      <w:r w:rsidRPr="00192A9A">
        <w:rPr>
          <w:rStyle w:val="Style1Char"/>
          <w:color w:val="806000" w:themeColor="accent4" w:themeShade="80"/>
          <w:rtl/>
        </w:rPr>
        <w:t xml:space="preserve">לכותב כל נכסיו לבניו וכתב לאשתו קרקע כל שהוא אבדה כתובתה ותוספת. </w:t>
      </w:r>
      <w:r w:rsidRPr="001D2360">
        <w:rPr>
          <w:rStyle w:val="Style1Char"/>
          <w:color w:val="806000" w:themeColor="accent4" w:themeShade="80"/>
          <w:rtl/>
        </w:rPr>
        <w:t xml:space="preserve">לגבות מן הקרקע </w:t>
      </w:r>
      <w:r w:rsidRPr="00F24BFA">
        <w:rPr>
          <w:rStyle w:val="Style1Char"/>
          <w:color w:val="4472C4" w:themeColor="accent1"/>
          <w:rtl/>
        </w:rPr>
        <w:t>ואפילו מיניה דאילו הוה תוספת כשאר חוב גבי מגלימא דעל כתפיה וכתובה אינה נגבית אלא מן הקרקע אפילו מיניה כדמוכח בנדרים (דף סה ב) בההיא דא"ל ר"ע אפילו אתה מוכר שער ראשך אתה נותן כתובתה ומוקי לה כר"מ דאמר מטלטלי משתעבדי לכתובה אבל לרבנן לא</w:t>
      </w:r>
      <w:r>
        <w:rPr>
          <w:rStyle w:val="Style1Char"/>
          <w:color w:val="4472C4" w:themeColor="accent1"/>
        </w:rPr>
        <w:t xml:space="preserve"> </w:t>
      </w:r>
      <w:r w:rsidRPr="00181F0E">
        <w:rPr>
          <w:rStyle w:val="Style1Char"/>
          <w:color w:val="C00000"/>
          <w:rtl/>
        </w:rPr>
        <w:t xml:space="preserve">כשם שאין אשה גובה עיקר כתובה אלא מן הקרקע כך אינה גובה תוספת אלא מן הקרקע. לגבות מן הזבורית בין הכתובה בין התוספת </w:t>
      </w:r>
      <w:r w:rsidRPr="00D30403">
        <w:rPr>
          <w:rStyle w:val="Style1Char"/>
          <w:color w:val="806000" w:themeColor="accent4" w:themeShade="80"/>
          <w:rtl/>
        </w:rPr>
        <w:t xml:space="preserve">גובה מן הזבורית </w:t>
      </w:r>
      <w:r w:rsidRPr="00F24BFA">
        <w:rPr>
          <w:rStyle w:val="Style1Char"/>
          <w:color w:val="4472C4" w:themeColor="accent1"/>
          <w:rtl/>
        </w:rPr>
        <w:t>ולא בבינונית כבעל חוב</w:t>
      </w:r>
      <w:r w:rsidRPr="00181F0E">
        <w:rPr>
          <w:rStyle w:val="Style1Char"/>
          <w:color w:val="C00000"/>
          <w:rtl/>
        </w:rPr>
        <w:t xml:space="preserve">. </w:t>
      </w:r>
      <w:r w:rsidRPr="009F594D">
        <w:rPr>
          <w:rStyle w:val="Style1Char"/>
          <w:color w:val="806000" w:themeColor="accent4" w:themeShade="80"/>
          <w:rtl/>
        </w:rPr>
        <w:t>וכל זמן שהיא בבית אביה גובה כתובתה לעולם בין כתובה ותוספת</w:t>
      </w:r>
      <w:r>
        <w:rPr>
          <w:rStyle w:val="Style1Char"/>
          <w:color w:val="806000" w:themeColor="accent4" w:themeShade="80"/>
        </w:rPr>
        <w:t xml:space="preserve"> </w:t>
      </w:r>
      <w:r w:rsidRPr="00F24BFA">
        <w:rPr>
          <w:rStyle w:val="Style1Char"/>
          <w:color w:val="4472C4" w:themeColor="accent1"/>
          <w:rtl/>
        </w:rPr>
        <w:t>כך פירש רב אלפס ז"ל. וקשה דהיינו דלא כהלכתא דקי"ל כרבנן דכשהיא בבית אביה אינה גובה אלא עד כ"ה שנים ועוד דלענין לגבות לעולם כ"ש דאם הוא כשאר חוב דגובה ו</w:t>
      </w:r>
      <w:r w:rsidRPr="00181F0E">
        <w:rPr>
          <w:rStyle w:val="Style1Char"/>
          <w:color w:val="C00000"/>
          <w:rtl/>
        </w:rPr>
        <w:t>: הגה"ה לדברי רבי מאיר [דף ק"ד ע"א] אבל לדברי חכמים אינה גובה אלא עד כ"ה שנים וכן פסקינן פרק הנושא דהלכה כדברי חכמים ע"כ</w:t>
      </w:r>
      <w:r w:rsidRPr="00037EC8">
        <w:rPr>
          <w:rStyle w:val="Style1Char"/>
          <w:color w:val="4472C4" w:themeColor="accent1"/>
          <w:rtl/>
        </w:rPr>
        <w:t xml:space="preserve"> </w:t>
      </w:r>
      <w:r w:rsidRPr="00F24BFA">
        <w:rPr>
          <w:rStyle w:val="Style1Char"/>
          <w:color w:val="4472C4" w:themeColor="accent1"/>
          <w:rtl/>
        </w:rPr>
        <w:t>י"ל שהספר הביא תחלת המשנה כל זמן שהיא בבית אביה גובה כתובתה לעולם וכו' דברי ר"מ ואסיפא קא סמיך דאמרי רבנן כל זמן שהיא בבית אביה גובה כתובתה עד כ"ה שנים ואשמעינן דאם שהתה כ"ה שנים מחילתה מחילה גם התוספת</w:t>
      </w:r>
      <w:r w:rsidRPr="00CA5AA5">
        <w:rPr>
          <w:rStyle w:val="Style1Char"/>
          <w:color w:val="806000" w:themeColor="accent4" w:themeShade="80"/>
          <w:rtl/>
        </w:rPr>
        <w:t>.: ולכתובת בנין דכרין שיורשין בין הכתובה בין התוספת:</w:t>
      </w:r>
      <w:r w:rsidRPr="00CA5AA5">
        <w:rPr>
          <w:rStyle w:val="Style1Char"/>
          <w:color w:val="806000" w:themeColor="accent4" w:themeShade="80"/>
          <w:sz w:val="22"/>
          <w:szCs w:val="22"/>
          <w:rtl/>
        </w:rPr>
        <w:t xml:space="preserve">. </w:t>
      </w:r>
    </w:p>
    <w:p w14:paraId="44A5BDFC" w14:textId="5031F5E1" w:rsidR="002C4635" w:rsidRPr="00F24BFA" w:rsidRDefault="002C4635" w:rsidP="002C4635">
      <w:pPr>
        <w:bidi/>
        <w:rPr>
          <w:rStyle w:val="Style1Char"/>
          <w:color w:val="4472C4" w:themeColor="accent1"/>
        </w:rPr>
      </w:pPr>
      <w:r w:rsidRPr="00471046">
        <w:rPr>
          <w:rStyle w:val="Style1Char"/>
          <w:color w:val="auto"/>
          <w:sz w:val="22"/>
          <w:szCs w:val="22"/>
          <w:rtl/>
        </w:rPr>
        <w:t xml:space="preserve">איתמר: כתובת בנין דכרין - פומבדיתא אמרי: לא טרפא ממשעבדי, ירתון תנן; בני מתא מחסיא אמרי: טרפא ממשעבדי, יסבון תנן. </w:t>
      </w:r>
      <w:r w:rsidR="00D761B7">
        <w:rPr>
          <w:rStyle w:val="Style1Char"/>
          <w:rFonts w:hint="cs"/>
          <w:rtl/>
        </w:rPr>
        <w:t>(</w:t>
      </w:r>
      <w:r w:rsidR="0078534D">
        <w:rPr>
          <w:rStyle w:val="Style1Char"/>
          <w:rFonts w:hint="cs"/>
          <w:rtl/>
        </w:rPr>
        <w:t>2.2, 8</w:t>
      </w:r>
      <w:r w:rsidR="00D761B7">
        <w:rPr>
          <w:rStyle w:val="Style1Char"/>
          <w:rFonts w:hint="cs"/>
          <w:rtl/>
        </w:rPr>
        <w:t>)</w:t>
      </w:r>
      <w:r w:rsidRPr="00471046">
        <w:rPr>
          <w:rStyle w:val="Style1Char"/>
          <w:color w:val="auto"/>
          <w:sz w:val="22"/>
          <w:szCs w:val="22"/>
          <w:rtl/>
        </w:rPr>
        <w:t xml:space="preserve">והלכתא: לא טרפא ממשעבדי, ירתון תנן. </w:t>
      </w:r>
      <w:r w:rsidR="00112D6C">
        <w:rPr>
          <w:rStyle w:val="Style1Char"/>
          <w:rFonts w:hint="cs"/>
          <w:rtl/>
        </w:rPr>
        <w:t>(9)</w:t>
      </w:r>
      <w:r w:rsidRPr="00471046">
        <w:rPr>
          <w:rStyle w:val="Style1Char"/>
          <w:color w:val="auto"/>
          <w:sz w:val="22"/>
          <w:szCs w:val="22"/>
          <w:rtl/>
        </w:rPr>
        <w:t xml:space="preserve">מטלטלי ואיתנהו בעינייהו - בלא שבועה, ליתנהו בעינייהו - פומבדיתא אמרי: בלא שבועה, בני מתא מחסיא אמרי: בשבועה. </w:t>
      </w:r>
      <w:r w:rsidR="00112D6C">
        <w:rPr>
          <w:rStyle w:val="Style1Char"/>
          <w:rFonts w:hint="cs"/>
          <w:rtl/>
        </w:rPr>
        <w:t>(9)</w:t>
      </w:r>
      <w:r w:rsidRPr="00471046">
        <w:rPr>
          <w:rStyle w:val="Style1Char"/>
          <w:color w:val="auto"/>
          <w:sz w:val="22"/>
          <w:szCs w:val="22"/>
          <w:rtl/>
        </w:rPr>
        <w:t>והלכתא: בלא שבועה</w:t>
      </w:r>
      <w:r w:rsidRPr="00471046">
        <w:rPr>
          <w:rStyle w:val="Style1Char"/>
          <w:color w:val="auto"/>
          <w:rtl/>
        </w:rPr>
        <w:t xml:space="preserve"> </w:t>
      </w:r>
      <w:r w:rsidRPr="00DF7DF3">
        <w:rPr>
          <w:rStyle w:val="Style1Char"/>
          <w:color w:val="806000" w:themeColor="accent4" w:themeShade="80"/>
          <w:sz w:val="22"/>
          <w:szCs w:val="22"/>
          <w:rtl/>
        </w:rPr>
        <w:t>והוא דידיע דהני מטלטלי מחמת מטלטלי קמאי נינהו</w:t>
      </w:r>
      <w:r w:rsidRPr="00DF7DF3">
        <w:rPr>
          <w:rStyle w:val="Style1Char"/>
          <w:color w:val="4472C4" w:themeColor="accent1"/>
          <w:rtl/>
        </w:rPr>
        <w:t xml:space="preserve"> </w:t>
      </w:r>
      <w:r w:rsidRPr="00F24BFA">
        <w:rPr>
          <w:rStyle w:val="Style1Char"/>
          <w:color w:val="4472C4" w:themeColor="accent1"/>
          <w:rtl/>
        </w:rPr>
        <w:t>פירוש שייחד לה ממטלטלי דהא עיסקא והיה נושא ונותן בהן ומכרן וקנה בהם סחורה אחרת אבל אי ליכא מידי אחרינא מחמתייהו לכ"ע צריכה שבועה ולישנא דליתנהו בעינייהו משמע הכי דהני ליתנהו בעינייהו אבל איתנהו לאחריני דאתו מחמת קמאי ורש"י פירש דליתנהו כלל כגון שנגנבו ואבדו ואפ"ה גובה אותן בלא שבועה כיון דאבדו אותן שייחד לה תו לא עביד דמייחד אחריני. ולפי' רב אלפס קשה מאי טעמייהו דבני מתא מחסיא דאמרי צריכה שבועה מה לי מטלטלי קמאי מה לי מטלטלי אחריני דאתו מחמתייהו</w:t>
      </w:r>
      <w:r w:rsidRPr="00F24BFA">
        <w:rPr>
          <w:rStyle w:val="Style1Char"/>
          <w:color w:val="4472C4" w:themeColor="accent1"/>
        </w:rPr>
        <w:t xml:space="preserve">: </w:t>
      </w:r>
    </w:p>
    <w:p w14:paraId="25764530" w14:textId="2BF4FF5E" w:rsidR="002C4635" w:rsidRPr="00F24BFA" w:rsidRDefault="002C4635" w:rsidP="002C4635">
      <w:pPr>
        <w:bidi/>
        <w:rPr>
          <w:rStyle w:val="Style1Char"/>
          <w:color w:val="4472C4" w:themeColor="accent1"/>
        </w:rPr>
      </w:pPr>
      <w:r w:rsidRPr="00321CC4">
        <w:rPr>
          <w:rStyle w:val="Style1Char"/>
          <w:color w:val="auto"/>
          <w:sz w:val="22"/>
          <w:szCs w:val="22"/>
          <w:rtl/>
        </w:rPr>
        <w:t xml:space="preserve">ייחד לה ארעא בארבעה מצרנהא - בלא שבועה, בחד מצרא - פומבדיתא אמרי: בלא שבועה, בני מתא מחסיא אמרי: בשבועה. </w:t>
      </w:r>
      <w:r w:rsidR="00645307">
        <w:rPr>
          <w:rStyle w:val="Style1Char"/>
          <w:rFonts w:hint="cs"/>
          <w:rtl/>
        </w:rPr>
        <w:t>(9)</w:t>
      </w:r>
      <w:r w:rsidRPr="00321CC4">
        <w:rPr>
          <w:rStyle w:val="Style1Char"/>
          <w:color w:val="auto"/>
          <w:sz w:val="22"/>
          <w:szCs w:val="22"/>
          <w:rtl/>
        </w:rPr>
        <w:t>והלכתא: בלא שבועה</w:t>
      </w:r>
      <w:r w:rsidRPr="005F34FD">
        <w:rPr>
          <w:rStyle w:val="Style1Char"/>
          <w:color w:val="4472C4" w:themeColor="accent1"/>
          <w:rtl/>
        </w:rPr>
        <w:t xml:space="preserve"> </w:t>
      </w:r>
      <w:r w:rsidRPr="00F24BFA">
        <w:rPr>
          <w:rStyle w:val="Style1Char"/>
          <w:color w:val="4472C4" w:themeColor="accent1"/>
          <w:rtl/>
        </w:rPr>
        <w:t>כתב הראב"ד ז"ל שלא אמרו פטור שבועה בייחד לה מטלטלי ואיתנהו בעינייהו וארעא בארבעה מצרנהא אלא בכתובה</w:t>
      </w:r>
      <w:r>
        <w:rPr>
          <w:rStyle w:val="Style1Char"/>
          <w:color w:val="4472C4" w:themeColor="accent1"/>
        </w:rPr>
        <w:t xml:space="preserve"> </w:t>
      </w:r>
      <w:r w:rsidRPr="00F24BFA">
        <w:rPr>
          <w:rStyle w:val="Style1Char"/>
          <w:color w:val="4472C4" w:themeColor="accent1"/>
          <w:rtl/>
        </w:rPr>
        <w:t>לפי שאינו עשוי להתפיסה צררי אחריני על הסמך הזה אבל בב"ח חוששין לפירעון וכן כתב הר"ר יונה ז"ל</w:t>
      </w:r>
      <w:r w:rsidRPr="00F24BFA">
        <w:rPr>
          <w:rStyle w:val="Style1Char"/>
          <w:color w:val="4472C4" w:themeColor="accent1"/>
        </w:rPr>
        <w:t xml:space="preserve">: </w:t>
      </w:r>
    </w:p>
    <w:p w14:paraId="454917B5" w14:textId="66D2EBA7" w:rsidR="002C4635" w:rsidRPr="001B009E" w:rsidRDefault="00D74C3F" w:rsidP="002C4635">
      <w:pPr>
        <w:bidi/>
        <w:rPr>
          <w:rStyle w:val="Style1Char"/>
          <w:sz w:val="22"/>
          <w:szCs w:val="22"/>
        </w:rPr>
      </w:pPr>
      <w:r>
        <w:rPr>
          <w:rStyle w:val="Style1Char"/>
          <w:rFonts w:hint="cs"/>
          <w:rtl/>
        </w:rPr>
        <w:t>(10)</w:t>
      </w:r>
      <w:r w:rsidR="002C4635" w:rsidRPr="00F770C3">
        <w:rPr>
          <w:rStyle w:val="Style1Char"/>
          <w:color w:val="auto"/>
          <w:sz w:val="22"/>
          <w:szCs w:val="22"/>
          <w:rtl/>
        </w:rPr>
        <w:t xml:space="preserve">אמר לעדים כתבו וחתמו והבו ליה, קנו מיניה - לא צריך אימלוכי ביה, לא קנו מיניה - פומבדיתא אמרי: לא צריך אימלוכי ביה, בני מתא מחסיא אמרי: צריך אימלוכי ביה. </w:t>
      </w:r>
      <w:r>
        <w:rPr>
          <w:rStyle w:val="Style1Char"/>
          <w:rFonts w:hint="cs"/>
          <w:rtl/>
        </w:rPr>
        <w:t>(10)</w:t>
      </w:r>
      <w:r w:rsidR="002C4635" w:rsidRPr="00F770C3">
        <w:rPr>
          <w:rStyle w:val="Style1Char"/>
          <w:color w:val="auto"/>
          <w:sz w:val="22"/>
          <w:szCs w:val="22"/>
          <w:rtl/>
        </w:rPr>
        <w:t>והלכתא: צריך אימלוכי ביה</w:t>
      </w:r>
      <w:r w:rsidR="002C4635" w:rsidRPr="00F770C3">
        <w:rPr>
          <w:rStyle w:val="Style1Char"/>
          <w:color w:val="auto"/>
          <w:rtl/>
        </w:rPr>
        <w:t xml:space="preserve"> </w:t>
      </w:r>
      <w:r w:rsidR="002C4635" w:rsidRPr="00F24BFA">
        <w:rPr>
          <w:rStyle w:val="Style1Char"/>
          <w:color w:val="4472C4" w:themeColor="accent1"/>
          <w:rtl/>
        </w:rPr>
        <w:t>הא דאמר כתבו וחתמו והבו ליה וקנו מיניה לאו משום רישא איצטריך דכיון דקנו מיניה אף על גב דלא אמר כתבו והבו ליה לא צריך כדאמרי' בחזקת הבתים (דף מ א) קנין בשנים ואצ"ל כתובו דסתם קנין לכתיבה עומד</w:t>
      </w:r>
      <w:r w:rsidR="002C4635">
        <w:rPr>
          <w:rStyle w:val="Style1Char"/>
          <w:rFonts w:hint="cs"/>
          <w:color w:val="4472C4" w:themeColor="accent1"/>
        </w:rPr>
        <w:t>‍</w:t>
      </w:r>
      <w:r w:rsidR="002C4635" w:rsidRPr="00F24BFA">
        <w:rPr>
          <w:rStyle w:val="Style1Char"/>
          <w:color w:val="4472C4" w:themeColor="accent1"/>
          <w:rtl/>
        </w:rPr>
        <w:t xml:space="preserve"> אלא משום סיפא נקטיה דאע"ג דאמר כתבו וחתמו והבו ליה צריך לאימלוכי ביה. ואף על פי שאם אמר אדם לשלוחו תן חפץ זה לפלוני מסברא לא צריך לאימלוכי ביה שאני הכא דאיכא רגלים לדבר שהוא רוצה שימלכו בו מדלא הקנה מיד בקנין חליפין ש"מ דאין דעתו להקנות לו מיד. </w:t>
      </w:r>
      <w:r w:rsidR="002C4635" w:rsidRPr="00AB30F4">
        <w:rPr>
          <w:rStyle w:val="Style1Char"/>
          <w:color w:val="806000" w:themeColor="accent4" w:themeShade="80"/>
          <w:rtl/>
        </w:rPr>
        <w:t>ירושלמי א"ל רב לחייא בריה כד אמינא לך הב מידי לפלניא אי איניש עשיר הוא אמליך בי תנינות ואי איניש מסכן הוא הב ליה מיד</w:t>
      </w:r>
    </w:p>
    <w:p w14:paraId="201F495B" w14:textId="636176C8" w:rsidR="002C4635" w:rsidRDefault="002C4635" w:rsidP="002C4635">
      <w:pPr>
        <w:bidi/>
        <w:rPr>
          <w:rStyle w:val="Style1Char"/>
          <w:color w:val="00B050"/>
          <w:rtl/>
        </w:rPr>
      </w:pPr>
      <w:r w:rsidRPr="00774A4E">
        <w:rPr>
          <w:rStyle w:val="Style1Char"/>
          <w:color w:val="00B050"/>
          <w:rtl/>
        </w:rPr>
        <w:t>ר' אלעזר בן עזריה וכו'</w:t>
      </w:r>
      <w:r w:rsidRPr="005F123E">
        <w:rPr>
          <w:rStyle w:val="Style1Char"/>
          <w:color w:val="00B050"/>
          <w:rtl/>
        </w:rPr>
        <w:t xml:space="preserve">. איתמר: רב ורבי נתן, חד אמר: הלכה כרבי אלעזר בן עזריה, וחד אמר: אין הלכה כר' אלעזר בן עזריה. תסתיים, דר' נתן הוא דאמר הלכה כר' אלעזר בן עזריה, דשמעי' ליה לרבי נתן דאזיל בתר אומדנא, דאמר רבי נתן: הלכה כרבי שמעון שזורי </w:t>
      </w:r>
      <w:r w:rsidR="00A62FCC">
        <w:rPr>
          <w:rStyle w:val="Style1Char"/>
          <w:rFonts w:hint="cs"/>
          <w:rtl/>
        </w:rPr>
        <w:t>(11)</w:t>
      </w:r>
      <w:r w:rsidRPr="005F123E">
        <w:rPr>
          <w:rStyle w:val="Style1Char"/>
          <w:color w:val="00B050"/>
          <w:rtl/>
        </w:rPr>
        <w:t xml:space="preserve">במסוכן, </w:t>
      </w:r>
    </w:p>
    <w:p w14:paraId="2D16C301" w14:textId="7AD18329" w:rsidR="00A62FCC" w:rsidRDefault="00A62FCC" w:rsidP="00A62FCC">
      <w:pPr>
        <w:pStyle w:val="Style1"/>
        <w:rPr>
          <w:rStyle w:val="Style1Char"/>
          <w:rtl/>
        </w:rPr>
      </w:pPr>
      <w:r>
        <w:rPr>
          <w:rStyle w:val="Style1Char"/>
          <w:rFonts w:hint="cs"/>
          <w:rtl/>
        </w:rPr>
        <w:t>1)[</w:t>
      </w:r>
      <w:r w:rsidRPr="00A62FCC">
        <w:rPr>
          <w:rStyle w:val="Style1Char"/>
          <w:rtl/>
        </w:rPr>
        <w:t>רמב</w:t>
      </w:r>
      <w:r w:rsidR="00213DA1">
        <w:rPr>
          <w:rStyle w:val="Style1Char"/>
          <w:rtl/>
        </w:rPr>
        <w:t>”ם \נשים\</w:t>
      </w:r>
      <w:r w:rsidRPr="00A62FCC">
        <w:rPr>
          <w:rStyle w:val="Style1Char"/>
          <w:rtl/>
        </w:rPr>
        <w:t xml:space="preserve"> הלכות אישות פרק טז הלכה ה</w:t>
      </w:r>
      <w:r>
        <w:rPr>
          <w:rStyle w:val="Style1Char"/>
          <w:rFonts w:hint="cs"/>
          <w:rtl/>
        </w:rPr>
        <w:t xml:space="preserve">] </w:t>
      </w:r>
      <w:r w:rsidRPr="00A62FCC">
        <w:rPr>
          <w:rStyle w:val="Style1Char"/>
          <w:rtl/>
        </w:rPr>
        <w:t>וכן התקינו שלא תגבה האלמנה כתובתה אלא מן הקרקע, ואינה גובה משבח ששבחו נכסים לאחר מיתת הבעל, ואין הבנות ניזונות לאחר מיתת אביהן משבח ששבחו נכסים לאחר מיתתו, ואינה טורפת בכתובתה משבח שהשביח הלוקח אף על פי שבעל חוב גובה את השבח, ודברים אלו מקולי כתובה הם.</w:t>
      </w:r>
    </w:p>
    <w:p w14:paraId="3A25C1D6" w14:textId="0DF2289B" w:rsidR="0049786E" w:rsidRPr="0049786E" w:rsidRDefault="008C3685" w:rsidP="0049786E">
      <w:pPr>
        <w:pStyle w:val="Style1"/>
      </w:pPr>
      <w:r>
        <w:rPr>
          <w:rStyle w:val="Style1Char"/>
          <w:rFonts w:hint="cs"/>
          <w:rtl/>
        </w:rPr>
        <w:lastRenderedPageBreak/>
        <w:t>1)[</w:t>
      </w:r>
      <w:r w:rsidRPr="008C3685">
        <w:rPr>
          <w:rStyle w:val="Style1Char"/>
          <w:rtl/>
        </w:rPr>
        <w:t>שולחן ערוך אבן העזר הלכות כתובות סימן צה סעיף ז</w:t>
      </w:r>
      <w:r>
        <w:rPr>
          <w:rStyle w:val="Style1Char"/>
          <w:rFonts w:hint="cs"/>
          <w:rtl/>
        </w:rPr>
        <w:t>]</w:t>
      </w:r>
      <w:r w:rsidR="0049786E">
        <w:rPr>
          <w:rStyle w:val="Style1Char"/>
          <w:rFonts w:hint="cs"/>
          <w:rtl/>
        </w:rPr>
        <w:t xml:space="preserve"> </w:t>
      </w:r>
      <w:r w:rsidR="0049786E" w:rsidRPr="0049786E">
        <w:rPr>
          <w:rtl/>
        </w:rPr>
        <w:t>אלמנה שנזונית מן היתומים, והניח בעלה קרקע והשביחתו, יש מי שאומר, שכל השבח שלהם, ואפלו שכר טרחה אינה נוטלת. ויש מי שאומר, שהשבח הוא לעצמה. ויש מי שאומר, שנוטלת שכר טרחה, אלא שידה על התחתונה. ואם אינה נזונית משלהם, והניח בעלה נכסים מועטים שאין בהם כדי כתובתה, יש מי שאומר, שאם אמרה: ראו מה שהניח לי בעלי ואשביח לעצמי, ונתעצלו מלהגבות כתובתה, אפלו השביחו הנכסים אלף זוז, השבח לעצמה. אבל אם השביחה הנכסים סתם, נוטלת כתובתה והמותר ליורשים. ויש מי שאומר, שבין אמרה ראו, בין לא אמרה, כל השבח ליורשים, ואפילו כתובתה לא תגבה ממנו, אלא שנוטלת שכר טרחה וידה על התחתונה</w:t>
      </w:r>
      <w:r w:rsidR="0049786E" w:rsidRPr="0049786E">
        <w:t>.</w:t>
      </w:r>
    </w:p>
    <w:p w14:paraId="558A079B" w14:textId="702C4CA0" w:rsidR="0049786E" w:rsidRDefault="0049786E" w:rsidP="0049786E">
      <w:pPr>
        <w:pStyle w:val="Style1"/>
        <w:rPr>
          <w:rtl/>
        </w:rPr>
      </w:pPr>
      <w:r w:rsidRPr="0049786E">
        <w:rPr>
          <w:rFonts w:hint="cs"/>
          <w:rtl/>
        </w:rPr>
        <w:t>הגה: וכן עיקר, דהשבח כלו הוא של היתומים, ואינה גובה כתובה ולא מזונות מאותו שבח (במרדכי פרק מי שמת); ולכן אלמנה שישבה זמן ארוך בבית בעלה ונזונית מהם עד שבודאי כלה הקרן שהניח בעלה, אף על גב דיש כאן הרבה מן השבח ששבחה, אינה גובאת כתובתה משם (הטור ומהרי"ו סימן קע"ו). ויש חולקין, אלא כל מה שהוציאה מנכין מן השבח וגובאת כתובתה מן הקרן ולא מן השבח (מהרי"ל סימן מ"ו). ועין לקמן </w:t>
      </w:r>
      <w:hyperlink r:id="rId109" w:tooltip="שולחן ערוך אבן העזר ק" w:history="1">
        <w:r w:rsidRPr="0049786E">
          <w:rPr>
            <w:rStyle w:val="Hyperlink"/>
            <w:rFonts w:hint="cs"/>
            <w:color w:val="7030A0"/>
            <w:u w:val="none"/>
            <w:rtl/>
          </w:rPr>
          <w:t>רמ"א סימן ק</w:t>
        </w:r>
        <w:r w:rsidRPr="0049786E">
          <w:rPr>
            <w:rStyle w:val="Hyperlink"/>
            <w:rFonts w:hint="cs"/>
            <w:color w:val="7030A0"/>
            <w:u w:val="none"/>
          </w:rPr>
          <w:t>'</w:t>
        </w:r>
      </w:hyperlink>
      <w:r w:rsidRPr="0049786E">
        <w:t>:</w:t>
      </w:r>
    </w:p>
    <w:p w14:paraId="2E5BAC5B" w14:textId="005DAD27" w:rsidR="00787747" w:rsidRPr="00787747" w:rsidRDefault="00124994" w:rsidP="00787747">
      <w:pPr>
        <w:pStyle w:val="Style1"/>
      </w:pPr>
      <w:r>
        <w:rPr>
          <w:rFonts w:hint="cs"/>
          <w:rtl/>
        </w:rPr>
        <w:t>1)[</w:t>
      </w:r>
      <w:r>
        <w:rPr>
          <w:rtl/>
        </w:rPr>
        <w:t>שולחן ערוך אבן העזר הלכות כתובות סימן ק סעיף ב</w:t>
      </w:r>
      <w:r>
        <w:rPr>
          <w:rFonts w:hint="cs"/>
          <w:rtl/>
        </w:rPr>
        <w:t>]</w:t>
      </w:r>
      <w:r w:rsidR="00787747">
        <w:rPr>
          <w:rFonts w:hint="cs"/>
          <w:rtl/>
        </w:rPr>
        <w:t xml:space="preserve"> </w:t>
      </w:r>
      <w:r w:rsidR="00787747" w:rsidRPr="00787747">
        <w:rPr>
          <w:rtl/>
        </w:rPr>
        <w:t>אין עיקר כתובה ותוספת נגבים אלא מהזבורית. ואינם נגבים מהשבח שהשביחו הנכסים לאחר מותו, לא שנא השביחו יורשים לא שנא השביחו לקוחות ובאה לטרף מהם. ואינם נגבים אלא מהמוחזק, אבל לא מהראוי</w:t>
      </w:r>
      <w:r w:rsidR="00787747" w:rsidRPr="00787747">
        <w:t>.</w:t>
      </w:r>
    </w:p>
    <w:p w14:paraId="0DEFED5D" w14:textId="77777777" w:rsidR="00787747" w:rsidRPr="00787747" w:rsidRDefault="00787747" w:rsidP="00787747">
      <w:pPr>
        <w:pStyle w:val="Style1"/>
      </w:pPr>
      <w:r w:rsidRPr="00787747">
        <w:rPr>
          <w:rFonts w:hint="cs"/>
          <w:rtl/>
        </w:rPr>
        <w:t>הגה: האב שצוה לתת מתנה לבנו לאחר שתים או שלש שנים, או שצוה שלא לתת לו חלק ירושתו רק אחר שתים או שלש שנים, מקרי ראוי ואין אשת הבן גובאת כתובתה מזה (מהרי"ו סימן מ'). יש אומרים דאם מת יעקב בחיי ראובן בנו, והניח אלמנה הנזונית מנכסיו, אין אלמנת ראובן גובאת כתובתה מאותן נכסים, הואיל והיו משועבדים לאלמנת אביו כשמת ראובן (מרדכי סוף נערה). ודוקא במקום שאין רשות ליורשיו לסלק האלמנה ממזונותיה, אבל במקום שיכולין לסלק האלמנה, אלמנת ראובן גובאת משם (גם זה שם). שכר פעולה שלא היתה בידו מעולם, מקרי ראוי (מרדכי יש נוחלין). היתה גנבה שלו ביד הגנב, כשמת, ואחר כך החזיר הגנבה, מקרי מוחזק (כך השיב מוהר"ם)</w:t>
      </w:r>
      <w:r w:rsidRPr="00787747">
        <w:t>.</w:t>
      </w:r>
    </w:p>
    <w:p w14:paraId="4871B524" w14:textId="77777777" w:rsidR="00787747" w:rsidRPr="00787747" w:rsidRDefault="00787747" w:rsidP="00787747">
      <w:pPr>
        <w:pStyle w:val="Style1"/>
      </w:pPr>
      <w:r w:rsidRPr="00787747">
        <w:rPr>
          <w:rtl/>
        </w:rPr>
        <w:t>ומלוה שחיבים לבעל, הוי מוחזק וגובה ממנה, אפילו היא על הכותי</w:t>
      </w:r>
      <w:r w:rsidRPr="00787747">
        <w:t>.</w:t>
      </w:r>
    </w:p>
    <w:p w14:paraId="4D3F144C" w14:textId="77777777" w:rsidR="00787747" w:rsidRPr="00787747" w:rsidRDefault="00787747" w:rsidP="00787747">
      <w:pPr>
        <w:pStyle w:val="Style1"/>
      </w:pPr>
      <w:r w:rsidRPr="00787747">
        <w:rPr>
          <w:rFonts w:hint="cs"/>
          <w:rtl/>
        </w:rPr>
        <w:t>וכל זה לא מירי אלא בעיקר כתובה ותוספת, אבל נדוניא ושאר צאן ברזל דינן כשאר חוב (כן כתב המגיד משנה פרק ט"ז ובית יוסף בשם נמוקי יוסף והר"ן ורבנו ירוחם)</w:t>
      </w:r>
      <w:r w:rsidRPr="00787747">
        <w:t>.</w:t>
      </w:r>
    </w:p>
    <w:p w14:paraId="07FA88DF" w14:textId="7C9ECB4B" w:rsidR="00787747" w:rsidRDefault="00787747" w:rsidP="00787747">
      <w:pPr>
        <w:pStyle w:val="Style1"/>
        <w:rPr>
          <w:rtl/>
        </w:rPr>
      </w:pPr>
      <w:r w:rsidRPr="00787747">
        <w:rPr>
          <w:rtl/>
        </w:rPr>
        <w:t>ויש אומרים דאפילו הכי אינם נגבים רק מן הזבורית (הר"ן ריש הנזקין)</w:t>
      </w:r>
      <w:r w:rsidRPr="00787747">
        <w:t>:</w:t>
      </w:r>
    </w:p>
    <w:p w14:paraId="72EA067C" w14:textId="2221582D" w:rsidR="007D65C1" w:rsidRDefault="007D65C1" w:rsidP="007D65C1">
      <w:pPr>
        <w:pStyle w:val="Style1"/>
        <w:rPr>
          <w:rtl/>
        </w:rPr>
      </w:pPr>
      <w:r>
        <w:rPr>
          <w:rFonts w:hint="cs"/>
          <w:rtl/>
        </w:rPr>
        <w:t>2)[</w:t>
      </w:r>
      <w:r>
        <w:rPr>
          <w:rtl/>
        </w:rPr>
        <w:t>רמב</w:t>
      </w:r>
      <w:r w:rsidR="00213DA1">
        <w:rPr>
          <w:rtl/>
        </w:rPr>
        <w:t>”ם \נשים\</w:t>
      </w:r>
      <w:r>
        <w:rPr>
          <w:rtl/>
        </w:rPr>
        <w:t xml:space="preserve"> הלכות אישות פרק טז הלכה ד</w:t>
      </w:r>
      <w:r>
        <w:rPr>
          <w:rFonts w:hint="cs"/>
          <w:rtl/>
        </w:rPr>
        <w:t xml:space="preserve">] </w:t>
      </w:r>
      <w:r>
        <w:rPr>
          <w:rtl/>
        </w:rPr>
        <w:t>וכן התקינו שכשתבוא לגבות כתובתה אחר מותו לא תגבה עד שתשבע בנקיטת חפץ שלא הניח אצלה כלום ולא מכרה לו כתובתה ולא</w:t>
      </w:r>
      <w:r>
        <w:rPr>
          <w:rFonts w:hint="cs"/>
          <w:rtl/>
        </w:rPr>
        <w:t xml:space="preserve"> </w:t>
      </w:r>
      <w:r>
        <w:rPr>
          <w:rtl/>
        </w:rPr>
        <w:t>מחלה אותה, ושמין לה כל מה שעליה ופוחתין אותו מכתובתה, אבל אם גירשה לרצונו גובה בלא שבועה ואין שמין כסות שעליה שהרי לקחן לה וזכתה בהן והוא רוצה להוציאה לא היא.</w:t>
      </w:r>
    </w:p>
    <w:p w14:paraId="14D8EB49" w14:textId="56AF65F8" w:rsidR="00AF2148" w:rsidRPr="00AF2148" w:rsidRDefault="0049611C" w:rsidP="00FD56FF">
      <w:pPr>
        <w:pStyle w:val="Style1"/>
      </w:pPr>
      <w:r>
        <w:rPr>
          <w:rFonts w:hint="cs"/>
          <w:rtl/>
        </w:rPr>
        <w:t>2)[</w:t>
      </w:r>
      <w:r>
        <w:rPr>
          <w:rtl/>
        </w:rPr>
        <w:t>שולחן ערוך אבן העזר הלכות כתובות סימן צו סעיף א</w:t>
      </w:r>
      <w:r>
        <w:rPr>
          <w:rFonts w:hint="cs"/>
          <w:rtl/>
        </w:rPr>
        <w:t>]</w:t>
      </w:r>
      <w:r w:rsidR="00AF2148" w:rsidRPr="00AF2148">
        <w:rPr>
          <w:rtl/>
        </w:rPr>
        <w:t>אין אלמנה גובה כתובתה, עיקר ותוספת, אלא בשבועה. ונכסי מלוג ונכסי צאן ברזל, או נכסים שיחד לה בכתובתה בעין, אם אותם שהכניסה לו הם בעצמם קיימים, או דברים שידוע שבאו מכחם, נוטלת אותם בלא שבועה. ואם נכסי צאן ברזל אינם קיימים, ולא דברים הבאים מכחם, ובאה לפרע מנכסיו, אינה נפרעת אלא בשבועה. והוא הדין אם יחד לה מטלטלים בכתובתה, שיש לחלק בהם כמו שחלקנו בנכסי צאן ברזל. ואם יחד לה קרקע בכתובתה, אף על פי שלא פרש אלא מצד אחד, נוטלתו בלא שבועה. ואם מתה קדם שנשבעה, אין יורשיה יורשין כתובתה, שאין אדם מוריש לבניו ממון שאין יכול לגבותו אלא בשבועה</w:t>
      </w:r>
      <w:r w:rsidR="00AF2148" w:rsidRPr="00AF2148">
        <w:t>.</w:t>
      </w:r>
    </w:p>
    <w:p w14:paraId="60C708C3" w14:textId="77777777" w:rsidR="00AF2148" w:rsidRPr="00AF2148" w:rsidRDefault="00AF2148" w:rsidP="00AF2148">
      <w:pPr>
        <w:pStyle w:val="Style1"/>
      </w:pPr>
      <w:r w:rsidRPr="00AF2148">
        <w:rPr>
          <w:rFonts w:hint="cs"/>
          <w:rtl/>
        </w:rPr>
        <w:t>הגה: ועין בחלוקי דין זה </w:t>
      </w:r>
      <w:hyperlink r:id="rId110" w:tooltip="שולחן ערוך חושן משפט קח" w:history="1">
        <w:r w:rsidRPr="00AF2148">
          <w:rPr>
            <w:rStyle w:val="Hyperlink"/>
            <w:rFonts w:hint="cs"/>
            <w:color w:val="7030A0"/>
            <w:u w:val="none"/>
            <w:rtl/>
          </w:rPr>
          <w:t>בחשן המשפט סימן ק"ח</w:t>
        </w:r>
      </w:hyperlink>
      <w:r w:rsidRPr="00AF2148">
        <w:rPr>
          <w:rFonts w:hint="cs"/>
        </w:rPr>
        <w:t xml:space="preserve">. </w:t>
      </w:r>
      <w:r w:rsidRPr="00AF2148">
        <w:rPr>
          <w:rFonts w:hint="cs"/>
          <w:rtl/>
        </w:rPr>
        <w:t>יש אומרים הא דאין יורשיה יורשין כתובתה היינו בדלא תפסה, אבל תפסה, יורשיה יורשין כתובתה הואיל והן מוחזקין; (כן משמע בטור חשן המשפט סימן ק"ח ובמרדכי ריש אלמנה נזונית ובפרק מי שמת ומהרי"ו סימן צ"ה ובתרומת הדשן סימן ש"ל). ויש חולקים (מרדכי פרק כל הנשבעין בשם מוהר"ם), ועין </w:t>
      </w:r>
      <w:hyperlink r:id="rId111" w:tooltip="שולחן ערוך חושן משפט קח" w:history="1">
        <w:r w:rsidRPr="00AF2148">
          <w:rPr>
            <w:rStyle w:val="Hyperlink"/>
            <w:rFonts w:hint="cs"/>
            <w:color w:val="7030A0"/>
            <w:u w:val="none"/>
            <w:rtl/>
          </w:rPr>
          <w:t>בחשן המשפט סימן ק"ח</w:t>
        </w:r>
      </w:hyperlink>
      <w:r w:rsidRPr="00AF2148">
        <w:rPr>
          <w:rFonts w:hint="cs"/>
        </w:rPr>
        <w:t xml:space="preserve">. </w:t>
      </w:r>
      <w:r w:rsidRPr="00AF2148">
        <w:rPr>
          <w:rFonts w:hint="cs"/>
          <w:rtl/>
        </w:rPr>
        <w:t>אם היורשים אומרים: נשבעה, עליהם להביא ראיה</w:t>
      </w:r>
      <w:r w:rsidRPr="00AF2148">
        <w:rPr>
          <w:rFonts w:hint="cs"/>
        </w:rPr>
        <w:t xml:space="preserve"> (</w:t>
      </w:r>
      <w:hyperlink r:id="rId112" w:tooltip="תשובות ריב&quot;ש/קסט" w:history="1">
        <w:r w:rsidRPr="00AF2148">
          <w:rPr>
            <w:rStyle w:val="Hyperlink"/>
            <w:rFonts w:hint="cs"/>
            <w:color w:val="7030A0"/>
            <w:u w:val="none"/>
            <w:rtl/>
          </w:rPr>
          <w:t>ריב"ש סימן קס"ט</w:t>
        </w:r>
      </w:hyperlink>
      <w:r w:rsidRPr="00AF2148">
        <w:rPr>
          <w:rFonts w:hint="cs"/>
        </w:rPr>
        <w:t xml:space="preserve">). </w:t>
      </w:r>
      <w:r w:rsidRPr="00AF2148">
        <w:rPr>
          <w:rFonts w:hint="cs"/>
          <w:rtl/>
        </w:rPr>
        <w:t>אם פרעו לה מקצת כתובתה ועשו לה שטר חוב על הנשאר, יורשיה יורשין החוב ההוא אפילו לא נשבעה (בית יוסף בשם תשובת הרשב"א סימן תתפ"ו</w:t>
      </w:r>
      <w:r w:rsidRPr="00AF2148">
        <w:rPr>
          <w:rFonts w:hint="cs"/>
        </w:rPr>
        <w:t>)</w:t>
      </w:r>
      <w:r w:rsidRPr="00AF2148">
        <w:t>.</w:t>
      </w:r>
    </w:p>
    <w:p w14:paraId="4EA8185A" w14:textId="77777777" w:rsidR="00AF2148" w:rsidRPr="00AF2148" w:rsidRDefault="00AF2148" w:rsidP="00AF2148">
      <w:pPr>
        <w:pStyle w:val="Style1"/>
      </w:pPr>
      <w:r w:rsidRPr="00AF2148">
        <w:rPr>
          <w:rtl/>
        </w:rPr>
        <w:t>אלמנה שנשתתקה, ורמזה קדם מיתתה שלא נטלה כלום, סגי בכך והוי כאלו נשבעה (בית יוסף בשם תשובת הרשב"א)</w:t>
      </w:r>
      <w:r w:rsidRPr="00AF2148">
        <w:t>.</w:t>
      </w:r>
    </w:p>
    <w:p w14:paraId="21BB03AC" w14:textId="77777777" w:rsidR="00AF2148" w:rsidRPr="00AF2148" w:rsidRDefault="00AF2148" w:rsidP="00AF2148">
      <w:pPr>
        <w:pStyle w:val="Style1"/>
      </w:pPr>
      <w:r w:rsidRPr="00AF2148">
        <w:rPr>
          <w:rFonts w:hint="cs"/>
          <w:rtl/>
        </w:rPr>
        <w:t>אשה שנשתטית ונתאלמנה, אין יורשיה נוטלין כתובתה הואיל ואינה יכולה לישבע (בית יוסף בשם תשובת הרשב"א, וכן כתב הרמב"ן בתשובות סימן ס"ו). ועין לקמן </w:t>
      </w:r>
      <w:hyperlink r:id="rId113" w:anchor="%D7%A1%D7%A2%D7%99%D7%A3_%D7%92" w:tooltip="שולחן ערוך אבן העזר קה" w:history="1">
        <w:r w:rsidRPr="00AF2148">
          <w:rPr>
            <w:rStyle w:val="Hyperlink"/>
            <w:rFonts w:hint="cs"/>
            <w:color w:val="7030A0"/>
            <w:u w:val="none"/>
            <w:rtl/>
          </w:rPr>
          <w:t>סימן ק"ה סעיף ג</w:t>
        </w:r>
        <w:r w:rsidRPr="00AF2148">
          <w:rPr>
            <w:rStyle w:val="Hyperlink"/>
            <w:rFonts w:hint="cs"/>
            <w:color w:val="7030A0"/>
            <w:u w:val="none"/>
          </w:rPr>
          <w:t>'</w:t>
        </w:r>
      </w:hyperlink>
      <w:r w:rsidRPr="00AF2148">
        <w:t>.</w:t>
      </w:r>
    </w:p>
    <w:p w14:paraId="1E88A232" w14:textId="3D56D286" w:rsidR="00AF2148" w:rsidRDefault="00AF2148" w:rsidP="00AF2148">
      <w:pPr>
        <w:pStyle w:val="Style1"/>
        <w:rPr>
          <w:rtl/>
        </w:rPr>
      </w:pPr>
      <w:r w:rsidRPr="00AF2148">
        <w:rPr>
          <w:rtl/>
        </w:rPr>
        <w:t>אבל אם נתגרשה ומתה, יורשיה נשבעים: שלא פקדתנו, ונוטלין ואפלו מיורשיו, אם מת אחריה</w:t>
      </w:r>
      <w:r w:rsidRPr="00AF2148">
        <w:t>:</w:t>
      </w:r>
    </w:p>
    <w:p w14:paraId="46D7434F" w14:textId="724C5939" w:rsidR="00E93BBB" w:rsidRDefault="00E93BBB" w:rsidP="00E93BBB">
      <w:pPr>
        <w:pStyle w:val="Style1"/>
        <w:rPr>
          <w:rtl/>
        </w:rPr>
      </w:pPr>
      <w:r>
        <w:rPr>
          <w:rFonts w:hint="cs"/>
          <w:rtl/>
        </w:rPr>
        <w:t>3)[</w:t>
      </w:r>
      <w:r>
        <w:rPr>
          <w:rtl/>
        </w:rPr>
        <w:t>רמב</w:t>
      </w:r>
      <w:r w:rsidR="00C764B2">
        <w:rPr>
          <w:rtl/>
        </w:rPr>
        <w:t>”ם \קנין\</w:t>
      </w:r>
      <w:r>
        <w:rPr>
          <w:rtl/>
        </w:rPr>
        <w:t xml:space="preserve"> הלכות זכיה ומתנה פרק ו הלכה ט</w:t>
      </w:r>
      <w:r>
        <w:rPr>
          <w:rFonts w:hint="cs"/>
          <w:rtl/>
        </w:rPr>
        <w:t xml:space="preserve">] </w:t>
      </w:r>
      <w:r>
        <w:rPr>
          <w:rtl/>
        </w:rPr>
        <w:t>וכן הכותב נכסיו לבניו בין זכרים בין נקבות בין בריא בין שכיב מרע וכתב לאשתו עמהן קרקע כל שהוא, הואיל ועשה אותה שותף בין הבנים ולא מחתה אבדה כתובתה ואינה טורפת מנכסים אלו כלום, אבל מנכסיו שיבואו לו אחר אלו נוטלת מהן כתובתה.</w:t>
      </w:r>
    </w:p>
    <w:p w14:paraId="326094D7" w14:textId="62E1D88E" w:rsidR="002F6280" w:rsidRDefault="00D47BA5" w:rsidP="002F6280">
      <w:pPr>
        <w:pStyle w:val="Style1"/>
        <w:rPr>
          <w:rtl/>
        </w:rPr>
      </w:pPr>
      <w:r>
        <w:rPr>
          <w:rFonts w:hint="cs"/>
          <w:rtl/>
        </w:rPr>
        <w:t>3)[</w:t>
      </w:r>
      <w:r>
        <w:rPr>
          <w:rtl/>
        </w:rPr>
        <w:t>שולחן ערוך אבן העזר הלכות כתובות סימן קו סעיף א</w:t>
      </w:r>
      <w:r>
        <w:rPr>
          <w:rFonts w:hint="cs"/>
          <w:rtl/>
        </w:rPr>
        <w:t>]</w:t>
      </w:r>
      <w:r w:rsidR="002F6280">
        <w:rPr>
          <w:rFonts w:hint="cs"/>
          <w:rtl/>
        </w:rPr>
        <w:t xml:space="preserve"> </w:t>
      </w:r>
      <w:r w:rsidR="002F6280" w:rsidRPr="002F6280">
        <w:rPr>
          <w:rtl/>
        </w:rPr>
        <w:t>הכותב כל נכסיו לבניו, בין זכרים בין נקבות, בין בריא בין שכיב מרע, וכתב לאשתו עמהם קרקע כל שהוא או דקל לפרותיו או פרות מחוברים והם צריכים עדיין לקרקע, הואיל ועשה אותה שותף בין הבנים ושתקה כשנודע לה ולא מחתה, אבדה עיקר כתובתה ותוספת </w:t>
      </w:r>
      <w:r w:rsidR="002F6280" w:rsidRPr="002F6280">
        <w:rPr>
          <w:rFonts w:hint="cs"/>
          <w:rtl/>
        </w:rPr>
        <w:t>אבל לא נדוניתא (המגיד משנה פרק ו' מזכיה)</w:t>
      </w:r>
      <w:r w:rsidR="002F6280" w:rsidRPr="002F6280">
        <w:t xml:space="preserve">, </w:t>
      </w:r>
      <w:r w:rsidR="002F6280" w:rsidRPr="002F6280">
        <w:rPr>
          <w:rtl/>
        </w:rPr>
        <w:t>ואינה טורפת מנכסים אלו כלום. אבל מנכסים שיבואו לו אחר כך גובה מהם, אפלו באו לידו מאותם נכסים עצמם, כגון שמת אחד מהבנים וירשו</w:t>
      </w:r>
      <w:r w:rsidR="002F6280" w:rsidRPr="002F6280">
        <w:t>:</w:t>
      </w:r>
    </w:p>
    <w:p w14:paraId="44C2098E" w14:textId="67E62147" w:rsidR="007E6BB2" w:rsidRDefault="007E6BB2" w:rsidP="007E6BB2">
      <w:pPr>
        <w:pStyle w:val="Style1"/>
        <w:rPr>
          <w:rStyle w:val="Style1Char"/>
          <w:rtl/>
        </w:rPr>
      </w:pPr>
      <w:r>
        <w:rPr>
          <w:rStyle w:val="Style1Char"/>
          <w:rFonts w:hint="cs"/>
          <w:rtl/>
        </w:rPr>
        <w:t>4)[</w:t>
      </w:r>
      <w:r w:rsidRPr="00AE2DC4">
        <w:rPr>
          <w:rStyle w:val="Style1Char"/>
          <w:rtl/>
        </w:rPr>
        <w:t>רמב</w:t>
      </w:r>
      <w:r w:rsidR="00213DA1">
        <w:rPr>
          <w:rStyle w:val="Style1Char"/>
          <w:rtl/>
        </w:rPr>
        <w:t>”ם \נשים\</w:t>
      </w:r>
      <w:r w:rsidRPr="00AE2DC4">
        <w:rPr>
          <w:rStyle w:val="Style1Char"/>
          <w:rtl/>
        </w:rPr>
        <w:t xml:space="preserve"> הלכות אישות פרק טז הלכה ג</w:t>
      </w:r>
      <w:r>
        <w:rPr>
          <w:rStyle w:val="Style1Char"/>
          <w:rFonts w:hint="cs"/>
          <w:rtl/>
        </w:rPr>
        <w:t xml:space="preserve">] </w:t>
      </w:r>
      <w:r w:rsidRPr="00AE2DC4">
        <w:rPr>
          <w:rStyle w:val="Style1Char"/>
          <w:rtl/>
        </w:rPr>
        <w:t>כבר הודענו שחכמים תקנו כתובה לאשה, ודין התוספת כדין העיקר, ולא תקנוה לגבותה כל זמן שתרצה אלא הרי היא כחוב שיש לו זמן ואין הכתובה נגבית אלא לאחר מיתת הבעל או אם גירשה. וכן התקינו שאם היה לבעל שדות טובות ורעות ובינוניות ובאה האשה לגבות כתובתה ממנו שלא תגבה אלא מן הרעה שבנכסיו והיא הנקראת זיבורית.</w:t>
      </w:r>
    </w:p>
    <w:p w14:paraId="1FD3BD72" w14:textId="331F5F77" w:rsidR="009E40B6" w:rsidRPr="00787747" w:rsidRDefault="009E40B6" w:rsidP="009E40B6">
      <w:pPr>
        <w:pStyle w:val="Style1"/>
      </w:pPr>
      <w:r>
        <w:rPr>
          <w:rFonts w:hint="cs"/>
          <w:rtl/>
        </w:rPr>
        <w:t>4)[</w:t>
      </w:r>
      <w:r>
        <w:rPr>
          <w:rtl/>
        </w:rPr>
        <w:t>שולחן ערוך אבן העזר הלכות כתובות סימן ק סעיף ב</w:t>
      </w:r>
      <w:r>
        <w:rPr>
          <w:rFonts w:hint="cs"/>
          <w:rtl/>
        </w:rPr>
        <w:t xml:space="preserve">] </w:t>
      </w:r>
      <w:r w:rsidRPr="00787747">
        <w:rPr>
          <w:rtl/>
        </w:rPr>
        <w:t>אין עיקר כתובה ותוספת נגבים אלא מהזבורית. ואינם נגבים מהשבח שהשביחו הנכסים לאחר מותו, לא שנא השביחו יורשים לא שנא השביחו לקוחות ובאה לטרף מהם. ואינם נגבים אלא מהמוחזק, אבל לא מהראוי</w:t>
      </w:r>
      <w:r w:rsidRPr="00787747">
        <w:t>.</w:t>
      </w:r>
    </w:p>
    <w:p w14:paraId="1917805B" w14:textId="77777777" w:rsidR="009E40B6" w:rsidRPr="00787747" w:rsidRDefault="009E40B6" w:rsidP="009E40B6">
      <w:pPr>
        <w:pStyle w:val="Style1"/>
      </w:pPr>
      <w:r w:rsidRPr="00787747">
        <w:rPr>
          <w:rFonts w:hint="cs"/>
          <w:rtl/>
        </w:rPr>
        <w:t>הגה: האב שצוה לתת מתנה לבנו לאחר שתים או שלש שנים, או שצוה שלא לתת לו חלק ירושתו רק אחר שתים או שלש שנים, מקרי ראוי ואין אשת הבן גובאת כתובתה מזה (מהרי"ו סימן מ'). יש אומרים דאם מת יעקב בחיי ראובן בנו, והניח אלמנה הנזונית מנכסיו, אין אלמנת ראובן גובאת כתובתה מאותן נכסים, הואיל והיו משועבדים לאלמנת אביו כשמת ראובן (מרדכי סוף נערה). ודוקא במקום שאין רשות ליורשיו לסלק האלמנה ממזונותיה, אבל במקום שיכולין לסלק האלמנה, אלמנת ראובן גובאת משם (גם זה שם). שכר פעולה שלא היתה בידו מעולם, מקרי ראוי (מרדכי יש נוחלין). היתה גנבה שלו ביד הגנב, כשמת, ואחר כך החזיר הגנבה, מקרי מוחזק (כך השיב מוהר"ם)</w:t>
      </w:r>
      <w:r w:rsidRPr="00787747">
        <w:t>.</w:t>
      </w:r>
    </w:p>
    <w:p w14:paraId="35A3D08B" w14:textId="77777777" w:rsidR="009E40B6" w:rsidRPr="00787747" w:rsidRDefault="009E40B6" w:rsidP="009E40B6">
      <w:pPr>
        <w:pStyle w:val="Style1"/>
      </w:pPr>
      <w:r w:rsidRPr="00787747">
        <w:rPr>
          <w:rtl/>
        </w:rPr>
        <w:t>ומלוה שחיבים לבעל, הוי מוחזק וגובה ממנה, אפילו היא על הכותי</w:t>
      </w:r>
      <w:r w:rsidRPr="00787747">
        <w:t>.</w:t>
      </w:r>
    </w:p>
    <w:p w14:paraId="688421C9" w14:textId="77777777" w:rsidR="009E40B6" w:rsidRPr="00787747" w:rsidRDefault="009E40B6" w:rsidP="009E40B6">
      <w:pPr>
        <w:pStyle w:val="Style1"/>
      </w:pPr>
      <w:r w:rsidRPr="00787747">
        <w:rPr>
          <w:rFonts w:hint="cs"/>
          <w:rtl/>
        </w:rPr>
        <w:lastRenderedPageBreak/>
        <w:t>וכל זה לא מירי אלא בעיקר כתובה ותוספת, אבל נדוניא ושאר צאן ברזל דינן כשאר חוב (כן כתב המגיד משנה פרק ט"ז ובית יוסף בשם נמוקי יוסף והר"ן ורבנו ירוחם)</w:t>
      </w:r>
      <w:r w:rsidRPr="00787747">
        <w:t>.</w:t>
      </w:r>
    </w:p>
    <w:p w14:paraId="30110C30" w14:textId="2252B142" w:rsidR="009E40B6" w:rsidRDefault="009E40B6" w:rsidP="009E40B6">
      <w:pPr>
        <w:pStyle w:val="Style1"/>
        <w:rPr>
          <w:rtl/>
        </w:rPr>
      </w:pPr>
      <w:r w:rsidRPr="00787747">
        <w:rPr>
          <w:rtl/>
        </w:rPr>
        <w:t>ויש אומרים דאפילו הכי אינם נגבים רק מן הזבורית (הר"ן ריש הנזקין)</w:t>
      </w:r>
      <w:r w:rsidRPr="00787747">
        <w:t>:</w:t>
      </w:r>
    </w:p>
    <w:p w14:paraId="5966FAEE" w14:textId="0A3C9406" w:rsidR="00F220F9" w:rsidRDefault="00F220F9" w:rsidP="00F220F9">
      <w:pPr>
        <w:pStyle w:val="Style1"/>
        <w:rPr>
          <w:rtl/>
        </w:rPr>
      </w:pPr>
      <w:r>
        <w:rPr>
          <w:rFonts w:hint="cs"/>
          <w:rtl/>
        </w:rPr>
        <w:t>5)[</w:t>
      </w:r>
      <w:r>
        <w:rPr>
          <w:rtl/>
        </w:rPr>
        <w:t>רמב</w:t>
      </w:r>
      <w:r w:rsidR="00213DA1">
        <w:rPr>
          <w:rtl/>
        </w:rPr>
        <w:t>”ם \נשים\</w:t>
      </w:r>
      <w:r>
        <w:rPr>
          <w:rtl/>
        </w:rPr>
        <w:t xml:space="preserve"> הלכות אישות פרק טז הלכה כג</w:t>
      </w:r>
      <w:r>
        <w:rPr>
          <w:rFonts w:hint="cs"/>
          <w:rtl/>
        </w:rPr>
        <w:t xml:space="preserve">] </w:t>
      </w:r>
      <w:r>
        <w:rPr>
          <w:rtl/>
        </w:rPr>
        <w:t>ועד כמה תגבה האלמנה העיקר במקום שאין כותבין כתובה, אם היתה בבית בעלה גובה לעולם, ואם היתה בבית אביה עד עשרים וחמש שנה, ואם באה לתבוע אחר עשרים וחמש שנה אין לה כלום, שאילו לא מחלה לא שתקה כל זמן זה, והרי אינה עם היורשים כדי שתאמר נכלמתי מלתבען והן עמי בבית.</w:t>
      </w:r>
    </w:p>
    <w:p w14:paraId="68458A8F" w14:textId="21FA6DEF" w:rsidR="00AB7C2E" w:rsidRPr="00AB7C2E" w:rsidRDefault="009528A5" w:rsidP="00AB7C2E">
      <w:pPr>
        <w:pStyle w:val="Style1"/>
      </w:pPr>
      <w:r>
        <w:rPr>
          <w:rFonts w:hint="cs"/>
          <w:rtl/>
        </w:rPr>
        <w:t>5)[</w:t>
      </w:r>
      <w:r>
        <w:rPr>
          <w:rtl/>
        </w:rPr>
        <w:t>שולחן ערוך אבן העזר הלכות כתובות סימן קא סעיף א</w:t>
      </w:r>
      <w:r>
        <w:rPr>
          <w:rFonts w:hint="cs"/>
          <w:rtl/>
        </w:rPr>
        <w:t>]</w:t>
      </w:r>
      <w:r w:rsidR="00AB7C2E">
        <w:rPr>
          <w:rFonts w:hint="cs"/>
          <w:rtl/>
        </w:rPr>
        <w:t xml:space="preserve"> </w:t>
      </w:r>
      <w:r w:rsidR="00AB7C2E" w:rsidRPr="00AB7C2E">
        <w:rPr>
          <w:rtl/>
        </w:rPr>
        <w:t>אלמנה, כל זמן ששטר כתובה בידה, גובה לעולם, בין אם נותנים לה מזונות בבית אביה או בבית בעלה, ונשבעת אפלו לאחר שנשאת. אפילו עברה עליה שמיטה, אינה נשמטת, אלא אם כן פגמה אותה, שגבתה מקצת או שזקפה במלוה. ואם אין כתובתה בידה ובאה לגבות בתנאי בית דין במקום שאין כותבים, אם נותנים לה מזונות בבית אביה </w:t>
      </w:r>
      <w:r w:rsidR="00AB7C2E" w:rsidRPr="00AB7C2E">
        <w:rPr>
          <w:rFonts w:hint="cs"/>
          <w:rtl/>
        </w:rPr>
        <w:t>או שנשאת לאחר (מרדכי סוף פרק הנושא)</w:t>
      </w:r>
      <w:r w:rsidR="00AB7C2E" w:rsidRPr="00AB7C2E">
        <w:t xml:space="preserve">, </w:t>
      </w:r>
      <w:r w:rsidR="00AB7C2E" w:rsidRPr="00AB7C2E">
        <w:rPr>
          <w:rtl/>
        </w:rPr>
        <w:t>אינה גובה אלא עד סוף עשרים וחמש שנה. אבל שתקה עשרים וחמש שנה ולא תבעה, מחלה. ואם תבעה תוך עשרים וחמש שנים, מונין לה עשרים וחמש שנים מיום שתבעה. וכן יורשיה צריכים לתבע תוך עשרים וחמש שנים למיתתה, ואם שתקו יותר מעשרים וחמש שנה, מחלו</w:t>
      </w:r>
      <w:r w:rsidR="00AB7C2E" w:rsidRPr="00AB7C2E">
        <w:t>.</w:t>
      </w:r>
    </w:p>
    <w:p w14:paraId="4EE1801E" w14:textId="40C4FCFD" w:rsidR="00AB7C2E" w:rsidRDefault="00AB7C2E" w:rsidP="00AB7C2E">
      <w:pPr>
        <w:pStyle w:val="Style1"/>
        <w:rPr>
          <w:rtl/>
        </w:rPr>
      </w:pPr>
      <w:r w:rsidRPr="00AB7C2E">
        <w:rPr>
          <w:rFonts w:hint="cs"/>
          <w:rtl/>
        </w:rPr>
        <w:t>וכל שזכרה ואמרה שמה ששותקת לאו משום מחילה, הוי כתבעה (הר"ן פרק הנושא)</w:t>
      </w:r>
      <w:r w:rsidRPr="00AB7C2E">
        <w:t>:</w:t>
      </w:r>
    </w:p>
    <w:p w14:paraId="602A5957" w14:textId="2455CB0B" w:rsidR="00FE53CA" w:rsidRDefault="00FE53CA" w:rsidP="00FE53CA">
      <w:pPr>
        <w:pStyle w:val="Style1"/>
        <w:rPr>
          <w:rtl/>
        </w:rPr>
      </w:pPr>
      <w:r>
        <w:rPr>
          <w:rFonts w:hint="cs"/>
          <w:rtl/>
        </w:rPr>
        <w:t>6)[</w:t>
      </w:r>
      <w:r>
        <w:rPr>
          <w:rtl/>
        </w:rPr>
        <w:t>רמב</w:t>
      </w:r>
      <w:r w:rsidR="00213DA1">
        <w:rPr>
          <w:rtl/>
        </w:rPr>
        <w:t>”ם \נשים\</w:t>
      </w:r>
      <w:r>
        <w:rPr>
          <w:rtl/>
        </w:rPr>
        <w:t xml:space="preserve"> הלכות אישות פרק יט הלכה א</w:t>
      </w:r>
      <w:r>
        <w:rPr>
          <w:rFonts w:hint="cs"/>
          <w:rtl/>
        </w:rPr>
        <w:t xml:space="preserve">] </w:t>
      </w:r>
      <w:r>
        <w:rPr>
          <w:rtl/>
        </w:rPr>
        <w:t>מתנאי הכתובה שיהיו בנים הזכרים יורשים כתובת אמן ונדוניתה שהכניסה בתורת נכסי צאן ברזל ואחר כך חולקין שאר הירושה עם אחיהם בשוה.</w:t>
      </w:r>
    </w:p>
    <w:p w14:paraId="56484BB2" w14:textId="4462F039" w:rsidR="00CE69E0" w:rsidRDefault="00CE69E0" w:rsidP="00CE69E0">
      <w:pPr>
        <w:pStyle w:val="Style1"/>
        <w:rPr>
          <w:rtl/>
        </w:rPr>
      </w:pPr>
      <w:r>
        <w:rPr>
          <w:rFonts w:hint="cs"/>
          <w:rtl/>
        </w:rPr>
        <w:t>6)[</w:t>
      </w:r>
      <w:r>
        <w:rPr>
          <w:rtl/>
        </w:rPr>
        <w:t>שולחן ערוך אבן העזר הלכות כתובות סימן קיא סעיף א</w:t>
      </w:r>
      <w:r>
        <w:rPr>
          <w:rFonts w:hint="cs"/>
          <w:rtl/>
        </w:rPr>
        <w:t>]</w:t>
      </w:r>
      <w:r w:rsidR="00FC3C56">
        <w:rPr>
          <w:rFonts w:hint="cs"/>
          <w:rtl/>
        </w:rPr>
        <w:t xml:space="preserve"> </w:t>
      </w:r>
      <w:r w:rsidR="00FC3C56" w:rsidRPr="00FC3C56">
        <w:rPr>
          <w:rtl/>
        </w:rPr>
        <w:t>מתנאי הכתובה שיהיו בניו הזכרים יורשים כתובת אמן ונדוניתה שהכניסה בתורת נכסי צאן ברזל, ויש אומרים שאף התוספת בכלל, ואחר כך חולקים השאר עם אחיהם בשוה. כיצד, נשא אשה, כתובתה ונדוניתה אלף, וילדה בן ומתה בחייו; ואחר כך נשא אשה אחרת, כתובתה ונדוניתה מאתים וילדה בן ומתה בחייו; ואחר כך מת הוא והניח אלפים; בנו מן הראשונה יורש אלף שבכתובת אמו, ובנו מן השניה יורש מאתים שבכתובת אמו, והשאר יורשים אותו בשוה; נמצא ביד בן הראשונה אלף וארבע מאות, וביד בן השניה שש מאות</w:t>
      </w:r>
      <w:r w:rsidR="00FC3C56" w:rsidRPr="00FC3C56">
        <w:t>:</w:t>
      </w:r>
    </w:p>
    <w:p w14:paraId="22A695E6" w14:textId="63EC09F2" w:rsidR="003344A6" w:rsidRDefault="003344A6" w:rsidP="003344A6">
      <w:pPr>
        <w:pStyle w:val="Style1"/>
        <w:rPr>
          <w:rtl/>
        </w:rPr>
      </w:pPr>
      <w:r>
        <w:rPr>
          <w:rFonts w:hint="cs"/>
          <w:rtl/>
        </w:rPr>
        <w:t>7)[</w:t>
      </w:r>
      <w:r>
        <w:rPr>
          <w:rtl/>
        </w:rPr>
        <w:t>רמב</w:t>
      </w:r>
      <w:r w:rsidR="00213DA1">
        <w:rPr>
          <w:rtl/>
        </w:rPr>
        <w:t>”ם \נשים\</w:t>
      </w:r>
      <w:r>
        <w:rPr>
          <w:rtl/>
        </w:rPr>
        <w:t xml:space="preserve"> הלכות אישות פרק יט הלכה ט</w:t>
      </w:r>
      <w:r>
        <w:rPr>
          <w:rFonts w:hint="cs"/>
          <w:rtl/>
        </w:rPr>
        <w:t xml:space="preserve">] </w:t>
      </w:r>
      <w:r>
        <w:rPr>
          <w:rtl/>
        </w:rPr>
        <w:t>אחת נשבעה ואחת לא נשבעה, זו שנשבעה בניה יורשין כתובתה תחלה והשאר חולקין אותו בשוה, וכל היורש כתובת אמו שמתה בחיי אביו אינו טורף מנכסים משועבדים אלא מבני חורין ככל היורשין.</w:t>
      </w:r>
    </w:p>
    <w:p w14:paraId="5E6AA653" w14:textId="2736950F" w:rsidR="002733BF" w:rsidRDefault="002733BF" w:rsidP="002733BF">
      <w:pPr>
        <w:pStyle w:val="Style1"/>
        <w:rPr>
          <w:rtl/>
        </w:rPr>
      </w:pPr>
      <w:r>
        <w:rPr>
          <w:rFonts w:hint="cs"/>
          <w:rtl/>
        </w:rPr>
        <w:t>7)[</w:t>
      </w:r>
      <w:r>
        <w:rPr>
          <w:rtl/>
        </w:rPr>
        <w:t>שולחן ערוך אבן העזר הלכות כתובות סימן קיא סעיף יג</w:t>
      </w:r>
      <w:r>
        <w:rPr>
          <w:rFonts w:hint="cs"/>
          <w:rtl/>
        </w:rPr>
        <w:t xml:space="preserve">] </w:t>
      </w:r>
      <w:r>
        <w:rPr>
          <w:rtl/>
        </w:rPr>
        <w:t>כל היורש כתובת אמו שמתה בחיי אביו, אינו טורף מנכסים משועבדים אלא מבני חורין, ככל היורשין. (ועיין למטה סוף הסימן).</w:t>
      </w:r>
    </w:p>
    <w:p w14:paraId="74012DEC" w14:textId="37AE509A" w:rsidR="00C32D9A" w:rsidRDefault="00C32D9A" w:rsidP="00C32D9A">
      <w:pPr>
        <w:pStyle w:val="Style1"/>
        <w:rPr>
          <w:rtl/>
        </w:rPr>
      </w:pPr>
      <w:r>
        <w:rPr>
          <w:rFonts w:hint="cs"/>
          <w:rtl/>
        </w:rPr>
        <w:t>8)[</w:t>
      </w:r>
      <w:r>
        <w:rPr>
          <w:rtl/>
        </w:rPr>
        <w:t>רמב</w:t>
      </w:r>
      <w:r w:rsidR="00213DA1">
        <w:rPr>
          <w:rtl/>
        </w:rPr>
        <w:t>”ם \נשים\</w:t>
      </w:r>
      <w:r>
        <w:rPr>
          <w:rtl/>
        </w:rPr>
        <w:t xml:space="preserve"> הלכות אישות פרק טז הלכה ז</w:t>
      </w:r>
      <w:r>
        <w:rPr>
          <w:rFonts w:hint="cs"/>
          <w:rtl/>
        </w:rPr>
        <w:t xml:space="preserve">] </w:t>
      </w:r>
      <w:r>
        <w:rPr>
          <w:rtl/>
        </w:rPr>
        <w:t>תקנו הגאונים בכל הישיבות שתהיה האשה גובה כתובתה אחרי מות בעלה אף מן המטלטלין כדרך שהתקינו לבעל חוב לגבות מן המטלטלין, ופשטה תקנה זו ברוב ישראל, וכן שאר תנאי כתובה כולן ככתובה הן וישנן במטלטלין כבקרקע, חוץ מכתובת בנין דכרין שלא מצאנו מנהג ירושתה פשוט בכל הישיבות, לפיכך אני אומר מעמידין אותה על דין התלמוד שאין יורשין כתובת אמן אלא מן הקרקע.</w:t>
      </w:r>
    </w:p>
    <w:p w14:paraId="3666F991" w14:textId="04865AD1" w:rsidR="00526761" w:rsidRDefault="00526761" w:rsidP="00526761">
      <w:pPr>
        <w:pStyle w:val="Style1"/>
        <w:rPr>
          <w:rtl/>
        </w:rPr>
      </w:pPr>
      <w:r>
        <w:rPr>
          <w:rFonts w:hint="cs"/>
          <w:rtl/>
        </w:rPr>
        <w:t>9)[</w:t>
      </w:r>
      <w:r>
        <w:rPr>
          <w:rtl/>
        </w:rPr>
        <w:t>רמב</w:t>
      </w:r>
      <w:r w:rsidR="0057095E">
        <w:rPr>
          <w:rtl/>
        </w:rPr>
        <w:t>”ם \משפטים\</w:t>
      </w:r>
      <w:r>
        <w:rPr>
          <w:rtl/>
        </w:rPr>
        <w:t xml:space="preserve"> הלכות מלוה ולוה פרק יא הלכה א</w:t>
      </w:r>
      <w:r>
        <w:rPr>
          <w:rFonts w:hint="cs"/>
          <w:rtl/>
        </w:rPr>
        <w:t xml:space="preserve">] </w:t>
      </w:r>
      <w:r>
        <w:rPr>
          <w:rtl/>
        </w:rPr>
        <w:t>המלוה את חבירו בפני עדים או שאמר לעדים היו עלי עדים שאני חייב לזה מנה או אתם עדי שאני חייב לזה מנה זו נקראת מלוה על פה וא"צ לפורעו בעדים לפיכך אם טען ואמר אחר כך פרעתי נשבע היסת ונפטר, אבל המלוה את חבירו בשטר צריך לפרעו בעדים לפיכך אם טען ואמר פרעתי שטר זה אינו נאמן אלא אומרים לו או הבא עדים או עמוד ושלם לו חובו, לפיכך האומר לעדים היו עלי עדים שאני חייב לזה מנה אין כותבין עדותן ונותנין למלוה שלא יחזירו למלוה על פה עדות בשטר עד שיאמר להן הלוה כתבו שטר וחתמו ותנו לו, אף על פי שאמר להן כך צריכין להמלך בו אחר שחתמו בשטר ואח"כ נותנין השטר ביד המלוה, קנו מידו שהוא חייב לו מנה הרי אלו כותבין ונותנין אף על פי שלא אמר להן כתובו שסתם קנין לכתיבה עומד ואינן צריכין להמלך בו. /השגת הראב"ד/ לפיכך האומר היו עלי עדים וכו' עד ביד המלוה. א"א אני קבלתי שלא נאמר בגמרא אלא בכותב כתובה לאשתו ומוסיף לה אבל בהודאות והלואות לא צריך לאימלוכי ביה עכ"ל.</w:t>
      </w:r>
    </w:p>
    <w:p w14:paraId="510DFDBF" w14:textId="3D9D3DD7" w:rsidR="000026ED" w:rsidRDefault="000026ED" w:rsidP="000026ED">
      <w:pPr>
        <w:pStyle w:val="Style1"/>
        <w:rPr>
          <w:rtl/>
        </w:rPr>
      </w:pPr>
      <w:r>
        <w:rPr>
          <w:rFonts w:hint="cs"/>
          <w:rtl/>
        </w:rPr>
        <w:t>9)[</w:t>
      </w:r>
      <w:r>
        <w:rPr>
          <w:rtl/>
        </w:rPr>
        <w:t>שולחן ערוך חושן משפט הלכות הלואה סימן לט סעיף ב</w:t>
      </w:r>
      <w:r>
        <w:rPr>
          <w:rFonts w:hint="cs"/>
          <w:rtl/>
        </w:rPr>
        <w:t>]</w:t>
      </w:r>
      <w:r w:rsidR="000701FA">
        <w:rPr>
          <w:rFonts w:hint="cs"/>
          <w:rtl/>
        </w:rPr>
        <w:t xml:space="preserve"> </w:t>
      </w:r>
      <w:r w:rsidR="000701FA" w:rsidRPr="000701FA">
        <w:rPr>
          <w:rtl/>
        </w:rPr>
        <w:t>המלוה את חבירו בעדים אין כותבין עדותן ונותנין למלוה שלא יחזירו למלוה על פה מלוה בשטר עד שיאמר להם הלוה כתבו שטר וחתמו ותנו לו ואע"פ שאמר להם כן צריכים להמלך בו אחר שחתמו בשטר ואח"כ נותנים השטר ביד המלוה וי"א שאינם צריכים להמלך בו</w:t>
      </w:r>
      <w:r w:rsidR="000701FA" w:rsidRPr="000701FA">
        <w:t>:</w:t>
      </w:r>
    </w:p>
    <w:p w14:paraId="548416C8" w14:textId="20445248" w:rsidR="00D907A5" w:rsidRPr="00D907A5" w:rsidRDefault="004C23EF" w:rsidP="00D907A5">
      <w:pPr>
        <w:pStyle w:val="Style1"/>
      </w:pPr>
      <w:r>
        <w:rPr>
          <w:rFonts w:hint="cs"/>
          <w:rtl/>
        </w:rPr>
        <w:t>9)[</w:t>
      </w:r>
      <w:r>
        <w:rPr>
          <w:rtl/>
        </w:rPr>
        <w:t>שולחן ערוך חושן משפט הלכות הלואה סימן לט סעיף ג</w:t>
      </w:r>
      <w:r>
        <w:rPr>
          <w:rFonts w:hint="cs"/>
          <w:rtl/>
        </w:rPr>
        <w:t>]</w:t>
      </w:r>
      <w:r w:rsidR="00D907A5">
        <w:rPr>
          <w:rFonts w:hint="cs"/>
          <w:rtl/>
        </w:rPr>
        <w:t xml:space="preserve"> </w:t>
      </w:r>
      <w:r w:rsidR="00D907A5" w:rsidRPr="00D907A5">
        <w:rPr>
          <w:rtl/>
        </w:rPr>
        <w:t>במה דברים אמורים בשלא קנו מידו אבל אם קנו מידו שהוא חייב לו מנה הרי אלו כותבין ונותנין אע"פ שלא אמר להם כתבו שסתם קנין לכתיבה עומד ואפי' נשתהו זמן מרובה ואח"כ בא המלוה ותבעם שיכתבו לו הרי אלו יכתבו ויתנו ואין צריכים לחוש שמא פרע וכותבין זמן הקנין או יכתבו שטרא דנא איחרנוהו וכתבנוהו ואפילו מת הלוה קודם כתיבת השטר אפי' קבע לו זמן ועבר הזמן יכולים לכתבו אחר מותו וכן אם מת המלוה ובאו יורשיו לעדים שיכתבו להם השטר כותבים להם ויש חולקים ואומרים דאי משך מילתא טפי משלשים יום אין כותבין ואם קבע לו זמן לפרעון אין כותבין אחר אותו זמן דחיישינן שמא פרע</w:t>
      </w:r>
      <w:r w:rsidR="00D907A5" w:rsidRPr="00D907A5">
        <w:t>:</w:t>
      </w:r>
    </w:p>
    <w:p w14:paraId="6A6ADAFC" w14:textId="227F1363" w:rsidR="00D907A5" w:rsidRDefault="00D907A5" w:rsidP="00D907A5">
      <w:pPr>
        <w:pStyle w:val="Style1"/>
        <w:rPr>
          <w:rtl/>
        </w:rPr>
      </w:pPr>
      <w:r w:rsidRPr="00D907A5">
        <w:rPr>
          <w:rFonts w:hint="cs"/>
          <w:rtl/>
        </w:rPr>
        <w:t>הגה: וכל שלא אמר כתבו וחתמו אע"פ שכתבו בשטר אינו אלא כפנקס בעלמא (תשובת רשב"א סי' אלף רי"א) מיהו י"א דאם נתקיים דנין על פיו. ועי' לעיל </w:t>
      </w:r>
      <w:hyperlink r:id="rId114" w:anchor="%D7%A1%D7%A2%D7%99%D7%A3_%D7%99" w:tooltip="שולחן ערוך חושן משפט מו" w:history="1">
        <w:r w:rsidRPr="00D907A5">
          <w:rPr>
            <w:rStyle w:val="Hyperlink"/>
            <w:rFonts w:hint="cs"/>
            <w:color w:val="7030A0"/>
            <w:u w:val="none"/>
            <w:rtl/>
          </w:rPr>
          <w:t>סי' מ"ו סעיף י</w:t>
        </w:r>
        <w:r w:rsidRPr="00D907A5">
          <w:rPr>
            <w:rStyle w:val="Hyperlink"/>
            <w:rFonts w:hint="cs"/>
            <w:color w:val="7030A0"/>
            <w:u w:val="none"/>
          </w:rPr>
          <w:t>'</w:t>
        </w:r>
      </w:hyperlink>
      <w:r w:rsidRPr="00D907A5">
        <w:rPr>
          <w:rFonts w:hint="cs"/>
        </w:rPr>
        <w:t xml:space="preserve">. </w:t>
      </w:r>
      <w:r w:rsidRPr="00D907A5">
        <w:rPr>
          <w:rFonts w:hint="cs"/>
          <w:rtl/>
        </w:rPr>
        <w:t>והא דבעי' דצריך לומר כתבו וחתמו היינו כשמתחייב עצמו אבל כשמוחל דבר לחבירו או פטרו א"צ ועיין לקמן </w:t>
      </w:r>
      <w:hyperlink r:id="rId115" w:anchor="%D7%A1%D7%A2%D7%99%D7%A3_%D7%9B%D7%98" w:tooltip="שולחן ערוך חושן משפט פא" w:history="1">
        <w:r w:rsidRPr="00D907A5">
          <w:rPr>
            <w:rStyle w:val="Hyperlink"/>
            <w:rFonts w:hint="cs"/>
            <w:color w:val="7030A0"/>
            <w:u w:val="none"/>
            <w:rtl/>
          </w:rPr>
          <w:t>סי' פ"א סעיף כ"ט</w:t>
        </w:r>
      </w:hyperlink>
      <w:r w:rsidRPr="00D907A5">
        <w:t>:</w:t>
      </w:r>
    </w:p>
    <w:p w14:paraId="00177E4E" w14:textId="7F0E20E5" w:rsidR="00054253" w:rsidRDefault="00054253" w:rsidP="00054253">
      <w:pPr>
        <w:pStyle w:val="Style1"/>
        <w:rPr>
          <w:rtl/>
        </w:rPr>
      </w:pPr>
      <w:r>
        <w:rPr>
          <w:rFonts w:hint="cs"/>
          <w:rtl/>
        </w:rPr>
        <w:t>10)[</w:t>
      </w:r>
      <w:r>
        <w:rPr>
          <w:rtl/>
        </w:rPr>
        <w:t>רמב</w:t>
      </w:r>
      <w:r w:rsidR="00213DA1">
        <w:rPr>
          <w:rtl/>
        </w:rPr>
        <w:t>”ם \נשים\</w:t>
      </w:r>
      <w:r>
        <w:rPr>
          <w:rtl/>
        </w:rPr>
        <w:t xml:space="preserve"> הלכות גירושין פרק ב הלכה יב</w:t>
      </w:r>
      <w:r>
        <w:rPr>
          <w:rFonts w:hint="cs"/>
          <w:rtl/>
        </w:rPr>
        <w:t xml:space="preserve">] </w:t>
      </w:r>
      <w:r>
        <w:rPr>
          <w:rtl/>
        </w:rPr>
        <w:t>האומר כתבו גט לאשתי הרי אלו כותבין וחותמין ונותנין לבעל בידו ואין נותנין לאשתו עד שיאמר להם ליתן לה, ואם נתנו לה אינו גט, במה דברים אמורים בבריא, אבל המסוכן והוא אדם שקפץ עליו החולי במהרה והכביד חליו מיד והיוצא בקולר אפילו על עסקי ממון והמפרש בים והיוצא בשיירה ואמר כתבו גט לאשתי הרי אלו יכתבו ויחתמו ויתנו לה, שהדבר ידוע שלא נתכוון זה אלא לכתוב וליתן לה.</w:t>
      </w:r>
    </w:p>
    <w:p w14:paraId="0E70030D" w14:textId="68AC17B5" w:rsidR="005B0DF2" w:rsidRPr="00A25A4C" w:rsidRDefault="005B0DF2" w:rsidP="005B0DF2">
      <w:pPr>
        <w:pStyle w:val="Style1"/>
      </w:pPr>
      <w:r>
        <w:rPr>
          <w:rFonts w:hint="cs"/>
          <w:rtl/>
        </w:rPr>
        <w:t>10)[</w:t>
      </w:r>
      <w:r>
        <w:rPr>
          <w:rtl/>
        </w:rPr>
        <w:t>שולחן ערוך אבן העזר הלכות גיטין סימן קמא סעיף טז</w:t>
      </w:r>
      <w:r>
        <w:rPr>
          <w:rFonts w:hint="cs"/>
          <w:rtl/>
        </w:rPr>
        <w:t xml:space="preserve">] </w:t>
      </w:r>
      <w:r w:rsidRPr="00A25A4C">
        <w:rPr>
          <w:rtl/>
        </w:rPr>
        <w:t>האומר: כתבו גט לאשתי, הרי אלו כותבין ונותנין לבעל בידו, ואין נותנין לאשתו עד שיאמר להם לתן לה. ואם נתנו לה, אינו גט. במה דברים אמורים, בבריא. אבל במסכן, והוא אדם שקפץ עליו החלי במהרה והכביד עליו חליו מיד, והיוצא בקולר, אפילו על עסקי ממון, והמפרש בים והיוצא בשירא, ואמר: כתבו גט לאשתי, הרי אלו יכתבו ויתנו לה, שהדבר ידוע שלא נתכון זה אלא לכתב ולתן לה</w:t>
      </w:r>
      <w:r w:rsidRPr="00A25A4C">
        <w:t>:</w:t>
      </w:r>
    </w:p>
    <w:p w14:paraId="387ED364" w14:textId="603A0A73" w:rsidR="005B0DF2" w:rsidRPr="00D907A5" w:rsidRDefault="005B0DF2" w:rsidP="005B0DF2">
      <w:pPr>
        <w:pStyle w:val="Style1"/>
      </w:pPr>
    </w:p>
    <w:p w14:paraId="65591407" w14:textId="77777777" w:rsidR="00D907A5" w:rsidRPr="00D907A5" w:rsidRDefault="00D907A5" w:rsidP="00D907A5">
      <w:pPr>
        <w:pStyle w:val="Style1"/>
      </w:pPr>
    </w:p>
    <w:p w14:paraId="65690B60" w14:textId="62FF2689" w:rsidR="008C3685" w:rsidRPr="00A62FCC" w:rsidRDefault="008C3685" w:rsidP="008C3685">
      <w:pPr>
        <w:pStyle w:val="Style1"/>
        <w:rPr>
          <w:rStyle w:val="Style1Char"/>
          <w:rtl/>
        </w:rPr>
      </w:pPr>
    </w:p>
    <w:p w14:paraId="6B4DF04A" w14:textId="77777777" w:rsidR="002C4635" w:rsidRPr="003C3A2E" w:rsidRDefault="002C4635" w:rsidP="002C4635">
      <w:pPr>
        <w:bidi/>
        <w:rPr>
          <w:rStyle w:val="Style1Char"/>
          <w:color w:val="00B050"/>
          <w:rtl/>
        </w:rPr>
      </w:pPr>
    </w:p>
    <w:p w14:paraId="2808249F" w14:textId="77777777" w:rsidR="002C4635" w:rsidRDefault="002C4635" w:rsidP="002C4635">
      <w:pPr>
        <w:rPr>
          <w:rStyle w:val="Style1Char"/>
          <w:color w:val="00B050"/>
          <w:rtl/>
        </w:rPr>
      </w:pPr>
      <w:r>
        <w:rPr>
          <w:rStyle w:val="Style1Char"/>
          <w:color w:val="00B050"/>
          <w:rtl/>
        </w:rPr>
        <w:br w:type="page"/>
      </w:r>
    </w:p>
    <w:p w14:paraId="5B71A43A" w14:textId="49F9000F" w:rsidR="002C4635" w:rsidRDefault="002C4635" w:rsidP="002C4635">
      <w:pPr>
        <w:bidi/>
        <w:rPr>
          <w:rStyle w:val="Style1Char"/>
          <w:sz w:val="22"/>
          <w:szCs w:val="22"/>
          <w:rtl/>
        </w:rPr>
      </w:pPr>
      <w:r w:rsidRPr="0079372C">
        <w:rPr>
          <w:rStyle w:val="Style1Char"/>
          <w:color w:val="00B050"/>
          <w:sz w:val="22"/>
          <w:szCs w:val="22"/>
          <w:highlight w:val="yellow"/>
          <w:rtl/>
        </w:rPr>
        <w:lastRenderedPageBreak/>
        <w:t>[דף נה עמוד ב]</w:t>
      </w:r>
      <w:r w:rsidRPr="0079372C">
        <w:rPr>
          <w:rStyle w:val="Style1Char"/>
          <w:color w:val="00B050"/>
          <w:sz w:val="22"/>
          <w:szCs w:val="22"/>
          <w:rtl/>
        </w:rPr>
        <w:t xml:space="preserve"> </w:t>
      </w:r>
      <w:r w:rsidR="00B86971">
        <w:rPr>
          <w:rStyle w:val="Style1Char"/>
          <w:rFonts w:hint="cs"/>
          <w:rtl/>
        </w:rPr>
        <w:t>(1)</w:t>
      </w:r>
      <w:r w:rsidRPr="005F123E">
        <w:rPr>
          <w:rStyle w:val="Style1Char"/>
          <w:color w:val="00B050"/>
          <w:rtl/>
        </w:rPr>
        <w:t xml:space="preserve">ובתרומת מעשר של דמאי. ורב לא אזיל בתר אומדנא? והא </w:t>
      </w:r>
      <w:r w:rsidRPr="00D16620">
        <w:rPr>
          <w:rStyle w:val="Style1Char"/>
          <w:sz w:val="22"/>
          <w:szCs w:val="22"/>
          <w:rtl/>
        </w:rPr>
        <w:t xml:space="preserve">איתמר: מתנת שכיב מרע שכתוב בה קנין, בבי רב משמיה דרב אמרי: ארכביה אתרי רכשי, ושמואל אמר: לא ידענא מאי אידון בה; </w:t>
      </w:r>
      <w:r w:rsidRPr="00CE4CC4">
        <w:rPr>
          <w:rStyle w:val="Style1Char"/>
          <w:sz w:val="22"/>
          <w:szCs w:val="22"/>
          <w:rtl/>
        </w:rPr>
        <w:t xml:space="preserve">בבי רב משמיה דרב אמרי ארכביה אתרי רכשי, הרי היא כמתנת בריא והרי היא כמתנת שכיב מרע, הרי היא כמתנת בריא - דאם עמד אינו יכול לחזור בו, הרי היא כמתנת שכיב מרע - שאם אמר הלואתי לפלוני, הלואתו לפלוני; ושמואל אמר לא ידענא מאי אידון בה, </w:t>
      </w:r>
      <w:r w:rsidR="003B5A9C">
        <w:rPr>
          <w:rStyle w:val="Style1Char"/>
          <w:rFonts w:hint="cs"/>
          <w:rtl/>
        </w:rPr>
        <w:t>(2)</w:t>
      </w:r>
      <w:r w:rsidRPr="00CE4CC4">
        <w:rPr>
          <w:rStyle w:val="Style1Char"/>
          <w:sz w:val="22"/>
          <w:szCs w:val="22"/>
          <w:rtl/>
        </w:rPr>
        <w:t xml:space="preserve">שמא לא גמר להקנותו אלא בשטר, ואין שטר לאחר מיתה! </w:t>
      </w:r>
    </w:p>
    <w:p w14:paraId="643CA25D" w14:textId="49B8CE3B" w:rsidR="00B86971" w:rsidRDefault="00B86971" w:rsidP="00B86971">
      <w:pPr>
        <w:pStyle w:val="Style1"/>
        <w:rPr>
          <w:rStyle w:val="Style1Char"/>
          <w:rtl/>
        </w:rPr>
      </w:pPr>
      <w:r>
        <w:rPr>
          <w:rStyle w:val="Style1Char"/>
          <w:rFonts w:hint="cs"/>
          <w:rtl/>
        </w:rPr>
        <w:t>1)[</w:t>
      </w:r>
      <w:r w:rsidRPr="00B86971">
        <w:rPr>
          <w:rStyle w:val="Style1Char"/>
          <w:rtl/>
        </w:rPr>
        <w:t>רמב</w:t>
      </w:r>
      <w:r w:rsidR="00786216">
        <w:rPr>
          <w:rStyle w:val="Style1Char"/>
          <w:rtl/>
        </w:rPr>
        <w:t>”ם \זרעים\</w:t>
      </w:r>
      <w:r w:rsidRPr="00B86971">
        <w:rPr>
          <w:rStyle w:val="Style1Char"/>
          <w:rtl/>
        </w:rPr>
        <w:t xml:space="preserve"> הלכות מעשר פרק יב הלכה ד</w:t>
      </w:r>
      <w:r>
        <w:rPr>
          <w:rStyle w:val="Style1Char"/>
          <w:rFonts w:hint="cs"/>
          <w:rtl/>
        </w:rPr>
        <w:t xml:space="preserve">] </w:t>
      </w:r>
      <w:r w:rsidRPr="00B86971">
        <w:rPr>
          <w:rStyle w:val="Style1Char"/>
          <w:rtl/>
        </w:rPr>
        <w:t>מי שאינו נאמן שראינוהו שהפריש תרומת מעשר מפירותיו שהן דמאי וראינוהו שחזרה ונפלה בפנינו בין למקום אחר בין למקומה וחזר ואמר הפרשתיה נאמן אפילו בחול ואוכל על פיו, כשם שאימת שבת על עמי הארץ כך אימת דימוע עליהם ואינן חשודין להאכיל את המדומע. /השגת הראב"ד/ מי שאינו נאמן וכו' עד להאכיל את הדימוע. א"א דברים הללו זרים הם אצלי ואינם אלא כשנפלה למאה שעלייתה מועלת שאם נפלה לפחות ממאה אין לנו להאמינו וא"כ מאי אימת דימוע איכא הכא אלא לעולם שנפלה לפחות ממאה בשביל שלא יאסר הכל שואלין אותו אם היה מתוקן ואוכלין על פיו מפני שאימת דימוע עליהם להאכילו.</w:t>
      </w:r>
    </w:p>
    <w:p w14:paraId="71831A6B" w14:textId="25B2F027" w:rsidR="00442619" w:rsidRDefault="00442619" w:rsidP="00442619">
      <w:pPr>
        <w:pStyle w:val="Style1"/>
        <w:rPr>
          <w:rStyle w:val="Style1Char"/>
          <w:rtl/>
        </w:rPr>
      </w:pPr>
      <w:r>
        <w:rPr>
          <w:rStyle w:val="Style1Char"/>
          <w:rFonts w:hint="cs"/>
          <w:rtl/>
        </w:rPr>
        <w:t>2)[</w:t>
      </w:r>
      <w:r w:rsidRPr="00442619">
        <w:rPr>
          <w:rStyle w:val="Style1Char"/>
          <w:rtl/>
        </w:rPr>
        <w:t>רמב</w:t>
      </w:r>
      <w:r w:rsidR="00C764B2">
        <w:rPr>
          <w:rStyle w:val="Style1Char"/>
          <w:rtl/>
        </w:rPr>
        <w:t>”ם \קנין\</w:t>
      </w:r>
      <w:r w:rsidRPr="00442619">
        <w:rPr>
          <w:rStyle w:val="Style1Char"/>
          <w:rtl/>
        </w:rPr>
        <w:t xml:space="preserve"> הלכות זכיה ומתנה פרק ח הלכה י</w:t>
      </w:r>
      <w:r>
        <w:rPr>
          <w:rStyle w:val="Style1Char"/>
          <w:rFonts w:hint="cs"/>
          <w:rtl/>
        </w:rPr>
        <w:t xml:space="preserve">] </w:t>
      </w:r>
      <w:r w:rsidRPr="00442619">
        <w:rPr>
          <w:rStyle w:val="Style1Char"/>
          <w:rtl/>
        </w:rPr>
        <w:t>מתנת שכיב מרע שכתוב בה קנין, בין שהיתה במקצת נכסיו בין שהיתה בכל נכסיו, חוששין לה שמא לא גמר להקנותו אלא בשטר, והואיל ומתנה זו לא תקנה אלא לאחר מיתה, אין שטר לאחר מיתה והרי המתנה בטילה.</w:t>
      </w:r>
    </w:p>
    <w:p w14:paraId="07C003BA" w14:textId="779E7403" w:rsidR="00502CA2" w:rsidRPr="00502CA2" w:rsidRDefault="003E080C" w:rsidP="00502CA2">
      <w:pPr>
        <w:pStyle w:val="Style1"/>
      </w:pPr>
      <w:r>
        <w:rPr>
          <w:rStyle w:val="Style1Char"/>
          <w:rFonts w:hint="cs"/>
          <w:rtl/>
        </w:rPr>
        <w:t>2)[</w:t>
      </w:r>
      <w:r w:rsidR="00826607" w:rsidRPr="00826607">
        <w:rPr>
          <w:rStyle w:val="Style1Char"/>
          <w:rtl/>
        </w:rPr>
        <w:t>שולחן ערוך חושן משפט הלכות מתנת שכיב מרע סימן רנ סעיף ט</w:t>
      </w:r>
      <w:r>
        <w:rPr>
          <w:rStyle w:val="Style1Char"/>
          <w:rFonts w:hint="cs"/>
          <w:rtl/>
        </w:rPr>
        <w:t>]</w:t>
      </w:r>
      <w:r w:rsidR="00502CA2">
        <w:rPr>
          <w:rStyle w:val="Style1Char"/>
          <w:rFonts w:hint="cs"/>
          <w:rtl/>
        </w:rPr>
        <w:t xml:space="preserve"> </w:t>
      </w:r>
      <w:r w:rsidR="00502CA2" w:rsidRPr="00502CA2">
        <w:rPr>
          <w:rtl/>
        </w:rPr>
        <w:t>במה דברים אמורים דמתנת שכיב מרע במקצת בעי קנין? בסתם. אבל אם נתן מקצת נכסיו בפירוש במתנת ש"מ -- א"צ קנין; ואם עמד -- חוזר ואם לא עמד -- קונה זה המקצת. ואם יש בו קנין אינו קונה אא"כ כתב כמיפה כחו. וכן אם כתב כל נכסיו ומפרש שנותן הכל מעכשיו, ומקנה לו מחיים, הרי היא כשאר מתנת בריא שאם הגיע השטר ליד המקבל או שקנו מיד הנותן קנה הכל ואינו יכול לחזור בו</w:t>
      </w:r>
      <w:r w:rsidR="00502CA2" w:rsidRPr="00502CA2">
        <w:t>.</w:t>
      </w:r>
    </w:p>
    <w:p w14:paraId="6C5BA087" w14:textId="77777777" w:rsidR="00502CA2" w:rsidRPr="00502CA2" w:rsidRDefault="00502CA2" w:rsidP="00502CA2">
      <w:pPr>
        <w:pStyle w:val="Style1"/>
      </w:pPr>
      <w:r w:rsidRPr="00502CA2">
        <w:rPr>
          <w:rFonts w:hint="cs"/>
          <w:rtl/>
        </w:rPr>
        <w:t>הגה: וי"א דהוא הדין מתנת שכיב מרע שכתבו שמקנה לו מהיום הוי כמתנת בריא וצריכה קנין (נ"י פ' מי שמת). ולכן יש ליזהר בצוואת שכיב מרע שלא לכתוב בה שנתן במתנת בריא או מהיום, אם לא צוה כך. ואם צוה כך, אסור לשנות ואז יש לו דין מתנת בריא ואינו נקנה רק בקנין, ולא אמרינן בזה שטעות סופר היה. ואם לא היה בה קנין -- המתנה בטילה, כן נראה לי</w:t>
      </w:r>
      <w:r w:rsidRPr="00502CA2">
        <w:t>.</w:t>
      </w:r>
    </w:p>
    <w:p w14:paraId="4F96DDC0" w14:textId="77777777" w:rsidR="00502CA2" w:rsidRPr="00502CA2" w:rsidRDefault="00502CA2" w:rsidP="00502CA2">
      <w:pPr>
        <w:pStyle w:val="Style1"/>
        <w:rPr>
          <w:rStyle w:val="Style1Char"/>
        </w:rPr>
      </w:pPr>
    </w:p>
    <w:p w14:paraId="6ED7E3DA" w14:textId="0A53F47F" w:rsidR="00826607" w:rsidRPr="00B86971" w:rsidRDefault="00826607" w:rsidP="00826607">
      <w:pPr>
        <w:pStyle w:val="Style1"/>
        <w:rPr>
          <w:rStyle w:val="Style1Char"/>
          <w:rtl/>
        </w:rPr>
      </w:pPr>
    </w:p>
    <w:p w14:paraId="31B63550" w14:textId="77777777" w:rsidR="002C4635" w:rsidRPr="00B86971" w:rsidRDefault="002C4635" w:rsidP="00B86971">
      <w:pPr>
        <w:pStyle w:val="Style1"/>
        <w:rPr>
          <w:rStyle w:val="Style1Char"/>
        </w:rPr>
      </w:pPr>
      <w:r w:rsidRPr="00B86971">
        <w:rPr>
          <w:rStyle w:val="Style1Char"/>
          <w:rtl/>
        </w:rPr>
        <w:t xml:space="preserve"> </w:t>
      </w:r>
    </w:p>
    <w:p w14:paraId="36281BA6" w14:textId="77777777" w:rsidR="002C4635" w:rsidRPr="00D16620" w:rsidRDefault="002C4635" w:rsidP="002C4635">
      <w:pPr>
        <w:bidi/>
        <w:rPr>
          <w:rStyle w:val="Style1Char"/>
          <w:color w:val="00B050"/>
          <w:rtl/>
        </w:rPr>
      </w:pPr>
    </w:p>
    <w:p w14:paraId="3BB98420" w14:textId="77777777" w:rsidR="002C4635" w:rsidRDefault="002C4635" w:rsidP="002C4635">
      <w:pPr>
        <w:rPr>
          <w:rStyle w:val="Style1Char"/>
          <w:color w:val="00B050"/>
          <w:rtl/>
        </w:rPr>
      </w:pPr>
      <w:r>
        <w:rPr>
          <w:rStyle w:val="Style1Char"/>
          <w:color w:val="00B050"/>
          <w:rtl/>
        </w:rPr>
        <w:br w:type="page"/>
      </w:r>
    </w:p>
    <w:p w14:paraId="570E8AC7" w14:textId="2A1CA876" w:rsidR="002C4635" w:rsidRPr="00F24BFA" w:rsidRDefault="002C4635" w:rsidP="002C4635">
      <w:pPr>
        <w:bidi/>
        <w:rPr>
          <w:rStyle w:val="Style1Char"/>
          <w:color w:val="4472C4" w:themeColor="accent1"/>
        </w:rPr>
      </w:pPr>
      <w:r w:rsidRPr="003663A8">
        <w:rPr>
          <w:rStyle w:val="Style1Char"/>
          <w:color w:val="00B050"/>
          <w:sz w:val="22"/>
          <w:szCs w:val="22"/>
          <w:highlight w:val="yellow"/>
          <w:rtl/>
        </w:rPr>
        <w:lastRenderedPageBreak/>
        <w:t>[דף נו עמוד א]</w:t>
      </w:r>
      <w:r w:rsidRPr="003663A8">
        <w:rPr>
          <w:rStyle w:val="Style1Char"/>
          <w:color w:val="00B050"/>
          <w:sz w:val="22"/>
          <w:szCs w:val="22"/>
          <w:rtl/>
        </w:rPr>
        <w:t xml:space="preserve"> </w:t>
      </w:r>
      <w:r w:rsidRPr="005F123E">
        <w:rPr>
          <w:rStyle w:val="Style1Char"/>
          <w:color w:val="00B050"/>
          <w:rtl/>
        </w:rPr>
        <w:t xml:space="preserve">אלא תרוייהו </w:t>
      </w:r>
      <w:r w:rsidR="00057B3C">
        <w:rPr>
          <w:rStyle w:val="Style1Char"/>
          <w:rFonts w:hint="cs"/>
          <w:rtl/>
        </w:rPr>
        <w:t>(1)</w:t>
      </w:r>
      <w:r w:rsidRPr="005F123E">
        <w:rPr>
          <w:rStyle w:val="Style1Char"/>
          <w:color w:val="00B050"/>
          <w:rtl/>
        </w:rPr>
        <w:t xml:space="preserve">אזלי בתר אומדנא, מאן דאמר הלכה - שפיר, מאן דאמר אין הלכה - הכא נמי אומדן דעתא הוא, משום איקרובי דעתא הוא, והא איקרבא ליה דעתא. יתיב רב חנינא קמיה דרבי ינאי וקאמר: הלכה כרבי אלעזר בן עזריה, אמר ליה: פוק קרי קראך לברא, אין הלכה כרבי אלעזר בן עזריה. אמר רב יצחק בר אבדימי משום רבינו: הלכה כרבי אלעזר בן עזריה. </w:t>
      </w:r>
      <w:r w:rsidRPr="00B75D92">
        <w:rPr>
          <w:rStyle w:val="Style1Char"/>
          <w:color w:val="806000" w:themeColor="accent4" w:themeShade="80"/>
          <w:sz w:val="22"/>
          <w:szCs w:val="22"/>
          <w:rtl/>
        </w:rPr>
        <w:t>ר' אלעזר בן עזריה אומר וכו'</w:t>
      </w:r>
      <w:r w:rsidRPr="00B75D92">
        <w:rPr>
          <w:rStyle w:val="Style1Char"/>
          <w:rFonts w:hint="cs"/>
          <w:color w:val="806000" w:themeColor="accent4" w:themeShade="80"/>
          <w:sz w:val="22"/>
          <w:szCs w:val="22"/>
          <w:rtl/>
        </w:rPr>
        <w:t xml:space="preserve"> </w:t>
      </w:r>
      <w:r w:rsidRPr="00774A4E">
        <w:rPr>
          <w:rStyle w:val="Style1Char"/>
          <w:sz w:val="22"/>
          <w:szCs w:val="22"/>
          <w:rtl/>
        </w:rPr>
        <w:t xml:space="preserve">אמר רב נחמן </w:t>
      </w:r>
      <w:r w:rsidRPr="00B75D92">
        <w:rPr>
          <w:rStyle w:val="Style1Char"/>
          <w:color w:val="auto"/>
          <w:sz w:val="22"/>
          <w:szCs w:val="22"/>
          <w:rtl/>
        </w:rPr>
        <w:t>אמר שמואל: הלכה כרבי אלעזר בן עזריה</w:t>
      </w:r>
      <w:r>
        <w:rPr>
          <w:rStyle w:val="Style1Char"/>
          <w:rFonts w:hint="cs"/>
          <w:color w:val="4472C4" w:themeColor="accent1"/>
          <w:rtl/>
        </w:rPr>
        <w:t xml:space="preserve"> </w:t>
      </w:r>
      <w:r w:rsidRPr="00F24BFA">
        <w:rPr>
          <w:rStyle w:val="Style1Char"/>
          <w:color w:val="4472C4" w:themeColor="accent1"/>
          <w:rtl/>
        </w:rPr>
        <w:t>כ' הרמב"ם ז"ל בפ' עשירי מהל' אישות המארס את האשה וכתב לה כתובה ולא נכנסה לחופה עדיין ארוסה היא ואינה נשואה שאין הכתובה עושה נשואין ואם מת או גירשה גובה עיקר כתובתה מבני חרי ואינה גובה תוספת כלל הואיל ולא נשאה. נראה שהוא מפרש שלא כתב לה אלא על מנת לכונסה שהכתיבה אינה כלום כל זמן שלא כנסה ומנה או מאתים גובה כמלוה על פה ומיהו אהני כתיבה דאית לה כתובה דהא איהו גופיה כתב בחיבורו דארוסה אין לה כתובה אם לא שכתב לה ואין דבריו נראין דלמה לא תהא כתובת מנה או מאתים כשאר מלוה בשטר לגבות ממשעבדי</w:t>
      </w:r>
      <w:r>
        <w:rPr>
          <w:rStyle w:val="Style1Char"/>
          <w:rFonts w:hint="cs"/>
          <w:color w:val="4472C4" w:themeColor="accent1"/>
          <w:rtl/>
        </w:rPr>
        <w:t xml:space="preserve"> </w:t>
      </w:r>
      <w:r w:rsidRPr="00F24BFA">
        <w:rPr>
          <w:rStyle w:val="Style1Char"/>
          <w:color w:val="4472C4" w:themeColor="accent1"/>
          <w:rtl/>
        </w:rPr>
        <w:t>נהי דתוספת לא כתב לה אלא ע"מ לכונסה מ"מ שטר גמור הוי לענין מנה או מאתים ואף על גב דאמרי' בפירקין דלעיל (דף מד א) והלכתא אחד זה ואחד זה מן הנשואין מיירי דחזר וכתב לה בשעת נשואין דאמרינן אחולי אחליה לשיעבודא קמא ונתרצה לגבות מזמן הכתוב בשטר בין עיקר בין תוספת ועוד משמע דגובה מן האירוסין ממשעבדי נמי כמו מן הנשואין</w:t>
      </w:r>
      <w:r w:rsidRPr="00F24BFA">
        <w:rPr>
          <w:rStyle w:val="Style1Char"/>
          <w:color w:val="4472C4" w:themeColor="accent1"/>
        </w:rPr>
        <w:t xml:space="preserve">: </w:t>
      </w:r>
    </w:p>
    <w:p w14:paraId="63EED540" w14:textId="5555DD1B" w:rsidR="002C4635" w:rsidRDefault="002C4635" w:rsidP="002C4635">
      <w:pPr>
        <w:bidi/>
        <w:rPr>
          <w:rStyle w:val="Style1Char"/>
          <w:color w:val="4472C4" w:themeColor="accent1"/>
          <w:rtl/>
        </w:rPr>
      </w:pPr>
      <w:r w:rsidRPr="00774A4E">
        <w:rPr>
          <w:rStyle w:val="Style1Char"/>
          <w:sz w:val="22"/>
          <w:szCs w:val="22"/>
          <w:rtl/>
        </w:rPr>
        <w:t xml:space="preserve">, </w:t>
      </w:r>
      <w:r w:rsidRPr="005F123E">
        <w:rPr>
          <w:rStyle w:val="Style1Char"/>
          <w:color w:val="00B050"/>
          <w:rtl/>
        </w:rPr>
        <w:t xml:space="preserve">ורב נחמן דידיה אמר: אין הלכה כרבי אלעזר בן עזריה, ונהרדעי משמיה דרב נחמן אמרי: הלכה כרבי אלעזר בן עזריה. ואף על גב דלט רב נחמן ואמר: כל דיינא דדאין כרבי אלעזר בן עזריה הכי והכי תיהוי, אפילו הכי הלכה כרבי אלעזר בן עזריה. </w:t>
      </w:r>
      <w:r w:rsidR="00E11227">
        <w:rPr>
          <w:rStyle w:val="Style1Char"/>
          <w:rFonts w:hint="cs"/>
          <w:rtl/>
        </w:rPr>
        <w:t>(2)</w:t>
      </w:r>
      <w:r w:rsidRPr="005F123E">
        <w:rPr>
          <w:rStyle w:val="Style1Char"/>
          <w:color w:val="00B050"/>
          <w:rtl/>
        </w:rPr>
        <w:t xml:space="preserve">והלכה למעשה כרבי אלעזר בן עזריה. </w:t>
      </w:r>
      <w:r w:rsidRPr="006F2987">
        <w:rPr>
          <w:rStyle w:val="Style1Char"/>
          <w:color w:val="auto"/>
          <w:sz w:val="22"/>
          <w:szCs w:val="22"/>
          <w:rtl/>
        </w:rPr>
        <w:t>בעי</w:t>
      </w:r>
      <w:r w:rsidRPr="008E14D1">
        <w:rPr>
          <w:rStyle w:val="Style1Char"/>
          <w:sz w:val="22"/>
          <w:szCs w:val="22"/>
          <w:rtl/>
        </w:rPr>
        <w:t xml:space="preserve"> </w:t>
      </w:r>
      <w:r w:rsidRPr="005F123E">
        <w:rPr>
          <w:rStyle w:val="Style1Char"/>
          <w:color w:val="00B050"/>
          <w:rtl/>
        </w:rPr>
        <w:t>רבין</w:t>
      </w:r>
      <w:r w:rsidRPr="008E14D1">
        <w:rPr>
          <w:rStyle w:val="Style1Char"/>
          <w:color w:val="C00000"/>
          <w:rtl/>
        </w:rPr>
        <w:t xml:space="preserve"> </w:t>
      </w:r>
      <w:r w:rsidRPr="003C1267">
        <w:rPr>
          <w:rStyle w:val="Style1Char"/>
          <w:color w:val="806000" w:themeColor="accent4" w:themeShade="80"/>
          <w:sz w:val="22"/>
          <w:szCs w:val="22"/>
          <w:rtl/>
        </w:rPr>
        <w:t>ר' אבין</w:t>
      </w:r>
      <w:r w:rsidRPr="005F123E">
        <w:rPr>
          <w:rStyle w:val="Style1Char"/>
          <w:color w:val="00B050"/>
          <w:rtl/>
        </w:rPr>
        <w:t xml:space="preserve">: </w:t>
      </w:r>
      <w:r w:rsidRPr="003C1267">
        <w:rPr>
          <w:rStyle w:val="Style1Char"/>
          <w:color w:val="auto"/>
          <w:sz w:val="22"/>
          <w:szCs w:val="22"/>
          <w:rtl/>
        </w:rPr>
        <w:t xml:space="preserve">נכנסה לחופה ולא נבעלה, מהו? חיבת חופה קונה, או חיבת ביאה קונה? </w:t>
      </w:r>
      <w:r w:rsidRPr="003C1267">
        <w:rPr>
          <w:rStyle w:val="Style1Char"/>
          <w:color w:val="806000" w:themeColor="accent4" w:themeShade="80"/>
          <w:sz w:val="22"/>
          <w:szCs w:val="22"/>
          <w:rtl/>
        </w:rPr>
        <w:t xml:space="preserve">ופשטינן דחיבת חופה קונה </w:t>
      </w:r>
      <w:r w:rsidRPr="005F123E">
        <w:rPr>
          <w:rStyle w:val="Style1Char"/>
          <w:color w:val="00B050"/>
          <w:rtl/>
        </w:rPr>
        <w:t xml:space="preserve">תא שמע, </w:t>
      </w:r>
      <w:r w:rsidRPr="00E87A2C">
        <w:rPr>
          <w:rStyle w:val="Style1Char"/>
          <w:color w:val="4472C4" w:themeColor="accent1"/>
          <w:sz w:val="22"/>
          <w:szCs w:val="22"/>
          <w:rtl/>
        </w:rPr>
        <w:t>מ</w:t>
      </w:r>
      <w:r w:rsidRPr="00E87A2C">
        <w:rPr>
          <w:rStyle w:val="Style1Char"/>
          <w:color w:val="ED7D31" w:themeColor="accent2"/>
          <w:sz w:val="22"/>
          <w:szCs w:val="22"/>
          <w:rtl/>
        </w:rPr>
        <w:t>דתני רב יוסף: שלא כתב לה אלא על חיבת לילה הראשון</w:t>
      </w:r>
      <w:r w:rsidRPr="000333B6">
        <w:rPr>
          <w:rStyle w:val="Style1Char"/>
          <w:color w:val="4472C4" w:themeColor="accent1"/>
          <w:rtl/>
        </w:rPr>
        <w:t xml:space="preserve"> </w:t>
      </w:r>
      <w:r w:rsidRPr="00F24BFA">
        <w:rPr>
          <w:rStyle w:val="Style1Char"/>
          <w:color w:val="4472C4" w:themeColor="accent1"/>
          <w:rtl/>
        </w:rPr>
        <w:t>ואף על גב דמקשין עלה הא פרקא לההוא קושיא</w:t>
      </w:r>
      <w:r w:rsidRPr="005F123E">
        <w:rPr>
          <w:rStyle w:val="Style1Char"/>
          <w:color w:val="00B050"/>
          <w:rtl/>
        </w:rPr>
        <w:t xml:space="preserve">; אי אמרת בשלמא חיבת חופה קונה, היינו דאמר לילה הראשון, אלא אי אמרת חיבת ביאה קונה, ביאה בלילה הראשון איתא, מכאן ואילך ליתא? ואלא מאי? חופה, חופה בלילה איתא, ביממא ליתא? ולטעמיך, ביאה בלילה איתא, ביממא ליתא? הא אמר רבא: </w:t>
      </w:r>
      <w:r w:rsidR="001B0525">
        <w:rPr>
          <w:rStyle w:val="Style1Char"/>
          <w:rFonts w:hint="cs"/>
          <w:rtl/>
        </w:rPr>
        <w:t>(3)</w:t>
      </w:r>
      <w:r w:rsidRPr="005F123E">
        <w:rPr>
          <w:rStyle w:val="Style1Char"/>
          <w:color w:val="00B050"/>
          <w:rtl/>
        </w:rPr>
        <w:t>אם היה בבית אפל - מותר! הא לא קשיא, אורח ארעא קא משמע לן דביאה בלילה, אלא חופה קשיא! חופה נמי לא קשיא, כיון דסתם חופה לביאה קיימא, אורח ארעא קא משמע לן דבלילה</w:t>
      </w:r>
      <w:r w:rsidRPr="00DF59AF">
        <w:rPr>
          <w:rStyle w:val="Style1Char"/>
          <w:color w:val="4472C4" w:themeColor="accent1"/>
          <w:rtl/>
        </w:rPr>
        <w:t xml:space="preserve"> </w:t>
      </w:r>
      <w:r w:rsidRPr="00F24BFA">
        <w:rPr>
          <w:rStyle w:val="Style1Char"/>
          <w:color w:val="4472C4" w:themeColor="accent1"/>
          <w:rtl/>
        </w:rPr>
        <w:t xml:space="preserve">אבל בעיא </w:t>
      </w:r>
      <w:r>
        <w:rPr>
          <w:rStyle w:val="Style1Char"/>
          <w:rFonts w:hint="cs"/>
          <w:color w:val="4472C4" w:themeColor="accent1"/>
          <w:rtl/>
        </w:rPr>
        <w:t>ד</w:t>
      </w:r>
      <w:r w:rsidRPr="00DA16D8">
        <w:rPr>
          <w:rStyle w:val="Style1Char"/>
          <w:color w:val="222A35" w:themeColor="text2" w:themeShade="80"/>
          <w:sz w:val="22"/>
          <w:szCs w:val="22"/>
          <w:rtl/>
        </w:rPr>
        <w:t>בעי רב אשי: נכנסה לחופה ופירסה נידה</w:t>
      </w:r>
      <w:r w:rsidRPr="000D1B5D">
        <w:rPr>
          <w:rStyle w:val="Style1Char"/>
          <w:sz w:val="22"/>
          <w:szCs w:val="22"/>
          <w:rtl/>
        </w:rPr>
        <w:t xml:space="preserve">, מהו? אם תימצי לומר </w:t>
      </w:r>
      <w:r w:rsidR="00787AFD">
        <w:rPr>
          <w:rStyle w:val="Style1Char"/>
          <w:rFonts w:hint="cs"/>
          <w:rtl/>
        </w:rPr>
        <w:t>(4)</w:t>
      </w:r>
      <w:r w:rsidRPr="000D1B5D">
        <w:rPr>
          <w:rStyle w:val="Style1Char"/>
          <w:sz w:val="22"/>
          <w:szCs w:val="22"/>
          <w:rtl/>
        </w:rPr>
        <w:t xml:space="preserve">חיבת חופה קונה - חופה דחזיא לביאה, </w:t>
      </w:r>
      <w:r w:rsidR="005D608B">
        <w:rPr>
          <w:rStyle w:val="Style1Char"/>
          <w:rFonts w:hint="cs"/>
          <w:rtl/>
        </w:rPr>
        <w:t>(4)</w:t>
      </w:r>
      <w:r w:rsidRPr="000D1B5D">
        <w:rPr>
          <w:rStyle w:val="Style1Char"/>
          <w:sz w:val="22"/>
          <w:szCs w:val="22"/>
          <w:rtl/>
        </w:rPr>
        <w:t xml:space="preserve">אבל חופה דלא חזיא לביאה לא, או דלמא לא שנא? </w:t>
      </w:r>
      <w:r w:rsidR="00E73800" w:rsidRPr="00E73800">
        <w:rPr>
          <w:rStyle w:val="Style1Char"/>
          <w:rFonts w:hint="cs"/>
          <w:color w:val="4472C4" w:themeColor="accent1"/>
          <w:rtl/>
        </w:rPr>
        <w:t>ו</w:t>
      </w:r>
      <w:r w:rsidRPr="00F24BFA">
        <w:rPr>
          <w:rStyle w:val="Style1Char"/>
          <w:color w:val="4472C4" w:themeColor="accent1"/>
          <w:rtl/>
        </w:rPr>
        <w:t xml:space="preserve">עלתה </w:t>
      </w:r>
      <w:r w:rsidRPr="00DA16D8">
        <w:rPr>
          <w:rStyle w:val="Style1Char"/>
          <w:color w:val="222A35" w:themeColor="text2" w:themeShade="80"/>
          <w:sz w:val="22"/>
          <w:szCs w:val="22"/>
          <w:rtl/>
        </w:rPr>
        <w:t>תיקו</w:t>
      </w:r>
      <w:r w:rsidRPr="000D1B5D">
        <w:rPr>
          <w:rStyle w:val="Style1Char"/>
          <w:sz w:val="22"/>
          <w:szCs w:val="22"/>
          <w:rtl/>
        </w:rPr>
        <w:t xml:space="preserve">. </w:t>
      </w:r>
      <w:r w:rsidRPr="00F24BFA">
        <w:rPr>
          <w:rStyle w:val="Style1Char"/>
          <w:color w:val="4472C4" w:themeColor="accent1"/>
          <w:rtl/>
        </w:rPr>
        <w:t>הלכך אינה קונה ומדבעי רב אשי שהוא בתראה ש"מ דחיבת חופה קונה ס"ל אף על גב דאת"ל קאמר. וכן פסק ר"ח וכן פסק רב אלפס ז"ל חופה דחזיא לביאה אין דלא חזיא לביאה לא</w:t>
      </w:r>
      <w:r w:rsidRPr="00F24BFA">
        <w:rPr>
          <w:rStyle w:val="Style1Char"/>
          <w:color w:val="4472C4" w:themeColor="accent1"/>
        </w:rPr>
        <w:t>:</w:t>
      </w:r>
    </w:p>
    <w:p w14:paraId="5C77D3BC" w14:textId="77777777" w:rsidR="002C4635" w:rsidRPr="00F24BFA" w:rsidRDefault="002C4635" w:rsidP="002C4635">
      <w:pPr>
        <w:bidi/>
        <w:rPr>
          <w:rStyle w:val="Style1Char"/>
          <w:color w:val="4472C4" w:themeColor="accent1"/>
        </w:rPr>
      </w:pPr>
      <w:r w:rsidRPr="00F24BFA">
        <w:rPr>
          <w:rStyle w:val="Style1Char"/>
          <w:color w:val="4472C4" w:themeColor="accent1"/>
          <w:rtl/>
        </w:rPr>
        <w:t>כתב הרמב"ם ז"ל בפ' עשירי מהלכות אישות משתיכנס לחופה נקראת נשואה אף על פי שלא נבעלה והוא שתהא ראויה לבעילה אבל אם היתה נדה אף על פי שנכנסה לחופה ונתייחד עמה לא גמרו הנשואין עדיין והרי היא כארוסה עדיין ונראה שדקדק זה מהך דשמעתין ומפרש כך את"ל חיבת חופה קונה חיפת חופה דחזי לביאה מיקרי חופה</w:t>
      </w:r>
      <w:r>
        <w:rPr>
          <w:rStyle w:val="Style1Char"/>
          <w:rFonts w:hint="cs"/>
          <w:color w:val="4472C4" w:themeColor="accent1"/>
          <w:rtl/>
        </w:rPr>
        <w:t xml:space="preserve"> </w:t>
      </w:r>
      <w:r w:rsidRPr="00F24BFA">
        <w:rPr>
          <w:rStyle w:val="Style1Char"/>
          <w:color w:val="4472C4" w:themeColor="accent1"/>
          <w:rtl/>
        </w:rPr>
        <w:t>או דלמא ל"ש ועלתה בתיקו הלכך לא הויא חופה וקשה דמ"ש דמיבעיא לרב אשי על חופה דהכא</w:t>
      </w:r>
      <w:r>
        <w:rPr>
          <w:rStyle w:val="Style1Char"/>
          <w:rFonts w:hint="cs"/>
          <w:color w:val="4472C4" w:themeColor="accent1"/>
          <w:rtl/>
        </w:rPr>
        <w:t xml:space="preserve"> </w:t>
      </w:r>
      <w:r w:rsidRPr="00F24BFA">
        <w:rPr>
          <w:rStyle w:val="Style1Char"/>
          <w:color w:val="4472C4" w:themeColor="accent1"/>
          <w:rtl/>
        </w:rPr>
        <w:t>אמאי לא מיבעיא ליה אמתני' דאין האשה אוכלת בתרומה עד שתיכנס לחופה נכנסה לחופה ופירסה נדה מהו שתאכל בתרומה וכן בכ"מ שנזכרה לחופה בש"ס מצי למיבעיא הך בעיא חופת נדה הוי חופה אי לאו והמדקדק בשמועה זו יבין דפשיטא ליה דחופת נדה הוי חופה אלא דמיבעיא ליה את"ל דלרבי אלעזר בן עזריה זכתה בחיבת חופה בלא ביאה חופת נדה מהו חופה דמתחזיא לביאה אין דמסתמא על חופה דחזיא לביאה כתב לה ולא על חופה דלא חזי לביאה דאע"ג דחופתה חופה לא כתב לה אדעתא דחופה שאינה ראויה לביאה דמסתבר דעיקר האומדנא על קירוב דעת של חיבת ביאה ודי לנו אם נאמר אדעתא דחופה דחזיא לביאה</w:t>
      </w:r>
      <w:r>
        <w:rPr>
          <w:rStyle w:val="Style1Char"/>
          <w:rFonts w:hint="cs"/>
          <w:color w:val="4472C4" w:themeColor="accent1"/>
        </w:rPr>
        <w:t>‍</w:t>
      </w:r>
      <w:r w:rsidRPr="00F24BFA">
        <w:rPr>
          <w:rStyle w:val="Style1Char"/>
          <w:color w:val="4472C4" w:themeColor="accent1"/>
          <w:rtl/>
        </w:rPr>
        <w:t xml:space="preserve"> ואין לומר דשאני הכי דפרסה נדה אח"כ מ"מ נהי דראיה אין כאן דחזי לחופה כשהיא נדה</w:t>
      </w:r>
      <w:r>
        <w:rPr>
          <w:rStyle w:val="Style1Char"/>
          <w:rFonts w:hint="cs"/>
          <w:color w:val="4472C4" w:themeColor="accent1"/>
        </w:rPr>
        <w:t>‍</w:t>
      </w:r>
      <w:r w:rsidRPr="00F24BFA">
        <w:rPr>
          <w:rStyle w:val="Style1Char"/>
          <w:color w:val="4472C4" w:themeColor="accent1"/>
          <w:rtl/>
        </w:rPr>
        <w:t xml:space="preserve"> גם להם אין ראיה דלא חזיא לחופה.</w:t>
      </w:r>
      <w:r>
        <w:rPr>
          <w:rStyle w:val="Style1Char"/>
          <w:rFonts w:hint="cs"/>
          <w:color w:val="4472C4" w:themeColor="accent1"/>
        </w:rPr>
        <w:t>‍</w:t>
      </w:r>
      <w:r w:rsidRPr="00F24BFA">
        <w:rPr>
          <w:rStyle w:val="Style1Char"/>
          <w:color w:val="4472C4" w:themeColor="accent1"/>
          <w:rtl/>
        </w:rPr>
        <w:t xml:space="preserve"> ועוד על כרחין הכי פי' נכנסה לחופה וכבר פרסה נדה דאי פרסה נדה אח"כ כבר קנאה בתחילת חופה דסוף חופה היא תחילת ביאה נמצא דחופה קונה בתחילתה</w:t>
      </w:r>
      <w:r>
        <w:rPr>
          <w:rStyle w:val="Style1Char"/>
          <w:rFonts w:hint="cs"/>
          <w:color w:val="4472C4" w:themeColor="accent1"/>
        </w:rPr>
        <w:t>‍</w:t>
      </w:r>
      <w:r w:rsidRPr="00F24BFA">
        <w:rPr>
          <w:rStyle w:val="Style1Char"/>
          <w:color w:val="4472C4" w:themeColor="accent1"/>
          <w:rtl/>
        </w:rPr>
        <w:t xml:space="preserve"> ועוד כתב שם ולא תנשא עד שתטהר ואין מברכין לה ברכת חתנים עד שתטהר ונראה דראייתו היא מההיא דריש מכילתין (דף ב א) לפיכך חלה הוא או שחלתה היא או שפרסה נדה אין מעלה לה מזונות אלמא דפרסה נדה אינה יכולה לכנוס כמו בחלתה </w:t>
      </w:r>
      <w:r>
        <w:rPr>
          <w:rStyle w:val="Style1Char"/>
          <w:rFonts w:hint="cs"/>
          <w:color w:val="4472C4" w:themeColor="accent1"/>
        </w:rPr>
        <w:t>‍</w:t>
      </w:r>
      <w:r w:rsidRPr="00F24BFA">
        <w:rPr>
          <w:rStyle w:val="Style1Char"/>
          <w:color w:val="4472C4" w:themeColor="accent1"/>
          <w:rtl/>
        </w:rPr>
        <w:t>ולאו ראיה היא דההוא דחשיב ליה אונס לא בשביל שיהא אסור לכנוס אלא משום דבהגעת זמן הנשואין מיחייב הבעל במזונותיה משום שיש לו ליכנוס ומצי למימר למה אכנוס מאחר שאינה ראויה לביאה הכל יודעין למה כלה נכנסה לחופה ומאחר שאונס מעכבה שאינה ראויה לביאה אינו חייב במזונותיה ועוד מביאין ראיה מפרק בתרא דנדה (דף סו א) רבינא איעסק לבריה בי רב חביבא אמר להו לארבעה לכתוב כתובה כי מטא לארבעה א"ל לנטור עד ארבעה אחרינא א"ל מ"ט עבד מר הכי א"ל לא סבר מר להא דרבא תבעוה לינשא ונתפייסה צריכה ז' נקיים אלמא אפילו בספק נדה אסור לכנוס ולברך ברכה נשואין. ונראה לי שאין ראיה משם לאסור אלא שלא רצה לישא כל זמן שאינה ראויה לביאה משום תוחלת ממושכה אבל איסור אין ללמוד משם וכן ראיתי בכל המקומות שאינן חוששין לברך ברכת חתנים לכלה נדה אבל אינה נכנסת עמו לסתר אלא הוא ישן בין האנשים והיא ישנה בין הנשים</w:t>
      </w:r>
      <w:r w:rsidRPr="00F24BFA">
        <w:rPr>
          <w:rStyle w:val="Style1Char"/>
          <w:color w:val="4472C4" w:themeColor="accent1"/>
        </w:rPr>
        <w:t xml:space="preserve">: </w:t>
      </w:r>
    </w:p>
    <w:p w14:paraId="12399588" w14:textId="65741A26" w:rsidR="002C4635" w:rsidRDefault="002C4635" w:rsidP="002C4635">
      <w:pPr>
        <w:bidi/>
        <w:rPr>
          <w:rStyle w:val="Style1Char"/>
          <w:color w:val="00B050"/>
          <w:rtl/>
        </w:rPr>
      </w:pPr>
      <w:r w:rsidRPr="005F123E">
        <w:rPr>
          <w:rStyle w:val="Style1Char"/>
          <w:color w:val="00B050"/>
          <w:rtl/>
        </w:rPr>
        <w:t xml:space="preserve">רבי יהודה אומר: רצה כותב לבתולה וכו'. וסבר רבי יהודה דכותבין שובר? והתנן: מי שפרע מקצת חובו, רבי יהודה אומר: </w:t>
      </w:r>
      <w:r w:rsidR="00A352BE">
        <w:rPr>
          <w:rStyle w:val="Style1Char"/>
          <w:rFonts w:hint="cs"/>
          <w:rtl/>
        </w:rPr>
        <w:t>(5)</w:t>
      </w:r>
      <w:r w:rsidRPr="005F123E">
        <w:rPr>
          <w:rStyle w:val="Style1Char"/>
          <w:color w:val="00B050"/>
          <w:rtl/>
        </w:rPr>
        <w:t xml:space="preserve">יחליף, רבי יוסי אומר: </w:t>
      </w:r>
      <w:r w:rsidR="00E857D8">
        <w:rPr>
          <w:rStyle w:val="Style1Char"/>
          <w:rFonts w:hint="cs"/>
          <w:rtl/>
        </w:rPr>
        <w:t>(5)</w:t>
      </w:r>
      <w:r w:rsidRPr="005F123E">
        <w:rPr>
          <w:rStyle w:val="Style1Char"/>
          <w:color w:val="00B050"/>
          <w:rtl/>
        </w:rPr>
        <w:t xml:space="preserve">יכתוב לו שובר! אמר רבי ירמיה: כששוברתה מתוכה. אביי אמר: אפילו תימא בשאין שוברתה מתוכה, בשלמא התם ודאי פרעיה, דלמא מירכס תברתא ומפיק ליה לשטרא והדר גבי זימנא אחרינא, הכא ודאי יהב לה? מילתא בעלמא היא דאמרה ליה, אי נטריה - נטריה, אי לא נטריה - איהו הוא דאפסיד אנפשיה. בשלמא אביי לא אמר כרבי ירמיה, לא קתני שוברתה מתוכה, אלא ר' ירמיה מ"ט לא אמר כאביי? גזירה שובר דהכא אטו שובר דעלמא. טעמא דכתבה ליה, אבל על פה לא, אמאי? 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w:t>
      </w:r>
      <w:r w:rsidR="00A648E7">
        <w:rPr>
          <w:rStyle w:val="Style1Char"/>
          <w:rFonts w:hint="cs"/>
          <w:rtl/>
        </w:rPr>
        <w:t>(6)</w:t>
      </w:r>
      <w:r w:rsidRPr="005F123E">
        <w:rPr>
          <w:rStyle w:val="Style1Char"/>
          <w:color w:val="00B050"/>
          <w:rtl/>
        </w:rPr>
        <w:t xml:space="preserve">בדבר שבממון תנאו קיים! קסבר רבי יהודה: </w:t>
      </w:r>
      <w:r w:rsidR="00B26937">
        <w:rPr>
          <w:rStyle w:val="Style1Char"/>
          <w:rFonts w:hint="cs"/>
          <w:rtl/>
        </w:rPr>
        <w:t>(</w:t>
      </w:r>
      <w:r w:rsidR="00B26937">
        <w:rPr>
          <w:rStyle w:val="Style1Char"/>
        </w:rPr>
        <w:t>7</w:t>
      </w:r>
      <w:r w:rsidR="00B26937">
        <w:rPr>
          <w:rStyle w:val="Style1Char"/>
          <w:rFonts w:hint="cs"/>
          <w:rtl/>
        </w:rPr>
        <w:t>)</w:t>
      </w:r>
      <w:r w:rsidRPr="005F123E">
        <w:rPr>
          <w:rStyle w:val="Style1Char"/>
          <w:color w:val="00B050"/>
          <w:rtl/>
        </w:rPr>
        <w:t xml:space="preserve">כתובה דרבנן, </w:t>
      </w:r>
      <w:r w:rsidR="000D7171">
        <w:rPr>
          <w:rStyle w:val="Style1Char"/>
          <w:rFonts w:hint="cs"/>
          <w:rtl/>
        </w:rPr>
        <w:t>(</w:t>
      </w:r>
      <w:r w:rsidR="000D7171">
        <w:rPr>
          <w:rStyle w:val="Style1Char"/>
        </w:rPr>
        <w:t>8</w:t>
      </w:r>
      <w:r w:rsidR="000D7171">
        <w:rPr>
          <w:rStyle w:val="Style1Char"/>
          <w:rFonts w:hint="cs"/>
          <w:rtl/>
        </w:rPr>
        <w:t>)</w:t>
      </w:r>
      <w:r w:rsidRPr="005F123E">
        <w:rPr>
          <w:rStyle w:val="Style1Char"/>
          <w:color w:val="00B050"/>
          <w:rtl/>
        </w:rPr>
        <w:t xml:space="preserve">וחכמים עשו חיזוק לדבריהם יותר משל תורה. הרי פירות דרבנן, ולא עבדו להו רבנן חיזוק! דתנן, רבי יהודה אומר: </w:t>
      </w:r>
      <w:r w:rsidR="000D7171">
        <w:rPr>
          <w:rStyle w:val="Style1Char"/>
          <w:rFonts w:hint="cs"/>
          <w:rtl/>
        </w:rPr>
        <w:t>(</w:t>
      </w:r>
      <w:r w:rsidR="00405EBB">
        <w:rPr>
          <w:rStyle w:val="Style1Char"/>
        </w:rPr>
        <w:t>9</w:t>
      </w:r>
      <w:r w:rsidR="000D7171">
        <w:rPr>
          <w:rStyle w:val="Style1Char"/>
          <w:rFonts w:hint="cs"/>
          <w:rtl/>
        </w:rPr>
        <w:t>)</w:t>
      </w:r>
      <w:r w:rsidRPr="005F123E">
        <w:rPr>
          <w:rStyle w:val="Style1Char"/>
          <w:color w:val="00B050"/>
          <w:rtl/>
        </w:rPr>
        <w:t xml:space="preserve">לעולם הוא אוכל פירי פירות, עד שיכתוב לה דין ודברים אין לי בנכסיך ובפירותיהן ובפירות פירותיהן עד עולם; </w:t>
      </w:r>
    </w:p>
    <w:p w14:paraId="6AB040AF" w14:textId="7768ECA5" w:rsidR="009B27BE" w:rsidRDefault="009B27BE" w:rsidP="009B27BE">
      <w:pPr>
        <w:pStyle w:val="Style1"/>
        <w:rPr>
          <w:rStyle w:val="Style1Char"/>
          <w:rtl/>
        </w:rPr>
      </w:pPr>
      <w:r>
        <w:rPr>
          <w:rStyle w:val="Style1Char"/>
          <w:rFonts w:hint="cs"/>
          <w:rtl/>
        </w:rPr>
        <w:t>1)[</w:t>
      </w:r>
      <w:r w:rsidRPr="009B27BE">
        <w:rPr>
          <w:rStyle w:val="Style1Char"/>
          <w:rtl/>
        </w:rPr>
        <w:t>רמב</w:t>
      </w:r>
      <w:r w:rsidR="00C764B2">
        <w:rPr>
          <w:rStyle w:val="Style1Char"/>
          <w:rtl/>
        </w:rPr>
        <w:t>”ם \קנין\</w:t>
      </w:r>
      <w:r w:rsidRPr="009B27BE">
        <w:rPr>
          <w:rStyle w:val="Style1Char"/>
          <w:rtl/>
        </w:rPr>
        <w:t xml:space="preserve"> הלכות זכיה ומתנה פרק ו הלכה א</w:t>
      </w:r>
      <w:r>
        <w:rPr>
          <w:rStyle w:val="Style1Char"/>
          <w:rFonts w:hint="cs"/>
          <w:rtl/>
        </w:rPr>
        <w:t xml:space="preserve">] </w:t>
      </w:r>
      <w:r w:rsidRPr="009B27BE">
        <w:rPr>
          <w:rStyle w:val="Style1Char"/>
          <w:rtl/>
        </w:rPr>
        <w:t>לעולם אומדין דעת הנותן, אם היו הדברים מראין סוף דעתו עושין על פי האומד אף על פי שלא פירש, כיצד מי שהלך בנו למדינת הים ושמע שמת וכתב כל נכסיו לאחר מתנה גלויה גמורה ואחר כך בא בנו אין מתנתו קיימת, שהדברים מוכיחין שאילו ידע שבנו קיים לא היה נותן א כל נכסיו, לפיכך אם שייר מנכסיו כל שהוא בין קרקע בין במטלטלין מתנתו קיימת.</w:t>
      </w:r>
    </w:p>
    <w:p w14:paraId="795D6B07" w14:textId="00860796" w:rsidR="009E44E2" w:rsidRDefault="009E44E2" w:rsidP="009E44E2">
      <w:pPr>
        <w:pStyle w:val="Style1"/>
        <w:rPr>
          <w:rStyle w:val="Style1Char"/>
          <w:rtl/>
        </w:rPr>
      </w:pPr>
      <w:r>
        <w:rPr>
          <w:rStyle w:val="Style1Char"/>
          <w:rFonts w:hint="cs"/>
          <w:rtl/>
        </w:rPr>
        <w:t>1)[</w:t>
      </w:r>
      <w:r w:rsidRPr="009E44E2">
        <w:rPr>
          <w:rStyle w:val="Style1Char"/>
          <w:rtl/>
        </w:rPr>
        <w:t>שולחן ערוך חושן משפט הלכות מתנה סימן רמו סעיף א</w:t>
      </w:r>
      <w:r>
        <w:rPr>
          <w:rStyle w:val="Style1Char"/>
          <w:rFonts w:hint="cs"/>
          <w:rtl/>
        </w:rPr>
        <w:t xml:space="preserve">] </w:t>
      </w:r>
      <w:r w:rsidRPr="009E44E2">
        <w:rPr>
          <w:rStyle w:val="Style1Char"/>
          <w:rtl/>
        </w:rPr>
        <w:t>לעולם אומדים דעת הנותן, אם היו הדברים מראין סוף דעתו עושים על פי האומד אף על פי שלא פירש. כיצד, מי שהלך בנו למדינת הים ושמע שמת, וכתב כל נכסיו לאחר, מתנה גלויה גמורה, ואחר כך בא בנו, אין מתנתו קיימת, שהדברים מוכיחים שאילו ידע שבנו קיים לא היה נותן כל נכסיו. לפיכך אם שייר  מנכסיו כל שהוא, בין קרקע בין מטלטלין, מתנתו קיימת.</w:t>
      </w:r>
    </w:p>
    <w:p w14:paraId="30DDA6C3" w14:textId="621CBEAD" w:rsidR="002B1F7F" w:rsidRPr="0026633D" w:rsidRDefault="002B1F7F" w:rsidP="0026633D">
      <w:pPr>
        <w:pStyle w:val="Style1"/>
        <w:rPr>
          <w:rStyle w:val="Style1Char"/>
          <w:rtl/>
        </w:rPr>
      </w:pPr>
      <w:r>
        <w:rPr>
          <w:rStyle w:val="Style1Char"/>
          <w:rFonts w:hint="cs"/>
          <w:rtl/>
        </w:rPr>
        <w:t>2)[</w:t>
      </w:r>
      <w:r w:rsidRPr="002B1F7F">
        <w:rPr>
          <w:rStyle w:val="Style1Char"/>
          <w:rtl/>
        </w:rPr>
        <w:t>רמב</w:t>
      </w:r>
      <w:r w:rsidR="00213DA1">
        <w:rPr>
          <w:rStyle w:val="Style1Char"/>
          <w:rtl/>
        </w:rPr>
        <w:t>”ם \נשים\</w:t>
      </w:r>
      <w:r w:rsidRPr="002B1F7F">
        <w:rPr>
          <w:rStyle w:val="Style1Char"/>
          <w:rtl/>
        </w:rPr>
        <w:t xml:space="preserve"> הלכות אישות פרק י הלכה יא</w:t>
      </w:r>
      <w:r>
        <w:rPr>
          <w:rStyle w:val="Style1Char"/>
          <w:rFonts w:hint="cs"/>
          <w:rtl/>
        </w:rPr>
        <w:t xml:space="preserve">] </w:t>
      </w:r>
      <w:r w:rsidRPr="002B1F7F">
        <w:rPr>
          <w:rStyle w:val="Style1Char"/>
          <w:rtl/>
        </w:rPr>
        <w:t>המארס את האשה וכתב לה כתובה ולא נכנסה לחופה עדיין ארוסה היא ואינה נשואה שאין הכתובה עושה נישואין, ואם מת או גרשה גובה עיקר כתובתה מבני חורין ואינה גובה תוספת כלל הואיל ולא כנסה, אבל אם ארס ולא כתב כ לה כתובה ומת או גרשה והיא ארוסה אין לה כלום ואפילו העיקר שלא תיקנו לה עיקר כתובה עד שתנשא או עד שיכתוב, והמארס את בתו וכתב לה כתובה ומת או גרשה כשהיא נערה כתובתה לאביה כמו שביארנו.</w:t>
      </w:r>
    </w:p>
    <w:p w14:paraId="223B4A7E" w14:textId="7F481F1C" w:rsidR="0026633D" w:rsidRPr="0026633D" w:rsidRDefault="00226D3C" w:rsidP="0026633D">
      <w:pPr>
        <w:pStyle w:val="Style1"/>
      </w:pPr>
      <w:r w:rsidRPr="0026633D">
        <w:rPr>
          <w:rStyle w:val="Style1Char"/>
          <w:rFonts w:hint="cs"/>
          <w:rtl/>
        </w:rPr>
        <w:t>2)[</w:t>
      </w:r>
      <w:r w:rsidRPr="0026633D">
        <w:rPr>
          <w:rStyle w:val="Style1Char"/>
          <w:rtl/>
        </w:rPr>
        <w:t>שולחן ערוך אבן העזר הלכות קידושין סימן נה סעיף ו</w:t>
      </w:r>
      <w:r w:rsidRPr="0026633D">
        <w:rPr>
          <w:rStyle w:val="Style1Char"/>
          <w:rFonts w:hint="cs"/>
          <w:rtl/>
        </w:rPr>
        <w:t>]</w:t>
      </w:r>
      <w:r w:rsidR="0026633D" w:rsidRPr="0026633D">
        <w:rPr>
          <w:rStyle w:val="Style1Char"/>
          <w:rFonts w:hint="cs"/>
          <w:rtl/>
        </w:rPr>
        <w:t xml:space="preserve"> </w:t>
      </w:r>
      <w:r w:rsidR="0026633D" w:rsidRPr="0026633D">
        <w:rPr>
          <w:rtl/>
        </w:rPr>
        <w:t>המארס את האשה וכתב לה כתובה, ולא כנסה לחופה, עדיין ארוסה היא ואינה נשואה, שאין הכתובה עושה נשואין; ואם מת או גרשה, גובה עיקר כתובה מבני חורין, ואינה גובה תוספות כלל, הואיל ולא כנסה. אבל אם ארס אשה ולא כתב לה כתובה, ומת או גרשה והיא ארוסה, אין לה כלום, ואפילו העיקר, שלא תקנו לה עיקר כתובה עד שתנשא או עד שיכתב</w:t>
      </w:r>
      <w:r w:rsidR="0026633D" w:rsidRPr="0026633D">
        <w:t>.</w:t>
      </w:r>
    </w:p>
    <w:p w14:paraId="57A58602" w14:textId="3CE0EF77" w:rsidR="0026633D" w:rsidRDefault="0026633D" w:rsidP="0026633D">
      <w:pPr>
        <w:pStyle w:val="Style1"/>
        <w:rPr>
          <w:rtl/>
        </w:rPr>
      </w:pPr>
      <w:r w:rsidRPr="0026633D">
        <w:rPr>
          <w:rFonts w:hint="cs"/>
          <w:rtl/>
        </w:rPr>
        <w:t>ויש אומרים דארוסה יש לה כתובה (הרא"ש והר"ן והטור), אבל נוהגין כסברא הראשונה</w:t>
      </w:r>
      <w:r w:rsidRPr="0026633D">
        <w:t>:</w:t>
      </w:r>
    </w:p>
    <w:p w14:paraId="1C4F7BDA" w14:textId="3987B03F" w:rsidR="00126A85" w:rsidRDefault="00126A85" w:rsidP="00126A85">
      <w:pPr>
        <w:pStyle w:val="Style1"/>
        <w:rPr>
          <w:rtl/>
        </w:rPr>
      </w:pPr>
      <w:r>
        <w:rPr>
          <w:rFonts w:hint="cs"/>
          <w:rtl/>
        </w:rPr>
        <w:lastRenderedPageBreak/>
        <w:t>3)[</w:t>
      </w:r>
      <w:r>
        <w:rPr>
          <w:rtl/>
        </w:rPr>
        <w:t>רמב</w:t>
      </w:r>
      <w:r w:rsidR="00213DA1">
        <w:rPr>
          <w:rtl/>
        </w:rPr>
        <w:t>”ם \קדושה\</w:t>
      </w:r>
      <w:r>
        <w:rPr>
          <w:rtl/>
        </w:rPr>
        <w:t xml:space="preserve"> הלכות איסורי ביאה פרק כא הלכה י</w:t>
      </w:r>
      <w:r>
        <w:rPr>
          <w:rFonts w:hint="cs"/>
          <w:rtl/>
        </w:rPr>
        <w:t xml:space="preserve">] </w:t>
      </w:r>
      <w:r>
        <w:rPr>
          <w:rtl/>
        </w:rPr>
        <w:t>אסור לאדם לשמש מטתו לאור הנר, הרי שהיתה שבת ולא היה לו בית אחר והיה הנר דלוק הרי זה לא ישמש כלל, וכן אסור לישראלי לשמש מטתו ביום, שעזות פנים היא לו, ואם היה תלמיד חכם שאינו בא להמשך בכך הרי זה מאפיל בטליתו ומשמש, ואין נזקקין לדבר זה אלא מפני צורך גדול ודרך קדושה לשמש באמצע הלילה.</w:t>
      </w:r>
    </w:p>
    <w:p w14:paraId="0F2B6BF4" w14:textId="39DA63D1" w:rsidR="00BA2610" w:rsidRPr="00BA2610" w:rsidRDefault="002321D9" w:rsidP="00BA2610">
      <w:pPr>
        <w:pStyle w:val="Style1"/>
      </w:pPr>
      <w:r>
        <w:rPr>
          <w:rFonts w:hint="cs"/>
          <w:rtl/>
        </w:rPr>
        <w:t>3)[</w:t>
      </w:r>
      <w:r>
        <w:rPr>
          <w:rtl/>
        </w:rPr>
        <w:t>שולחן ערוך אורח חיים הלכות ק"ש ותפלה של ערבית סימן רמ סעיף יא</w:t>
      </w:r>
      <w:r>
        <w:rPr>
          <w:rFonts w:hint="cs"/>
          <w:rtl/>
        </w:rPr>
        <w:t>]</w:t>
      </w:r>
      <w:r w:rsidR="00BA2610">
        <w:rPr>
          <w:rFonts w:hint="cs"/>
          <w:rtl/>
        </w:rPr>
        <w:t xml:space="preserve"> </w:t>
      </w:r>
      <w:r w:rsidR="00BA2610" w:rsidRPr="00BA2610">
        <w:rPr>
          <w:rtl/>
        </w:rPr>
        <w:t>אסור לשמש לאור הנר אע"פ שמאפיל בטליתו</w:t>
      </w:r>
      <w:r w:rsidR="00BA2610" w:rsidRPr="00BA2610">
        <w:t>:</w:t>
      </w:r>
    </w:p>
    <w:p w14:paraId="0FD92811" w14:textId="77777777" w:rsidR="00BA2610" w:rsidRPr="00BA2610" w:rsidRDefault="00BA2610" w:rsidP="00BA2610">
      <w:pPr>
        <w:pStyle w:val="Style1"/>
      </w:pPr>
      <w:r w:rsidRPr="00BA2610">
        <w:rPr>
          <w:rFonts w:hint="cs"/>
          <w:rtl/>
        </w:rPr>
        <w:t>הגה</w:t>
      </w:r>
      <w:r w:rsidRPr="00BA2610">
        <w:rPr>
          <w:rFonts w:hint="cs"/>
        </w:rPr>
        <w:t>: </w:t>
      </w:r>
      <w:r w:rsidRPr="00BA2610">
        <w:rPr>
          <w:rFonts w:hint="cs"/>
          <w:rtl/>
        </w:rPr>
        <w:t>אבל אם עושה מחיצה גבוה עשרה לפני הנר (הגהות מיימוני פ"ד מהל' י"ט) אע"פ שהאור נראה דרך המחיצה כגון שהפסיק בסדין שרי (כן נראה לי מדברי רש"י בפ"ב דמסכת ביצה) גם אמרינן התם דשרי כשכופה כלי על הנר ואם מותר לעשות מחיצה זו בשבת ע"ל ריש </w:t>
      </w:r>
      <w:hyperlink r:id="rId116" w:tooltip="שולחן ערוך אורח חיים שטו" w:history="1">
        <w:r w:rsidRPr="00BA2610">
          <w:rPr>
            <w:rStyle w:val="Hyperlink"/>
            <w:rFonts w:hint="cs"/>
            <w:color w:val="7030A0"/>
            <w:u w:val="none"/>
            <w:rtl/>
          </w:rPr>
          <w:t>סי' שט"ו</w:t>
        </w:r>
      </w:hyperlink>
      <w:r w:rsidRPr="00BA2610">
        <w:t>:</w:t>
      </w:r>
    </w:p>
    <w:p w14:paraId="18E2BF0A" w14:textId="77777777" w:rsidR="00BA2610" w:rsidRPr="00BA2610" w:rsidRDefault="00BA2610" w:rsidP="00BA2610">
      <w:pPr>
        <w:pStyle w:val="Style1"/>
      </w:pPr>
      <w:r w:rsidRPr="00BA2610">
        <w:rPr>
          <w:rtl/>
        </w:rPr>
        <w:t>וכן אסור לשמש ביום אלא אם כן הוא בית אפל</w:t>
      </w:r>
      <w:r w:rsidRPr="00BA2610">
        <w:t>:</w:t>
      </w:r>
    </w:p>
    <w:p w14:paraId="4DC79236" w14:textId="2661FCFE" w:rsidR="00BA2610" w:rsidRDefault="00BA2610" w:rsidP="00BA2610">
      <w:pPr>
        <w:pStyle w:val="Style1"/>
        <w:rPr>
          <w:rtl/>
        </w:rPr>
      </w:pPr>
      <w:r w:rsidRPr="00BA2610">
        <w:rPr>
          <w:rFonts w:hint="cs"/>
          <w:rtl/>
        </w:rPr>
        <w:t>הגה</w:t>
      </w:r>
      <w:r w:rsidRPr="00BA2610">
        <w:rPr>
          <w:rFonts w:hint="cs"/>
        </w:rPr>
        <w:t>: </w:t>
      </w:r>
      <w:r w:rsidRPr="00BA2610">
        <w:rPr>
          <w:rFonts w:hint="cs"/>
          <w:rtl/>
        </w:rPr>
        <w:t>ותלמיד חכם מאפיל בטליתו ושרי (טור)</w:t>
      </w:r>
      <w:r w:rsidRPr="00BA2610">
        <w:t>:</w:t>
      </w:r>
    </w:p>
    <w:p w14:paraId="1833585E" w14:textId="408E9E89" w:rsidR="00FB52EA" w:rsidRDefault="00FB52EA" w:rsidP="00FB52EA">
      <w:pPr>
        <w:pStyle w:val="Style1"/>
        <w:rPr>
          <w:rtl/>
        </w:rPr>
      </w:pPr>
      <w:r>
        <w:rPr>
          <w:rFonts w:hint="cs"/>
          <w:rtl/>
        </w:rPr>
        <w:t>4)[</w:t>
      </w:r>
      <w:r>
        <w:rPr>
          <w:rtl/>
        </w:rPr>
        <w:t>רמב</w:t>
      </w:r>
      <w:r w:rsidR="00213DA1">
        <w:rPr>
          <w:rtl/>
        </w:rPr>
        <w:t>”ם \נשים\</w:t>
      </w:r>
      <w:r>
        <w:rPr>
          <w:rtl/>
        </w:rPr>
        <w:t xml:space="preserve"> הלכות אישות פרק י הלכה ב</w:t>
      </w:r>
      <w:r>
        <w:rPr>
          <w:rFonts w:hint="cs"/>
          <w:rtl/>
        </w:rPr>
        <w:t xml:space="preserve">] </w:t>
      </w:r>
      <w:r>
        <w:rPr>
          <w:rtl/>
        </w:rPr>
        <w:t>כיון שנכנסה הארוסה לחופה הרי זו מותרת לו לבא עליה בכל עת שירצה והרי היא אשתו גמורה לכל דבר, ומשתכנס לחופה נקראת נשואה אף על פי שלא נבעלה והוא שתהיה ראויה לבעילה, אבל אם היתה נדה אף על פי שנכנסה לחופה ונתיחד עמה לא גמרו הנישואין והרי היא  כארוסה עדיין.</w:t>
      </w:r>
    </w:p>
    <w:p w14:paraId="4EA49538" w14:textId="55D94897" w:rsidR="004E3D09" w:rsidRPr="004E3D09" w:rsidRDefault="005E6B11" w:rsidP="004E3D09">
      <w:pPr>
        <w:pStyle w:val="Style1"/>
      </w:pPr>
      <w:r>
        <w:rPr>
          <w:rFonts w:hint="cs"/>
          <w:rtl/>
        </w:rPr>
        <w:t>4)[</w:t>
      </w:r>
      <w:r>
        <w:rPr>
          <w:rtl/>
        </w:rPr>
        <w:t>שולחן ערוך אבן העזר הלכות קידושין סימן סא סעיף א</w:t>
      </w:r>
      <w:r>
        <w:rPr>
          <w:rFonts w:hint="cs"/>
          <w:rtl/>
        </w:rPr>
        <w:t>]</w:t>
      </w:r>
      <w:r w:rsidR="004E3D09">
        <w:rPr>
          <w:rFonts w:hint="cs"/>
          <w:rtl/>
        </w:rPr>
        <w:t xml:space="preserve"> </w:t>
      </w:r>
      <w:r w:rsidR="004E3D09" w:rsidRPr="004E3D09">
        <w:rPr>
          <w:rtl/>
        </w:rPr>
        <w:t>כיון שהכניס האיש ארוסתו לחופה, אף על גב שלא נבעלה, הרי היא כאשתו לכל דבר, וגובה עיקר כתובתה ותוספת, אם תתאלמן או תתגרש. במה דברים אמורים, כשראויה לביאה. אבל אם היתה נדה, ואחר כך כנסה לחופה ונתיחד עמה, אינה כאשתו, אלא לכל הדברים היא עדיין כארוסה, מאחר שהיתה נדה. ויש אומרים דדוקא לענין שלא תגבה התוספת היא עדיין כארוסה, אבל לכל שאר דברים הרי היא כנשואה</w:t>
      </w:r>
      <w:r w:rsidR="004E3D09" w:rsidRPr="004E3D09">
        <w:t>.</w:t>
      </w:r>
    </w:p>
    <w:p w14:paraId="1AFD6508" w14:textId="77777777" w:rsidR="004E3D09" w:rsidRPr="004E3D09" w:rsidRDefault="004E3D09" w:rsidP="004E3D09">
      <w:pPr>
        <w:pStyle w:val="Style1"/>
      </w:pPr>
      <w:r w:rsidRPr="004E3D09">
        <w:rPr>
          <w:rFonts w:hint="cs"/>
          <w:rtl/>
        </w:rPr>
        <w:t>הגה: ועיין לעיל ריש </w:t>
      </w:r>
      <w:hyperlink r:id="rId117" w:tooltip="שולחן ערוך אבן העזר נה" w:history="1">
        <w:r w:rsidRPr="004E3D09">
          <w:rPr>
            <w:rStyle w:val="Hyperlink"/>
            <w:rFonts w:hint="cs"/>
            <w:color w:val="7030A0"/>
            <w:u w:val="none"/>
            <w:rtl/>
          </w:rPr>
          <w:t>סימן נ"ה</w:t>
        </w:r>
      </w:hyperlink>
      <w:r w:rsidRPr="004E3D09">
        <w:rPr>
          <w:rFonts w:hint="cs"/>
        </w:rPr>
        <w:t> </w:t>
      </w:r>
      <w:r w:rsidRPr="004E3D09">
        <w:rPr>
          <w:rFonts w:hint="cs"/>
          <w:rtl/>
        </w:rPr>
        <w:t>מהו נקרא חופה. וצריכין לכתוב הכתובה קודם החופה, כדי שתהא חופה הראויה לביאה</w:t>
      </w:r>
      <w:r w:rsidRPr="004E3D09">
        <w:rPr>
          <w:rFonts w:hint="cs"/>
        </w:rPr>
        <w:t xml:space="preserve"> (</w:t>
      </w:r>
      <w:hyperlink r:id="rId118" w:tooltip="רמב&quot;ם הלכות אישות י" w:history="1">
        <w:r w:rsidRPr="004E3D09">
          <w:rPr>
            <w:rStyle w:val="Hyperlink"/>
            <w:rFonts w:hint="cs"/>
            <w:color w:val="7030A0"/>
            <w:u w:val="none"/>
            <w:rtl/>
          </w:rPr>
          <w:t>הרמב"ם פרק י' דאישות</w:t>
        </w:r>
      </w:hyperlink>
      <w:r w:rsidRPr="004E3D09">
        <w:rPr>
          <w:rFonts w:hint="cs"/>
        </w:rPr>
        <w:t xml:space="preserve">). </w:t>
      </w:r>
      <w:r w:rsidRPr="004E3D09">
        <w:rPr>
          <w:rFonts w:hint="cs"/>
          <w:rtl/>
        </w:rPr>
        <w:t>ולמאן דאמר דחופת נדה הוי חופה אף על פי שאינה ראויה לביאה, הוא הדין אם לא כתב כתובה; ומכל מקום נוהגים לכתחלה לכתבה קודם לכן. אשה חולנית חולת מות, אף על פי שכונסה עם המטה תחת החופה כדי שיירשנה בעלה, אינו חופה כלל, מאחר שאינה ראויה כלל לביאה, ואין בעלה יורשה (תשובת הרא"ש כלל נ"ד</w:t>
      </w:r>
      <w:r w:rsidRPr="004E3D09">
        <w:rPr>
          <w:rFonts w:hint="cs"/>
        </w:rPr>
        <w:t>).</w:t>
      </w:r>
    </w:p>
    <w:p w14:paraId="061995AA" w14:textId="5E7CADBC" w:rsidR="004E3D09" w:rsidRDefault="004E3D09" w:rsidP="004E3D09">
      <w:pPr>
        <w:pStyle w:val="Style1"/>
        <w:rPr>
          <w:rtl/>
        </w:rPr>
      </w:pPr>
      <w:r w:rsidRPr="004E3D09">
        <w:rPr>
          <w:rtl/>
        </w:rPr>
        <w:t>כנסה לחופה ולא ברך ברכת חתנים, הוי חופה גמורה, דאין הברכות מעכבות; ומברך אחר כמה ימים (טור סימן ס"ב), ולכתחלה יברך אותה קדם שיתיחד עמה (כך משמע בתשובת הרא"ש). ועיין לעיל </w:t>
      </w:r>
      <w:hyperlink r:id="rId119" w:tooltip="שולחן ערוך אבן העזר נה" w:history="1">
        <w:r w:rsidRPr="004E3D09">
          <w:rPr>
            <w:rStyle w:val="Hyperlink"/>
            <w:color w:val="7030A0"/>
            <w:u w:val="none"/>
            <w:rtl/>
          </w:rPr>
          <w:t>סימן נ"ה</w:t>
        </w:r>
      </w:hyperlink>
      <w:r w:rsidRPr="004E3D09">
        <w:t xml:space="preserve">. </w:t>
      </w:r>
      <w:r w:rsidRPr="004E3D09">
        <w:rPr>
          <w:rtl/>
        </w:rPr>
        <w:t>ונהגו עכשיו לברך תחת החופה, קודם שנתיחד עמו. ונהגו שהחתן והכלה מתענין ביום חופתן, (ועיין </w:t>
      </w:r>
      <w:hyperlink r:id="rId120" w:tooltip="שולחן ערוך אורח חיים תקעג" w:history="1">
        <w:r w:rsidRPr="004E3D09">
          <w:rPr>
            <w:rStyle w:val="Hyperlink"/>
            <w:color w:val="7030A0"/>
            <w:u w:val="none"/>
            <w:rtl/>
          </w:rPr>
          <w:t>בארח חיים סימן תקע"ג</w:t>
        </w:r>
      </w:hyperlink>
      <w:r w:rsidRPr="004E3D09">
        <w:t xml:space="preserve">) </w:t>
      </w:r>
      <w:r w:rsidRPr="004E3D09">
        <w:rPr>
          <w:rtl/>
        </w:rPr>
        <w:t>אם קדש בטעות, והיו לו נשואין עמה, ואחר כך נודע שהקדושין היו בטעות, אף על פי שחוזר ומקדשה אין צריך לברך שנית שבע ברכות, וסגי לה בברכות הראשונות. יש אומרים לעשות החופה תחת השמים, לסימן טוב שיהא זרעם ככוכבי השמים</w:t>
      </w:r>
      <w:r w:rsidRPr="004E3D09">
        <w:t>:</w:t>
      </w:r>
    </w:p>
    <w:p w14:paraId="7021FA2F" w14:textId="63E3FD53" w:rsidR="00C31E37" w:rsidRDefault="00C31E37" w:rsidP="00C31E37">
      <w:pPr>
        <w:pStyle w:val="Style1"/>
        <w:rPr>
          <w:rtl/>
        </w:rPr>
      </w:pPr>
      <w:r>
        <w:rPr>
          <w:rFonts w:hint="cs"/>
          <w:rtl/>
        </w:rPr>
        <w:t>5)[</w:t>
      </w:r>
      <w:r>
        <w:rPr>
          <w:rtl/>
        </w:rPr>
        <w:t>רמב</w:t>
      </w:r>
      <w:r w:rsidR="0057095E">
        <w:rPr>
          <w:rtl/>
        </w:rPr>
        <w:t>”ם \משפטים\</w:t>
      </w:r>
      <w:r>
        <w:rPr>
          <w:rtl/>
        </w:rPr>
        <w:t xml:space="preserve"> הלכות מלוה ולוה פרק כג הלכה טו</w:t>
      </w:r>
      <w:r>
        <w:rPr>
          <w:rFonts w:hint="cs"/>
          <w:rtl/>
        </w:rPr>
        <w:t xml:space="preserve">] </w:t>
      </w:r>
      <w:r>
        <w:rPr>
          <w:rtl/>
        </w:rPr>
        <w:t>מי שפרע מקצת חובו אם רצה מחליף וכותבין לו ב"ד שטר אחר בשאר החוב מזמן ראשון אבל לא עדי השטר, ואם רצה יכתוב שובר.</w:t>
      </w:r>
    </w:p>
    <w:p w14:paraId="6FE49EEB" w14:textId="7DCA1E7A" w:rsidR="00F23D35" w:rsidRPr="00F23D35" w:rsidRDefault="00281497" w:rsidP="00F23D35">
      <w:pPr>
        <w:pStyle w:val="Style1"/>
      </w:pPr>
      <w:r>
        <w:rPr>
          <w:rFonts w:hint="cs"/>
          <w:rtl/>
        </w:rPr>
        <w:t>5)[</w:t>
      </w:r>
      <w:r>
        <w:rPr>
          <w:rtl/>
        </w:rPr>
        <w:t>שולחן ערוך חושן משפט הלכות הלואה סימן נד סעיף א</w:t>
      </w:r>
      <w:r>
        <w:rPr>
          <w:rFonts w:hint="cs"/>
          <w:rtl/>
        </w:rPr>
        <w:t>]</w:t>
      </w:r>
      <w:r w:rsidR="00F23D35">
        <w:rPr>
          <w:rFonts w:hint="cs"/>
          <w:rtl/>
        </w:rPr>
        <w:t xml:space="preserve"> </w:t>
      </w:r>
      <w:r w:rsidR="00F23D35" w:rsidRPr="00F23D35">
        <w:rPr>
          <w:rtl/>
        </w:rPr>
        <w:t>מי שפרע מקצת חובו אם רצה המלוה ב"ד יעשו לו שטר ממה שנשאר חייב לו ויכתבוהו מזמן ראשון אבל לא עידי השטר</w:t>
      </w:r>
      <w:r w:rsidR="00F23D35" w:rsidRPr="00F23D35">
        <w:t>:</w:t>
      </w:r>
    </w:p>
    <w:p w14:paraId="30B185AC" w14:textId="77777777" w:rsidR="00F23D35" w:rsidRPr="00F23D35" w:rsidRDefault="00F23D35" w:rsidP="00F23D35">
      <w:pPr>
        <w:pStyle w:val="Style1"/>
      </w:pPr>
      <w:r w:rsidRPr="00F23D35">
        <w:rPr>
          <w:rFonts w:hint="cs"/>
          <w:rtl/>
        </w:rPr>
        <w:t>הגה: אע"פ שהוא מרצון הלוה (רשב"ם) אבל מזמן הפרעון ואילך יכולים עדים לעשות לו שטר אחר אם הוא מרצון הלוה (הגהות אשר"י פ' ג"פ)</w:t>
      </w:r>
      <w:r w:rsidRPr="00F23D35">
        <w:t>:</w:t>
      </w:r>
    </w:p>
    <w:p w14:paraId="2561EB55" w14:textId="6D2A9F4D" w:rsidR="00F23D35" w:rsidRDefault="00F23D35" w:rsidP="00F23D35">
      <w:pPr>
        <w:pStyle w:val="Style1"/>
        <w:rPr>
          <w:rtl/>
        </w:rPr>
      </w:pPr>
      <w:r w:rsidRPr="00F23D35">
        <w:rPr>
          <w:rtl/>
        </w:rPr>
        <w:t>אם רצה יכתוב שובר </w:t>
      </w:r>
      <w:r w:rsidRPr="00F23D35">
        <w:rPr>
          <w:rFonts w:hint="cs"/>
          <w:rtl/>
        </w:rPr>
        <w:t>והמלוה יתן שכר הסופר לכתוב השובר ואם אין שטר למלוה והלוה מבקש ממנו שובר הוא יתן השכר: (נ"י פרק ג"פ )</w:t>
      </w:r>
    </w:p>
    <w:p w14:paraId="172E4084" w14:textId="46A3C4D8" w:rsidR="00192EB7" w:rsidRDefault="00192EB7" w:rsidP="00192EB7">
      <w:pPr>
        <w:pStyle w:val="Style1"/>
        <w:rPr>
          <w:rtl/>
        </w:rPr>
      </w:pPr>
      <w:r>
        <w:rPr>
          <w:rFonts w:hint="cs"/>
          <w:rtl/>
        </w:rPr>
        <w:t>6)[</w:t>
      </w:r>
      <w:r>
        <w:rPr>
          <w:rtl/>
        </w:rPr>
        <w:t>רמב</w:t>
      </w:r>
      <w:r w:rsidR="00213DA1">
        <w:rPr>
          <w:rtl/>
        </w:rPr>
        <w:t>”ם \נשים\</w:t>
      </w:r>
      <w:r>
        <w:rPr>
          <w:rtl/>
        </w:rPr>
        <w:t xml:space="preserve"> הלכות אישות פרק ו הלכה ט</w:t>
      </w:r>
      <w:r>
        <w:rPr>
          <w:rFonts w:hint="cs"/>
          <w:rtl/>
        </w:rPr>
        <w:t xml:space="preserve">] </w:t>
      </w:r>
      <w:r>
        <w:rPr>
          <w:rtl/>
        </w:rPr>
        <w:t>ובמה אמרו כל המתנה על מה שכתוב בתורה תנאו בטל חוץ מדבר שבממון, כגון שקידש או גירש או נתן או מכר על תנאי שהוא רוצה בתנאו שיזכה עצמו בדבר שלא זיכתה לו תורה ומנעה ממנו או יפטור עצמו בתנאו מדבר שחייבה אותו בו התורה שאומרין לו תנאך בטל וכבר נתקיימו מעשיך ואין אתה נפטר מדבר שחייבה אותך בו התורה ולא תזכה בדבר שמנעה אותך ממנו.</w:t>
      </w:r>
    </w:p>
    <w:p w14:paraId="5EC9F5E9" w14:textId="4C60D5E3" w:rsidR="0007064A" w:rsidRDefault="0007064A" w:rsidP="0007064A">
      <w:pPr>
        <w:pStyle w:val="Style1"/>
        <w:rPr>
          <w:rtl/>
        </w:rPr>
      </w:pPr>
      <w:r>
        <w:rPr>
          <w:rFonts w:hint="cs"/>
          <w:rtl/>
        </w:rPr>
        <w:t>6)[</w:t>
      </w:r>
      <w:r>
        <w:rPr>
          <w:rtl/>
        </w:rPr>
        <w:t>רמב</w:t>
      </w:r>
      <w:r w:rsidR="00213DA1">
        <w:rPr>
          <w:rtl/>
        </w:rPr>
        <w:t>”ם \נשים\</w:t>
      </w:r>
      <w:r>
        <w:rPr>
          <w:rtl/>
        </w:rPr>
        <w:t xml:space="preserve"> הלכות אישות פרק ו הלכה י</w:t>
      </w:r>
      <w:r>
        <w:rPr>
          <w:rFonts w:hint="cs"/>
          <w:rtl/>
        </w:rPr>
        <w:t xml:space="preserve">] </w:t>
      </w:r>
      <w:r>
        <w:rPr>
          <w:rtl/>
        </w:rPr>
        <w:t>כיצד כגון שקידש אשה על תנאי שאין לה עליו שאר כסות ועונה, שאומרין לו בכסות ושאר תנאך קיים מפני שהוא תנאי שבממון אבל בעונה תנאך בטל שהתורה חייבה אותך בעונה והרי זו מקודשת ואתה חייב בעונתה ואין בידך לפטור עצמך בתנאך, וכן כל כיוצא בזה. וכן המקדש יפת תואר על תנאי שיתעמר בה הרי זו מקודשת ואין לו להתעמר בה שהרי התורה מנעה אותו מלהשתעבד בה אחר שנבעלה, ולא מפני תנאו יזכה בדבר שמנעה אותו תורה אלא תנאו בטל, וכן כל כיוצא בזה.</w:t>
      </w:r>
    </w:p>
    <w:p w14:paraId="22451C02" w14:textId="501C27DA" w:rsidR="00157C8C" w:rsidRDefault="00157C8C" w:rsidP="00157C8C">
      <w:pPr>
        <w:pStyle w:val="Style1"/>
        <w:rPr>
          <w:rtl/>
        </w:rPr>
      </w:pPr>
      <w:r>
        <w:rPr>
          <w:rFonts w:hint="cs"/>
          <w:rtl/>
        </w:rPr>
        <w:t>6)[</w:t>
      </w:r>
      <w:r>
        <w:rPr>
          <w:rtl/>
        </w:rPr>
        <w:t>רמב</w:t>
      </w:r>
      <w:r w:rsidR="00213DA1">
        <w:rPr>
          <w:rtl/>
        </w:rPr>
        <w:t>”ם \נשים\</w:t>
      </w:r>
      <w:r>
        <w:rPr>
          <w:rtl/>
        </w:rPr>
        <w:t xml:space="preserve"> הלכות אישות פרק יב הלכה ו</w:t>
      </w:r>
      <w:r>
        <w:rPr>
          <w:rFonts w:hint="cs"/>
          <w:rtl/>
        </w:rPr>
        <w:t xml:space="preserve">] </w:t>
      </w:r>
      <w:r>
        <w:rPr>
          <w:rtl/>
        </w:rPr>
        <w:t>התנה הבעל שלא יתחייב באחד מן הדברים שהוא חייב בהן או שהתנת האשה שלא יזכה הבעל באחד מן הדברים שהוא זוכה בהם התנאי קיים, חוץ משלשה דברים שאין התנאי מועיל בהן, וכל המתנה עליהן תנאו בטל ואלו הן עונתה ועיקר כתובתה וירושתה.</w:t>
      </w:r>
    </w:p>
    <w:p w14:paraId="1B4AC811" w14:textId="751452A8" w:rsidR="00C67BA1" w:rsidRPr="00C67BA1" w:rsidRDefault="007A6647" w:rsidP="00C67BA1">
      <w:pPr>
        <w:pStyle w:val="Style1"/>
      </w:pPr>
      <w:r>
        <w:rPr>
          <w:rFonts w:hint="cs"/>
          <w:rtl/>
        </w:rPr>
        <w:t>6)[</w:t>
      </w:r>
      <w:r>
        <w:rPr>
          <w:rtl/>
        </w:rPr>
        <w:t>שולחן ערוך אבן העזר הלכות קידושין סימן לח סעיף ה</w:t>
      </w:r>
      <w:r>
        <w:rPr>
          <w:rFonts w:hint="cs"/>
          <w:rtl/>
        </w:rPr>
        <w:t>]</w:t>
      </w:r>
      <w:r w:rsidR="00C67BA1">
        <w:rPr>
          <w:rFonts w:hint="cs"/>
          <w:rtl/>
        </w:rPr>
        <w:t xml:space="preserve"> </w:t>
      </w:r>
      <w:r w:rsidR="00C67BA1" w:rsidRPr="00C67BA1">
        <w:rPr>
          <w:rtl/>
        </w:rPr>
        <w:t>התנה בשעת הקידושין שלא יהא לה שאר וכסות, תנאו קיים, ואינו מתחייב לה בהם. אבל אם התנה שלא יתחייב בעונה, תנאו בטל וחייב בה</w:t>
      </w:r>
      <w:r w:rsidR="00C67BA1" w:rsidRPr="00C67BA1">
        <w:t>.</w:t>
      </w:r>
    </w:p>
    <w:p w14:paraId="1EE9EB7A" w14:textId="7B329BB0" w:rsidR="00C67BA1" w:rsidRDefault="00C67BA1" w:rsidP="00C67BA1">
      <w:pPr>
        <w:pStyle w:val="Style1"/>
        <w:rPr>
          <w:rtl/>
        </w:rPr>
      </w:pPr>
      <w:r w:rsidRPr="00C67BA1">
        <w:rPr>
          <w:rFonts w:hint="cs"/>
          <w:rtl/>
        </w:rPr>
        <w:t>הגה: דכל המתנה על מה שכתוב בתורה, ואינו ממון, תנאו בטל (דעת עצמו). ויש אומרים דכל מה דתקון רבנן הוי כמו שכתוב בתורה (הגהת מרדכי ריש הכותב)</w:t>
      </w:r>
      <w:r w:rsidRPr="00C67BA1">
        <w:t>:</w:t>
      </w:r>
    </w:p>
    <w:p w14:paraId="5F8BADDD" w14:textId="5B94129F" w:rsidR="00004E27" w:rsidRDefault="00004E27" w:rsidP="00004E27">
      <w:pPr>
        <w:pStyle w:val="Style1"/>
        <w:rPr>
          <w:rtl/>
        </w:rPr>
      </w:pPr>
      <w:r>
        <w:rPr>
          <w:rFonts w:hint="cs"/>
          <w:rtl/>
        </w:rPr>
        <w:t>6)[</w:t>
      </w:r>
      <w:r>
        <w:rPr>
          <w:rtl/>
        </w:rPr>
        <w:t>שולחן ערוך אבן העזר הלכות כתובות סימן סט סעיף ו</w:t>
      </w:r>
      <w:r>
        <w:rPr>
          <w:rFonts w:hint="cs"/>
          <w:rtl/>
        </w:rPr>
        <w:t xml:space="preserve">] </w:t>
      </w:r>
      <w:r>
        <w:rPr>
          <w:rtl/>
        </w:rPr>
        <w:t>התנה הבעל שלא יתחייב באחד מהדברים שהוא חייב בהם, או שהתנית האשה שלא יזכה הבעל באחד מהדברים שהוא זוכה בהם, התנאי קיים, חוץ מג' דברים שאין התנאי מועיל בהם, ואלו הם: עונתה, ועיקר כתובתה, וירושתה.</w:t>
      </w:r>
    </w:p>
    <w:p w14:paraId="5A9B3401" w14:textId="064083AB" w:rsidR="00707B09" w:rsidRDefault="003D37C3" w:rsidP="008B461A">
      <w:pPr>
        <w:pStyle w:val="Style1"/>
      </w:pPr>
      <w:r>
        <w:rPr>
          <w:rFonts w:hint="cs"/>
          <w:rtl/>
        </w:rPr>
        <w:t>7)[</w:t>
      </w:r>
      <w:r w:rsidR="00707B09">
        <w:rPr>
          <w:rtl/>
        </w:rPr>
        <w:t>רמב</w:t>
      </w:r>
      <w:r w:rsidR="00213DA1">
        <w:rPr>
          <w:rtl/>
        </w:rPr>
        <w:t>”ם \נשים\</w:t>
      </w:r>
      <w:r w:rsidR="00707B09">
        <w:rPr>
          <w:rtl/>
        </w:rPr>
        <w:t xml:space="preserve"> הלכות אישות פרק י הלכה ז</w:t>
      </w:r>
      <w:r w:rsidR="008B461A">
        <w:t xml:space="preserve">[ </w:t>
      </w:r>
      <w:r w:rsidR="00707B09">
        <w:rPr>
          <w:rtl/>
        </w:rPr>
        <w:t>וצריך לכתוב כתובה קודם כניסה לחופה ואחר כך יהיה מותר באשתו, והחתן נותן שכר הסופר,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 ודין התוספת ודין העיקר אחד הוא לרוב הדברים, לפיכך כל מקום שנאמר בו כתובה סתם הוא העיקר והתוספת כאחד, וחכמים הם שתיקנו כתובה לאשה כדי שלא תהיה קלה בעיניו להוציאה.</w:t>
      </w:r>
    </w:p>
    <w:p w14:paraId="04AFFAB4" w14:textId="6CC01845" w:rsidR="003D37C3" w:rsidRDefault="003D37C3" w:rsidP="003D37C3">
      <w:pPr>
        <w:pStyle w:val="Style1"/>
        <w:rPr>
          <w:rtl/>
        </w:rPr>
      </w:pPr>
      <w:r>
        <w:rPr>
          <w:rFonts w:hint="cs"/>
          <w:rtl/>
        </w:rPr>
        <w:t>7)[</w:t>
      </w:r>
      <w:r>
        <w:rPr>
          <w:rtl/>
        </w:rPr>
        <w:t>רמב</w:t>
      </w:r>
      <w:r w:rsidR="00213DA1">
        <w:rPr>
          <w:rtl/>
        </w:rPr>
        <w:t>”ם \נשים\</w:t>
      </w:r>
      <w:r>
        <w:rPr>
          <w:rtl/>
        </w:rPr>
        <w:t xml:space="preserve"> הלכות אישות פרק יא הלכה יד</w:t>
      </w:r>
      <w:r>
        <w:rPr>
          <w:rFonts w:hint="cs"/>
          <w:rtl/>
        </w:rPr>
        <w:t xml:space="preserve">] </w:t>
      </w:r>
      <w:r>
        <w:rPr>
          <w:rtl/>
        </w:rPr>
        <w:t>חכמים הם שתיקנו עיקר כתובה לאשה והם התקינו ואמרו שכל הטוען טענת בתולים והאשה מכחשת אותו נאמן, ועליה להביא ראיה לא על האיש, שחזקה היא שאין אדם טורח בסעודה ומפסידה והופך שמחתו אבל.</w:t>
      </w:r>
    </w:p>
    <w:p w14:paraId="08C5F5F6" w14:textId="06A79493" w:rsidR="009C4B82" w:rsidRDefault="009C4B82" w:rsidP="009C4B82">
      <w:pPr>
        <w:pStyle w:val="Style1"/>
        <w:rPr>
          <w:rtl/>
        </w:rPr>
      </w:pPr>
      <w:r>
        <w:rPr>
          <w:rFonts w:hint="cs"/>
          <w:rtl/>
        </w:rPr>
        <w:t>7)[</w:t>
      </w:r>
      <w:r>
        <w:rPr>
          <w:rtl/>
        </w:rPr>
        <w:t>רמב</w:t>
      </w:r>
      <w:r w:rsidR="00213DA1">
        <w:rPr>
          <w:rtl/>
        </w:rPr>
        <w:t>”ם \נשים\</w:t>
      </w:r>
      <w:r>
        <w:rPr>
          <w:rtl/>
        </w:rPr>
        <w:t xml:space="preserve"> הלכות אישות פרק יב הלכה ב</w:t>
      </w:r>
      <w:r>
        <w:rPr>
          <w:rFonts w:hint="cs"/>
          <w:rtl/>
        </w:rPr>
        <w:t xml:space="preserve">] </w:t>
      </w:r>
      <w:r>
        <w:rPr>
          <w:rtl/>
        </w:rPr>
        <w:t xml:space="preserve">והעשרה שלשה מהן מן התורה ואלו הן שארה כסותה ועונתה, שארה אלו מזונותיה, כסותה כמשמעה, עונתה לבא עליה כדרך כל הארץ: והשבעה מדברי סופרים וכולן תנאי בית דין הם, האחד מהם עיקר כתובה, והשאר הם הנקראין תנאי כתובה ואלו הן, </w:t>
      </w:r>
      <w:r>
        <w:rPr>
          <w:rtl/>
        </w:rPr>
        <w:lastRenderedPageBreak/>
        <w:t>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p>
    <w:p w14:paraId="40D41D62" w14:textId="7D226531" w:rsidR="00B64FA7" w:rsidRDefault="00B64FA7" w:rsidP="00B64FA7">
      <w:pPr>
        <w:pStyle w:val="Style1"/>
        <w:rPr>
          <w:rtl/>
        </w:rPr>
      </w:pPr>
      <w:r>
        <w:rPr>
          <w:rFonts w:hint="cs"/>
          <w:rtl/>
        </w:rPr>
        <w:t>8)[</w:t>
      </w:r>
      <w:r>
        <w:rPr>
          <w:rtl/>
        </w:rPr>
        <w:t>רמב</w:t>
      </w:r>
      <w:r w:rsidR="00213DA1">
        <w:rPr>
          <w:rtl/>
        </w:rPr>
        <w:t>”ם \נשים\</w:t>
      </w:r>
      <w:r>
        <w:rPr>
          <w:rtl/>
        </w:rPr>
        <w:t xml:space="preserve"> הלכות אישות פרק יב הלכה ט</w:t>
      </w:r>
      <w:r>
        <w:rPr>
          <w:rFonts w:hint="cs"/>
          <w:rtl/>
        </w:rPr>
        <w:t xml:space="preserve">] </w:t>
      </w:r>
      <w:r>
        <w:rPr>
          <w:rtl/>
        </w:rPr>
        <w:t xml:space="preserve">התנת עמו אחר שנשאה שלא יירשנה תנאה בטל ואף על פי שירושת הבעל מדברי סופרים עשו חיזוק לדבריהם כשל תורה, וכל תנאי שבירושה בטל אף על פי שהוא ממון שנ' </w:t>
      </w:r>
      <w:r>
        <w:rPr>
          <w:rFonts w:hint="cs"/>
          <w:rtl/>
        </w:rPr>
        <w:t>(</w:t>
      </w:r>
      <w:r>
        <w:rPr>
          <w:rtl/>
        </w:rPr>
        <w:t>במדבר כ"ז</w:t>
      </w:r>
      <w:r>
        <w:rPr>
          <w:rFonts w:hint="cs"/>
          <w:rtl/>
        </w:rPr>
        <w:t>)</w:t>
      </w:r>
      <w:r>
        <w:rPr>
          <w:rtl/>
        </w:rPr>
        <w:t xml:space="preserve"> בה לחקת משפט, ובשאר הדברים תנאו קיים, כגון שהתנה עמה שאין לה שאר וכסות, על מנת שלא יאכל פירות נכסיה, וכל כיוצא בזה תנאו קיים. /השגת הראב"ד/ וכל תנאי שבירושה בטל אף על פי שהוא ממון שנא' לחוקת משפט. א"א חסרון דעת אני רואה בכאן ומה צורך לחקת משפט והיאך אדם יכול להתנות על דבר שלא בא לעולם ואיך יאמר לאביו או לאחד ממורישיו דין ודברים אין לי בנכסים אחר מיתתכם ואין אדם מקנה מה שאין לו בו שום זכות.</w:t>
      </w:r>
    </w:p>
    <w:p w14:paraId="4C4AF44F" w14:textId="73363E03" w:rsidR="004F0B4E" w:rsidRDefault="004F0B4E" w:rsidP="004F0B4E">
      <w:pPr>
        <w:pStyle w:val="Style1"/>
        <w:rPr>
          <w:rtl/>
        </w:rPr>
      </w:pPr>
      <w:r>
        <w:rPr>
          <w:rFonts w:hint="cs"/>
          <w:rtl/>
        </w:rPr>
        <w:t>8)[</w:t>
      </w:r>
      <w:r>
        <w:rPr>
          <w:rtl/>
        </w:rPr>
        <w:t>רמב</w:t>
      </w:r>
      <w:r w:rsidR="00213DA1">
        <w:rPr>
          <w:rtl/>
        </w:rPr>
        <w:t>”ם \נשים\</w:t>
      </w:r>
      <w:r>
        <w:rPr>
          <w:rtl/>
        </w:rPr>
        <w:t xml:space="preserve"> הלכות אישות פרק כג הלכה ד</w:t>
      </w:r>
      <w:r>
        <w:rPr>
          <w:rFonts w:hint="cs"/>
          <w:rtl/>
        </w:rPr>
        <w:t xml:space="preserve">] </w:t>
      </w:r>
      <w:r>
        <w:rPr>
          <w:rtl/>
        </w:rPr>
        <w:t>התנה עמה שלא יאכל פירות נכסיה ולא פירי פירותיהן לוקחין הפירות וקונין בהם קרקע ולוקחין פירות קרקע זו וקונין בהם קרקע שנייה והוא אוכל פירות אלו שהן פירי פירי פירות, וכן הדבר תמיד עד שיתנה עמה שלא יהיו לו לא פירות ולא פירי פירותיהן עד לעולם ואחר כך לא יהיו לו פירות בחייה אבל אם מתה יירש הכל.</w:t>
      </w:r>
    </w:p>
    <w:p w14:paraId="4E7C7298" w14:textId="41DFBFB1" w:rsidR="00697E0A" w:rsidRPr="00697E0A" w:rsidRDefault="00CB77D3" w:rsidP="00697E0A">
      <w:pPr>
        <w:pStyle w:val="Style1"/>
      </w:pPr>
      <w:r>
        <w:rPr>
          <w:rFonts w:hint="cs"/>
          <w:rtl/>
        </w:rPr>
        <w:t>8)[</w:t>
      </w:r>
      <w:r>
        <w:rPr>
          <w:rtl/>
        </w:rPr>
        <w:t>שולחן ערוך אבן העזר הלכות כתובות סימן צב סעיף ה</w:t>
      </w:r>
      <w:r>
        <w:rPr>
          <w:rFonts w:hint="cs"/>
          <w:rtl/>
        </w:rPr>
        <w:t>]</w:t>
      </w:r>
      <w:r w:rsidR="00697E0A">
        <w:rPr>
          <w:rFonts w:hint="cs"/>
          <w:rtl/>
        </w:rPr>
        <w:t xml:space="preserve"> </w:t>
      </w:r>
      <w:r w:rsidR="00697E0A" w:rsidRPr="00697E0A">
        <w:rPr>
          <w:rtl/>
        </w:rPr>
        <w:t>אין אדם נעשה חשוד עד שיבואו עליו עדים שעבר עבירה שנפסל בה אבל המודה מעצמו שהוא חשוד ושעבר עבירה שנפסל בה אע"פ שחושדים אותו ואין ראוי לעשותו עד לכתחלה אם נתחייב שבועה להפטר מתביעה שתובעים אותו משביעין אותו אבל אם הוא מהנשבעים ונוטלים אינו נשבע ונוטל ויש מי שאומר שאם נתחייב שבועה להפטר כיון שהוא אומר שהוא חשוד אם רצה התובע נשבע ונוטל</w:t>
      </w:r>
      <w:r w:rsidR="00697E0A" w:rsidRPr="00697E0A">
        <w:t>:</w:t>
      </w:r>
    </w:p>
    <w:p w14:paraId="43C2CF46" w14:textId="2D7981F6" w:rsidR="00C67BA1" w:rsidRPr="009C4B82" w:rsidRDefault="00C67BA1" w:rsidP="009C4B82">
      <w:pPr>
        <w:pStyle w:val="Style1"/>
      </w:pPr>
    </w:p>
    <w:p w14:paraId="2C4F2E20" w14:textId="360E677D" w:rsidR="007A6647" w:rsidRPr="00F23D35" w:rsidRDefault="007A6647" w:rsidP="007A6647">
      <w:pPr>
        <w:pStyle w:val="Style1"/>
      </w:pPr>
    </w:p>
    <w:p w14:paraId="3708A395" w14:textId="77777777" w:rsidR="00F23D35" w:rsidRPr="00F23D35" w:rsidRDefault="00F23D35" w:rsidP="00F23D35">
      <w:pPr>
        <w:pStyle w:val="Style1"/>
      </w:pPr>
    </w:p>
    <w:p w14:paraId="72866F20" w14:textId="77777777" w:rsidR="004E3D09" w:rsidRPr="004E3D09" w:rsidRDefault="004E3D09" w:rsidP="004E3D09">
      <w:pPr>
        <w:pStyle w:val="Style1"/>
      </w:pPr>
    </w:p>
    <w:p w14:paraId="5B40C62E" w14:textId="77777777" w:rsidR="00BA2610" w:rsidRPr="00BA2610" w:rsidRDefault="00BA2610" w:rsidP="00BA2610">
      <w:pPr>
        <w:pStyle w:val="Style1"/>
      </w:pPr>
    </w:p>
    <w:p w14:paraId="377AA612" w14:textId="60DA5A86" w:rsidR="002321D9" w:rsidRPr="0026633D" w:rsidRDefault="002321D9" w:rsidP="002321D9">
      <w:pPr>
        <w:pStyle w:val="Style1"/>
      </w:pPr>
    </w:p>
    <w:p w14:paraId="6F4CA0F3" w14:textId="77777777" w:rsidR="0026633D" w:rsidRPr="0026633D" w:rsidRDefault="0026633D" w:rsidP="0026633D">
      <w:pPr>
        <w:pStyle w:val="Style1"/>
        <w:rPr>
          <w:rStyle w:val="Style1Char"/>
        </w:rPr>
      </w:pPr>
    </w:p>
    <w:p w14:paraId="69C7880E" w14:textId="75F7338B" w:rsidR="00226D3C" w:rsidRPr="0026633D" w:rsidRDefault="00226D3C" w:rsidP="0026633D">
      <w:pPr>
        <w:pStyle w:val="Style1"/>
        <w:rPr>
          <w:rStyle w:val="Style1Char"/>
          <w:rtl/>
        </w:rPr>
      </w:pPr>
    </w:p>
    <w:p w14:paraId="462A3296" w14:textId="77777777" w:rsidR="002C4635" w:rsidRPr="0026633D" w:rsidRDefault="002C4635" w:rsidP="0026633D">
      <w:pPr>
        <w:pStyle w:val="Style1"/>
        <w:rPr>
          <w:rStyle w:val="Style1Char"/>
          <w:rtl/>
        </w:rPr>
      </w:pPr>
      <w:r w:rsidRPr="0026633D">
        <w:rPr>
          <w:rStyle w:val="Style1Char"/>
          <w:rtl/>
        </w:rPr>
        <w:br w:type="page"/>
      </w:r>
    </w:p>
    <w:p w14:paraId="5BE37676" w14:textId="77777777" w:rsidR="002C4635" w:rsidRPr="005F123E" w:rsidRDefault="002C4635" w:rsidP="002C4635">
      <w:pPr>
        <w:bidi/>
        <w:rPr>
          <w:rStyle w:val="Style1Char"/>
          <w:color w:val="00B050"/>
        </w:rPr>
      </w:pPr>
      <w:r w:rsidRPr="003663A8">
        <w:rPr>
          <w:rStyle w:val="Style1Char"/>
          <w:color w:val="00B050"/>
          <w:sz w:val="22"/>
          <w:szCs w:val="22"/>
          <w:highlight w:val="yellow"/>
          <w:rtl/>
        </w:rPr>
        <w:lastRenderedPageBreak/>
        <w:t>[דף נו עמוד ב]</w:t>
      </w:r>
      <w:r w:rsidRPr="003663A8">
        <w:rPr>
          <w:rStyle w:val="Style1Char"/>
          <w:color w:val="00B050"/>
          <w:sz w:val="22"/>
          <w:szCs w:val="22"/>
          <w:rtl/>
        </w:rPr>
        <w:t xml:space="preserve"> </w:t>
      </w:r>
      <w:r w:rsidRPr="005F123E">
        <w:rPr>
          <w:rStyle w:val="Style1Char"/>
          <w:color w:val="00B050"/>
          <w:rtl/>
        </w:rPr>
        <w:t xml:space="preserve">וקיימא לן מאי כותב - אומר! אמר אביי: לכל יש כתובה ולא לכל יש פירות, מילתא דשכיחא עבדו בה רבנן חיזוק, מילתא דלא שכיחא לא עבדו בה רבנן חיזוק. הרי חמרים דשכיחי, ולא עבדו לה רבנן חיזוק! דתנן: החמרין שנכנסו לעיר, ואמר אחד מהן שלי חדש ושל חברי ישן, שלי אינו מתוקן ושל חברי מתוקן - אין נאמנים, רבי יהודה אומר: נאמנים! אמר אביי: ודאי דדבריהם עבדו רבנן חיזוק, ספק דדבריהם לא עבדו רבנן חיזוק. רבא אמר: בדמאי הקילו. </w:t>
      </w:r>
    </w:p>
    <w:p w14:paraId="5BC48E79" w14:textId="2DDA4D11" w:rsidR="00C80304" w:rsidRPr="00C80304" w:rsidRDefault="002C4635" w:rsidP="00C80304">
      <w:pPr>
        <w:bidi/>
        <w:rPr>
          <w:rStyle w:val="Style1Char"/>
          <w:color w:val="00B050"/>
        </w:rPr>
      </w:pPr>
      <w:r w:rsidRPr="005F123E">
        <w:rPr>
          <w:rStyle w:val="Style1Char"/>
          <w:color w:val="00B050"/>
          <w:rtl/>
        </w:rPr>
        <w:t xml:space="preserve">ר' מאיר אומר: כל הפוחת וכו'. </w:t>
      </w:r>
      <w:r w:rsidRPr="004C58AD">
        <w:rPr>
          <w:rStyle w:val="Style1Char"/>
          <w:color w:val="222A35" w:themeColor="text2" w:themeShade="80"/>
          <w:sz w:val="22"/>
          <w:szCs w:val="22"/>
          <w:rtl/>
        </w:rPr>
        <w:t xml:space="preserve">כל הפוחת </w:t>
      </w:r>
      <w:r w:rsidR="001B4807">
        <w:rPr>
          <w:rStyle w:val="Style1Char"/>
          <w:rFonts w:hint="cs"/>
          <w:rtl/>
        </w:rPr>
        <w:t>(1)</w:t>
      </w:r>
      <w:r w:rsidRPr="004C58AD">
        <w:rPr>
          <w:rStyle w:val="Style1Char"/>
          <w:color w:val="222A35" w:themeColor="text2" w:themeShade="80"/>
          <w:sz w:val="22"/>
          <w:szCs w:val="22"/>
          <w:rtl/>
        </w:rPr>
        <w:t>אפי' בתנאה</w:t>
      </w:r>
      <w:r w:rsidRPr="004C58AD">
        <w:rPr>
          <w:rStyle w:val="Style1Char"/>
          <w:color w:val="4472C4" w:themeColor="accent1"/>
          <w:rtl/>
        </w:rPr>
        <w:t xml:space="preserve"> </w:t>
      </w:r>
      <w:r w:rsidRPr="00F24BFA">
        <w:rPr>
          <w:rStyle w:val="Style1Char"/>
          <w:color w:val="4472C4" w:themeColor="accent1"/>
          <w:rtl/>
        </w:rPr>
        <w:t>והכי קאמר רבי מאיר לרבי יהודה לא מיבעיא אם כתבה לו התקבלתי דאז אין לה כתובה כיון דמחלה דהוי בעילת זנות אלא אפילו הפוחת בתנאה בשעת הקדושין דתנאו בטל הוי בעילת זנות דכיון דאמר לה לית ליך אלא מנה לא סמכה דעתה והויא לה בעילת זנות וכן אשה שהפסידה כתובתה בעלה צריך לכתוב לה כתובה אחרת כראשונה ואף על גב דאית לה בתנאי ב"ד לא סמכה דעתה דלמא אמר פרעתי כי הא</w:t>
      </w:r>
      <w:r w:rsidRPr="00CE6141">
        <w:rPr>
          <w:rStyle w:val="Style1Char"/>
          <w:sz w:val="22"/>
          <w:szCs w:val="22"/>
          <w:rtl/>
        </w:rPr>
        <w:t>, אלמא קסבר: תנאו בטל ואית לה</w:t>
      </w:r>
      <w:r w:rsidRPr="00EC62A9">
        <w:rPr>
          <w:rStyle w:val="Style1Char"/>
          <w:color w:val="C00000"/>
          <w:rtl/>
        </w:rPr>
        <w:t xml:space="preserve"> </w:t>
      </w:r>
      <w:r w:rsidRPr="00EC62A9">
        <w:rPr>
          <w:rStyle w:val="Style1Char"/>
          <w:color w:val="C00000"/>
          <w:sz w:val="22"/>
          <w:szCs w:val="22"/>
          <w:rtl/>
        </w:rPr>
        <w:t>מאתים</w:t>
      </w:r>
      <w:r w:rsidRPr="00EC62A9">
        <w:rPr>
          <w:rStyle w:val="Style1Char"/>
          <w:sz w:val="22"/>
          <w:szCs w:val="22"/>
          <w:rtl/>
        </w:rPr>
        <w:t>, וכיון דאמר לה לית ליך אלא מנה לא סמכא דעתה, והויא לה בעילתו בעילת זנות; והא שמעינן ליה לרבי מאיר דאמר: כל המתנה על מה שכתוב בתורה תנאו בטל</w:t>
      </w:r>
      <w:r w:rsidRPr="005F123E">
        <w:rPr>
          <w:rStyle w:val="Style1Char"/>
          <w:color w:val="00B050"/>
          <w:rtl/>
        </w:rPr>
        <w:t xml:space="preserve">, </w:t>
      </w:r>
      <w:r w:rsidRPr="00443695">
        <w:rPr>
          <w:rStyle w:val="Style1Char"/>
          <w:sz w:val="22"/>
          <w:szCs w:val="22"/>
          <w:rtl/>
        </w:rPr>
        <w:t>הא בדרבנן תנאו קיים! קסבר ר' מאיר: כתובה דאורייתא</w:t>
      </w:r>
      <w:r w:rsidRPr="005F123E">
        <w:rPr>
          <w:rStyle w:val="Style1Char"/>
          <w:color w:val="00B050"/>
          <w:rtl/>
        </w:rPr>
        <w:t xml:space="preserve">. תניא, רבי מאיר אומר: כל הפוחת לבתולה ממאתים ולאלמנה ממנה - הרי זו בעילת זנות; רבי יוסי אומר: רשאי; רבי יהודה אומר: רצה, כותב לבתולה שטר של מאתים והיא כותבת לו התקבלתי ממך מנה, ולאלמנה מנה והיא כותבת לו התקבלתי ממך חמשים זוז. וסבר רבי יוסי רשאי? ורמינהי: אין עושין כתובת אשה מטלטלין מפני תיקון העולם, אמר רבי יוסי: וכי מה תיקון העולם יש בזו? והלא אין קצובין ופוחתין; תנא קמא נמי אין עושין קאמר! אלא לאו הכי קאמר: </w:t>
      </w:r>
      <w:r w:rsidR="00C80304" w:rsidRPr="00C80304">
        <w:rPr>
          <w:rStyle w:val="Style1Char"/>
          <w:color w:val="00B050"/>
          <w:rtl/>
        </w:rPr>
        <w:t>רמב</w:t>
      </w:r>
      <w:r w:rsidR="00213DA1">
        <w:rPr>
          <w:rStyle w:val="Style1Char"/>
          <w:color w:val="00B050"/>
          <w:rtl/>
        </w:rPr>
        <w:t>”</w:t>
      </w:r>
      <w:r w:rsidR="00C80304" w:rsidRPr="00C80304">
        <w:rPr>
          <w:rStyle w:val="Style1Char"/>
          <w:color w:val="00B050"/>
          <w:rtl/>
        </w:rPr>
        <w:t>ם</w:t>
      </w:r>
      <w:r w:rsidR="00213DA1">
        <w:rPr>
          <w:rStyle w:val="Style1Char"/>
          <w:color w:val="00B050"/>
          <w:rtl/>
        </w:rPr>
        <w:t xml:space="preserve"> \נשים\</w:t>
      </w:r>
      <w:r w:rsidR="00C80304" w:rsidRPr="00C80304">
        <w:rPr>
          <w:rStyle w:val="Style1Char"/>
          <w:color w:val="00B050"/>
          <w:rtl/>
        </w:rPr>
        <w:t xml:space="preserve"> הלכות אישות פרק יב הלכה ח</w:t>
      </w:r>
    </w:p>
    <w:p w14:paraId="40448221" w14:textId="2D8C3253" w:rsidR="002C4635" w:rsidRDefault="00C80304" w:rsidP="00C80304">
      <w:pPr>
        <w:bidi/>
        <w:rPr>
          <w:rStyle w:val="Style1Char"/>
          <w:color w:val="00B050"/>
          <w:rtl/>
        </w:rPr>
      </w:pPr>
      <w:r w:rsidRPr="00C80304">
        <w:rPr>
          <w:rStyle w:val="Style1Char"/>
          <w:color w:val="00B050"/>
          <w:rtl/>
        </w:rPr>
        <w:t xml:space="preserve">התנה עמה לפחות מעיקר כתובה או שכתב לה מאתים או מאה עיקר כתובה וכתבה לו שנתקבלה מהן כך וכך והיא לא נתקבלה תנאו בטל שכל הפוחת לבתולה ממאתים ולאלמנה ממנה הרי זו בעילת זנות. </w:t>
      </w:r>
      <w:r>
        <w:rPr>
          <w:rStyle w:val="Style1Char"/>
          <w:rFonts w:hint="cs"/>
          <w:rtl/>
        </w:rPr>
        <w:t>(2)</w:t>
      </w:r>
      <w:r w:rsidR="002C4635" w:rsidRPr="005F123E">
        <w:rPr>
          <w:rStyle w:val="Style1Char"/>
          <w:color w:val="00B050"/>
          <w:rtl/>
        </w:rPr>
        <w:t xml:space="preserve">במה דברים אמורים - בשלא קבל עליו אחריות, אבל קבל עליו אחריות עושין, ואתא רבי יוסי למימר, כי קיבל עליו אחריות אמאי עושין? והלא אין קצובין ופוחתין; השתא ומה התם דדלמא פחתי חייש רבי יוסי, הכא דודאי קא פחתה לא כל שכן! הכי השתא, התם לא ידעה דתחיל, הכא ידעה וקא מחלה. </w:t>
      </w:r>
      <w:r w:rsidR="002C4635" w:rsidRPr="00DC20DA">
        <w:rPr>
          <w:rStyle w:val="Style1Char"/>
          <w:rFonts w:hint="cs"/>
          <w:color w:val="4472C4" w:themeColor="accent1"/>
          <w:rtl/>
        </w:rPr>
        <w:t>ד</w:t>
      </w:r>
      <w:r w:rsidR="002C4635" w:rsidRPr="00DC20DA">
        <w:rPr>
          <w:rStyle w:val="Style1Char"/>
          <w:color w:val="222A35" w:themeColor="text2" w:themeShade="80"/>
          <w:sz w:val="22"/>
          <w:szCs w:val="22"/>
          <w:rtl/>
        </w:rPr>
        <w:t xml:space="preserve">אחתיה דרמי בר </w:t>
      </w:r>
      <w:r w:rsidR="002C4635" w:rsidRPr="005F123E">
        <w:rPr>
          <w:rStyle w:val="Style1Char"/>
          <w:color w:val="00B050"/>
          <w:rtl/>
        </w:rPr>
        <w:t xml:space="preserve">חמא </w:t>
      </w:r>
      <w:r w:rsidR="002C4635" w:rsidRPr="00DC20DA">
        <w:rPr>
          <w:rStyle w:val="Style1Char"/>
          <w:color w:val="806000" w:themeColor="accent4" w:themeShade="80"/>
          <w:sz w:val="22"/>
          <w:szCs w:val="22"/>
          <w:rtl/>
        </w:rPr>
        <w:t xml:space="preserve">פפא </w:t>
      </w:r>
      <w:r w:rsidR="002C4635" w:rsidRPr="005F123E">
        <w:rPr>
          <w:rStyle w:val="Style1Char"/>
          <w:color w:val="00B050"/>
          <w:rtl/>
        </w:rPr>
        <w:t xml:space="preserve">הות נסיבא </w:t>
      </w:r>
      <w:r w:rsidR="002C4635" w:rsidRPr="00DC20DA">
        <w:rPr>
          <w:rStyle w:val="Style1Char"/>
          <w:color w:val="806000" w:themeColor="accent4" w:themeShade="80"/>
          <w:sz w:val="22"/>
          <w:szCs w:val="22"/>
          <w:rtl/>
        </w:rPr>
        <w:t xml:space="preserve">אינסבה </w:t>
      </w:r>
      <w:r w:rsidR="002C4635" w:rsidRPr="00DC20DA">
        <w:rPr>
          <w:rStyle w:val="Style1Char"/>
          <w:color w:val="auto"/>
          <w:sz w:val="22"/>
          <w:szCs w:val="22"/>
          <w:rtl/>
        </w:rPr>
        <w:t xml:space="preserve">לרב </w:t>
      </w:r>
      <w:r w:rsidR="002C4635" w:rsidRPr="00DC20DA">
        <w:rPr>
          <w:rStyle w:val="Style1Char"/>
          <w:color w:val="ED7D31" w:themeColor="accent2"/>
          <w:rtl/>
        </w:rPr>
        <w:t xml:space="preserve">אויא </w:t>
      </w:r>
      <w:r w:rsidR="002C4635" w:rsidRPr="00973215">
        <w:rPr>
          <w:rStyle w:val="Style1Char"/>
          <w:color w:val="C00000"/>
          <w:sz w:val="22"/>
          <w:szCs w:val="22"/>
          <w:rtl/>
        </w:rPr>
        <w:t>אדא</w:t>
      </w:r>
      <w:r w:rsidR="002C4635" w:rsidRPr="005F123E">
        <w:rPr>
          <w:rStyle w:val="Style1Char"/>
          <w:color w:val="00B050"/>
          <w:rtl/>
        </w:rPr>
        <w:t xml:space="preserve">, </w:t>
      </w:r>
    </w:p>
    <w:p w14:paraId="7E8CE7D4" w14:textId="539C4C92" w:rsidR="00E6686C" w:rsidRDefault="00E6686C" w:rsidP="00E6686C">
      <w:pPr>
        <w:pStyle w:val="Style1"/>
        <w:rPr>
          <w:rStyle w:val="Style1Char"/>
          <w:rtl/>
        </w:rPr>
      </w:pPr>
      <w:r>
        <w:rPr>
          <w:rStyle w:val="Style1Char"/>
          <w:rFonts w:hint="cs"/>
          <w:rtl/>
        </w:rPr>
        <w:t>1)[</w:t>
      </w:r>
      <w:r w:rsidRPr="00E6686C">
        <w:rPr>
          <w:rStyle w:val="Style1Char"/>
          <w:rtl/>
        </w:rPr>
        <w:t>רמב</w:t>
      </w:r>
      <w:r w:rsidR="00213DA1">
        <w:rPr>
          <w:rStyle w:val="Style1Char"/>
          <w:rtl/>
        </w:rPr>
        <w:t>”ם \נשים\</w:t>
      </w:r>
      <w:r w:rsidRPr="00E6686C">
        <w:rPr>
          <w:rStyle w:val="Style1Char"/>
          <w:rtl/>
        </w:rPr>
        <w:t xml:space="preserve"> הלכות אישות פרק יב הלכה ח</w:t>
      </w:r>
      <w:r>
        <w:rPr>
          <w:rStyle w:val="Style1Char"/>
          <w:rFonts w:hint="cs"/>
          <w:rtl/>
        </w:rPr>
        <w:t xml:space="preserve">] </w:t>
      </w:r>
      <w:r w:rsidRPr="00E6686C">
        <w:rPr>
          <w:rStyle w:val="Style1Char"/>
          <w:rtl/>
        </w:rPr>
        <w:t>התנה עמה לפחות מעיקר כתובה או שכתב לה מאתים או מאה עיקר כתובה וכתבה לו שנתקבלה מהן כך וכך והיא לא נתקבלה תנאו בטל שכל הפוחת לבתולה ממאתים ולאלמנה ממנה הרי זו בעילת זנות.</w:t>
      </w:r>
    </w:p>
    <w:p w14:paraId="0E62738E" w14:textId="0F209EAF" w:rsidR="00BC7C49" w:rsidRDefault="00BC7C49" w:rsidP="00BC7C49">
      <w:pPr>
        <w:pStyle w:val="Style1"/>
        <w:rPr>
          <w:rtl/>
        </w:rPr>
      </w:pPr>
      <w:r>
        <w:rPr>
          <w:rFonts w:hint="cs"/>
          <w:rtl/>
        </w:rPr>
        <w:t>1)[</w:t>
      </w:r>
      <w:r>
        <w:rPr>
          <w:rtl/>
        </w:rPr>
        <w:t>שולחן ערוך אבן העזר הלכות כתובות סימן סו סעיף ט</w:t>
      </w:r>
      <w:r>
        <w:rPr>
          <w:rFonts w:hint="cs"/>
          <w:rtl/>
        </w:rPr>
        <w:t>]</w:t>
      </w:r>
      <w:r w:rsidRPr="005679CA">
        <w:rPr>
          <w:rFonts w:ascii="Arial" w:hAnsi="Arial"/>
          <w:color w:val="202122"/>
          <w:sz w:val="21"/>
          <w:szCs w:val="21"/>
          <w:shd w:val="clear" w:color="auto" w:fill="FFFFFF"/>
          <w:rtl/>
        </w:rPr>
        <w:t xml:space="preserve"> </w:t>
      </w:r>
      <w:r w:rsidRPr="005679CA">
        <w:rPr>
          <w:rtl/>
        </w:rPr>
        <w:t>כל הפוחת משיעור הכתובה, בעילתו בעילת זנות; לא מבעיא אם כתבה לו אחר כך: התקבלתי ממך הכתובה, או מקצתה, דאז אין לה לדעת קצת פוסקים, אלא אפילו התנה בשעת קדושין שלא יהא לה כתובה, או שפיחת לה משיעורה, אף על פי שתנאו בטל ויש לה כתובה משלם, אפילו הכי בעילתו בעילת זנות, כיון שהיא</w:t>
      </w:r>
      <w:r w:rsidR="002F6AF6">
        <w:rPr>
          <w:rFonts w:hint="cs"/>
          <w:rtl/>
        </w:rPr>
        <w:t xml:space="preserve"> </w:t>
      </w:r>
      <w:r w:rsidRPr="005679CA">
        <w:rPr>
          <w:rtl/>
        </w:rPr>
        <w:t>סבורה שאין לה, לא סמכה דעתה</w:t>
      </w:r>
      <w:r w:rsidRPr="005679CA">
        <w:t>:</w:t>
      </w:r>
    </w:p>
    <w:p w14:paraId="717451B3" w14:textId="7EBD8D61" w:rsidR="002F6AF6" w:rsidRDefault="002F6AF6" w:rsidP="002F6AF6">
      <w:pPr>
        <w:pStyle w:val="Style1"/>
        <w:rPr>
          <w:rtl/>
        </w:rPr>
      </w:pPr>
      <w:r>
        <w:rPr>
          <w:rFonts w:hint="cs"/>
          <w:rtl/>
        </w:rPr>
        <w:t>1)[</w:t>
      </w:r>
      <w:r>
        <w:rPr>
          <w:rtl/>
        </w:rPr>
        <w:t>שולחן ערוך אבן העזר הלכות כתובות סימן סט סעיף ו</w:t>
      </w:r>
      <w:r>
        <w:rPr>
          <w:rFonts w:hint="cs"/>
          <w:rtl/>
        </w:rPr>
        <w:t xml:space="preserve">] </w:t>
      </w:r>
      <w:r>
        <w:rPr>
          <w:rtl/>
        </w:rPr>
        <w:t>התנה הבעל שלא יתחייב באחד מהדברים שהוא חייב בהם, או שהתנית האשה שלא יזכה הבעל באחד מהדברים שהוא זוכה בהם, התנאי קיים, חוץ מג' דברים שאין התנאי מועיל בהם, ואלו הם: עונתה, ועיקר כתובתה, וירושתה.</w:t>
      </w:r>
    </w:p>
    <w:p w14:paraId="41A5C33F" w14:textId="30447E13" w:rsidR="004F57A0" w:rsidRDefault="00F3667E" w:rsidP="004F57A0">
      <w:pPr>
        <w:pStyle w:val="Style1"/>
        <w:rPr>
          <w:rtl/>
        </w:rPr>
      </w:pPr>
      <w:r>
        <w:rPr>
          <w:rStyle w:val="Style1Char"/>
          <w:rFonts w:hint="cs"/>
          <w:rtl/>
        </w:rPr>
        <w:t>2</w:t>
      </w:r>
      <w:r w:rsidR="004F57A0">
        <w:rPr>
          <w:rStyle w:val="Style1Char"/>
          <w:rFonts w:hint="cs"/>
          <w:rtl/>
        </w:rPr>
        <w:t>)[</w:t>
      </w:r>
      <w:r w:rsidR="004F57A0" w:rsidRPr="00795C2E">
        <w:rPr>
          <w:rStyle w:val="Style1Char"/>
          <w:rtl/>
        </w:rPr>
        <w:t>שולחן ערוך אבן העזר הלכות כתובות סימן סו סעיף ב</w:t>
      </w:r>
      <w:r w:rsidR="004F57A0">
        <w:rPr>
          <w:rStyle w:val="Style1Char"/>
          <w:rFonts w:hint="cs"/>
          <w:rtl/>
        </w:rPr>
        <w:t xml:space="preserve">] </w:t>
      </w:r>
      <w:r w:rsidR="004F57A0" w:rsidRPr="00795C2E">
        <w:rPr>
          <w:rtl/>
        </w:rPr>
        <w:t>אם אינו יכול לכתוב לה כתובה, כגון בשבת, או ששכח לכותבה, יכול ליתן לה מטלטלין כנגד כתובתה, ויקבל עליו אחריות אם יאבדו או יוזלו, ואז מותר לבעול עד שיהיה לו פנאי לכתוב</w:t>
      </w:r>
      <w:r w:rsidR="004F57A0" w:rsidRPr="00795C2E">
        <w:t>, </w:t>
      </w:r>
      <w:r w:rsidR="004F57A0" w:rsidRPr="00795C2E">
        <w:rPr>
          <w:rFonts w:hint="cs"/>
          <w:rtl/>
        </w:rPr>
        <w:t>(ואז כותב לה מיד) (טור)</w:t>
      </w:r>
      <w:r w:rsidR="004F57A0" w:rsidRPr="00795C2E">
        <w:t>:</w:t>
      </w:r>
    </w:p>
    <w:p w14:paraId="1F411018" w14:textId="77777777" w:rsidR="002C4635" w:rsidRPr="0042365D" w:rsidRDefault="002C4635" w:rsidP="002C4635">
      <w:pPr>
        <w:bidi/>
        <w:rPr>
          <w:rStyle w:val="Style1Char"/>
          <w:color w:val="00B050"/>
          <w:rtl/>
        </w:rPr>
      </w:pPr>
    </w:p>
    <w:p w14:paraId="1E1335F9" w14:textId="77777777" w:rsidR="002C4635" w:rsidRPr="00C200E7" w:rsidRDefault="002C4635" w:rsidP="002C4635">
      <w:pPr>
        <w:bidi/>
        <w:rPr>
          <w:rStyle w:val="Style1Char"/>
          <w:color w:val="00B050"/>
          <w:rtl/>
        </w:rPr>
      </w:pPr>
    </w:p>
    <w:p w14:paraId="620A4F59" w14:textId="77777777" w:rsidR="002C4635" w:rsidRDefault="002C4635" w:rsidP="002C4635">
      <w:pPr>
        <w:rPr>
          <w:rStyle w:val="Style1Char"/>
          <w:color w:val="00B050"/>
          <w:rtl/>
        </w:rPr>
      </w:pPr>
      <w:r>
        <w:rPr>
          <w:rStyle w:val="Style1Char"/>
          <w:color w:val="00B050"/>
          <w:rtl/>
        </w:rPr>
        <w:br w:type="page"/>
      </w:r>
    </w:p>
    <w:p w14:paraId="4092E485" w14:textId="2BD994EA" w:rsidR="002C4635" w:rsidRPr="00AC2E28" w:rsidRDefault="002C4635" w:rsidP="002C4635">
      <w:pPr>
        <w:bidi/>
        <w:rPr>
          <w:rStyle w:val="Style1Char"/>
          <w:color w:val="auto"/>
          <w:sz w:val="22"/>
          <w:szCs w:val="22"/>
          <w:rtl/>
        </w:rPr>
      </w:pPr>
      <w:r w:rsidRPr="00AC2E28">
        <w:rPr>
          <w:rStyle w:val="Style1Char"/>
          <w:color w:val="auto"/>
          <w:sz w:val="22"/>
          <w:szCs w:val="22"/>
          <w:highlight w:val="yellow"/>
          <w:rtl/>
        </w:rPr>
        <w:lastRenderedPageBreak/>
        <w:t>[דף נז עמוד א]</w:t>
      </w:r>
      <w:r w:rsidRPr="00AC2E28">
        <w:rPr>
          <w:rStyle w:val="Style1Char"/>
          <w:color w:val="auto"/>
          <w:sz w:val="22"/>
          <w:szCs w:val="22"/>
          <w:rtl/>
        </w:rPr>
        <w:t xml:space="preserve"> אירכס כתובתה, אתו לקמיה דרב יוסף, אמר להו, הכי אמר רב יהודה אמר שמואל: זו דברי ר' מאיר, אבל חכמים אומרים: משהא אדם את אשתו שתים ושלש שנים בלא כתובה</w:t>
      </w:r>
      <w:r w:rsidRPr="00AC2E28">
        <w:rPr>
          <w:rStyle w:val="Style1Char"/>
          <w:color w:val="auto"/>
          <w:rtl/>
        </w:rPr>
        <w:t xml:space="preserve"> </w:t>
      </w:r>
      <w:r w:rsidRPr="00973215">
        <w:rPr>
          <w:rStyle w:val="Style1Char"/>
          <w:color w:val="C00000"/>
          <w:sz w:val="22"/>
          <w:szCs w:val="22"/>
          <w:rtl/>
        </w:rPr>
        <w:t>ואינו חושש</w:t>
      </w:r>
      <w:r w:rsidRPr="00973215">
        <w:rPr>
          <w:rStyle w:val="Style1Char"/>
          <w:sz w:val="22"/>
          <w:szCs w:val="22"/>
          <w:rtl/>
        </w:rPr>
        <w:t xml:space="preserve">. </w:t>
      </w:r>
      <w:r w:rsidRPr="00AC2E28">
        <w:rPr>
          <w:rStyle w:val="Style1Char"/>
          <w:color w:val="auto"/>
          <w:sz w:val="22"/>
          <w:szCs w:val="22"/>
          <w:rtl/>
        </w:rPr>
        <w:t xml:space="preserve">אמר ליה אביי, והא אמר רב נחמן אמר שמואל: הלכה כרבי מאיר בגזירותיו! אי הכי, </w:t>
      </w:r>
      <w:r w:rsidR="00F0258C">
        <w:rPr>
          <w:rStyle w:val="Style1Char"/>
          <w:rFonts w:hint="cs"/>
          <w:rtl/>
        </w:rPr>
        <w:t>(1)</w:t>
      </w:r>
      <w:r w:rsidRPr="00AC2E28">
        <w:rPr>
          <w:rStyle w:val="Style1Char"/>
          <w:color w:val="auto"/>
          <w:sz w:val="22"/>
          <w:szCs w:val="22"/>
          <w:rtl/>
        </w:rPr>
        <w:t>זיל כתוב לה.</w:t>
      </w:r>
    </w:p>
    <w:p w14:paraId="5E559E54" w14:textId="77777777" w:rsidR="002C4635" w:rsidRDefault="002C4635" w:rsidP="002C4635">
      <w:pPr>
        <w:bidi/>
        <w:rPr>
          <w:rStyle w:val="Style1Char"/>
          <w:color w:val="00B050"/>
          <w:rtl/>
        </w:rPr>
      </w:pPr>
      <w:r w:rsidRPr="005F123E">
        <w:rPr>
          <w:rStyle w:val="Style1Char"/>
          <w:color w:val="00B050"/>
          <w:rtl/>
        </w:rPr>
        <w:t xml:space="preserve">כי אתא רב דימי, אמר רבי שמעון בן פזי אמר רבי יהושע בן לוי משום בר קפרא: מחלוקת - בתחלה, אבל בסוף - לדברי הכל אינה מוחלת; ורבי יוחנן אמר: בין בזו ובין בזו מחלוקת. אמר רבי אבהו: לדידי מיפרשא לי מיניה דרבי יוחנן, דאנא ורבי יהושע בן לוי לא פלגינן אהדדי, מאי בתחלה דקאמר רבי יהושע בן לוי? תחלת חופה, ומאי סוף? סוף ביאה, וכי קאמינא אנא בין בזו ובין בזו מחלוקת - תחלת חופה וסוף חופה דהיא תחילת ביאה. כי אתא רבין, אמר רבי שמעון בן פזי אמר רבי יהושע בן לוי משום בר קפרא: מחלוקת - לבסוף, אבל בתחלה - דברי הכל מוחלת; ורבי יוחנן אמר: בין בזו ובין בזו מחלוקת. אמר רבי אבהו: לדידי מיפרשא לי מיניה דרבי יוחנן, דאנא ורבי יהושע בן לוי לא פלגינן אהדדי, מאי לבסוף דאמר רבי יהושע בן לוי? סוף חופה, ומאי תחלה? תחלת חופה, וכי קאמינא אנא בין בזו בין בזו מחלוקת - תחלת ביאה וסוף ביאה. אמר רב פפא, אי לאו דאמר רבי אבהו: לדידי מיפרשא לי מיניה דרבי יוחנן, דאנא ורבי יהושע בן לוי לא פלגינן אהדדי, הוה אמינא, רבי יוחנן ורבי יהושע בן לוי פליגי, רב דימי ורבין לא פליגי, מאי סוף דקאמר רבין? סוף חופה, ומאי תחלה דקאמר רב דימי? תחלת ביאה. מאי קמ"ל? הא קמ"ל, דפליגי תרי אמוראי אטעמא דנפשייהו, ולא פליגי תרי אמוראי אליבא דחד אמורא. </w:t>
      </w:r>
    </w:p>
    <w:p w14:paraId="15A7D875" w14:textId="37476EF6" w:rsidR="002C4635" w:rsidRPr="00F24BFA" w:rsidRDefault="002C4635" w:rsidP="002C4635">
      <w:pPr>
        <w:bidi/>
        <w:rPr>
          <w:rStyle w:val="Style1Char"/>
          <w:color w:val="4472C4" w:themeColor="accent1"/>
        </w:rPr>
      </w:pPr>
      <w:r w:rsidRPr="00A450A6">
        <w:rPr>
          <w:rStyle w:val="Style1Char"/>
          <w:color w:val="auto"/>
          <w:sz w:val="22"/>
          <w:szCs w:val="22"/>
          <w:rtl/>
        </w:rPr>
        <w:t xml:space="preserve">מתני'. </w:t>
      </w:r>
      <w:r w:rsidR="00B005DB">
        <w:rPr>
          <w:rStyle w:val="Style1Char"/>
          <w:rFonts w:hint="cs"/>
          <w:rtl/>
        </w:rPr>
        <w:t>(2)</w:t>
      </w:r>
      <w:r w:rsidRPr="00A450A6">
        <w:rPr>
          <w:rStyle w:val="Style1Char"/>
          <w:color w:val="auto"/>
          <w:sz w:val="22"/>
          <w:szCs w:val="22"/>
          <w:rtl/>
        </w:rPr>
        <w:t xml:space="preserve">נותנין לבתולה שנים עשר חודש משתבעה הבעל לפרנס את עצמה. </w:t>
      </w:r>
      <w:r w:rsidR="00516DEE">
        <w:rPr>
          <w:rStyle w:val="Style1Char"/>
          <w:rFonts w:hint="cs"/>
          <w:rtl/>
        </w:rPr>
        <w:t>(3)</w:t>
      </w:r>
      <w:r w:rsidRPr="00A450A6">
        <w:rPr>
          <w:rStyle w:val="Style1Char"/>
          <w:color w:val="auto"/>
          <w:sz w:val="22"/>
          <w:szCs w:val="22"/>
          <w:rtl/>
        </w:rPr>
        <w:t xml:space="preserve">וכשם שנותנין לאשה, כך נותנין לאיש לפרנס את עצמו. </w:t>
      </w:r>
      <w:r w:rsidR="002E0EB1">
        <w:rPr>
          <w:rStyle w:val="Style1Char"/>
          <w:rFonts w:hint="cs"/>
          <w:rtl/>
        </w:rPr>
        <w:t>(2)</w:t>
      </w:r>
      <w:r w:rsidRPr="00A450A6">
        <w:rPr>
          <w:rStyle w:val="Style1Char"/>
          <w:color w:val="auto"/>
          <w:sz w:val="22"/>
          <w:szCs w:val="22"/>
          <w:rtl/>
        </w:rPr>
        <w:t xml:space="preserve">ולאלמנה - שלשים יום. </w:t>
      </w:r>
      <w:r w:rsidR="002E0EB1">
        <w:rPr>
          <w:rStyle w:val="Style1Char"/>
          <w:rFonts w:hint="cs"/>
          <w:rtl/>
        </w:rPr>
        <w:t>(4)</w:t>
      </w:r>
      <w:r w:rsidRPr="00A450A6">
        <w:rPr>
          <w:rStyle w:val="Style1Char"/>
          <w:color w:val="auto"/>
          <w:sz w:val="22"/>
          <w:szCs w:val="22"/>
          <w:rtl/>
        </w:rPr>
        <w:t xml:space="preserve">הגיע זמן ולא נישאו - אוכלות משלו, ואוכלות בתרומה; רבי טרפון אומר: נותנין לה הכל תרומה; רבי עקיבא אומר: </w:t>
      </w:r>
      <w:r w:rsidR="00187412">
        <w:rPr>
          <w:rStyle w:val="Style1Char"/>
          <w:rFonts w:hint="cs"/>
          <w:rtl/>
        </w:rPr>
        <w:t>(5)</w:t>
      </w:r>
      <w:r w:rsidRPr="00AA7AA2">
        <w:rPr>
          <w:rStyle w:val="Style1Char"/>
          <w:color w:val="4472C4" w:themeColor="accent1"/>
          <w:sz w:val="22"/>
          <w:szCs w:val="22"/>
          <w:rtl/>
        </w:rPr>
        <w:t xml:space="preserve">נותנין לה </w:t>
      </w:r>
      <w:r w:rsidRPr="00A450A6">
        <w:rPr>
          <w:rStyle w:val="Style1Char"/>
          <w:color w:val="auto"/>
          <w:sz w:val="22"/>
          <w:szCs w:val="22"/>
          <w:rtl/>
        </w:rPr>
        <w:t>מחצה חולין ומחצה תרומה</w:t>
      </w:r>
      <w:r w:rsidRPr="008E036E">
        <w:rPr>
          <w:rStyle w:val="Style1Char"/>
          <w:color w:val="4472C4" w:themeColor="accent1"/>
          <w:rtl/>
        </w:rPr>
        <w:t xml:space="preserve"> </w:t>
      </w:r>
      <w:r w:rsidRPr="00F24BFA">
        <w:rPr>
          <w:rStyle w:val="Style1Char"/>
          <w:color w:val="4472C4" w:themeColor="accent1"/>
          <w:rtl/>
        </w:rPr>
        <w:t>ירושל' הוא אלמון והיא בתולה</w:t>
      </w:r>
      <w:r>
        <w:rPr>
          <w:rStyle w:val="Style1Char"/>
          <w:rFonts w:hint="cs"/>
          <w:color w:val="4472C4" w:themeColor="accent1"/>
        </w:rPr>
        <w:t>‍</w:t>
      </w:r>
      <w:r w:rsidRPr="00F24BFA">
        <w:rPr>
          <w:rStyle w:val="Style1Char"/>
          <w:color w:val="4472C4" w:themeColor="accent1"/>
          <w:rtl/>
        </w:rPr>
        <w:t xml:space="preserve"> והוא בעי למיסב יכולה לומר חיבתו עלי יתירה מן הבחור בחור והיא אלמנה והיא בעיא למיסב</w:t>
      </w:r>
      <w:r>
        <w:rPr>
          <w:rStyle w:val="Style1Char"/>
          <w:rFonts w:hint="cs"/>
          <w:color w:val="4472C4" w:themeColor="accent1"/>
        </w:rPr>
        <w:t>‍</w:t>
      </w:r>
      <w:r w:rsidRPr="00F24BFA">
        <w:rPr>
          <w:rStyle w:val="Style1Char"/>
          <w:color w:val="4472C4" w:themeColor="accent1"/>
          <w:rtl/>
        </w:rPr>
        <w:t xml:space="preserve"> יכול הוא לומר חיבתה עלי יותר מן הבתולה עשתה ו' חדשים בפני הראשון ואח"כ בא השני [אין] אומרין כבר המתינה יכולה למימר חיבתו עלי יותר מן הראשון</w:t>
      </w:r>
      <w:r w:rsidRPr="00F24BFA">
        <w:rPr>
          <w:rStyle w:val="Style1Char"/>
          <w:color w:val="4472C4" w:themeColor="accent1"/>
        </w:rPr>
        <w:t>:</w:t>
      </w:r>
    </w:p>
    <w:p w14:paraId="6327AF1C" w14:textId="3C883EE7" w:rsidR="002C4635" w:rsidRDefault="00187412" w:rsidP="002C4635">
      <w:pPr>
        <w:bidi/>
        <w:rPr>
          <w:rStyle w:val="Style1Char"/>
          <w:color w:val="auto"/>
          <w:sz w:val="22"/>
          <w:szCs w:val="22"/>
          <w:rtl/>
        </w:rPr>
      </w:pPr>
      <w:r>
        <w:rPr>
          <w:rStyle w:val="Style1Char"/>
          <w:rFonts w:hint="cs"/>
          <w:rtl/>
        </w:rPr>
        <w:t>(6)</w:t>
      </w:r>
      <w:r w:rsidR="002C4635" w:rsidRPr="00A450A6">
        <w:rPr>
          <w:rStyle w:val="Style1Char"/>
          <w:color w:val="auto"/>
          <w:sz w:val="22"/>
          <w:szCs w:val="22"/>
          <w:rtl/>
        </w:rPr>
        <w:t xml:space="preserve">היבם אינו מאכיל בתרומה. עשתה ששה חדשים בפני הבעל וששה חדשים בפני היבם, ואפילו כולן בפני הבעל חסר יום אחד בפני היבם, </w:t>
      </w:r>
      <w:r w:rsidR="002C4635" w:rsidRPr="00495F2E">
        <w:rPr>
          <w:rStyle w:val="Style1Char"/>
          <w:color w:val="00B050"/>
          <w:rtl/>
        </w:rPr>
        <w:t xml:space="preserve">או כולן בפני היבם חסר יום אחד בפני הבעל </w:t>
      </w:r>
      <w:r w:rsidR="002C4635" w:rsidRPr="00CB5E2C">
        <w:rPr>
          <w:rStyle w:val="Style1Char"/>
          <w:color w:val="auto"/>
          <w:sz w:val="22"/>
          <w:szCs w:val="22"/>
          <w:rtl/>
        </w:rPr>
        <w:t xml:space="preserve">- אינה אוכלת בתרומה. זו משנה ראשונה, בית דין של אחריהן אמרו: </w:t>
      </w:r>
    </w:p>
    <w:p w14:paraId="415C0B9E" w14:textId="5F32A544" w:rsidR="002C18DF" w:rsidRDefault="002C18DF" w:rsidP="002C18DF">
      <w:pPr>
        <w:pStyle w:val="Style1"/>
        <w:rPr>
          <w:rStyle w:val="Style1Char"/>
          <w:rtl/>
        </w:rPr>
      </w:pPr>
      <w:r>
        <w:rPr>
          <w:rStyle w:val="Style1Char"/>
          <w:rFonts w:hint="cs"/>
          <w:rtl/>
        </w:rPr>
        <w:t>1)[</w:t>
      </w:r>
      <w:r w:rsidRPr="002C18DF">
        <w:rPr>
          <w:rStyle w:val="Style1Char"/>
          <w:rtl/>
        </w:rPr>
        <w:t>רמב</w:t>
      </w:r>
      <w:r w:rsidR="00213DA1">
        <w:rPr>
          <w:rStyle w:val="Style1Char"/>
          <w:rtl/>
        </w:rPr>
        <w:t>”ם \נשים\</w:t>
      </w:r>
      <w:r w:rsidRPr="002C18DF">
        <w:rPr>
          <w:rStyle w:val="Style1Char"/>
          <w:rtl/>
        </w:rPr>
        <w:t xml:space="preserve"> הלכות אישות פרק י הלכה י</w:t>
      </w:r>
      <w:r>
        <w:rPr>
          <w:rStyle w:val="Style1Char"/>
          <w:rFonts w:hint="cs"/>
          <w:rtl/>
        </w:rPr>
        <w:t xml:space="preserve">] </w:t>
      </w:r>
      <w:r w:rsidRPr="002C18DF">
        <w:rPr>
          <w:rStyle w:val="Style1Char"/>
          <w:rtl/>
        </w:rPr>
        <w:t>הכונס את האשה ולא כתב לה כתובה, או שכתב ואבד שטר הכתובה, או שמחלה כתובתה לבעלה, או שמכרה לו כתובתה, חוזר וכותב לה עיקר כתובה אם רצה לקיימה, לפי שאסור לו לאדם לשהות עם אשתו אפילו שעה אחת בלא כתובה. אבל המוכרת כתובתה לאחרים בטובת הנאה אינו צריך לכתוב לה כתובה אחרת, שלא תקנו כתובה אלא כדי שלא תהיה קלה בעיניו להוציאה, ואם הוציא זה משלם כתובתה ללוקח כדרך שהיה משלם לה אם לא מכרה.</w:t>
      </w:r>
    </w:p>
    <w:p w14:paraId="3FF2D0EA" w14:textId="1EB5543F" w:rsidR="004C2497" w:rsidRDefault="004C2497" w:rsidP="004C2497">
      <w:pPr>
        <w:pStyle w:val="Style1"/>
        <w:rPr>
          <w:rStyle w:val="Style1Char"/>
          <w:rtl/>
        </w:rPr>
      </w:pPr>
      <w:r>
        <w:rPr>
          <w:rStyle w:val="Style1Char"/>
          <w:rFonts w:hint="cs"/>
          <w:rtl/>
        </w:rPr>
        <w:t>1)[</w:t>
      </w:r>
      <w:r w:rsidRPr="004C2497">
        <w:rPr>
          <w:rStyle w:val="Style1Char"/>
          <w:rtl/>
        </w:rPr>
        <w:t>רמב</w:t>
      </w:r>
      <w:r w:rsidR="005258D6">
        <w:rPr>
          <w:rStyle w:val="Style1Char"/>
          <w:rtl/>
        </w:rPr>
        <w:t>”ם \נזיקין\</w:t>
      </w:r>
      <w:r w:rsidRPr="004C2497">
        <w:rPr>
          <w:rStyle w:val="Style1Char"/>
          <w:rtl/>
        </w:rPr>
        <w:t xml:space="preserve"> הלכות חובל ומזיק פרק ד הלכה יח</w:t>
      </w:r>
      <w:r>
        <w:rPr>
          <w:rStyle w:val="Style1Char"/>
          <w:rFonts w:hint="cs"/>
          <w:rtl/>
        </w:rPr>
        <w:t xml:space="preserve">] </w:t>
      </w:r>
      <w:r w:rsidRPr="004C2497">
        <w:rPr>
          <w:rStyle w:val="Style1Char"/>
          <w:rtl/>
        </w:rPr>
        <w:t>האשה שחבלה בבעלה אם היה לה תוספת בכתובתה מחייבין אותה למכור התוספת לבעלה בטובת הנייה וגובה ממנה אם רצה הבעל, ואם רצה לגרשה ולגבות מן הכל גובה, ואם לא היה לה תוספת אינה יכולה למכור לו עיקר כתובתה, שאסור לו לאדם לשהות עם אשתו שעה אחת בלא כתובה כדי שלא תהיה קלה בעיניו להוציאה, אלא אם רצה הבעל כותב עליה שטר בדמי חבלו או מגרשה ונוטל מכתובתה הראוי לו.</w:t>
      </w:r>
    </w:p>
    <w:p w14:paraId="78203A18" w14:textId="32E8F58A" w:rsidR="008A40FA" w:rsidRPr="008A40FA" w:rsidRDefault="00CA699E" w:rsidP="008A40FA">
      <w:pPr>
        <w:pStyle w:val="Style1"/>
      </w:pPr>
      <w:r>
        <w:rPr>
          <w:rStyle w:val="Style1Char"/>
          <w:rFonts w:hint="cs"/>
          <w:rtl/>
        </w:rPr>
        <w:t>1)[</w:t>
      </w:r>
      <w:r w:rsidR="00066B7B" w:rsidRPr="00066B7B">
        <w:rPr>
          <w:rStyle w:val="Style1Char"/>
          <w:rtl/>
        </w:rPr>
        <w:t>שולחן ערוך אבן העזר הלכות כתובות סימן סו סעיף ג</w:t>
      </w:r>
      <w:r>
        <w:rPr>
          <w:rStyle w:val="Style1Char"/>
          <w:rFonts w:hint="cs"/>
          <w:rtl/>
        </w:rPr>
        <w:t>]</w:t>
      </w:r>
      <w:r w:rsidR="008A40FA">
        <w:rPr>
          <w:rStyle w:val="Style1Char"/>
          <w:rFonts w:hint="cs"/>
          <w:rtl/>
        </w:rPr>
        <w:t xml:space="preserve"> </w:t>
      </w:r>
      <w:r w:rsidR="008A40FA" w:rsidRPr="008A40FA">
        <w:rPr>
          <w:rtl/>
        </w:rPr>
        <w:t>אם כתב לה כתובה, ונאבדה, או שמחלה לו, (ודווקא) שכתבה לו: התקבלתי כתובתי, צריך לכתוב אחרת בעיקר הכתובה, שאסור לאדם לשהות עם אשתו שעה אחת בלא כתובה</w:t>
      </w:r>
      <w:r w:rsidR="008A40FA" w:rsidRPr="008A40FA">
        <w:t>.</w:t>
      </w:r>
    </w:p>
    <w:p w14:paraId="07619918" w14:textId="7CB52BED" w:rsidR="008A40FA" w:rsidRDefault="008A40FA" w:rsidP="008A40FA">
      <w:pPr>
        <w:pStyle w:val="Style1"/>
        <w:rPr>
          <w:rtl/>
        </w:rPr>
      </w:pPr>
      <w:r w:rsidRPr="008A40FA">
        <w:rPr>
          <w:rFonts w:hint="cs"/>
          <w:rtl/>
        </w:rPr>
        <w:t>הגה: עיר שכבשוה כרכום, או שגלו מן העיר, ואבדו הנשים הכתובות שלהם, צריכים לחדש לנשותיהם כתובותיהם, אף על פי שיש לומר שמא ימצאו אחר כך כתבותיהם או יחזרו להם, מכל מקום מאחר שהכתובות בחזקת אבודות צריכין כתובות אחרות; ואם אינו ידוע סך הכתובות, אם ישארו קצתן, אזלינן בתרייהו; ואם לאו, דנין על פי זקני העיר ולפי המנהג, העשיר לפי עשרו והעני לפי עניו (בית יוסף בשם תשובת הגאונים). וכשנאבדה הכתובה ובא לכתוב לה כתובה אחרת, צריך לכתוב לה כתובה גדולה כראשונה (מהרי"ק שרש קט"ז). ועיין לקמן </w:t>
      </w:r>
      <w:hyperlink r:id="rId121" w:tooltip="שולחן ערוך אבן העזר קעז" w:history="1">
        <w:r w:rsidRPr="008A40FA">
          <w:rPr>
            <w:rStyle w:val="Hyperlink"/>
            <w:rFonts w:hint="cs"/>
            <w:color w:val="7030A0"/>
            <w:u w:val="none"/>
            <w:rtl/>
          </w:rPr>
          <w:t>סימן קע"ז</w:t>
        </w:r>
      </w:hyperlink>
      <w:r w:rsidRPr="008A40FA">
        <w:rPr>
          <w:rFonts w:hint="cs"/>
        </w:rPr>
        <w:t xml:space="preserve">, </w:t>
      </w:r>
      <w:r w:rsidRPr="008A40FA">
        <w:rPr>
          <w:rFonts w:hint="cs"/>
          <w:rtl/>
        </w:rPr>
        <w:t>דבמקום שאין מגרשין רק מרצון האשה, אין צריך לכתוב כתובה; אם כן בזמן הזה במדינות אלו, שאין מגרשין בעל כרחה של אשה משום חרם רבנו גרשום, וכמו שיתבאר לקמן </w:t>
      </w:r>
      <w:hyperlink r:id="rId122" w:tooltip="שולחן ערוך אבן העזר קיט" w:history="1">
        <w:r w:rsidRPr="008A40FA">
          <w:rPr>
            <w:rStyle w:val="Hyperlink"/>
            <w:rFonts w:hint="cs"/>
            <w:color w:val="7030A0"/>
            <w:u w:val="none"/>
            <w:rtl/>
          </w:rPr>
          <w:t>סימן קי"ט</w:t>
        </w:r>
      </w:hyperlink>
      <w:r w:rsidRPr="008A40FA">
        <w:rPr>
          <w:rFonts w:hint="cs"/>
        </w:rPr>
        <w:t xml:space="preserve">, </w:t>
      </w:r>
      <w:r w:rsidRPr="008A40FA">
        <w:rPr>
          <w:rFonts w:hint="cs"/>
          <w:rtl/>
        </w:rPr>
        <w:t>היה אפשר להקל בכתיבת הכתובה, אבל אין המנהג כן ואין לשנות (כל זה דעת עצמו)</w:t>
      </w:r>
      <w:r w:rsidRPr="008A40FA">
        <w:t>:</w:t>
      </w:r>
    </w:p>
    <w:p w14:paraId="6D470D97" w14:textId="45C56167" w:rsidR="00DF7684" w:rsidRPr="00DF7684" w:rsidRDefault="00534425" w:rsidP="00DF7684">
      <w:pPr>
        <w:pStyle w:val="Style1"/>
      </w:pPr>
      <w:r>
        <w:rPr>
          <w:rFonts w:hint="cs"/>
          <w:rtl/>
        </w:rPr>
        <w:t>1)[</w:t>
      </w:r>
      <w:r>
        <w:rPr>
          <w:rtl/>
        </w:rPr>
        <w:t>שולחן ערוך חושן משפט הלכות חובל בחבירו סימן תכד סעיף י</w:t>
      </w:r>
      <w:r>
        <w:rPr>
          <w:rFonts w:hint="cs"/>
          <w:rtl/>
        </w:rPr>
        <w:t>]</w:t>
      </w:r>
      <w:r w:rsidR="00DF7684">
        <w:rPr>
          <w:rFonts w:hint="cs"/>
          <w:rtl/>
        </w:rPr>
        <w:t xml:space="preserve">  </w:t>
      </w:r>
      <w:r w:rsidR="00DF7684" w:rsidRPr="00DF7684">
        <w:rPr>
          <w:rtl/>
        </w:rPr>
        <w:t>האשה שחבלה בבעלה אם היה תוספת בכתובתה או נכסי מלוג או נכסי צאן ברזל מחייבים אותה למכרם לבעלה בטובת הנאה וגובה ממנה אם רצה הבעל ואם רצה לגרש' ולגבות ממנה הכל גובה ואם לא היה לה אינה יכולה למכור לו עיקר כתובתה שאסור לאדם לשהות את אשתו שעה אחת בלא כתובה אלא אם רצה הבעל כותב עליה שטר בדמי החבלה או מגרשה ונוטל מכתובתה הראוי לו</w:t>
      </w:r>
      <w:r w:rsidR="00DF7684" w:rsidRPr="00DF7684">
        <w:t>:</w:t>
      </w:r>
    </w:p>
    <w:p w14:paraId="59E138F0" w14:textId="2A80F9D1" w:rsidR="00DF7684" w:rsidRDefault="00DF7684" w:rsidP="00DF7684">
      <w:pPr>
        <w:pStyle w:val="Style1"/>
        <w:rPr>
          <w:rtl/>
        </w:rPr>
      </w:pPr>
      <w:r w:rsidRPr="00DF7684">
        <w:rPr>
          <w:rFonts w:hint="cs"/>
          <w:rtl/>
        </w:rPr>
        <w:t>הגה: וכן אם החבלה כפי כתובתה מוכרת כתובתה לבעלה ומשלמת לבעלה ולא חיישינן שמא תהא קלה בעיניו להוציאה שהרי אם ירצה יוכל לגרשה ולגבות בחבלתו (טור סעיף י"ג)</w:t>
      </w:r>
      <w:r w:rsidRPr="00DF7684">
        <w:t>:</w:t>
      </w:r>
    </w:p>
    <w:p w14:paraId="30FC88B7" w14:textId="1F2E6B87" w:rsidR="00AF13BB" w:rsidRDefault="00AF13BB" w:rsidP="00AF13BB">
      <w:pPr>
        <w:pStyle w:val="Style1"/>
        <w:rPr>
          <w:rtl/>
        </w:rPr>
      </w:pPr>
      <w:r>
        <w:rPr>
          <w:rFonts w:hint="cs"/>
          <w:rtl/>
        </w:rPr>
        <w:t>2)[</w:t>
      </w:r>
      <w:r>
        <w:rPr>
          <w:rtl/>
        </w:rPr>
        <w:t>רמב</w:t>
      </w:r>
      <w:r w:rsidR="00213DA1">
        <w:rPr>
          <w:rtl/>
        </w:rPr>
        <w:t>”ם \נשים\</w:t>
      </w:r>
      <w:r>
        <w:rPr>
          <w:rtl/>
        </w:rPr>
        <w:t xml:space="preserve"> הלכות אישות פרק י הלכה יז</w:t>
      </w:r>
      <w:r>
        <w:rPr>
          <w:rFonts w:hint="cs"/>
          <w:rtl/>
        </w:rPr>
        <w:t xml:space="preserve">] </w:t>
      </w:r>
      <w:r>
        <w:rPr>
          <w:rtl/>
        </w:rPr>
        <w:t>אירסה ושהה כמה שנים ותבעה לנישואין והרי היא נערה נותנין לה שנים עשר חדש מיום התביעה לפרנס את עצמה ולתקן מה שהיא צריכה לו ואחר כך תנשא. תבעה אחר שבגרה נותנין לה שנים עשר חדש מיום הבגר, וכן אם קידשה ביום הבגר נותנין לה שנים עשר חדש מיום הקידושין שהוא יום הבגר. קידשה אחר שבגרה אם עברו עליה שנים עשר חדש בבגרותה ואחר כך נתקדשה אין נותנין לה אלא שלשים יום מיום התביעה, וכן המארס את הבעולה נותנין לה שלשים יום מיום התביעה.</w:t>
      </w:r>
    </w:p>
    <w:p w14:paraId="6C83A202" w14:textId="15E2865A" w:rsidR="005C0720" w:rsidRDefault="005C0720" w:rsidP="0093085F">
      <w:pPr>
        <w:pStyle w:val="Style1"/>
        <w:rPr>
          <w:rtl/>
        </w:rPr>
      </w:pPr>
      <w:r>
        <w:rPr>
          <w:rFonts w:hint="cs"/>
          <w:rtl/>
        </w:rPr>
        <w:t>2)[</w:t>
      </w:r>
      <w:r>
        <w:rPr>
          <w:rtl/>
        </w:rPr>
        <w:t>שולחן ערוך אבן העזר הלכות קידושין סימן נו סעיף א</w:t>
      </w:r>
      <w:r>
        <w:rPr>
          <w:rFonts w:hint="cs"/>
          <w:rtl/>
        </w:rPr>
        <w:t>]</w:t>
      </w:r>
      <w:r w:rsidR="00105F3D">
        <w:rPr>
          <w:rFonts w:hint="cs"/>
          <w:rtl/>
        </w:rPr>
        <w:t xml:space="preserve"> </w:t>
      </w:r>
      <w:r w:rsidR="00105F3D" w:rsidRPr="0093085F">
        <w:rPr>
          <w:rtl/>
        </w:rPr>
        <w:t>המארס אשה, ושהה כמה שנים, ותבעה לנשואין והרי היא נערה, נותנים לה שנים עשר חדש מיום התביעה לפרנס את עצמה ולתקן מה שהיא צריכה לה, ואחר כך תנשא. תבעה אחר שבגרה, נותנים לה שנים עשר חדש מיום הבגר. וכן אם קדשה ביום הבגר, נותנין לה שנים עשר חדש מיום הקדושין, שהוא הבגר. קדשה אחר שבגרה, אם עברו עליה שנים עשר חדש בבגרותה ואחר כך נתקדשה, אין נותנין לה אלא שלשים יום מיום התביעה. וכן המארס את הבעולה, נותנין לה שלשים יום מיום התביעה</w:t>
      </w:r>
      <w:r w:rsidR="00105F3D" w:rsidRPr="0093085F">
        <w:t>:</w:t>
      </w:r>
    </w:p>
    <w:p w14:paraId="2E48F40D" w14:textId="71269E9A" w:rsidR="0093085F" w:rsidRDefault="0093085F" w:rsidP="0093085F">
      <w:pPr>
        <w:pStyle w:val="Style1"/>
        <w:rPr>
          <w:rtl/>
        </w:rPr>
      </w:pPr>
      <w:r>
        <w:rPr>
          <w:rFonts w:hint="cs"/>
          <w:rtl/>
        </w:rPr>
        <w:t>3)[</w:t>
      </w:r>
      <w:r>
        <w:rPr>
          <w:rtl/>
        </w:rPr>
        <w:t>רמב</w:t>
      </w:r>
      <w:r w:rsidR="00213DA1">
        <w:rPr>
          <w:rtl/>
        </w:rPr>
        <w:t>”ם \נשים\</w:t>
      </w:r>
      <w:r>
        <w:rPr>
          <w:rtl/>
        </w:rPr>
        <w:t xml:space="preserve"> הלכות אישות פרק י הלכה יח</w:t>
      </w:r>
      <w:r>
        <w:rPr>
          <w:rFonts w:hint="cs"/>
          <w:rtl/>
        </w:rPr>
        <w:t xml:space="preserve">] </w:t>
      </w:r>
      <w:r>
        <w:rPr>
          <w:rtl/>
        </w:rPr>
        <w:t>כשם שנותנין זמן לאשה משתבעה הבעל לפרנס את עצמה ואחר כך תנשא כך נותנין זמן לאיש לפרנס את עצמו משתבעה האשה אותו, וכמה נותנין לו כמה שנותנין לה אם שנים עשר חדש שנים עשר חדש ואם שלשים יום שלשים יום.</w:t>
      </w:r>
    </w:p>
    <w:p w14:paraId="35C30BDB" w14:textId="3D60C20A" w:rsidR="00E16A0C" w:rsidRDefault="00E16A0C" w:rsidP="00E16A0C">
      <w:pPr>
        <w:pStyle w:val="Style1"/>
        <w:rPr>
          <w:rtl/>
        </w:rPr>
      </w:pPr>
      <w:r>
        <w:rPr>
          <w:rFonts w:hint="cs"/>
          <w:rtl/>
        </w:rPr>
        <w:t>3)[</w:t>
      </w:r>
      <w:r>
        <w:rPr>
          <w:rtl/>
        </w:rPr>
        <w:t>שולחן ערוך אבן העזר הלכות קידושין סימן נו סעיף ב</w:t>
      </w:r>
      <w:r>
        <w:rPr>
          <w:rFonts w:hint="cs"/>
          <w:rtl/>
        </w:rPr>
        <w:t xml:space="preserve">] </w:t>
      </w:r>
      <w:r>
        <w:rPr>
          <w:rtl/>
        </w:rPr>
        <w:t>כשם שנותנין זמן לאשה משתבעה הבעל לפרנס את עצמה, כך נותנין זמן לאיש לפרנס את עצמו משתבעה האשה אותו; וכמה זמן נותנין, כמו שנותנין לה, אם י"ב חדש י"ב חדש, ואם שלשים יום שלשים יום.</w:t>
      </w:r>
    </w:p>
    <w:p w14:paraId="4400DF63" w14:textId="0E8B10A4" w:rsidR="00A7377C" w:rsidRDefault="00A7377C" w:rsidP="00A7377C">
      <w:pPr>
        <w:pStyle w:val="Style1"/>
        <w:rPr>
          <w:rtl/>
        </w:rPr>
      </w:pPr>
      <w:r>
        <w:rPr>
          <w:rFonts w:hint="cs"/>
          <w:rtl/>
        </w:rPr>
        <w:lastRenderedPageBreak/>
        <w:t>4)[</w:t>
      </w:r>
      <w:r>
        <w:rPr>
          <w:rtl/>
        </w:rPr>
        <w:t>רמב</w:t>
      </w:r>
      <w:r w:rsidR="00213DA1">
        <w:rPr>
          <w:rtl/>
        </w:rPr>
        <w:t>”ם \נשים\</w:t>
      </w:r>
      <w:r>
        <w:rPr>
          <w:rtl/>
        </w:rPr>
        <w:t xml:space="preserve"> הלכות אישות פרק י הלכה יט</w:t>
      </w:r>
      <w:r>
        <w:rPr>
          <w:rFonts w:hint="cs"/>
          <w:rtl/>
        </w:rPr>
        <w:t xml:space="preserve">] </w:t>
      </w:r>
      <w:r>
        <w:rPr>
          <w:rtl/>
        </w:rPr>
        <w:t>הגיע זמן שנתנו לאיש ולא נשאה נתחייב במזונותיה אף על פי שלא כנס, ואם הגיע הזמן באחד בשבת או בערב שבת אינו מעלה לה מזונות לאותו היום מפני שאינו יכול לכנוס, וכן אם חלה הוא או היא או שפרסה נדה כשהגיע הזמן אינו מעלה לה מזונות שהרי אינה ראויה להנשא עד שתטהר או עד שתבריא וכן הוא אינו יכול לישא אשה עד שיבריא.</w:t>
      </w:r>
    </w:p>
    <w:p w14:paraId="70EDF3DE" w14:textId="6D45BFA6" w:rsidR="004445D4" w:rsidRPr="004445D4" w:rsidRDefault="005E10E5" w:rsidP="004445D4">
      <w:pPr>
        <w:pStyle w:val="Style1"/>
      </w:pPr>
      <w:r>
        <w:rPr>
          <w:rFonts w:hint="cs"/>
          <w:rtl/>
        </w:rPr>
        <w:t>4)[</w:t>
      </w:r>
      <w:r>
        <w:rPr>
          <w:rtl/>
        </w:rPr>
        <w:t>שולחן ערוך אבן העזר הלכות קידושין סימן נו סעיף ג</w:t>
      </w:r>
      <w:r>
        <w:rPr>
          <w:rFonts w:hint="cs"/>
          <w:rtl/>
        </w:rPr>
        <w:t>]</w:t>
      </w:r>
      <w:r w:rsidR="004445D4">
        <w:rPr>
          <w:rFonts w:hint="cs"/>
          <w:rtl/>
        </w:rPr>
        <w:t xml:space="preserve"> </w:t>
      </w:r>
      <w:r w:rsidR="004445D4" w:rsidRPr="004445D4">
        <w:rPr>
          <w:rtl/>
        </w:rPr>
        <w:t>הגיע זמן שנתנו לאיש ולא נשאה, נתחיב במזונותיה אף על פי שלא כנס. ואם עכבו אנס, כגון שחלה הוא או היא, או שפרסה נדה, או שהגיע זמן באחד בשבת שאינו יכול לכנס, אינו חיב לזונה</w:t>
      </w:r>
      <w:r w:rsidR="004445D4" w:rsidRPr="004445D4">
        <w:t>.</w:t>
      </w:r>
    </w:p>
    <w:p w14:paraId="73B16EB3" w14:textId="40B00F12" w:rsidR="004445D4" w:rsidRDefault="004445D4" w:rsidP="004445D4">
      <w:pPr>
        <w:pStyle w:val="Style1"/>
        <w:rPr>
          <w:rtl/>
        </w:rPr>
      </w:pPr>
      <w:r w:rsidRPr="004445D4">
        <w:rPr>
          <w:rFonts w:hint="cs"/>
          <w:rtl/>
        </w:rPr>
        <w:t>הגה: ודוקא שחלה תוך הזמן, אבל הגיע הזמן ולא כנסה, ואחר כך חלה, חיב במזונותיה אף על גב דהשתא הוא אנס (מרדכי ריש כתבות ובפרק החולץ סי' ל"ב)</w:t>
      </w:r>
      <w:r w:rsidRPr="004445D4">
        <w:t>:</w:t>
      </w:r>
    </w:p>
    <w:p w14:paraId="3D3EFAF5" w14:textId="06A77FD0" w:rsidR="002F3231" w:rsidRDefault="002F3231" w:rsidP="002F3231">
      <w:pPr>
        <w:pStyle w:val="Style1"/>
        <w:rPr>
          <w:rtl/>
        </w:rPr>
      </w:pPr>
      <w:r>
        <w:rPr>
          <w:rFonts w:hint="cs"/>
          <w:rtl/>
        </w:rPr>
        <w:t>5)[</w:t>
      </w:r>
      <w:r>
        <w:rPr>
          <w:rtl/>
        </w:rPr>
        <w:t>רמב</w:t>
      </w:r>
      <w:r w:rsidR="00213DA1">
        <w:rPr>
          <w:rtl/>
        </w:rPr>
        <w:t>”ם \נשים\</w:t>
      </w:r>
      <w:r>
        <w:rPr>
          <w:rtl/>
        </w:rPr>
        <w:t xml:space="preserve"> הלכות אישות פרק יב הלכה יג</w:t>
      </w:r>
      <w:r>
        <w:rPr>
          <w:rFonts w:hint="cs"/>
          <w:rtl/>
        </w:rPr>
        <w:t xml:space="preserve">] </w:t>
      </w:r>
      <w:r>
        <w:rPr>
          <w:rtl/>
        </w:rPr>
        <w:t>האשה שפסקו לה מזונות והותירו המותר לבעל, היה בעלה כהן אינו נותן לה כל מזונותיה תרומה מפני שטורח גדול הוא לה לשמרן מדברים המטמאין ולאכלן בטהרה אלא נותן לה מחצה חולין ומחצה תרומה.</w:t>
      </w:r>
    </w:p>
    <w:p w14:paraId="2D2CF455" w14:textId="099A5074" w:rsidR="00FE735F" w:rsidRPr="004445D4" w:rsidRDefault="00FE735F" w:rsidP="00FE735F">
      <w:pPr>
        <w:pStyle w:val="Style1"/>
      </w:pPr>
      <w:r>
        <w:rPr>
          <w:rFonts w:hint="cs"/>
          <w:rtl/>
        </w:rPr>
        <w:t>6)[</w:t>
      </w:r>
      <w:r>
        <w:rPr>
          <w:rtl/>
        </w:rPr>
        <w:t>רמב</w:t>
      </w:r>
      <w:r w:rsidR="00786216">
        <w:rPr>
          <w:rtl/>
        </w:rPr>
        <w:t>”ם \זרעים\</w:t>
      </w:r>
      <w:r>
        <w:rPr>
          <w:rtl/>
        </w:rPr>
        <w:t xml:space="preserve"> הלכות תרומות פרק ח הלכה ה</w:t>
      </w:r>
      <w:r>
        <w:rPr>
          <w:rFonts w:hint="cs"/>
          <w:rtl/>
        </w:rPr>
        <w:t xml:space="preserve">] </w:t>
      </w:r>
      <w:r>
        <w:rPr>
          <w:rtl/>
        </w:rPr>
        <w:t>היבם כיצד, בת ישראל הזקוקה ליבם כהן לא תאכל שנאמר וכהן כי יקנה נפש וזה עדיין לא קנאה, ובת כהן הזקוקה לישראל אסורה מפני יבמה שנאמר ושבה אל בית אבית כנעוריה פרט לשומרת יבם.</w:t>
      </w:r>
    </w:p>
    <w:p w14:paraId="3FEAFAA9" w14:textId="77777777" w:rsidR="004445D4" w:rsidRPr="004445D4" w:rsidRDefault="004445D4" w:rsidP="004445D4">
      <w:pPr>
        <w:pStyle w:val="Style1"/>
      </w:pPr>
    </w:p>
    <w:p w14:paraId="79E05FD3" w14:textId="78A80382" w:rsidR="005E10E5" w:rsidRPr="0093085F" w:rsidRDefault="005E10E5" w:rsidP="005E10E5">
      <w:pPr>
        <w:pStyle w:val="Style1"/>
      </w:pPr>
    </w:p>
    <w:p w14:paraId="64137A69" w14:textId="276CAAB5" w:rsidR="005C0720" w:rsidRPr="0093085F" w:rsidRDefault="005C0720" w:rsidP="0093085F">
      <w:pPr>
        <w:pStyle w:val="Style1"/>
      </w:pPr>
    </w:p>
    <w:p w14:paraId="787DD1CA" w14:textId="77777777" w:rsidR="00DF7684" w:rsidRPr="00DF7684" w:rsidRDefault="00DF7684" w:rsidP="00DF7684">
      <w:pPr>
        <w:pStyle w:val="Style1"/>
      </w:pPr>
    </w:p>
    <w:p w14:paraId="4D6312E4" w14:textId="4877C68F" w:rsidR="00534425" w:rsidRPr="008A40FA" w:rsidRDefault="00534425" w:rsidP="00534425">
      <w:pPr>
        <w:pStyle w:val="Style1"/>
      </w:pPr>
    </w:p>
    <w:p w14:paraId="1B9B1B3D" w14:textId="77777777" w:rsidR="008A40FA" w:rsidRPr="008A40FA" w:rsidRDefault="008A40FA" w:rsidP="008A40FA">
      <w:pPr>
        <w:pStyle w:val="Style1"/>
        <w:rPr>
          <w:rStyle w:val="Style1Char"/>
        </w:rPr>
      </w:pPr>
    </w:p>
    <w:p w14:paraId="04759E44" w14:textId="77777777" w:rsidR="002C4635" w:rsidRPr="00A450A6" w:rsidRDefault="002C4635" w:rsidP="002C4635">
      <w:pPr>
        <w:bidi/>
        <w:rPr>
          <w:rStyle w:val="Style1Char"/>
          <w:sz w:val="22"/>
          <w:szCs w:val="22"/>
          <w:rtl/>
        </w:rPr>
      </w:pPr>
    </w:p>
    <w:p w14:paraId="2F45490E" w14:textId="77777777" w:rsidR="002C4635" w:rsidRPr="00090A47" w:rsidRDefault="002C4635" w:rsidP="002C4635">
      <w:pPr>
        <w:bidi/>
        <w:rPr>
          <w:rStyle w:val="Style1Char"/>
          <w:color w:val="00B050"/>
          <w:rtl/>
        </w:rPr>
      </w:pPr>
    </w:p>
    <w:p w14:paraId="10107A53" w14:textId="77777777" w:rsidR="002C4635" w:rsidRDefault="002C4635" w:rsidP="002C4635">
      <w:pPr>
        <w:rPr>
          <w:rStyle w:val="Style1Char"/>
          <w:color w:val="00B050"/>
          <w:rtl/>
        </w:rPr>
      </w:pPr>
      <w:r>
        <w:rPr>
          <w:rStyle w:val="Style1Char"/>
          <w:color w:val="00B050"/>
          <w:rtl/>
        </w:rPr>
        <w:br w:type="page"/>
      </w:r>
    </w:p>
    <w:p w14:paraId="63318CA1" w14:textId="2B7F6342" w:rsidR="002C4635" w:rsidRPr="00CB5E2C" w:rsidRDefault="002C4635" w:rsidP="002C4635">
      <w:pPr>
        <w:bidi/>
        <w:rPr>
          <w:rStyle w:val="Style1Char"/>
          <w:sz w:val="32"/>
          <w:szCs w:val="32"/>
          <w:rtl/>
        </w:rPr>
      </w:pPr>
      <w:r w:rsidRPr="00CB5E2C">
        <w:rPr>
          <w:rStyle w:val="Style1Char"/>
          <w:color w:val="auto"/>
          <w:sz w:val="22"/>
          <w:szCs w:val="22"/>
          <w:highlight w:val="yellow"/>
          <w:rtl/>
        </w:rPr>
        <w:lastRenderedPageBreak/>
        <w:t>[דף נז עמוד ב]</w:t>
      </w:r>
      <w:r w:rsidRPr="00CB5E2C">
        <w:rPr>
          <w:rStyle w:val="Style1Char"/>
          <w:color w:val="auto"/>
          <w:sz w:val="22"/>
          <w:szCs w:val="22"/>
          <w:rtl/>
        </w:rPr>
        <w:t xml:space="preserve"> </w:t>
      </w:r>
      <w:r w:rsidR="00D46072">
        <w:rPr>
          <w:rStyle w:val="Style1Char"/>
          <w:rFonts w:hint="cs"/>
          <w:rtl/>
        </w:rPr>
        <w:t>(1)</w:t>
      </w:r>
      <w:r w:rsidRPr="00CB5E2C">
        <w:rPr>
          <w:rStyle w:val="Style1Char"/>
          <w:color w:val="auto"/>
          <w:sz w:val="22"/>
          <w:szCs w:val="22"/>
          <w:rtl/>
        </w:rPr>
        <w:t xml:space="preserve">אין האשה אוכלת בתרומה עד שתכנס לחופה. </w:t>
      </w:r>
      <w:r w:rsidRPr="00CB5E2C">
        <w:rPr>
          <w:rStyle w:val="Style1Char"/>
          <w:color w:val="4472C4" w:themeColor="accent1"/>
          <w:sz w:val="22"/>
          <w:szCs w:val="22"/>
          <w:rtl/>
        </w:rPr>
        <w:t>וכן היבמה נמי עד שתבעל אפילו נפלה מן הנשואין והלכה כמשנה אחרונה</w:t>
      </w:r>
    </w:p>
    <w:p w14:paraId="7EECEB74" w14:textId="77777777" w:rsidR="002C4635" w:rsidRPr="00271423" w:rsidRDefault="002C4635" w:rsidP="002C4635">
      <w:pPr>
        <w:bidi/>
        <w:rPr>
          <w:rStyle w:val="Style1Char"/>
          <w:color w:val="auto"/>
          <w:sz w:val="22"/>
          <w:szCs w:val="22"/>
          <w:rtl/>
        </w:rPr>
      </w:pPr>
      <w:r w:rsidRPr="00271423">
        <w:rPr>
          <w:rStyle w:val="Style1Char"/>
          <w:color w:val="auto"/>
          <w:sz w:val="22"/>
          <w:szCs w:val="22"/>
          <w:rtl/>
        </w:rPr>
        <w:t>גמ'. מנא הני מילי? אמר רב חסדא</w:t>
      </w:r>
      <w:r w:rsidRPr="009D71B4">
        <w:rPr>
          <w:rStyle w:val="Style1Char"/>
          <w:sz w:val="22"/>
          <w:szCs w:val="22"/>
          <w:rtl/>
        </w:rPr>
        <w:t>, דאמר קרא:</w:t>
      </w:r>
      <w:r w:rsidRPr="005F123E">
        <w:rPr>
          <w:rStyle w:val="Style1Char"/>
          <w:color w:val="00B050"/>
          <w:rtl/>
        </w:rPr>
        <w:t xml:space="preserve"> ויאמר אחיה ואמה </w:t>
      </w:r>
      <w:r w:rsidRPr="00271423">
        <w:rPr>
          <w:rStyle w:val="Style1Char"/>
          <w:color w:val="auto"/>
          <w:sz w:val="22"/>
          <w:szCs w:val="22"/>
          <w:rtl/>
        </w:rPr>
        <w:t xml:space="preserve">תשב הנערה אתנו ימים או עשור, מאי ימים? אילימא תרי יומי, </w:t>
      </w:r>
      <w:r w:rsidRPr="0072063F">
        <w:rPr>
          <w:rStyle w:val="Style1Char"/>
          <w:color w:val="4472C4" w:themeColor="accent1"/>
          <w:sz w:val="22"/>
          <w:szCs w:val="22"/>
          <w:rtl/>
        </w:rPr>
        <w:t xml:space="preserve">ומי </w:t>
      </w:r>
      <w:r w:rsidRPr="00271423">
        <w:rPr>
          <w:rStyle w:val="Style1Char"/>
          <w:color w:val="auto"/>
          <w:sz w:val="22"/>
          <w:szCs w:val="22"/>
          <w:rtl/>
        </w:rPr>
        <w:t xml:space="preserve">משתעי איניש הכי? אמרו ליה תרי יומי אמר להו לא, אמרו ליה עשרה יומי! אלא מאי ימים? שנה, דכתיב: ימים תהיה גאולתו: </w:t>
      </w:r>
    </w:p>
    <w:p w14:paraId="6211C1B7" w14:textId="272C3EB5" w:rsidR="002C4635" w:rsidRPr="006F5A71" w:rsidRDefault="002C4635" w:rsidP="002C4635">
      <w:pPr>
        <w:bidi/>
        <w:rPr>
          <w:rStyle w:val="Style1Char"/>
          <w:color w:val="00B050"/>
          <w:sz w:val="22"/>
          <w:szCs w:val="22"/>
          <w:rtl/>
        </w:rPr>
      </w:pPr>
      <w:r w:rsidRPr="005F123E">
        <w:rPr>
          <w:rStyle w:val="Style1Char"/>
          <w:color w:val="00B050"/>
          <w:rtl/>
        </w:rPr>
        <w:t xml:space="preserve">ואימא: חדש, דכתיב: עד חדש ימים! אמרי: דנין ימים סתם מימים סתם, ואין דנין ימים סתם מימים שנאמר בהן חדש. </w:t>
      </w:r>
      <w:r w:rsidRPr="00E164CF">
        <w:rPr>
          <w:rStyle w:val="Style1Char"/>
          <w:color w:val="auto"/>
          <w:sz w:val="22"/>
          <w:szCs w:val="22"/>
          <w:rtl/>
        </w:rPr>
        <w:t xml:space="preserve">אמר רבי זירא, תנא: </w:t>
      </w:r>
      <w:r w:rsidR="00242BAB">
        <w:rPr>
          <w:rStyle w:val="Style1Char"/>
          <w:rFonts w:hint="cs"/>
          <w:rtl/>
        </w:rPr>
        <w:t>(2)</w:t>
      </w:r>
      <w:r w:rsidRPr="00E164CF">
        <w:rPr>
          <w:rStyle w:val="Style1Char"/>
          <w:color w:val="auto"/>
          <w:sz w:val="22"/>
          <w:szCs w:val="22"/>
          <w:rtl/>
        </w:rPr>
        <w:t>קטנה, בין היא ובין אביה יכולין לעכב. בשלמא איהי מצי מעכבא</w:t>
      </w:r>
      <w:r w:rsidRPr="009D71B4">
        <w:rPr>
          <w:rStyle w:val="Style1Char"/>
          <w:color w:val="C00000"/>
          <w:rtl/>
        </w:rPr>
        <w:t xml:space="preserve"> </w:t>
      </w:r>
      <w:r w:rsidRPr="00384AD8">
        <w:rPr>
          <w:rStyle w:val="Style1Char"/>
          <w:color w:val="806000" w:themeColor="accent4" w:themeShade="80"/>
          <w:sz w:val="22"/>
          <w:szCs w:val="22"/>
          <w:rtl/>
        </w:rPr>
        <w:t>דאמרה לא יכילנא בבעל</w:t>
      </w:r>
      <w:r w:rsidRPr="005F123E">
        <w:rPr>
          <w:rStyle w:val="Style1Char"/>
          <w:color w:val="00B050"/>
          <w:rtl/>
        </w:rPr>
        <w:t xml:space="preserve">, </w:t>
      </w:r>
      <w:r w:rsidRPr="00384AD8">
        <w:rPr>
          <w:rStyle w:val="Style1Char"/>
          <w:color w:val="auto"/>
          <w:sz w:val="22"/>
          <w:szCs w:val="22"/>
          <w:rtl/>
        </w:rPr>
        <w:t>אלא אביה, אי איהי ניחא לה, אביה מאי נפקא ליה מינה? סבר, השתא לא ידעה, למחר מימרדא</w:t>
      </w:r>
      <w:r w:rsidRPr="00384AD8">
        <w:rPr>
          <w:rStyle w:val="Style1Char"/>
          <w:color w:val="auto"/>
          <w:rtl/>
        </w:rPr>
        <w:t xml:space="preserve"> </w:t>
      </w:r>
      <w:r w:rsidRPr="005F123E">
        <w:rPr>
          <w:rStyle w:val="Style1Char"/>
          <w:color w:val="00B050"/>
          <w:rtl/>
        </w:rPr>
        <w:t xml:space="preserve">ונפקא </w:t>
      </w:r>
      <w:r w:rsidRPr="00384AD8">
        <w:rPr>
          <w:rStyle w:val="Style1Char"/>
          <w:color w:val="auto"/>
          <w:sz w:val="22"/>
          <w:szCs w:val="22"/>
          <w:rtl/>
        </w:rPr>
        <w:t>ואתיא ונפלה עילואי</w:t>
      </w:r>
      <w:r w:rsidRPr="009D71B4">
        <w:rPr>
          <w:rStyle w:val="Style1Char"/>
          <w:sz w:val="22"/>
          <w:szCs w:val="22"/>
          <w:rtl/>
        </w:rPr>
        <w:t xml:space="preserve">. </w:t>
      </w:r>
      <w:r w:rsidRPr="0041254C">
        <w:rPr>
          <w:rStyle w:val="Style1Char"/>
          <w:color w:val="auto"/>
          <w:sz w:val="22"/>
          <w:szCs w:val="22"/>
          <w:rtl/>
        </w:rPr>
        <w:t xml:space="preserve">אמר </w:t>
      </w:r>
      <w:r w:rsidRPr="005F123E">
        <w:rPr>
          <w:rStyle w:val="Style1Char"/>
          <w:color w:val="00B050"/>
          <w:rtl/>
        </w:rPr>
        <w:t xml:space="preserve">רבי אבא </w:t>
      </w:r>
      <w:r w:rsidRPr="006F5A71">
        <w:rPr>
          <w:rStyle w:val="Style1Char"/>
          <w:color w:val="806000" w:themeColor="accent4" w:themeShade="80"/>
          <w:sz w:val="22"/>
          <w:szCs w:val="22"/>
          <w:rtl/>
        </w:rPr>
        <w:t xml:space="preserve">רבא </w:t>
      </w:r>
      <w:r w:rsidRPr="006F5A71">
        <w:rPr>
          <w:rStyle w:val="Style1Char"/>
          <w:color w:val="auto"/>
          <w:sz w:val="22"/>
          <w:szCs w:val="22"/>
          <w:rtl/>
        </w:rPr>
        <w:t xml:space="preserve">בר לוי: </w:t>
      </w:r>
      <w:r w:rsidR="004B0F02">
        <w:rPr>
          <w:rStyle w:val="Style1Char"/>
          <w:rFonts w:hint="cs"/>
          <w:rtl/>
        </w:rPr>
        <w:t>(3)</w:t>
      </w:r>
      <w:r w:rsidRPr="006F5A71">
        <w:rPr>
          <w:rStyle w:val="Style1Char"/>
          <w:color w:val="auto"/>
          <w:sz w:val="22"/>
          <w:szCs w:val="22"/>
          <w:rtl/>
        </w:rPr>
        <w:t>אין פוסקין על הקטנה להשיאה כשהיא קטנה, אבל פוסקין על הקטנה להשיאה כשהיא גדולה</w:t>
      </w:r>
      <w:r w:rsidRPr="00476B2C">
        <w:rPr>
          <w:rStyle w:val="Style1Char"/>
          <w:color w:val="C00000"/>
          <w:rtl/>
        </w:rPr>
        <w:t xml:space="preserve"> </w:t>
      </w:r>
      <w:r w:rsidRPr="006F5A71">
        <w:rPr>
          <w:rStyle w:val="Style1Char"/>
          <w:color w:val="806000" w:themeColor="accent4" w:themeShade="80"/>
          <w:sz w:val="22"/>
          <w:szCs w:val="22"/>
          <w:rtl/>
        </w:rPr>
        <w:t xml:space="preserve">ולא חיישינן דילמא עייל בה פחדא מהשתא </w:t>
      </w:r>
      <w:r w:rsidRPr="006F5A71">
        <w:rPr>
          <w:rStyle w:val="Style1Char"/>
          <w:color w:val="C00000"/>
          <w:sz w:val="22"/>
          <w:szCs w:val="22"/>
          <w:rtl/>
        </w:rPr>
        <w:t>וחלשה:</w:t>
      </w:r>
      <w:r w:rsidRPr="006F5A71">
        <w:rPr>
          <w:rStyle w:val="Style1Char"/>
          <w:sz w:val="22"/>
          <w:szCs w:val="22"/>
          <w:rtl/>
        </w:rPr>
        <w:t>.</w:t>
      </w:r>
      <w:r w:rsidRPr="006F5A71">
        <w:rPr>
          <w:rStyle w:val="Style1Char"/>
          <w:color w:val="00B050"/>
          <w:sz w:val="22"/>
          <w:szCs w:val="22"/>
          <w:rtl/>
        </w:rPr>
        <w:t xml:space="preserve"> </w:t>
      </w:r>
    </w:p>
    <w:p w14:paraId="5E417DFE" w14:textId="1E43A74C" w:rsidR="002C4635" w:rsidRPr="00710D1F" w:rsidRDefault="002C4635" w:rsidP="002C4635">
      <w:pPr>
        <w:bidi/>
        <w:rPr>
          <w:rStyle w:val="Style1Char"/>
          <w:color w:val="auto"/>
          <w:sz w:val="22"/>
          <w:szCs w:val="22"/>
          <w:rtl/>
        </w:rPr>
      </w:pPr>
      <w:r w:rsidRPr="005F123E">
        <w:rPr>
          <w:rStyle w:val="Style1Char"/>
          <w:color w:val="00B050"/>
          <w:rtl/>
        </w:rPr>
        <w:t>פשיטא! מהו דתימא, ליחוש דלמא מעיילא פחדא מהשתא וחלשה, קא משמע לן. אמר רב הונא: בגרה יום אחד ונתקדשה - נותנין לה שלשים יום כאלמנה. מיתיבי: בגרה הרי היא כתבועה; מאי לאו כתבועה דבתולה! לא, כתבועה דאלמנה. תא שמע: בוגרת ששהתה שנים עשר חדש, רבי אליעזר אומר: הואיל וחייב בעלה במזונותיה - יפר! אימא: בוגרת וששהתה שנים עשר חודש, רבי אליעזר אומר: הואיל ובעלה חייב במזונותיה - יפר. תא שמע</w:t>
      </w:r>
      <w:r w:rsidRPr="00476B2C">
        <w:rPr>
          <w:rStyle w:val="Style1Char"/>
          <w:color w:val="C00000"/>
          <w:rtl/>
        </w:rPr>
        <w:t xml:space="preserve"> </w:t>
      </w:r>
      <w:r w:rsidRPr="00B35CA7">
        <w:rPr>
          <w:rStyle w:val="Style1Char"/>
          <w:color w:val="806000" w:themeColor="accent4" w:themeShade="80"/>
          <w:sz w:val="22"/>
          <w:szCs w:val="22"/>
          <w:rtl/>
        </w:rPr>
        <w:t xml:space="preserve">ת"ר: </w:t>
      </w:r>
      <w:r w:rsidRPr="00710D1F">
        <w:rPr>
          <w:rStyle w:val="Style1Char"/>
          <w:color w:val="auto"/>
          <w:sz w:val="22"/>
          <w:szCs w:val="22"/>
          <w:rtl/>
        </w:rPr>
        <w:t xml:space="preserve">המארס את הבתולה, בין שתבעה הבעל והיא מעכבת, ובין שתבעה היא ובעל מעכב - נותנין לה שנים עשר חדש משעת תביעה, אבל לא משעת אירוסין, </w:t>
      </w:r>
      <w:r w:rsidRPr="00710D1F">
        <w:rPr>
          <w:rStyle w:val="Style1Char"/>
          <w:color w:val="auto"/>
          <w:rtl/>
        </w:rPr>
        <w:t>ו</w:t>
      </w:r>
      <w:r w:rsidRPr="00710D1F">
        <w:rPr>
          <w:rStyle w:val="Style1Char"/>
          <w:color w:val="auto"/>
          <w:sz w:val="22"/>
          <w:szCs w:val="22"/>
          <w:rtl/>
        </w:rPr>
        <w:t xml:space="preserve">בגרה הרי היא כתבועה; כיצד? </w:t>
      </w:r>
      <w:r w:rsidR="004B0F02">
        <w:rPr>
          <w:rStyle w:val="Style1Char"/>
          <w:rFonts w:hint="cs"/>
          <w:rtl/>
        </w:rPr>
        <w:t>(4)</w:t>
      </w:r>
      <w:r w:rsidRPr="00710D1F">
        <w:rPr>
          <w:rStyle w:val="Style1Char"/>
          <w:color w:val="auto"/>
          <w:sz w:val="22"/>
          <w:szCs w:val="22"/>
          <w:rtl/>
        </w:rPr>
        <w:t>בגרה יום אחד ונתקדשה - נותנין לה שנים עשר חדש</w:t>
      </w:r>
      <w:r w:rsidRPr="00710D1F">
        <w:rPr>
          <w:rStyle w:val="Style1Char"/>
          <w:color w:val="4472C4" w:themeColor="accent1"/>
          <w:rtl/>
        </w:rPr>
        <w:t xml:space="preserve"> </w:t>
      </w:r>
      <w:r w:rsidRPr="00710D1F">
        <w:rPr>
          <w:rStyle w:val="Style1Char"/>
          <w:color w:val="4472C4" w:themeColor="accent1"/>
          <w:sz w:val="22"/>
          <w:szCs w:val="22"/>
          <w:rtl/>
        </w:rPr>
        <w:t>משעת בגר</w:t>
      </w:r>
      <w:r w:rsidRPr="00650031">
        <w:rPr>
          <w:rStyle w:val="Style1Char"/>
          <w:sz w:val="22"/>
          <w:szCs w:val="22"/>
          <w:rtl/>
        </w:rPr>
        <w:t xml:space="preserve">, </w:t>
      </w:r>
      <w:r w:rsidRPr="00710D1F">
        <w:rPr>
          <w:rStyle w:val="Style1Char"/>
          <w:color w:val="auto"/>
          <w:sz w:val="22"/>
          <w:szCs w:val="22"/>
          <w:rtl/>
        </w:rPr>
        <w:t xml:space="preserve">ולארוסה - שלשים יום; </w:t>
      </w:r>
      <w:r w:rsidRPr="005F123E">
        <w:rPr>
          <w:rStyle w:val="Style1Char"/>
          <w:color w:val="00B050"/>
          <w:rtl/>
        </w:rPr>
        <w:t xml:space="preserve">תיובתא דרב הונא! תיובתא. מאי ולארוסה שלשים יום? </w:t>
      </w:r>
      <w:r w:rsidRPr="00710D1F">
        <w:rPr>
          <w:rStyle w:val="Style1Char"/>
          <w:color w:val="auto"/>
          <w:sz w:val="22"/>
          <w:szCs w:val="22"/>
          <w:rtl/>
        </w:rPr>
        <w:t xml:space="preserve">אמר רב פפא, הכי קאמר: </w:t>
      </w:r>
      <w:r w:rsidRPr="0047756B">
        <w:rPr>
          <w:rStyle w:val="Style1Char"/>
          <w:color w:val="4472C4" w:themeColor="accent1"/>
          <w:sz w:val="22"/>
          <w:szCs w:val="22"/>
          <w:rtl/>
        </w:rPr>
        <w:t xml:space="preserve">ארוסה </w:t>
      </w:r>
      <w:r w:rsidR="00491615">
        <w:rPr>
          <w:rStyle w:val="Style1Char"/>
          <w:rFonts w:hint="cs"/>
          <w:rtl/>
        </w:rPr>
        <w:t>(4)</w:t>
      </w:r>
      <w:r w:rsidRPr="00710D1F">
        <w:rPr>
          <w:rStyle w:val="Style1Char"/>
          <w:color w:val="auto"/>
          <w:sz w:val="22"/>
          <w:szCs w:val="22"/>
          <w:rtl/>
        </w:rPr>
        <w:t>בוגרת שעברו עליה שנים עשר חדש בבגרות ונתקדשה - נותנין לה שלשים יום כאלמנה</w:t>
      </w:r>
      <w:r w:rsidRPr="0047756B">
        <w:rPr>
          <w:rStyle w:val="Style1Char"/>
          <w:color w:val="4472C4" w:themeColor="accent1"/>
          <w:rtl/>
        </w:rPr>
        <w:t xml:space="preserve"> </w:t>
      </w:r>
      <w:r w:rsidRPr="0047756B">
        <w:rPr>
          <w:rStyle w:val="Style1Char"/>
          <w:color w:val="4472C4" w:themeColor="accent1"/>
          <w:sz w:val="22"/>
          <w:szCs w:val="22"/>
          <w:rtl/>
        </w:rPr>
        <w:t>משעת תביעה</w:t>
      </w:r>
      <w:r w:rsidRPr="0047756B">
        <w:rPr>
          <w:rStyle w:val="Style1Char"/>
          <w:color w:val="4472C4" w:themeColor="accent1"/>
          <w:sz w:val="22"/>
          <w:szCs w:val="22"/>
        </w:rPr>
        <w:t>:</w:t>
      </w:r>
      <w:r w:rsidRPr="00710D1F">
        <w:rPr>
          <w:rStyle w:val="Style1Char"/>
          <w:color w:val="auto"/>
          <w:sz w:val="22"/>
          <w:szCs w:val="22"/>
          <w:rtl/>
        </w:rPr>
        <w:t xml:space="preserve">. </w:t>
      </w:r>
    </w:p>
    <w:p w14:paraId="118B646D" w14:textId="6B458324" w:rsidR="002C4635" w:rsidRDefault="002C4635" w:rsidP="002C4635">
      <w:pPr>
        <w:bidi/>
        <w:rPr>
          <w:rStyle w:val="Style1Char"/>
          <w:color w:val="00B050"/>
          <w:rtl/>
        </w:rPr>
      </w:pPr>
      <w:r w:rsidRPr="005F123E">
        <w:rPr>
          <w:rStyle w:val="Style1Char"/>
          <w:color w:val="00B050"/>
          <w:rtl/>
        </w:rPr>
        <w:t xml:space="preserve">הגיע זמן ולא נישאו. אמר עולא: דבר תורה, </w:t>
      </w:r>
      <w:r w:rsidR="00491615">
        <w:rPr>
          <w:rStyle w:val="Style1Char"/>
          <w:rFonts w:hint="cs"/>
          <w:rtl/>
        </w:rPr>
        <w:t>(5)</w:t>
      </w:r>
      <w:r w:rsidRPr="005F123E">
        <w:rPr>
          <w:rStyle w:val="Style1Char"/>
          <w:color w:val="00B050"/>
          <w:rtl/>
        </w:rPr>
        <w:t xml:space="preserve">ארוסה בת ישראל אוכלת בתרומה, שנאמר: וכהן כי יקנה נפש קנין כספו, והאי נמי קנין כספו הוא, מה טעם אמרו אינה אוכלת? שמא ימזגו לה כוס בבית אביה ותשקה לאחיה ולאחותה. אי הכי, הגיע זמן ולא נישאו נמי! התם דוכתא מייחד לה. אלא מעתה, לקיט כהן לישראל לא ליכול בתרומה, דלמא אתו למיכל בהדיה! השתא מדידהו ספו ליה, מדידיה אכלי? רב שמואל בר רב יהודה אמר: משום סימפון. אי הכי, נכנסה לחופה ולא נבעלה נמי! התם מיבדק בדיק לה והדר מעייל. אלא מעתה, עבד כהן שלקחו מישראל, לא ליכול בתרומה משום סימפון! </w:t>
      </w:r>
      <w:r w:rsidR="00096187">
        <w:rPr>
          <w:rStyle w:val="Style1Char"/>
          <w:rFonts w:hint="cs"/>
          <w:rtl/>
        </w:rPr>
        <w:t>(6)</w:t>
      </w:r>
      <w:r w:rsidRPr="005F123E">
        <w:rPr>
          <w:rStyle w:val="Style1Char"/>
          <w:color w:val="00B050"/>
          <w:rtl/>
        </w:rPr>
        <w:t xml:space="preserve">סימפון בעבדים ליכא, דאי דאבראי - הא קחזי ליה, ואי דגואי - למלאכה קא בעי, ושבסתר - לא איכפת ליה, </w:t>
      </w:r>
      <w:r w:rsidR="00096187">
        <w:rPr>
          <w:rStyle w:val="Style1Char"/>
          <w:rFonts w:hint="cs"/>
          <w:rtl/>
        </w:rPr>
        <w:t>(6)</w:t>
      </w:r>
      <w:r w:rsidRPr="005F123E">
        <w:rPr>
          <w:rStyle w:val="Style1Char"/>
          <w:color w:val="00B050"/>
          <w:rtl/>
        </w:rPr>
        <w:t xml:space="preserve">נמצא גנב או </w:t>
      </w:r>
    </w:p>
    <w:p w14:paraId="501D1A2B" w14:textId="13D34B4A" w:rsidR="00C8687E" w:rsidRDefault="00C8687E" w:rsidP="00C8687E">
      <w:pPr>
        <w:pStyle w:val="Style1"/>
        <w:rPr>
          <w:rStyle w:val="Style1Char"/>
          <w:rtl/>
        </w:rPr>
      </w:pPr>
      <w:r>
        <w:rPr>
          <w:rStyle w:val="Style1Char"/>
          <w:rFonts w:hint="cs"/>
          <w:rtl/>
        </w:rPr>
        <w:t>1)[</w:t>
      </w:r>
      <w:r w:rsidRPr="00C8687E">
        <w:rPr>
          <w:rStyle w:val="Style1Char"/>
          <w:rtl/>
        </w:rPr>
        <w:t>רמב</w:t>
      </w:r>
      <w:r w:rsidR="00786216">
        <w:rPr>
          <w:rStyle w:val="Style1Char"/>
          <w:rtl/>
        </w:rPr>
        <w:t>”ם \זרעים\</w:t>
      </w:r>
      <w:r w:rsidRPr="00C8687E">
        <w:rPr>
          <w:rStyle w:val="Style1Char"/>
          <w:rtl/>
        </w:rPr>
        <w:t xml:space="preserve"> הלכות תרומות פרק ו הלכה ג</w:t>
      </w:r>
      <w:r>
        <w:rPr>
          <w:rStyle w:val="Style1Char"/>
          <w:rFonts w:hint="cs"/>
          <w:rtl/>
        </w:rPr>
        <w:t xml:space="preserve">] </w:t>
      </w:r>
      <w:r w:rsidRPr="00C8687E">
        <w:rPr>
          <w:rStyle w:val="Style1Char"/>
          <w:rtl/>
        </w:rPr>
        <w:t>ישראלית שנשאת לכהן אפילו קטנה בת ג' שנים ויום אחד תאכל בתרומה וחזה ושוק, ודין תורה שתאכל משנתארסה שהרי היא קנינו, אבל אסרו חכמים שתאכל עד שתכנס לחופה גזירה שמא תאכיל תרומה לאביה ולאחיה כשהיא ארוסה בבית אביה.</w:t>
      </w:r>
    </w:p>
    <w:p w14:paraId="3CFFC6C9" w14:textId="7F140CD7" w:rsidR="000022DE" w:rsidRDefault="000022DE" w:rsidP="000022DE">
      <w:pPr>
        <w:pStyle w:val="Style1"/>
        <w:rPr>
          <w:rStyle w:val="Style1Char"/>
          <w:rtl/>
        </w:rPr>
      </w:pPr>
      <w:r>
        <w:rPr>
          <w:rStyle w:val="Style1Char"/>
          <w:rFonts w:hint="cs"/>
          <w:rtl/>
        </w:rPr>
        <w:t>1)[</w:t>
      </w:r>
      <w:r w:rsidRPr="000022DE">
        <w:rPr>
          <w:rStyle w:val="Style1Char"/>
          <w:rtl/>
        </w:rPr>
        <w:t>רמב</w:t>
      </w:r>
      <w:r w:rsidR="00786216">
        <w:rPr>
          <w:rStyle w:val="Style1Char"/>
          <w:rtl/>
        </w:rPr>
        <w:t>”ם \זרעים\</w:t>
      </w:r>
      <w:r w:rsidRPr="000022DE">
        <w:rPr>
          <w:rStyle w:val="Style1Char"/>
          <w:rtl/>
        </w:rPr>
        <w:t xml:space="preserve"> הלכות תרומות פרק ח הלכה ז</w:t>
      </w:r>
      <w:r>
        <w:rPr>
          <w:rStyle w:val="Style1Char"/>
          <w:rFonts w:hint="cs"/>
          <w:rtl/>
        </w:rPr>
        <w:t xml:space="preserve">] </w:t>
      </w:r>
      <w:r w:rsidRPr="000022DE">
        <w:rPr>
          <w:rStyle w:val="Style1Char"/>
          <w:rtl/>
        </w:rPr>
        <w:t>האירוסין כיצד, בת כהן שנתארסה לישראל אסורה לאכול שהרי יש לו בה קנין, ובת ישראל שנתארסה לכהן לא תאכל עד שתכנס לחופה שמא תאכיל לבני בית אביה כמו שביארנו.</w:t>
      </w:r>
    </w:p>
    <w:p w14:paraId="71D84CE9" w14:textId="20A30834" w:rsidR="005D5AE0" w:rsidRDefault="005D5AE0" w:rsidP="005D5AE0">
      <w:pPr>
        <w:pStyle w:val="Style1"/>
        <w:rPr>
          <w:rStyle w:val="Style1Char"/>
          <w:rtl/>
        </w:rPr>
      </w:pPr>
      <w:r>
        <w:rPr>
          <w:rStyle w:val="Style1Char"/>
          <w:rFonts w:hint="cs"/>
          <w:rtl/>
        </w:rPr>
        <w:t>2)[</w:t>
      </w:r>
      <w:r w:rsidRPr="005D5AE0">
        <w:rPr>
          <w:rStyle w:val="Style1Char"/>
          <w:rtl/>
        </w:rPr>
        <w:t>רמב</w:t>
      </w:r>
      <w:r w:rsidR="00213DA1">
        <w:rPr>
          <w:rStyle w:val="Style1Char"/>
          <w:rtl/>
        </w:rPr>
        <w:t>”ם \נשים\</w:t>
      </w:r>
      <w:r w:rsidRPr="005D5AE0">
        <w:rPr>
          <w:rStyle w:val="Style1Char"/>
          <w:rtl/>
        </w:rPr>
        <w:t xml:space="preserve"> הלכות אישות פרק י הלכה טז</w:t>
      </w:r>
      <w:r>
        <w:rPr>
          <w:rStyle w:val="Style1Char"/>
          <w:rFonts w:hint="cs"/>
          <w:rtl/>
        </w:rPr>
        <w:t xml:space="preserve">] </w:t>
      </w:r>
      <w:r w:rsidRPr="005D5AE0">
        <w:rPr>
          <w:rStyle w:val="Style1Char"/>
          <w:rtl/>
        </w:rPr>
        <w:t>המארס בתו קטנה ותבעה הבעל לנישואין, בין היא בין אביה יכולין לעכב שלא תנשא עד שתגדיל ותעשה נערה ואם רצו לכנסה כונס, ואין ראוי לעשות כן.</w:t>
      </w:r>
    </w:p>
    <w:p w14:paraId="6956A75A" w14:textId="4718BEDB" w:rsidR="0047158F" w:rsidRPr="0047158F" w:rsidRDefault="003F726D" w:rsidP="0047158F">
      <w:pPr>
        <w:pStyle w:val="Style1"/>
      </w:pPr>
      <w:r>
        <w:rPr>
          <w:rStyle w:val="Style1Char"/>
          <w:rFonts w:hint="cs"/>
          <w:rtl/>
        </w:rPr>
        <w:t>2)[</w:t>
      </w:r>
      <w:r w:rsidRPr="003F726D">
        <w:rPr>
          <w:rStyle w:val="Style1Char"/>
          <w:rtl/>
        </w:rPr>
        <w:t>שולחן ערוך אבן העזר הלכות קידושין סימן נו סעיף ד</w:t>
      </w:r>
      <w:r>
        <w:rPr>
          <w:rStyle w:val="Style1Char"/>
          <w:rFonts w:hint="cs"/>
          <w:rtl/>
        </w:rPr>
        <w:t>]</w:t>
      </w:r>
      <w:r w:rsidR="0047158F">
        <w:rPr>
          <w:rStyle w:val="Style1Char"/>
          <w:rFonts w:hint="cs"/>
          <w:rtl/>
        </w:rPr>
        <w:t xml:space="preserve"> </w:t>
      </w:r>
      <w:r w:rsidR="0047158F" w:rsidRPr="0047158F">
        <w:rPr>
          <w:rtl/>
        </w:rPr>
        <w:t>המארס את בתו קטנה, ותבעה הבעל לנשואין, בין היא בין אביה יכולין לעכב שלא תנשא עד שתגדיל ותעשה נערה; ואם רצה לכנס, כונס, ואין ראוי לעשות כן</w:t>
      </w:r>
      <w:r w:rsidR="0047158F" w:rsidRPr="0047158F">
        <w:t>.</w:t>
      </w:r>
    </w:p>
    <w:p w14:paraId="3C5F11DF" w14:textId="1B499141" w:rsidR="0047158F" w:rsidRDefault="0047158F" w:rsidP="0047158F">
      <w:pPr>
        <w:pStyle w:val="Style1"/>
        <w:rPr>
          <w:rtl/>
        </w:rPr>
      </w:pPr>
      <w:r w:rsidRPr="0047158F">
        <w:rPr>
          <w:rFonts w:hint="cs"/>
          <w:rtl/>
        </w:rPr>
        <w:t>הגה: ואם היא ובעלה מתרצים לכנס, והאב מת, אין הקרובים יכולים למחות, אף על פי שהיא חולנית והוא ממהר לכנס כדי לירשה (מרדכי פרק האיש מקדש)</w:t>
      </w:r>
      <w:r w:rsidRPr="0047158F">
        <w:t>:</w:t>
      </w:r>
    </w:p>
    <w:p w14:paraId="70562401" w14:textId="73859AA9" w:rsidR="00163586" w:rsidRDefault="00163586" w:rsidP="00163586">
      <w:pPr>
        <w:pStyle w:val="Style1"/>
        <w:rPr>
          <w:rtl/>
        </w:rPr>
      </w:pPr>
      <w:r>
        <w:rPr>
          <w:rFonts w:hint="cs"/>
          <w:rtl/>
        </w:rPr>
        <w:t>3)[</w:t>
      </w:r>
      <w:r>
        <w:rPr>
          <w:rtl/>
        </w:rPr>
        <w:t>רמב</w:t>
      </w:r>
      <w:r w:rsidR="00213DA1">
        <w:rPr>
          <w:rtl/>
        </w:rPr>
        <w:t>”ם \נשים\</w:t>
      </w:r>
      <w:r>
        <w:rPr>
          <w:rtl/>
        </w:rPr>
        <w:t xml:space="preserve"> הלכות אישות פרק ג הלכה יט</w:t>
      </w:r>
      <w:r>
        <w:rPr>
          <w:rFonts w:hint="cs"/>
          <w:rtl/>
        </w:rPr>
        <w:t xml:space="preserve">] </w:t>
      </w:r>
      <w:r>
        <w:rPr>
          <w:rtl/>
        </w:rPr>
        <w:t>מצוה שיקדש אדם אשתו בעצמו יתר מעל ידי שלוחו, וכן מצוה על האשה שתקדש עצמה בידה יתר מעל ידי שלוחה, ואף על פי שיש רשות לאב לקדש בתו כשהיא קטנה וכשהיא נערה לכל מי שירצה אין ראוי לעשות כן אלא מצות חכמים שלא יקדש אדם את בתו כשהיא קטנה עד שתגדיל ותאמר בפלוני אני רוצה. וכן האיש אין ראוי לו שיקדש קטנה ולא יקדש אשה עד שיראנה ותהיה כשרה בעיניו שמא לא תמצא חן בעיניו ונמצא מגרשה או שוכב עמה והוא שונאה.</w:t>
      </w:r>
    </w:p>
    <w:p w14:paraId="6AD72BBF" w14:textId="126551B8" w:rsidR="003616BA" w:rsidRDefault="003616BA" w:rsidP="003616BA">
      <w:pPr>
        <w:pStyle w:val="Style1"/>
        <w:rPr>
          <w:rtl/>
        </w:rPr>
      </w:pPr>
      <w:r>
        <w:rPr>
          <w:rFonts w:hint="cs"/>
          <w:rtl/>
        </w:rPr>
        <w:t>3)[</w:t>
      </w:r>
      <w:r>
        <w:rPr>
          <w:rtl/>
        </w:rPr>
        <w:t>רמב</w:t>
      </w:r>
      <w:r w:rsidR="00213DA1">
        <w:rPr>
          <w:rtl/>
        </w:rPr>
        <w:t>”ם \נשים\</w:t>
      </w:r>
      <w:r>
        <w:rPr>
          <w:rtl/>
        </w:rPr>
        <w:t xml:space="preserve"> הלכות גירושין פרק יא הלכה א</w:t>
      </w:r>
      <w:r>
        <w:rPr>
          <w:rFonts w:hint="cs"/>
          <w:rtl/>
        </w:rPr>
        <w:t xml:space="preserve">] </w:t>
      </w:r>
      <w:r>
        <w:rPr>
          <w:rtl/>
        </w:rPr>
        <w:t>אין נושאין את הקטנה, והנושא קטנה יתומה ולא רצת בבעל הרי זו ממאנת והולכת ואינה צריכה ממנו גט, שאין קדושי קטנה קדושין גמורין כמו שבארנו, וכן קטנה שהשיאה אביה ונתאלמנה או נתגרשה כשהיא קטנה הרי היא כיתומה בחיי האב ואם נישאת כשהיא קטנה בחיי אביה הרי זו ממאנת.</w:t>
      </w:r>
    </w:p>
    <w:p w14:paraId="4ED97623" w14:textId="5085D3E4" w:rsidR="00F837BD" w:rsidRPr="00F837BD" w:rsidRDefault="00FB59E3" w:rsidP="00F837BD">
      <w:pPr>
        <w:pStyle w:val="Style1"/>
      </w:pPr>
      <w:r>
        <w:rPr>
          <w:rFonts w:hint="cs"/>
          <w:rtl/>
        </w:rPr>
        <w:t>3)[</w:t>
      </w:r>
      <w:r>
        <w:rPr>
          <w:rtl/>
        </w:rPr>
        <w:t>שולחן ערוך אבן העזר הלכות קידושין סימן לז סעיף ח</w:t>
      </w:r>
      <w:r>
        <w:rPr>
          <w:rFonts w:hint="cs"/>
          <w:rtl/>
        </w:rPr>
        <w:t>]</w:t>
      </w:r>
      <w:r w:rsidR="00F837BD">
        <w:rPr>
          <w:rFonts w:hint="cs"/>
          <w:rtl/>
        </w:rPr>
        <w:t xml:space="preserve"> </w:t>
      </w:r>
      <w:r w:rsidR="00F837BD" w:rsidRPr="00F837BD">
        <w:rPr>
          <w:rtl/>
        </w:rPr>
        <w:t>מצוה שלא יקדש בתו כשהיא קטנה, עד שתגדיל ותאמר: בפלוני אני רוצה</w:t>
      </w:r>
      <w:r w:rsidR="00F837BD" w:rsidRPr="00F837BD">
        <w:t>.</w:t>
      </w:r>
    </w:p>
    <w:p w14:paraId="07960C23" w14:textId="0A2B3BF8" w:rsidR="00F837BD" w:rsidRDefault="00F837BD" w:rsidP="00F837BD">
      <w:pPr>
        <w:pStyle w:val="Style1"/>
        <w:rPr>
          <w:rtl/>
        </w:rPr>
      </w:pPr>
      <w:r w:rsidRPr="00F837BD">
        <w:rPr>
          <w:rFonts w:hint="cs"/>
          <w:rtl/>
        </w:rPr>
        <w:t>הגה: ויש אומרים דנוהגין בזמן הזה לקדש בנותינו הקטנות, משום שאנו בגלות ואין לנו תמיד ספוק כדי צרכי נדוניא; גם אנו מתי מעט, ואין מוצאין תמיד זיווג הגון (תוספות ריש האיש מקדש). וכן נוהגין</w:t>
      </w:r>
      <w:r w:rsidRPr="00F837BD">
        <w:t>:</w:t>
      </w:r>
    </w:p>
    <w:p w14:paraId="4FD32019" w14:textId="61B27617" w:rsidR="00425618" w:rsidRDefault="00425618" w:rsidP="00425618">
      <w:pPr>
        <w:pStyle w:val="Style1"/>
        <w:rPr>
          <w:rtl/>
        </w:rPr>
      </w:pPr>
      <w:r>
        <w:rPr>
          <w:rFonts w:hint="cs"/>
          <w:rtl/>
        </w:rPr>
        <w:t>4)[</w:t>
      </w:r>
      <w:r>
        <w:rPr>
          <w:rtl/>
        </w:rPr>
        <w:t>רמב</w:t>
      </w:r>
      <w:r w:rsidR="00213DA1">
        <w:rPr>
          <w:rtl/>
        </w:rPr>
        <w:t>”ם \נשים\</w:t>
      </w:r>
      <w:r>
        <w:rPr>
          <w:rtl/>
        </w:rPr>
        <w:t xml:space="preserve"> הלכות אישות פרק י הלכה יז</w:t>
      </w:r>
      <w:r>
        <w:rPr>
          <w:rFonts w:hint="cs"/>
          <w:rtl/>
        </w:rPr>
        <w:t xml:space="preserve">] </w:t>
      </w:r>
      <w:r>
        <w:rPr>
          <w:rtl/>
        </w:rPr>
        <w:t>אירסה ושהה כמה שנים ותבעה לנישואין והרי היא נערה נותנין לה שנים עשר חדש מיום התביעה לפרנס את עצמה ולתקן מה שהיא צריכה לו ואחר כך תנשא. תבעה אחר שבגרה נותנין לה שנים עשר חדש מיום הבגר, וכן אם קידשה ביום הבגר נותנין לה שנים עשר חדש מיום הקידושין שהוא יום הבגר. קידשה אחר שבגרה אם עברו עליה שנים עשר חדש בבגרותה ואחר כך נתקדשה אין נותנין לה אלא שלשים יום מיום התביעה, וכן המארס את הבעולה נותנין לה שלשים יום מיום התביעה.</w:t>
      </w:r>
    </w:p>
    <w:p w14:paraId="71833326" w14:textId="6BFDB8BA" w:rsidR="00425618" w:rsidRDefault="00425618" w:rsidP="00425618">
      <w:pPr>
        <w:pStyle w:val="Style1"/>
        <w:rPr>
          <w:rtl/>
        </w:rPr>
      </w:pPr>
      <w:r>
        <w:rPr>
          <w:rFonts w:hint="cs"/>
          <w:rtl/>
        </w:rPr>
        <w:t>4)[</w:t>
      </w:r>
      <w:r>
        <w:rPr>
          <w:rtl/>
        </w:rPr>
        <w:t>שולחן ערוך אבן העזר הלכות קידושין סימן נו סעיף א</w:t>
      </w:r>
      <w:r>
        <w:rPr>
          <w:rFonts w:hint="cs"/>
          <w:rtl/>
        </w:rPr>
        <w:t xml:space="preserve">] </w:t>
      </w:r>
      <w:r w:rsidRPr="0093085F">
        <w:rPr>
          <w:rtl/>
        </w:rPr>
        <w:t>המארס אשה, ושהה כמה שנים, ותבעה לנשואין והרי היא נערה, נותנים לה שנים עשר חדש מיום התביעה לפרנס את עצמה ולתקן מה שהיא צריכה לה, ואחר כך תנשא. תבעה אחר שבגרה, נותנים לה שנים עשר חדש מיום הבגר. וכן אם קדשה ביום הבגר, נותנין לה שנים עשר חדש מיום הקדושין, שהוא הבגר. קדשה אחר שבגרה, אם עברו עליה שנים עשר חדש בבגרותה ואחר כך נתקדשה, אין נותנין לה אלא שלשים יום מיום התביעה. וכן המארס את הבעולה, נותנין לה שלשים יום מיום התביעה</w:t>
      </w:r>
      <w:r w:rsidRPr="0093085F">
        <w:t>:</w:t>
      </w:r>
    </w:p>
    <w:p w14:paraId="7FA4B632" w14:textId="38F3A67F" w:rsidR="003C4FBE" w:rsidRDefault="003C4FBE" w:rsidP="003C4FBE">
      <w:pPr>
        <w:pStyle w:val="Style1"/>
        <w:rPr>
          <w:rtl/>
        </w:rPr>
      </w:pPr>
      <w:r>
        <w:rPr>
          <w:rFonts w:hint="cs"/>
          <w:rtl/>
        </w:rPr>
        <w:lastRenderedPageBreak/>
        <w:t>5)[</w:t>
      </w:r>
      <w:r>
        <w:rPr>
          <w:rtl/>
        </w:rPr>
        <w:t>רמב</w:t>
      </w:r>
      <w:r w:rsidR="00786216">
        <w:rPr>
          <w:rtl/>
        </w:rPr>
        <w:t>”ם \זרעים\</w:t>
      </w:r>
      <w:r>
        <w:rPr>
          <w:rtl/>
        </w:rPr>
        <w:t xml:space="preserve"> הלכות תרומות פרק ו הלכה ג</w:t>
      </w:r>
      <w:r>
        <w:rPr>
          <w:rFonts w:hint="cs"/>
          <w:rtl/>
        </w:rPr>
        <w:t xml:space="preserve">] </w:t>
      </w:r>
      <w:r>
        <w:rPr>
          <w:rtl/>
        </w:rPr>
        <w:t>ישראלית שנשאת לכהן אפילו קטנה בת ג' שנים ויום אחד תאכל בתרומה וחזה ושוק, ודין תורה שתאכל משנתארסה שהרי היא קנינו, אבל אסרו חכמים שתאכל עד שתכנס לחופה גזירה שמא תאכיל תרומה לאביה ולאחיה כשהיא ארוסה בבית אביה.</w:t>
      </w:r>
    </w:p>
    <w:p w14:paraId="755B77B1" w14:textId="6553BC02" w:rsidR="00AB7D84" w:rsidRDefault="00AB7D84" w:rsidP="00AB7D84">
      <w:pPr>
        <w:pStyle w:val="Style1"/>
        <w:rPr>
          <w:rtl/>
        </w:rPr>
      </w:pPr>
      <w:r>
        <w:rPr>
          <w:rFonts w:hint="cs"/>
          <w:rtl/>
        </w:rPr>
        <w:t>6)[</w:t>
      </w:r>
      <w:r>
        <w:rPr>
          <w:rtl/>
        </w:rPr>
        <w:t>רמב</w:t>
      </w:r>
      <w:r w:rsidR="00786216">
        <w:rPr>
          <w:rtl/>
        </w:rPr>
        <w:t>”ם \מכירה\</w:t>
      </w:r>
      <w:r>
        <w:rPr>
          <w:rtl/>
        </w:rPr>
        <w:t xml:space="preserve"> הלכות מכירה פרק טו הלכה יב</w:t>
      </w:r>
      <w:r>
        <w:rPr>
          <w:rFonts w:hint="cs"/>
          <w:rtl/>
        </w:rPr>
        <w:t xml:space="preserve">] </w:t>
      </w:r>
      <w:r>
        <w:rPr>
          <w:rtl/>
        </w:rPr>
        <w:t>המוכר עבד או שפחה, אין הלוקח יכול להחזירו מפני מומין שאין מבטלין אותו ממלאכתו והן הנקראין סמפון, שאם היה זה סמפון גלוי כבר ראהו, ואם אינו נראה כגון שומא בבשר או נשיכת כלב או ריח הפה או החוטם וכיוצא בהן הואיל ואינו מבטלו ממלאכתו אינו מחזיר, שאין העבדים לתשמיש המטה אלא למלאכה.</w:t>
      </w:r>
    </w:p>
    <w:p w14:paraId="6E244014" w14:textId="0CD1F465" w:rsidR="00385B17" w:rsidRDefault="00385B17" w:rsidP="00385B17">
      <w:pPr>
        <w:pStyle w:val="Style1"/>
        <w:rPr>
          <w:rtl/>
        </w:rPr>
      </w:pPr>
      <w:r>
        <w:rPr>
          <w:rFonts w:hint="cs"/>
          <w:rtl/>
        </w:rPr>
        <w:t>6)[</w:t>
      </w:r>
      <w:r>
        <w:rPr>
          <w:rtl/>
        </w:rPr>
        <w:t>רמב</w:t>
      </w:r>
      <w:r w:rsidR="00786216">
        <w:rPr>
          <w:rtl/>
        </w:rPr>
        <w:t>”ם \מכירה\</w:t>
      </w:r>
      <w:r>
        <w:rPr>
          <w:rtl/>
        </w:rPr>
        <w:t xml:space="preserve"> הלכות מכירה פרק טו הלכה יג</w:t>
      </w:r>
      <w:r>
        <w:rPr>
          <w:rFonts w:hint="cs"/>
          <w:rtl/>
        </w:rPr>
        <w:t xml:space="preserve">] </w:t>
      </w:r>
      <w:r>
        <w:rPr>
          <w:rtl/>
        </w:rPr>
        <w:t>נמצא בו שחין רע, או חולי המתיש את כחו, או שהיה נכפה או משועמם, הרי זה מום מפני שמבטלו ממלאכתו, וכן אם נמצא בו צרעת וכיוצא בה מדברים אלו המגואלים הרי זה מום, מפני שנפשו של אדם אוננת מהם ונמצא שאינו מתעסק לו במלאכת אכילה ושתייה, וכן אם נמצא ליסטים מזויין הרי זה מום המאבד את כולו מפני שהמלך תופס אותו והורגו, וכן אם נמצא מוכתב למלכות הרי זה מום ומחזירו מפני שהמלך תופשו למלאכתו בכל עת שירצה, אבל אם נמצא גנב או חוטף או גונב נפשות, או בורח תמיד, או זולל וסובא וכיוצא בדברים אלו, אינו יכול להחזיר, שכל העבדים בחזקת שיש בהן כל הדעות הרעות אלא אם כן פירש. /השגת הראב"ד/ אלא א"כ פירש. א"א והלא אמרו פ"ק דקדושין בגמ' הנהו קלא אית להו ומה שאמרה התוספתא פ' המוכר פירות נמצא גנב או קוביוסטוס הגיעו ליסטים מזויין או מוכתב למלכות אומר לו הרי שלך לפניך לא שיאמר לוקח אל המוכר אלא המוכר אומר ללוקח כמו ברישא דאמר הגיעו המוכר ללוקח וה"ק הרי שלך לפניך שאתה היית יודע, אך יש לפרש הנהו קלא אית להו כלומר אין לחוש בעבד שלקחו כהן מישראל שמא ליסטים מזויין ומקח טעות שאם היה כן הקול יצא עליו וכיון שלא יצא הקול מסתמא אין לו לחוש לזה הטעות, מיהו אם יודע הדבר שהוא כן מקח טעות הוא וחוזר בו ואומר טול את שלך והחזר לי מעותי ועל דרך זה הלך המחבר, ועכשיו שיש בזה שני דרכים הללו הנה הדין הזה ספק אם נתן הדמים לא יטול ואם לא נתן לא יתן עכ"ל.</w:t>
      </w:r>
    </w:p>
    <w:p w14:paraId="5A22B6FD" w14:textId="1E436801" w:rsidR="00060D88" w:rsidRPr="00060D88" w:rsidRDefault="00D66AD9" w:rsidP="00060D88">
      <w:pPr>
        <w:pStyle w:val="Style1"/>
      </w:pPr>
      <w:r>
        <w:rPr>
          <w:rFonts w:hint="cs"/>
          <w:rtl/>
        </w:rPr>
        <w:t>6)[</w:t>
      </w:r>
      <w:r>
        <w:rPr>
          <w:rtl/>
        </w:rPr>
        <w:t>שולחן ערוך חושן משפט הלכות אונאה ומקח טעות סימן רלב סעיף י</w:t>
      </w:r>
      <w:r>
        <w:rPr>
          <w:rFonts w:hint="cs"/>
          <w:rtl/>
        </w:rPr>
        <w:t>]</w:t>
      </w:r>
      <w:r w:rsidR="00060D88">
        <w:rPr>
          <w:rFonts w:hint="cs"/>
          <w:rtl/>
        </w:rPr>
        <w:t xml:space="preserve"> </w:t>
      </w:r>
      <w:r w:rsidR="00060D88" w:rsidRPr="00060D88">
        <w:rPr>
          <w:rtl/>
        </w:rPr>
        <w:t>המוכר עבד או שפחה אין הלוקח יכול להחזירו מפני מומין שאין מבטלין אותו ממלאכתו והם הנקראים סמפון שאם היה סמפון זה גלוי כבר ראהו ואם אינו נראה כגון שומא בבשר או נשיכת כלב או ריח הפה או ריח החוטם וכיוצא בהם הואיל ואינו מבטלו ממלאכתו אינו מחזיר שאין העבדים לתשמיש המטה אלא למלאכה נמצא בו שחין רע או חולי המתיש כחו או שהיה נכפה</w:t>
      </w:r>
      <w:r w:rsidR="00060D88" w:rsidRPr="00060D88">
        <w:t xml:space="preserve"> (</w:t>
      </w:r>
      <w:r w:rsidR="00060D88" w:rsidRPr="00060D88">
        <w:rPr>
          <w:rtl/>
        </w:rPr>
        <w:t>פירוש שיש לו שגעון שמפיל אותו לארץ</w:t>
      </w:r>
      <w:r w:rsidR="00060D88" w:rsidRPr="00060D88">
        <w:t xml:space="preserve">) </w:t>
      </w:r>
      <w:r w:rsidR="00060D88" w:rsidRPr="00060D88">
        <w:rPr>
          <w:rtl/>
        </w:rPr>
        <w:t>או משועמם</w:t>
      </w:r>
      <w:r w:rsidR="00060D88" w:rsidRPr="00060D88">
        <w:t xml:space="preserve"> (</w:t>
      </w:r>
      <w:r w:rsidR="00060D88" w:rsidRPr="00060D88">
        <w:rPr>
          <w:rtl/>
        </w:rPr>
        <w:t>פי' ת"י ובתמהון לבב ובשעמימות לבא</w:t>
      </w:r>
      <w:r w:rsidR="00060D88" w:rsidRPr="00060D88">
        <w:t xml:space="preserve">) </w:t>
      </w:r>
      <w:r w:rsidR="00060D88" w:rsidRPr="00060D88">
        <w:rPr>
          <w:rtl/>
        </w:rPr>
        <w:t>הרי זה מום מפני שמבטלו ממלאכתו וכן אם נמצא בו צרעת וכיוצא בו מדברים המגואלים הרי זה מום מפני שנפשו של אדם אוננת מהם ונמצא שאינו מתעסק לו במלאכת אכילה ושתיה וכן אם נמצא לסטים מזוין הרי זה מום המאבד את כולו מפני שהמלך תופס אותו והורגו וכן אם נמצא מוכתב למלכות ה"ז מום ומחזירו מפני שהמלך תופסו למלאכתו בכל עת שירצה אבל אם נמצא גנב או חוטף או גונב נפשות או בורח תמיד או זולל וסובא וכיוצא בדברים אלו אינו יכול להחזיר שכל העבדים בחזקת שיש בהם כל הרעות אא"כ פירש</w:t>
      </w:r>
      <w:r w:rsidR="00060D88" w:rsidRPr="00060D88">
        <w:t>:</w:t>
      </w:r>
    </w:p>
    <w:p w14:paraId="00D2ECC5" w14:textId="77777777" w:rsidR="00060D88" w:rsidRPr="00060D88" w:rsidRDefault="00060D88" w:rsidP="00060D88">
      <w:pPr>
        <w:pStyle w:val="Style1"/>
      </w:pPr>
      <w:r w:rsidRPr="00060D88">
        <w:rPr>
          <w:rFonts w:hint="cs"/>
          <w:rtl/>
        </w:rPr>
        <w:t>הגה: וי"א דגונב נפשות הוי כמו מוכתב למלכות אבל משחק בקוביא לא הוי מום (טור)</w:t>
      </w:r>
      <w:r w:rsidRPr="00060D88">
        <w:t>:</w:t>
      </w:r>
    </w:p>
    <w:p w14:paraId="07C77DB5" w14:textId="77777777" w:rsidR="00060D88" w:rsidRPr="00060D88" w:rsidRDefault="00060D88" w:rsidP="00060D88">
      <w:pPr>
        <w:pStyle w:val="Style1"/>
      </w:pPr>
    </w:p>
    <w:p w14:paraId="10A346FC" w14:textId="04F3E90B" w:rsidR="00D66AD9" w:rsidRDefault="00D66AD9" w:rsidP="00D66AD9">
      <w:pPr>
        <w:pStyle w:val="Style1"/>
        <w:rPr>
          <w:rtl/>
        </w:rPr>
      </w:pPr>
    </w:p>
    <w:p w14:paraId="37A8550A" w14:textId="77777777" w:rsidR="00425618" w:rsidRPr="00F837BD" w:rsidRDefault="00425618" w:rsidP="00425618">
      <w:pPr>
        <w:pStyle w:val="Style1"/>
      </w:pPr>
    </w:p>
    <w:p w14:paraId="5CDA5385" w14:textId="77777777" w:rsidR="00F837BD" w:rsidRPr="00F837BD" w:rsidRDefault="00F837BD" w:rsidP="00F837BD">
      <w:pPr>
        <w:pStyle w:val="Style1"/>
      </w:pPr>
    </w:p>
    <w:p w14:paraId="55E70823" w14:textId="4398DD06" w:rsidR="00FB59E3" w:rsidRPr="0047158F" w:rsidRDefault="00FB59E3" w:rsidP="00FB59E3">
      <w:pPr>
        <w:pStyle w:val="Style1"/>
      </w:pPr>
    </w:p>
    <w:p w14:paraId="79C11CA7" w14:textId="77777777" w:rsidR="0047158F" w:rsidRPr="0047158F" w:rsidRDefault="0047158F" w:rsidP="0047158F">
      <w:pPr>
        <w:pStyle w:val="Style1"/>
        <w:rPr>
          <w:rStyle w:val="Style1Char"/>
        </w:rPr>
      </w:pPr>
    </w:p>
    <w:p w14:paraId="6D6247C4" w14:textId="511D76E5" w:rsidR="003F726D" w:rsidRPr="0047158F" w:rsidRDefault="003F726D" w:rsidP="0047158F">
      <w:pPr>
        <w:pStyle w:val="Style1"/>
        <w:rPr>
          <w:rStyle w:val="Style1Char"/>
          <w:rtl/>
        </w:rPr>
      </w:pPr>
    </w:p>
    <w:p w14:paraId="2B985356" w14:textId="77777777" w:rsidR="002C4635" w:rsidRPr="0047158F" w:rsidRDefault="002C4635" w:rsidP="0047158F">
      <w:pPr>
        <w:pStyle w:val="Style1"/>
        <w:rPr>
          <w:rStyle w:val="Style1Char"/>
          <w:rtl/>
        </w:rPr>
      </w:pPr>
    </w:p>
    <w:p w14:paraId="0DC1C464" w14:textId="77777777" w:rsidR="002C4635" w:rsidRPr="0047158F" w:rsidRDefault="002C4635" w:rsidP="0047158F">
      <w:pPr>
        <w:pStyle w:val="Style1"/>
        <w:rPr>
          <w:rStyle w:val="Style1Char"/>
          <w:rtl/>
        </w:rPr>
      </w:pPr>
      <w:r w:rsidRPr="0047158F">
        <w:rPr>
          <w:rStyle w:val="Style1Char"/>
          <w:rtl/>
        </w:rPr>
        <w:br w:type="page"/>
      </w:r>
    </w:p>
    <w:p w14:paraId="5D97E201" w14:textId="77777777" w:rsidR="002C4635" w:rsidRPr="005F123E" w:rsidRDefault="002C4635" w:rsidP="002C4635">
      <w:pPr>
        <w:bidi/>
        <w:rPr>
          <w:rStyle w:val="Style1Char"/>
          <w:color w:val="00B050"/>
        </w:rPr>
      </w:pPr>
      <w:r w:rsidRPr="003663A8">
        <w:rPr>
          <w:rStyle w:val="Style1Char"/>
          <w:color w:val="00B050"/>
          <w:sz w:val="22"/>
          <w:szCs w:val="22"/>
          <w:highlight w:val="yellow"/>
          <w:rtl/>
        </w:rPr>
        <w:lastRenderedPageBreak/>
        <w:t>[דף נח עמוד א]</w:t>
      </w:r>
      <w:r w:rsidRPr="003663A8">
        <w:rPr>
          <w:rStyle w:val="Style1Char"/>
          <w:color w:val="00B050"/>
          <w:sz w:val="22"/>
          <w:szCs w:val="22"/>
          <w:rtl/>
        </w:rPr>
        <w:t xml:space="preserve"> </w:t>
      </w:r>
      <w:r w:rsidRPr="005F123E">
        <w:rPr>
          <w:rStyle w:val="Style1Char"/>
          <w:color w:val="00B050"/>
          <w:rtl/>
        </w:rPr>
        <w:t xml:space="preserve">קוביוסטוס - הגיעו, מאי איכא? לסטים מזויין או מוכתב למלכות, הנהו קלא אית להו. מכדי בין למר ובין למר לא אכלה, מאי בינייהו? איכא בינייהו: קבל, מסר, והלך. </w:t>
      </w:r>
    </w:p>
    <w:p w14:paraId="26C62A9D" w14:textId="2DD30BFF" w:rsidR="002C4635" w:rsidRPr="005F123E" w:rsidRDefault="002C4635" w:rsidP="002C4635">
      <w:pPr>
        <w:bidi/>
        <w:rPr>
          <w:rStyle w:val="Style1Char"/>
          <w:color w:val="00B050"/>
        </w:rPr>
      </w:pPr>
      <w:r w:rsidRPr="005F123E">
        <w:rPr>
          <w:rStyle w:val="Style1Char"/>
          <w:color w:val="00B050"/>
          <w:rtl/>
        </w:rPr>
        <w:t xml:space="preserve">רבי טרפון אומר: נותנין לה הכל תרומה וכו'. אמר אביי: מחלוקת - בבת כהן לכהן, אבל בבת ישראל לכהן - דברי הכל מחצה חולין ומחצה תרומה. ואמר אביי: מחלוקת - בארוסה, אבל בנשואה - דברי הכל מחצה חולין ומחצה תרומה. תניא נמי הכי, רבי טרפון אומר: נותנין לה הכל תרומה, ר"ע אומר: </w:t>
      </w:r>
      <w:r w:rsidR="00C338F4">
        <w:rPr>
          <w:rStyle w:val="Style1Char"/>
          <w:rFonts w:hint="cs"/>
          <w:rtl/>
        </w:rPr>
        <w:t>(1)</w:t>
      </w:r>
      <w:r w:rsidRPr="005F123E">
        <w:rPr>
          <w:rStyle w:val="Style1Char"/>
          <w:color w:val="00B050"/>
          <w:rtl/>
        </w:rPr>
        <w:t xml:space="preserve">מחצה חולין ומחצה תרומה; במה דברים אמורים - בבת כהן לכהן, אבל בת ישראל לכהן - דברי הכל מחצה חולין ומחצה תרומה; במה דברים אמורים - בארוסה, אבל בנשואה - דברי הכל מחצה חולין ומחצה תרומה; רבי יהודה בן בתירא אומר: נותנין לה שתי ידות של תרומה ואחת של חולין; רבי יהודה אומר: נותן לה הכל תרומה, והיא מוכרת ולוקחת בדמים חולין; רבן שמעון בן גמליאל אומר: כל מקום שהוזכרה תרומה - נותנין לה כפלים בחולין. מאי בינייהו? איכא בינייהו טירחא. </w:t>
      </w:r>
    </w:p>
    <w:p w14:paraId="1B5D923E" w14:textId="77777777" w:rsidR="002C4635" w:rsidRPr="005F123E" w:rsidRDefault="002C4635" w:rsidP="002C4635">
      <w:pPr>
        <w:bidi/>
        <w:rPr>
          <w:rStyle w:val="Style1Char"/>
          <w:color w:val="00B050"/>
        </w:rPr>
      </w:pPr>
      <w:r w:rsidRPr="005F123E">
        <w:rPr>
          <w:rStyle w:val="Style1Char"/>
          <w:color w:val="00B050"/>
          <w:rtl/>
        </w:rPr>
        <w:t xml:space="preserve">היבם אינו מאכיל בתרומה. מאי טעמא? קנין כספו אמר רחמנא, והאי קנין דאחיו הוא. </w:t>
      </w:r>
    </w:p>
    <w:p w14:paraId="6FC019C1" w14:textId="77777777" w:rsidR="002C4635" w:rsidRPr="005F123E" w:rsidRDefault="002C4635" w:rsidP="002C4635">
      <w:pPr>
        <w:bidi/>
        <w:rPr>
          <w:rStyle w:val="Style1Char"/>
          <w:color w:val="00B050"/>
        </w:rPr>
      </w:pPr>
      <w:r w:rsidRPr="005F123E">
        <w:rPr>
          <w:rStyle w:val="Style1Char"/>
          <w:color w:val="00B050"/>
          <w:rtl/>
        </w:rPr>
        <w:t xml:space="preserve">עשתה ששה חדשים בפני הבעל. השתא בפני הבעל אמרת לא, בפני היבם מיבעיא? זו ואין צריך לומר זו קתני. </w:t>
      </w:r>
    </w:p>
    <w:p w14:paraId="2784B447" w14:textId="77777777" w:rsidR="00C338F4" w:rsidRDefault="002C4635" w:rsidP="002C4635">
      <w:pPr>
        <w:bidi/>
        <w:rPr>
          <w:rStyle w:val="Style1Char"/>
          <w:color w:val="00B050"/>
          <w:sz w:val="22"/>
          <w:szCs w:val="22"/>
          <w:rtl/>
        </w:rPr>
      </w:pPr>
      <w:r w:rsidRPr="005F123E">
        <w:rPr>
          <w:rStyle w:val="Style1Char"/>
          <w:color w:val="00B050"/>
          <w:rtl/>
        </w:rPr>
        <w:t>זו משנה ראשונה כו'. מאי טעמא? אמר עולא, ואיתימא רב שמואל בר יהודה: משום סימפון. בשלמא לעולא, קמייתא שמא ימזגו לה כוס בבית אביה, ובתרייתא משום סימפון</w:t>
      </w:r>
      <w:r w:rsidRPr="003663A8">
        <w:rPr>
          <w:rStyle w:val="Style1Char"/>
          <w:color w:val="00B050"/>
          <w:sz w:val="22"/>
          <w:szCs w:val="22"/>
          <w:rtl/>
        </w:rPr>
        <w:t>,</w:t>
      </w:r>
    </w:p>
    <w:p w14:paraId="37A8FB06" w14:textId="5E9B0E45" w:rsidR="002C4635" w:rsidRPr="00C338F4" w:rsidRDefault="00C338F4" w:rsidP="00C338F4">
      <w:pPr>
        <w:pStyle w:val="Style1"/>
        <w:rPr>
          <w:rStyle w:val="Style1Char"/>
          <w:rtl/>
        </w:rPr>
      </w:pPr>
      <w:r>
        <w:rPr>
          <w:rStyle w:val="Style1Char"/>
          <w:rFonts w:hint="cs"/>
          <w:rtl/>
        </w:rPr>
        <w:t>1)[</w:t>
      </w:r>
      <w:r w:rsidRPr="00C338F4">
        <w:rPr>
          <w:rStyle w:val="Style1Char"/>
          <w:rtl/>
        </w:rPr>
        <w:t>רמב</w:t>
      </w:r>
      <w:r w:rsidR="00213DA1">
        <w:rPr>
          <w:rStyle w:val="Style1Char"/>
          <w:rtl/>
        </w:rPr>
        <w:t>”ם \נשים\</w:t>
      </w:r>
      <w:r w:rsidRPr="00C338F4">
        <w:rPr>
          <w:rStyle w:val="Style1Char"/>
          <w:rtl/>
        </w:rPr>
        <w:t xml:space="preserve"> הלכות אישות פרק יב הלכה יג</w:t>
      </w:r>
      <w:r>
        <w:rPr>
          <w:rStyle w:val="Style1Char"/>
          <w:rFonts w:hint="cs"/>
          <w:rtl/>
        </w:rPr>
        <w:t xml:space="preserve">] </w:t>
      </w:r>
      <w:r w:rsidRPr="00C338F4">
        <w:rPr>
          <w:rStyle w:val="Style1Char"/>
          <w:rtl/>
        </w:rPr>
        <w:t xml:space="preserve">האשה שפסקו לה מזונות והותירו המותר לבעל, היה בעלה כהן אינו נותן לה כל מזונותיה תרומה מפני שטורח גדול הוא לה לשמרן מדברים המטמאין ולאכלן בטהרה אלא נותן לה מחצה חולין ומחצה תרומה. </w:t>
      </w:r>
      <w:r w:rsidR="002C4635" w:rsidRPr="00C338F4">
        <w:rPr>
          <w:rStyle w:val="Style1Char"/>
          <w:rtl/>
        </w:rPr>
        <w:t xml:space="preserve"> </w:t>
      </w:r>
    </w:p>
    <w:p w14:paraId="68B2DD09" w14:textId="77777777" w:rsidR="002C4635" w:rsidRDefault="002C4635" w:rsidP="002C4635">
      <w:pPr>
        <w:rPr>
          <w:rStyle w:val="Style1Char"/>
          <w:color w:val="00B050"/>
          <w:sz w:val="22"/>
          <w:szCs w:val="22"/>
          <w:rtl/>
        </w:rPr>
      </w:pPr>
      <w:r>
        <w:rPr>
          <w:rStyle w:val="Style1Char"/>
          <w:color w:val="00B050"/>
          <w:sz w:val="22"/>
          <w:szCs w:val="22"/>
          <w:rtl/>
        </w:rPr>
        <w:br w:type="page"/>
      </w:r>
    </w:p>
    <w:p w14:paraId="30D68387" w14:textId="77777777" w:rsidR="002C4635" w:rsidRPr="005F123E" w:rsidRDefault="002C4635" w:rsidP="002C4635">
      <w:pPr>
        <w:bidi/>
        <w:rPr>
          <w:rStyle w:val="Style1Char"/>
          <w:color w:val="00B050"/>
        </w:rPr>
      </w:pPr>
      <w:r w:rsidRPr="003663A8">
        <w:rPr>
          <w:rStyle w:val="Style1Char"/>
          <w:color w:val="00B050"/>
          <w:sz w:val="22"/>
          <w:szCs w:val="22"/>
          <w:rtl/>
        </w:rPr>
        <w:lastRenderedPageBreak/>
        <w:t>[</w:t>
      </w:r>
      <w:r w:rsidRPr="003663A8">
        <w:rPr>
          <w:rStyle w:val="Style1Char"/>
          <w:color w:val="00B050"/>
          <w:sz w:val="22"/>
          <w:szCs w:val="22"/>
          <w:highlight w:val="yellow"/>
          <w:rtl/>
        </w:rPr>
        <w:t>דף נח עמוד ב]</w:t>
      </w:r>
      <w:r w:rsidRPr="003663A8">
        <w:rPr>
          <w:rStyle w:val="Style1Char"/>
          <w:color w:val="00B050"/>
          <w:sz w:val="22"/>
          <w:szCs w:val="22"/>
          <w:rtl/>
        </w:rPr>
        <w:t xml:space="preserve"> </w:t>
      </w:r>
      <w:r w:rsidRPr="005F123E">
        <w:rPr>
          <w:rStyle w:val="Style1Char"/>
          <w:color w:val="00B050"/>
          <w:rtl/>
        </w:rPr>
        <w:t xml:space="preserve">אלא לרב שמואל בר יהודה, קמייתא משום סימפון, ובתרייתא משום סימפון, מאי בינייהו? איכא בינייהו בדיקת חוץ, מר סבר: בדיקת חוץ שמה בדיקה, ומר סבר: בדיקת חוץ לא שמה בדיקה. </w:t>
      </w:r>
    </w:p>
    <w:p w14:paraId="3080A30B" w14:textId="255D6ED1" w:rsidR="002C4635" w:rsidRPr="004C7770" w:rsidRDefault="002C4635" w:rsidP="002C4635">
      <w:pPr>
        <w:bidi/>
        <w:rPr>
          <w:rStyle w:val="Style1Char"/>
          <w:color w:val="auto"/>
          <w:sz w:val="22"/>
          <w:szCs w:val="22"/>
        </w:rPr>
      </w:pPr>
      <w:r w:rsidRPr="004C7770">
        <w:rPr>
          <w:rStyle w:val="Style1Char"/>
          <w:color w:val="auto"/>
          <w:sz w:val="22"/>
          <w:szCs w:val="22"/>
          <w:rtl/>
        </w:rPr>
        <w:t xml:space="preserve">מתני'. </w:t>
      </w:r>
      <w:r w:rsidR="002907DF">
        <w:rPr>
          <w:rStyle w:val="Style1Char"/>
          <w:rFonts w:hint="cs"/>
          <w:rtl/>
        </w:rPr>
        <w:t>(1)</w:t>
      </w:r>
      <w:r w:rsidRPr="004C7770">
        <w:rPr>
          <w:rStyle w:val="Style1Char"/>
          <w:color w:val="auto"/>
          <w:sz w:val="22"/>
          <w:szCs w:val="22"/>
          <w:rtl/>
        </w:rPr>
        <w:t xml:space="preserve">המקדיש מעשה ידי אשתו - הרי זו עושה ואוכלת. המותר - רבי מאיר אומר: הקדש, רבי יוחנן הסנדלר אומר: </w:t>
      </w:r>
      <w:r w:rsidR="00CB7D49">
        <w:rPr>
          <w:rStyle w:val="Style1Char"/>
          <w:rFonts w:hint="cs"/>
          <w:rtl/>
        </w:rPr>
        <w:t>(1)</w:t>
      </w:r>
      <w:r w:rsidRPr="004C7770">
        <w:rPr>
          <w:rStyle w:val="Style1Char"/>
          <w:color w:val="auto"/>
          <w:sz w:val="22"/>
          <w:szCs w:val="22"/>
          <w:rtl/>
        </w:rPr>
        <w:t xml:space="preserve">חולין. </w:t>
      </w:r>
    </w:p>
    <w:p w14:paraId="51FB9E08" w14:textId="403F4E5B" w:rsidR="002C4635" w:rsidRPr="00F24BFA" w:rsidRDefault="002C4635" w:rsidP="002C4635">
      <w:pPr>
        <w:bidi/>
        <w:rPr>
          <w:rStyle w:val="Style1Char"/>
          <w:color w:val="4472C4" w:themeColor="accent1"/>
        </w:rPr>
      </w:pPr>
      <w:r w:rsidRPr="006E5912">
        <w:rPr>
          <w:rStyle w:val="Style1Char"/>
          <w:color w:val="auto"/>
          <w:sz w:val="22"/>
          <w:szCs w:val="22"/>
          <w:rtl/>
        </w:rPr>
        <w:t xml:space="preserve">גמ'. אמר רב הונא </w:t>
      </w:r>
      <w:r w:rsidRPr="006E5912">
        <w:rPr>
          <w:rStyle w:val="Style1Char"/>
          <w:color w:val="ED7D31" w:themeColor="accent2"/>
          <w:rtl/>
        </w:rPr>
        <w:t>אמר רב</w:t>
      </w:r>
      <w:r w:rsidRPr="005F123E">
        <w:rPr>
          <w:rStyle w:val="Style1Char"/>
          <w:color w:val="00B050"/>
          <w:rtl/>
        </w:rPr>
        <w:t xml:space="preserve">: </w:t>
      </w:r>
      <w:r w:rsidR="00550173">
        <w:rPr>
          <w:rStyle w:val="Style1Char"/>
          <w:rFonts w:hint="cs"/>
          <w:rtl/>
        </w:rPr>
        <w:t>(1.2, 2)</w:t>
      </w:r>
      <w:r w:rsidRPr="006E5912">
        <w:rPr>
          <w:rStyle w:val="Style1Char"/>
          <w:color w:val="auto"/>
          <w:sz w:val="22"/>
          <w:szCs w:val="22"/>
          <w:rtl/>
        </w:rPr>
        <w:t>יכולה אשה לומר לבעלה איני ניזונת ואיני עושה. קסבר: כי תקינו רבנן - מזוני עיקר, ומעשה ידיה משום איבה, וכי אמרה איני ניזונת ואיני עושה - הרשות בידה</w:t>
      </w:r>
      <w:r w:rsidRPr="006E5912">
        <w:rPr>
          <w:rStyle w:val="Style1Char"/>
          <w:color w:val="auto"/>
          <w:rtl/>
        </w:rPr>
        <w:t xml:space="preserve"> </w:t>
      </w:r>
      <w:r w:rsidRPr="00181F0E">
        <w:rPr>
          <w:rStyle w:val="Style1Char"/>
          <w:color w:val="C00000"/>
          <w:rtl/>
        </w:rPr>
        <w:t>ו</w:t>
      </w:r>
      <w:r w:rsidRPr="00D22972">
        <w:rPr>
          <w:rStyle w:val="Style1Char"/>
          <w:color w:val="806000" w:themeColor="accent4" w:themeShade="80"/>
          <w:rtl/>
        </w:rPr>
        <w:t xml:space="preserve">גרסינן בהדיא פרק שני דייני גזרות [דף ק"ז ע"ב] דהלכתא כרב הונא </w:t>
      </w:r>
      <w:r w:rsidRPr="00F24BFA">
        <w:rPr>
          <w:rStyle w:val="Style1Char"/>
          <w:color w:val="4472C4" w:themeColor="accent1"/>
          <w:rtl/>
        </w:rPr>
        <w:t>אמר רב דאמר יכולה אשה שתאמר לבעלה איני ניזונת ואיני עושה</w:t>
      </w:r>
      <w:r w:rsidRPr="00F24BFA">
        <w:rPr>
          <w:rStyle w:val="Style1Char"/>
          <w:color w:val="4472C4" w:themeColor="accent1"/>
        </w:rPr>
        <w:t xml:space="preserve">: </w:t>
      </w:r>
      <w:r w:rsidRPr="00E414E9">
        <w:rPr>
          <w:rStyle w:val="Style1Char"/>
          <w:color w:val="806000" w:themeColor="accent4" w:themeShade="80"/>
          <w:rtl/>
        </w:rPr>
        <w:t xml:space="preserve">תנן התם בנדרים [נדרים </w:t>
      </w:r>
      <w:r w:rsidRPr="00181F0E">
        <w:rPr>
          <w:rStyle w:val="Style1Char"/>
          <w:color w:val="C00000"/>
          <w:rtl/>
        </w:rPr>
        <w:t xml:space="preserve">נ"ט </w:t>
      </w:r>
      <w:r w:rsidRPr="00F24BFA">
        <w:rPr>
          <w:rStyle w:val="Style1Char"/>
          <w:color w:val="4472C4" w:themeColor="accent1"/>
          <w:rtl/>
        </w:rPr>
        <w:t xml:space="preserve">פה </w:t>
      </w:r>
      <w:r w:rsidRPr="00E414E9">
        <w:rPr>
          <w:rStyle w:val="Style1Char"/>
          <w:color w:val="806000" w:themeColor="accent4" w:themeShade="80"/>
          <w:rtl/>
        </w:rPr>
        <w:t xml:space="preserve">ע"א] קונם שאני עושה לפיך אין צריך להפר רבי עקיבא אומר יפר שמא תעדיף עליו יותר מן הראוי לו רבי יוחנן בן נורי אומר </w:t>
      </w:r>
      <w:r w:rsidRPr="00E4359F">
        <w:rPr>
          <w:rStyle w:val="Style1Char"/>
          <w:color w:val="806000" w:themeColor="accent4" w:themeShade="80"/>
          <w:rtl/>
        </w:rPr>
        <w:t xml:space="preserve">יפר שמא יגרשנה ותהא אסורה לחזור לו </w:t>
      </w:r>
      <w:r w:rsidRPr="00891D23">
        <w:rPr>
          <w:rStyle w:val="Style1Char"/>
          <w:color w:val="806000" w:themeColor="accent4" w:themeShade="80"/>
          <w:rtl/>
        </w:rPr>
        <w:t>[דף ס"ו ע"א] כי אתא רבין אמר העדפה שלא על ידי הדחק כ"ע לא פליגי דבעל הויא כי פליגי בהעדפה שעל ידי הדחק רבנן סברי דבעל הויא ור"ע סבר לאשה הוי איכא מ"ד הלכה כר"ע ואיכא מ"ד הלכה כרבנן ואנן ס"ל הלכה כרבנן</w:t>
      </w:r>
      <w:r w:rsidRPr="00181F0E">
        <w:rPr>
          <w:rStyle w:val="Style1Char"/>
          <w:color w:val="C00000"/>
        </w:rPr>
        <w:t>:</w:t>
      </w:r>
      <w:r>
        <w:rPr>
          <w:rStyle w:val="Style1Char"/>
          <w:rFonts w:hint="cs"/>
          <w:color w:val="C00000"/>
          <w:rtl/>
        </w:rPr>
        <w:t xml:space="preserve"> </w:t>
      </w:r>
      <w:r w:rsidRPr="00F24BFA">
        <w:rPr>
          <w:rStyle w:val="Style1Char"/>
          <w:color w:val="4472C4" w:themeColor="accent1"/>
          <w:rtl/>
        </w:rPr>
        <w:t>דר' יוחנן בן נורי סבר כרבנן דהעדפה דבעל הוי. אמר שמואל הלכה כר' יוחנן בן נורי ואף על גב דאמר שמואל הלכה כר' יוחנן הסנדלר דאין אדם מקדיש דבר שלא בא לעולם מוקי לה באומרת יקדשו ידי לעושיהן ואף על גב דהשתא מיהא לא מיגרשא ומשעבדי ידיה לבעלה</w:t>
      </w:r>
      <w:r>
        <w:rPr>
          <w:rStyle w:val="Style1Char"/>
          <w:rFonts w:hint="cs"/>
          <w:color w:val="4472C4" w:themeColor="accent1"/>
        </w:rPr>
        <w:t>‍‍</w:t>
      </w:r>
      <w:r w:rsidRPr="00F24BFA">
        <w:rPr>
          <w:rStyle w:val="Style1Char"/>
          <w:color w:val="4472C4" w:themeColor="accent1"/>
        </w:rPr>
        <w:t xml:space="preserve">: </w:t>
      </w:r>
    </w:p>
    <w:p w14:paraId="3CEA8C39" w14:textId="66C6DA8B" w:rsidR="002C4635" w:rsidRPr="005F123E" w:rsidRDefault="002C4635" w:rsidP="002C4635">
      <w:pPr>
        <w:bidi/>
        <w:rPr>
          <w:rStyle w:val="Style1Char"/>
          <w:color w:val="00B050"/>
        </w:rPr>
      </w:pPr>
      <w:r w:rsidRPr="005F123E">
        <w:rPr>
          <w:rStyle w:val="Style1Char"/>
          <w:color w:val="00B050"/>
          <w:rtl/>
        </w:rPr>
        <w:t xml:space="preserve">מיתיבי: תקנו מזונות תחת מעשה ידיה! אימא: </w:t>
      </w:r>
      <w:r w:rsidR="00F943D2">
        <w:rPr>
          <w:rStyle w:val="Style1Char"/>
          <w:rFonts w:hint="cs"/>
          <w:rtl/>
        </w:rPr>
        <w:t>(1.</w:t>
      </w:r>
      <w:r w:rsidR="00A55186">
        <w:rPr>
          <w:rStyle w:val="Style1Char"/>
          <w:rFonts w:hint="cs"/>
          <w:rtl/>
        </w:rPr>
        <w:t>2, 2</w:t>
      </w:r>
      <w:r w:rsidR="00F943D2">
        <w:rPr>
          <w:rStyle w:val="Style1Char"/>
          <w:rFonts w:hint="cs"/>
          <w:rtl/>
        </w:rPr>
        <w:t>)</w:t>
      </w:r>
      <w:r w:rsidRPr="005F123E">
        <w:rPr>
          <w:rStyle w:val="Style1Char"/>
          <w:color w:val="00B050"/>
          <w:rtl/>
        </w:rPr>
        <w:t xml:space="preserve">תקנו מעשה ידיה תחת מזונות. לימא מסייע ליה: המקדיש מעשה ידי אשתו - הרי היא עושה ואוכלת; מאי לאו בניזונת! לא, בשאינה ניזונת. אי בשאינה ניזונת, מאי למימרא? אפי' למאן דאמר: יכול הרב לומר לעבד עשה עמי ואיני זנך, הני מילי </w:t>
      </w:r>
      <w:r w:rsidR="00A55186">
        <w:rPr>
          <w:rStyle w:val="Style1Char"/>
          <w:rFonts w:hint="cs"/>
          <w:rtl/>
        </w:rPr>
        <w:t>(3)</w:t>
      </w:r>
      <w:r w:rsidRPr="005F123E">
        <w:rPr>
          <w:rStyle w:val="Style1Char"/>
          <w:color w:val="00B050"/>
          <w:rtl/>
        </w:rPr>
        <w:t xml:space="preserve">בעבד כנעני, דלא כתיב ביה עמך, אבל עבד עברי דכתיב ביה עמך - לא, וכל שכן אשתו. סיפא איצטריך ליה: מותר - רבי מאיר אומר: הקדש, רבי יוחנן הסנדלר אומר: חולין. ופליגא דריש לקיש, דאמר ריש לקיש: לא תימא טעמא דרבי מאיר משום דקסבר אדם מקדיש דבר שלא בא לעולם, אלא טעמא דרבי מאיר, מתוך </w:t>
      </w:r>
      <w:r w:rsidR="009F1B02">
        <w:rPr>
          <w:rStyle w:val="Style1Char"/>
          <w:rFonts w:hint="cs"/>
          <w:rtl/>
        </w:rPr>
        <w:t>(2.3, 4)</w:t>
      </w:r>
      <w:r w:rsidRPr="005F123E">
        <w:rPr>
          <w:rStyle w:val="Style1Char"/>
          <w:color w:val="00B050"/>
          <w:rtl/>
        </w:rPr>
        <w:t xml:space="preserve">שיכול לכופה למעשה ידיה, נעשה כאומר לה </w:t>
      </w:r>
      <w:r w:rsidR="00FB3C5C">
        <w:rPr>
          <w:rStyle w:val="Style1Char"/>
          <w:rFonts w:hint="cs"/>
          <w:rtl/>
        </w:rPr>
        <w:t>(1)</w:t>
      </w:r>
      <w:r w:rsidRPr="005F123E">
        <w:rPr>
          <w:rStyle w:val="Style1Char"/>
          <w:color w:val="00B050"/>
          <w:rtl/>
        </w:rPr>
        <w:t xml:space="preserve">יקדשו ידיך לעושיהם. </w:t>
      </w:r>
      <w:r w:rsidR="003A75F5">
        <w:rPr>
          <w:rStyle w:val="Style1Char"/>
          <w:rFonts w:hint="cs"/>
          <w:rtl/>
        </w:rPr>
        <w:t>(1)</w:t>
      </w:r>
      <w:r w:rsidRPr="005F123E">
        <w:rPr>
          <w:rStyle w:val="Style1Char"/>
          <w:color w:val="00B050"/>
          <w:rtl/>
        </w:rPr>
        <w:t xml:space="preserve">והא לא אמר לה הכי! כיון דשמעינן ליה לר"מ דאמר: אין אדם מוציא דבריו לבטלה, נעשה כאומר לה יקדשו ידיך לעושיהם. וסבר רבי מאיר: אין אדם מקדיש דבר שלא בא לעולם? והתניא: האומר לאשה הרי את מקודשת לי לאחר שאתגייר או לאחר שתתגיירי, לאחר שאשתחרר, לאחר שתשתחררי, לאחר שימות בעליך, או שתמות אחותיך, או לאחר שיחלוץ ליך יבמיך, רבי מאיר אומר: מקודשת! מההיא אין, מהא ליכא למשמע מינה. </w:t>
      </w:r>
    </w:p>
    <w:p w14:paraId="0D122F17" w14:textId="6D1720C5" w:rsidR="002C4635" w:rsidRDefault="002C4635" w:rsidP="002C4635">
      <w:pPr>
        <w:bidi/>
        <w:rPr>
          <w:rStyle w:val="Style1Char"/>
          <w:color w:val="00B050"/>
          <w:rtl/>
        </w:rPr>
      </w:pPr>
      <w:r w:rsidRPr="005F123E">
        <w:rPr>
          <w:rStyle w:val="Style1Char"/>
          <w:color w:val="00B050"/>
          <w:rtl/>
        </w:rPr>
        <w:t xml:space="preserve">המותר - רבי מאיר אומר: הקדש. אימת קדוש? רב ושמואל דאמרי תרווייהו: מותר - לאחר מיתה קדוש, רב אדא בר אהבה אמר: מותר - מחיים קדוש. הוי בה רב פפא, במאי? אילימא במעלה לה מזונות ומעלה לה מעה כסף לצרכיה, מ"ט דמ"ד לאחר מיתה קדוש? ואלא כשאין מעלה לה מזונות ולא מעלה לה מעה כסף לצרכיה, מ"ט דמאן דאמר מחיים קדוש? לעולם, במעלה לה מזונות ואינו מעלה לה מעה כסף לצרכיה, רב ושמואל סברי: תקנו </w:t>
      </w:r>
    </w:p>
    <w:p w14:paraId="2B51113D" w14:textId="5840324E" w:rsidR="00E40E18" w:rsidRDefault="00E40E18" w:rsidP="00E40E18">
      <w:pPr>
        <w:pStyle w:val="Style1"/>
        <w:rPr>
          <w:rStyle w:val="Style1Char"/>
          <w:rtl/>
        </w:rPr>
      </w:pPr>
      <w:r>
        <w:rPr>
          <w:rStyle w:val="Style1Char"/>
          <w:rFonts w:hint="cs"/>
          <w:rtl/>
        </w:rPr>
        <w:t>1)[</w:t>
      </w:r>
      <w:r w:rsidRPr="00E40E18">
        <w:rPr>
          <w:rStyle w:val="Style1Char"/>
          <w:rtl/>
        </w:rPr>
        <w:t>רמב</w:t>
      </w:r>
      <w:r w:rsidR="005258D6">
        <w:rPr>
          <w:rStyle w:val="Style1Char"/>
          <w:rtl/>
        </w:rPr>
        <w:t>”ם \הפלאה\</w:t>
      </w:r>
      <w:r w:rsidRPr="00E40E18">
        <w:rPr>
          <w:rStyle w:val="Style1Char"/>
          <w:rtl/>
        </w:rPr>
        <w:t xml:space="preserve"> הלכות ערכין וחרמין פרק ו הלכה כח</w:t>
      </w:r>
      <w:r>
        <w:rPr>
          <w:rStyle w:val="Style1Char"/>
          <w:rFonts w:hint="cs"/>
          <w:rtl/>
        </w:rPr>
        <w:t xml:space="preserve">] </w:t>
      </w:r>
      <w:r w:rsidRPr="00E40E18">
        <w:rPr>
          <w:rStyle w:val="Style1Char"/>
          <w:rtl/>
        </w:rPr>
        <w:t>וכן המקדיש מעשה ידי אשתו הרי זו עושה ואוכלת והמותר חולין, אמר לה יקדשו ידיך לעושיהן הואיל והן משועבדין לו הרי כל מעשה ידיה קדש, הא למה זה דומה לאומר אילן זה קדש שכל פירות שיעשה להבא קדש, וכן כל כיוצא בזה.</w:t>
      </w:r>
    </w:p>
    <w:p w14:paraId="22BFFD82" w14:textId="7877BD93" w:rsidR="0065535C" w:rsidRPr="0065535C" w:rsidRDefault="005C707C" w:rsidP="0065535C">
      <w:pPr>
        <w:pStyle w:val="Style1"/>
      </w:pPr>
      <w:r>
        <w:rPr>
          <w:rStyle w:val="Style1Char"/>
          <w:rFonts w:hint="cs"/>
          <w:rtl/>
        </w:rPr>
        <w:t>1)[</w:t>
      </w:r>
      <w:r w:rsidRPr="005C707C">
        <w:rPr>
          <w:rStyle w:val="Style1Char"/>
          <w:rtl/>
        </w:rPr>
        <w:t>שולחן ערוך אבן העזר הלכות כתובות סימן פא סעיף א</w:t>
      </w:r>
      <w:r>
        <w:rPr>
          <w:rStyle w:val="Style1Char"/>
          <w:rFonts w:hint="cs"/>
          <w:rtl/>
        </w:rPr>
        <w:t>]</w:t>
      </w:r>
      <w:r w:rsidR="0065535C">
        <w:rPr>
          <w:rStyle w:val="Style1Char"/>
          <w:rFonts w:hint="cs"/>
          <w:rtl/>
        </w:rPr>
        <w:t xml:space="preserve"> </w:t>
      </w:r>
      <w:r w:rsidR="0065535C" w:rsidRPr="0065535C">
        <w:rPr>
          <w:rtl/>
        </w:rPr>
        <w:t>המקדיש מעשה ידי אשתו -- הרי זו </w:t>
      </w:r>
      <w:r w:rsidR="0065535C" w:rsidRPr="0065535C">
        <w:rPr>
          <w:rFonts w:hint="cs"/>
        </w:rPr>
        <w:t>(</w:t>
      </w:r>
      <w:r w:rsidR="0065535C" w:rsidRPr="0065535C">
        <w:rPr>
          <w:rFonts w:hint="cs"/>
          <w:rtl/>
        </w:rPr>
        <w:t>עושה ו</w:t>
      </w:r>
      <w:r w:rsidR="0065535C" w:rsidRPr="0065535C">
        <w:rPr>
          <w:rFonts w:hint="cs"/>
        </w:rPr>
        <w:t>)</w:t>
      </w:r>
      <w:r w:rsidR="0065535C" w:rsidRPr="0065535C">
        <w:rPr>
          <w:rtl/>
        </w:rPr>
        <w:t>אוכלת, והמותר חולין</w:t>
      </w:r>
      <w:r w:rsidR="0065535C" w:rsidRPr="0065535C">
        <w:t>.</w:t>
      </w:r>
    </w:p>
    <w:p w14:paraId="3A6D22F1" w14:textId="77777777" w:rsidR="0065535C" w:rsidRPr="0065535C" w:rsidRDefault="0065535C" w:rsidP="0065535C">
      <w:pPr>
        <w:pStyle w:val="Style1"/>
      </w:pPr>
      <w:r w:rsidRPr="0065535C">
        <w:rPr>
          <w:rtl/>
        </w:rPr>
        <w:t>אמר לה</w:t>
      </w:r>
      <w:r w:rsidRPr="0065535C">
        <w:t>: "</w:t>
      </w:r>
      <w:r w:rsidRPr="0065535C">
        <w:rPr>
          <w:rtl/>
        </w:rPr>
        <w:t>יקדשו ידיך לעושיהן</w:t>
      </w:r>
      <w:r w:rsidRPr="0065535C">
        <w:t xml:space="preserve">" -- </w:t>
      </w:r>
      <w:r w:rsidRPr="0065535C">
        <w:rPr>
          <w:rtl/>
        </w:rPr>
        <w:t>הרי כל מעשה ידיה קדש</w:t>
      </w:r>
      <w:r w:rsidRPr="0065535C">
        <w:t>.</w:t>
      </w:r>
    </w:p>
    <w:p w14:paraId="07E252AB" w14:textId="413E1D29" w:rsidR="0065535C" w:rsidRDefault="0065535C" w:rsidP="0065535C">
      <w:pPr>
        <w:pStyle w:val="Style1"/>
        <w:rPr>
          <w:rtl/>
        </w:rPr>
      </w:pPr>
      <w:r w:rsidRPr="0065535C">
        <w:rPr>
          <w:rFonts w:hint="cs"/>
          <w:rtl/>
        </w:rPr>
        <w:t>ויש אומרים דאינו קדש, דהרי היא יכולה לומר: איני נזונית ואיני עושה, (הר"ן פרק אף על פי, וכן משמע לשון הטור)</w:t>
      </w:r>
      <w:r w:rsidRPr="0065535C">
        <w:t>:</w:t>
      </w:r>
    </w:p>
    <w:p w14:paraId="06F19779" w14:textId="19624657" w:rsidR="00422698" w:rsidRDefault="00422698" w:rsidP="00422698">
      <w:pPr>
        <w:pStyle w:val="Style1"/>
        <w:rPr>
          <w:rtl/>
        </w:rPr>
      </w:pPr>
      <w:r>
        <w:rPr>
          <w:rFonts w:hint="cs"/>
          <w:rtl/>
        </w:rPr>
        <w:t>2)[</w:t>
      </w:r>
      <w:r>
        <w:rPr>
          <w:rtl/>
        </w:rPr>
        <w:t>רמב</w:t>
      </w:r>
      <w:r w:rsidR="00213DA1">
        <w:rPr>
          <w:rtl/>
        </w:rPr>
        <w:t>”ם \נשים\</w:t>
      </w:r>
      <w:r>
        <w:rPr>
          <w:rtl/>
        </w:rPr>
        <w:t xml:space="preserve"> הלכות אישות פרק יב הלכה ד</w:t>
      </w:r>
      <w:r>
        <w:rPr>
          <w:rFonts w:hint="cs"/>
          <w:rtl/>
        </w:rPr>
        <w:t xml:space="preserve">] </w:t>
      </w:r>
      <w:r>
        <w:rPr>
          <w:rtl/>
        </w:rPr>
        <w:t>ועוד תקנו חכמים שיהיו מעשה ידי האשה כנגד מזונותיה, ופדיונה כנגד אכילת פירות נכסיה, וקבורתה כנגד ירושתו לכתובתה, לפיכך אם אמרה האשה איני ניזונת ואיני עושה שומעין לה ואין כופין אותה, אבל אם אמר הבעל איני</w:t>
      </w:r>
      <w:r>
        <w:rPr>
          <w:rFonts w:hint="cs"/>
          <w:rtl/>
        </w:rPr>
        <w:t xml:space="preserve"> </w:t>
      </w:r>
      <w:r>
        <w:rPr>
          <w:rtl/>
        </w:rPr>
        <w:t>זנך ואיני נוטל כלום ממעשה ידיך אין שומעין לו שמא לא יספיק לה מעשה ידיה במזונותיה, ומפני תקנה זו יחשבו המזונות מתנאי הכתובה.</w:t>
      </w:r>
    </w:p>
    <w:p w14:paraId="1015C414" w14:textId="558C2FB0" w:rsidR="008F74B1" w:rsidRPr="008F74B1" w:rsidRDefault="002E2D2C" w:rsidP="008F74B1">
      <w:pPr>
        <w:pStyle w:val="Style1"/>
      </w:pPr>
      <w:r>
        <w:rPr>
          <w:rFonts w:hint="cs"/>
          <w:rtl/>
        </w:rPr>
        <w:t>2)[</w:t>
      </w:r>
      <w:r>
        <w:rPr>
          <w:rtl/>
        </w:rPr>
        <w:t>שולחן ערוך אבן העזר הלכות כתובות סימן סט סעיף ד</w:t>
      </w:r>
      <w:r>
        <w:rPr>
          <w:rFonts w:hint="cs"/>
          <w:rtl/>
        </w:rPr>
        <w:t>]</w:t>
      </w:r>
      <w:r w:rsidR="008F74B1">
        <w:rPr>
          <w:rFonts w:hint="cs"/>
          <w:rtl/>
        </w:rPr>
        <w:t xml:space="preserve"> </w:t>
      </w:r>
      <w:r w:rsidR="008F74B1" w:rsidRPr="008F74B1">
        <w:rPr>
          <w:rtl/>
        </w:rPr>
        <w:t>מעשה ידיה כנגד מזונותיה. לפיכך, אם אמרה: איני ניזונת ואיני עושה, שומעין לה</w:t>
      </w:r>
      <w:r w:rsidR="008F74B1" w:rsidRPr="008F74B1">
        <w:t>.</w:t>
      </w:r>
    </w:p>
    <w:p w14:paraId="2E0FED56" w14:textId="77777777" w:rsidR="008F74B1" w:rsidRPr="008F74B1" w:rsidRDefault="008F74B1" w:rsidP="008F74B1">
      <w:pPr>
        <w:pStyle w:val="Style1"/>
      </w:pPr>
      <w:r w:rsidRPr="008F74B1">
        <w:rPr>
          <w:rFonts w:hint="cs"/>
          <w:rtl/>
        </w:rPr>
        <w:t>הגה: ועיין לקמן </w:t>
      </w:r>
      <w:hyperlink r:id="rId123" w:tooltip="שולחן ערוך אבן העזר פ" w:history="1">
        <w:r w:rsidRPr="008F74B1">
          <w:rPr>
            <w:rStyle w:val="Hyperlink"/>
            <w:rFonts w:hint="cs"/>
            <w:color w:val="7030A0"/>
            <w:u w:val="none"/>
            <w:rtl/>
          </w:rPr>
          <w:t>סימן פ</w:t>
        </w:r>
        <w:r w:rsidRPr="008F74B1">
          <w:rPr>
            <w:rStyle w:val="Hyperlink"/>
            <w:rFonts w:hint="cs"/>
            <w:color w:val="7030A0"/>
            <w:u w:val="none"/>
          </w:rPr>
          <w:t>'</w:t>
        </w:r>
      </w:hyperlink>
      <w:r w:rsidRPr="008F74B1">
        <w:rPr>
          <w:rFonts w:hint="cs"/>
        </w:rPr>
        <w:t xml:space="preserve">. </w:t>
      </w:r>
      <w:r w:rsidRPr="008F74B1">
        <w:rPr>
          <w:rFonts w:hint="cs"/>
          <w:rtl/>
        </w:rPr>
        <w:t>יש אומרים דכל אשה האומרת: איני נזונית ואיני עושה, נתבטלה התקנה, ואינה יכולה לחזור בה ולומר: אני ניזונת ואני עושה (בית יוסף בשם הר"ן שכן כתב בשם הרא"ה). ויש חולקין (רבנו ירוחם נתיב כ"ג ח"ה). וכל שאינה ניזונת, אין לה כסות, דהוא בכלל המזונות (שם בהר"ן)</w:t>
      </w:r>
      <w:r w:rsidRPr="008F74B1">
        <w:t>.</w:t>
      </w:r>
    </w:p>
    <w:p w14:paraId="3410CD51" w14:textId="77777777" w:rsidR="008F74B1" w:rsidRPr="008F74B1" w:rsidRDefault="008F74B1" w:rsidP="008F74B1">
      <w:pPr>
        <w:pStyle w:val="Style1"/>
      </w:pPr>
      <w:r w:rsidRPr="008F74B1">
        <w:rPr>
          <w:rtl/>
        </w:rPr>
        <w:t>אבל הבעל שאמר: איני זנך ואיני נוטל מעשה ידיך, אין שומעין לו</w:t>
      </w:r>
      <w:r w:rsidRPr="008F74B1">
        <w:t>.</w:t>
      </w:r>
    </w:p>
    <w:p w14:paraId="03A16470" w14:textId="705B4847" w:rsidR="008F74B1" w:rsidRDefault="008F74B1" w:rsidP="008F74B1">
      <w:pPr>
        <w:pStyle w:val="Style1"/>
        <w:rPr>
          <w:rtl/>
        </w:rPr>
      </w:pPr>
      <w:r w:rsidRPr="008F74B1">
        <w:rPr>
          <w:rFonts w:hint="cs"/>
          <w:rtl/>
        </w:rPr>
        <w:t>אבל יוכל לומר: צאי מעשה ידיך במזונותיך, ומה שאינו מספיק אשלים לך (הר"ן פרק המדיר)</w:t>
      </w:r>
      <w:r w:rsidRPr="008F74B1">
        <w:t>:</w:t>
      </w:r>
    </w:p>
    <w:p w14:paraId="3222C2C8" w14:textId="035D5EDD" w:rsidR="00B50BDF" w:rsidRPr="00B50BDF" w:rsidRDefault="0057326B" w:rsidP="00B50BDF">
      <w:pPr>
        <w:pStyle w:val="Style1"/>
      </w:pPr>
      <w:r>
        <w:rPr>
          <w:rFonts w:hint="cs"/>
          <w:rtl/>
        </w:rPr>
        <w:t>2)[</w:t>
      </w:r>
      <w:r>
        <w:rPr>
          <w:rtl/>
        </w:rPr>
        <w:t>שולחן ערוך אבן העזר הלכות כתובות סימן פ סעיף טו</w:t>
      </w:r>
      <w:r>
        <w:rPr>
          <w:rFonts w:hint="cs"/>
          <w:rtl/>
        </w:rPr>
        <w:t>]</w:t>
      </w:r>
      <w:r w:rsidR="00B50BDF">
        <w:rPr>
          <w:rFonts w:hint="cs"/>
          <w:rtl/>
        </w:rPr>
        <w:t xml:space="preserve"> </w:t>
      </w:r>
      <w:r w:rsidR="00B50BDF" w:rsidRPr="00B50BDF">
        <w:rPr>
          <w:rtl/>
        </w:rPr>
        <w:t>כל אשה שתמנע מלעשות מלאכה ממלאכות שהיא חיבת לעשותן, כופין אותה לעשות</w:t>
      </w:r>
      <w:r w:rsidR="00B50BDF" w:rsidRPr="00B50BDF">
        <w:t>.</w:t>
      </w:r>
    </w:p>
    <w:p w14:paraId="7A9752DC" w14:textId="04D800E3" w:rsidR="00B50BDF" w:rsidRDefault="00B50BDF" w:rsidP="00B50BDF">
      <w:pPr>
        <w:pStyle w:val="Style1"/>
        <w:rPr>
          <w:rtl/>
        </w:rPr>
      </w:pPr>
      <w:r w:rsidRPr="00B50BDF">
        <w:rPr>
          <w:rFonts w:hint="cs"/>
          <w:rtl/>
        </w:rPr>
        <w:t>הגה: ואינו זנה עד שתעשה. וכן בית דין משמתין אותה או מוכרין כתובתה לשכר עליה עבד או שפחה (המגיד משנה פרק כ"א בשם הרמב"ן והרשב"א). ויש אומרים דכופין אותה בשוטים (טור בשם הרמב"ם). וכל זה באומרת: איני עושה, ונזונית. אבל אם אומרת: איני נזונית ואיני עושה, הרשות בידה (בית יוסף לדעת הרמב"ם וכן כתב הר"ן), וכמו שנתבאר לעיל </w:t>
      </w:r>
      <w:hyperlink r:id="rId124" w:tooltip="שולחן ערוך אבן העזר סט" w:history="1">
        <w:r w:rsidRPr="00B50BDF">
          <w:rPr>
            <w:rStyle w:val="Hyperlink"/>
            <w:rFonts w:hint="cs"/>
            <w:color w:val="7030A0"/>
            <w:u w:val="none"/>
            <w:rtl/>
          </w:rPr>
          <w:t>סימן ס"ט</w:t>
        </w:r>
      </w:hyperlink>
      <w:r w:rsidRPr="00B50BDF">
        <w:rPr>
          <w:rFonts w:hint="cs"/>
        </w:rPr>
        <w:t xml:space="preserve">. </w:t>
      </w:r>
      <w:r w:rsidRPr="00B50BDF">
        <w:rPr>
          <w:rFonts w:hint="cs"/>
          <w:rtl/>
        </w:rPr>
        <w:t>ויש אומרים דאפילו באומרת: איני נזונית ואיני עושה, צריכה לעשות צרכי הבית, ולזה כופין אותה אף על פי שאינה נזונית (גם זה בית יוסף לדעת הרמב"ם לחד שנויא)</w:t>
      </w:r>
      <w:r w:rsidRPr="00B50BDF">
        <w:t>:</w:t>
      </w:r>
    </w:p>
    <w:p w14:paraId="6DA6C833" w14:textId="41A70385" w:rsidR="00704934" w:rsidRDefault="00704934" w:rsidP="00704934">
      <w:pPr>
        <w:pStyle w:val="Style1"/>
        <w:rPr>
          <w:rtl/>
        </w:rPr>
      </w:pPr>
      <w:r>
        <w:rPr>
          <w:rFonts w:hint="cs"/>
          <w:rtl/>
        </w:rPr>
        <w:t>3)[</w:t>
      </w:r>
      <w:r>
        <w:rPr>
          <w:rtl/>
        </w:rPr>
        <w:t>רמב</w:t>
      </w:r>
      <w:r w:rsidR="005258D6">
        <w:rPr>
          <w:rtl/>
        </w:rPr>
        <w:t>”ם \קניין\</w:t>
      </w:r>
      <w:r>
        <w:rPr>
          <w:rtl/>
        </w:rPr>
        <w:t xml:space="preserve"> הלכות עבדים פרק ט הלכה ז</w:t>
      </w:r>
      <w:r>
        <w:rPr>
          <w:rFonts w:hint="cs"/>
          <w:rtl/>
        </w:rPr>
        <w:t xml:space="preserve">] </w:t>
      </w:r>
      <w:r>
        <w:rPr>
          <w:rtl/>
        </w:rPr>
        <w:t>יכול הרב לומר לעבדו כנעני עשה עמי ואיני זנך אלא ילך וישאל על הפתחים ויתפרנס מן הצדקה שישראל מצווין להחיות העבדים שביניהם, בד"א בעבדיו שאין ב"ד נזקקין לגדולים לשמור ממונם ואם לא יאכיל לעבדיו וישקם כראוי הם יברחו או ימותו ואדם חס על ממון עצמו יתר מכל אדם, אבל עבדים שהכניסה לו אשתו בתורת נכסי מלוג חייב במזונותיהן שעל מנת כן הכניס אותם שאם לא יזון אותם ימותו ויברחו והרי אינו חייב באחריותן. /השגת הראב"ד/ אבל עבדים שהכניסה לו אשתו וכו' עד שעל מנת כן הכניסן וכו'. א"א לא נתברר לי דבר זה שאם אמר הבעל איני עובד ואיני זן יכול הוא לעשות.</w:t>
      </w:r>
    </w:p>
    <w:p w14:paraId="5C66536C" w14:textId="5ED7BC2D" w:rsidR="00C34098" w:rsidRPr="00C34098" w:rsidRDefault="006F27BD" w:rsidP="00C34098">
      <w:pPr>
        <w:pStyle w:val="Style1"/>
      </w:pPr>
      <w:r>
        <w:rPr>
          <w:rFonts w:hint="cs"/>
          <w:rtl/>
        </w:rPr>
        <w:t>3)[</w:t>
      </w:r>
      <w:r>
        <w:rPr>
          <w:rtl/>
        </w:rPr>
        <w:t>שולחן ערוך יורה דעה הלכות עבדים סימן רסז סעיף כ</w:t>
      </w:r>
      <w:r>
        <w:rPr>
          <w:rFonts w:hint="cs"/>
          <w:rtl/>
        </w:rPr>
        <w:t>]</w:t>
      </w:r>
      <w:r w:rsidR="00C34098">
        <w:rPr>
          <w:rFonts w:hint="cs"/>
          <w:rtl/>
        </w:rPr>
        <w:t xml:space="preserve"> </w:t>
      </w:r>
      <w:r w:rsidR="00C34098" w:rsidRPr="00C34098">
        <w:rPr>
          <w:rtl/>
        </w:rPr>
        <w:t>יכול הרב לומר לעבדו</w:t>
      </w:r>
      <w:r w:rsidR="00C34098" w:rsidRPr="00C34098">
        <w:t xml:space="preserve"> "</w:t>
      </w:r>
      <w:r w:rsidR="00C34098" w:rsidRPr="00C34098">
        <w:rPr>
          <w:rtl/>
        </w:rPr>
        <w:t>עשה עמי ואיני זנך</w:t>
      </w:r>
      <w:r w:rsidR="00C34098" w:rsidRPr="00C34098">
        <w:t xml:space="preserve">". </w:t>
      </w:r>
      <w:r w:rsidR="00C34098" w:rsidRPr="00C34098">
        <w:rPr>
          <w:rtl/>
        </w:rPr>
        <w:t>אבל עבדי נכסי מלוג</w:t>
      </w:r>
      <w:r w:rsidR="00C34098" w:rsidRPr="00C34098">
        <w:t xml:space="preserve"> (</w:t>
      </w:r>
      <w:r w:rsidR="00C34098" w:rsidRPr="00C34098">
        <w:rPr>
          <w:rtl/>
        </w:rPr>
        <w:t>פירוש נכסי מלוג כענין מליגת הראש שתולשין השער ועוזבין הראש, כך הבעל אוכל פירות ומניח הקרן ואין לו רשות בזו</w:t>
      </w:r>
      <w:r w:rsidR="00C34098" w:rsidRPr="00C34098">
        <w:t xml:space="preserve">) </w:t>
      </w:r>
      <w:r w:rsidR="00C34098" w:rsidRPr="00C34098">
        <w:rPr>
          <w:rtl/>
        </w:rPr>
        <w:t>חייב לזונם</w:t>
      </w:r>
      <w:r w:rsidR="00C34098" w:rsidRPr="00C34098">
        <w:t>.</w:t>
      </w:r>
    </w:p>
    <w:p w14:paraId="5C9B3C5C" w14:textId="0FAD0069" w:rsidR="00C34098" w:rsidRDefault="00C34098" w:rsidP="00C34098">
      <w:pPr>
        <w:pStyle w:val="Style1"/>
        <w:rPr>
          <w:rtl/>
        </w:rPr>
      </w:pPr>
      <w:r w:rsidRPr="00C34098">
        <w:rPr>
          <w:rFonts w:hint="cs"/>
          <w:rtl/>
        </w:rPr>
        <w:t>הגה: ויש אומרים הא דיכול לומר איני זנך היינו כשהשנים כתיקונן. אבל בשנת בצורת, שאין מרחמים עליו, לא. אבל יכול לומר לו</w:t>
      </w:r>
      <w:r w:rsidRPr="00C34098">
        <w:rPr>
          <w:rFonts w:hint="cs"/>
        </w:rPr>
        <w:t xml:space="preserve"> "</w:t>
      </w:r>
      <w:r w:rsidRPr="00C34098">
        <w:rPr>
          <w:rFonts w:hint="cs"/>
          <w:rtl/>
        </w:rPr>
        <w:t>צא מעשה ידיך במזונותיך</w:t>
      </w:r>
      <w:r w:rsidRPr="00C34098">
        <w:rPr>
          <w:rFonts w:hint="cs"/>
        </w:rPr>
        <w:t xml:space="preserve">", </w:t>
      </w:r>
      <w:r w:rsidRPr="00C34098">
        <w:rPr>
          <w:rFonts w:hint="cs"/>
          <w:rtl/>
        </w:rPr>
        <w:t>אע"פ שאינן מספיקין (טור והתוס' והרא"ש והרשב"א)</w:t>
      </w:r>
    </w:p>
    <w:p w14:paraId="7AF57DB4" w14:textId="7D8D7C6F" w:rsidR="009E6F7E" w:rsidRDefault="009E6F7E" w:rsidP="009E6F7E">
      <w:pPr>
        <w:pStyle w:val="Style1"/>
        <w:rPr>
          <w:rtl/>
        </w:rPr>
      </w:pPr>
      <w:r>
        <w:rPr>
          <w:rFonts w:hint="cs"/>
          <w:rtl/>
        </w:rPr>
        <w:lastRenderedPageBreak/>
        <w:t>4)[</w:t>
      </w:r>
      <w:r>
        <w:rPr>
          <w:rtl/>
        </w:rPr>
        <w:t>רמב</w:t>
      </w:r>
      <w:r w:rsidR="00213DA1">
        <w:rPr>
          <w:rtl/>
        </w:rPr>
        <w:t>”ם \נשים\</w:t>
      </w:r>
      <w:r>
        <w:rPr>
          <w:rtl/>
        </w:rPr>
        <w:t xml:space="preserve"> הלכות אישות פרק כא הלכה י</w:t>
      </w:r>
      <w:r>
        <w:rPr>
          <w:rFonts w:hint="cs"/>
          <w:rtl/>
        </w:rPr>
        <w:t xml:space="preserve">] </w:t>
      </w:r>
      <w:r>
        <w:rPr>
          <w:rtl/>
        </w:rPr>
        <w:t>כל אשה שתמנע מלעשות מלאכה מן המלאכות שהיא חייבת לעשותן</w:t>
      </w:r>
      <w:r>
        <w:rPr>
          <w:rFonts w:hint="cs"/>
          <w:rtl/>
        </w:rPr>
        <w:t xml:space="preserve"> </w:t>
      </w:r>
      <w:r>
        <w:rPr>
          <w:rtl/>
        </w:rPr>
        <w:t>כופין אותה ועושה אפילו בשוט, טען הוא שאינה עושה והיא אומרת שאינה נמנעת מלעשות מושיבין אשה ביניהן או שכנים, ודבר זה כפי מה שיראה הדיין שאפשר בדבר. /השגת הראב"ד/ כופין אותה ועושה אפי' בשוטי'. א"א מעולם לא שמעתי יסור שוטים לנשים אלא שממעט לה צרכיה ומזונותיה עד שתכנע.</w:t>
      </w:r>
    </w:p>
    <w:p w14:paraId="5BAAD4FC" w14:textId="77777777" w:rsidR="00C34098" w:rsidRPr="00C34098" w:rsidRDefault="00C34098" w:rsidP="00C34098">
      <w:pPr>
        <w:pStyle w:val="Style1"/>
      </w:pPr>
    </w:p>
    <w:p w14:paraId="5E2FBC78" w14:textId="1CC03AE7" w:rsidR="006F27BD" w:rsidRPr="00C34098" w:rsidRDefault="006F27BD" w:rsidP="00C34098">
      <w:pPr>
        <w:pStyle w:val="Style1"/>
      </w:pPr>
    </w:p>
    <w:p w14:paraId="32E4793B" w14:textId="77777777" w:rsidR="00B50BDF" w:rsidRPr="00C34098" w:rsidRDefault="00B50BDF" w:rsidP="00C34098">
      <w:pPr>
        <w:pStyle w:val="Style1"/>
      </w:pPr>
    </w:p>
    <w:p w14:paraId="78F0BA16" w14:textId="7C3DEDA4" w:rsidR="0057326B" w:rsidRPr="008F74B1" w:rsidRDefault="0057326B" w:rsidP="0057326B">
      <w:pPr>
        <w:pStyle w:val="Style1"/>
      </w:pPr>
    </w:p>
    <w:p w14:paraId="5F6EC947" w14:textId="77777777" w:rsidR="008F74B1" w:rsidRPr="008F74B1" w:rsidRDefault="008F74B1" w:rsidP="008F74B1">
      <w:pPr>
        <w:pStyle w:val="Style1"/>
      </w:pPr>
    </w:p>
    <w:p w14:paraId="1EBA699C" w14:textId="6C4228D4" w:rsidR="002E2D2C" w:rsidRPr="0065535C" w:rsidRDefault="002E2D2C" w:rsidP="002E2D2C">
      <w:pPr>
        <w:pStyle w:val="Style1"/>
      </w:pPr>
    </w:p>
    <w:p w14:paraId="16A1F9E0" w14:textId="77777777" w:rsidR="0065535C" w:rsidRPr="0065535C" w:rsidRDefault="0065535C" w:rsidP="0065535C">
      <w:pPr>
        <w:pStyle w:val="Style1"/>
        <w:rPr>
          <w:rStyle w:val="Style1Char"/>
        </w:rPr>
      </w:pPr>
    </w:p>
    <w:p w14:paraId="6BAC42B5" w14:textId="28C1E5FA" w:rsidR="005C707C" w:rsidRPr="0065535C" w:rsidRDefault="005C707C" w:rsidP="0065535C">
      <w:pPr>
        <w:pStyle w:val="Style1"/>
        <w:rPr>
          <w:rStyle w:val="Style1Char"/>
          <w:rtl/>
        </w:rPr>
      </w:pPr>
    </w:p>
    <w:p w14:paraId="0DA54AAB" w14:textId="77777777" w:rsidR="002C4635" w:rsidRPr="00E40E18" w:rsidRDefault="002C4635" w:rsidP="00E40E18">
      <w:pPr>
        <w:pStyle w:val="Style1"/>
        <w:rPr>
          <w:rStyle w:val="Style1Char"/>
          <w:rtl/>
        </w:rPr>
      </w:pPr>
    </w:p>
    <w:p w14:paraId="192E3646" w14:textId="77777777" w:rsidR="002C4635" w:rsidRPr="00E40E18" w:rsidRDefault="002C4635" w:rsidP="00E40E18">
      <w:pPr>
        <w:pStyle w:val="Style1"/>
        <w:rPr>
          <w:rStyle w:val="Style1Char"/>
        </w:rPr>
      </w:pPr>
    </w:p>
    <w:p w14:paraId="1CE4DF18" w14:textId="77777777" w:rsidR="002C4635" w:rsidRPr="00C01A7C" w:rsidRDefault="002C4635" w:rsidP="002C4635">
      <w:pPr>
        <w:bidi/>
        <w:rPr>
          <w:rStyle w:val="Style1Char"/>
          <w:color w:val="00B050"/>
          <w:rtl/>
        </w:rPr>
      </w:pPr>
    </w:p>
    <w:p w14:paraId="134F5006" w14:textId="77777777" w:rsidR="002C4635" w:rsidRDefault="002C4635" w:rsidP="002C4635">
      <w:pPr>
        <w:rPr>
          <w:rStyle w:val="Style1Char"/>
          <w:color w:val="00B050"/>
          <w:rtl/>
        </w:rPr>
      </w:pPr>
      <w:r>
        <w:rPr>
          <w:rStyle w:val="Style1Char"/>
          <w:color w:val="00B050"/>
          <w:rtl/>
        </w:rPr>
        <w:br w:type="page"/>
      </w:r>
    </w:p>
    <w:p w14:paraId="64BDA169" w14:textId="653F5893" w:rsidR="002C4635" w:rsidRDefault="002C4635" w:rsidP="002C4635">
      <w:pPr>
        <w:bidi/>
        <w:rPr>
          <w:rStyle w:val="Style1Char"/>
          <w:color w:val="00B050"/>
          <w:rtl/>
        </w:rPr>
      </w:pPr>
      <w:r w:rsidRPr="003663A8">
        <w:rPr>
          <w:rStyle w:val="Style1Char"/>
          <w:color w:val="00B050"/>
          <w:sz w:val="22"/>
          <w:szCs w:val="22"/>
          <w:highlight w:val="yellow"/>
          <w:rtl/>
        </w:rPr>
        <w:lastRenderedPageBreak/>
        <w:t>[דף נט עמוד א]</w:t>
      </w:r>
      <w:r w:rsidRPr="003663A8">
        <w:rPr>
          <w:rStyle w:val="Style1Char"/>
          <w:color w:val="00B050"/>
          <w:sz w:val="22"/>
          <w:szCs w:val="22"/>
          <w:rtl/>
        </w:rPr>
        <w:t xml:space="preserve"> </w:t>
      </w:r>
      <w:r w:rsidRPr="005F123E">
        <w:rPr>
          <w:rStyle w:val="Style1Char"/>
          <w:color w:val="00B050"/>
          <w:rtl/>
        </w:rPr>
        <w:t xml:space="preserve">מזונות תחת מעשה ידיה, ומעה כסף תחת מותר, וכיון דלא קא יהיב לה מעה כסף - מותר דידה הוי; רב אדא בר אהבה סבר: תקנו מזונות תחת מותר, ומעה כסף תחת מעשה ידיה, וכיון דקא יהיב לה מזוני - מותר דידיה הוי. במאי קמיפלגי? מר סבר: מידי דשכיח ממידי דשכיח, ומר סבר: מידי דקייץ ממידי דקייץ. מיתיבי: תקנו מזונות תחת מעשה ידיה! אימא: תחת מותר מעשה ידיה. תא שמע: אם אינו נותן לה מעה כסף לצורכיה - מעשה ידיה שלה! אימא: מותר מעשה ידיה שלה. והא עלה קתני: מה היא עושה לו? משקל חמש סלעים שתי ביהודה! הכי קאמר: מעשה ידיה כמה הוי, דלידע מותר דידה כמה? משקל חמש סלעים שתי ביהודה, שהן עשר סלעים בגליל. </w:t>
      </w:r>
      <w:r w:rsidRPr="006E5912">
        <w:rPr>
          <w:rStyle w:val="Style1Char"/>
          <w:color w:val="auto"/>
          <w:sz w:val="22"/>
          <w:szCs w:val="22"/>
          <w:rtl/>
        </w:rPr>
        <w:t>אמר שמואל: הלכה כרבי יוחנן הסנדלר</w:t>
      </w:r>
      <w:r w:rsidRPr="006E5912">
        <w:rPr>
          <w:rStyle w:val="Style1Char"/>
          <w:color w:val="auto"/>
          <w:rtl/>
        </w:rPr>
        <w:t xml:space="preserve"> </w:t>
      </w:r>
      <w:r w:rsidRPr="006E5912">
        <w:rPr>
          <w:rStyle w:val="Style1Char"/>
          <w:color w:val="806000" w:themeColor="accent4" w:themeShade="80"/>
          <w:rtl/>
        </w:rPr>
        <w:t>דקסבר אין אדם מקדיש דבר שלא בא לעולם</w:t>
      </w:r>
      <w:r w:rsidRPr="00181F0E">
        <w:rPr>
          <w:rStyle w:val="Style1Char"/>
          <w:color w:val="C00000"/>
          <w:rtl/>
        </w:rPr>
        <w:t>:</w:t>
      </w:r>
      <w:r w:rsidRPr="005F123E">
        <w:rPr>
          <w:rStyle w:val="Style1Char"/>
          <w:color w:val="00B050"/>
          <w:rtl/>
        </w:rPr>
        <w:t xml:space="preserve">. ומי אמר שמואל הכי? והתנן: קונם שאני עושה לפיך - אינו צריך להפר, רבי עקיבא אומר: יפר, שמא תעדיף עליו יתר מן הראוי לו, רבי יוחנן בן נורי אמר: </w:t>
      </w:r>
      <w:r w:rsidR="003A75F5">
        <w:rPr>
          <w:rStyle w:val="Style1Char"/>
          <w:rFonts w:hint="cs"/>
          <w:rtl/>
        </w:rPr>
        <w:t>(1)</w:t>
      </w:r>
      <w:r w:rsidRPr="005F123E">
        <w:rPr>
          <w:rStyle w:val="Style1Char"/>
          <w:color w:val="00B050"/>
          <w:rtl/>
        </w:rPr>
        <w:t xml:space="preserve">יפר, שמא יגרשנה ותהא אסורה לחזור; ואמר שמואל: הלכה כרבי יוחנן בן נורי! כי אמר שמואל הלכה כרבי יוחנן בן נורי - להעדפה. ולימא: הלכה כרבי יוחנן בן נורי להעדפה! אי נמי, אין הלכה כתנא קמא! אי נמי, הלכה כרבי עקיבא! אלא אמר רב יוסף: קונמות קאמרת? שאני קונמות, מתוך שאדם אוסר פירות חבירו עליו, אדם מקדיש דבר שלא בא לעולם. אמר ליה אביי: בשלמא אדם אוסר פירות חבירו עליו, שכן אדם אוסר פירותיו על חבירו, יאסר דבר שלא בא לעולם על חבירו, שכן אין אדם אוסר פירות חבירו על חבירו? אלא אמר רב הונא בריה דרב יהושע: </w:t>
      </w:r>
      <w:r w:rsidR="00401255">
        <w:rPr>
          <w:rStyle w:val="Style1Char"/>
          <w:rFonts w:hint="cs"/>
          <w:rtl/>
        </w:rPr>
        <w:t>(1.2, 1.3, 2)</w:t>
      </w:r>
      <w:r w:rsidRPr="005F123E">
        <w:rPr>
          <w:rStyle w:val="Style1Char"/>
          <w:color w:val="00B050"/>
          <w:rtl/>
        </w:rPr>
        <w:t xml:space="preserve">באומרת יקדשו ידי לעושיהם, דידים איתנהו בעולם. וכי קאמרה הכי מי מקדש? הא משעבדא ליה! דאמרה לכי מיגרשה. ומי איכא מידי, דאילו השתא לא קדיש ולקמיה קדיש? אמר רבי אלעאי: אלמה לא? אילו </w:t>
      </w:r>
      <w:r w:rsidR="00F42041">
        <w:rPr>
          <w:rStyle w:val="Style1Char"/>
          <w:rFonts w:hint="cs"/>
          <w:rtl/>
        </w:rPr>
        <w:t>(3)</w:t>
      </w:r>
      <w:r w:rsidRPr="005F123E">
        <w:rPr>
          <w:rStyle w:val="Style1Char"/>
          <w:color w:val="00B050"/>
          <w:rtl/>
        </w:rPr>
        <w:t xml:space="preserve">האומר לחבירו שדה זו שאני מוכר לך לכשאקחנה ממך תיקדש, מי לא קדשה? מתקיף לה רבי ירמיה: מי דמי? התם בידו להקדישה, הכא אין בידה לגרש את עצמה! הא לא דמיא אלא לאומר לחבירו </w:t>
      </w:r>
      <w:r w:rsidR="00575671">
        <w:rPr>
          <w:rStyle w:val="Style1Char"/>
          <w:rFonts w:hint="cs"/>
          <w:rtl/>
        </w:rPr>
        <w:t>(4)</w:t>
      </w:r>
      <w:r w:rsidRPr="005F123E">
        <w:rPr>
          <w:rStyle w:val="Style1Char"/>
          <w:color w:val="00B050"/>
          <w:rtl/>
        </w:rPr>
        <w:t xml:space="preserve">שדה זו שמכרתי לך לכשאקחנה ממך תיקדש, דלא קדשה. מתקיף לה רב פפא: מי דמי? התם גופא ופירות בידא דלוקח, הכא גופה בידה הוא! הא לא דמיא אלא </w:t>
      </w:r>
      <w:r w:rsidR="00FE7C08">
        <w:rPr>
          <w:rStyle w:val="Style1Char"/>
          <w:rFonts w:hint="cs"/>
          <w:rtl/>
        </w:rPr>
        <w:t>(3)</w:t>
      </w:r>
      <w:r w:rsidRPr="005F123E">
        <w:rPr>
          <w:rStyle w:val="Style1Char"/>
          <w:color w:val="00B050"/>
          <w:rtl/>
        </w:rPr>
        <w:t xml:space="preserve">לאומר לחבירו </w:t>
      </w:r>
    </w:p>
    <w:p w14:paraId="1D91F5B3" w14:textId="0E9E4B93" w:rsidR="00536616" w:rsidRDefault="00536616" w:rsidP="00536616">
      <w:pPr>
        <w:pStyle w:val="Style1"/>
        <w:rPr>
          <w:rStyle w:val="Style1Char"/>
          <w:rtl/>
        </w:rPr>
      </w:pPr>
      <w:r>
        <w:rPr>
          <w:rStyle w:val="Style1Char"/>
          <w:rFonts w:hint="cs"/>
          <w:rtl/>
        </w:rPr>
        <w:t>1)[</w:t>
      </w:r>
      <w:r w:rsidRPr="00536616">
        <w:rPr>
          <w:rStyle w:val="Style1Char"/>
          <w:rtl/>
        </w:rPr>
        <w:t>רמב</w:t>
      </w:r>
      <w:r w:rsidR="00EC109D">
        <w:rPr>
          <w:rStyle w:val="Style1Char"/>
          <w:rtl/>
        </w:rPr>
        <w:t>”ם \הפלאה\</w:t>
      </w:r>
      <w:r w:rsidRPr="00536616">
        <w:rPr>
          <w:rStyle w:val="Style1Char"/>
          <w:rtl/>
        </w:rPr>
        <w:t xml:space="preserve"> הלכות נדרים פרק יב הלכה י</w:t>
      </w:r>
      <w:r>
        <w:rPr>
          <w:rStyle w:val="Style1Char"/>
          <w:rFonts w:hint="cs"/>
          <w:rtl/>
        </w:rPr>
        <w:t xml:space="preserve">] </w:t>
      </w:r>
      <w:r w:rsidRPr="00536616">
        <w:rPr>
          <w:rStyle w:val="Style1Char"/>
          <w:rtl/>
        </w:rPr>
        <w:t>אמרה יקדשו ידי לעושיהן או שנדרה שלא יהנה במעשה ידיה אינו נאסר במעשה ידיה מפני שידיה משועבדין לו, שאע"פ שאמרו השחרור והחמץ וההקדש מפקיעין השעבוד חכמים עשו חזוק לשעבוד הבעל שאינה יכולה להפקיעו מפני שהוא מדבריהם, אבל צריך הוא להפר שמא יגרשנה ותהיה אסורה לחזור לו.</w:t>
      </w:r>
    </w:p>
    <w:p w14:paraId="1C5943F6" w14:textId="77777777" w:rsidR="00D84ABC" w:rsidRPr="00D84ABC" w:rsidRDefault="00713EE3" w:rsidP="00D84ABC">
      <w:pPr>
        <w:pStyle w:val="Style1"/>
      </w:pPr>
      <w:r>
        <w:rPr>
          <w:rStyle w:val="Style1Char"/>
          <w:rFonts w:hint="cs"/>
          <w:rtl/>
        </w:rPr>
        <w:t>1)[</w:t>
      </w:r>
      <w:r w:rsidRPr="00713EE3">
        <w:rPr>
          <w:rStyle w:val="Style1Char"/>
          <w:rtl/>
        </w:rPr>
        <w:t>שולחן ערוך יורה דעה הלכות נדרים סימן רלד סעיף עא</w:t>
      </w:r>
      <w:r>
        <w:rPr>
          <w:rStyle w:val="Style1Char"/>
          <w:rFonts w:hint="cs"/>
          <w:rtl/>
        </w:rPr>
        <w:t>]</w:t>
      </w:r>
      <w:r w:rsidR="00D84ABC">
        <w:rPr>
          <w:rStyle w:val="Style1Char"/>
          <w:rFonts w:hint="cs"/>
          <w:rtl/>
        </w:rPr>
        <w:t xml:space="preserve"> </w:t>
      </w:r>
      <w:r w:rsidR="00D84ABC" w:rsidRPr="00D84ABC">
        <w:rPr>
          <w:rtl/>
        </w:rPr>
        <w:t>אמרה קונם שאני עושה על פיך יפר אע"פ שהיא משועבדת לו שמא יגרשנה ואז יחול הנדר ולא יוכל להחזירה הלכך קרינן ביה השתא דברים שבינו לבינה</w:t>
      </w:r>
      <w:r w:rsidR="00D84ABC" w:rsidRPr="00D84ABC">
        <w:t>:</w:t>
      </w:r>
    </w:p>
    <w:p w14:paraId="2790FB67" w14:textId="31E1EA07" w:rsidR="00D84ABC" w:rsidRDefault="00D84ABC" w:rsidP="00D84ABC">
      <w:pPr>
        <w:pStyle w:val="Style1"/>
        <w:rPr>
          <w:rtl/>
        </w:rPr>
      </w:pPr>
      <w:r w:rsidRPr="00D84ABC">
        <w:rPr>
          <w:rFonts w:hint="cs"/>
          <w:rtl/>
        </w:rPr>
        <w:t>(ודוקא שאמרה יקדשו ידי לעושיהם) (בית יוסף וטור וש"ס ופוסקים ועיין </w:t>
      </w:r>
      <w:hyperlink r:id="rId125" w:tooltip="שולחן ערוך אבן העזר פא" w:history="1">
        <w:r w:rsidRPr="00D84ABC">
          <w:rPr>
            <w:rStyle w:val="Hyperlink"/>
            <w:rFonts w:hint="cs"/>
            <w:color w:val="7030A0"/>
            <w:u w:val="none"/>
            <w:rtl/>
          </w:rPr>
          <w:t>באבן העזר סי' פ"א</w:t>
        </w:r>
      </w:hyperlink>
      <w:r w:rsidRPr="00D84ABC">
        <w:rPr>
          <w:rFonts w:hint="cs"/>
        </w:rPr>
        <w:t>)</w:t>
      </w:r>
      <w:r w:rsidRPr="00D84ABC">
        <w:t>:</w:t>
      </w:r>
    </w:p>
    <w:p w14:paraId="60E9FAD1" w14:textId="064439D4" w:rsidR="00F42CAC" w:rsidRDefault="001831E4" w:rsidP="00F42CAC">
      <w:pPr>
        <w:pStyle w:val="Style1"/>
        <w:rPr>
          <w:rtl/>
        </w:rPr>
      </w:pPr>
      <w:r>
        <w:rPr>
          <w:rFonts w:hint="cs"/>
          <w:rtl/>
        </w:rPr>
        <w:t>1)[</w:t>
      </w:r>
      <w:r>
        <w:rPr>
          <w:rtl/>
        </w:rPr>
        <w:t>שולחן ערוך אבן העזר הלכות כתובות סימן פא סעיף ב</w:t>
      </w:r>
      <w:r>
        <w:rPr>
          <w:rFonts w:hint="cs"/>
          <w:rtl/>
        </w:rPr>
        <w:t>]</w:t>
      </w:r>
      <w:r w:rsidR="00F42CAC">
        <w:rPr>
          <w:rFonts w:hint="cs"/>
          <w:rtl/>
        </w:rPr>
        <w:t xml:space="preserve"> </w:t>
      </w:r>
      <w:r w:rsidR="00F42CAC" w:rsidRPr="00F42CAC">
        <w:rPr>
          <w:rtl/>
        </w:rPr>
        <w:t>האשה שאמרה</w:t>
      </w:r>
      <w:r w:rsidR="00F42CAC" w:rsidRPr="00F42CAC">
        <w:t>: "</w:t>
      </w:r>
      <w:r w:rsidR="00F42CAC" w:rsidRPr="00F42CAC">
        <w:rPr>
          <w:rtl/>
        </w:rPr>
        <w:t>יקדשו ידי לעושיהן</w:t>
      </w:r>
      <w:r w:rsidR="00F42CAC" w:rsidRPr="00F42CAC">
        <w:t xml:space="preserve">", </w:t>
      </w:r>
      <w:r w:rsidR="00F42CAC" w:rsidRPr="00F42CAC">
        <w:rPr>
          <w:rtl/>
        </w:rPr>
        <w:t>או שנדרה שלא יהנה ממעשה ידיה -- אינו נאסר במעשה ידיה, מפני שידיה משועבדים לו; אבל צריך הוא להפר לה, שמא יגרשנה ותהיה אסורה לחזור לו</w:t>
      </w:r>
      <w:r w:rsidR="00F42CAC" w:rsidRPr="00F42CAC">
        <w:t>.</w:t>
      </w:r>
    </w:p>
    <w:p w14:paraId="026B2FC8" w14:textId="6E295AB7" w:rsidR="006323B1" w:rsidRDefault="006323B1" w:rsidP="006323B1">
      <w:pPr>
        <w:pStyle w:val="Style1"/>
        <w:rPr>
          <w:rtl/>
        </w:rPr>
      </w:pPr>
      <w:r>
        <w:rPr>
          <w:rFonts w:hint="cs"/>
          <w:rtl/>
        </w:rPr>
        <w:t>2)[</w:t>
      </w:r>
      <w:r>
        <w:rPr>
          <w:rtl/>
        </w:rPr>
        <w:t>רמב</w:t>
      </w:r>
      <w:r w:rsidR="00EC109D">
        <w:rPr>
          <w:rtl/>
        </w:rPr>
        <w:t>”ם \הפלאה\</w:t>
      </w:r>
      <w:r>
        <w:rPr>
          <w:rtl/>
        </w:rPr>
        <w:t xml:space="preserve"> הלכות נדרים פרק יב הלכה ב</w:t>
      </w:r>
      <w:r>
        <w:rPr>
          <w:rFonts w:hint="cs"/>
          <w:rtl/>
        </w:rPr>
        <w:t xml:space="preserve">] </w:t>
      </w:r>
      <w:r>
        <w:rPr>
          <w:rtl/>
        </w:rPr>
        <w:t>ומה בין נדרים שיש בהן עינוי נפש לדברים שבינו לבינה, שהנדרים שיש בהן עינוי נפש מפר אל עצמו ואל אחרים, ושבינו לבינה לעצמו מפר ולאחרים אינו מפר.</w:t>
      </w:r>
    </w:p>
    <w:p w14:paraId="11C13F4A" w14:textId="150FF0EB" w:rsidR="00F42041" w:rsidRDefault="00F42041" w:rsidP="00F42041">
      <w:pPr>
        <w:pStyle w:val="Style1"/>
        <w:rPr>
          <w:rtl/>
        </w:rPr>
      </w:pPr>
      <w:r>
        <w:rPr>
          <w:rFonts w:hint="cs"/>
          <w:rtl/>
        </w:rPr>
        <w:t>3)[</w:t>
      </w:r>
      <w:r>
        <w:rPr>
          <w:rtl/>
        </w:rPr>
        <w:t>רמב</w:t>
      </w:r>
      <w:r w:rsidR="005258D6">
        <w:rPr>
          <w:rtl/>
        </w:rPr>
        <w:t>”ם \הפלאה\</w:t>
      </w:r>
      <w:r>
        <w:rPr>
          <w:rtl/>
        </w:rPr>
        <w:t xml:space="preserve"> הלכות ערכין וחרמין פרק ו הלכה כט</w:t>
      </w:r>
      <w:r>
        <w:rPr>
          <w:rFonts w:hint="cs"/>
          <w:rtl/>
        </w:rPr>
        <w:t xml:space="preserve">] </w:t>
      </w:r>
      <w:r>
        <w:rPr>
          <w:rtl/>
        </w:rPr>
        <w:t>האומר לחבירו שדה זו שאני מוכר לך לכשאקחנה ממך תתקדש הרי זו מקודשת כשיקחנה שהרי עתה (בא) בידו להקדישה, שדה זו שמשכנתי לך לכשאפדנה ממך תהי קדש, משיפדה אותה תתקדש שהרי בידו לפדותה, ואפילו היתה ממושכנת לזמן קצוב שהרי בידו לפדותה אחר הזמן.</w:t>
      </w:r>
    </w:p>
    <w:p w14:paraId="71926965" w14:textId="78606D58" w:rsidR="00643987" w:rsidRPr="00F42CAC" w:rsidRDefault="00643987" w:rsidP="00643987">
      <w:pPr>
        <w:pStyle w:val="Style1"/>
      </w:pPr>
      <w:r>
        <w:rPr>
          <w:rFonts w:hint="cs"/>
          <w:rtl/>
        </w:rPr>
        <w:t>4)[</w:t>
      </w:r>
      <w:r>
        <w:rPr>
          <w:rtl/>
        </w:rPr>
        <w:t>רמב</w:t>
      </w:r>
      <w:r w:rsidR="005258D6">
        <w:rPr>
          <w:rtl/>
        </w:rPr>
        <w:t>”ם \הפלאה\</w:t>
      </w:r>
      <w:r>
        <w:rPr>
          <w:rtl/>
        </w:rPr>
        <w:t xml:space="preserve"> הלכות ערכין וחרמין פרק ו הלכה כז</w:t>
      </w:r>
      <w:r>
        <w:rPr>
          <w:rFonts w:hint="cs"/>
          <w:rtl/>
        </w:rPr>
        <w:t xml:space="preserve">] </w:t>
      </w:r>
      <w:r>
        <w:rPr>
          <w:rtl/>
        </w:rPr>
        <w:t>האומר לחבירו שדה זו שמכרתי לך לכשאקחנה ממך מקודשת ולקחה אינה מקודשת, לפי שכשהקדישה לא באה ברשותו.</w:t>
      </w:r>
    </w:p>
    <w:p w14:paraId="42DBE948" w14:textId="7B01329B" w:rsidR="001831E4" w:rsidRPr="00D84ABC" w:rsidRDefault="001831E4" w:rsidP="001831E4">
      <w:pPr>
        <w:pStyle w:val="Style1"/>
      </w:pPr>
    </w:p>
    <w:p w14:paraId="44C44A40" w14:textId="00095964" w:rsidR="00713EE3" w:rsidRPr="00D84ABC" w:rsidRDefault="00713EE3" w:rsidP="00D84ABC">
      <w:pPr>
        <w:pStyle w:val="Style1"/>
        <w:rPr>
          <w:rStyle w:val="Style1Char"/>
        </w:rPr>
      </w:pPr>
    </w:p>
    <w:p w14:paraId="2DB0F08F" w14:textId="66922175" w:rsidR="00713EE3" w:rsidRPr="00536616" w:rsidRDefault="00713EE3" w:rsidP="00713EE3">
      <w:pPr>
        <w:pStyle w:val="Style1"/>
        <w:rPr>
          <w:rStyle w:val="Style1Char"/>
          <w:rtl/>
        </w:rPr>
      </w:pPr>
    </w:p>
    <w:p w14:paraId="59E631ED" w14:textId="77777777" w:rsidR="002C4635" w:rsidRPr="00C01A7C" w:rsidRDefault="002C4635" w:rsidP="002C4635">
      <w:pPr>
        <w:bidi/>
        <w:rPr>
          <w:rStyle w:val="Style1Char"/>
          <w:color w:val="00B050"/>
          <w:rtl/>
        </w:rPr>
      </w:pPr>
    </w:p>
    <w:p w14:paraId="6F1649CE" w14:textId="77777777" w:rsidR="002C4635" w:rsidRDefault="002C4635" w:rsidP="002C4635">
      <w:pPr>
        <w:rPr>
          <w:rStyle w:val="Style1Char"/>
          <w:color w:val="00B050"/>
          <w:rtl/>
        </w:rPr>
      </w:pPr>
      <w:r>
        <w:rPr>
          <w:rStyle w:val="Style1Char"/>
          <w:color w:val="00B050"/>
          <w:rtl/>
        </w:rPr>
        <w:br w:type="page"/>
      </w:r>
    </w:p>
    <w:p w14:paraId="451A5594" w14:textId="70B44E83" w:rsidR="002C4635" w:rsidRPr="005F123E" w:rsidRDefault="002C4635" w:rsidP="002C4635">
      <w:pPr>
        <w:bidi/>
        <w:rPr>
          <w:rStyle w:val="Style1Char"/>
          <w:color w:val="00B050"/>
        </w:rPr>
      </w:pPr>
      <w:r w:rsidRPr="003663A8">
        <w:rPr>
          <w:rStyle w:val="Style1Char"/>
          <w:color w:val="00B050"/>
          <w:sz w:val="22"/>
          <w:szCs w:val="22"/>
          <w:highlight w:val="yellow"/>
          <w:rtl/>
        </w:rPr>
        <w:lastRenderedPageBreak/>
        <w:t>[דף נט עמוד ב]</w:t>
      </w:r>
      <w:r w:rsidRPr="003663A8">
        <w:rPr>
          <w:rStyle w:val="Style1Char"/>
          <w:color w:val="00B050"/>
          <w:sz w:val="22"/>
          <w:szCs w:val="22"/>
          <w:rtl/>
        </w:rPr>
        <w:t xml:space="preserve"> </w:t>
      </w:r>
      <w:r w:rsidRPr="005F123E">
        <w:rPr>
          <w:rStyle w:val="Style1Char"/>
          <w:color w:val="00B050"/>
          <w:rtl/>
        </w:rPr>
        <w:t xml:space="preserve">שדה זו שמשכנתי לך לכשאפדנה ממך תיקדש, דקדשה. מתקיף לה רב שישא בריה דרב אידי: מי דמי? התם בידו לפדותה, הכא אין בידה לגרש עצמה! הא לא דמיא אלא לאומר לחבירו שדה זו שמשכנתי לך לעשר שנים לכשאפדנה ממך תיקדש, דקדשה. מתקיף לה רב אשי: מי דמי? התם לעשר שנים מיהא בידו לפדותה, הכי אין בידה לגרש עצמה לעולם! אלא </w:t>
      </w:r>
      <w:r w:rsidRPr="00DA33E3">
        <w:rPr>
          <w:rStyle w:val="Style1Char"/>
          <w:color w:val="ED7D31" w:themeColor="accent2"/>
          <w:sz w:val="22"/>
          <w:szCs w:val="22"/>
          <w:rtl/>
        </w:rPr>
        <w:t xml:space="preserve">אמר רב אשי: קונמות קא אמרת? שאני קונמות, דקדושת הגוף נינהו; וכדרבא, דאמר רבא: </w:t>
      </w:r>
      <w:r w:rsidR="00DD5888">
        <w:rPr>
          <w:rStyle w:val="Style1Char"/>
          <w:rFonts w:hint="cs"/>
          <w:rtl/>
        </w:rPr>
        <w:t>(1)</w:t>
      </w:r>
      <w:r w:rsidRPr="00DA33E3">
        <w:rPr>
          <w:rStyle w:val="Style1Char"/>
          <w:color w:val="ED7D31" w:themeColor="accent2"/>
          <w:sz w:val="22"/>
          <w:szCs w:val="22"/>
          <w:rtl/>
        </w:rPr>
        <w:t xml:space="preserve">הקדש, חמץ, </w:t>
      </w:r>
      <w:r w:rsidR="00DD5888">
        <w:rPr>
          <w:rStyle w:val="Style1Char"/>
          <w:rFonts w:hint="cs"/>
          <w:rtl/>
        </w:rPr>
        <w:t>(2)</w:t>
      </w:r>
      <w:r w:rsidRPr="00DA33E3">
        <w:rPr>
          <w:rStyle w:val="Style1Char"/>
          <w:color w:val="ED7D31" w:themeColor="accent2"/>
          <w:sz w:val="22"/>
          <w:szCs w:val="22"/>
          <w:rtl/>
        </w:rPr>
        <w:t>ושחרור - מפקיעין מידי שיעבוד</w:t>
      </w:r>
      <w:r w:rsidRPr="005F123E">
        <w:rPr>
          <w:rStyle w:val="Style1Char"/>
          <w:color w:val="00B050"/>
          <w:rtl/>
        </w:rPr>
        <w:t xml:space="preserve">. </w:t>
      </w:r>
      <w:r w:rsidRPr="00DA33E3">
        <w:rPr>
          <w:rStyle w:val="Style1Char"/>
          <w:color w:val="ED7D31" w:themeColor="accent2"/>
          <w:sz w:val="22"/>
          <w:szCs w:val="22"/>
          <w:rtl/>
        </w:rPr>
        <w:t>ונקדשו מהשתא! אלמוה רבנן לשיעבודיה דבעל</w:t>
      </w:r>
      <w:r w:rsidRPr="005F123E">
        <w:rPr>
          <w:rStyle w:val="Style1Char"/>
          <w:color w:val="00B050"/>
          <w:rtl/>
        </w:rPr>
        <w:t>, כי היכי דלא תיקדש מהשתא</w:t>
      </w:r>
      <w:r w:rsidRPr="00465CA4">
        <w:rPr>
          <w:rStyle w:val="Style1Char"/>
          <w:color w:val="4472C4" w:themeColor="accent1"/>
          <w:rtl/>
        </w:rPr>
        <w:t xml:space="preserve"> </w:t>
      </w:r>
      <w:r w:rsidRPr="00F24BFA">
        <w:rPr>
          <w:rStyle w:val="Style1Char"/>
          <w:color w:val="4472C4" w:themeColor="accent1"/>
          <w:rtl/>
        </w:rPr>
        <w:t>וא"ת א"כ על ידי קונם יפקיע אדם כל בעלי חובות לאסור עליהם אשר לו בקונם וי"ל שיכולים בעלי חובין ללוות מאחרים ויפרעו ממנו מדר' נתן אף על פי שיכול לאסור גם עליהם זה לא יעשה שיהא מודר הנאה לכל העולם. ותימה הא דפריך בריש המדיר לקמן (דף ע א) וכיון דמשועבד לה היכי מצי מדיר לה אמאי לא משני כשהדירה על ידי קונם ויש לומר דסברא הוא דכי היכי דאלמוה לשעבודא דבעל אלמוה נמי לשעבוד דאשה וכן נמי יש לומר בבעל חוב דמשום נעילת דלת אלמוה רבנן לשעבודיה שלא יוכל לאסור נכסיו על בעלי חובין אפילו בקונם</w:t>
      </w:r>
      <w:r w:rsidRPr="00F24BFA">
        <w:rPr>
          <w:rStyle w:val="Style1Char"/>
          <w:color w:val="4472C4" w:themeColor="accent1"/>
        </w:rPr>
        <w:t xml:space="preserve">: </w:t>
      </w:r>
      <w:r w:rsidRPr="005F123E">
        <w:rPr>
          <w:rStyle w:val="Style1Char"/>
          <w:color w:val="00B050"/>
          <w:rtl/>
        </w:rPr>
        <w:t xml:space="preserve">. </w:t>
      </w:r>
    </w:p>
    <w:p w14:paraId="1E51DE6B" w14:textId="0C98F8D5" w:rsidR="002C4635" w:rsidRDefault="002C4635" w:rsidP="002C4635">
      <w:pPr>
        <w:bidi/>
        <w:rPr>
          <w:rStyle w:val="Style1Char"/>
          <w:sz w:val="22"/>
          <w:szCs w:val="22"/>
          <w:rtl/>
        </w:rPr>
      </w:pPr>
      <w:r w:rsidRPr="00B55712">
        <w:rPr>
          <w:rStyle w:val="Style1Char"/>
          <w:color w:val="auto"/>
          <w:sz w:val="22"/>
          <w:szCs w:val="22"/>
          <w:rtl/>
        </w:rPr>
        <w:t xml:space="preserve">מתני'. </w:t>
      </w:r>
      <w:r w:rsidR="00E56FA0">
        <w:rPr>
          <w:rStyle w:val="Style1Char"/>
          <w:rFonts w:hint="cs"/>
          <w:rtl/>
        </w:rPr>
        <w:t>(3)</w:t>
      </w:r>
      <w:r w:rsidRPr="00B55712">
        <w:rPr>
          <w:rStyle w:val="Style1Char"/>
          <w:color w:val="auto"/>
          <w:sz w:val="22"/>
          <w:szCs w:val="22"/>
          <w:rtl/>
        </w:rPr>
        <w:t xml:space="preserve">ואלו מלאכות שהאשה עושה לבעלה: טוחנת, ואופה, ומכבסת, מבשלת, ומניקה את בנה, </w:t>
      </w:r>
      <w:r w:rsidR="00F821C3">
        <w:rPr>
          <w:rStyle w:val="Style1Char"/>
          <w:rFonts w:hint="cs"/>
          <w:rtl/>
        </w:rPr>
        <w:t>(4)</w:t>
      </w:r>
      <w:r w:rsidRPr="00B55712">
        <w:rPr>
          <w:rStyle w:val="Style1Char"/>
          <w:color w:val="auto"/>
          <w:sz w:val="22"/>
          <w:szCs w:val="22"/>
          <w:rtl/>
        </w:rPr>
        <w:t xml:space="preserve">מצעת לו המטה, </w:t>
      </w:r>
      <w:r w:rsidR="008C6F35">
        <w:rPr>
          <w:rStyle w:val="Style1Char"/>
          <w:rFonts w:hint="cs"/>
          <w:rtl/>
        </w:rPr>
        <w:t>(5)</w:t>
      </w:r>
      <w:r w:rsidRPr="00B55712">
        <w:rPr>
          <w:rStyle w:val="Style1Char"/>
          <w:color w:val="auto"/>
          <w:sz w:val="22"/>
          <w:szCs w:val="22"/>
          <w:rtl/>
        </w:rPr>
        <w:t xml:space="preserve">ועושה בצמר. </w:t>
      </w:r>
      <w:r w:rsidR="00E22A44">
        <w:rPr>
          <w:rStyle w:val="Style1Char"/>
          <w:rFonts w:hint="cs"/>
          <w:rtl/>
        </w:rPr>
        <w:t>(6)</w:t>
      </w:r>
      <w:r w:rsidRPr="00B55712">
        <w:rPr>
          <w:rStyle w:val="Style1Char"/>
          <w:color w:val="auto"/>
          <w:sz w:val="22"/>
          <w:szCs w:val="22"/>
          <w:rtl/>
        </w:rPr>
        <w:t xml:space="preserve">הכניסה לו שפחה אחת - לא טוחנת ולא אופה ולא מכבסת, </w:t>
      </w:r>
      <w:r w:rsidR="00AB1AD6">
        <w:rPr>
          <w:rStyle w:val="Style1Char"/>
          <w:rFonts w:hint="cs"/>
          <w:rtl/>
        </w:rPr>
        <w:t>(6.1, 7)</w:t>
      </w:r>
      <w:r w:rsidRPr="00B55712">
        <w:rPr>
          <w:rStyle w:val="Style1Char"/>
          <w:color w:val="auto"/>
          <w:sz w:val="22"/>
          <w:szCs w:val="22"/>
          <w:rtl/>
        </w:rPr>
        <w:t xml:space="preserve">שתים - אין מבשלת ואין מניקה את בנה, </w:t>
      </w:r>
      <w:r w:rsidR="00AB1AD6">
        <w:rPr>
          <w:rStyle w:val="Style1Char"/>
          <w:rFonts w:hint="cs"/>
          <w:rtl/>
        </w:rPr>
        <w:t xml:space="preserve">(6.1, </w:t>
      </w:r>
      <w:r w:rsidR="00D66D44">
        <w:rPr>
          <w:rStyle w:val="Style1Char"/>
          <w:rFonts w:hint="cs"/>
          <w:rtl/>
        </w:rPr>
        <w:t>7</w:t>
      </w:r>
      <w:r w:rsidR="00AB1AD6">
        <w:rPr>
          <w:rStyle w:val="Style1Char"/>
          <w:rFonts w:hint="cs"/>
          <w:rtl/>
        </w:rPr>
        <w:t>)</w:t>
      </w:r>
      <w:r w:rsidRPr="00B55712">
        <w:rPr>
          <w:rStyle w:val="Style1Char"/>
          <w:color w:val="auto"/>
          <w:sz w:val="22"/>
          <w:szCs w:val="22"/>
          <w:rtl/>
        </w:rPr>
        <w:t xml:space="preserve">שלש - אין מצעת לו המטה ואין עושה בצמר, ארבע - יושבת בקתדרא; רבי אליעזר אומר: </w:t>
      </w:r>
      <w:r w:rsidR="00D66D44">
        <w:rPr>
          <w:rStyle w:val="Style1Char"/>
          <w:rFonts w:hint="cs"/>
          <w:rtl/>
        </w:rPr>
        <w:t>(8)</w:t>
      </w:r>
      <w:r w:rsidRPr="00B55712">
        <w:rPr>
          <w:rStyle w:val="Style1Char"/>
          <w:color w:val="auto"/>
          <w:sz w:val="22"/>
          <w:szCs w:val="22"/>
          <w:rtl/>
        </w:rPr>
        <w:t>אפי' הכניסה לו מאה שפחות - כופה לעשות בצמר, שהבטלה מביאה לידי זימה</w:t>
      </w:r>
      <w:r w:rsidRPr="00B55712">
        <w:rPr>
          <w:rStyle w:val="Style1Char"/>
          <w:color w:val="4472C4" w:themeColor="accent1"/>
          <w:rtl/>
        </w:rPr>
        <w:t xml:space="preserve"> </w:t>
      </w:r>
      <w:r w:rsidRPr="00F24BFA">
        <w:rPr>
          <w:rStyle w:val="Style1Char"/>
          <w:color w:val="4472C4" w:themeColor="accent1"/>
          <w:rtl/>
        </w:rPr>
        <w:t>ירושלמי תני שבע גופי מלאכות מנו והשאר לא הוצרכו למנותן</w:t>
      </w:r>
      <w:r>
        <w:rPr>
          <w:rStyle w:val="Style1Char"/>
          <w:rFonts w:hint="cs"/>
          <w:color w:val="4472C4" w:themeColor="accent1"/>
        </w:rPr>
        <w:t>‍</w:t>
      </w:r>
      <w:r w:rsidRPr="00F24BFA">
        <w:rPr>
          <w:rStyle w:val="Style1Char"/>
          <w:color w:val="4472C4" w:themeColor="accent1"/>
        </w:rPr>
        <w:t>:</w:t>
      </w:r>
      <w:r w:rsidRPr="00B55712">
        <w:rPr>
          <w:rStyle w:val="Style1Char"/>
          <w:color w:val="auto"/>
          <w:sz w:val="22"/>
          <w:szCs w:val="22"/>
          <w:rtl/>
        </w:rPr>
        <w:t>.</w:t>
      </w:r>
      <w:r w:rsidRPr="00802D0A">
        <w:rPr>
          <w:rStyle w:val="Style1Char"/>
          <w:sz w:val="22"/>
          <w:szCs w:val="22"/>
          <w:rtl/>
        </w:rPr>
        <w:t xml:space="preserve"> רשב"ג אומר: </w:t>
      </w:r>
      <w:r w:rsidR="0042269A">
        <w:rPr>
          <w:rStyle w:val="Style1Char"/>
          <w:rFonts w:hint="cs"/>
          <w:rtl/>
        </w:rPr>
        <w:t>(9)</w:t>
      </w:r>
      <w:r w:rsidRPr="00802D0A">
        <w:rPr>
          <w:rStyle w:val="Style1Char"/>
          <w:sz w:val="22"/>
          <w:szCs w:val="22"/>
          <w:rtl/>
        </w:rPr>
        <w:t xml:space="preserve">אף המדיר את אשתו מלעשות מלאכה - יוציא ויתן כתובה, שהבטלה מביאה לידי שיעמום. </w:t>
      </w:r>
    </w:p>
    <w:p w14:paraId="45CE6592" w14:textId="0803B0B8" w:rsidR="002C4635" w:rsidRPr="005F123E" w:rsidRDefault="002C4635" w:rsidP="002C4635">
      <w:pPr>
        <w:bidi/>
        <w:rPr>
          <w:rStyle w:val="Style1Char"/>
          <w:color w:val="00B050"/>
        </w:rPr>
      </w:pPr>
      <w:r w:rsidRPr="009B38A2">
        <w:rPr>
          <w:rStyle w:val="Style1Char"/>
          <w:color w:val="auto"/>
          <w:sz w:val="22"/>
          <w:szCs w:val="22"/>
          <w:rtl/>
        </w:rPr>
        <w:t xml:space="preserve">גמ'. טוחנת ס"ד? אלא אימא: </w:t>
      </w:r>
      <w:r w:rsidR="000E6A56">
        <w:rPr>
          <w:rStyle w:val="Style1Char"/>
          <w:rFonts w:hint="cs"/>
          <w:rtl/>
        </w:rPr>
        <w:t>(3)</w:t>
      </w:r>
      <w:r w:rsidRPr="009B38A2">
        <w:rPr>
          <w:rStyle w:val="Style1Char"/>
          <w:color w:val="auto"/>
          <w:sz w:val="22"/>
          <w:szCs w:val="22"/>
          <w:rtl/>
        </w:rPr>
        <w:t xml:space="preserve">מטחנת. ואיבעית אימא: </w:t>
      </w:r>
      <w:r w:rsidR="00D07FA7">
        <w:rPr>
          <w:rStyle w:val="Style1Char"/>
          <w:rFonts w:hint="cs"/>
          <w:rtl/>
        </w:rPr>
        <w:t>(3)</w:t>
      </w:r>
      <w:r w:rsidRPr="009B38A2">
        <w:rPr>
          <w:rStyle w:val="Style1Char"/>
          <w:color w:val="auto"/>
          <w:sz w:val="22"/>
          <w:szCs w:val="22"/>
          <w:rtl/>
        </w:rPr>
        <w:t>בריחיא דידא</w:t>
      </w:r>
      <w:r w:rsidRPr="00FA44F5">
        <w:rPr>
          <w:rStyle w:val="Style1Char"/>
          <w:sz w:val="22"/>
          <w:szCs w:val="22"/>
          <w:rtl/>
        </w:rPr>
        <w:t>. מתני' דלא כר' חייא, דתני ר' חייא: אין אשה אלא ליופי, אין אשה אלא לבנים</w:t>
      </w:r>
      <w:r w:rsidRPr="00F0305B">
        <w:rPr>
          <w:rStyle w:val="Style1Char"/>
          <w:sz w:val="22"/>
          <w:szCs w:val="22"/>
          <w:rtl/>
        </w:rPr>
        <w:t>; ותני ר' חייא: אין אשה אלא</w:t>
      </w:r>
      <w:r w:rsidRPr="00F0305B">
        <w:rPr>
          <w:rStyle w:val="Style1Char"/>
          <w:rtl/>
        </w:rPr>
        <w:t xml:space="preserve"> </w:t>
      </w:r>
      <w:r w:rsidRPr="005F123E">
        <w:rPr>
          <w:rStyle w:val="Style1Char"/>
          <w:color w:val="00B050"/>
          <w:rtl/>
        </w:rPr>
        <w:t>לתכשיטי אשה</w:t>
      </w:r>
      <w:r w:rsidRPr="00F0305B">
        <w:rPr>
          <w:rStyle w:val="Style1Char"/>
          <w:color w:val="C00000"/>
          <w:rtl/>
        </w:rPr>
        <w:t xml:space="preserve"> </w:t>
      </w:r>
      <w:r w:rsidRPr="00F0305B">
        <w:rPr>
          <w:rStyle w:val="Style1Char"/>
          <w:color w:val="C00000"/>
          <w:sz w:val="22"/>
          <w:szCs w:val="22"/>
          <w:rtl/>
        </w:rPr>
        <w:t>לתכשיטיה</w:t>
      </w:r>
      <w:r w:rsidRPr="005F123E">
        <w:rPr>
          <w:rStyle w:val="Style1Char"/>
          <w:color w:val="00B050"/>
          <w:rtl/>
        </w:rPr>
        <w:t xml:space="preserve">; </w:t>
      </w:r>
      <w:r w:rsidRPr="00F0305B">
        <w:rPr>
          <w:rStyle w:val="Style1Char"/>
          <w:sz w:val="22"/>
          <w:szCs w:val="22"/>
          <w:rtl/>
        </w:rPr>
        <w:t>ותני ר' חייא: הרוצה שיעדן את אשתו - ילבישנה כלי פשתן, הרוצה שילבין את בתו - יאכילנה אפרוחים וישקנה חלב סמוך לפירקה.</w:t>
      </w:r>
      <w:r w:rsidRPr="005F123E">
        <w:rPr>
          <w:rStyle w:val="Style1Char"/>
          <w:color w:val="00B050"/>
          <w:rtl/>
        </w:rPr>
        <w:t xml:space="preserve"> </w:t>
      </w:r>
    </w:p>
    <w:p w14:paraId="1A1B5C72" w14:textId="513CAD77" w:rsidR="002C4635" w:rsidRPr="005F123E" w:rsidRDefault="002C4635" w:rsidP="002C4635">
      <w:pPr>
        <w:bidi/>
        <w:rPr>
          <w:rStyle w:val="Style1Char"/>
          <w:color w:val="00B050"/>
        </w:rPr>
      </w:pPr>
      <w:r w:rsidRPr="009B38A2">
        <w:rPr>
          <w:rStyle w:val="Style1Char"/>
          <w:color w:val="auto"/>
          <w:sz w:val="22"/>
          <w:szCs w:val="22"/>
          <w:rtl/>
        </w:rPr>
        <w:t>ומניקה את בנה</w:t>
      </w:r>
      <w:r w:rsidRPr="009B38A2">
        <w:rPr>
          <w:rStyle w:val="Style1Char"/>
          <w:color w:val="auto"/>
          <w:rtl/>
        </w:rPr>
        <w:t xml:space="preserve"> </w:t>
      </w:r>
      <w:r w:rsidRPr="009B38A2">
        <w:rPr>
          <w:rStyle w:val="Style1Char"/>
          <w:color w:val="806000" w:themeColor="accent4" w:themeShade="80"/>
          <w:sz w:val="22"/>
          <w:szCs w:val="22"/>
          <w:rtl/>
        </w:rPr>
        <w:t>ירושלמי אמר רבי חנינא לא אמרו אלא אחד אבל תאומים לא ולא בן חברתה:</w:t>
      </w:r>
      <w:r w:rsidRPr="006A4243">
        <w:rPr>
          <w:rStyle w:val="Style1Char"/>
          <w:color w:val="4472C4" w:themeColor="accent1"/>
          <w:rtl/>
        </w:rPr>
        <w:t xml:space="preserve"> </w:t>
      </w:r>
      <w:r w:rsidRPr="00F24BFA">
        <w:rPr>
          <w:rStyle w:val="Style1Char"/>
          <w:color w:val="4472C4" w:themeColor="accent1"/>
          <w:rtl/>
        </w:rPr>
        <w:t>כדקתני בירושלמי ואין הגירסא כך כמו שהביאה רב אלפס אלא הכי גרסינן א"ר חגי לא אמרו אלא בנה אבל תאומים לא ולמה אמרו בנה שלא תניק בן חברתה וה"פ הא תאומים לא בתמיה והלא יכולה להניק שניהם למה לא תניקם אלא ודאי חייבת להניק שניהם וא"כ למה אמרו בנה למעוטי בן חבירתה ואפילו הוא בן בעלה.</w:t>
      </w:r>
      <w:r w:rsidRPr="009B38A2">
        <w:rPr>
          <w:rStyle w:val="Style1Char"/>
          <w:color w:val="806000" w:themeColor="accent4" w:themeShade="80"/>
          <w:sz w:val="22"/>
          <w:szCs w:val="22"/>
          <w:rtl/>
        </w:rPr>
        <w:t xml:space="preserve">. </w:t>
      </w:r>
      <w:r w:rsidRPr="005F123E">
        <w:rPr>
          <w:rStyle w:val="Style1Char"/>
          <w:color w:val="00B050"/>
          <w:rtl/>
        </w:rPr>
        <w:t>לימא, מתניתין דלא כבית שמאי; דתניא</w:t>
      </w:r>
      <w:r w:rsidRPr="000F7E96">
        <w:rPr>
          <w:rStyle w:val="Style1Char"/>
          <w:color w:val="C00000"/>
          <w:rtl/>
        </w:rPr>
        <w:t xml:space="preserve"> </w:t>
      </w:r>
      <w:r w:rsidRPr="006A4243">
        <w:rPr>
          <w:rStyle w:val="Style1Char"/>
          <w:color w:val="806000" w:themeColor="accent4" w:themeShade="80"/>
          <w:sz w:val="22"/>
          <w:szCs w:val="22"/>
          <w:rtl/>
        </w:rPr>
        <w:t>ת"ר</w:t>
      </w:r>
      <w:r w:rsidRPr="000F7E96">
        <w:rPr>
          <w:rStyle w:val="Style1Char"/>
          <w:sz w:val="22"/>
          <w:szCs w:val="22"/>
          <w:rtl/>
        </w:rPr>
        <w:t xml:space="preserve">: </w:t>
      </w:r>
      <w:r w:rsidRPr="006A4243">
        <w:rPr>
          <w:rStyle w:val="Style1Char"/>
          <w:color w:val="auto"/>
          <w:sz w:val="22"/>
          <w:szCs w:val="22"/>
          <w:rtl/>
        </w:rPr>
        <w:t xml:space="preserve">נדרה שלא להניק את בנה, בש"א: שומטת דד מפיו, בה"א: </w:t>
      </w:r>
      <w:r w:rsidR="00B173C2">
        <w:rPr>
          <w:rStyle w:val="Style1Char"/>
          <w:rFonts w:hint="cs"/>
          <w:rtl/>
        </w:rPr>
        <w:t>(10)</w:t>
      </w:r>
      <w:r w:rsidRPr="006A4243">
        <w:rPr>
          <w:rStyle w:val="Style1Char"/>
          <w:color w:val="auto"/>
          <w:sz w:val="22"/>
          <w:szCs w:val="22"/>
          <w:rtl/>
        </w:rPr>
        <w:t xml:space="preserve">כופה ומניקתו, </w:t>
      </w:r>
      <w:r w:rsidR="006B5489">
        <w:rPr>
          <w:rStyle w:val="Style1Char"/>
          <w:rFonts w:hint="cs"/>
          <w:rtl/>
        </w:rPr>
        <w:t>(11)</w:t>
      </w:r>
      <w:r w:rsidRPr="006A4243">
        <w:rPr>
          <w:rStyle w:val="Style1Char"/>
          <w:color w:val="auto"/>
          <w:sz w:val="22"/>
          <w:szCs w:val="22"/>
          <w:rtl/>
        </w:rPr>
        <w:t xml:space="preserve">נתגרשה - אינו כופה, </w:t>
      </w:r>
      <w:r w:rsidR="006B5489">
        <w:rPr>
          <w:rStyle w:val="Style1Char"/>
          <w:rFonts w:hint="cs"/>
          <w:rtl/>
        </w:rPr>
        <w:t>(11)</w:t>
      </w:r>
      <w:r w:rsidRPr="006A4243">
        <w:rPr>
          <w:rStyle w:val="Style1Char"/>
          <w:color w:val="auto"/>
          <w:sz w:val="22"/>
          <w:szCs w:val="22"/>
          <w:rtl/>
        </w:rPr>
        <w:t>ואם היה מכירה - נותן לה שכרה וכופה ומניקתו, מפני הסכנה!</w:t>
      </w:r>
      <w:r w:rsidRPr="006A4243">
        <w:rPr>
          <w:rStyle w:val="Style1Char"/>
          <w:color w:val="auto"/>
          <w:rtl/>
        </w:rPr>
        <w:t xml:space="preserve"> </w:t>
      </w:r>
      <w:r w:rsidRPr="005F123E">
        <w:rPr>
          <w:rStyle w:val="Style1Char"/>
          <w:color w:val="00B050"/>
          <w:rtl/>
        </w:rPr>
        <w:t xml:space="preserve">אפי' תימא ב"ש, הכא במאי עסקינן, כגון שנדרה היא וקיים לה הוא, וקסברי ב"ש: הוא נותן אצבע בין שיניה, וב"ה סברי: היא נתנה אצבע בין שיניה. ונפלגו בכתובה בעלמא! ועוד תניא, בש"א: אינה מניקה! אלא מחוורתא, מתניתין דלא כב"ש. </w:t>
      </w:r>
    </w:p>
    <w:p w14:paraId="26B6430E" w14:textId="5C5ED7A1" w:rsidR="002C4635" w:rsidRDefault="002C4635" w:rsidP="002C4635">
      <w:pPr>
        <w:bidi/>
        <w:rPr>
          <w:rStyle w:val="Style1Char"/>
          <w:color w:val="00B050"/>
          <w:rtl/>
        </w:rPr>
      </w:pPr>
      <w:r w:rsidRPr="005F123E">
        <w:rPr>
          <w:rStyle w:val="Style1Char"/>
          <w:color w:val="00B050"/>
          <w:rtl/>
        </w:rPr>
        <w:t xml:space="preserve">אם היה מכירה. </w:t>
      </w:r>
    </w:p>
    <w:p w14:paraId="3D831148" w14:textId="5A9E147E" w:rsidR="0027661B" w:rsidRDefault="0027661B" w:rsidP="0027661B">
      <w:pPr>
        <w:pStyle w:val="Style1"/>
        <w:rPr>
          <w:rStyle w:val="Style1Char"/>
          <w:rtl/>
        </w:rPr>
      </w:pPr>
      <w:r>
        <w:rPr>
          <w:rStyle w:val="Style1Char"/>
          <w:rFonts w:hint="cs"/>
          <w:rtl/>
        </w:rPr>
        <w:t>1)[</w:t>
      </w:r>
      <w:r w:rsidRPr="0027661B">
        <w:rPr>
          <w:rStyle w:val="Style1Char"/>
          <w:rtl/>
        </w:rPr>
        <w:t>רמב</w:t>
      </w:r>
      <w:r w:rsidR="005258D6">
        <w:rPr>
          <w:rStyle w:val="Style1Char"/>
          <w:rtl/>
        </w:rPr>
        <w:t>”ם \הפלאה\</w:t>
      </w:r>
      <w:r w:rsidRPr="0027661B">
        <w:rPr>
          <w:rStyle w:val="Style1Char"/>
          <w:rtl/>
        </w:rPr>
        <w:t xml:space="preserve"> הלכות ערכין וחרמין פרק ז הלכה יד</w:t>
      </w:r>
      <w:r>
        <w:rPr>
          <w:rStyle w:val="Style1Char"/>
          <w:rFonts w:hint="cs"/>
          <w:rtl/>
        </w:rPr>
        <w:t xml:space="preserve">] </w:t>
      </w:r>
      <w:r w:rsidRPr="0027661B">
        <w:rPr>
          <w:rStyle w:val="Style1Char"/>
          <w:rtl/>
        </w:rPr>
        <w:t>המקדיש כל נכסיו והיתה עליו כתובת אשה או שטרי בעלי חובות, אין האשה יכולה לגבות כתובתה מן ההקדש ולא בעל חוב את חובו שההקדש מפקיע השעבוד שקדם, אבל כשימכור ההקדש הקרקע שלו ותצא השדה לחולין יש לבעל חוב ולאשה לגבות מן הפודה שהרי שעבודה עומד על קרקע זו. /השגת הראב"ד/ המקדיש כל נכסיו והיתה עליו וכו' מפקיע השעבוד. א"א איני סובר שהקדש זה מפקיע מידי השעבוד שהרי הפדיון אינו אלא כל דהו משום דרבי אבהו שלא יאמרו הקדש יוצא בלא פדיון ומשום הכי תנא במתני' הפודה פודה פירוש לישנא קלילא ואינו מפקיע אלא קדושת הגוף כגון הקדש קונמות או תפיסת המת כדאיתא בכתובות וביבמות.</w:t>
      </w:r>
    </w:p>
    <w:p w14:paraId="5DF9EDF2" w14:textId="3A6FC480" w:rsidR="007F3FCE" w:rsidRDefault="007F3FCE" w:rsidP="007F3FCE">
      <w:pPr>
        <w:pStyle w:val="Style1"/>
        <w:rPr>
          <w:rStyle w:val="Style1Char"/>
          <w:rtl/>
        </w:rPr>
      </w:pPr>
      <w:r>
        <w:rPr>
          <w:rStyle w:val="Style1Char"/>
          <w:rFonts w:hint="cs"/>
          <w:rtl/>
        </w:rPr>
        <w:t>1)[</w:t>
      </w:r>
      <w:r w:rsidRPr="007F3FCE">
        <w:rPr>
          <w:rStyle w:val="Style1Char"/>
          <w:rtl/>
        </w:rPr>
        <w:t>רמב</w:t>
      </w:r>
      <w:r w:rsidR="0057095E">
        <w:rPr>
          <w:rStyle w:val="Style1Char"/>
          <w:rtl/>
        </w:rPr>
        <w:t>”ם \משפטים\</w:t>
      </w:r>
      <w:r w:rsidRPr="007F3FCE">
        <w:rPr>
          <w:rStyle w:val="Style1Char"/>
          <w:rtl/>
        </w:rPr>
        <w:t xml:space="preserve"> הלכות מלוה ולוה פרק יח הלכה ו</w:t>
      </w:r>
      <w:r>
        <w:rPr>
          <w:rStyle w:val="Style1Char"/>
          <w:rFonts w:hint="cs"/>
          <w:rtl/>
        </w:rPr>
        <w:t xml:space="preserve">] </w:t>
      </w:r>
      <w:r w:rsidRPr="007F3FCE">
        <w:rPr>
          <w:rStyle w:val="Style1Char"/>
          <w:rtl/>
        </w:rPr>
        <w:t>עבד שעשאהו רבו אפותיקי ושחררו אף על פי שכתב לו לא יהיה לך פרעון אלא מזה יצא לחירות, וכן אם הקדישו שהחמץ והשחרור וההקדש מפקיעין מיד שיעבוד והרי ב"ח גובה חובו מן הלוה וכותב עליו שטר בחובו וטורף מזמן זה השטר, ולמה הוא חייב לשלם מפני שגורם לאבד ממון חבירו וכל הגורם להזיק משלם כמו שבארנו במקומו, וכופין את רבו השני לשחררו מפני תקון העולם שלא ימצאנו בשוק ויאמר לו עבדי אתה. /השגת הראב"ד/ עבד שעשאהו רבו אפותיקי וכו'. א"א הוא פוסק כרשב"ג והרב לא פסק כן עכ"ל.</w:t>
      </w:r>
    </w:p>
    <w:p w14:paraId="57B9FF12" w14:textId="59AC3867" w:rsidR="00805E12" w:rsidRDefault="00805E12" w:rsidP="00805E12">
      <w:pPr>
        <w:pStyle w:val="Style1"/>
        <w:rPr>
          <w:rStyle w:val="Style1Char"/>
          <w:rtl/>
        </w:rPr>
      </w:pPr>
      <w:r>
        <w:rPr>
          <w:rStyle w:val="Style1Char"/>
          <w:rFonts w:hint="cs"/>
          <w:rtl/>
        </w:rPr>
        <w:t>1)[</w:t>
      </w:r>
      <w:r w:rsidRPr="00805E12">
        <w:rPr>
          <w:rStyle w:val="Style1Char"/>
          <w:rtl/>
        </w:rPr>
        <w:t>רמב</w:t>
      </w:r>
      <w:r w:rsidR="0057095E">
        <w:rPr>
          <w:rStyle w:val="Style1Char"/>
          <w:rtl/>
        </w:rPr>
        <w:t>”ם \משפטים\</w:t>
      </w:r>
      <w:r w:rsidRPr="00805E12">
        <w:rPr>
          <w:rStyle w:val="Style1Char"/>
          <w:rtl/>
        </w:rPr>
        <w:t xml:space="preserve"> הלכות מלוה ולוה פרק יח הלכה ז</w:t>
      </w:r>
      <w:r>
        <w:rPr>
          <w:rStyle w:val="Style1Char"/>
          <w:rFonts w:hint="cs"/>
          <w:rtl/>
        </w:rPr>
        <w:t xml:space="preserve">] </w:t>
      </w:r>
      <w:r w:rsidRPr="00805E12">
        <w:rPr>
          <w:rStyle w:val="Style1Char"/>
          <w:rtl/>
        </w:rPr>
        <w:t>המקדיש נכסיו אין בעל חוב יכול לטרוף מן ההקדש שההקדש מפקיע השיעבוד וכשפודין הקרקע מיד ההקדש אומדין כמה אדם רוצה ליתן בשדה זו על מנת שיתן לבעל חוב את חובו ולאשה כתובתה, לפיכך לכשתפדה ותצא לחולין ביד הלוקח יבא בעל חוב ויטרוף אותה או האשה בכתובתה כמו שביארנו בערכין.</w:t>
      </w:r>
    </w:p>
    <w:p w14:paraId="5CC48E94" w14:textId="140CDF7A" w:rsidR="002E20FC" w:rsidRPr="002E20FC" w:rsidRDefault="005B5254" w:rsidP="002E20FC">
      <w:pPr>
        <w:pStyle w:val="Style1"/>
      </w:pPr>
      <w:r>
        <w:rPr>
          <w:rStyle w:val="Style1Char"/>
          <w:rFonts w:hint="cs"/>
          <w:rtl/>
        </w:rPr>
        <w:t>1)</w:t>
      </w:r>
      <w:r w:rsidRPr="005B5254">
        <w:rPr>
          <w:rStyle w:val="Style1Char"/>
          <w:rtl/>
        </w:rPr>
        <w:t>שולחן ערוך חושן משפט הלכות אפותיקי סימן קיז סעיף ז</w:t>
      </w:r>
      <w:r>
        <w:rPr>
          <w:rStyle w:val="Style1Char"/>
          <w:rFonts w:hint="cs"/>
          <w:rtl/>
        </w:rPr>
        <w:t>]</w:t>
      </w:r>
      <w:r w:rsidR="002E20FC">
        <w:rPr>
          <w:rStyle w:val="Style1Char"/>
        </w:rPr>
        <w:t xml:space="preserve"> </w:t>
      </w:r>
      <w:r w:rsidR="002E20FC" w:rsidRPr="002E20FC">
        <w:rPr>
          <w:rtl/>
        </w:rPr>
        <w:t>איסור הנאה מפקיע מידי שעבוד כמו קדושת הגוף בההוא אצטלא דפרסוה אמיתנא על דעת שיקבר עמו אין בעל חוב גובה ממנו</w:t>
      </w:r>
      <w:r w:rsidR="002E20FC" w:rsidRPr="002E20FC">
        <w:t>:</w:t>
      </w:r>
    </w:p>
    <w:p w14:paraId="7B9EA5EB" w14:textId="61A5FC8E" w:rsidR="002E20FC" w:rsidRDefault="002E20FC" w:rsidP="002E20FC">
      <w:pPr>
        <w:pStyle w:val="Style1"/>
      </w:pPr>
      <w:r w:rsidRPr="002E20FC">
        <w:rPr>
          <w:rFonts w:hint="cs"/>
          <w:rtl/>
        </w:rPr>
        <w:t>הגה: אבל קדושת דמים אינו מפקיע מידי שיעבודא אלא יפדנו המלוה בדבר מועט שלא יאמרו הקדש יוצא לחולין בלא פדיון ודמי הפדיון יוסיף על החוב ויגבנו מן הלוה (טור ס"ז) ואפי' בקדושת הגוף לא יכול לאסרן על המלוה לחוד לומר יהיו נכסי קונם עליו אלא א"כ אסרן על כל העולם (מרדכי פ' המדיר ופ' ג"פ בשם מהר"ם) ויש חולקין (ר"ן פ' אע"פ ונ"י פ' אלמנה שתי הדעות)</w:t>
      </w:r>
      <w:r w:rsidRPr="002E20FC">
        <w:t>:</w:t>
      </w:r>
    </w:p>
    <w:p w14:paraId="37D6C840" w14:textId="68B0A276" w:rsidR="001C40DF" w:rsidRDefault="00506941" w:rsidP="001C40DF">
      <w:pPr>
        <w:pStyle w:val="Style1"/>
      </w:pPr>
      <w:r>
        <w:rPr>
          <w:rFonts w:hint="cs"/>
          <w:rtl/>
        </w:rPr>
        <w:t>2)[</w:t>
      </w:r>
      <w:r w:rsidR="001C40DF">
        <w:rPr>
          <w:rtl/>
        </w:rPr>
        <w:t>רמב</w:t>
      </w:r>
      <w:r w:rsidR="005258D6">
        <w:rPr>
          <w:rtl/>
        </w:rPr>
        <w:t>”ם \קניין\</w:t>
      </w:r>
      <w:r w:rsidR="001C40DF">
        <w:rPr>
          <w:rtl/>
        </w:rPr>
        <w:t xml:space="preserve"> הלכות עבדים פרק ח הלכה טז</w:t>
      </w:r>
      <w:r w:rsidR="001C40DF">
        <w:t xml:space="preserve">[ </w:t>
      </w:r>
      <w:r w:rsidR="001C40DF">
        <w:rPr>
          <w:rtl/>
        </w:rPr>
        <w:t>עבד שעשאו רבו אפותיקי לבעל חובו ושחררו הרי זה משוחרר וכופין את בעל חובו לשחררו, גם זה מפני תיקון העולם שלא יפגע בו לאחר זמן ויאמר לו עבדי אתה.</w:t>
      </w:r>
    </w:p>
    <w:p w14:paraId="6AF6CE90" w14:textId="3AFE3F78" w:rsidR="00506941" w:rsidRDefault="00506941" w:rsidP="00506941">
      <w:pPr>
        <w:pStyle w:val="Style1"/>
        <w:rPr>
          <w:rtl/>
        </w:rPr>
      </w:pPr>
      <w:r>
        <w:rPr>
          <w:rFonts w:hint="cs"/>
          <w:rtl/>
        </w:rPr>
        <w:t>2)[</w:t>
      </w:r>
      <w:r>
        <w:rPr>
          <w:rtl/>
        </w:rPr>
        <w:t>שולחן ערוך חושן משפט הלכות אפותיקי סימן קיז סעיף ו</w:t>
      </w:r>
      <w:r>
        <w:rPr>
          <w:rFonts w:hint="cs"/>
          <w:rtl/>
        </w:rPr>
        <w:t>]</w:t>
      </w:r>
      <w:r w:rsidR="0079425A">
        <w:rPr>
          <w:rFonts w:hint="cs"/>
          <w:rtl/>
        </w:rPr>
        <w:t xml:space="preserve"> </w:t>
      </w:r>
      <w:r w:rsidR="0079425A" w:rsidRPr="0079425A">
        <w:rPr>
          <w:rtl/>
        </w:rPr>
        <w:t>עבד שעשאו רבו אפותיקי ושחררו אע"פ שכתב לו לא יהיה לך פרעון אלא מזה יצא לחירות ובעל חוב גובה חובו מהלוה וכותב עליו שטר וטורף מזמן זה השטר וכופין את רבו השני לשחררו מפני תיקון העול' שלא ימצאנו בשוק ויאמר לו עבדי אתה</w:t>
      </w:r>
      <w:r w:rsidR="0079425A" w:rsidRPr="0079425A">
        <w:t>:</w:t>
      </w:r>
    </w:p>
    <w:p w14:paraId="46D5C445" w14:textId="5A92AEA5" w:rsidR="00802901" w:rsidRDefault="00802901" w:rsidP="00802901">
      <w:pPr>
        <w:pStyle w:val="Style1"/>
        <w:rPr>
          <w:rtl/>
        </w:rPr>
      </w:pPr>
      <w:r>
        <w:rPr>
          <w:rFonts w:hint="cs"/>
          <w:rtl/>
        </w:rPr>
        <w:t>2)[</w:t>
      </w:r>
      <w:r>
        <w:rPr>
          <w:rtl/>
        </w:rPr>
        <w:t>שולחן ערוך יורה דעה הלכות עבדים סימן רסז סעיף סח</w:t>
      </w:r>
      <w:r>
        <w:rPr>
          <w:rFonts w:hint="cs"/>
          <w:rtl/>
        </w:rPr>
        <w:t xml:space="preserve">] </w:t>
      </w:r>
      <w:r>
        <w:rPr>
          <w:rtl/>
        </w:rPr>
        <w:t>עבד שעשאו רבו אפותיקי (פירוש אפה תהא קאי כלומר: לא יהיה לך פרעון אלא מזה) לבעל חובו ואחר כך שחררו, הפקיעו מידי שעבוד והרי הוא בן חורין, וצריך לשלם לבעל חובו, וכופין לבעל חובו שיכתוב לו גט שחרור.</w:t>
      </w:r>
    </w:p>
    <w:p w14:paraId="4842DBC3" w14:textId="64B923A3" w:rsidR="003973DB" w:rsidRDefault="003973DB" w:rsidP="003973DB">
      <w:pPr>
        <w:pStyle w:val="Style1"/>
        <w:rPr>
          <w:rtl/>
        </w:rPr>
      </w:pPr>
      <w:r>
        <w:rPr>
          <w:rFonts w:hint="cs"/>
          <w:rtl/>
        </w:rPr>
        <w:t>3)[</w:t>
      </w:r>
      <w:r>
        <w:rPr>
          <w:rtl/>
        </w:rPr>
        <w:t>רמב</w:t>
      </w:r>
      <w:r w:rsidR="00213DA1">
        <w:rPr>
          <w:rtl/>
        </w:rPr>
        <w:t>”ם \נשים\</w:t>
      </w:r>
      <w:r>
        <w:rPr>
          <w:rtl/>
        </w:rPr>
        <w:t xml:space="preserve"> הלכות אישות פרק כא הלכה ה</w:t>
      </w:r>
      <w:r>
        <w:rPr>
          <w:rFonts w:hint="cs"/>
          <w:rtl/>
        </w:rPr>
        <w:t xml:space="preserve">] </w:t>
      </w:r>
      <w:r>
        <w:rPr>
          <w:rtl/>
        </w:rPr>
        <w:t xml:space="preserve">יש מלאכות אחרות שהאשה עושה לבעלה בזמן שהן עניים ואלו הן: אופה את הפת בתנור, ועזרא תיקן שתהיה אשה משכמת ואופה כדי שתהיה הפת מצויה לעניים, ומבשלת את התבשילין ומכבסת את הבגדים, ומניקה את בנה, ונותנת תבן לפני בהמתו </w:t>
      </w:r>
      <w:r>
        <w:rPr>
          <w:rtl/>
        </w:rPr>
        <w:lastRenderedPageBreak/>
        <w:t>אבל לא לפני בקרו, ומטחנת, כיצד מטחנת יושבת ברחים ומשמרת את הקמח ואצה בטוחנת או מחמרת אחר הבהמה כדי שלא יבטלו הרחים, ואם היה דרכן לטחון ברחים של יד טוחנת.</w:t>
      </w:r>
    </w:p>
    <w:p w14:paraId="3B8DFE55" w14:textId="21503ECC" w:rsidR="00F45F9B" w:rsidRPr="00F45F9B" w:rsidRDefault="00F531EC" w:rsidP="00F45F9B">
      <w:pPr>
        <w:pStyle w:val="Style1"/>
      </w:pPr>
      <w:r>
        <w:rPr>
          <w:rFonts w:hint="cs"/>
          <w:rtl/>
        </w:rPr>
        <w:t>3)[</w:t>
      </w:r>
      <w:r>
        <w:rPr>
          <w:rtl/>
        </w:rPr>
        <w:t>שולחן ערוך אבן העזר הלכות כתובות סימן פ סעיף ו</w:t>
      </w:r>
      <w:r>
        <w:rPr>
          <w:rFonts w:hint="cs"/>
          <w:rtl/>
        </w:rPr>
        <w:t>]</w:t>
      </w:r>
      <w:r w:rsidR="00F45F9B">
        <w:rPr>
          <w:rFonts w:hint="cs"/>
          <w:rtl/>
        </w:rPr>
        <w:t xml:space="preserve"> </w:t>
      </w:r>
      <w:r w:rsidR="00F45F9B" w:rsidRPr="00F45F9B">
        <w:rPr>
          <w:rtl/>
        </w:rPr>
        <w:t>יש מלאכות שהאשה עושה לבעלה בזמן שהם עניים, ואלו הם: מטחנת, ואופה, ומכבסת, ומבשלת, ומיניקה את בנה, ונותנת תבן לפני בהמתו, אבל לא לפני בקרו</w:t>
      </w:r>
      <w:r w:rsidR="00F45F9B" w:rsidRPr="00F45F9B">
        <w:t>.</w:t>
      </w:r>
    </w:p>
    <w:p w14:paraId="5162C6FD" w14:textId="2D68D9D1" w:rsidR="00F45F9B" w:rsidRDefault="00F45F9B" w:rsidP="00F45F9B">
      <w:pPr>
        <w:pStyle w:val="Style1"/>
        <w:rPr>
          <w:rtl/>
        </w:rPr>
      </w:pPr>
      <w:r w:rsidRPr="00F45F9B">
        <w:rPr>
          <w:rFonts w:hint="cs"/>
          <w:rtl/>
        </w:rPr>
        <w:t>הגה: מת בנה, אינה מחויבת להניק בשכר וליתן לו השכר. וכן בנו מאשה אחרת, אינה מחויבת להניקו (הר"ן פרק אף על פי)</w:t>
      </w:r>
      <w:r w:rsidRPr="00F45F9B">
        <w:t>:</w:t>
      </w:r>
    </w:p>
    <w:p w14:paraId="2A78FDC5" w14:textId="63F4F29F" w:rsidR="0038010E" w:rsidRDefault="00A02C19" w:rsidP="00A02C19">
      <w:pPr>
        <w:pStyle w:val="Style1"/>
        <w:rPr>
          <w:rtl/>
        </w:rPr>
      </w:pPr>
      <w:r>
        <w:rPr>
          <w:rFonts w:hint="cs"/>
          <w:rtl/>
        </w:rPr>
        <w:t>4)[</w:t>
      </w:r>
      <w:r>
        <w:rPr>
          <w:rtl/>
        </w:rPr>
        <w:t>רמב</w:t>
      </w:r>
      <w:r w:rsidR="00213DA1">
        <w:rPr>
          <w:rtl/>
        </w:rPr>
        <w:t>”ם \נשים\</w:t>
      </w:r>
      <w:r>
        <w:rPr>
          <w:rtl/>
        </w:rPr>
        <w:t xml:space="preserve"> הלכות אישות פרק כא הלכה ג</w:t>
      </w:r>
      <w:r>
        <w:rPr>
          <w:rFonts w:hint="cs"/>
          <w:rtl/>
        </w:rPr>
        <w:t xml:space="preserve">] </w:t>
      </w:r>
      <w:r>
        <w:rPr>
          <w:rtl/>
        </w:rPr>
        <w:t>המדיר את אשתו שלא תעשה מלאכה כלל יוציא ויתן כתובה, שהבטלה מביאה לידי זמה. 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p>
    <w:p w14:paraId="43B0AE42" w14:textId="529BAF37" w:rsidR="009D33A8" w:rsidRPr="009D33A8" w:rsidRDefault="00335F22" w:rsidP="009D33A8">
      <w:pPr>
        <w:pStyle w:val="Style1"/>
      </w:pPr>
      <w:r>
        <w:rPr>
          <w:rFonts w:hint="cs"/>
          <w:rtl/>
        </w:rPr>
        <w:t>4)[</w:t>
      </w:r>
      <w:r>
        <w:rPr>
          <w:rtl/>
        </w:rPr>
        <w:t>שולחן ערוך אבן העזר הלכות כתובות סימן פ סעיף ד</w:t>
      </w:r>
      <w:r>
        <w:rPr>
          <w:rFonts w:hint="cs"/>
          <w:rtl/>
        </w:rPr>
        <w:t>]</w:t>
      </w:r>
      <w:r w:rsidR="009D33A8">
        <w:rPr>
          <w:rFonts w:hint="cs"/>
          <w:rtl/>
        </w:rPr>
        <w:t xml:space="preserve"> </w:t>
      </w:r>
      <w:r w:rsidR="009D33A8" w:rsidRPr="009D33A8">
        <w:rPr>
          <w:rtl/>
        </w:rPr>
        <w:t>וכן כל אשה רוחצת לבעלה פניו ידיו ורגליו, ומוזגת לו את הכוס, ומצעת לו את המיטה </w:t>
      </w:r>
      <w:r w:rsidR="009D33A8" w:rsidRPr="009D33A8">
        <w:rPr>
          <w:rFonts w:hint="cs"/>
          <w:rtl/>
        </w:rPr>
        <w:t>ויש אומרים דמחויבת להציע כל מטות הבית (המגיד משנה פרק כ"א ובהר"ן פרק אף על פי)</w:t>
      </w:r>
      <w:r w:rsidR="009D33A8" w:rsidRPr="009D33A8">
        <w:t xml:space="preserve">, </w:t>
      </w:r>
      <w:r w:rsidR="009D33A8" w:rsidRPr="009D33A8">
        <w:rPr>
          <w:rtl/>
        </w:rPr>
        <w:t>ועומדת ומשמשת בפני בעלה, כגון שתתן לו מים או כלי או שתיטול מלפניו, וכיוצא בדברים אלו</w:t>
      </w:r>
      <w:r w:rsidR="009D33A8" w:rsidRPr="009D33A8">
        <w:t>.</w:t>
      </w:r>
    </w:p>
    <w:p w14:paraId="6C19E248" w14:textId="0AA4F198" w:rsidR="009D33A8" w:rsidRDefault="009D33A8" w:rsidP="009D33A8">
      <w:pPr>
        <w:pStyle w:val="Style1"/>
        <w:rPr>
          <w:rtl/>
        </w:rPr>
      </w:pPr>
      <w:r w:rsidRPr="009D33A8">
        <w:rPr>
          <w:rtl/>
        </w:rPr>
        <w:t>אבל אינה עומדת ומשמשת בפני אביו או בפני בנו</w:t>
      </w:r>
      <w:r w:rsidRPr="009D33A8">
        <w:t>. </w:t>
      </w:r>
      <w:r w:rsidRPr="009D33A8">
        <w:rPr>
          <w:rFonts w:hint="cs"/>
          <w:rtl/>
        </w:rPr>
        <w:t>ויש אומרים דוקא באינן סמוכין על שלחן בעלה (בית יוסף בשם הר"ן פרק אף על פי)</w:t>
      </w:r>
      <w:r w:rsidRPr="009D33A8">
        <w:t>:</w:t>
      </w:r>
    </w:p>
    <w:p w14:paraId="74D4FDCD" w14:textId="4EA4211E" w:rsidR="00DF100A" w:rsidRDefault="00DF100A" w:rsidP="00DF100A">
      <w:pPr>
        <w:pStyle w:val="Style1"/>
        <w:rPr>
          <w:rtl/>
        </w:rPr>
      </w:pPr>
      <w:r>
        <w:rPr>
          <w:rFonts w:hint="cs"/>
          <w:rtl/>
        </w:rPr>
        <w:t>5)[</w:t>
      </w:r>
      <w:r>
        <w:rPr>
          <w:rtl/>
        </w:rPr>
        <w:t>רמב</w:t>
      </w:r>
      <w:r w:rsidR="00213DA1">
        <w:rPr>
          <w:rtl/>
        </w:rPr>
        <w:t>”ם \נשים\</w:t>
      </w:r>
      <w:r>
        <w:rPr>
          <w:rtl/>
        </w:rPr>
        <w:t xml:space="preserve"> הלכות אישות פרק כא הלכה א</w:t>
      </w:r>
      <w:r>
        <w:rPr>
          <w:rFonts w:hint="cs"/>
          <w:rtl/>
        </w:rPr>
        <w:t xml:space="preserve">] </w:t>
      </w:r>
      <w:r>
        <w:rPr>
          <w:rtl/>
        </w:rPr>
        <w:t xml:space="preserve">מציאת האשה ומעשה ידיה לבעלה,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 שהפשתן מזיק את הפה ואת השפתים, והטווי היא המלאכה המיוחדת לנשים שנאמר </w:t>
      </w:r>
      <w:r>
        <w:rPr>
          <w:rFonts w:hint="cs"/>
          <w:rtl/>
        </w:rPr>
        <w:t>(</w:t>
      </w:r>
      <w:r>
        <w:rPr>
          <w:rtl/>
        </w:rPr>
        <w:t>שמות ל"ה כה</w:t>
      </w:r>
      <w:r>
        <w:rPr>
          <w:rFonts w:hint="cs"/>
          <w:rtl/>
        </w:rPr>
        <w:t>)</w:t>
      </w:r>
      <w:r>
        <w:rPr>
          <w:rtl/>
        </w:rPr>
        <w:t xml:space="preserve"> וכל אשה חכמת לב בידיה טוו.</w:t>
      </w:r>
    </w:p>
    <w:p w14:paraId="4C998BFF" w14:textId="2531E29F" w:rsidR="00C12B80" w:rsidRPr="00C12B80" w:rsidRDefault="00C20B6A" w:rsidP="00C12B80">
      <w:pPr>
        <w:pStyle w:val="Style1"/>
      </w:pPr>
      <w:r>
        <w:rPr>
          <w:rFonts w:hint="cs"/>
          <w:rtl/>
        </w:rPr>
        <w:t>5)[</w:t>
      </w:r>
      <w:r>
        <w:rPr>
          <w:rtl/>
        </w:rPr>
        <w:t>שולחן ערוך אבן העזר הלכות כתובות סימן פ סעיף א</w:t>
      </w:r>
      <w:r>
        <w:rPr>
          <w:rFonts w:hint="cs"/>
          <w:rtl/>
        </w:rPr>
        <w:t>]</w:t>
      </w:r>
      <w:r w:rsidR="00C12B80">
        <w:rPr>
          <w:rFonts w:hint="cs"/>
          <w:rtl/>
        </w:rPr>
        <w:t xml:space="preserve"> </w:t>
      </w:r>
      <w:r w:rsidR="00C12B80" w:rsidRPr="00C12B80">
        <w:rPr>
          <w:rtl/>
        </w:rPr>
        <w:t>מעשה ידיה לבעלה, כיצד, הכל כמנהג המדינה; מקום שדרכן לארוג, אורגת; לרקם, רוקמת; לטוות צמר או פשתים, טווה; ואם לא היה דרך נשי העיר לעשות כל המלאכות האלו, אינו כופה אלא לטוות הצמר בלבד. דחקה עצמה ועשתה יותר מהראוי לה, המותר לבעל</w:t>
      </w:r>
      <w:r w:rsidR="00C12B80" w:rsidRPr="00C12B80">
        <w:t>.</w:t>
      </w:r>
    </w:p>
    <w:p w14:paraId="399C9E2A" w14:textId="4FAA5396" w:rsidR="00C12B80" w:rsidRDefault="00C12B80" w:rsidP="00C12B80">
      <w:pPr>
        <w:pStyle w:val="Style1"/>
        <w:rPr>
          <w:rtl/>
        </w:rPr>
      </w:pPr>
      <w:r w:rsidRPr="00C12B80">
        <w:rPr>
          <w:rFonts w:hint="cs"/>
          <w:rtl/>
        </w:rPr>
        <w:t>הגה: ודוקא שנותן לה מעה כסף כל שבוע, כמו שנתבאר לעיל </w:t>
      </w:r>
      <w:hyperlink r:id="rId126" w:tooltip="שולחן ערוך אבן העזר ע" w:history="1">
        <w:r w:rsidRPr="00C12B80">
          <w:rPr>
            <w:rStyle w:val="Hyperlink"/>
            <w:rFonts w:hint="cs"/>
            <w:color w:val="7030A0"/>
            <w:u w:val="none"/>
            <w:rtl/>
          </w:rPr>
          <w:t>סימן ע</w:t>
        </w:r>
        <w:r w:rsidRPr="00C12B80">
          <w:rPr>
            <w:rStyle w:val="Hyperlink"/>
            <w:rFonts w:hint="cs"/>
            <w:color w:val="7030A0"/>
            <w:u w:val="none"/>
          </w:rPr>
          <w:t>'</w:t>
        </w:r>
      </w:hyperlink>
      <w:r w:rsidRPr="00C12B80">
        <w:rPr>
          <w:rFonts w:hint="cs"/>
        </w:rPr>
        <w:t xml:space="preserve">. </w:t>
      </w:r>
      <w:r w:rsidRPr="00C12B80">
        <w:rPr>
          <w:rFonts w:hint="cs"/>
          <w:rtl/>
        </w:rPr>
        <w:t>ויכולה אשה לומר: איני נוטלת מעה כסף ואיני נותנת המותר. אבל הבעל לא יוכל לומר כן (טור בשם הרמ"ה, וכן כתב הר"ן פרק אף על פי, וכן כתב השאלתות פרשת משפטים)</w:t>
      </w:r>
      <w:r w:rsidRPr="00C12B80">
        <w:t>:</w:t>
      </w:r>
    </w:p>
    <w:p w14:paraId="54557FC0" w14:textId="7ED1CC47" w:rsidR="00EE4E33" w:rsidRDefault="00EE4E33" w:rsidP="00EE4E33">
      <w:pPr>
        <w:pStyle w:val="Style1"/>
        <w:rPr>
          <w:rtl/>
        </w:rPr>
      </w:pPr>
      <w:r>
        <w:rPr>
          <w:rFonts w:hint="cs"/>
          <w:rtl/>
        </w:rPr>
        <w:t>6)[</w:t>
      </w:r>
      <w:r>
        <w:rPr>
          <w:rtl/>
        </w:rPr>
        <w:t>רמב</w:t>
      </w:r>
      <w:r w:rsidR="00213DA1">
        <w:rPr>
          <w:rtl/>
        </w:rPr>
        <w:t>”ם \נשים\</w:t>
      </w:r>
      <w:r>
        <w:rPr>
          <w:rtl/>
        </w:rPr>
        <w:t xml:space="preserve"> הלכות אישות פרק כא הלכה ו</w:t>
      </w:r>
      <w:r>
        <w:rPr>
          <w:rFonts w:hint="cs"/>
          <w:rtl/>
        </w:rPr>
        <w:t xml:space="preserve">] </w:t>
      </w:r>
      <w:r>
        <w:rPr>
          <w:rtl/>
        </w:rPr>
        <w:t>במה דברים אמורים בעניים אבל אם הכניסה לו שפחה אחת או נכסים שראוין לקנות מהן שפחה אחת או שהיתה לו שפחה אחת או שהיה לו ממון כדי לקנות ממנו שפחה אחת אינה מטחנת ולא אופה ולא מכבסת ולא נותנת תבן לפני בהמתו. הכניסה לו שתי שפחות או נכסים הראויין לקנות מהן שתי שפחות או שהיו לו שתי שפחות או שהיה ראוי לקנות שתי שפחות אינה מבשלת ואינה מניקה את בנה אלא נותנת אותו לשפחה להניק.</w:t>
      </w:r>
    </w:p>
    <w:p w14:paraId="69E0FB0E" w14:textId="1280539D" w:rsidR="00EB4E11" w:rsidRDefault="00EB4E11" w:rsidP="00EB4E11">
      <w:pPr>
        <w:pStyle w:val="Style1"/>
        <w:rPr>
          <w:rtl/>
        </w:rPr>
      </w:pPr>
      <w:r>
        <w:rPr>
          <w:rFonts w:hint="cs"/>
          <w:rtl/>
        </w:rPr>
        <w:t>6)[</w:t>
      </w:r>
      <w:r>
        <w:rPr>
          <w:rtl/>
        </w:rPr>
        <w:t>שולחן ערוך אבן העזר הלכות כתובות סימן פ סעיף ז</w:t>
      </w:r>
      <w:r>
        <w:rPr>
          <w:rFonts w:hint="cs"/>
          <w:rtl/>
        </w:rPr>
        <w:t>]</w:t>
      </w:r>
      <w:r w:rsidR="00D04B6F">
        <w:rPr>
          <w:rFonts w:hint="cs"/>
          <w:rtl/>
        </w:rPr>
        <w:t xml:space="preserve"> </w:t>
      </w:r>
      <w:r w:rsidR="00D04B6F" w:rsidRPr="00D04B6F">
        <w:rPr>
          <w:rtl/>
        </w:rPr>
        <w:t>הכניסה לו שפחה אחת, או נכסים שראוי לקנות מהן שפחה אחת, או שהיה לו ממון כדי לקנות ממנו שפחה אחת, אינה מטחנת ולא אופה ולא מכבסת ולא נותנת תבן לפני בהמתו</w:t>
      </w:r>
      <w:r w:rsidR="00D04B6F" w:rsidRPr="00D04B6F">
        <w:t>:</w:t>
      </w:r>
    </w:p>
    <w:p w14:paraId="6517C7FC" w14:textId="054E3D21" w:rsidR="007D5342" w:rsidRPr="007D5342" w:rsidRDefault="008B0F74" w:rsidP="007D5342">
      <w:pPr>
        <w:pStyle w:val="Style1"/>
      </w:pPr>
      <w:r>
        <w:rPr>
          <w:rFonts w:hint="cs"/>
          <w:rtl/>
        </w:rPr>
        <w:t>7)[</w:t>
      </w:r>
      <w:r>
        <w:rPr>
          <w:rtl/>
        </w:rPr>
        <w:t>שולחן ערוך אבן העזר הלכות כתובות סימן פ סעיף ח</w:t>
      </w:r>
      <w:r>
        <w:rPr>
          <w:rFonts w:hint="cs"/>
          <w:rtl/>
        </w:rPr>
        <w:t>]</w:t>
      </w:r>
      <w:r w:rsidR="007D5342">
        <w:rPr>
          <w:rFonts w:hint="cs"/>
          <w:rtl/>
        </w:rPr>
        <w:t xml:space="preserve"> </w:t>
      </w:r>
      <w:r w:rsidR="007D5342" w:rsidRPr="007D5342">
        <w:rPr>
          <w:rtl/>
        </w:rPr>
        <w:t>הכניסה לו שתי שפחות, או נכסים הראויים לקנות מהם שתי שפחות, או שהיו לו שתי שפחות, או שהיה ראוי לקנות שתי שפחות, אינה מבשלת ואינה מיניקה את בנה</w:t>
      </w:r>
      <w:r w:rsidR="007D5342" w:rsidRPr="007D5342">
        <w:t>.</w:t>
      </w:r>
    </w:p>
    <w:p w14:paraId="5C5FEAC8" w14:textId="30290490" w:rsidR="007D5342" w:rsidRDefault="007D5342" w:rsidP="007D5342">
      <w:pPr>
        <w:pStyle w:val="Style1"/>
        <w:rPr>
          <w:rtl/>
        </w:rPr>
      </w:pPr>
      <w:r w:rsidRPr="007D5342">
        <w:rPr>
          <w:rFonts w:hint="cs"/>
          <w:rtl/>
        </w:rPr>
        <w:t>הגה: הכניסה לו שלש שפחות, או ממון, או שיש לו ממון שיכול לקנות או לשכר, אינה מצעת המטות, רק מטתו (הר"ן בשם יש מפרשים). יש אומרים דאף מטתו אינה מצעת, רק בפריסת סדינין, ומסדרת לו מטתו שהוא דרך חבה, וכל אשה תעשה זה אפילו יש לה כמה שפחות (טור)</w:t>
      </w:r>
      <w:r w:rsidRPr="007D5342">
        <w:t>:</w:t>
      </w:r>
    </w:p>
    <w:p w14:paraId="30A0DDE2" w14:textId="20F6F873" w:rsidR="003E30F4" w:rsidRDefault="003E30F4" w:rsidP="003E30F4">
      <w:pPr>
        <w:pStyle w:val="Style1"/>
        <w:rPr>
          <w:rtl/>
        </w:rPr>
      </w:pPr>
      <w:r>
        <w:rPr>
          <w:rFonts w:hint="cs"/>
          <w:rtl/>
        </w:rPr>
        <w:t>8)[</w:t>
      </w:r>
      <w:r>
        <w:rPr>
          <w:rtl/>
        </w:rPr>
        <w:t>רמב</w:t>
      </w:r>
      <w:r w:rsidR="00213DA1">
        <w:rPr>
          <w:rtl/>
        </w:rPr>
        <w:t>”ם \נשים\</w:t>
      </w:r>
      <w:r>
        <w:rPr>
          <w:rtl/>
        </w:rPr>
        <w:t xml:space="preserve"> הלכות אישות פרק כא הלכה ב</w:t>
      </w:r>
      <w:r>
        <w:rPr>
          <w:rFonts w:hint="cs"/>
          <w:rtl/>
        </w:rPr>
        <w:t xml:space="preserve">] </w:t>
      </w:r>
      <w:r>
        <w:rPr>
          <w:rtl/>
        </w:rPr>
        <w:t>דחקה עצמה ועשת יתר מן הראוי לה המותר לבעל. היה לו ולה ממון הרבה אפילו היו להן כמה שפחות אינה יושבת לבטלה בלא מלאכה שהבטלה מביאה לידי זמה, אבל אין כופין אותה לעשות מלאכה כל היום כולו אלא לפי רוב הממון ממעטת במלאכה.</w:t>
      </w:r>
    </w:p>
    <w:p w14:paraId="19FB89C1" w14:textId="38A4C752" w:rsidR="0025091F" w:rsidRDefault="0025091F" w:rsidP="00007120">
      <w:pPr>
        <w:pStyle w:val="Style1"/>
        <w:rPr>
          <w:rtl/>
        </w:rPr>
      </w:pPr>
      <w:r>
        <w:rPr>
          <w:rFonts w:hint="cs"/>
          <w:rtl/>
        </w:rPr>
        <w:t>8)[</w:t>
      </w:r>
      <w:r>
        <w:rPr>
          <w:rtl/>
        </w:rPr>
        <w:t>שולחן ערוך אבן העזר הלכות כתובות סימן פ סעיף ב</w:t>
      </w:r>
      <w:r>
        <w:rPr>
          <w:rFonts w:hint="cs"/>
          <w:rtl/>
        </w:rPr>
        <w:t>]</w:t>
      </w:r>
      <w:r w:rsidR="00007120">
        <w:rPr>
          <w:rFonts w:hint="cs"/>
          <w:rtl/>
        </w:rPr>
        <w:t xml:space="preserve"> </w:t>
      </w:r>
      <w:r w:rsidR="00007120" w:rsidRPr="00007120">
        <w:rPr>
          <w:rtl/>
        </w:rPr>
        <w:t>היה לו ממון הרבה, אפילו היה לה כמה שפחות, אינה יושבת לבטלה בלא מלאכה, שהבטלה מביאה לידי זימה; אבל אין כופין אותה לעשות מלאכה כל היום כולו, אלא לפי רוב הממון ממעטת במלאכה</w:t>
      </w:r>
      <w:r w:rsidR="00007120" w:rsidRPr="00007120">
        <w:t>:</w:t>
      </w:r>
    </w:p>
    <w:p w14:paraId="247F6317" w14:textId="28AA152C" w:rsidR="00436624" w:rsidRDefault="00436624" w:rsidP="00436624">
      <w:pPr>
        <w:pStyle w:val="Style1"/>
        <w:rPr>
          <w:rtl/>
        </w:rPr>
      </w:pPr>
      <w:r>
        <w:rPr>
          <w:rFonts w:hint="cs"/>
          <w:rtl/>
        </w:rPr>
        <w:t>9)[</w:t>
      </w:r>
      <w:r>
        <w:rPr>
          <w:rtl/>
        </w:rPr>
        <w:t>רמב</w:t>
      </w:r>
      <w:r w:rsidR="00213DA1">
        <w:rPr>
          <w:rtl/>
        </w:rPr>
        <w:t>”ם \נשים\</w:t>
      </w:r>
      <w:r>
        <w:rPr>
          <w:rtl/>
        </w:rPr>
        <w:t xml:space="preserve"> הלכות אישות פרק כא הלכה ג</w:t>
      </w:r>
      <w:r>
        <w:rPr>
          <w:rFonts w:hint="cs"/>
          <w:rtl/>
        </w:rPr>
        <w:t xml:space="preserve">] </w:t>
      </w:r>
      <w:r>
        <w:rPr>
          <w:rtl/>
        </w:rPr>
        <w:t>המדיר את אשתו שלא תעשה מלאכה כלל יוציא ויתן כתובה, שהבטלה מביאה לידי זמה. 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p>
    <w:p w14:paraId="7CFE1312" w14:textId="44AF8CC9" w:rsidR="004B115A" w:rsidRDefault="004B115A" w:rsidP="004B115A">
      <w:pPr>
        <w:pStyle w:val="Style1"/>
        <w:rPr>
          <w:rtl/>
        </w:rPr>
      </w:pPr>
      <w:r>
        <w:rPr>
          <w:rFonts w:hint="cs"/>
          <w:rtl/>
        </w:rPr>
        <w:t>9)[</w:t>
      </w:r>
      <w:r>
        <w:rPr>
          <w:rtl/>
        </w:rPr>
        <w:t>שולחן ערוך אבן העזר הלכות כתובות סימן פ סעיף ג</w:t>
      </w:r>
      <w:r>
        <w:rPr>
          <w:rFonts w:hint="cs"/>
          <w:rtl/>
        </w:rPr>
        <w:t xml:space="preserve">] </w:t>
      </w:r>
      <w:r>
        <w:rPr>
          <w:rtl/>
        </w:rPr>
        <w:t>המדיר את אשתו שלא תעשה מלאכה, יוציא ויתן כתובה, שהבטלה מביאה לידי זימה.</w:t>
      </w:r>
    </w:p>
    <w:p w14:paraId="1DB8E293" w14:textId="7937120F" w:rsidR="008825B8" w:rsidRDefault="008825B8" w:rsidP="008825B8">
      <w:pPr>
        <w:pStyle w:val="Style1"/>
        <w:rPr>
          <w:rtl/>
        </w:rPr>
      </w:pPr>
      <w:r>
        <w:rPr>
          <w:rFonts w:hint="cs"/>
          <w:rtl/>
        </w:rPr>
        <w:t>10)[</w:t>
      </w:r>
      <w:r>
        <w:rPr>
          <w:rtl/>
        </w:rPr>
        <w:t>רמב</w:t>
      </w:r>
      <w:r w:rsidR="00213DA1">
        <w:rPr>
          <w:rtl/>
        </w:rPr>
        <w:t>”ם \נשים\</w:t>
      </w:r>
      <w:r>
        <w:rPr>
          <w:rtl/>
        </w:rPr>
        <w:t xml:space="preserve"> הלכות אישות פרק כא הלכה יג</w:t>
      </w:r>
      <w:r>
        <w:rPr>
          <w:rFonts w:hint="cs"/>
          <w:rtl/>
        </w:rPr>
        <w:t xml:space="preserve">] </w:t>
      </w:r>
      <w:r>
        <w:rPr>
          <w:rtl/>
        </w:rPr>
        <w:t>נדרה שלא להניק את בנה כופה ומניקתו עד שיהיה בן עשרים וארבעה חדש אחד הזכר ואחד הנקבה. היא אומרת אני אניק את בני והוא אינו רוצה שתניק אשתו כדי שלא תתנוול אף על פי שיש לה כמה שפחות שומעין לה שצער הוא לה לפרוש מבנה.</w:t>
      </w:r>
    </w:p>
    <w:p w14:paraId="722D8553" w14:textId="01D5E91E" w:rsidR="00CD3B26" w:rsidRDefault="00CD3B26" w:rsidP="00CD3B26">
      <w:pPr>
        <w:pStyle w:val="Style1"/>
        <w:rPr>
          <w:rtl/>
        </w:rPr>
      </w:pPr>
      <w:r>
        <w:rPr>
          <w:rFonts w:hint="cs"/>
          <w:rtl/>
        </w:rPr>
        <w:t>10)[</w:t>
      </w:r>
      <w:r>
        <w:rPr>
          <w:rtl/>
        </w:rPr>
        <w:t>שולחן ערוך אבן העזר הלכות כתובות סימן פב סעיף א</w:t>
      </w:r>
      <w:r>
        <w:rPr>
          <w:rFonts w:hint="cs"/>
          <w:rtl/>
        </w:rPr>
        <w:t xml:space="preserve">] </w:t>
      </w:r>
      <w:r>
        <w:rPr>
          <w:rtl/>
        </w:rPr>
        <w:t>נדרה שלא להניק את בנה, כופין אותה ומניקתו עד שיהיה בן כ"ד חדש, אחד הזכר ואחד הנקבה.</w:t>
      </w:r>
    </w:p>
    <w:p w14:paraId="065CD069" w14:textId="77376A7A" w:rsidR="00A641BF" w:rsidRDefault="00A641BF" w:rsidP="00A641BF">
      <w:pPr>
        <w:pStyle w:val="Style1"/>
        <w:rPr>
          <w:rtl/>
        </w:rPr>
      </w:pPr>
      <w:r>
        <w:rPr>
          <w:rFonts w:hint="cs"/>
          <w:rtl/>
        </w:rPr>
        <w:t>11)[</w:t>
      </w:r>
      <w:r>
        <w:rPr>
          <w:rtl/>
        </w:rPr>
        <w:t>רמב</w:t>
      </w:r>
      <w:r w:rsidR="00213DA1">
        <w:rPr>
          <w:rtl/>
        </w:rPr>
        <w:t>”ם \נשים\</w:t>
      </w:r>
      <w:r>
        <w:rPr>
          <w:rtl/>
        </w:rPr>
        <w:t xml:space="preserve"> הלכות אישות פרק כא הלכה טז</w:t>
      </w:r>
      <w:r>
        <w:rPr>
          <w:rFonts w:hint="cs"/>
          <w:rtl/>
        </w:rPr>
        <w:t xml:space="preserve">] </w:t>
      </w:r>
      <w:r>
        <w:rPr>
          <w:rtl/>
        </w:rPr>
        <w:t>האשה שנתגרשה אין כופין אותה להניק, אלא אם רצת נותן לה שכרה ומניקתו ואם לא רצת נותנת לו את בנו והוא מטפל בו, במה דברים אמורים שלא הניקה אותו עד שהכירה, אבל אם הכירה ואפילו היה סומא אין מפרישין אותו מאמו מפני סכנת הולד אלא כופין אותה ומניקה אותו בשכר עד עשרים וארבעה חדש.</w:t>
      </w:r>
    </w:p>
    <w:p w14:paraId="0CFB541E" w14:textId="60637AEB" w:rsidR="009345B2" w:rsidRPr="009345B2" w:rsidRDefault="00C90169" w:rsidP="009345B2">
      <w:pPr>
        <w:pStyle w:val="Style1"/>
      </w:pPr>
      <w:r>
        <w:rPr>
          <w:rFonts w:hint="cs"/>
          <w:rtl/>
        </w:rPr>
        <w:t>11)[</w:t>
      </w:r>
      <w:r>
        <w:rPr>
          <w:rtl/>
        </w:rPr>
        <w:t>שולחן ערוך אבן העזר הלכות כתובות סימן פב סעיף ה</w:t>
      </w:r>
      <w:r>
        <w:rPr>
          <w:rFonts w:hint="cs"/>
          <w:rtl/>
        </w:rPr>
        <w:t>]</w:t>
      </w:r>
      <w:r w:rsidR="009345B2">
        <w:rPr>
          <w:rFonts w:hint="cs"/>
          <w:rtl/>
        </w:rPr>
        <w:t xml:space="preserve"> </w:t>
      </w:r>
      <w:r w:rsidR="009345B2" w:rsidRPr="009345B2">
        <w:rPr>
          <w:rtl/>
        </w:rPr>
        <w:t>האשה שנתגרשה, אין כופין אותה להניק את בנה, אלא אם רצתה, נותן לה שכרה ומיניקתו; ואם לא רצתה, נותנת לו את בנו והוא מטפל בו. במה דברים אמורים, שלא הניקה אותו עד שהכירה, אבל אם הכירה </w:t>
      </w:r>
      <w:r w:rsidR="009345B2" w:rsidRPr="009345B2">
        <w:rPr>
          <w:rFonts w:hint="cs"/>
          <w:rtl/>
        </w:rPr>
        <w:t>ואינו רוצה לינק מאחרת (טור)</w:t>
      </w:r>
      <w:r w:rsidR="009345B2" w:rsidRPr="009345B2">
        <w:t xml:space="preserve">, </w:t>
      </w:r>
      <w:r w:rsidR="009345B2" w:rsidRPr="009345B2">
        <w:rPr>
          <w:rtl/>
        </w:rPr>
        <w:t>אפלו הוא סומא, אין מפרישין אותו, מפני סכנת הולד, אלא כופין אותה ומיניקתו עד עשרים וארבעה חדש</w:t>
      </w:r>
      <w:r w:rsidR="009345B2" w:rsidRPr="009345B2">
        <w:t>.</w:t>
      </w:r>
    </w:p>
    <w:p w14:paraId="1408953A" w14:textId="1A8D2E8C" w:rsidR="002C4635" w:rsidRDefault="009345B2" w:rsidP="00E70894">
      <w:pPr>
        <w:pStyle w:val="Style1"/>
        <w:rPr>
          <w:rStyle w:val="Style1Char"/>
          <w:color w:val="00B050"/>
          <w:rtl/>
        </w:rPr>
      </w:pPr>
      <w:r w:rsidRPr="009345B2">
        <w:rPr>
          <w:rFonts w:hint="cs"/>
          <w:rtl/>
        </w:rPr>
        <w:t>הגה: והוא נותן לה שכר הנקה (טור). ויש אומרים דאפילו אשה אחרת, שהניקה ולד עד שמכירה, כופין אותה ומיניקתו בשכר, מפני סכנת הולד (הגהות אלפסי פרק אף על פי). ויש אומרים הא דגרושה אינה מחויבת להניק אם אינו מכירה, הינו כשמוצא מינקת אחרת ויש לו להשכיר, אבל אם אין לו, כופה אותה ומיניקתו (ר"י); אבל אם השכירה כבר עצמה לאחרים, ואותו ולד מכירה, אין דוחין אותו ולד מפני בנה, אלא בית דין משכירין לבנה מיניקה אחרת (הרא"ש כלל י"ז)</w:t>
      </w:r>
      <w:r w:rsidRPr="009345B2">
        <w:t>:</w:t>
      </w:r>
      <w:r w:rsidR="002C4635">
        <w:rPr>
          <w:rStyle w:val="Style1Char"/>
          <w:color w:val="00B050"/>
          <w:rtl/>
        </w:rPr>
        <w:br w:type="page"/>
      </w:r>
    </w:p>
    <w:p w14:paraId="28519A61" w14:textId="05E8B023" w:rsidR="002C4635" w:rsidRPr="00F24BFA" w:rsidRDefault="002C4635" w:rsidP="002C4635">
      <w:pPr>
        <w:bidi/>
        <w:rPr>
          <w:rStyle w:val="Style1Char"/>
          <w:color w:val="4472C4" w:themeColor="accent1"/>
        </w:rPr>
      </w:pPr>
      <w:r w:rsidRPr="003663A8">
        <w:rPr>
          <w:rStyle w:val="Style1Char"/>
          <w:color w:val="00B050"/>
          <w:sz w:val="22"/>
          <w:szCs w:val="22"/>
          <w:highlight w:val="yellow"/>
          <w:rtl/>
        </w:rPr>
        <w:lastRenderedPageBreak/>
        <w:t>[דף ס עמוד א]</w:t>
      </w:r>
      <w:r w:rsidRPr="003663A8">
        <w:rPr>
          <w:rStyle w:val="Style1Char"/>
          <w:color w:val="00B050"/>
          <w:sz w:val="22"/>
          <w:szCs w:val="22"/>
          <w:rtl/>
        </w:rPr>
        <w:t xml:space="preserve"> </w:t>
      </w:r>
      <w:r w:rsidRPr="005F123E">
        <w:rPr>
          <w:rStyle w:val="Style1Char"/>
          <w:color w:val="00B050"/>
          <w:rtl/>
        </w:rPr>
        <w:t>עד כמה</w:t>
      </w:r>
      <w:r w:rsidRPr="00966049">
        <w:rPr>
          <w:rStyle w:val="Style1Char"/>
          <w:color w:val="C00000"/>
          <w:rtl/>
        </w:rPr>
        <w:t xml:space="preserve"> </w:t>
      </w:r>
      <w:r w:rsidRPr="00BF31EB">
        <w:rPr>
          <w:rStyle w:val="Style1Char"/>
          <w:color w:val="806000" w:themeColor="accent4" w:themeShade="80"/>
          <w:sz w:val="22"/>
          <w:szCs w:val="22"/>
          <w:rtl/>
        </w:rPr>
        <w:t>בן כמה הוא מכירה</w:t>
      </w:r>
      <w:r w:rsidRPr="00966049">
        <w:rPr>
          <w:rStyle w:val="Style1Char"/>
          <w:sz w:val="22"/>
          <w:szCs w:val="22"/>
          <w:rtl/>
        </w:rPr>
        <w:t>?</w:t>
      </w:r>
      <w:r w:rsidRPr="005F123E">
        <w:rPr>
          <w:rStyle w:val="Style1Char"/>
          <w:color w:val="00B050"/>
          <w:rtl/>
        </w:rPr>
        <w:t xml:space="preserve"> אמר רבא </w:t>
      </w:r>
      <w:r w:rsidRPr="00BF31EB">
        <w:rPr>
          <w:rStyle w:val="Style1Char"/>
          <w:color w:val="auto"/>
          <w:sz w:val="22"/>
          <w:szCs w:val="22"/>
          <w:rtl/>
        </w:rPr>
        <w:t xml:space="preserve">אמר רב ירמיה </w:t>
      </w:r>
      <w:r w:rsidRPr="005F123E">
        <w:rPr>
          <w:rStyle w:val="Style1Char"/>
          <w:color w:val="00B050"/>
          <w:rtl/>
        </w:rPr>
        <w:t xml:space="preserve">בר אבא אמר רב: </w:t>
      </w:r>
      <w:r w:rsidRPr="00BF31EB">
        <w:rPr>
          <w:rStyle w:val="Style1Char"/>
          <w:color w:val="auto"/>
          <w:sz w:val="22"/>
          <w:szCs w:val="22"/>
          <w:rtl/>
        </w:rPr>
        <w:t>שלשה חדשים</w:t>
      </w:r>
      <w:r w:rsidRPr="005F123E">
        <w:rPr>
          <w:rStyle w:val="Style1Char"/>
          <w:color w:val="00B050"/>
          <w:rtl/>
        </w:rPr>
        <w:t xml:space="preserve">, ושמואל אמר: שלשים יום, </w:t>
      </w:r>
      <w:r w:rsidRPr="00BF31EB">
        <w:rPr>
          <w:rStyle w:val="Style1Char"/>
          <w:color w:val="auto"/>
          <w:sz w:val="22"/>
          <w:szCs w:val="22"/>
          <w:rtl/>
        </w:rPr>
        <w:t>ורבי יצחק אמר ר' יוחנן: חמשים יום. אמר רב שימי בר</w:t>
      </w:r>
      <w:r w:rsidRPr="00BF31EB">
        <w:rPr>
          <w:rStyle w:val="Style1Char"/>
          <w:color w:val="auto"/>
          <w:rtl/>
        </w:rPr>
        <w:t xml:space="preserve"> </w:t>
      </w:r>
      <w:r w:rsidRPr="005F123E">
        <w:rPr>
          <w:rStyle w:val="Style1Char"/>
          <w:color w:val="00B050"/>
          <w:rtl/>
        </w:rPr>
        <w:t>אביי</w:t>
      </w:r>
      <w:r w:rsidRPr="00A616B0">
        <w:rPr>
          <w:rStyle w:val="Style1Char"/>
          <w:color w:val="C00000"/>
          <w:rtl/>
        </w:rPr>
        <w:t xml:space="preserve"> </w:t>
      </w:r>
      <w:r w:rsidRPr="00470D9B">
        <w:rPr>
          <w:rStyle w:val="Style1Char"/>
          <w:color w:val="806000" w:themeColor="accent4" w:themeShade="80"/>
          <w:sz w:val="22"/>
          <w:szCs w:val="22"/>
          <w:rtl/>
        </w:rPr>
        <w:t>אשי</w:t>
      </w:r>
      <w:r w:rsidRPr="00A616B0">
        <w:rPr>
          <w:rStyle w:val="Style1Char"/>
          <w:sz w:val="22"/>
          <w:szCs w:val="22"/>
          <w:rtl/>
        </w:rPr>
        <w:t xml:space="preserve">: </w:t>
      </w:r>
      <w:r w:rsidRPr="00470D9B">
        <w:rPr>
          <w:rStyle w:val="Style1Char"/>
          <w:color w:val="auto"/>
          <w:sz w:val="22"/>
          <w:szCs w:val="22"/>
          <w:rtl/>
        </w:rPr>
        <w:t>הלכה כרבי יצחק שאמר משום רבי יוחנן.</w:t>
      </w:r>
      <w:r w:rsidRPr="00A616B0">
        <w:rPr>
          <w:rStyle w:val="Style1Char"/>
          <w:sz w:val="22"/>
          <w:szCs w:val="22"/>
          <w:rtl/>
        </w:rPr>
        <w:t xml:space="preserve"> </w:t>
      </w:r>
      <w:r w:rsidRPr="00F24BFA">
        <w:rPr>
          <w:rStyle w:val="Style1Char"/>
          <w:color w:val="4472C4" w:themeColor="accent1"/>
          <w:rtl/>
        </w:rPr>
        <w:t>פי' פחות מבן חמשים הוא בחזקת שאינו מכירה ולא בעי בדיקה ואפי' הוא נראה כאילו אינו רוצה לינק מאחרת אקראי בעלמא הוא ולבסוף הוא יונק ולא בעי בדיקה אבל בן חמשים אם אינו רוצה לינק בעי בדיקה אבל אם רוצה לינק מאחרת אפילו בן שנה אין כופה ואם אינו רוצה לינק מאחרת אפילו קטן הרבה כופה ומניקתו מפני הסכנה</w:t>
      </w:r>
      <w:r w:rsidR="00E70894">
        <w:rPr>
          <w:rStyle w:val="Style1Char"/>
          <w:rFonts w:hint="cs"/>
          <w:color w:val="4472C4" w:themeColor="accent1"/>
          <w:rtl/>
        </w:rPr>
        <w:t xml:space="preserve"> </w:t>
      </w:r>
      <w:r w:rsidRPr="005F123E">
        <w:rPr>
          <w:rStyle w:val="Style1Char"/>
          <w:color w:val="00B050"/>
          <w:rtl/>
        </w:rPr>
        <w:t xml:space="preserve">בשלמא רב ורבי יוחנן, כל חד וחד כי חורפיה, אלא לשמואל, כי האי גוונא מי משכחת לה? כי אתא רמי בר יחזקאל אמר: לא תציתינהו להני כללי דכייל יהודה אחי משמיה דשמואל, הכי אמר שמואל: </w:t>
      </w:r>
      <w:r w:rsidR="00951FB6">
        <w:rPr>
          <w:rStyle w:val="Style1Char"/>
          <w:rFonts w:hint="cs"/>
          <w:rtl/>
        </w:rPr>
        <w:t>(1)</w:t>
      </w:r>
      <w:r w:rsidRPr="005F123E">
        <w:rPr>
          <w:rStyle w:val="Style1Char"/>
          <w:color w:val="00B050"/>
          <w:rtl/>
        </w:rPr>
        <w:t xml:space="preserve">כל זמן שמכירה. </w:t>
      </w:r>
      <w:r w:rsidRPr="00173316">
        <w:rPr>
          <w:rStyle w:val="Style1Char"/>
          <w:color w:val="auto"/>
          <w:sz w:val="22"/>
          <w:szCs w:val="22"/>
          <w:rtl/>
        </w:rPr>
        <w:t>ההיא דאתאי לקמיה דשמואל, אמר ליה לרב דימי בר יוסף: זיל בדקה. אזל אותבה בדרי דנשי, ושקליה לברה וקמהדר ליה עלייהו, כי מטא לגבה הות קא מסוי לאפה, כבשתנהי לעינה מיניה, אמר לה: נטף עיניך, קום דרי בריך</w:t>
      </w:r>
      <w:r w:rsidRPr="007D4D8A">
        <w:rPr>
          <w:rStyle w:val="Style1Char"/>
          <w:sz w:val="22"/>
          <w:szCs w:val="22"/>
          <w:rtl/>
        </w:rPr>
        <w:t xml:space="preserve">. </w:t>
      </w:r>
      <w:r w:rsidR="00A85A39">
        <w:rPr>
          <w:rStyle w:val="Style1Char"/>
          <w:rFonts w:hint="cs"/>
          <w:rtl/>
        </w:rPr>
        <w:t>(1)</w:t>
      </w:r>
      <w:r w:rsidRPr="00CC0A07">
        <w:rPr>
          <w:rStyle w:val="Style1Char"/>
          <w:color w:val="auto"/>
          <w:sz w:val="22"/>
          <w:szCs w:val="22"/>
          <w:rtl/>
        </w:rPr>
        <w:t>סומא מנא ידע? אמר רב אשי: בריחא ובטעמא</w:t>
      </w:r>
      <w:r w:rsidRPr="005F123E">
        <w:rPr>
          <w:rStyle w:val="Style1Char"/>
          <w:color w:val="00B050"/>
          <w:rtl/>
        </w:rPr>
        <w:t xml:space="preserve">. </w:t>
      </w:r>
      <w:r w:rsidRPr="002E0DE3">
        <w:rPr>
          <w:rStyle w:val="Style1Char"/>
          <w:color w:val="auto"/>
          <w:sz w:val="22"/>
          <w:szCs w:val="22"/>
          <w:rtl/>
        </w:rPr>
        <w:t xml:space="preserve">תנו רבנן: יונק תינוק והולך עד עשרים וארבעה חדש, מכאן ואילך כיונק שקץ, דברי רבי אליעזר; רבי יהושע אומר: </w:t>
      </w:r>
      <w:r w:rsidR="009C1E9A">
        <w:rPr>
          <w:rStyle w:val="Style1Char"/>
          <w:rFonts w:hint="cs"/>
          <w:rtl/>
        </w:rPr>
        <w:t>(2)</w:t>
      </w:r>
      <w:r w:rsidRPr="002E0DE3">
        <w:rPr>
          <w:rStyle w:val="Style1Char"/>
          <w:color w:val="auto"/>
          <w:sz w:val="22"/>
          <w:szCs w:val="22"/>
          <w:rtl/>
        </w:rPr>
        <w:t>אפילו ארבע וחמש שנים</w:t>
      </w:r>
      <w:r w:rsidRPr="00B17026">
        <w:rPr>
          <w:rStyle w:val="Style1Char"/>
          <w:color w:val="4472C4" w:themeColor="accent1"/>
          <w:rtl/>
        </w:rPr>
        <w:t xml:space="preserve"> </w:t>
      </w:r>
      <w:r w:rsidRPr="00F24BFA">
        <w:rPr>
          <w:rStyle w:val="Style1Char"/>
          <w:color w:val="4472C4" w:themeColor="accent1"/>
          <w:rtl/>
        </w:rPr>
        <w:t>פירוש ד' לבריא וה' לכחוש מכאן ואילך כיונק שקץ</w:t>
      </w:r>
      <w:r w:rsidRPr="002E0DE3">
        <w:rPr>
          <w:rStyle w:val="Style1Char"/>
          <w:color w:val="auto"/>
          <w:sz w:val="22"/>
          <w:szCs w:val="22"/>
          <w:rtl/>
        </w:rPr>
        <w:t xml:space="preserve">, פירש לאחר עשרים וארבעה חדש וחזר - </w:t>
      </w:r>
      <w:r w:rsidRPr="00F24BFA">
        <w:rPr>
          <w:rStyle w:val="Style1Char"/>
          <w:color w:val="4472C4" w:themeColor="accent1"/>
          <w:rtl/>
        </w:rPr>
        <w:t xml:space="preserve">הרי זה </w:t>
      </w:r>
      <w:r w:rsidRPr="002E0DE3">
        <w:rPr>
          <w:rStyle w:val="Style1Char"/>
          <w:color w:val="auto"/>
          <w:sz w:val="22"/>
          <w:szCs w:val="22"/>
          <w:rtl/>
        </w:rPr>
        <w:t>כיונק שקץ.</w:t>
      </w:r>
      <w:r w:rsidRPr="00690A4B">
        <w:rPr>
          <w:rStyle w:val="Style1Char"/>
          <w:color w:val="4472C4" w:themeColor="accent1"/>
          <w:rtl/>
        </w:rPr>
        <w:t xml:space="preserve"> </w:t>
      </w:r>
    </w:p>
    <w:p w14:paraId="4D59C166" w14:textId="31FFCA3A" w:rsidR="002C4635" w:rsidRDefault="002C4635" w:rsidP="002C4635">
      <w:pPr>
        <w:bidi/>
        <w:rPr>
          <w:rStyle w:val="Style1Char"/>
          <w:color w:val="4472C4" w:themeColor="accent1"/>
          <w:rtl/>
        </w:rPr>
      </w:pPr>
      <w:r w:rsidRPr="005F123E">
        <w:rPr>
          <w:rStyle w:val="Style1Char"/>
          <w:color w:val="00B050"/>
          <w:rtl/>
        </w:rPr>
        <w:t xml:space="preserve"> אמר מר: מכאן ואילך כיונק שקץ. ורמינהי: יכול יהא חלב מהלכי שתים טמא? ודין הוא: ומה בהמה שהקלת במגעה החמרת בחלבה, אדם שהחמרת במגעו אינו דין שתחמיר בחלבו! תלמוד לומר: את הגמל כי מעלה גרה הוא, הוא טמא, ואין חלב מהלכי שתים טמא אלא טהור; יכול אוציא את החלב שאינו שוה בכל, ולא אוציא את הדם שהוא שוה בכל? תלמוד לומר: הוא, הוא טמא, ואין דם מהלכי שתים טמא אלא טהור; ואמר רב ששת: אפילו מצות פרישה אין בו! לא קשיא: </w:t>
      </w:r>
      <w:r w:rsidR="004661DA">
        <w:rPr>
          <w:rStyle w:val="Style1Char"/>
          <w:rFonts w:hint="cs"/>
          <w:rtl/>
        </w:rPr>
        <w:t>(</w:t>
      </w:r>
      <w:r w:rsidR="00B00159">
        <w:rPr>
          <w:rStyle w:val="Style1Char"/>
          <w:rFonts w:hint="cs"/>
          <w:rtl/>
        </w:rPr>
        <w:t>2</w:t>
      </w:r>
      <w:r w:rsidR="004661DA">
        <w:rPr>
          <w:rStyle w:val="Style1Char"/>
          <w:rFonts w:hint="cs"/>
          <w:rtl/>
        </w:rPr>
        <w:t>)</w:t>
      </w:r>
      <w:r w:rsidRPr="005F123E">
        <w:rPr>
          <w:rStyle w:val="Style1Char"/>
          <w:color w:val="00B050"/>
          <w:rtl/>
        </w:rPr>
        <w:t xml:space="preserve">הא דפריש, הא דלא פריש. </w:t>
      </w:r>
      <w:r w:rsidR="00DB1DD7">
        <w:rPr>
          <w:rStyle w:val="Style1Char"/>
          <w:rFonts w:hint="cs"/>
          <w:rtl/>
        </w:rPr>
        <w:t>(</w:t>
      </w:r>
      <w:r w:rsidR="00B00159">
        <w:rPr>
          <w:rStyle w:val="Style1Char"/>
          <w:rFonts w:hint="cs"/>
          <w:rtl/>
        </w:rPr>
        <w:t>3</w:t>
      </w:r>
      <w:r w:rsidR="00DB1DD7">
        <w:rPr>
          <w:rStyle w:val="Style1Char"/>
          <w:rFonts w:hint="cs"/>
          <w:rtl/>
        </w:rPr>
        <w:t>)</w:t>
      </w:r>
      <w:r w:rsidRPr="005F123E">
        <w:rPr>
          <w:rStyle w:val="Style1Char"/>
          <w:color w:val="00B050"/>
          <w:rtl/>
        </w:rPr>
        <w:t>וחלופא בדם; כד</w:t>
      </w:r>
      <w:r w:rsidRPr="004940A0">
        <w:rPr>
          <w:rStyle w:val="Style1Char"/>
          <w:color w:val="auto"/>
          <w:sz w:val="22"/>
          <w:szCs w:val="22"/>
          <w:rtl/>
        </w:rPr>
        <w:t>תניא:</w:t>
      </w:r>
      <w:r w:rsidRPr="00603473">
        <w:rPr>
          <w:rStyle w:val="Style1Char"/>
          <w:sz w:val="22"/>
          <w:szCs w:val="22"/>
          <w:rtl/>
        </w:rPr>
        <w:t xml:space="preserve"> </w:t>
      </w:r>
      <w:r w:rsidR="00FE068B">
        <w:rPr>
          <w:rStyle w:val="Style1Char"/>
          <w:rFonts w:hint="cs"/>
          <w:rtl/>
        </w:rPr>
        <w:t>(</w:t>
      </w:r>
      <w:r w:rsidR="00B00159">
        <w:rPr>
          <w:rStyle w:val="Style1Char"/>
          <w:rFonts w:hint="cs"/>
          <w:rtl/>
        </w:rPr>
        <w:t>3</w:t>
      </w:r>
      <w:r w:rsidR="00FE068B">
        <w:rPr>
          <w:rStyle w:val="Style1Char"/>
          <w:rFonts w:hint="cs"/>
          <w:rtl/>
        </w:rPr>
        <w:t>)</w:t>
      </w:r>
      <w:r w:rsidRPr="004940A0">
        <w:rPr>
          <w:rStyle w:val="Style1Char"/>
          <w:color w:val="auto"/>
          <w:sz w:val="22"/>
          <w:szCs w:val="22"/>
          <w:rtl/>
        </w:rPr>
        <w:t>דם שעל גבי ככר - גוררו ואוכלו</w:t>
      </w:r>
      <w:r w:rsidRPr="00F84E98">
        <w:rPr>
          <w:rStyle w:val="Style1Char"/>
          <w:color w:val="4472C4" w:themeColor="accent1"/>
          <w:rtl/>
        </w:rPr>
        <w:t xml:space="preserve"> </w:t>
      </w:r>
      <w:r w:rsidRPr="00F24BFA">
        <w:rPr>
          <w:rStyle w:val="Style1Char"/>
          <w:color w:val="4472C4" w:themeColor="accent1"/>
          <w:rtl/>
        </w:rPr>
        <w:t>משום דאתי לאיחלופי בדם אחר כיון שפירש</w:t>
      </w:r>
      <w:r w:rsidRPr="004940A0">
        <w:rPr>
          <w:rStyle w:val="Style1Char"/>
          <w:color w:val="auto"/>
          <w:sz w:val="22"/>
          <w:szCs w:val="22"/>
          <w:rtl/>
        </w:rPr>
        <w:t xml:space="preserve">, שבין השינים - מוצצו </w:t>
      </w:r>
      <w:r w:rsidRPr="00F84E98">
        <w:rPr>
          <w:rStyle w:val="Style1Char"/>
          <w:color w:val="806000" w:themeColor="accent4" w:themeShade="80"/>
          <w:sz w:val="22"/>
          <w:szCs w:val="22"/>
          <w:rtl/>
        </w:rPr>
        <w:t xml:space="preserve">ובולעו </w:t>
      </w:r>
      <w:r w:rsidRPr="00F84E98">
        <w:rPr>
          <w:rStyle w:val="Style1Char"/>
          <w:sz w:val="22"/>
          <w:szCs w:val="22"/>
          <w:rtl/>
        </w:rPr>
        <w:t>ואינו חושש</w:t>
      </w:r>
      <w:r w:rsidRPr="00F84E98">
        <w:rPr>
          <w:rStyle w:val="Style1Char"/>
          <w:rtl/>
        </w:rPr>
        <w:t>.</w:t>
      </w:r>
      <w:r w:rsidRPr="00312723">
        <w:rPr>
          <w:rStyle w:val="Style1Char"/>
          <w:color w:val="4472C4" w:themeColor="accent1"/>
          <w:rtl/>
        </w:rPr>
        <w:t xml:space="preserve"> </w:t>
      </w:r>
      <w:r w:rsidRPr="00F24BFA">
        <w:rPr>
          <w:rStyle w:val="Style1Char"/>
          <w:color w:val="4472C4" w:themeColor="accent1"/>
          <w:rtl/>
        </w:rPr>
        <w:t>דם מהלכי שתים מותר וחילופיהם בחלב אם לא פירש אסור דאתי לאיחלופי בחלב בהמה טמאה אבל פירש מותר וכן נראה בבשר מהלכי שתים לחתוך ממנו ולאוכלו אסור דאתי לאיחלופי בבשר בהמה טמאה משום דאין דרך לאוכלו מיחלף בטמאה אבל פירש מותר</w:t>
      </w:r>
      <w:r>
        <w:rPr>
          <w:rStyle w:val="Style1Char"/>
          <w:rFonts w:hint="cs"/>
          <w:color w:val="4472C4" w:themeColor="accent1"/>
        </w:rPr>
        <w:t>‍</w:t>
      </w:r>
      <w:r w:rsidRPr="00F24BFA">
        <w:rPr>
          <w:rStyle w:val="Style1Char"/>
          <w:color w:val="4472C4" w:themeColor="accent1"/>
        </w:rPr>
        <w:t xml:space="preserve">: </w:t>
      </w:r>
    </w:p>
    <w:p w14:paraId="075D4FB5" w14:textId="36F3725A" w:rsidR="002C4635" w:rsidRDefault="002C4635" w:rsidP="002C4635">
      <w:pPr>
        <w:bidi/>
        <w:rPr>
          <w:rStyle w:val="Style1Char"/>
          <w:color w:val="auto"/>
          <w:sz w:val="22"/>
          <w:szCs w:val="22"/>
          <w:rtl/>
        </w:rPr>
      </w:pPr>
      <w:r w:rsidRPr="005F123E">
        <w:rPr>
          <w:rStyle w:val="Style1Char"/>
          <w:color w:val="00B050"/>
          <w:rtl/>
        </w:rPr>
        <w:t xml:space="preserve">אמר מר, רבי יהושע אומר: אפילו ארבע וחמש שנים. והתניא, ר' יהושע אומר: אפילו חבילתו על כתיפיו! אידי ואידי חד שיעורא הוא. </w:t>
      </w:r>
      <w:r w:rsidRPr="00F31442">
        <w:rPr>
          <w:rStyle w:val="Style1Char"/>
          <w:sz w:val="22"/>
          <w:szCs w:val="22"/>
          <w:rtl/>
        </w:rPr>
        <w:t>אמר רב יוסף: הלכה כרבי יהושע</w:t>
      </w:r>
      <w:r w:rsidRPr="005F123E">
        <w:rPr>
          <w:rStyle w:val="Style1Char"/>
          <w:color w:val="00B050"/>
          <w:rtl/>
        </w:rPr>
        <w:t xml:space="preserve">. תניא, רבי מרינוס אומר: </w:t>
      </w:r>
      <w:r w:rsidR="00D019E8">
        <w:rPr>
          <w:rStyle w:val="Style1Char"/>
          <w:rFonts w:hint="cs"/>
          <w:rtl/>
        </w:rPr>
        <w:t>(4)</w:t>
      </w:r>
      <w:r w:rsidRPr="005F123E">
        <w:rPr>
          <w:rStyle w:val="Style1Char"/>
          <w:color w:val="00B050"/>
          <w:rtl/>
        </w:rPr>
        <w:t xml:space="preserve">גונח יונק חלב בשבת. מאי טעמא? יונק - מפרק כלאחר יד, ובמקום צערא לא גזרו רבנן. אמר רב יוסף: הלכה כרבי מרינוס. תניא, נחום איש גליא אומר: </w:t>
      </w:r>
      <w:r w:rsidR="00D019E8">
        <w:rPr>
          <w:rStyle w:val="Style1Char"/>
          <w:rFonts w:hint="cs"/>
          <w:rtl/>
        </w:rPr>
        <w:t>(5)</w:t>
      </w:r>
      <w:r w:rsidRPr="005F123E">
        <w:rPr>
          <w:rStyle w:val="Style1Char"/>
          <w:color w:val="00B050"/>
          <w:rtl/>
        </w:rPr>
        <w:t xml:space="preserve">צינור שעלו בו קשקשין, ממעכן ברגלו בצנעא בשבת ואינו חושש. מאי טעמא? מתקן כלאחר יד הוא, ובמקום פסידא לא גזרו בה רבנן. אמר רב יוסף: הלכה כנחום איש גליא. פירש לאחר עשרים וארבעה חדש וחזר - כיונק שקץ. </w:t>
      </w:r>
      <w:r w:rsidRPr="00742A94">
        <w:rPr>
          <w:rStyle w:val="Style1Char"/>
          <w:color w:val="auto"/>
          <w:sz w:val="22"/>
          <w:szCs w:val="22"/>
          <w:rtl/>
        </w:rPr>
        <w:t>וכמה</w:t>
      </w:r>
      <w:r w:rsidRPr="00742A94">
        <w:rPr>
          <w:rStyle w:val="Style1Char"/>
          <w:color w:val="4472C4" w:themeColor="accent1"/>
          <w:rtl/>
        </w:rPr>
        <w:t xml:space="preserve"> </w:t>
      </w:r>
      <w:r w:rsidRPr="00742A94">
        <w:rPr>
          <w:rStyle w:val="Style1Char"/>
          <w:color w:val="4472C4" w:themeColor="accent1"/>
          <w:sz w:val="22"/>
          <w:szCs w:val="22"/>
          <w:rtl/>
        </w:rPr>
        <w:t>פרישתו</w:t>
      </w:r>
      <w:r w:rsidRPr="00742A94">
        <w:rPr>
          <w:rStyle w:val="Style1Char"/>
          <w:color w:val="auto"/>
          <w:sz w:val="22"/>
          <w:szCs w:val="22"/>
          <w:rtl/>
        </w:rPr>
        <w:t xml:space="preserve">? </w:t>
      </w:r>
      <w:r w:rsidRPr="00603473">
        <w:rPr>
          <w:rStyle w:val="Style1Char"/>
          <w:sz w:val="22"/>
          <w:szCs w:val="22"/>
          <w:rtl/>
        </w:rPr>
        <w:t xml:space="preserve">אמר רב יהודה בר חביבא </w:t>
      </w:r>
      <w:r w:rsidRPr="00603473">
        <w:rPr>
          <w:rStyle w:val="Style1Char"/>
          <w:color w:val="00B050"/>
          <w:rtl/>
        </w:rPr>
        <w:t>אמר שמואל</w:t>
      </w:r>
      <w:r w:rsidRPr="00603473">
        <w:rPr>
          <w:rStyle w:val="Style1Char"/>
          <w:sz w:val="22"/>
          <w:szCs w:val="22"/>
          <w:rtl/>
        </w:rPr>
        <w:t xml:space="preserve">: </w:t>
      </w:r>
      <w:r w:rsidR="001665D9">
        <w:rPr>
          <w:rStyle w:val="Style1Char"/>
          <w:rFonts w:hint="cs"/>
          <w:rtl/>
        </w:rPr>
        <w:t>(2)</w:t>
      </w:r>
      <w:r w:rsidRPr="00742A94">
        <w:rPr>
          <w:rStyle w:val="Style1Char"/>
          <w:color w:val="auto"/>
          <w:sz w:val="22"/>
          <w:szCs w:val="22"/>
          <w:rtl/>
        </w:rPr>
        <w:t>שלשה ימים</w:t>
      </w:r>
      <w:r w:rsidRPr="00742A94">
        <w:rPr>
          <w:rStyle w:val="Style1Char"/>
          <w:color w:val="auto"/>
          <w:rtl/>
        </w:rPr>
        <w:t xml:space="preserve"> </w:t>
      </w:r>
      <w:r w:rsidRPr="0097744C">
        <w:rPr>
          <w:rStyle w:val="Style1Char"/>
          <w:color w:val="806000" w:themeColor="accent4" w:themeShade="80"/>
          <w:rtl/>
        </w:rPr>
        <w:t xml:space="preserve">ירושלמי </w:t>
      </w:r>
      <w:r w:rsidRPr="00F24BFA">
        <w:rPr>
          <w:rStyle w:val="Style1Char"/>
          <w:color w:val="4472C4" w:themeColor="accent1"/>
          <w:rtl/>
        </w:rPr>
        <w:t xml:space="preserve">רבי אבהו בשם ריב"ל שלשה ימים מעת לעת </w:t>
      </w:r>
      <w:r w:rsidRPr="0097744C">
        <w:rPr>
          <w:rStyle w:val="Style1Char"/>
          <w:color w:val="806000" w:themeColor="accent4" w:themeShade="80"/>
          <w:rtl/>
        </w:rPr>
        <w:t>במה דברים אמורים שפירש מתוך בוריו אבל פירש מתוך חליו מחזירין אותו</w:t>
      </w:r>
      <w:r w:rsidRPr="0097744C">
        <w:rPr>
          <w:rStyle w:val="Style1Char"/>
          <w:color w:val="4472C4" w:themeColor="accent1"/>
          <w:rtl/>
        </w:rPr>
        <w:t xml:space="preserve"> </w:t>
      </w:r>
      <w:r w:rsidRPr="00F24BFA">
        <w:rPr>
          <w:rStyle w:val="Style1Char"/>
          <w:color w:val="4472C4" w:themeColor="accent1"/>
          <w:rtl/>
        </w:rPr>
        <w:t>כשאינה של סכנה אבל של סכנה אפילו אחר כמה ימים מחזירין אותו</w:t>
      </w:r>
      <w:r w:rsidRPr="00F24BFA">
        <w:rPr>
          <w:rStyle w:val="Style1Char"/>
          <w:color w:val="4472C4" w:themeColor="accent1"/>
        </w:rPr>
        <w:t>:</w:t>
      </w:r>
      <w:r w:rsidRPr="0097744C">
        <w:rPr>
          <w:rStyle w:val="Style1Char"/>
          <w:color w:val="806000" w:themeColor="accent4" w:themeShade="80"/>
          <w:sz w:val="22"/>
          <w:szCs w:val="22"/>
          <w:rtl/>
        </w:rPr>
        <w:t>.</w:t>
      </w:r>
      <w:r w:rsidRPr="005F123E">
        <w:rPr>
          <w:rStyle w:val="Style1Char"/>
          <w:color w:val="00B050"/>
          <w:rtl/>
        </w:rPr>
        <w:t xml:space="preserve"> איכא דאמרי, תני רב יהודה בר חביבא קמיה דשמואל: שלשה ימים. </w:t>
      </w:r>
      <w:r w:rsidRPr="00F10057">
        <w:rPr>
          <w:rStyle w:val="Style1Char"/>
          <w:color w:val="auto"/>
          <w:sz w:val="22"/>
          <w:szCs w:val="22"/>
          <w:rtl/>
        </w:rPr>
        <w:t xml:space="preserve">תנו רבנן: מינקת שמת בעלה בתוך עשרים וארבעה חדש - הרי זו לא תתארס ולא תינשא </w:t>
      </w:r>
    </w:p>
    <w:p w14:paraId="0AFB770B" w14:textId="316B859A" w:rsidR="00951FB6" w:rsidRDefault="00951FB6" w:rsidP="00951FB6">
      <w:pPr>
        <w:pStyle w:val="Style1"/>
        <w:rPr>
          <w:rtl/>
        </w:rPr>
      </w:pPr>
      <w:r>
        <w:rPr>
          <w:rFonts w:hint="cs"/>
          <w:rtl/>
        </w:rPr>
        <w:t>1)[</w:t>
      </w:r>
      <w:r>
        <w:rPr>
          <w:rtl/>
        </w:rPr>
        <w:t>רמב</w:t>
      </w:r>
      <w:r w:rsidR="00213DA1">
        <w:rPr>
          <w:rtl/>
        </w:rPr>
        <w:t>”ם \נשים\</w:t>
      </w:r>
      <w:r>
        <w:rPr>
          <w:rtl/>
        </w:rPr>
        <w:t xml:space="preserve"> הלכות אישות פרק כא הלכה טז</w:t>
      </w:r>
      <w:r>
        <w:rPr>
          <w:rFonts w:hint="cs"/>
          <w:rtl/>
        </w:rPr>
        <w:t xml:space="preserve">] </w:t>
      </w:r>
      <w:r>
        <w:rPr>
          <w:rtl/>
        </w:rPr>
        <w:t>האשה שנתגרשה אין כופין אותה להניק, אלא אם רצת נותן לה שכרה ומניקתו ואם לא רצת נותנת לו את בנו והוא מטפל בו, במה דברים אמורים שלא הניקה אותו עד שהכירה, אבל אם הכירה ואפילו היה סומא אין מפרישין אותו מאמו מפני סכנת הולד אלא כופין אותה ומניקה אותו בשכר עד עשרים וארבעה חדש.</w:t>
      </w:r>
    </w:p>
    <w:p w14:paraId="6C12A242" w14:textId="46299C1B" w:rsidR="00951FB6" w:rsidRPr="009345B2" w:rsidRDefault="00951FB6" w:rsidP="00951FB6">
      <w:pPr>
        <w:pStyle w:val="Style1"/>
      </w:pPr>
      <w:r>
        <w:rPr>
          <w:rFonts w:hint="cs"/>
          <w:rtl/>
        </w:rPr>
        <w:t>1)[</w:t>
      </w:r>
      <w:r>
        <w:rPr>
          <w:rtl/>
        </w:rPr>
        <w:t>שולחן ערוך אבן העזר הלכות כתובות סימן פב סעיף ה</w:t>
      </w:r>
      <w:r>
        <w:rPr>
          <w:rFonts w:hint="cs"/>
          <w:rtl/>
        </w:rPr>
        <w:t xml:space="preserve">] </w:t>
      </w:r>
      <w:r w:rsidRPr="009345B2">
        <w:rPr>
          <w:rtl/>
        </w:rPr>
        <w:t>האשה שנתגרשה, אין כופין אותה להניק את בנה, אלא אם רצתה, נותן לה שכרה ומיניקתו; ואם לא רצתה, נותנת לו את בנו והוא מטפל בו. במה דברים אמורים, שלא הניקה אותו עד שהכירה, אבל אם הכירה </w:t>
      </w:r>
      <w:r w:rsidRPr="009345B2">
        <w:rPr>
          <w:rFonts w:hint="cs"/>
          <w:rtl/>
        </w:rPr>
        <w:t>ואינו רוצה לינק מאחרת (טור)</w:t>
      </w:r>
      <w:r w:rsidRPr="009345B2">
        <w:t xml:space="preserve">, </w:t>
      </w:r>
      <w:r w:rsidRPr="009345B2">
        <w:rPr>
          <w:rtl/>
        </w:rPr>
        <w:t>אפלו הוא סומא, אין מפרישין אותו, מפני סכנת הולד, אלא כופין אותה ומיניקתו עד עשרים וארבעה חדש</w:t>
      </w:r>
      <w:r w:rsidRPr="009345B2">
        <w:t>.</w:t>
      </w:r>
    </w:p>
    <w:p w14:paraId="6BBB4964" w14:textId="4AB9F479" w:rsidR="00951FB6" w:rsidRDefault="00951FB6" w:rsidP="00951FB6">
      <w:pPr>
        <w:pStyle w:val="Style1"/>
        <w:rPr>
          <w:rtl/>
        </w:rPr>
      </w:pPr>
      <w:r w:rsidRPr="009345B2">
        <w:rPr>
          <w:rFonts w:hint="cs"/>
          <w:rtl/>
        </w:rPr>
        <w:t>הגה: והוא נותן לה שכר הנקה (טור). ויש אומרים דאפילו אשה אחרת, שהניקה ולד עד שמכירה, כופין אותה ומיניקתו בשכר, מפני סכנת הולד (הגהות אלפסי פרק אף על פי). ויש אומרים הא דגרושה אינה מחויבת להניק אם אינו מכירה, הינו כשמוצא מינקת אחרת ויש לו להשכיר, אבל אם אין לו, כופה אותה ומיניקתו (ר"י); אבל אם השכירה כבר עצמה לאחרים, ואותו ולד מכירה, אין דוחין אותו ולד מפני בנה, אלא בית דין משכירין לבנה מיניקה אחרת (הרא"ש כלל י"ז)</w:t>
      </w:r>
      <w:r w:rsidRPr="009345B2">
        <w:t>:</w:t>
      </w:r>
    </w:p>
    <w:p w14:paraId="5AE4A3EA" w14:textId="05A1D4E4" w:rsidR="009C1E9A" w:rsidRDefault="009C1E9A" w:rsidP="009C1E9A">
      <w:pPr>
        <w:pStyle w:val="Style1"/>
        <w:rPr>
          <w:rStyle w:val="Style1Char"/>
          <w:rtl/>
        </w:rPr>
      </w:pPr>
      <w:r>
        <w:rPr>
          <w:rStyle w:val="Style1Char"/>
          <w:rFonts w:hint="cs"/>
          <w:rtl/>
        </w:rPr>
        <w:t>2)[</w:t>
      </w:r>
      <w:r w:rsidRPr="009C1E9A">
        <w:rPr>
          <w:rStyle w:val="Style1Char"/>
          <w:rtl/>
        </w:rPr>
        <w:t>רמב</w:t>
      </w:r>
      <w:r w:rsidR="0057095E">
        <w:rPr>
          <w:rStyle w:val="Style1Char"/>
          <w:rtl/>
        </w:rPr>
        <w:t>”ם \קדושה\</w:t>
      </w:r>
      <w:r w:rsidRPr="009C1E9A">
        <w:rPr>
          <w:rStyle w:val="Style1Char"/>
          <w:rtl/>
        </w:rPr>
        <w:t xml:space="preserve"> הלכות מאכלות אסורות פרק ג הלכה ה</w:t>
      </w:r>
      <w:r>
        <w:rPr>
          <w:rStyle w:val="Style1Char"/>
          <w:rFonts w:hint="cs"/>
          <w:rtl/>
        </w:rPr>
        <w:t xml:space="preserve">] </w:t>
      </w:r>
      <w:r w:rsidRPr="009C1E9A">
        <w:rPr>
          <w:rStyle w:val="Style1Char"/>
          <w:rtl/>
        </w:rPr>
        <w:t>יונק תינוק והולך אפילו ארבע או חמש שנים, ואם גמלוהו ופרש שלשה ימים או יתר מחמת בוריו לא מחמת חוליו אינו חוזר ויונק, והוא שגמלוהו אחר כ"ד חדש, אבל בתוך זמן זה אפילו גמלוהו חדש או שנים מותר לחזור ולינק עד סוף כ"ד חדש.</w:t>
      </w:r>
    </w:p>
    <w:p w14:paraId="0BF4DF77" w14:textId="4A36BBCE" w:rsidR="005426EC" w:rsidRPr="005426EC" w:rsidRDefault="00342042" w:rsidP="005426EC">
      <w:pPr>
        <w:pStyle w:val="Style1"/>
      </w:pPr>
      <w:r>
        <w:rPr>
          <w:rStyle w:val="Style1Char"/>
          <w:rFonts w:hint="cs"/>
          <w:rtl/>
        </w:rPr>
        <w:t>2)[</w:t>
      </w:r>
      <w:r w:rsidRPr="00342042">
        <w:rPr>
          <w:rStyle w:val="Style1Char"/>
          <w:rtl/>
        </w:rPr>
        <w:t>שולחן ערוך יורה דעה הלכות בהמה וחיה טהורה סימן פא סעיף ז</w:t>
      </w:r>
      <w:r>
        <w:rPr>
          <w:rStyle w:val="Style1Char"/>
          <w:rFonts w:hint="cs"/>
          <w:rtl/>
        </w:rPr>
        <w:t>]</w:t>
      </w:r>
      <w:r w:rsidR="005426EC">
        <w:rPr>
          <w:rStyle w:val="Style1Char"/>
          <w:rFonts w:hint="cs"/>
          <w:rtl/>
        </w:rPr>
        <w:t xml:space="preserve"> </w:t>
      </w:r>
      <w:r w:rsidR="005426EC" w:rsidRPr="005426EC">
        <w:rPr>
          <w:rtl/>
        </w:rPr>
        <w:t>חלב אשה מותר; והוא שפירש כגון שחלבתו לתוך כלי </w:t>
      </w:r>
      <w:r w:rsidR="005426EC" w:rsidRPr="005426EC">
        <w:rPr>
          <w:rFonts w:hint="cs"/>
          <w:rtl/>
        </w:rPr>
        <w:t>(או לתוך היד) (ב"י)</w:t>
      </w:r>
      <w:r w:rsidR="005426EC" w:rsidRPr="005426EC">
        <w:t xml:space="preserve">. </w:t>
      </w:r>
      <w:r w:rsidR="005426EC" w:rsidRPr="005426EC">
        <w:rPr>
          <w:rtl/>
        </w:rPr>
        <w:t>אבל גדול היונק משדי אשה כיונק שרץ </w:t>
      </w:r>
      <w:r w:rsidR="005426EC" w:rsidRPr="005426EC">
        <w:rPr>
          <w:rFonts w:hint="cs"/>
          <w:rtl/>
        </w:rPr>
        <w:t>(אפילו חולבת לתוך פיו) (ב"י)</w:t>
      </w:r>
      <w:r w:rsidR="005426EC" w:rsidRPr="005426EC">
        <w:rPr>
          <w:rtl/>
        </w:rPr>
        <w:t> והיו מכין אותו מכת מרדות</w:t>
      </w:r>
      <w:r w:rsidR="005426EC" w:rsidRPr="005426EC">
        <w:t xml:space="preserve"> (</w:t>
      </w:r>
      <w:r w:rsidR="005426EC" w:rsidRPr="005426EC">
        <w:rPr>
          <w:rtl/>
        </w:rPr>
        <w:t>פי' על שמרד בדברי סופרים</w:t>
      </w:r>
      <w:r w:rsidR="005426EC" w:rsidRPr="005426EC">
        <w:t>).</w:t>
      </w:r>
    </w:p>
    <w:p w14:paraId="4C2D8663" w14:textId="77777777" w:rsidR="005426EC" w:rsidRPr="005426EC" w:rsidRDefault="005426EC" w:rsidP="005426EC">
      <w:pPr>
        <w:pStyle w:val="Style1"/>
      </w:pPr>
      <w:r w:rsidRPr="005426EC">
        <w:rPr>
          <w:rtl/>
        </w:rPr>
        <w:t>ותינוק יונק עד סוף ד' שנים לבריא וה' לחולה אם לא פירש. אבל אם פירש -- שגמלוהו שלשה ימים מעת לעת אחר כ"ד חדש -- לא יחזירוהו. והוא שפירש מתוך בוריו, אבל אם לא פירש אלא מתוך חולי שאינו יכול לינק ופירש -- יכולים להחזירו. ואם יש סכנה מחזירים אפילו אחר כמה ימים. ובתוך כ"ד חדש אפי' פירש מתוך בוריו חדש או יותר -- מותר לחזור ולינק עד סוף כ"ד חדש</w:t>
      </w:r>
      <w:r w:rsidRPr="005426EC">
        <w:t>.    </w:t>
      </w:r>
      <w:r w:rsidRPr="005426EC">
        <w:rPr>
          <w:rFonts w:hint="cs"/>
          <w:rtl/>
        </w:rPr>
        <w:t>הגה: ועיין באבן העזר </w:t>
      </w:r>
      <w:hyperlink r:id="rId127" w:tooltip="שולחן ערוך יורה דעה יג" w:history="1">
        <w:r w:rsidRPr="005426EC">
          <w:rPr>
            <w:rStyle w:val="Hyperlink"/>
            <w:rFonts w:hint="cs"/>
            <w:color w:val="7030A0"/>
            <w:u w:val="none"/>
            <w:rtl/>
          </w:rPr>
          <w:t>סימן י"ג</w:t>
        </w:r>
      </w:hyperlink>
      <w:r w:rsidRPr="005426EC">
        <w:rPr>
          <w:rFonts w:hint="cs"/>
        </w:rPr>
        <w:t> </w:t>
      </w:r>
      <w:r w:rsidRPr="005426EC">
        <w:rPr>
          <w:rFonts w:hint="cs"/>
          <w:rtl/>
        </w:rPr>
        <w:t>אם חדש העיבור עולה למנין</w:t>
      </w:r>
      <w:r w:rsidRPr="005426EC">
        <w:rPr>
          <w:rFonts w:hint="cs"/>
        </w:rPr>
        <w:t>.</w:t>
      </w:r>
    </w:p>
    <w:p w14:paraId="0989599D" w14:textId="1DD62D00" w:rsidR="005426EC" w:rsidRDefault="005426EC" w:rsidP="005426EC">
      <w:pPr>
        <w:pStyle w:val="Style1"/>
        <w:rPr>
          <w:rtl/>
        </w:rPr>
      </w:pPr>
      <w:r w:rsidRPr="005426EC">
        <w:rPr>
          <w:rFonts w:hint="cs"/>
          <w:rtl/>
        </w:rPr>
        <w:t>חלב מצרית כחלב ישראלית ומ"מ לא יניקו תינוק מן המצרית אם אפשר בישראלית דחלב עובדת כוכבים מטמטם הלב ומוליד לו טבע רע (ר"נ פא"מ בשם הרשב"א). וכן לא תאכל המינקת אפילו ישראלית דברים האסורים (הגהות אשי"רי). וכן התינוק בעצמו -- כי כל זה מזיק לו בזקנותו</w:t>
      </w:r>
      <w:r w:rsidRPr="005426EC">
        <w:rPr>
          <w:rFonts w:hint="cs"/>
        </w:rPr>
        <w:t>.</w:t>
      </w:r>
    </w:p>
    <w:p w14:paraId="3C891A90" w14:textId="00A9A765" w:rsidR="00E95145" w:rsidRDefault="00E95145" w:rsidP="00E95145">
      <w:pPr>
        <w:pStyle w:val="Style1"/>
        <w:rPr>
          <w:rtl/>
        </w:rPr>
      </w:pPr>
      <w:r>
        <w:rPr>
          <w:rFonts w:hint="cs"/>
          <w:rtl/>
        </w:rPr>
        <w:t>3)[</w:t>
      </w:r>
      <w:r>
        <w:rPr>
          <w:rtl/>
        </w:rPr>
        <w:t>רמב</w:t>
      </w:r>
      <w:r w:rsidR="0057095E">
        <w:rPr>
          <w:rtl/>
        </w:rPr>
        <w:t>”ם \קדושה\</w:t>
      </w:r>
      <w:r>
        <w:rPr>
          <w:rtl/>
        </w:rPr>
        <w:t xml:space="preserve"> הלכות מאכלות אסורות פרק ו הלכה ב</w:t>
      </w:r>
      <w:r>
        <w:rPr>
          <w:rFonts w:hint="cs"/>
          <w:rtl/>
        </w:rPr>
        <w:t xml:space="preserve">] </w:t>
      </w:r>
      <w:r>
        <w:rPr>
          <w:rtl/>
        </w:rPr>
        <w:t>דם האדם אסור מדברי סופרים אם פירש, ומכין עליו מכת מרדות, אבל דם השינים בולעו ואינו נמנע, הרי שנשך בפת ומצא עליה דם גורר את הדם ואחר כך אוכל שהרי פירש.</w:t>
      </w:r>
    </w:p>
    <w:p w14:paraId="3CD9A64E" w14:textId="744D5200" w:rsidR="009C75BD" w:rsidRPr="009C75BD" w:rsidRDefault="007E76A1" w:rsidP="009C75BD">
      <w:pPr>
        <w:pStyle w:val="Style1"/>
      </w:pPr>
      <w:r>
        <w:rPr>
          <w:rFonts w:hint="cs"/>
          <w:rtl/>
        </w:rPr>
        <w:t>3)[</w:t>
      </w:r>
      <w:r>
        <w:rPr>
          <w:rtl/>
        </w:rPr>
        <w:t>שולחן ערוך יורה דעה הלכות דם סימן סו סעיף י</w:t>
      </w:r>
      <w:r>
        <w:rPr>
          <w:rFonts w:hint="cs"/>
          <w:rtl/>
        </w:rPr>
        <w:t>]</w:t>
      </w:r>
      <w:r w:rsidR="009C75BD">
        <w:rPr>
          <w:rFonts w:hint="cs"/>
          <w:rtl/>
        </w:rPr>
        <w:t xml:space="preserve"> </w:t>
      </w:r>
      <w:r w:rsidR="009C75BD" w:rsidRPr="009C75BD">
        <w:rPr>
          <w:rtl/>
        </w:rPr>
        <w:t>דם אדם, אם פרש ממנו אסור משום מראית עין. לפיכך אם נשך הככר בשיניו ויצא דם משיניו על גבי הככר, צריך לגרדו. אבל שבין השיניים, מוצצו</w:t>
      </w:r>
      <w:r w:rsidR="009C75BD" w:rsidRPr="009C75BD">
        <w:t>.</w:t>
      </w:r>
    </w:p>
    <w:p w14:paraId="04CDC8E5" w14:textId="62EFC5C3" w:rsidR="009C75BD" w:rsidRDefault="009C75BD" w:rsidP="009C75BD">
      <w:pPr>
        <w:pStyle w:val="Style1"/>
        <w:rPr>
          <w:rtl/>
        </w:rPr>
      </w:pPr>
      <w:r w:rsidRPr="009C75BD">
        <w:rPr>
          <w:rFonts w:hint="cs"/>
          <w:rtl/>
        </w:rPr>
        <w:t>הגה</w:t>
      </w:r>
      <w:r w:rsidRPr="009C75BD">
        <w:rPr>
          <w:rFonts w:hint="cs"/>
        </w:rPr>
        <w:t>: </w:t>
      </w:r>
      <w:r w:rsidRPr="009C75BD">
        <w:rPr>
          <w:rFonts w:hint="cs"/>
          <w:rtl/>
        </w:rPr>
        <w:t>וכל דם דגים ודם אדם, הואיל ומדינא שרי אינו אוסר תערובתו </w:t>
      </w:r>
      <w:r w:rsidRPr="009C75BD">
        <w:rPr>
          <w:rFonts w:hint="cs"/>
        </w:rPr>
        <w:t>(</w:t>
      </w:r>
      <w:r w:rsidRPr="009C75BD">
        <w:rPr>
          <w:rFonts w:hint="cs"/>
          <w:rtl/>
        </w:rPr>
        <w:t>מימוני פ"ו דמאכלות אסורות בשם רשב"א והוא בת"ה בית ג' שער ה</w:t>
      </w:r>
      <w:r w:rsidRPr="009C75BD">
        <w:rPr>
          <w:rFonts w:hint="cs"/>
        </w:rPr>
        <w:t>'):</w:t>
      </w:r>
    </w:p>
    <w:p w14:paraId="2382C2B4" w14:textId="66BD9B84" w:rsidR="00A266F0" w:rsidRDefault="00A266F0" w:rsidP="00A266F0">
      <w:pPr>
        <w:pStyle w:val="Style1"/>
        <w:rPr>
          <w:rtl/>
        </w:rPr>
      </w:pPr>
      <w:r>
        <w:rPr>
          <w:rFonts w:hint="cs"/>
          <w:rtl/>
        </w:rPr>
        <w:t>4)[</w:t>
      </w:r>
      <w:r>
        <w:rPr>
          <w:rtl/>
        </w:rPr>
        <w:t>רמב</w:t>
      </w:r>
      <w:r w:rsidR="00C764B2">
        <w:rPr>
          <w:rtl/>
        </w:rPr>
        <w:t>”ם \זמנים\</w:t>
      </w:r>
      <w:r>
        <w:rPr>
          <w:rtl/>
        </w:rPr>
        <w:t xml:space="preserve"> הלכות שבת פרק כא הלכה יד</w:t>
      </w:r>
      <w:r>
        <w:rPr>
          <w:rFonts w:hint="cs"/>
          <w:rtl/>
        </w:rPr>
        <w:t xml:space="preserve">] </w:t>
      </w:r>
      <w:r>
        <w:rPr>
          <w:rtl/>
        </w:rPr>
        <w:t>המולל מלילות מולל בשנוי כדי שלא יראה כדש, היונק בפיו פטור, ואם היה גונח מותר לו לינק בפיו מפני שהוא מפרק כלאחר יד ומשום צערו לא גזרו ואף על פי שאין שם סכנה.</w:t>
      </w:r>
    </w:p>
    <w:p w14:paraId="0460923F" w14:textId="06B8D085" w:rsidR="001B4E5E" w:rsidRDefault="001B4E5E" w:rsidP="001B4E5E">
      <w:pPr>
        <w:pStyle w:val="Style1"/>
        <w:rPr>
          <w:rtl/>
        </w:rPr>
      </w:pPr>
      <w:r>
        <w:rPr>
          <w:rFonts w:hint="cs"/>
          <w:rtl/>
        </w:rPr>
        <w:lastRenderedPageBreak/>
        <w:t>4)[</w:t>
      </w:r>
      <w:r>
        <w:rPr>
          <w:rtl/>
        </w:rPr>
        <w:t>שולחן ערוך אורח חיים הלכות שבת סימן שכח סעיף לג</w:t>
      </w:r>
      <w:r>
        <w:rPr>
          <w:rFonts w:hint="cs"/>
          <w:rtl/>
        </w:rPr>
        <w:t>]</w:t>
      </w:r>
      <w:r w:rsidR="009A7B07">
        <w:rPr>
          <w:rFonts w:hint="cs"/>
          <w:rtl/>
        </w:rPr>
        <w:t xml:space="preserve"> </w:t>
      </w:r>
      <w:r w:rsidR="009A7B07" w:rsidRPr="009A7B07">
        <w:rPr>
          <w:rtl/>
        </w:rPr>
        <w:t>גונח מותר לינק חלב מהבהמה דבמקום צערא לא גזרו רבנן ויש אומרים שאם אין לו אלא צער של רעב אסור לינק מהבהמה בשבת</w:t>
      </w:r>
      <w:r w:rsidR="009A7B07" w:rsidRPr="009A7B07">
        <w:t>:</w:t>
      </w:r>
    </w:p>
    <w:p w14:paraId="0511086D" w14:textId="521F8E16" w:rsidR="009777B4" w:rsidRPr="009777B4" w:rsidRDefault="00820D29" w:rsidP="009777B4">
      <w:pPr>
        <w:pStyle w:val="Style1"/>
      </w:pPr>
      <w:r>
        <w:rPr>
          <w:rFonts w:hint="cs"/>
          <w:rtl/>
        </w:rPr>
        <w:t>5)[</w:t>
      </w:r>
      <w:r>
        <w:rPr>
          <w:rtl/>
        </w:rPr>
        <w:t>שולחן ערוך אורח חיים הלכות שבת סימן שלו סעיף ט</w:t>
      </w:r>
      <w:r>
        <w:rPr>
          <w:rFonts w:hint="cs"/>
          <w:rtl/>
        </w:rPr>
        <w:t>]</w:t>
      </w:r>
      <w:r w:rsidR="009777B4">
        <w:rPr>
          <w:rFonts w:hint="cs"/>
          <w:rtl/>
        </w:rPr>
        <w:t xml:space="preserve"> </w:t>
      </w:r>
      <w:r w:rsidR="009777B4" w:rsidRPr="009777B4">
        <w:rPr>
          <w:rtl/>
        </w:rPr>
        <w:t>צנור המקלח מים מן הגג שעלו בו קשים ועשבים שסותמים ומעכבים קילוחו ומימיו יוצאים ומתפשטים בגג ודולפים לבית ממעכן ברגלו בצנעה דכיון דמתקן על ידי שינוי הוא שאינו עושה אלא ברגליו במקום פסידא לא גזרו רבנן</w:t>
      </w:r>
      <w:r w:rsidR="009777B4" w:rsidRPr="009777B4">
        <w:t>:</w:t>
      </w:r>
    </w:p>
    <w:p w14:paraId="7B2438FB" w14:textId="725192A2" w:rsidR="00820D29" w:rsidRPr="009A7B07" w:rsidRDefault="00820D29" w:rsidP="00820D29">
      <w:pPr>
        <w:pStyle w:val="Style1"/>
      </w:pPr>
    </w:p>
    <w:p w14:paraId="29B9001E" w14:textId="62519787" w:rsidR="001B4E5E" w:rsidRPr="009C75BD" w:rsidRDefault="001B4E5E" w:rsidP="001B4E5E">
      <w:pPr>
        <w:pStyle w:val="Style1"/>
      </w:pPr>
    </w:p>
    <w:p w14:paraId="03BA81A8" w14:textId="77777777" w:rsidR="009C75BD" w:rsidRPr="009C75BD" w:rsidRDefault="009C75BD" w:rsidP="009C75BD">
      <w:pPr>
        <w:pStyle w:val="Style1"/>
      </w:pPr>
    </w:p>
    <w:p w14:paraId="062B926C" w14:textId="2E7749B1" w:rsidR="007E76A1" w:rsidRPr="005426EC" w:rsidRDefault="007E76A1" w:rsidP="007E76A1">
      <w:pPr>
        <w:pStyle w:val="Style1"/>
      </w:pPr>
    </w:p>
    <w:p w14:paraId="284ED962" w14:textId="77777777" w:rsidR="005426EC" w:rsidRPr="005426EC" w:rsidRDefault="005426EC" w:rsidP="005426EC">
      <w:pPr>
        <w:pStyle w:val="Style1"/>
        <w:rPr>
          <w:rStyle w:val="Style1Char"/>
        </w:rPr>
      </w:pPr>
    </w:p>
    <w:p w14:paraId="11F53B98" w14:textId="7AEF751E" w:rsidR="00342042" w:rsidRPr="009C1E9A" w:rsidRDefault="00342042" w:rsidP="00342042">
      <w:pPr>
        <w:pStyle w:val="Style1"/>
        <w:rPr>
          <w:rStyle w:val="Style1Char"/>
          <w:rtl/>
        </w:rPr>
      </w:pPr>
    </w:p>
    <w:p w14:paraId="21C78A94" w14:textId="77777777" w:rsidR="002C4635" w:rsidRPr="004940A0" w:rsidRDefault="002C4635" w:rsidP="002C4635">
      <w:pPr>
        <w:bidi/>
        <w:rPr>
          <w:rStyle w:val="Style1Char"/>
          <w:sz w:val="22"/>
          <w:szCs w:val="22"/>
          <w:rtl/>
        </w:rPr>
      </w:pPr>
    </w:p>
    <w:p w14:paraId="7F1C0F9A" w14:textId="77777777" w:rsidR="002C4635" w:rsidRPr="00FA44F5" w:rsidRDefault="002C4635" w:rsidP="002C4635">
      <w:pPr>
        <w:bidi/>
        <w:rPr>
          <w:rStyle w:val="Style1Char"/>
          <w:color w:val="00B050"/>
          <w:rtl/>
        </w:rPr>
      </w:pPr>
    </w:p>
    <w:p w14:paraId="728F7DDB" w14:textId="77777777" w:rsidR="002C4635" w:rsidRDefault="002C4635" w:rsidP="002C4635">
      <w:pPr>
        <w:bidi/>
        <w:rPr>
          <w:rStyle w:val="Style1Char"/>
          <w:color w:val="00B050"/>
          <w:rtl/>
        </w:rPr>
      </w:pPr>
    </w:p>
    <w:p w14:paraId="05DC1E97" w14:textId="77777777" w:rsidR="002C4635" w:rsidRDefault="002C4635" w:rsidP="002C4635">
      <w:pPr>
        <w:rPr>
          <w:rStyle w:val="Style1Char"/>
          <w:color w:val="00B050"/>
          <w:rtl/>
        </w:rPr>
      </w:pPr>
      <w:r>
        <w:rPr>
          <w:rStyle w:val="Style1Char"/>
          <w:color w:val="00B050"/>
          <w:rtl/>
        </w:rPr>
        <w:br w:type="page"/>
      </w:r>
    </w:p>
    <w:p w14:paraId="688E4D36" w14:textId="1CDA976D" w:rsidR="002C4635" w:rsidRDefault="002C4635" w:rsidP="002C4635">
      <w:pPr>
        <w:bidi/>
        <w:rPr>
          <w:rStyle w:val="Style1Char"/>
          <w:color w:val="C00000"/>
          <w:rtl/>
        </w:rPr>
      </w:pPr>
      <w:r w:rsidRPr="00F10057">
        <w:rPr>
          <w:rStyle w:val="Style1Char"/>
          <w:color w:val="auto"/>
          <w:sz w:val="22"/>
          <w:szCs w:val="22"/>
          <w:highlight w:val="yellow"/>
          <w:rtl/>
        </w:rPr>
        <w:lastRenderedPageBreak/>
        <w:t>[דף ס עמוד ב]</w:t>
      </w:r>
      <w:r w:rsidRPr="00F10057">
        <w:rPr>
          <w:rStyle w:val="Style1Char"/>
          <w:color w:val="auto"/>
          <w:sz w:val="22"/>
          <w:szCs w:val="22"/>
          <w:rtl/>
        </w:rPr>
        <w:t xml:space="preserve"> עד עשרים וארבעה חדש, דברי רבי מאיר, ור' יהודה מתיר בשמונה עשר חדש</w:t>
      </w:r>
      <w:r w:rsidRPr="00956B7D">
        <w:rPr>
          <w:rStyle w:val="Style1Char"/>
          <w:sz w:val="22"/>
          <w:szCs w:val="22"/>
          <w:rtl/>
        </w:rPr>
        <w:t>.</w:t>
      </w:r>
      <w:r w:rsidRPr="00956B7D">
        <w:rPr>
          <w:rStyle w:val="Style1Char"/>
          <w:rtl/>
        </w:rPr>
        <w:t xml:space="preserve"> </w:t>
      </w:r>
      <w:r w:rsidRPr="005F123E">
        <w:rPr>
          <w:rStyle w:val="Style1Char"/>
          <w:color w:val="00B050"/>
          <w:rtl/>
        </w:rPr>
        <w:t xml:space="preserve">אמר רבי נתן בר יוסף: הן הן דברי בית שמאי הן הן דברי בית הלל, שבית שמאי אומרים: עשרים וארבעה חדש, ובית הלל אומרים: שמונה עשר חדש. אמר רבן שמעון בן גמליאל: אני אכריע, לדברי האומר עשרים וארבעה חדש - מותרת לינשא בעשרים ואחד חדש, לדברי האומר בשמונה עשר חדש - מותרת להנשא בחמשה עשר חדש, לפי שאין החלב נעכר אלא לאחר שלשה חדשים. אמר עולא: הלכה כרבי יהודה. ואמר מר עוקבא: לי התיר רבי חנינא לשאת לאחר חמשה עשר חדש. אריסיה דאביי אתא לקמיה דאביי, אמר ליה: מהו ליארס בחמשה עשר חדש? אמר ליה: חדא, דר"מ ורבי יהודה - הלכה כרבי יהודה, ועוד, בית שמאי ובית הלל - הלכה כבית הלל, ואמר עולא: הלכה כרבי יהודה, ואמר מר עוקבא: לי התיר רבי חנינא לשאת לאחר חמשה עשר חדש, כל שכן דאת ליארס. כי אתא לקמיה דרב יוסף, א"ל, </w:t>
      </w:r>
      <w:r w:rsidRPr="00F10057">
        <w:rPr>
          <w:rStyle w:val="Style1Char"/>
          <w:color w:val="806000" w:themeColor="accent4" w:themeShade="80"/>
          <w:sz w:val="22"/>
          <w:szCs w:val="22"/>
          <w:rtl/>
        </w:rPr>
        <w:t xml:space="preserve">וקי"ל בהא כר"מ </w:t>
      </w:r>
      <w:r w:rsidRPr="00F10057">
        <w:rPr>
          <w:rStyle w:val="Style1Char"/>
          <w:rFonts w:hint="cs"/>
          <w:color w:val="806000" w:themeColor="accent4" w:themeShade="80"/>
          <w:sz w:val="22"/>
          <w:szCs w:val="22"/>
          <w:rtl/>
        </w:rPr>
        <w:t>ד</w:t>
      </w:r>
      <w:r w:rsidRPr="00F10057">
        <w:rPr>
          <w:rStyle w:val="Style1Char"/>
          <w:color w:val="auto"/>
          <w:sz w:val="22"/>
          <w:szCs w:val="22"/>
          <w:rtl/>
        </w:rPr>
        <w:t>רב</w:t>
      </w:r>
      <w:r w:rsidRPr="000E27FB">
        <w:rPr>
          <w:rStyle w:val="Style1Char"/>
          <w:sz w:val="22"/>
          <w:szCs w:val="22"/>
          <w:rtl/>
        </w:rPr>
        <w:t xml:space="preserve"> </w:t>
      </w:r>
      <w:r w:rsidRPr="00F10057">
        <w:rPr>
          <w:rStyle w:val="Style1Char"/>
          <w:color w:val="auto"/>
          <w:sz w:val="22"/>
          <w:szCs w:val="22"/>
          <w:rtl/>
        </w:rPr>
        <w:t xml:space="preserve">ושמואל דאמרי תרוייהו: </w:t>
      </w:r>
      <w:r w:rsidR="004A3F35">
        <w:rPr>
          <w:rStyle w:val="Style1Char"/>
          <w:rFonts w:hint="cs"/>
          <w:rtl/>
        </w:rPr>
        <w:t>(1)</w:t>
      </w:r>
      <w:r w:rsidRPr="00F10057">
        <w:rPr>
          <w:rStyle w:val="Style1Char"/>
          <w:color w:val="auto"/>
          <w:sz w:val="22"/>
          <w:szCs w:val="22"/>
          <w:rtl/>
        </w:rPr>
        <w:t>צריכה להמתין עשרים וארבעה חדש, חוץ מיום שנולד בו וחוץ מיום שנתארסה בו;</w:t>
      </w:r>
      <w:r w:rsidRPr="000E27FB">
        <w:rPr>
          <w:rStyle w:val="Style1Char"/>
          <w:sz w:val="22"/>
          <w:szCs w:val="22"/>
          <w:rtl/>
        </w:rPr>
        <w:t xml:space="preserve"> </w:t>
      </w:r>
      <w:r w:rsidRPr="005F123E">
        <w:rPr>
          <w:rStyle w:val="Style1Char"/>
          <w:color w:val="00B050"/>
          <w:rtl/>
        </w:rPr>
        <w:t xml:space="preserve">רהט בתריה תלתא פרסי, ואמרי לה פרסא בחלא, ולא אדרכיה. אמר אביי, האי מילתא דאמור רבנן: </w:t>
      </w:r>
      <w:r w:rsidR="004A3F35">
        <w:rPr>
          <w:rStyle w:val="Style1Char"/>
          <w:rFonts w:hint="cs"/>
          <w:rtl/>
        </w:rPr>
        <w:t>(2)</w:t>
      </w:r>
      <w:r w:rsidRPr="005F123E">
        <w:rPr>
          <w:rStyle w:val="Style1Char"/>
          <w:color w:val="00B050"/>
          <w:rtl/>
        </w:rPr>
        <w:t xml:space="preserve">אפילו ביעתא בכותחא לא לישרי איניש במקום רביה, לא משום דמיחזי כאפקירותא, </w:t>
      </w:r>
      <w:r w:rsidR="0073615C">
        <w:rPr>
          <w:rStyle w:val="Style1Char"/>
          <w:rFonts w:hint="cs"/>
          <w:rtl/>
        </w:rPr>
        <w:t>(2)</w:t>
      </w:r>
      <w:r w:rsidRPr="005F123E">
        <w:rPr>
          <w:rStyle w:val="Style1Char"/>
          <w:color w:val="00B050"/>
          <w:rtl/>
        </w:rPr>
        <w:t xml:space="preserve">אלא משום דלא מסתייעא מילתא למימרא, דהא אנא הוה גמירנא ליה להא דרב ושמואל, אפי' הכי לא מסתייעא לי מילתא למימר. ת"ר: נתנה בנה למינקת, או גמלתו, או מת - מותרת לינשא מיד. רב פפא ורב הונא בריה דרב יהושע סבור למיעבד עובדא כי הא מתניתא, אמרה להו ההיא סבתא: בדידי הוה עובדא </w:t>
      </w:r>
      <w:r w:rsidR="002472F8">
        <w:rPr>
          <w:rStyle w:val="Style1Char"/>
          <w:rFonts w:hint="cs"/>
          <w:rtl/>
        </w:rPr>
        <w:t>(</w:t>
      </w:r>
      <w:r w:rsidR="007616CC">
        <w:rPr>
          <w:rStyle w:val="Style1Char"/>
          <w:rFonts w:hint="cs"/>
          <w:rtl/>
        </w:rPr>
        <w:t>1.3, 3</w:t>
      </w:r>
      <w:r w:rsidR="002472F8">
        <w:rPr>
          <w:rStyle w:val="Style1Char"/>
          <w:rFonts w:hint="cs"/>
          <w:rtl/>
        </w:rPr>
        <w:t>)</w:t>
      </w:r>
      <w:r w:rsidRPr="005F123E">
        <w:rPr>
          <w:rStyle w:val="Style1Char"/>
          <w:color w:val="00B050"/>
          <w:rtl/>
        </w:rPr>
        <w:t xml:space="preserve">ואסר לי רב נחמן. איני? והא רב נחמן שרא להו לבי ריש גלותא! שאני בי ריש גלותא, דלא הדר בהו. אמר להו רב פפי, ואתון לא תסברוה מהא דתניא: הרי שהיתה רדופה לילך לבית אביה, או שהיה לה כעס בבית בעלה, או שהיה בעלה חבוש בבית האסורין, או שהלך בעלה למדינת הים, או שהיה בעלה זקן או חולה, או שהיתה עקרה וזקנה, איילונית וקטנה, והמפלת אחר מיתת בעלה, ושאינה ראויה לילד - </w:t>
      </w:r>
      <w:r w:rsidR="004701E9">
        <w:rPr>
          <w:rStyle w:val="Style1Char"/>
          <w:rFonts w:hint="cs"/>
          <w:rtl/>
        </w:rPr>
        <w:t>(4)</w:t>
      </w:r>
      <w:r w:rsidRPr="005F123E">
        <w:rPr>
          <w:rStyle w:val="Style1Char"/>
          <w:color w:val="00B050"/>
          <w:rtl/>
        </w:rPr>
        <w:t xml:space="preserve">כולן צריכות להמתין שלשה חדשים, דברי ר"מ, רבי יוסי מתיר ליארס ולינשא מיד; ואמר רב נחמן אמר שמואל: הלכה כרבי מאיר בגזירותיו! אמרי ליה: לאו אדעתין. והלכתא: </w:t>
      </w:r>
      <w:r w:rsidR="009A57C5">
        <w:rPr>
          <w:rStyle w:val="Style1Char"/>
          <w:rFonts w:hint="cs"/>
          <w:rtl/>
        </w:rPr>
        <w:t>(1.3, 3)</w:t>
      </w:r>
      <w:r w:rsidRPr="005F123E">
        <w:rPr>
          <w:rStyle w:val="Style1Char"/>
          <w:color w:val="00B050"/>
          <w:rtl/>
        </w:rPr>
        <w:t>מת - מותר, גמלתו - אסור</w:t>
      </w:r>
      <w:r w:rsidRPr="00550FA5">
        <w:rPr>
          <w:rStyle w:val="Style1Char"/>
          <w:color w:val="C00000"/>
          <w:rtl/>
        </w:rPr>
        <w:t xml:space="preserve"> </w:t>
      </w:r>
    </w:p>
    <w:p w14:paraId="4DB4BA5B" w14:textId="1BB986A2" w:rsidR="002C4635" w:rsidRPr="00F24BFA" w:rsidRDefault="002C4635" w:rsidP="002C4635">
      <w:pPr>
        <w:bidi/>
        <w:rPr>
          <w:rStyle w:val="Style1Char"/>
          <w:color w:val="4472C4" w:themeColor="accent1"/>
        </w:rPr>
      </w:pPr>
      <w:r w:rsidRPr="00017F43">
        <w:rPr>
          <w:rStyle w:val="Style1Char"/>
          <w:color w:val="806000" w:themeColor="accent4" w:themeShade="80"/>
          <w:sz w:val="22"/>
          <w:szCs w:val="22"/>
          <w:rtl/>
        </w:rPr>
        <w:t xml:space="preserve">ואפילו נתנה בנה למניקה או גומלתו אסורה לינשא עד כ"ד חדש </w:t>
      </w:r>
      <w:r w:rsidRPr="00F24BFA">
        <w:rPr>
          <w:rStyle w:val="Style1Char"/>
          <w:color w:val="4472C4" w:themeColor="accent1"/>
          <w:rtl/>
        </w:rPr>
        <w:t>היכא דלא נשבעה דחיישינן שמא תמהר לגומלו כדי שתנשא ויסתכן הולד וכן נתנו למניקה חיישינן שמא תחזור בה המניקה והא דשרא רב נחמן לנשי דבי ריש גלותא</w:t>
      </w:r>
      <w:r>
        <w:rPr>
          <w:rStyle w:val="Style1Char"/>
          <w:rFonts w:hint="cs"/>
          <w:color w:val="4472C4" w:themeColor="accent1"/>
        </w:rPr>
        <w:t>‍</w:t>
      </w:r>
      <w:r w:rsidRPr="00F24BFA">
        <w:rPr>
          <w:rStyle w:val="Style1Char"/>
          <w:color w:val="4472C4" w:themeColor="accent1"/>
          <w:rtl/>
        </w:rPr>
        <w:t xml:space="preserve"> אלמים וחזקים היו ולא היו רשאות לחזור ודבר ידוע ולא אתי למישרי באשה אחרת אבל שאר נשים אפי' נשבעה המינקת או הדירה על דעת רבים שלא תחזור בה אסור דאתו למיחלף ולמישרי </w:t>
      </w:r>
      <w:r w:rsidRPr="00242E2A">
        <w:rPr>
          <w:rStyle w:val="Style1Char"/>
          <w:color w:val="C00000"/>
          <w:sz w:val="22"/>
          <w:szCs w:val="22"/>
          <w:rtl/>
        </w:rPr>
        <w:t>אבל אם מת מותר</w:t>
      </w:r>
      <w:r w:rsidRPr="005F123E">
        <w:rPr>
          <w:rStyle w:val="Style1Char"/>
          <w:color w:val="00B050"/>
          <w:rtl/>
        </w:rPr>
        <w:t xml:space="preserve">. </w:t>
      </w:r>
      <w:r w:rsidRPr="005E2DBD">
        <w:rPr>
          <w:rStyle w:val="Style1Char"/>
          <w:color w:val="auto"/>
          <w:sz w:val="22"/>
          <w:szCs w:val="22"/>
          <w:rtl/>
        </w:rPr>
        <w:t xml:space="preserve">מר בר רב אשי אמר: אפילו מת נמי אסור, דלמא קטלה ליה ואזלא ומינסבא. הוה עובדא וחנקתיה. </w:t>
      </w:r>
      <w:r w:rsidR="001A474A">
        <w:rPr>
          <w:rStyle w:val="Style1Char"/>
          <w:rFonts w:hint="cs"/>
          <w:rtl/>
        </w:rPr>
        <w:t>(1.3, 3)</w:t>
      </w:r>
      <w:r w:rsidRPr="005E2DBD">
        <w:rPr>
          <w:rStyle w:val="Style1Char"/>
          <w:color w:val="auto"/>
          <w:sz w:val="22"/>
          <w:szCs w:val="22"/>
          <w:rtl/>
        </w:rPr>
        <w:t>ולא היא, ההיא שוטה הואי, דלא עבדי נשי דחנקן בנייהו</w:t>
      </w:r>
      <w:r w:rsidRPr="004C2F98">
        <w:rPr>
          <w:rStyle w:val="Style1Char"/>
          <w:color w:val="4472C4" w:themeColor="accent1"/>
          <w:rtl/>
        </w:rPr>
        <w:t xml:space="preserve"> </w:t>
      </w:r>
      <w:r w:rsidRPr="00F24BFA">
        <w:rPr>
          <w:rStyle w:val="Style1Char"/>
          <w:color w:val="4472C4" w:themeColor="accent1"/>
          <w:rtl/>
        </w:rPr>
        <w:t>והיכא שגמלתו בחיי בעלה נראה שמותרת לינשא דליכא למיגזר מידי ולא גזרינן אטו לא גמלתו בחייו</w:t>
      </w:r>
      <w:r>
        <w:rPr>
          <w:rStyle w:val="Style1Char"/>
          <w:rFonts w:hint="cs"/>
          <w:color w:val="4472C4" w:themeColor="accent1"/>
        </w:rPr>
        <w:t>‍</w:t>
      </w:r>
      <w:r w:rsidRPr="00F24BFA">
        <w:rPr>
          <w:rStyle w:val="Style1Char"/>
          <w:color w:val="4472C4" w:themeColor="accent1"/>
          <w:rtl/>
        </w:rPr>
        <w:t xml:space="preserve"> דכי האי גוונא לא גזרינן דא"כ היכי שרא לדבי ריש גלותא לגזור אטו לא נתנהו למינקת אלא לא גזרינן אלא שמא תחזור בה המינקת או שתמהר לגומלו דודאי מינכר בין נתנה למניקה ובין לא נתנה למניקה ובין גמלתו ללא גמלתו וכן משמע הלשון מינקת שמת בעלה שהיתה מניקתו כשמת בעלה ומטעם זה נמי נראה להתיר אשה שדדיה צמקו ואינה רגילה להניק לעולם</w:t>
      </w:r>
      <w:r>
        <w:rPr>
          <w:rStyle w:val="Style1Char"/>
          <w:rFonts w:hint="cs"/>
          <w:color w:val="4472C4" w:themeColor="accent1"/>
        </w:rPr>
        <w:t>‍</w:t>
      </w:r>
      <w:r w:rsidRPr="00F24BFA">
        <w:rPr>
          <w:rStyle w:val="Style1Char"/>
          <w:color w:val="4472C4" w:themeColor="accent1"/>
          <w:rtl/>
        </w:rPr>
        <w:t xml:space="preserve"> או שפסק חלבה בחיי בעלה ושכרו לו מינקת בחיי בעלה וה"ר שמשון הזקן ז"ל היה אומר דגרושה אינה צריכה להמתין עשרים וארבעה חדש שאין עליה להניק את בנה הואיל ובעלה קיים והביא ראיה מההיא דלעיל (דף נט ב) </w:t>
      </w:r>
      <w:r>
        <w:rPr>
          <w:rStyle w:val="Style1Char"/>
          <w:rFonts w:hint="cs"/>
          <w:color w:val="4472C4" w:themeColor="accent1"/>
        </w:rPr>
        <w:t>‍</w:t>
      </w:r>
      <w:r w:rsidRPr="00F24BFA">
        <w:rPr>
          <w:rStyle w:val="Style1Char"/>
          <w:color w:val="4472C4" w:themeColor="accent1"/>
          <w:rtl/>
        </w:rPr>
        <w:t>נתגרשה אינו כופה</w:t>
      </w:r>
      <w:r>
        <w:rPr>
          <w:rStyle w:val="Style1Char"/>
          <w:rFonts w:hint="cs"/>
          <w:color w:val="4472C4" w:themeColor="accent1"/>
        </w:rPr>
        <w:t>‍</w:t>
      </w:r>
      <w:r w:rsidRPr="00F24BFA">
        <w:rPr>
          <w:rStyle w:val="Style1Char"/>
          <w:color w:val="4472C4" w:themeColor="accent1"/>
          <w:rtl/>
        </w:rPr>
        <w:t xml:space="preserve"> ואין חילוק בין נדרה ללא נדרה אבל כשמת בעלה אף על פי שאינה מחוייבת להניקו מ"מ כיון שאין לו אב עשו חכמים תקנה שתניק האם ור"ת אומר דאסורה לינשא מדתנינן בפ' החולץ (דף מב א) לא ישא אדם מעוברת חבירו</w:t>
      </w:r>
      <w:r>
        <w:rPr>
          <w:rStyle w:val="Style1Char"/>
          <w:rFonts w:hint="cs"/>
          <w:color w:val="4472C4" w:themeColor="accent1"/>
        </w:rPr>
        <w:t>‍</w:t>
      </w:r>
      <w:r w:rsidRPr="00F24BFA">
        <w:rPr>
          <w:rStyle w:val="Style1Char"/>
          <w:color w:val="4472C4" w:themeColor="accent1"/>
          <w:rtl/>
        </w:rPr>
        <w:t xml:space="preserve"> ומינקת חבירו קפסיק ותני ל"ש נתגרשה ול"ש לא נתגרשה. ועוד הביא ראיה מדמפרש התם (דף מב ב) משום דסתם מעוברת למניקה קיימא דמשמע היינו טעמא דמניקה היינו טעמא דמעוברת ולמאי דהוה מפרש מעיקרא דטעמא דמעוברת משום דחסא אין שייך לחלק בין מעוברת גרושה לשאינה גרושה ואף על גב דהדר מההוא טעמא מדמפרש טעמא משום דסתם מעוברת למניקה קיימא</w:t>
      </w:r>
      <w:r>
        <w:rPr>
          <w:rStyle w:val="Style1Char"/>
          <w:rFonts w:hint="cs"/>
          <w:color w:val="4472C4" w:themeColor="accent1"/>
        </w:rPr>
        <w:t>‍</w:t>
      </w:r>
      <w:r w:rsidRPr="00F24BFA">
        <w:rPr>
          <w:rStyle w:val="Style1Char"/>
          <w:color w:val="4472C4" w:themeColor="accent1"/>
          <w:rtl/>
        </w:rPr>
        <w:t xml:space="preserve"> מגופא דמילתא דמעוברת דאיירי אפילו בגרושה לא הדר ביה וכן כתב בשאלתות בפרשת וירא</w:t>
      </w:r>
      <w:r>
        <w:rPr>
          <w:rStyle w:val="Style1Char"/>
          <w:rFonts w:hint="cs"/>
          <w:color w:val="4472C4" w:themeColor="accent1"/>
        </w:rPr>
        <w:t>‍</w:t>
      </w:r>
      <w:r w:rsidRPr="00F24BFA">
        <w:rPr>
          <w:rStyle w:val="Style1Char"/>
          <w:color w:val="4472C4" w:themeColor="accent1"/>
          <w:rtl/>
        </w:rPr>
        <w:t xml:space="preserve"> דאילו איתתא דפטרה בעלה או דמית בעלה בעי לאמתוני כל יומי מניקותא</w:t>
      </w:r>
      <w:r w:rsidRPr="00F24BFA">
        <w:rPr>
          <w:rStyle w:val="Style1Char"/>
          <w:color w:val="4472C4" w:themeColor="accent1"/>
        </w:rPr>
        <w:t xml:space="preserve">: </w:t>
      </w:r>
    </w:p>
    <w:p w14:paraId="295E2215" w14:textId="30F86ED3" w:rsidR="002C4635" w:rsidRDefault="002C4635" w:rsidP="002C4635">
      <w:pPr>
        <w:bidi/>
        <w:rPr>
          <w:rStyle w:val="Style1Char"/>
          <w:color w:val="00B050"/>
          <w:rtl/>
        </w:rPr>
      </w:pPr>
      <w:r w:rsidRPr="002602CA">
        <w:rPr>
          <w:rStyle w:val="Style1Char"/>
          <w:color w:val="auto"/>
          <w:rtl/>
        </w:rPr>
        <w:t xml:space="preserve">. </w:t>
      </w:r>
      <w:r w:rsidRPr="002602CA">
        <w:rPr>
          <w:rStyle w:val="Style1Char"/>
          <w:color w:val="auto"/>
          <w:sz w:val="22"/>
          <w:szCs w:val="22"/>
          <w:rtl/>
        </w:rPr>
        <w:t xml:space="preserve">תנו רבנן: </w:t>
      </w:r>
      <w:r w:rsidR="00C37521">
        <w:rPr>
          <w:rStyle w:val="Style1Char"/>
          <w:rFonts w:hint="cs"/>
          <w:rtl/>
        </w:rPr>
        <w:t>(5)</w:t>
      </w:r>
      <w:r w:rsidRPr="002602CA">
        <w:rPr>
          <w:rStyle w:val="Style1Char"/>
          <w:color w:val="auto"/>
          <w:sz w:val="22"/>
          <w:szCs w:val="22"/>
          <w:rtl/>
        </w:rPr>
        <w:t xml:space="preserve">הרי שנתנו לה בן להניק - הרי זו לא תניק עמו לא בנה ולא בן חברתה, </w:t>
      </w:r>
      <w:r w:rsidR="007324F6">
        <w:rPr>
          <w:rStyle w:val="Style1Char"/>
          <w:rFonts w:hint="cs"/>
          <w:rtl/>
        </w:rPr>
        <w:t>(6)</w:t>
      </w:r>
      <w:r w:rsidRPr="002602CA">
        <w:rPr>
          <w:rStyle w:val="Style1Char"/>
          <w:color w:val="auto"/>
          <w:sz w:val="22"/>
          <w:szCs w:val="22"/>
          <w:rtl/>
        </w:rPr>
        <w:t xml:space="preserve">פסקה קימעא אוכלת הרבה, </w:t>
      </w:r>
      <w:r w:rsidR="007324F6">
        <w:rPr>
          <w:rStyle w:val="Style1Char"/>
          <w:rFonts w:hint="cs"/>
          <w:rtl/>
        </w:rPr>
        <w:t>(6)</w:t>
      </w:r>
      <w:r w:rsidRPr="002602CA">
        <w:rPr>
          <w:rStyle w:val="Style1Char"/>
          <w:color w:val="auto"/>
          <w:sz w:val="22"/>
          <w:szCs w:val="22"/>
          <w:rtl/>
        </w:rPr>
        <w:t>לא תאכל עמו דברים הרעים לחלב</w:t>
      </w:r>
      <w:r w:rsidRPr="004750BF">
        <w:rPr>
          <w:rStyle w:val="Style1Char"/>
          <w:sz w:val="22"/>
          <w:szCs w:val="22"/>
          <w:rtl/>
        </w:rPr>
        <w:t>.</w:t>
      </w:r>
      <w:r w:rsidRPr="005F123E">
        <w:rPr>
          <w:rStyle w:val="Style1Char"/>
          <w:color w:val="00B050"/>
          <w:rtl/>
        </w:rPr>
        <w:t xml:space="preserve"> השתא בנה אמרת לא, בן חברתה מיבעיא? מהו דתימא, בנה הוא דחייס עילויה ממציא ליה טפי, אבל בן חברתה, אי לאו דהוה לה מותר לא הוה ממציא ליה, קא משמע לן. </w:t>
      </w:r>
      <w:r w:rsidRPr="00A9127D">
        <w:rPr>
          <w:rStyle w:val="Style1Char"/>
          <w:color w:val="ED7D31" w:themeColor="accent2"/>
          <w:sz w:val="22"/>
          <w:szCs w:val="22"/>
          <w:rtl/>
        </w:rPr>
        <w:t>פסקה קימעא אוכלת הרבה</w:t>
      </w:r>
      <w:r w:rsidRPr="005F123E">
        <w:rPr>
          <w:rStyle w:val="Style1Char"/>
          <w:color w:val="00B050"/>
          <w:rtl/>
        </w:rPr>
        <w:t xml:space="preserve">. </w:t>
      </w:r>
      <w:r w:rsidRPr="00A9127D">
        <w:rPr>
          <w:rStyle w:val="Style1Char"/>
          <w:color w:val="auto"/>
          <w:sz w:val="22"/>
          <w:szCs w:val="22"/>
          <w:rtl/>
        </w:rPr>
        <w:t xml:space="preserve">מהיכא? אמר רב ששת: </w:t>
      </w:r>
      <w:r w:rsidR="00A048A3">
        <w:rPr>
          <w:rStyle w:val="Style1Char"/>
          <w:rFonts w:hint="cs"/>
          <w:rtl/>
        </w:rPr>
        <w:t>(6)</w:t>
      </w:r>
      <w:r w:rsidRPr="00A9127D">
        <w:rPr>
          <w:rStyle w:val="Style1Char"/>
          <w:color w:val="auto"/>
          <w:sz w:val="22"/>
          <w:szCs w:val="22"/>
          <w:rtl/>
        </w:rPr>
        <w:t xml:space="preserve">משלה. </w:t>
      </w:r>
      <w:r w:rsidRPr="002B1F17">
        <w:rPr>
          <w:rStyle w:val="Style1Char"/>
          <w:sz w:val="22"/>
          <w:szCs w:val="22"/>
          <w:rtl/>
        </w:rPr>
        <w:t>לא תאכל עמו דברים הרעים. מאי נינהו? א"ר כהנא: כגון כשות וחזיז,</w:t>
      </w:r>
      <w:r w:rsidRPr="005F123E">
        <w:rPr>
          <w:rStyle w:val="Style1Char"/>
          <w:color w:val="00B050"/>
          <w:rtl/>
        </w:rPr>
        <w:t xml:space="preserve"> ודגים קטנים </w:t>
      </w:r>
      <w:r w:rsidRPr="002B1F17">
        <w:rPr>
          <w:rStyle w:val="Style1Char"/>
          <w:sz w:val="22"/>
          <w:szCs w:val="22"/>
          <w:rtl/>
        </w:rPr>
        <w:t>ואדמה</w:t>
      </w:r>
      <w:r w:rsidRPr="005F123E">
        <w:rPr>
          <w:rStyle w:val="Style1Char"/>
          <w:color w:val="00B050"/>
          <w:rtl/>
        </w:rPr>
        <w:t xml:space="preserve">. אביי אמר: אפילו קרא וחבושא. </w:t>
      </w:r>
      <w:r w:rsidRPr="00B826D6">
        <w:rPr>
          <w:rStyle w:val="Style1Char"/>
          <w:sz w:val="22"/>
          <w:szCs w:val="22"/>
          <w:rtl/>
        </w:rPr>
        <w:t xml:space="preserve">רב פפא אמר: אפילו קרא וכופרא. רב אשי אמר: אפי' </w:t>
      </w:r>
      <w:r w:rsidRPr="005F123E">
        <w:rPr>
          <w:rStyle w:val="Style1Char"/>
          <w:color w:val="00B050"/>
          <w:rtl/>
        </w:rPr>
        <w:t xml:space="preserve">כמכא </w:t>
      </w:r>
      <w:r w:rsidRPr="00B826D6">
        <w:rPr>
          <w:rStyle w:val="Style1Char"/>
          <w:color w:val="C00000"/>
          <w:sz w:val="22"/>
          <w:szCs w:val="22"/>
          <w:rtl/>
        </w:rPr>
        <w:t xml:space="preserve">שמכי ושכרא </w:t>
      </w:r>
      <w:r w:rsidRPr="00B826D6">
        <w:rPr>
          <w:rStyle w:val="Style1Char"/>
          <w:sz w:val="22"/>
          <w:szCs w:val="22"/>
          <w:rtl/>
        </w:rPr>
        <w:t>והרסנא. מינייהו פסקי חלבא, מינייהו עכרי חלבא</w:t>
      </w:r>
      <w:r w:rsidRPr="00B826D6">
        <w:rPr>
          <w:rStyle w:val="Style1Char"/>
          <w:color w:val="C00000"/>
          <w:rtl/>
        </w:rPr>
        <w:t xml:space="preserve"> </w:t>
      </w:r>
      <w:r w:rsidRPr="00B826D6">
        <w:rPr>
          <w:rStyle w:val="Style1Char"/>
          <w:color w:val="C00000"/>
          <w:sz w:val="22"/>
          <w:szCs w:val="22"/>
          <w:rtl/>
        </w:rPr>
        <w:t>פירוש שמכי בצלים גדולים:</w:t>
      </w:r>
      <w:r w:rsidRPr="005F123E">
        <w:rPr>
          <w:rStyle w:val="Style1Char"/>
          <w:color w:val="00B050"/>
          <w:rtl/>
        </w:rPr>
        <w:t xml:space="preserve">. דמשמשא בי ריחיא - הוו לה בני נכפי, דמשמשא על ארעא - הוו לה בני שמוטי, דדרכא על רמא דחמרא - הוו לה בני גירדני, דאכלה חרדלא - הוו לה בני זלזלני, דאכלה תחלי - הוו לה בני דולפני, דאכלה מוניני - הוו לה בני מציצי עינא, דאכלה גרגושתא - הוו לה בני מכוערי, דשתיא שיכרא - הוו לה בני אוכמי, דאכלה בישרא ושתיא חמרא - הוו לה בני </w:t>
      </w:r>
    </w:p>
    <w:p w14:paraId="5F83685D" w14:textId="2069C31C" w:rsidR="00D60E66" w:rsidRDefault="00D60E66" w:rsidP="00D60E66">
      <w:pPr>
        <w:pStyle w:val="Style1"/>
        <w:rPr>
          <w:rStyle w:val="Style1Char"/>
          <w:rtl/>
        </w:rPr>
      </w:pPr>
      <w:r>
        <w:rPr>
          <w:rStyle w:val="Style1Char"/>
          <w:rFonts w:hint="cs"/>
          <w:rtl/>
        </w:rPr>
        <w:t>1)[</w:t>
      </w:r>
      <w:r w:rsidRPr="00D60E66">
        <w:rPr>
          <w:rStyle w:val="Style1Char"/>
          <w:rtl/>
        </w:rPr>
        <w:t>רמב</w:t>
      </w:r>
      <w:r w:rsidR="00213DA1">
        <w:rPr>
          <w:rStyle w:val="Style1Char"/>
          <w:rtl/>
        </w:rPr>
        <w:t>”ם \נשים\</w:t>
      </w:r>
      <w:r w:rsidRPr="00D60E66">
        <w:rPr>
          <w:rStyle w:val="Style1Char"/>
          <w:rtl/>
        </w:rPr>
        <w:t xml:space="preserve"> הלכות גירושין פרק יא הלכה כה</w:t>
      </w:r>
      <w:r>
        <w:rPr>
          <w:rStyle w:val="Style1Char"/>
          <w:rFonts w:hint="cs"/>
          <w:rtl/>
        </w:rPr>
        <w:t xml:space="preserve">] </w:t>
      </w:r>
      <w:r w:rsidRPr="00D60E66">
        <w:rPr>
          <w:rStyle w:val="Style1Char"/>
          <w:rtl/>
        </w:rPr>
        <w:t>וכן גזרו חכמים שלא ישא אדם מעוברת חבירו ומניקת חבירו ואף על פי שהזרע ידוע למי הוא, מעוברת שמא יזיק הולד בשעת תשמיש שאינו מקפיד על בן חבירו, ומניקה שמא יתעכר החלב והוא אינו מקפיד לרפאות החלב בדברים המועילין לחלב כשיתעכר.</w:t>
      </w:r>
    </w:p>
    <w:p w14:paraId="3186BCDB" w14:textId="7A4D3B2F" w:rsidR="00020DAA" w:rsidRDefault="00020DAA" w:rsidP="00020DAA">
      <w:pPr>
        <w:pStyle w:val="Style1"/>
        <w:rPr>
          <w:rStyle w:val="Style1Char"/>
          <w:rtl/>
        </w:rPr>
      </w:pPr>
      <w:r>
        <w:rPr>
          <w:rStyle w:val="Style1Char"/>
          <w:rFonts w:hint="cs"/>
          <w:rtl/>
        </w:rPr>
        <w:t>1)[</w:t>
      </w:r>
      <w:r w:rsidRPr="00020DAA">
        <w:rPr>
          <w:rStyle w:val="Style1Char"/>
          <w:rtl/>
        </w:rPr>
        <w:t>רמב</w:t>
      </w:r>
      <w:r w:rsidR="00213DA1">
        <w:rPr>
          <w:rStyle w:val="Style1Char"/>
          <w:rtl/>
        </w:rPr>
        <w:t>”ם \נשים\</w:t>
      </w:r>
      <w:r w:rsidRPr="00020DAA">
        <w:rPr>
          <w:rStyle w:val="Style1Char"/>
          <w:rtl/>
        </w:rPr>
        <w:t xml:space="preserve"> הלכות גירושין פרק יא הלכה כו</w:t>
      </w:r>
      <w:r>
        <w:rPr>
          <w:rStyle w:val="Style1Char"/>
          <w:rFonts w:hint="cs"/>
          <w:rtl/>
        </w:rPr>
        <w:t xml:space="preserve">] </w:t>
      </w:r>
      <w:r w:rsidRPr="00020DAA">
        <w:rPr>
          <w:rStyle w:val="Style1Char"/>
          <w:rtl/>
        </w:rPr>
        <w:t>כמה הוא זמן היניקה, ארבעה ועשרים חדש חוץ מיום שנולד בו ומיום שתתארס בו.</w:t>
      </w:r>
    </w:p>
    <w:p w14:paraId="599EDB92" w14:textId="48AB9828" w:rsidR="00CF0747" w:rsidRDefault="00CF0747" w:rsidP="00CF0747">
      <w:pPr>
        <w:pStyle w:val="Style1"/>
        <w:rPr>
          <w:rtl/>
        </w:rPr>
      </w:pPr>
      <w:r>
        <w:rPr>
          <w:rStyle w:val="Style1Char"/>
          <w:rFonts w:hint="cs"/>
          <w:rtl/>
        </w:rPr>
        <w:t>1)[</w:t>
      </w:r>
      <w:r w:rsidRPr="00CF0747">
        <w:rPr>
          <w:rStyle w:val="Style1Char"/>
          <w:rtl/>
        </w:rPr>
        <w:t>שולחן ערוך אבן העזר הלכות אישות סימן יג סעיף יא</w:t>
      </w:r>
      <w:r>
        <w:rPr>
          <w:rStyle w:val="Style1Char"/>
          <w:rFonts w:hint="cs"/>
          <w:rtl/>
        </w:rPr>
        <w:t>]</w:t>
      </w:r>
      <w:r w:rsidR="008F4E72">
        <w:rPr>
          <w:rStyle w:val="Style1Char"/>
          <w:rFonts w:hint="cs"/>
          <w:rtl/>
        </w:rPr>
        <w:t xml:space="preserve"> </w:t>
      </w:r>
      <w:r w:rsidR="008F4E72" w:rsidRPr="008F4E72">
        <w:rPr>
          <w:rtl/>
        </w:rPr>
        <w:t>גזרו חכמים שלא ישא אדם ולא יקדש מעוברת חבירו ולא מניקת חבירו עד שיהיה לולד כ"ד חדשים </w:t>
      </w:r>
      <w:r w:rsidR="008F4E72" w:rsidRPr="008F4E72">
        <w:rPr>
          <w:rFonts w:hint="cs"/>
          <w:rtl/>
        </w:rPr>
        <w:t>דהיינו כפי מה שקובעין החדשים אחד מלא ואחד חסר (הגהות מרדכי פרק החולץ)</w:t>
      </w:r>
      <w:r w:rsidR="008F4E72" w:rsidRPr="008F4E72">
        <w:rPr>
          <w:rtl/>
        </w:rPr>
        <w:t> חוץ מיום שנולד ויום שנתקדשה בו, וחודש העיבור עולה למניין כ"ד חדש </w:t>
      </w:r>
      <w:r w:rsidR="008F4E72" w:rsidRPr="008F4E72">
        <w:rPr>
          <w:rFonts w:hint="cs"/>
        </w:rPr>
        <w:t>(</w:t>
      </w:r>
      <w:r w:rsidR="008F4E72" w:rsidRPr="008F4E72">
        <w:rPr>
          <w:rFonts w:hint="cs"/>
          <w:rtl/>
        </w:rPr>
        <w:t>ויש אומרים דלכתחילה יחוש אפילו לחודש העיבור</w:t>
      </w:r>
      <w:r w:rsidR="008F4E72" w:rsidRPr="008F4E72">
        <w:rPr>
          <w:rFonts w:hint="cs"/>
        </w:rPr>
        <w:t>) (</w:t>
      </w:r>
      <w:hyperlink r:id="rId128" w:tooltip="תרומת הדשן/א/רטז" w:history="1">
        <w:r w:rsidR="008F4E72" w:rsidRPr="008F4E72">
          <w:rPr>
            <w:rFonts w:hint="cs"/>
            <w:rtl/>
          </w:rPr>
          <w:t>תרומת הדשן סימן רי"ו</w:t>
        </w:r>
      </w:hyperlink>
      <w:r w:rsidR="008F4E72" w:rsidRPr="008F4E72">
        <w:rPr>
          <w:rFonts w:hint="cs"/>
        </w:rPr>
        <w:t>)</w:t>
      </w:r>
      <w:r w:rsidR="008F4E72" w:rsidRPr="008F4E72">
        <w:t xml:space="preserve">, </w:t>
      </w:r>
      <w:r w:rsidR="008F4E72" w:rsidRPr="008F4E72">
        <w:rPr>
          <w:rtl/>
        </w:rPr>
        <w:t>בין שהיא אלמנה בין שהיא גרושה, בין שהיא מזנה </w:t>
      </w:r>
      <w:r w:rsidR="008F4E72" w:rsidRPr="008F4E72">
        <w:rPr>
          <w:rFonts w:hint="cs"/>
          <w:rtl/>
        </w:rPr>
        <w:t>(ויש מקילין במזנה) (הגהות מרדכי פרק החולץ בשם י"א). ויש להקל במופקרת לזנות, כדי שיהא בעלה משמרה (תשובת ר"י מינץ סימן ה')</w:t>
      </w:r>
      <w:r w:rsidR="008F4E72" w:rsidRPr="008F4E72">
        <w:t xml:space="preserve">. </w:t>
      </w:r>
      <w:r w:rsidR="008F4E72" w:rsidRPr="008F4E72">
        <w:rPr>
          <w:rtl/>
        </w:rPr>
        <w:t>אפילו נתנה בנה למינקת או גמלתו בתוך כ"ד חודש לא תינשא, אפילו נשבעה המינקת או נדרה על דעת רבים שלא תחזור בה </w:t>
      </w:r>
      <w:r w:rsidR="008F4E72" w:rsidRPr="008F4E72">
        <w:rPr>
          <w:rFonts w:hint="cs"/>
          <w:rtl/>
        </w:rPr>
        <w:t>(ויש אומרים דאם נשבעה המינקת וכנס לא יוציא) (הגהות מרדכי דכתובות)</w:t>
      </w:r>
      <w:r w:rsidR="008F4E72" w:rsidRPr="008F4E72">
        <w:t xml:space="preserve">. </w:t>
      </w:r>
      <w:r w:rsidR="008F4E72" w:rsidRPr="008F4E72">
        <w:rPr>
          <w:rtl/>
        </w:rPr>
        <w:t>אפילו אם נשבעה לאדם גדול, כמו אלו שהולכים בחצר המלך. אבל אם מת בנה, מותרת לינשא, ואין חוששין שמא תהרגהו. וכן אם גמלתו בחיי בעלה, או שאינו חולבת לעולם, כגון שיש לה צימוק דדים, או שפסק חלבה בחיי בעלה ושכרו לו מינקת בחיי בעלה, או שנתנה בנה למניקה שלשה חדשים קודם מיתת בעלה והיא לא הניקה כלל תוך הג' חדשים, מותרת לינשא</w:t>
      </w:r>
      <w:r w:rsidR="008F4E72" w:rsidRPr="008F4E72">
        <w:t>:</w:t>
      </w:r>
    </w:p>
    <w:p w14:paraId="79F91430" w14:textId="3F0D0C5C" w:rsidR="0021359F" w:rsidRDefault="0021359F" w:rsidP="0021359F">
      <w:pPr>
        <w:pStyle w:val="Style1"/>
        <w:rPr>
          <w:rtl/>
        </w:rPr>
      </w:pPr>
      <w:r>
        <w:rPr>
          <w:rFonts w:hint="cs"/>
          <w:rtl/>
        </w:rPr>
        <w:t>2)[</w:t>
      </w:r>
      <w:r>
        <w:rPr>
          <w:rtl/>
        </w:rPr>
        <w:t>רמב</w:t>
      </w:r>
      <w:r w:rsidR="0057095E">
        <w:rPr>
          <w:rtl/>
        </w:rPr>
        <w:t>”ם \מדע\</w:t>
      </w:r>
      <w:r>
        <w:rPr>
          <w:rtl/>
        </w:rPr>
        <w:t xml:space="preserve"> הלכות תלמוד תורה פרק ה הלכה ב</w:t>
      </w:r>
      <w:r>
        <w:rPr>
          <w:rFonts w:hint="cs"/>
          <w:rtl/>
        </w:rPr>
        <w:t xml:space="preserve">] </w:t>
      </w:r>
      <w:r>
        <w:rPr>
          <w:rtl/>
        </w:rPr>
        <w:t>איזהו חולק על רבו זה שקובע לו מדרש ויושב ודורש ומלמד שלא ברשות רבו ורבו קיים ואף על פי שרבו במדינה אחרת, ואסור לאדם להורות בפני רבו לעולם, וכל המורה הלכה בפני רבו חייב מיתה.</w:t>
      </w:r>
    </w:p>
    <w:p w14:paraId="3C286D0E" w14:textId="53EC5BF7" w:rsidR="003B5DA6" w:rsidRDefault="003B5DA6" w:rsidP="003B5DA6">
      <w:pPr>
        <w:pStyle w:val="Style1"/>
        <w:rPr>
          <w:rtl/>
        </w:rPr>
      </w:pPr>
      <w:r>
        <w:rPr>
          <w:rFonts w:hint="cs"/>
          <w:rtl/>
        </w:rPr>
        <w:t>2)[</w:t>
      </w:r>
      <w:r>
        <w:rPr>
          <w:rtl/>
        </w:rPr>
        <w:t>רמב</w:t>
      </w:r>
      <w:r w:rsidR="005258D6">
        <w:rPr>
          <w:rtl/>
        </w:rPr>
        <w:t>”</w:t>
      </w:r>
      <w:r>
        <w:rPr>
          <w:rtl/>
        </w:rPr>
        <w:t>ם</w:t>
      </w:r>
      <w:r w:rsidR="005258D6">
        <w:rPr>
          <w:rtl/>
        </w:rPr>
        <w:t xml:space="preserve">\שופטים\ </w:t>
      </w:r>
      <w:r>
        <w:rPr>
          <w:rtl/>
        </w:rPr>
        <w:t xml:space="preserve"> הלכות סנהדרין פרק כ הלכה ט</w:t>
      </w:r>
      <w:r>
        <w:rPr>
          <w:rFonts w:hint="cs"/>
          <w:rtl/>
        </w:rPr>
        <w:t xml:space="preserve">] </w:t>
      </w:r>
      <w:r>
        <w:rPr>
          <w:rtl/>
        </w:rPr>
        <w:t>תלמיד אל יורה הלכה לפני רבו אלא אם כן היה רחוק ממנו שלש פרסאות כנגד מחנה ישראל.</w:t>
      </w:r>
    </w:p>
    <w:p w14:paraId="292B718C" w14:textId="60EAE899" w:rsidR="007044D4" w:rsidRPr="007044D4" w:rsidRDefault="000C4965" w:rsidP="007044D4">
      <w:pPr>
        <w:pStyle w:val="Style1"/>
      </w:pPr>
      <w:r>
        <w:rPr>
          <w:rFonts w:hint="cs"/>
          <w:rtl/>
        </w:rPr>
        <w:t>2)[</w:t>
      </w:r>
      <w:r>
        <w:rPr>
          <w:rtl/>
        </w:rPr>
        <w:t>שולחן ערוך יורה דעה הלכות כבוד רבו ותלמיד חכם סימן רמב סעיף ד</w:t>
      </w:r>
      <w:r>
        <w:rPr>
          <w:rFonts w:hint="cs"/>
          <w:rtl/>
        </w:rPr>
        <w:t>]</w:t>
      </w:r>
      <w:r w:rsidR="007044D4">
        <w:rPr>
          <w:rFonts w:hint="cs"/>
          <w:rtl/>
        </w:rPr>
        <w:t xml:space="preserve"> </w:t>
      </w:r>
      <w:r w:rsidR="007044D4" w:rsidRPr="007044D4">
        <w:rPr>
          <w:rtl/>
        </w:rPr>
        <w:t>אסור לאדם להורות לפני רבו לעולם וכל המורה לפניו חייב מיתה</w:t>
      </w:r>
      <w:r w:rsidR="007044D4" w:rsidRPr="007044D4">
        <w:t>:</w:t>
      </w:r>
    </w:p>
    <w:p w14:paraId="02AFE141" w14:textId="77777777" w:rsidR="007044D4" w:rsidRPr="007044D4" w:rsidRDefault="007044D4" w:rsidP="007044D4">
      <w:pPr>
        <w:pStyle w:val="Style1"/>
      </w:pPr>
      <w:r w:rsidRPr="007044D4">
        <w:rPr>
          <w:rFonts w:hint="cs"/>
          <w:rtl/>
        </w:rPr>
        <w:t>הגה</w:t>
      </w:r>
      <w:r w:rsidRPr="007044D4">
        <w:rPr>
          <w:rFonts w:hint="cs"/>
        </w:rPr>
        <w:t>: </w:t>
      </w:r>
      <w:r w:rsidRPr="007044D4">
        <w:rPr>
          <w:rFonts w:hint="cs"/>
          <w:rtl/>
        </w:rPr>
        <w:t>ואפילו נטילת רשות לא מהני תוך שלש פרסאות אם הוא רבו מובהק (ב"י בשם תוס' פ"ק דסנהדרין ומהרי"ק שורש ק"ע ואגודה שם וסמ"ק סוף עשין י"ג בשם ר"י ופרק אע"פ)</w:t>
      </w:r>
      <w:r w:rsidRPr="007044D4">
        <w:t>:</w:t>
      </w:r>
    </w:p>
    <w:p w14:paraId="3061227A" w14:textId="77777777" w:rsidR="007044D4" w:rsidRPr="007044D4" w:rsidRDefault="007044D4" w:rsidP="007044D4">
      <w:pPr>
        <w:pStyle w:val="Style1"/>
      </w:pPr>
      <w:r w:rsidRPr="007044D4">
        <w:rPr>
          <w:rtl/>
        </w:rPr>
        <w:lastRenderedPageBreak/>
        <w:t>ואם הוא רחוק מרבו י"ב מיל ושאל לו אדם דבר הלכה בדרך מקרה יכול להשיב אבל לקבוע עצמו להוראה ולישב ולהורות אפילו הוא בסוף העולם אסור להורות עד שימות רבו או עד שיתן לו רשות</w:t>
      </w:r>
      <w:r w:rsidRPr="007044D4">
        <w:t>:</w:t>
      </w:r>
    </w:p>
    <w:p w14:paraId="19746E14" w14:textId="77777777" w:rsidR="007044D4" w:rsidRPr="007044D4" w:rsidRDefault="007044D4" w:rsidP="007044D4">
      <w:pPr>
        <w:pStyle w:val="Style1"/>
      </w:pPr>
      <w:r w:rsidRPr="007044D4">
        <w:rPr>
          <w:rFonts w:hint="cs"/>
          <w:rtl/>
        </w:rPr>
        <w:t>הגה</w:t>
      </w:r>
      <w:r w:rsidRPr="007044D4">
        <w:rPr>
          <w:rFonts w:hint="cs"/>
        </w:rPr>
        <w:t>: </w:t>
      </w:r>
      <w:r w:rsidRPr="007044D4">
        <w:rPr>
          <w:rFonts w:hint="cs"/>
          <w:rtl/>
        </w:rPr>
        <w:t>וכל זה ברבו מובהק אבל בתלמיד חבר אפי' תוך שלשה פרסאות שרי (רי"ף ורמב"ם כדאיתא בב"י) וי"א דמ"מ לפני רבו ממש אסור</w:t>
      </w:r>
      <w:r w:rsidRPr="007044D4">
        <w:rPr>
          <w:rFonts w:hint="cs"/>
        </w:rPr>
        <w:t xml:space="preserve"> (</w:t>
      </w:r>
      <w:hyperlink r:id="rId129" w:tooltip="תשובות ריב&quot;ש/רעא" w:history="1">
        <w:r w:rsidRPr="007044D4">
          <w:rPr>
            <w:rStyle w:val="Hyperlink"/>
            <w:rFonts w:hint="cs"/>
            <w:color w:val="7030A0"/>
            <w:u w:val="none"/>
            <w:rtl/>
          </w:rPr>
          <w:t>ריב"ש סי' רע"א</w:t>
        </w:r>
      </w:hyperlink>
      <w:r w:rsidRPr="007044D4">
        <w:rPr>
          <w:rFonts w:hint="cs"/>
        </w:rPr>
        <w:t xml:space="preserve">) </w:t>
      </w:r>
      <w:r w:rsidRPr="007044D4">
        <w:rPr>
          <w:rFonts w:hint="cs"/>
          <w:rtl/>
        </w:rPr>
        <w:t>ואפי' שלא בפניו ממש אם התחילו בכבוד הרב לומר שישאלו לרב או שהרב מופלג בחכמה וזקנה אין להורות בעירו (בב"י מגמרא בפ' הדר</w:t>
      </w:r>
      <w:r w:rsidRPr="007044D4">
        <w:rPr>
          <w:rFonts w:hint="cs"/>
        </w:rPr>
        <w:t>)</w:t>
      </w:r>
      <w:r w:rsidRPr="007044D4">
        <w:t>:</w:t>
      </w:r>
    </w:p>
    <w:p w14:paraId="22AFB1E2" w14:textId="77777777" w:rsidR="007044D4" w:rsidRPr="007044D4" w:rsidRDefault="007044D4" w:rsidP="007044D4">
      <w:pPr>
        <w:pStyle w:val="Style1"/>
      </w:pPr>
      <w:r w:rsidRPr="007044D4">
        <w:rPr>
          <w:rtl/>
        </w:rPr>
        <w:t>וי"א דתלמיד גמור תוך י"ב מיל חייב מיתה אם הוא מורה חוץ לי"ב מיל פטור אבל אסור</w:t>
      </w:r>
      <w:r w:rsidRPr="007044D4">
        <w:t>:</w:t>
      </w:r>
    </w:p>
    <w:p w14:paraId="494802EB" w14:textId="77777777" w:rsidR="007044D4" w:rsidRPr="007044D4" w:rsidRDefault="007044D4" w:rsidP="007044D4">
      <w:pPr>
        <w:pStyle w:val="Style1"/>
      </w:pPr>
      <w:r w:rsidRPr="007044D4">
        <w:rPr>
          <w:rFonts w:hint="cs"/>
          <w:rtl/>
        </w:rPr>
        <w:t>הגה</w:t>
      </w:r>
      <w:r w:rsidRPr="007044D4">
        <w:rPr>
          <w:rFonts w:hint="cs"/>
        </w:rPr>
        <w:t>: </w:t>
      </w:r>
      <w:r w:rsidRPr="007044D4">
        <w:rPr>
          <w:rFonts w:hint="cs"/>
          <w:rtl/>
        </w:rPr>
        <w:t>וי"א דדוקא ברגיל לבא לעירו של תלמיד אבל אם אינו רגיל לבא שם רק בדרך אקראי מותר כל שהוא חוץ לג' פרסאות (מרדכי בשם ריב"א)</w:t>
      </w:r>
      <w:r w:rsidRPr="007044D4">
        <w:t>:</w:t>
      </w:r>
    </w:p>
    <w:p w14:paraId="6AA4C6B6" w14:textId="77777777" w:rsidR="007044D4" w:rsidRPr="007044D4" w:rsidRDefault="007044D4" w:rsidP="007044D4">
      <w:pPr>
        <w:pStyle w:val="Style1"/>
      </w:pPr>
      <w:r w:rsidRPr="007044D4">
        <w:rPr>
          <w:rtl/>
        </w:rPr>
        <w:t>תלמיד חבר תוך י"ב מיל פטור אבל אסור וחוץ לי"ב מיל מותר אע"פ שנטל רשות מרב אחד לא סגי עד שיטול רשות מכל רבותיו המובהקים</w:t>
      </w:r>
      <w:r w:rsidRPr="007044D4">
        <w:t>:</w:t>
      </w:r>
    </w:p>
    <w:p w14:paraId="4E68300C" w14:textId="149608F0" w:rsidR="007044D4" w:rsidRDefault="007044D4" w:rsidP="007044D4">
      <w:pPr>
        <w:pStyle w:val="Style1"/>
        <w:rPr>
          <w:rtl/>
        </w:rPr>
      </w:pPr>
      <w:r w:rsidRPr="007044D4">
        <w:rPr>
          <w:rFonts w:hint="cs"/>
          <w:rtl/>
        </w:rPr>
        <w:t>הגה</w:t>
      </w:r>
      <w:r w:rsidRPr="007044D4">
        <w:rPr>
          <w:rFonts w:hint="cs"/>
        </w:rPr>
        <w:t>: </w:t>
      </w:r>
      <w:r w:rsidRPr="007044D4">
        <w:rPr>
          <w:rFonts w:hint="cs"/>
          <w:rtl/>
        </w:rPr>
        <w:t>והאי מובהקים לא מיירי כשאר רבו מובהק שרוב חכמתו ממנו דא"כ לא אפשר להיות לו הרבה רבותיו מובהקים אלא ר"ל תלמיד גמור לאפוקי תלמיד חבר דהיינו שנתגדל בתורה ונעשה חבר לרבו דהיינו שהוא קרוב להיות גדול כרבו (מהרי"ק שורש ק"ע וב"י בשם רשב"ם פ' יש נוחלין) מיהו יש חולקין וסבירא להו דאי קבל רשות מרבו אחד מהני להורות חוץ לג' פרסאות (תשובת הרשב"א סי' קי"א ו</w:t>
      </w:r>
      <w:hyperlink r:id="rId130" w:tooltip="תשובות ריב&quot;ש/רפא" w:history="1">
        <w:r w:rsidRPr="007044D4">
          <w:rPr>
            <w:rStyle w:val="Hyperlink"/>
            <w:rFonts w:hint="cs"/>
            <w:color w:val="7030A0"/>
            <w:u w:val="none"/>
            <w:rtl/>
          </w:rPr>
          <w:t>ריב"ש סי' רפ"א</w:t>
        </w:r>
      </w:hyperlink>
      <w:r w:rsidRPr="007044D4">
        <w:rPr>
          <w:rFonts w:hint="cs"/>
        </w:rPr>
        <w:t xml:space="preserve">) </w:t>
      </w:r>
      <w:r w:rsidRPr="007044D4">
        <w:rPr>
          <w:rFonts w:hint="cs"/>
          <w:rtl/>
        </w:rPr>
        <w:t>אבל תוך ג' פרסאות לא מהני ליה וי"א דכל שאינו רבו מובהק דהיינו שאין רוב חכמתו ממנו תלמיד חבר הוא (ב"י בשם הרמב"ם</w:t>
      </w:r>
      <w:r w:rsidRPr="007044D4">
        <w:rPr>
          <w:rFonts w:hint="cs"/>
        </w:rPr>
        <w:t>)</w:t>
      </w:r>
      <w:r w:rsidRPr="007044D4">
        <w:t>:</w:t>
      </w:r>
    </w:p>
    <w:p w14:paraId="5AE19955" w14:textId="7BBAE188" w:rsidR="003A1C79" w:rsidRDefault="003A1C79" w:rsidP="003A1C79">
      <w:pPr>
        <w:pStyle w:val="Style1"/>
        <w:rPr>
          <w:rtl/>
        </w:rPr>
      </w:pPr>
      <w:r>
        <w:rPr>
          <w:rFonts w:hint="cs"/>
          <w:rtl/>
        </w:rPr>
        <w:t>3)[</w:t>
      </w:r>
      <w:r>
        <w:rPr>
          <w:rtl/>
        </w:rPr>
        <w:t>רמב</w:t>
      </w:r>
      <w:r w:rsidR="00213DA1">
        <w:rPr>
          <w:rtl/>
        </w:rPr>
        <w:t>”ם \נשים\</w:t>
      </w:r>
      <w:r>
        <w:rPr>
          <w:rtl/>
        </w:rPr>
        <w:t xml:space="preserve"> הלכות גירושין פרק יא הלכה כז</w:t>
      </w:r>
      <w:r>
        <w:rPr>
          <w:rFonts w:hint="cs"/>
          <w:rtl/>
        </w:rPr>
        <w:t xml:space="preserve">] </w:t>
      </w:r>
      <w:r>
        <w:rPr>
          <w:rtl/>
        </w:rPr>
        <w:t>כשם שאסור לישא כך אסור לארס עד אחר זמן זה, ואפילו נתנה בנה למניקה או שגמלתהו בתוך ארבעה ועשרים חדש לא תנשא, מת בנה מותרת לינשא ואין חוששין שמא תהרגנו.</w:t>
      </w:r>
    </w:p>
    <w:p w14:paraId="3B95B7D9" w14:textId="6942843E" w:rsidR="000449D0" w:rsidRDefault="000449D0" w:rsidP="000449D0">
      <w:pPr>
        <w:pStyle w:val="Style1"/>
        <w:rPr>
          <w:rtl/>
        </w:rPr>
      </w:pPr>
      <w:r>
        <w:rPr>
          <w:rFonts w:hint="cs"/>
          <w:rtl/>
        </w:rPr>
        <w:t>4)[</w:t>
      </w:r>
      <w:r>
        <w:rPr>
          <w:rtl/>
        </w:rPr>
        <w:t>רמב</w:t>
      </w:r>
      <w:r w:rsidR="00213DA1">
        <w:rPr>
          <w:rtl/>
        </w:rPr>
        <w:t>”ם \נשים\</w:t>
      </w:r>
      <w:r>
        <w:rPr>
          <w:rtl/>
        </w:rPr>
        <w:t xml:space="preserve"> הלכות גירושין פרק יא הלכה יח</w:t>
      </w:r>
      <w:r>
        <w:rPr>
          <w:rFonts w:hint="cs"/>
          <w:rtl/>
        </w:rPr>
        <w:t xml:space="preserve">] </w:t>
      </w:r>
      <w:r>
        <w:rPr>
          <w:rtl/>
        </w:rPr>
        <w:t>כל אשה שנתגרשה או שנתאלמנה הרי זו לא תנשא ולא תתארס עד שתמתין תשעים יום חוץ מיום שנתגרשה או שמת בעלה בו וחוץ מיום שנתארסה בו, כדי שיודע אם היא מעוברת או אינה מעוברת להבחין בין זרעו של ראשון לזרעו של שני.</w:t>
      </w:r>
    </w:p>
    <w:p w14:paraId="47ABECF6" w14:textId="75E574A4" w:rsidR="00085E4A" w:rsidRPr="00085E4A" w:rsidRDefault="00325F3C" w:rsidP="00085E4A">
      <w:pPr>
        <w:pStyle w:val="Style1"/>
      </w:pPr>
      <w:r>
        <w:rPr>
          <w:rFonts w:hint="cs"/>
          <w:rtl/>
        </w:rPr>
        <w:t>4)[</w:t>
      </w:r>
      <w:r>
        <w:rPr>
          <w:rtl/>
        </w:rPr>
        <w:t>שולחן ערוך אבן העזר הלכות אישות סימן יג סעיף א</w:t>
      </w:r>
      <w:r>
        <w:rPr>
          <w:rFonts w:hint="cs"/>
          <w:rtl/>
        </w:rPr>
        <w:t>]</w:t>
      </w:r>
      <w:r w:rsidR="00085E4A">
        <w:rPr>
          <w:rFonts w:hint="cs"/>
          <w:rtl/>
        </w:rPr>
        <w:t xml:space="preserve"> </w:t>
      </w:r>
      <w:r w:rsidR="00085E4A" w:rsidRPr="00085E4A">
        <w:rPr>
          <w:rtl/>
        </w:rPr>
        <w:t>כל אשה שנתגרשה או שנתאלמנה, הרי זו לא תינשא ולא תתארס לאחר עד שתמתין צ' יום חוץ מיום שנתגרשה או שמת בעלה בו וחוץ מיום שנתארסה בו, כדי שייוודע אם היא מעוברת או אינה מעוברת, להבחין בין זרעו של ראשון לזרעו של אחרון </w:t>
      </w:r>
      <w:r w:rsidR="00085E4A" w:rsidRPr="00085E4A">
        <w:rPr>
          <w:rFonts w:hint="cs"/>
          <w:rtl/>
        </w:rPr>
        <w:t>(אבל מותרת לעשות שידוכים בלא אירוסין (ב"י בשם תשובת הרא"ש ות"ה סימן רי"ז) רק שלא יכנוס עמה בבית) (שם)</w:t>
      </w:r>
      <w:r w:rsidR="00085E4A" w:rsidRPr="00085E4A">
        <w:t xml:space="preserve">. </w:t>
      </w:r>
      <w:r w:rsidR="00085E4A" w:rsidRPr="00085E4A">
        <w:rPr>
          <w:rtl/>
        </w:rPr>
        <w:t>ומיום כתיבת הגט מונים למגורשת, ואפילו היה על תנאי או שלא הגיע לידה אלא לאחר כמה שנים מיום הכתיבה מונים, שהרי אינו מתייחד עמה משכתבו לה</w:t>
      </w:r>
      <w:r w:rsidR="00085E4A" w:rsidRPr="00085E4A">
        <w:t>:</w:t>
      </w:r>
    </w:p>
    <w:p w14:paraId="29AE686B" w14:textId="77777777" w:rsidR="00085E4A" w:rsidRPr="00085E4A" w:rsidRDefault="00085E4A" w:rsidP="00085E4A">
      <w:pPr>
        <w:pStyle w:val="Style1"/>
      </w:pPr>
      <w:r w:rsidRPr="00085E4A">
        <w:rPr>
          <w:rFonts w:hint="cs"/>
          <w:rtl/>
        </w:rPr>
        <w:t>הגה</w:t>
      </w:r>
      <w:r w:rsidRPr="00085E4A">
        <w:rPr>
          <w:rFonts w:hint="cs"/>
        </w:rPr>
        <w:t>: </w:t>
      </w:r>
      <w:r w:rsidRPr="00085E4A">
        <w:rPr>
          <w:rFonts w:hint="cs"/>
          <w:rtl/>
        </w:rPr>
        <w:t>ויש אומרים דמונים מיום נתינת הגט (טור בשם הרא"ש וכן ראוי להחמיר, כן נראה לי)</w:t>
      </w:r>
      <w:r w:rsidRPr="00085E4A">
        <w:t>.</w:t>
      </w:r>
    </w:p>
    <w:p w14:paraId="22E89C8D" w14:textId="442907C3" w:rsidR="00085E4A" w:rsidRDefault="00085E4A" w:rsidP="00085E4A">
      <w:pPr>
        <w:pStyle w:val="Style1"/>
        <w:rPr>
          <w:rtl/>
        </w:rPr>
      </w:pPr>
      <w:r w:rsidRPr="00085E4A">
        <w:rPr>
          <w:rtl/>
        </w:rPr>
        <w:t>וגזירת חכמים היא, שאפילו האשה שאינה ראויה לילד ואפילו נתגרשה או נתאלמנה מן האירוסין, צריכה להמתין צ' יום, אפילו קטנה או זקנה או עקרה או איילונית, ואפילו בעלה במדינת הים או סריס אדם או חולה או חבוש בבית האסורים, והמפלת אחר מיתת בעלה, ואפילו בתולה מהאירוסין צריכות להמתין צ' יום</w:t>
      </w:r>
      <w:r w:rsidRPr="00085E4A">
        <w:t>:</w:t>
      </w:r>
    </w:p>
    <w:p w14:paraId="751BA7CB" w14:textId="33423661" w:rsidR="00E01002" w:rsidRDefault="00E01002" w:rsidP="00E01002">
      <w:pPr>
        <w:pStyle w:val="Style1"/>
        <w:rPr>
          <w:rtl/>
        </w:rPr>
      </w:pPr>
      <w:r>
        <w:rPr>
          <w:rFonts w:hint="cs"/>
          <w:rtl/>
        </w:rPr>
        <w:t>5)[</w:t>
      </w:r>
      <w:r>
        <w:rPr>
          <w:rtl/>
        </w:rPr>
        <w:t>רמב</w:t>
      </w:r>
      <w:r w:rsidR="00213DA1">
        <w:rPr>
          <w:rtl/>
        </w:rPr>
        <w:t>”ם \נשים\</w:t>
      </w:r>
      <w:r>
        <w:rPr>
          <w:rtl/>
        </w:rPr>
        <w:t xml:space="preserve"> הלכות אישות פרק כא הלכה יב</w:t>
      </w:r>
      <w:r>
        <w:rPr>
          <w:rFonts w:hint="cs"/>
          <w:rtl/>
        </w:rPr>
        <w:t xml:space="preserve">] </w:t>
      </w:r>
      <w:r>
        <w:rPr>
          <w:rtl/>
        </w:rPr>
        <w:t>ילדה תאומים אין כופין אותה להניק שניהם אלא מניקה אחד ושוכר הבעל מניקה לשני, הרי שרצת האשה להניק בן חבירתה עם בנה הבעל מעכב ואינו מניחה אלא להניק בנו בלבד.</w:t>
      </w:r>
    </w:p>
    <w:p w14:paraId="743EC6C4" w14:textId="19196DA7" w:rsidR="006138AF" w:rsidRPr="006138AF" w:rsidRDefault="00864050" w:rsidP="006138AF">
      <w:pPr>
        <w:pStyle w:val="Style1"/>
      </w:pPr>
      <w:r>
        <w:rPr>
          <w:rFonts w:hint="cs"/>
          <w:rtl/>
        </w:rPr>
        <w:t>5)[</w:t>
      </w:r>
      <w:r>
        <w:rPr>
          <w:rtl/>
        </w:rPr>
        <w:t>שולחן ערוך אבן העזר הלכות כתובות סימן פ סעיף יד</w:t>
      </w:r>
      <w:r>
        <w:rPr>
          <w:rFonts w:hint="cs"/>
          <w:rtl/>
        </w:rPr>
        <w:t>]</w:t>
      </w:r>
      <w:r w:rsidR="006138AF">
        <w:rPr>
          <w:rFonts w:hint="cs"/>
          <w:rtl/>
        </w:rPr>
        <w:t xml:space="preserve"> </w:t>
      </w:r>
      <w:r w:rsidR="006138AF" w:rsidRPr="006138AF">
        <w:rPr>
          <w:rtl/>
        </w:rPr>
        <w:t>הרי שרצתה להניק בן חברתה עם בנה, הבעל מעכב</w:t>
      </w:r>
      <w:r w:rsidR="006138AF" w:rsidRPr="006138AF">
        <w:t>.</w:t>
      </w:r>
    </w:p>
    <w:p w14:paraId="275C55E0" w14:textId="494578EF" w:rsidR="006138AF" w:rsidRDefault="006138AF" w:rsidP="006138AF">
      <w:pPr>
        <w:pStyle w:val="Style1"/>
        <w:rPr>
          <w:rtl/>
        </w:rPr>
      </w:pPr>
      <w:r w:rsidRPr="006138AF">
        <w:rPr>
          <w:rFonts w:hint="cs"/>
          <w:rtl/>
        </w:rPr>
        <w:t>ואפילו בנה מאיש אחר הוא יכול לעכב (טור)</w:t>
      </w:r>
      <w:r w:rsidRPr="006138AF">
        <w:t>:</w:t>
      </w:r>
    </w:p>
    <w:p w14:paraId="093D47C3" w14:textId="6B92BBD9" w:rsidR="003B099F" w:rsidRDefault="003B099F" w:rsidP="003B099F">
      <w:pPr>
        <w:pStyle w:val="Style1"/>
        <w:rPr>
          <w:rtl/>
        </w:rPr>
      </w:pPr>
      <w:r>
        <w:rPr>
          <w:rFonts w:hint="cs"/>
          <w:rtl/>
        </w:rPr>
        <w:t>6)[</w:t>
      </w:r>
      <w:r>
        <w:rPr>
          <w:rtl/>
        </w:rPr>
        <w:t>רמב</w:t>
      </w:r>
      <w:r w:rsidR="00213DA1">
        <w:rPr>
          <w:rtl/>
        </w:rPr>
        <w:t>”ם \נשים\</w:t>
      </w:r>
      <w:r>
        <w:rPr>
          <w:rtl/>
        </w:rPr>
        <w:t xml:space="preserve"> הלכות אישות פרק כא הלכה יא</w:t>
      </w:r>
      <w:r>
        <w:rPr>
          <w:rFonts w:hint="cs"/>
          <w:rtl/>
        </w:rPr>
        <w:t xml:space="preserve">] </w:t>
      </w:r>
      <w:r>
        <w:rPr>
          <w:rtl/>
        </w:rPr>
        <w:t>האשה כל זמן שהיא מניקה את בנה פוחתין לה ממעשה ידיה ומוסיפין לה על מזונותיה יין ודברים שיפין לחלב, פסקו לה מזונות הראויות לה והרי היא מתאוה לאכול יתר או לאכול מאכלות אחרות מפני חלי התאוה שיש לה בבטנה הרי זו אוכלת משלה כל מה שתרצה ואין הבעל יכול לעכב ולומר שאם תאכל יתר מדאי או תאכל מאכל רע  ימות הולד מפני שצער גופה קודם. /השגת הראב"ד/ פסקו לה מזונות הראויות לה והרי היא מתאוה לאכול יותר או לאכול מאכלות אחרות מפני חולי התאוה שיש לה בבטנה הרי זו אוכלת משלה. א"א דברים שאינן כתב שלא דברו בגמרא אלא בשנתנו לה בן אחר להניק ופסקו לה מזונות אם צריכה יותר כדי צורך הולד חייבת לאכול משל בעלה כדי צורך הולד.</w:t>
      </w:r>
    </w:p>
    <w:p w14:paraId="541FE1B9" w14:textId="00CDEAF6" w:rsidR="0084145C" w:rsidRPr="0084145C" w:rsidRDefault="00023955" w:rsidP="0084145C">
      <w:pPr>
        <w:pStyle w:val="Style1"/>
      </w:pPr>
      <w:r>
        <w:rPr>
          <w:rFonts w:hint="cs"/>
          <w:rtl/>
        </w:rPr>
        <w:t>6)[</w:t>
      </w:r>
      <w:r>
        <w:rPr>
          <w:rtl/>
        </w:rPr>
        <w:t>שולחן ערוך אבן העזר הלכות כתובות סימן פ סעיף יא</w:t>
      </w:r>
      <w:r>
        <w:rPr>
          <w:rFonts w:hint="cs"/>
          <w:rtl/>
        </w:rPr>
        <w:t>]</w:t>
      </w:r>
      <w:r w:rsidR="0084145C">
        <w:rPr>
          <w:rFonts w:hint="cs"/>
          <w:rtl/>
        </w:rPr>
        <w:t xml:space="preserve"> </w:t>
      </w:r>
      <w:r w:rsidR="0084145C" w:rsidRPr="0084145C">
        <w:rPr>
          <w:rtl/>
        </w:rPr>
        <w:t>כל זמן שהיא מיניקה את בנה, פוחתין לה ממעשה ידיה ומוסיפים לה על מזונותיה יין ודברים שיפים לחלב</w:t>
      </w:r>
      <w:r w:rsidR="0084145C" w:rsidRPr="0084145C">
        <w:t>.</w:t>
      </w:r>
    </w:p>
    <w:p w14:paraId="66234CD2" w14:textId="62828FD8" w:rsidR="0084145C" w:rsidRDefault="0084145C" w:rsidP="0084145C">
      <w:pPr>
        <w:pStyle w:val="Style1"/>
        <w:rPr>
          <w:rtl/>
        </w:rPr>
      </w:pPr>
      <w:r w:rsidRPr="0084145C">
        <w:rPr>
          <w:rFonts w:hint="cs"/>
          <w:rtl/>
        </w:rPr>
        <w:t>לא הוסיפו לה, צריכה לאכול משלה, אם יש לה (טור)</w:t>
      </w:r>
      <w:r w:rsidRPr="0084145C">
        <w:t>:</w:t>
      </w:r>
    </w:p>
    <w:p w14:paraId="45D52E3B" w14:textId="441D515D" w:rsidR="009C1FE6" w:rsidRPr="0084145C" w:rsidRDefault="009C1FE6" w:rsidP="009C1FE6">
      <w:pPr>
        <w:pStyle w:val="Style1"/>
      </w:pPr>
      <w:r>
        <w:rPr>
          <w:rFonts w:hint="cs"/>
          <w:rtl/>
        </w:rPr>
        <w:t>6)[</w:t>
      </w:r>
      <w:r>
        <w:rPr>
          <w:rtl/>
        </w:rPr>
        <w:t>שולחן ערוך אבן העזר הלכות כתובות סימן פ סעיף יב</w:t>
      </w:r>
      <w:r>
        <w:rPr>
          <w:rFonts w:hint="cs"/>
          <w:rtl/>
        </w:rPr>
        <w:t xml:space="preserve">] </w:t>
      </w:r>
      <w:r>
        <w:rPr>
          <w:rtl/>
        </w:rPr>
        <w:t>פסקו לה מזונות הראויים לה, והרי היא מתאוה לאכול יותר, או לאכול מאכלות אחרות, יש מי שאומר שאין הבעל יכול לעכב, מפני סכנת הולד, שצער גופה קודם; ויש מי שאומר שיכול לעכב.</w:t>
      </w:r>
    </w:p>
    <w:p w14:paraId="6E1F9E48" w14:textId="77777777" w:rsidR="0084145C" w:rsidRPr="0084145C" w:rsidRDefault="0084145C" w:rsidP="0084145C">
      <w:pPr>
        <w:pStyle w:val="Style1"/>
      </w:pPr>
    </w:p>
    <w:p w14:paraId="50BD7A8A" w14:textId="77777777" w:rsidR="006138AF" w:rsidRPr="0084145C" w:rsidRDefault="006138AF" w:rsidP="0084145C">
      <w:pPr>
        <w:pStyle w:val="Style1"/>
      </w:pPr>
    </w:p>
    <w:p w14:paraId="5AA50B3C" w14:textId="63A81AFE" w:rsidR="00864050" w:rsidRDefault="00864050" w:rsidP="00864050">
      <w:pPr>
        <w:pStyle w:val="Style1"/>
        <w:rPr>
          <w:rtl/>
        </w:rPr>
      </w:pPr>
    </w:p>
    <w:p w14:paraId="7550C4EF" w14:textId="77777777" w:rsidR="00085E4A" w:rsidRPr="00085E4A" w:rsidRDefault="00085E4A" w:rsidP="00085E4A">
      <w:pPr>
        <w:pStyle w:val="Style1"/>
      </w:pPr>
    </w:p>
    <w:p w14:paraId="36E5ED68" w14:textId="20445AA2" w:rsidR="00325F3C" w:rsidRPr="00085E4A" w:rsidRDefault="00325F3C" w:rsidP="00085E4A">
      <w:pPr>
        <w:pStyle w:val="Style1"/>
        <w:rPr>
          <w:rtl/>
        </w:rPr>
      </w:pPr>
    </w:p>
    <w:p w14:paraId="20586061" w14:textId="77777777" w:rsidR="007044D4" w:rsidRPr="007044D4" w:rsidRDefault="007044D4" w:rsidP="007044D4">
      <w:pPr>
        <w:pStyle w:val="Style1"/>
      </w:pPr>
    </w:p>
    <w:p w14:paraId="5283D994" w14:textId="698FB831" w:rsidR="000C4965" w:rsidRPr="007044D4" w:rsidRDefault="000C4965" w:rsidP="007044D4">
      <w:pPr>
        <w:pStyle w:val="Style1"/>
      </w:pPr>
    </w:p>
    <w:p w14:paraId="7BCF474B" w14:textId="29AE6474" w:rsidR="00CF0747" w:rsidRPr="007044D4" w:rsidRDefault="00CF0747" w:rsidP="007044D4">
      <w:pPr>
        <w:pStyle w:val="Style1"/>
        <w:rPr>
          <w:rStyle w:val="Style1Char"/>
          <w:rtl/>
        </w:rPr>
      </w:pPr>
    </w:p>
    <w:p w14:paraId="1B4E3E1F" w14:textId="77777777" w:rsidR="002C4635" w:rsidRPr="007044D4" w:rsidRDefault="002C4635" w:rsidP="007044D4">
      <w:pPr>
        <w:pStyle w:val="Style1"/>
        <w:rPr>
          <w:rStyle w:val="Style1Char"/>
          <w:rtl/>
        </w:rPr>
      </w:pPr>
    </w:p>
    <w:p w14:paraId="3EB460EF" w14:textId="77777777" w:rsidR="002C4635" w:rsidRPr="007044D4" w:rsidRDefault="002C4635" w:rsidP="007044D4">
      <w:pPr>
        <w:pStyle w:val="Style1"/>
        <w:rPr>
          <w:rStyle w:val="Style1Char"/>
          <w:rtl/>
        </w:rPr>
      </w:pPr>
      <w:r w:rsidRPr="007044D4">
        <w:rPr>
          <w:rStyle w:val="Style1Char"/>
          <w:rtl/>
        </w:rPr>
        <w:br w:type="page"/>
      </w:r>
    </w:p>
    <w:p w14:paraId="28F7900F" w14:textId="1437C496" w:rsidR="002C4635" w:rsidRPr="00F24BFA" w:rsidRDefault="002C4635" w:rsidP="002C4635">
      <w:pPr>
        <w:bidi/>
        <w:rPr>
          <w:rStyle w:val="Style1Char"/>
          <w:color w:val="4472C4" w:themeColor="accent1"/>
        </w:rPr>
      </w:pPr>
      <w:r w:rsidRPr="003663A8">
        <w:rPr>
          <w:rStyle w:val="Style1Char"/>
          <w:color w:val="00B050"/>
          <w:sz w:val="22"/>
          <w:szCs w:val="22"/>
          <w:highlight w:val="yellow"/>
          <w:rtl/>
        </w:rPr>
        <w:lastRenderedPageBreak/>
        <w:t>[דף סא עמוד א]</w:t>
      </w:r>
      <w:r w:rsidRPr="003663A8">
        <w:rPr>
          <w:rStyle w:val="Style1Char"/>
          <w:color w:val="00B050"/>
          <w:sz w:val="22"/>
          <w:szCs w:val="22"/>
          <w:rtl/>
        </w:rPr>
        <w:t xml:space="preserve"> </w:t>
      </w:r>
      <w:r w:rsidRPr="005F123E">
        <w:rPr>
          <w:rStyle w:val="Style1Char"/>
          <w:color w:val="00B050"/>
          <w:rtl/>
        </w:rPr>
        <w:t xml:space="preserve">בריי, דאכלה ביעי - הוו לה בני עינני, דאכלה כוורי - הוו לה בני חינני, דאכלה כרפסא - הוו לה בני זיותני, דאכלה כוסברתא - הוו לה בני בישרני, דאכלה אתרוגא - הוו לה בני ריחני. ברתיה דשבור מלכא אכלה בה אמה אתרוגא, והוו מסקי לה לקמיה אבוה בריש ריחני. </w:t>
      </w:r>
      <w:r w:rsidRPr="00ED2ECA">
        <w:rPr>
          <w:rStyle w:val="Style1Char"/>
          <w:color w:val="auto"/>
          <w:sz w:val="22"/>
          <w:szCs w:val="22"/>
          <w:rtl/>
        </w:rPr>
        <w:t xml:space="preserve">אמר רב </w:t>
      </w:r>
      <w:r w:rsidRPr="00F24BFA">
        <w:rPr>
          <w:rStyle w:val="Style1Char"/>
          <w:color w:val="4472C4" w:themeColor="accent1"/>
          <w:rtl/>
        </w:rPr>
        <w:t xml:space="preserve">פפא </w:t>
      </w:r>
      <w:r w:rsidRPr="00956FC2">
        <w:rPr>
          <w:rStyle w:val="Style1Char"/>
          <w:sz w:val="22"/>
          <w:szCs w:val="22"/>
          <w:rtl/>
        </w:rPr>
        <w:t xml:space="preserve">הונא, </w:t>
      </w:r>
      <w:r w:rsidRPr="00B74907">
        <w:rPr>
          <w:rStyle w:val="Style1Char"/>
          <w:color w:val="auto"/>
          <w:sz w:val="22"/>
          <w:szCs w:val="22"/>
          <w:rtl/>
        </w:rPr>
        <w:t xml:space="preserve">בדק לן רב הונא בר חיננא: </w:t>
      </w:r>
      <w:r w:rsidR="00684A29">
        <w:rPr>
          <w:rStyle w:val="Style1Char"/>
          <w:rFonts w:hint="cs"/>
          <w:rtl/>
        </w:rPr>
        <w:t>(1)</w:t>
      </w:r>
      <w:r w:rsidRPr="00B74907">
        <w:rPr>
          <w:rStyle w:val="Style1Char"/>
          <w:color w:val="auto"/>
          <w:sz w:val="22"/>
          <w:szCs w:val="22"/>
          <w:rtl/>
        </w:rPr>
        <w:t xml:space="preserve">היא אומרת להניק והוא אומר שלא להניק - שומעין לה, צערא דידה הוא; הוא אומר להניק והיא אומרת שלא להניק, מהו? </w:t>
      </w:r>
      <w:r w:rsidRPr="00B74907">
        <w:rPr>
          <w:rStyle w:val="Style1Char"/>
          <w:color w:val="806000" w:themeColor="accent4" w:themeShade="80"/>
          <w:sz w:val="22"/>
          <w:szCs w:val="22"/>
          <w:rtl/>
        </w:rPr>
        <w:t xml:space="preserve">ופשטנא ליה </w:t>
      </w:r>
      <w:r w:rsidR="009A18B5">
        <w:rPr>
          <w:rStyle w:val="Style1Char"/>
          <w:rFonts w:hint="cs"/>
          <w:rtl/>
        </w:rPr>
        <w:t>(</w:t>
      </w:r>
      <w:r w:rsidR="009A18B5">
        <w:rPr>
          <w:rStyle w:val="Style1Char"/>
        </w:rPr>
        <w:t>2</w:t>
      </w:r>
      <w:r w:rsidR="009A18B5">
        <w:rPr>
          <w:rStyle w:val="Style1Char"/>
          <w:rFonts w:hint="cs"/>
          <w:rtl/>
        </w:rPr>
        <w:t>)</w:t>
      </w:r>
      <w:r w:rsidRPr="00B74907">
        <w:rPr>
          <w:rStyle w:val="Style1Char"/>
          <w:color w:val="auto"/>
          <w:sz w:val="22"/>
          <w:szCs w:val="22"/>
          <w:rtl/>
        </w:rPr>
        <w:t xml:space="preserve">כל היכא </w:t>
      </w:r>
      <w:r w:rsidRPr="00B74907">
        <w:rPr>
          <w:rStyle w:val="Style1Char"/>
          <w:color w:val="806000" w:themeColor="accent4" w:themeShade="80"/>
          <w:sz w:val="22"/>
          <w:szCs w:val="22"/>
          <w:rtl/>
        </w:rPr>
        <w:t xml:space="preserve">דהיא </w:t>
      </w:r>
      <w:r w:rsidRPr="00D906A8">
        <w:rPr>
          <w:rStyle w:val="Style1Char"/>
          <w:color w:val="00B050"/>
          <w:rtl/>
        </w:rPr>
        <w:t>ד</w:t>
      </w:r>
      <w:r w:rsidRPr="00B74907">
        <w:rPr>
          <w:rStyle w:val="Style1Char"/>
          <w:color w:val="auto"/>
          <w:sz w:val="22"/>
          <w:szCs w:val="22"/>
          <w:rtl/>
        </w:rPr>
        <w:t>לאו</w:t>
      </w:r>
      <w:r w:rsidRPr="004B3343">
        <w:rPr>
          <w:rStyle w:val="Style1Char"/>
          <w:sz w:val="22"/>
          <w:szCs w:val="22"/>
          <w:rtl/>
        </w:rPr>
        <w:t xml:space="preserve"> </w:t>
      </w:r>
      <w:r w:rsidRPr="00EF0805">
        <w:rPr>
          <w:rStyle w:val="Style1Char"/>
          <w:color w:val="auto"/>
          <w:sz w:val="22"/>
          <w:szCs w:val="22"/>
          <w:rtl/>
        </w:rPr>
        <w:t>אורחה שומעין לה</w:t>
      </w:r>
      <w:r w:rsidRPr="00EF0805">
        <w:rPr>
          <w:rStyle w:val="Style1Char"/>
          <w:color w:val="auto"/>
          <w:rtl/>
        </w:rPr>
        <w:t xml:space="preserve">, </w:t>
      </w:r>
      <w:r w:rsidRPr="00EF0805">
        <w:rPr>
          <w:rStyle w:val="Style1Char"/>
          <w:color w:val="auto"/>
          <w:sz w:val="22"/>
          <w:szCs w:val="22"/>
          <w:rtl/>
        </w:rPr>
        <w:t xml:space="preserve">היא אורחה והוא לאו אורחיה, </w:t>
      </w:r>
      <w:r w:rsidRPr="00EF0805">
        <w:rPr>
          <w:rStyle w:val="Style1Char"/>
          <w:sz w:val="22"/>
          <w:szCs w:val="22"/>
          <w:rtl/>
        </w:rPr>
        <w:t>מאי?</w:t>
      </w:r>
      <w:r w:rsidRPr="005F123E">
        <w:rPr>
          <w:rStyle w:val="Style1Char"/>
          <w:color w:val="00B050"/>
          <w:rtl/>
        </w:rPr>
        <w:t xml:space="preserve"> בתר דידיה אזלינן, או בתר דידה אזלינן? </w:t>
      </w:r>
      <w:r w:rsidRPr="00BD56F0">
        <w:rPr>
          <w:rStyle w:val="Style1Char"/>
          <w:sz w:val="22"/>
          <w:szCs w:val="22"/>
          <w:rtl/>
        </w:rPr>
        <w:t xml:space="preserve">ופשיטנא ליה </w:t>
      </w:r>
      <w:r w:rsidRPr="005F123E">
        <w:rPr>
          <w:rStyle w:val="Style1Char"/>
          <w:color w:val="00B050"/>
          <w:rtl/>
        </w:rPr>
        <w:t xml:space="preserve">מהא: </w:t>
      </w:r>
      <w:r w:rsidR="003D6E2E">
        <w:rPr>
          <w:rStyle w:val="Style1Char"/>
          <w:rFonts w:hint="cs"/>
          <w:rtl/>
        </w:rPr>
        <w:t>(</w:t>
      </w:r>
      <w:r w:rsidR="00AD0EA5">
        <w:rPr>
          <w:rStyle w:val="Style1Char"/>
          <w:rFonts w:hint="cs"/>
          <w:rtl/>
        </w:rPr>
        <w:t>2.1, 3</w:t>
      </w:r>
      <w:r w:rsidR="003D6E2E">
        <w:rPr>
          <w:rStyle w:val="Style1Char"/>
          <w:rFonts w:hint="cs"/>
          <w:rtl/>
        </w:rPr>
        <w:t>)</w:t>
      </w:r>
      <w:r w:rsidRPr="00EF0805">
        <w:rPr>
          <w:rStyle w:val="Style1Char"/>
          <w:color w:val="auto"/>
          <w:sz w:val="22"/>
          <w:szCs w:val="22"/>
          <w:rtl/>
        </w:rPr>
        <w:t>עולה עמו ואינה יורדת עמו</w:t>
      </w:r>
      <w:r w:rsidRPr="002E197F">
        <w:rPr>
          <w:rStyle w:val="Style1Char"/>
          <w:color w:val="4472C4" w:themeColor="accent1"/>
          <w:rtl/>
        </w:rPr>
        <w:t xml:space="preserve"> </w:t>
      </w:r>
      <w:r w:rsidRPr="00F24BFA">
        <w:rPr>
          <w:rStyle w:val="Style1Char"/>
          <w:color w:val="4472C4" w:themeColor="accent1"/>
          <w:rtl/>
        </w:rPr>
        <w:t>ומסתברא דה"ה בשאר כל המלאכות אינה חייבת בהן עד שיהא אורחיה ואורחה ונקט הנקה שיש בה צד דפעמים היא רוצה והבעל אינו רוצה</w:t>
      </w:r>
      <w:r w:rsidRPr="00F24BFA">
        <w:rPr>
          <w:rStyle w:val="Style1Char"/>
          <w:color w:val="4472C4" w:themeColor="accent1"/>
        </w:rPr>
        <w:t xml:space="preserve">: </w:t>
      </w:r>
    </w:p>
    <w:p w14:paraId="3C5E641E" w14:textId="77777777" w:rsidR="002C4635" w:rsidRDefault="002C4635" w:rsidP="002C4635">
      <w:pPr>
        <w:bidi/>
        <w:rPr>
          <w:rStyle w:val="Style1Char"/>
          <w:color w:val="00B050"/>
          <w:rtl/>
        </w:rPr>
      </w:pPr>
      <w:r w:rsidRPr="005F123E">
        <w:rPr>
          <w:rStyle w:val="Style1Char"/>
          <w:color w:val="00B050"/>
          <w:rtl/>
        </w:rPr>
        <w:t xml:space="preserve">. אמר רב הונא: מאי קראה? והיא בעולת בעל, בעלייתו של בעל ולא בירידתו של בעל. ר' אלעזר אמר, מהכא: כי היא היתה אם כל חי, לחיים ניתנה ולא לצער ניתנה. </w:t>
      </w:r>
    </w:p>
    <w:p w14:paraId="0C33B67B" w14:textId="301F649C" w:rsidR="002C4635" w:rsidRPr="005F123E" w:rsidRDefault="002C4635" w:rsidP="002C4635">
      <w:pPr>
        <w:bidi/>
        <w:rPr>
          <w:rStyle w:val="Style1Char"/>
          <w:color w:val="00B050"/>
        </w:rPr>
      </w:pPr>
      <w:r w:rsidRPr="002E197F">
        <w:rPr>
          <w:rStyle w:val="Style1Char"/>
          <w:color w:val="auto"/>
          <w:sz w:val="22"/>
          <w:szCs w:val="22"/>
          <w:rtl/>
        </w:rPr>
        <w:t xml:space="preserve">הכניסה לו שפחה </w:t>
      </w:r>
      <w:r w:rsidRPr="00F407D0">
        <w:rPr>
          <w:rStyle w:val="Style1Char"/>
          <w:color w:val="C00000"/>
          <w:sz w:val="22"/>
          <w:szCs w:val="22"/>
          <w:rtl/>
        </w:rPr>
        <w:t xml:space="preserve">אחת </w:t>
      </w:r>
      <w:r w:rsidRPr="005F123E">
        <w:rPr>
          <w:rStyle w:val="Style1Char"/>
          <w:color w:val="00B050"/>
          <w:rtl/>
        </w:rPr>
        <w:t xml:space="preserve">וכו'. הא שארא עבדא, ותימא ליה: עיילית לך איתתא בחריקאי! משום דאמר לה: הא טרחא לדידי ולדידה, קמי דידך מאן טרח? שתים - אינה מבשלת ואינה מניקה וכו'. הא שארא עבדא, ותימא ליה: עיילית לך איתתא אחריתי דטרחה לדידי ולדידה, וחדא לדידך ולדידה! משום דאמר לה: קמי אורחי ופרחי מאן טרח? שלש - אינה מצעת המטה. הא שארא עבדא, ותימא ליה: עיילית לך אחריתי לאורחי ופרחי! משום דאמר לה: נפיש בני ביתא, נפיש אורחי ופרחי. אי הכי, אפי' ארבע נמי! ארבע כיון דנפישי להו מסייען אהדדי. </w:t>
      </w:r>
      <w:r w:rsidRPr="002E197F">
        <w:rPr>
          <w:rStyle w:val="Style1Char"/>
          <w:color w:val="auto"/>
          <w:sz w:val="22"/>
          <w:szCs w:val="22"/>
          <w:rtl/>
        </w:rPr>
        <w:t xml:space="preserve">א"ר </w:t>
      </w:r>
      <w:r w:rsidRPr="00F24BFA">
        <w:rPr>
          <w:rStyle w:val="Style1Char"/>
          <w:color w:val="4472C4" w:themeColor="accent1"/>
          <w:rtl/>
        </w:rPr>
        <w:t xml:space="preserve">חגי </w:t>
      </w:r>
      <w:r w:rsidRPr="00CA20A3">
        <w:rPr>
          <w:rStyle w:val="Style1Char"/>
          <w:sz w:val="22"/>
          <w:szCs w:val="22"/>
          <w:rtl/>
        </w:rPr>
        <w:t xml:space="preserve">חנא </w:t>
      </w:r>
      <w:r w:rsidRPr="002E197F">
        <w:rPr>
          <w:rStyle w:val="Style1Char"/>
          <w:color w:val="auto"/>
          <w:sz w:val="22"/>
          <w:szCs w:val="22"/>
          <w:rtl/>
        </w:rPr>
        <w:t xml:space="preserve">ואיתימא ר' </w:t>
      </w:r>
      <w:r w:rsidRPr="00162B12">
        <w:rPr>
          <w:rStyle w:val="Style1Char"/>
          <w:color w:val="auto"/>
          <w:sz w:val="22"/>
          <w:szCs w:val="22"/>
          <w:rtl/>
        </w:rPr>
        <w:t xml:space="preserve">שמואל בר נחמני: לא הכניסה לו ממש, אלא </w:t>
      </w:r>
      <w:r w:rsidR="00204266">
        <w:rPr>
          <w:rStyle w:val="Style1Char"/>
          <w:rFonts w:hint="cs"/>
          <w:rtl/>
        </w:rPr>
        <w:t>(</w:t>
      </w:r>
      <w:r w:rsidR="00204266">
        <w:rPr>
          <w:rStyle w:val="Style1Char"/>
        </w:rPr>
        <w:t>4</w:t>
      </w:r>
      <w:r w:rsidR="00204266">
        <w:rPr>
          <w:rStyle w:val="Style1Char"/>
          <w:rFonts w:hint="cs"/>
          <w:rtl/>
        </w:rPr>
        <w:t>)</w:t>
      </w:r>
      <w:r w:rsidRPr="00162B12">
        <w:rPr>
          <w:rStyle w:val="Style1Char"/>
          <w:color w:val="auto"/>
          <w:sz w:val="22"/>
          <w:szCs w:val="22"/>
          <w:rtl/>
        </w:rPr>
        <w:t>כיון שראויה להכניס אף על פי שלא הכניסה</w:t>
      </w:r>
      <w:r w:rsidRPr="00162B12">
        <w:rPr>
          <w:rStyle w:val="Style1Char"/>
          <w:color w:val="4472C4" w:themeColor="accent1"/>
          <w:rtl/>
        </w:rPr>
        <w:t xml:space="preserve"> </w:t>
      </w:r>
      <w:r w:rsidRPr="00F24BFA">
        <w:rPr>
          <w:rStyle w:val="Style1Char"/>
          <w:color w:val="4472C4" w:themeColor="accent1"/>
          <w:rtl/>
        </w:rPr>
        <w:t>פי' שהכניסה לו ממון</w:t>
      </w:r>
      <w:r>
        <w:rPr>
          <w:rStyle w:val="Style1Char"/>
          <w:rFonts w:hint="cs"/>
          <w:color w:val="4472C4" w:themeColor="accent1"/>
        </w:rPr>
        <w:t>‍</w:t>
      </w:r>
      <w:r w:rsidRPr="00F24BFA">
        <w:rPr>
          <w:rStyle w:val="Style1Char"/>
          <w:color w:val="4472C4" w:themeColor="accent1"/>
          <w:rtl/>
        </w:rPr>
        <w:t xml:space="preserve"> שראוי לכל אדם</w:t>
      </w:r>
      <w:r>
        <w:rPr>
          <w:rStyle w:val="Style1Char"/>
          <w:rFonts w:hint="cs"/>
          <w:color w:val="4472C4" w:themeColor="accent1"/>
        </w:rPr>
        <w:t>‍</w:t>
      </w:r>
      <w:r w:rsidRPr="00F24BFA">
        <w:rPr>
          <w:rStyle w:val="Style1Char"/>
          <w:color w:val="4472C4" w:themeColor="accent1"/>
          <w:rtl/>
        </w:rPr>
        <w:t xml:space="preserve"> שיש לו ממון כזה שיקנה ממנו ארבע שפחות לשמשו</w:t>
      </w:r>
      <w:r w:rsidRPr="00162B12">
        <w:rPr>
          <w:rStyle w:val="Style1Char"/>
          <w:color w:val="auto"/>
          <w:sz w:val="22"/>
          <w:szCs w:val="22"/>
          <w:rtl/>
        </w:rPr>
        <w:t>.</w:t>
      </w:r>
      <w:r w:rsidRPr="00CA20A3">
        <w:rPr>
          <w:rStyle w:val="Style1Char"/>
          <w:sz w:val="22"/>
          <w:szCs w:val="22"/>
          <w:rtl/>
        </w:rPr>
        <w:t xml:space="preserve"> </w:t>
      </w:r>
      <w:r w:rsidRPr="00162B12">
        <w:rPr>
          <w:rStyle w:val="Style1Char"/>
          <w:color w:val="auto"/>
          <w:sz w:val="22"/>
          <w:szCs w:val="22"/>
          <w:rtl/>
        </w:rPr>
        <w:t>תנא: אחד שהכניסה לו, ואחד</w:t>
      </w:r>
      <w:r w:rsidRPr="00162B12">
        <w:rPr>
          <w:rStyle w:val="Style1Char"/>
          <w:color w:val="auto"/>
          <w:rtl/>
        </w:rPr>
        <w:t xml:space="preserve"> </w:t>
      </w:r>
      <w:r w:rsidRPr="005F123E">
        <w:rPr>
          <w:rStyle w:val="Style1Char"/>
          <w:color w:val="00B050"/>
          <w:rtl/>
        </w:rPr>
        <w:t xml:space="preserve">שצמצמה </w:t>
      </w:r>
      <w:r w:rsidRPr="00162B12">
        <w:rPr>
          <w:rStyle w:val="Style1Char"/>
          <w:color w:val="806000" w:themeColor="accent4" w:themeShade="80"/>
          <w:sz w:val="22"/>
          <w:szCs w:val="22"/>
          <w:rtl/>
        </w:rPr>
        <w:t xml:space="preserve">שמצאת </w:t>
      </w:r>
      <w:r w:rsidRPr="00CA20A3">
        <w:rPr>
          <w:rStyle w:val="Style1Char"/>
          <w:sz w:val="22"/>
          <w:szCs w:val="22"/>
          <w:rtl/>
        </w:rPr>
        <w:t xml:space="preserve">לו </w:t>
      </w:r>
      <w:r w:rsidRPr="005F123E">
        <w:rPr>
          <w:rStyle w:val="Style1Char"/>
          <w:color w:val="00B050"/>
          <w:rtl/>
        </w:rPr>
        <w:t>משלה</w:t>
      </w:r>
      <w:r w:rsidRPr="00D72A16">
        <w:rPr>
          <w:rStyle w:val="Style1Char"/>
          <w:color w:val="C00000"/>
          <w:rtl/>
        </w:rPr>
        <w:t xml:space="preserve"> </w:t>
      </w:r>
      <w:r w:rsidRPr="00162B12">
        <w:rPr>
          <w:rStyle w:val="Style1Char"/>
          <w:color w:val="806000" w:themeColor="accent4" w:themeShade="80"/>
          <w:sz w:val="22"/>
          <w:szCs w:val="22"/>
          <w:rtl/>
        </w:rPr>
        <w:t>משלו</w:t>
      </w:r>
      <w:r w:rsidRPr="00162B12">
        <w:rPr>
          <w:rStyle w:val="Style1Char"/>
          <w:color w:val="4472C4" w:themeColor="accent1"/>
          <w:rtl/>
        </w:rPr>
        <w:t xml:space="preserve"> </w:t>
      </w:r>
      <w:r w:rsidRPr="00162B12">
        <w:rPr>
          <w:rStyle w:val="Style1Char"/>
          <w:color w:val="4472C4" w:themeColor="accent1"/>
          <w:sz w:val="22"/>
          <w:szCs w:val="22"/>
          <w:rtl/>
        </w:rPr>
        <w:t>ארבע שפחות או ממון ראוי לארבע שפחות</w:t>
      </w:r>
      <w:r w:rsidRPr="005F123E">
        <w:rPr>
          <w:rStyle w:val="Style1Char"/>
          <w:color w:val="00B050"/>
          <w:rtl/>
        </w:rPr>
        <w:t xml:space="preserve">. </w:t>
      </w:r>
    </w:p>
    <w:p w14:paraId="36EC4F85" w14:textId="088D7F3E" w:rsidR="002C4635" w:rsidRPr="00F24BFA" w:rsidRDefault="002C4635" w:rsidP="002C4635">
      <w:pPr>
        <w:bidi/>
        <w:rPr>
          <w:rStyle w:val="Style1Char"/>
          <w:color w:val="4472C4" w:themeColor="accent1"/>
        </w:rPr>
      </w:pPr>
      <w:r w:rsidRPr="00162B12">
        <w:rPr>
          <w:rStyle w:val="Style1Char"/>
          <w:color w:val="auto"/>
          <w:sz w:val="22"/>
          <w:szCs w:val="22"/>
          <w:rtl/>
        </w:rPr>
        <w:t>ארבע</w:t>
      </w:r>
      <w:r w:rsidRPr="00D72A16">
        <w:rPr>
          <w:rStyle w:val="Style1Char"/>
          <w:sz w:val="22"/>
          <w:szCs w:val="22"/>
          <w:rtl/>
        </w:rPr>
        <w:t xml:space="preserve"> </w:t>
      </w:r>
      <w:r w:rsidRPr="00162B12">
        <w:rPr>
          <w:rStyle w:val="Style1Char"/>
          <w:color w:val="auto"/>
          <w:sz w:val="22"/>
          <w:szCs w:val="22"/>
          <w:rtl/>
        </w:rPr>
        <w:t xml:space="preserve">- יושבת בקתדרא. אמר רב יצחק בר חנניא אמר רב הונא: אף על פי שאמרו יושבת בקתדרא, </w:t>
      </w:r>
      <w:r w:rsidR="008020FC">
        <w:rPr>
          <w:rStyle w:val="Style1Char"/>
          <w:rFonts w:hint="cs"/>
          <w:rtl/>
        </w:rPr>
        <w:t>(</w:t>
      </w:r>
      <w:r w:rsidR="008020FC">
        <w:rPr>
          <w:rStyle w:val="Style1Char"/>
        </w:rPr>
        <w:t>5</w:t>
      </w:r>
      <w:r w:rsidR="008020FC">
        <w:rPr>
          <w:rStyle w:val="Style1Char"/>
          <w:rFonts w:hint="cs"/>
          <w:rtl/>
        </w:rPr>
        <w:t>)</w:t>
      </w:r>
      <w:r w:rsidRPr="00162B12">
        <w:rPr>
          <w:rStyle w:val="Style1Char"/>
          <w:color w:val="auto"/>
          <w:sz w:val="22"/>
          <w:szCs w:val="22"/>
          <w:rtl/>
        </w:rPr>
        <w:t>אבל מוזגת לו כוס, ומצעת לו את המטה, ומרחצת לו פניו ידיו ורגליו</w:t>
      </w:r>
      <w:r w:rsidRPr="00D72A16">
        <w:rPr>
          <w:rStyle w:val="Style1Char"/>
          <w:sz w:val="22"/>
          <w:szCs w:val="22"/>
          <w:rtl/>
        </w:rPr>
        <w:t xml:space="preserve">. </w:t>
      </w:r>
      <w:r w:rsidRPr="00721A4B">
        <w:rPr>
          <w:rStyle w:val="Style1Char"/>
          <w:color w:val="auto"/>
          <w:sz w:val="22"/>
          <w:szCs w:val="22"/>
          <w:rtl/>
        </w:rPr>
        <w:t xml:space="preserve">אמר רב יצחק בר חנניא אמר רב הונא: </w:t>
      </w:r>
      <w:r w:rsidR="008020FC">
        <w:rPr>
          <w:rStyle w:val="Style1Char"/>
          <w:rFonts w:hint="cs"/>
          <w:rtl/>
        </w:rPr>
        <w:t>(</w:t>
      </w:r>
      <w:r w:rsidR="008020FC">
        <w:rPr>
          <w:rStyle w:val="Style1Char"/>
        </w:rPr>
        <w:t>6</w:t>
      </w:r>
      <w:r w:rsidR="008020FC">
        <w:rPr>
          <w:rStyle w:val="Style1Char"/>
          <w:rFonts w:hint="cs"/>
          <w:rtl/>
        </w:rPr>
        <w:t>)</w:t>
      </w:r>
      <w:r w:rsidRPr="00721A4B">
        <w:rPr>
          <w:rStyle w:val="Style1Char"/>
          <w:color w:val="auto"/>
          <w:sz w:val="22"/>
          <w:szCs w:val="22"/>
          <w:rtl/>
        </w:rPr>
        <w:t xml:space="preserve">כל מלאכות שהאשה עושה לבעלה - נדה עושה לבעלה, חוץ ממזיגת הכוס, והצעת המטה, והרחצת פניו ידיו ורגליו. והצעת המטה, אמר רבא: </w:t>
      </w:r>
      <w:r w:rsidR="00343610">
        <w:rPr>
          <w:rStyle w:val="Style1Char"/>
          <w:rFonts w:hint="cs"/>
          <w:rtl/>
        </w:rPr>
        <w:t>(</w:t>
      </w:r>
      <w:r w:rsidR="00343610">
        <w:rPr>
          <w:rStyle w:val="Style1Char"/>
        </w:rPr>
        <w:t>6</w:t>
      </w:r>
      <w:r w:rsidR="00343610">
        <w:rPr>
          <w:rStyle w:val="Style1Char"/>
          <w:rFonts w:hint="cs"/>
          <w:rtl/>
        </w:rPr>
        <w:t>)</w:t>
      </w:r>
      <w:r w:rsidRPr="00721A4B">
        <w:rPr>
          <w:rStyle w:val="Style1Char"/>
          <w:color w:val="auto"/>
          <w:sz w:val="22"/>
          <w:szCs w:val="22"/>
          <w:rtl/>
        </w:rPr>
        <w:t>לא אמרן אלא בפניו, אבל שלא בפניו לית לן בה. ומזיגת הכוס</w:t>
      </w:r>
      <w:r w:rsidRPr="00D72A16">
        <w:rPr>
          <w:rStyle w:val="Style1Char"/>
          <w:sz w:val="22"/>
          <w:szCs w:val="22"/>
          <w:rtl/>
        </w:rPr>
        <w:t xml:space="preserve">. </w:t>
      </w:r>
      <w:r w:rsidR="00343610">
        <w:rPr>
          <w:rStyle w:val="Style1Char"/>
          <w:rFonts w:hint="cs"/>
          <w:rtl/>
        </w:rPr>
        <w:t>(</w:t>
      </w:r>
      <w:r w:rsidR="00343610">
        <w:rPr>
          <w:rStyle w:val="Style1Char"/>
        </w:rPr>
        <w:t>6</w:t>
      </w:r>
      <w:r w:rsidR="00343610">
        <w:rPr>
          <w:rStyle w:val="Style1Char"/>
          <w:rFonts w:hint="cs"/>
          <w:rtl/>
        </w:rPr>
        <w:t>)</w:t>
      </w:r>
      <w:r w:rsidRPr="005F123E">
        <w:rPr>
          <w:rStyle w:val="Style1Char"/>
          <w:color w:val="00B050"/>
          <w:rtl/>
        </w:rPr>
        <w:t>שמואל, מחלפא ליה דביתהו בידא דשמאלא</w:t>
      </w:r>
      <w:r w:rsidRPr="00D72A16">
        <w:rPr>
          <w:rStyle w:val="Style1Char"/>
          <w:color w:val="C00000"/>
          <w:rtl/>
        </w:rPr>
        <w:t xml:space="preserve"> </w:t>
      </w:r>
      <w:r w:rsidRPr="00721A4B">
        <w:rPr>
          <w:rStyle w:val="Style1Char"/>
          <w:color w:val="806000" w:themeColor="accent4" w:themeShade="80"/>
          <w:sz w:val="20"/>
          <w:szCs w:val="20"/>
          <w:rtl/>
        </w:rPr>
        <w:t>דביתהו דשמואל מחלפא ליה מימינא לשמאלא</w:t>
      </w:r>
      <w:r w:rsidRPr="00721A4B">
        <w:rPr>
          <w:rStyle w:val="Style1Char"/>
          <w:color w:val="806000" w:themeColor="accent4" w:themeShade="80"/>
          <w:rtl/>
        </w:rPr>
        <w:t xml:space="preserve">. </w:t>
      </w:r>
      <w:r w:rsidRPr="00721A4B">
        <w:rPr>
          <w:rStyle w:val="Style1Char"/>
          <w:color w:val="806000" w:themeColor="accent4" w:themeShade="80"/>
          <w:sz w:val="22"/>
          <w:szCs w:val="22"/>
          <w:rtl/>
        </w:rPr>
        <w:t>דביתהו ד</w:t>
      </w:r>
      <w:r w:rsidRPr="00721A4B">
        <w:rPr>
          <w:rStyle w:val="Style1Char"/>
          <w:color w:val="auto"/>
          <w:sz w:val="22"/>
          <w:szCs w:val="22"/>
          <w:rtl/>
        </w:rPr>
        <w:t>אביי</w:t>
      </w:r>
      <w:r w:rsidRPr="00D72A16">
        <w:rPr>
          <w:rStyle w:val="Style1Char"/>
          <w:sz w:val="22"/>
          <w:szCs w:val="22"/>
          <w:rtl/>
        </w:rPr>
        <w:t xml:space="preserve">, </w:t>
      </w:r>
      <w:r w:rsidRPr="00721A4B">
        <w:rPr>
          <w:rStyle w:val="Style1Char"/>
          <w:color w:val="auto"/>
          <w:sz w:val="22"/>
          <w:szCs w:val="22"/>
          <w:rtl/>
        </w:rPr>
        <w:t>מנחא ליה אפומא דכובא</w:t>
      </w:r>
      <w:r w:rsidRPr="00D72A16">
        <w:rPr>
          <w:rStyle w:val="Style1Char"/>
          <w:sz w:val="22"/>
          <w:szCs w:val="22"/>
          <w:rtl/>
        </w:rPr>
        <w:t xml:space="preserve">. </w:t>
      </w:r>
      <w:r w:rsidRPr="00721A4B">
        <w:rPr>
          <w:rStyle w:val="Style1Char"/>
          <w:color w:val="806000" w:themeColor="accent4" w:themeShade="80"/>
          <w:sz w:val="22"/>
          <w:szCs w:val="22"/>
          <w:rtl/>
        </w:rPr>
        <w:t>דבי</w:t>
      </w:r>
      <w:r w:rsidRPr="00721A4B">
        <w:rPr>
          <w:rStyle w:val="Style1Char"/>
          <w:color w:val="806000" w:themeColor="accent4" w:themeShade="80"/>
          <w:sz w:val="32"/>
          <w:szCs w:val="32"/>
          <w:rtl/>
        </w:rPr>
        <w:t xml:space="preserve"> </w:t>
      </w:r>
      <w:r w:rsidRPr="00721A4B">
        <w:rPr>
          <w:rStyle w:val="Style1Char"/>
          <w:color w:val="auto"/>
          <w:sz w:val="22"/>
          <w:szCs w:val="22"/>
          <w:rtl/>
        </w:rPr>
        <w:t xml:space="preserve">רבא, אבי סדיא. </w:t>
      </w:r>
      <w:r w:rsidRPr="00721A4B">
        <w:rPr>
          <w:rStyle w:val="Style1Char"/>
          <w:color w:val="806000" w:themeColor="accent4" w:themeShade="80"/>
          <w:sz w:val="22"/>
          <w:szCs w:val="22"/>
          <w:rtl/>
        </w:rPr>
        <w:t xml:space="preserve">דבי </w:t>
      </w:r>
      <w:r w:rsidRPr="00721A4B">
        <w:rPr>
          <w:rStyle w:val="Style1Char"/>
          <w:color w:val="auto"/>
          <w:sz w:val="22"/>
          <w:szCs w:val="22"/>
          <w:rtl/>
        </w:rPr>
        <w:t>רב פפא, אשרשיפא</w:t>
      </w:r>
      <w:r w:rsidRPr="00B23CDA">
        <w:rPr>
          <w:rStyle w:val="Style1Char"/>
          <w:color w:val="4472C4" w:themeColor="accent1"/>
          <w:rtl/>
        </w:rPr>
        <w:t xml:space="preserve"> </w:t>
      </w:r>
      <w:r w:rsidRPr="00F24BFA">
        <w:rPr>
          <w:rStyle w:val="Style1Char"/>
          <w:color w:val="4472C4" w:themeColor="accent1"/>
          <w:rtl/>
        </w:rPr>
        <w:t>רבינו שמעיה כתב שרש"י היה נזהר שלא לקבל מפתח מיד אשתו נדה ומכאן אין ראיה דדווקא מזיגת הכוס שהיא דרך חיבה לא היתה נותנת לידו אלא דרך שינוי</w:t>
      </w:r>
      <w:r>
        <w:rPr>
          <w:rStyle w:val="Style1Char"/>
          <w:rFonts w:hint="cs"/>
          <w:color w:val="4472C4" w:themeColor="accent1"/>
        </w:rPr>
        <w:t>‍</w:t>
      </w:r>
      <w:r w:rsidRPr="00F24BFA">
        <w:rPr>
          <w:rStyle w:val="Style1Char"/>
          <w:color w:val="4472C4" w:themeColor="accent1"/>
          <w:rtl/>
        </w:rPr>
        <w:t xml:space="preserve"> אבל שאר דברים אין נראה שיהא אסור ולי נראה דהכא במזיגת הכוס לא היתה נותנת הכוס לידו אפילו דרך שינוי דלא איירי הכא כמו הושטת הכוס לידו אלא מוזגת לו הכוס כדרך שנותנין מים בכוס של יין ומניחין על השלחן ומגביה את הכוס ושותה כשהוא צמא ומזיגה זו דרך חיבה הוא כשהאשה מוזגת לבעלה ודביתהו דשמואל היתה מוזגת המים ביין ביד שמאל ומנחת הכוס על השלחן ואינך היו מוזגות בימין ולא היו נותנין הכוס על השלחן אבל להושיט חפץ לידו מיזהר זהירי כולי עלמא. ורבינו שמעיה הביא סעד לדבריו מההיא עובדא דפ"ק דשבת (דף יג א) שקרא ושנה הרבה וכו' ואמרינן בתנא דבי אליהו ששאל אליהו לאשתו שמא הבאת לו את הפך שמא הבאת לו השמן ונגע בך באצבע קטנה אמרה לו חס ושלום שאפילו באצבע קטנה לא נגע בי אלמא משמע שאסור לקבל חפץ מידה ואין ראיה משם דהכי קאמר שמא בשעה שהבאת לו את הפך לא נזהר מליגע בך ומתשובתה משמע כן שאמרה אפי' באצבע קטנה לא נגע בי אבל שלא הביאה את הפך לא אמרה. ולי נראה ללמוד מכאן איסור כי לפי שהיתה קוראת תגר על מדת הדין רצה אליהו להוציא מפיה שתתודה שלא היה נזהר במה שנוהגין שאר אנשים כי היה סומך על זהירתו שהיה יכול להזהר שלא יגע בה לכך אמר לה שמא בשעת הושטת הפך והשמן אי אפשר לו ליזהר שלא יגע בך ולא היה לו להקל בזה השיבה לו שמרוב זהירתו היה נשמר יפה אבל לכל אדם אסור שמא יגע בה.</w:t>
      </w:r>
      <w:r>
        <w:rPr>
          <w:rStyle w:val="Style1Char"/>
          <w:rFonts w:hint="cs"/>
          <w:color w:val="4472C4" w:themeColor="accent1"/>
        </w:rPr>
        <w:t>‍</w:t>
      </w:r>
      <w:r w:rsidRPr="00F24BFA">
        <w:rPr>
          <w:rStyle w:val="Style1Char"/>
          <w:color w:val="4472C4" w:themeColor="accent1"/>
          <w:rtl/>
        </w:rPr>
        <w:t xml:space="preserve"> ורש"י פי' מיחלפא ליה בידא דשמאלא בימי ליבונה משמע שיש להקל יותר בימי ליבונה מבימי נדותה</w:t>
      </w:r>
      <w:r>
        <w:rPr>
          <w:rStyle w:val="Style1Char"/>
          <w:rFonts w:hint="cs"/>
          <w:color w:val="4472C4" w:themeColor="accent1"/>
        </w:rPr>
        <w:t>‍</w:t>
      </w:r>
      <w:r w:rsidRPr="00F24BFA">
        <w:rPr>
          <w:rStyle w:val="Style1Char"/>
          <w:color w:val="4472C4" w:themeColor="accent1"/>
          <w:rtl/>
        </w:rPr>
        <w:t xml:space="preserve"> ואין נראה לר"ת דאין חילוק בזמן הזה אף על גב דקאמרינן בפ"ק דשבת בימי ליבוניך מהו אצליך בימי נדותיך מהו אצליך שמא היו רגילין לטבול אחר שבעה ימי נדות כשפוסקת קודם שתשב שבעה נקיים בשביל טהרות דלא אסירא השתא אלא מדרבנן אבל האידנא שאין רגילין לטבול עד שתשב שבעה נקיים ימי ליבונה כימי נדותה כדאמרינן במסכת שבת (דף סד ב) בנדותה תהא עד שתבא במים</w:t>
      </w:r>
      <w:r w:rsidRPr="00F24BFA">
        <w:rPr>
          <w:rStyle w:val="Style1Char"/>
          <w:color w:val="4472C4" w:themeColor="accent1"/>
        </w:rPr>
        <w:t xml:space="preserve">: </w:t>
      </w:r>
    </w:p>
    <w:p w14:paraId="22B37C0F" w14:textId="3C46C2B5" w:rsidR="002C4635" w:rsidRDefault="002C4635" w:rsidP="002C4635">
      <w:pPr>
        <w:bidi/>
        <w:rPr>
          <w:rStyle w:val="Style1Char"/>
          <w:color w:val="00B050"/>
        </w:rPr>
      </w:pPr>
      <w:r w:rsidRPr="00B7426A">
        <w:rPr>
          <w:rStyle w:val="Style1Char"/>
          <w:color w:val="auto"/>
          <w:rtl/>
        </w:rPr>
        <w:t xml:space="preserve">. </w:t>
      </w:r>
      <w:r w:rsidRPr="00B7426A">
        <w:rPr>
          <w:rStyle w:val="Style1Char"/>
          <w:color w:val="auto"/>
          <w:sz w:val="22"/>
          <w:szCs w:val="22"/>
          <w:rtl/>
        </w:rPr>
        <w:t>אמר רב יצחק בר חנניא אמר רב הונא: הכל משהין בפני השמש, חוץ מבשר ויין.</w:t>
      </w:r>
      <w:r w:rsidRPr="00B7426A">
        <w:rPr>
          <w:rStyle w:val="Style1Char"/>
          <w:color w:val="auto"/>
          <w:rtl/>
        </w:rPr>
        <w:t xml:space="preserve"> </w:t>
      </w:r>
      <w:r w:rsidRPr="00B7426A">
        <w:rPr>
          <w:rStyle w:val="Style1Char"/>
          <w:color w:val="auto"/>
          <w:sz w:val="22"/>
          <w:szCs w:val="22"/>
          <w:rtl/>
        </w:rPr>
        <w:t>אמר רב חסדא: בשר שמן ויין ישן. אמר רבא: בשר שמן - כל השנה כולה, יין ישן - בתקופת תמוז</w:t>
      </w:r>
      <w:r w:rsidRPr="00B7426A">
        <w:rPr>
          <w:rStyle w:val="Style1Char"/>
          <w:color w:val="auto"/>
          <w:rtl/>
        </w:rPr>
        <w:t xml:space="preserve">. </w:t>
      </w:r>
      <w:r w:rsidRPr="00B7426A">
        <w:rPr>
          <w:rStyle w:val="Style1Char"/>
          <w:color w:val="auto"/>
          <w:sz w:val="22"/>
          <w:szCs w:val="22"/>
          <w:rtl/>
        </w:rPr>
        <w:t>אמר רב ענן בר תחליפא: הוה קאימנא קמיה דמר שמואל, ואייתו ליה תבשילא דארדי, ואי לאו דיהב לי איסתכני.</w:t>
      </w:r>
      <w:r w:rsidRPr="00B7426A">
        <w:rPr>
          <w:rStyle w:val="Style1Char"/>
          <w:color w:val="auto"/>
          <w:rtl/>
        </w:rPr>
        <w:t xml:space="preserve"> </w:t>
      </w:r>
      <w:r w:rsidRPr="005F123E">
        <w:rPr>
          <w:rStyle w:val="Style1Char"/>
          <w:color w:val="00B050"/>
          <w:rtl/>
        </w:rPr>
        <w:t xml:space="preserve">אמר רב אשי: הוה קאימנא קמיה דרב כהנא, ואייתו ליה גרגלידי דליפתא בחלא, ואי לאו דיהב לי איסתכני. </w:t>
      </w:r>
      <w:r w:rsidRPr="00AA3DC6">
        <w:rPr>
          <w:rStyle w:val="Style1Char"/>
          <w:color w:val="auto"/>
          <w:sz w:val="22"/>
          <w:szCs w:val="22"/>
          <w:rtl/>
        </w:rPr>
        <w:t xml:space="preserve">רב פפא אמר: אפילו תמרתא דהנוניתא; כללא דמילתא, </w:t>
      </w:r>
      <w:r w:rsidR="004A4573">
        <w:rPr>
          <w:rStyle w:val="Style1Char"/>
          <w:rFonts w:hint="cs"/>
          <w:rtl/>
        </w:rPr>
        <w:t>(</w:t>
      </w:r>
      <w:r w:rsidR="004A4573">
        <w:rPr>
          <w:rStyle w:val="Style1Char"/>
        </w:rPr>
        <w:t>7</w:t>
      </w:r>
      <w:r w:rsidR="004A4573">
        <w:rPr>
          <w:rStyle w:val="Style1Char"/>
          <w:rFonts w:hint="cs"/>
          <w:rtl/>
        </w:rPr>
        <w:t>)</w:t>
      </w:r>
      <w:r w:rsidRPr="00AA3DC6">
        <w:rPr>
          <w:rStyle w:val="Style1Char"/>
          <w:color w:val="auto"/>
          <w:sz w:val="22"/>
          <w:szCs w:val="22"/>
          <w:rtl/>
        </w:rPr>
        <w:t xml:space="preserve">כל דאית ליה ריחא ואית ליה קיוהא. אבוה בר איהי ומנימין בר איהי, </w:t>
      </w:r>
      <w:r w:rsidR="00C95EBC">
        <w:rPr>
          <w:rStyle w:val="Style1Char"/>
          <w:rFonts w:hint="cs"/>
          <w:rtl/>
        </w:rPr>
        <w:t>(</w:t>
      </w:r>
      <w:r w:rsidR="00C95EBC">
        <w:rPr>
          <w:rStyle w:val="Style1Char"/>
        </w:rPr>
        <w:t>7</w:t>
      </w:r>
      <w:r w:rsidR="00C95EBC">
        <w:rPr>
          <w:rStyle w:val="Style1Char"/>
          <w:rFonts w:hint="cs"/>
          <w:rtl/>
        </w:rPr>
        <w:t>)</w:t>
      </w:r>
      <w:r w:rsidRPr="00AA3DC6">
        <w:rPr>
          <w:rStyle w:val="Style1Char"/>
          <w:color w:val="auto"/>
          <w:sz w:val="22"/>
          <w:szCs w:val="22"/>
          <w:rtl/>
        </w:rPr>
        <w:t xml:space="preserve">חד ספי מכל מינא ומינא </w:t>
      </w:r>
      <w:r w:rsidRPr="00D72A16">
        <w:rPr>
          <w:rStyle w:val="Style1Char"/>
          <w:color w:val="C00000"/>
          <w:sz w:val="22"/>
          <w:szCs w:val="22"/>
          <w:rtl/>
        </w:rPr>
        <w:t xml:space="preserve">לשמעיה </w:t>
      </w:r>
      <w:r w:rsidRPr="00AA3DC6">
        <w:rPr>
          <w:rStyle w:val="Style1Char"/>
          <w:color w:val="auto"/>
          <w:sz w:val="22"/>
          <w:szCs w:val="22"/>
          <w:rtl/>
        </w:rPr>
        <w:t>וחד ספי מחד מינא</w:t>
      </w:r>
      <w:r w:rsidRPr="00AA3DC6">
        <w:rPr>
          <w:rStyle w:val="Style1Char"/>
          <w:color w:val="auto"/>
          <w:rtl/>
        </w:rPr>
        <w:t xml:space="preserve">, </w:t>
      </w:r>
      <w:r w:rsidRPr="00AA3DC6">
        <w:rPr>
          <w:rStyle w:val="Style1Char"/>
          <w:color w:val="auto"/>
          <w:sz w:val="22"/>
          <w:szCs w:val="22"/>
          <w:rtl/>
        </w:rPr>
        <w:t>מר משתעי אליהו בהדיה, ומר לא משתעי אליהו בהדיה</w:t>
      </w:r>
      <w:r w:rsidRPr="005F123E">
        <w:rPr>
          <w:rStyle w:val="Style1Char"/>
          <w:color w:val="00B050"/>
          <w:rtl/>
        </w:rPr>
        <w:t xml:space="preserve">. הנהו תרתין חסידי, ואמרי לה רב מרי ורב פנחס בני רב חסדא, </w:t>
      </w:r>
      <w:r w:rsidR="00C95EBC">
        <w:rPr>
          <w:rStyle w:val="Style1Char"/>
          <w:rFonts w:hint="cs"/>
          <w:rtl/>
        </w:rPr>
        <w:t>(</w:t>
      </w:r>
      <w:r w:rsidR="00C95EBC">
        <w:rPr>
          <w:rStyle w:val="Style1Char"/>
        </w:rPr>
        <w:t>7</w:t>
      </w:r>
      <w:r w:rsidR="00C95EBC">
        <w:rPr>
          <w:rStyle w:val="Style1Char"/>
          <w:rFonts w:hint="cs"/>
          <w:rtl/>
        </w:rPr>
        <w:t>)</w:t>
      </w:r>
      <w:r w:rsidRPr="005F123E">
        <w:rPr>
          <w:rStyle w:val="Style1Char"/>
          <w:color w:val="00B050"/>
          <w:rtl/>
        </w:rPr>
        <w:t xml:space="preserve">מר קדים ספי ומר מאחר ספי, דקדים ספי - אליהו משתעי בהדיה, דמאחר ספי - לא משתעי אליהו בהדיה. אמימר ומר זוטרא ורב אשי הוו קא יתבי אפיתחא דבי אזגור מלכא, חליף ואזיל אטורנגא דמלכא, חזייה רב אשי למר זוטרא </w:t>
      </w:r>
    </w:p>
    <w:p w14:paraId="01A878B1" w14:textId="068EA92A" w:rsidR="002E793C" w:rsidRDefault="002E793C" w:rsidP="002E793C">
      <w:pPr>
        <w:pStyle w:val="Style1"/>
        <w:rPr>
          <w:rStyle w:val="Style1Char"/>
          <w:rtl/>
        </w:rPr>
      </w:pPr>
      <w:r>
        <w:rPr>
          <w:rStyle w:val="Style1Char"/>
          <w:rFonts w:hint="cs"/>
          <w:rtl/>
        </w:rPr>
        <w:t>1)[</w:t>
      </w:r>
      <w:r w:rsidRPr="002E793C">
        <w:rPr>
          <w:rStyle w:val="Style1Char"/>
          <w:rtl/>
        </w:rPr>
        <w:t>רמב</w:t>
      </w:r>
      <w:r w:rsidR="00213DA1">
        <w:rPr>
          <w:rStyle w:val="Style1Char"/>
          <w:rtl/>
        </w:rPr>
        <w:t>”ם \נשים\</w:t>
      </w:r>
      <w:r w:rsidRPr="002E793C">
        <w:rPr>
          <w:rStyle w:val="Style1Char"/>
          <w:rtl/>
        </w:rPr>
        <w:t xml:space="preserve"> הלכות אישות פרק כא הלכה יג</w:t>
      </w:r>
      <w:r>
        <w:rPr>
          <w:rStyle w:val="Style1Char"/>
          <w:rFonts w:hint="cs"/>
          <w:rtl/>
        </w:rPr>
        <w:t xml:space="preserve">] </w:t>
      </w:r>
      <w:r w:rsidRPr="002E793C">
        <w:rPr>
          <w:rStyle w:val="Style1Char"/>
          <w:rtl/>
        </w:rPr>
        <w:t>נדרה שלא להניק את בנה כופה ומניקתו עד שיהיה בן עשרים וארבעה חדש אחד הזכר ואחד הנקבה. היא אומרת אני אניק את בני והוא אינו רוצה שתניק אשתו כדי שלא תתנוול אף על פי שיש לה כמה שפחות שומעין לה שצער הוא לה לפרוש מבנה.</w:t>
      </w:r>
    </w:p>
    <w:p w14:paraId="340D1C6E" w14:textId="515287DB" w:rsidR="0060669A" w:rsidRDefault="0060669A" w:rsidP="0060669A">
      <w:pPr>
        <w:pStyle w:val="Style1"/>
        <w:rPr>
          <w:rStyle w:val="Style1Char"/>
          <w:rtl/>
        </w:rPr>
      </w:pPr>
      <w:r>
        <w:rPr>
          <w:rStyle w:val="Style1Char"/>
          <w:rFonts w:hint="cs"/>
          <w:rtl/>
        </w:rPr>
        <w:t>1)[</w:t>
      </w:r>
      <w:r w:rsidRPr="0060669A">
        <w:rPr>
          <w:rStyle w:val="Style1Char"/>
          <w:rtl/>
        </w:rPr>
        <w:t>שולחן ערוך אבן העזר הלכות כתובות סימן פב סעיף ב</w:t>
      </w:r>
      <w:r>
        <w:rPr>
          <w:rStyle w:val="Style1Char"/>
          <w:rFonts w:hint="cs"/>
          <w:rtl/>
        </w:rPr>
        <w:t xml:space="preserve">] </w:t>
      </w:r>
      <w:r w:rsidRPr="0060669A">
        <w:rPr>
          <w:rStyle w:val="Style1Char"/>
          <w:rtl/>
        </w:rPr>
        <w:t>היא אומרת: אני אניק את בני, והוא  אינו רוצה, שומעין לה.</w:t>
      </w:r>
    </w:p>
    <w:p w14:paraId="6632D078" w14:textId="50299063" w:rsidR="009F7821" w:rsidRDefault="009F7821" w:rsidP="009F7821">
      <w:pPr>
        <w:pStyle w:val="Style1"/>
        <w:rPr>
          <w:rStyle w:val="Style1Char"/>
          <w:rtl/>
        </w:rPr>
      </w:pPr>
      <w:r>
        <w:rPr>
          <w:rStyle w:val="Style1Char"/>
          <w:rFonts w:hint="cs"/>
          <w:rtl/>
        </w:rPr>
        <w:t>2)[</w:t>
      </w:r>
      <w:r w:rsidRPr="009F7821">
        <w:rPr>
          <w:rStyle w:val="Style1Char"/>
          <w:rtl/>
        </w:rPr>
        <w:t>רמב</w:t>
      </w:r>
      <w:r w:rsidR="00213DA1">
        <w:rPr>
          <w:rStyle w:val="Style1Char"/>
          <w:rtl/>
        </w:rPr>
        <w:t>”ם \נשים\</w:t>
      </w:r>
      <w:r w:rsidRPr="009F7821">
        <w:rPr>
          <w:rStyle w:val="Style1Char"/>
          <w:rtl/>
        </w:rPr>
        <w:t xml:space="preserve"> הלכות אישות פרק כא הלכה יד</w:t>
      </w:r>
      <w:r>
        <w:rPr>
          <w:rStyle w:val="Style1Char"/>
          <w:rFonts w:hint="cs"/>
          <w:rtl/>
        </w:rPr>
        <w:t xml:space="preserve">] </w:t>
      </w:r>
      <w:r w:rsidRPr="009F7821">
        <w:rPr>
          <w:rStyle w:val="Style1Char"/>
          <w:rtl/>
        </w:rPr>
        <w:t>היתה ענייה שהיא חייבת להניק את בנה והרי הוא עשיר שראוי לו שלא תניק אשתו אף על פי שאין לו שפחות אם לא רצת להניק שוכר מניקה או קונה שפחה מפני שהאשה עולה עם בעלה ואינה יורדת.</w:t>
      </w:r>
    </w:p>
    <w:p w14:paraId="44361F42" w14:textId="77777777" w:rsidR="008B0B46" w:rsidRPr="00C12B80" w:rsidRDefault="008B0B46" w:rsidP="008B0B46">
      <w:pPr>
        <w:pStyle w:val="Style1"/>
      </w:pPr>
      <w:r>
        <w:rPr>
          <w:rStyle w:val="Style1Char"/>
          <w:rFonts w:hint="cs"/>
          <w:rtl/>
        </w:rPr>
        <w:t>2</w:t>
      </w:r>
      <w:r>
        <w:rPr>
          <w:rFonts w:hint="cs"/>
          <w:rtl/>
        </w:rPr>
        <w:t>)[</w:t>
      </w:r>
      <w:r>
        <w:rPr>
          <w:rtl/>
        </w:rPr>
        <w:t>שולחן ערוך אבן העזר הלכות כתובות סימן פ סעיף א</w:t>
      </w:r>
      <w:r>
        <w:rPr>
          <w:rFonts w:hint="cs"/>
          <w:rtl/>
        </w:rPr>
        <w:t xml:space="preserve">] </w:t>
      </w:r>
      <w:r w:rsidRPr="00C12B80">
        <w:rPr>
          <w:rtl/>
        </w:rPr>
        <w:t>מעשה ידיה לבעלה, כיצד, הכל כמנהג המדינה; מקום שדרכן לארוג, אורגת; לרקם, רוקמת; לטוות צמר או פשתים, טווה; ואם לא היה דרך נשי העיר לעשות כל המלאכות האלו, אינו כופה אלא לטוות הצמר בלבד. דחקה עצמה ועשתה יותר מהראוי לה, המותר לבעל</w:t>
      </w:r>
      <w:r w:rsidRPr="00C12B80">
        <w:t>.</w:t>
      </w:r>
    </w:p>
    <w:p w14:paraId="6B59EE88" w14:textId="26178EA7" w:rsidR="008B0B46" w:rsidRDefault="008B0B46" w:rsidP="008B0B46">
      <w:pPr>
        <w:pStyle w:val="Style1"/>
        <w:rPr>
          <w:rtl/>
        </w:rPr>
      </w:pPr>
      <w:r w:rsidRPr="00C12B80">
        <w:rPr>
          <w:rFonts w:hint="cs"/>
          <w:rtl/>
        </w:rPr>
        <w:t>הגה: ודוקא שנותן לה מעה כסף כל שבוע, כמו שנתבאר לעיל </w:t>
      </w:r>
      <w:hyperlink r:id="rId131" w:tooltip="שולחן ערוך אבן העזר ע" w:history="1">
        <w:r w:rsidRPr="00C12B80">
          <w:rPr>
            <w:rStyle w:val="Hyperlink"/>
            <w:rFonts w:hint="cs"/>
            <w:color w:val="7030A0"/>
            <w:u w:val="none"/>
            <w:rtl/>
          </w:rPr>
          <w:t>סימן ע</w:t>
        </w:r>
        <w:r w:rsidRPr="00C12B80">
          <w:rPr>
            <w:rStyle w:val="Hyperlink"/>
            <w:rFonts w:hint="cs"/>
            <w:color w:val="7030A0"/>
            <w:u w:val="none"/>
          </w:rPr>
          <w:t>'</w:t>
        </w:r>
      </w:hyperlink>
      <w:r w:rsidRPr="00C12B80">
        <w:rPr>
          <w:rFonts w:hint="cs"/>
        </w:rPr>
        <w:t xml:space="preserve">. </w:t>
      </w:r>
      <w:r w:rsidRPr="00C12B80">
        <w:rPr>
          <w:rFonts w:hint="cs"/>
          <w:rtl/>
        </w:rPr>
        <w:t>ויכולה אשה לומר: איני נוטלת מעה כסף ואיני נותנת המותר. אבל הבעל לא יוכל לומר כן (טור בשם הרמ"ה, וכן כתב הר"ן פרק אף על פי, וכן כתב השאלתות פרשת משפטים)</w:t>
      </w:r>
      <w:r w:rsidRPr="00C12B80">
        <w:t>:</w:t>
      </w:r>
    </w:p>
    <w:p w14:paraId="70C85DA1" w14:textId="50D655B8" w:rsidR="00B0089D" w:rsidRDefault="00B0089D" w:rsidP="00B0089D">
      <w:pPr>
        <w:pStyle w:val="Style1"/>
        <w:rPr>
          <w:rtl/>
        </w:rPr>
      </w:pPr>
      <w:r>
        <w:rPr>
          <w:rFonts w:hint="cs"/>
          <w:rtl/>
        </w:rPr>
        <w:lastRenderedPageBreak/>
        <w:t>2)[</w:t>
      </w:r>
      <w:r>
        <w:rPr>
          <w:rtl/>
        </w:rPr>
        <w:t>שולחן ערוך אבן העזר הלכות כתובות סימן פ סעיף י</w:t>
      </w:r>
      <w:r>
        <w:rPr>
          <w:rFonts w:hint="cs"/>
          <w:rtl/>
        </w:rPr>
        <w:t>] כ</w:t>
      </w:r>
      <w:r>
        <w:rPr>
          <w:rtl/>
        </w:rPr>
        <w:t>ל אלו המלאכות אין מחייבים אותה, אא"כ יהיה דרך משפחתו ומשפחתה לעשותן.</w:t>
      </w:r>
    </w:p>
    <w:p w14:paraId="49A35972" w14:textId="435608E1" w:rsidR="00424719" w:rsidRDefault="00AD0EA5" w:rsidP="00AD0EA5">
      <w:pPr>
        <w:pStyle w:val="Style1"/>
        <w:rPr>
          <w:rtl/>
        </w:rPr>
      </w:pPr>
      <w:r>
        <w:rPr>
          <w:rFonts w:hint="cs"/>
          <w:rtl/>
        </w:rPr>
        <w:t>3)[</w:t>
      </w:r>
      <w:r w:rsidR="00424719">
        <w:rPr>
          <w:rtl/>
        </w:rPr>
        <w:t>שולחן ערוך אבן העזר הלכות כתובות סימן פב סעיף ג</w:t>
      </w:r>
      <w:r>
        <w:rPr>
          <w:rFonts w:hint="cs"/>
          <w:rtl/>
        </w:rPr>
        <w:t xml:space="preserve">] </w:t>
      </w:r>
      <w:r w:rsidR="00424719">
        <w:rPr>
          <w:rtl/>
        </w:rPr>
        <w:t>היתה ענייה שחייבת להניק את בנה, והוא עשיר שראוי לו שלא תניק אשתו, אם רצתה, שוכר מניקה או קונה שפחה, מפני שעולה עמו ואינה יורדת.</w:t>
      </w:r>
    </w:p>
    <w:p w14:paraId="569F6D37" w14:textId="1EC7A34A" w:rsidR="00BA2042" w:rsidRDefault="00BA2042" w:rsidP="00BA2042">
      <w:pPr>
        <w:pStyle w:val="Style1"/>
        <w:rPr>
          <w:rtl/>
        </w:rPr>
      </w:pPr>
      <w:r>
        <w:rPr>
          <w:rFonts w:hint="cs"/>
          <w:rtl/>
        </w:rPr>
        <w:t>4)[</w:t>
      </w:r>
      <w:r>
        <w:rPr>
          <w:rtl/>
        </w:rPr>
        <w:t>רמב</w:t>
      </w:r>
      <w:r w:rsidR="00213DA1">
        <w:rPr>
          <w:rtl/>
        </w:rPr>
        <w:t>”ם \נשים\</w:t>
      </w:r>
      <w:r>
        <w:rPr>
          <w:rtl/>
        </w:rPr>
        <w:t xml:space="preserve"> הלכות אישות פרק כא הלכה ו</w:t>
      </w:r>
      <w:r>
        <w:rPr>
          <w:rFonts w:hint="cs"/>
          <w:rtl/>
        </w:rPr>
        <w:t xml:space="preserve">] </w:t>
      </w:r>
      <w:r>
        <w:rPr>
          <w:rtl/>
        </w:rPr>
        <w:t>במה דברים אמורים בעניים אבל אם הכניסה לו שפחה אחת או נכסים שראוין לקנות מהן שפחה אחת או שהיתה לו שפחה אחת או שהיה לו ממון כדי לקנות ממנו שפחה אחת אינה מטחנת ולא אופה ולא מכבסת ולא נותנת תבן לפני בהמתו. הכניסה לו שתי שפחות או נכסים הראויין לקנות מהן שתי שפחות או שהיו לו שתי שפחות או שהיה ראוי לקנות שתי שפחות אינה מבשלת ואינה מניקה את בנה אלא נותנת אותו לשפחה להניק.</w:t>
      </w:r>
    </w:p>
    <w:p w14:paraId="2E697C3F" w14:textId="5269910B" w:rsidR="00A07C44" w:rsidRPr="007D5342" w:rsidRDefault="00A07C44" w:rsidP="00A07C44">
      <w:pPr>
        <w:pStyle w:val="Style1"/>
      </w:pPr>
      <w:r>
        <w:rPr>
          <w:rFonts w:hint="cs"/>
          <w:rtl/>
        </w:rPr>
        <w:t>4)[</w:t>
      </w:r>
      <w:r>
        <w:rPr>
          <w:rtl/>
        </w:rPr>
        <w:t>שולחן ערוך אבן העזר הלכות כתובות סימן פ סעיף ח</w:t>
      </w:r>
      <w:r>
        <w:rPr>
          <w:rFonts w:hint="cs"/>
          <w:rtl/>
        </w:rPr>
        <w:t xml:space="preserve">] </w:t>
      </w:r>
      <w:r w:rsidRPr="007D5342">
        <w:rPr>
          <w:rtl/>
        </w:rPr>
        <w:t>הכניסה לו שתי שפחות, או נכסים הראויים לקנות מהם שתי שפחות, או שהיו לו שתי שפחות, או שהיה ראוי לקנות שתי שפחות, אינה מבשלת ואינה מיניקה את בנה</w:t>
      </w:r>
      <w:r w:rsidRPr="007D5342">
        <w:t>.</w:t>
      </w:r>
    </w:p>
    <w:p w14:paraId="1FD043B2" w14:textId="09F339AB" w:rsidR="00A07C44" w:rsidRDefault="00A07C44" w:rsidP="00A07C44">
      <w:pPr>
        <w:pStyle w:val="Style1"/>
        <w:rPr>
          <w:rtl/>
        </w:rPr>
      </w:pPr>
      <w:r w:rsidRPr="007D5342">
        <w:rPr>
          <w:rFonts w:hint="cs"/>
          <w:rtl/>
        </w:rPr>
        <w:t>הגה: הכניסה לו שלש שפחות, או ממון, או שיש לו ממון שיכול לקנות או לשכר, אינה מצעת המטות, רק מטתו (הר"ן בשם יש מפרשים). יש אומרים דאף מטתו אינה מצעת, רק בפריסת סדינין, ומסדרת לו מטתו שהוא דרך חבה, וכל אשה תעשה זה אפילו יש לה כמה שפחות (טור)</w:t>
      </w:r>
      <w:r w:rsidRPr="007D5342">
        <w:t>:</w:t>
      </w:r>
    </w:p>
    <w:p w14:paraId="52F816C2" w14:textId="265AF1E3" w:rsidR="00131378" w:rsidRDefault="00131378" w:rsidP="00131378">
      <w:pPr>
        <w:pStyle w:val="Style1"/>
        <w:rPr>
          <w:rtl/>
        </w:rPr>
      </w:pPr>
      <w:r>
        <w:rPr>
          <w:rFonts w:hint="cs"/>
          <w:rtl/>
        </w:rPr>
        <w:t>5)[</w:t>
      </w:r>
      <w:r>
        <w:rPr>
          <w:rtl/>
        </w:rPr>
        <w:t>רמב</w:t>
      </w:r>
      <w:r w:rsidR="00213DA1">
        <w:rPr>
          <w:rtl/>
        </w:rPr>
        <w:t>”ם \נשים\</w:t>
      </w:r>
      <w:r>
        <w:rPr>
          <w:rtl/>
        </w:rPr>
        <w:t xml:space="preserve"> הלכות אישות פרק כא הלכה ג</w:t>
      </w:r>
      <w:r>
        <w:rPr>
          <w:rFonts w:hint="cs"/>
          <w:rtl/>
        </w:rPr>
        <w:t xml:space="preserve">] </w:t>
      </w:r>
      <w:r>
        <w:rPr>
          <w:rtl/>
        </w:rPr>
        <w:t>המדיר את אשתו שלא תעשה מלאכה כלל יוציא ויתן כתובה, שהבטלה מביאה לידי זמה. 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p>
    <w:p w14:paraId="0044669F" w14:textId="7B233131" w:rsidR="001E241A" w:rsidRPr="009D33A8" w:rsidRDefault="001E241A" w:rsidP="001E241A">
      <w:pPr>
        <w:pStyle w:val="Style1"/>
      </w:pPr>
      <w:r>
        <w:rPr>
          <w:rFonts w:hint="cs"/>
          <w:rtl/>
        </w:rPr>
        <w:t>5)[</w:t>
      </w:r>
      <w:r>
        <w:rPr>
          <w:rtl/>
        </w:rPr>
        <w:t>שולחן ערוך אבן העזר הלכות כתובות סימן פ סעיף ד</w:t>
      </w:r>
      <w:r>
        <w:rPr>
          <w:rFonts w:hint="cs"/>
          <w:rtl/>
        </w:rPr>
        <w:t xml:space="preserve">] </w:t>
      </w:r>
      <w:r w:rsidRPr="009D33A8">
        <w:rPr>
          <w:rtl/>
        </w:rPr>
        <w:t>וכן כל אשה רוחצת לבעלה פניו ידיו ורגליו, ומוזגת לו את הכוס, ומצעת לו את המיטה </w:t>
      </w:r>
      <w:r w:rsidRPr="009D33A8">
        <w:rPr>
          <w:rFonts w:hint="cs"/>
          <w:rtl/>
        </w:rPr>
        <w:t>ויש אומרים דמחויבת להציע כל מטות הבית (המגיד משנה פרק כ"א ובהר"ן פרק אף על פי)</w:t>
      </w:r>
      <w:r w:rsidRPr="009D33A8">
        <w:t xml:space="preserve">, </w:t>
      </w:r>
      <w:r w:rsidRPr="009D33A8">
        <w:rPr>
          <w:rtl/>
        </w:rPr>
        <w:t>ועומדת ומשמשת בפני בעלה, כגון שתתן לו מים או כלי או שתיטול מלפניו, וכיוצא בדברים אלו</w:t>
      </w:r>
      <w:r w:rsidRPr="009D33A8">
        <w:t>.</w:t>
      </w:r>
    </w:p>
    <w:p w14:paraId="5B219AC8" w14:textId="2F1629B8" w:rsidR="001E241A" w:rsidRDefault="001E241A" w:rsidP="001E241A">
      <w:pPr>
        <w:pStyle w:val="Style1"/>
        <w:rPr>
          <w:rtl/>
        </w:rPr>
      </w:pPr>
      <w:r w:rsidRPr="009D33A8">
        <w:rPr>
          <w:rtl/>
        </w:rPr>
        <w:t>אבל אינה עומדת ומשמשת בפני אביו או בפני בנו</w:t>
      </w:r>
      <w:r w:rsidRPr="009D33A8">
        <w:t>. </w:t>
      </w:r>
      <w:r w:rsidRPr="009D33A8">
        <w:rPr>
          <w:rFonts w:hint="cs"/>
          <w:rtl/>
        </w:rPr>
        <w:t>ויש אומרים דוקא באינן סמוכין על שלחן בעלה (בית יוסף בשם הר"ן פרק אף על פי)</w:t>
      </w:r>
      <w:r w:rsidRPr="009D33A8">
        <w:t>:</w:t>
      </w:r>
    </w:p>
    <w:p w14:paraId="67990873" w14:textId="22F983F7" w:rsidR="00E76702" w:rsidRPr="00E76702" w:rsidRDefault="00D123AF" w:rsidP="00E76702">
      <w:pPr>
        <w:pStyle w:val="Style1"/>
      </w:pPr>
      <w:r>
        <w:rPr>
          <w:rFonts w:hint="cs"/>
          <w:rtl/>
        </w:rPr>
        <w:t>5)[</w:t>
      </w:r>
      <w:r>
        <w:rPr>
          <w:rtl/>
        </w:rPr>
        <w:t>שולחן ערוך אבן העזר הלכות כתובות סימן פ סעיף ה</w:t>
      </w:r>
      <w:r>
        <w:rPr>
          <w:rFonts w:hint="cs"/>
          <w:rtl/>
        </w:rPr>
        <w:t>]</w:t>
      </w:r>
      <w:r w:rsidR="00E76702">
        <w:rPr>
          <w:rFonts w:hint="cs"/>
          <w:rtl/>
        </w:rPr>
        <w:t xml:space="preserve"> </w:t>
      </w:r>
      <w:r w:rsidR="00E76702" w:rsidRPr="00E76702">
        <w:rPr>
          <w:rtl/>
        </w:rPr>
        <w:t>מלאכות אלו עושה אותן היא בעצמה, ואפילו היו לה כמה שפחות אין עושין מלאכות אלו לבעל, אלא אשתו</w:t>
      </w:r>
      <w:r w:rsidR="00E76702" w:rsidRPr="00E76702">
        <w:t>.</w:t>
      </w:r>
    </w:p>
    <w:p w14:paraId="74E60901" w14:textId="6B990EFE" w:rsidR="00E76702" w:rsidRDefault="00E76702" w:rsidP="00E76702">
      <w:pPr>
        <w:pStyle w:val="Style1"/>
        <w:rPr>
          <w:rtl/>
        </w:rPr>
      </w:pPr>
      <w:r w:rsidRPr="00E76702">
        <w:rPr>
          <w:rFonts w:hint="cs"/>
          <w:rtl/>
        </w:rPr>
        <w:t>ויש מחלקת בהצעת המטה, ועין למטה </w:t>
      </w:r>
      <w:hyperlink r:id="rId132" w:anchor="%D7%A1%D7%A2%D7%99%D7%A3_%D7%97" w:history="1">
        <w:r w:rsidRPr="00E76702">
          <w:rPr>
            <w:rStyle w:val="Hyperlink"/>
            <w:rFonts w:hint="cs"/>
            <w:color w:val="7030A0"/>
            <w:u w:val="none"/>
            <w:rtl/>
          </w:rPr>
          <w:t>סעיף ח</w:t>
        </w:r>
        <w:r w:rsidRPr="00E76702">
          <w:rPr>
            <w:rStyle w:val="Hyperlink"/>
            <w:rFonts w:hint="cs"/>
            <w:color w:val="7030A0"/>
            <w:u w:val="none"/>
          </w:rPr>
          <w:t>'</w:t>
        </w:r>
      </w:hyperlink>
      <w:r w:rsidRPr="00E76702">
        <w:t>:</w:t>
      </w:r>
    </w:p>
    <w:p w14:paraId="69E11551" w14:textId="7F75EBDE" w:rsidR="00C75ADD" w:rsidRDefault="00C75ADD" w:rsidP="00C75ADD">
      <w:pPr>
        <w:pStyle w:val="Style1"/>
        <w:rPr>
          <w:rtl/>
        </w:rPr>
      </w:pPr>
      <w:r>
        <w:rPr>
          <w:rFonts w:hint="cs"/>
          <w:rtl/>
        </w:rPr>
        <w:t>6)[</w:t>
      </w:r>
      <w:r>
        <w:rPr>
          <w:rtl/>
        </w:rPr>
        <w:t>רמב</w:t>
      </w:r>
      <w:r w:rsidR="00213DA1">
        <w:rPr>
          <w:rtl/>
        </w:rPr>
        <w:t>”ם \נשים\</w:t>
      </w:r>
      <w:r>
        <w:rPr>
          <w:rtl/>
        </w:rPr>
        <w:t xml:space="preserve"> הלכות אישות פרק כא הלכה ה</w:t>
      </w:r>
      <w:r>
        <w:rPr>
          <w:rFonts w:hint="cs"/>
          <w:rtl/>
        </w:rPr>
        <w:t xml:space="preserve">] </w:t>
      </w:r>
      <w:r>
        <w:rPr>
          <w:rtl/>
        </w:rPr>
        <w:t>יש מלאכות אחרות שהאשה עושה לבעלה בזמן שהן עניים ואלו הן: אופה את הפת בתנור, ועזרא תיקן שתהיה אשה משכמת ואופה כדי שתהיה הפת מצויה לעניים, ומבשלת את התבשילין ומכבסת את הבגדים, ומניקה את בנה, ונותנת תבן לפני בהמתו אבל לא לפני בקרו, ומטחנת, כיצד מטחנת יושבת ברחים ומשמרת את הקמח  ואצה בטוחנת או מחמרת אחר הבהמה כדי שלא יבטלו הרחים, ואם היה דרכן לטחון ברחים של יד טוחנת.</w:t>
      </w:r>
    </w:p>
    <w:p w14:paraId="46D5900E" w14:textId="661C0CC1" w:rsidR="00A656F7" w:rsidRDefault="00A656F7" w:rsidP="00A656F7">
      <w:pPr>
        <w:pStyle w:val="Style1"/>
        <w:rPr>
          <w:rtl/>
        </w:rPr>
      </w:pPr>
      <w:r>
        <w:rPr>
          <w:rFonts w:hint="cs"/>
          <w:rtl/>
        </w:rPr>
        <w:t>6)[</w:t>
      </w:r>
      <w:r>
        <w:rPr>
          <w:rtl/>
        </w:rPr>
        <w:t>רמב</w:t>
      </w:r>
      <w:r w:rsidR="00213DA1">
        <w:rPr>
          <w:rtl/>
        </w:rPr>
        <w:t>”ם \קדושה\</w:t>
      </w:r>
      <w:r>
        <w:rPr>
          <w:rtl/>
        </w:rPr>
        <w:t xml:space="preserve"> הלכות איסורי ביאה פרק יא הלכה יט</w:t>
      </w:r>
      <w:r>
        <w:rPr>
          <w:rFonts w:hint="cs"/>
          <w:rtl/>
        </w:rPr>
        <w:t xml:space="preserve">] </w:t>
      </w:r>
      <w:r>
        <w:rPr>
          <w:rtl/>
        </w:rPr>
        <w:t>כל מלאכות שהאשה עושה לבעלה נדה עושה לבעלה חוץ מהרחצת פניו ידיו ורגליו ומזיגת הכוס והצעת המטה בפניו, גזירה שמא יבוא לדבר עבירה, ומפני זה לא תאכל עמו בקערה אחת ולא יגע בבשרה מפני הרגל עבירה, וכן בשבעת ימים נקיים לא תעשה לו שלש מלאכות אלו, ומותר לאשה להתקשט בימי נדתה כדי שלא תתגנה על בעלה.</w:t>
      </w:r>
    </w:p>
    <w:p w14:paraId="378F46AF" w14:textId="2BB4D912" w:rsidR="000839AF" w:rsidRDefault="000839AF" w:rsidP="000839AF">
      <w:pPr>
        <w:pStyle w:val="Style1"/>
      </w:pPr>
      <w:r>
        <w:rPr>
          <w:rFonts w:hint="cs"/>
          <w:rtl/>
        </w:rPr>
        <w:t>6)[</w:t>
      </w:r>
      <w:r>
        <w:rPr>
          <w:rtl/>
        </w:rPr>
        <w:t xml:space="preserve">טור אבן העזר הלכות כתובות סימן </w:t>
      </w:r>
      <w:r w:rsidR="00A6276E">
        <w:rPr>
          <w:rFonts w:hint="cs"/>
        </w:rPr>
        <w:t>‍</w:t>
      </w:r>
      <w:r>
        <w:rPr>
          <w:rFonts w:hint="cs"/>
          <w:rtl/>
        </w:rPr>
        <w:t xml:space="preserve"> </w:t>
      </w:r>
      <w:r w:rsidR="00AF3E0E">
        <w:rPr>
          <w:rFonts w:hint="cs"/>
          <w:rtl/>
        </w:rPr>
        <w:t xml:space="preserve">פ] </w:t>
      </w:r>
      <w:r>
        <w:rPr>
          <w:rtl/>
        </w:rPr>
        <w:t xml:space="preserve">מעשה ידי האשה לבעלה </w:t>
      </w:r>
      <w:r w:rsidR="00A6276E">
        <w:rPr>
          <w:rFonts w:hint="cs"/>
        </w:rPr>
        <w:t>‍</w:t>
      </w:r>
      <w:r>
        <w:rPr>
          <w:rtl/>
        </w:rPr>
        <w:t xml:space="preserve">ומה הן מעשה ידיה שחייבת בהן כדתנן אלו מלאכות שהאשה עושה לבעלה </w:t>
      </w:r>
      <w:r w:rsidR="00A6276E">
        <w:rPr>
          <w:rFonts w:hint="cs"/>
        </w:rPr>
        <w:t>‍</w:t>
      </w:r>
      <w:r>
        <w:rPr>
          <w:rtl/>
        </w:rPr>
        <w:t>טוחנת</w:t>
      </w:r>
      <w:r w:rsidR="0085407B">
        <w:rPr>
          <w:rFonts w:hint="cs"/>
        </w:rPr>
        <w:t>‍</w:t>
      </w:r>
      <w:r>
        <w:rPr>
          <w:rtl/>
        </w:rPr>
        <w:t xml:space="preserve"> פירוש יושבת בריחים ושומרת </w:t>
      </w:r>
      <w:r w:rsidR="00A6276E">
        <w:rPr>
          <w:rFonts w:hint="cs"/>
        </w:rPr>
        <w:t>‍</w:t>
      </w:r>
      <w:r>
        <w:rPr>
          <w:rtl/>
        </w:rPr>
        <w:t xml:space="preserve">ומחמרת אחר החמור ובמקום שדרך לטחון בריחים של יד </w:t>
      </w:r>
      <w:r w:rsidR="00A6276E">
        <w:rPr>
          <w:rFonts w:hint="cs"/>
        </w:rPr>
        <w:t>‍</w:t>
      </w:r>
      <w:r>
        <w:rPr>
          <w:rtl/>
        </w:rPr>
        <w:t xml:space="preserve">טוחנת בידה ואופה הפת ומבשלת התבשיל ומכבסת הבגדים ומניקה את בנה וכתב רי"ף שאם יולדת תאומים אינה חייבת להניק שניהם וכ"כ הרמב"ם וא"א ז"ל כתב שאם יכולה להניק שניהם צריכה להניק שניהם אבל אם יש לו בן מאשה אחרת אינה חייבת להניקו כתב הרמב"ם רצתה להניק בן חבירתה עם בן בעלה הבעל מעכב </w:t>
      </w:r>
      <w:r w:rsidR="00A6276E">
        <w:rPr>
          <w:rFonts w:hint="cs"/>
        </w:rPr>
        <w:t>‍</w:t>
      </w:r>
      <w:r>
        <w:rPr>
          <w:rtl/>
        </w:rPr>
        <w:t xml:space="preserve"> </w:t>
      </w:r>
      <w:r w:rsidR="00A6276E">
        <w:rPr>
          <w:rFonts w:hint="cs"/>
        </w:rPr>
        <w:t>‍</w:t>
      </w:r>
      <w:r>
        <w:rPr>
          <w:rtl/>
        </w:rPr>
        <w:t xml:space="preserve">ונ"ל דאפילו על בנה שיש לה מאיש אחר מעכב דתניא הרי שנתנו לה בן להניק לא תניק עמו לא </w:t>
      </w:r>
      <w:r w:rsidR="00A6276E">
        <w:rPr>
          <w:rFonts w:hint="cs"/>
        </w:rPr>
        <w:t>‍</w:t>
      </w:r>
      <w:r>
        <w:rPr>
          <w:rtl/>
        </w:rPr>
        <w:t xml:space="preserve">בן חבירתה ולא בנה ואין חילוק בין אם נתנו לה בן להניק בין אם מניקה בן בעלה ומצעת לו המטה ועושה בצמר או בכל מיני פשתן בר מכיתנא רומאה </w:t>
      </w:r>
      <w:r w:rsidR="00A6276E">
        <w:rPr>
          <w:rFonts w:hint="cs"/>
        </w:rPr>
        <w:t>‍</w:t>
      </w:r>
      <w:r>
        <w:rPr>
          <w:rtl/>
        </w:rPr>
        <w:t xml:space="preserve">שהוא מזיק לפה ולשפתים וכמה עושה לשבוע משקל ה' סלעים שתי ביהודה </w:t>
      </w:r>
      <w:r w:rsidR="00A6276E">
        <w:rPr>
          <w:rFonts w:hint="cs"/>
        </w:rPr>
        <w:t>‍</w:t>
      </w:r>
      <w:r>
        <w:rPr>
          <w:rtl/>
        </w:rPr>
        <w:t xml:space="preserve">שהן עשר בגליל </w:t>
      </w:r>
      <w:r w:rsidR="00A6276E">
        <w:rPr>
          <w:rFonts w:hint="cs"/>
        </w:rPr>
        <w:t>‍</w:t>
      </w:r>
      <w:r>
        <w:rPr>
          <w:rtl/>
        </w:rPr>
        <w:t xml:space="preserve">וזה השיעור לא נתנו אלא במשרה אשתו על ידי שליש שאינה עמו בבית ואין עושה לו שום דבר אבל אם היא עמו בבית ועושה כל צרכי הבית אינה חייבת לעשות כ"כ אלא לפי המנהג שדרך נשים לעשות אם היא מניקה </w:t>
      </w:r>
      <w:r w:rsidR="00A6276E">
        <w:rPr>
          <w:rFonts w:hint="cs"/>
        </w:rPr>
        <w:t>‍</w:t>
      </w:r>
      <w:r>
        <w:rPr>
          <w:rtl/>
        </w:rPr>
        <w:t xml:space="preserve"> </w:t>
      </w:r>
      <w:r w:rsidR="00A6276E">
        <w:rPr>
          <w:rFonts w:hint="cs"/>
        </w:rPr>
        <w:t>‍</w:t>
      </w:r>
      <w:r>
        <w:rPr>
          <w:rtl/>
        </w:rPr>
        <w:t xml:space="preserve">פוחתין לה ממעשה ידיה ומוסיפין לה על מזונותיה ונותנין לה דברים היפים לחלב כגון יין וכיוצא בו לא הוסיפו לה על מזונותיה </w:t>
      </w:r>
      <w:r w:rsidR="00A6276E">
        <w:rPr>
          <w:rFonts w:hint="cs"/>
        </w:rPr>
        <w:t>‍</w:t>
      </w:r>
      <w:r>
        <w:rPr>
          <w:rtl/>
        </w:rPr>
        <w:t xml:space="preserve">צריכה לאכול משלה אם יש לה כתב הרמב"ם פסקו לה מזונות הראויים לה והיא רוצה לאכול יותר או מאכלות אחרות מפני חולי התאוה שיש בה הרי זו אוכלת משלה כל מה שתרצה ואין הבעל יכול לעכב ולומר שאם תאכל יותר מדאי או תאכל מאכל רע ימות הולד מפני שצער גופה קודם </w:t>
      </w:r>
      <w:r w:rsidR="00A6276E">
        <w:rPr>
          <w:rFonts w:hint="cs"/>
        </w:rPr>
        <w:t>‍</w:t>
      </w:r>
      <w:r>
        <w:rPr>
          <w:rtl/>
        </w:rPr>
        <w:t xml:space="preserve">ואינו נראה כן דתניא </w:t>
      </w:r>
      <w:r w:rsidR="00A6276E">
        <w:rPr>
          <w:rFonts w:hint="cs"/>
        </w:rPr>
        <w:t>‍</w:t>
      </w:r>
      <w:r>
        <w:rPr>
          <w:rtl/>
        </w:rPr>
        <w:t xml:space="preserve">פסקה קימעא אוכלת הרבה ולא תאכל דברים הרעים לחלב ירושלמי שבעה גופי מלאכות מנו חכמים והשאר לא הוצרכו למנות דפשיטא שצריכה לעשות כל צרכי הבית ולעמוד לפני בעלה לשרתו אבל אינה צריכה לשרת </w:t>
      </w:r>
      <w:r w:rsidR="00A6276E">
        <w:rPr>
          <w:rFonts w:hint="cs"/>
        </w:rPr>
        <w:t>‍</w:t>
      </w:r>
      <w:r>
        <w:rPr>
          <w:rtl/>
        </w:rPr>
        <w:t xml:space="preserve">לא לבנו ולא לאביו ואינה צריכה ליתן תבן לפני </w:t>
      </w:r>
      <w:r w:rsidR="00A6276E">
        <w:rPr>
          <w:rFonts w:hint="cs"/>
        </w:rPr>
        <w:t>‍</w:t>
      </w:r>
      <w:r>
        <w:rPr>
          <w:rtl/>
        </w:rPr>
        <w:t xml:space="preserve">סוסיו וחמוריו אבל צריכה ליתן לפני בקר וצאן שלו לפרש"י ולדעת רב אלפס צריכה ליתן לפני בהמתו המיוחדת לו למרכבתו אבל לא לפני שאר בהמות ולא לבקר וצאן שלו הכניסה לו שפחה אחת או דמים שראוי לקנותה מהן </w:t>
      </w:r>
      <w:r w:rsidR="00A6276E">
        <w:rPr>
          <w:rFonts w:hint="cs"/>
        </w:rPr>
        <w:t>‍</w:t>
      </w:r>
      <w:r>
        <w:rPr>
          <w:rtl/>
        </w:rPr>
        <w:t>או שמצאה לו שפחה</w:t>
      </w:r>
      <w:r w:rsidR="0085407B">
        <w:rPr>
          <w:rFonts w:hint="cs"/>
        </w:rPr>
        <w:t>‍</w:t>
      </w:r>
      <w:r>
        <w:rPr>
          <w:rtl/>
        </w:rPr>
        <w:t xml:space="preserve"> או דמים לקנותה </w:t>
      </w:r>
      <w:r w:rsidR="00A6276E">
        <w:rPr>
          <w:rFonts w:hint="cs"/>
        </w:rPr>
        <w:t>‍</w:t>
      </w:r>
      <w:r>
        <w:rPr>
          <w:rtl/>
        </w:rPr>
        <w:t xml:space="preserve"> </w:t>
      </w:r>
      <w:r w:rsidR="00A6276E">
        <w:rPr>
          <w:rFonts w:hint="cs"/>
        </w:rPr>
        <w:t>‍</w:t>
      </w:r>
      <w:r>
        <w:rPr>
          <w:rtl/>
        </w:rPr>
        <w:t xml:space="preserve">אינה טוחנת ואינה אופה ואינה מכבסת כתב הרמב"ם היא אומרת ראוי לו לקנות או לשכור שפחה והוא אומר אין ראוי עליה להביא ראיה </w:t>
      </w:r>
      <w:r w:rsidR="00A6276E">
        <w:rPr>
          <w:rFonts w:hint="cs"/>
        </w:rPr>
        <w:t>‍</w:t>
      </w:r>
      <w:r>
        <w:rPr>
          <w:rtl/>
        </w:rPr>
        <w:t xml:space="preserve">ואין כאן מקום לשבועה הכניסה לו שתים או דמיהן או שמצאה לו שתים או דמיהן אינה מבשלת ולא מניקה את בנו שלשה אינה מצעת לו את המטה לטרוח ולהביא את המצעות ולהפך בהם אבל פורסת את הסדין ומסדרת לו את המטה שהוא דרך חיבה </w:t>
      </w:r>
      <w:r w:rsidR="00A6276E">
        <w:rPr>
          <w:rFonts w:hint="cs"/>
        </w:rPr>
        <w:t>‍</w:t>
      </w:r>
      <w:r>
        <w:rPr>
          <w:rtl/>
        </w:rPr>
        <w:t xml:space="preserve">וראוי לכל אשה לעשות דבר זה לבעלה אפי' יש לה כמה שפחות וכן למזוג לו הכוס ולרחוץ פניו ידיו ורגליו </w:t>
      </w:r>
      <w:r w:rsidR="00A6276E">
        <w:rPr>
          <w:rFonts w:hint="cs"/>
        </w:rPr>
        <w:t>‍</w:t>
      </w:r>
      <w:r>
        <w:rPr>
          <w:rtl/>
        </w:rPr>
        <w:t xml:space="preserve">וכן צריכה לעשות בצמר אפי' יש לה כמה שפחות </w:t>
      </w:r>
      <w:r w:rsidR="00A6276E">
        <w:rPr>
          <w:rFonts w:hint="cs"/>
        </w:rPr>
        <w:t>‍</w:t>
      </w:r>
      <w:r>
        <w:rPr>
          <w:rtl/>
        </w:rPr>
        <w:t xml:space="preserve"> </w:t>
      </w:r>
      <w:r w:rsidR="00A6276E">
        <w:rPr>
          <w:rFonts w:hint="cs"/>
        </w:rPr>
        <w:t>‍</w:t>
      </w:r>
      <w:r>
        <w:rPr>
          <w:rtl/>
        </w:rPr>
        <w:t>שהבטלה מביאה לידי</w:t>
      </w:r>
      <w:r w:rsidR="0085407B">
        <w:rPr>
          <w:rFonts w:hint="cs"/>
        </w:rPr>
        <w:t>‍</w:t>
      </w:r>
      <w:r>
        <w:rPr>
          <w:rtl/>
        </w:rPr>
        <w:t xml:space="preserve"> זימה וכ"כ הרמב"ם אבל אין כופין אותה לעשות מלאכה כל היום אלא לפי רוב הממון ממעטת המלאכה ומה עושה לו הכל כמנהג המדינה במקום שדרכה לארוג אורגת לרקום רוקמת לטוות פשתן או צמר טווה ואם לא היה דרך אנשי העיר לעשות כל המלאכות האלו אינו כופה לעשות אלא בצמר בלבד </w:t>
      </w:r>
      <w:r w:rsidR="00A6276E">
        <w:rPr>
          <w:rFonts w:hint="cs"/>
        </w:rPr>
        <w:t>‍</w:t>
      </w:r>
      <w:r>
        <w:rPr>
          <w:rtl/>
        </w:rPr>
        <w:t xml:space="preserve">שהפשתן מזיק הפה והשפתים והטווי היא מלאכה המיוחדת לנשים שנאמר וכל אשה חכמת לב בידיה טוו וה' מלאכות הן </w:t>
      </w:r>
      <w:r w:rsidR="00A6276E">
        <w:rPr>
          <w:rFonts w:hint="cs"/>
        </w:rPr>
        <w:t>‍</w:t>
      </w:r>
      <w:r>
        <w:rPr>
          <w:rtl/>
        </w:rPr>
        <w:t xml:space="preserve">שכל אשה עושה לבעלה טווה ורוחצת לו פניו ידיו ורגליו ומוזגת לו הכוס ומצעת לו המטה ועומדת לשמש לפניו </w:t>
      </w:r>
      <w:r w:rsidR="00A6276E">
        <w:rPr>
          <w:rFonts w:hint="cs"/>
        </w:rPr>
        <w:t>‍</w:t>
      </w:r>
      <w:r>
        <w:rPr>
          <w:rtl/>
        </w:rPr>
        <w:t xml:space="preserve">ושש מלאכות שמקצתן עושות ומקצתן אינן עושות כגון טוחנת ואופה ומבשלת ומכבסת ומניקה </w:t>
      </w:r>
      <w:r w:rsidR="00A6276E">
        <w:rPr>
          <w:rFonts w:hint="cs"/>
        </w:rPr>
        <w:t>‍</w:t>
      </w:r>
      <w:r>
        <w:rPr>
          <w:rtl/>
        </w:rPr>
        <w:t xml:space="preserve">ונותנת תבן לפני בהמתו ע"כ דחקה ועשתה מלאכה יותר ממה שהאשה חייבת פסק רב האי שהוא לבעל אפי' ביתרון </w:t>
      </w:r>
      <w:r w:rsidR="00A6276E">
        <w:rPr>
          <w:rFonts w:hint="cs"/>
        </w:rPr>
        <w:t>‍</w:t>
      </w:r>
      <w:r>
        <w:rPr>
          <w:rtl/>
        </w:rPr>
        <w:t xml:space="preserve">שבא ע"י הדחק ודוקא שדוחקת להרבות במלאכה כגון שעושה בלילה בשעה שבני אדם ישנים אכל אם עושה </w:t>
      </w:r>
      <w:r w:rsidR="00A6276E">
        <w:rPr>
          <w:rFonts w:hint="cs"/>
        </w:rPr>
        <w:t>‍</w:t>
      </w:r>
      <w:r>
        <w:rPr>
          <w:rtl/>
        </w:rPr>
        <w:t xml:space="preserve">ב' וג' מלאכות ביחד </w:t>
      </w:r>
      <w:r w:rsidR="00A6276E">
        <w:rPr>
          <w:rFonts w:hint="cs"/>
        </w:rPr>
        <w:t>‍</w:t>
      </w:r>
      <w:r>
        <w:rPr>
          <w:rtl/>
        </w:rPr>
        <w:t>המותר לעצמה ור"ח פסק דלא הוי המותר לבעל אלא במותר שלא ע"י הדחק אבל בכל שדחקה בין שעושה בלילה או שעשתה ב' וג' מלאכות ביחד הכל</w:t>
      </w:r>
      <w:r w:rsidR="0085407B">
        <w:rPr>
          <w:rFonts w:hint="cs"/>
        </w:rPr>
        <w:t>‍</w:t>
      </w:r>
      <w:r>
        <w:rPr>
          <w:rtl/>
        </w:rPr>
        <w:t xml:space="preserve"> לעצמה </w:t>
      </w:r>
      <w:r w:rsidR="00A6276E">
        <w:rPr>
          <w:rFonts w:hint="cs"/>
        </w:rPr>
        <w:t>‍</w:t>
      </w:r>
      <w:r>
        <w:rPr>
          <w:rtl/>
        </w:rPr>
        <w:t xml:space="preserve">וא"א ז"ל הביא דברי שניהם </w:t>
      </w:r>
      <w:r w:rsidR="00A6276E">
        <w:rPr>
          <w:rFonts w:hint="cs"/>
        </w:rPr>
        <w:t>‍</w:t>
      </w:r>
      <w:r>
        <w:rPr>
          <w:rtl/>
        </w:rPr>
        <w:t xml:space="preserve">ולא פסק כמי </w:t>
      </w:r>
      <w:r w:rsidR="00A6276E">
        <w:rPr>
          <w:rFonts w:hint="cs"/>
        </w:rPr>
        <w:t>‍</w:t>
      </w:r>
      <w:r>
        <w:rPr>
          <w:rtl/>
        </w:rPr>
        <w:t xml:space="preserve">והרמב"ם כתב בסתם דחקה ועשתה יותר מהראוי לה המותר לבעלה וכל אלו המלאכות אין מחייבין אותה לא מכולן ולא במקצתן אא"כ יהיה דרך משפחתו ומשפחתה לעשותן אבל אם אין דרכן לעשותן אינה חייבת בהן כתב הרמב"ם אשה ששברה כלי בבית בעת מלאכתה פטורה ולא מן הדין אלא תקנה שאם אי אתה אומר כן אין שלום בבית לעולם שהיא נזהרת ונמנעת מרוב המלאכות ונמצאת קטטה בבית לעולם </w:t>
      </w:r>
      <w:r w:rsidR="00A6276E">
        <w:rPr>
          <w:rFonts w:hint="cs"/>
        </w:rPr>
        <w:t>‍</w:t>
      </w:r>
      <w:r>
        <w:rPr>
          <w:rtl/>
        </w:rPr>
        <w:t xml:space="preserve">כל המלאכות שהאשה עושה לבעלה נדה עושה לבעלה חוץ מהצעת המטה בפניו אבל שלא בפניו מותר ולא תמזוג לו כוס אפי' </w:t>
      </w:r>
      <w:r w:rsidR="00A6276E">
        <w:rPr>
          <w:rFonts w:hint="cs"/>
        </w:rPr>
        <w:t>‍</w:t>
      </w:r>
      <w:r>
        <w:rPr>
          <w:rtl/>
        </w:rPr>
        <w:t xml:space="preserve">להניחו בפניו על השלחן אם לא שינתה כגון ביד שמאל או תניחנו על הארץ או על ד"א ולא תצוק לו מים לרחוץ פניו ידיו ורגליו ואסור ליקח שום דבר מידו לידה או ליתנו לידה כתב הרמב"ם </w:t>
      </w:r>
      <w:r w:rsidR="00A6276E">
        <w:rPr>
          <w:rFonts w:hint="cs"/>
        </w:rPr>
        <w:t>‍</w:t>
      </w:r>
      <w:r>
        <w:rPr>
          <w:rtl/>
        </w:rPr>
        <w:t xml:space="preserve"> </w:t>
      </w:r>
      <w:r w:rsidR="00A6276E">
        <w:rPr>
          <w:rFonts w:hint="cs"/>
        </w:rPr>
        <w:t>‍</w:t>
      </w:r>
      <w:r>
        <w:rPr>
          <w:rtl/>
        </w:rPr>
        <w:t xml:space="preserve">כל אשה שתמנע מלעשות מלאכה שהיא חייבת לעשותה כופין אותה ועושה אפילו בשוטים והראב"ד השיג עליו ואומר מעולם לא שמעתי יסור שוטים לנשים אלא ממעט לה מזונותיה וצרכיה עד שתכנע </w:t>
      </w:r>
      <w:r w:rsidR="00A6276E">
        <w:rPr>
          <w:rFonts w:hint="cs"/>
        </w:rPr>
        <w:t>‍</w:t>
      </w:r>
      <w:r>
        <w:rPr>
          <w:rtl/>
        </w:rPr>
        <w:t xml:space="preserve">טען הוא שאינה עושה וטענה היא שעושה מושיבים אשה או שכינים ביניהם ודבר זה כפי מה שיראה הדיין </w:t>
      </w:r>
      <w:r>
        <w:rPr>
          <w:rtl/>
        </w:rPr>
        <w:lastRenderedPageBreak/>
        <w:t xml:space="preserve">שאפשר הדבר ע"כ </w:t>
      </w:r>
      <w:r w:rsidR="00A6276E">
        <w:rPr>
          <w:rFonts w:hint="cs"/>
        </w:rPr>
        <w:t>‍</w:t>
      </w:r>
      <w:r>
        <w:rPr>
          <w:rtl/>
        </w:rPr>
        <w:t xml:space="preserve">יראה שפוסק דמורדת ממלאכה הויא מורדת וא"כ קשה לדבריו למה לא יפחתו מכתובתה כדין מוררת מתשמיש </w:t>
      </w:r>
      <w:r w:rsidR="00A6276E">
        <w:rPr>
          <w:rFonts w:hint="cs"/>
        </w:rPr>
        <w:t>‍</w:t>
      </w:r>
      <w:r>
        <w:rPr>
          <w:rtl/>
        </w:rPr>
        <w:t xml:space="preserve">וא"א הרא"ש ז"ל כתב שאין כופין אותה דקי"ל כרב הונא דאמר אשה יכולה לומר לבעל איני ניזונית ואיני עושה לפיכך אם תרצה לא תעשה ולא תזון כתב ה"ר יונה דוקא בעיקר מעשה ידיה אבל המותר על ה' סלעים שהוא שלו ותקנו לה כנגדו מעה כסף אינה יכולה לומר איני נוטלת מעה כסף ואיני נותנת מותר לפי שתקנו לו מותר </w:t>
      </w:r>
      <w:r w:rsidR="00A6276E">
        <w:rPr>
          <w:rFonts w:hint="cs"/>
        </w:rPr>
        <w:t>‍</w:t>
      </w:r>
      <w:r>
        <w:rPr>
          <w:rtl/>
        </w:rPr>
        <w:t>משום חינא ובתר הכי תקנו לה כנגדו מעה כסף והרמ"ה כתב שגם במותר יכולה לומר איני נוטלת מעה כסף ואיני נותנת מותר:</w:t>
      </w:r>
    </w:p>
    <w:p w14:paraId="098C1667" w14:textId="212C28F2" w:rsidR="003B5D3D" w:rsidRDefault="003B5D3D" w:rsidP="003B5D3D">
      <w:pPr>
        <w:pStyle w:val="Style1"/>
      </w:pPr>
      <w:r>
        <w:rPr>
          <w:rStyle w:val="Style1Char"/>
        </w:rPr>
        <w:t>6</w:t>
      </w:r>
      <w:r>
        <w:rPr>
          <w:rStyle w:val="Style1Char"/>
          <w:rFonts w:hint="cs"/>
          <w:rtl/>
        </w:rPr>
        <w:t>)[</w:t>
      </w:r>
      <w:r w:rsidRPr="003B2F5B">
        <w:rPr>
          <w:rStyle w:val="Style1Char"/>
          <w:rtl/>
        </w:rPr>
        <w:t>שולחן ערוך יורה דעה הלכות נדה סימן קצה סעיף י</w:t>
      </w:r>
      <w:r>
        <w:rPr>
          <w:rStyle w:val="Style1Char"/>
          <w:rFonts w:hint="cs"/>
          <w:rtl/>
        </w:rPr>
        <w:t xml:space="preserve">] </w:t>
      </w:r>
      <w:r w:rsidRPr="00A4305C">
        <w:rPr>
          <w:rtl/>
        </w:rPr>
        <w:t>כל מלאכות שהאשה עושה לבעלה, נדה עושה לו, חוץ ממזיגת הכוס, שאסורה למזוג הכוס </w:t>
      </w:r>
      <w:r w:rsidRPr="00A4305C">
        <w:rPr>
          <w:rFonts w:hint="cs"/>
          <w:rtl/>
        </w:rPr>
        <w:t>(בפניו) (בית יוסף וכן משמע ממרדכי פרק קמא דשבועות וכן משמע מדברי הפוסקים)</w:t>
      </w:r>
      <w:r w:rsidRPr="00A4305C">
        <w:rPr>
          <w:rtl/>
        </w:rPr>
        <w:t> ולהניחו לפניו על השלחן אלא אם כן תעשה שום היכר, כגון שתניחנו על השלחן ביד שמאל או תניחנו על הכר או על הכסת, אפילו ביד ימינה</w:t>
      </w:r>
      <w:r w:rsidRPr="00A4305C">
        <w:t>:</w:t>
      </w:r>
    </w:p>
    <w:p w14:paraId="362B835D" w14:textId="4C53C99F" w:rsidR="00E417A4" w:rsidRDefault="00E417A4" w:rsidP="00E417A4">
      <w:pPr>
        <w:pStyle w:val="Style1"/>
        <w:rPr>
          <w:rtl/>
        </w:rPr>
      </w:pPr>
      <w:r>
        <w:rPr>
          <w:rFonts w:hint="cs"/>
          <w:rtl/>
        </w:rPr>
        <w:t>7)[</w:t>
      </w:r>
      <w:r>
        <w:rPr>
          <w:rtl/>
        </w:rPr>
        <w:t>רמב</w:t>
      </w:r>
      <w:r w:rsidR="00C764B2">
        <w:rPr>
          <w:rtl/>
        </w:rPr>
        <w:t>”ם \אהבה\</w:t>
      </w:r>
      <w:r>
        <w:rPr>
          <w:rtl/>
        </w:rPr>
        <w:t xml:space="preserve"> הלכות ברכות פרק ז הלכה ז</w:t>
      </w:r>
      <w:r>
        <w:rPr>
          <w:rFonts w:hint="cs"/>
          <w:rtl/>
        </w:rPr>
        <w:t xml:space="preserve">] </w:t>
      </w:r>
      <w:r>
        <w:rPr>
          <w:rtl/>
        </w:rPr>
        <w:t>השמש שעומד לפני המסובין אינו אוכל עמהן, ודרך רחמנות הוא ליתן לתוך פיו מכל תבשיל ותבשיל כדי ליישב דעתו, ואם נתנו לו יין מברך על כל כוס וכוס שנותנין לו, מפני שאין שתייתו תלויה ברצונו אלא ברצונם.</w:t>
      </w:r>
    </w:p>
    <w:p w14:paraId="77EC2540" w14:textId="7989DF74" w:rsidR="00194AC0" w:rsidRDefault="00194AC0" w:rsidP="00194AC0">
      <w:pPr>
        <w:pStyle w:val="Style1"/>
        <w:rPr>
          <w:rtl/>
        </w:rPr>
      </w:pPr>
      <w:r>
        <w:rPr>
          <w:rFonts w:hint="cs"/>
          <w:rtl/>
        </w:rPr>
        <w:t>7)[</w:t>
      </w:r>
      <w:r>
        <w:rPr>
          <w:rtl/>
        </w:rPr>
        <w:t>רמב</w:t>
      </w:r>
      <w:r w:rsidR="005258D6">
        <w:rPr>
          <w:rtl/>
        </w:rPr>
        <w:t>”ם \קניין\</w:t>
      </w:r>
      <w:r>
        <w:rPr>
          <w:rtl/>
        </w:rPr>
        <w:t xml:space="preserve"> הלכות עבדים פרק ט הלכה ח</w:t>
      </w:r>
      <w:r>
        <w:rPr>
          <w:rFonts w:hint="cs"/>
          <w:rtl/>
        </w:rPr>
        <w:t xml:space="preserve">] </w:t>
      </w:r>
      <w:r>
        <w:rPr>
          <w:rtl/>
        </w:rPr>
        <w:t>מותר לעבוד בעבד כנעני בפרך, ואף על פי שהדין כך מדת חסידות ודרכי חכמה שיהיה אדם רחמן ורודף צדק ולא יכביד עולו על עבדו ולא יצר לו ויאכילהו וישקהו מכל מאכל ומכל משתה, חכמים הראשונים היו נותנין לעבד מכל תבשיל ותבשיל שהיו אוכלין, ומקדימין מזון הבהמות והעבדים לסעודת עצמן, הרי הוא אומר כעיני עבדים אל יד אדוניהם כעיני שפחה אל יד גבירתה, וכן לא יבזהו ביד ולא בדברים לעבדות מסרן הכתוב לא לבושה, ולא ירבה עליו צעקה וכעס אלא ידבר עמו בנחת וישמע טענותיו וכן מפורש בדרכי איוב הטובים שהשתבח בהן אם אמאס משפט עבדי ואמתי בריבם עמדי הלא בבטן עושני עשהו ויכוננו ברחם אחד, ואין האכזריות והעזות מצויה אלא בעכו"ם עובדי ע"ז אבל זרעו של אברהם אבינו והם ישראל שהשפיע להם הקדוש ברוך הוא טובת התורה וצוה אותם בחקים ומשפטים צדיקים רחמנים הם על הכל, וכן במדותיו של הקדוש ברוך הוא שצונו להדמות בהם הוא אומר ורחמיו על כל מעשיו וכל המרחם מרחמין עליו שנאמר ונתן לך רחמים ורחמך והרבך.</w:t>
      </w:r>
    </w:p>
    <w:p w14:paraId="010F0380" w14:textId="45768D5C" w:rsidR="00D105BE" w:rsidRDefault="007F0AC7" w:rsidP="00D105BE">
      <w:pPr>
        <w:pStyle w:val="Style1"/>
        <w:rPr>
          <w:rtl/>
        </w:rPr>
      </w:pPr>
      <w:r>
        <w:rPr>
          <w:rFonts w:hint="cs"/>
          <w:rtl/>
        </w:rPr>
        <w:t>7)[</w:t>
      </w:r>
      <w:r>
        <w:rPr>
          <w:rtl/>
        </w:rPr>
        <w:t>שולחן ערוך אורח חיים הלכות בציעת הפת, סעודה, וברכת המזון סימן קסט סעיף א</w:t>
      </w:r>
      <w:r>
        <w:rPr>
          <w:rFonts w:hint="cs"/>
          <w:rtl/>
        </w:rPr>
        <w:t>]</w:t>
      </w:r>
      <w:r w:rsidR="00D105BE">
        <w:rPr>
          <w:rFonts w:hint="cs"/>
          <w:rtl/>
        </w:rPr>
        <w:t xml:space="preserve"> </w:t>
      </w:r>
      <w:r w:rsidR="00D105BE" w:rsidRPr="00D105BE">
        <w:rPr>
          <w:rtl/>
        </w:rPr>
        <w:t>כל דבר שמביאין לפני האדם שיש לו ריח והאדם תאב לו צריך ליתן ממנו לשמש מיד ומדת חסידות הוא ליתן לו מיד מכל מין ומין ולא יתן לו כל זמן שהכוס בידו או ביד בעל הבית </w:t>
      </w:r>
      <w:r w:rsidR="00D105BE" w:rsidRPr="00D105BE">
        <w:rPr>
          <w:rFonts w:hint="cs"/>
        </w:rPr>
        <w:t>(</w:t>
      </w:r>
      <w:r w:rsidR="00D105BE" w:rsidRPr="00D105BE">
        <w:rPr>
          <w:rFonts w:hint="cs"/>
          <w:rtl/>
        </w:rPr>
        <w:t>ודוקא לשמש אבל לאחר שבסעודה מותר ליתן בכי האי גונא) (הר"י סוף פרק אלו דברים</w:t>
      </w:r>
      <w:r w:rsidR="00D105BE" w:rsidRPr="00D105BE">
        <w:rPr>
          <w:rFonts w:hint="cs"/>
        </w:rPr>
        <w:t>)</w:t>
      </w:r>
      <w:r w:rsidR="00D105BE" w:rsidRPr="00D105BE">
        <w:t xml:space="preserve">. </w:t>
      </w:r>
      <w:r w:rsidR="00D105BE" w:rsidRPr="00D105BE">
        <w:rPr>
          <w:rtl/>
        </w:rPr>
        <w:t>ואסור ליתן לו פרוסת פת אלא אם כן יודע בו שנטל ידיו</w:t>
      </w:r>
      <w:r w:rsidR="00D105BE" w:rsidRPr="00D105BE">
        <w:t>:</w:t>
      </w:r>
    </w:p>
    <w:p w14:paraId="758754C6" w14:textId="1C381DBD" w:rsidR="00015AE7" w:rsidRPr="00015AE7" w:rsidRDefault="00D466B4" w:rsidP="00015AE7">
      <w:pPr>
        <w:pStyle w:val="Style1"/>
      </w:pPr>
      <w:r>
        <w:rPr>
          <w:rFonts w:hint="cs"/>
          <w:rtl/>
        </w:rPr>
        <w:t>7)[</w:t>
      </w:r>
      <w:r>
        <w:rPr>
          <w:rtl/>
        </w:rPr>
        <w:t>שולחן ערוך יורה דעה הלכות עבדים סימן רסז סעיף יז</w:t>
      </w:r>
      <w:r>
        <w:rPr>
          <w:rFonts w:hint="cs"/>
          <w:rtl/>
        </w:rPr>
        <w:t>]</w:t>
      </w:r>
      <w:r w:rsidR="00015AE7">
        <w:rPr>
          <w:rFonts w:hint="cs"/>
          <w:rtl/>
        </w:rPr>
        <w:t xml:space="preserve"> </w:t>
      </w:r>
      <w:r w:rsidR="00015AE7" w:rsidRPr="00015AE7">
        <w:rPr>
          <w:rtl/>
        </w:rPr>
        <w:t>הקונה עבד עובד כוכבים מישראל או מעובד כוכבים, וכן עובד כוכבים שמכר עצמו לישראל או שמכר בניו ובנותיו -- הרי הוא כעבד כנעני אלא שאותו שלוקח מעובד כוכבים אין גופו קנוי אלא למעשה ידיו, אלא אם כן קנאו בדינא דמלכותא</w:t>
      </w:r>
      <w:r w:rsidR="00015AE7" w:rsidRPr="00015AE7">
        <w:t xml:space="preserve"> (</w:t>
      </w:r>
      <w:r w:rsidR="00015AE7" w:rsidRPr="00015AE7">
        <w:rPr>
          <w:rtl/>
        </w:rPr>
        <w:t>ממשמעות התוספות וד"ע לדעת הרמב"ם ועב"י</w:t>
      </w:r>
      <w:r w:rsidR="00015AE7" w:rsidRPr="00015AE7">
        <w:t>).</w:t>
      </w:r>
    </w:p>
    <w:p w14:paraId="63CC2DBC" w14:textId="77777777" w:rsidR="00015AE7" w:rsidRPr="00015AE7" w:rsidRDefault="00015AE7" w:rsidP="00015AE7">
      <w:pPr>
        <w:pStyle w:val="Style1"/>
      </w:pPr>
      <w:r w:rsidRPr="00015AE7">
        <w:rPr>
          <w:rtl/>
        </w:rPr>
        <w:t>ובכולם כל זמן שלא הטבילו לשם עבדות דינו כעובד כוכבים לכל דבר. ולאחר שיטבילנו לשם עבדות הוא עבד וחייב במצות שהאשה חייבת בהן</w:t>
      </w:r>
      <w:r w:rsidRPr="00015AE7">
        <w:t>.</w:t>
      </w:r>
    </w:p>
    <w:p w14:paraId="2B035E3D" w14:textId="77777777" w:rsidR="00015AE7" w:rsidRPr="00015AE7" w:rsidRDefault="00015AE7" w:rsidP="00015AE7">
      <w:pPr>
        <w:pStyle w:val="Style1"/>
      </w:pPr>
      <w:r w:rsidRPr="00015AE7">
        <w:rPr>
          <w:rtl/>
        </w:rPr>
        <w:t>ובעבד זה מותר לעבוד בפרך. ואף על פי שהדין כך -- ממדת חסידות ודרכי החכמה שיהא אדם רחמן ולא יכביד עולו על עבדו ולא יצר לו. ויאכילהו וישקהו מכל מאכל ומשקה, ולא יבזהו לא ביד ולא בדברים. ולא ירבה עליו צעקות וכעס אלא ידבר עמו בנחת וישמע טענותיו</w:t>
      </w:r>
      <w:r w:rsidRPr="00015AE7">
        <w:t>.</w:t>
      </w:r>
    </w:p>
    <w:p w14:paraId="433ECCB9" w14:textId="77777777" w:rsidR="00015AE7" w:rsidRPr="00015AE7" w:rsidRDefault="00015AE7" w:rsidP="00015AE7">
      <w:pPr>
        <w:pStyle w:val="Style1"/>
      </w:pPr>
    </w:p>
    <w:p w14:paraId="7019DCA2" w14:textId="622A72CC" w:rsidR="00D466B4" w:rsidRPr="00D105BE" w:rsidRDefault="00D466B4" w:rsidP="00D466B4">
      <w:pPr>
        <w:pStyle w:val="Style1"/>
      </w:pPr>
    </w:p>
    <w:p w14:paraId="56D8745C" w14:textId="7A252851" w:rsidR="007F0AC7" w:rsidRPr="00D105BE" w:rsidRDefault="007F0AC7" w:rsidP="00D105BE">
      <w:pPr>
        <w:pStyle w:val="Style1"/>
        <w:rPr>
          <w:rtl/>
        </w:rPr>
      </w:pPr>
    </w:p>
    <w:p w14:paraId="5E93E02E" w14:textId="77777777" w:rsidR="00C75ADD" w:rsidRPr="00D105BE" w:rsidRDefault="00C75ADD" w:rsidP="00D105BE">
      <w:pPr>
        <w:pStyle w:val="Style1"/>
      </w:pPr>
    </w:p>
    <w:p w14:paraId="0A21D708" w14:textId="77777777" w:rsidR="00E76702" w:rsidRPr="00E76702" w:rsidRDefault="00E76702" w:rsidP="00E76702">
      <w:pPr>
        <w:pStyle w:val="Style1"/>
      </w:pPr>
    </w:p>
    <w:p w14:paraId="5AAAFDA6" w14:textId="7420C326" w:rsidR="002C4635" w:rsidRPr="00E76702" w:rsidRDefault="002C4635" w:rsidP="00E76702">
      <w:pPr>
        <w:pStyle w:val="Style1"/>
        <w:rPr>
          <w:rStyle w:val="Style1Char"/>
          <w:rtl/>
        </w:rPr>
      </w:pPr>
    </w:p>
    <w:p w14:paraId="6CD1BDF7" w14:textId="77777777" w:rsidR="002C4635" w:rsidRPr="00721A4B" w:rsidRDefault="002C4635" w:rsidP="002C4635">
      <w:pPr>
        <w:bidi/>
        <w:rPr>
          <w:rStyle w:val="Style1Char"/>
          <w:color w:val="00B050"/>
          <w:rtl/>
        </w:rPr>
      </w:pPr>
    </w:p>
    <w:p w14:paraId="4571A5D1" w14:textId="77777777" w:rsidR="002C4635" w:rsidRPr="0042622F" w:rsidRDefault="002C4635" w:rsidP="002C4635">
      <w:pPr>
        <w:bidi/>
        <w:rPr>
          <w:rStyle w:val="Style1Char"/>
          <w:color w:val="00B050"/>
          <w:rtl/>
        </w:rPr>
      </w:pPr>
    </w:p>
    <w:p w14:paraId="33F30AC8" w14:textId="77777777" w:rsidR="002C4635" w:rsidRDefault="002C4635" w:rsidP="002C4635">
      <w:pPr>
        <w:rPr>
          <w:rStyle w:val="Style1Char"/>
          <w:color w:val="00B050"/>
          <w:rtl/>
        </w:rPr>
      </w:pPr>
      <w:r>
        <w:rPr>
          <w:rStyle w:val="Style1Char"/>
          <w:color w:val="00B050"/>
          <w:rtl/>
        </w:rPr>
        <w:br w:type="page"/>
      </w:r>
    </w:p>
    <w:p w14:paraId="0DF17BEB" w14:textId="77777777" w:rsidR="002C4635" w:rsidRPr="005F123E" w:rsidRDefault="002C4635" w:rsidP="002C4635">
      <w:pPr>
        <w:bidi/>
        <w:rPr>
          <w:rStyle w:val="Style1Char"/>
          <w:color w:val="00B050"/>
        </w:rPr>
      </w:pPr>
      <w:r w:rsidRPr="003663A8">
        <w:rPr>
          <w:rStyle w:val="Style1Char"/>
          <w:color w:val="00B050"/>
          <w:sz w:val="22"/>
          <w:szCs w:val="22"/>
          <w:highlight w:val="yellow"/>
          <w:rtl/>
        </w:rPr>
        <w:lastRenderedPageBreak/>
        <w:t>[דף סא עמוד ב]</w:t>
      </w:r>
      <w:r w:rsidRPr="003663A8">
        <w:rPr>
          <w:rStyle w:val="Style1Char"/>
          <w:color w:val="00B050"/>
          <w:sz w:val="22"/>
          <w:szCs w:val="22"/>
          <w:rtl/>
        </w:rPr>
        <w:t xml:space="preserve"> </w:t>
      </w:r>
      <w:r w:rsidRPr="005F123E">
        <w:rPr>
          <w:rStyle w:val="Style1Char"/>
          <w:color w:val="00B050"/>
          <w:rtl/>
        </w:rPr>
        <w:t xml:space="preserve">דחוור אפיה, שקל באצבעתיה אנח ליה בפומיה, א"ל: אפסדת לסעודתא דמלכא. אמרו ליה: אמאי תיעביד הכי? אמר להו: מאן דעביד הכי, פסיל למאכל דמלכא. אמרו ליה: אמאי? אמר להו: דבר אחר חזאי ביה. בדקו ולא אשכחו, שקל אצבעתיה אנח עליה, אמר להו: הכא מי בדקיתו? בדקו אשכחו. אמרו ליה רבנן: מ"ט סמכת אניסא? אמר להו: חזאי רוח צרעת דקא פרחה עילויה. ההוא רומאה דאמר לה לההיא איתתא: מינסבת לי? אמרה ליה: לא. אזיל אייתי רימני, פלי ואכל קמה, כל מיא דצערי לה בלעתיה, ולא הב לה, עד דזג לה. לסוף אמר לה: אי מסינא לך מינסבת לי? אמרה ליה: אין. אזיל אייתי רימני, פלי ואכל קמה, אמר לה: כל מיא דצערי לך תוף שדאי, תוף שדאי, עד דנפקא מינה כי הוצא ירקא ואתסיאת. </w:t>
      </w:r>
    </w:p>
    <w:p w14:paraId="042B9102" w14:textId="63A47C15" w:rsidR="002C4635" w:rsidRPr="00F3685F" w:rsidRDefault="002C4635" w:rsidP="002C4635">
      <w:pPr>
        <w:bidi/>
        <w:rPr>
          <w:rStyle w:val="Style1Char"/>
          <w:color w:val="auto"/>
          <w:sz w:val="22"/>
          <w:szCs w:val="22"/>
          <w:rtl/>
        </w:rPr>
      </w:pPr>
      <w:r w:rsidRPr="00FE11BD">
        <w:rPr>
          <w:rStyle w:val="Style1Char"/>
          <w:color w:val="auto"/>
          <w:sz w:val="22"/>
          <w:szCs w:val="22"/>
          <w:rtl/>
        </w:rPr>
        <w:t xml:space="preserve">ועושה בצמר. בצמר אין, בפשתים לא, מתני' מני? ר' יהודה היא; דתניא: </w:t>
      </w:r>
      <w:r w:rsidR="00125C0D">
        <w:rPr>
          <w:rStyle w:val="Style1Char"/>
          <w:rFonts w:hint="cs"/>
          <w:rtl/>
        </w:rPr>
        <w:t>(1)</w:t>
      </w:r>
      <w:r w:rsidRPr="00FE11BD">
        <w:rPr>
          <w:rStyle w:val="Style1Char"/>
          <w:color w:val="auto"/>
          <w:sz w:val="22"/>
          <w:szCs w:val="22"/>
          <w:rtl/>
        </w:rPr>
        <w:t xml:space="preserve">אינו כופה לא לעמוד לפני אביו, ולא לעמוד לפני בנו, </w:t>
      </w:r>
      <w:r w:rsidR="003A5FA0">
        <w:rPr>
          <w:rStyle w:val="Style1Char"/>
          <w:rFonts w:hint="cs"/>
          <w:rtl/>
        </w:rPr>
        <w:t>(2)</w:t>
      </w:r>
      <w:r w:rsidRPr="00F3685F">
        <w:rPr>
          <w:rStyle w:val="Style1Char"/>
          <w:color w:val="ED7D31" w:themeColor="accent2"/>
          <w:sz w:val="22"/>
          <w:szCs w:val="22"/>
          <w:rtl/>
        </w:rPr>
        <w:t>ולא ליתן תבן לפני בהמתו</w:t>
      </w:r>
      <w:r w:rsidRPr="00F3685F">
        <w:rPr>
          <w:rStyle w:val="Style1Char"/>
          <w:rFonts w:hint="cs"/>
          <w:color w:val="ED7D31" w:themeColor="accent2"/>
          <w:sz w:val="22"/>
          <w:szCs w:val="22"/>
        </w:rPr>
        <w:t>‍</w:t>
      </w:r>
      <w:r w:rsidRPr="00F3685F">
        <w:rPr>
          <w:rStyle w:val="Style1Char"/>
          <w:color w:val="ED7D31" w:themeColor="accent2"/>
          <w:sz w:val="22"/>
          <w:szCs w:val="22"/>
          <w:rtl/>
        </w:rPr>
        <w:t xml:space="preserve"> אבל כופה ליתן תבן לפני בקרו </w:t>
      </w:r>
      <w:r w:rsidRPr="00F24BFA">
        <w:rPr>
          <w:rStyle w:val="Style1Char"/>
          <w:color w:val="4472C4" w:themeColor="accent1"/>
          <w:rtl/>
        </w:rPr>
        <w:t xml:space="preserve">ה"ג רש"י ופירש בהמתו סוסים וחמורים משום רביעה ורב אלפס ז"ל </w:t>
      </w:r>
      <w:r w:rsidRPr="00F3685F">
        <w:rPr>
          <w:rStyle w:val="Style1Char"/>
          <w:color w:val="806000" w:themeColor="accent4" w:themeShade="80"/>
          <w:sz w:val="22"/>
          <w:szCs w:val="22"/>
          <w:rtl/>
        </w:rPr>
        <w:t>ולא ליתן תבן לפני בקרו</w:t>
      </w:r>
      <w:r w:rsidRPr="00F3685F">
        <w:rPr>
          <w:rStyle w:val="Style1Char"/>
          <w:color w:val="806000" w:themeColor="accent4" w:themeShade="80"/>
          <w:rtl/>
        </w:rPr>
        <w:t xml:space="preserve">, </w:t>
      </w:r>
      <w:r w:rsidRPr="00F3685F">
        <w:rPr>
          <w:rStyle w:val="Style1Char"/>
          <w:color w:val="806000" w:themeColor="accent4" w:themeShade="80"/>
          <w:sz w:val="22"/>
          <w:szCs w:val="22"/>
          <w:rtl/>
        </w:rPr>
        <w:t>אבל כופה ליתן תבן לפני בהמתו</w:t>
      </w:r>
      <w:r w:rsidRPr="00F3685F">
        <w:rPr>
          <w:rStyle w:val="Style1Char"/>
          <w:color w:val="4472C4" w:themeColor="accent1"/>
          <w:rtl/>
        </w:rPr>
        <w:t xml:space="preserve"> </w:t>
      </w:r>
      <w:r w:rsidRPr="00F24BFA">
        <w:rPr>
          <w:rStyle w:val="Style1Char"/>
          <w:color w:val="4472C4" w:themeColor="accent1"/>
          <w:rtl/>
        </w:rPr>
        <w:t>ויש לפרש לפני בהמתו שהוא רוכב עליה</w:t>
      </w:r>
      <w:r w:rsidRPr="005F123E">
        <w:rPr>
          <w:rStyle w:val="Style1Char"/>
          <w:color w:val="00B050"/>
          <w:rtl/>
        </w:rPr>
        <w:t xml:space="preserve">; </w:t>
      </w:r>
      <w:r w:rsidRPr="00F3685F">
        <w:rPr>
          <w:rStyle w:val="Style1Char"/>
          <w:color w:val="auto"/>
          <w:sz w:val="22"/>
          <w:szCs w:val="22"/>
          <w:rtl/>
        </w:rPr>
        <w:t xml:space="preserve">רבי יהודה אומר: </w:t>
      </w:r>
      <w:r w:rsidR="003A5FA0">
        <w:rPr>
          <w:rStyle w:val="Style1Char"/>
          <w:rFonts w:hint="cs"/>
          <w:rtl/>
        </w:rPr>
        <w:t>(3)</w:t>
      </w:r>
      <w:r w:rsidRPr="00F3685F">
        <w:rPr>
          <w:rStyle w:val="Style1Char"/>
          <w:color w:val="auto"/>
          <w:sz w:val="22"/>
          <w:szCs w:val="22"/>
          <w:rtl/>
        </w:rPr>
        <w:t xml:space="preserve">אף אינו כופה לעשות בפשתן, מפני שפשתן מסריח את הפה ומשרבט את השפתים. והני מילי בכיתנא רומאה. </w:t>
      </w:r>
    </w:p>
    <w:p w14:paraId="1666BAC4" w14:textId="77777777" w:rsidR="002C4635" w:rsidRPr="00F24BFA" w:rsidRDefault="002C4635" w:rsidP="002C4635">
      <w:pPr>
        <w:bidi/>
        <w:rPr>
          <w:rStyle w:val="Style1Char"/>
          <w:color w:val="4472C4" w:themeColor="accent1"/>
        </w:rPr>
      </w:pPr>
      <w:r w:rsidRPr="008B79A3">
        <w:rPr>
          <w:rStyle w:val="Style1Char"/>
          <w:color w:val="auto"/>
          <w:sz w:val="22"/>
          <w:szCs w:val="22"/>
          <w:rtl/>
        </w:rPr>
        <w:t xml:space="preserve">ר' אליעזר אומר: אפילו הכניסה </w:t>
      </w:r>
      <w:r w:rsidRPr="005F123E">
        <w:rPr>
          <w:rStyle w:val="Style1Char"/>
          <w:color w:val="00B050"/>
          <w:rtl/>
        </w:rPr>
        <w:t xml:space="preserve">לו מאה שפחות. </w:t>
      </w:r>
      <w:r w:rsidRPr="008B79A3">
        <w:rPr>
          <w:rStyle w:val="Style1Char"/>
          <w:color w:val="auto"/>
          <w:sz w:val="22"/>
          <w:szCs w:val="22"/>
          <w:rtl/>
        </w:rPr>
        <w:t>אמר רב מלכיו אמר רב אדא בר אהבה: הלכה כרבי אליעזר</w:t>
      </w:r>
      <w:r w:rsidRPr="005F123E">
        <w:rPr>
          <w:rStyle w:val="Style1Char"/>
          <w:color w:val="00B050"/>
          <w:rtl/>
        </w:rPr>
        <w:t xml:space="preserve">. אמר רבי חנינא בריה דרב איקא: שפוד, שפחות, וגומות - רב מלכיו; בלורית, אפר מקלה, וגבינה - רב מלכיא. רב פפא אמר: מתניתין ומתניתא רב מלכיא, שמעתתא רב מלכיו, וסימנך: מתניתא מלכתא. מאי בינייהו? איכא בינייהו שפחות. </w:t>
      </w:r>
      <w:r w:rsidRPr="00F923D8">
        <w:rPr>
          <w:rStyle w:val="Style1Char"/>
          <w:color w:val="auto"/>
          <w:sz w:val="22"/>
          <w:szCs w:val="22"/>
          <w:rtl/>
        </w:rPr>
        <w:t xml:space="preserve">רשב"ג אומר וכו'. היינו </w:t>
      </w:r>
      <w:r w:rsidRPr="00DB6269">
        <w:rPr>
          <w:rStyle w:val="Style1Char"/>
          <w:color w:val="ED7D31" w:themeColor="accent2"/>
          <w:rtl/>
        </w:rPr>
        <w:t xml:space="preserve">תנא קמא </w:t>
      </w:r>
      <w:r w:rsidRPr="001A126E">
        <w:rPr>
          <w:rStyle w:val="Style1Char"/>
          <w:color w:val="C00000"/>
          <w:sz w:val="22"/>
          <w:szCs w:val="22"/>
          <w:rtl/>
        </w:rPr>
        <w:t>רבי אליעזר</w:t>
      </w:r>
      <w:r w:rsidRPr="005F123E">
        <w:rPr>
          <w:rStyle w:val="Style1Char"/>
          <w:color w:val="00B050"/>
          <w:rtl/>
        </w:rPr>
        <w:t xml:space="preserve">! </w:t>
      </w:r>
      <w:r w:rsidRPr="00333271">
        <w:rPr>
          <w:rStyle w:val="Style1Char"/>
          <w:color w:val="auto"/>
          <w:sz w:val="22"/>
          <w:szCs w:val="22"/>
          <w:rtl/>
        </w:rPr>
        <w:t xml:space="preserve">איכא בינייהו, דמיטללא בגורייתא קיטנייתא </w:t>
      </w:r>
      <w:r w:rsidRPr="001A126E">
        <w:rPr>
          <w:rStyle w:val="Style1Char"/>
          <w:color w:val="C00000"/>
          <w:sz w:val="22"/>
          <w:szCs w:val="22"/>
          <w:rtl/>
        </w:rPr>
        <w:t xml:space="preserve">אי נמי </w:t>
      </w:r>
      <w:r w:rsidRPr="00333271">
        <w:rPr>
          <w:rStyle w:val="Style1Char"/>
          <w:color w:val="ED7D31" w:themeColor="accent2"/>
          <w:rtl/>
        </w:rPr>
        <w:t>ו</w:t>
      </w:r>
      <w:r w:rsidRPr="00333271">
        <w:rPr>
          <w:rStyle w:val="Style1Char"/>
          <w:rFonts w:hint="cs"/>
          <w:color w:val="ED7D31" w:themeColor="accent2"/>
          <w:rtl/>
        </w:rPr>
        <w:t>\</w:t>
      </w:r>
      <w:r w:rsidRPr="001A126E">
        <w:rPr>
          <w:rStyle w:val="Style1Char"/>
          <w:rFonts w:hint="cs"/>
          <w:color w:val="C00000"/>
          <w:sz w:val="22"/>
          <w:szCs w:val="22"/>
          <w:rtl/>
        </w:rPr>
        <w:t>ב</w:t>
      </w:r>
      <w:r w:rsidRPr="00333271">
        <w:rPr>
          <w:rStyle w:val="Style1Char"/>
          <w:color w:val="auto"/>
          <w:sz w:val="22"/>
          <w:szCs w:val="22"/>
          <w:rtl/>
        </w:rPr>
        <w:t>נדרשיר</w:t>
      </w:r>
      <w:r w:rsidRPr="007F6D78">
        <w:rPr>
          <w:rStyle w:val="Style1Char"/>
          <w:color w:val="4472C4" w:themeColor="accent1"/>
          <w:rtl/>
        </w:rPr>
        <w:t xml:space="preserve"> </w:t>
      </w:r>
      <w:r w:rsidRPr="00F24BFA">
        <w:rPr>
          <w:rStyle w:val="Style1Char"/>
          <w:color w:val="4472C4" w:themeColor="accent1"/>
          <w:rtl/>
        </w:rPr>
        <w:t>משום שעמום ליכא משום זימה</w:t>
      </w:r>
      <w:r w:rsidRPr="005F123E">
        <w:rPr>
          <w:rStyle w:val="Style1Char"/>
          <w:color w:val="00B050"/>
          <w:rtl/>
        </w:rPr>
        <w:t xml:space="preserve">. </w:t>
      </w:r>
      <w:r w:rsidRPr="00181F0E">
        <w:rPr>
          <w:rStyle w:val="Style1Char"/>
          <w:color w:val="C00000"/>
          <w:rtl/>
        </w:rPr>
        <w:t xml:space="preserve">למאן דאמר שהבטלה מביאה לידי זימה הא נמי מביאה לידי זימה ולמאן דאמר מביאה לידי שעמום הא אין מביאה לידי שעמום </w:t>
      </w:r>
      <w:r w:rsidRPr="00DA5C5F">
        <w:rPr>
          <w:rStyle w:val="Style1Char"/>
          <w:color w:val="806000" w:themeColor="accent4" w:themeShade="80"/>
          <w:rtl/>
        </w:rPr>
        <w:t xml:space="preserve">וכבר אפסיקא הלכתא כרבי אליעזר </w:t>
      </w:r>
      <w:r w:rsidRPr="00DA5C5F">
        <w:rPr>
          <w:rStyle w:val="Style1Char"/>
          <w:color w:val="C00000"/>
          <w:rtl/>
        </w:rPr>
        <w:t>דחייש לזימה</w:t>
      </w:r>
      <w:r w:rsidRPr="00181F0E">
        <w:rPr>
          <w:rStyle w:val="Style1Char"/>
          <w:color w:val="C00000"/>
        </w:rPr>
        <w:t>:</w:t>
      </w:r>
      <w:r>
        <w:rPr>
          <w:rStyle w:val="Style1Char"/>
          <w:rFonts w:hint="cs"/>
          <w:color w:val="C00000"/>
          <w:rtl/>
        </w:rPr>
        <w:t xml:space="preserve"> </w:t>
      </w:r>
      <w:r w:rsidRPr="00F24BFA">
        <w:rPr>
          <w:rStyle w:val="Style1Char"/>
          <w:color w:val="4472C4" w:themeColor="accent1"/>
          <w:rtl/>
        </w:rPr>
        <w:t>במאי דפליג אתנא קמא</w:t>
      </w:r>
      <w:r>
        <w:rPr>
          <w:rStyle w:val="Style1Char"/>
          <w:rFonts w:hint="cs"/>
          <w:color w:val="4472C4" w:themeColor="accent1"/>
        </w:rPr>
        <w:t>‍</w:t>
      </w:r>
      <w:r w:rsidRPr="00F24BFA">
        <w:rPr>
          <w:rStyle w:val="Style1Char"/>
          <w:color w:val="4472C4" w:themeColor="accent1"/>
          <w:rtl/>
        </w:rPr>
        <w:t xml:space="preserve"> אבל במאי דפליג ארשב"ג כ"מ ששנה רשב"ג הלכה כמותו</w:t>
      </w:r>
      <w:r w:rsidRPr="00F24BFA">
        <w:rPr>
          <w:rStyle w:val="Style1Char"/>
          <w:color w:val="4472C4" w:themeColor="accent1"/>
        </w:rPr>
        <w:t xml:space="preserve">: </w:t>
      </w:r>
    </w:p>
    <w:p w14:paraId="7E17BE27" w14:textId="6FC214AA" w:rsidR="002C4635" w:rsidRPr="00C370AF" w:rsidRDefault="002C4635" w:rsidP="002C4635">
      <w:pPr>
        <w:bidi/>
        <w:rPr>
          <w:rStyle w:val="Style1Char"/>
          <w:color w:val="auto"/>
          <w:sz w:val="22"/>
          <w:szCs w:val="22"/>
          <w:rtl/>
        </w:rPr>
      </w:pPr>
      <w:r w:rsidRPr="00C370AF">
        <w:rPr>
          <w:rStyle w:val="Style1Char"/>
          <w:color w:val="auto"/>
          <w:sz w:val="22"/>
          <w:szCs w:val="22"/>
          <w:rtl/>
        </w:rPr>
        <w:t xml:space="preserve">מתני'. המדיר את אשתו מתשמיש המטה, ב"ש אומרים: שתי שבתות, בית הלל אומרים: </w:t>
      </w:r>
      <w:r w:rsidR="000200B7">
        <w:rPr>
          <w:rStyle w:val="Style1Char"/>
          <w:rFonts w:hint="cs"/>
          <w:rtl/>
        </w:rPr>
        <w:t>(4)</w:t>
      </w:r>
      <w:r w:rsidRPr="00C370AF">
        <w:rPr>
          <w:rStyle w:val="Style1Char"/>
          <w:color w:val="auto"/>
          <w:sz w:val="22"/>
          <w:szCs w:val="22"/>
          <w:rtl/>
        </w:rPr>
        <w:t xml:space="preserve">שבת אחת. 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דברי רבי אליעזר. </w:t>
      </w:r>
    </w:p>
    <w:p w14:paraId="6FE6CCE9" w14:textId="42459385" w:rsidR="002C4635" w:rsidRPr="005F123E" w:rsidRDefault="002C4635" w:rsidP="002C4635">
      <w:pPr>
        <w:bidi/>
        <w:rPr>
          <w:rStyle w:val="Style1Char"/>
          <w:color w:val="00B050"/>
        </w:rPr>
      </w:pPr>
      <w:r w:rsidRPr="00AC6F1F">
        <w:rPr>
          <w:rStyle w:val="Style1Char"/>
          <w:color w:val="auto"/>
          <w:sz w:val="22"/>
          <w:szCs w:val="22"/>
          <w:rtl/>
        </w:rPr>
        <w:t>גמ'</w:t>
      </w:r>
      <w:r w:rsidRPr="00045FF3">
        <w:rPr>
          <w:rStyle w:val="Style1Char"/>
          <w:sz w:val="22"/>
          <w:szCs w:val="22"/>
          <w:rtl/>
        </w:rPr>
        <w:t>.</w:t>
      </w:r>
      <w:r w:rsidRPr="005F123E">
        <w:rPr>
          <w:rStyle w:val="Style1Char"/>
          <w:color w:val="00B050"/>
          <w:rtl/>
        </w:rPr>
        <w:t xml:space="preserve"> מ"ט </w:t>
      </w:r>
      <w:r w:rsidRPr="00AC6F1F">
        <w:rPr>
          <w:rStyle w:val="Style1Char"/>
          <w:color w:val="auto"/>
          <w:sz w:val="22"/>
          <w:szCs w:val="22"/>
          <w:rtl/>
        </w:rPr>
        <w:t>דב"ש</w:t>
      </w:r>
      <w:r w:rsidRPr="005F123E">
        <w:rPr>
          <w:rStyle w:val="Style1Char"/>
          <w:color w:val="00B050"/>
          <w:rtl/>
        </w:rPr>
        <w:t xml:space="preserve">? </w:t>
      </w:r>
      <w:r w:rsidRPr="00AC6F1F">
        <w:rPr>
          <w:rStyle w:val="Style1Char"/>
          <w:color w:val="auto"/>
          <w:sz w:val="22"/>
          <w:szCs w:val="22"/>
          <w:rtl/>
        </w:rPr>
        <w:t>גמרי מיולדת נקבה. ובית הלל</w:t>
      </w:r>
      <w:r w:rsidRPr="005F123E">
        <w:rPr>
          <w:rStyle w:val="Style1Char"/>
          <w:color w:val="00B050"/>
          <w:rtl/>
        </w:rPr>
        <w:t xml:space="preserve">? גמרי מיולדת זכר. וב"ה נמי נגמרו מיולדת נקבה! אי מיולדת גמרי לה הכי נמי, אלא ב"ה </w:t>
      </w:r>
      <w:r w:rsidRPr="00AC6F1F">
        <w:rPr>
          <w:rStyle w:val="Style1Char"/>
          <w:color w:val="auto"/>
          <w:sz w:val="22"/>
          <w:szCs w:val="22"/>
          <w:rtl/>
        </w:rPr>
        <w:t>מנדה גמרי</w:t>
      </w:r>
      <w:r w:rsidRPr="005F123E">
        <w:rPr>
          <w:rStyle w:val="Style1Char"/>
          <w:color w:val="00B050"/>
          <w:rtl/>
        </w:rPr>
        <w:t xml:space="preserve"> לה. </w:t>
      </w:r>
      <w:r w:rsidRPr="00B8027B">
        <w:rPr>
          <w:rStyle w:val="Style1Char"/>
          <w:color w:val="auto"/>
          <w:sz w:val="22"/>
          <w:szCs w:val="22"/>
          <w:rtl/>
        </w:rPr>
        <w:t xml:space="preserve">במאי קמיפלגי? מר סבר: מידי דשכיח ממידי דשכיח, ומר סבר: מידי דהוא גרים לה ממידי דהוא גרים לה. אמר רב: מחלוקת - במפרש, אבל בסתם - דברי הכל יוציא </w:t>
      </w:r>
      <w:r w:rsidRPr="005F123E">
        <w:rPr>
          <w:rStyle w:val="Style1Char"/>
          <w:color w:val="00B050"/>
          <w:rtl/>
        </w:rPr>
        <w:t xml:space="preserve">לאלתר </w:t>
      </w:r>
      <w:r w:rsidRPr="00B8027B">
        <w:rPr>
          <w:rStyle w:val="Style1Char"/>
          <w:color w:val="auto"/>
          <w:sz w:val="22"/>
          <w:szCs w:val="22"/>
          <w:rtl/>
        </w:rPr>
        <w:t xml:space="preserve">ויתן כתובה; ושמואל אמר: </w:t>
      </w:r>
      <w:r w:rsidR="00597ACC">
        <w:rPr>
          <w:rStyle w:val="Style1Char"/>
          <w:rFonts w:hint="cs"/>
          <w:rtl/>
        </w:rPr>
        <w:t>(4)</w:t>
      </w:r>
      <w:r w:rsidRPr="00B8027B">
        <w:rPr>
          <w:rStyle w:val="Style1Char"/>
          <w:color w:val="auto"/>
          <w:sz w:val="22"/>
          <w:szCs w:val="22"/>
          <w:rtl/>
        </w:rPr>
        <w:t>אפי' בסתם נמי, ימתין שמא ימצא פתח לנדרו</w:t>
      </w:r>
      <w:r w:rsidRPr="00B8027B">
        <w:rPr>
          <w:rStyle w:val="Style1Char"/>
          <w:color w:val="auto"/>
          <w:rtl/>
        </w:rPr>
        <w:t xml:space="preserve"> </w:t>
      </w:r>
      <w:r w:rsidRPr="00B8027B">
        <w:rPr>
          <w:rStyle w:val="Style1Char"/>
          <w:color w:val="806000" w:themeColor="accent4" w:themeShade="80"/>
          <w:sz w:val="22"/>
          <w:szCs w:val="22"/>
          <w:rtl/>
        </w:rPr>
        <w:t xml:space="preserve">והלכתא כשמואל:. </w:t>
      </w:r>
      <w:r w:rsidRPr="005F123E">
        <w:rPr>
          <w:rStyle w:val="Style1Char"/>
          <w:color w:val="00B050"/>
          <w:rtl/>
        </w:rPr>
        <w:t xml:space="preserve">הא פליגי בה חדא זימנא! דתנן: המדיר את אשתו מליהנות לו, עד שלשים יום - יעמיד פרנס, יותר מכאן - יוציא ויתן כתובה; ואמר רב: לא שנו אלא במפרש, אבל בסתם - יוציא לאלתר ויתן כתובה; ושמואל אמר: אפי' בסתם נמי, ימתין שמא ימצא פתח לנדרו! צריכא, דאי איתמר בהא, בהא קאמר רב משום דלא אפשר בפרנס, אבל בההיא דאפשר בפרנס - אימא מודי ליה לשמואל; ואי איתמר בההיא, בהך קאמר שמואל, אבל בהא - אימא מודי ליה לרב, צריכא. </w:t>
      </w:r>
    </w:p>
    <w:p w14:paraId="044FF278" w14:textId="7F9C39F4" w:rsidR="002C4635" w:rsidRDefault="002C4635" w:rsidP="002C4635">
      <w:pPr>
        <w:bidi/>
        <w:rPr>
          <w:rStyle w:val="Style1Char"/>
          <w:color w:val="00B050"/>
          <w:rtl/>
        </w:rPr>
      </w:pPr>
      <w:r w:rsidRPr="00FD16E5">
        <w:rPr>
          <w:rStyle w:val="Style1Char"/>
          <w:color w:val="ED7D31" w:themeColor="accent2"/>
          <w:sz w:val="22"/>
          <w:szCs w:val="22"/>
          <w:rtl/>
        </w:rPr>
        <w:t xml:space="preserve">התלמידים יוצאין לתלמוד וכו'. ברשות כמה? </w:t>
      </w:r>
      <w:r w:rsidR="00BA636B">
        <w:rPr>
          <w:rStyle w:val="Style1Char"/>
          <w:rFonts w:hint="cs"/>
          <w:rtl/>
        </w:rPr>
        <w:t>(5)</w:t>
      </w:r>
      <w:r w:rsidRPr="00FD16E5">
        <w:rPr>
          <w:rStyle w:val="Style1Char"/>
          <w:color w:val="ED7D31" w:themeColor="accent2"/>
          <w:sz w:val="22"/>
          <w:szCs w:val="22"/>
          <w:rtl/>
        </w:rPr>
        <w:t xml:space="preserve">כמה </w:t>
      </w:r>
      <w:r w:rsidRPr="005F123E">
        <w:rPr>
          <w:rStyle w:val="Style1Char"/>
          <w:color w:val="00B050"/>
          <w:rtl/>
        </w:rPr>
        <w:t>דבעי</w:t>
      </w:r>
      <w:r w:rsidRPr="00FD16E5">
        <w:rPr>
          <w:rStyle w:val="Style1Char"/>
          <w:color w:val="4472C4" w:themeColor="accent1"/>
          <w:rtl/>
        </w:rPr>
        <w:t xml:space="preserve"> </w:t>
      </w:r>
      <w:r w:rsidRPr="00FD16E5">
        <w:rPr>
          <w:rStyle w:val="Style1Char"/>
          <w:color w:val="4472C4" w:themeColor="accent1"/>
          <w:sz w:val="22"/>
          <w:szCs w:val="22"/>
          <w:rtl/>
        </w:rPr>
        <w:t>דיהבי ליה רשותא</w:t>
      </w:r>
      <w:r w:rsidRPr="005F123E">
        <w:rPr>
          <w:rStyle w:val="Style1Char"/>
          <w:color w:val="00B050"/>
          <w:rtl/>
        </w:rPr>
        <w:t xml:space="preserve">. </w:t>
      </w:r>
    </w:p>
    <w:p w14:paraId="276847DE" w14:textId="5039F32A" w:rsidR="00D865D6" w:rsidRDefault="00D865D6" w:rsidP="00D865D6">
      <w:pPr>
        <w:pStyle w:val="Style1"/>
        <w:rPr>
          <w:rStyle w:val="Style1Char"/>
          <w:rtl/>
        </w:rPr>
      </w:pPr>
      <w:r>
        <w:rPr>
          <w:rStyle w:val="Style1Char"/>
          <w:rFonts w:hint="cs"/>
          <w:rtl/>
        </w:rPr>
        <w:t>1)[</w:t>
      </w:r>
      <w:r w:rsidRPr="00D865D6">
        <w:rPr>
          <w:rStyle w:val="Style1Char"/>
          <w:rtl/>
        </w:rPr>
        <w:t>רמב</w:t>
      </w:r>
      <w:r w:rsidR="00213DA1">
        <w:rPr>
          <w:rStyle w:val="Style1Char"/>
          <w:rtl/>
        </w:rPr>
        <w:t>”ם \נשים\</w:t>
      </w:r>
      <w:r w:rsidRPr="00D865D6">
        <w:rPr>
          <w:rStyle w:val="Style1Char"/>
          <w:rtl/>
        </w:rPr>
        <w:t xml:space="preserve"> הלכות אישות פרק כא הלכה ג</w:t>
      </w:r>
      <w:r>
        <w:rPr>
          <w:rStyle w:val="Style1Char"/>
          <w:rFonts w:hint="cs"/>
          <w:rtl/>
        </w:rPr>
        <w:t xml:space="preserve">] </w:t>
      </w:r>
      <w:r w:rsidRPr="00D865D6">
        <w:rPr>
          <w:rStyle w:val="Style1Char"/>
          <w:rtl/>
        </w:rPr>
        <w:t>המדיר את אשתו שלא תעשה מלאכה כלל יוציא ויתן כתובה, שהבטלה מביאה לידי זמה. 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p>
    <w:p w14:paraId="2C4D8D9B" w14:textId="7736EA34" w:rsidR="00294E99" w:rsidRPr="009D33A8" w:rsidRDefault="00294E99" w:rsidP="00294E99">
      <w:pPr>
        <w:pStyle w:val="Style1"/>
      </w:pPr>
      <w:r>
        <w:rPr>
          <w:rFonts w:hint="cs"/>
          <w:rtl/>
        </w:rPr>
        <w:t>1)[</w:t>
      </w:r>
      <w:r>
        <w:rPr>
          <w:rtl/>
        </w:rPr>
        <w:t>שולחן ערוך אבן העזר הלכות כתובות סימן פ סעיף ד</w:t>
      </w:r>
      <w:r>
        <w:rPr>
          <w:rFonts w:hint="cs"/>
          <w:rtl/>
        </w:rPr>
        <w:t xml:space="preserve">] </w:t>
      </w:r>
      <w:r w:rsidRPr="009D33A8">
        <w:rPr>
          <w:rtl/>
        </w:rPr>
        <w:t>וכן כל אשה רוחצת לבעלה פניו ידיו ורגליו, ומוזגת לו את הכוס, ומצעת לו את המיטה </w:t>
      </w:r>
      <w:r w:rsidRPr="009D33A8">
        <w:rPr>
          <w:rFonts w:hint="cs"/>
          <w:rtl/>
        </w:rPr>
        <w:t>ויש אומרים דמחויבת להציע כל מטות הבית (המגיד משנה פרק כ"א ובהר"ן פרק אף על פי)</w:t>
      </w:r>
      <w:r w:rsidRPr="009D33A8">
        <w:t xml:space="preserve">, </w:t>
      </w:r>
      <w:r w:rsidRPr="009D33A8">
        <w:rPr>
          <w:rtl/>
        </w:rPr>
        <w:t>ועומדת ומשמשת בפני בעלה, כגון שתתן לו מים או כלי או שתיטול מלפניו, וכיוצא בדברים אלו</w:t>
      </w:r>
      <w:r w:rsidRPr="009D33A8">
        <w:t>.</w:t>
      </w:r>
    </w:p>
    <w:p w14:paraId="363E2D74" w14:textId="6E758397" w:rsidR="00294E99" w:rsidRDefault="00294E99" w:rsidP="00294E99">
      <w:pPr>
        <w:pStyle w:val="Style1"/>
        <w:rPr>
          <w:rtl/>
        </w:rPr>
      </w:pPr>
      <w:r w:rsidRPr="009D33A8">
        <w:rPr>
          <w:rtl/>
        </w:rPr>
        <w:t>אבל אינה עומדת ומשמשת בפני אביו או בפני בנו</w:t>
      </w:r>
      <w:r w:rsidRPr="009D33A8">
        <w:t>. </w:t>
      </w:r>
      <w:r w:rsidRPr="009D33A8">
        <w:rPr>
          <w:rFonts w:hint="cs"/>
          <w:rtl/>
        </w:rPr>
        <w:t>ויש אומרים דוקא באינן סמוכין על שלחן בעלה (בית יוסף בשם הר"ן פרק אף על פי)</w:t>
      </w:r>
      <w:r w:rsidRPr="009D33A8">
        <w:t>:</w:t>
      </w:r>
    </w:p>
    <w:p w14:paraId="2D463909" w14:textId="5E6F09F7" w:rsidR="008A3553" w:rsidRDefault="008A3553" w:rsidP="008A3553">
      <w:pPr>
        <w:pStyle w:val="Style1"/>
        <w:rPr>
          <w:rtl/>
        </w:rPr>
      </w:pPr>
      <w:r>
        <w:rPr>
          <w:rFonts w:hint="cs"/>
          <w:rtl/>
        </w:rPr>
        <w:t>2)[</w:t>
      </w:r>
      <w:r>
        <w:rPr>
          <w:rtl/>
        </w:rPr>
        <w:t>רמב</w:t>
      </w:r>
      <w:r w:rsidR="00213DA1">
        <w:rPr>
          <w:rtl/>
        </w:rPr>
        <w:t>”ם \נשים\</w:t>
      </w:r>
      <w:r>
        <w:rPr>
          <w:rtl/>
        </w:rPr>
        <w:t xml:space="preserve"> הלכות אישות פרק כא הלכה ה</w:t>
      </w:r>
      <w:r>
        <w:rPr>
          <w:rFonts w:hint="cs"/>
          <w:rtl/>
        </w:rPr>
        <w:t xml:space="preserve">] </w:t>
      </w:r>
      <w:r>
        <w:rPr>
          <w:rtl/>
        </w:rPr>
        <w:t>יש מלאכות אחרות שהאשה עושה לבעלה בזמן שהן עניים ואלו הן: אופה את הפת בתנור, ועזרא תיקן שתהיה אשה משכמת ואופה כדי שתהיה הפת מצויה לעניים, ומבשלת את התבשילין ומכבסת את הבגדים, ומניקה את בנה, ונותנת תבן לפני בהמתו אבל לא לפני בקרו, ומטחנת, כיצד מטחנת יושבת ברחים ומשמרת את הקמח ואצה בטוחנת או מחמרת אחר הבהמה כדי שלא יבטלו הרחים, ואם היה דרכן לטחון ברחים של יד טוחנת.</w:t>
      </w:r>
    </w:p>
    <w:p w14:paraId="073BD4E6" w14:textId="3CF48CCD" w:rsidR="00F876D5" w:rsidRPr="00F45F9B" w:rsidRDefault="00F876D5" w:rsidP="00F876D5">
      <w:pPr>
        <w:pStyle w:val="Style1"/>
      </w:pPr>
      <w:r>
        <w:rPr>
          <w:rFonts w:hint="cs"/>
          <w:rtl/>
        </w:rPr>
        <w:t>2)[</w:t>
      </w:r>
      <w:r>
        <w:rPr>
          <w:rtl/>
        </w:rPr>
        <w:t>שולחן ערוך אבן העזר הלכות כתובות סימן פ סעיף ו</w:t>
      </w:r>
      <w:r>
        <w:rPr>
          <w:rFonts w:hint="cs"/>
          <w:rtl/>
        </w:rPr>
        <w:t xml:space="preserve">] </w:t>
      </w:r>
      <w:r w:rsidRPr="00F45F9B">
        <w:rPr>
          <w:rtl/>
        </w:rPr>
        <w:t>יש מלאכות שהאשה עושה לבעלה בזמן שהם עניים, ואלו הם: מטחנת, ואופה, ומכבסת, ומבשלת, ומיניקה את בנה, ונותנת תבן לפני בהמתו, אבל לא לפני בקרו</w:t>
      </w:r>
      <w:r w:rsidRPr="00F45F9B">
        <w:t>.</w:t>
      </w:r>
    </w:p>
    <w:p w14:paraId="1D6325BE" w14:textId="57EA996F" w:rsidR="00F876D5" w:rsidRDefault="00F876D5" w:rsidP="00F876D5">
      <w:pPr>
        <w:pStyle w:val="Style1"/>
        <w:rPr>
          <w:rtl/>
        </w:rPr>
      </w:pPr>
      <w:r w:rsidRPr="00F45F9B">
        <w:rPr>
          <w:rFonts w:hint="cs"/>
          <w:rtl/>
        </w:rPr>
        <w:t>הגה: מת בנה, אינה מחויבת להניק בשכר וליתן לו השכר. וכן בנו מאשה אחרת, אינה מחויבת להניקו (הר"ן פרק אף על פי)</w:t>
      </w:r>
      <w:r w:rsidRPr="00F45F9B">
        <w:t>:</w:t>
      </w:r>
    </w:p>
    <w:p w14:paraId="5E0D2458" w14:textId="396826A2" w:rsidR="00597E02" w:rsidRDefault="00597E02" w:rsidP="00597E02">
      <w:pPr>
        <w:pStyle w:val="Style1"/>
        <w:rPr>
          <w:rtl/>
        </w:rPr>
      </w:pPr>
      <w:r>
        <w:rPr>
          <w:rFonts w:hint="cs"/>
          <w:rtl/>
        </w:rPr>
        <w:t>3)[</w:t>
      </w:r>
      <w:r>
        <w:rPr>
          <w:rtl/>
        </w:rPr>
        <w:t>רמב</w:t>
      </w:r>
      <w:r w:rsidR="00213DA1">
        <w:rPr>
          <w:rtl/>
        </w:rPr>
        <w:t>”ם \נשים\</w:t>
      </w:r>
      <w:r>
        <w:rPr>
          <w:rtl/>
        </w:rPr>
        <w:t xml:space="preserve"> הלכות אישות פרק כא הלכה א</w:t>
      </w:r>
      <w:r>
        <w:rPr>
          <w:rFonts w:hint="cs"/>
          <w:rtl/>
        </w:rPr>
        <w:t xml:space="preserve">] </w:t>
      </w:r>
      <w:r>
        <w:rPr>
          <w:rtl/>
        </w:rPr>
        <w:t xml:space="preserve">מציאת האשה ומעשה ידיה לבעלה,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 שהפשתן מזיק את הפה ואת השפתים, והטווי היא המלאכה המיוחדת לנשים שנאמר </w:t>
      </w:r>
      <w:r>
        <w:rPr>
          <w:rFonts w:hint="cs"/>
          <w:rtl/>
        </w:rPr>
        <w:t>(</w:t>
      </w:r>
      <w:r>
        <w:rPr>
          <w:rtl/>
        </w:rPr>
        <w:t>שמות ל"ה כה</w:t>
      </w:r>
      <w:r>
        <w:rPr>
          <w:rFonts w:hint="cs"/>
          <w:rtl/>
        </w:rPr>
        <w:t>)</w:t>
      </w:r>
      <w:r>
        <w:rPr>
          <w:rtl/>
        </w:rPr>
        <w:t xml:space="preserve"> וכל אשה חכמת לב בידיה טוו.</w:t>
      </w:r>
    </w:p>
    <w:p w14:paraId="26FB65E0" w14:textId="394E715E" w:rsidR="00F47065" w:rsidRPr="00C12B80" w:rsidRDefault="00F47065" w:rsidP="00F47065">
      <w:pPr>
        <w:pStyle w:val="Style1"/>
      </w:pPr>
      <w:r>
        <w:rPr>
          <w:rFonts w:hint="cs"/>
          <w:rtl/>
        </w:rPr>
        <w:t>3)[</w:t>
      </w:r>
      <w:r>
        <w:rPr>
          <w:rtl/>
        </w:rPr>
        <w:t>שולחן ערוך אבן העזר הלכות כתובות סימן פ סעיף א</w:t>
      </w:r>
      <w:r>
        <w:rPr>
          <w:rFonts w:hint="cs"/>
          <w:rtl/>
        </w:rPr>
        <w:t xml:space="preserve">] </w:t>
      </w:r>
      <w:r w:rsidRPr="00C12B80">
        <w:rPr>
          <w:rtl/>
        </w:rPr>
        <w:t>מעשה ידיה לבעלה, כיצד, הכל כמנהג המדינה; מקום שדרכן לארוג, אורגת; לרקם, רוקמת; לטוות צמר או פשתים, טווה; ואם לא היה דרך נשי העיר לעשות כל המלאכות האלו, אינו כופה אלא לטוות הצמר בלבד. דחקה עצמה ועשתה יותר מהראוי לה, המותר לבעל</w:t>
      </w:r>
      <w:r w:rsidRPr="00C12B80">
        <w:t>.</w:t>
      </w:r>
    </w:p>
    <w:p w14:paraId="157FFA59" w14:textId="2C2D8A28" w:rsidR="00F47065" w:rsidRDefault="00F47065" w:rsidP="00F47065">
      <w:pPr>
        <w:pStyle w:val="Style1"/>
        <w:rPr>
          <w:rtl/>
        </w:rPr>
      </w:pPr>
      <w:r w:rsidRPr="00C12B80">
        <w:rPr>
          <w:rFonts w:hint="cs"/>
          <w:rtl/>
        </w:rPr>
        <w:t>הגה: ודוקא שנותן לה מעה כסף כל שבוע, כמו שנתבאר לעיל </w:t>
      </w:r>
      <w:hyperlink r:id="rId133" w:tooltip="שולחן ערוך אבן העזר ע" w:history="1">
        <w:r w:rsidRPr="00C12B80">
          <w:rPr>
            <w:rStyle w:val="Hyperlink"/>
            <w:rFonts w:hint="cs"/>
            <w:color w:val="7030A0"/>
            <w:u w:val="none"/>
            <w:rtl/>
          </w:rPr>
          <w:t>סימן ע</w:t>
        </w:r>
        <w:r w:rsidRPr="00C12B80">
          <w:rPr>
            <w:rStyle w:val="Hyperlink"/>
            <w:rFonts w:hint="cs"/>
            <w:color w:val="7030A0"/>
            <w:u w:val="none"/>
          </w:rPr>
          <w:t>'</w:t>
        </w:r>
      </w:hyperlink>
      <w:r w:rsidRPr="00C12B80">
        <w:rPr>
          <w:rFonts w:hint="cs"/>
        </w:rPr>
        <w:t xml:space="preserve">. </w:t>
      </w:r>
      <w:r w:rsidRPr="00C12B80">
        <w:rPr>
          <w:rFonts w:hint="cs"/>
          <w:rtl/>
        </w:rPr>
        <w:t>ויכולה אשה לומר: איני נוטלת מעה כסף ואיני נותנת המותר. אבל הבעל לא יוכל לומר כן (טור בשם הרמ"ה, וכן כתב הר"ן פרק אף על פי, וכן כתב השאלתות פרשת משפטים)</w:t>
      </w:r>
      <w:r w:rsidRPr="00C12B80">
        <w:t>:</w:t>
      </w:r>
    </w:p>
    <w:p w14:paraId="6A19E0AB" w14:textId="4ADEB1FB" w:rsidR="00C13259" w:rsidRDefault="00C13259" w:rsidP="00C13259">
      <w:pPr>
        <w:pStyle w:val="Style1"/>
        <w:rPr>
          <w:rtl/>
        </w:rPr>
      </w:pPr>
      <w:r>
        <w:rPr>
          <w:rFonts w:hint="cs"/>
          <w:rtl/>
        </w:rPr>
        <w:lastRenderedPageBreak/>
        <w:t>4)[</w:t>
      </w:r>
      <w:r>
        <w:rPr>
          <w:rtl/>
        </w:rPr>
        <w:t>רמב</w:t>
      </w:r>
      <w:r w:rsidR="00213DA1">
        <w:rPr>
          <w:rtl/>
        </w:rPr>
        <w:t>”ם \נשים\</w:t>
      </w:r>
      <w:r>
        <w:rPr>
          <w:rtl/>
        </w:rPr>
        <w:t xml:space="preserve"> הלכות אישות פרק יד הלכה ו</w:t>
      </w:r>
      <w:r>
        <w:rPr>
          <w:rFonts w:hint="cs"/>
          <w:rtl/>
        </w:rPr>
        <w:t xml:space="preserve">] </w:t>
      </w:r>
      <w:r>
        <w:rPr>
          <w:rtl/>
        </w:rPr>
        <w:t>המדיר את אשתו מתשמיש המטה שבת אחת ממתינין לו יתר על כן יוציא ויתן כתובה או יפר נדרו, ואפילו היה מלח שעונתו לששה חדשים, שכיון שנדר הרי ציערה ונתיאשה, וכיצד מדירה אם אמר לה תשמישי אסור עליך או שנשבע שלא ישמש מטתו לא נדר כלום, ואם נשבע נשבע לשוא, מפני שהוא משועבד לה, אמר לה הנאת תשמישך אסורה עלי הרי זה נדר ואסור לשמש שאין מאכילין את האדם דבר האסור לו.</w:t>
      </w:r>
    </w:p>
    <w:p w14:paraId="0A15A7C2" w14:textId="7CD0D984" w:rsidR="002C4635" w:rsidRDefault="00226B8F" w:rsidP="004819E2">
      <w:pPr>
        <w:pStyle w:val="Style1"/>
        <w:rPr>
          <w:shd w:val="clear" w:color="auto" w:fill="FFFFFF"/>
          <w:rtl/>
        </w:rPr>
      </w:pPr>
      <w:r>
        <w:rPr>
          <w:rFonts w:hint="cs"/>
          <w:rtl/>
        </w:rPr>
        <w:t>4)[</w:t>
      </w:r>
      <w:r>
        <w:rPr>
          <w:rtl/>
        </w:rPr>
        <w:t>שולחן ערוך יורה דעה הלכות נדרים סימן רלה סעיף א</w:t>
      </w:r>
      <w:r>
        <w:rPr>
          <w:rFonts w:hint="cs"/>
          <w:rtl/>
        </w:rPr>
        <w:t>]</w:t>
      </w:r>
      <w:r w:rsidR="004819E2">
        <w:rPr>
          <w:rFonts w:hint="cs"/>
          <w:rtl/>
        </w:rPr>
        <w:t xml:space="preserve"> </w:t>
      </w:r>
      <w:r w:rsidR="004819E2">
        <w:rPr>
          <w:shd w:val="clear" w:color="auto" w:fill="FFFFFF"/>
          <w:rtl/>
        </w:rPr>
        <w:t>המדיר את אשתו מתשמיש המטה שאמר [קונם] תשמישך עלי -- יקיים אותה שבעה ימים, בין שהדירה בפירוש לשבעה ימים או יותר או שהדירה סתם. ולאחר שבעה ימים -- יוציא ויתן כתובתה</w:t>
      </w:r>
      <w:r w:rsidR="004819E2">
        <w:rPr>
          <w:shd w:val="clear" w:color="auto" w:fill="FFFFFF"/>
        </w:rPr>
        <w:t>.</w:t>
      </w:r>
    </w:p>
    <w:p w14:paraId="3C0CD8F3" w14:textId="7DF2362C" w:rsidR="00625113" w:rsidRDefault="00625113" w:rsidP="00AD7D14">
      <w:pPr>
        <w:pStyle w:val="Style1"/>
        <w:rPr>
          <w:rtl/>
        </w:rPr>
      </w:pPr>
      <w:r w:rsidRPr="00625113">
        <w:rPr>
          <w:rStyle w:val="Style1Char"/>
          <w:rFonts w:hint="cs"/>
          <w:rtl/>
        </w:rPr>
        <w:t>4</w:t>
      </w:r>
      <w:r>
        <w:rPr>
          <w:rStyle w:val="Style1Char"/>
          <w:rFonts w:hint="cs"/>
          <w:rtl/>
        </w:rPr>
        <w:t>)[</w:t>
      </w:r>
      <w:r w:rsidRPr="00625113">
        <w:rPr>
          <w:rStyle w:val="Style1Char"/>
          <w:rtl/>
        </w:rPr>
        <w:t>שולחן ערוך אבן העזר הלכות כתובות סימן עו סעיף ט</w:t>
      </w:r>
      <w:r w:rsidRPr="00AD7D14">
        <w:rPr>
          <w:rStyle w:val="Style1Char"/>
          <w:rFonts w:hint="cs"/>
          <w:rtl/>
        </w:rPr>
        <w:t>]</w:t>
      </w:r>
      <w:r w:rsidR="00AD7D14" w:rsidRPr="00AD7D14">
        <w:rPr>
          <w:rStyle w:val="Style1Char"/>
          <w:rFonts w:hint="cs"/>
          <w:rtl/>
        </w:rPr>
        <w:t xml:space="preserve"> </w:t>
      </w:r>
      <w:r w:rsidR="00AD7D14" w:rsidRPr="00AD7D14">
        <w:rPr>
          <w:rtl/>
        </w:rPr>
        <w:t>המדיר את אשתו מתשמיש המטה, בין שהדירה סתם או שבעה ימים או יותר, יקים שבעה ימים, ואחר כך יוציא ויתן כתבתה; אפלו הוא מלח שעונתו לששה חדשים</w:t>
      </w:r>
      <w:r w:rsidR="00AD7D14" w:rsidRPr="00AD7D14">
        <w:t>:</w:t>
      </w:r>
    </w:p>
    <w:p w14:paraId="50153570" w14:textId="3C6A56A5" w:rsidR="004C4905" w:rsidRDefault="004C4905" w:rsidP="004C4905">
      <w:pPr>
        <w:pStyle w:val="Style1"/>
        <w:rPr>
          <w:rStyle w:val="Style1Char"/>
          <w:rtl/>
        </w:rPr>
      </w:pPr>
      <w:r>
        <w:rPr>
          <w:rStyle w:val="Style1Char"/>
          <w:rFonts w:hint="cs"/>
          <w:rtl/>
        </w:rPr>
        <w:t>5)[</w:t>
      </w:r>
      <w:r w:rsidRPr="004C4905">
        <w:rPr>
          <w:rStyle w:val="Style1Char"/>
          <w:rtl/>
        </w:rPr>
        <w:t>רמב</w:t>
      </w:r>
      <w:r w:rsidR="00213DA1">
        <w:rPr>
          <w:rStyle w:val="Style1Char"/>
          <w:rtl/>
        </w:rPr>
        <w:t>”ם \נשים\</w:t>
      </w:r>
      <w:r w:rsidRPr="004C4905">
        <w:rPr>
          <w:rStyle w:val="Style1Char"/>
          <w:rtl/>
        </w:rPr>
        <w:t xml:space="preserve"> הלכות אישות פרק טו הלכה א</w:t>
      </w:r>
      <w:r>
        <w:rPr>
          <w:rStyle w:val="Style1Char"/>
          <w:rFonts w:hint="cs"/>
          <w:rtl/>
        </w:rPr>
        <w:t xml:space="preserve">] </w:t>
      </w:r>
      <w:r w:rsidRPr="004C4905">
        <w:rPr>
          <w:rStyle w:val="Style1Char"/>
          <w:rtl/>
        </w:rPr>
        <w:t xml:space="preserve">האשה שהרשת את בעלה אחר הנישואין שימנע עונתה הרי זה מותר, במה דברים אמורים בשהיו לו בנים שכבר קיים מצות פריה ורביה אבל אם לא קיים חייב לבעול בכל עונה עד שיהיו לו בנים מפני שהיא מצות עשה של תורה שנ' </w:t>
      </w:r>
      <w:r w:rsidR="00761C4B">
        <w:rPr>
          <w:rStyle w:val="Style1Char"/>
          <w:rFonts w:hint="cs"/>
          <w:rtl/>
        </w:rPr>
        <w:t>(</w:t>
      </w:r>
      <w:r w:rsidRPr="004C4905">
        <w:rPr>
          <w:rStyle w:val="Style1Char"/>
          <w:rtl/>
        </w:rPr>
        <w:t>בראשית א' כ"ח, נח ט' א, נח ט' ז'</w:t>
      </w:r>
      <w:r w:rsidR="00761C4B">
        <w:rPr>
          <w:rStyle w:val="Style1Char"/>
          <w:rFonts w:hint="cs"/>
          <w:rtl/>
        </w:rPr>
        <w:t>)</w:t>
      </w:r>
      <w:r w:rsidRPr="004C4905">
        <w:rPr>
          <w:rStyle w:val="Style1Char"/>
          <w:rtl/>
        </w:rPr>
        <w:t xml:space="preserve"> פרו ורבו.</w:t>
      </w:r>
    </w:p>
    <w:p w14:paraId="7D19C648" w14:textId="542111B9" w:rsidR="00866D08" w:rsidRPr="00AD7D14" w:rsidRDefault="00866D08" w:rsidP="00866D08">
      <w:pPr>
        <w:pStyle w:val="Style1"/>
        <w:rPr>
          <w:rStyle w:val="Style1Char"/>
        </w:rPr>
      </w:pPr>
      <w:r>
        <w:rPr>
          <w:rStyle w:val="Style1Char"/>
          <w:rFonts w:hint="cs"/>
          <w:rtl/>
        </w:rPr>
        <w:t>5)[</w:t>
      </w:r>
      <w:r w:rsidRPr="00866D08">
        <w:rPr>
          <w:rStyle w:val="Style1Char"/>
          <w:rtl/>
        </w:rPr>
        <w:t>שולחן ערוך אבן העזר הלכות כתובות סימן עו סעיף ו</w:t>
      </w:r>
      <w:r>
        <w:rPr>
          <w:rStyle w:val="Style1Char"/>
          <w:rFonts w:hint="cs"/>
          <w:rtl/>
        </w:rPr>
        <w:t xml:space="preserve">] </w:t>
      </w:r>
      <w:r w:rsidRPr="00866D08">
        <w:rPr>
          <w:rStyle w:val="Style1Char"/>
          <w:rtl/>
        </w:rPr>
        <w:t>האשה שהרשית את בעלה אחר שנשאת שימנע עונתה, ה"ז מותר. בד"א, שקיים מצות פריה ורביה. אבל אם לא קיים, חייב לבעול בכל עונה עד שיקיים.</w:t>
      </w:r>
    </w:p>
    <w:p w14:paraId="7BD17FDC" w14:textId="77777777" w:rsidR="002C4635" w:rsidRPr="00B8027B" w:rsidRDefault="002C4635" w:rsidP="002C4635">
      <w:pPr>
        <w:bidi/>
        <w:rPr>
          <w:rStyle w:val="Style1Char"/>
          <w:color w:val="00B050"/>
          <w:rtl/>
        </w:rPr>
      </w:pPr>
    </w:p>
    <w:p w14:paraId="2F231894" w14:textId="77777777" w:rsidR="002C4635" w:rsidRPr="00045FF3" w:rsidRDefault="002C4635" w:rsidP="002C4635">
      <w:pPr>
        <w:bidi/>
        <w:rPr>
          <w:rStyle w:val="Style1Char"/>
          <w:color w:val="00B050"/>
          <w:rtl/>
        </w:rPr>
      </w:pPr>
    </w:p>
    <w:p w14:paraId="7072B0C4" w14:textId="77777777" w:rsidR="002C4635" w:rsidRPr="00BD08B3" w:rsidRDefault="002C4635" w:rsidP="002C4635">
      <w:pPr>
        <w:bidi/>
        <w:rPr>
          <w:rStyle w:val="Style1Char"/>
          <w:color w:val="00B050"/>
          <w:rtl/>
        </w:rPr>
      </w:pPr>
    </w:p>
    <w:p w14:paraId="7AF44895" w14:textId="77777777" w:rsidR="002C4635" w:rsidRDefault="002C4635" w:rsidP="002C4635">
      <w:pPr>
        <w:rPr>
          <w:rStyle w:val="Style1Char"/>
          <w:color w:val="00B050"/>
          <w:rtl/>
        </w:rPr>
      </w:pPr>
      <w:r>
        <w:rPr>
          <w:rStyle w:val="Style1Char"/>
          <w:color w:val="00B050"/>
          <w:rtl/>
        </w:rPr>
        <w:br w:type="page"/>
      </w:r>
    </w:p>
    <w:p w14:paraId="0891863A" w14:textId="77777777" w:rsidR="002C4635" w:rsidRDefault="002C4635" w:rsidP="002C4635">
      <w:pPr>
        <w:bidi/>
        <w:rPr>
          <w:rStyle w:val="Style1Char"/>
          <w:color w:val="00B050"/>
          <w:rtl/>
        </w:rPr>
      </w:pPr>
      <w:r w:rsidRPr="00FD16E5">
        <w:rPr>
          <w:rStyle w:val="Style1Char"/>
          <w:color w:val="ED7D31" w:themeColor="accent2"/>
          <w:sz w:val="22"/>
          <w:szCs w:val="22"/>
          <w:highlight w:val="yellow"/>
          <w:rtl/>
        </w:rPr>
        <w:lastRenderedPageBreak/>
        <w:t>[דף סב עמוד א]</w:t>
      </w:r>
      <w:r w:rsidRPr="00FD16E5">
        <w:rPr>
          <w:rStyle w:val="Style1Char"/>
          <w:color w:val="ED7D31" w:themeColor="accent2"/>
          <w:sz w:val="22"/>
          <w:szCs w:val="22"/>
          <w:rtl/>
        </w:rPr>
        <w:t xml:space="preserve"> </w:t>
      </w:r>
      <w:r w:rsidRPr="00FD16E5">
        <w:rPr>
          <w:rStyle w:val="Style1Char"/>
          <w:color w:val="4472C4" w:themeColor="accent1"/>
          <w:sz w:val="22"/>
          <w:szCs w:val="22"/>
          <w:rtl/>
        </w:rPr>
        <w:t xml:space="preserve">אלא </w:t>
      </w:r>
      <w:r w:rsidRPr="00FD16E5">
        <w:rPr>
          <w:rStyle w:val="Style1Char"/>
          <w:color w:val="ED7D31" w:themeColor="accent2"/>
          <w:sz w:val="22"/>
          <w:szCs w:val="22"/>
          <w:rtl/>
        </w:rPr>
        <w:t>אורחא דמילתא כמה</w:t>
      </w:r>
      <w:r w:rsidRPr="00FD16E5">
        <w:rPr>
          <w:rStyle w:val="Style1Char"/>
          <w:color w:val="4472C4" w:themeColor="accent1"/>
          <w:rtl/>
        </w:rPr>
        <w:t xml:space="preserve"> </w:t>
      </w:r>
      <w:r w:rsidRPr="00F24BFA">
        <w:rPr>
          <w:rStyle w:val="Style1Char"/>
          <w:color w:val="4472C4" w:themeColor="accent1"/>
          <w:rtl/>
        </w:rPr>
        <w:t>שלא ישאל ממנה דבר של צער דשמא אף על פי שנותנת לו רשות ע"י פיוסו או ע"י שמתביישה ממנו לבה מצטערת</w:t>
      </w:r>
      <w:r w:rsidRPr="00233FF3">
        <w:rPr>
          <w:rStyle w:val="Style1Char"/>
          <w:color w:val="4472C4" w:themeColor="accent1"/>
          <w:rtl/>
        </w:rPr>
        <w:t xml:space="preserve"> </w:t>
      </w:r>
      <w:r w:rsidRPr="00F24BFA">
        <w:rPr>
          <w:rStyle w:val="Style1Char"/>
          <w:color w:val="4472C4" w:themeColor="accent1"/>
          <w:rtl/>
        </w:rPr>
        <w:t>והני רבנן דנפקי טובא כתב הראב"ד ז"ל לפי שהיתה תורתן אומנתן ולא חשו לאורחא דמילתא</w:t>
      </w:r>
      <w:r w:rsidRPr="00FD16E5">
        <w:rPr>
          <w:rStyle w:val="Style1Char"/>
          <w:color w:val="ED7D31" w:themeColor="accent2"/>
          <w:sz w:val="22"/>
          <w:szCs w:val="22"/>
          <w:rtl/>
        </w:rPr>
        <w:t>?</w:t>
      </w:r>
      <w:r w:rsidRPr="00FD16E5">
        <w:rPr>
          <w:rStyle w:val="Style1Char"/>
          <w:color w:val="ED7D31" w:themeColor="accent2"/>
          <w:rtl/>
        </w:rPr>
        <w:t xml:space="preserve"> </w:t>
      </w:r>
      <w:r w:rsidRPr="00233FF3">
        <w:rPr>
          <w:rStyle w:val="Style1Char"/>
          <w:color w:val="ED7D31" w:themeColor="accent2"/>
          <w:sz w:val="22"/>
          <w:szCs w:val="22"/>
          <w:rtl/>
        </w:rPr>
        <w:t>אמר רב: חדש כאן וחדש בבית, שנאמר: לכל דבר המחלקות הבאה והיוצאת חדש בחדש לכל חדשי השנה; ור' יוחנן אמר: חדש כאן ושנים בביתו, שנאמר: חדש יהיו בלבנון שנים חדשים בביתו</w:t>
      </w:r>
      <w:r w:rsidRPr="0009215C">
        <w:rPr>
          <w:rStyle w:val="Style1Char"/>
          <w:color w:val="4472C4" w:themeColor="accent1"/>
          <w:rtl/>
        </w:rPr>
        <w:t xml:space="preserve"> </w:t>
      </w:r>
      <w:r w:rsidRPr="00F24BFA">
        <w:rPr>
          <w:rStyle w:val="Style1Char"/>
          <w:color w:val="4472C4" w:themeColor="accent1"/>
          <w:rtl/>
        </w:rPr>
        <w:t>וכתב ה"ר מאיר הלוי ז"ל</w:t>
      </w:r>
      <w:r>
        <w:rPr>
          <w:rStyle w:val="Style1Char"/>
          <w:rFonts w:hint="cs"/>
          <w:color w:val="4472C4" w:themeColor="accent1"/>
        </w:rPr>
        <w:t>‍</w:t>
      </w:r>
      <w:r w:rsidRPr="00F24BFA">
        <w:rPr>
          <w:rStyle w:val="Style1Char"/>
          <w:color w:val="4472C4" w:themeColor="accent1"/>
          <w:rtl/>
        </w:rPr>
        <w:t xml:space="preserve"> דמסתברא כרבי יוחנן דגמר מבנין בית המקדש ולי נראה כיון דלית כאן אלא אורחא דמילתא והיא קא יהבי רשות עבדינן להקל כרב.</w:t>
      </w:r>
      <w:r w:rsidRPr="00233FF3">
        <w:rPr>
          <w:rStyle w:val="Style1Char"/>
          <w:color w:val="ED7D31" w:themeColor="accent2"/>
          <w:sz w:val="22"/>
          <w:szCs w:val="22"/>
          <w:rtl/>
        </w:rPr>
        <w:t>.</w:t>
      </w:r>
      <w:r w:rsidRPr="005F123E">
        <w:rPr>
          <w:rStyle w:val="Style1Char"/>
          <w:color w:val="00B050"/>
          <w:rtl/>
        </w:rPr>
        <w:t xml:space="preserve"> ורב נמי מ"ט לא אמר מההיא? שאני בנין בית המקדש, דאפשר ע"י אחרים. ור' יוחנן מ"ט לא אמר מההיא? שאני התם, דאית ליה הרווחה. אמר רב: אנחה שוברת חצי גופו של אדם, שנאמר: ואתה בן אדם האנח בשברון מתנים ובמרירות תאנח; ורבי יוחנן אמר: אף כל גופו של אדם, שנאמר: והיה כי יאמרו אליך על מה אתה נאנח ואמרת אל שמועה כי באה ונמס כל לב ורפו כל ידים וכהתה כל רוח וכל ברכים תלכנה מים. ורבי יוחנן נמי הכתיב: בשברון מתנים! ההיא, דכי מתחלא ממתנים מתחלא. ורב נמי הכתי': ונמס כל לב ורפו כל ידים וכהתה כל רוח! שאני שמועה דבית המקדש, דתקיפא טובא. ההוא ישראל ועובד כוכבים דהוו קאזלי באורחא בהדי הדדי, לא אימצי עובד כוכבים לסגויי בהדי ישראל, אדכריה חורבן בית המקדש נגיד ואיתנח, ואפ"ה לא אימצי עובד כוכבים לסגויי בהדיה. א"ל: לאו אמריתו אנחה שוברת חצי גופו של אדם? א"ל: ה"מ מילתא חדתי, אבל הא דשנן בה לא, דאמרי אינשי: דמלפי תכלי לא בהתה. </w:t>
      </w:r>
    </w:p>
    <w:p w14:paraId="51D7098E" w14:textId="2F46AC2E" w:rsidR="002C4635" w:rsidRPr="005F123E" w:rsidRDefault="002A3B90" w:rsidP="002C4635">
      <w:pPr>
        <w:bidi/>
        <w:rPr>
          <w:rStyle w:val="Style1Char"/>
          <w:color w:val="00B050"/>
        </w:rPr>
      </w:pPr>
      <w:r>
        <w:rPr>
          <w:rStyle w:val="Style1Char"/>
          <w:rFonts w:hint="cs"/>
          <w:rtl/>
        </w:rPr>
        <w:t>(1)</w:t>
      </w:r>
      <w:r w:rsidR="002C4635" w:rsidRPr="0009215C">
        <w:rPr>
          <w:rStyle w:val="Style1Char"/>
          <w:color w:val="auto"/>
          <w:sz w:val="22"/>
          <w:szCs w:val="22"/>
          <w:rtl/>
        </w:rPr>
        <w:t xml:space="preserve">הטיילין - בכל יום. מאי טיילין? </w:t>
      </w:r>
      <w:r w:rsidR="002C4635" w:rsidRPr="005F123E">
        <w:rPr>
          <w:rStyle w:val="Style1Char"/>
          <w:color w:val="00B050"/>
          <w:rtl/>
        </w:rPr>
        <w:t>אמר רבא: בני פירקי. א"ל אביי, מאן דכתיב בהו: שוא לכם משכימי קום מאחרי שבת אוכלי לחם העצבים כן יתן לידידו שנא, ואמר רב יצחק: אלו נשותיהן של ת"ח שמנדדות שינה מעיניהם בעוה"ז ובאות לחיי העוה"ב, ואת אמרת: בני פירקי! אלא אמר אביי: כדרב, ד</w:t>
      </w:r>
      <w:r w:rsidR="002C4635" w:rsidRPr="0009215C">
        <w:rPr>
          <w:rStyle w:val="Style1Char"/>
          <w:color w:val="auto"/>
          <w:sz w:val="22"/>
          <w:szCs w:val="22"/>
          <w:rtl/>
        </w:rPr>
        <w:t>אמר</w:t>
      </w:r>
      <w:r w:rsidR="002C4635" w:rsidRPr="0009215C">
        <w:rPr>
          <w:rStyle w:val="Style1Char"/>
          <w:color w:val="auto"/>
          <w:rtl/>
        </w:rPr>
        <w:t xml:space="preserve"> </w:t>
      </w:r>
      <w:r w:rsidR="002C4635" w:rsidRPr="0009215C">
        <w:rPr>
          <w:rStyle w:val="Style1Char"/>
          <w:color w:val="auto"/>
          <w:sz w:val="22"/>
          <w:szCs w:val="22"/>
          <w:rtl/>
        </w:rPr>
        <w:t>רב: כגון רב שמואל בר שילת, דאכיל מדידיה ושתי מדידיה, וגני בטולא דאפדניה, ולא חליף פריסתקא דמלכא אבביה</w:t>
      </w:r>
      <w:r w:rsidR="002C4635" w:rsidRPr="000418C9">
        <w:rPr>
          <w:rStyle w:val="Style1Char"/>
          <w:sz w:val="22"/>
          <w:szCs w:val="22"/>
          <w:rtl/>
        </w:rPr>
        <w:t xml:space="preserve">. </w:t>
      </w:r>
      <w:r w:rsidR="002C4635" w:rsidRPr="005F123E">
        <w:rPr>
          <w:rStyle w:val="Style1Char"/>
          <w:color w:val="00B050"/>
          <w:rtl/>
        </w:rPr>
        <w:t xml:space="preserve">כי אתא רבין אמר: </w:t>
      </w:r>
      <w:r w:rsidR="00E73576">
        <w:rPr>
          <w:rStyle w:val="Style1Char"/>
          <w:rFonts w:hint="cs"/>
          <w:rtl/>
        </w:rPr>
        <w:t>(1)</w:t>
      </w:r>
      <w:r w:rsidR="002C4635" w:rsidRPr="005F123E">
        <w:rPr>
          <w:rStyle w:val="Style1Char"/>
          <w:color w:val="00B050"/>
          <w:rtl/>
        </w:rPr>
        <w:t xml:space="preserve">כגון מפנקי דמערבא. ר' אבהו הוה קאי בי באני, הוו סמכי ליה תרי עבדי, איפחית בי באני מתותיה, איתרמי לי' עמודא סליק ואסקינהו. ר' יוחנן הוה קסליק בדרגא, הוו סמכי ליה רב אמי ורב אסי, איפחתא דרגא תותיה, סליק ואסקינהו. אמרי ליה רבנן: וכי מאחר דהכי, למה ליה למיסמכיה? אמר להו: א"כ, מה אניח לעת זקנה? </w:t>
      </w:r>
    </w:p>
    <w:p w14:paraId="4196660D" w14:textId="57A4C743" w:rsidR="002C4635" w:rsidRPr="005F123E" w:rsidRDefault="002C4635" w:rsidP="002C4635">
      <w:pPr>
        <w:bidi/>
        <w:rPr>
          <w:rStyle w:val="Style1Char"/>
          <w:color w:val="00B050"/>
        </w:rPr>
      </w:pPr>
      <w:r w:rsidRPr="0009215C">
        <w:rPr>
          <w:rStyle w:val="Style1Char"/>
          <w:color w:val="ED7D31" w:themeColor="accent2"/>
          <w:sz w:val="22"/>
          <w:szCs w:val="22"/>
          <w:rtl/>
        </w:rPr>
        <w:t xml:space="preserve">והפועלים - שתים בשבת. והתניא: הפועלים - אחת בשבת! </w:t>
      </w:r>
      <w:r w:rsidRPr="005F123E">
        <w:rPr>
          <w:rStyle w:val="Style1Char"/>
          <w:color w:val="00B050"/>
          <w:rtl/>
        </w:rPr>
        <w:t xml:space="preserve">א"ר יוסי ברבי חנינא, </w:t>
      </w:r>
      <w:r w:rsidRPr="0009215C">
        <w:rPr>
          <w:rStyle w:val="Style1Char"/>
          <w:color w:val="ED7D31" w:themeColor="accent2"/>
          <w:sz w:val="22"/>
          <w:szCs w:val="22"/>
          <w:rtl/>
        </w:rPr>
        <w:t>לא קשיא: כאן בעושין מלאכה בעירן, כאן בעושין מלאכה בעיר אחרת</w:t>
      </w:r>
      <w:r w:rsidRPr="0009215C">
        <w:rPr>
          <w:rStyle w:val="Style1Char"/>
          <w:color w:val="4472C4" w:themeColor="accent1"/>
          <w:rtl/>
        </w:rPr>
        <w:t xml:space="preserve"> </w:t>
      </w:r>
      <w:r w:rsidRPr="00F24BFA">
        <w:rPr>
          <w:rStyle w:val="Style1Char"/>
          <w:color w:val="4472C4" w:themeColor="accent1"/>
          <w:rtl/>
        </w:rPr>
        <w:t>ובאים בכל לילה ולנים בביתם ומחמת טורח הדרך בצירא להו חד עונה והא דקתני מתניתין</w:t>
      </w:r>
      <w:r>
        <w:rPr>
          <w:rStyle w:val="Style1Char"/>
          <w:rFonts w:hint="cs"/>
          <w:color w:val="4472C4" w:themeColor="accent1"/>
        </w:rPr>
        <w:t>‍</w:t>
      </w:r>
      <w:r w:rsidRPr="00F24BFA">
        <w:rPr>
          <w:rStyle w:val="Style1Char"/>
          <w:color w:val="4472C4" w:themeColor="accent1"/>
          <w:rtl/>
        </w:rPr>
        <w:t xml:space="preserve"> הפועלים שבת אחת שיוצאין שבעת ימים וביום השמיני באים לביתם מיירי בפועלים שאינם לנים בביתם בלילות</w:t>
      </w:r>
      <w:r w:rsidRPr="00F24BFA">
        <w:rPr>
          <w:rStyle w:val="Style1Char"/>
          <w:color w:val="4472C4" w:themeColor="accent1"/>
        </w:rPr>
        <w:t>:</w:t>
      </w:r>
      <w:r w:rsidRPr="0009215C">
        <w:rPr>
          <w:rStyle w:val="Style1Char"/>
          <w:color w:val="ED7D31" w:themeColor="accent2"/>
          <w:sz w:val="22"/>
          <w:szCs w:val="22"/>
          <w:rtl/>
        </w:rPr>
        <w:t>.</w:t>
      </w:r>
      <w:r w:rsidRPr="005F123E">
        <w:rPr>
          <w:rStyle w:val="Style1Char"/>
          <w:color w:val="00B050"/>
          <w:rtl/>
        </w:rPr>
        <w:t xml:space="preserve"> תניא נמי הכי: </w:t>
      </w:r>
      <w:r w:rsidR="00D241FC">
        <w:rPr>
          <w:rStyle w:val="Style1Char"/>
          <w:rFonts w:hint="cs"/>
          <w:rtl/>
        </w:rPr>
        <w:t>(1.1, 2)</w:t>
      </w:r>
      <w:r w:rsidRPr="005F123E">
        <w:rPr>
          <w:rStyle w:val="Style1Char"/>
          <w:color w:val="00B050"/>
          <w:rtl/>
        </w:rPr>
        <w:t xml:space="preserve">הפועלים - שתים בשבת, במה דברים אמורים - בעושין מלאכה בעירן, אבל בעושין מלאכה בעיר אחרת - אחת בשבת. </w:t>
      </w:r>
    </w:p>
    <w:p w14:paraId="41D5D5EB" w14:textId="12E6560D" w:rsidR="002C4635" w:rsidRDefault="002C4635" w:rsidP="002C4635">
      <w:pPr>
        <w:bidi/>
        <w:rPr>
          <w:rStyle w:val="Style1Char"/>
          <w:color w:val="auto"/>
          <w:sz w:val="22"/>
          <w:szCs w:val="22"/>
          <w:rtl/>
        </w:rPr>
      </w:pPr>
      <w:r w:rsidRPr="0009215C">
        <w:rPr>
          <w:rStyle w:val="Style1Char"/>
          <w:color w:val="auto"/>
          <w:sz w:val="22"/>
          <w:szCs w:val="22"/>
          <w:rtl/>
        </w:rPr>
        <w:t xml:space="preserve">החמרים - אחת בשבת. אמר ליה רבה בר רב חנן לאביי: איכפל תנא </w:t>
      </w:r>
      <w:r w:rsidRPr="00F24BFA">
        <w:rPr>
          <w:rStyle w:val="Style1Char"/>
          <w:color w:val="4472C4" w:themeColor="accent1"/>
          <w:rtl/>
        </w:rPr>
        <w:t xml:space="preserve">לאשמועינן תנא טייל ופועל לענין </w:t>
      </w:r>
      <w:r w:rsidRPr="00D277D6">
        <w:rPr>
          <w:rStyle w:val="Style1Char"/>
          <w:color w:val="C00000"/>
          <w:sz w:val="22"/>
          <w:szCs w:val="22"/>
          <w:rtl/>
        </w:rPr>
        <w:t xml:space="preserve">ותנא </w:t>
      </w:r>
      <w:r w:rsidRPr="004858BB">
        <w:rPr>
          <w:rStyle w:val="Style1Char"/>
          <w:color w:val="806000" w:themeColor="accent4" w:themeShade="80"/>
          <w:sz w:val="22"/>
          <w:szCs w:val="22"/>
          <w:rtl/>
        </w:rPr>
        <w:t xml:space="preserve">המדיר אשתו מתשמיש המטה שבת אחת יוציא ויתן כתובה </w:t>
      </w:r>
      <w:r w:rsidRPr="005F123E">
        <w:rPr>
          <w:rStyle w:val="Style1Char"/>
          <w:color w:val="00B050"/>
          <w:rtl/>
        </w:rPr>
        <w:t xml:space="preserve">לאשמועינן </w:t>
      </w:r>
      <w:r w:rsidRPr="003675CC">
        <w:rPr>
          <w:rStyle w:val="Style1Char"/>
          <w:color w:val="C00000"/>
          <w:sz w:val="22"/>
          <w:szCs w:val="22"/>
          <w:rtl/>
        </w:rPr>
        <w:t>א</w:t>
      </w:r>
      <w:r w:rsidRPr="00D277D6">
        <w:rPr>
          <w:rStyle w:val="Style1Char"/>
          <w:sz w:val="22"/>
          <w:szCs w:val="22"/>
          <w:rtl/>
        </w:rPr>
        <w:t>טייל ופועל</w:t>
      </w:r>
      <w:r w:rsidRPr="003675CC">
        <w:rPr>
          <w:rStyle w:val="Style1Char"/>
          <w:color w:val="C00000"/>
          <w:rtl/>
        </w:rPr>
        <w:t xml:space="preserve"> </w:t>
      </w:r>
      <w:r w:rsidRPr="00CA69B0">
        <w:rPr>
          <w:rStyle w:val="Style1Char"/>
          <w:color w:val="806000" w:themeColor="accent4" w:themeShade="80"/>
          <w:sz w:val="22"/>
          <w:szCs w:val="22"/>
          <w:rtl/>
        </w:rPr>
        <w:t>דהא ליכא דמיחייב בעונה תוך השבת אלא טייל ופועל</w:t>
      </w:r>
      <w:r w:rsidRPr="00BE6455">
        <w:rPr>
          <w:rStyle w:val="Style1Char"/>
          <w:color w:val="auto"/>
          <w:sz w:val="22"/>
          <w:szCs w:val="22"/>
          <w:rtl/>
        </w:rPr>
        <w:t xml:space="preserve">? אמר ליה: לא, </w:t>
      </w:r>
    </w:p>
    <w:p w14:paraId="297FE300" w14:textId="230120F9" w:rsidR="0062132F" w:rsidRDefault="0062132F" w:rsidP="0062132F">
      <w:pPr>
        <w:pStyle w:val="Style1"/>
        <w:rPr>
          <w:rStyle w:val="Style1Char"/>
          <w:rtl/>
        </w:rPr>
      </w:pPr>
      <w:r>
        <w:rPr>
          <w:rStyle w:val="Style1Char"/>
          <w:rFonts w:hint="cs"/>
          <w:rtl/>
        </w:rPr>
        <w:t>1)[</w:t>
      </w:r>
      <w:r w:rsidRPr="0062132F">
        <w:rPr>
          <w:rStyle w:val="Style1Char"/>
          <w:rtl/>
        </w:rPr>
        <w:t>רמב</w:t>
      </w:r>
      <w:r w:rsidR="00213DA1">
        <w:rPr>
          <w:rStyle w:val="Style1Char"/>
          <w:rtl/>
        </w:rPr>
        <w:t>”ם \נשים\</w:t>
      </w:r>
      <w:r w:rsidRPr="0062132F">
        <w:rPr>
          <w:rStyle w:val="Style1Char"/>
          <w:rtl/>
        </w:rPr>
        <w:t xml:space="preserve"> הלכות אישות פרק יד הלכה א</w:t>
      </w:r>
      <w:r>
        <w:rPr>
          <w:rStyle w:val="Style1Char"/>
          <w:rFonts w:hint="cs"/>
          <w:rtl/>
        </w:rPr>
        <w:t xml:space="preserve">] </w:t>
      </w:r>
      <w:r w:rsidRPr="0062132F">
        <w:rPr>
          <w:rStyle w:val="Style1Char"/>
          <w:rtl/>
        </w:rPr>
        <w:t>עונה האמורה בתורה, לכל איש ואיש כפי כחו וכפי מלאכתו, כיצד בני אדם הבריאים הרכים והענוגים שאין להם מלאכה שמכשלת כחן אלא אוכלין ושותין ויושבין בבתיהן עונתן בכל לילה. הפועלין כגון החייטין והאורגין והבונים וכיוצא בהן, אם היתה מלאכתן בעיר עונתן פעמים בשבת, ואם היתה מלאכתן בעיר אחרת עונתן פעם אחת בשבת, החמרים פעם אחת בשבת, והגמלים אחת לשלשים יום, והמלחין אחת לששה חדשים, תלמידי חכמים עונתן פעם אחת בשבת מפני שתלמוד תורה מתיש כחן ודרך תלמידי חכמים לשמש מטתן מלילי שבת ללילי  שבת.</w:t>
      </w:r>
    </w:p>
    <w:p w14:paraId="39D97A4F" w14:textId="70902E1B" w:rsidR="0065086F" w:rsidRDefault="0065086F" w:rsidP="0065086F">
      <w:pPr>
        <w:pStyle w:val="Style1"/>
        <w:rPr>
          <w:rStyle w:val="Style1Char"/>
          <w:rtl/>
        </w:rPr>
      </w:pPr>
      <w:r>
        <w:rPr>
          <w:rStyle w:val="Style1Char"/>
          <w:rFonts w:hint="cs"/>
          <w:rtl/>
        </w:rPr>
        <w:t>1)[</w:t>
      </w:r>
      <w:r w:rsidRPr="0065086F">
        <w:rPr>
          <w:rStyle w:val="Style1Char"/>
          <w:rtl/>
        </w:rPr>
        <w:t>שולחן ערוך אבן העזר הלכות כתובות סימן עו סעיף א</w:t>
      </w:r>
      <w:r>
        <w:rPr>
          <w:rStyle w:val="Style1Char"/>
          <w:rFonts w:hint="cs"/>
          <w:rtl/>
        </w:rPr>
        <w:t xml:space="preserve">] </w:t>
      </w:r>
      <w:r w:rsidRPr="0065086F">
        <w:rPr>
          <w:rStyle w:val="Style1Char"/>
          <w:rtl/>
        </w:rPr>
        <w:t>עונתה כיצד, כל איש חייב בעונה כפי כחו וכפי מלאכתו; הטיילים, עונתם בכל לילה.</w:t>
      </w:r>
    </w:p>
    <w:p w14:paraId="6645C229" w14:textId="4935E942" w:rsidR="00F86131" w:rsidRPr="0062132F" w:rsidRDefault="00F86131" w:rsidP="00F86131">
      <w:pPr>
        <w:pStyle w:val="Style1"/>
        <w:rPr>
          <w:rStyle w:val="Style1Char"/>
          <w:rtl/>
        </w:rPr>
      </w:pPr>
      <w:r>
        <w:rPr>
          <w:rStyle w:val="Style1Char"/>
          <w:rFonts w:hint="cs"/>
          <w:rtl/>
        </w:rPr>
        <w:t>2)[</w:t>
      </w:r>
      <w:r w:rsidRPr="00F86131">
        <w:rPr>
          <w:rStyle w:val="Style1Char"/>
          <w:rtl/>
        </w:rPr>
        <w:t>שולחן ערוך אבן העזר הלכות כתובות סימן עו סעיף ב</w:t>
      </w:r>
      <w:r>
        <w:rPr>
          <w:rStyle w:val="Style1Char"/>
          <w:rFonts w:hint="cs"/>
          <w:rtl/>
        </w:rPr>
        <w:t xml:space="preserve">] </w:t>
      </w:r>
      <w:r w:rsidRPr="00F86131">
        <w:rPr>
          <w:rStyle w:val="Style1Char"/>
          <w:rtl/>
        </w:rPr>
        <w:t>הפועלים, אם היתה מלאכתם בעיר, פעמים בשבת; ואם היתה מלאכתם בעיר אחרת, פעם אחת בשבת. (וי"א דאם אינם לנין כל לילה בביתם, עונתן לח' ימים) (טור ותוס' בשם ר"י בר ברוך). החמרים, פעם אחת בשבת. הגמלים, אחת לשלשים יום. המלחים, אחת לששה חדשים. תלמידי חכמים, עונתם פעם אחת בשבת; ודרך ת"ח לשמש מטתן מלילי שבת ללילי שבת.</w:t>
      </w:r>
    </w:p>
    <w:p w14:paraId="437C6001" w14:textId="77777777" w:rsidR="002C4635" w:rsidRPr="0009215C" w:rsidRDefault="002C4635" w:rsidP="002C4635">
      <w:pPr>
        <w:bidi/>
        <w:rPr>
          <w:rStyle w:val="Style1Char"/>
          <w:sz w:val="22"/>
          <w:szCs w:val="22"/>
        </w:rPr>
      </w:pPr>
    </w:p>
    <w:p w14:paraId="157BD2B8" w14:textId="77777777" w:rsidR="002C4635" w:rsidRPr="00FF0E04" w:rsidRDefault="002C4635" w:rsidP="002C4635">
      <w:pPr>
        <w:bidi/>
        <w:rPr>
          <w:rStyle w:val="Style1Char"/>
          <w:color w:val="00B050"/>
          <w:rtl/>
        </w:rPr>
      </w:pPr>
    </w:p>
    <w:p w14:paraId="4A4F93D7" w14:textId="77777777" w:rsidR="002C4635" w:rsidRDefault="002C4635" w:rsidP="002C4635">
      <w:pPr>
        <w:rPr>
          <w:rStyle w:val="Style1Char"/>
          <w:color w:val="00B050"/>
          <w:rtl/>
        </w:rPr>
      </w:pPr>
      <w:r>
        <w:rPr>
          <w:rStyle w:val="Style1Char"/>
          <w:color w:val="00B050"/>
          <w:rtl/>
        </w:rPr>
        <w:br w:type="page"/>
      </w:r>
    </w:p>
    <w:p w14:paraId="69E78561" w14:textId="437D4644" w:rsidR="002C4635" w:rsidRDefault="002C4635" w:rsidP="002C4635">
      <w:pPr>
        <w:bidi/>
        <w:rPr>
          <w:rStyle w:val="Style1Char"/>
          <w:color w:val="4472C4" w:themeColor="accent1"/>
          <w:rtl/>
        </w:rPr>
      </w:pPr>
      <w:r w:rsidRPr="00BE6455">
        <w:rPr>
          <w:rStyle w:val="Style1Char"/>
          <w:color w:val="auto"/>
          <w:sz w:val="22"/>
          <w:szCs w:val="22"/>
          <w:highlight w:val="yellow"/>
          <w:rtl/>
        </w:rPr>
        <w:lastRenderedPageBreak/>
        <w:t>[דף סב עמוד ב]</w:t>
      </w:r>
      <w:r w:rsidRPr="00BE6455">
        <w:rPr>
          <w:rStyle w:val="Style1Char"/>
          <w:color w:val="auto"/>
          <w:sz w:val="22"/>
          <w:szCs w:val="22"/>
          <w:rtl/>
        </w:rPr>
        <w:t xml:space="preserve"> </w:t>
      </w:r>
      <w:r w:rsidR="00BE6407">
        <w:rPr>
          <w:rStyle w:val="Style1Char"/>
          <w:rFonts w:hint="cs"/>
          <w:rtl/>
        </w:rPr>
        <w:t>(1)</w:t>
      </w:r>
      <w:r w:rsidRPr="00BE6455">
        <w:rPr>
          <w:rStyle w:val="Style1Char"/>
          <w:color w:val="auto"/>
          <w:sz w:val="22"/>
          <w:szCs w:val="22"/>
          <w:rtl/>
        </w:rPr>
        <w:t>אכולהו</w:t>
      </w:r>
      <w:r w:rsidRPr="00BE6455">
        <w:rPr>
          <w:rStyle w:val="Style1Char"/>
          <w:color w:val="auto"/>
          <w:rtl/>
        </w:rPr>
        <w:t xml:space="preserve"> </w:t>
      </w:r>
      <w:r w:rsidRPr="003675CC">
        <w:rPr>
          <w:rStyle w:val="Style1Char"/>
          <w:color w:val="C00000"/>
          <w:sz w:val="22"/>
          <w:szCs w:val="22"/>
          <w:rtl/>
        </w:rPr>
        <w:t>קתני יוציא ויתן כתובה</w:t>
      </w:r>
      <w:r w:rsidRPr="003675CC">
        <w:rPr>
          <w:rStyle w:val="Style1Char"/>
          <w:sz w:val="22"/>
          <w:szCs w:val="22"/>
          <w:rtl/>
        </w:rPr>
        <w:t>.</w:t>
      </w:r>
      <w:r w:rsidRPr="005F123E">
        <w:rPr>
          <w:rStyle w:val="Style1Char"/>
          <w:color w:val="00B050"/>
          <w:rtl/>
        </w:rPr>
        <w:t xml:space="preserve"> </w:t>
      </w:r>
      <w:r w:rsidRPr="00BE6455">
        <w:rPr>
          <w:rStyle w:val="Style1Char"/>
          <w:color w:val="auto"/>
          <w:sz w:val="22"/>
          <w:szCs w:val="22"/>
          <w:rtl/>
        </w:rPr>
        <w:t xml:space="preserve">והא ששה חדשים קאמר! </w:t>
      </w:r>
      <w:r w:rsidRPr="00075C20">
        <w:rPr>
          <w:rStyle w:val="Style1Char"/>
          <w:color w:val="C00000"/>
          <w:sz w:val="22"/>
          <w:szCs w:val="22"/>
          <w:rtl/>
        </w:rPr>
        <w:t xml:space="preserve">והיכי יוציא ויתן כתובה אשבת אחת </w:t>
      </w:r>
      <w:r w:rsidRPr="00BE6455">
        <w:rPr>
          <w:rStyle w:val="Style1Char"/>
          <w:color w:val="806000" w:themeColor="accent4" w:themeShade="80"/>
          <w:sz w:val="22"/>
          <w:szCs w:val="22"/>
          <w:rtl/>
        </w:rPr>
        <w:t xml:space="preserve">א"ל </w:t>
      </w:r>
      <w:r w:rsidRPr="00BE6455">
        <w:rPr>
          <w:rStyle w:val="Style1Char"/>
          <w:color w:val="auto"/>
          <w:sz w:val="22"/>
          <w:szCs w:val="22"/>
          <w:rtl/>
        </w:rPr>
        <w:t>אינו דומה מי שיש לו פת בסלו למי שאין לו פת בסלו</w:t>
      </w:r>
      <w:r w:rsidRPr="00BE6455">
        <w:rPr>
          <w:rStyle w:val="Style1Char"/>
          <w:color w:val="auto"/>
          <w:rtl/>
        </w:rPr>
        <w:t xml:space="preserve"> </w:t>
      </w:r>
      <w:r w:rsidRPr="00075C20">
        <w:rPr>
          <w:rStyle w:val="Style1Char"/>
          <w:color w:val="C00000"/>
          <w:sz w:val="22"/>
          <w:szCs w:val="22"/>
          <w:rtl/>
        </w:rPr>
        <w:t>שזה לבו רעב וזה אין לבו רעב וזו כיון שהדירה הויא לה כמי שאין לה פת בסלו ויוציא ויתן כתובה אפי' אשבת אחת:</w:t>
      </w:r>
      <w:r w:rsidRPr="00075C20">
        <w:rPr>
          <w:rStyle w:val="Style1Char"/>
          <w:sz w:val="22"/>
          <w:szCs w:val="22"/>
          <w:rtl/>
        </w:rPr>
        <w:t xml:space="preserve">. </w:t>
      </w:r>
      <w:r w:rsidRPr="00BE6455">
        <w:rPr>
          <w:rStyle w:val="Style1Char"/>
          <w:color w:val="auto"/>
          <w:sz w:val="22"/>
          <w:szCs w:val="22"/>
          <w:rtl/>
        </w:rPr>
        <w:t xml:space="preserve">א"ל רבה בר רב חנן לאביי: חמר ונעשה גמל, מאי? א"ל: </w:t>
      </w:r>
      <w:r w:rsidR="00D5035D">
        <w:rPr>
          <w:rStyle w:val="Style1Char"/>
          <w:rFonts w:hint="cs"/>
          <w:rtl/>
        </w:rPr>
        <w:t>(2)</w:t>
      </w:r>
      <w:r w:rsidRPr="00BE6455">
        <w:rPr>
          <w:rStyle w:val="Style1Char"/>
          <w:color w:val="auto"/>
          <w:sz w:val="22"/>
          <w:szCs w:val="22"/>
          <w:rtl/>
        </w:rPr>
        <w:t xml:space="preserve">רוצה אשה בקב ותיפלות מעשרה קבין ופרישות. </w:t>
      </w:r>
      <w:r w:rsidRPr="00F24BFA">
        <w:rPr>
          <w:rStyle w:val="Style1Char"/>
          <w:color w:val="4472C4" w:themeColor="accent1"/>
          <w:rtl/>
        </w:rPr>
        <w:t xml:space="preserve">וכן כולם לבד מטייל ונעשה תלמיד חכם דכיון דמצוי אצלה תמיד בעיר וגם שהוא לומד אינה מקפדת </w:t>
      </w:r>
    </w:p>
    <w:p w14:paraId="71F4D81D" w14:textId="3A5FB864" w:rsidR="002C4635" w:rsidRDefault="002C4635" w:rsidP="002C4635">
      <w:pPr>
        <w:bidi/>
        <w:rPr>
          <w:rStyle w:val="Style1Char"/>
          <w:color w:val="00B050"/>
          <w:rtl/>
        </w:rPr>
      </w:pPr>
      <w:r w:rsidRPr="00075C20">
        <w:rPr>
          <w:rStyle w:val="Style1Char"/>
          <w:color w:val="00B050"/>
          <w:sz w:val="22"/>
          <w:szCs w:val="22"/>
          <w:rtl/>
        </w:rPr>
        <w:t>הספנים - אחת לששה חדשים</w:t>
      </w:r>
      <w:r w:rsidRPr="00162497">
        <w:rPr>
          <w:rStyle w:val="Style1Char"/>
          <w:color w:val="auto"/>
          <w:sz w:val="22"/>
          <w:szCs w:val="22"/>
          <w:rtl/>
        </w:rPr>
        <w:t>, דברי ר' אליעזר</w:t>
      </w:r>
      <w:r w:rsidRPr="00075C20">
        <w:rPr>
          <w:rStyle w:val="Style1Char"/>
          <w:color w:val="00B050"/>
          <w:sz w:val="22"/>
          <w:szCs w:val="22"/>
          <w:rtl/>
        </w:rPr>
        <w:t xml:space="preserve">. </w:t>
      </w:r>
      <w:r w:rsidRPr="00162497">
        <w:rPr>
          <w:rStyle w:val="Style1Char"/>
          <w:color w:val="auto"/>
          <w:sz w:val="22"/>
          <w:szCs w:val="22"/>
          <w:rtl/>
        </w:rPr>
        <w:t xml:space="preserve">אמר </w:t>
      </w:r>
      <w:r w:rsidRPr="00F24BFA">
        <w:rPr>
          <w:rStyle w:val="Style1Char"/>
          <w:color w:val="4472C4" w:themeColor="accent1"/>
          <w:rtl/>
        </w:rPr>
        <w:t xml:space="preserve">רבא </w:t>
      </w:r>
      <w:r w:rsidRPr="00075C20">
        <w:rPr>
          <w:rStyle w:val="Style1Char"/>
          <w:sz w:val="22"/>
          <w:szCs w:val="22"/>
          <w:rtl/>
        </w:rPr>
        <w:t xml:space="preserve">רב </w:t>
      </w:r>
      <w:r w:rsidRPr="005F123E">
        <w:rPr>
          <w:rStyle w:val="Style1Char"/>
          <w:color w:val="00B050"/>
          <w:rtl/>
        </w:rPr>
        <w:t xml:space="preserve">ברונא </w:t>
      </w:r>
      <w:r w:rsidRPr="00075C20">
        <w:rPr>
          <w:rStyle w:val="Style1Char"/>
          <w:color w:val="C00000"/>
          <w:sz w:val="22"/>
          <w:szCs w:val="22"/>
          <w:rtl/>
        </w:rPr>
        <w:t xml:space="preserve">מתנא </w:t>
      </w:r>
      <w:r w:rsidRPr="00075C20">
        <w:rPr>
          <w:rStyle w:val="Style1Char"/>
          <w:sz w:val="22"/>
          <w:szCs w:val="22"/>
          <w:rtl/>
        </w:rPr>
        <w:t xml:space="preserve">אמר רב: </w:t>
      </w:r>
      <w:r w:rsidRPr="00162497">
        <w:rPr>
          <w:rStyle w:val="Style1Char"/>
          <w:color w:val="auto"/>
          <w:sz w:val="22"/>
          <w:szCs w:val="22"/>
          <w:rtl/>
        </w:rPr>
        <w:t>הלכה כר"א</w:t>
      </w:r>
      <w:r w:rsidRPr="00E524E7">
        <w:rPr>
          <w:rStyle w:val="Style1Char"/>
          <w:color w:val="ED7D31" w:themeColor="accent2"/>
          <w:sz w:val="22"/>
          <w:szCs w:val="22"/>
          <w:rtl/>
        </w:rPr>
        <w:t>. אמר רב אדא בר אהבה</w:t>
      </w:r>
      <w:r w:rsidRPr="005F123E">
        <w:rPr>
          <w:rStyle w:val="Style1Char"/>
          <w:color w:val="00B050"/>
          <w:rtl/>
        </w:rPr>
        <w:t xml:space="preserve"> אמר רב: </w:t>
      </w:r>
      <w:r w:rsidRPr="00E524E7">
        <w:rPr>
          <w:rStyle w:val="Style1Char"/>
          <w:color w:val="ED7D31" w:themeColor="accent2"/>
          <w:sz w:val="22"/>
          <w:szCs w:val="22"/>
          <w:rtl/>
        </w:rPr>
        <w:t xml:space="preserve">זו דברי ר' אליעזר, אבל חכמים אומרים: </w:t>
      </w:r>
      <w:r w:rsidR="00CC73C7">
        <w:rPr>
          <w:rStyle w:val="Style1Char"/>
          <w:rFonts w:hint="cs"/>
          <w:rtl/>
        </w:rPr>
        <w:t>(2)</w:t>
      </w:r>
      <w:r w:rsidRPr="00E524E7">
        <w:rPr>
          <w:rStyle w:val="Style1Char"/>
          <w:color w:val="ED7D31" w:themeColor="accent2"/>
          <w:sz w:val="22"/>
          <w:szCs w:val="22"/>
          <w:rtl/>
        </w:rPr>
        <w:t>התלמידים יוצאין לת"ת ב' וג' שנים שלא ברשות. אמר רבא: סמכו רבנן אדרב אדא בר אהבה ועבדי עובדא בנפשייהו</w:t>
      </w:r>
      <w:r>
        <w:rPr>
          <w:rStyle w:val="Style1Char"/>
          <w:rFonts w:hint="cs"/>
          <w:color w:val="ED7D31" w:themeColor="accent2"/>
          <w:sz w:val="22"/>
          <w:szCs w:val="22"/>
          <w:rtl/>
        </w:rPr>
        <w:t xml:space="preserve"> </w:t>
      </w:r>
      <w:r w:rsidRPr="00F24BFA">
        <w:rPr>
          <w:rStyle w:val="Style1Char"/>
          <w:color w:val="4472C4" w:themeColor="accent1"/>
          <w:rtl/>
        </w:rPr>
        <w:t>רב אלפס לא הביא דברי רב אדא בר אהבה משום דסבר דהלכה כרבי אליעזר והרמ"ה פסק כרב אדא בר אהבה</w:t>
      </w:r>
      <w:r>
        <w:rPr>
          <w:rStyle w:val="Style1Char"/>
          <w:rFonts w:hint="cs"/>
          <w:color w:val="4472C4" w:themeColor="accent1"/>
        </w:rPr>
        <w:t>‍</w:t>
      </w:r>
      <w:r w:rsidRPr="00F24BFA">
        <w:rPr>
          <w:rStyle w:val="Style1Char"/>
          <w:color w:val="4472C4" w:themeColor="accent1"/>
          <w:rtl/>
        </w:rPr>
        <w:t xml:space="preserve"> מדקאמר סמכי רבנן אדרב אדא בר אהבה וקא עבדי עובדא בנפשייהו</w:t>
      </w:r>
      <w:r>
        <w:rPr>
          <w:rStyle w:val="Style1Char"/>
          <w:rFonts w:hint="cs"/>
          <w:color w:val="4472C4" w:themeColor="accent1"/>
        </w:rPr>
        <w:t>‍</w:t>
      </w:r>
      <w:r w:rsidRPr="00F24BFA">
        <w:rPr>
          <w:rStyle w:val="Style1Char"/>
          <w:color w:val="4472C4" w:themeColor="accent1"/>
          <w:rtl/>
        </w:rPr>
        <w:t xml:space="preserve"> דאע"ג דהלכתא הכי לא מיבעי לעגוני לנפשייהו כולי האי דמתוך שדמעתה מצויה אונאתה קרובה ודמיא להא דאמרי' לעיל דאורחא דמילתא בכמה דאע"ג דיהבא ליה רשותא עצה טובה קמ"ל שלא יעגנה אף על פי שהוא ברשות</w:t>
      </w:r>
      <w:r w:rsidRPr="00E524E7">
        <w:rPr>
          <w:rStyle w:val="Style1Char"/>
          <w:color w:val="ED7D31" w:themeColor="accent2"/>
          <w:sz w:val="22"/>
          <w:szCs w:val="22"/>
          <w:rtl/>
        </w:rPr>
        <w:t>.</w:t>
      </w:r>
      <w:r w:rsidRPr="005F123E">
        <w:rPr>
          <w:rStyle w:val="Style1Char"/>
          <w:color w:val="00B050"/>
          <w:rtl/>
        </w:rPr>
        <w:t xml:space="preserve"> כי הא דרב רחומי הוה שכיח קמיה דרבא במחוזא, הוה רגיל דהוה אתי לביתיה כל מעלי יומא דכיפורי. יומא חד משכתיה שמעתא, הוה מסכיא דביתהו השתא אתי השתא אתי, לא אתא, חלש דעתה אחית דמעתא מעינה, הוה יתיב באיגרא, אפחית איגרא מתותיה ונח נפשיה. </w:t>
      </w:r>
      <w:r w:rsidRPr="00F34BDB">
        <w:rPr>
          <w:rStyle w:val="Style1Char"/>
          <w:color w:val="auto"/>
          <w:sz w:val="22"/>
          <w:szCs w:val="22"/>
          <w:rtl/>
        </w:rPr>
        <w:t xml:space="preserve">עונה של תלמידי חכמים אימת? אמר רב יהודה אמר שמואל: </w:t>
      </w:r>
      <w:r w:rsidR="000B0569">
        <w:rPr>
          <w:rStyle w:val="Style1Char"/>
          <w:rFonts w:hint="cs"/>
          <w:rtl/>
        </w:rPr>
        <w:t>(3)</w:t>
      </w:r>
      <w:r w:rsidRPr="00F34BDB">
        <w:rPr>
          <w:rStyle w:val="Style1Char"/>
          <w:color w:val="auto"/>
          <w:sz w:val="22"/>
          <w:szCs w:val="22"/>
          <w:rtl/>
        </w:rPr>
        <w:t xml:space="preserve">מע"ש לע"ש. אשר פריו יתן בעתו - אמר רב יהודה, ואיתימא רב הונא, ואיתימא רב נחמן: זה המשמש מטתו מע"ש לע"ש. </w:t>
      </w:r>
      <w:r w:rsidRPr="005F123E">
        <w:rPr>
          <w:rStyle w:val="Style1Char"/>
          <w:color w:val="00B050"/>
          <w:rtl/>
        </w:rPr>
        <w:t xml:space="preserve">יהודה בריה דר' חייא חתניה דר' ינאי הוה, אזיל ויתיב בבי רב, וכל בי שמשי הוה אתי לביתיה, וכי הוה אתי הוה קא חזי קמיה עמודא דנורא. יומא חד משכתיה שמעתא, כיון דלא חזי ההוא סימנא, אמר להו רבי ינאי: כפו מטתו, שאילמלי יהודה קיים לא ביטל עונתו. הואי כשגגה שיוצא מלפני השליט ונח נפשיה. רבי איעסק ליה לבריה בי רבי חייא, כי מטא למיכתב כתובה נח נפשה דרביתא. אמר רבי: ח"ו פסולא איכא? יתיבו ועיינו במשפחות, רבי אתי משפטיה בן אביטל, ורבי חייא אתי משמעי אחי דוד. אזיל איעסק ליה לבריה בי ר' יוסי בן זימרא, פסקו ליה תרתי סרי שנין למיזל בבי רב. אחלפוה קמיה, אמר להו: ניהוו שית שנין. אחלפוה קמיה, אמר להו: איכניס והדר איזיל. הוה קא מכסיף מאבוה א"ל: בני, דעת קונך יש בך, מעיקרא כתיב: תביאמו ותטעמו, ולבסוף כתיב: ועשו לי מקדש ושכנתי בתוכם. אזיל יתיב תרתי סרי שני בבי רב. עד דאתא איעקרא דביתהו. אמר רבי: היכי נעביד? נגרשה, יאמרו ענייה זו לשוא שימרה! נינסיב איתתא אחריתי, יאמרו זו אשתו וזו זונתו! בעי עלה רחמי ואיתסיאת. רבי חנניה בן חכינאי הוה קאזיל לבי רב בשילהי הלוליה דר"ש בן יוחאי, א"ל: איעכב לי עד דאתי בהדך, לא איעכבא ליה. אזל יתיב תרי סרי שני בבי רב. עד דאתי אישתנו שבילי דמתא ולא ידע למיזל לביתיה. אזל יתיב אגודא דנהרא, שמע לההיא רביתא דהוו קרו לה: בת חכינאי, בת חכינאי, מלי קולתך ותא ניזיל. אמר: ש"מ, האי רביתא דידן, אזל בתרה. הוה יתיבא דביתהו קא נהלה קמחא, דל עינה חזיתיה, סוי לבה פרח רוחה. אמר לפניו: רבש"ע, ענייה זו זה שכרה? בעא רחמי עלה וחייה. רבי חמא בר ביסא אזיל יתיב תרי סרי שני בבי מדרשא. כי אתא, אמר: לא איעביד כדעביד בן חכינאי, עייל יתיב במדרשא, שלח לביתיה. אתא ר' אושעיא בריה יתיב קמיה, הוה קא משאיל ליה שמעתא, חזא דקא מתחדדי שמעתיה, חלש דעתיה, אמר: אי הואי הכא הוה לי זרע כי האי. על לביתיה, על בריה, קם קמיה. הוא סבר, למשאליה שמעתתא קא בעי, אמרה ליה דביתהו: מי איכא אבא דקאים מקמי ברא? קרי עליה רמי בר חמא: החוט המשולש לא במהרה ינתק - זה ר' אושעיא בנו של רבי חמא בר ביסא. ר"ע רעיא דבן כלבא שבוע הוה, חזיתיה ברתיה דהוה צניע ומעלי, אמרה ליה: אי מקדשנא לך אזלת לבי רב? אמר לה: אין. איקדשא ליה בצינעה ושדרתיה. שמע אבוה אפקה מביתיה, אדרה הנאה מנכסיה. אזיל יתיב תרי סרי שנין בבי רב. כי אתא, אייתי בהדיה תרי סרי אלפי תלמידי. שמעיה לההוא סבא דקאמר לה: עד כמה </w:t>
      </w:r>
    </w:p>
    <w:p w14:paraId="133F9013" w14:textId="1CA2B338" w:rsidR="00D5035D" w:rsidRDefault="00D5035D" w:rsidP="00D5035D">
      <w:pPr>
        <w:pStyle w:val="Style1"/>
        <w:rPr>
          <w:rStyle w:val="Style1Char"/>
          <w:rtl/>
        </w:rPr>
      </w:pPr>
      <w:r>
        <w:rPr>
          <w:rStyle w:val="Style1Char"/>
          <w:rFonts w:hint="cs"/>
          <w:rtl/>
        </w:rPr>
        <w:t>1)[</w:t>
      </w:r>
      <w:r w:rsidRPr="00D5035D">
        <w:rPr>
          <w:rStyle w:val="Style1Char"/>
          <w:rtl/>
        </w:rPr>
        <w:t>רמב</w:t>
      </w:r>
      <w:r w:rsidR="00213DA1">
        <w:rPr>
          <w:rStyle w:val="Style1Char"/>
          <w:rtl/>
        </w:rPr>
        <w:t>”ם \נשים\</w:t>
      </w:r>
      <w:r w:rsidRPr="00D5035D">
        <w:rPr>
          <w:rStyle w:val="Style1Char"/>
          <w:rtl/>
        </w:rPr>
        <w:t xml:space="preserve"> הלכות אישות פרק יד הלכה ו</w:t>
      </w:r>
      <w:r>
        <w:rPr>
          <w:rStyle w:val="Style1Char"/>
          <w:rFonts w:hint="cs"/>
          <w:rtl/>
        </w:rPr>
        <w:t xml:space="preserve">] </w:t>
      </w:r>
      <w:r w:rsidRPr="00D5035D">
        <w:rPr>
          <w:rStyle w:val="Style1Char"/>
          <w:rtl/>
        </w:rPr>
        <w:t>המדיר את אשתו מתשמיש המטה שבת אחת ממתינין לו יתר על כן יוציא ויתן כתובה או יפר נדרו, ואפילו היה מלח שעונתו לששה חדשים, שכיון שנדר הרי ציערה ונתיאשה, וכיצד מדירה אם אמר לה תשמישי אסור עליך או שנשבע שלא ישמש מטתו לא נדר כלום, ואם נשבע נשבע לשוא, מפני שהוא משועבד לה, אמר לה הנאת תשמישך אסורה עלי הרי זה נדר ואסור לשמש שאין מאכילין את האדם דבר האסור לו.</w:t>
      </w:r>
    </w:p>
    <w:p w14:paraId="4F0F486A" w14:textId="77777777" w:rsidR="00FF0EA9" w:rsidRDefault="00862E95" w:rsidP="00862E95">
      <w:pPr>
        <w:pStyle w:val="Style1"/>
        <w:rPr>
          <w:rtl/>
        </w:rPr>
      </w:pPr>
      <w:r>
        <w:rPr>
          <w:rStyle w:val="Style1Char"/>
          <w:rFonts w:hint="cs"/>
          <w:rtl/>
        </w:rPr>
        <w:t>1)[</w:t>
      </w:r>
      <w:r w:rsidRPr="00625113">
        <w:rPr>
          <w:rStyle w:val="Style1Char"/>
          <w:rtl/>
        </w:rPr>
        <w:t>שולחן ערוך אבן העזר הלכות כתובות סימן עו סעיף ט</w:t>
      </w:r>
      <w:r w:rsidRPr="00AD7D14">
        <w:rPr>
          <w:rStyle w:val="Style1Char"/>
          <w:rFonts w:hint="cs"/>
          <w:rtl/>
        </w:rPr>
        <w:t xml:space="preserve">] </w:t>
      </w:r>
      <w:r w:rsidRPr="00AD7D14">
        <w:rPr>
          <w:rtl/>
        </w:rPr>
        <w:t>המדיר את אשתו מתשמיש המטה, בין שהדירה סתם או שבעה ימים או יותר, יקים שבעה ימים, ואחר כך יוציא ויתן כתבתה; אפלו הוא מלח שעונתו לששה חדשים</w:t>
      </w:r>
      <w:r w:rsidRPr="00AD7D14">
        <w:t>:</w:t>
      </w:r>
    </w:p>
    <w:p w14:paraId="51256B60" w14:textId="3B44A307" w:rsidR="00506B48" w:rsidRDefault="00FF0EA9" w:rsidP="00FF0EA9">
      <w:pPr>
        <w:pStyle w:val="Style1"/>
        <w:rPr>
          <w:rStyle w:val="Style1Char"/>
          <w:rtl/>
        </w:rPr>
      </w:pPr>
      <w:r>
        <w:rPr>
          <w:rStyle w:val="Style1Char"/>
          <w:rFonts w:hint="cs"/>
          <w:rtl/>
        </w:rPr>
        <w:t>2)[</w:t>
      </w:r>
      <w:r w:rsidRPr="00FF0EA9">
        <w:rPr>
          <w:rStyle w:val="Style1Char"/>
          <w:rtl/>
        </w:rPr>
        <w:t>רמב</w:t>
      </w:r>
      <w:r w:rsidR="00213DA1">
        <w:rPr>
          <w:rStyle w:val="Style1Char"/>
          <w:rtl/>
        </w:rPr>
        <w:t>”ם \נשים\</w:t>
      </w:r>
      <w:r w:rsidRPr="00FF0EA9">
        <w:rPr>
          <w:rStyle w:val="Style1Char"/>
          <w:rtl/>
        </w:rPr>
        <w:t xml:space="preserve"> הלכות אישות פרק יד הלכה ב</w:t>
      </w:r>
      <w:r>
        <w:rPr>
          <w:rStyle w:val="Style1Char"/>
          <w:rFonts w:hint="cs"/>
          <w:rtl/>
        </w:rPr>
        <w:t xml:space="preserve">] </w:t>
      </w:r>
      <w:r w:rsidRPr="00FF0EA9">
        <w:rPr>
          <w:rStyle w:val="Style1Char"/>
          <w:rtl/>
        </w:rPr>
        <w:t xml:space="preserve">יש לאשה לעכב על בעלה שלא יצא לסחורה אלא למקום קרוב שלא ימנע מעונתה ולא יצא אלא ברשותה, וכן יש לה למנעו לצאת ממלאכה שעונתה קרובה למלאכה שעונתה רחוקה, כגון חמר שביקש להעשות גמל או גמל להעשות מלח, ותלמידי חכמים יוצאין לתלמוד תורה שלא ברשות נשותיהן שתים ושלש שנים, וכן רך וענוג שנעשה תלמיד חכמים אין אשתו יכולה לעכב. </w:t>
      </w:r>
    </w:p>
    <w:p w14:paraId="59D49184" w14:textId="7A343A42" w:rsidR="008A403D" w:rsidRPr="008A403D" w:rsidRDefault="00506B48" w:rsidP="008A403D">
      <w:pPr>
        <w:pStyle w:val="Style1"/>
      </w:pPr>
      <w:r>
        <w:rPr>
          <w:rStyle w:val="Style1Char"/>
          <w:rFonts w:hint="cs"/>
          <w:rtl/>
        </w:rPr>
        <w:t>2)[</w:t>
      </w:r>
      <w:r w:rsidRPr="00506B48">
        <w:rPr>
          <w:rStyle w:val="Style1Char"/>
          <w:rtl/>
        </w:rPr>
        <w:t>שולחן ערוך אבן העזר הלכות כתובות סימן עו סעיף ה</w:t>
      </w:r>
      <w:r>
        <w:rPr>
          <w:rStyle w:val="Style1Char"/>
          <w:rFonts w:hint="cs"/>
          <w:rtl/>
        </w:rPr>
        <w:t>]</w:t>
      </w:r>
      <w:r w:rsidR="008A403D">
        <w:rPr>
          <w:rStyle w:val="Style1Char"/>
          <w:rFonts w:hint="cs"/>
          <w:rtl/>
        </w:rPr>
        <w:t xml:space="preserve"> </w:t>
      </w:r>
      <w:r w:rsidR="008A403D" w:rsidRPr="008A403D">
        <w:rPr>
          <w:rtl/>
        </w:rPr>
        <w:t>יש לאשה לעכב על בעלה שלא יצא לסחורה אלא למקום קרוב, שלא ימנע מעונתה; ולא יצא אלא ברשותה</w:t>
      </w:r>
      <w:r w:rsidR="008A403D" w:rsidRPr="008A403D">
        <w:t>. </w:t>
      </w:r>
      <w:r w:rsidR="008A403D" w:rsidRPr="008A403D">
        <w:rPr>
          <w:rFonts w:hint="cs"/>
          <w:rtl/>
        </w:rPr>
        <w:t>ואפלו אם נותנת לו רשות, אין לו להתאחר, אלא חדש בחוץ וחדש בביתו (טור והרא"ש)</w:t>
      </w:r>
      <w:r w:rsidR="008A403D" w:rsidRPr="008A403D">
        <w:t>.</w:t>
      </w:r>
    </w:p>
    <w:p w14:paraId="4ADF6C04" w14:textId="77777777" w:rsidR="008A403D" w:rsidRPr="008A403D" w:rsidRDefault="008A403D" w:rsidP="008A403D">
      <w:pPr>
        <w:pStyle w:val="Style1"/>
      </w:pPr>
      <w:r w:rsidRPr="008A403D">
        <w:rPr>
          <w:rtl/>
        </w:rPr>
        <w:t>וכן יש לה למנעו לצאת ממלאכה שעונתה קרובה למלאכה שעונתה רחוקה, כגון חמר שבקש להעשות גמל, או גמל להעשות מלח. ותלמידי חכמים יוצאים לתלמוד תורה שלא ברשות נשותיהם שתים ושלש שנים. וכן טייל שנעשה תלמיד חכם, אין אשתו יכולה לעכב</w:t>
      </w:r>
      <w:r w:rsidRPr="008A403D">
        <w:t>.</w:t>
      </w:r>
    </w:p>
    <w:p w14:paraId="783FA0FA" w14:textId="09EFC63D" w:rsidR="008A403D" w:rsidRDefault="008A403D" w:rsidP="008A403D">
      <w:pPr>
        <w:pStyle w:val="Style1"/>
        <w:rPr>
          <w:rtl/>
        </w:rPr>
      </w:pPr>
      <w:r w:rsidRPr="008A403D">
        <w:rPr>
          <w:rFonts w:hint="cs"/>
          <w:rtl/>
        </w:rPr>
        <w:t>ואם נותנת לו רשות, תלמיד חכם יכול לילך בכל מה שתתן לו רשות (טור בשם הראב"ד)</w:t>
      </w:r>
      <w:r w:rsidRPr="008A403D">
        <w:t>:</w:t>
      </w:r>
    </w:p>
    <w:p w14:paraId="3442926E" w14:textId="52F139FA" w:rsidR="00B2619A" w:rsidRDefault="00B2619A" w:rsidP="00B2619A">
      <w:pPr>
        <w:pStyle w:val="Style1"/>
        <w:rPr>
          <w:rStyle w:val="Style1Char"/>
          <w:rtl/>
        </w:rPr>
      </w:pPr>
      <w:r>
        <w:rPr>
          <w:rStyle w:val="Style1Char"/>
          <w:rFonts w:hint="cs"/>
          <w:rtl/>
        </w:rPr>
        <w:t>3)[</w:t>
      </w:r>
      <w:r w:rsidRPr="0062132F">
        <w:rPr>
          <w:rStyle w:val="Style1Char"/>
          <w:rtl/>
        </w:rPr>
        <w:t>רמב</w:t>
      </w:r>
      <w:r w:rsidR="00213DA1">
        <w:rPr>
          <w:rStyle w:val="Style1Char"/>
          <w:rtl/>
        </w:rPr>
        <w:t>”ם \נשים\</w:t>
      </w:r>
      <w:r w:rsidRPr="0062132F">
        <w:rPr>
          <w:rStyle w:val="Style1Char"/>
          <w:rtl/>
        </w:rPr>
        <w:t xml:space="preserve"> הלכות אישות פרק יד הלכה א</w:t>
      </w:r>
      <w:r>
        <w:rPr>
          <w:rStyle w:val="Style1Char"/>
          <w:rFonts w:hint="cs"/>
          <w:rtl/>
        </w:rPr>
        <w:t xml:space="preserve">] </w:t>
      </w:r>
      <w:r w:rsidRPr="0062132F">
        <w:rPr>
          <w:rStyle w:val="Style1Char"/>
          <w:rtl/>
        </w:rPr>
        <w:t>עונה האמורה בתורה, לכל איש ואיש כפי כחו וכפי מלאכתו, כיצד בני אדם הבריאים הרכים והענוגים שאין להם מלאכה שמכשלת כחן אלא אוכלין ושותין ויושבין בבתיהן עונתן בכל לילה. הפועלין כגון החייטין והאורגין והבונים וכיוצא בהן, אם היתה מלאכתן בעיר עונתן פעמים בשבת, ואם היתה מלאכתן בעיר אחרת עונתן פעם אחת בשבת, החמרים פעם אחת בשבת, והגמלים אחת לשלשים יום, והמלחין אחת לששה חדשים, תלמידי חכמים עונתן פעם אחת בשבת מפני שתלמוד תורה מתיש כחן ודרך תלמידי חכמים לשמש מטתן מלילי שבת ללילי  שבת.</w:t>
      </w:r>
    </w:p>
    <w:p w14:paraId="2B439712" w14:textId="3DCB3477" w:rsidR="00C82DCA" w:rsidRPr="00C82DCA" w:rsidRDefault="00A51F2F" w:rsidP="00C82DCA">
      <w:pPr>
        <w:pStyle w:val="Style1"/>
      </w:pPr>
      <w:r>
        <w:rPr>
          <w:rStyle w:val="Style1Char"/>
          <w:rFonts w:hint="cs"/>
          <w:rtl/>
        </w:rPr>
        <w:t>3)[</w:t>
      </w:r>
      <w:r w:rsidRPr="00A51F2F">
        <w:rPr>
          <w:rStyle w:val="Style1Char"/>
          <w:rtl/>
        </w:rPr>
        <w:t>שולחן ערוך אבן העזר הלכות כתובות סימן עו סעיף ב</w:t>
      </w:r>
      <w:r>
        <w:rPr>
          <w:rStyle w:val="Style1Char"/>
          <w:rFonts w:hint="cs"/>
          <w:rtl/>
        </w:rPr>
        <w:t>]</w:t>
      </w:r>
      <w:r w:rsidR="00C82DCA">
        <w:rPr>
          <w:rStyle w:val="Style1Char"/>
          <w:rFonts w:hint="cs"/>
          <w:rtl/>
        </w:rPr>
        <w:t xml:space="preserve"> </w:t>
      </w:r>
      <w:r w:rsidR="00C82DCA" w:rsidRPr="00C82DCA">
        <w:rPr>
          <w:rtl/>
        </w:rPr>
        <w:t>הפועלים, אם היתה מלאכתם בעיר, פעמים בשבת; ואם היתה מלאכתם בעיר אחרת, פעם אחת בשבת</w:t>
      </w:r>
      <w:r w:rsidR="00C82DCA" w:rsidRPr="00C82DCA">
        <w:t>. </w:t>
      </w:r>
      <w:r w:rsidR="00C82DCA" w:rsidRPr="00C82DCA">
        <w:rPr>
          <w:rFonts w:hint="cs"/>
          <w:rtl/>
        </w:rPr>
        <w:t>ויש אומרים דאם אינם לנין כל לילה בביתם, עונתן לשמונה ימים (טור ותוספות בשם ר"י בר ברוך)</w:t>
      </w:r>
      <w:r w:rsidR="00C82DCA" w:rsidRPr="00C82DCA">
        <w:t>.</w:t>
      </w:r>
    </w:p>
    <w:p w14:paraId="5B074E5A" w14:textId="77777777" w:rsidR="00C82DCA" w:rsidRPr="00C82DCA" w:rsidRDefault="00C82DCA" w:rsidP="00C82DCA">
      <w:pPr>
        <w:pStyle w:val="Style1"/>
      </w:pPr>
      <w:r w:rsidRPr="00C82DCA">
        <w:rPr>
          <w:rtl/>
        </w:rPr>
        <w:t>החמרים, פעם אחת בשבת</w:t>
      </w:r>
      <w:r w:rsidRPr="00C82DCA">
        <w:t>.</w:t>
      </w:r>
    </w:p>
    <w:p w14:paraId="4255B11B" w14:textId="77777777" w:rsidR="00C82DCA" w:rsidRPr="00C82DCA" w:rsidRDefault="00C82DCA" w:rsidP="00C82DCA">
      <w:pPr>
        <w:pStyle w:val="Style1"/>
      </w:pPr>
      <w:r w:rsidRPr="00C82DCA">
        <w:rPr>
          <w:rtl/>
        </w:rPr>
        <w:t>הגמלים, אחת לשלשים יום</w:t>
      </w:r>
      <w:r w:rsidRPr="00C82DCA">
        <w:t>.</w:t>
      </w:r>
    </w:p>
    <w:p w14:paraId="6C782D8D" w14:textId="77777777" w:rsidR="00C82DCA" w:rsidRPr="00C82DCA" w:rsidRDefault="00C82DCA" w:rsidP="00C82DCA">
      <w:pPr>
        <w:pStyle w:val="Style1"/>
      </w:pPr>
      <w:r w:rsidRPr="00C82DCA">
        <w:rPr>
          <w:rtl/>
        </w:rPr>
        <w:t>המלחים, אחת לששה חדשים</w:t>
      </w:r>
      <w:r w:rsidRPr="00C82DCA">
        <w:t>.</w:t>
      </w:r>
    </w:p>
    <w:p w14:paraId="5913D6BB" w14:textId="3F46CC63" w:rsidR="002C4635" w:rsidRPr="00C82DCA" w:rsidRDefault="00C82DCA" w:rsidP="0010433A">
      <w:pPr>
        <w:pStyle w:val="Style1"/>
        <w:rPr>
          <w:rStyle w:val="Style1Char"/>
          <w:rtl/>
        </w:rPr>
      </w:pPr>
      <w:r w:rsidRPr="00C82DCA">
        <w:rPr>
          <w:rtl/>
        </w:rPr>
        <w:t>תלמידי חכמים, עונתם פעם אחת בשבת; ודרך תלמידי חכמים לשמש מטתן מלילי שבת ללילי שבת</w:t>
      </w:r>
      <w:r w:rsidRPr="00C82DCA">
        <w:t>:</w:t>
      </w:r>
      <w:r w:rsidR="002C4635" w:rsidRPr="00C82DCA">
        <w:rPr>
          <w:rStyle w:val="Style1Char"/>
          <w:rtl/>
        </w:rPr>
        <w:br w:type="page"/>
      </w:r>
    </w:p>
    <w:p w14:paraId="6921AA0F" w14:textId="77777777" w:rsidR="002C4635" w:rsidRPr="005F123E" w:rsidRDefault="002C4635" w:rsidP="002C4635">
      <w:pPr>
        <w:bidi/>
        <w:rPr>
          <w:rStyle w:val="Style1Char"/>
          <w:color w:val="00B050"/>
        </w:rPr>
      </w:pPr>
      <w:r w:rsidRPr="003663A8">
        <w:rPr>
          <w:rStyle w:val="Style1Char"/>
          <w:color w:val="00B050"/>
          <w:sz w:val="22"/>
          <w:szCs w:val="22"/>
          <w:highlight w:val="yellow"/>
          <w:rtl/>
        </w:rPr>
        <w:lastRenderedPageBreak/>
        <w:t>[דף סג עמוד א]</w:t>
      </w:r>
      <w:r w:rsidRPr="003663A8">
        <w:rPr>
          <w:rStyle w:val="Style1Char"/>
          <w:color w:val="00B050"/>
          <w:sz w:val="22"/>
          <w:szCs w:val="22"/>
          <w:rtl/>
        </w:rPr>
        <w:t xml:space="preserve"> </w:t>
      </w:r>
      <w:r w:rsidRPr="005F123E">
        <w:rPr>
          <w:rStyle w:val="Style1Char"/>
          <w:color w:val="00B050"/>
          <w:rtl/>
        </w:rPr>
        <w:t xml:space="preserve">קא מדברת אלמנות חיים? אמרה ליה: אי לדידי ציית, יתיב תרי סרי שני אחריני. אמר: ברשות קא עבידנא, הדר אזיל ויתיב תרי סרי שני אחריני בבי רב. כי אתא, אייתי בהדיה עשרין וארבעה אלפי תלמידי. שמעה דביתהו הות קא נפקא לאפיה, אמרו לה שיבבתא: שאילי מאני לבוש ואיכסאי, אמרה להו: יודע צדיק נפש בהמתו. כי מטיא לגביה, נפלה על אפה קא מנשקא ליה לכרעיה, הוו קא מדחפי לה שמעיה, אמר להו: שבקוה, שלי ושלכם שלה הוא. שמע אבוה דאתא גברא רבה למתא, אמר: איזיל לגביה, אפשר דמפר נדראי. אתא לגביה, א"ל: אדעתא דגברא רבה מי נדרת? א"ל: אפילו פרק אחד ואפי' הלכה אחת. אמר ליה: אנא הוא, נפל על אפיה ונשקיה על כרעיה, ויהיב ליה פלגא ממוניה. ברתיה דר"ע עבדא ליה לבן עזאי הכי. והיינו דאמרי אינשי: רחילא בתר רחילא אזלא, כעובדי אמה כך עובדי ברתא. רב יוסף בריה דרבא שדריה אבוהי לבי רב לקמיה דרב יוסף, פסקו ליה שית שני. כי הוה תלת שני מטא מעלי יומא דכפורי, אמר: איזיל ואיחזינהו לאינשי ביתי. שמע אבוהי, שקל מנא ונפק לאפיה, אמר ליה: זונתך נזכרת? איכא דאמרי, אמר ליה: יונתך נזכרת? איטרוד, לא מר איפסיק ולא מר איפסיק. </w:t>
      </w:r>
    </w:p>
    <w:p w14:paraId="4B85F164" w14:textId="059B4DD2" w:rsidR="002C4635" w:rsidRPr="00201FCB" w:rsidRDefault="002C4635" w:rsidP="002C4635">
      <w:pPr>
        <w:bidi/>
        <w:rPr>
          <w:rStyle w:val="Style1Char"/>
          <w:color w:val="auto"/>
          <w:sz w:val="22"/>
          <w:szCs w:val="22"/>
        </w:rPr>
      </w:pPr>
      <w:r w:rsidRPr="00201FCB">
        <w:rPr>
          <w:rStyle w:val="Style1Char"/>
          <w:color w:val="auto"/>
          <w:sz w:val="22"/>
          <w:szCs w:val="22"/>
          <w:rtl/>
        </w:rPr>
        <w:t xml:space="preserve">מתני'. המורדת על בעלה - פוחתין לה מכתובתה שבעה דינרין בשבת, ר' יהודה אומר: שבעה טרפעיקין. עד מתי הוא פוחת? עד כנגד כתובתה, ר' יוסי אומר: לעולם הוא פוחת והולך, עד שאם תפול לה ירושה ממקום אחר גובה הימנה. וכן המורד על אשתו - </w:t>
      </w:r>
      <w:r w:rsidR="00EB3F8D">
        <w:rPr>
          <w:rStyle w:val="Style1Char"/>
          <w:rFonts w:hint="cs"/>
          <w:rtl/>
        </w:rPr>
        <w:t>(1)</w:t>
      </w:r>
      <w:r w:rsidRPr="00201FCB">
        <w:rPr>
          <w:rStyle w:val="Style1Char"/>
          <w:color w:val="auto"/>
          <w:sz w:val="22"/>
          <w:szCs w:val="22"/>
          <w:rtl/>
        </w:rPr>
        <w:t xml:space="preserve">מוסיפין על כתובתה שלשה דינרין בשבת, ר' יהודה אומר: שלשה טרפעיקין. </w:t>
      </w:r>
    </w:p>
    <w:p w14:paraId="6C8A7167" w14:textId="3709BD42" w:rsidR="002C4635" w:rsidRDefault="002C4635" w:rsidP="002C4635">
      <w:pPr>
        <w:bidi/>
        <w:rPr>
          <w:rStyle w:val="Style1Char"/>
          <w:color w:val="4472C4" w:themeColor="accent1"/>
          <w:rtl/>
        </w:rPr>
      </w:pPr>
      <w:r w:rsidRPr="00722F47">
        <w:rPr>
          <w:rStyle w:val="Style1Char"/>
          <w:color w:val="auto"/>
          <w:sz w:val="22"/>
          <w:szCs w:val="22"/>
          <w:rtl/>
        </w:rPr>
        <w:t xml:space="preserve">גמ'. מורדת ממאי? רב הונא אמר: </w:t>
      </w:r>
      <w:r w:rsidR="00EB3F8D">
        <w:rPr>
          <w:rStyle w:val="Style1Char"/>
          <w:rFonts w:hint="cs"/>
          <w:rtl/>
        </w:rPr>
        <w:t>(1)</w:t>
      </w:r>
      <w:r w:rsidRPr="00722F47">
        <w:rPr>
          <w:rStyle w:val="Style1Char"/>
          <w:color w:val="auto"/>
          <w:sz w:val="22"/>
          <w:szCs w:val="22"/>
          <w:rtl/>
        </w:rPr>
        <w:t>מתשמיש המטה</w:t>
      </w:r>
      <w:r w:rsidRPr="00722F47">
        <w:rPr>
          <w:rStyle w:val="Style1Char"/>
          <w:color w:val="auto"/>
          <w:rtl/>
        </w:rPr>
        <w:t xml:space="preserve"> </w:t>
      </w:r>
      <w:r w:rsidRPr="00B001B6">
        <w:rPr>
          <w:rStyle w:val="Style1Char"/>
          <w:color w:val="806000" w:themeColor="accent4" w:themeShade="80"/>
          <w:sz w:val="22"/>
          <w:szCs w:val="22"/>
          <w:rtl/>
        </w:rPr>
        <w:t>אבל ממלאכה לא הויא מורדת</w:t>
      </w:r>
      <w:r w:rsidRPr="005F123E">
        <w:rPr>
          <w:rStyle w:val="Style1Char"/>
          <w:color w:val="00B050"/>
          <w:rtl/>
        </w:rPr>
        <w:t xml:space="preserve">, </w:t>
      </w:r>
      <w:r w:rsidRPr="00722F47">
        <w:rPr>
          <w:rStyle w:val="Style1Char"/>
          <w:color w:val="auto"/>
          <w:sz w:val="22"/>
          <w:szCs w:val="22"/>
          <w:rtl/>
        </w:rPr>
        <w:t xml:space="preserve">ר' יוסי ברבי חנינא אמר: </w:t>
      </w:r>
      <w:r w:rsidRPr="004A418A">
        <w:rPr>
          <w:rStyle w:val="Style1Char"/>
          <w:color w:val="C00000"/>
          <w:sz w:val="22"/>
          <w:szCs w:val="22"/>
          <w:rtl/>
        </w:rPr>
        <w:t xml:space="preserve">אף </w:t>
      </w:r>
      <w:r w:rsidRPr="00722F47">
        <w:rPr>
          <w:rStyle w:val="Style1Char"/>
          <w:color w:val="auto"/>
          <w:sz w:val="22"/>
          <w:szCs w:val="22"/>
          <w:rtl/>
        </w:rPr>
        <w:t>ממלאכה</w:t>
      </w:r>
      <w:r w:rsidRPr="00722F47">
        <w:rPr>
          <w:rStyle w:val="Style1Char"/>
          <w:color w:val="auto"/>
          <w:rtl/>
        </w:rPr>
        <w:t xml:space="preserve"> </w:t>
      </w:r>
      <w:r w:rsidRPr="004A418A">
        <w:rPr>
          <w:rStyle w:val="Style1Char"/>
          <w:color w:val="C00000"/>
          <w:sz w:val="22"/>
          <w:szCs w:val="22"/>
          <w:rtl/>
        </w:rPr>
        <w:t>הויא מורדת והלכתא כרב הונא דאמרינן לקמן [דף ס"ג ע"ב] היכי דמיא מורדת אמר אמימר דאמרה בעינא ליה ומצערנא ליה שמע מינה דמתשמיש הויא מורדת כרב הונא:</w:t>
      </w:r>
      <w:r w:rsidRPr="005F123E">
        <w:rPr>
          <w:rStyle w:val="Style1Char"/>
          <w:color w:val="00B050"/>
          <w:rtl/>
        </w:rPr>
        <w:t xml:space="preserve">. </w:t>
      </w:r>
      <w:r w:rsidRPr="00F24BFA">
        <w:rPr>
          <w:rStyle w:val="Style1Char"/>
          <w:color w:val="4472C4" w:themeColor="accent1"/>
          <w:rtl/>
        </w:rPr>
        <w:t>רב הונא לטעמיה דאמר לעיל (דף נח ב) יכולה אשה שתאמר לבעלה איני ניזונת ואיני עושה ור"י בר' חנינא סבר כריש לקיש דאמר שיכול לכופה למעשה ידיה הלכך נקראת מורדת וא"ת וכיון שיכול לכופה למלאכה אמאי נקראת מורדת לפחות מכתובתה יכפוה בשוטים עד שתעשה מלאכה וי"ל דאפילו הכי הויא מורדת הואיל ואינה עושה מלאכה אלא ע"י כפיה ואין לומר דשפיר סבר ר' יוסי בר' חנינא כרב הונא דיכולה לומר איני ניזונת ואיני עושה אפילו הכי מורדת ממלאכה דלרב הונא נמי כשאומרת איני ניזונת ואיני עושה לא מיפטרה אלא מעשיית צמר אבל כל שאר המלאכות היא מחוייבת לעשות ובהא פליגי ר' יוסי בר' חנינא סבר דבשאר מלאכות מיקריא נמי מורדת לפחות מכתובתה ורב הונא סבר דלא מיקריא מורדת משאר מלאכות וכן היה נראה קצת מדאמר לעיל (דף נט א) מדי דקיץ ממידי דקיץ אבל אי אפשר לומר כן דתנן לקמן (דף סד א) אם היתה מניקה פוחתין ממעשה ידיה ולאו דוקא נקט מניקה אלא ה"ה טוחנת ואופה וכל שאר מלאכות דפוחתין לה והאי דנקט מניקה משום דאיירי במשרה אשתו ע"י שליש דאינה לא טוחנת ולא אופה דכיון דאינה בבית היאך תעשה צרכי הבית אלא ודאי לא אמרו שהאשה עושה חמש סלעים אלא במשרה אשתו ע"י שליש שאינה עושה שום מלאכה</w:t>
      </w:r>
      <w:r w:rsidRPr="00F24BFA">
        <w:rPr>
          <w:rStyle w:val="Style1Char"/>
          <w:color w:val="4472C4" w:themeColor="accent1"/>
        </w:rPr>
        <w:t xml:space="preserve">: </w:t>
      </w:r>
    </w:p>
    <w:p w14:paraId="162D61B9" w14:textId="77777777" w:rsidR="002C4635" w:rsidRPr="00F24BFA" w:rsidRDefault="002C4635" w:rsidP="002C4635">
      <w:pPr>
        <w:bidi/>
        <w:rPr>
          <w:rStyle w:val="Style1Char"/>
          <w:color w:val="4472C4" w:themeColor="accent1"/>
        </w:rPr>
      </w:pPr>
      <w:r w:rsidRPr="00E93878">
        <w:rPr>
          <w:rStyle w:val="Style1Char"/>
          <w:color w:val="ED7D31" w:themeColor="accent2"/>
          <w:sz w:val="22"/>
          <w:szCs w:val="22"/>
          <w:rtl/>
        </w:rPr>
        <w:t xml:space="preserve">תנן: וכן המורד </w:t>
      </w:r>
      <w:r w:rsidRPr="005F123E">
        <w:rPr>
          <w:rStyle w:val="Style1Char"/>
          <w:color w:val="00B050"/>
          <w:rtl/>
        </w:rPr>
        <w:t xml:space="preserve">על אשתו; </w:t>
      </w:r>
      <w:r w:rsidRPr="00E93878">
        <w:rPr>
          <w:rStyle w:val="Style1Char"/>
          <w:color w:val="ED7D31" w:themeColor="accent2"/>
          <w:sz w:val="22"/>
          <w:szCs w:val="22"/>
          <w:rtl/>
        </w:rPr>
        <w:t xml:space="preserve">בשלמא למ"ד מתשמיש </w:t>
      </w:r>
      <w:r w:rsidRPr="005F123E">
        <w:rPr>
          <w:rStyle w:val="Style1Char"/>
          <w:color w:val="00B050"/>
          <w:rtl/>
        </w:rPr>
        <w:t>- לחיי</w:t>
      </w:r>
      <w:r w:rsidRPr="00E93878">
        <w:rPr>
          <w:rStyle w:val="Style1Char"/>
          <w:color w:val="4472C4" w:themeColor="accent1"/>
          <w:rtl/>
        </w:rPr>
        <w:t xml:space="preserve"> </w:t>
      </w:r>
      <w:r w:rsidRPr="00E93878">
        <w:rPr>
          <w:rStyle w:val="Style1Char"/>
          <w:color w:val="4472C4" w:themeColor="accent1"/>
          <w:sz w:val="22"/>
          <w:szCs w:val="22"/>
          <w:rtl/>
        </w:rPr>
        <w:t>כי היכי דאיהי משעבדא ליה איהו נמי משעבד לה</w:t>
      </w:r>
      <w:r w:rsidRPr="005F123E">
        <w:rPr>
          <w:rStyle w:val="Style1Char"/>
          <w:color w:val="00B050"/>
          <w:rtl/>
        </w:rPr>
        <w:t xml:space="preserve">, </w:t>
      </w:r>
      <w:r w:rsidRPr="00E93878">
        <w:rPr>
          <w:rStyle w:val="Style1Char"/>
          <w:color w:val="ED7D31" w:themeColor="accent2"/>
          <w:sz w:val="22"/>
          <w:szCs w:val="22"/>
          <w:rtl/>
        </w:rPr>
        <w:t>אלא למאן דאמר ממלאכה - מי משועבד לה? אין, באומר איני זן ואיני מפרנס</w:t>
      </w:r>
      <w:r w:rsidRPr="00016D77">
        <w:rPr>
          <w:rStyle w:val="Style1Char"/>
          <w:color w:val="4472C4" w:themeColor="accent1"/>
          <w:rtl/>
        </w:rPr>
        <w:t xml:space="preserve"> </w:t>
      </w:r>
      <w:r w:rsidRPr="00F24BFA">
        <w:rPr>
          <w:rStyle w:val="Style1Char"/>
          <w:color w:val="4472C4" w:themeColor="accent1"/>
          <w:rtl/>
        </w:rPr>
        <w:t>מכאן היה רוצה להוכיח רבינו אליהו ז"ל שאדם מחוייב להשכיר את עצמו לעשות מלאכה לפרנס את אשתו מדקאמר באומר איני זן ואיני מפרנס משמע דהוי מורד ממלאכה שהוא משועבד לה לעשות כדי לזונה ולפרנסה וגם מספר כתובתה הוא מוכיח שכתוב בה אנא אפלח ואוקיר ואזון ואפרנס יתיכי ור"ת אומר מהכא אין ראיה דהכי פירושא באומר איני זן ואיני מפרנס דהיינו מרד האיש כנגד מרד האשה דמרד האשה היינו במלאכה שתחת מזונותיה ומרד האיש הוי ממזונות שהן כנגד מעשה ידיה ומכתובתה אין להוכיח דאפלח אינו רוצה לומר שכירות אלא עבודה שדרך האיש לעבוד בביתו כגון לחרוש ולזרוע.</w:t>
      </w:r>
      <w:r w:rsidRPr="00E93878">
        <w:rPr>
          <w:rStyle w:val="Style1Char"/>
          <w:color w:val="ED7D31" w:themeColor="accent2"/>
          <w:sz w:val="22"/>
          <w:szCs w:val="22"/>
          <w:rtl/>
        </w:rPr>
        <w:t xml:space="preserve">. </w:t>
      </w:r>
      <w:r w:rsidRPr="00A61060">
        <w:rPr>
          <w:rStyle w:val="Style1Char"/>
          <w:color w:val="ED7D31" w:themeColor="accent2"/>
          <w:sz w:val="22"/>
          <w:szCs w:val="22"/>
          <w:rtl/>
        </w:rPr>
        <w:t>והאמר רב: האומר איני זן ואיני מפרנס - יוציא ויתן כתובה!</w:t>
      </w:r>
      <w:r w:rsidRPr="005F123E">
        <w:rPr>
          <w:rStyle w:val="Style1Char"/>
          <w:color w:val="00B050"/>
          <w:rtl/>
        </w:rPr>
        <w:t xml:space="preserve"> </w:t>
      </w:r>
      <w:r w:rsidRPr="00F24BFA">
        <w:rPr>
          <w:rStyle w:val="Style1Char"/>
          <w:color w:val="4472C4" w:themeColor="accent1"/>
          <w:rtl/>
        </w:rPr>
        <w:t>כלומר מה תוספת שייך הכא הואיל וצריך לגרשה מיד ותימה דמשמע דלשמואל ניחא דאמר לקמן בשילהי פרק המדיר (דף עז א) עד שכופין אותו להוציא יכפוהו לזון ולדידיה נמי קשה הואיל וכופין אותו לזון מיד מאי תוספת שייך הכא וי"ל דלדידיה (נמי) ודאי ניחא הואיל ואינו רוצה לזונה אלא בכפייה נקרא מורד ומוסיפין לה על כתובתה דאין אדם דר עם נחש בכפיפה</w:t>
      </w:r>
      <w:r>
        <w:rPr>
          <w:rStyle w:val="Style1Char"/>
          <w:rFonts w:hint="cs"/>
          <w:color w:val="4472C4" w:themeColor="accent1"/>
        </w:rPr>
        <w:t>‍</w:t>
      </w:r>
      <w:r w:rsidRPr="00F24BFA">
        <w:rPr>
          <w:rStyle w:val="Style1Char"/>
          <w:color w:val="4472C4" w:themeColor="accent1"/>
          <w:rtl/>
        </w:rPr>
        <w:t xml:space="preserve"> מידי דהוה אכל מורד דחייב לזונה וגם מוסיפין לה על כתובתה ואף על גב דאמר רב הונא דמורדת ממלאכה לא הויא מורדת משום דמצי למימר איני ניזונת ואיני עושה אבל איש דלא מצי למימר איני זן ואיני מפרס ואיני מקבל מלאכתיך נקרא מורד אם אינו זן אם אינה מספקת במעשה ידיה</w:t>
      </w:r>
      <w:r>
        <w:rPr>
          <w:rStyle w:val="Style1Char"/>
          <w:rFonts w:hint="cs"/>
          <w:color w:val="4472C4" w:themeColor="accent1"/>
        </w:rPr>
        <w:t>‍</w:t>
      </w:r>
      <w:r w:rsidRPr="00F24BFA">
        <w:rPr>
          <w:rStyle w:val="Style1Char"/>
          <w:color w:val="4472C4" w:themeColor="accent1"/>
          <w:rtl/>
        </w:rPr>
        <w:t xml:space="preserve"> מוסיפין לה על כתובתה אף על פי שכופין אותו לזון וא"ת דמשמע דלא פריך אלא למאן דאמר ממלאכה אבל למאן דאמר מתשמיש ניחא דפשיטא דכי היכי דאמר רב האומר איני זן ואיני מפרנס יוציא ויתן כתובה הכי נמי מתשמיש וכי מה בצע לה שיוסיפו לה על כתובתה והיא תתעגן כל ימיה ועוד אמרינן לעיל (דף מח א) האומר אי אפשי אלא אני בבגדי והיא בבגדה יוציא ויתן כתובה וכ"ש מונע ממנה תשמיש וי"ל דאין ה"נ דמצי למימר וליטעמיך ולפי המסקנא ניחא דקאמר ולאו לאימלוכי בה בעי אם היא רוצה כופין לאלתר ואם היא רוצה ימתינו שמא יחזור בו ובינתים מוסיפין על כתובתה וכן לשמואל אף על פי שכופין אותו לזון מוסיפים על כתובתה כדפרישית וכן מורדת מתשמיש אפי' שהבעל משמש עמה בע"כ פוחת מכתובתה</w:t>
      </w:r>
      <w:r>
        <w:rPr>
          <w:rStyle w:val="Style1Char"/>
          <w:rFonts w:hint="cs"/>
          <w:color w:val="4472C4" w:themeColor="accent1"/>
        </w:rPr>
        <w:t>‍</w:t>
      </w:r>
      <w:r w:rsidRPr="00F24BFA">
        <w:rPr>
          <w:rStyle w:val="Style1Char"/>
          <w:color w:val="4472C4" w:themeColor="accent1"/>
          <w:rtl/>
        </w:rPr>
        <w:t xml:space="preserve"> והלכתא כרב הונא דאמרינן לקמן היכי דמי מורדת אמר אמימר דאמרה בעינא ליה ומצערנא ליה שמעינן מינה דמתשמיש הויא מורדת כרב הונא. ואין נ"ל ראיה דאמימר אליבא דכו"ע קאי ועוד משום דבעי לסיומי למילתיה אבל אי אמרה מאיס עלי. ולמאי דפרישית דרב הונא לטעמיה דאמר יכולה אשה שתאמר לבעלה איני ניזונת ואיני עושה</w:t>
      </w:r>
      <w:r>
        <w:rPr>
          <w:rStyle w:val="Style1Char"/>
          <w:rFonts w:hint="cs"/>
          <w:color w:val="4472C4" w:themeColor="accent1"/>
        </w:rPr>
        <w:t>‍</w:t>
      </w:r>
      <w:r w:rsidRPr="00F24BFA">
        <w:rPr>
          <w:rStyle w:val="Style1Char"/>
          <w:color w:val="4472C4" w:themeColor="accent1"/>
          <w:rtl/>
        </w:rPr>
        <w:t xml:space="preserve"> הוי ראייה דהלכתא כוותיה נמי בהא והראב"ד ז"ל כתב מדאמר ליה ר' חייא בר יוסף לשמואל נדה בת תשמיש היא אלמא דסבירא להו</w:t>
      </w:r>
      <w:r>
        <w:rPr>
          <w:rStyle w:val="Style1Char"/>
          <w:rFonts w:hint="cs"/>
          <w:color w:val="4472C4" w:themeColor="accent1"/>
        </w:rPr>
        <w:t>‍</w:t>
      </w:r>
      <w:r w:rsidRPr="00F24BFA">
        <w:rPr>
          <w:rStyle w:val="Style1Char"/>
          <w:color w:val="4472C4" w:themeColor="accent1"/>
          <w:rtl/>
        </w:rPr>
        <w:t xml:space="preserve"> דדוקא מתשמיש הויא מורדת</w:t>
      </w:r>
      <w:r w:rsidRPr="00F24BFA">
        <w:rPr>
          <w:rStyle w:val="Style1Char"/>
          <w:color w:val="4472C4" w:themeColor="accent1"/>
        </w:rPr>
        <w:t xml:space="preserve">: </w:t>
      </w:r>
    </w:p>
    <w:p w14:paraId="660ABFDC" w14:textId="31DACE99" w:rsidR="002C4635" w:rsidRDefault="002C4635" w:rsidP="002C4635">
      <w:pPr>
        <w:bidi/>
        <w:rPr>
          <w:rStyle w:val="Style1Char"/>
          <w:color w:val="00B050"/>
          <w:rtl/>
        </w:rPr>
      </w:pPr>
      <w:r w:rsidRPr="005F123E">
        <w:rPr>
          <w:rStyle w:val="Style1Char"/>
          <w:color w:val="00B050"/>
          <w:rtl/>
        </w:rPr>
        <w:t xml:space="preserve">ולאו לאמלוכי ביה בעי? מיתבי: </w:t>
      </w:r>
      <w:r w:rsidR="004D1D0F">
        <w:rPr>
          <w:rStyle w:val="Style1Char"/>
          <w:rFonts w:hint="cs"/>
          <w:rtl/>
        </w:rPr>
        <w:t>(2)</w:t>
      </w:r>
      <w:r w:rsidRPr="005F123E">
        <w:rPr>
          <w:rStyle w:val="Style1Char"/>
          <w:color w:val="00B050"/>
          <w:rtl/>
        </w:rPr>
        <w:t xml:space="preserve">אחת לי ארוסה ונשואה, ואפי' נדה, ואפילו חולה, </w:t>
      </w:r>
      <w:r w:rsidR="004D1D0F">
        <w:rPr>
          <w:rStyle w:val="Style1Char"/>
          <w:rFonts w:hint="cs"/>
          <w:rtl/>
        </w:rPr>
        <w:t>(2, 3)</w:t>
      </w:r>
      <w:r w:rsidRPr="005F123E">
        <w:rPr>
          <w:rStyle w:val="Style1Char"/>
          <w:color w:val="00B050"/>
          <w:rtl/>
        </w:rPr>
        <w:t xml:space="preserve">ואפי' שומרת יבם; (בשלמא למאן דאמר ממלאכה - שפיר, אלא למאן דאמר מתשמיש - נדה בת תשמיש היא? אמר לך: אינו דומה מי שיש לו פת בסלו למי שאין לו. איכא דאמרי:) בשלמא למאן דאמר מתשמיש, היינו דקתני חולה, </w:t>
      </w:r>
    </w:p>
    <w:p w14:paraId="2B208092" w14:textId="3462D810" w:rsidR="00EB1F05" w:rsidRDefault="00EB1F05" w:rsidP="00EB1F05">
      <w:pPr>
        <w:pStyle w:val="Style1"/>
        <w:rPr>
          <w:rStyle w:val="Style1Char"/>
          <w:rtl/>
        </w:rPr>
      </w:pPr>
      <w:r>
        <w:rPr>
          <w:rStyle w:val="Style1Char"/>
          <w:rFonts w:hint="cs"/>
          <w:rtl/>
        </w:rPr>
        <w:t>1)[</w:t>
      </w:r>
      <w:r w:rsidRPr="00EB1F05">
        <w:rPr>
          <w:rStyle w:val="Style1Char"/>
          <w:rtl/>
        </w:rPr>
        <w:t>רמב</w:t>
      </w:r>
      <w:r w:rsidR="00213DA1">
        <w:rPr>
          <w:rStyle w:val="Style1Char"/>
          <w:rtl/>
        </w:rPr>
        <w:t>”ם \נשים\</w:t>
      </w:r>
      <w:r w:rsidRPr="00EB1F05">
        <w:rPr>
          <w:rStyle w:val="Style1Char"/>
          <w:rtl/>
        </w:rPr>
        <w:t xml:space="preserve"> הלכות אישות פרק יד הלכה טו</w:t>
      </w:r>
      <w:r>
        <w:rPr>
          <w:rStyle w:val="Style1Char"/>
          <w:rFonts w:hint="cs"/>
          <w:rtl/>
        </w:rPr>
        <w:t xml:space="preserve">] </w:t>
      </w:r>
      <w:r w:rsidRPr="00EB1F05">
        <w:rPr>
          <w:rStyle w:val="Style1Char"/>
          <w:rtl/>
        </w:rPr>
        <w:t xml:space="preserve">המורד על אשתו ואמר הריני זן ומפרנס אבל איני בא עליה מפני ששנאתיה מוסיפין לה על כתובתה משקל שש ושלשים שעורה של כסף בכל שבת ושבת וישב ולא ישמש כל זמן שתרצה היא לישב, ואף על פי שכתובתה הולכת ונוספת הרי הוא עובר בלא תעשה שנ' </w:t>
      </w:r>
      <w:r w:rsidR="00BE6B9A">
        <w:rPr>
          <w:rStyle w:val="Style1Char"/>
          <w:rFonts w:hint="cs"/>
          <w:rtl/>
        </w:rPr>
        <w:t>(</w:t>
      </w:r>
      <w:r w:rsidRPr="00EB1F05">
        <w:rPr>
          <w:rStyle w:val="Style1Char"/>
          <w:rtl/>
        </w:rPr>
        <w:t>שמות כ"א</w:t>
      </w:r>
      <w:r w:rsidR="00BE6B9A">
        <w:rPr>
          <w:rStyle w:val="Style1Char"/>
          <w:rFonts w:hint="cs"/>
          <w:rtl/>
        </w:rPr>
        <w:t>)</w:t>
      </w:r>
      <w:r w:rsidRPr="00EB1F05">
        <w:rPr>
          <w:rStyle w:val="Style1Char"/>
          <w:rtl/>
        </w:rPr>
        <w:t xml:space="preserve"> לא יגרע, שאם שנא ישלח אבל לענות אסור, ולמה לא ילקה על לאו זה מפני שאין בו מעשה.</w:t>
      </w:r>
    </w:p>
    <w:p w14:paraId="42770F8C" w14:textId="77777777" w:rsidR="00991D89" w:rsidRPr="00991D89" w:rsidRDefault="003F70B6" w:rsidP="00991D89">
      <w:pPr>
        <w:pStyle w:val="Style1"/>
      </w:pPr>
      <w:r>
        <w:rPr>
          <w:rStyle w:val="Style1Char"/>
          <w:rFonts w:hint="cs"/>
          <w:rtl/>
        </w:rPr>
        <w:t>1)[</w:t>
      </w:r>
      <w:r w:rsidRPr="003F70B6">
        <w:rPr>
          <w:rStyle w:val="Style1Char"/>
          <w:rtl/>
        </w:rPr>
        <w:t>שולחן ערוך אבן העזר הלכות כתובות סימן עז סעיף א</w:t>
      </w:r>
      <w:r>
        <w:rPr>
          <w:rStyle w:val="Style1Char"/>
          <w:rFonts w:hint="cs"/>
          <w:rtl/>
        </w:rPr>
        <w:t>]</w:t>
      </w:r>
      <w:r w:rsidR="00991D89">
        <w:rPr>
          <w:rStyle w:val="Style1Char"/>
          <w:rFonts w:hint="cs"/>
          <w:rtl/>
        </w:rPr>
        <w:t xml:space="preserve"> </w:t>
      </w:r>
      <w:r w:rsidR="00991D89" w:rsidRPr="00991D89">
        <w:rPr>
          <w:rtl/>
        </w:rPr>
        <w:t>המורד על אשתו ואמר: הריני זן ומפרנס, אבל איני בא עליה מפני ששנאתיה, מוסיפין לה על כתובתה משקל שלושים ושישה שעורים של כסף בכל שבוע, וישב ולא ישמש, כל זמן שתרצה היא לישב; ואף על פי שכתובתה הולכת ונוספת, הרי הוא עובר בלא תעשה, שנאמר: "לא יגרע</w:t>
      </w:r>
      <w:r w:rsidR="00991D89" w:rsidRPr="00991D89">
        <w:t>" (</w:t>
      </w:r>
      <w:hyperlink r:id="rId134" w:tooltip="שמות כא י" w:history="1">
        <w:r w:rsidR="00991D89" w:rsidRPr="00991D89">
          <w:rPr>
            <w:rStyle w:val="Hyperlink"/>
            <w:color w:val="7030A0"/>
            <w:u w:val="none"/>
            <w:rtl/>
          </w:rPr>
          <w:t>שמות כא י</w:t>
        </w:r>
      </w:hyperlink>
      <w:r w:rsidR="00991D89" w:rsidRPr="00991D89">
        <w:t xml:space="preserve">); </w:t>
      </w:r>
      <w:r w:rsidR="00991D89" w:rsidRPr="00991D89">
        <w:rPr>
          <w:rtl/>
        </w:rPr>
        <w:t>ואם היא רוצה, כופין אותו מיד להוציא וליתן כתובה</w:t>
      </w:r>
      <w:r w:rsidR="00991D89" w:rsidRPr="00991D89">
        <w:t>.</w:t>
      </w:r>
    </w:p>
    <w:p w14:paraId="6C9C3830" w14:textId="7B2959FF" w:rsidR="00991D89" w:rsidRDefault="00991D89" w:rsidP="00991D89">
      <w:pPr>
        <w:pStyle w:val="Style1"/>
        <w:rPr>
          <w:rtl/>
        </w:rPr>
      </w:pPr>
      <w:r w:rsidRPr="00991D89">
        <w:rPr>
          <w:rFonts w:hint="cs"/>
          <w:rtl/>
        </w:rPr>
        <w:t>יש אומרים דאם רוצה לגרש מיד וליתן לה הכתובה, אין מוסיפין לה על כתובתה (כך משמע מדברי הרמב"ם פרק י"ד דאישות). ונראה לי, דאף בלאו ד"לא יגרע</w:t>
      </w:r>
      <w:r w:rsidRPr="00991D89">
        <w:rPr>
          <w:rFonts w:hint="cs"/>
        </w:rPr>
        <w:t>" (</w:t>
      </w:r>
      <w:hyperlink r:id="rId135" w:tooltip="שמות כא י" w:history="1">
        <w:r w:rsidRPr="00991D89">
          <w:rPr>
            <w:rStyle w:val="Hyperlink"/>
            <w:rFonts w:hint="cs"/>
            <w:color w:val="7030A0"/>
            <w:u w:val="none"/>
            <w:rtl/>
          </w:rPr>
          <w:t>שמות כא י</w:t>
        </w:r>
      </w:hyperlink>
      <w:r w:rsidRPr="00991D89">
        <w:rPr>
          <w:rFonts w:hint="cs"/>
        </w:rPr>
        <w:t xml:space="preserve">) </w:t>
      </w:r>
      <w:r w:rsidRPr="00991D89">
        <w:rPr>
          <w:rFonts w:hint="cs"/>
          <w:rtl/>
        </w:rPr>
        <w:t>אינו עובר</w:t>
      </w:r>
      <w:r w:rsidRPr="00991D89">
        <w:rPr>
          <w:rFonts w:hint="cs"/>
        </w:rPr>
        <w:t>)</w:t>
      </w:r>
      <w:r w:rsidRPr="00991D89">
        <w:t>:</w:t>
      </w:r>
    </w:p>
    <w:p w14:paraId="7C6E8D8F" w14:textId="767F0EF1" w:rsidR="00A52692" w:rsidRDefault="00A52692" w:rsidP="00A52692">
      <w:pPr>
        <w:pStyle w:val="Style1"/>
        <w:rPr>
          <w:rtl/>
        </w:rPr>
      </w:pPr>
      <w:r>
        <w:rPr>
          <w:rFonts w:hint="cs"/>
          <w:rtl/>
        </w:rPr>
        <w:t>2)[</w:t>
      </w:r>
      <w:r>
        <w:rPr>
          <w:rtl/>
        </w:rPr>
        <w:t>רמב</w:t>
      </w:r>
      <w:r w:rsidR="00213DA1">
        <w:rPr>
          <w:rtl/>
        </w:rPr>
        <w:t>”ם \נשים\</w:t>
      </w:r>
      <w:r>
        <w:rPr>
          <w:rtl/>
        </w:rPr>
        <w:t xml:space="preserve"> הלכות אישות פרק יד הלכה יב</w:t>
      </w:r>
      <w:r>
        <w:rPr>
          <w:rFonts w:hint="cs"/>
          <w:rtl/>
        </w:rPr>
        <w:t xml:space="preserve">] </w:t>
      </w:r>
      <w:r>
        <w:rPr>
          <w:rtl/>
        </w:rPr>
        <w:t>וכן ארוסה שהגיע זמנה להנשא ומרדה כדי לצערו ולא נשאת הרי זו מורדת מתשמיש, וכן יבמה שלא רצת להתיבם  כדי לצערו כסדר הזה עושין להן.</w:t>
      </w:r>
    </w:p>
    <w:p w14:paraId="01F6F60A" w14:textId="4523C60A" w:rsidR="0091013A" w:rsidRPr="0091013A" w:rsidRDefault="008203DF" w:rsidP="0091013A">
      <w:pPr>
        <w:pStyle w:val="Style1"/>
      </w:pPr>
      <w:r>
        <w:rPr>
          <w:rFonts w:hint="cs"/>
          <w:rtl/>
        </w:rPr>
        <w:t>2)[</w:t>
      </w:r>
      <w:r>
        <w:rPr>
          <w:rtl/>
        </w:rPr>
        <w:t>שולחן ערוך אבן העזר הלכות כתובות סימן עז סעיף ב</w:t>
      </w:r>
      <w:r>
        <w:rPr>
          <w:rFonts w:hint="cs"/>
          <w:rtl/>
        </w:rPr>
        <w:t>]</w:t>
      </w:r>
      <w:r w:rsidR="0091013A">
        <w:rPr>
          <w:rFonts w:hint="cs"/>
          <w:rtl/>
        </w:rPr>
        <w:t xml:space="preserve"> </w:t>
      </w:r>
      <w:r w:rsidR="0091013A" w:rsidRPr="0091013A">
        <w:rPr>
          <w:rtl/>
        </w:rPr>
        <w:t>האשה שמנעה בעלה מתשמיש, היא הנקראת "מורדת"; ושואלין אותה מפני מה מרדה, אם אמרה: מאסתיהו ואיני יכולה להיבעל לו מדעתי</w:t>
      </w:r>
      <w:r w:rsidR="0091013A" w:rsidRPr="0091013A">
        <w:t>, </w:t>
      </w:r>
      <w:r w:rsidR="0091013A" w:rsidRPr="0091013A">
        <w:rPr>
          <w:rFonts w:hint="cs"/>
          <w:rtl/>
        </w:rPr>
        <w:t xml:space="preserve">ודווקא שמבקשת גט בלא כתובה, אבל אם אומרת: יתן לי גט וכתובתי, חיישינן שמא נתנה עיניה באחר, </w:t>
      </w:r>
      <w:r w:rsidR="0091013A" w:rsidRPr="0091013A">
        <w:rPr>
          <w:rFonts w:hint="cs"/>
          <w:rtl/>
        </w:rPr>
        <w:lastRenderedPageBreak/>
        <w:t>ויש לה דין מורדת דבעינא ומצערנא ליה (בית יוסף בשם תשובת הר"ן וכן פרש"י בגמרא)</w:t>
      </w:r>
      <w:r w:rsidR="0091013A" w:rsidRPr="0091013A">
        <w:t xml:space="preserve">, </w:t>
      </w:r>
      <w:r w:rsidR="0091013A" w:rsidRPr="0091013A">
        <w:rPr>
          <w:rtl/>
        </w:rPr>
        <w:t>אם רצה הבעל לגרשה אין לה כתובה כלל, ותיטול בלאותיה הקיימים, בין מנכסים שהכניסה לבעלה ונתחייב באחריותן, בין נכסי מלוג שלא נתחיב באחריותן, ואינה נוטלת משל בעלה כלום, ואפילו מנעל שברגליה ומטפחת שבראשה שלקחם לה, פושטת ונותנת, וכל מה שנתן לה מתנה מחזרת אותו</w:t>
      </w:r>
      <w:r w:rsidR="0091013A" w:rsidRPr="0091013A">
        <w:t>.</w:t>
      </w:r>
    </w:p>
    <w:p w14:paraId="7A498B69" w14:textId="77777777" w:rsidR="0091013A" w:rsidRPr="0091013A" w:rsidRDefault="0091013A" w:rsidP="0091013A">
      <w:pPr>
        <w:pStyle w:val="Style1"/>
      </w:pPr>
      <w:r w:rsidRPr="0091013A">
        <w:rPr>
          <w:rFonts w:hint="cs"/>
          <w:rtl/>
        </w:rPr>
        <w:t>ויש אומרים דאף מנכסי צאן ברזל אינה נוטלת אלא מה שתפסה. ויש אומרים דאפילו נכסי מלוג אינה נוטלת אלא מה שתפסה (בית יוסף בשם תשובת הר"ן שכן כתב בשם הרשב"א)</w:t>
      </w:r>
      <w:r w:rsidRPr="0091013A">
        <w:t>.</w:t>
      </w:r>
    </w:p>
    <w:p w14:paraId="72763AAC" w14:textId="77777777" w:rsidR="0091013A" w:rsidRPr="0091013A" w:rsidRDefault="0091013A" w:rsidP="0091013A">
      <w:pPr>
        <w:pStyle w:val="Style1"/>
      </w:pPr>
      <w:r w:rsidRPr="0091013A">
        <w:rPr>
          <w:rtl/>
        </w:rPr>
        <w:t>ואם מרדה מתחת בעלה כדי לצערו, ואמרה: הריני מצערת אותו בכך, מפני שעשה לי כך וכך, או מפני שקללני, או מפני שעשה עמי מריבה וכיוצא בדברים אלו, שולחין לה מבית דין ואומרים לה: הוי יודעת שאם את עומדת במרדך, אפילו כתובתיך מאה מנה הפסדת אותם. ואחר כך מכריזין עליה בבתי כנסיות ובתי מדרשות, בכל יום, ארבע שבתות זו אחר זו</w:t>
      </w:r>
      <w:r w:rsidRPr="0091013A">
        <w:t>, </w:t>
      </w:r>
      <w:r w:rsidRPr="0091013A">
        <w:rPr>
          <w:rFonts w:hint="cs"/>
          <w:rtl/>
        </w:rPr>
        <w:t>ויש אומרים דאין צריך להכריז בכל יום, אלא ארבע שבתות ממש, (הר"ן והגהות מימוני, וכן משמע לשון הטור), וכן נראה לי עיקר</w:t>
      </w:r>
      <w:r w:rsidRPr="0091013A">
        <w:t xml:space="preserve">, </w:t>
      </w:r>
      <w:r w:rsidRPr="0091013A">
        <w:rPr>
          <w:rtl/>
        </w:rPr>
        <w:t>ואומרים: פלונית מרדה על בעלה. ואחר ההכרזה שולחין לה בית דין פעם שנית: אם את עומדת במרדך הפסדת כתובתיך, אם עמדה במרדה ולא חזרה, נמלכין בה ותאבד כתובתה, ולא יהיה לה כתובה כלל; ואין נותנים לה גט עד שנים עשר חודש; ואין לה מזונות כל שנים עשר חדש</w:t>
      </w:r>
      <w:r w:rsidRPr="0091013A">
        <w:t>, </w:t>
      </w:r>
      <w:r w:rsidRPr="0091013A">
        <w:rPr>
          <w:rFonts w:hint="cs"/>
          <w:rtl/>
        </w:rPr>
        <w:t>ואפילו היא מעוברת (בית יוסף בשם תשובת הרשב"א); ומעשה ידיה שלה, אבל נוטל פירות (טור)</w:t>
      </w:r>
      <w:r w:rsidRPr="0091013A">
        <w:t>.</w:t>
      </w:r>
    </w:p>
    <w:p w14:paraId="3CB5CF3F" w14:textId="77777777" w:rsidR="0091013A" w:rsidRPr="0091013A" w:rsidRDefault="0091013A" w:rsidP="0091013A">
      <w:pPr>
        <w:pStyle w:val="Style1"/>
      </w:pPr>
      <w:r w:rsidRPr="0091013A">
        <w:rPr>
          <w:rtl/>
        </w:rPr>
        <w:t>ואם מתה קודם הגט, בעלה יורשה </w:t>
      </w:r>
      <w:r w:rsidRPr="0091013A">
        <w:rPr>
          <w:rFonts w:hint="cs"/>
          <w:rtl/>
        </w:rPr>
        <w:t>וחייב בפדיונה וקבורתה (טור). ולאחר שנים עשר חודש אין לבעל עליה כלום, וכן היא עליו; מאחר שאבדה הכתובה, אין לה כל תנאי כתובה, מאחר שיוכל לגרשה בלא כתובה והוא מעכבה מרצונו (דברי הרב וכן משמע במהרי"ן סימן כ')</w:t>
      </w:r>
      <w:r w:rsidRPr="0091013A">
        <w:t xml:space="preserve">. </w:t>
      </w:r>
      <w:r w:rsidRPr="0091013A">
        <w:rPr>
          <w:rtl/>
        </w:rPr>
        <w:t>כסדר הזה עושין לה, אם מרדה כדי לצערו</w:t>
      </w:r>
      <w:r w:rsidRPr="0091013A">
        <w:t>.</w:t>
      </w:r>
    </w:p>
    <w:p w14:paraId="25DC79FB" w14:textId="77777777" w:rsidR="0091013A" w:rsidRPr="0091013A" w:rsidRDefault="0091013A" w:rsidP="0091013A">
      <w:pPr>
        <w:pStyle w:val="Style1"/>
      </w:pPr>
      <w:r w:rsidRPr="0091013A">
        <w:rPr>
          <w:rFonts w:hint="cs"/>
          <w:rtl/>
        </w:rPr>
        <w:t>ולאחר שנים עשר חודש לא מהני חזרתה, אלא איבדה כתובתה, ואם רוצה לקיימה, צריך לכתוב לה כתובה אחרת. אבל תוך שנים עשר חודש יכולה לחזור בה, ויש לה כתובה. ואם מת תוך שנים עשר חודש, יש לה כתובה מן היורשים (כל זה בהר"ן פרק אף על פי). ואם רוצה לגרשה תוך שנים עשר חדש נותן לה צאן ברזל שלה, וכתובתה וכל מה שכתב לה (בית יוסף בשם תשובת הרשב"א). ויש אומרים דבזמן הזה שאין נושאין שתי נשים, לא משהינן לה שנים עשר חדש אם רוצה לגרשה, ואם אינה רוצה, מתירין לו לישא אחרת (מרדכי סוף אף על פי בשם ראב"ן). ויש חולקין שאין להתיר לו לישא אחרת (שם בהגהת ותשובת הרשב"א סימן תת"ס ומהרי"ק שרש ס"ג), וכן עיקר. ודווקא בנשואה, אבל ארוסה המורדת על בעלה ואינה רוצה להיכנס לו, יגרשנה בעל כרחה, או ישא אחרת, ומתירין לו (שם). ונראה לי, דווקא תוך שנים עשר חודש, אבל לאחר שנים עשר חדש אם הוא רוצה לגרש צריכה לקבל ממנו בעל כרחה, או מתירין לו לישא אחרת, דאין כח ביד האשה לעגנו לעולם, וכן נראה לי (להורות). ויש אומרים דאפילו תוך שנים עשר חודש אם עבר ונשא אחרת מחמת מרידתה, אין כופין לגרש (מהרי"ק שרש כ"ט)</w:t>
      </w:r>
      <w:r w:rsidRPr="0091013A">
        <w:t>.</w:t>
      </w:r>
    </w:p>
    <w:p w14:paraId="164060B6" w14:textId="77777777" w:rsidR="0091013A" w:rsidRPr="0091013A" w:rsidRDefault="0091013A" w:rsidP="0091013A">
      <w:pPr>
        <w:pStyle w:val="Style1"/>
      </w:pPr>
      <w:r w:rsidRPr="0091013A">
        <w:rPr>
          <w:rtl/>
        </w:rPr>
        <w:t>ואפילו היתה נדה או חולה שאינה ראויה לתשמיש. ואין חילוק בין התחילה למרוד קודם חליה או אחר כך (הר"ן פרק אף על פי, וכן משמע במרדכי בשם ראבי"ה והגהות אלפסי), ויש חולקין (שם בשם מוהר"ם)</w:t>
      </w:r>
      <w:r w:rsidRPr="0091013A">
        <w:t>.</w:t>
      </w:r>
    </w:p>
    <w:p w14:paraId="3ECAE761" w14:textId="56A75765" w:rsidR="0091013A" w:rsidRDefault="0091013A" w:rsidP="0091013A">
      <w:pPr>
        <w:pStyle w:val="Style1"/>
        <w:rPr>
          <w:rtl/>
        </w:rPr>
      </w:pPr>
      <w:r w:rsidRPr="0091013A">
        <w:rPr>
          <w:rtl/>
        </w:rPr>
        <w:t>ואפילו היה בעלה מלח שעונתו לשישה חדשים, ואפילו יש לו אשה אחרת. וכן ארוסה שהגיע זמנה לינשא, ומרדה כדי לצערו ולא נישאת, הרי זו מורדת מתשמיש. ויש אומרים שגם יבמה שלא רצתה להתייבם כדי לצערו, כסדר הזה עושין לה</w:t>
      </w:r>
      <w:r w:rsidRPr="0091013A">
        <w:t>:</w:t>
      </w:r>
    </w:p>
    <w:p w14:paraId="6CD093B5" w14:textId="6157429D" w:rsidR="0047448B" w:rsidRDefault="0047448B" w:rsidP="0047448B">
      <w:pPr>
        <w:pStyle w:val="Style1"/>
        <w:rPr>
          <w:rtl/>
        </w:rPr>
      </w:pPr>
      <w:r>
        <w:rPr>
          <w:rFonts w:hint="cs"/>
          <w:rtl/>
        </w:rPr>
        <w:t>3)[</w:t>
      </w:r>
      <w:r>
        <w:rPr>
          <w:rtl/>
        </w:rPr>
        <w:t>רמב</w:t>
      </w:r>
      <w:r w:rsidR="00EC109D">
        <w:rPr>
          <w:rtl/>
        </w:rPr>
        <w:t>”ם \נשים\</w:t>
      </w:r>
      <w:r>
        <w:rPr>
          <w:rtl/>
        </w:rPr>
        <w:t xml:space="preserve"> הלכות יבום וחליצה פרק ב הלכה י</w:t>
      </w:r>
      <w:r>
        <w:rPr>
          <w:rFonts w:hint="cs"/>
          <w:rtl/>
        </w:rPr>
        <w:t xml:space="preserve">] </w:t>
      </w:r>
      <w:r>
        <w:rPr>
          <w:rtl/>
        </w:rPr>
        <w:t>יבמה הראויה ליבום שלא רצת להתיבם דינה כדין מורדת על בעלה וכופין את יבמה לחלוץ לה ותצא בלא כתובה, הניח אחיו נשים רבות כל מי שתבע היבם מהן ליבום ולא רצת היא המורדת וחולץ לה ותצא בלא כתובה ושאר צרותיה שלא נתבעו נוטלות כתובתן כשאר האלמנות.</w:t>
      </w:r>
    </w:p>
    <w:p w14:paraId="40C27F78" w14:textId="538B25AC" w:rsidR="00040749" w:rsidRPr="00040749" w:rsidRDefault="00040749" w:rsidP="00040749">
      <w:pPr>
        <w:pStyle w:val="Style1"/>
      </w:pPr>
      <w:r>
        <w:rPr>
          <w:rFonts w:hint="cs"/>
          <w:rtl/>
        </w:rPr>
        <w:t>3)[</w:t>
      </w:r>
      <w:r w:rsidR="00BF2F0F">
        <w:rPr>
          <w:rtl/>
        </w:rPr>
        <w:t>שולחן ערוך אבן העזר הלכות יבום סימן קסה סעיף א</w:t>
      </w:r>
      <w:r>
        <w:rPr>
          <w:rFonts w:hint="cs"/>
          <w:rtl/>
        </w:rPr>
        <w:t xml:space="preserve">] </w:t>
      </w:r>
      <w:r w:rsidRPr="00040749">
        <w:rPr>
          <w:rtl/>
        </w:rPr>
        <w:t>מצות יבום קודמת למצות חליצה. ואם אינה רוצה להתיבם לשום אחד מהאחים</w:t>
      </w:r>
      <w:r w:rsidRPr="00040749">
        <w:t>, </w:t>
      </w:r>
      <w:r w:rsidRPr="00040749">
        <w:rPr>
          <w:rFonts w:hint="cs"/>
          <w:rtl/>
        </w:rPr>
        <w:t>או בגדול כשרוצה ליבם</w:t>
      </w:r>
      <w:r w:rsidRPr="00040749">
        <w:t xml:space="preserve">, </w:t>
      </w:r>
      <w:r w:rsidRPr="00040749">
        <w:rPr>
          <w:rtl/>
        </w:rPr>
        <w:t>בלא טענה מספקת, דינה כמורדת. ויש אומרים שמצות חליצה קודמת</w:t>
      </w:r>
      <w:r w:rsidRPr="00040749">
        <w:t>.</w:t>
      </w:r>
    </w:p>
    <w:p w14:paraId="00A0F8A9" w14:textId="77777777" w:rsidR="00040749" w:rsidRPr="00040749" w:rsidRDefault="00040749" w:rsidP="00040749">
      <w:pPr>
        <w:pStyle w:val="Style1"/>
      </w:pPr>
      <w:r w:rsidRPr="00040749">
        <w:rPr>
          <w:rFonts w:hint="cs"/>
          <w:rtl/>
        </w:rPr>
        <w:t>הגה: ואין לה דין מורדת אם אינה רוצה להתיבם. ומכל מקום אין כופין אותו לחלץ, אלא מטעין אותו אם יכולין להטעותו, כגון שאומרים לו: חלץ על מנת שתתן לך מנה (טור בשם ר"ת והרא"ש). ודוקא אם אינו מאותן שכופין להוציא גבי בעל, כמו שנתבאר לעיל </w:t>
      </w:r>
      <w:hyperlink r:id="rId136" w:tooltip="שולחן ערוך אבן העזר קנד" w:history="1">
        <w:r w:rsidRPr="00040749">
          <w:rPr>
            <w:rStyle w:val="Hyperlink"/>
            <w:rFonts w:hint="cs"/>
            <w:color w:val="7030A0"/>
            <w:u w:val="none"/>
            <w:rtl/>
          </w:rPr>
          <w:t>סימן קנ"ד</w:t>
        </w:r>
      </w:hyperlink>
      <w:r w:rsidRPr="00040749">
        <w:rPr>
          <w:rFonts w:hint="cs"/>
        </w:rPr>
        <w:t xml:space="preserve">. </w:t>
      </w:r>
      <w:r w:rsidRPr="00040749">
        <w:rPr>
          <w:rFonts w:hint="cs"/>
          <w:rtl/>
        </w:rPr>
        <w:t>ואם שניהם רוצים ביבום, אין מניחים אותם ליבם אלא אם כן ניכר וידוע שמכוונים לשם מצוה (טור בשם ר"ת). ויש אומרים דאם יש לו אשה אחרת, שכופין אותו ומנדין אותו עד שיחלץ (טור בשם סמ"ג). ויש אומרים אפילו בלא אשה אחרת, אם אינם מכונים לשם מצוה, והיא אינה רוצה להתיבם, ואין יכולים להטעותו, כופין אותו לחלץ. והמנהג כסברא הראשונה, שאין כופין לחליצה כלל, אפילו יודעין בו שנתן עיניו בממון (מהר"ם פדוואה סימן י"ח), אלא מפשרים ביניהם כפי תקנות הקהלות, כמו שיתבאר למטה. וכל זה כשהוא אומר שרוצה להתיבם, ואפשר להתיבם שאין חשש אסור ביבומו. אבל אם אומר שאינו רוצה לא ליבם ולא לחלץ, כופין אותו (ב"י בשם ר"ת). ודוקא בבאה מחמת טענה, כדרך שנתבאר לעיל סימן קנ"ד</w:t>
      </w:r>
      <w:r w:rsidRPr="00040749">
        <w:rPr>
          <w:rFonts w:hint="cs"/>
        </w:rPr>
        <w:t xml:space="preserve"> (</w:t>
      </w:r>
      <w:hyperlink r:id="rId137" w:tooltip="תרומת הדשן/א/רכ" w:history="1">
        <w:r w:rsidRPr="00040749">
          <w:rPr>
            <w:rStyle w:val="Hyperlink"/>
            <w:rFonts w:hint="cs"/>
            <w:color w:val="7030A0"/>
            <w:u w:val="none"/>
            <w:rtl/>
          </w:rPr>
          <w:t>ת"ה סימן ר"כ</w:t>
        </w:r>
      </w:hyperlink>
      <w:r w:rsidRPr="00040749">
        <w:rPr>
          <w:rFonts w:hint="cs"/>
        </w:rPr>
        <w:t xml:space="preserve">). </w:t>
      </w:r>
      <w:r w:rsidRPr="00040749">
        <w:rPr>
          <w:rFonts w:hint="cs"/>
          <w:rtl/>
        </w:rPr>
        <w:t>מיהו, אם אפשר להטעותו ולומר לו שיקח ממון הרבה על החליצה, מטעינן לה כדי שלא נצטרך לכף (נ"י מ"כ). ויזהרו שלא ישלישו הממון ביד שליש, כי אז לא יכולין לומר לו: משטה היינו בך (מרדכי פ' החולץ). ועין לקמן </w:t>
      </w:r>
      <w:hyperlink r:id="rId138" w:anchor="%D7%A1%D7%A2%D7%99%D7%A3_%D7%A0" w:tooltip="שולחן ערוך אבן העזר קסט" w:history="1">
        <w:r w:rsidRPr="00040749">
          <w:rPr>
            <w:rStyle w:val="Hyperlink"/>
            <w:rFonts w:hint="cs"/>
            <w:color w:val="7030A0"/>
            <w:u w:val="none"/>
            <w:rtl/>
          </w:rPr>
          <w:t>סימן קס"ט סעיף נ</w:t>
        </w:r>
        <w:r w:rsidRPr="00040749">
          <w:rPr>
            <w:rStyle w:val="Hyperlink"/>
            <w:rFonts w:hint="cs"/>
            <w:color w:val="7030A0"/>
            <w:u w:val="none"/>
          </w:rPr>
          <w:t>'</w:t>
        </w:r>
      </w:hyperlink>
      <w:r w:rsidRPr="00040749">
        <w:t>:</w:t>
      </w:r>
    </w:p>
    <w:p w14:paraId="0C17F215" w14:textId="77777777" w:rsidR="00040749" w:rsidRPr="00040749" w:rsidRDefault="00040749" w:rsidP="00040749">
      <w:pPr>
        <w:pStyle w:val="Style1"/>
      </w:pPr>
    </w:p>
    <w:p w14:paraId="59329762" w14:textId="77777777" w:rsidR="0091013A" w:rsidRPr="00040749" w:rsidRDefault="0091013A" w:rsidP="00040749">
      <w:pPr>
        <w:pStyle w:val="Style1"/>
      </w:pPr>
    </w:p>
    <w:p w14:paraId="5D665C7B" w14:textId="4ACE9F14" w:rsidR="008203DF" w:rsidRPr="00040749" w:rsidRDefault="008203DF" w:rsidP="00040749">
      <w:pPr>
        <w:pStyle w:val="Style1"/>
      </w:pPr>
    </w:p>
    <w:p w14:paraId="20FFD0B4" w14:textId="40246A78" w:rsidR="003F70B6" w:rsidRPr="0091013A" w:rsidRDefault="003F70B6" w:rsidP="0091013A">
      <w:pPr>
        <w:pStyle w:val="Style1"/>
        <w:rPr>
          <w:rStyle w:val="Style1Char"/>
        </w:rPr>
      </w:pPr>
    </w:p>
    <w:p w14:paraId="456F49F7" w14:textId="77777777" w:rsidR="002C4635" w:rsidRPr="0091013A" w:rsidRDefault="002C4635" w:rsidP="0091013A">
      <w:pPr>
        <w:pStyle w:val="Style1"/>
        <w:rPr>
          <w:rStyle w:val="Style1Char"/>
          <w:rtl/>
        </w:rPr>
      </w:pPr>
    </w:p>
    <w:p w14:paraId="597569E9" w14:textId="77777777" w:rsidR="002C4635" w:rsidRPr="0091013A" w:rsidRDefault="002C4635" w:rsidP="0091013A">
      <w:pPr>
        <w:pStyle w:val="Style1"/>
        <w:rPr>
          <w:rStyle w:val="Style1Char"/>
          <w:rtl/>
        </w:rPr>
      </w:pPr>
      <w:r w:rsidRPr="0091013A">
        <w:rPr>
          <w:rStyle w:val="Style1Char"/>
          <w:rtl/>
        </w:rPr>
        <w:br w:type="page"/>
      </w:r>
    </w:p>
    <w:p w14:paraId="086D000A" w14:textId="5C08E03B" w:rsidR="002C4635" w:rsidRPr="00F24BFA" w:rsidRDefault="002C4635" w:rsidP="002C4635">
      <w:pPr>
        <w:bidi/>
        <w:rPr>
          <w:rStyle w:val="Style1Char"/>
          <w:color w:val="4472C4" w:themeColor="accent1"/>
        </w:rPr>
      </w:pPr>
      <w:r w:rsidRPr="003663A8">
        <w:rPr>
          <w:rStyle w:val="Style1Char"/>
          <w:color w:val="00B050"/>
          <w:sz w:val="22"/>
          <w:szCs w:val="22"/>
          <w:highlight w:val="yellow"/>
          <w:rtl/>
        </w:rPr>
        <w:lastRenderedPageBreak/>
        <w:t>[דף סג עמוד ב]</w:t>
      </w:r>
      <w:r w:rsidRPr="003663A8">
        <w:rPr>
          <w:rStyle w:val="Style1Char"/>
          <w:color w:val="00B050"/>
          <w:sz w:val="22"/>
          <w:szCs w:val="22"/>
          <w:rtl/>
        </w:rPr>
        <w:t xml:space="preserve"> </w:t>
      </w:r>
      <w:r w:rsidRPr="005F123E">
        <w:rPr>
          <w:rStyle w:val="Style1Char"/>
          <w:color w:val="00B050"/>
          <w:rtl/>
        </w:rPr>
        <w:t xml:space="preserve">אלא למאן דאמר ממלאכה, חולה בת מלאכה היא? אלא, מתשמיש - כולי עלמא לא פליגי דהויא מורדת, כי פליגי - ממלאכה, מר סבר: </w:t>
      </w:r>
      <w:r w:rsidR="00AA175C">
        <w:rPr>
          <w:rStyle w:val="Style1Char"/>
          <w:rFonts w:hint="cs"/>
          <w:rtl/>
        </w:rPr>
        <w:t>(1)</w:t>
      </w:r>
      <w:r w:rsidRPr="005F123E">
        <w:rPr>
          <w:rStyle w:val="Style1Char"/>
          <w:color w:val="00B050"/>
          <w:rtl/>
        </w:rPr>
        <w:t xml:space="preserve">ממלאכה לא הויא מורדת, ומר סבר: ממלאכה נמי הויא מורדת. גופא: </w:t>
      </w:r>
      <w:r w:rsidRPr="00087A53">
        <w:rPr>
          <w:rStyle w:val="Style1Char"/>
          <w:color w:val="auto"/>
          <w:sz w:val="22"/>
          <w:szCs w:val="22"/>
          <w:rtl/>
        </w:rPr>
        <w:t xml:space="preserve">המורדת על בעלה - פוחתין לה מכתובתה שבעה דינרים בשבת, רבי יהודה אומר: שבעה טרפעיקין. רבותינו חזרו ונמנו, </w:t>
      </w:r>
      <w:r w:rsidR="00D10C24">
        <w:rPr>
          <w:rStyle w:val="Style1Char"/>
          <w:rFonts w:hint="cs"/>
          <w:rtl/>
        </w:rPr>
        <w:t>(2)</w:t>
      </w:r>
      <w:r w:rsidRPr="00087A53">
        <w:rPr>
          <w:rStyle w:val="Style1Char"/>
          <w:color w:val="auto"/>
          <w:sz w:val="22"/>
          <w:szCs w:val="22"/>
          <w:rtl/>
        </w:rPr>
        <w:t>שיהו מכריזין עליה ארבע שבתות זו אחר זו, ושולחין לה ב"ד: הוי יודעת, שאפי' כתובתיך מאה מנה הפסדת. אחת לי ארוסה ונשואה, אפילו נדה, אפי' חולה, ואפי' שומרת יבם. אמר ליה ר' חייא בר יוסף לשמואל: נדה בת תשמיש היא? אמר ליה: אינו דומה מי שיש לו פת בסלו למי שאין לו פת בסלו</w:t>
      </w:r>
      <w:r w:rsidRPr="00CF4FB8">
        <w:rPr>
          <w:rStyle w:val="Style1Char"/>
          <w:color w:val="4472C4" w:themeColor="accent1"/>
          <w:rtl/>
        </w:rPr>
        <w:t xml:space="preserve"> </w:t>
      </w:r>
      <w:r w:rsidRPr="00F24BFA">
        <w:rPr>
          <w:rStyle w:val="Style1Char"/>
          <w:color w:val="4472C4" w:themeColor="accent1"/>
          <w:rtl/>
        </w:rPr>
        <w:t xml:space="preserve">ואפי' נדה. ירושלמי במה אנו קיימין אי כשמרדה כשהיא נדה (מן התורה) המרידתה עליו אלא כך אנו קיימין שמרדה עליו עד שלא באתה לנדה ובאתה לנדה אז פוחתין אף בימי נדותה לפי שאין לו פת בסלו וכן חולה אם יכולה לסובלו אף בחוליה הויא מורדת ואם אינה יכולה לסבול צריך שיתחיל המרד בימי הבריאות. </w:t>
      </w:r>
      <w:r>
        <w:rPr>
          <w:rStyle w:val="Style1Char"/>
          <w:rFonts w:hint="cs"/>
          <w:color w:val="4472C4" w:themeColor="accent1"/>
        </w:rPr>
        <w:t>‍</w:t>
      </w:r>
      <w:r w:rsidRPr="00F24BFA">
        <w:rPr>
          <w:rStyle w:val="Style1Char"/>
          <w:color w:val="4472C4" w:themeColor="accent1"/>
          <w:rtl/>
        </w:rPr>
        <w:t>והאי דפריך נדה בת תשמיש היא פירוש למה עולין ימי נדותה לארבעה שבתות של הכרוז ופירוש זה דחוק הוא דכיון שהתחיל המרד קודם הנדות והכריזו בב"ד למה יפסיד ההכרזה בימי נדותה כיון שאם תחזור בה לא הפסידה כלום ונראה כדברי המפרשים בגמרא דידן דחשיב לנדה פת בסלו ופליג אירושלמי ואף בימי נדותה חשיב מרד כיון דאין לו פת בסלו מידי דהוה אגמל ואספן שהדירו נשותיהן יותר משבת אחת יוציא ויתן כתובה לפי שאין לו פת בסלו</w:t>
      </w:r>
      <w:r w:rsidRPr="00F24BFA">
        <w:rPr>
          <w:rStyle w:val="Style1Char"/>
          <w:color w:val="4472C4" w:themeColor="accent1"/>
        </w:rPr>
        <w:t>:</w:t>
      </w:r>
    </w:p>
    <w:p w14:paraId="58A744CA" w14:textId="4CD2B113" w:rsidR="002C4635" w:rsidRDefault="002C4635" w:rsidP="002C4635">
      <w:pPr>
        <w:bidi/>
        <w:rPr>
          <w:rStyle w:val="Style1Char"/>
          <w:color w:val="auto"/>
          <w:sz w:val="22"/>
          <w:szCs w:val="22"/>
          <w:rtl/>
        </w:rPr>
      </w:pPr>
      <w:r w:rsidRPr="00087A53">
        <w:rPr>
          <w:rStyle w:val="Style1Char"/>
          <w:color w:val="auto"/>
          <w:sz w:val="22"/>
          <w:szCs w:val="22"/>
          <w:rtl/>
        </w:rPr>
        <w:t xml:space="preserve">. אמר רמי בר </w:t>
      </w:r>
      <w:r w:rsidRPr="00CF4FB8">
        <w:rPr>
          <w:rStyle w:val="Style1Char"/>
          <w:color w:val="ED7D31" w:themeColor="accent2"/>
          <w:rtl/>
        </w:rPr>
        <w:t xml:space="preserve">חמא </w:t>
      </w:r>
      <w:r w:rsidRPr="00DF4807">
        <w:rPr>
          <w:rStyle w:val="Style1Char"/>
          <w:color w:val="C00000"/>
          <w:sz w:val="22"/>
          <w:szCs w:val="22"/>
          <w:rtl/>
        </w:rPr>
        <w:t>אבא</w:t>
      </w:r>
      <w:r w:rsidRPr="005F123E">
        <w:rPr>
          <w:rStyle w:val="Style1Char"/>
          <w:color w:val="00B050"/>
          <w:rtl/>
        </w:rPr>
        <w:t xml:space="preserve">: </w:t>
      </w:r>
      <w:r w:rsidRPr="00F24BFA">
        <w:rPr>
          <w:rStyle w:val="Style1Char"/>
          <w:color w:val="4472C4" w:themeColor="accent1"/>
          <w:rtl/>
        </w:rPr>
        <w:t xml:space="preserve">כשמכריזין עליה </w:t>
      </w:r>
      <w:r w:rsidR="00D74ACF">
        <w:rPr>
          <w:rStyle w:val="Style1Char"/>
          <w:rFonts w:hint="cs"/>
          <w:rtl/>
        </w:rPr>
        <w:t>(2)</w:t>
      </w:r>
      <w:r w:rsidRPr="000710A8">
        <w:rPr>
          <w:rStyle w:val="Style1Char"/>
          <w:color w:val="auto"/>
          <w:sz w:val="22"/>
          <w:szCs w:val="22"/>
          <w:rtl/>
        </w:rPr>
        <w:t>אין מכריזין עליה אלא בבתי כנסיות ובבתי מדרשות</w:t>
      </w:r>
      <w:r w:rsidRPr="00DF4807">
        <w:rPr>
          <w:rStyle w:val="Style1Char"/>
          <w:sz w:val="22"/>
          <w:szCs w:val="22"/>
          <w:rtl/>
        </w:rPr>
        <w:t xml:space="preserve">. </w:t>
      </w:r>
      <w:r w:rsidRPr="005F123E">
        <w:rPr>
          <w:rStyle w:val="Style1Char"/>
          <w:color w:val="00B050"/>
          <w:rtl/>
        </w:rPr>
        <w:t xml:space="preserve">אמר רבא: דיקא נמי, דקתני: ארבע שבתות זו אחר זו, ש"מ. </w:t>
      </w:r>
      <w:r w:rsidRPr="000710A8">
        <w:rPr>
          <w:rStyle w:val="Style1Char"/>
          <w:color w:val="auto"/>
          <w:sz w:val="22"/>
          <w:szCs w:val="22"/>
          <w:rtl/>
        </w:rPr>
        <w:t xml:space="preserve">אמר רמי בר </w:t>
      </w:r>
      <w:r w:rsidRPr="000710A8">
        <w:rPr>
          <w:rStyle w:val="Style1Char"/>
          <w:color w:val="ED7D31" w:themeColor="accent2"/>
          <w:rtl/>
        </w:rPr>
        <w:t xml:space="preserve">חמא </w:t>
      </w:r>
      <w:r w:rsidRPr="0052513A">
        <w:rPr>
          <w:rStyle w:val="Style1Char"/>
          <w:color w:val="C00000"/>
          <w:sz w:val="22"/>
          <w:szCs w:val="22"/>
          <w:rtl/>
        </w:rPr>
        <w:t>אבא</w:t>
      </w:r>
      <w:r w:rsidRPr="005F123E">
        <w:rPr>
          <w:rStyle w:val="Style1Char"/>
          <w:color w:val="00B050"/>
          <w:rtl/>
        </w:rPr>
        <w:t xml:space="preserve">: </w:t>
      </w:r>
      <w:r w:rsidR="00BB7539">
        <w:rPr>
          <w:rStyle w:val="Style1Char"/>
          <w:rFonts w:hint="cs"/>
          <w:rtl/>
        </w:rPr>
        <w:t>(2)</w:t>
      </w:r>
      <w:r w:rsidRPr="000710A8">
        <w:rPr>
          <w:rStyle w:val="Style1Char"/>
          <w:color w:val="auto"/>
          <w:sz w:val="22"/>
          <w:szCs w:val="22"/>
          <w:rtl/>
        </w:rPr>
        <w:t>פעמ</w:t>
      </w:r>
      <w:r>
        <w:rPr>
          <w:rStyle w:val="Style1Char"/>
          <w:rFonts w:hint="cs"/>
          <w:color w:val="auto"/>
          <w:sz w:val="22"/>
          <w:szCs w:val="22"/>
          <w:rtl/>
        </w:rPr>
        <w:t>י</w:t>
      </w:r>
      <w:r w:rsidRPr="000710A8">
        <w:rPr>
          <w:rStyle w:val="Style1Char"/>
          <w:color w:val="auto"/>
          <w:sz w:val="22"/>
          <w:szCs w:val="22"/>
          <w:rtl/>
        </w:rPr>
        <w:t>ים שולחין לה מבית דין, אחת קודם הכרזה ואחת לאחר הכרזה</w:t>
      </w:r>
      <w:r w:rsidRPr="007766A0">
        <w:rPr>
          <w:rStyle w:val="Style1Char"/>
          <w:color w:val="4472C4" w:themeColor="accent1"/>
          <w:rtl/>
        </w:rPr>
        <w:t xml:space="preserve"> </w:t>
      </w:r>
      <w:r w:rsidRPr="00F24BFA">
        <w:rPr>
          <w:rStyle w:val="Style1Char"/>
          <w:color w:val="4472C4" w:themeColor="accent1"/>
          <w:rtl/>
        </w:rPr>
        <w:t>פי' ר"ת דרמי בר חמא בא להוסיף על רבותינו דשליחות דקודם הכרזה לא מתניא בברייתא והוא אומר דקודם הכרזה נמי שולחים לה דטוב הוא להודיע קודם שיכלימוה אולי תחזור בה</w:t>
      </w:r>
      <w:r w:rsidRPr="00F24BFA">
        <w:rPr>
          <w:rStyle w:val="Style1Char"/>
          <w:color w:val="4472C4" w:themeColor="accent1"/>
        </w:rPr>
        <w:t>:</w:t>
      </w:r>
      <w:r w:rsidRPr="000710A8">
        <w:rPr>
          <w:rStyle w:val="Style1Char"/>
          <w:color w:val="auto"/>
          <w:sz w:val="22"/>
          <w:szCs w:val="22"/>
          <w:rtl/>
        </w:rPr>
        <w:t>. דרש רב נחמן בר רב חסדא: הלכה כרבותינו</w:t>
      </w:r>
      <w:r w:rsidRPr="00AA3ED4">
        <w:rPr>
          <w:rStyle w:val="Style1Char"/>
          <w:color w:val="4472C4" w:themeColor="accent1"/>
          <w:rtl/>
        </w:rPr>
        <w:t xml:space="preserve"> </w:t>
      </w:r>
      <w:r w:rsidRPr="00F24BFA">
        <w:rPr>
          <w:rStyle w:val="Style1Char"/>
          <w:color w:val="4472C4" w:themeColor="accent1"/>
          <w:rtl/>
        </w:rPr>
        <w:t>שלא הצריכו שליחות קודם ופליג אדרמי בר חמא.</w:t>
      </w:r>
      <w:r w:rsidRPr="005F123E">
        <w:rPr>
          <w:rStyle w:val="Style1Char"/>
          <w:color w:val="00B050"/>
          <w:rtl/>
        </w:rPr>
        <w:t>. אמר רבא: האי בורכא! אמר ליה רב נחמן בר יצחק: מאי בורכתיה? אנא אמריתה ניהליה, ומשמיה דגברא רבה אמריתה ניהליה, ומנו? רבי יוסי בר' חנינא</w:t>
      </w:r>
      <w:r w:rsidRPr="005462F9">
        <w:rPr>
          <w:rStyle w:val="Style1Char"/>
          <w:color w:val="4472C4" w:themeColor="accent1"/>
          <w:rtl/>
        </w:rPr>
        <w:t xml:space="preserve"> </w:t>
      </w:r>
      <w:r w:rsidRPr="00F24BFA">
        <w:rPr>
          <w:rStyle w:val="Style1Char"/>
          <w:color w:val="4472C4" w:themeColor="accent1"/>
          <w:rtl/>
        </w:rPr>
        <w:t>אמר רבינא האי בורכתא אלא הלכה כרמי בר חמא</w:t>
      </w:r>
      <w:r w:rsidRPr="005F123E">
        <w:rPr>
          <w:rStyle w:val="Style1Char"/>
          <w:color w:val="00B050"/>
          <w:rtl/>
        </w:rPr>
        <w:t xml:space="preserve">. </w:t>
      </w:r>
      <w:r w:rsidRPr="00E301EE">
        <w:rPr>
          <w:rStyle w:val="Style1Char"/>
          <w:color w:val="ED7D31" w:themeColor="accent2"/>
          <w:rtl/>
        </w:rPr>
        <w:t>ואיהו כמאן סבר? כי הא דאתמר רבא</w:t>
      </w:r>
      <w:r w:rsidR="00884463" w:rsidRPr="00884463">
        <w:rPr>
          <w:rStyle w:val="BalloonTextChar"/>
          <w:sz w:val="22"/>
          <w:szCs w:val="22"/>
          <w:rtl/>
        </w:rPr>
        <w:t xml:space="preserve"> </w:t>
      </w:r>
      <w:r w:rsidR="00884463" w:rsidRPr="00884463">
        <w:rPr>
          <w:rStyle w:val="Style1Char"/>
          <w:color w:val="C00000"/>
          <w:sz w:val="22"/>
          <w:szCs w:val="22"/>
          <w:rtl/>
        </w:rPr>
        <w:t>רב הונא בר יהודה</w:t>
      </w:r>
      <w:r w:rsidRPr="00884463">
        <w:rPr>
          <w:rStyle w:val="Style1Char"/>
          <w:color w:val="C00000"/>
          <w:rtl/>
        </w:rPr>
        <w:t xml:space="preserve"> </w:t>
      </w:r>
      <w:r w:rsidRPr="00123E5E">
        <w:rPr>
          <w:rStyle w:val="Style1Char"/>
          <w:color w:val="auto"/>
          <w:sz w:val="22"/>
          <w:szCs w:val="22"/>
          <w:rtl/>
        </w:rPr>
        <w:t xml:space="preserve">אמר רב ששת, </w:t>
      </w:r>
      <w:r w:rsidR="00884463">
        <w:rPr>
          <w:rStyle w:val="Style1Char"/>
          <w:rFonts w:hint="cs"/>
          <w:rtl/>
        </w:rPr>
        <w:t>(2)</w:t>
      </w:r>
      <w:r w:rsidRPr="00123E5E">
        <w:rPr>
          <w:rStyle w:val="Style1Char"/>
          <w:color w:val="auto"/>
          <w:sz w:val="22"/>
          <w:szCs w:val="22"/>
          <w:rtl/>
        </w:rPr>
        <w:t xml:space="preserve">הלכה נמלכין בה; </w:t>
      </w:r>
      <w:r w:rsidRPr="00884463">
        <w:rPr>
          <w:rStyle w:val="Style1Char"/>
          <w:color w:val="00B050"/>
          <w:rtl/>
        </w:rPr>
        <w:t>רב הונא בר יהודה אמר רב ששת, הלכה: אין נמלכין בה</w:t>
      </w:r>
      <w:r w:rsidRPr="00884463">
        <w:rPr>
          <w:rStyle w:val="Style1Char"/>
          <w:color w:val="00B050"/>
          <w:sz w:val="10"/>
          <w:szCs w:val="10"/>
          <w:rtl/>
        </w:rPr>
        <w:t xml:space="preserve"> </w:t>
      </w:r>
      <w:r w:rsidRPr="00F24BFA">
        <w:rPr>
          <w:rStyle w:val="Style1Char"/>
          <w:color w:val="4472C4" w:themeColor="accent1"/>
          <w:rtl/>
        </w:rPr>
        <w:t>ה"ג בספרים ישנים ובה"ג. ולא קאי אדרב נחמן בר רב חסדא ואדרב נחמן בר רב יצחק שהרי אמרה רב נחמן משמיה דרבי יוסי בר' חנינא</w:t>
      </w:r>
      <w:r>
        <w:rPr>
          <w:rStyle w:val="Style1Char"/>
          <w:rFonts w:hint="cs"/>
          <w:color w:val="4472C4" w:themeColor="accent1"/>
        </w:rPr>
        <w:t>‍</w:t>
      </w:r>
      <w:r w:rsidRPr="00F24BFA">
        <w:rPr>
          <w:rStyle w:val="Style1Char"/>
          <w:color w:val="4472C4" w:themeColor="accent1"/>
          <w:rtl/>
        </w:rPr>
        <w:t xml:space="preserve"> שהיה גדול יותר מרב ששת אלא ארמי בר חמא ורבא ומייתי להו ראיה מרב ששת דאמר נמלכין בה פי' קודם הכרזה. וכן פי' רב שרירא גאון. ופסק ר"ת אף על גב דדרש רב נחמן בר רב חסדא הלכה כרבותינו מ"מ הלכה כרבא שאמר משמיה דרב ששת נמלכין בה דרבא ורמי בר חמא דאינון בתראי קיימי כוותיה ורש"י פי' בענין אחר ופירוש ר"ת עיקר</w:t>
      </w:r>
      <w:r w:rsidRPr="00732B5A">
        <w:rPr>
          <w:rStyle w:val="Style1Char"/>
          <w:color w:val="auto"/>
        </w:rPr>
        <w:t>:</w:t>
      </w:r>
      <w:r w:rsidRPr="00732B5A">
        <w:rPr>
          <w:rStyle w:val="Style1Char"/>
          <w:color w:val="auto"/>
          <w:sz w:val="22"/>
          <w:szCs w:val="22"/>
          <w:rtl/>
        </w:rPr>
        <w:t xml:space="preserve">. היכי דמיא מורדת? אמר אמימר: </w:t>
      </w:r>
      <w:r w:rsidR="002024D2">
        <w:rPr>
          <w:rStyle w:val="Style1Char"/>
          <w:rFonts w:hint="cs"/>
          <w:rtl/>
        </w:rPr>
        <w:t>(2)</w:t>
      </w:r>
      <w:r w:rsidR="002024D2" w:rsidRPr="00732B5A">
        <w:rPr>
          <w:rStyle w:val="Style1Char"/>
          <w:color w:val="auto"/>
          <w:sz w:val="22"/>
          <w:szCs w:val="22"/>
          <w:rtl/>
        </w:rPr>
        <w:t xml:space="preserve"> </w:t>
      </w:r>
      <w:r w:rsidRPr="00732B5A">
        <w:rPr>
          <w:rStyle w:val="Style1Char"/>
          <w:color w:val="auto"/>
          <w:sz w:val="22"/>
          <w:szCs w:val="22"/>
          <w:rtl/>
        </w:rPr>
        <w:t>דאמרה בעינא ליה ומצערנא ליה</w:t>
      </w:r>
      <w:r w:rsidRPr="00732B5A">
        <w:rPr>
          <w:rStyle w:val="Style1Char"/>
          <w:color w:val="4472C4" w:themeColor="accent1"/>
          <w:rtl/>
        </w:rPr>
        <w:t xml:space="preserve"> </w:t>
      </w:r>
      <w:r w:rsidRPr="00F24BFA">
        <w:rPr>
          <w:rStyle w:val="Style1Char"/>
          <w:color w:val="4472C4" w:themeColor="accent1"/>
          <w:rtl/>
        </w:rPr>
        <w:t>אז ודאי כייפינן לה עד שתפחות כל כתובתה וזו היא כפייתה שתתעגן כי הבעל לא יגרשנה עד כלות כתובתה ולרבותינו להכלימה בהכרזה ד' שבתות דכיון דאמרה בעינא ליה משהינן לה אולי תחזור בה</w:t>
      </w:r>
      <w:r w:rsidRPr="00732B5A">
        <w:rPr>
          <w:rStyle w:val="Style1Char"/>
          <w:color w:val="auto"/>
          <w:sz w:val="22"/>
          <w:szCs w:val="22"/>
          <w:rtl/>
        </w:rPr>
        <w:t xml:space="preserve">, </w:t>
      </w:r>
      <w:r w:rsidR="002024D2">
        <w:rPr>
          <w:rStyle w:val="Style1Char"/>
          <w:rFonts w:hint="cs"/>
          <w:rtl/>
        </w:rPr>
        <w:t>(2)</w:t>
      </w:r>
      <w:r w:rsidR="002024D2" w:rsidRPr="00732B5A">
        <w:rPr>
          <w:rStyle w:val="Style1Char"/>
          <w:color w:val="auto"/>
          <w:sz w:val="22"/>
          <w:szCs w:val="22"/>
          <w:rtl/>
        </w:rPr>
        <w:t xml:space="preserve"> </w:t>
      </w:r>
      <w:r w:rsidRPr="00732B5A">
        <w:rPr>
          <w:rStyle w:val="Style1Char"/>
          <w:color w:val="auto"/>
          <w:sz w:val="22"/>
          <w:szCs w:val="22"/>
          <w:rtl/>
        </w:rPr>
        <w:t xml:space="preserve">אבל אמרה מאיס עלי </w:t>
      </w:r>
      <w:r w:rsidRPr="00F24BFA">
        <w:rPr>
          <w:rStyle w:val="Style1Char"/>
          <w:color w:val="4472C4" w:themeColor="accent1"/>
          <w:rtl/>
        </w:rPr>
        <w:t xml:space="preserve">לא הוא ולא כתובתו בעינא ודאי לא תחזור בה </w:t>
      </w:r>
      <w:r w:rsidRPr="00732B5A">
        <w:rPr>
          <w:rStyle w:val="Style1Char"/>
          <w:color w:val="auto"/>
          <w:sz w:val="22"/>
          <w:szCs w:val="22"/>
          <w:rtl/>
        </w:rPr>
        <w:t>- לא כייפינן לה</w:t>
      </w:r>
      <w:r w:rsidRPr="00E02CCA">
        <w:rPr>
          <w:rStyle w:val="Style1Char"/>
          <w:color w:val="4472C4" w:themeColor="accent1"/>
          <w:rtl/>
        </w:rPr>
        <w:t xml:space="preserve"> </w:t>
      </w:r>
      <w:r w:rsidRPr="00F24BFA">
        <w:rPr>
          <w:rStyle w:val="Style1Char"/>
          <w:color w:val="4472C4" w:themeColor="accent1"/>
          <w:rtl/>
        </w:rPr>
        <w:t>אלא יגרשנה מיד בע"כ. וכן כתב הרמב"ם ז"ל (פי"ד מהל' אישות הל' ח') דבמאיס עלי כופין אותו להוציא דאינה כשבויה שתבעל לשנאוי לה. ואין נראה לר"ת דהא אמרינן בפרק בתרא דנדרים (דף צ ב) בראשונה היו אומרים שלש נשים יוצאות ונוטלות כתובה האומרת טמאה אני וכו' חזרו לומר שמא נתנה עיניה באחר ומקלקלת על בעלה ועוד אמרינן בפרק המגרש (דף פח ב) דגט מעושה אפי' בדין פסול ע"י עובדי כוכבים משום שלא תהא כל אחת תולה עצמה בעובד כוכבים ומפקעת עצמה מיד בעלה ואי מאיס עלי כייפינן ליה להוציא א"כ כל אשה שתתן עיניה באחר תאמר מאיס עלי. ויש דוחין דדוקא היכא דיוצאת ונוטלת כתובתה חיישינן דנתנה עיניה באחר</w:t>
      </w:r>
      <w:r>
        <w:rPr>
          <w:rStyle w:val="Style1Char"/>
          <w:rFonts w:hint="cs"/>
          <w:color w:val="4472C4" w:themeColor="accent1"/>
        </w:rPr>
        <w:t>‍</w:t>
      </w:r>
      <w:r w:rsidRPr="00F24BFA">
        <w:rPr>
          <w:rStyle w:val="Style1Char"/>
          <w:color w:val="4472C4" w:themeColor="accent1"/>
          <w:rtl/>
        </w:rPr>
        <w:t xml:space="preserve"> ולאו דחויא הוא דאם נתנה עיניה באחר אינה חוששת על מנה ומאתים שלו כי תתן עיניה בבעל ממון. וחזינא במשנה כי אמרה טמאה אני לך ונטולה אני מן היהודים כופין אותה להיות תחתיו ומשמשתו אף על גב דלפי דבריה אסורה לו משום דחשו שמא שמא נתנה עיניה באחר כ"ש הכא דבשביל מעט ממון של כתובה שהיא מפסדת לא תניח מליתן עיניה. ועוד ראיה מההיא דנדרים (דף צא א) ההוא גברא דהוה מהרזיק בביתא הוא ואיתתא אתא מריה דביתא פרטיה נואף להוצא וערק אמר רבא איתתא שריא דאם איתא דעבד איסורא אירכוסי הוה אירכס והשתא מה צריך רבא להך טעמא פשיטא דאין האשה נאסרת על בעלה בסתירה בלא קנוי אלא ודאי מיירי כשאמרה האשה שנבעלה ומסתמא ברצון הוה ובאשת ישראל מדהוו מהרזקי יחד בביתא ולהכי מייתי הך עובדא התם אמתני' דהאומרת טמאה אני לך דחיישינן שמא נתנה עיניה באחר וזו האשה לא היה לה כתובה לפי דבריה כיון שהיא אומרת ברצון נבעלה</w:t>
      </w:r>
      <w:r>
        <w:rPr>
          <w:rStyle w:val="Style1Char"/>
          <w:rFonts w:hint="cs"/>
          <w:color w:val="4472C4" w:themeColor="accent1"/>
        </w:rPr>
        <w:t>‍</w:t>
      </w:r>
      <w:r w:rsidRPr="00F24BFA">
        <w:rPr>
          <w:rStyle w:val="Style1Char"/>
          <w:color w:val="4472C4" w:themeColor="accent1"/>
          <w:rtl/>
        </w:rPr>
        <w:t xml:space="preserve"> והשתא מה הועילו במאי דאמר איתתא שריא ולא תפקיע עצמה מבעלה במה שניאפה והא מצי למימר מאיס עלי ורבינו תם פי' היכי דמיא מורדת כגון האומרת בעינא ליה ומצערנא ליה פי' בעינא ליה אם לא יגרשני ויתן לי כתובתי ומצערנא ליה עד כלות כתובתי והתוספת בשבעה דינרין בשבת וזימנין דבחמש ושש שנים לא יכלו וכל זמן דאגידא ביה לא יהבו ליה איתתא אחריתי אבל אם אמרה מאיס עלי [ולא בעינא] לא הוא ולא כתובתי אבל אני מוחלת הכל לא הויא כמחילה בטעות ולא כייפינן להשהותה אולי תחזור בה ויכול לגרשה בלא כתובה ומחילתה מחילה.</w:t>
      </w:r>
      <w:r w:rsidRPr="00732B5A">
        <w:rPr>
          <w:rStyle w:val="Style1Char"/>
          <w:color w:val="auto"/>
          <w:sz w:val="22"/>
          <w:szCs w:val="22"/>
          <w:rtl/>
        </w:rPr>
        <w:t>. מר זוטרא אמר: כייפינן לה</w:t>
      </w:r>
      <w:r w:rsidRPr="00E60EE7">
        <w:rPr>
          <w:rStyle w:val="Style1Char"/>
          <w:color w:val="4472C4" w:themeColor="accent1"/>
          <w:rtl/>
        </w:rPr>
        <w:t xml:space="preserve"> </w:t>
      </w:r>
      <w:r w:rsidRPr="00F24BFA">
        <w:rPr>
          <w:rStyle w:val="Style1Char"/>
          <w:color w:val="4472C4" w:themeColor="accent1"/>
          <w:rtl/>
        </w:rPr>
        <w:t>פי' כופין אותה שתשהה אולי תחזור בה כדין ובעינא ליה ומצערנא ליה וכיון דמחמת מרד מוחלת לא הויא מחילה ואם רצה לגרשה יתן לה כתובתה ואם אינו רוצה תשהה עד כלות כתובתה</w:t>
      </w:r>
      <w:r w:rsidRPr="00732B5A">
        <w:rPr>
          <w:rStyle w:val="Style1Char"/>
          <w:color w:val="auto"/>
          <w:sz w:val="22"/>
          <w:szCs w:val="22"/>
          <w:rtl/>
        </w:rPr>
        <w:t>. הוה עובדא ואכפה מר זוטרא, ונפק מיניה רבי חנינא מסורא. ולא היא, התם סייעתא דשמיא הוה</w:t>
      </w:r>
      <w:r w:rsidRPr="00C55204">
        <w:rPr>
          <w:rStyle w:val="Style1Char"/>
          <w:color w:val="4472C4" w:themeColor="accent1"/>
          <w:rtl/>
        </w:rPr>
        <w:t xml:space="preserve"> </w:t>
      </w:r>
      <w:r w:rsidRPr="00F24BFA">
        <w:rPr>
          <w:rStyle w:val="Style1Char"/>
          <w:color w:val="4472C4" w:themeColor="accent1"/>
          <w:rtl/>
        </w:rPr>
        <w:t>ומאיס עלי לא הוה מורדת</w:t>
      </w:r>
      <w:r w:rsidRPr="00732B5A">
        <w:rPr>
          <w:rStyle w:val="Style1Char"/>
          <w:color w:val="auto"/>
          <w:sz w:val="22"/>
          <w:szCs w:val="22"/>
          <w:rtl/>
        </w:rPr>
        <w:t>. כלתיה דרב זביד אימרדא</w:t>
      </w:r>
      <w:r w:rsidRPr="00C55204">
        <w:rPr>
          <w:rStyle w:val="Style1Char"/>
          <w:color w:val="4472C4" w:themeColor="accent1"/>
          <w:rtl/>
        </w:rPr>
        <w:t xml:space="preserve"> </w:t>
      </w:r>
      <w:r w:rsidRPr="00F24BFA">
        <w:rPr>
          <w:rStyle w:val="Style1Char"/>
          <w:color w:val="4472C4" w:themeColor="accent1"/>
          <w:rtl/>
        </w:rPr>
        <w:t>פי' דאמרה מאיס עלי מדמייתי עלה שהפסידה בלאותיה דמשמע לאלתר דאילו במרד דבעינא ליה ומצערנא ליה לא שייך בה למימר הפסידה בלאותיה מיד דהא אית לה כתובה כל זמן שלא כלתה והכריזו עליה</w:t>
      </w:r>
      <w:r w:rsidRPr="00732B5A">
        <w:rPr>
          <w:rStyle w:val="Style1Char"/>
          <w:color w:val="auto"/>
          <w:sz w:val="22"/>
          <w:szCs w:val="22"/>
          <w:rtl/>
        </w:rPr>
        <w:t>, הוה תפיסא חד שירא, יתיב אמימר ומר זוטרא ורב אשי ויתיב רב גמדא גבייהו, יתבי וקאמרי: מרדה - הפסידה בלאותיה קיימין</w:t>
      </w:r>
      <w:r w:rsidRPr="00211917">
        <w:rPr>
          <w:rStyle w:val="Style1Char"/>
          <w:color w:val="4472C4" w:themeColor="accent1"/>
          <w:rtl/>
        </w:rPr>
        <w:t xml:space="preserve"> </w:t>
      </w:r>
      <w:r w:rsidRPr="00F24BFA">
        <w:rPr>
          <w:rStyle w:val="Style1Char"/>
          <w:color w:val="4472C4" w:themeColor="accent1"/>
          <w:rtl/>
        </w:rPr>
        <w:t>ובעי לאפוקי מינה חד שיראי דהוה תפסה</w:t>
      </w:r>
      <w:r w:rsidRPr="00732B5A">
        <w:rPr>
          <w:rStyle w:val="Style1Char"/>
          <w:color w:val="auto"/>
          <w:sz w:val="22"/>
          <w:szCs w:val="22"/>
          <w:rtl/>
        </w:rPr>
        <w:t>. אמר להו רב גמדא: משום דרב זביד גברא רבה מחניפיתו ליה? והאמר רב כהנא: מיבעיא בעי רבא ולא פשיט</w:t>
      </w:r>
      <w:r w:rsidRPr="00BB5763">
        <w:rPr>
          <w:rStyle w:val="Style1Char"/>
          <w:color w:val="C00000"/>
          <w:rtl/>
        </w:rPr>
        <w:t xml:space="preserve"> </w:t>
      </w:r>
      <w:r w:rsidRPr="00181F0E">
        <w:rPr>
          <w:rStyle w:val="Style1Char"/>
          <w:color w:val="C00000"/>
          <w:rtl/>
        </w:rPr>
        <w:t>פירוש בלאותיה בלאות נדונייתא</w:t>
      </w:r>
      <w:r w:rsidRPr="00BB5763">
        <w:rPr>
          <w:rStyle w:val="Style1Char"/>
          <w:sz w:val="22"/>
          <w:szCs w:val="22"/>
          <w:rtl/>
        </w:rPr>
        <w:t xml:space="preserve">. </w:t>
      </w:r>
      <w:r w:rsidRPr="005802CE">
        <w:rPr>
          <w:rStyle w:val="Style1Char"/>
          <w:color w:val="auto"/>
          <w:sz w:val="22"/>
          <w:szCs w:val="22"/>
          <w:rtl/>
        </w:rPr>
        <w:t xml:space="preserve">איכא דאמרי, יתבי וקאמרי: </w:t>
      </w:r>
      <w:r w:rsidR="00891781">
        <w:rPr>
          <w:rStyle w:val="Style1Char"/>
          <w:rFonts w:hint="cs"/>
          <w:rtl/>
        </w:rPr>
        <w:t>(2)</w:t>
      </w:r>
      <w:r w:rsidR="00891781" w:rsidRPr="005802CE">
        <w:rPr>
          <w:rStyle w:val="Style1Char"/>
          <w:color w:val="auto"/>
          <w:sz w:val="22"/>
          <w:szCs w:val="22"/>
          <w:rtl/>
        </w:rPr>
        <w:t xml:space="preserve"> </w:t>
      </w:r>
      <w:r w:rsidRPr="005802CE">
        <w:rPr>
          <w:rStyle w:val="Style1Char"/>
          <w:color w:val="auto"/>
          <w:sz w:val="22"/>
          <w:szCs w:val="22"/>
          <w:rtl/>
        </w:rPr>
        <w:t>מרדה - לא הפסידה בלאותיה קיימין</w:t>
      </w:r>
      <w:r w:rsidRPr="005802CE">
        <w:rPr>
          <w:rStyle w:val="Style1Char"/>
          <w:color w:val="4472C4" w:themeColor="accent1"/>
          <w:rtl/>
        </w:rPr>
        <w:t xml:space="preserve"> </w:t>
      </w:r>
      <w:r w:rsidRPr="00F24BFA">
        <w:rPr>
          <w:rStyle w:val="Style1Char"/>
          <w:color w:val="4472C4" w:themeColor="accent1"/>
          <w:rtl/>
        </w:rPr>
        <w:t>ובעי למיתב אף שיראי אחרינא דלא הוה תפיסה.</w:t>
      </w:r>
      <w:r w:rsidRPr="005802CE">
        <w:rPr>
          <w:rStyle w:val="Style1Char"/>
          <w:color w:val="auto"/>
          <w:sz w:val="22"/>
          <w:szCs w:val="22"/>
          <w:rtl/>
        </w:rPr>
        <w:t xml:space="preserve">. אמר להו רב גמדא: </w:t>
      </w:r>
    </w:p>
    <w:p w14:paraId="7F07C371" w14:textId="0B95F0D6" w:rsidR="00EB1656" w:rsidRDefault="00EB1656" w:rsidP="00EB1656">
      <w:pPr>
        <w:pStyle w:val="Style1"/>
        <w:rPr>
          <w:rStyle w:val="Style1Char"/>
          <w:rtl/>
        </w:rPr>
      </w:pPr>
      <w:r>
        <w:rPr>
          <w:rStyle w:val="Style1Char"/>
          <w:rFonts w:hint="cs"/>
          <w:rtl/>
        </w:rPr>
        <w:t>1)[</w:t>
      </w:r>
      <w:r w:rsidRPr="00EB1656">
        <w:rPr>
          <w:rStyle w:val="Style1Char"/>
          <w:rtl/>
        </w:rPr>
        <w:t>רמב</w:t>
      </w:r>
      <w:r w:rsidR="00213DA1">
        <w:rPr>
          <w:rStyle w:val="Style1Char"/>
          <w:rtl/>
        </w:rPr>
        <w:t>”ם \נשים\</w:t>
      </w:r>
      <w:r w:rsidRPr="00EB1656">
        <w:rPr>
          <w:rStyle w:val="Style1Char"/>
          <w:rtl/>
        </w:rPr>
        <w:t xml:space="preserve"> הלכות אישות פרק כא הלכה י</w:t>
      </w:r>
      <w:r>
        <w:rPr>
          <w:rStyle w:val="Style1Char"/>
          <w:rFonts w:hint="cs"/>
          <w:rtl/>
        </w:rPr>
        <w:t xml:space="preserve">] </w:t>
      </w:r>
      <w:r w:rsidRPr="00EB1656">
        <w:rPr>
          <w:rStyle w:val="Style1Char"/>
          <w:rtl/>
        </w:rPr>
        <w:t>כל אשה שתמנע מלעשות מלאכה מן המלאכות שהיא חייבת לעשותן כופין אותה ועושה אפילו בשוט, טען הוא שאינה עושה והיא אומרת שאינה נמנעת מלעשות מושיבין אשה ביניהן או שכנים, ודבר זה כפי מה שיראה הדיין שאפשר בדבר. /השגת הראב"ד/ כופין אותה ועושה אפי' בשוטי'. א"א מעולם לא שמעתי יסור שוטים לנשים אלא שממעט לה צרכיה ומזונותיה עד שתכנע.</w:t>
      </w:r>
    </w:p>
    <w:p w14:paraId="702473DA" w14:textId="57BB1685" w:rsidR="00527247" w:rsidRPr="00B50BDF" w:rsidRDefault="00527247" w:rsidP="00527247">
      <w:pPr>
        <w:pStyle w:val="Style1"/>
      </w:pPr>
      <w:r>
        <w:rPr>
          <w:rFonts w:hint="cs"/>
          <w:rtl/>
        </w:rPr>
        <w:t>1)[</w:t>
      </w:r>
      <w:r>
        <w:rPr>
          <w:rtl/>
        </w:rPr>
        <w:t>שולחן ערוך אבן העזר הלכות כתובות סימן פ סעיף טו</w:t>
      </w:r>
      <w:r>
        <w:rPr>
          <w:rFonts w:hint="cs"/>
          <w:rtl/>
        </w:rPr>
        <w:t xml:space="preserve">] </w:t>
      </w:r>
      <w:r w:rsidRPr="00B50BDF">
        <w:rPr>
          <w:rtl/>
        </w:rPr>
        <w:t>כל אשה שתמנע מלעשות מלאכה ממלאכות שהיא חיבת לעשותן, כופין אותה לעשות</w:t>
      </w:r>
      <w:r w:rsidRPr="00B50BDF">
        <w:t>.</w:t>
      </w:r>
    </w:p>
    <w:p w14:paraId="417D6F07" w14:textId="38AEDEA1" w:rsidR="00527247" w:rsidRDefault="00527247" w:rsidP="00527247">
      <w:pPr>
        <w:pStyle w:val="Style1"/>
        <w:rPr>
          <w:rtl/>
        </w:rPr>
      </w:pPr>
      <w:r w:rsidRPr="00B50BDF">
        <w:rPr>
          <w:rFonts w:hint="cs"/>
          <w:rtl/>
        </w:rPr>
        <w:t>הגה: ואינו זנה עד שתעשה. וכן בית דין משמתין אותה או מוכרין כתובתה לשכר עליה עבד או שפחה (המגיד משנה פרק כ"א בשם הרמב"ן והרשב"א). ויש אומרים דכופין אותה בשוטים (טור בשם הרמב"ם). וכל זה באומרת: איני עושה, ונזונית. אבל אם אומרת: איני נזונית ואיני עושה, הרשות בידה (בית יוסף לדעת הרמב"ם וכן כתב הר"ן), וכמו שנתבאר לעיל </w:t>
      </w:r>
      <w:hyperlink r:id="rId139" w:tooltip="שולחן ערוך אבן העזר סט" w:history="1">
        <w:r w:rsidRPr="00B50BDF">
          <w:rPr>
            <w:rStyle w:val="Hyperlink"/>
            <w:rFonts w:hint="cs"/>
            <w:color w:val="7030A0"/>
            <w:u w:val="none"/>
            <w:rtl/>
          </w:rPr>
          <w:t>סימן ס"ט</w:t>
        </w:r>
      </w:hyperlink>
      <w:r w:rsidRPr="00B50BDF">
        <w:rPr>
          <w:rFonts w:hint="cs"/>
        </w:rPr>
        <w:t xml:space="preserve">. </w:t>
      </w:r>
      <w:r w:rsidRPr="00B50BDF">
        <w:rPr>
          <w:rFonts w:hint="cs"/>
          <w:rtl/>
        </w:rPr>
        <w:t>ויש אומרים דאפילו באומרת: איני נזונית ואיני עושה, צריכה לעשות צרכי הבית, ולזה כופין אותה אף על פי שאינה נזונית (גם זה בית יוסף לדעת הרמב"ם לחד שנויא)</w:t>
      </w:r>
      <w:r w:rsidRPr="00B50BDF">
        <w:t>:</w:t>
      </w:r>
    </w:p>
    <w:p w14:paraId="371CDAB9" w14:textId="78BCEB51" w:rsidR="00B40582" w:rsidRDefault="00B40582" w:rsidP="00B40582">
      <w:pPr>
        <w:pStyle w:val="Style1"/>
        <w:rPr>
          <w:rtl/>
        </w:rPr>
      </w:pPr>
      <w:r>
        <w:rPr>
          <w:rFonts w:hint="cs"/>
          <w:rtl/>
        </w:rPr>
        <w:lastRenderedPageBreak/>
        <w:t>2)[</w:t>
      </w:r>
      <w:r>
        <w:rPr>
          <w:rtl/>
        </w:rPr>
        <w:t>רמב</w:t>
      </w:r>
      <w:r w:rsidR="00213DA1">
        <w:rPr>
          <w:rtl/>
        </w:rPr>
        <w:t>”ם \נשים\</w:t>
      </w:r>
      <w:r>
        <w:rPr>
          <w:rtl/>
        </w:rPr>
        <w:t xml:space="preserve"> הלכות אישות פרק יד הלכה ט</w:t>
      </w:r>
      <w:r>
        <w:rPr>
          <w:rFonts w:hint="cs"/>
          <w:rtl/>
        </w:rPr>
        <w:t xml:space="preserve">] </w:t>
      </w:r>
      <w:r>
        <w:rPr>
          <w:rtl/>
        </w:rPr>
        <w:t>ואם מרדה מתחת בעלה כדי לצערו ואמרה הריני מצערת אותו בכך מפני שעשה לי כך וכך או מפני שקללני או מפני שעשה עמי מריבה וכיוצא בדברים אלו, שולחים לה מבית דין ואומרין לה הוי יודעת שאם את עומדת במרדך אפילו כתובתך מאה מנה הפסדת אותה, ואחר כך מכריזין עליה בבתי כנסיות ובבתי מדרשות בכל יום ארבע שבתות זו אחר זו ואומרים פלונית מרדה על בעלה.</w:t>
      </w:r>
    </w:p>
    <w:p w14:paraId="6F05A8F1" w14:textId="487495DC" w:rsidR="00A46269" w:rsidRDefault="00A46269" w:rsidP="00A46269">
      <w:pPr>
        <w:pStyle w:val="Style1"/>
        <w:rPr>
          <w:rtl/>
        </w:rPr>
      </w:pPr>
      <w:r>
        <w:rPr>
          <w:rFonts w:hint="cs"/>
          <w:rtl/>
        </w:rPr>
        <w:t>2)[</w:t>
      </w:r>
      <w:r>
        <w:rPr>
          <w:rtl/>
        </w:rPr>
        <w:t>רמב</w:t>
      </w:r>
      <w:r w:rsidR="00213DA1">
        <w:rPr>
          <w:rtl/>
        </w:rPr>
        <w:t>”ם \נשים\</w:t>
      </w:r>
      <w:r>
        <w:rPr>
          <w:rtl/>
        </w:rPr>
        <w:t xml:space="preserve"> הלכות אישות פרק יד הלכה י</w:t>
      </w:r>
      <w:r>
        <w:rPr>
          <w:rFonts w:hint="cs"/>
          <w:rtl/>
        </w:rPr>
        <w:t xml:space="preserve">] </w:t>
      </w:r>
      <w:r>
        <w:rPr>
          <w:rtl/>
        </w:rPr>
        <w:t>ואחר ההכרזה שולחין לה פעם שנייה ואומרים לה אם את עומדת במרדך הפסדת כתובתיך. אם עמדה במרדה ולא חזרה נמלכין בה ותאבד כתובתה ולא יהיה לה כתובה כלל, ואין נותנין לה גט עד שנים עשר חדש ואין לה מזונות כל שנים עשר חדש, ואם מתה קודם הגט בעלה יורשה.</w:t>
      </w:r>
    </w:p>
    <w:p w14:paraId="0B54952B" w14:textId="68A1288A" w:rsidR="00AD3055" w:rsidRDefault="00AD3055" w:rsidP="00AD3055">
      <w:pPr>
        <w:pStyle w:val="Style1"/>
        <w:rPr>
          <w:rtl/>
        </w:rPr>
      </w:pPr>
      <w:r>
        <w:rPr>
          <w:rFonts w:hint="cs"/>
          <w:rtl/>
        </w:rPr>
        <w:t>2)[</w:t>
      </w:r>
      <w:r>
        <w:rPr>
          <w:rtl/>
        </w:rPr>
        <w:t>רמב</w:t>
      </w:r>
      <w:r w:rsidR="00213DA1">
        <w:rPr>
          <w:rtl/>
        </w:rPr>
        <w:t>”ם \נשים\</w:t>
      </w:r>
      <w:r>
        <w:rPr>
          <w:rtl/>
        </w:rPr>
        <w:t xml:space="preserve"> הלכות אישות פרק יד הלכה יא</w:t>
      </w:r>
      <w:r>
        <w:rPr>
          <w:rFonts w:hint="cs"/>
          <w:rtl/>
        </w:rPr>
        <w:t xml:space="preserve">] </w:t>
      </w:r>
      <w:r>
        <w:rPr>
          <w:rtl/>
        </w:rPr>
        <w:t>כסדר הזה עושין לה אם מרדה כדי לצערו, ואפילו היתה נדה או חולה שאינה ראויה לתשמיש ואפילו היה בעלה מלח שעונתו לששה חדשים ואפילו יש לו אשה אחרת.</w:t>
      </w:r>
    </w:p>
    <w:p w14:paraId="62308C5D" w14:textId="6B188281" w:rsidR="00EC7317" w:rsidRDefault="00EC7317" w:rsidP="00EC7317">
      <w:pPr>
        <w:pStyle w:val="Style1"/>
        <w:rPr>
          <w:rtl/>
        </w:rPr>
      </w:pPr>
      <w:r>
        <w:rPr>
          <w:rFonts w:hint="cs"/>
          <w:rtl/>
        </w:rPr>
        <w:t>2)[</w:t>
      </w:r>
      <w:r>
        <w:rPr>
          <w:rtl/>
        </w:rPr>
        <w:t>רמב</w:t>
      </w:r>
      <w:r w:rsidR="00213DA1">
        <w:rPr>
          <w:rtl/>
        </w:rPr>
        <w:t>”ם \נשים\</w:t>
      </w:r>
      <w:r>
        <w:rPr>
          <w:rtl/>
        </w:rPr>
        <w:t xml:space="preserve"> הלכות אישות פרק יד הלכה יג</w:t>
      </w:r>
      <w:r>
        <w:rPr>
          <w:rFonts w:hint="cs"/>
          <w:rtl/>
        </w:rPr>
        <w:t xml:space="preserve">] </w:t>
      </w:r>
      <w:r>
        <w:rPr>
          <w:rtl/>
        </w:rPr>
        <w:t>המורדת הזאת כשהיא יוצאת אחר שנים עשר חדש בלא כתובה תחזיר כל דבר שהוא של בעל, אבל נכסים שהכניסה לו ובלאותיהן קיימים אם תפשה אין מוציאים מידה ואם תפשן הבעל אין מוציאין מידו, וכן כל מה שאבד מנכסיה שקיבל הבעל אחריותן עליו אינו משלם לה כלום. זה הוא דין התלמוד במורדת.</w:t>
      </w:r>
    </w:p>
    <w:p w14:paraId="362EBAEE" w14:textId="4C81F99E" w:rsidR="00B40582" w:rsidRPr="00E01E39" w:rsidRDefault="00B40582" w:rsidP="00B40582">
      <w:pPr>
        <w:pStyle w:val="Style1"/>
      </w:pPr>
      <w:r>
        <w:rPr>
          <w:rFonts w:hint="cs"/>
          <w:rtl/>
        </w:rPr>
        <w:t>2)[</w:t>
      </w:r>
      <w:r>
        <w:rPr>
          <w:rtl/>
        </w:rPr>
        <w:t>שולחן ערוך אבן העזר הלכות כתובות סימן עז סעיף ב</w:t>
      </w:r>
      <w:r>
        <w:rPr>
          <w:rFonts w:hint="cs"/>
          <w:rtl/>
        </w:rPr>
        <w:t xml:space="preserve">] </w:t>
      </w:r>
      <w:r w:rsidRPr="00E01E39">
        <w:rPr>
          <w:rtl/>
        </w:rPr>
        <w:t>האשה שמנעה בעלה מתשמיש, היא הנקראת "מורדת"; ושואלין אותה מפני מה מרדה, אם אמרה: מאסתיהו ואיני יכולה להיבעל לו מדעתי</w:t>
      </w:r>
      <w:r w:rsidRPr="00E01E39">
        <w:t>, </w:t>
      </w:r>
      <w:r w:rsidRPr="00E01E39">
        <w:rPr>
          <w:rFonts w:hint="cs"/>
          <w:rtl/>
        </w:rPr>
        <w:t>ודווקא שמבקשת גט בלא כתובה, אבל אם אומרת: יתן לי גט וכתובתי, חיישינן שמא נתנה עיניה באחר, ויש לה דין מורדת דבעינא ומצערנא ליה (בית יוסף בשם תשובת הר"ן וכן פרש"י בגמרא)</w:t>
      </w:r>
      <w:r w:rsidRPr="00E01E39">
        <w:t xml:space="preserve">, </w:t>
      </w:r>
      <w:r w:rsidRPr="00E01E39">
        <w:rPr>
          <w:rtl/>
        </w:rPr>
        <w:t>אם רצה הבעל לגרשה אין לה כתובה כלל, ותיטול בלאותיה הקיימים, בין מנכסים שהכניסה לבעלה ונתחייב באחריותן, בין נכסי מלוג שלא נתחיב באחריותן, ואינה נוטלת משל בעלה כלום, ואפילו מנעל שברגליה ומטפחת שבראשה שלקחם לה, פושטת ונותנת, וכל מה שנתן לה מתנה מחזרת אותו</w:t>
      </w:r>
      <w:r w:rsidRPr="00E01E39">
        <w:t>.</w:t>
      </w:r>
    </w:p>
    <w:p w14:paraId="39C6115B" w14:textId="77777777" w:rsidR="00B40582" w:rsidRPr="00E01E39" w:rsidRDefault="00B40582" w:rsidP="00B40582">
      <w:pPr>
        <w:pStyle w:val="Style1"/>
      </w:pPr>
      <w:r w:rsidRPr="00E01E39">
        <w:rPr>
          <w:rFonts w:hint="cs"/>
          <w:rtl/>
        </w:rPr>
        <w:t>ויש אומרים דאף מנכסי צאן ברזל אינה נוטלת אלא מה שתפסה. ויש אומרים דאפילו נכסי מלוג אינה נוטלת אלא מה שתפסה (בית יוסף בשם תשובת הר"ן שכן כתב בשם הרשב"א)</w:t>
      </w:r>
      <w:r w:rsidRPr="00E01E39">
        <w:t>.</w:t>
      </w:r>
    </w:p>
    <w:p w14:paraId="7E94A22D" w14:textId="77777777" w:rsidR="00B40582" w:rsidRPr="00E01E39" w:rsidRDefault="00B40582" w:rsidP="00B40582">
      <w:pPr>
        <w:pStyle w:val="Style1"/>
      </w:pPr>
      <w:r w:rsidRPr="00E01E39">
        <w:rPr>
          <w:rtl/>
        </w:rPr>
        <w:t>ואם מרדה מתחת בעלה כדי לצערו, ואמרה: הריני מצערת אותו בכך, מפני שעשה לי כך וכך, או מפני שקללני, או מפני שעשה עמי מריבה וכיוצא בדברים אלו, שולחין לה מבית דין ואומרים לה: הוי יודעת שאם את עומדת במרדך, אפילו כתובתיך מאה מנה הפסדת אותם. ואחר כך מכריזין עליה בבתי כנסיות ובתי מדרשות, בכל יום, ארבע שבתות זו אחר זו</w:t>
      </w:r>
      <w:r w:rsidRPr="00E01E39">
        <w:t>, </w:t>
      </w:r>
      <w:r w:rsidRPr="00E01E39">
        <w:rPr>
          <w:rFonts w:hint="cs"/>
          <w:rtl/>
        </w:rPr>
        <w:t>ויש אומרים דאין צריך להכריז בכל יום, אלא ארבע שבתות ממש, (הר"ן והגהות מימוני, וכן משמע לשון הטור), וכן נראה לי עיקר</w:t>
      </w:r>
      <w:r w:rsidRPr="00E01E39">
        <w:t xml:space="preserve">, </w:t>
      </w:r>
      <w:r w:rsidRPr="00E01E39">
        <w:rPr>
          <w:rtl/>
        </w:rPr>
        <w:t>ואומרים: פלונית מרדה על בעלה. ואחר ההכרזה שולחין לה בית דין פעם שנית: אם את עומדת במרדך הפסדת כתובתיך, אם עמדה במרדה ולא חזרה, נמלכין בה ותאבד כתובתה, ולא יהיה לה כתובה כלל; ואין נותנים לה גט עד שנים עשר חודש; ואין לה מזונות כל שנים עשר חדש</w:t>
      </w:r>
      <w:r w:rsidRPr="00E01E39">
        <w:t>, </w:t>
      </w:r>
      <w:r w:rsidRPr="00E01E39">
        <w:rPr>
          <w:rFonts w:hint="cs"/>
          <w:rtl/>
        </w:rPr>
        <w:t>ואפילו היא מעוברת (בית יוסף בשם תשובת הרשב"א); ומעשה ידיה שלה, אבל נוטל פירות (טור)</w:t>
      </w:r>
      <w:r w:rsidRPr="00E01E39">
        <w:t>.</w:t>
      </w:r>
    </w:p>
    <w:p w14:paraId="271E9B8D" w14:textId="77777777" w:rsidR="00B40582" w:rsidRPr="00E01E39" w:rsidRDefault="00B40582" w:rsidP="00B40582">
      <w:pPr>
        <w:pStyle w:val="Style1"/>
      </w:pPr>
      <w:r w:rsidRPr="00E01E39">
        <w:rPr>
          <w:rtl/>
        </w:rPr>
        <w:t>ואם מתה קודם הגט, בעלה יורשה </w:t>
      </w:r>
      <w:r w:rsidRPr="00E01E39">
        <w:rPr>
          <w:rFonts w:hint="cs"/>
          <w:rtl/>
        </w:rPr>
        <w:t>וחייב בפדיונה וקבורתה (טור). ולאחר שנים עשר חודש אין לבעל עליה כלום, וכן היא עליו; מאחר שאבדה הכתובה, אין לה כל תנאי כתובה, מאחר שיוכל לגרשה בלא כתובה והוא מעכבה מרצונו (דברי הרב וכן משמע במהרי"ן סימן כ')</w:t>
      </w:r>
      <w:r w:rsidRPr="00E01E39">
        <w:t xml:space="preserve">. </w:t>
      </w:r>
      <w:r w:rsidRPr="00E01E39">
        <w:rPr>
          <w:rtl/>
        </w:rPr>
        <w:t>כסדר הזה עושין לה, אם מרדה כדי לצערו</w:t>
      </w:r>
      <w:r w:rsidRPr="00E01E39">
        <w:t>.</w:t>
      </w:r>
    </w:p>
    <w:p w14:paraId="5C4225CC" w14:textId="77777777" w:rsidR="00B40582" w:rsidRPr="00E01E39" w:rsidRDefault="00B40582" w:rsidP="00B40582">
      <w:pPr>
        <w:pStyle w:val="Style1"/>
      </w:pPr>
      <w:r w:rsidRPr="00E01E39">
        <w:rPr>
          <w:rFonts w:hint="cs"/>
          <w:rtl/>
        </w:rPr>
        <w:t>ולאחר שנים עשר חודש לא מהני חזרתה, אלא איבדה כתובתה, ואם רוצה לקיימה, צריך לכתוב לה כתובה אחרת. אבל תוך שנים עשר חודש יכולה לחזור בה, ויש לה כתובה. ואם מת תוך שנים עשר חודש, יש לה כתובה מן היורשים (כל זה בהר"ן פרק אף על פי). ואם רוצה לגרשה תוך שנים עשר חדש נותן לה צאן ברזל שלה, וכתובתה וכל מה שכתב לה (בית יוסף בשם תשובת הרשב"א). ויש אומרים דבזמן הזה שאין נושאין שתי נשים, לא משהינן לה שנים עשר חדש אם רוצה לגרשה, ואם אינה רוצה, מתירין לו לישא אחרת (מרדכי סוף אף על פי בשם ראב"ן). ויש חולקין שאין להתיר לו לישא אחרת (שם בהגהת ותשובת הרשב"א סימן תת"ס ומהרי"ק שרש ס"ג), וכן עיקר. ודווקא בנשואה, אבל ארוסה המורדת על בעלה ואינה רוצה להיכנס לו, יגרשנה בעל כרחה, או ישא אחרת, ומתירין לו (שם). ונראה לי, דווקא תוך שנים עשר חודש, אבל לאחר שנים עשר חדש אם הוא רוצה לגרש צריכה לקבל ממנו בעל כרחה, או מתירין לו לישא אחרת, דאין כח ביד האשה לעגנו לעולם, וכן נראה לי (להורות). ויש אומרים דאפילו תוך שנים עשר חודש אם עבר ונשא אחרת מחמת מרידתה, אין כופין לגרש (מהרי"ק שרש כ"ט)</w:t>
      </w:r>
      <w:r w:rsidRPr="00E01E39">
        <w:t>.</w:t>
      </w:r>
    </w:p>
    <w:p w14:paraId="70B0D813" w14:textId="77777777" w:rsidR="00B40582" w:rsidRPr="00E01E39" w:rsidRDefault="00B40582" w:rsidP="00B40582">
      <w:pPr>
        <w:pStyle w:val="Style1"/>
      </w:pPr>
      <w:r w:rsidRPr="00E01E39">
        <w:rPr>
          <w:rtl/>
        </w:rPr>
        <w:t>ואפילו היתה נדה או חולה שאינה ראויה לתשמיש. ואין חילוק בין התחילה למרוד קודם חליה או אחר כך (הר"ן פרק אף על פי, וכן משמע במרדכי בשם ראבי"ה והגהות אלפסי), ויש חולקין (שם בשם מוהר"ם)</w:t>
      </w:r>
      <w:r w:rsidRPr="00E01E39">
        <w:t>.</w:t>
      </w:r>
    </w:p>
    <w:p w14:paraId="4B5E505B" w14:textId="53DDB985" w:rsidR="00B40582" w:rsidRDefault="00B40582" w:rsidP="00B40582">
      <w:pPr>
        <w:pStyle w:val="Style1"/>
        <w:rPr>
          <w:rtl/>
        </w:rPr>
      </w:pPr>
      <w:r w:rsidRPr="00E01E39">
        <w:rPr>
          <w:rtl/>
        </w:rPr>
        <w:t>ואפילו היה בעלה מלח שעונתו לשישה חדשים, ואפילו יש לו אשה אחרת. וכן ארוסה שהגיע זמנה לינשא, ומרדה כדי לצערו ולא נישאת, הרי זו מורדת מתשמיש. ויש אומרים שגם יבמה שלא רצתה להתייבם כדי לצערו, כסדר הזה עושין לה</w:t>
      </w:r>
      <w:r w:rsidRPr="00E01E39">
        <w:t>:</w:t>
      </w:r>
    </w:p>
    <w:p w14:paraId="581E4652" w14:textId="7C5D0EBC" w:rsidR="004B561E" w:rsidRPr="004B561E" w:rsidRDefault="00762A5B" w:rsidP="002714F6">
      <w:pPr>
        <w:pStyle w:val="Style1"/>
      </w:pPr>
      <w:r>
        <w:rPr>
          <w:rFonts w:hint="cs"/>
          <w:rtl/>
        </w:rPr>
        <w:t>2)[</w:t>
      </w:r>
      <w:r>
        <w:rPr>
          <w:rtl/>
        </w:rPr>
        <w:t>שולחן ערוך אבן העזר הלכות כתובות סימן עז סעיף ג</w:t>
      </w:r>
      <w:r>
        <w:rPr>
          <w:rFonts w:hint="cs"/>
          <w:rtl/>
        </w:rPr>
        <w:t>]</w:t>
      </w:r>
      <w:r w:rsidR="002714F6">
        <w:rPr>
          <w:rFonts w:hint="cs"/>
          <w:rtl/>
        </w:rPr>
        <w:t xml:space="preserve"> </w:t>
      </w:r>
      <w:r w:rsidR="004B561E" w:rsidRPr="004B561E">
        <w:rPr>
          <w:rtl/>
        </w:rPr>
        <w:t>המורדת הזאת, כשהיא יוצאת אחר שנים עשר חדש בלא כתובה, תחזיר כל דבר שהוא של בעל. אבל נכסים שהכניסה לו, ובלאותיהם קיימים -- אם תפסה אין מוציאין מידה, ואם לא תפסה אין נותנין לה</w:t>
      </w:r>
      <w:r w:rsidR="004B561E" w:rsidRPr="004B561E">
        <w:t>; </w:t>
      </w:r>
      <w:r w:rsidR="004B561E" w:rsidRPr="004B561E">
        <w:rPr>
          <w:rFonts w:hint="cs"/>
          <w:rtl/>
        </w:rPr>
        <w:t>וקרקעות של צאן ברזל היא נוטלתן (טור)</w:t>
      </w:r>
      <w:r w:rsidR="004B561E" w:rsidRPr="004B561E">
        <w:t xml:space="preserve">, </w:t>
      </w:r>
      <w:r w:rsidR="004B561E" w:rsidRPr="004B561E">
        <w:rPr>
          <w:rtl/>
        </w:rPr>
        <w:t>וכן כל מה שאבד מנכסיה שקבל הבעל אחריותן עליו, אינו משלם לה כלום</w:t>
      </w:r>
      <w:r w:rsidR="004B561E" w:rsidRPr="004B561E">
        <w:t>.</w:t>
      </w:r>
    </w:p>
    <w:p w14:paraId="1C7C8FFB" w14:textId="77777777" w:rsidR="004B561E" w:rsidRPr="004B561E" w:rsidRDefault="004B561E" w:rsidP="004B561E">
      <w:pPr>
        <w:pStyle w:val="Style1"/>
      </w:pPr>
      <w:r w:rsidRPr="004B561E">
        <w:rPr>
          <w:rFonts w:hint="cs"/>
          <w:rtl/>
        </w:rPr>
        <w:t>הגה: וכל זה בנכסי צאן ברזל, אבל נכסי מלוג שלה, ברשותה הם והיא נוטלתן (טור). ויש אומרים דכל זה באינה נותנת אמתלא וטעם לדבריה למה אומרת מאיס עלי; אבל בנותנת אמתלא לדבריה, כגון שאומרת שאינו הולך בדרך ישרה, ומכלה ממונו וכיוצא בזה, אז דיינינן לה כדינא שתקנו הגאונים (טור בשם מוהר"ם מרוטנבורג) ונקרא דינא דמתיבתא, שהבעל צריך להחזיר לה כל מה שהכניסה לו בנדוניתה, דהיינו צאן ברזל אם הם בעין וראויין למלאכתם הראשונה נוטלת הכל כמו שהוא, ואם אינם ראויין למלאכתם הראשונה, וכל שכן אם נגנבו או נאבדו, צריך הבעל לשלם הכל; ונכסי מלוג שלה, אם הם בעין או דבר הבא מכחה, נוטלתן, אבל אם כלו לגמרי אין הבעל צריך לשלם (דינא דמתיבתא טור בשם הרי"ף), אבל כל מה שנתן לה או כתב לה אינה נוטלת כלום, ואפילו תפסה צריכה להחזיר (מרדכי פרק אף על פי)</w:t>
      </w:r>
      <w:r w:rsidRPr="004B561E">
        <w:rPr>
          <w:rFonts w:hint="cs"/>
        </w:rPr>
        <w:t>.</w:t>
      </w:r>
    </w:p>
    <w:p w14:paraId="71AC6201" w14:textId="77777777" w:rsidR="004B561E" w:rsidRPr="004B561E" w:rsidRDefault="004B561E" w:rsidP="004B561E">
      <w:pPr>
        <w:pStyle w:val="Style1"/>
      </w:pPr>
      <w:r w:rsidRPr="004B561E">
        <w:rPr>
          <w:rFonts w:hint="cs"/>
          <w:rtl/>
        </w:rPr>
        <w:t>ואין כופין אותו לגרש, ולא אותה להיות אצלו (גם זה בטור בתשובת מוהר"ם). ואם עשה שלא כהוגן שקדשה ברמאות ובתחבולות, כופין אותו לגרש (הרא"ש כלל ל"ה). ויש אומרים עוד, דמטילין חרם (טור בשם מוהר"ם)</w:t>
      </w:r>
      <w:r w:rsidRPr="004B561E">
        <w:rPr>
          <w:rFonts w:hint="cs"/>
        </w:rPr>
        <w:t>.</w:t>
      </w:r>
    </w:p>
    <w:p w14:paraId="7D38A7B0" w14:textId="77777777" w:rsidR="004B561E" w:rsidRPr="004B561E" w:rsidRDefault="004B561E" w:rsidP="004B561E">
      <w:pPr>
        <w:pStyle w:val="Style1"/>
      </w:pPr>
      <w:r w:rsidRPr="004B561E">
        <w:rPr>
          <w:rFonts w:hint="cs"/>
          <w:rtl/>
        </w:rPr>
        <w:t>אם בני אדם למדוה למרד, או שעושה כך משום כעס וקטטה, או להוציא ממונו ממנו, אז אפילו מה שתפסה מנכסיה נוטלין מידה ומחזירין לבעל (מרדכי פרק אף על פי). ואין חילוק בין אם תפסה או לא, אלא בטוענת מאיס ואינה נותנת אמתלא מבררת לדבריה, אבל מכל מקום נותנת אמתלא ואין בזה רמאות, והבית דין ידונו בזה לפי ראות עיניהם (מהרי"ו סימן כ'). ויכולין להשביע אותה על כך, אם טוענת באמת מאיס עלי (שם), וכן ראוי להורות</w:t>
      </w:r>
      <w:r w:rsidRPr="004B561E">
        <w:rPr>
          <w:rFonts w:hint="cs"/>
        </w:rPr>
        <w:t>.</w:t>
      </w:r>
    </w:p>
    <w:p w14:paraId="0185F75D" w14:textId="77777777" w:rsidR="004B561E" w:rsidRPr="004B561E" w:rsidRDefault="004B561E" w:rsidP="004B561E">
      <w:pPr>
        <w:pStyle w:val="Style1"/>
      </w:pPr>
      <w:r w:rsidRPr="004B561E">
        <w:rPr>
          <w:rFonts w:hint="cs"/>
          <w:rtl/>
        </w:rPr>
        <w:t>וכל זמן שלא נתן גט, אין לו כפיה ונגישה עליה, אבל מכל מקום אין לה ליתן משלה לאחרים, ויכול למחות בה, דאם מתה יירשנה (גם זה שם)</w:t>
      </w:r>
      <w:r w:rsidRPr="004B561E">
        <w:rPr>
          <w:rFonts w:hint="cs"/>
        </w:rPr>
        <w:t>.</w:t>
      </w:r>
    </w:p>
    <w:p w14:paraId="0B6F57F8" w14:textId="77777777" w:rsidR="004B561E" w:rsidRPr="004B561E" w:rsidRDefault="004B561E" w:rsidP="004B561E">
      <w:pPr>
        <w:pStyle w:val="Style1"/>
      </w:pPr>
      <w:r w:rsidRPr="004B561E">
        <w:rPr>
          <w:rFonts w:hint="cs"/>
          <w:rtl/>
        </w:rPr>
        <w:t>אפילו במקום שכופין אותו לגרש, במורדת, אם מתה קודם שגרשה, יורש אותה, דאין ירושתה נפקעת אלא בגרושין (טור בשם גאון)</w:t>
      </w:r>
      <w:r w:rsidRPr="004B561E">
        <w:rPr>
          <w:rFonts w:hint="cs"/>
        </w:rPr>
        <w:t>.</w:t>
      </w:r>
    </w:p>
    <w:p w14:paraId="498E8CE0" w14:textId="77777777" w:rsidR="004B561E" w:rsidRPr="004B561E" w:rsidRDefault="004B561E" w:rsidP="004B561E">
      <w:pPr>
        <w:pStyle w:val="Style1"/>
      </w:pPr>
      <w:r w:rsidRPr="004B561E">
        <w:rPr>
          <w:rFonts w:hint="cs"/>
          <w:rtl/>
        </w:rPr>
        <w:lastRenderedPageBreak/>
        <w:t>אם אביה תפס מנדוניא שהכניסה לבעלה, מהני כאילו תפסה היא בעצמה (מרדכי בשם תשובת מוהר"ם פרק אף על פי ובהגהות בשם תשובת מוהר"ם)</w:t>
      </w:r>
      <w:r w:rsidRPr="004B561E">
        <w:rPr>
          <w:rFonts w:hint="cs"/>
        </w:rPr>
        <w:t>.</w:t>
      </w:r>
    </w:p>
    <w:p w14:paraId="7CBF5329" w14:textId="77777777" w:rsidR="004B561E" w:rsidRPr="004B561E" w:rsidRDefault="004B561E" w:rsidP="004B561E">
      <w:pPr>
        <w:pStyle w:val="Style1"/>
      </w:pPr>
      <w:r w:rsidRPr="004B561E">
        <w:rPr>
          <w:rFonts w:hint="cs"/>
          <w:rtl/>
        </w:rPr>
        <w:t>הבגדים שהכניסה הכלה אין להם דין צאן ברזל, ואין צאן ברזל אלא השומא שמכנסת האשה לבעלה (טור בשם הרא"ש)</w:t>
      </w:r>
      <w:r w:rsidRPr="004B561E">
        <w:t>:</w:t>
      </w:r>
    </w:p>
    <w:p w14:paraId="065F3C56" w14:textId="77777777" w:rsidR="004B561E" w:rsidRPr="004B561E" w:rsidRDefault="004B561E" w:rsidP="004B561E">
      <w:pPr>
        <w:pStyle w:val="Style1"/>
      </w:pPr>
    </w:p>
    <w:p w14:paraId="2406EC53" w14:textId="77777777" w:rsidR="002C4635" w:rsidRPr="004B561E" w:rsidRDefault="002C4635" w:rsidP="004B561E">
      <w:pPr>
        <w:pStyle w:val="Style1"/>
        <w:rPr>
          <w:rStyle w:val="Style1Char"/>
          <w:rtl/>
        </w:rPr>
      </w:pPr>
    </w:p>
    <w:p w14:paraId="38A4F80E" w14:textId="77777777" w:rsidR="002C4635" w:rsidRPr="004B561E" w:rsidRDefault="002C4635" w:rsidP="004B561E">
      <w:pPr>
        <w:pStyle w:val="Style1"/>
        <w:rPr>
          <w:rStyle w:val="Style1Char"/>
          <w:rtl/>
        </w:rPr>
      </w:pPr>
    </w:p>
    <w:p w14:paraId="2BCD0B00" w14:textId="77777777" w:rsidR="002C4635" w:rsidRPr="004B561E" w:rsidRDefault="002C4635" w:rsidP="004B561E">
      <w:pPr>
        <w:pStyle w:val="Style1"/>
        <w:rPr>
          <w:rStyle w:val="Style1Char"/>
          <w:rtl/>
        </w:rPr>
      </w:pPr>
      <w:r w:rsidRPr="004B561E">
        <w:rPr>
          <w:rStyle w:val="Style1Char"/>
          <w:rtl/>
        </w:rPr>
        <w:br w:type="page"/>
      </w:r>
    </w:p>
    <w:p w14:paraId="742BD7A3" w14:textId="2CD370FA" w:rsidR="002C4635" w:rsidRPr="00F24BFA" w:rsidRDefault="002C4635" w:rsidP="002C4635">
      <w:pPr>
        <w:bidi/>
        <w:rPr>
          <w:rStyle w:val="Style1Char"/>
          <w:color w:val="4472C4" w:themeColor="accent1"/>
        </w:rPr>
      </w:pPr>
      <w:r w:rsidRPr="005802CE">
        <w:rPr>
          <w:rStyle w:val="Style1Char"/>
          <w:color w:val="auto"/>
          <w:sz w:val="22"/>
          <w:szCs w:val="22"/>
          <w:highlight w:val="yellow"/>
          <w:rtl/>
        </w:rPr>
        <w:lastRenderedPageBreak/>
        <w:t>[דף סד עמוד א]</w:t>
      </w:r>
      <w:r w:rsidRPr="005802CE">
        <w:rPr>
          <w:rStyle w:val="Style1Char"/>
          <w:color w:val="auto"/>
          <w:sz w:val="22"/>
          <w:szCs w:val="22"/>
          <w:rtl/>
        </w:rPr>
        <w:t xml:space="preserve"> משום דרב זביד גברא רבה הוא אפכיתו ליה לדינא עילויה? האמר רב כהנא: מיבעיא בעי לה רבא ולא פשיט. השתא דלא אתמר לא הכי ולא הכי, </w:t>
      </w:r>
      <w:r w:rsidR="00AE433A">
        <w:rPr>
          <w:rStyle w:val="Style1Char"/>
          <w:rFonts w:hint="cs"/>
          <w:rtl/>
        </w:rPr>
        <w:t>(1)</w:t>
      </w:r>
      <w:r w:rsidR="00AE433A" w:rsidRPr="005802CE">
        <w:rPr>
          <w:rStyle w:val="Style1Char"/>
          <w:color w:val="auto"/>
          <w:sz w:val="22"/>
          <w:szCs w:val="22"/>
          <w:rtl/>
        </w:rPr>
        <w:t xml:space="preserve"> </w:t>
      </w:r>
      <w:r w:rsidRPr="005802CE">
        <w:rPr>
          <w:rStyle w:val="Style1Char"/>
          <w:color w:val="auto"/>
          <w:sz w:val="22"/>
          <w:szCs w:val="22"/>
          <w:rtl/>
        </w:rPr>
        <w:t xml:space="preserve">תפסה - לא מפקינן מינה, לא תפסה - לא יהבינן לה, </w:t>
      </w:r>
      <w:r w:rsidRPr="00F24BFA">
        <w:rPr>
          <w:rStyle w:val="Style1Char"/>
          <w:color w:val="4472C4" w:themeColor="accent1"/>
          <w:rtl/>
        </w:rPr>
        <w:t xml:space="preserve">בלאותיה היינו נכסי צאן ברזל שהכניסה לו מטלטלין אבל קרקע שהכניסה לו בחזקתה קאי לעולם וכן נכסי מלוג ברשותה קיימי אבל מנה ומאתים תוספת אין לה ואפילו בגדים שקנה לה יפשיט מעליה דאדעתא למישקל ולמיפק לא אקני לה </w:t>
      </w:r>
      <w:r w:rsidR="00AE433A">
        <w:rPr>
          <w:rStyle w:val="Style1Char"/>
          <w:rFonts w:hint="cs"/>
          <w:rtl/>
        </w:rPr>
        <w:t>(2)</w:t>
      </w:r>
      <w:r w:rsidR="00AE433A" w:rsidRPr="005802CE">
        <w:rPr>
          <w:rStyle w:val="Style1Char"/>
          <w:color w:val="auto"/>
          <w:sz w:val="22"/>
          <w:szCs w:val="22"/>
          <w:rtl/>
        </w:rPr>
        <w:t xml:space="preserve"> </w:t>
      </w:r>
      <w:r w:rsidRPr="005802CE">
        <w:rPr>
          <w:rStyle w:val="Style1Char"/>
          <w:color w:val="auto"/>
          <w:sz w:val="22"/>
          <w:szCs w:val="22"/>
          <w:rtl/>
        </w:rPr>
        <w:t>ומשהינן לה תריסר ירחי שתא אגיטא, ובהנך תריסר ירחי שתא לית לה מזוני מבעל</w:t>
      </w:r>
      <w:r w:rsidRPr="005802CE">
        <w:rPr>
          <w:rStyle w:val="Style1Char"/>
          <w:color w:val="auto"/>
          <w:rtl/>
        </w:rPr>
        <w:t xml:space="preserve"> </w:t>
      </w:r>
      <w:r w:rsidRPr="00F24BFA">
        <w:rPr>
          <w:rStyle w:val="Style1Char"/>
          <w:color w:val="4472C4" w:themeColor="accent1"/>
          <w:rtl/>
        </w:rPr>
        <w:t>תקנה זו נעשית בימי האמוראים האחרונים כאשר ראו כי גבהו בנות ישראל ודעתם זחה עליהם וכאשר היה להם כעס עם בעליהן היו אומרות לא בעינא ליה והבעל מגרשה מיד כיון שפטרתו מכתובתה ושוב היו הנשים מתחרטות תקנו שתשהה שנה ואם יגרשנה בתוך השנה שלא תהא מחילתה מחילה ויצטרך ליתן לה כתובה אולי יתפייסו בתוך השנה וכיון שתקנו כך לאומרת מאיס עלי שהיתה ראויה להתגרש מיד בלא כפייה כל שכן למורדת. ואינה ניזונת אותה שנה אבל הוא אוכל פירות וחייב בפרקונה דבמזונות קנסו אותה דרוב נשים אין מספיק מעשה ידיהם למזונותיהן אבל היתה חפצה שלא יאכל הבעל פירות נכסיה ולא יתחייב בפרקונה לאו כל כמינה הלכך הוא אוכל פירות וכיון שאוכל פירות חייב גם בפרקונה ויראה שחייב בקבורתה כיון שאינו יכול לגרשה בלא כתובה בתוך השנה</w:t>
      </w:r>
      <w:r w:rsidRPr="00F24BFA">
        <w:rPr>
          <w:rStyle w:val="Style1Char"/>
          <w:color w:val="4472C4" w:themeColor="accent1"/>
        </w:rPr>
        <w:t xml:space="preserve">: </w:t>
      </w:r>
    </w:p>
    <w:p w14:paraId="50FC83D9" w14:textId="77777777" w:rsidR="002C4635" w:rsidRDefault="002C4635" w:rsidP="002C4635">
      <w:pPr>
        <w:bidi/>
        <w:rPr>
          <w:rStyle w:val="Style1Char"/>
          <w:rtl/>
        </w:rPr>
      </w:pPr>
      <w:r w:rsidRPr="009B5FCF">
        <w:rPr>
          <w:rStyle w:val="Style1Char"/>
          <w:color w:val="806000" w:themeColor="accent4" w:themeShade="80"/>
          <w:rtl/>
        </w:rPr>
        <w:t xml:space="preserve">הדין הוא דינא דגמרא </w:t>
      </w:r>
      <w:r w:rsidRPr="00F24BFA">
        <w:rPr>
          <w:rStyle w:val="Style1Char"/>
          <w:color w:val="4472C4" w:themeColor="accent1"/>
          <w:rtl/>
        </w:rPr>
        <w:t xml:space="preserve">במורדת </w:t>
      </w:r>
      <w:r w:rsidRPr="00181F0E">
        <w:rPr>
          <w:rStyle w:val="Style1Char"/>
          <w:color w:val="C00000"/>
          <w:rtl/>
        </w:rPr>
        <w:t>אבל האידנא בבי דינא דמתיבתא הכי דייני במורדת כד אתיא ואמרה לא בעינא ליה להאי גברא ניתיב לי גיטא יהיב לה גיטא לאלתר ואי תפסה מידי מכתובתה מפקינן ליה מינה ומהדרינן לבעל והני מילי במאי דכתב לה בעל מדיליה אבל מאי דאיתיאת מבית נשא בין תפסה ליה בין לא תפסה ליה כל מאי דאיתיה בעיניה יהבינן לה ואי ליכא מידיה דאיתיה בעיניה ואיכא מידי דאתי מחמתיה יהבינן ליה ניהלה ואי ליכא מידי דאיתיה בעיניה ולא מאי דאתי מחמתיה אלא אתאבדו להו לגמרי לא מפקינן מיניה דבעל ולא כלום וה"מ בנכסי מלוג אבל בנכסי צ"ב כל מידי דאיתיה בעיניה שקלה ליה ואף על גב דבלו ליה טובא והוא דחזי למאי דהוה חזי מעיקרא כגון דחזי לאשתמושי ביה מעין מלאכה דידיה אבל מאי דבלו ליה לגמרי ולא חזי לאשתמושי ביה כדמיעקרא משלם לה דמיהן כדמעיקרא מדידיה וכל שכן מאי דאיגניב או מאי דאיתניס דמשלם לה בעל מדידיה משום דברשותיה קיימי (כדמעיקרא) כדתנן [יבמות ס"ו ע"א] אם מתו מתו לו ואם הותירו הותירו לו וחזינן לגאון דאמר דיהיב לה עיקר כתובה מנה מאתים בלחוד כי היכי דלא להווין בנות ישראל הפקר אבל מאי דכתיב לה מדיליה בין תוספת בין מתנה לא יהבינן לה מידי ודינא דגמרא אפילו עיקר כתובה לא יהבינן לה כדאמרינן בריש פירקא [דף נ"ד ע"ב] תנאי כתובה ככתובה נפקא מינה למוכרת למוחלת ולמורדת אלמא מורדת אין לה לא עיקר ולא תוספת הדין הוא דינא דמורדת דנהיגין רבנן במתיבתא מכמה שני עד השתא אבל ודאי הדין תקנתא ליתא אלא היכא דאימרדת איתתא בבעלה ובעיא לאפוקי מיניה מחמת דלא בעי' ליה אבל היכא דאתמרעא או היכא דאיכא עלה חשש מותא ובעיא למיפק מבעלה כי היכי דלא לירות לה ליתא לההיא תקנתא ולא עבדינן בה עובדא ובכי האי מילתא איכא למימר היכא דמיעקרא נחלה דאורייתא לא תקון רבנן ואף על גב דחזינן בהאי מילתא פלוגתא ביני רבואתא מסתברא כמ"ד לא עבדינן תקנתא בכי האי מילתא ולדברי הכל כל מאן דכייפינן ליה לאפוקי בין מעיקר דינא כדתנן [דף ע"ז ע"א] אלו שכופין אותן להוציא ומאי דדמו להו בין מעיקר דתקנתא אי מיתא לה איתתא מקמי דתיפוק מיניה דבעל בגט בעלה ירית לה דלא מיפקע ירושה דבעל אלא בגירושין גמורין וכן הלכתא:</w:t>
      </w:r>
      <w:r w:rsidRPr="00BB5763">
        <w:rPr>
          <w:rStyle w:val="Style1Char"/>
          <w:sz w:val="22"/>
          <w:szCs w:val="22"/>
          <w:rtl/>
        </w:rPr>
        <w:t>.</w:t>
      </w:r>
      <w:r w:rsidRPr="00BB5763">
        <w:rPr>
          <w:rStyle w:val="Style1Char"/>
          <w:rtl/>
        </w:rPr>
        <w:t xml:space="preserve"> </w:t>
      </w:r>
    </w:p>
    <w:p w14:paraId="025AEA96" w14:textId="77777777" w:rsidR="002C4635" w:rsidRPr="00F24BFA" w:rsidRDefault="002C4635" w:rsidP="002C4635">
      <w:pPr>
        <w:bidi/>
        <w:rPr>
          <w:rStyle w:val="Style1Char"/>
          <w:color w:val="4472C4" w:themeColor="accent1"/>
        </w:rPr>
      </w:pPr>
      <w:r w:rsidRPr="00F24BFA">
        <w:rPr>
          <w:rStyle w:val="Style1Char"/>
          <w:color w:val="4472C4" w:themeColor="accent1"/>
          <w:rtl/>
        </w:rPr>
        <w:t>הדין הוא דינא דגמ' אבל האידנא דייני בבי דינא דמתיבתא כדאתיא ואמרה לא בעינא ליה להאי גברא ניתיב לי גיטא</w:t>
      </w:r>
      <w:r>
        <w:rPr>
          <w:rStyle w:val="Style1Char"/>
          <w:rFonts w:hint="cs"/>
          <w:color w:val="4472C4" w:themeColor="accent1"/>
        </w:rPr>
        <w:t>‍</w:t>
      </w:r>
      <w:r w:rsidRPr="00F24BFA">
        <w:rPr>
          <w:rStyle w:val="Style1Char"/>
          <w:color w:val="4472C4" w:themeColor="accent1"/>
          <w:rtl/>
        </w:rPr>
        <w:t xml:space="preserve"> יהבינן לה גיטא לאלתר ואי תפסה מידי מכתובתה מפקינן מינה ויהבינן ליה לבעל ונכסי מלוג אם ישנן בעין או דבר אחר הבא מכחן כגון שמכרו בתים וקנו בדמים שדות שקלה להו אבל כלו לגמרי לא מיחייב בעל לשלומי אבל נכסי צאן ברזל כל שישנו בעין מהן אפילו כלו הרבה שקלה להו ואפי' נפחתו מדמיהן הרבה אינו משלם הפחת. ובלבד שיהו ראוין להשתמש בהן מעין מלאכתן ראשונה אבל אינן ראוין להשתמש מעין מלאכתן הראשונה חייב לשלם כל דמיהן כל שכן אם נגנבו או נאנסו משום דברשותיה קיימי כדתנן (יבמות דף סו א) אם מתו מתו לו ואם הותירו הותירו לו. וחזינן לגאון דאמר דיהיב לה עיקר כתובה מנה או מאתים לחוד כי היכי דלא להויין בנות ישראל הפקר אבל מאי דכתב לה מדיליה בין תוספת בין מתנה לא יהבינן לה מידי. הדין הוא דינא דמורדת דנהיגי בה רבנן דמתיבתא</w:t>
      </w:r>
      <w:r>
        <w:rPr>
          <w:rStyle w:val="Style1Char"/>
          <w:rFonts w:hint="cs"/>
          <w:color w:val="4472C4" w:themeColor="accent1"/>
        </w:rPr>
        <w:t>‍</w:t>
      </w:r>
      <w:r w:rsidRPr="00F24BFA">
        <w:rPr>
          <w:rStyle w:val="Style1Char"/>
          <w:color w:val="4472C4" w:themeColor="accent1"/>
          <w:rtl/>
        </w:rPr>
        <w:t xml:space="preserve"> כמה שנין עד השתא</w:t>
      </w:r>
      <w:r>
        <w:rPr>
          <w:rStyle w:val="Style1Char"/>
          <w:rFonts w:hint="cs"/>
          <w:color w:val="4472C4" w:themeColor="accent1"/>
        </w:rPr>
        <w:t>‍</w:t>
      </w:r>
      <w:r w:rsidRPr="00F24BFA">
        <w:rPr>
          <w:rStyle w:val="Style1Char"/>
          <w:color w:val="4472C4" w:themeColor="accent1"/>
          <w:rtl/>
        </w:rPr>
        <w:t xml:space="preserve"> ואפשר לפי שראו הקלקול בבנות ישראל וכי משהו להו תריסר ירחי שתא תולות עצמן בעובדי כוכבים ויוצאות לתרבות רעה בטלו שהייה ונתנו רשות לבעל לגרשה מיד בלא שהייה אבל לא שיכפוהו </w:t>
      </w:r>
      <w:r>
        <w:rPr>
          <w:rStyle w:val="Style1Char"/>
          <w:rFonts w:hint="cs"/>
          <w:color w:val="4472C4" w:themeColor="accent1"/>
        </w:rPr>
        <w:t>‍</w:t>
      </w:r>
      <w:r w:rsidRPr="00F24BFA">
        <w:rPr>
          <w:rStyle w:val="Style1Char"/>
          <w:color w:val="4472C4" w:themeColor="accent1"/>
          <w:rtl/>
        </w:rPr>
        <w:t>לגרשה דאף במונע ממנה תשמיש או מזונות אין כופין אותו להוציא כדאיתא בירושלמי אין מעשין אלא לפסולות כ"ש כשהיא מונעת לעצמה</w:t>
      </w:r>
      <w:r>
        <w:rPr>
          <w:rStyle w:val="Style1Char"/>
          <w:rFonts w:hint="cs"/>
          <w:color w:val="4472C4" w:themeColor="accent1"/>
        </w:rPr>
        <w:t>‍</w:t>
      </w:r>
      <w:r w:rsidRPr="00F24BFA">
        <w:rPr>
          <w:rStyle w:val="Style1Char"/>
          <w:color w:val="4472C4" w:themeColor="accent1"/>
          <w:rtl/>
        </w:rPr>
        <w:t xml:space="preserve"> שלא תקנו להרבות ממזרין בישראל מוטב שבנות ישראל הרעות יתגרשו ולא שיוסיפו רעה על רעתן. והדין תקנתא ליתא אלא היכא דאימרדא איתתא בבעלה דבעיא למיפק מיניה משום דלא בעיא ליה אבל אם חלתה או שהיה בה חשש מיתה ורוצה להפקיע עצמה מתחת בעלה כדי שלא יירשנה ליתא להא תקנתא ולא עבדינן בה עובדא ובכי האי מילתא איכא למימר היכא דמיעקרא נחלה דאורייתא לא תקון רבנן. ואף על גב דחזינן בהאי מילתא פלוגתא דרבוותא. מסתברא כמ"ד לא עבדינן תקנתא בהאי מילתא ולדברי הכל כל מאן דכייפינן ליה בין מעיקר דינא כדתנן ואלו שכופין אותו להוציא ומאי דדמי להו ובין מעיקר תקנתא אי מיתא הך איתתא מקמי דתיפוק מיניה דבעל בגט בעלה ירית דלא מיפקעת ירושה דבעל אלא בגירושין גמורין וכן הלכתא וכן היה דן רבינו מאיר ז"ל בדינא דמתיבתא אבל היה מצוה להחרים אם השיאה שום אדם עצה כדי להוציא נדונייתה מבעלה וכשהיה נראה לו ערמה בדבר לא היה מצוה להחזיר לה אפילו נדונייתה הלכך לא היה דן דין מאיס עלי אם לא שתתן אמתלא לדבריה למה אינו מקובל עליה או שהיה מכלה כל הממון</w:t>
      </w:r>
      <w:r w:rsidRPr="00F24BFA">
        <w:rPr>
          <w:rStyle w:val="Style1Char"/>
          <w:color w:val="4472C4" w:themeColor="accent1"/>
        </w:rPr>
        <w:t xml:space="preserve">: </w:t>
      </w:r>
    </w:p>
    <w:p w14:paraId="74E62C4B" w14:textId="77777777" w:rsidR="002C4635" w:rsidRDefault="002C4635" w:rsidP="002C4635">
      <w:pPr>
        <w:bidi/>
        <w:rPr>
          <w:rStyle w:val="Style1Char"/>
          <w:color w:val="00B050"/>
          <w:rtl/>
        </w:rPr>
      </w:pPr>
      <w:r w:rsidRPr="00D27188">
        <w:rPr>
          <w:rStyle w:val="Style1Char"/>
          <w:color w:val="auto"/>
          <w:sz w:val="22"/>
          <w:szCs w:val="22"/>
          <w:rtl/>
        </w:rPr>
        <w:t>אמר רב טובי בר קיסנא אמר שמואל: כותבין אגרת מרד על ארוסה, ואין כותבין אגרת מרד על שומרת יבם</w:t>
      </w:r>
      <w:r w:rsidRPr="00D27188">
        <w:rPr>
          <w:rStyle w:val="Style1Char"/>
          <w:color w:val="auto"/>
          <w:rtl/>
        </w:rPr>
        <w:t xml:space="preserve"> </w:t>
      </w:r>
      <w:r w:rsidRPr="00F24BFA">
        <w:rPr>
          <w:rStyle w:val="Style1Char"/>
          <w:color w:val="4472C4" w:themeColor="accent1"/>
          <w:rtl/>
        </w:rPr>
        <w:t>אסקינן</w:t>
      </w:r>
      <w:r w:rsidRPr="00E42F32">
        <w:rPr>
          <w:rStyle w:val="Style1Char"/>
          <w:color w:val="C00000"/>
          <w:sz w:val="22"/>
          <w:szCs w:val="22"/>
          <w:rtl/>
        </w:rPr>
        <w:t>הא דשמואל שייכא במשנה אחרונה</w:t>
      </w:r>
      <w:r w:rsidRPr="005F123E">
        <w:rPr>
          <w:rStyle w:val="Style1Char"/>
          <w:color w:val="00B050"/>
          <w:rtl/>
        </w:rPr>
        <w:t>.</w:t>
      </w:r>
    </w:p>
    <w:p w14:paraId="3D3E351B" w14:textId="73B7D4AF" w:rsidR="002C4635" w:rsidRDefault="002C4635" w:rsidP="002C4635">
      <w:pPr>
        <w:bidi/>
        <w:rPr>
          <w:rStyle w:val="Style1Char"/>
          <w:sz w:val="22"/>
          <w:szCs w:val="22"/>
          <w:rtl/>
        </w:rPr>
      </w:pPr>
      <w:r w:rsidRPr="005F123E">
        <w:rPr>
          <w:rStyle w:val="Style1Char"/>
          <w:color w:val="00B050"/>
          <w:rtl/>
        </w:rPr>
        <w:t xml:space="preserve"> מיתיבי: אחת לי ארוסה ונשואה, אפילו נדה, אפילו חולה, ואפילו שומרת יבם! לא קשיא: כאן שתבע הוא, כאן שתבעה היא, דאמר רב תחליפא בר אבימי אמר שמואל: </w:t>
      </w:r>
      <w:r w:rsidR="00670D23">
        <w:rPr>
          <w:rStyle w:val="Style1Char"/>
          <w:rFonts w:hint="cs"/>
          <w:rtl/>
        </w:rPr>
        <w:t>(3)</w:t>
      </w:r>
      <w:r w:rsidRPr="005F123E">
        <w:rPr>
          <w:rStyle w:val="Style1Char"/>
          <w:color w:val="00B050"/>
          <w:rtl/>
        </w:rPr>
        <w:t xml:space="preserve">תבע הוא - נזקקין לו, תבעה היא - אין נזקקין לה. במאי אוקימתא להא דשמואל? בשתבעה היא, האי כותבין אגרת מרד על ארוסה, לארוסה מיבעי ליה! הא לא קשיא, תני: לארוסה. מאי שנא שומרת יבם דלא? דאמרינן לה זיל לא מפקדת, ארוסה נמי, נימא לה זיל לא מפקדת. אלא בבאה מחמת טענה, דאמרה בעינא חוטרא לידא ומרה לקבורה, ה"נ שומרת יבם בבאה מחמת טענה! אלא אידי ואידי שתבע הוא, ולא קשיא: </w:t>
      </w:r>
      <w:r w:rsidR="00D76196">
        <w:rPr>
          <w:rStyle w:val="Style1Char"/>
          <w:rFonts w:hint="cs"/>
          <w:rtl/>
        </w:rPr>
        <w:t>(</w:t>
      </w:r>
      <w:r w:rsidR="00830D6B">
        <w:rPr>
          <w:rStyle w:val="Style1Char"/>
          <w:rFonts w:hint="cs"/>
          <w:rtl/>
        </w:rPr>
        <w:t>3</w:t>
      </w:r>
      <w:r w:rsidR="00D76196">
        <w:rPr>
          <w:rStyle w:val="Style1Char"/>
          <w:rFonts w:hint="cs"/>
          <w:rtl/>
        </w:rPr>
        <w:t>)</w:t>
      </w:r>
      <w:r w:rsidRPr="005F123E">
        <w:rPr>
          <w:rStyle w:val="Style1Char"/>
          <w:color w:val="00B050"/>
          <w:rtl/>
        </w:rPr>
        <w:t xml:space="preserve">כאן לחלוץ, וכאן לייבם, דאמר ר' פדת אמר ר' יוחנן: תבע לחלוץ - נזקקין לו, תבע לייבם - אין נזקקין לו. מאי שנא לייבם דלא? דאמרינן ליה, זיל ונסיב איתתא אחריתי, לחלוץ נמי, נימא ליה זיל ונסיב איתתא אחריתי! אלא </w:t>
      </w:r>
      <w:r w:rsidR="003D48E1">
        <w:rPr>
          <w:rStyle w:val="Style1Char"/>
          <w:rFonts w:hint="cs"/>
          <w:rtl/>
        </w:rPr>
        <w:t>(3)</w:t>
      </w:r>
      <w:r w:rsidRPr="005F123E">
        <w:rPr>
          <w:rStyle w:val="Style1Char"/>
          <w:color w:val="00B050"/>
          <w:rtl/>
        </w:rPr>
        <w:t xml:space="preserve">דאמר כיון דאגידא בי לא קא יהבו לי אחריתי, הכא נמי כיון דאגידא בי לא קא יהבו לי אחריתי: אלא אידי ואידי שתבע לייבם, ולא קשיא: כאן כמשנה ראשונה, כאן כמשנה אחרונה, </w:t>
      </w:r>
      <w:r w:rsidRPr="00D27188">
        <w:rPr>
          <w:rStyle w:val="Style1Char"/>
          <w:color w:val="auto"/>
          <w:sz w:val="22"/>
          <w:szCs w:val="22"/>
          <w:rtl/>
        </w:rPr>
        <w:t xml:space="preserve">דתנן: </w:t>
      </w:r>
      <w:r w:rsidRPr="00F24BFA">
        <w:rPr>
          <w:rStyle w:val="Style1Char"/>
          <w:color w:val="4472C4" w:themeColor="accent1"/>
          <w:rtl/>
        </w:rPr>
        <w:t xml:space="preserve">בראשונה שהיו מתכוונים לשם מצוה היו אומרים </w:t>
      </w:r>
      <w:r w:rsidR="006D46AA">
        <w:rPr>
          <w:rStyle w:val="Style1Char"/>
          <w:rFonts w:hint="cs"/>
          <w:rtl/>
        </w:rPr>
        <w:t>(3.2, 4)</w:t>
      </w:r>
      <w:r w:rsidRPr="00D27188">
        <w:rPr>
          <w:rStyle w:val="Style1Char"/>
          <w:color w:val="auto"/>
          <w:sz w:val="22"/>
          <w:szCs w:val="22"/>
          <w:rtl/>
        </w:rPr>
        <w:t xml:space="preserve">מצות יבום קודמת למצות חליצה בראשונה שהיו מתכוונין לשום מצוה, עכשיו שאין מתכוונין לשום מצוה, </w:t>
      </w:r>
      <w:r w:rsidR="00763CDA">
        <w:rPr>
          <w:rStyle w:val="Style1Char"/>
          <w:rFonts w:hint="cs"/>
          <w:rtl/>
        </w:rPr>
        <w:t>(3.2)</w:t>
      </w:r>
      <w:r w:rsidRPr="00D27188">
        <w:rPr>
          <w:rStyle w:val="Style1Char"/>
          <w:color w:val="auto"/>
          <w:sz w:val="22"/>
          <w:szCs w:val="22"/>
          <w:rtl/>
        </w:rPr>
        <w:t>אמרו: מצות חליצה קודמת למצות יבום</w:t>
      </w:r>
      <w:r w:rsidRPr="00D27188">
        <w:rPr>
          <w:rStyle w:val="Style1Char"/>
          <w:color w:val="auto"/>
          <w:rtl/>
        </w:rPr>
        <w:t xml:space="preserve"> </w:t>
      </w:r>
      <w:r w:rsidRPr="00181F0E">
        <w:rPr>
          <w:rStyle w:val="Style1Char"/>
          <w:color w:val="C00000"/>
          <w:rtl/>
        </w:rPr>
        <w:t>וליתא למשנה אחרונה דגרסינן בפרק החולץ [יבמות ל"ט ע"ב] אמר רב אסי בר אדא אמר ר' יוחנן חזרו לומר מצות יבום קודמת למצות חליצה אמר רב נחמן אכשורי דרי מעיקרא סברוה כאבא שאול ולבסוף סברוה כרבנן דתניא אבא שאול אומר הכונס יבמתו לשם נוי לשם אישות לשם דבר אחר כאילו פוגע בערוה וקרוב בעיני להיות הולד ממזר וחכמים אומרים יבמה יבא עליה מכל מקום וכיון דלבסוף סברוה כרבנן נפקא לה משנה אחרונה מהלכתא ובטיל ליה מימרא דשמואל דאמר אין כותבין אגרת מרד על שומרת יבם והא מילתא דכתיבנא איפליגו בה תרתי מתיבאתא חדא מתיבתא סבירא להו דלא הוי מורדת וסמכי אהא דשמואל דאמר אין כותבין אגרת מרד על שומרת יבם ומתיבתא אחריתי סבירא להו דהויא מורדת מהאי טעמא דכתבינן ואיהו עדיף וטפי מסתבר וכוותיה עבדינן:</w:t>
      </w:r>
      <w:r w:rsidRPr="00AA1DDF">
        <w:rPr>
          <w:rStyle w:val="Style1Char"/>
          <w:sz w:val="22"/>
          <w:szCs w:val="22"/>
          <w:rtl/>
        </w:rPr>
        <w:t>.</w:t>
      </w:r>
    </w:p>
    <w:p w14:paraId="168820F5" w14:textId="77777777" w:rsidR="002C4635" w:rsidRDefault="002C4635" w:rsidP="002C4635">
      <w:pPr>
        <w:bidi/>
        <w:rPr>
          <w:rStyle w:val="Style1Char"/>
          <w:color w:val="4472C4" w:themeColor="accent1"/>
          <w:rtl/>
        </w:rPr>
      </w:pPr>
      <w:r w:rsidRPr="00F24BFA">
        <w:rPr>
          <w:rStyle w:val="Style1Char"/>
          <w:color w:val="4472C4" w:themeColor="accent1"/>
          <w:rtl/>
        </w:rPr>
        <w:t>וכתב רב אלפס ז"ל דליתא למשנה אחרונה הלכך ליתא נמי להא דשמואל ואני כתבתי</w:t>
      </w:r>
      <w:r>
        <w:rPr>
          <w:rStyle w:val="Style1Char"/>
          <w:rFonts w:hint="cs"/>
          <w:color w:val="4472C4" w:themeColor="accent1"/>
        </w:rPr>
        <w:t>‍</w:t>
      </w:r>
      <w:r w:rsidRPr="00F24BFA">
        <w:rPr>
          <w:rStyle w:val="Style1Char"/>
          <w:color w:val="4472C4" w:themeColor="accent1"/>
          <w:rtl/>
        </w:rPr>
        <w:t xml:space="preserve"> בפ' החולץ (סי' יז) בשם ר"ת דהלכה כמשנה אחרונה ואיתא נמי להא דשמואל וכן עמא דבר</w:t>
      </w:r>
      <w:r w:rsidRPr="00F24BFA">
        <w:rPr>
          <w:rStyle w:val="Style1Char"/>
          <w:color w:val="4472C4" w:themeColor="accent1"/>
        </w:rPr>
        <w:t xml:space="preserve">: </w:t>
      </w:r>
    </w:p>
    <w:p w14:paraId="7F6509CD" w14:textId="26F68A3F" w:rsidR="002C4635" w:rsidRDefault="002C4635" w:rsidP="002C4635">
      <w:pPr>
        <w:bidi/>
        <w:rPr>
          <w:rStyle w:val="Style1Char"/>
          <w:color w:val="auto"/>
          <w:sz w:val="22"/>
          <w:szCs w:val="22"/>
          <w:rtl/>
        </w:rPr>
      </w:pPr>
      <w:r w:rsidRPr="00EE24CC">
        <w:rPr>
          <w:rStyle w:val="Style1Char"/>
          <w:color w:val="806000" w:themeColor="accent4" w:themeShade="80"/>
          <w:sz w:val="22"/>
          <w:szCs w:val="22"/>
          <w:rtl/>
        </w:rPr>
        <w:lastRenderedPageBreak/>
        <w:t xml:space="preserve">ר' יהודה אומר </w:t>
      </w:r>
      <w:r w:rsidRPr="00F24BFA">
        <w:rPr>
          <w:rStyle w:val="Style1Char"/>
          <w:color w:val="4472C4" w:themeColor="accent1"/>
          <w:rtl/>
        </w:rPr>
        <w:t xml:space="preserve">שלשה </w:t>
      </w:r>
      <w:r w:rsidRPr="0078625A">
        <w:rPr>
          <w:rStyle w:val="Style1Char"/>
          <w:color w:val="806000" w:themeColor="accent4" w:themeShade="80"/>
          <w:sz w:val="22"/>
          <w:szCs w:val="22"/>
          <w:rtl/>
        </w:rPr>
        <w:t xml:space="preserve">שבעה טרפעיקין: </w:t>
      </w:r>
      <w:r w:rsidRPr="005F123E">
        <w:rPr>
          <w:rStyle w:val="Style1Char"/>
          <w:color w:val="00B050"/>
          <w:rtl/>
        </w:rPr>
        <w:t xml:space="preserve">עד מתי הוא פוחת וכו'. </w:t>
      </w:r>
      <w:r w:rsidRPr="004A40B2">
        <w:rPr>
          <w:rStyle w:val="Style1Char"/>
          <w:sz w:val="22"/>
          <w:szCs w:val="22"/>
          <w:rtl/>
        </w:rPr>
        <w:t>מאי טרפעיקין? אמר רב ששת: אסתירא. וכמה אסתירא? פלגא דזוזא</w:t>
      </w:r>
      <w:r w:rsidRPr="00523978">
        <w:rPr>
          <w:rStyle w:val="Style1Char"/>
          <w:color w:val="C00000"/>
          <w:rtl/>
        </w:rPr>
        <w:t xml:space="preserve"> </w:t>
      </w:r>
      <w:r w:rsidRPr="00257641">
        <w:rPr>
          <w:rStyle w:val="Style1Char"/>
          <w:color w:val="C00000"/>
          <w:sz w:val="22"/>
          <w:szCs w:val="22"/>
          <w:rtl/>
        </w:rPr>
        <w:t>ירושלמי הכא איתמר שבעה והכא איתמר תלת אמר רבי יוסי ברבי חנינא היא חייבת לו שבעה פוחת לה שבעה הוא חייב לה שלש מוסיף לה שלש ר' יוסי בר' חנינא לטעמיה דאמר בגמרא אף ממלאכה הויא מורדת אבל גמרא דילן דסבירא לה דמתשמיש הויא מורדת יהיב לה טעמא כנגד שבעה ימי שבת</w:t>
      </w:r>
      <w:r w:rsidRPr="004A40B2">
        <w:rPr>
          <w:rStyle w:val="Style1Char"/>
          <w:sz w:val="22"/>
          <w:szCs w:val="22"/>
          <w:rtl/>
        </w:rPr>
        <w:t>.</w:t>
      </w:r>
      <w:r w:rsidRPr="005F123E">
        <w:rPr>
          <w:rStyle w:val="Style1Char"/>
          <w:color w:val="00B050"/>
          <w:rtl/>
        </w:rPr>
        <w:t xml:space="preserve"> </w:t>
      </w:r>
      <w:r w:rsidRPr="0078625A">
        <w:rPr>
          <w:rStyle w:val="Style1Char"/>
          <w:color w:val="ED7D31" w:themeColor="accent2"/>
          <w:rtl/>
        </w:rPr>
        <w:t xml:space="preserve">תניא </w:t>
      </w:r>
      <w:r w:rsidRPr="005F123E">
        <w:rPr>
          <w:rStyle w:val="Style1Char"/>
          <w:color w:val="00B050"/>
          <w:rtl/>
        </w:rPr>
        <w:t xml:space="preserve">נמי הכי, </w:t>
      </w:r>
      <w:r w:rsidRPr="0078625A">
        <w:rPr>
          <w:rStyle w:val="Style1Char"/>
          <w:color w:val="ED7D31" w:themeColor="accent2"/>
          <w:rtl/>
        </w:rPr>
        <w:t xml:space="preserve">ר' יהודה אומר: שלשה טרפעיקין שהן תשע מעין, מעה וחצי לכל יום. אמר ליה רבי חייא בר יוסף לשמואל: מאי שנא איהו דיהבינן ליה דשבת, ומאי שנא איהי דלא יהבינן לה דשבת? </w:t>
      </w:r>
      <w:r w:rsidRPr="00F24BFA">
        <w:rPr>
          <w:rStyle w:val="Style1Char"/>
          <w:color w:val="4472C4" w:themeColor="accent1"/>
          <w:rtl/>
        </w:rPr>
        <w:t xml:space="preserve">אמר ליה איהו </w:t>
      </w:r>
      <w:r w:rsidRPr="00523978">
        <w:rPr>
          <w:rStyle w:val="Style1Char"/>
          <w:sz w:val="22"/>
          <w:szCs w:val="22"/>
          <w:rtl/>
        </w:rPr>
        <w:t xml:space="preserve">איהי </w:t>
      </w:r>
      <w:r w:rsidRPr="00765368">
        <w:rPr>
          <w:rStyle w:val="Style1Char"/>
          <w:color w:val="auto"/>
          <w:sz w:val="22"/>
          <w:szCs w:val="22"/>
          <w:rtl/>
        </w:rPr>
        <w:t>דמיפחת קא פחית - לא מיחזי כשכר שבת</w:t>
      </w:r>
      <w:r w:rsidRPr="00765368">
        <w:rPr>
          <w:rStyle w:val="Style1Char"/>
          <w:color w:val="auto"/>
          <w:rtl/>
        </w:rPr>
        <w:t xml:space="preserve"> </w:t>
      </w:r>
      <w:r w:rsidRPr="00B52C39">
        <w:rPr>
          <w:rStyle w:val="Style1Char"/>
          <w:color w:val="C00000"/>
          <w:sz w:val="22"/>
          <w:szCs w:val="22"/>
          <w:rtl/>
        </w:rPr>
        <w:t>יהבינן ליה שכר שבת</w:t>
      </w:r>
      <w:r w:rsidRPr="00523978">
        <w:rPr>
          <w:rStyle w:val="Style1Char"/>
          <w:sz w:val="22"/>
          <w:szCs w:val="22"/>
          <w:rtl/>
        </w:rPr>
        <w:t xml:space="preserve">, </w:t>
      </w:r>
      <w:r w:rsidRPr="00F24BFA">
        <w:rPr>
          <w:rStyle w:val="Style1Char"/>
          <w:color w:val="4472C4" w:themeColor="accent1"/>
          <w:rtl/>
        </w:rPr>
        <w:t xml:space="preserve">איהי </w:t>
      </w:r>
      <w:r w:rsidRPr="00523978">
        <w:rPr>
          <w:rStyle w:val="Style1Char"/>
          <w:sz w:val="22"/>
          <w:szCs w:val="22"/>
          <w:rtl/>
        </w:rPr>
        <w:t xml:space="preserve">איהו </w:t>
      </w:r>
      <w:r w:rsidRPr="00765368">
        <w:rPr>
          <w:rStyle w:val="Style1Char"/>
          <w:color w:val="auto"/>
          <w:sz w:val="22"/>
          <w:szCs w:val="22"/>
          <w:rtl/>
        </w:rPr>
        <w:t xml:space="preserve">דאוסופי קא מוספא – </w:t>
      </w:r>
    </w:p>
    <w:p w14:paraId="56C0C84E" w14:textId="6BE130BC" w:rsidR="00ED6E3D" w:rsidRDefault="00ED6E3D" w:rsidP="00ED6E3D">
      <w:pPr>
        <w:pStyle w:val="Style1"/>
        <w:rPr>
          <w:rtl/>
        </w:rPr>
      </w:pPr>
      <w:r>
        <w:rPr>
          <w:rFonts w:hint="cs"/>
          <w:rtl/>
        </w:rPr>
        <w:t>)[</w:t>
      </w:r>
      <w:r>
        <w:rPr>
          <w:rtl/>
        </w:rPr>
        <w:t>רמב</w:t>
      </w:r>
      <w:r w:rsidR="00213DA1">
        <w:rPr>
          <w:rtl/>
        </w:rPr>
        <w:t>”ם \נשים\</w:t>
      </w:r>
      <w:r>
        <w:rPr>
          <w:rtl/>
        </w:rPr>
        <w:t xml:space="preserve"> הלכות אישות פרק יד הלכה יג</w:t>
      </w:r>
      <w:r>
        <w:rPr>
          <w:rFonts w:hint="cs"/>
          <w:rtl/>
        </w:rPr>
        <w:t xml:space="preserve">] </w:t>
      </w:r>
      <w:r>
        <w:rPr>
          <w:rtl/>
        </w:rPr>
        <w:t>המורדת הזאת כשהיא יוצאת אחר שנים עשר חדש בלא כתובה תחזיר כל דבר שהוא של בעל, אבל נכסים שהכניסה לו ובלאותיהן קיימים אם תפשה אין מוציאים מידה ואם תפשן הבעל אין מוציאין מידו, וכן כל מה שאבד מנכסיה שקיבל הבעל אחריותן עליו אינו משלם לה כלום. זה הוא דין התלמוד במורדת.</w:t>
      </w:r>
    </w:p>
    <w:p w14:paraId="62C2012E" w14:textId="63199C8D" w:rsidR="00ED6E3D" w:rsidRPr="004B561E" w:rsidRDefault="009D702D" w:rsidP="00ED6E3D">
      <w:pPr>
        <w:pStyle w:val="Style1"/>
      </w:pPr>
      <w:r>
        <w:rPr>
          <w:rFonts w:hint="cs"/>
          <w:rtl/>
        </w:rPr>
        <w:t>1</w:t>
      </w:r>
      <w:r w:rsidR="00ED6E3D">
        <w:rPr>
          <w:rFonts w:hint="cs"/>
          <w:rtl/>
        </w:rPr>
        <w:t>)[</w:t>
      </w:r>
      <w:r w:rsidR="00ED6E3D">
        <w:rPr>
          <w:rtl/>
        </w:rPr>
        <w:t>שולחן ערוך אבן העזר הלכות כתובות סימן עז סעיף ג</w:t>
      </w:r>
      <w:r w:rsidR="00ED6E3D">
        <w:rPr>
          <w:rFonts w:hint="cs"/>
          <w:rtl/>
        </w:rPr>
        <w:t xml:space="preserve">] </w:t>
      </w:r>
      <w:r w:rsidR="00ED6E3D" w:rsidRPr="004B561E">
        <w:rPr>
          <w:rtl/>
        </w:rPr>
        <w:t>המורדת הזאת, כשהיא יוצאת אחר שנים עשר חדש בלא כתובה, תחזיר כל דבר שהוא של בעל. אבל נכסים שהכניסה לו, ובלאותיהם קיימים -- אם תפסה אין מוציאין מידה, ואם לא תפסה אין נותנין לה</w:t>
      </w:r>
      <w:r w:rsidR="00ED6E3D" w:rsidRPr="004B561E">
        <w:t>; </w:t>
      </w:r>
      <w:r w:rsidR="00ED6E3D" w:rsidRPr="004B561E">
        <w:rPr>
          <w:rFonts w:hint="cs"/>
          <w:rtl/>
        </w:rPr>
        <w:t>וקרקעות של צאן ברזל היא נוטלתן (טור)</w:t>
      </w:r>
      <w:r w:rsidR="00ED6E3D" w:rsidRPr="004B561E">
        <w:t xml:space="preserve">, </w:t>
      </w:r>
      <w:r w:rsidR="00ED6E3D" w:rsidRPr="004B561E">
        <w:rPr>
          <w:rtl/>
        </w:rPr>
        <w:t>וכן כל מה שאבד מנכסיה שקבל הבעל אחריותן עליו, אינו משלם לה כלום</w:t>
      </w:r>
      <w:r w:rsidR="00ED6E3D" w:rsidRPr="004B561E">
        <w:t>.</w:t>
      </w:r>
    </w:p>
    <w:p w14:paraId="47B41AE0" w14:textId="77777777" w:rsidR="00ED6E3D" w:rsidRPr="004B561E" w:rsidRDefault="00ED6E3D" w:rsidP="00ED6E3D">
      <w:pPr>
        <w:pStyle w:val="Style1"/>
      </w:pPr>
      <w:r w:rsidRPr="004B561E">
        <w:rPr>
          <w:rFonts w:hint="cs"/>
          <w:rtl/>
        </w:rPr>
        <w:t>הגה: וכל זה בנכסי צאן ברזל, אבל נכסי מלוג שלה, ברשותה הם והיא נוטלתן (טור). ויש אומרים דכל זה באינה נותנת אמתלא וטעם לדבריה למה אומרת מאיס עלי; אבל בנותנת אמתלא לדבריה, כגון שאומרת שאינו הולך בדרך ישרה, ומכלה ממונו וכיוצא בזה, אז דיינינן לה כדינא שתקנו הגאונים (טור בשם מוהר"ם מרוטנבורג) ונקרא דינא דמתיבתא, שהבעל צריך להחזיר לה כל מה שהכניסה לו בנדוניתה, דהיינו צאן ברזל אם הם בעין וראויין למלאכתם הראשונה נוטלת הכל כמו שהוא, ואם אינם ראויין למלאכתם הראשונה, וכל שכן אם נגנבו או נאבדו, צריך הבעל לשלם הכל; ונכסי מלוג שלה, אם הם בעין או דבר הבא מכחה, נוטלתן, אבל אם כלו לגמרי אין הבעל צריך לשלם (דינא דמתיבתא טור בשם הרי"ף), אבל כל מה שנתן לה או כתב לה אינה נוטלת כלום, ואפילו תפסה צריכה להחזיר (מרדכי פרק אף על פי)</w:t>
      </w:r>
      <w:r w:rsidRPr="004B561E">
        <w:rPr>
          <w:rFonts w:hint="cs"/>
        </w:rPr>
        <w:t>.</w:t>
      </w:r>
    </w:p>
    <w:p w14:paraId="6377E30E" w14:textId="77777777" w:rsidR="00ED6E3D" w:rsidRPr="004B561E" w:rsidRDefault="00ED6E3D" w:rsidP="00ED6E3D">
      <w:pPr>
        <w:pStyle w:val="Style1"/>
      </w:pPr>
      <w:r w:rsidRPr="004B561E">
        <w:rPr>
          <w:rFonts w:hint="cs"/>
          <w:rtl/>
        </w:rPr>
        <w:t>ואין כופין אותו לגרש, ולא אותה להיות אצלו (גם זה בטור בתשובת מוהר"ם). ואם עשה שלא כהוגן שקדשה ברמאות ובתחבולות, כופין אותו לגרש (הרא"ש כלל ל"ה). ויש אומרים עוד, דמטילין חרם (טור בשם מוהר"ם)</w:t>
      </w:r>
      <w:r w:rsidRPr="004B561E">
        <w:rPr>
          <w:rFonts w:hint="cs"/>
        </w:rPr>
        <w:t>.</w:t>
      </w:r>
    </w:p>
    <w:p w14:paraId="094E8E92" w14:textId="77777777" w:rsidR="00ED6E3D" w:rsidRPr="004B561E" w:rsidRDefault="00ED6E3D" w:rsidP="00ED6E3D">
      <w:pPr>
        <w:pStyle w:val="Style1"/>
      </w:pPr>
      <w:r w:rsidRPr="004B561E">
        <w:rPr>
          <w:rFonts w:hint="cs"/>
          <w:rtl/>
        </w:rPr>
        <w:t>אם בני אדם למדוה למרד, או שעושה כך משום כעס וקטטה, או להוציא ממונו ממנו, אז אפילו מה שתפסה מנכסיה נוטלין מידה ומחזירין לבעל (מרדכי פרק אף על פי). ואין חילוק בין אם תפסה או לא, אלא בטוענת מאיס ואינה נותנת אמתלא מבררת לדבריה, אבל מכל מקום נותנת אמתלא ואין בזה רמאות, והבית דין ידונו בזה לפי ראות עיניהם (מהרי"ו סימן כ'). ויכולין להשביע אותה על כך, אם טוענת באמת מאיס עלי (שם), וכן ראוי להורות</w:t>
      </w:r>
      <w:r w:rsidRPr="004B561E">
        <w:rPr>
          <w:rFonts w:hint="cs"/>
        </w:rPr>
        <w:t>.</w:t>
      </w:r>
    </w:p>
    <w:p w14:paraId="25C01B88" w14:textId="77777777" w:rsidR="00ED6E3D" w:rsidRPr="004B561E" w:rsidRDefault="00ED6E3D" w:rsidP="00ED6E3D">
      <w:pPr>
        <w:pStyle w:val="Style1"/>
      </w:pPr>
      <w:r w:rsidRPr="004B561E">
        <w:rPr>
          <w:rFonts w:hint="cs"/>
          <w:rtl/>
        </w:rPr>
        <w:t>וכל זמן שלא נתן גט, אין לו כפיה ונגישה עליה, אבל מכל מקום אין לה ליתן משלה לאחרים, ויכול למחות בה, דאם מתה יירשנה (גם זה שם)</w:t>
      </w:r>
      <w:r w:rsidRPr="004B561E">
        <w:rPr>
          <w:rFonts w:hint="cs"/>
        </w:rPr>
        <w:t>.</w:t>
      </w:r>
    </w:p>
    <w:p w14:paraId="55ECF57D" w14:textId="77777777" w:rsidR="00ED6E3D" w:rsidRPr="004B561E" w:rsidRDefault="00ED6E3D" w:rsidP="00ED6E3D">
      <w:pPr>
        <w:pStyle w:val="Style1"/>
      </w:pPr>
      <w:r w:rsidRPr="004B561E">
        <w:rPr>
          <w:rFonts w:hint="cs"/>
          <w:rtl/>
        </w:rPr>
        <w:t>אפילו במקום שכופין אותו לגרש, במורדת, אם מתה קודם שגרשה, יורש אותה, דאין ירושתה נפקעת אלא בגרושין (טור בשם גאון)</w:t>
      </w:r>
      <w:r w:rsidRPr="004B561E">
        <w:rPr>
          <w:rFonts w:hint="cs"/>
        </w:rPr>
        <w:t>.</w:t>
      </w:r>
    </w:p>
    <w:p w14:paraId="7E92A861" w14:textId="77777777" w:rsidR="00ED6E3D" w:rsidRPr="004B561E" w:rsidRDefault="00ED6E3D" w:rsidP="00ED6E3D">
      <w:pPr>
        <w:pStyle w:val="Style1"/>
      </w:pPr>
      <w:r w:rsidRPr="004B561E">
        <w:rPr>
          <w:rFonts w:hint="cs"/>
          <w:rtl/>
        </w:rPr>
        <w:t>אם אביה תפס מנדוניא שהכניסה לבעלה, מהני כאילו תפסה היא בעצמה (מרדכי בשם תשובת מוהר"ם פרק אף על פי ובהגהות בשם תשובת מוהר"ם)</w:t>
      </w:r>
      <w:r w:rsidRPr="004B561E">
        <w:rPr>
          <w:rFonts w:hint="cs"/>
        </w:rPr>
        <w:t>.</w:t>
      </w:r>
    </w:p>
    <w:p w14:paraId="5B5287A0" w14:textId="38C0BAF8" w:rsidR="00ED6E3D" w:rsidRDefault="00ED6E3D" w:rsidP="00ED6E3D">
      <w:pPr>
        <w:pStyle w:val="Style1"/>
        <w:rPr>
          <w:rtl/>
        </w:rPr>
      </w:pPr>
      <w:r w:rsidRPr="004B561E">
        <w:rPr>
          <w:rFonts w:hint="cs"/>
          <w:rtl/>
        </w:rPr>
        <w:t>הבגדים שהכניסה הכלה אין להם דין צאן ברזל, ואין צאן ברזל אלא השומא שמכנסת האשה לבעלה (טור בשם הרא"ש)</w:t>
      </w:r>
      <w:r w:rsidRPr="004B561E">
        <w:t>:</w:t>
      </w:r>
    </w:p>
    <w:p w14:paraId="54D19662" w14:textId="5788A6F1" w:rsidR="009D702D" w:rsidRDefault="009D702D" w:rsidP="009D702D">
      <w:pPr>
        <w:pStyle w:val="Style1"/>
        <w:rPr>
          <w:rtl/>
        </w:rPr>
      </w:pPr>
      <w:r>
        <w:rPr>
          <w:rFonts w:hint="cs"/>
          <w:rtl/>
        </w:rPr>
        <w:t>2)[</w:t>
      </w:r>
      <w:r>
        <w:rPr>
          <w:rtl/>
        </w:rPr>
        <w:t>רמב</w:t>
      </w:r>
      <w:r w:rsidR="00213DA1">
        <w:rPr>
          <w:rtl/>
        </w:rPr>
        <w:t>”ם \נשים\</w:t>
      </w:r>
      <w:r>
        <w:rPr>
          <w:rtl/>
        </w:rPr>
        <w:t xml:space="preserve"> הלכות אישות פרק יד הלכה י</w:t>
      </w:r>
      <w:r>
        <w:rPr>
          <w:rFonts w:hint="cs"/>
          <w:rtl/>
        </w:rPr>
        <w:t xml:space="preserve">] </w:t>
      </w:r>
      <w:r>
        <w:rPr>
          <w:rtl/>
        </w:rPr>
        <w:t>ואחר ההכרזה שולחין לה פעם שנייה ואומרים לה אם את עומדת במרדך הפסדת כתובתיך. אם עמדה במרדה ולא ח חזרה נמלכין בה ותאבד כתובתה ולא יהיה לה כתובה כלל, ואין נותנין לה גט עד שנים עשר חדש ואין לה מזונות כל שנים עשר חדש, ואם מתה קודם הגט בעלה יורשה.</w:t>
      </w:r>
    </w:p>
    <w:p w14:paraId="1BFC1C08" w14:textId="2F8C9E17" w:rsidR="009D702D" w:rsidRPr="00E01E39" w:rsidRDefault="009D702D" w:rsidP="009D702D">
      <w:pPr>
        <w:pStyle w:val="Style1"/>
      </w:pPr>
      <w:r>
        <w:rPr>
          <w:rFonts w:hint="cs"/>
          <w:rtl/>
        </w:rPr>
        <w:t>2)[</w:t>
      </w:r>
      <w:r>
        <w:rPr>
          <w:rtl/>
        </w:rPr>
        <w:t>שולחן ערוך אבן העזר הלכות כתובות סימן עז סעיף ב</w:t>
      </w:r>
      <w:r>
        <w:rPr>
          <w:rFonts w:hint="cs"/>
          <w:rtl/>
        </w:rPr>
        <w:t xml:space="preserve">] </w:t>
      </w:r>
      <w:r w:rsidRPr="00E01E39">
        <w:rPr>
          <w:rtl/>
        </w:rPr>
        <w:t>האשה שמנעה בעלה מתשמיש, היא הנקראת "מורדת"; ושואלין אותה מפני מה מרדה, אם אמרה: מאסתיהו ואיני יכולה להיבעל לו מדעתי</w:t>
      </w:r>
      <w:r w:rsidRPr="00E01E39">
        <w:t>, </w:t>
      </w:r>
      <w:r w:rsidRPr="00E01E39">
        <w:rPr>
          <w:rFonts w:hint="cs"/>
          <w:rtl/>
        </w:rPr>
        <w:t>ודווקא שמבקשת גט בלא כתובה, אבל אם אומרת: יתן לי גט וכתובתי, חיישינן שמא נתנה עיניה באחר, ויש לה דין מורדת דבעינא ומצערנא ליה (בית יוסף בשם תשובת הר"ן וכן פרש"י בגמרא)</w:t>
      </w:r>
      <w:r w:rsidRPr="00E01E39">
        <w:t xml:space="preserve">, </w:t>
      </w:r>
      <w:r w:rsidRPr="00E01E39">
        <w:rPr>
          <w:rtl/>
        </w:rPr>
        <w:t>אם רצה הבעל לגרשה אין לה כתובה כלל, ותיטול בלאותיה הקיימים, בין מנכסים שהכניסה לבעלה ונתחייב באחריותן, בין נכסי מלוג שלא נתחיב באחריותן, ואינה נוטלת משל בעלה כלום, ואפילו מנעל שברגליה ומטפחת שבראשה שלקחם לה, פושטת ונותנת, וכל מה שנתן לה מתנה מחזרת אותו</w:t>
      </w:r>
      <w:r w:rsidRPr="00E01E39">
        <w:t>.</w:t>
      </w:r>
    </w:p>
    <w:p w14:paraId="31CC1023" w14:textId="77777777" w:rsidR="009D702D" w:rsidRPr="00E01E39" w:rsidRDefault="009D702D" w:rsidP="009D702D">
      <w:pPr>
        <w:pStyle w:val="Style1"/>
      </w:pPr>
      <w:r w:rsidRPr="00E01E39">
        <w:rPr>
          <w:rFonts w:hint="cs"/>
          <w:rtl/>
        </w:rPr>
        <w:t>ויש אומרים דאף מנכסי צאן ברזל אינה נוטלת אלא מה שתפסה. ויש אומרים דאפילו נכסי מלוג אינה נוטלת אלא מה שתפסה (בית יוסף בשם תשובת הר"ן שכן כתב בשם הרשב"א)</w:t>
      </w:r>
      <w:r w:rsidRPr="00E01E39">
        <w:t>.</w:t>
      </w:r>
    </w:p>
    <w:p w14:paraId="7C93CF26" w14:textId="77777777" w:rsidR="009D702D" w:rsidRPr="00E01E39" w:rsidRDefault="009D702D" w:rsidP="009D702D">
      <w:pPr>
        <w:pStyle w:val="Style1"/>
      </w:pPr>
      <w:r w:rsidRPr="00E01E39">
        <w:rPr>
          <w:rtl/>
        </w:rPr>
        <w:t>ואם מרדה מתחת בעלה כדי לצערו, ואמרה: הריני מצערת אותו בכך, מפני שעשה לי כך וכך, או מפני שקללני, או מפני שעשה עמי מריבה וכיוצא בדברים אלו, שולחין לה מבית דין ואומרים לה: הוי יודעת שאם את עומדת במרדך, אפילו כתובתיך מאה מנה הפסדת אותם. ואחר כך מכריזין עליה בבתי כנסיות ובתי מדרשות, בכל יום, ארבע שבתות זו אחר זו</w:t>
      </w:r>
      <w:r w:rsidRPr="00E01E39">
        <w:t>, </w:t>
      </w:r>
      <w:r w:rsidRPr="00E01E39">
        <w:rPr>
          <w:rFonts w:hint="cs"/>
          <w:rtl/>
        </w:rPr>
        <w:t>ויש אומרים דאין צריך להכריז בכל יום, אלא ארבע שבתות ממש, (הר"ן והגהות מימוני, וכן משמע לשון הטור), וכן נראה לי עיקר</w:t>
      </w:r>
      <w:r w:rsidRPr="00E01E39">
        <w:t xml:space="preserve">, </w:t>
      </w:r>
      <w:r w:rsidRPr="00E01E39">
        <w:rPr>
          <w:rtl/>
        </w:rPr>
        <w:t>ואומרים: פלונית מרדה על בעלה. ואחר ההכרזה שולחין לה בית דין פעם שנית: אם את עומדת במרדך הפסדת כתובתיך, אם עמדה במרדה ולא חזרה, נמלכין בה ותאבד כתובתה, ולא יהיה לה כתובה כלל; ואין נותנים לה גט עד שנים עשר חודש; ואין לה מזונות כל שנים עשר חדש</w:t>
      </w:r>
      <w:r w:rsidRPr="00E01E39">
        <w:t>, </w:t>
      </w:r>
      <w:r w:rsidRPr="00E01E39">
        <w:rPr>
          <w:rFonts w:hint="cs"/>
          <w:rtl/>
        </w:rPr>
        <w:t>ואפילו היא מעוברת (בית יוסף בשם תשובת הרשב"א); ומעשה ידיה שלה, אבל נוטל פירות (טור)</w:t>
      </w:r>
      <w:r w:rsidRPr="00E01E39">
        <w:t>.</w:t>
      </w:r>
    </w:p>
    <w:p w14:paraId="4D7EED19" w14:textId="77777777" w:rsidR="009D702D" w:rsidRPr="00E01E39" w:rsidRDefault="009D702D" w:rsidP="009D702D">
      <w:pPr>
        <w:pStyle w:val="Style1"/>
      </w:pPr>
      <w:r w:rsidRPr="00E01E39">
        <w:rPr>
          <w:rtl/>
        </w:rPr>
        <w:t>ואם מתה קודם הגט, בעלה יורשה </w:t>
      </w:r>
      <w:r w:rsidRPr="00E01E39">
        <w:rPr>
          <w:rFonts w:hint="cs"/>
          <w:rtl/>
        </w:rPr>
        <w:t>וחייב בפדיונה וקבורתה (טור). ולאחר שנים עשר חודש אין לבעל עליה כלום, וכן היא עליו; מאחר שאבדה הכתובה, אין לה כל תנאי כתובה, מאחר שיוכל לגרשה בלא כתובה והוא מעכבה מרצונו (דברי הרב וכן משמע במהרי"ן סימן כ')</w:t>
      </w:r>
      <w:r w:rsidRPr="00E01E39">
        <w:t xml:space="preserve">. </w:t>
      </w:r>
      <w:r w:rsidRPr="00E01E39">
        <w:rPr>
          <w:rtl/>
        </w:rPr>
        <w:t>כסדר הזה עושין לה, אם מרדה כדי לצערו</w:t>
      </w:r>
      <w:r w:rsidRPr="00E01E39">
        <w:t>.</w:t>
      </w:r>
    </w:p>
    <w:p w14:paraId="195AC182" w14:textId="77777777" w:rsidR="009D702D" w:rsidRPr="00E01E39" w:rsidRDefault="009D702D" w:rsidP="009D702D">
      <w:pPr>
        <w:pStyle w:val="Style1"/>
      </w:pPr>
      <w:r w:rsidRPr="00E01E39">
        <w:rPr>
          <w:rFonts w:hint="cs"/>
          <w:rtl/>
        </w:rPr>
        <w:t xml:space="preserve">ולאחר שנים עשר חודש לא מהני חזרתה, אלא איבדה כתובתה, ואם רוצה לקיימה, צריך לכתוב לה כתובה אחרת. אבל תוך שנים עשר חודש יכולה לחזור בה, ויש לה כתובה. ואם מת תוך שנים עשר חודש, יש לה כתובה מן היורשים (כל זה בהר"ן פרק אף על פי). ואם רוצה לגרשה תוך שנים עשר חדש נותן לה צאן ברזל שלה, וכתובתה וכל מה שכתב לה (בית יוסף בשם תשובת הרשב"א). ויש אומרים דבזמן הזה שאין נושאין שתי נשים, לא משהינן לה שנים עשר חדש אם רוצה לגרשה, ואם אינה רוצה, מתירין לו לישא אחרת (מרדכי סוף אף על פי בשם ראב"ן). ויש חולקין שאין להתיר לו לישא אחרת (שם בהגהת ותשובת הרשב"א סימן תת"ס ומהרי"ק שרש ס"ג), וכן עיקר. ודווקא בנשואה, אבל ארוסה המורדת על בעלה ואינה רוצה להיכנס לו, יגרשנה בעל כרחה, או ישא אחרת, ומתירין לו (שם). ונראה לי, דווקא תוך שנים עשר חודש, אבל לאחר שנים עשר חדש אם הוא רוצה </w:t>
      </w:r>
      <w:r w:rsidRPr="00E01E39">
        <w:rPr>
          <w:rFonts w:hint="cs"/>
          <w:rtl/>
        </w:rPr>
        <w:lastRenderedPageBreak/>
        <w:t>לגרש צריכה לקבל ממנו בעל כרחה, או מתירין לו לישא אחרת, דאין כח ביד האשה לעגנו לעולם, וכן נראה לי (להורות). ויש אומרים דאפילו תוך שנים עשר חודש אם עבר ונשא אחרת מחמת מרידתה, אין כופין לגרש (מהרי"ק שרש כ"ט)</w:t>
      </w:r>
      <w:r w:rsidRPr="00E01E39">
        <w:t>.</w:t>
      </w:r>
    </w:p>
    <w:p w14:paraId="49BE6182" w14:textId="77777777" w:rsidR="009D702D" w:rsidRPr="00E01E39" w:rsidRDefault="009D702D" w:rsidP="009D702D">
      <w:pPr>
        <w:pStyle w:val="Style1"/>
      </w:pPr>
      <w:r w:rsidRPr="00E01E39">
        <w:rPr>
          <w:rtl/>
        </w:rPr>
        <w:t>ואפילו היתה נדה או חולה שאינה ראויה לתשמיש. ואין חילוק בין התחילה למרוד קודם חליה או אחר כך (הר"ן פרק אף על פי, וכן משמע במרדכי בשם ראבי"ה והגהות אלפסי), ויש חולקין (שם בשם מוהר"ם)</w:t>
      </w:r>
      <w:r w:rsidRPr="00E01E39">
        <w:t>.</w:t>
      </w:r>
    </w:p>
    <w:p w14:paraId="27AF846E" w14:textId="2A5C6554" w:rsidR="009D702D" w:rsidRDefault="009D702D" w:rsidP="009D702D">
      <w:pPr>
        <w:pStyle w:val="Style1"/>
        <w:rPr>
          <w:rtl/>
        </w:rPr>
      </w:pPr>
      <w:r w:rsidRPr="00E01E39">
        <w:rPr>
          <w:rtl/>
        </w:rPr>
        <w:t>ואפילו היה בעלה מלח שעונתו לשישה חדשים, ואפילו יש לו אשה אחרת. וכן ארוסה שהגיע זמנה לינשא, ומרדה כדי לצערו ולא נישאת, הרי זו מורדת מתשמיש. ויש אומרים שגם יבמה שלא רצתה להתייבם כדי לצערו, כסדר הזה עושין לה</w:t>
      </w:r>
      <w:r w:rsidRPr="00E01E39">
        <w:t>:</w:t>
      </w:r>
    </w:p>
    <w:p w14:paraId="35A823F1" w14:textId="79881F81" w:rsidR="0039286A" w:rsidRDefault="0039286A" w:rsidP="0039286A">
      <w:pPr>
        <w:pStyle w:val="Style1"/>
        <w:rPr>
          <w:rtl/>
        </w:rPr>
      </w:pPr>
      <w:r>
        <w:rPr>
          <w:rFonts w:hint="cs"/>
          <w:rtl/>
        </w:rPr>
        <w:t>3)[</w:t>
      </w:r>
      <w:r>
        <w:rPr>
          <w:rtl/>
        </w:rPr>
        <w:t>רמב</w:t>
      </w:r>
      <w:r w:rsidR="00EC109D">
        <w:rPr>
          <w:rtl/>
        </w:rPr>
        <w:t>”ם \נשים\</w:t>
      </w:r>
      <w:r>
        <w:rPr>
          <w:rtl/>
        </w:rPr>
        <w:t xml:space="preserve"> הלכות יבום וחליצה פרק ב הלכה י</w:t>
      </w:r>
      <w:r>
        <w:rPr>
          <w:rFonts w:hint="cs"/>
          <w:rtl/>
        </w:rPr>
        <w:t xml:space="preserve">] </w:t>
      </w:r>
      <w:r>
        <w:rPr>
          <w:rtl/>
        </w:rPr>
        <w:t>יבמה הראויה ליבום שלא רצת להתיבם דינה כדין מורדת על בעלה וכופין את יבמה לחלוץ לה ותצא בלא כתובה, הניח אחיו נשים רבות כל מי שתבע היבם מהן ליבום ולא רצת היא המורדת וחולץ לה ותצא בלא כתובה ושאר צרותיה שלא נתבעו נוטלות כתובתן כשאר האלמנות.</w:t>
      </w:r>
    </w:p>
    <w:p w14:paraId="2AF496A2" w14:textId="315A5F3E" w:rsidR="005D532D" w:rsidRPr="00040749" w:rsidRDefault="005D532D" w:rsidP="005D532D">
      <w:pPr>
        <w:pStyle w:val="Style1"/>
      </w:pPr>
      <w:r>
        <w:rPr>
          <w:rFonts w:hint="cs"/>
          <w:rtl/>
        </w:rPr>
        <w:t>3)[</w:t>
      </w:r>
      <w:r>
        <w:rPr>
          <w:rtl/>
        </w:rPr>
        <w:t>שולחן ערוך אבן העזר הלכות יבום סימן קסה סעיף א</w:t>
      </w:r>
      <w:r>
        <w:rPr>
          <w:rFonts w:hint="cs"/>
          <w:rtl/>
        </w:rPr>
        <w:t xml:space="preserve">] </w:t>
      </w:r>
      <w:r w:rsidRPr="00040749">
        <w:rPr>
          <w:rtl/>
        </w:rPr>
        <w:t>מצות יבום קודמת למצות חליצה. ואם אינה רוצה להתיבם לשום אחד מהאחים</w:t>
      </w:r>
      <w:r w:rsidRPr="00040749">
        <w:t>, </w:t>
      </w:r>
      <w:r w:rsidRPr="00040749">
        <w:rPr>
          <w:rFonts w:hint="cs"/>
          <w:rtl/>
        </w:rPr>
        <w:t>או בגדול כשרוצה ליבם</w:t>
      </w:r>
      <w:r w:rsidRPr="00040749">
        <w:t xml:space="preserve">, </w:t>
      </w:r>
      <w:r w:rsidRPr="00040749">
        <w:rPr>
          <w:rtl/>
        </w:rPr>
        <w:t>בלא טענה מספקת, דינה כמורדת. ויש אומרים שמצות חליצה קודמת</w:t>
      </w:r>
      <w:r w:rsidRPr="00040749">
        <w:t>.</w:t>
      </w:r>
    </w:p>
    <w:p w14:paraId="04437F86" w14:textId="6BC5EB30" w:rsidR="005D532D" w:rsidRDefault="005D532D" w:rsidP="005D532D">
      <w:pPr>
        <w:pStyle w:val="Style1"/>
        <w:rPr>
          <w:rtl/>
        </w:rPr>
      </w:pPr>
      <w:r w:rsidRPr="00040749">
        <w:rPr>
          <w:rFonts w:hint="cs"/>
          <w:rtl/>
        </w:rPr>
        <w:t>הגה: ואין לה דין מורדת אם אינה רוצה להתיבם. ומכל מקום אין כופין אותו לחלץ, אלא מטעין אותו אם יכולין להטעותו, כגון שאומרים לו: חלץ על מנת שתתן לך מנה (טור בשם ר"ת והרא"ש). ודוקא אם אינו מאותן שכופין להוציא גבי בעל, כמו שנתבאר לעיל </w:t>
      </w:r>
      <w:hyperlink r:id="rId140" w:tooltip="שולחן ערוך אבן העזר קנד" w:history="1">
        <w:r w:rsidRPr="00040749">
          <w:rPr>
            <w:rStyle w:val="Hyperlink"/>
            <w:rFonts w:hint="cs"/>
            <w:color w:val="7030A0"/>
            <w:u w:val="none"/>
            <w:rtl/>
          </w:rPr>
          <w:t>סימן קנ"ד</w:t>
        </w:r>
      </w:hyperlink>
      <w:r w:rsidRPr="00040749">
        <w:rPr>
          <w:rFonts w:hint="cs"/>
        </w:rPr>
        <w:t xml:space="preserve">. </w:t>
      </w:r>
      <w:r w:rsidRPr="00040749">
        <w:rPr>
          <w:rFonts w:hint="cs"/>
          <w:rtl/>
        </w:rPr>
        <w:t>ואם שניהם רוצים ביבום, אין מניחים אותם ליבם אלא אם כן ניכר וידוע שמכוונים לשם מצוה (טור בשם ר"ת). ויש אומרים דאם יש לו אשה אחרת, שכופין אותו ומנדין אותו עד שיחלץ (טור בשם סמ"ג). ויש אומרים אפילו בלא אשה אחרת, אם אינם מכונים לשם מצוה, והיא אינה רוצה להתיבם, ואין יכולים להטעותו, כופין אותו לחלץ. והמנהג כסברא הראשונה, שאין כופין לחליצה כלל, אפילו יודעין בו שנתן עיניו בממון (מהר"ם פדוואה סימן י"ח), אלא מפשרים ביניהם כפי תקנות הקהלות, כמו שיתבאר למטה. וכל זה כשהוא אומר שרוצה להתיבם, ואפשר להתיבם שאין חשש אסור ביבומו. אבל אם אומר שאינו רוצה לא ליבם ולא לחלץ, כופין אותו (ב"י בשם ר"ת). ודוקא בבאה מחמת טענה, כדרך שנתבאר לעיל סימן קנ"ד</w:t>
      </w:r>
      <w:r w:rsidRPr="00040749">
        <w:rPr>
          <w:rFonts w:hint="cs"/>
        </w:rPr>
        <w:t xml:space="preserve"> (</w:t>
      </w:r>
      <w:hyperlink r:id="rId141" w:tooltip="תרומת הדשן/א/רכ" w:history="1">
        <w:r w:rsidRPr="00040749">
          <w:rPr>
            <w:rStyle w:val="Hyperlink"/>
            <w:rFonts w:hint="cs"/>
            <w:color w:val="7030A0"/>
            <w:u w:val="none"/>
            <w:rtl/>
          </w:rPr>
          <w:t>ת"ה סימן ר"כ</w:t>
        </w:r>
      </w:hyperlink>
      <w:r w:rsidRPr="00040749">
        <w:rPr>
          <w:rFonts w:hint="cs"/>
        </w:rPr>
        <w:t xml:space="preserve">). </w:t>
      </w:r>
      <w:r w:rsidRPr="00040749">
        <w:rPr>
          <w:rFonts w:hint="cs"/>
          <w:rtl/>
        </w:rPr>
        <w:t>מיהו, אם אפשר להטעותו ולומר לו שיקח ממון הרבה על החליצה, מטעינן לה כדי שלא נצטרך לכף (נ"י מ"כ). ויזהרו שלא ישלישו הממון ביד שליש, כי אז לא יכולין לומר לו: משטה היינו בך (מרדכי פ' החולץ). ועין לקמן </w:t>
      </w:r>
      <w:hyperlink r:id="rId142" w:anchor="%D7%A1%D7%A2%D7%99%D7%A3_%D7%A0" w:tooltip="שולחן ערוך אבן העזר קסט" w:history="1">
        <w:r w:rsidRPr="00040749">
          <w:rPr>
            <w:rStyle w:val="Hyperlink"/>
            <w:rFonts w:hint="cs"/>
            <w:color w:val="7030A0"/>
            <w:u w:val="none"/>
            <w:rtl/>
          </w:rPr>
          <w:t>סימן קס"ט סעיף נ</w:t>
        </w:r>
        <w:r w:rsidRPr="00040749">
          <w:rPr>
            <w:rStyle w:val="Hyperlink"/>
            <w:rFonts w:hint="cs"/>
            <w:color w:val="7030A0"/>
            <w:u w:val="none"/>
          </w:rPr>
          <w:t>'</w:t>
        </w:r>
      </w:hyperlink>
      <w:r w:rsidRPr="00040749">
        <w:t>:</w:t>
      </w:r>
    </w:p>
    <w:p w14:paraId="600E7822" w14:textId="75DB715A" w:rsidR="002539B4" w:rsidRDefault="002539B4" w:rsidP="00872A92">
      <w:pPr>
        <w:pStyle w:val="Style1"/>
        <w:rPr>
          <w:rtl/>
        </w:rPr>
      </w:pPr>
      <w:r>
        <w:rPr>
          <w:rFonts w:hint="cs"/>
          <w:rtl/>
        </w:rPr>
        <w:t>3)[</w:t>
      </w:r>
      <w:r>
        <w:rPr>
          <w:rtl/>
        </w:rPr>
        <w:t>שולחן ערוך אבן העזר הלכות יבום סימן קסה סעיף ג</w:t>
      </w:r>
      <w:r>
        <w:rPr>
          <w:rFonts w:hint="cs"/>
          <w:rtl/>
        </w:rPr>
        <w:t>]</w:t>
      </w:r>
      <w:r w:rsidR="00872A92">
        <w:rPr>
          <w:rFonts w:hint="cs"/>
          <w:rtl/>
        </w:rPr>
        <w:t xml:space="preserve"> </w:t>
      </w:r>
      <w:r w:rsidR="00872A92" w:rsidRPr="00872A92">
        <w:rPr>
          <w:rFonts w:hint="cs"/>
          <w:rtl/>
        </w:rPr>
        <w:t>י</w:t>
      </w:r>
      <w:r w:rsidR="00872A92" w:rsidRPr="00872A92">
        <w:rPr>
          <w:rtl/>
        </w:rPr>
        <w:t>במה שתבעה היבם לחלץ, והיא אינה רוצה אלא לשאר עגונה, אין שומעין לה, אפילו היה היבם נשוי</w:t>
      </w:r>
      <w:r w:rsidR="00872A92" w:rsidRPr="00872A92">
        <w:t>. </w:t>
      </w:r>
      <w:r w:rsidR="00872A92" w:rsidRPr="00872A92">
        <w:rPr>
          <w:rFonts w:hint="cs"/>
          <w:rtl/>
        </w:rPr>
        <w:t>ודינה כמורדת, ונתבאר דינה </w:t>
      </w:r>
      <w:hyperlink r:id="rId143" w:tooltip="שולחן ערוך אבן העזר עז" w:history="1">
        <w:r w:rsidR="00872A92" w:rsidRPr="00872A92">
          <w:rPr>
            <w:rStyle w:val="Hyperlink"/>
            <w:rFonts w:hint="cs"/>
            <w:color w:val="7030A0"/>
            <w:u w:val="none"/>
            <w:rtl/>
          </w:rPr>
          <w:t>סימן ע"ז</w:t>
        </w:r>
      </w:hyperlink>
      <w:r w:rsidR="00872A92" w:rsidRPr="00872A92">
        <w:t>:</w:t>
      </w:r>
    </w:p>
    <w:p w14:paraId="7E987284" w14:textId="4B66B5FF" w:rsidR="00525545" w:rsidRDefault="00525545" w:rsidP="00525545">
      <w:pPr>
        <w:pStyle w:val="Style1"/>
        <w:rPr>
          <w:rtl/>
        </w:rPr>
      </w:pPr>
      <w:r>
        <w:rPr>
          <w:rFonts w:hint="cs"/>
          <w:rtl/>
        </w:rPr>
        <w:t>4)[</w:t>
      </w:r>
      <w:r>
        <w:rPr>
          <w:rtl/>
        </w:rPr>
        <w:t>רמב</w:t>
      </w:r>
      <w:r w:rsidR="00EC109D">
        <w:rPr>
          <w:rtl/>
        </w:rPr>
        <w:t>”ם \נשים\</w:t>
      </w:r>
      <w:r>
        <w:rPr>
          <w:rtl/>
        </w:rPr>
        <w:t xml:space="preserve"> הלכות יבום וחליצה פרק א הלכה ב</w:t>
      </w:r>
      <w:r>
        <w:rPr>
          <w:rFonts w:hint="cs"/>
          <w:rtl/>
        </w:rPr>
        <w:t xml:space="preserve">] </w:t>
      </w:r>
      <w:r>
        <w:rPr>
          <w:rtl/>
        </w:rPr>
        <w:t xml:space="preserve">לא רצה ליבם או שלא רצת היא הרי זה חולץ לה ואחר כך תהיה מותרת להנשא לאחר, ומצות עשה מן התורה לחלוץ אם לא רצה ליבם שנ' </w:t>
      </w:r>
      <w:r>
        <w:rPr>
          <w:rFonts w:hint="cs"/>
          <w:rtl/>
        </w:rPr>
        <w:t>(</w:t>
      </w:r>
      <w:r>
        <w:rPr>
          <w:rtl/>
        </w:rPr>
        <w:t>דברים כ"ה ט'</w:t>
      </w:r>
      <w:r>
        <w:rPr>
          <w:rFonts w:hint="cs"/>
          <w:rtl/>
        </w:rPr>
        <w:t>)</w:t>
      </w:r>
      <w:r>
        <w:rPr>
          <w:rtl/>
        </w:rPr>
        <w:t xml:space="preserve"> וחלצה נעלו וכו', ומצות יבום קודמת למצות חליצה.</w:t>
      </w:r>
    </w:p>
    <w:p w14:paraId="52A55EF2" w14:textId="223D1369" w:rsidR="00C8703D" w:rsidRPr="00872A92" w:rsidRDefault="00C8703D" w:rsidP="00C8703D">
      <w:pPr>
        <w:pStyle w:val="Style1"/>
      </w:pPr>
      <w:r>
        <w:rPr>
          <w:rFonts w:hint="cs"/>
          <w:rtl/>
        </w:rPr>
        <w:t>4)[</w:t>
      </w:r>
      <w:r>
        <w:rPr>
          <w:rtl/>
        </w:rPr>
        <w:t>רמב</w:t>
      </w:r>
      <w:r w:rsidR="00EC109D">
        <w:rPr>
          <w:rtl/>
        </w:rPr>
        <w:t>”ם \נשים\</w:t>
      </w:r>
      <w:r>
        <w:rPr>
          <w:rtl/>
        </w:rPr>
        <w:t xml:space="preserve"> הלכות יבום וחליצה פרק ב הלכה ז</w:t>
      </w:r>
      <w:r>
        <w:rPr>
          <w:rFonts w:hint="cs"/>
          <w:rtl/>
        </w:rPr>
        <w:t xml:space="preserve">] </w:t>
      </w:r>
      <w:r>
        <w:rPr>
          <w:rtl/>
        </w:rPr>
        <w:t>לא רצה הגדול ליבם מחזרין על כל האחין, לא רצו חוזרין אצל הגדול ואומרין לו עליך מצוה או חלוץ או יבם ואין כופין את היבם ליבם אבל כופין אותו לחלוץ.</w:t>
      </w:r>
    </w:p>
    <w:p w14:paraId="073F21B0" w14:textId="77777777" w:rsidR="009D702D" w:rsidRPr="00872A92" w:rsidRDefault="009D702D" w:rsidP="00872A92">
      <w:pPr>
        <w:pStyle w:val="Style1"/>
      </w:pPr>
    </w:p>
    <w:p w14:paraId="0829DEAB" w14:textId="77777777" w:rsidR="00ED6E3D" w:rsidRPr="004B561E" w:rsidRDefault="00ED6E3D" w:rsidP="00ED6E3D">
      <w:pPr>
        <w:pStyle w:val="Style1"/>
      </w:pPr>
    </w:p>
    <w:p w14:paraId="62360385" w14:textId="77777777" w:rsidR="002C4635" w:rsidRDefault="002C4635" w:rsidP="002C4635">
      <w:pPr>
        <w:rPr>
          <w:rStyle w:val="Style1Char"/>
          <w:color w:val="00B050"/>
          <w:rtl/>
        </w:rPr>
      </w:pPr>
      <w:r>
        <w:rPr>
          <w:rStyle w:val="Style1Char"/>
          <w:color w:val="00B050"/>
          <w:rtl/>
        </w:rPr>
        <w:br w:type="page"/>
      </w:r>
    </w:p>
    <w:p w14:paraId="4D31DD82" w14:textId="77777777" w:rsidR="002C4635" w:rsidRDefault="002C4635" w:rsidP="002C4635">
      <w:pPr>
        <w:bidi/>
        <w:rPr>
          <w:rStyle w:val="Style1Char"/>
          <w:color w:val="4472C4" w:themeColor="accent1"/>
          <w:rtl/>
        </w:rPr>
      </w:pPr>
      <w:r w:rsidRPr="00765368">
        <w:rPr>
          <w:rStyle w:val="Style1Char"/>
          <w:color w:val="auto"/>
          <w:sz w:val="22"/>
          <w:szCs w:val="22"/>
          <w:highlight w:val="yellow"/>
          <w:rtl/>
        </w:rPr>
        <w:lastRenderedPageBreak/>
        <w:t>[דף סד עמוד ב]</w:t>
      </w:r>
      <w:r w:rsidRPr="00765368">
        <w:rPr>
          <w:rStyle w:val="Style1Char"/>
          <w:color w:val="auto"/>
          <w:sz w:val="22"/>
          <w:szCs w:val="22"/>
          <w:rtl/>
        </w:rPr>
        <w:t xml:space="preserve"> מיחזי כשכר שבת</w:t>
      </w:r>
      <w:r w:rsidRPr="00765368">
        <w:rPr>
          <w:rStyle w:val="Style1Char"/>
          <w:color w:val="auto"/>
          <w:rtl/>
        </w:rPr>
        <w:t xml:space="preserve"> </w:t>
      </w:r>
      <w:r w:rsidRPr="00181F0E">
        <w:rPr>
          <w:rStyle w:val="Style1Char"/>
          <w:color w:val="C00000"/>
          <w:rtl/>
        </w:rPr>
        <w:t>לא יהבינן לה שכר שבת אלא מוסיף לה על כתובתה שלשה דינרין בשבת דהוה פלגא דזוזא לכל יומא דשיתא יומא דשבתא ושבת גופיה לית לה</w:t>
      </w:r>
      <w:r w:rsidRPr="00181F0E">
        <w:rPr>
          <w:rStyle w:val="Style1Char"/>
          <w:color w:val="C00000"/>
        </w:rPr>
        <w:t>:</w:t>
      </w:r>
      <w:r w:rsidRPr="005F123E">
        <w:rPr>
          <w:rStyle w:val="Style1Char"/>
          <w:color w:val="00B050"/>
          <w:rtl/>
        </w:rPr>
        <w:t xml:space="preserve">. </w:t>
      </w:r>
      <w:r>
        <w:rPr>
          <w:rStyle w:val="Style1Char"/>
          <w:rFonts w:hint="cs"/>
          <w:color w:val="4472C4" w:themeColor="accent1"/>
        </w:rPr>
        <w:t>‍</w:t>
      </w:r>
      <w:r w:rsidRPr="00F24BFA">
        <w:rPr>
          <w:rStyle w:val="Style1Char"/>
          <w:color w:val="4472C4" w:themeColor="accent1"/>
          <w:rtl/>
        </w:rPr>
        <w:t>ואף על גב דשכר שבת מותר ע"י הבלעה כדאיתא בפרק הזהב (דף נח א) אם היה שכיר שבת שכיר חודש שכיר שנה נותנין לו שכר שבת מיהו הכא אסור דלא הוי הבלעה דאין מוסיפין אלא מה שיעלה בכל יום לרבי יהודה מעה וחצי ולרבנן שלש מעין ואם יתפייס בתוך ימי השבוע אין מצרפין כל ימי השבוע ביחד הלכך לא הוי הבלעה</w:t>
      </w:r>
    </w:p>
    <w:p w14:paraId="0D0B960D" w14:textId="77777777" w:rsidR="002C4635" w:rsidRDefault="002C4635" w:rsidP="002C4635">
      <w:pPr>
        <w:bidi/>
        <w:rPr>
          <w:rStyle w:val="Style1Char"/>
          <w:color w:val="00B050"/>
          <w:rtl/>
        </w:rPr>
      </w:pPr>
      <w:r w:rsidRPr="005F123E">
        <w:rPr>
          <w:rStyle w:val="Style1Char"/>
          <w:color w:val="00B050"/>
          <w:rtl/>
        </w:rPr>
        <w:t xml:space="preserve">אמר ליה ר' חייא בר יוסף לשמואל: מה בין מורד למורדת? אמר ליה: צא ולמד משוק של זונות, מי שוכר את מי? דבר אחר: זה יצרו מבחוץ, וזו יצרה מבפנים. </w:t>
      </w:r>
    </w:p>
    <w:p w14:paraId="108831B0" w14:textId="2168B8FB" w:rsidR="002C4635" w:rsidRDefault="002C4635" w:rsidP="002C4635">
      <w:pPr>
        <w:bidi/>
        <w:rPr>
          <w:rStyle w:val="Style1Char"/>
          <w:sz w:val="22"/>
          <w:szCs w:val="22"/>
          <w:rtl/>
        </w:rPr>
      </w:pPr>
      <w:r w:rsidRPr="007917CA">
        <w:rPr>
          <w:rStyle w:val="Style1Char"/>
          <w:sz w:val="22"/>
          <w:szCs w:val="22"/>
          <w:rtl/>
        </w:rPr>
        <w:t xml:space="preserve">מתני'. </w:t>
      </w:r>
      <w:r w:rsidR="00925A4E">
        <w:rPr>
          <w:rStyle w:val="Style1Char"/>
          <w:rFonts w:hint="cs"/>
          <w:rtl/>
        </w:rPr>
        <w:t>(1)</w:t>
      </w:r>
      <w:r w:rsidRPr="007917CA">
        <w:rPr>
          <w:rStyle w:val="Style1Char"/>
          <w:sz w:val="22"/>
          <w:szCs w:val="22"/>
          <w:rtl/>
        </w:rPr>
        <w:t xml:space="preserve">המשרה את אשתו על ידי שליש - לא יפחות לה משני קבין חטין או מארבעה קבין שעורין. אמר רבי יוסי: לא פסק לה שעורין אלא ר' ישמעאל, שהיה סמוך לאדום. ונותן לה חצי קב קיטנית וחצי לוג שמן וקב גרוגרות או מנה דבילה, ואם אין לו - פוסק לעומתן פירות ממקום אחר; </w:t>
      </w:r>
      <w:r w:rsidR="00251B85">
        <w:rPr>
          <w:rStyle w:val="Style1Char"/>
          <w:rFonts w:hint="cs"/>
          <w:rtl/>
        </w:rPr>
        <w:t>(2)</w:t>
      </w:r>
      <w:r w:rsidRPr="007917CA">
        <w:rPr>
          <w:rStyle w:val="Style1Char"/>
          <w:sz w:val="22"/>
          <w:szCs w:val="22"/>
          <w:rtl/>
        </w:rPr>
        <w:t xml:space="preserve">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 </w:t>
      </w:r>
      <w:r w:rsidR="007147B9">
        <w:rPr>
          <w:rStyle w:val="Style1Char"/>
          <w:rFonts w:hint="cs"/>
          <w:rtl/>
        </w:rPr>
        <w:t>(1)</w:t>
      </w:r>
      <w:r w:rsidRPr="007917CA">
        <w:rPr>
          <w:rStyle w:val="Style1Char"/>
          <w:sz w:val="22"/>
          <w:szCs w:val="22"/>
          <w:rtl/>
        </w:rPr>
        <w:t xml:space="preserve">נותן לה מעה כסף לצורכה. </w:t>
      </w:r>
      <w:r w:rsidR="00251B85">
        <w:rPr>
          <w:rStyle w:val="Style1Char"/>
          <w:rFonts w:hint="cs"/>
          <w:rtl/>
        </w:rPr>
        <w:t>(3)</w:t>
      </w:r>
      <w:r w:rsidRPr="007917CA">
        <w:rPr>
          <w:rStyle w:val="Style1Char"/>
          <w:sz w:val="22"/>
          <w:szCs w:val="22"/>
          <w:rtl/>
        </w:rPr>
        <w:t xml:space="preserve">ואוכלת עמו מלילי שבת ללילי שבת.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w:t>
      </w:r>
      <w:r w:rsidR="00C75EB0">
        <w:rPr>
          <w:rStyle w:val="Style1Char"/>
          <w:rFonts w:hint="cs"/>
          <w:rtl/>
        </w:rPr>
        <w:t>(4)</w:t>
      </w:r>
      <w:r w:rsidRPr="007917CA">
        <w:rPr>
          <w:rStyle w:val="Style1Char"/>
          <w:sz w:val="22"/>
          <w:szCs w:val="22"/>
          <w:rtl/>
        </w:rPr>
        <w:t xml:space="preserve">ואם היתה מניקה - פוחתין לה ממעשה ידיה ומוסיפין לה על מזונותיה. </w:t>
      </w:r>
      <w:r w:rsidR="00947F3A">
        <w:rPr>
          <w:rStyle w:val="Style1Char"/>
          <w:rFonts w:hint="cs"/>
          <w:rtl/>
        </w:rPr>
        <w:t>(5)</w:t>
      </w:r>
      <w:r w:rsidRPr="007917CA">
        <w:rPr>
          <w:rStyle w:val="Style1Char"/>
          <w:sz w:val="22"/>
          <w:szCs w:val="22"/>
          <w:rtl/>
        </w:rPr>
        <w:t xml:space="preserve">במה דברים אמורים - בעני שבישראל, אבל במכובד הכל לפי כבודו. </w:t>
      </w:r>
    </w:p>
    <w:p w14:paraId="53E6F2EB" w14:textId="3C7245BF" w:rsidR="002C4635" w:rsidRPr="005F123E" w:rsidRDefault="002C4635" w:rsidP="002C4635">
      <w:pPr>
        <w:bidi/>
        <w:rPr>
          <w:rStyle w:val="Style1Char"/>
          <w:color w:val="00B050"/>
        </w:rPr>
      </w:pPr>
      <w:r w:rsidRPr="005F123E">
        <w:rPr>
          <w:rStyle w:val="Style1Char"/>
          <w:color w:val="00B050"/>
          <w:rtl/>
        </w:rPr>
        <w:t xml:space="preserve">גמ'. מני מתניתין? לא רבי יוחנן בן ברוקא, ולא ר"ש! דתנן: </w:t>
      </w:r>
      <w:r w:rsidR="00FB3B8E">
        <w:rPr>
          <w:rStyle w:val="Style1Char"/>
          <w:rFonts w:hint="cs"/>
          <w:rtl/>
        </w:rPr>
        <w:t>(6)</w:t>
      </w:r>
      <w:r w:rsidRPr="005F123E">
        <w:rPr>
          <w:rStyle w:val="Style1Char"/>
          <w:color w:val="00B050"/>
          <w:rtl/>
        </w:rPr>
        <w:t xml:space="preserve">וכמה שיעורו? מזון שתי סעודות לכל אחד ואחד, מזונו לחול ולא לשבת, דברי ר"מ, רבי יהודה אומר: לשבת ולא לחול; וזה וזה מתכוונין להקל; ר' יוחנן בן ברוקא אומר: ככר הלקוח בפונדיון מארבע סאין לסלע; ר"ש אומר: שתי ידות לככר משלש ככרות לקב, </w:t>
      </w:r>
      <w:r w:rsidR="00E366E8">
        <w:rPr>
          <w:rStyle w:val="Style1Char"/>
          <w:rFonts w:hint="cs"/>
          <w:rtl/>
        </w:rPr>
        <w:t>(7)</w:t>
      </w:r>
      <w:r w:rsidRPr="005F123E">
        <w:rPr>
          <w:rStyle w:val="Style1Char"/>
          <w:color w:val="00B050"/>
          <w:rtl/>
        </w:rPr>
        <w:t xml:space="preserve">חציה לבית המנוגע, </w:t>
      </w:r>
      <w:r w:rsidR="00E366E8">
        <w:rPr>
          <w:rStyle w:val="Style1Char"/>
          <w:rFonts w:hint="cs"/>
          <w:rtl/>
        </w:rPr>
        <w:t>(8)</w:t>
      </w:r>
      <w:r w:rsidRPr="005F123E">
        <w:rPr>
          <w:rStyle w:val="Style1Char"/>
          <w:color w:val="00B050"/>
          <w:rtl/>
        </w:rPr>
        <w:t xml:space="preserve">וחצי חציה לפסול את הגוייה, </w:t>
      </w:r>
      <w:r w:rsidR="00EF7A30">
        <w:rPr>
          <w:rStyle w:val="Style1Char"/>
          <w:rFonts w:hint="cs"/>
          <w:rtl/>
        </w:rPr>
        <w:t>(</w:t>
      </w:r>
      <w:r w:rsidR="00EC30C0">
        <w:rPr>
          <w:rStyle w:val="Style1Char"/>
          <w:rFonts w:hint="cs"/>
          <w:rtl/>
        </w:rPr>
        <w:t>8.1</w:t>
      </w:r>
      <w:r w:rsidR="00EF7A30">
        <w:rPr>
          <w:rStyle w:val="Style1Char"/>
          <w:rFonts w:hint="cs"/>
          <w:rtl/>
        </w:rPr>
        <w:t>)</w:t>
      </w:r>
      <w:r w:rsidRPr="005F123E">
        <w:rPr>
          <w:rStyle w:val="Style1Char"/>
          <w:color w:val="00B050"/>
          <w:rtl/>
        </w:rPr>
        <w:t xml:space="preserve">וחצי חצי חציה לקבל טומאת אוכלין; מני? אי רבי יוחנן בן ברוקא, תמני הויין! ואי ר"ש, תמני סרי הויין! לעולם ר' יוחנן בן ברוקא, וכדאמר רב חסדא: צא מהן שליש לחנווני, הכא נמי אייתי תילתא שדי עלייהו. אכתי תרתי סרי הויין! אוכלת עמו לילי שבת. הניחא למאן דאמר אכילה ממש, אלא למאן דאמר אכילה - תשמיש, מאי איכא למימר? ועוד, תליסר הויין! אלא כדאמר רב חסדא: צא מהן מחצה לחנווני, ה"נ אתיא פלגא ושדי עלייהו. קשיא דרב חסדא אדרב חסדא! לא קשיא: הא באתרא דיהבי ציבי, הא באתרא דלא יהבי ציבי. אי הכי, שיתסרי הויין! כמאן? כרבי חידקא, דאמר: ארבע סעודות חייב אדם לאכול בשבת? אפילו תימא </w:t>
      </w:r>
      <w:r w:rsidR="00EF7A30">
        <w:rPr>
          <w:rStyle w:val="Style1Char"/>
          <w:rFonts w:hint="cs"/>
          <w:rtl/>
        </w:rPr>
        <w:t>(</w:t>
      </w:r>
      <w:r w:rsidR="00EC30C0">
        <w:rPr>
          <w:rStyle w:val="Style1Char"/>
          <w:rFonts w:hint="cs"/>
          <w:rtl/>
        </w:rPr>
        <w:t>9</w:t>
      </w:r>
      <w:r w:rsidR="00EF7A30">
        <w:rPr>
          <w:rStyle w:val="Style1Char"/>
          <w:rFonts w:hint="cs"/>
          <w:rtl/>
        </w:rPr>
        <w:t>)</w:t>
      </w:r>
      <w:r w:rsidRPr="005F123E">
        <w:rPr>
          <w:rStyle w:val="Style1Char"/>
          <w:color w:val="00B050"/>
          <w:rtl/>
        </w:rPr>
        <w:t xml:space="preserve">רבנן, דל חדא לארחי ופרחי. השתא דאתית להכי, אפילו תימא ר' שמעון, לרבנן - דל תלת לארחי ופרחי, לרבי חידקא - דל תרתי לארחי ופרחי. </w:t>
      </w:r>
    </w:p>
    <w:p w14:paraId="5E02143C" w14:textId="77777777" w:rsidR="002C4635" w:rsidRPr="005F123E" w:rsidRDefault="002C4635" w:rsidP="002C4635">
      <w:pPr>
        <w:bidi/>
        <w:rPr>
          <w:rStyle w:val="Style1Char"/>
          <w:color w:val="00B050"/>
        </w:rPr>
      </w:pPr>
      <w:r w:rsidRPr="005F123E">
        <w:rPr>
          <w:rStyle w:val="Style1Char"/>
          <w:color w:val="00B050"/>
          <w:rtl/>
        </w:rPr>
        <w:t xml:space="preserve">אמר רבי יוסי: לא פסק שעורין וכו'. אלא באדום הוא דאכלין שעורים, בכולי עלמא לא אכלי? ה"ק: לא פסק שעורים כפלים בחטין אלא רבי ישמעאל, שהיה סמוך לאדום, מפני ששעורין אדומיות רעות הן. </w:t>
      </w:r>
    </w:p>
    <w:p w14:paraId="10CF2D19" w14:textId="1EE505DC" w:rsidR="002C4635" w:rsidRDefault="002C4635" w:rsidP="002C4635">
      <w:pPr>
        <w:bidi/>
        <w:rPr>
          <w:rStyle w:val="Style1Char"/>
          <w:color w:val="auto"/>
          <w:sz w:val="22"/>
          <w:szCs w:val="22"/>
          <w:rtl/>
        </w:rPr>
      </w:pPr>
      <w:r w:rsidRPr="005F123E">
        <w:rPr>
          <w:rStyle w:val="Style1Char"/>
          <w:color w:val="00B050"/>
          <w:rtl/>
        </w:rPr>
        <w:t xml:space="preserve">ונותן לה חצי קב קיטנית. </w:t>
      </w:r>
      <w:r w:rsidRPr="003D70A8">
        <w:rPr>
          <w:rStyle w:val="Style1Char"/>
          <w:color w:val="auto"/>
          <w:sz w:val="22"/>
          <w:szCs w:val="22"/>
          <w:rtl/>
        </w:rPr>
        <w:t xml:space="preserve">ואילו יין לא קתני, מסייע ליה לר' אלעזר, דאמר ר' אלעזר: </w:t>
      </w:r>
    </w:p>
    <w:p w14:paraId="531E8790" w14:textId="38B27021" w:rsidR="00DB37A9" w:rsidRDefault="00DB37A9" w:rsidP="00DB37A9">
      <w:pPr>
        <w:pStyle w:val="Style1"/>
        <w:rPr>
          <w:rStyle w:val="Style1Char"/>
          <w:rtl/>
        </w:rPr>
      </w:pPr>
      <w:r>
        <w:rPr>
          <w:rStyle w:val="Style1Char"/>
          <w:rFonts w:hint="cs"/>
          <w:rtl/>
        </w:rPr>
        <w:t>1)[</w:t>
      </w:r>
      <w:r w:rsidRPr="00DB37A9">
        <w:rPr>
          <w:rStyle w:val="Style1Char"/>
          <w:rtl/>
        </w:rPr>
        <w:t>רמב</w:t>
      </w:r>
      <w:r w:rsidR="00213DA1">
        <w:rPr>
          <w:rStyle w:val="Style1Char"/>
          <w:rtl/>
        </w:rPr>
        <w:t>”ם \נשים\</w:t>
      </w:r>
      <w:r w:rsidRPr="00DB37A9">
        <w:rPr>
          <w:rStyle w:val="Style1Char"/>
          <w:rtl/>
        </w:rPr>
        <w:t xml:space="preserve"> הלכות אישות פרק יב הלכה י</w:t>
      </w:r>
      <w:r>
        <w:rPr>
          <w:rStyle w:val="Style1Char"/>
          <w:rFonts w:hint="cs"/>
          <w:rtl/>
        </w:rPr>
        <w:t xml:space="preserve">] </w:t>
      </w:r>
      <w:r w:rsidRPr="00DB37A9">
        <w:rPr>
          <w:rStyle w:val="Style1Char"/>
          <w:rtl/>
        </w:rPr>
        <w:t>כמה מזונות פוסקין לאשה, פוסקין לה לחם שתי סעודות בכל יום סעודה בינונית של כל אדם באותה העיר שאינו לא חולה ולא גרגרן, ומאותו מאכל של אנשי אותה העיר אם חטים חטים ואם שעורים שעורים וכן אורז או דוחן או משאר מינין שנהגו בהן, ופוסקין לה פרפרת לאכול בה הפת כגון קטנית או ירקות וכיוצא בהן, ושמן לאכילה ושמן להדלקת הנר ופירות ומעט יין לשתות אם היה מנהג המקום שישתו הנשים יין. ופוסקין לה שלש סעודות בשבת ובשר או דגים כמנהג המקום, ונותן לה בכל שבת ושבת מעה כסף לצרכיה כגון פרוטה לכבוס או למרחץ וכיוצא בהן.</w:t>
      </w:r>
    </w:p>
    <w:p w14:paraId="3F32121C" w14:textId="13DED624" w:rsidR="009A62F9" w:rsidRPr="009A62F9" w:rsidRDefault="00D50DB6" w:rsidP="009A62F9">
      <w:pPr>
        <w:pStyle w:val="Style1"/>
      </w:pPr>
      <w:r>
        <w:rPr>
          <w:rStyle w:val="Style1Char"/>
          <w:rFonts w:hint="cs"/>
          <w:rtl/>
        </w:rPr>
        <w:t>1)[</w:t>
      </w:r>
      <w:r w:rsidRPr="00D50DB6">
        <w:rPr>
          <w:rStyle w:val="Style1Char"/>
          <w:rtl/>
        </w:rPr>
        <w:t>שולחן ערוך אבן העזר הלכות כתובות סימן ע סעיף ג</w:t>
      </w:r>
      <w:r>
        <w:rPr>
          <w:rStyle w:val="Style1Char"/>
          <w:rFonts w:hint="cs"/>
          <w:rtl/>
        </w:rPr>
        <w:t>]</w:t>
      </w:r>
      <w:r w:rsidR="009A62F9">
        <w:rPr>
          <w:rStyle w:val="Style1Char"/>
          <w:rFonts w:hint="cs"/>
          <w:rtl/>
        </w:rPr>
        <w:t xml:space="preserve"> </w:t>
      </w:r>
      <w:r w:rsidR="009A62F9" w:rsidRPr="009A62F9">
        <w:rPr>
          <w:rtl/>
        </w:rPr>
        <w:t>כמה מזונות פוסקים לאשה, לחם שתי סעודות בכל יום, ופרפרות לאכול בה הפת, ושמן לאכילה ולהדלקת הנר, ומעט יין לשתות, אם היה מנהג המקום שישתו הנשים יין</w:t>
      </w:r>
      <w:r w:rsidR="009A62F9" w:rsidRPr="009A62F9">
        <w:t>, </w:t>
      </w:r>
      <w:r w:rsidR="009A62F9" w:rsidRPr="009A62F9">
        <w:rPr>
          <w:rFonts w:hint="cs"/>
          <w:rtl/>
        </w:rPr>
        <w:t>ואם היתה מיניקה נותנים לה יין (טור)</w:t>
      </w:r>
      <w:r w:rsidR="009A62F9" w:rsidRPr="009A62F9">
        <w:t xml:space="preserve">; </w:t>
      </w:r>
      <w:r w:rsidR="009A62F9" w:rsidRPr="009A62F9">
        <w:rPr>
          <w:rtl/>
        </w:rPr>
        <w:t>ובשבת שלשה סעודות ובשר או דגים; ונותן לה בכל שבת מעה כסף לצרכיה</w:t>
      </w:r>
      <w:r w:rsidR="009A62F9" w:rsidRPr="009A62F9">
        <w:t>; </w:t>
      </w:r>
      <w:r w:rsidR="009A62F9" w:rsidRPr="009A62F9">
        <w:rPr>
          <w:rFonts w:hint="cs"/>
          <w:rtl/>
        </w:rPr>
        <w:t>ונותנין לה עץ לבשל מאכלה (הר"ן פרק אף על פי)</w:t>
      </w:r>
      <w:r w:rsidR="009A62F9" w:rsidRPr="009A62F9">
        <w:t xml:space="preserve">. </w:t>
      </w:r>
      <w:r w:rsidR="009A62F9" w:rsidRPr="009A62F9">
        <w:rPr>
          <w:rtl/>
        </w:rPr>
        <w:t>במה דברים אמורים, בעני שבישראל; אבל אם היה עשיר, הכל לפי עשרו</w:t>
      </w:r>
      <w:r w:rsidR="009A62F9" w:rsidRPr="009A62F9">
        <w:t>. </w:t>
      </w:r>
      <w:r w:rsidR="009A62F9" w:rsidRPr="009A62F9">
        <w:rPr>
          <w:rFonts w:hint="cs"/>
          <w:rtl/>
        </w:rPr>
        <w:t>צמצמה והותירו מאלו המזונות, הוא של בעל (טור)</w:t>
      </w:r>
      <w:r w:rsidR="009A62F9" w:rsidRPr="009A62F9">
        <w:t>.</w:t>
      </w:r>
    </w:p>
    <w:p w14:paraId="7EED9CE7" w14:textId="77777777" w:rsidR="009A62F9" w:rsidRPr="009A62F9" w:rsidRDefault="009A62F9" w:rsidP="009A62F9">
      <w:pPr>
        <w:pStyle w:val="Style1"/>
      </w:pPr>
      <w:r w:rsidRPr="009A62F9">
        <w:rPr>
          <w:rtl/>
        </w:rPr>
        <w:t>ואם היה עני ביותר ואינו יכול ליתן לה אפילו לחם שהיא צריכה, כופין אותו להוציא</w:t>
      </w:r>
      <w:r w:rsidRPr="009A62F9">
        <w:t>.</w:t>
      </w:r>
    </w:p>
    <w:p w14:paraId="7CA936DC" w14:textId="1D6CD26C" w:rsidR="009A62F9" w:rsidRDefault="009A62F9" w:rsidP="009A62F9">
      <w:pPr>
        <w:pStyle w:val="Style1"/>
        <w:rPr>
          <w:rtl/>
        </w:rPr>
      </w:pPr>
      <w:r w:rsidRPr="009A62F9">
        <w:rPr>
          <w:rFonts w:hint="cs"/>
          <w:rtl/>
        </w:rPr>
        <w:t>הגה: ותהא כתובתה עליו חוב עד שימצא ויתן (טור בשם הרמב"ם). ויש אומרים שאין כופין אותו להוציא, מאחר שאין לו (ר"י בשם רבנו תם)</w:t>
      </w:r>
      <w:r w:rsidRPr="009A62F9">
        <w:rPr>
          <w:rFonts w:hint="cs"/>
        </w:rPr>
        <w:t>.</w:t>
      </w:r>
      <w:r w:rsidRPr="009A62F9">
        <w:rPr>
          <w:rFonts w:hint="cs"/>
        </w:rPr>
        <w:br/>
      </w:r>
      <w:r w:rsidRPr="009A62F9">
        <w:rPr>
          <w:rFonts w:hint="cs"/>
          <w:rtl/>
        </w:rPr>
        <w:t>מי שאין לו מזונות אלא חד יומא, חייב לזון מנה את אשתו או למיכל בהדה (טור בשם הרמ"ה). ויש אומרים עוד, דחייב להשכיר עצמו כפועל ולזון אשתו (טור בשם ר' אליה ומוהר"ם בשם רבי' שבצרפת). היה לו קרקעות, הרשות ביד האשה ליקח מזונותיה מפירות הקרקעות או מגוף הקרקעות, או צריך למכרן (רשב"א סימן תת"ץ)</w:t>
      </w:r>
      <w:r w:rsidRPr="009A62F9">
        <w:t>:</w:t>
      </w:r>
    </w:p>
    <w:p w14:paraId="72D1419D" w14:textId="6375BDDF" w:rsidR="00F86115" w:rsidRDefault="00F86115" w:rsidP="00F86115">
      <w:pPr>
        <w:pStyle w:val="Style1"/>
        <w:rPr>
          <w:rtl/>
        </w:rPr>
      </w:pPr>
      <w:r>
        <w:rPr>
          <w:rFonts w:hint="cs"/>
          <w:rtl/>
        </w:rPr>
        <w:t>2)[</w:t>
      </w:r>
      <w:r>
        <w:rPr>
          <w:rtl/>
        </w:rPr>
        <w:t>רמב</w:t>
      </w:r>
      <w:r w:rsidR="00213DA1">
        <w:rPr>
          <w:rtl/>
        </w:rPr>
        <w:t>”ם \נשים\</w:t>
      </w:r>
      <w:r>
        <w:rPr>
          <w:rtl/>
        </w:rPr>
        <w:t xml:space="preserve"> הלכות אישות פרק יג הלכה ג</w:t>
      </w:r>
      <w:r>
        <w:rPr>
          <w:rFonts w:hint="cs"/>
          <w:rtl/>
        </w:rPr>
        <w:t xml:space="preserve">] </w:t>
      </w:r>
      <w:r>
        <w:rPr>
          <w:rtl/>
        </w:rPr>
        <w:t>ובכלל הכסות שהוא חייב לה כלי בית ומדור שיושבת בו, ומה הן כלי בית מטה מוצעת ומפץ או מחצלת לישב עליה, וכלי אכילה ושתיה כגון קדרה וקערה וכוס ובקבוק וכיוצא בהן. והמדור ששוכר לה בית של ארבע אמות על ארבע אמות ותהיה רחבה חוצה לו כדי להשתמש בה ויהיה לו בית הכסא חוץ ממנו.</w:t>
      </w:r>
    </w:p>
    <w:p w14:paraId="4D991576" w14:textId="05A5E452" w:rsidR="0031379A" w:rsidRPr="00414C14" w:rsidRDefault="0031379A" w:rsidP="0031379A">
      <w:pPr>
        <w:pStyle w:val="Style1"/>
      </w:pPr>
      <w:r>
        <w:rPr>
          <w:rStyle w:val="Style1Char"/>
          <w:rFonts w:hint="cs"/>
          <w:rtl/>
        </w:rPr>
        <w:t>2)[</w:t>
      </w:r>
      <w:r w:rsidRPr="002F38BB">
        <w:rPr>
          <w:rStyle w:val="Style1Char"/>
          <w:rtl/>
        </w:rPr>
        <w:t>שולחן ערוך אבן העזר הלכות כתובות סימן עג סעיף א</w:t>
      </w:r>
      <w:r>
        <w:rPr>
          <w:rStyle w:val="Style1Char"/>
          <w:rFonts w:hint="cs"/>
          <w:rtl/>
        </w:rPr>
        <w:t xml:space="preserve">] </w:t>
      </w:r>
      <w:r w:rsidRPr="00414C14">
        <w:rPr>
          <w:rtl/>
        </w:rPr>
        <w:t>כסותה כיצד, חייב לתן לה בגדים הראויים לה בימות הגשמים ובימות החמה, בפחות שלובשת כל אשה בעלת בית שבאותה המדינה. ואם באותו מקום אין דרך לצאת אשה לשוק עד שיהיה עליה רדיד החופה את כל גופה, נותן לה רדיד הפחות שבכל הרדידין</w:t>
      </w:r>
      <w:r w:rsidRPr="00414C14">
        <w:t>. </w:t>
      </w:r>
      <w:r w:rsidRPr="00414C14">
        <w:rPr>
          <w:rFonts w:hint="cs"/>
          <w:rtl/>
        </w:rPr>
        <w:t>ואשה לא תרגיל עצמה לצאת הרבה, שאין יופי לאשה אלא לישב בזויות ביתה (טור)</w:t>
      </w:r>
      <w:r w:rsidRPr="00414C14">
        <w:t>.</w:t>
      </w:r>
    </w:p>
    <w:p w14:paraId="04D91F38" w14:textId="6DE0892F" w:rsidR="0031379A" w:rsidRDefault="0031379A" w:rsidP="0031379A">
      <w:pPr>
        <w:pStyle w:val="Style1"/>
        <w:rPr>
          <w:rtl/>
        </w:rPr>
      </w:pPr>
      <w:r w:rsidRPr="00414C14">
        <w:rPr>
          <w:rtl/>
        </w:rPr>
        <w:t>ובכלל הכסות שהוא חייב לתן לה, כלי בית, ומדור שיושבת בו. ומה הם כלי בית, מטה מצעת ומפץ</w:t>
      </w:r>
      <w:r w:rsidRPr="00414C14">
        <w:t xml:space="preserve"> (</w:t>
      </w:r>
      <w:r w:rsidRPr="00414C14">
        <w:rPr>
          <w:rtl/>
        </w:rPr>
        <w:t>פרוש, כעין מחצלת</w:t>
      </w:r>
      <w:r w:rsidRPr="00414C14">
        <w:t xml:space="preserve">) </w:t>
      </w:r>
      <w:r w:rsidRPr="00414C14">
        <w:rPr>
          <w:rtl/>
        </w:rPr>
        <w:t>או מחצלת לישב עליה, וכלי אכילה ושתיה כגון קדרה וקערה וחבית ופך ונר וכוס ובקבוק וכיוצא בהן</w:t>
      </w:r>
      <w:r w:rsidRPr="00414C14">
        <w:t>:</w:t>
      </w:r>
    </w:p>
    <w:p w14:paraId="59FBBA3F" w14:textId="607EB0D2" w:rsidR="00F16EB5" w:rsidRDefault="00F16EB5" w:rsidP="00F16EB5">
      <w:pPr>
        <w:pStyle w:val="Style1"/>
        <w:rPr>
          <w:rtl/>
        </w:rPr>
      </w:pPr>
      <w:r>
        <w:rPr>
          <w:rFonts w:hint="cs"/>
          <w:rtl/>
        </w:rPr>
        <w:t>3)[</w:t>
      </w:r>
      <w:r>
        <w:rPr>
          <w:rtl/>
        </w:rPr>
        <w:t>רמב</w:t>
      </w:r>
      <w:r w:rsidR="00213DA1">
        <w:rPr>
          <w:rtl/>
        </w:rPr>
        <w:t>”ם \נשים\</w:t>
      </w:r>
      <w:r>
        <w:rPr>
          <w:rtl/>
        </w:rPr>
        <w:t xml:space="preserve"> הלכות אישות פרק יב הלכה יב</w:t>
      </w:r>
      <w:r>
        <w:rPr>
          <w:rFonts w:hint="cs"/>
          <w:rtl/>
        </w:rPr>
        <w:t xml:space="preserve">] </w:t>
      </w:r>
      <w:r>
        <w:rPr>
          <w:rtl/>
        </w:rPr>
        <w:t>בעל שרצה ליתן לאשתו מזונותיה הראויות לה ותהיה אוכלת ושותה לעצמה והוא אוכל ושותה לעצמו הרשות בידו ובלבד שיאכל עמה מלילי שבת ללילי שבת.</w:t>
      </w:r>
    </w:p>
    <w:p w14:paraId="41472D0C" w14:textId="36C1D789" w:rsidR="00053F85" w:rsidRDefault="00053F85" w:rsidP="00053F85">
      <w:pPr>
        <w:pStyle w:val="Style1"/>
        <w:rPr>
          <w:rtl/>
        </w:rPr>
      </w:pPr>
      <w:r>
        <w:rPr>
          <w:rFonts w:hint="cs"/>
          <w:rtl/>
        </w:rPr>
        <w:t>3)[</w:t>
      </w:r>
      <w:r>
        <w:rPr>
          <w:rtl/>
        </w:rPr>
        <w:t>שולחן ערוך אבן העזר הלכות כתובות סימן ע סעיף ב</w:t>
      </w:r>
      <w:r>
        <w:rPr>
          <w:rFonts w:hint="cs"/>
          <w:rtl/>
        </w:rPr>
        <w:t xml:space="preserve">] </w:t>
      </w:r>
      <w:r>
        <w:rPr>
          <w:rtl/>
        </w:rPr>
        <w:t>בעל שרצה ליתן לאשתו מזונותיה הראוים לה ותהיה אוכלת ושותה לעצמה, הרשות בידו, ובלבד שיאכל עמה בליל שבת. (ויש חולקין וסבירא להו דלא יוכל לומר שהיא תאכל לבדה אא"כ קבלה עליה מרצונה) (טור בשם הירושלמי ובשם הרא"ש וב"י בשם רוב הפוסקים), (וכן נראה לי).</w:t>
      </w:r>
    </w:p>
    <w:p w14:paraId="45767F4E" w14:textId="2E5768C4" w:rsidR="006C5D6C" w:rsidRDefault="006C5D6C" w:rsidP="006C5D6C">
      <w:pPr>
        <w:pStyle w:val="Style1"/>
        <w:rPr>
          <w:rtl/>
        </w:rPr>
      </w:pPr>
      <w:r>
        <w:rPr>
          <w:rFonts w:hint="cs"/>
          <w:rtl/>
        </w:rPr>
        <w:lastRenderedPageBreak/>
        <w:t>4)[</w:t>
      </w:r>
      <w:r>
        <w:rPr>
          <w:rtl/>
        </w:rPr>
        <w:t>רמב</w:t>
      </w:r>
      <w:r w:rsidR="00213DA1">
        <w:rPr>
          <w:rtl/>
        </w:rPr>
        <w:t>”ם \נשים\</w:t>
      </w:r>
      <w:r>
        <w:rPr>
          <w:rtl/>
        </w:rPr>
        <w:t xml:space="preserve"> הלכות אישות פרק כא הלכה יא</w:t>
      </w:r>
      <w:r>
        <w:rPr>
          <w:rFonts w:hint="cs"/>
          <w:rtl/>
        </w:rPr>
        <w:t xml:space="preserve">] </w:t>
      </w:r>
      <w:r>
        <w:rPr>
          <w:rtl/>
        </w:rPr>
        <w:t>האשה כל זמן שהיא מניקה את בנה פוחתין לה ממעשה ידיה ומוסיפין לה על מזונותיה יין ודברים שיפין לחלב, פסקו לה מזונות הראויות לה והרי היא מתאוה לאכול יתר או לאכול מאכלות אחרות מפני חלי התאוה שיש לה בבטנה הרי זו אוכלת משלה כל מה שתרצה ואין הבעל יכול לעכב ולומר שאם תאכל יתר מדאי או תאכל מאכל רע  ימות הולד מפני שצער גופה קודם. /השגת הראב"ד/ פסקו לה מזונות הראויות לה והרי היא מתאוה לאכול יותר או לאכול מאכלות אחרות מפני חולי התאוה שיש לה בבטנה הרי זו אוכלת משלה. א"א דברים שאינן כתב שלא דברו בגמרא אלא בשנתנו לה בן אחר להניק ופסקו לה מזונות אם צריכה יותר כדי צורך הולד חייבת לאכול משל בעלה כדי צורך הולד.</w:t>
      </w:r>
    </w:p>
    <w:p w14:paraId="5BA51139" w14:textId="269D521F" w:rsidR="00CC2C68" w:rsidRPr="0084145C" w:rsidRDefault="00CC2C68" w:rsidP="00CC2C68">
      <w:pPr>
        <w:pStyle w:val="Style1"/>
      </w:pPr>
      <w:r>
        <w:rPr>
          <w:rFonts w:hint="cs"/>
          <w:rtl/>
        </w:rPr>
        <w:t>4)[</w:t>
      </w:r>
      <w:r>
        <w:rPr>
          <w:rtl/>
        </w:rPr>
        <w:t>שולחן ערוך אבן העזר הלכות כתובות סימן פ סעיף יא</w:t>
      </w:r>
      <w:r>
        <w:rPr>
          <w:rFonts w:hint="cs"/>
          <w:rtl/>
        </w:rPr>
        <w:t xml:space="preserve">] </w:t>
      </w:r>
      <w:r w:rsidRPr="0084145C">
        <w:rPr>
          <w:rtl/>
        </w:rPr>
        <w:t>כל זמן שהיא מיניקה את בנה, פוחתין לה ממעשה ידיה ומוסיפים לה על מזונותיה יין ודברים שיפים לחלב</w:t>
      </w:r>
      <w:r w:rsidRPr="0084145C">
        <w:t>.</w:t>
      </w:r>
    </w:p>
    <w:p w14:paraId="6692AD58" w14:textId="4D35ED97" w:rsidR="00CC2C68" w:rsidRDefault="00CC2C68" w:rsidP="00CC2C68">
      <w:pPr>
        <w:pStyle w:val="Style1"/>
        <w:rPr>
          <w:rtl/>
        </w:rPr>
      </w:pPr>
      <w:r w:rsidRPr="0084145C">
        <w:rPr>
          <w:rFonts w:hint="cs"/>
          <w:rtl/>
        </w:rPr>
        <w:t>לא הוסיפו לה, צריכה לאכול משלה, אם יש לה (טור)</w:t>
      </w:r>
      <w:r w:rsidRPr="0084145C">
        <w:t>:</w:t>
      </w:r>
    </w:p>
    <w:p w14:paraId="28E8A6A7" w14:textId="4094510C" w:rsidR="006E4C6A" w:rsidRDefault="006E4C6A" w:rsidP="006E4C6A">
      <w:pPr>
        <w:pStyle w:val="Style1"/>
        <w:rPr>
          <w:rtl/>
        </w:rPr>
      </w:pPr>
      <w:r>
        <w:rPr>
          <w:rFonts w:hint="cs"/>
          <w:rtl/>
        </w:rPr>
        <w:t>5)[</w:t>
      </w:r>
      <w:r>
        <w:rPr>
          <w:rtl/>
        </w:rPr>
        <w:t>רמב</w:t>
      </w:r>
      <w:r w:rsidR="00213DA1">
        <w:rPr>
          <w:rtl/>
        </w:rPr>
        <w:t>”ם \נשים\</w:t>
      </w:r>
      <w:r>
        <w:rPr>
          <w:rtl/>
        </w:rPr>
        <w:t xml:space="preserve"> הלכות אישות פרק יב הלכה יא</w:t>
      </w:r>
      <w:r>
        <w:rPr>
          <w:rFonts w:hint="cs"/>
          <w:rtl/>
        </w:rPr>
        <w:t xml:space="preserve">] </w:t>
      </w:r>
      <w:r>
        <w:rPr>
          <w:rtl/>
        </w:rPr>
        <w:t>במה דברים אמורים בעני שבישראל אבל אם היה עשיר הכל לפי עשרו, אפילו היה ממונו ראוי לעשות לה כמה תבשילי בשר בכל יום כופין אותו ופוסקין לה מזונות כפי ממונו, ואם היה עני ביותר ואינו יכול ליתן לה אפי' לחם שהיא צריכה לו כופין אותו להוציא ותהיה כתובתה חוב עליו עד שתמצא ידו ויתן.</w:t>
      </w:r>
    </w:p>
    <w:p w14:paraId="5533BA88" w14:textId="3F2E9E7E" w:rsidR="00EC4630" w:rsidRDefault="00EC4630" w:rsidP="00EC4630">
      <w:pPr>
        <w:pStyle w:val="Style1"/>
        <w:rPr>
          <w:rtl/>
        </w:rPr>
      </w:pPr>
      <w:r>
        <w:rPr>
          <w:rFonts w:hint="cs"/>
          <w:rtl/>
        </w:rPr>
        <w:t>5)[</w:t>
      </w:r>
      <w:r>
        <w:rPr>
          <w:rtl/>
        </w:rPr>
        <w:t>רמב</w:t>
      </w:r>
      <w:r w:rsidR="00213DA1">
        <w:rPr>
          <w:rtl/>
        </w:rPr>
        <w:t>”ם \נשים\</w:t>
      </w:r>
      <w:r>
        <w:rPr>
          <w:rtl/>
        </w:rPr>
        <w:t xml:space="preserve"> הלכות אישות פרק יג הלכה ה</w:t>
      </w:r>
      <w:r>
        <w:rPr>
          <w:rFonts w:hint="cs"/>
          <w:rtl/>
        </w:rPr>
        <w:t xml:space="preserve">] </w:t>
      </w:r>
      <w:r>
        <w:rPr>
          <w:rtl/>
        </w:rPr>
        <w:t>במה דברים אמורים בעני שבישראל אבל בעשיר הכל לפי עשרו, ואפילו היה ראוי לקנות לה כלי משי ורקמה וכלי זהב כופין אותו ונותן, וכן המדור לפי עשרו והתכשיט וכלי הבית הכל לפי עשרו, ואם קצרה ידו ליתן לה אפילו כעני שבישראל כופין אותו להוציא ותהיה הכתובה חוב עליו עד שיעשיר.</w:t>
      </w:r>
    </w:p>
    <w:p w14:paraId="08DCDF72" w14:textId="2BFB257F" w:rsidR="00C3529F" w:rsidRPr="009A62F9" w:rsidRDefault="00C3529F" w:rsidP="00C3529F">
      <w:pPr>
        <w:pStyle w:val="Style1"/>
      </w:pPr>
      <w:r>
        <w:rPr>
          <w:rStyle w:val="Style1Char"/>
          <w:rFonts w:hint="cs"/>
          <w:rtl/>
        </w:rPr>
        <w:t>5)[</w:t>
      </w:r>
      <w:r w:rsidRPr="00D50DB6">
        <w:rPr>
          <w:rStyle w:val="Style1Char"/>
          <w:rtl/>
        </w:rPr>
        <w:t>שולחן ערוך אבן העזר הלכות כתובות סימן ע סעיף ג</w:t>
      </w:r>
      <w:r>
        <w:rPr>
          <w:rStyle w:val="Style1Char"/>
          <w:rFonts w:hint="cs"/>
          <w:rtl/>
        </w:rPr>
        <w:t xml:space="preserve">] </w:t>
      </w:r>
      <w:r w:rsidRPr="009A62F9">
        <w:rPr>
          <w:rtl/>
        </w:rPr>
        <w:t>כמה מזונות פוסקים לאשה, לחם שתי סעודות בכל יום, ופרפרות לאכול בה הפת, ושמן לאכילה ולהדלקת הנר, ומעט יין לשתות, אם היה מנהג המקום שישתו הנשים יין</w:t>
      </w:r>
      <w:r w:rsidRPr="009A62F9">
        <w:t>, </w:t>
      </w:r>
      <w:r w:rsidRPr="009A62F9">
        <w:rPr>
          <w:rFonts w:hint="cs"/>
          <w:rtl/>
        </w:rPr>
        <w:t>ואם היתה מיניקה נותנים לה יין (טור)</w:t>
      </w:r>
      <w:r w:rsidRPr="009A62F9">
        <w:t xml:space="preserve">; </w:t>
      </w:r>
      <w:r w:rsidRPr="009A62F9">
        <w:rPr>
          <w:rtl/>
        </w:rPr>
        <w:t>ובשבת שלשה סעודות ובשר או דגים; ונותן לה בכל שבת מעה כסף לצרכיה</w:t>
      </w:r>
      <w:r w:rsidRPr="009A62F9">
        <w:t>; </w:t>
      </w:r>
      <w:r w:rsidRPr="009A62F9">
        <w:rPr>
          <w:rFonts w:hint="cs"/>
          <w:rtl/>
        </w:rPr>
        <w:t>ונותנין לה עץ לבשל מאכלה (הר"ן פרק אף על פי)</w:t>
      </w:r>
      <w:r w:rsidRPr="009A62F9">
        <w:t xml:space="preserve">. </w:t>
      </w:r>
      <w:r w:rsidRPr="009A62F9">
        <w:rPr>
          <w:rtl/>
        </w:rPr>
        <w:t>במה דברים אמורים, בעני שבישראל; אבל אם היה עשיר, הכל לפי עשרו</w:t>
      </w:r>
      <w:r w:rsidRPr="009A62F9">
        <w:t>. </w:t>
      </w:r>
      <w:r w:rsidRPr="009A62F9">
        <w:rPr>
          <w:rFonts w:hint="cs"/>
          <w:rtl/>
        </w:rPr>
        <w:t>צמצמה והותירו מאלו המזונות, הוא של בעל (טור)</w:t>
      </w:r>
      <w:r w:rsidRPr="009A62F9">
        <w:t>.</w:t>
      </w:r>
    </w:p>
    <w:p w14:paraId="1C74DFD3" w14:textId="77777777" w:rsidR="00C3529F" w:rsidRPr="009A62F9" w:rsidRDefault="00C3529F" w:rsidP="00C3529F">
      <w:pPr>
        <w:pStyle w:val="Style1"/>
      </w:pPr>
      <w:r w:rsidRPr="009A62F9">
        <w:rPr>
          <w:rtl/>
        </w:rPr>
        <w:t>ואם היה עני ביותר ואינו יכול ליתן לה אפילו לחם שהיא צריכה, כופין אותו להוציא</w:t>
      </w:r>
      <w:r w:rsidRPr="009A62F9">
        <w:t>.</w:t>
      </w:r>
    </w:p>
    <w:p w14:paraId="4ABB5919" w14:textId="0399CDBC" w:rsidR="00C3529F" w:rsidRDefault="00C3529F" w:rsidP="00C3529F">
      <w:pPr>
        <w:pStyle w:val="Style1"/>
        <w:rPr>
          <w:rtl/>
        </w:rPr>
      </w:pPr>
      <w:r w:rsidRPr="009A62F9">
        <w:rPr>
          <w:rFonts w:hint="cs"/>
          <w:rtl/>
        </w:rPr>
        <w:t>הגה: ותהא כתובתה עליו חוב עד שימצא ויתן (טור בשם הרמב"ם). ויש אומרים שאין כופין אותו להוציא, מאחר שאין לו (ר"י בשם רבנו תם)</w:t>
      </w:r>
      <w:r w:rsidRPr="009A62F9">
        <w:rPr>
          <w:rFonts w:hint="cs"/>
        </w:rPr>
        <w:t>.</w:t>
      </w:r>
      <w:r w:rsidRPr="009A62F9">
        <w:rPr>
          <w:rFonts w:hint="cs"/>
        </w:rPr>
        <w:br/>
      </w:r>
      <w:r w:rsidRPr="009A62F9">
        <w:rPr>
          <w:rFonts w:hint="cs"/>
          <w:rtl/>
        </w:rPr>
        <w:t>מי שאין לו מזונות אלא חד יומא, חייב לזון מנה את אשתו או למיכל בהדה (טור בשם הרמ"ה). ויש אומרים עוד, דחייב להשכיר עצמו כפועל ולזון אשתו (טור בשם ר' אליה ומוהר"ם בשם רבי' שבצרפת). היה לו קרקעות, הרשות ביד האשה ליקח מזונותיה מפירות הקרקעות או מגוף הקרקעות, או צריך למכרן (רשב"א סימן תת"ץ)</w:t>
      </w:r>
      <w:r w:rsidRPr="009A62F9">
        <w:t>:</w:t>
      </w:r>
    </w:p>
    <w:p w14:paraId="3E765135" w14:textId="27B5040E" w:rsidR="00F61E24" w:rsidRDefault="00F61E24" w:rsidP="00F61E24">
      <w:pPr>
        <w:pStyle w:val="Style1"/>
        <w:rPr>
          <w:rtl/>
        </w:rPr>
      </w:pPr>
      <w:r>
        <w:rPr>
          <w:rFonts w:hint="cs"/>
          <w:rtl/>
        </w:rPr>
        <w:t>5)[</w:t>
      </w:r>
      <w:r>
        <w:rPr>
          <w:rtl/>
        </w:rPr>
        <w:t>שולחן ערוך אבן העזר הלכות כתובות סימן עג סעיף ד</w:t>
      </w:r>
      <w:r>
        <w:rPr>
          <w:rFonts w:hint="cs"/>
          <w:rtl/>
        </w:rPr>
        <w:t xml:space="preserve">] </w:t>
      </w:r>
      <w:r>
        <w:rPr>
          <w:rtl/>
        </w:rPr>
        <w:t>בד"א, בעני שבישראל. אבל בעשיר, כל דברים הללו נותן לה לפי עשרו.</w:t>
      </w:r>
    </w:p>
    <w:p w14:paraId="6669583D" w14:textId="06F01DA5" w:rsidR="00B04577" w:rsidRDefault="00B04577" w:rsidP="00B04577">
      <w:pPr>
        <w:pStyle w:val="Style1"/>
        <w:rPr>
          <w:rtl/>
        </w:rPr>
      </w:pPr>
      <w:r>
        <w:rPr>
          <w:rFonts w:hint="cs"/>
          <w:rtl/>
        </w:rPr>
        <w:t>6)[</w:t>
      </w:r>
      <w:r>
        <w:rPr>
          <w:rtl/>
        </w:rPr>
        <w:t>רמב</w:t>
      </w:r>
      <w:r w:rsidR="00EC109D">
        <w:rPr>
          <w:rtl/>
        </w:rPr>
        <w:t>”ם \זמנים\</w:t>
      </w:r>
      <w:r>
        <w:rPr>
          <w:rtl/>
        </w:rPr>
        <w:t xml:space="preserve"> הלכות עירובין פרק א הלכה ט</w:t>
      </w:r>
      <w:r>
        <w:rPr>
          <w:rFonts w:hint="cs"/>
          <w:rtl/>
        </w:rPr>
        <w:t xml:space="preserve">] </w:t>
      </w:r>
      <w:r>
        <w:rPr>
          <w:rtl/>
        </w:rPr>
        <w:t>וכמה שיעור האוכל שמשתתפין בו כגרוגרת לכל אחד ואחד מבני המבוי או מבני המדינה, והוא שיהיו שמונה עשר או פחות, אבל אם היו מרובים על זה שיעורו שתי סעודות שהן כשמונה עשר גרוגרות שהן כששה ביצים בינוניות, אפילו היו המשתתפין אלפים ורבבות שתי סעודות לכולן.</w:t>
      </w:r>
    </w:p>
    <w:p w14:paraId="0F954301" w14:textId="5E803350" w:rsidR="0011481E" w:rsidRDefault="0011481E" w:rsidP="0011481E">
      <w:pPr>
        <w:pStyle w:val="Style1"/>
        <w:rPr>
          <w:rtl/>
        </w:rPr>
      </w:pPr>
      <w:r>
        <w:rPr>
          <w:rFonts w:hint="cs"/>
          <w:rtl/>
        </w:rPr>
        <w:t>6)[</w:t>
      </w:r>
      <w:r>
        <w:rPr>
          <w:rtl/>
        </w:rPr>
        <w:t>רמב</w:t>
      </w:r>
      <w:r w:rsidR="00EC109D">
        <w:rPr>
          <w:rtl/>
        </w:rPr>
        <w:t>”ם \זמנים\</w:t>
      </w:r>
      <w:r>
        <w:rPr>
          <w:rtl/>
        </w:rPr>
        <w:t xml:space="preserve"> הלכות עירובין פרק ו הלכה ז</w:t>
      </w:r>
      <w:r>
        <w:rPr>
          <w:rFonts w:hint="cs"/>
          <w:rtl/>
        </w:rPr>
        <w:t xml:space="preserve">] </w:t>
      </w:r>
      <w:r>
        <w:rPr>
          <w:rtl/>
        </w:rPr>
        <w:t>כל שמשתתפין בו מערבין בו עירובי תחומין, וכל שאין משתתפין בו אין מערבין בו עירובי תחומין, וכמה שיעור עירובי תחומין מזון שתי סעודות לכל אחד ואחד, ואם היה לפתן כדי לאכול בו שתי סעודות, כמו השיתוף.</w:t>
      </w:r>
    </w:p>
    <w:p w14:paraId="3A7EC1BE" w14:textId="36DE30F1" w:rsidR="00754EF4" w:rsidRDefault="00754EF4" w:rsidP="00754EF4">
      <w:pPr>
        <w:pStyle w:val="Style1"/>
        <w:rPr>
          <w:rtl/>
        </w:rPr>
      </w:pPr>
      <w:r>
        <w:rPr>
          <w:rFonts w:hint="cs"/>
          <w:rtl/>
        </w:rPr>
        <w:t>6)[</w:t>
      </w:r>
      <w:r>
        <w:rPr>
          <w:rtl/>
        </w:rPr>
        <w:t>שולחן ערוך אורח חיים הלכות שבת סימן שפו סעיף ו</w:t>
      </w:r>
      <w:r>
        <w:rPr>
          <w:rFonts w:hint="cs"/>
          <w:rtl/>
        </w:rPr>
        <w:t>]</w:t>
      </w:r>
      <w:r w:rsidR="00441FB7">
        <w:rPr>
          <w:rFonts w:hint="cs"/>
          <w:rtl/>
        </w:rPr>
        <w:t xml:space="preserve"> </w:t>
      </w:r>
      <w:r w:rsidR="00441FB7" w:rsidRPr="00441FB7">
        <w:rPr>
          <w:rtl/>
        </w:rPr>
        <w:t>כל דבר שרגילים ללפת בו את הפת שיעורו ללפת בו פת הנאכל לשני סעודות וכל שאין מלפתין בו הפת שיעורו כדי לאכול ממנו ב' סעודות ובשר חי לא הוי ליפתן וצריך כדי שיאכל ממנו ב' סעודות אבל צלי הוי ליפתן ושיעורו ללפת בו ב' סעודות חומץ הוי ליפתן וכן יין מבושל אבל יין חי לא הוי ליפתן ושיעורו שתי רביעיות וכן שיעור שאר משקים</w:t>
      </w:r>
      <w:r w:rsidR="00441FB7" w:rsidRPr="00441FB7">
        <w:t>:</w:t>
      </w:r>
    </w:p>
    <w:p w14:paraId="708AE22E" w14:textId="6066312A" w:rsidR="00834549" w:rsidRDefault="00F736E8" w:rsidP="00834549">
      <w:pPr>
        <w:pStyle w:val="Style1"/>
        <w:rPr>
          <w:rtl/>
        </w:rPr>
      </w:pPr>
      <w:r>
        <w:rPr>
          <w:rFonts w:hint="cs"/>
          <w:rtl/>
        </w:rPr>
        <w:t>6)[</w:t>
      </w:r>
      <w:r w:rsidR="00EA73A8">
        <w:rPr>
          <w:rtl/>
        </w:rPr>
        <w:t>שולחן ערוך אורח חיים הלכות עירובי תחומין סימן תט סעיף ז</w:t>
      </w:r>
      <w:r>
        <w:rPr>
          <w:rFonts w:hint="cs"/>
          <w:rtl/>
        </w:rPr>
        <w:t>]</w:t>
      </w:r>
      <w:r w:rsidR="00834549">
        <w:rPr>
          <w:rFonts w:hint="cs"/>
          <w:rtl/>
        </w:rPr>
        <w:t xml:space="preserve"> </w:t>
      </w:r>
      <w:r w:rsidR="00834549" w:rsidRPr="00834549">
        <w:rPr>
          <w:rtl/>
        </w:rPr>
        <w:t>כיצד עשיית עירוב אם רוצה לילך בסוף התחום או בתוכו ולהחשיך שם זה הוא עיקר מצותו ואפילו לא אמר שביתתי במקומי אלא החשיך שם ושתק לא שנא מי שיוצא מביתו להחשיך על התחום לא שנא מי שבא בדרך וחשכה לו קונה אלפים אמה בלא אמירה ואם אינו רוצה לטרוח להחשיך שם ילך מבעוד יום ויניח שם מזון שתי סעודות כל אחד ואחד כפי מזונו ואם הוא חולה או רעבתן שיעורו שתי סעודות בינוניות שהם כששה ביצים </w:t>
      </w:r>
      <w:r w:rsidR="00834549" w:rsidRPr="00834549">
        <w:rPr>
          <w:rFonts w:hint="cs"/>
        </w:rPr>
        <w:t>(</w:t>
      </w:r>
      <w:r w:rsidR="00834549" w:rsidRPr="00834549">
        <w:rPr>
          <w:rFonts w:hint="cs"/>
          <w:rtl/>
        </w:rPr>
        <w:t>ועיין לעיל </w:t>
      </w:r>
      <w:hyperlink r:id="rId144" w:anchor="%D7%A1%D7%A2%D7%99%D7%A3_%D7%92" w:tooltip="שולחן ערוך אורח חיים שסח" w:history="1">
        <w:r w:rsidR="00834549" w:rsidRPr="00834549">
          <w:rPr>
            <w:rStyle w:val="Hyperlink"/>
            <w:rFonts w:hint="cs"/>
            <w:color w:val="7030A0"/>
            <w:u w:val="none"/>
            <w:rtl/>
          </w:rPr>
          <w:t>סימן שס"ח סעיף ג</w:t>
        </w:r>
        <w:r w:rsidR="00834549" w:rsidRPr="00834549">
          <w:rPr>
            <w:rStyle w:val="Hyperlink"/>
            <w:rFonts w:hint="cs"/>
            <w:color w:val="7030A0"/>
            <w:u w:val="none"/>
          </w:rPr>
          <w:t>'</w:t>
        </w:r>
      </w:hyperlink>
      <w:r w:rsidR="00834549" w:rsidRPr="00834549">
        <w:rPr>
          <w:rFonts w:hint="cs"/>
        </w:rPr>
        <w:t>)</w:t>
      </w:r>
      <w:r w:rsidR="00834549" w:rsidRPr="00834549">
        <w:t> </w:t>
      </w:r>
      <w:r w:rsidR="00834549" w:rsidRPr="00834549">
        <w:rPr>
          <w:rtl/>
        </w:rPr>
        <w:t>מפת או מכל דבר שמשתתפין בו שיתופי מבואות ואם הוא ליפתן בכדי לאכול בו שתי סעודות סגי ואומר בזה העירוב אהיה מותר לילך למחר אלפים אמה וחוזר ולן בביתו ואפילו הכי מודדים לו תחומו ממקום עירובו שאנו רואים כאילו דר שם אבל התלמידים האוכלים אצל בעלי בתים שבתיהם בשדה וחוזרים ולנים בבית רבם מודדין להם תחומם מבית רבם שהוא מקום לינתם שהוא להם עיקר ששם היו חפצים גם לאכול אילו היה שם מזונם</w:t>
      </w:r>
      <w:r w:rsidR="00834549" w:rsidRPr="00834549">
        <w:t>:</w:t>
      </w:r>
    </w:p>
    <w:p w14:paraId="4B78F46B" w14:textId="70DADA97" w:rsidR="002362C5" w:rsidRDefault="002362C5" w:rsidP="002362C5">
      <w:pPr>
        <w:pStyle w:val="Style1"/>
        <w:rPr>
          <w:rtl/>
        </w:rPr>
      </w:pPr>
      <w:r>
        <w:rPr>
          <w:rFonts w:hint="cs"/>
          <w:rtl/>
        </w:rPr>
        <w:t>7)[</w:t>
      </w:r>
      <w:r>
        <w:rPr>
          <w:rtl/>
        </w:rPr>
        <w:t>רמב</w:t>
      </w:r>
      <w:r w:rsidR="00786216">
        <w:rPr>
          <w:rtl/>
        </w:rPr>
        <w:t>”ם \טהרה\</w:t>
      </w:r>
      <w:r>
        <w:rPr>
          <w:rtl/>
        </w:rPr>
        <w:t xml:space="preserve"> הלכות טומאת צרעת פרק טז הלכה ו</w:t>
      </w:r>
      <w:r>
        <w:rPr>
          <w:rFonts w:hint="cs"/>
          <w:rtl/>
        </w:rPr>
        <w:t xml:space="preserve">] </w:t>
      </w:r>
      <w:r>
        <w:rPr>
          <w:rtl/>
        </w:rPr>
        <w:t>טהור שהכניס ראשו ורובו לבית טמא נטמא, וכן טלית טהורה שהכניס ממנה שלש על שלש לבית טמא נטמאת, וכן כלי חרס שהכניס אוירו לבית טמא נטמא, אבל שאר כלים עד שיכניס רוב הכלים משיכניס רובו נטמא מיד, בד"א בכלים שנכנסו חלוצין אבל אדם מישראל שנכנס לבית מנוגע והוא לבוש בבגדיו וסנדליו ברגליו וטבעותיו בידיו הרי האדם טמא מיד, ובגדיו טהורים עד שישהה שם כדי שיסב אדם ויאכל כשלש ביצים פת חטים בלפתן שנאמר והשוכב בבית יכבס את בגדיו והאוכל בבית יכבס את בגדיו, וכי תעלה על דעתך שאין בגדיו מתטמאין עד שיאכל שם, אלא ליתן שיעור לשוכב כאוכל, ואחד השוכב או היושב או העומד אם שהה כדי לאכול שיעור אכילה האמורה נטמאו בגדיו.</w:t>
      </w:r>
    </w:p>
    <w:p w14:paraId="7DD7FB75" w14:textId="11A2E6C2" w:rsidR="002C2630" w:rsidRDefault="002C2630" w:rsidP="002C2630">
      <w:pPr>
        <w:pStyle w:val="Style1"/>
        <w:rPr>
          <w:rtl/>
        </w:rPr>
      </w:pPr>
      <w:r>
        <w:rPr>
          <w:rFonts w:hint="cs"/>
          <w:rtl/>
        </w:rPr>
        <w:t>8)[</w:t>
      </w:r>
      <w:r>
        <w:rPr>
          <w:rtl/>
        </w:rPr>
        <w:t>רמב</w:t>
      </w:r>
      <w:r w:rsidR="00786216">
        <w:rPr>
          <w:rtl/>
        </w:rPr>
        <w:t>”ם \טהרה\</w:t>
      </w:r>
      <w:r>
        <w:rPr>
          <w:rtl/>
        </w:rPr>
        <w:t xml:space="preserve"> הלכות טומאת אוכלין פרק ד הלכה א</w:t>
      </w:r>
      <w:r>
        <w:rPr>
          <w:rFonts w:hint="cs"/>
          <w:rtl/>
        </w:rPr>
        <w:t xml:space="preserve">] </w:t>
      </w:r>
      <w:r>
        <w:rPr>
          <w:rtl/>
        </w:rPr>
        <w:t>כמה שיעור אוכלין לטומאה לטומאת עצמן כל שהן אפילו שמשום או חרדל מתטמא, שנאמר כל האוכל אשר יאכל כל שהוא, ואין אוכל טמא מטמא אוכל אחר או משקין או ידים עד שיהיה בו כביצה בלא קליפתה, וכן האוכל אוכלין טמאים אינו נפסל עד שיאכל כביצה ומחצה וזהו חצי פרס.</w:t>
      </w:r>
    </w:p>
    <w:p w14:paraId="7D009437" w14:textId="6267B3C9" w:rsidR="002303A1" w:rsidRDefault="002303A1" w:rsidP="002303A1">
      <w:pPr>
        <w:pStyle w:val="Style1"/>
        <w:rPr>
          <w:rtl/>
        </w:rPr>
      </w:pPr>
      <w:r>
        <w:rPr>
          <w:rFonts w:hint="cs"/>
          <w:rtl/>
        </w:rPr>
        <w:t>8)[</w:t>
      </w:r>
      <w:r>
        <w:rPr>
          <w:rtl/>
        </w:rPr>
        <w:t>רמב</w:t>
      </w:r>
      <w:r w:rsidR="00786216">
        <w:rPr>
          <w:rtl/>
        </w:rPr>
        <w:t>”ם \טהרה\</w:t>
      </w:r>
      <w:r>
        <w:rPr>
          <w:rtl/>
        </w:rPr>
        <w:t xml:space="preserve"> הלכות טומאת אוכלין פרק ד הלכה ג</w:t>
      </w:r>
      <w:r>
        <w:rPr>
          <w:rFonts w:hint="cs"/>
          <w:rtl/>
        </w:rPr>
        <w:t xml:space="preserve">] </w:t>
      </w:r>
      <w:r>
        <w:rPr>
          <w:rtl/>
        </w:rPr>
        <w:t>כל המשקין מצטרפין לפסול את הגוויה לרביעית, וכל האוכלין מצטרפין לכביצה לטמא טומאת אוכלים, ולכחצי פרס לפסול את הגוויה, אפילו חטה עם קמח עם בצק עם תאנה ובשר וכיוצא באלו הכל מצטרף.</w:t>
      </w:r>
    </w:p>
    <w:p w14:paraId="416F2688" w14:textId="1B50155E" w:rsidR="00973365" w:rsidRDefault="00973365" w:rsidP="00973365">
      <w:pPr>
        <w:pStyle w:val="Style1"/>
        <w:rPr>
          <w:rtl/>
        </w:rPr>
      </w:pPr>
      <w:r>
        <w:rPr>
          <w:rFonts w:hint="cs"/>
          <w:rtl/>
        </w:rPr>
        <w:t>9)[</w:t>
      </w:r>
      <w:r>
        <w:rPr>
          <w:rtl/>
        </w:rPr>
        <w:t>רמב</w:t>
      </w:r>
      <w:r w:rsidR="00C764B2">
        <w:rPr>
          <w:rtl/>
        </w:rPr>
        <w:t>”ם \זמנים\</w:t>
      </w:r>
      <w:r>
        <w:rPr>
          <w:rtl/>
        </w:rPr>
        <w:t xml:space="preserve"> הלכות שבת פרק ל הלכה ט</w:t>
      </w:r>
      <w:r>
        <w:rPr>
          <w:rFonts w:hint="cs"/>
          <w:rtl/>
        </w:rPr>
        <w:t xml:space="preserve">] </w:t>
      </w:r>
      <w:r>
        <w:rPr>
          <w:rtl/>
        </w:rPr>
        <w:t>חייב אדם לאכול שלש סעודות בשבת אחת ערבית ואחת שחרית ואחת במנחה, וצריך להזהר בשלש סעודות אלו שלא יפחות מהן כלל, ואפילו עני המתפרנס מן הצדקה סועד שלש סעודות, ואם היה חולה מרוב האכילה או שהיה מתענה תמיד פטור משלש סעודות, וצריך לקבוע כל סעודה משלשתן על היין ולבצוע על שתי ככרות, וכן בימים טובים.</w:t>
      </w:r>
    </w:p>
    <w:p w14:paraId="7C21E7B0" w14:textId="2161143F" w:rsidR="005B49F8" w:rsidRPr="005B49F8" w:rsidRDefault="008E488C" w:rsidP="005B49F8">
      <w:pPr>
        <w:pStyle w:val="Style1"/>
      </w:pPr>
      <w:r>
        <w:rPr>
          <w:rFonts w:hint="cs"/>
          <w:rtl/>
        </w:rPr>
        <w:t>9)[</w:t>
      </w:r>
      <w:r>
        <w:rPr>
          <w:rtl/>
        </w:rPr>
        <w:t>שולחן ערוך אורח חיים הלכות שבת סימן רצא סעיף א</w:t>
      </w:r>
      <w:r>
        <w:rPr>
          <w:rFonts w:hint="cs"/>
          <w:rtl/>
        </w:rPr>
        <w:t>]</w:t>
      </w:r>
      <w:r w:rsidR="005B49F8">
        <w:rPr>
          <w:rFonts w:hint="cs"/>
          <w:rtl/>
        </w:rPr>
        <w:t xml:space="preserve"> </w:t>
      </w:r>
      <w:r w:rsidR="005B49F8" w:rsidRPr="005B49F8">
        <w:rPr>
          <w:rtl/>
        </w:rPr>
        <w:t>יהא זהיר מאד לקיים סעודה שלישית ואף אם הוא שבע יכול לקיים אותה בכביצה ואם אי אפשר לו כלל לאכול אינו חייב לצער את עצמו והחכם עיניו בראשו שלא ימלא בטנו בסעודת הבוקר כדי ליתן מקום לסעודה שלישית</w:t>
      </w:r>
      <w:r w:rsidR="005B49F8" w:rsidRPr="005B49F8">
        <w:t>:</w:t>
      </w:r>
    </w:p>
    <w:p w14:paraId="639E1D2D" w14:textId="293ECB04" w:rsidR="002C4635" w:rsidRDefault="005B49F8" w:rsidP="0050063B">
      <w:pPr>
        <w:pStyle w:val="Style1"/>
        <w:rPr>
          <w:rStyle w:val="Style1Char"/>
          <w:color w:val="00B050"/>
          <w:rtl/>
        </w:rPr>
      </w:pPr>
      <w:r w:rsidRPr="005B49F8">
        <w:rPr>
          <w:rFonts w:hint="cs"/>
          <w:rtl/>
        </w:rPr>
        <w:t>הגה: ומי שלא אכל בליל שבת יאכל שלש סעודות ביום השבת (הרא"ש פרק ערבי פסחים)</w:t>
      </w:r>
      <w:r w:rsidRPr="005B49F8">
        <w:t>:</w:t>
      </w:r>
      <w:r w:rsidR="002C4635">
        <w:rPr>
          <w:rStyle w:val="Style1Char"/>
          <w:color w:val="00B050"/>
          <w:rtl/>
        </w:rPr>
        <w:br w:type="page"/>
      </w:r>
    </w:p>
    <w:p w14:paraId="43D2387D" w14:textId="2E1B0120" w:rsidR="002C4635" w:rsidRPr="00BE3EED" w:rsidRDefault="002C4635" w:rsidP="002C4635">
      <w:pPr>
        <w:bidi/>
        <w:rPr>
          <w:rStyle w:val="Style1Char"/>
          <w:color w:val="auto"/>
          <w:sz w:val="22"/>
          <w:szCs w:val="22"/>
          <w:rtl/>
        </w:rPr>
      </w:pPr>
      <w:r w:rsidRPr="003D70A8">
        <w:rPr>
          <w:rStyle w:val="Style1Char"/>
          <w:color w:val="auto"/>
          <w:sz w:val="22"/>
          <w:szCs w:val="22"/>
          <w:highlight w:val="yellow"/>
          <w:rtl/>
        </w:rPr>
        <w:lastRenderedPageBreak/>
        <w:t>[דף סה עמוד א]</w:t>
      </w:r>
      <w:r w:rsidRPr="003D70A8">
        <w:rPr>
          <w:rStyle w:val="Style1Char"/>
          <w:color w:val="auto"/>
          <w:sz w:val="22"/>
          <w:szCs w:val="22"/>
          <w:rtl/>
        </w:rPr>
        <w:t xml:space="preserve"> אין פוסקין יינות לאשה</w:t>
      </w:r>
      <w:r w:rsidRPr="003D70A8">
        <w:rPr>
          <w:rStyle w:val="Style1Char"/>
          <w:color w:val="auto"/>
          <w:rtl/>
        </w:rPr>
        <w:t xml:space="preserve"> </w:t>
      </w:r>
      <w:r w:rsidRPr="00BE3EED">
        <w:rPr>
          <w:rStyle w:val="Style1Char"/>
          <w:color w:val="806000" w:themeColor="accent4" w:themeShade="80"/>
          <w:sz w:val="22"/>
          <w:szCs w:val="22"/>
          <w:rtl/>
        </w:rPr>
        <w:t>וה"מ דלא רגילה אבל רגילה פוסקין דאמרי';</w:t>
      </w:r>
      <w:r w:rsidRPr="00BE3EED">
        <w:rPr>
          <w:rStyle w:val="Style1Char"/>
          <w:color w:val="806000" w:themeColor="accent4" w:themeShade="80"/>
          <w:rtl/>
        </w:rPr>
        <w:t xml:space="preserve"> </w:t>
      </w:r>
      <w:r w:rsidRPr="005F123E">
        <w:rPr>
          <w:rStyle w:val="Style1Char"/>
          <w:color w:val="00B050"/>
          <w:rtl/>
        </w:rPr>
        <w:t>ואם תאמר: אלכה אחרי מאהבי נותני לחמי ומימי צמרי ופשתי שמני ושקויי! דברים שהאשה משתוקקת עליהן, ומאי נינהו? תכשיטין. דרש רבי יהודה איש כפר נביריא, ואמרי לה איש כפר נפור חיל: מנין שאין פוסקין יינות לאשה? שנאמר: ותקם חנה אחרי אכלה בשילה ואחרי שתה, שתה - ולא שתת. אלא מעתה, אכלה - ולא אכל הכי נמי! אנן מדשני קרא בדבוריה קאמרינן, מכדי בגוה קא עסיק ואתי, מאי טעמא שני? ש"מ, שתה - ולא שתת. מיתיבי: רגילה - נותנין לה! רגילה שאני, דאמר רב חיננא בר כהנא אמר שמואל: רגילה - נותנין לה כוס אחד, שאינה רגילה - נותנין לה שני כוסות. מאי קאמר? אמר אביי, הכי קאמר: רגילה בפני בעלה שני כוסות, שלא בפני בעלה - נותנין לה כוס אחד, אינה רגילה בפני בעלה אלא כוס אחד, שלא בפני בעלה - אין נותנין לה כל עיקר. ואי בעית אימא: רגילה - נותנין לה לציקי קדירה, דא"ר אבהו א"ר יוחנן: מעשה בכלתו של נקדימון בן גוריון, שפסקו לה חכמים סאתים יין לציקי קדרה מערב שבת לע"ש, אמרה להן: כך תפסקו לבנותיכם. תנא: שומרת יבם היתה, ולא ענו אחריה אמן. תנא: כוס אחד יפה לאשה, שנים - ניוול הוא, שלשה - תובעת בפה, ארבעה - אפילו חמור תובעת בשוק ואינה מקפדת. אמר רבא: לא שנו אלא שאין בעלה עמה, אבל בעלה עמה לית לן בה. והא חנה דבעלה עמה הואי! אכסנאי שאני, ד</w:t>
      </w:r>
      <w:r w:rsidRPr="00452F90">
        <w:rPr>
          <w:rStyle w:val="Style1Char"/>
          <w:color w:val="000000" w:themeColor="text1"/>
          <w:sz w:val="22"/>
          <w:szCs w:val="22"/>
          <w:rtl/>
        </w:rPr>
        <w:t>אמר</w:t>
      </w:r>
      <w:r w:rsidRPr="00452F90">
        <w:rPr>
          <w:rStyle w:val="Style1Char"/>
          <w:color w:val="000000" w:themeColor="text1"/>
          <w:rtl/>
        </w:rPr>
        <w:t xml:space="preserve"> </w:t>
      </w:r>
      <w:r w:rsidRPr="00452F90">
        <w:rPr>
          <w:rStyle w:val="Style1Char"/>
          <w:color w:val="000000" w:themeColor="text1"/>
          <w:sz w:val="22"/>
          <w:szCs w:val="22"/>
          <w:rtl/>
        </w:rPr>
        <w:t xml:space="preserve">רב הונא: מנין </w:t>
      </w:r>
      <w:r w:rsidR="004841E1">
        <w:rPr>
          <w:rStyle w:val="Style1Char"/>
          <w:rFonts w:hint="cs"/>
          <w:rtl/>
        </w:rPr>
        <w:t>(1)</w:t>
      </w:r>
      <w:r w:rsidRPr="00452F90">
        <w:rPr>
          <w:rStyle w:val="Style1Char"/>
          <w:color w:val="000000" w:themeColor="text1"/>
          <w:sz w:val="22"/>
          <w:szCs w:val="22"/>
          <w:rtl/>
        </w:rPr>
        <w:t xml:space="preserve">לאכסנאי שאסור בתשמיש המטה? שנאמר: וישכימו בבקר וישתחוו לפני ה' וישובו ויבאו אל ביתם הרמתה וידע אלקנה את חנה אשתו </w:t>
      </w:r>
      <w:r w:rsidRPr="005F123E">
        <w:rPr>
          <w:rStyle w:val="Style1Char"/>
          <w:color w:val="00B050"/>
          <w:rtl/>
        </w:rPr>
        <w:t xml:space="preserve">ויזכרה ה', </w:t>
      </w:r>
      <w:r w:rsidRPr="00452F90">
        <w:rPr>
          <w:rStyle w:val="Style1Char"/>
          <w:color w:val="000000" w:themeColor="text1"/>
          <w:sz w:val="22"/>
          <w:szCs w:val="22"/>
          <w:rtl/>
        </w:rPr>
        <w:t>השתא אין, מעיקרא לא</w:t>
      </w:r>
      <w:r w:rsidRPr="00452F90">
        <w:rPr>
          <w:rStyle w:val="Style1Char"/>
          <w:color w:val="000000" w:themeColor="text1"/>
          <w:rtl/>
        </w:rPr>
        <w:t xml:space="preserve">. </w:t>
      </w:r>
      <w:r w:rsidRPr="005F123E">
        <w:rPr>
          <w:rStyle w:val="Style1Char"/>
          <w:color w:val="00B050"/>
          <w:rtl/>
        </w:rPr>
        <w:t xml:space="preserve">חומא דביתהו דאביי אתאי לקמיה דרבא, אמרה ליה: פסוק לי מזוני, פסק לה. פסוק לי חמרא, א"ל: ידענא ביה בנחמני דלא הוה שתי חמרא, אמרה ליה: חיי דמר, דהוי משקי ליה בשופרזי כי האי. בהדי דקא מחויא ליה איגלי דרעא, נפל נהורא בבי דינא. קם רבא על לביתיה, תבעה לבת רב חסדא. אמרה ליה בת רב חסדא: מאן הוי האידנא בבי דינא? אמר לה: חומא דביתהו דאביי. נפקא אבתרה, מחתא לה בקולפי דשידא עד דאפקה לה מכולי מחוזא, אמרה לה: קטלת ליך תלתא, ואתת למיקטל אחרינא? </w:t>
      </w:r>
      <w:r w:rsidRPr="00BE3EED">
        <w:rPr>
          <w:rStyle w:val="Style1Char"/>
          <w:color w:val="auto"/>
          <w:sz w:val="22"/>
          <w:szCs w:val="22"/>
          <w:rtl/>
        </w:rPr>
        <w:t xml:space="preserve">דביתהו דרב יוסף בריה דרבא אתאי לקמיה דרב נחמיה בריה דרב יוסף, אמרה ליה: פסוק לי מזוני, פסק לה. פסוק לי חמרא, פסק לה, אמר לה: </w:t>
      </w:r>
      <w:r w:rsidR="000A4768">
        <w:rPr>
          <w:rStyle w:val="Style1Char"/>
          <w:rFonts w:hint="cs"/>
          <w:rtl/>
        </w:rPr>
        <w:t>(2)</w:t>
      </w:r>
      <w:r w:rsidRPr="00BE3EED">
        <w:rPr>
          <w:rStyle w:val="Style1Char"/>
          <w:color w:val="auto"/>
          <w:sz w:val="22"/>
          <w:szCs w:val="22"/>
          <w:rtl/>
        </w:rPr>
        <w:t xml:space="preserve">ידענא בהו בבני מחוזא דשתו חמרא. דביתהו דרב יוסף בריה דרב מנשיא מדויל אתאי לקמיה דרב יוסף, א"ל: פסוק לי מזוני, פסק לה. פסוק לי חמרא, פסק לה. פסוק לי שיראי, אמר לה: שיראי למה? אמרה ליה: לך ולחברך ולחברורך. </w:t>
      </w:r>
    </w:p>
    <w:p w14:paraId="72CDF7E3" w14:textId="77777777" w:rsidR="002C4635" w:rsidRPr="005F123E" w:rsidRDefault="002C4635" w:rsidP="002C4635">
      <w:pPr>
        <w:bidi/>
        <w:rPr>
          <w:rStyle w:val="Style1Char"/>
          <w:color w:val="00B050"/>
        </w:rPr>
      </w:pPr>
      <w:r w:rsidRPr="005F123E">
        <w:rPr>
          <w:rStyle w:val="Style1Char"/>
          <w:color w:val="00B050"/>
          <w:rtl/>
        </w:rPr>
        <w:t xml:space="preserve">ונותן לה מטה ומפץ וכו'. מפץ ומחצלת למה לה דיהב לה? אמר רב פפא: באתרא דנהיגי דמלו פוריא בחבלי, דמבגר לה. ת"ר: אין נותנין לה כר וכסת, משום ר' נתן אמרו: נותנין לה כר וכסת. היכי דמי? אי דאורחה, מאי טעמא דת"ק? ואי דלאו אורחה, מ"ט דרבי נתן? לא צריכא, כגון דאורחיה דידיה ולאו אורחה דידה, תנא קמא סבר, אמר לה: כי אזילנא שקילנא להו, וכי אתינא מייתינא להו בהדאי; ורבי נתן סבר, אמרה ליה: זימנין דמיתרמי בין השמשות ולא מצית מייתי להו, ושקלת להו לדידי ומגנית לי על ארעא. </w:t>
      </w:r>
    </w:p>
    <w:p w14:paraId="62ABAF8E" w14:textId="68FF18AA" w:rsidR="002C4635" w:rsidRDefault="002C4635" w:rsidP="002C4635">
      <w:pPr>
        <w:bidi/>
        <w:rPr>
          <w:rStyle w:val="Style1Char"/>
          <w:color w:val="00B050"/>
          <w:rtl/>
        </w:rPr>
      </w:pPr>
      <w:r w:rsidRPr="005F123E">
        <w:rPr>
          <w:rStyle w:val="Style1Char"/>
          <w:color w:val="00B050"/>
          <w:rtl/>
        </w:rPr>
        <w:t>ונותן לה כפה. אמר ליה רב פפא לאביי:</w:t>
      </w:r>
    </w:p>
    <w:p w14:paraId="1D622526" w14:textId="04322026" w:rsidR="0050063B" w:rsidRDefault="0050063B" w:rsidP="0050063B">
      <w:pPr>
        <w:pStyle w:val="Style1"/>
        <w:rPr>
          <w:rStyle w:val="Style1Char"/>
          <w:rtl/>
        </w:rPr>
      </w:pPr>
      <w:r>
        <w:rPr>
          <w:rStyle w:val="Style1Char"/>
          <w:rFonts w:hint="cs"/>
          <w:rtl/>
        </w:rPr>
        <w:t>1)[</w:t>
      </w:r>
      <w:r w:rsidRPr="0050063B">
        <w:rPr>
          <w:rStyle w:val="Style1Char"/>
          <w:rtl/>
        </w:rPr>
        <w:t>רמב</w:t>
      </w:r>
      <w:r w:rsidR="00213DA1">
        <w:rPr>
          <w:rStyle w:val="Style1Char"/>
          <w:rtl/>
        </w:rPr>
        <w:t>”ם \קדושה\</w:t>
      </w:r>
      <w:r w:rsidRPr="0050063B">
        <w:rPr>
          <w:rStyle w:val="Style1Char"/>
          <w:rtl/>
        </w:rPr>
        <w:t xml:space="preserve"> הלכות איסורי ביאה פרק כא הלכה טו</w:t>
      </w:r>
      <w:r>
        <w:rPr>
          <w:rStyle w:val="Style1Char"/>
          <w:rFonts w:hint="cs"/>
          <w:rtl/>
        </w:rPr>
        <w:t xml:space="preserve">] </w:t>
      </w:r>
      <w:r w:rsidRPr="0050063B">
        <w:rPr>
          <w:rStyle w:val="Style1Char"/>
          <w:rtl/>
        </w:rPr>
        <w:t>ואכסנאי אסור בתשמיש המטה עד שיחזור לביתו וכן אסרו חכמים על האיש שידור בבית חמיו שזו עזות פנים היא, ולא יכנס עמו למרחץ. /השגת הראב"ד/ שידור בבית חמיו וכו'. כתב הראב"ד ז"ל /א"א/ אם ייחד לו בית למשכב מותר וכן אכסנאי ובלבד שיישן בטלית של עצמו עכ"ל.</w:t>
      </w:r>
    </w:p>
    <w:p w14:paraId="3513828B" w14:textId="65F70F21" w:rsidR="00511748" w:rsidRDefault="00511748" w:rsidP="00511748">
      <w:pPr>
        <w:pStyle w:val="Style1"/>
        <w:rPr>
          <w:rtl/>
        </w:rPr>
      </w:pPr>
      <w:r>
        <w:rPr>
          <w:rStyle w:val="Style1Char"/>
          <w:rFonts w:hint="cs"/>
          <w:rtl/>
        </w:rPr>
        <w:t>1)[</w:t>
      </w:r>
      <w:r w:rsidRPr="00511748">
        <w:rPr>
          <w:rStyle w:val="Style1Char"/>
          <w:rtl/>
        </w:rPr>
        <w:t>שולחן ערוך אורח חיים הלכות ק"ש ותפלה של ערבית סימן רמ סעיף יג</w:t>
      </w:r>
      <w:r>
        <w:rPr>
          <w:rStyle w:val="Style1Char"/>
          <w:rFonts w:hint="cs"/>
          <w:rtl/>
        </w:rPr>
        <w:t>]</w:t>
      </w:r>
      <w:r w:rsidR="00615083">
        <w:rPr>
          <w:rStyle w:val="Style1Char"/>
          <w:rFonts w:hint="cs"/>
          <w:rtl/>
        </w:rPr>
        <w:t xml:space="preserve"> </w:t>
      </w:r>
      <w:r w:rsidR="00615083" w:rsidRPr="00615083">
        <w:rPr>
          <w:rtl/>
        </w:rPr>
        <w:t>אכסנאי אסור לשמש ואם יחדו לו ולאשתו בית מותר ובלבד שלא יישן בטליתו של בעל הבית</w:t>
      </w:r>
      <w:r w:rsidR="00615083" w:rsidRPr="00615083">
        <w:t>:</w:t>
      </w:r>
    </w:p>
    <w:p w14:paraId="520C4DAA" w14:textId="7E37E9BF" w:rsidR="0042617B" w:rsidRDefault="0042617B" w:rsidP="0042617B">
      <w:pPr>
        <w:pStyle w:val="Style1"/>
        <w:rPr>
          <w:rtl/>
        </w:rPr>
      </w:pPr>
      <w:r>
        <w:rPr>
          <w:rFonts w:hint="cs"/>
          <w:rtl/>
        </w:rPr>
        <w:t>1)[</w:t>
      </w:r>
      <w:r>
        <w:rPr>
          <w:rtl/>
        </w:rPr>
        <w:t>שולחן ערוך אבן העזר הלכות אישות סימן כה סעיף ז</w:t>
      </w:r>
      <w:r>
        <w:rPr>
          <w:rFonts w:hint="cs"/>
          <w:rtl/>
        </w:rPr>
        <w:t xml:space="preserve">] </w:t>
      </w:r>
      <w:r>
        <w:rPr>
          <w:rtl/>
        </w:rPr>
        <w:t>אכסנאי אל ישמש עד שיבא לביתו.</w:t>
      </w:r>
    </w:p>
    <w:p w14:paraId="3D3C3775" w14:textId="14095192" w:rsidR="003318D9" w:rsidRDefault="003318D9" w:rsidP="003318D9">
      <w:pPr>
        <w:pStyle w:val="Style1"/>
        <w:rPr>
          <w:rStyle w:val="Style1Char"/>
          <w:rtl/>
        </w:rPr>
      </w:pPr>
      <w:r>
        <w:rPr>
          <w:rStyle w:val="Style1Char"/>
          <w:rFonts w:hint="cs"/>
          <w:rtl/>
        </w:rPr>
        <w:t>2)[</w:t>
      </w:r>
      <w:r w:rsidRPr="00DB37A9">
        <w:rPr>
          <w:rStyle w:val="Style1Char"/>
          <w:rtl/>
        </w:rPr>
        <w:t>רמב</w:t>
      </w:r>
      <w:r w:rsidR="00213DA1">
        <w:rPr>
          <w:rStyle w:val="Style1Char"/>
          <w:rtl/>
        </w:rPr>
        <w:t>”ם \נשים\</w:t>
      </w:r>
      <w:r w:rsidRPr="00DB37A9">
        <w:rPr>
          <w:rStyle w:val="Style1Char"/>
          <w:rtl/>
        </w:rPr>
        <w:t xml:space="preserve"> הלכות אישות פרק יב הלכה י</w:t>
      </w:r>
      <w:r>
        <w:rPr>
          <w:rStyle w:val="Style1Char"/>
          <w:rFonts w:hint="cs"/>
          <w:rtl/>
        </w:rPr>
        <w:t xml:space="preserve">] </w:t>
      </w:r>
      <w:r w:rsidRPr="00DB37A9">
        <w:rPr>
          <w:rStyle w:val="Style1Char"/>
          <w:rtl/>
        </w:rPr>
        <w:t>כמה מזונות פוסקין לאשה, פוסקין לה לחם שתי סעודות בכל יום סעודה בינונית של כל אדם באותה העיר שאינו לא חולה ולא גרגרן, ומאותו מאכל של אנשי אותה העיר אם חטים חטים ואם שעורים שעורים וכן אורז או דוחן או משאר מינין שנהגו בהן, ופוסקין לה פרפרת לאכול בה הפת כגון קטנית או ירקות וכיוצא בהן, ושמן לאכילה ושמן להדלקת הנר ופירות ומעט יין לשתות אם היה מנהג המקום שישתו הנשים יין. ופוסקין לה שלש סעודות בשבת ובשר או דגים כמנהג המקום, ונותן לה בכל שבת ושבת מעה כסף לצרכיה כגון פרוטה לכבוס או למרחץ וכיוצא בהן.</w:t>
      </w:r>
    </w:p>
    <w:p w14:paraId="5235BE1D" w14:textId="26F651E6" w:rsidR="00AD2D05" w:rsidRDefault="00AD2D05" w:rsidP="00AD2D05">
      <w:pPr>
        <w:pStyle w:val="Style1"/>
        <w:rPr>
          <w:rStyle w:val="Style1Char"/>
          <w:rtl/>
        </w:rPr>
      </w:pPr>
      <w:r>
        <w:rPr>
          <w:rStyle w:val="Style1Char"/>
          <w:rFonts w:hint="cs"/>
          <w:rtl/>
        </w:rPr>
        <w:t>2)[</w:t>
      </w:r>
      <w:r w:rsidRPr="00AD2D05">
        <w:rPr>
          <w:rStyle w:val="Style1Char"/>
          <w:rtl/>
        </w:rPr>
        <w:t>רמב</w:t>
      </w:r>
      <w:r w:rsidR="00213DA1">
        <w:rPr>
          <w:rStyle w:val="Style1Char"/>
          <w:rtl/>
        </w:rPr>
        <w:t>”ם \נשים\</w:t>
      </w:r>
      <w:r w:rsidRPr="00AD2D05">
        <w:rPr>
          <w:rStyle w:val="Style1Char"/>
          <w:rtl/>
        </w:rPr>
        <w:t xml:space="preserve"> הלכות אישות פרק יב הלכה יא</w:t>
      </w:r>
      <w:r>
        <w:rPr>
          <w:rStyle w:val="Style1Char"/>
          <w:rFonts w:hint="cs"/>
          <w:rtl/>
        </w:rPr>
        <w:t xml:space="preserve">] </w:t>
      </w:r>
      <w:r w:rsidRPr="00AD2D05">
        <w:rPr>
          <w:rStyle w:val="Style1Char"/>
          <w:rtl/>
        </w:rPr>
        <w:t>במה דברים אמורים בעני שבישראל אבל אם היה עשיר הכל לפי עשרו, אפילו היה ממונו ראוי לעשות לה כמה תבשילי בשר בכל יום כופין אותו ופוסקין לה מזונות כפי ממונו, ואם היה עני ביותר ואינו יכול ליתן לה אפי' לחם שהיא צריכה לו כופין אותו להוציא ותהיה כתובתה חוב עליו עד שתמצא ידו ויתן.</w:t>
      </w:r>
    </w:p>
    <w:p w14:paraId="4A28625D" w14:textId="7AE08C87" w:rsidR="003318D9" w:rsidRPr="009A62F9" w:rsidRDefault="003318D9" w:rsidP="003318D9">
      <w:pPr>
        <w:pStyle w:val="Style1"/>
      </w:pPr>
      <w:r>
        <w:rPr>
          <w:rStyle w:val="Style1Char"/>
          <w:rFonts w:hint="cs"/>
          <w:rtl/>
        </w:rPr>
        <w:t>2)[</w:t>
      </w:r>
      <w:r w:rsidRPr="00D50DB6">
        <w:rPr>
          <w:rStyle w:val="Style1Char"/>
          <w:rtl/>
        </w:rPr>
        <w:t>שולחן ערוך אבן העזר הלכות כתובות סימן ע סעיף ג</w:t>
      </w:r>
      <w:r>
        <w:rPr>
          <w:rStyle w:val="Style1Char"/>
          <w:rFonts w:hint="cs"/>
          <w:rtl/>
        </w:rPr>
        <w:t xml:space="preserve">] </w:t>
      </w:r>
      <w:r w:rsidRPr="009A62F9">
        <w:rPr>
          <w:rtl/>
        </w:rPr>
        <w:t>כמה מזונות פוסקים לאשה, לחם שתי סעודות בכל יום, ופרפרות לאכול בה הפת, ושמן לאכילה ולהדלקת הנר, ומעט יין לשתות, אם היה מנהג המקום שישתו הנשים יין</w:t>
      </w:r>
      <w:r w:rsidRPr="009A62F9">
        <w:t>, </w:t>
      </w:r>
      <w:r w:rsidRPr="009A62F9">
        <w:rPr>
          <w:rFonts w:hint="cs"/>
          <w:rtl/>
        </w:rPr>
        <w:t>ואם היתה מיניקה נותנים לה יין (טור)</w:t>
      </w:r>
      <w:r w:rsidRPr="009A62F9">
        <w:t xml:space="preserve">; </w:t>
      </w:r>
      <w:r w:rsidRPr="009A62F9">
        <w:rPr>
          <w:rtl/>
        </w:rPr>
        <w:t>ובשבת שלשה סעודות ובשר או דגים; ונותן לה בכל שבת מעה כסף לצרכיה</w:t>
      </w:r>
      <w:r w:rsidRPr="009A62F9">
        <w:t>; </w:t>
      </w:r>
      <w:r w:rsidRPr="009A62F9">
        <w:rPr>
          <w:rFonts w:hint="cs"/>
          <w:rtl/>
        </w:rPr>
        <w:t>ונותנין לה עץ לבשל מאכלה (הר"ן פרק אף על פי)</w:t>
      </w:r>
      <w:r w:rsidRPr="009A62F9">
        <w:t xml:space="preserve">. </w:t>
      </w:r>
      <w:r w:rsidRPr="009A62F9">
        <w:rPr>
          <w:rtl/>
        </w:rPr>
        <w:t>במה דברים אמורים, בעני שבישראל; אבל אם היה עשיר, הכל לפי עשרו</w:t>
      </w:r>
      <w:r w:rsidRPr="009A62F9">
        <w:t>. </w:t>
      </w:r>
      <w:r w:rsidRPr="009A62F9">
        <w:rPr>
          <w:rFonts w:hint="cs"/>
          <w:rtl/>
        </w:rPr>
        <w:t>צמצמה והותירו מאלו המזונות, הוא של בעל (טור)</w:t>
      </w:r>
      <w:r w:rsidRPr="009A62F9">
        <w:t>.</w:t>
      </w:r>
    </w:p>
    <w:p w14:paraId="0A5261FB" w14:textId="77777777" w:rsidR="003318D9" w:rsidRPr="009A62F9" w:rsidRDefault="003318D9" w:rsidP="003318D9">
      <w:pPr>
        <w:pStyle w:val="Style1"/>
      </w:pPr>
      <w:r w:rsidRPr="009A62F9">
        <w:rPr>
          <w:rtl/>
        </w:rPr>
        <w:t>ואם היה עני ביותר ואינו יכול ליתן לה אפילו לחם שהיא צריכה, כופין אותו להוציא</w:t>
      </w:r>
      <w:r w:rsidRPr="009A62F9">
        <w:t>.</w:t>
      </w:r>
    </w:p>
    <w:p w14:paraId="158585A5" w14:textId="77777777" w:rsidR="003318D9" w:rsidRDefault="003318D9" w:rsidP="003318D9">
      <w:pPr>
        <w:pStyle w:val="Style1"/>
        <w:rPr>
          <w:rtl/>
        </w:rPr>
      </w:pPr>
      <w:r w:rsidRPr="009A62F9">
        <w:rPr>
          <w:rFonts w:hint="cs"/>
          <w:rtl/>
        </w:rPr>
        <w:t>הגה: ותהא כתובתה עליו חוב עד שימצא ויתן (טור בשם הרמב"ם). ויש אומרים שאין כופין אותו להוציא, מאחר שאין לו (ר"י בשם רבנו תם)</w:t>
      </w:r>
      <w:r w:rsidRPr="009A62F9">
        <w:rPr>
          <w:rFonts w:hint="cs"/>
        </w:rPr>
        <w:t>.</w:t>
      </w:r>
      <w:r w:rsidRPr="009A62F9">
        <w:rPr>
          <w:rFonts w:hint="cs"/>
        </w:rPr>
        <w:br/>
      </w:r>
      <w:r w:rsidRPr="009A62F9">
        <w:rPr>
          <w:rFonts w:hint="cs"/>
          <w:rtl/>
        </w:rPr>
        <w:t>מי שאין לו מזונות אלא חד יומא, חייב לזון מנה את אשתו או למיכל בהדה (טור בשם הרמ"ה). ויש אומרים עוד, דחייב להשכיר עצמו כפועל ולזון אשתו (טור בשם ר' אליה ומוהר"ם בשם רבי' שבצרפת). היה לו קרקעות, הרשות ביד האשה ליקח מזונותיה מפירות הקרקעות או מגוף הקרקעות, או צריך למכרן (רשב"א סימן תת"ץ)</w:t>
      </w:r>
      <w:r w:rsidRPr="009A62F9">
        <w:t>:</w:t>
      </w:r>
    </w:p>
    <w:p w14:paraId="6F7AD098" w14:textId="77777777" w:rsidR="002C4635" w:rsidRDefault="002C4635" w:rsidP="002C4635">
      <w:pPr>
        <w:rPr>
          <w:rStyle w:val="Style1Char"/>
          <w:color w:val="00B050"/>
          <w:rtl/>
        </w:rPr>
      </w:pPr>
      <w:r>
        <w:rPr>
          <w:rStyle w:val="Style1Char"/>
          <w:color w:val="00B050"/>
          <w:rtl/>
        </w:rPr>
        <w:br w:type="page"/>
      </w:r>
    </w:p>
    <w:p w14:paraId="55A15AA4" w14:textId="77777777" w:rsidR="002C4635" w:rsidRPr="005F123E" w:rsidRDefault="002C4635" w:rsidP="002C4635">
      <w:pPr>
        <w:bidi/>
        <w:rPr>
          <w:rStyle w:val="Style1Char"/>
          <w:color w:val="00B050"/>
        </w:rPr>
      </w:pPr>
      <w:r w:rsidRPr="005F123E">
        <w:rPr>
          <w:rStyle w:val="Style1Char"/>
          <w:color w:val="00B050"/>
          <w:rtl/>
        </w:rPr>
        <w:lastRenderedPageBreak/>
        <w:t xml:space="preserve"> </w:t>
      </w:r>
      <w:r w:rsidRPr="003663A8">
        <w:rPr>
          <w:rStyle w:val="Style1Char"/>
          <w:color w:val="00B050"/>
          <w:sz w:val="22"/>
          <w:szCs w:val="22"/>
          <w:highlight w:val="yellow"/>
          <w:rtl/>
        </w:rPr>
        <w:t>[דף סה עמוד ב]</w:t>
      </w:r>
      <w:r w:rsidRPr="003663A8">
        <w:rPr>
          <w:rStyle w:val="Style1Char"/>
          <w:color w:val="00B050"/>
          <w:sz w:val="22"/>
          <w:szCs w:val="22"/>
          <w:rtl/>
        </w:rPr>
        <w:t xml:space="preserve"> </w:t>
      </w:r>
      <w:r w:rsidRPr="005F123E">
        <w:rPr>
          <w:rStyle w:val="Style1Char"/>
          <w:color w:val="00B050"/>
          <w:rtl/>
        </w:rPr>
        <w:t xml:space="preserve">האי תנא שליח ערטלאי ורמי מסאני! אמר ליה: תנא במקום הרים קאי, דלא סגיא בלא תלתא זוגי מסאני, ואגב אורחיה קא משמע לן דניתבינהו ניהלה במועד, כי היכי דניהוי לה שמחה בגוייהו. </w:t>
      </w:r>
    </w:p>
    <w:p w14:paraId="2A1F367F" w14:textId="4F562965" w:rsidR="002C4635" w:rsidRPr="00C55EFE" w:rsidRDefault="002C4635" w:rsidP="002C4635">
      <w:pPr>
        <w:bidi/>
        <w:rPr>
          <w:rStyle w:val="Style1Char"/>
          <w:color w:val="auto"/>
          <w:sz w:val="22"/>
          <w:szCs w:val="22"/>
          <w:rtl/>
        </w:rPr>
      </w:pPr>
      <w:r w:rsidRPr="005F123E">
        <w:rPr>
          <w:rStyle w:val="Style1Char"/>
          <w:color w:val="00B050"/>
          <w:rtl/>
        </w:rPr>
        <w:t xml:space="preserve">וכלים של חמשים זוז. אמר אביי: חמשים זוזי פשיטי. ממאי? מדקתני: במה דברים אמורים - בעני שבישראל, אבל במכובד הכל לפי כבודו; ואי ס"ד חמשים זוז ממש, עני חמשים זוז מנא ליה? אלא ש"מ, חמשים זוזי פשיטי. ואין נותנין לה לא חדשים וכו'. </w:t>
      </w:r>
      <w:r w:rsidRPr="00C55EFE">
        <w:rPr>
          <w:rStyle w:val="Style1Char"/>
          <w:color w:val="auto"/>
          <w:sz w:val="22"/>
          <w:szCs w:val="22"/>
          <w:rtl/>
        </w:rPr>
        <w:t xml:space="preserve">ת"ר: </w:t>
      </w:r>
      <w:r w:rsidR="00FE136B">
        <w:rPr>
          <w:rStyle w:val="Style1Char"/>
          <w:rFonts w:hint="cs"/>
          <w:rtl/>
        </w:rPr>
        <w:t>(1)</w:t>
      </w:r>
      <w:r w:rsidRPr="00C55EFE">
        <w:rPr>
          <w:rStyle w:val="Style1Char"/>
          <w:color w:val="auto"/>
          <w:sz w:val="22"/>
          <w:szCs w:val="22"/>
          <w:rtl/>
        </w:rPr>
        <w:t>מותר מזונות לבעל, מותר בלאות לאשה</w:t>
      </w:r>
      <w:r w:rsidRPr="00C55EFE">
        <w:rPr>
          <w:rStyle w:val="Style1Char"/>
          <w:color w:val="auto"/>
          <w:rtl/>
        </w:rPr>
        <w:t xml:space="preserve">. </w:t>
      </w:r>
      <w:r w:rsidR="000F5B76">
        <w:rPr>
          <w:rStyle w:val="Style1Char"/>
          <w:rFonts w:hint="cs"/>
          <w:rtl/>
        </w:rPr>
        <w:t>(2)</w:t>
      </w:r>
      <w:r w:rsidRPr="00C55EFE">
        <w:rPr>
          <w:rStyle w:val="Style1Char"/>
          <w:color w:val="auto"/>
          <w:sz w:val="22"/>
          <w:szCs w:val="22"/>
          <w:rtl/>
        </w:rPr>
        <w:t>מותר בלאות לאשה למה לה? אמר</w:t>
      </w:r>
      <w:r w:rsidRPr="008E7886">
        <w:rPr>
          <w:rStyle w:val="Style1Char"/>
          <w:sz w:val="22"/>
          <w:szCs w:val="22"/>
          <w:rtl/>
        </w:rPr>
        <w:t xml:space="preserve"> </w:t>
      </w:r>
      <w:r w:rsidRPr="005F123E">
        <w:rPr>
          <w:rStyle w:val="Style1Char"/>
          <w:color w:val="00B050"/>
          <w:rtl/>
        </w:rPr>
        <w:t>רחבה</w:t>
      </w:r>
      <w:r w:rsidRPr="008E7886">
        <w:rPr>
          <w:rStyle w:val="Style1Char"/>
          <w:color w:val="C00000"/>
          <w:rtl/>
        </w:rPr>
        <w:t xml:space="preserve"> </w:t>
      </w:r>
      <w:r w:rsidRPr="00C55EFE">
        <w:rPr>
          <w:rStyle w:val="Style1Char"/>
          <w:color w:val="806000" w:themeColor="accent4" w:themeShade="80"/>
          <w:sz w:val="22"/>
          <w:szCs w:val="22"/>
          <w:rtl/>
        </w:rPr>
        <w:t>רב פפא</w:t>
      </w:r>
      <w:r w:rsidRPr="005F123E">
        <w:rPr>
          <w:rStyle w:val="Style1Char"/>
          <w:color w:val="00B050"/>
          <w:rtl/>
        </w:rPr>
        <w:t xml:space="preserve">: </w:t>
      </w:r>
      <w:r w:rsidRPr="00C55EFE">
        <w:rPr>
          <w:rStyle w:val="Style1Char"/>
          <w:color w:val="auto"/>
          <w:sz w:val="22"/>
          <w:szCs w:val="22"/>
          <w:rtl/>
        </w:rPr>
        <w:t xml:space="preserve">שמתכסה בהן בימי נדתה, כדי שלא תתגנה על בעלה. אמר אביי נקטינן: </w:t>
      </w:r>
      <w:r w:rsidR="000F5B76">
        <w:rPr>
          <w:rStyle w:val="Style1Char"/>
          <w:rFonts w:hint="cs"/>
          <w:rtl/>
        </w:rPr>
        <w:t>(3)</w:t>
      </w:r>
      <w:r w:rsidRPr="00C55EFE">
        <w:rPr>
          <w:rStyle w:val="Style1Char"/>
          <w:color w:val="auto"/>
          <w:sz w:val="22"/>
          <w:szCs w:val="22"/>
          <w:rtl/>
        </w:rPr>
        <w:t xml:space="preserve">מותר בלאות אלמנה ליורשיו, התם הוא דלא תתגני באפיה, הכא תתגני ותתגני. </w:t>
      </w:r>
    </w:p>
    <w:p w14:paraId="0A7A75B7" w14:textId="10ABDCCA" w:rsidR="002C4635" w:rsidRPr="005F123E" w:rsidRDefault="002C4635" w:rsidP="002C4635">
      <w:pPr>
        <w:bidi/>
        <w:rPr>
          <w:rStyle w:val="Style1Char"/>
          <w:color w:val="00B050"/>
        </w:rPr>
      </w:pPr>
      <w:r w:rsidRPr="005F123E">
        <w:rPr>
          <w:rStyle w:val="Style1Char"/>
          <w:color w:val="00B050"/>
          <w:rtl/>
        </w:rPr>
        <w:t xml:space="preserve">נותן לה מעה כסף וכו'. </w:t>
      </w:r>
      <w:r w:rsidRPr="002A6D8C">
        <w:rPr>
          <w:rStyle w:val="Style1Char"/>
          <w:color w:val="auto"/>
          <w:sz w:val="22"/>
          <w:szCs w:val="22"/>
          <w:rtl/>
        </w:rPr>
        <w:t xml:space="preserve">מאי אוכלת? רב נחמן אמר: </w:t>
      </w:r>
      <w:r w:rsidR="000F5B76">
        <w:rPr>
          <w:rStyle w:val="Style1Char"/>
          <w:rFonts w:hint="cs"/>
          <w:rtl/>
        </w:rPr>
        <w:t>(4)</w:t>
      </w:r>
      <w:r w:rsidRPr="002A6D8C">
        <w:rPr>
          <w:rStyle w:val="Style1Char"/>
          <w:color w:val="auto"/>
          <w:sz w:val="22"/>
          <w:szCs w:val="22"/>
          <w:rtl/>
        </w:rPr>
        <w:t>אוכלת ממש</w:t>
      </w:r>
      <w:r w:rsidRPr="00415004">
        <w:rPr>
          <w:rStyle w:val="Style1Char"/>
          <w:sz w:val="22"/>
          <w:szCs w:val="22"/>
          <w:rtl/>
        </w:rPr>
        <w:t xml:space="preserve">, </w:t>
      </w:r>
      <w:r w:rsidRPr="002A6D8C">
        <w:rPr>
          <w:rStyle w:val="Style1Char"/>
          <w:color w:val="ED7D31" w:themeColor="accent2"/>
          <w:rtl/>
        </w:rPr>
        <w:t xml:space="preserve">רב </w:t>
      </w:r>
      <w:r w:rsidRPr="005F123E">
        <w:rPr>
          <w:rStyle w:val="Style1Char"/>
          <w:color w:val="00B050"/>
          <w:rtl/>
        </w:rPr>
        <w:t xml:space="preserve">אשי </w:t>
      </w:r>
      <w:r w:rsidRPr="00F24BFA">
        <w:rPr>
          <w:rStyle w:val="Style1Char"/>
          <w:color w:val="4472C4" w:themeColor="accent1"/>
          <w:rtl/>
        </w:rPr>
        <w:t xml:space="preserve">אסי </w:t>
      </w:r>
      <w:r w:rsidRPr="002A6D8C">
        <w:rPr>
          <w:rStyle w:val="Style1Char"/>
          <w:color w:val="ED7D31" w:themeColor="accent2"/>
          <w:rtl/>
        </w:rPr>
        <w:t xml:space="preserve">אמר </w:t>
      </w:r>
      <w:r w:rsidRPr="00415004">
        <w:rPr>
          <w:rStyle w:val="Style1Char"/>
          <w:color w:val="C00000"/>
          <w:sz w:val="22"/>
          <w:szCs w:val="22"/>
          <w:rtl/>
        </w:rPr>
        <w:t>ושמואל אמר</w:t>
      </w:r>
      <w:r w:rsidRPr="005F123E">
        <w:rPr>
          <w:rStyle w:val="Style1Char"/>
          <w:color w:val="00B050"/>
          <w:rtl/>
        </w:rPr>
        <w:t xml:space="preserve">: </w:t>
      </w:r>
      <w:r w:rsidRPr="002A6D8C">
        <w:rPr>
          <w:rStyle w:val="Style1Char"/>
          <w:color w:val="auto"/>
          <w:sz w:val="22"/>
          <w:szCs w:val="22"/>
          <w:rtl/>
        </w:rPr>
        <w:t>תשמיש</w:t>
      </w:r>
      <w:r w:rsidRPr="00415004">
        <w:rPr>
          <w:rStyle w:val="Style1Char"/>
          <w:sz w:val="22"/>
          <w:szCs w:val="22"/>
          <w:rtl/>
        </w:rPr>
        <w:t>.</w:t>
      </w:r>
      <w:r w:rsidRPr="005F123E">
        <w:rPr>
          <w:rStyle w:val="Style1Char"/>
          <w:color w:val="00B050"/>
          <w:rtl/>
        </w:rPr>
        <w:t xml:space="preserve"> תנן: אוכלת עמו לילי שבת; בשלמא למ"ד אכילה, היינו דקתני אוכלת, אלא למאן דאמר תשמיש, מאי אוכלת? לישנא מעליא </w:t>
      </w:r>
      <w:r w:rsidRPr="002A6D8C">
        <w:rPr>
          <w:rStyle w:val="Style1Char"/>
          <w:color w:val="auto"/>
          <w:sz w:val="22"/>
          <w:szCs w:val="22"/>
          <w:rtl/>
        </w:rPr>
        <w:t>כדכתיב: אכלה ומחתה פיה ואמרה לא פעלתי און</w:t>
      </w:r>
      <w:r w:rsidRPr="002A6D8C">
        <w:rPr>
          <w:rStyle w:val="Style1Char"/>
          <w:color w:val="auto"/>
          <w:rtl/>
        </w:rPr>
        <w:t xml:space="preserve"> </w:t>
      </w:r>
      <w:r w:rsidRPr="0021165B">
        <w:rPr>
          <w:rStyle w:val="Style1Char"/>
          <w:color w:val="C00000"/>
          <w:sz w:val="22"/>
          <w:szCs w:val="22"/>
          <w:rtl/>
        </w:rPr>
        <w:t xml:space="preserve">וקי"ל </w:t>
      </w:r>
      <w:r w:rsidRPr="00F24BFA">
        <w:rPr>
          <w:rStyle w:val="Style1Char"/>
          <w:color w:val="4472C4" w:themeColor="accent1"/>
          <w:rtl/>
        </w:rPr>
        <w:t xml:space="preserve">והלכתא </w:t>
      </w:r>
      <w:r w:rsidRPr="002A6D8C">
        <w:rPr>
          <w:rStyle w:val="Style1Char"/>
          <w:color w:val="806000" w:themeColor="accent4" w:themeShade="80"/>
          <w:sz w:val="22"/>
          <w:szCs w:val="22"/>
          <w:rtl/>
        </w:rPr>
        <w:t>כרב נחמן בדיני</w:t>
      </w:r>
      <w:r w:rsidRPr="0021165B">
        <w:rPr>
          <w:rStyle w:val="Style1Char"/>
          <w:sz w:val="22"/>
          <w:szCs w:val="22"/>
          <w:rtl/>
        </w:rPr>
        <w:t>.</w:t>
      </w:r>
      <w:r w:rsidRPr="00415004">
        <w:rPr>
          <w:rStyle w:val="Style1Char"/>
          <w:sz w:val="22"/>
          <w:szCs w:val="22"/>
          <w:rtl/>
        </w:rPr>
        <w:t xml:space="preserve"> </w:t>
      </w:r>
      <w:r w:rsidRPr="005F123E">
        <w:rPr>
          <w:rStyle w:val="Style1Char"/>
          <w:color w:val="00B050"/>
          <w:rtl/>
        </w:rPr>
        <w:t xml:space="preserve">מיתיבי, רשב"ג אומר: אוכלת בלילי שבת ושבת; בשלמא למ"ד אכילה, היינו דקתני ושבת, אלא למאן דאמר תשמיש, תשמיש בשבת מי איכא? והאמר רב הונא: ישראל קדושים הן, ואין משמשין מטותיהן ביום! האמר רבא: בבית אפל מותר. </w:t>
      </w:r>
    </w:p>
    <w:p w14:paraId="17029D36" w14:textId="6B22D220" w:rsidR="002C4635" w:rsidRDefault="002C4635" w:rsidP="002C4635">
      <w:pPr>
        <w:bidi/>
        <w:rPr>
          <w:rStyle w:val="Style1Char"/>
          <w:color w:val="auto"/>
          <w:sz w:val="22"/>
          <w:szCs w:val="22"/>
          <w:rtl/>
        </w:rPr>
      </w:pPr>
      <w:r w:rsidRPr="004C5855">
        <w:rPr>
          <w:rStyle w:val="Style1Char"/>
          <w:color w:val="000000" w:themeColor="text1"/>
          <w:sz w:val="22"/>
          <w:szCs w:val="22"/>
          <w:rtl/>
        </w:rPr>
        <w:t>ואם היתה מניקה</w:t>
      </w:r>
      <w:r w:rsidRPr="004C5855">
        <w:rPr>
          <w:rStyle w:val="Style1Char"/>
          <w:color w:val="000000" w:themeColor="text1"/>
          <w:rtl/>
        </w:rPr>
        <w:t xml:space="preserve"> </w:t>
      </w:r>
      <w:r w:rsidRPr="004C5855">
        <w:rPr>
          <w:rStyle w:val="Style1Char"/>
          <w:color w:val="806000" w:themeColor="accent4" w:themeShade="80"/>
          <w:sz w:val="22"/>
          <w:szCs w:val="22"/>
          <w:rtl/>
        </w:rPr>
        <w:t>פוחתין לה ממעשה ידיה ומוסיפין על מזונותיה</w:t>
      </w:r>
      <w:r w:rsidRPr="00E700C3">
        <w:rPr>
          <w:rStyle w:val="Style1Char"/>
          <w:sz w:val="22"/>
          <w:szCs w:val="22"/>
          <w:rtl/>
        </w:rPr>
        <w:t xml:space="preserve">. </w:t>
      </w:r>
      <w:r w:rsidRPr="004C5855">
        <w:rPr>
          <w:rStyle w:val="Style1Char"/>
          <w:color w:val="auto"/>
          <w:sz w:val="22"/>
          <w:szCs w:val="22"/>
          <w:rtl/>
        </w:rPr>
        <w:t xml:space="preserve">דרש רבי עולא רבה אפיתחא דבי נשיאה: </w:t>
      </w:r>
      <w:r w:rsidR="000F5B76">
        <w:rPr>
          <w:rStyle w:val="Style1Char"/>
          <w:rFonts w:hint="cs"/>
          <w:rtl/>
        </w:rPr>
        <w:t>(5)</w:t>
      </w:r>
      <w:r w:rsidRPr="004C5855">
        <w:rPr>
          <w:rStyle w:val="Style1Char"/>
          <w:color w:val="auto"/>
          <w:sz w:val="22"/>
          <w:szCs w:val="22"/>
          <w:rtl/>
        </w:rPr>
        <w:t xml:space="preserve">אף על פי שאמרו אין אדם זן את בניו ובנותיו כשהן קטנים, אבל זן קטני קטנים. עד כמה? </w:t>
      </w:r>
      <w:r w:rsidR="007E79B5">
        <w:rPr>
          <w:rStyle w:val="Style1Char"/>
          <w:rFonts w:hint="cs"/>
          <w:rtl/>
        </w:rPr>
        <w:t>(5)</w:t>
      </w:r>
      <w:r w:rsidRPr="004C5855">
        <w:rPr>
          <w:rStyle w:val="Style1Char"/>
          <w:color w:val="auto"/>
          <w:sz w:val="22"/>
          <w:szCs w:val="22"/>
          <w:rtl/>
        </w:rPr>
        <w:t>עד בן שש</w:t>
      </w:r>
      <w:r w:rsidRPr="00E700C3">
        <w:rPr>
          <w:rStyle w:val="Style1Char"/>
          <w:sz w:val="22"/>
          <w:szCs w:val="22"/>
          <w:rtl/>
        </w:rPr>
        <w:t>;</w:t>
      </w:r>
      <w:r w:rsidRPr="005F123E">
        <w:rPr>
          <w:rStyle w:val="Style1Char"/>
          <w:color w:val="00B050"/>
          <w:rtl/>
        </w:rPr>
        <w:t xml:space="preserve"> כדרב אסי, דאמר רב אסי</w:t>
      </w:r>
      <w:r w:rsidRPr="00E700C3">
        <w:rPr>
          <w:rStyle w:val="Style1Char"/>
          <w:color w:val="C00000"/>
          <w:rtl/>
        </w:rPr>
        <w:t xml:space="preserve"> </w:t>
      </w:r>
      <w:r w:rsidRPr="004C5855">
        <w:rPr>
          <w:rStyle w:val="Style1Char"/>
          <w:color w:val="806000" w:themeColor="accent4" w:themeShade="80"/>
          <w:sz w:val="22"/>
          <w:szCs w:val="22"/>
          <w:rtl/>
        </w:rPr>
        <w:t>כדאמר רב אשי</w:t>
      </w:r>
      <w:r w:rsidRPr="005F123E">
        <w:rPr>
          <w:rStyle w:val="Style1Char"/>
          <w:color w:val="00B050"/>
          <w:rtl/>
        </w:rPr>
        <w:t xml:space="preserve">: </w:t>
      </w:r>
      <w:r w:rsidR="007E79B5">
        <w:rPr>
          <w:rStyle w:val="Style1Char"/>
          <w:rFonts w:hint="cs"/>
          <w:rtl/>
        </w:rPr>
        <w:t>(6)</w:t>
      </w:r>
      <w:r w:rsidRPr="005F123E">
        <w:rPr>
          <w:rStyle w:val="Style1Char"/>
          <w:color w:val="00B050"/>
          <w:rtl/>
        </w:rPr>
        <w:t xml:space="preserve">קטן </w:t>
      </w:r>
      <w:r w:rsidRPr="004C5855">
        <w:rPr>
          <w:rStyle w:val="Style1Char"/>
          <w:color w:val="000000" w:themeColor="text1"/>
          <w:sz w:val="22"/>
          <w:szCs w:val="22"/>
          <w:rtl/>
        </w:rPr>
        <w:t>בן שש יוצא בעירוב אמו</w:t>
      </w:r>
      <w:r w:rsidRPr="005F123E">
        <w:rPr>
          <w:rStyle w:val="Style1Char"/>
          <w:color w:val="00B050"/>
          <w:rtl/>
        </w:rPr>
        <w:t>. ממאי? מדקתני</w:t>
      </w:r>
      <w:r w:rsidRPr="00312BA7">
        <w:rPr>
          <w:rStyle w:val="Style1Char"/>
          <w:color w:val="C00000"/>
          <w:rtl/>
        </w:rPr>
        <w:t xml:space="preserve"> </w:t>
      </w:r>
      <w:r w:rsidRPr="004C5855">
        <w:rPr>
          <w:rStyle w:val="Style1Char"/>
          <w:color w:val="806000" w:themeColor="accent4" w:themeShade="80"/>
          <w:sz w:val="22"/>
          <w:szCs w:val="22"/>
          <w:rtl/>
        </w:rPr>
        <w:t>מתניתין מסייע ליה דתנן</w:t>
      </w:r>
      <w:r w:rsidRPr="005F123E">
        <w:rPr>
          <w:rStyle w:val="Style1Char"/>
          <w:color w:val="00B050"/>
          <w:rtl/>
        </w:rPr>
        <w:t xml:space="preserve">: </w:t>
      </w:r>
      <w:r w:rsidRPr="004C5855">
        <w:rPr>
          <w:rStyle w:val="Style1Char"/>
          <w:color w:val="auto"/>
          <w:sz w:val="22"/>
          <w:szCs w:val="22"/>
          <w:rtl/>
        </w:rPr>
        <w:t>היתה מניקה - פוחתין לה ממעשה ידיה ומוסיפין לה על מזונותיה</w:t>
      </w:r>
      <w:r w:rsidRPr="005F123E">
        <w:rPr>
          <w:rStyle w:val="Style1Char"/>
          <w:color w:val="00B050"/>
          <w:rtl/>
        </w:rPr>
        <w:t xml:space="preserve">; מ"ט? לאו </w:t>
      </w:r>
      <w:r w:rsidRPr="004C5855">
        <w:rPr>
          <w:rStyle w:val="Style1Char"/>
          <w:color w:val="ED7D31" w:themeColor="accent2"/>
          <w:sz w:val="22"/>
          <w:szCs w:val="22"/>
          <w:rtl/>
        </w:rPr>
        <w:t>משום דבעי למיכל בהדה</w:t>
      </w:r>
      <w:r w:rsidRPr="005F123E">
        <w:rPr>
          <w:rStyle w:val="Style1Char"/>
          <w:color w:val="00B050"/>
          <w:rtl/>
        </w:rPr>
        <w:t xml:space="preserve">. ודלמא משום דחולה היא! אם כן, ליתני אם היתה חולה, מאי אם היתה מניקה. ודלמא הא קא משמע לן, דסתם מניקות חולות נינהו. </w:t>
      </w:r>
      <w:r w:rsidRPr="004C5855">
        <w:rPr>
          <w:rStyle w:val="Style1Char"/>
          <w:color w:val="auto"/>
          <w:sz w:val="22"/>
          <w:szCs w:val="22"/>
          <w:rtl/>
        </w:rPr>
        <w:t xml:space="preserve">איתמר, אמר רבי יהושע בן לוי: </w:t>
      </w:r>
      <w:r w:rsidR="007E79B5">
        <w:rPr>
          <w:rStyle w:val="Style1Char"/>
          <w:rFonts w:hint="cs"/>
          <w:rtl/>
        </w:rPr>
        <w:t>(7)</w:t>
      </w:r>
      <w:r w:rsidRPr="004C5855">
        <w:rPr>
          <w:rStyle w:val="Style1Char"/>
          <w:color w:val="auto"/>
          <w:sz w:val="22"/>
          <w:szCs w:val="22"/>
          <w:rtl/>
        </w:rPr>
        <w:t xml:space="preserve">מוסיפין לה יין, שהיין יפה לחלב. </w:t>
      </w:r>
    </w:p>
    <w:p w14:paraId="1FAF324C" w14:textId="5E885CC3" w:rsidR="00FE0FEB" w:rsidRDefault="00FE0FEB" w:rsidP="00FE0FEB">
      <w:pPr>
        <w:pStyle w:val="Style1"/>
        <w:rPr>
          <w:rStyle w:val="Style1Char"/>
          <w:rtl/>
        </w:rPr>
      </w:pPr>
      <w:r>
        <w:rPr>
          <w:rStyle w:val="Style1Char"/>
          <w:rFonts w:hint="cs"/>
          <w:rtl/>
        </w:rPr>
        <w:t>1)[</w:t>
      </w:r>
      <w:r w:rsidRPr="00FE0FEB">
        <w:rPr>
          <w:rStyle w:val="Style1Char"/>
          <w:rtl/>
        </w:rPr>
        <w:t>רמב</w:t>
      </w:r>
      <w:r w:rsidR="00213DA1">
        <w:rPr>
          <w:rStyle w:val="Style1Char"/>
          <w:rtl/>
        </w:rPr>
        <w:t>”ם \נשים\</w:t>
      </w:r>
      <w:r w:rsidRPr="00FE0FEB">
        <w:rPr>
          <w:rStyle w:val="Style1Char"/>
          <w:rtl/>
        </w:rPr>
        <w:t xml:space="preserve"> הלכות אישות פרק יב הלכה יג</w:t>
      </w:r>
      <w:r>
        <w:rPr>
          <w:rStyle w:val="Style1Char"/>
          <w:rFonts w:hint="cs"/>
          <w:rtl/>
        </w:rPr>
        <w:t xml:space="preserve">] </w:t>
      </w:r>
      <w:r w:rsidRPr="00FE0FEB">
        <w:rPr>
          <w:rStyle w:val="Style1Char"/>
          <w:rtl/>
        </w:rPr>
        <w:t>האשה שפסקו לה מזונות והותירו המותר לבעל, היה בעלה כהן אינו נותן לה כל מזונותיה תרומה מפני שטורח גדול הוא לה לשמרן מדברים המטמאין ולאכלן בטהרה אלא נותן לה מחצה חולין ומחצה תרומה.</w:t>
      </w:r>
    </w:p>
    <w:p w14:paraId="21706B5F" w14:textId="6F34E06C" w:rsidR="00FE0FEB" w:rsidRPr="009A62F9" w:rsidRDefault="00FE0FEB" w:rsidP="00FE0FEB">
      <w:pPr>
        <w:pStyle w:val="Style1"/>
      </w:pPr>
      <w:r>
        <w:rPr>
          <w:rStyle w:val="Style1Char"/>
          <w:rFonts w:hint="cs"/>
          <w:rtl/>
        </w:rPr>
        <w:t>1)[</w:t>
      </w:r>
      <w:r w:rsidRPr="00D50DB6">
        <w:rPr>
          <w:rStyle w:val="Style1Char"/>
          <w:rtl/>
        </w:rPr>
        <w:t>שולחן ערוך אבן העזר הלכות כתובות סימן ע סעיף ג</w:t>
      </w:r>
      <w:r>
        <w:rPr>
          <w:rStyle w:val="Style1Char"/>
          <w:rFonts w:hint="cs"/>
          <w:rtl/>
        </w:rPr>
        <w:t xml:space="preserve">] </w:t>
      </w:r>
      <w:r w:rsidRPr="009A62F9">
        <w:rPr>
          <w:rtl/>
        </w:rPr>
        <w:t>כמה מזונות פוסקים לאשה, לחם שתי סעודות בכל יום, ופרפרות לאכול בה הפת, ושמן לאכילה ולהדלקת הנר, ומעט יין לשתות, אם היה מנהג המקום שישתו הנשים יין</w:t>
      </w:r>
      <w:r w:rsidRPr="009A62F9">
        <w:t>, </w:t>
      </w:r>
      <w:r w:rsidRPr="009A62F9">
        <w:rPr>
          <w:rFonts w:hint="cs"/>
          <w:rtl/>
        </w:rPr>
        <w:t>ואם היתה מיניקה נותנים לה יין (טור)</w:t>
      </w:r>
      <w:r w:rsidRPr="009A62F9">
        <w:t xml:space="preserve">; </w:t>
      </w:r>
      <w:r w:rsidRPr="009A62F9">
        <w:rPr>
          <w:rtl/>
        </w:rPr>
        <w:t>ובשבת שלשה סעודות ובשר או דגים; ונותן לה בכל שבת מעה כסף לצרכיה</w:t>
      </w:r>
      <w:r w:rsidRPr="009A62F9">
        <w:t>; </w:t>
      </w:r>
      <w:r w:rsidRPr="009A62F9">
        <w:rPr>
          <w:rFonts w:hint="cs"/>
          <w:rtl/>
        </w:rPr>
        <w:t>ונותנין לה עץ לבשל מאכלה (הר"ן פרק אף על פי)</w:t>
      </w:r>
      <w:r w:rsidRPr="009A62F9">
        <w:t xml:space="preserve">. </w:t>
      </w:r>
      <w:r w:rsidRPr="009A62F9">
        <w:rPr>
          <w:rtl/>
        </w:rPr>
        <w:t>במה דברים אמורים, בעני שבישראל; אבל אם היה עשיר, הכל לפי עשרו</w:t>
      </w:r>
      <w:r w:rsidRPr="009A62F9">
        <w:t>. </w:t>
      </w:r>
      <w:r w:rsidRPr="009A62F9">
        <w:rPr>
          <w:rFonts w:hint="cs"/>
          <w:rtl/>
        </w:rPr>
        <w:t>צמצמה והותירו מאלו המזונות, הוא של בעל (טור)</w:t>
      </w:r>
      <w:r w:rsidRPr="009A62F9">
        <w:t>.</w:t>
      </w:r>
    </w:p>
    <w:p w14:paraId="70D3D91A" w14:textId="77777777" w:rsidR="00FE0FEB" w:rsidRPr="009A62F9" w:rsidRDefault="00FE0FEB" w:rsidP="00FE0FEB">
      <w:pPr>
        <w:pStyle w:val="Style1"/>
      </w:pPr>
      <w:r w:rsidRPr="009A62F9">
        <w:rPr>
          <w:rtl/>
        </w:rPr>
        <w:t>ואם היה עני ביותר ואינו יכול ליתן לה אפילו לחם שהיא צריכה, כופין אותו להוציא</w:t>
      </w:r>
      <w:r w:rsidRPr="009A62F9">
        <w:t>.</w:t>
      </w:r>
    </w:p>
    <w:p w14:paraId="0A3CA020" w14:textId="64F60871" w:rsidR="00FE0FEB" w:rsidRDefault="00FE0FEB" w:rsidP="00FE0FEB">
      <w:pPr>
        <w:pStyle w:val="Style1"/>
        <w:rPr>
          <w:rtl/>
        </w:rPr>
      </w:pPr>
      <w:r w:rsidRPr="009A62F9">
        <w:rPr>
          <w:rFonts w:hint="cs"/>
          <w:rtl/>
        </w:rPr>
        <w:t>הגה: ותהא כתובתה עליו חוב עד שימצא ויתן (טור בשם הרמב"ם). ויש אומרים שאין כופין אותו להוציא, מאחר שאין לו (ר"י בשם רבנו תם)</w:t>
      </w:r>
      <w:r w:rsidRPr="009A62F9">
        <w:rPr>
          <w:rFonts w:hint="cs"/>
        </w:rPr>
        <w:t>.</w:t>
      </w:r>
      <w:r w:rsidRPr="009A62F9">
        <w:rPr>
          <w:rFonts w:hint="cs"/>
        </w:rPr>
        <w:br/>
      </w:r>
      <w:r w:rsidRPr="009A62F9">
        <w:rPr>
          <w:rFonts w:hint="cs"/>
          <w:rtl/>
        </w:rPr>
        <w:t>מי שאין לו מזונות אלא חד יומא, חייב לזון מנה את אשתו או למיכל בהדה (טור בשם הרמ"ה). ויש אומרים עוד, דחייב להשכיר עצמו כפועל ולזון אשתו (טור בשם ר' אליה ומוהר"ם בשם רבי' שבצרפת). היה לו קרקעות, הרשות ביד האשה ליקח מזונותיה מפירות הקרקעות או מגוף הקרקעות, או צריך למכרן (רשב"א סימן תת"ץ)</w:t>
      </w:r>
      <w:r w:rsidRPr="009A62F9">
        <w:t>:</w:t>
      </w:r>
    </w:p>
    <w:p w14:paraId="4DAEB7B5" w14:textId="445385A3" w:rsidR="00CC6581" w:rsidRDefault="00CC6581" w:rsidP="00CC6581">
      <w:pPr>
        <w:pStyle w:val="Style1"/>
        <w:rPr>
          <w:rtl/>
        </w:rPr>
      </w:pPr>
      <w:r>
        <w:rPr>
          <w:rFonts w:hint="cs"/>
          <w:rtl/>
        </w:rPr>
        <w:t>2)[</w:t>
      </w:r>
      <w:r>
        <w:rPr>
          <w:rtl/>
        </w:rPr>
        <w:t>רמב</w:t>
      </w:r>
      <w:r w:rsidR="00213DA1">
        <w:rPr>
          <w:rtl/>
        </w:rPr>
        <w:t>”ם \נשים\</w:t>
      </w:r>
      <w:r>
        <w:rPr>
          <w:rtl/>
        </w:rPr>
        <w:t xml:space="preserve"> הלכות אישות פרק יג הלכה א</w:t>
      </w:r>
      <w:r>
        <w:rPr>
          <w:rFonts w:hint="cs"/>
          <w:rtl/>
        </w:rPr>
        <w:t xml:space="preserve">] </w:t>
      </w:r>
      <w:r>
        <w:rPr>
          <w:rtl/>
        </w:rPr>
        <w:t>כמה הכסות שהוא חייב ליתן לה, בגדים של חמשים זוז משנה לשנה ממטבע אותן הימים שנמצאו החמשים ששה דינרין ורביע דינר כסף, נותנין לה חדשים בימות הגשמים ולובשת בלאותיהן בימות החמה, והשחקים והם מותר הכסות הרי הן שלה כדי שתתכסה בהם בימי נדתה, ונותן לה חגור למתניה וכפה לראשה, ומנעל ממועד למועד.</w:t>
      </w:r>
    </w:p>
    <w:p w14:paraId="02AB9DD8" w14:textId="3CDD5C6A" w:rsidR="00CF308D" w:rsidRDefault="000F5B76" w:rsidP="000F5B76">
      <w:pPr>
        <w:pStyle w:val="Style1"/>
      </w:pPr>
      <w:r>
        <w:rPr>
          <w:rFonts w:hint="cs"/>
          <w:rtl/>
        </w:rPr>
        <w:t>2)[</w:t>
      </w:r>
      <w:r w:rsidR="00CF308D">
        <w:rPr>
          <w:rtl/>
        </w:rPr>
        <w:t>טור אבן העזר הלכות כתובות סימן עג</w:t>
      </w:r>
      <w:r>
        <w:rPr>
          <w:rFonts w:hint="cs"/>
          <w:rtl/>
        </w:rPr>
        <w:t xml:space="preserve">] </w:t>
      </w:r>
      <w:r w:rsidR="00CF308D">
        <w:rPr>
          <w:rtl/>
        </w:rPr>
        <w:t xml:space="preserve">כסותה כיצד חייב להלבישה לפי כבודו ואמרו חכמים בעני שבישראל שיתן לה בגדים </w:t>
      </w:r>
      <w:r>
        <w:rPr>
          <w:rFonts w:hint="cs"/>
        </w:rPr>
        <w:t>‍</w:t>
      </w:r>
      <w:r w:rsidR="00CF308D">
        <w:rPr>
          <w:rtl/>
        </w:rPr>
        <w:t xml:space="preserve">ששוים נ' זוז מכסף מדינה שהם ו' דינרין ורביע של כסף ולא יתן לה שחקים בימות הגשמים </w:t>
      </w:r>
      <w:r>
        <w:rPr>
          <w:rFonts w:hint="cs"/>
        </w:rPr>
        <w:t>‍</w:t>
      </w:r>
      <w:r w:rsidR="00CF308D">
        <w:rPr>
          <w:rtl/>
        </w:rPr>
        <w:t xml:space="preserve">ולא חדשים בימות החמה אלא נותן לה חדשים בימות הגשמים </w:t>
      </w:r>
      <w:r>
        <w:rPr>
          <w:rFonts w:hint="cs"/>
        </w:rPr>
        <w:t>‍</w:t>
      </w:r>
      <w:r w:rsidR="00CF308D">
        <w:rPr>
          <w:rtl/>
        </w:rPr>
        <w:t xml:space="preserve">והיא מתכסה בבלאותיהן בימות החמה והשחקים שהם מותר הבלאות הן שלה להתכסות בימי נדותה וכיפה לראשה וחגור למתניה </w:t>
      </w:r>
      <w:r>
        <w:rPr>
          <w:rFonts w:hint="cs"/>
        </w:rPr>
        <w:t>‍</w:t>
      </w:r>
      <w:r w:rsidR="00CF308D">
        <w:rPr>
          <w:rtl/>
        </w:rPr>
        <w:t xml:space="preserve">לשנה </w:t>
      </w:r>
      <w:r>
        <w:rPr>
          <w:rFonts w:hint="cs"/>
        </w:rPr>
        <w:t>‍</w:t>
      </w:r>
      <w:r w:rsidR="00CF308D">
        <w:rPr>
          <w:rtl/>
        </w:rPr>
        <w:t xml:space="preserve">ומנעלים חדשים ממועד למועד </w:t>
      </w:r>
      <w:r>
        <w:rPr>
          <w:rFonts w:hint="cs"/>
        </w:rPr>
        <w:t>‍</w:t>
      </w:r>
      <w:r w:rsidR="00CF308D">
        <w:rPr>
          <w:rtl/>
        </w:rPr>
        <w:t xml:space="preserve">וכתב הרמב"ם בד"א </w:t>
      </w:r>
      <w:r>
        <w:rPr>
          <w:rFonts w:hint="cs"/>
          <w:rtl/>
        </w:rPr>
        <w:t>ב</w:t>
      </w:r>
      <w:r w:rsidR="00CF308D">
        <w:rPr>
          <w:rtl/>
        </w:rPr>
        <w:t xml:space="preserve">ימים ההם ובא"י אבל בשאר זמנים ובשאר מקומות אין הדמים עיקר יש מקומות שהבגדים ביוקר ויש מקומות שהן בזול אלא העיקר שסומכין עליו שמחייבין אותו ליתן בגדים הראויין ליתן לה לימות הגשמים ולימות החמה כסות שלובשת כל אשה בעלת בית באותו מדינה ובכלל הכסות שהוא חייב לה כלי בית ומדור שיושבת בו ומה הן כלי בית </w:t>
      </w:r>
      <w:r>
        <w:rPr>
          <w:rFonts w:hint="cs"/>
        </w:rPr>
        <w:t>‍</w:t>
      </w:r>
      <w:r w:rsidR="00CF308D">
        <w:rPr>
          <w:rtl/>
        </w:rPr>
        <w:t xml:space="preserve">מטה מוצעת </w:t>
      </w:r>
      <w:r>
        <w:rPr>
          <w:rFonts w:hint="cs"/>
        </w:rPr>
        <w:t>‍</w:t>
      </w:r>
      <w:r w:rsidR="00CF308D">
        <w:rPr>
          <w:rtl/>
        </w:rPr>
        <w:t xml:space="preserve">ומפץ ומחצלת לישב עליה וכלי אכילה ושתייה כגון קדרה וקערה וכוס ובקבוק וכיוצא בהן המדור שנותן לה בית של ד' אמות </w:t>
      </w:r>
      <w:r>
        <w:rPr>
          <w:rFonts w:hint="cs"/>
        </w:rPr>
        <w:t>‍</w:t>
      </w:r>
      <w:r w:rsidR="00CF308D">
        <w:rPr>
          <w:rtl/>
        </w:rPr>
        <w:t xml:space="preserve">ותהיה רחבה חוצה לו כדי להשתמש בו ויהיה לו בית הכסא חוץ ממנו וכן מחייבין אותו ליתן לה תכשיטים כגון בגדי צבעונין להקיף על ראשה ועל פדחתה ופוך ושרק וכיוצא בהן כדי שלא תתגנה עליו בד"א בעני שבישראל אבל בעשיר הכל לפי עושרו וכבודו ואפי' אם היה לו כדי לקנות לה כלי רקמה וכלי זהב כופין אותו וכן שכר המדור וכלי הבית והתכשיט הכל לפי עושרו וכבודו </w:t>
      </w:r>
      <w:r>
        <w:rPr>
          <w:rFonts w:hint="cs"/>
        </w:rPr>
        <w:t>‍</w:t>
      </w:r>
      <w:r w:rsidR="00CF308D">
        <w:rPr>
          <w:rtl/>
        </w:rPr>
        <w:t xml:space="preserve">ואם קצרה ידו ליתן אפי' עני שבישראל </w:t>
      </w:r>
      <w:r>
        <w:rPr>
          <w:rFonts w:hint="cs"/>
        </w:rPr>
        <w:t>‍</w:t>
      </w:r>
      <w:r w:rsidR="00CF308D">
        <w:rPr>
          <w:rtl/>
        </w:rPr>
        <w:t>כופין אותו להוציאה ותהיה עליו הכתובה חוב עד שיעשיר ולא האשה בלבד אלא בניו ובנותיו הקטנים עד בני שש חייב ליתן להם כסות המספיק להם וכלי בית ומדור לשכון בהם ואינו נותן להם לפי עושר אלא לפי צרכם זה הכלל כל מי שחייב במזונותיו בין בחייו בין במותו חייב ליתן לו כסות וכלי בית ומדור ודין בעל עם אשתו בטענת הכסות וכלי בית ושכר המדור כדינם בטענת המזונות אם הוא אומר נתתי והיא אומרת לא נתת במקום שדרך הנשים שלא לצאת בכיפה שעל ראשה לבד עד שיהיה עליה רדיד שהיא חופה את כל גופה כמו טלית נותן לה רדיד בכלל הכסות הפחות שברדידים ואם הוא עשיר נותן לה לפי עושרו:</w:t>
      </w:r>
    </w:p>
    <w:p w14:paraId="3A0A0645" w14:textId="377EF2C4" w:rsidR="00CF308D" w:rsidRDefault="00CF308D" w:rsidP="00CF308D">
      <w:pPr>
        <w:pStyle w:val="Style1"/>
        <w:rPr>
          <w:rtl/>
        </w:rPr>
      </w:pPr>
      <w:r>
        <w:rPr>
          <w:rtl/>
        </w:rPr>
        <w:t xml:space="preserve">כדי שתצא לבית האבל </w:t>
      </w:r>
      <w:r w:rsidR="000F5B76">
        <w:rPr>
          <w:rFonts w:hint="cs"/>
        </w:rPr>
        <w:t>‍</w:t>
      </w:r>
      <w:r>
        <w:rPr>
          <w:rtl/>
        </w:rPr>
        <w:t xml:space="preserve">או לבית המשתה שכל אשה יש לה לצאת לבית אביה לבקרם ולבית האבל ולבית המשתה לגמול חסד לריעותיה ולקרוביה כדי שיבאו גם הם לה שאינה כמי שהיא בבית הסוהר שלא תצא ולא תבא אבל גנאי לאשה </w:t>
      </w:r>
      <w:r w:rsidR="000F5B76">
        <w:rPr>
          <w:rFonts w:hint="cs"/>
        </w:rPr>
        <w:t>‍</w:t>
      </w:r>
      <w:r>
        <w:rPr>
          <w:rtl/>
        </w:rPr>
        <w:t xml:space="preserve">שתהא יוצאת תמיד בחוץ פעם בחוץ פעם ברחובות </w:t>
      </w:r>
      <w:r w:rsidR="000F5B76">
        <w:rPr>
          <w:rFonts w:hint="cs"/>
        </w:rPr>
        <w:t>‍</w:t>
      </w:r>
      <w:r>
        <w:rPr>
          <w:rtl/>
        </w:rPr>
        <w:t>ויש לבעל למנוע לאשתו מזה שלא יניחנה לצאת אלא כמו פעם בחדש או פעמים בחדש כפי הצורך שאין יופי לאשה אלא לישב בזוית ביתה שנאמר כל כבודה בת מלך פנימה:</w:t>
      </w:r>
    </w:p>
    <w:p w14:paraId="1C341256" w14:textId="0A32DF66" w:rsidR="000F5B76" w:rsidRDefault="000F5B76" w:rsidP="000F5B76">
      <w:pPr>
        <w:pStyle w:val="Style1"/>
        <w:rPr>
          <w:rtl/>
        </w:rPr>
      </w:pPr>
      <w:r>
        <w:rPr>
          <w:rFonts w:hint="cs"/>
          <w:rtl/>
        </w:rPr>
        <w:t>3)[</w:t>
      </w:r>
      <w:r>
        <w:rPr>
          <w:rtl/>
        </w:rPr>
        <w:t>רמב</w:t>
      </w:r>
      <w:r w:rsidR="00213DA1">
        <w:rPr>
          <w:rtl/>
        </w:rPr>
        <w:t>”ם \נשים\</w:t>
      </w:r>
      <w:r>
        <w:rPr>
          <w:rtl/>
        </w:rPr>
        <w:t xml:space="preserve"> הלכות אישות פרק יח הלכה ד</w:t>
      </w:r>
      <w:r>
        <w:rPr>
          <w:rFonts w:hint="cs"/>
          <w:rtl/>
        </w:rPr>
        <w:t xml:space="preserve">] </w:t>
      </w:r>
      <w:r>
        <w:rPr>
          <w:rtl/>
        </w:rPr>
        <w:t>ברכת הבית מרובה כיצד, חמשה שהיה מזונות כל אחד מהן קב כשיאכל לבדו אם היו חמשתן בבית אחד ואוכלין בעירוב מספיק להן ארבעת קבין, והוא הדין לשאר צרכי הבית, לפיכך אלמנה שאמרה איני זזה מבית אבי פסקו לי מזונות ותנו לי שם יכולין היורשין לומר לה אם את אצלנו יש ליך מזונות ואם לאו אין אנו נותנים ליך אלא כפי ברכת הבית, ואם היתה טוענת מפני שהיא ילדה והם ילדים נותנין לה מזונות המספיקין לה לבדה והיא בבית אביה, ומותר מזונות האלמנה ומותר הכסות ליורשין. /השגת הראב"ד/ ומותר מזונות האלמנה ומותר כסות ליורשים. א"א אף אני כך הייתי סבור עד שראיתי בירושלמי פרק אלמנה ניזונת (ה"א) רב יהודה בשם רב ר' אבהו בשם רבי יוחנן מציאתה שלה הותירה מזונות אשת איש שמציאתה שלו הותירה מזונותיה שלו אלמנה שמציאתה שלה הותירה מזונותיה שלה.</w:t>
      </w:r>
    </w:p>
    <w:p w14:paraId="0129C3D8" w14:textId="1DBF041E" w:rsidR="000F5B76" w:rsidRDefault="000F5B76" w:rsidP="000F5B76">
      <w:pPr>
        <w:pStyle w:val="Style1"/>
        <w:rPr>
          <w:rtl/>
        </w:rPr>
      </w:pPr>
      <w:r>
        <w:rPr>
          <w:rFonts w:hint="cs"/>
          <w:rtl/>
        </w:rPr>
        <w:lastRenderedPageBreak/>
        <w:t>3)[</w:t>
      </w:r>
      <w:r>
        <w:rPr>
          <w:rtl/>
        </w:rPr>
        <w:t>שולחן ערוך אבן העזר הלכות כתובות סימן צה סעיף ה</w:t>
      </w:r>
      <w:r>
        <w:rPr>
          <w:rFonts w:hint="cs"/>
          <w:rtl/>
        </w:rPr>
        <w:t xml:space="preserve">] </w:t>
      </w:r>
      <w:r>
        <w:rPr>
          <w:rtl/>
        </w:rPr>
        <w:t>צמצמה עצמה והותירה ממזונותיה, וכן אם הותירה מכסותה ובגדיה, הכל ליורשים.</w:t>
      </w:r>
    </w:p>
    <w:p w14:paraId="440DC373" w14:textId="0E674926" w:rsidR="000F5B76" w:rsidRDefault="000F5B76" w:rsidP="000F5B76">
      <w:pPr>
        <w:pStyle w:val="Style1"/>
        <w:rPr>
          <w:rtl/>
        </w:rPr>
      </w:pPr>
      <w:r>
        <w:rPr>
          <w:rFonts w:hint="cs"/>
          <w:rtl/>
        </w:rPr>
        <w:t>4)[</w:t>
      </w:r>
      <w:r>
        <w:rPr>
          <w:rtl/>
        </w:rPr>
        <w:t>רמב</w:t>
      </w:r>
      <w:r w:rsidR="00213DA1">
        <w:rPr>
          <w:rtl/>
        </w:rPr>
        <w:t>”ם \נשים\</w:t>
      </w:r>
      <w:r>
        <w:rPr>
          <w:rtl/>
        </w:rPr>
        <w:t xml:space="preserve"> הלכות אישות פרק יב הלכה יב</w:t>
      </w:r>
      <w:r>
        <w:rPr>
          <w:rFonts w:hint="cs"/>
          <w:rtl/>
        </w:rPr>
        <w:t xml:space="preserve">] </w:t>
      </w:r>
      <w:r>
        <w:rPr>
          <w:rtl/>
        </w:rPr>
        <w:t>בעל שרצה ליתן לאשתו מזונותיה הראויות לה ותהיה אוכלת ושותה לעצמה והוא אוכל ושותה לעצמו הרשות בידו ובלבד שיאכל עמה מלילי שבת ללילי שבת.</w:t>
      </w:r>
    </w:p>
    <w:p w14:paraId="65C3A866" w14:textId="31E3F3F6" w:rsidR="000F5B76" w:rsidRDefault="000F5B76" w:rsidP="000F5B76">
      <w:pPr>
        <w:pStyle w:val="Style1"/>
        <w:rPr>
          <w:rtl/>
        </w:rPr>
      </w:pPr>
      <w:r>
        <w:rPr>
          <w:rFonts w:hint="cs"/>
          <w:rtl/>
        </w:rPr>
        <w:t>4)[</w:t>
      </w:r>
      <w:r>
        <w:rPr>
          <w:rtl/>
        </w:rPr>
        <w:t>שולחן ערוך אבן העזר הלכות כתובות סימן ע סעיף ב</w:t>
      </w:r>
      <w:r>
        <w:rPr>
          <w:rFonts w:hint="cs"/>
          <w:rtl/>
        </w:rPr>
        <w:t xml:space="preserve">] </w:t>
      </w:r>
      <w:r>
        <w:rPr>
          <w:rtl/>
        </w:rPr>
        <w:t>בעל שרצה ליתן לאשתו מזונותיה הראוים לה ותהיה אוכלת ושותה לעצמה, הרשות בידו, ובלבד שיאכל עמה בליל שבת. (ויש חולקין וסבירא להו דלא יוכל לומר שהיא תאכל לבדה אא"כ קבלה עליה מרצונה) (טור בשם הירושלמי ובשם הרא"ש וב"י בשם רוב הפוסקים), (וכן נראה לי).</w:t>
      </w:r>
    </w:p>
    <w:p w14:paraId="1112F239" w14:textId="342BCD89" w:rsidR="007E79B5" w:rsidRDefault="007E79B5" w:rsidP="007E79B5">
      <w:pPr>
        <w:pStyle w:val="Style1"/>
        <w:rPr>
          <w:rtl/>
        </w:rPr>
      </w:pPr>
      <w:r>
        <w:rPr>
          <w:rFonts w:hint="cs"/>
          <w:rtl/>
        </w:rPr>
        <w:t>5)[</w:t>
      </w:r>
      <w:r>
        <w:rPr>
          <w:rtl/>
        </w:rPr>
        <w:t>רמב</w:t>
      </w:r>
      <w:r w:rsidR="00213DA1">
        <w:rPr>
          <w:rtl/>
        </w:rPr>
        <w:t>”ם \נשים\</w:t>
      </w:r>
      <w:r>
        <w:rPr>
          <w:rtl/>
        </w:rPr>
        <w:t xml:space="preserve"> הלכות אישות פרק יב הלכה יד</w:t>
      </w:r>
      <w:r>
        <w:rPr>
          <w:rFonts w:hint="cs"/>
          <w:rtl/>
        </w:rPr>
        <w:t xml:space="preserve">] </w:t>
      </w:r>
      <w:r>
        <w:rPr>
          <w:rtl/>
        </w:rPr>
        <w:t>כשם שאדם חייב במזונות אשתו כך הוא חייב במזונות בניו ובנותיו הקטנים עד שיהיו בני שש שנים, מכאן ואילך מאכילן עד שיגדלו כתקנת חכמים, ואם לא רצה גוערין בו ומכלימין אותו ופוצרין בו, אם לא רצה מכריזין עליו בציבור ואומרים פלוני אכזרי הוא ואינו רוצה לזון בניו והרי הוא פחות מעוף טמא שהוא זן את אפרוחיו, ואין כופין אותו לזונם אחר שש.</w:t>
      </w:r>
    </w:p>
    <w:p w14:paraId="172BA607" w14:textId="77550755" w:rsidR="007E79B5" w:rsidRPr="007E79B5" w:rsidRDefault="007E79B5" w:rsidP="007E79B5">
      <w:pPr>
        <w:pStyle w:val="Style1"/>
      </w:pPr>
      <w:r>
        <w:rPr>
          <w:rFonts w:hint="cs"/>
          <w:rtl/>
        </w:rPr>
        <w:t>5)[</w:t>
      </w:r>
      <w:r>
        <w:rPr>
          <w:rtl/>
        </w:rPr>
        <w:t>שולחן ערוך אבן העזר הלכות כתובות סימן עא סעיף א</w:t>
      </w:r>
      <w:r>
        <w:rPr>
          <w:rFonts w:hint="cs"/>
          <w:rtl/>
        </w:rPr>
        <w:t xml:space="preserve">] </w:t>
      </w:r>
      <w:r w:rsidRPr="007E79B5">
        <w:rPr>
          <w:rtl/>
        </w:rPr>
        <w:t>חייב אדם לזון בניו ובנותיו עד שיהיו בני שש, אפילו יש להם נכסים שנפלו להם מבית אבי אמם; ומשם ואילך, זנן כתקנת חכמים עד שיגדלו. ואם לא רצה, גוערין בו ומכלימין אותו ופוצרין בו. ואם לא רצה, מכריזין עליו בציבור ואומרים: "פלוני אכזרי הוא ואינו רוצה לזון בניו, והרי הוא פחות מעוף טמא שהוא זן אפרוחיו"; ואין כופין אותו לזונן. במה דברים אמורים, בשאינו אמוד, אבל אם היה אמוד שיש לו ממון הראוי ליתן צדקה המספקת להם, מוציאים ממנו בעל כרחו, משום צדקה, וזנין אותם עד שיגדלו</w:t>
      </w:r>
      <w:r w:rsidRPr="007E79B5">
        <w:t>.</w:t>
      </w:r>
    </w:p>
    <w:p w14:paraId="008D20AE" w14:textId="14073940" w:rsidR="007E79B5" w:rsidRDefault="007E79B5" w:rsidP="007E79B5">
      <w:pPr>
        <w:pStyle w:val="Style1"/>
        <w:rPr>
          <w:rtl/>
        </w:rPr>
      </w:pPr>
      <w:r w:rsidRPr="007E79B5">
        <w:rPr>
          <w:rFonts w:hint="cs"/>
          <w:rtl/>
        </w:rPr>
        <w:t>הגה: ודווקא לעניין מזונות הבנות, אבל לא כופין להשיא בנותיו; ואף על פי שמצוה ליתן לבתו נדוניא ראויה, מכל מקום לא כייפינן לה, אלא מה שירצה יתן, רק שישיאן (הגהות מרדכי דקדושין, וכן כתב תא"ו נתיב כ"ב)</w:t>
      </w:r>
      <w:r w:rsidRPr="007E79B5">
        <w:t>:</w:t>
      </w:r>
    </w:p>
    <w:p w14:paraId="742BF8FB" w14:textId="0992C9B9" w:rsidR="007E79B5" w:rsidRDefault="007E79B5" w:rsidP="007E79B5">
      <w:pPr>
        <w:pStyle w:val="Style1"/>
        <w:rPr>
          <w:rtl/>
        </w:rPr>
      </w:pPr>
      <w:r>
        <w:rPr>
          <w:rFonts w:hint="cs"/>
          <w:rtl/>
        </w:rPr>
        <w:t>6)[</w:t>
      </w:r>
      <w:r>
        <w:rPr>
          <w:rtl/>
        </w:rPr>
        <w:t>רמב</w:t>
      </w:r>
      <w:r w:rsidR="00EC109D">
        <w:rPr>
          <w:rtl/>
        </w:rPr>
        <w:t>”ם \זמנים\</w:t>
      </w:r>
      <w:r>
        <w:rPr>
          <w:rtl/>
        </w:rPr>
        <w:t xml:space="preserve"> הלכות עירובין פרק ו הלכה כא</w:t>
      </w:r>
      <w:r>
        <w:rPr>
          <w:rFonts w:hint="cs"/>
          <w:rtl/>
        </w:rPr>
        <w:t xml:space="preserve">] </w:t>
      </w:r>
      <w:r>
        <w:rPr>
          <w:rtl/>
        </w:rPr>
        <w:t>מערב אדם עירובי תחומין על ידי בנו ובתו הקטנים ועל ידי עבדו ושפחתו הכנענים בין מדעתן בין שלא מדעתן, לפיכך אם עירב עליהן ועירבו לעצמן יוצאין בשל רבן, אבל אינו מערב לא על ידי בנו ובתו הגדולים ולא על ידי עבדו ושפחתו העברים ולא על ידי אשתו אלא מדעתן, ואף על פי שהן אוכלין אצלו על שולחנו, ואם עירב עליהן ושמעו ושתקו ולא מיחו יוצאין בעירובו, עירב על אחד מהן ועירבו הן לעצמן אין לך מחאה גדולה מזו ויוצאין בעירוב עצמן, קטן בן שש שנים או פחות יוצא בעירוב אמו ואין צריך להניח עליו מזון שתי סעודות לעצמו.</w:t>
      </w:r>
    </w:p>
    <w:p w14:paraId="1E7D7B87" w14:textId="30462B46" w:rsidR="007E79B5" w:rsidRDefault="007E79B5" w:rsidP="007E79B5">
      <w:pPr>
        <w:pStyle w:val="Style1"/>
        <w:rPr>
          <w:rtl/>
        </w:rPr>
      </w:pPr>
      <w:r>
        <w:rPr>
          <w:rFonts w:hint="cs"/>
          <w:rtl/>
        </w:rPr>
        <w:t>6)[</w:t>
      </w:r>
      <w:r>
        <w:rPr>
          <w:rtl/>
        </w:rPr>
        <w:t>שולחן ערוך אורח חיים הלכות עירובי תחומין סימן תיד סעיף ב</w:t>
      </w:r>
      <w:r>
        <w:rPr>
          <w:rFonts w:hint="cs"/>
          <w:rtl/>
        </w:rPr>
        <w:t xml:space="preserve">] </w:t>
      </w:r>
      <w:r>
        <w:rPr>
          <w:rtl/>
        </w:rPr>
        <w:t>קטן בן שש שנים או פחות, יוצא בעירוב אמו וא"צ להניח עליו מזון ב' סעודות לעצמו.</w:t>
      </w:r>
    </w:p>
    <w:p w14:paraId="3AB4612A" w14:textId="2742888F" w:rsidR="00D44737" w:rsidRDefault="00D44737" w:rsidP="00C07A4C">
      <w:pPr>
        <w:pStyle w:val="Style1"/>
        <w:rPr>
          <w:rtl/>
        </w:rPr>
      </w:pPr>
      <w:r>
        <w:rPr>
          <w:rFonts w:hint="cs"/>
          <w:rtl/>
        </w:rPr>
        <w:t>7)[</w:t>
      </w:r>
      <w:r>
        <w:rPr>
          <w:rtl/>
        </w:rPr>
        <w:t>רמב</w:t>
      </w:r>
      <w:r w:rsidR="00213DA1">
        <w:rPr>
          <w:rtl/>
        </w:rPr>
        <w:t>”ם \נשים\</w:t>
      </w:r>
      <w:r>
        <w:rPr>
          <w:rtl/>
        </w:rPr>
        <w:t xml:space="preserve"> הלכות אישות פרק כא הלכה יא</w:t>
      </w:r>
      <w:r>
        <w:rPr>
          <w:rFonts w:hint="cs"/>
          <w:rtl/>
        </w:rPr>
        <w:t xml:space="preserve">] </w:t>
      </w:r>
      <w:r>
        <w:rPr>
          <w:rtl/>
        </w:rPr>
        <w:t>האשה כל זמן שהיא מניקה את בנה פוחתין לה ממעשה ידיה ומוסיפין לה על מזונותיה יין ודברים שיפין לחלב, פסקו לה מזונות הראויות לה והרי היא מתאוה לאכול יתר או לאכול מאכלות אחרות מפני חלי התאוה שיש לה בבטנה הרי זו אוכלת משלה כל מה שתרצה ואין הבעל יכול לעכב ולומר שאם תאכל יתר מדאי או תאכל מאכל רע  ימות הולד מפני שצער גופה קודם. /השגת הראב"ד/ פסקו לה מזונות הראויות לה והרי היא מתאוה לאכול יותר או לאכול מאכלות אחרות מפני חולי התאוה שיש לה בבטנה הרי זו אוכלת משלה. א"א דברים שאינן כתב שלא דברו בגמרא אלא בשנתנו לה בן אחר להניק ופסקו לה מזונות אם צריכה יותר כדי צורך הולד חייבת לאכול משל בעלה כדי צורך הולד.</w:t>
      </w:r>
    </w:p>
    <w:p w14:paraId="35006731" w14:textId="716FA7DF" w:rsidR="00D44737" w:rsidRDefault="00D44737" w:rsidP="00D44737">
      <w:pPr>
        <w:pStyle w:val="Style1"/>
        <w:rPr>
          <w:rtl/>
        </w:rPr>
      </w:pPr>
      <w:r>
        <w:rPr>
          <w:rFonts w:hint="cs"/>
          <w:rtl/>
        </w:rPr>
        <w:t>7)[</w:t>
      </w:r>
      <w:r>
        <w:rPr>
          <w:rtl/>
        </w:rPr>
        <w:t>רמב</w:t>
      </w:r>
      <w:r w:rsidR="00213DA1">
        <w:rPr>
          <w:rtl/>
        </w:rPr>
        <w:t>”ם \נשים\</w:t>
      </w:r>
      <w:r>
        <w:rPr>
          <w:rtl/>
        </w:rPr>
        <w:t xml:space="preserve"> הלכות אישות פרק יב הלכה יא</w:t>
      </w:r>
      <w:r>
        <w:rPr>
          <w:rFonts w:hint="cs"/>
          <w:rtl/>
        </w:rPr>
        <w:t xml:space="preserve">] </w:t>
      </w:r>
      <w:r>
        <w:rPr>
          <w:rtl/>
        </w:rPr>
        <w:t>במה דברים אמורים בעני שבישראל אבל אם היה עשיר הכל לפי עשרו, אפילו היה ממונו ראוי לעשות לה כמה תבשילי בשר בכל יום כופין אותו ופוסקין לה מזונות כפי ממונו, ואם היה עני ביותר ואינו יכול ליתן לה אפי' לחם שהיא צריכה לו כופין אותו להוציא ותהיה כתובתה חוב עליו עד שתמצא ידו ויתן.</w:t>
      </w:r>
    </w:p>
    <w:p w14:paraId="33E92812" w14:textId="5366F70E" w:rsidR="00D44737" w:rsidRPr="009A62F9" w:rsidRDefault="00D44737" w:rsidP="00D44737">
      <w:pPr>
        <w:pStyle w:val="Style1"/>
      </w:pPr>
      <w:r>
        <w:rPr>
          <w:rStyle w:val="Style1Char"/>
          <w:rFonts w:hint="cs"/>
          <w:rtl/>
        </w:rPr>
        <w:t>7)[</w:t>
      </w:r>
      <w:r w:rsidRPr="00D50DB6">
        <w:rPr>
          <w:rStyle w:val="Style1Char"/>
          <w:rtl/>
        </w:rPr>
        <w:t>שולחן ערוך אבן העזר הלכות כתובות סימן ע סעיף ג</w:t>
      </w:r>
      <w:r>
        <w:rPr>
          <w:rStyle w:val="Style1Char"/>
          <w:rFonts w:hint="cs"/>
          <w:rtl/>
        </w:rPr>
        <w:t xml:space="preserve">] </w:t>
      </w:r>
      <w:r w:rsidRPr="009A62F9">
        <w:rPr>
          <w:rtl/>
        </w:rPr>
        <w:t>כמה מזונות פוסקים לאשה, לחם שתי סעודות בכל יום, ופרפרות לאכול בה הפת, ושמן לאכילה ולהדלקת הנר, ומעט יין לשתות, אם היה מנהג המקום שישתו הנשים יין</w:t>
      </w:r>
      <w:r w:rsidRPr="009A62F9">
        <w:t>, </w:t>
      </w:r>
      <w:r w:rsidRPr="009A62F9">
        <w:rPr>
          <w:rFonts w:hint="cs"/>
          <w:rtl/>
        </w:rPr>
        <w:t>ואם היתה מיניקה נותנים לה יין (טור)</w:t>
      </w:r>
      <w:r w:rsidRPr="009A62F9">
        <w:t xml:space="preserve">; </w:t>
      </w:r>
      <w:r w:rsidRPr="009A62F9">
        <w:rPr>
          <w:rtl/>
        </w:rPr>
        <w:t>ובשבת שלשה סעודות ובשר או דגים; ונותן לה בכל שבת מעה כסף לצרכיה</w:t>
      </w:r>
      <w:r w:rsidRPr="009A62F9">
        <w:t>; </w:t>
      </w:r>
      <w:r w:rsidRPr="009A62F9">
        <w:rPr>
          <w:rFonts w:hint="cs"/>
          <w:rtl/>
        </w:rPr>
        <w:t>ונותנין לה עץ לבשל מאכלה (הר"ן פרק אף על פי)</w:t>
      </w:r>
      <w:r w:rsidRPr="009A62F9">
        <w:t xml:space="preserve">. </w:t>
      </w:r>
      <w:r w:rsidRPr="009A62F9">
        <w:rPr>
          <w:rtl/>
        </w:rPr>
        <w:t>במה דברים אמורים, בעני שבישראל; אבל אם היה עשיר, הכל לפי עשרו</w:t>
      </w:r>
      <w:r w:rsidRPr="009A62F9">
        <w:t>. </w:t>
      </w:r>
      <w:r w:rsidRPr="009A62F9">
        <w:rPr>
          <w:rFonts w:hint="cs"/>
          <w:rtl/>
        </w:rPr>
        <w:t>צמצמה והותירו מאלו המזונות, הוא של בעל (טור)</w:t>
      </w:r>
      <w:r w:rsidRPr="009A62F9">
        <w:t>.</w:t>
      </w:r>
    </w:p>
    <w:p w14:paraId="12B2FBF4" w14:textId="77777777" w:rsidR="00D44737" w:rsidRPr="009A62F9" w:rsidRDefault="00D44737" w:rsidP="00D44737">
      <w:pPr>
        <w:pStyle w:val="Style1"/>
      </w:pPr>
      <w:r w:rsidRPr="009A62F9">
        <w:rPr>
          <w:rtl/>
        </w:rPr>
        <w:t>ואם היה עני ביותר ואינו יכול ליתן לה אפילו לחם שהיא צריכה, כופין אותו להוציא</w:t>
      </w:r>
      <w:r w:rsidRPr="009A62F9">
        <w:t>.</w:t>
      </w:r>
    </w:p>
    <w:p w14:paraId="77788911" w14:textId="77777777" w:rsidR="00D44737" w:rsidRDefault="00D44737" w:rsidP="00D44737">
      <w:pPr>
        <w:pStyle w:val="Style1"/>
        <w:rPr>
          <w:rtl/>
        </w:rPr>
      </w:pPr>
      <w:r w:rsidRPr="009A62F9">
        <w:rPr>
          <w:rFonts w:hint="cs"/>
          <w:rtl/>
        </w:rPr>
        <w:t>הגה: ותהא כתובתה עליו חוב עד שימצא ויתן (טור בשם הרמב"ם). ויש אומרים שאין כופין אותו להוציא, מאחר שאין לו (ר"י בשם רבנו תם)</w:t>
      </w:r>
      <w:r w:rsidRPr="009A62F9">
        <w:rPr>
          <w:rFonts w:hint="cs"/>
        </w:rPr>
        <w:t>.</w:t>
      </w:r>
      <w:r w:rsidRPr="009A62F9">
        <w:rPr>
          <w:rFonts w:hint="cs"/>
        </w:rPr>
        <w:br/>
      </w:r>
      <w:r w:rsidRPr="009A62F9">
        <w:rPr>
          <w:rFonts w:hint="cs"/>
          <w:rtl/>
        </w:rPr>
        <w:t>מי שאין לו מזונות אלא חד יומא, חייב לזון מנה את אשתו או למיכל בהדה (טור בשם הרמ"ה). ויש אומרים עוד, דחייב להשכיר עצמו כפועל ולזון אשתו (טור בשם ר' אליה ומוהר"ם בשם רבי' שבצרפת). היה לו קרקעות, הרשות ביד האשה ליקח מזונותיה מפירות הקרקעות או מגוף הקרקעות, או צריך למכרן (רשב"א סימן תת"ץ)</w:t>
      </w:r>
      <w:r w:rsidRPr="009A62F9">
        <w:t>:</w:t>
      </w:r>
    </w:p>
    <w:p w14:paraId="467D334E" w14:textId="77777777" w:rsidR="00C07A4C" w:rsidRPr="0084145C" w:rsidRDefault="00C07A4C" w:rsidP="00C07A4C">
      <w:pPr>
        <w:pStyle w:val="Style1"/>
      </w:pPr>
      <w:r>
        <w:rPr>
          <w:rFonts w:hint="cs"/>
          <w:rtl/>
        </w:rPr>
        <w:t>7)[</w:t>
      </w:r>
      <w:r>
        <w:rPr>
          <w:rtl/>
        </w:rPr>
        <w:t>שולחן ערוך אבן העזר הלכות כתובות סימן פ סעיף יא</w:t>
      </w:r>
      <w:r>
        <w:rPr>
          <w:rFonts w:hint="cs"/>
          <w:rtl/>
        </w:rPr>
        <w:t xml:space="preserve">] </w:t>
      </w:r>
      <w:r w:rsidRPr="0084145C">
        <w:rPr>
          <w:rtl/>
        </w:rPr>
        <w:t>כל זמן שהיא מיניקה את בנה, פוחתין לה ממעשה ידיה ומוסיפים לה על מזונותיה יין ודברים שיפים לחלב</w:t>
      </w:r>
      <w:r w:rsidRPr="0084145C">
        <w:t>.</w:t>
      </w:r>
    </w:p>
    <w:p w14:paraId="4C261944" w14:textId="77777777" w:rsidR="00C07A4C" w:rsidRDefault="00C07A4C" w:rsidP="00C07A4C">
      <w:pPr>
        <w:pStyle w:val="Style1"/>
        <w:rPr>
          <w:rtl/>
        </w:rPr>
      </w:pPr>
      <w:r w:rsidRPr="0084145C">
        <w:rPr>
          <w:rFonts w:hint="cs"/>
          <w:rtl/>
        </w:rPr>
        <w:t>לא הוסיפו לה, צריכה לאכול משלה, אם יש לה (טור)</w:t>
      </w:r>
      <w:r w:rsidRPr="0084145C">
        <w:t>:</w:t>
      </w:r>
    </w:p>
    <w:p w14:paraId="428C74FA" w14:textId="77777777" w:rsidR="00FE0FEB" w:rsidRPr="00FE0FEB" w:rsidRDefault="00FE0FEB" w:rsidP="00FE0FEB">
      <w:pPr>
        <w:pStyle w:val="Style1"/>
        <w:rPr>
          <w:rStyle w:val="Style1Char"/>
          <w:rtl/>
        </w:rPr>
      </w:pPr>
    </w:p>
    <w:p w14:paraId="5A55EF24" w14:textId="77777777" w:rsidR="002C4635" w:rsidRPr="008E7886" w:rsidRDefault="002C4635" w:rsidP="002C4635">
      <w:pPr>
        <w:bidi/>
        <w:rPr>
          <w:rStyle w:val="Style1Char"/>
          <w:color w:val="00B050"/>
          <w:rtl/>
        </w:rPr>
      </w:pPr>
    </w:p>
    <w:p w14:paraId="2DC41FB5" w14:textId="77777777" w:rsidR="002C4635" w:rsidRPr="005F123E" w:rsidRDefault="002C4635" w:rsidP="002C4635">
      <w:pPr>
        <w:bidi/>
        <w:rPr>
          <w:color w:val="00B050"/>
          <w:sz w:val="24"/>
          <w:szCs w:val="24"/>
        </w:rPr>
      </w:pPr>
      <w:r w:rsidRPr="005F123E">
        <w:rPr>
          <w:rStyle w:val="Style1Char"/>
          <w:color w:val="auto"/>
          <w:sz w:val="28"/>
          <w:szCs w:val="28"/>
          <w:rtl/>
        </w:rPr>
        <w:t>הדרן עלך אף על פי.</w:t>
      </w:r>
    </w:p>
    <w:p w14:paraId="24B0548B" w14:textId="77777777" w:rsidR="00FA0114" w:rsidRPr="00115293" w:rsidRDefault="00FA0114" w:rsidP="00FA0114">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B32DE1">
        <w:rPr>
          <w:rStyle w:val="Style1Char"/>
          <w:color w:val="auto"/>
          <w:sz w:val="24"/>
          <w:szCs w:val="24"/>
          <w:rtl/>
        </w:rPr>
        <w:t xml:space="preserve">פרק </w:t>
      </w:r>
      <w:r w:rsidRPr="0058605C">
        <w:rPr>
          <w:rStyle w:val="Style1Char"/>
          <w:color w:val="auto"/>
          <w:sz w:val="24"/>
          <w:szCs w:val="24"/>
          <w:rtl/>
        </w:rPr>
        <w:t>ו - מציאת האשה</w:t>
      </w:r>
    </w:p>
    <w:p w14:paraId="1BA81E55" w14:textId="77777777" w:rsidR="00FA0114" w:rsidRPr="004D20E8" w:rsidRDefault="00FA0114" w:rsidP="00FA0114">
      <w:pPr>
        <w:bidi/>
        <w:rPr>
          <w:rStyle w:val="Style1Char"/>
          <w:color w:val="4472C4" w:themeColor="accent1"/>
        </w:rPr>
      </w:pPr>
      <w:r w:rsidRPr="00E164C6">
        <w:rPr>
          <w:rStyle w:val="Style1Char"/>
          <w:color w:val="auto"/>
          <w:rtl/>
        </w:rPr>
        <w:t>/</w:t>
      </w:r>
      <w:r w:rsidRPr="00E164C6">
        <w:rPr>
          <w:rStyle w:val="Style1Char"/>
          <w:color w:val="auto"/>
          <w:sz w:val="22"/>
          <w:szCs w:val="22"/>
          <w:rtl/>
        </w:rPr>
        <w:t xml:space="preserve">מתני'/. </w:t>
      </w:r>
      <w:r w:rsidRPr="00EF64BD">
        <w:rPr>
          <w:rStyle w:val="Style1Char"/>
          <w:rFonts w:hint="cs"/>
          <w:rtl/>
        </w:rPr>
        <w:t>(1)</w:t>
      </w:r>
      <w:r w:rsidRPr="00E164C6">
        <w:rPr>
          <w:rStyle w:val="Style1Char"/>
          <w:color w:val="auto"/>
          <w:sz w:val="22"/>
          <w:szCs w:val="22"/>
          <w:rtl/>
        </w:rPr>
        <w:t xml:space="preserve">מציאת האשה </w:t>
      </w:r>
      <w:r w:rsidRPr="00EF64BD">
        <w:rPr>
          <w:rStyle w:val="Style1Char"/>
          <w:rFonts w:hint="cs"/>
          <w:rtl/>
        </w:rPr>
        <w:t>(1)</w:t>
      </w:r>
      <w:r w:rsidRPr="00E164C6">
        <w:rPr>
          <w:rStyle w:val="Style1Char"/>
          <w:color w:val="auto"/>
          <w:sz w:val="22"/>
          <w:szCs w:val="22"/>
          <w:rtl/>
        </w:rPr>
        <w:t xml:space="preserve">ומעשה ידיה לבעלה, </w:t>
      </w:r>
      <w:r w:rsidRPr="00EF64BD">
        <w:rPr>
          <w:rStyle w:val="Style1Char"/>
          <w:rFonts w:hint="cs"/>
          <w:rtl/>
        </w:rPr>
        <w:t>(1)</w:t>
      </w:r>
      <w:r w:rsidRPr="00E164C6">
        <w:rPr>
          <w:rStyle w:val="Style1Char"/>
          <w:color w:val="auto"/>
          <w:sz w:val="22"/>
          <w:szCs w:val="22"/>
          <w:rtl/>
        </w:rPr>
        <w:t xml:space="preserve">וירושתה - הוא אוכל פירות בחייה, בושתה ופגמה שלה; רבי יהודה בן בתירא אומר: </w:t>
      </w:r>
      <w:r w:rsidRPr="00EF64BD">
        <w:rPr>
          <w:rStyle w:val="Style1Char"/>
          <w:rFonts w:hint="cs"/>
          <w:rtl/>
        </w:rPr>
        <w:t>(</w:t>
      </w:r>
      <w:r>
        <w:rPr>
          <w:rStyle w:val="Style1Char"/>
          <w:rFonts w:hint="cs"/>
          <w:rtl/>
        </w:rPr>
        <w:t>2</w:t>
      </w:r>
      <w:r w:rsidRPr="00EF64BD">
        <w:rPr>
          <w:rStyle w:val="Style1Char"/>
          <w:rFonts w:hint="cs"/>
          <w:rtl/>
        </w:rPr>
        <w:t>)</w:t>
      </w:r>
      <w:r w:rsidRPr="00E164C6">
        <w:rPr>
          <w:rStyle w:val="Style1Char"/>
          <w:color w:val="auto"/>
          <w:sz w:val="22"/>
          <w:szCs w:val="22"/>
          <w:rtl/>
        </w:rPr>
        <w:t xml:space="preserve">בזמן שבסתר - לה שני חלקים ולו אחד, ובזמן שבגלוי - לו שני חלקים ולה אחד; שלו ינתן מיד, ושלה ילקח בהן קרקע והוא אוכל פירות. </w:t>
      </w:r>
      <w:r w:rsidRPr="004D20E8">
        <w:rPr>
          <w:rStyle w:val="Style1Char"/>
          <w:color w:val="4472C4" w:themeColor="accent1"/>
          <w:rtl/>
        </w:rPr>
        <w:t xml:space="preserve">הא דלא תנא שבת דמלתא דפשיטא היא דהוה דבעל שהיא מתבטלת ממעשה ידיה וצער פשיטא דהוי דידה כדאמרינן בפרק החובל (דף פז א) צערא דגופא לא תקינו ליה רבנן. ורפוי נותן לרופא לרפאותה </w:t>
      </w:r>
      <w:r>
        <w:rPr>
          <w:rStyle w:val="Style1Char"/>
          <w:rFonts w:hint="cs"/>
          <w:color w:val="4472C4" w:themeColor="accent1"/>
        </w:rPr>
        <w:t>‍‍</w:t>
      </w:r>
      <w:r w:rsidRPr="004D20E8">
        <w:rPr>
          <w:rStyle w:val="Style1Char"/>
          <w:color w:val="4472C4" w:themeColor="accent1"/>
          <w:rtl/>
        </w:rPr>
        <w:t>ואי אמדוה לה' יומי ועבדו לה סמא חריפא ואיתסית בתלתא יומי היינו בכלל צער שצערה עצמה בסמא חריפא להשתכר המותר לדידה הוי</w:t>
      </w:r>
      <w:r>
        <w:rPr>
          <w:rStyle w:val="Style1Char"/>
          <w:rFonts w:hint="cs"/>
          <w:color w:val="4472C4" w:themeColor="accent1"/>
        </w:rPr>
        <w:t>‍</w:t>
      </w:r>
      <w:r w:rsidRPr="004D20E8">
        <w:rPr>
          <w:rStyle w:val="Style1Char"/>
          <w:color w:val="4472C4" w:themeColor="accent1"/>
          <w:rtl/>
        </w:rPr>
        <w:t xml:space="preserve"> ודלא כהרמב"ם ז"ל שכתב בפרק ד' מהלכות חובל ומזיק החובל באשת איש הריפוי לבעלה ועוד כתב בד"א בזמן שחבלו בה אחרים אבל חבל בה בעלה חייב בעלה לשלם לה מיד כל הנזק והצער והבושת ואין לבעל בהם פירות ואם רצתה ליתן לאחר הדמים נותנת וכזו הורו הגאונים והבעל מרפא אותה כדרך שמרפא כל חולייה.</w:t>
      </w:r>
      <w:r>
        <w:rPr>
          <w:rStyle w:val="Style1Char"/>
          <w:rFonts w:hint="cs"/>
          <w:color w:val="4472C4" w:themeColor="accent1"/>
        </w:rPr>
        <w:t>‍</w:t>
      </w:r>
      <w:r w:rsidRPr="004D20E8">
        <w:rPr>
          <w:rStyle w:val="Style1Char"/>
          <w:color w:val="4472C4" w:themeColor="accent1"/>
          <w:rtl/>
        </w:rPr>
        <w:t xml:space="preserve"> והראב"ד ז"ל הגיה עליו תימה הוא למה ישלם הכל שהרי נוטל בשל אחרים שליש או שני חלקים כשחבל בה איהו למה ישלם לה הכל ואולי טעה בדברי </w:t>
      </w:r>
      <w:r w:rsidRPr="004D20E8">
        <w:rPr>
          <w:rStyle w:val="Style1Char"/>
          <w:color w:val="4472C4" w:themeColor="accent1"/>
          <w:rtl/>
        </w:rPr>
        <w:lastRenderedPageBreak/>
        <w:t>הגאונים שלא אמרו אלא על מה שראוי לה לקנסו שלא יאכל מהם פירות דבהכי לא תקון רבנן דהוא עשה שלא כהוגן דין הוא שלא יהא חוטא נשכר. כתב רבינו מאיר הלוי ז"ל הא דמציאתה לבעלה היינו דוקא בניזונת אבל באינה ניזונת תיהוי לה איבה ואיבה ולא דק בזה דלא משכחת אשה שאינה ניזונת אלא באומרת איני ניזונת ואיני עושה או כשאמר לה בעלה צאי מעשה ידיך במזונותיך והיא מספקת וכיון דברשות קא עבדי</w:t>
      </w:r>
      <w:r>
        <w:rPr>
          <w:rStyle w:val="Style1Char"/>
          <w:rFonts w:hint="cs"/>
          <w:color w:val="4472C4" w:themeColor="accent1"/>
        </w:rPr>
        <w:t>‍</w:t>
      </w:r>
      <w:r w:rsidRPr="004D20E8">
        <w:rPr>
          <w:rStyle w:val="Style1Char"/>
          <w:color w:val="4472C4" w:themeColor="accent1"/>
          <w:rtl/>
        </w:rPr>
        <w:t xml:space="preserve"> חיישינן לאיבה ומציאתה לבעל</w:t>
      </w:r>
      <w:r w:rsidRPr="004D20E8">
        <w:rPr>
          <w:rStyle w:val="Style1Char"/>
          <w:color w:val="4472C4" w:themeColor="accent1"/>
        </w:rPr>
        <w:t xml:space="preserve">: </w:t>
      </w:r>
    </w:p>
    <w:p w14:paraId="1BA06172" w14:textId="77777777" w:rsidR="00FA0114" w:rsidRPr="0058605C" w:rsidRDefault="00FA0114" w:rsidP="00FA0114">
      <w:pPr>
        <w:bidi/>
        <w:rPr>
          <w:rStyle w:val="Style1Char"/>
          <w:color w:val="00B050"/>
        </w:rPr>
      </w:pPr>
      <w:r w:rsidRPr="0058605C">
        <w:rPr>
          <w:rStyle w:val="Style1Char"/>
          <w:color w:val="00B050"/>
          <w:rtl/>
        </w:rPr>
        <w:t xml:space="preserve">גמ'. מאי קא משמע לן? תנינא: האב זכאי בבתו בקידושיה - בכסף, בשטר, ובביאה, זכאי במציאתה ובמעשה ידיה ובהפרת נדריה, מקבל את גיטה, ואינו אוכל פירות בחייה; נישאת, יתר עליו הבעל שהוא אוכל פירות בחייה, בושתה ופגמה איצטריכא ליה, פלוגתא דרבי יהודה בן בתירא ורבנן. </w:t>
      </w:r>
    </w:p>
    <w:p w14:paraId="72C71F96" w14:textId="77777777" w:rsidR="00FA0114" w:rsidRDefault="00FA0114" w:rsidP="00FA0114">
      <w:pPr>
        <w:bidi/>
        <w:rPr>
          <w:rStyle w:val="Style1Char"/>
          <w:color w:val="00B050"/>
          <w:rtl/>
        </w:rPr>
      </w:pPr>
      <w:r w:rsidRPr="0058605C">
        <w:rPr>
          <w:rStyle w:val="Style1Char"/>
          <w:color w:val="00B050"/>
          <w:rtl/>
        </w:rPr>
        <w:t xml:space="preserve">תני תנא קמיה דרבא: מציאת האשה לעצמה, רבי עקיבא אומר: לבעלה. אמר ליה: השתא ומה העדפה, </w:t>
      </w:r>
    </w:p>
    <w:p w14:paraId="5C13C124" w14:textId="72F7B9B2" w:rsidR="00FA0114" w:rsidRDefault="00FA0114" w:rsidP="00FA0114">
      <w:pPr>
        <w:pStyle w:val="Style1"/>
        <w:rPr>
          <w:rStyle w:val="Style1Char"/>
          <w:rtl/>
        </w:rPr>
      </w:pPr>
      <w:r>
        <w:rPr>
          <w:rStyle w:val="Style1Char"/>
          <w:rFonts w:hint="cs"/>
          <w:rtl/>
        </w:rPr>
        <w:t>1)[</w:t>
      </w:r>
      <w:r w:rsidRPr="00556759">
        <w:rPr>
          <w:rStyle w:val="Style1Char"/>
          <w:rtl/>
        </w:rPr>
        <w:t>רמב</w:t>
      </w:r>
      <w:r w:rsidR="00213DA1">
        <w:rPr>
          <w:rStyle w:val="Style1Char"/>
          <w:rtl/>
        </w:rPr>
        <w:t>”ם \נשים\</w:t>
      </w:r>
      <w:r w:rsidRPr="00556759">
        <w:rPr>
          <w:rStyle w:val="Style1Char"/>
          <w:rtl/>
        </w:rPr>
        <w:t xml:space="preserve"> הלכות אישות פרק יב הלכה א</w:t>
      </w:r>
      <w:r>
        <w:rPr>
          <w:rStyle w:val="Style1Char"/>
          <w:rFonts w:hint="cs"/>
          <w:rtl/>
        </w:rPr>
        <w:t xml:space="preserve">] </w:t>
      </w:r>
      <w:r w:rsidRPr="00556759">
        <w:rPr>
          <w:rStyle w:val="Style1Char"/>
          <w:rtl/>
        </w:rPr>
        <w:t>כשנושא אדם אשה בין בתולה בין בעולה בין גדולה בין קטנה אחת בת ישראל ואחת הגיורת או המשוחררת יתחייב לה בעשרה דברים ויזכה בארבעה דברים.</w:t>
      </w:r>
    </w:p>
    <w:p w14:paraId="24F26D9C" w14:textId="097187C7" w:rsidR="00F40F5C" w:rsidRDefault="00F40F5C" w:rsidP="00F40F5C">
      <w:pPr>
        <w:pStyle w:val="Style1"/>
        <w:rPr>
          <w:rtl/>
        </w:rPr>
      </w:pPr>
      <w:r>
        <w:rPr>
          <w:rFonts w:hint="cs"/>
          <w:rtl/>
        </w:rPr>
        <w:t>1)[</w:t>
      </w:r>
      <w:r>
        <w:rPr>
          <w:rtl/>
        </w:rPr>
        <w:t>רמב</w:t>
      </w:r>
      <w:r w:rsidR="00213DA1">
        <w:rPr>
          <w:rtl/>
        </w:rPr>
        <w:t>”ם \נשים\</w:t>
      </w:r>
      <w:r>
        <w:rPr>
          <w:rtl/>
        </w:rPr>
        <w:t xml:space="preserve"> הלכות אישות פרק יב הלכה ג</w:t>
      </w:r>
      <w:r>
        <w:rPr>
          <w:rFonts w:hint="cs"/>
          <w:rtl/>
        </w:rPr>
        <w:t xml:space="preserve">] </w:t>
      </w:r>
      <w:r>
        <w:rPr>
          <w:rtl/>
        </w:rPr>
        <w:t>והארבעה שזוכה בהן כולם מדברי סופרים, ואלו הן, להיות מעשה ידיה שלו, ולהיות מציאתה שלו, ושיהיה אוכל כל פירות נכסיה בחייה, ואם מתה בחייו יירשנה, והוא קודם לכל אדם בירושה. /השגת הראב"ד/ ואם מתה בחייו ירשנה והוא קודם לכל אדם בירושה. א"א אומר אני ירושת הבעל דבר תורה.</w:t>
      </w:r>
    </w:p>
    <w:p w14:paraId="1533E129" w14:textId="3E67B8E2" w:rsidR="00BD2D23" w:rsidRDefault="00BD2D23" w:rsidP="00BD2D23">
      <w:pPr>
        <w:pStyle w:val="Style1"/>
        <w:rPr>
          <w:rtl/>
        </w:rPr>
      </w:pPr>
      <w:r>
        <w:rPr>
          <w:rFonts w:hint="cs"/>
          <w:rtl/>
        </w:rPr>
        <w:t>1)[</w:t>
      </w:r>
      <w:r>
        <w:rPr>
          <w:rtl/>
        </w:rPr>
        <w:t>רמב</w:t>
      </w:r>
      <w:r w:rsidR="00213DA1">
        <w:rPr>
          <w:rtl/>
        </w:rPr>
        <w:t>”ם \נשים\</w:t>
      </w:r>
      <w:r>
        <w:rPr>
          <w:rtl/>
        </w:rPr>
        <w:t xml:space="preserve"> הלכות אישות פרק כא הלכה א</w:t>
      </w:r>
      <w:r>
        <w:rPr>
          <w:rFonts w:hint="cs"/>
          <w:rtl/>
        </w:rPr>
        <w:t xml:space="preserve">] </w:t>
      </w:r>
      <w:r>
        <w:rPr>
          <w:rtl/>
        </w:rPr>
        <w:t xml:space="preserve">מציאת האשה ומעשה ידיה לבעלה,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 שהפשתן מזיק את הפה ואת השפתים, והטווי היא המלאכה המיוחדת לנשים שנאמר </w:t>
      </w:r>
      <w:r>
        <w:rPr>
          <w:rFonts w:hint="cs"/>
          <w:rtl/>
        </w:rPr>
        <w:t>(</w:t>
      </w:r>
      <w:r>
        <w:rPr>
          <w:rtl/>
        </w:rPr>
        <w:t>שמות ל"ה כה</w:t>
      </w:r>
      <w:r>
        <w:rPr>
          <w:rFonts w:hint="cs"/>
          <w:rtl/>
        </w:rPr>
        <w:t>)</w:t>
      </w:r>
      <w:r>
        <w:rPr>
          <w:rtl/>
        </w:rPr>
        <w:t xml:space="preserve"> וכל אשה חכמת לב בידיה טוו.</w:t>
      </w:r>
    </w:p>
    <w:p w14:paraId="6D6A99B0" w14:textId="29F3B0D7" w:rsidR="00FF2C9D" w:rsidRDefault="00FF2C9D" w:rsidP="00FF2C9D">
      <w:pPr>
        <w:pStyle w:val="Style1"/>
        <w:rPr>
          <w:rtl/>
        </w:rPr>
      </w:pPr>
      <w:r>
        <w:rPr>
          <w:rFonts w:hint="cs"/>
          <w:rtl/>
        </w:rPr>
        <w:t>1)[</w:t>
      </w:r>
      <w:r>
        <w:rPr>
          <w:rtl/>
        </w:rPr>
        <w:t>שולחן ערוך אבן העזר הלכות כתובות סימן סט סעיף א</w:t>
      </w:r>
      <w:r>
        <w:rPr>
          <w:rFonts w:hint="cs"/>
          <w:rtl/>
        </w:rPr>
        <w:t xml:space="preserve">] </w:t>
      </w:r>
      <w:r>
        <w:rPr>
          <w:rtl/>
        </w:rPr>
        <w:t>כשנושא אדם אשה מתחייב לה בעשרה דברים, וזכה בה בד' דברים, אפילו לא נכתבו.</w:t>
      </w:r>
    </w:p>
    <w:p w14:paraId="2D96E39C" w14:textId="53F9C5D0" w:rsidR="00FF2C9D" w:rsidRDefault="00FF2C9D" w:rsidP="00FF2C9D">
      <w:pPr>
        <w:pStyle w:val="Style1"/>
        <w:rPr>
          <w:rtl/>
        </w:rPr>
      </w:pPr>
      <w:r>
        <w:rPr>
          <w:rFonts w:hint="cs"/>
          <w:rtl/>
        </w:rPr>
        <w:t>1)[</w:t>
      </w:r>
      <w:r>
        <w:rPr>
          <w:rtl/>
        </w:rPr>
        <w:t>שולחן ערוך אבן העזר הלכות כתובות סימן סט סעיף ב</w:t>
      </w:r>
      <w:r>
        <w:rPr>
          <w:rFonts w:hint="cs"/>
          <w:rtl/>
        </w:rPr>
        <w:t xml:space="preserve">] </w:t>
      </w:r>
      <w:r>
        <w:rPr>
          <w:rtl/>
        </w:rPr>
        <w:t>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w:t>
      </w:r>
    </w:p>
    <w:p w14:paraId="302690EF" w14:textId="3FFC9007" w:rsidR="002D1532" w:rsidRDefault="002D1532" w:rsidP="002D1532">
      <w:pPr>
        <w:pStyle w:val="Style1"/>
      </w:pPr>
      <w:r>
        <w:rPr>
          <w:rFonts w:hint="cs"/>
          <w:rtl/>
        </w:rPr>
        <w:t>1)[</w:t>
      </w:r>
      <w:r>
        <w:rPr>
          <w:rtl/>
        </w:rPr>
        <w:t>שולחן ערוך אבן העזר הלכות כתובות סימן פד</w:t>
      </w:r>
      <w:r>
        <w:rPr>
          <w:rFonts w:hint="cs"/>
          <w:rtl/>
        </w:rPr>
        <w:t xml:space="preserve">] </w:t>
      </w:r>
      <w:r>
        <w:rPr>
          <w:rtl/>
        </w:rPr>
        <w:t>ציאת האשה, לבעלה; ואם היא ספק מגורשת, מציאתה לעצמה.</w:t>
      </w:r>
    </w:p>
    <w:p w14:paraId="572E2CDE" w14:textId="44F9BDF4" w:rsidR="009900ED" w:rsidRDefault="009900ED" w:rsidP="009900ED">
      <w:pPr>
        <w:pStyle w:val="Style1"/>
        <w:rPr>
          <w:rtl/>
        </w:rPr>
      </w:pPr>
      <w:r>
        <w:rPr>
          <w:rFonts w:hint="cs"/>
          <w:rtl/>
        </w:rPr>
        <w:t>2)[</w:t>
      </w:r>
      <w:r>
        <w:rPr>
          <w:rtl/>
        </w:rPr>
        <w:t>רמב</w:t>
      </w:r>
      <w:r w:rsidR="00213DA1">
        <w:rPr>
          <w:rtl/>
        </w:rPr>
        <w:t>”ם \נשים\</w:t>
      </w:r>
      <w:r>
        <w:rPr>
          <w:rtl/>
        </w:rPr>
        <w:t xml:space="preserve"> הלכות אישות פרק כב הלכה כח</w:t>
      </w:r>
      <w:r>
        <w:rPr>
          <w:rFonts w:hint="cs"/>
          <w:rtl/>
        </w:rPr>
        <w:t xml:space="preserve">] </w:t>
      </w:r>
      <w:r>
        <w:rPr>
          <w:rtl/>
        </w:rPr>
        <w:t>ולד בהמת מלוג שנגנב ונמצא הגנב ושלם שנים הכפל לאשה, שאין זה הפרי שתקנו לו חכמים, החובל באשתו כל הנזק והצער והבושת שלה ואין הבעל אוכל פירותיהן כמו שיתבאר בהלכות חובל.</w:t>
      </w:r>
    </w:p>
    <w:p w14:paraId="475177EA" w14:textId="629EAC6E" w:rsidR="00327703" w:rsidRDefault="00327703" w:rsidP="00327703">
      <w:pPr>
        <w:pStyle w:val="Style1"/>
        <w:rPr>
          <w:rtl/>
        </w:rPr>
      </w:pPr>
      <w:r>
        <w:rPr>
          <w:rFonts w:hint="cs"/>
          <w:rtl/>
        </w:rPr>
        <w:t>2)[</w:t>
      </w:r>
      <w:r>
        <w:rPr>
          <w:rtl/>
        </w:rPr>
        <w:t>רמב</w:t>
      </w:r>
      <w:r w:rsidR="005258D6">
        <w:rPr>
          <w:rtl/>
        </w:rPr>
        <w:t>”ם \נזיקין\</w:t>
      </w:r>
      <w:r>
        <w:rPr>
          <w:rtl/>
        </w:rPr>
        <w:t xml:space="preserve"> הלכות חובל ומזיק פרק ד הלכה טו</w:t>
      </w:r>
      <w:r>
        <w:rPr>
          <w:rFonts w:hint="cs"/>
          <w:rtl/>
        </w:rPr>
        <w:t xml:space="preserve">] </w:t>
      </w:r>
      <w:r>
        <w:rPr>
          <w:rtl/>
        </w:rPr>
        <w:t>החובל באשת איש השבת והרפוי לבעלה והצער שלה, והבושת והנזק אם בגלוי הוא כגון שחבל בפניה ובצוארה או בידיה וזרועותיה השליש שלה ושני שלישים לבעל, ואם בסתר הוא הנזק השליש לבעל ושני שלישים לאשה, של בעל נותנין לו מיד ושל אשה ילקח בהן קרקע והבעל אוכל פירות.</w:t>
      </w:r>
    </w:p>
    <w:p w14:paraId="5CC4F63B" w14:textId="6AD25EC4" w:rsidR="007C6ED1" w:rsidRPr="007C6ED1" w:rsidRDefault="0037128E" w:rsidP="007C6ED1">
      <w:pPr>
        <w:pStyle w:val="Style1"/>
      </w:pPr>
      <w:r>
        <w:rPr>
          <w:rFonts w:hint="cs"/>
          <w:rtl/>
        </w:rPr>
        <w:t>2)[</w:t>
      </w:r>
      <w:r>
        <w:rPr>
          <w:rtl/>
        </w:rPr>
        <w:t>שולחן ערוך אבן העזר הלכות כתובות סימן פג סעיף א</w:t>
      </w:r>
      <w:r>
        <w:rPr>
          <w:rFonts w:hint="cs"/>
          <w:rtl/>
        </w:rPr>
        <w:t>]</w:t>
      </w:r>
      <w:r w:rsidR="007C6ED1">
        <w:rPr>
          <w:rFonts w:hint="cs"/>
          <w:rtl/>
        </w:rPr>
        <w:t xml:space="preserve"> </w:t>
      </w:r>
      <w:r w:rsidR="007C6ED1" w:rsidRPr="007C6ED1">
        <w:rPr>
          <w:rtl/>
        </w:rPr>
        <w:t>החובל באשת איש</w:t>
      </w:r>
      <w:r w:rsidR="007C6ED1" w:rsidRPr="007C6ED1">
        <w:t xml:space="preserve"> --</w:t>
      </w:r>
    </w:p>
    <w:p w14:paraId="0B271D23" w14:textId="77777777" w:rsidR="007C6ED1" w:rsidRPr="007C6ED1" w:rsidRDefault="007C6ED1" w:rsidP="007C6ED1">
      <w:pPr>
        <w:pStyle w:val="Style1"/>
      </w:pPr>
      <w:r w:rsidRPr="007C6ED1">
        <w:rPr>
          <w:rtl/>
        </w:rPr>
        <w:t>השבת והרפוי לבעלה</w:t>
      </w:r>
      <w:r w:rsidRPr="007C6ED1">
        <w:t>;</w:t>
      </w:r>
    </w:p>
    <w:p w14:paraId="76958A2C" w14:textId="77777777" w:rsidR="007C6ED1" w:rsidRPr="007C6ED1" w:rsidRDefault="007C6ED1" w:rsidP="007C6ED1">
      <w:pPr>
        <w:pStyle w:val="Style1"/>
      </w:pPr>
      <w:r w:rsidRPr="007C6ED1">
        <w:rPr>
          <w:rtl/>
        </w:rPr>
        <w:t>והצער, שלה</w:t>
      </w:r>
      <w:r w:rsidRPr="007C6ED1">
        <w:t>;</w:t>
      </w:r>
    </w:p>
    <w:p w14:paraId="61E2BE9B" w14:textId="77777777" w:rsidR="007C6ED1" w:rsidRPr="007C6ED1" w:rsidRDefault="007C6ED1" w:rsidP="007C6ED1">
      <w:pPr>
        <w:pStyle w:val="Style1"/>
      </w:pPr>
      <w:r w:rsidRPr="007C6ED1">
        <w:rPr>
          <w:rtl/>
        </w:rPr>
        <w:t>והבושת והנזק -- אם בגלוי הוא, כגון שחבל בפניה ובצוארה או בידה וזרועותיה -- השליש שלה ושני שלישים לבעל; ואם בסתר הוא הנזק -- השליש לבעל ושני שלישים לאשה. של בעל, נותנין לו מיד; ושל אשה, ילקח בהם קרקע והבעל אוכל פירות. ואינה יכולה למחול, לא על חלקו ולא על חלקה; ואם מחלה, אינה מחילה. ומכל מקום אינו יכול לתבוע חלקה אלא בהרשאתה</w:t>
      </w:r>
      <w:r w:rsidRPr="007C6ED1">
        <w:t>.</w:t>
      </w:r>
    </w:p>
    <w:p w14:paraId="52B72DA1" w14:textId="77777777" w:rsidR="007C6ED1" w:rsidRPr="007C6ED1" w:rsidRDefault="007C6ED1" w:rsidP="007C6ED1">
      <w:pPr>
        <w:pStyle w:val="Style1"/>
      </w:pPr>
      <w:r w:rsidRPr="007C6ED1">
        <w:rPr>
          <w:rtl/>
        </w:rPr>
        <w:t>במה דברים אמורים? כשחבלו בה אחרים. אבל הבעל שחבל באשתו חייב לשלם לה מיד כל הנזק וכל הבושת והצער, הכל שלה, ואין לבעל בהם פירות. ואם רצתה ליתן הדמים לאחר -- נותנת; והבעל מרפא אותה כדרך שמרפא כל חלייה</w:t>
      </w:r>
      <w:r w:rsidRPr="007C6ED1">
        <w:t>.</w:t>
      </w:r>
    </w:p>
    <w:p w14:paraId="585E53DA" w14:textId="1BC2DF98" w:rsidR="007C6ED1" w:rsidRDefault="007C6ED1" w:rsidP="007C6ED1">
      <w:pPr>
        <w:pStyle w:val="Style1"/>
        <w:rPr>
          <w:rtl/>
        </w:rPr>
      </w:pPr>
      <w:r w:rsidRPr="007C6ED1">
        <w:rPr>
          <w:rFonts w:hint="cs"/>
          <w:rtl/>
        </w:rPr>
        <w:t>הגה: חרף אותה שום אדם בדברים, אף על פי שהמבייש בדברים פטור, אם פיסוה בממון (דעת עצמו), אם חרפוה בגלוי -- לו שני חלקים ולה חלק אחד; ואם בסתר -- לה שני חלקים ולו חלק אחד (טור)</w:t>
      </w:r>
      <w:r w:rsidRPr="007C6ED1">
        <w:t>:</w:t>
      </w:r>
    </w:p>
    <w:p w14:paraId="1E08979F" w14:textId="136F3F13" w:rsidR="004F1E75" w:rsidRDefault="00FC1DE8" w:rsidP="00FC1DE8">
      <w:pPr>
        <w:pStyle w:val="Style1"/>
        <w:rPr>
          <w:rtl/>
        </w:rPr>
      </w:pPr>
      <w:r>
        <w:rPr>
          <w:rFonts w:hint="cs"/>
          <w:rtl/>
        </w:rPr>
        <w:t>2)[</w:t>
      </w:r>
      <w:r w:rsidR="004F1E75">
        <w:rPr>
          <w:rtl/>
        </w:rPr>
        <w:t>שולחן ערוך חושן משפט הלכות חובל בחבירו סימן תכד סעיף יא</w:t>
      </w:r>
      <w:r>
        <w:rPr>
          <w:rFonts w:hint="cs"/>
          <w:rtl/>
        </w:rPr>
        <w:t xml:space="preserve">] </w:t>
      </w:r>
      <w:r w:rsidR="004F1E75">
        <w:rPr>
          <w:rtl/>
        </w:rPr>
        <w:t>דין אשת איש שחבלו בה אחרים או בעלה, נתבאר בטור א"ה סימן פ"ג. הגה: איש, ואשה שיש לה בעל שחבלו זה בזה ( לא אמרינן שישלמו במותר נזק שלם, דהא קצת מחבלה שחבל באשה הוא לבעלה, על כן ישלם החובל בה השייך לבעלה, ומה ששייך לאשה מנכין לו נגד חבלתו) (תשובת רשב"א סימן תתקמ"ח).</w:t>
      </w:r>
    </w:p>
    <w:p w14:paraId="3E7FD5DE" w14:textId="77777777" w:rsidR="007C6ED1" w:rsidRPr="007C6ED1" w:rsidRDefault="007C6ED1" w:rsidP="007C6ED1">
      <w:pPr>
        <w:pStyle w:val="Style1"/>
      </w:pPr>
    </w:p>
    <w:p w14:paraId="204FF42A" w14:textId="77777777" w:rsidR="00FA0114" w:rsidRPr="00556759" w:rsidRDefault="00FA0114" w:rsidP="00FA0114">
      <w:pPr>
        <w:pStyle w:val="Style1"/>
        <w:rPr>
          <w:rStyle w:val="Style1Char"/>
          <w:rtl/>
        </w:rPr>
      </w:pPr>
    </w:p>
    <w:p w14:paraId="7CE56175" w14:textId="77777777" w:rsidR="00FA0114" w:rsidRPr="00E164C6" w:rsidRDefault="00FA0114" w:rsidP="00FA0114">
      <w:pPr>
        <w:bidi/>
        <w:rPr>
          <w:rStyle w:val="Style1Char"/>
          <w:color w:val="00B050"/>
          <w:rtl/>
        </w:rPr>
      </w:pPr>
    </w:p>
    <w:p w14:paraId="06D8CE7A" w14:textId="77777777" w:rsidR="00FA0114" w:rsidRDefault="00FA0114" w:rsidP="00FA0114">
      <w:pPr>
        <w:rPr>
          <w:rStyle w:val="Style1Char"/>
          <w:color w:val="00B050"/>
          <w:rtl/>
        </w:rPr>
      </w:pPr>
      <w:r>
        <w:rPr>
          <w:rStyle w:val="Style1Char"/>
          <w:color w:val="00B050"/>
          <w:rtl/>
        </w:rPr>
        <w:br w:type="page"/>
      </w:r>
    </w:p>
    <w:p w14:paraId="4675D34B" w14:textId="6318D785" w:rsidR="00FA0114" w:rsidRPr="006F1BC6" w:rsidRDefault="00FA0114" w:rsidP="00FA0114">
      <w:pPr>
        <w:bidi/>
        <w:rPr>
          <w:rStyle w:val="Style1Char"/>
          <w:color w:val="806000" w:themeColor="accent4" w:themeShade="80"/>
          <w:sz w:val="22"/>
          <w:szCs w:val="22"/>
          <w:rtl/>
        </w:rPr>
      </w:pPr>
      <w:r w:rsidRPr="0058605C">
        <w:rPr>
          <w:rStyle w:val="Style1Char"/>
          <w:color w:val="00B050"/>
          <w:sz w:val="22"/>
          <w:szCs w:val="22"/>
          <w:highlight w:val="yellow"/>
          <w:rtl/>
        </w:rPr>
        <w:lastRenderedPageBreak/>
        <w:t>[דף סו עמוד א]</w:t>
      </w:r>
      <w:r w:rsidRPr="0058605C">
        <w:rPr>
          <w:rStyle w:val="Style1Char"/>
          <w:color w:val="00B050"/>
          <w:sz w:val="22"/>
          <w:szCs w:val="22"/>
          <w:rtl/>
        </w:rPr>
        <w:t xml:space="preserve"> </w:t>
      </w:r>
      <w:r w:rsidRPr="0058605C">
        <w:rPr>
          <w:rStyle w:val="Style1Char"/>
          <w:color w:val="00B050"/>
          <w:rtl/>
        </w:rPr>
        <w:t>דמעשה ידיה היא, אמר רבי עקיבא: לעצמה, מציאתה לא כ"ש! ד</w:t>
      </w:r>
      <w:r w:rsidRPr="00DE28FA">
        <w:rPr>
          <w:rStyle w:val="Style1Char"/>
          <w:color w:val="auto"/>
          <w:sz w:val="22"/>
          <w:szCs w:val="22"/>
          <w:rtl/>
        </w:rPr>
        <w:t>תנן</w:t>
      </w:r>
      <w:r w:rsidRPr="00FF03A6">
        <w:rPr>
          <w:rStyle w:val="Style1Char"/>
          <w:color w:val="C00000"/>
          <w:rtl/>
        </w:rPr>
        <w:t xml:space="preserve"> </w:t>
      </w:r>
      <w:r w:rsidRPr="00DE28FA">
        <w:rPr>
          <w:rStyle w:val="Style1Char"/>
          <w:color w:val="806000" w:themeColor="accent4" w:themeShade="80"/>
          <w:sz w:val="22"/>
          <w:szCs w:val="22"/>
          <w:rtl/>
        </w:rPr>
        <w:t>התם</w:t>
      </w:r>
      <w:r w:rsidRPr="00FF03A6">
        <w:rPr>
          <w:rStyle w:val="Style1Char"/>
          <w:sz w:val="22"/>
          <w:szCs w:val="22"/>
          <w:rtl/>
        </w:rPr>
        <w:t xml:space="preserve">: </w:t>
      </w:r>
      <w:r w:rsidRPr="00DE28FA">
        <w:rPr>
          <w:rStyle w:val="Style1Char"/>
          <w:color w:val="auto"/>
          <w:sz w:val="22"/>
          <w:szCs w:val="22"/>
          <w:rtl/>
        </w:rPr>
        <w:t xml:space="preserve">קונם שאני עושה לפיך - אינו צריך להפר, רבי עקיבא אומר: יפר, שמא תעדיף עליו יותר מן הראוי לו! </w:t>
      </w:r>
      <w:r w:rsidRPr="0058605C">
        <w:rPr>
          <w:rStyle w:val="Style1Char"/>
          <w:color w:val="00B050"/>
          <w:rtl/>
        </w:rPr>
        <w:t xml:space="preserve">אלא איפוך: מציאת האשה לבעלה, רבי עקיבא אומר: לעצמה. והא </w:t>
      </w:r>
      <w:r w:rsidRPr="00DE28FA">
        <w:rPr>
          <w:rStyle w:val="Style1Char"/>
          <w:color w:val="auto"/>
          <w:sz w:val="22"/>
          <w:szCs w:val="22"/>
          <w:rtl/>
        </w:rPr>
        <w:t>כי אתא רבין אמר רבי יוחנן: בהעדפה שלא על ידי הדחק - כולי עלמא לא פליגי דבעל הוי, כי פליגי - בהעדפה שעל ידי הדחק</w:t>
      </w:r>
      <w:r w:rsidRPr="00DE28FA">
        <w:rPr>
          <w:rStyle w:val="Style1Char"/>
          <w:color w:val="4472C4" w:themeColor="accent1"/>
          <w:rtl/>
        </w:rPr>
        <w:t xml:space="preserve"> </w:t>
      </w:r>
      <w:r w:rsidRPr="004D20E8">
        <w:rPr>
          <w:rStyle w:val="Style1Char"/>
          <w:color w:val="4472C4" w:themeColor="accent1"/>
          <w:rtl/>
        </w:rPr>
        <w:t>כגון עשתה מלאכה בלילות בשעה שבני אדם ישנים</w:t>
      </w:r>
      <w:r w:rsidRPr="00DE28FA">
        <w:rPr>
          <w:rStyle w:val="Style1Char"/>
          <w:color w:val="auto"/>
          <w:sz w:val="22"/>
          <w:szCs w:val="22"/>
          <w:rtl/>
        </w:rPr>
        <w:t xml:space="preserve">, </w:t>
      </w:r>
      <w:r w:rsidR="00AA0EA0">
        <w:rPr>
          <w:rStyle w:val="Style1Char"/>
          <w:rFonts w:hint="cs"/>
          <w:rtl/>
        </w:rPr>
        <w:t>(1)</w:t>
      </w:r>
      <w:r w:rsidRPr="00DE28FA">
        <w:rPr>
          <w:rStyle w:val="Style1Char"/>
          <w:color w:val="auto"/>
          <w:sz w:val="22"/>
          <w:szCs w:val="22"/>
          <w:rtl/>
        </w:rPr>
        <w:t xml:space="preserve">תנא קמא סבר: לבעלה, ורבי עקיבא סבר: לעצמה! </w:t>
      </w:r>
      <w:r w:rsidRPr="00DE28FA">
        <w:rPr>
          <w:rStyle w:val="Style1Char"/>
          <w:color w:val="806000" w:themeColor="accent4" w:themeShade="80"/>
          <w:sz w:val="22"/>
          <w:szCs w:val="22"/>
          <w:rtl/>
        </w:rPr>
        <w:t xml:space="preserve">והלכתא כת"ק והכין פסק רבינו האי גאון ז"ל: </w:t>
      </w:r>
      <w:r w:rsidRPr="00DE28FA">
        <w:rPr>
          <w:rStyle w:val="Style1Char"/>
          <w:color w:val="C00000"/>
          <w:rtl/>
        </w:rPr>
        <w:t xml:space="preserve">שלו נותנים לו מיד </w:t>
      </w:r>
      <w:r w:rsidRPr="00DE28FA">
        <w:rPr>
          <w:rStyle w:val="Style1Char"/>
          <w:color w:val="ED7D31" w:themeColor="accent2"/>
          <w:sz w:val="22"/>
          <w:szCs w:val="22"/>
          <w:rtl/>
        </w:rPr>
        <w:t>אמר רב פפא: מציאתה - כהעדפה שעל ידי הדחק דמי</w:t>
      </w:r>
      <w:r w:rsidRPr="006D074A">
        <w:rPr>
          <w:rStyle w:val="Style1Char"/>
          <w:color w:val="4472C4" w:themeColor="accent1"/>
          <w:rtl/>
        </w:rPr>
        <w:t xml:space="preserve"> </w:t>
      </w:r>
      <w:r w:rsidRPr="004D20E8">
        <w:rPr>
          <w:rStyle w:val="Style1Char"/>
          <w:color w:val="4472C4" w:themeColor="accent1"/>
          <w:rtl/>
        </w:rPr>
        <w:t>פי' מציאה שע"י הדחק</w:t>
      </w:r>
      <w:r w:rsidRPr="0058605C">
        <w:rPr>
          <w:rStyle w:val="Style1Char"/>
          <w:color w:val="00B050"/>
          <w:rtl/>
        </w:rPr>
        <w:t xml:space="preserve">, פלוגתא דרבי עקיבא ורבנן. </w:t>
      </w:r>
      <w:r w:rsidRPr="006D074A">
        <w:rPr>
          <w:rStyle w:val="Style1Char"/>
          <w:color w:val="ED7D31" w:themeColor="accent2"/>
          <w:sz w:val="22"/>
          <w:szCs w:val="22"/>
          <w:rtl/>
        </w:rPr>
        <w:t xml:space="preserve">בעי רב פפא: עשתה לו שתים בבת אחת, מהו? בעי רבינא: </w:t>
      </w:r>
      <w:r w:rsidR="008A1006">
        <w:rPr>
          <w:rStyle w:val="Style1Char"/>
          <w:rFonts w:hint="cs"/>
          <w:rtl/>
        </w:rPr>
        <w:t>(2)</w:t>
      </w:r>
      <w:r w:rsidRPr="006D074A">
        <w:rPr>
          <w:rStyle w:val="Style1Char"/>
          <w:color w:val="ED7D31" w:themeColor="accent2"/>
          <w:sz w:val="22"/>
          <w:szCs w:val="22"/>
          <w:rtl/>
        </w:rPr>
        <w:t xml:space="preserve">שלשה או ד' בבת אחת, מהו? תיקו. </w:t>
      </w:r>
      <w:r w:rsidRPr="004D20E8">
        <w:rPr>
          <w:rStyle w:val="Style1Char"/>
          <w:color w:val="4472C4" w:themeColor="accent1"/>
          <w:rtl/>
        </w:rPr>
        <w:t>פי' רב האי דלרבנן קא מיבעי להו דדלמא אף על גב דבהעדפה שע"י הדחק אמרו רבנן דלבעלה שתים בבת אחת אפשר דלא מיחייבא ליה אלא ממלאכה אחת אבל לא שתים בבת אחת ואת"ל שתי מלאכות שכיח דעבדה והוי דבעל בעי רבינא שלש וארבע מהו וכיון דסלקא בתיקו הוי לעצמה. ור"ח ז"ל פי' דהני בעיות אליבא דר"ע ובעי לר"ע דאמר העדפה שע"י הדחק לעצמה הוא הדין נמי כשעשתה שתי מלאכות או דלמא כיון שלא ע"י הדחק הוי לבעלה הוא הדין שתי מלאכות הוי לבעלה דלא אמר ר"ע לעצמה אלא כשעושה מלאכה בשעה שבני אדם ישנים אבל לרבנן דאמרי דהעדפה שע"י הדחק לבעלה כ"ש עשתה שתים שלא ע"י הדחק מתוך זה (הפסק) נראה</w:t>
      </w:r>
      <w:r>
        <w:rPr>
          <w:rStyle w:val="Style1Char"/>
          <w:rFonts w:hint="cs"/>
          <w:color w:val="4472C4" w:themeColor="accent1"/>
        </w:rPr>
        <w:t>‍</w:t>
      </w:r>
      <w:r w:rsidRPr="004D20E8">
        <w:rPr>
          <w:rStyle w:val="Style1Char"/>
          <w:color w:val="4472C4" w:themeColor="accent1"/>
          <w:rtl/>
        </w:rPr>
        <w:t xml:space="preserve"> דהלכה כר"ע. </w:t>
      </w:r>
      <w:r w:rsidRPr="00FA2F08">
        <w:rPr>
          <w:rStyle w:val="Style1Char"/>
          <w:color w:val="4472C4" w:themeColor="accent1"/>
          <w:sz w:val="22"/>
          <w:szCs w:val="22"/>
          <w:rtl/>
        </w:rPr>
        <w:t xml:space="preserve">רבי יהודה בן בתירא אומר וכו' </w:t>
      </w:r>
      <w:r w:rsidRPr="006F1BC6">
        <w:rPr>
          <w:rStyle w:val="Style1Char"/>
          <w:color w:val="806000" w:themeColor="accent4" w:themeShade="80"/>
          <w:sz w:val="22"/>
          <w:szCs w:val="22"/>
          <w:rtl/>
        </w:rPr>
        <w:t>כתב רב האי גאון כך העלו בישיבה אף על גב דיחיד ורבים הלכה כרבים בזו הלכה כר' יהודה בן בתירא וטעמא משום דשקלו וטרו אמוראי בתראי רבינא ורב אשי אליביה</w:t>
      </w:r>
      <w:r w:rsidRPr="006F1BC6">
        <w:rPr>
          <w:rStyle w:val="Style1Char"/>
          <w:color w:val="806000" w:themeColor="accent4" w:themeShade="80"/>
          <w:sz w:val="22"/>
          <w:szCs w:val="22"/>
        </w:rPr>
        <w:t>:</w:t>
      </w:r>
      <w:r w:rsidRPr="006F1BC6">
        <w:rPr>
          <w:rStyle w:val="Style1Char"/>
          <w:color w:val="C00000"/>
          <w:sz w:val="22"/>
          <w:szCs w:val="22"/>
          <w:rtl/>
        </w:rPr>
        <w:t xml:space="preserve"> דרבי יהודה בן בתירא שמע מינה דהלכתא כוותיה</w:t>
      </w:r>
    </w:p>
    <w:p w14:paraId="3137CE32" w14:textId="2ECBD0D3" w:rsidR="00FA0114" w:rsidRPr="0058605C" w:rsidRDefault="00FA0114" w:rsidP="00FA0114">
      <w:pPr>
        <w:bidi/>
        <w:rPr>
          <w:rStyle w:val="Style1Char"/>
          <w:color w:val="00B050"/>
        </w:rPr>
      </w:pPr>
      <w:r w:rsidRPr="0058605C">
        <w:rPr>
          <w:rStyle w:val="Style1Char"/>
          <w:color w:val="00B050"/>
          <w:rtl/>
        </w:rPr>
        <w:t xml:space="preserve">בושתה ופגמה. מתקיף לה רבא בר רב חנן: אלא מעתה, בייש סוסתו של חבירו, ה"נ דבעי למיתן ליה בושת? וסוס בר בושת הוא? אלא רקק בבגדו של חבירו, הכי נמי דבעי למיתן ליה בושת? וכי תימא הכי נמי, והתנן: </w:t>
      </w:r>
      <w:r w:rsidR="003F2328">
        <w:rPr>
          <w:rStyle w:val="Style1Char"/>
          <w:rFonts w:hint="cs"/>
          <w:rtl/>
        </w:rPr>
        <w:t>(3)</w:t>
      </w:r>
      <w:r w:rsidRPr="0058605C">
        <w:rPr>
          <w:rStyle w:val="Style1Char"/>
          <w:color w:val="00B050"/>
          <w:rtl/>
        </w:rPr>
        <w:t xml:space="preserve">רקק והגיע בו הרוק, ופרע ראש האשה, והעביר טליתו ממנו - חייב ליתן לו ארבע מאות זוז; ואמר רב פפא: </w:t>
      </w:r>
      <w:r w:rsidR="00681104">
        <w:rPr>
          <w:rStyle w:val="Style1Char"/>
          <w:rFonts w:hint="cs"/>
          <w:rtl/>
        </w:rPr>
        <w:t>(3)</w:t>
      </w:r>
      <w:r w:rsidRPr="0058605C">
        <w:rPr>
          <w:rStyle w:val="Style1Char"/>
          <w:color w:val="00B050"/>
          <w:rtl/>
        </w:rPr>
        <w:t xml:space="preserve">לא שנו אלא בו, אבל בבגדו - פטור! בבגדו לית ליה זילותא, אשתו אית לה זילותא. אמר ליה רבינא לרב אשי: אלא מעתה, בייש עני בן טובים, דאית להו זילותא לכולהו בני משפחה, ה"נ דבעי למיתן להו בושת לכל בני משפחה? א"ל: התם לאו גופייהו, הכא אשתו גופיה הואי. </w:t>
      </w:r>
    </w:p>
    <w:p w14:paraId="44EE27DC" w14:textId="0A8A850C" w:rsidR="00FA0114" w:rsidRDefault="00FA0114" w:rsidP="00FA0114">
      <w:pPr>
        <w:bidi/>
        <w:rPr>
          <w:rStyle w:val="Style1Char"/>
          <w:color w:val="auto"/>
          <w:sz w:val="22"/>
          <w:szCs w:val="22"/>
          <w:rtl/>
        </w:rPr>
      </w:pPr>
      <w:r w:rsidRPr="008A05F1">
        <w:rPr>
          <w:rStyle w:val="Style1Char"/>
          <w:color w:val="auto"/>
          <w:sz w:val="22"/>
          <w:szCs w:val="22"/>
          <w:rtl/>
        </w:rPr>
        <w:t xml:space="preserve">מתני'. </w:t>
      </w:r>
      <w:r w:rsidR="00EC2559">
        <w:rPr>
          <w:rStyle w:val="Style1Char"/>
          <w:rFonts w:hint="cs"/>
          <w:rtl/>
        </w:rPr>
        <w:t>(4)</w:t>
      </w:r>
      <w:r w:rsidRPr="008A05F1">
        <w:rPr>
          <w:rStyle w:val="Style1Char"/>
          <w:color w:val="auto"/>
          <w:sz w:val="22"/>
          <w:szCs w:val="22"/>
          <w:rtl/>
        </w:rPr>
        <w:t xml:space="preserve">הפוסק מעות לחתנו, ומת חתנו, אמרו חכמים: יכול הוא שיאמר לאחיך הייתי רוצה ליתן ולך אי אפשי ליתן. </w:t>
      </w:r>
      <w:r w:rsidR="00EC2559">
        <w:rPr>
          <w:rStyle w:val="Style1Char"/>
          <w:rFonts w:hint="cs"/>
          <w:rtl/>
        </w:rPr>
        <w:t>(5)</w:t>
      </w:r>
      <w:r w:rsidRPr="00751B22">
        <w:rPr>
          <w:rStyle w:val="Style1Char"/>
          <w:color w:val="auto"/>
          <w:sz w:val="22"/>
          <w:szCs w:val="22"/>
          <w:rtl/>
        </w:rPr>
        <w:t xml:space="preserve">פסקה להכניס לו אלף דינר - הוא פוסק כנגדן חמש עשרה מנה. וכנגד השום - הוא פוסק פחות חומש. שום במנה ושוה מנה - אין לו אלא מנה. שום במנה - היא נותנת שלשים ואחד סלע ודינר, ובארבע מאות - היא נותנת חמש מאות. מה </w:t>
      </w:r>
    </w:p>
    <w:p w14:paraId="7F1ECF8F" w14:textId="5FF9A9FF" w:rsidR="00D127D7" w:rsidRDefault="00D127D7" w:rsidP="00D127D7">
      <w:pPr>
        <w:pStyle w:val="Style1"/>
        <w:rPr>
          <w:rStyle w:val="Style1Char"/>
          <w:rtl/>
        </w:rPr>
      </w:pPr>
      <w:r>
        <w:rPr>
          <w:rStyle w:val="Style1Char"/>
          <w:rFonts w:hint="cs"/>
          <w:rtl/>
        </w:rPr>
        <w:t>1)[</w:t>
      </w:r>
      <w:r w:rsidRPr="00D127D7">
        <w:rPr>
          <w:rStyle w:val="Style1Char"/>
          <w:rtl/>
        </w:rPr>
        <w:t>רמב</w:t>
      </w:r>
      <w:r w:rsidR="00213DA1">
        <w:rPr>
          <w:rStyle w:val="Style1Char"/>
          <w:rtl/>
        </w:rPr>
        <w:t>”ם \נשים\</w:t>
      </w:r>
      <w:r w:rsidRPr="00D127D7">
        <w:rPr>
          <w:rStyle w:val="Style1Char"/>
          <w:rtl/>
        </w:rPr>
        <w:t xml:space="preserve"> הלכות אישות פרק כא הלכה ב</w:t>
      </w:r>
      <w:r>
        <w:rPr>
          <w:rStyle w:val="Style1Char"/>
          <w:rFonts w:hint="cs"/>
          <w:rtl/>
        </w:rPr>
        <w:t xml:space="preserve">] </w:t>
      </w:r>
      <w:r w:rsidRPr="00D127D7">
        <w:rPr>
          <w:rStyle w:val="Style1Char"/>
          <w:rtl/>
        </w:rPr>
        <w:t>דחקה עצמה ועשת יתר מן הראוי לה המותר לבעל. היה לו ולה ממון הרבה אפילו היו להן כמה שפחות אינה יושבת לבטלה בלא מלאכה שהבטלה מביאה לידי זמה, אבל אין כופין אותה לעשות מלאכה כל היום כולו אלא לפי רוב הממון ממעטת במלאכה.</w:t>
      </w:r>
    </w:p>
    <w:p w14:paraId="57BA6A49" w14:textId="7E8D81DA" w:rsidR="00066DC9" w:rsidRPr="00C12B80" w:rsidRDefault="00066DC9" w:rsidP="00066DC9">
      <w:pPr>
        <w:pStyle w:val="Style1"/>
      </w:pPr>
      <w:r>
        <w:rPr>
          <w:rFonts w:hint="cs"/>
          <w:rtl/>
        </w:rPr>
        <w:t>1)[</w:t>
      </w:r>
      <w:r>
        <w:rPr>
          <w:rtl/>
        </w:rPr>
        <w:t>שולחן ערוך אבן העזר הלכות כתובות סימן פ סעיף א</w:t>
      </w:r>
      <w:r>
        <w:rPr>
          <w:rFonts w:hint="cs"/>
          <w:rtl/>
        </w:rPr>
        <w:t xml:space="preserve">] </w:t>
      </w:r>
      <w:r w:rsidRPr="00C12B80">
        <w:rPr>
          <w:rtl/>
        </w:rPr>
        <w:t>מעשה ידיה לבעלה, כיצד, הכל כמנהג המדינה; מקום שדרכן לארוג, אורגת; לרקם, רוקמת; לטוות צמר או פשתים, טווה; ואם לא היה דרך נשי העיר לעשות כל המלאכות האלו, אינו כופה אלא לטוות הצמר בלבד. דחקה עצמה ועשתה יותר מהראוי לה, המותר לבעל</w:t>
      </w:r>
      <w:r w:rsidRPr="00C12B80">
        <w:t>.</w:t>
      </w:r>
    </w:p>
    <w:p w14:paraId="258C5DAB" w14:textId="3766BD99" w:rsidR="00066DC9" w:rsidRDefault="00066DC9" w:rsidP="00066DC9">
      <w:pPr>
        <w:pStyle w:val="Style1"/>
        <w:rPr>
          <w:rtl/>
        </w:rPr>
      </w:pPr>
      <w:r w:rsidRPr="00C12B80">
        <w:rPr>
          <w:rFonts w:hint="cs"/>
          <w:rtl/>
        </w:rPr>
        <w:t>הגה: ודוקא שנותן לה מעה כסף כל שבוע, כמו שנתבאר לעיל </w:t>
      </w:r>
      <w:hyperlink r:id="rId145" w:tooltip="שולחן ערוך אבן העזר ע" w:history="1">
        <w:r w:rsidRPr="00C12B80">
          <w:rPr>
            <w:rStyle w:val="Hyperlink"/>
            <w:rFonts w:hint="cs"/>
            <w:color w:val="7030A0"/>
            <w:u w:val="none"/>
            <w:rtl/>
          </w:rPr>
          <w:t>סימן ע</w:t>
        </w:r>
        <w:r w:rsidRPr="00C12B80">
          <w:rPr>
            <w:rStyle w:val="Hyperlink"/>
            <w:rFonts w:hint="cs"/>
            <w:color w:val="7030A0"/>
            <w:u w:val="none"/>
          </w:rPr>
          <w:t>'</w:t>
        </w:r>
      </w:hyperlink>
      <w:r w:rsidRPr="00C12B80">
        <w:rPr>
          <w:rFonts w:hint="cs"/>
        </w:rPr>
        <w:t xml:space="preserve">. </w:t>
      </w:r>
      <w:r w:rsidRPr="00C12B80">
        <w:rPr>
          <w:rFonts w:hint="cs"/>
          <w:rtl/>
        </w:rPr>
        <w:t>ויכולה אשה לומר: איני נוטלת מעה כסף ואיני נותנת המותר. אבל הבעל לא יוכל לומר כן (טור בשם הרמ"ה, וכן כתב הר"ן פרק אף על פי, וכן כתב השאלתות פרשת משפטים)</w:t>
      </w:r>
      <w:r w:rsidRPr="00C12B80">
        <w:t>:</w:t>
      </w:r>
    </w:p>
    <w:p w14:paraId="7F7BF8A3" w14:textId="56CEEB19" w:rsidR="00FA0114" w:rsidRDefault="00AF3E0E" w:rsidP="00AF3E0E">
      <w:pPr>
        <w:pStyle w:val="Style1"/>
        <w:rPr>
          <w:rtl/>
        </w:rPr>
      </w:pPr>
      <w:r>
        <w:rPr>
          <w:rFonts w:hint="cs"/>
          <w:rtl/>
        </w:rPr>
        <w:t>2)[</w:t>
      </w:r>
      <w:r>
        <w:rPr>
          <w:rtl/>
        </w:rPr>
        <w:t xml:space="preserve">טור אבן העזר הלכות כתובות סימן </w:t>
      </w:r>
      <w:r>
        <w:rPr>
          <w:rFonts w:hint="cs"/>
        </w:rPr>
        <w:t>‍</w:t>
      </w:r>
      <w:r>
        <w:rPr>
          <w:rFonts w:hint="cs"/>
          <w:rtl/>
        </w:rPr>
        <w:t xml:space="preserve"> פ] </w:t>
      </w:r>
      <w:r>
        <w:rPr>
          <w:rtl/>
        </w:rPr>
        <w:t xml:space="preserve">מעשה ידי האשה לבעלה </w:t>
      </w:r>
      <w:r>
        <w:rPr>
          <w:rFonts w:hint="cs"/>
        </w:rPr>
        <w:t>‍</w:t>
      </w:r>
      <w:r>
        <w:rPr>
          <w:rtl/>
        </w:rPr>
        <w:t xml:space="preserve">ומה הן מעשה ידיה שחייבת בהן כדתנן אלו מלאכות שהאשה עושה לבעלה </w:t>
      </w:r>
      <w:r>
        <w:rPr>
          <w:rFonts w:hint="cs"/>
        </w:rPr>
        <w:t>‍</w:t>
      </w:r>
      <w:r>
        <w:rPr>
          <w:rtl/>
        </w:rPr>
        <w:t>טוחנת</w:t>
      </w:r>
      <w:r>
        <w:rPr>
          <w:rFonts w:hint="cs"/>
        </w:rPr>
        <w:t>‍</w:t>
      </w:r>
      <w:r>
        <w:rPr>
          <w:rtl/>
        </w:rPr>
        <w:t xml:space="preserve"> פירוש יושבת בריחים ושומרת </w:t>
      </w:r>
      <w:r>
        <w:rPr>
          <w:rFonts w:hint="cs"/>
        </w:rPr>
        <w:t>‍</w:t>
      </w:r>
      <w:r>
        <w:rPr>
          <w:rtl/>
        </w:rPr>
        <w:t xml:space="preserve">ומחמרת אחר החמור ובמקום שדרך לטחון בריחים של יד </w:t>
      </w:r>
      <w:r>
        <w:rPr>
          <w:rFonts w:hint="cs"/>
        </w:rPr>
        <w:t>‍</w:t>
      </w:r>
      <w:r>
        <w:rPr>
          <w:rtl/>
        </w:rPr>
        <w:t xml:space="preserve">טוחנת בידה ואופה הפת ומבשלת התבשיל ומכבסת הבגדים ומניקה את בנה וכתב רי"ף שאם יולדת תאומים אינה חייבת להניק שניהם וכ"כ הרמב"ם וא"א ז"ל כתב שאם יכולה להניק שניהם צריכה להניק שניהם אבל אם יש לו בן מאשה אחרת אינה חייבת להניקו כתב הרמב"ם רצתה להניק בן חבירתה עם בן בעלה הבעל מעכב </w:t>
      </w:r>
      <w:r>
        <w:rPr>
          <w:rFonts w:hint="cs"/>
        </w:rPr>
        <w:t>‍</w:t>
      </w:r>
      <w:r>
        <w:rPr>
          <w:rtl/>
        </w:rPr>
        <w:t xml:space="preserve"> </w:t>
      </w:r>
      <w:r>
        <w:rPr>
          <w:rFonts w:hint="cs"/>
        </w:rPr>
        <w:t>‍</w:t>
      </w:r>
      <w:r>
        <w:rPr>
          <w:rtl/>
        </w:rPr>
        <w:t xml:space="preserve">ונ"ל דאפילו על בנה שיש לה מאיש אחר מעכב דתניא הרי שנתנו לה בן להניק לא תניק עמו לא </w:t>
      </w:r>
      <w:r>
        <w:rPr>
          <w:rFonts w:hint="cs"/>
        </w:rPr>
        <w:t>‍</w:t>
      </w:r>
      <w:r>
        <w:rPr>
          <w:rtl/>
        </w:rPr>
        <w:t xml:space="preserve">בן חבירתה ולא בנה ואין חילוק בין אם נתנו לה בן להניק בין אם מניקה בן בעלה ומצעת לו המטה ועושה בצמר או בכל מיני פשתן בר מכיתנא רומאה </w:t>
      </w:r>
      <w:r>
        <w:rPr>
          <w:rFonts w:hint="cs"/>
        </w:rPr>
        <w:t>‍</w:t>
      </w:r>
      <w:r>
        <w:rPr>
          <w:rtl/>
        </w:rPr>
        <w:t xml:space="preserve">שהוא מזיק לפה ולשפתים וכמה עושה לשבוע משקל ה' סלעים שתי ביהודה </w:t>
      </w:r>
      <w:r>
        <w:rPr>
          <w:rFonts w:hint="cs"/>
        </w:rPr>
        <w:t>‍</w:t>
      </w:r>
      <w:r>
        <w:rPr>
          <w:rtl/>
        </w:rPr>
        <w:t xml:space="preserve">שהן עשר בגליל </w:t>
      </w:r>
      <w:r>
        <w:rPr>
          <w:rFonts w:hint="cs"/>
        </w:rPr>
        <w:t>‍</w:t>
      </w:r>
      <w:r>
        <w:rPr>
          <w:rtl/>
        </w:rPr>
        <w:t xml:space="preserve">וזה השיעור לא נתנו אלא במשרה אשתו על ידי שליש שאינה עמו בבית ואין עושה לו שום דבר אבל אם היא עמו בבית ועושה כל צרכי הבית אינה חייבת לעשות כ"כ אלא לפי המנהג שדרך נשים לעשות אם היא מניקה </w:t>
      </w:r>
      <w:r>
        <w:rPr>
          <w:rFonts w:hint="cs"/>
        </w:rPr>
        <w:t>‍</w:t>
      </w:r>
      <w:r>
        <w:rPr>
          <w:rtl/>
        </w:rPr>
        <w:t xml:space="preserve"> </w:t>
      </w:r>
      <w:r>
        <w:rPr>
          <w:rFonts w:hint="cs"/>
        </w:rPr>
        <w:t>‍</w:t>
      </w:r>
      <w:r>
        <w:rPr>
          <w:rtl/>
        </w:rPr>
        <w:t xml:space="preserve">פוחתין לה ממעשה ידיה ומוסיפין לה על מזונותיה ונותנין לה דברים היפים לחלב כגון יין וכיוצא בו לא הוסיפו לה על מזונותיה </w:t>
      </w:r>
      <w:r>
        <w:rPr>
          <w:rFonts w:hint="cs"/>
        </w:rPr>
        <w:t>‍</w:t>
      </w:r>
      <w:r>
        <w:rPr>
          <w:rtl/>
        </w:rPr>
        <w:t xml:space="preserve">צריכה לאכול משלה אם יש לה כתב הרמב"ם פסקו לה מזונות הראויים לה והיא רוצה לאכול יותר או מאכלות אחרות מפני חולי התאוה שיש בה הרי זו אוכלת משלה כל מה שתרצה ואין הבעל יכול לעכב ולומר שאם תאכל יותר מדאי או תאכל מאכל רע ימות הולד מפני שצער גופה קודם </w:t>
      </w:r>
      <w:r>
        <w:rPr>
          <w:rFonts w:hint="cs"/>
        </w:rPr>
        <w:t>‍</w:t>
      </w:r>
      <w:r>
        <w:rPr>
          <w:rtl/>
        </w:rPr>
        <w:t xml:space="preserve">ואינו נראה כן דתניא </w:t>
      </w:r>
      <w:r>
        <w:rPr>
          <w:rFonts w:hint="cs"/>
        </w:rPr>
        <w:t>‍</w:t>
      </w:r>
      <w:r>
        <w:rPr>
          <w:rtl/>
        </w:rPr>
        <w:t xml:space="preserve">פסקה קימעא אוכלת הרבה ולא תאכל דברים הרעים לחלב ירושלמי שבעה גופי מלאכות מנו חכמים והשאר לא הוצרכו למנות דפשיטא שצריכה לעשות כל צרכי הבית ולעמוד לפני בעלה לשרתו אבל אינה צריכה לשרת </w:t>
      </w:r>
      <w:r>
        <w:rPr>
          <w:rFonts w:hint="cs"/>
        </w:rPr>
        <w:t>‍</w:t>
      </w:r>
      <w:r>
        <w:rPr>
          <w:rtl/>
        </w:rPr>
        <w:t xml:space="preserve">לא לבנו ולא לאביו ואינה צריכה ליתן תבן לפני </w:t>
      </w:r>
      <w:r>
        <w:rPr>
          <w:rFonts w:hint="cs"/>
        </w:rPr>
        <w:t>‍</w:t>
      </w:r>
      <w:r>
        <w:rPr>
          <w:rtl/>
        </w:rPr>
        <w:t xml:space="preserve">סוסיו וחמוריו אבל צריכה ליתן לפני בקר וצאן שלו לפרש"י ולדעת רב אלפס צריכה ליתן לפני בהמתו המיוחדת לו למרכבתו אבל לא לפני שאר בהמות ולא לבקר וצאן שלו הכניסה לו שפחה אחת או דמים שראוי לקנותה מהן </w:t>
      </w:r>
      <w:r>
        <w:rPr>
          <w:rFonts w:hint="cs"/>
        </w:rPr>
        <w:t>‍</w:t>
      </w:r>
      <w:r>
        <w:rPr>
          <w:rtl/>
        </w:rPr>
        <w:t>או שמצאה לו שפחה</w:t>
      </w:r>
      <w:r>
        <w:rPr>
          <w:rFonts w:hint="cs"/>
        </w:rPr>
        <w:t>‍</w:t>
      </w:r>
      <w:r>
        <w:rPr>
          <w:rtl/>
        </w:rPr>
        <w:t xml:space="preserve"> או דמים לקנותה </w:t>
      </w:r>
      <w:r>
        <w:rPr>
          <w:rFonts w:hint="cs"/>
        </w:rPr>
        <w:t>‍</w:t>
      </w:r>
      <w:r>
        <w:rPr>
          <w:rtl/>
        </w:rPr>
        <w:t xml:space="preserve"> </w:t>
      </w:r>
      <w:r>
        <w:rPr>
          <w:rFonts w:hint="cs"/>
        </w:rPr>
        <w:t>‍</w:t>
      </w:r>
      <w:r>
        <w:rPr>
          <w:rtl/>
        </w:rPr>
        <w:t xml:space="preserve">אינה טוחנת ואינה אופה ואינה מכבסת כתב הרמב"ם היא אומרת ראוי לו לקנות או לשכור שפחה והוא אומר אין ראוי עליה להביא ראיה </w:t>
      </w:r>
      <w:r>
        <w:rPr>
          <w:rFonts w:hint="cs"/>
        </w:rPr>
        <w:t>‍</w:t>
      </w:r>
      <w:r>
        <w:rPr>
          <w:rtl/>
        </w:rPr>
        <w:t xml:space="preserve">ואין כאן מקום לשבועה הכניסה לו שתים או דמיהן או שמצאה לו שתים או דמיהן אינה מבשלת ולא מניקה את בנו שלשה אינה מצעת לו את המטה לטרוח ולהביא את המצעות ולהפך בהם אבל פורסת את הסדין ומסדרת לו את המטה שהוא דרך חיבה </w:t>
      </w:r>
      <w:r>
        <w:rPr>
          <w:rFonts w:hint="cs"/>
        </w:rPr>
        <w:t>‍</w:t>
      </w:r>
      <w:r>
        <w:rPr>
          <w:rtl/>
        </w:rPr>
        <w:t xml:space="preserve">וראוי לכל אשה לעשות דבר זה לבעלה אפי' יש לה כמה שפחות וכן למזוג לו הכוס ולרחוץ פניו ידיו ורגליו </w:t>
      </w:r>
      <w:r>
        <w:rPr>
          <w:rFonts w:hint="cs"/>
        </w:rPr>
        <w:t>‍</w:t>
      </w:r>
      <w:r>
        <w:rPr>
          <w:rtl/>
        </w:rPr>
        <w:t xml:space="preserve">וכן צריכה לעשות בצמר אפי' יש לה כמה שפחות </w:t>
      </w:r>
      <w:r>
        <w:rPr>
          <w:rFonts w:hint="cs"/>
        </w:rPr>
        <w:t>‍</w:t>
      </w:r>
      <w:r>
        <w:rPr>
          <w:rtl/>
        </w:rPr>
        <w:t xml:space="preserve"> </w:t>
      </w:r>
      <w:r>
        <w:rPr>
          <w:rFonts w:hint="cs"/>
        </w:rPr>
        <w:t>‍</w:t>
      </w:r>
      <w:r>
        <w:rPr>
          <w:rtl/>
        </w:rPr>
        <w:t>שהבטלה מביאה לידי</w:t>
      </w:r>
      <w:r>
        <w:rPr>
          <w:rFonts w:hint="cs"/>
        </w:rPr>
        <w:t>‍</w:t>
      </w:r>
      <w:r>
        <w:rPr>
          <w:rtl/>
        </w:rPr>
        <w:t xml:space="preserve"> זימה וכ"כ הרמב"ם אבל אין כופין אותה לעשות מלאכה כל היום אלא לפי רוב הממון ממעטת המלאכה ומה עושה לו הכל כמנהג המדינה במקום שדרכה לארוג אורגת לרקום רוקמת לטוות פשתן או צמר טווה ואם לא היה דרך אנשי העיר לעשות כל המלאכות האלו אינו כופה לעשות אלא בצמר בלבד </w:t>
      </w:r>
      <w:r>
        <w:rPr>
          <w:rFonts w:hint="cs"/>
        </w:rPr>
        <w:t>‍</w:t>
      </w:r>
      <w:r>
        <w:rPr>
          <w:rtl/>
        </w:rPr>
        <w:t xml:space="preserve">שהפשתן מזיק הפה והשפתים והטווי היא מלאכה המיוחדת לנשים שנאמר וכל אשה חכמת לב בידיה טוו וה' מלאכות הן </w:t>
      </w:r>
      <w:r>
        <w:rPr>
          <w:rFonts w:hint="cs"/>
        </w:rPr>
        <w:t>‍</w:t>
      </w:r>
      <w:r>
        <w:rPr>
          <w:rtl/>
        </w:rPr>
        <w:t xml:space="preserve">שכל אשה עושה לבעלה טווה ורוחצת לו פניו ידיו ורגליו ומוזגת לו הכוס ומצעת לו המטה ועומדת לשמש לפניו </w:t>
      </w:r>
      <w:r>
        <w:rPr>
          <w:rFonts w:hint="cs"/>
        </w:rPr>
        <w:t>‍</w:t>
      </w:r>
      <w:r>
        <w:rPr>
          <w:rtl/>
        </w:rPr>
        <w:t xml:space="preserve">ושש מלאכות שמקצתן עושות ומקצתן אינן עושות כגון טוחנת ואופה ומבשלת ומכבסת ומניקה </w:t>
      </w:r>
      <w:r>
        <w:rPr>
          <w:rFonts w:hint="cs"/>
        </w:rPr>
        <w:t>‍</w:t>
      </w:r>
      <w:r>
        <w:rPr>
          <w:rtl/>
        </w:rPr>
        <w:t xml:space="preserve">ונותנת תבן לפני בהמתו ע"כ דחקה ועשתה מלאכה יותר ממה שהאשה חייבת פסק רב האי שהוא לבעל אפי' ביתרון </w:t>
      </w:r>
      <w:r>
        <w:rPr>
          <w:rFonts w:hint="cs"/>
        </w:rPr>
        <w:t>‍</w:t>
      </w:r>
      <w:r>
        <w:rPr>
          <w:rtl/>
        </w:rPr>
        <w:t xml:space="preserve">שבא ע"י הדחק ודוקא שדוחקת להרבות במלאכה כגון שעושה בלילה בשעה שבני אדם ישנים אכל אם עושה </w:t>
      </w:r>
      <w:r>
        <w:rPr>
          <w:rFonts w:hint="cs"/>
        </w:rPr>
        <w:t>‍</w:t>
      </w:r>
      <w:r>
        <w:rPr>
          <w:rtl/>
        </w:rPr>
        <w:t xml:space="preserve">ב' וג' מלאכות ביחד </w:t>
      </w:r>
      <w:r>
        <w:rPr>
          <w:rFonts w:hint="cs"/>
        </w:rPr>
        <w:t>‍</w:t>
      </w:r>
      <w:r>
        <w:rPr>
          <w:rtl/>
        </w:rPr>
        <w:t>המותר לעצמה ור"ח פסק דלא הוי המותר לבעל אלא במותר שלא ע"י הדחק אבל בכל שדחקה בין שעושה בלילה או שעשתה ב' וג' מלאכות ביחד הכל</w:t>
      </w:r>
      <w:r>
        <w:rPr>
          <w:rFonts w:hint="cs"/>
        </w:rPr>
        <w:t>‍</w:t>
      </w:r>
      <w:r>
        <w:rPr>
          <w:rtl/>
        </w:rPr>
        <w:t xml:space="preserve"> לעצמה </w:t>
      </w:r>
      <w:r>
        <w:rPr>
          <w:rFonts w:hint="cs"/>
        </w:rPr>
        <w:t>‍</w:t>
      </w:r>
      <w:r>
        <w:rPr>
          <w:rtl/>
        </w:rPr>
        <w:t xml:space="preserve">וא"א ז"ל הביא דברי שניהם </w:t>
      </w:r>
      <w:r>
        <w:rPr>
          <w:rFonts w:hint="cs"/>
        </w:rPr>
        <w:t>‍</w:t>
      </w:r>
      <w:r>
        <w:rPr>
          <w:rtl/>
        </w:rPr>
        <w:t xml:space="preserve">ולא פסק כמי </w:t>
      </w:r>
      <w:r>
        <w:rPr>
          <w:rFonts w:hint="cs"/>
        </w:rPr>
        <w:t>‍</w:t>
      </w:r>
      <w:r>
        <w:rPr>
          <w:rtl/>
        </w:rPr>
        <w:t xml:space="preserve">והרמב"ם כתב בסתם דחקה ועשתה יותר מהראוי לה המותר לבעלה וכל אלו המלאכות אין מחייבין אותה לא מכולן ולא במקצתן אא"כ יהיה דרך משפחתו ומשפחתה לעשותן אבל אם אין דרכן לעשותן אינה חייבת בהן כתב הרמב"ם אשה ששברה כלי בבית בעת מלאכתה פטורה ולא מן הדין אלא תקנה שאם אי אתה אומר כן אין שלום בבית לעולם שהיא נזהרת ונמנעת מרוב המלאכות ונמצאת קטטה בבית לעולם </w:t>
      </w:r>
      <w:r>
        <w:rPr>
          <w:rFonts w:hint="cs"/>
        </w:rPr>
        <w:t>‍</w:t>
      </w:r>
      <w:r>
        <w:rPr>
          <w:rtl/>
        </w:rPr>
        <w:t xml:space="preserve">כל המלאכות שהאשה עושה לבעלה נדה עושה לבעלה חוץ מהצעת המטה בפניו אבל שלא בפניו מותר ולא תמזוג לו כוס אפי' </w:t>
      </w:r>
      <w:r>
        <w:rPr>
          <w:rFonts w:hint="cs"/>
        </w:rPr>
        <w:t>‍</w:t>
      </w:r>
      <w:r>
        <w:rPr>
          <w:rtl/>
        </w:rPr>
        <w:t xml:space="preserve">להניחו בפניו על השלחן אם לא שינתה כגון ביד שמאל או תניחנו על הארץ או על ד"א ולא תצוק לו מים לרחוץ פניו ידיו ורגליו ואסור ליקח שום דבר מידו לידה או ליתנו לידה כתב הרמב"ם </w:t>
      </w:r>
      <w:r>
        <w:rPr>
          <w:rFonts w:hint="cs"/>
        </w:rPr>
        <w:t>‍</w:t>
      </w:r>
      <w:r>
        <w:rPr>
          <w:rtl/>
        </w:rPr>
        <w:t xml:space="preserve"> </w:t>
      </w:r>
      <w:r>
        <w:rPr>
          <w:rFonts w:hint="cs"/>
        </w:rPr>
        <w:t>‍</w:t>
      </w:r>
      <w:r>
        <w:rPr>
          <w:rtl/>
        </w:rPr>
        <w:t xml:space="preserve">כל אשה שתמנע מלעשות מלאכה שהיא חייבת לעשותה כופין אותה ועושה אפילו בשוטים והראב"ד השיג עליו ואומר מעולם לא שמעתי יסור שוטים לנשים אלא </w:t>
      </w:r>
      <w:r>
        <w:rPr>
          <w:rtl/>
        </w:rPr>
        <w:lastRenderedPageBreak/>
        <w:t xml:space="preserve">ממעט לה מזונותיה וצרכיה עד שתכנע </w:t>
      </w:r>
      <w:r>
        <w:rPr>
          <w:rFonts w:hint="cs"/>
        </w:rPr>
        <w:t>‍</w:t>
      </w:r>
      <w:r>
        <w:rPr>
          <w:rtl/>
        </w:rPr>
        <w:t xml:space="preserve">טען הוא שאינה עושה וטענה היא שעושה מושיבים אשה או שכינים ביניהם ודבר זה כפי מה שיראה הדיין שאפשר הדבר ע"כ </w:t>
      </w:r>
      <w:r>
        <w:rPr>
          <w:rFonts w:hint="cs"/>
        </w:rPr>
        <w:t>‍</w:t>
      </w:r>
      <w:r>
        <w:rPr>
          <w:rtl/>
        </w:rPr>
        <w:t xml:space="preserve">יראה שפוסק דמורדת ממלאכה הויא מורדת וא"כ קשה לדבריו למה לא יפחתו מכתובתה כדין מוררת מתשמיש </w:t>
      </w:r>
      <w:r>
        <w:rPr>
          <w:rFonts w:hint="cs"/>
        </w:rPr>
        <w:t>‍</w:t>
      </w:r>
      <w:r>
        <w:rPr>
          <w:rtl/>
        </w:rPr>
        <w:t xml:space="preserve">וא"א הרא"ש ז"ל כתב שאין כופין אותה דקי"ל כרב הונא דאמר אשה יכולה לומר לבעל איני ניזונית ואיני עושה לפיכך אם תרצה לא תעשה ולא תזון כתב ה"ר יונה דוקא בעיקר מעשה ידיה אבל המותר על ה' סלעים שהוא שלו ותקנו לה כנגדו מעה כסף אינה יכולה לומר איני נוטלת מעה כסף ואיני נותנת מותר לפי שתקנו לו מותר </w:t>
      </w:r>
      <w:r>
        <w:rPr>
          <w:rFonts w:hint="cs"/>
        </w:rPr>
        <w:t>‍</w:t>
      </w:r>
      <w:r>
        <w:rPr>
          <w:rtl/>
        </w:rPr>
        <w:t>משום חינא ובתר הכי תקנו לה כנגדו מעה כסף והרמ"ה כתב שגם במותר יכולה לומר איני נוטלת מעה כסף ואיני נותנת מותר:</w:t>
      </w:r>
    </w:p>
    <w:p w14:paraId="5B1E027C" w14:textId="39A5F8C1" w:rsidR="00AF3E0E" w:rsidRDefault="00AF3E0E" w:rsidP="00AF3E0E">
      <w:pPr>
        <w:pStyle w:val="Style1"/>
        <w:rPr>
          <w:rStyle w:val="Style1Char"/>
          <w:rtl/>
        </w:rPr>
      </w:pPr>
      <w:r>
        <w:rPr>
          <w:rStyle w:val="Style1Char"/>
          <w:rFonts w:hint="cs"/>
          <w:rtl/>
        </w:rPr>
        <w:t>3)[</w:t>
      </w:r>
      <w:r w:rsidRPr="00AF3E0E">
        <w:rPr>
          <w:rStyle w:val="Style1Char"/>
          <w:rtl/>
        </w:rPr>
        <w:t>רמב</w:t>
      </w:r>
      <w:r w:rsidR="005258D6">
        <w:rPr>
          <w:rStyle w:val="Style1Char"/>
          <w:rtl/>
        </w:rPr>
        <w:t>”ם \נזיקין\</w:t>
      </w:r>
      <w:r w:rsidRPr="00AF3E0E">
        <w:rPr>
          <w:rStyle w:val="Style1Char"/>
          <w:rtl/>
        </w:rPr>
        <w:t xml:space="preserve"> הלכות חובל ומזיק פרק ג הלכה ט</w:t>
      </w:r>
      <w:r>
        <w:rPr>
          <w:rStyle w:val="Style1Char"/>
          <w:rFonts w:hint="cs"/>
          <w:rtl/>
        </w:rPr>
        <w:t xml:space="preserve">] </w:t>
      </w:r>
      <w:r w:rsidRPr="00AF3E0E">
        <w:rPr>
          <w:rStyle w:val="Style1Char"/>
          <w:rtl/>
        </w:rPr>
        <w:t>וכמה הוא משלם, הבועט בחבירו ברגלו משלם חמשה סלעים, הכהו בארכובתו משלם שלשה סלעים, קבץ אצבעותיו כמו אוגד אגודה והכהו בידו כשהיא אגודה משלם שלשה עשר סלעים. תקע את חבירו בכפו משלם סלע, סטרו על פניו משלם חמשים סלע, סטרו באחר ידו משלם מאה סלע, וכן אם צרם באזנו או תלש בשערו או שרקק והגיע הרוק בבשרו או שהעביר טליתו מעליו או שפרע ראש האשה משלם מאה סלע. וכזה הוא משלם על כל מעשה ומעשה, כיצד, כגון שבעט בחבירו ארבע בעיטות אפילו זו אחר זו משלם עשרים סלע, סטרו על פניו שתי סטירות משלם מאה סלע וכן בשארן.</w:t>
      </w:r>
    </w:p>
    <w:p w14:paraId="1727EB67" w14:textId="1041E61F" w:rsidR="00AF3E0E" w:rsidRPr="00AF3E0E" w:rsidRDefault="00AF3E0E" w:rsidP="00AF3E0E">
      <w:pPr>
        <w:pStyle w:val="Style1"/>
      </w:pPr>
      <w:r>
        <w:rPr>
          <w:rStyle w:val="Style1Char"/>
          <w:rFonts w:hint="cs"/>
          <w:rtl/>
        </w:rPr>
        <w:t>3)[</w:t>
      </w:r>
      <w:r w:rsidRPr="00AF3E0E">
        <w:rPr>
          <w:rStyle w:val="Style1Char"/>
          <w:rtl/>
        </w:rPr>
        <w:t>שולחן ערוך חושן משפט הלכות חובל בחבירו סימן תכ סעיף לח</w:t>
      </w:r>
      <w:r>
        <w:rPr>
          <w:rStyle w:val="Style1Char"/>
          <w:rFonts w:hint="cs"/>
          <w:rtl/>
        </w:rPr>
        <w:t xml:space="preserve">] </w:t>
      </w:r>
      <w:r w:rsidRPr="00AF3E0E">
        <w:rPr>
          <w:rtl/>
        </w:rPr>
        <w:t>רקק בחבירו חייב אבל רקק בבגדיו או שביישו בדברים פטור ויש לב"ד בכל מקום ובכל זמן לגדור כפי מה שיראו ויש אומרי' שמנדין אותו עד שיפייס המבוייש</w:t>
      </w:r>
      <w:r w:rsidRPr="00AF3E0E">
        <w:t>:</w:t>
      </w:r>
    </w:p>
    <w:p w14:paraId="717E87BC" w14:textId="77777777" w:rsidR="00AF3E0E" w:rsidRPr="00AF3E0E" w:rsidRDefault="00AF3E0E" w:rsidP="00AF3E0E">
      <w:pPr>
        <w:pStyle w:val="Style1"/>
      </w:pPr>
      <w:r w:rsidRPr="00AF3E0E">
        <w:rPr>
          <w:rFonts w:hint="cs"/>
          <w:rtl/>
        </w:rPr>
        <w:t>הגה: וי"א דמכין אותו מכת מרדות (ב"י ס"ס ת' בשם מרדכי פ' הזהב). והמוציא שם רע על חבירו הוי בכלל המבייש בדברים (פסקי מהרא"י סי' רי"ב ות"ה סי' ש"ז)</w:t>
      </w:r>
      <w:r w:rsidRPr="00AF3E0E">
        <w:rPr>
          <w:rFonts w:hint="cs"/>
        </w:rPr>
        <w:t>.</w:t>
      </w:r>
    </w:p>
    <w:p w14:paraId="1E2A35C7" w14:textId="77777777" w:rsidR="00AF3E0E" w:rsidRPr="00AF3E0E" w:rsidRDefault="00AF3E0E" w:rsidP="00AF3E0E">
      <w:pPr>
        <w:pStyle w:val="Style1"/>
      </w:pPr>
      <w:r w:rsidRPr="00AF3E0E">
        <w:rPr>
          <w:rFonts w:hint="cs"/>
          <w:rtl/>
        </w:rPr>
        <w:t>המקנטר חבירו ואמר ליה איני מומר ואיני עבריין אע"פ שלא אמר כמוך הוי כאילו פי' כמוך (ב"י מצא כתוב ומהרי"ו סי' קמ"ז)</w:t>
      </w:r>
      <w:r w:rsidRPr="00AF3E0E">
        <w:rPr>
          <w:rFonts w:hint="cs"/>
        </w:rPr>
        <w:t>.</w:t>
      </w:r>
    </w:p>
    <w:p w14:paraId="545DDE25" w14:textId="77777777" w:rsidR="00AF3E0E" w:rsidRPr="00AF3E0E" w:rsidRDefault="00AF3E0E" w:rsidP="00AF3E0E">
      <w:pPr>
        <w:pStyle w:val="Style1"/>
      </w:pPr>
      <w:r w:rsidRPr="00AF3E0E">
        <w:rPr>
          <w:rFonts w:hint="cs"/>
          <w:rtl/>
        </w:rPr>
        <w:t>האומר לחבירו הרי אתה עושה כמו ממזר או אתה כממזר -- אינו כלום (מהר"יו סי' נ"ט). ויש חולקין וסבירא להו שאם אומר אתה כממזר כאלו קראו ממזר (פסקי מהרא"י סי' רנ"ז וסי' קל"ה ומהרי"ט ס' קכ"ז ואגודה פ"ב דיומא). אבל אם אומר אתה מכזב כמו ממזר עד שתברר דבר זה או כיוצא בזה שהטיל בדבר תנאי אינו כלום (פסקי מהרא"י סי' קל"ה)</w:t>
      </w:r>
      <w:r w:rsidRPr="00AF3E0E">
        <w:rPr>
          <w:rFonts w:hint="cs"/>
        </w:rPr>
        <w:t>.</w:t>
      </w:r>
    </w:p>
    <w:p w14:paraId="30201CE4" w14:textId="77777777" w:rsidR="00AF3E0E" w:rsidRPr="00AF3E0E" w:rsidRDefault="00AF3E0E" w:rsidP="00AF3E0E">
      <w:pPr>
        <w:pStyle w:val="Style1"/>
      </w:pPr>
      <w:r w:rsidRPr="00AF3E0E">
        <w:rPr>
          <w:rFonts w:hint="cs"/>
          <w:rtl/>
        </w:rPr>
        <w:t>האומר לחבירו פסול אתה -- י"א דיכול לתרץ דפסול משום קורבה קאמר ואין זה ביוש (מהרי"ו סי' נ"ט) ויש חולקין (מהר"ם מריזבורק)</w:t>
      </w:r>
      <w:r w:rsidRPr="00AF3E0E">
        <w:rPr>
          <w:rFonts w:hint="cs"/>
        </w:rPr>
        <w:t>.</w:t>
      </w:r>
    </w:p>
    <w:p w14:paraId="5B011C6F" w14:textId="77777777" w:rsidR="00AF3E0E" w:rsidRPr="00AF3E0E" w:rsidRDefault="00AF3E0E" w:rsidP="00AF3E0E">
      <w:pPr>
        <w:pStyle w:val="Style1"/>
      </w:pPr>
      <w:r w:rsidRPr="00AF3E0E">
        <w:rPr>
          <w:rFonts w:hint="cs"/>
          <w:rtl/>
        </w:rPr>
        <w:t>המדבר רע על שוכני עפר -- צריך לקבל עליו תעניות ותשובה ועונש ממון כפי ראות ב"ד (מרדכי פ' החובל). ואם קבורים בסמוך לו -- ילך על קבריהם ולבקש מהם מחילה. ואם הם רחוקים ישלח שם שלוחו (מהר"ם מריזבורק)</w:t>
      </w:r>
      <w:r w:rsidRPr="00AF3E0E">
        <w:rPr>
          <w:rFonts w:hint="cs"/>
        </w:rPr>
        <w:t>.</w:t>
      </w:r>
    </w:p>
    <w:p w14:paraId="54ACC4B6" w14:textId="77777777" w:rsidR="00AF3E0E" w:rsidRPr="00AF3E0E" w:rsidRDefault="00AF3E0E" w:rsidP="00AF3E0E">
      <w:pPr>
        <w:pStyle w:val="Style1"/>
      </w:pPr>
      <w:r w:rsidRPr="00AF3E0E">
        <w:rPr>
          <w:rFonts w:hint="cs"/>
          <w:rtl/>
        </w:rPr>
        <w:t>ואם כופר המבייש, אם הוא ביוש של שוכני עפר, יתנו חרם בעדות אבל לא על ביושים אחרים (מרדכי הנ"ל מהרי"ו סי' כ"ח)</w:t>
      </w:r>
      <w:r w:rsidRPr="00AF3E0E">
        <w:rPr>
          <w:rFonts w:hint="cs"/>
        </w:rPr>
        <w:t>.</w:t>
      </w:r>
    </w:p>
    <w:p w14:paraId="030353A9" w14:textId="77777777" w:rsidR="00AF3E0E" w:rsidRPr="00AF3E0E" w:rsidRDefault="00AF3E0E" w:rsidP="00AF3E0E">
      <w:pPr>
        <w:pStyle w:val="Style1"/>
      </w:pPr>
      <w:r w:rsidRPr="00AF3E0E">
        <w:rPr>
          <w:rFonts w:hint="cs"/>
          <w:rtl/>
        </w:rPr>
        <w:t>ונראה דהכל לפי ראות ב"ד. ועיין לעיל </w:t>
      </w:r>
      <w:hyperlink r:id="rId146" w:anchor="%D7%A1%D7%A2%D7%99%D7%A3_%D7%9B%D7%94" w:tooltip="שולחן ערוך חושן משפט פז" w:history="1">
        <w:r w:rsidRPr="00AF3E0E">
          <w:rPr>
            <w:rStyle w:val="Hyperlink"/>
            <w:rFonts w:hint="cs"/>
            <w:color w:val="7030A0"/>
            <w:u w:val="none"/>
            <w:rtl/>
          </w:rPr>
          <w:t>סי' פ"ז סעיף כ"ה</w:t>
        </w:r>
      </w:hyperlink>
      <w:r w:rsidRPr="00AF3E0E">
        <w:rPr>
          <w:rFonts w:hint="cs"/>
        </w:rPr>
        <w:t>.</w:t>
      </w:r>
    </w:p>
    <w:p w14:paraId="31AD3032" w14:textId="77777777" w:rsidR="00AF3E0E" w:rsidRPr="00AF3E0E" w:rsidRDefault="00AF3E0E" w:rsidP="00AF3E0E">
      <w:pPr>
        <w:pStyle w:val="Style1"/>
      </w:pPr>
      <w:r w:rsidRPr="00AF3E0E">
        <w:rPr>
          <w:rFonts w:hint="cs"/>
          <w:rtl/>
        </w:rPr>
        <w:t>הקורא לחבירו מלשין בן מלשין אם הוא לבד מלשין פטור. וכן אם קורא לרשע בן צדיק רשע בן רשע (הגהות מרדכי)</w:t>
      </w:r>
      <w:r w:rsidRPr="00AF3E0E">
        <w:rPr>
          <w:rFonts w:hint="cs"/>
        </w:rPr>
        <w:t>.</w:t>
      </w:r>
    </w:p>
    <w:p w14:paraId="5C1EB1AD" w14:textId="4B25F413" w:rsidR="00AF3E0E" w:rsidRDefault="00AF3E0E" w:rsidP="00AF3E0E">
      <w:pPr>
        <w:pStyle w:val="Style1"/>
        <w:rPr>
          <w:rtl/>
        </w:rPr>
      </w:pPr>
      <w:r w:rsidRPr="00AF3E0E">
        <w:rPr>
          <w:rFonts w:hint="cs"/>
          <w:rtl/>
        </w:rPr>
        <w:t>הקורא לחבירו עבד או ממזר והוא אמת פטור אבל אם לא יוכל לברר אע"ג דשמע כן שאחרים דברו כך לא נפטר בכך (נימוקי מהר"ם וע"ל </w:t>
      </w:r>
      <w:hyperlink r:id="rId147" w:anchor="%D7%A1%D7%A2%D7%99%D7%A3_%D7%92" w:tooltip="שולחן ערוך חושן משפט תכא" w:history="1">
        <w:r w:rsidRPr="00AF3E0E">
          <w:rPr>
            <w:rStyle w:val="Hyperlink"/>
            <w:rFonts w:hint="cs"/>
            <w:color w:val="7030A0"/>
            <w:u w:val="none"/>
            <w:rtl/>
          </w:rPr>
          <w:t>סי' תכ"א ס"ג</w:t>
        </w:r>
      </w:hyperlink>
      <w:r w:rsidRPr="00AF3E0E">
        <w:rPr>
          <w:rFonts w:hint="cs"/>
        </w:rPr>
        <w:t>)</w:t>
      </w:r>
      <w:r w:rsidRPr="00AF3E0E">
        <w:t>:</w:t>
      </w:r>
    </w:p>
    <w:p w14:paraId="74E4D081" w14:textId="18BFE7D6" w:rsidR="00AF3E0E" w:rsidRPr="00AF3E0E" w:rsidRDefault="00AF3E0E" w:rsidP="00AF3E0E">
      <w:pPr>
        <w:pStyle w:val="Style1"/>
      </w:pPr>
      <w:r>
        <w:rPr>
          <w:rFonts w:hint="cs"/>
          <w:rtl/>
        </w:rPr>
        <w:t>3)[</w:t>
      </w:r>
      <w:r>
        <w:rPr>
          <w:rtl/>
        </w:rPr>
        <w:t>שולחן ערוך חושן משפט הלכות חובל בחבירו סימן תכ סעיף מא</w:t>
      </w:r>
      <w:r>
        <w:rPr>
          <w:rFonts w:hint="cs"/>
          <w:rtl/>
        </w:rPr>
        <w:t xml:space="preserve">] </w:t>
      </w:r>
      <w:r w:rsidRPr="00AF3E0E">
        <w:rPr>
          <w:rtl/>
        </w:rPr>
        <w:t>יש הכאות רבות שיש בהם ביזוי וצער מעט ואין בהם נזק וכבר פסקו להם חכמים דמים קצובים וכל המכה את חבירו הכאה מהן משלם אותו הממון הקצוב וכולם קנסות הן ואותו הממון הקצוב הוא דמי הצער והבושת והריפוי והשבת בין צריך לרפואה בין לא צריך זהו משלם וכמה הוא משלם הבועט בחבירו ברגלו משלם ה' סלעים הכהו בארכובתו משלם ג' סלעים קבץ אצבעותיו כמו אוגד אגודה והכהו בידו כשהיא אגודה משלם י"ג סלעים תקע את חבירו בכפו משלם סלע סטרו על פניו משלם חמשים סלעים סטרו באחורי ידו משלם ק' סלעים וכן אם צרם באזנו או תלש בשערו או רקק והגיע בו הרוק משלם מאה סלעים וכזה הוא משלם על כל מעשה ומעשה כיצד כגון שבעט בחבירו ארבע בעיטות אפי' זו אחר זו משלם עשרים סלעי' סטרו על פניו שתי סטירות משלם מאה סלע וכן בשאר</w:t>
      </w:r>
      <w:r w:rsidRPr="00AF3E0E">
        <w:t>:</w:t>
      </w:r>
    </w:p>
    <w:p w14:paraId="091FC8D2" w14:textId="0078DA4A" w:rsidR="00AF3E0E" w:rsidRDefault="00AF3E0E" w:rsidP="00AF3E0E">
      <w:pPr>
        <w:pStyle w:val="Style1"/>
        <w:rPr>
          <w:rtl/>
        </w:rPr>
      </w:pPr>
      <w:r w:rsidRPr="00AF3E0E">
        <w:rPr>
          <w:rFonts w:hint="cs"/>
          <w:rtl/>
        </w:rPr>
        <w:t>הגה: (י"א אע"ג דאיתא בגמ' הקורא לחבירו ממזר סופג ארבעים מ"מ יש מקומות שאין נוהגין כן והולכין אחר המנהג) (הרא"ש כלל ק"א סי' א') ונ"ל דה"ה באלו הדברים הנזכרים</w:t>
      </w:r>
      <w:r w:rsidRPr="00AF3E0E">
        <w:t>:</w:t>
      </w:r>
    </w:p>
    <w:p w14:paraId="375AF398" w14:textId="584ED308" w:rsidR="00210DA1" w:rsidRDefault="00210DA1" w:rsidP="00210DA1">
      <w:pPr>
        <w:pStyle w:val="Style1"/>
        <w:rPr>
          <w:rtl/>
        </w:rPr>
      </w:pPr>
      <w:r>
        <w:rPr>
          <w:rFonts w:hint="cs"/>
          <w:rtl/>
        </w:rPr>
        <w:t>4)[</w:t>
      </w:r>
      <w:r>
        <w:rPr>
          <w:rtl/>
        </w:rPr>
        <w:t>רמב</w:t>
      </w:r>
      <w:r w:rsidR="00213DA1">
        <w:rPr>
          <w:rtl/>
        </w:rPr>
        <w:t>”ם \נשים\</w:t>
      </w:r>
      <w:r>
        <w:rPr>
          <w:rtl/>
        </w:rPr>
        <w:t xml:space="preserve"> הלכות אישות פרק כג הלכה טו</w:t>
      </w:r>
      <w:r>
        <w:rPr>
          <w:rFonts w:hint="cs"/>
          <w:rtl/>
        </w:rPr>
        <w:t xml:space="preserve">] </w:t>
      </w:r>
      <w:r>
        <w:rPr>
          <w:rtl/>
        </w:rPr>
        <w:t>האב שפסק על ידי בתו לא קנת הבת אותה המתנה עד שיכנוס אותה בעלה וכן הבן לא קנה עד שיכנוס, שכל הפוסק אינו פוסק אלא על מנת לכנוס, לפיכך הפוסק מעות לחתנו ומת קודם שיכנוס ונפלה לפני אחיו ליבום יכול האב לומר ליבם לאחיך הייתי רוצה ליתן ולך איני רוצה ליתן, ואפילו היה הראשון עם הארץ והשני חכם ואף על פי שהבת רוצה בו.</w:t>
      </w:r>
    </w:p>
    <w:p w14:paraId="154E7A13" w14:textId="2025A231" w:rsidR="00AF3E0E" w:rsidRDefault="00CD66F1" w:rsidP="00CD66F1">
      <w:pPr>
        <w:pStyle w:val="Style1"/>
        <w:rPr>
          <w:rtl/>
        </w:rPr>
      </w:pPr>
      <w:r>
        <w:rPr>
          <w:rFonts w:hint="cs"/>
          <w:rtl/>
        </w:rPr>
        <w:t>4)[</w:t>
      </w:r>
      <w:r>
        <w:rPr>
          <w:rtl/>
        </w:rPr>
        <w:t>שולחן ערוך אבן העזר הלכות קידושין סימן נג סעיף א</w:t>
      </w:r>
      <w:r>
        <w:rPr>
          <w:rFonts w:hint="cs"/>
          <w:rtl/>
        </w:rPr>
        <w:t>]</w:t>
      </w:r>
      <w:r w:rsidRPr="00CD66F1">
        <w:rPr>
          <w:rFonts w:ascii="Arial" w:hAnsi="Arial"/>
          <w:color w:val="202122"/>
          <w:sz w:val="21"/>
          <w:szCs w:val="21"/>
          <w:shd w:val="clear" w:color="auto" w:fill="FFFFFF"/>
          <w:rtl/>
        </w:rPr>
        <w:t xml:space="preserve"> </w:t>
      </w:r>
      <w:r w:rsidRPr="00CD66F1">
        <w:rPr>
          <w:rtl/>
        </w:rPr>
        <w:t>האב שפסק על ידי בתו, לא קנתה הבת אותה המתנה עד שיכנוס אותה בעלה. וכן הבן לא קנה עד שיכניס, שכל הפוסק אינו פוסק אלא על מנת לכנוס. לפיכך, הפוסק מעות לחתנו </w:t>
      </w:r>
      <w:r w:rsidRPr="00CD66F1">
        <w:rPr>
          <w:rFonts w:hint="cs"/>
          <w:rtl/>
        </w:rPr>
        <w:t>או לבנו</w:t>
      </w:r>
      <w:r w:rsidRPr="00CD66F1">
        <w:t xml:space="preserve">, </w:t>
      </w:r>
      <w:r w:rsidRPr="00CD66F1">
        <w:rPr>
          <w:rtl/>
        </w:rPr>
        <w:t>ומת קודם שיכנוס, ונפלה לפני אחיו ליבם, יכול האב לומר ליבם לאחיך הייתי רוצה ליתן, ולך איני רוצה ליתן. ואפילו היה הראשון עם הארץ והשני חכם, ואף על פי שהבת רוצה בו</w:t>
      </w:r>
      <w:r w:rsidRPr="00CD66F1">
        <w:t>:</w:t>
      </w:r>
    </w:p>
    <w:p w14:paraId="5C68300E" w14:textId="14242D43" w:rsidR="00CD66F1" w:rsidRDefault="00CD66F1" w:rsidP="00CD66F1">
      <w:pPr>
        <w:pStyle w:val="Style1"/>
        <w:rPr>
          <w:rtl/>
        </w:rPr>
      </w:pPr>
      <w:r>
        <w:rPr>
          <w:rFonts w:hint="cs"/>
          <w:rtl/>
        </w:rPr>
        <w:t>4)[</w:t>
      </w:r>
      <w:r>
        <w:rPr>
          <w:rtl/>
        </w:rPr>
        <w:t>שולחן ערוך אבן העזר הלכות קידושין סימן נג סעיף ב</w:t>
      </w:r>
      <w:r>
        <w:rPr>
          <w:rFonts w:hint="cs"/>
          <w:rtl/>
        </w:rPr>
        <w:t xml:space="preserve">] </w:t>
      </w:r>
      <w:r w:rsidRPr="00CD66F1">
        <w:rPr>
          <w:rtl/>
        </w:rPr>
        <w:t>יש מי שאומר, שהפוסק לבתו כגון שאמר בשעת קדושין: כך וכך אני נותן לבתי, קנתה הבת לענין שאם נתיבמה לא מצי למימר לאחיך הייתי רוצה ליתן, שהרי לבתו פסק ולא פקעו הקדושין שמכחם יבמה אחיו</w:t>
      </w:r>
      <w:r w:rsidRPr="00CD66F1">
        <w:t>:</w:t>
      </w:r>
    </w:p>
    <w:p w14:paraId="4AE91731" w14:textId="7888A5A2" w:rsidR="00CD66F1" w:rsidRDefault="00CD66F1" w:rsidP="00CD66F1">
      <w:pPr>
        <w:pStyle w:val="Style1"/>
        <w:rPr>
          <w:rtl/>
        </w:rPr>
      </w:pPr>
      <w:r>
        <w:rPr>
          <w:rFonts w:hint="cs"/>
          <w:rtl/>
        </w:rPr>
        <w:t>5)[</w:t>
      </w:r>
      <w:r>
        <w:rPr>
          <w:rtl/>
        </w:rPr>
        <w:t>רמב</w:t>
      </w:r>
      <w:r w:rsidR="00213DA1">
        <w:rPr>
          <w:rtl/>
        </w:rPr>
        <w:t>”ם \נשים\</w:t>
      </w:r>
      <w:r>
        <w:rPr>
          <w:rtl/>
        </w:rPr>
        <w:t xml:space="preserve"> הלכות אישות פרק כג הלכה יא</w:t>
      </w:r>
      <w:r>
        <w:rPr>
          <w:rFonts w:hint="cs"/>
          <w:rtl/>
        </w:rPr>
        <w:t xml:space="preserve">] </w:t>
      </w:r>
      <w:r>
        <w:rPr>
          <w:rtl/>
        </w:rPr>
        <w:t>מנהגות רבות יש בנדוניא, יש מקומות שנהגו שיכתבו בכתובה הנדוניא ביתר על דמיה בשליש או בחמיש או במחצה, כגון שתהיה נדוניתה מאה וכותבים שהכניסה לו מאה וחמשים כדי להרבות בפני העם וכשתבוא לגבות לא תגבה אלא המאה. ויש מקומות שנהגו לכתוב בפחות ואם פסקה להביא לו במאה כלים נותנת שוה מאה ועשרים או מאה וחמשים וכותבין שהכניסה לו מאה, ויש מקומות שנהגו לכתוב שוה בשוה, ויש מקומות שנהגו שיתן האיש מעות לפי הנדוניא דבר קצוב שתתקשט בו הכלה ותקנה בו בשמים וכיוצא בהן, ויש מקומות שיכניס האיש שום משלו לאשה יצטרף לנדוניתה להתנאות בו.</w:t>
      </w:r>
    </w:p>
    <w:p w14:paraId="1F70ED08" w14:textId="5A78FF31" w:rsidR="008B57FD" w:rsidRPr="008B57FD" w:rsidRDefault="00CD66F1" w:rsidP="008B57FD">
      <w:pPr>
        <w:pStyle w:val="Style1"/>
      </w:pPr>
      <w:r>
        <w:rPr>
          <w:rFonts w:hint="cs"/>
          <w:rtl/>
        </w:rPr>
        <w:t>5)[</w:t>
      </w:r>
      <w:r>
        <w:rPr>
          <w:rtl/>
        </w:rPr>
        <w:t>שולחן ערוך אבן העזר הלכות כתובות סימן סו סעיף יא</w:t>
      </w:r>
      <w:r>
        <w:rPr>
          <w:rFonts w:hint="cs"/>
          <w:rtl/>
        </w:rPr>
        <w:t>]</w:t>
      </w:r>
      <w:r w:rsidR="008B57FD">
        <w:t xml:space="preserve"> </w:t>
      </w:r>
      <w:r w:rsidR="008B57FD" w:rsidRPr="008B57FD">
        <w:rPr>
          <w:rtl/>
        </w:rPr>
        <w:t>הנושא אשה סתם, כותב לפי המנהג. וכן היא שפסקה להכניס, נותנת כפי מנהג המדינה</w:t>
      </w:r>
      <w:r w:rsidR="008B57FD" w:rsidRPr="008B57FD">
        <w:t>.</w:t>
      </w:r>
    </w:p>
    <w:p w14:paraId="4A420BAC" w14:textId="77777777" w:rsidR="008B57FD" w:rsidRPr="008B57FD" w:rsidRDefault="008B57FD" w:rsidP="008B57FD">
      <w:pPr>
        <w:pStyle w:val="Style1"/>
      </w:pPr>
      <w:r w:rsidRPr="008B57FD">
        <w:rPr>
          <w:rFonts w:hint="cs"/>
          <w:rtl/>
        </w:rPr>
        <w:t>הגה: ומה שהאשה מכנסת לבעלה, הן מעות הן בגדים, ומקבלן עליו והן באחריותו, נקרא "נדוניא" בכל מקום, ואינה נגבית אלא עם הכתובה; אבל לשאר דברים אין דינו ככתובה, וכמו שיתבאר לקמן. ויש מקומות שהחתן מוסיף לה בנדוניתא, וכותב יותר ממה שקבל, והולכין בזה אחר המנהג (כל הנ"ל בטור). ומן הסתם אחריות הנדוניא עליו כנכסי צאן ברזל, אבל אם ירצה להניח לה ברשותה ושלא לקבל אחריות עליהם, הרשות בידו. ועיין לקמן ריש </w:t>
      </w:r>
      <w:hyperlink r:id="rId148" w:tooltip="שולחן ערוך אבן העזר צג" w:history="1">
        <w:r w:rsidRPr="008B57FD">
          <w:rPr>
            <w:rStyle w:val="Hyperlink"/>
            <w:rFonts w:hint="cs"/>
            <w:color w:val="7030A0"/>
            <w:u w:val="none"/>
            <w:rtl/>
          </w:rPr>
          <w:t>סימן צ"ג</w:t>
        </w:r>
      </w:hyperlink>
      <w:r w:rsidRPr="008B57FD">
        <w:rPr>
          <w:rFonts w:hint="cs"/>
        </w:rPr>
        <w:t> </w:t>
      </w:r>
      <w:hyperlink r:id="rId149" w:tooltip="שולחן ערוך אבן העזר ק" w:history="1">
        <w:r w:rsidRPr="008B57FD">
          <w:rPr>
            <w:rStyle w:val="Hyperlink"/>
            <w:rFonts w:hint="cs"/>
            <w:color w:val="7030A0"/>
            <w:u w:val="none"/>
            <w:rtl/>
          </w:rPr>
          <w:t>וק</w:t>
        </w:r>
        <w:r w:rsidRPr="008B57FD">
          <w:rPr>
            <w:rStyle w:val="Hyperlink"/>
            <w:rFonts w:hint="cs"/>
            <w:color w:val="7030A0"/>
            <w:u w:val="none"/>
          </w:rPr>
          <w:t>'</w:t>
        </w:r>
      </w:hyperlink>
      <w:r w:rsidRPr="008B57FD">
        <w:rPr>
          <w:rFonts w:hint="cs"/>
        </w:rPr>
        <w:t> </w:t>
      </w:r>
      <w:r w:rsidRPr="008B57FD">
        <w:rPr>
          <w:rFonts w:hint="cs"/>
          <w:rtl/>
        </w:rPr>
        <w:t>עוד מאלו הדינים</w:t>
      </w:r>
      <w:r w:rsidRPr="008B57FD">
        <w:rPr>
          <w:rFonts w:hint="cs"/>
        </w:rPr>
        <w:t>.</w:t>
      </w:r>
      <w:r w:rsidRPr="008B57FD">
        <w:rPr>
          <w:rFonts w:hint="cs"/>
        </w:rPr>
        <w:br/>
      </w:r>
      <w:r w:rsidRPr="008B57FD">
        <w:rPr>
          <w:rFonts w:hint="cs"/>
          <w:rtl/>
        </w:rPr>
        <w:t>כשהאב קיים ומשיא בתו, כותבים: "ודין הנדוניא דהנעלת לה מבי אבוה"; וכשאין האב קיים, כותבים: "מבי נשא" (מרדכי פרק ב"מ בשם רבנו תם). מיהו, אם שינה, לית לן בה (תשובת ר"ש משנץ). בכתובת גרושה כותבין: מתרוכתא, כדי שידעו שהיא גרושה ואסורה לכהנים (פסקי מהרא"י סימן צ')</w:t>
      </w:r>
      <w:r w:rsidRPr="008B57FD">
        <w:rPr>
          <w:rFonts w:hint="cs"/>
        </w:rPr>
        <w:t>.</w:t>
      </w:r>
    </w:p>
    <w:p w14:paraId="62C68F10" w14:textId="77777777" w:rsidR="008B57FD" w:rsidRPr="008B57FD" w:rsidRDefault="008B57FD" w:rsidP="008B57FD">
      <w:pPr>
        <w:pStyle w:val="Style1"/>
      </w:pPr>
      <w:r w:rsidRPr="008B57FD">
        <w:rPr>
          <w:rtl/>
        </w:rPr>
        <w:lastRenderedPageBreak/>
        <w:t>וכשבאה לגבות כתובתה, מגבין לה מה שבכתובתה לפי מנהג המדינה</w:t>
      </w:r>
      <w:r w:rsidRPr="008B57FD">
        <w:t>.</w:t>
      </w:r>
    </w:p>
    <w:p w14:paraId="766B40E3" w14:textId="77777777" w:rsidR="008B57FD" w:rsidRPr="008B57FD" w:rsidRDefault="008B57FD" w:rsidP="008B57FD">
      <w:pPr>
        <w:pStyle w:val="Style1"/>
      </w:pPr>
      <w:r w:rsidRPr="008B57FD">
        <w:rPr>
          <w:rFonts w:hint="cs"/>
          <w:rtl/>
        </w:rPr>
        <w:t>הגה: ואם היא אומרת שהוסיף לה יותר מן המנהג, צריכה להביא ראיה לדבריה; אבל אם יש בידה שטר כתובה שאינו מקוים, או שאחד מן העדים הוא פסול, אף על פי שמראה התנאים שביניהם שהוצרך להוסיף לה, אינה גובאת אלא כמנהג (פסקי מהרא"י סימן פ"ט). ועיין לקמן </w:t>
      </w:r>
      <w:hyperlink r:id="rId150" w:anchor="%D7%A1%D7%A2%D7%99%D7%A3_%D7%9C" w:tooltip="שולחן ערוך אבן העזר ק" w:history="1">
        <w:r w:rsidRPr="008B57FD">
          <w:rPr>
            <w:rStyle w:val="Hyperlink"/>
            <w:rFonts w:hint="cs"/>
            <w:color w:val="7030A0"/>
            <w:u w:val="none"/>
            <w:rtl/>
          </w:rPr>
          <w:t>סימן ק' סעיף ל</w:t>
        </w:r>
        <w:r w:rsidRPr="008B57FD">
          <w:rPr>
            <w:rStyle w:val="Hyperlink"/>
            <w:rFonts w:hint="cs"/>
            <w:color w:val="7030A0"/>
            <w:u w:val="none"/>
          </w:rPr>
          <w:t>'</w:t>
        </w:r>
      </w:hyperlink>
      <w:r w:rsidRPr="008B57FD">
        <w:t>.</w:t>
      </w:r>
    </w:p>
    <w:p w14:paraId="0BA529C5" w14:textId="77777777" w:rsidR="008B57FD" w:rsidRPr="008B57FD" w:rsidRDefault="008B57FD" w:rsidP="008B57FD">
      <w:pPr>
        <w:pStyle w:val="Style1"/>
      </w:pPr>
      <w:r w:rsidRPr="008B57FD">
        <w:rPr>
          <w:rtl/>
        </w:rPr>
        <w:t>ובכל אלו הדברים וכיוצא בהן, מנהג המדינה הוא עיקר, ועל פיו דנין, והוא שיהיה אותו המנהג פשוט בכל המדינה</w:t>
      </w:r>
      <w:r w:rsidRPr="008B57FD">
        <w:t>.</w:t>
      </w:r>
    </w:p>
    <w:p w14:paraId="5A403438" w14:textId="77777777" w:rsidR="008B57FD" w:rsidRPr="008B57FD" w:rsidRDefault="008B57FD" w:rsidP="008B57FD">
      <w:pPr>
        <w:pStyle w:val="Style1"/>
      </w:pPr>
      <w:r w:rsidRPr="008B57FD">
        <w:rPr>
          <w:rFonts w:hint="cs"/>
          <w:rtl/>
        </w:rPr>
        <w:t>הגה: מיהו, אם רוצה להתנות ולפחת לאשתו מן המנהג, הרשות בידו (מהרי"ל סימן ע"ו), ובלבד שלא יפחת ממה שתקנו רבנן. ונראה לי, דוקא שהתנה כן בשעה שעשה השדוכים, אבל אם עשו שדוכים סתם, ושעבדו עצמן בקנסות, צריך לכתוב לפי המנהג ולא יוכל לשנות (דברי הרב, וכן משמע במהרי"ל). ויש מקומות שנוהגים לכתוב כל הכתובות בשוה, אפילו לא הכניסה לו כלום, ואם ירצה מוסיף לה, ואם ירצה לפחת לה היא כותבת לו: כך וכך קבלתי על כתובתי; וכן נוהגין</w:t>
      </w:r>
    </w:p>
    <w:p w14:paraId="286F443E" w14:textId="77777777" w:rsidR="008B57FD" w:rsidRPr="008B57FD" w:rsidRDefault="008B57FD" w:rsidP="008B57FD">
      <w:pPr>
        <w:pStyle w:val="Style1"/>
      </w:pPr>
    </w:p>
    <w:p w14:paraId="0A115B51" w14:textId="5E9EBC32" w:rsidR="00AF3E0E" w:rsidRPr="008B57FD" w:rsidRDefault="00AF3E0E" w:rsidP="008B57FD">
      <w:pPr>
        <w:pStyle w:val="Style1"/>
      </w:pPr>
    </w:p>
    <w:p w14:paraId="6617E1F0" w14:textId="77777777" w:rsidR="00AF3E0E" w:rsidRPr="00AF3E0E" w:rsidRDefault="00AF3E0E" w:rsidP="00AF3E0E">
      <w:pPr>
        <w:pStyle w:val="Style1"/>
        <w:rPr>
          <w:rStyle w:val="Style1Char"/>
        </w:rPr>
      </w:pPr>
    </w:p>
    <w:p w14:paraId="54B831CE" w14:textId="00FBFC11" w:rsidR="00AF3E0E" w:rsidRPr="00AF3E0E" w:rsidRDefault="00AF3E0E" w:rsidP="00AF3E0E">
      <w:pPr>
        <w:pStyle w:val="Style1"/>
        <w:rPr>
          <w:rStyle w:val="Style1Char"/>
          <w:rtl/>
        </w:rPr>
      </w:pPr>
    </w:p>
    <w:p w14:paraId="51FE7DA0" w14:textId="77777777" w:rsidR="00FA0114" w:rsidRPr="00AF3E0E" w:rsidRDefault="00FA0114" w:rsidP="00AF3E0E">
      <w:pPr>
        <w:pStyle w:val="Style1"/>
        <w:rPr>
          <w:rStyle w:val="Style1Char"/>
          <w:rtl/>
        </w:rPr>
      </w:pPr>
      <w:r w:rsidRPr="00AF3E0E">
        <w:rPr>
          <w:rStyle w:val="Style1Char"/>
          <w:rtl/>
        </w:rPr>
        <w:br w:type="page"/>
      </w:r>
    </w:p>
    <w:p w14:paraId="2B263912" w14:textId="77777777" w:rsidR="00FA0114" w:rsidRPr="00751B22" w:rsidRDefault="00FA0114" w:rsidP="00FA0114">
      <w:pPr>
        <w:bidi/>
        <w:rPr>
          <w:rStyle w:val="Style1Char"/>
          <w:color w:val="auto"/>
          <w:sz w:val="22"/>
          <w:szCs w:val="22"/>
        </w:rPr>
      </w:pPr>
      <w:r w:rsidRPr="00751B22">
        <w:rPr>
          <w:rStyle w:val="Style1Char"/>
          <w:color w:val="auto"/>
          <w:sz w:val="22"/>
          <w:szCs w:val="22"/>
          <w:highlight w:val="yellow"/>
          <w:rtl/>
        </w:rPr>
        <w:lastRenderedPageBreak/>
        <w:t>[דף סו עמוד ב]</w:t>
      </w:r>
      <w:r w:rsidRPr="00751B22">
        <w:rPr>
          <w:rStyle w:val="Style1Char"/>
          <w:color w:val="auto"/>
          <w:sz w:val="22"/>
          <w:szCs w:val="22"/>
          <w:rtl/>
        </w:rPr>
        <w:t xml:space="preserve"> שחתן פוסק - הוא פוסק פחות חומש. </w:t>
      </w:r>
    </w:p>
    <w:p w14:paraId="74682820" w14:textId="0F4D692D" w:rsidR="00FA0114" w:rsidRPr="004D20E8" w:rsidRDefault="00FA0114" w:rsidP="00FA0114">
      <w:pPr>
        <w:bidi/>
        <w:rPr>
          <w:rStyle w:val="Style1Char"/>
          <w:color w:val="4472C4" w:themeColor="accent1"/>
        </w:rPr>
      </w:pPr>
      <w:r w:rsidRPr="004212D5">
        <w:rPr>
          <w:rStyle w:val="Style1Char"/>
          <w:color w:val="auto"/>
          <w:sz w:val="22"/>
          <w:szCs w:val="22"/>
          <w:rtl/>
        </w:rPr>
        <w:t xml:space="preserve">גמ'. תנו רבנן: אין צריך לומר ראשון תלמיד חכם ושני עם הארץ, אלא אפילו </w:t>
      </w:r>
      <w:r w:rsidR="008B57FD">
        <w:rPr>
          <w:rStyle w:val="Style1Char"/>
          <w:rFonts w:hint="cs"/>
          <w:rtl/>
        </w:rPr>
        <w:t>(1)</w:t>
      </w:r>
      <w:r w:rsidRPr="004212D5">
        <w:rPr>
          <w:rStyle w:val="Style1Char"/>
          <w:color w:val="auto"/>
          <w:sz w:val="22"/>
          <w:szCs w:val="22"/>
          <w:rtl/>
        </w:rPr>
        <w:t>ראשון עם הארץ ושני תלמיד חכם, יכול לומר לאחיך הייתי רוצה ליתן, לך אי אפשי ליתן</w:t>
      </w:r>
      <w:r w:rsidRPr="00D00D1A">
        <w:rPr>
          <w:rStyle w:val="Style1Char"/>
          <w:sz w:val="22"/>
          <w:szCs w:val="22"/>
          <w:rtl/>
        </w:rPr>
        <w:t xml:space="preserve">. </w:t>
      </w:r>
      <w:r w:rsidRPr="004D20E8">
        <w:rPr>
          <w:rStyle w:val="Style1Char"/>
          <w:color w:val="4472C4" w:themeColor="accent1"/>
          <w:rtl/>
        </w:rPr>
        <w:t>הכי משמע מדקאמר פוסק ולא קאמר כשפסק ופי' רב האי דדוקא בפוסק לחתנו אבל אם פסק לבתו כגון שאמר בשעת קידושין הריני נותן לבתי כך וכך קנתה הבת ואף על פי שמת החתן שאינו יכול לומר לא פסקתי לבתי אלא על מנת שתבא לידי נישואי החתן דמכל מקום לבתו פסק ובתו קנתה כך מצאתי כתוב. ונראה לי שלא ביאר הכותב יפה דמשמע דאם מת החתן אפילו לא יבמה אחיו מיחייב ליתן לבתו מה שפסק לה והא לא מסתבר כלל דודאי לא פסק אלא ע"מ שתנשא בהם ואם לא נשאת ומתה והיה לה בן לא יירש הבן אותו הממון אבל אם נתייבמה לא מצי למימר לאחיך הייתי רוצה ליתן הרי לבתו פסק ולא פקעו הקידושין. פסק הגאון מי שפסק מעות לחתנו בשעת קידושין אם נתנן לו קודם החופה ומתה הבת ויש לה בן</w:t>
      </w:r>
      <w:r>
        <w:rPr>
          <w:rStyle w:val="Style1Char"/>
          <w:rFonts w:hint="cs"/>
          <w:color w:val="4472C4" w:themeColor="accent1"/>
        </w:rPr>
        <w:t>‍</w:t>
      </w:r>
      <w:r w:rsidRPr="004D20E8">
        <w:rPr>
          <w:rStyle w:val="Style1Char"/>
          <w:color w:val="4472C4" w:themeColor="accent1"/>
          <w:rtl/>
        </w:rPr>
        <w:t xml:space="preserve"> יחזיר החתן המעות לאב שכל הפוסק דעתו ע"מ לכנוס אבל מי שנתן לבתו מעות סתם שתנשא בו ולא הזכיר שתנשא בו לפלוני קנתה אותה מתנה וכיון שנתקדשה אף על פי שנתבטלו אותן הקדושין כשמת הארוס אין האב יכול לחזור בו</w:t>
      </w:r>
      <w:r w:rsidRPr="004D20E8">
        <w:rPr>
          <w:rStyle w:val="Style1Char"/>
          <w:color w:val="4472C4" w:themeColor="accent1"/>
        </w:rPr>
        <w:t xml:space="preserve">: </w:t>
      </w:r>
    </w:p>
    <w:p w14:paraId="5AD8437E" w14:textId="77777777" w:rsidR="00FA0114" w:rsidRDefault="00FA0114" w:rsidP="00FA0114">
      <w:pPr>
        <w:bidi/>
        <w:rPr>
          <w:rStyle w:val="Style1Char"/>
          <w:color w:val="4472C4" w:themeColor="accent1"/>
          <w:rtl/>
        </w:rPr>
      </w:pPr>
      <w:r w:rsidRPr="004212D5">
        <w:rPr>
          <w:rStyle w:val="Style1Char"/>
          <w:color w:val="806000" w:themeColor="accent4" w:themeShade="80"/>
          <w:rtl/>
        </w:rPr>
        <w:t xml:space="preserve">ירושלמי ואלו דברים הנקנים באמירה הן תני בר קפרא פוסק ע"מ לכנוס פירוש כל הפוסק לחתנו דעתו ע"מ לכנוס הוא וכיון שמת חתנו ולא כנס אינו חייב לתת לאחיו </w:t>
      </w:r>
      <w:r w:rsidRPr="007E4EA8">
        <w:rPr>
          <w:rStyle w:val="Style1Char"/>
          <w:color w:val="C00000"/>
          <w:rtl/>
        </w:rPr>
        <w:t xml:space="preserve">וחזינן מאן דפריש בה פירושא אחרינא ואנן לא סבירא לן אלא האי דכתבינן. </w:t>
      </w:r>
      <w:r w:rsidRPr="00DC7B4E">
        <w:rPr>
          <w:rStyle w:val="Style1Char"/>
          <w:color w:val="806000" w:themeColor="accent4" w:themeShade="80"/>
          <w:rtl/>
        </w:rPr>
        <w:t>ירושלמי מה ראו לומר בכספים אחד ומחצה ובשום פחות חומש אמר רבי יוסי בר' חנינא שמו דעת אשה שרוצה לבלות כליה ולפחות חומש ושמו דעת האיש שישא ויתן בכספים ויעשם אחד ומחצה אמר ר' יוסי הדא אמרה אין אדם רשאי למכור כלי אשתו</w:t>
      </w:r>
      <w:r w:rsidRPr="004D20E8">
        <w:rPr>
          <w:rStyle w:val="Style1Char"/>
          <w:color w:val="4472C4" w:themeColor="accent1"/>
          <w:rtl/>
        </w:rPr>
        <w:t xml:space="preserve">וכן מה החתן פוסק לאשה ומשתמשת בו אין הבעל יכול למוכרם כדאמרינן ביבמות פרק אלמנה (דף סו ב) ולא עוד אלא אם הכניס לה שום משלו ורצה הבעל למכור לא ימכור. </w:t>
      </w:r>
    </w:p>
    <w:p w14:paraId="35A219F5" w14:textId="77777777" w:rsidR="00FA0114" w:rsidRDefault="00FA0114" w:rsidP="00FA0114">
      <w:pPr>
        <w:bidi/>
        <w:rPr>
          <w:rStyle w:val="Style1Char"/>
          <w:color w:val="00B050"/>
          <w:rtl/>
        </w:rPr>
      </w:pPr>
      <w:r w:rsidRPr="0058605C">
        <w:rPr>
          <w:rStyle w:val="Style1Char"/>
          <w:color w:val="00B050"/>
          <w:rtl/>
        </w:rPr>
        <w:t xml:space="preserve">פסקה להכניס לו אלף דינר כו'. היינו רישא! תנא שומא רבה וקתני שומא זוטא, תנא שומא דידיה וקתני שומא דידה. </w:t>
      </w:r>
    </w:p>
    <w:p w14:paraId="26CA9609" w14:textId="666531C8" w:rsidR="00FA0114" w:rsidRPr="004D20E8" w:rsidRDefault="00FA0114" w:rsidP="00FA0114">
      <w:pPr>
        <w:bidi/>
        <w:rPr>
          <w:rStyle w:val="Style1Char"/>
          <w:color w:val="4472C4" w:themeColor="accent1"/>
        </w:rPr>
      </w:pPr>
      <w:r w:rsidRPr="004942B5">
        <w:rPr>
          <w:rStyle w:val="Style1Char"/>
          <w:color w:val="auto"/>
          <w:sz w:val="22"/>
          <w:szCs w:val="22"/>
          <w:rtl/>
        </w:rPr>
        <w:t xml:space="preserve">מתני'. </w:t>
      </w:r>
      <w:r w:rsidR="00C309E7">
        <w:rPr>
          <w:rStyle w:val="Style1Char"/>
          <w:rFonts w:hint="cs"/>
          <w:rtl/>
        </w:rPr>
        <w:t>(2)</w:t>
      </w:r>
      <w:r w:rsidRPr="004942B5">
        <w:rPr>
          <w:rStyle w:val="Style1Char"/>
          <w:color w:val="auto"/>
          <w:sz w:val="22"/>
          <w:szCs w:val="22"/>
          <w:rtl/>
        </w:rPr>
        <w:t xml:space="preserve">פסקה להכניס לו כספים - סלעה נעשה ששה דינרין. החתן מקבל עליו עשרה דינרים לקופה לכל מנה ומנה, רבן שמעון בן גמליאל אומר: </w:t>
      </w:r>
      <w:r w:rsidR="00C309E7">
        <w:rPr>
          <w:rStyle w:val="Style1Char"/>
          <w:rFonts w:hint="cs"/>
          <w:rtl/>
        </w:rPr>
        <w:t>(2)</w:t>
      </w:r>
      <w:r w:rsidRPr="004942B5">
        <w:rPr>
          <w:rStyle w:val="Style1Char"/>
          <w:color w:val="auto"/>
          <w:sz w:val="22"/>
          <w:szCs w:val="22"/>
          <w:rtl/>
        </w:rPr>
        <w:t xml:space="preserve">הכל כמנהג המדינה </w:t>
      </w:r>
      <w:r w:rsidRPr="002319F4">
        <w:rPr>
          <w:rStyle w:val="Style1Char"/>
          <w:color w:val="C00000"/>
          <w:sz w:val="22"/>
          <w:szCs w:val="22"/>
          <w:rtl/>
        </w:rPr>
        <w:t>והלכתא כוותיה:</w:t>
      </w:r>
      <w:r w:rsidRPr="00457D0A">
        <w:rPr>
          <w:rStyle w:val="BalloonTextChar"/>
          <w:rFonts w:asciiTheme="minorHAnsi" w:hAnsiTheme="minorHAnsi" w:cs="Arial"/>
          <w:color w:val="4472C4" w:themeColor="accent1"/>
          <w:rtl/>
        </w:rPr>
        <w:t xml:space="preserve"> </w:t>
      </w:r>
      <w:r w:rsidRPr="004D20E8">
        <w:rPr>
          <w:rStyle w:val="Style1Char"/>
          <w:color w:val="4472C4" w:themeColor="accent1"/>
          <w:rtl/>
        </w:rPr>
        <w:t>אכולה מתני' קאי והכי נמי איתא בתוספתא (פ"ו) א"ר יוסי מקום שנהגו שלא לפחות מן השום ולא להוסיף על הכספים אין משנין ממנהג המדינה</w:t>
      </w:r>
      <w:r>
        <w:rPr>
          <w:rStyle w:val="Style1Char"/>
          <w:rFonts w:hint="cs"/>
          <w:color w:val="4472C4" w:themeColor="accent1"/>
        </w:rPr>
        <w:t>‍</w:t>
      </w:r>
      <w:r w:rsidRPr="004D20E8">
        <w:rPr>
          <w:rStyle w:val="Style1Char"/>
          <w:color w:val="4472C4" w:themeColor="accent1"/>
          <w:rtl/>
        </w:rPr>
        <w:t xml:space="preserve"> והלכה כרשב"ג</w:t>
      </w:r>
      <w:r w:rsidRPr="004D20E8">
        <w:rPr>
          <w:rStyle w:val="Style1Char"/>
          <w:color w:val="4472C4" w:themeColor="accent1"/>
        </w:rPr>
        <w:t>:</w:t>
      </w:r>
    </w:p>
    <w:p w14:paraId="44EA9C6E" w14:textId="77777777" w:rsidR="00FA0114" w:rsidRDefault="00FA0114" w:rsidP="00FA0114">
      <w:pPr>
        <w:bidi/>
        <w:rPr>
          <w:rStyle w:val="Style1Char"/>
          <w:color w:val="00B050"/>
          <w:rtl/>
        </w:rPr>
      </w:pPr>
      <w:r w:rsidRPr="002319F4">
        <w:rPr>
          <w:rStyle w:val="Style1Char"/>
          <w:sz w:val="22"/>
          <w:szCs w:val="22"/>
          <w:rtl/>
        </w:rPr>
        <w:t>גמ'.</w:t>
      </w:r>
      <w:r w:rsidRPr="0058605C">
        <w:rPr>
          <w:rStyle w:val="Style1Char"/>
          <w:color w:val="00B050"/>
          <w:rtl/>
        </w:rPr>
        <w:t xml:space="preserve"> היינו פוסק כנגדם חמשה עשר מנה! תנא עסקא רבה ותנא עסקא זוטא; וצריכא, דאי תנא עסקא רבה, דנפיש רווחא, אבל עסקא זוטא דזוטר רווחא - אימא לא, צריכא; ואי אשמעינן עסקא זוטא, דזוטר זיונא, אבל עסקא רבה דנפיש זיונא - אימא לא, צריכא. </w:t>
      </w:r>
    </w:p>
    <w:p w14:paraId="777FF489" w14:textId="2EAA9A3A" w:rsidR="00FA0114" w:rsidRDefault="00FA0114" w:rsidP="00FA0114">
      <w:pPr>
        <w:bidi/>
        <w:rPr>
          <w:rStyle w:val="Style1Char"/>
          <w:color w:val="00B050"/>
        </w:rPr>
      </w:pPr>
      <w:r w:rsidRPr="0058605C">
        <w:rPr>
          <w:rStyle w:val="Style1Char"/>
          <w:color w:val="00B050"/>
          <w:rtl/>
        </w:rPr>
        <w:t xml:space="preserve">החתן מקבל עליו </w:t>
      </w:r>
      <w:r w:rsidRPr="006F097D">
        <w:rPr>
          <w:rStyle w:val="Style1Char"/>
          <w:color w:val="auto"/>
          <w:sz w:val="22"/>
          <w:szCs w:val="22"/>
          <w:rtl/>
        </w:rPr>
        <w:t xml:space="preserve">עשרה דינר לקופה. מאי קופה? אמר רב </w:t>
      </w:r>
      <w:r w:rsidRPr="0058605C">
        <w:rPr>
          <w:rStyle w:val="Style1Char"/>
          <w:color w:val="00B050"/>
          <w:rtl/>
        </w:rPr>
        <w:t>אשי</w:t>
      </w:r>
      <w:r w:rsidRPr="002319F4">
        <w:rPr>
          <w:rStyle w:val="Style1Char"/>
          <w:color w:val="C00000"/>
          <w:rtl/>
        </w:rPr>
        <w:t xml:space="preserve"> </w:t>
      </w:r>
      <w:r w:rsidRPr="00FE089F">
        <w:rPr>
          <w:rStyle w:val="Style1Char"/>
          <w:color w:val="806000" w:themeColor="accent4" w:themeShade="80"/>
          <w:sz w:val="22"/>
          <w:szCs w:val="22"/>
          <w:rtl/>
        </w:rPr>
        <w:t>אסי</w:t>
      </w:r>
      <w:r w:rsidRPr="00FE089F">
        <w:rPr>
          <w:rStyle w:val="Style1Char"/>
          <w:color w:val="auto"/>
          <w:rtl/>
        </w:rPr>
        <w:t xml:space="preserve">: </w:t>
      </w:r>
      <w:r w:rsidRPr="00FE089F">
        <w:rPr>
          <w:rStyle w:val="Style1Char"/>
          <w:color w:val="auto"/>
          <w:sz w:val="22"/>
          <w:szCs w:val="22"/>
          <w:rtl/>
        </w:rPr>
        <w:t xml:space="preserve">קופה של בשמים. ואמר רב </w:t>
      </w:r>
      <w:r w:rsidRPr="0058605C">
        <w:rPr>
          <w:rStyle w:val="Style1Char"/>
          <w:color w:val="00B050"/>
          <w:rtl/>
        </w:rPr>
        <w:t>אשי</w:t>
      </w:r>
      <w:r w:rsidRPr="002319F4">
        <w:rPr>
          <w:rStyle w:val="BalloonTextChar"/>
          <w:rFonts w:asciiTheme="minorHAnsi" w:hAnsiTheme="minorHAnsi" w:cs="Arial"/>
          <w:color w:val="C00000"/>
          <w:sz w:val="22"/>
          <w:szCs w:val="22"/>
          <w:rtl/>
        </w:rPr>
        <w:t xml:space="preserve"> </w:t>
      </w:r>
      <w:r w:rsidRPr="00FE089F">
        <w:rPr>
          <w:rStyle w:val="Style1Char"/>
          <w:color w:val="806000" w:themeColor="accent4" w:themeShade="80"/>
          <w:sz w:val="22"/>
          <w:szCs w:val="22"/>
          <w:rtl/>
        </w:rPr>
        <w:t>אסי</w:t>
      </w:r>
      <w:r w:rsidRPr="0058605C">
        <w:rPr>
          <w:rStyle w:val="Style1Char"/>
          <w:color w:val="00B050"/>
          <w:rtl/>
        </w:rPr>
        <w:t xml:space="preserve">: </w:t>
      </w:r>
      <w:r w:rsidRPr="00FE089F">
        <w:rPr>
          <w:rStyle w:val="Style1Char"/>
          <w:color w:val="auto"/>
          <w:sz w:val="22"/>
          <w:szCs w:val="22"/>
          <w:rtl/>
        </w:rPr>
        <w:t>לא נאמרו דברים הללו אלא בירושלים</w:t>
      </w:r>
      <w:r w:rsidRPr="002319F4">
        <w:rPr>
          <w:rStyle w:val="Style1Char"/>
          <w:sz w:val="22"/>
          <w:szCs w:val="22"/>
          <w:rtl/>
        </w:rPr>
        <w:t xml:space="preserve">. </w:t>
      </w:r>
      <w:r w:rsidRPr="0058605C">
        <w:rPr>
          <w:rStyle w:val="Style1Char"/>
          <w:color w:val="00B050"/>
          <w:rtl/>
        </w:rPr>
        <w:t xml:space="preserve">בעי רב אשי: במנה הנישום או במנה המתקבל? את"ל מנה המתקבל, יום ראשון או כל יום ויום? את"ל כל יום ויום, שבת ראשונה או כל שבת ושבת? את"ל כל שבת ושבת, חדש ראשון או כל חדש וחדש? את"ל כל חדש וחדש, שנה ראשונה או כל שנה ושנה? תיקו. א"ר יהודה אמר רב: מעשה בבתו של נקדימון בן גוריון, שפסקו לה חכמים ארבע מאות זהובים לקופה של בשמים לבו ביום, אמרה להם: כך תפסקו לבנותיכם, וענו אחריה אמן. ת"ר: מעשה ברבן יוחנן בן זכאי שהיה רוכב על החמור והיה יוצא מירושלים, והיו תלמידיו מהלכין אחריו. ראה ריבה אחת שהיתה מלקטת שעורים מבין גללי בהמתן של ערביים, כיון שראתה אותו נתעטפה בשערה ועמדה לפניו, אמרה לו: רבי, פרנסני! אמר לה: בתי, מי את? אמרה לו: בת נקדימון בן גוריון אני. אמר לה: בתי, ממון של בית אביך היכן הלך? אמרה לו: רבי, לא כדין מתלין מתלא בירושלים מלח ממון חסר? ואמרי לה חסד. ושל בית חמיך היכן הוא? אמרה לו: בא זה ואיבד את זה. אמרה לו: רבי, זכור אתה כשחתמת על כתובתי? אמר להן לתלמידיו: זכור אני כשחתמתי על כתובתה של זו, והייתי קורא בה אלף אלפים דינרי זהב מבית אביה חוץ משל חמיה. בכה רבן יוחנן בן זכאי ואמר: אשריכם ישראל, בזמן שעושין רצונו של מקום - אין כל אומה ולשון שולטת בהם, ובזמן שאין עושין רצונו של מקום - מוסרן ביד אומה שפלה, ולא ביד אומה שפלה אלא ביד בהמתן של אומה שפלה. ונקדימון בן גוריון לא עבד צדקה? והתניא: אמרו עליו על נקדימון בן גוריון, כשהיה יוצא מביתו לבית המדרש, כלי מילת היו </w:t>
      </w:r>
    </w:p>
    <w:p w14:paraId="61EB70FE" w14:textId="21C8110B" w:rsidR="008B57FD" w:rsidRDefault="008B57FD" w:rsidP="008B57FD">
      <w:pPr>
        <w:pStyle w:val="Style1"/>
        <w:rPr>
          <w:rStyle w:val="Style1Char"/>
          <w:rtl/>
        </w:rPr>
      </w:pPr>
      <w:r>
        <w:rPr>
          <w:rStyle w:val="Style1Char"/>
          <w:rFonts w:hint="cs"/>
          <w:rtl/>
        </w:rPr>
        <w:t>1)[</w:t>
      </w:r>
      <w:r w:rsidRPr="008B57FD">
        <w:rPr>
          <w:rStyle w:val="Style1Char"/>
          <w:rtl/>
        </w:rPr>
        <w:t>רמב</w:t>
      </w:r>
      <w:r w:rsidR="00213DA1">
        <w:rPr>
          <w:rStyle w:val="Style1Char"/>
          <w:rtl/>
        </w:rPr>
        <w:t>”ם \נשים\</w:t>
      </w:r>
      <w:r w:rsidRPr="008B57FD">
        <w:rPr>
          <w:rStyle w:val="Style1Char"/>
          <w:rtl/>
        </w:rPr>
        <w:t xml:space="preserve"> הלכות אישות פרק כג הלכה טו</w:t>
      </w:r>
      <w:r>
        <w:rPr>
          <w:rStyle w:val="Style1Char"/>
          <w:rFonts w:hint="cs"/>
          <w:rtl/>
        </w:rPr>
        <w:t xml:space="preserve">] </w:t>
      </w:r>
      <w:r w:rsidRPr="008B57FD">
        <w:rPr>
          <w:rStyle w:val="Style1Char"/>
          <w:rtl/>
        </w:rPr>
        <w:t>האב שפסק על ידי בתו לא קנת הבת אותה המתנה עד שיכנוס אותה בעלה וכן הבן לא קנה עד שיכנוס, שכל הפוסק אינו פוסק אלא על מנת לכנוס, לפיכך הפוסק מעות לחתנו ומת קודם שיכנוס ונפלה לפני אחיו ליבום יכול האב לומר ליבם לאחיך הייתי רוצה ליתן ולך איני רוצה ליתן, ואפילו היה הראשון עם הארץ והשני חכם ואף על פי שהבת רוצה בו.</w:t>
      </w:r>
    </w:p>
    <w:p w14:paraId="4B3B8FBD" w14:textId="2DDC78FD" w:rsidR="008B57FD" w:rsidRDefault="008B57FD" w:rsidP="008B57FD">
      <w:pPr>
        <w:pStyle w:val="Style1"/>
        <w:rPr>
          <w:rtl/>
        </w:rPr>
      </w:pPr>
      <w:r>
        <w:rPr>
          <w:rFonts w:hint="cs"/>
          <w:rtl/>
        </w:rPr>
        <w:t>1)[</w:t>
      </w:r>
      <w:r>
        <w:rPr>
          <w:rtl/>
        </w:rPr>
        <w:t>שולחן ערוך אבן העזר הלכות קידושין סימן נג סעיף א</w:t>
      </w:r>
      <w:r>
        <w:rPr>
          <w:rFonts w:hint="cs"/>
          <w:rtl/>
        </w:rPr>
        <w:t>]</w:t>
      </w:r>
      <w:r w:rsidRPr="00CD66F1">
        <w:rPr>
          <w:rFonts w:ascii="Arial" w:hAnsi="Arial"/>
          <w:color w:val="202122"/>
          <w:sz w:val="21"/>
          <w:szCs w:val="21"/>
          <w:shd w:val="clear" w:color="auto" w:fill="FFFFFF"/>
          <w:rtl/>
        </w:rPr>
        <w:t xml:space="preserve"> </w:t>
      </w:r>
      <w:r w:rsidRPr="00CD66F1">
        <w:rPr>
          <w:rtl/>
        </w:rPr>
        <w:t>האב שפסק על ידי בתו, לא קנתה הבת אותה המתנה עד שיכנוס אותה בעלה. וכן הבן לא קנה עד שיכניס, שכל הפוסק אינו פוסק אלא על מנת לכנוס. לפיכך, הפוסק מעות לחתנו </w:t>
      </w:r>
      <w:r w:rsidRPr="00CD66F1">
        <w:rPr>
          <w:rFonts w:hint="cs"/>
          <w:rtl/>
        </w:rPr>
        <w:t>או לבנו</w:t>
      </w:r>
      <w:r w:rsidRPr="00CD66F1">
        <w:t xml:space="preserve">, </w:t>
      </w:r>
      <w:r w:rsidRPr="00CD66F1">
        <w:rPr>
          <w:rtl/>
        </w:rPr>
        <w:t>ומת קודם שיכנוס, ונפלה לפני אחיו ליבם, יכול האב לומר ליבם לאחיך הייתי רוצה ליתן, ולך איני רוצה ליתן. ואפילו היה הראשון עם הארץ והשני חכם, ואף על פי שהבת רוצה בו</w:t>
      </w:r>
      <w:r w:rsidRPr="00CD66F1">
        <w:t>:</w:t>
      </w:r>
    </w:p>
    <w:p w14:paraId="7E1A4D5C" w14:textId="7BBD2FA6" w:rsidR="008B57FD" w:rsidRDefault="008B57FD" w:rsidP="008B57FD">
      <w:pPr>
        <w:pStyle w:val="Style1"/>
        <w:rPr>
          <w:rtl/>
        </w:rPr>
      </w:pPr>
      <w:r>
        <w:rPr>
          <w:rFonts w:hint="cs"/>
          <w:rtl/>
        </w:rPr>
        <w:t>2)[</w:t>
      </w:r>
      <w:r>
        <w:rPr>
          <w:rtl/>
        </w:rPr>
        <w:t>רמב</w:t>
      </w:r>
      <w:r w:rsidR="00213DA1">
        <w:rPr>
          <w:rtl/>
        </w:rPr>
        <w:t>”ם \נשים\</w:t>
      </w:r>
      <w:r>
        <w:rPr>
          <w:rtl/>
        </w:rPr>
        <w:t xml:space="preserve"> הלכות אישות פרק כג הלכה יא</w:t>
      </w:r>
      <w:r>
        <w:rPr>
          <w:rFonts w:hint="cs"/>
          <w:rtl/>
        </w:rPr>
        <w:t xml:space="preserve">] </w:t>
      </w:r>
      <w:r>
        <w:rPr>
          <w:rtl/>
        </w:rPr>
        <w:t>מנהגות רבות יש בנדוניא, יש מקומות שנהגו שיכתבו בכתובה הנדוניא ביתר על דמיה בשליש או בחמיש או במחצה, כגון שתהיה נדוניתה מאה וכותבים שהכניסה לו מאה וחמשים כדי להרבות בפני העם וכשתבוא לגבות לא תגבה אלא המאה. ויש מקומות שנהגו לכתוב בפחות ואם פסקה להביא לו במאה כלים נותנת שוה מאה ועשרים או מאה וחמשים וכותבין שהכניסה לו מאה, ויש מקומות שנהגו לכתוב שוה בשוה, ויש מקומות שנהגו שיתן האיש מעות לפי הנדוניא דבר קצוב שתתקשט בו הכלה ותקנה בו בשמים וכיוצא בהן, ויש מקומות שיכניס האיש שום משלו לאשה יצטרף לנדוניתה להתנאות בו.</w:t>
      </w:r>
    </w:p>
    <w:p w14:paraId="276864AC" w14:textId="7BB2F025" w:rsidR="008B57FD" w:rsidRDefault="008B57FD" w:rsidP="008B57FD">
      <w:pPr>
        <w:pStyle w:val="Style1"/>
        <w:rPr>
          <w:rtl/>
        </w:rPr>
      </w:pPr>
      <w:r>
        <w:rPr>
          <w:rFonts w:hint="cs"/>
          <w:rtl/>
        </w:rPr>
        <w:t>2)[</w:t>
      </w:r>
      <w:r>
        <w:rPr>
          <w:rtl/>
        </w:rPr>
        <w:t>רמב</w:t>
      </w:r>
      <w:r w:rsidR="00213DA1">
        <w:rPr>
          <w:rtl/>
        </w:rPr>
        <w:t>”ם \נשים\</w:t>
      </w:r>
      <w:r>
        <w:rPr>
          <w:rtl/>
        </w:rPr>
        <w:t xml:space="preserve"> הלכות אישות פרק כג הלכה יב</w:t>
      </w:r>
      <w:r>
        <w:rPr>
          <w:rFonts w:hint="cs"/>
          <w:rtl/>
        </w:rPr>
        <w:t xml:space="preserve">] </w:t>
      </w:r>
      <w:r>
        <w:rPr>
          <w:rtl/>
        </w:rPr>
        <w:t>הנושא סתם כותב ונותן כמנהג המדינה, וכן היא שפסקה להכניס נותנת כמנהג המדינה וכשתבא לגבות כתובתה מגבין לה מה שבכתובתה כמנהג המדינה, ובכל הדברים האלו וכיוצא בהן מנהג המדינה עיקר גדול הוא ועל פיו דנין, והוא שיהיה אותו מנהג פשוט בכל המדינה.</w:t>
      </w:r>
    </w:p>
    <w:p w14:paraId="42DE0BF1" w14:textId="54BCE83E" w:rsidR="008B57FD" w:rsidRPr="008B57FD" w:rsidRDefault="008B57FD" w:rsidP="008B57FD">
      <w:pPr>
        <w:pStyle w:val="Style1"/>
      </w:pPr>
      <w:r>
        <w:rPr>
          <w:rFonts w:hint="cs"/>
          <w:rtl/>
        </w:rPr>
        <w:t>2)[</w:t>
      </w:r>
      <w:r>
        <w:rPr>
          <w:rtl/>
        </w:rPr>
        <w:t>שולחן ערוך אבן העזר הלכות כתובות סימן סו סעיף יא</w:t>
      </w:r>
      <w:r>
        <w:rPr>
          <w:rFonts w:hint="cs"/>
          <w:rtl/>
        </w:rPr>
        <w:t>]</w:t>
      </w:r>
      <w:r>
        <w:t xml:space="preserve"> </w:t>
      </w:r>
      <w:r w:rsidRPr="008B57FD">
        <w:rPr>
          <w:rtl/>
        </w:rPr>
        <w:t>הנושא אשה סתם, כותב לפי המנהג. וכן היא שפסקה להכניס, נותנת כפי מנהג המדינה</w:t>
      </w:r>
      <w:r w:rsidRPr="008B57FD">
        <w:t>.</w:t>
      </w:r>
    </w:p>
    <w:p w14:paraId="5B7CEBC0" w14:textId="77777777" w:rsidR="008B57FD" w:rsidRPr="008B57FD" w:rsidRDefault="008B57FD" w:rsidP="008B57FD">
      <w:pPr>
        <w:pStyle w:val="Style1"/>
      </w:pPr>
      <w:r w:rsidRPr="008B57FD">
        <w:rPr>
          <w:rFonts w:hint="cs"/>
          <w:rtl/>
        </w:rPr>
        <w:t>הגה: ומה שהאשה מכנסת לבעלה, הן מעות הן בגדים, ומקבלן עליו והן באחריותו, נקרא "נדוניא" בכל מקום, ואינה נגבית אלא עם הכתובה; אבל לשאר דברים אין דינו ככתובה, וכמו שיתבאר לקמן. ויש מקומות שהחתן מוסיף לה בנדוניתא, וכותב יותר ממה שקבל, והולכין בזה אחר המנהג (כל הנ"ל בטור). ומן הסתם אחריות הנדוניא עליו כנכסי צאן ברזל, אבל אם ירצה להניח לה ברשותה ושלא לקבל אחריות עליהם, הרשות בידו. ועיין לקמן ריש </w:t>
      </w:r>
      <w:hyperlink r:id="rId151" w:tooltip="שולחן ערוך אבן העזר צג" w:history="1">
        <w:r w:rsidRPr="008B57FD">
          <w:rPr>
            <w:rStyle w:val="Hyperlink"/>
            <w:rFonts w:hint="cs"/>
            <w:color w:val="7030A0"/>
            <w:u w:val="none"/>
            <w:rtl/>
          </w:rPr>
          <w:t>סימן צ"ג</w:t>
        </w:r>
      </w:hyperlink>
      <w:r w:rsidRPr="008B57FD">
        <w:rPr>
          <w:rFonts w:hint="cs"/>
        </w:rPr>
        <w:t> </w:t>
      </w:r>
      <w:hyperlink r:id="rId152" w:tooltip="שולחן ערוך אבן העזר ק" w:history="1">
        <w:r w:rsidRPr="008B57FD">
          <w:rPr>
            <w:rStyle w:val="Hyperlink"/>
            <w:rFonts w:hint="cs"/>
            <w:color w:val="7030A0"/>
            <w:u w:val="none"/>
            <w:rtl/>
          </w:rPr>
          <w:t>וק</w:t>
        </w:r>
        <w:r w:rsidRPr="008B57FD">
          <w:rPr>
            <w:rStyle w:val="Hyperlink"/>
            <w:rFonts w:hint="cs"/>
            <w:color w:val="7030A0"/>
            <w:u w:val="none"/>
          </w:rPr>
          <w:t>'</w:t>
        </w:r>
      </w:hyperlink>
      <w:r w:rsidRPr="008B57FD">
        <w:rPr>
          <w:rFonts w:hint="cs"/>
        </w:rPr>
        <w:t> </w:t>
      </w:r>
      <w:r w:rsidRPr="008B57FD">
        <w:rPr>
          <w:rFonts w:hint="cs"/>
          <w:rtl/>
        </w:rPr>
        <w:t>עוד מאלו הדינים</w:t>
      </w:r>
      <w:r w:rsidRPr="008B57FD">
        <w:rPr>
          <w:rFonts w:hint="cs"/>
        </w:rPr>
        <w:t>.</w:t>
      </w:r>
      <w:r w:rsidRPr="008B57FD">
        <w:rPr>
          <w:rFonts w:hint="cs"/>
        </w:rPr>
        <w:br/>
      </w:r>
      <w:r w:rsidRPr="008B57FD">
        <w:rPr>
          <w:rFonts w:hint="cs"/>
          <w:rtl/>
        </w:rPr>
        <w:t>כשהאב קיים ומשיא בתו, כותבים: "ודין הנדוניא דהנעלת לה מבי אבוה"; וכשאין האב קיים, כותבים: "מבי נשא" (מרדכי פרק ב"מ בשם רבנו תם). מיהו, אם שינה, לית לן בה (תשובת ר"ש משנץ). בכתובת גרושה כותבין: מתרוכתא, כדי שידעו שהיא גרושה ואסורה לכהנים (פסקי מהרא"י סימן צ')</w:t>
      </w:r>
      <w:r w:rsidRPr="008B57FD">
        <w:rPr>
          <w:rFonts w:hint="cs"/>
        </w:rPr>
        <w:t>.</w:t>
      </w:r>
    </w:p>
    <w:p w14:paraId="626CFE5D" w14:textId="77777777" w:rsidR="008B57FD" w:rsidRPr="008B57FD" w:rsidRDefault="008B57FD" w:rsidP="008B57FD">
      <w:pPr>
        <w:pStyle w:val="Style1"/>
      </w:pPr>
      <w:r w:rsidRPr="008B57FD">
        <w:rPr>
          <w:rtl/>
        </w:rPr>
        <w:t>וכשבאה לגבות כתובתה, מגבין לה מה שבכתובתה לפי מנהג המדינה</w:t>
      </w:r>
      <w:r w:rsidRPr="008B57FD">
        <w:t>.</w:t>
      </w:r>
    </w:p>
    <w:p w14:paraId="0A6718EB" w14:textId="77777777" w:rsidR="008B57FD" w:rsidRPr="008B57FD" w:rsidRDefault="008B57FD" w:rsidP="008B57FD">
      <w:pPr>
        <w:pStyle w:val="Style1"/>
      </w:pPr>
      <w:r w:rsidRPr="008B57FD">
        <w:rPr>
          <w:rFonts w:hint="cs"/>
          <w:rtl/>
        </w:rPr>
        <w:lastRenderedPageBreak/>
        <w:t>הגה: ואם היא אומרת שהוסיף לה יותר מן המנהג, צריכה להביא ראיה לדבריה; אבל אם יש בידה שטר כתובה שאינו מקוים, או שאחד מן העדים הוא פסול, אף על פי שמראה התנאים שביניהם שהוצרך להוסיף לה, אינה גובאת אלא כמנהג (פסקי מהרא"י סימן פ"ט). ועיין לקמן </w:t>
      </w:r>
      <w:hyperlink r:id="rId153" w:anchor="%D7%A1%D7%A2%D7%99%D7%A3_%D7%9C" w:tooltip="שולחן ערוך אבן העזר ק" w:history="1">
        <w:r w:rsidRPr="008B57FD">
          <w:rPr>
            <w:rStyle w:val="Hyperlink"/>
            <w:rFonts w:hint="cs"/>
            <w:color w:val="7030A0"/>
            <w:u w:val="none"/>
            <w:rtl/>
          </w:rPr>
          <w:t>סימן ק' סעיף ל</w:t>
        </w:r>
        <w:r w:rsidRPr="008B57FD">
          <w:rPr>
            <w:rStyle w:val="Hyperlink"/>
            <w:rFonts w:hint="cs"/>
            <w:color w:val="7030A0"/>
            <w:u w:val="none"/>
          </w:rPr>
          <w:t>'</w:t>
        </w:r>
      </w:hyperlink>
      <w:r w:rsidRPr="008B57FD">
        <w:t>.</w:t>
      </w:r>
    </w:p>
    <w:p w14:paraId="3033AEC3" w14:textId="77777777" w:rsidR="008B57FD" w:rsidRPr="008B57FD" w:rsidRDefault="008B57FD" w:rsidP="008B57FD">
      <w:pPr>
        <w:pStyle w:val="Style1"/>
      </w:pPr>
      <w:r w:rsidRPr="008B57FD">
        <w:rPr>
          <w:rtl/>
        </w:rPr>
        <w:t>ובכל אלו הדברים וכיוצא בהן, מנהג המדינה הוא עיקר, ועל פיו דנין, והוא שיהיה אותו המנהג פשוט בכל המדינה</w:t>
      </w:r>
      <w:r w:rsidRPr="008B57FD">
        <w:t>.</w:t>
      </w:r>
    </w:p>
    <w:p w14:paraId="49C43BF1" w14:textId="77777777" w:rsidR="008B57FD" w:rsidRPr="008B57FD" w:rsidRDefault="008B57FD" w:rsidP="008B57FD">
      <w:pPr>
        <w:pStyle w:val="Style1"/>
      </w:pPr>
      <w:r w:rsidRPr="008B57FD">
        <w:rPr>
          <w:rFonts w:hint="cs"/>
          <w:rtl/>
        </w:rPr>
        <w:t>הגה: מיהו, אם רוצה להתנות ולפחת לאשתו מן המנהג, הרשות בידו (מהרי"ל סימן ע"ו), ובלבד שלא יפחת ממה שתקנו רבנן. ונראה לי, דוקא שהתנה כן בשעה שעשה השדוכים, אבל אם עשו שדוכים סתם, ושעבדו עצמן בקנסות, צריך לכתוב לפי המנהג ולא יוכל לשנות (דברי הרב, וכן משמע במהרי"ל). ויש מקומות שנוהגים לכתוב כל הכתובות בשוה, אפילו לא הכניסה לו כלום, ואם ירצה מוסיף לה, ואם ירצה לפחת לה היא כותבת לו: כך וכך קבלתי על כתובתי; וכן נוהגין</w:t>
      </w:r>
    </w:p>
    <w:p w14:paraId="083C62DF" w14:textId="77777777" w:rsidR="008B57FD" w:rsidRPr="008B57FD" w:rsidRDefault="008B57FD" w:rsidP="008B57FD">
      <w:pPr>
        <w:pStyle w:val="Style1"/>
      </w:pPr>
    </w:p>
    <w:p w14:paraId="02D51E0A" w14:textId="77777777" w:rsidR="00FA0114" w:rsidRDefault="00FA0114" w:rsidP="00FA0114">
      <w:pPr>
        <w:rPr>
          <w:rStyle w:val="Style1Char"/>
          <w:color w:val="00B050"/>
          <w:rtl/>
        </w:rPr>
      </w:pPr>
      <w:r>
        <w:rPr>
          <w:rStyle w:val="Style1Char"/>
          <w:color w:val="00B050"/>
          <w:rtl/>
        </w:rPr>
        <w:br w:type="page"/>
      </w:r>
    </w:p>
    <w:p w14:paraId="44EE1942" w14:textId="4346A207" w:rsidR="00FA0114" w:rsidRPr="004D20E8" w:rsidRDefault="00FA0114" w:rsidP="00FA0114">
      <w:pPr>
        <w:bidi/>
        <w:rPr>
          <w:rStyle w:val="Style1Char"/>
          <w:color w:val="4472C4" w:themeColor="accent1"/>
        </w:rPr>
      </w:pPr>
      <w:r w:rsidRPr="001D5DD5">
        <w:rPr>
          <w:rStyle w:val="Style1Char"/>
          <w:color w:val="00B050"/>
          <w:sz w:val="22"/>
          <w:szCs w:val="22"/>
          <w:highlight w:val="yellow"/>
          <w:rtl/>
        </w:rPr>
        <w:lastRenderedPageBreak/>
        <w:t>[דף סז עמוד א]</w:t>
      </w:r>
      <w:r w:rsidRPr="001D5DD5">
        <w:rPr>
          <w:rStyle w:val="Style1Char"/>
          <w:color w:val="00B050"/>
          <w:sz w:val="22"/>
          <w:szCs w:val="22"/>
          <w:rtl/>
        </w:rPr>
        <w:t xml:space="preserve"> </w:t>
      </w:r>
      <w:r w:rsidRPr="0058605C">
        <w:rPr>
          <w:rStyle w:val="Style1Char"/>
          <w:color w:val="00B050"/>
          <w:rtl/>
        </w:rPr>
        <w:t xml:space="preserve">מציעין תחתיו, ובאין עניים ומקפלין אותן מאחריו! איבעית אימא: לכבודו הוא דעבד. ואיבעית אימא: כדבעי ליה למיעבד לא עבד, כדאמרי אינשי: לפום גמלא שיחנא. תניא, אמר ר' אלעזר ברבי צדוק: אראה בנחמה, אם לא ראיתיה שהיתה מלקטת שעורים מבין טלפי סוסים בעכו, קראתי עליה מקרא זה: אם לא תדעי לך היפה בנשים צאי לך בעקבי הצאן ורעי את גדיותיך, אל תקרי גדיותיך אלא גויותיך. </w:t>
      </w:r>
      <w:r w:rsidRPr="00485CD3">
        <w:rPr>
          <w:rStyle w:val="Style1Char"/>
          <w:color w:val="ED7D31" w:themeColor="accent2"/>
          <w:sz w:val="22"/>
          <w:szCs w:val="22"/>
          <w:rtl/>
        </w:rPr>
        <w:t xml:space="preserve">אמר רב שמן בר אבא </w:t>
      </w:r>
      <w:r w:rsidRPr="00485CD3">
        <w:rPr>
          <w:rStyle w:val="Style1Char"/>
          <w:color w:val="00B050"/>
          <w:rtl/>
        </w:rPr>
        <w:t>אמר ר' יוחנן</w:t>
      </w:r>
      <w:r w:rsidRPr="00485CD3">
        <w:rPr>
          <w:rStyle w:val="Style1Char"/>
          <w:color w:val="ED7D31" w:themeColor="accent2"/>
          <w:sz w:val="22"/>
          <w:szCs w:val="22"/>
          <w:rtl/>
        </w:rPr>
        <w:t>: הכניסה לו זהב - שמין אותו, והרי הוא כשוויו</w:t>
      </w:r>
      <w:r w:rsidRPr="00485CD3">
        <w:rPr>
          <w:rStyle w:val="Style1Char"/>
          <w:color w:val="4472C4" w:themeColor="accent1"/>
          <w:rtl/>
        </w:rPr>
        <w:t xml:space="preserve"> </w:t>
      </w:r>
      <w:r w:rsidRPr="004D20E8">
        <w:rPr>
          <w:rStyle w:val="Style1Char"/>
          <w:color w:val="4472C4" w:themeColor="accent1"/>
          <w:rtl/>
        </w:rPr>
        <w:t>ולא מוסיף חומש ולא פוחת שליש ומסיק דוקא בחתיכות גסות של זהב אבל בדהבא פריכא או בממלא פוחת חומש</w:t>
      </w:r>
      <w:r w:rsidRPr="0058605C">
        <w:rPr>
          <w:rStyle w:val="Style1Char"/>
          <w:color w:val="00B050"/>
          <w:rtl/>
        </w:rPr>
        <w:t xml:space="preserve">. מיתיבי: הזהב - הרי הוא ככלים; מאי לאו ככלים של כסף דפחתי! לא, ככלים של זהב דלא פחתי. א"כ ככליו מיבעי ליה! ועוד תניא: זהב - הרי הוא ככלים, דינרי זהב - הרי הן ככספים; רבן שמעון בן גמליאל אומר: במקום שנהגו שלא לפורטן - שמין אותן, והרי הן בשוויהן; רשב"ג אהייא? אילימא אסיפא, מכלל דתנא קמא סבר: אפי' במקום שנהגו שלא לפורטן, הא לא נפקי! אלא לאו ארישא, והכי קאמר: זהב - הרי הוא ככלים, מאי כלים? כלים של כסף; רשב"ג אומר: הרי הוא כדינרין של זהב במקום שנהגו שלא לפורטן! לא, לעולם אסיפא, ודנפקי ע"י הדחק, ובהא קמיפלגי, מר סבר: כיון דנפקי משבחינן לה, ומר סבר: כיון דלא נפקי אלא ע"י הדחק לא משבחינן לה. איבעית אימא: כולה רשב"ג היא, וחסורי מיחסרא והכי קתני: זהב - הרי הוא ככלים, </w:t>
      </w:r>
      <w:r w:rsidRPr="004D20E8">
        <w:rPr>
          <w:rStyle w:val="Style1Char"/>
          <w:color w:val="4472C4" w:themeColor="accent1"/>
          <w:rtl/>
        </w:rPr>
        <w:t xml:space="preserve">. </w:t>
      </w:r>
      <w:r w:rsidRPr="00E60B2C">
        <w:rPr>
          <w:rStyle w:val="Style1Char"/>
          <w:color w:val="4472C4" w:themeColor="accent1"/>
          <w:sz w:val="22"/>
          <w:szCs w:val="22"/>
          <w:rtl/>
        </w:rPr>
        <w:t xml:space="preserve">הכניסה לו </w:t>
      </w:r>
      <w:r w:rsidRPr="00E60B2C">
        <w:rPr>
          <w:rStyle w:val="Style1Char"/>
          <w:color w:val="ED7D31" w:themeColor="accent2"/>
          <w:sz w:val="22"/>
          <w:szCs w:val="22"/>
          <w:rtl/>
        </w:rPr>
        <w:t xml:space="preserve">דינרי זהב </w:t>
      </w:r>
      <w:r w:rsidRPr="0058605C">
        <w:rPr>
          <w:rStyle w:val="Style1Char"/>
          <w:color w:val="00B050"/>
          <w:rtl/>
        </w:rPr>
        <w:t xml:space="preserve">- </w:t>
      </w:r>
      <w:r w:rsidRPr="00E60B2C">
        <w:rPr>
          <w:rStyle w:val="Style1Char"/>
          <w:color w:val="ED7D31" w:themeColor="accent2"/>
          <w:sz w:val="22"/>
          <w:szCs w:val="22"/>
          <w:rtl/>
        </w:rPr>
        <w:t>הרי הן ככספים</w:t>
      </w:r>
      <w:r w:rsidRPr="0058605C">
        <w:rPr>
          <w:rStyle w:val="Style1Char"/>
          <w:color w:val="00B050"/>
          <w:rtl/>
        </w:rPr>
        <w:t xml:space="preserve">; בד"א - </w:t>
      </w:r>
      <w:r w:rsidRPr="00E60B2C">
        <w:rPr>
          <w:rStyle w:val="Style1Char"/>
          <w:color w:val="ED7D31" w:themeColor="accent2"/>
          <w:sz w:val="22"/>
          <w:szCs w:val="22"/>
          <w:rtl/>
        </w:rPr>
        <w:t>במקום שנהגו לפורטן</w:t>
      </w:r>
      <w:r w:rsidRPr="00E60B2C">
        <w:rPr>
          <w:rStyle w:val="Style1Char"/>
          <w:color w:val="4472C4" w:themeColor="accent1"/>
          <w:rtl/>
        </w:rPr>
        <w:t xml:space="preserve"> </w:t>
      </w:r>
      <w:r w:rsidRPr="00E60B2C">
        <w:rPr>
          <w:rStyle w:val="Style1Char"/>
          <w:color w:val="4472C4" w:themeColor="accent1"/>
          <w:sz w:val="22"/>
          <w:szCs w:val="22"/>
          <w:rtl/>
        </w:rPr>
        <w:t>ומוסיף שליש</w:t>
      </w:r>
      <w:r w:rsidRPr="0058605C">
        <w:rPr>
          <w:rStyle w:val="Style1Char"/>
          <w:color w:val="00B050"/>
          <w:rtl/>
        </w:rPr>
        <w:t xml:space="preserve">, אבל </w:t>
      </w:r>
      <w:r w:rsidRPr="00E60B2C">
        <w:rPr>
          <w:rStyle w:val="Style1Char"/>
          <w:color w:val="ED7D31" w:themeColor="accent2"/>
          <w:sz w:val="22"/>
          <w:szCs w:val="22"/>
          <w:rtl/>
        </w:rPr>
        <w:t xml:space="preserve">במקום שנהגו שלא לפורטן - </w:t>
      </w:r>
      <w:r w:rsidRPr="0058605C">
        <w:rPr>
          <w:rStyle w:val="Style1Char"/>
          <w:color w:val="00B050"/>
          <w:rtl/>
        </w:rPr>
        <w:t>שמין אותם, ו</w:t>
      </w:r>
      <w:r w:rsidRPr="00E60B2C">
        <w:rPr>
          <w:rStyle w:val="Style1Char"/>
          <w:color w:val="ED7D31" w:themeColor="accent2"/>
          <w:sz w:val="22"/>
          <w:szCs w:val="22"/>
          <w:rtl/>
        </w:rPr>
        <w:t>הרי הן בשוויהן</w:t>
      </w:r>
      <w:r w:rsidRPr="0058605C">
        <w:rPr>
          <w:rStyle w:val="Style1Char"/>
          <w:color w:val="00B050"/>
          <w:rtl/>
        </w:rPr>
        <w:t xml:space="preserve">, דברי רשב"ג, שרבן שמעון בן גמליאל אומר: במקום שנהגו שלא לפורטן - שמין אותם, והרי הן בשוויהן. מ"מ ככליו מיבעי ליה! קשיא. איבעית אימא: הכא במאי עסקינן - בדהבא פריכא. רב אשי אמר: בממלא. </w:t>
      </w:r>
      <w:r w:rsidRPr="00E60B2C">
        <w:rPr>
          <w:rStyle w:val="Style1Char"/>
          <w:color w:val="ED7D31" w:themeColor="accent2"/>
          <w:sz w:val="22"/>
          <w:szCs w:val="22"/>
          <w:rtl/>
        </w:rPr>
        <w:t xml:space="preserve">אמר רבי </w:t>
      </w:r>
      <w:r w:rsidRPr="0058605C">
        <w:rPr>
          <w:rStyle w:val="Style1Char"/>
          <w:color w:val="00B050"/>
          <w:rtl/>
        </w:rPr>
        <w:t>ינאי</w:t>
      </w:r>
      <w:r w:rsidRPr="00E60B2C">
        <w:rPr>
          <w:rStyle w:val="Style1Char"/>
          <w:color w:val="4472C4" w:themeColor="accent1"/>
          <w:rtl/>
        </w:rPr>
        <w:t xml:space="preserve"> </w:t>
      </w:r>
      <w:r w:rsidRPr="00E60B2C">
        <w:rPr>
          <w:rStyle w:val="Style1Char"/>
          <w:color w:val="4472C4" w:themeColor="accent1"/>
          <w:sz w:val="22"/>
          <w:szCs w:val="22"/>
          <w:rtl/>
        </w:rPr>
        <w:t>אמי</w:t>
      </w:r>
      <w:r w:rsidRPr="0058605C">
        <w:rPr>
          <w:rStyle w:val="Style1Char"/>
          <w:color w:val="00B050"/>
          <w:rtl/>
        </w:rPr>
        <w:t xml:space="preserve">: </w:t>
      </w:r>
      <w:r w:rsidRPr="00E60B2C">
        <w:rPr>
          <w:rStyle w:val="Style1Char"/>
          <w:color w:val="ED7D31" w:themeColor="accent2"/>
          <w:sz w:val="22"/>
          <w:szCs w:val="22"/>
          <w:rtl/>
        </w:rPr>
        <w:t>בשמים של אנטוכיא - הרי הן ככספים</w:t>
      </w:r>
      <w:r w:rsidRPr="0058605C">
        <w:rPr>
          <w:rStyle w:val="Style1Char"/>
          <w:color w:val="00B050"/>
          <w:rtl/>
        </w:rPr>
        <w:t xml:space="preserve">. </w:t>
      </w:r>
      <w:r w:rsidRPr="003D47C2">
        <w:rPr>
          <w:rStyle w:val="Style1Char"/>
          <w:color w:val="ED7D31" w:themeColor="accent2"/>
          <w:sz w:val="22"/>
          <w:szCs w:val="22"/>
          <w:rtl/>
        </w:rPr>
        <w:t xml:space="preserve">אמר רבי שמואל בר נחמני אמר רבי </w:t>
      </w:r>
      <w:r w:rsidRPr="0058605C">
        <w:rPr>
          <w:rStyle w:val="Style1Char"/>
          <w:color w:val="00B050"/>
          <w:rtl/>
        </w:rPr>
        <w:t>יוחנן</w:t>
      </w:r>
      <w:r w:rsidRPr="003D47C2">
        <w:rPr>
          <w:rStyle w:val="Style1Char"/>
          <w:color w:val="4472C4" w:themeColor="accent1"/>
          <w:rtl/>
        </w:rPr>
        <w:t xml:space="preserve"> </w:t>
      </w:r>
      <w:r w:rsidRPr="003D47C2">
        <w:rPr>
          <w:rStyle w:val="Style1Char"/>
          <w:color w:val="4472C4" w:themeColor="accent1"/>
          <w:sz w:val="22"/>
          <w:szCs w:val="22"/>
          <w:rtl/>
        </w:rPr>
        <w:t>יונתן</w:t>
      </w:r>
      <w:r w:rsidRPr="0058605C">
        <w:rPr>
          <w:rStyle w:val="Style1Char"/>
          <w:color w:val="00B050"/>
          <w:rtl/>
        </w:rPr>
        <w:t xml:space="preserve">: </w:t>
      </w:r>
      <w:r w:rsidR="00C309E7">
        <w:rPr>
          <w:rStyle w:val="Style1Char"/>
          <w:rFonts w:hint="cs"/>
          <w:rtl/>
        </w:rPr>
        <w:t>(1)</w:t>
      </w:r>
      <w:r w:rsidRPr="003D47C2">
        <w:rPr>
          <w:rStyle w:val="Style1Char"/>
          <w:color w:val="ED7D31" w:themeColor="accent2"/>
          <w:sz w:val="22"/>
          <w:szCs w:val="22"/>
          <w:rtl/>
        </w:rPr>
        <w:t>גמלים של ערביא, אשה גובה פרנא מהם</w:t>
      </w:r>
      <w:r w:rsidRPr="000B74E5">
        <w:rPr>
          <w:rStyle w:val="Style1Char"/>
          <w:color w:val="4472C4" w:themeColor="accent1"/>
          <w:rtl/>
        </w:rPr>
        <w:t xml:space="preserve"> </w:t>
      </w:r>
      <w:r w:rsidRPr="004D20E8">
        <w:rPr>
          <w:rStyle w:val="Style1Char"/>
          <w:color w:val="4472C4" w:themeColor="accent1"/>
          <w:rtl/>
        </w:rPr>
        <w:t>פי' רש"י ריווח שליש שהן ככספים וקשה לר"ת דהוי ליה למימר הרי הן ככספים כדאמר רבי ינאי על בשמים ונראה לי לפרש דבגביית כתובה איירי דאסמכתינהו עלייהו דומיא דארנקי דמחוזא דפי' רש"י לענין כתובה.</w:t>
      </w:r>
      <w:r>
        <w:rPr>
          <w:rStyle w:val="Style1Char"/>
          <w:rFonts w:hint="cs"/>
          <w:color w:val="4472C4" w:themeColor="accent1"/>
        </w:rPr>
        <w:t>‍</w:t>
      </w:r>
      <w:r w:rsidRPr="004D20E8">
        <w:rPr>
          <w:rStyle w:val="Style1Char"/>
          <w:color w:val="4472C4" w:themeColor="accent1"/>
          <w:rtl/>
        </w:rPr>
        <w:t xml:space="preserve"> ומכאן פוסקים דמטלטלי דידן משתעבדי לכתובה דעיקר משא ומתן שלנו הוא במעות ומטלטלין והוי כגמלים של ערביא ואשלי דקמחוניא דאסמכתינהו עלייהו. ולא נהירא לר"ת דאי כקרקע דמו כהנהו דשמעתא אם כן אם מכרן הבעל תוציאם האשה מיד הלקוחות אחרי מותו</w:t>
      </w:r>
      <w:r>
        <w:rPr>
          <w:rStyle w:val="Style1Char"/>
          <w:rFonts w:hint="cs"/>
          <w:color w:val="4472C4" w:themeColor="accent1"/>
        </w:rPr>
        <w:t>‍</w:t>
      </w:r>
      <w:r w:rsidRPr="004D20E8">
        <w:rPr>
          <w:rStyle w:val="Style1Char"/>
          <w:color w:val="4472C4" w:themeColor="accent1"/>
          <w:rtl/>
        </w:rPr>
        <w:t xml:space="preserve"> ולדבריהן בטלה עכשיו תקנת השוק.</w:t>
      </w:r>
      <w:r>
        <w:rPr>
          <w:rStyle w:val="Style1Char"/>
          <w:rFonts w:hint="cs"/>
          <w:color w:val="4472C4" w:themeColor="accent1"/>
        </w:rPr>
        <w:t>‍</w:t>
      </w:r>
      <w:r w:rsidRPr="004D20E8">
        <w:rPr>
          <w:rStyle w:val="Style1Char"/>
          <w:color w:val="4472C4" w:themeColor="accent1"/>
          <w:rtl/>
        </w:rPr>
        <w:t xml:space="preserve"> ואומר ר"ת דהכי נהיגי האידנא לגבות מטלטלי דאנן מטלטלי ומקרקעי כתבינן דהכי כתבינן נכסים דאית להון אחריות ודלית להון אחריות כולהון יהון אחראין לכתובתך ואמרינן בפרק חזקת הבתים (דף מד ב) ואי אקני ליה מטלטלי אגב מקרקעי גבי ממקרקעי וגם ממטלטלי ואף על גב דמסקינן בפרק קמא דקדושין (דף כז א) דאגב וקני בעינן ולא כתבינן אגב להכי לא תקינו ליכתב אגב דלא למשוינהו כמקרקעי לגמרי לגבות מן הלקוחות אלא להכי אהני דאקני להו עם הקרקע לשוינהו כקרקעי לגבותם אי הוו בעין לאחר מיתה או לאחר גירושין</w:t>
      </w:r>
      <w:r w:rsidRPr="004D20E8">
        <w:rPr>
          <w:rStyle w:val="Style1Char"/>
          <w:color w:val="4472C4" w:themeColor="accent1"/>
        </w:rPr>
        <w:t xml:space="preserve">: </w:t>
      </w:r>
    </w:p>
    <w:p w14:paraId="7D4BD896" w14:textId="77777777" w:rsidR="00FA0114" w:rsidRDefault="00FA0114" w:rsidP="00FA0114">
      <w:pPr>
        <w:bidi/>
        <w:rPr>
          <w:rStyle w:val="Style1Char"/>
          <w:color w:val="00B050"/>
          <w:rtl/>
        </w:rPr>
      </w:pPr>
      <w:r w:rsidRPr="003D47C2">
        <w:rPr>
          <w:rStyle w:val="Style1Char"/>
          <w:color w:val="ED7D31" w:themeColor="accent2"/>
          <w:sz w:val="22"/>
          <w:szCs w:val="22"/>
          <w:rtl/>
        </w:rPr>
        <w:t xml:space="preserve">. </w:t>
      </w:r>
      <w:r w:rsidRPr="0058605C">
        <w:rPr>
          <w:rStyle w:val="Style1Char"/>
          <w:color w:val="00B050"/>
          <w:rtl/>
        </w:rPr>
        <w:t xml:space="preserve">אמר רב פפי: הני תותבי דבי מכסי, אשה גובה פרנא מהם. ואמר רב פפי: הני שקי דרודיא ואשלי דקמחוניא, אשה גובה פרנא מהן. אמר רבא, מריש הוה אמינא: הני ארנקי דמחוזא, אשה גובה פרנא מהם, מאי טעמא? אסמכתייהו עלייהו, כיון דחזאי דשקלי להו ונפקי, וכי משכחי ארעא זבני בהו, אמינא: אסמכתייהו אארעא הוא. </w:t>
      </w:r>
    </w:p>
    <w:p w14:paraId="61C0DAA4" w14:textId="728DA053" w:rsidR="00FA0114" w:rsidRPr="007347B6" w:rsidRDefault="00FA0114" w:rsidP="00FA0114">
      <w:pPr>
        <w:bidi/>
        <w:rPr>
          <w:rStyle w:val="Style1Char"/>
          <w:color w:val="auto"/>
          <w:sz w:val="22"/>
          <w:szCs w:val="22"/>
        </w:rPr>
      </w:pPr>
      <w:r w:rsidRPr="007347B6">
        <w:rPr>
          <w:rStyle w:val="Style1Char"/>
          <w:color w:val="auto"/>
          <w:sz w:val="22"/>
          <w:szCs w:val="22"/>
          <w:rtl/>
        </w:rPr>
        <w:t xml:space="preserve">מתני'. </w:t>
      </w:r>
      <w:r w:rsidR="00C309E7">
        <w:rPr>
          <w:rStyle w:val="Style1Char"/>
          <w:rFonts w:hint="cs"/>
          <w:rtl/>
        </w:rPr>
        <w:t>(2)</w:t>
      </w:r>
      <w:r w:rsidRPr="007347B6">
        <w:rPr>
          <w:rStyle w:val="Style1Char"/>
          <w:color w:val="auto"/>
          <w:sz w:val="22"/>
          <w:szCs w:val="22"/>
          <w:rtl/>
        </w:rPr>
        <w:t xml:space="preserve">המשיא את בתו סתם - לא יפחות לה מחמשים זוז. </w:t>
      </w:r>
      <w:r w:rsidR="00C61348">
        <w:rPr>
          <w:rStyle w:val="Style1Char"/>
          <w:rFonts w:hint="cs"/>
          <w:rtl/>
        </w:rPr>
        <w:t>(3)</w:t>
      </w:r>
      <w:r w:rsidRPr="007347B6">
        <w:rPr>
          <w:rStyle w:val="Style1Char"/>
          <w:color w:val="auto"/>
          <w:sz w:val="22"/>
          <w:szCs w:val="22"/>
          <w:rtl/>
        </w:rPr>
        <w:t xml:space="preserve">פסק להכניסה ערומה, לא יאמר הבעל כשאכניסנה לביתי אכסנה בכסותי, אלא מכסה ועודה בבית אביה. </w:t>
      </w:r>
      <w:r w:rsidR="00C61348">
        <w:rPr>
          <w:rStyle w:val="Style1Char"/>
          <w:rFonts w:hint="cs"/>
          <w:rtl/>
        </w:rPr>
        <w:t>(4)</w:t>
      </w:r>
      <w:r w:rsidRPr="007347B6">
        <w:rPr>
          <w:rStyle w:val="Style1Char"/>
          <w:color w:val="auto"/>
          <w:sz w:val="22"/>
          <w:szCs w:val="22"/>
          <w:rtl/>
        </w:rPr>
        <w:t xml:space="preserve">וכן המשיא את היתומה - לא יפחות לה מחמשים זוז; אם יש בכיס - מפרנסין אותה לפי כבודה. </w:t>
      </w:r>
    </w:p>
    <w:p w14:paraId="3E90B200" w14:textId="1C94C5D5" w:rsidR="00FA0114" w:rsidRDefault="00FA0114" w:rsidP="00FA0114">
      <w:pPr>
        <w:bidi/>
        <w:rPr>
          <w:rStyle w:val="Style1Char"/>
          <w:color w:val="auto"/>
          <w:sz w:val="22"/>
          <w:szCs w:val="22"/>
          <w:rtl/>
        </w:rPr>
      </w:pPr>
      <w:r w:rsidRPr="00D10103">
        <w:rPr>
          <w:rStyle w:val="Style1Char"/>
          <w:color w:val="auto"/>
          <w:sz w:val="22"/>
          <w:szCs w:val="22"/>
          <w:rtl/>
        </w:rPr>
        <w:t xml:space="preserve">גמ'. אמר אביי: חמשים זוזי פשיטי. </w:t>
      </w:r>
      <w:r w:rsidRPr="0058605C">
        <w:rPr>
          <w:rStyle w:val="Style1Char"/>
          <w:color w:val="00B050"/>
          <w:rtl/>
        </w:rPr>
        <w:t xml:space="preserve">ממאי? מדקתני סיפא: </w:t>
      </w:r>
      <w:r w:rsidR="00C61348">
        <w:rPr>
          <w:rStyle w:val="Style1Char"/>
          <w:rFonts w:hint="cs"/>
          <w:rtl/>
        </w:rPr>
        <w:t>(</w:t>
      </w:r>
      <w:r w:rsidR="00355D15">
        <w:rPr>
          <w:rStyle w:val="Style1Char"/>
          <w:rFonts w:hint="cs"/>
          <w:rtl/>
        </w:rPr>
        <w:t>4</w:t>
      </w:r>
      <w:r w:rsidR="00C61348">
        <w:rPr>
          <w:rStyle w:val="Style1Char"/>
          <w:rFonts w:hint="cs"/>
          <w:rtl/>
        </w:rPr>
        <w:t>)</w:t>
      </w:r>
      <w:r w:rsidRPr="0058605C">
        <w:rPr>
          <w:rStyle w:val="Style1Char"/>
          <w:color w:val="00B050"/>
          <w:rtl/>
        </w:rPr>
        <w:t xml:space="preserve">אם יש בכיס - מפרנסין אותה לפי כבודה, ואמרינן: מאי כיס? אמר רחבה: ארנקי של צדקה, ואי סלקא דעתין חמשים זוזי ממש, אם יש בכיס כמה יהבינן לה? אלא שמע מינה: חמשים זוזי פשיטי. </w:t>
      </w:r>
      <w:r w:rsidRPr="00D10103">
        <w:rPr>
          <w:rStyle w:val="Style1Char"/>
          <w:color w:val="auto"/>
          <w:sz w:val="22"/>
          <w:szCs w:val="22"/>
          <w:rtl/>
        </w:rPr>
        <w:t xml:space="preserve">ת"ר: </w:t>
      </w:r>
      <w:r w:rsidR="00C61348">
        <w:rPr>
          <w:rStyle w:val="Style1Char"/>
          <w:rFonts w:hint="cs"/>
          <w:rtl/>
        </w:rPr>
        <w:t>(</w:t>
      </w:r>
      <w:r w:rsidR="00355D15">
        <w:rPr>
          <w:rStyle w:val="Style1Char"/>
          <w:rFonts w:hint="cs"/>
          <w:rtl/>
        </w:rPr>
        <w:t>5</w:t>
      </w:r>
      <w:r w:rsidR="00C61348">
        <w:rPr>
          <w:rStyle w:val="Style1Char"/>
          <w:rFonts w:hint="cs"/>
          <w:rtl/>
        </w:rPr>
        <w:t>)</w:t>
      </w:r>
      <w:r w:rsidRPr="00D10103">
        <w:rPr>
          <w:rStyle w:val="Style1Char"/>
          <w:color w:val="auto"/>
          <w:sz w:val="22"/>
          <w:szCs w:val="22"/>
          <w:rtl/>
        </w:rPr>
        <w:t xml:space="preserve">יתום ויתומה שבאו להתפרנס, מפרנסין את היתומה ואחר כך מפרנסין את היתום, מפני שהאיש דרכו לחזור על הפתחים, ואין אשה דרכה לחזור. </w:t>
      </w:r>
      <w:r w:rsidR="00355D15">
        <w:rPr>
          <w:rStyle w:val="Style1Char"/>
          <w:rFonts w:hint="cs"/>
          <w:rtl/>
        </w:rPr>
        <w:t>(5)</w:t>
      </w:r>
      <w:r w:rsidRPr="00D10103">
        <w:rPr>
          <w:rStyle w:val="Style1Char"/>
          <w:color w:val="auto"/>
          <w:sz w:val="22"/>
          <w:szCs w:val="22"/>
          <w:rtl/>
        </w:rPr>
        <w:t xml:space="preserve">יתום ויתומה </w:t>
      </w:r>
    </w:p>
    <w:p w14:paraId="5B03809E" w14:textId="7B77A32A" w:rsidR="00C309E7" w:rsidRDefault="00C309E7" w:rsidP="00C309E7">
      <w:pPr>
        <w:pStyle w:val="Style1"/>
        <w:rPr>
          <w:rStyle w:val="Style1Char"/>
          <w:rtl/>
        </w:rPr>
      </w:pPr>
      <w:r>
        <w:rPr>
          <w:rStyle w:val="Style1Char"/>
          <w:rFonts w:hint="cs"/>
          <w:rtl/>
        </w:rPr>
        <w:t>1)[</w:t>
      </w:r>
      <w:r w:rsidRPr="00C309E7">
        <w:rPr>
          <w:rStyle w:val="Style1Char"/>
          <w:rtl/>
        </w:rPr>
        <w:t>רמב</w:t>
      </w:r>
      <w:r w:rsidR="00213DA1">
        <w:rPr>
          <w:rStyle w:val="Style1Char"/>
          <w:rtl/>
        </w:rPr>
        <w:t>”ם \נשים\</w:t>
      </w:r>
      <w:r w:rsidRPr="00C309E7">
        <w:rPr>
          <w:rStyle w:val="Style1Char"/>
          <w:rtl/>
        </w:rPr>
        <w:t xml:space="preserve"> הלכות אישות פרק טז הלכה ז</w:t>
      </w:r>
      <w:r>
        <w:rPr>
          <w:rStyle w:val="Style1Char"/>
          <w:rFonts w:hint="cs"/>
          <w:rtl/>
        </w:rPr>
        <w:t xml:space="preserve">] </w:t>
      </w:r>
      <w:r w:rsidRPr="00C309E7">
        <w:rPr>
          <w:rStyle w:val="Style1Char"/>
          <w:rtl/>
        </w:rPr>
        <w:t>תקנו הגאונים בכל הישיבות שתהיה האשה גובה כתובתה אחרי מות בעלה אף מן המטלטלין כדרך שהתקינו לבעל חוב לגבות מן המטלטלין, ופשטה תקנה זו ברוב ישראל, וכן שאר תנאי כתובה כולן ככתובה הן וישנן במטלטלין כבקרקע, חוץ מכתובת בנין דכרין שלא מצאנו מנהג ירושתה פשוט בכל הישיבות, לפיכך אני אומר מעמידין אותה על דין התלמוד שאין יורשין כתובת אמן אלא מן הקרקע.</w:t>
      </w:r>
    </w:p>
    <w:p w14:paraId="5D455FB2" w14:textId="72091477" w:rsidR="00C309E7" w:rsidRPr="00A50C6B" w:rsidRDefault="00C309E7" w:rsidP="00C309E7">
      <w:pPr>
        <w:pStyle w:val="Style1"/>
      </w:pPr>
      <w:r>
        <w:rPr>
          <w:rStyle w:val="Style1Char"/>
          <w:rFonts w:hint="cs"/>
          <w:rtl/>
        </w:rPr>
        <w:t>1)[</w:t>
      </w:r>
      <w:r w:rsidRPr="00277FCB">
        <w:rPr>
          <w:rStyle w:val="Style1Char"/>
          <w:rtl/>
        </w:rPr>
        <w:t>שולחן ערוך אבן העזר הלכות כתובות סימן ק סעיף א</w:t>
      </w:r>
      <w:r>
        <w:rPr>
          <w:rStyle w:val="Style1Char"/>
          <w:rFonts w:hint="cs"/>
          <w:rtl/>
        </w:rPr>
        <w:t xml:space="preserve">] </w:t>
      </w:r>
      <w:r w:rsidRPr="00A50C6B">
        <w:rPr>
          <w:rtl/>
        </w:rPr>
        <w:t>מדינא דגמרא, הכתובה, דהינו עיקר כתובה ותוספת, אינם נגבים אלא מן הקרקע. ומתקנת הגאונים נגבים אף מן המטלטלים. והוא הדין לכל תנאיה, חוץ מכתובת בנין דכרין. לפיכך, אם גבו היורשים מעות בחובת אביהם, גובה מהם</w:t>
      </w:r>
      <w:r w:rsidRPr="00A50C6B">
        <w:t>. </w:t>
      </w:r>
      <w:r w:rsidRPr="00A50C6B">
        <w:rPr>
          <w:rFonts w:hint="cs"/>
          <w:rtl/>
        </w:rPr>
        <w:t>ומיהו, רשות ביד היורשים לסלקה בקרקע (הגהות אלפסי פרק הכותב)</w:t>
      </w:r>
      <w:r w:rsidRPr="00A50C6B">
        <w:t>.</w:t>
      </w:r>
    </w:p>
    <w:p w14:paraId="49750754" w14:textId="77777777" w:rsidR="00C309E7" w:rsidRPr="00A50C6B" w:rsidRDefault="00C309E7" w:rsidP="00C309E7">
      <w:pPr>
        <w:pStyle w:val="Style1"/>
      </w:pPr>
      <w:r w:rsidRPr="00A50C6B">
        <w:rPr>
          <w:rtl/>
        </w:rPr>
        <w:t>ודוקא מטלטלי בני חרי, אבל אם מכרם הבעל או נתנם במתנת בריא, אינה גובה מהם</w:t>
      </w:r>
      <w:r w:rsidRPr="00A50C6B">
        <w:t>.</w:t>
      </w:r>
    </w:p>
    <w:p w14:paraId="29A70F4A" w14:textId="77777777" w:rsidR="00C309E7" w:rsidRPr="00A50C6B" w:rsidRDefault="00C309E7" w:rsidP="00C309E7">
      <w:pPr>
        <w:pStyle w:val="Style1"/>
      </w:pPr>
      <w:r w:rsidRPr="00A50C6B">
        <w:rPr>
          <w:rFonts w:hint="cs"/>
          <w:rtl/>
        </w:rPr>
        <w:t>הגה: ויש אומרים דוקא שנתן לאחרים, אבל אם נתן ליורשיו במתנת בריא, אשה גובאת כתובתה מהם (הגהות מימוני פרק י"ו ומהרא"י סימן פ"ו ומהרי"ו סימן קנ"ו), דכל מה שנתן ליורשיו אינו אלא כירשה, והאשה גובאת כתובתה משם (מרדכי פרק נערה בשם מוהר"ם). מי שצוה לתת מנכסיו לאחר מותו כך וכך, אף על פי שצוה כך כשהיה בריא, אשה גובאת כתובתה משם, דאינה אלא כמתנת שכיב מרע דגובאת כתבתה משם. (ועין בחשן המשפט </w:t>
      </w:r>
      <w:hyperlink r:id="rId154" w:tooltip="שולחן ערוך חושן משפט רנא" w:history="1">
        <w:r w:rsidRPr="00A50C6B">
          <w:rPr>
            <w:rStyle w:val="Hyperlink"/>
            <w:rFonts w:hint="cs"/>
            <w:color w:val="7030A0"/>
            <w:u w:val="none"/>
            <w:rtl/>
          </w:rPr>
          <w:t>סימן רנ"א</w:t>
        </w:r>
      </w:hyperlink>
      <w:r w:rsidRPr="00A50C6B">
        <w:rPr>
          <w:rFonts w:hint="cs"/>
        </w:rPr>
        <w:t> </w:t>
      </w:r>
      <w:hyperlink r:id="rId155" w:tooltip="שולחן ערוך חושן משפט רנב" w:history="1">
        <w:r w:rsidRPr="00A50C6B">
          <w:rPr>
            <w:rStyle w:val="Hyperlink"/>
            <w:rFonts w:hint="cs"/>
            <w:color w:val="7030A0"/>
            <w:u w:val="none"/>
            <w:rtl/>
          </w:rPr>
          <w:t>ורנ"ב</w:t>
        </w:r>
      </w:hyperlink>
      <w:r w:rsidRPr="00A50C6B">
        <w:rPr>
          <w:rFonts w:hint="cs"/>
        </w:rPr>
        <w:t> </w:t>
      </w:r>
      <w:hyperlink r:id="rId156" w:tooltip="שולחן ערוך חושן משפט רנז" w:history="1">
        <w:r w:rsidRPr="00A50C6B">
          <w:rPr>
            <w:rStyle w:val="Hyperlink"/>
            <w:rFonts w:hint="cs"/>
            <w:color w:val="7030A0"/>
            <w:u w:val="none"/>
            <w:rtl/>
          </w:rPr>
          <w:t>ורנ"ז</w:t>
        </w:r>
      </w:hyperlink>
      <w:r w:rsidRPr="00A50C6B">
        <w:rPr>
          <w:rFonts w:hint="cs"/>
        </w:rPr>
        <w:t>.)</w:t>
      </w:r>
    </w:p>
    <w:p w14:paraId="09024155" w14:textId="77777777" w:rsidR="00C309E7" w:rsidRPr="00A50C6B" w:rsidRDefault="00C309E7" w:rsidP="00C309E7">
      <w:pPr>
        <w:pStyle w:val="Style1"/>
      </w:pPr>
      <w:r w:rsidRPr="00A50C6B">
        <w:rPr>
          <w:rtl/>
        </w:rPr>
        <w:t>ואם מכרום יורשים אחר מותו, גובה מהם. ועכשיו נוהגים לכתוב בכל הכתובות ששעבד לה כל נכסיו מקרקעי ומטלטלי מטלטלי אגב מקרקעי דקנאית ודאקנה. ומכל מקום, לא נהגו לגבות ממטלטלין שמכר או נתן במתנת בריא, ולא אפילו ממטלטלין שמכרו היורשים, מפני תקנת השוק</w:t>
      </w:r>
      <w:r w:rsidRPr="00A50C6B">
        <w:t>.</w:t>
      </w:r>
    </w:p>
    <w:p w14:paraId="36911D3E" w14:textId="01695435" w:rsidR="00C309E7" w:rsidRDefault="00C309E7" w:rsidP="00C309E7">
      <w:pPr>
        <w:pStyle w:val="Style1"/>
        <w:rPr>
          <w:rtl/>
        </w:rPr>
      </w:pPr>
      <w:r w:rsidRPr="00A50C6B">
        <w:rPr>
          <w:rFonts w:hint="cs"/>
          <w:rtl/>
        </w:rPr>
        <w:t>ועין </w:t>
      </w:r>
      <w:hyperlink r:id="rId157" w:tooltip="שולחן ערוך חושן משפט קיג" w:history="1">
        <w:r w:rsidRPr="00A50C6B">
          <w:rPr>
            <w:rStyle w:val="Hyperlink"/>
            <w:rFonts w:hint="cs"/>
            <w:color w:val="7030A0"/>
            <w:u w:val="none"/>
            <w:rtl/>
          </w:rPr>
          <w:t>בחשן המשפט סימן קי"ג</w:t>
        </w:r>
      </w:hyperlink>
      <w:r w:rsidRPr="00A50C6B">
        <w:rPr>
          <w:rFonts w:hint="cs"/>
        </w:rPr>
        <w:t xml:space="preserve">. </w:t>
      </w:r>
      <w:r w:rsidRPr="00A50C6B">
        <w:rPr>
          <w:rFonts w:hint="cs"/>
          <w:rtl/>
        </w:rPr>
        <w:t>עין לקמן </w:t>
      </w:r>
      <w:hyperlink r:id="rId158" w:tooltip="שולחן ערוך אבן העזר קיח" w:history="1">
        <w:r w:rsidRPr="00A50C6B">
          <w:rPr>
            <w:rStyle w:val="Hyperlink"/>
            <w:rFonts w:hint="cs"/>
            <w:color w:val="7030A0"/>
            <w:u w:val="none"/>
            <w:rtl/>
          </w:rPr>
          <w:t>סימן קי"ח</w:t>
        </w:r>
      </w:hyperlink>
      <w:r w:rsidRPr="00A50C6B">
        <w:rPr>
          <w:rFonts w:hint="cs"/>
        </w:rPr>
        <w:t xml:space="preserve">, </w:t>
      </w:r>
      <w:r w:rsidRPr="00A50C6B">
        <w:rPr>
          <w:rFonts w:hint="cs"/>
          <w:rtl/>
        </w:rPr>
        <w:t>אם אשה חייבת לקבר בעלה קדם שתגבה כתובתה</w:t>
      </w:r>
      <w:r w:rsidRPr="00A50C6B">
        <w:t>:</w:t>
      </w:r>
    </w:p>
    <w:p w14:paraId="40D029B4" w14:textId="31744493" w:rsidR="00C309E7" w:rsidRDefault="00C309E7" w:rsidP="00C309E7">
      <w:pPr>
        <w:pStyle w:val="Style1"/>
        <w:rPr>
          <w:rtl/>
        </w:rPr>
      </w:pPr>
      <w:r>
        <w:rPr>
          <w:rFonts w:hint="cs"/>
          <w:rtl/>
        </w:rPr>
        <w:t>2)[</w:t>
      </w:r>
      <w:r>
        <w:rPr>
          <w:rtl/>
        </w:rPr>
        <w:t>רמב</w:t>
      </w:r>
      <w:r w:rsidR="00213DA1">
        <w:rPr>
          <w:rtl/>
        </w:rPr>
        <w:t>”ם \נשים\</w:t>
      </w:r>
      <w:r>
        <w:rPr>
          <w:rtl/>
        </w:rPr>
        <w:t xml:space="preserve"> הלכות אישות פרק כ הלכה א</w:t>
      </w:r>
      <w:r>
        <w:rPr>
          <w:rFonts w:hint="cs"/>
          <w:rtl/>
        </w:rPr>
        <w:t xml:space="preserve">] </w:t>
      </w:r>
      <w:r>
        <w:rPr>
          <w:rtl/>
        </w:rPr>
        <w:t>צוו חכמים שיתן אדם מנכסיו מעט לבתו כדי שתנשא בו, וזה הוא הנקרא פרנסה, המשיא את בתו סתם לא יפחות לה מכסות שפוסקין לאשת עני שבישראל כמו שביארנו, במה דברים אמורים בשהיה האב עני אבל אם היה עשיר הרי זה ראוי ליתן לה כפי עשרו.</w:t>
      </w:r>
    </w:p>
    <w:p w14:paraId="33AE34F1" w14:textId="0A8B5E5D" w:rsidR="00C309E7" w:rsidRDefault="00C309E7" w:rsidP="00C309E7">
      <w:pPr>
        <w:pStyle w:val="Style1"/>
        <w:rPr>
          <w:rtl/>
        </w:rPr>
      </w:pPr>
      <w:r>
        <w:rPr>
          <w:rFonts w:hint="cs"/>
          <w:rtl/>
        </w:rPr>
        <w:t>2)[</w:t>
      </w:r>
      <w:r>
        <w:rPr>
          <w:rtl/>
        </w:rPr>
        <w:t>רמב</w:t>
      </w:r>
      <w:r w:rsidR="00213DA1">
        <w:rPr>
          <w:rtl/>
        </w:rPr>
        <w:t>”ם \נשים\</w:t>
      </w:r>
      <w:r>
        <w:rPr>
          <w:rtl/>
        </w:rPr>
        <w:t xml:space="preserve"> הלכות אישות פרק יג הלכה ח</w:t>
      </w:r>
      <w:r>
        <w:rPr>
          <w:rFonts w:hint="cs"/>
          <w:rtl/>
        </w:rPr>
        <w:t xml:space="preserve">] </w:t>
      </w:r>
      <w:r>
        <w:rPr>
          <w:rtl/>
        </w:rPr>
        <w:t>המדיר את אשתו שלא תתקשט באחד מכל המינין, בעניות שנה אחת יקיים יתר על כן או יתיר נדרו או יוציא ויתן כתובה, ובעשירות שלשים יום יקיים יתר על כן או יתיר נדרו או יוציא ויתן כתובה.</w:t>
      </w:r>
    </w:p>
    <w:p w14:paraId="75C10293" w14:textId="13F20DC5" w:rsidR="00C61348" w:rsidRPr="003B3D0F" w:rsidRDefault="00C61348" w:rsidP="00C61348">
      <w:pPr>
        <w:pStyle w:val="Style1"/>
      </w:pPr>
      <w:r>
        <w:rPr>
          <w:rFonts w:hint="cs"/>
          <w:rtl/>
        </w:rPr>
        <w:t>2)[</w:t>
      </w:r>
      <w:r>
        <w:rPr>
          <w:rtl/>
        </w:rPr>
        <w:t>שולחן ערוך אבן העזר הלכות קידושין סימן נח סעיף א</w:t>
      </w:r>
      <w:r>
        <w:rPr>
          <w:rFonts w:hint="cs"/>
          <w:rtl/>
        </w:rPr>
        <w:t xml:space="preserve">] </w:t>
      </w:r>
      <w:r w:rsidRPr="003B3D0F">
        <w:rPr>
          <w:rtl/>
        </w:rPr>
        <w:t>צוו חכמים שיתן אדם מנכסיו מעט לבתו, וזהו הנקרא "פרנסה</w:t>
      </w:r>
      <w:r w:rsidRPr="003B3D0F">
        <w:t>".</w:t>
      </w:r>
    </w:p>
    <w:p w14:paraId="088CC6C7" w14:textId="4115A70E" w:rsidR="00C61348" w:rsidRDefault="00C61348" w:rsidP="00C61348">
      <w:pPr>
        <w:pStyle w:val="Style1"/>
        <w:rPr>
          <w:rtl/>
        </w:rPr>
      </w:pPr>
      <w:r w:rsidRPr="003B3D0F">
        <w:rPr>
          <w:rtl/>
        </w:rPr>
        <w:t>המשיא את בתו סתם, לא יפחת לה מכסות שפוסקין לאשת עני שבישראל. במה דברים אמורים, שהיה האב עני; אבל אם היה עשיר, הרי זה ראוי ליתן לה כפי עשרו</w:t>
      </w:r>
      <w:r w:rsidRPr="003B3D0F">
        <w:t>:</w:t>
      </w:r>
    </w:p>
    <w:p w14:paraId="4C750DB2" w14:textId="3586C3FD" w:rsidR="00C61348" w:rsidRDefault="00C61348" w:rsidP="00C61348">
      <w:pPr>
        <w:pStyle w:val="Style1"/>
        <w:rPr>
          <w:rtl/>
        </w:rPr>
      </w:pPr>
      <w:r>
        <w:rPr>
          <w:rFonts w:hint="cs"/>
          <w:rtl/>
        </w:rPr>
        <w:lastRenderedPageBreak/>
        <w:t>3)[</w:t>
      </w:r>
      <w:r>
        <w:rPr>
          <w:rtl/>
        </w:rPr>
        <w:t>רמב</w:t>
      </w:r>
      <w:r w:rsidR="00213DA1">
        <w:rPr>
          <w:rtl/>
        </w:rPr>
        <w:t>”ם \נשים\</w:t>
      </w:r>
      <w:r>
        <w:rPr>
          <w:rtl/>
        </w:rPr>
        <w:t xml:space="preserve"> הלכות אישות פרק כ הלכה ב</w:t>
      </w:r>
      <w:r>
        <w:rPr>
          <w:rFonts w:hint="cs"/>
          <w:rtl/>
        </w:rPr>
        <w:t xml:space="preserve">] </w:t>
      </w:r>
      <w:r>
        <w:rPr>
          <w:rtl/>
        </w:rPr>
        <w:t>פירש על הבעל שאין לה כלום ושיכניסנה ערומה אין לה כלום, ולא יאמר הבעל כשתבוא לביתי אכסנה אלא מכסה והיא בבית אביה.</w:t>
      </w:r>
    </w:p>
    <w:p w14:paraId="1D40090F" w14:textId="36E1AA9D" w:rsidR="00C61348" w:rsidRDefault="00C61348" w:rsidP="00C61348">
      <w:pPr>
        <w:pStyle w:val="Style1"/>
        <w:rPr>
          <w:rtl/>
        </w:rPr>
      </w:pPr>
      <w:r>
        <w:rPr>
          <w:rFonts w:hint="cs"/>
          <w:rtl/>
        </w:rPr>
        <w:t>3)[</w:t>
      </w:r>
      <w:r>
        <w:rPr>
          <w:rtl/>
        </w:rPr>
        <w:t>שולחן ערוך אבן העזר הלכות קידושין סימן נח סעיף ב</w:t>
      </w:r>
      <w:r>
        <w:rPr>
          <w:rFonts w:hint="cs"/>
          <w:rtl/>
        </w:rPr>
        <w:t xml:space="preserve">] </w:t>
      </w:r>
      <w:r>
        <w:rPr>
          <w:rtl/>
        </w:rPr>
        <w:t>התנה עם החתן להכניסה לו ערומה, לא יאמר: לכשתבא לביתי, אכסנה, אלא מכסה אותה ועודה בבית אביה.</w:t>
      </w:r>
    </w:p>
    <w:p w14:paraId="0A5B1910" w14:textId="55579436" w:rsidR="00C61348" w:rsidRDefault="00C61348" w:rsidP="00C61348">
      <w:pPr>
        <w:pStyle w:val="Style1"/>
        <w:rPr>
          <w:rtl/>
        </w:rPr>
      </w:pPr>
      <w:r>
        <w:rPr>
          <w:rFonts w:hint="cs"/>
          <w:rtl/>
        </w:rPr>
        <w:t>4)[</w:t>
      </w:r>
      <w:r>
        <w:rPr>
          <w:rtl/>
        </w:rPr>
        <w:t>רמב</w:t>
      </w:r>
      <w:r w:rsidR="00EC109D">
        <w:rPr>
          <w:rtl/>
        </w:rPr>
        <w:t>”ם \זרעים\</w:t>
      </w:r>
      <w:r>
        <w:rPr>
          <w:rtl/>
        </w:rPr>
        <w:t xml:space="preserve"> הלכות מתנות עניים פרק ח הלכה טז</w:t>
      </w:r>
      <w:r>
        <w:rPr>
          <w:rFonts w:hint="cs"/>
          <w:rtl/>
        </w:rPr>
        <w:t xml:space="preserve">] </w:t>
      </w:r>
      <w:r>
        <w:rPr>
          <w:rtl/>
        </w:rPr>
        <w:t>יתום ויתומה שבאו להשיא אותן משיאין האשה קודם לאיש מפני שבושתה של אשה מרובה, ולא יפחתו לה ממשקל ששה דינרים ורביע דינר של כסף טהור, ואם יש בכיס של צדקה נותנין לה לפי כבודה.</w:t>
      </w:r>
    </w:p>
    <w:p w14:paraId="1B292FB2" w14:textId="4A21E074" w:rsidR="00C61348" w:rsidRDefault="00C61348" w:rsidP="00C61348">
      <w:pPr>
        <w:pStyle w:val="Style1"/>
        <w:rPr>
          <w:rtl/>
        </w:rPr>
      </w:pPr>
      <w:r>
        <w:rPr>
          <w:rFonts w:hint="cs"/>
          <w:rtl/>
        </w:rPr>
        <w:t>4)[</w:t>
      </w:r>
      <w:r>
        <w:rPr>
          <w:rtl/>
        </w:rPr>
        <w:t>שולחן ערוך יורה דעה הלכות צדקה סימן רנ סעיף ב</w:t>
      </w:r>
      <w:r>
        <w:rPr>
          <w:rFonts w:hint="cs"/>
          <w:rtl/>
        </w:rPr>
        <w:t xml:space="preserve">] </w:t>
      </w:r>
      <w:r>
        <w:rPr>
          <w:rtl/>
        </w:rPr>
        <w:t>אשה שבאה לינשא, לא יפחתו לה מנ' זוז. ואם יש בכיס, מפרנסים אותה לפי כבודה. (ועיין לקמן סימן רנ"ז אם הגבאים צריכים ללוות).</w:t>
      </w:r>
    </w:p>
    <w:p w14:paraId="10ACAA98" w14:textId="23C09897" w:rsidR="00C61348" w:rsidRDefault="00C61348" w:rsidP="00C61348">
      <w:pPr>
        <w:pStyle w:val="Style1"/>
        <w:rPr>
          <w:rtl/>
        </w:rPr>
      </w:pPr>
      <w:r>
        <w:rPr>
          <w:rFonts w:hint="cs"/>
          <w:rtl/>
        </w:rPr>
        <w:t>5)[</w:t>
      </w:r>
      <w:r>
        <w:rPr>
          <w:rtl/>
        </w:rPr>
        <w:t>רמב</w:t>
      </w:r>
      <w:r w:rsidR="00EC109D">
        <w:rPr>
          <w:rtl/>
        </w:rPr>
        <w:t>”ם \זרעים\</w:t>
      </w:r>
      <w:r>
        <w:rPr>
          <w:rtl/>
        </w:rPr>
        <w:t xml:space="preserve"> הלכות מתנות עניים פרק ח הלכה טו</w:t>
      </w:r>
      <w:r>
        <w:rPr>
          <w:rFonts w:hint="cs"/>
          <w:rtl/>
        </w:rPr>
        <w:t xml:space="preserve">] </w:t>
      </w:r>
      <w:r>
        <w:rPr>
          <w:rtl/>
        </w:rPr>
        <w:t>האשה קודמת לאיש להאכיל ולכסות ולהוציא מבית השבי, מפני שהאיש דרכו לחזר לא האשה ובושתה מרובה, ואם היו שניהם בשביה ונתבעו שניהן לדבר עבירה האיש קודם לפדות לפי שאין דרכו לכך.</w:t>
      </w:r>
    </w:p>
    <w:p w14:paraId="48C5F6B1" w14:textId="3D6B196C" w:rsidR="00355D15" w:rsidRPr="00355D15" w:rsidRDefault="00355D15" w:rsidP="00355D15">
      <w:pPr>
        <w:pStyle w:val="Style1"/>
      </w:pPr>
      <w:r>
        <w:rPr>
          <w:rFonts w:hint="cs"/>
          <w:rtl/>
        </w:rPr>
        <w:t>5)[</w:t>
      </w:r>
      <w:r>
        <w:rPr>
          <w:rtl/>
        </w:rPr>
        <w:t>שולחן ערוך יורה דעה הלכות צדקה סימן רנא סעיף ח</w:t>
      </w:r>
      <w:r>
        <w:rPr>
          <w:rFonts w:hint="cs"/>
          <w:rtl/>
        </w:rPr>
        <w:t xml:space="preserve">] </w:t>
      </w:r>
      <w:r w:rsidRPr="00355D15">
        <w:rPr>
          <w:rtl/>
        </w:rPr>
        <w:t>איש ואשה שבאו לשאול מזון -- מקדימין אשה לאיש. וכן אם באו לשאול כסות. וכן אם באו יתום ויתומה לינשא -- מקדימין להשיא היתומה</w:t>
      </w:r>
      <w:r w:rsidRPr="00355D15">
        <w:t>.</w:t>
      </w:r>
    </w:p>
    <w:p w14:paraId="2E9FF90B" w14:textId="77777777" w:rsidR="00C61348" w:rsidRDefault="00C61348" w:rsidP="00C61348">
      <w:pPr>
        <w:pStyle w:val="Style1"/>
        <w:rPr>
          <w:rtl/>
        </w:rPr>
      </w:pPr>
    </w:p>
    <w:p w14:paraId="35FC5472" w14:textId="4F3C7445" w:rsidR="00C309E7" w:rsidRPr="00C309E7" w:rsidRDefault="00C309E7" w:rsidP="00C309E7">
      <w:pPr>
        <w:pStyle w:val="Style1"/>
        <w:rPr>
          <w:rStyle w:val="Style1Char"/>
          <w:rtl/>
        </w:rPr>
      </w:pPr>
    </w:p>
    <w:p w14:paraId="50097D78" w14:textId="77777777" w:rsidR="00FA0114" w:rsidRPr="00C309E7" w:rsidRDefault="00FA0114" w:rsidP="00C309E7">
      <w:pPr>
        <w:pStyle w:val="Style1"/>
        <w:rPr>
          <w:rStyle w:val="Style1Char"/>
          <w:rtl/>
        </w:rPr>
      </w:pPr>
    </w:p>
    <w:p w14:paraId="171F4BC6" w14:textId="77777777" w:rsidR="00FA0114" w:rsidRPr="00720E5F" w:rsidRDefault="00FA0114" w:rsidP="00FA0114">
      <w:pPr>
        <w:bidi/>
        <w:rPr>
          <w:rStyle w:val="Style1Char"/>
          <w:color w:val="00B050"/>
          <w:rtl/>
        </w:rPr>
      </w:pPr>
    </w:p>
    <w:p w14:paraId="26AAA2FA" w14:textId="77777777" w:rsidR="00FA0114" w:rsidRDefault="00FA0114" w:rsidP="00FA0114">
      <w:pPr>
        <w:rPr>
          <w:rStyle w:val="Style1Char"/>
          <w:color w:val="00B050"/>
          <w:rtl/>
        </w:rPr>
      </w:pPr>
      <w:r>
        <w:rPr>
          <w:rStyle w:val="Style1Char"/>
          <w:color w:val="00B050"/>
          <w:rtl/>
        </w:rPr>
        <w:br w:type="page"/>
      </w:r>
    </w:p>
    <w:p w14:paraId="7B3B2590" w14:textId="780C479D" w:rsidR="00FA0114" w:rsidRDefault="00FA0114" w:rsidP="00FA0114">
      <w:pPr>
        <w:bidi/>
        <w:rPr>
          <w:rStyle w:val="Style1Char"/>
          <w:color w:val="00B050"/>
          <w:rtl/>
        </w:rPr>
      </w:pPr>
      <w:r w:rsidRPr="00F86F43">
        <w:rPr>
          <w:rStyle w:val="Style1Char"/>
          <w:color w:val="auto"/>
          <w:sz w:val="22"/>
          <w:szCs w:val="22"/>
          <w:highlight w:val="yellow"/>
          <w:rtl/>
        </w:rPr>
        <w:lastRenderedPageBreak/>
        <w:t>[דף סז עמוד ב]</w:t>
      </w:r>
      <w:r w:rsidRPr="00F86F43">
        <w:rPr>
          <w:rStyle w:val="Style1Char"/>
          <w:color w:val="auto"/>
          <w:sz w:val="22"/>
          <w:szCs w:val="22"/>
          <w:rtl/>
        </w:rPr>
        <w:t xml:space="preserve"> שבאו לינשא, משיאין את היתומה ואחר כך משיאין את היתום, מפני שבושתה של אשה מרובה משל איש. ת"ר: </w:t>
      </w:r>
      <w:r w:rsidR="00B04A67">
        <w:rPr>
          <w:rStyle w:val="Style1Char"/>
          <w:rFonts w:hint="cs"/>
          <w:rtl/>
        </w:rPr>
        <w:t>(1)</w:t>
      </w:r>
      <w:r w:rsidRPr="00F86F43">
        <w:rPr>
          <w:rStyle w:val="Style1Char"/>
          <w:color w:val="auto"/>
          <w:sz w:val="22"/>
          <w:szCs w:val="22"/>
          <w:rtl/>
        </w:rPr>
        <w:t xml:space="preserve">יתום שבא לישא, שוכרין לו בית ומציעין לו מטה וכל כלי תשמישו, ואחר כך משיאין לו אשה, שנאמר: די מחסורו אשר יחסר לו, די מחסורו - זה הבית, אשר יחסר </w:t>
      </w:r>
      <w:r w:rsidRPr="001551D6">
        <w:rPr>
          <w:rStyle w:val="Style1Char"/>
          <w:sz w:val="22"/>
          <w:szCs w:val="22"/>
          <w:rtl/>
        </w:rPr>
        <w:t xml:space="preserve">- </w:t>
      </w:r>
      <w:r w:rsidRPr="00A917FD">
        <w:rPr>
          <w:rStyle w:val="Style1Char"/>
          <w:color w:val="ED7D31" w:themeColor="accent2"/>
          <w:rtl/>
        </w:rPr>
        <w:t>זה</w:t>
      </w:r>
      <w:r w:rsidRPr="00A917FD">
        <w:rPr>
          <w:rStyle w:val="Style1Char"/>
          <w:color w:val="ED7D31" w:themeColor="accent2"/>
          <w:sz w:val="10"/>
          <w:szCs w:val="10"/>
          <w:rtl/>
        </w:rPr>
        <w:t xml:space="preserve"> </w:t>
      </w:r>
      <w:r w:rsidRPr="001551D6">
        <w:rPr>
          <w:rStyle w:val="Style1Char"/>
          <w:color w:val="C00000"/>
          <w:sz w:val="22"/>
          <w:szCs w:val="22"/>
          <w:rtl/>
        </w:rPr>
        <w:t xml:space="preserve">אלו </w:t>
      </w:r>
      <w:r w:rsidRPr="00A917FD">
        <w:rPr>
          <w:rStyle w:val="Style1Char"/>
          <w:color w:val="ED7D31" w:themeColor="accent2"/>
          <w:rtl/>
        </w:rPr>
        <w:t xml:space="preserve">מטה </w:t>
      </w:r>
      <w:r w:rsidRPr="0058605C">
        <w:rPr>
          <w:rStyle w:val="Style1Char"/>
          <w:color w:val="00B050"/>
          <w:rtl/>
        </w:rPr>
        <w:t>ושלחן</w:t>
      </w:r>
      <w:r w:rsidRPr="001551D6">
        <w:rPr>
          <w:rStyle w:val="Style1Char"/>
          <w:color w:val="C00000"/>
          <w:rtl/>
        </w:rPr>
        <w:t xml:space="preserve"> </w:t>
      </w:r>
      <w:r w:rsidRPr="001551D6">
        <w:rPr>
          <w:rStyle w:val="Style1Char"/>
          <w:color w:val="C00000"/>
          <w:sz w:val="22"/>
          <w:szCs w:val="22"/>
          <w:rtl/>
        </w:rPr>
        <w:t>מטלטלין</w:t>
      </w:r>
      <w:r w:rsidRPr="0058605C">
        <w:rPr>
          <w:rStyle w:val="Style1Char"/>
          <w:color w:val="00B050"/>
          <w:rtl/>
        </w:rPr>
        <w:t xml:space="preserve">, </w:t>
      </w:r>
      <w:r w:rsidRPr="00A917FD">
        <w:rPr>
          <w:rStyle w:val="Style1Char"/>
          <w:color w:val="auto"/>
          <w:sz w:val="22"/>
          <w:szCs w:val="22"/>
          <w:rtl/>
        </w:rPr>
        <w:t>לו - זו אשה</w:t>
      </w:r>
      <w:r w:rsidRPr="0058605C">
        <w:rPr>
          <w:rStyle w:val="Style1Char"/>
          <w:color w:val="00B050"/>
          <w:rtl/>
        </w:rPr>
        <w:t xml:space="preserve">, </w:t>
      </w:r>
      <w:r w:rsidRPr="00A917FD">
        <w:rPr>
          <w:rStyle w:val="Style1Char"/>
          <w:color w:val="ED7D31" w:themeColor="accent2"/>
          <w:sz w:val="22"/>
          <w:szCs w:val="22"/>
          <w:rtl/>
        </w:rPr>
        <w:t xml:space="preserve">וכן הוא אומר: אעשה לו עזר כנגדו. </w:t>
      </w:r>
      <w:r w:rsidRPr="004A5C2C">
        <w:rPr>
          <w:rStyle w:val="Style1Char"/>
          <w:color w:val="auto"/>
          <w:sz w:val="22"/>
          <w:szCs w:val="22"/>
          <w:rtl/>
        </w:rPr>
        <w:t xml:space="preserve">תנו רבנן: די מחסורו - </w:t>
      </w:r>
      <w:r w:rsidR="00B04A67">
        <w:rPr>
          <w:rStyle w:val="Style1Char"/>
          <w:rFonts w:hint="cs"/>
          <w:rtl/>
        </w:rPr>
        <w:t>(1)</w:t>
      </w:r>
      <w:r w:rsidRPr="004A5C2C">
        <w:rPr>
          <w:rStyle w:val="Style1Char"/>
          <w:color w:val="auto"/>
          <w:sz w:val="22"/>
          <w:szCs w:val="22"/>
          <w:rtl/>
        </w:rPr>
        <w:t>אתה מצווה</w:t>
      </w:r>
      <w:r w:rsidRPr="004A5C2C">
        <w:rPr>
          <w:rStyle w:val="Style1Char"/>
          <w:color w:val="auto"/>
          <w:rtl/>
        </w:rPr>
        <w:t xml:space="preserve"> </w:t>
      </w:r>
      <w:r w:rsidRPr="0058605C">
        <w:rPr>
          <w:rStyle w:val="Style1Char"/>
          <w:color w:val="00B050"/>
          <w:rtl/>
        </w:rPr>
        <w:t xml:space="preserve">עליו </w:t>
      </w:r>
      <w:r w:rsidRPr="004A5C2C">
        <w:rPr>
          <w:rStyle w:val="Style1Char"/>
          <w:color w:val="auto"/>
          <w:sz w:val="22"/>
          <w:szCs w:val="22"/>
          <w:rtl/>
        </w:rPr>
        <w:t xml:space="preserve">לפרנסו, ואי אתה מצווה עליו לעשרו; אשר יחסר לו - </w:t>
      </w:r>
      <w:r w:rsidR="00B04A67">
        <w:rPr>
          <w:rStyle w:val="Style1Char"/>
          <w:rFonts w:hint="cs"/>
          <w:rtl/>
        </w:rPr>
        <w:t>(1)</w:t>
      </w:r>
      <w:r w:rsidRPr="004A5C2C">
        <w:rPr>
          <w:rStyle w:val="Style1Char"/>
          <w:color w:val="auto"/>
          <w:sz w:val="22"/>
          <w:szCs w:val="22"/>
          <w:rtl/>
        </w:rPr>
        <w:t>אפילו סוס לרכוב עליו ועבד לרוץ לפניו. אמרו עליו על הלל הזקן</w:t>
      </w:r>
      <w:r w:rsidRPr="00711854">
        <w:rPr>
          <w:rStyle w:val="Style1Char"/>
          <w:sz w:val="22"/>
          <w:szCs w:val="22"/>
          <w:rtl/>
        </w:rPr>
        <w:t xml:space="preserve">, </w:t>
      </w:r>
      <w:r w:rsidRPr="008B461F">
        <w:rPr>
          <w:rStyle w:val="Style1Char"/>
          <w:color w:val="ED7D31" w:themeColor="accent2"/>
          <w:rtl/>
        </w:rPr>
        <w:t xml:space="preserve">שלקח </w:t>
      </w:r>
      <w:r w:rsidRPr="00711854">
        <w:rPr>
          <w:rStyle w:val="Style1Char"/>
          <w:color w:val="C00000"/>
          <w:sz w:val="22"/>
          <w:szCs w:val="22"/>
          <w:rtl/>
        </w:rPr>
        <w:t xml:space="preserve">ששכר </w:t>
      </w:r>
      <w:r w:rsidRPr="008B461F">
        <w:rPr>
          <w:rStyle w:val="Style1Char"/>
          <w:color w:val="auto"/>
          <w:sz w:val="22"/>
          <w:szCs w:val="22"/>
          <w:rtl/>
        </w:rPr>
        <w:t>לעני בן טובים אחד סוס לרכוב עליו ועבד לרוץ לפניו; פעם אחת לא מצא עבד לרוץ לפניו, ורץ לפניו שלשה מילין</w:t>
      </w:r>
      <w:r w:rsidRPr="00711854">
        <w:rPr>
          <w:rStyle w:val="Style1Char"/>
          <w:sz w:val="22"/>
          <w:szCs w:val="22"/>
          <w:rtl/>
        </w:rPr>
        <w:t xml:space="preserve">. </w:t>
      </w:r>
      <w:r w:rsidRPr="0058605C">
        <w:rPr>
          <w:rStyle w:val="Style1Char"/>
          <w:color w:val="00B050"/>
          <w:rtl/>
        </w:rPr>
        <w:t xml:space="preserve">תנו רבנן: מעשה באנשי גליל העליון, שלקחו לעני בן טובים אחד מציפורי ליטרא בשר בכל יום. ליטרא בשר מאי רבותא? אמר רב הונא: ליטרא בשר משל עופות. ואיבעית אימא: בליטרא בשר ממש. רב אשי אמר: התם כפר קטן היה, בכל יומא הוה מפסדי חיותא אמטולתיה. ההוא דאתא לקמיה דרבי נחמיה, אמר ליה: במה אתה סועד? א"ל: בבשר שמן ויין ישן. רצונך שתגלגל עמי בעדשים? גלגל עמו בעדשים ומת, אמר: אוי לו לזה שהרגו נחמיה! אדרבה, אוי לו לנחמיה שהרגו לזה מיבעי ליה! אלא, איהו הוא דלא איבעי ליה לפנוקי נפשיה כולי האי. ההוא דאתא לקמיה דרבא, אמר לו: במה אתה סועד? אמר לו: בתרנגולת פטומה ויין ישן. אמר ליה: ולא חיישת לדוחקא דציבורא? א"ל: אטו מדידהו קאכילנא? מדרחמנא קאכילנא! דתנינא: עיני כל אליך ישברו ואתה נותן להם את אכלם בעתו, בעתם לא נאמר אלא בעתו - מלמד, שכל אחד ואחד נותן הקדוש ברוך הוא פרנסתו בעתו. אדהכי אתאי אחתיה דרבא דלא חזיא ליה תליסרי שני, ואתיא ליה תרנגולת פטומה ויין ישן, אמר: מאי דקמא? א"ל: נענתי לך, קום אכול. </w:t>
      </w:r>
      <w:r w:rsidRPr="000C1545">
        <w:rPr>
          <w:rStyle w:val="Style1Char"/>
          <w:color w:val="auto"/>
          <w:sz w:val="22"/>
          <w:szCs w:val="22"/>
          <w:rtl/>
        </w:rPr>
        <w:t>תנו רבנן: אין לו ואינו רוצה להתפרנס</w:t>
      </w:r>
      <w:r w:rsidRPr="000C1545">
        <w:rPr>
          <w:rStyle w:val="Style1Char"/>
          <w:color w:val="auto"/>
          <w:rtl/>
        </w:rPr>
        <w:t xml:space="preserve"> </w:t>
      </w:r>
      <w:r w:rsidRPr="00A931E5">
        <w:rPr>
          <w:rStyle w:val="Style1Char"/>
          <w:color w:val="806000" w:themeColor="accent4" w:themeShade="80"/>
          <w:sz w:val="22"/>
          <w:szCs w:val="22"/>
          <w:rtl/>
        </w:rPr>
        <w:t>נותנין לו לשם מתנה ואם אינו מקבל</w:t>
      </w:r>
      <w:r w:rsidRPr="00711854">
        <w:rPr>
          <w:rStyle w:val="Style1Char"/>
          <w:sz w:val="22"/>
          <w:szCs w:val="22"/>
          <w:rtl/>
        </w:rPr>
        <w:t xml:space="preserve">, </w:t>
      </w:r>
      <w:r w:rsidRPr="00A931E5">
        <w:rPr>
          <w:rStyle w:val="Style1Char"/>
          <w:color w:val="auto"/>
          <w:sz w:val="22"/>
          <w:szCs w:val="22"/>
          <w:rtl/>
        </w:rPr>
        <w:t>נותנין לו לשום הלואה וחוזרין ונותנין לו לשום מתנה,</w:t>
      </w:r>
      <w:r w:rsidRPr="00711854">
        <w:rPr>
          <w:rStyle w:val="Style1Char"/>
          <w:sz w:val="22"/>
          <w:szCs w:val="22"/>
          <w:rtl/>
        </w:rPr>
        <w:t xml:space="preserve"> </w:t>
      </w:r>
      <w:r w:rsidRPr="0058605C">
        <w:rPr>
          <w:rStyle w:val="Style1Char"/>
          <w:color w:val="00B050"/>
          <w:rtl/>
        </w:rPr>
        <w:t xml:space="preserve">דברי רבי מאיר; וחכמים אומרים: </w:t>
      </w:r>
      <w:r w:rsidR="00B04A67">
        <w:rPr>
          <w:rStyle w:val="Style1Char"/>
          <w:rFonts w:hint="cs"/>
          <w:rtl/>
        </w:rPr>
        <w:t>(2)</w:t>
      </w:r>
      <w:r w:rsidRPr="0058605C">
        <w:rPr>
          <w:rStyle w:val="Style1Char"/>
          <w:color w:val="00B050"/>
          <w:rtl/>
        </w:rPr>
        <w:t xml:space="preserve">נותנין לו לשום מתנה וחוזרין ונותנין לו לשום הלואה. לשום מתנה הא לא שקיל! אמר רבא: </w:t>
      </w:r>
      <w:r w:rsidR="00B04A67">
        <w:rPr>
          <w:rStyle w:val="Style1Char"/>
          <w:rFonts w:hint="cs"/>
          <w:rtl/>
        </w:rPr>
        <w:t>(2)</w:t>
      </w:r>
      <w:r w:rsidRPr="0058605C">
        <w:rPr>
          <w:rStyle w:val="Style1Char"/>
          <w:color w:val="00B050"/>
          <w:rtl/>
        </w:rPr>
        <w:t xml:space="preserve">לפתוח לו לשום מתנה. יש לו ואינו רוצה להתפרנס, נותנין לו לשום מתנה וחוזרין ונפרעין ממנו. חוזרין ונפרעין הימנו, תו לא שקיל! אמר רב פפא: לאחר מיתה. ר"ש אומר: </w:t>
      </w:r>
      <w:r w:rsidR="00B04A67">
        <w:rPr>
          <w:rStyle w:val="Style1Char"/>
          <w:rFonts w:hint="cs"/>
          <w:rtl/>
        </w:rPr>
        <w:t>(2.1, 3)</w:t>
      </w:r>
      <w:r w:rsidRPr="0058605C">
        <w:rPr>
          <w:rStyle w:val="Style1Char"/>
          <w:color w:val="00B050"/>
          <w:rtl/>
        </w:rPr>
        <w:t xml:space="preserve">יש לו ואינו רוצה להתפרנס - אין נזקקין לו, אין לו ואינו רוצה להתפרנס - אומרים לו הבא משכון וטול, כדי שתזוח דעתו עליו. </w:t>
      </w:r>
      <w:r w:rsidRPr="00A931E5">
        <w:rPr>
          <w:rStyle w:val="Style1Char"/>
          <w:color w:val="auto"/>
          <w:sz w:val="22"/>
          <w:szCs w:val="22"/>
          <w:rtl/>
        </w:rPr>
        <w:t>ת"ר: העבט - זה שאין לו ואינו רוצה להתפרנס, שנותנים לו לשום הלואה וחוזרין ונותנין לו לשום מתנה, תעביטנו - זה שיש לו ואינו רוצה להתפרנס, שנותנין לו לשום מתנה וחוזרין ונפרעין הימנו לאחר מיתה, דברי ר' יהודה; וחכ"א: יש לו ואינו רוצה להתפרנס - אין נזקקין לו, ואלא מה אני מקיים תעביטנו? דברה תורה כלשון בני אדם</w:t>
      </w:r>
      <w:r w:rsidRPr="00711854">
        <w:rPr>
          <w:rStyle w:val="Style1Char"/>
          <w:sz w:val="22"/>
          <w:szCs w:val="22"/>
          <w:rtl/>
        </w:rPr>
        <w:t xml:space="preserve">. </w:t>
      </w:r>
      <w:r w:rsidRPr="0058605C">
        <w:rPr>
          <w:rStyle w:val="Style1Char"/>
          <w:color w:val="00B050"/>
          <w:rtl/>
        </w:rPr>
        <w:t xml:space="preserve">מר עוקבא </w:t>
      </w:r>
      <w:r w:rsidR="000263BD">
        <w:rPr>
          <w:rStyle w:val="Style1Char"/>
          <w:rFonts w:hint="cs"/>
          <w:rtl/>
        </w:rPr>
        <w:t>(4)</w:t>
      </w:r>
      <w:r w:rsidRPr="0058605C">
        <w:rPr>
          <w:rStyle w:val="Style1Char"/>
          <w:color w:val="00B050"/>
          <w:rtl/>
        </w:rPr>
        <w:t xml:space="preserve">הוה עניא בשיבבותיה, דהוה רגיל כל יומא דשדי ליה ארבעה זוזי בצינורא דדשא. יום אחד אמר: איזיל איחזי מאן קעביד בי ההוא טיבותא. ההוא יומא נגהא ליה למר עוקבא לבי מדרשא, אתיא דביתהו בהדיה, כיון דחזיוה דקא מצלי ליה לדשא נפק בתרייהו, רהוט מקמיה עיילי לההוא אתונא דהוה גרופה נורא, הוה קא מיקליין כרעיה דמר עוקבא, אמרה ליה דביתהו: שקול כרעיך אותיב אכרעאי. חלש דעתיה, אמרה ליה: אנא שכיחנא בגויה דביתא ומקרבא אהנייתי. ומאי כולי האי? דאמר מר זוטרא בר טוביה אמר רב, ואמרי לה אמר רב הונא בר ביזנא אמר ר"ש חסידא, ואמרי לה א"ר יוחנן משום רבי שמעון בן יוחי: נוח לו לאדם שימסור עצמו לתוך כבשן האש ואל ילבין פני חברו ברבים; מנא לן? מתמר, דכתיב: היא מוצאת. מר עוקבא הוה עניא בשיבבותיה, דהוה רגיל לשדורי ליה ארבע מאה זוזי כל מעלי יומא דכיפורא. יומא חד שדרינהו ניהליה ביד בריה, אתא אמר ליה: לא צריך. אמר: מאי חזית? חזאי דקא מזלפי ליה יין ישן, אמר: מפנק כולי האי? עייפינהו ושדרינהו ניהליה. כי קא ניחא נפשיה, אמר: אייתו לי חושבנאי דצדקה, אשכח דהוה כתיב ביה שבעת אלפי דינרי סיאנקי, אמר: זוודאי קלילי ואורחא רחיקתא, קם בזבזיה לפלגיה ממוניה. היכי עביד הכי? והאמר ר' אילעאי: באושא התקינו, המבזבז - אל יבזבז יותר מחומש! </w:t>
      </w:r>
      <w:r w:rsidR="000263BD">
        <w:rPr>
          <w:rStyle w:val="Style1Char"/>
          <w:rFonts w:hint="cs"/>
          <w:rtl/>
        </w:rPr>
        <w:t>(5)</w:t>
      </w:r>
      <w:r w:rsidRPr="0058605C">
        <w:rPr>
          <w:rStyle w:val="Style1Char"/>
          <w:color w:val="00B050"/>
          <w:rtl/>
        </w:rPr>
        <w:t xml:space="preserve">הני מילי מחיים, שמא ירד מנכסיו, אבל לאחר מיתה לית לן בה. רבי אבא </w:t>
      </w:r>
      <w:r w:rsidR="000263BD">
        <w:rPr>
          <w:rStyle w:val="Style1Char"/>
          <w:rFonts w:hint="cs"/>
          <w:rtl/>
        </w:rPr>
        <w:t>(6)</w:t>
      </w:r>
      <w:r w:rsidRPr="0058605C">
        <w:rPr>
          <w:rStyle w:val="Style1Char"/>
          <w:color w:val="00B050"/>
          <w:rtl/>
        </w:rPr>
        <w:t xml:space="preserve">הוה צייר זוזי בסודריה ושדי ליה לאחוריה וממצי נפשיה לבי עניי, ומצלי עיניה מרמאי. רבי חנינא, הוה ההוא עניא דהוה רגיל לשדורי ליה ארבעה זוזי כל מעלי שבתא. יומא חד שדרינהו ניהליה ביד דביתהו, אתאי אמרה ליה: לא צריך. מאי חזית? שמעי דהוה קאמרי ליה: במה אתה סועד, </w:t>
      </w:r>
    </w:p>
    <w:p w14:paraId="0A245C82" w14:textId="64AA72F0" w:rsidR="000263BD" w:rsidRDefault="000263BD" w:rsidP="000263BD">
      <w:pPr>
        <w:pStyle w:val="Style1"/>
        <w:rPr>
          <w:rStyle w:val="Style1Char"/>
          <w:rtl/>
        </w:rPr>
      </w:pPr>
      <w:r>
        <w:rPr>
          <w:rStyle w:val="Style1Char"/>
          <w:rFonts w:hint="cs"/>
          <w:rtl/>
        </w:rPr>
        <w:t>1)[</w:t>
      </w:r>
      <w:r w:rsidRPr="000263BD">
        <w:rPr>
          <w:rStyle w:val="Style1Char"/>
          <w:rtl/>
        </w:rPr>
        <w:t>רמב</w:t>
      </w:r>
      <w:r w:rsidR="00EC109D">
        <w:rPr>
          <w:rStyle w:val="Style1Char"/>
          <w:rtl/>
        </w:rPr>
        <w:t>”ם \זרעים\</w:t>
      </w:r>
      <w:r w:rsidRPr="000263BD">
        <w:rPr>
          <w:rStyle w:val="Style1Char"/>
          <w:rtl/>
        </w:rPr>
        <w:t xml:space="preserve"> הלכות מתנות עניים פרק ז הלכה ג</w:t>
      </w:r>
      <w:r>
        <w:rPr>
          <w:rStyle w:val="Style1Char"/>
          <w:rFonts w:hint="cs"/>
          <w:rtl/>
        </w:rPr>
        <w:t xml:space="preserve">] </w:t>
      </w:r>
      <w:r w:rsidRPr="000263BD">
        <w:rPr>
          <w:rStyle w:val="Style1Char"/>
          <w:rtl/>
        </w:rPr>
        <w:t>לפי מה שחסר העני אתה מצווה ליתן לו, אם אין לו כסות מכסים אותו, אם אין לו כלי בית קונין לו, אם אין לו אשה משיאין אותו, ואם היתה אשה משיאין אותה לאיש, אפילו היה דרכו של זה העני לרכוב על הסוס ועבד רץ לפניו והעני וירד מנכסיו קונין לו סוס לרכוב עליו ועבד לרוץ לפניו שנאמר די מחסורו אשר יחסר לו, ומצווה אתה להשלים חסרונו ואין אתה מצווה לעשרו.</w:t>
      </w:r>
    </w:p>
    <w:p w14:paraId="61873D39" w14:textId="2D621874" w:rsidR="000263BD" w:rsidRDefault="000263BD" w:rsidP="000263BD">
      <w:pPr>
        <w:pStyle w:val="Style1"/>
        <w:rPr>
          <w:rStyle w:val="Style1Char"/>
          <w:rtl/>
        </w:rPr>
      </w:pPr>
      <w:r>
        <w:rPr>
          <w:rStyle w:val="Style1Char"/>
          <w:rFonts w:hint="cs"/>
          <w:rtl/>
        </w:rPr>
        <w:t>1)[</w:t>
      </w:r>
      <w:r w:rsidRPr="000263BD">
        <w:rPr>
          <w:rStyle w:val="Style1Char"/>
          <w:rtl/>
        </w:rPr>
        <w:t>רמב</w:t>
      </w:r>
      <w:r w:rsidR="00EC109D">
        <w:rPr>
          <w:rStyle w:val="Style1Char"/>
          <w:rtl/>
        </w:rPr>
        <w:t>”ם \זרעים\</w:t>
      </w:r>
      <w:r w:rsidRPr="000263BD">
        <w:rPr>
          <w:rStyle w:val="Style1Char"/>
          <w:rtl/>
        </w:rPr>
        <w:t xml:space="preserve"> הלכות מתנות עניים פרק ז הלכה ד</w:t>
      </w:r>
      <w:r>
        <w:rPr>
          <w:rStyle w:val="Style1Char"/>
          <w:rFonts w:hint="cs"/>
          <w:rtl/>
        </w:rPr>
        <w:t xml:space="preserve">] </w:t>
      </w:r>
      <w:r w:rsidRPr="000263BD">
        <w:rPr>
          <w:rStyle w:val="Style1Char"/>
          <w:rtl/>
        </w:rPr>
        <w:t>יתום שבא להשיאו אשה, שוכרין לו בית ומציעים לו מטה וכל כלי תשמישו ואחר כך משיאין לו אשה.</w:t>
      </w:r>
    </w:p>
    <w:p w14:paraId="5B2AD86E" w14:textId="45169633" w:rsidR="000263BD" w:rsidRPr="000263BD" w:rsidRDefault="000263BD" w:rsidP="000263BD">
      <w:pPr>
        <w:pStyle w:val="Style1"/>
      </w:pPr>
      <w:r>
        <w:rPr>
          <w:rStyle w:val="Style1Char"/>
          <w:rFonts w:hint="cs"/>
          <w:rtl/>
        </w:rPr>
        <w:t>1)</w:t>
      </w:r>
      <w:r w:rsidRPr="000263BD">
        <w:rPr>
          <w:rStyle w:val="Style1Char"/>
          <w:rtl/>
        </w:rPr>
        <w:t>שולחן ערוך יורה דעה הלכות צדקה סימן רנ סעיף א</w:t>
      </w:r>
      <w:r>
        <w:rPr>
          <w:rStyle w:val="Style1Char"/>
          <w:rFonts w:hint="cs"/>
          <w:rtl/>
        </w:rPr>
        <w:t xml:space="preserve">] </w:t>
      </w:r>
      <w:r w:rsidRPr="000263BD">
        <w:rPr>
          <w:rtl/>
        </w:rPr>
        <w:t>כמה נותנין לעני די מחסורו אשר יחסר לו כיצד אם היה רעב יאכילוהו היה צריך לכסות יכסוהו אין לו כלי בית קונה לו כלי בית ואפי' אם היה דרכו לרכוב על סוס ועבד לרוץ לפניו כשהיה עשיר והעני קונה לו סוס ועבד וכן לכל אחד ואחד לפי מה שצריך. הראוי לתת לו פת נותנים לו פת. עיסה נותנים לו עיסה. מטה נותנים לו מטה. הראוי ליתן לו פת חמה חמה. צונן צונן. להאכילו לתוך פיו מאכילין. אין לו אשה ובא לישא משיאין לו ושוכרים לו בית ומציעים לו מטה וכלי תשמישו ואחר כך משיאין לו אשה</w:t>
      </w:r>
      <w:r w:rsidRPr="000263BD">
        <w:t>:</w:t>
      </w:r>
    </w:p>
    <w:p w14:paraId="15BDDB37" w14:textId="0E8D08F5" w:rsidR="000263BD" w:rsidRDefault="000263BD" w:rsidP="000263BD">
      <w:pPr>
        <w:pStyle w:val="Style1"/>
        <w:rPr>
          <w:rtl/>
        </w:rPr>
      </w:pPr>
      <w:r w:rsidRPr="000263BD">
        <w:rPr>
          <w:rFonts w:hint="cs"/>
          <w:rtl/>
        </w:rPr>
        <w:t>הגה: ונראה דכל זה בגבאי צדקה או רבים ביחד אבל אין היחיד מחוייב ליתן לעני די מחסורו אלא מודיע צערו לרבים ואם אין רבים אצלו יתן לו היחיד אם ידו משגת (ב"י ודלא כמשמעות הטור) וכמו שנתבאר </w:t>
      </w:r>
      <w:hyperlink r:id="rId159" w:tooltip="שולחן ערוך יורה דעה רמט" w:history="1">
        <w:r w:rsidRPr="000263BD">
          <w:rPr>
            <w:rStyle w:val="Hyperlink"/>
            <w:rFonts w:hint="cs"/>
            <w:color w:val="7030A0"/>
            <w:u w:val="none"/>
            <w:rtl/>
          </w:rPr>
          <w:t>סימן רמ"ט</w:t>
        </w:r>
      </w:hyperlink>
      <w:r w:rsidRPr="000263BD">
        <w:t>:</w:t>
      </w:r>
    </w:p>
    <w:p w14:paraId="539D5E18" w14:textId="62DE6D35" w:rsidR="000263BD" w:rsidRDefault="000263BD" w:rsidP="000263BD">
      <w:pPr>
        <w:pStyle w:val="Style1"/>
        <w:rPr>
          <w:rtl/>
        </w:rPr>
      </w:pPr>
      <w:r>
        <w:rPr>
          <w:rFonts w:hint="cs"/>
          <w:rtl/>
        </w:rPr>
        <w:t>2)[</w:t>
      </w:r>
      <w:r>
        <w:rPr>
          <w:rtl/>
        </w:rPr>
        <w:t>רמב</w:t>
      </w:r>
      <w:r w:rsidR="00EC109D">
        <w:rPr>
          <w:rtl/>
        </w:rPr>
        <w:t>”ם \זרעים\</w:t>
      </w:r>
      <w:r>
        <w:rPr>
          <w:rtl/>
        </w:rPr>
        <w:t xml:space="preserve"> הלכות מתנות עניים פרק ז הלכה ט</w:t>
      </w:r>
      <w:r>
        <w:rPr>
          <w:rFonts w:hint="cs"/>
          <w:rtl/>
        </w:rPr>
        <w:t xml:space="preserve">] </w:t>
      </w:r>
      <w:r>
        <w:rPr>
          <w:rtl/>
        </w:rPr>
        <w:t>עני שאינו רוצה ליקח צדקה מערימין עליו ונותנין לו לשם מתנה או לשם הלואה, ועשיר המרעיב את עצמו ועינו צרה בממונו שלא יאכל ממנו ולא ישתה אין משגיחין בו.</w:t>
      </w:r>
    </w:p>
    <w:p w14:paraId="6BF479F6" w14:textId="0B4B4BCC" w:rsidR="004E33A8" w:rsidRDefault="004E33A8" w:rsidP="004E33A8">
      <w:pPr>
        <w:pStyle w:val="Style1"/>
        <w:rPr>
          <w:rtl/>
        </w:rPr>
      </w:pPr>
      <w:r>
        <w:rPr>
          <w:rFonts w:hint="cs"/>
          <w:rtl/>
        </w:rPr>
        <w:t>2)[</w:t>
      </w:r>
      <w:r>
        <w:rPr>
          <w:rtl/>
        </w:rPr>
        <w:t>שולחן ערוך יורה דעה הלכות צדקה סימן רנג סעיף ט</w:t>
      </w:r>
      <w:r>
        <w:rPr>
          <w:rFonts w:hint="cs"/>
          <w:rtl/>
        </w:rPr>
        <w:t xml:space="preserve">] </w:t>
      </w:r>
      <w:r>
        <w:rPr>
          <w:rtl/>
        </w:rPr>
        <w:t>עני שאינו רוצה ליקח צדקה, מערימים ונותנין לו לשם מתנה או לשם הלואה.</w:t>
      </w:r>
    </w:p>
    <w:p w14:paraId="62A776F2" w14:textId="141A1F27" w:rsidR="004E33A8" w:rsidRDefault="004E33A8" w:rsidP="004E33A8">
      <w:pPr>
        <w:pStyle w:val="Style1"/>
        <w:rPr>
          <w:rtl/>
        </w:rPr>
      </w:pPr>
      <w:r>
        <w:rPr>
          <w:rFonts w:hint="cs"/>
          <w:rtl/>
        </w:rPr>
        <w:t>3)[</w:t>
      </w:r>
      <w:r>
        <w:rPr>
          <w:rtl/>
        </w:rPr>
        <w:t>שולחן ערוך יורה דעה הלכות צדקה סימן רנג סעיף י</w:t>
      </w:r>
      <w:r>
        <w:rPr>
          <w:rFonts w:hint="cs"/>
          <w:rtl/>
        </w:rPr>
        <w:t xml:space="preserve">] </w:t>
      </w:r>
      <w:r>
        <w:rPr>
          <w:rtl/>
        </w:rPr>
        <w:t>עשיר המרעיב עצמו, ועינו צרה בממונו שלא יאכל ממנו, אין משגיחין בו.</w:t>
      </w:r>
    </w:p>
    <w:p w14:paraId="4929D5B0" w14:textId="31A900B8" w:rsidR="004E33A8" w:rsidRDefault="004E33A8" w:rsidP="004E33A8">
      <w:pPr>
        <w:pStyle w:val="Style1"/>
        <w:rPr>
          <w:rtl/>
        </w:rPr>
      </w:pPr>
      <w:r>
        <w:rPr>
          <w:rFonts w:hint="cs"/>
          <w:rtl/>
        </w:rPr>
        <w:t>4)[</w:t>
      </w:r>
      <w:r>
        <w:rPr>
          <w:rtl/>
        </w:rPr>
        <w:t>רמב</w:t>
      </w:r>
      <w:r w:rsidR="00EC109D">
        <w:rPr>
          <w:rtl/>
        </w:rPr>
        <w:t>”ם \זרעים\</w:t>
      </w:r>
      <w:r>
        <w:rPr>
          <w:rtl/>
        </w:rPr>
        <w:t xml:space="preserve"> הלכות מתנות עניים פרק י הלכה ט</w:t>
      </w:r>
      <w:r>
        <w:rPr>
          <w:rFonts w:hint="cs"/>
          <w:rtl/>
        </w:rPr>
        <w:t xml:space="preserve">] </w:t>
      </w:r>
      <w:r>
        <w:rPr>
          <w:rtl/>
        </w:rPr>
        <w:t>פחות מזה שידע הנותן למי יתן ולא ידע העני ממי לקח, כגון גדולי החכמים שהיו הולכין בסתר ומשליכין המעות בפתחי העניים, וכזה ראוי לעשות ומעלה טובה היא אם אין הממונין בצדקה נוהגין כשורה.</w:t>
      </w:r>
    </w:p>
    <w:p w14:paraId="41F86530" w14:textId="0661D045" w:rsidR="004E33A8" w:rsidRDefault="004E33A8" w:rsidP="004E33A8">
      <w:pPr>
        <w:pStyle w:val="Style1"/>
        <w:rPr>
          <w:rtl/>
        </w:rPr>
      </w:pPr>
      <w:r>
        <w:rPr>
          <w:rFonts w:hint="cs"/>
          <w:rtl/>
        </w:rPr>
        <w:t>4)[</w:t>
      </w:r>
      <w:r>
        <w:rPr>
          <w:rtl/>
        </w:rPr>
        <w:t>שולחן ערוך יורה דעה הלכות צדקה סימן רמט סעיף ח</w:t>
      </w:r>
      <w:r>
        <w:rPr>
          <w:rFonts w:hint="cs"/>
          <w:rtl/>
        </w:rPr>
        <w:t xml:space="preserve">] </w:t>
      </w:r>
      <w:r>
        <w:rPr>
          <w:rtl/>
        </w:rPr>
        <w:t>פחות מזה, שיודע הנותן למי נותן, ולא ידע העני ממי לוקח, כגון גדולי החכמים שהיו הולכים בסתר ומשליכים המעות בפתחי העניים; וכזה ראוי לעשות, ומעלה טובה היא אם אין ממונים על הצדקה נוהגים כשורה.</w:t>
      </w:r>
    </w:p>
    <w:p w14:paraId="7B894F7D" w14:textId="795C945E" w:rsidR="004E33A8" w:rsidRPr="004E33A8" w:rsidRDefault="004E33A8" w:rsidP="004E33A8">
      <w:pPr>
        <w:pStyle w:val="Style1"/>
      </w:pPr>
      <w:r>
        <w:rPr>
          <w:rFonts w:hint="cs"/>
          <w:rtl/>
        </w:rPr>
        <w:t>5)[</w:t>
      </w:r>
      <w:r>
        <w:rPr>
          <w:rtl/>
        </w:rPr>
        <w:t>שולחן ערוך יורה דעה הלכות צדקה סימן רמט סעיף א</w:t>
      </w:r>
      <w:r>
        <w:rPr>
          <w:rFonts w:hint="cs"/>
          <w:rtl/>
        </w:rPr>
        <w:t xml:space="preserve">] </w:t>
      </w:r>
      <w:r w:rsidRPr="004E33A8">
        <w:rPr>
          <w:rtl/>
        </w:rPr>
        <w:t>שיעור נתינתה אם ידו משגת יתן כפי צורך העניים ואם אין ידו משגת כל כך יתן עד חומש נכסיו מצוה מן המובחר ואחד מעשרה מדה בינונית פחות מכאן עין רעה וחומש זה שאמרו שנה ראשונה מהקרן מכאן ואלך חומש שהרויח בכל שנה</w:t>
      </w:r>
      <w:r w:rsidRPr="004E33A8">
        <w:t>:</w:t>
      </w:r>
    </w:p>
    <w:p w14:paraId="5DBB73A2" w14:textId="6FB4DBFF" w:rsidR="004E33A8" w:rsidRDefault="004E33A8" w:rsidP="004E33A8">
      <w:pPr>
        <w:pStyle w:val="Style1"/>
        <w:rPr>
          <w:rtl/>
        </w:rPr>
      </w:pPr>
      <w:r w:rsidRPr="004E33A8">
        <w:rPr>
          <w:rFonts w:hint="cs"/>
          <w:rtl/>
        </w:rPr>
        <w:t>הגה: ואל יבזבז אדם יותר מחומש שלא יצטרך לבריות (ב"י בשם הגמ' פ' נערה שנתפתתה) ודוקא כל ימי חייו אבל בשעת מותו יכול אדם ליתן צדקה כל מה שירצה (ג"ז שם פ' מציאת האשה ומייתי לה רי"ף ורא"ש ור"ן ומרדכי) ואין לעשות ממעשר שלו דבר מצוה כגון נרות לבית הכנסת או שאר דבר מצוה רק יתננו לעניים (מהרי"ל הל' ראש השנה)</w:t>
      </w:r>
      <w:r w:rsidRPr="004E33A8">
        <w:t>:</w:t>
      </w:r>
    </w:p>
    <w:p w14:paraId="0868BD9A" w14:textId="3B1C4C6B" w:rsidR="004E33A8" w:rsidRDefault="004E33A8" w:rsidP="004E33A8">
      <w:pPr>
        <w:pStyle w:val="Style1"/>
        <w:rPr>
          <w:rtl/>
        </w:rPr>
      </w:pPr>
      <w:r>
        <w:rPr>
          <w:rFonts w:hint="cs"/>
          <w:rtl/>
        </w:rPr>
        <w:lastRenderedPageBreak/>
        <w:t>6)[</w:t>
      </w:r>
      <w:r>
        <w:rPr>
          <w:rtl/>
        </w:rPr>
        <w:t>רמב</w:t>
      </w:r>
      <w:r w:rsidR="00EC109D">
        <w:rPr>
          <w:rtl/>
        </w:rPr>
        <w:t>”ם \זרעים\</w:t>
      </w:r>
      <w:r>
        <w:rPr>
          <w:rtl/>
        </w:rPr>
        <w:t xml:space="preserve"> הלכות מתנות עניים פרק י הלכה י</w:t>
      </w:r>
      <w:r>
        <w:rPr>
          <w:rFonts w:hint="cs"/>
          <w:rtl/>
        </w:rPr>
        <w:t xml:space="preserve">] </w:t>
      </w:r>
      <w:r>
        <w:rPr>
          <w:rtl/>
        </w:rPr>
        <w:t>פחות מזה שידע העני ממי נטל ולא ידע הנותן, כגון גדולי החכמים שהיו צוררים המעות בסדיניהן ומפשילין לאחוריהן ובאין העניים ונוטלין כדי שלא יהיה להן בושה.</w:t>
      </w:r>
    </w:p>
    <w:p w14:paraId="139A0C61" w14:textId="1A78357B" w:rsidR="004E33A8" w:rsidRPr="004E33A8" w:rsidRDefault="004E33A8" w:rsidP="004E33A8">
      <w:pPr>
        <w:pStyle w:val="Style1"/>
      </w:pPr>
      <w:r>
        <w:rPr>
          <w:rFonts w:hint="cs"/>
          <w:rtl/>
        </w:rPr>
        <w:t>6)[</w:t>
      </w:r>
      <w:r>
        <w:rPr>
          <w:rtl/>
        </w:rPr>
        <w:t>שולחן ערוך יורה דעה הלכות צדקה סימן רמט סעיף ט</w:t>
      </w:r>
      <w:r>
        <w:rPr>
          <w:rFonts w:hint="cs"/>
          <w:rtl/>
        </w:rPr>
        <w:t xml:space="preserve">] </w:t>
      </w:r>
      <w:r>
        <w:rPr>
          <w:rtl/>
        </w:rPr>
        <w:t>פחות מזה, שיודע העני ממי נוטל, ולא ידע הנותן למי נותן, כגון החכמים שהיו צוררים המעות בסדיניהם ומשליכים אותם לאחוריהם, ובאים העניים ונוטלין, כדי שלא יהיה להם בושה.</w:t>
      </w:r>
    </w:p>
    <w:p w14:paraId="07654AF9" w14:textId="77777777" w:rsidR="004E33A8" w:rsidRPr="004E33A8" w:rsidRDefault="004E33A8" w:rsidP="004E33A8">
      <w:pPr>
        <w:pStyle w:val="Style1"/>
      </w:pPr>
    </w:p>
    <w:p w14:paraId="717FAA6D" w14:textId="540EB315" w:rsidR="004E33A8" w:rsidRPr="004E33A8" w:rsidRDefault="004E33A8" w:rsidP="004E33A8">
      <w:pPr>
        <w:pStyle w:val="Style1"/>
      </w:pPr>
    </w:p>
    <w:p w14:paraId="271CEFDD" w14:textId="77777777" w:rsidR="00FA0114" w:rsidRPr="000263BD" w:rsidRDefault="00FA0114" w:rsidP="000263BD">
      <w:pPr>
        <w:pStyle w:val="Style1"/>
        <w:rPr>
          <w:rStyle w:val="Style1Char"/>
          <w:rtl/>
        </w:rPr>
      </w:pPr>
    </w:p>
    <w:p w14:paraId="1C2AB027" w14:textId="77777777" w:rsidR="00FA0114" w:rsidRDefault="00FA0114" w:rsidP="00FA0114">
      <w:pPr>
        <w:rPr>
          <w:rStyle w:val="Style1Char"/>
          <w:color w:val="00B050"/>
          <w:rtl/>
        </w:rPr>
      </w:pPr>
      <w:r>
        <w:rPr>
          <w:rStyle w:val="Style1Char"/>
          <w:color w:val="00B050"/>
          <w:rtl/>
        </w:rPr>
        <w:br w:type="page"/>
      </w:r>
    </w:p>
    <w:p w14:paraId="2CB48ADB" w14:textId="20DB3D93" w:rsidR="00FA0114" w:rsidRPr="004D20E8" w:rsidRDefault="00FA0114" w:rsidP="00FA0114">
      <w:pPr>
        <w:bidi/>
        <w:rPr>
          <w:rStyle w:val="Style1Char"/>
          <w:color w:val="4472C4" w:themeColor="accent1"/>
        </w:rPr>
      </w:pPr>
      <w:r w:rsidRPr="001D5DD5">
        <w:rPr>
          <w:rStyle w:val="Style1Char"/>
          <w:color w:val="00B050"/>
          <w:sz w:val="22"/>
          <w:szCs w:val="22"/>
          <w:highlight w:val="yellow"/>
          <w:rtl/>
        </w:rPr>
        <w:lastRenderedPageBreak/>
        <w:t>[דף סח עמוד א]</w:t>
      </w:r>
      <w:r w:rsidRPr="001D5DD5">
        <w:rPr>
          <w:rStyle w:val="Style1Char"/>
          <w:color w:val="00B050"/>
          <w:sz w:val="22"/>
          <w:szCs w:val="22"/>
          <w:rtl/>
        </w:rPr>
        <w:t xml:space="preserve"> </w:t>
      </w:r>
      <w:r w:rsidRPr="0058605C">
        <w:rPr>
          <w:rStyle w:val="Style1Char"/>
          <w:color w:val="00B050"/>
          <w:rtl/>
        </w:rPr>
        <w:t>בטלי כסף או בטלי זהב? אמר, היינו דאמר רבי אלעזר: בואו ונחזיק טובה לרמאין, שאלמלא הן היינו חוטאין בכל יום, שנאמר: וקרא עליך אל ה' והיה בך חטא. ו</w:t>
      </w:r>
      <w:r w:rsidRPr="00E6031A">
        <w:rPr>
          <w:rStyle w:val="Style1Char"/>
          <w:color w:val="auto"/>
          <w:sz w:val="22"/>
          <w:szCs w:val="22"/>
          <w:rtl/>
        </w:rPr>
        <w:t>תני</w:t>
      </w:r>
      <w:r w:rsidRPr="00E6031A">
        <w:rPr>
          <w:rStyle w:val="Style1Char"/>
          <w:color w:val="auto"/>
          <w:rtl/>
        </w:rPr>
        <w:t xml:space="preserve"> </w:t>
      </w:r>
      <w:r w:rsidRPr="00E6031A">
        <w:rPr>
          <w:rStyle w:val="Style1Char"/>
          <w:color w:val="auto"/>
          <w:sz w:val="22"/>
          <w:szCs w:val="22"/>
          <w:rtl/>
        </w:rPr>
        <w:t>רבי חייא בר רב מדיפתי</w:t>
      </w:r>
      <w:r w:rsidRPr="0058605C">
        <w:rPr>
          <w:rStyle w:val="Style1Char"/>
          <w:color w:val="00B050"/>
          <w:rtl/>
        </w:rPr>
        <w:t xml:space="preserve">, רבי יהושע בן קרחה אומר: </w:t>
      </w:r>
      <w:r w:rsidR="00373873">
        <w:rPr>
          <w:rStyle w:val="Style1Char"/>
          <w:rFonts w:hint="cs"/>
          <w:rtl/>
        </w:rPr>
        <w:t>(1)</w:t>
      </w:r>
      <w:r w:rsidRPr="00E6031A">
        <w:rPr>
          <w:rStyle w:val="Style1Char"/>
          <w:color w:val="auto"/>
          <w:sz w:val="22"/>
          <w:szCs w:val="22"/>
          <w:rtl/>
        </w:rPr>
        <w:t>כל המעלים עיניו מן הצדקה - כאילו עובד עבודת כוכבים, כתיב הכא: השמר לך פן יהיה דבר עם לבבך בליעל וגו', וכתיב התם: יצאו אנשים בני בליעל, מה להלן עבודת כוכבים, אף כאן עבודת כוכבים</w:t>
      </w:r>
      <w:r w:rsidRPr="006B5021">
        <w:rPr>
          <w:rStyle w:val="Style1Char"/>
          <w:sz w:val="22"/>
          <w:szCs w:val="22"/>
          <w:rtl/>
        </w:rPr>
        <w:t>. ת</w:t>
      </w:r>
      <w:r w:rsidRPr="002A7D2A">
        <w:rPr>
          <w:rStyle w:val="Style1Char"/>
          <w:color w:val="auto"/>
          <w:sz w:val="22"/>
          <w:szCs w:val="22"/>
          <w:rtl/>
        </w:rPr>
        <w:t xml:space="preserve">"ר: המסמא את עינו, והמצבה את בטנו, והמקפח את שוקו </w:t>
      </w:r>
      <w:r w:rsidR="00373873">
        <w:rPr>
          <w:rStyle w:val="Style1Char"/>
          <w:rFonts w:hint="cs"/>
          <w:rtl/>
        </w:rPr>
        <w:t>(2)</w:t>
      </w:r>
      <w:r w:rsidRPr="004B375C">
        <w:rPr>
          <w:rStyle w:val="Style1Char"/>
          <w:color w:val="806000" w:themeColor="accent4" w:themeShade="80"/>
          <w:sz w:val="22"/>
          <w:szCs w:val="22"/>
          <w:rtl/>
        </w:rPr>
        <w:t>ליטול</w:t>
      </w:r>
      <w:r w:rsidRPr="006B5021">
        <w:rPr>
          <w:rStyle w:val="Style1Char"/>
          <w:sz w:val="22"/>
          <w:szCs w:val="22"/>
          <w:rtl/>
        </w:rPr>
        <w:t xml:space="preserve"> </w:t>
      </w:r>
      <w:r w:rsidRPr="0058605C">
        <w:rPr>
          <w:rStyle w:val="Style1Char"/>
          <w:color w:val="00B050"/>
          <w:rtl/>
        </w:rPr>
        <w:t xml:space="preserve">המקבל </w:t>
      </w:r>
      <w:r w:rsidRPr="00373873">
        <w:rPr>
          <w:rStyle w:val="Style1Char"/>
          <w:color w:val="auto"/>
          <w:sz w:val="22"/>
          <w:szCs w:val="22"/>
          <w:rtl/>
        </w:rPr>
        <w:t xml:space="preserve">צדקה </w:t>
      </w:r>
      <w:r w:rsidRPr="0058605C">
        <w:rPr>
          <w:rStyle w:val="Style1Char"/>
          <w:color w:val="00B050"/>
          <w:rtl/>
        </w:rPr>
        <w:t xml:space="preserve">ואין צריך לכך, סופו </w:t>
      </w:r>
      <w:r w:rsidRPr="00373873">
        <w:rPr>
          <w:rStyle w:val="Style1Char"/>
          <w:color w:val="auto"/>
          <w:sz w:val="22"/>
          <w:szCs w:val="22"/>
          <w:rtl/>
        </w:rPr>
        <w:t>אינו נפטר מן העולם עד שיבא לידי כך</w:t>
      </w:r>
      <w:r w:rsidRPr="0058605C">
        <w:rPr>
          <w:rStyle w:val="Style1Char"/>
          <w:color w:val="00B050"/>
          <w:rtl/>
        </w:rPr>
        <w:t xml:space="preserve">. </w:t>
      </w:r>
      <w:r w:rsidRPr="00D2194A">
        <w:rPr>
          <w:rStyle w:val="Style1Char"/>
          <w:color w:val="auto"/>
          <w:sz w:val="22"/>
          <w:szCs w:val="22"/>
          <w:rtl/>
        </w:rPr>
        <w:t xml:space="preserve">תנן התם: </w:t>
      </w:r>
      <w:r w:rsidR="00373873">
        <w:rPr>
          <w:rStyle w:val="Style1Char"/>
          <w:rFonts w:hint="cs"/>
          <w:rtl/>
        </w:rPr>
        <w:t>(3)</w:t>
      </w:r>
      <w:r w:rsidRPr="00D2194A">
        <w:rPr>
          <w:rStyle w:val="Style1Char"/>
          <w:color w:val="auto"/>
          <w:sz w:val="22"/>
          <w:szCs w:val="22"/>
          <w:rtl/>
        </w:rPr>
        <w:t xml:space="preserve">אין מחייבין </w:t>
      </w:r>
      <w:r w:rsidRPr="00D26AAA">
        <w:rPr>
          <w:rStyle w:val="Style1Char"/>
          <w:color w:val="ED7D31" w:themeColor="accent2"/>
          <w:rtl/>
        </w:rPr>
        <w:t xml:space="preserve">אותו </w:t>
      </w:r>
      <w:r w:rsidRPr="006B5021">
        <w:rPr>
          <w:rStyle w:val="Style1Char"/>
          <w:color w:val="C00000"/>
          <w:sz w:val="22"/>
          <w:szCs w:val="22"/>
          <w:rtl/>
        </w:rPr>
        <w:t xml:space="preserve">העני </w:t>
      </w:r>
      <w:r w:rsidRPr="00D26AAA">
        <w:rPr>
          <w:rStyle w:val="Style1Char"/>
          <w:color w:val="auto"/>
          <w:sz w:val="22"/>
          <w:szCs w:val="22"/>
          <w:rtl/>
        </w:rPr>
        <w:t>למכור את ביתו ואת כלי תשמישו</w:t>
      </w:r>
      <w:r w:rsidRPr="0058605C">
        <w:rPr>
          <w:rStyle w:val="Style1Char"/>
          <w:color w:val="00B050"/>
          <w:rtl/>
        </w:rPr>
        <w:t xml:space="preserve">. ולא? </w:t>
      </w:r>
      <w:r w:rsidRPr="00D26AAA">
        <w:rPr>
          <w:rStyle w:val="Style1Char"/>
          <w:color w:val="auto"/>
          <w:sz w:val="22"/>
          <w:szCs w:val="22"/>
          <w:rtl/>
        </w:rPr>
        <w:t xml:space="preserve">והתניא. </w:t>
      </w:r>
      <w:r w:rsidR="001F1F88">
        <w:rPr>
          <w:rStyle w:val="Style1Char"/>
          <w:rFonts w:hint="cs"/>
          <w:rtl/>
        </w:rPr>
        <w:t>(3)</w:t>
      </w:r>
      <w:r w:rsidRPr="00D26AAA">
        <w:rPr>
          <w:rStyle w:val="Style1Char"/>
          <w:color w:val="auto"/>
          <w:sz w:val="22"/>
          <w:szCs w:val="22"/>
          <w:rtl/>
        </w:rPr>
        <w:t>היה משתמש בכלי זהב - ישתמש בכלי כסף, בכלי כסף - ישתמש בכלי נחושת</w:t>
      </w:r>
      <w:r w:rsidRPr="006B5021">
        <w:rPr>
          <w:rStyle w:val="Style1Char"/>
          <w:sz w:val="22"/>
          <w:szCs w:val="22"/>
          <w:rtl/>
        </w:rPr>
        <w:t xml:space="preserve">! </w:t>
      </w:r>
      <w:r w:rsidRPr="0058605C">
        <w:rPr>
          <w:rStyle w:val="Style1Char"/>
          <w:color w:val="00B050"/>
          <w:rtl/>
        </w:rPr>
        <w:t>אמר רב זביד, לא קשיא: הא במטה ושולחן, הא בכוסות וקערות. מאי שנא כוסות וקערות דלא? דאמר מאיסי לי, מטה ושולחן נמי אמר לא מקבל עילואי</w:t>
      </w:r>
      <w:r w:rsidRPr="006B5021">
        <w:rPr>
          <w:rStyle w:val="Style1Char"/>
          <w:sz w:val="22"/>
          <w:szCs w:val="22"/>
          <w:rtl/>
        </w:rPr>
        <w:t xml:space="preserve">. </w:t>
      </w:r>
      <w:r w:rsidR="001F1F88">
        <w:rPr>
          <w:rStyle w:val="Style1Char"/>
          <w:rFonts w:hint="cs"/>
          <w:rtl/>
        </w:rPr>
        <w:t>(3)</w:t>
      </w:r>
      <w:r w:rsidRPr="00BA10E4">
        <w:rPr>
          <w:rStyle w:val="Style1Char"/>
          <w:color w:val="auto"/>
          <w:sz w:val="22"/>
          <w:szCs w:val="22"/>
          <w:rtl/>
        </w:rPr>
        <w:t xml:space="preserve">אמר רבא בריה </w:t>
      </w:r>
      <w:r w:rsidRPr="002A1389">
        <w:rPr>
          <w:rStyle w:val="Style1Char"/>
          <w:color w:val="ED7D31" w:themeColor="accent2"/>
          <w:rtl/>
        </w:rPr>
        <w:t xml:space="preserve">דרבה </w:t>
      </w:r>
      <w:r w:rsidRPr="006B5021">
        <w:rPr>
          <w:rStyle w:val="Style1Char"/>
          <w:color w:val="C00000"/>
          <w:sz w:val="22"/>
          <w:szCs w:val="22"/>
          <w:rtl/>
        </w:rPr>
        <w:t>דרב הונא</w:t>
      </w:r>
      <w:r w:rsidRPr="0058605C">
        <w:rPr>
          <w:rStyle w:val="Style1Char"/>
          <w:color w:val="00B050"/>
          <w:rtl/>
        </w:rPr>
        <w:t xml:space="preserve">: </w:t>
      </w:r>
      <w:r w:rsidRPr="002A1389">
        <w:rPr>
          <w:rStyle w:val="Style1Char"/>
          <w:color w:val="auto"/>
          <w:sz w:val="22"/>
          <w:szCs w:val="22"/>
          <w:rtl/>
        </w:rPr>
        <w:t>במחרישה דכספא</w:t>
      </w:r>
      <w:r w:rsidRPr="002A1389">
        <w:rPr>
          <w:rStyle w:val="Style1Char"/>
          <w:color w:val="auto"/>
          <w:rtl/>
        </w:rPr>
        <w:t xml:space="preserve"> </w:t>
      </w:r>
      <w:r w:rsidRPr="002A1389">
        <w:rPr>
          <w:rStyle w:val="Style1Char"/>
          <w:color w:val="806000" w:themeColor="accent4" w:themeShade="80"/>
          <w:rtl/>
        </w:rPr>
        <w:t>יש שפירשו שהיא המגרדת שמגרדין בה בבית המרחץ</w:t>
      </w:r>
      <w:r w:rsidRPr="0058605C">
        <w:rPr>
          <w:rStyle w:val="Style1Char"/>
          <w:color w:val="00B050"/>
          <w:rtl/>
        </w:rPr>
        <w:t xml:space="preserve">. </w:t>
      </w:r>
      <w:r w:rsidRPr="002A1389">
        <w:rPr>
          <w:rStyle w:val="Style1Char"/>
          <w:color w:val="auto"/>
          <w:sz w:val="22"/>
          <w:szCs w:val="22"/>
          <w:rtl/>
        </w:rPr>
        <w:t xml:space="preserve">רב פפא אמר, לא קשיא: </w:t>
      </w:r>
      <w:r w:rsidR="001F1F88">
        <w:rPr>
          <w:rStyle w:val="Style1Char"/>
          <w:rFonts w:hint="cs"/>
          <w:rtl/>
        </w:rPr>
        <w:t>(3)</w:t>
      </w:r>
      <w:r w:rsidRPr="002A1389">
        <w:rPr>
          <w:rStyle w:val="Style1Char"/>
          <w:color w:val="auto"/>
          <w:sz w:val="22"/>
          <w:szCs w:val="22"/>
          <w:rtl/>
        </w:rPr>
        <w:t>כאן קודם שיבא לידי גיבוי, כאן לאחר שיבא לידי גיבוי.</w:t>
      </w:r>
      <w:r w:rsidRPr="007C7D27">
        <w:rPr>
          <w:rStyle w:val="Style1Char"/>
          <w:sz w:val="22"/>
          <w:szCs w:val="22"/>
          <w:rtl/>
        </w:rPr>
        <w:t xml:space="preserve"> </w:t>
      </w:r>
      <w:r w:rsidRPr="002A1389">
        <w:rPr>
          <w:rStyle w:val="Style1Char"/>
          <w:color w:val="806000" w:themeColor="accent4" w:themeShade="80"/>
          <w:rtl/>
        </w:rPr>
        <w:t>פירוש כל זמן שאינו נוטל אלא בצנעה אין מחייבין אותו למכור כלי תשמישו אבל אם הוצרך ליטול מן הגבוי של קופה אין נותנין אלא לאחר שימכור</w:t>
      </w:r>
      <w:r w:rsidRPr="002A1389">
        <w:rPr>
          <w:rStyle w:val="Style1Char"/>
          <w:color w:val="806000" w:themeColor="accent4" w:themeShade="80"/>
        </w:rPr>
        <w:t>:</w:t>
      </w:r>
      <w:r w:rsidRPr="004D20E8">
        <w:rPr>
          <w:rStyle w:val="Style1Char"/>
          <w:color w:val="4472C4" w:themeColor="accent1"/>
          <w:rtl/>
        </w:rPr>
        <w:t>ור"ת פי' קודם שיבא ליטול מקופה של צדקה מחייבין אותו למכור לאחר שיבא לידי גיבוי שכבר נטל מן הקופה שוב נזדמנו לו כלי בית אין מחייבין אותו למכור ורש"י פי' לאחר שבא לידי גיבוי שנטל לקט שכחה ופאה ונודע שהיה עשיר ובאו ב"ד לגבות ממנו כדי מה נטל ואף על פי שממון שאין לו תובעין הוא משום קנס גובין ואפי' את"ל בבעל חוב דעלמא מסדרין כי האי גוונא הכא משום קנס מחייבין אותו למכור</w:t>
      </w:r>
      <w:r w:rsidRPr="004D20E8">
        <w:rPr>
          <w:rStyle w:val="Style1Char"/>
          <w:color w:val="4472C4" w:themeColor="accent1"/>
        </w:rPr>
        <w:t xml:space="preserve">: </w:t>
      </w:r>
    </w:p>
    <w:p w14:paraId="253FC05D" w14:textId="13D54AA2" w:rsidR="00FA0114" w:rsidRPr="00053652" w:rsidRDefault="00FA0114" w:rsidP="00FA0114">
      <w:pPr>
        <w:bidi/>
        <w:rPr>
          <w:rStyle w:val="Style1Char"/>
          <w:color w:val="auto"/>
          <w:sz w:val="22"/>
          <w:szCs w:val="22"/>
        </w:rPr>
      </w:pPr>
      <w:r w:rsidRPr="00053652">
        <w:rPr>
          <w:rStyle w:val="Style1Char"/>
          <w:color w:val="auto"/>
          <w:sz w:val="22"/>
          <w:szCs w:val="22"/>
          <w:rtl/>
        </w:rPr>
        <w:t xml:space="preserve">מתני'. </w:t>
      </w:r>
      <w:r w:rsidR="001F1F88">
        <w:rPr>
          <w:rStyle w:val="Style1Char"/>
          <w:rFonts w:hint="cs"/>
          <w:rtl/>
        </w:rPr>
        <w:t>(4)</w:t>
      </w:r>
      <w:r w:rsidRPr="00053652">
        <w:rPr>
          <w:rStyle w:val="Style1Char"/>
          <w:color w:val="auto"/>
          <w:sz w:val="22"/>
          <w:szCs w:val="22"/>
          <w:rtl/>
        </w:rPr>
        <w:t xml:space="preserve">יתומה שהשיאתה אמה או אחיה מדעתה, וכתבו לה במאה או בחמשים זוז, יכולה היא משתגדיל להוציא מידן מה שראוי להנתן לה. רבי יהודה אומר: אם השיא את הבת הראשונה, ינתן לשניה כדרך שנתן לראשונה; וחכ"א: פעמים שאדם עני והעשיר או עשיר והעני, אלא </w:t>
      </w:r>
      <w:r w:rsidR="001F1F88">
        <w:rPr>
          <w:rStyle w:val="Style1Char"/>
          <w:rFonts w:hint="cs"/>
          <w:rtl/>
        </w:rPr>
        <w:t>(4)</w:t>
      </w:r>
      <w:r w:rsidRPr="00053652">
        <w:rPr>
          <w:rStyle w:val="Style1Char"/>
          <w:color w:val="auto"/>
          <w:sz w:val="22"/>
          <w:szCs w:val="22"/>
          <w:rtl/>
        </w:rPr>
        <w:t xml:space="preserve">שמין את הנכסים ונותנין לה. </w:t>
      </w:r>
    </w:p>
    <w:p w14:paraId="5AABA6D0" w14:textId="7019C772" w:rsidR="00373873" w:rsidRDefault="00FA0114" w:rsidP="00FA0114">
      <w:pPr>
        <w:bidi/>
        <w:rPr>
          <w:rStyle w:val="Style1Char"/>
          <w:color w:val="auto"/>
          <w:sz w:val="22"/>
          <w:szCs w:val="22"/>
          <w:rtl/>
        </w:rPr>
      </w:pPr>
      <w:r w:rsidRPr="006877D2">
        <w:rPr>
          <w:rStyle w:val="Style1Char"/>
          <w:color w:val="auto"/>
          <w:sz w:val="22"/>
          <w:szCs w:val="22"/>
          <w:rtl/>
        </w:rPr>
        <w:t xml:space="preserve">גמ'. אמר שמואל: </w:t>
      </w:r>
      <w:r w:rsidR="005F3672">
        <w:rPr>
          <w:rStyle w:val="Style1Char"/>
          <w:rFonts w:hint="cs"/>
          <w:rtl/>
        </w:rPr>
        <w:t>(5)</w:t>
      </w:r>
      <w:r w:rsidRPr="006877D2">
        <w:rPr>
          <w:rStyle w:val="Style1Char"/>
          <w:color w:val="auto"/>
          <w:sz w:val="22"/>
          <w:szCs w:val="22"/>
          <w:rtl/>
        </w:rPr>
        <w:t>לפרנסה שמין באב</w:t>
      </w:r>
      <w:r w:rsidRPr="006877D2">
        <w:rPr>
          <w:rStyle w:val="Style1Char"/>
          <w:color w:val="auto"/>
          <w:rtl/>
        </w:rPr>
        <w:t xml:space="preserve"> </w:t>
      </w:r>
      <w:r w:rsidRPr="007E4EA8">
        <w:rPr>
          <w:rStyle w:val="Style1Char"/>
          <w:color w:val="C00000"/>
          <w:rtl/>
        </w:rPr>
        <w:t>כלומר שמין ואומדין דעתו של אב ואומרים אילו היה האב קיים כמה היה נותן לבתו לפרנסת הבעל ונותנין לה</w:t>
      </w:r>
      <w:r w:rsidRPr="0058605C">
        <w:rPr>
          <w:rStyle w:val="Style1Char"/>
          <w:color w:val="00B050"/>
          <w:rtl/>
        </w:rPr>
        <w:t xml:space="preserve">. מתיבי: הבנות ניזונות ומתפרנסות מנכסי אביהן; כיצד? אין אומרים אילו אביה קיים כך וכך היה נותן לה, </w:t>
      </w:r>
      <w:r w:rsidRPr="00F95D40">
        <w:rPr>
          <w:rStyle w:val="Style1Char"/>
          <w:color w:val="00B050"/>
          <w:rtl/>
        </w:rPr>
        <w:t>אלא שמין את הנכסים ונותנין לה;</w:t>
      </w:r>
      <w:r w:rsidRPr="00F95D40">
        <w:rPr>
          <w:rStyle w:val="Style1Char"/>
          <w:sz w:val="22"/>
          <w:szCs w:val="22"/>
          <w:rtl/>
        </w:rPr>
        <w:t xml:space="preserve"> </w:t>
      </w:r>
      <w:r w:rsidRPr="0058605C">
        <w:rPr>
          <w:rStyle w:val="Style1Char"/>
          <w:color w:val="00B050"/>
          <w:rtl/>
        </w:rPr>
        <w:t xml:space="preserve">מאי לאו פרנסת הבעל! אמר רב נחמן בר יצחק: לא, </w:t>
      </w:r>
      <w:r w:rsidR="005F3672">
        <w:rPr>
          <w:rStyle w:val="Style1Char"/>
          <w:rFonts w:hint="cs"/>
          <w:rtl/>
        </w:rPr>
        <w:t>(6)</w:t>
      </w:r>
      <w:r w:rsidRPr="0058605C">
        <w:rPr>
          <w:rStyle w:val="Style1Char"/>
          <w:color w:val="00B050"/>
          <w:rtl/>
        </w:rPr>
        <w:t>בפרנסת עצמה. הא ניזונות ומתפרנסות קתני, מאי לאו אחת פרנסת הבעל ואחת פרנסת עצמה! לא, אידי ואידי בפרנסת עצמה, ולא קשיא: הא באכילה ובשתיה, והא בלבושא וכיסויא. תנן, וחכ"א</w:t>
      </w:r>
      <w:r w:rsidRPr="00765E68">
        <w:rPr>
          <w:rStyle w:val="Style1Char"/>
          <w:color w:val="C00000"/>
          <w:rtl/>
        </w:rPr>
        <w:t xml:space="preserve"> </w:t>
      </w:r>
      <w:r w:rsidRPr="000D2BB2">
        <w:rPr>
          <w:rStyle w:val="Style1Char"/>
          <w:color w:val="806000" w:themeColor="accent4" w:themeShade="80"/>
          <w:sz w:val="22"/>
          <w:szCs w:val="22"/>
          <w:rtl/>
        </w:rPr>
        <w:t>ואותבינן עליה דשמואל ממתני' דקתני</w:t>
      </w:r>
      <w:r w:rsidRPr="0058605C">
        <w:rPr>
          <w:rStyle w:val="Style1Char"/>
          <w:color w:val="00B050"/>
          <w:rtl/>
        </w:rPr>
        <w:t xml:space="preserve">: </w:t>
      </w:r>
      <w:r w:rsidRPr="004C11B2">
        <w:rPr>
          <w:rStyle w:val="Style1Char"/>
          <w:color w:val="auto"/>
          <w:sz w:val="22"/>
          <w:szCs w:val="22"/>
          <w:rtl/>
        </w:rPr>
        <w:t xml:space="preserve">פעמים שאדם עני והעשיר </w:t>
      </w:r>
      <w:r w:rsidRPr="004C11B2">
        <w:rPr>
          <w:rStyle w:val="Style1Char"/>
          <w:color w:val="ED7D31" w:themeColor="accent2"/>
          <w:sz w:val="22"/>
          <w:szCs w:val="22"/>
          <w:rtl/>
        </w:rPr>
        <w:t xml:space="preserve">או עשיר והעני, </w:t>
      </w:r>
      <w:r w:rsidRPr="004C11B2">
        <w:rPr>
          <w:rStyle w:val="Style1Char"/>
          <w:color w:val="auto"/>
          <w:sz w:val="22"/>
          <w:szCs w:val="22"/>
          <w:rtl/>
        </w:rPr>
        <w:t>אלא שמין הנכסים ונותנין לה: מאי עני ומאי עשיר? אי נימא עני - עני בנכסים, עשיר - עשיר בנכסים, מכלל דתנא קמא סבר: אפילו עשיר והעני כדמעיקרא יהבינן לה, הא לית ליה! אלא לאו עני - עני בדעת, עשיר - עשיר בדעת, וקתני: שמין את הנכסים ונותנין לה, אלמא לא אזלינן בתר אומדנא</w:t>
      </w:r>
      <w:r w:rsidRPr="0058605C">
        <w:rPr>
          <w:rStyle w:val="Style1Char"/>
          <w:color w:val="00B050"/>
          <w:rtl/>
        </w:rPr>
        <w:t xml:space="preserve">, ותיובתא דשמואל! </w:t>
      </w:r>
      <w:r w:rsidRPr="004C11B2">
        <w:rPr>
          <w:rStyle w:val="Style1Char"/>
          <w:color w:val="806000" w:themeColor="accent4" w:themeShade="80"/>
          <w:sz w:val="22"/>
          <w:szCs w:val="22"/>
          <w:rtl/>
        </w:rPr>
        <w:t xml:space="preserve">ופרקינן </w:t>
      </w:r>
      <w:r w:rsidRPr="004C11B2">
        <w:rPr>
          <w:rStyle w:val="Style1Char"/>
          <w:color w:val="000000" w:themeColor="text1"/>
          <w:sz w:val="22"/>
          <w:szCs w:val="22"/>
          <w:rtl/>
        </w:rPr>
        <w:t xml:space="preserve">הוא דאמר כרבי יהודה; דתנן, רבי יהודה אומר: אם השיא בת הראשונה, ינתן לשניה כדרך שנתן לראשונה. ונימא: הלכה כרבי יהודה! אי אמר הלכה כרבי יהודה, הוה אמינא דוקא השיאה, דגלי דעתיה, אבל לא השיאה לא, קמ"ל, טעמא דר' יהודה דאזלינן בתר אומדנא, לא שנא השיאה ולא שנא לא השיאה, והאי דקתני השיאה? להודיעך כחן דרבנן, דאע"ג דהשיאה וגלי דעתיה, לא אזלינן בתר אומדנא. א"ל רבא לרב חסדא, דרשינן משמך: </w:t>
      </w:r>
      <w:r w:rsidR="005F3672">
        <w:rPr>
          <w:rStyle w:val="Style1Char"/>
          <w:rFonts w:hint="cs"/>
          <w:rtl/>
        </w:rPr>
        <w:t>(5)</w:t>
      </w:r>
      <w:r w:rsidRPr="004C11B2">
        <w:rPr>
          <w:rStyle w:val="Style1Char"/>
          <w:color w:val="000000" w:themeColor="text1"/>
          <w:sz w:val="22"/>
          <w:szCs w:val="22"/>
          <w:rtl/>
        </w:rPr>
        <w:t xml:space="preserve">הלכה כר' יהודה, א"ל: יהא רעוא כל כי הני מילי מעלייתא תדרשו משמאי. ומי אמר רבא הכי? והתניא, רבי אומר: בת הניזונת מן האחין - נוטלת עישור נכסים; ואמר רבא: </w:t>
      </w:r>
      <w:r w:rsidRPr="00552267">
        <w:rPr>
          <w:rStyle w:val="Style1Char"/>
          <w:color w:val="000000" w:themeColor="text1"/>
          <w:sz w:val="22"/>
          <w:szCs w:val="22"/>
          <w:rtl/>
        </w:rPr>
        <w:t>הלכתא כרבי! לא קשיא: הא דאמידניה, הא דלא אמידניה</w:t>
      </w:r>
      <w:r w:rsidRPr="00552267">
        <w:rPr>
          <w:rStyle w:val="Style1Char"/>
          <w:color w:val="000000" w:themeColor="text1"/>
          <w:rtl/>
        </w:rPr>
        <w:t xml:space="preserve"> </w:t>
      </w:r>
      <w:r w:rsidRPr="007E4EA8">
        <w:rPr>
          <w:rStyle w:val="Style1Char"/>
          <w:color w:val="C00000"/>
          <w:rtl/>
        </w:rPr>
        <w:t>כלומר אי ידעינן אומדן דעתיה יהבינן לה כמה דאמיד ואי לא ידעינן אומדן דעתיה יהבינן לה עשור נכסי</w:t>
      </w:r>
      <w:r w:rsidRPr="00B90313">
        <w:rPr>
          <w:rStyle w:val="Style1Char"/>
          <w:sz w:val="22"/>
          <w:szCs w:val="22"/>
          <w:rtl/>
        </w:rPr>
        <w:t xml:space="preserve">. </w:t>
      </w:r>
      <w:r w:rsidRPr="00552267">
        <w:rPr>
          <w:rStyle w:val="Style1Char"/>
          <w:color w:val="000000" w:themeColor="text1"/>
          <w:sz w:val="22"/>
          <w:szCs w:val="22"/>
          <w:rtl/>
        </w:rPr>
        <w:t>הכי נמי מסתברא, דאמר רב אדא בר אהבה: מעשה ונתן לה רבי אחד משנים עשר בנכסים</w:t>
      </w:r>
      <w:r w:rsidRPr="0058605C">
        <w:rPr>
          <w:rStyle w:val="Style1Char"/>
          <w:color w:val="00B050"/>
          <w:rtl/>
        </w:rPr>
        <w:t xml:space="preserve">, קשיין אהדדי! אלא לאו </w:t>
      </w:r>
      <w:r w:rsidRPr="00552267">
        <w:rPr>
          <w:rStyle w:val="Style1Char"/>
          <w:color w:val="000000" w:themeColor="text1"/>
          <w:sz w:val="22"/>
          <w:szCs w:val="22"/>
          <w:rtl/>
        </w:rPr>
        <w:t>ש"מ: הא דאמידניה, הא דלא אמידניה, ש"מ</w:t>
      </w:r>
      <w:r w:rsidRPr="00552267">
        <w:rPr>
          <w:rStyle w:val="Style1Char"/>
          <w:color w:val="000000" w:themeColor="text1"/>
          <w:rtl/>
        </w:rPr>
        <w:t xml:space="preserve"> </w:t>
      </w:r>
      <w:r w:rsidRPr="00AE74CB">
        <w:rPr>
          <w:rStyle w:val="Style1Char"/>
          <w:color w:val="806000" w:themeColor="accent4" w:themeShade="80"/>
          <w:rtl/>
        </w:rPr>
        <w:t>חזינן לגאון דכתב הא דאזלינן בתר אומדן דעתיה דאב לאגרועי מעשור נכסי הוא אבל לאוסופי על העישור לא דלא אשכחן בהדיא מאן דאמר מוסיף על העישור ובפרק נערה שנתפתתה [כתובות נ"ב ע"ב] אמרינן אמר רבי יוחנן משום רבי שמעון בן יוחאי מפני מה תקנו כתובת בנין דכרין כדי שיקפוץ אדם ויתן לבתו כבנו ועד כמה אביי ורבא דאמרי תרוייהו עד עישור נכסי הילכך לית לן לאפוקי מנכסי יתומים טפי מעישור נכסים וגאון אחר אמר רבי יהודה דאמר אם השיא בת ראשונה ינתן לשניה כדרך שנתן לראשונה דאלמא בתר אומדן דעתיה דאב אזלינן סתמא קאמר לא שנא לפחות מן העישור ולא שנא להוסיף על העישור וכיון דאיפסיקא הלכתא כר' יהודה בהדיא כוותיה עבדינן דהיכא דידעינן אומדן דעתיה דאב יהבינן לה כמה דאמיד בין לפחות מן העישור בין להוסיף על העישור ואי לא ידעינן דעתיה יהבינן לה עישור נכסי:</w:t>
      </w:r>
      <w:r w:rsidRPr="00AE74CB">
        <w:rPr>
          <w:rStyle w:val="Style1Char"/>
          <w:color w:val="806000" w:themeColor="accent4" w:themeShade="80"/>
          <w:sz w:val="22"/>
          <w:szCs w:val="22"/>
          <w:rtl/>
        </w:rPr>
        <w:t xml:space="preserve">. </w:t>
      </w:r>
      <w:r w:rsidRPr="004D20E8">
        <w:rPr>
          <w:rStyle w:val="Style1Char"/>
          <w:color w:val="4472C4" w:themeColor="accent1"/>
          <w:rtl/>
        </w:rPr>
        <w:t>ויש מביאין ראיה לסברא קמייתא מהא דאמרי' לקמן בשמעתין פרנסה טרפא ממשעבדי ותנאי כתובה לא טרפא ממשעבדי משום דפרנסה אית לה קצבה ומזונות אין להם קצבה ואם איתא דלהוסיף נמי שמין באב  פרנסה נמי אין לה קצבה אלא וודאי להוסיף אין שמין אלא לפחות ויכולין לקוחות ליזהר שיניחו מבני חרי עישור נכסים ומיהו אינה ראיה כ"כ דתיקשי לך מהאי טעמא נמי יוציאו למזונות ממשעבדי דהא יש להן קצבה למעלה טפי מכדי עד דתיבגרן וא"ת אין קצבה למזונות שמא תלקה ותהא צריכה רפואה ואמרינן לעיל (דף נב ב) דרפואה שאין לה קצבה בכלל מזונות דא"כ אמאי חשיב ליה קצבה לקמן בפרק הנושא (דף קא א) כשפסק לזונה חמש שנים דקתני ניזונית מנכסים משועבדים אלא ודאי היינו טעמא דאע"פ שהם קצובין למעלה עד בגר כיון דאפשר שלא יעלו כל כך המזונות שתנשא קודם בגר לא חשיבי כקצובין כי הלקוחות לא נזהרו להניח בני חרי עד בגר כי אמרו שמא תנשא קודם אבל פרנסה יש לה קצבה אי לא אמידניה עישור נכסי ואי אמידניה יכולין הלקוחות לברר הדבר ע"י ב"ד דעתו של אב</w:t>
      </w:r>
      <w:r>
        <w:rPr>
          <w:rStyle w:val="Style1Char"/>
          <w:rFonts w:hint="cs"/>
          <w:color w:val="4472C4" w:themeColor="accent1"/>
        </w:rPr>
        <w:t>‍</w:t>
      </w:r>
      <w:r w:rsidRPr="004D20E8">
        <w:rPr>
          <w:rStyle w:val="Style1Char"/>
          <w:color w:val="4472C4" w:themeColor="accent1"/>
          <w:rtl/>
        </w:rPr>
        <w:t xml:space="preserve"> בין למעלה בין למטה ונ"ל דמזונות אין להם קצבה בשביל רפואה ולא תיקשי מההיא דהנושא שפסק לזונה חמש שנים דהא דאמרי' דרפואה שאין לה קצבה בכלל מזונות היינו בבתו דניזונת בתנאי כתובה מידי דהוה אאשה</w:t>
      </w:r>
      <w:r>
        <w:rPr>
          <w:rStyle w:val="Style1Char"/>
          <w:rFonts w:hint="cs"/>
          <w:color w:val="4472C4" w:themeColor="accent1"/>
        </w:rPr>
        <w:t>‍</w:t>
      </w:r>
      <w:r w:rsidRPr="004D20E8">
        <w:rPr>
          <w:rStyle w:val="Style1Char"/>
          <w:color w:val="4472C4" w:themeColor="accent1"/>
          <w:rtl/>
        </w:rPr>
        <w:t xml:space="preserve"> אבל אם אדם קבל עליו לזון איש נכרי לא מסתבר כלל שיתחייב ברפואתו ואם תקשי לך ממתני' דקאמרו חכמים פעמים שאדם עני בדעת ולא יהיב עישור נכסי והעשיר בדעת ויהיב טפי מעישור נכסי או שהיה עשיר והעני לא יהיב כולי האי אלא שמין את הנכסים ונותנין עישור נכסי וקאמר ר' יהודה ינתן לשניה כדרך שנתן לראשונה ואפי' טפי מעישור נכסי וי"ל דודאי לא קאמר ר' יהודה ינתן לשניה כדרך שנתן לראשונה אפי' טפי מעישור נכסי אלא כשנתן לה עישור נכסי או פחות וקאמרי רבנן פעמים שאדם עני בדעת כשהשיא את הראשונה ולא נתן לה עישור נכסי והעשיר בדעת ועכשיו היה נותן לה עישור נכסי</w:t>
      </w:r>
      <w:r>
        <w:rPr>
          <w:rStyle w:val="Style1Char"/>
          <w:rFonts w:hint="cs"/>
          <w:color w:val="4472C4" w:themeColor="accent1"/>
        </w:rPr>
        <w:t>‍</w:t>
      </w:r>
      <w:r w:rsidRPr="004D20E8">
        <w:rPr>
          <w:rStyle w:val="Style1Char"/>
          <w:color w:val="4472C4" w:themeColor="accent1"/>
          <w:rtl/>
        </w:rPr>
        <w:t xml:space="preserve"> ופעמים שאדם עשיר בדעת כשהשיא את הראשונה ונתן לה עישור נכסי והעני בדעת שעכשיו היה נותן לה פחות לא נוכל לאמוד דעתו הלכך לעולם יתנו עישור נכסי ורבי יהודה סבר דשמין באב לפחות. ואם תקשי לך הא דאמרינן לעיל (דף נ ב) רב זן מחיטי דעלייה איבעיא להו לפרנסה הויא ומאי עלייה מעילויא דאב וכדשמואל דאמר שמואל לפרנסה שמין באב אלמא משמע דשמואל לעילויא אמרה וי"ל דה"ק עלייה מעילויא דאב כלומר מה שזן אותה מחיטי היינו מעילויא דאב וכדשמואל ושמואל תרתי אמר ששמין באב לעילויא לגבות מטלטלי אם השיא ראשונה ונתן לה מטלטלי ולהורע כחה לענין שומא ושמין לפחות ולא להותיר ודעת התוס' נוטה לסברא זו וכיון דאיכא פלוגתא דרבוותא לא מפקינן מיתמי טפי מעישור נכסי</w:t>
      </w:r>
      <w:r w:rsidRPr="004D20E8">
        <w:rPr>
          <w:rStyle w:val="Style1Char"/>
          <w:color w:val="4472C4" w:themeColor="accent1"/>
        </w:rPr>
        <w:t>:</w:t>
      </w:r>
      <w:r>
        <w:rPr>
          <w:rStyle w:val="Style1Char"/>
          <w:color w:val="4472C4" w:themeColor="accent1"/>
        </w:rPr>
        <w:t xml:space="preserve"> </w:t>
      </w:r>
      <w:r w:rsidRPr="00942B99">
        <w:rPr>
          <w:rStyle w:val="Style1Char"/>
          <w:color w:val="auto"/>
          <w:sz w:val="22"/>
          <w:szCs w:val="22"/>
          <w:rtl/>
        </w:rPr>
        <w:t>גופא,</w:t>
      </w:r>
      <w:r w:rsidRPr="00AF5245">
        <w:rPr>
          <w:rStyle w:val="Style1Char"/>
          <w:sz w:val="22"/>
          <w:szCs w:val="22"/>
          <w:rtl/>
        </w:rPr>
        <w:t xml:space="preserve"> אמר רבי: </w:t>
      </w:r>
      <w:r w:rsidRPr="00942B99">
        <w:rPr>
          <w:rStyle w:val="Style1Char"/>
          <w:color w:val="auto"/>
          <w:sz w:val="22"/>
          <w:szCs w:val="22"/>
          <w:rtl/>
        </w:rPr>
        <w:t xml:space="preserve">בת הניזונת מן האחין - נוטלת עישור נכסים. אמרו לו </w:t>
      </w:r>
      <w:r w:rsidRPr="0058605C">
        <w:rPr>
          <w:rStyle w:val="Style1Char"/>
          <w:color w:val="00B050"/>
          <w:rtl/>
        </w:rPr>
        <w:t xml:space="preserve">לרבי: </w:t>
      </w:r>
      <w:r w:rsidRPr="00942B99">
        <w:rPr>
          <w:rStyle w:val="Style1Char"/>
          <w:color w:val="auto"/>
          <w:sz w:val="22"/>
          <w:szCs w:val="22"/>
          <w:rtl/>
        </w:rPr>
        <w:t xml:space="preserve">לדבריך, מי שיש לו עשר בנות ובן, אין לו לבן במקום בנות כלום! אמר להן, כך אני אומר: </w:t>
      </w:r>
      <w:r w:rsidR="005F3672">
        <w:rPr>
          <w:rStyle w:val="Style1Char"/>
          <w:rFonts w:hint="cs"/>
          <w:rtl/>
        </w:rPr>
        <w:t>(7)</w:t>
      </w:r>
      <w:r w:rsidRPr="00942B99">
        <w:rPr>
          <w:rStyle w:val="Style1Char"/>
          <w:color w:val="auto"/>
          <w:sz w:val="22"/>
          <w:szCs w:val="22"/>
          <w:rtl/>
        </w:rPr>
        <w:t xml:space="preserve">ראשונה נוטלת עישור נכסים, שניה - במה ששיירה, ושלישית - במה ששיירה, וחוזרות וחולקות בשוה. </w:t>
      </w:r>
    </w:p>
    <w:p w14:paraId="25091FFE" w14:textId="41298AE8" w:rsidR="00373873" w:rsidRDefault="00373873" w:rsidP="00373873">
      <w:pPr>
        <w:pStyle w:val="Style1"/>
        <w:rPr>
          <w:rStyle w:val="Style1Char"/>
          <w:color w:val="00B050"/>
          <w:rtl/>
        </w:rPr>
      </w:pPr>
      <w:r>
        <w:rPr>
          <w:rStyle w:val="Style1Char"/>
          <w:rFonts w:hint="cs"/>
          <w:rtl/>
        </w:rPr>
        <w:lastRenderedPageBreak/>
        <w:t>1)[</w:t>
      </w:r>
      <w:r w:rsidRPr="00373873">
        <w:rPr>
          <w:rStyle w:val="Style1Char"/>
          <w:rtl/>
        </w:rPr>
        <w:t>רמב</w:t>
      </w:r>
      <w:r w:rsidR="00EC109D">
        <w:rPr>
          <w:rStyle w:val="Style1Char"/>
          <w:rtl/>
        </w:rPr>
        <w:t>”ם \זרעים\</w:t>
      </w:r>
      <w:r w:rsidRPr="00373873">
        <w:rPr>
          <w:rStyle w:val="Style1Char"/>
          <w:rtl/>
        </w:rPr>
        <w:t xml:space="preserve"> הלכות מתנות עניים פרק י הלכה ג</w:t>
      </w:r>
      <w:r>
        <w:rPr>
          <w:rStyle w:val="Style1Char"/>
          <w:rFonts w:hint="cs"/>
          <w:rtl/>
        </w:rPr>
        <w:t xml:space="preserve">] </w:t>
      </w:r>
      <w:r w:rsidRPr="00373873">
        <w:rPr>
          <w:rStyle w:val="Style1Char"/>
          <w:rtl/>
        </w:rPr>
        <w:t>כל המעלים עיניו מן הצדקה הרי זה נקרא בליעל כמו שנקרא עובד עכו"ם בליעל, ובעכו"ם הוא אומר יצאו אנשים בני בליעל ובמעלים עיניו מן הצדקה הוא אומר השמר לך פן יהיה דבר עם לבבך בליעל, ונקרא רשע שנאמר ורחמי רשעים אכזרי, ונקרא חוטא שנאמר וקרא עליך אל ה' והיה בך חטא, והקב"ה קרוב לשועת עניים שנאמר שועת עניים אתה תשמע, לפיכך צריך להזהר בצעקתם שהרי ברית כרותה להם שנאמר והיה כי יצעק אלי ושמעתי כי חנון אני.</w:t>
      </w:r>
      <w:r w:rsidRPr="00373873">
        <w:rPr>
          <w:rStyle w:val="Style1Char"/>
          <w:color w:val="00B050"/>
          <w:rtl/>
        </w:rPr>
        <w:t xml:space="preserve"> </w:t>
      </w:r>
    </w:p>
    <w:p w14:paraId="7DA0570C" w14:textId="77777777" w:rsidR="004D6A99" w:rsidRDefault="00373873" w:rsidP="00373873">
      <w:pPr>
        <w:pStyle w:val="Style1"/>
        <w:rPr>
          <w:rStyle w:val="Style1Char"/>
          <w:color w:val="00B050"/>
        </w:rPr>
      </w:pPr>
      <w:r>
        <w:rPr>
          <w:rStyle w:val="Style1Char"/>
          <w:rFonts w:hint="cs"/>
          <w:rtl/>
        </w:rPr>
        <w:t>1)[</w:t>
      </w:r>
      <w:r w:rsidRPr="00373873">
        <w:rPr>
          <w:rStyle w:val="Style1Char"/>
          <w:rtl/>
        </w:rPr>
        <w:t>שולחן ערוך יורה דעה הלכות צדקה סימן רמז סעיף א</w:t>
      </w:r>
      <w:r>
        <w:rPr>
          <w:rStyle w:val="Style1Char"/>
          <w:rFonts w:hint="cs"/>
          <w:rtl/>
        </w:rPr>
        <w:t xml:space="preserve">] </w:t>
      </w:r>
      <w:r w:rsidRPr="00373873">
        <w:rPr>
          <w:rStyle w:val="Style1Char"/>
          <w:rtl/>
        </w:rPr>
        <w:t>מצות עשה ליתן צדקה כפי השגת יד, וכמה פעמים נצטוינו בה במצות עשה. ויש לא תעשה במעלים עיניו ממנו, שנאמר: לא תאמץ את לבבך ולא תקפוץ את ידך (דברים טו, ז). וכל המעלים עיניו ממנה נקרא בליעל, וכאילו עובד עבודת כוכבים. ומאד יש ליזהר בה, כי אפשר שיבא לידי שפיכות דמים, שימות העני המבקש אם לא יתן לו מיד, כעובדא דנחום איש גם זו.</w:t>
      </w:r>
      <w:r w:rsidRPr="00373873">
        <w:rPr>
          <w:rStyle w:val="Style1Char"/>
          <w:color w:val="00B050"/>
          <w:rtl/>
        </w:rPr>
        <w:t xml:space="preserve"> </w:t>
      </w:r>
    </w:p>
    <w:p w14:paraId="58162BC1" w14:textId="5911A2C2" w:rsidR="004D6A99" w:rsidRDefault="004D6A99" w:rsidP="004D6A99">
      <w:pPr>
        <w:pStyle w:val="Style1"/>
        <w:rPr>
          <w:rStyle w:val="Style1Char"/>
          <w:rtl/>
        </w:rPr>
      </w:pPr>
      <w:r>
        <w:rPr>
          <w:rStyle w:val="Style1Char"/>
          <w:rFonts w:hint="cs"/>
          <w:rtl/>
        </w:rPr>
        <w:t>2)[</w:t>
      </w:r>
      <w:r w:rsidRPr="004D6A99">
        <w:rPr>
          <w:rStyle w:val="Style1Char"/>
          <w:rtl/>
        </w:rPr>
        <w:t>רמב</w:t>
      </w:r>
      <w:r w:rsidR="00EC109D">
        <w:rPr>
          <w:rStyle w:val="Style1Char"/>
          <w:rtl/>
        </w:rPr>
        <w:t>”ם \זרעים\</w:t>
      </w:r>
      <w:r w:rsidRPr="004D6A99">
        <w:rPr>
          <w:rStyle w:val="Style1Char"/>
          <w:rtl/>
        </w:rPr>
        <w:t xml:space="preserve"> הלכות מתנות עניים פרק י הלכה יט</w:t>
      </w:r>
      <w:r>
        <w:rPr>
          <w:rStyle w:val="Style1Char"/>
          <w:rFonts w:hint="cs"/>
          <w:rtl/>
        </w:rPr>
        <w:t xml:space="preserve">] </w:t>
      </w:r>
      <w:r w:rsidRPr="004D6A99">
        <w:rPr>
          <w:rStyle w:val="Style1Char"/>
          <w:rtl/>
        </w:rPr>
        <w:t xml:space="preserve">כל מי שאינו צריך ליטול ומרמה את העם ונוטל אינו מת מן הזקנה עד שיצטרך לבריות, והרי הוא בכלל ארור הגבר אשר יבטח באדם, וכל מי שצריך ליטול ואינו יכול לחיות אלא אם כן נוטל כגון זקן או חולה או בעל יסורין ומגיס דעתו ואינו נוטל הרי זה שופך דמים ומתחייב בנפשו ואין לו בצערו אלא חטאות ואשמות, וכל מי שצריך ליטול וציער ודחק את השעה וחיה חיי צער כדי שלא יטריח על הצבור אינו מת מן הזקנה עד שיפרנס אחרים משלו, ועליו ועל כל כיוצא בזה נאמר ברוך הגבר אשר יבטח בה'. סליקו להו הלכות מתנות עניים בס"ד. </w:t>
      </w:r>
    </w:p>
    <w:p w14:paraId="04E6BDC1" w14:textId="77777777" w:rsidR="004D6A99" w:rsidRDefault="004D6A99" w:rsidP="004D6A99">
      <w:pPr>
        <w:pStyle w:val="Style1"/>
        <w:rPr>
          <w:rStyle w:val="Style1Char"/>
          <w:rtl/>
        </w:rPr>
      </w:pPr>
      <w:r>
        <w:rPr>
          <w:rStyle w:val="Style1Char"/>
          <w:rFonts w:hint="cs"/>
          <w:rtl/>
        </w:rPr>
        <w:t>2)[</w:t>
      </w:r>
      <w:r w:rsidRPr="004D6A99">
        <w:rPr>
          <w:rStyle w:val="Style1Char"/>
          <w:rtl/>
        </w:rPr>
        <w:t>שולחן ערוך יורה דעה הלכות צדקה סימן רנה סעיף ב</w:t>
      </w:r>
      <w:r>
        <w:rPr>
          <w:rStyle w:val="Style1Char"/>
          <w:rFonts w:hint="cs"/>
          <w:rtl/>
        </w:rPr>
        <w:t xml:space="preserve">] </w:t>
      </w:r>
      <w:r w:rsidRPr="004D6A99">
        <w:rPr>
          <w:rStyle w:val="Style1Char"/>
          <w:rtl/>
        </w:rPr>
        <w:t xml:space="preserve">כל מי שאינו צריך ליטול מהצדקה ומרמה העם ונוטל, אינו מת עד שיצטרך לבריות. וכל מי שצריך ליטול ואינו יכול לחיות אלא אם כן יטול, כגון זקן או חולה או בעל יסורין, ומגיס דעתו ואינו נוטל, הרי זה שופך דמים ומתחייב בנפשו ואין לו בצערו אלא עונות וחטאים. וכל מי שצריך ליטול ומצער עצמו ודוחק את השעה וחי חיי צער כדי שלא יטריח על הצבור, אינו מת עד שיפרנס אחרים, ועליו הכתוב אומר: ברוך הגבר אשר יבטח בה' (ירמיה יז, ז). </w:t>
      </w:r>
    </w:p>
    <w:p w14:paraId="14C08DA7" w14:textId="0526D395" w:rsidR="004D6A99" w:rsidRDefault="004D6A99" w:rsidP="004D6A99">
      <w:pPr>
        <w:pStyle w:val="Style1"/>
        <w:rPr>
          <w:rStyle w:val="Style1Char"/>
          <w:rtl/>
        </w:rPr>
      </w:pPr>
      <w:r>
        <w:rPr>
          <w:rStyle w:val="Style1Char"/>
          <w:rFonts w:hint="cs"/>
          <w:rtl/>
        </w:rPr>
        <w:t>3)[</w:t>
      </w:r>
      <w:r w:rsidRPr="004D6A99">
        <w:rPr>
          <w:rStyle w:val="Style1Char"/>
          <w:rtl/>
        </w:rPr>
        <w:t>רמב</w:t>
      </w:r>
      <w:r w:rsidR="00EC109D">
        <w:rPr>
          <w:rStyle w:val="Style1Char"/>
          <w:rtl/>
        </w:rPr>
        <w:t>”ם \זרעים\</w:t>
      </w:r>
      <w:r w:rsidRPr="004D6A99">
        <w:rPr>
          <w:rStyle w:val="Style1Char"/>
          <w:rtl/>
        </w:rPr>
        <w:t xml:space="preserve"> הלכות מתנות עניים פרק ט הלכה יד</w:t>
      </w:r>
      <w:r>
        <w:rPr>
          <w:rStyle w:val="Style1Char"/>
          <w:rFonts w:hint="cs"/>
          <w:rtl/>
        </w:rPr>
        <w:t xml:space="preserve">] </w:t>
      </w:r>
      <w:r w:rsidRPr="004D6A99">
        <w:rPr>
          <w:rStyle w:val="Style1Char"/>
          <w:rtl/>
        </w:rPr>
        <w:t xml:space="preserve">עני שצריך ויש לו חצר וכלי בית אפילו היו לו כלי כסף וכלי זהב אין מחייבין אותו למכור את ביתו ואת כלי תשמישו אלא מותר ליקח, ומצוה ליתן לו, במה דברים אמורים בכלי אכילה ושתיה ומלבוש ומצעות וכיוצא בהן, אבל אם היו כלי כסף וכלי זהב כגון מגרדת או עלי וכיוצא בהן מוכרן ולוקח פחות מהן, במה דברים אמורים קודם שיגיע לגבות מן העם, אבל אחר שגבה הצדקה מחייבים אותו למכור כליו וליקח אחרים פחותין מהם ואחר כך יטול. </w:t>
      </w:r>
    </w:p>
    <w:p w14:paraId="5A444F46" w14:textId="2A6F1D98" w:rsidR="004D6A99" w:rsidRPr="004D6A99" w:rsidRDefault="004D6A99" w:rsidP="004D6A99">
      <w:pPr>
        <w:pStyle w:val="Style1"/>
      </w:pPr>
      <w:r>
        <w:rPr>
          <w:rStyle w:val="Style1Char"/>
          <w:rFonts w:hint="cs"/>
          <w:rtl/>
        </w:rPr>
        <w:t>3)[</w:t>
      </w:r>
      <w:r w:rsidRPr="004D6A99">
        <w:rPr>
          <w:rStyle w:val="Style1Char"/>
          <w:rtl/>
        </w:rPr>
        <w:t>שולחן ערוך יורה דעה הלכות צדקה סימן רנג סעיף א</w:t>
      </w:r>
      <w:r>
        <w:rPr>
          <w:rStyle w:val="Style1Char"/>
          <w:rFonts w:hint="cs"/>
          <w:rtl/>
        </w:rPr>
        <w:t xml:space="preserve">] </w:t>
      </w:r>
      <w:r w:rsidRPr="004D6A99">
        <w:rPr>
          <w:rtl/>
        </w:rPr>
        <w:t>מי שיש לו מזון שתי סעודות לא יטול מהתמחוי מזון י"ד סעודות לא יטול מהקופה ואם יש לו ר' זוז ואינו נושא ונותן בהם או שיש לו חמשים זוז והוא נושא ונותן בהם לא יטול צדקה ואם יש לו ר' זוז חסר דינר ואינו נושא ונותן בהם אפי' נותנים לו אלף זוז בבת אחת הרי זה יטול</w:t>
      </w:r>
      <w:r w:rsidRPr="004D6A99">
        <w:t>:</w:t>
      </w:r>
    </w:p>
    <w:p w14:paraId="09A211FD" w14:textId="77777777" w:rsidR="004D6A99" w:rsidRPr="004D6A99" w:rsidRDefault="004D6A99" w:rsidP="004D6A99">
      <w:pPr>
        <w:pStyle w:val="Style1"/>
      </w:pPr>
      <w:r w:rsidRPr="004D6A99">
        <w:rPr>
          <w:rFonts w:hint="cs"/>
          <w:rtl/>
        </w:rPr>
        <w:t>הגה: ומי שהולך מביתו ונוסע מעיר לעיר לקבץ כל הדרך שהיה בדעתו ליסע כשהלך מביתו נקרא פעם א' ואפי' נתנו לו ר' זוז בעיר א' יכול לקבל יותר ומכאן ואילך אסור (מרדכי פ"ק דב"ב בשם א"ז)</w:t>
      </w:r>
    </w:p>
    <w:p w14:paraId="2998DD6B" w14:textId="77777777" w:rsidR="004D6A99" w:rsidRPr="004D6A99" w:rsidRDefault="004D6A99" w:rsidP="004D6A99">
      <w:pPr>
        <w:pStyle w:val="Style1"/>
      </w:pPr>
      <w:r w:rsidRPr="004D6A99">
        <w:rPr>
          <w:rtl/>
        </w:rPr>
        <w:t>ואם יש לו הרבה והוא עליו בחוב או שממושכן לכתובת אשתו הרי זה יטול ואם יש לו בית וכלי בית הרבה ואין לו ר' זוז הרי זה יטול ואין צריך למכור כלי ביתו ואפי' הם של כסף וזהב במה דברים אמורים בכלי אכילה ושתיה ומלבוש ומצעות וכיוצא בהן אבל מגרדה או עלי שהם של כסף מוכרם ולא יטול מהצדקה והא דאין מחייבים אותו למכור כלי תשמישו של כסף וזהב דוקא כל זמן שאינו צריך ליטול מהקופה אלא נוטל בסתר מיחידים אבל אם בא ליטול מהקופה של צדקה לא יתנו לו עד שימכור כליו</w:t>
      </w:r>
      <w:r w:rsidRPr="004D6A99">
        <w:t>:</w:t>
      </w:r>
    </w:p>
    <w:p w14:paraId="687328C9" w14:textId="789CD4D5" w:rsidR="004D6A99" w:rsidRDefault="004D6A99" w:rsidP="004D6A99">
      <w:pPr>
        <w:pStyle w:val="Style1"/>
        <w:rPr>
          <w:rtl/>
        </w:rPr>
      </w:pPr>
      <w:r w:rsidRPr="004D6A99">
        <w:rPr>
          <w:rFonts w:hint="cs"/>
          <w:rtl/>
        </w:rPr>
        <w:t>הגה: וכן במקום דאיכא תקנה שלא ליתן צדקה למי שיש לו דבר קצוב אין חושבין לו בית דירה וכלי תשמישיו (מרדכי ריש פ"ק דב"ק) וכל מי שהוא עשיר אסור ליתן לבניו אע"פ שהם גדולים אם הם סמוכים על שולחן אביהם (מרדכי פ"ק דב"מ בב"י סי' רנ"ב) וכל זה דרך צדקה אבל דרך דורון וכבוד יכול לקבל אדם כדאמרי' הרוצה ליהנות יהנה כאלישע (מרדכי מהגהות דב"ק)</w:t>
      </w:r>
      <w:r w:rsidRPr="004D6A99">
        <w:t>:</w:t>
      </w:r>
    </w:p>
    <w:p w14:paraId="339DE11F" w14:textId="04364D40" w:rsidR="001F1F88" w:rsidRDefault="001F1F88" w:rsidP="001F1F88">
      <w:pPr>
        <w:pStyle w:val="Style1"/>
        <w:rPr>
          <w:rtl/>
        </w:rPr>
      </w:pPr>
      <w:r>
        <w:rPr>
          <w:rFonts w:hint="cs"/>
          <w:rtl/>
        </w:rPr>
        <w:t>4)[</w:t>
      </w:r>
      <w:r>
        <w:rPr>
          <w:rtl/>
        </w:rPr>
        <w:t>רמב</w:t>
      </w:r>
      <w:r w:rsidR="00213DA1">
        <w:rPr>
          <w:rtl/>
        </w:rPr>
        <w:t>”ם \נשים\</w:t>
      </w:r>
      <w:r>
        <w:rPr>
          <w:rtl/>
        </w:rPr>
        <w:t xml:space="preserve"> הלכות אישות פרק כ הלכה יב</w:t>
      </w:r>
      <w:r>
        <w:rPr>
          <w:rFonts w:hint="cs"/>
          <w:rtl/>
        </w:rPr>
        <w:t xml:space="preserve">] </w:t>
      </w:r>
      <w:r>
        <w:rPr>
          <w:rtl/>
        </w:rPr>
        <w:t>קטנה יתומה שהשיאתה אמה או אחיה לדעתה ונתנו לה מאה או חמשים זוז יכולה היא משתגדיל להוציא מידם פרנסה הראויה לה, או באמדן דעת האב או עישור הקרקעות, ואפילו לא היו האחין זנין אותה, ואף על פי שלא מיחת בשעת נישואין, מפני שהקטנה אינה בת מחאה.</w:t>
      </w:r>
    </w:p>
    <w:p w14:paraId="373CBBAA" w14:textId="75AA6B2E" w:rsidR="001F1F88" w:rsidRPr="001F1F88" w:rsidRDefault="001F1F88" w:rsidP="001F1F88">
      <w:pPr>
        <w:pStyle w:val="Style1"/>
      </w:pPr>
      <w:r>
        <w:rPr>
          <w:rFonts w:hint="cs"/>
          <w:rtl/>
        </w:rPr>
        <w:t>4)[</w:t>
      </w:r>
      <w:r>
        <w:rPr>
          <w:rtl/>
        </w:rPr>
        <w:t>שולחן ערוך אבן העזר הלכות כתובות סימן קיג סעיף ז</w:t>
      </w:r>
      <w:r>
        <w:rPr>
          <w:rFonts w:hint="cs"/>
          <w:rtl/>
        </w:rPr>
        <w:t xml:space="preserve">] </w:t>
      </w:r>
      <w:r w:rsidRPr="001F1F88">
        <w:rPr>
          <w:rtl/>
        </w:rPr>
        <w:t>קטנה יתומה שהשיאתה אמה או אחיה לדעתה, ונתנו לה מאה או חמשים זוז, יכולה היא משתגדיל להוציא מידם פרנסת נדוניא הראויה לה</w:t>
      </w:r>
      <w:r w:rsidRPr="001F1F88">
        <w:t>.</w:t>
      </w:r>
    </w:p>
    <w:p w14:paraId="2FF84C30" w14:textId="77777777" w:rsidR="001F1F88" w:rsidRPr="001F1F88" w:rsidRDefault="001F1F88" w:rsidP="001F1F88">
      <w:pPr>
        <w:pStyle w:val="Style1"/>
      </w:pPr>
      <w:r w:rsidRPr="001F1F88">
        <w:rPr>
          <w:rFonts w:hint="cs"/>
          <w:rtl/>
        </w:rPr>
        <w:t>ואפילו שתקה זמן רב משתגדיל, יכולה אחר כך לתבוע פרנסתה (כן משמע לשון הטור, וכן כתב המגיד משנה פרק כ' בשם הרשב"א והר"ן פרק מציאת האשה)</w:t>
      </w:r>
      <w:r w:rsidRPr="001F1F88">
        <w:t>.</w:t>
      </w:r>
    </w:p>
    <w:p w14:paraId="638FA8B3" w14:textId="77777777" w:rsidR="001F1F88" w:rsidRPr="001F1F88" w:rsidRDefault="001F1F88" w:rsidP="001F1F88">
      <w:pPr>
        <w:pStyle w:val="Style1"/>
      </w:pPr>
      <w:r w:rsidRPr="001F1F88">
        <w:rPr>
          <w:rtl/>
        </w:rPr>
        <w:t>ואפילו לא היו האחים זנים אותה. ואף על פי שלא מחתה בשעת נשואין, מפני שהקטנה אינה בת מחאה. ואם נישאת הבת אחר שגדלה, בין נערה בין בוגרת, ולא תבעה פרנסתה, אבדה פרנסתה, אלא אם כן היו האחים זנין אותה אחר נשואיה </w:t>
      </w:r>
      <w:r w:rsidRPr="001F1F88">
        <w:rPr>
          <w:rFonts w:hint="cs"/>
          <w:rtl/>
        </w:rPr>
        <w:t>והיא ידעה כן בשעת נשואין (הר"ן פרק מציאת האשה)</w:t>
      </w:r>
      <w:r w:rsidRPr="001F1F88">
        <w:t>.</w:t>
      </w:r>
    </w:p>
    <w:p w14:paraId="1947BE03" w14:textId="77777777" w:rsidR="001F1F88" w:rsidRPr="001F1F88" w:rsidRDefault="001F1F88" w:rsidP="001F1F88">
      <w:pPr>
        <w:pStyle w:val="Style1"/>
      </w:pPr>
      <w:r w:rsidRPr="001F1F88">
        <w:rPr>
          <w:rtl/>
        </w:rPr>
        <w:t>ואם מחתה בעת נישואיה, הרי זו מוציאה הראוי לה כל זמן שתרצה. ואם בגרה ועודה בבית אביה, בין שבגרה אחר מותו בין שהניחה בוגרת</w:t>
      </w:r>
      <w:r w:rsidRPr="001F1F88">
        <w:t>, </w:t>
      </w:r>
      <w:r w:rsidRPr="001F1F88">
        <w:rPr>
          <w:rFonts w:hint="cs"/>
          <w:rtl/>
        </w:rPr>
        <w:t>ויש חולקין וסבירא להו דאם הניחה בוגרת אין לה פרנסה כלל (טור בשם הרב רבנו יונה והרא"ש)</w:t>
      </w:r>
      <w:r w:rsidRPr="001F1F88">
        <w:t xml:space="preserve">, </w:t>
      </w:r>
      <w:r w:rsidRPr="001F1F88">
        <w:rPr>
          <w:rtl/>
        </w:rPr>
        <w:t>אם פסקו האחים מלתת לה מזונותיה, שהרי אין לה מזונות, ושתקה ולא תבעה פרנסת נדוניתה, אבדה. ואם מחתה, לא אבדה. ואם לא פסקו האחים מלזונה, וזנו אותה בבגר, אף על פי שלא מחתה -- לא אבדה פרנסת נדוניתה כל זמן שהם זנין אותה, שיש לה לטעון מפני שהם זנים אותה אף על פי שאינם חייבים והיא עדיין לא נישאת, מפני זה לא תבעה פרנסתה</w:t>
      </w:r>
      <w:r w:rsidRPr="001F1F88">
        <w:t>.</w:t>
      </w:r>
    </w:p>
    <w:p w14:paraId="70512A8A" w14:textId="051E6433" w:rsidR="001F1F88" w:rsidRDefault="001F1F88" w:rsidP="001F1F88">
      <w:pPr>
        <w:pStyle w:val="Style1"/>
        <w:rPr>
          <w:rtl/>
        </w:rPr>
      </w:pPr>
      <w:r w:rsidRPr="001F1F88">
        <w:rPr>
          <w:rFonts w:hint="cs"/>
          <w:rtl/>
        </w:rPr>
        <w:t>מי שצוה לתת לבתו שליש נכסיו, והשיאוה אחיה ולא נתנו לה, צריכין ליתן לה אחר כך (תשובת רשב"א סימן אלף מ"ג)</w:t>
      </w:r>
      <w:r w:rsidRPr="001F1F88">
        <w:t>:</w:t>
      </w:r>
    </w:p>
    <w:p w14:paraId="79F69D04" w14:textId="18407930" w:rsidR="00EE424B" w:rsidRDefault="00EE424B" w:rsidP="00EE424B">
      <w:pPr>
        <w:pStyle w:val="Style1"/>
        <w:rPr>
          <w:rtl/>
        </w:rPr>
      </w:pPr>
      <w:r>
        <w:rPr>
          <w:rFonts w:hint="cs"/>
          <w:rtl/>
        </w:rPr>
        <w:t>5)[</w:t>
      </w:r>
      <w:r>
        <w:rPr>
          <w:rtl/>
        </w:rPr>
        <w:t>רמב</w:t>
      </w:r>
      <w:r w:rsidR="00213DA1">
        <w:rPr>
          <w:rtl/>
        </w:rPr>
        <w:t>”ם \נשים\</w:t>
      </w:r>
      <w:r>
        <w:rPr>
          <w:rtl/>
        </w:rPr>
        <w:t xml:space="preserve"> הלכות אישות פרק כ הלכה ג</w:t>
      </w:r>
      <w:r>
        <w:rPr>
          <w:rFonts w:hint="cs"/>
          <w:rtl/>
        </w:rPr>
        <w:t xml:space="preserve">] </w:t>
      </w:r>
      <w:r>
        <w:rPr>
          <w:rtl/>
        </w:rPr>
        <w:t>האב שמת והניח בת אומדין דעתו כמה היה בלבו ליתן לה לפרנסתה ונותנין לה, ומנין יודעין אומדן דעתו, מרעיו ומיודעיו וממשאו ומתנו וכבודו, וכן אם השיא בת בחייו אומדין בה, ואם לא ידעו לו בית דין אומדן דעת נותנין לה מנכסיו עישור לפרנסתה.</w:t>
      </w:r>
    </w:p>
    <w:p w14:paraId="158A2B58" w14:textId="1037BBDC" w:rsidR="00EE424B" w:rsidRPr="00D507BB" w:rsidRDefault="00EE424B" w:rsidP="00EE424B">
      <w:pPr>
        <w:pStyle w:val="Style1"/>
      </w:pPr>
      <w:r>
        <w:rPr>
          <w:rStyle w:val="Style1Char"/>
          <w:rFonts w:hint="cs"/>
          <w:rtl/>
        </w:rPr>
        <w:t>5)[</w:t>
      </w:r>
      <w:r w:rsidRPr="00DC3DF7">
        <w:rPr>
          <w:rStyle w:val="Style1Char"/>
          <w:rtl/>
        </w:rPr>
        <w:t>שולחן ערוך אבן העזר הלכות כתובות סימן קיג סעיף א</w:t>
      </w:r>
      <w:r>
        <w:rPr>
          <w:rStyle w:val="Style1Char"/>
          <w:rFonts w:hint="cs"/>
          <w:rtl/>
        </w:rPr>
        <w:t xml:space="preserve">] </w:t>
      </w:r>
      <w:r w:rsidRPr="00D507BB">
        <w:rPr>
          <w:rtl/>
        </w:rPr>
        <w:t>מי שמת והניח בת, אומדים דעתו כמה היה בלבו ליתן לה לפרנסת נדוניתא ונותנים לה. ומנין יהיו יודעים אומדן דעתו? מריעיו ומיודעיו ומשאו ומתנו וכבודו. וכן אם השיא בת בחייו אומדים בה</w:t>
      </w:r>
      <w:r w:rsidRPr="00D507BB">
        <w:t>.</w:t>
      </w:r>
    </w:p>
    <w:p w14:paraId="70AD8165" w14:textId="77777777" w:rsidR="00EE424B" w:rsidRPr="00D507BB" w:rsidRDefault="00EE424B" w:rsidP="00EE424B">
      <w:pPr>
        <w:pStyle w:val="Style1"/>
      </w:pPr>
      <w:r w:rsidRPr="00D507BB">
        <w:rPr>
          <w:rFonts w:hint="cs"/>
          <w:rtl/>
        </w:rPr>
        <w:t>הגה: ואם היה עשיר והעני, או ותרן ונשתנה דעתו, הולכין אחר דעתו האחרונה (טור)</w:t>
      </w:r>
      <w:r w:rsidRPr="00D507BB">
        <w:t>.</w:t>
      </w:r>
    </w:p>
    <w:p w14:paraId="4B49E2E5" w14:textId="77777777" w:rsidR="00EE424B" w:rsidRPr="00D507BB" w:rsidRDefault="00EE424B" w:rsidP="00EE424B">
      <w:pPr>
        <w:pStyle w:val="Style1"/>
      </w:pPr>
      <w:r w:rsidRPr="00D507BB">
        <w:rPr>
          <w:rtl/>
        </w:rPr>
        <w:t>ואם לא ידעו בית דין אומדן דעתו, נותנים לה מנכסיו עישור לפרנסת נדוניתה</w:t>
      </w:r>
      <w:r w:rsidRPr="00D507BB">
        <w:t>.</w:t>
      </w:r>
    </w:p>
    <w:p w14:paraId="6C9257E9" w14:textId="452E92D4" w:rsidR="00EE424B" w:rsidRDefault="00EE424B" w:rsidP="00EE424B">
      <w:pPr>
        <w:pStyle w:val="Style1"/>
        <w:rPr>
          <w:rtl/>
        </w:rPr>
      </w:pPr>
      <w:r w:rsidRPr="00D507BB">
        <w:rPr>
          <w:rFonts w:hint="cs"/>
          <w:rtl/>
        </w:rPr>
        <w:t>הגה: וכשם שנותנין לבת פרנסה לנדוניא מנכסי האב, כך נותנים לה פרנסה מנכסי האם (נמוקי יוסף פרק יש נוחלין). ויש חולקין (מהרי"ל סימן ע"ה). יש אומרים דאף האב בחיים אין לו [להוסיף] לבתו יותר מעישור נכסים (הר"ן פרק מציאת האשה), ואין נוהגין כן</w:t>
      </w:r>
      <w:r w:rsidRPr="00D507BB">
        <w:t>:</w:t>
      </w:r>
    </w:p>
    <w:p w14:paraId="26C3B9CA" w14:textId="508ED3AB" w:rsidR="00EE424B" w:rsidRDefault="00EE424B" w:rsidP="00EE424B">
      <w:pPr>
        <w:pStyle w:val="Style1"/>
        <w:rPr>
          <w:rtl/>
        </w:rPr>
      </w:pPr>
      <w:r>
        <w:rPr>
          <w:rFonts w:hint="cs"/>
          <w:rtl/>
        </w:rPr>
        <w:lastRenderedPageBreak/>
        <w:t>6)[</w:t>
      </w:r>
      <w:r>
        <w:rPr>
          <w:rtl/>
        </w:rPr>
        <w:t>רמב</w:t>
      </w:r>
      <w:r w:rsidR="00213DA1">
        <w:rPr>
          <w:rtl/>
        </w:rPr>
        <w:t>”ם \נשים\</w:t>
      </w:r>
      <w:r>
        <w:rPr>
          <w:rtl/>
        </w:rPr>
        <w:t xml:space="preserve"> הלכות אישות פרק יט הלכה יא</w:t>
      </w:r>
      <w:r>
        <w:rPr>
          <w:rFonts w:hint="cs"/>
          <w:rtl/>
        </w:rPr>
        <w:t xml:space="preserve">] </w:t>
      </w:r>
      <w:r>
        <w:rPr>
          <w:rtl/>
        </w:rPr>
        <w:t>פוסקין לבת מזונות וכסות ומדור מנכסי אביה כדרך שפוסקין לאלמנה, ומוכרין למזון הבנות וכסותן בלא הכרזה כדרך שמוכרין למזון האלמנה וכסותה, אלא שהאשה פוסקין לה לפי כבודה וכבוד בעלה ולבנות פוסקין להן דבר המספיק להן בלבד, ואין הבנות נשבעות.</w:t>
      </w:r>
    </w:p>
    <w:p w14:paraId="6B6885AD" w14:textId="280544E5" w:rsidR="00EE424B" w:rsidRDefault="00EE424B" w:rsidP="00EE424B">
      <w:pPr>
        <w:pStyle w:val="Style1"/>
        <w:rPr>
          <w:rtl/>
        </w:rPr>
      </w:pPr>
      <w:r>
        <w:rPr>
          <w:rFonts w:hint="cs"/>
          <w:rtl/>
        </w:rPr>
        <w:t>6)[</w:t>
      </w:r>
      <w:r>
        <w:rPr>
          <w:rtl/>
        </w:rPr>
        <w:t>שולחן ערוך אבן העזר הלכות כתובות סימן קיב סעיף ו</w:t>
      </w:r>
      <w:r>
        <w:rPr>
          <w:rFonts w:hint="cs"/>
          <w:rtl/>
        </w:rPr>
        <w:t xml:space="preserve">] </w:t>
      </w:r>
      <w:r>
        <w:rPr>
          <w:rtl/>
        </w:rPr>
        <w:t>פוסקין לבת מזונות וכסות ומדור מנכסי אביה, כדרך שפוסקין לאלמנה. ומוכרין למזון הבנות וכסותן בלא הכרזה, כדרך שמוכרין למזון האלמנה וכסותה; אלא שהאשה פוסקין לה לפי כבודה וכבוד בעלה, [ולבת פוסקין לה דבר המספיק לה בלבד. ואין הבנות נשבעות.</w:t>
      </w:r>
    </w:p>
    <w:p w14:paraId="6D30CEFE" w14:textId="50D7E354" w:rsidR="005F3672" w:rsidRDefault="005F3672" w:rsidP="005F3672">
      <w:pPr>
        <w:pStyle w:val="Style1"/>
        <w:rPr>
          <w:rtl/>
        </w:rPr>
      </w:pPr>
      <w:r>
        <w:rPr>
          <w:rFonts w:hint="cs"/>
          <w:rtl/>
        </w:rPr>
        <w:t>7)[</w:t>
      </w:r>
      <w:r>
        <w:rPr>
          <w:rtl/>
        </w:rPr>
        <w:t>רמב</w:t>
      </w:r>
      <w:r w:rsidR="00213DA1">
        <w:rPr>
          <w:rtl/>
        </w:rPr>
        <w:t>”ם \נשים\</w:t>
      </w:r>
      <w:r>
        <w:rPr>
          <w:rtl/>
        </w:rPr>
        <w:t xml:space="preserve"> הלכות אישות פרק כ הלכה ד</w:t>
      </w:r>
      <w:r>
        <w:rPr>
          <w:rFonts w:hint="cs"/>
          <w:rtl/>
        </w:rPr>
        <w:t xml:space="preserve">] </w:t>
      </w:r>
      <w:r>
        <w:rPr>
          <w:rtl/>
        </w:rPr>
        <w:t>הניח בנות רבות, כל שתבא להנשא נותנין לה עישור הנכסים, ושלאחריה עישור מה ששיירה ראשונה, ושלאחריה עישור מה ששיירה שניה, ואם באו כולן להנשא כאחת, ראשונה נוטלת עישור, והשנייה עישור מה ששיירה ראשונה, והשלישית עישור מה ששיירה שנייה, וכן אפילו הן עשר וחוזרות וחולקות כל העישורים בשוה ושאר הנכסים לאחים.</w:t>
      </w:r>
    </w:p>
    <w:p w14:paraId="037A6772" w14:textId="69FC407C" w:rsidR="005F3672" w:rsidRPr="005F3672" w:rsidRDefault="005F3672" w:rsidP="005F3672">
      <w:pPr>
        <w:pStyle w:val="Style1"/>
      </w:pPr>
      <w:r>
        <w:rPr>
          <w:rFonts w:hint="cs"/>
          <w:rtl/>
        </w:rPr>
        <w:t>7)[</w:t>
      </w:r>
      <w:r w:rsidRPr="005F3672">
        <w:rPr>
          <w:rtl/>
        </w:rPr>
        <w:t>שולחן ערוך אבן העזר הלכות כתובות סימן קיג סעיף ד</w:t>
      </w:r>
      <w:r w:rsidRPr="005F3672">
        <w:t xml:space="preserve"> </w:t>
      </w:r>
      <w:r>
        <w:rPr>
          <w:rFonts w:hint="cs"/>
          <w:rtl/>
        </w:rPr>
        <w:t xml:space="preserve">] </w:t>
      </w:r>
      <w:r w:rsidRPr="005F3672">
        <w:rPr>
          <w:rtl/>
        </w:rPr>
        <w:t>הניח בנות רבות, כל שתבא לינשא נותנין לה עישור הנכסים, ושל אחריה עישור מה ששיירה הראשונה, ושל אחריה עישור מה ששיירה שניה. ואם באו כלם לינשא כאחת, ראשונה נוטלת עישור, ושניה עישור מה ששיירה ראשונה, וכן אפילו הן עשר, וחוזרת וחולקות כל העישורים בשוה. הגה: אף על פי שעישור נכסים אינה נגבה עד שתבא הבת להנשא, מכל מקום משערים לפי מה שהניח בעת מותו. וכן אם אומדים אותו, אומדים אותו מיד שמת, ואינה נוטלת עד שתנשא (המ"מ פ' שני בשם הרשב"א ותשובת הרמב"ן סימן מ"ו).</w:t>
      </w:r>
    </w:p>
    <w:p w14:paraId="095FD823" w14:textId="77777777" w:rsidR="001F1F88" w:rsidRPr="00EE424B" w:rsidRDefault="001F1F88" w:rsidP="001F1F88">
      <w:pPr>
        <w:pStyle w:val="Style1"/>
      </w:pPr>
    </w:p>
    <w:p w14:paraId="7AE73835" w14:textId="787BDD7F" w:rsidR="001F1F88" w:rsidRPr="004D6A99" w:rsidRDefault="001F1F88" w:rsidP="001F1F88">
      <w:pPr>
        <w:pStyle w:val="Style1"/>
      </w:pPr>
    </w:p>
    <w:p w14:paraId="103978F2" w14:textId="77777777" w:rsidR="004D6A99" w:rsidRPr="004D6A99" w:rsidRDefault="004D6A99" w:rsidP="004D6A99">
      <w:pPr>
        <w:pStyle w:val="Style1"/>
        <w:rPr>
          <w:rStyle w:val="Style1Char"/>
        </w:rPr>
      </w:pPr>
    </w:p>
    <w:p w14:paraId="19C36A3B" w14:textId="002C8D22" w:rsidR="00FA0114" w:rsidRPr="004D6A99" w:rsidRDefault="00FA0114" w:rsidP="004D6A99">
      <w:pPr>
        <w:pStyle w:val="Style1"/>
        <w:rPr>
          <w:rStyle w:val="Style1Char"/>
          <w:rtl/>
        </w:rPr>
      </w:pPr>
      <w:r w:rsidRPr="004D6A99">
        <w:rPr>
          <w:rStyle w:val="Style1Char"/>
          <w:rtl/>
        </w:rPr>
        <w:br w:type="page"/>
      </w:r>
    </w:p>
    <w:p w14:paraId="78CF26FB" w14:textId="77777777" w:rsidR="00FA0114" w:rsidRPr="00942B99" w:rsidRDefault="00FA0114" w:rsidP="00FA0114">
      <w:pPr>
        <w:bidi/>
        <w:rPr>
          <w:rStyle w:val="Style1Char"/>
          <w:color w:val="806000" w:themeColor="accent4" w:themeShade="80"/>
        </w:rPr>
      </w:pPr>
      <w:r w:rsidRPr="00445611">
        <w:rPr>
          <w:rStyle w:val="Style1Char"/>
          <w:sz w:val="22"/>
          <w:szCs w:val="22"/>
          <w:highlight w:val="yellow"/>
          <w:rtl/>
        </w:rPr>
        <w:lastRenderedPageBreak/>
        <w:t>[דף סח עמוד ב]</w:t>
      </w:r>
      <w:r w:rsidRPr="00445611">
        <w:rPr>
          <w:rStyle w:val="Style1Char"/>
          <w:sz w:val="22"/>
          <w:szCs w:val="22"/>
          <w:rtl/>
        </w:rPr>
        <w:t xml:space="preserve"> </w:t>
      </w:r>
      <w:r w:rsidRPr="004D20E8">
        <w:rPr>
          <w:rStyle w:val="Style1Char"/>
          <w:color w:val="4472C4" w:themeColor="accent1"/>
          <w:rtl/>
        </w:rPr>
        <w:t xml:space="preserve">אמאי </w:t>
      </w:r>
      <w:r w:rsidRPr="00445611">
        <w:rPr>
          <w:rStyle w:val="Style1Char"/>
          <w:color w:val="C00000"/>
          <w:sz w:val="22"/>
          <w:szCs w:val="22"/>
          <w:rtl/>
        </w:rPr>
        <w:t xml:space="preserve">חולקות בשוה </w:t>
      </w:r>
      <w:r w:rsidRPr="00942B99">
        <w:rPr>
          <w:rStyle w:val="Style1Char"/>
          <w:color w:val="auto"/>
          <w:sz w:val="22"/>
          <w:szCs w:val="22"/>
          <w:rtl/>
        </w:rPr>
        <w:t>כל חדא וחדא דנפשה שקלה! הכי קאמר: אם באו כולם להנשא כאחת - חולקות בשוה</w:t>
      </w:r>
      <w:r w:rsidRPr="00942B99">
        <w:rPr>
          <w:rStyle w:val="Style1Char"/>
          <w:color w:val="auto"/>
          <w:rtl/>
        </w:rPr>
        <w:t xml:space="preserve"> </w:t>
      </w:r>
      <w:r w:rsidRPr="00942B99">
        <w:rPr>
          <w:rStyle w:val="Style1Char"/>
          <w:color w:val="806000" w:themeColor="accent4" w:themeShade="80"/>
          <w:sz w:val="22"/>
          <w:szCs w:val="22"/>
          <w:rtl/>
        </w:rPr>
        <w:t>וכן הלכתא</w:t>
      </w:r>
      <w:r w:rsidRPr="00942B99">
        <w:rPr>
          <w:rStyle w:val="Style1Char"/>
          <w:color w:val="806000" w:themeColor="accent4" w:themeShade="80"/>
          <w:rtl/>
        </w:rPr>
        <w:t>.</w:t>
      </w:r>
    </w:p>
    <w:p w14:paraId="3E176B50" w14:textId="21968E16" w:rsidR="00FA0114" w:rsidRDefault="00FA0114" w:rsidP="00FA0114">
      <w:pPr>
        <w:bidi/>
        <w:rPr>
          <w:rStyle w:val="Style1Char"/>
          <w:color w:val="806000" w:themeColor="accent4" w:themeShade="80"/>
          <w:sz w:val="22"/>
          <w:szCs w:val="22"/>
        </w:rPr>
      </w:pPr>
      <w:r w:rsidRPr="0058605C">
        <w:rPr>
          <w:rStyle w:val="Style1Char"/>
          <w:color w:val="00B050"/>
          <w:rtl/>
        </w:rPr>
        <w:t xml:space="preserve">מסייע ליה לרב מתנה, דאמר רב מתנה: אם באו להנשא כולם כאחת - נוטלות עישור אחד; עישור אחד סלקא דעתך? </w:t>
      </w:r>
      <w:r w:rsidR="0002221C">
        <w:rPr>
          <w:rStyle w:val="Style1Char"/>
          <w:rFonts w:hint="cs"/>
          <w:rtl/>
        </w:rPr>
        <w:t>(1)</w:t>
      </w:r>
      <w:r w:rsidRPr="0058605C">
        <w:rPr>
          <w:rStyle w:val="Style1Char"/>
          <w:color w:val="00B050"/>
          <w:rtl/>
        </w:rPr>
        <w:t xml:space="preserve">אלא, נוטלות עישור כאחד. </w:t>
      </w:r>
      <w:r w:rsidRPr="005868DF">
        <w:rPr>
          <w:rStyle w:val="Style1Char"/>
          <w:color w:val="auto"/>
          <w:sz w:val="22"/>
          <w:szCs w:val="22"/>
          <w:rtl/>
        </w:rPr>
        <w:t xml:space="preserve">ת"ר: </w:t>
      </w:r>
      <w:r w:rsidR="0002221C">
        <w:rPr>
          <w:rStyle w:val="Style1Char"/>
          <w:rFonts w:hint="cs"/>
          <w:rtl/>
        </w:rPr>
        <w:t>(2)</w:t>
      </w:r>
      <w:r w:rsidRPr="005868DF">
        <w:rPr>
          <w:rStyle w:val="Style1Char"/>
          <w:color w:val="auto"/>
          <w:sz w:val="22"/>
          <w:szCs w:val="22"/>
          <w:rtl/>
        </w:rPr>
        <w:t xml:space="preserve">הבנות, בין בגרו עד שלא נישאו ובין נישאו עד שלא בגרו - איבדו מזונותיהן ולא איבדו פרנסתן, דברי רבי; ר' שמעון בן אלעזר אומר: אף איבדו פרנסתן, כיצד הן עושות? שוכרות להן בעלים ומוציאין להן פרנסתן. אמר רב נחמן, אמר לי הונא: הלכתא כרבי. איתיביה רבא לרב נחמן: יתומה שהשיאתה אמה או אחיה מדעתה, וכתבו לה במאה או בחמשים זוז, יכולה היא משתגדיל להוציא מידם מה שראוי להנתן לה; </w:t>
      </w:r>
      <w:r w:rsidR="0002221C">
        <w:rPr>
          <w:rStyle w:val="Style1Char"/>
          <w:rFonts w:hint="cs"/>
          <w:rtl/>
        </w:rPr>
        <w:t>(2.1, 3)</w:t>
      </w:r>
      <w:r w:rsidRPr="005868DF">
        <w:rPr>
          <w:rStyle w:val="Style1Char"/>
          <w:color w:val="auto"/>
          <w:sz w:val="22"/>
          <w:szCs w:val="22"/>
          <w:rtl/>
        </w:rPr>
        <w:t xml:space="preserve">טעמא דקטנה, </w:t>
      </w:r>
      <w:r w:rsidR="0002221C">
        <w:rPr>
          <w:rStyle w:val="Style1Char"/>
          <w:rFonts w:hint="cs"/>
          <w:rtl/>
        </w:rPr>
        <w:t>(2.1, 3)</w:t>
      </w:r>
      <w:r w:rsidRPr="005868DF">
        <w:rPr>
          <w:rStyle w:val="Style1Char"/>
          <w:color w:val="auto"/>
          <w:sz w:val="22"/>
          <w:szCs w:val="22"/>
          <w:rtl/>
        </w:rPr>
        <w:t xml:space="preserve">הא גדולה ויתרה! לא קשיא: </w:t>
      </w:r>
      <w:r w:rsidR="0002221C">
        <w:rPr>
          <w:rStyle w:val="Style1Char"/>
          <w:rFonts w:hint="cs"/>
          <w:rtl/>
        </w:rPr>
        <w:t>(2.1, 3)</w:t>
      </w:r>
      <w:r w:rsidRPr="005868DF">
        <w:rPr>
          <w:rStyle w:val="Style1Char"/>
          <w:color w:val="auto"/>
          <w:sz w:val="22"/>
          <w:szCs w:val="22"/>
          <w:rtl/>
        </w:rPr>
        <w:t xml:space="preserve">הא דמחאי, הא דלא מחאי. הכי נמי מסתברא, דאם כן, קשיא דרבי אדרבי! דתניא, רבי אומר: בת הניזונת מן האחין - נוטלת עישור נכסים, </w:t>
      </w:r>
      <w:r w:rsidR="006857AF">
        <w:rPr>
          <w:rStyle w:val="Style1Char"/>
          <w:rFonts w:hint="cs"/>
          <w:rtl/>
        </w:rPr>
        <w:t>(2.1, 3)</w:t>
      </w:r>
      <w:r w:rsidRPr="005868DF">
        <w:rPr>
          <w:rStyle w:val="Style1Char"/>
          <w:color w:val="auto"/>
          <w:sz w:val="22"/>
          <w:szCs w:val="22"/>
          <w:rtl/>
        </w:rPr>
        <w:t xml:space="preserve">ניזונת אין, שאינה ניזונת לא! אלא לאו ש"מ: הא דמחאי, הא דלא מחאי, </w:t>
      </w:r>
      <w:r w:rsidRPr="005868DF">
        <w:rPr>
          <w:rStyle w:val="Style1Char"/>
          <w:sz w:val="22"/>
          <w:szCs w:val="22"/>
          <w:rtl/>
        </w:rPr>
        <w:t>ש"מ</w:t>
      </w:r>
      <w:r w:rsidRPr="00445611">
        <w:rPr>
          <w:rStyle w:val="Style1Char"/>
          <w:sz w:val="22"/>
          <w:szCs w:val="22"/>
          <w:rtl/>
        </w:rPr>
        <w:t xml:space="preserve">. </w:t>
      </w:r>
      <w:r w:rsidRPr="005868DF">
        <w:rPr>
          <w:rStyle w:val="Style1Char"/>
          <w:color w:val="auto"/>
          <w:sz w:val="22"/>
          <w:szCs w:val="22"/>
          <w:rtl/>
        </w:rPr>
        <w:t xml:space="preserve">אמר ליה רבינא לרבא, אמר לן רב אדא בר אהבה משמך: בגרה </w:t>
      </w:r>
      <w:r w:rsidRPr="00445611">
        <w:rPr>
          <w:rStyle w:val="Style1Char"/>
          <w:color w:val="C00000"/>
          <w:sz w:val="22"/>
          <w:szCs w:val="22"/>
          <w:rtl/>
        </w:rPr>
        <w:t xml:space="preserve">ולא נשאת </w:t>
      </w:r>
      <w:r w:rsidRPr="00445611">
        <w:rPr>
          <w:rStyle w:val="Style1Char"/>
          <w:sz w:val="22"/>
          <w:szCs w:val="22"/>
          <w:rtl/>
        </w:rPr>
        <w:t xml:space="preserve">- </w:t>
      </w:r>
      <w:r w:rsidRPr="00B94413">
        <w:rPr>
          <w:rStyle w:val="Style1Char"/>
          <w:color w:val="auto"/>
          <w:sz w:val="22"/>
          <w:szCs w:val="22"/>
          <w:rtl/>
        </w:rPr>
        <w:t xml:space="preserve">אינה צריכה למחות, נישאת </w:t>
      </w:r>
      <w:r w:rsidRPr="00445611">
        <w:rPr>
          <w:rStyle w:val="Style1Char"/>
          <w:color w:val="C00000"/>
          <w:sz w:val="22"/>
          <w:szCs w:val="22"/>
          <w:rtl/>
        </w:rPr>
        <w:t xml:space="preserve">ולא בגרה </w:t>
      </w:r>
      <w:r w:rsidRPr="00445611">
        <w:rPr>
          <w:rStyle w:val="Style1Char"/>
          <w:sz w:val="22"/>
          <w:szCs w:val="22"/>
          <w:rtl/>
        </w:rPr>
        <w:t xml:space="preserve">- </w:t>
      </w:r>
      <w:r w:rsidRPr="00B94413">
        <w:rPr>
          <w:rStyle w:val="Style1Char"/>
          <w:color w:val="auto"/>
          <w:sz w:val="22"/>
          <w:szCs w:val="22"/>
          <w:rtl/>
        </w:rPr>
        <w:t xml:space="preserve">אינה צריכה למחות, </w:t>
      </w:r>
      <w:r w:rsidRPr="00445611">
        <w:rPr>
          <w:rStyle w:val="Style1Char"/>
          <w:sz w:val="22"/>
          <w:szCs w:val="22"/>
          <w:rtl/>
        </w:rPr>
        <w:t>בגרה ונישאת - צריכה למחות</w:t>
      </w:r>
      <w:r w:rsidRPr="0058605C">
        <w:rPr>
          <w:rStyle w:val="Style1Char"/>
          <w:color w:val="00B050"/>
          <w:rtl/>
        </w:rPr>
        <w:t xml:space="preserve">. </w:t>
      </w:r>
      <w:r w:rsidRPr="00B94413">
        <w:rPr>
          <w:rStyle w:val="Style1Char"/>
          <w:color w:val="auto"/>
          <w:sz w:val="22"/>
          <w:szCs w:val="22"/>
          <w:rtl/>
        </w:rPr>
        <w:t>מי אמר רבא הכי? והא איתיביה רבא לרב נחמן יתומה</w:t>
      </w:r>
      <w:r w:rsidRPr="00B94413">
        <w:rPr>
          <w:rStyle w:val="Style1Char"/>
          <w:color w:val="auto"/>
          <w:rtl/>
        </w:rPr>
        <w:t xml:space="preserve"> </w:t>
      </w:r>
      <w:r w:rsidRPr="00B94413">
        <w:rPr>
          <w:rStyle w:val="Style1Char"/>
          <w:color w:val="806000" w:themeColor="accent4" w:themeShade="80"/>
          <w:sz w:val="22"/>
          <w:szCs w:val="22"/>
          <w:rtl/>
        </w:rPr>
        <w:t>שהשיאתה אמה</w:t>
      </w:r>
      <w:r w:rsidRPr="00B94413">
        <w:rPr>
          <w:rStyle w:val="Style1Char"/>
          <w:color w:val="4472C4" w:themeColor="accent1"/>
          <w:rtl/>
        </w:rPr>
        <w:t xml:space="preserve"> </w:t>
      </w:r>
      <w:r w:rsidRPr="00B94413">
        <w:rPr>
          <w:rStyle w:val="Style1Char"/>
          <w:color w:val="4472C4" w:themeColor="accent1"/>
          <w:sz w:val="22"/>
          <w:szCs w:val="22"/>
          <w:rtl/>
        </w:rPr>
        <w:t>או אחיה</w:t>
      </w:r>
      <w:r w:rsidRPr="00201E62">
        <w:rPr>
          <w:rStyle w:val="Style1Char"/>
          <w:sz w:val="22"/>
          <w:szCs w:val="22"/>
          <w:rtl/>
        </w:rPr>
        <w:t xml:space="preserve">, </w:t>
      </w:r>
      <w:r w:rsidRPr="00B94413">
        <w:rPr>
          <w:rStyle w:val="Style1Char"/>
          <w:color w:val="auto"/>
          <w:sz w:val="22"/>
          <w:szCs w:val="22"/>
          <w:rtl/>
        </w:rPr>
        <w:t>ושני ליה: הא דמחי, הא דלא מחי! לא קשיא: הא דקא מיתזנא מינייהו, הא דלא קא מיתזנא מינייהו</w:t>
      </w:r>
      <w:r w:rsidRPr="00B94413">
        <w:rPr>
          <w:rStyle w:val="Style1Char"/>
          <w:color w:val="auto"/>
          <w:rtl/>
        </w:rPr>
        <w:t xml:space="preserve"> </w:t>
      </w:r>
      <w:r w:rsidRPr="00F363C1">
        <w:rPr>
          <w:rStyle w:val="Style1Char"/>
          <w:color w:val="806000" w:themeColor="accent4" w:themeShade="80"/>
          <w:rtl/>
        </w:rPr>
        <w:t>שמעינן השתא מכל הני שמעתתא היכא דבגרן או אינסיבן מיתזנן מינייהו אית להו פרנסה ואף על גב דלא מחו ואי לא מיתזנן מינייהו צריכין למחויי ואי לא מחו לית להו פרנסה ואי לא בגרן ולא אינסיבן אף על גב דלא מיתזנן מינייהו אית להו פרנסה ולא צריכין למחויי ואי בגרן ואינסיבן אף על גב דמיתזנן מינייהו צריכין למחויי ואי לא מחאן לית להו פרנסה</w:t>
      </w:r>
      <w:r w:rsidRPr="00F363C1">
        <w:rPr>
          <w:rStyle w:val="Style1Char"/>
          <w:color w:val="806000" w:themeColor="accent4" w:themeShade="80"/>
          <w:sz w:val="22"/>
          <w:szCs w:val="22"/>
          <w:rtl/>
        </w:rPr>
        <w:t>.</w:t>
      </w:r>
    </w:p>
    <w:p w14:paraId="237CA6EB" w14:textId="77777777" w:rsidR="00FA0114" w:rsidRPr="00F363C1" w:rsidRDefault="00FA0114" w:rsidP="00FA0114">
      <w:pPr>
        <w:bidi/>
        <w:rPr>
          <w:rStyle w:val="Style1Char"/>
          <w:color w:val="806000" w:themeColor="accent4" w:themeShade="80"/>
          <w:sz w:val="22"/>
          <w:szCs w:val="22"/>
        </w:rPr>
      </w:pPr>
      <w:r w:rsidRPr="004D20E8">
        <w:rPr>
          <w:rStyle w:val="Style1Char"/>
          <w:color w:val="4472C4" w:themeColor="accent1"/>
          <w:rtl/>
        </w:rPr>
        <w:t>מצאתי כתוב בשם ה"ר יונה ז"ל הא דאמרינן דבוגרת לא הפסידה עישור נכסים הנ"מ היכא דבגרה אחר מיתת האב</w:t>
      </w:r>
      <w:r>
        <w:rPr>
          <w:rStyle w:val="Style1Char"/>
          <w:rFonts w:hint="cs"/>
          <w:color w:val="4472C4" w:themeColor="accent1"/>
        </w:rPr>
        <w:t>‍</w:t>
      </w:r>
      <w:r w:rsidRPr="004D20E8">
        <w:rPr>
          <w:rStyle w:val="Style1Char"/>
          <w:color w:val="4472C4" w:themeColor="accent1"/>
          <w:rtl/>
        </w:rPr>
        <w:t xml:space="preserve"> אבל אם בגרה בחיי האב אין האחין חייבין להשיאה שלא תקנו עישור נכסים אלא למי שמת והניח בנות קטנות דלישנא דהבנות קטנות משמע ותקנו להם מפני שאמדו חכמים דעת האב שאין רוצה להשהות בביתו בתו בוגרת וזו כיון שבגרה בחיי האב כיון דאישתהי אישתהי הלכך אם מת האיש והניח בת קטנה אף על פי שבגרה או נשאת ולא מחתה לא הפסידה עישור נכסים דכבר זכתה מיד כשמת אביה ולפיכך לא הפסידה אח"כ אבל אם בגרה בחיי אביה אף על פי שניזונת מן האחין ואף על גב דמחאי מיד כשמת אביה אין לה עישור נכסים כלל ומסתבר הכי דכי היכי דלא תיקנו מזונות לבגרה בחיי אביה דהא אפילו נערה שבגרה אבדה מזונותיה ה"ה בגרה בחיי אביה אין לה פרנסה ואף על גב דאם בגרה לאחר מיתת האב לא הפסידה פרנסתה שאני התם שהיה להם לאחין להשיאה קודם בגר וכן משמע דלא פליגי רבי ור"ש בן אלעזר אלא בבגרה לאחר מיתת האב אבל בוגרת בחיי האב כולהו מודו דאין לה פרנסה</w:t>
      </w:r>
    </w:p>
    <w:p w14:paraId="001C4A76" w14:textId="2D1D7774" w:rsidR="00FA0114" w:rsidRDefault="00FA0114" w:rsidP="00FA0114">
      <w:pPr>
        <w:bidi/>
        <w:rPr>
          <w:rStyle w:val="Style1Char"/>
          <w:color w:val="4472C4" w:themeColor="accent1"/>
          <w:rtl/>
        </w:rPr>
      </w:pPr>
      <w:r w:rsidRPr="00B51DFF">
        <w:rPr>
          <w:rStyle w:val="Style1Char"/>
          <w:color w:val="auto"/>
          <w:rtl/>
        </w:rPr>
        <w:t xml:space="preserve"> </w:t>
      </w:r>
      <w:r w:rsidRPr="00B51DFF">
        <w:rPr>
          <w:rStyle w:val="Style1Char"/>
          <w:color w:val="auto"/>
          <w:sz w:val="22"/>
          <w:szCs w:val="22"/>
          <w:rtl/>
        </w:rPr>
        <w:t xml:space="preserve">אמר רב הונא, אמר </w:t>
      </w:r>
      <w:r w:rsidRPr="00B51DFF">
        <w:rPr>
          <w:rStyle w:val="Style1Char"/>
          <w:color w:val="ED7D31" w:themeColor="accent2"/>
          <w:rtl/>
        </w:rPr>
        <w:t xml:space="preserve">רבי </w:t>
      </w:r>
      <w:r w:rsidRPr="00522FCA">
        <w:rPr>
          <w:rStyle w:val="Style1Char"/>
          <w:color w:val="C00000"/>
          <w:sz w:val="22"/>
          <w:szCs w:val="22"/>
          <w:rtl/>
        </w:rPr>
        <w:t>רב</w:t>
      </w:r>
      <w:r w:rsidRPr="0058605C">
        <w:rPr>
          <w:rStyle w:val="Style1Char"/>
          <w:color w:val="00B050"/>
          <w:rtl/>
        </w:rPr>
        <w:t xml:space="preserve">: </w:t>
      </w:r>
      <w:r w:rsidRPr="00B51DFF">
        <w:rPr>
          <w:rStyle w:val="Style1Char"/>
          <w:color w:val="auto"/>
          <w:sz w:val="22"/>
          <w:szCs w:val="22"/>
          <w:rtl/>
        </w:rPr>
        <w:t xml:space="preserve">פרנסה אינה כתנאי כתובה. </w:t>
      </w:r>
      <w:r w:rsidRPr="00C920B0">
        <w:rPr>
          <w:rStyle w:val="Style1Char"/>
          <w:sz w:val="22"/>
          <w:szCs w:val="22"/>
          <w:rtl/>
        </w:rPr>
        <w:t xml:space="preserve">מאי אינה כתנאי כתובה? </w:t>
      </w:r>
      <w:r w:rsidRPr="0058605C">
        <w:rPr>
          <w:rStyle w:val="Style1Char"/>
          <w:color w:val="00B050"/>
          <w:rtl/>
        </w:rPr>
        <w:t xml:space="preserve">אי נימא, דאילו פרנסה טרפא ממשעבדי, ותנאי כתובה לא טרפא ממשעבדי, מאי קמ"ל? הא מעשים בכל יום, מוציאין לפרנסה ואין מוציאין למזונות! ואלא דאילו פרנסה גביא נמי ממטלטלי, ותנאי כתובה - ממקרקעי גביא, ממטלטלי לא גביא, לרבי, אידי ואידי מיגבא גביא! דתניא: אחד נכסים שיש להן אחריות, ואחד נכסים שאין להן אחריות - מוציאין למזון האשה ולבנות, דברי רבי! אלא מאי פרנסה אינה כתנאי כתובה? </w:t>
      </w:r>
      <w:r w:rsidRPr="00522FCA">
        <w:rPr>
          <w:rStyle w:val="Style1Char"/>
          <w:sz w:val="22"/>
          <w:szCs w:val="22"/>
          <w:rtl/>
        </w:rPr>
        <w:t>ל</w:t>
      </w:r>
      <w:r w:rsidRPr="00C920B0">
        <w:rPr>
          <w:rStyle w:val="Style1Char"/>
          <w:color w:val="auto"/>
          <w:sz w:val="22"/>
          <w:szCs w:val="22"/>
          <w:rtl/>
        </w:rPr>
        <w:t xml:space="preserve">כדתניא: </w:t>
      </w:r>
      <w:r w:rsidR="006857AF">
        <w:rPr>
          <w:rStyle w:val="Style1Char"/>
          <w:rFonts w:hint="cs"/>
          <w:rtl/>
        </w:rPr>
        <w:t>(4)</w:t>
      </w:r>
      <w:r w:rsidRPr="00C920B0">
        <w:rPr>
          <w:rStyle w:val="Style1Char"/>
          <w:color w:val="auto"/>
          <w:sz w:val="22"/>
          <w:szCs w:val="22"/>
          <w:rtl/>
        </w:rPr>
        <w:t xml:space="preserve">האומר אל יזונו בנותיו מנכסיו - אין שומעין לו, </w:t>
      </w:r>
      <w:r w:rsidR="006857AF">
        <w:rPr>
          <w:rStyle w:val="Style1Char"/>
          <w:rFonts w:hint="cs"/>
          <w:rtl/>
        </w:rPr>
        <w:t>(5)</w:t>
      </w:r>
      <w:r w:rsidRPr="00C920B0">
        <w:rPr>
          <w:rStyle w:val="Style1Char"/>
          <w:color w:val="auto"/>
          <w:sz w:val="22"/>
          <w:szCs w:val="22"/>
          <w:rtl/>
        </w:rPr>
        <w:t>אל יתפרנסו בנותיו מנכסיו - שומעין לו, שהפרנסה אינה כתנאי כתובה</w:t>
      </w:r>
      <w:r w:rsidRPr="00522FCA">
        <w:rPr>
          <w:rStyle w:val="Style1Char"/>
          <w:sz w:val="22"/>
          <w:szCs w:val="22"/>
          <w:rtl/>
        </w:rPr>
        <w:t xml:space="preserve">. </w:t>
      </w:r>
      <w:r w:rsidRPr="007E4EA8">
        <w:rPr>
          <w:rStyle w:val="Style1Char"/>
          <w:color w:val="C00000"/>
          <w:rtl/>
        </w:rPr>
        <w:t xml:space="preserve">וכן הלכתא </w:t>
      </w:r>
      <w:r w:rsidRPr="00AA560E">
        <w:rPr>
          <w:rStyle w:val="Style1Char"/>
          <w:color w:val="806000" w:themeColor="accent4" w:themeShade="80"/>
          <w:rtl/>
        </w:rPr>
        <w:t xml:space="preserve">ואיכא נוסחי דאית בהו איפכא ולהנהו נוסחי דאית בהו איפכא לית הילכתא כרבי: </w:t>
      </w:r>
      <w:r w:rsidRPr="004D20E8">
        <w:rPr>
          <w:rStyle w:val="Style1Char"/>
          <w:color w:val="4472C4" w:themeColor="accent1"/>
          <w:rtl/>
        </w:rPr>
        <w:t>חדא דמזונות תנאי כתובה וחוב זה מוטל עליו משעת נישואין ולאו כל כמיניה להפקיעה ועוד היאך קאמר דבפרנסה אין שומעין לו הא רבי גופא ס"ל דאזלינן בתר דעתיה דאב למיפחת לה מעישור נכסי כדאמרינן מעשה ונתן לה רבי אחד משנים עשר מנכסיו</w:t>
      </w:r>
      <w:r>
        <w:rPr>
          <w:rStyle w:val="Style1Char"/>
          <w:rFonts w:hint="cs"/>
          <w:color w:val="4472C4" w:themeColor="accent1"/>
        </w:rPr>
        <w:t>‍</w:t>
      </w:r>
      <w:r w:rsidRPr="004D20E8">
        <w:rPr>
          <w:rStyle w:val="Style1Char"/>
          <w:color w:val="4472C4" w:themeColor="accent1"/>
          <w:rtl/>
        </w:rPr>
        <w:t xml:space="preserve"> ומסתמא כי היכי דאזיל בתר דעתיה למיפחת הוא הדין כשפירש דעתו שאינו רוצה שיתנו. ורב האי גרס איפכא ומפרש כשהתנה בשעת נשואין שלא יהא לה תנאי כתובה שומעין לו דכל דבר שבממון תנאו קיים אבל פרנסה לאו מכח דכתובה היא באה</w:t>
      </w:r>
      <w:r>
        <w:rPr>
          <w:rStyle w:val="Style1Char"/>
          <w:rFonts w:hint="cs"/>
          <w:color w:val="4472C4" w:themeColor="accent1"/>
        </w:rPr>
        <w:t>‍</w:t>
      </w:r>
      <w:r w:rsidRPr="004D20E8">
        <w:rPr>
          <w:rStyle w:val="Style1Char"/>
          <w:color w:val="4472C4" w:themeColor="accent1"/>
          <w:rtl/>
        </w:rPr>
        <w:t xml:space="preserve"> אלא שתקנת חכמים שתקנו לבנות ישראל ונתנו להם חלק בממון אביהם להיות נשאות בממון אין בידו להפקיע מה שזיכו להם חכמים ואף על גב דגלי דעתיה הכא בשעת נשואין שאינו רוצה שינשאו בנותיו מנכסיו וקי"ל דבפרנסה שמין באב הנ"מ היכא דגלי דעתיה בתר נשואין כשהשיא בנותיו או שראינו וותרנותו או קמצנותו או שצוה בשעת מיתה אבל גילוי דעתא בשעת נשואין לאו מלתא היא</w:t>
      </w:r>
      <w:r>
        <w:rPr>
          <w:rStyle w:val="Style1Char"/>
          <w:rFonts w:hint="cs"/>
          <w:color w:val="4472C4" w:themeColor="accent1"/>
        </w:rPr>
        <w:t>‍</w:t>
      </w:r>
      <w:r w:rsidRPr="004D20E8">
        <w:rPr>
          <w:rStyle w:val="Style1Char"/>
          <w:color w:val="4472C4" w:themeColor="accent1"/>
          <w:rtl/>
        </w:rPr>
        <w:t xml:space="preserve"> דאפשר שהיה בדעתו שלא לעשות חוב על בניו ועוד אפשר אחר כך שהיה רואה בנותיו שהגיעו לפרקן היה מרחם עליהם ומשיאן הלכך תנאי של שעת נשואין לא חשיב גילוי דעת ולפירושו הלכה כרבי אף לגירסא זו</w:t>
      </w:r>
      <w:r w:rsidRPr="004D20E8">
        <w:rPr>
          <w:rStyle w:val="Style1Char"/>
          <w:color w:val="4472C4" w:themeColor="accent1"/>
        </w:rPr>
        <w:t xml:space="preserve">: </w:t>
      </w:r>
    </w:p>
    <w:p w14:paraId="25C16BCF" w14:textId="7138F4F0" w:rsidR="0002221C" w:rsidRDefault="0002221C" w:rsidP="0002221C">
      <w:pPr>
        <w:pStyle w:val="Style1"/>
        <w:rPr>
          <w:rtl/>
        </w:rPr>
      </w:pPr>
      <w:r>
        <w:rPr>
          <w:rFonts w:hint="cs"/>
          <w:rtl/>
        </w:rPr>
        <w:t>1)[</w:t>
      </w:r>
      <w:r>
        <w:rPr>
          <w:rtl/>
        </w:rPr>
        <w:t>רמב</w:t>
      </w:r>
      <w:r w:rsidR="00213DA1">
        <w:rPr>
          <w:rtl/>
        </w:rPr>
        <w:t>”ם \נשים\</w:t>
      </w:r>
      <w:r>
        <w:rPr>
          <w:rtl/>
        </w:rPr>
        <w:t xml:space="preserve"> הלכות אישות פרק כ הלכה ד</w:t>
      </w:r>
      <w:r>
        <w:rPr>
          <w:rFonts w:hint="cs"/>
          <w:rtl/>
        </w:rPr>
        <w:t xml:space="preserve">] </w:t>
      </w:r>
      <w:r>
        <w:rPr>
          <w:rtl/>
        </w:rPr>
        <w:t>הניח בנות רבות, כל שתבא להנשא נותנין לה עישור הנכסים, ושלאחריה עישור מה ששיירה ראשונה, ושלאחריה עישור מה ששיירה שניה, ואם באו כולן להנשא כאחת, ראשונה נוטלת עישור, והשנייה עישור מה ששיירה ראשונה, והשלישית עישור מה ששיירה שנייה, וכן אפילו הן עשר וחוזרות וחולקות כל העישורים בשוה ושאר הנכסים לאחים.</w:t>
      </w:r>
    </w:p>
    <w:p w14:paraId="0851BC3F" w14:textId="144E2677" w:rsidR="0002221C" w:rsidRDefault="0002221C" w:rsidP="0002221C">
      <w:pPr>
        <w:pStyle w:val="Style1"/>
        <w:rPr>
          <w:rtl/>
        </w:rPr>
      </w:pPr>
      <w:r>
        <w:rPr>
          <w:rFonts w:hint="cs"/>
          <w:rtl/>
        </w:rPr>
        <w:t>1)[</w:t>
      </w:r>
      <w:r w:rsidRPr="005F3672">
        <w:rPr>
          <w:rtl/>
        </w:rPr>
        <w:t>שולחן ערוך אבן העזר הלכות כתובות סימן קיג סעיף ד</w:t>
      </w:r>
      <w:r w:rsidRPr="005F3672">
        <w:t xml:space="preserve"> </w:t>
      </w:r>
      <w:r>
        <w:rPr>
          <w:rFonts w:hint="cs"/>
          <w:rtl/>
        </w:rPr>
        <w:t xml:space="preserve">] </w:t>
      </w:r>
      <w:r w:rsidRPr="005F3672">
        <w:rPr>
          <w:rtl/>
        </w:rPr>
        <w:t>הניח בנות רבות, כל שתבא לינשא נותנין לה עישור הנכסים, ושל אחריה עישור מה ששיירה הראשונה, ושל אחריה עישור מה ששיירה שניה. ואם באו כלם לינשא כאחת, ראשונה נוטלת עישור, ושניה עישור מה ששיירה ראשונה, וכן אפילו הן עשר, וחוזרת וחולקות כל העישורים בשוה. הגה: אף על פי שעישור נכסים אינה נגבה עד שתבא הבת להנשא, מכל מקום משערים לפי מה שהניח בעת מותו. וכן אם אומדים אותו, אומדים אותו מיד שמת, ואינה נוטלת עד שתנשא (המ"מ פ' שני בשם הרשב"א ותשובת הרמב"ן סימן מ"ו).</w:t>
      </w:r>
    </w:p>
    <w:p w14:paraId="1526585C" w14:textId="3C267733" w:rsidR="0002221C" w:rsidRDefault="0002221C" w:rsidP="0002221C">
      <w:pPr>
        <w:pStyle w:val="Style1"/>
        <w:rPr>
          <w:rtl/>
        </w:rPr>
      </w:pPr>
      <w:r>
        <w:rPr>
          <w:rFonts w:hint="cs"/>
          <w:rtl/>
        </w:rPr>
        <w:t>2)[</w:t>
      </w:r>
      <w:r>
        <w:rPr>
          <w:rtl/>
        </w:rPr>
        <w:t>רמב</w:t>
      </w:r>
      <w:r w:rsidR="00213DA1">
        <w:rPr>
          <w:rtl/>
        </w:rPr>
        <w:t>”ם \נשים\</w:t>
      </w:r>
      <w:r>
        <w:rPr>
          <w:rtl/>
        </w:rPr>
        <w:t xml:space="preserve"> הלכות אישות פרק כ הלכה יג</w:t>
      </w:r>
      <w:r>
        <w:rPr>
          <w:rFonts w:hint="cs"/>
          <w:rtl/>
        </w:rPr>
        <w:t xml:space="preserve">] </w:t>
      </w:r>
      <w:r>
        <w:rPr>
          <w:rtl/>
        </w:rPr>
        <w:t>נשאת הבת אחר שגדלה בין נערה בין בוגרת ולא תבעה פרנסתה אבדה פרנסתה, ואם מיחת בעת נשואיה הרי זו מוציאה את הראוי לה כל זמן שתרצה. בגרה ועודה בבית אביה בין שבגרה אחר מותו בין שהניחה בוגרת אם פסקו האחין מזונותיה שהרי אין לה מזונות כמו שביארנו ושתקה ולא תבעה פרנסתה אבדה פרנסתה, ואם מיחת לא אבדה פרנסתה. לא פסקו האחין מזונותיה וזנו אותה בבגר אף על פי שלא מיחת לא אבדה פרנסתה כל זמן שהן זנין אותה, שיש לה לטעון מפני שהן זנין אותה אף על פי שאינן חייבין והיא עדיין לא נשאת מפני זה לא תבעה פרנסתה.</w:t>
      </w:r>
    </w:p>
    <w:p w14:paraId="2C9BBA1F" w14:textId="286B39B8" w:rsidR="0002221C" w:rsidRPr="002218F1" w:rsidRDefault="0002221C" w:rsidP="0002221C">
      <w:pPr>
        <w:pStyle w:val="Style1"/>
      </w:pPr>
      <w:r>
        <w:rPr>
          <w:rFonts w:hint="cs"/>
          <w:rtl/>
        </w:rPr>
        <w:t>2)[</w:t>
      </w:r>
      <w:r>
        <w:rPr>
          <w:rtl/>
        </w:rPr>
        <w:t>שולחן ערוך אבן העזר הלכות כתובות סימן קיב סעיף א</w:t>
      </w:r>
      <w:r>
        <w:rPr>
          <w:rFonts w:hint="cs"/>
          <w:rtl/>
        </w:rPr>
        <w:t xml:space="preserve">] </w:t>
      </w:r>
      <w:r w:rsidRPr="002218F1">
        <w:rPr>
          <w:rtl/>
        </w:rPr>
        <w:t>מתנאי כתובה שתהיינה הבנות נזונות מנכסי אביהם אחר מותו, עד שיתארסו או עד שיבגרו</w:t>
      </w:r>
      <w:r w:rsidRPr="002218F1">
        <w:t>.</w:t>
      </w:r>
    </w:p>
    <w:p w14:paraId="6D3FF839" w14:textId="7F4227FA" w:rsidR="0002221C" w:rsidRDefault="0002221C" w:rsidP="0002221C">
      <w:pPr>
        <w:pStyle w:val="Style1"/>
        <w:rPr>
          <w:rtl/>
        </w:rPr>
      </w:pPr>
      <w:r w:rsidRPr="002218F1">
        <w:rPr>
          <w:rFonts w:hint="cs"/>
          <w:rtl/>
        </w:rPr>
        <w:t>הגה: אפילו לא נכתב בכתובה, או אפילו אין לה כתובה ובמקום שאין כותבין כתובה (טור). ויש אומרים דאפילו במקום שכותבין כתובה ואין להם שטר כתובה, ואפילו מחלה אמם כתובתה בפירוש, יש לבנות מזונות (הראב"ד פרק י"ט דאישות). וכן אם נתגרשה האם, אפילו הכי חייב במזונות הבנות</w:t>
      </w:r>
      <w:r w:rsidRPr="002218F1">
        <w:t>:</w:t>
      </w:r>
    </w:p>
    <w:p w14:paraId="4A7350E7" w14:textId="395BED04" w:rsidR="0002221C" w:rsidRPr="001F1F88" w:rsidRDefault="0002221C" w:rsidP="0002221C">
      <w:pPr>
        <w:pStyle w:val="Style1"/>
      </w:pPr>
      <w:r>
        <w:rPr>
          <w:rFonts w:hint="cs"/>
          <w:rtl/>
        </w:rPr>
        <w:t>3)[</w:t>
      </w:r>
      <w:r>
        <w:rPr>
          <w:rtl/>
        </w:rPr>
        <w:t>שולחן ערוך אבן העזר הלכות כתובות סימן קיג סעיף ז</w:t>
      </w:r>
      <w:r>
        <w:rPr>
          <w:rFonts w:hint="cs"/>
          <w:rtl/>
        </w:rPr>
        <w:t xml:space="preserve">] </w:t>
      </w:r>
      <w:r w:rsidRPr="001F1F88">
        <w:rPr>
          <w:rtl/>
        </w:rPr>
        <w:t>קטנה יתומה שהשיאתה אמה או אחיה לדעתה, ונתנו לה מאה או חמשים זוז, יכולה היא משתגדיל להוציא מידם פרנסת נדוניא הראויה לה</w:t>
      </w:r>
      <w:r w:rsidRPr="001F1F88">
        <w:t>.</w:t>
      </w:r>
    </w:p>
    <w:p w14:paraId="44F37F4A" w14:textId="77777777" w:rsidR="0002221C" w:rsidRPr="001F1F88" w:rsidRDefault="0002221C" w:rsidP="0002221C">
      <w:pPr>
        <w:pStyle w:val="Style1"/>
      </w:pPr>
      <w:r w:rsidRPr="001F1F88">
        <w:rPr>
          <w:rFonts w:hint="cs"/>
          <w:rtl/>
        </w:rPr>
        <w:t>ואפילו שתקה זמן רב משתגדיל, יכולה אחר כך לתבוע פרנסתה (כן משמע לשון הטור, וכן כתב המגיד משנה פרק כ' בשם הרשב"א והר"ן פרק מציאת האשה)</w:t>
      </w:r>
      <w:r w:rsidRPr="001F1F88">
        <w:t>.</w:t>
      </w:r>
    </w:p>
    <w:p w14:paraId="4C671DC3" w14:textId="77777777" w:rsidR="0002221C" w:rsidRPr="001F1F88" w:rsidRDefault="0002221C" w:rsidP="0002221C">
      <w:pPr>
        <w:pStyle w:val="Style1"/>
      </w:pPr>
      <w:r w:rsidRPr="001F1F88">
        <w:rPr>
          <w:rtl/>
        </w:rPr>
        <w:lastRenderedPageBreak/>
        <w:t>ואפילו לא היו האחים זנים אותה. ואף על פי שלא מחתה בשעת נשואין, מפני שהקטנה אינה בת מחאה. ואם נישאת הבת אחר שגדלה, בין נערה בין בוגרת, ולא תבעה פרנסתה, אבדה פרנסתה, אלא אם כן היו האחים זנין אותה אחר נשואיה </w:t>
      </w:r>
      <w:r w:rsidRPr="001F1F88">
        <w:rPr>
          <w:rFonts w:hint="cs"/>
          <w:rtl/>
        </w:rPr>
        <w:t>והיא ידעה כן בשעת נשואין (הר"ן פרק מציאת האשה)</w:t>
      </w:r>
      <w:r w:rsidRPr="001F1F88">
        <w:t>.</w:t>
      </w:r>
    </w:p>
    <w:p w14:paraId="2AEDA08D" w14:textId="77777777" w:rsidR="0002221C" w:rsidRPr="001F1F88" w:rsidRDefault="0002221C" w:rsidP="0002221C">
      <w:pPr>
        <w:pStyle w:val="Style1"/>
      </w:pPr>
      <w:r w:rsidRPr="001F1F88">
        <w:rPr>
          <w:rtl/>
        </w:rPr>
        <w:t>ואם מחתה בעת נישואיה, הרי זו מוציאה הראוי לה כל זמן שתרצה. ואם בגרה ועודה בבית אביה, בין שבגרה אחר מותו בין שהניחה בוגרת</w:t>
      </w:r>
      <w:r w:rsidRPr="001F1F88">
        <w:t>, </w:t>
      </w:r>
      <w:r w:rsidRPr="001F1F88">
        <w:rPr>
          <w:rFonts w:hint="cs"/>
          <w:rtl/>
        </w:rPr>
        <w:t>ויש חולקין וסבירא להו דאם הניחה בוגרת אין לה פרנסה כלל (טור בשם הרב רבנו יונה והרא"ש)</w:t>
      </w:r>
      <w:r w:rsidRPr="001F1F88">
        <w:t xml:space="preserve">, </w:t>
      </w:r>
      <w:r w:rsidRPr="001F1F88">
        <w:rPr>
          <w:rtl/>
        </w:rPr>
        <w:t>אם פסקו האחים מלתת לה מזונותיה, שהרי אין לה מזונות, ושתקה ולא תבעה פרנסת נדוניתה, אבדה. ואם מחתה, לא אבדה. ואם לא פסקו האחים מלזונה, וזנו אותה בבגר, אף על פי שלא מחתה -- לא אבדה פרנסת נדוניתה כל זמן שהם זנין אותה, שיש לה לטעון מפני שהם זנים אותה אף על פי שאינם חייבים והיא עדיין לא נישאת, מפני זה לא תבעה פרנסתה</w:t>
      </w:r>
      <w:r w:rsidRPr="001F1F88">
        <w:t>.</w:t>
      </w:r>
    </w:p>
    <w:p w14:paraId="79350B79" w14:textId="5E7C599B" w:rsidR="0002221C" w:rsidRDefault="0002221C" w:rsidP="0002221C">
      <w:pPr>
        <w:pStyle w:val="Style1"/>
        <w:rPr>
          <w:rtl/>
        </w:rPr>
      </w:pPr>
      <w:r w:rsidRPr="001F1F88">
        <w:rPr>
          <w:rFonts w:hint="cs"/>
          <w:rtl/>
        </w:rPr>
        <w:t>מי שצוה לתת לבתו שליש נכסיו, והשיאוה אחיה ולא נתנו לה, צריכין ליתן לה אחר כך (תשובת רשב"א סימן אלף מ"ג)</w:t>
      </w:r>
      <w:r w:rsidRPr="001F1F88">
        <w:t>:</w:t>
      </w:r>
    </w:p>
    <w:p w14:paraId="63867F8D" w14:textId="648E857C" w:rsidR="006857AF" w:rsidRDefault="006857AF" w:rsidP="006857AF">
      <w:pPr>
        <w:pStyle w:val="Style1"/>
        <w:rPr>
          <w:rtl/>
        </w:rPr>
      </w:pPr>
      <w:r>
        <w:rPr>
          <w:rFonts w:hint="cs"/>
          <w:rtl/>
        </w:rPr>
        <w:t>4)[</w:t>
      </w:r>
      <w:r>
        <w:rPr>
          <w:rtl/>
        </w:rPr>
        <w:t>רמב</w:t>
      </w:r>
      <w:r w:rsidR="00213DA1">
        <w:rPr>
          <w:rtl/>
        </w:rPr>
        <w:t>”ם \נשים\</w:t>
      </w:r>
      <w:r>
        <w:rPr>
          <w:rtl/>
        </w:rPr>
        <w:t xml:space="preserve"> הלכות אישות פרק יט הלכה יג</w:t>
      </w:r>
      <w:r>
        <w:rPr>
          <w:rFonts w:hint="cs"/>
          <w:rtl/>
        </w:rPr>
        <w:t>] מי</w:t>
      </w:r>
      <w:r>
        <w:rPr>
          <w:rtl/>
        </w:rPr>
        <w:t xml:space="preserve"> שצוה בשעת מיתתו לעקור אחד מתנאי כתובה, כגון שאמר אל יזונו בנותיו מנכסיו, או אל תזון אלמנתו מנכסיו, או אל יירשו בניו כתובת אמן, אין שומעין לו, נתן כל נכסיו במתנה לאחרים הואיל ומתנת שכיב מרע אינה קונה אלא לאחר מיתה כמו שיתבאר הרי המתנה וחיוב הנכסים בתנאין אלו באין כאחד ולפיכך אלמנתו ובנותיו ניזונות מנכסיו ובניו יורשים כתובת אמן שמתה בחיי בעלה. /השגת הראב"ד/ ולפיכך אלמנתו ובנותיו ניזונות מנכסיו ובניו יורשין כתובת אמם שמתה בחיי בעלה. א"א רואה אני דעת המחבר הזה דמתנת שכיב מרע אינה כמשועבדין כלל ואינו כן מכמה ראיות המפורשות בגמרא שאין פנאי לכתבן, אבל למזונות אלמנתו כיון דמחיים תפיסא לה לא פקע שיעבודה אבל לגבי מזון הבנות וכל שכן לכתובת בנין דכרין כמשועבדין נינהו ופקע שיעבודייהו ומי שיש לו לב יבין ואל יטעה באסופותיו.</w:t>
      </w:r>
    </w:p>
    <w:p w14:paraId="5277B226" w14:textId="66097E3C" w:rsidR="00287CCD" w:rsidRDefault="00287CCD" w:rsidP="00287CCD">
      <w:pPr>
        <w:pStyle w:val="Style1"/>
        <w:rPr>
          <w:rtl/>
        </w:rPr>
      </w:pPr>
      <w:r>
        <w:rPr>
          <w:rFonts w:hint="cs"/>
          <w:rtl/>
        </w:rPr>
        <w:t>4)[</w:t>
      </w:r>
      <w:r>
        <w:rPr>
          <w:rtl/>
        </w:rPr>
        <w:t>שולחן ערוך אבן העזר הלכות כתובות סימן קיב סעיף י</w:t>
      </w:r>
      <w:r>
        <w:rPr>
          <w:rFonts w:hint="cs"/>
          <w:rtl/>
        </w:rPr>
        <w:t xml:space="preserve">] </w:t>
      </w:r>
      <w:r>
        <w:rPr>
          <w:rtl/>
        </w:rPr>
        <w:t>מי שצוה בשעת מיתתו: אל יזונו בנותי מנכסי, אין שומעין לו. ואם בשעת נישואין התנה שלא יזונו מנכסיו, הוי בכלל תנאי שבממון, וקיים.</w:t>
      </w:r>
    </w:p>
    <w:p w14:paraId="153CA788" w14:textId="08164CDB" w:rsidR="00287CCD" w:rsidRDefault="00287CCD" w:rsidP="00287CCD">
      <w:pPr>
        <w:pStyle w:val="Style1"/>
        <w:rPr>
          <w:rtl/>
        </w:rPr>
      </w:pPr>
      <w:r>
        <w:rPr>
          <w:rFonts w:hint="cs"/>
          <w:rtl/>
        </w:rPr>
        <w:t>5)[</w:t>
      </w:r>
      <w:r>
        <w:rPr>
          <w:rtl/>
        </w:rPr>
        <w:t>רמב</w:t>
      </w:r>
      <w:r w:rsidR="00213DA1">
        <w:rPr>
          <w:rtl/>
        </w:rPr>
        <w:t>”ם \נשים\</w:t>
      </w:r>
      <w:r>
        <w:rPr>
          <w:rtl/>
        </w:rPr>
        <w:t xml:space="preserve"> הלכות אישות פרק כ הלכה י</w:t>
      </w:r>
      <w:r>
        <w:rPr>
          <w:rFonts w:hint="cs"/>
          <w:rtl/>
        </w:rPr>
        <w:t xml:space="preserve">] </w:t>
      </w:r>
      <w:r>
        <w:rPr>
          <w:rtl/>
        </w:rPr>
        <w:t>מי שצוה בשעת מיתה אל תפרנסו בנותי מנכסי שומעים לו, שאין זה ו מתנאי כתובה.</w:t>
      </w:r>
    </w:p>
    <w:p w14:paraId="334C786A" w14:textId="1BAF1FE1" w:rsidR="00287CCD" w:rsidRDefault="00287CCD" w:rsidP="00287CCD">
      <w:pPr>
        <w:pStyle w:val="Style1"/>
        <w:rPr>
          <w:rtl/>
        </w:rPr>
      </w:pPr>
      <w:r>
        <w:rPr>
          <w:rFonts w:hint="cs"/>
          <w:rtl/>
        </w:rPr>
        <w:t>5)[</w:t>
      </w:r>
      <w:r>
        <w:rPr>
          <w:rtl/>
        </w:rPr>
        <w:t>שולחן ערוך אבן העזר הלכות כתובות סימן קיג סעיף י</w:t>
      </w:r>
      <w:r>
        <w:rPr>
          <w:rFonts w:hint="cs"/>
          <w:rtl/>
        </w:rPr>
        <w:t xml:space="preserve">] </w:t>
      </w:r>
      <w:r>
        <w:rPr>
          <w:rtl/>
        </w:rPr>
        <w:t>מי שצוה בשעת מיתה: אל תפרנסו לבנותי פרנסת נדוניא מנכסי, שומעין לו. אבל אם התנה בשעת נשואין שלא יתפרנסו בנותיו מנכסיו, אין שומעין לו (טור לפי' רב האי).</w:t>
      </w:r>
    </w:p>
    <w:p w14:paraId="3E1CF03E" w14:textId="77777777" w:rsidR="006857AF" w:rsidRDefault="006857AF" w:rsidP="006857AF">
      <w:pPr>
        <w:pStyle w:val="Style1"/>
        <w:rPr>
          <w:rtl/>
        </w:rPr>
      </w:pPr>
    </w:p>
    <w:p w14:paraId="42AF65E9" w14:textId="77777777" w:rsidR="0002221C" w:rsidRPr="00EE424B" w:rsidRDefault="0002221C" w:rsidP="0002221C">
      <w:pPr>
        <w:pStyle w:val="Style1"/>
      </w:pPr>
    </w:p>
    <w:p w14:paraId="00B7C9B2" w14:textId="77777777" w:rsidR="0002221C" w:rsidRPr="0002221C" w:rsidRDefault="0002221C" w:rsidP="0002221C">
      <w:pPr>
        <w:bidi/>
        <w:rPr>
          <w:rStyle w:val="Style1Char"/>
          <w:color w:val="4472C4" w:themeColor="accent1"/>
        </w:rPr>
      </w:pPr>
    </w:p>
    <w:p w14:paraId="5861301C" w14:textId="77777777" w:rsidR="00FA0114" w:rsidRPr="00B51DFF" w:rsidRDefault="00FA0114" w:rsidP="00FA0114">
      <w:pPr>
        <w:bidi/>
        <w:rPr>
          <w:rStyle w:val="Style1Char"/>
          <w:color w:val="C00000"/>
        </w:rPr>
      </w:pPr>
    </w:p>
    <w:p w14:paraId="237F9890" w14:textId="77777777" w:rsidR="00FA0114" w:rsidRPr="00445611" w:rsidRDefault="00FA0114" w:rsidP="00FA0114">
      <w:pPr>
        <w:bidi/>
        <w:rPr>
          <w:rStyle w:val="Style1Char"/>
          <w:color w:val="00B050"/>
          <w:rtl/>
        </w:rPr>
      </w:pPr>
    </w:p>
    <w:p w14:paraId="710C8DDF" w14:textId="77777777" w:rsidR="00FA0114" w:rsidRDefault="00FA0114" w:rsidP="00FA0114">
      <w:pPr>
        <w:rPr>
          <w:rStyle w:val="Style1Char"/>
          <w:color w:val="00B050"/>
          <w:rtl/>
        </w:rPr>
      </w:pPr>
      <w:r>
        <w:rPr>
          <w:rStyle w:val="Style1Char"/>
          <w:color w:val="00B050"/>
          <w:rtl/>
        </w:rPr>
        <w:br w:type="page"/>
      </w:r>
    </w:p>
    <w:p w14:paraId="09ABA1BF" w14:textId="77901E87" w:rsidR="00FA0114" w:rsidRPr="004D20E8" w:rsidRDefault="00FA0114" w:rsidP="00FA0114">
      <w:pPr>
        <w:bidi/>
        <w:rPr>
          <w:rStyle w:val="Style1Char"/>
          <w:color w:val="4472C4" w:themeColor="accent1"/>
        </w:rPr>
      </w:pPr>
      <w:r w:rsidRPr="008A2DE2">
        <w:rPr>
          <w:rStyle w:val="Style1Char"/>
          <w:color w:val="auto"/>
          <w:sz w:val="22"/>
          <w:szCs w:val="22"/>
          <w:highlight w:val="yellow"/>
          <w:rtl/>
        </w:rPr>
        <w:lastRenderedPageBreak/>
        <w:t>[דף סט עמוד א]</w:t>
      </w:r>
      <w:r w:rsidRPr="008A2DE2">
        <w:rPr>
          <w:rStyle w:val="Style1Char"/>
          <w:color w:val="auto"/>
          <w:sz w:val="22"/>
          <w:szCs w:val="22"/>
          <w:rtl/>
        </w:rPr>
        <w:t xml:space="preserve"> תלה ליה רב לרבי ביני חטי: האחין ששיעבדו, מהו? הוה יתיב ר' חייא קמיה, אמר ליה: מכרו או משכנו? אמר ליה: מאי נפקא מינה? בין מכרו בין שמשכנו, </w:t>
      </w:r>
      <w:r w:rsidR="00287CCD">
        <w:rPr>
          <w:rStyle w:val="Style1Char"/>
          <w:rFonts w:hint="cs"/>
          <w:rtl/>
        </w:rPr>
        <w:t>(1)</w:t>
      </w:r>
      <w:r w:rsidRPr="008A2DE2">
        <w:rPr>
          <w:rStyle w:val="Style1Char"/>
          <w:color w:val="auto"/>
          <w:sz w:val="22"/>
          <w:szCs w:val="22"/>
          <w:rtl/>
        </w:rPr>
        <w:t xml:space="preserve">מוציאין לפרנסה </w:t>
      </w:r>
      <w:r w:rsidR="00287CCD">
        <w:rPr>
          <w:rStyle w:val="Style1Char"/>
          <w:rFonts w:hint="cs"/>
          <w:rtl/>
        </w:rPr>
        <w:t>(2)</w:t>
      </w:r>
      <w:r w:rsidRPr="008A2DE2">
        <w:rPr>
          <w:rStyle w:val="Style1Char"/>
          <w:color w:val="auto"/>
          <w:sz w:val="22"/>
          <w:szCs w:val="22"/>
          <w:rtl/>
        </w:rPr>
        <w:t>ואין מוציאין למזונות</w:t>
      </w:r>
      <w:r w:rsidRPr="008A2DE2">
        <w:rPr>
          <w:rStyle w:val="Style1Char"/>
          <w:color w:val="auto"/>
          <w:rtl/>
        </w:rPr>
        <w:t xml:space="preserve">. </w:t>
      </w:r>
      <w:r w:rsidRPr="0058605C">
        <w:rPr>
          <w:rStyle w:val="Style1Char"/>
          <w:color w:val="00B050"/>
          <w:rtl/>
        </w:rPr>
        <w:t xml:space="preserve">ורב, אי מכרו קמיבעיא ליה, נכתוב ליה מכרו! אי משכנו קא מיבעיא ליה, נכתוב ליה משכנו! רב תרוייהו קמבעיא ליה, וסבר: אי כתיבנא ליה מכרו, הא ניחא אי שלח לי דמוציאין - כל שכן משכנו, אי שלח לי אין מוציאין - אכתי משכנו קמיבעיא לי; אי כתיבנא ליה משכנו, אי שלח לי דאין מוציאין - כל שכן מכרו, אי שלח לי מוציאין - אכתי מכרו קא מיבעיא לי, אכתוב ליה שיעבדו, דמשמע הכי ומשמע הכי. </w:t>
      </w:r>
      <w:r w:rsidRPr="00B70BD8">
        <w:rPr>
          <w:rStyle w:val="Style1Char"/>
          <w:color w:val="auto"/>
          <w:sz w:val="22"/>
          <w:szCs w:val="22"/>
          <w:rtl/>
        </w:rPr>
        <w:t>ורבי יוחנן אמר: אחד זה ואחד זה אין מוציאין</w:t>
      </w:r>
      <w:r w:rsidRPr="00B70BD8">
        <w:rPr>
          <w:rStyle w:val="Style1Char"/>
          <w:color w:val="auto"/>
          <w:rtl/>
        </w:rPr>
        <w:t xml:space="preserve"> </w:t>
      </w:r>
      <w:r w:rsidRPr="007E4EA8">
        <w:rPr>
          <w:rStyle w:val="Style1Char"/>
          <w:color w:val="C00000"/>
          <w:rtl/>
        </w:rPr>
        <w:t xml:space="preserve">וליתא </w:t>
      </w:r>
      <w:r w:rsidRPr="00B70BD8">
        <w:rPr>
          <w:rStyle w:val="Style1Char"/>
          <w:color w:val="806000" w:themeColor="accent4" w:themeShade="80"/>
          <w:rtl/>
        </w:rPr>
        <w:t>לדרבי יוחנן דקי"ל כרבי דאמר מוציאין לפרנסה ואין מוציאין למזונות</w:t>
      </w:r>
      <w:r w:rsidRPr="007E4EA8">
        <w:rPr>
          <w:rStyle w:val="Style1Char"/>
          <w:color w:val="C00000"/>
          <w:rtl/>
        </w:rPr>
        <w:t>:</w:t>
      </w:r>
      <w:r w:rsidRPr="0058605C">
        <w:rPr>
          <w:rStyle w:val="Style1Char"/>
          <w:color w:val="00B050"/>
          <w:rtl/>
        </w:rPr>
        <w:t xml:space="preserve">. </w:t>
      </w:r>
      <w:r w:rsidRPr="00631C9C">
        <w:rPr>
          <w:rStyle w:val="Style1Char"/>
          <w:color w:val="4472C4" w:themeColor="accent1"/>
          <w:sz w:val="22"/>
          <w:szCs w:val="22"/>
          <w:rtl/>
        </w:rPr>
        <w:t>משום דמספקא ליה להש"ס</w:t>
      </w:r>
      <w:r w:rsidRPr="004D20E8">
        <w:rPr>
          <w:rStyle w:val="Style1Char"/>
          <w:color w:val="4472C4" w:themeColor="accent1"/>
        </w:rPr>
        <w:t xml:space="preserve">: </w:t>
      </w:r>
      <w:r w:rsidRPr="0058605C">
        <w:rPr>
          <w:rStyle w:val="Style1Char"/>
          <w:color w:val="00B050"/>
          <w:rtl/>
        </w:rPr>
        <w:t>איבעיא להו</w:t>
      </w:r>
      <w:r w:rsidRPr="00631C9C">
        <w:rPr>
          <w:rStyle w:val="Style1Char"/>
          <w:color w:val="4472C4" w:themeColor="accent1"/>
          <w:rtl/>
        </w:rPr>
        <w:t xml:space="preserve"> </w:t>
      </w:r>
      <w:r w:rsidRPr="00631C9C">
        <w:rPr>
          <w:rStyle w:val="Style1Char"/>
          <w:color w:val="4472C4" w:themeColor="accent1"/>
          <w:sz w:val="20"/>
          <w:szCs w:val="20"/>
          <w:rtl/>
        </w:rPr>
        <w:t>דלמא</w:t>
      </w:r>
      <w:r w:rsidRPr="0058605C">
        <w:rPr>
          <w:rStyle w:val="Style1Char"/>
          <w:color w:val="00B050"/>
          <w:rtl/>
        </w:rPr>
        <w:t xml:space="preserve">: </w:t>
      </w:r>
      <w:r w:rsidRPr="00F10215">
        <w:rPr>
          <w:rStyle w:val="Style1Char"/>
          <w:color w:val="ED7D31" w:themeColor="accent2"/>
          <w:sz w:val="22"/>
          <w:szCs w:val="22"/>
          <w:rtl/>
        </w:rPr>
        <w:t>לרבי יוחנן לא שמיע ליה הא דרבי, ואי שמיע ליה הוה מקבל ליה</w:t>
      </w:r>
      <w:r w:rsidRPr="0058605C">
        <w:rPr>
          <w:rStyle w:val="Style1Char"/>
          <w:color w:val="00B050"/>
          <w:rtl/>
        </w:rPr>
        <w:t xml:space="preserve">, או דלמא שמיע ליה ולא מקבל ליה? </w:t>
      </w:r>
      <w:r w:rsidRPr="00631C9C">
        <w:rPr>
          <w:rStyle w:val="Style1Char"/>
          <w:color w:val="4472C4" w:themeColor="accent1"/>
          <w:sz w:val="22"/>
          <w:szCs w:val="22"/>
          <w:rtl/>
        </w:rPr>
        <w:t>אית לן למימר דלא שמיע ליה דמסתבר דר' יוחנן לא פליג עליה דרבי</w:t>
      </w:r>
      <w:r w:rsidRPr="00631C9C">
        <w:rPr>
          <w:rStyle w:val="Style1Char"/>
          <w:color w:val="00B050"/>
          <w:sz w:val="22"/>
          <w:szCs w:val="22"/>
          <w:rtl/>
        </w:rPr>
        <w:t xml:space="preserve"> </w:t>
      </w:r>
      <w:r w:rsidRPr="0058605C">
        <w:rPr>
          <w:rStyle w:val="Style1Char"/>
          <w:color w:val="00B050"/>
          <w:rtl/>
        </w:rPr>
        <w:t>ת"ש, ד</w:t>
      </w:r>
      <w:r w:rsidRPr="00981D48">
        <w:rPr>
          <w:rStyle w:val="Style1Char"/>
          <w:color w:val="auto"/>
          <w:sz w:val="22"/>
          <w:szCs w:val="22"/>
          <w:rtl/>
        </w:rPr>
        <w:t>אתמר:</w:t>
      </w:r>
      <w:r w:rsidRPr="00981D48">
        <w:rPr>
          <w:rStyle w:val="Style1Char"/>
          <w:sz w:val="22"/>
          <w:szCs w:val="22"/>
          <w:rtl/>
        </w:rPr>
        <w:t xml:space="preserve"> </w:t>
      </w:r>
      <w:r w:rsidRPr="00981D48">
        <w:rPr>
          <w:rStyle w:val="Style1Char"/>
          <w:color w:val="auto"/>
          <w:sz w:val="22"/>
          <w:szCs w:val="22"/>
          <w:rtl/>
        </w:rPr>
        <w:t xml:space="preserve">מי שמת והניח שתי בנות ובן, וקדמה הראשונה ונטלה עישור נכסים, ולא הספיקה שניה לגבות עד שמת הבן, אמר ר' יוחנן: </w:t>
      </w:r>
      <w:r w:rsidR="003E0980">
        <w:rPr>
          <w:rStyle w:val="Style1Char"/>
          <w:rFonts w:hint="cs"/>
          <w:rtl/>
        </w:rPr>
        <w:t>(3)</w:t>
      </w:r>
      <w:r w:rsidRPr="00981D48">
        <w:rPr>
          <w:rStyle w:val="Style1Char"/>
          <w:color w:val="auto"/>
          <w:sz w:val="22"/>
          <w:szCs w:val="22"/>
          <w:rtl/>
        </w:rPr>
        <w:t>שניה ויתרה; אמר ר' חנינא, גדולה מזו אמרו: מוציאין לפרנסה ואין מוציאין למזונות, ואת אמרת: שניה ויתרה</w:t>
      </w:r>
      <w:r w:rsidRPr="00981D48">
        <w:rPr>
          <w:rStyle w:val="Style1Char"/>
          <w:color w:val="auto"/>
          <w:rtl/>
        </w:rPr>
        <w:t xml:space="preserve"> </w:t>
      </w:r>
      <w:r w:rsidRPr="00083503">
        <w:rPr>
          <w:rStyle w:val="Style1Char"/>
          <w:color w:val="806000" w:themeColor="accent4" w:themeShade="80"/>
          <w:sz w:val="22"/>
          <w:szCs w:val="22"/>
          <w:rtl/>
        </w:rPr>
        <w:t>ומסתברא לן דהלכה כר' יוחנן בהא משום דאיכא ריוח ביתא דהא רב אשי דהוא בתרא הכי ס"ל דאמרי</w:t>
      </w:r>
      <w:r w:rsidRPr="00083503">
        <w:rPr>
          <w:rStyle w:val="Style1Char"/>
          <w:rFonts w:hint="cs"/>
          <w:color w:val="806000" w:themeColor="accent4" w:themeShade="80"/>
          <w:sz w:val="22"/>
          <w:szCs w:val="22"/>
          <w:rtl/>
        </w:rPr>
        <w:t>נן</w:t>
      </w:r>
      <w:r w:rsidRPr="00083503">
        <w:rPr>
          <w:rStyle w:val="Style1Char"/>
          <w:color w:val="806000" w:themeColor="accent4" w:themeShade="80"/>
          <w:sz w:val="22"/>
          <w:szCs w:val="22"/>
          <w:rtl/>
        </w:rPr>
        <w:t xml:space="preserve">; </w:t>
      </w:r>
      <w:r w:rsidRPr="0058605C">
        <w:rPr>
          <w:rStyle w:val="Style1Char"/>
          <w:color w:val="00B050"/>
          <w:rtl/>
        </w:rPr>
        <w:t xml:space="preserve">ואם איתא, נימא ליה: מאן אמרה? ודלמא לעולם לא שמיע ליה, וכי שמיע ליה קביל, ושאני התם, דאיכא רווח ביתא. </w:t>
      </w:r>
      <w:r w:rsidRPr="00B36580">
        <w:rPr>
          <w:rStyle w:val="Style1Char"/>
          <w:color w:val="auto"/>
          <w:sz w:val="22"/>
          <w:szCs w:val="22"/>
          <w:rtl/>
        </w:rPr>
        <w:t>אמר ליה רב יימר לרב אשי: אלא מעתה, אשכחה מציאה בעלמא, דאיכא רווח ביתא, הכי נמי דלא יהבינן לה עישור נכסים? אמר ליה: אנא רווח ביתא מהני נכסי קאמינא</w:t>
      </w:r>
      <w:r w:rsidRPr="0058605C">
        <w:rPr>
          <w:rStyle w:val="Style1Char"/>
          <w:color w:val="00B050"/>
          <w:rtl/>
        </w:rPr>
        <w:t xml:space="preserve">. </w:t>
      </w:r>
      <w:r w:rsidRPr="00896661">
        <w:rPr>
          <w:rStyle w:val="Style1Char"/>
          <w:color w:val="806000" w:themeColor="accent4" w:themeShade="80"/>
          <w:rtl/>
        </w:rPr>
        <w:t>אבל בירושלמי פסק הלכה כרבי חנינא דגרסינן התם מי שמת והניח שתי בנות ובן אחד ונטלה הראשונה עישור נכסים ומת הבן רבי חנינא אומר אף השניה נוטלת עישור נכסים והשאר חולקות בשוה אמר רבי טבי בשם רבי יאשיה טעמא דרבי חנינא אם מן המשועבדין גובה לא כ"ש מלפניה ר' זעירא בעא קומי רבי אסי היך עבדן עובדא אמר ליה כרבי חנינא וכן נפק עובדא כרבי חנינא</w:t>
      </w:r>
      <w:r w:rsidRPr="00896661">
        <w:rPr>
          <w:rStyle w:val="Style1Char"/>
          <w:color w:val="4472C4" w:themeColor="accent1"/>
          <w:rtl/>
        </w:rPr>
        <w:t xml:space="preserve"> </w:t>
      </w:r>
      <w:r w:rsidRPr="004D20E8">
        <w:rPr>
          <w:rStyle w:val="Style1Char"/>
          <w:color w:val="4472C4" w:themeColor="accent1"/>
          <w:rtl/>
        </w:rPr>
        <w:t>וכיון דבירושלמי פסיק בהדיא כרבי חנינא עבדינן כוותיה ורב יימר ורב אסי שקלי וטרו להעמיד הא דקאמרינן דבתר הכי שמעה וקבלה ולא משום דסבירא להו כרבי יוחנן</w:t>
      </w:r>
      <w:r w:rsidRPr="004D20E8">
        <w:rPr>
          <w:rStyle w:val="Style1Char"/>
          <w:color w:val="4472C4" w:themeColor="accent1"/>
        </w:rPr>
        <w:t xml:space="preserve">: </w:t>
      </w:r>
    </w:p>
    <w:p w14:paraId="1868C813" w14:textId="2F1B1625" w:rsidR="00FA0114" w:rsidRPr="004D20E8" w:rsidRDefault="00FA0114" w:rsidP="00FA0114">
      <w:pPr>
        <w:bidi/>
        <w:rPr>
          <w:rStyle w:val="Style1Char"/>
          <w:color w:val="4472C4" w:themeColor="accent1"/>
        </w:rPr>
      </w:pPr>
      <w:r w:rsidRPr="00BB06DB">
        <w:rPr>
          <w:rStyle w:val="Style1Char"/>
          <w:color w:val="auto"/>
          <w:rtl/>
        </w:rPr>
        <w:t xml:space="preserve">: </w:t>
      </w:r>
      <w:r w:rsidRPr="00BB06DB">
        <w:rPr>
          <w:rStyle w:val="Style1Char"/>
          <w:color w:val="auto"/>
          <w:sz w:val="22"/>
          <w:szCs w:val="22"/>
          <w:rtl/>
        </w:rPr>
        <w:t>אמר אמימר: בת - יורשת הויא</w:t>
      </w:r>
      <w:r w:rsidRPr="00BB06DB">
        <w:rPr>
          <w:rStyle w:val="Style1Char"/>
          <w:color w:val="auto"/>
          <w:rtl/>
        </w:rPr>
        <w:t xml:space="preserve">. </w:t>
      </w:r>
      <w:r w:rsidRPr="0058605C">
        <w:rPr>
          <w:rStyle w:val="Style1Char"/>
          <w:color w:val="00B050"/>
          <w:rtl/>
        </w:rPr>
        <w:t>אמר ליה רב אשי לאמימר: אילו בעי לסלוקה בזוזי, הכי נמי דלא מצי לסלוקה? אמר ליה: אין</w:t>
      </w:r>
      <w:r w:rsidRPr="00F93210">
        <w:rPr>
          <w:rStyle w:val="Style1Char"/>
          <w:color w:val="C00000"/>
          <w:rtl/>
        </w:rPr>
        <w:t xml:space="preserve"> </w:t>
      </w:r>
      <w:r w:rsidRPr="00BB06DB">
        <w:rPr>
          <w:rStyle w:val="Style1Char"/>
          <w:color w:val="806000" w:themeColor="accent4" w:themeShade="80"/>
          <w:sz w:val="22"/>
          <w:szCs w:val="22"/>
          <w:rtl/>
        </w:rPr>
        <w:t>דאי בעיא לסלוקה בזוזי לא מצו מסלקי לה</w:t>
      </w:r>
      <w:r w:rsidRPr="00BB06DB">
        <w:rPr>
          <w:rStyle w:val="Style1Char"/>
          <w:color w:val="806000" w:themeColor="accent4" w:themeShade="80"/>
          <w:rtl/>
        </w:rPr>
        <w:t>.</w:t>
      </w:r>
      <w:r w:rsidRPr="0058605C">
        <w:rPr>
          <w:rStyle w:val="Style1Char"/>
          <w:color w:val="00B050"/>
          <w:rtl/>
        </w:rPr>
        <w:t xml:space="preserve"> אי בעי לסלוקה בחדא ארעא, הכי נמי דלא מצי מסלק לה? אמר ליה: אין. </w:t>
      </w:r>
      <w:r w:rsidRPr="00BB06DB">
        <w:rPr>
          <w:rStyle w:val="Style1Char"/>
          <w:color w:val="auto"/>
          <w:sz w:val="22"/>
          <w:szCs w:val="22"/>
          <w:rtl/>
        </w:rPr>
        <w:t>רב אשי אמר</w:t>
      </w:r>
      <w:r w:rsidRPr="0058605C">
        <w:rPr>
          <w:rStyle w:val="Style1Char"/>
          <w:color w:val="00B050"/>
          <w:rtl/>
        </w:rPr>
        <w:t xml:space="preserve">: בת - </w:t>
      </w:r>
      <w:r w:rsidRPr="00BB06DB">
        <w:rPr>
          <w:rStyle w:val="Style1Char"/>
          <w:color w:val="auto"/>
          <w:sz w:val="22"/>
          <w:szCs w:val="22"/>
          <w:rtl/>
        </w:rPr>
        <w:t>בעלת חוב הויא</w:t>
      </w:r>
      <w:r w:rsidRPr="00BB06DB">
        <w:rPr>
          <w:rStyle w:val="Style1Char"/>
          <w:color w:val="auto"/>
          <w:rtl/>
        </w:rPr>
        <w:t xml:space="preserve"> </w:t>
      </w:r>
      <w:r w:rsidRPr="00606F40">
        <w:rPr>
          <w:rStyle w:val="Style1Char"/>
          <w:color w:val="806000" w:themeColor="accent4" w:themeShade="80"/>
          <w:sz w:val="22"/>
          <w:szCs w:val="22"/>
          <w:rtl/>
        </w:rPr>
        <w:t>ומצו מסלקי לה בזוזי והלכתא כרב אשי</w:t>
      </w:r>
      <w:r w:rsidRPr="00F93210">
        <w:rPr>
          <w:rStyle w:val="Style1Char"/>
          <w:sz w:val="22"/>
          <w:szCs w:val="22"/>
          <w:rtl/>
        </w:rPr>
        <w:t xml:space="preserve">. </w:t>
      </w:r>
      <w:r w:rsidRPr="00606F40">
        <w:rPr>
          <w:rStyle w:val="Style1Char"/>
          <w:color w:val="auto"/>
          <w:sz w:val="22"/>
          <w:szCs w:val="22"/>
          <w:rtl/>
        </w:rPr>
        <w:t>ואף אמימר הדר ביה</w:t>
      </w:r>
      <w:r w:rsidRPr="0058605C">
        <w:rPr>
          <w:rStyle w:val="Style1Char"/>
          <w:color w:val="00B050"/>
          <w:rtl/>
        </w:rPr>
        <w:t xml:space="preserve">, דאמר רב מניומי בריה דרב ניחומי: הוה קאימנא קמיה דאמימר, ואתאי האי איתתא לקמיה דהות קא בעיא עישור נכסים, </w:t>
      </w:r>
      <w:r w:rsidR="003E0980">
        <w:rPr>
          <w:rStyle w:val="Style1Char"/>
          <w:rFonts w:hint="cs"/>
          <w:rtl/>
        </w:rPr>
        <w:t>(4)</w:t>
      </w:r>
      <w:r w:rsidRPr="0058605C">
        <w:rPr>
          <w:rStyle w:val="Style1Char"/>
          <w:color w:val="00B050"/>
          <w:rtl/>
        </w:rPr>
        <w:t>וחזיתיה לדעתיה דאי בעי לסלוקה בזוזי הוי מסלק לה, דשמעי מאחי דהוו קאמרי לה: אילו הוה לן זוזי סליקנא בזוזי</w:t>
      </w:r>
      <w:r w:rsidRPr="001E27C0">
        <w:rPr>
          <w:rStyle w:val="Style1Char"/>
          <w:color w:val="00B050"/>
          <w:rtl/>
        </w:rPr>
        <w:t xml:space="preserve">, </w:t>
      </w:r>
      <w:r w:rsidRPr="001E27C0">
        <w:rPr>
          <w:rStyle w:val="Style1Char"/>
          <w:color w:val="ED7D31" w:themeColor="accent2"/>
          <w:rtl/>
        </w:rPr>
        <w:t>ואישתיק ולא אמר להו ולא מידי</w:t>
      </w:r>
      <w:r w:rsidRPr="001E27C0">
        <w:rPr>
          <w:rStyle w:val="Style1Char"/>
          <w:color w:val="4472C4" w:themeColor="accent1"/>
          <w:rtl/>
        </w:rPr>
        <w:t xml:space="preserve"> </w:t>
      </w:r>
      <w:r w:rsidRPr="004D20E8">
        <w:rPr>
          <w:rStyle w:val="Style1Char"/>
          <w:color w:val="4472C4" w:themeColor="accent1"/>
          <w:rtl/>
        </w:rPr>
        <w:t>מכאן היה רגיל ר"ת כשהיה יושב בדין והיה שומע אחד מבעלי דינין מגזם לחבירו כך וכך ממון תתחייב לי בדין היה מכחישו ואמר לו לא יתחייב לך</w:t>
      </w:r>
      <w:r>
        <w:rPr>
          <w:rStyle w:val="Style1Char"/>
          <w:rFonts w:hint="cs"/>
          <w:color w:val="4472C4" w:themeColor="accent1"/>
        </w:rPr>
        <w:t>‍</w:t>
      </w:r>
      <w:r w:rsidRPr="004D20E8">
        <w:rPr>
          <w:rStyle w:val="Style1Char"/>
          <w:color w:val="4472C4" w:themeColor="accent1"/>
          <w:rtl/>
        </w:rPr>
        <w:t xml:space="preserve"> שאם אין לו לדיין לומר כך מה הוכחתו של רב מניומי מדאישתיק אמימר</w:t>
      </w:r>
      <w:r w:rsidRPr="001C4933">
        <w:rPr>
          <w:rStyle w:val="Style1Char"/>
          <w:color w:val="ED7D31" w:themeColor="accent2"/>
          <w:sz w:val="22"/>
          <w:szCs w:val="22"/>
          <w:rtl/>
        </w:rPr>
        <w:t xml:space="preserve">. </w:t>
      </w:r>
      <w:r w:rsidRPr="00606F40">
        <w:rPr>
          <w:rStyle w:val="Style1Char"/>
          <w:color w:val="auto"/>
          <w:sz w:val="22"/>
          <w:szCs w:val="22"/>
          <w:rtl/>
        </w:rPr>
        <w:t>והשתא דאמרת: בעלת חוב הויא, דאבא או דאחי? למאי נפקא מינה? למיגבא לבינונית שלא בשבועה וזיבורית בשבועה</w:t>
      </w:r>
      <w:r w:rsidRPr="00D22D82">
        <w:rPr>
          <w:rStyle w:val="Style1Char"/>
          <w:color w:val="4472C4" w:themeColor="accent1"/>
          <w:rtl/>
        </w:rPr>
        <w:t xml:space="preserve"> </w:t>
      </w:r>
      <w:r w:rsidRPr="004D20E8">
        <w:rPr>
          <w:rStyle w:val="Style1Char"/>
          <w:color w:val="4472C4" w:themeColor="accent1"/>
          <w:rtl/>
        </w:rPr>
        <w:t>וה"ה לגבות מן הראוי</w:t>
      </w:r>
      <w:r w:rsidRPr="00606F40">
        <w:rPr>
          <w:rStyle w:val="Style1Char"/>
          <w:color w:val="auto"/>
          <w:sz w:val="22"/>
          <w:szCs w:val="22"/>
          <w:rtl/>
        </w:rPr>
        <w:t xml:space="preserve">, מאי? תא שמע: דרבינא אגביה לברתיה דרב אשי ממר בריה דרב אשי </w:t>
      </w:r>
      <w:r w:rsidR="0043218D">
        <w:rPr>
          <w:rStyle w:val="Style1Char"/>
          <w:rFonts w:hint="cs"/>
          <w:rtl/>
        </w:rPr>
        <w:t>(4.1, 5)</w:t>
      </w:r>
      <w:r w:rsidRPr="00606F40">
        <w:rPr>
          <w:rStyle w:val="Style1Char"/>
          <w:color w:val="auto"/>
          <w:sz w:val="22"/>
          <w:szCs w:val="22"/>
          <w:rtl/>
        </w:rPr>
        <w:t>בינונית ושלא בשבועה</w:t>
      </w:r>
      <w:r w:rsidRPr="0058605C">
        <w:rPr>
          <w:rStyle w:val="Style1Char"/>
          <w:color w:val="00B050"/>
          <w:rtl/>
        </w:rPr>
        <w:t xml:space="preserve">, מבריה דרב סמא </w:t>
      </w:r>
      <w:r w:rsidRPr="00D22D82">
        <w:rPr>
          <w:rStyle w:val="Style1Char"/>
          <w:color w:val="806000" w:themeColor="accent4" w:themeShade="80"/>
          <w:sz w:val="22"/>
          <w:szCs w:val="22"/>
          <w:rtl/>
        </w:rPr>
        <w:t xml:space="preserve">וממר בריה דרב חמא </w:t>
      </w:r>
      <w:r w:rsidRPr="00D22D82">
        <w:rPr>
          <w:rStyle w:val="Style1Char"/>
          <w:color w:val="auto"/>
          <w:sz w:val="22"/>
          <w:szCs w:val="22"/>
          <w:rtl/>
        </w:rPr>
        <w:t>בריה דרב אשי - זבורית בשבועה</w:t>
      </w:r>
      <w:r w:rsidRPr="00D22D82">
        <w:rPr>
          <w:rStyle w:val="Style1Char"/>
          <w:color w:val="auto"/>
          <w:rtl/>
        </w:rPr>
        <w:t xml:space="preserve"> </w:t>
      </w:r>
      <w:r w:rsidRPr="00D22D82">
        <w:rPr>
          <w:rStyle w:val="Style1Char"/>
          <w:color w:val="806000" w:themeColor="accent4" w:themeShade="80"/>
          <w:sz w:val="22"/>
          <w:szCs w:val="22"/>
          <w:rtl/>
        </w:rPr>
        <w:t>ש"מ בעלת חוב דאחי הויא ש"מ</w:t>
      </w:r>
      <w:r w:rsidRPr="00DF65FD">
        <w:rPr>
          <w:rStyle w:val="Style1Char"/>
          <w:sz w:val="22"/>
          <w:szCs w:val="22"/>
          <w:rtl/>
        </w:rPr>
        <w:t xml:space="preserve">. </w:t>
      </w:r>
      <w:r w:rsidRPr="008C1F5C">
        <w:rPr>
          <w:rStyle w:val="Style1Char"/>
          <w:color w:val="auto"/>
          <w:sz w:val="22"/>
          <w:szCs w:val="22"/>
          <w:rtl/>
        </w:rPr>
        <w:t>שלח ליה רב נחמיה בריה דרב יוסף לרבה בר רב הונא זוטא מנהרדעא: כי אתיא הא איתתא לקמך, אגבה עישור נכסים אפילו מאיצטרובלא</w:t>
      </w:r>
      <w:r w:rsidRPr="008C1F5C">
        <w:rPr>
          <w:rStyle w:val="Style1Char"/>
          <w:color w:val="auto"/>
          <w:rtl/>
        </w:rPr>
        <w:t xml:space="preserve"> </w:t>
      </w:r>
      <w:r w:rsidRPr="00DF65FD">
        <w:rPr>
          <w:rStyle w:val="Style1Char"/>
          <w:color w:val="C00000"/>
          <w:sz w:val="22"/>
          <w:szCs w:val="22"/>
          <w:rtl/>
        </w:rPr>
        <w:t>דרחייא</w:t>
      </w:r>
      <w:r w:rsidRPr="00DF65FD">
        <w:rPr>
          <w:rStyle w:val="Style1Char"/>
          <w:sz w:val="22"/>
          <w:szCs w:val="22"/>
          <w:rtl/>
        </w:rPr>
        <w:t>.</w:t>
      </w:r>
      <w:r w:rsidRPr="00DF65FD">
        <w:rPr>
          <w:rStyle w:val="Style1Char"/>
          <w:rtl/>
        </w:rPr>
        <w:t xml:space="preserve"> </w:t>
      </w:r>
      <w:r w:rsidRPr="008C1F5C">
        <w:rPr>
          <w:rStyle w:val="Style1Char"/>
          <w:color w:val="auto"/>
          <w:sz w:val="22"/>
          <w:szCs w:val="22"/>
          <w:rtl/>
        </w:rPr>
        <w:t xml:space="preserve">אמר רב אשי: כי הוינן בי רב כהנא, </w:t>
      </w:r>
      <w:r w:rsidR="007D0E50">
        <w:rPr>
          <w:rStyle w:val="Style1Char"/>
          <w:rFonts w:hint="cs"/>
          <w:rtl/>
        </w:rPr>
        <w:t>(4.2, 6)</w:t>
      </w:r>
      <w:r w:rsidRPr="008C1F5C">
        <w:rPr>
          <w:rStyle w:val="Style1Char"/>
          <w:color w:val="auto"/>
          <w:sz w:val="22"/>
          <w:szCs w:val="22"/>
          <w:rtl/>
        </w:rPr>
        <w:t xml:space="preserve">הוה מגבינן </w:t>
      </w:r>
      <w:r w:rsidRPr="0058605C">
        <w:rPr>
          <w:rStyle w:val="Style1Char"/>
          <w:color w:val="00B050"/>
          <w:rtl/>
        </w:rPr>
        <w:t xml:space="preserve">אפילו </w:t>
      </w:r>
      <w:r w:rsidRPr="008C1F5C">
        <w:rPr>
          <w:rStyle w:val="Style1Char"/>
          <w:color w:val="auto"/>
          <w:sz w:val="22"/>
          <w:szCs w:val="22"/>
          <w:rtl/>
        </w:rPr>
        <w:t>מעמלא דביתי</w:t>
      </w:r>
      <w:r w:rsidRPr="008C1F5C">
        <w:rPr>
          <w:rStyle w:val="Style1Char"/>
          <w:color w:val="4472C4" w:themeColor="accent1"/>
          <w:rtl/>
        </w:rPr>
        <w:t xml:space="preserve"> </w:t>
      </w:r>
      <w:r w:rsidRPr="004D20E8">
        <w:rPr>
          <w:rStyle w:val="Style1Char"/>
          <w:color w:val="4472C4" w:themeColor="accent1"/>
          <w:rtl/>
        </w:rPr>
        <w:t xml:space="preserve">פי' שכר בתים אם השכיר הבית לשנה ועבר כבר חצי שנה היו מגבין גם מחצי שנה שעברה דכיון דשכירות אינה משתלמת אלא לבסוף חשיב הכל כמקרקעי </w:t>
      </w:r>
    </w:p>
    <w:p w14:paraId="06D03069" w14:textId="77777777" w:rsidR="00FA0114" w:rsidRPr="004D20E8" w:rsidRDefault="00FA0114" w:rsidP="00FA0114">
      <w:pPr>
        <w:bidi/>
        <w:rPr>
          <w:rStyle w:val="Style1Char"/>
          <w:color w:val="4472C4" w:themeColor="accent1"/>
        </w:rPr>
      </w:pPr>
      <w:r w:rsidRPr="0058605C">
        <w:rPr>
          <w:rStyle w:val="Style1Char"/>
          <w:color w:val="00B050"/>
          <w:rtl/>
        </w:rPr>
        <w:t xml:space="preserve">. שלח ליה רב ענן לרב הונא: הונא חברין שלם, כי אתיא הא איתתא לקמך, אגבה עישור נכסי. הוה יתיב רב ששת קמיה, אמר ליה: זיל אימא ליה, </w:t>
      </w:r>
      <w:r w:rsidRPr="002442CE">
        <w:rPr>
          <w:rStyle w:val="Style1Char"/>
          <w:color w:val="ED7D31" w:themeColor="accent2"/>
          <w:rtl/>
        </w:rPr>
        <w:t>ובשמתא יהא מאן דלא אמר ליה</w:t>
      </w:r>
      <w:r w:rsidRPr="00465DE8">
        <w:rPr>
          <w:rStyle w:val="Style1Char"/>
          <w:color w:val="4472C4" w:themeColor="accent1"/>
          <w:rtl/>
        </w:rPr>
        <w:t xml:space="preserve"> </w:t>
      </w:r>
      <w:r w:rsidRPr="004D20E8">
        <w:rPr>
          <w:rStyle w:val="Style1Char"/>
          <w:color w:val="4472C4" w:themeColor="accent1"/>
          <w:rtl/>
        </w:rPr>
        <w:t>היה אומר ר"ת נידוי על תנאי כזה אין צריך התרה אף על גב דאמרי' במכות פ' אלו הן הגולין (דף יא ב) נידוי על תנאי צריך התרה מנלן מיהודה אם לא הביאותיו אליך אף על פי שקיים תנאו והביא את בנימין היו עצמותיו מגולגלין בארון היינו דוקא בדבר שהמנודה מסופק בשעת נידוי אם יוכל לקיים התנאי כי התם שקבל עליו להביא את בנימין ומאריא ומגנבי שהם בידי שמים לא יוכל לשומרו אבל הכא שבידו לקיים התנאי אין צריך התרה</w:t>
      </w:r>
      <w:r w:rsidRPr="004D20E8">
        <w:rPr>
          <w:rStyle w:val="Style1Char"/>
          <w:color w:val="4472C4" w:themeColor="accent1"/>
        </w:rPr>
        <w:t xml:space="preserve">: </w:t>
      </w:r>
    </w:p>
    <w:p w14:paraId="7BDDE5C3" w14:textId="2552E06D" w:rsidR="00FA0114" w:rsidRDefault="00FA0114" w:rsidP="00FA0114">
      <w:pPr>
        <w:bidi/>
        <w:rPr>
          <w:rStyle w:val="Style1Char"/>
          <w:color w:val="00B050"/>
          <w:rtl/>
        </w:rPr>
      </w:pPr>
      <w:r w:rsidRPr="0058605C">
        <w:rPr>
          <w:rStyle w:val="Style1Char"/>
          <w:color w:val="00B050"/>
          <w:rtl/>
        </w:rPr>
        <w:t xml:space="preserve">ענן, ענן, ממקרקעי או ממטלטלי? ומאן יתיב בי מרזיחא ברישא? אזל רב ששת לקמיה דרב ענן, אמר ליה: מר רבה, ורב הונא רביה דרבה, ושמותי שמית מאן דלא אמר ליה, ואי לאו דשמית לא הוה קאמינא: ענן, ענן, ממקרקעי או ממטלטלי? ומאן יתיב בי מרזיחא ברישא? אזל רב ענן לקמיה דמר עוקבא, א"ל: חזי מר היכי שלח לי רב הונא ענן ענן! ועוד, מרזיחא דשלח לי [לא ידענא] מאי ניהו! א"ל: אימא לי איזי </w:t>
      </w:r>
    </w:p>
    <w:p w14:paraId="77787CDA" w14:textId="3EB4164C" w:rsidR="00287CCD" w:rsidRDefault="00287CCD" w:rsidP="00287CCD">
      <w:pPr>
        <w:pStyle w:val="Style1"/>
        <w:rPr>
          <w:rStyle w:val="Style1Char"/>
          <w:rtl/>
        </w:rPr>
      </w:pPr>
      <w:r>
        <w:rPr>
          <w:rStyle w:val="Style1Char"/>
          <w:rFonts w:hint="cs"/>
          <w:rtl/>
        </w:rPr>
        <w:t>1)[</w:t>
      </w:r>
      <w:r w:rsidRPr="00287CCD">
        <w:rPr>
          <w:rStyle w:val="Style1Char"/>
          <w:rtl/>
        </w:rPr>
        <w:t>רמב</w:t>
      </w:r>
      <w:r w:rsidR="00213DA1">
        <w:rPr>
          <w:rStyle w:val="Style1Char"/>
          <w:rtl/>
        </w:rPr>
        <w:t>”ם \נשים\</w:t>
      </w:r>
      <w:r w:rsidRPr="00287CCD">
        <w:rPr>
          <w:rStyle w:val="Style1Char"/>
          <w:rtl/>
        </w:rPr>
        <w:t xml:space="preserve"> הלכות אישות פרק כ הלכה ז</w:t>
      </w:r>
      <w:r>
        <w:rPr>
          <w:rStyle w:val="Style1Char"/>
          <w:rFonts w:hint="cs"/>
          <w:rtl/>
        </w:rPr>
        <w:t xml:space="preserve">] </w:t>
      </w:r>
      <w:r w:rsidRPr="00287CCD">
        <w:rPr>
          <w:rStyle w:val="Style1Char"/>
          <w:rtl/>
        </w:rPr>
        <w:t>והאחים שמכרו או משכנו קרקע אביהם הבת טורפת מן הלקוחות פרנסתה כדרך שטורפים כל בעלי חובות מן הלקוחות כמו שיתבאר בהלכות הלואה.</w:t>
      </w:r>
    </w:p>
    <w:p w14:paraId="69E9101C" w14:textId="7444187A" w:rsidR="00287CCD" w:rsidRDefault="00287CCD" w:rsidP="00287CCD">
      <w:pPr>
        <w:pStyle w:val="Style1"/>
        <w:rPr>
          <w:rStyle w:val="Style1Char"/>
          <w:rtl/>
        </w:rPr>
      </w:pPr>
      <w:r>
        <w:rPr>
          <w:rStyle w:val="Style1Char"/>
          <w:rFonts w:hint="cs"/>
          <w:rtl/>
        </w:rPr>
        <w:t>1)[</w:t>
      </w:r>
      <w:r w:rsidRPr="00287CCD">
        <w:rPr>
          <w:rStyle w:val="Style1Char"/>
          <w:rtl/>
        </w:rPr>
        <w:t>שולחן ערוך אבן העזר הלכות כתובות סימן קיג סעיף ה</w:t>
      </w:r>
      <w:r>
        <w:rPr>
          <w:rStyle w:val="Style1Char"/>
          <w:rFonts w:hint="cs"/>
          <w:rtl/>
        </w:rPr>
        <w:t xml:space="preserve">] </w:t>
      </w:r>
      <w:r w:rsidRPr="00287CCD">
        <w:rPr>
          <w:rStyle w:val="Style1Char"/>
          <w:rtl/>
        </w:rPr>
        <w:t>האחים שמכרו או משכנו קרקע אביהם, הבת טורפת מהלקוחות פרנסת נדוניתה, ובשבועה, כדרך שטורפין בעלי חובות מהלקוחות.</w:t>
      </w:r>
    </w:p>
    <w:p w14:paraId="3B560A5E" w14:textId="3A74637E" w:rsidR="00287CCD" w:rsidRDefault="00287CCD" w:rsidP="00287CCD">
      <w:pPr>
        <w:pStyle w:val="Style1"/>
        <w:rPr>
          <w:rtl/>
        </w:rPr>
      </w:pPr>
      <w:r>
        <w:rPr>
          <w:rFonts w:hint="cs"/>
          <w:rtl/>
        </w:rPr>
        <w:t>2)[</w:t>
      </w:r>
      <w:r>
        <w:rPr>
          <w:rtl/>
        </w:rPr>
        <w:t>שולחן ערוך אבן העזר הלכות כתובות סימן קיב סעיף ז</w:t>
      </w:r>
      <w:r>
        <w:rPr>
          <w:rFonts w:hint="cs"/>
          <w:rtl/>
        </w:rPr>
        <w:t xml:space="preserve">] </w:t>
      </w:r>
      <w:r>
        <w:rPr>
          <w:rtl/>
        </w:rPr>
        <w:t>עכשיו שכתובה נגבית אפילו ממטלטלים, גם הבנות נזונות מהם. ואינם ניזונות אלא מבני חרי, אבל לא ממשעבדי, כגון אם מכר האב או נתן האב במתנת בריא או אם הבנים אחר מיתת אביהם מכרו או משכנו או נתנו, אינן נזונות מהן.</w:t>
      </w:r>
    </w:p>
    <w:p w14:paraId="1E19A919" w14:textId="251C2245" w:rsidR="00287CCD" w:rsidRDefault="00287CCD" w:rsidP="00287CCD">
      <w:pPr>
        <w:pStyle w:val="Style1"/>
        <w:rPr>
          <w:rtl/>
        </w:rPr>
      </w:pPr>
      <w:r>
        <w:rPr>
          <w:rFonts w:hint="cs"/>
          <w:rtl/>
        </w:rPr>
        <w:t>3)[</w:t>
      </w:r>
      <w:r>
        <w:rPr>
          <w:rtl/>
        </w:rPr>
        <w:t>רמב</w:t>
      </w:r>
      <w:r w:rsidR="00213DA1">
        <w:rPr>
          <w:rtl/>
        </w:rPr>
        <w:t>”ם \נשים\</w:t>
      </w:r>
      <w:r>
        <w:rPr>
          <w:rtl/>
        </w:rPr>
        <w:t xml:space="preserve"> הלכות אישות פרק כ הלכה ט</w:t>
      </w:r>
      <w:r>
        <w:rPr>
          <w:rFonts w:hint="cs"/>
          <w:rtl/>
        </w:rPr>
        <w:t xml:space="preserve">] </w:t>
      </w:r>
      <w:r>
        <w:rPr>
          <w:rtl/>
        </w:rPr>
        <w:t>מי שמת והניח שתי בנות ובן וקדמה ראשונה ונטלה עישור נכסים ולא הספיקה השניה לגבות עד שמת הבן ונפלו כל הנכסים לשתיהן אין השניה נוטלת עישור אלא חולקות בשוה וזכת ראשונה בעישור שלה.</w:t>
      </w:r>
    </w:p>
    <w:p w14:paraId="434923EE" w14:textId="3E014E97" w:rsidR="003E0980" w:rsidRDefault="003E0980" w:rsidP="003E0980">
      <w:pPr>
        <w:pStyle w:val="Style1"/>
        <w:rPr>
          <w:rtl/>
        </w:rPr>
      </w:pPr>
      <w:r>
        <w:rPr>
          <w:rFonts w:hint="cs"/>
          <w:rtl/>
        </w:rPr>
        <w:t>3)[</w:t>
      </w:r>
      <w:r>
        <w:rPr>
          <w:rtl/>
        </w:rPr>
        <w:t>שולחן ערוך אבן העזר הלכות כתובות סימן קיג סעיף ח</w:t>
      </w:r>
      <w:r>
        <w:rPr>
          <w:rFonts w:hint="cs"/>
          <w:rtl/>
        </w:rPr>
        <w:t xml:space="preserve">] </w:t>
      </w:r>
      <w:r>
        <w:rPr>
          <w:rtl/>
        </w:rPr>
        <w:t>מי שמת והניח שתי בנות ובן, וקדמה ראשונה ונטלה עישור נכסים, ולא הספיקה השניה לגבות עד שמת הבן ונפלו כל הנכסים לשתיהן, אין השניה נוטלת עישור, אלא חולקות בשוה וזכתה הראשונה בעישור שלה. (ויש חולקין וסבירא להו דגם השניה נוטלת עישור שלה תחלה ואחר כך חולקין) (טור בשם הרא"ש).</w:t>
      </w:r>
    </w:p>
    <w:p w14:paraId="5330B917" w14:textId="28E723B9" w:rsidR="003E0980" w:rsidRDefault="003E0980" w:rsidP="003E0980">
      <w:pPr>
        <w:pStyle w:val="Style1"/>
        <w:rPr>
          <w:rtl/>
        </w:rPr>
      </w:pPr>
      <w:r>
        <w:rPr>
          <w:rFonts w:hint="cs"/>
          <w:rtl/>
        </w:rPr>
        <w:t>4)[</w:t>
      </w:r>
      <w:r>
        <w:rPr>
          <w:rtl/>
        </w:rPr>
        <w:t>רמב</w:t>
      </w:r>
      <w:r w:rsidR="00213DA1">
        <w:rPr>
          <w:rtl/>
        </w:rPr>
        <w:t>”ם \נשים\</w:t>
      </w:r>
      <w:r>
        <w:rPr>
          <w:rtl/>
        </w:rPr>
        <w:t xml:space="preserve"> הלכות אישות פרק כ הלכה ו</w:t>
      </w:r>
      <w:r>
        <w:rPr>
          <w:rFonts w:hint="cs"/>
          <w:rtl/>
        </w:rPr>
        <w:t xml:space="preserve">] </w:t>
      </w:r>
      <w:r>
        <w:rPr>
          <w:rtl/>
        </w:rPr>
        <w:t>הבת בעישור זה כבעל חוב של אחין היא לפיכך נוטלת אותו מן הבינונית בלא שבועה, ואם מתו האחין נוטלת אותו מבניהם מן הזיבורית ובשבועה, שהרי היא נפרעת מנכסי יתומים והבא ליפרע מנכסי יתומים לא יפרע אלא מן הזיבורית ובשבועה כמו שיתבאר בהלכות הלואה.</w:t>
      </w:r>
    </w:p>
    <w:p w14:paraId="0291B9C8" w14:textId="09E28191" w:rsidR="003E0980" w:rsidRPr="003E0980" w:rsidRDefault="003E0980" w:rsidP="003E0980">
      <w:pPr>
        <w:pStyle w:val="Style1"/>
      </w:pPr>
      <w:r>
        <w:rPr>
          <w:rFonts w:hint="cs"/>
          <w:rtl/>
        </w:rPr>
        <w:lastRenderedPageBreak/>
        <w:t>4)[</w:t>
      </w:r>
      <w:r>
        <w:rPr>
          <w:rtl/>
        </w:rPr>
        <w:t>שולחן ערוך אבן העזר הלכות כתובות סימן קיג סעיף ב</w:t>
      </w:r>
      <w:r>
        <w:rPr>
          <w:rFonts w:hint="cs"/>
          <w:rtl/>
        </w:rPr>
        <w:t xml:space="preserve">] </w:t>
      </w:r>
      <w:r w:rsidRPr="003E0980">
        <w:rPr>
          <w:rtl/>
        </w:rPr>
        <w:t>עישור זה לפרנסת נדוניא אינו מתנאי כתובה. לפיכך, אפילו לפי תקנת חכמים הראשונים והאחרונים אינה נוטלת אלא הקרקע. ויש לה לגבות עישור זה משכירות הקרקע </w:t>
      </w:r>
      <w:r w:rsidRPr="003E0980">
        <w:rPr>
          <w:rFonts w:hint="cs"/>
          <w:rtl/>
        </w:rPr>
        <w:t>אם לא גבו היתומים עדין (טור)</w:t>
      </w:r>
      <w:r w:rsidRPr="003E0980">
        <w:t xml:space="preserve">, </w:t>
      </w:r>
      <w:r w:rsidRPr="003E0980">
        <w:rPr>
          <w:rtl/>
        </w:rPr>
        <w:t>ומן הראוי. ואם רצו האחים ליתן לה מעות כנגד עישור הקרקע, נותנים</w:t>
      </w:r>
      <w:r w:rsidRPr="003E0980">
        <w:t>.</w:t>
      </w:r>
    </w:p>
    <w:p w14:paraId="2B90EA0D" w14:textId="4874D52F" w:rsidR="003E0980" w:rsidRDefault="003E0980" w:rsidP="003E0980">
      <w:pPr>
        <w:pStyle w:val="Style1"/>
        <w:rPr>
          <w:rtl/>
        </w:rPr>
      </w:pPr>
      <w:r w:rsidRPr="003E0980">
        <w:rPr>
          <w:rFonts w:hint="cs"/>
          <w:rtl/>
        </w:rPr>
        <w:t>הגה: ודוקא לגבות אינה נגבית רק ממקרקעי, אבל כששמין הנכסים לידע העישור שמין אף מטלטלין ומגבינן לה העישור ממקרקעי. ודוקא שנותנים לה עישור נכסים, אבל כשנוכל לאמד דעת האב נותנים לה לפי דעתו, כפי מה שהיה נותן לה הן מטלטלי הן מקרקעי, כך נותנים לה (הכל בטור). ויש אומרים דאף כששמין אין שמין אלא בקרקע (כן כתב הבית יוסף בשם המגיד משנה לדעת הרמב"ם). ואם היו כאן בעלי חובות, והבנים אומרים לסלק אותן בקרקעות, והבנות אומרות לסלק אותן במטלטלין כדי שישארו הקרקעות ליתומים ויטלו מהן עישור נכסים, הדין עם הבנים (מרדכי פרק מציאת האשה בשם תשובת מוהר"ם). ונראה לי, דהוא הדין לענין שטר חצי (חלק) זכר הנוהג בינינו, שאין הבנות נוטלות חלק בקרקעות, אם היו כאן בעלי חובות הרשות ביד הבנים לסלק אותן במטלטלין כדי שישארו להם הקרקעות ולא יהא לבנות חלק בהם. כשאומדים דעת האב, יש אומרים דוקא למעוטי לעישור נכסים, אבל לא להרבות עליהם (טור בשם הרא"ש). ויש אומרים דאפילו להוסיף עליהם (טור בשם הגאונים). ואפילו אין כאן אלא מה שנתן לבתו הראשונה, נותנים הכל לשניה (טור בשם הראב"ד). וראוי לאמדו כפי הממון שהניח בשעת מותו (מהרי"ק שרש ע"ח), כן נראה לי</w:t>
      </w:r>
      <w:r w:rsidRPr="003E0980">
        <w:t>:</w:t>
      </w:r>
    </w:p>
    <w:p w14:paraId="0AC45DD5" w14:textId="12326A1F" w:rsidR="00FA0114" w:rsidRDefault="008C5BF2" w:rsidP="00085177">
      <w:pPr>
        <w:pStyle w:val="Style1"/>
        <w:rPr>
          <w:rtl/>
        </w:rPr>
      </w:pPr>
      <w:r>
        <w:rPr>
          <w:rFonts w:hint="cs"/>
          <w:rtl/>
        </w:rPr>
        <w:t>5)[</w:t>
      </w:r>
      <w:r>
        <w:rPr>
          <w:rtl/>
        </w:rPr>
        <w:t>שולחן ערוך אבן העזר הלכות כתובות סימן קיג סעיף ג</w:t>
      </w:r>
      <w:r>
        <w:rPr>
          <w:rFonts w:hint="cs"/>
          <w:rtl/>
        </w:rPr>
        <w:t>]</w:t>
      </w:r>
      <w:r w:rsidR="00085177" w:rsidRPr="00085177">
        <w:rPr>
          <w:rFonts w:ascii="Arial" w:hAnsi="Arial"/>
          <w:color w:val="202122"/>
          <w:sz w:val="21"/>
          <w:szCs w:val="21"/>
          <w:shd w:val="clear" w:color="auto" w:fill="FFFFFF"/>
          <w:rtl/>
        </w:rPr>
        <w:t xml:space="preserve"> </w:t>
      </w:r>
      <w:r w:rsidR="00085177" w:rsidRPr="00085177">
        <w:rPr>
          <w:rtl/>
        </w:rPr>
        <w:t>הבת בעישור זה כבעל חוב של אחין היא. לפיכך, נוטלת אותו מן הבינונית בלא שבועה; ואם מתו האחים, נוטלת אותו מבניהם מזבורית ובשבועה, שהרי היא נפרעת מנכסי יתומים. ובזמן הזה שכל בני אדם רגילין להשיא בנותיהם מהמטלטלים, חשוב כמו אומדנה</w:t>
      </w:r>
      <w:r w:rsidR="00085177" w:rsidRPr="00085177">
        <w:t>:</w:t>
      </w:r>
      <w:r w:rsidR="00FA0114" w:rsidRPr="00085177">
        <w:t xml:space="preserve">: </w:t>
      </w:r>
    </w:p>
    <w:p w14:paraId="331DD305" w14:textId="5C93AFAE" w:rsidR="00D71AE2" w:rsidRPr="00085177" w:rsidRDefault="00D71AE2" w:rsidP="00D71AE2">
      <w:pPr>
        <w:pStyle w:val="Style1"/>
      </w:pPr>
      <w:r>
        <w:rPr>
          <w:rFonts w:hint="cs"/>
          <w:rtl/>
        </w:rPr>
        <w:t>6)[</w:t>
      </w:r>
      <w:r>
        <w:rPr>
          <w:rtl/>
        </w:rPr>
        <w:t>רמב</w:t>
      </w:r>
      <w:r w:rsidR="00213DA1">
        <w:rPr>
          <w:rtl/>
        </w:rPr>
        <w:t>”ם \נשים\</w:t>
      </w:r>
      <w:r>
        <w:rPr>
          <w:rtl/>
        </w:rPr>
        <w:t xml:space="preserve"> הלכות אישות פרק כ הלכה ה</w:t>
      </w:r>
      <w:r>
        <w:rPr>
          <w:rFonts w:hint="cs"/>
          <w:rtl/>
        </w:rPr>
        <w:t xml:space="preserve">] </w:t>
      </w:r>
      <w:r>
        <w:rPr>
          <w:rtl/>
        </w:rPr>
        <w:t>עישור זה שהוא לפרנסה אינו מתנאי כתובה לפיכך אפילו לתקנת אחרונים אינו ניטל אלא מן הקרקע, ויש לה לגבות עישור זה ג משכירות הקרקע, ואם רצו האחין ליתן לה מעות כנגד עישור הקרקע נותנין.</w:t>
      </w:r>
    </w:p>
    <w:p w14:paraId="2A506EC0" w14:textId="77777777" w:rsidR="00FA0114" w:rsidRPr="003E0980" w:rsidRDefault="00FA0114" w:rsidP="003E0980">
      <w:pPr>
        <w:pStyle w:val="Style1"/>
        <w:rPr>
          <w:rStyle w:val="Style1Char"/>
        </w:rPr>
      </w:pPr>
    </w:p>
    <w:p w14:paraId="6AB58255" w14:textId="77777777" w:rsidR="00FA0114" w:rsidRPr="003E0980" w:rsidRDefault="00FA0114" w:rsidP="003E0980">
      <w:pPr>
        <w:pStyle w:val="Style1"/>
        <w:rPr>
          <w:rStyle w:val="Style1Char"/>
        </w:rPr>
      </w:pPr>
    </w:p>
    <w:p w14:paraId="5055D4C3" w14:textId="77777777" w:rsidR="00FA0114" w:rsidRPr="003E0980" w:rsidRDefault="00FA0114" w:rsidP="003E0980">
      <w:pPr>
        <w:pStyle w:val="Style1"/>
        <w:rPr>
          <w:rStyle w:val="Style1Char"/>
          <w:rtl/>
        </w:rPr>
      </w:pPr>
      <w:r w:rsidRPr="003E0980">
        <w:rPr>
          <w:rStyle w:val="Style1Char"/>
          <w:rtl/>
        </w:rPr>
        <w:br w:type="page"/>
      </w:r>
    </w:p>
    <w:p w14:paraId="07D02D89" w14:textId="0CE53B5C" w:rsidR="00FA0114" w:rsidRPr="004D20E8" w:rsidRDefault="00FA0114" w:rsidP="00FA0114">
      <w:pPr>
        <w:bidi/>
        <w:rPr>
          <w:rStyle w:val="Style1Char"/>
          <w:color w:val="4472C4" w:themeColor="accent1"/>
        </w:rPr>
      </w:pPr>
      <w:r w:rsidRPr="001D5DD5">
        <w:rPr>
          <w:rStyle w:val="Style1Char"/>
          <w:color w:val="00B050"/>
          <w:sz w:val="22"/>
          <w:szCs w:val="22"/>
          <w:highlight w:val="yellow"/>
          <w:rtl/>
        </w:rPr>
        <w:lastRenderedPageBreak/>
        <w:t>[דף סט עמוד ב]</w:t>
      </w:r>
      <w:r w:rsidRPr="001D5DD5">
        <w:rPr>
          <w:rStyle w:val="Style1Char"/>
          <w:color w:val="00B050"/>
          <w:sz w:val="22"/>
          <w:szCs w:val="22"/>
          <w:rtl/>
        </w:rPr>
        <w:t xml:space="preserve"> </w:t>
      </w:r>
      <w:r w:rsidRPr="0058605C">
        <w:rPr>
          <w:rStyle w:val="Style1Char"/>
          <w:color w:val="00B050"/>
          <w:rtl/>
        </w:rPr>
        <w:t xml:space="preserve">גופא דעובדא היכי הוה, א"ל: הכי והכי הוה מעשה. אמר ליה: גברא דלא ידע מאי ניהו מרזיחא, שלח ליה לרב הונא הונא חברין? מאי מרזיחא? אבל, דכתיב: כה אמר ה' אל תבא בית מרזח וגו'. אמר ר' אבהו: </w:t>
      </w:r>
      <w:r w:rsidR="00655910">
        <w:rPr>
          <w:rStyle w:val="Style1Char"/>
          <w:rFonts w:hint="cs"/>
          <w:rtl/>
        </w:rPr>
        <w:t>(1)</w:t>
      </w:r>
      <w:r w:rsidRPr="0058605C">
        <w:rPr>
          <w:rStyle w:val="Style1Char"/>
          <w:color w:val="00B050"/>
          <w:rtl/>
        </w:rPr>
        <w:t xml:space="preserve">מנין לאבל שמיסב בראש? שנאמר אבחר דרכם ואשב ראש ואשכון כמלך בגדוד כאשר אבלים ינחם. ינחם אחרים משמע! אמר רב נחמן בר יצחק: ינחם כתיב. מר זוטרא אמר, מהכא: וסר מרזח סרוחים, מר וזח נעשה שר לסרוחים. </w:t>
      </w:r>
      <w:r w:rsidRPr="002E4198">
        <w:rPr>
          <w:rStyle w:val="Style1Char"/>
          <w:color w:val="auto"/>
          <w:sz w:val="22"/>
          <w:szCs w:val="22"/>
          <w:rtl/>
        </w:rPr>
        <w:t xml:space="preserve">אמר רבא, הלכתא: ממקרקעי ולא ממטלטלי, </w:t>
      </w:r>
      <w:r w:rsidR="00655910">
        <w:rPr>
          <w:rStyle w:val="Style1Char"/>
          <w:rFonts w:hint="cs"/>
          <w:rtl/>
        </w:rPr>
        <w:t>(2)</w:t>
      </w:r>
      <w:r w:rsidRPr="002E4198">
        <w:rPr>
          <w:rStyle w:val="Style1Char"/>
          <w:color w:val="auto"/>
          <w:sz w:val="22"/>
          <w:szCs w:val="22"/>
          <w:rtl/>
        </w:rPr>
        <w:t xml:space="preserve">בין למזוני, </w:t>
      </w:r>
      <w:r w:rsidR="00D76BAB">
        <w:rPr>
          <w:rStyle w:val="Style1Char"/>
          <w:rFonts w:hint="cs"/>
          <w:rtl/>
        </w:rPr>
        <w:t>(2.1, 3)</w:t>
      </w:r>
      <w:r w:rsidRPr="002E4198">
        <w:rPr>
          <w:rStyle w:val="Style1Char"/>
          <w:color w:val="auto"/>
          <w:sz w:val="22"/>
          <w:szCs w:val="22"/>
          <w:rtl/>
        </w:rPr>
        <w:t xml:space="preserve">בין לכתובה, </w:t>
      </w:r>
      <w:r w:rsidR="00AB3C46">
        <w:rPr>
          <w:rStyle w:val="Style1Char"/>
          <w:rFonts w:hint="cs"/>
          <w:rtl/>
        </w:rPr>
        <w:t>(4)</w:t>
      </w:r>
      <w:r w:rsidRPr="002E4198">
        <w:rPr>
          <w:rStyle w:val="Style1Char"/>
          <w:color w:val="auto"/>
          <w:sz w:val="22"/>
          <w:szCs w:val="22"/>
          <w:rtl/>
        </w:rPr>
        <w:t>בין לפרנסה</w:t>
      </w:r>
      <w:r w:rsidRPr="002E4198">
        <w:rPr>
          <w:rStyle w:val="Style1Char"/>
          <w:color w:val="auto"/>
          <w:rtl/>
        </w:rPr>
        <w:t xml:space="preserve"> </w:t>
      </w:r>
      <w:r w:rsidRPr="002E4198">
        <w:rPr>
          <w:rStyle w:val="Style1Char"/>
          <w:color w:val="806000" w:themeColor="accent4" w:themeShade="80"/>
          <w:sz w:val="22"/>
          <w:szCs w:val="22"/>
          <w:rtl/>
        </w:rPr>
        <w:t xml:space="preserve">והאידנא תקינו רבנן דמתיבתא למגבה כתובה אפילו ממטלטלי הילכך מזוני נמי אפילו ממטלטלי דקי"ל תנאי כתובה ככתובה אבל פרנסה דליתא בתנאי כתובה כדקיימא קיימא:. </w:t>
      </w:r>
      <w:r w:rsidRPr="004D20E8">
        <w:rPr>
          <w:rStyle w:val="Style1Char"/>
          <w:color w:val="4472C4" w:themeColor="accent1"/>
          <w:rtl/>
        </w:rPr>
        <w:t>אף</w:t>
      </w:r>
      <w:r>
        <w:rPr>
          <w:rStyle w:val="Style1Char"/>
          <w:rFonts w:hint="cs"/>
          <w:color w:val="4472C4" w:themeColor="accent1"/>
        </w:rPr>
        <w:t>‍</w:t>
      </w:r>
      <w:r w:rsidRPr="004D20E8">
        <w:rPr>
          <w:rStyle w:val="Style1Char"/>
          <w:color w:val="4472C4" w:themeColor="accent1"/>
          <w:rtl/>
        </w:rPr>
        <w:t xml:space="preserve"> ע"ג דלעיל בשמעתין אמרי' דלרבי כיון דמזוני גביא ממטלטלי כל שכן פרנסה התם לענין דינא קאמר אבל האידנא דלא גביא ממטלטלי</w:t>
      </w:r>
      <w:r>
        <w:rPr>
          <w:rStyle w:val="Style1Char"/>
          <w:rFonts w:hint="cs"/>
          <w:color w:val="4472C4" w:themeColor="accent1"/>
        </w:rPr>
        <w:t>‍</w:t>
      </w:r>
      <w:r w:rsidRPr="004D20E8">
        <w:rPr>
          <w:rStyle w:val="Style1Char"/>
          <w:color w:val="4472C4" w:themeColor="accent1"/>
          <w:rtl/>
        </w:rPr>
        <w:t xml:space="preserve"> אלא בתקנת הגאונים במאי דתקון תקון ובמאי דלא תקון לא תקון אבל היכא דהשיא האב את בתו בחייו ונתן לה ממטלטלי</w:t>
      </w:r>
      <w:r>
        <w:rPr>
          <w:rStyle w:val="Style1Char"/>
          <w:rFonts w:hint="cs"/>
          <w:color w:val="4472C4" w:themeColor="accent1"/>
        </w:rPr>
        <w:t>‍</w:t>
      </w:r>
      <w:r w:rsidRPr="004D20E8">
        <w:rPr>
          <w:rStyle w:val="Style1Char"/>
          <w:color w:val="4472C4" w:themeColor="accent1"/>
          <w:rtl/>
        </w:rPr>
        <w:t xml:space="preserve"> אזלינן בתר אומדן דעתיה ויהבינן נמי להאי ממטלטלי והא דאמרי' פרנסה ממקרקעי לא בעי למימר שתטול רק עישור מן הקרקעות אלא עישור כל נכסים היא נוטלת שכן דרכן של בני אדם שנותנין נדוניא לבנותייהו לפי עשרן הן ממקרקעי הן ממטלטלי אלא שחוב זה אינה גובה אלא ממקרקעי</w:t>
      </w:r>
      <w:r>
        <w:rPr>
          <w:rStyle w:val="Style1Char"/>
          <w:rFonts w:hint="cs"/>
          <w:color w:val="4472C4" w:themeColor="accent1"/>
        </w:rPr>
        <w:t>‍</w:t>
      </w:r>
      <w:r w:rsidRPr="004D20E8">
        <w:rPr>
          <w:rStyle w:val="Style1Char"/>
          <w:color w:val="4472C4" w:themeColor="accent1"/>
          <w:rtl/>
        </w:rPr>
        <w:t xml:space="preserve"> דומיא דגביית כתובה ומזוני</w:t>
      </w:r>
      <w:r w:rsidRPr="004D20E8">
        <w:rPr>
          <w:rStyle w:val="Style1Char"/>
          <w:color w:val="4472C4" w:themeColor="accent1"/>
        </w:rPr>
        <w:t>:</w:t>
      </w:r>
    </w:p>
    <w:p w14:paraId="586F9B70" w14:textId="77777777" w:rsidR="00FA0114" w:rsidRPr="0016235A" w:rsidRDefault="00FA0114" w:rsidP="00FA0114">
      <w:pPr>
        <w:bidi/>
        <w:rPr>
          <w:rStyle w:val="Style1Char"/>
          <w:color w:val="auto"/>
          <w:sz w:val="22"/>
          <w:szCs w:val="22"/>
        </w:rPr>
      </w:pPr>
      <w:r w:rsidRPr="0016235A">
        <w:rPr>
          <w:rStyle w:val="Style1Char"/>
          <w:color w:val="auto"/>
          <w:sz w:val="22"/>
          <w:szCs w:val="22"/>
          <w:rtl/>
        </w:rPr>
        <w:t xml:space="preserve">מתני'. המשליש מעות לבתו, והיא אומרת נאמן בעלי עלי, יעשה השליש מה שהושלש בידו, דברי רבי מאיר; רבי יוסי אומר: וכי אינה אלא שדה והיא רוצה למוכרה, הרי היא מכורה מעכשיו. בד"א - בגדולה, אבל בקטנה - אין מעשה קטנה כלום. </w:t>
      </w:r>
    </w:p>
    <w:p w14:paraId="4CAAFA25" w14:textId="51557CB9" w:rsidR="00FA0114" w:rsidRPr="004D20E8" w:rsidRDefault="00FA0114" w:rsidP="00FA0114">
      <w:pPr>
        <w:bidi/>
        <w:rPr>
          <w:rStyle w:val="Style1Char"/>
          <w:color w:val="4472C4" w:themeColor="accent1"/>
        </w:rPr>
      </w:pPr>
      <w:r w:rsidRPr="00542E92">
        <w:rPr>
          <w:rStyle w:val="Style1Char"/>
          <w:color w:val="auto"/>
          <w:sz w:val="22"/>
          <w:szCs w:val="22"/>
          <w:rtl/>
        </w:rPr>
        <w:t>גמ'. ת"ר: המשליש מעות לחתנו ליקח מהן שדה לבתו, והיא אומרת ינתנו לבעלי, מן הנשואין - הרשות בידה, מן האירוסין - יעשה השליש מה שהושלש בידו, דברי רבי מאיר; רבי יוסי אומר: הגדולה, בין מן הנשואין ובין מן האירוסין - הרשות בידה, קטנה, בין מן הנשואין בין מן האירוסין - יעשה השליש מה שהושלש בידו. מאי בינייהו?</w:t>
      </w:r>
      <w:r w:rsidRPr="00542E92">
        <w:rPr>
          <w:rStyle w:val="Style1Char"/>
          <w:color w:val="auto"/>
          <w:rtl/>
        </w:rPr>
        <w:t xml:space="preserve"> </w:t>
      </w:r>
      <w:r w:rsidRPr="0058605C">
        <w:rPr>
          <w:rStyle w:val="Style1Char"/>
          <w:color w:val="00B050"/>
          <w:rtl/>
        </w:rPr>
        <w:t xml:space="preserve">אילימא קטנה מן הנשואין איכא בינייהו, דרבי מאיר סבר הרשות בידה, ואתא רבי יוסי למימר: אפילו מן הנשואין נמי, גדולה אין, קטנה לא, אימא סיפא: אבל בקטנה - אין מעשה קטנה כלום, הא מאן קתני לה? אילימא רבי יוסי, הא מרישא שמעת מינה, דאמר רבי יוסי: וכי אינה אלא שדה והיא רוצה למוכרה, הרי היא מכורה מעכשיו, גדולה דבת זביני - אין, קטנה דלאו בת זביני היא - לא! אלא רבי מאיר היא, וחסורי מיחסרא והכי קתני: יעשה השליש מה שהושלש בידו; </w:t>
      </w:r>
      <w:r w:rsidR="005D50F1">
        <w:rPr>
          <w:rStyle w:val="Style1Char"/>
          <w:rFonts w:hint="cs"/>
          <w:rtl/>
        </w:rPr>
        <w:t>(5)</w:t>
      </w:r>
      <w:r w:rsidRPr="0058605C">
        <w:rPr>
          <w:rStyle w:val="Style1Char"/>
          <w:color w:val="00B050"/>
          <w:rtl/>
        </w:rPr>
        <w:t xml:space="preserve">במה דברים אמורים - מן האירוסין, אבל מן הנשואין - הרשות בידה; </w:t>
      </w:r>
      <w:r w:rsidR="00B75AC7">
        <w:rPr>
          <w:rStyle w:val="Style1Char"/>
          <w:rFonts w:hint="cs"/>
          <w:rtl/>
        </w:rPr>
        <w:t>(5)</w:t>
      </w:r>
      <w:r w:rsidRPr="0058605C">
        <w:rPr>
          <w:rStyle w:val="Style1Char"/>
          <w:color w:val="00B050"/>
          <w:rtl/>
        </w:rPr>
        <w:t xml:space="preserve">במה דברים אמורים - בגדולה, אבל בקטנה - אין מעשה קטנה כלום! אלא </w:t>
      </w:r>
      <w:r w:rsidRPr="00C74430">
        <w:rPr>
          <w:rStyle w:val="Style1Char"/>
          <w:color w:val="auto"/>
          <w:sz w:val="22"/>
          <w:szCs w:val="22"/>
          <w:rtl/>
        </w:rPr>
        <w:t xml:space="preserve">גדולה מן האירוסין </w:t>
      </w:r>
      <w:r w:rsidRPr="00233A73">
        <w:rPr>
          <w:rStyle w:val="Style1Char"/>
          <w:sz w:val="22"/>
          <w:szCs w:val="22"/>
          <w:rtl/>
        </w:rPr>
        <w:t>איכא בינייהו</w:t>
      </w:r>
      <w:r w:rsidRPr="00231F56">
        <w:rPr>
          <w:rStyle w:val="Style1Char"/>
          <w:color w:val="C00000"/>
          <w:rtl/>
        </w:rPr>
        <w:t xml:space="preserve"> </w:t>
      </w:r>
      <w:r w:rsidRPr="00C74430">
        <w:rPr>
          <w:rStyle w:val="Style1Char"/>
          <w:color w:val="806000" w:themeColor="accent4" w:themeShade="80"/>
          <w:sz w:val="22"/>
          <w:szCs w:val="22"/>
          <w:rtl/>
        </w:rPr>
        <w:t xml:space="preserve">דרבי מאיר סבר אף על גב דגדולה היא מצוה לקיים דברי המת לפיכך יעשה שליש מה שהושלש בידו ור' יוסי סבר כיון דגדולה היא הרשות בידה והאי דקתני במתני' בד"א </w:t>
      </w:r>
      <w:r w:rsidRPr="009339D3">
        <w:rPr>
          <w:rStyle w:val="Style1Char"/>
          <w:color w:val="4472C4" w:themeColor="accent1"/>
          <w:sz w:val="22"/>
          <w:szCs w:val="22"/>
          <w:rtl/>
        </w:rPr>
        <w:t xml:space="preserve">בגדולה </w:t>
      </w:r>
      <w:r w:rsidRPr="00C74430">
        <w:rPr>
          <w:rStyle w:val="Style1Char"/>
          <w:color w:val="806000" w:themeColor="accent4" w:themeShade="80"/>
          <w:sz w:val="22"/>
          <w:szCs w:val="22"/>
          <w:rtl/>
        </w:rPr>
        <w:t>ר"מ היא וחסורי מיחסרא והכי קתני יעשה שליש מה שהושלש בידו דברי ר"מ בד"א מן האירוסין אבל מן הנשואין הרשות בידה בד"א בגדולה אבל בקטנה אין מעשה קטנה כלום</w:t>
      </w:r>
      <w:r w:rsidRPr="00C74430">
        <w:rPr>
          <w:rStyle w:val="Style1Char"/>
          <w:sz w:val="22"/>
          <w:szCs w:val="22"/>
          <w:rtl/>
        </w:rPr>
        <w:t>.</w:t>
      </w:r>
      <w:r w:rsidRPr="00233A73">
        <w:rPr>
          <w:rStyle w:val="Style1Char"/>
          <w:sz w:val="22"/>
          <w:szCs w:val="22"/>
          <w:rtl/>
        </w:rPr>
        <w:t xml:space="preserve"> </w:t>
      </w:r>
      <w:r w:rsidRPr="00C5164B">
        <w:rPr>
          <w:rStyle w:val="Style1Char"/>
          <w:color w:val="auto"/>
          <w:sz w:val="22"/>
          <w:szCs w:val="22"/>
          <w:rtl/>
        </w:rPr>
        <w:t xml:space="preserve">איתמר, רב יהודה אמר שמואל: הלכה כרבי יוסי. רבא אמר רב נחמן: </w:t>
      </w:r>
      <w:r w:rsidR="00DC0A30">
        <w:rPr>
          <w:rStyle w:val="Style1Char"/>
          <w:rFonts w:hint="cs"/>
          <w:rtl/>
        </w:rPr>
        <w:t>(5)</w:t>
      </w:r>
      <w:r w:rsidRPr="00C5164B">
        <w:rPr>
          <w:rStyle w:val="Style1Char"/>
          <w:color w:val="auto"/>
          <w:sz w:val="22"/>
          <w:szCs w:val="22"/>
          <w:rtl/>
        </w:rPr>
        <w:t>הלכה כרבי מאיר</w:t>
      </w:r>
      <w:r w:rsidRPr="00C5164B">
        <w:rPr>
          <w:rStyle w:val="Style1Char"/>
          <w:color w:val="C00000"/>
          <w:sz w:val="22"/>
          <w:szCs w:val="22"/>
          <w:rtl/>
        </w:rPr>
        <w:t xml:space="preserve"> </w:t>
      </w:r>
      <w:r w:rsidRPr="00C5164B">
        <w:rPr>
          <w:rStyle w:val="Style1Char"/>
          <w:color w:val="806000" w:themeColor="accent4" w:themeShade="80"/>
          <w:sz w:val="22"/>
          <w:szCs w:val="22"/>
          <w:rtl/>
        </w:rPr>
        <w:t>וקי"ל כרב נחמן בדיני</w:t>
      </w:r>
      <w:r w:rsidRPr="00376EDC">
        <w:rPr>
          <w:rStyle w:val="Style1Char"/>
          <w:color w:val="4472C4" w:themeColor="accent1"/>
          <w:rtl/>
        </w:rPr>
        <w:t xml:space="preserve"> </w:t>
      </w:r>
      <w:r w:rsidRPr="004D20E8">
        <w:rPr>
          <w:rStyle w:val="Style1Char"/>
          <w:color w:val="4472C4" w:themeColor="accent1"/>
          <w:rtl/>
        </w:rPr>
        <w:t xml:space="preserve">ואפי' בבריא קי"ל הכי כדמוכח בגיטין בשילהי פ"ק (דף טו א) א"ר יוסף הלכה כר' שמעון הנשיא. והא דקי"ל דברי שכ"מ ככתובין וכמסורין דמו רב יוסף מוקי לה בבריא והא קיימא לן מצוה לקיים דברי המת תני יחזיר למשלח וא"ת מנ"מ דאמרי' מתנת שכ"מ ככתובין וכמסורין דמו תיפוק ליה משום מצוה לקיים דברי המת ועוד הא דאמרי, (ב"ב דף קנא ב) מתנת שכ"מ במקצת בעיא קנין אפילו במת דומיא דמתנת שכיב מרע בכוליה דלא בעי קנין דאיירי במת </w:t>
      </w:r>
      <w:r>
        <w:rPr>
          <w:rStyle w:val="Style1Char"/>
          <w:rFonts w:hint="cs"/>
          <w:color w:val="4472C4" w:themeColor="accent1"/>
        </w:rPr>
        <w:t>‍</w:t>
      </w:r>
      <w:r w:rsidRPr="004D20E8">
        <w:rPr>
          <w:rStyle w:val="Style1Char"/>
          <w:color w:val="4472C4" w:themeColor="accent1"/>
          <w:rtl/>
        </w:rPr>
        <w:t>דהא קי"ל דאם עמד חוזר ואמאי בעי קנין מי גרע מבריא דלא בעי קנין. תירץ ר"ת דלא אמרי' מצוה לקיים דברי המת אלא היכא דהוה ביד שליש כי הך דמתני' ודהולך מנה לפלוני בגיטין (דף יד א) וההיא דאמר תנו שקל לבני איירי נמי שהיו המעות ביד שליש וכיון שיצא מרשות נותן בשעת מיתה ובאו ליד שליש יש לו לקיים דברי המת והא דאמרי' בגיטין (דף מ א) פלונית שפחתי עשתה לי קורת רוח יעשה לה קורת רוח כופין את היורשין ועושין לה קורת רוח משום מצוה לקיים דברי המת ופרש"י שאם אין לה קורת רוח אלא בשיחרור צריכין לשחרר אותה התם נמי כביד שליש דמי לפי שהיא מוחזקת בגופה והביא ראיה מהא דתנן בפ"ק דגיטין (דף יג א) האומר תנו מנה לפלוני ומת יתנו לו לאחר מיתה ואמרי' עלה בגמרא והוא שצבורין ומונחין בקרן זוית ופריך במאי עסקינן אי בבריא כי צבורין מאי הוי הא לא משך ומאי פריך הא קיימא לן מצוה לקיים דברי המת ואדרבה הוה ליה לאקשויי מאי איריא צבורין אפילו כי אינן צבורין נמי כדפריך בתר הכי גבי שכיב מרע אלא ש"מ דלא אמרי' מצוה לקיים דברי המת אא"כ ביד שליש</w:t>
      </w:r>
      <w:r>
        <w:rPr>
          <w:rStyle w:val="Style1Char"/>
          <w:rFonts w:hint="cs"/>
          <w:color w:val="4472C4" w:themeColor="accent1"/>
        </w:rPr>
        <w:t>‍</w:t>
      </w:r>
      <w:r w:rsidRPr="004D20E8">
        <w:rPr>
          <w:rStyle w:val="Style1Char"/>
          <w:color w:val="4472C4" w:themeColor="accent1"/>
          <w:rtl/>
        </w:rPr>
        <w:t xml:space="preserve"> וגם נתן מתחילה לשם כך שיתנם לזה אבל אם לאחר הצואה בא לידו או אם היה בידו כבר לא אמרי' מצוה לקיים דברי המת </w:t>
      </w:r>
      <w:r>
        <w:rPr>
          <w:rStyle w:val="Style1Char"/>
          <w:rFonts w:hint="cs"/>
          <w:color w:val="4472C4" w:themeColor="accent1"/>
        </w:rPr>
        <w:t>‍‍</w:t>
      </w:r>
      <w:r w:rsidRPr="004D20E8">
        <w:rPr>
          <w:rStyle w:val="Style1Char"/>
          <w:color w:val="4472C4" w:themeColor="accent1"/>
          <w:rtl/>
        </w:rPr>
        <w:t>והשתא ניחא ההיא דאיסור גיורא (ב"ב דף קמט א) דהוה ליה ארבע מאה זוזי ביד רבא אמר רבא היכי ליקנינהו רב מרי וכו' ואמאי לא קני להו משום מצוה לקיים דברי המת אלא ודאי משום שהיו כבר מופקדים ביד רבא ולא נתנם לו איסור גיורא לתתם לרב מרי בנו</w:t>
      </w:r>
      <w:r w:rsidRPr="004D20E8">
        <w:rPr>
          <w:rStyle w:val="Style1Char"/>
          <w:color w:val="4472C4" w:themeColor="accent1"/>
        </w:rPr>
        <w:t>:</w:t>
      </w:r>
    </w:p>
    <w:p w14:paraId="564B2AD7" w14:textId="7FB359FA" w:rsidR="00FA0114" w:rsidRDefault="00FA0114" w:rsidP="00FA0114">
      <w:pPr>
        <w:bidi/>
        <w:rPr>
          <w:rStyle w:val="Style1Char"/>
          <w:color w:val="00B050"/>
          <w:rtl/>
        </w:rPr>
      </w:pPr>
      <w:r w:rsidRPr="0058605C">
        <w:rPr>
          <w:rStyle w:val="Style1Char"/>
          <w:color w:val="00B050"/>
          <w:rtl/>
        </w:rPr>
        <w:t>. אילפא תלא נפשיה באיסקריא דמכותא, אמר: איכא דאתי דאמר לי מילתא דבי רבי חייא ורבי אושעיא ולא פשיטנא ליה ממתניתין, נפילא מאסקריא וטבענא! אתא ההוא סבא תנא ליה</w:t>
      </w:r>
      <w:r w:rsidRPr="00751CC9">
        <w:rPr>
          <w:rStyle w:val="Style1Char"/>
          <w:color w:val="C00000"/>
          <w:rtl/>
        </w:rPr>
        <w:t xml:space="preserve"> </w:t>
      </w:r>
      <w:r w:rsidRPr="001267B3">
        <w:rPr>
          <w:rStyle w:val="Style1Char"/>
          <w:color w:val="806000" w:themeColor="accent4" w:themeShade="80"/>
          <w:sz w:val="22"/>
          <w:szCs w:val="22"/>
          <w:rtl/>
        </w:rPr>
        <w:t>תניא</w:t>
      </w:r>
      <w:r w:rsidRPr="0058605C">
        <w:rPr>
          <w:rStyle w:val="Style1Char"/>
          <w:color w:val="00B050"/>
          <w:rtl/>
        </w:rPr>
        <w:t xml:space="preserve">: </w:t>
      </w:r>
      <w:r w:rsidRPr="001267B3">
        <w:rPr>
          <w:rStyle w:val="Style1Char"/>
          <w:color w:val="000000" w:themeColor="text1"/>
          <w:sz w:val="22"/>
          <w:szCs w:val="22"/>
          <w:rtl/>
        </w:rPr>
        <w:t xml:space="preserve">האומר תנו שקל לבני בשבת, וראוין ליתן להם סלע - נותנין להם סלע, ואם אמר אל תתנו להם אלא שקל - אין נותנין להם אלא שקל, </w:t>
      </w:r>
      <w:r w:rsidR="00DC0A30">
        <w:rPr>
          <w:rStyle w:val="Style1Char"/>
          <w:rFonts w:hint="cs"/>
          <w:rtl/>
        </w:rPr>
        <w:t>(6)</w:t>
      </w:r>
      <w:r w:rsidRPr="001267B3">
        <w:rPr>
          <w:rStyle w:val="Style1Char"/>
          <w:color w:val="000000" w:themeColor="text1"/>
          <w:sz w:val="22"/>
          <w:szCs w:val="22"/>
          <w:rtl/>
        </w:rPr>
        <w:t xml:space="preserve">ואם אמר אם מתו יירשו אחרים תחתיהם, בין שאמר תנו בין שאמר אל תתנו - אין נותנים להם אלא שקל; </w:t>
      </w:r>
      <w:r w:rsidRPr="0058605C">
        <w:rPr>
          <w:rStyle w:val="Style1Char"/>
          <w:color w:val="00B050"/>
          <w:rtl/>
        </w:rPr>
        <w:t xml:space="preserve">אמר ליה: הא מני? </w:t>
      </w:r>
    </w:p>
    <w:p w14:paraId="5F4BACE9" w14:textId="4FA9D59C" w:rsidR="005537A2" w:rsidRDefault="005537A2" w:rsidP="005537A2">
      <w:pPr>
        <w:pStyle w:val="Style1"/>
        <w:rPr>
          <w:rStyle w:val="Style1Char"/>
          <w:rtl/>
        </w:rPr>
      </w:pPr>
      <w:r>
        <w:rPr>
          <w:rStyle w:val="Style1Char"/>
          <w:rFonts w:hint="cs"/>
          <w:rtl/>
        </w:rPr>
        <w:t>1)[</w:t>
      </w:r>
      <w:r w:rsidRPr="005537A2">
        <w:rPr>
          <w:rStyle w:val="Style1Char"/>
          <w:rtl/>
        </w:rPr>
        <w:t>רמב</w:t>
      </w:r>
      <w:r w:rsidR="00213DA1">
        <w:rPr>
          <w:rStyle w:val="Style1Char"/>
          <w:rtl/>
        </w:rPr>
        <w:t>”ם \שופטים\</w:t>
      </w:r>
      <w:r w:rsidRPr="005537A2">
        <w:rPr>
          <w:rStyle w:val="Style1Char"/>
          <w:rtl/>
        </w:rPr>
        <w:t xml:space="preserve"> הלכות אבל פרק יג הלכה ג</w:t>
      </w:r>
      <w:r>
        <w:rPr>
          <w:rStyle w:val="Style1Char"/>
          <w:rFonts w:hint="cs"/>
          <w:rtl/>
        </w:rPr>
        <w:t xml:space="preserve">] </w:t>
      </w:r>
      <w:r w:rsidRPr="005537A2">
        <w:rPr>
          <w:rStyle w:val="Style1Char"/>
          <w:rtl/>
        </w:rPr>
        <w:t>האבל מיסב בראש, ואין המנחמין רשאין לישב אלא על גבי קרקע, שנאמר וישבו אתו לארץ, ואין רשאין לומר דבר עד שיפתח האבל את פיו תחלה, שנאמר ואין דובר אליו דבר, וכתיב אחרי כן פתח איוב את פיהו וגו' ויען אליפז, וכיון שנענע בראשו שוב אין המנחמין רשאין לישב אצלו, שלא יטריחוהו יותר מדאי.</w:t>
      </w:r>
    </w:p>
    <w:p w14:paraId="38A59BD1" w14:textId="5122F8EF" w:rsidR="0094621D" w:rsidRDefault="0094621D" w:rsidP="0094621D">
      <w:pPr>
        <w:pStyle w:val="Style1"/>
        <w:rPr>
          <w:rStyle w:val="Style1Char"/>
          <w:rtl/>
        </w:rPr>
      </w:pPr>
      <w:r>
        <w:rPr>
          <w:rStyle w:val="Style1Char"/>
          <w:rFonts w:hint="cs"/>
          <w:rtl/>
        </w:rPr>
        <w:t>1)[</w:t>
      </w:r>
      <w:r w:rsidRPr="0094621D">
        <w:rPr>
          <w:rStyle w:val="Style1Char"/>
          <w:rtl/>
        </w:rPr>
        <w:t>שולחן ערוך יורה דעה הלכות אבילות סימן שעו סעיף א</w:t>
      </w:r>
      <w:r>
        <w:rPr>
          <w:rStyle w:val="Style1Char"/>
          <w:rFonts w:hint="cs"/>
          <w:rtl/>
        </w:rPr>
        <w:t xml:space="preserve">] </w:t>
      </w:r>
      <w:r w:rsidRPr="0094621D">
        <w:rPr>
          <w:rStyle w:val="Style1Char"/>
          <w:rtl/>
        </w:rPr>
        <w:t>אין המנחמים רשאים לפתוח, עד שיפתח האבל תחלה. והאבל מיסב בראש, וכיון שנענע האבל בראשו, בענין שנראה שפוטר את המנחמים, אינם רשאים לישב אצלו. (אין אבל או חולה חייבים לעמוד, אפילו מפני נשיא) (פ' א"מ).</w:t>
      </w:r>
    </w:p>
    <w:p w14:paraId="45B4D1B9" w14:textId="0874254E" w:rsidR="00AB3C46" w:rsidRDefault="00AB3C46" w:rsidP="00AB3C46">
      <w:pPr>
        <w:pStyle w:val="Style1"/>
        <w:rPr>
          <w:rStyle w:val="Style1Char"/>
          <w:rtl/>
        </w:rPr>
      </w:pPr>
      <w:r>
        <w:rPr>
          <w:rStyle w:val="Style1Char"/>
          <w:rFonts w:hint="cs"/>
          <w:rtl/>
        </w:rPr>
        <w:t>2)[</w:t>
      </w:r>
      <w:r w:rsidRPr="00AB3C46">
        <w:rPr>
          <w:rStyle w:val="Style1Char"/>
          <w:rtl/>
        </w:rPr>
        <w:t>רמב</w:t>
      </w:r>
      <w:r w:rsidR="00213DA1">
        <w:rPr>
          <w:rStyle w:val="Style1Char"/>
          <w:rtl/>
        </w:rPr>
        <w:t>”ם \נשים\</w:t>
      </w:r>
      <w:r w:rsidRPr="00AB3C46">
        <w:rPr>
          <w:rStyle w:val="Style1Char"/>
          <w:rtl/>
        </w:rPr>
        <w:t xml:space="preserve"> הלכות אישות פרק טז הלכה ז</w:t>
      </w:r>
      <w:r>
        <w:rPr>
          <w:rStyle w:val="Style1Char"/>
          <w:rFonts w:hint="cs"/>
          <w:rtl/>
        </w:rPr>
        <w:t xml:space="preserve">] </w:t>
      </w:r>
      <w:r w:rsidRPr="00AB3C46">
        <w:rPr>
          <w:rStyle w:val="Style1Char"/>
          <w:rtl/>
        </w:rPr>
        <w:t>תקנו הגאונים בכל הישיבות שתהיה האשה גובה כתובתה אחרי מות בעלה אף מן המטלטלין כדרך שהתקינו לבעל חוב לגבות מן המטלטלין, ופשטה תקנה זו ברוב ישראל, וכן שאר תנאי כתובה כולן ככתובה הן וישנן במטלטלין כבקרקע, חוץ מכתובת בנין דכרין שלא מצאנו מנהג ירושתה פשוט בכל הישיבות, לפיכך אני אומר מעמידין אותה על דין התלמוד שאין יורשין כתובת אמן אלא מן הקרקע.</w:t>
      </w:r>
    </w:p>
    <w:p w14:paraId="0AF184DD" w14:textId="519A17FE" w:rsidR="007A03AB" w:rsidRDefault="007A03AB" w:rsidP="007A03AB">
      <w:pPr>
        <w:pStyle w:val="Style1"/>
        <w:rPr>
          <w:rStyle w:val="Style1Char"/>
          <w:rtl/>
        </w:rPr>
      </w:pPr>
      <w:r>
        <w:rPr>
          <w:rStyle w:val="Style1Char"/>
          <w:rFonts w:hint="cs"/>
          <w:rtl/>
        </w:rPr>
        <w:t>2)[</w:t>
      </w:r>
      <w:r w:rsidRPr="007A03AB">
        <w:rPr>
          <w:rStyle w:val="Style1Char"/>
          <w:rtl/>
        </w:rPr>
        <w:t>שולחן ערוך אבן העזר הלכות כתובות סימן קיב סעיף ז</w:t>
      </w:r>
      <w:r>
        <w:rPr>
          <w:rStyle w:val="Style1Char"/>
          <w:rFonts w:hint="cs"/>
          <w:rtl/>
        </w:rPr>
        <w:t xml:space="preserve">] </w:t>
      </w:r>
      <w:r w:rsidRPr="007A03AB">
        <w:rPr>
          <w:rStyle w:val="Style1Char"/>
          <w:rtl/>
        </w:rPr>
        <w:t>עכשיו שכתובה נגבית אפילו ממטלטלים, גם הבנות נזונות מהם. ואינם ניזונות אלא מבני חרי, אבל לא ממשעבדי, כגון אם מכר האב או נתן האב במתנת בריא או אם הבנים אחר מיתת אביהם מכרו או משכנו או נתנו, אינן נזונות מהן.</w:t>
      </w:r>
    </w:p>
    <w:p w14:paraId="3A4014C7" w14:textId="11FDF095" w:rsidR="00E13D2B" w:rsidRPr="00A50C6B" w:rsidRDefault="00E13D2B" w:rsidP="00E13D2B">
      <w:pPr>
        <w:pStyle w:val="Style1"/>
      </w:pPr>
      <w:r>
        <w:rPr>
          <w:rStyle w:val="Style1Char"/>
          <w:rFonts w:hint="cs"/>
          <w:rtl/>
        </w:rPr>
        <w:t>3)[</w:t>
      </w:r>
      <w:r w:rsidRPr="00277FCB">
        <w:rPr>
          <w:rStyle w:val="Style1Char"/>
          <w:rtl/>
        </w:rPr>
        <w:t>שולחן ערוך אבן העזר הלכות כתובות סימן ק סעיף א</w:t>
      </w:r>
      <w:r>
        <w:rPr>
          <w:rStyle w:val="Style1Char"/>
          <w:rFonts w:hint="cs"/>
          <w:rtl/>
        </w:rPr>
        <w:t xml:space="preserve">] </w:t>
      </w:r>
      <w:r w:rsidRPr="00A50C6B">
        <w:rPr>
          <w:rtl/>
        </w:rPr>
        <w:t>מדינא דגמרא, הכתובה, דהינו עיקר כתובה ותוספת, אינם נגבים אלא מן הקרקע. ומתקנת הגאונים נגבים אף מן המטלטלים. והוא הדין לכל תנאיה, חוץ מכתובת בנין דכרין. לפיכך, אם גבו היורשים מעות בחובת אביהם, גובה מהם</w:t>
      </w:r>
      <w:r w:rsidRPr="00A50C6B">
        <w:t>. </w:t>
      </w:r>
      <w:r w:rsidRPr="00A50C6B">
        <w:rPr>
          <w:rFonts w:hint="cs"/>
          <w:rtl/>
        </w:rPr>
        <w:t>ומיהו, רשות ביד היורשים לסלקה בקרקע (הגהות אלפסי פרק הכותב)</w:t>
      </w:r>
      <w:r w:rsidRPr="00A50C6B">
        <w:t>.</w:t>
      </w:r>
    </w:p>
    <w:p w14:paraId="4769EE8F" w14:textId="77777777" w:rsidR="00E13D2B" w:rsidRPr="00A50C6B" w:rsidRDefault="00E13D2B" w:rsidP="00E13D2B">
      <w:pPr>
        <w:pStyle w:val="Style1"/>
      </w:pPr>
      <w:r w:rsidRPr="00A50C6B">
        <w:rPr>
          <w:rtl/>
        </w:rPr>
        <w:lastRenderedPageBreak/>
        <w:t>ודוקא מטלטלי בני חרי, אבל אם מכרם הבעל או נתנם במתנת בריא, אינה גובה מהם</w:t>
      </w:r>
      <w:r w:rsidRPr="00A50C6B">
        <w:t>.</w:t>
      </w:r>
    </w:p>
    <w:p w14:paraId="45F1BCBD" w14:textId="77777777" w:rsidR="00E13D2B" w:rsidRPr="00A50C6B" w:rsidRDefault="00E13D2B" w:rsidP="00E13D2B">
      <w:pPr>
        <w:pStyle w:val="Style1"/>
      </w:pPr>
      <w:r w:rsidRPr="00A50C6B">
        <w:rPr>
          <w:rFonts w:hint="cs"/>
          <w:rtl/>
        </w:rPr>
        <w:t>הגה: ויש אומרים דוקא שנתן לאחרים, אבל אם נתן ליורשיו במתנת בריא, אשה גובאת כתובתה מהם (הגהות מימוני פרק י"ו ומהרא"י סימן פ"ו ומהרי"ו סימן קנ"ו), דכל מה שנתן ליורשיו אינו אלא כירשה, והאשה גובאת כתובתה משם (מרדכי פרק נערה בשם מוהר"ם). מי שצוה לתת מנכסיו לאחר מותו כך וכך, אף על פי שצוה כך כשהיה בריא, אשה גובאת כתובתה משם, דאינה אלא כמתנת שכיב מרע דגובאת כתבתה משם. (ועין בחשן המשפט </w:t>
      </w:r>
      <w:hyperlink r:id="rId160" w:tooltip="שולחן ערוך חושן משפט רנא" w:history="1">
        <w:r w:rsidRPr="00A50C6B">
          <w:rPr>
            <w:rStyle w:val="Hyperlink"/>
            <w:rFonts w:hint="cs"/>
            <w:color w:val="7030A0"/>
            <w:u w:val="none"/>
            <w:rtl/>
          </w:rPr>
          <w:t>סימן רנ"א</w:t>
        </w:r>
      </w:hyperlink>
      <w:r w:rsidRPr="00A50C6B">
        <w:rPr>
          <w:rFonts w:hint="cs"/>
        </w:rPr>
        <w:t> </w:t>
      </w:r>
      <w:hyperlink r:id="rId161" w:tooltip="שולחן ערוך חושן משפט רנב" w:history="1">
        <w:r w:rsidRPr="00A50C6B">
          <w:rPr>
            <w:rStyle w:val="Hyperlink"/>
            <w:rFonts w:hint="cs"/>
            <w:color w:val="7030A0"/>
            <w:u w:val="none"/>
            <w:rtl/>
          </w:rPr>
          <w:t>ורנ"ב</w:t>
        </w:r>
      </w:hyperlink>
      <w:r w:rsidRPr="00A50C6B">
        <w:rPr>
          <w:rFonts w:hint="cs"/>
        </w:rPr>
        <w:t> </w:t>
      </w:r>
      <w:hyperlink r:id="rId162" w:tooltip="שולחן ערוך חושן משפט רנז" w:history="1">
        <w:r w:rsidRPr="00A50C6B">
          <w:rPr>
            <w:rStyle w:val="Hyperlink"/>
            <w:rFonts w:hint="cs"/>
            <w:color w:val="7030A0"/>
            <w:u w:val="none"/>
            <w:rtl/>
          </w:rPr>
          <w:t>ורנ"ז</w:t>
        </w:r>
      </w:hyperlink>
      <w:r w:rsidRPr="00A50C6B">
        <w:rPr>
          <w:rFonts w:hint="cs"/>
        </w:rPr>
        <w:t>.)</w:t>
      </w:r>
    </w:p>
    <w:p w14:paraId="65E281DD" w14:textId="77777777" w:rsidR="00E13D2B" w:rsidRPr="00A50C6B" w:rsidRDefault="00E13D2B" w:rsidP="00E13D2B">
      <w:pPr>
        <w:pStyle w:val="Style1"/>
      </w:pPr>
      <w:r w:rsidRPr="00A50C6B">
        <w:rPr>
          <w:rtl/>
        </w:rPr>
        <w:t>ואם מכרום יורשים אחר מותו, גובה מהם. ועכשיו נוהגים לכתוב בכל הכתובות ששעבד לה כל נכסיו מקרקעי ומטלטלי מטלטלי אגב מקרקעי דקנאית ודאקנה. ומכל מקום, לא נהגו לגבות ממטלטלין שמכר או נתן במתנת בריא, ולא אפילו ממטלטלין שמכרו היורשים, מפני תקנת השוק</w:t>
      </w:r>
      <w:r w:rsidRPr="00A50C6B">
        <w:t>.</w:t>
      </w:r>
    </w:p>
    <w:p w14:paraId="3D9CE802" w14:textId="6DD6A4FD" w:rsidR="00E13D2B" w:rsidRDefault="00E13D2B" w:rsidP="00E13D2B">
      <w:pPr>
        <w:pStyle w:val="Style1"/>
        <w:rPr>
          <w:rtl/>
        </w:rPr>
      </w:pPr>
      <w:r w:rsidRPr="00A50C6B">
        <w:rPr>
          <w:rFonts w:hint="cs"/>
          <w:rtl/>
        </w:rPr>
        <w:t>ועין </w:t>
      </w:r>
      <w:hyperlink r:id="rId163" w:tooltip="שולחן ערוך חושן משפט קיג" w:history="1">
        <w:r w:rsidRPr="00A50C6B">
          <w:rPr>
            <w:rStyle w:val="Hyperlink"/>
            <w:rFonts w:hint="cs"/>
            <w:color w:val="7030A0"/>
            <w:u w:val="none"/>
            <w:rtl/>
          </w:rPr>
          <w:t>בחשן המשפט סימן קי"ג</w:t>
        </w:r>
      </w:hyperlink>
      <w:r w:rsidRPr="00A50C6B">
        <w:rPr>
          <w:rFonts w:hint="cs"/>
        </w:rPr>
        <w:t xml:space="preserve">. </w:t>
      </w:r>
      <w:r w:rsidRPr="00A50C6B">
        <w:rPr>
          <w:rFonts w:hint="cs"/>
          <w:rtl/>
        </w:rPr>
        <w:t>עין לקמן </w:t>
      </w:r>
      <w:hyperlink r:id="rId164" w:tooltip="שולחן ערוך אבן העזר קיח" w:history="1">
        <w:r w:rsidRPr="00A50C6B">
          <w:rPr>
            <w:rStyle w:val="Hyperlink"/>
            <w:rFonts w:hint="cs"/>
            <w:color w:val="7030A0"/>
            <w:u w:val="none"/>
            <w:rtl/>
          </w:rPr>
          <w:t>סימן קי"ח</w:t>
        </w:r>
      </w:hyperlink>
      <w:r w:rsidRPr="00A50C6B">
        <w:rPr>
          <w:rFonts w:hint="cs"/>
        </w:rPr>
        <w:t xml:space="preserve">, </w:t>
      </w:r>
      <w:r w:rsidRPr="00A50C6B">
        <w:rPr>
          <w:rFonts w:hint="cs"/>
          <w:rtl/>
        </w:rPr>
        <w:t>אם אשה חייבת לקבר בעלה קדם שתגבה כתובתה</w:t>
      </w:r>
      <w:r w:rsidRPr="00A50C6B">
        <w:t>:</w:t>
      </w:r>
    </w:p>
    <w:p w14:paraId="192C6FA3" w14:textId="4A76D173" w:rsidR="00F22CF2" w:rsidRPr="003E0980" w:rsidRDefault="00F22CF2" w:rsidP="00F22CF2">
      <w:pPr>
        <w:pStyle w:val="Style1"/>
      </w:pPr>
      <w:r>
        <w:rPr>
          <w:rFonts w:hint="cs"/>
          <w:rtl/>
        </w:rPr>
        <w:t>4)[</w:t>
      </w:r>
      <w:r>
        <w:rPr>
          <w:rtl/>
        </w:rPr>
        <w:t>שולחן ערוך אבן העזר הלכות כתובות סימן קיג סעיף ב</w:t>
      </w:r>
      <w:r>
        <w:rPr>
          <w:rFonts w:hint="cs"/>
          <w:rtl/>
        </w:rPr>
        <w:t xml:space="preserve">] </w:t>
      </w:r>
      <w:r w:rsidRPr="003E0980">
        <w:rPr>
          <w:rtl/>
        </w:rPr>
        <w:t>עישור זה לפרנסת נדוניא אינו מתנאי כתובה. לפיכך, אפילו לפי תקנת חכמים הראשונים והאחרונים אינה נוטלת אלא הקרקע. ויש לה לגבות עישור זה משכירות הקרקע </w:t>
      </w:r>
      <w:r w:rsidRPr="003E0980">
        <w:rPr>
          <w:rFonts w:hint="cs"/>
          <w:rtl/>
        </w:rPr>
        <w:t>אם לא גבו היתומים עדין (טור)</w:t>
      </w:r>
      <w:r w:rsidRPr="003E0980">
        <w:t xml:space="preserve">, </w:t>
      </w:r>
      <w:r w:rsidRPr="003E0980">
        <w:rPr>
          <w:rtl/>
        </w:rPr>
        <w:t>ומן הראוי. ואם רצו האחים ליתן לה מעות כנגד עישור הקרקע, נותנים</w:t>
      </w:r>
      <w:r w:rsidRPr="003E0980">
        <w:t>.</w:t>
      </w:r>
    </w:p>
    <w:p w14:paraId="58C37736" w14:textId="77777777" w:rsidR="00F22CF2" w:rsidRDefault="00F22CF2" w:rsidP="00F22CF2">
      <w:pPr>
        <w:pStyle w:val="Style1"/>
        <w:rPr>
          <w:rtl/>
        </w:rPr>
      </w:pPr>
      <w:r w:rsidRPr="003E0980">
        <w:rPr>
          <w:rFonts w:hint="cs"/>
          <w:rtl/>
        </w:rPr>
        <w:t>הגה: ודוקא לגבות אינה נגבית רק ממקרקעי, אבל כששמין הנכסים לידע העישור שמין אף מטלטלין ומגבינן לה העישור ממקרקעי. ודוקא שנותנים לה עישור נכסים, אבל כשנוכל לאמד דעת האב נותנים לה לפי דעתו, כפי מה שהיה נותן לה הן מטלטלי הן מקרקעי, כך נותנים לה (הכל בטור). ויש אומרים דאף כששמין אין שמין אלא בקרקע (כן כתב הבית יוסף בשם המגיד משנה לדעת הרמב"ם). ואם היו כאן בעלי חובות, והבנים אומרים לסלק אותן בקרקעות, והבנות אומרות לסלק אותן במטלטלין כדי שישארו הקרקעות ליתומים ויטלו מהן עישור נכסים, הדין עם הבנים (מרדכי פרק מציאת האשה בשם תשובת מוהר"ם). ונראה לי, דהוא הדין לענין שטר חצי (חלק) זכר הנוהג בינינו, שאין הבנות נוטלות חלק בקרקעות, אם היו כאן בעלי חובות הרשות ביד הבנים לסלק אותן במטלטלין כדי שישארו להם הקרקעות ולא יהא לבנות חלק בהם. כשאומדים דעת האב, יש אומרים דוקא למעוטי לעישור נכסים, אבל לא להרבות עליהם (טור בשם הרא"ש). ויש אומרים דאפילו להוסיף עליהם (טור בשם הגאונים). ואפילו אין כאן אלא מה שנתן לבתו הראשונה, נותנים הכל לשניה (טור בשם הראב"ד). וראוי לאמדו כפי הממון שהניח בשעת מותו (מהרי"ק שרש ע"ח), כן נראה לי</w:t>
      </w:r>
      <w:r w:rsidRPr="003E0980">
        <w:t>:</w:t>
      </w:r>
    </w:p>
    <w:p w14:paraId="58B080B5" w14:textId="0DBDB270" w:rsidR="00F22CF2" w:rsidRDefault="00805506" w:rsidP="00F22CF2">
      <w:pPr>
        <w:pStyle w:val="Style1"/>
        <w:rPr>
          <w:rtl/>
        </w:rPr>
      </w:pPr>
      <w:r>
        <w:rPr>
          <w:rFonts w:hint="cs"/>
          <w:rtl/>
        </w:rPr>
        <w:t>4</w:t>
      </w:r>
      <w:r w:rsidR="00F22CF2">
        <w:rPr>
          <w:rFonts w:hint="cs"/>
          <w:rtl/>
        </w:rPr>
        <w:t>)[</w:t>
      </w:r>
      <w:r w:rsidR="00F22CF2">
        <w:rPr>
          <w:rtl/>
        </w:rPr>
        <w:t>רמב</w:t>
      </w:r>
      <w:r w:rsidR="00213DA1">
        <w:rPr>
          <w:rtl/>
        </w:rPr>
        <w:t>”ם \נשים\</w:t>
      </w:r>
      <w:r w:rsidR="00F22CF2">
        <w:rPr>
          <w:rtl/>
        </w:rPr>
        <w:t xml:space="preserve"> הלכות אישות פרק כ הלכה ה</w:t>
      </w:r>
      <w:r w:rsidR="00F22CF2">
        <w:rPr>
          <w:rFonts w:hint="cs"/>
          <w:rtl/>
        </w:rPr>
        <w:t xml:space="preserve">] </w:t>
      </w:r>
      <w:r w:rsidR="00F22CF2">
        <w:rPr>
          <w:rtl/>
        </w:rPr>
        <w:t>עישור זה שהוא לפרנסה אינו מתנאי כתובה לפיכך אפילו לתקנת אחרונים אינו ניטל אלא מן הקרקע, ויש לה לגבות עישור זה ג משכירות הקרקע, ואם רצו האחין ליתן לה מעות כנגד עישור הקרקע נותנין.</w:t>
      </w:r>
    </w:p>
    <w:p w14:paraId="0EE0605F" w14:textId="7B241890" w:rsidR="00DF324C" w:rsidRDefault="00DF324C" w:rsidP="00DF324C">
      <w:pPr>
        <w:pStyle w:val="Style1"/>
        <w:rPr>
          <w:rtl/>
        </w:rPr>
      </w:pPr>
      <w:r>
        <w:rPr>
          <w:rFonts w:hint="cs"/>
          <w:rtl/>
        </w:rPr>
        <w:t>5)[</w:t>
      </w:r>
      <w:r>
        <w:rPr>
          <w:rtl/>
        </w:rPr>
        <w:t>רמב</w:t>
      </w:r>
      <w:r w:rsidR="00213DA1">
        <w:rPr>
          <w:rtl/>
        </w:rPr>
        <w:t>”ם \נשים\</w:t>
      </w:r>
      <w:r>
        <w:rPr>
          <w:rtl/>
        </w:rPr>
        <w:t xml:space="preserve"> הלכות אישות פרק כ הלכה יד</w:t>
      </w:r>
      <w:r>
        <w:rPr>
          <w:rFonts w:hint="cs"/>
          <w:rtl/>
        </w:rPr>
        <w:t xml:space="preserve">] </w:t>
      </w:r>
      <w:r>
        <w:rPr>
          <w:rtl/>
        </w:rPr>
        <w:t>מי שצוה ליתן לבתו כך וכך מעות לפרנסתה ליקח בהן קרקע בין שהיה שכיב מרע בין שהיה בריא ומת והרי המעות ביד השליש ואמרה הבת תנו אותם לבעלי כל מה שירצה יעשה בהן, אם היתה גדולה ונשאת הרשות בידה, ואם עדיין מאורסת יעשה שליש מה שהושלש בידו, ואם עדיין קטנה היא אפילו נשאת אין שומעין לה אלא יעשה השליש כמו שצוה האב.</w:t>
      </w:r>
    </w:p>
    <w:p w14:paraId="4B227CCA" w14:textId="28663FA1" w:rsidR="009E036A" w:rsidRPr="009E036A" w:rsidRDefault="009E036A" w:rsidP="009E036A">
      <w:pPr>
        <w:pStyle w:val="Style1"/>
      </w:pPr>
      <w:r>
        <w:rPr>
          <w:rFonts w:hint="cs"/>
          <w:rtl/>
        </w:rPr>
        <w:t>5)[</w:t>
      </w:r>
      <w:r>
        <w:rPr>
          <w:rtl/>
        </w:rPr>
        <w:t>שולחן ערוך אבן העזר הלכות קידושין סימן נד</w:t>
      </w:r>
      <w:r>
        <w:rPr>
          <w:rFonts w:hint="cs"/>
          <w:rtl/>
        </w:rPr>
        <w:t xml:space="preserve">] </w:t>
      </w:r>
      <w:r w:rsidRPr="009E036A">
        <w:rPr>
          <w:rtl/>
        </w:rPr>
        <w:t>מי שצוה לתת לבתו כך וכך מעות לפרנסתה ליקח בהם קרקע, בין שהיה שכיב מרע בין שהיה בריא, ומת, והרי המעות ביד השליש, ואמרה הבת</w:t>
      </w:r>
      <w:r w:rsidRPr="009E036A">
        <w:t>: "</w:t>
      </w:r>
      <w:r w:rsidRPr="009E036A">
        <w:rPr>
          <w:rtl/>
        </w:rPr>
        <w:t>תנו אותם לבעלי, כל מה שירצה יעשה בהם</w:t>
      </w:r>
      <w:r w:rsidRPr="009E036A">
        <w:t>" --</w:t>
      </w:r>
    </w:p>
    <w:p w14:paraId="051A39C3" w14:textId="77777777" w:rsidR="009E036A" w:rsidRPr="009E036A" w:rsidRDefault="009E036A" w:rsidP="009E036A">
      <w:pPr>
        <w:pStyle w:val="Style1"/>
      </w:pPr>
      <w:r w:rsidRPr="009E036A">
        <w:rPr>
          <w:rtl/>
        </w:rPr>
        <w:t>אם היתה גדולה, ונשאת -- הרשות בידה</w:t>
      </w:r>
      <w:r w:rsidRPr="009E036A">
        <w:t>;</w:t>
      </w:r>
    </w:p>
    <w:p w14:paraId="5A26A24A" w14:textId="77777777" w:rsidR="009E036A" w:rsidRPr="009E036A" w:rsidRDefault="009E036A" w:rsidP="009E036A">
      <w:pPr>
        <w:pStyle w:val="Style1"/>
      </w:pPr>
      <w:r w:rsidRPr="009E036A">
        <w:rPr>
          <w:rtl/>
        </w:rPr>
        <w:t>ואם עדיין מאורסה היא -- יעשה שליש מה שהשלש בידו</w:t>
      </w:r>
      <w:r w:rsidRPr="009E036A">
        <w:t>;</w:t>
      </w:r>
    </w:p>
    <w:p w14:paraId="172CD06B" w14:textId="77777777" w:rsidR="009E036A" w:rsidRPr="009E036A" w:rsidRDefault="009E036A" w:rsidP="009E036A">
      <w:pPr>
        <w:pStyle w:val="Style1"/>
      </w:pPr>
      <w:r w:rsidRPr="009E036A">
        <w:rPr>
          <w:rtl/>
        </w:rPr>
        <w:t>ואם עדיין קטנה היא, אפילו נישאת -- אין שומעין לה, אלא יעשה שליש כמו שצוה האב</w:t>
      </w:r>
      <w:r w:rsidRPr="009E036A">
        <w:t>.</w:t>
      </w:r>
    </w:p>
    <w:p w14:paraId="2D44630D" w14:textId="3B150E33" w:rsidR="009E036A" w:rsidRDefault="009E036A" w:rsidP="009E036A">
      <w:pPr>
        <w:pStyle w:val="Style1"/>
        <w:rPr>
          <w:rtl/>
        </w:rPr>
      </w:pPr>
      <w:r w:rsidRPr="009E036A">
        <w:rPr>
          <w:rFonts w:hint="cs"/>
        </w:rPr>
        <w:t>(</w:t>
      </w:r>
      <w:r w:rsidRPr="009E036A">
        <w:rPr>
          <w:rFonts w:hint="cs"/>
          <w:rtl/>
        </w:rPr>
        <w:t>ויש אומרים דבעינן שהשלש מתחלה לכך, ועיין </w:t>
      </w:r>
      <w:hyperlink r:id="rId165" w:tooltip="שולחן ערוך חושן משפט רצב" w:history="1">
        <w:r w:rsidRPr="009E036A">
          <w:rPr>
            <w:rStyle w:val="Hyperlink"/>
            <w:rFonts w:hint="cs"/>
            <w:color w:val="7030A0"/>
            <w:u w:val="none"/>
            <w:rtl/>
          </w:rPr>
          <w:t>בחשן המשפט סימן רצ"ב</w:t>
        </w:r>
      </w:hyperlink>
      <w:r w:rsidRPr="009E036A">
        <w:rPr>
          <w:rFonts w:hint="cs"/>
        </w:rPr>
        <w:t>)</w:t>
      </w:r>
      <w:r w:rsidRPr="009E036A">
        <w:t>:</w:t>
      </w:r>
    </w:p>
    <w:p w14:paraId="600F71E9" w14:textId="63FBA71F" w:rsidR="007A78B5" w:rsidRPr="007A78B5" w:rsidRDefault="00140A6D" w:rsidP="007A78B5">
      <w:pPr>
        <w:pStyle w:val="Style1"/>
      </w:pPr>
      <w:r>
        <w:rPr>
          <w:rFonts w:hint="cs"/>
          <w:rtl/>
        </w:rPr>
        <w:t>5)[</w:t>
      </w:r>
      <w:r>
        <w:rPr>
          <w:rtl/>
        </w:rPr>
        <w:t>שולחן ערוך חושן משפט הלכות מתנת שכיב מרע סימן רנב סעיף ב</w:t>
      </w:r>
      <w:r w:rsidR="00CB68B3">
        <w:rPr>
          <w:rFonts w:hint="cs"/>
          <w:rtl/>
        </w:rPr>
        <w:t>]</w:t>
      </w:r>
      <w:r w:rsidR="007A78B5">
        <w:rPr>
          <w:rFonts w:hint="cs"/>
          <w:rtl/>
        </w:rPr>
        <w:t xml:space="preserve"> </w:t>
      </w:r>
      <w:r w:rsidR="007A78B5" w:rsidRPr="007A78B5">
        <w:rPr>
          <w:rtl/>
        </w:rPr>
        <w:t>מצוה לקיים דברי המת, אפילו בריא שצוה ומת, והוא שנתנו עכשיו לשליש לשם כך</w:t>
      </w:r>
      <w:r w:rsidR="007A78B5" w:rsidRPr="007A78B5">
        <w:t>.</w:t>
      </w:r>
    </w:p>
    <w:p w14:paraId="4B91EA36" w14:textId="77777777" w:rsidR="007A78B5" w:rsidRPr="007A78B5" w:rsidRDefault="007A78B5" w:rsidP="007A78B5">
      <w:pPr>
        <w:pStyle w:val="Style1"/>
      </w:pPr>
      <w:r w:rsidRPr="007A78B5">
        <w:rPr>
          <w:rFonts w:hint="cs"/>
          <w:rtl/>
        </w:rPr>
        <w:t>הגה: אבל היו בידו קודם ולא לשם כך, או שבאו לידו אחר הצוואה, אין בזה משום מצוה לקיים דברי המת (טור ומרדכי פרק מי שמת). כל דבר שנקנה במתנת שכיב מרע, אם קדמו היורשין ומכרו, המקבל יכול להוציאו מן הלוקח. אבל דבר שלא ניתן במתנה, רק שמצוה לקיים דברי המת, אם קדמו היורשין ומכרו: מה שעשו עשו (הגהות מרדכי דב"ב). מי שנשבע או נדר ליתן לפלוני כך וכך, ומת ולא נתן, יורשיו פטורין ואין בזה משום מצוה לקיים דברי המת (ב"י בשם ריטב"א). ועיין לעיל סוף </w:t>
      </w:r>
      <w:hyperlink r:id="rId166" w:anchor="%D7%A1%D7%A2%D7%99%D7%A3_%D7%96" w:tooltip="שולחן ערוך חושן משפט ריב" w:history="1">
        <w:r w:rsidRPr="007A78B5">
          <w:rPr>
            <w:rStyle w:val="Hyperlink"/>
            <w:rFonts w:hint="cs"/>
            <w:color w:val="7030A0"/>
            <w:u w:val="none"/>
            <w:rtl/>
          </w:rPr>
          <w:t>סימן רי"ב סעיף ז</w:t>
        </w:r>
        <w:r w:rsidRPr="007A78B5">
          <w:rPr>
            <w:rStyle w:val="Hyperlink"/>
            <w:rFonts w:hint="cs"/>
            <w:color w:val="7030A0"/>
            <w:u w:val="none"/>
          </w:rPr>
          <w:t>'</w:t>
        </w:r>
      </w:hyperlink>
      <w:r w:rsidRPr="007A78B5">
        <w:rPr>
          <w:rFonts w:hint="cs"/>
        </w:rPr>
        <w:t> (</w:t>
      </w:r>
      <w:r w:rsidRPr="007A78B5">
        <w:rPr>
          <w:rFonts w:hint="cs"/>
          <w:rtl/>
        </w:rPr>
        <w:t>וב</w:t>
      </w:r>
      <w:hyperlink r:id="rId167" w:anchor="%D7%A1%D7%A2%D7%99%D7%A3_%D7%93" w:tooltip="שולחן ערוך חושן משפט רט" w:history="1">
        <w:r w:rsidRPr="007A78B5">
          <w:rPr>
            <w:rStyle w:val="Hyperlink"/>
            <w:rFonts w:hint="cs"/>
            <w:color w:val="7030A0"/>
            <w:u w:val="none"/>
            <w:rtl/>
          </w:rPr>
          <w:t>סימן ר"ט ס"ד</w:t>
        </w:r>
      </w:hyperlink>
      <w:r w:rsidRPr="007A78B5">
        <w:rPr>
          <w:rFonts w:hint="cs"/>
        </w:rPr>
        <w:t>).</w:t>
      </w:r>
    </w:p>
    <w:p w14:paraId="37D2E90B" w14:textId="369B3668" w:rsidR="007A78B5" w:rsidRDefault="007A78B5" w:rsidP="007A78B5">
      <w:pPr>
        <w:pStyle w:val="Style1"/>
        <w:rPr>
          <w:rtl/>
        </w:rPr>
      </w:pPr>
      <w:r w:rsidRPr="007A78B5">
        <w:rPr>
          <w:rFonts w:hint="cs"/>
          <w:rtl/>
        </w:rPr>
        <w:t>מי שהפקיד מעות אצל חבירו ואומר שאם ימות יעשה בהן המוטב, יתנו ליורשיו (ב"י סי' רנ"ג בשם מרדכי פרק מי שמת) (וכ"כ לקמן </w:t>
      </w:r>
      <w:hyperlink r:id="rId168" w:tooltip="שולחן ערוך חושן משפט רפב" w:history="1">
        <w:r w:rsidRPr="007A78B5">
          <w:rPr>
            <w:rStyle w:val="Hyperlink"/>
            <w:rFonts w:hint="cs"/>
            <w:color w:val="7030A0"/>
            <w:u w:val="none"/>
            <w:rtl/>
          </w:rPr>
          <w:t>סי' רפ"ב</w:t>
        </w:r>
      </w:hyperlink>
      <w:r w:rsidRPr="007A78B5">
        <w:rPr>
          <w:rFonts w:hint="cs"/>
        </w:rPr>
        <w:t> </w:t>
      </w:r>
      <w:r w:rsidRPr="007A78B5">
        <w:rPr>
          <w:rFonts w:hint="cs"/>
          <w:rtl/>
        </w:rPr>
        <w:t>ס"א</w:t>
      </w:r>
      <w:r w:rsidRPr="007A78B5">
        <w:rPr>
          <w:rFonts w:hint="cs"/>
        </w:rPr>
        <w:t>)</w:t>
      </w:r>
      <w:r w:rsidRPr="007A78B5">
        <w:t>.</w:t>
      </w:r>
    </w:p>
    <w:p w14:paraId="7B830839" w14:textId="5979A3CC" w:rsidR="004538A8" w:rsidRDefault="004538A8" w:rsidP="004538A8">
      <w:pPr>
        <w:pStyle w:val="Style1"/>
        <w:rPr>
          <w:rtl/>
        </w:rPr>
      </w:pPr>
      <w:r>
        <w:rPr>
          <w:rFonts w:hint="cs"/>
          <w:rtl/>
        </w:rPr>
        <w:t>6)[</w:t>
      </w:r>
      <w:r>
        <w:rPr>
          <w:rtl/>
        </w:rPr>
        <w:t>רמב</w:t>
      </w:r>
      <w:r w:rsidR="00C764B2">
        <w:rPr>
          <w:rtl/>
        </w:rPr>
        <w:t>”ם \קנין\</w:t>
      </w:r>
      <w:r>
        <w:rPr>
          <w:rtl/>
        </w:rPr>
        <w:t xml:space="preserve"> הלכות זכיה ומתנה פרק יב הלכה ו</w:t>
      </w:r>
      <w:r>
        <w:rPr>
          <w:rFonts w:hint="cs"/>
          <w:rtl/>
        </w:rPr>
        <w:t xml:space="preserve">] </w:t>
      </w:r>
      <w:r>
        <w:rPr>
          <w:rtl/>
        </w:rPr>
        <w:t>שכיב מרע. שאמר נכסי לך ואחריך לפלוני והיה ראשון ראוי ליורשו ופירש ואמר לא משום ירושה אני נותן לך שאין לה הפסק אלא במתנה והרי הפסקתיה, השני קונה מה שמשייר הראשון, לפיכך אם נתן המעות על יד שליש, או שאמר תנו לבניי שקל בכל שבת ולא משום ירושה אני נותנם להם, והנשאר מן הנכסים אחר מותם יהיה לפלוני, אין נותנין להם אלא שקל אף על פי שאינו מספיק להם. /השגת הראב"ד/ שכ"מ שאמר נכסי וכו' עד מספיק להן. א"א כל מ"ש בכאן לא כתב אלא להזהר מן הקושיא ממה ששלח רב אחא עם ברייתא זו של תנו שקל לבני בכל שבת כו' ולא היה צריך לזה וגם זה הטעם אינו מוטעם ויש לנו טעם יפה, עכ"ל.</w:t>
      </w:r>
    </w:p>
    <w:p w14:paraId="2921005E" w14:textId="210ADB7A" w:rsidR="001C53F4" w:rsidRDefault="001C53F4" w:rsidP="001C53F4">
      <w:pPr>
        <w:pStyle w:val="Style1"/>
        <w:rPr>
          <w:rtl/>
        </w:rPr>
      </w:pPr>
      <w:r>
        <w:rPr>
          <w:rFonts w:hint="cs"/>
          <w:rtl/>
        </w:rPr>
        <w:t>6)[</w:t>
      </w:r>
      <w:r>
        <w:rPr>
          <w:rtl/>
        </w:rPr>
        <w:t>שולחן ערוך חושן משפט הלכות מתנת שכיב מרע סימן רנג סעיף יז</w:t>
      </w:r>
      <w:r>
        <w:rPr>
          <w:rFonts w:hint="cs"/>
          <w:rtl/>
        </w:rPr>
        <w:t xml:space="preserve">] </w:t>
      </w:r>
      <w:r>
        <w:rPr>
          <w:rtl/>
        </w:rPr>
        <w:t>ש"מ שאמר: תנו לבני שקל בכל שבת, או שאמר: אל תתנו להם אלא שקל, ונמצא שאינו מספיק להם אלא סלע בכל שבת, נותנים להם כל צורכם. ואם אמר: אם מתו ירשו אחרים תחתיהם, אין נותנים להם אלא שקל. ועיין בסימן רמ"ח (אימתי אין לאחריהם כלום).</w:t>
      </w:r>
    </w:p>
    <w:p w14:paraId="477DA9F4" w14:textId="0D6E1B18" w:rsidR="007A78B5" w:rsidRPr="002E0AD7" w:rsidRDefault="00453DAC" w:rsidP="002E0AD7">
      <w:pPr>
        <w:pStyle w:val="Style1"/>
      </w:pPr>
      <w:r>
        <w:rPr>
          <w:rFonts w:hint="cs"/>
          <w:rtl/>
        </w:rPr>
        <w:t>6)[</w:t>
      </w:r>
      <w:r>
        <w:rPr>
          <w:rtl/>
        </w:rPr>
        <w:t>שולחן ערוך חושן משפט הלכות מתנה סימן רמח סעיף ב</w:t>
      </w:r>
      <w:r>
        <w:rPr>
          <w:rFonts w:hint="cs"/>
          <w:rtl/>
        </w:rPr>
        <w:t>]</w:t>
      </w:r>
      <w:r w:rsidR="002E0AD7">
        <w:rPr>
          <w:rFonts w:hint="cs"/>
          <w:rtl/>
        </w:rPr>
        <w:t xml:space="preserve"> </w:t>
      </w:r>
      <w:r w:rsidR="002E0AD7" w:rsidRPr="002E0AD7">
        <w:rPr>
          <w:rtl/>
        </w:rPr>
        <w:t>שכיב מרע שאמר: נכסי לך ואחריך לפלוני, והיה הראשון ראוי ליורשו, ופירש ואמר: לא משום ירושה אני נותן לך שאין לה הפסק אלא במתנה והרי הפסקתיה, השני קונה מה ששייר ראשון. לפיכך אם נתן המעות ע"י שליש, ואמר: תנו לבני שקל בכל שבת ולא משום ירושה אני נותנה להם והנשאר מהנכסים אחר מותם יהיה לפלוני, אין נותנים להם אלא שקל, אע"פ שאינו מספיק להם</w:t>
      </w:r>
      <w:r w:rsidR="002E0AD7" w:rsidRPr="002E0AD7">
        <w:t>. </w:t>
      </w:r>
      <w:r w:rsidR="002E0AD7" w:rsidRPr="002E0AD7">
        <w:rPr>
          <w:rFonts w:hint="cs"/>
        </w:rPr>
        <w:t>(</w:t>
      </w:r>
      <w:r w:rsidR="002E0AD7" w:rsidRPr="002E0AD7">
        <w:rPr>
          <w:rFonts w:hint="cs"/>
          <w:rtl/>
        </w:rPr>
        <w:t>ועי' לקמן </w:t>
      </w:r>
      <w:hyperlink r:id="rId169" w:anchor="%D7%A1%D7%A2%D7%99%D7%A3_%D7%95" w:tooltip="שולחן ערוך חושן משפט רנג" w:history="1">
        <w:r w:rsidR="002E0AD7" w:rsidRPr="002E0AD7">
          <w:rPr>
            <w:rStyle w:val="Hyperlink"/>
            <w:rFonts w:hint="cs"/>
            <w:color w:val="7030A0"/>
            <w:u w:val="none"/>
            <w:rtl/>
          </w:rPr>
          <w:t>סימן רנ"ג סעיף ו</w:t>
        </w:r>
        <w:r w:rsidR="002E0AD7" w:rsidRPr="002E0AD7">
          <w:rPr>
            <w:rStyle w:val="Hyperlink"/>
            <w:rFonts w:hint="cs"/>
            <w:color w:val="7030A0"/>
            <w:u w:val="none"/>
          </w:rPr>
          <w:t>'</w:t>
        </w:r>
      </w:hyperlink>
      <w:r w:rsidR="002E0AD7" w:rsidRPr="002E0AD7">
        <w:rPr>
          <w:rFonts w:hint="cs"/>
        </w:rPr>
        <w:t xml:space="preserve">, </w:t>
      </w:r>
      <w:r w:rsidR="002E0AD7" w:rsidRPr="002E0AD7">
        <w:rPr>
          <w:rFonts w:hint="cs"/>
          <w:rtl/>
        </w:rPr>
        <w:t>ב"י בשם הר"ן</w:t>
      </w:r>
      <w:r w:rsidR="002E0AD7" w:rsidRPr="002E0AD7">
        <w:rPr>
          <w:rFonts w:hint="cs"/>
        </w:rPr>
        <w:t>)</w:t>
      </w:r>
      <w:r w:rsidR="002E0AD7" w:rsidRPr="002E0AD7">
        <w:t>.</w:t>
      </w:r>
    </w:p>
    <w:p w14:paraId="31CE9D5C" w14:textId="5463B4E0" w:rsidR="00140A6D" w:rsidRPr="002E0AD7" w:rsidRDefault="00140A6D" w:rsidP="002E0AD7">
      <w:pPr>
        <w:pStyle w:val="Style1"/>
      </w:pPr>
    </w:p>
    <w:p w14:paraId="5E846BE7" w14:textId="77777777" w:rsidR="00F22CF2" w:rsidRPr="002E0AD7" w:rsidRDefault="00F22CF2" w:rsidP="002E0AD7">
      <w:pPr>
        <w:pStyle w:val="Style1"/>
        <w:rPr>
          <w:rtl/>
        </w:rPr>
      </w:pPr>
    </w:p>
    <w:p w14:paraId="15B18E5A" w14:textId="77777777" w:rsidR="00FA0114" w:rsidRDefault="00FA0114" w:rsidP="00FA0114">
      <w:pPr>
        <w:rPr>
          <w:rStyle w:val="Style1Char"/>
          <w:color w:val="00B050"/>
          <w:rtl/>
        </w:rPr>
      </w:pPr>
      <w:r>
        <w:rPr>
          <w:rStyle w:val="Style1Char"/>
          <w:color w:val="00B050"/>
          <w:rtl/>
        </w:rPr>
        <w:br w:type="page"/>
      </w:r>
    </w:p>
    <w:p w14:paraId="57AEC13A" w14:textId="3AFB5365" w:rsidR="00FA0114" w:rsidRPr="00DC67BA" w:rsidRDefault="00FA0114" w:rsidP="00FA0114">
      <w:pPr>
        <w:bidi/>
        <w:rPr>
          <w:rStyle w:val="Style1Char"/>
          <w:color w:val="806000" w:themeColor="accent4" w:themeShade="80"/>
          <w:sz w:val="22"/>
          <w:szCs w:val="22"/>
          <w:rtl/>
        </w:rPr>
      </w:pPr>
      <w:r w:rsidRPr="001D5DD5">
        <w:rPr>
          <w:rStyle w:val="Style1Char"/>
          <w:color w:val="00B050"/>
          <w:sz w:val="22"/>
          <w:szCs w:val="22"/>
          <w:highlight w:val="yellow"/>
          <w:rtl/>
        </w:rPr>
        <w:lastRenderedPageBreak/>
        <w:t>[דף ע עמוד א]</w:t>
      </w:r>
      <w:r w:rsidRPr="001D5DD5">
        <w:rPr>
          <w:rStyle w:val="Style1Char"/>
          <w:color w:val="00B050"/>
          <w:sz w:val="22"/>
          <w:szCs w:val="22"/>
          <w:rtl/>
        </w:rPr>
        <w:t xml:space="preserve"> </w:t>
      </w:r>
      <w:r w:rsidRPr="0058605C">
        <w:rPr>
          <w:rStyle w:val="Style1Char"/>
          <w:color w:val="00B050"/>
          <w:rtl/>
        </w:rPr>
        <w:t xml:space="preserve">רבי מאיר היא, דאמר: מצוה לקיים דברי המת. </w:t>
      </w:r>
      <w:r w:rsidRPr="001267B3">
        <w:rPr>
          <w:rStyle w:val="Style1Char"/>
          <w:color w:val="000000" w:themeColor="text1"/>
          <w:sz w:val="22"/>
          <w:szCs w:val="22"/>
          <w:rtl/>
        </w:rPr>
        <w:t xml:space="preserve">אמר רב חסדא אמר מר עוקבא, </w:t>
      </w:r>
      <w:r w:rsidR="00174D4F">
        <w:rPr>
          <w:rStyle w:val="Style1Char"/>
          <w:rFonts w:hint="cs"/>
          <w:rtl/>
        </w:rPr>
        <w:t>(1)</w:t>
      </w:r>
      <w:r w:rsidRPr="001267B3">
        <w:rPr>
          <w:rStyle w:val="Style1Char"/>
          <w:color w:val="000000" w:themeColor="text1"/>
          <w:sz w:val="22"/>
          <w:szCs w:val="22"/>
          <w:rtl/>
        </w:rPr>
        <w:t>הלכתא: בין שאמר תנו ובין שאמר אל תתנו - נותנין להם כל צורכם</w:t>
      </w:r>
      <w:r w:rsidRPr="001267B3">
        <w:rPr>
          <w:rStyle w:val="Style1Char"/>
          <w:color w:val="000000" w:themeColor="text1"/>
          <w:rtl/>
        </w:rPr>
        <w:t xml:space="preserve">. </w:t>
      </w:r>
      <w:r w:rsidRPr="001267B3">
        <w:rPr>
          <w:rStyle w:val="Style1Char"/>
          <w:color w:val="000000" w:themeColor="text1"/>
          <w:sz w:val="22"/>
          <w:szCs w:val="22"/>
          <w:rtl/>
        </w:rPr>
        <w:t xml:space="preserve">הא קיימא לן הלכה כרבי מאיר, דאמר: מצוה לקיים דברי המת! ה"מ במילי אחרניתא, אבל בהא מינח ניחא ליה, והא דאמר הכי - לזרוזינהו הוא </w:t>
      </w:r>
      <w:r w:rsidRPr="004D20E8">
        <w:rPr>
          <w:rStyle w:val="Style1Char"/>
          <w:color w:val="4472C4" w:themeColor="accent1"/>
          <w:rtl/>
        </w:rPr>
        <w:t>דעבד</w:t>
      </w:r>
      <w:r w:rsidRPr="0089735F">
        <w:rPr>
          <w:rStyle w:val="Style1Char"/>
          <w:sz w:val="22"/>
          <w:szCs w:val="22"/>
          <w:rtl/>
        </w:rPr>
        <w:t xml:space="preserve"> דאתא. </w:t>
      </w:r>
      <w:r w:rsidRPr="00A50225">
        <w:rPr>
          <w:rStyle w:val="Style1Char"/>
          <w:color w:val="000000" w:themeColor="text1"/>
          <w:sz w:val="22"/>
          <w:szCs w:val="22"/>
          <w:rtl/>
        </w:rPr>
        <w:t xml:space="preserve">תנן התם: </w:t>
      </w:r>
      <w:r w:rsidR="0053059A">
        <w:rPr>
          <w:rStyle w:val="Style1Char"/>
          <w:rFonts w:hint="cs"/>
          <w:rtl/>
        </w:rPr>
        <w:t>(2)</w:t>
      </w:r>
      <w:r w:rsidRPr="00A50225">
        <w:rPr>
          <w:rStyle w:val="Style1Char"/>
          <w:color w:val="000000" w:themeColor="text1"/>
          <w:sz w:val="22"/>
          <w:szCs w:val="22"/>
          <w:rtl/>
        </w:rPr>
        <w:t xml:space="preserve">הפעוטות, מקחן מקח וממכרן מכר במטלטלים. אמר רפרם: לא שנו </w:t>
      </w:r>
      <w:r w:rsidR="0053059A">
        <w:rPr>
          <w:rStyle w:val="Style1Char"/>
          <w:rFonts w:hint="cs"/>
          <w:rtl/>
        </w:rPr>
        <w:t>(3)</w:t>
      </w:r>
      <w:r w:rsidRPr="00A50225">
        <w:rPr>
          <w:rStyle w:val="Style1Char"/>
          <w:color w:val="000000" w:themeColor="text1"/>
          <w:sz w:val="22"/>
          <w:szCs w:val="22"/>
          <w:rtl/>
        </w:rPr>
        <w:t>אלא שאין שם אפוטרופוס, אבל יש שם אפוטרופוס - אין מקחן מקח ואין ממכרן מכר. ממאי? מדקתני: אין מעשה קטנה כלום</w:t>
      </w:r>
      <w:r w:rsidRPr="0058605C">
        <w:rPr>
          <w:rStyle w:val="Style1Char"/>
          <w:color w:val="00B050"/>
          <w:rtl/>
        </w:rPr>
        <w:t xml:space="preserve">. ודלמא היכא דאיכא שליש שאני! א"כ, ליתני: אבל בקטנה </w:t>
      </w:r>
      <w:r w:rsidRPr="00A50225">
        <w:rPr>
          <w:rStyle w:val="Style1Char"/>
          <w:color w:val="806000" w:themeColor="accent4" w:themeShade="80"/>
          <w:sz w:val="22"/>
          <w:szCs w:val="22"/>
          <w:rtl/>
        </w:rPr>
        <w:t xml:space="preserve">ולא קתני </w:t>
      </w:r>
      <w:r w:rsidRPr="00A50225">
        <w:rPr>
          <w:rStyle w:val="Style1Char"/>
          <w:color w:val="auto"/>
          <w:sz w:val="22"/>
          <w:szCs w:val="22"/>
          <w:rtl/>
        </w:rPr>
        <w:t>יעשה שליש מה שהושלש בידו</w:t>
      </w:r>
      <w:r w:rsidRPr="00A50225">
        <w:rPr>
          <w:rStyle w:val="Style1Char"/>
          <w:color w:val="auto"/>
          <w:rtl/>
        </w:rPr>
        <w:t xml:space="preserve"> </w:t>
      </w:r>
      <w:r w:rsidRPr="00A50225">
        <w:rPr>
          <w:rStyle w:val="Style1Char"/>
          <w:color w:val="806000" w:themeColor="accent4" w:themeShade="80"/>
          <w:sz w:val="22"/>
          <w:szCs w:val="22"/>
          <w:rtl/>
        </w:rPr>
        <w:t xml:space="preserve">כדקתני בגדולה </w:t>
      </w:r>
      <w:r w:rsidRPr="00DC67BA">
        <w:rPr>
          <w:rStyle w:val="Style1Char"/>
          <w:color w:val="806000" w:themeColor="accent4" w:themeShade="80"/>
          <w:sz w:val="22"/>
          <w:szCs w:val="22"/>
          <w:rtl/>
        </w:rPr>
        <w:t>שמע מינה אין מעשה קטנה כלום בין במקום שליש בין במקום אפוטרופוס וכן הלכתא</w:t>
      </w:r>
      <w:r w:rsidRPr="00DC67BA">
        <w:rPr>
          <w:rStyle w:val="Style1Char"/>
          <w:color w:val="806000" w:themeColor="accent4" w:themeShade="80"/>
          <w:sz w:val="22"/>
          <w:szCs w:val="22"/>
        </w:rPr>
        <w:t>:</w:t>
      </w:r>
    </w:p>
    <w:p w14:paraId="6637A031" w14:textId="77777777" w:rsidR="00FA0114" w:rsidRPr="004D20E8" w:rsidRDefault="00FA0114" w:rsidP="00FA0114">
      <w:pPr>
        <w:bidi/>
        <w:rPr>
          <w:color w:val="4472C4" w:themeColor="accent1"/>
        </w:rPr>
      </w:pPr>
      <w:r w:rsidRPr="004D20E8">
        <w:rPr>
          <w:rStyle w:val="Style1Char"/>
          <w:color w:val="4472C4" w:themeColor="accent1"/>
          <w:rtl/>
        </w:rPr>
        <w:t>פסק ר"ח בשם רב האי גאון</w:t>
      </w:r>
      <w:r>
        <w:rPr>
          <w:rStyle w:val="Style1Char"/>
          <w:rFonts w:hint="cs"/>
          <w:color w:val="4472C4" w:themeColor="accent1"/>
        </w:rPr>
        <w:t>‍</w:t>
      </w:r>
      <w:r w:rsidRPr="004D20E8">
        <w:rPr>
          <w:rStyle w:val="Style1Char"/>
          <w:color w:val="4472C4" w:themeColor="accent1"/>
          <w:rtl/>
        </w:rPr>
        <w:t xml:space="preserve"> אבל מתנתו מתנה אף על גב דבגיטין</w:t>
      </w:r>
      <w:r>
        <w:rPr>
          <w:rStyle w:val="Style1Char"/>
          <w:rFonts w:hint="cs"/>
          <w:color w:val="4472C4" w:themeColor="accent1"/>
        </w:rPr>
        <w:t>‍</w:t>
      </w:r>
      <w:r w:rsidRPr="004D20E8">
        <w:rPr>
          <w:rStyle w:val="Style1Char"/>
          <w:color w:val="4472C4" w:themeColor="accent1"/>
          <w:rtl/>
        </w:rPr>
        <w:t xml:space="preserve"> פרק הניזקין (דף נט א) מיבעיא כשאין שם אפוטרופוס אם מתנתו מתנה ופשיט דמתנתו מתנה ומדמבעיא לן היכא דמקחו מקח משמע דפשיטא דהיכא דאין מקחו מקח דאין מתנתו מתנה. מיהו לא דמי דלעולם מתנתו מתנה</w:t>
      </w:r>
      <w:r>
        <w:rPr>
          <w:rStyle w:val="Style1Char"/>
          <w:rFonts w:hint="cs"/>
          <w:color w:val="4472C4" w:themeColor="accent1"/>
          <w:rtl/>
        </w:rPr>
        <w:t xml:space="preserve"> </w:t>
      </w:r>
      <w:r w:rsidRPr="004D20E8">
        <w:rPr>
          <w:rStyle w:val="Style1Char"/>
          <w:color w:val="4472C4" w:themeColor="accent1"/>
          <w:rtl/>
        </w:rPr>
        <w:t>בין יש שם אפוטרופוס בין אין שם אפוטרופוס דהאי דאין מקחו מקח בשיש שם אפוטרופוס לפי שעל אפוטרופוס ליקח ולמכור אבל ליתן אין הרשות בידו והואיל ומתנתו מתנה משום דאי לא עביד ליה ניחא לנפשיה לא הוה יהיב ליה אין חילוק בין יש שם אפוטרופוס בין אין שם אפוטרופוס</w:t>
      </w:r>
      <w:r>
        <w:rPr>
          <w:rStyle w:val="Style1Char"/>
          <w:rFonts w:hint="cs"/>
          <w:color w:val="4472C4" w:themeColor="accent1"/>
        </w:rPr>
        <w:t>‍</w:t>
      </w:r>
      <w:r w:rsidRPr="004D20E8">
        <w:rPr>
          <w:rStyle w:val="Style1Char"/>
          <w:color w:val="4472C4" w:themeColor="accent1"/>
        </w:rPr>
        <w:t>:</w:t>
      </w:r>
    </w:p>
    <w:p w14:paraId="7F0954A2" w14:textId="6195AE72" w:rsidR="00FA0114" w:rsidRDefault="00FA0114" w:rsidP="00FA0114">
      <w:pPr>
        <w:bidi/>
        <w:rPr>
          <w:rStyle w:val="Style1Char"/>
          <w:color w:val="auto"/>
          <w:sz w:val="22"/>
          <w:szCs w:val="22"/>
          <w:rtl/>
        </w:rPr>
      </w:pPr>
      <w:r w:rsidRPr="0058605C">
        <w:rPr>
          <w:rStyle w:val="Style1Char"/>
          <w:color w:val="00B050"/>
          <w:rtl/>
        </w:rPr>
        <w:t>מאי אין מעשה קטנה כלום? שמע מינה, אפילו בעלמא</w:t>
      </w:r>
      <w:r w:rsidRPr="0058605C">
        <w:rPr>
          <w:rStyle w:val="Style1Char"/>
          <w:color w:val="auto"/>
          <w:sz w:val="22"/>
          <w:szCs w:val="22"/>
          <w:rtl/>
        </w:rPr>
        <w:t xml:space="preserve">. </w:t>
      </w:r>
    </w:p>
    <w:p w14:paraId="46522388" w14:textId="161E7C8C" w:rsidR="0011463A" w:rsidRDefault="0011463A" w:rsidP="0011463A">
      <w:pPr>
        <w:pStyle w:val="Style1"/>
        <w:rPr>
          <w:rStyle w:val="Style1Char"/>
          <w:rtl/>
        </w:rPr>
      </w:pPr>
      <w:r>
        <w:rPr>
          <w:rStyle w:val="Style1Char"/>
          <w:rFonts w:hint="cs"/>
          <w:rtl/>
        </w:rPr>
        <w:t>1)[</w:t>
      </w:r>
      <w:r w:rsidRPr="0011463A">
        <w:rPr>
          <w:rStyle w:val="Style1Char"/>
          <w:rtl/>
        </w:rPr>
        <w:t>רמב</w:t>
      </w:r>
      <w:r w:rsidR="00C764B2">
        <w:rPr>
          <w:rStyle w:val="Style1Char"/>
          <w:rtl/>
        </w:rPr>
        <w:t>”ם \קנין\</w:t>
      </w:r>
      <w:r w:rsidRPr="0011463A">
        <w:rPr>
          <w:rStyle w:val="Style1Char"/>
          <w:rtl/>
        </w:rPr>
        <w:t xml:space="preserve"> הלכות זכיה ומתנה פרק יא הלכה כג</w:t>
      </w:r>
      <w:r>
        <w:rPr>
          <w:rStyle w:val="Style1Char"/>
          <w:rFonts w:hint="cs"/>
          <w:rtl/>
        </w:rPr>
        <w:t xml:space="preserve">] </w:t>
      </w:r>
      <w:r w:rsidRPr="0011463A">
        <w:rPr>
          <w:rStyle w:val="Style1Char"/>
          <w:rtl/>
        </w:rPr>
        <w:t>שכיב מרע שאמר תנו לבני שקל בכל שבת, או שאמר אל תתנו להם אלא שקל, ונמצא שאינו מספיק להם אלא סלע בכל שבת, נותנים להם כל צרכן שלא נתכוון זה להרעיב את בניו אלא לזרז אותם, שמא ירויחו בהוצאה יותר מדאי.</w:t>
      </w:r>
    </w:p>
    <w:p w14:paraId="40B90CA7" w14:textId="36327DD2" w:rsidR="00316210" w:rsidRDefault="00316210" w:rsidP="00FA0114">
      <w:pPr>
        <w:bidi/>
        <w:rPr>
          <w:rStyle w:val="Style1Char"/>
          <w:rtl/>
        </w:rPr>
      </w:pPr>
      <w:r>
        <w:rPr>
          <w:rStyle w:val="Style1Char"/>
          <w:rFonts w:hint="cs"/>
          <w:rtl/>
        </w:rPr>
        <w:t>1</w:t>
      </w:r>
      <w:r w:rsidRPr="00316210">
        <w:rPr>
          <w:rStyle w:val="Style1Char"/>
          <w:rFonts w:hint="cs"/>
          <w:rtl/>
        </w:rPr>
        <w:t>)[</w:t>
      </w:r>
      <w:r w:rsidRPr="00316210">
        <w:rPr>
          <w:rStyle w:val="Style1Char"/>
          <w:rtl/>
        </w:rPr>
        <w:t>שולחן ערוך חושן משפט הלכות מתנת שכיב מרע סימן רנג סעיף יז</w:t>
      </w:r>
      <w:r w:rsidRPr="00316210">
        <w:rPr>
          <w:rStyle w:val="Style1Char"/>
          <w:rFonts w:hint="cs"/>
          <w:rtl/>
        </w:rPr>
        <w:t xml:space="preserve">] </w:t>
      </w:r>
      <w:r w:rsidRPr="00316210">
        <w:rPr>
          <w:rStyle w:val="Style1Char"/>
          <w:rtl/>
        </w:rPr>
        <w:t>ש"מ שאמר: תנו לבני שקל בכל שבת, או שאמר: אל תתנו להם אלא שקל, ונמצא שאינו מספיק להם אלא סלע בכל שבת, נותנים להם כל צורכם. ואם אמר: אם מתו ירשו אחרים תחתיהם, אין נותנים להם אלא שקל. ועיין בסימן רמ"ח (אימתי אין לאחריהם כלום).</w:t>
      </w:r>
    </w:p>
    <w:p w14:paraId="4A11A865" w14:textId="351B87D8" w:rsidR="00C478EC" w:rsidRDefault="00C478EC" w:rsidP="00C478EC">
      <w:pPr>
        <w:bidi/>
        <w:rPr>
          <w:rStyle w:val="Style1Char"/>
          <w:rtl/>
        </w:rPr>
      </w:pPr>
      <w:r>
        <w:rPr>
          <w:rStyle w:val="Style1Char"/>
          <w:rFonts w:hint="cs"/>
          <w:rtl/>
        </w:rPr>
        <w:t>2)[</w:t>
      </w:r>
      <w:r w:rsidRPr="00C478EC">
        <w:rPr>
          <w:rStyle w:val="Style1Char"/>
          <w:rtl/>
        </w:rPr>
        <w:t>רמב</w:t>
      </w:r>
      <w:r w:rsidR="00786216">
        <w:rPr>
          <w:rStyle w:val="Style1Char"/>
          <w:rtl/>
        </w:rPr>
        <w:t>”ם \מכירה\</w:t>
      </w:r>
      <w:r w:rsidRPr="00C478EC">
        <w:rPr>
          <w:rStyle w:val="Style1Char"/>
          <w:rtl/>
        </w:rPr>
        <w:t xml:space="preserve"> הלכות מכירה פרק כט הלכה ו</w:t>
      </w:r>
      <w:r>
        <w:rPr>
          <w:rStyle w:val="Style1Char"/>
          <w:rFonts w:hint="cs"/>
          <w:rtl/>
        </w:rPr>
        <w:t xml:space="preserve">] </w:t>
      </w:r>
      <w:r w:rsidRPr="00C478EC">
        <w:rPr>
          <w:rStyle w:val="Style1Char"/>
          <w:rtl/>
        </w:rPr>
        <w:t>קטן עד שש שנים אין הקנייתו לאחרים כלום, ומשש שנים עד שיגדיל אם יודע בטיב משא ומתן מקחו מקח וממכרו ממכר ומתנתו קיימת, בין בדבר מרובה בין בדבר מועט בין במתנת בריא בין במתנת שכיב מרע, ודבר זה מדברי חכמים כמו שביארנו כדי שלא יבטל ולא ימצא מי שימכור לו ולא יקח ממנו, והכל במטלטלין אבל בקרקע אינו מוכר ולא נותן עד שיגדיל.</w:t>
      </w:r>
    </w:p>
    <w:p w14:paraId="4D6A8B7A" w14:textId="20DCCCD6" w:rsidR="0048532D" w:rsidRPr="0048532D" w:rsidRDefault="000F22B5" w:rsidP="0048532D">
      <w:pPr>
        <w:pStyle w:val="Style1"/>
        <w:rPr>
          <w:rStyle w:val="reference-text"/>
        </w:rPr>
      </w:pPr>
      <w:r>
        <w:rPr>
          <w:rStyle w:val="Style1Char"/>
          <w:rFonts w:hint="cs"/>
          <w:rtl/>
        </w:rPr>
        <w:t>2)[</w:t>
      </w:r>
      <w:r w:rsidRPr="000F22B5">
        <w:rPr>
          <w:rStyle w:val="Style1Char"/>
          <w:rtl/>
        </w:rPr>
        <w:t>שולחן ערוך חושן משפט הלכות אונאה ומקח טעות סימן רלה סעיף א</w:t>
      </w:r>
      <w:r>
        <w:rPr>
          <w:rStyle w:val="Style1Char"/>
          <w:rFonts w:hint="cs"/>
          <w:rtl/>
        </w:rPr>
        <w:t>]</w:t>
      </w:r>
      <w:r w:rsidR="0048532D">
        <w:rPr>
          <w:rStyle w:val="Style1Char"/>
          <w:rFonts w:hint="cs"/>
          <w:rtl/>
        </w:rPr>
        <w:t xml:space="preserve"> </w:t>
      </w:r>
      <w:r w:rsidR="0048532D" w:rsidRPr="0048532D">
        <w:rPr>
          <w:rStyle w:val="reference-text"/>
          <w:rtl/>
        </w:rPr>
        <w:t>קטן עד שש שנים אין הקנייתו לאחרי' כלום ומשש שנים עד שיגדיל אם יודע בטיב משא ומתן </w:t>
      </w:r>
      <w:r w:rsidR="0048532D" w:rsidRPr="0048532D">
        <w:rPr>
          <w:rStyle w:val="reference-text"/>
          <w:rFonts w:hint="cs"/>
          <w:rtl/>
        </w:rPr>
        <w:t>(דהיינו שבדקוהו ומצאוהו שיודע ולאחר עשרה כל שאינו שוטה) (טור)</w:t>
      </w:r>
      <w:r w:rsidR="0048532D" w:rsidRPr="0048532D">
        <w:rPr>
          <w:rStyle w:val="reference-text"/>
          <w:rtl/>
        </w:rPr>
        <w:t> מקחו מקח וממכרו ממכר ומתנתו קיימת בין בדבר מרובה בין בדבר מועט בין במתנת בריא בין במתנת שכיב מרע ודבר זה מתקנת חכמים והכל במטלטלים</w:t>
      </w:r>
    </w:p>
    <w:p w14:paraId="0B75A01D" w14:textId="77777777" w:rsidR="0048532D" w:rsidRPr="0048532D" w:rsidRDefault="0048532D" w:rsidP="0048532D">
      <w:pPr>
        <w:pStyle w:val="Style1"/>
        <w:rPr>
          <w:rStyle w:val="reference-text"/>
        </w:rPr>
      </w:pPr>
      <w:r w:rsidRPr="0048532D">
        <w:rPr>
          <w:rStyle w:val="reference-text"/>
          <w:rFonts w:hint="cs"/>
          <w:rtl/>
        </w:rPr>
        <w:t>(י"א הואיל ואינו רק מכח תקנת חכמים א"כ במקום שעשו שלא כהוגן כגון שמכרו בנכסים מועטים שזכו בהן הבנות מכירתן לאו כלום הוא) (תשובת הר"ן סימן (מ"ט) [מ"ד])</w:t>
      </w:r>
    </w:p>
    <w:p w14:paraId="3A8C3561" w14:textId="77777777" w:rsidR="0048532D" w:rsidRPr="0048532D" w:rsidRDefault="0048532D" w:rsidP="0048532D">
      <w:pPr>
        <w:pStyle w:val="Style1"/>
        <w:rPr>
          <w:rStyle w:val="reference-text"/>
        </w:rPr>
      </w:pPr>
      <w:r w:rsidRPr="0048532D">
        <w:rPr>
          <w:rStyle w:val="reference-text"/>
          <w:rtl/>
        </w:rPr>
        <w:t>אבל בקרקע אינו מוכר ולא נותן עד שיגדיל </w:t>
      </w:r>
      <w:r w:rsidRPr="0048532D">
        <w:rPr>
          <w:rStyle w:val="reference-text"/>
          <w:rFonts w:hint="cs"/>
          <w:rtl/>
        </w:rPr>
        <w:t>(דהיינו שהקטן בן י"ג והקטנה בת י"ב והביאו שערות) (הרמב"ם)</w:t>
      </w:r>
      <w:r w:rsidRPr="0048532D">
        <w:rPr>
          <w:rStyle w:val="reference-text"/>
          <w:rtl/>
        </w:rPr>
        <w:t> ואפי' הוא קרקע שניתן לו במתנה או שקנה לו האפוטרופס ואם נתנו אפי' במתנת שכיב מרע אינו כלום אפילו הוא קרקע שניתן לו ואע"פ שהוא יודע בטיב משא ומתן</w:t>
      </w:r>
    </w:p>
    <w:p w14:paraId="2FE89099" w14:textId="48B92837" w:rsidR="0048532D" w:rsidRDefault="0048532D" w:rsidP="0048532D">
      <w:pPr>
        <w:pStyle w:val="Style1"/>
        <w:rPr>
          <w:rStyle w:val="reference-text"/>
          <w:rtl/>
        </w:rPr>
      </w:pPr>
      <w:r w:rsidRPr="0048532D">
        <w:rPr>
          <w:rStyle w:val="reference-text"/>
          <w:rFonts w:hint="cs"/>
          <w:rtl/>
        </w:rPr>
        <w:t>(מיהו כ"ז שחפץ הקטן במה שעשה ואין קרוביו או הב"ד בטלו מעשיו והלוקח אכל פירות קרקע שלקח א"צ לשלם מה שלקח) (תשובת רמב"ן סי' ב')</w:t>
      </w:r>
      <w:r w:rsidRPr="0048532D">
        <w:rPr>
          <w:rStyle w:val="reference-text"/>
          <w:rtl/>
        </w:rPr>
        <w:t> ואם ירש מאביו שטר חוב דינו כמטלטלים ויכול למוכרו או ליתנו לאחר</w:t>
      </w:r>
      <w:r w:rsidRPr="0048532D">
        <w:rPr>
          <w:rStyle w:val="reference-text"/>
        </w:rPr>
        <w:t>:</w:t>
      </w:r>
    </w:p>
    <w:p w14:paraId="0248AA04" w14:textId="6E158B44" w:rsidR="00B37BE8" w:rsidRDefault="00B37BE8" w:rsidP="00B37BE8">
      <w:pPr>
        <w:pStyle w:val="Style1"/>
        <w:rPr>
          <w:rStyle w:val="reference-text"/>
          <w:rtl/>
        </w:rPr>
      </w:pPr>
      <w:r>
        <w:rPr>
          <w:rStyle w:val="reference-text"/>
          <w:rFonts w:hint="cs"/>
          <w:rtl/>
        </w:rPr>
        <w:t>3)[</w:t>
      </w:r>
      <w:r w:rsidRPr="00B37BE8">
        <w:rPr>
          <w:rStyle w:val="reference-text"/>
          <w:rtl/>
        </w:rPr>
        <w:t>רמב</w:t>
      </w:r>
      <w:r w:rsidR="00786216">
        <w:rPr>
          <w:rStyle w:val="reference-text"/>
          <w:rtl/>
        </w:rPr>
        <w:t>”ם \מכירה\</w:t>
      </w:r>
      <w:r w:rsidRPr="00B37BE8">
        <w:rPr>
          <w:rStyle w:val="reference-text"/>
          <w:rtl/>
        </w:rPr>
        <w:t xml:space="preserve"> הלכות מכירה פרק כט הלכה ז</w:t>
      </w:r>
      <w:r>
        <w:rPr>
          <w:rStyle w:val="reference-text"/>
          <w:rFonts w:hint="cs"/>
          <w:rtl/>
        </w:rPr>
        <w:t xml:space="preserve">] </w:t>
      </w:r>
      <w:r w:rsidRPr="00B37BE8">
        <w:rPr>
          <w:rStyle w:val="reference-text"/>
          <w:rtl/>
        </w:rPr>
        <w:t>במה דברים אמורים בקטן שאין לו אפוטרופוס אבל אם היה לו אפוטרופוס אין מעשיו כלום אפילו במטלטלין אלא מדעת האפוטרופוס, שאם רצה לקיים מקחו וממכרו ומתנתו במטלטלין קיים.</w:t>
      </w:r>
    </w:p>
    <w:p w14:paraId="09D8946B" w14:textId="67805DF3" w:rsidR="008F39FA" w:rsidRPr="008F39FA" w:rsidRDefault="00BB00DF" w:rsidP="008F39FA">
      <w:pPr>
        <w:pStyle w:val="Style1"/>
        <w:rPr>
          <w:rStyle w:val="reference-text"/>
        </w:rPr>
      </w:pPr>
      <w:r>
        <w:rPr>
          <w:rStyle w:val="reference-text"/>
          <w:rFonts w:hint="cs"/>
          <w:rtl/>
        </w:rPr>
        <w:t>3)[</w:t>
      </w:r>
      <w:r w:rsidRPr="00BB00DF">
        <w:rPr>
          <w:rStyle w:val="reference-text"/>
          <w:rtl/>
        </w:rPr>
        <w:t>שולחן ערוך חושן משפט הלכות אונאה ומקח טעות סימן רלה סעיף ב</w:t>
      </w:r>
      <w:r>
        <w:rPr>
          <w:rStyle w:val="reference-text"/>
          <w:rFonts w:hint="cs"/>
          <w:rtl/>
        </w:rPr>
        <w:t>]</w:t>
      </w:r>
      <w:r w:rsidR="008F39FA" w:rsidRPr="008F39FA">
        <w:rPr>
          <w:rStyle w:val="reference-text"/>
          <w:rtl/>
        </w:rPr>
        <w:t>במה דברים אמורים בקטן שאין לו אפוטרופוס אבל אם היה לו אפוטרופוס אין מעשיו כלום אפילו במטלטלים אלא מדעת האפוטרופוס שאם רצה לקיים מקחו וממכרו ומתנתו במטלטלים קיים</w:t>
      </w:r>
      <w:r w:rsidR="008F39FA" w:rsidRPr="008F39FA">
        <w:rPr>
          <w:rStyle w:val="reference-text"/>
        </w:rPr>
        <w:t>:</w:t>
      </w:r>
    </w:p>
    <w:p w14:paraId="54C28F7B" w14:textId="77777777" w:rsidR="008F39FA" w:rsidRPr="008F39FA" w:rsidRDefault="008F39FA" w:rsidP="008F39FA">
      <w:pPr>
        <w:pStyle w:val="Style1"/>
        <w:rPr>
          <w:rStyle w:val="reference-text"/>
        </w:rPr>
      </w:pPr>
      <w:r w:rsidRPr="008F39FA">
        <w:rPr>
          <w:rStyle w:val="reference-text"/>
          <w:rFonts w:hint="cs"/>
          <w:rtl/>
        </w:rPr>
        <w:t>הגה: והוא הדין אם סמוכים אצל בעל הבית שדינו כאפוטרופוס כמו שיתבאר לקמן </w:t>
      </w:r>
      <w:hyperlink r:id="rId170" w:tooltip="שולחן ערוך חושן משפט רצ" w:history="1">
        <w:r w:rsidRPr="008F39FA">
          <w:rPr>
            <w:rStyle w:val="reference-text"/>
            <w:rFonts w:hint="cs"/>
            <w:rtl/>
          </w:rPr>
          <w:t>סי' ר"צ</w:t>
        </w:r>
      </w:hyperlink>
      <w:r w:rsidRPr="008F39FA">
        <w:rPr>
          <w:rStyle w:val="reference-text"/>
          <w:rFonts w:hint="cs"/>
        </w:rPr>
        <w:t> </w:t>
      </w:r>
      <w:r w:rsidRPr="008F39FA">
        <w:rPr>
          <w:rStyle w:val="reference-text"/>
          <w:rFonts w:hint="cs"/>
          <w:rtl/>
        </w:rPr>
        <w:t>אבל משהגדיל אע"פ שיש לו אפוטרופוס שמינהו לו אביו מקחו מקח וממכרו ממכר (ריב"ש סי' קמ"א וסי' קצ"ח) אע"פ שאפוטרופוס צריך לקיים דברי המת ואסור ליתנם ליורש ולא ללוקח עד הזמן שציוה מ"מ מקחו מקח ואם תפסן הלוקח מיד אין מוציאין מידו (ר"ן סוף פרק מציאת האשה)</w:t>
      </w:r>
      <w:r w:rsidRPr="008F39FA">
        <w:rPr>
          <w:rStyle w:val="reference-text"/>
        </w:rPr>
        <w:t>:</w:t>
      </w:r>
    </w:p>
    <w:p w14:paraId="1C4D90E3" w14:textId="77777777" w:rsidR="008F39FA" w:rsidRPr="008F39FA" w:rsidRDefault="008F39FA" w:rsidP="008F39FA">
      <w:pPr>
        <w:pStyle w:val="Style1"/>
        <w:rPr>
          <w:rStyle w:val="reference-text"/>
        </w:rPr>
      </w:pPr>
    </w:p>
    <w:p w14:paraId="2400CD14" w14:textId="414789F2" w:rsidR="00FA0114" w:rsidRDefault="00FA0114" w:rsidP="00316210">
      <w:pPr>
        <w:bidi/>
        <w:rPr>
          <w:rStyle w:val="Style1Char"/>
          <w:color w:val="auto"/>
          <w:sz w:val="22"/>
          <w:szCs w:val="22"/>
        </w:rPr>
      </w:pPr>
      <w:r w:rsidRPr="0058605C">
        <w:rPr>
          <w:rStyle w:val="Style1Char"/>
          <w:color w:val="auto"/>
          <w:sz w:val="22"/>
          <w:szCs w:val="22"/>
          <w:rtl/>
        </w:rPr>
        <w:t>הדרן עלך מציאת האשה.</w:t>
      </w:r>
    </w:p>
    <w:p w14:paraId="0B62FD09" w14:textId="77777777" w:rsidR="002165BA" w:rsidRPr="00115293" w:rsidRDefault="002165BA" w:rsidP="002165BA">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פרק ז - המדיר</w:t>
      </w:r>
    </w:p>
    <w:p w14:paraId="6F91F30C" w14:textId="1F471DAB" w:rsidR="002165BA" w:rsidRDefault="002165BA" w:rsidP="002165BA">
      <w:pPr>
        <w:bidi/>
        <w:rPr>
          <w:rStyle w:val="Style1Char"/>
          <w:color w:val="auto"/>
          <w:sz w:val="22"/>
          <w:szCs w:val="22"/>
          <w:rtl/>
        </w:rPr>
      </w:pPr>
      <w:r w:rsidRPr="00FD4B66">
        <w:rPr>
          <w:rStyle w:val="Style1Char"/>
          <w:color w:val="auto"/>
          <w:sz w:val="22"/>
          <w:szCs w:val="22"/>
          <w:rtl/>
        </w:rPr>
        <w:t xml:space="preserve">/מתני'/. </w:t>
      </w:r>
      <w:r w:rsidR="000D371C" w:rsidRPr="00EF64BD">
        <w:rPr>
          <w:rStyle w:val="Style1Char"/>
          <w:rFonts w:hint="cs"/>
          <w:rtl/>
        </w:rPr>
        <w:t>(1)</w:t>
      </w:r>
      <w:r w:rsidRPr="00FD4B66">
        <w:rPr>
          <w:rStyle w:val="Style1Char"/>
          <w:color w:val="auto"/>
          <w:sz w:val="22"/>
          <w:szCs w:val="22"/>
          <w:rtl/>
        </w:rPr>
        <w:t>המדיר את אשתו מליהנות לו, עד ל' יום - יעמיד פרנס, יתר מיכן - יוציא ויתן כתובה; רבי יהודה אומר: בישראל, חדש אחד - יקיים, ושנים - יוציא ויתן כתובה, בכהן, שנים - יקיים, ושלשה - יוציא ויתן כתובה</w:t>
      </w:r>
      <w:r w:rsidRPr="00CB7780">
        <w:rPr>
          <w:rStyle w:val="Style1Char"/>
          <w:sz w:val="22"/>
          <w:szCs w:val="22"/>
          <w:rtl/>
        </w:rPr>
        <w:t xml:space="preserve">. </w:t>
      </w:r>
      <w:r w:rsidRPr="00FD4B66">
        <w:rPr>
          <w:rStyle w:val="Style1Char"/>
          <w:color w:val="auto"/>
          <w:sz w:val="22"/>
          <w:szCs w:val="22"/>
          <w:rtl/>
        </w:rPr>
        <w:t xml:space="preserve">המדיר את אשתו שלא תטעום אחד מכל הפירות - יוציא ויתן כתובה; ר' יהודה אומר: בישראל, יום אחד - יקיים, שנים - יוציא ויתן כתובה, ובכהן, שנים - יקיים, שלשה - יוציא ויתן כתובה. המדיר את אשתו שלא תתקשט באחד מכל המינין - יוציא ויתן כתובה; ר' יוסי אומר: בעניות - שלא נתן קצבה, ובעשירות - שלשים יום. </w:t>
      </w:r>
    </w:p>
    <w:p w14:paraId="4D25F6B7" w14:textId="77777777" w:rsidR="002165BA" w:rsidRDefault="002165BA" w:rsidP="002165BA">
      <w:pPr>
        <w:bidi/>
        <w:rPr>
          <w:rStyle w:val="Style1Char"/>
          <w:color w:val="4472C4" w:themeColor="accent1"/>
          <w:rtl/>
        </w:rPr>
      </w:pPr>
      <w:r w:rsidRPr="0090133A">
        <w:rPr>
          <w:rStyle w:val="Style1Char"/>
          <w:color w:val="4472C4" w:themeColor="accent1"/>
          <w:rtl/>
        </w:rPr>
        <w:t>שלא תטעום אחד מכל מיני הפירות גרס כדמוכח בתוספתא (פ"ז) דתניא שלא תטעום אחד מכל המינין בין מאכל רע בין מאכל יפה אפי' לא טעמה אותו המין יוציא ויתן כתובה</w:t>
      </w:r>
      <w:r w:rsidRPr="0090133A">
        <w:rPr>
          <w:rStyle w:val="Style1Char"/>
          <w:color w:val="4472C4" w:themeColor="accent1"/>
        </w:rPr>
        <w:t xml:space="preserve">: </w:t>
      </w:r>
    </w:p>
    <w:p w14:paraId="44769EED" w14:textId="77777777" w:rsidR="002165BA" w:rsidRPr="0090133A" w:rsidRDefault="002165BA" w:rsidP="002165BA">
      <w:pPr>
        <w:bidi/>
        <w:rPr>
          <w:rStyle w:val="Style1Char"/>
          <w:color w:val="4472C4" w:themeColor="accent1"/>
        </w:rPr>
      </w:pPr>
      <w:r w:rsidRPr="0090133A">
        <w:rPr>
          <w:rStyle w:val="Style1Char"/>
          <w:color w:val="4472C4" w:themeColor="accent1"/>
          <w:rtl/>
        </w:rPr>
        <w:t xml:space="preserve">והיה אומר ר"ת אם אדם אומר קונם כל הפירות שבעולם עלי לא חייל הואיל ואי אפשר שלא יעבור כדאשכחן בריש פרק ב' דנדרים (דף טו א) דאם אמר קונם עיני בשינה בסתם דלא חייל הנדר לאסור שינה עליו הואיל ואי אפשר להיות שלשה ימים בלא שינה וכן נמי אם אמר קונם כל פירות שבעולם עלי </w:t>
      </w:r>
      <w:r w:rsidRPr="0090133A">
        <w:rPr>
          <w:rStyle w:val="Style1Char"/>
          <w:color w:val="4472C4" w:themeColor="accent1"/>
          <w:rtl/>
        </w:rPr>
        <w:lastRenderedPageBreak/>
        <w:t>אם אעשה דבר זה היה אומר ר"ת דלא חייל אף על גב דאפשר לו שלא לעשות אותו דבר ולא יאסרו כל הפירות עליו</w:t>
      </w:r>
      <w:r>
        <w:rPr>
          <w:rStyle w:val="Style1Char"/>
          <w:rFonts w:hint="cs"/>
          <w:color w:val="4472C4" w:themeColor="accent1"/>
        </w:rPr>
        <w:t>‍</w:t>
      </w:r>
      <w:r w:rsidRPr="0090133A">
        <w:rPr>
          <w:rStyle w:val="Style1Char"/>
          <w:color w:val="4472C4" w:themeColor="accent1"/>
          <w:rtl/>
        </w:rPr>
        <w:t xml:space="preserve"> מ"מ כיון שהוציא מפיו כל הפירות שבעולם נדר שוא הוא ולא חייל הנדר כלל </w:t>
      </w:r>
      <w:r>
        <w:rPr>
          <w:rStyle w:val="Style1Char"/>
          <w:rFonts w:hint="cs"/>
          <w:color w:val="4472C4" w:themeColor="accent1"/>
        </w:rPr>
        <w:t>‍</w:t>
      </w:r>
      <w:r w:rsidRPr="0090133A">
        <w:rPr>
          <w:rStyle w:val="Style1Char"/>
          <w:color w:val="4472C4" w:themeColor="accent1"/>
          <w:rtl/>
        </w:rPr>
        <w:t>בפרק הבע"י (סי' יא) כתבתי כל הני יוציא ויתן כתובתה דפירקין אי כופין אותם להוציא או לאו</w:t>
      </w:r>
      <w:r>
        <w:rPr>
          <w:rStyle w:val="Style1Char"/>
          <w:rFonts w:hint="cs"/>
          <w:color w:val="4472C4" w:themeColor="accent1"/>
        </w:rPr>
        <w:t>‍‍</w:t>
      </w:r>
      <w:r w:rsidRPr="0090133A">
        <w:rPr>
          <w:rStyle w:val="Style1Char"/>
          <w:color w:val="4472C4" w:themeColor="accent1"/>
        </w:rPr>
        <w:t>:</w:t>
      </w:r>
    </w:p>
    <w:p w14:paraId="15BBB8C6" w14:textId="4ABF3007" w:rsidR="002165BA" w:rsidRDefault="002165BA" w:rsidP="002165BA">
      <w:pPr>
        <w:bidi/>
        <w:rPr>
          <w:rStyle w:val="Style1Char"/>
          <w:color w:val="00B050"/>
        </w:rPr>
      </w:pPr>
      <w:r w:rsidRPr="00216885">
        <w:rPr>
          <w:rStyle w:val="Style1Char"/>
          <w:color w:val="auto"/>
          <w:sz w:val="22"/>
          <w:szCs w:val="22"/>
          <w:rtl/>
        </w:rPr>
        <w:t xml:space="preserve">גמ'. </w:t>
      </w:r>
      <w:r w:rsidR="00174CA0" w:rsidRPr="00EF64BD">
        <w:rPr>
          <w:rStyle w:val="Style1Char"/>
          <w:rFonts w:hint="cs"/>
          <w:rtl/>
        </w:rPr>
        <w:t>(1)</w:t>
      </w:r>
      <w:r w:rsidRPr="00216885">
        <w:rPr>
          <w:rStyle w:val="Style1Char"/>
          <w:color w:val="auto"/>
          <w:sz w:val="22"/>
          <w:szCs w:val="22"/>
          <w:rtl/>
        </w:rPr>
        <w:t xml:space="preserve">וכיון דמשועבד לה היכי מצי מדיר לה? כל כמיניה דמפקע לה לשיעבודה? </w:t>
      </w:r>
      <w:r w:rsidRPr="0090133A">
        <w:rPr>
          <w:rStyle w:val="Style1Char"/>
          <w:color w:val="4472C4" w:themeColor="accent1"/>
          <w:rtl/>
        </w:rPr>
        <w:t>ואף על גב דקונמות מפקיעין מידי שעבוד אלמוה רבנן לשעבודא דאיתתא כי היכי דאלמוה לשעבודא דבעל ואף על גב דאיצטלא דמילתא דפרסוה אמיתנא לא אלמוה רבנן לשעבודא דאיתתא</w:t>
      </w:r>
      <w:r>
        <w:rPr>
          <w:rStyle w:val="Style1Char"/>
          <w:rFonts w:hint="cs"/>
          <w:color w:val="4472C4" w:themeColor="accent1"/>
        </w:rPr>
        <w:t>‍</w:t>
      </w:r>
      <w:r w:rsidRPr="0090133A">
        <w:rPr>
          <w:rStyle w:val="Style1Char"/>
          <w:color w:val="4472C4" w:themeColor="accent1"/>
          <w:rtl/>
        </w:rPr>
        <w:t xml:space="preserve"> היינו דוקא לגבי כתובה אבל שעבודא דמזונות אלמוה רבנן טפי שהוא דבר הצריך לה יותר</w:t>
      </w:r>
      <w:r>
        <w:rPr>
          <w:rStyle w:val="Style1Char"/>
          <w:rFonts w:hint="cs"/>
          <w:color w:val="4472C4" w:themeColor="accent1"/>
        </w:rPr>
        <w:t>‍‍‍</w:t>
      </w:r>
      <w:r w:rsidRPr="0090133A">
        <w:rPr>
          <w:rStyle w:val="Style1Char"/>
          <w:color w:val="4472C4" w:themeColor="accent1"/>
          <w:rtl/>
        </w:rPr>
        <w:t xml:space="preserve"> </w:t>
      </w:r>
      <w:r w:rsidRPr="00216885">
        <w:rPr>
          <w:rStyle w:val="Style1Char"/>
          <w:color w:val="auto"/>
          <w:sz w:val="22"/>
          <w:szCs w:val="22"/>
          <w:rtl/>
        </w:rPr>
        <w:t>והתנן: קונם שאיני עושה לפיך - אינו צריך להפר; אלמא כיון דמשעבדא ליה - לאו כל כמינה דמפקע ליה לשיעבודיה</w:t>
      </w:r>
      <w:r w:rsidRPr="00933645">
        <w:rPr>
          <w:rStyle w:val="Style1Char"/>
          <w:sz w:val="22"/>
          <w:szCs w:val="22"/>
          <w:rtl/>
        </w:rPr>
        <w:t xml:space="preserve">, הכא נמי כיון דמשועבד לה - לאו כל כמיניה דמפקע לה לשיעבודה! </w:t>
      </w:r>
      <w:r w:rsidRPr="00657C31">
        <w:rPr>
          <w:rStyle w:val="Style1Char"/>
          <w:color w:val="00B050"/>
          <w:rtl/>
        </w:rPr>
        <w:t xml:space="preserve">אלא, מתוך שיכול לומר לה צאי מעשה ידיך במזונותיך, </w:t>
      </w:r>
    </w:p>
    <w:p w14:paraId="23A2484C" w14:textId="5430474A" w:rsidR="00174CA0" w:rsidRDefault="00174CA0" w:rsidP="00174CA0">
      <w:pPr>
        <w:pStyle w:val="Style1"/>
        <w:rPr>
          <w:rStyle w:val="Style1Char"/>
          <w:rtl/>
        </w:rPr>
      </w:pPr>
      <w:r>
        <w:rPr>
          <w:rStyle w:val="Style1Char"/>
          <w:rFonts w:hint="cs"/>
          <w:rtl/>
        </w:rPr>
        <w:t>1)[</w:t>
      </w:r>
      <w:r w:rsidRPr="00174CA0">
        <w:rPr>
          <w:rStyle w:val="Style1Char"/>
          <w:rtl/>
        </w:rPr>
        <w:t>רמב</w:t>
      </w:r>
      <w:r w:rsidR="00213DA1">
        <w:rPr>
          <w:rStyle w:val="Style1Char"/>
          <w:rtl/>
        </w:rPr>
        <w:t>”ם \נשים\</w:t>
      </w:r>
      <w:r w:rsidRPr="00174CA0">
        <w:rPr>
          <w:rStyle w:val="Style1Char"/>
          <w:rtl/>
        </w:rPr>
        <w:t xml:space="preserve"> הלכות אישות פרק יב הלכה כג</w:t>
      </w:r>
      <w:r>
        <w:rPr>
          <w:rStyle w:val="Style1Char"/>
          <w:rFonts w:hint="cs"/>
          <w:rtl/>
        </w:rPr>
        <w:t xml:space="preserve">] </w:t>
      </w:r>
      <w:r w:rsidRPr="00174CA0">
        <w:rPr>
          <w:rStyle w:val="Style1Char"/>
          <w:rtl/>
        </w:rPr>
        <w:t>המדיר את אשתו מליהנות לו בין שפירש עד זמן פלוני בין שלא פירש אלא סתם ממתינין לו שלשים יום, אם תמו ימי נדרו או שלא תמו והתיר נדרו הרי זה מוטב ואם לאו יוציא ויתן כתובה, ובאותן השלשים יום תהיה היא עושה ואוכלת ויהיה אחד מחביריו מפרנס אותה דברים שהיא צריכה להן יתר על מעשה ידיה אם אין מעשה ידיה מספיקין לכל.</w:t>
      </w:r>
    </w:p>
    <w:p w14:paraId="4A6D4CAD" w14:textId="3688A87E" w:rsidR="00CB68A9" w:rsidRDefault="00CB68A9" w:rsidP="00CB68A9">
      <w:pPr>
        <w:pStyle w:val="Style1"/>
        <w:rPr>
          <w:rStyle w:val="Style1Char"/>
          <w:rtl/>
        </w:rPr>
      </w:pPr>
      <w:r>
        <w:rPr>
          <w:rStyle w:val="Style1Char"/>
          <w:rFonts w:hint="cs"/>
          <w:rtl/>
        </w:rPr>
        <w:t>1)[</w:t>
      </w:r>
      <w:r w:rsidRPr="00CB68A9">
        <w:rPr>
          <w:rStyle w:val="Style1Char"/>
          <w:rtl/>
        </w:rPr>
        <w:t>רמב</w:t>
      </w:r>
      <w:r w:rsidR="00213DA1">
        <w:rPr>
          <w:rStyle w:val="Style1Char"/>
          <w:rtl/>
        </w:rPr>
        <w:t>”ם \נשים\</w:t>
      </w:r>
      <w:r w:rsidRPr="00CB68A9">
        <w:rPr>
          <w:rStyle w:val="Style1Char"/>
          <w:rtl/>
        </w:rPr>
        <w:t xml:space="preserve"> הלכות אישות פרק יב הלכה כד</w:t>
      </w:r>
      <w:r>
        <w:rPr>
          <w:rStyle w:val="Style1Char"/>
          <w:rFonts w:hint="cs"/>
          <w:rtl/>
        </w:rPr>
        <w:t xml:space="preserve">] </w:t>
      </w:r>
      <w:r w:rsidRPr="00CB68A9">
        <w:rPr>
          <w:rStyle w:val="Style1Char"/>
          <w:rtl/>
        </w:rPr>
        <w:t>המדיר את אשתו שלא תטעום אחד מכל הפירות ממתינין לו שלשים יום, יתר על כן יוציא ויתן כתובה, אפילו הדירה שלא תאכל מאכל רע, אפילו הדירה ממין שלא אכלה אותו מימיה, יוציא אחר שלשים יום ויתן כתובה. נדרה היא שלא תאכל אחד מכל הפירות וקיים לה הוא את נדרה או שנדרה בנזיר ולא הפר לה, אם רצה שתשב תחתיו ולא תאכל פירות או תהיה נזירה תשב, ואם אמר איני רוצה באשה נדרנית יוציא ויתן כתובה שהרי היה בידו להפר והוא קיים לה ברצונו.</w:t>
      </w:r>
    </w:p>
    <w:p w14:paraId="2F478C26" w14:textId="20FC5D09" w:rsidR="00F91D66" w:rsidRDefault="009E0311" w:rsidP="009E0311">
      <w:pPr>
        <w:pStyle w:val="Style1"/>
        <w:rPr>
          <w:rStyle w:val="Style1Char"/>
          <w:rtl/>
        </w:rPr>
      </w:pPr>
      <w:r>
        <w:rPr>
          <w:rStyle w:val="Style1Char"/>
          <w:rFonts w:hint="cs"/>
          <w:rtl/>
        </w:rPr>
        <w:t>1)[</w:t>
      </w:r>
      <w:r w:rsidR="00F91D66" w:rsidRPr="00F91D66">
        <w:rPr>
          <w:rStyle w:val="Style1Char"/>
          <w:rtl/>
        </w:rPr>
        <w:t>רמב</w:t>
      </w:r>
      <w:r w:rsidR="00EC109D">
        <w:rPr>
          <w:rStyle w:val="Style1Char"/>
          <w:rtl/>
        </w:rPr>
        <w:t>”ם \הפלאה\</w:t>
      </w:r>
      <w:r w:rsidR="00F91D66" w:rsidRPr="00F91D66">
        <w:rPr>
          <w:rStyle w:val="Style1Char"/>
          <w:rtl/>
        </w:rPr>
        <w:t xml:space="preserve"> הלכות נדרים פרק יב הלכה י</w:t>
      </w:r>
      <w:r>
        <w:rPr>
          <w:rStyle w:val="Style1Char"/>
          <w:rFonts w:hint="cs"/>
          <w:rtl/>
        </w:rPr>
        <w:t xml:space="preserve">] </w:t>
      </w:r>
      <w:r w:rsidR="00F91D66" w:rsidRPr="00F91D66">
        <w:rPr>
          <w:rStyle w:val="Style1Char"/>
          <w:rtl/>
        </w:rPr>
        <w:t>אמרה יקדשו ידי לעושיהן או שנדרה שלא יהנה במעשה ידיה אינו נאסר במעשה ידיה מפני שידיה משועבדין לו, שאע"פ שאמרו השחרור והחמץ וההקדש מפקיעין השעבוד חכמים עשו חזוק לשעבוד הבעל שאינה יכולה להפקיעו מפני שהוא מדבריהם, אבל צריך הוא להפר שמא יגרשנה ותהיה אסורה לחזור לו.</w:t>
      </w:r>
    </w:p>
    <w:p w14:paraId="11258C33" w14:textId="172205E3" w:rsidR="00A225EF" w:rsidRDefault="00A225EF" w:rsidP="00A225EF">
      <w:pPr>
        <w:pStyle w:val="Style1"/>
        <w:rPr>
          <w:rtl/>
        </w:rPr>
      </w:pPr>
      <w:r>
        <w:rPr>
          <w:rStyle w:val="Style1Char"/>
          <w:rFonts w:hint="cs"/>
          <w:rtl/>
        </w:rPr>
        <w:t>1)[</w:t>
      </w:r>
      <w:r w:rsidRPr="00A225EF">
        <w:rPr>
          <w:rStyle w:val="Style1Char"/>
          <w:rtl/>
        </w:rPr>
        <w:t>שולחן ערוך אבן העזר הלכות כתובות סימן עב</w:t>
      </w:r>
      <w:r>
        <w:rPr>
          <w:rStyle w:val="Style1Char"/>
          <w:rFonts w:hint="cs"/>
          <w:rtl/>
        </w:rPr>
        <w:t xml:space="preserve">] </w:t>
      </w:r>
      <w:r w:rsidRPr="00A225EF">
        <w:rPr>
          <w:rtl/>
        </w:rPr>
        <w:t>המדיר את אשתו מליהנות לו, או שלא תטעם אחד מכל המינים, או שנדרה היא וקיים לה הוא – עיין ביורה דעה </w:t>
      </w:r>
      <w:hyperlink r:id="rId171" w:anchor="%D7%A1%D7%A2%D7%99%D7%A3_%D7%92" w:tooltip="שולחן ערוך יורה דעה רלה" w:history="1">
        <w:r w:rsidRPr="00A225EF">
          <w:rPr>
            <w:rtl/>
          </w:rPr>
          <w:t>בסימן רל"ה סעיף ג</w:t>
        </w:r>
        <w:r w:rsidRPr="00A225EF">
          <w:t>'</w:t>
        </w:r>
      </w:hyperlink>
      <w:r w:rsidRPr="00A225EF">
        <w:t>:</w:t>
      </w:r>
    </w:p>
    <w:p w14:paraId="3B01276A" w14:textId="272987F8" w:rsidR="00171DF2" w:rsidRPr="00A47CF4" w:rsidRDefault="00171DF2" w:rsidP="00171DF2">
      <w:pPr>
        <w:pStyle w:val="Style1"/>
      </w:pPr>
      <w:r>
        <w:rPr>
          <w:rFonts w:hint="cs"/>
          <w:rtl/>
        </w:rPr>
        <w:t>1)[</w:t>
      </w:r>
      <w:r>
        <w:rPr>
          <w:rtl/>
        </w:rPr>
        <w:t>שולחן ערוך יורה דעה הלכות נדרים סימן רלה סעיף ב</w:t>
      </w:r>
      <w:r>
        <w:rPr>
          <w:rFonts w:hint="cs"/>
          <w:rtl/>
        </w:rPr>
        <w:t>]</w:t>
      </w:r>
      <w:r w:rsidR="00A47CF4">
        <w:rPr>
          <w:rFonts w:hint="cs"/>
          <w:rtl/>
        </w:rPr>
        <w:t xml:space="preserve"> </w:t>
      </w:r>
      <w:r w:rsidR="00A47CF4" w:rsidRPr="00A47CF4">
        <w:rPr>
          <w:rtl/>
        </w:rPr>
        <w:t>הדירה שלא תיהנה ממנו אינו חל שהרי הוא משועבד לה ואם אמר לה צאי [מעשה] ידיך במזונותיך והיא מספקת בהם לדברים גדולים ואינה מספקת לדברים קטנים אם כל משפחתה רגילין באותם דברים קטנים אינו חל שהרי הוא משועבד לה גם בהם ואם אין כל משפחתה רגילים בהם אלא העשירים ואביה עשיר ורגיל בהם ובעלה אינו עשיר ואינו רגיל בהם חל הנדר שהרי אינו חייב לה בהם ומכל מקום כיון שהדירה ממנו והיא חזרה לבית אביה הוא מתחייב לה עתה בהם הילכך עד ל' יום יפרנסנה באלו הדברים הקטנים על ידי פרנס שיאמר כל הזן אינו מפסיד ויזון אותה אחר ויקח מהבעל לא שנא הדירה שלשים [יום] או יותר או שהדירה סתם אחר שלשים יום יוציא ויתן כתובה</w:t>
      </w:r>
      <w:r w:rsidR="00A47CF4" w:rsidRPr="00A47CF4">
        <w:t>:</w:t>
      </w:r>
    </w:p>
    <w:p w14:paraId="0F488E0A" w14:textId="7F30927C" w:rsidR="00171DF2" w:rsidRPr="00A225EF" w:rsidRDefault="00171DF2" w:rsidP="00171DF2">
      <w:pPr>
        <w:pStyle w:val="Style1"/>
      </w:pPr>
    </w:p>
    <w:p w14:paraId="5DAC5321" w14:textId="77777777" w:rsidR="002165BA" w:rsidRPr="00216885" w:rsidRDefault="002165BA" w:rsidP="002165BA">
      <w:pPr>
        <w:bidi/>
        <w:rPr>
          <w:rStyle w:val="Style1Char"/>
          <w:color w:val="00B050"/>
          <w:rtl/>
        </w:rPr>
      </w:pPr>
    </w:p>
    <w:p w14:paraId="36FDF29A" w14:textId="77777777" w:rsidR="002165BA" w:rsidRPr="00FD4B66" w:rsidRDefault="002165BA" w:rsidP="002165BA">
      <w:pPr>
        <w:bidi/>
        <w:rPr>
          <w:rStyle w:val="Style1Char"/>
          <w:color w:val="00B050"/>
          <w:rtl/>
        </w:rPr>
      </w:pPr>
    </w:p>
    <w:p w14:paraId="4750E113" w14:textId="77777777" w:rsidR="002165BA" w:rsidRPr="00933645" w:rsidRDefault="002165BA" w:rsidP="002165BA">
      <w:pPr>
        <w:bidi/>
        <w:rPr>
          <w:rStyle w:val="Style1Char"/>
          <w:color w:val="00B050"/>
          <w:rtl/>
        </w:rPr>
      </w:pPr>
    </w:p>
    <w:p w14:paraId="04D77BA9" w14:textId="77777777" w:rsidR="002165BA" w:rsidRDefault="002165BA" w:rsidP="002165BA">
      <w:pPr>
        <w:rPr>
          <w:rStyle w:val="Style1Char"/>
          <w:color w:val="00B050"/>
          <w:rtl/>
        </w:rPr>
      </w:pPr>
      <w:r>
        <w:rPr>
          <w:rStyle w:val="Style1Char"/>
          <w:color w:val="00B050"/>
          <w:rtl/>
        </w:rPr>
        <w:br w:type="page"/>
      </w:r>
    </w:p>
    <w:p w14:paraId="59AFA922" w14:textId="7CEA183A" w:rsidR="002165BA" w:rsidRPr="00317C77" w:rsidRDefault="002165BA" w:rsidP="002165BA">
      <w:pPr>
        <w:bidi/>
        <w:rPr>
          <w:rStyle w:val="Style1Char"/>
          <w:color w:val="auto"/>
          <w:rtl/>
        </w:rPr>
      </w:pPr>
      <w:r w:rsidRPr="0091453F">
        <w:rPr>
          <w:rStyle w:val="Style1Char"/>
          <w:color w:val="00B050"/>
          <w:sz w:val="22"/>
          <w:szCs w:val="22"/>
          <w:highlight w:val="yellow"/>
          <w:rtl/>
        </w:rPr>
        <w:lastRenderedPageBreak/>
        <w:t>[דף ע עמוד ב]</w:t>
      </w:r>
      <w:r w:rsidRPr="0091453F">
        <w:rPr>
          <w:rStyle w:val="Style1Char"/>
          <w:color w:val="00B050"/>
          <w:sz w:val="22"/>
          <w:szCs w:val="22"/>
          <w:rtl/>
        </w:rPr>
        <w:t xml:space="preserve"> </w:t>
      </w:r>
      <w:r w:rsidRPr="00657C31">
        <w:rPr>
          <w:rStyle w:val="Style1Char"/>
          <w:color w:val="00B050"/>
          <w:rtl/>
        </w:rPr>
        <w:t xml:space="preserve">נעשה כאומר לה צאי מעשה ידיך במזונותיך. ואם איתא להא דרב הונא אמר רב, דא"ר הונא אמר רב: יכולה אשה שתאמר לבעלה איני ניזונת ואיני עושה, קונם שאני עושה לפיך אמאי אינו צריך להפר? לימא: מתוך שיכולה לומר איני ניזונת ואיני עושה, נעשה כמי שאומרת לו איני ניזונת ואיני עושה: אלא, לא תימא נעשה - </w:t>
      </w:r>
      <w:r w:rsidR="005F0117">
        <w:rPr>
          <w:rStyle w:val="Style1Char"/>
          <w:rFonts w:hint="cs"/>
          <w:rtl/>
        </w:rPr>
        <w:t>(1)</w:t>
      </w:r>
      <w:r w:rsidRPr="00657C31">
        <w:rPr>
          <w:rStyle w:val="Style1Char"/>
          <w:color w:val="00B050"/>
          <w:rtl/>
        </w:rPr>
        <w:t xml:space="preserve">אלא </w:t>
      </w:r>
      <w:r w:rsidRPr="008D6349">
        <w:rPr>
          <w:rStyle w:val="Style1Char"/>
          <w:color w:val="auto"/>
          <w:sz w:val="22"/>
          <w:szCs w:val="22"/>
          <w:rtl/>
        </w:rPr>
        <w:t>באומר לה צאי מעשה ידיך במזונותיך. אי הכי, פרנס למה לה?</w:t>
      </w:r>
      <w:r w:rsidRPr="00657C31">
        <w:rPr>
          <w:rStyle w:val="Style1Char"/>
          <w:color w:val="00B050"/>
          <w:rtl/>
        </w:rPr>
        <w:t xml:space="preserve"> </w:t>
      </w:r>
      <w:r w:rsidR="00436ACD">
        <w:rPr>
          <w:rStyle w:val="Style1Char"/>
          <w:rFonts w:hint="cs"/>
          <w:rtl/>
        </w:rPr>
        <w:t>(1)</w:t>
      </w:r>
      <w:r w:rsidRPr="00657C31">
        <w:rPr>
          <w:rStyle w:val="Style1Char"/>
          <w:color w:val="00B050"/>
          <w:rtl/>
        </w:rPr>
        <w:t xml:space="preserve">בדלא ספקה. אי בדלא ספקה, הדר קושיין לדוכתיה! א"ר אשי: </w:t>
      </w:r>
      <w:r w:rsidR="00436ACD">
        <w:rPr>
          <w:rStyle w:val="Style1Char"/>
          <w:rFonts w:hint="cs"/>
          <w:rtl/>
        </w:rPr>
        <w:t>(1)</w:t>
      </w:r>
      <w:r w:rsidRPr="008D6349">
        <w:rPr>
          <w:rStyle w:val="Style1Char"/>
          <w:color w:val="auto"/>
          <w:sz w:val="22"/>
          <w:szCs w:val="22"/>
          <w:rtl/>
        </w:rPr>
        <w:t>במספקת לדברים גדולים, ואינה מספקת לדברים קטנים</w:t>
      </w:r>
      <w:r w:rsidRPr="00657C31">
        <w:rPr>
          <w:rStyle w:val="Style1Char"/>
          <w:color w:val="00B050"/>
          <w:rtl/>
        </w:rPr>
        <w:t xml:space="preserve">. הני דברים קטנים היכי דמי? אי דרגילה בהו, הא רגילה בהו! ואי לא רגילה בהו, פרנס למה לה? לא צריכא, </w:t>
      </w:r>
      <w:r w:rsidRPr="008D6349">
        <w:rPr>
          <w:rStyle w:val="Style1Char"/>
          <w:color w:val="806000" w:themeColor="accent4" w:themeShade="80"/>
          <w:sz w:val="22"/>
          <w:szCs w:val="22"/>
          <w:rtl/>
        </w:rPr>
        <w:t xml:space="preserve">דהות </w:t>
      </w:r>
      <w:r w:rsidR="00987D24">
        <w:rPr>
          <w:rStyle w:val="Style1Char"/>
          <w:rFonts w:hint="cs"/>
          <w:rtl/>
        </w:rPr>
        <w:t>(1)</w:t>
      </w:r>
      <w:r w:rsidRPr="00657C31">
        <w:rPr>
          <w:rStyle w:val="Style1Char"/>
          <w:color w:val="00B050"/>
          <w:rtl/>
        </w:rPr>
        <w:t>ד</w:t>
      </w:r>
      <w:r w:rsidRPr="008D6349">
        <w:rPr>
          <w:rStyle w:val="Style1Char"/>
          <w:color w:val="auto"/>
          <w:sz w:val="22"/>
          <w:szCs w:val="22"/>
          <w:rtl/>
        </w:rPr>
        <w:t>רגילה</w:t>
      </w:r>
      <w:r w:rsidRPr="00657C31">
        <w:rPr>
          <w:rStyle w:val="Style1Char"/>
          <w:color w:val="00B050"/>
          <w:rtl/>
        </w:rPr>
        <w:t xml:space="preserve"> </w:t>
      </w:r>
      <w:r w:rsidRPr="008D6349">
        <w:rPr>
          <w:rStyle w:val="Style1Char"/>
          <w:color w:val="4472C4" w:themeColor="accent1"/>
          <w:sz w:val="22"/>
          <w:szCs w:val="22"/>
          <w:rtl/>
        </w:rPr>
        <w:t xml:space="preserve">בהו </w:t>
      </w:r>
      <w:r w:rsidRPr="008D6349">
        <w:rPr>
          <w:rStyle w:val="Style1Char"/>
          <w:color w:val="auto"/>
          <w:sz w:val="22"/>
          <w:szCs w:val="22"/>
          <w:rtl/>
        </w:rPr>
        <w:t>בבית נשא וקא מגלגלא בהדיה</w:t>
      </w:r>
      <w:r w:rsidRPr="008D6349">
        <w:rPr>
          <w:rStyle w:val="Style1Char"/>
          <w:color w:val="auto"/>
          <w:rtl/>
        </w:rPr>
        <w:t>,</w:t>
      </w:r>
      <w:r w:rsidRPr="00657C31">
        <w:rPr>
          <w:rStyle w:val="Style1Char"/>
          <w:color w:val="00B050"/>
          <w:rtl/>
        </w:rPr>
        <w:t xml:space="preserve"> </w:t>
      </w:r>
      <w:r w:rsidRPr="008D6349">
        <w:rPr>
          <w:rStyle w:val="Style1Char"/>
          <w:color w:val="806000" w:themeColor="accent4" w:themeShade="80"/>
          <w:sz w:val="22"/>
          <w:szCs w:val="22"/>
          <w:rtl/>
        </w:rPr>
        <w:t xml:space="preserve">והשתא </w:t>
      </w:r>
      <w:r w:rsidRPr="00657C31">
        <w:rPr>
          <w:rStyle w:val="Style1Char"/>
          <w:color w:val="00B050"/>
          <w:rtl/>
        </w:rPr>
        <w:t>ד</w:t>
      </w:r>
      <w:r w:rsidRPr="008D6349">
        <w:rPr>
          <w:rStyle w:val="Style1Char"/>
          <w:color w:val="auto"/>
          <w:sz w:val="22"/>
          <w:szCs w:val="22"/>
          <w:rtl/>
        </w:rPr>
        <w:t>אמרה</w:t>
      </w:r>
      <w:r w:rsidRPr="006452FB">
        <w:rPr>
          <w:rStyle w:val="Style1Char"/>
          <w:sz w:val="22"/>
          <w:szCs w:val="22"/>
          <w:rtl/>
        </w:rPr>
        <w:t xml:space="preserve"> </w:t>
      </w:r>
      <w:r w:rsidRPr="008D6349">
        <w:rPr>
          <w:rStyle w:val="Style1Char"/>
          <w:color w:val="auto"/>
          <w:sz w:val="22"/>
          <w:szCs w:val="22"/>
          <w:rtl/>
        </w:rPr>
        <w:t>ליה: עד האידנא דלא אדרתן גלגילנא בהדך</w:t>
      </w:r>
      <w:r w:rsidRPr="008D6349">
        <w:rPr>
          <w:rStyle w:val="Style1Char"/>
          <w:color w:val="auto"/>
          <w:rtl/>
        </w:rPr>
        <w:t xml:space="preserve">, </w:t>
      </w:r>
      <w:r w:rsidRPr="008D6349">
        <w:rPr>
          <w:rStyle w:val="Style1Char"/>
          <w:color w:val="auto"/>
          <w:sz w:val="22"/>
          <w:szCs w:val="22"/>
          <w:rtl/>
        </w:rPr>
        <w:t>השתא דאדרתן לא מצינא דאיגלגל בהדך</w:t>
      </w:r>
      <w:r w:rsidRPr="00657C31">
        <w:rPr>
          <w:rStyle w:val="Style1Char"/>
          <w:color w:val="00B050"/>
          <w:rtl/>
        </w:rPr>
        <w:t xml:space="preserve">. </w:t>
      </w:r>
      <w:r w:rsidRPr="0090133A">
        <w:rPr>
          <w:rStyle w:val="Style1Char"/>
          <w:color w:val="4472C4" w:themeColor="accent1"/>
          <w:rtl/>
        </w:rPr>
        <w:t>ואף על גב דאינה יורדת עמו וא"כ הרי משועבד לה לדברים שהיתה רגילה בהן בבי נשא וא"כ היאך חל הנדר</w:t>
      </w:r>
      <w:r>
        <w:rPr>
          <w:rStyle w:val="Style1Char"/>
          <w:rFonts w:hint="cs"/>
          <w:color w:val="4472C4" w:themeColor="accent1"/>
        </w:rPr>
        <w:t>‍‍‍‍</w:t>
      </w:r>
      <w:r w:rsidRPr="0090133A">
        <w:rPr>
          <w:rStyle w:val="Style1Char"/>
          <w:color w:val="4472C4" w:themeColor="accent1"/>
          <w:rtl/>
        </w:rPr>
        <w:t xml:space="preserve"> וי"ל דהא דאינה יורדת עמו היינו בדברים של בני משפחתה שיש להן עושר ושאין להם עושר שוין בו אבל הנך דברים קטנים דרגילה בהו בבי נשא לפי שהיה עשיר אבל בני משפחתה שאין להם עושר אלא כמו שיש לבעלה אינם רגילין באותן דברים קטנים יש לה לגלגל עמו כ"ז שהיא אצלו הלכך חל הנדר אבל כשהדירה ואינה עוד אצלו חייב להנהיגה בכבוד בית אביה הלכך אמרה ליה השתא דאדרתן לא מגלגלי בהדך. </w:t>
      </w:r>
      <w:r w:rsidRPr="00317C77">
        <w:rPr>
          <w:rStyle w:val="Style1Char"/>
          <w:color w:val="auto"/>
          <w:sz w:val="22"/>
          <w:szCs w:val="22"/>
          <w:rtl/>
        </w:rPr>
        <w:t>ומאי שנא עד ל' יום? עד ל' יום - לא שמעי בה אינשי ולא זילא בה מילתא, טפי - שמעי בה אינשי וזילא בה מילתא</w:t>
      </w:r>
      <w:r w:rsidRPr="00317C77">
        <w:rPr>
          <w:rStyle w:val="Style1Char"/>
          <w:color w:val="auto"/>
          <w:rtl/>
        </w:rPr>
        <w:t xml:space="preserve">. </w:t>
      </w:r>
    </w:p>
    <w:p w14:paraId="42F853AB" w14:textId="43DA491D" w:rsidR="002165BA" w:rsidRDefault="002165BA" w:rsidP="002165BA">
      <w:pPr>
        <w:bidi/>
        <w:rPr>
          <w:rStyle w:val="Style1Char"/>
          <w:color w:val="00B050"/>
          <w:rtl/>
        </w:rPr>
      </w:pPr>
      <w:r w:rsidRPr="00657C31">
        <w:rPr>
          <w:rStyle w:val="Style1Char"/>
          <w:color w:val="00B050"/>
          <w:rtl/>
        </w:rPr>
        <w:t xml:space="preserve">איבעית אימא: שהדירה כשהיא ארוסה. ארוסה מי אית לה מזוני? שהגיע זמן ולא נשאו, דתנן: הגיע זמן ולא נשאו - אוכלות משלו ואוכלות בתרומה. ומאי שנא עד שלשים יום? עד שלשים יום עביד שליח שליחותיה, טפי לא עביד שליח שליחותיה, ואיבעית אימא: שהדירה כשהיא ארוסה ונישאת. נישאת, הא סברה וקבלה! דאמרה: כסבורה אני שאני יכולה לקבל, עכשיו אין אני יכולה לקבל. אימר דאמרינן הכי - גבי מומין, לענין מזוני מי אמרינן הכי? אלא, מחוורתא כדשנינן מעיקרא. עד שלשים יום - יעמיד פרנס. </w:t>
      </w:r>
      <w:r w:rsidRPr="00C5419C">
        <w:rPr>
          <w:rStyle w:val="Style1Char"/>
          <w:color w:val="auto"/>
          <w:sz w:val="22"/>
          <w:szCs w:val="22"/>
          <w:rtl/>
        </w:rPr>
        <w:t xml:space="preserve">ופרנס לאו שליחותיה קא עביד? </w:t>
      </w:r>
      <w:r w:rsidRPr="00657C31">
        <w:rPr>
          <w:rStyle w:val="Style1Char"/>
          <w:color w:val="00B050"/>
          <w:rtl/>
        </w:rPr>
        <w:t xml:space="preserve">אמר רב הונא: </w:t>
      </w:r>
      <w:r w:rsidR="00B96F52">
        <w:rPr>
          <w:rStyle w:val="Style1Char"/>
          <w:rFonts w:hint="cs"/>
          <w:rtl/>
        </w:rPr>
        <w:t>(1)</w:t>
      </w:r>
      <w:r w:rsidRPr="00C5419C">
        <w:rPr>
          <w:rStyle w:val="Style1Char"/>
          <w:color w:val="auto"/>
          <w:sz w:val="22"/>
          <w:szCs w:val="22"/>
          <w:rtl/>
        </w:rPr>
        <w:t>באומר כל הזן אינו מפסיד</w:t>
      </w:r>
      <w:r>
        <w:rPr>
          <w:rStyle w:val="Style1Char"/>
          <w:rFonts w:hint="cs"/>
          <w:color w:val="4472C4" w:themeColor="accent1"/>
        </w:rPr>
        <w:t>‍‍</w:t>
      </w:r>
      <w:r w:rsidRPr="0090133A">
        <w:rPr>
          <w:rStyle w:val="Style1Char"/>
          <w:color w:val="4472C4" w:themeColor="accent1"/>
          <w:rtl/>
        </w:rPr>
        <w:t>היה</w:t>
      </w:r>
      <w:r>
        <w:rPr>
          <w:rStyle w:val="Style1Char"/>
          <w:rFonts w:hint="cs"/>
          <w:color w:val="4472C4" w:themeColor="accent1"/>
        </w:rPr>
        <w:t>‍</w:t>
      </w:r>
      <w:r w:rsidRPr="0090133A">
        <w:rPr>
          <w:rStyle w:val="Style1Char"/>
          <w:color w:val="4472C4" w:themeColor="accent1"/>
          <w:rtl/>
        </w:rPr>
        <w:t xml:space="preserve"> אומר רשב"ם ז"ל דווקא כי ה"ג דקאמר כל הזן אינו מפסיד בלשון רבים הוא דשרי במודר הנאה אבל למימר ליחיד אם</w:t>
      </w:r>
      <w:r>
        <w:rPr>
          <w:rStyle w:val="Style1Char"/>
          <w:rFonts w:hint="cs"/>
          <w:color w:val="4472C4" w:themeColor="accent1"/>
        </w:rPr>
        <w:t>‍</w:t>
      </w:r>
      <w:r w:rsidRPr="0090133A">
        <w:rPr>
          <w:rStyle w:val="Style1Char"/>
          <w:color w:val="4472C4" w:themeColor="accent1"/>
          <w:rtl/>
        </w:rPr>
        <w:t xml:space="preserve"> תזון לא תפסיד לא דמיחזי כשלוחו תדע דלקמן גבי בא בדרך לא שרינא ליה למימר הכי ובמסקנא נמי כי משני לא מיבעיא קאמר לא מיבעיא כל הזן דלעלמא קאמר אבל האי דרגיל אצלו וכו' ואי הוה שרינן ליה למימר ליחידים הכי ה"ל למימר בחנוני הרגיל אצלו אם תזון לא תפסיד וכ"ש הך.</w:t>
      </w:r>
      <w:r w:rsidRPr="00C5419C">
        <w:rPr>
          <w:rStyle w:val="Style1Char"/>
          <w:color w:val="auto"/>
          <w:sz w:val="22"/>
          <w:szCs w:val="22"/>
          <w:rtl/>
        </w:rPr>
        <w:t xml:space="preserve">. </w:t>
      </w:r>
      <w:r w:rsidRPr="00657C31">
        <w:rPr>
          <w:rStyle w:val="Style1Char"/>
          <w:color w:val="00B050"/>
          <w:rtl/>
        </w:rPr>
        <w:t xml:space="preserve">וכי אמר הכי לאו שליחותיה קעביד? והתנן: </w:t>
      </w:r>
      <w:r w:rsidR="00B96F52">
        <w:rPr>
          <w:rStyle w:val="Style1Char"/>
          <w:rFonts w:hint="cs"/>
          <w:rtl/>
        </w:rPr>
        <w:t>(2)</w:t>
      </w:r>
      <w:r w:rsidRPr="00657C31">
        <w:rPr>
          <w:rStyle w:val="Style1Char"/>
          <w:color w:val="00B050"/>
          <w:rtl/>
        </w:rPr>
        <w:t xml:space="preserve">מי שהיה מושלך בבור, ואמר כל השומע קולו יכתוב גט לאשתו - הרי אלו יכתבו ויתנו! הכי השתא, התם קאמר יכתוב, הכא מי קאמר יזון? כל הזן קאמר. והא אמר ר' אמי: </w:t>
      </w:r>
      <w:r w:rsidR="007C0EFB">
        <w:rPr>
          <w:rStyle w:val="Style1Char"/>
          <w:rFonts w:hint="cs"/>
          <w:rtl/>
        </w:rPr>
        <w:t>(3)</w:t>
      </w:r>
      <w:r w:rsidRPr="00657C31">
        <w:rPr>
          <w:rStyle w:val="Style1Char"/>
          <w:color w:val="00B050"/>
          <w:rtl/>
        </w:rPr>
        <w:t xml:space="preserve">בדליקה התירו לומר כל המכבה אינו מפסיד, בדליקה למעוטי מאי? לאו למעוטי כי האי גוונא! לא, למעוטי שאר איסורים דשבת. מתיב רבה: המודר הנאה מחבירו ואין לו מה יאכל, ילך אצל חנוני הרגיל אצלו ויאמר לו איש פלוני מודר הנאה ממני ואיני יודע מה אעשה לו, הוא נותן לו ובא ונוטל מזה; הכי הוא דשרי, אבל כל הזן אינו מפסיד לא! לא מיבעיא קאמר, לא מיבעיא כל הזן אינו מפסיד דלעלמא קאמר, אבל האי כיון דרגיל אצלו וקאזיל קאמר ליה, כמאן דאמר ליה זיל הב ליה את דמי, קמ"ל. גופא: </w:t>
      </w:r>
      <w:r w:rsidR="00C14D7C">
        <w:rPr>
          <w:rStyle w:val="Style1Char"/>
          <w:rFonts w:hint="cs"/>
          <w:rtl/>
        </w:rPr>
        <w:t>(</w:t>
      </w:r>
      <w:r w:rsidR="00EA5E9B">
        <w:rPr>
          <w:rStyle w:val="Style1Char"/>
          <w:rFonts w:hint="cs"/>
          <w:rtl/>
        </w:rPr>
        <w:t>1.3, 4</w:t>
      </w:r>
      <w:r w:rsidR="00C14D7C">
        <w:rPr>
          <w:rStyle w:val="Style1Char"/>
          <w:rFonts w:hint="cs"/>
          <w:rtl/>
        </w:rPr>
        <w:t>)</w:t>
      </w:r>
      <w:r w:rsidRPr="00657C31">
        <w:rPr>
          <w:rStyle w:val="Style1Char"/>
          <w:color w:val="00B050"/>
          <w:rtl/>
        </w:rPr>
        <w:t xml:space="preserve">המודר הנאה מחבירו ואין לו מה יאכל, הולך אצל חנוני הרגיל אצלו ואומר לו איש פלוני מודר הנאה ממני ואיני יודע מה אעשה לו, הוא נותן לו ובא ונוטל מזה; ביתו לבנות, וגדירו לגדור, ושדהו לקצור, הולך אצל פועלין הרגילין אצלו ואומר להן איש פלוני מודר הנאה ממני ואיני יודע מה אעשה לו, הן עושין עמו ובאין ונוטלים שכרן מזה; </w:t>
      </w:r>
      <w:r w:rsidR="00A91F93">
        <w:rPr>
          <w:rStyle w:val="Style1Char"/>
          <w:rFonts w:hint="cs"/>
          <w:rtl/>
        </w:rPr>
        <w:t>(5)</w:t>
      </w:r>
      <w:r w:rsidRPr="00657C31">
        <w:rPr>
          <w:rStyle w:val="Style1Char"/>
          <w:color w:val="00B050"/>
          <w:rtl/>
        </w:rPr>
        <w:t xml:space="preserve">היו מהלכין בדרך ואין עמו מה יאכל, נותן לאחר לשום מתנה, והלה נוטל ואוכל ומותר, ואם אין שם אחר - </w:t>
      </w:r>
      <w:r w:rsidR="000245BB">
        <w:rPr>
          <w:rStyle w:val="Style1Char"/>
          <w:rFonts w:hint="cs"/>
          <w:rtl/>
        </w:rPr>
        <w:t>(5)</w:t>
      </w:r>
      <w:r w:rsidRPr="00657C31">
        <w:rPr>
          <w:rStyle w:val="Style1Char"/>
          <w:color w:val="00B050"/>
          <w:rtl/>
        </w:rPr>
        <w:t xml:space="preserve">מניח על גבי הסלע או על גבי הגדר ואומר הרי הן מופקרין לכל מי שיחפוץ, והלה נוטל ואוכל ומותר, ורבי יוסי אוסר. אמר רבא: מ"ט דר' יוסי? גזירה משום </w:t>
      </w:r>
    </w:p>
    <w:p w14:paraId="1A055134" w14:textId="397C074D" w:rsidR="00B35E61" w:rsidRDefault="00B35E61" w:rsidP="00B35E61">
      <w:pPr>
        <w:pStyle w:val="Style1"/>
        <w:rPr>
          <w:rStyle w:val="Style1Char"/>
          <w:rtl/>
        </w:rPr>
      </w:pPr>
      <w:r>
        <w:rPr>
          <w:rStyle w:val="Style1Char"/>
          <w:rFonts w:hint="cs"/>
          <w:rtl/>
        </w:rPr>
        <w:t>1)[</w:t>
      </w:r>
      <w:r w:rsidRPr="00174CA0">
        <w:rPr>
          <w:rStyle w:val="Style1Char"/>
          <w:rtl/>
        </w:rPr>
        <w:t>רמב</w:t>
      </w:r>
      <w:r w:rsidR="00213DA1">
        <w:rPr>
          <w:rStyle w:val="Style1Char"/>
          <w:rtl/>
        </w:rPr>
        <w:t>”ם \נשים\</w:t>
      </w:r>
      <w:r w:rsidRPr="00174CA0">
        <w:rPr>
          <w:rStyle w:val="Style1Char"/>
          <w:rtl/>
        </w:rPr>
        <w:t xml:space="preserve"> הלכות אישות פרק יב הלכה כג</w:t>
      </w:r>
      <w:r>
        <w:rPr>
          <w:rStyle w:val="Style1Char"/>
          <w:rFonts w:hint="cs"/>
          <w:rtl/>
        </w:rPr>
        <w:t xml:space="preserve">] </w:t>
      </w:r>
      <w:r w:rsidRPr="00174CA0">
        <w:rPr>
          <w:rStyle w:val="Style1Char"/>
          <w:rtl/>
        </w:rPr>
        <w:t>המדיר את אשתו מליהנות לו בין שפירש עד זמן פלוני בין שלא פירש אלא סתם ממתינין לו שלשים יום, אם תמו ימי נדרו או שלא תמו והתיר נדרו הרי זה מוטב ואם לאו יוציא ויתן כתובה, ובאותן השלשים יום תהיה היא עושה ואוכלת ויהיה אחד מחביריו מפרנס אותה דברים שהיא צריכה להן יתר על מעשה ידיה אם אין מעשה ידיה מספיקין לכל.</w:t>
      </w:r>
    </w:p>
    <w:p w14:paraId="5F2BD309" w14:textId="12587FEB" w:rsidR="00B35E61" w:rsidRDefault="00B35E61" w:rsidP="00B35E61">
      <w:pPr>
        <w:pStyle w:val="Style1"/>
        <w:rPr>
          <w:rtl/>
        </w:rPr>
      </w:pPr>
      <w:r>
        <w:rPr>
          <w:rFonts w:hint="cs"/>
          <w:rtl/>
        </w:rPr>
        <w:t>1)[</w:t>
      </w:r>
      <w:r>
        <w:rPr>
          <w:rtl/>
        </w:rPr>
        <w:t>שולחן ערוך יורה דעה הלכות נדרים סימן רלה סעיף ב</w:t>
      </w:r>
      <w:r>
        <w:rPr>
          <w:rFonts w:hint="cs"/>
          <w:rtl/>
        </w:rPr>
        <w:t xml:space="preserve">] </w:t>
      </w:r>
      <w:r w:rsidRPr="00A47CF4">
        <w:rPr>
          <w:rtl/>
        </w:rPr>
        <w:t>הדירה שלא תיהנה ממנו אינו חל שהרי הוא משועבד לה ואם אמר לה צאי [מעשה] ידיך במזונותיך והיא מספקת בהם לדברים גדולים ואינה מספקת לדברים קטנים אם כל משפחתה רגילין באותם דברים קטנים אינו חל שהרי הוא משועבד לה גם בהם ואם אין כל משפחתה רגילים בהם אלא העשירים ואביה עשיר ורגיל בהם ובעלה אינו עשיר ואינו רגיל בהם חל הנדר שהרי אינו חייב לה בהם ומכל מקום כיון שהדירה ממנו והיא חזרה לבית אביה הוא מתחייב לה עתה בהם הילכך עד ל' יום יפרנסנה באלו הדברים הקטנים על ידי פרנס שיאמר כל הזן אינו מפסיד ויזון אותה אחר ויקח מהבעל לא שנא הדירה שלשים [יום] או יותר או שהדירה סתם אחר שלשים יום יוציא ויתן כתובה</w:t>
      </w:r>
      <w:r w:rsidRPr="00A47CF4">
        <w:t>:</w:t>
      </w:r>
    </w:p>
    <w:p w14:paraId="653C4E8D" w14:textId="49009ED8" w:rsidR="000A1ECB" w:rsidRDefault="000A1ECB" w:rsidP="000A1ECB">
      <w:pPr>
        <w:pStyle w:val="Style1"/>
        <w:rPr>
          <w:rtl/>
        </w:rPr>
      </w:pPr>
      <w:r>
        <w:rPr>
          <w:rFonts w:hint="cs"/>
          <w:rtl/>
        </w:rPr>
        <w:t>1)[</w:t>
      </w:r>
      <w:r>
        <w:rPr>
          <w:rtl/>
        </w:rPr>
        <w:t>שולחן ערוך יורה דעה הלכות נדרים סימן רכא סעיף ח</w:t>
      </w:r>
      <w:r>
        <w:rPr>
          <w:rFonts w:hint="cs"/>
          <w:rtl/>
        </w:rPr>
        <w:t>]</w:t>
      </w:r>
      <w:r w:rsidR="00E5714D">
        <w:rPr>
          <w:rFonts w:hint="cs"/>
          <w:rtl/>
        </w:rPr>
        <w:t xml:space="preserve"> </w:t>
      </w:r>
      <w:r w:rsidR="00E5714D" w:rsidRPr="00E5714D">
        <w:rPr>
          <w:rtl/>
        </w:rPr>
        <w:t>הנותן טבלא לאומן לצייר ואסרה על בעלה אחר שציירה קודם שפרעו מותרת המודר הנאה מחבירו יכול המדיר לומר לחנוני פלוני מודר הנאה ממני ואיני יודע מה אעשה והחנוני נותן לו וחוזר ונוטל מהמדיר אם ירצה המדיר לפרעו </w:t>
      </w:r>
      <w:r w:rsidR="00E5714D" w:rsidRPr="00E5714D">
        <w:rPr>
          <w:rFonts w:hint="cs"/>
        </w:rPr>
        <w:t>(</w:t>
      </w:r>
      <w:r w:rsidR="00E5714D" w:rsidRPr="00E5714D">
        <w:rPr>
          <w:rFonts w:hint="cs"/>
          <w:rtl/>
        </w:rPr>
        <w:t>אבל אינו מחוייב לפרעו</w:t>
      </w:r>
      <w:r w:rsidR="00E5714D" w:rsidRPr="00E5714D">
        <w:rPr>
          <w:rFonts w:hint="cs"/>
        </w:rPr>
        <w:t>)</w:t>
      </w:r>
      <w:r w:rsidR="00E5714D" w:rsidRPr="00E5714D">
        <w:t xml:space="preserve">. </w:t>
      </w:r>
      <w:r w:rsidR="00E5714D" w:rsidRPr="00E5714D">
        <w:rPr>
          <w:rtl/>
        </w:rPr>
        <w:t>וכן אם היה למודר בית לבנות גדר לגדור שדה לקצור יכול לומר לפועלים פלוני מודר הנאה ממני ואיני יודע מה אעשה הם עושים עמו ובאים ונוטלין שכר מהמדיר אם ירצה המדיר לפרעם וכן מותר לומר כל הזן לפלוני או עושה עמו אינו מפסיד אבל אסור לומר כל השומע קולי יזון לפלוני דכיון שהוא לשון ציווי הוי כשלוחו וכן אסור לומר לחבירו אם תזון לפלוני לא תפסיד דכיון שאומר כן ליחיד נראה כשלוחו</w:t>
      </w:r>
      <w:r w:rsidR="00E5714D" w:rsidRPr="00E5714D">
        <w:t>:</w:t>
      </w:r>
    </w:p>
    <w:p w14:paraId="37DA904C" w14:textId="7A89FE2A" w:rsidR="007C0EFB" w:rsidRDefault="007C0EFB" w:rsidP="007C0EFB">
      <w:pPr>
        <w:pStyle w:val="Style1"/>
        <w:rPr>
          <w:rtl/>
        </w:rPr>
      </w:pPr>
      <w:r>
        <w:rPr>
          <w:rFonts w:hint="cs"/>
          <w:rtl/>
        </w:rPr>
        <w:t>2)[</w:t>
      </w:r>
      <w:r>
        <w:rPr>
          <w:rtl/>
        </w:rPr>
        <w:t>רמב</w:t>
      </w:r>
      <w:r w:rsidR="00213DA1">
        <w:rPr>
          <w:rtl/>
        </w:rPr>
        <w:t>”ם \נשים\</w:t>
      </w:r>
      <w:r>
        <w:rPr>
          <w:rtl/>
        </w:rPr>
        <w:t xml:space="preserve"> הלכות גירושין פרק ב הלכה יג</w:t>
      </w:r>
      <w:r>
        <w:rPr>
          <w:rFonts w:hint="cs"/>
          <w:rtl/>
        </w:rPr>
        <w:t xml:space="preserve">] </w:t>
      </w:r>
      <w:r>
        <w:rPr>
          <w:rtl/>
        </w:rPr>
        <w:t>בריא שאמר כתבו גט לאשתי וכתבו וחתמו ונתנו לה והרג עצמו מיד כגון שהשליך עצמו מן הגג או הפיל עצמו לים הרי זה גט כשר, עלה לגג ודחפתו הרוח ונפל ומת אינו גט, ספק הפיל עצמו ספק דחפתו הרוח הרי זה גט עד שיודע בודאי שהרוח דחפתו, וכן מי שהיה מושלך בבור ואמר כל השומע קולי יכתוב גט לאשתי הרי אלו יכתבו ויתנו לה, והוא שידעו אותו, ואף על פי שהעלוהו ולא הכירוהו הרי הגט כשר, שזה בשעת הסכנה הוא שכותבין ונותנין אף על פי שאין מכירין, וכן מי שנפלו בו מכות רעות שאי אפשר שיחיה מהן אפילו נשחט בו רוב שני הסימנין ורמז ואמר כתבו גט לאשתי הרי אלו יכתבו ויתנו שהרי עתה חי הוא אף על פי שסופו למות. /השגת הראב"ד/ ספק הפיל עצמו ספק דחפתו הרוח הרי זה גט. א"א זה הספק להקל בירושלמי (פ"ו ה"ו) מצא אותו ושם אמרו אם על אתר נפל הרי זה גט אם לאחר שעה אין זה גט ועל אתר לאו ספק הוא הדא אמרה ספק הרי זה גט.</w:t>
      </w:r>
    </w:p>
    <w:p w14:paraId="1A42A3E3" w14:textId="7C32E88F" w:rsidR="006E7A2C" w:rsidRDefault="006E7A2C" w:rsidP="00E87207">
      <w:pPr>
        <w:pStyle w:val="Style1"/>
        <w:rPr>
          <w:rtl/>
        </w:rPr>
      </w:pPr>
      <w:r>
        <w:rPr>
          <w:rFonts w:hint="cs"/>
          <w:rtl/>
        </w:rPr>
        <w:t>2)[</w:t>
      </w:r>
      <w:r>
        <w:rPr>
          <w:rtl/>
        </w:rPr>
        <w:t>שולחן ערוך אבן העזר הלכות גיטין סימן קמא סעיף יט</w:t>
      </w:r>
      <w:r>
        <w:rPr>
          <w:rFonts w:hint="cs"/>
          <w:rtl/>
        </w:rPr>
        <w:t>]</w:t>
      </w:r>
      <w:r w:rsidR="00E87207">
        <w:rPr>
          <w:rFonts w:hint="cs"/>
          <w:rtl/>
        </w:rPr>
        <w:t xml:space="preserve"> </w:t>
      </w:r>
      <w:r w:rsidR="00E87207" w:rsidRPr="00E87207">
        <w:rPr>
          <w:rtl/>
        </w:rPr>
        <w:t>וכן מי שהיה משלך לבור ואמר: כל השומע קולי יכתב גט לאשתי, ופרש שמו ושם אשתו, שם עירו ושם עירה, הרי אלו יכתבו [ויתנו] לה. ואף על פי שהעלוהו ולא הכירוהו, הרי זה כשר, שזה כשעת הסכנה הוא, שכותבין ונותנין אף על פי שאין מכירין. ויש אומרים דהני מלי שראו לו דמות אדם וחזו לה נמי בבואה דבבואה, הא לאו הכי חישינן שמא שד הוא, שדרך השדים למצא בבורות וכן בשדות</w:t>
      </w:r>
      <w:r w:rsidR="00E87207" w:rsidRPr="00E87207">
        <w:t>:</w:t>
      </w:r>
    </w:p>
    <w:p w14:paraId="4810B507" w14:textId="2A22CD48" w:rsidR="00462920" w:rsidRDefault="00462920" w:rsidP="00462920">
      <w:pPr>
        <w:pStyle w:val="Style1"/>
        <w:rPr>
          <w:rtl/>
        </w:rPr>
      </w:pPr>
      <w:r>
        <w:rPr>
          <w:rFonts w:hint="cs"/>
          <w:rtl/>
        </w:rPr>
        <w:t>3)[</w:t>
      </w:r>
      <w:r>
        <w:rPr>
          <w:rtl/>
        </w:rPr>
        <w:t>רמב</w:t>
      </w:r>
      <w:r w:rsidR="00C764B2">
        <w:rPr>
          <w:rtl/>
        </w:rPr>
        <w:t>”ם \זמנים\</w:t>
      </w:r>
      <w:r>
        <w:rPr>
          <w:rtl/>
        </w:rPr>
        <w:t xml:space="preserve"> הלכות שבת פרק יב הלכה ז</w:t>
      </w:r>
      <w:r>
        <w:rPr>
          <w:rFonts w:hint="cs"/>
          <w:rtl/>
        </w:rPr>
        <w:t xml:space="preserve">] </w:t>
      </w:r>
      <w:r>
        <w:rPr>
          <w:rtl/>
        </w:rPr>
        <w:t>נכרי שבא לכבות אין אומרים לו כבה ואל תכבה מפני שאין שביתתו עלינו, אבל קטן שבא לכבות אין שומעין לו, והוא שיהיה עושה על דעת אביו, אבל מדעת עצמו אין בית דין מצווין עליו להפרישו, ובדליקה התירו לומר כל המכבה אינו מפסיד.</w:t>
      </w:r>
    </w:p>
    <w:p w14:paraId="193F3B8D" w14:textId="3364FE21" w:rsidR="003D07A4" w:rsidRPr="003D07A4" w:rsidRDefault="00FB0D0E" w:rsidP="003D07A4">
      <w:pPr>
        <w:pStyle w:val="Style1"/>
      </w:pPr>
      <w:r>
        <w:rPr>
          <w:rFonts w:hint="cs"/>
          <w:rtl/>
        </w:rPr>
        <w:t>3)[</w:t>
      </w:r>
      <w:r>
        <w:rPr>
          <w:rtl/>
        </w:rPr>
        <w:t>שולחן ערוך אורח חיים הלכות שבת סימן שלד סעיף כו</w:t>
      </w:r>
      <w:r>
        <w:rPr>
          <w:rFonts w:hint="cs"/>
          <w:rtl/>
        </w:rPr>
        <w:t>]</w:t>
      </w:r>
      <w:r w:rsidR="003D07A4">
        <w:rPr>
          <w:rFonts w:hint="cs"/>
          <w:rtl/>
        </w:rPr>
        <w:t xml:space="preserve"> </w:t>
      </w:r>
      <w:r w:rsidR="003D07A4" w:rsidRPr="003D07A4">
        <w:rPr>
          <w:rtl/>
        </w:rPr>
        <w:t>יכול לומר בפני עכו"ם כל המכבה אינו מפסיד אף אם אינו מזומן כאן יכול לקרותו שיבא אף על פי שודאי יכבה כשיבא וכן כל כיוצא בזה בהיזק הבא פתאום כגון אם נתרועעה חבית של יין יכול לקרוא עכו"ם אף על פי שודאי יתקננה כשיבא</w:t>
      </w:r>
      <w:r w:rsidR="003D07A4" w:rsidRPr="003D07A4">
        <w:t>:</w:t>
      </w:r>
    </w:p>
    <w:p w14:paraId="29DC407A" w14:textId="552CA2A6" w:rsidR="003D07A4" w:rsidRDefault="003D07A4" w:rsidP="003D07A4">
      <w:pPr>
        <w:pStyle w:val="Style1"/>
        <w:rPr>
          <w:rtl/>
        </w:rPr>
      </w:pPr>
      <w:r w:rsidRPr="003D07A4">
        <w:rPr>
          <w:rFonts w:hint="cs"/>
          <w:rtl/>
        </w:rPr>
        <w:t xml:space="preserve">הגה: וכל הדינים הנזכרים בדיני הדליקה הני מילי בימיהם אבל בזמן שאנו שרויין בין אינם יהודים כתבו הראשונים והאחרונים ז"ל שמותר לכבות דליקה בשבת משום דיש בה סכנת נפשות והזריז הרי זה משובח ומכל מקום הכל לפי הענין דאם היו בטוחים ודאי שאין שום סכנה בדבר אסור לכבות אבל בחשש סכנת ספק מותר לכבות אפילו הדליקה בביתו של עכו"ם וכן נוהגין (תרומת הדשן סימן נ"ח והגהות אשירי פרק מי שהוציאוהו בשם אור זרוע). </w:t>
      </w:r>
      <w:r w:rsidRPr="003D07A4">
        <w:rPr>
          <w:rFonts w:hint="cs"/>
          <w:rtl/>
        </w:rPr>
        <w:lastRenderedPageBreak/>
        <w:t>ודוקא לכבות הדליקה דהוי מלאכה שאינה צריכה לגופה ויש סכנה אם לא יכבה אבל אסור לחלל שבת כדי להציל (ממון) ואם עבר וחילל צריך להתענות ארבעים יום שני וחמישי ולא ישתה יין ולא יאכל בשר ויתן במקום חטאת י"ח פשיטים לצדקה ואם ירצה לפדות התענית יתן בעד כל יום שנים עשר פשיטים לצדקה (פסקי מהרא"י סימן ט'). ועיין בטור יורה דעה מהלכות נדה </w:t>
      </w:r>
      <w:hyperlink r:id="rId172" w:tooltip="טור יורה דעה קפה" w:history="1">
        <w:r w:rsidRPr="003D07A4">
          <w:rPr>
            <w:rStyle w:val="Hyperlink"/>
            <w:rFonts w:hint="cs"/>
            <w:color w:val="7030A0"/>
            <w:u w:val="none"/>
            <w:rtl/>
          </w:rPr>
          <w:t>סימן קפ"ה</w:t>
        </w:r>
      </w:hyperlink>
    </w:p>
    <w:p w14:paraId="2C688B14" w14:textId="219A1260" w:rsidR="000905BD" w:rsidRDefault="000905BD" w:rsidP="000905BD">
      <w:pPr>
        <w:pStyle w:val="Style1"/>
        <w:rPr>
          <w:rtl/>
        </w:rPr>
      </w:pPr>
      <w:r>
        <w:rPr>
          <w:rFonts w:hint="cs"/>
          <w:rtl/>
        </w:rPr>
        <w:t>4)[</w:t>
      </w:r>
      <w:r>
        <w:rPr>
          <w:rtl/>
        </w:rPr>
        <w:t>רמב</w:t>
      </w:r>
      <w:r w:rsidR="00EC109D">
        <w:rPr>
          <w:rtl/>
        </w:rPr>
        <w:t>”ם \הפלאה\</w:t>
      </w:r>
      <w:r>
        <w:rPr>
          <w:rtl/>
        </w:rPr>
        <w:t xml:space="preserve"> הלכות נדרים פרק ז הלכה יב</w:t>
      </w:r>
      <w:r>
        <w:rPr>
          <w:rFonts w:hint="cs"/>
          <w:rtl/>
        </w:rPr>
        <w:t xml:space="preserve">] </w:t>
      </w:r>
      <w:r>
        <w:rPr>
          <w:rtl/>
        </w:rPr>
        <w:t>מי שהיתה הנייתו אסורה על חבירו ואין לחבירו מה יאכל, הולך אצל החנוני ואומר איש פלוני אסור בהנייתי ואיני יודע מה אעשה, אם הלך החנוני ונתן לו ובא ונטל מזה הרי זה מותר.</w:t>
      </w:r>
    </w:p>
    <w:p w14:paraId="2467E8E3" w14:textId="36B5253C" w:rsidR="0061656C" w:rsidRDefault="00577078" w:rsidP="00577078">
      <w:pPr>
        <w:pStyle w:val="Style1"/>
        <w:rPr>
          <w:rtl/>
        </w:rPr>
      </w:pPr>
      <w:r>
        <w:rPr>
          <w:rFonts w:hint="cs"/>
          <w:rtl/>
        </w:rPr>
        <w:t>5)[</w:t>
      </w:r>
      <w:r>
        <w:rPr>
          <w:rtl/>
        </w:rPr>
        <w:t>רמב</w:t>
      </w:r>
      <w:r w:rsidR="00EC109D">
        <w:rPr>
          <w:rtl/>
        </w:rPr>
        <w:t>”ם \הפלאה\</w:t>
      </w:r>
      <w:r>
        <w:rPr>
          <w:rtl/>
        </w:rPr>
        <w:t xml:space="preserve"> הלכות נדרים פרק ז הלכה יד</w:t>
      </w:r>
      <w:r>
        <w:rPr>
          <w:rFonts w:hint="cs"/>
          <w:rtl/>
        </w:rPr>
        <w:t xml:space="preserve">] </w:t>
      </w:r>
      <w:r>
        <w:rPr>
          <w:rtl/>
        </w:rPr>
        <w:t>היו מהלכין בדרך ואין לו מה יאכל, נותן לאחר משום מתנה והלה מותר בה, ואם אין עמהם אחר מניח על הסלע ואומר הרי הן מופקרין לכל מי שיחפוץ והלה נוטל ואוכל.</w:t>
      </w:r>
    </w:p>
    <w:p w14:paraId="6803E881" w14:textId="44AD4664" w:rsidR="003863C1" w:rsidRDefault="003863C1" w:rsidP="003863C1">
      <w:pPr>
        <w:pStyle w:val="Style1"/>
      </w:pPr>
      <w:r>
        <w:rPr>
          <w:rFonts w:hint="cs"/>
          <w:rtl/>
        </w:rPr>
        <w:t>5)[</w:t>
      </w:r>
      <w:r>
        <w:rPr>
          <w:rtl/>
        </w:rPr>
        <w:t>שולחן ערוך יורה דעה הלכות נדרים סימן רכא סעיף ט</w:t>
      </w:r>
      <w:r>
        <w:rPr>
          <w:rFonts w:hint="cs"/>
          <w:rtl/>
        </w:rPr>
        <w:t xml:space="preserve">] </w:t>
      </w:r>
      <w:r>
        <w:rPr>
          <w:rtl/>
        </w:rPr>
        <w:t>היו מהלכין בדרך ואין לו מה יאכל, נותן לאחר לשם מתנה והלה מותר בה. ואם אין עמהם אחר, מניח על הסלע ואומר: הרי הוא מופקר לכל מי שירצה, והלה נוטל ואוכל. במה דברים אמורים, בנותן לאחר לשם מתנה, בסתם. אבל אם אמר לחבירו: הסעודה נתונה לך במתנה, ויבא פלוני שהוא אסור בהנייתי ויאכל עמכם בסעודה, הרי זה אסור. ולא עוד אלא אפילו נותן לו, סתם, וחזר ואמר לו: רצונך שיבא פלוני ויאכל עמכם, אם הוכיח סופו על תחלתו שלא נתן לו אלא על מנת שיבא פלוני ויאכל, אסור, כגון שהיתה סעודה גדולה והוא רוצה שיבא אביו או רבו וכיוצא בהם שהם אסורים בהנייתו לאכול מסעודתו, שהרי סעודתו מוכחת עליו שלא גמר להקנות. וכן כל כיוצא בזה.</w:t>
      </w:r>
    </w:p>
    <w:p w14:paraId="689F21CF" w14:textId="4F27C71A" w:rsidR="0061656C" w:rsidRPr="003D07A4" w:rsidRDefault="0061656C" w:rsidP="0061656C">
      <w:pPr>
        <w:pStyle w:val="Style1"/>
      </w:pPr>
    </w:p>
    <w:p w14:paraId="3F9EAF09" w14:textId="77777777" w:rsidR="003D07A4" w:rsidRPr="003D07A4" w:rsidRDefault="003D07A4" w:rsidP="003D07A4">
      <w:pPr>
        <w:pStyle w:val="Style1"/>
      </w:pPr>
    </w:p>
    <w:p w14:paraId="4C212EFD" w14:textId="64B02363" w:rsidR="00FB0D0E" w:rsidRPr="003D07A4" w:rsidRDefault="00FB0D0E" w:rsidP="003D07A4">
      <w:pPr>
        <w:pStyle w:val="Style1"/>
      </w:pPr>
    </w:p>
    <w:p w14:paraId="6FEE0326" w14:textId="5C5A92EA" w:rsidR="006E7A2C" w:rsidRPr="003D07A4" w:rsidRDefault="006E7A2C" w:rsidP="003D07A4">
      <w:pPr>
        <w:pStyle w:val="Style1"/>
      </w:pPr>
    </w:p>
    <w:p w14:paraId="68301BC8" w14:textId="38CEBF7F" w:rsidR="000A1ECB" w:rsidRPr="00A47CF4" w:rsidRDefault="000A1ECB" w:rsidP="000A1ECB">
      <w:pPr>
        <w:pStyle w:val="Style1"/>
      </w:pPr>
    </w:p>
    <w:p w14:paraId="1B580004" w14:textId="77777777" w:rsidR="00B35E61" w:rsidRPr="00B35E61" w:rsidRDefault="00B35E61" w:rsidP="00B35E61">
      <w:pPr>
        <w:bidi/>
        <w:rPr>
          <w:rStyle w:val="Style1Char"/>
          <w:color w:val="00B050"/>
          <w:rtl/>
        </w:rPr>
      </w:pPr>
    </w:p>
    <w:p w14:paraId="4BAEAA8D" w14:textId="77777777" w:rsidR="002165BA" w:rsidRPr="00C5419C" w:rsidRDefault="002165BA" w:rsidP="002165BA">
      <w:pPr>
        <w:bidi/>
        <w:rPr>
          <w:rStyle w:val="Style1Char"/>
          <w:color w:val="00B050"/>
          <w:rtl/>
        </w:rPr>
      </w:pPr>
    </w:p>
    <w:p w14:paraId="06D1BE7D" w14:textId="77777777" w:rsidR="002165BA" w:rsidRDefault="002165BA" w:rsidP="002165BA">
      <w:pPr>
        <w:rPr>
          <w:rStyle w:val="Style1Char"/>
          <w:color w:val="00B050"/>
          <w:rtl/>
        </w:rPr>
      </w:pPr>
      <w:r>
        <w:rPr>
          <w:rStyle w:val="Style1Char"/>
          <w:color w:val="00B050"/>
          <w:rtl/>
        </w:rPr>
        <w:br w:type="page"/>
      </w:r>
    </w:p>
    <w:p w14:paraId="37857E07" w14:textId="77777777" w:rsidR="002165BA" w:rsidRPr="00657C31" w:rsidRDefault="002165BA" w:rsidP="002165BA">
      <w:pPr>
        <w:bidi/>
        <w:rPr>
          <w:rStyle w:val="Style1Char"/>
          <w:color w:val="00B050"/>
        </w:rPr>
      </w:pPr>
      <w:r w:rsidRPr="0091453F">
        <w:rPr>
          <w:rStyle w:val="Style1Char"/>
          <w:color w:val="00B050"/>
          <w:sz w:val="22"/>
          <w:szCs w:val="22"/>
          <w:highlight w:val="yellow"/>
          <w:rtl/>
        </w:rPr>
        <w:lastRenderedPageBreak/>
        <w:t>[דף עא עמוד א]</w:t>
      </w:r>
      <w:r w:rsidRPr="0091453F">
        <w:rPr>
          <w:rStyle w:val="Style1Char"/>
          <w:color w:val="00B050"/>
          <w:sz w:val="22"/>
          <w:szCs w:val="22"/>
          <w:rtl/>
        </w:rPr>
        <w:t xml:space="preserve"> </w:t>
      </w:r>
      <w:r w:rsidRPr="00657C31">
        <w:rPr>
          <w:rStyle w:val="Style1Char"/>
          <w:color w:val="00B050"/>
          <w:rtl/>
        </w:rPr>
        <w:t xml:space="preserve">מעשה דבית חורון. </w:t>
      </w:r>
    </w:p>
    <w:p w14:paraId="1740AA5D" w14:textId="1095A68F" w:rsidR="002165BA" w:rsidRDefault="002165BA" w:rsidP="002165BA">
      <w:pPr>
        <w:bidi/>
        <w:rPr>
          <w:rStyle w:val="Style1Char"/>
          <w:color w:val="00B050"/>
          <w:rtl/>
        </w:rPr>
      </w:pPr>
      <w:r w:rsidRPr="00657C31">
        <w:rPr>
          <w:rStyle w:val="Style1Char"/>
          <w:color w:val="00B050"/>
          <w:rtl/>
        </w:rPr>
        <w:t xml:space="preserve">רבי יהודה אומר: בישראל, חדש אחד וכו'. היינו ת"ק! אמר אביי: כהנת אתא לאשמועינן; רבא אמר: חדש מלא וחדש חסר איכא בינייהו. </w:t>
      </w:r>
      <w:r w:rsidRPr="0072068D">
        <w:rPr>
          <w:rStyle w:val="Style1Char"/>
          <w:color w:val="auto"/>
          <w:sz w:val="22"/>
          <w:szCs w:val="22"/>
          <w:rtl/>
        </w:rPr>
        <w:t>אמר רב: לא שנו אלא במפרש, אבל בסתם - יוציא לאלתר ויתן כתובה; ושמואל אמר: אפילו בסתם - לא יוציא, שמא ימצא פתח לנדרו.</w:t>
      </w:r>
      <w:r w:rsidRPr="00657C31">
        <w:rPr>
          <w:rStyle w:val="Style1Char"/>
          <w:color w:val="00B050"/>
          <w:rtl/>
        </w:rPr>
        <w:t xml:space="preserve"> והא איפלגו ביה חדא זימנא! דתנן: המדיר את אשתו מתשמיש המטה, ב"ש אומרים: שתי שבתות, וב"ה אומרים: שבת אחת; ואמר רב: מחלוקת - במפרש, אבל בסתם - יוציא לאלתר ויתן כתובה, ושמואל אמר: </w:t>
      </w:r>
      <w:r w:rsidR="00BB577E">
        <w:rPr>
          <w:rStyle w:val="Style1Char"/>
          <w:rFonts w:hint="cs"/>
          <w:rtl/>
        </w:rPr>
        <w:t>(1)</w:t>
      </w:r>
      <w:r w:rsidRPr="00657C31">
        <w:rPr>
          <w:rStyle w:val="Style1Char"/>
          <w:color w:val="00B050"/>
          <w:rtl/>
        </w:rPr>
        <w:t xml:space="preserve">אפי' בסתם נמי - לא יוציא, שמא ימצא פתח לנדרו! צריכא, דאי איתמר בההיא, בההיא קאמר רב, משום דלא אפשר בפרנס, אבל בהא דאפשר בפרנס - אימא מודה ליה לשמואל; ואי אתמר בהא, בהא קאמר שמואל, משום דאפשר בפרנס, אבל בההיא - אימא מודה ליה לרב, צריכא. </w:t>
      </w:r>
      <w:r w:rsidRPr="0072068D">
        <w:rPr>
          <w:rStyle w:val="Style1Char"/>
          <w:color w:val="auto"/>
          <w:sz w:val="22"/>
          <w:szCs w:val="22"/>
          <w:rtl/>
        </w:rPr>
        <w:t xml:space="preserve">תנן: המדיר את אשתו שלא תטעום אחד מכל הפירות - יוציא ויתן כתובה; </w:t>
      </w:r>
      <w:r w:rsidRPr="001F596C">
        <w:rPr>
          <w:rStyle w:val="Style1Char"/>
          <w:color w:val="auto"/>
          <w:sz w:val="22"/>
          <w:szCs w:val="22"/>
          <w:rtl/>
        </w:rPr>
        <w:t xml:space="preserve">בשלמא לרב - כאן בסתם, כאן במפרש, אלא לשמואל קשיא! הכא במאי עסקינן - </w:t>
      </w:r>
      <w:r w:rsidR="00D666E9">
        <w:rPr>
          <w:rStyle w:val="Style1Char"/>
          <w:rFonts w:hint="cs"/>
          <w:rtl/>
        </w:rPr>
        <w:t>(2)</w:t>
      </w:r>
      <w:r w:rsidRPr="001F596C">
        <w:rPr>
          <w:rStyle w:val="Style1Char"/>
          <w:color w:val="auto"/>
          <w:sz w:val="22"/>
          <w:szCs w:val="22"/>
          <w:rtl/>
        </w:rPr>
        <w:t>כגון שנדרה היא וקיים לה איהו, וקסבר</w:t>
      </w:r>
      <w:r w:rsidRPr="001F596C">
        <w:rPr>
          <w:rStyle w:val="Style1Char"/>
          <w:color w:val="auto"/>
          <w:rtl/>
        </w:rPr>
        <w:t xml:space="preserve"> </w:t>
      </w:r>
      <w:r w:rsidRPr="00657C31">
        <w:rPr>
          <w:rStyle w:val="Style1Char"/>
          <w:color w:val="00B050"/>
          <w:rtl/>
        </w:rPr>
        <w:t>ר"מ</w:t>
      </w:r>
      <w:r w:rsidRPr="006452FB">
        <w:rPr>
          <w:rStyle w:val="Style1Char"/>
          <w:color w:val="C00000"/>
          <w:rtl/>
        </w:rPr>
        <w:t xml:space="preserve"> </w:t>
      </w:r>
      <w:r w:rsidRPr="001F596C">
        <w:rPr>
          <w:rStyle w:val="Style1Char"/>
          <w:color w:val="806000" w:themeColor="accent4" w:themeShade="80"/>
          <w:sz w:val="22"/>
          <w:szCs w:val="22"/>
          <w:rtl/>
        </w:rPr>
        <w:t>האי תנא</w:t>
      </w:r>
      <w:r w:rsidRPr="00657C31">
        <w:rPr>
          <w:rStyle w:val="Style1Char"/>
          <w:color w:val="00B050"/>
          <w:rtl/>
        </w:rPr>
        <w:t xml:space="preserve">: </w:t>
      </w:r>
      <w:r w:rsidRPr="001F596C">
        <w:rPr>
          <w:rStyle w:val="Style1Char"/>
          <w:color w:val="auto"/>
          <w:sz w:val="22"/>
          <w:szCs w:val="22"/>
          <w:rtl/>
        </w:rPr>
        <w:t>הוא נותן אצבע בין שיניה</w:t>
      </w:r>
      <w:r w:rsidRPr="001F596C">
        <w:rPr>
          <w:rStyle w:val="Style1Char"/>
          <w:color w:val="auto"/>
          <w:rtl/>
        </w:rPr>
        <w:t xml:space="preserve"> </w:t>
      </w:r>
      <w:r w:rsidRPr="001F596C">
        <w:rPr>
          <w:rStyle w:val="Style1Char"/>
          <w:color w:val="806000" w:themeColor="accent4" w:themeShade="80"/>
          <w:sz w:val="22"/>
          <w:szCs w:val="22"/>
          <w:rtl/>
        </w:rPr>
        <w:t>והלכתא כשמואל</w:t>
      </w:r>
      <w:r w:rsidRPr="001F596C">
        <w:rPr>
          <w:rStyle w:val="Style1Char"/>
          <w:color w:val="4472C4" w:themeColor="accent1"/>
          <w:rtl/>
        </w:rPr>
        <w:t xml:space="preserve"> </w:t>
      </w:r>
      <w:r w:rsidRPr="0090133A">
        <w:rPr>
          <w:rStyle w:val="Style1Char"/>
          <w:color w:val="4472C4" w:themeColor="accent1"/>
          <w:rtl/>
        </w:rPr>
        <w:t>ואם תקשי לך דהכא אמרי' דאינו יכול להעמיד פרנס אלא עד שלשים יום ובפירקין דלעיל (דף סד ב) תנן המשרה את אשתו ע"י שליש אלמא יכול לפרנסה ע"י שליש כ"ז שירצה</w:t>
      </w:r>
      <w:r>
        <w:rPr>
          <w:rStyle w:val="Style1Char"/>
          <w:rFonts w:hint="cs"/>
          <w:color w:val="4472C4" w:themeColor="accent1"/>
        </w:rPr>
        <w:t>‍</w:t>
      </w:r>
      <w:r w:rsidRPr="0090133A">
        <w:rPr>
          <w:rStyle w:val="Style1Char"/>
          <w:color w:val="4472C4" w:themeColor="accent1"/>
          <w:rtl/>
        </w:rPr>
        <w:t xml:space="preserve"> י"ל דהדירה שאני ובירושל' (הלכה א) פריך ויעמיד פרנס. רשות ביד אשה לומר אי אפשי להתפרנס מאחר אלא מבעלי והא תנינן המשרה את אשתו ע"י שליש כאן כשקבלה עליה כאן כשלא קבלה עליה אי כשלא קבלה עליה ואפי' יום אחד לא יעמיד. מגלגלת עמו ל' יום שמא ימצא פתח לנדרו</w:t>
      </w:r>
      <w:r w:rsidRPr="0090133A">
        <w:rPr>
          <w:rStyle w:val="Style1Char"/>
          <w:color w:val="4472C4" w:themeColor="accent1"/>
        </w:rPr>
        <w:t xml:space="preserve">: </w:t>
      </w:r>
      <w:r w:rsidRPr="006452FB">
        <w:rPr>
          <w:rStyle w:val="Style1Char"/>
          <w:color w:val="C00000"/>
          <w:sz w:val="22"/>
          <w:szCs w:val="22"/>
        </w:rPr>
        <w:t>:</w:t>
      </w:r>
      <w:r w:rsidRPr="00657C31">
        <w:rPr>
          <w:rStyle w:val="Style1Char"/>
          <w:color w:val="00B050"/>
          <w:rtl/>
        </w:rPr>
        <w:t xml:space="preserve">. וסבר רבי מאיר הוא נותן אצבע בין שיניה? והתניא: האשה שנדרה בנזיר, ושמע בעלה ולא הפר לה, רבי מאיר ורבי יהודה אומרים: היא נתנה אצבע בין שיניה, לפיכך אם רצה הבעל להפר - יפר, ואם אמר אי אפשי באשה נדרנית - תצא שלא בכתובה; רבי יוסי ורבי אלעזר אומרים: הוא נותן אצבע בין שיניה, </w:t>
      </w:r>
      <w:r w:rsidR="007E545E">
        <w:rPr>
          <w:rStyle w:val="Style1Char"/>
          <w:rFonts w:hint="cs"/>
          <w:rtl/>
        </w:rPr>
        <w:t>(2)</w:t>
      </w:r>
      <w:r w:rsidRPr="00657C31">
        <w:rPr>
          <w:rStyle w:val="Style1Char"/>
          <w:color w:val="00B050"/>
          <w:rtl/>
        </w:rPr>
        <w:t xml:space="preserve">לפיכך אם רצה הבעל להפר - יפר, ואם אמר אי אפשי באשה נדרנית - יוציא ויתן כתובה! איפוך, ר"מ ורבי יהודה אומרים: הוא נותן, רבי יוסי ורבי אלעזר אומרים: היא נתנה. וסבר רבי יוסי היא נתנה? והתנן, רבי יוסי אומר: בעניות - שלא נתן קצבה! אימא, רבי מאיר ורבי יוסי אומרים: הוא נותן, רבי יהודה ורבי אלעזר אומרים: היא נתנה. וסבר רבי יהודה היא נתנה? והתנן, רבי יהודה אומר: בישראל, יום אחד - יקיים! אימא, רבי מאיר ורבי יהודה ורבי יוסי אומרים: הוא נותן, ורבי אלעזר אומר: היא נתנה; ואם תמצא לומר זוגי זוגי קתני, אימא, רבי מאיר ורבי אלעזר אומרים: היא נתנה, רבי יהודה ורבי יוסי אומרים: הוא נותן, והא סתמא דלא כרבי מאיר. וסבר רבי יוסי בעניות - שלא נתן קצבה, אלמא בעל מצי מיפר; ורמינהו: </w:t>
      </w:r>
      <w:r w:rsidR="00937208">
        <w:rPr>
          <w:rStyle w:val="Style1Char"/>
          <w:rFonts w:hint="cs"/>
          <w:rtl/>
        </w:rPr>
        <w:t>(3)</w:t>
      </w:r>
      <w:r w:rsidRPr="00657C31">
        <w:rPr>
          <w:rStyle w:val="Style1Char"/>
          <w:color w:val="00B050"/>
          <w:rtl/>
        </w:rPr>
        <w:t xml:space="preserve">אלו דברים שהבעל מיפר, דברים שיש בהן עינוי נפש: </w:t>
      </w:r>
      <w:r w:rsidR="00B056E3">
        <w:rPr>
          <w:rStyle w:val="Style1Char"/>
          <w:rFonts w:hint="cs"/>
          <w:rtl/>
        </w:rPr>
        <w:t>(4)</w:t>
      </w:r>
      <w:r w:rsidRPr="00657C31">
        <w:rPr>
          <w:rStyle w:val="Style1Char"/>
          <w:color w:val="00B050"/>
          <w:rtl/>
        </w:rPr>
        <w:t xml:space="preserve">אם ארחץ אם לא ארחץ, אם אתקשט אם לא אתקשט; אמר רבי יוסי: אין אלו נדרי עינוי נפש, ואלו הן נדרי עינוי נפש: שלא אוכל בשר, ושלא אשתה יין, ושלא אתקשט </w:t>
      </w:r>
    </w:p>
    <w:p w14:paraId="11424314" w14:textId="7E4F12D8" w:rsidR="00C979A9" w:rsidRDefault="00C979A9" w:rsidP="00C979A9">
      <w:pPr>
        <w:pStyle w:val="Style1"/>
        <w:rPr>
          <w:rStyle w:val="Style1Char"/>
          <w:rtl/>
        </w:rPr>
      </w:pPr>
      <w:r>
        <w:rPr>
          <w:rStyle w:val="Style1Char"/>
          <w:rFonts w:hint="cs"/>
          <w:rtl/>
        </w:rPr>
        <w:t>1)[</w:t>
      </w:r>
      <w:r w:rsidRPr="00C979A9">
        <w:rPr>
          <w:rStyle w:val="Style1Char"/>
          <w:rtl/>
        </w:rPr>
        <w:t>רמב</w:t>
      </w:r>
      <w:r w:rsidR="00213DA1">
        <w:rPr>
          <w:rStyle w:val="Style1Char"/>
          <w:rtl/>
        </w:rPr>
        <w:t>”ם \נשים\</w:t>
      </w:r>
      <w:r w:rsidRPr="00C979A9">
        <w:rPr>
          <w:rStyle w:val="Style1Char"/>
          <w:rtl/>
        </w:rPr>
        <w:t xml:space="preserve"> הלכות אישות פרק יב הלכה כג</w:t>
      </w:r>
      <w:r>
        <w:rPr>
          <w:rStyle w:val="Style1Char"/>
          <w:rFonts w:hint="cs"/>
          <w:rtl/>
        </w:rPr>
        <w:t xml:space="preserve">] </w:t>
      </w:r>
      <w:r w:rsidRPr="00C979A9">
        <w:rPr>
          <w:rStyle w:val="Style1Char"/>
          <w:rtl/>
        </w:rPr>
        <w:t>המדיר את אשתו מליהנות לו בין שפירש עד זמן פלוני בין שלא פירש אלא סתם ממתינין לו שלשים יום, אם תמו ימי נדרו או שלא תמו והתיר נדרו הרי זה מוטב ואם לאו יוציא ויתן כתובה, ובאותן השלשים יום תהיה היא עושה ואוכלת ויהיה אחד מחביריו מפרנס אותה דברים שהיא צריכה להן יתר על מעשה ידיה אם אין מעשה ידיה מספיקין לכל.</w:t>
      </w:r>
    </w:p>
    <w:p w14:paraId="5C2B8B8B" w14:textId="2F095646" w:rsidR="001A262F" w:rsidRDefault="001A262F" w:rsidP="001A262F">
      <w:pPr>
        <w:pStyle w:val="Style1"/>
        <w:rPr>
          <w:rStyle w:val="Style1Char"/>
          <w:rtl/>
        </w:rPr>
      </w:pPr>
      <w:r>
        <w:rPr>
          <w:rStyle w:val="Style1Char"/>
          <w:rFonts w:hint="cs"/>
          <w:rtl/>
        </w:rPr>
        <w:t>2)[</w:t>
      </w:r>
      <w:r w:rsidRPr="001A262F">
        <w:rPr>
          <w:rStyle w:val="Style1Char"/>
          <w:rtl/>
        </w:rPr>
        <w:t>רמב</w:t>
      </w:r>
      <w:r w:rsidR="00213DA1">
        <w:rPr>
          <w:rStyle w:val="Style1Char"/>
          <w:rtl/>
        </w:rPr>
        <w:t>”ם \נשים\</w:t>
      </w:r>
      <w:r w:rsidRPr="001A262F">
        <w:rPr>
          <w:rStyle w:val="Style1Char"/>
          <w:rtl/>
        </w:rPr>
        <w:t xml:space="preserve"> הלכות אישות פרק יב הלכה כד</w:t>
      </w:r>
      <w:r>
        <w:rPr>
          <w:rStyle w:val="Style1Char"/>
          <w:rFonts w:hint="cs"/>
          <w:rtl/>
        </w:rPr>
        <w:t xml:space="preserve">] </w:t>
      </w:r>
      <w:r w:rsidRPr="001A262F">
        <w:rPr>
          <w:rStyle w:val="Style1Char"/>
          <w:rtl/>
        </w:rPr>
        <w:t>המדיר את אשתו שלא תטעום אחד מכל הפירות ממתינין לו שלשים יום, יתר על כן יוציא ויתן כתובה, אפילו הדירה שלא תאכל מאכל רע, אפילו הדירה ממין שלא אכלה אותו מימיה, יוציא אחר שלשים יום ויתן כתובה. נדרה היא שלא תאכל אחד מכל הפירות וקיים לה הוא את נדרה או שנדרה בנזיר ולא הפר לה, אם רצה שתשב תחתיו ולא תאכל פירות או תהיה נזירה תשב, ואם אמר איני רוצה באשה נדרנית יוציא ויתן כתובה שהרי היה בידו להפר והוא קיים לה ברצונו.</w:t>
      </w:r>
    </w:p>
    <w:p w14:paraId="73615A67" w14:textId="2524EFA5" w:rsidR="00621A8E" w:rsidRDefault="00621A8E" w:rsidP="00621A8E">
      <w:pPr>
        <w:pStyle w:val="Style1"/>
        <w:rPr>
          <w:rStyle w:val="Style1Char"/>
          <w:rtl/>
        </w:rPr>
      </w:pPr>
      <w:r>
        <w:rPr>
          <w:rStyle w:val="Style1Char"/>
          <w:rFonts w:hint="cs"/>
          <w:rtl/>
        </w:rPr>
        <w:t>2)[</w:t>
      </w:r>
      <w:r w:rsidRPr="00621A8E">
        <w:rPr>
          <w:rStyle w:val="Style1Char"/>
          <w:rtl/>
        </w:rPr>
        <w:t>טור אבן העזר הלכות כתובות סימן עב</w:t>
      </w:r>
      <w:r>
        <w:rPr>
          <w:rStyle w:val="Style1Char"/>
          <w:rFonts w:hint="cs"/>
          <w:rtl/>
        </w:rPr>
        <w:t xml:space="preserve">] </w:t>
      </w:r>
      <w:r w:rsidRPr="00621A8E">
        <w:rPr>
          <w:rStyle w:val="Style1Char"/>
          <w:rtl/>
        </w:rPr>
        <w:t>המדיר את אשתו מליהנות ממנו אין הנדר חל להפקיע מזונותיה שהרי הוא משועבד לה שאינו יכול להפקיעם ואם אמר לה צאי מעשה ידיך למזונותיך והיא מספקת לדברים גדולים ולא לדברים קטנים ואותם הדברים קטנים נוהגין בהם בני אביה מפני שהוא עשיר אבל שאר משפחתה שיש להם עושר כמו שיש לבעלה אין נוהגין בהן אז חל הנדר שהרי אינו חייב לה באלו דברים הקטנים כל זמן שהיא עמו אבל משהדירה ואינה עוד עמו צריך להנהיגה בכבוד בית אביה אף באותן הדברים הקטנים לפיכך אם הדירה עד ל' יום יפרנסנה באלו הדברים הקטנים ע"י פרנס שיאמר לו כל הזן אינו מפסיד אבל לא יאמר לו להדיא לך ותזון אותה דא"כ הוה ליה שלוחו וכן אם הדירה סתם או זמן רב יפרנסנה ע"י פרנס ל' יום דשמא בתוך כך יתיר נדרו אחר ל' יום יוציא ויתן כתובה לר"י כופין אותו בשוטים ולר"ח אין כופין ולזה הסכים א"א הרא"ש ז"ל נדרה שלא תטעום א' מן המינים וקיים לה הוא או שאמרה לו הנאת תשמישך עלי אם אוכלנו אפי' הוא רע ולא טעמה אותו מעולם יוציא מיד ויתן כתובה ואם הוא הדירה שאמר לה הנאת תשמישך עלי אם תטעום מאותו המין יקיים ז' ימים ואז יוציא ויתן כתובה כתב הרמב"ם בנדרה היא וקיים לה הוא אם רוצה לישב עמו ולא תאכל מאותה המין תשב</w:t>
      </w:r>
      <w:r w:rsidR="009F4D28">
        <w:rPr>
          <w:rStyle w:val="Style1Char"/>
          <w:rFonts w:hint="cs"/>
          <w:rtl/>
        </w:rPr>
        <w:t xml:space="preserve"> </w:t>
      </w:r>
      <w:r w:rsidRPr="00621A8E">
        <w:rPr>
          <w:rStyle w:val="Style1Char"/>
          <w:rtl/>
        </w:rPr>
        <w:t>ואם הוא אומר אי אפשי באשה נדרנית יוציא ויתן כתובה שהרי הוא היה לו להתיר וקיימה לה מרצונו:</w:t>
      </w:r>
    </w:p>
    <w:p w14:paraId="495F285E" w14:textId="58236F20" w:rsidR="009F4D28" w:rsidRDefault="009F4D28" w:rsidP="009F4D28">
      <w:pPr>
        <w:pStyle w:val="Style1"/>
        <w:rPr>
          <w:rtl/>
        </w:rPr>
      </w:pPr>
      <w:r>
        <w:rPr>
          <w:rStyle w:val="Style1Char"/>
          <w:rFonts w:hint="cs"/>
          <w:rtl/>
        </w:rPr>
        <w:t>2)[</w:t>
      </w:r>
      <w:r w:rsidRPr="00263CF9">
        <w:rPr>
          <w:rStyle w:val="Style1Char"/>
          <w:rtl/>
        </w:rPr>
        <w:t>שולחן ערוך יורה דעה הלכות נדרים סימן רלה סעיף ג</w:t>
      </w:r>
      <w:r>
        <w:rPr>
          <w:rStyle w:val="Style1Char"/>
          <w:rFonts w:hint="cs"/>
          <w:rtl/>
        </w:rPr>
        <w:t xml:space="preserve">] </w:t>
      </w:r>
      <w:r w:rsidRPr="00180765">
        <w:rPr>
          <w:rtl/>
        </w:rPr>
        <w:t>הדירה שלא תתקשט או שלא תאכל אחד מהמינים אפילו הוא רע ולא טעמתו מעולם ותלאו בתשמיש שאמר קונם תשמישך עלי אם תתקשטי או תאכלי מין פלוני או שאמר קונם הנאת תשמישך עלי אם תלכי לבית אביך יותר מחודש אם הוא דר עמה בעיר או יותר מרגל אם הוא דר בעיר אחרת יקיים ז' ימים ואז יוציא ויתן כתובה ואם היא נדרה שאמרה קונם מין פלוני עלי או קונם שלא אתקשט בקישוט פלוני או שאמרה יאסר תשמישך עלי אם אוכל מין פלוני או אתקשט בקישוט פלוני או אם אלך לבית אבי והוא שמע ולא הפר לה יוציא מיד ויתן כתובה ולהרמב"ם בנדרה היא וקיים לה הוא אם רוצה לישב ולא תאכל מאותו המין תשב ואם הוא אומר אי איפשי באשה נדרנית יוציא ויתן כתובה והוא הדין אם נדרה שלא תלך לבית אביה שאמרה קונם תשמישך עלי אם אלך לבית אבי ושמע הבעל ולא הפר וכן אם אמרה קונם תשמישך עלי אם אלך לבית האבל או לבית המשתה ושמע ולא הפר לה והוא הדין אם אמרה קונם תשמישך עלי אם אעשה שום מלאכה ושמע ולא הפר לה והוא הדין אם אמרה קונם תשמישך עלי אם אשאל משכני כלום או אם אשאיל כלי ושמע ולא הפר</w:t>
      </w:r>
      <w:r w:rsidRPr="00180765">
        <w:t>:</w:t>
      </w:r>
    </w:p>
    <w:p w14:paraId="626AFAC9" w14:textId="7B27AB48" w:rsidR="00B056E3" w:rsidRDefault="00B056E3" w:rsidP="00B056E3">
      <w:pPr>
        <w:pStyle w:val="Style1"/>
        <w:rPr>
          <w:rtl/>
        </w:rPr>
      </w:pPr>
      <w:r>
        <w:rPr>
          <w:rFonts w:hint="cs"/>
          <w:rtl/>
        </w:rPr>
        <w:t>3)[</w:t>
      </w:r>
      <w:r>
        <w:rPr>
          <w:rtl/>
        </w:rPr>
        <w:t>רמב</w:t>
      </w:r>
      <w:r w:rsidR="00EC109D">
        <w:rPr>
          <w:rtl/>
        </w:rPr>
        <w:t>”ם \הפלאה\</w:t>
      </w:r>
      <w:r>
        <w:rPr>
          <w:rtl/>
        </w:rPr>
        <w:t xml:space="preserve"> הלכות נדרים פרק יב הלכה ד</w:t>
      </w:r>
      <w:r>
        <w:rPr>
          <w:rFonts w:hint="cs"/>
          <w:rtl/>
        </w:rPr>
        <w:t xml:space="preserve">] </w:t>
      </w:r>
      <w:r>
        <w:rPr>
          <w:rtl/>
        </w:rPr>
        <w:t>אחד עינוי גדול ואחד עינוי קטן ואחד עינוי שהוא לזמן מרובה או לפי שעה הכל מפר הבעל.</w:t>
      </w:r>
    </w:p>
    <w:p w14:paraId="24BBDB65" w14:textId="0BEABFD3" w:rsidR="00E31D92" w:rsidRDefault="00E31D92" w:rsidP="00F02B61">
      <w:pPr>
        <w:pStyle w:val="Style1"/>
        <w:rPr>
          <w:rtl/>
        </w:rPr>
      </w:pPr>
      <w:r>
        <w:rPr>
          <w:rFonts w:hint="cs"/>
          <w:rtl/>
        </w:rPr>
        <w:t>3)[</w:t>
      </w:r>
      <w:r>
        <w:rPr>
          <w:rtl/>
        </w:rPr>
        <w:t>שולחן ערוך יורה דעה הלכות נדרים סימן רלד סעיף נה</w:t>
      </w:r>
      <w:r>
        <w:rPr>
          <w:rFonts w:hint="cs"/>
          <w:rtl/>
        </w:rPr>
        <w:t>]</w:t>
      </w:r>
      <w:r w:rsidR="00F02B61">
        <w:rPr>
          <w:rFonts w:hint="cs"/>
          <w:rtl/>
        </w:rPr>
        <w:t xml:space="preserve"> </w:t>
      </w:r>
      <w:r w:rsidR="00F02B61" w:rsidRPr="00F02B61">
        <w:rPr>
          <w:rtl/>
        </w:rPr>
        <w:t>אלו נדרים שהבעל מפר נדרים שיש בהם עינוי נפש ודברים שבינו לבינה אלא שנדרים שיש בהן עינוי נפש כשמתירים לה מותרת בהם לעולם ודברים שבינו לבינה אין ההתרה אלא לעצמו כל זמן שיש לו בו תועלת דהיינו כל זמן שהיא תחתיו ולאחר שתתגרש כל זמן שלא תנשא שאפשר שתחזור אליו אבל לאחר שתנשא חל הנדר גם לדידיה ונדרים שאין בהם עינוי נפש ואינם בינו לבינה אינו יכול להפר</w:t>
      </w:r>
      <w:r w:rsidR="00F02B61" w:rsidRPr="00F02B61">
        <w:t>:</w:t>
      </w:r>
    </w:p>
    <w:p w14:paraId="47CDADA3" w14:textId="090E57F8" w:rsidR="006C52FA" w:rsidRDefault="006C52FA" w:rsidP="006C52FA">
      <w:pPr>
        <w:pStyle w:val="Style1"/>
        <w:rPr>
          <w:rtl/>
        </w:rPr>
      </w:pPr>
      <w:r>
        <w:rPr>
          <w:rFonts w:hint="cs"/>
          <w:rtl/>
        </w:rPr>
        <w:t>4)[</w:t>
      </w:r>
      <w:r>
        <w:rPr>
          <w:rtl/>
        </w:rPr>
        <w:t>רמב</w:t>
      </w:r>
      <w:r w:rsidR="00EC109D">
        <w:rPr>
          <w:rtl/>
        </w:rPr>
        <w:t>”ם \הפלאה\</w:t>
      </w:r>
      <w:r>
        <w:rPr>
          <w:rtl/>
        </w:rPr>
        <w:t xml:space="preserve"> הלכות נדרים פרק יב הלכה ה</w:t>
      </w:r>
      <w:r>
        <w:rPr>
          <w:rFonts w:hint="cs"/>
          <w:rtl/>
        </w:rPr>
        <w:t xml:space="preserve">] </w:t>
      </w:r>
      <w:r>
        <w:rPr>
          <w:rtl/>
        </w:rPr>
        <w:t>כיצד נדרה או נשבעה שלא תרחץ היום, או שלא תשתה יין היום, או שלא תאכל היום דבש, וכן אם נדרה שלא תכחול היום או שלא תלבש רקמה היום מפר וכן כל כיוצא בזה, אפילו נדרה ממאכל רע או ממין שלא טעמה אותו מימיה הרי זה יפר.</w:t>
      </w:r>
    </w:p>
    <w:p w14:paraId="56875A6B" w14:textId="7206308F" w:rsidR="00007693" w:rsidRPr="009B725E" w:rsidRDefault="002B6623" w:rsidP="009B725E">
      <w:pPr>
        <w:pStyle w:val="Style1"/>
      </w:pPr>
      <w:r>
        <w:rPr>
          <w:rFonts w:hint="cs"/>
          <w:rtl/>
        </w:rPr>
        <w:t>4)[</w:t>
      </w:r>
      <w:r>
        <w:rPr>
          <w:rtl/>
        </w:rPr>
        <w:t>שולחן ערוך יורה דעה הלכות נדרים סימן רלד סעיף נט</w:t>
      </w:r>
      <w:r>
        <w:rPr>
          <w:rFonts w:hint="cs"/>
          <w:rtl/>
        </w:rPr>
        <w:t>]</w:t>
      </w:r>
      <w:r w:rsidR="009B725E">
        <w:rPr>
          <w:rFonts w:hint="cs"/>
          <w:rtl/>
        </w:rPr>
        <w:t xml:space="preserve"> </w:t>
      </w:r>
      <w:r w:rsidR="00007693" w:rsidRPr="009B725E">
        <w:rPr>
          <w:rtl/>
        </w:rPr>
        <w:t>איזו הם דברים שיש בהם עינוי נפש כגון רחיצה וקישוט כיחול ופרכוס כגון שנשבעה שלא תרחץ או שלא תתקשט או שאמרה הנאת רחיצה וקישוט עלי אם ארחץ או אתקשט אפילו לא תלתה אלא ברחיצה וקישוט של היום ואפשר שלא תרחץ ולא תתקשט היום ולא תאסר הוי עינוי נפש אע"פ שאין חל הנדר אלא ליום א' וי"א דרחיצה וקישוט הוי דברים שבינו לבינה (עיין </w:t>
      </w:r>
      <w:hyperlink r:id="rId173" w:anchor="%D7%A1%D7%A2%D7%99%D7%A3_%D7%A2%D7%92" w:history="1">
        <w:r w:rsidR="00007693" w:rsidRPr="009B725E">
          <w:rPr>
            <w:rStyle w:val="Hyperlink"/>
            <w:color w:val="7030A0"/>
            <w:u w:val="none"/>
            <w:rtl/>
          </w:rPr>
          <w:t>ס"ק ע"ג</w:t>
        </w:r>
      </w:hyperlink>
      <w:r w:rsidR="00007693" w:rsidRPr="009B725E">
        <w:t>):</w:t>
      </w:r>
    </w:p>
    <w:p w14:paraId="21A4B096" w14:textId="77777777" w:rsidR="00007693" w:rsidRPr="009B725E" w:rsidRDefault="00007693" w:rsidP="009B725E">
      <w:pPr>
        <w:pStyle w:val="Style1"/>
      </w:pPr>
      <w:r w:rsidRPr="009B725E">
        <w:rPr>
          <w:rFonts w:hint="cs"/>
          <w:rtl/>
        </w:rPr>
        <w:t>הגה: וכל זה לא מיירי אלא בקישוט הפנים אבל קישוט של מטה לכולי עלמא לא הוי דברים שבינו לבינה. (ב"י בשם הרב רבינו נסים)</w:t>
      </w:r>
      <w:r w:rsidRPr="009B725E">
        <w:t>:</w:t>
      </w:r>
    </w:p>
    <w:p w14:paraId="26D460C4" w14:textId="77777777" w:rsidR="002165BA" w:rsidRDefault="002165BA" w:rsidP="002165BA">
      <w:pPr>
        <w:rPr>
          <w:rStyle w:val="Style1Char"/>
          <w:color w:val="00B050"/>
          <w:rtl/>
        </w:rPr>
      </w:pPr>
      <w:r>
        <w:rPr>
          <w:rStyle w:val="Style1Char"/>
          <w:color w:val="00B050"/>
          <w:rtl/>
        </w:rPr>
        <w:br w:type="page"/>
      </w:r>
    </w:p>
    <w:p w14:paraId="3C9114C6" w14:textId="57BF028A" w:rsidR="002165BA" w:rsidRPr="00657C31" w:rsidRDefault="002165BA" w:rsidP="002165BA">
      <w:pPr>
        <w:bidi/>
        <w:rPr>
          <w:rStyle w:val="Style1Char"/>
          <w:color w:val="00B050"/>
        </w:rPr>
      </w:pPr>
      <w:r w:rsidRPr="0091453F">
        <w:rPr>
          <w:rStyle w:val="Style1Char"/>
          <w:color w:val="00B050"/>
          <w:sz w:val="22"/>
          <w:szCs w:val="22"/>
          <w:highlight w:val="yellow"/>
          <w:rtl/>
        </w:rPr>
        <w:lastRenderedPageBreak/>
        <w:t>[דף עא עמוד ב]</w:t>
      </w:r>
      <w:r w:rsidRPr="0091453F">
        <w:rPr>
          <w:rStyle w:val="Style1Char"/>
          <w:color w:val="00B050"/>
          <w:sz w:val="22"/>
          <w:szCs w:val="22"/>
          <w:rtl/>
        </w:rPr>
        <w:t xml:space="preserve"> </w:t>
      </w:r>
      <w:r w:rsidRPr="00657C31">
        <w:rPr>
          <w:rStyle w:val="Style1Char"/>
          <w:color w:val="00B050"/>
          <w:rtl/>
        </w:rPr>
        <w:t xml:space="preserve">בבגדי צבעונין! הכא במאי עסקינן - בדברים שבינו לבינה. הניחא למ"ד דברים שבינו לבינה הבעל מיפר, אלא למ"ד אין הבעל מיפר, מאי איכא למימר? דאתמר: דברים שבינו לבינה - רב הונא אמר: </w:t>
      </w:r>
      <w:r w:rsidR="008E3F89">
        <w:rPr>
          <w:rStyle w:val="Style1Char"/>
          <w:rFonts w:hint="cs"/>
          <w:rtl/>
        </w:rPr>
        <w:t>(1)</w:t>
      </w:r>
      <w:r w:rsidRPr="00657C31">
        <w:rPr>
          <w:rStyle w:val="Style1Char"/>
          <w:color w:val="00B050"/>
          <w:rtl/>
        </w:rPr>
        <w:t xml:space="preserve">הבעל מיפר, רב אדא בר אהבה אמר: אין הבעל מיפר, שלא מצינו שועל שמת בעפר פיר! אלא </w:t>
      </w:r>
      <w:r w:rsidR="00AF5D20">
        <w:rPr>
          <w:rStyle w:val="Style1Char"/>
          <w:rFonts w:hint="cs"/>
          <w:rtl/>
        </w:rPr>
        <w:t>(2)</w:t>
      </w:r>
      <w:r w:rsidRPr="00657C31">
        <w:rPr>
          <w:rStyle w:val="Style1Char"/>
          <w:color w:val="00B050"/>
          <w:rtl/>
        </w:rPr>
        <w:t xml:space="preserve">הכא במאי עסקינן - כגון דתלינהו לקישוטיה בתשמיש המטה, דאמרה יאסר הנאת תשמישך עלי אם אתקשט; כדאמר רב כהנא, דאמר רב כהנא: </w:t>
      </w:r>
      <w:r w:rsidR="00590DCC">
        <w:rPr>
          <w:rStyle w:val="Style1Char"/>
          <w:rFonts w:hint="cs"/>
          <w:rtl/>
        </w:rPr>
        <w:t>(3)</w:t>
      </w:r>
      <w:r w:rsidRPr="00657C31">
        <w:rPr>
          <w:rStyle w:val="Style1Char"/>
          <w:color w:val="00B050"/>
          <w:rtl/>
        </w:rPr>
        <w:t xml:space="preserve">הנאת תשמישי עליך - כופה ומשמשתו, הנאת תשמישך עלי - יפר, לפי שאין מאכילין לאדם דבר האסור לו. ולא תתקשט ולא תאסר! אם כן, קרו לה מנוולת. ותתקשט </w:t>
      </w:r>
      <w:r w:rsidR="004F43AE">
        <w:rPr>
          <w:rStyle w:val="Style1Char"/>
          <w:rFonts w:hint="cs"/>
          <w:rtl/>
        </w:rPr>
        <w:t>(</w:t>
      </w:r>
      <w:r w:rsidR="00C53766">
        <w:rPr>
          <w:rStyle w:val="Style1Char"/>
          <w:rFonts w:hint="cs"/>
          <w:rtl/>
        </w:rPr>
        <w:t>2</w:t>
      </w:r>
      <w:r w:rsidR="004F43AE">
        <w:rPr>
          <w:rStyle w:val="Style1Char"/>
          <w:rFonts w:hint="cs"/>
          <w:rtl/>
        </w:rPr>
        <w:t>, 4)</w:t>
      </w:r>
      <w:r w:rsidRPr="00657C31">
        <w:rPr>
          <w:rStyle w:val="Style1Char"/>
          <w:color w:val="00B050"/>
          <w:rtl/>
        </w:rPr>
        <w:t xml:space="preserve">ותאסר, אי לב"ש שתי שבתות, אי לבית הלל </w:t>
      </w:r>
      <w:r w:rsidR="004F43AE">
        <w:rPr>
          <w:rStyle w:val="Style1Char"/>
          <w:rFonts w:hint="cs"/>
          <w:rtl/>
        </w:rPr>
        <w:t>(2, 4)</w:t>
      </w:r>
      <w:r w:rsidRPr="00657C31">
        <w:rPr>
          <w:rStyle w:val="Style1Char"/>
          <w:color w:val="00B050"/>
          <w:rtl/>
        </w:rPr>
        <w:t xml:space="preserve">שבת אחת! הני מילי היכא דאדרה איהו, דסברה: מירתח רתח עילואי והשתא מותיב דעתיה, אבל הכא </w:t>
      </w:r>
      <w:r w:rsidR="00771500">
        <w:rPr>
          <w:rStyle w:val="Style1Char"/>
          <w:rFonts w:hint="cs"/>
          <w:rtl/>
        </w:rPr>
        <w:t>(2.1, 5)</w:t>
      </w:r>
      <w:r w:rsidRPr="00657C31">
        <w:rPr>
          <w:rStyle w:val="Style1Char"/>
          <w:color w:val="00B050"/>
          <w:rtl/>
        </w:rPr>
        <w:t xml:space="preserve">דנדרה איהי ושתיק לה, סברה: מדאישתק, מיסנא הוא דסני לי. </w:t>
      </w:r>
    </w:p>
    <w:p w14:paraId="24D6B40B" w14:textId="5058D063" w:rsidR="002165BA" w:rsidRPr="00657C31" w:rsidRDefault="002165BA" w:rsidP="002165BA">
      <w:pPr>
        <w:bidi/>
        <w:rPr>
          <w:rStyle w:val="Style1Char"/>
          <w:color w:val="00B050"/>
        </w:rPr>
      </w:pPr>
      <w:r w:rsidRPr="00657C31">
        <w:rPr>
          <w:rStyle w:val="Style1Char"/>
          <w:color w:val="00B050"/>
          <w:rtl/>
        </w:rPr>
        <w:t xml:space="preserve">רבי יוסי אומר: בעניות - שלא נתן קצבה. וכמה קצבה? אמר רב יהודה אמר שמואל: </w:t>
      </w:r>
      <w:r w:rsidR="00E1572E">
        <w:rPr>
          <w:rStyle w:val="Style1Char"/>
          <w:rFonts w:hint="cs"/>
          <w:rtl/>
        </w:rPr>
        <w:t>(2.1, 5)</w:t>
      </w:r>
      <w:r w:rsidRPr="00657C31">
        <w:rPr>
          <w:rStyle w:val="Style1Char"/>
          <w:color w:val="00B050"/>
          <w:rtl/>
        </w:rPr>
        <w:t xml:space="preserve">י"ב חדש, רבה בר בר חנה אמר רבי יוחנן: עשר שנים, רב חסדא אמר אבימי: רגל, שכן בנות ישראל מתקשטות ברגל. </w:t>
      </w:r>
    </w:p>
    <w:p w14:paraId="5BC5C1BE" w14:textId="5CA8438A" w:rsidR="002165BA" w:rsidRPr="00657C31" w:rsidRDefault="008D46A5" w:rsidP="002165BA">
      <w:pPr>
        <w:bidi/>
        <w:rPr>
          <w:rStyle w:val="Style1Char"/>
          <w:color w:val="00B050"/>
        </w:rPr>
      </w:pPr>
      <w:r>
        <w:rPr>
          <w:rStyle w:val="Style1Char"/>
          <w:rFonts w:hint="cs"/>
          <w:rtl/>
        </w:rPr>
        <w:t>(2.1, 5)</w:t>
      </w:r>
      <w:r w:rsidR="002165BA" w:rsidRPr="00657C31">
        <w:rPr>
          <w:rStyle w:val="Style1Char"/>
          <w:color w:val="00B050"/>
          <w:rtl/>
        </w:rPr>
        <w:t xml:space="preserve">ובעשירות - ל' יום. מאי שנא ל' יום? אמר אביי: שכן אשה חשובה נהנית מריח קשוטיה ל' יום. </w:t>
      </w:r>
    </w:p>
    <w:p w14:paraId="4CA67542" w14:textId="384A781B" w:rsidR="002165BA" w:rsidRPr="006524CD" w:rsidRDefault="002165BA" w:rsidP="002165BA">
      <w:pPr>
        <w:bidi/>
        <w:rPr>
          <w:rStyle w:val="Style1Char"/>
          <w:color w:val="auto"/>
          <w:sz w:val="22"/>
          <w:szCs w:val="22"/>
        </w:rPr>
      </w:pPr>
      <w:r w:rsidRPr="00173637">
        <w:rPr>
          <w:rStyle w:val="Style1Char"/>
          <w:color w:val="auto"/>
          <w:sz w:val="22"/>
          <w:szCs w:val="22"/>
          <w:rtl/>
        </w:rPr>
        <w:t xml:space="preserve">מתני'. </w:t>
      </w:r>
      <w:r w:rsidR="00F65475">
        <w:rPr>
          <w:rStyle w:val="Style1Char"/>
          <w:rFonts w:hint="cs"/>
          <w:rtl/>
        </w:rPr>
        <w:t>(6)</w:t>
      </w:r>
      <w:r w:rsidRPr="00173637">
        <w:rPr>
          <w:rStyle w:val="Style1Char"/>
          <w:color w:val="auto"/>
          <w:sz w:val="22"/>
          <w:szCs w:val="22"/>
          <w:rtl/>
        </w:rPr>
        <w:t>המדיר את אשתו שלא תלך לבית אביה, בזמן שהוא עמה בעיר, חודש אחד - יקיים, שנים - יוציא ויתן כתובה; ובזמן שהוא בעיר אחרת, רגל אחד - יקיים, שלשה - יוציא ויתן כתובה</w:t>
      </w:r>
      <w:r w:rsidRPr="006524CD">
        <w:rPr>
          <w:rStyle w:val="Style1Char"/>
          <w:color w:val="auto"/>
          <w:sz w:val="22"/>
          <w:szCs w:val="22"/>
          <w:rtl/>
        </w:rPr>
        <w:t xml:space="preserve">. </w:t>
      </w:r>
      <w:r w:rsidR="00A008D1">
        <w:rPr>
          <w:rStyle w:val="Style1Char"/>
          <w:rFonts w:hint="cs"/>
          <w:rtl/>
        </w:rPr>
        <w:t>(6)</w:t>
      </w:r>
      <w:r w:rsidRPr="006524CD">
        <w:rPr>
          <w:rStyle w:val="Style1Char"/>
          <w:color w:val="auto"/>
          <w:sz w:val="22"/>
          <w:szCs w:val="22"/>
          <w:rtl/>
        </w:rPr>
        <w:t xml:space="preserve">המדיר את אשתו שלא תלך לבית האבל או לבית המשתה - יוציא ויתן כתובה, מפני שנועל בפניה, ואם היה טוען משום דבר אחר - רשאי. אמר לה ע"מ שתאמרי לפלוני מה שאמרת לי או מה שאמרתי לך, או שתהא ממלאה ומערה לאשפה - יוציא ויתן כתובה. </w:t>
      </w:r>
    </w:p>
    <w:p w14:paraId="28ED39A6" w14:textId="77777777" w:rsidR="002165BA" w:rsidRPr="00657C31" w:rsidRDefault="002165BA" w:rsidP="002165BA">
      <w:pPr>
        <w:bidi/>
        <w:rPr>
          <w:rStyle w:val="Style1Char"/>
          <w:color w:val="00B050"/>
        </w:rPr>
      </w:pPr>
      <w:r w:rsidRPr="00657C31">
        <w:rPr>
          <w:rStyle w:val="Style1Char"/>
          <w:color w:val="00B050"/>
          <w:rtl/>
        </w:rPr>
        <w:t xml:space="preserve">גמ'. הא גופא קשיא, אמרת: רגל אחד - יקיים, הא שנים - יוציא ויתן כתובה, אימא סיפא: שלשה - יוציא ויתן כתובה, הא שנים - יקיים! אמר אביי: סיפא אתאן לכהנת, ורבי יהודה היא. רבה בר עולא אמר, לא קשיא: כאן ברדופה, כאן בשאינה רדופה. אז הייתי בעיניו כמוצאת שלום - אמר רבי יוחנן: ככלה שנמצאת שלמה בבית חמיה, ורדופה לילך ולהגיד שבחה בבית אביה. והיה ביום ההוא נאום ה' תקראי אישי ולא תקראי לי עוד בעלי - אמר רבי יוחנן: ככלה בבית חמיה ולא ככלה בבית אביה. </w:t>
      </w:r>
    </w:p>
    <w:p w14:paraId="2FC95286" w14:textId="3ED9BC35" w:rsidR="002165BA" w:rsidRDefault="002165BA" w:rsidP="002165BA">
      <w:pPr>
        <w:bidi/>
        <w:rPr>
          <w:rStyle w:val="Style1Char"/>
          <w:sz w:val="22"/>
          <w:szCs w:val="22"/>
        </w:rPr>
      </w:pPr>
      <w:r w:rsidRPr="00657C31">
        <w:rPr>
          <w:rStyle w:val="Style1Char"/>
          <w:color w:val="00B050"/>
          <w:rtl/>
        </w:rPr>
        <w:t xml:space="preserve">המדיר את אשתו וכו'. </w:t>
      </w:r>
      <w:r w:rsidRPr="00152F3C">
        <w:rPr>
          <w:rStyle w:val="Style1Char"/>
          <w:color w:val="auto"/>
          <w:sz w:val="22"/>
          <w:szCs w:val="22"/>
          <w:rtl/>
        </w:rPr>
        <w:t xml:space="preserve">בשלמא לבית המשתה </w:t>
      </w:r>
      <w:r w:rsidRPr="004205BE">
        <w:rPr>
          <w:rStyle w:val="Style1Char"/>
          <w:sz w:val="22"/>
          <w:szCs w:val="22"/>
          <w:rtl/>
        </w:rPr>
        <w:t xml:space="preserve">– </w:t>
      </w:r>
    </w:p>
    <w:p w14:paraId="4216173E" w14:textId="7E2C6EFA" w:rsidR="00C4504C" w:rsidRDefault="00C4504C" w:rsidP="00C4504C">
      <w:pPr>
        <w:pStyle w:val="Style1"/>
        <w:rPr>
          <w:rStyle w:val="Style1Char"/>
          <w:rtl/>
        </w:rPr>
      </w:pPr>
      <w:r>
        <w:rPr>
          <w:rStyle w:val="Style1Char"/>
          <w:rFonts w:hint="cs"/>
          <w:rtl/>
        </w:rPr>
        <w:t>1)[</w:t>
      </w:r>
      <w:r w:rsidRPr="00C4504C">
        <w:rPr>
          <w:rStyle w:val="Style1Char"/>
          <w:rtl/>
        </w:rPr>
        <w:t>רמב</w:t>
      </w:r>
      <w:r w:rsidR="00EC109D">
        <w:rPr>
          <w:rStyle w:val="Style1Char"/>
          <w:rtl/>
        </w:rPr>
        <w:t>”ם \הפלאה\</w:t>
      </w:r>
      <w:r w:rsidRPr="00C4504C">
        <w:rPr>
          <w:rStyle w:val="Style1Char"/>
          <w:rtl/>
        </w:rPr>
        <w:t xml:space="preserve"> הלכות נדרים פרק יב הלכה א</w:t>
      </w:r>
      <w:r>
        <w:rPr>
          <w:rStyle w:val="Style1Char"/>
          <w:rFonts w:hint="cs"/>
          <w:rtl/>
        </w:rPr>
        <w:t xml:space="preserve">] </w:t>
      </w:r>
      <w:r w:rsidRPr="00C4504C">
        <w:rPr>
          <w:rStyle w:val="Style1Char"/>
          <w:rtl/>
        </w:rPr>
        <w:t>כל הנדרים והשבועות האב מפר ביום שמעו, שנאמר כל נדריה ואסריה, אבל הבעל אינו יכול להפר אלא כל נדרים ושבועות שיש בהן עינוי נפש או שהן בדברים שבינו לבינה כגון שנשבעה או נדרה שלא תכחול או שלא תתקשט שנאמר בין איש לאשתו.</w:t>
      </w:r>
    </w:p>
    <w:p w14:paraId="40AE06D4" w14:textId="637658B7" w:rsidR="00E30D29" w:rsidRDefault="00E30D29" w:rsidP="00E30D29">
      <w:pPr>
        <w:pStyle w:val="Style1"/>
        <w:rPr>
          <w:rStyle w:val="Style1Char"/>
          <w:rtl/>
        </w:rPr>
      </w:pPr>
      <w:r>
        <w:rPr>
          <w:rStyle w:val="Style1Char"/>
          <w:rFonts w:hint="cs"/>
          <w:rtl/>
        </w:rPr>
        <w:t>1)[</w:t>
      </w:r>
      <w:r w:rsidRPr="00E30D29">
        <w:rPr>
          <w:rStyle w:val="Style1Char"/>
          <w:rtl/>
        </w:rPr>
        <w:t>שולחן ערוך יורה דעה הלכות נדרים סימן רלד סעיף נה</w:t>
      </w:r>
      <w:r>
        <w:rPr>
          <w:rStyle w:val="Style1Char"/>
          <w:rFonts w:hint="cs"/>
          <w:rtl/>
        </w:rPr>
        <w:t xml:space="preserve">] </w:t>
      </w:r>
      <w:r w:rsidRPr="00E30D29">
        <w:rPr>
          <w:rStyle w:val="Style1Char"/>
          <w:rtl/>
        </w:rPr>
        <w:t>אלו נדרים שהבעל מפר, נדרים שיש בהם עינוי נפש ודברים שבינו לבינה. אלא שנדרים שיש בהן עינוי נפש, כשמתירים לה מותרת בהם לעולם. ודברים שבינו לבינה, אין ההתרה אלא לעצמו, כל זמן שיש לו בו תועלת, דהיינו כל זמן שהיא תחתיו, ולאחר שתתגרש כל זמן שלא תנשא שאפשר שתחזור אליו. אבל לאחר שתנשא, חל הנדר גם לדידיה. ונדרים שאין בהם עינוי נפש ואינם בינו לבינה, אינו יכול להפר.</w:t>
      </w:r>
    </w:p>
    <w:p w14:paraId="5EA59518" w14:textId="23CCDBD6" w:rsidR="00FF1471" w:rsidRDefault="00FF1471" w:rsidP="00FF1471">
      <w:pPr>
        <w:pStyle w:val="Style1"/>
        <w:rPr>
          <w:rtl/>
        </w:rPr>
      </w:pPr>
      <w:r>
        <w:rPr>
          <w:rStyle w:val="Style1Char"/>
          <w:rFonts w:hint="cs"/>
          <w:rtl/>
        </w:rPr>
        <w:t>2)[</w:t>
      </w:r>
      <w:r w:rsidRPr="00263CF9">
        <w:rPr>
          <w:rStyle w:val="Style1Char"/>
          <w:rtl/>
        </w:rPr>
        <w:t>שולחן ערוך יורה דעה הלכות נדרים סימן רלה סעיף ג</w:t>
      </w:r>
      <w:r>
        <w:rPr>
          <w:rStyle w:val="Style1Char"/>
          <w:rFonts w:hint="cs"/>
          <w:rtl/>
        </w:rPr>
        <w:t xml:space="preserve">] </w:t>
      </w:r>
      <w:r w:rsidRPr="00180765">
        <w:rPr>
          <w:rtl/>
        </w:rPr>
        <w:t>הדירה שלא תתקשט או שלא תאכל אחד מהמינים אפילו הוא רע ולא טעמתו מעולם ותלאו בתשמיש שאמר קונם תשמישך עלי אם תתקשטי או תאכלי מין פלוני או שאמר קונם הנאת תשמישך עלי אם תלכי לבית אביך יותר מחודש אם הוא דר עמה בעיר או יותר מרגל אם הוא דר בעיר אחרת יקיים ז' ימים ואז יוציא ויתן כתובה ואם היא נדרה שאמרה קונם מין פלוני עלי או קונם שלא אתקשט בקישוט פלוני או שאמרה יאסר תשמישך עלי אם אוכל מין פלוני או אתקשט בקישוט פלוני או אם אלך לבית אבי והוא שמע ולא הפר לה יוציא מיד ויתן כתובה ולהרמב"ם בנדרה היא וקיים לה הוא אם רוצה לישב ולא תאכל מאותו המין תשב ואם הוא אומר אי איפשי באשה נדרנית יוציא ויתן כתובה והוא הדין אם נדרה שלא תלך לבית אביה שאמרה קונם תשמישך עלי אם אלך לבית אבי ושמע הבעל ולא הפר וכן אם אמרה קונם תשמישך עלי אם אלך לבית האבל או לבית המשתה ושמע ולא הפר לה והוא הדין אם אמרה קונם תשמישך עלי אם אעשה שום מלאכה ושמע ולא הפר לה והוא הדין אם אמרה קונם תשמישך עלי אם אשאל משכני כלום או אם אשאיל כלי ושמע ולא הפר</w:t>
      </w:r>
      <w:r w:rsidRPr="00180765">
        <w:t>:</w:t>
      </w:r>
    </w:p>
    <w:p w14:paraId="6B548489" w14:textId="645C2060" w:rsidR="00CA0ADE" w:rsidRDefault="00A355ED" w:rsidP="00CA0ADE">
      <w:pPr>
        <w:pStyle w:val="Style1"/>
        <w:rPr>
          <w:rFonts w:ascii="Arial" w:eastAsia="Times New Roman" w:hAnsi="Arial"/>
          <w:color w:val="202122"/>
          <w:sz w:val="21"/>
          <w:szCs w:val="21"/>
          <w:rtl/>
        </w:rPr>
      </w:pPr>
      <w:r>
        <w:rPr>
          <w:rFonts w:hint="cs"/>
          <w:rtl/>
        </w:rPr>
        <w:t>2)[</w:t>
      </w:r>
      <w:r>
        <w:rPr>
          <w:rtl/>
        </w:rPr>
        <w:t>שולחן ערוך אבן העזר הלכות כתובות סימן עד סעיף א</w:t>
      </w:r>
      <w:r>
        <w:rPr>
          <w:rFonts w:hint="cs"/>
          <w:rtl/>
        </w:rPr>
        <w:t>]</w:t>
      </w:r>
      <w:r w:rsidR="00CA0ADE">
        <w:rPr>
          <w:rFonts w:hint="cs"/>
          <w:rtl/>
        </w:rPr>
        <w:t xml:space="preserve"> </w:t>
      </w:r>
      <w:r w:rsidR="00CA0ADE" w:rsidRPr="00CA0ADE">
        <w:rPr>
          <w:rStyle w:val="Style1Char"/>
          <w:rtl/>
        </w:rPr>
        <w:t>הדירה שלא תתקשט, ותלאו בתשמיש, שאמר: קונם הנאת תשמישך עלי אם תתקשטי, תתקשט מיד ותאסר בתשמיש, ויקיים שבעה ימים ואז יוציא ויתן כתובה. ויש אומרים שאם הדירה שלא תתקשט, בעניות, שנה אחת יקים, יותר מכן יתיר נדרו או יוציא ויתן כתובה; ובעשירות, שלשים יום יקיים, יותר מכן יתיר את נדרו או יוציא ויתן כתובה</w:t>
      </w:r>
      <w:r w:rsidR="00CA0ADE" w:rsidRPr="00CA0ADE">
        <w:rPr>
          <w:rFonts w:ascii="Arial" w:eastAsia="Times New Roman" w:hAnsi="Arial"/>
          <w:color w:val="202122"/>
          <w:sz w:val="21"/>
          <w:szCs w:val="21"/>
        </w:rPr>
        <w:t>:</w:t>
      </w:r>
    </w:p>
    <w:p w14:paraId="3D52DE23" w14:textId="67764FC2" w:rsidR="00B81724" w:rsidRDefault="00B81724" w:rsidP="00B81724">
      <w:pPr>
        <w:pStyle w:val="Style1"/>
        <w:rPr>
          <w:rtl/>
        </w:rPr>
      </w:pPr>
      <w:r>
        <w:rPr>
          <w:rFonts w:hint="cs"/>
          <w:rtl/>
        </w:rPr>
        <w:t>3)[</w:t>
      </w:r>
      <w:r w:rsidRPr="00B81724">
        <w:rPr>
          <w:rtl/>
        </w:rPr>
        <w:t>רמב</w:t>
      </w:r>
      <w:r w:rsidR="00EC109D">
        <w:rPr>
          <w:rtl/>
        </w:rPr>
        <w:t>”ם \הפלאה\</w:t>
      </w:r>
      <w:r w:rsidRPr="00B81724">
        <w:rPr>
          <w:rtl/>
        </w:rPr>
        <w:t xml:space="preserve"> הלכות נדרים פרק יב הלכה ט</w:t>
      </w:r>
      <w:r>
        <w:rPr>
          <w:rFonts w:hint="cs"/>
          <w:rtl/>
        </w:rPr>
        <w:t xml:space="preserve">] </w:t>
      </w:r>
      <w:r w:rsidRPr="00B81724">
        <w:rPr>
          <w:rtl/>
        </w:rPr>
        <w:t>האשה שאמרה לבעלה הנאת תשמישי אסורה עליך אינו צריך להפר, הא למה זה דומה לאוסר פירות חבירו על בעל הפירות, וכן הוא שאומר לה הנאת תשמישי אסורה עליך לא אמר כלום מפני שהוא משועבד לה בשאר כסות ועונה כמו שבארנו בהלכות אישות, אבל אם אמרה לו הנאת תשמישך אסורה עלי צריך להפר, ואם לא הפר הרי זה אסור לשמשה שאין מאכילין את האדם דבר האסור לו.</w:t>
      </w:r>
    </w:p>
    <w:p w14:paraId="0308B885" w14:textId="261D5C19" w:rsidR="006E1605" w:rsidRPr="006E1605" w:rsidRDefault="00D74585" w:rsidP="006E1605">
      <w:pPr>
        <w:pStyle w:val="Style1"/>
      </w:pPr>
      <w:r>
        <w:rPr>
          <w:rFonts w:hint="cs"/>
          <w:rtl/>
        </w:rPr>
        <w:t>3)[</w:t>
      </w:r>
      <w:r>
        <w:rPr>
          <w:rtl/>
        </w:rPr>
        <w:t>שולחן ערוך יורה דעה הלכות נדרים סימן רלד סעיף סז</w:t>
      </w:r>
      <w:r>
        <w:rPr>
          <w:rFonts w:hint="cs"/>
          <w:rtl/>
        </w:rPr>
        <w:t>]</w:t>
      </w:r>
      <w:r w:rsidR="006E1605">
        <w:rPr>
          <w:rFonts w:hint="cs"/>
          <w:rtl/>
        </w:rPr>
        <w:t xml:space="preserve"> </w:t>
      </w:r>
      <w:r w:rsidR="006E1605" w:rsidRPr="006E1605">
        <w:rPr>
          <w:rtl/>
        </w:rPr>
        <w:t>הא דחל נדר מתשמיש דוקא שאמרה הנאת תשמישך עלי אבל אמרה הנאת תשמישי עליך אינו צריך להפר שהיא משועבדת לו וכן הוא שאמר [הנאת] תשמישי עליך אינו נדר אבל אם אמר הנאת תשמישך עלי הוי נדר</w:t>
      </w:r>
      <w:r w:rsidR="006E1605" w:rsidRPr="006E1605">
        <w:t>:</w:t>
      </w:r>
    </w:p>
    <w:p w14:paraId="009B79B9" w14:textId="71BF4A3A" w:rsidR="006E1605" w:rsidRDefault="006E1605" w:rsidP="006E1605">
      <w:pPr>
        <w:pStyle w:val="Style1"/>
        <w:rPr>
          <w:rtl/>
        </w:rPr>
      </w:pPr>
      <w:r w:rsidRPr="006E1605">
        <w:rPr>
          <w:rFonts w:hint="cs"/>
          <w:rtl/>
        </w:rPr>
        <w:t>הגה: בעל שנדר שלא לקרב אל אשתו עד זמן פלוני אם עשה ברצון אשתו חל הנדר ואם לאו אינו חל (ב"י בשם הגהות מיי' פ"ד מהלכות אישות בשם הר"מ) האשה שבקשה מבעלה שלא לשמש עמה ובעלה כעס ונשבע שלא לשמש עמה וכראות האשה שבעלה כועס ורצה לישבע מיחתה בו חל הנדר דכיון שבקשה ממנו שלא לשמש עמה הרי מחלה לו שעבודו ומה שמיחתה בו לא עשתה רק שלא יכעוס (מהרי"ו סי' א')</w:t>
      </w:r>
      <w:r w:rsidRPr="006E1605">
        <w:t>:</w:t>
      </w:r>
    </w:p>
    <w:p w14:paraId="528F83C3" w14:textId="629C9449" w:rsidR="008841A1" w:rsidRDefault="008841A1" w:rsidP="001F2165">
      <w:pPr>
        <w:pStyle w:val="Style1"/>
        <w:rPr>
          <w:rtl/>
        </w:rPr>
      </w:pPr>
      <w:r>
        <w:rPr>
          <w:rFonts w:hint="cs"/>
          <w:rtl/>
        </w:rPr>
        <w:t>4)[</w:t>
      </w:r>
      <w:r>
        <w:rPr>
          <w:rtl/>
        </w:rPr>
        <w:t>רמב</w:t>
      </w:r>
      <w:r w:rsidR="00213DA1">
        <w:rPr>
          <w:rtl/>
        </w:rPr>
        <w:t>”ם \נשים\</w:t>
      </w:r>
      <w:r>
        <w:rPr>
          <w:rtl/>
        </w:rPr>
        <w:t xml:space="preserve"> הלכות אישות פרק יד הלכה ו</w:t>
      </w:r>
      <w:r w:rsidR="001F2165">
        <w:rPr>
          <w:rFonts w:hint="cs"/>
          <w:rtl/>
        </w:rPr>
        <w:t xml:space="preserve">] </w:t>
      </w:r>
      <w:r>
        <w:rPr>
          <w:rtl/>
        </w:rPr>
        <w:t>המדיר את אשתו מתשמיש המטה שבת אחת ממתינין לו יתר על כן יוציא ויתן כתובה או יפר נדרו, ואפילו היה מלח שעונתו לששה חדשים, שכיון שנדר הרי ציערה ונתיאשה, וכיצד מדירה אם אמר לה תשמישי אסור עליך או שנשבע שלא ישמש מטתו לא נדר כלום, ואם נשבע נשבע לשוא, מפני שהוא משועבד לה, אמר לה הנאת תשמישך אסורה עלי הרי זה נדר ואסור לשמש שאין מאכילין את האדם דבר האסור לו.</w:t>
      </w:r>
    </w:p>
    <w:p w14:paraId="03EFBDA3" w14:textId="6ED4FB3C" w:rsidR="00303DC6" w:rsidRDefault="00303DC6" w:rsidP="00303DC6">
      <w:pPr>
        <w:pStyle w:val="Style1"/>
        <w:rPr>
          <w:rtl/>
        </w:rPr>
      </w:pPr>
      <w:r>
        <w:rPr>
          <w:rFonts w:hint="cs"/>
          <w:rtl/>
        </w:rPr>
        <w:t>5)[</w:t>
      </w:r>
      <w:r>
        <w:rPr>
          <w:rtl/>
        </w:rPr>
        <w:t>רמב</w:t>
      </w:r>
      <w:r w:rsidR="00213DA1">
        <w:rPr>
          <w:rtl/>
        </w:rPr>
        <w:t>”ם \נשים\</w:t>
      </w:r>
      <w:r>
        <w:rPr>
          <w:rtl/>
        </w:rPr>
        <w:t xml:space="preserve"> הלכות אישות פרק יג הלכה ח</w:t>
      </w:r>
      <w:r>
        <w:rPr>
          <w:rFonts w:hint="cs"/>
          <w:rtl/>
        </w:rPr>
        <w:t xml:space="preserve">] </w:t>
      </w:r>
      <w:r>
        <w:rPr>
          <w:rtl/>
        </w:rPr>
        <w:t>המדיר את אשתו שלא תתקשט באחד מכל המינין, בעניות שנה אחת יקיים יתר על כן או יתיר נדרו או יוציא ויתן כתובה, ובעשירות שלשים יום יקיים יתר על כן או יתיר נדרו או יוציא ויתן כתובה.</w:t>
      </w:r>
    </w:p>
    <w:p w14:paraId="4242F05B" w14:textId="237A6A7F" w:rsidR="008C02B0" w:rsidRPr="008C02B0" w:rsidRDefault="005144B7" w:rsidP="008C02B0">
      <w:pPr>
        <w:pStyle w:val="Style1"/>
      </w:pPr>
      <w:r>
        <w:rPr>
          <w:rFonts w:hint="cs"/>
          <w:rtl/>
        </w:rPr>
        <w:t>5)[</w:t>
      </w:r>
      <w:r>
        <w:rPr>
          <w:rtl/>
        </w:rPr>
        <w:t>שולחן ערוך אבן העזר הלכות כתובות סימן עד סעיף ב</w:t>
      </w:r>
      <w:r>
        <w:rPr>
          <w:rFonts w:hint="cs"/>
          <w:rtl/>
        </w:rPr>
        <w:t>]</w:t>
      </w:r>
      <w:r w:rsidR="008C02B0">
        <w:rPr>
          <w:rFonts w:hint="cs"/>
          <w:rtl/>
        </w:rPr>
        <w:t xml:space="preserve"> </w:t>
      </w:r>
      <w:r w:rsidR="008C02B0" w:rsidRPr="008C02B0">
        <w:rPr>
          <w:rtl/>
        </w:rPr>
        <w:t>נדרה היא שלא תתקשט, או שאמרה: קונם תשמישך עלי אם אתקשט, ושמע ולא הפר לה, יוציא ויתן כתובה</w:t>
      </w:r>
      <w:r w:rsidR="008C02B0" w:rsidRPr="008C02B0">
        <w:t>.</w:t>
      </w:r>
    </w:p>
    <w:p w14:paraId="1D0BB212" w14:textId="2473F7F1" w:rsidR="008C02B0" w:rsidRDefault="008C02B0" w:rsidP="008C02B0">
      <w:pPr>
        <w:pStyle w:val="Style1"/>
        <w:rPr>
          <w:rFonts w:ascii="Arial" w:hAnsi="Arial"/>
          <w:color w:val="202122"/>
          <w:sz w:val="21"/>
          <w:szCs w:val="21"/>
          <w:rtl/>
        </w:rPr>
      </w:pPr>
      <w:r w:rsidRPr="008C02B0">
        <w:rPr>
          <w:rFonts w:hint="cs"/>
          <w:rtl/>
        </w:rPr>
        <w:t>ועין עוד חלוקי דינים אלו </w:t>
      </w:r>
      <w:hyperlink r:id="rId174" w:tooltip="שולחן ערוך יורה דעה רלה" w:history="1">
        <w:r w:rsidRPr="008C02B0">
          <w:rPr>
            <w:rStyle w:val="Hyperlink"/>
            <w:rFonts w:hint="cs"/>
            <w:color w:val="7030A0"/>
            <w:u w:val="none"/>
            <w:rtl/>
          </w:rPr>
          <w:t>ביורה דעה סימן רל"ה</w:t>
        </w:r>
      </w:hyperlink>
      <w:r>
        <w:rPr>
          <w:rFonts w:ascii="Arial" w:hAnsi="Arial"/>
          <w:color w:val="202122"/>
          <w:sz w:val="21"/>
          <w:szCs w:val="21"/>
        </w:rPr>
        <w:t>:</w:t>
      </w:r>
    </w:p>
    <w:p w14:paraId="0FFBA0C9" w14:textId="46460A4E" w:rsidR="00AA18E1" w:rsidRDefault="00AA18E1" w:rsidP="00AA18E1">
      <w:pPr>
        <w:pStyle w:val="Style1"/>
        <w:rPr>
          <w:rtl/>
        </w:rPr>
      </w:pPr>
      <w:r>
        <w:rPr>
          <w:rFonts w:hint="cs"/>
          <w:rtl/>
        </w:rPr>
        <w:lastRenderedPageBreak/>
        <w:t>5)[</w:t>
      </w:r>
      <w:r w:rsidRPr="00AA18E1">
        <w:rPr>
          <w:rtl/>
        </w:rPr>
        <w:t>שולחן ערוך אבן העזר הלכות כתובות סימן עד סעיף ה</w:t>
      </w:r>
      <w:r>
        <w:rPr>
          <w:rFonts w:hint="cs"/>
          <w:rtl/>
        </w:rPr>
        <w:t xml:space="preserve">] </w:t>
      </w:r>
      <w:r w:rsidRPr="00AA18E1">
        <w:rPr>
          <w:rtl/>
        </w:rPr>
        <w:t>נדרה היא ואמרה: קונם הנאת תשמישך עלי אם אלך לבית האבל או לבית המשתה, ושמע ולא הפר, יוציא מיד ויתן כתובה.</w:t>
      </w:r>
    </w:p>
    <w:p w14:paraId="080634CC" w14:textId="3C51D5D1" w:rsidR="001C2EDB" w:rsidRDefault="001C2EDB" w:rsidP="001C2EDB">
      <w:pPr>
        <w:pStyle w:val="Style1"/>
        <w:rPr>
          <w:rtl/>
        </w:rPr>
      </w:pPr>
      <w:r>
        <w:rPr>
          <w:rFonts w:hint="cs"/>
          <w:rtl/>
        </w:rPr>
        <w:t>6)[</w:t>
      </w:r>
      <w:r>
        <w:rPr>
          <w:rtl/>
        </w:rPr>
        <w:t>רמב</w:t>
      </w:r>
      <w:r w:rsidR="00213DA1">
        <w:rPr>
          <w:rtl/>
        </w:rPr>
        <w:t>”ם \נשים\</w:t>
      </w:r>
      <w:r>
        <w:rPr>
          <w:rtl/>
        </w:rPr>
        <w:t xml:space="preserve"> הלכות אישות פרק יג הלכה יב</w:t>
      </w:r>
      <w:r>
        <w:rPr>
          <w:rFonts w:hint="cs"/>
          <w:rtl/>
        </w:rPr>
        <w:t xml:space="preserve">] </w:t>
      </w:r>
      <w:r>
        <w:rPr>
          <w:rtl/>
        </w:rPr>
        <w:t>המדיר את אשתו שלא תלך לבית אביה בזמן שהן עמה בעיר חודש אחד ממתינין לו שנים יוציא ויתן כתובה, ובזמן שהן בעיר אחרת רגל אחד ממתניתין לו שנים יוציא ויתן כתובה.</w:t>
      </w:r>
    </w:p>
    <w:p w14:paraId="0D0C7208" w14:textId="37222F05" w:rsidR="0053463C" w:rsidRDefault="0053463C" w:rsidP="0053463C">
      <w:pPr>
        <w:pStyle w:val="Style1"/>
        <w:rPr>
          <w:rtl/>
        </w:rPr>
      </w:pPr>
      <w:r>
        <w:rPr>
          <w:rFonts w:hint="cs"/>
          <w:rtl/>
        </w:rPr>
        <w:t>6)[</w:t>
      </w:r>
      <w:r>
        <w:rPr>
          <w:rtl/>
        </w:rPr>
        <w:t>רמב</w:t>
      </w:r>
      <w:r w:rsidR="00213DA1">
        <w:rPr>
          <w:rtl/>
        </w:rPr>
        <w:t>”ם \נשים\</w:t>
      </w:r>
      <w:r>
        <w:rPr>
          <w:rtl/>
        </w:rPr>
        <w:t xml:space="preserve"> הלכות אישות פרק יג הלכה יג</w:t>
      </w:r>
      <w:r>
        <w:rPr>
          <w:rFonts w:hint="cs"/>
          <w:rtl/>
        </w:rPr>
        <w:t xml:space="preserve">] </w:t>
      </w:r>
      <w:r>
        <w:rPr>
          <w:rtl/>
        </w:rPr>
        <w:t>המדיר את אשתו שלא תלך לבית האבל ולבית המשתה, או יתיר נדרו או יוציא ויתן כתובה שזה כמי שאסרה בבית הסוהר ונעל בפניה, ואם היה טוען מפני בני אדם פרוצים שיש באותו בית האבל או בבית המשתה והוחזקו שם פרוצים שומעין לו.</w:t>
      </w:r>
    </w:p>
    <w:p w14:paraId="4D242041" w14:textId="38BD522A" w:rsidR="00B04297" w:rsidRDefault="00B04297" w:rsidP="00B04297">
      <w:pPr>
        <w:pStyle w:val="Style1"/>
      </w:pPr>
      <w:r>
        <w:rPr>
          <w:rFonts w:hint="cs"/>
          <w:rtl/>
        </w:rPr>
        <w:t>6)[</w:t>
      </w:r>
      <w:r>
        <w:rPr>
          <w:rtl/>
        </w:rPr>
        <w:t>טור יורה דעה הלכות נדרים סימן רלה</w:t>
      </w:r>
      <w:r>
        <w:rPr>
          <w:rFonts w:hint="cs"/>
          <w:rtl/>
        </w:rPr>
        <w:t xml:space="preserve">] </w:t>
      </w:r>
      <w:r>
        <w:rPr>
          <w:rtl/>
        </w:rPr>
        <w:t xml:space="preserve">המדיר </w:t>
      </w:r>
      <w:r>
        <w:rPr>
          <w:rFonts w:hint="cs"/>
        </w:rPr>
        <w:t>‍</w:t>
      </w:r>
      <w:r>
        <w:rPr>
          <w:rtl/>
        </w:rPr>
        <w:t xml:space="preserve"> </w:t>
      </w:r>
      <w:r>
        <w:rPr>
          <w:rFonts w:hint="cs"/>
        </w:rPr>
        <w:t>‍</w:t>
      </w:r>
      <w:r>
        <w:rPr>
          <w:rtl/>
        </w:rPr>
        <w:t xml:space="preserve">אשתו מתשמיש המטה שאומר קונם תשמישך עלי יקיים אותה ז' ימים בין שהדירה בפירוש לז' ימים או יותר או שהדירה סתם ולאחר ז' ימים יוציא ויתן כתובה הדירה שלא תיהנה ממנו אינו חל שהרי הוא משועבד לה ואם אמר לה צאי מעשה ידיך במזונותיך והיא מספקת בהם לדברים גדולים ואינה מספקת לדברים קטנים אם כל משפחתה רגילים באותם דברים הקטנים אינו חל שהרי הוא משועבד לה גם בהן ואם אין כל משפחתה רגילים בהם אלא העשירים ואביה עשיר ורגיל בהן ובעלה אינו עשיר ואינו רגיל בהן חל הנדר שהרי אינו חייב לה בהן ומ"מ כיון שהדירה ממנו והיא חוזרת לבית אביה הוא מתחייב לה עתה בהן הלכך עד ל' יום יפרנסנה באלו דברים הקטנים ע"י פרנס שיאמר כל הזן אינו </w:t>
      </w:r>
      <w:r>
        <w:rPr>
          <w:rFonts w:hint="cs"/>
        </w:rPr>
        <w:t>‍</w:t>
      </w:r>
      <w:r>
        <w:rPr>
          <w:rtl/>
        </w:rPr>
        <w:t>מפסיד ויזון אותה אחר וילך ויקח מן הבעל לא שנא הדירה ל' יום או יותר או שהדירה סתם אחר ל' יום יוציא ויתן כתובה:</w:t>
      </w:r>
    </w:p>
    <w:p w14:paraId="7DF64EE7" w14:textId="40862726" w:rsidR="00B04297" w:rsidRDefault="00B04297" w:rsidP="00B04297">
      <w:pPr>
        <w:pStyle w:val="Style1"/>
      </w:pPr>
      <w:r>
        <w:rPr>
          <w:rtl/>
        </w:rPr>
        <w:t xml:space="preserve">הדירה שלא תתקשט או שלא </w:t>
      </w:r>
      <w:r>
        <w:rPr>
          <w:rFonts w:hint="cs"/>
        </w:rPr>
        <w:t>‍</w:t>
      </w:r>
      <w:r>
        <w:rPr>
          <w:rtl/>
        </w:rPr>
        <w:t xml:space="preserve">תאכל אחד מהמינין אפילו הוא רע ולא טעמתו מעולם ותלאו בתשמיש שאמר קונם תשמישך עלי אם תתקשטי או תאכלי מין פלוני יקיים ז' ימים ואז יוציא </w:t>
      </w:r>
      <w:r>
        <w:rPr>
          <w:rFonts w:hint="cs"/>
        </w:rPr>
        <w:t>‍</w:t>
      </w:r>
      <w:r>
        <w:rPr>
          <w:rtl/>
        </w:rPr>
        <w:t xml:space="preserve">ואם היא נדרה שאמרה קונם מין פלוני עלי או קונם שלא אתקשט בקישוט פלוני או שאמרה יאסר תשמישך עלי אם אוכל מין פלוני או אתקשט בקישוט פלוני והוא שומע ולא הפר לה יוציא </w:t>
      </w:r>
      <w:r>
        <w:rPr>
          <w:rFonts w:hint="cs"/>
        </w:rPr>
        <w:t>‍</w:t>
      </w:r>
      <w:r>
        <w:rPr>
          <w:rtl/>
        </w:rPr>
        <w:t>מיד:</w:t>
      </w:r>
    </w:p>
    <w:p w14:paraId="6D3DE655" w14:textId="56BBD001" w:rsidR="00B04297" w:rsidRDefault="00B04297" w:rsidP="00B04297">
      <w:pPr>
        <w:pStyle w:val="Style1"/>
      </w:pPr>
      <w:r>
        <w:rPr>
          <w:rtl/>
        </w:rPr>
        <w:t xml:space="preserve">נדרה שלא תלך לבית אביה שאמרה קונם תשמישך עלי אם אלך לבית אבי שאם לא תלתה בתשמיש אלא אמרה קונם בית אבי עלי אינו יכול להפר אבל כיון שתלתה בתשמיש הוא יכול להפר ואם שמע ולא הפר אם אביה עמה בעיר נדרה חדש א' יקיים יותר מחדש או סתם יוציא מיד ויתן כתובה ואם אינו בעיר והיא רדופה לילך לביתו רגל א' יקיים שנים או סתם יוציא מיד ואם אינה רדופה לילך לביתו ג' רגלים או סתם יוציא שנים יקיים ואם הוא אומר קונם תשמישך עלי אם תלכי לבית אביך יותר מחדש </w:t>
      </w:r>
      <w:r>
        <w:rPr>
          <w:rFonts w:hint="cs"/>
        </w:rPr>
        <w:t>‍</w:t>
      </w:r>
      <w:r>
        <w:rPr>
          <w:rtl/>
        </w:rPr>
        <w:t xml:space="preserve">או יותר </w:t>
      </w:r>
      <w:r>
        <w:rPr>
          <w:rFonts w:hint="cs"/>
        </w:rPr>
        <w:t>‍</w:t>
      </w:r>
      <w:r>
        <w:rPr>
          <w:rtl/>
        </w:rPr>
        <w:t xml:space="preserve">מרגל יוציא מיד אחר ז' ימים הדירה שלא תלך לבית האבל או לבית המשתה </w:t>
      </w:r>
      <w:r>
        <w:rPr>
          <w:rFonts w:hint="cs"/>
        </w:rPr>
        <w:t>‍</w:t>
      </w:r>
      <w:r>
        <w:rPr>
          <w:rtl/>
        </w:rPr>
        <w:t xml:space="preserve">אם נדרה היא שאמרה קונם תשמישך עלי אם אלך וקיים לה יוציא מיד ויתן כתובה ואם נדר הוא שאמר קונם תשמישך עלי אם תלכי יוציא לאחר ז' ימים ואם טוען הדרתיה שלא תלך שם בשביל ב"א פריצים ששם אם הוחזקו שם נאמן ואם לאו אינו נאמן נדרה נדר של בינו לבינה או של עינוי נפש והפר לה על מנת שתאמר לפלוני דבר של קלון </w:t>
      </w:r>
      <w:r>
        <w:rPr>
          <w:rFonts w:hint="cs"/>
        </w:rPr>
        <w:t>‍</w:t>
      </w:r>
      <w:r>
        <w:rPr>
          <w:rtl/>
        </w:rPr>
        <w:t>או שתהא מתהפכת אחר התשמיש כדי שלא תתעבר או שתהא ממלא עשרה כדי מים ושופכם לאשפה והיא אינה רוצה לעשות א' מאלו הדברים ונתקיים הנדר יוציא ויתן כתובה:</w:t>
      </w:r>
    </w:p>
    <w:p w14:paraId="7ABA32CD" w14:textId="4FA00361" w:rsidR="00B04297" w:rsidRDefault="00B04297" w:rsidP="00B04297">
      <w:pPr>
        <w:pStyle w:val="Style1"/>
      </w:pPr>
      <w:r>
        <w:rPr>
          <w:rtl/>
        </w:rPr>
        <w:t xml:space="preserve">אמרה קונם תשמישך עלי אם אעשה שום מלאכה ושמע ולא הפר יוציא מיד ויתן כתובה ואם הוא אמר קונם תשמישך עלי אם תעשה שום מלאכה יוציא לאחר ז' ימים ואם התיר </w:t>
      </w:r>
      <w:r>
        <w:rPr>
          <w:rFonts w:hint="cs"/>
        </w:rPr>
        <w:t>‍</w:t>
      </w:r>
      <w:r>
        <w:rPr>
          <w:rtl/>
        </w:rPr>
        <w:t>לה שום מלאכה אפי' כל שהוא כגון לשחוק בכלבים וכיוצא בו לא יוציא:</w:t>
      </w:r>
    </w:p>
    <w:p w14:paraId="27BDB92D" w14:textId="34988C2A" w:rsidR="00B04297" w:rsidRDefault="00B04297" w:rsidP="00B04297">
      <w:pPr>
        <w:pStyle w:val="Style1"/>
        <w:rPr>
          <w:rtl/>
        </w:rPr>
      </w:pPr>
      <w:r>
        <w:rPr>
          <w:rtl/>
        </w:rPr>
        <w:t>אסר הבעל כלי שכניו עליו או כליו על שכיניו כדי שלא תשאילם ולא תשאל מהם או שאמרה קונם תשמישך עלי אם אשאל משכני כלום או אם אשאילם כלי ושמע וקיים לה יוציא מיד ויתן כתובה ואם הוא אומר קונם תשמישך עלי אם תשאל מהם או תשאילם יוציא לאחר ז' ימים ואם היא אסרה כלי שכניה עליה כדי שלא תשאל מהם או שנדרה שלא לארוג בגדים נאים לבנה אינו יכול להפר שאינו דברים שבינו לבינה ואסורה לשאול משכניה ולארוג הבגדים הילכך תצא בלא כתובה שמשיאתו שם רע בשכניו:</w:t>
      </w:r>
    </w:p>
    <w:p w14:paraId="5B45FA94" w14:textId="607B65DD" w:rsidR="00F03530" w:rsidRDefault="00F03530" w:rsidP="00F03530">
      <w:pPr>
        <w:pStyle w:val="Style1"/>
        <w:rPr>
          <w:rtl/>
        </w:rPr>
      </w:pPr>
      <w:r>
        <w:rPr>
          <w:rFonts w:hint="cs"/>
          <w:rtl/>
        </w:rPr>
        <w:t>6)[</w:t>
      </w:r>
      <w:r>
        <w:rPr>
          <w:rtl/>
        </w:rPr>
        <w:t>שולחן ערוך יורה דעה הלכות נדרים סימן רלד סעיף סב</w:t>
      </w:r>
      <w:r>
        <w:rPr>
          <w:rFonts w:hint="cs"/>
          <w:rtl/>
        </w:rPr>
        <w:t xml:space="preserve">] </w:t>
      </w:r>
      <w:r>
        <w:rPr>
          <w:rtl/>
        </w:rPr>
        <w:t>נדרה שלא תלך לבית האבל או לבית המשתה או לבית אביה ואמה או שלא תלך במחול או שלא לשורר או שלא לשמוע קול שיר, הוי נדרי עינוי נפש.</w:t>
      </w:r>
    </w:p>
    <w:p w14:paraId="78FFBF60" w14:textId="6E48377F" w:rsidR="00322976" w:rsidRDefault="00322976" w:rsidP="00322976">
      <w:pPr>
        <w:pStyle w:val="Style1"/>
        <w:rPr>
          <w:rtl/>
        </w:rPr>
      </w:pPr>
      <w:r>
        <w:rPr>
          <w:rFonts w:hint="cs"/>
          <w:rtl/>
        </w:rPr>
        <w:t>6)[</w:t>
      </w:r>
      <w:r>
        <w:rPr>
          <w:rtl/>
        </w:rPr>
        <w:t>שולחן ערוך יורה דעה הלכות נדרים סימן רלה סעיף ו</w:t>
      </w:r>
      <w:r>
        <w:rPr>
          <w:rFonts w:hint="cs"/>
          <w:rtl/>
        </w:rPr>
        <w:t xml:space="preserve">] </w:t>
      </w:r>
      <w:r>
        <w:rPr>
          <w:rtl/>
        </w:rPr>
        <w:t>בעל שאמר לאשתו: אוסר אני עליך שלא תלך לבית אביך או שאמר לה קונם עליך בית אביך, אינו כלום (ועיין חילוקי דינים שבסימן זו באה"ע סימן ע"ד).</w:t>
      </w:r>
    </w:p>
    <w:p w14:paraId="638607FC" w14:textId="6DC9D005" w:rsidR="00990138" w:rsidRDefault="00990138" w:rsidP="00990138">
      <w:pPr>
        <w:pStyle w:val="Style1"/>
        <w:rPr>
          <w:rtl/>
        </w:rPr>
      </w:pPr>
      <w:r>
        <w:rPr>
          <w:rFonts w:hint="cs"/>
          <w:rtl/>
        </w:rPr>
        <w:t>6)[</w:t>
      </w:r>
      <w:r>
        <w:rPr>
          <w:rtl/>
        </w:rPr>
        <w:t>שולחן ערוך אבן העזר הלכות כתובות סימן עד סעיף ד</w:t>
      </w:r>
      <w:r>
        <w:rPr>
          <w:rFonts w:hint="cs"/>
          <w:rtl/>
        </w:rPr>
        <w:t xml:space="preserve">] </w:t>
      </w:r>
      <w:r>
        <w:rPr>
          <w:rtl/>
        </w:rPr>
        <w:t>נדרה שלא תלך לבית אביה, ותלאתו בתשמיש, שאמרה: קונם תשמישך עלי אם אלך לבית אבי, שאם לא תלאתו בתשמיש אלא אמרה: קונם בית אבי עלי, אינו יכול להפר, אלא כיון שתלאתו בתשמיש יכול להפר, וכיון ששמע ולא הפר, יוציא מיד ויתן כתובה. ואם הוא אומר: קונם תשמישך עלי אם תלכי לבית אביך יותר מחדש, אם הוא דר עמה בעיר, או יותר מרגל אם הוא דר בעיר אחרת, יקיים ז' ימים ואז יוציא ויתן כתובה.</w:t>
      </w:r>
    </w:p>
    <w:p w14:paraId="723E356B" w14:textId="72121112" w:rsidR="00E8215F" w:rsidRPr="00AA18E1" w:rsidRDefault="00E8215F" w:rsidP="00E8215F">
      <w:pPr>
        <w:pStyle w:val="Style1"/>
      </w:pPr>
      <w:r>
        <w:rPr>
          <w:rFonts w:hint="cs"/>
          <w:rtl/>
        </w:rPr>
        <w:t>6)[</w:t>
      </w:r>
      <w:r>
        <w:rPr>
          <w:rtl/>
        </w:rPr>
        <w:t>שולחן ערוך אבן העזר הלכות כתובות סימן עד סעיף ו</w:t>
      </w:r>
      <w:r>
        <w:rPr>
          <w:rFonts w:hint="cs"/>
          <w:rtl/>
        </w:rPr>
        <w:t xml:space="preserve">] </w:t>
      </w:r>
      <w:r>
        <w:rPr>
          <w:rtl/>
        </w:rPr>
        <w:t>ואם הדיר הוא, שאמר: קונם הנאת תשמישך עלי אם תלכי, יוציא לאחר שבעה ימים ויתן כתובתה. ואם טוען: הדרתיה בשביל בני אדם פרוצים המצויים שם, אם הוחזקו שם, נאמן; ואם לאו, אינו נאמן.</w:t>
      </w:r>
    </w:p>
    <w:p w14:paraId="55616317" w14:textId="77777777" w:rsidR="008C02B0" w:rsidRPr="008C02B0" w:rsidRDefault="008C02B0" w:rsidP="008C02B0">
      <w:pPr>
        <w:pStyle w:val="Style1"/>
      </w:pPr>
    </w:p>
    <w:p w14:paraId="43D19AE7" w14:textId="77777777" w:rsidR="00117823" w:rsidRPr="006E1605" w:rsidRDefault="00117823" w:rsidP="00117823">
      <w:pPr>
        <w:pStyle w:val="Style1"/>
      </w:pPr>
    </w:p>
    <w:p w14:paraId="03C2490B" w14:textId="77777777" w:rsidR="00CA0ADE" w:rsidRPr="00B81724" w:rsidRDefault="00CA0ADE" w:rsidP="00B81724">
      <w:pPr>
        <w:pStyle w:val="Style1"/>
        <w:rPr>
          <w:rtl/>
        </w:rPr>
      </w:pPr>
    </w:p>
    <w:p w14:paraId="596FA184" w14:textId="77777777" w:rsidR="002165BA" w:rsidRDefault="002165BA" w:rsidP="002165BA">
      <w:pPr>
        <w:rPr>
          <w:rStyle w:val="Style1Char"/>
          <w:color w:val="00B050"/>
          <w:rtl/>
        </w:rPr>
      </w:pPr>
      <w:r>
        <w:rPr>
          <w:rStyle w:val="Style1Char"/>
          <w:color w:val="00B050"/>
          <w:rtl/>
        </w:rPr>
        <w:br w:type="page"/>
      </w:r>
    </w:p>
    <w:p w14:paraId="2A941FB1" w14:textId="52A952A2" w:rsidR="002165BA" w:rsidRPr="00152F3C" w:rsidRDefault="002165BA" w:rsidP="002165BA">
      <w:pPr>
        <w:bidi/>
        <w:rPr>
          <w:rStyle w:val="Style1Char"/>
          <w:color w:val="auto"/>
          <w:sz w:val="22"/>
          <w:szCs w:val="22"/>
          <w:rtl/>
        </w:rPr>
      </w:pPr>
      <w:r w:rsidRPr="00152F3C">
        <w:rPr>
          <w:rStyle w:val="Style1Char"/>
          <w:color w:val="auto"/>
          <w:sz w:val="22"/>
          <w:szCs w:val="22"/>
          <w:highlight w:val="yellow"/>
          <w:rtl/>
        </w:rPr>
        <w:lastRenderedPageBreak/>
        <w:t>[דף עב עמוד א]</w:t>
      </w:r>
      <w:r w:rsidRPr="00152F3C">
        <w:rPr>
          <w:rStyle w:val="Style1Char"/>
          <w:color w:val="auto"/>
          <w:sz w:val="22"/>
          <w:szCs w:val="22"/>
          <w:rtl/>
        </w:rPr>
        <w:t xml:space="preserve"> איכא נועל בפניה, אלא לבית האבל - מאי נועל בפניה איכא? תנא: למחר היא מתה, ואין כל בריה סופדה. ואיכא דאמרי: אין כל בריה סופנה. תניא: היה ר' מאיר אומר, מאי דכתיב: טוב ללכת אל בית אבל</w:t>
      </w:r>
      <w:r w:rsidRPr="00152F3C">
        <w:rPr>
          <w:rStyle w:val="Style1Char"/>
          <w:color w:val="auto"/>
          <w:rtl/>
        </w:rPr>
        <w:t xml:space="preserve"> </w:t>
      </w:r>
      <w:r w:rsidRPr="00152F3C">
        <w:rPr>
          <w:rStyle w:val="Style1Char"/>
          <w:color w:val="auto"/>
          <w:sz w:val="22"/>
          <w:szCs w:val="22"/>
          <w:rtl/>
        </w:rPr>
        <w:t xml:space="preserve">מלכת אל בית משתה באשר הוא סוף כל האדם והחי יתן אל לבו, מאי והחי יתן אל לבו? דברים של מיתה, </w:t>
      </w:r>
      <w:r w:rsidR="009E45B0">
        <w:rPr>
          <w:rStyle w:val="Style1Char"/>
          <w:rFonts w:hint="cs"/>
          <w:rtl/>
        </w:rPr>
        <w:t>(1)</w:t>
      </w:r>
      <w:r w:rsidRPr="00152F3C">
        <w:rPr>
          <w:rStyle w:val="Style1Char"/>
          <w:color w:val="auto"/>
          <w:sz w:val="22"/>
          <w:szCs w:val="22"/>
          <w:rtl/>
        </w:rPr>
        <w:t xml:space="preserve">דספד - יספדוניה, דקבר - יקברוניה, דידל - ידלוניה, דלואי - ילווניה, דטען - יטענוניה. </w:t>
      </w:r>
    </w:p>
    <w:p w14:paraId="0F90A1DF" w14:textId="2B54B9BC" w:rsidR="002165BA" w:rsidRPr="00657C31" w:rsidRDefault="002165BA" w:rsidP="002165BA">
      <w:pPr>
        <w:bidi/>
        <w:rPr>
          <w:rStyle w:val="Style1Char"/>
          <w:color w:val="00B050"/>
        </w:rPr>
      </w:pPr>
      <w:r w:rsidRPr="00982AD2">
        <w:rPr>
          <w:rStyle w:val="Style1Char"/>
          <w:color w:val="auto"/>
          <w:sz w:val="22"/>
          <w:szCs w:val="22"/>
          <w:rtl/>
        </w:rPr>
        <w:t xml:space="preserve">ואם היה טוען משום דבר אחר - רשאי. מאי דבר אחר? אמר רב יהודה אמר שמואל: משום בני אדם פרוצין שמצויין שם. אמר רב אשי: לא אמרן </w:t>
      </w:r>
      <w:r w:rsidR="00897356">
        <w:rPr>
          <w:rStyle w:val="Style1Char"/>
          <w:rFonts w:hint="cs"/>
          <w:rtl/>
        </w:rPr>
        <w:t>(2)</w:t>
      </w:r>
      <w:r w:rsidRPr="00982AD2">
        <w:rPr>
          <w:rStyle w:val="Style1Char"/>
          <w:color w:val="auto"/>
          <w:sz w:val="22"/>
          <w:szCs w:val="22"/>
          <w:rtl/>
        </w:rPr>
        <w:t>אלא דאיתחזק, אבל לא איתחזק - לא כל כמיניה</w:t>
      </w:r>
      <w:r w:rsidRPr="00982AD2">
        <w:rPr>
          <w:rStyle w:val="Style1Char"/>
          <w:color w:val="auto"/>
          <w:rtl/>
        </w:rPr>
        <w:t xml:space="preserve"> </w:t>
      </w:r>
      <w:r w:rsidRPr="00982AD2">
        <w:rPr>
          <w:rStyle w:val="Style1Char"/>
          <w:color w:val="806000" w:themeColor="accent4" w:themeShade="80"/>
          <w:sz w:val="22"/>
          <w:szCs w:val="22"/>
          <w:rtl/>
        </w:rPr>
        <w:t>לאחזוקי אינשי בפריצי:</w:t>
      </w:r>
      <w:r w:rsidRPr="00982AD2">
        <w:rPr>
          <w:rStyle w:val="Style1Char"/>
          <w:color w:val="806000" w:themeColor="accent4" w:themeShade="80"/>
          <w:rtl/>
        </w:rPr>
        <w:t xml:space="preserve">. </w:t>
      </w:r>
    </w:p>
    <w:p w14:paraId="3A9E8FF3" w14:textId="33E34D75" w:rsidR="002165BA" w:rsidRDefault="002165BA" w:rsidP="002165BA">
      <w:pPr>
        <w:bidi/>
        <w:rPr>
          <w:rStyle w:val="Style1Char"/>
          <w:color w:val="00B050"/>
          <w:rtl/>
        </w:rPr>
      </w:pPr>
      <w:r w:rsidRPr="00657C31">
        <w:rPr>
          <w:rStyle w:val="Style1Char"/>
          <w:color w:val="00B050"/>
          <w:rtl/>
        </w:rPr>
        <w:t xml:space="preserve">ואם אמר לה </w:t>
      </w:r>
      <w:r w:rsidRPr="00982AD2">
        <w:rPr>
          <w:rStyle w:val="Style1Char"/>
          <w:color w:val="auto"/>
          <w:sz w:val="22"/>
          <w:szCs w:val="22"/>
          <w:rtl/>
        </w:rPr>
        <w:t>ע"מ שתאמרי</w:t>
      </w:r>
      <w:r w:rsidRPr="00982AD2">
        <w:rPr>
          <w:rStyle w:val="Style1Char"/>
          <w:color w:val="4472C4" w:themeColor="accent1"/>
          <w:rtl/>
        </w:rPr>
        <w:t xml:space="preserve"> </w:t>
      </w:r>
      <w:r w:rsidRPr="00BD6953">
        <w:rPr>
          <w:rStyle w:val="Style1Char"/>
          <w:color w:val="4472C4" w:themeColor="accent1"/>
          <w:sz w:val="22"/>
          <w:szCs w:val="22"/>
          <w:rtl/>
        </w:rPr>
        <w:t>לאיש פלוני</w:t>
      </w:r>
      <w:r w:rsidRPr="00982AD2">
        <w:rPr>
          <w:rStyle w:val="Style1Char"/>
          <w:color w:val="auto"/>
          <w:sz w:val="22"/>
          <w:szCs w:val="22"/>
          <w:rtl/>
        </w:rPr>
        <w:t xml:space="preserve">. ותימא! אמר רב יהודה אמר שמואל: </w:t>
      </w:r>
      <w:r w:rsidR="00322CB5">
        <w:rPr>
          <w:rStyle w:val="Style1Char"/>
          <w:rFonts w:hint="cs"/>
          <w:rtl/>
        </w:rPr>
        <w:t>(3)</w:t>
      </w:r>
      <w:r w:rsidRPr="00982AD2">
        <w:rPr>
          <w:rStyle w:val="Style1Char"/>
          <w:color w:val="auto"/>
          <w:sz w:val="22"/>
          <w:szCs w:val="22"/>
          <w:rtl/>
        </w:rPr>
        <w:t xml:space="preserve">דברים של קלון. </w:t>
      </w:r>
    </w:p>
    <w:p w14:paraId="70052FFF" w14:textId="08546179" w:rsidR="002165BA" w:rsidRPr="00657C31" w:rsidRDefault="002165BA" w:rsidP="002165BA">
      <w:pPr>
        <w:bidi/>
        <w:rPr>
          <w:rStyle w:val="Style1Char"/>
          <w:color w:val="00B050"/>
        </w:rPr>
      </w:pPr>
      <w:r w:rsidRPr="00BD6953">
        <w:rPr>
          <w:rStyle w:val="Style1Char"/>
          <w:color w:val="auto"/>
          <w:sz w:val="22"/>
          <w:szCs w:val="22"/>
          <w:rtl/>
        </w:rPr>
        <w:t>או שתהא ממלאה ומערה</w:t>
      </w:r>
      <w:r w:rsidRPr="00BD6953">
        <w:rPr>
          <w:rStyle w:val="Style1Char"/>
          <w:color w:val="auto"/>
          <w:rtl/>
        </w:rPr>
        <w:t xml:space="preserve"> </w:t>
      </w:r>
      <w:r w:rsidRPr="00BD6953">
        <w:rPr>
          <w:rStyle w:val="Style1Char"/>
          <w:color w:val="ED7D31" w:themeColor="accent2"/>
          <w:rtl/>
        </w:rPr>
        <w:t>לאשפה</w:t>
      </w:r>
      <w:r w:rsidRPr="00501CBE">
        <w:rPr>
          <w:rStyle w:val="Style1Char"/>
          <w:sz w:val="22"/>
          <w:szCs w:val="22"/>
          <w:rtl/>
        </w:rPr>
        <w:t xml:space="preserve">. </w:t>
      </w:r>
      <w:r w:rsidRPr="00BD6953">
        <w:rPr>
          <w:rStyle w:val="Style1Char"/>
          <w:color w:val="auto"/>
          <w:sz w:val="22"/>
          <w:szCs w:val="22"/>
          <w:rtl/>
        </w:rPr>
        <w:t xml:space="preserve">ותיעביד! א"ר יהודה אמר שמואל: </w:t>
      </w:r>
      <w:r w:rsidR="007E6DB4">
        <w:rPr>
          <w:rStyle w:val="Style1Char"/>
          <w:rFonts w:hint="cs"/>
          <w:rtl/>
        </w:rPr>
        <w:t>(3)</w:t>
      </w:r>
      <w:r w:rsidRPr="00BD6953">
        <w:rPr>
          <w:rStyle w:val="Style1Char"/>
          <w:color w:val="auto"/>
          <w:sz w:val="22"/>
          <w:szCs w:val="22"/>
          <w:rtl/>
        </w:rPr>
        <w:t>שתמלא ונופצת</w:t>
      </w:r>
      <w:r w:rsidRPr="00BD6953">
        <w:rPr>
          <w:rStyle w:val="Style1Char"/>
          <w:color w:val="auto"/>
          <w:rtl/>
        </w:rPr>
        <w:t xml:space="preserve"> </w:t>
      </w:r>
      <w:r w:rsidRPr="00BD6953">
        <w:rPr>
          <w:rStyle w:val="Style1Char"/>
          <w:color w:val="806000" w:themeColor="accent4" w:themeShade="80"/>
          <w:sz w:val="22"/>
          <w:szCs w:val="22"/>
          <w:rtl/>
        </w:rPr>
        <w:t>פירוש אמר לה בשעת תשמיש שתתהפך כדי שתנפץ שכבת זרע ולא תתעבר</w:t>
      </w:r>
      <w:r w:rsidRPr="00501CBE">
        <w:rPr>
          <w:rStyle w:val="Style1Char"/>
          <w:sz w:val="22"/>
          <w:szCs w:val="22"/>
          <w:rtl/>
        </w:rPr>
        <w:t xml:space="preserve">. </w:t>
      </w:r>
      <w:r w:rsidRPr="00BD6953">
        <w:rPr>
          <w:rStyle w:val="Style1Char"/>
          <w:color w:val="auto"/>
          <w:sz w:val="22"/>
          <w:szCs w:val="22"/>
          <w:rtl/>
        </w:rPr>
        <w:t xml:space="preserve">במתניתא תנא: </w:t>
      </w:r>
      <w:r w:rsidR="007E6DB4">
        <w:rPr>
          <w:rStyle w:val="Style1Char"/>
          <w:rFonts w:hint="cs"/>
          <w:rtl/>
        </w:rPr>
        <w:t>(3)</w:t>
      </w:r>
      <w:r w:rsidRPr="00BD6953">
        <w:rPr>
          <w:rStyle w:val="Style1Char"/>
          <w:color w:val="auto"/>
          <w:sz w:val="22"/>
          <w:szCs w:val="22"/>
          <w:rtl/>
        </w:rPr>
        <w:t xml:space="preserve">שתמלא עשרה כדי מים ותערה לאשפה. בשלמא לשמואל, משום הכי יוציא ויתן כתובה, אלא למתניתא, מאי נפקא לה מינה? תיעביד! אמר רבה בר בר חנה אמר רבי יוחנן: מפני שנראית כשוטה. אמר רב כהנא: </w:t>
      </w:r>
      <w:r w:rsidR="00F423CE">
        <w:rPr>
          <w:rStyle w:val="Style1Char"/>
          <w:rFonts w:hint="cs"/>
          <w:rtl/>
        </w:rPr>
        <w:t>(4)</w:t>
      </w:r>
      <w:r w:rsidRPr="00BD6953">
        <w:rPr>
          <w:rStyle w:val="Style1Char"/>
          <w:color w:val="auto"/>
          <w:sz w:val="22"/>
          <w:szCs w:val="22"/>
          <w:rtl/>
        </w:rPr>
        <w:t>המדיר את אשתו שלא תשאל ושלא תשאיל נפה וכברה וריחים ותנור - יוציא ויתן כתובה, שמשיאה שם רע בשכינותיה</w:t>
      </w:r>
      <w:r w:rsidRPr="00657C31">
        <w:rPr>
          <w:rStyle w:val="Style1Char"/>
          <w:color w:val="00B050"/>
          <w:rtl/>
        </w:rPr>
        <w:t xml:space="preserve">. תניא נמי הכי: המדיר את אשתו שלא תשאל ושלא תשאיל נפה וכברה ריחים ותנור - יוציא ויתן כתובה, מפני שמשיאה שם רע בשכינותיה; </w:t>
      </w:r>
      <w:r w:rsidRPr="00501CBE">
        <w:rPr>
          <w:rStyle w:val="Style1Char"/>
          <w:sz w:val="22"/>
          <w:szCs w:val="22"/>
          <w:rtl/>
        </w:rPr>
        <w:t xml:space="preserve">וכן היא שנדרה שלא תשאל ושלא תשאיל נפה וכברה וריחים ותנור, ושלא תארוג בגדים נאים לבניו - תצא שלא בכתובה, מפני שמשיאתו שם רע בשכיניו. </w:t>
      </w:r>
    </w:p>
    <w:p w14:paraId="120F37DC" w14:textId="489B4FDE" w:rsidR="002165BA" w:rsidRDefault="002165BA" w:rsidP="002165BA">
      <w:pPr>
        <w:bidi/>
        <w:rPr>
          <w:rStyle w:val="Style1Char"/>
          <w:color w:val="auto"/>
          <w:sz w:val="22"/>
          <w:szCs w:val="22"/>
          <w:rtl/>
        </w:rPr>
      </w:pPr>
      <w:r w:rsidRPr="00025418">
        <w:rPr>
          <w:rStyle w:val="Style1Char"/>
          <w:color w:val="auto"/>
          <w:sz w:val="22"/>
          <w:szCs w:val="22"/>
          <w:rtl/>
        </w:rPr>
        <w:t xml:space="preserve">מתני'. </w:t>
      </w:r>
      <w:r w:rsidR="00C21140">
        <w:rPr>
          <w:rStyle w:val="Style1Char"/>
          <w:rFonts w:hint="cs"/>
          <w:rtl/>
        </w:rPr>
        <w:t>(5)</w:t>
      </w:r>
      <w:r w:rsidRPr="00025418">
        <w:rPr>
          <w:rStyle w:val="Style1Char"/>
          <w:color w:val="auto"/>
          <w:sz w:val="22"/>
          <w:szCs w:val="22"/>
          <w:rtl/>
        </w:rPr>
        <w:t xml:space="preserve">ואלו יוצאות שלא בכתובה: העוברת על דת משה ויהודית. ואיזו היא דת משה? מאכילתו שאינו מעושר, ומשמשתו נדה, ולא קוצה לה חלה, ונודרת ואינה מקיימת. ואיזוהי דת יהודית? יוצאה וראשה פרוע, וטווה בשוק, ומדברת עם כל אדם. אבא שאול אומר: אף המקללת יולדיו בפניו. רבי טרפון אומר: אף הקולנית. ואיזוהי קולנית? לכשהיא מדברת בתוך ביתה ושכיניה שומעין קולה. </w:t>
      </w:r>
    </w:p>
    <w:p w14:paraId="6CDEADE3" w14:textId="77777777" w:rsidR="002165BA" w:rsidRPr="0090133A" w:rsidRDefault="002165BA" w:rsidP="002165BA">
      <w:pPr>
        <w:bidi/>
        <w:rPr>
          <w:rStyle w:val="Style1Char"/>
          <w:color w:val="4472C4" w:themeColor="accent1"/>
        </w:rPr>
      </w:pPr>
      <w:r w:rsidRPr="0090133A">
        <w:rPr>
          <w:rStyle w:val="Style1Char"/>
          <w:color w:val="4472C4" w:themeColor="accent1"/>
          <w:rtl/>
        </w:rPr>
        <w:t xml:space="preserve">האי דעוברת על דת משה ויהודית אין לה כתובה היינו בדבר שהיא מכשילתו כי הנך דמתניתין וכיוצא בהם כגון שהאכילתו חלב או דם וכן נודרת ואינה מקיימת בשביל בניו </w:t>
      </w:r>
      <w:r>
        <w:rPr>
          <w:rStyle w:val="Style1Char"/>
          <w:rFonts w:hint="cs"/>
          <w:color w:val="4472C4" w:themeColor="accent1"/>
        </w:rPr>
        <w:t>‍‍</w:t>
      </w:r>
      <w:r w:rsidRPr="0090133A">
        <w:rPr>
          <w:rStyle w:val="Style1Char"/>
          <w:color w:val="4472C4" w:themeColor="accent1"/>
          <w:rtl/>
        </w:rPr>
        <w:t>אבל אם היתה עוברת בשאר עבירות</w:t>
      </w:r>
      <w:r>
        <w:rPr>
          <w:rStyle w:val="Style1Char"/>
          <w:rFonts w:hint="cs"/>
          <w:color w:val="4472C4" w:themeColor="accent1"/>
        </w:rPr>
        <w:t>‍</w:t>
      </w:r>
      <w:r w:rsidRPr="0090133A">
        <w:rPr>
          <w:rStyle w:val="Style1Char"/>
          <w:color w:val="4472C4" w:themeColor="accent1"/>
          <w:rtl/>
        </w:rPr>
        <w:t xml:space="preserve"> כגון שהיא עצמה אכלה דבר איסור לא הפסידה כתובתה ודת יהודית משום חציפותא ומשום חשד זנות הוא דמפסדה</w:t>
      </w:r>
      <w:r w:rsidRPr="0090133A">
        <w:rPr>
          <w:rStyle w:val="Style1Char"/>
          <w:color w:val="4472C4" w:themeColor="accent1"/>
        </w:rPr>
        <w:t>:</w:t>
      </w:r>
    </w:p>
    <w:p w14:paraId="35C1DBCB" w14:textId="0C01F494" w:rsidR="002165BA" w:rsidRPr="001F1591" w:rsidRDefault="002165BA" w:rsidP="002165BA">
      <w:pPr>
        <w:bidi/>
        <w:rPr>
          <w:rStyle w:val="Style1Char"/>
          <w:color w:val="auto"/>
          <w:sz w:val="22"/>
          <w:szCs w:val="22"/>
        </w:rPr>
      </w:pPr>
      <w:r w:rsidRPr="00972C6E">
        <w:rPr>
          <w:rStyle w:val="Style1Char"/>
          <w:color w:val="auto"/>
          <w:sz w:val="22"/>
          <w:szCs w:val="22"/>
          <w:rtl/>
        </w:rPr>
        <w:t xml:space="preserve">גמ'. מאכילתו שאינו מעושר. היכי דמי? אי דידע, נפרוש! </w:t>
      </w:r>
      <w:r w:rsidRPr="0090133A">
        <w:rPr>
          <w:rStyle w:val="Style1Char"/>
          <w:color w:val="4472C4" w:themeColor="accent1"/>
          <w:rtl/>
        </w:rPr>
        <w:t xml:space="preserve">וא"ת אין ודאי ידע ופירש אבל היא היתה רוצה להאכילו שלא היתה סבורה שהוא יודע הלכך יוציאה שלא בכתובה כי תאכילנו פעם אחרת כשלא ידע ואין לומר דדייק מדקתני מאכילתו שאינו מעושר דמשמע שכבר אכל ומבעיא ליה היאך נודע שהאכילתו דמ"מ קשה אהא דדייק כה"ג אהא דקתני ואינה קוצה לו חלה וי"ל דרצתה להאכילו ולא אכל אינה יוצאה בלא כתובה דמצית אמרה משחקת הייתי בך וכשהיית בא לאכול הייתי מונעך </w:t>
      </w:r>
      <w:r w:rsidRPr="001F1591">
        <w:rPr>
          <w:rStyle w:val="Style1Char"/>
          <w:color w:val="auto"/>
          <w:sz w:val="22"/>
          <w:szCs w:val="22"/>
          <w:rtl/>
        </w:rPr>
        <w:t xml:space="preserve">אי דלא ידע, מנא ידע? לא צריכא. דאמרה ליה </w:t>
      </w:r>
      <w:r w:rsidR="00BC6A64">
        <w:rPr>
          <w:rStyle w:val="Style1Char"/>
          <w:rFonts w:hint="cs"/>
          <w:rtl/>
        </w:rPr>
        <w:t>(5)</w:t>
      </w:r>
      <w:r w:rsidRPr="001F1591">
        <w:rPr>
          <w:rStyle w:val="Style1Char"/>
          <w:color w:val="auto"/>
          <w:sz w:val="22"/>
          <w:szCs w:val="22"/>
          <w:rtl/>
        </w:rPr>
        <w:t xml:space="preserve">פלוני כהן תיקן לי את הכרי, ואזיל שייליה ואשתכח שיקרא. </w:t>
      </w:r>
      <w:r w:rsidRPr="0090133A">
        <w:rPr>
          <w:rStyle w:val="Style1Char"/>
          <w:color w:val="4472C4" w:themeColor="accent1"/>
          <w:rtl/>
        </w:rPr>
        <w:t>וקאמרי בירושלמי כולהו בעדים פלוני עישר לי פלוני ראה כתמי פלוני קץ לי חלתי פלוני התיר לי נדרי בדקין כולהון ולא משתכחין משמע דאין המתקן נאמן לומר לא תיקנתי לה אם היא מכחישתו ומילתא דמסתבר הוא</w:t>
      </w:r>
      <w:r>
        <w:rPr>
          <w:rStyle w:val="Style1Char"/>
          <w:rFonts w:hint="cs"/>
          <w:color w:val="4472C4" w:themeColor="accent1"/>
        </w:rPr>
        <w:t>‍</w:t>
      </w:r>
      <w:r w:rsidRPr="0090133A">
        <w:rPr>
          <w:rStyle w:val="Style1Char"/>
          <w:color w:val="4472C4" w:themeColor="accent1"/>
          <w:rtl/>
        </w:rPr>
        <w:t xml:space="preserve"> היאך יפקיע ממונא בעד אחד אלא עדים צריך כגון שאמרה פלוני תיקן באותה שעה</w:t>
      </w:r>
      <w:r>
        <w:rPr>
          <w:rStyle w:val="Style1Char"/>
          <w:rFonts w:hint="cs"/>
          <w:color w:val="4472C4" w:themeColor="accent1"/>
        </w:rPr>
        <w:t>‍</w:t>
      </w:r>
      <w:r w:rsidRPr="0090133A">
        <w:rPr>
          <w:rStyle w:val="Style1Char"/>
          <w:color w:val="4472C4" w:themeColor="accent1"/>
          <w:rtl/>
        </w:rPr>
        <w:t xml:space="preserve"> והעידו עדים שבאותה שעה לא היה פלוני בעיר או אם הבעל אומר היא אמרה לי שפלוני תקן לה והיא אומרת לא אמרתי לו אין הבעל נאמן אם לא שיביא עדים שאמרה לו.</w:t>
      </w:r>
    </w:p>
    <w:p w14:paraId="6919DE2C" w14:textId="2FAA957D" w:rsidR="002165BA" w:rsidRPr="008F310F" w:rsidRDefault="002165BA" w:rsidP="002165BA">
      <w:pPr>
        <w:bidi/>
        <w:rPr>
          <w:rStyle w:val="Style1Char"/>
          <w:color w:val="auto"/>
          <w:sz w:val="22"/>
          <w:szCs w:val="22"/>
          <w:rtl/>
        </w:rPr>
      </w:pPr>
      <w:r w:rsidRPr="00577093">
        <w:rPr>
          <w:rStyle w:val="Style1Char"/>
          <w:color w:val="auto"/>
          <w:sz w:val="22"/>
          <w:szCs w:val="22"/>
          <w:rtl/>
        </w:rPr>
        <w:t xml:space="preserve">ומשמשתו נדה. היכי דמי? אי דידע בה, נפרוש! אי דלא ידע, נסמוך עילוה! דא"ר חיננא בר כהנא אמר שמואל: מנין לנדה שסופרת לעצמה? שנאמר: וספרה לה שבעת ימים, לה - לעצמה! </w:t>
      </w:r>
      <w:r w:rsidRPr="0090133A">
        <w:rPr>
          <w:rStyle w:val="Style1Char"/>
          <w:color w:val="4472C4" w:themeColor="accent1"/>
          <w:rtl/>
        </w:rPr>
        <w:t xml:space="preserve">ואפי' אם מצא בגדיה מלוכלכין בדם נאמנת לומר בשוק של טבחים עברתי או בדם צפור נתעסקתי </w:t>
      </w:r>
      <w:r w:rsidRPr="00577093">
        <w:rPr>
          <w:rStyle w:val="Style1Char"/>
          <w:color w:val="auto"/>
          <w:sz w:val="22"/>
          <w:szCs w:val="22"/>
          <w:rtl/>
        </w:rPr>
        <w:t>לא צריכא, דאמרה ליה פלוני חכם טיהר לי את</w:t>
      </w:r>
      <w:r w:rsidRPr="00A621BD">
        <w:rPr>
          <w:rStyle w:val="Style1Char"/>
          <w:sz w:val="22"/>
          <w:szCs w:val="22"/>
          <w:rtl/>
        </w:rPr>
        <w:t xml:space="preserve"> </w:t>
      </w:r>
      <w:r w:rsidRPr="00657C31">
        <w:rPr>
          <w:rStyle w:val="Style1Char"/>
          <w:color w:val="00B050"/>
          <w:rtl/>
        </w:rPr>
        <w:t>הדם</w:t>
      </w:r>
      <w:r w:rsidRPr="00A621BD">
        <w:rPr>
          <w:rStyle w:val="Style1Char"/>
          <w:color w:val="C00000"/>
          <w:rtl/>
        </w:rPr>
        <w:t xml:space="preserve"> </w:t>
      </w:r>
      <w:r w:rsidRPr="00A621BD">
        <w:rPr>
          <w:rStyle w:val="Style1Char"/>
          <w:color w:val="C00000"/>
          <w:sz w:val="22"/>
          <w:szCs w:val="22"/>
          <w:rtl/>
        </w:rPr>
        <w:t>הכתם</w:t>
      </w:r>
      <w:r w:rsidRPr="00A621BD">
        <w:rPr>
          <w:rStyle w:val="Style1Char"/>
          <w:sz w:val="22"/>
          <w:szCs w:val="22"/>
          <w:rtl/>
        </w:rPr>
        <w:t xml:space="preserve">, </w:t>
      </w:r>
      <w:r w:rsidRPr="008F310F">
        <w:rPr>
          <w:rStyle w:val="Style1Char"/>
          <w:color w:val="auto"/>
          <w:sz w:val="22"/>
          <w:szCs w:val="22"/>
          <w:rtl/>
        </w:rPr>
        <w:t xml:space="preserve">ואזל שייליה ואשתכח שיקרא. ואיבעית אימא: כדרב יהודה, דאמר רב יהודה: </w:t>
      </w:r>
      <w:r w:rsidR="00033244">
        <w:rPr>
          <w:rStyle w:val="Style1Char"/>
          <w:rFonts w:hint="cs"/>
          <w:rtl/>
        </w:rPr>
        <w:t>(6)</w:t>
      </w:r>
      <w:r w:rsidRPr="008F310F">
        <w:rPr>
          <w:rStyle w:val="Style1Char"/>
          <w:color w:val="auto"/>
          <w:sz w:val="22"/>
          <w:szCs w:val="22"/>
          <w:rtl/>
        </w:rPr>
        <w:t xml:space="preserve">הוחזקה נדה בשכינותיה, בעלה לוקה עליה משום נדה. </w:t>
      </w:r>
    </w:p>
    <w:p w14:paraId="206D3F9D" w14:textId="77777777" w:rsidR="002165BA" w:rsidRPr="008F310F" w:rsidRDefault="002165BA" w:rsidP="002165BA">
      <w:pPr>
        <w:bidi/>
        <w:rPr>
          <w:rStyle w:val="Style1Char"/>
          <w:color w:val="auto"/>
          <w:sz w:val="22"/>
          <w:szCs w:val="22"/>
        </w:rPr>
      </w:pPr>
      <w:r w:rsidRPr="00657C31">
        <w:rPr>
          <w:rStyle w:val="Style1Char"/>
          <w:color w:val="00B050"/>
          <w:rtl/>
        </w:rPr>
        <w:t>ולא קוצה לה חלה. היכי דמי? אי דידע, נפרוש! אי דלא ידע, מנא ידע? לא צריכא</w:t>
      </w:r>
      <w:r w:rsidRPr="00A621BD">
        <w:rPr>
          <w:rStyle w:val="Style1Char"/>
          <w:color w:val="C00000"/>
          <w:rtl/>
        </w:rPr>
        <w:t xml:space="preserve"> </w:t>
      </w:r>
      <w:r w:rsidRPr="008F310F">
        <w:rPr>
          <w:rStyle w:val="Style1Char"/>
          <w:color w:val="806000" w:themeColor="accent4" w:themeShade="80"/>
          <w:sz w:val="22"/>
          <w:szCs w:val="22"/>
          <w:rtl/>
        </w:rPr>
        <w:t>וחלה נמי כגון</w:t>
      </w:r>
      <w:r w:rsidRPr="00657C31">
        <w:rPr>
          <w:rStyle w:val="Style1Char"/>
          <w:color w:val="00B050"/>
          <w:rtl/>
        </w:rPr>
        <w:t xml:space="preserve">, </w:t>
      </w:r>
      <w:r w:rsidRPr="008F310F">
        <w:rPr>
          <w:rStyle w:val="Style1Char"/>
          <w:color w:val="auto"/>
          <w:sz w:val="22"/>
          <w:szCs w:val="22"/>
          <w:rtl/>
        </w:rPr>
        <w:t>דאמרה ליה פלוני</w:t>
      </w:r>
      <w:r w:rsidRPr="00A621BD">
        <w:rPr>
          <w:rStyle w:val="Style1Char"/>
          <w:sz w:val="22"/>
          <w:szCs w:val="22"/>
          <w:rtl/>
        </w:rPr>
        <w:t xml:space="preserve"> </w:t>
      </w:r>
      <w:r w:rsidRPr="008F310F">
        <w:rPr>
          <w:rStyle w:val="Style1Char"/>
          <w:color w:val="ED7D31" w:themeColor="accent2"/>
          <w:rtl/>
        </w:rPr>
        <w:t xml:space="preserve">גבל </w:t>
      </w:r>
      <w:r w:rsidRPr="008F310F">
        <w:rPr>
          <w:rStyle w:val="Style1Char"/>
          <w:color w:val="auto"/>
          <w:sz w:val="22"/>
          <w:szCs w:val="22"/>
          <w:rtl/>
        </w:rPr>
        <w:t xml:space="preserve">תיקן לי את העיסה, ואזיל שייליה ואשתכח שיקרא. </w:t>
      </w:r>
    </w:p>
    <w:p w14:paraId="1A2E26A8" w14:textId="77777777" w:rsidR="002165BA" w:rsidRPr="00657C31" w:rsidRDefault="002165BA" w:rsidP="002165BA">
      <w:pPr>
        <w:bidi/>
        <w:rPr>
          <w:rStyle w:val="Style1Char"/>
          <w:color w:val="00B050"/>
        </w:rPr>
      </w:pPr>
      <w:r w:rsidRPr="008F310F">
        <w:rPr>
          <w:rStyle w:val="Style1Char"/>
          <w:color w:val="auto"/>
          <w:sz w:val="22"/>
          <w:szCs w:val="22"/>
          <w:rtl/>
        </w:rPr>
        <w:t>ונודרת ואינה מקיימת. דאמר מר: בעון נדרים בנים מתים</w:t>
      </w:r>
      <w:r w:rsidRPr="00657C31">
        <w:rPr>
          <w:rStyle w:val="Style1Char"/>
          <w:color w:val="00B050"/>
          <w:rtl/>
        </w:rPr>
        <w:t xml:space="preserve">, שנאמר: אל תתן את פיך לחטיא את בשרך וגו', ואיזו הן מעשה ידיו של אדם? הוי אומר בניו ובנותיו. רב נחמן אמר, מהכא: לשוא הכיתי את בניכם, לשוא - על עסקי שוא. תניא, היה ר"מ אומר: כל היודע באשתו שנודרת ואינה מקיימת - יחזור וידירנה. ידירנה, במאי מתקן לה? אלא יחזור ויקניטנה, כדי שתדור בפניו ויפר לה, אמרו לו: אין אדם דר עם נחש בכפיפה. תניא, היה ר' יהודה אומר: כל היודע באשתו שאינה קוצה לו חלה - יחזור ויפריש אחריה; אמרו לו: אין אדם דר עם נחש בכפיפה. מאן דמתני לה אהא - כ"ש אהך, אבל מאן דמתני אהך - אבל הא זימנין דמקרי ואכיל. </w:t>
      </w:r>
    </w:p>
    <w:p w14:paraId="778DAC7B" w14:textId="06406B9F" w:rsidR="002165BA" w:rsidRDefault="002165BA" w:rsidP="002165BA">
      <w:pPr>
        <w:bidi/>
        <w:rPr>
          <w:rStyle w:val="Style1Char"/>
          <w:sz w:val="22"/>
          <w:szCs w:val="22"/>
          <w:rtl/>
        </w:rPr>
      </w:pPr>
      <w:r w:rsidRPr="008F310F">
        <w:rPr>
          <w:rStyle w:val="Style1Char"/>
          <w:color w:val="auto"/>
          <w:sz w:val="22"/>
          <w:szCs w:val="22"/>
          <w:rtl/>
        </w:rPr>
        <w:t>ואיזוהי דת יהודית? יוצאה וראשה פרוע. ראשה פרוע דאורייתא היא! דכתיב: ופרע את ראש האשה, ותנא דבי רבי ישמעאל: אזהרה לבנות ישראל שלא יצאו בפרוע ראש!</w:t>
      </w:r>
      <w:r w:rsidRPr="00A621BD">
        <w:rPr>
          <w:rStyle w:val="Style1Char"/>
          <w:sz w:val="22"/>
          <w:szCs w:val="22"/>
          <w:rtl/>
        </w:rPr>
        <w:t xml:space="preserve"> </w:t>
      </w:r>
      <w:r w:rsidRPr="008F310F">
        <w:rPr>
          <w:rStyle w:val="Style1Char"/>
          <w:color w:val="806000" w:themeColor="accent4" w:themeShade="80"/>
          <w:sz w:val="22"/>
          <w:szCs w:val="22"/>
          <w:rtl/>
        </w:rPr>
        <w:t xml:space="preserve">א"ר יהודה אמר שמואל </w:t>
      </w:r>
      <w:r w:rsidRPr="008F310F">
        <w:rPr>
          <w:rStyle w:val="Style1Char"/>
          <w:color w:val="auto"/>
          <w:sz w:val="22"/>
          <w:szCs w:val="22"/>
          <w:rtl/>
        </w:rPr>
        <w:t xml:space="preserve">דאורייתא </w:t>
      </w:r>
      <w:r w:rsidRPr="00A621BD">
        <w:rPr>
          <w:rStyle w:val="Style1Char"/>
          <w:sz w:val="22"/>
          <w:szCs w:val="22"/>
          <w:rtl/>
        </w:rPr>
        <w:t xml:space="preserve">– </w:t>
      </w:r>
    </w:p>
    <w:p w14:paraId="706D6F73" w14:textId="079665E7" w:rsidR="0090201C" w:rsidRDefault="0090201C" w:rsidP="0090201C">
      <w:pPr>
        <w:pStyle w:val="Style1"/>
        <w:rPr>
          <w:rStyle w:val="Style1Char"/>
          <w:rtl/>
        </w:rPr>
      </w:pPr>
      <w:r>
        <w:rPr>
          <w:rStyle w:val="Style1Char"/>
          <w:rFonts w:hint="cs"/>
          <w:rtl/>
        </w:rPr>
        <w:t>1)[</w:t>
      </w:r>
      <w:r w:rsidRPr="0090201C">
        <w:rPr>
          <w:rStyle w:val="Style1Char"/>
          <w:rtl/>
        </w:rPr>
        <w:t>רמב</w:t>
      </w:r>
      <w:r w:rsidR="00213DA1">
        <w:rPr>
          <w:rStyle w:val="Style1Char"/>
          <w:rtl/>
        </w:rPr>
        <w:t>”ם \נשים\</w:t>
      </w:r>
      <w:r w:rsidRPr="0090201C">
        <w:rPr>
          <w:rStyle w:val="Style1Char"/>
          <w:rtl/>
        </w:rPr>
        <w:t xml:space="preserve"> הלכות אישות פרק יג הלכה יא</w:t>
      </w:r>
      <w:r>
        <w:rPr>
          <w:rStyle w:val="Style1Char"/>
          <w:rFonts w:hint="cs"/>
          <w:rtl/>
        </w:rPr>
        <w:t xml:space="preserve">] </w:t>
      </w:r>
      <w:r w:rsidRPr="0090201C">
        <w:rPr>
          <w:rStyle w:val="Style1Char"/>
          <w:rtl/>
        </w:rPr>
        <w:t xml:space="preserve">מקום שדרכן שלא תצא אשה בשוק בכפה שעל ראשה בלבד עד שיהיה עליה רדיד החופה את כל גופה כמו טלית נותן לה בכלל הכסות רדיד הפחות מכל הרדידין, ואם היה עשיר נותן לה לפי עשרו כדי שתצא בו לבית אביה או לבית האבל או לבית המשתה, לפי שכל אשה יש לה לצאת ולילך לבית אביה לבקרו ולבית האבל ולבית המשתה לגמול חסד לרעותיה ולקרובותיה כדי שיבואו הם לה, שאינה בבית </w:t>
      </w:r>
      <w:r w:rsidRPr="0090201C">
        <w:rPr>
          <w:rStyle w:val="Style1Char"/>
          <w:rtl/>
        </w:rPr>
        <w:lastRenderedPageBreak/>
        <w:t>הסוהר עד שלא תצא ולא תבוא. אבל גנאי הוא לאשה שתהיה יוצאה תמיד פעם בחוץ פעם ברחובות, ויש לבעל למנוע אשתו מזה ולא יניחנה לצאת אלא כמו פעם אחת בחודש או פעמים בחודש כפי הצורך, שאין יופי לאשה אלא לישב בזוית ביתה שכך כתוב +תהלים מ"ה+ כל כבודה בת מלך פנימה.</w:t>
      </w:r>
    </w:p>
    <w:p w14:paraId="61ABD77E" w14:textId="42BF3F14" w:rsidR="007C3315" w:rsidRDefault="007C3315" w:rsidP="007C3315">
      <w:pPr>
        <w:pStyle w:val="Style1"/>
        <w:rPr>
          <w:rStyle w:val="Style1Char"/>
          <w:rtl/>
        </w:rPr>
      </w:pPr>
      <w:r>
        <w:rPr>
          <w:rStyle w:val="Style1Char"/>
          <w:rFonts w:hint="cs"/>
          <w:rtl/>
        </w:rPr>
        <w:t>1)[</w:t>
      </w:r>
      <w:r w:rsidRPr="007C3315">
        <w:rPr>
          <w:rStyle w:val="Style1Char"/>
          <w:rtl/>
        </w:rPr>
        <w:t>שולחן ערוך יורה דעה הלכות אבילות סימן תג סעיף י</w:t>
      </w:r>
      <w:r>
        <w:rPr>
          <w:rStyle w:val="Style1Char"/>
          <w:rFonts w:hint="cs"/>
          <w:rtl/>
        </w:rPr>
        <w:t xml:space="preserve">] </w:t>
      </w:r>
      <w:r w:rsidRPr="007C3315">
        <w:rPr>
          <w:rStyle w:val="Style1Char"/>
          <w:rtl/>
        </w:rPr>
        <w:t>המוליך עצמות ממקום למקום, הרי זה לא יתנם בשק או בדסקיא ויניחם על החמור וירכב עליהם, מפני שנוהג בהם מנהג בזיון; אבל אם מפשילו לאחוריו על החמור, שפיר דמי. ואם היה מתירא מפני הגנבים והלסטים, מותר. הגה: והחי יתן אל לבו דברים של מיתה; דיספד, יספדוניה; דיקבר, יקברוניה; דיטעון, יטעיניה; דידל, ידלוניה; וגדול השלום שניתן לצדיק, שבשעה שהצדיק נפטר ג' כתות של מלאכים נותנים לו שלום. (הכל בטור והרא"ש וכל בו) ואומרים: יבא שלום (כל הכתוב לחיים קדוש יאמר לו). בלע המות לנצח ומחה ה' אלהים דמעה מעל כל פנים. (ישעיה כה, ח').</w:t>
      </w:r>
    </w:p>
    <w:p w14:paraId="6524446F" w14:textId="59353728" w:rsidR="001E45AA" w:rsidRDefault="001E45AA" w:rsidP="001E45AA">
      <w:pPr>
        <w:pStyle w:val="Style1"/>
        <w:rPr>
          <w:rtl/>
        </w:rPr>
      </w:pPr>
      <w:r>
        <w:rPr>
          <w:rFonts w:hint="cs"/>
          <w:rtl/>
        </w:rPr>
        <w:t>2)[</w:t>
      </w:r>
      <w:r>
        <w:rPr>
          <w:rtl/>
        </w:rPr>
        <w:t>רמב</w:t>
      </w:r>
      <w:r w:rsidR="00213DA1">
        <w:rPr>
          <w:rtl/>
        </w:rPr>
        <w:t>”ם \נשים\</w:t>
      </w:r>
      <w:r>
        <w:rPr>
          <w:rtl/>
        </w:rPr>
        <w:t xml:space="preserve"> הלכות אישות פרק יג הלכה יג</w:t>
      </w:r>
      <w:r>
        <w:rPr>
          <w:rFonts w:hint="cs"/>
          <w:rtl/>
        </w:rPr>
        <w:t xml:space="preserve">] </w:t>
      </w:r>
      <w:r>
        <w:rPr>
          <w:rtl/>
        </w:rPr>
        <w:t>המדיר את אשתו שלא תלך לבית האבל ולבית המשתה, או יתיר נדרו או יוציא ויתן כתובה שזה כמי שאסרה בבית הסוהר ונעל בפניה, ואם היה טוען מפני בני אדם פרוצים שיש באותו בית האבל או בבית המשתה והוחזקו שם פרוצים שומעין לו.</w:t>
      </w:r>
    </w:p>
    <w:p w14:paraId="3B624ECF" w14:textId="046FE6BE" w:rsidR="001E45AA" w:rsidRDefault="00A94344" w:rsidP="001E45AA">
      <w:pPr>
        <w:pStyle w:val="Style1"/>
      </w:pPr>
      <w:r>
        <w:rPr>
          <w:rFonts w:hint="cs"/>
          <w:rtl/>
        </w:rPr>
        <w:t>2</w:t>
      </w:r>
      <w:r w:rsidR="001E45AA">
        <w:rPr>
          <w:rFonts w:hint="cs"/>
          <w:rtl/>
        </w:rPr>
        <w:t>)[</w:t>
      </w:r>
      <w:r w:rsidR="001E45AA">
        <w:rPr>
          <w:rtl/>
        </w:rPr>
        <w:t>טור יורה דעה הלכות נדרים סימן רלה</w:t>
      </w:r>
      <w:r w:rsidR="001E45AA">
        <w:rPr>
          <w:rFonts w:hint="cs"/>
          <w:rtl/>
        </w:rPr>
        <w:t xml:space="preserve">] </w:t>
      </w:r>
      <w:r w:rsidR="001E45AA">
        <w:rPr>
          <w:rtl/>
        </w:rPr>
        <w:t xml:space="preserve">המדיר </w:t>
      </w:r>
      <w:r w:rsidR="001E45AA">
        <w:rPr>
          <w:rFonts w:hint="cs"/>
        </w:rPr>
        <w:t>‍</w:t>
      </w:r>
      <w:r w:rsidR="001E45AA">
        <w:rPr>
          <w:rtl/>
        </w:rPr>
        <w:t xml:space="preserve"> </w:t>
      </w:r>
      <w:r w:rsidR="001E45AA">
        <w:rPr>
          <w:rFonts w:hint="cs"/>
        </w:rPr>
        <w:t>‍</w:t>
      </w:r>
      <w:r w:rsidR="001E45AA">
        <w:rPr>
          <w:rtl/>
        </w:rPr>
        <w:t xml:space="preserve">אשתו מתשמיש המטה שאומר קונם תשמישך עלי יקיים אותה ז' ימים בין שהדירה בפירוש לז' ימים או יותר או שהדירה סתם ולאחר ז' ימים יוציא ויתן כתובה הדירה שלא תיהנה ממנו אינו חל שהרי הוא משועבד לה ואם אמר לה צאי מעשה ידיך במזונותיך והיא מספקת בהם לדברים גדולים ואינה מספקת לדברים קטנים אם כל משפחתה רגילים באותם דברים הקטנים אינו חל שהרי הוא משועבד לה גם בהן ואם אין כל משפחתה רגילים בהם אלא העשירים ואביה עשיר ורגיל בהן ובעלה אינו עשיר ואינו רגיל בהן חל הנדר שהרי אינו חייב לה בהן ומ"מ כיון שהדירה ממנו והיא חוזרת לבית אביה הוא מתחייב לה עתה בהן הלכך עד ל' יום יפרנסנה באלו דברים הקטנים ע"י פרנס שיאמר כל הזן אינו </w:t>
      </w:r>
      <w:r w:rsidR="001E45AA">
        <w:rPr>
          <w:rFonts w:hint="cs"/>
        </w:rPr>
        <w:t>‍</w:t>
      </w:r>
      <w:r w:rsidR="001E45AA">
        <w:rPr>
          <w:rtl/>
        </w:rPr>
        <w:t>מפסיד ויזון אותה אחר וילך ויקח מן הבעל לא שנא הדירה ל' יום או יותר או שהדירה סתם אחר ל' יום יוציא ויתן כתובה:</w:t>
      </w:r>
    </w:p>
    <w:p w14:paraId="45763809" w14:textId="77777777" w:rsidR="001E45AA" w:rsidRDefault="001E45AA" w:rsidP="001E45AA">
      <w:pPr>
        <w:pStyle w:val="Style1"/>
      </w:pPr>
      <w:r>
        <w:rPr>
          <w:rtl/>
        </w:rPr>
        <w:t xml:space="preserve">הדירה שלא תתקשט או שלא </w:t>
      </w:r>
      <w:r>
        <w:rPr>
          <w:rFonts w:hint="cs"/>
        </w:rPr>
        <w:t>‍</w:t>
      </w:r>
      <w:r>
        <w:rPr>
          <w:rtl/>
        </w:rPr>
        <w:t xml:space="preserve">תאכל אחד מהמינין אפילו הוא רע ולא טעמתו מעולם ותלאו בתשמיש שאמר קונם תשמישך עלי אם תתקשטי או תאכלי מין פלוני יקיים ז' ימים ואז יוציא </w:t>
      </w:r>
      <w:r>
        <w:rPr>
          <w:rFonts w:hint="cs"/>
        </w:rPr>
        <w:t>‍</w:t>
      </w:r>
      <w:r>
        <w:rPr>
          <w:rtl/>
        </w:rPr>
        <w:t xml:space="preserve">ואם היא נדרה שאמרה קונם מין פלוני עלי או קונם שלא אתקשט בקישוט פלוני או שאמרה יאסר תשמישך עלי אם אוכל מין פלוני או אתקשט בקישוט פלוני והוא שומע ולא הפר לה יוציא </w:t>
      </w:r>
      <w:r>
        <w:rPr>
          <w:rFonts w:hint="cs"/>
        </w:rPr>
        <w:t>‍</w:t>
      </w:r>
      <w:r>
        <w:rPr>
          <w:rtl/>
        </w:rPr>
        <w:t>מיד:</w:t>
      </w:r>
    </w:p>
    <w:p w14:paraId="63508D21" w14:textId="77777777" w:rsidR="001E45AA" w:rsidRDefault="001E45AA" w:rsidP="001E45AA">
      <w:pPr>
        <w:pStyle w:val="Style1"/>
      </w:pPr>
      <w:r>
        <w:rPr>
          <w:rtl/>
        </w:rPr>
        <w:t xml:space="preserve">נדרה שלא תלך לבית אביה שאמרה קונם תשמישך עלי אם אלך לבית אבי שאם לא תלתה בתשמיש אלא אמרה קונם בית אבי עלי אינו יכול להפר אבל כיון שתלתה בתשמיש הוא יכול להפר ואם שמע ולא הפר אם אביה עמה בעיר נדרה חדש א' יקיים יותר מחדש או סתם יוציא מיד ויתן כתובה ואם אינו בעיר והיא רדופה לילך לביתו רגל א' יקיים שנים או סתם יוציא מיד ואם אינה רדופה לילך לביתו ג' רגלים או סתם יוציא שנים יקיים ואם הוא אומר קונם תשמישך עלי אם תלכי לבית אביך יותר מחדש </w:t>
      </w:r>
      <w:r>
        <w:rPr>
          <w:rFonts w:hint="cs"/>
        </w:rPr>
        <w:t>‍</w:t>
      </w:r>
      <w:r>
        <w:rPr>
          <w:rtl/>
        </w:rPr>
        <w:t xml:space="preserve">או יותר </w:t>
      </w:r>
      <w:r>
        <w:rPr>
          <w:rFonts w:hint="cs"/>
        </w:rPr>
        <w:t>‍</w:t>
      </w:r>
      <w:r>
        <w:rPr>
          <w:rtl/>
        </w:rPr>
        <w:t xml:space="preserve">מרגל יוציא מיד אחר ז' ימים הדירה שלא תלך לבית האבל או לבית המשתה </w:t>
      </w:r>
      <w:r>
        <w:rPr>
          <w:rFonts w:hint="cs"/>
        </w:rPr>
        <w:t>‍</w:t>
      </w:r>
      <w:r>
        <w:rPr>
          <w:rtl/>
        </w:rPr>
        <w:t xml:space="preserve">אם נדרה היא שאמרה קונם תשמישך עלי אם אלך וקיים לה יוציא מיד ויתן כתובה ואם נדר הוא שאמר קונם תשמישך עלי אם תלכי יוציא לאחר ז' ימים ואם טוען הדרתיה שלא תלך שם בשביל ב"א פריצים ששם אם הוחזקו שם נאמן ואם לאו אינו נאמן נדרה נדר של בינו לבינה או של עינוי נפש והפר לה על מנת שתאמר לפלוני דבר של קלון </w:t>
      </w:r>
      <w:r>
        <w:rPr>
          <w:rFonts w:hint="cs"/>
        </w:rPr>
        <w:t>‍</w:t>
      </w:r>
      <w:r>
        <w:rPr>
          <w:rtl/>
        </w:rPr>
        <w:t>או שתהא מתהפכת אחר התשמיש כדי שלא תתעבר או שתהא ממלא עשרה כדי מים ושופכם לאשפה והיא אינה רוצה לעשות א' מאלו הדברים ונתקיים הנדר יוציא ויתן כתובה:</w:t>
      </w:r>
    </w:p>
    <w:p w14:paraId="24431F5B" w14:textId="77777777" w:rsidR="001E45AA" w:rsidRDefault="001E45AA" w:rsidP="001E45AA">
      <w:pPr>
        <w:pStyle w:val="Style1"/>
      </w:pPr>
      <w:r>
        <w:rPr>
          <w:rtl/>
        </w:rPr>
        <w:t xml:space="preserve">אמרה קונם תשמישך עלי אם אעשה שום מלאכה ושמע ולא הפר יוציא מיד ויתן כתובה ואם הוא אמר קונם תשמישך עלי אם תעשה שום מלאכה יוציא לאחר ז' ימים ואם התיר </w:t>
      </w:r>
      <w:r>
        <w:rPr>
          <w:rFonts w:hint="cs"/>
        </w:rPr>
        <w:t>‍</w:t>
      </w:r>
      <w:r>
        <w:rPr>
          <w:rtl/>
        </w:rPr>
        <w:t>לה שום מלאכה אפי' כל שהוא כגון לשחוק בכלבים וכיוצא בו לא יוציא:</w:t>
      </w:r>
    </w:p>
    <w:p w14:paraId="3E169CE8" w14:textId="77777777" w:rsidR="001E45AA" w:rsidRDefault="001E45AA" w:rsidP="001E45AA">
      <w:pPr>
        <w:pStyle w:val="Style1"/>
        <w:rPr>
          <w:rtl/>
        </w:rPr>
      </w:pPr>
      <w:r>
        <w:rPr>
          <w:rtl/>
        </w:rPr>
        <w:t>אסר הבעל כלי שכניו עליו או כליו על שכיניו כדי שלא תשאילם ולא תשאל מהם או שאמרה קונם תשמישך עלי אם אשאל משכני כלום או אם אשאילם כלי ושמע וקיים לה יוציא מיד ויתן כתובה ואם הוא אומר קונם תשמישך עלי אם תשאל מהם או תשאילם יוציא לאחר ז' ימים ואם היא אסרה כלי שכניה עליה כדי שלא תשאל מהם או שנדרה שלא לארוג בגדים נאים לבנה אינו יכול להפר שאינו דברים שבינו לבינה ואסורה לשאול משכניה ולארוג הבגדים הילכך תצא בלא כתובה שמשיאתו שם רע בשכניו:</w:t>
      </w:r>
    </w:p>
    <w:p w14:paraId="6073A226" w14:textId="2551CFC5" w:rsidR="001E45AA" w:rsidRDefault="001E45AA" w:rsidP="001E45AA">
      <w:pPr>
        <w:pStyle w:val="Style1"/>
        <w:rPr>
          <w:rtl/>
        </w:rPr>
      </w:pPr>
      <w:r>
        <w:rPr>
          <w:rFonts w:hint="cs"/>
          <w:rtl/>
        </w:rPr>
        <w:t>2)[</w:t>
      </w:r>
      <w:r>
        <w:rPr>
          <w:rtl/>
        </w:rPr>
        <w:t>שולחן ערוך אבן העזר הלכות כתובות סימן עד סעיף ו</w:t>
      </w:r>
      <w:r>
        <w:rPr>
          <w:rFonts w:hint="cs"/>
          <w:rtl/>
        </w:rPr>
        <w:t xml:space="preserve">] </w:t>
      </w:r>
      <w:r>
        <w:rPr>
          <w:rtl/>
        </w:rPr>
        <w:t>ואם הדיר הוא, שאמר: קונם הנאת תשמישך עלי אם תלכי, יוציא לאחר שבעה ימים ויתן כתובתה. ואם טוען: הדרתיה בשביל בני אדם פרוצים המצויים שם, אם הוחזקו שם, נאמן; ואם לאו, אינו נאמן.</w:t>
      </w:r>
    </w:p>
    <w:p w14:paraId="4E9C75DB" w14:textId="1C15E1CA" w:rsidR="003E4FEB" w:rsidRDefault="003E4FEB" w:rsidP="003E4FEB">
      <w:pPr>
        <w:pStyle w:val="Style1"/>
        <w:rPr>
          <w:rtl/>
        </w:rPr>
      </w:pPr>
      <w:r>
        <w:rPr>
          <w:rFonts w:hint="cs"/>
          <w:rtl/>
        </w:rPr>
        <w:t>3)[</w:t>
      </w:r>
      <w:r>
        <w:rPr>
          <w:rtl/>
        </w:rPr>
        <w:t>רמב</w:t>
      </w:r>
      <w:r w:rsidR="00213DA1">
        <w:rPr>
          <w:rtl/>
        </w:rPr>
        <w:t>”ם \נשים\</w:t>
      </w:r>
      <w:r>
        <w:rPr>
          <w:rtl/>
        </w:rPr>
        <w:t xml:space="preserve"> הלכות אישות פרק יד הלכה ה</w:t>
      </w:r>
      <w:r>
        <w:rPr>
          <w:rFonts w:hint="cs"/>
          <w:rtl/>
        </w:rPr>
        <w:t xml:space="preserve">] </w:t>
      </w:r>
      <w:r>
        <w:rPr>
          <w:rtl/>
        </w:rPr>
        <w:t>המדיר את אשתו שתאמר לאחרים מה שאמר לה או מה שאמרה לו מדברי שחוק וקלות ראש שמדבר אדם עם אשתו על עסקי תשמיש הרי זה יוציא ויתן כתובה שאין זו יכולה להעיז פניה ולומר לאחרים דברי קלון, וכן אם הדירה שתהיה מתהפכת בשעת תשמיש כדי שלא תתעבר, או שהדירה שתעשה מעשה שוטים ודברים שאין בהן ממש אלא כשטות, הרי זה יוציא ויתן כתובה.</w:t>
      </w:r>
    </w:p>
    <w:p w14:paraId="72FCA2F0" w14:textId="5ABC16EB" w:rsidR="0016626E" w:rsidRDefault="0016626E" w:rsidP="0016626E">
      <w:pPr>
        <w:pStyle w:val="Style1"/>
        <w:rPr>
          <w:rtl/>
        </w:rPr>
      </w:pPr>
      <w:r>
        <w:rPr>
          <w:rFonts w:hint="cs"/>
          <w:rtl/>
        </w:rPr>
        <w:t>3)[</w:t>
      </w:r>
      <w:r>
        <w:rPr>
          <w:rtl/>
        </w:rPr>
        <w:t>שולחן ערוך יורה דעה הלכות נדרים סימן רלה סעיף ד</w:t>
      </w:r>
      <w:r>
        <w:rPr>
          <w:rFonts w:hint="cs"/>
          <w:rtl/>
        </w:rPr>
        <w:t xml:space="preserve">] </w:t>
      </w:r>
      <w:r>
        <w:rPr>
          <w:rtl/>
        </w:rPr>
        <w:t>נדרה נדר מדברים שבינו לבינה או של עינוי נפש והפר לה על מנת שתאמר לפלוני דבר של קלון, או שתהא מתהפכת אחר התשמיש כדי שלא תתעבר, או שתהא ממלאה עשרה כדי מים ותשפכם לאשפה, והיא אינה רוצה לעשות אחד מאלו הדברים ונתקיים הנדר, יוציא ויתן כתובה.</w:t>
      </w:r>
    </w:p>
    <w:p w14:paraId="7CC82E01" w14:textId="6D2C92DE" w:rsidR="00965234" w:rsidRDefault="00965234" w:rsidP="00965234">
      <w:pPr>
        <w:pStyle w:val="Style1"/>
        <w:rPr>
          <w:rtl/>
        </w:rPr>
      </w:pPr>
      <w:r>
        <w:rPr>
          <w:rFonts w:hint="cs"/>
          <w:rtl/>
        </w:rPr>
        <w:t>4)[</w:t>
      </w:r>
      <w:r>
        <w:rPr>
          <w:rtl/>
        </w:rPr>
        <w:t>רמב</w:t>
      </w:r>
      <w:r w:rsidR="00213DA1">
        <w:rPr>
          <w:rtl/>
        </w:rPr>
        <w:t>”ם \נשים\</w:t>
      </w:r>
      <w:r>
        <w:rPr>
          <w:rtl/>
        </w:rPr>
        <w:t xml:space="preserve"> הלכות אישות פרק יג הלכה י</w:t>
      </w:r>
      <w:r>
        <w:rPr>
          <w:rFonts w:hint="cs"/>
          <w:rtl/>
        </w:rPr>
        <w:t xml:space="preserve">] </w:t>
      </w:r>
      <w:r>
        <w:rPr>
          <w:rtl/>
        </w:rPr>
        <w:t>הדירה שלא תשאל ושלא תשאיל מכלי הבית שדרך כל השכנות לשאול אותן ולהשאילן כגון נפה וכברה רחים ותנור וכיוצא בהם, יתיר נדרו או יוציא ויתן כתובה מפני שמשיאה שם רע בשכנותיה. וכן היא שנדרה שלא תשאל ושלא תשאיל נפה וכברה ורחים ותנור וכיוצא בהם ושלא תארוג בגדים נאים לבנה במקום שדרכן לארוג אותם לבנים תצא בלא כתובה מפני שמשיאתו שם רע בשכונתו שהוא כילי.</w:t>
      </w:r>
    </w:p>
    <w:p w14:paraId="08934F48" w14:textId="0AB53132" w:rsidR="00F4712A" w:rsidRDefault="00F4712A" w:rsidP="00F4712A">
      <w:pPr>
        <w:pStyle w:val="Style1"/>
        <w:rPr>
          <w:rtl/>
        </w:rPr>
      </w:pPr>
      <w:r>
        <w:rPr>
          <w:rFonts w:hint="cs"/>
          <w:rtl/>
        </w:rPr>
        <w:t>4)[</w:t>
      </w:r>
      <w:r>
        <w:rPr>
          <w:rtl/>
        </w:rPr>
        <w:t>שולחן ערוך יורה דעה הלכות נדרים סימן רלה סעיף ה</w:t>
      </w:r>
      <w:r>
        <w:rPr>
          <w:rFonts w:hint="cs"/>
          <w:rtl/>
        </w:rPr>
        <w:t xml:space="preserve">] </w:t>
      </w:r>
      <w:r>
        <w:rPr>
          <w:rtl/>
        </w:rPr>
        <w:t>אסרה כלי שכניה עליה כדי שלא תשאל מהם, או שנדרה שלא לארוג בגדים נאים לבנה, אינו יכול להפר ואסורה לשאול משכניה ולארוג בגדים, הילכך תצא בלא כתובה, שמשיאו שם רע בשכניו.</w:t>
      </w:r>
    </w:p>
    <w:p w14:paraId="642D1471" w14:textId="66139BFE" w:rsidR="00521526" w:rsidRDefault="00521526" w:rsidP="00521526">
      <w:pPr>
        <w:pStyle w:val="Style1"/>
        <w:rPr>
          <w:rtl/>
        </w:rPr>
      </w:pPr>
      <w:r>
        <w:rPr>
          <w:rFonts w:hint="cs"/>
          <w:rtl/>
        </w:rPr>
        <w:t>5)[</w:t>
      </w:r>
      <w:r>
        <w:rPr>
          <w:rtl/>
        </w:rPr>
        <w:t>רמב</w:t>
      </w:r>
      <w:r w:rsidR="00213DA1">
        <w:rPr>
          <w:rtl/>
        </w:rPr>
        <w:t>”ם \נשים\</w:t>
      </w:r>
      <w:r>
        <w:rPr>
          <w:rtl/>
        </w:rPr>
        <w:t xml:space="preserve"> הלכות אישות פרק כד הלכה י</w:t>
      </w:r>
      <w:r>
        <w:rPr>
          <w:rFonts w:hint="cs"/>
          <w:rtl/>
        </w:rPr>
        <w:t xml:space="preserve">] </w:t>
      </w:r>
      <w:r>
        <w:rPr>
          <w:rtl/>
        </w:rPr>
        <w:t>מי שזינת תחת בעלה אין לה כתובה לא עיקר ולא תוספת, ואין מוציאין מן הבעל דבר ממה שאבד או נגנב מנכסי צאן ברזל שלה ואין צריך לומר נכסי מלוג, ולא המזנה בלבד אלא אף העוברת על דת משה או על דת יהודית או היוצאה משום שם רע אין לה כתובה לא עיקר ולא תוספת ולא תנאי מתנאי כתובה, וכל אחת מהן נוטלת הנמצא מנדוניתה ויוצאה ואין הבעל חייב לשלם כלום לא מה שפחת ולא מה שאבד.</w:t>
      </w:r>
    </w:p>
    <w:p w14:paraId="0D5FF364" w14:textId="5316918E" w:rsidR="00D71883" w:rsidRDefault="00D71883" w:rsidP="00D71883">
      <w:pPr>
        <w:pStyle w:val="Style1"/>
        <w:rPr>
          <w:rtl/>
        </w:rPr>
      </w:pPr>
      <w:r>
        <w:rPr>
          <w:rFonts w:hint="cs"/>
          <w:rtl/>
        </w:rPr>
        <w:t>5)[</w:t>
      </w:r>
      <w:r>
        <w:rPr>
          <w:rtl/>
        </w:rPr>
        <w:t>רמב</w:t>
      </w:r>
      <w:r w:rsidR="00213DA1">
        <w:rPr>
          <w:rtl/>
        </w:rPr>
        <w:t>”ם \נשים\</w:t>
      </w:r>
      <w:r>
        <w:rPr>
          <w:rtl/>
        </w:rPr>
        <w:t xml:space="preserve"> הלכות אישות פרק כד הלכה יא</w:t>
      </w:r>
      <w:r>
        <w:rPr>
          <w:rFonts w:hint="cs"/>
          <w:rtl/>
        </w:rPr>
        <w:t xml:space="preserve">] </w:t>
      </w:r>
      <w:r>
        <w:rPr>
          <w:rtl/>
        </w:rPr>
        <w:t>ואלו הן הדברים שאם עשת אחד מהן עברה על דת משה: יוצאה בשוק ושער ראשה גלוי, או שנודרת או נשבעת ואינה מקיימת, או ששמשה מטתה והיא נדה, או שאינה קוצה לה חלה, או שהאכילה את בעלה דברים אסורים ואין צריך לומר שקצים ורמשים ונבלות אלא דברים שאינן מעושרין. והיאך יודע דבר זה כגון שאמרה לו פירות אלו פלוני כהן תקנם לי ועיסה זו פלוני הפריש לי חלתה ופלוני החכם טיהר לי את הכתם ואחר שאכל או בא עליה שאל אותו פלוני ואמר לא היו דברים מעולם, וכן אם הוחזקה נדה בשכנותיה ואמרה לבעלה טהורה אני ובא עליה.</w:t>
      </w:r>
    </w:p>
    <w:p w14:paraId="2E166C09" w14:textId="1BF07D30" w:rsidR="00BA3B22" w:rsidRDefault="00515DBA" w:rsidP="00BA3B22">
      <w:pPr>
        <w:pStyle w:val="Style1"/>
        <w:rPr>
          <w:rtl/>
        </w:rPr>
      </w:pPr>
      <w:r>
        <w:rPr>
          <w:rFonts w:hint="cs"/>
          <w:rtl/>
        </w:rPr>
        <w:t>5)[</w:t>
      </w:r>
      <w:r>
        <w:rPr>
          <w:rtl/>
        </w:rPr>
        <w:t>שולחן ערוך אבן העזר הלכות כתובות סימן קטו סעיף א</w:t>
      </w:r>
      <w:r>
        <w:rPr>
          <w:rFonts w:hint="cs"/>
          <w:rtl/>
        </w:rPr>
        <w:t>]</w:t>
      </w:r>
      <w:r w:rsidR="00BA3B22">
        <w:rPr>
          <w:rFonts w:hint="cs"/>
          <w:rtl/>
        </w:rPr>
        <w:t xml:space="preserve"> </w:t>
      </w:r>
      <w:r w:rsidR="00BA3B22" w:rsidRPr="00BA3B22">
        <w:rPr>
          <w:rtl/>
        </w:rPr>
        <w:t xml:space="preserve">אלו יוצאות שלא בכתבה: העוברת על דת משה ויהודית. ואיזו היא דת משה, שהאכילה את בעלה שאינו מעשר, או אחד מכל האסורים, או ששמשתו נדה, ונודע לו אחר כך, כגון שאמרה: פלוני חכם תקן לי הכרי הזה או התיר לי חתיכה זו או טהר לי הדם הזה, ונמצאת שקרנית. ודוקא שהכחשה בעדים, כגון שהעידו שבאותה שעה שאמרה שפלוני תקן לה לא היה אותו פלוני בעיר, וגם יש </w:t>
      </w:r>
      <w:r w:rsidR="00BA3B22" w:rsidRPr="00BA3B22">
        <w:rPr>
          <w:rtl/>
        </w:rPr>
        <w:lastRenderedPageBreak/>
        <w:t>עדים שאמרה לו שהוא מתקן ושהוא אכלו על פיה; אבל אם אין עדים והיא כופרת שלא האכילתו, או שמכחשת החכם שאומר שלא תקן לה, והיא אומרת שתקן לה, נאמנת. ודוקא שהכשילתו ואכל על פיה, אבל אם רצתה להאכילו דבר אסור, לא אבדה כתבתה</w:t>
      </w:r>
      <w:r w:rsidR="00BA3B22" w:rsidRPr="00BA3B22">
        <w:t>:</w:t>
      </w:r>
    </w:p>
    <w:p w14:paraId="73FF5FE5" w14:textId="5952063B" w:rsidR="005E6662" w:rsidRDefault="005E6662" w:rsidP="005E6662">
      <w:pPr>
        <w:pStyle w:val="Style1"/>
        <w:rPr>
          <w:rtl/>
        </w:rPr>
      </w:pPr>
      <w:r>
        <w:rPr>
          <w:rFonts w:hint="cs"/>
          <w:rtl/>
        </w:rPr>
        <w:t>6)[</w:t>
      </w:r>
      <w:r>
        <w:rPr>
          <w:rtl/>
        </w:rPr>
        <w:t>רמב</w:t>
      </w:r>
      <w:r w:rsidR="00213DA1">
        <w:rPr>
          <w:rtl/>
        </w:rPr>
        <w:t>”ם \קדושה\</w:t>
      </w:r>
      <w:r>
        <w:rPr>
          <w:rtl/>
        </w:rPr>
        <w:t xml:space="preserve"> הלכות איסורי ביאה פרק א הלכה כב</w:t>
      </w:r>
      <w:r>
        <w:rPr>
          <w:rFonts w:hint="cs"/>
          <w:rtl/>
        </w:rPr>
        <w:t xml:space="preserve">] </w:t>
      </w:r>
      <w:r>
        <w:rPr>
          <w:rtl/>
        </w:rPr>
        <w:t>האשה שהוחזקה נדה בשכונותיה בעלה לוקה עליה משום נדה, המקנא לאשתו ונסתרה ובא עד אחד והעיד שנטמאת והיה בעלה כהן ובא עליה אח"כ הרי זה לוקה עליה משום זונה, אף על פי שעיקר העדות בעד אחד כבר הוחזקה בזונה. /השגת הראב"ד/ המקנא לאשתו וכו'. כתב הראב"ד ז"ל /א"א/ אינו כן דאינו לוקה משום זונה אלא משום טומאה דכל אונס בעד אחד לא קרינן ביה זונה אלא משום טומאה והכי איתא ביבמות בלישנא בתרא דרבה עכ"ל.</w:t>
      </w:r>
    </w:p>
    <w:p w14:paraId="60A808CD" w14:textId="005EE9C4" w:rsidR="00C605B7" w:rsidRPr="00BA3B22" w:rsidRDefault="00C605B7" w:rsidP="00C605B7">
      <w:pPr>
        <w:pStyle w:val="Style1"/>
      </w:pPr>
      <w:r>
        <w:rPr>
          <w:rFonts w:hint="cs"/>
          <w:rtl/>
        </w:rPr>
        <w:t>6)[</w:t>
      </w:r>
      <w:r>
        <w:rPr>
          <w:rtl/>
        </w:rPr>
        <w:t>שולחן ערוך אבן העזר הלכות כתובות סימן קטו סעיף ב</w:t>
      </w:r>
      <w:r>
        <w:rPr>
          <w:rFonts w:hint="cs"/>
          <w:rtl/>
        </w:rPr>
        <w:t xml:space="preserve">] </w:t>
      </w:r>
      <w:r>
        <w:rPr>
          <w:rtl/>
        </w:rPr>
        <w:t>הוחזקה נדה בשכנותיה, שראוה לובשת בגדי נדותה, ואמרה לו: טהורה אני, ובא עליה, יוצאת בלא כתובה.</w:t>
      </w:r>
    </w:p>
    <w:p w14:paraId="44160E55" w14:textId="43525462" w:rsidR="00515DBA" w:rsidRPr="00AA18E1" w:rsidRDefault="00515DBA" w:rsidP="00515DBA">
      <w:pPr>
        <w:pStyle w:val="Style1"/>
      </w:pPr>
    </w:p>
    <w:p w14:paraId="3DE3BF07" w14:textId="77777777" w:rsidR="001E45AA" w:rsidRPr="001E45AA" w:rsidRDefault="001E45AA" w:rsidP="001E45AA">
      <w:pPr>
        <w:pStyle w:val="Style1"/>
        <w:rPr>
          <w:rStyle w:val="Style1Char"/>
          <w:rtl/>
        </w:rPr>
      </w:pPr>
    </w:p>
    <w:p w14:paraId="111EE665" w14:textId="77777777" w:rsidR="002165BA" w:rsidRPr="008F310F" w:rsidRDefault="002165BA" w:rsidP="002165BA">
      <w:pPr>
        <w:bidi/>
        <w:rPr>
          <w:rStyle w:val="Style1Char"/>
          <w:sz w:val="22"/>
          <w:szCs w:val="22"/>
          <w:rtl/>
        </w:rPr>
      </w:pPr>
    </w:p>
    <w:p w14:paraId="69795FF8" w14:textId="77777777" w:rsidR="002165BA" w:rsidRPr="00A621BD" w:rsidRDefault="002165BA" w:rsidP="002165BA">
      <w:pPr>
        <w:bidi/>
        <w:rPr>
          <w:rStyle w:val="Style1Char"/>
          <w:color w:val="00B050"/>
          <w:rtl/>
        </w:rPr>
      </w:pPr>
    </w:p>
    <w:p w14:paraId="70639E88" w14:textId="77777777" w:rsidR="002165BA" w:rsidRDefault="002165BA" w:rsidP="002165BA">
      <w:pPr>
        <w:rPr>
          <w:rStyle w:val="Style1Char"/>
          <w:color w:val="00B050"/>
          <w:rtl/>
        </w:rPr>
      </w:pPr>
      <w:r>
        <w:rPr>
          <w:rStyle w:val="Style1Char"/>
          <w:color w:val="00B050"/>
          <w:rtl/>
        </w:rPr>
        <w:br w:type="page"/>
      </w:r>
    </w:p>
    <w:p w14:paraId="38C5C7C2" w14:textId="33949AF4" w:rsidR="002165BA" w:rsidRDefault="002165BA" w:rsidP="002165BA">
      <w:pPr>
        <w:bidi/>
        <w:rPr>
          <w:rStyle w:val="Style1Char"/>
          <w:color w:val="C00000"/>
          <w:rtl/>
        </w:rPr>
      </w:pPr>
      <w:r w:rsidRPr="008F310F">
        <w:rPr>
          <w:rStyle w:val="Style1Char"/>
          <w:color w:val="auto"/>
          <w:sz w:val="22"/>
          <w:szCs w:val="22"/>
          <w:highlight w:val="yellow"/>
          <w:rtl/>
        </w:rPr>
        <w:lastRenderedPageBreak/>
        <w:t>[דף עב עמוד ב]</w:t>
      </w:r>
      <w:r w:rsidRPr="008F310F">
        <w:rPr>
          <w:rStyle w:val="Style1Char"/>
          <w:color w:val="auto"/>
          <w:sz w:val="22"/>
          <w:szCs w:val="22"/>
          <w:rtl/>
        </w:rPr>
        <w:t xml:space="preserve"> קלתה שפיר דמי, דת יהודית - אפילו קלתה נמי אסור.</w:t>
      </w:r>
      <w:r w:rsidRPr="008F310F">
        <w:rPr>
          <w:rStyle w:val="Style1Char"/>
          <w:color w:val="auto"/>
          <w:rtl/>
        </w:rPr>
        <w:t xml:space="preserve"> </w:t>
      </w:r>
      <w:r w:rsidRPr="008F310F">
        <w:rPr>
          <w:rStyle w:val="Style1Char"/>
          <w:color w:val="auto"/>
          <w:sz w:val="22"/>
          <w:szCs w:val="22"/>
          <w:rtl/>
        </w:rPr>
        <w:t>אמר רבי אסי אמר ר' יוחנן, קלתה אין בה משום פרוע ראש.</w:t>
      </w:r>
      <w:r w:rsidRPr="008F310F">
        <w:rPr>
          <w:rStyle w:val="Style1Char"/>
          <w:color w:val="auto"/>
          <w:rtl/>
        </w:rPr>
        <w:t xml:space="preserve"> </w:t>
      </w:r>
      <w:r w:rsidRPr="00657C31">
        <w:rPr>
          <w:rStyle w:val="Style1Char"/>
          <w:color w:val="00B050"/>
          <w:rtl/>
        </w:rPr>
        <w:t xml:space="preserve">הוי בה רבי זירא, היכא? אילימא בשוק, דת יהודית היא! ואלא בחצר, אם כן, לא הנחת בת לאברהם אבינו שיושבת תחת בעלה! </w:t>
      </w:r>
      <w:r w:rsidRPr="008F310F">
        <w:rPr>
          <w:rStyle w:val="Style1Char"/>
          <w:color w:val="auto"/>
          <w:sz w:val="22"/>
          <w:szCs w:val="22"/>
          <w:rtl/>
        </w:rPr>
        <w:t xml:space="preserve">אמר אביי, ואיתימא רב כהנא: </w:t>
      </w:r>
      <w:r w:rsidR="008D08C5">
        <w:rPr>
          <w:rStyle w:val="Style1Char"/>
          <w:rFonts w:hint="cs"/>
          <w:rtl/>
        </w:rPr>
        <w:t>(1)</w:t>
      </w:r>
      <w:r w:rsidRPr="008F310F">
        <w:rPr>
          <w:rStyle w:val="Style1Char"/>
          <w:color w:val="auto"/>
          <w:sz w:val="22"/>
          <w:szCs w:val="22"/>
          <w:rtl/>
        </w:rPr>
        <w:t>מחצר לחצר ודרך מבוי</w:t>
      </w:r>
      <w:r w:rsidRPr="00A621BD">
        <w:rPr>
          <w:rStyle w:val="Style1Char"/>
          <w:sz w:val="22"/>
          <w:szCs w:val="22"/>
          <w:rtl/>
        </w:rPr>
        <w:t xml:space="preserve">. </w:t>
      </w:r>
      <w:r w:rsidRPr="00251692">
        <w:rPr>
          <w:rStyle w:val="Style1Char"/>
          <w:color w:val="C00000"/>
          <w:rtl/>
        </w:rPr>
        <w:t xml:space="preserve">ירושלמי חצר שהרבים בוקעין בו הרי הוא כמבוי מבוי שאין הרבים בוקעין בו הרי הוא כחצר: </w:t>
      </w:r>
    </w:p>
    <w:p w14:paraId="168D3D2A" w14:textId="24DAEB44" w:rsidR="002165BA" w:rsidRPr="008F310F" w:rsidRDefault="002165BA" w:rsidP="002165BA">
      <w:pPr>
        <w:bidi/>
        <w:rPr>
          <w:rStyle w:val="Style1Char"/>
          <w:color w:val="auto"/>
          <w:sz w:val="22"/>
          <w:szCs w:val="22"/>
          <w:rtl/>
        </w:rPr>
      </w:pPr>
      <w:r w:rsidRPr="008F310F">
        <w:rPr>
          <w:rStyle w:val="Style1Char"/>
          <w:color w:val="auto"/>
          <w:sz w:val="22"/>
          <w:szCs w:val="22"/>
          <w:rtl/>
        </w:rPr>
        <w:t xml:space="preserve">וטווה בשוק. אמר רב יהודה אמר שמואל: </w:t>
      </w:r>
      <w:r w:rsidR="00022D9E">
        <w:rPr>
          <w:rStyle w:val="Style1Char"/>
          <w:rFonts w:hint="cs"/>
          <w:rtl/>
        </w:rPr>
        <w:t>(1)</w:t>
      </w:r>
      <w:r w:rsidRPr="008F310F">
        <w:rPr>
          <w:rStyle w:val="Style1Char"/>
          <w:color w:val="auto"/>
          <w:sz w:val="22"/>
          <w:szCs w:val="22"/>
          <w:rtl/>
        </w:rPr>
        <w:t xml:space="preserve">במראה זרועותיה לבני אדם. רב חסדא אמר אבימי: </w:t>
      </w:r>
      <w:r w:rsidR="00022D9E">
        <w:rPr>
          <w:rStyle w:val="Style1Char"/>
          <w:rFonts w:hint="cs"/>
          <w:rtl/>
        </w:rPr>
        <w:t>(1)</w:t>
      </w:r>
      <w:r w:rsidRPr="008F310F">
        <w:rPr>
          <w:rStyle w:val="Style1Char"/>
          <w:color w:val="auto"/>
          <w:sz w:val="22"/>
          <w:szCs w:val="22"/>
          <w:rtl/>
        </w:rPr>
        <w:t xml:space="preserve">בטווה ורד כנגד פניה. </w:t>
      </w:r>
    </w:p>
    <w:p w14:paraId="43702603" w14:textId="471B24EB" w:rsidR="002165BA" w:rsidRPr="00413026" w:rsidRDefault="002165BA" w:rsidP="002165BA">
      <w:pPr>
        <w:bidi/>
        <w:rPr>
          <w:rStyle w:val="Style1Char"/>
          <w:color w:val="auto"/>
          <w:sz w:val="22"/>
          <w:szCs w:val="22"/>
        </w:rPr>
      </w:pPr>
      <w:r w:rsidRPr="008F310F">
        <w:rPr>
          <w:rStyle w:val="Style1Char"/>
          <w:color w:val="auto"/>
          <w:sz w:val="22"/>
          <w:szCs w:val="22"/>
          <w:rtl/>
        </w:rPr>
        <w:t xml:space="preserve">ומדברת עם כל אדם. אמר רב יהודה אמר שמואל: </w:t>
      </w:r>
      <w:r w:rsidR="00522EC5">
        <w:rPr>
          <w:rStyle w:val="Style1Char"/>
          <w:rFonts w:hint="cs"/>
          <w:rtl/>
        </w:rPr>
        <w:t>(1)</w:t>
      </w:r>
      <w:r w:rsidRPr="008F310F">
        <w:rPr>
          <w:rStyle w:val="Style1Char"/>
          <w:color w:val="auto"/>
          <w:sz w:val="22"/>
          <w:szCs w:val="22"/>
          <w:rtl/>
        </w:rPr>
        <w:t>במשחקת עם בחורים</w:t>
      </w:r>
      <w:r w:rsidRPr="00BF5B2C">
        <w:rPr>
          <w:rStyle w:val="Style1Char"/>
          <w:sz w:val="22"/>
          <w:szCs w:val="22"/>
          <w:rtl/>
        </w:rPr>
        <w:t xml:space="preserve">. </w:t>
      </w:r>
      <w:r w:rsidRPr="00657C31">
        <w:rPr>
          <w:rStyle w:val="Style1Char"/>
          <w:color w:val="00B050"/>
          <w:rtl/>
        </w:rPr>
        <w:t xml:space="preserve">אמר רבה בר בר חנה: זימנא חדא הוה קאזילנא בתריה דרב עוקבא, חזיתיה לההיא ערביא דהוה יתבה קא שדיא פילכה וטווה ורד כנגד פניה, כיון דחזיתינן פסיקתיה לפילכה שדיתיה, אמרה לי: עולם, הב לי פלך, אמר בה רב עוקבא מילתא. מאי אמר בה? רבינא אמר: טווה בשוק אמר בה, רבנן אמרי: מדברת עם כל אדם אמר בה. </w:t>
      </w:r>
      <w:r w:rsidRPr="008F310F">
        <w:rPr>
          <w:rStyle w:val="Style1Char"/>
          <w:color w:val="auto"/>
          <w:sz w:val="22"/>
          <w:szCs w:val="22"/>
          <w:rtl/>
        </w:rPr>
        <w:t xml:space="preserve">אבא שאול אומר: אף המקללת יולדיו בפניו. אמר רב יהודה אמר שמואל: </w:t>
      </w:r>
      <w:r w:rsidR="00522EC5">
        <w:rPr>
          <w:rStyle w:val="Style1Char"/>
          <w:rFonts w:hint="cs"/>
          <w:rtl/>
        </w:rPr>
        <w:t>(1)</w:t>
      </w:r>
      <w:r w:rsidRPr="008F310F">
        <w:rPr>
          <w:rStyle w:val="Style1Char"/>
          <w:color w:val="auto"/>
          <w:sz w:val="22"/>
          <w:szCs w:val="22"/>
          <w:rtl/>
        </w:rPr>
        <w:t xml:space="preserve">במקללת </w:t>
      </w:r>
      <w:r w:rsidRPr="0090133A">
        <w:rPr>
          <w:rStyle w:val="Style1Char"/>
          <w:color w:val="4472C4" w:themeColor="accent1"/>
          <w:rtl/>
        </w:rPr>
        <w:t xml:space="preserve">ילדיו </w:t>
      </w:r>
      <w:r w:rsidRPr="00413026">
        <w:rPr>
          <w:rStyle w:val="Style1Char"/>
          <w:sz w:val="22"/>
          <w:szCs w:val="22"/>
          <w:rtl/>
        </w:rPr>
        <w:t xml:space="preserve">יולדיו </w:t>
      </w:r>
      <w:r w:rsidRPr="008F310F">
        <w:rPr>
          <w:rStyle w:val="Style1Char"/>
          <w:color w:val="auto"/>
          <w:sz w:val="22"/>
          <w:szCs w:val="22"/>
          <w:rtl/>
        </w:rPr>
        <w:t>בפני מולידיו</w:t>
      </w:r>
      <w:r w:rsidRPr="00F41EC1">
        <w:rPr>
          <w:rStyle w:val="Style1Char"/>
          <w:color w:val="C00000"/>
          <w:rtl/>
        </w:rPr>
        <w:t xml:space="preserve"> </w:t>
      </w:r>
      <w:r w:rsidRPr="00413026">
        <w:rPr>
          <w:rStyle w:val="Style1Char"/>
          <w:color w:val="806000" w:themeColor="accent4" w:themeShade="80"/>
          <w:sz w:val="22"/>
          <w:szCs w:val="22"/>
          <w:rtl/>
        </w:rPr>
        <w:t>שנאמר ומולדתך אשר הולדת אחריהם,</w:t>
      </w:r>
      <w:r w:rsidRPr="00BF5B2C">
        <w:rPr>
          <w:rStyle w:val="Style1Char"/>
          <w:sz w:val="22"/>
          <w:szCs w:val="22"/>
          <w:rtl/>
        </w:rPr>
        <w:t xml:space="preserve"> </w:t>
      </w:r>
      <w:r w:rsidRPr="005B76CC">
        <w:rPr>
          <w:rStyle w:val="Style1Char"/>
          <w:color w:val="00B050"/>
          <w:rtl/>
        </w:rPr>
        <w:t xml:space="preserve">וסימניך: אפרים ומנשה כראובן ושמעון יהיו לי. </w:t>
      </w:r>
      <w:r w:rsidRPr="00413026">
        <w:rPr>
          <w:rStyle w:val="Style1Char"/>
          <w:color w:val="auto"/>
          <w:sz w:val="22"/>
          <w:szCs w:val="22"/>
          <w:rtl/>
        </w:rPr>
        <w:t xml:space="preserve">אמר </w:t>
      </w:r>
      <w:r w:rsidRPr="0090133A">
        <w:rPr>
          <w:rStyle w:val="Style1Char"/>
          <w:color w:val="4472C4" w:themeColor="accent1"/>
          <w:rtl/>
        </w:rPr>
        <w:t xml:space="preserve">רבא </w:t>
      </w:r>
      <w:r w:rsidRPr="00F41EC1">
        <w:rPr>
          <w:rStyle w:val="Style1Char"/>
          <w:sz w:val="22"/>
          <w:szCs w:val="22"/>
          <w:rtl/>
        </w:rPr>
        <w:t xml:space="preserve">רבה: </w:t>
      </w:r>
      <w:r w:rsidRPr="00413026">
        <w:rPr>
          <w:rStyle w:val="Style1Char"/>
          <w:color w:val="806000" w:themeColor="accent4" w:themeShade="80"/>
          <w:sz w:val="22"/>
          <w:szCs w:val="22"/>
          <w:rtl/>
        </w:rPr>
        <w:t xml:space="preserve">לא תימא דליכליה אריא לסבא ולבריה אלא כגון </w:t>
      </w:r>
      <w:r w:rsidRPr="00413026">
        <w:rPr>
          <w:rStyle w:val="Style1Char"/>
          <w:color w:val="auto"/>
          <w:sz w:val="22"/>
          <w:szCs w:val="22"/>
          <w:rtl/>
        </w:rPr>
        <w:t xml:space="preserve">דאמרה ליה </w:t>
      </w:r>
      <w:r w:rsidR="00522EC5">
        <w:rPr>
          <w:rStyle w:val="Style1Char"/>
          <w:rFonts w:hint="cs"/>
          <w:rtl/>
        </w:rPr>
        <w:t>(1)</w:t>
      </w:r>
      <w:r w:rsidRPr="00413026">
        <w:rPr>
          <w:rStyle w:val="Style1Char"/>
          <w:color w:val="auto"/>
          <w:sz w:val="22"/>
          <w:szCs w:val="22"/>
          <w:rtl/>
        </w:rPr>
        <w:t xml:space="preserve">ניכליה אריא לסבא באפי בריה. </w:t>
      </w:r>
    </w:p>
    <w:p w14:paraId="406F0BF2" w14:textId="77777777" w:rsidR="002165BA" w:rsidRPr="0090133A" w:rsidRDefault="002165BA" w:rsidP="002165BA">
      <w:pPr>
        <w:bidi/>
        <w:rPr>
          <w:rStyle w:val="Style1Char"/>
          <w:color w:val="4472C4" w:themeColor="accent1"/>
        </w:rPr>
      </w:pPr>
      <w:r w:rsidRPr="00413026">
        <w:rPr>
          <w:rStyle w:val="Style1Char"/>
          <w:color w:val="auto"/>
          <w:sz w:val="22"/>
          <w:szCs w:val="22"/>
          <w:rtl/>
        </w:rPr>
        <w:t>רבי טרפון אומר: אף הקולנית</w:t>
      </w:r>
      <w:r w:rsidRPr="00657C31">
        <w:rPr>
          <w:rStyle w:val="Style1Char"/>
          <w:color w:val="00B050"/>
          <w:rtl/>
        </w:rPr>
        <w:t xml:space="preserve">. מאי קולנית? </w:t>
      </w:r>
      <w:r w:rsidRPr="00413026">
        <w:rPr>
          <w:rStyle w:val="Style1Char"/>
          <w:color w:val="auto"/>
          <w:sz w:val="22"/>
          <w:szCs w:val="22"/>
          <w:rtl/>
        </w:rPr>
        <w:t>אמר רב יהודה אמר שמואל: במשמעת קולה על עסקי תשמיש</w:t>
      </w:r>
      <w:r w:rsidRPr="00657C31">
        <w:rPr>
          <w:rStyle w:val="Style1Char"/>
          <w:color w:val="00B050"/>
          <w:rtl/>
        </w:rPr>
        <w:t xml:space="preserve">. </w:t>
      </w:r>
      <w:r w:rsidRPr="00413026">
        <w:rPr>
          <w:rStyle w:val="Style1Char"/>
          <w:color w:val="806000" w:themeColor="accent4" w:themeShade="80"/>
          <w:rtl/>
        </w:rPr>
        <w:t>כגון דתבעה ליה בפה בקול רם</w:t>
      </w:r>
      <w:r w:rsidRPr="00413026">
        <w:rPr>
          <w:rStyle w:val="Style1Char"/>
          <w:color w:val="4472C4" w:themeColor="accent1"/>
          <w:rtl/>
        </w:rPr>
        <w:t xml:space="preserve"> </w:t>
      </w:r>
      <w:r w:rsidRPr="0090133A">
        <w:rPr>
          <w:rStyle w:val="Style1Char"/>
          <w:color w:val="4472C4" w:themeColor="accent1"/>
          <w:rtl/>
        </w:rPr>
        <w:t xml:space="preserve">אבל רש"י פירש בענין אחר ומסקינן בסוטה פרק ארוסה (דף כה א) דעוברת על דת צריכה התראה להפסידה כתובתה </w:t>
      </w:r>
      <w:r>
        <w:rPr>
          <w:rStyle w:val="Style1Char"/>
          <w:rFonts w:hint="cs"/>
          <w:color w:val="4472C4" w:themeColor="accent1"/>
        </w:rPr>
        <w:t>‍‍‍‍‍</w:t>
      </w:r>
      <w:r w:rsidRPr="0090133A">
        <w:rPr>
          <w:rStyle w:val="Style1Char"/>
          <w:color w:val="4472C4" w:themeColor="accent1"/>
          <w:rtl/>
        </w:rPr>
        <w:t>ואם רצה הבעל לקיימה מיבעיא התם אם יכול לקיימה אם לאו ולא איפשיטא ולא כייפינן ליה להוציא ומיהו מצוה לגרשה. כך כתב הראב"ד ז"ל</w:t>
      </w:r>
      <w:r w:rsidRPr="0090133A">
        <w:rPr>
          <w:rStyle w:val="Style1Char"/>
          <w:color w:val="4472C4" w:themeColor="accent1"/>
        </w:rPr>
        <w:t xml:space="preserve">: </w:t>
      </w:r>
    </w:p>
    <w:p w14:paraId="7F2A07FF" w14:textId="77777777" w:rsidR="002165BA" w:rsidRPr="00657C31" w:rsidRDefault="002165BA" w:rsidP="002165BA">
      <w:pPr>
        <w:bidi/>
        <w:rPr>
          <w:rStyle w:val="Style1Char"/>
          <w:color w:val="00B050"/>
        </w:rPr>
      </w:pPr>
      <w:r w:rsidRPr="00413026">
        <w:rPr>
          <w:rStyle w:val="Style1Char"/>
          <w:color w:val="806000" w:themeColor="accent4" w:themeShade="80"/>
          <w:rtl/>
        </w:rPr>
        <w:t xml:space="preserve"> </w:t>
      </w:r>
      <w:r w:rsidRPr="00251692">
        <w:rPr>
          <w:rStyle w:val="Style1Char"/>
          <w:color w:val="C00000"/>
          <w:rtl/>
        </w:rPr>
        <w:t>גרסי' בסוטה בפ' ארוסה [סוטה כ"ה ע"א] איבעיא להו עוברת על דת צריכה התראה להפסידה כתובתה או לא ואסיקנא צריכה ירושלמי תמן תנן נשים שאמרו יוצאות בלא כתובה צריכות התראה ואם לא התרה בהן יוציא ויתן כתובה ולא מנה ומאתים אלא אפילו אלף דינר מאבדת הכל ונוטלת בליות שבפניה ויוצאה</w:t>
      </w:r>
      <w:r w:rsidRPr="00657C31">
        <w:rPr>
          <w:rStyle w:val="Style1Char"/>
          <w:color w:val="00B050"/>
          <w:rtl/>
        </w:rPr>
        <w:t xml:space="preserve">במתניתא תנא: במשמשת בחצר זו ונשמע קולה בחצר אחרת. וניתנייה גבי מומין במתניתין! אלא, מחוורתא כדשנין מעיקרא. </w:t>
      </w:r>
    </w:p>
    <w:p w14:paraId="0A81AD9D" w14:textId="35D7596C" w:rsidR="002165BA" w:rsidRDefault="002165BA" w:rsidP="002165BA">
      <w:pPr>
        <w:bidi/>
        <w:rPr>
          <w:rStyle w:val="Style1Char"/>
          <w:color w:val="auto"/>
          <w:sz w:val="22"/>
          <w:szCs w:val="22"/>
          <w:rtl/>
        </w:rPr>
      </w:pPr>
      <w:r w:rsidRPr="00056AAD">
        <w:rPr>
          <w:rStyle w:val="Style1Char"/>
          <w:color w:val="auto"/>
          <w:sz w:val="22"/>
          <w:szCs w:val="22"/>
          <w:rtl/>
        </w:rPr>
        <w:t xml:space="preserve">מתני'. </w:t>
      </w:r>
      <w:r w:rsidR="00DE210D">
        <w:rPr>
          <w:rStyle w:val="Style1Char"/>
          <w:rFonts w:hint="cs"/>
          <w:rtl/>
        </w:rPr>
        <w:t>(2)</w:t>
      </w:r>
      <w:r w:rsidRPr="00056AAD">
        <w:rPr>
          <w:rStyle w:val="Style1Char"/>
          <w:color w:val="auto"/>
          <w:sz w:val="22"/>
          <w:szCs w:val="22"/>
          <w:rtl/>
        </w:rPr>
        <w:t xml:space="preserve">המקדש את האשה על מנת שאין עליה נדרים, ונמצאו עליה נדרים - אינה מקודשת; </w:t>
      </w:r>
      <w:r w:rsidR="00AB0D8C">
        <w:rPr>
          <w:rStyle w:val="Style1Char"/>
          <w:rFonts w:hint="cs"/>
          <w:rtl/>
        </w:rPr>
        <w:t>(3)</w:t>
      </w:r>
      <w:r w:rsidRPr="00056AAD">
        <w:rPr>
          <w:rStyle w:val="Style1Char"/>
          <w:color w:val="auto"/>
          <w:sz w:val="22"/>
          <w:szCs w:val="22"/>
          <w:rtl/>
        </w:rPr>
        <w:t xml:space="preserve">כנסה סתם, ונמצאו עליה נדרים - תצא שלא בכתובה. </w:t>
      </w:r>
      <w:r w:rsidR="00597B21">
        <w:rPr>
          <w:rStyle w:val="Style1Char"/>
          <w:rFonts w:hint="cs"/>
          <w:rtl/>
        </w:rPr>
        <w:t>(4)</w:t>
      </w:r>
      <w:r w:rsidRPr="00056AAD">
        <w:rPr>
          <w:rStyle w:val="Style1Char"/>
          <w:color w:val="auto"/>
          <w:sz w:val="22"/>
          <w:szCs w:val="22"/>
          <w:rtl/>
        </w:rPr>
        <w:t xml:space="preserve">על מנת שאין בה מומין, ונמצאו בה מומין - אינה מקודשת; </w:t>
      </w:r>
      <w:r w:rsidR="00597B21">
        <w:rPr>
          <w:rStyle w:val="Style1Char"/>
          <w:rFonts w:hint="cs"/>
          <w:rtl/>
        </w:rPr>
        <w:t>(5)</w:t>
      </w:r>
      <w:r w:rsidRPr="00056AAD">
        <w:rPr>
          <w:rStyle w:val="Style1Char"/>
          <w:color w:val="auto"/>
          <w:sz w:val="22"/>
          <w:szCs w:val="22"/>
          <w:rtl/>
        </w:rPr>
        <w:t xml:space="preserve">כנסה סתם, ונמצאו בה מומין - תצא שלא בכתובה. </w:t>
      </w:r>
      <w:r w:rsidR="004665E9">
        <w:rPr>
          <w:rStyle w:val="Style1Char"/>
          <w:rFonts w:hint="cs"/>
          <w:rtl/>
        </w:rPr>
        <w:t xml:space="preserve">(4.1, </w:t>
      </w:r>
      <w:r w:rsidR="00CA7B0C">
        <w:rPr>
          <w:rStyle w:val="Style1Char"/>
          <w:rFonts w:hint="cs"/>
          <w:rtl/>
        </w:rPr>
        <w:t>6</w:t>
      </w:r>
      <w:r w:rsidR="004665E9">
        <w:rPr>
          <w:rStyle w:val="Style1Char"/>
          <w:rFonts w:hint="cs"/>
          <w:rtl/>
        </w:rPr>
        <w:t>)</w:t>
      </w:r>
      <w:r w:rsidRPr="00056AAD">
        <w:rPr>
          <w:rStyle w:val="Style1Char"/>
          <w:color w:val="auto"/>
          <w:sz w:val="22"/>
          <w:szCs w:val="22"/>
          <w:rtl/>
        </w:rPr>
        <w:t>כל המומין הפוסלין בכהנים - פוסלין בנשים.</w:t>
      </w:r>
    </w:p>
    <w:p w14:paraId="2BEE09C6" w14:textId="77777777" w:rsidR="002165BA" w:rsidRPr="0090133A" w:rsidRDefault="002165BA" w:rsidP="002165BA">
      <w:pPr>
        <w:bidi/>
        <w:rPr>
          <w:rStyle w:val="Style1Char"/>
          <w:color w:val="4472C4" w:themeColor="accent1"/>
        </w:rPr>
      </w:pPr>
      <w:r w:rsidRPr="0090133A">
        <w:rPr>
          <w:rStyle w:val="Style1Char"/>
          <w:color w:val="4472C4" w:themeColor="accent1"/>
          <w:rtl/>
        </w:rPr>
        <w:t>תימה אמאי קאמר המקדש את האשה על מנת שאין עליה נדרים ושאין בה מומין אפי' קדשה בסתם נמי ונמצאו בה מומין אינה מקודשת כדאמרי' לעיל בפ' אף על פי (דף נז ב) דארוסה בת ישראל אינה אוכלת בתרומה שמא ימצא בה מום ונמצאת זרה למפרע אלמא אפי' בלא תנאי נמי מבטל מום הקידושין ומצינן למימר דלרב ניחא דקיימא סיפא ארישא דה"ה בסתם אינה מקודשת והאי דנקט על תנאי משום סיפא כנסה סתם תצא שלא בכתובה</w:t>
      </w:r>
      <w:r>
        <w:rPr>
          <w:rStyle w:val="Style1Char"/>
          <w:rFonts w:hint="cs"/>
          <w:color w:val="4472C4" w:themeColor="accent1"/>
        </w:rPr>
        <w:t>‍</w:t>
      </w:r>
      <w:r w:rsidRPr="0090133A">
        <w:rPr>
          <w:rStyle w:val="Style1Char"/>
          <w:color w:val="4472C4" w:themeColor="accent1"/>
          <w:rtl/>
        </w:rPr>
        <w:t xml:space="preserve"> אלא לשמואל דמפרש סיפא לא קאי ארישא אמאי לא קאמר המקדש את האשה סתם ונמצאו עליה נדרים אינה מקודשת וי"ל דנהי דחיישינן לסימפון ולא תאכל בתרומה מ"מ צריכה גט מדבריהם או מדאורייתא מספיקא ומיהו כתובה לית לה דאפילו נדרה תחתיו תניא לעיל (דף עא א) האשה שנדרה בנזיר אם אמר אי אפשי באשה נדרנית תצא שלא בכתובה וכן לרב נמי דאוקי מתני' בקדשה על תנאי וכנסה סתם ה"ה בקדשה סתם תצא שלא בכתובה אלא נקט קדשה על תנאי לאשמועינן דאפ"ה בעי גיטא לפי שאין אדם עושה בעילתו בעילת זנות ומש"ה גיטא בעיא. וא"ת הא נמצאת איילונית אפי' גט אינה צריכה כדמוכח בפ"ק דיבמות (ד' ב ב) דתנן וכולן שמתו או שמיאנו או שנמצאו איילונית צרותיהם מותרות אלמא מדשריא צרתה א"כ חשבינן קידושי אחותה קידושי טעות ואפי' גט מדרבנן לא בעי' דאי בעיא גט מדרבנן היתה צריכה חליצה מידי דהוה אכל שיכולה למאן ולא מיאנה צרתה חולצת ולא מתיבמת והיתה צרת ערוה מדרבנן אלא ודאי לא בעיא גיטא כלל ומ"ש שאר מומין ממום דאיילונית וי"ל דשאני מום דאיילונית דעיקר דעתו של אדם הנושא אשה בשביל בנים הלכך הוי קידושי טעות אבל בשאר מומין צריכה גט אפי' כנסה סתם דמספקא לן אם אין אדם חפץ באשה נדרנית או באשה בעלת מום או לא ולכך צריכה גט מספק מדבריהם</w:t>
      </w:r>
      <w:r w:rsidRPr="0090133A">
        <w:rPr>
          <w:rStyle w:val="Style1Char"/>
          <w:color w:val="4472C4" w:themeColor="accent1"/>
        </w:rPr>
        <w:t>:</w:t>
      </w:r>
    </w:p>
    <w:p w14:paraId="65F9AB12" w14:textId="29D8A698" w:rsidR="002165BA" w:rsidRPr="0090133A" w:rsidRDefault="002165BA" w:rsidP="002165BA">
      <w:pPr>
        <w:bidi/>
        <w:rPr>
          <w:rStyle w:val="Style1Char"/>
          <w:color w:val="4472C4" w:themeColor="accent1"/>
        </w:rPr>
      </w:pPr>
      <w:r w:rsidRPr="00EC66B0">
        <w:rPr>
          <w:rStyle w:val="Style1Char"/>
          <w:color w:val="auto"/>
          <w:sz w:val="22"/>
          <w:szCs w:val="22"/>
          <w:rtl/>
        </w:rPr>
        <w:t>גמ'.</w:t>
      </w:r>
      <w:r w:rsidRPr="00657C31">
        <w:rPr>
          <w:rStyle w:val="Style1Char"/>
          <w:color w:val="00B050"/>
          <w:rtl/>
        </w:rPr>
        <w:t xml:space="preserve"> ותנן נמי גבי קדושין כי האי גוונא! הכא כתובות איצטריכא ליה - תנא קדושין אטו כתובות, התם קדושין אצטריכא ליה - תנא כתובות אטו קדושין. </w:t>
      </w:r>
      <w:r w:rsidRPr="00EC66B0">
        <w:rPr>
          <w:rStyle w:val="Style1Char"/>
          <w:color w:val="auto"/>
          <w:sz w:val="22"/>
          <w:szCs w:val="22"/>
          <w:rtl/>
        </w:rPr>
        <w:t xml:space="preserve">א"ר יוחנן משום ר"ש בן יהוצדק, באלו נדרים אמרו: שלא תאכל בשר, ושלא תשתה יין, ושלא תתקשט בבגדי צבעונים. </w:t>
      </w:r>
      <w:r w:rsidRPr="00652D06">
        <w:rPr>
          <w:rStyle w:val="Style1Char"/>
          <w:sz w:val="22"/>
          <w:szCs w:val="22"/>
          <w:rtl/>
        </w:rPr>
        <w:t xml:space="preserve">תניא נמי הכי: </w:t>
      </w:r>
      <w:r w:rsidR="002F7A23">
        <w:rPr>
          <w:rStyle w:val="Style1Char"/>
          <w:rFonts w:hint="cs"/>
          <w:rtl/>
        </w:rPr>
        <w:t>(</w:t>
      </w:r>
      <w:r w:rsidR="00A06B54">
        <w:rPr>
          <w:rStyle w:val="Style1Char"/>
          <w:rFonts w:hint="cs"/>
          <w:rtl/>
        </w:rPr>
        <w:t>2</w:t>
      </w:r>
      <w:r w:rsidR="002F7A23">
        <w:rPr>
          <w:rStyle w:val="Style1Char"/>
          <w:rFonts w:hint="cs"/>
          <w:rtl/>
        </w:rPr>
        <w:t>)</w:t>
      </w:r>
      <w:r w:rsidRPr="00652D06">
        <w:rPr>
          <w:rStyle w:val="Style1Char"/>
          <w:sz w:val="22"/>
          <w:szCs w:val="22"/>
          <w:rtl/>
        </w:rPr>
        <w:t xml:space="preserve">באלו נדרים אמרו, </w:t>
      </w:r>
      <w:r w:rsidRPr="003961B2">
        <w:rPr>
          <w:rStyle w:val="Style1Char"/>
          <w:color w:val="00B050"/>
          <w:rtl/>
        </w:rPr>
        <w:t xml:space="preserve">דברים שיש בהן עינוי נפש: </w:t>
      </w:r>
      <w:r w:rsidRPr="00652D06">
        <w:rPr>
          <w:rStyle w:val="Style1Char"/>
          <w:sz w:val="22"/>
          <w:szCs w:val="22"/>
          <w:rtl/>
        </w:rPr>
        <w:t>שלא תאכל בשר, ושלא תשתה יין, ושלא תתקשט בבגדי צבעונין</w:t>
      </w:r>
      <w:r w:rsidRPr="00652D06">
        <w:rPr>
          <w:rStyle w:val="Style1Char"/>
          <w:rtl/>
        </w:rPr>
        <w:t xml:space="preserve"> </w:t>
      </w:r>
      <w:r w:rsidRPr="0090133A">
        <w:rPr>
          <w:rStyle w:val="Style1Char"/>
          <w:color w:val="4472C4" w:themeColor="accent1"/>
          <w:rtl/>
        </w:rPr>
        <w:t xml:space="preserve">ואף על פי שאמר ע"מ שאין עליה נדרים בסתם והוא אומר שמקפיד על כל נדרים ורוצה להוציאה בלא כתובה לא צייתינן ליה </w:t>
      </w:r>
      <w:r w:rsidRPr="003961B2">
        <w:rPr>
          <w:rStyle w:val="Style1Char"/>
          <w:color w:val="806000" w:themeColor="accent4" w:themeShade="80"/>
          <w:sz w:val="22"/>
          <w:szCs w:val="22"/>
          <w:rtl/>
        </w:rPr>
        <w:t>ודוקא נדרים אלו שיש בהם עינוי נפש</w:t>
      </w:r>
      <w:r w:rsidRPr="00C92303">
        <w:rPr>
          <w:rStyle w:val="Style1Char"/>
          <w:color w:val="4472C4" w:themeColor="accent1"/>
          <w:rtl/>
        </w:rPr>
        <w:t xml:space="preserve"> </w:t>
      </w:r>
      <w:r w:rsidRPr="0090133A">
        <w:rPr>
          <w:rStyle w:val="Style1Char"/>
          <w:color w:val="4472C4" w:themeColor="accent1"/>
          <w:rtl/>
        </w:rPr>
        <w:t>דדרך אדם להקפיד עליהם כגון אכילת בשר ושתיית יין ובגדי צבעונים הוי קפידא</w:t>
      </w:r>
      <w:r w:rsidRPr="005B614B">
        <w:rPr>
          <w:rStyle w:val="Style1Char"/>
          <w:sz w:val="22"/>
          <w:szCs w:val="22"/>
          <w:rtl/>
        </w:rPr>
        <w:t>.</w:t>
      </w:r>
      <w:r w:rsidRPr="00657C31">
        <w:rPr>
          <w:rStyle w:val="Style1Char"/>
          <w:color w:val="00B050"/>
          <w:rtl/>
        </w:rPr>
        <w:t xml:space="preserve"> הוי בה רב פפא, אהייא? אילימא ארישא, כיון דקא קפיד - אפילו כל מילי נמי! אלא אסיפא. רב אשי אמר: לעולם ארישא, ומידי </w:t>
      </w:r>
      <w:r w:rsidRPr="00C92303">
        <w:rPr>
          <w:rStyle w:val="Style1Char"/>
          <w:sz w:val="22"/>
          <w:szCs w:val="22"/>
          <w:rtl/>
        </w:rPr>
        <w:t xml:space="preserve">דקפדי בה אינשי </w:t>
      </w:r>
      <w:r w:rsidRPr="00657C31">
        <w:rPr>
          <w:rStyle w:val="Style1Char"/>
          <w:color w:val="00B050"/>
          <w:rtl/>
        </w:rPr>
        <w:t>- הוה קפידיה קפידא</w:t>
      </w:r>
      <w:r w:rsidRPr="00C92303">
        <w:rPr>
          <w:rStyle w:val="Style1Char"/>
          <w:rFonts w:hint="cs"/>
          <w:color w:val="4472C4" w:themeColor="accent1"/>
          <w:sz w:val="22"/>
          <w:szCs w:val="22"/>
        </w:rPr>
        <w:t>‍</w:t>
      </w:r>
      <w:r w:rsidRPr="00C92303">
        <w:rPr>
          <w:rStyle w:val="Style1Char"/>
          <w:color w:val="4472C4" w:themeColor="accent1"/>
          <w:sz w:val="22"/>
          <w:szCs w:val="22"/>
          <w:rtl/>
        </w:rPr>
        <w:t xml:space="preserve">אבל </w:t>
      </w:r>
      <w:r>
        <w:rPr>
          <w:rStyle w:val="Style1Char"/>
          <w:color w:val="00B050"/>
        </w:rPr>
        <w:t xml:space="preserve"> </w:t>
      </w:r>
      <w:r w:rsidRPr="0090133A">
        <w:rPr>
          <w:rStyle w:val="Style1Char"/>
          <w:color w:val="4472C4" w:themeColor="accent1"/>
          <w:rtl/>
        </w:rPr>
        <w:t xml:space="preserve">דברים </w:t>
      </w:r>
      <w:r w:rsidRPr="00835AC9">
        <w:rPr>
          <w:rStyle w:val="Style1Char"/>
          <w:rFonts w:hint="cs"/>
          <w:color w:val="C00000"/>
          <w:sz w:val="22"/>
          <w:szCs w:val="22"/>
          <w:rtl/>
        </w:rPr>
        <w:t>נ</w:t>
      </w:r>
      <w:r w:rsidRPr="00BD5E56">
        <w:rPr>
          <w:rStyle w:val="Style1Char"/>
          <w:color w:val="C00000"/>
          <w:sz w:val="22"/>
          <w:szCs w:val="22"/>
          <w:rtl/>
        </w:rPr>
        <w:t xml:space="preserve">דרים </w:t>
      </w:r>
      <w:r w:rsidRPr="00C92303">
        <w:rPr>
          <w:rStyle w:val="Style1Char"/>
          <w:color w:val="806000" w:themeColor="accent4" w:themeShade="80"/>
          <w:sz w:val="22"/>
          <w:szCs w:val="22"/>
          <w:rtl/>
        </w:rPr>
        <w:t>שאין בהן עינוי נפש כגון קליות ואגוזים</w:t>
      </w:r>
      <w:r w:rsidRPr="00BD5E56">
        <w:rPr>
          <w:rStyle w:val="Style1Char"/>
          <w:color w:val="C00000"/>
          <w:sz w:val="22"/>
          <w:szCs w:val="22"/>
          <w:rtl/>
        </w:rPr>
        <w:t xml:space="preserve"> וכיוצא בהן שאין בהם עינוי נפש ו</w:t>
      </w:r>
      <w:r w:rsidRPr="00291C92">
        <w:rPr>
          <w:rStyle w:val="Style1Char"/>
          <w:color w:val="806000" w:themeColor="accent4" w:themeShade="80"/>
          <w:sz w:val="22"/>
          <w:szCs w:val="22"/>
          <w:rtl/>
        </w:rPr>
        <w:t>לא קפדי בהו אינשי אינה יוצאה בלא כתובה אף על גב דקפיד בהו איהו כיון</w:t>
      </w:r>
      <w:r w:rsidRPr="00657C31">
        <w:rPr>
          <w:rStyle w:val="Style1Char"/>
          <w:color w:val="00B050"/>
          <w:rtl/>
        </w:rPr>
        <w:t xml:space="preserve">, מידי </w:t>
      </w:r>
      <w:r w:rsidRPr="00291C92">
        <w:rPr>
          <w:rStyle w:val="Style1Char"/>
          <w:color w:val="auto"/>
          <w:sz w:val="22"/>
          <w:szCs w:val="22"/>
          <w:rtl/>
        </w:rPr>
        <w:t>דלא קפדי בה אינשי - לא הוי קפידיה קפידא</w:t>
      </w:r>
      <w:r w:rsidRPr="00291C92">
        <w:rPr>
          <w:rStyle w:val="Style1Char"/>
          <w:color w:val="4472C4" w:themeColor="accent1"/>
          <w:rtl/>
        </w:rPr>
        <w:t xml:space="preserve"> </w:t>
      </w:r>
      <w:r w:rsidRPr="0090133A">
        <w:rPr>
          <w:rStyle w:val="Style1Char"/>
          <w:color w:val="4472C4" w:themeColor="accent1"/>
          <w:rtl/>
        </w:rPr>
        <w:t>ואף על גב דאמרי' לעיל המדיר את אשתו שלא תטעום אחד מכל הפירות למ"ד היא נותנת אצבע בין שיניה תצא שלא בכתובה היינו דווקא בנדרה כשהיא תחתיו שהבעל רוצה שתהיה מוראו עליה ולא תדור תחתיו אבל היכא שנדרה מעיקרא אין קפידא אלא בהנך ודווקא כשהתנה ע"מ שאין עליה נדרים בסתם אבל אם פירש ע"מ שאין עליה שום נדר אפי' בנדר כל דהו תצא שלא בכתובה והכי איתא בירושלמי א"ר יוסי מתני' כשאמר ע"מ שאין עליה נדרים אבל אם אמר ע"מ שאין עליה כל נדר אפי' נדרה שלא לאכול חרובין נדר הוא</w:t>
      </w:r>
      <w:r w:rsidRPr="0090133A">
        <w:rPr>
          <w:rStyle w:val="Style1Char"/>
          <w:color w:val="4472C4" w:themeColor="accent1"/>
        </w:rPr>
        <w:t xml:space="preserve">: </w:t>
      </w:r>
    </w:p>
    <w:p w14:paraId="3624CFF2" w14:textId="28BE29BE" w:rsidR="002165BA" w:rsidRDefault="002165BA" w:rsidP="002165BA">
      <w:pPr>
        <w:bidi/>
        <w:rPr>
          <w:rStyle w:val="Style1Char"/>
          <w:color w:val="00B050"/>
          <w:rtl/>
        </w:rPr>
      </w:pPr>
      <w:r w:rsidRPr="00F02D1B">
        <w:rPr>
          <w:rStyle w:val="Style1Char"/>
          <w:color w:val="auto"/>
          <w:rtl/>
        </w:rPr>
        <w:t xml:space="preserve">. </w:t>
      </w:r>
      <w:r w:rsidRPr="00F02D1B">
        <w:rPr>
          <w:rStyle w:val="Style1Char"/>
          <w:color w:val="auto"/>
          <w:sz w:val="22"/>
          <w:szCs w:val="22"/>
          <w:rtl/>
        </w:rPr>
        <w:t xml:space="preserve">איתמר: קידשה על תנאי וכנסה סתם, רב אמר: </w:t>
      </w:r>
      <w:r w:rsidR="00A06B54">
        <w:rPr>
          <w:rStyle w:val="Style1Char"/>
          <w:rFonts w:hint="cs"/>
          <w:rtl/>
        </w:rPr>
        <w:t>(7)</w:t>
      </w:r>
      <w:r w:rsidRPr="00F02D1B">
        <w:rPr>
          <w:rStyle w:val="Style1Char"/>
          <w:color w:val="auto"/>
          <w:sz w:val="22"/>
          <w:szCs w:val="22"/>
          <w:rtl/>
        </w:rPr>
        <w:t>צריכה הימנו גט, ושמואל אמר: אינה צריכה הימנו גט</w:t>
      </w:r>
      <w:r w:rsidRPr="00A34818">
        <w:rPr>
          <w:rStyle w:val="Style1Char"/>
          <w:sz w:val="22"/>
          <w:szCs w:val="22"/>
          <w:rtl/>
        </w:rPr>
        <w:t xml:space="preserve">. </w:t>
      </w:r>
      <w:r w:rsidRPr="00657C31">
        <w:rPr>
          <w:rStyle w:val="Style1Char"/>
          <w:color w:val="00B050"/>
          <w:rtl/>
        </w:rPr>
        <w:t xml:space="preserve">אמר אביי: </w:t>
      </w:r>
    </w:p>
    <w:p w14:paraId="76CAEBDA" w14:textId="1C9298BF" w:rsidR="002F6A38" w:rsidRDefault="002F6A38" w:rsidP="002F6A38">
      <w:pPr>
        <w:pStyle w:val="Style1"/>
        <w:rPr>
          <w:rStyle w:val="Style1Char"/>
          <w:rtl/>
        </w:rPr>
      </w:pPr>
      <w:r>
        <w:rPr>
          <w:rStyle w:val="Style1Char"/>
          <w:rFonts w:hint="cs"/>
          <w:rtl/>
        </w:rPr>
        <w:t>1)[</w:t>
      </w:r>
      <w:r w:rsidRPr="002F6A38">
        <w:rPr>
          <w:rStyle w:val="Style1Char"/>
          <w:rtl/>
        </w:rPr>
        <w:t>רמב</w:t>
      </w:r>
      <w:r w:rsidR="00213DA1">
        <w:rPr>
          <w:rStyle w:val="Style1Char"/>
          <w:rtl/>
        </w:rPr>
        <w:t>”ם \נשים\</w:t>
      </w:r>
      <w:r w:rsidRPr="002F6A38">
        <w:rPr>
          <w:rStyle w:val="Style1Char"/>
          <w:rtl/>
        </w:rPr>
        <w:t xml:space="preserve"> הלכות אישות פרק כד הלכה יב</w:t>
      </w:r>
      <w:r>
        <w:rPr>
          <w:rStyle w:val="Style1Char"/>
          <w:rFonts w:hint="cs"/>
          <w:rtl/>
        </w:rPr>
        <w:t xml:space="preserve">] </w:t>
      </w:r>
      <w:r w:rsidRPr="002F6A38">
        <w:rPr>
          <w:rStyle w:val="Style1Char"/>
          <w:rtl/>
        </w:rPr>
        <w:t>ואיזו היא דת יהודית, הוא מנהג הצניעות שנהגו בנות ישראל, ואלו הן הדברים שאם עשת אחד מהן עברה על דת יהודית: יוצאה לשוק או למבוי מפולש וראשה פרוע ואין עליה רדיד ככל הנשים, אף על פי ששערה מכוסה במטפחת, או שהיתה טווה בשוק וורד וכיוצא בו כנגד פניה על פדחתה או על לחיה כדרך שעושות הגויות הפרוצות, או שטווה בשוק ומראה זרועותיה לבני אדם, או שהיתה משחקת עם הבחורים, או שהיתה תובעת התשמיש מבעלה בקול רם עד ששכנותיה שומעות אותה מדברת על עסקי תשמיש, או שהיתה מקללת אבי בעלה בפני בעלה.</w:t>
      </w:r>
    </w:p>
    <w:p w14:paraId="2CE90D67" w14:textId="5AA34A68" w:rsidR="00B9669E" w:rsidRPr="00EF7A92" w:rsidRDefault="00B9669E" w:rsidP="00B9669E">
      <w:pPr>
        <w:pStyle w:val="Style1"/>
      </w:pPr>
      <w:r>
        <w:rPr>
          <w:rFonts w:hint="cs"/>
          <w:rtl/>
        </w:rPr>
        <w:lastRenderedPageBreak/>
        <w:t>1)[</w:t>
      </w:r>
      <w:r>
        <w:rPr>
          <w:rtl/>
        </w:rPr>
        <w:t>שולחן ערוך אבן העזר הלכות כתובות סימן קטו סעיף ד</w:t>
      </w:r>
      <w:r>
        <w:rPr>
          <w:rFonts w:hint="cs"/>
          <w:rtl/>
        </w:rPr>
        <w:t xml:space="preserve">] </w:t>
      </w:r>
      <w:r w:rsidRPr="00EF7A92">
        <w:rPr>
          <w:rtl/>
        </w:rPr>
        <w:t>איזו היא דת יהודית, הוא מנהג הצניעות שנהגו בנות ישראל. ואלו הם הדברים שאם עשתה אחת מהם עברה על דת יהודית: יוצאת לשוק או למבוי מפלש או בחצר שהרבים בוקעים בו וראשה פרוע ואין עליה רדיד ככל הנשים, אף על פי ששערה מכסה במטפחת; או שהיתה טווה בשוק וורד וכיוצא בו כנגד פניה על פדחתה או לחיה, כדרך שעושות הגויות הפרוצות; או שטווה בשוק ומראה זרועותיה לבני אדם</w:t>
      </w:r>
      <w:r w:rsidRPr="00EF7A92">
        <w:t>, </w:t>
      </w:r>
      <w:r w:rsidRPr="00EF7A92">
        <w:rPr>
          <w:rFonts w:hint="cs"/>
          <w:rtl/>
        </w:rPr>
        <w:t>ורגילה בכך (רשב"א סימן תקע"א)</w:t>
      </w:r>
      <w:r w:rsidRPr="00EF7A92">
        <w:t xml:space="preserve">; </w:t>
      </w:r>
      <w:r w:rsidRPr="00EF7A92">
        <w:rPr>
          <w:rtl/>
        </w:rPr>
        <w:t>או שהיתה משחקת עם הבחורים; או שהיתה תובעת התשמיש בקול רם מבעלה עד ששכנותיה שומעות אותה מדברת על עסקי תשמיש; או שהיתה מקללת אבי בעלה בפני בעלה</w:t>
      </w:r>
      <w:r w:rsidRPr="00EF7A92">
        <w:t>, </w:t>
      </w:r>
      <w:r w:rsidRPr="00EF7A92">
        <w:rPr>
          <w:rFonts w:hint="cs"/>
          <w:rtl/>
        </w:rPr>
        <w:t>ויש אומרים דהוא הדין אם קללה אפלו אבי בעלה בפני עצמו (וכן משמע מפרש"י בגמרא הביאו הבית יוסף), ועין לקמן </w:t>
      </w:r>
      <w:hyperlink r:id="rId175" w:tooltip="שולחן ערוך אבן העזר קנד" w:history="1">
        <w:r w:rsidRPr="00EF7A92">
          <w:rPr>
            <w:rStyle w:val="Hyperlink"/>
            <w:rFonts w:hint="cs"/>
            <w:color w:val="7030A0"/>
            <w:u w:val="none"/>
            <w:rtl/>
          </w:rPr>
          <w:t>סימן קנ"ד</w:t>
        </w:r>
      </w:hyperlink>
      <w:r w:rsidRPr="00EF7A92">
        <w:rPr>
          <w:rFonts w:hint="cs"/>
        </w:rPr>
        <w:t xml:space="preserve">, </w:t>
      </w:r>
      <w:r w:rsidRPr="00EF7A92">
        <w:rPr>
          <w:rFonts w:hint="cs"/>
          <w:rtl/>
        </w:rPr>
        <w:t>הוא הדין המקללת בעלה בפניו (הרמב"ן סימן ק"ב)</w:t>
      </w:r>
      <w:r w:rsidRPr="00EF7A92">
        <w:t>;</w:t>
      </w:r>
    </w:p>
    <w:p w14:paraId="03B3F0CD" w14:textId="77777777" w:rsidR="00B9669E" w:rsidRPr="00EF7A92" w:rsidRDefault="00B9669E" w:rsidP="00B9669E">
      <w:pPr>
        <w:pStyle w:val="Style1"/>
      </w:pPr>
      <w:r w:rsidRPr="00EF7A92">
        <w:rPr>
          <w:rtl/>
        </w:rPr>
        <w:t>בכל אחד מאלו תצא בלא כתבה, אם יש עדים שהתרה בה תחלה ועברה על התראתו. ואם אין עדים, תשבע שהוא כדבריה. ואם רצה לקים אותה אחר כך, אין כופין אותו להוציאה, מכל מקום מצוה עליו שיוציאנה</w:t>
      </w:r>
      <w:r w:rsidRPr="00EF7A92">
        <w:t>.</w:t>
      </w:r>
    </w:p>
    <w:p w14:paraId="2929ADC8" w14:textId="61762435" w:rsidR="00B9669E" w:rsidRDefault="00B9669E" w:rsidP="00B9669E">
      <w:pPr>
        <w:pStyle w:val="Style1"/>
        <w:rPr>
          <w:rtl/>
        </w:rPr>
      </w:pPr>
      <w:r w:rsidRPr="00EF7A92">
        <w:rPr>
          <w:rFonts w:hint="cs"/>
          <w:rtl/>
        </w:rPr>
        <w:t>הגה: ואינה יכולה לעכב על ידו שלא יגרשנה, ויכול לגרשה בעל כרחה, ואין בזה משום חרם רבנו גרשם (תשובת מור"ם בהגהות מרדכי דיבמות וכן הוא ברשב"א סימן תקנ"ז). ואשה שגזמה לבעלה שרצונה להשכיר עליו כותים להרגו אם יעשה לה דבר, מקרי עוברת על דת (הגהות מימוני פרק כ"ד). אשה הרגילה להתיחד עם כותים, נקראת עוברת על דת</w:t>
      </w:r>
      <w:r w:rsidRPr="00EF7A92">
        <w:rPr>
          <w:rFonts w:hint="cs"/>
        </w:rPr>
        <w:t xml:space="preserve"> (</w:t>
      </w:r>
      <w:hyperlink r:id="rId176" w:tooltip="תרומת הדשן/א/רמב" w:history="1">
        <w:r w:rsidRPr="00EF7A92">
          <w:rPr>
            <w:rStyle w:val="Hyperlink"/>
            <w:rFonts w:hint="cs"/>
            <w:color w:val="7030A0"/>
            <w:u w:val="none"/>
            <w:rtl/>
          </w:rPr>
          <w:t>תרומת הדשן סימן רמ"ב</w:t>
        </w:r>
      </w:hyperlink>
      <w:r w:rsidRPr="00EF7A92">
        <w:rPr>
          <w:rFonts w:hint="cs"/>
        </w:rPr>
        <w:t>)</w:t>
      </w:r>
      <w:r w:rsidRPr="00EF7A92">
        <w:t>:</w:t>
      </w:r>
    </w:p>
    <w:p w14:paraId="0C57FE44" w14:textId="2DFE62D4" w:rsidR="00CA7543" w:rsidRDefault="00CA7543" w:rsidP="00CA7543">
      <w:pPr>
        <w:pStyle w:val="Style1"/>
        <w:rPr>
          <w:rtl/>
        </w:rPr>
      </w:pPr>
      <w:r>
        <w:rPr>
          <w:rFonts w:hint="cs"/>
          <w:rtl/>
        </w:rPr>
        <w:t>2)[</w:t>
      </w:r>
      <w:r>
        <w:rPr>
          <w:rtl/>
        </w:rPr>
        <w:t>רמב</w:t>
      </w:r>
      <w:r w:rsidR="00213DA1">
        <w:rPr>
          <w:rtl/>
        </w:rPr>
        <w:t>”ם \נשים\</w:t>
      </w:r>
      <w:r>
        <w:rPr>
          <w:rtl/>
        </w:rPr>
        <w:t xml:space="preserve"> הלכות אישות פרק ז הלכה ו</w:t>
      </w:r>
      <w:r>
        <w:rPr>
          <w:rFonts w:hint="cs"/>
          <w:rtl/>
        </w:rPr>
        <w:t xml:space="preserve">] </w:t>
      </w:r>
      <w:r>
        <w:rPr>
          <w:rtl/>
        </w:rPr>
        <w:t>האומר לאשה הרי את מקודשת לי בזה על מנת שאין עליך נדרים ונמצא עליה אחד משלשה נדרים אלו שלא תאכל בשר או שלא תשתה יין או שלא תתקשט במיני צבעונין אינה מקודשת, נמצא עליה נדר חוץ מאלו אף על פי שהוא אומר מקפיד אני אפילו על זה הרי זו מקודשת, ואם אמר לה על מנת שאין עליך כל נדר אפילו נמצאת שנדרה שלא תאכל חרובין אינה מקודשת.</w:t>
      </w:r>
    </w:p>
    <w:p w14:paraId="406C421F" w14:textId="29C5C460" w:rsidR="0075464B" w:rsidRPr="0075464B" w:rsidRDefault="00704348" w:rsidP="0075464B">
      <w:pPr>
        <w:pStyle w:val="Style1"/>
      </w:pPr>
      <w:r>
        <w:rPr>
          <w:rFonts w:hint="cs"/>
          <w:rtl/>
        </w:rPr>
        <w:t>2)[</w:t>
      </w:r>
      <w:r>
        <w:rPr>
          <w:rtl/>
        </w:rPr>
        <w:t>שולחן ערוך אבן העזר הלכות קידושין סימן לט סעיף א</w:t>
      </w:r>
      <w:r>
        <w:rPr>
          <w:rFonts w:hint="cs"/>
          <w:rtl/>
        </w:rPr>
        <w:t>]</w:t>
      </w:r>
      <w:r w:rsidR="0075464B">
        <w:rPr>
          <w:rFonts w:hint="cs"/>
          <w:rtl/>
        </w:rPr>
        <w:t xml:space="preserve"> </w:t>
      </w:r>
      <w:r w:rsidR="0075464B" w:rsidRPr="0075464B">
        <w:rPr>
          <w:rtl/>
        </w:rPr>
        <w:t>המקדש את האשה על מנת שאין עליה נדרים, ונמצא עליה אחד משלשה נדרים אלו שדרך בני אדם להקפיד עליהם: שלא תאכל בשר, או שלא תשתה יין, או שלא תתקשט במיני צבעונים - אינה מקודשת</w:t>
      </w:r>
      <w:r w:rsidR="0075464B" w:rsidRPr="0075464B">
        <w:t>. </w:t>
      </w:r>
      <w:r w:rsidR="0075464B" w:rsidRPr="0075464B">
        <w:rPr>
          <w:rFonts w:hint="cs"/>
          <w:rtl/>
        </w:rPr>
        <w:t>ואינה צריכה גט</w:t>
      </w:r>
      <w:r w:rsidR="0075464B" w:rsidRPr="0075464B">
        <w:rPr>
          <w:rtl/>
        </w:rPr>
        <w:t> </w:t>
      </w:r>
      <w:r w:rsidR="0075464B" w:rsidRPr="0075464B">
        <w:t>(</w:t>
      </w:r>
      <w:r w:rsidR="0075464B" w:rsidRPr="0075464B">
        <w:rPr>
          <w:rtl/>
        </w:rPr>
        <w:t>טור</w:t>
      </w:r>
      <w:r w:rsidR="0075464B" w:rsidRPr="0075464B">
        <w:t>).</w:t>
      </w:r>
    </w:p>
    <w:p w14:paraId="14316AB8" w14:textId="47A01913" w:rsidR="0075464B" w:rsidRDefault="0075464B" w:rsidP="0075464B">
      <w:pPr>
        <w:pStyle w:val="Style1"/>
      </w:pPr>
      <w:r w:rsidRPr="0075464B">
        <w:rPr>
          <w:rtl/>
        </w:rPr>
        <w:t>והוא הדין לנדרים שבינו לבינה דהוי בכלל נדרים שדרך בני אדם להקפיד עליהם. נמצא עליה נדר חוץ מאלו, אף על פי שהוא אומר: מקפיד אני אפילו על זה, הרי זו מקודשת. ואם אמר לה: על מנת שאין עליך כל נדר, אפילו נמצא שנדרה שלא תאכל חרובין, אינה מקודשת. ויש מי שאומר שחוששין שמא תלך אצל חכם ויתיר לה </w:t>
      </w:r>
      <w:r w:rsidRPr="0075464B">
        <w:rPr>
          <w:rFonts w:hint="cs"/>
          <w:rtl/>
        </w:rPr>
        <w:t>ולכן אסורה להנשא בלא גט</w:t>
      </w:r>
      <w:r w:rsidRPr="0075464B">
        <w:t>:</w:t>
      </w:r>
    </w:p>
    <w:p w14:paraId="63EED18E" w14:textId="1F9641A4" w:rsidR="00AF458F" w:rsidRDefault="00AF458F" w:rsidP="00AF458F">
      <w:pPr>
        <w:pStyle w:val="Style1"/>
        <w:rPr>
          <w:rtl/>
        </w:rPr>
      </w:pPr>
      <w:r>
        <w:rPr>
          <w:rFonts w:hint="cs"/>
          <w:rtl/>
        </w:rPr>
        <w:t>3)[</w:t>
      </w:r>
      <w:r>
        <w:rPr>
          <w:rtl/>
        </w:rPr>
        <w:t>רמב</w:t>
      </w:r>
      <w:r w:rsidR="00213DA1">
        <w:rPr>
          <w:rtl/>
        </w:rPr>
        <w:t>”ם \נשים\</w:t>
      </w:r>
      <w:r>
        <w:rPr>
          <w:rtl/>
        </w:rPr>
        <w:t xml:space="preserve"> הלכות אישות פרק כה הלכה א</w:t>
      </w:r>
      <w:r>
        <w:rPr>
          <w:rFonts w:hint="cs"/>
          <w:rtl/>
        </w:rPr>
        <w:t xml:space="preserve">] </w:t>
      </w:r>
      <w:r>
        <w:rPr>
          <w:rtl/>
        </w:rPr>
        <w:t>הנושא אשה סתם ונמצאו עליה נדרים תצא בלא כתובה לא עיקר ולא תוספת, באלו נדרים אמרו, שלא תאכל בשר או שלא תשתה יין או שלא תתקשט במיני צבעונין והוא הדין לשאר המינים שדרך כל נשי המקום להתקשט בהן, אבל נמצא עליה נדר אחר חוץ מאלו לא הפסידה כלום.</w:t>
      </w:r>
    </w:p>
    <w:p w14:paraId="4F8FC94E" w14:textId="44EA1766" w:rsidR="00AA13E0" w:rsidRDefault="00AA13E0" w:rsidP="00AA13E0">
      <w:pPr>
        <w:pStyle w:val="Style1"/>
        <w:rPr>
          <w:rtl/>
        </w:rPr>
      </w:pPr>
      <w:r>
        <w:rPr>
          <w:rFonts w:hint="cs"/>
          <w:rtl/>
        </w:rPr>
        <w:t>3)[</w:t>
      </w:r>
      <w:r>
        <w:rPr>
          <w:rtl/>
        </w:rPr>
        <w:t>שולחן ערוך אבן העזר הלכות כתובות סימן קיז סעיף ג</w:t>
      </w:r>
      <w:r>
        <w:rPr>
          <w:rFonts w:hint="cs"/>
          <w:rtl/>
        </w:rPr>
        <w:t xml:space="preserve">] </w:t>
      </w:r>
      <w:r>
        <w:rPr>
          <w:rtl/>
        </w:rPr>
        <w:t>הנושא אשה, סתם, ונמצאו עליה נדרים שנתבארו בסימן ל"ט, תצא בלא כתובה, לא עיקר י ולא תוספת.</w:t>
      </w:r>
    </w:p>
    <w:p w14:paraId="63906AEF" w14:textId="3F3B63A8" w:rsidR="000D3EF7" w:rsidRDefault="000D3EF7" w:rsidP="000D3EF7">
      <w:pPr>
        <w:pStyle w:val="Style1"/>
        <w:rPr>
          <w:rtl/>
        </w:rPr>
      </w:pPr>
      <w:r>
        <w:rPr>
          <w:rFonts w:hint="cs"/>
          <w:rtl/>
        </w:rPr>
        <w:t>4)[</w:t>
      </w:r>
      <w:r>
        <w:rPr>
          <w:rtl/>
        </w:rPr>
        <w:t>רמב</w:t>
      </w:r>
      <w:r w:rsidR="00213DA1">
        <w:rPr>
          <w:rtl/>
        </w:rPr>
        <w:t>”ם \נשים\</w:t>
      </w:r>
      <w:r>
        <w:rPr>
          <w:rtl/>
        </w:rPr>
        <w:t xml:space="preserve"> הלכות אישות פרק ז הלכה ז</w:t>
      </w:r>
      <w:r>
        <w:rPr>
          <w:rFonts w:hint="cs"/>
          <w:rtl/>
        </w:rPr>
        <w:t xml:space="preserve">] </w:t>
      </w:r>
      <w:r>
        <w:rPr>
          <w:rtl/>
        </w:rPr>
        <w:t>הרי את מקודשת לי בזה על מנת שאין בך מומין ונמצא בה אחד מן המומין הפוסלין בנשים אינה מקודשת, נמצא בה מום אחר חוץ מאותן המומין אף על פי שאמר מקפיד אני אפילו על זה הרי זו מקודשת. ומה הן המומין הפוסלין בנשים, כל המומין הפוסלין בכהנים פוסלין בנשים, ובהלכות ביאת המקדש יתבארו כל מומי הכהנים, ויתר עליהן בנשים ריח הרע וזיעה וריח הפה וקול עבה, ודדין גסין מחברותיה טפח, וטפח בין דד לדד, ונשיכת כלב ונעשה המקום צלקת, ושומא שעל הפדחת אפילו היתה קטנה ביותר ואפילו קרובה משער ראשה ואף על פי שאין בה שיער, וזו היא השומא שיתירה אשה על הכהנים. אבל אם היתה שומא שיש בה שיער בשאר הפנים או שומא גדולה כאיסר אף על פי שאין בה שיער הרי זה מום בין בכהנים בין בנשים.</w:t>
      </w:r>
    </w:p>
    <w:p w14:paraId="358B4204" w14:textId="21C5F79F" w:rsidR="000056AA" w:rsidRDefault="000056AA" w:rsidP="000056AA">
      <w:pPr>
        <w:pStyle w:val="Style1"/>
        <w:rPr>
          <w:rtl/>
        </w:rPr>
      </w:pPr>
      <w:r>
        <w:rPr>
          <w:rFonts w:hint="cs"/>
          <w:rtl/>
        </w:rPr>
        <w:t>4)[</w:t>
      </w:r>
      <w:r>
        <w:rPr>
          <w:rtl/>
        </w:rPr>
        <w:t>שולחן ערוך אבן העזר הלכות קידושין סימן לט סעיף ג</w:t>
      </w:r>
      <w:r>
        <w:rPr>
          <w:rFonts w:hint="cs"/>
          <w:rtl/>
        </w:rPr>
        <w:t xml:space="preserve">] </w:t>
      </w:r>
      <w:r>
        <w:rPr>
          <w:rtl/>
        </w:rPr>
        <w:t>המקדש את האשה על מנת שאין בה מומין, ונמצאו בה א' מן המומין הפוסלים בנשים, אינה מקודשת. נמצא בה מום אחר חוץ מאותן המומין, אף על פי שאמר: מקפיד אני אפי' על זה, הרי זו מקודשת.</w:t>
      </w:r>
    </w:p>
    <w:p w14:paraId="42B960F5" w14:textId="7701CC89" w:rsidR="008538CC" w:rsidRDefault="008538CC" w:rsidP="008538CC">
      <w:pPr>
        <w:pStyle w:val="Style1"/>
        <w:rPr>
          <w:rtl/>
        </w:rPr>
      </w:pPr>
      <w:r>
        <w:rPr>
          <w:rFonts w:hint="cs"/>
          <w:rtl/>
        </w:rPr>
        <w:t>5)[</w:t>
      </w:r>
      <w:r>
        <w:rPr>
          <w:rtl/>
        </w:rPr>
        <w:t>רמב</w:t>
      </w:r>
      <w:r w:rsidR="00213DA1">
        <w:rPr>
          <w:rtl/>
        </w:rPr>
        <w:t>”ם \נשים\</w:t>
      </w:r>
      <w:r>
        <w:rPr>
          <w:rtl/>
        </w:rPr>
        <w:t xml:space="preserve"> הלכות אישות פרק כה הלכה ב</w:t>
      </w:r>
      <w:r>
        <w:rPr>
          <w:rFonts w:hint="cs"/>
          <w:rtl/>
        </w:rPr>
        <w:t xml:space="preserve">] </w:t>
      </w:r>
      <w:r>
        <w:rPr>
          <w:rtl/>
        </w:rPr>
        <w:t>וכן הכונס אשה סתם ונמצא בה מום ממומי נשים שכבר ביארנום ולא ידע הבעל במום זה ולא שמע בו ורצה, הרי זו תצא בלא כתובה לא עיקר ולא תוספת. כיצד היה מרחץ בעיר</w:t>
      </w:r>
      <w:r w:rsidR="00FD6F60">
        <w:rPr>
          <w:rFonts w:hint="cs"/>
          <w:rtl/>
        </w:rPr>
        <w:t xml:space="preserve"> </w:t>
      </w:r>
      <w:r>
        <w:rPr>
          <w:rtl/>
        </w:rPr>
        <w:t>והיו לו קרובים אינו יכול לומר לא ידעתי מומין אלו ואפילו מומין שבסתר מפני שהוא בודק בקרובותיו וחזקה ששמע ורצה, ואם אין שם מרחץ או שלא היו לו קרובים טוען במומין שבסתר, ונכפה בעתים ידועים הרי הוא ממומי סתר אבל במומין שבגלוי אינו יכול לטעון שהרי הכל רואין אותן ואומרין לו וחזקתו ששמע ונתפייס. דבר ידוע הוא שאין דין זה אלא באותן המקומות שהיה מנהג הנשים שם להלך בשוק ופניהן גלויות והכל יודעין אותן ואומרין זו היא בתו של פלוני וזו היא אחותו של פלוני כמו ערי אדום בזמן הזה, אבל מקומות שאין דרך הבנות שם לצאת לשוק כלל ואם תצא הבת למרחץ בנשף תצא מתנכרה ולא יראה אותה אדם חוץ מקרובותיה הרי זה טוען אף במומין שבגלוי, והוא שלא היה שם מרחץ ושלא היתה לו קרובה לבדוק בה. אבל אם היה שם מרחץ בעיר זו שאין דרך הנשים לצאת בה ופניהם מגולות אם יש לו קרובה אינו יכול לטעון שהרי הכל רואין אותה ערומה במרחץ, ואם דרכן להחבא ולהתנכר אף במרחץ ושתהיה הבת רוחצת בלילה או בבית קטן שבמרחץ לבדה עד שלא תראה ולא תודע הרי זה טוען אף במומין שבגלוי, שדברים אלו דברים של טעם הם ואינם גזירת הכתוב.</w:t>
      </w:r>
    </w:p>
    <w:p w14:paraId="52216BC4" w14:textId="6A4F1B13" w:rsidR="008775AE" w:rsidRDefault="008775AE" w:rsidP="008775AE">
      <w:pPr>
        <w:pStyle w:val="Style1"/>
        <w:rPr>
          <w:rtl/>
        </w:rPr>
      </w:pPr>
      <w:r>
        <w:rPr>
          <w:rFonts w:hint="cs"/>
          <w:rtl/>
        </w:rPr>
        <w:t>5)[</w:t>
      </w:r>
      <w:r>
        <w:rPr>
          <w:rtl/>
        </w:rPr>
        <w:t>שולחן ערוך אבן העזר הלכות כתובות סימן קיז סעיף ד</w:t>
      </w:r>
      <w:r>
        <w:rPr>
          <w:rFonts w:hint="cs"/>
          <w:rtl/>
        </w:rPr>
        <w:t xml:space="preserve">] </w:t>
      </w:r>
      <w:r>
        <w:rPr>
          <w:rtl/>
        </w:rPr>
        <w:t>וכן הכונס אשה, סתם, ונמצא בה מום ממומי הנשים שנתבארו בסי' ל"ט, ולא ידע הבעל במום זה, תצא בלא כתובה, לא עיקר ולא תוספת.</w:t>
      </w:r>
    </w:p>
    <w:p w14:paraId="326B0212" w14:textId="452696CE" w:rsidR="00B543C0" w:rsidRPr="00B543C0" w:rsidRDefault="00A57174" w:rsidP="00B543C0">
      <w:pPr>
        <w:pStyle w:val="Style1"/>
      </w:pPr>
      <w:r>
        <w:rPr>
          <w:rFonts w:hint="cs"/>
          <w:rtl/>
        </w:rPr>
        <w:t>6)[</w:t>
      </w:r>
      <w:r w:rsidR="00BD13BD">
        <w:rPr>
          <w:rtl/>
        </w:rPr>
        <w:t>שולחן ערוך אבן העזר הלכות קידושין סימן לט סעיף ד</w:t>
      </w:r>
      <w:r>
        <w:rPr>
          <w:rFonts w:hint="cs"/>
          <w:rtl/>
        </w:rPr>
        <w:t>]</w:t>
      </w:r>
      <w:r w:rsidR="00B543C0">
        <w:rPr>
          <w:rFonts w:hint="cs"/>
          <w:rtl/>
        </w:rPr>
        <w:t xml:space="preserve"> </w:t>
      </w:r>
      <w:r w:rsidR="00B543C0" w:rsidRPr="00B543C0">
        <w:rPr>
          <w:rtl/>
        </w:rPr>
        <w:t>ומה הן המומין הפוסלים בנשים?    כל המומין הפוסלים בכהנים פוסלים בנשים, ויותר עליהם בנשים: ריח רע, וזיעה, וריח הפה</w:t>
      </w:r>
      <w:r w:rsidR="00B543C0" w:rsidRPr="00B543C0">
        <w:t>, </w:t>
      </w:r>
      <w:r w:rsidR="00B543C0" w:rsidRPr="00B543C0">
        <w:rPr>
          <w:rFonts w:hint="cs"/>
          <w:rtl/>
        </w:rPr>
        <w:t>ויש אומרים דאף ריח החוטם (מרדכי בשם הר"ם)</w:t>
      </w:r>
      <w:r w:rsidR="00B543C0" w:rsidRPr="00B543C0">
        <w:t xml:space="preserve">, </w:t>
      </w:r>
      <w:r w:rsidR="00B543C0" w:rsidRPr="00B543C0">
        <w:rPr>
          <w:rtl/>
        </w:rPr>
        <w:t>וקול עבה, ודדיה גסים מחברותיה טפח, וטפח בין דד לדד, ונשיכת כלב ונעשה המקום צלקת</w:t>
      </w:r>
      <w:r w:rsidR="00B543C0" w:rsidRPr="00B543C0">
        <w:t xml:space="preserve"> (</w:t>
      </w:r>
      <w:r w:rsidR="00B543C0" w:rsidRPr="00B543C0">
        <w:rPr>
          <w:rtl/>
        </w:rPr>
        <w:t>פרוש, שנתרפאה המכה וקרם עליה עור ולא נשאר אלא רשם המכה</w:t>
      </w:r>
      <w:r w:rsidR="00B543C0" w:rsidRPr="00B543C0">
        <w:t xml:space="preserve">), </w:t>
      </w:r>
      <w:r w:rsidR="00B543C0" w:rsidRPr="00B543C0">
        <w:rPr>
          <w:rtl/>
        </w:rPr>
        <w:t>ושומא</w:t>
      </w:r>
      <w:r w:rsidR="00B543C0" w:rsidRPr="00B543C0">
        <w:t xml:space="preserve"> (</w:t>
      </w:r>
      <w:r w:rsidR="00B543C0" w:rsidRPr="00B543C0">
        <w:rPr>
          <w:rtl/>
        </w:rPr>
        <w:t>פרוש, וירואה בלע"ז רש"י</w:t>
      </w:r>
      <w:r w:rsidR="00B543C0" w:rsidRPr="00B543C0">
        <w:t xml:space="preserve">) </w:t>
      </w:r>
      <w:r w:rsidR="00B543C0" w:rsidRPr="00B543C0">
        <w:rPr>
          <w:rtl/>
        </w:rPr>
        <w:t>שעל הפדחת, אפילו היתה קטנה ביותר, ואף על פי שאין בה שער, וזו היא השומא שיתירה אשה על הכהנים, והוא שעומדת תחת כיפה שבראשה, פעמים נראית ופעמים אינה נראית, שאם תמיד נראית, הרי ראה ונתפיס, ואם תמיד אינה נראית, אינו מום</w:t>
      </w:r>
      <w:r w:rsidR="00B543C0" w:rsidRPr="00B543C0">
        <w:t>.</w:t>
      </w:r>
    </w:p>
    <w:p w14:paraId="4E3B2A21" w14:textId="66C4D167" w:rsidR="00B543C0" w:rsidRDefault="00B543C0" w:rsidP="00B543C0">
      <w:pPr>
        <w:pStyle w:val="Style1"/>
        <w:rPr>
          <w:rtl/>
        </w:rPr>
      </w:pPr>
      <w:r w:rsidRPr="00B543C0">
        <w:rPr>
          <w:rFonts w:hint="cs"/>
          <w:rtl/>
        </w:rPr>
        <w:t>הגה: ואם יש מרחץ בעיר, אפילו מומין שבסתר אין מבטלים. במה דברים אמורים, כשדרך הבנות לילך למרחץ בגלוי, אבל במקום שאין הבנות הולכות למרחץ, רק בלילה ובהחבא, אפילו מומין שבגלוי מבטלין. נכפה, אם הוא לזמן קבוע, הוי מום שבסתר; ואם אינו לזמן קבוע, הוי מום שבגלוי. ועיין לקמן </w:t>
      </w:r>
      <w:hyperlink r:id="rId177" w:tooltip="שולחן ערוך אבן העזר קיז" w:history="1">
        <w:r w:rsidRPr="00B543C0">
          <w:rPr>
            <w:rStyle w:val="Hyperlink"/>
            <w:rFonts w:hint="cs"/>
            <w:color w:val="7030A0"/>
            <w:u w:val="none"/>
            <w:rtl/>
          </w:rPr>
          <w:t>סימן קי"ז</w:t>
        </w:r>
      </w:hyperlink>
      <w:r w:rsidRPr="00B543C0">
        <w:rPr>
          <w:rFonts w:hint="cs"/>
        </w:rPr>
        <w:t> </w:t>
      </w:r>
      <w:r w:rsidRPr="00B543C0">
        <w:rPr>
          <w:rFonts w:hint="cs"/>
          <w:rtl/>
        </w:rPr>
        <w:t>עוד מדיני מומין. יש אומרים דנכפה וריח הפה אין חילוק בין מרחץ בעיר או לא (רבי ירוחם נתיב כ"ג)</w:t>
      </w:r>
      <w:r w:rsidRPr="00B543C0">
        <w:t>:</w:t>
      </w:r>
    </w:p>
    <w:p w14:paraId="27A248D7" w14:textId="669ACE35" w:rsidR="00C673A9" w:rsidRDefault="00C673A9" w:rsidP="00C673A9">
      <w:pPr>
        <w:pStyle w:val="Style1"/>
        <w:rPr>
          <w:rtl/>
        </w:rPr>
      </w:pPr>
      <w:r>
        <w:rPr>
          <w:rFonts w:hint="cs"/>
          <w:rtl/>
        </w:rPr>
        <w:t>7)[</w:t>
      </w:r>
      <w:r>
        <w:rPr>
          <w:rtl/>
        </w:rPr>
        <w:t>רמב</w:t>
      </w:r>
      <w:r w:rsidR="00213DA1">
        <w:rPr>
          <w:rtl/>
        </w:rPr>
        <w:t>”ם \נשים\</w:t>
      </w:r>
      <w:r>
        <w:rPr>
          <w:rtl/>
        </w:rPr>
        <w:t xml:space="preserve"> הלכות אישות פרק ז הלכה כג</w:t>
      </w:r>
      <w:r>
        <w:rPr>
          <w:rFonts w:hint="cs"/>
          <w:rtl/>
        </w:rPr>
        <w:t xml:space="preserve">] </w:t>
      </w:r>
      <w:r>
        <w:rPr>
          <w:rtl/>
        </w:rPr>
        <w:t>המקדש על תנאי וחזר אחר כמה ימים וביטל התנאי אף על פי שבטלו בינו לבינה שלא בפני עדים בטל התנאי והרי היא מקודשת סתם. וכן אם היה התנאי מן האשה ובטלה אותו אחר כך בינה לבינו בטל התנאי, לפיכך המקדש על תנאי וכנס סתם או בעל סתם הרי זו צריכה גט אף על פי שלא נתקיים התנאי שמא ביטל התנאי כשבעל או כשכנס. וכן המקדש בפחות משוה פרוטה או במלוה וחזר ובעל סתם בפני עדים צריכה גט שעל בעילה זו סמך ולא על אותן הקידושין הפסולין, חזקה היא שאין אדם מישראל הכשרים עושה בעילתו בעילת זנות והרי בידו עתה לעשותה בעילת מצוה. /השגת הראב"ד/ אף על פי שבטלו בינו לבינה שלא בפני עדים בטל התנאי והרי היא מקודשת סתם. א"א אינו כן אלא א"כ כנסה סתם בעדים דהוה ליה כמו שביטל תנאו בעדים.</w:t>
      </w:r>
    </w:p>
    <w:p w14:paraId="3F10987D" w14:textId="0DF406DF" w:rsidR="00F02122" w:rsidRPr="00F02122" w:rsidRDefault="00302AD4" w:rsidP="00F02122">
      <w:pPr>
        <w:pStyle w:val="Style1"/>
      </w:pPr>
      <w:r>
        <w:rPr>
          <w:rFonts w:hint="cs"/>
          <w:rtl/>
        </w:rPr>
        <w:lastRenderedPageBreak/>
        <w:t>7)[</w:t>
      </w:r>
      <w:r>
        <w:rPr>
          <w:rtl/>
        </w:rPr>
        <w:t>שולחן ערוך אבן העזר הלכות קידושין סימן לח סעיף לה</w:t>
      </w:r>
      <w:r>
        <w:rPr>
          <w:rFonts w:hint="cs"/>
          <w:rtl/>
        </w:rPr>
        <w:t>]</w:t>
      </w:r>
      <w:r w:rsidR="00F02122">
        <w:rPr>
          <w:rFonts w:hint="cs"/>
          <w:rtl/>
        </w:rPr>
        <w:t xml:space="preserve"> </w:t>
      </w:r>
      <w:r w:rsidR="00F02122" w:rsidRPr="00F02122">
        <w:rPr>
          <w:rtl/>
        </w:rPr>
        <w:t>המקדש על תנאי, וחזר אחר כמה ימים וביטל התנאי, אף על פי שביטלו בינו לבינה שלא בפני עדים, בטל התנאי והרי היא מקודשת סתם. וכן אם היה התנאי מן האשה וביטלה אותו בינה ובינו, בטל התנאי. לפיכך, המקדש על תנאי ובעל סתם, או כנס סתם, הרי זו צריכה גט אף על פי שלא נתקיים התנאי, שמא ביטל התנאי כשבעל או כשכנס</w:t>
      </w:r>
      <w:r w:rsidR="00F02122" w:rsidRPr="00F02122">
        <w:t>.</w:t>
      </w:r>
    </w:p>
    <w:p w14:paraId="7AB6C23B" w14:textId="77777777" w:rsidR="00F02122" w:rsidRPr="00F02122" w:rsidRDefault="00F02122" w:rsidP="00F02122">
      <w:pPr>
        <w:pStyle w:val="Style1"/>
      </w:pPr>
      <w:r w:rsidRPr="00F02122">
        <w:rPr>
          <w:rFonts w:hint="cs"/>
          <w:rtl/>
        </w:rPr>
        <w:t>ואם קידשה אחר, צריכה גט משניהם (דעת עצמו)</w:t>
      </w:r>
      <w:r w:rsidRPr="00F02122">
        <w:t>:</w:t>
      </w:r>
    </w:p>
    <w:p w14:paraId="32EAD632" w14:textId="77777777" w:rsidR="00F02122" w:rsidRPr="00F02122" w:rsidRDefault="00F02122" w:rsidP="00F02122">
      <w:pPr>
        <w:pStyle w:val="Style1"/>
      </w:pPr>
    </w:p>
    <w:p w14:paraId="242F1E19" w14:textId="77777777" w:rsidR="00B543C0" w:rsidRPr="00F02122" w:rsidRDefault="00B543C0" w:rsidP="00F02122">
      <w:pPr>
        <w:pStyle w:val="Style1"/>
      </w:pPr>
    </w:p>
    <w:p w14:paraId="3D4A3ACD" w14:textId="77777777" w:rsidR="002165BA" w:rsidRPr="00F02122" w:rsidRDefault="002165BA" w:rsidP="00F02122">
      <w:pPr>
        <w:pStyle w:val="Style1"/>
        <w:rPr>
          <w:rStyle w:val="Style1Char"/>
          <w:rtl/>
        </w:rPr>
      </w:pPr>
    </w:p>
    <w:p w14:paraId="63BE93AD" w14:textId="77777777" w:rsidR="002165BA" w:rsidRPr="00F02122" w:rsidRDefault="002165BA" w:rsidP="00F02122">
      <w:pPr>
        <w:pStyle w:val="Style1"/>
        <w:rPr>
          <w:rStyle w:val="Style1Char"/>
        </w:rPr>
      </w:pPr>
    </w:p>
    <w:p w14:paraId="21343F72" w14:textId="77777777" w:rsidR="002165BA" w:rsidRDefault="002165BA" w:rsidP="002165BA">
      <w:pPr>
        <w:rPr>
          <w:rStyle w:val="Style1Char"/>
          <w:color w:val="00B050"/>
          <w:rtl/>
        </w:rPr>
      </w:pPr>
      <w:r>
        <w:rPr>
          <w:rStyle w:val="Style1Char"/>
          <w:color w:val="00B050"/>
          <w:rtl/>
        </w:rPr>
        <w:br w:type="page"/>
      </w:r>
    </w:p>
    <w:p w14:paraId="6C72CBF5" w14:textId="7A43C477" w:rsidR="002165BA" w:rsidRDefault="002165BA" w:rsidP="002165BA">
      <w:pPr>
        <w:bidi/>
        <w:rPr>
          <w:rStyle w:val="Style1Char"/>
          <w:color w:val="ED7D31" w:themeColor="accent2"/>
          <w:sz w:val="22"/>
          <w:szCs w:val="22"/>
          <w:rtl/>
        </w:rPr>
      </w:pPr>
      <w:r w:rsidRPr="0091453F">
        <w:rPr>
          <w:rStyle w:val="Style1Char"/>
          <w:color w:val="00B050"/>
          <w:sz w:val="22"/>
          <w:szCs w:val="22"/>
          <w:highlight w:val="yellow"/>
          <w:rtl/>
        </w:rPr>
        <w:lastRenderedPageBreak/>
        <w:t>[דף עג עמוד א]</w:t>
      </w:r>
      <w:r w:rsidRPr="0091453F">
        <w:rPr>
          <w:rStyle w:val="Style1Char"/>
          <w:color w:val="00B050"/>
          <w:sz w:val="22"/>
          <w:szCs w:val="22"/>
          <w:rtl/>
        </w:rPr>
        <w:t xml:space="preserve"> </w:t>
      </w:r>
      <w:r w:rsidRPr="00657C31">
        <w:rPr>
          <w:rStyle w:val="Style1Char"/>
          <w:color w:val="00B050"/>
          <w:rtl/>
        </w:rPr>
        <w:t xml:space="preserve">לא תימא טעמיה דרב, כיון שכנסה סתם אחולי אחליה לתנאיה, אלא טעמא דרב, לפי שאין אדם עושה בעילתו בעילת זנות. הא פליגי בה חדא זימנא! דאתמר: קטנה שלא מיאנה והגדילה, עמדה ונישאת - רב אמר: אין צריכה גט משני, ושמואל אמר: </w:t>
      </w:r>
      <w:r w:rsidR="001D3F10">
        <w:rPr>
          <w:rStyle w:val="Style1Char"/>
          <w:rFonts w:hint="cs"/>
          <w:rtl/>
        </w:rPr>
        <w:t>(1)</w:t>
      </w:r>
      <w:r w:rsidRPr="00657C31">
        <w:rPr>
          <w:rStyle w:val="Style1Char"/>
          <w:color w:val="00B050"/>
          <w:rtl/>
        </w:rPr>
        <w:t xml:space="preserve">צריכה גט משני! צריכא, דאי אתמר בההיא, בההיא קאמר רב - משום דליכא תנאה, אבל בהא דאיכא תנאה - אימא מודי ליה לשמואל; ואי אתמר בהא, בהא קאמר שמואל, אבל בהך אימא מודי ליה לרב, צריכא. </w:t>
      </w:r>
      <w:r w:rsidRPr="00F02D1B">
        <w:rPr>
          <w:rStyle w:val="Style1Char"/>
          <w:color w:val="ED7D31" w:themeColor="accent2"/>
          <w:sz w:val="22"/>
          <w:szCs w:val="22"/>
          <w:rtl/>
        </w:rPr>
        <w:t xml:space="preserve">תנן: כנסה סתם, ונמצאו עליה נדרים - תצא שלא בכתובה; כתובה הוא דלא בעיא, הא גיטא בעיא, מאי לאו קידשה על תנאי וכנסה סתם, תיובתא דשמואל! </w:t>
      </w:r>
    </w:p>
    <w:p w14:paraId="14D50E88" w14:textId="68FB7833" w:rsidR="001D3F10" w:rsidRDefault="001D3F10" w:rsidP="001D3F10">
      <w:pPr>
        <w:pStyle w:val="Style1"/>
        <w:rPr>
          <w:rStyle w:val="Style1Char"/>
          <w:rtl/>
        </w:rPr>
      </w:pPr>
      <w:r>
        <w:rPr>
          <w:rStyle w:val="Style1Char"/>
          <w:rFonts w:hint="cs"/>
          <w:rtl/>
        </w:rPr>
        <w:t>1)[</w:t>
      </w:r>
      <w:r w:rsidRPr="001D3F10">
        <w:rPr>
          <w:rStyle w:val="Style1Char"/>
          <w:rtl/>
        </w:rPr>
        <w:t>רמב</w:t>
      </w:r>
      <w:r w:rsidR="00213DA1">
        <w:rPr>
          <w:rStyle w:val="Style1Char"/>
          <w:rtl/>
        </w:rPr>
        <w:t>”ם \נשים\</w:t>
      </w:r>
      <w:r w:rsidRPr="001D3F10">
        <w:rPr>
          <w:rStyle w:val="Style1Char"/>
          <w:rtl/>
        </w:rPr>
        <w:t xml:space="preserve"> הלכות גירושין פרק יא הלכה ו</w:t>
      </w:r>
      <w:r>
        <w:rPr>
          <w:rStyle w:val="Style1Char"/>
          <w:rFonts w:hint="cs"/>
          <w:rtl/>
        </w:rPr>
        <w:t xml:space="preserve">] </w:t>
      </w:r>
      <w:r w:rsidRPr="001D3F10">
        <w:rPr>
          <w:rStyle w:val="Style1Char"/>
          <w:rtl/>
        </w:rPr>
        <w:t>קטנה שלא מיאנה והגדילה אף על פי שלא בעלה בעלה משנעשית בת שתים עשרה שנה ויום אחד הרי זו אינה ממאנת שהרי הגדילה, וצריכה גט מדברי סופרים שהרי לא בא עליה אחר שהגיעה לשני נערות עד שנחוש לה שמא הביאה סימנין ותהיה ספק מקודשת ולא בא עליה אחר שגדלה כדי שתהיה אשת איש גמורה, ונמצאת שאינה צריכה גט אלא מנשואי קטנות שהן מדברי סופרים. לפיכך אם עמדה ונתקדשה אחר שגדלה תופסין בה קדושי שני, ואם גירש הראשון יכנוס השני, אבל אם גירש שני לא יקיים ראשון שמא יאמרו החזיר גרושתו מאחר שנתארסה, ואם בא עליה שני קודם שיגרש ראשון תצא מזה ומזה מפני שהיא דומה לאשה ששמעה שמת בעלה ונשאת ואחר כך בא בעלה, ואין הולד מן השני ממזר, ואם בא עליה ראשון קודם שיגרש השני הולד ממזר.</w:t>
      </w:r>
    </w:p>
    <w:p w14:paraId="0C73A3F9" w14:textId="072ADDB6" w:rsidR="009B2031" w:rsidRPr="009B2031" w:rsidRDefault="009B2031" w:rsidP="0090322D">
      <w:pPr>
        <w:pStyle w:val="Style1"/>
        <w:rPr>
          <w:rStyle w:val="Style1Char"/>
        </w:rPr>
      </w:pPr>
      <w:r>
        <w:rPr>
          <w:rStyle w:val="Style1Char"/>
          <w:rFonts w:hint="cs"/>
          <w:rtl/>
        </w:rPr>
        <w:t>1)[</w:t>
      </w:r>
      <w:r w:rsidRPr="009B2031">
        <w:rPr>
          <w:rStyle w:val="Style1Char"/>
          <w:rtl/>
        </w:rPr>
        <w:t>שולחן ערוך אבן העזר הלכות מיאון סימן קנה סעיף כא</w:t>
      </w:r>
      <w:r>
        <w:rPr>
          <w:rStyle w:val="Style1Char"/>
          <w:rFonts w:hint="cs"/>
          <w:rtl/>
        </w:rPr>
        <w:t>]</w:t>
      </w:r>
      <w:r w:rsidR="0090322D">
        <w:rPr>
          <w:rStyle w:val="Style1Char"/>
          <w:rFonts w:hint="cs"/>
          <w:rtl/>
        </w:rPr>
        <w:t xml:space="preserve"> </w:t>
      </w:r>
      <w:r w:rsidR="0090322D">
        <w:rPr>
          <w:shd w:val="clear" w:color="auto" w:fill="FFFFFF"/>
          <w:rtl/>
        </w:rPr>
        <w:t>הביאה שתי שערות אחר שתים עשרה שנה, ולא בעל אחר כך, הוו ספק קדושין. ואם בא להוציאה צריכה גט, מדרבנן. ואם לא גרשה, ועמדה ונתקדשה לאחר, צריכה גט משניהם. ואם ירצו, מגרש ראשון ונושא שני. אבל אם גרש שני, לא יקים ראשון, שמא יאמרו: החזיר גרושתו אחר שנתארסה. ואם בא עליה שני קדם שגרש ראשון, תצא מזה ומזה, ואין הולד מן השני ממזר. ואם בא עליה ראשון קדם </w:t>
      </w:r>
      <w:r w:rsidR="0090322D">
        <w:rPr>
          <w:rFonts w:ascii="Alef" w:hAnsi="Alef" w:cs="Alef" w:hint="cs"/>
          <w:color w:val="347235"/>
          <w:shd w:val="clear" w:color="auto" w:fill="FFFFFF"/>
        </w:rPr>
        <w:t>(</w:t>
      </w:r>
      <w:r w:rsidR="0090322D">
        <w:rPr>
          <w:rFonts w:ascii="Alef" w:hAnsi="Alef" w:cs="Alef" w:hint="cs"/>
          <w:color w:val="347235"/>
          <w:shd w:val="clear" w:color="auto" w:fill="FFFFFF"/>
          <w:rtl/>
        </w:rPr>
        <w:t>גרושי</w:t>
      </w:r>
      <w:r w:rsidR="0090322D">
        <w:rPr>
          <w:rFonts w:ascii="Alef" w:hAnsi="Alef" w:cs="Alef" w:hint="cs"/>
          <w:color w:val="347235"/>
          <w:shd w:val="clear" w:color="auto" w:fill="FFFFFF"/>
        </w:rPr>
        <w:t>)</w:t>
      </w:r>
      <w:r w:rsidR="0090322D">
        <w:rPr>
          <w:shd w:val="clear" w:color="auto" w:fill="FFFFFF"/>
        </w:rPr>
        <w:t> </w:t>
      </w:r>
      <w:r w:rsidR="0090322D">
        <w:rPr>
          <w:shd w:val="clear" w:color="auto" w:fill="FFFFFF"/>
          <w:rtl/>
        </w:rPr>
        <w:t>שני, הולד ממזר</w:t>
      </w:r>
      <w:r w:rsidR="0090322D">
        <w:rPr>
          <w:shd w:val="clear" w:color="auto" w:fill="FFFFFF"/>
        </w:rPr>
        <w:t>:</w:t>
      </w:r>
    </w:p>
    <w:p w14:paraId="7618C454" w14:textId="2C8DCD62" w:rsidR="009B2031" w:rsidRPr="001D3F10" w:rsidRDefault="009B2031" w:rsidP="0090322D">
      <w:pPr>
        <w:pStyle w:val="Style1"/>
        <w:rPr>
          <w:rStyle w:val="Style1Char"/>
          <w:rtl/>
        </w:rPr>
      </w:pPr>
    </w:p>
    <w:p w14:paraId="0B076427" w14:textId="77777777" w:rsidR="002165BA" w:rsidRDefault="002165BA" w:rsidP="0090322D">
      <w:pPr>
        <w:pStyle w:val="Style1"/>
        <w:bidi w:val="0"/>
        <w:rPr>
          <w:rStyle w:val="Style1Char"/>
          <w:color w:val="00B050"/>
          <w:rtl/>
        </w:rPr>
      </w:pPr>
      <w:r>
        <w:rPr>
          <w:rStyle w:val="Style1Char"/>
          <w:color w:val="00B050"/>
          <w:rtl/>
        </w:rPr>
        <w:br w:type="page"/>
      </w:r>
    </w:p>
    <w:p w14:paraId="3599E03E" w14:textId="77777777" w:rsidR="002165BA" w:rsidRDefault="002165BA" w:rsidP="002165BA">
      <w:pPr>
        <w:bidi/>
        <w:rPr>
          <w:rStyle w:val="Style1Char"/>
          <w:sz w:val="22"/>
          <w:szCs w:val="22"/>
          <w:rtl/>
        </w:rPr>
      </w:pPr>
      <w:r w:rsidRPr="00F02D1B">
        <w:rPr>
          <w:rStyle w:val="Style1Char"/>
          <w:color w:val="ED7D31" w:themeColor="accent2"/>
          <w:sz w:val="22"/>
          <w:szCs w:val="22"/>
          <w:highlight w:val="yellow"/>
          <w:rtl/>
        </w:rPr>
        <w:lastRenderedPageBreak/>
        <w:t>[דף עג עמוד ב]</w:t>
      </w:r>
      <w:r w:rsidRPr="00F02D1B">
        <w:rPr>
          <w:rStyle w:val="Style1Char"/>
          <w:color w:val="ED7D31" w:themeColor="accent2"/>
          <w:sz w:val="22"/>
          <w:szCs w:val="22"/>
          <w:rtl/>
        </w:rPr>
        <w:t xml:space="preserve"> לא, קידשה סתם וכנסה סתם.</w:t>
      </w:r>
      <w:r w:rsidRPr="00F02D1B">
        <w:rPr>
          <w:rStyle w:val="Style1Char"/>
          <w:color w:val="ED7D31" w:themeColor="accent2"/>
          <w:rtl/>
        </w:rPr>
        <w:t xml:space="preserve"> </w:t>
      </w:r>
      <w:r w:rsidRPr="00657C31">
        <w:rPr>
          <w:rStyle w:val="Style1Char"/>
          <w:color w:val="00B050"/>
          <w:rtl/>
        </w:rPr>
        <w:t xml:space="preserve">אבל קידשה על תנאי וכנסה סתם, הכי נמי דלא בעיא גיטא, אדתני: המקדש את האשה על מנת שאין עליה נדרים, ונמצאו עליה נדרים - אינה מקודשת, ליתני: כנסה סתם, ונמצאו עליה נדרים - אינה מקודשת, וכל שכן הא! הכי נמי קאמר: המקדש את האשה על מנת שאין עליה נדרים וכנסה סתם, ונמצאו עליה נדרים - אינה מקודשת, </w:t>
      </w:r>
      <w:r w:rsidRPr="00804CAC">
        <w:rPr>
          <w:rStyle w:val="Style1Char"/>
          <w:color w:val="4472C4" w:themeColor="accent1"/>
          <w:sz w:val="22"/>
          <w:szCs w:val="22"/>
          <w:rtl/>
        </w:rPr>
        <w:t xml:space="preserve">ומדקדק הש"ס </w:t>
      </w:r>
      <w:r w:rsidRPr="00804CAC">
        <w:rPr>
          <w:rStyle w:val="Style1Char"/>
          <w:color w:val="ED7D31" w:themeColor="accent2"/>
          <w:sz w:val="22"/>
          <w:szCs w:val="22"/>
          <w:rtl/>
        </w:rPr>
        <w:t>קידשה סתם ו</w:t>
      </w:r>
      <w:r w:rsidRPr="00804CAC">
        <w:rPr>
          <w:rStyle w:val="Style1Char"/>
          <w:color w:val="auto"/>
          <w:sz w:val="22"/>
          <w:szCs w:val="22"/>
          <w:rtl/>
        </w:rPr>
        <w:t>כנסה</w:t>
      </w:r>
      <w:r w:rsidRPr="00657C31">
        <w:rPr>
          <w:rStyle w:val="Style1Char"/>
          <w:color w:val="00B050"/>
          <w:rtl/>
        </w:rPr>
        <w:t xml:space="preserve"> </w:t>
      </w:r>
      <w:r w:rsidRPr="00804CAC">
        <w:rPr>
          <w:rStyle w:val="Style1Char"/>
          <w:color w:val="auto"/>
          <w:sz w:val="22"/>
          <w:szCs w:val="22"/>
          <w:rtl/>
        </w:rPr>
        <w:t xml:space="preserve">סתם </w:t>
      </w:r>
      <w:r w:rsidRPr="00335C63">
        <w:rPr>
          <w:rStyle w:val="Style1Char"/>
          <w:color w:val="C00000"/>
          <w:sz w:val="22"/>
          <w:szCs w:val="22"/>
          <w:rtl/>
        </w:rPr>
        <w:t xml:space="preserve">ונמצאו עליה נדרים </w:t>
      </w:r>
      <w:r w:rsidRPr="008427C4">
        <w:rPr>
          <w:rStyle w:val="Style1Char"/>
          <w:sz w:val="22"/>
          <w:szCs w:val="22"/>
          <w:rtl/>
        </w:rPr>
        <w:t xml:space="preserve">- </w:t>
      </w:r>
      <w:r w:rsidRPr="00804CAC">
        <w:rPr>
          <w:rStyle w:val="Style1Char"/>
          <w:color w:val="auto"/>
          <w:sz w:val="22"/>
          <w:szCs w:val="22"/>
          <w:rtl/>
        </w:rPr>
        <w:t>תצא שלא בכתובה, כתובה הוא דלא בעיא, הא גיטא בעיא</w:t>
      </w:r>
      <w:r w:rsidRPr="008427C4">
        <w:rPr>
          <w:rStyle w:val="Style1Char"/>
          <w:sz w:val="22"/>
          <w:szCs w:val="22"/>
          <w:rtl/>
        </w:rPr>
        <w:t xml:space="preserve">. </w:t>
      </w:r>
      <w:r w:rsidRPr="00FC5F27">
        <w:rPr>
          <w:rStyle w:val="Style1Char"/>
          <w:color w:val="auto"/>
          <w:sz w:val="22"/>
          <w:szCs w:val="22"/>
          <w:rtl/>
        </w:rPr>
        <w:t xml:space="preserve">ומאי שנא כתובה דלא </w:t>
      </w:r>
      <w:r w:rsidRPr="00FC5F27">
        <w:rPr>
          <w:rStyle w:val="Style1Char"/>
          <w:color w:val="ED7D31" w:themeColor="accent2"/>
          <w:sz w:val="22"/>
          <w:szCs w:val="22"/>
          <w:rtl/>
        </w:rPr>
        <w:t>בעיא</w:t>
      </w:r>
      <w:r w:rsidRPr="008427C4">
        <w:rPr>
          <w:rStyle w:val="Style1Char"/>
          <w:sz w:val="22"/>
          <w:szCs w:val="22"/>
          <w:rtl/>
        </w:rPr>
        <w:t xml:space="preserve">? </w:t>
      </w:r>
      <w:r w:rsidRPr="00FC5F27">
        <w:rPr>
          <w:rStyle w:val="Style1Char"/>
          <w:color w:val="auto"/>
          <w:sz w:val="22"/>
          <w:szCs w:val="22"/>
          <w:rtl/>
        </w:rPr>
        <w:t>דאמר אי אפשי באשה נדרנית</w:t>
      </w:r>
      <w:r w:rsidRPr="00657C31">
        <w:rPr>
          <w:rStyle w:val="Style1Char"/>
          <w:color w:val="00B050"/>
          <w:rtl/>
        </w:rPr>
        <w:t xml:space="preserve">, אי הכי, </w:t>
      </w:r>
      <w:r w:rsidRPr="00FC5F27">
        <w:rPr>
          <w:rStyle w:val="Style1Char"/>
          <w:color w:val="auto"/>
          <w:sz w:val="22"/>
          <w:szCs w:val="22"/>
          <w:rtl/>
        </w:rPr>
        <w:t>גט נמי לא תיבעי! אמר רבה: צריכה גט מדבריהם</w:t>
      </w:r>
      <w:r w:rsidRPr="00FC5F27">
        <w:rPr>
          <w:rStyle w:val="Style1Char"/>
          <w:color w:val="auto"/>
          <w:rtl/>
        </w:rPr>
        <w:t xml:space="preserve">. </w:t>
      </w:r>
      <w:r w:rsidRPr="00FC5F27">
        <w:rPr>
          <w:rStyle w:val="Style1Char"/>
          <w:color w:val="auto"/>
          <w:sz w:val="22"/>
          <w:szCs w:val="22"/>
          <w:rtl/>
        </w:rPr>
        <w:t>וכן אמר רב חסדא: צריכה גט מדבריהם.</w:t>
      </w:r>
      <w:r w:rsidRPr="00335C63">
        <w:rPr>
          <w:rStyle w:val="Style1Char"/>
          <w:sz w:val="22"/>
          <w:szCs w:val="22"/>
          <w:rtl/>
        </w:rPr>
        <w:t xml:space="preserve"> </w:t>
      </w:r>
      <w:r w:rsidRPr="003541FF">
        <w:rPr>
          <w:rStyle w:val="Style1Char"/>
          <w:color w:val="auto"/>
          <w:sz w:val="22"/>
          <w:szCs w:val="22"/>
          <w:rtl/>
        </w:rPr>
        <w:t>רבא אמר: תנא ספוקי מספקא ליה, גבי ממונא לקולא, גבי איסורא לחומרא</w:t>
      </w:r>
      <w:r w:rsidRPr="00A6100B">
        <w:rPr>
          <w:rStyle w:val="Style1Char"/>
          <w:color w:val="4472C4" w:themeColor="accent1"/>
          <w:rtl/>
        </w:rPr>
        <w:t xml:space="preserve"> </w:t>
      </w:r>
      <w:r w:rsidRPr="0090133A">
        <w:rPr>
          <w:rStyle w:val="Style1Char"/>
          <w:color w:val="4472C4" w:themeColor="accent1"/>
          <w:rtl/>
        </w:rPr>
        <w:t>ופרש"י דהאי סוגיא אליבא דשמואל הוא דלרב דמוקי מתני' בקדשה על תנאי ניחא דבעי גט דאין אדם עושה בעילתו בעילת זנות ובועל לשם קידושין אף אם אין התנאי קיים כי היכי דלא ליהוי ביאת איסור</w:t>
      </w:r>
      <w:r>
        <w:rPr>
          <w:rStyle w:val="Style1Char"/>
          <w:rFonts w:hint="cs"/>
          <w:color w:val="4472C4" w:themeColor="accent1"/>
        </w:rPr>
        <w:t>‍</w:t>
      </w:r>
      <w:r w:rsidRPr="0090133A">
        <w:rPr>
          <w:rStyle w:val="Style1Char"/>
          <w:color w:val="4472C4" w:themeColor="accent1"/>
          <w:rtl/>
        </w:rPr>
        <w:t xml:space="preserve"> ולענין כתובה עומד בתנאי כי היכי דאם נדרה אח"כ תצא שלא בכתובה אבל לשמואל דאית ליה אדם עושה בעילתו בעילת זנות פריך שפיר גט נמי לא תיבעי ומיהו גם לרב נמי דינא הכי דהא אפי' בקדשה על תנאי אמר רב דמוחל על תנאו כדי שלא יהא בעילת זנות כ"ש בקדשה סתם וכנסה סתם שרוצה שתהיה אשתו אף אם ימצאו עליה נדרים ומומין לענין להצריכה גט</w:t>
      </w:r>
      <w:r w:rsidRPr="003541FF">
        <w:rPr>
          <w:rStyle w:val="Style1Char"/>
          <w:color w:val="auto"/>
          <w:rtl/>
        </w:rPr>
        <w:t xml:space="preserve">. </w:t>
      </w:r>
      <w:r w:rsidRPr="004809C5">
        <w:rPr>
          <w:rStyle w:val="Style1Char"/>
          <w:sz w:val="22"/>
          <w:szCs w:val="22"/>
          <w:rtl/>
        </w:rPr>
        <w:t xml:space="preserve">אמר </w:t>
      </w:r>
      <w:r w:rsidRPr="004809C5">
        <w:rPr>
          <w:rStyle w:val="Style1Char"/>
          <w:color w:val="00B050"/>
          <w:rtl/>
        </w:rPr>
        <w:t xml:space="preserve">רבה </w:t>
      </w:r>
      <w:r w:rsidRPr="00A34818">
        <w:rPr>
          <w:rStyle w:val="Style1Char"/>
          <w:color w:val="C00000"/>
          <w:sz w:val="22"/>
          <w:szCs w:val="22"/>
          <w:rtl/>
        </w:rPr>
        <w:t>רבא</w:t>
      </w:r>
      <w:r w:rsidRPr="00657C31">
        <w:rPr>
          <w:rStyle w:val="Style1Char"/>
          <w:color w:val="00B050"/>
          <w:rtl/>
        </w:rPr>
        <w:t xml:space="preserve">: </w:t>
      </w:r>
      <w:r w:rsidRPr="00A34818">
        <w:rPr>
          <w:rStyle w:val="Style1Char"/>
          <w:sz w:val="22"/>
          <w:szCs w:val="22"/>
          <w:rtl/>
        </w:rPr>
        <w:t>מחלוקת - בטעות שתי נשים</w:t>
      </w:r>
      <w:r w:rsidRPr="007A5212">
        <w:rPr>
          <w:rStyle w:val="Style1Char"/>
          <w:color w:val="C00000"/>
          <w:rtl/>
        </w:rPr>
        <w:t xml:space="preserve"> </w:t>
      </w:r>
      <w:r w:rsidRPr="007A5212">
        <w:rPr>
          <w:rStyle w:val="Style1Char"/>
          <w:color w:val="C00000"/>
          <w:sz w:val="22"/>
          <w:szCs w:val="22"/>
          <w:rtl/>
        </w:rPr>
        <w:t>מדהוה ליה למידק ולא דק אחולי אחיל לתנאיה</w:t>
      </w:r>
      <w:r w:rsidRPr="00657C31">
        <w:rPr>
          <w:rStyle w:val="Style1Char"/>
          <w:color w:val="00B050"/>
          <w:rtl/>
        </w:rPr>
        <w:t xml:space="preserve">, </w:t>
      </w:r>
      <w:r w:rsidRPr="007A5212">
        <w:rPr>
          <w:rStyle w:val="Style1Char"/>
          <w:sz w:val="22"/>
          <w:szCs w:val="22"/>
          <w:rtl/>
        </w:rPr>
        <w:t>אבל בטעות אשה אחת - דברי הכל אין צריכה הימנו גט</w:t>
      </w:r>
      <w:r w:rsidRPr="00657C31">
        <w:rPr>
          <w:rStyle w:val="Style1Char"/>
          <w:color w:val="00B050"/>
          <w:rtl/>
        </w:rPr>
        <w:t xml:space="preserve">. </w:t>
      </w:r>
      <w:r w:rsidRPr="007A5212">
        <w:rPr>
          <w:rStyle w:val="Style1Char"/>
          <w:sz w:val="22"/>
          <w:szCs w:val="22"/>
          <w:rtl/>
        </w:rPr>
        <w:t xml:space="preserve">אמר (ליה) אביי: והא מתניתין דטעות אשה אחת </w:t>
      </w:r>
      <w:r w:rsidRPr="00657C31">
        <w:rPr>
          <w:rStyle w:val="Style1Char"/>
          <w:color w:val="00B050"/>
          <w:rtl/>
        </w:rPr>
        <w:t>היא</w:t>
      </w:r>
      <w:r w:rsidRPr="007A5212">
        <w:rPr>
          <w:rStyle w:val="Style1Char"/>
          <w:color w:val="C00000"/>
          <w:rtl/>
        </w:rPr>
        <w:t xml:space="preserve"> </w:t>
      </w:r>
      <w:r w:rsidRPr="007A5212">
        <w:rPr>
          <w:rStyle w:val="Style1Char"/>
          <w:color w:val="C00000"/>
          <w:sz w:val="22"/>
          <w:szCs w:val="22"/>
          <w:rtl/>
        </w:rPr>
        <w:t>דמי</w:t>
      </w:r>
      <w:r w:rsidRPr="007A5212">
        <w:rPr>
          <w:rStyle w:val="Style1Char"/>
          <w:sz w:val="22"/>
          <w:szCs w:val="22"/>
          <w:rtl/>
        </w:rPr>
        <w:t xml:space="preserve">, וקמותבינן תיובתא מיניה! אלא </w:t>
      </w:r>
      <w:r w:rsidRPr="00657C31">
        <w:rPr>
          <w:rStyle w:val="Style1Char"/>
          <w:color w:val="00B050"/>
          <w:rtl/>
        </w:rPr>
        <w:t xml:space="preserve">[אי אתמר הכי אתמר], </w:t>
      </w:r>
      <w:r w:rsidRPr="004809C5">
        <w:rPr>
          <w:rStyle w:val="Style1Char"/>
          <w:sz w:val="22"/>
          <w:szCs w:val="22"/>
          <w:rtl/>
        </w:rPr>
        <w:t>אמר</w:t>
      </w:r>
      <w:r w:rsidRPr="004809C5">
        <w:rPr>
          <w:rStyle w:val="Style1Char"/>
          <w:rtl/>
        </w:rPr>
        <w:t xml:space="preserve"> </w:t>
      </w:r>
      <w:r w:rsidRPr="004809C5">
        <w:rPr>
          <w:rStyle w:val="Style1Char"/>
          <w:color w:val="ED7D31" w:themeColor="accent2"/>
          <w:rtl/>
        </w:rPr>
        <w:t xml:space="preserve">רבה </w:t>
      </w:r>
      <w:r w:rsidRPr="007C63F9">
        <w:rPr>
          <w:rStyle w:val="Style1Char"/>
          <w:color w:val="C00000"/>
          <w:sz w:val="22"/>
          <w:szCs w:val="22"/>
          <w:rtl/>
        </w:rPr>
        <w:t>רבא</w:t>
      </w:r>
      <w:r w:rsidRPr="00657C31">
        <w:rPr>
          <w:rStyle w:val="Style1Char"/>
          <w:color w:val="00B050"/>
          <w:rtl/>
        </w:rPr>
        <w:t xml:space="preserve">: </w:t>
      </w:r>
      <w:r w:rsidRPr="003E0C4D">
        <w:rPr>
          <w:rStyle w:val="Style1Char"/>
          <w:color w:val="auto"/>
          <w:sz w:val="22"/>
          <w:szCs w:val="22"/>
          <w:rtl/>
        </w:rPr>
        <w:t xml:space="preserve">מחלוקת </w:t>
      </w:r>
      <w:r w:rsidRPr="007C63F9">
        <w:rPr>
          <w:rStyle w:val="Style1Char"/>
          <w:sz w:val="22"/>
          <w:szCs w:val="22"/>
          <w:rtl/>
        </w:rPr>
        <w:t xml:space="preserve">- </w:t>
      </w:r>
      <w:r w:rsidRPr="004809C5">
        <w:rPr>
          <w:rStyle w:val="Style1Char"/>
          <w:color w:val="auto"/>
          <w:sz w:val="22"/>
          <w:szCs w:val="22"/>
          <w:rtl/>
        </w:rPr>
        <w:t xml:space="preserve">בטעות אשה אחת כעין שתי נשים, אבל בטעות אשה אחת גרידתא - דברי הכל אינה צריכה הימנו גט. </w:t>
      </w:r>
    </w:p>
    <w:p w14:paraId="6B3C8D94" w14:textId="77777777" w:rsidR="002165BA" w:rsidRDefault="002165BA" w:rsidP="002165BA">
      <w:pPr>
        <w:bidi/>
        <w:rPr>
          <w:rStyle w:val="Style1Char"/>
          <w:color w:val="C00000"/>
          <w:rtl/>
        </w:rPr>
      </w:pPr>
      <w:r w:rsidRPr="00251692">
        <w:rPr>
          <w:rStyle w:val="Style1Char"/>
          <w:color w:val="C00000"/>
          <w:rtl/>
        </w:rPr>
        <w:t xml:space="preserve">הא שמעתא צריכינן לפרושה דחזינן בה כמה רבוותא דשקלי וטרו בה ולא סלקא לחד מינייהו כהוגן דאיכא מינייהו דפריש טעות שתי נשים כגון שקדש שתי נשים חדא על תנאי וחדא שלא על תנאי וטעה הי מינייהו הוי קידושין על תנאי והי מינייהו קדושין גמורין וכנס אותה שהיו קדושיה על תנאי סתם ולא דק כי איתיה לתנאיה אי לא בהא אמרינן מידע ידע ובריר ליה שקידש אחת על תנאי והוה ליה למידק ולא דק רב סבר מגו דלא דק אחליה לתנאיה וכו' וקאמר בטעות אשה אחת כעין שתי נשים שיש בדבר ספק בין שתי המדות דהוה ליה למידק ולא דק כמה שיש בב' נשים אבל אשה גרידתא שאין שם ספק דהוה ליה למידק בה הדין הוא פירושה דפריש ולא קא פריש מאי ניהו שתי המדות ומאי ספק דאית בה ואיכא מינייהו מאן דפריש בטעות אשה אחת כעין ב' נשים כגון שקדש אשה אחת ע"מ שאין עליה נדרים וגרשה לימים חזר וקדשה וכנסה סתם ונמצאו עליה נדרים ואיכא מינייהו מאן דפריש כגון שקדש אחת על תנאי שאין עליה נדרים ומינה אחר כן שליח לקדש אשה אחרת והטעוהו וקדשו לו אשה ראשונה בסתם ודברים אלו כולן אין הדעת סובלתן ואנן הכי אסתבר לן פירוש הא שמעתא איתמר קדשה על תנאי וכנסה סתם רב אמר צריכה ממנו גט ושמואל אמר אין צריכה ממנו גט אמר רבא מחלוקת רב ושמואל בטעות שתי נשים כגון שקדש אשה אחת על תנאי וחזר וקדש אשה אחרת סתם ואח"כ כנס את הראשונה סתם רב סבר כיון שחזר וקידש אשה אחרת סתם ולא הקפיד והתנה עליה כמו שהקפיד והתנה על הראשונה ש"מ אחולי אחליה לתנאי דאתני עלה דקמייתא תדע שהרי כנסה סתם ולא אדכריה לתנאיה הלכך אי איכא עלה נדרים לא אמרינן קדושי טעות הוו ולא בעיא גיטא מיניה אלא כדבעי לאפוקה משום הדין תנאה אמרי' מיהדר הוא דקהדר ביה השתא מההיא מחילה וצריכה גיטא מיניה ושמואל סבר אף על גב דקדיש ליה אשה אחרת סתם לא אמרינן מיהדר הדר ביה מתנאיה דהיאך ואחוליה אחליה לגבי דידה ואף על גב דכניס לה סתם וקא בעיל לה תנאו קיים דכל בועל על דעת תנאו הוא בועל וקידושיו קדושי טעות הן ואינה צריכה ממנו גט אבל אם לא קידש אלא אשה אחת ע"מ שאין עליה נדרים אף על פי שכנסה סתם ונמצאו עליה נדרים אפילו לרב אינה צריכה ממנו גט דלא אמרי' בה אחולי לתנאיה אלא קדושי טעות הוו ואינה צריכה ממנו גט דלא אחליה לקפידא דיליה לגבי אתתא אחריתי דנימא כי היכי דלא קפיד אהאיך ה"נ לא קפיד אהאיך קמייתא ואחוליה אחליה לקפידא קמא דקפיד ואתני עלה א"ל אביי והא מתניתין דקתני כנסה סתם ונמצאו עליה נדרים דכטעות אשה אחת דמי וקמותבינן מינה תיובתא לשמואל אלמא איפליגו רב ושמואל בטעות אשה אחת איכא מאן דקשיא ליה מ"ט קאמרינן אמתניתין דכטעות אשה אחת דמי ולא אמרי' דטעות אשה אחת היא וטעמא דמילתא משום דלא קתני בה בהדיא המקדש את האשה ע"מ שאין עליה נדרים וכנסה סתם ונמצאו עליה נדרים תצא שלא בכתובה אלא רב הוא דקא פריש לה הכי ובטיל ליה האי מימרא דרבא והדר רבא וקאמר מחלוקת בטעות אשה אחת כעין שתי נשים דכי היכי דשתי נשים אף על גב דקדיש לחדא על תנאי כיון דהדר וקדיש לאידך סתם אחולי אחליה לתנאיה ה"נ באשה אחת אף על גב דקדיש לה על תנאי כיון דהדר וכנסה סתם ולא קפיד ליה אתנאיה אמרינן אחולי אחליה לתנאיה אבל </w:t>
      </w:r>
      <w:r w:rsidRPr="006D0511">
        <w:rPr>
          <w:rStyle w:val="Style1Char"/>
          <w:color w:val="C00000"/>
          <w:rtl/>
        </w:rPr>
        <w:t xml:space="preserve">טעות אשה אחת גרידתא כגון שקדש על תנאי ובעל לאלתר דלא מצית למימר אחולי אחליה לתנאיה דכחד עובדא הוא וכמאן דאתנו בבעילה דמי אפי' רב מודה דלא צריכא </w:t>
      </w:r>
      <w:r w:rsidRPr="00251692">
        <w:rPr>
          <w:rStyle w:val="Style1Char"/>
          <w:color w:val="C00000"/>
          <w:rtl/>
        </w:rPr>
        <w:t>גיטא מיניה משום דקדושי טעות הן שעל דעת תנאו בעל ודייקינן להאי פירושא מדקתני בטעות אשה אחת כעין שתי נשים כנסה וקתני בטעות אשה אחת גרידתא ובעל דאלמא כנסה לאחר זמן משמע ובעל לאלתר הלכך כדכנסה לאחר זמן ולא קא קפיד בתנאיה בשעת כניסה ולא קא בדיק אי איתיה לתנאיה או לא אמרינן אחולי אחליה לתנאיה אבל קידש ובעל לאלתר מוכח מילתא דאדעתא דתנאי בעל וכמאן דאתני בבעילה דמי ולא אמרינן אחולי אחליה לתנאיה ודייקינן נמי מדקתני במתניתין ובפלוגתא דרב ושמואל דתרוייהו (סברי) טעות אשה אחת כעין שתי נשים נינהו וכנסה סתם טעמא דכנסה סתם הא לא כנסה סתם אלא קפיד ובדיק לתנאיה בשעת כניסה אפילו רב מודה דלא בעיא גיטא מיניה דעל תנאו בעל וקדושי טעות הן והיינו טעות אשה אחת גרידתא והיכא דקדיש ובעל לאלתר נמי דכוותה הוא וחד טעמא הוא והני תיובתא דכולהו דקא מותיב ליה אביי לרב לית בהו אלא לשון בעילה למימרא דאפילו לאלתר בעל פליגי ופריק רב להנהו תיובתא כולהו וקא מסייע ליה מדר' יוחנן</w:t>
      </w:r>
    </w:p>
    <w:p w14:paraId="0D10458E" w14:textId="77777777" w:rsidR="002165BA" w:rsidRDefault="002165BA" w:rsidP="002165BA">
      <w:pPr>
        <w:bidi/>
        <w:rPr>
          <w:rStyle w:val="Style1Char"/>
          <w:color w:val="4472C4" w:themeColor="accent1"/>
          <w:rtl/>
        </w:rPr>
      </w:pPr>
      <w:r>
        <w:rPr>
          <w:rStyle w:val="Style1Char"/>
          <w:rFonts w:hint="cs"/>
          <w:color w:val="4472C4" w:themeColor="accent1"/>
        </w:rPr>
        <w:t>‍</w:t>
      </w:r>
      <w:r w:rsidRPr="0090133A">
        <w:rPr>
          <w:rStyle w:val="Style1Char"/>
          <w:color w:val="4472C4" w:themeColor="accent1"/>
          <w:rtl/>
        </w:rPr>
        <w:t xml:space="preserve"> ופי' רב אלפס טעות אשה אחת כעין שתי נשים כגון שקדשה על תנאי ואח"כ כנסה סתם וטעות אשה גרידתא הינו שקדש על תנאי ובעל לאלתר דלא מצי למימר אחולי אחליה לתנאי דכיון דבעל מיד אחר הקידושין כמאן דאתני בבעילה דמי ולית הלכתא כרבה בהא דאפי' אם בעל לאלתר אמרי' אחולי אחליה לתנאיה וצריכה גט דהא אסקינן אמר רב כהנא משמיה דעולא המקדש על תנאי ובעל צריכה ממנו גט וכל היכא דאמר המקדש על תנאי ובעל משמע שבעל לאלתר אחר הקידושין</w:t>
      </w:r>
      <w:r>
        <w:rPr>
          <w:rStyle w:val="Style1Char"/>
          <w:rFonts w:hint="cs"/>
          <w:color w:val="4472C4" w:themeColor="accent1"/>
        </w:rPr>
        <w:t>‍</w:t>
      </w:r>
      <w:r w:rsidRPr="0090133A">
        <w:rPr>
          <w:rStyle w:val="Style1Char"/>
          <w:color w:val="4472C4" w:themeColor="accent1"/>
          <w:rtl/>
        </w:rPr>
        <w:t xml:space="preserve"> ודייק לה מדקתני בטעות אשה אחת (גרידתא) ובעל אלמא דכנסה לאחר זמן משמע ובעל לאלתר משמע </w:t>
      </w:r>
    </w:p>
    <w:p w14:paraId="44490385" w14:textId="0E54D34D" w:rsidR="002165BA" w:rsidRDefault="002165BA" w:rsidP="002165BA">
      <w:pPr>
        <w:bidi/>
        <w:rPr>
          <w:rStyle w:val="Style1Char"/>
          <w:color w:val="00B050"/>
          <w:rtl/>
        </w:rPr>
      </w:pPr>
      <w:r w:rsidRPr="00657C31">
        <w:rPr>
          <w:rStyle w:val="Style1Char"/>
          <w:color w:val="00B050"/>
          <w:rtl/>
        </w:rPr>
        <w:t xml:space="preserve">איתיביה אביי: </w:t>
      </w:r>
      <w:r w:rsidR="001E3075">
        <w:rPr>
          <w:rStyle w:val="Style1Char"/>
          <w:rFonts w:hint="cs"/>
          <w:rtl/>
        </w:rPr>
        <w:t>(1)</w:t>
      </w:r>
      <w:r w:rsidRPr="00657C31">
        <w:rPr>
          <w:rStyle w:val="Style1Char"/>
          <w:color w:val="00B050"/>
          <w:rtl/>
        </w:rPr>
        <w:t xml:space="preserve">קידשה בטעות ופחות משוה פרוטה, וכן קטן שקידש, אף על פי ששלח סבלונות לאחר מיכן - אינה מקודשת, שמחמת קדושין הראשונים שלח, ואם בעלו - קנו; ר' שמעון בן יהודה משום ר' ישמעאל אמר: אם בעלו - לא קנו; והא הכא דטעות אשה אחת היא, ופליגי, מאי לאו טעות נדרים! לא, טעות פחות משוה פרוטה. פחות משוה פרוטה בהדיא קתני לה: קידשה בטעות ופחות משוה פרוטה! פרושי קא מפרש, קידשה בטעות כיצד? כגון שקידשה בפחות משוה פרוטה. במאי קא מיפלגי? מר סבר: אדם יודע שאין קדושין תופסין בפחות משוה פרוטה, וגמר ובעל לשם קדושין; ומר סבר: אין אדם יודע שאין קדושין תופסין בפחות משוה פרוטה, וכי קא בעל - אדעתא דקדושין הראשונים בעל. איתיביה: הריני בועליך על מנת שירצה אבא, אף על פי שלא רצה האב - מקודשת; ר' שמעון בן יהודה אומר משום ר"ש: </w:t>
      </w:r>
      <w:r w:rsidR="00A654D5">
        <w:rPr>
          <w:rStyle w:val="Style1Char"/>
          <w:rFonts w:hint="cs"/>
          <w:rtl/>
        </w:rPr>
        <w:t>(2)</w:t>
      </w:r>
      <w:r w:rsidRPr="00657C31">
        <w:rPr>
          <w:rStyle w:val="Style1Char"/>
          <w:color w:val="00B050"/>
          <w:rtl/>
        </w:rPr>
        <w:t xml:space="preserve">רצה האב - מקודשת, לא רצה האב - אינה מקודשת; והא הכא דכי טעות אשה אחת דמי, ופליגי! התם בהא קמיפלגי, מ"ס: על מנת שירצה האב - ע"מ שישתוק האב, והא שתיק ליה; ומ"ס: </w:t>
      </w:r>
      <w:r w:rsidR="006957D9">
        <w:rPr>
          <w:rStyle w:val="Style1Char"/>
          <w:rFonts w:hint="cs"/>
          <w:rtl/>
        </w:rPr>
        <w:t>(2)</w:t>
      </w:r>
      <w:r w:rsidRPr="00657C31">
        <w:rPr>
          <w:rStyle w:val="Style1Char"/>
          <w:color w:val="00B050"/>
          <w:rtl/>
        </w:rPr>
        <w:t xml:space="preserve">ע"מ שיאמר אבא הן, והא לא אמר אבא הן. איתיביה: מודים חכמים לרבי אליעזר, </w:t>
      </w:r>
      <w:r w:rsidR="008A0DFE">
        <w:rPr>
          <w:rStyle w:val="Style1Char"/>
          <w:rFonts w:hint="cs"/>
          <w:rtl/>
        </w:rPr>
        <w:t>(3)</w:t>
      </w:r>
      <w:r w:rsidRPr="00657C31">
        <w:rPr>
          <w:rStyle w:val="Style1Char"/>
          <w:color w:val="00B050"/>
          <w:rtl/>
        </w:rPr>
        <w:t xml:space="preserve">בקטנה שהשיאה אביה ונתגרשה, והיא יתומה בחיי האב, והחזירה - שחולצת ולא מתיבמת, מפני שגירושיה גירושין גמורין, ואין חזרתה חזרה גמורה; במה דברים אמורים - </w:t>
      </w:r>
      <w:r w:rsidR="008A0DFE">
        <w:rPr>
          <w:rStyle w:val="Style1Char"/>
          <w:rFonts w:hint="cs"/>
          <w:rtl/>
        </w:rPr>
        <w:t>(3)</w:t>
      </w:r>
      <w:r w:rsidRPr="00657C31">
        <w:rPr>
          <w:rStyle w:val="Style1Char"/>
          <w:color w:val="00B050"/>
          <w:rtl/>
        </w:rPr>
        <w:t xml:space="preserve">שגירשה כשהיא קטנה והחזירה כשהיא קטנה, אבל גירשה כשהיא קטנה והחזירה כשהיא גדולה, או שהחזירה כשהיא קטנה וגדלה אצלו, ומת - או חולצת או מתיבמת; </w:t>
      </w:r>
    </w:p>
    <w:p w14:paraId="745D2441" w14:textId="163EE66A" w:rsidR="00F12983" w:rsidRDefault="00F12983" w:rsidP="00F12983">
      <w:pPr>
        <w:pStyle w:val="Style1"/>
        <w:rPr>
          <w:rStyle w:val="Style1Char"/>
          <w:rtl/>
        </w:rPr>
      </w:pPr>
      <w:r>
        <w:rPr>
          <w:rStyle w:val="Style1Char"/>
          <w:rFonts w:hint="cs"/>
          <w:rtl/>
        </w:rPr>
        <w:t>1)[</w:t>
      </w:r>
      <w:r w:rsidRPr="00F12983">
        <w:rPr>
          <w:rStyle w:val="Style1Char"/>
          <w:rtl/>
        </w:rPr>
        <w:t>רמב</w:t>
      </w:r>
      <w:r w:rsidR="00213DA1">
        <w:rPr>
          <w:rStyle w:val="Style1Char"/>
          <w:rtl/>
        </w:rPr>
        <w:t>”ם \נשים\</w:t>
      </w:r>
      <w:r w:rsidRPr="00F12983">
        <w:rPr>
          <w:rStyle w:val="Style1Char"/>
          <w:rtl/>
        </w:rPr>
        <w:t xml:space="preserve"> הלכות אישות פרק ד הלכה כ</w:t>
      </w:r>
      <w:r>
        <w:rPr>
          <w:rStyle w:val="Style1Char"/>
          <w:rFonts w:hint="cs"/>
          <w:rtl/>
        </w:rPr>
        <w:t xml:space="preserve">] </w:t>
      </w:r>
      <w:r w:rsidRPr="00F12983">
        <w:rPr>
          <w:rStyle w:val="Style1Char"/>
          <w:rtl/>
        </w:rPr>
        <w:t>המקדש אשה בפחות מפרוטה או שקידש שתי נשים בפרוטה אף על פי ששלח סבלונות אחר מכן אינה מקודשת, וכן קטן שקידש אף על פי ששלח סבלונות אחר שהגדיל אינה מקודשת שמחמת קידושין הראשונים שלחן שהיו קידושין פסולין.</w:t>
      </w:r>
    </w:p>
    <w:p w14:paraId="18FB5C94" w14:textId="77777777" w:rsidR="003E667A" w:rsidRPr="00E91674" w:rsidRDefault="008261D4" w:rsidP="00E91674">
      <w:pPr>
        <w:pStyle w:val="Style1"/>
      </w:pPr>
      <w:r>
        <w:rPr>
          <w:rStyle w:val="Style1Char"/>
          <w:rFonts w:hint="cs"/>
          <w:rtl/>
        </w:rPr>
        <w:t>1)[</w:t>
      </w:r>
      <w:r w:rsidRPr="008261D4">
        <w:rPr>
          <w:rStyle w:val="Style1Char"/>
          <w:rtl/>
        </w:rPr>
        <w:t>שולחן ערוך אבן העזר הלכות קידושין סימן לא סעיף ט</w:t>
      </w:r>
      <w:r>
        <w:rPr>
          <w:rStyle w:val="Style1Char"/>
          <w:rFonts w:hint="cs"/>
          <w:rtl/>
        </w:rPr>
        <w:t>]</w:t>
      </w:r>
      <w:r w:rsidR="003E667A">
        <w:rPr>
          <w:rStyle w:val="Style1Char"/>
          <w:rFonts w:hint="cs"/>
          <w:rtl/>
        </w:rPr>
        <w:t xml:space="preserve"> </w:t>
      </w:r>
      <w:r w:rsidR="003E667A" w:rsidRPr="00E91674">
        <w:rPr>
          <w:rtl/>
        </w:rPr>
        <w:t>קדשה בכסף פחות משוה פרוטה, אף על פי ששלח לה סבלונות</w:t>
      </w:r>
      <w:r w:rsidR="003E667A" w:rsidRPr="00E91674">
        <w:t xml:space="preserve"> (</w:t>
      </w:r>
      <w:r w:rsidR="003E667A" w:rsidRPr="00E91674">
        <w:rPr>
          <w:rtl/>
        </w:rPr>
        <w:t>פירוש דורונות, כי הוא לשון סבל ומשא, ונמצא משא בלשון מתנה, כמו "וישא משאת</w:t>
      </w:r>
      <w:r w:rsidR="003E667A" w:rsidRPr="00E91674">
        <w:t>" (</w:t>
      </w:r>
      <w:hyperlink r:id="rId178" w:tooltip="בראשית מג לד" w:history="1">
        <w:r w:rsidR="003E667A" w:rsidRPr="00E91674">
          <w:rPr>
            <w:rStyle w:val="Hyperlink"/>
            <w:color w:val="7030A0"/>
            <w:u w:val="none"/>
            <w:rtl/>
          </w:rPr>
          <w:t>בראשית מג, לד</w:t>
        </w:r>
      </w:hyperlink>
      <w:r w:rsidR="003E667A" w:rsidRPr="00E91674">
        <w:t xml:space="preserve">)) </w:t>
      </w:r>
      <w:r w:rsidR="003E667A" w:rsidRPr="00E91674">
        <w:rPr>
          <w:rtl/>
        </w:rPr>
        <w:t>אחר כך, אין חוששין ששלח אותן סבלונות לשם קדושין. אבל אם קדשה בפחות משוה פרוטה, ואחר כך בא עליה סתם בפני עדים, צריכה גט, שודאי בעל לשם קדושין</w:t>
      </w:r>
      <w:r w:rsidR="003E667A" w:rsidRPr="00E91674">
        <w:t>.</w:t>
      </w:r>
    </w:p>
    <w:p w14:paraId="7E1B6909" w14:textId="5ADAB661" w:rsidR="003E667A" w:rsidRDefault="003E667A" w:rsidP="00E91674">
      <w:pPr>
        <w:pStyle w:val="Style1"/>
        <w:rPr>
          <w:rtl/>
        </w:rPr>
      </w:pPr>
      <w:r w:rsidRPr="00E91674">
        <w:rPr>
          <w:rFonts w:hint="cs"/>
          <w:rtl/>
        </w:rPr>
        <w:lastRenderedPageBreak/>
        <w:t>הגה: הוא הדין קטן שקדש ונתגדל אצלה, צריכה גט, דודאי בעל כשהגדיל לשם קדושין</w:t>
      </w:r>
      <w:r w:rsidRPr="00E91674">
        <w:rPr>
          <w:rFonts w:hint="cs"/>
        </w:rPr>
        <w:t xml:space="preserve"> (</w:t>
      </w:r>
      <w:hyperlink r:id="rId179" w:tooltip="טור אבן העזר מג" w:history="1">
        <w:r w:rsidRPr="00E91674">
          <w:rPr>
            <w:rStyle w:val="Hyperlink"/>
            <w:rFonts w:hint="cs"/>
            <w:color w:val="7030A0"/>
            <w:u w:val="none"/>
            <w:rtl/>
          </w:rPr>
          <w:t>טור סימן מ"ג</w:t>
        </w:r>
      </w:hyperlink>
      <w:r w:rsidRPr="00E91674">
        <w:rPr>
          <w:rFonts w:hint="cs"/>
        </w:rPr>
        <w:t> </w:t>
      </w:r>
      <w:r w:rsidRPr="00E91674">
        <w:rPr>
          <w:rFonts w:hint="cs"/>
          <w:rtl/>
        </w:rPr>
        <w:t>ותשובת הרא"ש כלל ל"ה). ודוקא בכהאי גוונא, שכל אדם יודע דאין קדושי קטן או בפחות מפרוטה כלום, ולכן בעל לשם קדושין. אבל במקום דאיכא למיטעי, צריך קדושין אחרים (תשובת מימוני סוף נשים), כמו שנתבאר סימן זה </w:t>
      </w:r>
      <w:hyperlink r:id="rId180" w:anchor="%D7%A1%D7%A2%D7%99%D7%A3_%D7%93" w:history="1">
        <w:r w:rsidRPr="00E91674">
          <w:rPr>
            <w:rStyle w:val="Hyperlink"/>
            <w:rFonts w:hint="cs"/>
            <w:color w:val="7030A0"/>
            <w:u w:val="none"/>
            <w:rtl/>
          </w:rPr>
          <w:t>סעיף ד</w:t>
        </w:r>
        <w:r w:rsidRPr="00E91674">
          <w:rPr>
            <w:rStyle w:val="Hyperlink"/>
            <w:rFonts w:hint="cs"/>
            <w:color w:val="7030A0"/>
            <w:u w:val="none"/>
          </w:rPr>
          <w:t>'</w:t>
        </w:r>
      </w:hyperlink>
      <w:r w:rsidRPr="00E91674">
        <w:t>:</w:t>
      </w:r>
    </w:p>
    <w:p w14:paraId="208EA29E" w14:textId="375004C6" w:rsidR="00682732" w:rsidRDefault="00682732" w:rsidP="00682732">
      <w:pPr>
        <w:pStyle w:val="Style1"/>
        <w:rPr>
          <w:rtl/>
        </w:rPr>
      </w:pPr>
      <w:r>
        <w:rPr>
          <w:rFonts w:hint="cs"/>
          <w:rtl/>
        </w:rPr>
        <w:t>2)[</w:t>
      </w:r>
      <w:r>
        <w:rPr>
          <w:rtl/>
        </w:rPr>
        <w:t>רמב</w:t>
      </w:r>
      <w:r w:rsidR="00213DA1">
        <w:rPr>
          <w:rtl/>
        </w:rPr>
        <w:t>”ם \נשים\</w:t>
      </w:r>
      <w:r>
        <w:rPr>
          <w:rtl/>
        </w:rPr>
        <w:t xml:space="preserve"> הלכות אישות פרק ז הלכה א</w:t>
      </w:r>
      <w:r>
        <w:rPr>
          <w:rFonts w:hint="cs"/>
          <w:rtl/>
        </w:rPr>
        <w:t xml:space="preserve">] </w:t>
      </w:r>
      <w:r>
        <w:rPr>
          <w:rtl/>
        </w:rPr>
        <w:t>האומר לאשה הרי את מקודשת לי על מנת שירצה אבי, רצה האב מקודשת לא רצה או ששתק או שמת קודם שישמע הדבר אינה מקודשת, על מנת שלא ימחה אבי, שמע ומיחה אינה מקודשת, לא מיחה או שמת הרי זו מקודשת, מת הבן ואחר כך שמע האב מלמדין את האב שיאמר אינו רוצה כדי שלא יהו שם קידושין ולא תפול לפני יבם. /השגת הראב"ד/ לא רצה או ששתק או שמת קודם ששמע הדבר אינה מקודשת. א"א לא הסכים יפה לשמועה זו שהוא רוצה לומר דעל מנת שירצה אבא עד דאמר אין משמע, ושמעתא לא אזלא הכי אלא עד דאמר בפי' ומסתמא עד שישתוק משמע הילכך שתק כששמע מקודשת, ולתירוצא בתרא דשמעתא על מנת שירצה אבא שלא ימחה משמע. /השגת הראב"ד/ מת הבן ואחר כך שמע האב מלמדין את האב שיאמר איני רוצה. א"א ואפילו שמע קודם שמת הבן דשלא ימחה אין לו זמן למחאה אלא אם כן נתן לו זמן שלא ימחה בתוך כך וכך, ודקאמ' לא מיח' או שמת הרי זו מקודשת לא מיחה היינו שתק אם כן מה בין שישתוק לשלא ימחה.</w:t>
      </w:r>
    </w:p>
    <w:p w14:paraId="4EEF35EC" w14:textId="06E1D124" w:rsidR="007C19EC" w:rsidRDefault="007C19EC" w:rsidP="007C19EC">
      <w:pPr>
        <w:pStyle w:val="Style1"/>
        <w:rPr>
          <w:rtl/>
        </w:rPr>
      </w:pPr>
      <w:r>
        <w:rPr>
          <w:rFonts w:hint="cs"/>
          <w:rtl/>
        </w:rPr>
        <w:t>2)[</w:t>
      </w:r>
      <w:r>
        <w:rPr>
          <w:rtl/>
        </w:rPr>
        <w:t>שולחן ערוך אבן העזר הלכות קידושין סימן לח סעיף ח</w:t>
      </w:r>
      <w:r>
        <w:rPr>
          <w:rFonts w:hint="cs"/>
          <w:rtl/>
        </w:rPr>
        <w:t>]</w:t>
      </w:r>
      <w:r w:rsidR="00F53634">
        <w:rPr>
          <w:rFonts w:hint="cs"/>
          <w:rtl/>
        </w:rPr>
        <w:t xml:space="preserve"> </w:t>
      </w:r>
      <w:r w:rsidR="00F53634" w:rsidRPr="00F53634">
        <w:rPr>
          <w:rtl/>
        </w:rPr>
        <w:t>האומר לאשה: הרי את מקודשת לי על מנת שירצה אבי, רצה האב, מקודשת; לא רצה, או ששתק או שמת קודם שישמע הדבר, אינה מקודשת</w:t>
      </w:r>
      <w:r w:rsidR="00F53634" w:rsidRPr="00F53634">
        <w:t>:</w:t>
      </w:r>
    </w:p>
    <w:p w14:paraId="20211764" w14:textId="54A88F84" w:rsidR="00D433F2" w:rsidRDefault="00D433F2" w:rsidP="00D433F2">
      <w:pPr>
        <w:pStyle w:val="Style1"/>
        <w:rPr>
          <w:rtl/>
        </w:rPr>
      </w:pPr>
      <w:r>
        <w:rPr>
          <w:rFonts w:hint="cs"/>
          <w:rtl/>
        </w:rPr>
        <w:t>3)[</w:t>
      </w:r>
      <w:r>
        <w:rPr>
          <w:rtl/>
        </w:rPr>
        <w:t>רמב</w:t>
      </w:r>
      <w:r w:rsidR="00EC109D">
        <w:rPr>
          <w:rtl/>
        </w:rPr>
        <w:t>”ם \נשים\</w:t>
      </w:r>
      <w:r>
        <w:rPr>
          <w:rtl/>
        </w:rPr>
        <w:t xml:space="preserve"> הלכות יבום וחליצה פרק ז הלכה יג</w:t>
      </w:r>
      <w:r>
        <w:rPr>
          <w:rFonts w:hint="cs"/>
          <w:rtl/>
        </w:rPr>
        <w:t xml:space="preserve">] </w:t>
      </w:r>
      <w:r>
        <w:rPr>
          <w:rtl/>
        </w:rPr>
        <w:t>קטנה שהשיאה אביה וגירשה בעלה והחזירה ומת ועדיין היא קטנה הרי זו אסורה ליבם מפני שגירושיה גירושין גמורין שהרי אביה השיאה ואין חזרתה חזרה גמורה שאין קידושי קטנה קידושין גמורין כמו שבארנו.</w:t>
      </w:r>
    </w:p>
    <w:p w14:paraId="52B78E0E" w14:textId="5CE87DF4" w:rsidR="003C29A9" w:rsidRPr="00F53634" w:rsidRDefault="003C29A9" w:rsidP="003C29A9">
      <w:pPr>
        <w:pStyle w:val="Style1"/>
      </w:pPr>
      <w:r>
        <w:rPr>
          <w:rFonts w:hint="cs"/>
          <w:rtl/>
        </w:rPr>
        <w:t>3)[</w:t>
      </w:r>
      <w:r>
        <w:rPr>
          <w:rtl/>
        </w:rPr>
        <w:t>שולחן ערוך אבן העזר הלכות חליצה ויבום סימן קעג סעיף טז</w:t>
      </w:r>
      <w:r>
        <w:rPr>
          <w:rFonts w:hint="cs"/>
          <w:rtl/>
        </w:rPr>
        <w:t xml:space="preserve">] </w:t>
      </w:r>
      <w:r>
        <w:rPr>
          <w:rtl/>
        </w:rPr>
        <w:t>המגרש אשתו גדולה, או קטנה שהשיאוה אחיה, והחזירה, ומת, ונפלה לפני יבם, מותרת לו. אבל קטנה שהשיאוה אביה, ונתגרשה בקטנותה על ידי אביה, והחזירה ומת בעודה קטנה, אסורה ליבם. וכן הדין במגרש הפקחת, ונתחרשה, והחזירה, ומת, והיא חרשת; ובין בזו ובין בזו, צרתה מותרת להתייבם.</w:t>
      </w:r>
    </w:p>
    <w:p w14:paraId="55548C60" w14:textId="434C6ADE" w:rsidR="007C19EC" w:rsidRPr="00E91674" w:rsidRDefault="007C19EC" w:rsidP="007C19EC">
      <w:pPr>
        <w:pStyle w:val="Style1"/>
      </w:pPr>
    </w:p>
    <w:p w14:paraId="13939A2E" w14:textId="77777777" w:rsidR="00682732" w:rsidRPr="00682732" w:rsidRDefault="00682732" w:rsidP="00682732">
      <w:pPr>
        <w:pStyle w:val="Style1"/>
      </w:pPr>
    </w:p>
    <w:p w14:paraId="73005E52" w14:textId="7C998536" w:rsidR="008261D4" w:rsidRPr="00E91674" w:rsidRDefault="008261D4" w:rsidP="00E91674">
      <w:pPr>
        <w:pStyle w:val="Style1"/>
        <w:rPr>
          <w:rStyle w:val="Style1Char"/>
        </w:rPr>
      </w:pPr>
    </w:p>
    <w:p w14:paraId="4018E23A" w14:textId="77777777" w:rsidR="002165BA" w:rsidRPr="003B583C" w:rsidRDefault="002165BA" w:rsidP="002165BA">
      <w:pPr>
        <w:bidi/>
        <w:rPr>
          <w:rStyle w:val="Style1Char"/>
          <w:color w:val="00B050"/>
          <w:rtl/>
        </w:rPr>
      </w:pPr>
    </w:p>
    <w:p w14:paraId="15ABADE7" w14:textId="77777777" w:rsidR="002165BA" w:rsidRPr="00251692" w:rsidRDefault="002165BA" w:rsidP="002165BA">
      <w:pPr>
        <w:bidi/>
        <w:rPr>
          <w:rStyle w:val="Style1Char"/>
          <w:color w:val="C00000"/>
        </w:rPr>
      </w:pPr>
    </w:p>
    <w:p w14:paraId="763B40CB" w14:textId="77777777" w:rsidR="002165BA" w:rsidRDefault="002165BA" w:rsidP="002165BA">
      <w:pPr>
        <w:rPr>
          <w:rStyle w:val="Style1Char"/>
          <w:color w:val="00B050"/>
          <w:rtl/>
        </w:rPr>
      </w:pPr>
      <w:r>
        <w:rPr>
          <w:rStyle w:val="Style1Char"/>
          <w:color w:val="00B050"/>
          <w:rtl/>
        </w:rPr>
        <w:br w:type="page"/>
      </w:r>
    </w:p>
    <w:p w14:paraId="5A31AFB2" w14:textId="68F0CBC1" w:rsidR="002165BA" w:rsidRDefault="002165BA" w:rsidP="002165BA">
      <w:pPr>
        <w:bidi/>
        <w:rPr>
          <w:rStyle w:val="Style1Char"/>
          <w:color w:val="auto"/>
          <w:rtl/>
        </w:rPr>
      </w:pPr>
      <w:r w:rsidRPr="0091453F">
        <w:rPr>
          <w:rStyle w:val="Style1Char"/>
          <w:color w:val="00B050"/>
          <w:sz w:val="22"/>
          <w:szCs w:val="22"/>
          <w:highlight w:val="yellow"/>
          <w:rtl/>
        </w:rPr>
        <w:lastRenderedPageBreak/>
        <w:t>[דף עד עמוד א]</w:t>
      </w:r>
      <w:r w:rsidRPr="0091453F">
        <w:rPr>
          <w:rStyle w:val="Style1Char"/>
          <w:color w:val="00B050"/>
          <w:sz w:val="22"/>
          <w:szCs w:val="22"/>
          <w:rtl/>
        </w:rPr>
        <w:t xml:space="preserve"> </w:t>
      </w:r>
      <w:r w:rsidRPr="00657C31">
        <w:rPr>
          <w:rStyle w:val="Style1Char"/>
          <w:color w:val="00B050"/>
          <w:rtl/>
        </w:rPr>
        <w:t xml:space="preserve">משום רבי אליעזר אמרו: חולצת ולא מתייבמת; והא הכא דכטעות אשה אחת דמי, ופליגי! התם נמי בהא קמיפלגי, מר סבר: אדם יודע שאין קידושי קטנה כלום, וגמר ובעל לשם קידושין; ומ"ס: אין אדם יודע שאין קידושי קטנה כלום, וכי קא בעל - אדעתא דקידושין הראשונים קא בעל. אתמר נמי, </w:t>
      </w:r>
      <w:r w:rsidRPr="008B5588">
        <w:rPr>
          <w:rStyle w:val="Style1Char"/>
          <w:sz w:val="22"/>
          <w:szCs w:val="22"/>
          <w:rtl/>
        </w:rPr>
        <w:t>אמר רב אחא בר יעקב</w:t>
      </w:r>
      <w:r w:rsidRPr="00657C31">
        <w:rPr>
          <w:rStyle w:val="Style1Char"/>
          <w:color w:val="00B050"/>
          <w:rtl/>
        </w:rPr>
        <w:t xml:space="preserve"> </w:t>
      </w:r>
      <w:r w:rsidRPr="008B5588">
        <w:rPr>
          <w:rStyle w:val="Style1Char"/>
          <w:sz w:val="22"/>
          <w:szCs w:val="22"/>
          <w:rtl/>
        </w:rPr>
        <w:t xml:space="preserve">אמר רבי יוחנן: המקדש על תנאי ובעל </w:t>
      </w:r>
      <w:r w:rsidRPr="00657C31">
        <w:rPr>
          <w:rStyle w:val="Style1Char"/>
          <w:color w:val="00B050"/>
          <w:rtl/>
        </w:rPr>
        <w:t xml:space="preserve">- [דברי הכל] </w:t>
      </w:r>
      <w:r w:rsidRPr="00A5438F">
        <w:rPr>
          <w:rStyle w:val="Style1Char"/>
          <w:sz w:val="22"/>
          <w:szCs w:val="22"/>
          <w:rtl/>
        </w:rPr>
        <w:t>אינה צריכה הימנו גט</w:t>
      </w:r>
      <w:r w:rsidRPr="00657C31">
        <w:rPr>
          <w:rStyle w:val="Style1Char"/>
          <w:color w:val="00B050"/>
          <w:rtl/>
        </w:rPr>
        <w:t xml:space="preserve">. </w:t>
      </w:r>
      <w:r w:rsidRPr="00251692">
        <w:rPr>
          <w:rStyle w:val="Style1Char"/>
          <w:color w:val="C00000"/>
          <w:rtl/>
        </w:rPr>
        <w:t xml:space="preserve">ושמעת מינה דהדא היא טעות אשה אחת גרידתא דלא צריכה גיטא משום דמקח טעות הוא אלו דברי רבא ואפילו הכי לית הלכתא כוותיה דהא אסקינן </w:t>
      </w:r>
      <w:r w:rsidRPr="00657C31">
        <w:rPr>
          <w:rStyle w:val="Style1Char"/>
          <w:color w:val="00B050"/>
          <w:rtl/>
        </w:rPr>
        <w:t xml:space="preserve">איתיביה רב אחא בריה דרב איקא בר אחתיה: חליצה מוטעת - כשירה, איזו היא חליצה מוטעת? אמר ריש לקיש: כל שאומר לו חלוץ לה ובכך אתה כונסה; אמר ר' יוחנן, אני שונה: בין שנתכוון הוא ולא נתכוונה היא, בין שנתכוונה היא ולא נתכוון הוא - </w:t>
      </w:r>
      <w:r w:rsidR="005F7BED">
        <w:rPr>
          <w:rStyle w:val="Style1Char"/>
          <w:rFonts w:hint="cs"/>
          <w:rtl/>
        </w:rPr>
        <w:t>(1)</w:t>
      </w:r>
      <w:r w:rsidRPr="00657C31">
        <w:rPr>
          <w:rStyle w:val="Style1Char"/>
          <w:color w:val="00B050"/>
          <w:rtl/>
        </w:rPr>
        <w:t xml:space="preserve">חליצתה פסולה, עד שיתכוונו שניהם, ואת אמרת: חליצתה כשרה! אלא אמר רבי יוחנן: </w:t>
      </w:r>
      <w:r w:rsidR="007B6153">
        <w:rPr>
          <w:rStyle w:val="Style1Char"/>
          <w:rFonts w:hint="cs"/>
          <w:rtl/>
        </w:rPr>
        <w:t>(2)</w:t>
      </w:r>
      <w:r w:rsidRPr="00657C31">
        <w:rPr>
          <w:rStyle w:val="Style1Char"/>
          <w:color w:val="00B050"/>
          <w:rtl/>
        </w:rPr>
        <w:t xml:space="preserve">כל שאומר לו חלוץ לה על מנת שתתן לך מאתים זוז; אלמא כיון דעבד מעשה אחולי אחליה לתנאיה, הכא נמי כיון דבעל אחולי אחליה לתנאיה! א"ל: בר בי רב, שפיר קא אמרת? מכדי כל תנאי מהיכא גמרינן? מתנאי בני גד ובני ראובן, תנאה דאפשר לקיומיה ע"י שליח כי התם - הוי תנאיה תנאה, דלא אפשר לקיומיה ע"י שליח כי התם - לא הוי תנאה. והא ביאה, דלא אפשר לקיומיה ע"י שליח כי התם, וקא הוי תנאה! התם משום דאיתקוש הויות להדדי. אמר רב עולא בר אבא אמר עולא אמר רבי אלעזר: </w:t>
      </w:r>
      <w:r w:rsidR="006A738D">
        <w:rPr>
          <w:rStyle w:val="Style1Char"/>
          <w:rFonts w:hint="cs"/>
          <w:rtl/>
        </w:rPr>
        <w:t>(</w:t>
      </w:r>
      <w:r w:rsidR="00A33FDC">
        <w:rPr>
          <w:rStyle w:val="Style1Char"/>
          <w:rFonts w:hint="cs"/>
          <w:rtl/>
        </w:rPr>
        <w:t>3</w:t>
      </w:r>
      <w:r w:rsidR="006A738D">
        <w:rPr>
          <w:rStyle w:val="Style1Char"/>
          <w:rFonts w:hint="cs"/>
          <w:rtl/>
        </w:rPr>
        <w:t>)</w:t>
      </w:r>
      <w:r w:rsidRPr="00657C31">
        <w:rPr>
          <w:rStyle w:val="Style1Char"/>
          <w:color w:val="00B050"/>
          <w:rtl/>
        </w:rPr>
        <w:t xml:space="preserve">המקדש במלוה ובעל, </w:t>
      </w:r>
      <w:r w:rsidR="00A33FDC">
        <w:rPr>
          <w:rStyle w:val="Style1Char"/>
          <w:rFonts w:hint="cs"/>
          <w:rtl/>
        </w:rPr>
        <w:t>(</w:t>
      </w:r>
      <w:r w:rsidR="00986757">
        <w:rPr>
          <w:rStyle w:val="Style1Char"/>
          <w:rFonts w:hint="cs"/>
          <w:rtl/>
        </w:rPr>
        <w:t>3.1, 4</w:t>
      </w:r>
      <w:r w:rsidR="00A33FDC">
        <w:rPr>
          <w:rStyle w:val="Style1Char"/>
          <w:rFonts w:hint="cs"/>
          <w:rtl/>
        </w:rPr>
        <w:t>)</w:t>
      </w:r>
      <w:r w:rsidRPr="00657C31">
        <w:rPr>
          <w:rStyle w:val="Style1Char"/>
          <w:color w:val="00B050"/>
          <w:rtl/>
        </w:rPr>
        <w:t xml:space="preserve">על תנאי ובעל, </w:t>
      </w:r>
      <w:r w:rsidR="007F4034">
        <w:rPr>
          <w:rStyle w:val="Style1Char"/>
          <w:rFonts w:hint="cs"/>
          <w:rtl/>
        </w:rPr>
        <w:t>(3, 5)</w:t>
      </w:r>
      <w:r w:rsidRPr="00657C31">
        <w:rPr>
          <w:rStyle w:val="Style1Char"/>
          <w:color w:val="00B050"/>
          <w:rtl/>
        </w:rPr>
        <w:t xml:space="preserve">בפחות משוה פרוטה ובעל - דברי הכל צריכה הימנו גט. </w:t>
      </w:r>
      <w:r w:rsidRPr="00065410">
        <w:rPr>
          <w:rStyle w:val="Style1Char"/>
          <w:color w:val="auto"/>
          <w:sz w:val="22"/>
          <w:szCs w:val="22"/>
          <w:rtl/>
        </w:rPr>
        <w:t>אמר רב יוסף בר אבא אמר רבי מנחם א"ר אמי: המקדש בפחות משוה פרוטה ובעל - צריכה הימנו גט</w:t>
      </w:r>
      <w:r w:rsidRPr="00065410">
        <w:rPr>
          <w:rStyle w:val="Style1Char"/>
          <w:color w:val="auto"/>
          <w:rtl/>
        </w:rPr>
        <w:t xml:space="preserve"> </w:t>
      </w:r>
      <w:r w:rsidRPr="00251692">
        <w:rPr>
          <w:rStyle w:val="Style1Char"/>
          <w:color w:val="C00000"/>
          <w:rtl/>
        </w:rPr>
        <w:t xml:space="preserve">חזקה </w:t>
      </w:r>
      <w:r w:rsidRPr="004D60C1">
        <w:rPr>
          <w:rStyle w:val="Style1Char"/>
          <w:color w:val="806000" w:themeColor="accent4" w:themeShade="80"/>
          <w:rtl/>
        </w:rPr>
        <w:t>אין אדם עושה בעילתו בעילת זנות</w:t>
      </w:r>
      <w:r w:rsidRPr="00251692">
        <w:rPr>
          <w:rStyle w:val="Style1Char"/>
          <w:color w:val="C00000"/>
          <w:rtl/>
        </w:rPr>
        <w:t>: (הג"ה אבל המקדש במלוה או על תנאי אינה צריכה ממנו גט מ"ט בההוא לא טעו אינשי אבל בהנך טעו אינשי עד כאן):</w:t>
      </w:r>
      <w:r w:rsidRPr="00657C31">
        <w:rPr>
          <w:rStyle w:val="Style1Char"/>
          <w:color w:val="00B050"/>
          <w:rtl/>
        </w:rPr>
        <w:t xml:space="preserve">, </w:t>
      </w:r>
      <w:r w:rsidRPr="0090133A">
        <w:rPr>
          <w:rStyle w:val="Style1Char"/>
          <w:color w:val="4472C4" w:themeColor="accent1"/>
          <w:rtl/>
        </w:rPr>
        <w:t>מדלא הביא רב אלפס המקדש במלוה ובעל משמע דס"ל דאינה צריכה גט לפי שאין הכל יודעין שהמקדש במלוה אינה מקודשת הלכך אינו בועל לשם קידושין. כתב בהלכות גדולות המקדש במלוה ובעל צריכה גט וכן כתב הרמב"ם (פ"ז מהל' אישות) וכן ראוי להחמיר</w:t>
      </w:r>
      <w:r w:rsidRPr="0090133A">
        <w:rPr>
          <w:rStyle w:val="Style1Char"/>
          <w:color w:val="4472C4" w:themeColor="accent1"/>
        </w:rPr>
        <w:t xml:space="preserve">: </w:t>
      </w:r>
      <w:r w:rsidRPr="00657C31">
        <w:rPr>
          <w:rStyle w:val="Style1Char"/>
          <w:color w:val="00B050"/>
          <w:rtl/>
        </w:rPr>
        <w:t xml:space="preserve">בהא הוא דלא טעי, אבל בהנך טעי. </w:t>
      </w:r>
      <w:r w:rsidRPr="00F7664B">
        <w:rPr>
          <w:rStyle w:val="Style1Char"/>
          <w:sz w:val="22"/>
          <w:szCs w:val="22"/>
          <w:rtl/>
        </w:rPr>
        <w:t>אמר רב כהנא משמיה דעולא: המקדש על תנאי ובעל - צריכה הימנו גט</w:t>
      </w:r>
      <w:r w:rsidRPr="006D0511">
        <w:rPr>
          <w:rStyle w:val="Style1Char"/>
          <w:color w:val="auto"/>
          <w:sz w:val="22"/>
          <w:szCs w:val="22"/>
          <w:rtl/>
        </w:rPr>
        <w:t xml:space="preserve">, זה היה מעשה, ולא היה כח בחכמים להוציאה בלא גט. לאפוקי מהאי תנא, דאמר רב יהודה אמר שמואל משום רבי ישמעאל: והיא לא נתפשה אסורה, הא נתפשה מותרת, ויש לך אחרת שאף על פי שלא נתפשה מותרת, ואיזו? זו שקידושיה קידושי טעות, שאפילו בנה מורכב על כתיפה </w:t>
      </w:r>
      <w:r w:rsidRPr="006D0511">
        <w:rPr>
          <w:rStyle w:val="Style1Char"/>
          <w:color w:val="auto"/>
          <w:rtl/>
        </w:rPr>
        <w:t xml:space="preserve">– </w:t>
      </w:r>
    </w:p>
    <w:p w14:paraId="14BD8563" w14:textId="6B6663EE" w:rsidR="00357F05" w:rsidRDefault="00357F05" w:rsidP="00357F05">
      <w:pPr>
        <w:pStyle w:val="Style1"/>
        <w:rPr>
          <w:rStyle w:val="Style1Char"/>
          <w:rtl/>
        </w:rPr>
      </w:pPr>
      <w:r>
        <w:rPr>
          <w:rStyle w:val="Style1Char"/>
          <w:rFonts w:hint="cs"/>
          <w:rtl/>
        </w:rPr>
        <w:t>1)[</w:t>
      </w:r>
      <w:r w:rsidRPr="00357F05">
        <w:rPr>
          <w:rStyle w:val="Style1Char"/>
          <w:rtl/>
        </w:rPr>
        <w:t>רמב</w:t>
      </w:r>
      <w:r w:rsidR="00EC109D">
        <w:rPr>
          <w:rStyle w:val="Style1Char"/>
          <w:rtl/>
        </w:rPr>
        <w:t>”ם \נשים\</w:t>
      </w:r>
      <w:r w:rsidRPr="00357F05">
        <w:rPr>
          <w:rStyle w:val="Style1Char"/>
          <w:rtl/>
        </w:rPr>
        <w:t xml:space="preserve"> הלכות יבום וחליצה פרק ד הלכה טז</w:t>
      </w:r>
      <w:r>
        <w:rPr>
          <w:rStyle w:val="Style1Char"/>
          <w:rFonts w:hint="cs"/>
          <w:rtl/>
        </w:rPr>
        <w:t xml:space="preserve">] </w:t>
      </w:r>
      <w:r w:rsidRPr="00357F05">
        <w:rPr>
          <w:rStyle w:val="Style1Char"/>
          <w:rtl/>
        </w:rPr>
        <w:t>חלצה בלילה, או שחלצה בפני שנים, או בפני שלשה ונמצא אחד מהן קרוב או פסול, או שהיה המנעל קשור למעלה מן הארכובה, או שהתיר הוא ושמטה היא, או שהתירה היא ושמט הוא, או שנתכוונה היא ולא נתכוון הוא, או שנתכוון הוא ולא נתכוונה היא, וכן קטנה שחלצה לגדול, חליצתה פסולה. וכן אם חלצה בפני יחיד ואפילו בינו לבינה ובלילה הרי זו חליצה פסולה, אבל חרש שוטה וקטן שחלצו וכל החולץ למי שהיא פטורה מן החליצה ומן היבום אינה חליצה.</w:t>
      </w:r>
    </w:p>
    <w:p w14:paraId="5FB54590" w14:textId="7A5A64B9" w:rsidR="00421B74" w:rsidRDefault="00421B74" w:rsidP="00421B74">
      <w:pPr>
        <w:pStyle w:val="Style1"/>
        <w:rPr>
          <w:rStyle w:val="Style1Char"/>
          <w:rtl/>
        </w:rPr>
      </w:pPr>
      <w:r>
        <w:rPr>
          <w:rStyle w:val="Style1Char"/>
          <w:rFonts w:hint="cs"/>
          <w:rtl/>
        </w:rPr>
        <w:t>1)[</w:t>
      </w:r>
      <w:r w:rsidRPr="00421B74">
        <w:rPr>
          <w:rStyle w:val="Style1Char"/>
          <w:rtl/>
        </w:rPr>
        <w:t>שולחן ערוך אבן העזר הלכות חליצה סימן קסט סעיף מד</w:t>
      </w:r>
      <w:r>
        <w:rPr>
          <w:rStyle w:val="Style1Char"/>
          <w:rFonts w:hint="cs"/>
          <w:rtl/>
        </w:rPr>
        <w:t xml:space="preserve">] </w:t>
      </w:r>
      <w:r w:rsidRPr="00421B74">
        <w:rPr>
          <w:rStyle w:val="Style1Char"/>
          <w:rtl/>
        </w:rPr>
        <w:t>צריך שיכוונו היבם והיבמה שתהא מותרת לזר בחליצה זו. נתכוין הוא ולא היא, או היא ולא הוא, לא הותרה; אבל חליצה פסולה היא לפוסלה על האחים. לפיכך יבמה שגדלה בין האחים, וראינו שחלצה נעלו של אחד מהם, אסורה להתייבם, שמא כוונו לשם חליצה; וצריכה חליצה כשרה, להתירה לזר; אבל כל זמן שלא ראינו שחלצה לאחד מהם, מותרת להתייבם, ואין חוששין שמא חלצה.</w:t>
      </w:r>
    </w:p>
    <w:p w14:paraId="78D6FB93" w14:textId="79A529DE" w:rsidR="00B97551" w:rsidRDefault="00B97551" w:rsidP="00B97551">
      <w:pPr>
        <w:pStyle w:val="Style1"/>
        <w:rPr>
          <w:rStyle w:val="Style1Char"/>
          <w:rtl/>
        </w:rPr>
      </w:pPr>
      <w:r>
        <w:rPr>
          <w:rStyle w:val="Style1Char"/>
          <w:rFonts w:hint="cs"/>
          <w:rtl/>
        </w:rPr>
        <w:t>2)[</w:t>
      </w:r>
      <w:r w:rsidRPr="00B97551">
        <w:rPr>
          <w:rStyle w:val="Style1Char"/>
          <w:rtl/>
        </w:rPr>
        <w:t>רמב</w:t>
      </w:r>
      <w:r w:rsidR="00EC109D">
        <w:rPr>
          <w:rStyle w:val="Style1Char"/>
          <w:rtl/>
        </w:rPr>
        <w:t>”ם \נשים\</w:t>
      </w:r>
      <w:r w:rsidRPr="00B97551">
        <w:rPr>
          <w:rStyle w:val="Style1Char"/>
          <w:rtl/>
        </w:rPr>
        <w:t xml:space="preserve"> הלכות יבום וחליצה פרק ד הלכה כד</w:t>
      </w:r>
      <w:r>
        <w:rPr>
          <w:rStyle w:val="Style1Char"/>
          <w:rFonts w:hint="cs"/>
          <w:rtl/>
        </w:rPr>
        <w:t xml:space="preserve">] </w:t>
      </w:r>
      <w:r w:rsidRPr="00B97551">
        <w:rPr>
          <w:rStyle w:val="Style1Char"/>
          <w:rtl/>
        </w:rPr>
        <w:t>חליצה מוטעת פסולה, כיצד כגון שאמרו לו חלוץ לה ובכך אתה כונסה, או שאמרו לו חלוץ לה שזו מצוה היא ואינה מפסדת עליך כלום ואם רצית אחר כך ליבם תיבם וכיוצא בדברים אלו, אבל אם הטעוהו ואמרו לו חלוץ לה על מנת שתתן לך מאתים זוז או על תנאי כך וכך אף על פי שלא נתנה ולא נתקיים התנאי חליצתה כשרה שהרי נתכוון לחלוץ לה.</w:t>
      </w:r>
    </w:p>
    <w:p w14:paraId="7059BB1B" w14:textId="01B20D4F" w:rsidR="00FC6DE9" w:rsidRDefault="00FC6DE9" w:rsidP="00FC6DE9">
      <w:pPr>
        <w:pStyle w:val="Style1"/>
        <w:rPr>
          <w:rStyle w:val="Style1Char"/>
          <w:rtl/>
        </w:rPr>
      </w:pPr>
      <w:r>
        <w:rPr>
          <w:rStyle w:val="Style1Char"/>
          <w:rFonts w:hint="cs"/>
          <w:rtl/>
        </w:rPr>
        <w:t>2)[</w:t>
      </w:r>
      <w:r w:rsidRPr="00FC6DE9">
        <w:rPr>
          <w:rStyle w:val="Style1Char"/>
          <w:rtl/>
        </w:rPr>
        <w:t>שולחן ערוך אבן העזר הלכות חליצה סימן קסט סעיף כ</w:t>
      </w:r>
      <w:r>
        <w:rPr>
          <w:rStyle w:val="Style1Char"/>
          <w:rFonts w:hint="cs"/>
          <w:rtl/>
        </w:rPr>
        <w:t xml:space="preserve">] </w:t>
      </w:r>
      <w:r w:rsidRPr="00FC6DE9">
        <w:rPr>
          <w:rStyle w:val="Style1Char"/>
          <w:rtl/>
        </w:rPr>
        <w:t>י"א שלא יהיה לו לשון כמו שרגילים לעשות במנעלים, כדי שלא יהא מעל דמעל. הגה: י"א לתפור: שפה סביב המנעל למעלה (ר"י מינ"ץ בשם ראבי"ה), ולא נהגו כן. ויזהר לתפרו בתפירות תכופות זו לזו (בסדר ר"י מרגליות). עז] ועושין אזני המנעל קצרים, שלא יהיה לולאות והקרסים על המנעל, רק על הרגל, שלא יהיה מעל דמעל (הגהות מרדכי).</w:t>
      </w:r>
    </w:p>
    <w:p w14:paraId="7EDA9BCC" w14:textId="476C5D5E" w:rsidR="00970F5C" w:rsidRDefault="00970F5C" w:rsidP="00970F5C">
      <w:pPr>
        <w:pStyle w:val="Style1"/>
        <w:rPr>
          <w:rtl/>
        </w:rPr>
      </w:pPr>
      <w:r>
        <w:rPr>
          <w:rFonts w:hint="cs"/>
          <w:rtl/>
        </w:rPr>
        <w:t>3)[</w:t>
      </w:r>
      <w:r>
        <w:rPr>
          <w:rtl/>
        </w:rPr>
        <w:t>רמב</w:t>
      </w:r>
      <w:r w:rsidR="00213DA1">
        <w:rPr>
          <w:rtl/>
        </w:rPr>
        <w:t>”ם \נשים\</w:t>
      </w:r>
      <w:r>
        <w:rPr>
          <w:rtl/>
        </w:rPr>
        <w:t xml:space="preserve"> הלכות אישות פרק ז הלכה כג</w:t>
      </w:r>
      <w:r>
        <w:rPr>
          <w:rFonts w:hint="cs"/>
          <w:rtl/>
        </w:rPr>
        <w:t xml:space="preserve">] </w:t>
      </w:r>
      <w:r>
        <w:rPr>
          <w:rtl/>
        </w:rPr>
        <w:t>המקדש על תנאי וחזר אחר כמה ימים וביטל התנאי אף על פי שבטלו בינו לבינה שלא בפני עדים בטל התנאי והרי היא מקודשת סתם. וכן אם היה התנאי מן האשה ובטלה אותו אחר כך בינה לבינו בטל התנאי, לפיכך המקדש על תנאי וכנס סתם או בעל סתם הרי זו צריכה גט אף על פי שלא נתקיים התנאי שמא ביטל התנאי כשבעל או כשכנס. וכן המקדש בפחות משוה פרוטה או במלוה וחזר ובעל סתם בפני עדים צריכה גט שעל בעילה זו סמך ולא על אותן הקידושין הפסולין, חזקה היא שאין אדם מישראל הכשרים עושה בעילתו בעילת זנות והרי בידו עתה לעשותה בעילת מצוה. /השגת הראב"ד/ אף על פי שבטלו בינו לבינה שלא בפני עדים בטל התנאי והרי היא מקודשת סתם. א"א אינו כן אלא א"כ כנסה סתם בעדים דהוה ליה כמו שביטל תנאו בעדים.</w:t>
      </w:r>
    </w:p>
    <w:p w14:paraId="45229C17" w14:textId="16F68912" w:rsidR="002147B8" w:rsidRPr="002147B8" w:rsidRDefault="00F91E9C" w:rsidP="002147B8">
      <w:pPr>
        <w:pStyle w:val="Style1"/>
      </w:pPr>
      <w:r>
        <w:rPr>
          <w:rFonts w:hint="cs"/>
          <w:rtl/>
        </w:rPr>
        <w:t>3)[</w:t>
      </w:r>
      <w:r>
        <w:rPr>
          <w:rtl/>
        </w:rPr>
        <w:t>שולחן ערוך אבן העזר הלכות קידושין סימן כח סעיף טז</w:t>
      </w:r>
      <w:r>
        <w:rPr>
          <w:rFonts w:hint="cs"/>
          <w:rtl/>
        </w:rPr>
        <w:t>]</w:t>
      </w:r>
      <w:r w:rsidR="002147B8">
        <w:rPr>
          <w:rFonts w:hint="cs"/>
          <w:rtl/>
        </w:rPr>
        <w:t xml:space="preserve"> </w:t>
      </w:r>
      <w:r w:rsidR="002147B8" w:rsidRPr="002147B8">
        <w:rPr>
          <w:rtl/>
        </w:rPr>
        <w:t>קידש במלוה ובעל סתם בפני עדים שראו שנתייחד עמה צריכה גט מספק</w:t>
      </w:r>
      <w:r w:rsidR="002147B8" w:rsidRPr="002147B8">
        <w:t>:</w:t>
      </w:r>
    </w:p>
    <w:p w14:paraId="5BCAF7E5" w14:textId="710E3FB7" w:rsidR="002147B8" w:rsidRDefault="002147B8" w:rsidP="002147B8">
      <w:pPr>
        <w:pStyle w:val="Style1"/>
        <w:rPr>
          <w:rtl/>
        </w:rPr>
      </w:pPr>
      <w:r w:rsidRPr="002147B8">
        <w:rPr>
          <w:rFonts w:hint="cs"/>
          <w:rtl/>
        </w:rPr>
        <w:t>הגה</w:t>
      </w:r>
      <w:r w:rsidRPr="002147B8">
        <w:rPr>
          <w:rFonts w:hint="cs"/>
        </w:rPr>
        <w:t>: </w:t>
      </w:r>
      <w:r w:rsidRPr="002147B8">
        <w:rPr>
          <w:rFonts w:hint="cs"/>
          <w:rtl/>
        </w:rPr>
        <w:t>והוא הדין אם קידש בפחות מפרוטה ובעל וכל כיוצא בזה (הר"ן פ' המדיר)</w:t>
      </w:r>
      <w:r w:rsidRPr="002147B8">
        <w:t>:</w:t>
      </w:r>
    </w:p>
    <w:p w14:paraId="41D8C699" w14:textId="0B057E8F" w:rsidR="00985517" w:rsidRPr="00F02122" w:rsidRDefault="00985517" w:rsidP="00985517">
      <w:pPr>
        <w:pStyle w:val="Style1"/>
      </w:pPr>
      <w:r>
        <w:rPr>
          <w:rFonts w:hint="cs"/>
          <w:rtl/>
        </w:rPr>
        <w:t>4)[</w:t>
      </w:r>
      <w:r>
        <w:rPr>
          <w:rtl/>
        </w:rPr>
        <w:t>שולחן ערוך אבן העזר הלכות קידושין סימן לח סעיף לה</w:t>
      </w:r>
      <w:r>
        <w:rPr>
          <w:rFonts w:hint="cs"/>
          <w:rtl/>
        </w:rPr>
        <w:t xml:space="preserve">] </w:t>
      </w:r>
      <w:r w:rsidRPr="00F02122">
        <w:rPr>
          <w:rtl/>
        </w:rPr>
        <w:t>המקדש על תנאי, וחזר אחר כמה ימים וביטל התנאי, אף על פי שביטלו בינו לבינה שלא בפני עדים, בטל התנאי והרי היא מקודשת סתם. וכן אם היה התנאי מן האשה וביטלה אותו בינה ובינו, בטל התנאי. לפיכך, המקדש על תנאי ובעל סתם, או כנס סתם, הרי זו צריכה גט אף על פי שלא נתקיים התנאי, שמא ביטל התנאי כשבעל או כשכנס</w:t>
      </w:r>
      <w:r w:rsidRPr="00F02122">
        <w:t>.</w:t>
      </w:r>
    </w:p>
    <w:p w14:paraId="3447B725" w14:textId="75B70D19" w:rsidR="00985517" w:rsidRDefault="00985517" w:rsidP="00985517">
      <w:pPr>
        <w:pStyle w:val="Style1"/>
        <w:rPr>
          <w:rtl/>
        </w:rPr>
      </w:pPr>
      <w:r w:rsidRPr="00F02122">
        <w:rPr>
          <w:rFonts w:hint="cs"/>
          <w:rtl/>
        </w:rPr>
        <w:t>ואם קידשה אחר, צריכה גט משניהם (דעת עצמו)</w:t>
      </w:r>
      <w:r w:rsidRPr="00F02122">
        <w:t>:</w:t>
      </w:r>
    </w:p>
    <w:p w14:paraId="4A77BC30" w14:textId="1DA96907" w:rsidR="007F4034" w:rsidRPr="00E91674" w:rsidRDefault="007F4034" w:rsidP="007F4034">
      <w:pPr>
        <w:pStyle w:val="Style1"/>
      </w:pPr>
      <w:r>
        <w:rPr>
          <w:rStyle w:val="Style1Char"/>
          <w:rFonts w:hint="cs"/>
          <w:rtl/>
        </w:rPr>
        <w:t>5)[</w:t>
      </w:r>
      <w:r w:rsidRPr="008261D4">
        <w:rPr>
          <w:rStyle w:val="Style1Char"/>
          <w:rtl/>
        </w:rPr>
        <w:t>שולחן ערוך אבן העזר הלכות קידושין סימן לא סעיף ט</w:t>
      </w:r>
      <w:r>
        <w:rPr>
          <w:rStyle w:val="Style1Char"/>
          <w:rFonts w:hint="cs"/>
          <w:rtl/>
        </w:rPr>
        <w:t xml:space="preserve">] </w:t>
      </w:r>
      <w:r w:rsidRPr="00E91674">
        <w:rPr>
          <w:rtl/>
        </w:rPr>
        <w:t>קדשה בכסף פחות משוה פרוטה, אף על פי ששלח לה סבלונות</w:t>
      </w:r>
      <w:r w:rsidRPr="00E91674">
        <w:t xml:space="preserve"> (</w:t>
      </w:r>
      <w:r w:rsidRPr="00E91674">
        <w:rPr>
          <w:rtl/>
        </w:rPr>
        <w:t>פירוש דורונות, כי הוא לשון סבל ומשא, ונמצא משא בלשון מתנה, כמו "וישא משאת</w:t>
      </w:r>
      <w:r w:rsidRPr="00E91674">
        <w:t>" (</w:t>
      </w:r>
      <w:hyperlink r:id="rId181" w:tooltip="בראשית מג לד" w:history="1">
        <w:r w:rsidRPr="00E91674">
          <w:rPr>
            <w:rStyle w:val="Hyperlink"/>
            <w:color w:val="7030A0"/>
            <w:u w:val="none"/>
            <w:rtl/>
          </w:rPr>
          <w:t>בראשית מג, לד</w:t>
        </w:r>
      </w:hyperlink>
      <w:r w:rsidRPr="00E91674">
        <w:t xml:space="preserve">)) </w:t>
      </w:r>
      <w:r w:rsidRPr="00E91674">
        <w:rPr>
          <w:rtl/>
        </w:rPr>
        <w:t>אחר כך, אין חוששין ששלח אותן סבלונות לשם קדושין. אבל אם קדשה בפחות משוה פרוטה, ואחר כך בא עליה סתם בפני עדים, צריכה גט, שודאי בעל לשם קדושין</w:t>
      </w:r>
      <w:r w:rsidRPr="00E91674">
        <w:t>.</w:t>
      </w:r>
    </w:p>
    <w:p w14:paraId="4AAF4AE3" w14:textId="6E7B527B" w:rsidR="00985517" w:rsidRPr="00985517" w:rsidRDefault="007F4034" w:rsidP="007F4034">
      <w:pPr>
        <w:pStyle w:val="Style1"/>
      </w:pPr>
      <w:r w:rsidRPr="00E91674">
        <w:rPr>
          <w:rFonts w:hint="cs"/>
          <w:rtl/>
        </w:rPr>
        <w:t>הגה: הוא הדין קטן שקדש ונתגדל אצלה, צריכה גט, דודאי בעל כשהגדיל לשם קדושין</w:t>
      </w:r>
      <w:r w:rsidRPr="00E91674">
        <w:rPr>
          <w:rFonts w:hint="cs"/>
        </w:rPr>
        <w:t xml:space="preserve"> (</w:t>
      </w:r>
      <w:hyperlink r:id="rId182" w:tooltip="טור אבן העזר מג" w:history="1">
        <w:r w:rsidRPr="00E91674">
          <w:rPr>
            <w:rStyle w:val="Hyperlink"/>
            <w:rFonts w:hint="cs"/>
            <w:color w:val="7030A0"/>
            <w:u w:val="none"/>
            <w:rtl/>
          </w:rPr>
          <w:t>טור סימן מ"ג</w:t>
        </w:r>
      </w:hyperlink>
      <w:r w:rsidRPr="00E91674">
        <w:rPr>
          <w:rFonts w:hint="cs"/>
        </w:rPr>
        <w:t> </w:t>
      </w:r>
      <w:r w:rsidRPr="00E91674">
        <w:rPr>
          <w:rFonts w:hint="cs"/>
          <w:rtl/>
        </w:rPr>
        <w:t>ותשובת הרא"ש כלל ל"ה). ודוקא בכהאי גוונא, שכל אדם יודע דאין קדושי קטן או בפחות מפרוטה כלום, ולכן בעל לשם קדושין. אבל במקום דאיכא למיטעי, צריך קדושין אחרים (תשובת מימוני סוף נשים), כמו שנתבאר סימן זה </w:t>
      </w:r>
      <w:hyperlink r:id="rId183" w:anchor="%D7%A1%D7%A2%D7%99%D7%A3_%D7%93" w:history="1">
        <w:r w:rsidRPr="00E91674">
          <w:rPr>
            <w:rStyle w:val="Hyperlink"/>
            <w:rFonts w:hint="cs"/>
            <w:color w:val="7030A0"/>
            <w:u w:val="none"/>
            <w:rtl/>
          </w:rPr>
          <w:t>סעיף ד</w:t>
        </w:r>
        <w:r w:rsidRPr="00E91674">
          <w:rPr>
            <w:rStyle w:val="Hyperlink"/>
            <w:rFonts w:hint="cs"/>
            <w:color w:val="7030A0"/>
            <w:u w:val="none"/>
          </w:rPr>
          <w:t>'</w:t>
        </w:r>
      </w:hyperlink>
      <w:r w:rsidRPr="00E91674">
        <w:t>:</w:t>
      </w:r>
    </w:p>
    <w:p w14:paraId="41F5F8A7" w14:textId="77777777" w:rsidR="002147B8" w:rsidRPr="002147B8" w:rsidRDefault="002147B8" w:rsidP="002147B8">
      <w:pPr>
        <w:pStyle w:val="Style1"/>
      </w:pPr>
    </w:p>
    <w:p w14:paraId="3F2E148F" w14:textId="77777777" w:rsidR="002165BA" w:rsidRPr="00065410" w:rsidRDefault="002165BA" w:rsidP="002165BA">
      <w:pPr>
        <w:bidi/>
        <w:rPr>
          <w:rStyle w:val="Style1Char"/>
          <w:color w:val="00B050"/>
          <w:rtl/>
        </w:rPr>
      </w:pPr>
    </w:p>
    <w:p w14:paraId="65D78412" w14:textId="77777777" w:rsidR="002165BA" w:rsidRPr="00A5438F" w:rsidRDefault="002165BA" w:rsidP="002165BA">
      <w:pPr>
        <w:bidi/>
        <w:rPr>
          <w:rStyle w:val="Style1Char"/>
          <w:color w:val="00B050"/>
          <w:rtl/>
        </w:rPr>
      </w:pPr>
    </w:p>
    <w:p w14:paraId="17F28361" w14:textId="77777777" w:rsidR="002165BA" w:rsidRDefault="002165BA" w:rsidP="002165BA">
      <w:pPr>
        <w:rPr>
          <w:rStyle w:val="Style1Char"/>
          <w:color w:val="00B050"/>
          <w:rtl/>
        </w:rPr>
      </w:pPr>
      <w:r>
        <w:rPr>
          <w:rStyle w:val="Style1Char"/>
          <w:color w:val="00B050"/>
          <w:rtl/>
        </w:rPr>
        <w:br w:type="page"/>
      </w:r>
    </w:p>
    <w:p w14:paraId="4DA6D5BD" w14:textId="77777777" w:rsidR="002165BA" w:rsidRDefault="002165BA" w:rsidP="002165BA">
      <w:pPr>
        <w:bidi/>
        <w:rPr>
          <w:rStyle w:val="Style1Char"/>
          <w:sz w:val="22"/>
          <w:szCs w:val="22"/>
          <w:rtl/>
        </w:rPr>
      </w:pPr>
      <w:r w:rsidRPr="0028375A">
        <w:rPr>
          <w:rStyle w:val="Style1Char"/>
          <w:color w:val="auto"/>
          <w:sz w:val="22"/>
          <w:szCs w:val="22"/>
          <w:highlight w:val="yellow"/>
          <w:rtl/>
        </w:rPr>
        <w:lastRenderedPageBreak/>
        <w:t>[דף עד עמוד ב]</w:t>
      </w:r>
      <w:r w:rsidRPr="0028375A">
        <w:rPr>
          <w:rStyle w:val="Style1Char"/>
          <w:color w:val="auto"/>
          <w:sz w:val="22"/>
          <w:szCs w:val="22"/>
          <w:rtl/>
        </w:rPr>
        <w:t xml:space="preserve"> ממאנת והולכת לה</w:t>
      </w:r>
      <w:r w:rsidRPr="0028375A">
        <w:rPr>
          <w:rStyle w:val="Style1Char"/>
          <w:color w:val="auto"/>
          <w:rtl/>
        </w:rPr>
        <w:t xml:space="preserve"> </w:t>
      </w:r>
      <w:r w:rsidRPr="0028375A">
        <w:rPr>
          <w:rStyle w:val="Style1Char"/>
          <w:color w:val="806000" w:themeColor="accent4" w:themeShade="80"/>
          <w:rtl/>
        </w:rPr>
        <w:t>אלמא ליתא לדרבי ישמעאל וגרסי' תו בפ' בא סימן התחתון [נדה נ"ב ע"א] בענין תינוקת שהביאה שתי שערות אינה יכולה למאן רבי יהודה אומר עד שירבה השחור אמר רבי אבהו אמר ר"א הלכה כר' יהודה ומודה רבי יהודה שאם נבעלה לאחר שהביאה שתי שערות שוב אינה יכולה למאן חבריה דרב כהנא סבור למעבד עובדא כר' יהודה ואף על גב דנבעלה אמר להו רב כהנא לא כך היה מעשה בבתו של רבי ישמעאל שבאה לבית המדרש למאן ובנה מורכב על כתפה ואותו היום הוזכרו דברי רבי ישמעאל ורבתה בכיה בבית המדרש אמרו דבר שאמר אותו צדיק יכשל בו זרעו דאמר רב יהודה אמר שמואל משום רבי ישמעאל והיא לא נתפשה אסורה הא נתפשה מותרת ויש לך אחרת שאע"פ שלא נתפשה מותרת ואי זו זו שקדושיה קדושי טעות שאפילו בנה מורכב על כתפה ממאנת והולכת לה ונמנו וגמרו עד מתי הבת ממאנת עד שתביא שתי שערות פריש ולא עביד עובדא</w:t>
      </w:r>
      <w:r w:rsidRPr="00885F0C">
        <w:rPr>
          <w:rStyle w:val="Style1Char"/>
          <w:color w:val="4472C4" w:themeColor="accent1"/>
          <w:rtl/>
        </w:rPr>
        <w:t xml:space="preserve"> </w:t>
      </w:r>
      <w:r w:rsidRPr="0090133A">
        <w:rPr>
          <w:rStyle w:val="Style1Char"/>
          <w:color w:val="4472C4" w:themeColor="accent1"/>
          <w:rtl/>
        </w:rPr>
        <w:t xml:space="preserve">והא דקי"ל דאין אדם עושה בעילתו בעילת זנות ובעל לשם קידושין משמע מתוך פרש"י ומתוך דברי התוספתא דקידושין גמורין הן ואם קדשה אחר אינה צריכה גט משני וכן מסתבר דהא בקטנה שאין בעילתו בעילת זנות ממש דהא אשתו היא מדרבנן ואפילו הכי אמר רב דבועל לשם קידושין גמורין ואינה צריכה גט משני </w:t>
      </w:r>
      <w:r>
        <w:rPr>
          <w:rStyle w:val="Style1Char"/>
          <w:rFonts w:hint="cs"/>
          <w:color w:val="4472C4" w:themeColor="accent1"/>
        </w:rPr>
        <w:t>‍</w:t>
      </w:r>
      <w:r w:rsidRPr="0090133A">
        <w:rPr>
          <w:rStyle w:val="Style1Char"/>
          <w:color w:val="4472C4" w:themeColor="accent1"/>
          <w:rtl/>
        </w:rPr>
        <w:t>כ"ש הכא דהוי ביאה ממש שבועל לשם קידושין גמורין שאינה צריכה גט משני. וראיתי מן הגדולים שדקדקו מדקאמרי' המקדש על תנאי ובעל צריכה גט משמע שצריכה גט להוציאה מן הספק וכן מדקאמר ולא היה כח ביד חכמים להוציאה בלא גט משמע שנסתפקו בדבר ומספק לא רצו להתירה וראוי להחמיר להצריכה גט משניהם ובקטנה אדם יודע שאין קדושי קטנה כלום ומיד כשגדלה הוא בועל לשם קידושין גמורין אבל הכא הוי ספיקא שמא היה סובר שתנאו קיים ולא נזכר לבעול לשם קידושין</w:t>
      </w:r>
      <w:r>
        <w:rPr>
          <w:rStyle w:val="Style1Char"/>
          <w:rFonts w:hint="cs"/>
          <w:color w:val="4472C4" w:themeColor="accent1"/>
        </w:rPr>
        <w:t>‍</w:t>
      </w:r>
      <w:r w:rsidRPr="0090133A">
        <w:rPr>
          <w:rStyle w:val="Style1Char"/>
          <w:color w:val="4472C4" w:themeColor="accent1"/>
          <w:rtl/>
        </w:rPr>
        <w:t xml:space="preserve"> והא דאמרינן דבועל לשם קידושין היינו בדאיכא עידי ייחוד דאמרינן הן הן עידי ייחוד הן הן עידי ביאה</w:t>
      </w:r>
      <w:r w:rsidRPr="0090133A">
        <w:rPr>
          <w:rStyle w:val="Style1Char"/>
          <w:color w:val="4472C4" w:themeColor="accent1"/>
        </w:rPr>
        <w:t>:</w:t>
      </w:r>
    </w:p>
    <w:p w14:paraId="146281AA" w14:textId="01153AD7" w:rsidR="002165BA" w:rsidRDefault="002165BA" w:rsidP="002165BA">
      <w:pPr>
        <w:bidi/>
        <w:rPr>
          <w:rStyle w:val="Style1Char"/>
          <w:color w:val="00B050"/>
          <w:rtl/>
        </w:rPr>
      </w:pPr>
      <w:r w:rsidRPr="00686A7B">
        <w:rPr>
          <w:rStyle w:val="Style1Char"/>
          <w:color w:val="ED7D31" w:themeColor="accent2"/>
          <w:sz w:val="22"/>
          <w:szCs w:val="22"/>
          <w:rtl/>
        </w:rPr>
        <w:t xml:space="preserve">תנו רבנן: </w:t>
      </w:r>
      <w:r w:rsidR="00692C2C">
        <w:rPr>
          <w:rStyle w:val="Style1Char"/>
          <w:rFonts w:hint="cs"/>
          <w:rtl/>
        </w:rPr>
        <w:t>(1)</w:t>
      </w:r>
      <w:r w:rsidRPr="00686A7B">
        <w:rPr>
          <w:rStyle w:val="Style1Char"/>
          <w:color w:val="ED7D31" w:themeColor="accent2"/>
          <w:sz w:val="22"/>
          <w:szCs w:val="22"/>
          <w:rtl/>
        </w:rPr>
        <w:t xml:space="preserve">הלכה אצל חכם והתירה - מקודשת, </w:t>
      </w:r>
      <w:r w:rsidR="00813951">
        <w:rPr>
          <w:rStyle w:val="Style1Char"/>
          <w:rFonts w:hint="cs"/>
          <w:rtl/>
        </w:rPr>
        <w:t>(2)</w:t>
      </w:r>
      <w:r w:rsidRPr="00686A7B">
        <w:rPr>
          <w:rStyle w:val="Style1Char"/>
          <w:color w:val="ED7D31" w:themeColor="accent2"/>
          <w:sz w:val="22"/>
          <w:szCs w:val="22"/>
          <w:rtl/>
        </w:rPr>
        <w:t>אצל רופא וריפא אותה - אינה מקודשת; מה בין חכם לרופא? חכם עוקר את הנדר מעיקרו, ורופא אינו מרפא אלא מכאן ולהבא</w:t>
      </w:r>
      <w:r>
        <w:rPr>
          <w:rStyle w:val="Style1Char"/>
          <w:rFonts w:hint="cs"/>
          <w:color w:val="ED7D31" w:themeColor="accent2"/>
          <w:sz w:val="22"/>
          <w:szCs w:val="22"/>
          <w:rtl/>
        </w:rPr>
        <w:t xml:space="preserve"> </w:t>
      </w:r>
      <w:r w:rsidRPr="0090133A">
        <w:rPr>
          <w:rStyle w:val="Style1Char"/>
          <w:color w:val="4472C4" w:themeColor="accent1"/>
          <w:rtl/>
        </w:rPr>
        <w:t>אין לפרש דדוקא בלישנא תליא מילתא הואיל ואינו מרפא אלא מכאן ולהבא והרי הוא קדשה ע"מ שאין בה מומין והיו בה מומין דאם כן הלך הבעל אצל הרופא וריפא לא תהיה מקודשת מהאי טעמא אלא בקפידת המומין תליא שגם עתה לאחר שנתרפאה היא נמאסת עליו כשזוכר שהיו בה מומין אחר שנתקדשה לו אבל ביה ליכא קפידא</w:t>
      </w:r>
      <w:r>
        <w:rPr>
          <w:rStyle w:val="Style1Char"/>
          <w:rFonts w:hint="cs"/>
          <w:color w:val="4472C4" w:themeColor="accent1"/>
        </w:rPr>
        <w:t>‍</w:t>
      </w:r>
      <w:r w:rsidRPr="0090133A">
        <w:rPr>
          <w:rStyle w:val="Style1Char"/>
          <w:color w:val="4472C4" w:themeColor="accent1"/>
          <w:rtl/>
        </w:rPr>
        <w:t xml:space="preserve"> דאיתתא בכל דהו ניחא לה אבל בנדרים לא קפיד הואיל ועוקרו למפרע אבל אי לא עקר למפרע אלא מכאן ולהבא קפיד נמי השתא על העונש שהיה עליה משעת הנדר עד שעת ההיתר</w:t>
      </w:r>
      <w:r w:rsidRPr="00686A7B">
        <w:rPr>
          <w:rStyle w:val="Style1Char"/>
          <w:color w:val="ED7D31" w:themeColor="accent2"/>
          <w:sz w:val="22"/>
          <w:szCs w:val="22"/>
          <w:rtl/>
        </w:rPr>
        <w:t>.</w:t>
      </w:r>
      <w:r w:rsidRPr="00657C31">
        <w:rPr>
          <w:rStyle w:val="Style1Char"/>
          <w:color w:val="00B050"/>
          <w:rtl/>
        </w:rPr>
        <w:t xml:space="preserve"> </w:t>
      </w:r>
      <w:r w:rsidRPr="0074204D">
        <w:rPr>
          <w:rStyle w:val="Style1Char"/>
          <w:color w:val="ED7D31" w:themeColor="accent2"/>
          <w:sz w:val="22"/>
          <w:szCs w:val="22"/>
          <w:rtl/>
        </w:rPr>
        <w:t xml:space="preserve">והתניא: אצל חכם והתירה, אצל רופא וריפא אותה - אינה מקודשת! אמר </w:t>
      </w:r>
      <w:r w:rsidRPr="00657C31">
        <w:rPr>
          <w:rStyle w:val="Style1Char"/>
          <w:color w:val="00B050"/>
          <w:rtl/>
        </w:rPr>
        <w:t>רבא</w:t>
      </w:r>
      <w:r w:rsidRPr="0074204D">
        <w:rPr>
          <w:rStyle w:val="Style1Char"/>
          <w:color w:val="4472C4" w:themeColor="accent1"/>
          <w:rtl/>
        </w:rPr>
        <w:t xml:space="preserve"> </w:t>
      </w:r>
      <w:r w:rsidRPr="0074204D">
        <w:rPr>
          <w:rStyle w:val="Style1Char"/>
          <w:color w:val="4472C4" w:themeColor="accent1"/>
          <w:sz w:val="22"/>
          <w:szCs w:val="22"/>
          <w:rtl/>
        </w:rPr>
        <w:t>רבה</w:t>
      </w:r>
      <w:r w:rsidRPr="0074204D">
        <w:rPr>
          <w:rStyle w:val="Style1Char"/>
          <w:color w:val="ED7D31" w:themeColor="accent2"/>
          <w:sz w:val="22"/>
          <w:szCs w:val="22"/>
          <w:rtl/>
        </w:rPr>
        <w:t xml:space="preserve">, לא קשיא: </w:t>
      </w:r>
      <w:r w:rsidRPr="00657C31">
        <w:rPr>
          <w:rStyle w:val="Style1Char"/>
          <w:color w:val="00B050"/>
          <w:rtl/>
        </w:rPr>
        <w:t xml:space="preserve">הא רבי מאיר, הא רבי אלעזר, </w:t>
      </w:r>
      <w:r w:rsidRPr="0074204D">
        <w:rPr>
          <w:rStyle w:val="Style1Char"/>
          <w:color w:val="ED7D31" w:themeColor="accent2"/>
          <w:sz w:val="22"/>
          <w:szCs w:val="22"/>
          <w:rtl/>
        </w:rPr>
        <w:t xml:space="preserve">הא ר"מ, דאמר: אדם רוצה שתתבזה אשתו בבית דין, הא ר"א, דאמר: אין אדם רוצה שתתבזה אשתו בב"ד. </w:t>
      </w:r>
      <w:r w:rsidRPr="00657C31">
        <w:rPr>
          <w:rStyle w:val="Style1Char"/>
          <w:color w:val="00B050"/>
          <w:rtl/>
        </w:rPr>
        <w:t xml:space="preserve">מאי היא? </w:t>
      </w:r>
      <w:r w:rsidRPr="0074204D">
        <w:rPr>
          <w:rStyle w:val="Style1Char"/>
          <w:color w:val="ED7D31" w:themeColor="accent2"/>
          <w:sz w:val="22"/>
          <w:szCs w:val="22"/>
          <w:rtl/>
        </w:rPr>
        <w:t xml:space="preserve">דתנן: </w:t>
      </w:r>
      <w:r w:rsidR="002F1BC1">
        <w:rPr>
          <w:rStyle w:val="Style1Char"/>
          <w:rFonts w:hint="cs"/>
          <w:rtl/>
        </w:rPr>
        <w:t>(3)</w:t>
      </w:r>
      <w:r w:rsidRPr="0074204D">
        <w:rPr>
          <w:rStyle w:val="Style1Char"/>
          <w:color w:val="ED7D31" w:themeColor="accent2"/>
          <w:sz w:val="22"/>
          <w:szCs w:val="22"/>
          <w:rtl/>
        </w:rPr>
        <w:t xml:space="preserve">המוציא את אשתו משום נדר - לא יחזיר, משום שם רע - לא יחזיר; </w:t>
      </w:r>
      <w:r w:rsidRPr="00657C31">
        <w:rPr>
          <w:rStyle w:val="Style1Char"/>
          <w:color w:val="00B050"/>
          <w:rtl/>
        </w:rPr>
        <w:t xml:space="preserve">רבי יהודה אומר: כל נדר שידעו בו רבים - לא יחזיר, לא ידעו בו רבים - יחזיר; </w:t>
      </w:r>
      <w:r w:rsidRPr="0074204D">
        <w:rPr>
          <w:rStyle w:val="Style1Char"/>
          <w:color w:val="ED7D31" w:themeColor="accent2"/>
          <w:sz w:val="22"/>
          <w:szCs w:val="22"/>
          <w:rtl/>
        </w:rPr>
        <w:t>רבי מאיר אומר: כל נדר שצריך חקירת חכם - לא יחזיר, ושאינו צריך חקירת חכם - יחזיר;</w:t>
      </w:r>
      <w:r w:rsidRPr="00657C31">
        <w:rPr>
          <w:rStyle w:val="Style1Char"/>
          <w:color w:val="00B050"/>
          <w:rtl/>
        </w:rPr>
        <w:t xml:space="preserve"> (רבי אלעזר אומר אחד צריך ואחד אינו צריך לא יחזיר) </w:t>
      </w:r>
      <w:r w:rsidRPr="00BC2629">
        <w:rPr>
          <w:rStyle w:val="Style1Char"/>
          <w:color w:val="ED7D31" w:themeColor="accent2"/>
          <w:sz w:val="22"/>
          <w:szCs w:val="22"/>
          <w:rtl/>
        </w:rPr>
        <w:t>אמר רבי אלעזר: לא אסרו צריך אלא מפני שאינו צריך</w:t>
      </w:r>
      <w:r w:rsidRPr="005B30CC">
        <w:rPr>
          <w:rStyle w:val="Style1Char"/>
          <w:color w:val="4472C4" w:themeColor="accent1"/>
          <w:rtl/>
        </w:rPr>
        <w:t xml:space="preserve"> </w:t>
      </w:r>
      <w:r w:rsidRPr="005B30CC">
        <w:rPr>
          <w:rStyle w:val="Style1Char"/>
          <w:color w:val="4472C4" w:themeColor="accent1"/>
          <w:sz w:val="22"/>
          <w:szCs w:val="22"/>
          <w:rtl/>
        </w:rPr>
        <w:t>ותניא א"ר אלעזר לא אסרו זה אלא מפני זה</w:t>
      </w:r>
      <w:r w:rsidRPr="00BC2629">
        <w:rPr>
          <w:rStyle w:val="Style1Char"/>
          <w:color w:val="ED7D31" w:themeColor="accent2"/>
          <w:sz w:val="22"/>
          <w:szCs w:val="22"/>
          <w:rtl/>
        </w:rPr>
        <w:t>.</w:t>
      </w:r>
      <w:r w:rsidRPr="00657C31">
        <w:rPr>
          <w:rStyle w:val="Style1Char"/>
          <w:color w:val="00B050"/>
          <w:rtl/>
        </w:rPr>
        <w:t xml:space="preserve"> מאי טעמא דרבי יהודה? דכתיב: </w:t>
      </w:r>
    </w:p>
    <w:p w14:paraId="51D481B4" w14:textId="691A0BC4" w:rsidR="00273B60" w:rsidRDefault="00273B60" w:rsidP="00273B60">
      <w:pPr>
        <w:pStyle w:val="Style1"/>
        <w:rPr>
          <w:rStyle w:val="Style1Char"/>
          <w:color w:val="00B050"/>
          <w:rtl/>
        </w:rPr>
      </w:pPr>
      <w:r>
        <w:rPr>
          <w:rStyle w:val="Style1Char"/>
          <w:rFonts w:hint="cs"/>
          <w:rtl/>
        </w:rPr>
        <w:t>1)[</w:t>
      </w:r>
      <w:r w:rsidRPr="00273B60">
        <w:rPr>
          <w:rStyle w:val="Style1Char"/>
          <w:rtl/>
        </w:rPr>
        <w:t>רמב</w:t>
      </w:r>
      <w:r w:rsidR="00213DA1">
        <w:rPr>
          <w:rStyle w:val="Style1Char"/>
          <w:rtl/>
        </w:rPr>
        <w:t>”ם \נשים\</w:t>
      </w:r>
      <w:r w:rsidRPr="00273B60">
        <w:rPr>
          <w:rStyle w:val="Style1Char"/>
          <w:rtl/>
        </w:rPr>
        <w:t xml:space="preserve"> הלכות אישות פרק ז הלכה ח</w:t>
      </w:r>
      <w:r>
        <w:rPr>
          <w:rStyle w:val="Style1Char"/>
          <w:rFonts w:hint="cs"/>
          <w:rtl/>
        </w:rPr>
        <w:t xml:space="preserve">] </w:t>
      </w:r>
      <w:r w:rsidRPr="00273B60">
        <w:rPr>
          <w:rStyle w:val="Style1Char"/>
          <w:rtl/>
        </w:rPr>
        <w:t>המקדש אשה סתם ונמצא בה אחד מן המומין הפוסלין בנשים או נמצא עליה אחד משלשה נדרים הרי זו מקודשת מספק. קידשה על מנת שאין עליה נדרים והיו עליה נדרים והלכה אצל חכם והתיר לה הרי זו מקודשת</w:t>
      </w:r>
      <w:r w:rsidRPr="00273B60">
        <w:rPr>
          <w:rStyle w:val="Style1Char"/>
          <w:color w:val="00B050"/>
          <w:rtl/>
        </w:rPr>
        <w:t>.</w:t>
      </w:r>
    </w:p>
    <w:p w14:paraId="676C73B2" w14:textId="58821656" w:rsidR="00C54B06" w:rsidRPr="00C54B06" w:rsidRDefault="008C4894" w:rsidP="00C54B06">
      <w:pPr>
        <w:pStyle w:val="Style1"/>
      </w:pPr>
      <w:r>
        <w:rPr>
          <w:rStyle w:val="Style1Char"/>
          <w:rFonts w:hint="cs"/>
          <w:rtl/>
        </w:rPr>
        <w:t>1)[</w:t>
      </w:r>
      <w:r w:rsidRPr="008C4894">
        <w:rPr>
          <w:rStyle w:val="Style1Char"/>
          <w:rtl/>
        </w:rPr>
        <w:t>שולחן ערוך אבן העזר הלכות קידושין סימן לט סעיף ב</w:t>
      </w:r>
      <w:r>
        <w:rPr>
          <w:rStyle w:val="Style1Char"/>
          <w:rFonts w:hint="cs"/>
          <w:rtl/>
        </w:rPr>
        <w:t>]</w:t>
      </w:r>
      <w:r w:rsidR="00C54B06">
        <w:rPr>
          <w:rStyle w:val="Style1Char"/>
          <w:rFonts w:hint="cs"/>
          <w:rtl/>
        </w:rPr>
        <w:t xml:space="preserve"> </w:t>
      </w:r>
      <w:r w:rsidR="00C54B06" w:rsidRPr="00C54B06">
        <w:rPr>
          <w:rtl/>
        </w:rPr>
        <w:t>היו עליה נדרים, והלכה אצל חכם והתירה, מקודשת. ואפילו היא אשה חשובה. במה דברים אמורים, שהתירה חכם קדם שנודעו לבעל, אבל אם נודעו לבעל קדם שהתירה, מיד נתבטלו הקדושין. ויש מי שאומר, שאם היא אשה חשובה, אפילו אם קודם שנודעו לבעל התירה חכם, היא ספק מקודשת</w:t>
      </w:r>
      <w:r w:rsidR="00C54B06" w:rsidRPr="00C54B06">
        <w:t>.</w:t>
      </w:r>
    </w:p>
    <w:p w14:paraId="469F6C26" w14:textId="4FFBF10F" w:rsidR="00C54B06" w:rsidRDefault="00C54B06" w:rsidP="00C54B06">
      <w:pPr>
        <w:pStyle w:val="Style1"/>
        <w:rPr>
          <w:rtl/>
        </w:rPr>
      </w:pPr>
      <w:r w:rsidRPr="00C54B06">
        <w:rPr>
          <w:rFonts w:hint="cs"/>
          <w:rtl/>
        </w:rPr>
        <w:t>ואם קדשה על מנת שאין עליה נדרים, ובעל סתם, עיין לעיל </w:t>
      </w:r>
      <w:hyperlink r:id="rId184" w:anchor="%D7%A1%D7%A2%D7%99%D7%A3_%D7%9C%D7%94" w:tooltip="שולחן ערוך אבן העזר לח" w:history="1">
        <w:r w:rsidRPr="00C54B06">
          <w:rPr>
            <w:rStyle w:val="Hyperlink"/>
            <w:rFonts w:hint="cs"/>
            <w:color w:val="7030A0"/>
            <w:u w:val="none"/>
            <w:rtl/>
          </w:rPr>
          <w:t>סימן ל"ח סעיף ל"ה</w:t>
        </w:r>
      </w:hyperlink>
      <w:r w:rsidRPr="00C54B06">
        <w:t>:</w:t>
      </w:r>
    </w:p>
    <w:p w14:paraId="0F5BAFE2" w14:textId="32DCEAA0" w:rsidR="00CC2DE8" w:rsidRDefault="00CC2DE8" w:rsidP="00CC2DE8">
      <w:pPr>
        <w:pStyle w:val="Style1"/>
        <w:rPr>
          <w:rtl/>
        </w:rPr>
      </w:pPr>
      <w:r>
        <w:rPr>
          <w:rFonts w:hint="cs"/>
          <w:rtl/>
        </w:rPr>
        <w:t>2)[</w:t>
      </w:r>
      <w:r>
        <w:rPr>
          <w:rtl/>
        </w:rPr>
        <w:t>רמב</w:t>
      </w:r>
      <w:r w:rsidR="00213DA1">
        <w:rPr>
          <w:rtl/>
        </w:rPr>
        <w:t>”ם \נשים\</w:t>
      </w:r>
      <w:r>
        <w:rPr>
          <w:rtl/>
        </w:rPr>
        <w:t xml:space="preserve"> הלכות אישות פרק ז הלכה ט</w:t>
      </w:r>
      <w:r>
        <w:rPr>
          <w:rFonts w:hint="cs"/>
          <w:rtl/>
        </w:rPr>
        <w:t xml:space="preserve">] </w:t>
      </w:r>
      <w:r>
        <w:rPr>
          <w:rtl/>
        </w:rPr>
        <w:t>קידשה על מנת שאין בה מומין והיו בה מומין והלכה אצל רופא וריפא אותה אינה מקודשת, אבל אם התנה האיש שאין עליו נדרים ושאין בו מומין והיו עליו נדרים והיו בו מומין והלך אצל חכם והתירו אצל רופא וריפאו הרי זו מקודשת שאין לאיש גנאי במומין שכבר נרפאו ואין האשה מקפדת על זאת.</w:t>
      </w:r>
    </w:p>
    <w:p w14:paraId="6D58566B" w14:textId="24B43D6A" w:rsidR="00377A24" w:rsidRDefault="00377A24" w:rsidP="00377A24">
      <w:pPr>
        <w:pStyle w:val="Style1"/>
        <w:rPr>
          <w:rtl/>
        </w:rPr>
      </w:pPr>
      <w:r>
        <w:rPr>
          <w:rFonts w:hint="cs"/>
          <w:rtl/>
        </w:rPr>
        <w:t>2)[</w:t>
      </w:r>
      <w:r>
        <w:rPr>
          <w:rtl/>
        </w:rPr>
        <w:t>שולחן ערוך אבן העזר הלכות קידושין סימן לט סעיף ו</w:t>
      </w:r>
      <w:r>
        <w:rPr>
          <w:rFonts w:hint="cs"/>
          <w:rtl/>
        </w:rPr>
        <w:t xml:space="preserve">] </w:t>
      </w:r>
      <w:r>
        <w:rPr>
          <w:rtl/>
        </w:rPr>
        <w:t>קידשה ע"מ שאין בה מומין, והיו בה מומין והלכה אצל רופא וריפא אותה, אינה מקודשת. אבל אם התנה האשה (ע"מ) שאין בו מומין, והיו בו מומין והלך אצל רופא וריפא, הרי זו מקודשת, שאין גנאי לאיש במומין שכבר נתרפאו, והאשה אינה מקפדת על זאת.</w:t>
      </w:r>
    </w:p>
    <w:p w14:paraId="31A4DCE2" w14:textId="1ACDF45D" w:rsidR="007E5EB2" w:rsidRDefault="007E5EB2" w:rsidP="007E5EB2">
      <w:pPr>
        <w:pStyle w:val="Style1"/>
        <w:rPr>
          <w:rtl/>
        </w:rPr>
      </w:pPr>
      <w:r>
        <w:rPr>
          <w:rFonts w:hint="cs"/>
          <w:rtl/>
        </w:rPr>
        <w:t>3)[</w:t>
      </w:r>
      <w:r>
        <w:rPr>
          <w:rtl/>
        </w:rPr>
        <w:t>רמב</w:t>
      </w:r>
      <w:r w:rsidR="00213DA1">
        <w:rPr>
          <w:rtl/>
        </w:rPr>
        <w:t>”ם \נשים\</w:t>
      </w:r>
      <w:r>
        <w:rPr>
          <w:rtl/>
        </w:rPr>
        <w:t xml:space="preserve"> הלכות גירושין פרק י הלכה יב</w:t>
      </w:r>
      <w:r>
        <w:rPr>
          <w:rFonts w:hint="cs"/>
          <w:rtl/>
        </w:rPr>
        <w:t xml:space="preserve">] </w:t>
      </w:r>
      <w:r>
        <w:rPr>
          <w:rtl/>
        </w:rPr>
        <w:t>המוציא את אשתו משום שם רע או משום שהיא פרוצה בנדרים אומרין לו הודיעה שמפני זה אתה מוציאה כדי לייסרה ודע אתה שאין אתה מחזירה לעולם, ומפני מה המוציא את זו לא יחזירה לעולם, גזירה שמא תנשא לאחר ותעשה תשובה ותהיה צנועה תחתיו ויאמר הראשון אילו הייתי יודע שכן הוא לא הייתי מגרשה ונמצא כמגרש על תנאי ולא נתקיים שנמצא הגט בטל למפרע, לפיכך אומרים לו גמור בלבך לגרשה שאין זו חוזרת לך לעולם, ואם עבר והחזיר קודם שנתקדשה לאחר לא יוציא.</w:t>
      </w:r>
    </w:p>
    <w:p w14:paraId="5C399FD0" w14:textId="358ACD70" w:rsidR="004D2770" w:rsidRPr="003D6E7F" w:rsidRDefault="004D2770" w:rsidP="004D2770">
      <w:pPr>
        <w:pStyle w:val="Style1"/>
      </w:pPr>
      <w:r>
        <w:rPr>
          <w:rFonts w:hint="cs"/>
          <w:rtl/>
        </w:rPr>
        <w:t>3)[</w:t>
      </w:r>
      <w:r>
        <w:rPr>
          <w:rtl/>
        </w:rPr>
        <w:t>שולחן ערוך אבן העזר הלכות אישות סימן י סעיף ג</w:t>
      </w:r>
      <w:r>
        <w:rPr>
          <w:rFonts w:hint="cs"/>
          <w:rtl/>
        </w:rPr>
        <w:t>]</w:t>
      </w:r>
      <w:r w:rsidR="003D6E7F">
        <w:rPr>
          <w:rFonts w:hint="cs"/>
          <w:rtl/>
        </w:rPr>
        <w:t xml:space="preserve"> </w:t>
      </w:r>
      <w:r w:rsidR="003D6E7F" w:rsidRPr="003D6E7F">
        <w:rPr>
          <w:rtl/>
        </w:rPr>
        <w:t>המוציא את אשתו משום שם רע שיצא עליה, או מפני שהיא נדרנית, או מפני שהיא איילונית, לא יחזיר. ויש אומרים דווקא בדאמר לה מפני כך אני מוציאך, וכפל דבריו לומר: אלמלא כך לא הייתי מוציאך; אבל אם לא כפל דבריו יכול להחזירה. ויש אומרים שאם אמר לה: מפני כך אני מוציאך, אף על פי שלא כפל דבריו אינו יכול להחזירה. ויש מי שאומר שאפילו לא אמר לה מפני כך אני מוציאך לא יחזיר</w:t>
      </w:r>
      <w:r w:rsidR="003D6E7F" w:rsidRPr="003D6E7F">
        <w:t>:</w:t>
      </w:r>
    </w:p>
    <w:p w14:paraId="0D05FC5E" w14:textId="77777777" w:rsidR="00C54B06" w:rsidRPr="00C54B06" w:rsidRDefault="00C54B06" w:rsidP="00C54B06">
      <w:pPr>
        <w:pStyle w:val="Style1"/>
        <w:rPr>
          <w:rStyle w:val="Style1Char"/>
        </w:rPr>
      </w:pPr>
    </w:p>
    <w:p w14:paraId="22150D9C" w14:textId="77777777" w:rsidR="002165BA" w:rsidRPr="00686A7B" w:rsidRDefault="002165BA" w:rsidP="002165BA">
      <w:pPr>
        <w:bidi/>
        <w:rPr>
          <w:rStyle w:val="Style1Char"/>
          <w:color w:val="00B050"/>
          <w:rtl/>
        </w:rPr>
      </w:pPr>
    </w:p>
    <w:p w14:paraId="1CB7CBA7" w14:textId="77777777" w:rsidR="002165BA" w:rsidRDefault="002165BA" w:rsidP="002165BA">
      <w:pPr>
        <w:bidi/>
        <w:rPr>
          <w:rStyle w:val="Style1Char"/>
          <w:color w:val="00B050"/>
          <w:rtl/>
        </w:rPr>
      </w:pPr>
    </w:p>
    <w:p w14:paraId="520C7F10" w14:textId="77777777" w:rsidR="002165BA" w:rsidRDefault="002165BA" w:rsidP="002165BA">
      <w:pPr>
        <w:bidi/>
        <w:rPr>
          <w:rStyle w:val="Style1Char"/>
          <w:color w:val="00B050"/>
          <w:rtl/>
        </w:rPr>
      </w:pPr>
    </w:p>
    <w:p w14:paraId="447367E6" w14:textId="77777777" w:rsidR="002165BA" w:rsidRPr="00F7664B" w:rsidRDefault="002165BA" w:rsidP="002165BA">
      <w:pPr>
        <w:bidi/>
        <w:rPr>
          <w:rStyle w:val="Style1Char"/>
          <w:color w:val="00B050"/>
          <w:rtl/>
        </w:rPr>
      </w:pPr>
    </w:p>
    <w:p w14:paraId="1A65A94A" w14:textId="77777777" w:rsidR="002165BA" w:rsidRDefault="002165BA" w:rsidP="002165BA">
      <w:pPr>
        <w:rPr>
          <w:rStyle w:val="Style1Char"/>
          <w:color w:val="00B050"/>
          <w:rtl/>
        </w:rPr>
      </w:pPr>
      <w:r>
        <w:rPr>
          <w:rStyle w:val="Style1Char"/>
          <w:color w:val="00B050"/>
          <w:rtl/>
        </w:rPr>
        <w:br w:type="page"/>
      </w:r>
    </w:p>
    <w:p w14:paraId="491C4157" w14:textId="5319EBAD" w:rsidR="002165BA" w:rsidRDefault="002165BA" w:rsidP="002165BA">
      <w:pPr>
        <w:bidi/>
        <w:rPr>
          <w:rStyle w:val="Style1Char"/>
          <w:color w:val="00B050"/>
          <w:rtl/>
        </w:rPr>
      </w:pPr>
      <w:r w:rsidRPr="0091453F">
        <w:rPr>
          <w:rStyle w:val="Style1Char"/>
          <w:color w:val="00B050"/>
          <w:sz w:val="22"/>
          <w:szCs w:val="22"/>
          <w:highlight w:val="yellow"/>
          <w:rtl/>
        </w:rPr>
        <w:lastRenderedPageBreak/>
        <w:t>[דף עה עמוד א]</w:t>
      </w:r>
      <w:r w:rsidRPr="0091453F">
        <w:rPr>
          <w:rStyle w:val="Style1Char"/>
          <w:color w:val="00B050"/>
          <w:sz w:val="22"/>
          <w:szCs w:val="22"/>
          <w:rtl/>
        </w:rPr>
        <w:t xml:space="preserve"> </w:t>
      </w:r>
      <w:r w:rsidRPr="00657C31">
        <w:rPr>
          <w:rStyle w:val="Style1Char"/>
          <w:color w:val="00B050"/>
          <w:rtl/>
        </w:rPr>
        <w:t xml:space="preserve">ולא הכום בני ישראל כי נשבעו להם נשיאי העדה. וכמה רבים? רב נחמן בר יצחק אמר: </w:t>
      </w:r>
      <w:r w:rsidR="004109D3">
        <w:rPr>
          <w:rStyle w:val="Style1Char"/>
          <w:rFonts w:hint="cs"/>
          <w:rtl/>
        </w:rPr>
        <w:t>(1)</w:t>
      </w:r>
      <w:r w:rsidRPr="00657C31">
        <w:rPr>
          <w:rStyle w:val="Style1Char"/>
          <w:color w:val="00B050"/>
          <w:rtl/>
        </w:rPr>
        <w:t xml:space="preserve">שלשה, ימים - שנים רבים - שלשה. ר' יצחק אמר: עשרה, עדה כתיב בהו. ר"מ אומר: כל נדר שצריך חקירת חכם - לא יחזיר, ר' אלעזר אומר: לא אסרו צריך אלא מפני שאינו צריך. </w:t>
      </w:r>
      <w:r w:rsidRPr="002E4CFE">
        <w:rPr>
          <w:rStyle w:val="Style1Char"/>
          <w:color w:val="ED7D31" w:themeColor="accent2"/>
          <w:sz w:val="22"/>
          <w:szCs w:val="22"/>
          <w:rtl/>
        </w:rPr>
        <w:t>במאי קמיפלגי? רבי מאיר סבר: אדם רוצה שתתבזה אשתו בב"ד, ר' אלעזר סבר: אין אדם רוצה שתתבזה אשתו בב"ד</w:t>
      </w:r>
      <w:r w:rsidRPr="00B661C2">
        <w:rPr>
          <w:rStyle w:val="Style1Char"/>
          <w:color w:val="4472C4" w:themeColor="accent1"/>
          <w:rtl/>
        </w:rPr>
        <w:t xml:space="preserve"> </w:t>
      </w:r>
      <w:r w:rsidRPr="0090133A">
        <w:rPr>
          <w:rStyle w:val="Style1Char"/>
          <w:color w:val="4472C4" w:themeColor="accent1"/>
          <w:rtl/>
        </w:rPr>
        <w:t>והלכה כר' מאיר דאין אדם חש על ביזוי זה שתוכל להביא שלשה הדיוטות לביתה ויתירו לה וכן סובר ת"ק דקאמר לא יחזיר בכל ענין הלכך לרבה הלכה אצל חכם והתירה מקודשת</w:t>
      </w:r>
      <w:r w:rsidRPr="00657C31">
        <w:rPr>
          <w:rStyle w:val="Style1Char"/>
          <w:color w:val="00B050"/>
          <w:rtl/>
        </w:rPr>
        <w:t xml:space="preserve">. </w:t>
      </w:r>
      <w:r w:rsidRPr="00B661C2">
        <w:rPr>
          <w:rStyle w:val="Style1Char"/>
          <w:color w:val="ED7D31" w:themeColor="accent2"/>
          <w:sz w:val="22"/>
          <w:szCs w:val="22"/>
          <w:rtl/>
        </w:rPr>
        <w:t>רבא אמר: הכא באשה חשובה עסקינן, דאמר לא ניחא לי דאיתסר בקרובותיה</w:t>
      </w:r>
      <w:r w:rsidRPr="00657C31">
        <w:rPr>
          <w:rStyle w:val="Style1Char"/>
          <w:color w:val="00B050"/>
          <w:rtl/>
        </w:rPr>
        <w:t xml:space="preserve">. </w:t>
      </w:r>
      <w:r w:rsidRPr="0090133A">
        <w:rPr>
          <w:rStyle w:val="Style1Char"/>
          <w:color w:val="4472C4" w:themeColor="accent1"/>
          <w:rtl/>
        </w:rPr>
        <w:t xml:space="preserve">ומוקי תרוייהו כרבי מאיר ומיהו כיון דאמר אי אפשי באשה נדרנית לא ניחא ליה דליהוו קידושין כי היכי דלא ליתסר בקרובותיה </w:t>
      </w:r>
      <w:r w:rsidRPr="00E46229">
        <w:rPr>
          <w:rStyle w:val="Style1Char"/>
          <w:color w:val="ED7D31" w:themeColor="accent2"/>
          <w:sz w:val="22"/>
          <w:szCs w:val="22"/>
          <w:rtl/>
        </w:rPr>
        <w:t xml:space="preserve">אי הכי, סיפא דקתני: אבל הוא שהלך אצל חכם והתירו, אצל רופא וריפא אותו - מקודשת, ליתני אינה מקודשת, ולימא: הכא באדם חשוב עסקינן, דאמרה לא ניחא לי דאיתסר בקריביה! </w:t>
      </w:r>
      <w:r w:rsidRPr="00657C31">
        <w:rPr>
          <w:rStyle w:val="Style1Char"/>
          <w:color w:val="00B050"/>
          <w:rtl/>
        </w:rPr>
        <w:t xml:space="preserve">איהי </w:t>
      </w:r>
      <w:r w:rsidRPr="00E46229">
        <w:rPr>
          <w:rStyle w:val="Style1Char"/>
          <w:color w:val="4472C4" w:themeColor="accent1"/>
          <w:sz w:val="22"/>
          <w:szCs w:val="22"/>
          <w:rtl/>
        </w:rPr>
        <w:t xml:space="preserve">איתתא </w:t>
      </w:r>
      <w:r w:rsidRPr="00E46229">
        <w:rPr>
          <w:rStyle w:val="Style1Char"/>
          <w:color w:val="ED7D31" w:themeColor="accent2"/>
          <w:sz w:val="22"/>
          <w:szCs w:val="22"/>
          <w:rtl/>
        </w:rPr>
        <w:t xml:space="preserve">בכל דהו ניחא לה, כדריש לקיש, דאמר ר"ל: טב למיתב טן דו מלמיתב ארמלו. </w:t>
      </w:r>
      <w:r w:rsidRPr="00657C31">
        <w:rPr>
          <w:rStyle w:val="Style1Char"/>
          <w:color w:val="00B050"/>
          <w:rtl/>
        </w:rPr>
        <w:t xml:space="preserve">אביי אמר: דשומשמנא גברא, כורסיה בי חראתא רמי לה. רב פפא אמר: דנפסא גברא, תיקרייה בסיפי בבא ותיתיב. רב אשי אמר: דקלסא גברא, לא בעי טלפחי לקידרא. תנא: וכולן מזנות ותולות בבעליהן. </w:t>
      </w:r>
    </w:p>
    <w:p w14:paraId="5C038F0E" w14:textId="77777777" w:rsidR="002165BA" w:rsidRPr="0090133A" w:rsidRDefault="002165BA" w:rsidP="002165BA">
      <w:pPr>
        <w:bidi/>
        <w:rPr>
          <w:rStyle w:val="Style1Char"/>
          <w:color w:val="4472C4" w:themeColor="accent1"/>
        </w:rPr>
      </w:pPr>
      <w:r w:rsidRPr="0090133A">
        <w:rPr>
          <w:rStyle w:val="Style1Char"/>
          <w:color w:val="4472C4" w:themeColor="accent1"/>
          <w:rtl/>
        </w:rPr>
        <w:t>ומצאתי כתוב שנסתפקו הגאונים היכא דפליגי רבה ורבא הלכתא כמאן משום דקיימא לן דמאביי ורבא ואילך הלכתא כבתראי (אף אם הוא) כנגד רבה שהיה רבם או לא</w:t>
      </w:r>
      <w:r>
        <w:rPr>
          <w:rStyle w:val="Style1Char"/>
          <w:rFonts w:hint="cs"/>
          <w:color w:val="4472C4" w:themeColor="accent1"/>
        </w:rPr>
        <w:t>‍</w:t>
      </w:r>
      <w:r w:rsidRPr="0090133A">
        <w:rPr>
          <w:rStyle w:val="Style1Char"/>
          <w:color w:val="4472C4" w:themeColor="accent1"/>
          <w:rtl/>
        </w:rPr>
        <w:t xml:space="preserve"> והלכך יש להחמיר ולהצריכה גט אף באשה חשובה וא"ת הא במתני' תנן אינה מקודשת ולא מיפלגא מידי בין הותר הנדר ללא הותר הנדר ויש לומר דהא דאמרי' הכא מקודשת היינו כשהותר הנדר קודם ידיעת הבעל וכיון שלא נודע לו אינו מקפיד על מה שהיה עליה אבל היכא דנודע לו בתחלה מיד כשנודע לו רוצה שיתבטלו הקידושין שמא לא ימצא לה חכם פתח להתירה. ירושלמי אית תנויי תני מותרת לינשא בלא גט ואית תנויי תני אסורה לינשא בלא גט מ"ד מותרת כרבי אליעזר ומ"ד אסורה כרבנן וא"ד כולה כרבנן מאן דאמר מותרת לינשא שמתוך שיודעת שאם הולכת אצל חכם והוא מתיר את נדריה יהיו בניה ממזרים אינה הולכת לפניו מותרת לינשא בלא גט ומ"ד אסורה לינשא בלא גט שמא תלך אצל חכם ויתיר נדריה וקידושין חלין עליה למפרע ונמצאו בניה באין לידי ממזרות לפום כן אסורה לינשא בלא גט</w:t>
      </w:r>
      <w:r w:rsidRPr="0090133A">
        <w:rPr>
          <w:rStyle w:val="Style1Char"/>
          <w:color w:val="4472C4" w:themeColor="accent1"/>
        </w:rPr>
        <w:t xml:space="preserve">: </w:t>
      </w:r>
    </w:p>
    <w:p w14:paraId="0F93EDDF" w14:textId="2CEB12AE" w:rsidR="002165BA" w:rsidRDefault="002165BA" w:rsidP="002165BA">
      <w:pPr>
        <w:bidi/>
        <w:rPr>
          <w:rStyle w:val="Style1Char"/>
          <w:color w:val="00B050"/>
          <w:rtl/>
        </w:rPr>
      </w:pPr>
      <w:r w:rsidRPr="00632800">
        <w:rPr>
          <w:rStyle w:val="Style1Char"/>
          <w:color w:val="auto"/>
          <w:sz w:val="22"/>
          <w:szCs w:val="22"/>
          <w:rtl/>
        </w:rPr>
        <w:t xml:space="preserve">כל מומין שפוסלין </w:t>
      </w:r>
      <w:r w:rsidRPr="00632800">
        <w:rPr>
          <w:rStyle w:val="Style1Char"/>
          <w:color w:val="806000" w:themeColor="accent4" w:themeShade="80"/>
          <w:sz w:val="22"/>
          <w:szCs w:val="22"/>
          <w:rtl/>
        </w:rPr>
        <w:t>בכהנים פוסלין בנשים</w:t>
      </w:r>
      <w:r w:rsidRPr="00110F11">
        <w:rPr>
          <w:rStyle w:val="Style1Char"/>
          <w:color w:val="C00000"/>
          <w:sz w:val="22"/>
          <w:szCs w:val="22"/>
          <w:rtl/>
        </w:rPr>
        <w:t>:</w:t>
      </w:r>
      <w:r w:rsidRPr="00657C31">
        <w:rPr>
          <w:rStyle w:val="Style1Char"/>
          <w:color w:val="00B050"/>
          <w:rtl/>
        </w:rPr>
        <w:t xml:space="preserve">. </w:t>
      </w:r>
      <w:r w:rsidRPr="00632800">
        <w:rPr>
          <w:rStyle w:val="Style1Char"/>
          <w:color w:val="auto"/>
          <w:sz w:val="22"/>
          <w:szCs w:val="22"/>
          <w:rtl/>
        </w:rPr>
        <w:t>תנא, הוסיפו עליהן</w:t>
      </w:r>
      <w:r w:rsidRPr="00632800">
        <w:rPr>
          <w:rStyle w:val="Style1Char"/>
          <w:color w:val="auto"/>
          <w:rtl/>
        </w:rPr>
        <w:t xml:space="preserve"> </w:t>
      </w:r>
      <w:r w:rsidRPr="00772E97">
        <w:rPr>
          <w:rStyle w:val="Style1Char"/>
          <w:color w:val="C00000"/>
          <w:sz w:val="22"/>
          <w:szCs w:val="22"/>
          <w:rtl/>
        </w:rPr>
        <w:t>בנשים</w:t>
      </w:r>
      <w:r w:rsidRPr="00632800">
        <w:rPr>
          <w:rStyle w:val="Style1Char"/>
          <w:color w:val="auto"/>
          <w:sz w:val="22"/>
          <w:szCs w:val="22"/>
          <w:rtl/>
        </w:rPr>
        <w:t xml:space="preserve">: </w:t>
      </w:r>
      <w:r w:rsidR="00974BDB">
        <w:rPr>
          <w:rStyle w:val="Style1Char"/>
          <w:rFonts w:hint="cs"/>
          <w:rtl/>
        </w:rPr>
        <w:t>(2)</w:t>
      </w:r>
      <w:r w:rsidRPr="00632800">
        <w:rPr>
          <w:rStyle w:val="Style1Char"/>
          <w:color w:val="auto"/>
          <w:sz w:val="22"/>
          <w:szCs w:val="22"/>
          <w:rtl/>
        </w:rPr>
        <w:t>זיעה, ושומא, וריח הפה</w:t>
      </w:r>
      <w:r w:rsidRPr="00632800">
        <w:rPr>
          <w:rStyle w:val="BalloonTextChar"/>
          <w:rFonts w:asciiTheme="minorHAnsi" w:hAnsiTheme="minorHAnsi" w:cs="Arial"/>
          <w:rtl/>
        </w:rPr>
        <w:t xml:space="preserve"> </w:t>
      </w:r>
      <w:r w:rsidRPr="00632800">
        <w:rPr>
          <w:rStyle w:val="Style1Char"/>
          <w:color w:val="806000" w:themeColor="accent4" w:themeShade="80"/>
          <w:sz w:val="22"/>
          <w:szCs w:val="22"/>
          <w:rtl/>
        </w:rPr>
        <w:t>וקול עבה</w:t>
      </w:r>
      <w:r w:rsidRPr="00BF6DBA">
        <w:rPr>
          <w:rStyle w:val="BalloonTextChar"/>
          <w:rFonts w:asciiTheme="minorHAnsi" w:hAnsiTheme="minorHAnsi" w:cs="Arial"/>
          <w:color w:val="4472C4" w:themeColor="accent1"/>
          <w:rtl/>
        </w:rPr>
        <w:t xml:space="preserve"> </w:t>
      </w:r>
      <w:r w:rsidRPr="00BF6DBA">
        <w:rPr>
          <w:rStyle w:val="Style1Char"/>
          <w:color w:val="806000" w:themeColor="accent4" w:themeShade="80"/>
          <w:sz w:val="22"/>
          <w:szCs w:val="22"/>
          <w:rtl/>
        </w:rPr>
        <w:t>ודדין גסין מחבירו</w:t>
      </w:r>
      <w:r w:rsidRPr="00D3282F">
        <w:rPr>
          <w:rStyle w:val="Style1Char"/>
          <w:rFonts w:hint="cs"/>
          <w:color w:val="C00000"/>
          <w:sz w:val="22"/>
          <w:szCs w:val="22"/>
          <w:rtl/>
        </w:rPr>
        <w:t>תיה</w:t>
      </w:r>
      <w:r w:rsidRPr="00BF6DBA">
        <w:rPr>
          <w:rStyle w:val="Style1Char"/>
          <w:color w:val="806000" w:themeColor="accent4" w:themeShade="80"/>
          <w:sz w:val="22"/>
          <w:szCs w:val="22"/>
          <w:rtl/>
        </w:rPr>
        <w:t xml:space="preserve"> טפח וטפח בין דד לדד ונשיכת כלב ונעשית מקומה צלקת.</w:t>
      </w:r>
      <w:r w:rsidRPr="00632800">
        <w:rPr>
          <w:rStyle w:val="Style1Char"/>
          <w:color w:val="806000" w:themeColor="accent4" w:themeShade="80"/>
          <w:sz w:val="22"/>
          <w:szCs w:val="22"/>
          <w:rtl/>
        </w:rPr>
        <w:t xml:space="preserve"> </w:t>
      </w:r>
      <w:r w:rsidRPr="00772E97">
        <w:rPr>
          <w:rStyle w:val="Style1Char"/>
          <w:sz w:val="22"/>
          <w:szCs w:val="22"/>
          <w:rtl/>
        </w:rPr>
        <w:t xml:space="preserve">. </w:t>
      </w:r>
      <w:r w:rsidRPr="00657C31">
        <w:rPr>
          <w:rStyle w:val="Style1Char"/>
          <w:color w:val="00B050"/>
          <w:rtl/>
        </w:rPr>
        <w:t xml:space="preserve">והני בכהני לא פסלי? והתנן: הזקן, </w:t>
      </w:r>
      <w:r w:rsidR="00ED646E">
        <w:rPr>
          <w:rStyle w:val="Style1Char"/>
          <w:rFonts w:hint="cs"/>
          <w:rtl/>
        </w:rPr>
        <w:t>(3)</w:t>
      </w:r>
      <w:r w:rsidRPr="00657C31">
        <w:rPr>
          <w:rStyle w:val="Style1Char"/>
          <w:color w:val="00B050"/>
          <w:rtl/>
        </w:rPr>
        <w:t xml:space="preserve">והחולה, והמזוהם, ותנן: </w:t>
      </w:r>
      <w:r w:rsidR="00ED646E">
        <w:rPr>
          <w:rStyle w:val="Style1Char"/>
          <w:rFonts w:hint="cs"/>
          <w:rtl/>
        </w:rPr>
        <w:t>(4)</w:t>
      </w:r>
      <w:r w:rsidRPr="00657C31">
        <w:rPr>
          <w:rStyle w:val="Style1Char"/>
          <w:color w:val="00B050"/>
          <w:rtl/>
        </w:rPr>
        <w:t xml:space="preserve">מומין אלו, בין קבועין בין עוברין - פסולין באדם! א"ר יוסי בר' חנינא, לא קשיא: כאן בזיעה עוברת, כאן בזיעה שאינה עוברת. רב אשי אמר: זיעה אמזוהם קא רמית? </w:t>
      </w:r>
      <w:r w:rsidR="002B6199">
        <w:rPr>
          <w:rStyle w:val="Style1Char"/>
          <w:rFonts w:hint="cs"/>
          <w:rtl/>
        </w:rPr>
        <w:t>(3.1)</w:t>
      </w:r>
      <w:r w:rsidRPr="00657C31">
        <w:rPr>
          <w:rStyle w:val="Style1Char"/>
          <w:color w:val="00B050"/>
          <w:rtl/>
        </w:rPr>
        <w:t>התם גבי כהנים אפשר לעברה בקיוהא דחמרא, ומריח הפה נמי - אפשר דנקט פילפלא בפומיה ועביד עבודה, אבל גבי אשה לא אפשר. האי שומא היכי דמיא? אי דאית בה שער, הכא והכא פסלה! אי דלא אית בה שער, אי שומא גדולה היא, הכא והכא פסלה! אי שומא קטנה היא, הכא והכא לא פסלה! ד</w:t>
      </w:r>
      <w:r w:rsidRPr="00D3282F">
        <w:rPr>
          <w:rStyle w:val="Style1Char"/>
          <w:color w:val="auto"/>
          <w:sz w:val="22"/>
          <w:szCs w:val="22"/>
          <w:rtl/>
        </w:rPr>
        <w:t xml:space="preserve">תניא: </w:t>
      </w:r>
      <w:r w:rsidR="007111B4">
        <w:rPr>
          <w:rStyle w:val="Style1Char"/>
          <w:rFonts w:hint="cs"/>
          <w:rtl/>
        </w:rPr>
        <w:t>(2)</w:t>
      </w:r>
      <w:r w:rsidRPr="00D3282F">
        <w:rPr>
          <w:rStyle w:val="Style1Char"/>
          <w:color w:val="auto"/>
          <w:sz w:val="22"/>
          <w:szCs w:val="22"/>
          <w:rtl/>
        </w:rPr>
        <w:t xml:space="preserve">שומא שיש בה שער - ה"ז מום, אין בה שער, גדולה - ה"ז מום, קטנה - אין זה מום, ואיזוהי גדולה? פירש רשב"ג, </w:t>
      </w:r>
      <w:r w:rsidR="0047579C">
        <w:rPr>
          <w:rStyle w:val="Style1Char"/>
          <w:rFonts w:hint="cs"/>
          <w:rtl/>
        </w:rPr>
        <w:t>(2)</w:t>
      </w:r>
      <w:r w:rsidRPr="00D3282F">
        <w:rPr>
          <w:rStyle w:val="Style1Char"/>
          <w:color w:val="auto"/>
          <w:sz w:val="22"/>
          <w:szCs w:val="22"/>
          <w:rtl/>
        </w:rPr>
        <w:t xml:space="preserve">עד כאיסר האיטלקי! </w:t>
      </w:r>
      <w:r w:rsidRPr="001D4BFF">
        <w:rPr>
          <w:rStyle w:val="Style1Char"/>
          <w:color w:val="4472C4" w:themeColor="accent1"/>
          <w:sz w:val="22"/>
          <w:szCs w:val="22"/>
          <w:rtl/>
        </w:rPr>
        <w:t>והא דהוסיפו שומא באשה היינו בקטנה ואין בה שער</w:t>
      </w:r>
      <w:r w:rsidRPr="001D4BFF">
        <w:rPr>
          <w:rStyle w:val="Style1Char"/>
          <w:color w:val="00B050"/>
          <w:sz w:val="22"/>
          <w:szCs w:val="22"/>
          <w:rtl/>
        </w:rPr>
        <w:t xml:space="preserve"> </w:t>
      </w:r>
      <w:r w:rsidRPr="00657C31">
        <w:rPr>
          <w:rStyle w:val="Style1Char"/>
          <w:color w:val="00B050"/>
          <w:rtl/>
        </w:rPr>
        <w:t xml:space="preserve">א"ר יוסי בר' חנינא: </w:t>
      </w:r>
      <w:r w:rsidRPr="001D4BFF">
        <w:rPr>
          <w:rStyle w:val="Style1Char"/>
          <w:color w:val="ED7D31" w:themeColor="accent2"/>
          <w:sz w:val="22"/>
          <w:szCs w:val="22"/>
          <w:rtl/>
        </w:rPr>
        <w:t>בעומדת על פדחתה</w:t>
      </w:r>
      <w:r w:rsidRPr="00657C31">
        <w:rPr>
          <w:rStyle w:val="Style1Char"/>
          <w:color w:val="00B050"/>
          <w:rtl/>
        </w:rPr>
        <w:t xml:space="preserve">. פדחתה, ראה וניפייס הוא! א"ר פפא: בעומדת לה </w:t>
      </w:r>
      <w:r w:rsidRPr="001D4BFF">
        <w:rPr>
          <w:rStyle w:val="Style1Char"/>
          <w:color w:val="ED7D31" w:themeColor="accent2"/>
          <w:sz w:val="22"/>
          <w:szCs w:val="22"/>
          <w:rtl/>
        </w:rPr>
        <w:t xml:space="preserve">תחת כפה של ראשה, וזימנין דמתחזיא וזימנין דלא מתחזיא. </w:t>
      </w:r>
      <w:r w:rsidRPr="00657C31">
        <w:rPr>
          <w:rStyle w:val="Style1Char"/>
          <w:color w:val="00B050"/>
          <w:rtl/>
        </w:rPr>
        <w:t xml:space="preserve">א"ר חסדא: הא מילתא מגברא רבה שמיע לי, ומנו? ר' שילא: </w:t>
      </w:r>
      <w:r w:rsidR="00DC120D">
        <w:rPr>
          <w:rStyle w:val="Style1Char"/>
          <w:rFonts w:hint="cs"/>
          <w:rtl/>
        </w:rPr>
        <w:t>(2)</w:t>
      </w:r>
      <w:r w:rsidRPr="008E5D1A">
        <w:rPr>
          <w:rStyle w:val="Style1Char"/>
          <w:color w:val="00B050"/>
          <w:rtl/>
        </w:rPr>
        <w:t xml:space="preserve">נשכה כלב ונעשה מקומו צלקת - הרי זה מום. א"ר חסדא: </w:t>
      </w:r>
      <w:r w:rsidR="00DC120D">
        <w:rPr>
          <w:rStyle w:val="Style1Char"/>
          <w:rFonts w:hint="cs"/>
          <w:rtl/>
        </w:rPr>
        <w:t>(2)</w:t>
      </w:r>
      <w:r w:rsidRPr="008E5D1A">
        <w:rPr>
          <w:rStyle w:val="Style1Char"/>
          <w:color w:val="00B050"/>
          <w:rtl/>
        </w:rPr>
        <w:t xml:space="preserve">קול עבה באשה - ה"ז מום, שנאמר: כי קולך ערב ומראך נאוה. תני ר' נתן ביראה: בין דדי אשה טפח. סבר רב אחא בריה דרבא קמיה דרב אשי למימר: טפח למעליותא, א"ל רב אשי: </w:t>
      </w:r>
      <w:r w:rsidR="00EE127F">
        <w:rPr>
          <w:rStyle w:val="Style1Char"/>
          <w:rFonts w:hint="cs"/>
          <w:rtl/>
        </w:rPr>
        <w:t>(2)</w:t>
      </w:r>
      <w:r w:rsidRPr="008E5D1A">
        <w:rPr>
          <w:rStyle w:val="Style1Char"/>
          <w:color w:val="00B050"/>
          <w:rtl/>
        </w:rPr>
        <w:t xml:space="preserve">גבי מומין תניא. וכמה? אמר אביי: שלש אצבעות. תניא, ר' נתן אומר: </w:t>
      </w:r>
      <w:r w:rsidR="00EE127F">
        <w:rPr>
          <w:rStyle w:val="Style1Char"/>
          <w:rFonts w:hint="cs"/>
          <w:rtl/>
        </w:rPr>
        <w:t>(2)</w:t>
      </w:r>
      <w:r w:rsidRPr="008E5D1A">
        <w:rPr>
          <w:rStyle w:val="Style1Char"/>
          <w:color w:val="00B050"/>
          <w:rtl/>
        </w:rPr>
        <w:t>כל אשה שדדיה גסין משל חברותיה - ה"ז מום. וכמה? א"ר מיישא בר בריה דרבי יהושע בן לוי משמיה דר' יהושע בן לוי: טפח</w:t>
      </w:r>
      <w:r w:rsidRPr="00657C31">
        <w:rPr>
          <w:rStyle w:val="Style1Char"/>
          <w:color w:val="00B050"/>
          <w:rtl/>
        </w:rPr>
        <w:t xml:space="preserve">. ומי איכא כי האי גוונא? אין, דאמר רבה בר בר חנה: אני ראיתי ערביא אחת, שהפשילה דדיה לאחוריה והניקה את בנה. ולציון יאמר איש ואיש יולד בה והוא יכוננה עליון - א"ר מיישא בר בריה דר' יהושע בן לוי: אחד הנולד בה ואחד המצפה לראותה. אמר אביי: וחד מינייהו עדיף כתרי מינן. אמר רבא: וחד מינן כי סליק להתם - עדיף כתרי מינייהו, דהא רבי ירמיה דכי הוה הכא, לא הוה ידע מאי קאמרי רבנן, כי סליק להתם, קרי לן בבלאי טפשאי. </w:t>
      </w:r>
    </w:p>
    <w:p w14:paraId="39193910" w14:textId="20F8C9F0" w:rsidR="002165BA" w:rsidRDefault="002165BA" w:rsidP="002165BA">
      <w:pPr>
        <w:bidi/>
        <w:rPr>
          <w:rStyle w:val="Style1Char"/>
          <w:color w:val="auto"/>
          <w:sz w:val="22"/>
          <w:szCs w:val="22"/>
          <w:rtl/>
        </w:rPr>
      </w:pPr>
      <w:r w:rsidRPr="008C28D5">
        <w:rPr>
          <w:rStyle w:val="Style1Char"/>
          <w:color w:val="auto"/>
          <w:sz w:val="22"/>
          <w:szCs w:val="22"/>
          <w:rtl/>
        </w:rPr>
        <w:t xml:space="preserve">מתני'. </w:t>
      </w:r>
      <w:r w:rsidR="009E4225">
        <w:rPr>
          <w:rStyle w:val="Style1Char"/>
          <w:rFonts w:hint="cs"/>
          <w:rtl/>
        </w:rPr>
        <w:t>(</w:t>
      </w:r>
      <w:r w:rsidR="00FB1ADD">
        <w:rPr>
          <w:rStyle w:val="Style1Char"/>
          <w:rFonts w:hint="cs"/>
          <w:rtl/>
        </w:rPr>
        <w:t>5</w:t>
      </w:r>
      <w:r w:rsidR="009E4225">
        <w:rPr>
          <w:rStyle w:val="Style1Char"/>
          <w:rFonts w:hint="cs"/>
          <w:rtl/>
        </w:rPr>
        <w:t>)</w:t>
      </w:r>
      <w:r w:rsidRPr="008C28D5">
        <w:rPr>
          <w:rStyle w:val="Style1Char"/>
          <w:color w:val="auto"/>
          <w:sz w:val="22"/>
          <w:szCs w:val="22"/>
          <w:rtl/>
        </w:rPr>
        <w:t xml:space="preserve">היו בה מומין ועודה בבית אביה - האב צריך להביא ראיה שמשנתארסה היו בה מומין הללו, ונסתחפה שדהו, נכנסה לרשות הבעל - הבעל צריך להביא ראיה שעד שלא נתארסה היו בה מומין אלו, והיה מקחו מקח טעות, דברי ר"מ; וחכמים אומרים: במה דברים אמורים - במומין שבסתר, </w:t>
      </w:r>
    </w:p>
    <w:p w14:paraId="755B9C67" w14:textId="67DA4C76" w:rsidR="00892DE9" w:rsidRPr="00892DE9" w:rsidRDefault="00EE6FEA" w:rsidP="00641720">
      <w:pPr>
        <w:pStyle w:val="Style1"/>
      </w:pPr>
      <w:r>
        <w:rPr>
          <w:rStyle w:val="Style1Char"/>
          <w:rFonts w:hint="cs"/>
          <w:rtl/>
        </w:rPr>
        <w:t>1)[</w:t>
      </w:r>
      <w:r w:rsidRPr="00EE6FEA">
        <w:rPr>
          <w:rStyle w:val="Style1Char"/>
          <w:rtl/>
        </w:rPr>
        <w:t>שולחן ערוך יורה דעה הלכות נדרים סימן רכח סעיף כא</w:t>
      </w:r>
      <w:r>
        <w:rPr>
          <w:rStyle w:val="Style1Char"/>
          <w:rFonts w:hint="cs"/>
          <w:rtl/>
        </w:rPr>
        <w:t>]</w:t>
      </w:r>
      <w:r w:rsidR="00641720">
        <w:rPr>
          <w:rStyle w:val="Style1Char"/>
          <w:rFonts w:hint="cs"/>
          <w:rtl/>
        </w:rPr>
        <w:t xml:space="preserve"> </w:t>
      </w:r>
      <w:r w:rsidR="00892DE9" w:rsidRPr="00892DE9">
        <w:rPr>
          <w:rtl/>
        </w:rPr>
        <w:t>נדר שעל דעת רבים אין לו התרה בלא דעתם</w:t>
      </w:r>
      <w:r w:rsidR="00892DE9" w:rsidRPr="00892DE9">
        <w:t>, </w:t>
      </w:r>
      <w:r w:rsidR="00892DE9" w:rsidRPr="00892DE9">
        <w:rPr>
          <w:rFonts w:hint="cs"/>
          <w:rtl/>
        </w:rPr>
        <w:t>הגה: ויש מחמירין דאפילו עם דעתם אין להתיר לדבר הרשות (ב"י בשם תשובת הרמב"ן והרשב"א וסמ"ג וריב"ש) וכן נכון להחמיר לכתחלה</w:t>
      </w:r>
      <w:r w:rsidR="00892DE9" w:rsidRPr="00892DE9">
        <w:rPr>
          <w:rtl/>
        </w:rPr>
        <w:t> אלא אם כן יש מצוה בהתרתו</w:t>
      </w:r>
      <w:r w:rsidR="00892DE9" w:rsidRPr="00892DE9">
        <w:t>:</w:t>
      </w:r>
    </w:p>
    <w:p w14:paraId="568C1BD8" w14:textId="77777777" w:rsidR="00892DE9" w:rsidRPr="00892DE9" w:rsidRDefault="00892DE9" w:rsidP="00892DE9">
      <w:pPr>
        <w:pStyle w:val="Style1"/>
      </w:pPr>
      <w:r w:rsidRPr="00892DE9">
        <w:rPr>
          <w:rFonts w:hint="cs"/>
          <w:rtl/>
        </w:rPr>
        <w:t>הגה: מי שנשבע שלא יכנס חבירו לביתו ויש בית הכנסת בביתו מקרי דבר מצוה ומתירין לו שיבא חבירו להתפלל ברבים (סמ"ג והגהות מיימוני והביאו מהרי"ק שורש כ"ב ותשובת ר"י) וכן לעשות שלום בין איש לאשתו (תשובת מיי') או משום צרכי רבים מקרי דבר מצוה להתיר בשבילם נדר שהודר על דעת רבים (ריב"ש סי' תס"א) וכן לצורך פרנסתו (רשב"ץ) ודוקא אם אי אפשר לקיים המצוה בלא התרת הנדר (שם במהרי" ק) ואם אותן הרבים אומרים שלא להתיר לו אפי' לצורך מצוה אין מתירין לו (ב"י בשם ריב"ש ומהר"מ פדוא"ה סי' ס"ב) מי שנשבע שלא ליהנות מאביו ומתחרט מקרי דבר מצוה ומתירין לו (ב"י בשם תשובת רשב"א)</w:t>
      </w:r>
    </w:p>
    <w:p w14:paraId="58151432" w14:textId="77777777" w:rsidR="00892DE9" w:rsidRPr="00892DE9" w:rsidRDefault="00892DE9" w:rsidP="00892DE9">
      <w:pPr>
        <w:pStyle w:val="Style1"/>
      </w:pPr>
      <w:r w:rsidRPr="00892DE9">
        <w:rPr>
          <w:rtl/>
        </w:rPr>
        <w:t>ואין נקראים רבים בפחות מג' וכגון שיפרוט אותם על דעת פלוני ופלוני ופלוני אבל אם אמר סתם ע"ד רבים יש לו התרה ויש אומרים שאם נדר בפני ג' אפי' לא פרט אותם אלא אמר סתם על דעת רבים אין לו התרה דמסתמא על דעת רבים אותם שעומדים לפניו קאמר</w:t>
      </w:r>
      <w:r w:rsidRPr="00892DE9">
        <w:t>:</w:t>
      </w:r>
    </w:p>
    <w:p w14:paraId="3BB49D21" w14:textId="4058C4C0" w:rsidR="00892DE9" w:rsidRDefault="00892DE9" w:rsidP="00892DE9">
      <w:pPr>
        <w:pStyle w:val="Style1"/>
        <w:rPr>
          <w:rtl/>
        </w:rPr>
      </w:pPr>
      <w:r w:rsidRPr="00892DE9">
        <w:rPr>
          <w:rFonts w:hint="cs"/>
          <w:rtl/>
        </w:rPr>
        <w:t>הגה: והוא הדין אם נשבע סתם וידענו על מי נתכוון כגון שנשבע על דעת הקהל או שאמר שנשבע על דעת ג' רבני העיר ואין שם אלא שלשה רבנים שבודאי לאלו נתכוון מקרי על דעת רבים (ב"י בשם ריב"ש) י"א ד' שנשבעו יחד מעשות דבר אחד מקרי על דעת רבים דכל א' נשבע לג' חביריו ועל דעתן נשבע (מהרי"ק שורש קס"ב) ועיין למטה </w:t>
      </w:r>
      <w:hyperlink r:id="rId185" w:anchor="%D7%A1%D7%A2%D7%99%D7%A3_%D7%9C" w:history="1">
        <w:r w:rsidRPr="00892DE9">
          <w:rPr>
            <w:rStyle w:val="Hyperlink"/>
            <w:rFonts w:hint="cs"/>
            <w:color w:val="7030A0"/>
            <w:u w:val="none"/>
            <w:rtl/>
          </w:rPr>
          <w:t>סעיף ל</w:t>
        </w:r>
        <w:r w:rsidRPr="00892DE9">
          <w:rPr>
            <w:rStyle w:val="Hyperlink"/>
            <w:rFonts w:hint="cs"/>
            <w:color w:val="7030A0"/>
            <w:u w:val="none"/>
          </w:rPr>
          <w:t>'</w:t>
        </w:r>
      </w:hyperlink>
      <w:r w:rsidRPr="00892DE9">
        <w:rPr>
          <w:rFonts w:hint="cs"/>
        </w:rPr>
        <w:t> </w:t>
      </w:r>
      <w:r w:rsidRPr="00892DE9">
        <w:rPr>
          <w:rFonts w:hint="cs"/>
          <w:rtl/>
        </w:rPr>
        <w:t>יש אומרים דנדר על דעת רבים שהתירו בדיעבד הותר (שם שורש נ"ב בשם הר"ר אביגדור) ואין לסמוך על זה כי אם בשעת הדחק ויש צורך בדבר (ב"י בשם תשובת הרשב"א) אם נשבע על דעת רבים בדבר שיש בו נדנוד עבירה מותר להתיר לו בלא דעתם כי אין דעת רבים מסכמת בדבר שיש בו עבירה (ב"י בשם תשובת הר"ן סי' מ"ב) מי שנשבע שלא לעשות דבר פלוני כי אם ברשות שלשה אנשים נקובים בשמותם לא מקרי על דעת רבים דאדרבה אלו הרבים דנקט להקל עליו לעשות ברשותם בלא התרה וכן כל כיוצא בזה (גם זה בב"י ריש דף רע"ג בשם הר"ן סי' י"ז)</w:t>
      </w:r>
      <w:r w:rsidRPr="00892DE9">
        <w:t>:</w:t>
      </w:r>
    </w:p>
    <w:p w14:paraId="2880BE50" w14:textId="0BF223BA" w:rsidR="00CF6D3B" w:rsidRPr="00892DE9" w:rsidRDefault="00CF6D3B" w:rsidP="00CF6D3B">
      <w:pPr>
        <w:pStyle w:val="Style1"/>
      </w:pPr>
      <w:r>
        <w:rPr>
          <w:rFonts w:hint="cs"/>
          <w:rtl/>
        </w:rPr>
        <w:t>2)[</w:t>
      </w:r>
      <w:r>
        <w:rPr>
          <w:rtl/>
        </w:rPr>
        <w:t>רמב</w:t>
      </w:r>
      <w:r w:rsidR="00213DA1">
        <w:rPr>
          <w:rtl/>
        </w:rPr>
        <w:t>”ם \נשים\</w:t>
      </w:r>
      <w:r>
        <w:rPr>
          <w:rtl/>
        </w:rPr>
        <w:t xml:space="preserve"> הלכות אישות פרק ז הלכה ז</w:t>
      </w:r>
      <w:r>
        <w:rPr>
          <w:rFonts w:hint="cs"/>
          <w:rtl/>
        </w:rPr>
        <w:t xml:space="preserve">] </w:t>
      </w:r>
      <w:r>
        <w:rPr>
          <w:rtl/>
        </w:rPr>
        <w:t>הרי את מקודשת לי בזה על מנת שאין בך מומין ונמצא בה אחד מן המומין הפוסלין בנשים אינה מקודשת, נמצא בה מום אחר חוץ מאותן המומין אף על פי שאמר מקפיד אני אפילו על זה הרי זו מקודשת. ומה הן המומין הפוסלין בנשים, כל המומין הפוסלין בכהנים פוסלין בנשים, ובהלכות ביאת המקדש יתבארו כל מומי הכהנים, ויתר עליהן בנשים ריח הרע וזיעה וריח הפה וקול עבה, ודדין גסין מחברותיה טפח, וטפח בין דד לדד, ונשיכת כלב ונעשה המקום צלקת, ושומא שעל הפדחת אפילו היתה קטנה ביותר ואפילו קרובה משער ראשה ואף על פי שאין בה שיער, וזו היא השומא שיתירה אשה על הכהנים. אבל אם היתה שומא שיש בה שיער בשאר הפנים או שומא גדולה כאיסר אף על פי שאין בה שיער הרי זה מום בין בכהנים בין בנשים.</w:t>
      </w:r>
    </w:p>
    <w:p w14:paraId="7290F6D3" w14:textId="054E4C25" w:rsidR="00CF6D3B" w:rsidRPr="00B543C0" w:rsidRDefault="00CF6D3B" w:rsidP="00CF6D3B">
      <w:pPr>
        <w:pStyle w:val="Style1"/>
      </w:pPr>
      <w:r>
        <w:rPr>
          <w:rFonts w:hint="cs"/>
          <w:rtl/>
        </w:rPr>
        <w:lastRenderedPageBreak/>
        <w:t>2)[</w:t>
      </w:r>
      <w:r>
        <w:rPr>
          <w:rtl/>
        </w:rPr>
        <w:t>שולחן ערוך אבן העזר הלכות קידושין סימן לט סעיף ד</w:t>
      </w:r>
      <w:r>
        <w:rPr>
          <w:rFonts w:hint="cs"/>
          <w:rtl/>
        </w:rPr>
        <w:t xml:space="preserve">] </w:t>
      </w:r>
      <w:r w:rsidRPr="00B543C0">
        <w:rPr>
          <w:rtl/>
        </w:rPr>
        <w:t>ומה הן המומין הפוסלים בנשים?    כל המומין הפוסלים בכהנים פוסלים בנשים, ויותר עליהם בנשים: ריח רע, וזיעה, וריח הפה</w:t>
      </w:r>
      <w:r w:rsidRPr="00B543C0">
        <w:t>, </w:t>
      </w:r>
      <w:r w:rsidRPr="00B543C0">
        <w:rPr>
          <w:rFonts w:hint="cs"/>
          <w:rtl/>
        </w:rPr>
        <w:t>ויש אומרים דאף ריח החוטם (מרדכי בשם הר"ם)</w:t>
      </w:r>
      <w:r w:rsidRPr="00B543C0">
        <w:t xml:space="preserve">, </w:t>
      </w:r>
      <w:r w:rsidRPr="00B543C0">
        <w:rPr>
          <w:rtl/>
        </w:rPr>
        <w:t>וקול עבה, ודדיה גסים מחברותיה טפח, וטפח בין דד לדד, ונשיכת כלב ונעשה המקום צלקת</w:t>
      </w:r>
      <w:r w:rsidRPr="00B543C0">
        <w:t xml:space="preserve"> (</w:t>
      </w:r>
      <w:r w:rsidRPr="00B543C0">
        <w:rPr>
          <w:rtl/>
        </w:rPr>
        <w:t>פרוש, שנתרפאה המכה וקרם עליה עור ולא נשאר אלא רשם המכה</w:t>
      </w:r>
      <w:r w:rsidRPr="00B543C0">
        <w:t xml:space="preserve">), </w:t>
      </w:r>
      <w:r w:rsidRPr="00B543C0">
        <w:rPr>
          <w:rtl/>
        </w:rPr>
        <w:t>ושומא</w:t>
      </w:r>
      <w:r w:rsidRPr="00B543C0">
        <w:t xml:space="preserve"> (</w:t>
      </w:r>
      <w:r w:rsidRPr="00B543C0">
        <w:rPr>
          <w:rtl/>
        </w:rPr>
        <w:t>פרוש, וירואה בלע"ז רש"י</w:t>
      </w:r>
      <w:r w:rsidRPr="00B543C0">
        <w:t xml:space="preserve">) </w:t>
      </w:r>
      <w:r w:rsidRPr="00B543C0">
        <w:rPr>
          <w:rtl/>
        </w:rPr>
        <w:t>שעל הפדחת, אפילו היתה קטנה ביותר, ואף על פי שאין בה שער, וזו היא השומא שיתירה אשה על הכהנים, והוא שעומדת תחת כיפה שבראשה, פעמים נראית ופעמים אינה נראית, שאם תמיד נראית, הרי ראה ונתפיס, ואם תמיד אינה נראית, אינו מום</w:t>
      </w:r>
      <w:r w:rsidRPr="00B543C0">
        <w:t>.</w:t>
      </w:r>
    </w:p>
    <w:p w14:paraId="3E59F0B7" w14:textId="4CA26791" w:rsidR="00CF6D3B" w:rsidRDefault="00CF6D3B" w:rsidP="00CF6D3B">
      <w:pPr>
        <w:pStyle w:val="Style1"/>
        <w:rPr>
          <w:rtl/>
        </w:rPr>
      </w:pPr>
      <w:r w:rsidRPr="00B543C0">
        <w:rPr>
          <w:rFonts w:hint="cs"/>
          <w:rtl/>
        </w:rPr>
        <w:t>הגה: ואם יש מרחץ בעיר, אפילו מומין שבסתר אין מבטלים. במה דברים אמורים, כשדרך הבנות לילך למרחץ בגלוי, אבל במקום שאין הבנות הולכות למרחץ, רק בלילה ובהחבא, אפילו מומין שבגלוי מבטלין. נכפה, אם הוא לזמן קבוע, הוי מום שבסתר; ואם אינו לזמן קבוע, הוי מום שבגלוי. ועיין לקמן </w:t>
      </w:r>
      <w:hyperlink r:id="rId186" w:tooltip="שולחן ערוך אבן העזר קיז" w:history="1">
        <w:r w:rsidRPr="00B543C0">
          <w:rPr>
            <w:rStyle w:val="Hyperlink"/>
            <w:rFonts w:hint="cs"/>
            <w:color w:val="7030A0"/>
            <w:u w:val="none"/>
            <w:rtl/>
          </w:rPr>
          <w:t>סימן קי"ז</w:t>
        </w:r>
      </w:hyperlink>
      <w:r w:rsidRPr="00B543C0">
        <w:rPr>
          <w:rFonts w:hint="cs"/>
        </w:rPr>
        <w:t> </w:t>
      </w:r>
      <w:r w:rsidRPr="00B543C0">
        <w:rPr>
          <w:rFonts w:hint="cs"/>
          <w:rtl/>
        </w:rPr>
        <w:t>עוד מדיני מומין. יש אומרים דנכפה וריח הפה אין חילוק בין מרחץ בעיר או לא (רבי ירוחם נתיב כ"ג)</w:t>
      </w:r>
      <w:r w:rsidRPr="00B543C0">
        <w:t>:</w:t>
      </w:r>
    </w:p>
    <w:p w14:paraId="0D6C02F7" w14:textId="09B6E9B1" w:rsidR="000A3858" w:rsidRDefault="000A3858" w:rsidP="000A3858">
      <w:pPr>
        <w:pStyle w:val="Style1"/>
        <w:rPr>
          <w:rtl/>
        </w:rPr>
      </w:pPr>
      <w:r>
        <w:rPr>
          <w:rFonts w:hint="cs"/>
          <w:rtl/>
        </w:rPr>
        <w:t>3)[</w:t>
      </w:r>
      <w:r>
        <w:rPr>
          <w:rtl/>
        </w:rPr>
        <w:t>רמב</w:t>
      </w:r>
      <w:r w:rsidR="00C764B2">
        <w:rPr>
          <w:rtl/>
        </w:rPr>
        <w:t>”</w:t>
      </w:r>
      <w:r>
        <w:rPr>
          <w:rtl/>
        </w:rPr>
        <w:t xml:space="preserve">ם </w:t>
      </w:r>
      <w:r w:rsidR="00C764B2">
        <w:rPr>
          <w:rtl/>
        </w:rPr>
        <w:t xml:space="preserve">\עבודה\ </w:t>
      </w:r>
      <w:r>
        <w:rPr>
          <w:rtl/>
        </w:rPr>
        <w:t>הלכות ביאת המקדש</w:t>
      </w:r>
      <w:r w:rsidR="00C764B2">
        <w:rPr>
          <w:rtl/>
        </w:rPr>
        <w:t xml:space="preserve"> </w:t>
      </w:r>
      <w:r>
        <w:rPr>
          <w:rtl/>
        </w:rPr>
        <w:t xml:space="preserve"> פרק ז הלכה יב</w:t>
      </w:r>
      <w:r>
        <w:rPr>
          <w:rFonts w:hint="cs"/>
          <w:rtl/>
        </w:rPr>
        <w:t xml:space="preserve">] </w:t>
      </w:r>
      <w:r>
        <w:rPr>
          <w:rtl/>
        </w:rPr>
        <w:t>ועוד יש שם שלשה מומין אחרים ואלו הן: הזקן שהגיע להיות רותת ורועד כשהוא עומד, החולה כשהוא רועד מפני חוליו וכשלון כחו, אבל הטריפה כשר באדם ופסול בבהמה, וכן יוצא דופן כשר באדם ופסול בבהמה.</w:t>
      </w:r>
    </w:p>
    <w:p w14:paraId="3078C162" w14:textId="4F56A960" w:rsidR="00BB571B" w:rsidRDefault="00BB571B" w:rsidP="00BB571B">
      <w:pPr>
        <w:pStyle w:val="Style1"/>
        <w:rPr>
          <w:rtl/>
        </w:rPr>
      </w:pPr>
      <w:r>
        <w:rPr>
          <w:rFonts w:hint="cs"/>
          <w:rtl/>
        </w:rPr>
        <w:t>3)[</w:t>
      </w:r>
      <w:r>
        <w:rPr>
          <w:rtl/>
        </w:rPr>
        <w:t>רמב</w:t>
      </w:r>
      <w:r w:rsidR="00C764B2">
        <w:rPr>
          <w:rtl/>
        </w:rPr>
        <w:t>”</w:t>
      </w:r>
      <w:r>
        <w:rPr>
          <w:rtl/>
        </w:rPr>
        <w:t xml:space="preserve">ם </w:t>
      </w:r>
      <w:r w:rsidR="00C764B2">
        <w:rPr>
          <w:rtl/>
        </w:rPr>
        <w:t xml:space="preserve">\עבודה\ </w:t>
      </w:r>
      <w:r>
        <w:rPr>
          <w:rtl/>
        </w:rPr>
        <w:t>הלכות ביאת המקדש</w:t>
      </w:r>
      <w:r w:rsidR="00C764B2">
        <w:rPr>
          <w:rtl/>
        </w:rPr>
        <w:t xml:space="preserve"> </w:t>
      </w:r>
      <w:r>
        <w:rPr>
          <w:rtl/>
        </w:rPr>
        <w:t xml:space="preserve"> פרק ז הלכה יג</w:t>
      </w:r>
      <w:r>
        <w:rPr>
          <w:rFonts w:hint="cs"/>
          <w:rtl/>
        </w:rPr>
        <w:t xml:space="preserve">] </w:t>
      </w:r>
      <w:r>
        <w:rPr>
          <w:rtl/>
        </w:rPr>
        <w:t>המזוהם וכהן שהוא מזוהם בזיעתו רוחץ ושף כל גופו בבושם ועובד, היה ריח פיו רע נותן בפיו פלפל או זנגביל וכיוצא בהן ועובד, ואם עבד בזיהום זיעתו או בזיהום פיו הרי חילל עבודתו כשאר אלו הבעלי מומין כולם.</w:t>
      </w:r>
    </w:p>
    <w:p w14:paraId="0FD662DE" w14:textId="5B4C0095" w:rsidR="00396836" w:rsidRDefault="00EA0D06" w:rsidP="00EA0D06">
      <w:pPr>
        <w:pStyle w:val="Style1"/>
        <w:rPr>
          <w:rtl/>
        </w:rPr>
      </w:pPr>
      <w:r>
        <w:rPr>
          <w:rFonts w:hint="cs"/>
          <w:rtl/>
        </w:rPr>
        <w:t>4)[</w:t>
      </w:r>
      <w:r>
        <w:rPr>
          <w:rtl/>
        </w:rPr>
        <w:t>רמב</w:t>
      </w:r>
      <w:r w:rsidR="00C764B2">
        <w:rPr>
          <w:rtl/>
        </w:rPr>
        <w:t>”</w:t>
      </w:r>
      <w:r>
        <w:rPr>
          <w:rtl/>
        </w:rPr>
        <w:t xml:space="preserve">ם </w:t>
      </w:r>
      <w:r w:rsidR="00C764B2">
        <w:rPr>
          <w:rtl/>
        </w:rPr>
        <w:t xml:space="preserve">\עבודה\ </w:t>
      </w:r>
      <w:r>
        <w:rPr>
          <w:rtl/>
        </w:rPr>
        <w:t>הלכות ביאת המקדש</w:t>
      </w:r>
      <w:r w:rsidR="00C764B2">
        <w:rPr>
          <w:rtl/>
        </w:rPr>
        <w:t xml:space="preserve"> </w:t>
      </w:r>
      <w:r>
        <w:rPr>
          <w:rtl/>
        </w:rPr>
        <w:t xml:space="preserve"> פרק ו הלכה א</w:t>
      </w:r>
      <w:r>
        <w:rPr>
          <w:rFonts w:hint="cs"/>
          <w:rtl/>
        </w:rPr>
        <w:t xml:space="preserve">] </w:t>
      </w:r>
      <w:r>
        <w:rPr>
          <w:rtl/>
        </w:rPr>
        <w:t>כל כהן שיש בו מום בין מום קבוע בין מום עובר לא יכנס למקדש מן המזבח ולפנים שנאמר אל הפרוכת לא יבוא ואל המזבח לא יגש, ואם עבר ונכנס לוקה אף ע"פ שלא עבד, ואם עבד במקדש פסל וחילל עבודה ולוקה אף על העבודה, שנאמר אשר יהיה בו מום לא יקרב, מפי השמועה למדו שאזהרה זו שלא יקרב לעבודה.</w:t>
      </w:r>
    </w:p>
    <w:p w14:paraId="3E4BE197" w14:textId="40E01C8A" w:rsidR="00FB1ADD" w:rsidRDefault="00FB1ADD" w:rsidP="00FB1ADD">
      <w:pPr>
        <w:pStyle w:val="Style1"/>
        <w:rPr>
          <w:rtl/>
        </w:rPr>
      </w:pPr>
      <w:r>
        <w:rPr>
          <w:rFonts w:hint="cs"/>
          <w:rtl/>
        </w:rPr>
        <w:t>5)[</w:t>
      </w:r>
      <w:r>
        <w:rPr>
          <w:rtl/>
        </w:rPr>
        <w:t>רמב</w:t>
      </w:r>
      <w:r w:rsidR="00213DA1">
        <w:rPr>
          <w:rtl/>
        </w:rPr>
        <w:t>”ם \נשים\</w:t>
      </w:r>
      <w:r>
        <w:rPr>
          <w:rtl/>
        </w:rPr>
        <w:t xml:space="preserve"> הלכות אישות פרק כה הלכה ד</w:t>
      </w:r>
      <w:r>
        <w:rPr>
          <w:rFonts w:hint="cs"/>
          <w:rtl/>
        </w:rPr>
        <w:t xml:space="preserve">] </w:t>
      </w:r>
      <w:r>
        <w:rPr>
          <w:rtl/>
        </w:rPr>
        <w:t>כיצד היא טענת המומין, אם היו המומין שנמצאו בה מומין שודאי היו בה קודם שתתארס כגון אצבע יתירה וכיוצא בה, על האב להביא ראיה שידע בהן הבעל ורצה או שחזקתו שידע, ואם לא הביא תצא בלא כתובה כלל. היו מומין שאפשר שנולדו בה אחר האירוסין, אם נמצאו בה אחר שנכנסה לבית הבעל על הבעל להביא ראיה שעד שלא נתארסה היו בה והיה מקחו מקח טעות, ואם נמצאו בה והיא בבית אביה על האב להביא ראיה שאחר האירוסין נולדו ונסתחפה שדהו.</w:t>
      </w:r>
    </w:p>
    <w:p w14:paraId="01CE5878" w14:textId="12BBE5CA" w:rsidR="005B2351" w:rsidRPr="005B2351" w:rsidRDefault="008F3F3B" w:rsidP="005B2351">
      <w:pPr>
        <w:pStyle w:val="Style1"/>
      </w:pPr>
      <w:r>
        <w:rPr>
          <w:rFonts w:hint="cs"/>
          <w:rtl/>
        </w:rPr>
        <w:t>5)[</w:t>
      </w:r>
      <w:r>
        <w:rPr>
          <w:rtl/>
        </w:rPr>
        <w:t>שולחן ערוך אבן העזר הלכות כתובות סימן קיז סעיף ח</w:t>
      </w:r>
      <w:r>
        <w:rPr>
          <w:rFonts w:hint="cs"/>
          <w:rtl/>
        </w:rPr>
        <w:t>]</w:t>
      </w:r>
      <w:r w:rsidR="005B2351">
        <w:rPr>
          <w:rFonts w:hint="cs"/>
          <w:rtl/>
        </w:rPr>
        <w:t xml:space="preserve"> </w:t>
      </w:r>
      <w:r w:rsidR="005B2351" w:rsidRPr="005B2351">
        <w:rPr>
          <w:rtl/>
        </w:rPr>
        <w:t>היו בה מומין שאפשר שנולדו בה אחר האירוסין, אם נמצאו בה אחר שכנסה לבית הבעל, על הבעל להביא ראיה שעד שלא נתארסה היו בה והיה מקחו מקח טעות. ואם נמצאו בה והיא בבית אביה, על האב להביא ראיה שאחר האירוסין נולדו ונסתחפה שדהו</w:t>
      </w:r>
      <w:r w:rsidR="005B2351" w:rsidRPr="005B2351">
        <w:t>.</w:t>
      </w:r>
    </w:p>
    <w:p w14:paraId="6424A87E" w14:textId="77777777" w:rsidR="005B2351" w:rsidRPr="005B2351" w:rsidRDefault="005B2351" w:rsidP="005B2351">
      <w:pPr>
        <w:pStyle w:val="Style1"/>
      </w:pPr>
      <w:r w:rsidRPr="005B2351">
        <w:rPr>
          <w:rFonts w:hint="cs"/>
          <w:rtl/>
        </w:rPr>
        <w:t>הגה: ויש אומרים דאם האב טוען ודאי, על הבעל להביא ראיה (המגיד משנה פרק כ"ה בשם הרשב"א). ויש אומרים דאם הגיע זמן לכנוס, אף על פי שלא כנסה, הוי כאלו היתה ברשות הבעל (רבנו ירוחם נתיב כ"ג ח"ה)</w:t>
      </w:r>
      <w:r w:rsidRPr="005B2351">
        <w:t>:</w:t>
      </w:r>
    </w:p>
    <w:p w14:paraId="7221E66D" w14:textId="77777777" w:rsidR="005B2351" w:rsidRPr="005B2351" w:rsidRDefault="005B2351" w:rsidP="005B2351">
      <w:pPr>
        <w:pStyle w:val="Style1"/>
      </w:pPr>
    </w:p>
    <w:p w14:paraId="77166818" w14:textId="0F25684D" w:rsidR="008F3F3B" w:rsidRDefault="008F3F3B" w:rsidP="008F3F3B">
      <w:pPr>
        <w:pStyle w:val="Style1"/>
        <w:rPr>
          <w:rtl/>
        </w:rPr>
      </w:pPr>
    </w:p>
    <w:p w14:paraId="5B227B28" w14:textId="77777777" w:rsidR="00DF205C" w:rsidRDefault="00DF205C" w:rsidP="00EA0D06">
      <w:pPr>
        <w:pStyle w:val="Style1"/>
        <w:rPr>
          <w:rtl/>
        </w:rPr>
      </w:pPr>
    </w:p>
    <w:p w14:paraId="2BA216B9" w14:textId="77777777" w:rsidR="002165BA" w:rsidRPr="00892DE9" w:rsidRDefault="002165BA" w:rsidP="00892DE9">
      <w:pPr>
        <w:pStyle w:val="Style1"/>
        <w:rPr>
          <w:rStyle w:val="Style1Char"/>
          <w:rtl/>
        </w:rPr>
      </w:pPr>
    </w:p>
    <w:p w14:paraId="044E8D4E" w14:textId="77777777" w:rsidR="002165BA" w:rsidRDefault="002165BA" w:rsidP="002165BA">
      <w:pPr>
        <w:rPr>
          <w:rStyle w:val="Style1Char"/>
          <w:color w:val="00B050"/>
          <w:rtl/>
        </w:rPr>
      </w:pPr>
      <w:r>
        <w:rPr>
          <w:rStyle w:val="Style1Char"/>
          <w:color w:val="00B050"/>
          <w:rtl/>
        </w:rPr>
        <w:br w:type="page"/>
      </w:r>
    </w:p>
    <w:p w14:paraId="548F917F" w14:textId="146BA1DC" w:rsidR="002165BA" w:rsidRPr="0090133A" w:rsidRDefault="002165BA" w:rsidP="002165BA">
      <w:pPr>
        <w:bidi/>
        <w:rPr>
          <w:rStyle w:val="Style1Char"/>
          <w:color w:val="4472C4" w:themeColor="accent1"/>
        </w:rPr>
      </w:pPr>
      <w:r w:rsidRPr="008C28D5">
        <w:rPr>
          <w:rStyle w:val="Style1Char"/>
          <w:color w:val="auto"/>
          <w:sz w:val="22"/>
          <w:szCs w:val="22"/>
          <w:highlight w:val="yellow"/>
          <w:rtl/>
        </w:rPr>
        <w:lastRenderedPageBreak/>
        <w:t>[דף עה עמוד ב]</w:t>
      </w:r>
      <w:r w:rsidRPr="008C28D5">
        <w:rPr>
          <w:rStyle w:val="Style1Char"/>
          <w:color w:val="auto"/>
          <w:sz w:val="22"/>
          <w:szCs w:val="22"/>
          <w:rtl/>
        </w:rPr>
        <w:t xml:space="preserve"> </w:t>
      </w:r>
      <w:r w:rsidR="00F0036D">
        <w:rPr>
          <w:rStyle w:val="Style1Char"/>
          <w:rFonts w:hint="cs"/>
          <w:rtl/>
        </w:rPr>
        <w:t>(1)</w:t>
      </w:r>
      <w:r w:rsidRPr="008C28D5">
        <w:rPr>
          <w:rStyle w:val="Style1Char"/>
          <w:color w:val="auto"/>
          <w:sz w:val="22"/>
          <w:szCs w:val="22"/>
          <w:rtl/>
        </w:rPr>
        <w:t xml:space="preserve">אבל במומין שבגלוי - אינו יכול לטעון. </w:t>
      </w:r>
      <w:r w:rsidR="00066E04">
        <w:rPr>
          <w:rStyle w:val="Style1Char"/>
          <w:rFonts w:hint="cs"/>
          <w:rtl/>
        </w:rPr>
        <w:t>(1.1, 2)</w:t>
      </w:r>
      <w:r w:rsidRPr="008C28D5">
        <w:rPr>
          <w:rStyle w:val="Style1Char"/>
          <w:color w:val="auto"/>
          <w:sz w:val="22"/>
          <w:szCs w:val="22"/>
          <w:rtl/>
        </w:rPr>
        <w:t xml:space="preserve">ואם יש מרחץ באותה העיר - אף מומין שבסתר אינו יכול לטעון, מפני שהוא בודקה בקרובותיו. </w:t>
      </w:r>
      <w:r>
        <w:rPr>
          <w:rStyle w:val="Style1Char"/>
          <w:rFonts w:hint="cs"/>
          <w:color w:val="4472C4" w:themeColor="accent1"/>
        </w:rPr>
        <w:t>‍‍</w:t>
      </w:r>
      <w:r w:rsidRPr="0090133A">
        <w:rPr>
          <w:rStyle w:val="Style1Char"/>
          <w:color w:val="4472C4" w:themeColor="accent1"/>
          <w:rtl/>
        </w:rPr>
        <w:t>וכתבו הגאונים ז"ל לא קרובותיו ממש אלא ביודעיו ואפילו גר הוא בעיר ואין לו קרובות אי אפשר שלא יהו לו רעים בעיר וחברים ובודקין על ידי נשותיהן ודווקא בעיר שדרך הבנות לצאת מבית אביהן ולרחוץ במרחץ ביום אבל במקום שאין דרך הבנות לראותם חוצה ואף למרחץ אינן הולכות אלא באישון לילה ואפילה כמו בספרד אף על מומין שבגלוי יכול לטעו</w:t>
      </w:r>
      <w:r w:rsidRPr="0090133A">
        <w:rPr>
          <w:rStyle w:val="Style1Char"/>
          <w:color w:val="4472C4" w:themeColor="accent1"/>
        </w:rPr>
        <w:t>':</w:t>
      </w:r>
    </w:p>
    <w:p w14:paraId="22CD9CC4" w14:textId="3E99A88E" w:rsidR="002165BA" w:rsidRDefault="002165BA" w:rsidP="002165BA">
      <w:pPr>
        <w:bidi/>
        <w:rPr>
          <w:rStyle w:val="Style1Char"/>
          <w:color w:val="00B050"/>
          <w:rtl/>
        </w:rPr>
      </w:pPr>
      <w:r w:rsidRPr="00D82DFE">
        <w:rPr>
          <w:rStyle w:val="Style1Char"/>
          <w:color w:val="ED7D31" w:themeColor="accent2"/>
          <w:sz w:val="22"/>
          <w:szCs w:val="22"/>
          <w:rtl/>
        </w:rPr>
        <w:t xml:space="preserve">גמ'. טעמא דמייתי האב ראיה, </w:t>
      </w:r>
      <w:r w:rsidR="007329BC">
        <w:rPr>
          <w:rStyle w:val="Style1Char"/>
          <w:rFonts w:hint="cs"/>
          <w:rtl/>
        </w:rPr>
        <w:t>(3)</w:t>
      </w:r>
      <w:r w:rsidRPr="00D82DFE">
        <w:rPr>
          <w:rStyle w:val="Style1Char"/>
          <w:color w:val="ED7D31" w:themeColor="accent2"/>
          <w:sz w:val="22"/>
          <w:szCs w:val="22"/>
          <w:rtl/>
        </w:rPr>
        <w:t xml:space="preserve">הא לא מייתי האב ראיה - הבעל מהימן, מני? רבי יהושע היא, דאמר: לא מפיה אנו חיין, אימא סיפא: נכנסה לרשות הבעל - הבעל צריך להביא ראיה; טעמא דמייתי הבעל ראיה, הא לא מייתי הבעל ראיה - האב מהימן, אתאן לר"ג, דאמר: נאמנת! א"ר אלעזר: תברא, מי ששנה זו לא שנה זו. </w:t>
      </w:r>
      <w:r w:rsidRPr="00657C31">
        <w:rPr>
          <w:rStyle w:val="Style1Char"/>
          <w:color w:val="00B050"/>
          <w:rtl/>
        </w:rPr>
        <w:t xml:space="preserve">אמר רבא, לא תימא: רבי יהושע לא אזיל בתר חזקה דגופא כלל, אלא כי לא אזיל ר' יהושע בתר חזקה דגופא - היכא דאיכא חזקה דממונא, אבל היכא דליכא חזקה דממונא, אזיל רבי יהושע בתר חזקה דגופא; דתניא: </w:t>
      </w:r>
      <w:r w:rsidR="00364FAB">
        <w:rPr>
          <w:rStyle w:val="Style1Char"/>
          <w:rFonts w:hint="cs"/>
          <w:rtl/>
        </w:rPr>
        <w:t>(4)</w:t>
      </w:r>
      <w:r w:rsidRPr="00657C31">
        <w:rPr>
          <w:rStyle w:val="Style1Char"/>
          <w:color w:val="00B050"/>
          <w:rtl/>
        </w:rPr>
        <w:t xml:space="preserve">אם בהרת קודם לשער לבן - טמא, אם שער לבן קודם לבהרת - טהור, </w:t>
      </w:r>
      <w:r w:rsidR="00364FAB">
        <w:rPr>
          <w:rStyle w:val="Style1Char"/>
          <w:rFonts w:hint="cs"/>
          <w:rtl/>
        </w:rPr>
        <w:t>(5)</w:t>
      </w:r>
      <w:r w:rsidRPr="00657C31">
        <w:rPr>
          <w:rStyle w:val="Style1Char"/>
          <w:color w:val="00B050"/>
          <w:rtl/>
        </w:rPr>
        <w:t xml:space="preserve">ספק - טמא, ור' יהושע אומר: כהה. מאי כהה? אמר רבה: כהה - טהור. </w:t>
      </w:r>
      <w:r w:rsidRPr="00035B96">
        <w:rPr>
          <w:rStyle w:val="Style1Char"/>
          <w:color w:val="ED7D31" w:themeColor="accent2"/>
          <w:sz w:val="22"/>
          <w:szCs w:val="22"/>
          <w:rtl/>
        </w:rPr>
        <w:t xml:space="preserve">רבא אמר: רישא כאן נמצאו וכאן היו, סיפא נמי כאן נמצאו וכאן היו. </w:t>
      </w:r>
      <w:r w:rsidRPr="00657C31">
        <w:rPr>
          <w:rStyle w:val="Style1Char"/>
          <w:color w:val="00B050"/>
          <w:rtl/>
        </w:rPr>
        <w:t xml:space="preserve">איתיביה אביי: נכנסה לרשות הבעל - הבעל צריך להביא ראיה שעד שלא תתארס היו בה מומין אלו, והיה מקחו מקח טעות; עד שלא תתארס אין, משתתארס לא, ואמאי? לימא: כאן נמצאו וכאן היו! א"ל: משנתארסה, משום דאיכא למימר: </w:t>
      </w:r>
      <w:r w:rsidR="003F2E9B">
        <w:rPr>
          <w:rStyle w:val="Style1Char"/>
          <w:rFonts w:hint="cs"/>
          <w:rtl/>
        </w:rPr>
        <w:t>(</w:t>
      </w:r>
      <w:r w:rsidR="002F4D8F">
        <w:rPr>
          <w:rStyle w:val="Style1Char"/>
          <w:rFonts w:hint="cs"/>
          <w:rtl/>
        </w:rPr>
        <w:t>5</w:t>
      </w:r>
      <w:r w:rsidR="003F2E9B">
        <w:rPr>
          <w:rStyle w:val="Style1Char"/>
          <w:rFonts w:hint="cs"/>
          <w:rtl/>
        </w:rPr>
        <w:t>)</w:t>
      </w:r>
      <w:r w:rsidRPr="00657C31">
        <w:rPr>
          <w:rStyle w:val="Style1Char"/>
          <w:color w:val="00B050"/>
          <w:rtl/>
        </w:rPr>
        <w:t xml:space="preserve">חזקה אין אדם שותה בכוס אא"כ בודקו, והאי ראה וניפייס הוא. אי הכי, עד שלא תתארס נמי! אלא אמרינן חזקה אין אדם מיפייס במומין, הכא נמי חזקה אין אדם מיפייס במומין! אלא משנתארסה, משום דאיכא תרתי: חזקה העמד הגוף על חזקתו, וחזקה אין אדם שותה בכוס אא"כ בודקו, והאי ראה וניפייס הוא, מאי אמרת? חזקה אין אדם מיפייס במומין, הוי </w:t>
      </w:r>
    </w:p>
    <w:p w14:paraId="40BBBB80" w14:textId="398D834F" w:rsidR="00471577" w:rsidRDefault="00471577" w:rsidP="00471577">
      <w:pPr>
        <w:pStyle w:val="Style1"/>
        <w:rPr>
          <w:rtl/>
        </w:rPr>
      </w:pPr>
      <w:r>
        <w:rPr>
          <w:rStyle w:val="Style1Char"/>
          <w:rFonts w:hint="cs"/>
          <w:rtl/>
        </w:rPr>
        <w:t>1</w:t>
      </w:r>
      <w:r>
        <w:rPr>
          <w:rFonts w:hint="cs"/>
          <w:rtl/>
        </w:rPr>
        <w:t>)[</w:t>
      </w:r>
      <w:r>
        <w:rPr>
          <w:rtl/>
        </w:rPr>
        <w:t>רמב</w:t>
      </w:r>
      <w:r w:rsidR="00213DA1">
        <w:rPr>
          <w:rtl/>
        </w:rPr>
        <w:t>”ם \נשים\</w:t>
      </w:r>
      <w:r>
        <w:rPr>
          <w:rtl/>
        </w:rPr>
        <w:t xml:space="preserve"> הלכות אישות פרק כה הלכה ב</w:t>
      </w:r>
      <w:r>
        <w:rPr>
          <w:rFonts w:hint="cs"/>
          <w:rtl/>
        </w:rPr>
        <w:t xml:space="preserve">] </w:t>
      </w:r>
      <w:r>
        <w:rPr>
          <w:rtl/>
        </w:rPr>
        <w:t>וכן הכונס אשה סתם ונמצא בה מום ממומי נשים שכבר ביארנום ולא ידע הבעל במום זה ולא שמע בו ורצה, הרי זו תצא בלא כתובה לא עיקר ולא תוספת. כיצד היה מרחץ בעיר</w:t>
      </w:r>
      <w:r>
        <w:rPr>
          <w:rFonts w:hint="cs"/>
          <w:rtl/>
        </w:rPr>
        <w:t xml:space="preserve"> </w:t>
      </w:r>
      <w:r>
        <w:rPr>
          <w:rtl/>
        </w:rPr>
        <w:t>והיו לו קרובים אינו יכול לומר לא ידעתי מומין אלו ואפילו מומין שבסתר מפני שהוא בודק בקרובותיו וחזקה ששמע ורצה, ואם אין שם מרחץ או שלא היו לו קרובים טוען במומין שבסתר, ונכפה בעתים ידועים הרי הוא ממומי סתר אבל במומין שבגלוי אינו יכול לטעון שהרי הכל רואין אותן ואומרין לו וחזקתו ששמע ונתפייס. דבר ידוע הוא שאין דין זה אלא באותן המקומות שהיה מנהג הנשים שם להלך בשוק ופניהן גלויות והכל יודעין אותן ואומרין זו היא בתו של פלוני וזו היא אחותו של פלוני כמו ערי אדום בזמן הזה, אבל מקומות שאין דרך הבנות שם לצאת לשוק כלל ואם תצא הבת למרחץ בנשף תצא מתנכרה ולא יראה אותה אדם חוץ מקרובותיה הרי זה טוען אף במומין שבגלוי, והוא שלא היה שם מרחץ ושלא היתה לו קרובה לבדוק בה. אבל אם היה שם מרחץ בעיר זו שאין דרך הנשים לצאת בה ופניהם מגולות אם יש לו קרובה אינו יכול לטעון שהרי הכל רואין אותה ערומה במרחץ, ואם דרכן להחבא ולהתנכר אף במרחץ ושתהיה הבת רוחצת בלילה או בבית קטן שבמרחץ לבדה עד שלא תראה ולא תודע הרי זה טוען אף במומין שבגלוי, שדברים אלו דברים של טעם הם ואינם גזירת הכתוב.</w:t>
      </w:r>
    </w:p>
    <w:p w14:paraId="0B77561D" w14:textId="1AAAFF09" w:rsidR="00AF3516" w:rsidRPr="00AF3516" w:rsidRDefault="00471577" w:rsidP="00AF3516">
      <w:pPr>
        <w:pStyle w:val="Style1"/>
      </w:pPr>
      <w:r>
        <w:rPr>
          <w:rFonts w:hint="cs"/>
          <w:rtl/>
        </w:rPr>
        <w:t>1)[</w:t>
      </w:r>
      <w:r>
        <w:rPr>
          <w:rtl/>
        </w:rPr>
        <w:t xml:space="preserve">שולחן ערוך אבן העזר הלכות כתובות סימן קיז סעיף </w:t>
      </w:r>
      <w:r>
        <w:rPr>
          <w:rFonts w:hint="cs"/>
          <w:rtl/>
        </w:rPr>
        <w:t>ה]</w:t>
      </w:r>
      <w:r w:rsidR="0075329C">
        <w:rPr>
          <w:rFonts w:hint="cs"/>
          <w:rtl/>
        </w:rPr>
        <w:t xml:space="preserve"> </w:t>
      </w:r>
      <w:r w:rsidR="00AF3516" w:rsidRPr="00AF3516">
        <w:rPr>
          <w:rtl/>
        </w:rPr>
        <w:t>אם יש מרחץ בעיר והיו לו קרובים שם, אינו יכול לומר: לא ידעתי מומין אלו, ואפלו מומין שבסתר, מפני שהוא בודקה על ידי קרובותיו וחזקתו ששמע ונתרצה. ואם אין שם מרחץ, או שלא היו לו שם קרובים, טוען במומין שבסתר. ונכפית לעתים ידועים, הרי הוא כמומי סתר. אבל במומין שבגלוי אינו יכול לטעון, שחזקתו ששמע ונתפייס</w:t>
      </w:r>
      <w:r w:rsidR="00AF3516" w:rsidRPr="00AF3516">
        <w:t>.</w:t>
      </w:r>
    </w:p>
    <w:p w14:paraId="7C2F4942" w14:textId="47E291E2" w:rsidR="00AF3516" w:rsidRDefault="00AF3516" w:rsidP="00AF3516">
      <w:pPr>
        <w:pStyle w:val="Style1"/>
        <w:rPr>
          <w:rtl/>
        </w:rPr>
      </w:pPr>
      <w:r w:rsidRPr="00AF3516">
        <w:rPr>
          <w:rFonts w:hint="cs"/>
          <w:rtl/>
        </w:rPr>
        <w:t>המשתנת במטה תמיד, יש אומרים דלא הוי מום (בית יוסף בשם הרשב"א), ויש אומרים דהוי מום (בית יוסף), וכן נראה לי עיקר. טען על אשתו שהיא מצורעת, הוי מום (בית יוסף)</w:t>
      </w:r>
      <w:r w:rsidRPr="00AF3516">
        <w:t>:</w:t>
      </w:r>
    </w:p>
    <w:p w14:paraId="16F82641" w14:textId="1F2BD886" w:rsidR="00011F13" w:rsidRPr="00011F13" w:rsidRDefault="00AA7FF6" w:rsidP="00011F13">
      <w:pPr>
        <w:pStyle w:val="Style1"/>
      </w:pPr>
      <w:r>
        <w:rPr>
          <w:rFonts w:hint="cs"/>
          <w:rtl/>
        </w:rPr>
        <w:t>2)[</w:t>
      </w:r>
      <w:r>
        <w:rPr>
          <w:rtl/>
        </w:rPr>
        <w:t>שולחן ערוך אבן העזר הלכות כתובות סימן קיז סעיף ו</w:t>
      </w:r>
      <w:r>
        <w:rPr>
          <w:rFonts w:hint="cs"/>
          <w:rtl/>
        </w:rPr>
        <w:t>]</w:t>
      </w:r>
      <w:r w:rsidR="00011F13">
        <w:rPr>
          <w:rFonts w:hint="cs"/>
          <w:rtl/>
        </w:rPr>
        <w:t xml:space="preserve"> </w:t>
      </w:r>
      <w:r w:rsidR="00011F13" w:rsidRPr="00011F13">
        <w:rPr>
          <w:rtl/>
        </w:rPr>
        <w:t>במה דברים אמורים, במקום שמנהג הנשים להלך בשוק ופניהן גלויות, אבל במקום שאין דרך הבנות לצאת לשוק כלל, ואם תצא למרחץ תצא מתנכרת, הרי זה טוען אפלו מומין שבגלוי. ואם יש שם מרחץ, אם יש לו קרובה אינו יכול לטען, שבודאי הכל רואין אותה ערומה במרחץ. ואם דרכן להתחבא במרחץ, יכול לטעון אף מומין שבגלוי</w:t>
      </w:r>
      <w:r w:rsidR="00011F13" w:rsidRPr="00011F13">
        <w:t>.</w:t>
      </w:r>
    </w:p>
    <w:p w14:paraId="48E0374C" w14:textId="3728C7E2" w:rsidR="00011F13" w:rsidRDefault="00011F13" w:rsidP="00011F13">
      <w:pPr>
        <w:pStyle w:val="Style1"/>
        <w:rPr>
          <w:rtl/>
        </w:rPr>
      </w:pPr>
      <w:r w:rsidRPr="00011F13">
        <w:rPr>
          <w:rFonts w:hint="cs"/>
          <w:rtl/>
        </w:rPr>
        <w:t>ויש אומרים דאפילו אין לו קרובים בעיר, יש לו רעים ובודק על ידי נשותיהם (טור בשם הגאונים)</w:t>
      </w:r>
      <w:r w:rsidRPr="00011F13">
        <w:t>:</w:t>
      </w:r>
    </w:p>
    <w:p w14:paraId="0143CF33" w14:textId="30839C06" w:rsidR="004D2E9B" w:rsidRPr="00B543C0" w:rsidRDefault="004D2E9B" w:rsidP="004D2E9B">
      <w:pPr>
        <w:pStyle w:val="Style1"/>
      </w:pPr>
      <w:r>
        <w:rPr>
          <w:rFonts w:hint="cs"/>
          <w:rtl/>
        </w:rPr>
        <w:t>2)[</w:t>
      </w:r>
      <w:r>
        <w:rPr>
          <w:rtl/>
        </w:rPr>
        <w:t>שולחן ערוך אבן העזר הלכות קידושין סימן לט סעיף ד</w:t>
      </w:r>
      <w:r>
        <w:rPr>
          <w:rFonts w:hint="cs"/>
          <w:rtl/>
        </w:rPr>
        <w:t xml:space="preserve">] </w:t>
      </w:r>
      <w:r w:rsidRPr="00B543C0">
        <w:rPr>
          <w:rtl/>
        </w:rPr>
        <w:t>ומה הן המומין הפוסלים בנשים?    כל המומין הפוסלים בכהנים פוסלים בנשים, ויותר עליהם בנשים: ריח רע, וזיעה, וריח הפה</w:t>
      </w:r>
      <w:r w:rsidRPr="00B543C0">
        <w:t>, </w:t>
      </w:r>
      <w:r w:rsidRPr="00B543C0">
        <w:rPr>
          <w:rFonts w:hint="cs"/>
          <w:rtl/>
        </w:rPr>
        <w:t>ויש אומרים דאף ריח החוטם (מרדכי בשם הר"ם)</w:t>
      </w:r>
      <w:r w:rsidRPr="00B543C0">
        <w:t xml:space="preserve">, </w:t>
      </w:r>
      <w:r w:rsidRPr="00B543C0">
        <w:rPr>
          <w:rtl/>
        </w:rPr>
        <w:t>וקול עבה, ודדיה גסים מחברותיה טפח, וטפח בין דד לדד, ונשיכת כלב ונעשה המקום צלקת</w:t>
      </w:r>
      <w:r w:rsidRPr="00B543C0">
        <w:t xml:space="preserve"> (</w:t>
      </w:r>
      <w:r w:rsidRPr="00B543C0">
        <w:rPr>
          <w:rtl/>
        </w:rPr>
        <w:t>פרוש, שנתרפאה המכה וקרם עליה עור ולא נשאר אלא רשם המכה</w:t>
      </w:r>
      <w:r w:rsidRPr="00B543C0">
        <w:t xml:space="preserve">), </w:t>
      </w:r>
      <w:r w:rsidRPr="00B543C0">
        <w:rPr>
          <w:rtl/>
        </w:rPr>
        <w:t>ושומא</w:t>
      </w:r>
      <w:r w:rsidRPr="00B543C0">
        <w:t xml:space="preserve"> (</w:t>
      </w:r>
      <w:r w:rsidRPr="00B543C0">
        <w:rPr>
          <w:rtl/>
        </w:rPr>
        <w:t>פרוש, וירואה בלע"ז רש"י</w:t>
      </w:r>
      <w:r w:rsidRPr="00B543C0">
        <w:t xml:space="preserve">) </w:t>
      </w:r>
      <w:r w:rsidRPr="00B543C0">
        <w:rPr>
          <w:rtl/>
        </w:rPr>
        <w:t>שעל הפדחת, אפילו היתה קטנה ביותר, ואף על פי שאין בה שער, וזו היא השומא שיתירה אשה על הכהנים, והוא שעומדת תחת כיפה שבראשה, פעמים נראית ופעמים אינה נראית, שאם תמיד נראית, הרי ראה ונתפיס, ואם תמיד אינה נראית, אינו מום</w:t>
      </w:r>
      <w:r w:rsidRPr="00B543C0">
        <w:t>.</w:t>
      </w:r>
    </w:p>
    <w:p w14:paraId="21708815" w14:textId="061220CC" w:rsidR="004D2E9B" w:rsidRDefault="004D2E9B" w:rsidP="004D2E9B">
      <w:pPr>
        <w:pStyle w:val="Style1"/>
        <w:rPr>
          <w:rtl/>
        </w:rPr>
      </w:pPr>
      <w:r w:rsidRPr="00B543C0">
        <w:rPr>
          <w:rFonts w:hint="cs"/>
          <w:rtl/>
        </w:rPr>
        <w:t>הגה: ואם יש מרחץ בעיר, אפילו מומין שבסתר אין מבטלים. במה דברים אמורים, כשדרך הבנות לילך למרחץ בגלוי, אבל במקום שאין הבנות הולכות למרחץ, רק בלילה ובהחבא, אפילו מומין שבגלוי מבטלין. נכפה, אם הוא לזמן קבוע, הוי מום שבסתר; ואם אינו לזמן קבוע, הוי מום שבגלוי. ועיין לקמן </w:t>
      </w:r>
      <w:hyperlink r:id="rId187" w:tooltip="שולחן ערוך אבן העזר קיז" w:history="1">
        <w:r w:rsidRPr="00B543C0">
          <w:rPr>
            <w:rStyle w:val="Hyperlink"/>
            <w:rFonts w:hint="cs"/>
            <w:color w:val="7030A0"/>
            <w:u w:val="none"/>
            <w:rtl/>
          </w:rPr>
          <w:t>סימן קי"ז</w:t>
        </w:r>
      </w:hyperlink>
      <w:r w:rsidRPr="00B543C0">
        <w:rPr>
          <w:rFonts w:hint="cs"/>
        </w:rPr>
        <w:t> </w:t>
      </w:r>
      <w:r w:rsidRPr="00B543C0">
        <w:rPr>
          <w:rFonts w:hint="cs"/>
          <w:rtl/>
        </w:rPr>
        <w:t>עוד מדיני מומין. יש אומרים דנכפה וריח הפה אין חילוק בין מרחץ בעיר או לא (רבי ירוחם נתיב כ"ג)</w:t>
      </w:r>
      <w:r w:rsidRPr="00B543C0">
        <w:t>:</w:t>
      </w:r>
    </w:p>
    <w:p w14:paraId="18422809" w14:textId="04F24076" w:rsidR="003708FD" w:rsidRDefault="003708FD" w:rsidP="003708FD">
      <w:pPr>
        <w:pStyle w:val="Style1"/>
        <w:rPr>
          <w:rtl/>
        </w:rPr>
      </w:pPr>
      <w:r>
        <w:rPr>
          <w:rFonts w:hint="cs"/>
          <w:rtl/>
        </w:rPr>
        <w:t>3)[</w:t>
      </w:r>
      <w:r>
        <w:rPr>
          <w:rtl/>
        </w:rPr>
        <w:t>רמב</w:t>
      </w:r>
      <w:r w:rsidR="00213DA1">
        <w:rPr>
          <w:rtl/>
        </w:rPr>
        <w:t>”ם \נשים\</w:t>
      </w:r>
      <w:r>
        <w:rPr>
          <w:rtl/>
        </w:rPr>
        <w:t xml:space="preserve"> הלכות אישות פרק כה הלכה ד</w:t>
      </w:r>
      <w:r>
        <w:rPr>
          <w:rFonts w:hint="cs"/>
          <w:rtl/>
        </w:rPr>
        <w:t xml:space="preserve">] </w:t>
      </w:r>
      <w:r>
        <w:rPr>
          <w:rtl/>
        </w:rPr>
        <w:t>כיצד היא טענת המומין, אם היו המומין שנמצאו בה מומין שודאי היו בה קודם שתתארס כגון אצבע יתירה וכיוצא בה, על האב להביא ראיה שידע בהן הבעל ורצה או שחזקתו שידע, ואם לא הביא תצא בלא כתובה כלל. היו מומין שאפשר שנולדו בה אחר האירוסין, אם נמצאו בה אחר שנכנסה לבית הבעל על הבעל להביא ראיה שעד שלא נתארסה היו בה והיה מקחו מקח טעות, ואם נמצאו בה והיא בבית אביה על האב להביא ראיה שאחר האירוסין נולדו ונסתחפה שדהו.</w:t>
      </w:r>
    </w:p>
    <w:p w14:paraId="77119F8F" w14:textId="3734C6D1" w:rsidR="00E5652F" w:rsidRDefault="00E5652F" w:rsidP="00E5652F">
      <w:pPr>
        <w:pStyle w:val="Style1"/>
        <w:rPr>
          <w:rtl/>
        </w:rPr>
      </w:pPr>
      <w:r>
        <w:rPr>
          <w:rFonts w:hint="cs"/>
          <w:rtl/>
        </w:rPr>
        <w:t>3)[</w:t>
      </w:r>
      <w:r>
        <w:rPr>
          <w:rtl/>
        </w:rPr>
        <w:t>שולחן ערוך אבן העזר הלכות כתובות סימן קיז סעיף ז</w:t>
      </w:r>
      <w:r>
        <w:rPr>
          <w:rFonts w:hint="cs"/>
          <w:rtl/>
        </w:rPr>
        <w:t xml:space="preserve">] </w:t>
      </w:r>
      <w:r>
        <w:rPr>
          <w:rtl/>
        </w:rPr>
        <w:t>כיצד היא טענת המומין, אם היו המומין שנמצאו בה מומין שודאי היה בה קודם שתתארס, כגון אצבע יתירה וכיוצא בו, על האב להביא ראיה שידע הבעל ונתרצה או שחזקתו שידע. ואם לא הביא ראיה, תצא בלא כתובה כלל.</w:t>
      </w:r>
    </w:p>
    <w:p w14:paraId="7EBC12A5" w14:textId="3E231EF1" w:rsidR="00B42BCE" w:rsidRDefault="00B42BCE" w:rsidP="00B42BCE">
      <w:pPr>
        <w:pStyle w:val="Style1"/>
        <w:rPr>
          <w:rtl/>
        </w:rPr>
      </w:pPr>
      <w:r>
        <w:rPr>
          <w:rFonts w:hint="cs"/>
          <w:rtl/>
        </w:rPr>
        <w:t>4)[</w:t>
      </w:r>
      <w:r>
        <w:rPr>
          <w:rtl/>
        </w:rPr>
        <w:t>רמב</w:t>
      </w:r>
      <w:r w:rsidR="00786216">
        <w:rPr>
          <w:rtl/>
        </w:rPr>
        <w:t>”ם \טהרה\</w:t>
      </w:r>
      <w:r>
        <w:rPr>
          <w:rtl/>
        </w:rPr>
        <w:t xml:space="preserve"> הלכות טומאת צרעת פרק ב הלכה ו</w:t>
      </w:r>
      <w:r>
        <w:rPr>
          <w:rFonts w:hint="cs"/>
          <w:rtl/>
        </w:rPr>
        <w:t xml:space="preserve">] </w:t>
      </w:r>
      <w:r>
        <w:rPr>
          <w:rtl/>
        </w:rPr>
        <w:t>אין שיער לבן סימן טומאה עד שתקדים הבהרת את השיער הלבן שנאמר והיא הפכה שיער לבן שתהפוך אותו הבהרת, אבל אם קדם שיער לבן את הבהרת הרי היא כבהרת שאין בה סימן טומאה ויסגיר.</w:t>
      </w:r>
    </w:p>
    <w:p w14:paraId="3378A2FE" w14:textId="59ACB279" w:rsidR="005D7044" w:rsidRDefault="005D7044" w:rsidP="005D7044">
      <w:pPr>
        <w:pStyle w:val="Style1"/>
        <w:rPr>
          <w:rtl/>
        </w:rPr>
      </w:pPr>
      <w:r>
        <w:rPr>
          <w:rFonts w:hint="cs"/>
          <w:rtl/>
        </w:rPr>
        <w:t>4)[</w:t>
      </w:r>
      <w:r>
        <w:rPr>
          <w:rtl/>
        </w:rPr>
        <w:t>רמב</w:t>
      </w:r>
      <w:r w:rsidR="00786216">
        <w:rPr>
          <w:rtl/>
        </w:rPr>
        <w:t>”ם \טהרה\</w:t>
      </w:r>
      <w:r>
        <w:rPr>
          <w:rtl/>
        </w:rPr>
        <w:t xml:space="preserve"> הלכות טומאת צרעת פרק ב הלכה ט</w:t>
      </w:r>
      <w:r>
        <w:rPr>
          <w:rFonts w:hint="cs"/>
          <w:rtl/>
        </w:rPr>
        <w:t xml:space="preserve">] </w:t>
      </w:r>
      <w:r>
        <w:rPr>
          <w:rtl/>
        </w:rPr>
        <w:t>בהרת כחצי גריס ואין בה כלום ונולדה בצדה בהרת כחצי גריס ובה שיער אחת הרי זו להסגיר, בהרת כחצי גריס ובה שיער אחת ונולדה לה בהרת כחצי גריס ובה שיער אחת הרי זו להסגיר, בהרת כחצי גריס ובה שתי שערות ונולדה לה בהרת כחצי גריס ובה שערה אחת הרי זו להסגיר, בהרת כחצי גריס ואין בה כלום ונולדה לה בהרת כחצי גריס ובה שתי שערות הרי זו להחליט שהרי קדמה בהרת לשתי השערות הלבנות, ספק שיער לבן קדם ספק הבהרת קדמה הרי זו טמא, ויראה לי שטומאתו בספק.</w:t>
      </w:r>
    </w:p>
    <w:p w14:paraId="7524C2A4" w14:textId="75688184" w:rsidR="002F4D8F" w:rsidRDefault="002F4D8F" w:rsidP="002F4D8F">
      <w:pPr>
        <w:pStyle w:val="Style1"/>
        <w:rPr>
          <w:rtl/>
        </w:rPr>
      </w:pPr>
      <w:r>
        <w:rPr>
          <w:rFonts w:hint="cs"/>
          <w:rtl/>
        </w:rPr>
        <w:t>5)[</w:t>
      </w:r>
      <w:r>
        <w:rPr>
          <w:rtl/>
        </w:rPr>
        <w:t>רמב</w:t>
      </w:r>
      <w:r w:rsidR="00213DA1">
        <w:rPr>
          <w:rtl/>
        </w:rPr>
        <w:t>”ם \נשים\</w:t>
      </w:r>
      <w:r>
        <w:rPr>
          <w:rtl/>
        </w:rPr>
        <w:t xml:space="preserve"> הלכות אישות פרק כה הלכה ו</w:t>
      </w:r>
      <w:r>
        <w:rPr>
          <w:rFonts w:hint="cs"/>
          <w:rtl/>
        </w:rPr>
        <w:t xml:space="preserve">] </w:t>
      </w:r>
      <w:r>
        <w:rPr>
          <w:rtl/>
        </w:rPr>
        <w:t>בא על אשתו ושהה כמה ימים וטען שמום זה לא נראה לי עד עתה אפילו היה בתוך הקמטים או בכף הרגל אין שומעין לו, חזקה שאין אדם שותה בכוס אלא אם כן בודקו יפה יפה וחזקתו שידע ורצה.</w:t>
      </w:r>
    </w:p>
    <w:p w14:paraId="2DC0DA9C" w14:textId="4470C5BD" w:rsidR="005F71E2" w:rsidRPr="005F71E2" w:rsidRDefault="00755C87" w:rsidP="005F71E2">
      <w:pPr>
        <w:pStyle w:val="Style1"/>
      </w:pPr>
      <w:r>
        <w:rPr>
          <w:rFonts w:hint="cs"/>
          <w:rtl/>
        </w:rPr>
        <w:lastRenderedPageBreak/>
        <w:t>5)[</w:t>
      </w:r>
      <w:r>
        <w:rPr>
          <w:rtl/>
        </w:rPr>
        <w:t xml:space="preserve">שולחן ערוך אבן העזר הלכות </w:t>
      </w:r>
      <w:r w:rsidRPr="005F71E2">
        <w:rPr>
          <w:rtl/>
        </w:rPr>
        <w:t>כתובות סימן קיז סעיף י</w:t>
      </w:r>
      <w:r w:rsidRPr="005F71E2">
        <w:rPr>
          <w:rFonts w:hint="cs"/>
          <w:rtl/>
        </w:rPr>
        <w:t>]</w:t>
      </w:r>
      <w:r w:rsidR="005F71E2">
        <w:rPr>
          <w:rFonts w:hint="cs"/>
          <w:rtl/>
        </w:rPr>
        <w:t xml:space="preserve"> </w:t>
      </w:r>
      <w:r w:rsidR="005F71E2" w:rsidRPr="005F71E2">
        <w:rPr>
          <w:rtl/>
        </w:rPr>
        <w:t>בא על אשתו, ושהה כמה ימים, וטען שמום זה לא נראה לו עד עתה, אפילו היה בתוך הקמטים</w:t>
      </w:r>
      <w:r w:rsidR="005F71E2" w:rsidRPr="005F71E2">
        <w:t xml:space="preserve"> (</w:t>
      </w:r>
      <w:r w:rsidR="005F71E2" w:rsidRPr="005F71E2">
        <w:rPr>
          <w:rtl/>
        </w:rPr>
        <w:t>פירוש כגון תחת בית השחי ותחת הדדים וכדומה</w:t>
      </w:r>
      <w:r w:rsidR="005F71E2" w:rsidRPr="005F71E2">
        <w:t xml:space="preserve">) </w:t>
      </w:r>
      <w:r w:rsidR="005F71E2" w:rsidRPr="005F71E2">
        <w:rPr>
          <w:rtl/>
        </w:rPr>
        <w:t>או בכף הרגל, אין שומעין לו, חזקה אין אדם שותה בכוס אלא אם כן בודקו וידע ונתפייס</w:t>
      </w:r>
      <w:r w:rsidR="005F71E2" w:rsidRPr="005F71E2">
        <w:t>.</w:t>
      </w:r>
    </w:p>
    <w:p w14:paraId="5A8F5B93" w14:textId="77777777" w:rsidR="005F71E2" w:rsidRPr="005F71E2" w:rsidRDefault="005F71E2" w:rsidP="005F71E2">
      <w:pPr>
        <w:pStyle w:val="Style1"/>
      </w:pPr>
      <w:r w:rsidRPr="005F71E2">
        <w:rPr>
          <w:rFonts w:hint="cs"/>
          <w:rtl/>
        </w:rPr>
        <w:t>הגה: ואם שהה עמה שלשים יום, אינו נאמן לומר שלא בעל (מהרי"ק שורש ק"ה)</w:t>
      </w:r>
      <w:r w:rsidRPr="005F71E2">
        <w:t>:</w:t>
      </w:r>
    </w:p>
    <w:p w14:paraId="0940352A" w14:textId="77777777" w:rsidR="005F71E2" w:rsidRPr="005F71E2" w:rsidRDefault="005F71E2" w:rsidP="005F71E2">
      <w:pPr>
        <w:pStyle w:val="Style1"/>
      </w:pPr>
    </w:p>
    <w:p w14:paraId="4C465518" w14:textId="77777777" w:rsidR="00AF3516" w:rsidRPr="00011F13" w:rsidRDefault="00AF3516" w:rsidP="00011F13">
      <w:pPr>
        <w:pStyle w:val="Style1"/>
        <w:rPr>
          <w:rStyle w:val="Style1Char"/>
          <w:rtl/>
        </w:rPr>
      </w:pPr>
    </w:p>
    <w:p w14:paraId="3CEA7D0C" w14:textId="77777777" w:rsidR="002165BA" w:rsidRPr="008C28D5" w:rsidRDefault="002165BA" w:rsidP="002165BA">
      <w:pPr>
        <w:bidi/>
        <w:rPr>
          <w:rStyle w:val="Style1Char"/>
          <w:color w:val="00B050"/>
          <w:rtl/>
        </w:rPr>
      </w:pPr>
    </w:p>
    <w:p w14:paraId="0ACBFBCC" w14:textId="77777777" w:rsidR="002165BA" w:rsidRPr="00110F11" w:rsidRDefault="002165BA" w:rsidP="002165BA">
      <w:pPr>
        <w:bidi/>
        <w:rPr>
          <w:rStyle w:val="Style1Char"/>
          <w:color w:val="00B050"/>
          <w:rtl/>
        </w:rPr>
      </w:pPr>
    </w:p>
    <w:p w14:paraId="4E876AB2" w14:textId="77777777" w:rsidR="002165BA" w:rsidRDefault="002165BA" w:rsidP="002165BA">
      <w:pPr>
        <w:rPr>
          <w:rStyle w:val="Style1Char"/>
          <w:color w:val="00B050"/>
          <w:rtl/>
        </w:rPr>
      </w:pPr>
      <w:r>
        <w:rPr>
          <w:rStyle w:val="Style1Char"/>
          <w:color w:val="00B050"/>
          <w:rtl/>
        </w:rPr>
        <w:br w:type="page"/>
      </w:r>
    </w:p>
    <w:p w14:paraId="3C15013C" w14:textId="77777777" w:rsidR="002165BA" w:rsidRPr="0090133A" w:rsidRDefault="002165BA" w:rsidP="002165BA">
      <w:pPr>
        <w:bidi/>
        <w:rPr>
          <w:rStyle w:val="Style1Char"/>
          <w:color w:val="4472C4" w:themeColor="accent1"/>
        </w:rPr>
      </w:pPr>
      <w:r w:rsidRPr="0091453F">
        <w:rPr>
          <w:rStyle w:val="Style1Char"/>
          <w:color w:val="00B050"/>
          <w:sz w:val="22"/>
          <w:szCs w:val="22"/>
          <w:highlight w:val="yellow"/>
          <w:rtl/>
        </w:rPr>
        <w:lastRenderedPageBreak/>
        <w:t>[דף עו עמוד א]</w:t>
      </w:r>
      <w:r w:rsidRPr="0091453F">
        <w:rPr>
          <w:rStyle w:val="Style1Char"/>
          <w:color w:val="00B050"/>
          <w:sz w:val="22"/>
          <w:szCs w:val="22"/>
          <w:rtl/>
        </w:rPr>
        <w:t xml:space="preserve"> </w:t>
      </w:r>
      <w:r w:rsidRPr="00657C31">
        <w:rPr>
          <w:rStyle w:val="Style1Char"/>
          <w:color w:val="00B050"/>
          <w:rtl/>
        </w:rPr>
        <w:t xml:space="preserve">חדא במקום תרתי, וחדא במקום תרתי לא אמרינן; עד שלא תתארס העמד הגוף על חזקתו לא איכא למימר, מאי איכא? חזקה דאין אדם שותה בכוס אלא אם כן בודקו, והאי ראה וניפייס הוא, אדרבה, חזקה אין אדם מיפייס במומין, והעמד ממון על חזקתו. </w:t>
      </w:r>
      <w:r w:rsidRPr="00035B96">
        <w:rPr>
          <w:rStyle w:val="Style1Char"/>
          <w:color w:val="ED7D31" w:themeColor="accent2"/>
          <w:sz w:val="22"/>
          <w:szCs w:val="22"/>
          <w:rtl/>
        </w:rPr>
        <w:t>רב אשי אמר: רישא מנה לאבא בידך, וסיפא מנה לי בידך</w:t>
      </w:r>
      <w:r w:rsidRPr="00657C31">
        <w:rPr>
          <w:rStyle w:val="Style1Char"/>
          <w:color w:val="00B050"/>
          <w:rtl/>
        </w:rPr>
        <w:t xml:space="preserve">. </w:t>
      </w:r>
      <w:r w:rsidRPr="0090133A">
        <w:rPr>
          <w:rStyle w:val="Style1Char"/>
          <w:color w:val="4472C4" w:themeColor="accent1"/>
          <w:rtl/>
        </w:rPr>
        <w:t>רב אלפס ז"ל לא הביא כל הני אוקימתות</w:t>
      </w:r>
      <w:r>
        <w:rPr>
          <w:rStyle w:val="Style1Char"/>
          <w:rFonts w:hint="cs"/>
          <w:color w:val="4472C4" w:themeColor="accent1"/>
        </w:rPr>
        <w:t>‍</w:t>
      </w:r>
      <w:r w:rsidRPr="0090133A">
        <w:rPr>
          <w:rStyle w:val="Style1Char"/>
          <w:color w:val="4472C4" w:themeColor="accent1"/>
          <w:rtl/>
        </w:rPr>
        <w:t xml:space="preserve"> לפי שסובר שאין נפקותא בין שינויא דרבא לשנויא דרב אשי וה"ר מאיר הלוי ז"ל כתב דלרב אשי אם היא בוגרת אפילו עודה בבית אביה על הבעל להביא ראיה דמנה לי בידך הוא ולרבא בוגרת נמי כל זמן שלא נכנסה לרשות הבעל כיון שנמצאו בבית אביה אמרי' כאן נמצאו כאן היו ועליה להביא ראיה וכיון דפליגי הלכתא כרב אשי דהוא בתראה ואני אומר דאף רבא מודה בבוגרת דאף בבית אביה על הבעל להביא ראיה דלא שייך למימר כאן נמצאו כאן היו אלא בנערה דכתובתה לאביה והיא עצמה ברשות האב לכל מילי (ועל האב להביא ראיה) הלכך איתרעי חזקתה ברשות האב ועל האב להביא ראיה ואף על גב דמן הדין מיד כשנתארסה היא ברשות הבעל לענין מומין דכל מומין שיולדו בה אמרי' נסתחפה שדהו כאילו נכנסה לרשות הבעל מ"מ כיון שהיא ברשות האב לכל מילי והכתובה שלו אמרינן כאן נמצאו כאן היו קודם אירוסין אבל בוגרת כיון שיצתה מרשות אביה ואינה נקראת עוד על שם בית אביה כך לי עומדת בבית אביה כאילו עומדת בבית איניש דעלמא וחשיבא כאילו נכנסה לרשות הבעל ולכך לא הביא רב אלפס כל הני אוקימתות</w:t>
      </w:r>
      <w:r>
        <w:rPr>
          <w:rStyle w:val="Style1Char"/>
          <w:rFonts w:hint="cs"/>
          <w:color w:val="4472C4" w:themeColor="accent1"/>
        </w:rPr>
        <w:t>‍</w:t>
      </w:r>
      <w:r w:rsidRPr="0090133A">
        <w:rPr>
          <w:rStyle w:val="Style1Char"/>
          <w:color w:val="4472C4" w:themeColor="accent1"/>
          <w:rtl/>
        </w:rPr>
        <w:t xml:space="preserve"> וכן מוכח מן התוספות</w:t>
      </w:r>
      <w:r w:rsidRPr="0090133A">
        <w:rPr>
          <w:rStyle w:val="Style1Char"/>
          <w:color w:val="4472C4" w:themeColor="accent1"/>
        </w:rPr>
        <w:t xml:space="preserve">: </w:t>
      </w:r>
    </w:p>
    <w:p w14:paraId="0CDD3B15" w14:textId="6EAE2380" w:rsidR="002165BA" w:rsidRDefault="002165BA" w:rsidP="002165BA">
      <w:pPr>
        <w:bidi/>
        <w:rPr>
          <w:rStyle w:val="Style1Char"/>
          <w:color w:val="00B050"/>
          <w:rtl/>
        </w:rPr>
      </w:pPr>
      <w:r w:rsidRPr="00657C31">
        <w:rPr>
          <w:rStyle w:val="Style1Char"/>
          <w:color w:val="00B050"/>
          <w:rtl/>
        </w:rPr>
        <w:t xml:space="preserve">איתיביה רב אחא בריה דרב אויא לרב אשי: </w:t>
      </w:r>
      <w:r w:rsidR="002F7A81">
        <w:rPr>
          <w:rStyle w:val="Style1Char"/>
          <w:rFonts w:hint="cs"/>
          <w:rtl/>
        </w:rPr>
        <w:t>(1)</w:t>
      </w:r>
      <w:r w:rsidRPr="00657C31">
        <w:rPr>
          <w:rStyle w:val="Style1Char"/>
          <w:color w:val="00B050"/>
          <w:rtl/>
        </w:rPr>
        <w:t xml:space="preserve">מודה ר"מ, במומין הראויין לבא עמה מבית אביה - שעל האב להביא ראיה; ואמאי? מנה לי בידך הוא! הכא במאי עסקינן - </w:t>
      </w:r>
      <w:r w:rsidR="00183234">
        <w:rPr>
          <w:rStyle w:val="Style1Char"/>
          <w:rFonts w:hint="cs"/>
          <w:rtl/>
        </w:rPr>
        <w:t>(1)</w:t>
      </w:r>
      <w:r w:rsidRPr="00657C31">
        <w:rPr>
          <w:rStyle w:val="Style1Char"/>
          <w:color w:val="00B050"/>
          <w:rtl/>
        </w:rPr>
        <w:t xml:space="preserve">ביתירת. יתירת, מאי ראיה מייתי? ראיה דראה וניפייס הוא. א"ר יהודה </w:t>
      </w:r>
      <w:r w:rsidRPr="00D60146">
        <w:rPr>
          <w:rStyle w:val="Style1Char"/>
          <w:color w:val="auto"/>
          <w:sz w:val="22"/>
          <w:szCs w:val="22"/>
          <w:rtl/>
        </w:rPr>
        <w:t xml:space="preserve">אמר שמואל: </w:t>
      </w:r>
      <w:r w:rsidR="00183234">
        <w:rPr>
          <w:rStyle w:val="Style1Char"/>
          <w:rFonts w:hint="cs"/>
          <w:rtl/>
        </w:rPr>
        <w:t>(</w:t>
      </w:r>
      <w:r w:rsidR="00D51453">
        <w:rPr>
          <w:rStyle w:val="Style1Char"/>
          <w:rFonts w:hint="cs"/>
          <w:rtl/>
        </w:rPr>
        <w:t>2</w:t>
      </w:r>
      <w:r w:rsidR="00183234">
        <w:rPr>
          <w:rStyle w:val="Style1Char"/>
          <w:rFonts w:hint="cs"/>
          <w:rtl/>
        </w:rPr>
        <w:t>)</w:t>
      </w:r>
      <w:r w:rsidRPr="00D60146">
        <w:rPr>
          <w:rStyle w:val="Style1Char"/>
          <w:color w:val="auto"/>
          <w:sz w:val="22"/>
          <w:szCs w:val="22"/>
          <w:rtl/>
        </w:rPr>
        <w:t>המחליף פרה בחמור, ומשך בעל החמור את הפרה, ולא הספיק בעל הפרה למשוך את החמור עד שמת החמור, על בעל החמור להביא ראיה שהיה חמורו קיים בשעת משיכת פרה</w:t>
      </w:r>
      <w:r w:rsidRPr="00657C31">
        <w:rPr>
          <w:rStyle w:val="Style1Char"/>
          <w:color w:val="00B050"/>
          <w:rtl/>
        </w:rPr>
        <w:t xml:space="preserve"> </w:t>
      </w:r>
      <w:r w:rsidRPr="0021677B">
        <w:rPr>
          <w:rStyle w:val="Style1Char"/>
          <w:color w:val="C00000"/>
          <w:sz w:val="22"/>
          <w:szCs w:val="22"/>
          <w:rtl/>
        </w:rPr>
        <w:t xml:space="preserve">מאי טעמא כל שנולד ספק ברשותו עליו להביא ראיה </w:t>
      </w:r>
      <w:r w:rsidRPr="00D60146">
        <w:rPr>
          <w:rStyle w:val="Style1Char"/>
          <w:color w:val="auto"/>
          <w:sz w:val="22"/>
          <w:szCs w:val="22"/>
          <w:rtl/>
        </w:rPr>
        <w:t>ותנא תונא כלה</w:t>
      </w:r>
      <w:r w:rsidRPr="0021677B">
        <w:rPr>
          <w:rStyle w:val="Style1Char"/>
          <w:sz w:val="22"/>
          <w:szCs w:val="22"/>
          <w:rtl/>
        </w:rPr>
        <w:t xml:space="preserve">. </w:t>
      </w:r>
      <w:r w:rsidRPr="00657C31">
        <w:rPr>
          <w:rStyle w:val="Style1Char"/>
          <w:color w:val="00B050"/>
          <w:rtl/>
        </w:rPr>
        <w:t xml:space="preserve">הי כלה? אילימא </w:t>
      </w:r>
    </w:p>
    <w:p w14:paraId="15E74381" w14:textId="64DF705A" w:rsidR="00D51453" w:rsidRDefault="00D51453" w:rsidP="00D51453">
      <w:pPr>
        <w:pStyle w:val="Style1"/>
        <w:rPr>
          <w:rtl/>
        </w:rPr>
      </w:pPr>
      <w:r>
        <w:rPr>
          <w:rFonts w:hint="cs"/>
          <w:rtl/>
        </w:rPr>
        <w:t>1)[</w:t>
      </w:r>
      <w:r>
        <w:rPr>
          <w:rtl/>
        </w:rPr>
        <w:t>רמב</w:t>
      </w:r>
      <w:r w:rsidR="00213DA1">
        <w:rPr>
          <w:rtl/>
        </w:rPr>
        <w:t>”ם \נשים\</w:t>
      </w:r>
      <w:r>
        <w:rPr>
          <w:rtl/>
        </w:rPr>
        <w:t xml:space="preserve"> הלכות אישות פרק כה הלכה ד</w:t>
      </w:r>
      <w:r>
        <w:rPr>
          <w:rFonts w:hint="cs"/>
          <w:rtl/>
        </w:rPr>
        <w:t xml:space="preserve">] </w:t>
      </w:r>
      <w:r>
        <w:rPr>
          <w:rtl/>
        </w:rPr>
        <w:t>כיצד היא טענת המומין, אם היו המומין שנמצאו בה מומין שודאי היו בה קודם שתתארס כגון אצבע יתירה וכיוצא בה, על האב להביא ראיה שידע בהן הבעל ורצה או שחזקתו שידע, ואם לא הביא תצא בלא כתובה כלל. היו מומין שאפשר שנולדו בה אחר האירוסין, אם נמצאו בה אחר שנכנסה לבית הבעל על הבעל להביא ראיה שעד שלא נתארסה היו בה והיה מקחו מקח טעות, ואם נמצאו בה והיא בבית אביה על האב להביא ראיה שאחר האירוסין נולדו ונסתחפה שדהו.</w:t>
      </w:r>
    </w:p>
    <w:p w14:paraId="6415688E" w14:textId="23D09516" w:rsidR="00D51453" w:rsidRDefault="00D51453" w:rsidP="00D51453">
      <w:pPr>
        <w:pStyle w:val="Style1"/>
        <w:rPr>
          <w:rtl/>
        </w:rPr>
      </w:pPr>
      <w:r>
        <w:rPr>
          <w:rFonts w:hint="cs"/>
          <w:rtl/>
        </w:rPr>
        <w:t>1)[</w:t>
      </w:r>
      <w:r>
        <w:rPr>
          <w:rtl/>
        </w:rPr>
        <w:t>שולחן ערוך אבן העזר הלכות כתובות סימן קיז סעיף ז</w:t>
      </w:r>
      <w:r>
        <w:rPr>
          <w:rFonts w:hint="cs"/>
          <w:rtl/>
        </w:rPr>
        <w:t xml:space="preserve">] </w:t>
      </w:r>
      <w:r>
        <w:rPr>
          <w:rtl/>
        </w:rPr>
        <w:t>כיצד היא טענת המומין, אם היו המומין שנמצאו בה מומין שודאי היה בה קודם שתתארס, כגון אצבע יתירה וכיוצא בו, על האב להביא ראיה שידע הבעל ונתרצה או שחזקתו שידע. ואם לא הביא ראיה, תצא בלא כתובה כלל.</w:t>
      </w:r>
    </w:p>
    <w:p w14:paraId="13F436F3" w14:textId="6E8D314D" w:rsidR="003B6F21" w:rsidRDefault="003B6F21" w:rsidP="003B6F21">
      <w:pPr>
        <w:pStyle w:val="Style1"/>
        <w:rPr>
          <w:rtl/>
        </w:rPr>
      </w:pPr>
      <w:r>
        <w:rPr>
          <w:rFonts w:hint="cs"/>
          <w:rtl/>
        </w:rPr>
        <w:t>2)[</w:t>
      </w:r>
      <w:r>
        <w:rPr>
          <w:rtl/>
        </w:rPr>
        <w:t>רמב</w:t>
      </w:r>
      <w:r w:rsidR="00786216">
        <w:rPr>
          <w:rtl/>
        </w:rPr>
        <w:t>”ם \מכירה\</w:t>
      </w:r>
      <w:r>
        <w:rPr>
          <w:rtl/>
        </w:rPr>
        <w:t xml:space="preserve"> הלכות מכירה פרק כ הלכה יד</w:t>
      </w:r>
      <w:r>
        <w:rPr>
          <w:rFonts w:hint="cs"/>
          <w:rtl/>
        </w:rPr>
        <w:t xml:space="preserve">] </w:t>
      </w:r>
      <w:r>
        <w:rPr>
          <w:rtl/>
        </w:rPr>
        <w:t>כל מי שנולד הספק ברשותו עליו להביא ראיה, כיצד המחליף פרה בחמור ומשך בעל החמור את הפרה ולא הספיק בעל הפרה למשוך זה החמור עד שמת החמור על בעל החמור להביא ראיה שהיה חמורו קיים בשעת משיכת הפרה, וכן כל כיוצא בזה.</w:t>
      </w:r>
    </w:p>
    <w:p w14:paraId="5B96F13B" w14:textId="074F9847" w:rsidR="008708AF" w:rsidRPr="00F6676C" w:rsidRDefault="00951518" w:rsidP="00F6676C">
      <w:pPr>
        <w:pStyle w:val="Style1"/>
      </w:pPr>
      <w:r>
        <w:rPr>
          <w:rFonts w:hint="cs"/>
          <w:rtl/>
        </w:rPr>
        <w:t>2)[</w:t>
      </w:r>
      <w:r>
        <w:rPr>
          <w:rtl/>
        </w:rPr>
        <w:t>שולחן ערוך חושן משפט הלכות מקח וממכר סימן רכד סעיף א</w:t>
      </w:r>
      <w:r>
        <w:rPr>
          <w:rFonts w:hint="cs"/>
          <w:rtl/>
        </w:rPr>
        <w:t>]</w:t>
      </w:r>
      <w:r w:rsidR="00F6676C">
        <w:rPr>
          <w:rFonts w:hint="cs"/>
          <w:rtl/>
        </w:rPr>
        <w:t xml:space="preserve"> </w:t>
      </w:r>
      <w:r w:rsidR="008708AF" w:rsidRPr="00F6676C">
        <w:rPr>
          <w:rtl/>
        </w:rPr>
        <w:t>כל מי שנולד ספק ברשותו עליו להביא ראיה כיצד המחליף פרה בחמור ומשך בעל החמור את הפרה ולא הספיק בעל הפרה למשוך החמור עד שמת החמור על בעל החמור להביא ראיה שהיה חמורו קיים בשעת משיכת הפרה וכן כל כיוצא בזה</w:t>
      </w:r>
      <w:r w:rsidR="008708AF" w:rsidRPr="00F6676C">
        <w:t>:</w:t>
      </w:r>
    </w:p>
    <w:p w14:paraId="48B14D8F" w14:textId="77777777" w:rsidR="008708AF" w:rsidRPr="00F6676C" w:rsidRDefault="008708AF" w:rsidP="00F6676C">
      <w:pPr>
        <w:pStyle w:val="Style1"/>
      </w:pPr>
      <w:r w:rsidRPr="00F6676C">
        <w:rPr>
          <w:rFonts w:hint="cs"/>
          <w:rtl/>
        </w:rPr>
        <w:t>הגה: וי"א דעל בעל הפרה להביא ראיה דמאחר שקנה החמור בכל מקום שהוא הרי היה ברשות בעל הפרה ועליו להביא ראיה כמו שיתבאר בסמוך לענין טבח (טור בשם הרא"ש) ואם אינו מביא ראיה ישבע המוכר שלא ידע המומין אלו ופטור (מרדכי פרק המדיר) ראובן החליף עם שמעון סוס ביין וכאשר משך שמעון הסוס בא עכו"ם ולקחו ממנו ואמר שהסוס נגנב ממנו ורוצה שמעון להחזיק ביין שבידו אם ראובן מודה שנגנב הסוס הוי מקח טעות ויוכל שמעון להחזיק מה שבידו אבל אם ראובן אינו מודה אמרינן העכו"ם משקר וצריך לתת היין לראובן (מרדכי פרק הזהב ותשובת מיימוני דקנין סימן ו')</w:t>
      </w:r>
      <w:r w:rsidRPr="00F6676C">
        <w:t>:</w:t>
      </w:r>
    </w:p>
    <w:p w14:paraId="3FA3CA74" w14:textId="77777777" w:rsidR="002165BA" w:rsidRPr="00F6676C" w:rsidRDefault="002165BA" w:rsidP="00F6676C">
      <w:pPr>
        <w:pStyle w:val="Style1"/>
        <w:rPr>
          <w:rStyle w:val="Style1Char"/>
          <w:rtl/>
        </w:rPr>
      </w:pPr>
    </w:p>
    <w:p w14:paraId="099A8C3A" w14:textId="77777777" w:rsidR="002165BA" w:rsidRPr="000E6F54" w:rsidRDefault="002165BA" w:rsidP="002165BA">
      <w:pPr>
        <w:bidi/>
        <w:rPr>
          <w:rStyle w:val="Style1Char"/>
          <w:color w:val="00B050"/>
          <w:rtl/>
        </w:rPr>
      </w:pPr>
    </w:p>
    <w:p w14:paraId="09023682" w14:textId="77777777" w:rsidR="002165BA" w:rsidRDefault="002165BA" w:rsidP="002165BA">
      <w:pPr>
        <w:rPr>
          <w:rStyle w:val="Style1Char"/>
          <w:color w:val="00B050"/>
          <w:rtl/>
        </w:rPr>
      </w:pPr>
      <w:r>
        <w:rPr>
          <w:rStyle w:val="Style1Char"/>
          <w:color w:val="00B050"/>
          <w:rtl/>
        </w:rPr>
        <w:br w:type="page"/>
      </w:r>
    </w:p>
    <w:p w14:paraId="34F1DDDD" w14:textId="119346A5" w:rsidR="002165BA" w:rsidRDefault="002165BA" w:rsidP="002165BA">
      <w:pPr>
        <w:bidi/>
        <w:rPr>
          <w:rStyle w:val="Style1Char"/>
          <w:color w:val="4472C4" w:themeColor="accent1"/>
          <w:rtl/>
        </w:rPr>
      </w:pPr>
      <w:r w:rsidRPr="0091453F">
        <w:rPr>
          <w:rStyle w:val="Style1Char"/>
          <w:color w:val="00B050"/>
          <w:sz w:val="22"/>
          <w:szCs w:val="22"/>
          <w:highlight w:val="yellow"/>
          <w:rtl/>
        </w:rPr>
        <w:lastRenderedPageBreak/>
        <w:t>[דף עו עמוד ב]</w:t>
      </w:r>
      <w:r w:rsidRPr="0091453F">
        <w:rPr>
          <w:rStyle w:val="Style1Char"/>
          <w:color w:val="00B050"/>
          <w:sz w:val="22"/>
          <w:szCs w:val="22"/>
          <w:rtl/>
        </w:rPr>
        <w:t xml:space="preserve"> </w:t>
      </w:r>
      <w:r w:rsidRPr="00657C31">
        <w:rPr>
          <w:rStyle w:val="Style1Char"/>
          <w:color w:val="00B050"/>
          <w:rtl/>
        </w:rPr>
        <w:t xml:space="preserve">כלה בבית אביה, מי דמי? התם מייתי אב ראיה ומפיק, הכא מייתי בעל החמור ראיה ומוקים! א"ר אבא: כלה בבית חמיה. ואכתי לא דמי, התם בעל מייתי ראיה ומרע ליה לחזקיה דאב, הכא בעל החמור מייתי ראיה ומוקים חזקיה בידיה! אמר רב נחמן בר יצחק: כלה בבית אביה ולקדושין, ולא תימא אליבא דמ"ד קדושין לאו לטיבועין ניתנו, אלא אפילו למ"ד </w:t>
      </w:r>
      <w:r w:rsidR="00170A3B">
        <w:rPr>
          <w:rStyle w:val="Style1Char"/>
          <w:rFonts w:hint="cs"/>
          <w:rtl/>
        </w:rPr>
        <w:t>(1)</w:t>
      </w:r>
      <w:r w:rsidRPr="00657C31">
        <w:rPr>
          <w:rStyle w:val="Style1Char"/>
          <w:color w:val="00B050"/>
          <w:rtl/>
        </w:rPr>
        <w:t xml:space="preserve">קדושין לטיבועין ניתנו, הני מילי קידושי ודאי, </w:t>
      </w:r>
      <w:r w:rsidR="00CE006E">
        <w:rPr>
          <w:rStyle w:val="Style1Char"/>
          <w:rFonts w:hint="cs"/>
          <w:rtl/>
        </w:rPr>
        <w:t>(1)</w:t>
      </w:r>
      <w:r w:rsidRPr="00657C31">
        <w:rPr>
          <w:rStyle w:val="Style1Char"/>
          <w:color w:val="00B050"/>
          <w:rtl/>
        </w:rPr>
        <w:t xml:space="preserve">אבל קידושי טעות, אי מייתי ראיה - אין, אי לא - לא. </w:t>
      </w:r>
      <w:r w:rsidRPr="007008BB">
        <w:rPr>
          <w:rStyle w:val="Style1Char"/>
          <w:color w:val="auto"/>
          <w:sz w:val="22"/>
          <w:szCs w:val="22"/>
          <w:rtl/>
        </w:rPr>
        <w:t xml:space="preserve">מיתיבי: </w:t>
      </w:r>
      <w:r w:rsidR="00CE006E">
        <w:rPr>
          <w:rStyle w:val="Style1Char"/>
          <w:rFonts w:hint="cs"/>
          <w:rtl/>
        </w:rPr>
        <w:t>(2)</w:t>
      </w:r>
      <w:r w:rsidRPr="007008BB">
        <w:rPr>
          <w:rStyle w:val="Style1Char"/>
          <w:color w:val="auto"/>
          <w:sz w:val="22"/>
          <w:szCs w:val="22"/>
          <w:rtl/>
        </w:rPr>
        <w:t>מחט שנמצאת בעובי בית הכוסות, מצד אחד - כשרה, משני צדדין - טריפה; נמצא עליה קורט דם - בידוע שהוא לפני שחיטה, לא נמצא עליה קורט דם - בידוע שהוא לאחר שחיטה; הוגלד פי המכה - בידוע ששלשה ימים קודם שחיטה, לא הוגלד פי המכה - המוציא מחבירו עליו הראיה</w:t>
      </w:r>
      <w:r w:rsidRPr="00657C31">
        <w:rPr>
          <w:rStyle w:val="Style1Char"/>
          <w:color w:val="00B050"/>
          <w:rtl/>
        </w:rPr>
        <w:t xml:space="preserve">, </w:t>
      </w:r>
      <w:r w:rsidRPr="009F19E3">
        <w:rPr>
          <w:rStyle w:val="Style1Char"/>
          <w:color w:val="ED7D31" w:themeColor="accent2"/>
          <w:sz w:val="22"/>
          <w:szCs w:val="22"/>
          <w:rtl/>
        </w:rPr>
        <w:t xml:space="preserve">ואי יהיב טבח דמי - בעי לאיתויי ראיה ומפיק, ואמאי? בעל בהמה לייתי ראיה ונוקים! בדלא יהיב טבחא דמי. מאי פסקא? אלא כי אתא רמי בר יחזקאל אמר: לא תצייתינהו להני כללי דכייל יהודה אחי משמיה דשמואל, הכי אמר שמואל: </w:t>
      </w:r>
      <w:r w:rsidR="009F63D5">
        <w:rPr>
          <w:rStyle w:val="Style1Char"/>
          <w:rFonts w:hint="cs"/>
          <w:rtl/>
        </w:rPr>
        <w:t>(3)</w:t>
      </w:r>
      <w:r w:rsidRPr="009F19E3">
        <w:rPr>
          <w:rStyle w:val="Style1Char"/>
          <w:color w:val="ED7D31" w:themeColor="accent2"/>
          <w:sz w:val="22"/>
          <w:szCs w:val="22"/>
          <w:rtl/>
        </w:rPr>
        <w:t>כל שנולד ספק ברשותו - עליו הראיה</w:t>
      </w:r>
      <w:r w:rsidRPr="002C7362">
        <w:rPr>
          <w:rStyle w:val="Style1Char"/>
          <w:color w:val="4472C4" w:themeColor="accent1"/>
          <w:rtl/>
        </w:rPr>
        <w:t xml:space="preserve"> </w:t>
      </w:r>
      <w:r w:rsidRPr="0090133A">
        <w:rPr>
          <w:rStyle w:val="Style1Char"/>
          <w:color w:val="4472C4" w:themeColor="accent1"/>
          <w:rtl/>
        </w:rPr>
        <w:t>ופי' רש"י על בעל הפרה להביא ראיה שמת החמור קודם משיכה הואיל והספק ברשותו נולד שלא נמצא החמור מת עד אחר משיכת הפרה</w:t>
      </w:r>
      <w:r w:rsidRPr="002C7362">
        <w:rPr>
          <w:rStyle w:val="Style1Char"/>
          <w:color w:val="ED7D31" w:themeColor="accent2"/>
          <w:sz w:val="32"/>
          <w:szCs w:val="32"/>
          <w:rtl/>
        </w:rPr>
        <w:t>,</w:t>
      </w:r>
      <w:r w:rsidRPr="002C7362">
        <w:rPr>
          <w:rStyle w:val="Style1Char"/>
          <w:color w:val="ED7D31" w:themeColor="accent2"/>
          <w:sz w:val="22"/>
          <w:szCs w:val="22"/>
          <w:rtl/>
        </w:rPr>
        <w:t xml:space="preserve"> ותנא תונא כלה</w:t>
      </w:r>
      <w:r w:rsidRPr="00657C31">
        <w:rPr>
          <w:rStyle w:val="Style1Char"/>
          <w:color w:val="00B050"/>
          <w:rtl/>
        </w:rPr>
        <w:t xml:space="preserve">. </w:t>
      </w:r>
      <w:r w:rsidRPr="0090133A">
        <w:rPr>
          <w:rStyle w:val="Style1Char"/>
          <w:color w:val="4472C4" w:themeColor="accent1"/>
          <w:rtl/>
        </w:rPr>
        <w:t>כדתריץ רבא לעיל ורישא וסיפא סייעתיה דכל שנמצא הסימפון ברשותו עליו להביא ראיה עודה בבית אביה על האב להביא ראיה נכנסה לחופה שהיא ברשות הבעל על הבעל להביא ראיה ואפילו הוא דר בבית חמיו ברשותו הוא הספיקא</w:t>
      </w:r>
      <w:r>
        <w:rPr>
          <w:rStyle w:val="Style1Char"/>
          <w:rFonts w:hint="cs"/>
          <w:color w:val="4472C4" w:themeColor="accent1"/>
        </w:rPr>
        <w:t>‍‍</w:t>
      </w:r>
      <w:r w:rsidRPr="0090133A">
        <w:rPr>
          <w:rStyle w:val="Style1Char"/>
          <w:color w:val="4472C4" w:themeColor="accent1"/>
          <w:rtl/>
        </w:rPr>
        <w:t xml:space="preserve"> כך פירשו חכמי אשכנז וצרפת דכל מי שנולד ספק ברשותו עליו להביא ראיה בין להוציא בין להחזיק ממון שבידו מדפריך לקמן והא ספקא ברשות טבח אתיליד והיינו להחזיק</w:t>
      </w:r>
    </w:p>
    <w:p w14:paraId="3DD92973" w14:textId="77777777" w:rsidR="002165BA" w:rsidRPr="0090133A" w:rsidRDefault="002165BA" w:rsidP="002165BA">
      <w:pPr>
        <w:bidi/>
        <w:rPr>
          <w:rStyle w:val="Style1Char"/>
          <w:color w:val="4472C4" w:themeColor="accent1"/>
        </w:rPr>
      </w:pPr>
      <w:r>
        <w:rPr>
          <w:rStyle w:val="Style1Char"/>
          <w:rFonts w:hint="cs"/>
          <w:color w:val="4472C4" w:themeColor="accent1"/>
          <w:rtl/>
        </w:rPr>
        <w:t xml:space="preserve"> </w:t>
      </w:r>
      <w:r w:rsidRPr="0090133A">
        <w:rPr>
          <w:rStyle w:val="Style1Char"/>
          <w:color w:val="4472C4" w:themeColor="accent1"/>
          <w:rtl/>
        </w:rPr>
        <w:t>ורב אלפס כתב שאף לדברי רמי בר יחזקאל על בעל החמור להביא ראיה וקרי נולד ספק ברשותו לפי שהחמור היה עומד ברשותו וכאן נמצאו וכאן היו ואית לן למימר שמא מת החמור קודם משיכת הפרה אבל אם היה החמור עומד בסימטא על בעל הפרה להביא ראיה ולרב יהודה על בעל החמור להביא ראיה אפילו עומד בסימטא. ולא נהירא האי פירושא דמיד שמשך בעל החמור את הפרה נקנה חמור לבעל הפרה בכל מקום שהוא עומד וחזקת ממון וחזקת הגוף מסייע ליה לבעל החמור ולמה נזקיק אותו להביא ראיה ולא שייך כאן נמצאו כאן היו אלא נערה המאורסה והיא בבית אביה לפי שעדיין היא ברשות אביה לכל מילי כדפרישית לעיל אבל בהמה נחלטה מיד במשיכת בעל החמור לבעלים האחרונים אפי' עומדת בבית הראשונים וכאן נערה המאורסה אפי' יוצאה מבית אביה אפי' היא עומדת בבית הארוס כל זמן שלא נכנסה לחופה על האב להביא ראיה וכן נכנסה לחופה אפילו בבית אביה על הבעל להביא ראיה</w:t>
      </w:r>
      <w:r>
        <w:rPr>
          <w:rStyle w:val="Style1Char"/>
          <w:rFonts w:hint="cs"/>
          <w:color w:val="4472C4" w:themeColor="accent1"/>
        </w:rPr>
        <w:t>‍</w:t>
      </w:r>
      <w:r w:rsidRPr="0090133A">
        <w:rPr>
          <w:rStyle w:val="Style1Char"/>
          <w:color w:val="4472C4" w:themeColor="accent1"/>
          <w:rtl/>
        </w:rPr>
        <w:t xml:space="preserve"> אלמא דאין רשות המקום גורם אלא רשות בעל הממון והיינו בעל הפרה שהחמור נכנס לרשותו בשעת משיכת הפרה ועוד מאי קאמר רמי בר יחזקאל לא תציתו להני כללי דכייל יהודה אחי כיון דלתרוייהו על בעל החמור להביא ראיה דלמא הא דקאמר רב יהודה על בעל החמור להביא ראיה היינו משום דמסתמא דמילתא כל זמן שלא משך בעל הפרה את החמור עדיין הוא עומד בבית בעל החמור אבל אם היה עומד בסימטא היה מודה דעל בעל הפרה להביא ראיה אלא ודאי מלתא דרב יהודה ורמי בר יחזקאל הם דבר והפכו</w:t>
      </w:r>
      <w:r>
        <w:rPr>
          <w:rStyle w:val="Style1Char"/>
          <w:rFonts w:hint="cs"/>
          <w:color w:val="4472C4" w:themeColor="accent1"/>
        </w:rPr>
        <w:t>‍</w:t>
      </w:r>
      <w:r w:rsidRPr="0090133A">
        <w:rPr>
          <w:rStyle w:val="Style1Char"/>
          <w:color w:val="4472C4" w:themeColor="accent1"/>
          <w:rtl/>
        </w:rPr>
        <w:t xml:space="preserve"> ואני אומר דטעות סופר הוא במה שכתוב בהלכות רב אלפס על בעל החמור וטעה בין פרה לחמור</w:t>
      </w:r>
      <w:r w:rsidRPr="0090133A">
        <w:rPr>
          <w:rStyle w:val="Style1Char"/>
          <w:color w:val="4472C4" w:themeColor="accent1"/>
        </w:rPr>
        <w:t>:</w:t>
      </w:r>
    </w:p>
    <w:p w14:paraId="4F17E32A" w14:textId="77777777" w:rsidR="002165BA" w:rsidRPr="00E87902" w:rsidRDefault="002165BA" w:rsidP="002165BA">
      <w:pPr>
        <w:bidi/>
        <w:rPr>
          <w:rStyle w:val="Style1Char"/>
          <w:color w:val="806000" w:themeColor="accent4" w:themeShade="80"/>
          <w:sz w:val="22"/>
          <w:szCs w:val="22"/>
        </w:rPr>
      </w:pPr>
      <w:r w:rsidRPr="00BA51FC">
        <w:rPr>
          <w:rStyle w:val="Style1Char"/>
          <w:color w:val="ED7D31" w:themeColor="accent2"/>
          <w:sz w:val="22"/>
          <w:szCs w:val="22"/>
          <w:rtl/>
        </w:rPr>
        <w:t xml:space="preserve">מיתיבי: מחט שנמצאת </w:t>
      </w:r>
      <w:r w:rsidRPr="00657C31">
        <w:rPr>
          <w:rStyle w:val="Style1Char"/>
          <w:color w:val="00B050"/>
          <w:rtl/>
        </w:rPr>
        <w:t xml:space="preserve">בעובי בית הכוסות </w:t>
      </w:r>
      <w:r w:rsidRPr="00BA51FC">
        <w:rPr>
          <w:rStyle w:val="Style1Char"/>
          <w:color w:val="ED7D31" w:themeColor="accent2"/>
          <w:sz w:val="22"/>
          <w:szCs w:val="22"/>
          <w:rtl/>
        </w:rPr>
        <w:t>כו'</w:t>
      </w:r>
      <w:r w:rsidRPr="0013083A">
        <w:rPr>
          <w:rStyle w:val="Style1Char"/>
          <w:sz w:val="22"/>
          <w:szCs w:val="22"/>
          <w:rtl/>
        </w:rPr>
        <w:t xml:space="preserve">, </w:t>
      </w:r>
      <w:r w:rsidRPr="002D6837">
        <w:rPr>
          <w:rStyle w:val="Style1Char"/>
          <w:color w:val="auto"/>
          <w:sz w:val="22"/>
          <w:szCs w:val="22"/>
          <w:rtl/>
        </w:rPr>
        <w:t>ואי דלא יהיב טבח דמי - בעל בהמה בעי לאיתויי ראיה ומפיק ואמאי? ספיקא ברשות טבח איתייליד! דיהיב טבח דמי. ומאי פסקא? סתמא דמילתא, כמה דלא יהיב איניש זוזי - לא יהיב איניש חיותא</w:t>
      </w:r>
      <w:r w:rsidRPr="0013083A">
        <w:rPr>
          <w:rStyle w:val="Style1Char"/>
          <w:sz w:val="22"/>
          <w:szCs w:val="22"/>
          <w:rtl/>
        </w:rPr>
        <w:t xml:space="preserve">. </w:t>
      </w:r>
      <w:r w:rsidRPr="00E87902">
        <w:rPr>
          <w:rStyle w:val="Style1Char"/>
          <w:color w:val="806000" w:themeColor="accent4" w:themeShade="80"/>
          <w:rtl/>
        </w:rPr>
        <w:t>איכא מאן דאמר דליתא הא דשמואל דהא אותבינן עליה ואף על גב דפריק ההוא פירוקא שנויא בעלמא הוא ולא סמכינן עליה אלא בין שנולד ספק ברשותו בין שלא נולד ספק ברשותו המוציא מחבירו עליו הראיה ואי לא יהיב טבח דמי בעל בהמה בעי לאיתויי ראיה ואיכא מאן דאמר האי מתניתין דכלה כיון דמסייע ליה לשמואל ממילא שמעינן דהאי פירוקא דשמואל דוקא הוא ולאו שנויא בעלמא הוא דאי לא תימא הכי קשיא הלכתא אהלכתא הילכך הלכה כשמואל:</w:t>
      </w:r>
    </w:p>
    <w:p w14:paraId="6272998C" w14:textId="5990CB32" w:rsidR="002165BA" w:rsidRDefault="002165BA" w:rsidP="002165BA">
      <w:pPr>
        <w:bidi/>
        <w:rPr>
          <w:rStyle w:val="Style1Char"/>
          <w:color w:val="auto"/>
          <w:sz w:val="22"/>
          <w:szCs w:val="22"/>
          <w:rtl/>
        </w:rPr>
      </w:pPr>
      <w:r w:rsidRPr="00BA4B7E">
        <w:rPr>
          <w:rStyle w:val="Style1Char"/>
          <w:color w:val="auto"/>
          <w:sz w:val="22"/>
          <w:szCs w:val="22"/>
          <w:rtl/>
        </w:rPr>
        <w:t xml:space="preserve">וחכמים אומרים: בד"א - במומין שבסתר. אמר רב נחמן: </w:t>
      </w:r>
    </w:p>
    <w:p w14:paraId="22D01821" w14:textId="5C544801" w:rsidR="00B265EC" w:rsidRDefault="00B265EC" w:rsidP="00B265EC">
      <w:pPr>
        <w:pStyle w:val="Style1"/>
        <w:rPr>
          <w:rStyle w:val="Style1Char"/>
          <w:rtl/>
        </w:rPr>
      </w:pPr>
      <w:r>
        <w:rPr>
          <w:rStyle w:val="Style1Char"/>
          <w:rFonts w:hint="cs"/>
          <w:rtl/>
        </w:rPr>
        <w:t>1)[</w:t>
      </w:r>
      <w:r w:rsidRPr="00B265EC">
        <w:rPr>
          <w:rStyle w:val="Style1Char"/>
          <w:rtl/>
        </w:rPr>
        <w:t>רמב</w:t>
      </w:r>
      <w:r w:rsidR="00C764B2">
        <w:rPr>
          <w:rStyle w:val="Style1Char"/>
          <w:rtl/>
        </w:rPr>
        <w:t>”ם \קנין\</w:t>
      </w:r>
      <w:r w:rsidRPr="00B265EC">
        <w:rPr>
          <w:rStyle w:val="Style1Char"/>
          <w:rtl/>
        </w:rPr>
        <w:t xml:space="preserve"> הלכות זכיה ומתנה פרק ו הלכה יח</w:t>
      </w:r>
      <w:r>
        <w:rPr>
          <w:rStyle w:val="Style1Char"/>
          <w:rFonts w:hint="cs"/>
          <w:rtl/>
        </w:rPr>
        <w:t xml:space="preserve">] </w:t>
      </w:r>
      <w:r w:rsidRPr="00B265EC">
        <w:rPr>
          <w:rStyle w:val="Style1Char"/>
          <w:rtl/>
        </w:rPr>
        <w:t>המקדש את האשה, אפילו קדשה באלף דינר, בין שחזרה היא בין שחזר הוא, בין שמת הוא בין שמתה היא אין הקדושין חוזרין לעולם, אלא הרי הן מתנה גמורה שאין להם חזרה.</w:t>
      </w:r>
    </w:p>
    <w:p w14:paraId="58C05831" w14:textId="4DF0EFBE" w:rsidR="00DE48B0" w:rsidRDefault="00DE48B0" w:rsidP="00DE48B0">
      <w:pPr>
        <w:pStyle w:val="Style1"/>
        <w:rPr>
          <w:rStyle w:val="Style1Char"/>
          <w:rtl/>
        </w:rPr>
      </w:pPr>
      <w:r>
        <w:rPr>
          <w:rStyle w:val="Style1Char"/>
          <w:rFonts w:hint="cs"/>
          <w:rtl/>
        </w:rPr>
        <w:t>1)[</w:t>
      </w:r>
      <w:r w:rsidRPr="00DE48B0">
        <w:rPr>
          <w:rStyle w:val="Style1Char"/>
          <w:rtl/>
        </w:rPr>
        <w:t>רמב</w:t>
      </w:r>
      <w:r w:rsidR="00C764B2">
        <w:rPr>
          <w:rStyle w:val="Style1Char"/>
          <w:rtl/>
        </w:rPr>
        <w:t>”ם \קנין\</w:t>
      </w:r>
      <w:r w:rsidRPr="00DE48B0">
        <w:rPr>
          <w:rStyle w:val="Style1Char"/>
          <w:rtl/>
        </w:rPr>
        <w:t xml:space="preserve"> הלכות זכיה ומתנה פרק ו הלכה יט</w:t>
      </w:r>
      <w:r>
        <w:rPr>
          <w:rStyle w:val="Style1Char"/>
          <w:rFonts w:hint="cs"/>
          <w:rtl/>
        </w:rPr>
        <w:t xml:space="preserve">] </w:t>
      </w:r>
      <w:r w:rsidRPr="00DE48B0">
        <w:rPr>
          <w:rStyle w:val="Style1Char"/>
          <w:rtl/>
        </w:rPr>
        <w:t>ואם היו קדושי טעות חוזרין המעות.</w:t>
      </w:r>
    </w:p>
    <w:p w14:paraId="0D806BBA" w14:textId="77777777" w:rsidR="00F5538E" w:rsidRPr="00F5538E" w:rsidRDefault="0027514C" w:rsidP="00F5538E">
      <w:pPr>
        <w:pStyle w:val="Style1"/>
      </w:pPr>
      <w:r>
        <w:rPr>
          <w:rStyle w:val="Style1Char"/>
          <w:rFonts w:hint="cs"/>
          <w:rtl/>
        </w:rPr>
        <w:t>1)[</w:t>
      </w:r>
      <w:r w:rsidRPr="0027514C">
        <w:rPr>
          <w:rStyle w:val="Style1Char"/>
          <w:rtl/>
        </w:rPr>
        <w:t>שולחן ערוך אבן העזר הלכות קידושין סימן נ סעיף א</w:t>
      </w:r>
      <w:r>
        <w:rPr>
          <w:rStyle w:val="Style1Char"/>
          <w:rFonts w:hint="cs"/>
          <w:rtl/>
        </w:rPr>
        <w:t>]</w:t>
      </w:r>
      <w:r w:rsidR="00F5538E">
        <w:rPr>
          <w:rStyle w:val="Style1Char"/>
          <w:rFonts w:hint="cs"/>
          <w:rtl/>
        </w:rPr>
        <w:t xml:space="preserve"> </w:t>
      </w:r>
      <w:r w:rsidR="00F5538E" w:rsidRPr="00F5538E">
        <w:rPr>
          <w:rtl/>
        </w:rPr>
        <w:t>המקדש את האשה, בין שחזרה היא בה ובין שחזר הוא, בין שמת הוא בין שמתה היא או שגרשה, אין הקדושין חוזרין לעולם. אפילו קדשה באלף דינר, הרי הם מתנה גמורה שאין לה חזרה. ואם היו קדושי טעות, חוזרים המעות. וכן אם היתה ממאנת. וכן אם היו קדושין על תנאי ולא נתקיים התנאי. וכן אם היו קדושי ספק</w:t>
      </w:r>
      <w:r w:rsidR="00F5538E" w:rsidRPr="00F5538E">
        <w:t>.</w:t>
      </w:r>
    </w:p>
    <w:p w14:paraId="12B16ADB" w14:textId="77E0B25D" w:rsidR="00F5538E" w:rsidRDefault="00F5538E" w:rsidP="00F5538E">
      <w:pPr>
        <w:pStyle w:val="Style1"/>
        <w:rPr>
          <w:rtl/>
        </w:rPr>
      </w:pPr>
      <w:r w:rsidRPr="00F5538E">
        <w:rPr>
          <w:rFonts w:hint="cs"/>
          <w:rtl/>
        </w:rPr>
        <w:t>וכל זה לא מיירי אלא מן הארוסין, אבל מן הנשואין, הקדושין חוזרין (מהרי"ל סימן ס"א)</w:t>
      </w:r>
      <w:r w:rsidRPr="00F5538E">
        <w:t>:</w:t>
      </w:r>
    </w:p>
    <w:p w14:paraId="02278DB4" w14:textId="30C44832" w:rsidR="00993E4E" w:rsidRDefault="003C5774" w:rsidP="003C5774">
      <w:pPr>
        <w:pStyle w:val="Style1"/>
        <w:rPr>
          <w:rtl/>
        </w:rPr>
      </w:pPr>
      <w:r>
        <w:rPr>
          <w:rFonts w:hint="cs"/>
          <w:rtl/>
        </w:rPr>
        <w:t>2)[</w:t>
      </w:r>
      <w:r>
        <w:rPr>
          <w:rtl/>
        </w:rPr>
        <w:t>רמב</w:t>
      </w:r>
      <w:r w:rsidR="00786216">
        <w:rPr>
          <w:rtl/>
        </w:rPr>
        <w:t>”ם \מכירה\</w:t>
      </w:r>
      <w:r>
        <w:rPr>
          <w:rtl/>
        </w:rPr>
        <w:t xml:space="preserve"> הלכות מכירה פרק כ הלכה טו</w:t>
      </w:r>
      <w:r>
        <w:rPr>
          <w:rFonts w:hint="cs"/>
          <w:rtl/>
        </w:rPr>
        <w:t xml:space="preserve">] </w:t>
      </w:r>
      <w:r>
        <w:rPr>
          <w:rtl/>
        </w:rPr>
        <w:t>מחט הנמצא בעובי בית הכוסות ונקבה אותו נקב מפולש, אם נמצא עליה קורט דם בידוע שזו נטרפה קודם שחיטה לפיכך אם הגליד פי המכה בידוע שזו נטרפה שלשה ימים קודם שחיטה, לא הגליד פי המכה הרי הדבר ספק ועל הטבח להביא ראיה שקודם לקיחתו נטרפה, שהרי ברשותו נולד הספק, ואם לא הביא ראיה ישלם הדמים למוכר כמו שביארנו.</w:t>
      </w:r>
    </w:p>
    <w:p w14:paraId="4C3E27C7" w14:textId="45332115" w:rsidR="00D933AB" w:rsidRDefault="00D933AB" w:rsidP="00D933AB">
      <w:pPr>
        <w:pStyle w:val="Style1"/>
        <w:rPr>
          <w:rtl/>
        </w:rPr>
      </w:pPr>
      <w:r>
        <w:rPr>
          <w:rFonts w:hint="cs"/>
          <w:rtl/>
        </w:rPr>
        <w:t>2)[</w:t>
      </w:r>
      <w:r>
        <w:rPr>
          <w:rtl/>
        </w:rPr>
        <w:t>רמב</w:t>
      </w:r>
      <w:r w:rsidR="00C764B2">
        <w:rPr>
          <w:rtl/>
        </w:rPr>
        <w:t>”ם \קדושה\</w:t>
      </w:r>
      <w:r>
        <w:rPr>
          <w:rtl/>
        </w:rPr>
        <w:t xml:space="preserve"> הלכות שחיטה פרק ו הלכה יב</w:t>
      </w:r>
      <w:r>
        <w:rPr>
          <w:rFonts w:hint="cs"/>
          <w:rtl/>
        </w:rPr>
        <w:t xml:space="preserve">] </w:t>
      </w:r>
      <w:r>
        <w:rPr>
          <w:rtl/>
        </w:rPr>
        <w:t>מחט שנמצאת בעובי בית הכוסות מצד אחד כשירה, ואם נקבה נקב מפולש לתוך חלל בית הכוסות, ונמצאת טיפת דם במקום הנקב טרפה שודאי קודם שחיטה ניקב, אבל אם אין דם במקום הנקב הרי זה מותר שודאי אחר שחיטה דחקה המחט ונקבה. /השגת הראב"ד/ מחט שנמצאת בעובי בית הכוסות כשרה ואם ניקבה נקב מפולש. א"א אין זה מיושר. /השגת הראב"ד/ ונמצאת טיפת דם במקום הנקב. א"א הטיפה צריכה שתמצא מבחוץ.</w:t>
      </w:r>
    </w:p>
    <w:p w14:paraId="7C897FF2" w14:textId="189B518D" w:rsidR="0093410C" w:rsidRPr="0093410C" w:rsidRDefault="003717E9" w:rsidP="0093410C">
      <w:pPr>
        <w:pStyle w:val="Style1"/>
      </w:pPr>
      <w:r>
        <w:rPr>
          <w:rFonts w:hint="cs"/>
          <w:rtl/>
        </w:rPr>
        <w:t>2)[</w:t>
      </w:r>
      <w:r>
        <w:rPr>
          <w:rtl/>
        </w:rPr>
        <w:t>שולחן ערוך יורה דעה הלכות טריפות סימן מח סעיף ח</w:t>
      </w:r>
      <w:r>
        <w:rPr>
          <w:rFonts w:hint="cs"/>
          <w:rtl/>
        </w:rPr>
        <w:t>]</w:t>
      </w:r>
      <w:r w:rsidR="0093410C">
        <w:rPr>
          <w:rFonts w:hint="cs"/>
          <w:rtl/>
        </w:rPr>
        <w:t xml:space="preserve"> </w:t>
      </w:r>
      <w:r w:rsidR="0093410C" w:rsidRPr="0093410C">
        <w:rPr>
          <w:rtl/>
        </w:rPr>
        <w:t>אם נמצא באחד מהם תחובה מחט או קוץ ולא ניקב מעבר אל עבר הופכין אותו ובודקין אותו מבחוץ אם נמצא עליו קורט דם בידוע שניקב כולו וטריפה ואם לאו כשרה (תוס' והג״מיי פ״ו בשם סמ״ג וכל הפוסקים) </w:t>
      </w:r>
      <w:r w:rsidR="0093410C" w:rsidRPr="0093410C">
        <w:rPr>
          <w:rFonts w:hint="cs"/>
          <w:rtl/>
        </w:rPr>
        <w:t>(אפילו לא נשאר רק מעט מעור החיצון שלא ניקב) (עיין ס״ק כ"א)</w:t>
      </w:r>
      <w:r w:rsidR="0093410C" w:rsidRPr="0093410C">
        <w:t xml:space="preserve">. </w:t>
      </w:r>
      <w:r w:rsidR="0093410C" w:rsidRPr="0093410C">
        <w:rPr>
          <w:rtl/>
        </w:rPr>
        <w:t>והוא שלא מלחו ולא הדיחו ואפילו ראש העב שלו לצד חוץ</w:t>
      </w:r>
      <w:r w:rsidR="0093410C" w:rsidRPr="0093410C">
        <w:t>:</w:t>
      </w:r>
    </w:p>
    <w:p w14:paraId="41FE6FA9" w14:textId="77777777" w:rsidR="0093410C" w:rsidRPr="0093410C" w:rsidRDefault="0093410C" w:rsidP="0093410C">
      <w:pPr>
        <w:pStyle w:val="Style1"/>
      </w:pPr>
      <w:r w:rsidRPr="0093410C">
        <w:rPr>
          <w:rFonts w:hint="cs"/>
          <w:rtl/>
        </w:rPr>
        <w:t>הגה: ויש מקילין להתיר אם לא ניקב מעבר לעבר והודח ונמלח או שנאבד ולא בדק מבחוץ אם היה עליו קורט דם (כך משמע בהגהות סמ״ק ורמב״ם ורא״ש דלקמן וע״פ) ויש לסמוך עלייהו במקום הפסד מרובה</w:t>
      </w:r>
      <w:r w:rsidRPr="0093410C">
        <w:t>:</w:t>
      </w:r>
    </w:p>
    <w:p w14:paraId="590E6CE7" w14:textId="21922E18" w:rsidR="0093410C" w:rsidRDefault="0093410C" w:rsidP="0093410C">
      <w:pPr>
        <w:pStyle w:val="Style1"/>
        <w:rPr>
          <w:rtl/>
        </w:rPr>
      </w:pPr>
      <w:r w:rsidRPr="0093410C">
        <w:rPr>
          <w:rtl/>
        </w:rPr>
        <w:t>ואם עבר המחט מעבר אל עבר ועודנו תחוב בו בודקים אותו אם נמצא קורט דם סביב המחט </w:t>
      </w:r>
      <w:r w:rsidRPr="0093410C">
        <w:rPr>
          <w:rFonts w:hint="cs"/>
          <w:rtl/>
        </w:rPr>
        <w:t>(וכל שכן עליו) (מרדכי ופוסקים והוא ש״ס ערוך פא״ט דף נ״א וכתובות דף ע״ו)</w:t>
      </w:r>
      <w:r w:rsidRPr="0093410C">
        <w:rPr>
          <w:rtl/>
        </w:rPr>
        <w:t> בידוע שקודם שחיטה ניקב כולו וטריפה ואם לאו אחר שחיטה דחק ועבר וכשרה אם לא מלחו ולא הדיחו דכיון שהמחט עודנו שם אילו עבר מחיים היה הדם סביבו אבל כשאין המחט לפנינו אסו' כשניקב כולו אפי' אין בו קורט דם</w:t>
      </w:r>
      <w:r w:rsidRPr="0093410C">
        <w:t>:</w:t>
      </w:r>
    </w:p>
    <w:p w14:paraId="7FFF0E68" w14:textId="53294ED4" w:rsidR="007F0024" w:rsidRPr="0093410C" w:rsidRDefault="007F0024" w:rsidP="007F0024">
      <w:pPr>
        <w:pStyle w:val="Style1"/>
      </w:pPr>
      <w:r>
        <w:rPr>
          <w:rFonts w:hint="cs"/>
          <w:rtl/>
        </w:rPr>
        <w:lastRenderedPageBreak/>
        <w:t>2)[</w:t>
      </w:r>
      <w:r>
        <w:rPr>
          <w:rtl/>
        </w:rPr>
        <w:t>שולחן ערוך חושן משפט הלכות מקח וממכר סימן רכד סעיף ב</w:t>
      </w:r>
      <w:r>
        <w:rPr>
          <w:rFonts w:hint="cs"/>
          <w:rtl/>
        </w:rPr>
        <w:t xml:space="preserve">] </w:t>
      </w:r>
      <w:r>
        <w:rPr>
          <w:rtl/>
        </w:rPr>
        <w:t>מחט שנמצא בעובי בית הכוסות ונקבה אותו נקב מפולש, אם נמצא עליה קורט דם בידוע שזו נטרפה קודם שחיטה; { לפיכך אם הגליד (פירוש עור דק שעלה על המכה ערוך, ורש"י פירש קרושט"א) פי המכה, בידוע שזו נטרפה שלשה ימים קודם שחיטה; לא הגליד פי המכה, הרי זה ספק ועל הטבח להביא ראיה שקודם לקיחתו נטרפה, שהרי ברשותו נולד הספק, ואם לא הביא ראיה, ישלם הדמים למוכר.</w:t>
      </w:r>
    </w:p>
    <w:p w14:paraId="1974B0D6" w14:textId="2AAA4CD1" w:rsidR="0093410C" w:rsidRDefault="0093410C" w:rsidP="0093410C">
      <w:pPr>
        <w:pStyle w:val="Style1"/>
        <w:rPr>
          <w:rtl/>
        </w:rPr>
      </w:pPr>
      <w:r w:rsidRPr="0093410C">
        <w:rPr>
          <w:rFonts w:hint="cs"/>
          <w:rtl/>
        </w:rPr>
        <w:t>הגה: כל מקום שצריך בדיקה אם לא בדקוהו כגון שנאבד או לקחו המחט משם טריפה דהוי כאילו הדיחו ומלחו (רשב״א סימן תש״ס) יש אומרים דבזמן הזה דאין אנו בקיאין בבדיקות יש להטריף אם נקבה המחט משני צדדין אפילו לא נמצא קורט דם ולא חלודה דאין אנו סומכין בזה על בדיקתנו מאחר דניקב משני צדדין (א״ז ואו״ה) והכי נהוג. מחט או קוץ הנמצאים בהמסס ובית הכוסות בחללו ולא נתחב בהן כלל כשר בכל ענין ואין צריך שום בדיקה (הגהות מיימוני) ויש מקילין דאפי' בניקב המחט מצד אחד אין צריך לבדוק מבחוץ אם יש עליו קורט דם (רמב"ם והרא״ש) ויש לסמוך עלייהו אם הוא הפסד מרובה וא״א לבדוק כגון שנמלח או הודח או נאבד</w:t>
      </w:r>
      <w:r w:rsidRPr="0093410C">
        <w:rPr>
          <w:rFonts w:hint="cs"/>
        </w:rPr>
        <w:t>:</w:t>
      </w:r>
    </w:p>
    <w:p w14:paraId="46548757" w14:textId="61161FEC" w:rsidR="001A0B9D" w:rsidRDefault="001A0B9D" w:rsidP="001A0B9D">
      <w:pPr>
        <w:pStyle w:val="Style1"/>
        <w:rPr>
          <w:rtl/>
        </w:rPr>
      </w:pPr>
      <w:r>
        <w:rPr>
          <w:rFonts w:hint="cs"/>
          <w:rtl/>
        </w:rPr>
        <w:t>3)[</w:t>
      </w:r>
      <w:r>
        <w:rPr>
          <w:rtl/>
        </w:rPr>
        <w:t>רמב</w:t>
      </w:r>
      <w:r w:rsidR="00786216">
        <w:rPr>
          <w:rtl/>
        </w:rPr>
        <w:t>”ם \מכירה\</w:t>
      </w:r>
      <w:r>
        <w:rPr>
          <w:rtl/>
        </w:rPr>
        <w:t xml:space="preserve"> הלכות מכירה פרק כ הלכה יד</w:t>
      </w:r>
      <w:r>
        <w:rPr>
          <w:rFonts w:hint="cs"/>
          <w:rtl/>
        </w:rPr>
        <w:t xml:space="preserve">] </w:t>
      </w:r>
      <w:r>
        <w:rPr>
          <w:rtl/>
        </w:rPr>
        <w:t>כל מי שנולד הספק ברשותו עליו להביא ראיה, כיצד המחליף פרה בחמור ומשך בעל החמור את הפרה ולא הספיק בעל הפרה למשוך זה החמור עד שמת החמור על בעל החמור להביא ראיה שהיה חמורו קיים בשעת משיכת הפרה, וכן כל כיוצא בזה.</w:t>
      </w:r>
    </w:p>
    <w:p w14:paraId="33D8DDF6" w14:textId="4313E37F" w:rsidR="001A0B9D" w:rsidRPr="00F6676C" w:rsidRDefault="001A0B9D" w:rsidP="001A0B9D">
      <w:pPr>
        <w:pStyle w:val="Style1"/>
      </w:pPr>
      <w:r>
        <w:rPr>
          <w:rFonts w:hint="cs"/>
          <w:rtl/>
        </w:rPr>
        <w:t>3)[</w:t>
      </w:r>
      <w:r>
        <w:rPr>
          <w:rtl/>
        </w:rPr>
        <w:t>שולחן ערוך חושן משפט הלכות מקח וממכר סימן רכד סעיף א</w:t>
      </w:r>
      <w:r>
        <w:rPr>
          <w:rFonts w:hint="cs"/>
          <w:rtl/>
        </w:rPr>
        <w:t xml:space="preserve">] </w:t>
      </w:r>
      <w:r w:rsidRPr="00F6676C">
        <w:rPr>
          <w:rtl/>
        </w:rPr>
        <w:t>כל מי שנולד ספק ברשותו עליו להביא ראיה כיצד המחליף פרה בחמור ומשך בעל החמור את הפרה ולא הספיק בעל הפרה למשוך החמור עד שמת החמור על בעל החמור להביא ראיה שהיה חמורו קיים בשעת משיכת הפרה וכן כל כיוצא בזה</w:t>
      </w:r>
      <w:r w:rsidRPr="00F6676C">
        <w:t>:</w:t>
      </w:r>
    </w:p>
    <w:p w14:paraId="21C7F98A" w14:textId="77777777" w:rsidR="001A0B9D" w:rsidRPr="00F6676C" w:rsidRDefault="001A0B9D" w:rsidP="001A0B9D">
      <w:pPr>
        <w:pStyle w:val="Style1"/>
      </w:pPr>
      <w:r w:rsidRPr="00F6676C">
        <w:rPr>
          <w:rFonts w:hint="cs"/>
          <w:rtl/>
        </w:rPr>
        <w:t>הגה: וי"א דעל בעל הפרה להביא ראיה דמאחר שקנה החמור בכל מקום שהוא הרי היה ברשות בעל הפרה ועליו להביא ראיה כמו שיתבאר בסמוך לענין טבח (טור בשם הרא"ש) ואם אינו מביא ראיה ישבע המוכר שלא ידע המומין אלו ופטור (מרדכי פרק המדיר) ראובן החליף עם שמעון סוס ביין וכאשר משך שמעון הסוס בא עכו"ם ולקחו ממנו ואמר שהסוס נגנב ממנו ורוצה שמעון להחזיק ביין שבידו אם ראובן מודה שנגנב הסוס הוי מקח טעות ויוכל שמעון להחזיק מה שבידו אבל אם ראובן אינו מודה אמרינן העכו"ם משקר וצריך לתת היין לראובן (מרדכי פרק הזהב ותשובת מיימוני דקנין סימן ו')</w:t>
      </w:r>
      <w:r w:rsidRPr="00F6676C">
        <w:t>:</w:t>
      </w:r>
    </w:p>
    <w:p w14:paraId="1F53531A" w14:textId="77777777" w:rsidR="0093410C" w:rsidRPr="001A0B9D" w:rsidRDefault="0093410C" w:rsidP="0093410C">
      <w:pPr>
        <w:pStyle w:val="Style1"/>
      </w:pPr>
    </w:p>
    <w:p w14:paraId="7C723E10" w14:textId="67423C4F" w:rsidR="003717E9" w:rsidRPr="0093410C" w:rsidRDefault="003717E9" w:rsidP="0093410C">
      <w:pPr>
        <w:pStyle w:val="Style1"/>
      </w:pPr>
    </w:p>
    <w:p w14:paraId="1CAE37A2" w14:textId="3B5D1472" w:rsidR="0027514C" w:rsidRPr="0093410C" w:rsidRDefault="0027514C" w:rsidP="0093410C">
      <w:pPr>
        <w:pStyle w:val="Style1"/>
        <w:rPr>
          <w:rStyle w:val="Style1Char"/>
        </w:rPr>
      </w:pPr>
    </w:p>
    <w:p w14:paraId="4F8BA96D" w14:textId="23C2E9C3" w:rsidR="0027514C" w:rsidRPr="0093410C" w:rsidRDefault="0027514C" w:rsidP="0093410C">
      <w:pPr>
        <w:pStyle w:val="Style1"/>
        <w:rPr>
          <w:rStyle w:val="Style1Char"/>
          <w:rtl/>
        </w:rPr>
      </w:pPr>
    </w:p>
    <w:p w14:paraId="61798126" w14:textId="77777777" w:rsidR="002165BA" w:rsidRPr="00BA51FC" w:rsidRDefault="002165BA" w:rsidP="002165BA">
      <w:pPr>
        <w:bidi/>
        <w:rPr>
          <w:rStyle w:val="Style1Char"/>
          <w:sz w:val="22"/>
          <w:szCs w:val="22"/>
          <w:rtl/>
        </w:rPr>
      </w:pPr>
    </w:p>
    <w:p w14:paraId="0D5C8139" w14:textId="77777777" w:rsidR="002165BA" w:rsidRPr="007008BB" w:rsidRDefault="002165BA" w:rsidP="002165BA">
      <w:pPr>
        <w:bidi/>
        <w:rPr>
          <w:rStyle w:val="Style1Char"/>
          <w:sz w:val="22"/>
          <w:szCs w:val="22"/>
          <w:rtl/>
        </w:rPr>
      </w:pPr>
    </w:p>
    <w:p w14:paraId="30D62932" w14:textId="77777777" w:rsidR="002165BA" w:rsidRPr="0021677B" w:rsidRDefault="002165BA" w:rsidP="002165BA">
      <w:pPr>
        <w:bidi/>
        <w:rPr>
          <w:rStyle w:val="Style1Char"/>
          <w:color w:val="00B050"/>
          <w:rtl/>
        </w:rPr>
      </w:pPr>
    </w:p>
    <w:p w14:paraId="22F73390" w14:textId="77777777" w:rsidR="002165BA" w:rsidRDefault="002165BA" w:rsidP="002165BA">
      <w:pPr>
        <w:rPr>
          <w:rStyle w:val="Style1Char"/>
          <w:color w:val="00B050"/>
          <w:rtl/>
        </w:rPr>
      </w:pPr>
      <w:r>
        <w:rPr>
          <w:rStyle w:val="Style1Char"/>
          <w:color w:val="00B050"/>
          <w:rtl/>
        </w:rPr>
        <w:br w:type="page"/>
      </w:r>
    </w:p>
    <w:p w14:paraId="0081F156" w14:textId="4D51D42B" w:rsidR="002165BA" w:rsidRPr="00455C15" w:rsidRDefault="002165BA" w:rsidP="002165BA">
      <w:pPr>
        <w:bidi/>
        <w:rPr>
          <w:rStyle w:val="Style1Char"/>
          <w:color w:val="auto"/>
          <w:sz w:val="22"/>
          <w:szCs w:val="22"/>
          <w:rtl/>
        </w:rPr>
      </w:pPr>
      <w:r w:rsidRPr="00455C15">
        <w:rPr>
          <w:rStyle w:val="Style1Char"/>
          <w:color w:val="auto"/>
          <w:sz w:val="22"/>
          <w:szCs w:val="22"/>
          <w:highlight w:val="yellow"/>
          <w:rtl/>
        </w:rPr>
        <w:lastRenderedPageBreak/>
        <w:t>[דף עז עמוד א]</w:t>
      </w:r>
      <w:r w:rsidRPr="00455C15">
        <w:rPr>
          <w:rStyle w:val="Style1Char"/>
          <w:color w:val="auto"/>
          <w:sz w:val="22"/>
          <w:szCs w:val="22"/>
          <w:rtl/>
        </w:rPr>
        <w:t xml:space="preserve"> </w:t>
      </w:r>
      <w:r w:rsidR="00476CD4">
        <w:rPr>
          <w:rStyle w:val="Style1Char"/>
          <w:rFonts w:hint="cs"/>
          <w:rtl/>
        </w:rPr>
        <w:t>(1)</w:t>
      </w:r>
      <w:r w:rsidRPr="00455C15">
        <w:rPr>
          <w:rStyle w:val="Style1Char"/>
          <w:color w:val="auto"/>
          <w:sz w:val="22"/>
          <w:szCs w:val="22"/>
          <w:rtl/>
        </w:rPr>
        <w:t xml:space="preserve">ונכפה - כמומין שבסתר דמי. והני מילי דקביע ליה זמן, אבל לא קביע ליה </w:t>
      </w:r>
      <w:r w:rsidRPr="00455C15">
        <w:rPr>
          <w:rStyle w:val="Style1Char"/>
          <w:color w:val="806000" w:themeColor="accent4" w:themeShade="80"/>
          <w:sz w:val="22"/>
          <w:szCs w:val="22"/>
          <w:rtl/>
        </w:rPr>
        <w:t xml:space="preserve">זמן </w:t>
      </w:r>
      <w:r w:rsidRPr="006E0226">
        <w:rPr>
          <w:rStyle w:val="Style1Char"/>
          <w:sz w:val="22"/>
          <w:szCs w:val="22"/>
          <w:rtl/>
        </w:rPr>
        <w:t xml:space="preserve">- </w:t>
      </w:r>
      <w:r w:rsidRPr="00455C15">
        <w:rPr>
          <w:rStyle w:val="Style1Char"/>
          <w:color w:val="auto"/>
          <w:sz w:val="22"/>
          <w:szCs w:val="22"/>
          <w:rtl/>
        </w:rPr>
        <w:t xml:space="preserve">כמומין שבגלוי דמי. </w:t>
      </w:r>
    </w:p>
    <w:p w14:paraId="14141170" w14:textId="32268BBE" w:rsidR="002165BA" w:rsidRPr="0090133A" w:rsidRDefault="002165BA" w:rsidP="002165BA">
      <w:pPr>
        <w:bidi/>
        <w:rPr>
          <w:rStyle w:val="Style1Char"/>
          <w:color w:val="4472C4" w:themeColor="accent1"/>
        </w:rPr>
      </w:pPr>
      <w:r w:rsidRPr="0053675C">
        <w:rPr>
          <w:rStyle w:val="Style1Char"/>
          <w:color w:val="auto"/>
          <w:sz w:val="22"/>
          <w:szCs w:val="22"/>
          <w:rtl/>
        </w:rPr>
        <w:t xml:space="preserve">מתני'. </w:t>
      </w:r>
      <w:r w:rsidR="00D96E19">
        <w:rPr>
          <w:rStyle w:val="Style1Char"/>
          <w:rFonts w:hint="cs"/>
          <w:rtl/>
        </w:rPr>
        <w:t>(2)</w:t>
      </w:r>
      <w:r w:rsidRPr="0053675C">
        <w:rPr>
          <w:rStyle w:val="Style1Char"/>
          <w:color w:val="auto"/>
          <w:sz w:val="22"/>
          <w:szCs w:val="22"/>
          <w:rtl/>
        </w:rPr>
        <w:t>האיש שנולדו בו מומין - אין כופין אותו להוציא; אמר רשב"ג: בד"א - במומין הקטנים, אבל במומין הגדולים - כופין אותו להוציא.</w:t>
      </w:r>
      <w:r w:rsidRPr="0053675C">
        <w:rPr>
          <w:rStyle w:val="Style1Char"/>
          <w:color w:val="auto"/>
        </w:rPr>
        <w:t>:</w:t>
      </w:r>
      <w:r w:rsidRPr="001D6462">
        <w:rPr>
          <w:rFonts w:cs="Arial"/>
          <w:color w:val="4472C4" w:themeColor="accent1"/>
          <w:rtl/>
        </w:rPr>
        <w:t xml:space="preserve"> </w:t>
      </w:r>
      <w:r w:rsidRPr="0090133A">
        <w:rPr>
          <w:rStyle w:val="Style1Char"/>
          <w:color w:val="4472C4" w:themeColor="accent1"/>
          <w:rtl/>
        </w:rPr>
        <w:t>ונראה שגם צריך ליתן לה כתובה מידי דהוה אבאה מחמת טענה דאמר בשילהי הבא על יבמתו (דף סה א)</w:t>
      </w:r>
      <w:r>
        <w:rPr>
          <w:rStyle w:val="Style1Char"/>
          <w:rFonts w:hint="cs"/>
          <w:color w:val="4472C4" w:themeColor="accent1"/>
        </w:rPr>
        <w:t>‍</w:t>
      </w:r>
      <w:r w:rsidRPr="0090133A">
        <w:rPr>
          <w:rStyle w:val="Style1Char"/>
          <w:color w:val="4472C4" w:themeColor="accent1"/>
          <w:rtl/>
        </w:rPr>
        <w:t xml:space="preserve"> הוא אומר מינה וכו' דברים שבינה לבינו נאמנת אמר איזיל ואינסיב איתתא אחריתי ואיבדוק נפשאי אמר ר' אמי אף בזו יוציא ויתן כתובה משמע אף בזו כמו בדברים שבינו לבינה ובהדיא קאמר התם בסוף הפ' דכופין אותו להוציא ויתן כתובה</w:t>
      </w:r>
      <w:r w:rsidRPr="0090133A">
        <w:rPr>
          <w:rStyle w:val="Style1Char"/>
          <w:color w:val="4472C4" w:themeColor="accent1"/>
        </w:rPr>
        <w:t>:</w:t>
      </w:r>
    </w:p>
    <w:p w14:paraId="60EDBB12" w14:textId="77777777" w:rsidR="002165BA" w:rsidRPr="00480F23" w:rsidRDefault="002165BA" w:rsidP="002165BA">
      <w:pPr>
        <w:bidi/>
        <w:rPr>
          <w:rStyle w:val="Style1Char"/>
          <w:color w:val="4472C4" w:themeColor="accent1"/>
          <w:sz w:val="22"/>
          <w:szCs w:val="22"/>
        </w:rPr>
      </w:pPr>
      <w:r w:rsidRPr="00480F23">
        <w:rPr>
          <w:rStyle w:val="Style1Char"/>
          <w:color w:val="ED7D31" w:themeColor="accent2"/>
          <w:sz w:val="22"/>
          <w:szCs w:val="22"/>
          <w:rtl/>
        </w:rPr>
        <w:t>גמ'. רב יהודה תני: נולדו, חייא בר רב תני: היו. מ"ד נולדו, כ"ש היו, דקסברה וקיבלה; מאן דאמר היו, אבל נולדו לא</w:t>
      </w:r>
      <w:r w:rsidRPr="00480F23">
        <w:rPr>
          <w:rStyle w:val="Style1Char"/>
          <w:color w:val="4472C4" w:themeColor="accent1"/>
          <w:rtl/>
        </w:rPr>
        <w:t xml:space="preserve"> </w:t>
      </w:r>
      <w:r w:rsidRPr="00480F23">
        <w:rPr>
          <w:rStyle w:val="Style1Char"/>
          <w:color w:val="4472C4" w:themeColor="accent1"/>
          <w:sz w:val="22"/>
          <w:szCs w:val="22"/>
          <w:rtl/>
        </w:rPr>
        <w:t>והלכה כרב יהודה ולכך לא הביא רב אלפס אלא המשנה כצורתה</w:t>
      </w:r>
      <w:r w:rsidRPr="00480F23">
        <w:rPr>
          <w:rStyle w:val="Style1Char"/>
          <w:color w:val="4472C4" w:themeColor="accent1"/>
          <w:sz w:val="22"/>
          <w:szCs w:val="22"/>
        </w:rPr>
        <w:t>:</w:t>
      </w:r>
    </w:p>
    <w:p w14:paraId="1B2E8E86" w14:textId="6F08E949" w:rsidR="002165BA" w:rsidRPr="00BD1180" w:rsidRDefault="002165BA" w:rsidP="002165BA">
      <w:pPr>
        <w:bidi/>
        <w:rPr>
          <w:rStyle w:val="Style1Char"/>
          <w:color w:val="4472C4" w:themeColor="accent1"/>
          <w:sz w:val="22"/>
          <w:szCs w:val="22"/>
        </w:rPr>
      </w:pPr>
      <w:r w:rsidRPr="00657C31">
        <w:rPr>
          <w:rStyle w:val="Style1Char"/>
          <w:color w:val="00B050"/>
          <w:rtl/>
        </w:rPr>
        <w:t xml:space="preserve">. תנן, אמר רבן שמעון בן גמליאל: בד"א - במומין קטנים, אבל במומין גדולים - כופין אותו להוציא; בשלמא למ"ד נולדו, היינו דשאני בין גדולים לקטנים, אלא למ"ד היו, מה לי גדולים מה לי קטנים? הא סברה וקיבלה! כסבורה היא שיכולה לקבל, ועכשיו אין יכולה לקבל. </w:t>
      </w:r>
      <w:r w:rsidRPr="00E72E4A">
        <w:rPr>
          <w:rStyle w:val="Style1Char"/>
          <w:color w:val="auto"/>
          <w:sz w:val="22"/>
          <w:szCs w:val="22"/>
          <w:rtl/>
        </w:rPr>
        <w:t>ואלו הן מומין גדולים? פירש רשב"ג</w:t>
      </w:r>
      <w:r w:rsidRPr="00E72E4A">
        <w:rPr>
          <w:rStyle w:val="Style1Char"/>
          <w:color w:val="auto"/>
          <w:rtl/>
        </w:rPr>
        <w:t xml:space="preserve">, </w:t>
      </w:r>
      <w:r w:rsidRPr="00657C31">
        <w:rPr>
          <w:rStyle w:val="Style1Char"/>
          <w:color w:val="00B050"/>
          <w:rtl/>
        </w:rPr>
        <w:t xml:space="preserve">[כגון] </w:t>
      </w:r>
      <w:r w:rsidRPr="00E72E4A">
        <w:rPr>
          <w:rStyle w:val="Style1Char"/>
          <w:color w:val="auto"/>
          <w:sz w:val="22"/>
          <w:szCs w:val="22"/>
          <w:rtl/>
        </w:rPr>
        <w:t>ניסמית עינו, נקטעה ידו, ונשברה רגלו</w:t>
      </w:r>
      <w:r w:rsidRPr="00E72E4A">
        <w:rPr>
          <w:rStyle w:val="Style1Char"/>
          <w:color w:val="auto"/>
          <w:rtl/>
        </w:rPr>
        <w:t>.</w:t>
      </w:r>
      <w:r w:rsidRPr="00657C31">
        <w:rPr>
          <w:rStyle w:val="Style1Char"/>
          <w:color w:val="00B050"/>
          <w:rtl/>
        </w:rPr>
        <w:t xml:space="preserve"> </w:t>
      </w:r>
      <w:r w:rsidRPr="00240729">
        <w:rPr>
          <w:rStyle w:val="Style1Char"/>
          <w:color w:val="auto"/>
          <w:sz w:val="22"/>
          <w:szCs w:val="22"/>
          <w:rtl/>
        </w:rPr>
        <w:t xml:space="preserve">אתמר, ר' אבא בר יעקב אמר ר' יוחנן: הלכה כרשב"ג; </w:t>
      </w:r>
      <w:r w:rsidR="00FC4341">
        <w:rPr>
          <w:rStyle w:val="Style1Char"/>
          <w:rFonts w:hint="cs"/>
          <w:rtl/>
        </w:rPr>
        <w:t>(2)</w:t>
      </w:r>
      <w:r w:rsidRPr="00240729">
        <w:rPr>
          <w:rStyle w:val="Style1Char"/>
          <w:color w:val="auto"/>
          <w:sz w:val="22"/>
          <w:szCs w:val="22"/>
          <w:rtl/>
        </w:rPr>
        <w:t>רבא אמר רב נחמן: הלכה כדברי חכמים</w:t>
      </w:r>
      <w:r w:rsidRPr="00657C31">
        <w:rPr>
          <w:rStyle w:val="Style1Char"/>
          <w:color w:val="00B050"/>
          <w:rtl/>
        </w:rPr>
        <w:t xml:space="preserve">. </w:t>
      </w:r>
      <w:r w:rsidRPr="00240729">
        <w:rPr>
          <w:rStyle w:val="Style1Char"/>
          <w:color w:val="806000" w:themeColor="accent4" w:themeShade="80"/>
          <w:sz w:val="22"/>
          <w:szCs w:val="22"/>
          <w:rtl/>
        </w:rPr>
        <w:t>והלכה כרב נחמן דקיימא לן הלכה כרב נחמן בדיני</w:t>
      </w:r>
      <w:r w:rsidRPr="00240729">
        <w:rPr>
          <w:rStyle w:val="Style1Char"/>
          <w:color w:val="806000" w:themeColor="accent4" w:themeShade="80"/>
          <w:sz w:val="22"/>
          <w:szCs w:val="22"/>
        </w:rPr>
        <w:t>:</w:t>
      </w:r>
      <w:r>
        <w:rPr>
          <w:rStyle w:val="Style1Char"/>
          <w:rFonts w:hint="cs"/>
          <w:color w:val="806000" w:themeColor="accent4" w:themeShade="80"/>
          <w:sz w:val="22"/>
          <w:szCs w:val="22"/>
          <w:rtl/>
        </w:rPr>
        <w:t xml:space="preserve"> </w:t>
      </w:r>
      <w:r w:rsidRPr="00BD1180">
        <w:rPr>
          <w:rStyle w:val="Style1Char"/>
          <w:color w:val="4472C4" w:themeColor="accent1"/>
          <w:sz w:val="22"/>
          <w:szCs w:val="22"/>
          <w:rtl/>
        </w:rPr>
        <w:t>ויש אומרים דווקא עינו אחת אבל שתי עיניו או שתי ידיו או שתי</w:t>
      </w:r>
      <w:r w:rsidRPr="00BD1180">
        <w:rPr>
          <w:rStyle w:val="Style1Char"/>
          <w:rFonts w:hint="cs"/>
          <w:color w:val="4472C4" w:themeColor="accent1"/>
          <w:sz w:val="22"/>
          <w:szCs w:val="22"/>
        </w:rPr>
        <w:t>‍</w:t>
      </w:r>
      <w:r w:rsidRPr="00BD1180">
        <w:rPr>
          <w:rStyle w:val="Style1Char"/>
          <w:color w:val="4472C4" w:themeColor="accent1"/>
          <w:sz w:val="22"/>
          <w:szCs w:val="22"/>
          <w:rtl/>
        </w:rPr>
        <w:t xml:space="preserve"> רגליו מודו רבנן</w:t>
      </w:r>
      <w:r w:rsidRPr="00BD1180">
        <w:rPr>
          <w:rStyle w:val="Style1Char"/>
          <w:rFonts w:hint="cs"/>
          <w:color w:val="4472C4" w:themeColor="accent1"/>
          <w:sz w:val="22"/>
          <w:szCs w:val="22"/>
        </w:rPr>
        <w:t>‍</w:t>
      </w:r>
      <w:r w:rsidRPr="00BD1180">
        <w:rPr>
          <w:rStyle w:val="Style1Char"/>
          <w:color w:val="4472C4" w:themeColor="accent1"/>
          <w:sz w:val="22"/>
          <w:szCs w:val="22"/>
          <w:rtl/>
        </w:rPr>
        <w:t xml:space="preserve"> וכן מסתבר שהרי הוא כעבר ובטל מן העולם</w:t>
      </w:r>
      <w:r w:rsidRPr="00BD1180">
        <w:rPr>
          <w:rStyle w:val="Style1Char"/>
          <w:color w:val="4472C4" w:themeColor="accent1"/>
          <w:sz w:val="22"/>
          <w:szCs w:val="22"/>
        </w:rPr>
        <w:t xml:space="preserve">: </w:t>
      </w:r>
    </w:p>
    <w:p w14:paraId="641E78E7" w14:textId="77777777" w:rsidR="002165BA" w:rsidRDefault="002165BA" w:rsidP="002165BA">
      <w:pPr>
        <w:bidi/>
        <w:rPr>
          <w:rStyle w:val="Style1Char"/>
          <w:color w:val="00B050"/>
          <w:rtl/>
        </w:rPr>
      </w:pPr>
      <w:r w:rsidRPr="00657C31">
        <w:rPr>
          <w:rStyle w:val="Style1Char"/>
          <w:color w:val="00B050"/>
          <w:rtl/>
        </w:rPr>
        <w:t xml:space="preserve">ומי א"ר יוחנן הכי? והא אמר רבה בר בר חנה א"ר יוחנן: בכל מקום ששנה רשב"ג במשנתנו - הלכה כמותו, חוץ מערב, וצידן, וראיה אחרונה! אמוראי נינהו ואליבא דרבי יוחנן. </w:t>
      </w:r>
    </w:p>
    <w:p w14:paraId="0011280A" w14:textId="7B771072" w:rsidR="002165BA" w:rsidRPr="00D60143" w:rsidRDefault="002165BA" w:rsidP="002165BA">
      <w:pPr>
        <w:bidi/>
        <w:rPr>
          <w:rStyle w:val="Style1Char"/>
          <w:color w:val="auto"/>
          <w:sz w:val="22"/>
          <w:szCs w:val="22"/>
        </w:rPr>
      </w:pPr>
      <w:r w:rsidRPr="00D60143">
        <w:rPr>
          <w:rStyle w:val="Style1Char"/>
          <w:color w:val="auto"/>
          <w:sz w:val="22"/>
          <w:szCs w:val="22"/>
          <w:rtl/>
        </w:rPr>
        <w:t xml:space="preserve">מתני'. </w:t>
      </w:r>
      <w:r w:rsidR="009F15A9">
        <w:rPr>
          <w:rStyle w:val="Style1Char"/>
          <w:rFonts w:hint="cs"/>
          <w:rtl/>
        </w:rPr>
        <w:t>(3)</w:t>
      </w:r>
      <w:r w:rsidRPr="00D60143">
        <w:rPr>
          <w:rStyle w:val="Style1Char"/>
          <w:color w:val="auto"/>
          <w:sz w:val="22"/>
          <w:szCs w:val="22"/>
          <w:rtl/>
        </w:rPr>
        <w:t xml:space="preserve">ואלו שכופין אותו להוציא: מוכה שחין, ובעל פוליפוס, והמקמץ, והמצרף נחושת, והבורסי, בין שהיו עד שלא נישאו ובין משנישאו נולדו; ועל כולן אמר רבי מאיר: אף על פי שהתנה עמה, יכולה היא שתאמר סבורה הייתי שאני יכולה לקבל, ועכשיו איני יכולה לקבל; </w:t>
      </w:r>
      <w:r w:rsidR="00FD7EBF">
        <w:rPr>
          <w:rStyle w:val="Style1Char"/>
          <w:rFonts w:hint="cs"/>
          <w:rtl/>
        </w:rPr>
        <w:t>(3)</w:t>
      </w:r>
      <w:r w:rsidRPr="00D60143">
        <w:rPr>
          <w:rStyle w:val="Style1Char"/>
          <w:color w:val="auto"/>
          <w:sz w:val="22"/>
          <w:szCs w:val="22"/>
          <w:rtl/>
        </w:rPr>
        <w:t xml:space="preserve">וחכ"א: מקבלת היא על כרחה, חוץ ממוכה שחין, מפני שממקתו. מעשה בצידון בבורסי אחד שמת, והיה לו אח בורסי, אמרו חכמים: </w:t>
      </w:r>
      <w:r w:rsidR="000159C1">
        <w:rPr>
          <w:rStyle w:val="Style1Char"/>
          <w:rFonts w:hint="cs"/>
          <w:rtl/>
        </w:rPr>
        <w:t>(4)</w:t>
      </w:r>
      <w:r w:rsidRPr="00D60143">
        <w:rPr>
          <w:rStyle w:val="Style1Char"/>
          <w:color w:val="auto"/>
          <w:sz w:val="22"/>
          <w:szCs w:val="22"/>
          <w:rtl/>
        </w:rPr>
        <w:t xml:space="preserve">יכולה היא שתאמר לאחיך הייתי יכולה לקבל, ולך איני יכולה לקבל. </w:t>
      </w:r>
    </w:p>
    <w:p w14:paraId="2D39AD40" w14:textId="77777777" w:rsidR="002165BA" w:rsidRPr="00657C31" w:rsidRDefault="002165BA" w:rsidP="002165BA">
      <w:pPr>
        <w:bidi/>
        <w:rPr>
          <w:rStyle w:val="Style1Char"/>
          <w:color w:val="00B050"/>
        </w:rPr>
      </w:pPr>
      <w:r w:rsidRPr="009B171B">
        <w:rPr>
          <w:rStyle w:val="Style1Char"/>
          <w:color w:val="auto"/>
          <w:sz w:val="22"/>
          <w:szCs w:val="22"/>
          <w:rtl/>
        </w:rPr>
        <w:t>גמ'. מאי בעל פוליפוס? אמר רב יהודה אמר שמואל: ריח החוטם. במתניתא תנא: ריח הפה</w:t>
      </w:r>
      <w:r w:rsidRPr="00657C31">
        <w:rPr>
          <w:rStyle w:val="Style1Char"/>
          <w:color w:val="00B050"/>
          <w:rtl/>
        </w:rPr>
        <w:t xml:space="preserve">. רב אסי מתני איפכא, ומנח בה סימנא: שמואל לא פסיק פומיה מכוליה פירקין. </w:t>
      </w:r>
    </w:p>
    <w:p w14:paraId="18B82AC6" w14:textId="77777777" w:rsidR="002165BA" w:rsidRDefault="002165BA" w:rsidP="002165BA">
      <w:pPr>
        <w:bidi/>
        <w:rPr>
          <w:rStyle w:val="Style1Char"/>
          <w:color w:val="00B050"/>
          <w:rtl/>
        </w:rPr>
      </w:pPr>
      <w:r w:rsidRPr="00657C31">
        <w:rPr>
          <w:rStyle w:val="Style1Char"/>
          <w:color w:val="00B050"/>
          <w:rtl/>
        </w:rPr>
        <w:t xml:space="preserve">והמקמץ. </w:t>
      </w:r>
      <w:r w:rsidRPr="00D34245">
        <w:rPr>
          <w:rStyle w:val="Style1Char"/>
          <w:color w:val="00B050"/>
          <w:rtl/>
        </w:rPr>
        <w:t xml:space="preserve">מאי </w:t>
      </w:r>
      <w:r w:rsidRPr="00D34245">
        <w:rPr>
          <w:rStyle w:val="Style1Char"/>
          <w:color w:val="auto"/>
          <w:sz w:val="22"/>
          <w:szCs w:val="22"/>
          <w:rtl/>
        </w:rPr>
        <w:t>מקמץ? אמר רב יהודה: זה המקבץ צואת כלבים</w:t>
      </w:r>
      <w:r w:rsidRPr="00EC31F5">
        <w:rPr>
          <w:rStyle w:val="Style1Char"/>
          <w:sz w:val="22"/>
          <w:szCs w:val="22"/>
          <w:rtl/>
        </w:rPr>
        <w:t>.</w:t>
      </w:r>
      <w:r w:rsidRPr="00657C31">
        <w:rPr>
          <w:rStyle w:val="Style1Char"/>
          <w:color w:val="00B050"/>
          <w:rtl/>
        </w:rPr>
        <w:t xml:space="preserve"> מיתיבי: מקמץ - זה בורסי! ולטעמיך, תיקשי לך מתניתין: המקמץ, והמצרף נחושת, והבורסי! בשלמא מתניתין לא קשיא: כאן בבורסי גדול, כאן בבורסי קטן, אלא לרב יהודה קשיא! תנאי היא, דתניא: מקמץ - זה בורסי; ויש אומרים: זה המקמץ צואת כלבים. </w:t>
      </w:r>
    </w:p>
    <w:p w14:paraId="6C4DA9B8" w14:textId="77777777" w:rsidR="002165BA" w:rsidRPr="009B171B" w:rsidRDefault="002165BA" w:rsidP="002165BA">
      <w:pPr>
        <w:bidi/>
        <w:rPr>
          <w:rStyle w:val="Style1Char"/>
          <w:color w:val="00B050"/>
        </w:rPr>
      </w:pPr>
    </w:p>
    <w:p w14:paraId="7A74F618" w14:textId="2EAB2A62" w:rsidR="002165BA" w:rsidRPr="0090133A" w:rsidRDefault="002165BA" w:rsidP="002165BA">
      <w:pPr>
        <w:bidi/>
        <w:rPr>
          <w:rStyle w:val="Style1Char"/>
          <w:color w:val="4472C4" w:themeColor="accent1"/>
        </w:rPr>
      </w:pPr>
      <w:r w:rsidRPr="00657C31">
        <w:rPr>
          <w:rStyle w:val="Style1Char"/>
          <w:color w:val="00B050"/>
          <w:rtl/>
        </w:rPr>
        <w:t xml:space="preserve">והמצרף נחושת, והבורסי. מאי </w:t>
      </w:r>
      <w:r w:rsidRPr="00D34245">
        <w:rPr>
          <w:rStyle w:val="Style1Char"/>
          <w:color w:val="auto"/>
          <w:sz w:val="22"/>
          <w:szCs w:val="22"/>
          <w:rtl/>
        </w:rPr>
        <w:t>מצרף נחושת</w:t>
      </w:r>
      <w:r w:rsidRPr="00657C31">
        <w:rPr>
          <w:rStyle w:val="Style1Char"/>
          <w:color w:val="00B050"/>
          <w:rtl/>
        </w:rPr>
        <w:t xml:space="preserve">? רב אשי אמר: חשלי דודי, רבה בר בר חנה אמר: </w:t>
      </w:r>
      <w:r w:rsidRPr="00D34245">
        <w:rPr>
          <w:rStyle w:val="Style1Char"/>
          <w:color w:val="auto"/>
          <w:sz w:val="22"/>
          <w:szCs w:val="22"/>
          <w:rtl/>
        </w:rPr>
        <w:t>זה המחתך נחושת מעיקרו</w:t>
      </w:r>
      <w:r w:rsidRPr="00D34245">
        <w:rPr>
          <w:rStyle w:val="Style1Char"/>
          <w:color w:val="auto"/>
          <w:rtl/>
        </w:rPr>
        <w:t xml:space="preserve">. </w:t>
      </w:r>
      <w:r w:rsidRPr="00657C31">
        <w:rPr>
          <w:rStyle w:val="Style1Char"/>
          <w:color w:val="00B050"/>
          <w:rtl/>
        </w:rPr>
        <w:t>תניא כוותיה דרבה בר בר חנה: איזהו מצרף? זה המחתך נחושת מעיקרו</w:t>
      </w:r>
      <w:r w:rsidRPr="005147DC">
        <w:rPr>
          <w:rStyle w:val="Style1Char"/>
          <w:color w:val="C00000"/>
          <w:rtl/>
        </w:rPr>
        <w:t xml:space="preserve"> </w:t>
      </w:r>
      <w:r w:rsidRPr="005147DC">
        <w:rPr>
          <w:rStyle w:val="Style1Char"/>
          <w:color w:val="C00000"/>
          <w:sz w:val="22"/>
          <w:szCs w:val="22"/>
          <w:rtl/>
        </w:rPr>
        <w:t xml:space="preserve">ומעשה בצידון בבורסי שמת: </w:t>
      </w:r>
      <w:r w:rsidRPr="00D34245">
        <w:rPr>
          <w:rStyle w:val="Style1Char"/>
          <w:color w:val="806000" w:themeColor="accent4" w:themeShade="80"/>
          <w:sz w:val="22"/>
          <w:szCs w:val="22"/>
          <w:rtl/>
        </w:rPr>
        <w:t>גרסינן פרק אלו הן הלוקין [מכות כ"ג ע"א] אמר רב ששת משום רבי אלעזר בן עזריה מנין ליבמה שנפלה לפני יבם מוכה שחין שאין חוסמין אותה שנאמר לא תחסום שור בדישו וסמיך ליה כי ישבו אחים יחדו:</w:t>
      </w:r>
      <w:r w:rsidRPr="00D34245">
        <w:rPr>
          <w:rStyle w:val="Style1Char"/>
          <w:color w:val="806000" w:themeColor="accent4" w:themeShade="80"/>
          <w:rtl/>
        </w:rPr>
        <w:t xml:space="preserve">. </w:t>
      </w:r>
      <w:r w:rsidRPr="00D34245">
        <w:rPr>
          <w:rStyle w:val="Style1Char"/>
          <w:color w:val="auto"/>
          <w:sz w:val="22"/>
          <w:szCs w:val="22"/>
          <w:rtl/>
        </w:rPr>
        <w:t xml:space="preserve">אמר רב: האומר איני זן ואיני מפרנס - יוציא ויתן כתובה. אזל ר' אלעזר אמרה לשמעתא קמיה דשמואל, אמר: </w:t>
      </w:r>
      <w:r w:rsidR="0069727B">
        <w:rPr>
          <w:rStyle w:val="Style1Char"/>
          <w:rFonts w:hint="cs"/>
          <w:rtl/>
        </w:rPr>
        <w:t>(</w:t>
      </w:r>
      <w:r w:rsidR="00E41F3C">
        <w:rPr>
          <w:rStyle w:val="Style1Char"/>
          <w:rFonts w:hint="cs"/>
          <w:rtl/>
        </w:rPr>
        <w:t>5</w:t>
      </w:r>
      <w:r w:rsidR="0069727B">
        <w:rPr>
          <w:rStyle w:val="Style1Char"/>
          <w:rFonts w:hint="cs"/>
          <w:rtl/>
        </w:rPr>
        <w:t>)</w:t>
      </w:r>
      <w:r w:rsidRPr="00D34245">
        <w:rPr>
          <w:rStyle w:val="Style1Char"/>
          <w:color w:val="auto"/>
          <w:sz w:val="22"/>
          <w:szCs w:val="22"/>
          <w:rtl/>
        </w:rPr>
        <w:t xml:space="preserve">אכסוה שערי לאלעזר! עד שכופין אותו להוציא, יכפוהו לזון </w:t>
      </w:r>
      <w:r w:rsidRPr="000E0655">
        <w:rPr>
          <w:rStyle w:val="Style1Char"/>
          <w:color w:val="ED7D31" w:themeColor="accent2"/>
          <w:sz w:val="22"/>
          <w:szCs w:val="22"/>
          <w:rtl/>
        </w:rPr>
        <w:t>ורב? אין אדם דר עם נחש בכפיפה</w:t>
      </w:r>
      <w:r w:rsidRPr="000E0655">
        <w:rPr>
          <w:rStyle w:val="Style1Char"/>
          <w:color w:val="ED7D31" w:themeColor="accent2"/>
          <w:sz w:val="32"/>
          <w:szCs w:val="32"/>
          <w:rtl/>
        </w:rPr>
        <w:t xml:space="preserve"> </w:t>
      </w:r>
      <w:r w:rsidRPr="005147DC">
        <w:rPr>
          <w:rStyle w:val="Style1Char"/>
          <w:color w:val="C00000"/>
          <w:sz w:val="22"/>
          <w:szCs w:val="22"/>
          <w:rtl/>
        </w:rPr>
        <w:t>והלכתא כשמואל</w:t>
      </w:r>
      <w:r w:rsidRPr="00657C31">
        <w:rPr>
          <w:rStyle w:val="Style1Char"/>
          <w:color w:val="00B050"/>
          <w:rtl/>
        </w:rPr>
        <w:t xml:space="preserve">.. כי סליק רבי זירא, אשכחיה לרבי בנימין בר יפת דיתיב וקאמר לה </w:t>
      </w:r>
      <w:r w:rsidRPr="00A02C9B">
        <w:rPr>
          <w:rStyle w:val="Style1Char"/>
          <w:color w:val="806000" w:themeColor="accent4" w:themeShade="80"/>
          <w:sz w:val="22"/>
          <w:szCs w:val="22"/>
          <w:rtl/>
        </w:rPr>
        <w:t xml:space="preserve">ואף על גב דאיתמר נמי </w:t>
      </w:r>
      <w:r w:rsidRPr="00A02C9B">
        <w:rPr>
          <w:rStyle w:val="Style1Char"/>
          <w:color w:val="auto"/>
          <w:sz w:val="22"/>
          <w:szCs w:val="22"/>
          <w:rtl/>
        </w:rPr>
        <w:t>משמיה דרבי יוחנן</w:t>
      </w:r>
      <w:r w:rsidRPr="00A02C9B">
        <w:rPr>
          <w:rStyle w:val="Style1Char"/>
          <w:color w:val="auto"/>
          <w:rtl/>
        </w:rPr>
        <w:t xml:space="preserve"> </w:t>
      </w:r>
      <w:r w:rsidRPr="00A02C9B">
        <w:rPr>
          <w:rStyle w:val="Style1Char"/>
          <w:color w:val="806000" w:themeColor="accent4" w:themeShade="80"/>
          <w:sz w:val="22"/>
          <w:szCs w:val="22"/>
          <w:rtl/>
        </w:rPr>
        <w:t>כוותיה דרב הא דחייה רבי זירא</w:t>
      </w:r>
      <w:r w:rsidRPr="00657C31">
        <w:rPr>
          <w:rStyle w:val="Style1Char"/>
          <w:color w:val="00B050"/>
          <w:rtl/>
        </w:rPr>
        <w:t xml:space="preserve">, </w:t>
      </w:r>
      <w:r w:rsidRPr="00A02C9B">
        <w:rPr>
          <w:rStyle w:val="Style1Char"/>
          <w:color w:val="auto"/>
          <w:sz w:val="22"/>
          <w:szCs w:val="22"/>
          <w:rtl/>
        </w:rPr>
        <w:t>אמר ליה: על דא אכסוה שערין לאלעזר בבבל</w:t>
      </w:r>
      <w:r w:rsidRPr="00011A75">
        <w:rPr>
          <w:rStyle w:val="Style1Char"/>
          <w:color w:val="4472C4" w:themeColor="accent1"/>
          <w:rtl/>
        </w:rPr>
        <w:t xml:space="preserve"> </w:t>
      </w:r>
      <w:r w:rsidRPr="0090133A">
        <w:rPr>
          <w:rStyle w:val="Style1Char"/>
          <w:color w:val="4472C4" w:themeColor="accent1"/>
          <w:rtl/>
        </w:rPr>
        <w:t>ובהלכות גדולות פוסקין כוותיה דרב וכרבי יוחנן וכרבי אבהו דאמר בירושל' (פ' בתרא דגיטין ה"י) עלה דההיא האומר איני זן ואיני מפרנס מפני ריח הפה כופין מפני חיי נפש לא כ"ש וכן מסתבר דאשה בושה לבא לב"ד כל פעם ותמות ברעב כדאמרינן בפרק החולץ (דף מב ב) אשה בושה לבא לב"ד והורגת את בנה</w:t>
      </w:r>
      <w:r w:rsidRPr="0090133A">
        <w:rPr>
          <w:rStyle w:val="Style1Char"/>
          <w:color w:val="4472C4" w:themeColor="accent1"/>
        </w:rPr>
        <w:t xml:space="preserve">: </w:t>
      </w:r>
    </w:p>
    <w:p w14:paraId="7411F977" w14:textId="5A555375" w:rsidR="002165BA" w:rsidRDefault="002165BA" w:rsidP="002165BA">
      <w:pPr>
        <w:bidi/>
        <w:rPr>
          <w:rStyle w:val="Style1Char"/>
          <w:color w:val="4472C4" w:themeColor="accent1"/>
          <w:rtl/>
        </w:rPr>
      </w:pPr>
      <w:r w:rsidRPr="00020001">
        <w:rPr>
          <w:rStyle w:val="Style1Char"/>
          <w:color w:val="auto"/>
          <w:sz w:val="22"/>
          <w:szCs w:val="22"/>
          <w:rtl/>
        </w:rPr>
        <w:t>. אמר רב יהודה אמר רב</w:t>
      </w:r>
      <w:r w:rsidRPr="00020001">
        <w:rPr>
          <w:rStyle w:val="Style1Char"/>
          <w:color w:val="auto"/>
          <w:rtl/>
        </w:rPr>
        <w:t xml:space="preserve"> </w:t>
      </w:r>
      <w:r w:rsidRPr="00020001">
        <w:rPr>
          <w:rStyle w:val="Style1Char"/>
          <w:color w:val="ED7D31" w:themeColor="accent2"/>
          <w:rtl/>
        </w:rPr>
        <w:t xml:space="preserve">אסי </w:t>
      </w:r>
      <w:r w:rsidRPr="005147DC">
        <w:rPr>
          <w:rStyle w:val="Style1Char"/>
          <w:color w:val="C00000"/>
          <w:sz w:val="22"/>
          <w:szCs w:val="22"/>
          <w:rtl/>
        </w:rPr>
        <w:t>אשי</w:t>
      </w:r>
      <w:r w:rsidRPr="00657C31">
        <w:rPr>
          <w:rStyle w:val="Style1Char"/>
          <w:color w:val="00B050"/>
          <w:rtl/>
        </w:rPr>
        <w:t xml:space="preserve">: </w:t>
      </w:r>
      <w:r w:rsidRPr="00020001">
        <w:rPr>
          <w:rStyle w:val="Style1Char"/>
          <w:color w:val="auto"/>
          <w:sz w:val="22"/>
          <w:szCs w:val="22"/>
          <w:rtl/>
        </w:rPr>
        <w:t xml:space="preserve">אין מעשין אלא לפסולות; כי אמריתה קמיה דשמואל, אמר: כגון </w:t>
      </w:r>
      <w:r w:rsidR="00E41F3C">
        <w:rPr>
          <w:rStyle w:val="Style1Char"/>
          <w:rFonts w:hint="cs"/>
          <w:rtl/>
        </w:rPr>
        <w:t>(6)</w:t>
      </w:r>
      <w:r w:rsidRPr="00020001">
        <w:rPr>
          <w:rStyle w:val="Style1Char"/>
          <w:color w:val="auto"/>
          <w:sz w:val="22"/>
          <w:szCs w:val="22"/>
          <w:rtl/>
        </w:rPr>
        <w:t xml:space="preserve">אלמנה לכהן גדול, וגרושה וחלוצה לכהן הדיוט, ממזרת ונתינה לישראל, בת ישראל לנתין ולממזר, אבל נשא אשה ושהה עמה עשר שנים ולא ילדה - אין כופין אותו; </w:t>
      </w:r>
      <w:r w:rsidRPr="00020001">
        <w:rPr>
          <w:rStyle w:val="Style1Char"/>
          <w:rFonts w:hint="cs"/>
          <w:color w:val="auto"/>
          <w:sz w:val="22"/>
          <w:szCs w:val="22"/>
          <w:rtl/>
        </w:rPr>
        <w:t>(</w:t>
      </w:r>
      <w:r w:rsidRPr="00020001">
        <w:rPr>
          <w:rStyle w:val="Style1Char"/>
          <w:color w:val="auto"/>
          <w:sz w:val="22"/>
          <w:szCs w:val="22"/>
          <w:rtl/>
        </w:rPr>
        <w:t xml:space="preserve">ורב תחליפא בר אבימי אמר שמואל: </w:t>
      </w:r>
      <w:r w:rsidR="00394F8B">
        <w:rPr>
          <w:rStyle w:val="Style1Char"/>
          <w:rFonts w:hint="cs"/>
          <w:rtl/>
        </w:rPr>
        <w:t>(7)</w:t>
      </w:r>
      <w:r w:rsidRPr="00020001">
        <w:rPr>
          <w:rStyle w:val="Style1Char"/>
          <w:color w:val="auto"/>
          <w:sz w:val="22"/>
          <w:szCs w:val="22"/>
          <w:rtl/>
        </w:rPr>
        <w:t>אפילו נשא אשה ושהה עמה י' שנים ולא ילדה, כופין אותו</w:t>
      </w:r>
      <w:r w:rsidRPr="00020001">
        <w:rPr>
          <w:rStyle w:val="Style1Char"/>
          <w:rFonts w:hint="cs"/>
          <w:color w:val="auto"/>
          <w:rtl/>
        </w:rPr>
        <w:t>)</w:t>
      </w:r>
      <w:r w:rsidRPr="00020001">
        <w:rPr>
          <w:rStyle w:val="Style1Char"/>
          <w:color w:val="auto"/>
          <w:rtl/>
        </w:rPr>
        <w:t xml:space="preserve">. </w:t>
      </w:r>
      <w:r w:rsidRPr="0090133A">
        <w:rPr>
          <w:rStyle w:val="Style1Char"/>
          <w:color w:val="4472C4" w:themeColor="accent1"/>
          <w:rtl/>
        </w:rPr>
        <w:t>ובירושלמי (שם) נמי קאמר דשניות דרבנן נמי כופין להוציא</w:t>
      </w:r>
      <w:r>
        <w:rPr>
          <w:rStyle w:val="Style1Char"/>
          <w:rFonts w:hint="cs"/>
          <w:color w:val="4472C4" w:themeColor="accent1"/>
        </w:rPr>
        <w:t>‍</w:t>
      </w:r>
      <w:r w:rsidRPr="0090133A">
        <w:rPr>
          <w:rStyle w:val="Style1Char"/>
          <w:color w:val="4472C4" w:themeColor="accent1"/>
          <w:rtl/>
        </w:rPr>
        <w:t xml:space="preserve"> והא דאמר בשלמא לרב (אסי) דרבנן קתני דאורייתא לא קתני פירוש מה שתקנו חכמים להוציא לטובת האשה ולא מחמת איסור אבל שניות</w:t>
      </w:r>
      <w:r>
        <w:rPr>
          <w:rStyle w:val="Style1Char"/>
          <w:rFonts w:hint="cs"/>
          <w:color w:val="4472C4" w:themeColor="accent1"/>
        </w:rPr>
        <w:t>‍</w:t>
      </w:r>
      <w:r w:rsidRPr="0090133A">
        <w:rPr>
          <w:rStyle w:val="Style1Char"/>
          <w:color w:val="4472C4" w:themeColor="accent1"/>
          <w:rtl/>
        </w:rPr>
        <w:t xml:space="preserve"> חשיבי כדאורייתא אבל נשא אשה ושהה עמה עשר שנים ולא ילדה אין כופין אותו להוציא ורב תחליפא בר אבימי אמר אפילו נשא אשה ושהה עמה עשר שנים כופין אותו להוציא </w:t>
      </w:r>
    </w:p>
    <w:p w14:paraId="709C4915" w14:textId="3FE2A17D" w:rsidR="002165BA" w:rsidRDefault="002165BA" w:rsidP="002165BA">
      <w:pPr>
        <w:bidi/>
        <w:rPr>
          <w:rStyle w:val="Style1Char"/>
          <w:color w:val="00B050"/>
          <w:rtl/>
        </w:rPr>
      </w:pPr>
      <w:r w:rsidRPr="004D42A7">
        <w:rPr>
          <w:rStyle w:val="Style1Char"/>
          <w:color w:val="806000" w:themeColor="accent4" w:themeShade="80"/>
          <w:rtl/>
        </w:rPr>
        <w:t xml:space="preserve">וכולהו בין הני דרבנן דתנן במתני' שכופין אותן להוציא ובין הני דאורייתא כגון אלמנה לכה"ג גרושה וחלוצה לכהן הדיוט כולהו היו </w:t>
      </w:r>
      <w:r w:rsidRPr="00DD468C">
        <w:rPr>
          <w:rStyle w:val="Style1Char"/>
          <w:color w:val="806000" w:themeColor="accent4" w:themeShade="80"/>
          <w:rtl/>
        </w:rPr>
        <w:t>כייפינן להו בשוטים דבדברים לא יוסר עבד וכל הני דמדרבנן אי אמרה הוינא בהדיה שבקינן לה בר ממוכה שחין ומי שנשא אשה ושהה עמה עשר שנים ולא ילדה</w:t>
      </w:r>
      <w:r w:rsidRPr="00DD468C">
        <w:rPr>
          <w:rStyle w:val="Style1Char"/>
          <w:rFonts w:hint="cs"/>
          <w:color w:val="806000" w:themeColor="accent4" w:themeShade="80"/>
          <w:rtl/>
        </w:rPr>
        <w:t xml:space="preserve"> </w:t>
      </w:r>
      <w:r w:rsidRPr="00657C31">
        <w:rPr>
          <w:rStyle w:val="Style1Char"/>
          <w:color w:val="00B050"/>
          <w:rtl/>
        </w:rPr>
        <w:t xml:space="preserve">תנן, אלו שכופין אותו להוציא: מוכה שחין, ובעל פוליפוס; בשלמא לרב אסי - דרבנן קתני, דאורייתא לא קתני, אלא לרב תחליפא בר אבימי, ליתני: נשא אשה ושהה עמה עשר שנים ולא ילדה - כופין אותו! אמר רב נחמן, לא קשיא: הא במילי, הא בשוטי. מתקיף לה רבי אבא: בדברים לא יוסר עבד! אלא אמר רבי אבא: הא והא </w:t>
      </w:r>
      <w:r w:rsidR="00813D92">
        <w:rPr>
          <w:rStyle w:val="Style1Char"/>
          <w:rFonts w:hint="cs"/>
          <w:rtl/>
        </w:rPr>
        <w:t>(</w:t>
      </w:r>
      <w:r w:rsidR="001154F0">
        <w:rPr>
          <w:rStyle w:val="Style1Char"/>
          <w:rFonts w:hint="cs"/>
          <w:rtl/>
        </w:rPr>
        <w:t>3</w:t>
      </w:r>
      <w:r w:rsidR="00F963BE">
        <w:rPr>
          <w:rStyle w:val="Style1Char"/>
          <w:rFonts w:hint="cs"/>
          <w:rtl/>
        </w:rPr>
        <w:t>.</w:t>
      </w:r>
      <w:r w:rsidR="001154F0">
        <w:rPr>
          <w:rStyle w:val="Style1Char"/>
          <w:rFonts w:hint="cs"/>
          <w:rtl/>
        </w:rPr>
        <w:t>2</w:t>
      </w:r>
      <w:r w:rsidR="00F963BE">
        <w:rPr>
          <w:rStyle w:val="Style1Char"/>
          <w:rFonts w:hint="cs"/>
          <w:rtl/>
        </w:rPr>
        <w:t xml:space="preserve">, </w:t>
      </w:r>
      <w:r w:rsidR="001154F0">
        <w:rPr>
          <w:rStyle w:val="Style1Char"/>
          <w:rFonts w:hint="cs"/>
          <w:rtl/>
        </w:rPr>
        <w:t>7.1</w:t>
      </w:r>
      <w:r w:rsidR="00813D92">
        <w:rPr>
          <w:rStyle w:val="Style1Char"/>
          <w:rFonts w:hint="cs"/>
          <w:rtl/>
        </w:rPr>
        <w:t>)</w:t>
      </w:r>
      <w:r w:rsidRPr="00657C31">
        <w:rPr>
          <w:rStyle w:val="Style1Char"/>
          <w:color w:val="00B050"/>
          <w:rtl/>
        </w:rPr>
        <w:t xml:space="preserve">בשוטי, </w:t>
      </w:r>
    </w:p>
    <w:p w14:paraId="0A455C0A" w14:textId="17251578" w:rsidR="00E728BC" w:rsidRDefault="00E728BC" w:rsidP="00E728BC">
      <w:pPr>
        <w:pStyle w:val="Style1"/>
        <w:rPr>
          <w:rtl/>
        </w:rPr>
      </w:pPr>
      <w:r>
        <w:rPr>
          <w:rFonts w:hint="cs"/>
          <w:rtl/>
        </w:rPr>
        <w:lastRenderedPageBreak/>
        <w:t>1)[</w:t>
      </w:r>
      <w:r>
        <w:rPr>
          <w:rtl/>
        </w:rPr>
        <w:t>רמב</w:t>
      </w:r>
      <w:r w:rsidR="00213DA1">
        <w:rPr>
          <w:rtl/>
        </w:rPr>
        <w:t>”ם \נשים\</w:t>
      </w:r>
      <w:r>
        <w:rPr>
          <w:rtl/>
        </w:rPr>
        <w:t xml:space="preserve"> הלכות אישות פרק כה הלכה ב</w:t>
      </w:r>
      <w:r>
        <w:rPr>
          <w:rFonts w:hint="cs"/>
          <w:rtl/>
        </w:rPr>
        <w:t xml:space="preserve">] </w:t>
      </w:r>
      <w:r>
        <w:rPr>
          <w:rtl/>
        </w:rPr>
        <w:t>וכן הכונס אשה סתם ונמצא בה מום ממומי נשים שכבר ביארנום ולא ידע הבעל במום זה ולא שמע בו ורצה, הרי זו תצא בלא כתובה לא עיקר ולא תוספת. כיצד היה מרחץ בעיר</w:t>
      </w:r>
      <w:r>
        <w:rPr>
          <w:rFonts w:hint="cs"/>
          <w:rtl/>
        </w:rPr>
        <w:t xml:space="preserve"> </w:t>
      </w:r>
      <w:r>
        <w:rPr>
          <w:rtl/>
        </w:rPr>
        <w:t>והיו לו קרובים אינו יכול לומר לא ידעתי מומין אלו ואפילו מומין שבסתר מפני שהוא בודק בקרובותיו וחזקה ששמע ורצה, ואם אין שם מרחץ או שלא היו לו קרובים טוען במומין שבסתר, ונכפה בעתים ידועים הרי הוא ממומי סתר אבל במומין שבגלוי אינו יכול לטעון שהרי הכל רואין אותן ואומרין לו וחזקתו ששמע ונתפייס. דבר ידוע הוא שאין דין זה אלא באותן המקומות שהיה מנהג הנשים שם להלך בשוק ופניהן גלויות והכל יודעין אותן ואומרין זו היא בתו של פלוני וזו היא אחותו של פלוני כמו ערי אדום בזמן הזה, אבל מקומות שאין דרך הבנות שם לצאת לשוק כלל ואם תצא הבת למרחץ בנשף תצא מתנכרה ולא יראה אותה אדם חוץ מקרובותיה הרי זה טוען אף במומין שבגלוי, והוא שלא היה שם מרחץ ושלא היתה לו קרובה לבדוק בה. אבל אם היה שם מרחץ בעיר זו שאין דרך הנשים לצאת בה ופניהם מגולות אם יש לו קרובה אינו יכול לטעון שהרי הכל רואין אותה ערומה במרחץ, ואם דרכן להחבא ולהתנכר אף במרחץ ושתהיה הבת רוחצת בלילה או בבית קטן שבמרחץ לבדה עד שלא תראה ולא תודע הרי זה טוען אף במומין שבגלוי, שדברים אלו דברים של טעם הם ואינם גזירת הכתוב.</w:t>
      </w:r>
    </w:p>
    <w:p w14:paraId="5F45C61B" w14:textId="7DF31947" w:rsidR="00652BB5" w:rsidRPr="00B543C0" w:rsidRDefault="00652BB5" w:rsidP="00652BB5">
      <w:pPr>
        <w:pStyle w:val="Style1"/>
      </w:pPr>
      <w:r>
        <w:rPr>
          <w:rFonts w:hint="cs"/>
          <w:rtl/>
        </w:rPr>
        <w:t>1)[</w:t>
      </w:r>
      <w:r>
        <w:rPr>
          <w:rtl/>
        </w:rPr>
        <w:t>שולחן ערוך אבן העזר הלכות קידושין סימן לט סעיף ד</w:t>
      </w:r>
      <w:r>
        <w:rPr>
          <w:rFonts w:hint="cs"/>
          <w:rtl/>
        </w:rPr>
        <w:t xml:space="preserve">] </w:t>
      </w:r>
      <w:r w:rsidRPr="00B543C0">
        <w:rPr>
          <w:rtl/>
        </w:rPr>
        <w:t>ומה הן המומין הפוסלים בנשים?    כל המומין הפוסלים בכהנים פוסלים בנשים, ויותר עליהם בנשים: ריח רע, וזיעה, וריח הפה</w:t>
      </w:r>
      <w:r w:rsidRPr="00B543C0">
        <w:t>, </w:t>
      </w:r>
      <w:r w:rsidRPr="00B543C0">
        <w:rPr>
          <w:rFonts w:hint="cs"/>
          <w:rtl/>
        </w:rPr>
        <w:t>ויש אומרים דאף ריח החוטם (מרדכי בשם הר"ם)</w:t>
      </w:r>
      <w:r w:rsidRPr="00B543C0">
        <w:t xml:space="preserve">, </w:t>
      </w:r>
      <w:r w:rsidRPr="00B543C0">
        <w:rPr>
          <w:rtl/>
        </w:rPr>
        <w:t>וקול עבה, ודדיה גסים מחברותיה טפח, וטפח בין דד לדד, ונשיכת כלב ונעשה המקום צלקת</w:t>
      </w:r>
      <w:r w:rsidRPr="00B543C0">
        <w:t xml:space="preserve"> (</w:t>
      </w:r>
      <w:r w:rsidRPr="00B543C0">
        <w:rPr>
          <w:rtl/>
        </w:rPr>
        <w:t>פרוש, שנתרפאה המכה וקרם עליה עור ולא נשאר אלא רשם המכה</w:t>
      </w:r>
      <w:r w:rsidRPr="00B543C0">
        <w:t xml:space="preserve">), </w:t>
      </w:r>
      <w:r w:rsidRPr="00B543C0">
        <w:rPr>
          <w:rtl/>
        </w:rPr>
        <w:t>ושומא</w:t>
      </w:r>
      <w:r w:rsidRPr="00B543C0">
        <w:t xml:space="preserve"> (</w:t>
      </w:r>
      <w:r w:rsidRPr="00B543C0">
        <w:rPr>
          <w:rtl/>
        </w:rPr>
        <w:t>פרוש, וירואה בלע"ז רש"י</w:t>
      </w:r>
      <w:r w:rsidRPr="00B543C0">
        <w:t xml:space="preserve">) </w:t>
      </w:r>
      <w:r w:rsidRPr="00B543C0">
        <w:rPr>
          <w:rtl/>
        </w:rPr>
        <w:t>שעל הפדחת, אפילו היתה קטנה ביותר, ואף על פי שאין בה שער, וזו היא השומא שיתירה אשה על הכהנים, והוא שעומדת תחת כיפה שבראשה, פעמים נראית ופעמים אינה נראית, שאם תמיד נראית, הרי ראה ונתפיס, ואם תמיד אינה נראית, אינו מום</w:t>
      </w:r>
      <w:r w:rsidRPr="00B543C0">
        <w:t>.</w:t>
      </w:r>
    </w:p>
    <w:p w14:paraId="12CDF285" w14:textId="2D02FF01" w:rsidR="00652BB5" w:rsidRDefault="00652BB5" w:rsidP="00652BB5">
      <w:pPr>
        <w:pStyle w:val="Style1"/>
        <w:rPr>
          <w:rtl/>
        </w:rPr>
      </w:pPr>
      <w:r w:rsidRPr="00B543C0">
        <w:rPr>
          <w:rFonts w:hint="cs"/>
          <w:rtl/>
        </w:rPr>
        <w:t>הגה: ואם יש מרחץ בעיר, אפילו מומין שבסתר אין מבטלים. במה דברים אמורים, כשדרך הבנות לילך למרחץ בגלוי, אבל במקום שאין הבנות הולכות למרחץ, רק בלילה ובהחבא, אפילו מומין שבגלוי מבטלין. נכפה, אם הוא לזמן קבוע, הוי מום שבסתר; ואם אינו לזמן קבוע, הוי מום שבגלוי. ועיין לקמן </w:t>
      </w:r>
      <w:hyperlink r:id="rId188" w:tooltip="שולחן ערוך אבן העזר קיז" w:history="1">
        <w:r w:rsidRPr="00B543C0">
          <w:rPr>
            <w:rStyle w:val="Hyperlink"/>
            <w:rFonts w:hint="cs"/>
            <w:color w:val="7030A0"/>
            <w:u w:val="none"/>
            <w:rtl/>
          </w:rPr>
          <w:t>סימן קי"ז</w:t>
        </w:r>
      </w:hyperlink>
      <w:r w:rsidRPr="00B543C0">
        <w:rPr>
          <w:rFonts w:hint="cs"/>
        </w:rPr>
        <w:t> </w:t>
      </w:r>
      <w:r w:rsidRPr="00B543C0">
        <w:rPr>
          <w:rFonts w:hint="cs"/>
          <w:rtl/>
        </w:rPr>
        <w:t>עוד מדיני מומין. יש אומרים דנכפה וריח הפה אין חילוק בין מרחץ בעיר או לא (רבי ירוחם נתיב כ"ג)</w:t>
      </w:r>
      <w:r w:rsidRPr="00B543C0">
        <w:t>:</w:t>
      </w:r>
    </w:p>
    <w:p w14:paraId="6872D16A" w14:textId="77777777" w:rsidR="009143D9" w:rsidRPr="00AF3516" w:rsidRDefault="009143D9" w:rsidP="009143D9">
      <w:pPr>
        <w:pStyle w:val="Style1"/>
      </w:pPr>
      <w:r>
        <w:rPr>
          <w:rFonts w:hint="cs"/>
          <w:rtl/>
        </w:rPr>
        <w:t>1)[</w:t>
      </w:r>
      <w:r>
        <w:rPr>
          <w:rtl/>
        </w:rPr>
        <w:t xml:space="preserve">שולחן ערוך אבן העזר הלכות כתובות סימן קיז סעיף </w:t>
      </w:r>
      <w:r>
        <w:rPr>
          <w:rFonts w:hint="cs"/>
          <w:rtl/>
        </w:rPr>
        <w:t xml:space="preserve">ה] </w:t>
      </w:r>
      <w:r w:rsidRPr="00AF3516">
        <w:rPr>
          <w:rtl/>
        </w:rPr>
        <w:t>אם יש מרחץ בעיר והיו לו קרובים שם, אינו יכול לומר: לא ידעתי מומין אלו, ואפלו מומין שבסתר, מפני שהוא בודקה על ידי קרובותיו וחזקתו ששמע ונתרצה. ואם אין שם מרחץ, או שלא היו לו שם קרובים, טוען במומין שבסתר. ונכפית לעתים ידועים, הרי הוא כמומי סתר. אבל במומין שבגלוי אינו יכול לטעון, שחזקתו ששמע ונתפייס</w:t>
      </w:r>
      <w:r w:rsidRPr="00AF3516">
        <w:t>.</w:t>
      </w:r>
    </w:p>
    <w:p w14:paraId="17D8B184" w14:textId="2B9BB757" w:rsidR="009143D9" w:rsidRDefault="009143D9" w:rsidP="009143D9">
      <w:pPr>
        <w:pStyle w:val="Style1"/>
        <w:rPr>
          <w:rtl/>
        </w:rPr>
      </w:pPr>
      <w:r w:rsidRPr="00AF3516">
        <w:rPr>
          <w:rFonts w:hint="cs"/>
          <w:rtl/>
        </w:rPr>
        <w:t>המשתנת במטה תמיד, יש אומרים דלא הוי מום (בית יוסף בשם הרשב"א), ויש אומרים דהוי מום (בית יוסף), וכן נראה לי עיקר. טען על אשתו שהיא מצורעת, הוי מום (בית יוסף)</w:t>
      </w:r>
      <w:r w:rsidRPr="00AF3516">
        <w:t>:</w:t>
      </w:r>
    </w:p>
    <w:p w14:paraId="0FD56065" w14:textId="5DEA1F50" w:rsidR="00C1668E" w:rsidRDefault="00C1668E" w:rsidP="00C1668E">
      <w:pPr>
        <w:pStyle w:val="Style1"/>
        <w:rPr>
          <w:rtl/>
        </w:rPr>
      </w:pPr>
      <w:r>
        <w:rPr>
          <w:rFonts w:hint="cs"/>
          <w:rtl/>
        </w:rPr>
        <w:t>1)[</w:t>
      </w:r>
      <w:r>
        <w:rPr>
          <w:rtl/>
        </w:rPr>
        <w:t>שולחן ערוך אבן העזר הלכות גיטין סימן קנד סעיף ה</w:t>
      </w:r>
      <w:r>
        <w:rPr>
          <w:rFonts w:hint="cs"/>
          <w:rtl/>
        </w:rPr>
        <w:t xml:space="preserve">] </w:t>
      </w:r>
      <w:r>
        <w:rPr>
          <w:rtl/>
        </w:rPr>
        <w:t>איש המשתטה מידי יום יום, ואומרת אשתו: אבי מחמת דחקו השיאני לו וסבורה הייתי לקבל ואי אפשי כי הוא מטורף ויראה אני פן יהרגני בכעסו, אין כופין אותו לגרש, שאין כופין אלא באותם שאמרו חכמים. הגה: מי שהוא נכפה, י"א שאינו מום ואין כופין על זה לגרש. ומ"מ אין כופין אותה שתהיה עמו, הואיל ובאתה מחמת טענה (מרדכי פרק המדיר בשם ראבי"ה). וי"א דהוי מום באיש, וכופין לגרש (הרא"ש כלל ע"ב /מ"ב/).</w:t>
      </w:r>
    </w:p>
    <w:p w14:paraId="79C01D6C" w14:textId="3B23D055" w:rsidR="001E3AA4" w:rsidRDefault="001E3AA4" w:rsidP="001E3AA4">
      <w:pPr>
        <w:pStyle w:val="Style1"/>
        <w:rPr>
          <w:rtl/>
        </w:rPr>
      </w:pPr>
      <w:r>
        <w:rPr>
          <w:rFonts w:hint="cs"/>
          <w:rtl/>
        </w:rPr>
        <w:t>2)[</w:t>
      </w:r>
      <w:r>
        <w:rPr>
          <w:rtl/>
        </w:rPr>
        <w:t>רמב</w:t>
      </w:r>
      <w:r w:rsidR="00213DA1">
        <w:rPr>
          <w:rtl/>
        </w:rPr>
        <w:t>”ם \נשים\</w:t>
      </w:r>
      <w:r>
        <w:rPr>
          <w:rtl/>
        </w:rPr>
        <w:t xml:space="preserve"> הלכות אישות פרק כה הלכה יא</w:t>
      </w:r>
      <w:r>
        <w:rPr>
          <w:rFonts w:hint="cs"/>
          <w:rtl/>
        </w:rPr>
        <w:t xml:space="preserve">] </w:t>
      </w:r>
      <w:r>
        <w:rPr>
          <w:rtl/>
        </w:rPr>
        <w:t>האיש שנולדו בו מומין אחר שנשא אפילו נקטעה ידו או רגלו או נסמית עינו ולא רצת אשתו לישב עמו אין כופין אותו להוציא וליתן כתובה אלא אם רצת תשב ואם לא רצת תצא בלא כתובה כדין כל אשה מורדת. אבל אם נולד לו ריח הפה או ריח החוטם או שחזר ללקט צואת כלבים או לחצוב נחשת מעיקרו או לעבד עורות כופין אותו להוציא וליתן כתובה, ואם רצת תשב עם בעלה.</w:t>
      </w:r>
    </w:p>
    <w:p w14:paraId="2091E21F" w14:textId="068BA41D" w:rsidR="006C5A97" w:rsidRPr="006C5A97" w:rsidRDefault="0042113D" w:rsidP="006C5A97">
      <w:pPr>
        <w:pStyle w:val="Style1"/>
      </w:pPr>
      <w:r>
        <w:rPr>
          <w:rFonts w:hint="cs"/>
          <w:rtl/>
        </w:rPr>
        <w:t>2)[</w:t>
      </w:r>
      <w:r>
        <w:rPr>
          <w:rtl/>
        </w:rPr>
        <w:t>שולחן ערוך אבן העזר הלכות גיטין סימן קנד סעיף ד</w:t>
      </w:r>
      <w:r>
        <w:rPr>
          <w:rFonts w:hint="cs"/>
          <w:rtl/>
        </w:rPr>
        <w:t>]</w:t>
      </w:r>
      <w:r w:rsidR="006C5A97">
        <w:rPr>
          <w:rFonts w:hint="cs"/>
          <w:rtl/>
        </w:rPr>
        <w:t xml:space="preserve"> </w:t>
      </w:r>
      <w:r w:rsidR="006C5A97" w:rsidRPr="006C5A97">
        <w:rPr>
          <w:rtl/>
        </w:rPr>
        <w:t>האיש שנולדו בו מומין אחר שנשא, אפילו נקטעת ידו או רגלו, או נסמית עינו, ולא רצתה אשתו לישב עמו, אין כופין אותו להוציא וליתן כתובה; אלא אם רצתה תשב, ואם לא רצתה, דינה כדין מורדת</w:t>
      </w:r>
      <w:r w:rsidR="006C5A97" w:rsidRPr="006C5A97">
        <w:t>.</w:t>
      </w:r>
    </w:p>
    <w:p w14:paraId="179C754A" w14:textId="21EA029A" w:rsidR="006C5A97" w:rsidRDefault="006C5A97" w:rsidP="006C5A97">
      <w:pPr>
        <w:pStyle w:val="Style1"/>
        <w:rPr>
          <w:rtl/>
        </w:rPr>
      </w:pPr>
      <w:r w:rsidRPr="006C5A97">
        <w:rPr>
          <w:rFonts w:hint="cs"/>
          <w:rtl/>
        </w:rPr>
        <w:t>הגה: ויש אומרים דכל זה בידו או רגלו או עינו אחת, אבל בב' ידיו וב' עיניו וב' רגליו, כופין אותו להוציא (טור והרא"ש)</w:t>
      </w:r>
      <w:r w:rsidRPr="006C5A97">
        <w:t>:</w:t>
      </w:r>
    </w:p>
    <w:p w14:paraId="297282EC" w14:textId="4E0D4209" w:rsidR="00826E7B" w:rsidRDefault="00826E7B" w:rsidP="00826E7B">
      <w:pPr>
        <w:pStyle w:val="Style1"/>
        <w:rPr>
          <w:rtl/>
        </w:rPr>
      </w:pPr>
      <w:r>
        <w:rPr>
          <w:rFonts w:hint="cs"/>
          <w:rtl/>
        </w:rPr>
        <w:t>3)[</w:t>
      </w:r>
      <w:r>
        <w:rPr>
          <w:rtl/>
        </w:rPr>
        <w:t>רמב</w:t>
      </w:r>
      <w:r w:rsidR="00213DA1">
        <w:rPr>
          <w:rtl/>
        </w:rPr>
        <w:t>”ם \נשים\</w:t>
      </w:r>
      <w:r>
        <w:rPr>
          <w:rtl/>
        </w:rPr>
        <w:t xml:space="preserve"> הלכות אישות פרק כה הלכה יב</w:t>
      </w:r>
      <w:r>
        <w:rPr>
          <w:rFonts w:hint="cs"/>
          <w:rtl/>
        </w:rPr>
        <w:t xml:space="preserve">] </w:t>
      </w:r>
      <w:r>
        <w:rPr>
          <w:rtl/>
        </w:rPr>
        <w:t>נעשה האיש מוכה שחין כופין אותו להוציא וליתן כתובה, ואף על פי שהיא רוצה לישב אין שומעין לה אלא מפרישין אותן בעל כרחן מפני שהיא ממיקתו, ואם אמרה אשב עמו בעדים כדי שלא יבא עליה שומעין לה.</w:t>
      </w:r>
    </w:p>
    <w:p w14:paraId="66BB6575" w14:textId="6E5D3B4E" w:rsidR="006D01B0" w:rsidRPr="006D01B0" w:rsidRDefault="007B1D87" w:rsidP="006D01B0">
      <w:pPr>
        <w:pStyle w:val="Style1"/>
      </w:pPr>
      <w:r>
        <w:rPr>
          <w:rFonts w:hint="cs"/>
          <w:rtl/>
        </w:rPr>
        <w:t>3)[</w:t>
      </w:r>
      <w:r>
        <w:rPr>
          <w:rtl/>
        </w:rPr>
        <w:t>שולחן ערוך אבן העזר הלכות גיטין סימן קנד סעיף א</w:t>
      </w:r>
      <w:r>
        <w:rPr>
          <w:rFonts w:hint="cs"/>
          <w:rtl/>
        </w:rPr>
        <w:t>]</w:t>
      </w:r>
      <w:r w:rsidR="006D01B0">
        <w:rPr>
          <w:rFonts w:hint="cs"/>
          <w:rtl/>
        </w:rPr>
        <w:t xml:space="preserve"> </w:t>
      </w:r>
      <w:r w:rsidR="006D01B0" w:rsidRPr="006D01B0">
        <w:rPr>
          <w:rtl/>
        </w:rPr>
        <w:t>אלו שכופין אותם להוציא וליתן כתובה: מי שנולד לו ריח הפה או ריח החטם, או שחזר להיות מקבץ צואת כלבים או בורסקי, או להיות מחתך נחשת מעיקרו. ואם רצתה תשב עם בעלה</w:t>
      </w:r>
      <w:r w:rsidR="006D01B0" w:rsidRPr="006D01B0">
        <w:t>. </w:t>
      </w:r>
      <w:r w:rsidR="006D01B0" w:rsidRPr="006D01B0">
        <w:rPr>
          <w:rFonts w:hint="cs"/>
          <w:rtl/>
        </w:rPr>
        <w:t>ואם ידעה בהן קודם שנשאת, אין כופין להוציא, דסברה וקבלה (טור בשם הרמ"ה)</w:t>
      </w:r>
      <w:r w:rsidR="006D01B0" w:rsidRPr="006D01B0">
        <w:t>.</w:t>
      </w:r>
    </w:p>
    <w:p w14:paraId="3E301E22" w14:textId="77777777" w:rsidR="006D01B0" w:rsidRPr="006D01B0" w:rsidRDefault="006D01B0" w:rsidP="006D01B0">
      <w:pPr>
        <w:pStyle w:val="Style1"/>
      </w:pPr>
      <w:r w:rsidRPr="006D01B0">
        <w:rPr>
          <w:rtl/>
        </w:rPr>
        <w:t>נעשה האיש מוכה שחין, כופין אותו להוציא וליתן כתובה; ואף על פי שהיא רוצה לישב עמו</w:t>
      </w:r>
      <w:r w:rsidRPr="006D01B0">
        <w:t>, </w:t>
      </w:r>
      <w:r w:rsidRPr="006D01B0">
        <w:rPr>
          <w:rFonts w:hint="cs"/>
          <w:rtl/>
        </w:rPr>
        <w:t>או שהתנה עמה קודם שנשאה</w:t>
      </w:r>
      <w:r w:rsidRPr="006D01B0">
        <w:t xml:space="preserve">, </w:t>
      </w:r>
      <w:r w:rsidRPr="006D01B0">
        <w:rPr>
          <w:rtl/>
        </w:rPr>
        <w:t>אין שומעין לה, אלא מפרישין אותם בעל כרחם, מפני שהיא ממיקתו. ואם אמרה: אשב עמו בעדים, כדי שלא יבא עלי, שומעין לה</w:t>
      </w:r>
      <w:r w:rsidRPr="006D01B0">
        <w:t>.</w:t>
      </w:r>
    </w:p>
    <w:p w14:paraId="5700D604" w14:textId="77777777" w:rsidR="006D01B0" w:rsidRPr="006D01B0" w:rsidRDefault="006D01B0" w:rsidP="006D01B0">
      <w:pPr>
        <w:pStyle w:val="Style1"/>
      </w:pPr>
      <w:r w:rsidRPr="006D01B0">
        <w:rPr>
          <w:rFonts w:hint="cs"/>
          <w:rtl/>
        </w:rPr>
        <w:t>הגה: יש אומרים דמומר כופין אותו על ידי כותים להוציא</w:t>
      </w:r>
      <w:r w:rsidRPr="006D01B0">
        <w:rPr>
          <w:rFonts w:hint="cs"/>
        </w:rPr>
        <w:t xml:space="preserve"> (</w:t>
      </w:r>
      <w:hyperlink r:id="rId189" w:tooltip="טור אבן העזר קלד" w:history="1">
        <w:r w:rsidRPr="006D01B0">
          <w:rPr>
            <w:rStyle w:val="Hyperlink"/>
            <w:rFonts w:hint="cs"/>
            <w:color w:val="7030A0"/>
            <w:u w:val="none"/>
            <w:rtl/>
          </w:rPr>
          <w:t>ב"י סימן קל"ד</w:t>
        </w:r>
      </w:hyperlink>
      <w:r w:rsidRPr="006D01B0">
        <w:rPr>
          <w:rFonts w:hint="cs"/>
        </w:rPr>
        <w:t> </w:t>
      </w:r>
      <w:r w:rsidRPr="006D01B0">
        <w:rPr>
          <w:rFonts w:hint="cs"/>
          <w:rtl/>
        </w:rPr>
        <w:t>בשם א"ח ובמרדכי פרק המגרש), ובלבד שיבטל בשעת הגט (שם במרדכי). ויש חולקים ואומרים דאין כופין למומר או שאר עובר על דת (תשובת מור"ם), אלא אם כן פושע לה, כגון שמאכילה דבר אסור (מהרי"ו סימן כ"ב), או שעבר על חרם ששעבד עצמו נגדה שלא להקניטה ושלא להכותה, או שנודר ואינו מקיים שבניו מתים בעון נדרים (הגהות מימוני סוף אישות</w:t>
      </w:r>
      <w:r w:rsidRPr="006D01B0">
        <w:rPr>
          <w:rFonts w:hint="cs"/>
        </w:rPr>
        <w:t>).</w:t>
      </w:r>
    </w:p>
    <w:p w14:paraId="561F4539" w14:textId="379374CD" w:rsidR="006D01B0" w:rsidRDefault="006D01B0" w:rsidP="006D01B0">
      <w:pPr>
        <w:pStyle w:val="Style1"/>
        <w:rPr>
          <w:rtl/>
        </w:rPr>
      </w:pPr>
      <w:r w:rsidRPr="006D01B0">
        <w:rPr>
          <w:rFonts w:hint="cs"/>
          <w:rtl/>
        </w:rPr>
        <w:t>מי שהוא רועה זונות ואשתו קובלת עליו, אם יש עדות בדבר, שראו אותו עם מנאפים או שהודה, יש אומרים שכופין אותו להוציא, אבל משום שמביאין לו ילדים כותים אין לחוש, דלמא משקרים עליו (חידושי אגדה דיבמות)</w:t>
      </w:r>
      <w:r w:rsidRPr="006D01B0">
        <w:t>:</w:t>
      </w:r>
    </w:p>
    <w:p w14:paraId="2EF4BCAF" w14:textId="5A3C24DC" w:rsidR="00701A97" w:rsidRDefault="00701A97" w:rsidP="00701A97">
      <w:pPr>
        <w:pStyle w:val="Style1"/>
        <w:rPr>
          <w:rtl/>
        </w:rPr>
      </w:pPr>
      <w:r>
        <w:rPr>
          <w:rFonts w:hint="cs"/>
          <w:rtl/>
        </w:rPr>
        <w:t>4)[</w:t>
      </w:r>
      <w:r>
        <w:rPr>
          <w:rtl/>
        </w:rPr>
        <w:t>רמב</w:t>
      </w:r>
      <w:r w:rsidR="00213DA1">
        <w:rPr>
          <w:rtl/>
        </w:rPr>
        <w:t>”ם \נשים\</w:t>
      </w:r>
      <w:r>
        <w:rPr>
          <w:rtl/>
        </w:rPr>
        <w:t xml:space="preserve"> הלכות אישות פרק כה הלכה יג</w:t>
      </w:r>
      <w:r>
        <w:rPr>
          <w:rFonts w:hint="cs"/>
          <w:rtl/>
        </w:rPr>
        <w:t xml:space="preserve">] </w:t>
      </w:r>
      <w:r>
        <w:rPr>
          <w:rtl/>
        </w:rPr>
        <w:t>מי שהיה בעלה בעל ריח הפה או ריח החוטם או מלקט צואת כלבים וכיוצא בהן ומת ונפלה לפני אחיו ויש בו אותו מום שהיה בבעלה, יכולה היא לומר לאחיך הייתי יכולה לקבל ולך איני יכולה לקבל ויחלוץ ויתן כתובה. בריך רחמנא דסייען.</w:t>
      </w:r>
    </w:p>
    <w:p w14:paraId="2940C545" w14:textId="344EA68F" w:rsidR="00BA6FE5" w:rsidRDefault="00BA6FE5" w:rsidP="00BA6FE5">
      <w:pPr>
        <w:pStyle w:val="Style1"/>
        <w:rPr>
          <w:rtl/>
        </w:rPr>
      </w:pPr>
      <w:r>
        <w:rPr>
          <w:rFonts w:hint="cs"/>
          <w:rtl/>
        </w:rPr>
        <w:t>4)[</w:t>
      </w:r>
      <w:r>
        <w:rPr>
          <w:rtl/>
        </w:rPr>
        <w:t>שולחן ערוך אבן העזר הלכות גיטין סימן קנד סעיף ב</w:t>
      </w:r>
      <w:r>
        <w:rPr>
          <w:rFonts w:hint="cs"/>
          <w:rtl/>
        </w:rPr>
        <w:t xml:space="preserve">] </w:t>
      </w:r>
      <w:r>
        <w:rPr>
          <w:rtl/>
        </w:rPr>
        <w:t>מי שהיה בעלה בעל ריח הפה או ריח החוטם, או מלקט צואת כלבים וכיוצא בה, ומת ונפלה לפני אחיו ויש בו אותו מום שהיה בבעלה, יכולה היא לומר: לאחיך הייתי יכולה לקבל ולך איני יכולה לקבל, ויחלוץ ויתן לה כתובה.</w:t>
      </w:r>
    </w:p>
    <w:p w14:paraId="09F78722" w14:textId="38499C6C" w:rsidR="00D73EC8" w:rsidRPr="00D73EC8" w:rsidRDefault="00FE2308" w:rsidP="00D73EC8">
      <w:pPr>
        <w:pStyle w:val="Style1"/>
      </w:pPr>
      <w:r>
        <w:rPr>
          <w:rFonts w:hint="cs"/>
          <w:rtl/>
        </w:rPr>
        <w:t>4)[</w:t>
      </w:r>
      <w:r>
        <w:rPr>
          <w:rtl/>
        </w:rPr>
        <w:t>שולחן ערוך אבן העזר הלכות יבום סימן קסה סעיף ד</w:t>
      </w:r>
      <w:r>
        <w:rPr>
          <w:rFonts w:hint="cs"/>
          <w:rtl/>
        </w:rPr>
        <w:t>]</w:t>
      </w:r>
      <w:r w:rsidR="00D73EC8">
        <w:rPr>
          <w:rFonts w:hint="cs"/>
          <w:rtl/>
        </w:rPr>
        <w:t xml:space="preserve"> </w:t>
      </w:r>
      <w:r w:rsidR="00D73EC8" w:rsidRPr="00D73EC8">
        <w:rPr>
          <w:rtl/>
        </w:rPr>
        <w:t>כל יבמה שדינה שתחלץ ולא תתיבם, הרי זו נוטלת כתובתה </w:t>
      </w:r>
      <w:r w:rsidR="00D73EC8" w:rsidRPr="00D73EC8">
        <w:rPr>
          <w:rFonts w:hint="cs"/>
          <w:rtl/>
        </w:rPr>
        <w:t>ושמין לה בגדים כמו לאלמנה</w:t>
      </w:r>
      <w:r w:rsidR="00D73EC8" w:rsidRPr="00D73EC8">
        <w:rPr>
          <w:rFonts w:hint="cs"/>
        </w:rPr>
        <w:t xml:space="preserve"> (</w:t>
      </w:r>
      <w:hyperlink r:id="rId190" w:tooltip="תשובות ריב&quot;ש/שכ" w:history="1">
        <w:r w:rsidR="00D73EC8" w:rsidRPr="00D73EC8">
          <w:rPr>
            <w:rStyle w:val="Hyperlink"/>
            <w:rFonts w:hint="cs"/>
            <w:color w:val="7030A0"/>
            <w:u w:val="none"/>
            <w:rtl/>
          </w:rPr>
          <w:t>ריב"ש סי' ש"כ</w:t>
        </w:r>
      </w:hyperlink>
      <w:r w:rsidR="00D73EC8" w:rsidRPr="00D73EC8">
        <w:rPr>
          <w:rFonts w:hint="cs"/>
        </w:rPr>
        <w:t>)</w:t>
      </w:r>
      <w:r w:rsidR="00D73EC8" w:rsidRPr="00D73EC8">
        <w:t xml:space="preserve">. </w:t>
      </w:r>
      <w:r w:rsidR="00D73EC8" w:rsidRPr="00D73EC8">
        <w:rPr>
          <w:rtl/>
        </w:rPr>
        <w:t>וכן אם היה יבמה מכה שחין או שאר מומי אנשים שנתבארו בסימן קנ"ד, חולץ לה ונוטלת כתובתה. ואפילו היו המומין ההם בבעלה, יכולה היא לומר: לאחיך הייתי יכולה לקבל ולך איני יכולה לקבל</w:t>
      </w:r>
      <w:r w:rsidR="00D73EC8" w:rsidRPr="00D73EC8">
        <w:t>.</w:t>
      </w:r>
    </w:p>
    <w:p w14:paraId="7807CF42" w14:textId="2FF76206" w:rsidR="00D73EC8" w:rsidRDefault="00D73EC8" w:rsidP="00D73EC8">
      <w:pPr>
        <w:pStyle w:val="Style1"/>
        <w:rPr>
          <w:rtl/>
        </w:rPr>
      </w:pPr>
      <w:r w:rsidRPr="00D73EC8">
        <w:rPr>
          <w:rFonts w:hint="cs"/>
          <w:rtl/>
        </w:rPr>
        <w:t xml:space="preserve">הגה: והוא הדין למאן דאמר מצות חליצה קודמת, אף על פי שאין כופין אותו לחלץ, צריך ליתן לה כתובתה מיד, שהרי דינה כחלוצה (תשובת ר"ד כהן). וכל זה מדינא, אבל הקהלות תקנו תקנה, אם יתרצו היבם והיבמה בחליצה, יחלקו כל הנכסים שהניח, ואפילו אין מגיע החצי לכדי כתובה, ומנכין לה מחלקה כל מה שבזבזה בחיי בעלה, וצריכה לשבע, אם לא שהתפשרו עצמם בלא שבועה. ומה שנתן הוא במתנת שכיב מרע, אין מנכין לה מחלקה כלום (מרדכי פרק החולץ). ואותו החצי שמגיע לחלק יורשי הבעל, נוטל החולץ, ואין לאב ולא לשאר אחין חלק בו. ואפילו תפסו, מוציאין מידן. דעקר התקנה היתה כדי שיתרצו בחליצה, ולכן החולץ עקר בזה (ת"ה סימן ר"כ). ואפילו אם רוצין שאר האחין לחלק עם גדול האחין, ואומרים שהם רוצים </w:t>
      </w:r>
      <w:r w:rsidRPr="00D73EC8">
        <w:rPr>
          <w:rFonts w:hint="cs"/>
          <w:rtl/>
        </w:rPr>
        <w:lastRenderedPageBreak/>
        <w:t>לחלץ, אין שומעין להם אם גדול האחין רוצה לחלץ. וכל זה שאין מגיעין חצי הנכסים לכדי כתובתה, דודאי אינה נוטלת יותר מכדי כתובתה. ויש דעות אחרות בענין תקנות הקהלות; על כן נוהגין להתפשר ביניהם, ואפילו יש לה שטר חליצה מן האחין צריכה להתפשר עמהם בממון, אם לא שפרשו בהדיא לחלץ לה בחנם (מהר"ם פדוואה סימן י"ז וכ"ג)</w:t>
      </w:r>
      <w:r w:rsidRPr="00D73EC8">
        <w:t>:</w:t>
      </w:r>
    </w:p>
    <w:p w14:paraId="4078414B" w14:textId="675B9093" w:rsidR="00C30F1E" w:rsidRDefault="00C30F1E" w:rsidP="00C30F1E">
      <w:pPr>
        <w:pStyle w:val="Style1"/>
        <w:rPr>
          <w:rtl/>
        </w:rPr>
      </w:pPr>
      <w:r>
        <w:rPr>
          <w:rFonts w:hint="cs"/>
          <w:rtl/>
        </w:rPr>
        <w:t>5)[</w:t>
      </w:r>
      <w:r>
        <w:rPr>
          <w:rtl/>
        </w:rPr>
        <w:t>רמב</w:t>
      </w:r>
      <w:r w:rsidR="00213DA1">
        <w:rPr>
          <w:rtl/>
        </w:rPr>
        <w:t>”ם \נשים\</w:t>
      </w:r>
      <w:r>
        <w:rPr>
          <w:rtl/>
        </w:rPr>
        <w:t xml:space="preserve"> הלכות אישות פרק יב הלכה ד</w:t>
      </w:r>
      <w:r>
        <w:rPr>
          <w:rFonts w:hint="cs"/>
          <w:rtl/>
        </w:rPr>
        <w:t xml:space="preserve">] </w:t>
      </w:r>
      <w:r>
        <w:rPr>
          <w:rtl/>
        </w:rPr>
        <w:t>ועוד תקנו חכמים שיהיו מעשה ידי האשה כנגד מזונותיה, ופדיונה כנגד אכילת פירות נכסיה, וקבורתה כנגד ירושתו לכתובתה, לפיכך אם אמרה האשה איני ניזונת ואיני עושה שומעין לה ואין כופין אותה, אבל אם אמר הבעל איני  זנך ואיני נוטל כלום ממעשה ידיך אין שומעין לו שמא לא יספיק לה מעשה ידיה במזונותיה, ומפני תקנה זו יחשבו המזונות מתנאי הכתובה.</w:t>
      </w:r>
    </w:p>
    <w:p w14:paraId="13F7DBEF" w14:textId="2EE51F94" w:rsidR="00064813" w:rsidRPr="00064813" w:rsidRDefault="000F0563" w:rsidP="00064813">
      <w:pPr>
        <w:pStyle w:val="Style1"/>
      </w:pPr>
      <w:r>
        <w:rPr>
          <w:rFonts w:hint="cs"/>
          <w:rtl/>
        </w:rPr>
        <w:t>5)[</w:t>
      </w:r>
      <w:r>
        <w:rPr>
          <w:rtl/>
        </w:rPr>
        <w:t>שולחן ערוך אבן העזר הלכות כתובות סימן ע סעיף ג</w:t>
      </w:r>
      <w:r>
        <w:rPr>
          <w:rFonts w:hint="cs"/>
          <w:rtl/>
        </w:rPr>
        <w:t>]</w:t>
      </w:r>
      <w:r w:rsidR="00064813">
        <w:rPr>
          <w:rFonts w:hint="cs"/>
          <w:rtl/>
        </w:rPr>
        <w:t xml:space="preserve"> </w:t>
      </w:r>
      <w:r w:rsidR="00064813" w:rsidRPr="00064813">
        <w:rPr>
          <w:rtl/>
        </w:rPr>
        <w:t>כמה מזונות פוסקים לאשה, לחם שתי סעודות בכל יום, ופרפרות לאכול בה הפת, ושמן לאכילה ולהדלקת הנר, ומעט יין לשתות, אם היה מנהג המקום שישתו הנשים יין</w:t>
      </w:r>
      <w:r w:rsidR="00064813" w:rsidRPr="00064813">
        <w:t>, </w:t>
      </w:r>
      <w:r w:rsidR="00064813" w:rsidRPr="00064813">
        <w:rPr>
          <w:rFonts w:hint="cs"/>
          <w:rtl/>
        </w:rPr>
        <w:t>ואם היתה מיניקה נותנים לה יין (טור)</w:t>
      </w:r>
      <w:r w:rsidR="00064813" w:rsidRPr="00064813">
        <w:t xml:space="preserve">; </w:t>
      </w:r>
      <w:r w:rsidR="00064813" w:rsidRPr="00064813">
        <w:rPr>
          <w:rtl/>
        </w:rPr>
        <w:t>ובשבת שלשה סעודות ובשר או דגים; ונותן לה בכל שבת מעה כסף לצרכיה</w:t>
      </w:r>
      <w:r w:rsidR="00064813" w:rsidRPr="00064813">
        <w:t>; </w:t>
      </w:r>
      <w:r w:rsidR="00064813" w:rsidRPr="00064813">
        <w:rPr>
          <w:rFonts w:hint="cs"/>
          <w:rtl/>
        </w:rPr>
        <w:t>ונותנין לה עץ לבשל מאכלה (הר"ן פרק אף על פי)</w:t>
      </w:r>
      <w:r w:rsidR="00064813" w:rsidRPr="00064813">
        <w:t xml:space="preserve">. </w:t>
      </w:r>
      <w:r w:rsidR="00064813" w:rsidRPr="00064813">
        <w:rPr>
          <w:rtl/>
        </w:rPr>
        <w:t>במה דברים אמורים, בעני שבישראל; אבל אם היה עשיר, הכל לפי עשרו</w:t>
      </w:r>
      <w:r w:rsidR="00064813" w:rsidRPr="00064813">
        <w:t>. </w:t>
      </w:r>
      <w:r w:rsidR="00064813" w:rsidRPr="00064813">
        <w:rPr>
          <w:rFonts w:hint="cs"/>
          <w:rtl/>
        </w:rPr>
        <w:t>צמצמה והותירו מאלו המזונות, הוא של בעל (טור)</w:t>
      </w:r>
      <w:r w:rsidR="00064813" w:rsidRPr="00064813">
        <w:t>.</w:t>
      </w:r>
    </w:p>
    <w:p w14:paraId="26BD1CBE" w14:textId="77777777" w:rsidR="00064813" w:rsidRPr="00064813" w:rsidRDefault="00064813" w:rsidP="00064813">
      <w:pPr>
        <w:pStyle w:val="Style1"/>
      </w:pPr>
      <w:r w:rsidRPr="00064813">
        <w:rPr>
          <w:rtl/>
        </w:rPr>
        <w:t>ואם היה עני ביותר ואינו יכול ליתן לה אפילו לחם שהיא צריכה, כופין אותו להוציא</w:t>
      </w:r>
      <w:r w:rsidRPr="00064813">
        <w:t>.</w:t>
      </w:r>
    </w:p>
    <w:p w14:paraId="4004725A" w14:textId="576D3D33" w:rsidR="00064813" w:rsidRDefault="00064813" w:rsidP="00064813">
      <w:pPr>
        <w:pStyle w:val="Style1"/>
        <w:rPr>
          <w:rtl/>
        </w:rPr>
      </w:pPr>
      <w:r w:rsidRPr="00064813">
        <w:rPr>
          <w:rFonts w:hint="cs"/>
          <w:rtl/>
        </w:rPr>
        <w:t>הגה: ותהא כתובתה עליו חוב עד שימצא ויתן (טור בשם הרמב"ם). ויש אומרים שאין כופין אותו להוציא, מאחר שאין לו (ר"י בשם רבנו תם)</w:t>
      </w:r>
      <w:r w:rsidRPr="00064813">
        <w:rPr>
          <w:rFonts w:hint="cs"/>
        </w:rPr>
        <w:t>.</w:t>
      </w:r>
      <w:r w:rsidRPr="00064813">
        <w:rPr>
          <w:rFonts w:hint="cs"/>
        </w:rPr>
        <w:br/>
      </w:r>
      <w:r w:rsidRPr="00064813">
        <w:rPr>
          <w:rFonts w:hint="cs"/>
          <w:rtl/>
        </w:rPr>
        <w:t>מי שאין לו מזונות אלא חד יומא, חייב לזון מנה את אשתו או למיכל בהדה (טור בשם הרמ"ה). ויש אומרים עוד, דחייב להשכיר עצמו כפועל ולזון אשתו (טור בשם ר' אליה ומוהר"ם בשם רבי' שבצרפת). היה לו קרקעות, הרשות ביד האשה ליקח מזונותיה מפירות הקרקעות או מגוף הקרקעות, או צריך למכרן (רשב"א סימן תת"ץ)</w:t>
      </w:r>
      <w:r w:rsidRPr="00064813">
        <w:t>:</w:t>
      </w:r>
    </w:p>
    <w:p w14:paraId="01ACC4C2" w14:textId="48329464" w:rsidR="000C74FF" w:rsidRPr="000C74FF" w:rsidRDefault="0079215B" w:rsidP="000C74FF">
      <w:pPr>
        <w:pStyle w:val="Style1"/>
      </w:pPr>
      <w:r>
        <w:rPr>
          <w:rFonts w:hint="cs"/>
          <w:rtl/>
        </w:rPr>
        <w:t>5)[</w:t>
      </w:r>
      <w:r>
        <w:rPr>
          <w:rtl/>
        </w:rPr>
        <w:t>שולחן ערוך אבן העזר הלכות גיטין סימן קנד סעיף ג</w:t>
      </w:r>
      <w:r>
        <w:rPr>
          <w:rFonts w:hint="cs"/>
          <w:rtl/>
        </w:rPr>
        <w:t>]</w:t>
      </w:r>
      <w:r w:rsidR="000C74FF">
        <w:rPr>
          <w:rFonts w:hint="cs"/>
          <w:rtl/>
        </w:rPr>
        <w:t xml:space="preserve"> </w:t>
      </w:r>
      <w:r w:rsidR="000C74FF" w:rsidRPr="000C74FF">
        <w:rPr>
          <w:rtl/>
        </w:rPr>
        <w:t>האומר: איני זן ואיני מפרנס, כופין אותו לזון. ואם אין בית דין יכולים לכופו לזון, כגון שאין לו במה לפרנס ואינו רוצה להשתכר להרויח ולזון, אם תרצה היא, כופין אותו להוציא מיד וליתן כתובה. וכן הדין למי שאינו רוצה לשמש</w:t>
      </w:r>
      <w:r w:rsidR="000C74FF" w:rsidRPr="000C74FF">
        <w:t>.</w:t>
      </w:r>
    </w:p>
    <w:p w14:paraId="5C04EFFC" w14:textId="77777777" w:rsidR="000C74FF" w:rsidRPr="000C74FF" w:rsidRDefault="000C74FF" w:rsidP="000C74FF">
      <w:pPr>
        <w:pStyle w:val="Style1"/>
      </w:pPr>
      <w:r w:rsidRPr="000C74FF">
        <w:rPr>
          <w:rFonts w:hint="cs"/>
          <w:rtl/>
        </w:rPr>
        <w:t>הגה: וכן איש שרגיל לכעוס ולהוציא אשתו מביתו תמיד, כופין אותו להוציא, כי על ידי זה אינו זנה לפעמים ופורש ממנה בתשמיש יותר מעונתה והוי כמורד ממזונות ותשמיש (תשובת הרשב"א סימן תרצ"ג). ועיין לעיל </w:t>
      </w:r>
      <w:hyperlink r:id="rId191" w:tooltip="שולחן ערוך אבן העזר ע" w:history="1">
        <w:r w:rsidRPr="000C74FF">
          <w:rPr>
            <w:rStyle w:val="Hyperlink"/>
            <w:rFonts w:hint="cs"/>
            <w:color w:val="7030A0"/>
            <w:u w:val="none"/>
            <w:rtl/>
          </w:rPr>
          <w:t>סימן ע</w:t>
        </w:r>
        <w:r w:rsidRPr="000C74FF">
          <w:rPr>
            <w:rStyle w:val="Hyperlink"/>
            <w:rFonts w:hint="cs"/>
            <w:color w:val="7030A0"/>
            <w:u w:val="none"/>
          </w:rPr>
          <w:t>'</w:t>
        </w:r>
      </w:hyperlink>
      <w:r w:rsidRPr="000C74FF">
        <w:rPr>
          <w:rFonts w:hint="cs"/>
        </w:rPr>
        <w:t> </w:t>
      </w:r>
      <w:r w:rsidRPr="000C74FF">
        <w:rPr>
          <w:rFonts w:hint="cs"/>
          <w:rtl/>
        </w:rPr>
        <w:t>ו</w:t>
      </w:r>
      <w:hyperlink r:id="rId192" w:tooltip="שולחן ערוך אבן העזר עז" w:history="1">
        <w:r w:rsidRPr="000C74FF">
          <w:rPr>
            <w:rStyle w:val="Hyperlink"/>
            <w:rFonts w:hint="cs"/>
            <w:color w:val="7030A0"/>
            <w:u w:val="none"/>
            <w:rtl/>
          </w:rPr>
          <w:t>סימן ע"ז</w:t>
        </w:r>
      </w:hyperlink>
      <w:r w:rsidRPr="000C74FF">
        <w:rPr>
          <w:rFonts w:hint="cs"/>
        </w:rPr>
        <w:t>.</w:t>
      </w:r>
    </w:p>
    <w:p w14:paraId="44778884" w14:textId="43DA7BAD" w:rsidR="000C74FF" w:rsidRDefault="000C74FF" w:rsidP="000C74FF">
      <w:pPr>
        <w:pStyle w:val="Style1"/>
        <w:rPr>
          <w:rtl/>
        </w:rPr>
      </w:pPr>
      <w:r w:rsidRPr="000C74FF">
        <w:rPr>
          <w:rFonts w:hint="cs"/>
          <w:rtl/>
        </w:rPr>
        <w:t>איש המכה אשתו, עבירה היא בידו כמכה חברו. ואם רגיל הוא בכך, יש ביד בית דין ליסרו ולהחרימו ולהלקותו בכל מיני רידוי וכפייה, ולהשביעו שלא יעשה עוד, ואם אינו ציית לדברי הבית דין יש אומרים שכופין אותו להוציא, ובלבד שמתרין בו תחלה פעם אחת או שתים כי אינו מדרך בני ישראל להכות נשותיהם, ומעשה כותים הוא. וכל זה כשהוא מתחיל, אבל אם מקללתו בחנם או מזלזלת אביו ואמו, והוכיחה בדברים ואינה משגחת עליו, יש אומרים דמותר להכותה, ויש אומרים דאפילו אשה רעה אסור להכותה. והסברא ראשונה היא עיקר. ואם אינו ידוע מי הגורם, אין הבעל נאמן לומר שהיא המתחלת, שכל הנשים בחזקת כשרות, ומושיבין ביניהן אחרות לראות בשל מי הרעה הזאת, ואם היא מקללתו חנם, יוצאת בלא כתובה. ונראה לי, דוקא ברגילה בכך, ואחר ההתראה, וכמו שנתבאר לעיל </w:t>
      </w:r>
      <w:hyperlink r:id="rId193" w:tooltip="שולחן ערוך אבן העזר קטו" w:history="1">
        <w:r w:rsidRPr="000C74FF">
          <w:rPr>
            <w:rStyle w:val="Hyperlink"/>
            <w:rFonts w:hint="cs"/>
            <w:color w:val="7030A0"/>
            <w:u w:val="none"/>
            <w:rtl/>
          </w:rPr>
          <w:t>סימן קט"ו</w:t>
        </w:r>
      </w:hyperlink>
      <w:r w:rsidRPr="000C74FF">
        <w:rPr>
          <w:rFonts w:hint="cs"/>
        </w:rPr>
        <w:t xml:space="preserve">. </w:t>
      </w:r>
      <w:r w:rsidRPr="000C74FF">
        <w:rPr>
          <w:rFonts w:hint="cs"/>
          <w:rtl/>
        </w:rPr>
        <w:t>ואם הלכה מביתו ולותה ואכלה, אם יצתה מכח שהכה אותה תמיד, חייב לשלם (כל דברי הג"ה זו תמצא במרדכי פרק נערה בשם מוהר"ם וב"ז סימן פ"ח), וכמו שנתבאר לעיל </w:t>
      </w:r>
      <w:hyperlink r:id="rId194" w:tooltip="שולחן ערוך אבן העזר ע" w:history="1">
        <w:r w:rsidRPr="000C74FF">
          <w:rPr>
            <w:rStyle w:val="Hyperlink"/>
            <w:rFonts w:hint="cs"/>
            <w:color w:val="7030A0"/>
            <w:u w:val="none"/>
            <w:rtl/>
          </w:rPr>
          <w:t>סימן ע</w:t>
        </w:r>
        <w:r w:rsidRPr="000C74FF">
          <w:rPr>
            <w:rStyle w:val="Hyperlink"/>
            <w:rFonts w:hint="cs"/>
            <w:color w:val="7030A0"/>
            <w:u w:val="none"/>
          </w:rPr>
          <w:t>'</w:t>
        </w:r>
      </w:hyperlink>
      <w:r w:rsidRPr="000C74FF">
        <w:t>:</w:t>
      </w:r>
    </w:p>
    <w:p w14:paraId="2FC76EA5" w14:textId="57019059" w:rsidR="007C400C" w:rsidRDefault="007C400C" w:rsidP="007C400C">
      <w:pPr>
        <w:pStyle w:val="Style1"/>
        <w:rPr>
          <w:rtl/>
        </w:rPr>
      </w:pPr>
      <w:r>
        <w:rPr>
          <w:rFonts w:hint="cs"/>
          <w:rtl/>
        </w:rPr>
        <w:t>6)[</w:t>
      </w:r>
      <w:r>
        <w:rPr>
          <w:rtl/>
        </w:rPr>
        <w:t>רמב</w:t>
      </w:r>
      <w:r w:rsidR="00213DA1">
        <w:rPr>
          <w:rtl/>
        </w:rPr>
        <w:t>”ם \קדושה\</w:t>
      </w:r>
      <w:r>
        <w:rPr>
          <w:rtl/>
        </w:rPr>
        <w:t xml:space="preserve"> הלכות איסורי ביאה פרק יז הלכה ז</w:t>
      </w:r>
      <w:r>
        <w:rPr>
          <w:rFonts w:hint="cs"/>
          <w:rtl/>
        </w:rPr>
        <w:t xml:space="preserve">] </w:t>
      </w:r>
      <w:r>
        <w:rPr>
          <w:rtl/>
        </w:rPr>
        <w:t>החלוצה אסורה לכהן מד"ס מפני שהיא כגרושה ומכין אותו מכת מרדות מדבריהם, כהן שנשא ספק חלוצה אין מוציאין אותה מתחתיו והיא כשרה וולדה כשר, מפני שלא גזרו על ספק חלוצה אלא על חלוצה ודאית, וכן מי שהיתה ספק גרושה או ספק אלמנה או ספק זונה וספק חללה מכין אותו מכת מרדות ומוציא בגט.</w:t>
      </w:r>
    </w:p>
    <w:p w14:paraId="6167C04B" w14:textId="74D83F20" w:rsidR="005F4721" w:rsidRPr="005F4721" w:rsidRDefault="00B1655B" w:rsidP="005F4721">
      <w:pPr>
        <w:pStyle w:val="Style1"/>
      </w:pPr>
      <w:r>
        <w:rPr>
          <w:rFonts w:hint="cs"/>
          <w:rtl/>
        </w:rPr>
        <w:t>6)[</w:t>
      </w:r>
      <w:r>
        <w:rPr>
          <w:rtl/>
        </w:rPr>
        <w:t>שולחן ערוך אבן העזר הלכות פריה ורביה סימן ו סעיף א</w:t>
      </w:r>
      <w:r>
        <w:rPr>
          <w:rFonts w:hint="cs"/>
          <w:rtl/>
        </w:rPr>
        <w:t>]</w:t>
      </w:r>
      <w:r w:rsidR="005F4721">
        <w:rPr>
          <w:rFonts w:hint="cs"/>
          <w:rtl/>
        </w:rPr>
        <w:t xml:space="preserve">  </w:t>
      </w:r>
      <w:r w:rsidR="005F4721" w:rsidRPr="005F4721">
        <w:rPr>
          <w:rtl/>
        </w:rPr>
        <w:t>כהן אסור מן התורה בגרושה, זונה וחללה, ואסור בחלוצה מדרבנן. לפיכך אם עבר ונשא ספק חלוצה, אין צריך להוציא. אבל גרושה, אפילו אינה אלא ספק גרושה, צריך להוציא בין שנתגרשה מן האירוסין בין שנתגרשה מן הנשואין. ואפילו ריח גט פוסל בכהונה וכופין אותו להוציא. והיכי דמי ריח גט, כגון שאמר לה: הרי את מגורשת ממני ואי את מותרת לכל אדם, ואע"פ שלא הותרה בזה הגט, נפסלה לכהונה</w:t>
      </w:r>
      <w:r w:rsidR="005F4721" w:rsidRPr="005F4721">
        <w:t>.</w:t>
      </w:r>
    </w:p>
    <w:p w14:paraId="6448F5F4" w14:textId="77777777" w:rsidR="005F4721" w:rsidRPr="005F4721" w:rsidRDefault="005F4721" w:rsidP="005F4721">
      <w:pPr>
        <w:pStyle w:val="Style1"/>
      </w:pPr>
      <w:r w:rsidRPr="005F4721">
        <w:rPr>
          <w:rFonts w:hint="cs"/>
        </w:rPr>
        <w:t>(</w:t>
      </w:r>
      <w:r w:rsidRPr="005F4721">
        <w:rPr>
          <w:rFonts w:hint="cs"/>
          <w:rtl/>
        </w:rPr>
        <w:t>ואפילו לא נתגרשה רק משום קול קידושין בעלמא, אע"פ שהוא ברור שאין ממש באותן קידושין ואין נותנין גט רק מכח חומרא בעלמא, אפילו הכי פסולה לכהונה</w:t>
      </w:r>
      <w:r w:rsidRPr="005F4721">
        <w:rPr>
          <w:rFonts w:hint="cs"/>
        </w:rPr>
        <w:t>)</w:t>
      </w:r>
      <w:r w:rsidRPr="005F4721">
        <w:t>.</w:t>
      </w:r>
    </w:p>
    <w:p w14:paraId="5E108361" w14:textId="38D09D07" w:rsidR="005F4721" w:rsidRDefault="005F4721" w:rsidP="005F4721">
      <w:pPr>
        <w:pStyle w:val="Style1"/>
        <w:rPr>
          <w:rtl/>
        </w:rPr>
      </w:pPr>
      <w:r w:rsidRPr="005F4721">
        <w:rPr>
          <w:rtl/>
        </w:rPr>
        <w:t>אבל אם נתן לה גט על תנאי ולא נתקיים התנאי, אינו כלום ואינו פוסל. ורשאי הכהן לכתחלה לגרש על תנאי</w:t>
      </w:r>
      <w:r w:rsidRPr="005F4721">
        <w:t>:</w:t>
      </w:r>
    </w:p>
    <w:p w14:paraId="3624F980" w14:textId="65EC7543" w:rsidR="006F1D03" w:rsidRDefault="006F1D03" w:rsidP="006F1D03">
      <w:pPr>
        <w:pStyle w:val="Style1"/>
        <w:rPr>
          <w:rtl/>
        </w:rPr>
      </w:pPr>
      <w:r>
        <w:rPr>
          <w:rFonts w:hint="cs"/>
          <w:rtl/>
        </w:rPr>
        <w:t>6)[</w:t>
      </w:r>
      <w:r>
        <w:rPr>
          <w:rtl/>
        </w:rPr>
        <w:t>שולחן ערוך אבן העזר הלכות פריה ורביה סימן ו סעיף ו</w:t>
      </w:r>
      <w:r>
        <w:rPr>
          <w:rFonts w:hint="cs"/>
          <w:rtl/>
        </w:rPr>
        <w:t xml:space="preserve">] </w:t>
      </w:r>
      <w:r>
        <w:rPr>
          <w:rtl/>
        </w:rPr>
        <w:t>כהן שנשא אחת מהפסולות, מחרימין אותם ומחרימין כל הנושא ונותן עמהן וכיוצא בחומרות אלו, עד שיגרשנה.</w:t>
      </w:r>
    </w:p>
    <w:p w14:paraId="3B5B7643" w14:textId="563913BA" w:rsidR="0086194D" w:rsidRDefault="0086194D" w:rsidP="0086194D">
      <w:pPr>
        <w:pStyle w:val="Style1"/>
        <w:rPr>
          <w:rtl/>
        </w:rPr>
      </w:pPr>
      <w:r>
        <w:rPr>
          <w:rFonts w:hint="cs"/>
          <w:rtl/>
        </w:rPr>
        <w:t>7)[</w:t>
      </w:r>
      <w:r>
        <w:rPr>
          <w:rtl/>
        </w:rPr>
        <w:t>רמב</w:t>
      </w:r>
      <w:r w:rsidR="00213DA1">
        <w:rPr>
          <w:rtl/>
        </w:rPr>
        <w:t>”ם \נשים\</w:t>
      </w:r>
      <w:r>
        <w:rPr>
          <w:rtl/>
        </w:rPr>
        <w:t xml:space="preserve"> הלכות אישות פרק טו הלכה ז</w:t>
      </w:r>
      <w:r>
        <w:rPr>
          <w:rFonts w:hint="cs"/>
          <w:rtl/>
        </w:rPr>
        <w:t xml:space="preserve">] </w:t>
      </w:r>
      <w:r>
        <w:rPr>
          <w:rtl/>
        </w:rPr>
        <w:t>לא ישא אדם עקרה וזקנה ואילונית וקטנה שאינה ראויה לילד אלא אם כן קיים מצות פריה ורביה או שהיתה לו אשה אחרת לפרות ולרבות ממנה. נשא אשה ושהתה עמו עשר שנים ולא ילדה הרי זה יוציא ויתן כתובה או ישא אשה הראויה לילד, ואם לא רצה להוציא כופין אותו ומכין אותו בשוט עד שיוציא, ואם אמר איני בועלה והריני שוכן עמה בפני עדים כדי שלא אתיחד עמה בין שאמרה היא בין שאמר הוא אין שומעין להן אלא יוציא או ישא אשה הראויה לילד.</w:t>
      </w:r>
    </w:p>
    <w:p w14:paraId="424F762A" w14:textId="2C8E6AF2" w:rsidR="00473520" w:rsidRPr="00473520" w:rsidRDefault="00BA3751" w:rsidP="00473520">
      <w:pPr>
        <w:pStyle w:val="Style1"/>
      </w:pPr>
      <w:r>
        <w:rPr>
          <w:rFonts w:hint="cs"/>
          <w:rtl/>
        </w:rPr>
        <w:t>7)[</w:t>
      </w:r>
      <w:r>
        <w:rPr>
          <w:rtl/>
        </w:rPr>
        <w:t>שולחן ערוך אבן העזר הלכות גיטין סימן קנד סעיף ו</w:t>
      </w:r>
      <w:r>
        <w:rPr>
          <w:rFonts w:hint="cs"/>
          <w:rtl/>
        </w:rPr>
        <w:t>]</w:t>
      </w:r>
      <w:r w:rsidR="00473520" w:rsidRPr="00473520">
        <w:rPr>
          <w:rtl/>
        </w:rPr>
        <w:t>האשה שתובעת גט בטענה שאינה ראויה לבנות ממנו, אין שומעין לה. ואם טענה שחפצה לילד כדי שיהיה לה בן שתשען עליו</w:t>
      </w:r>
      <w:r w:rsidR="00473520" w:rsidRPr="00473520">
        <w:t>, </w:t>
      </w:r>
      <w:r w:rsidR="00473520" w:rsidRPr="00473520">
        <w:rPr>
          <w:rFonts w:hint="cs"/>
          <w:rtl/>
        </w:rPr>
        <w:t>ואין לה כבר שום בן</w:t>
      </w:r>
      <w:r w:rsidR="00473520" w:rsidRPr="00473520">
        <w:t xml:space="preserve">, </w:t>
      </w:r>
      <w:r w:rsidR="00473520" w:rsidRPr="00473520">
        <w:rPr>
          <w:rtl/>
        </w:rPr>
        <w:t>ואומרת שהוא גורם שאינו יורה כחץ, אם שהתה עמו עשר שנים ולא נתעברה, ואינה תובעת כתובתה כדי שנחוש שתובעת גט כדי לגבות כתובתה, וגם אין לתלות תביעת הגט בשום דבר אחר, שומעין לה, אפילו יש לו בנים מאשה אחרת, דשמא נתקלקל אחר כך, וכופין אותו להוציא, ויתן מנה מאתים, אבל לא תוספת, ויתן נדוניתא מה שהכניסה לו. ויש לו להחרים סתם על מה שטוענת דבר שאינה יודעת בו בודאי, ואחר כך יתן כתובה. ואם אמר אשא אשה אחרת עליה ואבדק עצמי, שומעין לו. ואם ילדה השניה, תצא הראשונה בלא כתובה, ואם לאו יוציא שתיהן ויתן כתובה, או ישא שלישית, אם אפשר לה למיקם בספוקייהו. ויש מי שאומר, שאם אמרה גם השניה שאינו יורה כחץ, יוציא שתיהן ויתן כתובה. ובכל גוונא, אם ידוע שהוא עקר, והיא באה מחמת טענה, יוציא מיד</w:t>
      </w:r>
      <w:r w:rsidR="00473520" w:rsidRPr="00473520">
        <w:t>.</w:t>
      </w:r>
    </w:p>
    <w:p w14:paraId="7D750DF5" w14:textId="73304017" w:rsidR="00473520" w:rsidRDefault="00473520" w:rsidP="00473520">
      <w:pPr>
        <w:pStyle w:val="Style1"/>
        <w:rPr>
          <w:rtl/>
        </w:rPr>
      </w:pPr>
      <w:r w:rsidRPr="00473520">
        <w:rPr>
          <w:rFonts w:hint="cs"/>
          <w:rtl/>
        </w:rPr>
        <w:t>הגה: והוא הדין אם שהה י' שנים ולא ילדה, ובאה מחמת טענה, שכופין אותו להוציא וליתן כתובה, והתם לא מהני מה שאומר: אבדק עצמי ואשא אחרת, דמכל מקום לא אבדה הראשונה כתובתה, הואיל ולא הוחזקה בג' אנשים. והא דצריכה לטעון שאינו יורה כחץ, היינו שידוע שהיו לו כבר בנים, אז תלינן בדידה אם לא שטוענת שאינו יורה כחץ, או בבעל השלישי שכבר הוחזקה כך נראה סברת הטור והוא מסקנת התוס' והאשר"י</w:t>
      </w:r>
      <w:r w:rsidRPr="00473520">
        <w:t>:</w:t>
      </w:r>
    </w:p>
    <w:p w14:paraId="43094203" w14:textId="18A8514E" w:rsidR="005B2D31" w:rsidRDefault="005B4BBA" w:rsidP="005B2D31">
      <w:pPr>
        <w:pStyle w:val="Style1"/>
        <w:rPr>
          <w:rtl/>
        </w:rPr>
      </w:pPr>
      <w:r>
        <w:rPr>
          <w:rFonts w:hint="cs"/>
          <w:rtl/>
        </w:rPr>
        <w:t>7)[</w:t>
      </w:r>
      <w:r>
        <w:rPr>
          <w:rtl/>
        </w:rPr>
        <w:t>שולחן ערוך אבן העזר הלכות גיטין סימן קנד סעיף י</w:t>
      </w:r>
      <w:r>
        <w:rPr>
          <w:rFonts w:hint="cs"/>
          <w:rtl/>
        </w:rPr>
        <w:t>]</w:t>
      </w:r>
      <w:r w:rsidR="005B2D31">
        <w:rPr>
          <w:rFonts w:hint="cs"/>
          <w:rtl/>
        </w:rPr>
        <w:t xml:space="preserve"> </w:t>
      </w:r>
      <w:r w:rsidR="005B2D31" w:rsidRPr="005B2D31">
        <w:rPr>
          <w:rtl/>
        </w:rPr>
        <w:t>נשא אשה ושהתה עמו עשר שנים ולא ילדה, יוציא ויתן כתובה או ישא אשה הראויה לילד. ואם לא רצה, כופין אותו עד שיוציא. ואם אמר: איני בועלה והריני שוכן עמה בפני עדים כדי שלא אתיחד עמה, בין שאמרה היא בין שאמר הוא, אין שומעין לו, אלא יוציא וישא אשה הראויה ללדת</w:t>
      </w:r>
      <w:r w:rsidR="005B2D31" w:rsidRPr="005B2D31">
        <w:t>.</w:t>
      </w:r>
    </w:p>
    <w:p w14:paraId="36AC9866" w14:textId="77777777" w:rsidR="002165BA" w:rsidRPr="00473520" w:rsidRDefault="002165BA" w:rsidP="00473520">
      <w:pPr>
        <w:pStyle w:val="Style1"/>
        <w:rPr>
          <w:rStyle w:val="Style1Char"/>
          <w:rtl/>
        </w:rPr>
      </w:pPr>
      <w:r w:rsidRPr="00473520">
        <w:rPr>
          <w:rStyle w:val="Style1Char"/>
          <w:rtl/>
        </w:rPr>
        <w:br w:type="page"/>
      </w:r>
    </w:p>
    <w:p w14:paraId="165F5EF1" w14:textId="77777777" w:rsidR="002165BA" w:rsidRDefault="002165BA" w:rsidP="002165BA">
      <w:pPr>
        <w:bidi/>
        <w:rPr>
          <w:rStyle w:val="Style1Char"/>
          <w:color w:val="00B050"/>
          <w:rtl/>
        </w:rPr>
      </w:pPr>
      <w:r w:rsidRPr="0091453F">
        <w:rPr>
          <w:rStyle w:val="Style1Char"/>
          <w:color w:val="00B050"/>
          <w:sz w:val="22"/>
          <w:szCs w:val="22"/>
          <w:highlight w:val="yellow"/>
          <w:rtl/>
        </w:rPr>
        <w:lastRenderedPageBreak/>
        <w:t>[דף עז עמוד ב]</w:t>
      </w:r>
      <w:r w:rsidRPr="0091453F">
        <w:rPr>
          <w:rStyle w:val="Style1Char"/>
          <w:color w:val="00B050"/>
          <w:sz w:val="22"/>
          <w:szCs w:val="22"/>
          <w:rtl/>
        </w:rPr>
        <w:t xml:space="preserve"> </w:t>
      </w:r>
      <w:r w:rsidRPr="00657C31">
        <w:rPr>
          <w:rStyle w:val="Style1Char"/>
          <w:color w:val="00B050"/>
          <w:rtl/>
        </w:rPr>
        <w:t xml:space="preserve">התם </w:t>
      </w:r>
      <w:r w:rsidRPr="00256F36">
        <w:rPr>
          <w:rStyle w:val="Style1Char"/>
          <w:color w:val="00B050"/>
          <w:rtl/>
        </w:rPr>
        <w:t xml:space="preserve">כי אמרה הוינא בהדיה - שבקינן לה, הכא אף על גב דאמרה הוינא בהדיה - לא שבקינן לה. </w:t>
      </w:r>
      <w:r w:rsidRPr="00657C31">
        <w:rPr>
          <w:rStyle w:val="Style1Char"/>
          <w:color w:val="00B050"/>
          <w:rtl/>
        </w:rPr>
        <w:t xml:space="preserve">והרי מוכה שחין, דאף על גב דאמרה הוינא בהדיה - לא שבקינן לה, דתנן: חוץ ממוכה שחין מפני שממקתו, וקתני! התם </w:t>
      </w:r>
      <w:r w:rsidRPr="004D42A7">
        <w:rPr>
          <w:rStyle w:val="Style1Char"/>
          <w:color w:val="806000" w:themeColor="accent4" w:themeShade="80"/>
          <w:sz w:val="22"/>
          <w:szCs w:val="22"/>
          <w:rtl/>
        </w:rPr>
        <w:t xml:space="preserve">מוכה שחין </w:t>
      </w:r>
      <w:r w:rsidRPr="004D42A7">
        <w:rPr>
          <w:rStyle w:val="Style1Char"/>
          <w:color w:val="auto"/>
          <w:sz w:val="22"/>
          <w:szCs w:val="22"/>
          <w:rtl/>
        </w:rPr>
        <w:t>כי אמרה דיירנא בהדיה בסהדי - שבקינן לה</w:t>
      </w:r>
      <w:r w:rsidRPr="00657C31">
        <w:rPr>
          <w:rStyle w:val="Style1Char"/>
          <w:color w:val="00B050"/>
          <w:rtl/>
        </w:rPr>
        <w:t xml:space="preserve">, </w:t>
      </w:r>
      <w:r w:rsidRPr="004D42A7">
        <w:rPr>
          <w:rStyle w:val="Style1Char"/>
          <w:color w:val="4472C4" w:themeColor="accent1"/>
          <w:sz w:val="22"/>
          <w:szCs w:val="22"/>
          <w:rtl/>
        </w:rPr>
        <w:t xml:space="preserve">אבל </w:t>
      </w:r>
      <w:r w:rsidRPr="00657C31">
        <w:rPr>
          <w:rStyle w:val="Style1Char"/>
          <w:color w:val="00B050"/>
          <w:rtl/>
        </w:rPr>
        <w:t xml:space="preserve">הכא </w:t>
      </w:r>
      <w:r w:rsidRPr="004D42A7">
        <w:rPr>
          <w:rStyle w:val="Style1Char"/>
          <w:color w:val="806000" w:themeColor="accent4" w:themeShade="80"/>
          <w:sz w:val="22"/>
          <w:szCs w:val="22"/>
          <w:rtl/>
        </w:rPr>
        <w:t xml:space="preserve">ומי שנשא אשה ושהה עמה עשר שנים ולא ילדה </w:t>
      </w:r>
      <w:r w:rsidRPr="004D42A7">
        <w:rPr>
          <w:rStyle w:val="Style1Char"/>
          <w:color w:val="auto"/>
          <w:sz w:val="22"/>
          <w:szCs w:val="22"/>
          <w:rtl/>
        </w:rPr>
        <w:t>אף על גב דאמרה דיירנא בהדיה בסהדי - לא שבקינן לה</w:t>
      </w:r>
      <w:r w:rsidRPr="008500F2">
        <w:rPr>
          <w:rStyle w:val="Style1Char"/>
          <w:color w:val="C00000"/>
          <w:rtl/>
        </w:rPr>
        <w:t xml:space="preserve"> </w:t>
      </w:r>
      <w:r w:rsidRPr="00256BDD">
        <w:rPr>
          <w:rStyle w:val="Style1Char"/>
          <w:color w:val="4472C4" w:themeColor="accent1"/>
          <w:sz w:val="22"/>
          <w:szCs w:val="22"/>
          <w:rtl/>
        </w:rPr>
        <w:t>דכל כמה דאגידא ביה לא יהבי ליה איתתא אחריתי</w:t>
      </w:r>
      <w:r w:rsidRPr="00256BDD">
        <w:rPr>
          <w:rStyle w:val="Style1Char"/>
          <w:color w:val="C00000"/>
          <w:sz w:val="22"/>
          <w:szCs w:val="22"/>
          <w:rtl/>
        </w:rPr>
        <w:t xml:space="preserve"> </w:t>
      </w:r>
      <w:r w:rsidRPr="00256BDD">
        <w:rPr>
          <w:rStyle w:val="Style1Char"/>
          <w:color w:val="806000" w:themeColor="accent4" w:themeShade="80"/>
          <w:rtl/>
        </w:rPr>
        <w:t>אלא יוציא ויתן כתובה ומותרת לינשא לאחר אף על פי שאין לו בנים כדגרסי' בפ' הבא על יבמתו [יבמות ס"ה ע"א] ת"ר נשאת לראשון ולא היו לו בנים לשני ולא היו לו בנים לשלישי לא תנשא אלא למי שיש לו בנים ואם נשאת למי שאין לו בנים תצא בלא כתובה:</w:t>
      </w:r>
      <w:r w:rsidRPr="00256BDD">
        <w:rPr>
          <w:rStyle w:val="Style1Char"/>
          <w:color w:val="806000" w:themeColor="accent4" w:themeShade="80"/>
          <w:sz w:val="22"/>
          <w:szCs w:val="22"/>
          <w:rtl/>
        </w:rPr>
        <w:t>.</w:t>
      </w:r>
      <w:r w:rsidRPr="00256BDD">
        <w:rPr>
          <w:rStyle w:val="Style1Char"/>
          <w:color w:val="806000" w:themeColor="accent4" w:themeShade="80"/>
          <w:sz w:val="32"/>
          <w:szCs w:val="32"/>
          <w:rtl/>
        </w:rPr>
        <w:t xml:space="preserve"> </w:t>
      </w:r>
      <w:r w:rsidRPr="00756D19">
        <w:rPr>
          <w:rStyle w:val="Style1Char"/>
          <w:color w:val="auto"/>
          <w:sz w:val="22"/>
          <w:szCs w:val="22"/>
          <w:rtl/>
        </w:rPr>
        <w:t xml:space="preserve">תניא: אמר רבי יוסי, שח לי זקן אחד מאנשי ירושלים: עשרים וארבעה מוכי שחין הן, וכולן אמרו חכמים תשמיש קשה להן, ובעלי ראתן קשה מכולן: ממאי הוי? דתניא: הקיז דם ושימש - הויין לו בנים </w:t>
      </w:r>
      <w:r w:rsidRPr="00756D19">
        <w:rPr>
          <w:rStyle w:val="Style1Char"/>
          <w:color w:val="ED7D31" w:themeColor="accent2"/>
          <w:rtl/>
        </w:rPr>
        <w:t xml:space="preserve">ויתיקין </w:t>
      </w:r>
      <w:r w:rsidRPr="00236B90">
        <w:rPr>
          <w:rStyle w:val="Style1Char"/>
          <w:color w:val="C00000"/>
          <w:sz w:val="22"/>
          <w:szCs w:val="22"/>
          <w:rtl/>
        </w:rPr>
        <w:t>נכפין</w:t>
      </w:r>
      <w:r w:rsidRPr="00657C31">
        <w:rPr>
          <w:rStyle w:val="Style1Char"/>
          <w:color w:val="00B050"/>
          <w:rtl/>
        </w:rPr>
        <w:t xml:space="preserve">, </w:t>
      </w:r>
      <w:r w:rsidRPr="00756D19">
        <w:rPr>
          <w:rStyle w:val="Style1Char"/>
          <w:color w:val="auto"/>
          <w:sz w:val="22"/>
          <w:szCs w:val="22"/>
          <w:rtl/>
        </w:rPr>
        <w:t>הקיזו שניהם ושימשו - הויין לו בנים בעלי ראתן</w:t>
      </w:r>
      <w:r w:rsidRPr="00756D19">
        <w:rPr>
          <w:rStyle w:val="Style1Char"/>
          <w:color w:val="auto"/>
          <w:rtl/>
        </w:rPr>
        <w:t>.</w:t>
      </w:r>
    </w:p>
    <w:p w14:paraId="63CA0DE1" w14:textId="77777777" w:rsidR="002165BA" w:rsidRPr="006E212A" w:rsidRDefault="002165BA" w:rsidP="002165BA">
      <w:pPr>
        <w:bidi/>
        <w:rPr>
          <w:rStyle w:val="Style1Char"/>
          <w:rtl/>
        </w:rPr>
      </w:pPr>
      <w:r w:rsidRPr="00657C31">
        <w:rPr>
          <w:rStyle w:val="Style1Char"/>
          <w:color w:val="00B050"/>
          <w:rtl/>
        </w:rPr>
        <w:t xml:space="preserve">אמר רב פפא: לא אמרן אלא דלא טעים מידי, אבל טעים מידי לית לן בה. מאי סימניה? דלפן עיניה, ודייבי נחיריה, ואיתי ליה רירא מפומיה, ורמו דידבי עילויה. ומאי אסותיה? אמר אביי: פילא ולודנא, גירדא דאגוזא וגירדא דאשפא, וכליל מלכא ומתחלא דדיקלא סימקא, ושליק להו בהדי הדדי, ומעייל ליה לביתא דשישא, ואי לא איכא ביתא דשישא מעייל ליה לביתא דשב לבני ואריחא, ונטיל ליה תלת מאה כסי על רישיה עד דרפיא ארעיתא דמוחיה, וקרע למוחיה, ומייתי ארבע טרפי דאסא ומדלי כל חד כרעא ומותיב חד, ושקיל בצבתא וקלי ליה, דאי לא - הדר עילויה. </w:t>
      </w:r>
      <w:r w:rsidRPr="00756D19">
        <w:rPr>
          <w:rStyle w:val="Style1Char"/>
          <w:color w:val="auto"/>
          <w:sz w:val="22"/>
          <w:szCs w:val="22"/>
          <w:rtl/>
        </w:rPr>
        <w:t xml:space="preserve">מכריז רבי יוחנן: הזהרו מזבובי של בעלי ראתן. רבי זירא לא הוה יתיב בזיקיה. רבי אלעזר לא עייל באהליה. רבי אמי ורבי אסי לא הוו אכלי מביעי דההיא מבואה. </w:t>
      </w:r>
      <w:r w:rsidRPr="006E212A">
        <w:rPr>
          <w:rStyle w:val="Style1Char"/>
          <w:sz w:val="22"/>
          <w:szCs w:val="22"/>
          <w:rtl/>
        </w:rPr>
        <w:t>ריב"ל מיכרך בהו ועסיק בתורה</w:t>
      </w:r>
      <w:r w:rsidRPr="006E212A">
        <w:rPr>
          <w:rStyle w:val="Style1Char"/>
          <w:rtl/>
        </w:rPr>
        <w:t>,</w:t>
      </w:r>
    </w:p>
    <w:p w14:paraId="598351C5" w14:textId="77777777" w:rsidR="002165BA" w:rsidRDefault="002165BA" w:rsidP="002165BA">
      <w:pPr>
        <w:bidi/>
        <w:rPr>
          <w:rStyle w:val="Style1Char"/>
          <w:color w:val="00B050"/>
          <w:rtl/>
        </w:rPr>
      </w:pPr>
      <w:r w:rsidRPr="00657C31">
        <w:rPr>
          <w:rStyle w:val="Style1Char"/>
          <w:color w:val="00B050"/>
          <w:rtl/>
        </w:rPr>
        <w:t xml:space="preserve">אמר: אילת אהבים ויעלת חן - אם חן מעלה על לומדיה, אגוני לא מגנא? כי הוה שכיב, אמרו ליה למלאך המות: זיל עביד ליה רעותיה. אזל איתחזי ליה, א"ל: אחוי לי דוכתאי, אמר ליה: לחיי. א"ל: הב לי סכינך, דלמא מבעתת לי באורחא, יהבה ניהליה. כי מטא להתם, דלייה קא מחוי ליה, שוור נפל לההוא גיסא, נקטיה בקרנא דגלימיה, א"ל: בשבועתא דלא אתינא. אמר קודשא בריך הוא: אי איתשיל אשבועתא ניהדר, אי לא - לא ניהדר. אמר ליה: הב לי סכינאי, לא הוה קא יהיב ליה, נפקא בת קלא ואמרה ליה: הב ניהליה, דמיתבעא לברייתא. מכריז אליהו קמיה: פנו מקום לבר ליואי, פנו מקום לבר ליואי. אזל אשכחיה לר' שמעון בן יוחאי דהוה יתיב על תלת עשר תכטקי פיזא, אמר ליה: את הוא בר ליואי? אמר ליה: הן. נראתה קשת בימיך? אמר ליה: הן, אם כן אי אתה בר ליואי. ולא היא, דלא הואי מידי, אלא סבר: לא אחזיק טיבותא לנפשאי. רבי חנינא בר פפא שושביניה הוה, כי הוה קא ניחא נפשיה, אמרו ליה למלאך המות: זיל עביד ליה רעותיה. אזל לגביה ואיתחזי ליה, אמר ליה: שבקי תלתין יום עד דנהדר תלמודאי, דאמרי: אשרי מי שבא לכאן ותלמודו בידו, שבקיה. לבתר תלתין יומין אזל איתחזי ליה, א"ל: אחוי לי דוכתאי, א"ל: לחיי. א"ל: הב לי סכינך, דלמא מבעתת לי באורחא, אמר ליה: כחברך בעית למיעבד לי? אמר ליה: אייתי ספר תורה וחזי, מי איכא מידי דכתיב ביה דלא קיימתיה! אמר ליה: מי איכרכת בבעלי ראתן ואיעסקת בתורה? ואפילו הכי, כי נח נפשיה אפסיק ליה עמודא דנורא בין דידיה לעלמא, וגמירי, דלא מפסיק עמודא דנורא אלא לחד בדרא או לתרין בדרא. קרב לגביה רבי אלכסנדרי, אמר: עשה בשביל כבוד חכמים! לא אשגח. עשה בשביל כבוד אביך! לא אשגח. עשה בשביל כבוד עצמך! איסתלק. אמר אביי: לאפוקי ממאן דלא קיים (אפילו אות אחת). אמר ליה רב אדא בר מתנא: לאפוקי ממר, דלא אית ליה מעקה לאיגריה. ולא היא, מיהוה הוה, וההיא שעתא הוא דשדייה זיקא. אמר ר' חנינא: מפני מה אין בעלי ראתן בבבל? מפני שאוכלין תרדין, ושותין שכר של היזמי. אמר רבי יוחנן: מפני מה אין מצורעין בבבל? מפני שאוכלין תרדין, ושותין שכר, ורוחצין במי פרת. </w:t>
      </w:r>
    </w:p>
    <w:p w14:paraId="1DE4D506" w14:textId="77777777" w:rsidR="002165BA" w:rsidRPr="0091453F" w:rsidRDefault="002165BA" w:rsidP="002165BA">
      <w:pPr>
        <w:bidi/>
        <w:rPr>
          <w:color w:val="00B050"/>
          <w:sz w:val="44"/>
          <w:szCs w:val="44"/>
        </w:rPr>
      </w:pPr>
      <w:r w:rsidRPr="0091453F">
        <w:rPr>
          <w:rStyle w:val="Style1Char"/>
          <w:color w:val="auto"/>
          <w:sz w:val="28"/>
          <w:szCs w:val="28"/>
          <w:rtl/>
        </w:rPr>
        <w:t>הדרן עלך המדיר את אשתו.</w:t>
      </w:r>
    </w:p>
    <w:p w14:paraId="7AB53575" w14:textId="77777777" w:rsidR="00B2458D" w:rsidRPr="00115293" w:rsidRDefault="00B2458D" w:rsidP="00B2458D">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 xml:space="preserve">פרק </w:t>
      </w:r>
      <w:r w:rsidRPr="00952CA4">
        <w:rPr>
          <w:rStyle w:val="Style1Char"/>
          <w:color w:val="auto"/>
          <w:sz w:val="24"/>
          <w:szCs w:val="24"/>
          <w:rtl/>
        </w:rPr>
        <w:t>ח - האשה שנפלו</w:t>
      </w:r>
    </w:p>
    <w:p w14:paraId="14D0B03C" w14:textId="4743C64F" w:rsidR="00B2458D" w:rsidRPr="00A82763" w:rsidRDefault="00B2458D" w:rsidP="00B2458D">
      <w:pPr>
        <w:bidi/>
        <w:rPr>
          <w:rStyle w:val="Style1Char"/>
          <w:color w:val="auto"/>
          <w:sz w:val="22"/>
          <w:szCs w:val="22"/>
        </w:rPr>
      </w:pPr>
      <w:r w:rsidRPr="00A82763">
        <w:rPr>
          <w:rStyle w:val="Style1Char"/>
          <w:color w:val="auto"/>
          <w:sz w:val="22"/>
          <w:szCs w:val="22"/>
          <w:highlight w:val="yellow"/>
          <w:rtl/>
        </w:rPr>
        <w:t>[דף עח עמוד א]</w:t>
      </w:r>
      <w:r w:rsidRPr="00A82763">
        <w:rPr>
          <w:rStyle w:val="Style1Char"/>
          <w:color w:val="auto"/>
          <w:sz w:val="22"/>
          <w:szCs w:val="22"/>
          <w:rtl/>
        </w:rPr>
        <w:t xml:space="preserve"> /מתני'/. האשה שנפלו לה נכסים עד שלא תתארס, מודים ב"ש ובית הלל, שמוכרת ונותנת וקיים. נפלו לה משנתארסה, ב"ש אומרים: תמכור, ובית הלל אומרים: </w:t>
      </w:r>
      <w:r w:rsidR="005B6A1A" w:rsidRPr="00EF64BD">
        <w:rPr>
          <w:rStyle w:val="Style1Char"/>
          <w:rFonts w:hint="cs"/>
          <w:rtl/>
        </w:rPr>
        <w:t>(1)</w:t>
      </w:r>
      <w:r w:rsidRPr="00A82763">
        <w:rPr>
          <w:rStyle w:val="Style1Char"/>
          <w:color w:val="auto"/>
          <w:sz w:val="22"/>
          <w:szCs w:val="22"/>
          <w:rtl/>
        </w:rPr>
        <w:t xml:space="preserve">לא תמכור. אלו ואלו מודים, </w:t>
      </w:r>
      <w:r w:rsidR="009E20F0" w:rsidRPr="00EF64BD">
        <w:rPr>
          <w:rStyle w:val="Style1Char"/>
          <w:rFonts w:hint="cs"/>
          <w:rtl/>
        </w:rPr>
        <w:t>(1)</w:t>
      </w:r>
      <w:r w:rsidRPr="00A82763">
        <w:rPr>
          <w:rStyle w:val="Style1Char"/>
          <w:color w:val="auto"/>
          <w:sz w:val="22"/>
          <w:szCs w:val="22"/>
          <w:rtl/>
        </w:rPr>
        <w:t xml:space="preserve">שאם מכרה ונתנה - קיים. אמר רבי יהודה, אמרו חכמים לפני ר"ג: הואיל וזכה באשה לא יזכה בנכסים? אמר להם: על החדשים אנו בושים, אלא שאתם מגלגלין עלינו את הישנים. נפלו לה משנשאת, אלו ואלו מודים, שאם מכרה ונתנה - שהבעל מוציא מיד הלקוחות. עד שלא נשאת ונשאת, ר"ג אומר: אם מכרה ונתנה - קיים. א"ר חנינא בן עקביא, אמרו לפני ר"ג: הואיל וזכה באשה לא יזכה בנכסים? אמר להם: על החדשים אנו בושים, אלא שאתם מגלגלין עלינו הישנים. ר"ש חולק בין נכסים לנכסים, נכסים הידועין לבעל לא תמכור, ואם מכרה ונתנה - בטל, שאינן ידועין לבעל לא תמכור, ואם מכרה ונתנה - קיים. </w:t>
      </w:r>
    </w:p>
    <w:p w14:paraId="2505A279" w14:textId="674C78E6" w:rsidR="00B2458D" w:rsidRDefault="00B2458D" w:rsidP="00B2458D">
      <w:pPr>
        <w:bidi/>
        <w:rPr>
          <w:rStyle w:val="Style1Char"/>
          <w:color w:val="00B050"/>
          <w:rtl/>
        </w:rPr>
      </w:pPr>
      <w:r w:rsidRPr="00952CA4">
        <w:rPr>
          <w:rStyle w:val="Style1Char"/>
          <w:color w:val="00B050"/>
          <w:rtl/>
        </w:rPr>
        <w:t xml:space="preserve">גמ'. מאי שנא רישא דלא פליגי, ומאי שנא סיפא דפליגי? אמרי דבי רבי ינאי: רישא - בזכותה נפלו, סיפא - בזכותו נפלו. אם בזכותו נפלו, כי מכרה ונתנה אמאי קיים? אלא, רישא - ודאי בזכותה נפלו, סיפא - אימר בזכותה, אימר בזכותו, לכתחלה לא תמכור, אם מכרה ונתנה - קיים. א"ר יהודה, אמרו לפני ר"ג. איבעיא להו: רבי יהודה אלכתחלה או אדיעבד? </w:t>
      </w:r>
    </w:p>
    <w:p w14:paraId="7BC6EE1C" w14:textId="081AA379" w:rsidR="009E20F0" w:rsidRDefault="009E20F0" w:rsidP="009E20F0">
      <w:pPr>
        <w:pStyle w:val="Style1"/>
        <w:rPr>
          <w:rStyle w:val="Style1Char"/>
          <w:rtl/>
        </w:rPr>
      </w:pPr>
      <w:r>
        <w:rPr>
          <w:rStyle w:val="Style1Char"/>
          <w:rFonts w:hint="cs"/>
          <w:rtl/>
        </w:rPr>
        <w:t>1)[</w:t>
      </w:r>
      <w:r w:rsidRPr="009E20F0">
        <w:rPr>
          <w:rStyle w:val="Style1Char"/>
          <w:rtl/>
        </w:rPr>
        <w:t>רמב</w:t>
      </w:r>
      <w:r w:rsidR="00213DA1">
        <w:rPr>
          <w:rStyle w:val="Style1Char"/>
          <w:rtl/>
        </w:rPr>
        <w:t>”ם \נשים\</w:t>
      </w:r>
      <w:r w:rsidRPr="009E20F0">
        <w:rPr>
          <w:rStyle w:val="Style1Char"/>
          <w:rtl/>
        </w:rPr>
        <w:t xml:space="preserve"> הלכות אישות פרק כב הלכה ז</w:t>
      </w:r>
      <w:r>
        <w:rPr>
          <w:rStyle w:val="Style1Char"/>
          <w:rFonts w:hint="cs"/>
          <w:rtl/>
        </w:rPr>
        <w:t xml:space="preserve">] </w:t>
      </w:r>
      <w:r w:rsidRPr="009E20F0">
        <w:rPr>
          <w:rStyle w:val="Style1Char"/>
          <w:rtl/>
        </w:rPr>
        <w:t>כל נכסים שיש לאשה בין נכסי צאן ברזל בין נכסי מלוג הבעל אוכל כל פירותיהן בחייה ואם מתה בחיי בעלה יורש בעלה הכל, לפיכך אם מכרה האשה נכסי מלוג אחר שנשאת אף על פי שאותן הנכסים נפלו לה קודם שתתארס הבעל מוציא הפירות מיד הלקוחות כל ימי חייה, אבל לא גוף הקרקע שאין לו כלום בגוף נכסי מלוג עד שתמות. מתה בחייו מוציא הגוף מיד הלקוחות בלא דמים, ואם הדמים שלקחה מן הלקוחות קיימין בעצמן מחזירן ללקוחות, ואינו יכול לומר שמא מציאה הן.</w:t>
      </w:r>
    </w:p>
    <w:p w14:paraId="257CC35E" w14:textId="2F7475E0" w:rsidR="001D21B4" w:rsidRDefault="001D21B4" w:rsidP="001D21B4">
      <w:pPr>
        <w:pStyle w:val="Style1"/>
        <w:rPr>
          <w:rStyle w:val="Style1Char"/>
          <w:rtl/>
        </w:rPr>
      </w:pPr>
      <w:r>
        <w:rPr>
          <w:rStyle w:val="Style1Char"/>
          <w:rFonts w:hint="cs"/>
          <w:rtl/>
        </w:rPr>
        <w:t>1)[</w:t>
      </w:r>
      <w:r w:rsidRPr="001D21B4">
        <w:rPr>
          <w:rStyle w:val="Style1Char"/>
          <w:rtl/>
        </w:rPr>
        <w:t>רמב</w:t>
      </w:r>
      <w:r w:rsidR="00213DA1">
        <w:rPr>
          <w:rStyle w:val="Style1Char"/>
          <w:rtl/>
        </w:rPr>
        <w:t>”ם \נשים\</w:t>
      </w:r>
      <w:r w:rsidRPr="001D21B4">
        <w:rPr>
          <w:rStyle w:val="Style1Char"/>
          <w:rtl/>
        </w:rPr>
        <w:t xml:space="preserve"> הלכות אישות פרק כב הלכה ח</w:t>
      </w:r>
      <w:r>
        <w:rPr>
          <w:rStyle w:val="Style1Char"/>
          <w:rFonts w:hint="cs"/>
          <w:rtl/>
        </w:rPr>
        <w:t xml:space="preserve">] </w:t>
      </w:r>
      <w:r w:rsidRPr="001D21B4">
        <w:rPr>
          <w:rStyle w:val="Style1Char"/>
          <w:rtl/>
        </w:rPr>
        <w:t>במה דברים אמורים בנכסים הידועין לבעל אבל אם נפלו לה נכסים במדינה אחרת ולא ידע בהן הבעל ומכרה אותן מכרה קיים, וכן ארוסה שמכרה קודם הנישואין מכרה קיים שאין לבעל בנכסי ארוסתו כלום עד שיכנוס.</w:t>
      </w:r>
    </w:p>
    <w:p w14:paraId="6436CA08" w14:textId="1D03E03C" w:rsidR="00B2458D" w:rsidRPr="00FC28C2" w:rsidRDefault="00E61AB0" w:rsidP="00FC28C2">
      <w:pPr>
        <w:pStyle w:val="Style1"/>
        <w:rPr>
          <w:rStyle w:val="Style1Char"/>
          <w:rtl/>
        </w:rPr>
      </w:pPr>
      <w:r>
        <w:rPr>
          <w:rStyle w:val="Style1Char"/>
          <w:rFonts w:hint="cs"/>
          <w:rtl/>
        </w:rPr>
        <w:t>1)[</w:t>
      </w:r>
      <w:r w:rsidR="00BD7264" w:rsidRPr="00BD7264">
        <w:rPr>
          <w:rStyle w:val="Style1Char"/>
          <w:rtl/>
        </w:rPr>
        <w:t>שולחן ערוך אבן העזר הלכות כתובות סימן צ סעיף יא</w:t>
      </w:r>
      <w:r>
        <w:rPr>
          <w:rStyle w:val="Style1Char"/>
          <w:rFonts w:hint="cs"/>
          <w:rtl/>
        </w:rPr>
        <w:t>]</w:t>
      </w:r>
      <w:r w:rsidR="00FC28C2" w:rsidRPr="00FC28C2">
        <w:rPr>
          <w:shd w:val="clear" w:color="auto" w:fill="FFFFFF"/>
          <w:rtl/>
        </w:rPr>
        <w:t xml:space="preserve"> </w:t>
      </w:r>
      <w:r w:rsidR="00FC28C2" w:rsidRPr="00FC28C2">
        <w:rPr>
          <w:rtl/>
        </w:rPr>
        <w:t>במה דברים אמורים שאם מכרה משנשאת מוציא הבעל מיד הלקוחות, בנכסים הידועים לבעל. אבל אם נפלו לה נכסים ולא ידע בהם הבעל, לכתחלה לא תמכר, ואם מכרה אותם קדם שידע בהם מכרה קיים. וכן ארוסה לכתחלה לא תמכר נכסים שנפלו לה משנתארסה, ואם מכרה קדם הנשואין מכרה קיים</w:t>
      </w:r>
      <w:r w:rsidR="00FC28C2" w:rsidRPr="00FC28C2">
        <w:t>, </w:t>
      </w:r>
      <w:r w:rsidR="00FC28C2" w:rsidRPr="00FC28C2">
        <w:rPr>
          <w:rFonts w:hint="cs"/>
          <w:rtl/>
        </w:rPr>
        <w:t>אפלו נכסים הידועים לו</w:t>
      </w:r>
      <w:r w:rsidR="00FC28C2" w:rsidRPr="00FC28C2">
        <w:t>:</w:t>
      </w:r>
    </w:p>
    <w:p w14:paraId="24F17916" w14:textId="77777777" w:rsidR="00B2458D" w:rsidRPr="00FC28C2" w:rsidRDefault="00B2458D" w:rsidP="00FC28C2">
      <w:pPr>
        <w:pStyle w:val="Style1"/>
        <w:bidi w:val="0"/>
        <w:rPr>
          <w:rStyle w:val="Style1Char"/>
          <w:rtl/>
        </w:rPr>
      </w:pPr>
      <w:r w:rsidRPr="00FC28C2">
        <w:rPr>
          <w:rStyle w:val="Style1Char"/>
          <w:rtl/>
        </w:rPr>
        <w:br w:type="page"/>
      </w:r>
    </w:p>
    <w:p w14:paraId="5EBF1536" w14:textId="2C01AA16" w:rsidR="00B2458D" w:rsidRPr="000B1B06" w:rsidRDefault="00B2458D" w:rsidP="00B2458D">
      <w:pPr>
        <w:bidi/>
        <w:rPr>
          <w:rStyle w:val="Style1Char"/>
          <w:color w:val="auto"/>
          <w:sz w:val="22"/>
          <w:szCs w:val="22"/>
        </w:rPr>
      </w:pPr>
      <w:r w:rsidRPr="00BF7273">
        <w:rPr>
          <w:rStyle w:val="Style1Char"/>
          <w:color w:val="00B050"/>
          <w:sz w:val="22"/>
          <w:szCs w:val="22"/>
          <w:highlight w:val="yellow"/>
          <w:rtl/>
        </w:rPr>
        <w:lastRenderedPageBreak/>
        <w:t>[דף עח עמוד ב]</w:t>
      </w:r>
      <w:r w:rsidRPr="00BF7273">
        <w:rPr>
          <w:rStyle w:val="Style1Char"/>
          <w:color w:val="00B050"/>
          <w:sz w:val="22"/>
          <w:szCs w:val="22"/>
          <w:rtl/>
        </w:rPr>
        <w:t xml:space="preserve"> </w:t>
      </w:r>
      <w:r w:rsidRPr="00952CA4">
        <w:rPr>
          <w:rStyle w:val="Style1Char"/>
          <w:color w:val="00B050"/>
          <w:rtl/>
        </w:rPr>
        <w:t>ת"ש, ד</w:t>
      </w:r>
      <w:r w:rsidRPr="00E33E53">
        <w:rPr>
          <w:rStyle w:val="Style1Char"/>
          <w:sz w:val="22"/>
          <w:szCs w:val="22"/>
          <w:rtl/>
        </w:rPr>
        <w:t xml:space="preserve">תניא: </w:t>
      </w:r>
      <w:r w:rsidRPr="00044E68">
        <w:rPr>
          <w:rStyle w:val="Style1Char"/>
          <w:sz w:val="22"/>
          <w:szCs w:val="22"/>
          <w:rtl/>
        </w:rPr>
        <w:t xml:space="preserve">א"ר יהודה, אמרו לפני ר"ג: הואיל </w:t>
      </w:r>
      <w:r w:rsidRPr="00952CA4">
        <w:rPr>
          <w:rStyle w:val="Style1Char"/>
          <w:color w:val="00B050"/>
          <w:rtl/>
        </w:rPr>
        <w:t xml:space="preserve">וזו </w:t>
      </w:r>
      <w:r w:rsidRPr="00044E68">
        <w:rPr>
          <w:rStyle w:val="Style1Char"/>
          <w:color w:val="C00000"/>
          <w:sz w:val="22"/>
          <w:szCs w:val="22"/>
          <w:rtl/>
        </w:rPr>
        <w:t xml:space="preserve">והארוסה </w:t>
      </w:r>
      <w:r w:rsidRPr="00044E68">
        <w:rPr>
          <w:rStyle w:val="Style1Char"/>
          <w:sz w:val="22"/>
          <w:szCs w:val="22"/>
          <w:rtl/>
        </w:rPr>
        <w:t xml:space="preserve">אשתו </w:t>
      </w:r>
      <w:r w:rsidRPr="00952CA4">
        <w:rPr>
          <w:rStyle w:val="Style1Char"/>
          <w:color w:val="00B050"/>
          <w:rtl/>
        </w:rPr>
        <w:t xml:space="preserve">וזו </w:t>
      </w:r>
      <w:r w:rsidRPr="00044E68">
        <w:rPr>
          <w:rStyle w:val="Style1Char"/>
          <w:color w:val="C00000"/>
          <w:sz w:val="22"/>
          <w:szCs w:val="22"/>
          <w:rtl/>
        </w:rPr>
        <w:t xml:space="preserve">והנשואה </w:t>
      </w:r>
      <w:r w:rsidRPr="00044E68">
        <w:rPr>
          <w:rStyle w:val="Style1Char"/>
          <w:sz w:val="22"/>
          <w:szCs w:val="22"/>
          <w:rtl/>
        </w:rPr>
        <w:t>אשתו</w:t>
      </w:r>
      <w:r w:rsidRPr="00952CA4">
        <w:rPr>
          <w:rStyle w:val="Style1Char"/>
          <w:color w:val="00B050"/>
          <w:rtl/>
        </w:rPr>
        <w:t xml:space="preserve">, זו </w:t>
      </w:r>
      <w:r w:rsidRPr="00044E68">
        <w:rPr>
          <w:rStyle w:val="Style1Char"/>
          <w:color w:val="C00000"/>
          <w:sz w:val="22"/>
          <w:szCs w:val="22"/>
          <w:rtl/>
        </w:rPr>
        <w:t xml:space="preserve">מה נשואה </w:t>
      </w:r>
      <w:r w:rsidRPr="00044E68">
        <w:rPr>
          <w:rStyle w:val="Style1Char"/>
          <w:sz w:val="22"/>
          <w:szCs w:val="22"/>
          <w:rtl/>
        </w:rPr>
        <w:t xml:space="preserve">מכרה בטל, אף </w:t>
      </w:r>
      <w:r w:rsidRPr="00952CA4">
        <w:rPr>
          <w:rStyle w:val="Style1Char"/>
          <w:color w:val="00B050"/>
          <w:rtl/>
        </w:rPr>
        <w:t xml:space="preserve">זו </w:t>
      </w:r>
      <w:r w:rsidRPr="00044E68">
        <w:rPr>
          <w:rStyle w:val="Style1Char"/>
          <w:color w:val="C00000"/>
          <w:sz w:val="22"/>
          <w:szCs w:val="22"/>
          <w:rtl/>
        </w:rPr>
        <w:t xml:space="preserve">ארוסה </w:t>
      </w:r>
      <w:r w:rsidRPr="00044E68">
        <w:rPr>
          <w:rStyle w:val="Style1Char"/>
          <w:sz w:val="22"/>
          <w:szCs w:val="22"/>
          <w:rtl/>
        </w:rPr>
        <w:t xml:space="preserve">מכרה בטל! </w:t>
      </w:r>
      <w:r w:rsidRPr="00647294">
        <w:rPr>
          <w:rStyle w:val="Style1Char"/>
          <w:color w:val="C00000"/>
          <w:sz w:val="22"/>
          <w:szCs w:val="22"/>
          <w:rtl/>
        </w:rPr>
        <w:t xml:space="preserve">אמר להם אף הנשואה לא תמכור ואם מכרה ונתנה קיים אמרו לו הואיל וזכה באשה לא יזכה </w:t>
      </w:r>
      <w:r w:rsidRPr="00647294">
        <w:rPr>
          <w:rStyle w:val="Style1Char"/>
          <w:sz w:val="22"/>
          <w:szCs w:val="22"/>
          <w:rtl/>
        </w:rPr>
        <w:t>בנכסים אמר להן: על החדשים אנו בושים, אלא שאתם מגלגלים עלינו את הישנים;</w:t>
      </w:r>
      <w:r w:rsidRPr="00647294">
        <w:rPr>
          <w:rStyle w:val="Style1Char"/>
          <w:rtl/>
        </w:rPr>
        <w:t xml:space="preserve"> </w:t>
      </w:r>
      <w:r w:rsidRPr="00952CA4">
        <w:rPr>
          <w:rStyle w:val="Style1Char"/>
          <w:color w:val="00B050"/>
          <w:rtl/>
        </w:rPr>
        <w:t xml:space="preserve">שמע מינה דיעבד קאמר, שמע מינה. תניא, אמר רבי חנינא בן עקביא: לא כך השיבן רבן גמליאל לחכמים, אלא כך השיבן: לא, אם אמרתם בנשואה, שכן בעלה זכאי במציאתה ובמעשה ידיה ובהפרת נדריה, תאמרו בארוסה, שאין בעלה זכאי לא במציאתה ולא במעשה ידיה ולא בהפרת נדריה? אמרו לו: רבי, מכרה לה עד שלא נשאת, נשאת ואח"כ מכרה, מהו? אמר להו: </w:t>
      </w:r>
      <w:r w:rsidRPr="00647294">
        <w:rPr>
          <w:rStyle w:val="Style1Char"/>
          <w:color w:val="00B050"/>
          <w:rtl/>
        </w:rPr>
        <w:t>אף</w:t>
      </w:r>
      <w:r w:rsidRPr="00D21050">
        <w:rPr>
          <w:rStyle w:val="Style1Char"/>
          <w:sz w:val="22"/>
          <w:szCs w:val="22"/>
          <w:rtl/>
        </w:rPr>
        <w:t xml:space="preserve"> </w:t>
      </w:r>
      <w:r w:rsidRPr="00952CA4">
        <w:rPr>
          <w:rStyle w:val="Style1Char"/>
          <w:color w:val="00B050"/>
          <w:rtl/>
        </w:rPr>
        <w:t xml:space="preserve">זו מוכרת ונותנת וקיים. אמרו לו: הואיל וזכה באשה לא יזכה בנכסים? אמר להם: על החדשים אנו בושין, אלא שאתם מגלגלין עלינו את הישנים. והאנן תנן: עד שלא נשאת ונשאת, ר"ג אומר: אם מכרה ונתנה - קיים! אמר רב זביד, תני: מוכרת ונותנת וקיים. רב פפא אמר, לא קשיא: הא ר' יהודה אליבא דר"ג, הא ר' חנינא בן עקביא אליבא דר"ג. ור' חנינא בן עקביא כב"ש? ה"ק: לא נחלקו ב"ש וב"ה על דבר זה. </w:t>
      </w:r>
      <w:r w:rsidRPr="000B1B06">
        <w:rPr>
          <w:rStyle w:val="Style1Char"/>
          <w:color w:val="auto"/>
          <w:sz w:val="22"/>
          <w:szCs w:val="22"/>
          <w:rtl/>
        </w:rPr>
        <w:t>רב ושמואל דאמרי תרוייהו: בין שנפלו לה נכסים עד שלא נתארסה, בין שנפלו לה נכסים משנתארסה וניסת - הבעל מוציא מיד הלקוחות</w:t>
      </w:r>
      <w:r w:rsidRPr="00833624">
        <w:rPr>
          <w:rStyle w:val="Style1Char"/>
          <w:sz w:val="22"/>
          <w:szCs w:val="22"/>
          <w:rtl/>
        </w:rPr>
        <w:t>.</w:t>
      </w:r>
      <w:r w:rsidRPr="00952CA4">
        <w:rPr>
          <w:rStyle w:val="Style1Char"/>
          <w:color w:val="00B050"/>
          <w:rtl/>
        </w:rPr>
        <w:t xml:space="preserve"> כמאן? דלא כרבי יהודה ולא כר' חנינא בן עקביא! אינהו דאמרי כרבותינו; </w:t>
      </w:r>
      <w:r w:rsidRPr="000B1B06">
        <w:rPr>
          <w:rStyle w:val="Style1Char"/>
          <w:color w:val="auto"/>
          <w:sz w:val="22"/>
          <w:szCs w:val="22"/>
          <w:rtl/>
        </w:rPr>
        <w:t>דתניא, רבותינו חזרו ונמנו: בין שנפלו לה עד שלא תתארס, ובין שנפלו לה משנתארסה וניסת - הבעל מוציא מיד הלקוחות</w:t>
      </w:r>
      <w:r w:rsidRPr="000B1B06">
        <w:rPr>
          <w:rStyle w:val="Style1Char"/>
          <w:color w:val="auto"/>
          <w:rtl/>
        </w:rPr>
        <w:t xml:space="preserve"> </w:t>
      </w:r>
      <w:r w:rsidRPr="000B1B06">
        <w:rPr>
          <w:rStyle w:val="Style1Char"/>
          <w:color w:val="806000" w:themeColor="accent4" w:themeShade="80"/>
          <w:sz w:val="22"/>
          <w:szCs w:val="22"/>
          <w:rtl/>
        </w:rPr>
        <w:t>וכן הלכתא</w:t>
      </w:r>
      <w:r w:rsidRPr="00760B57">
        <w:rPr>
          <w:rStyle w:val="Style1Char"/>
          <w:color w:val="C00000"/>
          <w:sz w:val="22"/>
          <w:szCs w:val="22"/>
        </w:rPr>
        <w:t>:</w:t>
      </w:r>
      <w:r w:rsidRPr="00952CA4">
        <w:rPr>
          <w:rStyle w:val="Style1Char"/>
          <w:color w:val="00B050"/>
          <w:rtl/>
        </w:rPr>
        <w:t>. משניסת, אלו ואלו מודים</w:t>
      </w:r>
      <w:r w:rsidRPr="005120E1">
        <w:rPr>
          <w:rStyle w:val="Style1Char"/>
          <w:sz w:val="22"/>
          <w:szCs w:val="22"/>
          <w:rtl/>
        </w:rPr>
        <w:t xml:space="preserve">. </w:t>
      </w:r>
      <w:r w:rsidRPr="000B1B06">
        <w:rPr>
          <w:rStyle w:val="Style1Char"/>
          <w:color w:val="auto"/>
          <w:sz w:val="22"/>
          <w:szCs w:val="22"/>
          <w:rtl/>
        </w:rPr>
        <w:t xml:space="preserve">לימא, תנינא לתקנת אושא! דא"ר יוסי בר' חנינא: באושא התקינו, האשה שמכרה בנכסי מלוג בחיי בעלה ומתה - הבעל מוציא מיד הלקוחות! לא מתניתין - </w:t>
      </w:r>
      <w:r w:rsidR="00381F2E">
        <w:rPr>
          <w:rStyle w:val="Style1Char"/>
          <w:rFonts w:hint="cs"/>
          <w:rtl/>
        </w:rPr>
        <w:t>(1)</w:t>
      </w:r>
      <w:r w:rsidRPr="000B1B06">
        <w:rPr>
          <w:rStyle w:val="Style1Char"/>
          <w:color w:val="auto"/>
          <w:sz w:val="22"/>
          <w:szCs w:val="22"/>
          <w:rtl/>
        </w:rPr>
        <w:t xml:space="preserve">בחייה ולפירות, תקנת אושא - בגופה של קרקע ולאחר מיתה. </w:t>
      </w:r>
    </w:p>
    <w:p w14:paraId="639D98C0" w14:textId="42B9FE3E" w:rsidR="00B2458D" w:rsidRPr="008F2AB0" w:rsidRDefault="00307010" w:rsidP="00B2458D">
      <w:pPr>
        <w:bidi/>
        <w:rPr>
          <w:rStyle w:val="Style1Char"/>
          <w:color w:val="4472C4" w:themeColor="accent1"/>
        </w:rPr>
      </w:pPr>
      <w:r>
        <w:rPr>
          <w:rStyle w:val="Style1Char"/>
          <w:rFonts w:hint="cs"/>
          <w:rtl/>
        </w:rPr>
        <w:t>(1.1, 1.2, 2)</w:t>
      </w:r>
      <w:r w:rsidR="00B2458D" w:rsidRPr="00952CA4">
        <w:rPr>
          <w:rStyle w:val="Style1Char"/>
          <w:color w:val="00B050"/>
          <w:rtl/>
        </w:rPr>
        <w:t xml:space="preserve">ר"ש חולק בין נכסים. </w:t>
      </w:r>
      <w:r w:rsidR="00B2458D" w:rsidRPr="002C203F">
        <w:rPr>
          <w:rStyle w:val="Style1Char"/>
          <w:color w:val="auto"/>
          <w:sz w:val="22"/>
          <w:szCs w:val="22"/>
          <w:rtl/>
        </w:rPr>
        <w:t xml:space="preserve">אלו הן ידועין, ואלו הן שאינן ידועין? אמר ר' יוסי ברבי חנינא: ידועין - מקרקעי, שאינן ידועין - מטלטלין; ור' יוחנן אמר: אלו ואלו ידועין הן, </w:t>
      </w:r>
      <w:r w:rsidR="000E4DB4">
        <w:rPr>
          <w:rStyle w:val="Style1Char"/>
          <w:rFonts w:hint="cs"/>
          <w:rtl/>
        </w:rPr>
        <w:t xml:space="preserve">(1.1, 1.2, </w:t>
      </w:r>
      <w:r w:rsidR="008E6363">
        <w:rPr>
          <w:rStyle w:val="Style1Char"/>
          <w:rFonts w:hint="cs"/>
          <w:rtl/>
        </w:rPr>
        <w:t>2</w:t>
      </w:r>
      <w:r w:rsidR="000E4DB4">
        <w:rPr>
          <w:rStyle w:val="Style1Char"/>
          <w:rFonts w:hint="cs"/>
          <w:rtl/>
        </w:rPr>
        <w:t>)</w:t>
      </w:r>
      <w:r w:rsidR="00B2458D" w:rsidRPr="002C203F">
        <w:rPr>
          <w:rStyle w:val="Style1Char"/>
          <w:color w:val="auto"/>
          <w:sz w:val="22"/>
          <w:szCs w:val="22"/>
          <w:rtl/>
        </w:rPr>
        <w:t>ואלו הן שאינן ידועין? כל שיושבת כאן ונפלו לה נכסים במדינת הים.</w:t>
      </w:r>
      <w:r w:rsidR="00B2458D" w:rsidRPr="001E4BD7">
        <w:rPr>
          <w:rStyle w:val="Style1Char"/>
          <w:sz w:val="22"/>
          <w:szCs w:val="22"/>
          <w:rtl/>
        </w:rPr>
        <w:t xml:space="preserve"> </w:t>
      </w:r>
      <w:r w:rsidR="00B2458D" w:rsidRPr="002C203F">
        <w:rPr>
          <w:rStyle w:val="Style1Char"/>
          <w:color w:val="ED7D31" w:themeColor="accent2"/>
          <w:sz w:val="22"/>
          <w:szCs w:val="22"/>
          <w:rtl/>
        </w:rPr>
        <w:t>תניא נמי הכי: אלו הן שאינן ידועין? כל שיושבת כאן ונפלו לה נכסים במדינת הים</w:t>
      </w:r>
      <w:r w:rsidR="00B2458D" w:rsidRPr="009C4297">
        <w:rPr>
          <w:rStyle w:val="Style1Char"/>
          <w:color w:val="4472C4" w:themeColor="accent1"/>
          <w:rtl/>
        </w:rPr>
        <w:t xml:space="preserve"> </w:t>
      </w:r>
      <w:r w:rsidR="00B2458D" w:rsidRPr="008F2AB0">
        <w:rPr>
          <w:rStyle w:val="Style1Char"/>
          <w:color w:val="4472C4" w:themeColor="accent1"/>
          <w:rtl/>
        </w:rPr>
        <w:t>והלכתא כר' יוחנן</w:t>
      </w:r>
      <w:r w:rsidR="00B2458D">
        <w:rPr>
          <w:rStyle w:val="Style1Char"/>
          <w:rFonts w:hint="cs"/>
          <w:color w:val="4472C4" w:themeColor="accent1"/>
        </w:rPr>
        <w:t>‍</w:t>
      </w:r>
      <w:r w:rsidR="00B2458D" w:rsidRPr="008F2AB0">
        <w:rPr>
          <w:rStyle w:val="Style1Char"/>
          <w:color w:val="4472C4" w:themeColor="accent1"/>
          <w:rtl/>
        </w:rPr>
        <w:t xml:space="preserve"> משום דתניא כוותיה ומסתברא שאם מכרתן קודם שנודעו לבעל. אבל לאחר שנודעו לבעל (אם) מכרה בטל דלא גרע ממתנה שנתנו לה דבשעת מתנה לא ידע הבעל</w:t>
      </w:r>
      <w:r w:rsidR="00B2458D">
        <w:rPr>
          <w:rStyle w:val="Style1Char"/>
          <w:rFonts w:hint="cs"/>
          <w:color w:val="4472C4" w:themeColor="accent1"/>
        </w:rPr>
        <w:t>‍</w:t>
      </w:r>
      <w:r w:rsidR="00B2458D" w:rsidRPr="008F2AB0">
        <w:rPr>
          <w:rStyle w:val="Style1Char"/>
          <w:color w:val="4472C4" w:themeColor="accent1"/>
          <w:rtl/>
        </w:rPr>
        <w:t xml:space="preserve"> ואעפ"כ הוא אוכל פירות. או שמא במתנה נמי אם מכרה</w:t>
      </w:r>
      <w:r w:rsidR="00B2458D">
        <w:rPr>
          <w:rStyle w:val="Style1Char"/>
          <w:rFonts w:hint="cs"/>
          <w:color w:val="4472C4" w:themeColor="accent1"/>
        </w:rPr>
        <w:t>‍</w:t>
      </w:r>
      <w:r w:rsidR="00B2458D" w:rsidRPr="008F2AB0">
        <w:rPr>
          <w:rStyle w:val="Style1Char"/>
          <w:color w:val="4472C4" w:themeColor="accent1"/>
          <w:rtl/>
        </w:rPr>
        <w:t xml:space="preserve"> לאחר שנודע לו מכרה קיים. ומיהו לישנא דשאינן ידועין לבעל משמע דבשעת מכירה אכתי לא היו ידועין לבעל ואף על גב דמפרש שאינן ידועין לבעל שנפלו לה במדינת הים אלמא אינם ידועים אשעת נפילה קאי ואז אמרי' דמוכרת וקיים ואפילו נודעו אח"כ לבעל. לא היא דתרוייהו בעינן נכסים שלא היה הבעל מצפה שיפלו לה בירושה כגון שמת מורישה במדינת הים ולא הכיר הבעל באותן המורישין או כיוצא בזה שהיו נכסים לאב ביד אחר ולא נתברר שהיו של אביה עד אחר נישואין של זה. וגם בעינן שלא נודעו לבעל בין נפילה למכירה. דמיד שנודעו לבעל יש להם דין נכסי מלוג. וכן מוכיח לעיל פרק מציאת האשה (דף סה ב) דתנן גבי בשתה ופגמה שלה ילקח בהן קרקע והבעל אוכל פירות. ואין לך נכסים שאינם ידועין יותר מחבלה</w:t>
      </w:r>
      <w:r w:rsidR="00B2458D">
        <w:rPr>
          <w:rStyle w:val="Style1Char"/>
          <w:rFonts w:hint="cs"/>
          <w:color w:val="4472C4" w:themeColor="accent1"/>
        </w:rPr>
        <w:t>‍</w:t>
      </w:r>
      <w:r w:rsidR="00B2458D" w:rsidRPr="008F2AB0">
        <w:rPr>
          <w:rStyle w:val="Style1Char"/>
          <w:color w:val="4472C4" w:themeColor="accent1"/>
          <w:rtl/>
        </w:rPr>
        <w:t xml:space="preserve"> וקתני ילקח בהן קרקע וכי היכי דתנן במתני' נפלו לה נכסים ילקח בהן קרקע</w:t>
      </w:r>
      <w:r w:rsidR="00B2458D">
        <w:rPr>
          <w:rStyle w:val="Style1Char"/>
          <w:rFonts w:hint="cs"/>
          <w:color w:val="4472C4" w:themeColor="accent1"/>
        </w:rPr>
        <w:t>‍</w:t>
      </w:r>
      <w:r w:rsidR="00B2458D" w:rsidRPr="008F2AB0">
        <w:rPr>
          <w:rStyle w:val="Style1Char"/>
          <w:color w:val="4472C4" w:themeColor="accent1"/>
          <w:rtl/>
        </w:rPr>
        <w:t xml:space="preserve"> וה"ר מאיר הלוי ז"ל נתן טעם לדבר דטעמא מאי תקינו רבנן פירי לאיש תחת פרקונה. דאי לאו הכי לא פריק לה אמר כיסא נקיטה לה תיזיל ותיפרוק נפשה. והאי טעמא לא שייך אלא בידועין לבעל. אבל כשאינן ידועין לבעל לא תקינו רבנן לבעל שום זכות לא בגוף ולא בפירות ואם מכרה הפירות קודם ידיעת הבעל מכרה קיים. ואחר שנודעו לבעל הקרקע הוי נכסי מלוג. וכן הפירות או דמיהן הנמצא בידם ילקח בהן קרקע</w:t>
      </w:r>
      <w:r w:rsidR="00B2458D" w:rsidRPr="008F2AB0">
        <w:rPr>
          <w:rStyle w:val="Style1Char"/>
          <w:color w:val="4472C4" w:themeColor="accent1"/>
        </w:rPr>
        <w:t xml:space="preserve">: </w:t>
      </w:r>
    </w:p>
    <w:p w14:paraId="2FF9D950" w14:textId="7F2F3276" w:rsidR="00B2458D" w:rsidRDefault="00B2458D" w:rsidP="00B2458D">
      <w:pPr>
        <w:bidi/>
        <w:rPr>
          <w:rStyle w:val="Style1Char"/>
          <w:color w:val="auto"/>
          <w:sz w:val="22"/>
          <w:szCs w:val="22"/>
          <w:rtl/>
        </w:rPr>
      </w:pPr>
      <w:r w:rsidRPr="003F2627">
        <w:rPr>
          <w:rStyle w:val="Style1Char"/>
          <w:color w:val="auto"/>
          <w:sz w:val="22"/>
          <w:szCs w:val="22"/>
          <w:rtl/>
        </w:rPr>
        <w:t>ההיא איתתא דבעיא דתברחינהו לנכסה מגברה, כתבתינהו לברתה</w:t>
      </w:r>
      <w:r w:rsidRPr="008F2AB0">
        <w:rPr>
          <w:rStyle w:val="Style1Char"/>
          <w:color w:val="4472C4" w:themeColor="accent1"/>
          <w:rtl/>
        </w:rPr>
        <w:t>פירש רש"י והודיעה לעדים שאין מתנתה מתנה אלא כדי להבריח ולא תזכה בהן הבת אם תתאלמן או תתגרש</w:t>
      </w:r>
      <w:r>
        <w:rPr>
          <w:rStyle w:val="Style1Char"/>
          <w:rFonts w:hint="cs"/>
          <w:color w:val="4472C4" w:themeColor="accent1"/>
        </w:rPr>
        <w:t>‍</w:t>
      </w:r>
      <w:r w:rsidRPr="008F2AB0">
        <w:rPr>
          <w:rStyle w:val="Style1Char"/>
          <w:color w:val="4472C4" w:themeColor="accent1"/>
          <w:rtl/>
        </w:rPr>
        <w:t xml:space="preserve"> ולא נהירא לי דאם כן אפילו מקצתן נמי כיון דאיכא תנאי</w:t>
      </w:r>
      <w:r>
        <w:rPr>
          <w:rStyle w:val="Style1Char"/>
          <w:rFonts w:hint="cs"/>
          <w:color w:val="4472C4" w:themeColor="accent1"/>
        </w:rPr>
        <w:t>‍</w:t>
      </w:r>
      <w:r w:rsidRPr="008F2AB0">
        <w:rPr>
          <w:rStyle w:val="Style1Char"/>
          <w:color w:val="4472C4" w:themeColor="accent1"/>
          <w:rtl/>
        </w:rPr>
        <w:t>.</w:t>
      </w:r>
      <w:r>
        <w:rPr>
          <w:rStyle w:val="Style1Char"/>
          <w:rFonts w:hint="cs"/>
          <w:color w:val="4472C4" w:themeColor="accent1"/>
        </w:rPr>
        <w:t>‍</w:t>
      </w:r>
      <w:r w:rsidRPr="008F2AB0">
        <w:rPr>
          <w:rStyle w:val="Style1Char"/>
          <w:color w:val="4472C4" w:themeColor="accent1"/>
          <w:rtl/>
        </w:rPr>
        <w:t xml:space="preserve"> ועוד דאי איכא עדים אמאי בעי רבא לפלוגי בין ברתא לאחריני ועוד כי כתב ידן יוצא ממקום אחר מה מועיל מה שהודיעה לעדים לא אתי בעל פה</w:t>
      </w:r>
      <w:r>
        <w:rPr>
          <w:rStyle w:val="Style1Char"/>
          <w:rFonts w:hint="cs"/>
          <w:color w:val="4472C4" w:themeColor="accent1"/>
        </w:rPr>
        <w:t>‍</w:t>
      </w:r>
      <w:r w:rsidRPr="008F2AB0">
        <w:rPr>
          <w:rStyle w:val="Style1Char"/>
          <w:color w:val="4472C4" w:themeColor="accent1"/>
          <w:rtl/>
        </w:rPr>
        <w:t xml:space="preserve"> ומרע ליה לשטרא. ועוד אמרינן בפרק מי שמת (דף קנא א) אימיה דרב זוטרא בר טוביה כתבה לנכסה לרב זוטרא בר טוביה דבעיא לאנסובי לרב זביד ואינסבה ואיגרשה. אתאי לקמיה דרב ביבי בר אביי אמר משום אינסובי הוא והא אינסיבה פי' והמתנה קיימת. אמר רב הונא בריה דרב יהושע משום דאתון ממולאי אמריתו מילי מולייתא. אפילו למ"ד מברחת קנה הנ"מ היכא דלא גליא דעתה דמשום אינסובי. והא גליא דעתה. והתם לא היה תנאי דאילו היה תנאי</w:t>
      </w:r>
      <w:r>
        <w:rPr>
          <w:rStyle w:val="Style1Char"/>
          <w:rFonts w:hint="cs"/>
          <w:color w:val="4472C4" w:themeColor="accent1"/>
        </w:rPr>
        <w:t>‍</w:t>
      </w:r>
      <w:r w:rsidRPr="008F2AB0">
        <w:rPr>
          <w:rStyle w:val="Style1Char"/>
          <w:color w:val="4472C4" w:themeColor="accent1"/>
          <w:rtl/>
        </w:rPr>
        <w:t xml:space="preserve"> לא היה טועה רב ביבי לקיים המתנה. אלא גילוי דעת שאמרה שהיתה רוצה לינשא</w:t>
      </w:r>
      <w:r>
        <w:rPr>
          <w:rStyle w:val="Style1Char"/>
          <w:rFonts w:hint="cs"/>
          <w:color w:val="4472C4" w:themeColor="accent1"/>
        </w:rPr>
        <w:t>‍</w:t>
      </w:r>
      <w:r w:rsidRPr="008F2AB0">
        <w:rPr>
          <w:rStyle w:val="Style1Char"/>
          <w:color w:val="4472C4" w:themeColor="accent1"/>
          <w:rtl/>
        </w:rPr>
        <w:t xml:space="preserve"> והא גילוי דעת מועיל לכ"ע </w:t>
      </w:r>
      <w:r>
        <w:rPr>
          <w:rStyle w:val="Style1Char"/>
          <w:rFonts w:hint="cs"/>
          <w:color w:val="4472C4" w:themeColor="accent1"/>
        </w:rPr>
        <w:t>‍‍</w:t>
      </w:r>
      <w:r w:rsidRPr="008F2AB0">
        <w:rPr>
          <w:rStyle w:val="Style1Char"/>
          <w:color w:val="4472C4" w:themeColor="accent1"/>
          <w:rtl/>
        </w:rPr>
        <w:t>אפילו למ"ד מברחת קני.</w:t>
      </w:r>
      <w:r>
        <w:rPr>
          <w:rStyle w:val="Style1Char"/>
          <w:rFonts w:hint="cs"/>
          <w:color w:val="4472C4" w:themeColor="accent1"/>
        </w:rPr>
        <w:t>‍</w:t>
      </w:r>
      <w:r w:rsidRPr="008F2AB0">
        <w:rPr>
          <w:rStyle w:val="Style1Char"/>
          <w:color w:val="4472C4" w:themeColor="accent1"/>
          <w:rtl/>
        </w:rPr>
        <w:t xml:space="preserve"> כי ההוא (קדושין מט ב) דזבן ניכסיה אדעתא למיסק לארעא דישראל. מכלל דמברחת אפי' גילוי דעת אין כאן אלא שידוע לעולם שאשה זו עומדת לינשא. וכשכותבת כל נכסיה לאחר אנו אומדין דעתה שלהבריח מבעלה נתכוונה דלא שביק איניש ויהיב כל מה דאית ליה לאחרים. מידי דהוה אשכיב מרע שכתב כל נכסיו לאחר אם עמד חוזר. וכן אם נישאת מיד סמוך לנתינת הנכסים הלכך אמדינן דעתה דנתכוונה להבריח הנכסים מבעלה שלא יאכל הפירות וגם לא יירשנה אם תמות. ושתוכל למכור פירות כל פעם שתרצה. הלכך הפירות יאכל מקבל המתנה כל זמן שיושבת תחת בעלה וגם לא מכרתן ונתנתן לאחר. שהרי היא כוונה שלא יהיה הבעל נהנה מהם. ואם היו הפירות שלה היה הבעל נהנה מהן דאמרינן בהם ימכרו וילקח בהן קרקע כדפרישי' לעיל גבי פירות נכסים שאינן ידועין. ועוד אומדנא דמוכח הוא שכוונה שיהיו הפירות של המקבל מתנה. לפי שהיא יודעת שלא תמצא מי שישתדל בהן לעובדם ולשמרם ולא יכסיפם אם לא שיהנה בפירות. וגם אם תמות בחיי בעלה ישארו ביד המקבל מתנה. דאם לא כן יירשנה בעלה שאין לה יורש קרוב ממנו והיא כוונה להבריחם ממנו. הלכך על כרחך ישארו ביד המקבל מתנה ואם מת בעלה ומתה היא אחר כך אפילו קודם שחזרה בה מן המתנה חוזרין הנכסים ליורשיה</w:t>
      </w:r>
      <w:r>
        <w:rPr>
          <w:rStyle w:val="Style1Char"/>
          <w:rFonts w:hint="cs"/>
          <w:color w:val="4472C4" w:themeColor="accent1"/>
        </w:rPr>
        <w:t>‍</w:t>
      </w:r>
      <w:r w:rsidRPr="008F2AB0">
        <w:rPr>
          <w:rStyle w:val="Style1Char"/>
          <w:color w:val="4472C4" w:themeColor="accent1"/>
          <w:rtl/>
        </w:rPr>
        <w:t xml:space="preserve"> דאזלינן בתר אומדנא שלא נתנתם לו אלא כדי להבריחם מבעלה. ומיד שמת בעלה בטלה האומדנא וחזרו הנכסים לרשותה. מידי דהוה אמתנת שכיב מרע בכולה דאם עמד חוזר. ואם עמד ונתרפא מאותו חולי ומת אח"כ קודם שחזר בו נתבטלה המתנה ממילא</w:t>
      </w:r>
      <w:r w:rsidRPr="003F2627">
        <w:rPr>
          <w:rStyle w:val="Style1Char"/>
          <w:color w:val="auto"/>
          <w:sz w:val="22"/>
          <w:szCs w:val="22"/>
          <w:rtl/>
        </w:rPr>
        <w:t xml:space="preserve">, </w:t>
      </w:r>
      <w:r w:rsidRPr="001E4BD7">
        <w:rPr>
          <w:rStyle w:val="Style1Char"/>
          <w:color w:val="C00000"/>
          <w:sz w:val="22"/>
          <w:szCs w:val="22"/>
          <w:rtl/>
        </w:rPr>
        <w:t xml:space="preserve">לסוף </w:t>
      </w:r>
      <w:r w:rsidRPr="003F2627">
        <w:rPr>
          <w:rStyle w:val="Style1Char"/>
          <w:color w:val="auto"/>
          <w:sz w:val="22"/>
          <w:szCs w:val="22"/>
          <w:rtl/>
        </w:rPr>
        <w:t xml:space="preserve">אינסיבה ואיגרשה, </w:t>
      </w:r>
    </w:p>
    <w:p w14:paraId="073281C1" w14:textId="628E863A" w:rsidR="00EB40EC" w:rsidRDefault="00EB40EC" w:rsidP="00EB40EC">
      <w:pPr>
        <w:pStyle w:val="Style1"/>
        <w:rPr>
          <w:rStyle w:val="Style1Char"/>
          <w:rtl/>
        </w:rPr>
      </w:pPr>
      <w:r>
        <w:rPr>
          <w:rStyle w:val="Style1Char"/>
          <w:rFonts w:hint="cs"/>
          <w:rtl/>
        </w:rPr>
        <w:t>1)[</w:t>
      </w:r>
      <w:r w:rsidRPr="009E20F0">
        <w:rPr>
          <w:rStyle w:val="Style1Char"/>
          <w:rtl/>
        </w:rPr>
        <w:t>רמב</w:t>
      </w:r>
      <w:r w:rsidR="00213DA1">
        <w:rPr>
          <w:rStyle w:val="Style1Char"/>
          <w:rtl/>
        </w:rPr>
        <w:t>”ם \נשים\</w:t>
      </w:r>
      <w:r w:rsidRPr="009E20F0">
        <w:rPr>
          <w:rStyle w:val="Style1Char"/>
          <w:rtl/>
        </w:rPr>
        <w:t xml:space="preserve"> הלכות אישות פרק כב הלכה ז</w:t>
      </w:r>
      <w:r>
        <w:rPr>
          <w:rStyle w:val="Style1Char"/>
          <w:rFonts w:hint="cs"/>
          <w:rtl/>
        </w:rPr>
        <w:t xml:space="preserve">] </w:t>
      </w:r>
      <w:r w:rsidRPr="009E20F0">
        <w:rPr>
          <w:rStyle w:val="Style1Char"/>
          <w:rtl/>
        </w:rPr>
        <w:t>כל נכסים שיש לאשה בין נכסי צאן ברזל בין נכסי מלוג הבעל אוכל כל פירותיהן בחייה ואם מתה בחיי בעלה יורש בעלה הכל, לפיכך אם מכרה האשה נכסי מלוג אחר שנשאת אף על פי שאותן הנכסים נפלו לה קודם שתתארס הבעל מוציא הפירות מיד הלקוחות כל ימי חייה, אבל לא גוף הקרקע שאין לו כלום בגוף נכסי מלוג עד שתמות. מתה בחייו מוציא הגוף מיד הלקוחות בלא דמים, ואם הדמים שלקחה מן הלקוחות קיימין בעצמן מחזירן ללקוחות, ואינו יכול לומר שמא מציאה הן.</w:t>
      </w:r>
    </w:p>
    <w:p w14:paraId="37A86DFB" w14:textId="30424A4E" w:rsidR="00EB40EC" w:rsidRDefault="00EB40EC" w:rsidP="00EB40EC">
      <w:pPr>
        <w:pStyle w:val="Style1"/>
        <w:rPr>
          <w:rStyle w:val="Style1Char"/>
          <w:rtl/>
        </w:rPr>
      </w:pPr>
      <w:r>
        <w:rPr>
          <w:rStyle w:val="Style1Char"/>
          <w:rFonts w:hint="cs"/>
          <w:rtl/>
        </w:rPr>
        <w:t>1)[</w:t>
      </w:r>
      <w:r w:rsidRPr="001D21B4">
        <w:rPr>
          <w:rStyle w:val="Style1Char"/>
          <w:rtl/>
        </w:rPr>
        <w:t>רמב</w:t>
      </w:r>
      <w:r w:rsidR="00213DA1">
        <w:rPr>
          <w:rStyle w:val="Style1Char"/>
          <w:rtl/>
        </w:rPr>
        <w:t>”ם \נשים\</w:t>
      </w:r>
      <w:r w:rsidRPr="001D21B4">
        <w:rPr>
          <w:rStyle w:val="Style1Char"/>
          <w:rtl/>
        </w:rPr>
        <w:t xml:space="preserve"> הלכות אישות פרק כב הלכה ח</w:t>
      </w:r>
      <w:r>
        <w:rPr>
          <w:rStyle w:val="Style1Char"/>
          <w:rFonts w:hint="cs"/>
          <w:rtl/>
        </w:rPr>
        <w:t xml:space="preserve">] </w:t>
      </w:r>
      <w:r w:rsidRPr="001D21B4">
        <w:rPr>
          <w:rStyle w:val="Style1Char"/>
          <w:rtl/>
        </w:rPr>
        <w:t>במה דברים אמורים בנכסים הידועין לבעל אבל אם נפלו לה נכסים במדינה אחרת ולא ידע בהן הבעל ומכרה אותן מכרה קיים, וכן ארוסה שמכרה קודם הנישואין מכרה קיים שאין לבעל בנכסי ארוסתו כלום עד שיכנוס.</w:t>
      </w:r>
    </w:p>
    <w:p w14:paraId="3D0AE488" w14:textId="5862AA35" w:rsidR="009A017B" w:rsidRPr="009A017B" w:rsidRDefault="0050539B" w:rsidP="009A017B">
      <w:pPr>
        <w:pStyle w:val="Style1"/>
      </w:pPr>
      <w:r>
        <w:rPr>
          <w:rStyle w:val="Style1Char"/>
          <w:rFonts w:hint="cs"/>
          <w:rtl/>
        </w:rPr>
        <w:t>1)[</w:t>
      </w:r>
      <w:r w:rsidRPr="0050539B">
        <w:rPr>
          <w:rStyle w:val="Style1Char"/>
          <w:rtl/>
        </w:rPr>
        <w:t>שולחן ערוך אבן העזר הלכות כתובות סימן צ סעיף ט</w:t>
      </w:r>
      <w:r>
        <w:rPr>
          <w:rStyle w:val="Style1Char"/>
          <w:rFonts w:hint="cs"/>
          <w:rtl/>
        </w:rPr>
        <w:t>]</w:t>
      </w:r>
      <w:r w:rsidR="009A017B">
        <w:rPr>
          <w:rStyle w:val="Style1Char"/>
          <w:rFonts w:hint="cs"/>
          <w:rtl/>
        </w:rPr>
        <w:t xml:space="preserve"> </w:t>
      </w:r>
      <w:r w:rsidR="009A017B" w:rsidRPr="009A017B">
        <w:rPr>
          <w:rtl/>
        </w:rPr>
        <w:t>האשה שמכרה מנכסי מלוג אחר שנשאת, אף על פי שאותן הנכסים נפלו לה קדם שתתארס, הבעל מוציא פרות מיד הלקוחות כל ימי חייה, אבל לא גוף הקרקע; ואם מתה בחייו, מוציא הגוף מיד הלקוחות בלא דמים</w:t>
      </w:r>
      <w:r w:rsidR="009A017B" w:rsidRPr="009A017B">
        <w:t>. </w:t>
      </w:r>
      <w:r w:rsidR="009A017B" w:rsidRPr="009A017B">
        <w:rPr>
          <w:rFonts w:hint="cs"/>
          <w:rtl/>
        </w:rPr>
        <w:t>ויש אומרים דאף בחייה מוציא גוף הקרקע מיד הלוקח בלא דמים (טור והרא"ש)</w:t>
      </w:r>
      <w:r w:rsidR="009A017B" w:rsidRPr="009A017B">
        <w:t>.</w:t>
      </w:r>
    </w:p>
    <w:p w14:paraId="65EDFB16" w14:textId="77777777" w:rsidR="009A017B" w:rsidRPr="009A017B" w:rsidRDefault="009A017B" w:rsidP="009A017B">
      <w:pPr>
        <w:pStyle w:val="Style1"/>
      </w:pPr>
      <w:r w:rsidRPr="009A017B">
        <w:rPr>
          <w:rtl/>
        </w:rPr>
        <w:t>ואם הדמים שלקחה מהלקוחות קימים בעצמם</w:t>
      </w:r>
      <w:r w:rsidRPr="009A017B">
        <w:t>, </w:t>
      </w:r>
      <w:r w:rsidRPr="009A017B">
        <w:rPr>
          <w:rFonts w:hint="cs"/>
          <w:rtl/>
        </w:rPr>
        <w:t>או שנמצאו מעות בידה ונוכל לתלות שהם אלו (טור בשם הרא"ש)</w:t>
      </w:r>
      <w:r w:rsidRPr="009A017B">
        <w:t xml:space="preserve">, </w:t>
      </w:r>
      <w:r w:rsidRPr="009A017B">
        <w:rPr>
          <w:rtl/>
        </w:rPr>
        <w:t>מחזירן ללקוחות, ואינו יכול לומר: שמא מציאה הן</w:t>
      </w:r>
      <w:r w:rsidRPr="009A017B">
        <w:t>.</w:t>
      </w:r>
    </w:p>
    <w:p w14:paraId="75C67858" w14:textId="0D065E94" w:rsidR="009A017B" w:rsidRDefault="009A017B" w:rsidP="009A017B">
      <w:pPr>
        <w:pStyle w:val="Style1"/>
        <w:rPr>
          <w:rtl/>
        </w:rPr>
      </w:pPr>
      <w:r w:rsidRPr="009A017B">
        <w:rPr>
          <w:rFonts w:hint="cs"/>
          <w:rtl/>
        </w:rPr>
        <w:t>הגה: נתאלמנה או נתגרשה, מכרה קים (טור ורב הפוסקים). וכל ימי חייה, אם הבעל רוצה לבנות או לסתור בקרקע, הלוקח יכול למחות (נמוקי יוסף פרק חזקת הבתים). ואין חילוק בין אם מכרה הנכסים או הקדישה אותן</w:t>
      </w:r>
      <w:r w:rsidRPr="009A017B">
        <w:rPr>
          <w:rFonts w:hint="cs"/>
        </w:rPr>
        <w:t xml:space="preserve"> (</w:t>
      </w:r>
      <w:hyperlink r:id="rId195" w:tooltip="תרומת הדשן/א/רעב" w:history="1">
        <w:r w:rsidRPr="009A017B">
          <w:rPr>
            <w:rStyle w:val="Hyperlink"/>
            <w:rFonts w:hint="cs"/>
            <w:color w:val="7030A0"/>
            <w:u w:val="none"/>
            <w:rtl/>
          </w:rPr>
          <w:t>תרומת הדשן סימן רע"ב</w:t>
        </w:r>
      </w:hyperlink>
      <w:r w:rsidRPr="009A017B">
        <w:rPr>
          <w:rFonts w:hint="cs"/>
        </w:rPr>
        <w:t>)</w:t>
      </w:r>
      <w:r w:rsidRPr="009A017B">
        <w:t>:</w:t>
      </w:r>
    </w:p>
    <w:p w14:paraId="2A6A89CE" w14:textId="6F271E40" w:rsidR="00A95882" w:rsidRPr="00A95882" w:rsidRDefault="00B55EF1" w:rsidP="00A95882">
      <w:pPr>
        <w:pStyle w:val="Style1"/>
      </w:pPr>
      <w:r>
        <w:rPr>
          <w:rFonts w:hint="cs"/>
          <w:rtl/>
        </w:rPr>
        <w:lastRenderedPageBreak/>
        <w:t>2)[</w:t>
      </w:r>
      <w:r>
        <w:rPr>
          <w:rtl/>
        </w:rPr>
        <w:t>שולחן ערוך אבן העזר הלכות כתובות סימן צ סעיף יא</w:t>
      </w:r>
      <w:r>
        <w:rPr>
          <w:rFonts w:hint="cs"/>
          <w:rtl/>
        </w:rPr>
        <w:t>]</w:t>
      </w:r>
      <w:r w:rsidR="00A95882">
        <w:rPr>
          <w:rFonts w:hint="cs"/>
          <w:rtl/>
        </w:rPr>
        <w:t xml:space="preserve"> </w:t>
      </w:r>
      <w:r w:rsidR="00A95882" w:rsidRPr="00A95882">
        <w:rPr>
          <w:rtl/>
        </w:rPr>
        <w:t>במה דברים אמורים שאם מכרה משנשאת מוציא הבעל מיד הלקוחות, בנכסים הידועים לבעל. אבל אם נפלו לה נכסים ולא ידע בהם הבעל, לכתחלה לא תמכר, ואם מכרה אותם קדם שידע בהם מכרה קיים. וכן ארוסה לכתחלה לא תמכר נכסים שנפלו לה משנתארסה, ואם מכרה קדם הנשואין מכרה קיים</w:t>
      </w:r>
      <w:r w:rsidR="00A95882" w:rsidRPr="00A95882">
        <w:t>, </w:t>
      </w:r>
      <w:r w:rsidR="00A95882" w:rsidRPr="00A95882">
        <w:rPr>
          <w:rFonts w:hint="cs"/>
          <w:rtl/>
        </w:rPr>
        <w:t>אפלו נכסים הידועים לו</w:t>
      </w:r>
      <w:r w:rsidR="00A95882" w:rsidRPr="00A95882">
        <w:t>:</w:t>
      </w:r>
    </w:p>
    <w:p w14:paraId="4866FF39" w14:textId="75753A69" w:rsidR="00B55EF1" w:rsidRPr="009A017B" w:rsidRDefault="00B55EF1" w:rsidP="00B55EF1">
      <w:pPr>
        <w:pStyle w:val="Style1"/>
      </w:pPr>
    </w:p>
    <w:p w14:paraId="5DE71B5E" w14:textId="77777777" w:rsidR="009A017B" w:rsidRPr="009A017B" w:rsidRDefault="009A017B" w:rsidP="009A017B">
      <w:pPr>
        <w:pStyle w:val="Style1"/>
        <w:rPr>
          <w:rStyle w:val="Style1Char"/>
        </w:rPr>
      </w:pPr>
    </w:p>
    <w:p w14:paraId="7F75DFE6" w14:textId="5DA97D97" w:rsidR="0050539B" w:rsidRPr="009A017B" w:rsidRDefault="0050539B" w:rsidP="009A017B">
      <w:pPr>
        <w:pStyle w:val="Style1"/>
        <w:rPr>
          <w:rStyle w:val="Style1Char"/>
          <w:rtl/>
        </w:rPr>
      </w:pPr>
    </w:p>
    <w:p w14:paraId="50AFE6B5" w14:textId="77777777" w:rsidR="00EB40EC" w:rsidRPr="009A017B" w:rsidRDefault="00EB40EC" w:rsidP="009A017B">
      <w:pPr>
        <w:pStyle w:val="Style1"/>
        <w:rPr>
          <w:rStyle w:val="Style1Char"/>
        </w:rPr>
      </w:pPr>
    </w:p>
    <w:p w14:paraId="1F12AA8E" w14:textId="77777777" w:rsidR="00B2458D" w:rsidRPr="003F2627" w:rsidRDefault="00B2458D" w:rsidP="00B2458D">
      <w:pPr>
        <w:bidi/>
        <w:rPr>
          <w:rStyle w:val="Style1Char"/>
          <w:color w:val="C00000"/>
        </w:rPr>
      </w:pPr>
    </w:p>
    <w:p w14:paraId="2A25D0EB" w14:textId="77777777" w:rsidR="00B2458D" w:rsidRPr="001E4BD7" w:rsidRDefault="00B2458D" w:rsidP="00B2458D">
      <w:pPr>
        <w:bidi/>
        <w:rPr>
          <w:rStyle w:val="Style1Char"/>
          <w:color w:val="00B050"/>
          <w:rtl/>
        </w:rPr>
      </w:pPr>
    </w:p>
    <w:p w14:paraId="07CC9E37" w14:textId="77777777" w:rsidR="00B2458D" w:rsidRPr="005120E1" w:rsidRDefault="00B2458D" w:rsidP="00B2458D">
      <w:pPr>
        <w:bidi/>
        <w:rPr>
          <w:rStyle w:val="Style1Char"/>
          <w:color w:val="00B050"/>
          <w:rtl/>
        </w:rPr>
      </w:pPr>
    </w:p>
    <w:p w14:paraId="4FDE6B76" w14:textId="77777777" w:rsidR="00B2458D" w:rsidRPr="00E33E53" w:rsidRDefault="00B2458D" w:rsidP="00B2458D">
      <w:pPr>
        <w:bidi/>
        <w:rPr>
          <w:rStyle w:val="Style1Char"/>
          <w:color w:val="00B050"/>
          <w:rtl/>
        </w:rPr>
      </w:pPr>
    </w:p>
    <w:p w14:paraId="22CD72A6" w14:textId="77777777" w:rsidR="00B2458D" w:rsidRDefault="00B2458D" w:rsidP="00B2458D">
      <w:pPr>
        <w:rPr>
          <w:rStyle w:val="Style1Char"/>
          <w:color w:val="00B050"/>
          <w:rtl/>
        </w:rPr>
      </w:pPr>
      <w:r>
        <w:rPr>
          <w:rStyle w:val="Style1Char"/>
          <w:color w:val="00B050"/>
          <w:rtl/>
        </w:rPr>
        <w:br w:type="page"/>
      </w:r>
    </w:p>
    <w:p w14:paraId="3EB4098B" w14:textId="5F33DA82" w:rsidR="00B2458D" w:rsidRPr="008F2AB0" w:rsidRDefault="00B2458D" w:rsidP="00B2458D">
      <w:pPr>
        <w:bidi/>
        <w:rPr>
          <w:rStyle w:val="Style1Char"/>
          <w:color w:val="4472C4" w:themeColor="accent1"/>
        </w:rPr>
      </w:pPr>
      <w:r w:rsidRPr="003F2627">
        <w:rPr>
          <w:rStyle w:val="Style1Char"/>
          <w:color w:val="auto"/>
          <w:sz w:val="22"/>
          <w:szCs w:val="22"/>
          <w:highlight w:val="yellow"/>
          <w:rtl/>
        </w:rPr>
        <w:lastRenderedPageBreak/>
        <w:t>[דף עט עמוד א]</w:t>
      </w:r>
      <w:r w:rsidRPr="003F2627">
        <w:rPr>
          <w:rStyle w:val="Style1Char"/>
          <w:color w:val="auto"/>
          <w:sz w:val="22"/>
          <w:szCs w:val="22"/>
          <w:rtl/>
        </w:rPr>
        <w:t xml:space="preserve"> אתאי לקמיה דרב נחמן, קרעיה ר"נ לשטרא</w:t>
      </w:r>
      <w:r w:rsidRPr="003F2627">
        <w:rPr>
          <w:rStyle w:val="Style1Char"/>
          <w:color w:val="auto"/>
          <w:rtl/>
        </w:rPr>
        <w:t xml:space="preserve"> </w:t>
      </w:r>
      <w:r w:rsidRPr="00063640">
        <w:rPr>
          <w:rStyle w:val="Style1Char"/>
          <w:color w:val="C00000"/>
          <w:sz w:val="22"/>
          <w:szCs w:val="22"/>
          <w:rtl/>
        </w:rPr>
        <w:t>אמר</w:t>
      </w:r>
      <w:r w:rsidRPr="00952CA4">
        <w:rPr>
          <w:rStyle w:val="Style1Char"/>
          <w:color w:val="00B050"/>
          <w:rtl/>
        </w:rPr>
        <w:t xml:space="preserve">. </w:t>
      </w:r>
      <w:r w:rsidRPr="008E6363">
        <w:rPr>
          <w:rStyle w:val="Style1Char"/>
          <w:color w:val="ED7D31" w:themeColor="accent2"/>
          <w:sz w:val="22"/>
          <w:szCs w:val="22"/>
          <w:rtl/>
        </w:rPr>
        <w:t xml:space="preserve">אזל רב ענן לקמיה דמר עוקבא, א"ל: חזי מר, נחמן חקלאה היכי מקרע שטרי דאינשי! א"ל: אימא לי איזי גופא דעובדא היכי הוה, א"ל: הכי והכי הוה. א"ל: </w:t>
      </w:r>
      <w:r w:rsidRPr="008E6363">
        <w:rPr>
          <w:rStyle w:val="Style1Char"/>
          <w:color w:val="00B050"/>
          <w:sz w:val="22"/>
          <w:szCs w:val="22"/>
          <w:rtl/>
        </w:rPr>
        <w:t xml:space="preserve">שטר </w:t>
      </w:r>
      <w:r w:rsidRPr="008E6363">
        <w:rPr>
          <w:rStyle w:val="Style1Char"/>
          <w:color w:val="ED7D31" w:themeColor="accent2"/>
          <w:sz w:val="22"/>
          <w:szCs w:val="22"/>
          <w:rtl/>
        </w:rPr>
        <w:t>מברחת קא אמרת? הכי א"ר חנילאי בר אידי אמר שמואל: מורה הוראה אני,</w:t>
      </w:r>
      <w:r w:rsidRPr="008E6363">
        <w:rPr>
          <w:rStyle w:val="Style1Char"/>
          <w:color w:val="ED7D31" w:themeColor="accent2"/>
          <w:rtl/>
        </w:rPr>
        <w:t xml:space="preserve"> </w:t>
      </w:r>
      <w:r w:rsidR="008E6363" w:rsidRPr="008E6363">
        <w:rPr>
          <w:rStyle w:val="Style1Char"/>
          <w:rFonts w:hint="cs"/>
          <w:rtl/>
        </w:rPr>
        <w:t>(1)</w:t>
      </w:r>
      <w:r w:rsidRPr="008E6363">
        <w:rPr>
          <w:rStyle w:val="Style1Char"/>
          <w:color w:val="ED7D31" w:themeColor="accent2"/>
          <w:sz w:val="22"/>
          <w:szCs w:val="22"/>
          <w:rtl/>
        </w:rPr>
        <w:t>אם יבא שטר מברחת לידי אקרענו</w:t>
      </w:r>
      <w:r w:rsidRPr="008E6363">
        <w:rPr>
          <w:rStyle w:val="Style1Char"/>
          <w:color w:val="00B050"/>
          <w:sz w:val="22"/>
          <w:szCs w:val="22"/>
          <w:rtl/>
        </w:rPr>
        <w:t>.</w:t>
      </w:r>
      <w:r w:rsidRPr="00952CA4">
        <w:rPr>
          <w:rStyle w:val="Style1Char"/>
          <w:color w:val="00B050"/>
          <w:rtl/>
        </w:rPr>
        <w:t xml:space="preserve"> א"ל רבא לרב נחמן: טעמא מאי? </w:t>
      </w:r>
      <w:r w:rsidRPr="003F2627">
        <w:rPr>
          <w:rStyle w:val="Style1Char"/>
          <w:color w:val="ED7D31" w:themeColor="accent2"/>
          <w:rtl/>
        </w:rPr>
        <w:t>ד</w:t>
      </w:r>
      <w:r w:rsidRPr="003F2627">
        <w:rPr>
          <w:rStyle w:val="Style1Char"/>
          <w:color w:val="auto"/>
          <w:sz w:val="22"/>
          <w:szCs w:val="22"/>
          <w:rtl/>
        </w:rPr>
        <w:t>לא</w:t>
      </w:r>
      <w:r w:rsidRPr="003F2627">
        <w:rPr>
          <w:rStyle w:val="Style1Char"/>
          <w:color w:val="auto"/>
          <w:rtl/>
        </w:rPr>
        <w:t xml:space="preserve"> </w:t>
      </w:r>
      <w:r w:rsidRPr="003F2627">
        <w:rPr>
          <w:rStyle w:val="Style1Char"/>
          <w:color w:val="auto"/>
          <w:sz w:val="22"/>
          <w:szCs w:val="22"/>
          <w:rtl/>
        </w:rPr>
        <w:t>שביק איניש נפשיה ויהיב לאחריני</w:t>
      </w:r>
      <w:r w:rsidRPr="003F2627">
        <w:rPr>
          <w:rStyle w:val="Style1Char"/>
          <w:color w:val="auto"/>
          <w:rtl/>
        </w:rPr>
        <w:t xml:space="preserve"> </w:t>
      </w:r>
      <w:r w:rsidRPr="003F2627">
        <w:rPr>
          <w:rStyle w:val="Style1Char"/>
          <w:color w:val="806000" w:themeColor="accent4" w:themeShade="80"/>
          <w:sz w:val="22"/>
          <w:szCs w:val="22"/>
          <w:rtl/>
        </w:rPr>
        <w:t>אפילו לברתיה</w:t>
      </w:r>
      <w:r w:rsidRPr="00952CA4">
        <w:rPr>
          <w:rStyle w:val="Style1Char"/>
          <w:color w:val="00B050"/>
          <w:rtl/>
        </w:rPr>
        <w:t xml:space="preserve">, ה"מ לאחריני, אבל לברתה יהיבא! אפ"ה, במקום ברתה נפשה עדיפא לה. </w:t>
      </w:r>
      <w:r w:rsidRPr="003F2627">
        <w:rPr>
          <w:rStyle w:val="Style1Char"/>
          <w:color w:val="auto"/>
          <w:sz w:val="22"/>
          <w:szCs w:val="22"/>
          <w:rtl/>
        </w:rPr>
        <w:t xml:space="preserve">מיתיבי: הרוצה שתבריח נכסיה מבעלה, כיצד היא עושה? כותבת שטר פסים לאחרים, דברי רשב"ג וחכ"א: רצה מצחק בה, עד </w:t>
      </w:r>
      <w:r w:rsidR="00C62BA0">
        <w:rPr>
          <w:rStyle w:val="Style1Char"/>
          <w:rFonts w:hint="cs"/>
          <w:rtl/>
        </w:rPr>
        <w:t>(1)</w:t>
      </w:r>
      <w:r w:rsidRPr="003F2627">
        <w:rPr>
          <w:rStyle w:val="Style1Char"/>
          <w:color w:val="auto"/>
          <w:sz w:val="22"/>
          <w:szCs w:val="22"/>
          <w:rtl/>
        </w:rPr>
        <w:t>שתכתוב לו מהיום ולכשארצה</w:t>
      </w:r>
      <w:r w:rsidRPr="003F2627">
        <w:rPr>
          <w:rStyle w:val="Style1Char"/>
          <w:color w:val="4472C4" w:themeColor="accent1"/>
          <w:rtl/>
        </w:rPr>
        <w:t xml:space="preserve"> </w:t>
      </w:r>
      <w:r w:rsidRPr="008F2AB0">
        <w:rPr>
          <w:rStyle w:val="Style1Char"/>
          <w:color w:val="4472C4" w:themeColor="accent1"/>
          <w:rtl/>
        </w:rPr>
        <w:t>פי' מהיום תחול המתנה לכשארצה לקיימה. אבל בכל פעם שארצה הרשות בידי לבטלה.</w:t>
      </w:r>
      <w:r w:rsidRPr="003F2627">
        <w:rPr>
          <w:rStyle w:val="Style1Char"/>
          <w:color w:val="auto"/>
          <w:sz w:val="22"/>
          <w:szCs w:val="22"/>
          <w:rtl/>
        </w:rPr>
        <w:t xml:space="preserve">; טעמא דכתבה ליה הכי, הא לא כתבה ליה הכי - קננהי לוקח! א"ר זירא, לא קשיא: </w:t>
      </w:r>
      <w:r w:rsidR="00C62BA0">
        <w:rPr>
          <w:rStyle w:val="Style1Char"/>
          <w:rFonts w:hint="cs"/>
          <w:rtl/>
        </w:rPr>
        <w:t>(1)</w:t>
      </w:r>
      <w:r w:rsidRPr="003F2627">
        <w:rPr>
          <w:rStyle w:val="Style1Char"/>
          <w:color w:val="auto"/>
          <w:sz w:val="22"/>
          <w:szCs w:val="22"/>
          <w:rtl/>
        </w:rPr>
        <w:t>הא בכולה, הא במקצתה</w:t>
      </w:r>
      <w:r w:rsidRPr="003F2627">
        <w:rPr>
          <w:rStyle w:val="Style1Char"/>
          <w:color w:val="auto"/>
          <w:rtl/>
        </w:rPr>
        <w:t xml:space="preserve"> </w:t>
      </w:r>
      <w:r w:rsidRPr="003F2627">
        <w:rPr>
          <w:rStyle w:val="Style1Char"/>
          <w:color w:val="806000" w:themeColor="accent4" w:themeShade="80"/>
          <w:rtl/>
        </w:rPr>
        <w:t>במקצתן עד דכתבה ליה הכי אבל בכולן אפי' לא כתבה לו הכי לא קננהו כדגרסי' בפ' מי שמת [בבא - בתרא ק"נ ע"ב] חמשה עד שיכתבו כל נכסיהן וחדא מינייהו המברחת נכסיה מבעלה</w:t>
      </w:r>
      <w:r w:rsidRPr="009A24BC">
        <w:rPr>
          <w:rStyle w:val="Style1Char"/>
          <w:color w:val="4472C4" w:themeColor="accent1"/>
          <w:rtl/>
        </w:rPr>
        <w:t xml:space="preserve"> </w:t>
      </w:r>
      <w:r w:rsidRPr="008F2AB0">
        <w:rPr>
          <w:rStyle w:val="Style1Char"/>
          <w:color w:val="4472C4" w:themeColor="accent1"/>
          <w:rtl/>
        </w:rPr>
        <w:t>ושיעור השיור הוי כמו שפירשתי שיור שכיב מרע בפ' מי שמת (סי' כו)</w:t>
      </w:r>
      <w:r w:rsidRPr="008F2AB0">
        <w:rPr>
          <w:rStyle w:val="Style1Char"/>
          <w:color w:val="4472C4" w:themeColor="accent1"/>
        </w:rPr>
        <w:t>:</w:t>
      </w:r>
    </w:p>
    <w:p w14:paraId="1BDEFF07" w14:textId="77777777" w:rsidR="00B2458D" w:rsidRDefault="00B2458D" w:rsidP="00B2458D">
      <w:pPr>
        <w:bidi/>
        <w:rPr>
          <w:rStyle w:val="Style1Char"/>
          <w:color w:val="C00000"/>
          <w:sz w:val="22"/>
          <w:szCs w:val="22"/>
        </w:rPr>
      </w:pPr>
      <w:r w:rsidRPr="00DD19F2">
        <w:rPr>
          <w:rStyle w:val="Style1Char"/>
          <w:color w:val="auto"/>
          <w:sz w:val="22"/>
          <w:szCs w:val="22"/>
          <w:rtl/>
        </w:rPr>
        <w:t xml:space="preserve">ואי לא קננהי לוקח, ניקנינהו בעל! </w:t>
      </w:r>
      <w:r w:rsidRPr="008F2AB0">
        <w:rPr>
          <w:rStyle w:val="Style1Char"/>
          <w:color w:val="4472C4" w:themeColor="accent1"/>
          <w:rtl/>
        </w:rPr>
        <w:t xml:space="preserve">פי' רש"י לשמואל בכותבת כולן דאמר לא קני מאי הברחה איכא לקנינהו בעל. ודקדק רבינו שמשון מתוך לשונו מדקאמר מאי הברחה איכא משמע שרוצה לפרש כך והיא כוונה להבריח ואם יקנם הבעל לא נתקיימת כוונתה הלכך ע"כ מאחר שצריך לקנות או זה או זה יש לנו לילך אחר כוונתה והיא לא רצתה שיקנה הבעל אם כן יקנם הלוקח. ומשני </w:t>
      </w:r>
      <w:r w:rsidRPr="006C1A3C">
        <w:rPr>
          <w:rStyle w:val="Style1Char"/>
          <w:sz w:val="22"/>
          <w:szCs w:val="22"/>
          <w:rtl/>
        </w:rPr>
        <w:t xml:space="preserve">אמר אביי: </w:t>
      </w:r>
      <w:r w:rsidRPr="00DD19F2">
        <w:rPr>
          <w:rStyle w:val="Style1Char"/>
          <w:color w:val="auto"/>
          <w:sz w:val="22"/>
          <w:szCs w:val="22"/>
          <w:rtl/>
        </w:rPr>
        <w:t>עשאום כנכסים שאין ידועין לבעל, ואליבא דר"ש</w:t>
      </w:r>
      <w:r w:rsidRPr="00622231">
        <w:rPr>
          <w:rStyle w:val="Style1Char"/>
          <w:color w:val="4472C4" w:themeColor="accent1"/>
          <w:rtl/>
        </w:rPr>
        <w:t xml:space="preserve"> </w:t>
      </w:r>
      <w:r w:rsidRPr="008F2AB0">
        <w:rPr>
          <w:rStyle w:val="Style1Char"/>
          <w:color w:val="4472C4" w:themeColor="accent1"/>
          <w:rtl/>
        </w:rPr>
        <w:t>הלכך אפשר שלא קנאם הבעל אף על פי שלא קנאם הלוקח הלכך לא קנויה לא לזה ולא לזה</w:t>
      </w:r>
      <w:r w:rsidRPr="008F2AB0">
        <w:rPr>
          <w:rStyle w:val="Style1Char"/>
          <w:color w:val="4472C4" w:themeColor="accent1"/>
        </w:rPr>
        <w:t>:</w:t>
      </w:r>
      <w:r w:rsidRPr="00DD19F2">
        <w:rPr>
          <w:rStyle w:val="Style1Char"/>
          <w:color w:val="auto"/>
          <w:sz w:val="22"/>
          <w:szCs w:val="22"/>
          <w:rtl/>
        </w:rPr>
        <w:t xml:space="preserve">. </w:t>
      </w:r>
      <w:r w:rsidRPr="006C1A3C">
        <w:rPr>
          <w:rStyle w:val="Style1Char"/>
          <w:color w:val="C00000"/>
          <w:sz w:val="22"/>
          <w:szCs w:val="22"/>
          <w:rtl/>
        </w:rPr>
        <w:t>ושמעינן מינה דהלכתא כר' שמעון</w:t>
      </w:r>
      <w:r w:rsidRPr="006C1A3C">
        <w:rPr>
          <w:rStyle w:val="Style1Char"/>
          <w:color w:val="C00000"/>
          <w:sz w:val="22"/>
          <w:szCs w:val="22"/>
        </w:rPr>
        <w:t>:</w:t>
      </w:r>
    </w:p>
    <w:p w14:paraId="54EA67BD" w14:textId="77777777" w:rsidR="00B2458D" w:rsidRPr="008F2AB0" w:rsidRDefault="00B2458D" w:rsidP="00B2458D">
      <w:pPr>
        <w:bidi/>
        <w:rPr>
          <w:rStyle w:val="Style1Char"/>
          <w:color w:val="4472C4" w:themeColor="accent1"/>
        </w:rPr>
      </w:pPr>
      <w:r w:rsidRPr="008F2AB0">
        <w:rPr>
          <w:rStyle w:val="Style1Char"/>
          <w:color w:val="4472C4" w:themeColor="accent1"/>
          <w:rtl/>
        </w:rPr>
        <w:t>וגם כתב רבינו שמשון ז"ל שמעשה בא לפני ר"ת באחד שרצה ללוות וכתב כל נכסיו לאחר להבריחם שלא ישתעבדו לבעל חוב. וגם באחד שהבריח כל נכסיו לאחר שלא ישתעבדו לכתובת אשתו. ואומר ר"ת ז"ל שהמתנה מתנה. דמאי טעמא אמרי' שטר מברחת אינו קונה. מפני שאינה מתכוונת להקנות לו ועיקר כוונתה שלא יקנה הבעל והכא הוא דלא קנה הבעל כדאמרינן עשאום כנכסים שאינן ידועין וכו' הלכך גם מקבל המתנה לא קנה אבל הכא דליכא למימר כי האי טעמא דאי לא הוה קני ליה המקבל הוה קני ליה בעל חוב והאשה. א"כ לא מיקרי האי שטר מבריח כיון דבהכי אינו מבריח. הלכך ליכא למימר לאברוחי איכוין כיון דאינו מוברח. אלא למתנה גמורה איכוין וזכה מקבל המתנה. ולי נראה שהוציאו שיטת הש"ס ממשמעותא. ופשטא דסוגיא הכי אזלא ואי לא קננהו לוקח כדאמר שמואל דבכולן לא קנה. ליקנינהו בעל דכיון שהן ברשות האשה לחזור בה בכל עת שתרצה א"כ לא יצאו מרשותה ומאי הברחה איכא וליקנינהו בעל ומשני אף על גב דלא זכה בהן מקבל המתנה ונשארו ברשות האשה לא קנאם הבעל כדמפרש טעמא. ומשמע הא בעלמא כגון מבריח נכסיו מבעל חוב ומכתובת אשה דמקבל מתנה אי אפשר לו לקנות דאנן סהדי דלא שביק נפשיה ויהיב מה דאית ליה לאחריני וכיון שלא כוון להקנות לו אלא להבריח לא יצאו הנכסים מרשותו. וכיון דליכא למימר טעמא דלא משתעבדי לבעל חוב ולכתובה אף על פי שנשארו ברשותו כדאיתא טעמא הכא גבי מברחת א"כ ע"כ משועבדים הן לבעל חוב ולכתובה. ומ"ש רבינו שמשון דאי לא הוה קני להו המקבל הוה קני להו הבעל חוב והאשה אם כן לא מיקרי האי שטרא מבריח הלכך ליכא למימר לאברוחי איכוין כיון דאינו מבריח אלא למתנה גמורה איכוין וזכה מקבל המתנה. הא סברא ליתא כלל דודאי לאברוחי איכוין כמפרש הש"ס טעמא דלא שביק איניש נפשיה ויהיב לאחריני. ונקרא שטר מבריח כיון דכוונתו היה להבריח אלא שטעה בזה כסבור היה שתועיל ההברחה אף על פי שלא יקנה המקבל. וכיון שדין הוא שלא תועיל ההברחה אם לא שיקנה המקבל והמקבל אי אפשר לו לקנות כיון שלא כוון להקנות לו ממילא נשארו הנכסים ברשותו ונשתעבדו לכתובת אשה ולבעל חוב. ועוד עיקר הדין הזה הוא אומד הדעת. וזה האיש שכוון להבריח וכסבור הוא שתועיל ההברחה אף על פי שלא זכה המקבל וכשיודע לו שאי אפשר להיות זה אלא שצריך שיקנה המקבל ישתעבדו או לבעל חוב ולכתובת אשה. אנן סהדי דניחא ליה שלא יזכה בהו המקבל וישארו בחזקתו. ויאכל פירות נכסיו עד שיטרפם בעל חוב ויפרע חובו מנכסיו ולא יהיה לוה רשע ולא ישלם. או תמות אשתו בחייו וישארו לו נכסיו ממה שיזכה בהן המקבל ויפסיד נכסיו מעכשיו וגם לא יפרע חובו וכן פי' הר"ר מאיר הלוי ז"ל ושאר גדולי הארץ הזאת וכן עיקר</w:t>
      </w:r>
      <w:r w:rsidRPr="008F2AB0">
        <w:rPr>
          <w:rStyle w:val="Style1Char"/>
          <w:color w:val="4472C4" w:themeColor="accent1"/>
        </w:rPr>
        <w:t>:</w:t>
      </w:r>
    </w:p>
    <w:p w14:paraId="3F9AA057" w14:textId="77777777" w:rsidR="00B2458D" w:rsidRPr="008F2AB0" w:rsidRDefault="00B2458D" w:rsidP="00B2458D">
      <w:pPr>
        <w:bidi/>
        <w:rPr>
          <w:rStyle w:val="Style1Char"/>
          <w:color w:val="4472C4" w:themeColor="accent1"/>
        </w:rPr>
      </w:pPr>
      <w:r w:rsidRPr="008F2AB0">
        <w:rPr>
          <w:rStyle w:val="Style1Char"/>
          <w:color w:val="4472C4" w:themeColor="accent1"/>
          <w:rtl/>
        </w:rPr>
        <w:t>בנכסים שאין ידועים לבעל ואליבא דרבי שמעון פסק רבינו חננאל ז"ל הלכה כרבי שמעון מדקאמר ואליבא דרבי שמעון משמע דרב נחמן וכל הני אמוראי דסברי להו דשטר מברחת לא קנה אליבא דר' שמעון קאמרי שמחלק בין נכסים ידועים לשאינן ידועים. ורבנן דפליגי עליה סבירא להו דשטר מברחת קנה ואנן דסבירא לן דשטר מברחת לא קנה סבירא לן נמי כרבי שמעון ואין לומר דהכא משום תקנת מברחת הוא דתקון רבנן הכי. כדקאמר ר' שמעון בנכסים שאינן ידועין ואפי' רבנן דרבי שמעון מודו הכא. ולעולם לית הלכתא כוותיה במתני'. הא ליתא דהוה ליה למימר עשאום כנכסים שאינן ידועים אליבא דר' שמעון בלא וי"ו. דהוה משמע כי היכי דאליבא דר' שמעון לא הוו נכסים שאינן ידועין לבעל של בעל ה"נ בהברחה לא קני להו בעל ואפי' לרבנן דפליגי עליה דר"ש במתני'. ומדקאמר ואליבא דר' שמעון משמע דוקא לר"ש הוא דלא קנה</w:t>
      </w:r>
      <w:r w:rsidRPr="008F2AB0">
        <w:rPr>
          <w:rStyle w:val="Style1Char"/>
          <w:color w:val="4472C4" w:themeColor="accent1"/>
        </w:rPr>
        <w:t xml:space="preserve">: </w:t>
      </w:r>
    </w:p>
    <w:p w14:paraId="2A060BEA" w14:textId="7693D3AC" w:rsidR="00B2458D" w:rsidRPr="005D4606" w:rsidRDefault="00B2458D" w:rsidP="00B2458D">
      <w:pPr>
        <w:bidi/>
        <w:rPr>
          <w:rStyle w:val="Style1Char"/>
          <w:color w:val="auto"/>
          <w:sz w:val="22"/>
          <w:szCs w:val="22"/>
        </w:rPr>
      </w:pPr>
      <w:r w:rsidRPr="005D4606">
        <w:rPr>
          <w:rStyle w:val="Style1Char"/>
          <w:color w:val="auto"/>
          <w:sz w:val="22"/>
          <w:szCs w:val="22"/>
          <w:rtl/>
        </w:rPr>
        <w:t xml:space="preserve">מתני'. </w:t>
      </w:r>
      <w:r w:rsidR="00B105F8">
        <w:rPr>
          <w:rStyle w:val="Style1Char"/>
          <w:rFonts w:hint="cs"/>
          <w:rtl/>
        </w:rPr>
        <w:t>(2)</w:t>
      </w:r>
      <w:r w:rsidRPr="005D4606">
        <w:rPr>
          <w:rStyle w:val="Style1Char"/>
          <w:color w:val="auto"/>
          <w:sz w:val="22"/>
          <w:szCs w:val="22"/>
          <w:rtl/>
        </w:rPr>
        <w:t xml:space="preserve">נפלו לה כספים - ילקח בהן קרקע והוא אוכל פירות; פירות התלושין מן הקרקע - ילקח בהן קרקע והוא אוכל פירות, [פירות] המחוברים בקרקע - א"ר מאיר: שמין אותה כמה היא יפה בפירות וכמה היא יפה בלא פירות, ומותר ילקח בהן קרקע והוא אוכל פירות; </w:t>
      </w:r>
      <w:r w:rsidR="00F13ABE">
        <w:rPr>
          <w:rStyle w:val="Style1Char"/>
          <w:rFonts w:hint="cs"/>
          <w:rtl/>
        </w:rPr>
        <w:t>(3)</w:t>
      </w:r>
      <w:r w:rsidRPr="005D4606">
        <w:rPr>
          <w:rStyle w:val="Style1Char"/>
          <w:color w:val="auto"/>
          <w:sz w:val="22"/>
          <w:szCs w:val="22"/>
          <w:rtl/>
        </w:rPr>
        <w:t xml:space="preserve">וחכ"א: המחוברים לקרקע - שלו, והתלושין מן הקרקע - שלה, וילקח בהן קרקע והוא אוכל פירות; ר"ש אומר: מקום שיפה כחו בכניסתה - הורע כחו ביציאתה, מקום שהורע כחו בכניסתה - יפה כחו ביציאתה, כיצד? פירות המחוברים לקרקע - בכניסתה שלו, וביציאתה שלה, והתלושין מן הקרקע - בכניסתה שלה, וביציאתה שלו. </w:t>
      </w:r>
    </w:p>
    <w:p w14:paraId="4503CF79" w14:textId="45FD3C58" w:rsidR="00B2458D" w:rsidRDefault="00B2458D" w:rsidP="00B2458D">
      <w:pPr>
        <w:bidi/>
        <w:rPr>
          <w:rStyle w:val="Style1Char"/>
          <w:color w:val="auto"/>
          <w:sz w:val="22"/>
          <w:szCs w:val="22"/>
          <w:rtl/>
        </w:rPr>
      </w:pPr>
      <w:r w:rsidRPr="006D47FC">
        <w:rPr>
          <w:rStyle w:val="Style1Char"/>
          <w:color w:val="auto"/>
          <w:sz w:val="22"/>
          <w:szCs w:val="22"/>
          <w:rtl/>
        </w:rPr>
        <w:t xml:space="preserve">גמ'. </w:t>
      </w:r>
      <w:r w:rsidR="00CD2487">
        <w:rPr>
          <w:rStyle w:val="Style1Char"/>
          <w:rFonts w:hint="cs"/>
          <w:rtl/>
        </w:rPr>
        <w:t>(2.2, 4)</w:t>
      </w:r>
      <w:r w:rsidRPr="006D47FC">
        <w:rPr>
          <w:rStyle w:val="Style1Char"/>
          <w:color w:val="auto"/>
          <w:sz w:val="22"/>
          <w:szCs w:val="22"/>
          <w:rtl/>
        </w:rPr>
        <w:t>פשיטא</w:t>
      </w:r>
      <w:r w:rsidRPr="00202DB8">
        <w:rPr>
          <w:rStyle w:val="Style1Char"/>
          <w:sz w:val="22"/>
          <w:szCs w:val="22"/>
          <w:rtl/>
        </w:rPr>
        <w:t xml:space="preserve">, </w:t>
      </w:r>
      <w:r w:rsidRPr="006D47FC">
        <w:rPr>
          <w:rStyle w:val="Style1Char"/>
          <w:color w:val="806000" w:themeColor="accent4" w:themeShade="80"/>
          <w:sz w:val="22"/>
          <w:szCs w:val="22"/>
          <w:rtl/>
        </w:rPr>
        <w:t xml:space="preserve">אמר חד מינייהו נזבון </w:t>
      </w:r>
      <w:r w:rsidRPr="006D47FC">
        <w:rPr>
          <w:rStyle w:val="Style1Char"/>
          <w:color w:val="auto"/>
          <w:sz w:val="22"/>
          <w:szCs w:val="22"/>
          <w:rtl/>
        </w:rPr>
        <w:t xml:space="preserve">ארעא </w:t>
      </w:r>
      <w:r w:rsidRPr="006D47FC">
        <w:rPr>
          <w:rStyle w:val="Style1Char"/>
          <w:color w:val="806000" w:themeColor="accent4" w:themeShade="80"/>
          <w:sz w:val="22"/>
          <w:szCs w:val="22"/>
          <w:rtl/>
        </w:rPr>
        <w:t xml:space="preserve">ואמר אידך נזבון </w:t>
      </w:r>
      <w:r w:rsidRPr="003F7B28">
        <w:rPr>
          <w:rStyle w:val="Style1Char"/>
          <w:color w:val="00B050"/>
          <w:rtl/>
        </w:rPr>
        <w:t>ו</w:t>
      </w:r>
      <w:r w:rsidRPr="006D47FC">
        <w:rPr>
          <w:rStyle w:val="Style1Char"/>
          <w:color w:val="auto"/>
          <w:sz w:val="22"/>
          <w:szCs w:val="22"/>
          <w:rtl/>
        </w:rPr>
        <w:t>בתי</w:t>
      </w:r>
      <w:r w:rsidRPr="00202DB8">
        <w:rPr>
          <w:rStyle w:val="Style1Char"/>
          <w:sz w:val="22"/>
          <w:szCs w:val="22"/>
          <w:rtl/>
        </w:rPr>
        <w:t xml:space="preserve"> - </w:t>
      </w:r>
      <w:r w:rsidRPr="006D47FC">
        <w:rPr>
          <w:rStyle w:val="Style1Char"/>
          <w:color w:val="806000" w:themeColor="accent4" w:themeShade="80"/>
          <w:sz w:val="22"/>
          <w:szCs w:val="22"/>
          <w:rtl/>
        </w:rPr>
        <w:t xml:space="preserve">זבני </w:t>
      </w:r>
      <w:r w:rsidRPr="006D47FC">
        <w:rPr>
          <w:rStyle w:val="Style1Char"/>
          <w:color w:val="auto"/>
          <w:sz w:val="22"/>
          <w:szCs w:val="22"/>
          <w:rtl/>
        </w:rPr>
        <w:t xml:space="preserve">ארעא, בתי ודיקלי - בתי, דיקלי ואילני - דיקלי, אילני וגופני - אילני; אבא זרדתא, ופירא דכוורי - אמרי לה: פירא, ואמרי לה: קרנא. </w:t>
      </w:r>
      <w:r w:rsidR="002D35A7">
        <w:rPr>
          <w:rStyle w:val="Style1Char"/>
          <w:rFonts w:hint="cs"/>
          <w:rtl/>
        </w:rPr>
        <w:t>(2.2, 4)</w:t>
      </w:r>
      <w:r w:rsidRPr="006D47FC">
        <w:rPr>
          <w:rStyle w:val="Style1Char"/>
          <w:color w:val="auto"/>
          <w:sz w:val="22"/>
          <w:szCs w:val="22"/>
          <w:rtl/>
        </w:rPr>
        <w:t>כללא דמילתא: גזעו מחליף - פירא, אין גזעו מחליף - קרנא</w:t>
      </w:r>
      <w:r w:rsidRPr="006D47FC">
        <w:rPr>
          <w:rStyle w:val="Style1Char"/>
          <w:color w:val="auto"/>
          <w:rtl/>
        </w:rPr>
        <w:t xml:space="preserve"> </w:t>
      </w:r>
      <w:r w:rsidRPr="006204B1">
        <w:rPr>
          <w:rStyle w:val="Style1Char"/>
          <w:color w:val="806000" w:themeColor="accent4" w:themeShade="80"/>
          <w:sz w:val="22"/>
          <w:szCs w:val="22"/>
          <w:rtl/>
        </w:rPr>
        <w:t xml:space="preserve">נסחא אחרינא גזעו מחליף קרנא אין גזעו מחליף פירא </w:t>
      </w:r>
      <w:r w:rsidRPr="008F2AB0">
        <w:rPr>
          <w:rStyle w:val="Style1Char"/>
          <w:color w:val="4472C4" w:themeColor="accent1"/>
          <w:rtl/>
        </w:rPr>
        <w:t>לנוסחא קמייתא הכי פירושו. גזעו מחליף פירא כלומר הפרי יאכל הבעל ולא אמרינן ימכר וילקח בהן קרקע. אין גזעו מחליף קרנא</w:t>
      </w:r>
      <w:r>
        <w:rPr>
          <w:rStyle w:val="Style1Char"/>
          <w:rFonts w:hint="cs"/>
          <w:color w:val="4472C4" w:themeColor="accent1"/>
        </w:rPr>
        <w:t>‍</w:t>
      </w:r>
      <w:r w:rsidRPr="008F2AB0">
        <w:rPr>
          <w:rStyle w:val="Style1Char"/>
          <w:color w:val="4472C4" w:themeColor="accent1"/>
          <w:rtl/>
        </w:rPr>
        <w:t xml:space="preserve"> כלומר יעשה ממנו קרן וימכר וילקח בהן קרקע. לנוסחא בתרייתא הכי פירושו כשבא לקנות בכספים שנפלו לה לא יקנה לעשות קרן אלא דבר שגזעו מחליף</w:t>
      </w:r>
      <w:r>
        <w:rPr>
          <w:rStyle w:val="Style1Char"/>
          <w:rFonts w:hint="cs"/>
          <w:color w:val="4472C4" w:themeColor="accent1"/>
        </w:rPr>
        <w:t>‍</w:t>
      </w:r>
      <w:r w:rsidRPr="008F2AB0">
        <w:rPr>
          <w:rStyle w:val="Style1Char"/>
          <w:color w:val="4472C4" w:themeColor="accent1"/>
          <w:rtl/>
        </w:rPr>
        <w:t xml:space="preserve"> אבל דבר שאין גזעו מחליף לא יקנה דחשיב כפירא</w:t>
      </w:r>
      <w:r w:rsidRPr="008F2AB0">
        <w:rPr>
          <w:rStyle w:val="Style1Char"/>
          <w:color w:val="4472C4" w:themeColor="accent1"/>
        </w:rPr>
        <w:t xml:space="preserve">: </w:t>
      </w:r>
      <w:r w:rsidRPr="006204B1">
        <w:rPr>
          <w:rStyle w:val="Style1Char"/>
          <w:color w:val="806000" w:themeColor="accent4" w:themeShade="80"/>
          <w:sz w:val="22"/>
          <w:szCs w:val="22"/>
          <w:rtl/>
        </w:rPr>
        <w:t>הלכך כל היכא דקתני ילקח בו קרקע אין קונין אלא דבר שגזעו מחליף</w:t>
      </w:r>
      <w:r w:rsidRPr="00F01BA7">
        <w:rPr>
          <w:rStyle w:val="Style1Char"/>
          <w:sz w:val="22"/>
          <w:szCs w:val="22"/>
          <w:rtl/>
        </w:rPr>
        <w:t xml:space="preserve">. </w:t>
      </w:r>
      <w:r w:rsidRPr="00F01BA7">
        <w:rPr>
          <w:rStyle w:val="Style1Char"/>
          <w:color w:val="auto"/>
          <w:sz w:val="22"/>
          <w:szCs w:val="22"/>
          <w:rtl/>
        </w:rPr>
        <w:t xml:space="preserve">א"ר זירא א"ר אושעיא אמר ר' ינאי, ואמרי לה אמר ר' אבא א"ר אושעיא א"ר ינאי: הגונב </w:t>
      </w:r>
    </w:p>
    <w:p w14:paraId="471D64B1" w14:textId="1D98C087" w:rsidR="00637EB7" w:rsidRDefault="00637EB7" w:rsidP="00637EB7">
      <w:pPr>
        <w:pStyle w:val="Style1"/>
        <w:rPr>
          <w:rStyle w:val="Style1Char"/>
          <w:rtl/>
        </w:rPr>
      </w:pPr>
      <w:r>
        <w:rPr>
          <w:rStyle w:val="Style1Char"/>
          <w:rFonts w:hint="cs"/>
          <w:rtl/>
        </w:rPr>
        <w:t>1)[</w:t>
      </w:r>
      <w:r w:rsidRPr="00637EB7">
        <w:rPr>
          <w:rStyle w:val="Style1Char"/>
          <w:rtl/>
        </w:rPr>
        <w:t>רמב</w:t>
      </w:r>
      <w:r w:rsidR="00213DA1">
        <w:rPr>
          <w:rStyle w:val="Style1Char"/>
          <w:rtl/>
        </w:rPr>
        <w:t>”ם \נשים\</w:t>
      </w:r>
      <w:r w:rsidRPr="00637EB7">
        <w:rPr>
          <w:rStyle w:val="Style1Char"/>
          <w:rtl/>
        </w:rPr>
        <w:t xml:space="preserve"> הלכות אישות פרק כב הלכה ט</w:t>
      </w:r>
      <w:r>
        <w:rPr>
          <w:rStyle w:val="Style1Char"/>
          <w:rFonts w:hint="cs"/>
          <w:rtl/>
        </w:rPr>
        <w:t xml:space="preserve">] </w:t>
      </w:r>
      <w:r w:rsidRPr="00637EB7">
        <w:rPr>
          <w:rStyle w:val="Style1Char"/>
          <w:rtl/>
        </w:rPr>
        <w:t>האשה שכתבה כל נכסיה לאחר בין קרוב בין רחוק קודם שתנשא, אף על פי שאם נתגרשה או נתאלמנה תבטל המתנה כמו שיתבאר בהלכות מתנה, אין הבעל אוכל פירותיהן ואם מתה אינו יורשן, שהרי נתנה אותן קודם שתנשא, וכשתמות בחיי בעלה יקנה מקבל המתנה מתנתו קנין גמור, ולא עוד אלא אפילו נתנה מקצת נכסיה או כולם קודם נישואיה וכתבה למקבל קנה מהיום ולכשארצה שהרי לא קנה קנין גמור עד שתרצה אין הבעל אוכל פירות אותה מתנה ואם מתה אינו יורשה.</w:t>
      </w:r>
    </w:p>
    <w:p w14:paraId="3C9FE443" w14:textId="7D381542" w:rsidR="00BB0B47" w:rsidRDefault="00BB0B47" w:rsidP="00BB0B47">
      <w:pPr>
        <w:pStyle w:val="Style1"/>
        <w:rPr>
          <w:rStyle w:val="Style1Char"/>
          <w:rtl/>
        </w:rPr>
      </w:pPr>
      <w:r>
        <w:rPr>
          <w:rStyle w:val="Style1Char"/>
          <w:rFonts w:hint="cs"/>
          <w:rtl/>
        </w:rPr>
        <w:lastRenderedPageBreak/>
        <w:t>1)[</w:t>
      </w:r>
      <w:r w:rsidRPr="00BB0B47">
        <w:rPr>
          <w:rStyle w:val="Style1Char"/>
          <w:rtl/>
        </w:rPr>
        <w:t>רמב</w:t>
      </w:r>
      <w:r w:rsidR="00C764B2">
        <w:rPr>
          <w:rStyle w:val="Style1Char"/>
          <w:rtl/>
        </w:rPr>
        <w:t>”ם \קנין\</w:t>
      </w:r>
      <w:r w:rsidRPr="00BB0B47">
        <w:rPr>
          <w:rStyle w:val="Style1Char"/>
          <w:rtl/>
        </w:rPr>
        <w:t xml:space="preserve"> הלכות זכיה ומתנה פרק ו הלכה יב</w:t>
      </w:r>
      <w:r>
        <w:rPr>
          <w:rStyle w:val="Style1Char"/>
          <w:rFonts w:hint="cs"/>
          <w:rtl/>
        </w:rPr>
        <w:t xml:space="preserve">] </w:t>
      </w:r>
      <w:r w:rsidRPr="00BB0B47">
        <w:rPr>
          <w:rStyle w:val="Style1Char"/>
          <w:rtl/>
        </w:rPr>
        <w:t>הרוצה להנשא וכתבה כל נכסיה בין לבנה בין לאחר, ואחר כך נשאת ונתגרשה או שמת בעלה, מתנתה בטילה שזו מברחת היא ולא כתבה כל נכסיה אלא להבריח מבעלה שלא יירשנה, וכשתהיה צריכה להן יחזרו לה, לפיכך אם מתה היא בחיי בעלה קנה המקבל מתנה את הכל, ואם שיירה כלום אפילו מטלטלין מתנתה קיימת ואף על פי שנתגרשה אינה חוזרת.</w:t>
      </w:r>
    </w:p>
    <w:p w14:paraId="332D4874" w14:textId="576E6F7F" w:rsidR="00DF0A6A" w:rsidRDefault="00236B71" w:rsidP="00DF0A6A">
      <w:pPr>
        <w:pStyle w:val="Style1"/>
        <w:rPr>
          <w:rtl/>
        </w:rPr>
      </w:pPr>
      <w:r>
        <w:rPr>
          <w:rStyle w:val="Style1Char"/>
          <w:rFonts w:hint="cs"/>
          <w:rtl/>
        </w:rPr>
        <w:t>1)[</w:t>
      </w:r>
      <w:r w:rsidRPr="00236B71">
        <w:rPr>
          <w:rStyle w:val="Style1Char"/>
          <w:rtl/>
        </w:rPr>
        <w:t>שולחן ערוך אבן העזר הלכות כתובות סימן צ סעיף ז</w:t>
      </w:r>
      <w:r>
        <w:rPr>
          <w:rStyle w:val="Style1Char"/>
          <w:rFonts w:hint="cs"/>
          <w:rtl/>
        </w:rPr>
        <w:t>]</w:t>
      </w:r>
      <w:r w:rsidR="00DF0A6A">
        <w:rPr>
          <w:rStyle w:val="Style1Char"/>
          <w:rFonts w:hint="cs"/>
          <w:rtl/>
        </w:rPr>
        <w:t xml:space="preserve"> </w:t>
      </w:r>
      <w:r w:rsidR="00DF0A6A" w:rsidRPr="00DF0A6A">
        <w:rPr>
          <w:rtl/>
        </w:rPr>
        <w:t>האשה שכתבה כל נכסיה לאחר, בין קרוב בין רחוק, קדם שתנשא, אף על פי שאם נתאלמנה או נתגרשה תבטל המתנה, אין הבעל אוכל פרותיהם, ואם מתה </w:t>
      </w:r>
      <w:r w:rsidR="00DF0A6A" w:rsidRPr="00DF0A6A">
        <w:rPr>
          <w:rFonts w:hint="cs"/>
        </w:rPr>
        <w:t>(</w:t>
      </w:r>
      <w:r w:rsidR="00DF0A6A" w:rsidRPr="00DF0A6A">
        <w:rPr>
          <w:rFonts w:hint="cs"/>
          <w:rtl/>
        </w:rPr>
        <w:t>בחייו</w:t>
      </w:r>
      <w:r w:rsidR="00DF0A6A" w:rsidRPr="00DF0A6A">
        <w:rPr>
          <w:rFonts w:hint="cs"/>
        </w:rPr>
        <w:t>)</w:t>
      </w:r>
      <w:r w:rsidR="00DF0A6A" w:rsidRPr="00DF0A6A">
        <w:t xml:space="preserve">, </w:t>
      </w:r>
      <w:r w:rsidR="00DF0A6A" w:rsidRPr="00DF0A6A">
        <w:rPr>
          <w:rtl/>
        </w:rPr>
        <w:t>אינו יורשה, שהרי נתנה אותם קדם שתנשא, וכשתמות בחיי בעלה, יקנה מקבל המתנה מתנתו קנין גמור. ולא עוד, אלא אפילו נתנה מקצת נכסיה או כולם, קודם, וכתובה למקבל מתנה: קנה מהיום ולכשארצה, שהרי לא קנה קנין גמור עד שתרצה, אין הבעל אוכל פרות אותה המתנה, ואם מתה אינו יורשה</w:t>
      </w:r>
      <w:r w:rsidR="00DF0A6A" w:rsidRPr="00DF0A6A">
        <w:t>:</w:t>
      </w:r>
    </w:p>
    <w:p w14:paraId="6CA1040C" w14:textId="2F6FE6FF" w:rsidR="00DA5230" w:rsidRDefault="00920389" w:rsidP="00DA5230">
      <w:pPr>
        <w:pStyle w:val="Style1"/>
        <w:rPr>
          <w:rtl/>
        </w:rPr>
      </w:pPr>
      <w:r>
        <w:rPr>
          <w:rFonts w:hint="cs"/>
          <w:rtl/>
        </w:rPr>
        <w:t>1)[</w:t>
      </w:r>
      <w:r>
        <w:rPr>
          <w:rtl/>
        </w:rPr>
        <w:t>שולחן ערוך אבן העזר הלכות כתובות סימן פה סעיף ז</w:t>
      </w:r>
      <w:r>
        <w:rPr>
          <w:rFonts w:hint="cs"/>
          <w:rtl/>
        </w:rPr>
        <w:t>]</w:t>
      </w:r>
      <w:r w:rsidR="00DA5230">
        <w:rPr>
          <w:rFonts w:hint="cs"/>
          <w:rtl/>
        </w:rPr>
        <w:t xml:space="preserve"> </w:t>
      </w:r>
      <w:r w:rsidR="00DA5230" w:rsidRPr="00DA5230">
        <w:rPr>
          <w:rtl/>
        </w:rPr>
        <w:t>באו לידה </w:t>
      </w:r>
      <w:r w:rsidR="00DA5230" w:rsidRPr="00DA5230">
        <w:rPr>
          <w:rFonts w:hint="cs"/>
          <w:rtl/>
        </w:rPr>
        <w:t>נכסים</w:t>
      </w:r>
      <w:r w:rsidR="00DA5230" w:rsidRPr="00DA5230">
        <w:rPr>
          <w:rtl/>
        </w:rPr>
        <w:t> אחר שנשאת, בין שבאו לידה בירושה, או שנתנו לה במתנה, או שחבלו בה ונתנו לה חלקה בבשתה ופגמה, נקראים נכסי מלוג, והרי הם כאותם שהכניסה לו ולא קבלם באחריות. אבל אם מכרה כתובתה ונדוניתה, אותם הדמים אין הבעל אוכל פרותיהם. וכן אם נתנה מתנה לאחר קדם שנשאת, כדי להבריח מבעלה, אף על פי שאין המתנה מתנה, אין הבעל אוכל פירות. וכן הבעל שנתן מתנה לאשתו, בין קרקע בין מטלטלין, קנתה, ואין הבעל אוכל פירות. ומיהו, אינה יכולה למכור מה שנתן לה, ולא לתנו לאחר, אלא ישאר בידה, ואם תמות יירשנה, והפירות שיוצאין לה ממנה דינם כשאר נכסי מלוג, וימכרו וילקח בהם קרקע והוא אוכל פירות</w:t>
      </w:r>
      <w:r w:rsidR="00DA5230" w:rsidRPr="00DA5230">
        <w:t>:</w:t>
      </w:r>
    </w:p>
    <w:p w14:paraId="72FD8825" w14:textId="1F8F4E28" w:rsidR="000B1758" w:rsidRDefault="000B1758" w:rsidP="000B1758">
      <w:pPr>
        <w:pStyle w:val="Style1"/>
        <w:rPr>
          <w:rtl/>
        </w:rPr>
      </w:pPr>
      <w:r>
        <w:rPr>
          <w:rFonts w:hint="cs"/>
          <w:rtl/>
        </w:rPr>
        <w:t>2)[</w:t>
      </w:r>
      <w:r>
        <w:rPr>
          <w:rtl/>
        </w:rPr>
        <w:t>רמב</w:t>
      </w:r>
      <w:r w:rsidR="00213DA1">
        <w:rPr>
          <w:rtl/>
        </w:rPr>
        <w:t>”ם \נשים\</w:t>
      </w:r>
      <w:r>
        <w:rPr>
          <w:rtl/>
        </w:rPr>
        <w:t xml:space="preserve"> הלכות אישות פרק כב הלכה כא</w:t>
      </w:r>
      <w:r>
        <w:rPr>
          <w:rFonts w:hint="cs"/>
          <w:rtl/>
        </w:rPr>
        <w:t xml:space="preserve">] </w:t>
      </w:r>
      <w:r>
        <w:rPr>
          <w:rtl/>
        </w:rPr>
        <w:t>היו לאשה כספים, אם נכסי צאן ברזל הן הרי זה נושא ונותן בהן, ואם נכסי מלוג הן בין שהכניסה אותן לו בין שנפלו לה בירושה או נתנו לה במתנה או נפלו לה מטלטלין או נתנו לה הרי אלו ימכרו וילקח בהן קרקע והוא אוכל פירותיהן.</w:t>
      </w:r>
    </w:p>
    <w:p w14:paraId="52B9903D" w14:textId="02B99460" w:rsidR="0048532B" w:rsidRDefault="00213D60" w:rsidP="002E6838">
      <w:pPr>
        <w:pStyle w:val="Style1"/>
        <w:rPr>
          <w:rtl/>
        </w:rPr>
      </w:pPr>
      <w:r>
        <w:rPr>
          <w:rFonts w:hint="cs"/>
          <w:rtl/>
        </w:rPr>
        <w:t>2)[</w:t>
      </w:r>
      <w:r>
        <w:rPr>
          <w:rtl/>
        </w:rPr>
        <w:t>שולחן ערוך אבן העזר הלכות כתובות סימן פה סעיף יג</w:t>
      </w:r>
      <w:r>
        <w:rPr>
          <w:rFonts w:hint="cs"/>
          <w:rtl/>
        </w:rPr>
        <w:t>]</w:t>
      </w:r>
      <w:r w:rsidR="002E6838">
        <w:rPr>
          <w:rFonts w:hint="cs"/>
          <w:rtl/>
        </w:rPr>
        <w:t xml:space="preserve"> </w:t>
      </w:r>
      <w:r w:rsidR="0048532B" w:rsidRPr="002E6838">
        <w:rPr>
          <w:rtl/>
        </w:rPr>
        <w:t>נכסי מלוג, הבעל אוכל פרות, ואם הם דבר שאינו עושה פרות, ימכר וילקח בו דבר שעושה פרות. ואם הוא אומר: כך וכך ילקח בהם, והיא אומרת: איני לוקחת בהם אלא כך וכך, לוקחים דבר שפרותיו מרבים ויציאתו מעוטה, בין שהיה הדבר כרצונו או כרצונה. ואין קונין דבר שאין גזעו מחליף. ואם נפל לה דבר שאין גזעו מחליף, אף על פי שלא ישאר קצת מהקרן, אין צריך למכרו, כגון שהכניסה לו עז לחלבה, רחל לגזתה, דקל לפרותיו, אף על פי שאין לה אלא פרות אלו בלבד, הרי זה אוכל והולך עד שתכלה הקרן. וכן אם הכניסה לו כלי בתורת נכסי מלוג, הרי זה משתמש בהם ולובש ומציע ומכסה, עד שיכלה הקרן, וכשיגרש אינו חיב לשלם הבליות של נכסי מלוג</w:t>
      </w:r>
      <w:r w:rsidR="0048532B" w:rsidRPr="002E6838">
        <w:t>:</w:t>
      </w:r>
    </w:p>
    <w:p w14:paraId="247DE43E" w14:textId="028E0AA7" w:rsidR="00AA7958" w:rsidRDefault="00AA7958" w:rsidP="00AA7958">
      <w:pPr>
        <w:pStyle w:val="Style1"/>
        <w:rPr>
          <w:rtl/>
        </w:rPr>
      </w:pPr>
      <w:r>
        <w:rPr>
          <w:rFonts w:hint="cs"/>
          <w:rtl/>
        </w:rPr>
        <w:t>3)[</w:t>
      </w:r>
      <w:r>
        <w:rPr>
          <w:rtl/>
        </w:rPr>
        <w:t>רמב</w:t>
      </w:r>
      <w:r w:rsidR="00213DA1">
        <w:rPr>
          <w:rtl/>
        </w:rPr>
        <w:t>”ם \נשים\</w:t>
      </w:r>
      <w:r>
        <w:rPr>
          <w:rtl/>
        </w:rPr>
        <w:t xml:space="preserve"> הלכות אישות פרק כב הלכה כד</w:t>
      </w:r>
      <w:r>
        <w:rPr>
          <w:rFonts w:hint="cs"/>
          <w:rtl/>
        </w:rPr>
        <w:t xml:space="preserve">] </w:t>
      </w:r>
      <w:r>
        <w:rPr>
          <w:rtl/>
        </w:rPr>
        <w:t>נפלו לה פירות מחוברין לקרקע הרי אלו של בעל, תלושין מן הקרקע שלה וימכרו וילקח בהן קרקע והוא אוכל פירות, אבל המגרש את אשתו והיו לה פירות מחוברין לקרקע בשעת גירושין הרי אלו שלה ואם היו תלושין הרי אלו שלו.</w:t>
      </w:r>
    </w:p>
    <w:p w14:paraId="4439FAA6" w14:textId="2933873C" w:rsidR="00E61177" w:rsidRDefault="00E61177" w:rsidP="00E61177">
      <w:pPr>
        <w:pStyle w:val="Style1"/>
        <w:rPr>
          <w:rtl/>
        </w:rPr>
      </w:pPr>
      <w:r>
        <w:rPr>
          <w:rFonts w:hint="cs"/>
          <w:rtl/>
        </w:rPr>
        <w:t>3)[</w:t>
      </w:r>
      <w:r>
        <w:rPr>
          <w:rtl/>
        </w:rPr>
        <w:t>שולחן ערוך אבן העזר הלכות כתובות סימן פה סעיף טו</w:t>
      </w:r>
      <w:r>
        <w:rPr>
          <w:rFonts w:hint="cs"/>
          <w:rtl/>
        </w:rPr>
        <w:t xml:space="preserve">] </w:t>
      </w:r>
      <w:r>
        <w:rPr>
          <w:rtl/>
        </w:rPr>
        <w:t>נפלו לה פירות המחוברים לקרקע, הרי אלו של בעל; אפילו הגיע זמנן ליקצר, תולשם מהקרקע שלה, וימכרו, וילקח בהם קרקע והוא אוכל פירות. הגה: זה אינו, דכל הפירות הנלקטים תחתיו הם שלו לגמרי; ואפשר דטעות נפל בספרים, וכך ראוי להיות: תלושין מן הקרקע הרי הם שלה, ובבא אחריתי היא, וכן הוא ברמב"ם פרק כ"ב דאישות.</w:t>
      </w:r>
    </w:p>
    <w:p w14:paraId="38D7D79F" w14:textId="685BB151" w:rsidR="00255B3E" w:rsidRPr="002E6838" w:rsidRDefault="00255B3E" w:rsidP="00255B3E">
      <w:pPr>
        <w:pStyle w:val="Style1"/>
      </w:pPr>
      <w:r>
        <w:rPr>
          <w:rFonts w:hint="cs"/>
          <w:rtl/>
        </w:rPr>
        <w:t>4)[</w:t>
      </w:r>
      <w:r>
        <w:rPr>
          <w:rtl/>
        </w:rPr>
        <w:t>רמב</w:t>
      </w:r>
      <w:r w:rsidR="00213DA1">
        <w:rPr>
          <w:rtl/>
        </w:rPr>
        <w:t>”ם \נשים\</w:t>
      </w:r>
      <w:r>
        <w:rPr>
          <w:rtl/>
        </w:rPr>
        <w:t xml:space="preserve"> הלכות אישות פרק כב הלכה לג</w:t>
      </w:r>
      <w:r>
        <w:rPr>
          <w:rFonts w:hint="cs"/>
          <w:rtl/>
        </w:rPr>
        <w:t xml:space="preserve">] </w:t>
      </w:r>
      <w:r>
        <w:rPr>
          <w:rtl/>
        </w:rPr>
        <w:t>אשה שהיו לה כספים הראויות לבעל לאכול פירותיהם, הוא אומר כך וכך ילקח בהם והיא אומרת איני לוקחת בהן אלא כך וכך, לוקחים דבר שפירותיו מרובים ויציאתו מעוטה, בין שהיה הדבר כרצונו בין שהיה כרצונה, ואין לוקחין אלא דבר שגזעו מחליף שמא יאכל הכל ונמצא הקרן אבד.</w:t>
      </w:r>
    </w:p>
    <w:p w14:paraId="5B9B7795" w14:textId="1D19CC39" w:rsidR="009F1DB9" w:rsidRDefault="009F1DB9" w:rsidP="004060E3">
      <w:pPr>
        <w:pStyle w:val="Style1"/>
      </w:pPr>
    </w:p>
    <w:p w14:paraId="136C2F53" w14:textId="2E926CBF" w:rsidR="009F1DB9" w:rsidRPr="00DA5230" w:rsidRDefault="009F1DB9" w:rsidP="009F1DB9">
      <w:pPr>
        <w:pStyle w:val="Style1"/>
      </w:pPr>
    </w:p>
    <w:p w14:paraId="42B85113" w14:textId="72849A5D" w:rsidR="00920389" w:rsidRPr="00DA5230" w:rsidRDefault="00920389" w:rsidP="00DA5230">
      <w:pPr>
        <w:pStyle w:val="Style1"/>
      </w:pPr>
    </w:p>
    <w:p w14:paraId="62CF8688" w14:textId="6B41555E" w:rsidR="00236B71" w:rsidRPr="00DF0A6A" w:rsidRDefault="00236B71" w:rsidP="00DF0A6A">
      <w:pPr>
        <w:pStyle w:val="Style1"/>
        <w:rPr>
          <w:rStyle w:val="Style1Char"/>
        </w:rPr>
      </w:pPr>
    </w:p>
    <w:p w14:paraId="0BDAB593" w14:textId="2DFED710" w:rsidR="00236B71" w:rsidRPr="00637EB7" w:rsidRDefault="00236B71" w:rsidP="00236B71">
      <w:pPr>
        <w:pStyle w:val="Style1"/>
        <w:rPr>
          <w:rStyle w:val="Style1Char"/>
        </w:rPr>
      </w:pPr>
    </w:p>
    <w:p w14:paraId="3E3B2907" w14:textId="77777777" w:rsidR="00B2458D" w:rsidRPr="007A4D49" w:rsidRDefault="00B2458D" w:rsidP="00B2458D">
      <w:pPr>
        <w:bidi/>
        <w:rPr>
          <w:rStyle w:val="Style1Char"/>
          <w:color w:val="C00000"/>
        </w:rPr>
      </w:pPr>
      <w:r w:rsidRPr="007A4D49">
        <w:rPr>
          <w:rStyle w:val="Style1Char"/>
          <w:color w:val="C00000"/>
          <w:rtl/>
        </w:rPr>
        <w:t xml:space="preserve"> </w:t>
      </w:r>
    </w:p>
    <w:p w14:paraId="7EA1C3BC" w14:textId="77777777" w:rsidR="00B2458D" w:rsidRPr="001F2AA4" w:rsidRDefault="00B2458D" w:rsidP="00B2458D">
      <w:pPr>
        <w:bidi/>
        <w:rPr>
          <w:rStyle w:val="Style1Char"/>
          <w:color w:val="00B050"/>
          <w:rtl/>
        </w:rPr>
      </w:pPr>
    </w:p>
    <w:p w14:paraId="1EDF0D78" w14:textId="77777777" w:rsidR="00B2458D" w:rsidRDefault="00B2458D" w:rsidP="00B2458D">
      <w:pPr>
        <w:rPr>
          <w:rStyle w:val="Style1Char"/>
          <w:color w:val="00B050"/>
          <w:rtl/>
        </w:rPr>
      </w:pPr>
      <w:r>
        <w:rPr>
          <w:rStyle w:val="Style1Char"/>
          <w:color w:val="00B050"/>
          <w:rtl/>
        </w:rPr>
        <w:br w:type="page"/>
      </w:r>
    </w:p>
    <w:p w14:paraId="6E1465F8" w14:textId="3CE2E16F" w:rsidR="00B2458D" w:rsidRDefault="00B2458D" w:rsidP="00B2458D">
      <w:pPr>
        <w:bidi/>
        <w:rPr>
          <w:rStyle w:val="Style1Char"/>
          <w:color w:val="00B050"/>
        </w:rPr>
      </w:pPr>
      <w:r w:rsidRPr="00F01BA7">
        <w:rPr>
          <w:rStyle w:val="Style1Char"/>
          <w:color w:val="auto"/>
          <w:sz w:val="22"/>
          <w:szCs w:val="22"/>
          <w:highlight w:val="yellow"/>
          <w:rtl/>
        </w:rPr>
        <w:lastRenderedPageBreak/>
        <w:t>[דף עט עמוד ב]</w:t>
      </w:r>
      <w:r w:rsidRPr="00F01BA7">
        <w:rPr>
          <w:rStyle w:val="Style1Char"/>
          <w:color w:val="auto"/>
          <w:sz w:val="22"/>
          <w:szCs w:val="22"/>
          <w:rtl/>
        </w:rPr>
        <w:t xml:space="preserve"> ולד בהמת מלוג - </w:t>
      </w:r>
      <w:r w:rsidR="00DF671B">
        <w:rPr>
          <w:rStyle w:val="Style1Char"/>
          <w:rFonts w:hint="cs"/>
          <w:rtl/>
        </w:rPr>
        <w:t>(1)</w:t>
      </w:r>
      <w:r w:rsidRPr="00F01BA7">
        <w:rPr>
          <w:rStyle w:val="Style1Char"/>
          <w:color w:val="auto"/>
          <w:sz w:val="22"/>
          <w:szCs w:val="22"/>
          <w:rtl/>
        </w:rPr>
        <w:t>משלם תשלומי כפל לאשה</w:t>
      </w:r>
      <w:r w:rsidRPr="00F01BA7">
        <w:rPr>
          <w:rStyle w:val="BalloonTextChar"/>
          <w:rFonts w:asciiTheme="minorHAnsi" w:hAnsiTheme="minorHAnsi" w:cs="Arial"/>
          <w:sz w:val="22"/>
          <w:szCs w:val="22"/>
          <w:rtl/>
        </w:rPr>
        <w:t xml:space="preserve"> </w:t>
      </w:r>
      <w:r w:rsidRPr="00E94574">
        <w:rPr>
          <w:rStyle w:val="Style1Char"/>
          <w:color w:val="806000" w:themeColor="accent4" w:themeShade="80"/>
          <w:sz w:val="22"/>
          <w:szCs w:val="22"/>
          <w:rtl/>
        </w:rPr>
        <w:t>לדברי הכל</w:t>
      </w:r>
      <w:r w:rsidRPr="00E94574">
        <w:rPr>
          <w:rStyle w:val="Style1Char"/>
          <w:color w:val="806000" w:themeColor="accent4" w:themeShade="80"/>
          <w:rtl/>
        </w:rPr>
        <w:t xml:space="preserve"> </w:t>
      </w:r>
      <w:r w:rsidRPr="007B3391">
        <w:rPr>
          <w:rStyle w:val="Style1Char"/>
          <w:color w:val="806000" w:themeColor="accent4" w:themeShade="80"/>
          <w:rtl/>
        </w:rPr>
        <w:t xml:space="preserve">מאי טעמא פירא תקינו ליה רבנן פירא דפירא לא תקינו ליה רבנן </w:t>
      </w:r>
      <w:r w:rsidRPr="00EA3ECC">
        <w:rPr>
          <w:rStyle w:val="Style1Char"/>
          <w:color w:val="C00000"/>
          <w:rtl/>
        </w:rPr>
        <w:t>ואי קשיא לך הא דתנן ר' יהודה אומר לעולם הוא אוכל פירות וכו' ות"ר אלו הן פירות ואלו הן פירי פירות הכניסה לו קרקע ועשתה לו פירות הרי הן פירות מכר פירות ולקח בהן קרקע ועשה פירות הן הן פירי פירות דאלמא יש לבעל פירי פירות והכא אמרינן פירי תקינו ליה רבנן פירא דפירא לא תקינו ליה רבנן לא קשיא שאני הכא דקא שקיל ליה לפירא גופיה ומש"ה לא שקיל ליה לכפל דה"ל פירא דפירא אבל היכא דזבין ליה לפירי וזבין בהו ארעא אי לא שקיל לפירא אשתכח דלא שקיל לא פירא ולא פירא דפירא הילכך שקיל להו פירא דפירא דבמקום פירא קיימ</w:t>
      </w:r>
      <w:r w:rsidRPr="007B63E6">
        <w:rPr>
          <w:rStyle w:val="Style1Char"/>
          <w:color w:val="C00000"/>
          <w:sz w:val="22"/>
          <w:szCs w:val="22"/>
          <w:rtl/>
        </w:rPr>
        <w:t>י</w:t>
      </w:r>
      <w:r w:rsidRPr="00952CA4">
        <w:rPr>
          <w:rStyle w:val="Style1Char"/>
          <w:color w:val="00B050"/>
          <w:rtl/>
        </w:rPr>
        <w:t>.</w:t>
      </w:r>
    </w:p>
    <w:p w14:paraId="1F98CFD6" w14:textId="77777777" w:rsidR="00B2458D" w:rsidRPr="008F2AB0" w:rsidRDefault="00B2458D" w:rsidP="00B2458D">
      <w:pPr>
        <w:bidi/>
        <w:rPr>
          <w:rStyle w:val="Style1Char"/>
          <w:color w:val="4472C4" w:themeColor="accent1"/>
        </w:rPr>
      </w:pPr>
      <w:r w:rsidRPr="00E91A33">
        <w:rPr>
          <w:rStyle w:val="Style1Char"/>
          <w:color w:val="4472C4" w:themeColor="accent1"/>
          <w:rtl/>
        </w:rPr>
        <w:t xml:space="preserve">מאי טעמא פירא תקינו ליה רבנן פירא דפירא לא תקינו ליה רבנן </w:t>
      </w:r>
      <w:r w:rsidRPr="008F2AB0">
        <w:rPr>
          <w:rStyle w:val="Style1Char"/>
          <w:color w:val="4472C4" w:themeColor="accent1"/>
          <w:rtl/>
        </w:rPr>
        <w:t>פירוש במידי דאתא מעלמא</w:t>
      </w:r>
      <w:r>
        <w:rPr>
          <w:rStyle w:val="Style1Char"/>
          <w:rFonts w:hint="cs"/>
          <w:color w:val="4472C4" w:themeColor="accent1"/>
        </w:rPr>
        <w:t>‍</w:t>
      </w:r>
      <w:r w:rsidRPr="008F2AB0">
        <w:rPr>
          <w:rStyle w:val="Style1Char"/>
          <w:color w:val="4472C4" w:themeColor="accent1"/>
          <w:rtl/>
        </w:rPr>
        <w:t xml:space="preserve"> כגון כפל דולד בהמת מלוג וטובת הנאה דכתובתה בפ' החובל (דף פט א) אבל פירי דפירא דאתא מגופא כמו ולד ולד בהמת מלוג פשיטא דתקינו ליה רבנן. כדתנן לקמן בפ' הכותב (דף פג א) לעולם הוא אוכל פירות ופירי פירות וכו'. וק"ק דהגונב בהמת מלוג שהוא לאשה הוי הכפל לבעל דהוי פירא קמא. והגונב ולד בהמת מלוג שהוא לבעל משלם כפל לאשה. וריב"ן כתב דכ"ש גונב בהמת מלוג דמשלם כפל לאשה כיון דמעלמא קאתי ורב אלפס ז"ל חילק בענין אחר</w:t>
      </w:r>
      <w:r w:rsidRPr="00E91A33">
        <w:rPr>
          <w:rStyle w:val="Style1Char"/>
          <w:color w:val="4472C4" w:themeColor="accent1"/>
          <w:rtl/>
        </w:rPr>
        <w:t xml:space="preserve"> </w:t>
      </w:r>
      <w:r w:rsidRPr="008F2AB0">
        <w:rPr>
          <w:rStyle w:val="Style1Char"/>
          <w:color w:val="4472C4" w:themeColor="accent1"/>
          <w:rtl/>
        </w:rPr>
        <w:t>דהא דאמרי' לקמן דאוכל פירי פירות</w:t>
      </w:r>
      <w:r>
        <w:rPr>
          <w:rStyle w:val="Style1Char"/>
          <w:rFonts w:hint="cs"/>
          <w:color w:val="4472C4" w:themeColor="accent1"/>
        </w:rPr>
        <w:t>‍</w:t>
      </w:r>
      <w:r w:rsidRPr="008F2AB0">
        <w:rPr>
          <w:rStyle w:val="Style1Char"/>
          <w:color w:val="4472C4" w:themeColor="accent1"/>
          <w:rtl/>
        </w:rPr>
        <w:t xml:space="preserve"> מפרש לקמן כגון שמכר הפירות ולקח בדמיהן קרקע. דכיון דלא אכיל פירא דינא הוא דליכול פירי פירא דקיימי במקום פירא. אבל הכא דשקיל פירא לא שקיל לכפל דהוא פירי דפירא ולדידיה נמי הוי ולד ולד לאשה. ולא מסתברא כלל הכי דכיון דולד דידיה הוא ואי בעי שחיט ואכיל ליה דלהוי ולד דידיה לדידה ומסתבר כשינויא קמא. כתב בעל הלכות גדולות והיכא דמתו אימותיהן ולדות דכל חד וחד במקום אימיה קאי. והא דקי"ל כחנניא דלא חייש למיתה. היינו משום חשש מיתה לא יניח מלשחוט הולד אבל אם לא שחטו</w:t>
      </w:r>
      <w:r>
        <w:rPr>
          <w:rStyle w:val="Style1Char"/>
          <w:rFonts w:hint="cs"/>
          <w:color w:val="4472C4" w:themeColor="accent1"/>
        </w:rPr>
        <w:t>‍</w:t>
      </w:r>
      <w:r w:rsidRPr="008F2AB0">
        <w:rPr>
          <w:rStyle w:val="Style1Char"/>
          <w:color w:val="4472C4" w:themeColor="accent1"/>
          <w:rtl/>
        </w:rPr>
        <w:t xml:space="preserve"> ומתה האם הולד במקומה</w:t>
      </w:r>
      <w:r w:rsidRPr="008F2AB0">
        <w:rPr>
          <w:rStyle w:val="Style1Char"/>
          <w:color w:val="4472C4" w:themeColor="accent1"/>
        </w:rPr>
        <w:t xml:space="preserve">: </w:t>
      </w:r>
    </w:p>
    <w:p w14:paraId="4469F838" w14:textId="77777777" w:rsidR="00B2458D" w:rsidRPr="003B3C49" w:rsidRDefault="00B2458D" w:rsidP="00B2458D">
      <w:pPr>
        <w:bidi/>
        <w:rPr>
          <w:rStyle w:val="Style1Char"/>
          <w:color w:val="806000" w:themeColor="accent4" w:themeShade="80"/>
          <w:sz w:val="22"/>
          <w:szCs w:val="22"/>
        </w:rPr>
      </w:pPr>
      <w:r w:rsidRPr="00952CA4">
        <w:rPr>
          <w:rStyle w:val="Style1Char"/>
          <w:color w:val="00B050"/>
          <w:rtl/>
        </w:rPr>
        <w:t>כמאן? לא כרבנן ולא כחנניה! ד</w:t>
      </w:r>
      <w:r w:rsidRPr="00C95E61">
        <w:rPr>
          <w:rStyle w:val="Style1Char"/>
          <w:color w:val="auto"/>
          <w:sz w:val="22"/>
          <w:szCs w:val="22"/>
          <w:rtl/>
        </w:rPr>
        <w:t>תניא: ולד בהמת מלוג - לבעל, ולד שפחת מלוג - לאשה; וחנניה</w:t>
      </w:r>
      <w:r w:rsidRPr="00C95E61">
        <w:rPr>
          <w:rStyle w:val="Style1Char"/>
          <w:color w:val="auto"/>
          <w:rtl/>
        </w:rPr>
        <w:t xml:space="preserve"> </w:t>
      </w:r>
      <w:r w:rsidRPr="00952CA4">
        <w:rPr>
          <w:rStyle w:val="Style1Char"/>
          <w:color w:val="00B050"/>
          <w:rtl/>
        </w:rPr>
        <w:t xml:space="preserve">בן אחי יאשיה </w:t>
      </w:r>
      <w:r w:rsidRPr="00C95E61">
        <w:rPr>
          <w:rStyle w:val="Style1Char"/>
          <w:color w:val="auto"/>
          <w:sz w:val="22"/>
          <w:szCs w:val="22"/>
          <w:rtl/>
        </w:rPr>
        <w:t>אמר: עשו ולד שפחת מלוג כולד בהמת מלוג</w:t>
      </w:r>
      <w:r w:rsidRPr="00C95E61">
        <w:rPr>
          <w:rStyle w:val="Style1Char"/>
          <w:color w:val="auto"/>
          <w:rtl/>
        </w:rPr>
        <w:t xml:space="preserve"> </w:t>
      </w:r>
      <w:r w:rsidRPr="003F7B28">
        <w:rPr>
          <w:rStyle w:val="Style1Char"/>
          <w:color w:val="C00000"/>
          <w:sz w:val="22"/>
          <w:szCs w:val="22"/>
          <w:rtl/>
        </w:rPr>
        <w:t>דשקיל ליה בעל</w:t>
      </w:r>
      <w:r w:rsidRPr="003F7B28">
        <w:rPr>
          <w:rStyle w:val="Style1Char"/>
          <w:sz w:val="22"/>
          <w:szCs w:val="22"/>
          <w:rtl/>
        </w:rPr>
        <w:t xml:space="preserve">! </w:t>
      </w:r>
      <w:r w:rsidRPr="00952CA4">
        <w:rPr>
          <w:rStyle w:val="Style1Char"/>
          <w:color w:val="00B050"/>
          <w:rtl/>
        </w:rPr>
        <w:t>אפי' תימא דברי הכל, פירא תקינו ליה רבנן, פירא דפירא לא תקינו ליה רבנן. בשלמא לחנניה - היינו דלא חיישינן למיתה, אלא רבנן - אי חיישי למיתה, אפי' ולד בהמת מלוג נמי לא! ואי לא חיישי למיתה, אפילו ולד שפחת מלוג נמי! לעולם חיישי למיתה, ושאני בהמה, דאיכא עורה.</w:t>
      </w:r>
      <w:r w:rsidRPr="008131E5">
        <w:rPr>
          <w:rStyle w:val="Style1Char"/>
          <w:color w:val="C00000"/>
          <w:rtl/>
        </w:rPr>
        <w:t xml:space="preserve"> </w:t>
      </w:r>
      <w:r w:rsidRPr="003B3C49">
        <w:rPr>
          <w:rStyle w:val="Style1Char"/>
          <w:color w:val="806000" w:themeColor="accent4" w:themeShade="80"/>
          <w:sz w:val="22"/>
          <w:szCs w:val="22"/>
          <w:rtl/>
        </w:rPr>
        <w:t xml:space="preserve">מ"ט דרבנן קא סברי חיישינן למיתה הלכך </w:t>
      </w:r>
      <w:r w:rsidRPr="008131E5">
        <w:rPr>
          <w:rStyle w:val="Style1Char"/>
          <w:color w:val="C00000"/>
          <w:sz w:val="22"/>
          <w:szCs w:val="22"/>
          <w:rtl/>
        </w:rPr>
        <w:t>(ולד) ב</w:t>
      </w:r>
      <w:r w:rsidRPr="003B3C49">
        <w:rPr>
          <w:rStyle w:val="Style1Char"/>
          <w:color w:val="806000" w:themeColor="accent4" w:themeShade="80"/>
          <w:sz w:val="22"/>
          <w:szCs w:val="22"/>
          <w:rtl/>
        </w:rPr>
        <w:t>המת מלוג דאי מיתה איכא עורה ולא כליא קרנא הוי ולדה לבעל</w:t>
      </w:r>
      <w:r w:rsidRPr="008131E5">
        <w:rPr>
          <w:rStyle w:val="Style1Char"/>
          <w:color w:val="C00000"/>
          <w:sz w:val="22"/>
          <w:szCs w:val="22"/>
          <w:rtl/>
        </w:rPr>
        <w:t xml:space="preserve"> </w:t>
      </w:r>
      <w:r w:rsidRPr="003B3C49">
        <w:rPr>
          <w:rStyle w:val="Style1Char"/>
          <w:color w:val="806000" w:themeColor="accent4" w:themeShade="80"/>
          <w:sz w:val="22"/>
          <w:szCs w:val="22"/>
          <w:rtl/>
        </w:rPr>
        <w:t>(ולד) שפחת מלוג דאי מיתה כליא קרנא הוי ולדה לאשה וחנניא סבר לא חיישינן למיתה אלא אפילו ולד שפחת מלוג לבעל</w:t>
      </w:r>
      <w:r w:rsidRPr="003B3C49">
        <w:rPr>
          <w:rStyle w:val="Style1Char"/>
          <w:color w:val="4472C4" w:themeColor="accent1"/>
          <w:rtl/>
        </w:rPr>
        <w:t xml:space="preserve"> </w:t>
      </w:r>
      <w:r w:rsidRPr="003B3C49">
        <w:rPr>
          <w:rStyle w:val="Style1Char"/>
          <w:color w:val="4472C4" w:themeColor="accent1"/>
          <w:sz w:val="22"/>
          <w:szCs w:val="22"/>
          <w:rtl/>
        </w:rPr>
        <w:t>הוי</w:t>
      </w:r>
    </w:p>
    <w:p w14:paraId="30644E04" w14:textId="78F81963" w:rsidR="00B2458D" w:rsidRPr="008F2AB0" w:rsidRDefault="00B2458D" w:rsidP="00B2458D">
      <w:pPr>
        <w:bidi/>
        <w:rPr>
          <w:rStyle w:val="Style1Char"/>
          <w:color w:val="4472C4" w:themeColor="accent1"/>
        </w:rPr>
      </w:pPr>
      <w:r w:rsidRPr="00F31BC7">
        <w:rPr>
          <w:rStyle w:val="Style1Char"/>
          <w:color w:val="auto"/>
          <w:sz w:val="22"/>
          <w:szCs w:val="22"/>
          <w:rtl/>
        </w:rPr>
        <w:t xml:space="preserve">אמר רב הונא בר חייא אמר שמואל: </w:t>
      </w:r>
      <w:r w:rsidR="00D01799">
        <w:rPr>
          <w:rStyle w:val="Style1Char"/>
          <w:rFonts w:hint="cs"/>
          <w:rtl/>
        </w:rPr>
        <w:t>(2)</w:t>
      </w:r>
      <w:r w:rsidRPr="00F31BC7">
        <w:rPr>
          <w:rStyle w:val="Style1Char"/>
          <w:color w:val="auto"/>
          <w:sz w:val="22"/>
          <w:szCs w:val="22"/>
          <w:rtl/>
        </w:rPr>
        <w:t>הלכה כחנניה. אמר רבא</w:t>
      </w:r>
      <w:r w:rsidRPr="00F31BC7">
        <w:rPr>
          <w:rStyle w:val="Style1Char"/>
          <w:color w:val="auto"/>
          <w:rtl/>
        </w:rPr>
        <w:t xml:space="preserve"> </w:t>
      </w:r>
      <w:r w:rsidRPr="00952CA4">
        <w:rPr>
          <w:rStyle w:val="Style1Char"/>
          <w:color w:val="00B050"/>
          <w:rtl/>
        </w:rPr>
        <w:t xml:space="preserve">אמר רב נחמן, אף על גב דאמר שמואל: הלכה כחנניה, </w:t>
      </w:r>
      <w:r w:rsidRPr="00F31BC7">
        <w:rPr>
          <w:rStyle w:val="Style1Char"/>
          <w:color w:val="auto"/>
          <w:sz w:val="22"/>
          <w:szCs w:val="22"/>
          <w:rtl/>
        </w:rPr>
        <w:t xml:space="preserve">מודה חנניה, </w:t>
      </w:r>
      <w:r w:rsidR="00003711">
        <w:rPr>
          <w:rStyle w:val="Style1Char"/>
          <w:rFonts w:hint="cs"/>
          <w:rtl/>
        </w:rPr>
        <w:t>(2)</w:t>
      </w:r>
      <w:r w:rsidRPr="00F31BC7">
        <w:rPr>
          <w:rStyle w:val="Style1Char"/>
          <w:color w:val="auto"/>
          <w:sz w:val="22"/>
          <w:szCs w:val="22"/>
          <w:rtl/>
        </w:rPr>
        <w:t>שאם נתגרשה - נותנת דמים ונוטלתן, מפני שבח בית אביה</w:t>
      </w:r>
      <w:r w:rsidRPr="00F31BC7">
        <w:rPr>
          <w:rStyle w:val="Style1Char"/>
          <w:color w:val="auto"/>
          <w:rtl/>
        </w:rPr>
        <w:t xml:space="preserve"> </w:t>
      </w:r>
      <w:r w:rsidRPr="00AB7502">
        <w:rPr>
          <w:rStyle w:val="Style1Char"/>
          <w:color w:val="auto"/>
          <w:sz w:val="22"/>
          <w:szCs w:val="22"/>
          <w:rtl/>
        </w:rPr>
        <w:t xml:space="preserve">אמר רבא אמר רב נחמן: </w:t>
      </w:r>
      <w:r w:rsidR="00003711">
        <w:rPr>
          <w:rStyle w:val="Style1Char"/>
          <w:rFonts w:hint="cs"/>
          <w:rtl/>
        </w:rPr>
        <w:t>(3)</w:t>
      </w:r>
      <w:r w:rsidRPr="00AB7502">
        <w:rPr>
          <w:rStyle w:val="Style1Char"/>
          <w:color w:val="auto"/>
          <w:sz w:val="22"/>
          <w:szCs w:val="22"/>
          <w:rtl/>
        </w:rPr>
        <w:t>הכניסה לו עז לחלבה, ורחל לגיזתה, ותרנגולת לביצתה, ודקל לפירותיו - אוכל והולך עד שתכלה הקרן</w:t>
      </w:r>
      <w:r w:rsidRPr="00AB7502">
        <w:rPr>
          <w:rStyle w:val="Style1Char"/>
          <w:color w:val="auto"/>
          <w:rtl/>
        </w:rPr>
        <w:t xml:space="preserve"> </w:t>
      </w:r>
      <w:r w:rsidRPr="008F2AB0">
        <w:rPr>
          <w:rStyle w:val="Style1Char"/>
          <w:color w:val="4472C4" w:themeColor="accent1"/>
          <w:rtl/>
        </w:rPr>
        <w:t>פי'</w:t>
      </w:r>
      <w:r>
        <w:rPr>
          <w:rStyle w:val="Style1Char"/>
          <w:rFonts w:hint="cs"/>
          <w:color w:val="4472C4" w:themeColor="accent1"/>
        </w:rPr>
        <w:t>‍</w:t>
      </w:r>
      <w:r w:rsidRPr="008F2AB0">
        <w:rPr>
          <w:rStyle w:val="Style1Char"/>
          <w:color w:val="4472C4" w:themeColor="accent1"/>
          <w:rtl/>
        </w:rPr>
        <w:t xml:space="preserve"> רש"י משום דאיכא שיור עור ונוצה ועצי דקל</w:t>
      </w:r>
      <w:r w:rsidRPr="007A4D49">
        <w:rPr>
          <w:rStyle w:val="Style1Char"/>
          <w:color w:val="C00000"/>
          <w:rtl/>
        </w:rPr>
        <w:t xml:space="preserve"> </w:t>
      </w:r>
      <w:r w:rsidRPr="008F2AB0">
        <w:rPr>
          <w:rStyle w:val="Style1Char"/>
          <w:color w:val="4472C4" w:themeColor="accent1"/>
          <w:rtl/>
        </w:rPr>
        <w:t xml:space="preserve">. ורב אלפס ז"ל </w:t>
      </w:r>
      <w:r w:rsidRPr="00AB7502">
        <w:rPr>
          <w:rStyle w:val="Style1Char"/>
          <w:color w:val="806000" w:themeColor="accent4" w:themeShade="80"/>
          <w:rtl/>
        </w:rPr>
        <w:t xml:space="preserve">פירוש אפילו לא היה לה אלא חלב וגיזה וביצה בלבד </w:t>
      </w:r>
      <w:r w:rsidRPr="007A4D49">
        <w:rPr>
          <w:rStyle w:val="Style1Char"/>
          <w:color w:val="C00000"/>
          <w:rtl/>
        </w:rPr>
        <w:t>וכן לא היו לה בדקל אלא פירותיו בלבד</w:t>
      </w:r>
      <w:r w:rsidRPr="00AB7502">
        <w:rPr>
          <w:rStyle w:val="Style1Char"/>
          <w:color w:val="4472C4" w:themeColor="accent1"/>
          <w:rtl/>
        </w:rPr>
        <w:t xml:space="preserve"> </w:t>
      </w:r>
      <w:r w:rsidRPr="008F2AB0">
        <w:rPr>
          <w:rStyle w:val="Style1Char"/>
          <w:color w:val="4472C4" w:themeColor="accent1"/>
          <w:rtl/>
        </w:rPr>
        <w:t>ולא נהירא לי דכיון דליכא שיור כלל אין לכלות הקרן לגמרי דבגלימא איכא שחקים. גפרית ומחפורת של צריף נשאר המקום. ואף על גב דקי"ל כחנניה דלא חייש למיתה ואף על פי שלא נשאר כלל. התם אינו מכלה מה שהכניסה לו אבל הכא שלא הכניסה לו אלא החלב והגיזה מסתברא שאין לכלותם והראב"ד ז"ל פי' הטעם</w:t>
      </w:r>
      <w:r>
        <w:rPr>
          <w:rStyle w:val="Style1Char"/>
          <w:rFonts w:hint="cs"/>
          <w:color w:val="4472C4" w:themeColor="accent1"/>
        </w:rPr>
        <w:t>‍</w:t>
      </w:r>
      <w:r w:rsidRPr="008F2AB0">
        <w:rPr>
          <w:rStyle w:val="Style1Char"/>
          <w:color w:val="4472C4" w:themeColor="accent1"/>
          <w:rtl/>
        </w:rPr>
        <w:t xml:space="preserve"> כיון דמקום החלב והגיזה קנוי לה הוי חלב של כל יום ויום פירא ולא מסתבר דלא מיקרי גזעו מחליף אלא היכא שנשאר מן הקרן קיים</w:t>
      </w:r>
      <w:r w:rsidRPr="008F2AB0">
        <w:rPr>
          <w:rStyle w:val="Style1Char"/>
          <w:color w:val="4472C4" w:themeColor="accent1"/>
        </w:rPr>
        <w:t>:</w:t>
      </w:r>
    </w:p>
    <w:p w14:paraId="1311C8D8" w14:textId="0508E240" w:rsidR="00B2458D" w:rsidRPr="00952CA4" w:rsidRDefault="00B2458D" w:rsidP="00B2458D">
      <w:pPr>
        <w:bidi/>
        <w:rPr>
          <w:rStyle w:val="Style1Char"/>
          <w:color w:val="00B050"/>
        </w:rPr>
      </w:pPr>
      <w:r w:rsidRPr="000901BF">
        <w:rPr>
          <w:rStyle w:val="Style1Char"/>
          <w:color w:val="auto"/>
          <w:rtl/>
        </w:rPr>
        <w:t xml:space="preserve">. </w:t>
      </w:r>
      <w:r w:rsidRPr="000901BF">
        <w:rPr>
          <w:rStyle w:val="Style1Char"/>
          <w:color w:val="auto"/>
          <w:sz w:val="22"/>
          <w:szCs w:val="22"/>
          <w:rtl/>
        </w:rPr>
        <w:t xml:space="preserve">א"ר נחמן: </w:t>
      </w:r>
      <w:r w:rsidR="00AB725F">
        <w:rPr>
          <w:rStyle w:val="Style1Char"/>
          <w:rFonts w:hint="cs"/>
          <w:rtl/>
        </w:rPr>
        <w:t>(3)</w:t>
      </w:r>
      <w:r w:rsidRPr="000901BF">
        <w:rPr>
          <w:rStyle w:val="Style1Char"/>
          <w:color w:val="auto"/>
          <w:sz w:val="22"/>
          <w:szCs w:val="22"/>
          <w:rtl/>
        </w:rPr>
        <w:t xml:space="preserve">עיילא ליה גלימא - פירא הוי, מכסי ביה </w:t>
      </w:r>
      <w:r w:rsidRPr="00952CA4">
        <w:rPr>
          <w:rStyle w:val="Style1Char"/>
          <w:color w:val="00B050"/>
          <w:rtl/>
        </w:rPr>
        <w:t>ואזיל עד דכליא</w:t>
      </w:r>
      <w:r w:rsidRPr="007B63E6">
        <w:rPr>
          <w:rStyle w:val="Style1Char"/>
          <w:color w:val="C00000"/>
          <w:rtl/>
        </w:rPr>
        <w:t xml:space="preserve"> </w:t>
      </w:r>
      <w:r w:rsidRPr="00DC38C5">
        <w:rPr>
          <w:rStyle w:val="Style1Char"/>
          <w:color w:val="806000" w:themeColor="accent4" w:themeShade="80"/>
          <w:sz w:val="22"/>
          <w:szCs w:val="22"/>
          <w:rtl/>
        </w:rPr>
        <w:t>עד דבלי</w:t>
      </w:r>
      <w:r w:rsidRPr="007B63E6">
        <w:rPr>
          <w:rStyle w:val="Style1Char"/>
          <w:color w:val="C00000"/>
          <w:sz w:val="22"/>
          <w:szCs w:val="22"/>
          <w:rtl/>
        </w:rPr>
        <w:t>:</w:t>
      </w:r>
      <w:r w:rsidRPr="00952CA4">
        <w:rPr>
          <w:rStyle w:val="Style1Char"/>
          <w:color w:val="00B050"/>
          <w:rtl/>
        </w:rPr>
        <w:t xml:space="preserve">. </w:t>
      </w:r>
      <w:r w:rsidRPr="00DC38C5">
        <w:rPr>
          <w:rStyle w:val="Style1Char"/>
          <w:color w:val="ED7D31" w:themeColor="accent2"/>
          <w:rtl/>
        </w:rPr>
        <w:t xml:space="preserve">כמאן? כי האי תנא, דתניא: המלח והחול - הרי זה פירות; פיר של גפרית, מחפורת של צריף </w:t>
      </w:r>
      <w:r w:rsidRPr="0096014A">
        <w:rPr>
          <w:rStyle w:val="Style1Char"/>
          <w:color w:val="ED7D31" w:themeColor="accent2"/>
          <w:rtl/>
        </w:rPr>
        <w:t xml:space="preserve">- ר"מ אומר: קרן וחכ"א: פירות. </w:t>
      </w:r>
    </w:p>
    <w:p w14:paraId="2C52D4B2" w14:textId="4427CB19" w:rsidR="00B2458D" w:rsidRPr="008F2AB0" w:rsidRDefault="00F66C63" w:rsidP="00B2458D">
      <w:pPr>
        <w:bidi/>
        <w:rPr>
          <w:rStyle w:val="Style1Char"/>
          <w:color w:val="4472C4" w:themeColor="accent1"/>
        </w:rPr>
      </w:pPr>
      <w:r>
        <w:rPr>
          <w:rStyle w:val="Style1Char"/>
          <w:rFonts w:hint="cs"/>
          <w:rtl/>
        </w:rPr>
        <w:t>(4)</w:t>
      </w:r>
      <w:r w:rsidR="00B2458D" w:rsidRPr="00291A9A">
        <w:rPr>
          <w:rStyle w:val="Style1Char"/>
          <w:color w:val="ED7D31" w:themeColor="accent2"/>
          <w:sz w:val="22"/>
          <w:szCs w:val="22"/>
          <w:rtl/>
        </w:rPr>
        <w:t xml:space="preserve">ר"ש אומר: מקום שיפה כחו. ר"ש היינו ת"ק! </w:t>
      </w:r>
      <w:r w:rsidR="00B2458D" w:rsidRPr="00952CA4">
        <w:rPr>
          <w:rStyle w:val="Style1Char"/>
          <w:color w:val="00B050"/>
          <w:rtl/>
        </w:rPr>
        <w:t xml:space="preserve">אמר רבא: </w:t>
      </w:r>
      <w:r w:rsidR="001F1022">
        <w:rPr>
          <w:rStyle w:val="Style1Char"/>
          <w:rFonts w:hint="cs"/>
          <w:rtl/>
        </w:rPr>
        <w:t>(4)</w:t>
      </w:r>
      <w:r w:rsidR="00B2458D" w:rsidRPr="00291A9A">
        <w:rPr>
          <w:rStyle w:val="Style1Char"/>
          <w:color w:val="ED7D31" w:themeColor="accent2"/>
          <w:sz w:val="22"/>
          <w:szCs w:val="22"/>
          <w:rtl/>
        </w:rPr>
        <w:t xml:space="preserve">מחוברין בשעת יציאה איכא בינייהו. </w:t>
      </w:r>
      <w:r w:rsidR="00B2458D" w:rsidRPr="00EA3ECC">
        <w:rPr>
          <w:rStyle w:val="Style1Char"/>
          <w:color w:val="C00000"/>
          <w:sz w:val="22"/>
          <w:szCs w:val="22"/>
          <w:rtl/>
        </w:rPr>
        <w:t>פירות התלושין מן הקרקע. וקי"ל כר' שמעון</w:t>
      </w:r>
      <w:r w:rsidR="00B2458D" w:rsidRPr="00EA3ECC">
        <w:rPr>
          <w:rStyle w:val="Style1Char"/>
          <w:color w:val="C00000"/>
          <w:sz w:val="22"/>
          <w:szCs w:val="22"/>
        </w:rPr>
        <w:t>:</w:t>
      </w:r>
      <w:r w:rsidR="00B2458D">
        <w:rPr>
          <w:rStyle w:val="Style1Char"/>
          <w:color w:val="C00000"/>
          <w:sz w:val="22"/>
          <w:szCs w:val="22"/>
        </w:rPr>
        <w:t xml:space="preserve"> </w:t>
      </w:r>
      <w:r w:rsidR="00B2458D" w:rsidRPr="008F2AB0">
        <w:rPr>
          <w:rStyle w:val="Style1Char"/>
          <w:color w:val="4472C4" w:themeColor="accent1"/>
          <w:rtl/>
        </w:rPr>
        <w:t>רבינו חננאל ורב אלפס ז"ל פסקו הלכה כר"ש משום דמסתבר טעמיה דמשוה מדותיו בכניסה וביציאה. והראב"ד ז"ל הביא ראיה מדקתני להא דרבי שמעון</w:t>
      </w:r>
      <w:r w:rsidR="00B2458D">
        <w:rPr>
          <w:rStyle w:val="Style1Char"/>
          <w:rFonts w:hint="cs"/>
          <w:color w:val="4472C4" w:themeColor="accent1"/>
        </w:rPr>
        <w:t>‍</w:t>
      </w:r>
      <w:r w:rsidR="00B2458D" w:rsidRPr="008F2AB0">
        <w:rPr>
          <w:rStyle w:val="Style1Char"/>
          <w:color w:val="4472C4" w:themeColor="accent1"/>
          <w:rtl/>
        </w:rPr>
        <w:t xml:space="preserve"> סתמא בתוספתא דפירקין. וגם תני לה גבי הלכתא פסיקתא אצל היורד לנכסי שבויין. ובהלכות גדולות כתב דר' שמעון לא פליג אתנא קמא. אלא מאי דלא פירשו רבנן אתא איהו לפרושי. וגרסינן מחוברין בשעת יציאה אתא לאשמועינן. ומצאתי כתוב בשם ה"ר יונה ז"ל דאפילו בפירות גמורים שהגיעו ליתלש בכניסתה שלו וביציאתה שלה ואף על גב דקי"ל דכל העומד לגדור כגדור דמי ורבי שמעון נמי מודה בהא [בב"ק] (דף נה ב) גבי אכלה פירות גמורין. שאני הכא דאכילת פירות אינו אלא תקנת חכמים. וכן תיקנו פירות הנלקטין בעודה תחתיו שלו וכן מוכח בירושלמי (בפ' זה הלכה ד) דגרסינן התם כי קאמר ר"מ אפי' בכרם העומד ליבצר. וקמה העומדת ליקצר. וכיון דרבי מאיר ורבנן איירי בהכי רבי שמעון ורבנן נמי בהכי איירי. ובהכי מיתרצא נמי מה שהקשה ה"ר יוסף הלוי ז"ל על פסק רב אלפס ז"ל מההיא דיש נוחלין (דף קלו א) הכותב כל נכסיו לבנו לאחר מותו מכר האב מכורין עד שימות ושמין את המחובר ללוקח. אלמא בפירות מחוברין אזלינן בתר מאן דגדלי ברשותו. ומחמת קושיא זו פסק הלכה כרבנן. ולא קשיא מידי כדפרישית דאכילת פירות אינו אלא תקנת חכמים. וגם לדידיה קשה לרבנן על הכניסה. אלא ודאי חכמים השוו מדותיהם באכילת פירות שכל הנלקטים תחתיו הם שלו</w:t>
      </w:r>
      <w:r w:rsidR="00B2458D" w:rsidRPr="008F2AB0">
        <w:rPr>
          <w:rStyle w:val="Style1Char"/>
          <w:color w:val="4472C4" w:themeColor="accent1"/>
        </w:rPr>
        <w:t xml:space="preserve">: </w:t>
      </w:r>
    </w:p>
    <w:p w14:paraId="00B67C6C" w14:textId="682D5C6A" w:rsidR="00B2458D" w:rsidRPr="00C31BE3" w:rsidRDefault="00B2458D" w:rsidP="00B2458D">
      <w:pPr>
        <w:bidi/>
        <w:rPr>
          <w:rStyle w:val="Style1Char"/>
          <w:color w:val="auto"/>
          <w:sz w:val="22"/>
          <w:szCs w:val="22"/>
        </w:rPr>
      </w:pPr>
      <w:r w:rsidRPr="00C31BE3">
        <w:rPr>
          <w:rStyle w:val="Style1Char"/>
          <w:color w:val="auto"/>
          <w:sz w:val="22"/>
          <w:szCs w:val="22"/>
          <w:rtl/>
        </w:rPr>
        <w:t xml:space="preserve">מתני'. נפלו לה עבדים ושפחות זקנים - ימכרו, וילקח מהן קרקע והוא אוכל פירות; רשב"ג אומר: </w:t>
      </w:r>
      <w:r w:rsidR="001F1022">
        <w:rPr>
          <w:rStyle w:val="Style1Char"/>
          <w:rFonts w:hint="cs"/>
          <w:rtl/>
        </w:rPr>
        <w:t>(5)</w:t>
      </w:r>
      <w:r w:rsidRPr="00C31BE3">
        <w:rPr>
          <w:rStyle w:val="Style1Char"/>
          <w:color w:val="auto"/>
          <w:sz w:val="22"/>
          <w:szCs w:val="22"/>
          <w:rtl/>
        </w:rPr>
        <w:t xml:space="preserve">לא תמכור, מפני שהן שבח בית אביה. </w:t>
      </w:r>
      <w:r w:rsidR="00D80958">
        <w:rPr>
          <w:rStyle w:val="Style1Char"/>
          <w:rFonts w:hint="cs"/>
          <w:rtl/>
        </w:rPr>
        <w:t>(5)</w:t>
      </w:r>
      <w:r w:rsidRPr="00C31BE3">
        <w:rPr>
          <w:rStyle w:val="Style1Char"/>
          <w:color w:val="auto"/>
          <w:sz w:val="22"/>
          <w:szCs w:val="22"/>
          <w:rtl/>
        </w:rPr>
        <w:t xml:space="preserve">נפלו לה זיתים וגפנים זקנים - ימכרו, וילקח בהן קרקע והוא אוכל פירות; ר' יהודה אומר: לא תמכור, מפני שהן שבח בית אביה. </w:t>
      </w:r>
    </w:p>
    <w:p w14:paraId="73CFE0D8" w14:textId="53CDEA4F" w:rsidR="00B2458D" w:rsidRPr="00753000" w:rsidRDefault="00B2458D" w:rsidP="00B2458D">
      <w:pPr>
        <w:bidi/>
        <w:rPr>
          <w:rStyle w:val="Style1Char"/>
          <w:color w:val="806000" w:themeColor="accent4" w:themeShade="80"/>
          <w:sz w:val="22"/>
          <w:szCs w:val="22"/>
        </w:rPr>
      </w:pPr>
      <w:r w:rsidRPr="00952CA4">
        <w:rPr>
          <w:rStyle w:val="Style1Char"/>
          <w:color w:val="00B050"/>
          <w:rtl/>
        </w:rPr>
        <w:t xml:space="preserve">גמ'. אמר רב כהנא אמר רב: מחלוקת - שנפלו בשדה שלה, אבל בשדה שאינה שלה - דברי הכל תמכור, משום דקא כליא קרנא. מתקיף לה רב יוסף: הרי עבדים ושפחות, דכי שדה שאינה שלה דמי, ופליגי! אלא אי איתמר הכי איתמר, </w:t>
      </w:r>
      <w:r w:rsidRPr="00E00F4D">
        <w:rPr>
          <w:rStyle w:val="Style1Char"/>
          <w:color w:val="auto"/>
          <w:sz w:val="22"/>
          <w:szCs w:val="22"/>
          <w:rtl/>
        </w:rPr>
        <w:t xml:space="preserve">אמר רב </w:t>
      </w:r>
      <w:r w:rsidRPr="008F2AB0">
        <w:rPr>
          <w:rStyle w:val="Style1Char"/>
          <w:color w:val="4472C4" w:themeColor="accent1"/>
          <w:rtl/>
        </w:rPr>
        <w:t xml:space="preserve">נחמן </w:t>
      </w:r>
      <w:r w:rsidRPr="00306FB5">
        <w:rPr>
          <w:rStyle w:val="Style1Char"/>
          <w:sz w:val="22"/>
          <w:szCs w:val="22"/>
          <w:rtl/>
        </w:rPr>
        <w:t xml:space="preserve">כהנא </w:t>
      </w:r>
      <w:r w:rsidRPr="00753000">
        <w:rPr>
          <w:rStyle w:val="Style1Char"/>
          <w:color w:val="auto"/>
          <w:sz w:val="22"/>
          <w:szCs w:val="22"/>
          <w:rtl/>
        </w:rPr>
        <w:t>אמר רב: מחלוקת - בשדה שאינה שלה</w:t>
      </w:r>
      <w:r w:rsidRPr="00753000">
        <w:rPr>
          <w:rStyle w:val="Style1Char"/>
          <w:color w:val="auto"/>
          <w:rtl/>
        </w:rPr>
        <w:t xml:space="preserve"> </w:t>
      </w:r>
      <w:r w:rsidRPr="00753000">
        <w:rPr>
          <w:rStyle w:val="Style1Char"/>
          <w:color w:val="806000" w:themeColor="accent4" w:themeShade="80"/>
          <w:sz w:val="22"/>
          <w:szCs w:val="22"/>
          <w:rtl/>
        </w:rPr>
        <w:t>דרבנן סברי כיון דלית לה קרקע תמכור משום דקא כליא קרנא</w:t>
      </w:r>
      <w:r w:rsidRPr="00306FB5">
        <w:rPr>
          <w:rStyle w:val="Style1Char"/>
          <w:sz w:val="22"/>
          <w:szCs w:val="22"/>
          <w:rtl/>
        </w:rPr>
        <w:t xml:space="preserve">, </w:t>
      </w:r>
      <w:r w:rsidRPr="00753000">
        <w:rPr>
          <w:rStyle w:val="Style1Char"/>
          <w:color w:val="auto"/>
          <w:sz w:val="22"/>
          <w:szCs w:val="22"/>
          <w:rtl/>
        </w:rPr>
        <w:t xml:space="preserve">אבל </w:t>
      </w:r>
      <w:r w:rsidR="00FA7BAD">
        <w:rPr>
          <w:rStyle w:val="Style1Char"/>
          <w:rFonts w:hint="cs"/>
          <w:rtl/>
        </w:rPr>
        <w:t>(5)</w:t>
      </w:r>
      <w:r w:rsidRPr="00753000">
        <w:rPr>
          <w:rStyle w:val="Style1Char"/>
          <w:color w:val="auto"/>
          <w:sz w:val="22"/>
          <w:szCs w:val="22"/>
          <w:rtl/>
        </w:rPr>
        <w:t>בשדה שלה - דברי הכל לא תמכור, מפני שבח בית אביה.</w:t>
      </w:r>
      <w:r w:rsidRPr="00306FB5">
        <w:rPr>
          <w:rStyle w:val="Style1Char"/>
          <w:sz w:val="22"/>
          <w:szCs w:val="22"/>
          <w:rtl/>
        </w:rPr>
        <w:t xml:space="preserve"> </w:t>
      </w:r>
      <w:r w:rsidRPr="00753000">
        <w:rPr>
          <w:rStyle w:val="Style1Char"/>
          <w:color w:val="806000" w:themeColor="accent4" w:themeShade="80"/>
          <w:sz w:val="22"/>
          <w:szCs w:val="22"/>
          <w:rtl/>
        </w:rPr>
        <w:t>ירושלמי מתני' בשאין עושין כדי טפולה אבל אם עושין לא תמכור שעדיין שבח בית אביה קיים</w:t>
      </w:r>
      <w:r w:rsidRPr="00753000">
        <w:rPr>
          <w:rStyle w:val="Style1Char"/>
          <w:color w:val="806000" w:themeColor="accent4" w:themeShade="80"/>
          <w:sz w:val="22"/>
          <w:szCs w:val="22"/>
        </w:rPr>
        <w:t>:</w:t>
      </w:r>
    </w:p>
    <w:p w14:paraId="08F1C5B8" w14:textId="78AF101B" w:rsidR="00B2458D" w:rsidRPr="00C41D8F" w:rsidRDefault="00B2458D" w:rsidP="00B2458D">
      <w:pPr>
        <w:bidi/>
        <w:rPr>
          <w:rStyle w:val="Style1Char"/>
          <w:color w:val="auto"/>
          <w:sz w:val="22"/>
          <w:szCs w:val="22"/>
        </w:rPr>
      </w:pPr>
      <w:r w:rsidRPr="00C41D8F">
        <w:rPr>
          <w:rStyle w:val="Style1Char"/>
          <w:color w:val="auto"/>
          <w:sz w:val="22"/>
          <w:szCs w:val="22"/>
          <w:rtl/>
        </w:rPr>
        <w:t xml:space="preserve">מתני'. </w:t>
      </w:r>
      <w:r w:rsidR="00B271E4">
        <w:rPr>
          <w:rStyle w:val="Style1Char"/>
          <w:rFonts w:hint="cs"/>
          <w:rtl/>
        </w:rPr>
        <w:t>(6</w:t>
      </w:r>
      <w:r w:rsidRPr="00C41D8F">
        <w:rPr>
          <w:rStyle w:val="Style1Char"/>
          <w:color w:val="auto"/>
          <w:sz w:val="22"/>
          <w:szCs w:val="22"/>
          <w:rtl/>
        </w:rPr>
        <w:t xml:space="preserve">המוציא הוצאות על נכסי אשתו, הוציא הרבה ואכל קימעא, קימעא ואכל הרבה - מה שהוציא הוציא, ומה שאכל אכל; הוציא ולא אכל - ישבע כמה הוציא ויטול. </w:t>
      </w:r>
    </w:p>
    <w:p w14:paraId="3E3ADD9D" w14:textId="3C522274" w:rsidR="00B2458D" w:rsidRDefault="00B2458D" w:rsidP="00B2458D">
      <w:pPr>
        <w:bidi/>
        <w:rPr>
          <w:rStyle w:val="Style1Char"/>
          <w:color w:val="00B050"/>
          <w:rtl/>
        </w:rPr>
      </w:pPr>
      <w:r w:rsidRPr="009252E9">
        <w:rPr>
          <w:rStyle w:val="Style1Char"/>
          <w:color w:val="auto"/>
          <w:sz w:val="22"/>
          <w:szCs w:val="22"/>
          <w:rtl/>
        </w:rPr>
        <w:t xml:space="preserve">גמ'. וכמה קימעא? אמר רבי אסי: </w:t>
      </w:r>
      <w:r w:rsidR="00B271E4">
        <w:rPr>
          <w:rStyle w:val="Style1Char"/>
          <w:rFonts w:hint="cs"/>
          <w:rtl/>
        </w:rPr>
        <w:t>(6)</w:t>
      </w:r>
      <w:r w:rsidRPr="009252E9">
        <w:rPr>
          <w:rStyle w:val="Style1Char"/>
          <w:color w:val="auto"/>
          <w:sz w:val="22"/>
          <w:szCs w:val="22"/>
          <w:rtl/>
        </w:rPr>
        <w:t>אפילו גרוגרת אחת, והוא שאכלה דרך כבוד</w:t>
      </w:r>
      <w:r w:rsidRPr="00D629CA">
        <w:rPr>
          <w:rStyle w:val="Style1Char"/>
          <w:sz w:val="22"/>
          <w:szCs w:val="22"/>
          <w:rtl/>
        </w:rPr>
        <w:t xml:space="preserve">. </w:t>
      </w:r>
      <w:r w:rsidRPr="00952CA4">
        <w:rPr>
          <w:rStyle w:val="Style1Char"/>
          <w:color w:val="00B050"/>
          <w:rtl/>
        </w:rPr>
        <w:t xml:space="preserve">אמר </w:t>
      </w:r>
    </w:p>
    <w:p w14:paraId="5D24B103" w14:textId="5E1E0DED" w:rsidR="00DF671B" w:rsidRDefault="00DF671B" w:rsidP="00DF671B">
      <w:pPr>
        <w:pStyle w:val="Style1"/>
        <w:rPr>
          <w:rStyle w:val="Style1Char"/>
          <w:rtl/>
        </w:rPr>
      </w:pPr>
      <w:r>
        <w:rPr>
          <w:rStyle w:val="Style1Char"/>
          <w:rFonts w:hint="cs"/>
          <w:rtl/>
        </w:rPr>
        <w:t>1)[</w:t>
      </w:r>
      <w:r w:rsidRPr="00DF671B">
        <w:rPr>
          <w:rStyle w:val="Style1Char"/>
          <w:rtl/>
        </w:rPr>
        <w:t>רמב</w:t>
      </w:r>
      <w:r w:rsidR="00213DA1">
        <w:rPr>
          <w:rStyle w:val="Style1Char"/>
          <w:rtl/>
        </w:rPr>
        <w:t>”ם \נשים\</w:t>
      </w:r>
      <w:r w:rsidRPr="00DF671B">
        <w:rPr>
          <w:rStyle w:val="Style1Char"/>
          <w:rtl/>
        </w:rPr>
        <w:t xml:space="preserve"> הלכות אישות פרק כב הלכה כח</w:t>
      </w:r>
      <w:r>
        <w:rPr>
          <w:rStyle w:val="Style1Char"/>
          <w:rFonts w:hint="cs"/>
          <w:rtl/>
        </w:rPr>
        <w:t xml:space="preserve">] </w:t>
      </w:r>
      <w:r w:rsidRPr="00DF671B">
        <w:rPr>
          <w:rStyle w:val="Style1Char"/>
          <w:rtl/>
        </w:rPr>
        <w:t>ולד בהמת מלוג שנגנב ונמצא הגנב ושלם שנים הכפל לאשה, שאין זה הפרי שתקנו לו חכמים, החובל באשתו כל הנזק והצער והבושת שלה ואין הבעל אוכל פירותיהן כמו שיתבאר בהלכות חובל.</w:t>
      </w:r>
    </w:p>
    <w:p w14:paraId="41ABACA5" w14:textId="7625B44A" w:rsidR="005D29CD" w:rsidRDefault="005D29CD" w:rsidP="005D29CD">
      <w:pPr>
        <w:pStyle w:val="Style1"/>
        <w:rPr>
          <w:rStyle w:val="Style1Char"/>
          <w:rtl/>
        </w:rPr>
      </w:pPr>
      <w:r>
        <w:rPr>
          <w:rStyle w:val="Style1Char"/>
          <w:rFonts w:hint="cs"/>
          <w:rtl/>
        </w:rPr>
        <w:lastRenderedPageBreak/>
        <w:t>2)[</w:t>
      </w:r>
      <w:r w:rsidRPr="005D29CD">
        <w:rPr>
          <w:rStyle w:val="Style1Char"/>
          <w:rtl/>
        </w:rPr>
        <w:t>רמב</w:t>
      </w:r>
      <w:r w:rsidR="00213DA1">
        <w:rPr>
          <w:rStyle w:val="Style1Char"/>
          <w:rtl/>
        </w:rPr>
        <w:t>”ם \נשים\</w:t>
      </w:r>
      <w:r w:rsidRPr="005D29CD">
        <w:rPr>
          <w:rStyle w:val="Style1Char"/>
          <w:rtl/>
        </w:rPr>
        <w:t xml:space="preserve"> הלכות אישות פרק כב הלכה כה</w:t>
      </w:r>
      <w:r>
        <w:rPr>
          <w:rStyle w:val="Style1Char"/>
          <w:rFonts w:hint="cs"/>
          <w:rtl/>
        </w:rPr>
        <w:t xml:space="preserve">] </w:t>
      </w:r>
      <w:r w:rsidRPr="005D29CD">
        <w:rPr>
          <w:rStyle w:val="Style1Char"/>
          <w:rtl/>
        </w:rPr>
        <w:t>עבדי נכסי מלוג ובהמת נכסי מלוג הבעל חייב במזונותיהן ובכל צרכיהם והן עושין לו והוא אוכל פירותיהם, לפיכך ולד שפחת מלוג לבעל, ולד בהמת מלוג לבעל, ואם גירשה ורצת האשה ליתן דמים וליטול ולד השפחה מפני שבח בית אביה שומעין לה.</w:t>
      </w:r>
    </w:p>
    <w:p w14:paraId="0BEC6F0C" w14:textId="136C8D95" w:rsidR="00391CB2" w:rsidRDefault="00391CB2" w:rsidP="00391CB2">
      <w:pPr>
        <w:pStyle w:val="Style1"/>
        <w:rPr>
          <w:rtl/>
        </w:rPr>
      </w:pPr>
      <w:r>
        <w:rPr>
          <w:rStyle w:val="Style1Char"/>
          <w:rFonts w:hint="cs"/>
          <w:rtl/>
        </w:rPr>
        <w:t>2)[</w:t>
      </w:r>
      <w:r w:rsidRPr="00391CB2">
        <w:rPr>
          <w:rStyle w:val="Style1Char"/>
          <w:rtl/>
        </w:rPr>
        <w:t>שולחן ערוך אבן העזר הלכות כתובות סימן פה סעיף טז</w:t>
      </w:r>
      <w:r>
        <w:rPr>
          <w:rStyle w:val="Style1Char"/>
          <w:rFonts w:hint="cs"/>
          <w:rtl/>
        </w:rPr>
        <w:t>]</w:t>
      </w:r>
      <w:r w:rsidR="005C7C05">
        <w:rPr>
          <w:rStyle w:val="Style1Char"/>
          <w:rFonts w:hint="cs"/>
          <w:rtl/>
        </w:rPr>
        <w:t xml:space="preserve"> </w:t>
      </w:r>
      <w:r w:rsidR="005C7C05" w:rsidRPr="005C7C05">
        <w:rPr>
          <w:rtl/>
        </w:rPr>
        <w:t>עבדי נכסי מלוג ובהמות נכסי מלוג, הבעל חיב במזונותיהם ובכל צרכיהם, והם עושים לו והוא אוכל פירותיהם. לפיכך, ולד שפחת מלוג, לבעל; ולד בהמת מלוג, לבעל; ואם גרשה, ורצתה האשה לתת דמים וליטול ולד השפחה, מפני שבח בית אביה, שומעין לה</w:t>
      </w:r>
      <w:r w:rsidR="005C7C05" w:rsidRPr="005C7C05">
        <w:t>:</w:t>
      </w:r>
    </w:p>
    <w:p w14:paraId="46804E51" w14:textId="6BA4AD91" w:rsidR="00362DB4" w:rsidRDefault="00362DB4" w:rsidP="00362DB4">
      <w:pPr>
        <w:pStyle w:val="Style1"/>
        <w:rPr>
          <w:rtl/>
        </w:rPr>
      </w:pPr>
      <w:r>
        <w:rPr>
          <w:rFonts w:hint="cs"/>
          <w:rtl/>
        </w:rPr>
        <w:t>3)[</w:t>
      </w:r>
      <w:r>
        <w:rPr>
          <w:rtl/>
        </w:rPr>
        <w:t>רמב</w:t>
      </w:r>
      <w:r w:rsidR="00213DA1">
        <w:rPr>
          <w:rtl/>
        </w:rPr>
        <w:t>”ם \נשים\</w:t>
      </w:r>
      <w:r>
        <w:rPr>
          <w:rtl/>
        </w:rPr>
        <w:t xml:space="preserve"> הלכות אישות פרק כב הלכה לד</w:t>
      </w:r>
      <w:r>
        <w:rPr>
          <w:rFonts w:hint="cs"/>
          <w:rtl/>
        </w:rPr>
        <w:t xml:space="preserve">] </w:t>
      </w:r>
      <w:r>
        <w:rPr>
          <w:rtl/>
        </w:rPr>
        <w:t>האשה שהכניסה לבעלה עז לחלבה ורחל לגיזתה ודקל לפירותיו אף על פי שאין לה אלא פירות אלו בלבד הרי זה אוכל והולך עד שתכלה הקרן, וכן אם הכניסה לו כלי תשמיש בתורת נכסי מלוג הרי זה משתמש בהן ולובש ומציע ומכסה עד שיכלה הקרן וכשיגרש אינו חייב לשלם הבליות של נכסי מלוג.</w:t>
      </w:r>
    </w:p>
    <w:p w14:paraId="720F09A9" w14:textId="61F9C561" w:rsidR="005C1087" w:rsidRDefault="005C1087" w:rsidP="005C1087">
      <w:pPr>
        <w:pStyle w:val="Style1"/>
        <w:rPr>
          <w:rtl/>
        </w:rPr>
      </w:pPr>
      <w:r>
        <w:rPr>
          <w:rFonts w:hint="cs"/>
          <w:rtl/>
        </w:rPr>
        <w:t>3)[</w:t>
      </w:r>
      <w:r>
        <w:rPr>
          <w:rtl/>
        </w:rPr>
        <w:t>שולחן ערוך אבן העזר הלכות כתובות סימן פה סעיף יג</w:t>
      </w:r>
      <w:r>
        <w:rPr>
          <w:rFonts w:hint="cs"/>
          <w:rtl/>
        </w:rPr>
        <w:t xml:space="preserve">] </w:t>
      </w:r>
      <w:r w:rsidRPr="002E6838">
        <w:rPr>
          <w:rtl/>
        </w:rPr>
        <w:t>נכסי מלוג, הבעל אוכל פרות, ואם הם דבר שאינו עושה פרות, ימכר וילקח בו דבר שעושה פרות. ואם הוא אומר: כך וכך ילקח בהם, והיא אומרת: איני לוקחת בהם אלא כך וכך, לוקחים דבר שפרותיו מרבים ויציאתו מעוטה, בין שהיה הדבר כרצונו או כרצונה. ואין קונין דבר שאין גזעו מחליף. ואם נפל לה דבר שאין גזעו מחליף, אף על פי שלא ישאר קצת מהקרן, אין צריך למכרו, כגון שהכניסה לו עז לחלבה, רחל לגזתה, דקל לפרותיו, אף על פי שאין לה אלא פרות אלו בלבד, הרי זה אוכל והולך עד שתכלה הקרן. וכן אם הכניסה לו כלי בתורת נכסי מלוג, הרי זה משתמש בהם ולובש ומציע ומכסה, עד שיכלה הקרן, וכשיגרש אינו חיב לשלם הבליות של נכסי מלוג</w:t>
      </w:r>
      <w:r w:rsidRPr="002E6838">
        <w:t>:</w:t>
      </w:r>
    </w:p>
    <w:p w14:paraId="46161199" w14:textId="47EEA1C3" w:rsidR="004641C5" w:rsidRDefault="004641C5" w:rsidP="004641C5">
      <w:pPr>
        <w:pStyle w:val="Style1"/>
        <w:rPr>
          <w:rtl/>
        </w:rPr>
      </w:pPr>
      <w:r>
        <w:rPr>
          <w:rFonts w:hint="cs"/>
          <w:rtl/>
        </w:rPr>
        <w:t>4)[</w:t>
      </w:r>
      <w:r>
        <w:rPr>
          <w:rtl/>
        </w:rPr>
        <w:t>רמב</w:t>
      </w:r>
      <w:r w:rsidR="00213DA1">
        <w:rPr>
          <w:rtl/>
        </w:rPr>
        <w:t>”ם \נשים\</w:t>
      </w:r>
      <w:r>
        <w:rPr>
          <w:rtl/>
        </w:rPr>
        <w:t xml:space="preserve"> הלכות אישות פרק כב הלכה כד</w:t>
      </w:r>
      <w:r>
        <w:rPr>
          <w:rFonts w:hint="cs"/>
          <w:rtl/>
        </w:rPr>
        <w:t xml:space="preserve">] </w:t>
      </w:r>
      <w:r>
        <w:rPr>
          <w:rtl/>
        </w:rPr>
        <w:t>נפלו לה פירות מחוברין לקרקע הרי אלו של בעל, תלושין מן הקרקע שלה וימכרו וילקח בהן קרקע והוא אוכל פירות, אבל המגרש את אשתו והיו לה פירות מחוברין לקרקע בשעת גירושין הרי אלו שלה ואם היו תלושין הרי אלו שלו.</w:t>
      </w:r>
    </w:p>
    <w:p w14:paraId="7CB0640E" w14:textId="780D54B7" w:rsidR="006F734B" w:rsidRDefault="00124215" w:rsidP="006F734B">
      <w:pPr>
        <w:pStyle w:val="Style1"/>
        <w:rPr>
          <w:rtl/>
        </w:rPr>
      </w:pPr>
      <w:r>
        <w:rPr>
          <w:rFonts w:hint="cs"/>
          <w:rtl/>
        </w:rPr>
        <w:t>4)[</w:t>
      </w:r>
      <w:r>
        <w:rPr>
          <w:rtl/>
        </w:rPr>
        <w:t>שולחן ערוך אבן העזר הלכות כתובות סימן פח סעיף ו</w:t>
      </w:r>
      <w:r>
        <w:rPr>
          <w:rFonts w:hint="cs"/>
          <w:rtl/>
        </w:rPr>
        <w:t>]</w:t>
      </w:r>
      <w:r w:rsidR="006F734B">
        <w:rPr>
          <w:rFonts w:hint="cs"/>
          <w:rtl/>
        </w:rPr>
        <w:t xml:space="preserve"> </w:t>
      </w:r>
      <w:r w:rsidR="006F734B" w:rsidRPr="006F734B">
        <w:rPr>
          <w:rtl/>
        </w:rPr>
        <w:t>הכניסה לו קרקע, וכשיצאה יש בו פירות מחוברים, נוטלתו עם פרותיו, אפלו הגיע זמנן לקצור. תלשן הבעל קדם הגרושין, הרי הם שלו אפילו לא הגיע זמנם לקצור</w:t>
      </w:r>
      <w:r w:rsidR="006F734B" w:rsidRPr="006F734B">
        <w:t>:</w:t>
      </w:r>
    </w:p>
    <w:p w14:paraId="3277DC74" w14:textId="7C410FCE" w:rsidR="004840E9" w:rsidRDefault="004840E9" w:rsidP="004840E9">
      <w:pPr>
        <w:pStyle w:val="Style1"/>
        <w:rPr>
          <w:rtl/>
        </w:rPr>
      </w:pPr>
      <w:r>
        <w:rPr>
          <w:rFonts w:hint="cs"/>
          <w:rtl/>
        </w:rPr>
        <w:t>5)[</w:t>
      </w:r>
      <w:r>
        <w:rPr>
          <w:rtl/>
        </w:rPr>
        <w:t>רמב</w:t>
      </w:r>
      <w:r w:rsidR="00213DA1">
        <w:rPr>
          <w:rtl/>
        </w:rPr>
        <w:t>”ם \נשים\</w:t>
      </w:r>
      <w:r>
        <w:rPr>
          <w:rtl/>
        </w:rPr>
        <w:t xml:space="preserve"> הלכות אישות פרק כב הלכה כג</w:t>
      </w:r>
      <w:r>
        <w:rPr>
          <w:rFonts w:hint="cs"/>
          <w:rtl/>
        </w:rPr>
        <w:t xml:space="preserve">] </w:t>
      </w:r>
      <w:r>
        <w:rPr>
          <w:rtl/>
        </w:rPr>
        <w:t>נפלו לה עבדים אף על פי שהן זקנים הרי אלו לא ימכרו מפני שבח בית אביה, נפלו לה זיתים וגפנים ולא היה לה בגוף הקרקע שהאילנות בה כלום, אם עושין כדי טיפולן לא ימכרו מפני שבח בית אביה ואם לאו הרי אלו ימכרו לעצים וילקח בהן קרקע והוא אוכל פירות.</w:t>
      </w:r>
    </w:p>
    <w:p w14:paraId="33250439" w14:textId="221E216A" w:rsidR="000F4BD6" w:rsidRDefault="000F4BD6" w:rsidP="000549B1">
      <w:pPr>
        <w:pStyle w:val="Style1"/>
        <w:rPr>
          <w:rtl/>
        </w:rPr>
      </w:pPr>
      <w:r>
        <w:rPr>
          <w:rFonts w:hint="cs"/>
          <w:rtl/>
        </w:rPr>
        <w:t>5)[</w:t>
      </w:r>
      <w:r>
        <w:rPr>
          <w:rtl/>
        </w:rPr>
        <w:t>שולחן ערוך אבן העזר הלכות כתובות סימן פה סעיף יד</w:t>
      </w:r>
      <w:r>
        <w:rPr>
          <w:rFonts w:hint="cs"/>
          <w:rtl/>
        </w:rPr>
        <w:t>]</w:t>
      </w:r>
      <w:r w:rsidR="000549B1">
        <w:rPr>
          <w:rFonts w:hint="cs"/>
          <w:rtl/>
        </w:rPr>
        <w:t xml:space="preserve"> </w:t>
      </w:r>
      <w:r w:rsidR="000549B1" w:rsidRPr="000549B1">
        <w:rPr>
          <w:rtl/>
        </w:rPr>
        <w:t>נפלו לה עבדים, אף על פי שהם זקנים, לא ימכר, מפני שהם שבח בית אביה. נפלו לה זיתים וגפנים, ולא היו לה בגוף הקרקע שהאילנות בה, כלום, אם עושין כדי טפולן לא ימכרו, מפני שבח בית אביה; ואם לאו, הרי אלו ימכרו לעצים, וילקח בהם קרקע והוא אוכל פרות</w:t>
      </w:r>
      <w:r w:rsidR="000549B1" w:rsidRPr="000549B1">
        <w:t>:</w:t>
      </w:r>
    </w:p>
    <w:p w14:paraId="78F49E5F" w14:textId="4474047D" w:rsidR="003A7F12" w:rsidRDefault="003A7F12" w:rsidP="003A7F12">
      <w:pPr>
        <w:pStyle w:val="Style1"/>
        <w:rPr>
          <w:rtl/>
        </w:rPr>
      </w:pPr>
      <w:r>
        <w:rPr>
          <w:rFonts w:hint="cs"/>
          <w:rtl/>
        </w:rPr>
        <w:t>6)[</w:t>
      </w:r>
      <w:r>
        <w:rPr>
          <w:rtl/>
        </w:rPr>
        <w:t>רמב</w:t>
      </w:r>
      <w:r w:rsidR="00213DA1">
        <w:rPr>
          <w:rtl/>
        </w:rPr>
        <w:t>”ם \נשים\</w:t>
      </w:r>
      <w:r>
        <w:rPr>
          <w:rtl/>
        </w:rPr>
        <w:t xml:space="preserve"> הלכות אישות פרק כג הלכה ח</w:t>
      </w:r>
      <w:r>
        <w:rPr>
          <w:rFonts w:hint="cs"/>
          <w:rtl/>
        </w:rPr>
        <w:t xml:space="preserve">] </w:t>
      </w:r>
      <w:r>
        <w:rPr>
          <w:rtl/>
        </w:rPr>
        <w:t>הבעל שהוציא הוצאות על נכסי מלוג בין שהוציא מעט ואכל פירות הרבה בין שהוציא הרבה ואכל פירות מעט אפילו אכל גרוגרת אחת דרך כבוד או שאכל דינר אחד אפילו שלא דרך כבוד ואפילו לא לקח בפירות מה שהוציא אלא חבילה של זמורות מה שהוציא הוציא ומה שאכל אכל.</w:t>
      </w:r>
    </w:p>
    <w:p w14:paraId="615F0598" w14:textId="484E289B" w:rsidR="00D238B0" w:rsidRPr="00D238B0" w:rsidRDefault="00C56965" w:rsidP="00D238B0">
      <w:pPr>
        <w:pStyle w:val="Style1"/>
      </w:pPr>
      <w:r>
        <w:rPr>
          <w:rFonts w:hint="cs"/>
          <w:rtl/>
        </w:rPr>
        <w:t>6)[</w:t>
      </w:r>
      <w:r>
        <w:rPr>
          <w:rtl/>
        </w:rPr>
        <w:t>שולחן ערוך אבן העזר הלכות כתובות סימן פח סעיף ז</w:t>
      </w:r>
      <w:r>
        <w:rPr>
          <w:rFonts w:hint="cs"/>
          <w:rtl/>
        </w:rPr>
        <w:t>]</w:t>
      </w:r>
      <w:r w:rsidR="00F43FF1">
        <w:rPr>
          <w:rFonts w:hint="cs"/>
          <w:rtl/>
        </w:rPr>
        <w:t xml:space="preserve"> </w:t>
      </w:r>
      <w:r w:rsidR="00D238B0" w:rsidRPr="00D238B0">
        <w:rPr>
          <w:rtl/>
        </w:rPr>
        <w:t>הוציא הוצאות על נכסי מלוג של אשתו וגרשה, בין שהוציא מעט ואכל פירות הרבה, בין שהוציא הרבה ואכל פירות מעט, אפילו אכל גרוגרת אחת דרך כבוד, כדרך איש בביתו, או שאכל דינר אפלו שלא דרך כבוד, ואפלו לא לקח בפרות ממה שהוציא אלא חבילה אחת של זמורות, מה שהוציא הוציא ומה שאכל אכל. הוציא ולא אכל, או שאכל פחות מכשיעור, שמין כמה השביחו ושואלין אותו כמה הוציא, אם השבח יותר על ההוצאה, ישבע בנקיטת חפץ כמה הוציא ונוטל ההוצאה; ואם ההוצאה יתרה על השבח, אין לו מההוצאה אלא כשעור השבח, ובשבועה. והוא הדין למי שנפלו לה נכסים במקום רחוק והוציא עליהם הוצאות להביאם, ולקח בהם קרקע ואכל מהפרות כשיעור או פחות. ואם לא אכל אלא מהקרן, ישבע כמה הוציא, ויטל עד כדי השבח</w:t>
      </w:r>
      <w:r w:rsidR="00D238B0" w:rsidRPr="00D238B0">
        <w:t>.</w:t>
      </w:r>
    </w:p>
    <w:p w14:paraId="15668B3D" w14:textId="77777777" w:rsidR="00D238B0" w:rsidRPr="00D238B0" w:rsidRDefault="00D238B0" w:rsidP="00D238B0">
      <w:pPr>
        <w:pStyle w:val="Style1"/>
      </w:pPr>
      <w:r w:rsidRPr="00D238B0">
        <w:rPr>
          <w:rFonts w:hint="cs"/>
        </w:rPr>
        <w:t>(</w:t>
      </w:r>
      <w:r w:rsidRPr="00D238B0">
        <w:rPr>
          <w:rFonts w:hint="cs"/>
          <w:rtl/>
        </w:rPr>
        <w:t>והא דנוטל בשבועה, דוקא כשאין האשה מכחישתו, אבל מכחישתו, לא (מרדכי פרק האשה שנפלו</w:t>
      </w:r>
      <w:r w:rsidRPr="00D238B0">
        <w:rPr>
          <w:rFonts w:hint="cs"/>
        </w:rPr>
        <w:t>)</w:t>
      </w:r>
      <w:r w:rsidRPr="00D238B0">
        <w:t>:</w:t>
      </w:r>
    </w:p>
    <w:p w14:paraId="1761F3BF" w14:textId="77777777" w:rsidR="00D238B0" w:rsidRPr="00D238B0" w:rsidRDefault="00D238B0" w:rsidP="00D238B0">
      <w:pPr>
        <w:pStyle w:val="Style1"/>
      </w:pPr>
    </w:p>
    <w:p w14:paraId="26D35F71" w14:textId="2EA330AE" w:rsidR="00C56965" w:rsidRPr="000549B1" w:rsidRDefault="00C56965" w:rsidP="00C56965">
      <w:pPr>
        <w:pStyle w:val="Style1"/>
      </w:pPr>
    </w:p>
    <w:p w14:paraId="3B7767E1" w14:textId="16F70235" w:rsidR="000F4BD6" w:rsidRPr="000549B1" w:rsidRDefault="000F4BD6" w:rsidP="000549B1">
      <w:pPr>
        <w:pStyle w:val="Style1"/>
      </w:pPr>
    </w:p>
    <w:p w14:paraId="7A236CA2" w14:textId="50461FE8" w:rsidR="00391CB2" w:rsidRPr="006F734B" w:rsidRDefault="00391CB2" w:rsidP="006F734B">
      <w:pPr>
        <w:pStyle w:val="Style1"/>
        <w:rPr>
          <w:rStyle w:val="Style1Char"/>
          <w:rtl/>
        </w:rPr>
      </w:pPr>
    </w:p>
    <w:p w14:paraId="7354AB98" w14:textId="77777777" w:rsidR="00B2458D" w:rsidRPr="006F734B" w:rsidRDefault="00B2458D" w:rsidP="006F734B">
      <w:pPr>
        <w:pStyle w:val="Style1"/>
        <w:rPr>
          <w:rStyle w:val="Style1Char"/>
          <w:rtl/>
        </w:rPr>
      </w:pPr>
    </w:p>
    <w:p w14:paraId="1247E513" w14:textId="77777777" w:rsidR="00B2458D" w:rsidRDefault="00B2458D" w:rsidP="00B2458D">
      <w:pPr>
        <w:rPr>
          <w:rStyle w:val="Style1Char"/>
          <w:color w:val="00B050"/>
          <w:rtl/>
        </w:rPr>
      </w:pPr>
      <w:r>
        <w:rPr>
          <w:rStyle w:val="Style1Char"/>
          <w:color w:val="00B050"/>
          <w:rtl/>
        </w:rPr>
        <w:br w:type="page"/>
      </w:r>
    </w:p>
    <w:p w14:paraId="6B2BD14F" w14:textId="3FEE31F2" w:rsidR="00B2458D" w:rsidRPr="008F2AB0" w:rsidRDefault="00B2458D" w:rsidP="00B2458D">
      <w:pPr>
        <w:bidi/>
        <w:rPr>
          <w:rStyle w:val="Style1Char"/>
          <w:color w:val="4472C4" w:themeColor="accent1"/>
        </w:rPr>
      </w:pPr>
      <w:r w:rsidRPr="00CF6972">
        <w:rPr>
          <w:rStyle w:val="Style1Char"/>
          <w:color w:val="00B050"/>
          <w:sz w:val="22"/>
          <w:szCs w:val="22"/>
          <w:highlight w:val="yellow"/>
          <w:rtl/>
        </w:rPr>
        <w:lastRenderedPageBreak/>
        <w:t>[דף פ עמוד א]</w:t>
      </w:r>
      <w:r w:rsidRPr="00CF6972">
        <w:rPr>
          <w:rStyle w:val="Style1Char"/>
          <w:color w:val="00B050"/>
          <w:sz w:val="22"/>
          <w:szCs w:val="22"/>
          <w:rtl/>
        </w:rPr>
        <w:t xml:space="preserve"> </w:t>
      </w:r>
      <w:r w:rsidRPr="00952CA4">
        <w:rPr>
          <w:rStyle w:val="Style1Char"/>
          <w:color w:val="00B050"/>
          <w:rtl/>
        </w:rPr>
        <w:t>רבי אבא, אמרי בי רב: אפי' שיגרא דתמרי. בעי רב ביבי. חובצא דתמרי, מאי? תיקו</w:t>
      </w:r>
      <w:r w:rsidRPr="00202381">
        <w:rPr>
          <w:rStyle w:val="Style1Char"/>
          <w:sz w:val="22"/>
          <w:szCs w:val="22"/>
          <w:rtl/>
        </w:rPr>
        <w:t xml:space="preserve">. </w:t>
      </w:r>
      <w:r w:rsidRPr="00FB6139">
        <w:rPr>
          <w:rStyle w:val="Style1Char"/>
          <w:color w:val="auto"/>
          <w:sz w:val="22"/>
          <w:szCs w:val="22"/>
          <w:rtl/>
        </w:rPr>
        <w:t xml:space="preserve">לא אכלה דרך כבוד, מאי? אמר עולא: פליגי בה תרי אמוראי במערבא, חד אמר: בכאיסר, וחד אמר: </w:t>
      </w:r>
      <w:r w:rsidR="00C52BB5">
        <w:rPr>
          <w:rStyle w:val="Style1Char"/>
          <w:rFonts w:hint="cs"/>
          <w:rtl/>
        </w:rPr>
        <w:t>(1)</w:t>
      </w:r>
      <w:r w:rsidRPr="00FB6139">
        <w:rPr>
          <w:rStyle w:val="Style1Char"/>
          <w:color w:val="auto"/>
          <w:sz w:val="22"/>
          <w:szCs w:val="22"/>
          <w:rtl/>
        </w:rPr>
        <w:t xml:space="preserve">בכדינר. אמרי דייני דפומבדיתא: עבד רב יהודה עובדא </w:t>
      </w:r>
      <w:r w:rsidR="00646FE5">
        <w:rPr>
          <w:rStyle w:val="Style1Char"/>
          <w:rFonts w:hint="cs"/>
          <w:rtl/>
        </w:rPr>
        <w:t>(1)</w:t>
      </w:r>
      <w:r w:rsidRPr="00FB6139">
        <w:rPr>
          <w:rStyle w:val="Style1Char"/>
          <w:color w:val="auto"/>
          <w:sz w:val="22"/>
          <w:szCs w:val="22"/>
          <w:rtl/>
        </w:rPr>
        <w:t>בחבילי זמורות</w:t>
      </w:r>
      <w:r w:rsidRPr="00FB6139">
        <w:rPr>
          <w:rStyle w:val="Style1Char"/>
          <w:color w:val="auto"/>
          <w:rtl/>
        </w:rPr>
        <w:t xml:space="preserve"> </w:t>
      </w:r>
      <w:r w:rsidRPr="00FB6139">
        <w:rPr>
          <w:rStyle w:val="Style1Char"/>
          <w:color w:val="806000" w:themeColor="accent4" w:themeShade="80"/>
          <w:sz w:val="22"/>
          <w:szCs w:val="22"/>
          <w:rtl/>
        </w:rPr>
        <w:t>וכן הלכתא</w:t>
      </w:r>
      <w:r w:rsidRPr="00FB6139">
        <w:rPr>
          <w:rStyle w:val="Style1Char"/>
          <w:color w:val="4472C4" w:themeColor="accent1"/>
          <w:rtl/>
        </w:rPr>
        <w:t xml:space="preserve"> </w:t>
      </w:r>
      <w:r w:rsidRPr="008F2AB0">
        <w:rPr>
          <w:rStyle w:val="Style1Char"/>
          <w:color w:val="4472C4" w:themeColor="accent1"/>
          <w:rtl/>
        </w:rPr>
        <w:t>וכיון דלא יהיב שיעורא לחבילי זמורות מוקמינן לה אפחות שבממון</w:t>
      </w:r>
      <w:r>
        <w:rPr>
          <w:rStyle w:val="Style1Char"/>
          <w:rFonts w:hint="cs"/>
          <w:color w:val="4472C4" w:themeColor="accent1"/>
        </w:rPr>
        <w:t>‍</w:t>
      </w:r>
      <w:r w:rsidRPr="008F2AB0">
        <w:rPr>
          <w:rStyle w:val="Style1Char"/>
          <w:color w:val="4472C4" w:themeColor="accent1"/>
          <w:rtl/>
        </w:rPr>
        <w:t xml:space="preserve"> והיינו שוה פרוטה</w:t>
      </w:r>
      <w:r w:rsidRPr="008F2AB0">
        <w:rPr>
          <w:rStyle w:val="Style1Char"/>
          <w:color w:val="4472C4" w:themeColor="accent1"/>
        </w:rPr>
        <w:t>:</w:t>
      </w:r>
    </w:p>
    <w:p w14:paraId="0B09A183" w14:textId="6B246A94" w:rsidR="00B2458D" w:rsidRPr="008F2AB0" w:rsidRDefault="00B2458D" w:rsidP="00B2458D">
      <w:pPr>
        <w:bidi/>
        <w:rPr>
          <w:rStyle w:val="Style1Char"/>
          <w:color w:val="4472C4" w:themeColor="accent1"/>
        </w:rPr>
      </w:pPr>
      <w:r w:rsidRPr="00202381">
        <w:rPr>
          <w:rStyle w:val="Style1Char"/>
          <w:sz w:val="22"/>
          <w:szCs w:val="22"/>
          <w:rtl/>
        </w:rPr>
        <w:t xml:space="preserve">. </w:t>
      </w:r>
      <w:r w:rsidRPr="00952CA4">
        <w:rPr>
          <w:rStyle w:val="Style1Char"/>
          <w:color w:val="00B050"/>
          <w:rtl/>
        </w:rPr>
        <w:t xml:space="preserve">רב יהודה לטעמיה, דאמר רב יהודה: </w:t>
      </w:r>
      <w:r w:rsidR="00C15C3C">
        <w:rPr>
          <w:rStyle w:val="Style1Char"/>
          <w:rFonts w:hint="cs"/>
          <w:rtl/>
        </w:rPr>
        <w:t>(2)</w:t>
      </w:r>
      <w:r w:rsidRPr="00952CA4">
        <w:rPr>
          <w:rStyle w:val="Style1Char"/>
          <w:color w:val="00B050"/>
          <w:rtl/>
        </w:rPr>
        <w:t xml:space="preserve">אכלה ערלה שביעית וכלאים - ה"ז חזקה. </w:t>
      </w:r>
      <w:r w:rsidRPr="008B2A16">
        <w:rPr>
          <w:rStyle w:val="Style1Char"/>
          <w:sz w:val="22"/>
          <w:szCs w:val="22"/>
          <w:rtl/>
        </w:rPr>
        <w:t xml:space="preserve">א"ר יעקב </w:t>
      </w:r>
      <w:r w:rsidRPr="009100F0">
        <w:rPr>
          <w:rStyle w:val="Style1Char"/>
          <w:color w:val="auto"/>
          <w:sz w:val="22"/>
          <w:szCs w:val="22"/>
          <w:rtl/>
        </w:rPr>
        <w:t xml:space="preserve">אמר רב חסדא: </w:t>
      </w:r>
      <w:r w:rsidR="00F03320">
        <w:rPr>
          <w:rStyle w:val="Style1Char"/>
          <w:rFonts w:hint="cs"/>
          <w:rtl/>
        </w:rPr>
        <w:t>(3)</w:t>
      </w:r>
      <w:r w:rsidRPr="009100F0">
        <w:rPr>
          <w:rStyle w:val="Style1Char"/>
          <w:color w:val="auto"/>
          <w:sz w:val="22"/>
          <w:szCs w:val="22"/>
          <w:rtl/>
        </w:rPr>
        <w:t xml:space="preserve">המוציא הוצאות על נכסי אשתו קטנה, כמוציא על נכסי אחר </w:t>
      </w:r>
      <w:r w:rsidRPr="009100F0">
        <w:rPr>
          <w:rStyle w:val="Style1Char"/>
          <w:color w:val="ED7D31" w:themeColor="accent2"/>
          <w:rtl/>
        </w:rPr>
        <w:t>דמי</w:t>
      </w:r>
      <w:r w:rsidRPr="00952CA4">
        <w:rPr>
          <w:rStyle w:val="Style1Char"/>
          <w:color w:val="00B050"/>
          <w:rtl/>
        </w:rPr>
        <w:t xml:space="preserve">; </w:t>
      </w:r>
      <w:r w:rsidRPr="009100F0">
        <w:rPr>
          <w:rStyle w:val="Style1Char"/>
          <w:color w:val="auto"/>
          <w:sz w:val="22"/>
          <w:szCs w:val="22"/>
          <w:rtl/>
        </w:rPr>
        <w:t>מ"ט? עבדו בה רבנן תקנתא כי היכי דלא ניפסדינהו</w:t>
      </w:r>
      <w:r w:rsidRPr="009100F0">
        <w:rPr>
          <w:rStyle w:val="Style1Char"/>
          <w:color w:val="4472C4" w:themeColor="accent1"/>
          <w:rtl/>
        </w:rPr>
        <w:t xml:space="preserve"> </w:t>
      </w:r>
      <w:r w:rsidRPr="008F2AB0">
        <w:rPr>
          <w:rStyle w:val="Style1Char"/>
          <w:color w:val="4472C4" w:themeColor="accent1"/>
          <w:rtl/>
        </w:rPr>
        <w:t>הלכך אם הוציא ולא אכל או הוציא הרבה ואכל קימעא</w:t>
      </w:r>
      <w:r>
        <w:rPr>
          <w:rStyle w:val="Style1Char"/>
          <w:rFonts w:hint="cs"/>
          <w:color w:val="4472C4" w:themeColor="accent1"/>
        </w:rPr>
        <w:t>‍</w:t>
      </w:r>
      <w:r w:rsidRPr="008F2AB0">
        <w:rPr>
          <w:rStyle w:val="Style1Char"/>
          <w:color w:val="4472C4" w:themeColor="accent1"/>
          <w:rtl/>
        </w:rPr>
        <w:t xml:space="preserve"> שמין לו כאריסי העיר. אבל אם הוציא קימעא ואכל הרבה ברשות אכל ולא תקנו חכמים לגרע כחו. וכן אם הוציא ולא אכל וניחא ליה למישקל הוצאה שיעור שבחא שומעין לו. דלא תקינו להיות כמוציא על נכסי אחר אלא ליפות כחו ולא לגרע כחו</w:t>
      </w:r>
      <w:r w:rsidRPr="008F2AB0">
        <w:rPr>
          <w:rStyle w:val="Style1Char"/>
          <w:color w:val="4472C4" w:themeColor="accent1"/>
        </w:rPr>
        <w:t>:</w:t>
      </w:r>
    </w:p>
    <w:p w14:paraId="0B85E1F4" w14:textId="5A129663" w:rsidR="00B2458D" w:rsidRDefault="00E8032E" w:rsidP="00B2458D">
      <w:pPr>
        <w:bidi/>
        <w:rPr>
          <w:rStyle w:val="Style1Char"/>
          <w:color w:val="4472C4" w:themeColor="accent1"/>
        </w:rPr>
      </w:pPr>
      <w:r>
        <w:rPr>
          <w:rStyle w:val="Style1Char"/>
          <w:rFonts w:hint="cs"/>
          <w:rtl/>
        </w:rPr>
        <w:t>(2.2, 4)</w:t>
      </w:r>
      <w:r w:rsidR="00B2458D" w:rsidRPr="009100F0">
        <w:rPr>
          <w:rStyle w:val="Style1Char"/>
          <w:color w:val="auto"/>
          <w:sz w:val="22"/>
          <w:szCs w:val="22"/>
          <w:rtl/>
        </w:rPr>
        <w:t xml:space="preserve">ההיא איתתא דנפלו לה ארבע מאה זוזי בי חוזאי, אזיל גברא אפיק שית מאה אייתי ארבע מאה, בהדי דקאתי איצטריך ליה חד זוזא ושקל מנייהו, אתא לקמיה דר' אמי, א"ל: מה שהוציא הוציא, ומה שאכל אכל. אמרו ליה רבנן </w:t>
      </w:r>
      <w:r w:rsidR="00B2458D" w:rsidRPr="00952CA4">
        <w:rPr>
          <w:rStyle w:val="Style1Char"/>
          <w:color w:val="00B050"/>
          <w:rtl/>
        </w:rPr>
        <w:t xml:space="preserve">לר' אמי: </w:t>
      </w:r>
      <w:r w:rsidR="003D09A2">
        <w:rPr>
          <w:rStyle w:val="Style1Char"/>
          <w:rFonts w:hint="cs"/>
          <w:rtl/>
        </w:rPr>
        <w:t>(2.2, 4)</w:t>
      </w:r>
      <w:r w:rsidR="00B2458D" w:rsidRPr="00891F90">
        <w:rPr>
          <w:rStyle w:val="Style1Char"/>
          <w:color w:val="auto"/>
          <w:sz w:val="22"/>
          <w:szCs w:val="22"/>
          <w:rtl/>
        </w:rPr>
        <w:t xml:space="preserve">ה"מ היכא דקאכיל פירא, הא קרנא קאכיל והוצאה היא! א"כ, הוה ליה הוציא ולא אכל, ישבע כמה הוציא ויטול. </w:t>
      </w:r>
      <w:r w:rsidR="00B2458D" w:rsidRPr="008F2AB0">
        <w:rPr>
          <w:rStyle w:val="Style1Char"/>
          <w:color w:val="4472C4" w:themeColor="accent1"/>
          <w:rtl/>
        </w:rPr>
        <w:t xml:space="preserve">עד שיעור שבח ששמין כמה שוין ארבע מאה זוזי שהן עתה בכאן ממה שהיו שוין כשהיו בי חוזאי. הוציא ולא אכל ישבע כמה הוציא ויטול. </w:t>
      </w:r>
    </w:p>
    <w:p w14:paraId="2A3A0C6F" w14:textId="75ECCE20" w:rsidR="00B2458D" w:rsidRDefault="00B2458D" w:rsidP="00B2458D">
      <w:pPr>
        <w:bidi/>
        <w:rPr>
          <w:rStyle w:val="Style1Char"/>
          <w:color w:val="00B050"/>
          <w:rtl/>
        </w:rPr>
      </w:pPr>
      <w:r w:rsidRPr="00952CA4">
        <w:rPr>
          <w:rStyle w:val="Style1Char"/>
          <w:color w:val="00B050"/>
          <w:rtl/>
        </w:rPr>
        <w:t xml:space="preserve">ישבע כמה הוציא ויטול. </w:t>
      </w:r>
      <w:r w:rsidRPr="003710CD">
        <w:rPr>
          <w:rStyle w:val="Style1Char"/>
          <w:color w:val="auto"/>
          <w:sz w:val="22"/>
          <w:szCs w:val="22"/>
          <w:rtl/>
        </w:rPr>
        <w:t>א"ר אסי: והוא, שיש שבח כנגד הוצאה. למאי הלכתא? אמר אביי: שאם היה שבח יתר על הוצאה, נוטל את ההוצאה בלא שבועה.</w:t>
      </w:r>
      <w:r w:rsidRPr="003710CD">
        <w:rPr>
          <w:rStyle w:val="Style1Char"/>
          <w:color w:val="auto"/>
          <w:rtl/>
        </w:rPr>
        <w:t xml:space="preserve"> </w:t>
      </w:r>
      <w:r w:rsidRPr="003710CD">
        <w:rPr>
          <w:rStyle w:val="Style1Char"/>
          <w:color w:val="auto"/>
          <w:sz w:val="22"/>
          <w:szCs w:val="22"/>
          <w:rtl/>
        </w:rPr>
        <w:t xml:space="preserve">א"ל רבא: א"כ, אתי לאיערומי! אלא אמר רבא: </w:t>
      </w:r>
      <w:r w:rsidR="005C1F95">
        <w:rPr>
          <w:rStyle w:val="Style1Char"/>
          <w:rFonts w:hint="cs"/>
          <w:rtl/>
        </w:rPr>
        <w:t>(2.2, 4)</w:t>
      </w:r>
      <w:r w:rsidRPr="003710CD">
        <w:rPr>
          <w:rStyle w:val="Style1Char"/>
          <w:color w:val="auto"/>
          <w:sz w:val="22"/>
          <w:szCs w:val="22"/>
          <w:rtl/>
        </w:rPr>
        <w:t>שאם היתה הוצאה יתירה על השבח, אין לו אלא הוצאה שיעור שבח, ובשבועה</w:t>
      </w:r>
      <w:r w:rsidRPr="003710CD">
        <w:rPr>
          <w:rStyle w:val="Style1Char"/>
          <w:color w:val="auto"/>
          <w:rtl/>
        </w:rPr>
        <w:t xml:space="preserve"> </w:t>
      </w:r>
      <w:r w:rsidRPr="003710CD">
        <w:rPr>
          <w:rStyle w:val="Style1Char"/>
          <w:color w:val="806000" w:themeColor="accent4" w:themeShade="80"/>
          <w:rtl/>
        </w:rPr>
        <w:t>מתניתין בנכסי מלוג אבל בנכסי צאן ברזל כל שבח ששבחו נכסים בין מחמת הוצאה בין שלא מחמת הוצאה דבעל הוי כדתנן אם מתו מתו לו ואם הותירו הותירו לו ואמרינן נמי בגמ' ביבמות פרק אלמנה לכהן גדול [יבמות ס"ז ע"א] אמר רב יהודה הכניסה לו שני כלים באלף זוז ושבחו ועמדו על שני אלפים זוז אחד נוטלתו בכתובתה ואחד נוטלתו בדמים ונוטלתו משום שבח בית אביה. מסתברא לן מתניתין דקתני מה שהוציא הוציא ומה שאכל אכל כשהבעל רוצה לגרשה אבל במורדת על בעלה בין אכל בין לא אכל ישבע כמה הוציא ויטול דלא יהא אלא מתנה הוא דיהיב לה הא אמרי' כי אקנה לה אדעתא למיקם קמיה אדעתא למשקל ולמיפק לא אקני לה הלכך בין אכל בין לא אכל ישבע כמה הוציא ויטול והוא שהיתה הוצאה כנגד השבח אבל אם ההוצאה יתירה על השבח אין לו אלא הוצאה שיעור שבח ובשבועה (שלא הוציא פחות משיעור שבח) וכדאמר רבא:</w:t>
      </w:r>
      <w:r w:rsidRPr="003710CD">
        <w:rPr>
          <w:rStyle w:val="Style1Char"/>
          <w:color w:val="806000" w:themeColor="accent4" w:themeShade="80"/>
          <w:sz w:val="22"/>
          <w:szCs w:val="22"/>
          <w:rtl/>
        </w:rPr>
        <w:t>.</w:t>
      </w:r>
      <w:r w:rsidRPr="008B2A16">
        <w:rPr>
          <w:rStyle w:val="Style1Char"/>
          <w:sz w:val="22"/>
          <w:szCs w:val="22"/>
          <w:rtl/>
        </w:rPr>
        <w:t xml:space="preserve"> </w:t>
      </w:r>
      <w:r w:rsidRPr="00B41187">
        <w:rPr>
          <w:rStyle w:val="Style1Char"/>
          <w:color w:val="auto"/>
          <w:sz w:val="22"/>
          <w:szCs w:val="22"/>
          <w:rtl/>
        </w:rPr>
        <w:t>איבעיא להו: בעל שהוריד אריסין תחתיו, מהו? אדעתא דבעל נחית, איסתליק ליה בעל איסתליקו להו</w:t>
      </w:r>
      <w:r w:rsidRPr="006F7B19">
        <w:rPr>
          <w:rStyle w:val="Style1Char"/>
          <w:color w:val="4472C4" w:themeColor="accent1"/>
          <w:rtl/>
        </w:rPr>
        <w:t xml:space="preserve"> </w:t>
      </w:r>
      <w:r w:rsidRPr="006F7B19">
        <w:rPr>
          <w:rStyle w:val="Style1Char"/>
          <w:color w:val="4472C4" w:themeColor="accent1"/>
          <w:sz w:val="22"/>
          <w:szCs w:val="22"/>
          <w:rtl/>
        </w:rPr>
        <w:t>אינהו</w:t>
      </w:r>
      <w:r w:rsidRPr="008F2AB0">
        <w:rPr>
          <w:rStyle w:val="Style1Char"/>
          <w:color w:val="4472C4" w:themeColor="accent1"/>
          <w:rtl/>
        </w:rPr>
        <w:t xml:space="preserve"> ואיתתא לא יהבא להו מידי. וגם הבעל אינו חייב ליתן להם. ואף על גב דאמרינן (ב"מ דף עו א) השוכר את הפועל לעשות בשלו והראהו בשל חבירו נותן לו שכרו משלם. שאני הכא</w:t>
      </w:r>
      <w:r>
        <w:rPr>
          <w:rStyle w:val="Style1Char"/>
          <w:rFonts w:hint="cs"/>
          <w:color w:val="4472C4" w:themeColor="accent1"/>
        </w:rPr>
        <w:t>‍</w:t>
      </w:r>
      <w:r w:rsidRPr="008F2AB0">
        <w:rPr>
          <w:rStyle w:val="Style1Char"/>
          <w:color w:val="4472C4" w:themeColor="accent1"/>
          <w:rtl/>
        </w:rPr>
        <w:t xml:space="preserve"> שהאריסין יודעים שהקרקע של האשה הוא ועל מנת כן נכנסו שאם יגרשנה שיפסידו. ואין להם עליו כלום ואיבעו להו לאיתנויי שאם יגרשנה שהוא יפרע להם. ומדלא התנו אינהו דאפסידו אנפשייהו.</w:t>
      </w:r>
      <w:r w:rsidRPr="00B41187">
        <w:rPr>
          <w:rStyle w:val="Style1Char"/>
          <w:color w:val="auto"/>
          <w:sz w:val="22"/>
          <w:szCs w:val="22"/>
          <w:rtl/>
        </w:rPr>
        <w:t xml:space="preserve">, או דלמא אדעתא דארעא נחית, וארעא </w:t>
      </w:r>
      <w:r w:rsidRPr="00952CA4">
        <w:rPr>
          <w:rStyle w:val="Style1Char"/>
          <w:color w:val="00B050"/>
          <w:rtl/>
        </w:rPr>
        <w:t xml:space="preserve">כי קיימא - </w:t>
      </w:r>
      <w:r w:rsidRPr="00A05952">
        <w:rPr>
          <w:rStyle w:val="Style1Char"/>
          <w:color w:val="auto"/>
          <w:sz w:val="22"/>
          <w:szCs w:val="22"/>
          <w:rtl/>
        </w:rPr>
        <w:t xml:space="preserve">לאריסי קיימא? </w:t>
      </w:r>
      <w:r w:rsidRPr="00952CA4">
        <w:rPr>
          <w:rStyle w:val="Style1Char"/>
          <w:color w:val="00B050"/>
          <w:rtl/>
        </w:rPr>
        <w:t xml:space="preserve">מתקיף לה רבא בר רב חנן: מ"ש </w:t>
      </w:r>
      <w:r w:rsidR="00F811E0">
        <w:rPr>
          <w:rStyle w:val="Style1Char"/>
          <w:rFonts w:hint="cs"/>
          <w:rtl/>
        </w:rPr>
        <w:t>(5)</w:t>
      </w:r>
      <w:r w:rsidRPr="00952CA4">
        <w:rPr>
          <w:rStyle w:val="Style1Char"/>
          <w:color w:val="00B050"/>
          <w:rtl/>
        </w:rPr>
        <w:t xml:space="preserve">מהיורד לתוך שדה חבירו ונטעה שלא ברשות, שמין לו וידו על התחתונה? התם ליכא איניש דטרח, הכא איכא בעל דטרח. מאי הוי עלה? </w:t>
      </w:r>
      <w:r w:rsidRPr="008F2AB0">
        <w:rPr>
          <w:rStyle w:val="Style1Char"/>
          <w:color w:val="4472C4" w:themeColor="accent1"/>
          <w:rtl/>
        </w:rPr>
        <w:t xml:space="preserve">ואסיקנא </w:t>
      </w:r>
      <w:r w:rsidRPr="00F9623E">
        <w:rPr>
          <w:rStyle w:val="Style1Char"/>
          <w:color w:val="ED7D31" w:themeColor="accent2"/>
          <w:rtl/>
        </w:rPr>
        <w:t xml:space="preserve">אמר רב הונא בריה דרב יהושע: </w:t>
      </w:r>
      <w:r w:rsidR="002B14FF">
        <w:rPr>
          <w:rStyle w:val="Style1Char"/>
          <w:rFonts w:hint="cs"/>
          <w:rtl/>
        </w:rPr>
        <w:t>(6)</w:t>
      </w:r>
      <w:r w:rsidRPr="00F9623E">
        <w:rPr>
          <w:rStyle w:val="Style1Char"/>
          <w:color w:val="ED7D31" w:themeColor="accent2"/>
          <w:rtl/>
        </w:rPr>
        <w:t>חזינן, אי בעל אריס הוא, איסתלק ליה בעל אסתלקו להו</w:t>
      </w:r>
      <w:r w:rsidRPr="00952CA4">
        <w:rPr>
          <w:rStyle w:val="Style1Char"/>
          <w:color w:val="00B050"/>
          <w:rtl/>
        </w:rPr>
        <w:t xml:space="preserve">, </w:t>
      </w:r>
      <w:r w:rsidRPr="00F9623E">
        <w:rPr>
          <w:rStyle w:val="Style1Char"/>
          <w:rFonts w:hint="cs"/>
          <w:color w:val="auto"/>
          <w:sz w:val="22"/>
          <w:szCs w:val="22"/>
          <w:rtl/>
        </w:rPr>
        <w:t>ו</w:t>
      </w:r>
      <w:r w:rsidRPr="00F9623E">
        <w:rPr>
          <w:rStyle w:val="Style1Char"/>
          <w:color w:val="auto"/>
          <w:sz w:val="22"/>
          <w:szCs w:val="22"/>
          <w:rtl/>
        </w:rPr>
        <w:t>אי בעל לאו אריס הוא, ארעא לאריסי קיימא</w:t>
      </w:r>
      <w:r w:rsidRPr="00E42220">
        <w:rPr>
          <w:rStyle w:val="Style1Char"/>
          <w:color w:val="auto"/>
          <w:sz w:val="22"/>
          <w:szCs w:val="22"/>
          <w:rtl/>
        </w:rPr>
        <w:t xml:space="preserve">. איבעיא להו: בעל שמכר קרקע לפירות, מהו? מי אמרינן מאי דקני (לה) אקני, או דלמא כי תקינו ליה רבנן </w:t>
      </w:r>
      <w:r w:rsidRPr="00952CA4">
        <w:rPr>
          <w:rStyle w:val="Style1Char"/>
          <w:color w:val="00B050"/>
          <w:rtl/>
        </w:rPr>
        <w:t xml:space="preserve">פירות לבעל </w:t>
      </w:r>
      <w:r>
        <w:rPr>
          <w:rStyle w:val="Style1Char"/>
          <w:color w:val="00B050"/>
          <w:rtl/>
        </w:rPr>
        <w:t>–</w:t>
      </w:r>
      <w:r w:rsidRPr="00952CA4">
        <w:rPr>
          <w:rStyle w:val="Style1Char"/>
          <w:color w:val="00B050"/>
          <w:rtl/>
        </w:rPr>
        <w:t xml:space="preserve"> </w:t>
      </w:r>
    </w:p>
    <w:p w14:paraId="029230FD" w14:textId="05826767" w:rsidR="00646FE5" w:rsidRDefault="00646FE5" w:rsidP="00646FE5">
      <w:pPr>
        <w:pStyle w:val="Style1"/>
        <w:rPr>
          <w:rtl/>
        </w:rPr>
      </w:pPr>
      <w:r>
        <w:rPr>
          <w:rFonts w:hint="cs"/>
          <w:rtl/>
        </w:rPr>
        <w:t>1)[</w:t>
      </w:r>
      <w:r>
        <w:rPr>
          <w:rtl/>
        </w:rPr>
        <w:t>רמב</w:t>
      </w:r>
      <w:r w:rsidR="00213DA1">
        <w:rPr>
          <w:rtl/>
        </w:rPr>
        <w:t>”ם \נשים\</w:t>
      </w:r>
      <w:r>
        <w:rPr>
          <w:rtl/>
        </w:rPr>
        <w:t xml:space="preserve"> הלכות אישות פרק כג הלכה ח</w:t>
      </w:r>
      <w:r>
        <w:rPr>
          <w:rFonts w:hint="cs"/>
          <w:rtl/>
        </w:rPr>
        <w:t xml:space="preserve">] </w:t>
      </w:r>
      <w:r>
        <w:rPr>
          <w:rtl/>
        </w:rPr>
        <w:t>הבעל שהוציא הוצאות על נכסי מלוג בין שהוציא מעט ואכל פירות הרבה בין שהוציא הרבה ואכל פירות מעט אפילו אכל גרוגרת אחת דרך כבוד או שאכל דינר אחד אפילו שלא דרך כבוד ואפילו לא לקח בפירות מה שהוציא אלא חבילה של זמורות מה שהוציא הוציא ומה שאכל אכל.</w:t>
      </w:r>
    </w:p>
    <w:p w14:paraId="3D6E1421" w14:textId="642DB327" w:rsidR="00646FE5" w:rsidRPr="00D238B0" w:rsidRDefault="00646FE5" w:rsidP="00646FE5">
      <w:pPr>
        <w:pStyle w:val="Style1"/>
      </w:pPr>
      <w:r>
        <w:rPr>
          <w:rFonts w:hint="cs"/>
          <w:rtl/>
        </w:rPr>
        <w:t>1)[</w:t>
      </w:r>
      <w:r>
        <w:rPr>
          <w:rtl/>
        </w:rPr>
        <w:t>שולחן ערוך אבן העזר הלכות כתובות סימן פח סעיף ז</w:t>
      </w:r>
      <w:r>
        <w:rPr>
          <w:rFonts w:hint="cs"/>
          <w:rtl/>
        </w:rPr>
        <w:t xml:space="preserve">] </w:t>
      </w:r>
      <w:r w:rsidRPr="00D238B0">
        <w:rPr>
          <w:rtl/>
        </w:rPr>
        <w:t>הוציא הוצאות על נכסי מלוג של אשתו וגרשה, בין שהוציא מעט ואכל פירות הרבה, בין שהוציא הרבה ואכל פירות מעט, אפילו אכל גרוגרת אחת דרך כבוד, כדרך איש בביתו, או שאכל דינר אפלו שלא דרך כבוד, ואפלו לא לקח בפרות ממה שהוציא אלא חבילה אחת של זמורות, מה שהוציא הוציא ומה שאכל אכל. הוציא ולא אכל, או שאכל פחות מכשיעור, שמין כמה השביחו ושואלין אותו כמה הוציא, אם השבח יותר על ההוצאה, ישבע בנקיטת חפץ כמה הוציא ונוטל ההוצאה; ואם ההוצאה יתרה על השבח, אין לו מההוצאה אלא כשעור השבח, ובשבועה. והוא הדין למי שנפלו לה נכסים במקום רחוק והוציא עליהם הוצאות להביאם, ולקח בהם קרקע ואכל מהפרות כשיעור או פחות. ואם לא אכל אלא מהקרן, ישבע כמה הוציא, ויטל עד כדי השבח</w:t>
      </w:r>
      <w:r w:rsidRPr="00D238B0">
        <w:t>.</w:t>
      </w:r>
    </w:p>
    <w:p w14:paraId="43071500" w14:textId="6F198EEC" w:rsidR="00646FE5" w:rsidRDefault="00646FE5" w:rsidP="00646FE5">
      <w:pPr>
        <w:pStyle w:val="Style1"/>
        <w:rPr>
          <w:rtl/>
        </w:rPr>
      </w:pPr>
      <w:r w:rsidRPr="00D238B0">
        <w:rPr>
          <w:rFonts w:hint="cs"/>
        </w:rPr>
        <w:t>(</w:t>
      </w:r>
      <w:r w:rsidRPr="00D238B0">
        <w:rPr>
          <w:rFonts w:hint="cs"/>
          <w:rtl/>
        </w:rPr>
        <w:t>והא דנוטל בשבועה, דוקא כשאין האשה מכחישתו, אבל מכחישתו, לא (מרדכי פרק האשה שנפלו</w:t>
      </w:r>
      <w:r w:rsidRPr="00D238B0">
        <w:rPr>
          <w:rFonts w:hint="cs"/>
        </w:rPr>
        <w:t>)</w:t>
      </w:r>
      <w:r w:rsidRPr="00D238B0">
        <w:t>:</w:t>
      </w:r>
    </w:p>
    <w:p w14:paraId="428CE7F3" w14:textId="78434444" w:rsidR="00F03320" w:rsidRDefault="00F03320" w:rsidP="00F03320">
      <w:pPr>
        <w:pStyle w:val="Style1"/>
        <w:rPr>
          <w:rtl/>
        </w:rPr>
      </w:pPr>
      <w:r>
        <w:rPr>
          <w:rFonts w:hint="cs"/>
          <w:rtl/>
        </w:rPr>
        <w:t>2)[</w:t>
      </w:r>
      <w:r>
        <w:rPr>
          <w:rtl/>
        </w:rPr>
        <w:t>רמב</w:t>
      </w:r>
      <w:r w:rsidR="0057095E">
        <w:rPr>
          <w:rtl/>
        </w:rPr>
        <w:t>”ם \משפטים\</w:t>
      </w:r>
      <w:r>
        <w:rPr>
          <w:rtl/>
        </w:rPr>
        <w:t xml:space="preserve"> הלכות טוען ונטען פרק יב הלכה יב</w:t>
      </w:r>
      <w:r>
        <w:rPr>
          <w:rFonts w:hint="cs"/>
          <w:rtl/>
        </w:rPr>
        <w:t xml:space="preserve">] </w:t>
      </w:r>
      <w:r>
        <w:rPr>
          <w:rtl/>
        </w:rPr>
        <w:t>אכלה ערלה שביעית וכלאים אף על פי שנהנה בעבירה הרי זו חזקה. /השגת הראב"ד/ אכלה ערלה שביעית וכו' עד הרי זו חזקה. א"א שבוש הוא ולא אמרו אלא שאכילת עצים שמה אכילה הואיל וליכא פירי אחריני עכ"ל.</w:t>
      </w:r>
    </w:p>
    <w:p w14:paraId="2500BD56" w14:textId="05F99D6E" w:rsidR="00656C18" w:rsidRPr="00656C18" w:rsidRDefault="007E539E" w:rsidP="00B63F96">
      <w:pPr>
        <w:pStyle w:val="Style1"/>
      </w:pPr>
      <w:r>
        <w:rPr>
          <w:rFonts w:hint="cs"/>
          <w:rtl/>
        </w:rPr>
        <w:t>2)[</w:t>
      </w:r>
      <w:r>
        <w:rPr>
          <w:rtl/>
        </w:rPr>
        <w:t>שולחן ערוך חושן משפט הלכות חזקת קרקעות סימן קמא סעיף יא</w:t>
      </w:r>
      <w:r>
        <w:rPr>
          <w:rFonts w:hint="cs"/>
          <w:rtl/>
        </w:rPr>
        <w:t>]</w:t>
      </w:r>
      <w:r w:rsidR="00656C18">
        <w:rPr>
          <w:rFonts w:hint="cs"/>
          <w:rtl/>
        </w:rPr>
        <w:t xml:space="preserve"> </w:t>
      </w:r>
      <w:r w:rsidR="00656C18" w:rsidRPr="00656C18">
        <w:rPr>
          <w:rtl/>
        </w:rPr>
        <w:t>אכלה ערלה שביעית וכלאים אע"פ שנהנה בעבירה ה"ז חזקה</w:t>
      </w:r>
    </w:p>
    <w:p w14:paraId="286C5A65" w14:textId="5419494B" w:rsidR="00656C18" w:rsidRDefault="00656C18" w:rsidP="00656C18">
      <w:pPr>
        <w:pStyle w:val="Style1"/>
        <w:rPr>
          <w:rtl/>
        </w:rPr>
      </w:pPr>
      <w:r w:rsidRPr="00656C18">
        <w:rPr>
          <w:rFonts w:hint="cs"/>
          <w:rtl/>
        </w:rPr>
        <w:t>(ויש חולקין וס"ל דלא הוי חזקה אא"כ אכל הזמורות או כיוצא בזה שאין בו איסור) (טור ושכ"כ הרא"ש)</w:t>
      </w:r>
      <w:r w:rsidRPr="00656C18">
        <w:t>:</w:t>
      </w:r>
    </w:p>
    <w:p w14:paraId="691DB542" w14:textId="14BEB1E8" w:rsidR="00B63F96" w:rsidRDefault="00B63F96" w:rsidP="00B63F96">
      <w:pPr>
        <w:pStyle w:val="Style1"/>
        <w:rPr>
          <w:rtl/>
        </w:rPr>
      </w:pPr>
      <w:r>
        <w:rPr>
          <w:rFonts w:hint="cs"/>
          <w:rtl/>
        </w:rPr>
        <w:t>3)[</w:t>
      </w:r>
      <w:r>
        <w:rPr>
          <w:rtl/>
        </w:rPr>
        <w:t>רמב</w:t>
      </w:r>
      <w:r w:rsidR="00213DA1">
        <w:rPr>
          <w:rtl/>
        </w:rPr>
        <w:t>”ם \נשים\</w:t>
      </w:r>
      <w:r>
        <w:rPr>
          <w:rtl/>
        </w:rPr>
        <w:t xml:space="preserve"> הלכות אישות פרק כג הלכה י</w:t>
      </w:r>
      <w:r>
        <w:rPr>
          <w:rFonts w:hint="cs"/>
          <w:rtl/>
        </w:rPr>
        <w:t xml:space="preserve">] </w:t>
      </w:r>
      <w:r>
        <w:rPr>
          <w:rtl/>
        </w:rPr>
        <w:t>במה דברים אמורים במגרש אבל האשה שמרדה על בעלה אפילו אכל הרבה שמין לו כמה אכל ופוחתין אותו ממה שראוי ליתן לו מן ההוצאה אחר שישבע ונוטלו, שלא הקנה לה כדי שתטול ותצא מעצמה, וכן המוציא הוצאות על נכסי אשתו קטנה ומיאנה רואין כמה אכל וכמה הוציא וכמה השביח ושמין לו כאריס שהרי ברשות ירד.</w:t>
      </w:r>
    </w:p>
    <w:p w14:paraId="071204D6" w14:textId="16B59811" w:rsidR="00B71EF6" w:rsidRDefault="00B71EF6" w:rsidP="00B71EF6">
      <w:pPr>
        <w:pStyle w:val="Style1"/>
        <w:rPr>
          <w:rtl/>
        </w:rPr>
      </w:pPr>
      <w:r>
        <w:rPr>
          <w:rFonts w:hint="cs"/>
          <w:rtl/>
        </w:rPr>
        <w:t>3)[</w:t>
      </w:r>
      <w:r>
        <w:rPr>
          <w:rtl/>
        </w:rPr>
        <w:t>רמב</w:t>
      </w:r>
      <w:r w:rsidR="00EC109D">
        <w:rPr>
          <w:rtl/>
        </w:rPr>
        <w:t>”ם \נזיקין\</w:t>
      </w:r>
      <w:r>
        <w:rPr>
          <w:rtl/>
        </w:rPr>
        <w:t xml:space="preserve"> הלכות גזלה ואבדה פרק י הלכה ז</w:t>
      </w:r>
      <w:r>
        <w:rPr>
          <w:rFonts w:hint="cs"/>
          <w:rtl/>
        </w:rPr>
        <w:t xml:space="preserve">] </w:t>
      </w:r>
      <w:r>
        <w:rPr>
          <w:rtl/>
        </w:rPr>
        <w:t>היורד לשדה חבירו ברשות אפילו נטע שדה שאינה עשויה ליטע שמין לו וידו על העליונה, שאם היתה ההוצאה יתירה על השבח נוטל ההוצאה ואם השבח יתר על ההוצאה נוטל השבח, ובעל בנכסי אשתו והשותף בשדה שיש לו חלק בה כיורד ברשות הן ושמין להם וידם על העליונה.</w:t>
      </w:r>
    </w:p>
    <w:p w14:paraId="6A39D067" w14:textId="45747ACC" w:rsidR="009A3849" w:rsidRDefault="009A3849" w:rsidP="009A3849">
      <w:pPr>
        <w:pStyle w:val="Style1"/>
        <w:rPr>
          <w:rtl/>
        </w:rPr>
      </w:pPr>
      <w:r>
        <w:rPr>
          <w:rFonts w:hint="cs"/>
          <w:rtl/>
        </w:rPr>
        <w:t>3)[</w:t>
      </w:r>
      <w:r>
        <w:rPr>
          <w:rtl/>
        </w:rPr>
        <w:t>שולחן ערוך אבן העזר הלכות כתובות סימן פח סעיף י</w:t>
      </w:r>
      <w:r>
        <w:rPr>
          <w:rFonts w:hint="cs"/>
          <w:rtl/>
        </w:rPr>
        <w:t>]</w:t>
      </w:r>
      <w:r w:rsidR="001E7CD5">
        <w:rPr>
          <w:rFonts w:hint="cs"/>
          <w:rtl/>
        </w:rPr>
        <w:t xml:space="preserve"> </w:t>
      </w:r>
      <w:r w:rsidR="001E7CD5" w:rsidRPr="001E7CD5">
        <w:rPr>
          <w:rtl/>
        </w:rPr>
        <w:t>המוציא הוצאות על נכסי מלוג של אשתו קטנה ומאנה בו, רואין כמה אכל וכמה הוציא וכמה השביח, ושמין לו כאריס, שהרי ברשות ירד. ואם הוא רוצה ליטול הוצאה שעור שבח, שומעין לו; ואם הוציא קמעא ואכל הרבה, מה שאכל אכל</w:t>
      </w:r>
      <w:r w:rsidR="001E7CD5" w:rsidRPr="001E7CD5">
        <w:t>:</w:t>
      </w:r>
    </w:p>
    <w:p w14:paraId="2E2112AD" w14:textId="3D2D6791" w:rsidR="00816EA7" w:rsidRDefault="00816EA7" w:rsidP="00816EA7">
      <w:pPr>
        <w:pStyle w:val="Style1"/>
        <w:rPr>
          <w:rtl/>
        </w:rPr>
      </w:pPr>
      <w:r>
        <w:rPr>
          <w:rFonts w:hint="cs"/>
          <w:rtl/>
        </w:rPr>
        <w:t>3)[</w:t>
      </w:r>
      <w:r>
        <w:rPr>
          <w:rtl/>
        </w:rPr>
        <w:t>שולחן ערוך חושן משפט הלכות גזילה סימן שעה סעיף ה</w:t>
      </w:r>
      <w:r>
        <w:rPr>
          <w:rFonts w:hint="cs"/>
          <w:rtl/>
        </w:rPr>
        <w:t>]</w:t>
      </w:r>
      <w:r w:rsidR="00807D18">
        <w:rPr>
          <w:rFonts w:hint="cs"/>
          <w:rtl/>
        </w:rPr>
        <w:t xml:space="preserve"> </w:t>
      </w:r>
      <w:r w:rsidR="00807D18" w:rsidRPr="00807D18">
        <w:rPr>
          <w:rtl/>
        </w:rPr>
        <w:t>בעל בנכסי מלוג אשתו קטנה והשותף בשדה שיש לו חלק בה כיורד ברשות הן ושמין להם וידם על העליונה</w:t>
      </w:r>
      <w:r w:rsidR="00807D18" w:rsidRPr="00807D18">
        <w:t>. </w:t>
      </w:r>
      <w:r w:rsidR="00807D18" w:rsidRPr="00807D18">
        <w:rPr>
          <w:rFonts w:hint="cs"/>
        </w:rPr>
        <w:t>(</w:t>
      </w:r>
      <w:r w:rsidR="00807D18" w:rsidRPr="00807D18">
        <w:rPr>
          <w:rFonts w:hint="cs"/>
          <w:rtl/>
        </w:rPr>
        <w:t>וע"ל סוף סימן </w:t>
      </w:r>
      <w:hyperlink r:id="rId196" w:tooltip="שולחן ערוך חושן משפט קעח" w:history="1">
        <w:r w:rsidR="00807D18" w:rsidRPr="00807D18">
          <w:rPr>
            <w:rFonts w:hint="cs"/>
            <w:rtl/>
          </w:rPr>
          <w:t>קע"ח</w:t>
        </w:r>
      </w:hyperlink>
      <w:r w:rsidR="00807D18" w:rsidRPr="00807D18">
        <w:rPr>
          <w:rFonts w:hint="cs"/>
        </w:rPr>
        <w:t> </w:t>
      </w:r>
      <w:r w:rsidR="00807D18" w:rsidRPr="00807D18">
        <w:rPr>
          <w:rFonts w:hint="cs"/>
          <w:rtl/>
        </w:rPr>
        <w:t>וסוף </w:t>
      </w:r>
      <w:hyperlink r:id="rId197" w:tooltip="שולחן ערוך חושן משפט תד" w:history="1">
        <w:r w:rsidR="00807D18" w:rsidRPr="00807D18">
          <w:rPr>
            <w:rFonts w:hint="cs"/>
            <w:rtl/>
          </w:rPr>
          <w:t>סימן ת"ד</w:t>
        </w:r>
      </w:hyperlink>
      <w:r w:rsidR="00807D18" w:rsidRPr="00807D18">
        <w:rPr>
          <w:rFonts w:hint="cs"/>
        </w:rPr>
        <w:t>)</w:t>
      </w:r>
      <w:r w:rsidR="00807D18" w:rsidRPr="00807D18">
        <w:t>:</w:t>
      </w:r>
    </w:p>
    <w:p w14:paraId="11EAF0E8" w14:textId="2C99E88F" w:rsidR="000551E3" w:rsidRDefault="000551E3" w:rsidP="000551E3">
      <w:pPr>
        <w:pStyle w:val="Style1"/>
        <w:rPr>
          <w:rtl/>
        </w:rPr>
      </w:pPr>
      <w:r>
        <w:rPr>
          <w:rFonts w:hint="cs"/>
          <w:rtl/>
        </w:rPr>
        <w:lastRenderedPageBreak/>
        <w:t>4)[</w:t>
      </w:r>
      <w:r>
        <w:rPr>
          <w:rtl/>
        </w:rPr>
        <w:t>רמב</w:t>
      </w:r>
      <w:r w:rsidR="00213DA1">
        <w:rPr>
          <w:rtl/>
        </w:rPr>
        <w:t>”ם \נשים\</w:t>
      </w:r>
      <w:r>
        <w:rPr>
          <w:rtl/>
        </w:rPr>
        <w:t xml:space="preserve"> הלכות אישות פרק כג הלכה ט</w:t>
      </w:r>
      <w:r>
        <w:rPr>
          <w:rFonts w:hint="cs"/>
          <w:rtl/>
        </w:rPr>
        <w:t xml:space="preserve">] </w:t>
      </w:r>
      <w:r>
        <w:rPr>
          <w:rtl/>
        </w:rPr>
        <w:t>וכן אם נפלו לה כספים במקום רחוק והוציא עליהן הוצאות עד שהביאן או עד שהוציאן מיד מי שהיו אצלו ולקח בהן קרקע ואכל פירותיה כשיעור מה שהוציא הוציא ומה שאכל אכל. הוציא ולא אכל או שאכל פחות מכשיעור, שמין כמה השביח ושואלין אותו כמה הוציא, אם השבח יתר על ההוצאה ישבע בנקיטת חפץ כמה הוציא ונוטל ההוצאה ואם ההוצאה יתירה על השבח אין לו מן ההוצאה אלא כשיעור השבח ובשבועה.</w:t>
      </w:r>
    </w:p>
    <w:p w14:paraId="3B737C98" w14:textId="0513381D" w:rsidR="006C0E68" w:rsidRDefault="006C0E68" w:rsidP="006C0E68">
      <w:pPr>
        <w:pStyle w:val="Style1"/>
        <w:rPr>
          <w:rtl/>
        </w:rPr>
      </w:pPr>
      <w:r>
        <w:rPr>
          <w:rFonts w:hint="cs"/>
          <w:rtl/>
        </w:rPr>
        <w:t>4)[</w:t>
      </w:r>
      <w:r>
        <w:rPr>
          <w:rtl/>
        </w:rPr>
        <w:t>שולחן ערוך אבן העזר הלכות כתובות סימן פח סעיף ח</w:t>
      </w:r>
      <w:r>
        <w:rPr>
          <w:rFonts w:hint="cs"/>
          <w:rtl/>
        </w:rPr>
        <w:t xml:space="preserve">] </w:t>
      </w:r>
      <w:r>
        <w:rPr>
          <w:rtl/>
        </w:rPr>
        <w:t>נפלו לה נכסים במקום אחר, והלך אחריהם והוציא הוצאת מרובות והביאן, וגירשה, אפילו לקח מהם והוציא, אין זה כאוכל מהשבח שנדון בו מה שהוציא הוציא ומה שאכל אכל, שהרי מהקרן לקח, אלא ישבע כמה הוציא, ויטול עד כדי השבח, דהיינו ששמין אלו המעות כמה שוין כאן יותר ממה שהיו שוין במקום שהיו תחלה.</w:t>
      </w:r>
    </w:p>
    <w:p w14:paraId="4D5C5E8A" w14:textId="027400B9" w:rsidR="00742304" w:rsidRDefault="00742304" w:rsidP="00742304">
      <w:pPr>
        <w:pStyle w:val="Style1"/>
        <w:rPr>
          <w:rtl/>
        </w:rPr>
      </w:pPr>
      <w:r>
        <w:rPr>
          <w:rFonts w:hint="cs"/>
          <w:rtl/>
        </w:rPr>
        <w:t>5)[</w:t>
      </w:r>
      <w:r>
        <w:rPr>
          <w:rtl/>
        </w:rPr>
        <w:t>רמב</w:t>
      </w:r>
      <w:r w:rsidR="00EC109D">
        <w:rPr>
          <w:rtl/>
        </w:rPr>
        <w:t>”ם \נזיקין\</w:t>
      </w:r>
      <w:r>
        <w:rPr>
          <w:rtl/>
        </w:rPr>
        <w:t xml:space="preserve"> הלכות גזלה ואבדה פרק י הלכה ד</w:t>
      </w:r>
      <w:r>
        <w:rPr>
          <w:rFonts w:hint="cs"/>
          <w:rtl/>
        </w:rPr>
        <w:t xml:space="preserve">] </w:t>
      </w:r>
      <w:r>
        <w:rPr>
          <w:rtl/>
        </w:rPr>
        <w:t>היורד לתוך שדה חבירו שלא ברשות ונטעה אם היתה שדה העשויה ליטע אומדין כמה אדם רוצה ליתן בשדה זו ליטעה ונוטל מבעל השדה, ואם אינה עשויה ליטע שמין לו וידו על התחתונה.</w:t>
      </w:r>
    </w:p>
    <w:p w14:paraId="142B4E04" w14:textId="74FEA64D" w:rsidR="00037836" w:rsidRDefault="00037836" w:rsidP="00037836">
      <w:pPr>
        <w:pStyle w:val="Style1"/>
        <w:rPr>
          <w:rtl/>
        </w:rPr>
      </w:pPr>
      <w:r>
        <w:rPr>
          <w:rFonts w:hint="cs"/>
          <w:rtl/>
        </w:rPr>
        <w:t>5)[</w:t>
      </w:r>
      <w:r>
        <w:rPr>
          <w:rtl/>
        </w:rPr>
        <w:t>שולחן ערוך חושן משפט הלכות גזילה סימן שעה סעיף א</w:t>
      </w:r>
      <w:r>
        <w:rPr>
          <w:rFonts w:hint="cs"/>
          <w:rtl/>
        </w:rPr>
        <w:t xml:space="preserve">] </w:t>
      </w:r>
      <w:r>
        <w:rPr>
          <w:rtl/>
        </w:rPr>
        <w:t>היורד לתוך שדה חבירו שלא ברשות ונטעה, אם היתה שדה העשויה ליטע, אומדין כמה אדם רוצה ליתן בשדה זו לנוטעה, ונוטל מבעל השדה. ואם אינה עשויה ליטע, שמין לו  וידו על התחתונה. הגה: סתם כרם עשוי ליטע (ריב"ש סימן תתקט"ו /תקט"ו/). העושה טובה לחבירו שלא ברשות, עיין לעיל סימן רס"ד. וכן הלומד עם חבירו בלא דעת האב, ע"ל סימן של"ה סעיף א'.</w:t>
      </w:r>
    </w:p>
    <w:p w14:paraId="683EBDB9" w14:textId="072F2711" w:rsidR="00831788" w:rsidRDefault="00831788" w:rsidP="00831788">
      <w:pPr>
        <w:pStyle w:val="Style1"/>
        <w:rPr>
          <w:rtl/>
        </w:rPr>
      </w:pPr>
      <w:r>
        <w:rPr>
          <w:rFonts w:hint="cs"/>
          <w:rtl/>
        </w:rPr>
        <w:t>6)[</w:t>
      </w:r>
      <w:r>
        <w:rPr>
          <w:rtl/>
        </w:rPr>
        <w:t>רמב</w:t>
      </w:r>
      <w:r w:rsidR="00EC109D">
        <w:rPr>
          <w:rtl/>
        </w:rPr>
        <w:t>”ם \נזיקין\</w:t>
      </w:r>
      <w:r>
        <w:rPr>
          <w:rtl/>
        </w:rPr>
        <w:t xml:space="preserve"> הלכות גזלה ואבדה פרק י הלכה יב</w:t>
      </w:r>
      <w:r>
        <w:rPr>
          <w:rFonts w:hint="cs"/>
          <w:rtl/>
        </w:rPr>
        <w:t xml:space="preserve">] </w:t>
      </w:r>
      <w:r>
        <w:rPr>
          <w:rtl/>
        </w:rPr>
        <w:t>בעל שהוריד אריסין בנכסי אשתו ואחר כך גירשה, אם היה הבעל עצמו אריס נסתלק בעל נסתלקו אריסין שלא ירדו לה אלא על דעת הבעל ושמין להם וידם על התחתונה, ואם אין הבעל אריס על דעת הקרקע ירדו ושמין להם כאריס.</w:t>
      </w:r>
    </w:p>
    <w:p w14:paraId="5BA8E1E1" w14:textId="318C32CD" w:rsidR="00B23928" w:rsidRPr="00B23928" w:rsidRDefault="00651CB8" w:rsidP="00B23928">
      <w:pPr>
        <w:pStyle w:val="Style1"/>
      </w:pPr>
      <w:r>
        <w:rPr>
          <w:rFonts w:hint="cs"/>
          <w:rtl/>
        </w:rPr>
        <w:t>6)[</w:t>
      </w:r>
      <w:r>
        <w:rPr>
          <w:rtl/>
        </w:rPr>
        <w:t>שולחן ערוך אבן העזר הלכות כתובות סימן פח סעיף יב</w:t>
      </w:r>
      <w:r>
        <w:rPr>
          <w:rFonts w:hint="cs"/>
          <w:rtl/>
        </w:rPr>
        <w:t>]</w:t>
      </w:r>
      <w:r w:rsidR="00B23928">
        <w:rPr>
          <w:rFonts w:hint="cs"/>
          <w:rtl/>
        </w:rPr>
        <w:t xml:space="preserve"> </w:t>
      </w:r>
      <w:r w:rsidR="00B23928" w:rsidRPr="00B23928">
        <w:rPr>
          <w:rtl/>
        </w:rPr>
        <w:t>בעל שהוריד אריסין בנכסי אשתו ואחר כך גרשה, אם הבעל עצמו אריס, נסתלק הבעל, נסתלקו, שלא ירדו אלא על דעת הבעל, ושמין להם וידם על התחתונה. ואם אין הבעל אריס, על דעת הקרקע ירדו, ושמין להם כאריס</w:t>
      </w:r>
      <w:r w:rsidR="00B23928" w:rsidRPr="00B23928">
        <w:t>.</w:t>
      </w:r>
    </w:p>
    <w:p w14:paraId="78EE5492" w14:textId="77777777" w:rsidR="00B23928" w:rsidRPr="00B23928" w:rsidRDefault="00B23928" w:rsidP="00B23928">
      <w:pPr>
        <w:pStyle w:val="Style1"/>
      </w:pPr>
      <w:r w:rsidRPr="00B23928">
        <w:rPr>
          <w:rFonts w:hint="cs"/>
          <w:rtl/>
        </w:rPr>
        <w:t>הגה: ויש אומרים דהינו דוקא כשידעו שהשדה של אשה, אבל אם לא היו יודעים האריסין שהוא של אשה, נוטלין אריסותיהן בכל ענין. (כך משמע מלשון הטור וכן הוא באשר"י)</w:t>
      </w:r>
      <w:r w:rsidRPr="00B23928">
        <w:rPr>
          <w:rFonts w:hint="cs"/>
        </w:rPr>
        <w:t>:</w:t>
      </w:r>
    </w:p>
    <w:p w14:paraId="3D669A1C" w14:textId="77777777" w:rsidR="00B23928" w:rsidRPr="00B23928" w:rsidRDefault="00B23928" w:rsidP="00B23928">
      <w:pPr>
        <w:pStyle w:val="Style1"/>
      </w:pPr>
    </w:p>
    <w:p w14:paraId="672BF594" w14:textId="0620EF1A" w:rsidR="00651CB8" w:rsidRPr="00807D18" w:rsidRDefault="00651CB8" w:rsidP="00651CB8">
      <w:pPr>
        <w:pStyle w:val="Style1"/>
      </w:pPr>
    </w:p>
    <w:p w14:paraId="2097B4F6" w14:textId="49CB42A5" w:rsidR="00816EA7" w:rsidRDefault="00816EA7" w:rsidP="00816EA7">
      <w:pPr>
        <w:pStyle w:val="Style1"/>
      </w:pPr>
    </w:p>
    <w:p w14:paraId="34264A67" w14:textId="712C9C59" w:rsidR="009A3849" w:rsidRPr="00656C18" w:rsidRDefault="009A3849" w:rsidP="009A3849">
      <w:pPr>
        <w:pStyle w:val="Style1"/>
      </w:pPr>
    </w:p>
    <w:p w14:paraId="61EE7A91" w14:textId="77777777" w:rsidR="00656C18" w:rsidRPr="00656C18" w:rsidRDefault="00656C18" w:rsidP="00656C18">
      <w:pPr>
        <w:pStyle w:val="Style1"/>
      </w:pPr>
    </w:p>
    <w:p w14:paraId="7B19FEA0" w14:textId="27EBFBD8" w:rsidR="007E539E" w:rsidRPr="00D238B0" w:rsidRDefault="007E539E" w:rsidP="007E539E">
      <w:pPr>
        <w:pStyle w:val="Style1"/>
      </w:pPr>
    </w:p>
    <w:p w14:paraId="77CCB03E" w14:textId="77777777" w:rsidR="00646FE5" w:rsidRPr="00646FE5" w:rsidRDefault="00646FE5" w:rsidP="00646FE5">
      <w:pPr>
        <w:bidi/>
        <w:rPr>
          <w:rStyle w:val="Style1Char"/>
          <w:color w:val="00B050"/>
        </w:rPr>
      </w:pPr>
    </w:p>
    <w:p w14:paraId="0FFBBA0C" w14:textId="77777777" w:rsidR="00B2458D" w:rsidRPr="00910C2A" w:rsidRDefault="00B2458D" w:rsidP="00B2458D">
      <w:pPr>
        <w:bidi/>
        <w:rPr>
          <w:rStyle w:val="Style1Char"/>
          <w:color w:val="00B050"/>
          <w:rtl/>
        </w:rPr>
      </w:pPr>
    </w:p>
    <w:p w14:paraId="471D08EB" w14:textId="77777777" w:rsidR="00B2458D" w:rsidRPr="00202381" w:rsidRDefault="00B2458D" w:rsidP="00B2458D">
      <w:pPr>
        <w:bidi/>
        <w:rPr>
          <w:rStyle w:val="Style1Char"/>
          <w:color w:val="00B050"/>
          <w:sz w:val="22"/>
          <w:szCs w:val="22"/>
          <w:highlight w:val="yellow"/>
          <w:rtl/>
        </w:rPr>
      </w:pPr>
    </w:p>
    <w:p w14:paraId="3FEBFFCE" w14:textId="77777777" w:rsidR="00B2458D" w:rsidRPr="007A4D49" w:rsidRDefault="00B2458D" w:rsidP="00B2458D">
      <w:pPr>
        <w:bidi/>
        <w:rPr>
          <w:rStyle w:val="Style1Char"/>
          <w:color w:val="C00000"/>
        </w:rPr>
      </w:pPr>
      <w:r w:rsidRPr="009D63DE">
        <w:rPr>
          <w:rStyle w:val="Style1Char"/>
          <w:color w:val="00B050"/>
          <w:sz w:val="22"/>
          <w:szCs w:val="22"/>
          <w:rtl/>
        </w:rPr>
        <w:br w:type="page"/>
      </w:r>
    </w:p>
    <w:p w14:paraId="5BC152E8" w14:textId="77777777" w:rsidR="00B2458D" w:rsidRPr="009D63DE" w:rsidRDefault="00B2458D" w:rsidP="00B2458D">
      <w:pPr>
        <w:rPr>
          <w:rStyle w:val="Style1Char"/>
          <w:color w:val="00B050"/>
          <w:sz w:val="22"/>
          <w:szCs w:val="22"/>
          <w:rtl/>
        </w:rPr>
      </w:pPr>
    </w:p>
    <w:p w14:paraId="22967CA7" w14:textId="78B0DBFF" w:rsidR="00B2458D" w:rsidRDefault="00B2458D" w:rsidP="00B2458D">
      <w:pPr>
        <w:bidi/>
        <w:rPr>
          <w:rStyle w:val="Style1Char"/>
          <w:sz w:val="22"/>
          <w:szCs w:val="22"/>
        </w:rPr>
      </w:pPr>
      <w:r w:rsidRPr="00E42220">
        <w:rPr>
          <w:rStyle w:val="Style1Char"/>
          <w:color w:val="auto"/>
          <w:sz w:val="22"/>
          <w:szCs w:val="22"/>
          <w:highlight w:val="yellow"/>
          <w:rtl/>
        </w:rPr>
        <w:t>[דף פ עמוד ב]</w:t>
      </w:r>
      <w:r w:rsidRPr="00E42220">
        <w:rPr>
          <w:rStyle w:val="Style1Char"/>
          <w:color w:val="auto"/>
          <w:sz w:val="22"/>
          <w:szCs w:val="22"/>
          <w:rtl/>
        </w:rPr>
        <w:t xml:space="preserve"> משום רווח ביתא, אבל לזבוני לא?</w:t>
      </w:r>
      <w:r w:rsidRPr="00222285">
        <w:rPr>
          <w:rStyle w:val="Style1Char"/>
          <w:sz w:val="22"/>
          <w:szCs w:val="22"/>
          <w:rtl/>
        </w:rPr>
        <w:t xml:space="preserve"> </w:t>
      </w:r>
      <w:r w:rsidRPr="008F2AB0">
        <w:rPr>
          <w:rStyle w:val="Style1Char"/>
          <w:color w:val="4472C4" w:themeColor="accent1"/>
          <w:rtl/>
        </w:rPr>
        <w:t>משמע דפשיטא ליה לאחר שליקט הפירות יכול למוכרן מדלא קא מיבעיא ליה אלא במוכר קרקע לפירות. והיינו טעמא כשמוכר פירות בכל שנה ושנה איכא רווחא בדמים. וגם נהנו מן הפירות קודם שמכרן. אבל כשמוכר הקרקע לפירות ולשנים מרובות ומקבל הדמים כאחד ומוציאן ליכא רווח ביתא מכאן ואילך</w:t>
      </w:r>
      <w:r w:rsidRPr="002369B0">
        <w:rPr>
          <w:rStyle w:val="Style1Char"/>
          <w:color w:val="auto"/>
          <w:rtl/>
        </w:rPr>
        <w:t xml:space="preserve">. </w:t>
      </w:r>
      <w:r w:rsidRPr="002369B0">
        <w:rPr>
          <w:rStyle w:val="Style1Char"/>
          <w:color w:val="auto"/>
          <w:sz w:val="22"/>
          <w:szCs w:val="22"/>
          <w:rtl/>
        </w:rPr>
        <w:t xml:space="preserve">יהודה מר בר מרימר משמיה דרבא אמר: מה שעשה עשוי, רב פפא אמר משמי' דרבא: לא עשה ולא כלום. אמר רב פפא: הא דיהודה מר בר מרימר - לאו בפירוש אתמר אלא מכללא אתמר, </w:t>
      </w:r>
      <w:r w:rsidR="0012129E">
        <w:rPr>
          <w:rStyle w:val="Style1Char"/>
          <w:rFonts w:hint="cs"/>
          <w:rtl/>
        </w:rPr>
        <w:t>(1)</w:t>
      </w:r>
      <w:r w:rsidRPr="002369B0">
        <w:rPr>
          <w:rStyle w:val="Style1Char"/>
          <w:color w:val="auto"/>
          <w:sz w:val="22"/>
          <w:szCs w:val="22"/>
          <w:rtl/>
        </w:rPr>
        <w:t>דההיא איתתא דעיילה ליה לגברא תרתי אמהתא, אזל גברא נסיב איתתא אחריתי עייל לה חדא מנייהו, אתאי לקמיה דרבא, צווחה לא אשגח בה; מאן דחזא סבר</w:t>
      </w:r>
      <w:r w:rsidRPr="00952CA4">
        <w:rPr>
          <w:rStyle w:val="Style1Char"/>
          <w:color w:val="00B050"/>
          <w:rtl/>
        </w:rPr>
        <w:t xml:space="preserve">, משום דסבר: </w:t>
      </w:r>
      <w:r w:rsidRPr="002369B0">
        <w:rPr>
          <w:rStyle w:val="Style1Char"/>
          <w:color w:val="auto"/>
          <w:sz w:val="22"/>
          <w:szCs w:val="22"/>
          <w:rtl/>
        </w:rPr>
        <w:t>מה שעשה עשוי, ולא היא, משום רווח ביתא, והא קא רווח</w:t>
      </w:r>
      <w:r w:rsidRPr="002369B0">
        <w:rPr>
          <w:rStyle w:val="Style1Char"/>
          <w:color w:val="4472C4" w:themeColor="accent1"/>
          <w:rtl/>
        </w:rPr>
        <w:t xml:space="preserve"> </w:t>
      </w:r>
      <w:r w:rsidRPr="008F2AB0">
        <w:rPr>
          <w:rStyle w:val="Style1Char"/>
          <w:color w:val="4472C4" w:themeColor="accent1"/>
          <w:rtl/>
        </w:rPr>
        <w:t xml:space="preserve">פירש רב אלפס ז"ל </w:t>
      </w:r>
      <w:r w:rsidRPr="00E10E1E">
        <w:rPr>
          <w:rStyle w:val="Style1Char"/>
          <w:color w:val="806000" w:themeColor="accent4" w:themeShade="80"/>
          <w:sz w:val="22"/>
          <w:szCs w:val="22"/>
          <w:rtl/>
        </w:rPr>
        <w:t>דהא איכא אחריתי</w:t>
      </w:r>
      <w:r w:rsidRPr="008F2AB0">
        <w:rPr>
          <w:rStyle w:val="Style1Char"/>
          <w:color w:val="4472C4" w:themeColor="accent1"/>
          <w:rtl/>
        </w:rPr>
        <w:t>. ומתוך דבריו משמע שגם היה יכול למוכרה לאחר</w:t>
      </w:r>
      <w:r>
        <w:rPr>
          <w:rStyle w:val="Style1Char"/>
          <w:rFonts w:hint="cs"/>
          <w:color w:val="4472C4" w:themeColor="accent1"/>
        </w:rPr>
        <w:t>‍</w:t>
      </w:r>
      <w:r w:rsidRPr="008F2AB0">
        <w:rPr>
          <w:rStyle w:val="Style1Char"/>
          <w:color w:val="4472C4" w:themeColor="accent1"/>
          <w:rtl/>
        </w:rPr>
        <w:t xml:space="preserve"> כיון דאיכא אחריתי. ולא מסתברא כלל דלמה ימכור נכסי מלוג שלה דליכא רווח ביתא באחת כי היא רוצה להשתמש בשתיהן. לכך נראה כפירוש רש"י דמיירי כשהכניס צרתה לביתה</w:t>
      </w:r>
      <w:r>
        <w:rPr>
          <w:rStyle w:val="Style1Char"/>
          <w:rFonts w:hint="cs"/>
          <w:color w:val="4472C4" w:themeColor="accent1"/>
        </w:rPr>
        <w:t>‍</w:t>
      </w:r>
      <w:r w:rsidRPr="008F2AB0">
        <w:rPr>
          <w:rStyle w:val="Style1Char"/>
          <w:color w:val="4472C4" w:themeColor="accent1"/>
          <w:rtl/>
        </w:rPr>
        <w:t xml:space="preserve"> היא משמשת לכל בני הבית כבתחלה אלא שייחד אותה לצרה להיות תדירה לשימושה. ולא נתמעט רווח ביתא. שכן דרך השפחות לשמש לארחי ופרחי ולכל הנכנסים לבית.</w:t>
      </w:r>
      <w:r w:rsidRPr="002369B0">
        <w:rPr>
          <w:rStyle w:val="Style1Char"/>
          <w:color w:val="auto"/>
          <w:sz w:val="22"/>
          <w:szCs w:val="22"/>
          <w:rtl/>
        </w:rPr>
        <w:t xml:space="preserve">. </w:t>
      </w:r>
      <w:r w:rsidR="009C4375">
        <w:rPr>
          <w:rStyle w:val="Style1Char"/>
          <w:rFonts w:hint="cs"/>
          <w:rtl/>
        </w:rPr>
        <w:t>(1.1, 2)</w:t>
      </w:r>
      <w:r w:rsidRPr="002369B0">
        <w:rPr>
          <w:rStyle w:val="Style1Char"/>
          <w:color w:val="auto"/>
          <w:sz w:val="22"/>
          <w:szCs w:val="22"/>
          <w:rtl/>
        </w:rPr>
        <w:t xml:space="preserve">והלכתא: בעל שמכר קרקע לפירות - לא עשה </w:t>
      </w:r>
      <w:r w:rsidRPr="00952CA4">
        <w:rPr>
          <w:rStyle w:val="Style1Char"/>
          <w:color w:val="00B050"/>
          <w:rtl/>
        </w:rPr>
        <w:t xml:space="preserve">ולא </w:t>
      </w:r>
      <w:r w:rsidRPr="002369B0">
        <w:rPr>
          <w:rStyle w:val="Style1Char"/>
          <w:color w:val="auto"/>
          <w:sz w:val="22"/>
          <w:szCs w:val="22"/>
          <w:rtl/>
        </w:rPr>
        <w:t>כלום</w:t>
      </w:r>
      <w:r w:rsidRPr="002369B0">
        <w:rPr>
          <w:rStyle w:val="Style1Char"/>
          <w:color w:val="auto"/>
          <w:rtl/>
        </w:rPr>
        <w:t xml:space="preserve">. </w:t>
      </w:r>
      <w:r w:rsidRPr="002369B0">
        <w:rPr>
          <w:rStyle w:val="Style1Char"/>
          <w:color w:val="auto"/>
          <w:sz w:val="22"/>
          <w:szCs w:val="22"/>
          <w:rtl/>
        </w:rPr>
        <w:t xml:space="preserve">מ"ט? אביי אמר: חיישינן שמא תכסיף, </w:t>
      </w:r>
      <w:r w:rsidR="007F5EE2">
        <w:rPr>
          <w:rStyle w:val="Style1Char"/>
          <w:rFonts w:hint="cs"/>
          <w:rtl/>
        </w:rPr>
        <w:t>(1.1, 2)</w:t>
      </w:r>
      <w:r w:rsidRPr="002369B0">
        <w:rPr>
          <w:rStyle w:val="Style1Char"/>
          <w:color w:val="auto"/>
          <w:sz w:val="22"/>
          <w:szCs w:val="22"/>
          <w:rtl/>
        </w:rPr>
        <w:t xml:space="preserve">רבא אמר: משום רווח ביתא. מאי בינייהו? </w:t>
      </w:r>
      <w:r w:rsidRPr="001D3A40">
        <w:rPr>
          <w:rStyle w:val="Style1Char"/>
          <w:sz w:val="22"/>
          <w:szCs w:val="22"/>
          <w:rtl/>
        </w:rPr>
        <w:t>איכא בינייהו</w:t>
      </w:r>
      <w:r w:rsidRPr="002369B0">
        <w:rPr>
          <w:rStyle w:val="Style1Char"/>
          <w:color w:val="auto"/>
          <w:sz w:val="22"/>
          <w:szCs w:val="22"/>
          <w:rtl/>
        </w:rPr>
        <w:t xml:space="preserve">: ארעא דמקרב למתא; אי נמי, בעל אריס הוא; </w:t>
      </w:r>
      <w:r w:rsidR="007F5EE2">
        <w:rPr>
          <w:rStyle w:val="Style1Char"/>
          <w:rFonts w:hint="cs"/>
          <w:rtl/>
        </w:rPr>
        <w:t>(1.1, 2)</w:t>
      </w:r>
      <w:r w:rsidRPr="002369B0">
        <w:rPr>
          <w:rStyle w:val="Style1Char"/>
          <w:color w:val="auto"/>
          <w:sz w:val="22"/>
          <w:szCs w:val="22"/>
          <w:rtl/>
        </w:rPr>
        <w:t>אי נמי, זוזי וקא עביד בהו עיסקא</w:t>
      </w:r>
      <w:r w:rsidRPr="002369B0">
        <w:rPr>
          <w:rStyle w:val="Style1Char"/>
          <w:color w:val="auto"/>
          <w:rtl/>
        </w:rPr>
        <w:t xml:space="preserve"> </w:t>
      </w:r>
      <w:r w:rsidRPr="00D54D58">
        <w:rPr>
          <w:rStyle w:val="Style1Char"/>
          <w:color w:val="806000" w:themeColor="accent4" w:themeShade="80"/>
          <w:sz w:val="22"/>
          <w:szCs w:val="22"/>
          <w:rtl/>
        </w:rPr>
        <w:t>והלכתא כרבא</w:t>
      </w:r>
      <w:r w:rsidRPr="00D54D58">
        <w:rPr>
          <w:rStyle w:val="Style1Char"/>
          <w:color w:val="806000" w:themeColor="accent4" w:themeShade="80"/>
          <w:sz w:val="22"/>
          <w:szCs w:val="22"/>
        </w:rPr>
        <w:t>:</w:t>
      </w:r>
      <w:r w:rsidRPr="00D54D58">
        <w:rPr>
          <w:rStyle w:val="Style1Char"/>
          <w:color w:val="806000" w:themeColor="accent4" w:themeShade="80"/>
          <w:sz w:val="22"/>
          <w:szCs w:val="22"/>
          <w:rtl/>
        </w:rPr>
        <w:t xml:space="preserve">. </w:t>
      </w:r>
    </w:p>
    <w:p w14:paraId="0238DB81" w14:textId="77777777" w:rsidR="00B2458D" w:rsidRPr="008F2AB0" w:rsidRDefault="00B2458D" w:rsidP="00B2458D">
      <w:pPr>
        <w:bidi/>
        <w:rPr>
          <w:rStyle w:val="Style1Char"/>
          <w:color w:val="4472C4" w:themeColor="accent1"/>
        </w:rPr>
      </w:pPr>
      <w:r w:rsidRPr="008F2AB0">
        <w:rPr>
          <w:rStyle w:val="Style1Char"/>
          <w:color w:val="4472C4" w:themeColor="accent1"/>
          <w:rtl/>
        </w:rPr>
        <w:t>וכתב רב האי בשער ד' בספר מקח וממכר שאם רחוק הקרקע ממנו ומכרו לפירות מכור. דכיון שהוא רחוק ממנו ואינו יכול להביא הפירות לביתו גם מעיקרא ליכא רווח ביתא ואף על פי שהיה מוכר פירות של כל שנה ושנה והיה לה ריוח בדמיהם. כיון שהוא רחוק ממנו וצריך להוציא הוצאות ולטרוח בכל שנה טוב יותר למכור לפירות</w:t>
      </w:r>
      <w:r w:rsidRPr="008F2AB0">
        <w:rPr>
          <w:rStyle w:val="Style1Char"/>
          <w:color w:val="4472C4" w:themeColor="accent1"/>
        </w:rPr>
        <w:t xml:space="preserve">: </w:t>
      </w:r>
    </w:p>
    <w:p w14:paraId="51B053C4" w14:textId="420AB8F6" w:rsidR="00B2458D" w:rsidRPr="00191CB6" w:rsidRDefault="00B2458D" w:rsidP="00B2458D">
      <w:pPr>
        <w:bidi/>
        <w:rPr>
          <w:rStyle w:val="Style1Char"/>
          <w:color w:val="auto"/>
          <w:sz w:val="22"/>
          <w:szCs w:val="22"/>
        </w:rPr>
      </w:pPr>
      <w:r w:rsidRPr="00191CB6">
        <w:rPr>
          <w:rStyle w:val="Style1Char"/>
          <w:color w:val="auto"/>
          <w:sz w:val="22"/>
          <w:szCs w:val="22"/>
          <w:rtl/>
        </w:rPr>
        <w:t xml:space="preserve">מתני'. </w:t>
      </w:r>
      <w:r w:rsidR="00BD16E8">
        <w:rPr>
          <w:rStyle w:val="Style1Char"/>
          <w:rFonts w:hint="cs"/>
          <w:rtl/>
        </w:rPr>
        <w:t>(3)</w:t>
      </w:r>
      <w:r w:rsidRPr="00191CB6">
        <w:rPr>
          <w:rStyle w:val="Style1Char"/>
          <w:color w:val="auto"/>
          <w:sz w:val="22"/>
          <w:szCs w:val="22"/>
          <w:rtl/>
        </w:rPr>
        <w:t xml:space="preserve">שומרת יבם שנפלו לה נכסים, מודים ב"ש וב"ה, שמוכרת ונותנת וקיים. מתה, מה יעשו בכתובתה ובנכסים הנכנסין והיוצאין עמה? ב"ש אומרים: יחלקו יורשי הבעל עם יורשי האב, וב"ה אומרי': </w:t>
      </w:r>
      <w:r w:rsidR="00B40003">
        <w:rPr>
          <w:rStyle w:val="Style1Char"/>
          <w:rFonts w:hint="cs"/>
          <w:rtl/>
        </w:rPr>
        <w:t>(3.1, 4)</w:t>
      </w:r>
      <w:r w:rsidRPr="00191CB6">
        <w:rPr>
          <w:rStyle w:val="Style1Char"/>
          <w:color w:val="auto"/>
          <w:sz w:val="22"/>
          <w:szCs w:val="22"/>
          <w:rtl/>
        </w:rPr>
        <w:t xml:space="preserve">נכסים - בחזקתן, וכתובה - בחזקת יורשי הבעל, נכסים הנכנסים והיוצאים עמה - בחזקת יורשי האב. </w:t>
      </w:r>
      <w:r w:rsidR="00B40003">
        <w:rPr>
          <w:rStyle w:val="Style1Char"/>
          <w:rFonts w:hint="cs"/>
          <w:rtl/>
        </w:rPr>
        <w:t>(5)</w:t>
      </w:r>
      <w:r w:rsidRPr="00191CB6">
        <w:rPr>
          <w:rStyle w:val="Style1Char"/>
          <w:color w:val="auto"/>
          <w:sz w:val="22"/>
          <w:szCs w:val="22"/>
          <w:rtl/>
        </w:rPr>
        <w:t xml:space="preserve">הניח אחיו מעות - ילקח בהן קרקע והוא אוכל פירות. </w:t>
      </w:r>
      <w:r w:rsidR="00867A34">
        <w:rPr>
          <w:rStyle w:val="Style1Char"/>
          <w:rFonts w:hint="cs"/>
          <w:rtl/>
        </w:rPr>
        <w:t>(5.2, 6)</w:t>
      </w:r>
      <w:r w:rsidRPr="00191CB6">
        <w:rPr>
          <w:rStyle w:val="Style1Char"/>
          <w:color w:val="auto"/>
          <w:sz w:val="22"/>
          <w:szCs w:val="22"/>
          <w:rtl/>
        </w:rPr>
        <w:t xml:space="preserve">פירות התלושין מן הקרקע - ילקח בהן קרקע והוא אוכל פירות, </w:t>
      </w:r>
      <w:r w:rsidR="00E9261E">
        <w:rPr>
          <w:rStyle w:val="Style1Char"/>
          <w:rFonts w:hint="cs"/>
          <w:rtl/>
        </w:rPr>
        <w:t>(7)</w:t>
      </w:r>
      <w:r w:rsidRPr="00191CB6">
        <w:rPr>
          <w:rStyle w:val="Style1Char"/>
          <w:color w:val="auto"/>
          <w:sz w:val="22"/>
          <w:szCs w:val="22"/>
          <w:rtl/>
        </w:rPr>
        <w:t xml:space="preserve">המחוברין בקרקע - אמר ר"מ: שמין אותן כמה הן יפין בפירות וכמה הן יפין בלא פירות, והמותר ילקח בהן קרקע והוא אוכל פירות; </w:t>
      </w:r>
      <w:r w:rsidR="00C95B82">
        <w:rPr>
          <w:rStyle w:val="Style1Char"/>
          <w:rFonts w:hint="cs"/>
          <w:rtl/>
        </w:rPr>
        <w:t>(</w:t>
      </w:r>
      <w:r w:rsidR="00E45B22">
        <w:rPr>
          <w:rStyle w:val="Style1Char"/>
          <w:rFonts w:hint="cs"/>
          <w:rtl/>
        </w:rPr>
        <w:t>5</w:t>
      </w:r>
      <w:r w:rsidR="00C95B82">
        <w:rPr>
          <w:rStyle w:val="Style1Char"/>
          <w:rFonts w:hint="cs"/>
          <w:rtl/>
        </w:rPr>
        <w:t>.</w:t>
      </w:r>
      <w:r w:rsidR="00E45B22">
        <w:rPr>
          <w:rStyle w:val="Style1Char"/>
          <w:rFonts w:hint="cs"/>
          <w:rtl/>
        </w:rPr>
        <w:t>3</w:t>
      </w:r>
      <w:r w:rsidR="00C95B82">
        <w:rPr>
          <w:rStyle w:val="Style1Char"/>
          <w:rFonts w:hint="cs"/>
          <w:rtl/>
        </w:rPr>
        <w:t xml:space="preserve">, </w:t>
      </w:r>
      <w:r w:rsidR="00E45B22">
        <w:rPr>
          <w:rStyle w:val="Style1Char"/>
          <w:rFonts w:hint="cs"/>
          <w:rtl/>
        </w:rPr>
        <w:t>6.1</w:t>
      </w:r>
      <w:r w:rsidR="00C95B82">
        <w:rPr>
          <w:rStyle w:val="Style1Char"/>
          <w:rFonts w:hint="cs"/>
          <w:rtl/>
        </w:rPr>
        <w:t>)</w:t>
      </w:r>
      <w:r w:rsidRPr="00191CB6">
        <w:rPr>
          <w:rStyle w:val="Style1Char"/>
          <w:color w:val="auto"/>
          <w:sz w:val="22"/>
          <w:szCs w:val="22"/>
          <w:rtl/>
        </w:rPr>
        <w:t xml:space="preserve">וחכ"א: פירות המחוברין בקרקע - שלו, התלושין מן הקרקע - כל הקודם זכה בהן, קדם הוא - זכה, קדמה היא - ילקח בהן קרקע והוא אוכל פירות. </w:t>
      </w:r>
      <w:r w:rsidR="00625BAB">
        <w:rPr>
          <w:rStyle w:val="Style1Char"/>
          <w:rFonts w:hint="cs"/>
          <w:rtl/>
        </w:rPr>
        <w:t>(</w:t>
      </w:r>
      <w:r w:rsidR="00114546">
        <w:rPr>
          <w:rStyle w:val="Style1Char"/>
          <w:rFonts w:hint="cs"/>
          <w:rtl/>
        </w:rPr>
        <w:t>6</w:t>
      </w:r>
      <w:r w:rsidR="00625BAB">
        <w:rPr>
          <w:rStyle w:val="Style1Char"/>
          <w:rFonts w:hint="cs"/>
          <w:rtl/>
        </w:rPr>
        <w:t xml:space="preserve">.1, </w:t>
      </w:r>
      <w:r w:rsidR="00114546">
        <w:rPr>
          <w:rStyle w:val="Style1Char"/>
          <w:rFonts w:hint="cs"/>
          <w:rtl/>
        </w:rPr>
        <w:t>7</w:t>
      </w:r>
      <w:r w:rsidR="00625BAB">
        <w:rPr>
          <w:rStyle w:val="Style1Char"/>
          <w:rFonts w:hint="cs"/>
          <w:rtl/>
        </w:rPr>
        <w:t>)</w:t>
      </w:r>
      <w:r w:rsidRPr="00191CB6">
        <w:rPr>
          <w:rStyle w:val="Style1Char"/>
          <w:color w:val="auto"/>
          <w:sz w:val="22"/>
          <w:szCs w:val="22"/>
          <w:rtl/>
        </w:rPr>
        <w:t xml:space="preserve">כנסה - הרי היא כאשתו לכל דבר, </w:t>
      </w:r>
      <w:r w:rsidR="00625BAB">
        <w:rPr>
          <w:rStyle w:val="Style1Char"/>
          <w:rFonts w:hint="cs"/>
          <w:rtl/>
        </w:rPr>
        <w:t>(</w:t>
      </w:r>
      <w:r w:rsidR="00E45B22">
        <w:rPr>
          <w:rStyle w:val="Style1Char"/>
          <w:rFonts w:hint="cs"/>
          <w:rtl/>
        </w:rPr>
        <w:t>8</w:t>
      </w:r>
      <w:r w:rsidR="00625BAB">
        <w:rPr>
          <w:rStyle w:val="Style1Char"/>
          <w:rFonts w:hint="cs"/>
          <w:rtl/>
        </w:rPr>
        <w:t>)</w:t>
      </w:r>
      <w:r w:rsidRPr="00191CB6">
        <w:rPr>
          <w:rStyle w:val="Style1Char"/>
          <w:color w:val="auto"/>
          <w:sz w:val="22"/>
          <w:szCs w:val="22"/>
          <w:rtl/>
        </w:rPr>
        <w:t xml:space="preserve">בלבד שתהא כתובתה על נכסי בעלה הראשון. לא יאמר לה הרי כתובתיך מונחת על השלחן, אלא כל נכסיו אחראין לכתובתה. וכן לא יאמר אדם לאשתו הרי כתובתיך מונחת על השלחן, אלא כל נכסיו אחראין לכתובתה. גירשה - אין לה אלא כתובה. החזירה - הרי היא ככל הנשים, ואין לה אלא כתובה בלבד. </w:t>
      </w:r>
    </w:p>
    <w:p w14:paraId="748A631C" w14:textId="4B93EE4A" w:rsidR="00B2458D" w:rsidRDefault="00B2458D" w:rsidP="00B2458D">
      <w:pPr>
        <w:bidi/>
        <w:rPr>
          <w:rStyle w:val="Style1Char"/>
          <w:sz w:val="22"/>
          <w:szCs w:val="22"/>
          <w:rtl/>
        </w:rPr>
      </w:pPr>
      <w:r w:rsidRPr="00F16D07">
        <w:rPr>
          <w:rStyle w:val="Style1Char"/>
          <w:color w:val="auto"/>
          <w:sz w:val="22"/>
          <w:szCs w:val="22"/>
          <w:rtl/>
        </w:rPr>
        <w:t>גמ'. איבעיא להו: שומרת יבם שמתה מי קוברה? יורשי הבעל קברי לה, דקא ירתי כתובה, או דלמא יורשי האב קברי לה, דקא ירתי נכסים הנכנסין והיוצאין עמה? אמר רב עמרם: תא שמע, דתניא: שומרת יבם שמתה,</w:t>
      </w:r>
      <w:r w:rsidRPr="00222095">
        <w:rPr>
          <w:rStyle w:val="Style1Char"/>
          <w:sz w:val="22"/>
          <w:szCs w:val="22"/>
          <w:rtl/>
        </w:rPr>
        <w:t xml:space="preserve"> </w:t>
      </w:r>
    </w:p>
    <w:p w14:paraId="05297A0F" w14:textId="472EADC0" w:rsidR="00A13920" w:rsidRDefault="00A13920" w:rsidP="00A13920">
      <w:pPr>
        <w:pStyle w:val="Style1"/>
        <w:rPr>
          <w:rStyle w:val="Style1Char"/>
          <w:rtl/>
        </w:rPr>
      </w:pPr>
      <w:r>
        <w:rPr>
          <w:rStyle w:val="Style1Char"/>
          <w:rFonts w:hint="cs"/>
          <w:rtl/>
        </w:rPr>
        <w:t>1)[</w:t>
      </w:r>
      <w:r w:rsidRPr="00A13920">
        <w:rPr>
          <w:rStyle w:val="Style1Char"/>
          <w:rtl/>
        </w:rPr>
        <w:t>רמב</w:t>
      </w:r>
      <w:r w:rsidR="00213DA1">
        <w:rPr>
          <w:rStyle w:val="Style1Char"/>
          <w:rtl/>
        </w:rPr>
        <w:t>”ם \נשים\</w:t>
      </w:r>
      <w:r w:rsidRPr="00A13920">
        <w:rPr>
          <w:rStyle w:val="Style1Char"/>
          <w:rtl/>
        </w:rPr>
        <w:t xml:space="preserve"> הלכות אישות פרק כב הלכה כ</w:t>
      </w:r>
      <w:r>
        <w:rPr>
          <w:rStyle w:val="Style1Char"/>
          <w:rFonts w:hint="cs"/>
          <w:rtl/>
        </w:rPr>
        <w:t xml:space="preserve">] </w:t>
      </w:r>
      <w:r w:rsidRPr="00A13920">
        <w:rPr>
          <w:rStyle w:val="Style1Char"/>
          <w:rtl/>
        </w:rPr>
        <w:t>בעל שמכר קרקע לפירות לא עשה כלום, מפני שלא התקינו פירות לאיש אלא כדי להרויח בהוצאת הבית, לפיכך אם מכר לפירות ולקח אותן המעות לעשות בהן סחורה שומעין לו.</w:t>
      </w:r>
    </w:p>
    <w:p w14:paraId="71297E35" w14:textId="22498A42" w:rsidR="00B567EF" w:rsidRDefault="00B567EF" w:rsidP="00B567EF">
      <w:pPr>
        <w:pStyle w:val="Style1"/>
        <w:rPr>
          <w:rtl/>
        </w:rPr>
      </w:pPr>
      <w:r>
        <w:rPr>
          <w:rStyle w:val="Style1Char"/>
          <w:rFonts w:hint="cs"/>
          <w:rtl/>
        </w:rPr>
        <w:t>1</w:t>
      </w:r>
      <w:r>
        <w:rPr>
          <w:rFonts w:hint="cs"/>
          <w:rtl/>
        </w:rPr>
        <w:t>)[</w:t>
      </w:r>
      <w:r>
        <w:rPr>
          <w:rtl/>
        </w:rPr>
        <w:t>שולחן ערוך אבן העזר הלכות כתובות סימן פה סעיף יג</w:t>
      </w:r>
      <w:r>
        <w:rPr>
          <w:rFonts w:hint="cs"/>
          <w:rtl/>
        </w:rPr>
        <w:t xml:space="preserve">] </w:t>
      </w:r>
      <w:r w:rsidRPr="002E6838">
        <w:rPr>
          <w:rtl/>
        </w:rPr>
        <w:t>נכסי מלוג, הבעל אוכל פרות, ואם הם דבר שאינו עושה פרות, ימכר וילקח בו דבר שעושה פרות. ואם הוא אומר: כך וכך ילקח בהם, והיא אומרת: איני לוקחת בהם אלא כך וכך, לוקחים דבר שפרותיו מרבים ויציאתו מעוטה, בין שהיה הדבר כרצונו או כרצונה. ואין קונין דבר שאין גזעו מחליף. ואם נפל לה דבר שאין גזעו מחליף, אף על פי שלא ישאר קצת מהקרן, אין צריך למכרו, כגון שהכניסה לו עז לחלבה, רחל לגזתה, דקל לפרותיו, אף על פי שאין לה אלא פרות אלו בלבד, הרי זה אוכל והולך עד שתכלה הקרן. וכן אם הכניסה לו כלי בתורת נכסי מלוג, הרי זה משתמש בהם ולובש ומציע ומכסה, עד שיכלה הקרן, וכשיגרש אינו חיב לשלם הבליות של נכסי מלוג</w:t>
      </w:r>
      <w:r w:rsidRPr="002E6838">
        <w:t>:</w:t>
      </w:r>
    </w:p>
    <w:p w14:paraId="6E0A395B" w14:textId="2B23C84B" w:rsidR="005E06A6" w:rsidRPr="005E06A6" w:rsidRDefault="00390C5B" w:rsidP="005E06A6">
      <w:pPr>
        <w:pStyle w:val="Style1"/>
      </w:pPr>
      <w:r>
        <w:rPr>
          <w:rFonts w:hint="cs"/>
          <w:rtl/>
        </w:rPr>
        <w:t>2)[</w:t>
      </w:r>
      <w:r>
        <w:rPr>
          <w:rtl/>
        </w:rPr>
        <w:t>שולחן ערוך אבן העזר הלכות כתובות סימן פה סעיף יז</w:t>
      </w:r>
      <w:r>
        <w:rPr>
          <w:rFonts w:hint="cs"/>
          <w:rtl/>
        </w:rPr>
        <w:t>]</w:t>
      </w:r>
      <w:r w:rsidR="005E06A6">
        <w:rPr>
          <w:rFonts w:hint="cs"/>
          <w:rtl/>
        </w:rPr>
        <w:t xml:space="preserve"> </w:t>
      </w:r>
      <w:r w:rsidR="005E06A6" w:rsidRPr="005E06A6">
        <w:rPr>
          <w:rtl/>
        </w:rPr>
        <w:t>אם רצה הבעל למכור קרקע של נכסי מלוג לאחר, שיקח פירותיו לשנים מרבות, ומקדים לו המעות, אין שומעין לו. אבל יכול למכור הפירות בכל שנה, אחר שלקטן. וכן אם ימכר הפירות לשנים מרבות, ועושה סחורה במעות, שפיר דמי</w:t>
      </w:r>
      <w:r w:rsidR="005E06A6" w:rsidRPr="005E06A6">
        <w:t>.</w:t>
      </w:r>
    </w:p>
    <w:p w14:paraId="19474D06" w14:textId="72804326" w:rsidR="005E06A6" w:rsidRDefault="005E06A6" w:rsidP="005E06A6">
      <w:pPr>
        <w:pStyle w:val="Style1"/>
        <w:rPr>
          <w:rtl/>
        </w:rPr>
      </w:pPr>
      <w:r w:rsidRPr="005E06A6">
        <w:rPr>
          <w:rFonts w:hint="cs"/>
          <w:rtl/>
        </w:rPr>
        <w:t>ואם בעל חוב גובה מנדונית האשה או נכסי מלוג שלה, עין </w:t>
      </w:r>
      <w:hyperlink r:id="rId198" w:tooltip="שולחן ערוך חושן משפט צז" w:history="1">
        <w:r w:rsidRPr="005E06A6">
          <w:rPr>
            <w:rStyle w:val="Hyperlink"/>
            <w:rFonts w:hint="cs"/>
            <w:color w:val="7030A0"/>
            <w:u w:val="none"/>
            <w:rtl/>
          </w:rPr>
          <w:t>בחשן המשפט סימן צ"ז</w:t>
        </w:r>
      </w:hyperlink>
      <w:r w:rsidRPr="005E06A6">
        <w:t>:</w:t>
      </w:r>
    </w:p>
    <w:p w14:paraId="3D9CF753" w14:textId="11246296" w:rsidR="00E860DE" w:rsidRDefault="00E860DE" w:rsidP="00E860DE">
      <w:pPr>
        <w:pStyle w:val="Style1"/>
        <w:rPr>
          <w:rtl/>
        </w:rPr>
      </w:pPr>
      <w:r>
        <w:rPr>
          <w:rFonts w:hint="cs"/>
          <w:rtl/>
        </w:rPr>
        <w:t>3)[</w:t>
      </w:r>
      <w:r>
        <w:rPr>
          <w:rtl/>
        </w:rPr>
        <w:t>רמב</w:t>
      </w:r>
      <w:r w:rsidR="00213DA1">
        <w:rPr>
          <w:rtl/>
        </w:rPr>
        <w:t>”ם \נשים\</w:t>
      </w:r>
      <w:r>
        <w:rPr>
          <w:rtl/>
        </w:rPr>
        <w:t xml:space="preserve"> הלכות אישות פרק כב הלכה י</w:t>
      </w:r>
      <w:r>
        <w:rPr>
          <w:rFonts w:hint="cs"/>
          <w:rtl/>
        </w:rPr>
        <w:t xml:space="preserve">] </w:t>
      </w:r>
      <w:r>
        <w:rPr>
          <w:rtl/>
        </w:rPr>
        <w:t>שומרת יבם יש לה למכור וליתן בנכסים שנפלו לה כשהיא שומרת יבם ואין ליבם פירות ואפילו בנכסי צאן ברזל שהכניסה לאחיו עד שיכנוס, מתה כשהיא שומרת יבם יורשיה מאביה יורשין נכסי מלוג שלה וחצי נכסי צאן ברזל ויורשי הבעל יורשין כתובתה וחצי נכסי צאן ברזל, ויורשי הבעל חייבין בקבורתה. /השגת הראב"ד/ שומרת יבם יש לה למכור וליתן בנכסים שנפלו לה כשהיא שומרת יבם ואין ליבם פירות ואפילו בנכסי צאן ברזל. א"א טעה בכל אלה דכיון [דנכסי מלוג דומיא דנכסי צאן ברזל שנפלו לה תחתיו דבעל יש ליבם חלק בפירות דכיון] דנפלו לה כשהיא תחתיו דבעל וזכה בהן הבעל ידו עדיפא מידה וגבי יבם ידו כידה וחולק עמה בפירות (נכסי מלוג), ובנכסי צאן ברזל הכל שלו ואם מתה הוא יורש אותם כעיקר כתובתה דבמקום יבם כל מה שכתב לה בכתובתה הרי הוא בחזקתו כעיקר הכתובה, וכמדומה לי שטעה במשנה זו משום משנת מי שמת (ב"ב קנח) שגורסין בה וכתובה בחזקת יורשי הבעל ופירשו הגאונים שהמחלוקת שאמרו ב"ה נכסים בחזקתן ופירשו בה שיחלוקו, בנכסי צאן ברזל היא שנויה ודמה שמשנה זו דומה לה ואינו כן דבמקום יבם כל מה שכתב לה בכתובתה כעיקר כתובה היא.</w:t>
      </w:r>
    </w:p>
    <w:p w14:paraId="5E8CC86C" w14:textId="6E86A390" w:rsidR="001B2CCC" w:rsidRDefault="001B2CCC" w:rsidP="001B2CCC">
      <w:pPr>
        <w:pStyle w:val="Style1"/>
        <w:rPr>
          <w:rtl/>
        </w:rPr>
      </w:pPr>
      <w:r>
        <w:rPr>
          <w:rFonts w:hint="cs"/>
          <w:rtl/>
        </w:rPr>
        <w:t>3)[</w:t>
      </w:r>
      <w:r>
        <w:rPr>
          <w:rtl/>
        </w:rPr>
        <w:t>רמב</w:t>
      </w:r>
      <w:r w:rsidR="00EC109D">
        <w:rPr>
          <w:rtl/>
        </w:rPr>
        <w:t>”ם \משפטים\</w:t>
      </w:r>
      <w:r>
        <w:rPr>
          <w:rtl/>
        </w:rPr>
        <w:t xml:space="preserve"> הלכות נחלות פרק ג הלכה ט</w:t>
      </w:r>
      <w:r>
        <w:rPr>
          <w:rFonts w:hint="cs"/>
          <w:rtl/>
        </w:rPr>
        <w:t xml:space="preserve">] </w:t>
      </w:r>
      <w:r>
        <w:rPr>
          <w:rtl/>
        </w:rPr>
        <w:t>שומרת יבם שמתה אפילו עשה בה אחד מן האחים מאמר משפחת בית אביה יורשין בנכסי מלוג וחצי נכסי צאן ברזל, ויורשי הבעל יורשין כתובתה עם חצי נכסי צאן ברזל ויורשי הבעל חייבין בקבורתה הואיל והן יירשו כתובתה כמו שביארנו במקומו.</w:t>
      </w:r>
    </w:p>
    <w:p w14:paraId="11289D4A" w14:textId="5B14BB41" w:rsidR="0000635C" w:rsidRDefault="0000635C" w:rsidP="0000635C">
      <w:pPr>
        <w:pStyle w:val="Style1"/>
        <w:rPr>
          <w:rtl/>
        </w:rPr>
      </w:pPr>
      <w:r>
        <w:rPr>
          <w:rFonts w:hint="cs"/>
          <w:rtl/>
        </w:rPr>
        <w:t>3)[</w:t>
      </w:r>
      <w:r>
        <w:rPr>
          <w:rtl/>
        </w:rPr>
        <w:t>שולחן ערוך אבן העזר הלכות יבום סימן קס סעיף ה</w:t>
      </w:r>
      <w:r>
        <w:rPr>
          <w:rFonts w:hint="cs"/>
          <w:rtl/>
        </w:rPr>
        <w:t>]</w:t>
      </w:r>
      <w:r w:rsidR="00C7274A">
        <w:rPr>
          <w:rFonts w:hint="cs"/>
          <w:rtl/>
        </w:rPr>
        <w:t xml:space="preserve"> </w:t>
      </w:r>
      <w:r w:rsidR="00C7274A" w:rsidRPr="00C7274A">
        <w:rPr>
          <w:rtl/>
        </w:rPr>
        <w:t>נפלו לה נכסים בעודה שומרת יבם, מוכרת ונותנת, וקים, שאין ליבם בהם כלום עד שיכנס. ואפלו עשה בה מאמר. והוא הדין אם נשארת אלמנה מן הארוסין, ונפלו לה בעודה ארוסה, שמוכרת ונותנת, וקים, דלא עדיף יבם מבעל</w:t>
      </w:r>
      <w:r w:rsidR="00C7274A" w:rsidRPr="00C7274A">
        <w:t>:</w:t>
      </w:r>
    </w:p>
    <w:p w14:paraId="7E2CA1E1" w14:textId="4AE9218D" w:rsidR="005333F9" w:rsidRPr="005333F9" w:rsidRDefault="000C2FD9" w:rsidP="005333F9">
      <w:pPr>
        <w:pStyle w:val="Style1"/>
      </w:pPr>
      <w:r>
        <w:rPr>
          <w:rFonts w:hint="cs"/>
          <w:rtl/>
        </w:rPr>
        <w:lastRenderedPageBreak/>
        <w:t>4)[</w:t>
      </w:r>
      <w:r>
        <w:rPr>
          <w:rtl/>
        </w:rPr>
        <w:t>שולחן ערוך אבן העזר הלכות יבום סימן קס סעיף ז</w:t>
      </w:r>
      <w:r w:rsidR="00E002AD">
        <w:rPr>
          <w:rFonts w:hint="cs"/>
          <w:rtl/>
        </w:rPr>
        <w:t>]</w:t>
      </w:r>
      <w:r w:rsidR="005333F9">
        <w:rPr>
          <w:rFonts w:hint="cs"/>
          <w:rtl/>
        </w:rPr>
        <w:t xml:space="preserve"> </w:t>
      </w:r>
      <w:r w:rsidR="005333F9" w:rsidRPr="005333F9">
        <w:rPr>
          <w:rtl/>
        </w:rPr>
        <w:t>מתה כשהיא שומרת יבם, יורשיה יורשין נכסי מלוג שלה וחצי נכסי צאן ברזל</w:t>
      </w:r>
      <w:r w:rsidR="005333F9" w:rsidRPr="005333F9">
        <w:t>. </w:t>
      </w:r>
      <w:r w:rsidR="005333F9" w:rsidRPr="005333F9">
        <w:rPr>
          <w:rFonts w:hint="cs"/>
          <w:rtl/>
        </w:rPr>
        <w:t>וכן אם נתן לה היבם מתנה, יורשיה יורשין אותה (מהר"ם פדוואה סימן י"ז)</w:t>
      </w:r>
      <w:r w:rsidR="005333F9" w:rsidRPr="005333F9">
        <w:t xml:space="preserve">. </w:t>
      </w:r>
      <w:r w:rsidR="005333F9" w:rsidRPr="005333F9">
        <w:rPr>
          <w:rtl/>
        </w:rPr>
        <w:t>ויורשי הבעל יורשים עקר כתבה ותוספת וחצי נכסי צאן ברזל, ויורשי הבעל חיבים בקבורתה</w:t>
      </w:r>
      <w:r w:rsidR="005333F9" w:rsidRPr="005333F9">
        <w:t>.</w:t>
      </w:r>
    </w:p>
    <w:p w14:paraId="114B4042" w14:textId="3DF27952" w:rsidR="005333F9" w:rsidRDefault="005333F9" w:rsidP="005333F9">
      <w:pPr>
        <w:pStyle w:val="Style1"/>
        <w:rPr>
          <w:rtl/>
        </w:rPr>
      </w:pPr>
      <w:r w:rsidRPr="005333F9">
        <w:rPr>
          <w:rFonts w:hint="cs"/>
          <w:rtl/>
        </w:rPr>
        <w:t>הגה: ויש אומרים דכל נכסי צאן ברזל שלה הם בחזקת יורשי הבעל, כמו הכתבה (ר"ת והרא"ש), ואין מוציאין מידם אם הם מחזקים (כ"כ הר"ן בתשובה). וכל זה במקום ובזמן שאין כופין לחלץ, אבל במקום ובזמן שכופין לחלץ, אם כן לא היתה ראויה להתיבם, יש אומרים דאין הנכסים בחזקת יבם, ולכך אם מתה אינה יורשה; ולכך, במדינות שכופין לחלץ, אינו יורשה לדעת זה (מהרי"ק שרש צ"א). ולענין מי נקרא יורשי הבעל, צריך עיון, כי יש אומרים שהיבם הוא יורש אף על גב דאביהם עדין חי, והוא קודם בירשת הבעל לכל יוצאי ירכו (מהרי"ו סימן מ"א והר"ן פרק האשה ומהר"ם פדוואה סימן י"ז). ויש אומרים דהאב יורש, דמיד שמתה היבמה פקעה זקת יבמים, ונפלה הירשה לפני הקודם בירשת הבעל (מהרי"ק שרש צ"א). ואף על פי שהסברא נותנת כסברא האחרונה, וכן משמע קצת לשון "יורשי הבעל", אבל סוגית הגמרא והירושלמי פרק האשה שנפלו משמע שהיבם יורש השומרת יבם, ואם כן אין לאב חלק בירשתה, וכסברא הראשונה. ואם היבמים רבים, עין לקמן </w:t>
      </w:r>
      <w:hyperlink r:id="rId199" w:tooltip="שולחן ערוך אבן העזר קסה" w:history="1">
        <w:r w:rsidRPr="005333F9">
          <w:rPr>
            <w:rStyle w:val="Hyperlink"/>
            <w:rFonts w:hint="cs"/>
            <w:color w:val="7030A0"/>
            <w:u w:val="none"/>
            <w:rtl/>
          </w:rPr>
          <w:t>סי' קס"ה</w:t>
        </w:r>
      </w:hyperlink>
      <w:r w:rsidRPr="005333F9">
        <w:t>:</w:t>
      </w:r>
    </w:p>
    <w:p w14:paraId="1A251D0D" w14:textId="1F6448D6" w:rsidR="00E9400F" w:rsidRDefault="00E9400F" w:rsidP="00E9400F">
      <w:pPr>
        <w:pStyle w:val="Style1"/>
        <w:rPr>
          <w:rtl/>
        </w:rPr>
      </w:pPr>
      <w:r>
        <w:rPr>
          <w:rFonts w:hint="cs"/>
          <w:rtl/>
        </w:rPr>
        <w:t>5)[</w:t>
      </w:r>
      <w:r>
        <w:rPr>
          <w:rtl/>
        </w:rPr>
        <w:t>רמב</w:t>
      </w:r>
      <w:r w:rsidR="00213DA1">
        <w:rPr>
          <w:rtl/>
        </w:rPr>
        <w:t>”ם \נשים\</w:t>
      </w:r>
      <w:r>
        <w:rPr>
          <w:rtl/>
        </w:rPr>
        <w:t xml:space="preserve"> הלכות אישות פרק כב הלכה יג</w:t>
      </w:r>
      <w:r>
        <w:rPr>
          <w:rFonts w:hint="cs"/>
          <w:rtl/>
        </w:rPr>
        <w:t xml:space="preserve">] </w:t>
      </w:r>
      <w:r>
        <w:rPr>
          <w:rtl/>
        </w:rPr>
        <w:t>הניח פירות תלושין מן הקרקע וכן אם הניח מעות ומטלטלין הכל של יבם, ומשתמש בהן כמו שירצה ואינה יכולה לעכב, שהמטלטלין אין הכתובה נגבית מהן אלא בתקנת הגאונים ואין כח בתקנה זו למנעו מנכסי אחיו ולאסרן עליו באחריות זו שלא ישא ויתן בהם.</w:t>
      </w:r>
    </w:p>
    <w:p w14:paraId="348FDC2C" w14:textId="217435A8" w:rsidR="00A622CB" w:rsidRDefault="00A622CB" w:rsidP="00A622CB">
      <w:pPr>
        <w:pStyle w:val="Style1"/>
        <w:rPr>
          <w:rtl/>
        </w:rPr>
      </w:pPr>
      <w:r>
        <w:rPr>
          <w:rFonts w:hint="cs"/>
          <w:rtl/>
        </w:rPr>
        <w:t>5)[</w:t>
      </w:r>
      <w:r>
        <w:rPr>
          <w:rtl/>
        </w:rPr>
        <w:t>שולחן ערוך אבן העזר הלכות יבום סימן קסח סעיף ה</w:t>
      </w:r>
      <w:r>
        <w:rPr>
          <w:rFonts w:hint="cs"/>
          <w:rtl/>
        </w:rPr>
        <w:t xml:space="preserve">] </w:t>
      </w:r>
      <w:r>
        <w:rPr>
          <w:rtl/>
        </w:rPr>
        <w:t>הניח פירות תלושין או מטלטלים, ימכרו, וילקח בהן קרקע והוא אוכל פירות. וה"ה אם הניח מעות. ואפילו אם היה הוא חייב לאחיו מנה, מוציאין מידו וילקח בהם קרקע והוא אוכל פירות. וי"א שבפירות תלושין ומטלטלין ומעות, משתמש בהם כמו שירצה. ואם כתוב בכתובה: מטלטלי אגב מקרקעי, לדברי הכל ילקח בהם קרקע והוא אוכל פירות. הגה: ומ"מ כל זמן שלא כנסה, אין נותנים הנכסים לידו, אלא מוציאין כל המטלטלין והמעות מידו ליד ב"ד או לאפוטרופוס, (אבל) הקרקעות הוא אוכל פירות (ב"י בשם הרשב"א).</w:t>
      </w:r>
    </w:p>
    <w:p w14:paraId="023B37C4" w14:textId="0A8BE034" w:rsidR="00094181" w:rsidRDefault="00094181" w:rsidP="00094181">
      <w:pPr>
        <w:pStyle w:val="Style1"/>
        <w:rPr>
          <w:rtl/>
        </w:rPr>
      </w:pPr>
      <w:r>
        <w:rPr>
          <w:rFonts w:hint="cs"/>
          <w:rtl/>
        </w:rPr>
        <w:t>6)[</w:t>
      </w:r>
      <w:r>
        <w:rPr>
          <w:rtl/>
        </w:rPr>
        <w:t>רמב</w:t>
      </w:r>
      <w:r w:rsidR="00213DA1">
        <w:rPr>
          <w:rtl/>
        </w:rPr>
        <w:t>”ם \נשים\</w:t>
      </w:r>
      <w:r>
        <w:rPr>
          <w:rtl/>
        </w:rPr>
        <w:t xml:space="preserve"> הלכות אישות פרק כב הלכה יב</w:t>
      </w:r>
      <w:r>
        <w:rPr>
          <w:rFonts w:hint="cs"/>
          <w:rtl/>
        </w:rPr>
        <w:t xml:space="preserve">] </w:t>
      </w:r>
      <w:r>
        <w:rPr>
          <w:rtl/>
        </w:rPr>
        <w:t>כנס את יבמתו והניח אחיו פירות מחוברין לקרקע ימכרו וילקח בהן קרקע והיבם אוכל פירותיהן.</w:t>
      </w:r>
    </w:p>
    <w:p w14:paraId="7195632A" w14:textId="715F65D8" w:rsidR="0021084F" w:rsidRDefault="0021084F" w:rsidP="0021084F">
      <w:pPr>
        <w:pStyle w:val="Style1"/>
        <w:rPr>
          <w:rtl/>
        </w:rPr>
      </w:pPr>
      <w:r>
        <w:rPr>
          <w:rFonts w:hint="cs"/>
          <w:rtl/>
        </w:rPr>
        <w:t>6)[</w:t>
      </w:r>
      <w:r>
        <w:rPr>
          <w:rtl/>
        </w:rPr>
        <w:t>שולחן ערוך אבן העזר הלכות יבום סימן קסח סעיף ד</w:t>
      </w:r>
      <w:r>
        <w:rPr>
          <w:rFonts w:hint="cs"/>
          <w:rtl/>
        </w:rPr>
        <w:t xml:space="preserve">] </w:t>
      </w:r>
      <w:r>
        <w:rPr>
          <w:rtl/>
        </w:rPr>
        <w:t>הניח אחיו פירות מחוברים לקרקע, ימכרו, וילקח בהם קרקע והוא אוכל פירות.</w:t>
      </w:r>
    </w:p>
    <w:p w14:paraId="73D30674" w14:textId="12278F50" w:rsidR="002E38E9" w:rsidRDefault="002E38E9" w:rsidP="002E38E9">
      <w:pPr>
        <w:pStyle w:val="Style1"/>
        <w:rPr>
          <w:rtl/>
        </w:rPr>
      </w:pPr>
      <w:r>
        <w:rPr>
          <w:rFonts w:hint="cs"/>
          <w:rtl/>
        </w:rPr>
        <w:t>7)[</w:t>
      </w:r>
      <w:r>
        <w:rPr>
          <w:rtl/>
        </w:rPr>
        <w:t>שולחן ערוך אבן העזר הלכות יבום סימן קסח סעיף א</w:t>
      </w:r>
      <w:r>
        <w:rPr>
          <w:rFonts w:hint="cs"/>
          <w:rtl/>
        </w:rPr>
        <w:t xml:space="preserve">] </w:t>
      </w:r>
      <w:r>
        <w:rPr>
          <w:rtl/>
        </w:rPr>
        <w:t>משייבם היבם את היבמה, הרי היא כאשתו לכל דבר, שיכול להוציאה בגט ויכול להחזירה.</w:t>
      </w:r>
    </w:p>
    <w:p w14:paraId="12B1ADBB" w14:textId="29090719" w:rsidR="003275A8" w:rsidRDefault="003275A8" w:rsidP="003275A8">
      <w:pPr>
        <w:pStyle w:val="Style1"/>
        <w:rPr>
          <w:rtl/>
        </w:rPr>
      </w:pPr>
      <w:r>
        <w:rPr>
          <w:rFonts w:hint="cs"/>
          <w:rtl/>
        </w:rPr>
        <w:t>8)[</w:t>
      </w:r>
      <w:r>
        <w:rPr>
          <w:rtl/>
        </w:rPr>
        <w:t>רמב</w:t>
      </w:r>
      <w:r w:rsidR="00213DA1">
        <w:rPr>
          <w:rtl/>
        </w:rPr>
        <w:t>”ם \נשים\</w:t>
      </w:r>
      <w:r>
        <w:rPr>
          <w:rtl/>
        </w:rPr>
        <w:t xml:space="preserve"> הלכות אישות פרק כב הלכה יא</w:t>
      </w:r>
      <w:r>
        <w:rPr>
          <w:rFonts w:hint="cs"/>
          <w:rtl/>
        </w:rPr>
        <w:t xml:space="preserve">] </w:t>
      </w:r>
      <w:r>
        <w:rPr>
          <w:rtl/>
        </w:rPr>
        <w:t>שומרת יבם כתובתה על כל נכסי בעלה, לפיכך אין היבם יכול למכור בנכסי אחיו בין קודם יבום בין אחר יבום, ואם מכר או נתן מתנה או חלק עם אחיו בנכסי המת בין קודם יבום בין אחר יבום לא עשה כלום, שכבר נתחייבו נכסים אלו לאלמנה לגבות מהן כתובתה.</w:t>
      </w:r>
    </w:p>
    <w:p w14:paraId="2FA55FCC" w14:textId="615CC97F" w:rsidR="00DC5D2A" w:rsidRDefault="00DC5D2A" w:rsidP="00DC5D2A">
      <w:pPr>
        <w:pStyle w:val="Style1"/>
        <w:rPr>
          <w:rtl/>
        </w:rPr>
      </w:pPr>
      <w:r>
        <w:rPr>
          <w:rFonts w:hint="cs"/>
          <w:rtl/>
        </w:rPr>
        <w:t>8)[</w:t>
      </w:r>
      <w:r>
        <w:rPr>
          <w:rtl/>
        </w:rPr>
        <w:t>רמב</w:t>
      </w:r>
      <w:r w:rsidR="00EC109D">
        <w:rPr>
          <w:rtl/>
        </w:rPr>
        <w:t>”ם \נשים\</w:t>
      </w:r>
      <w:r>
        <w:rPr>
          <w:rtl/>
        </w:rPr>
        <w:t xml:space="preserve"> הלכות יבום וחליצה פרק א הלכה א</w:t>
      </w:r>
      <w:r>
        <w:rPr>
          <w:rFonts w:hint="cs"/>
          <w:rtl/>
        </w:rPr>
        <w:t xml:space="preserve">] </w:t>
      </w:r>
      <w:r>
        <w:rPr>
          <w:rtl/>
        </w:rPr>
        <w:t xml:space="preserve">מצות עשה מן התורה שייבם אדם אשת אחיו מאביו בין מן הנשואין בין מן האירוסין אם מת בלא זרע שנ' </w:t>
      </w:r>
      <w:r w:rsidR="00F17C5D">
        <w:rPr>
          <w:rFonts w:hint="cs"/>
          <w:rtl/>
        </w:rPr>
        <w:t>(</w:t>
      </w:r>
      <w:r>
        <w:rPr>
          <w:rtl/>
        </w:rPr>
        <w:t>דברים כ"ה ה'</w:t>
      </w:r>
      <w:r w:rsidR="00F17C5D">
        <w:rPr>
          <w:rFonts w:hint="cs"/>
          <w:rtl/>
        </w:rPr>
        <w:t>)</w:t>
      </w:r>
      <w:r>
        <w:rPr>
          <w:rtl/>
        </w:rPr>
        <w:t xml:space="preserve"> ובן אין לו יבמה יבוא עליה, מן התורה אינו צריך לקדש יבמתו שזו אשתו היא שהקנו לו מן השמים אלא יבוא עליה וכתובתה על נכסי בעלה שמת.</w:t>
      </w:r>
    </w:p>
    <w:p w14:paraId="20B11C7C" w14:textId="6BE2DA71" w:rsidR="009F7B80" w:rsidRDefault="009F7B80" w:rsidP="009F7B80">
      <w:pPr>
        <w:pStyle w:val="Style1"/>
        <w:rPr>
          <w:rtl/>
        </w:rPr>
      </w:pPr>
      <w:r>
        <w:rPr>
          <w:rFonts w:hint="cs"/>
          <w:rtl/>
        </w:rPr>
        <w:t>8)[</w:t>
      </w:r>
      <w:r>
        <w:rPr>
          <w:rtl/>
        </w:rPr>
        <w:t>שולחן ערוך אבן העזר הלכות יבום סימן קסו סעיף ד</w:t>
      </w:r>
      <w:r>
        <w:rPr>
          <w:rFonts w:hint="cs"/>
          <w:rtl/>
        </w:rPr>
        <w:t>]</w:t>
      </w:r>
      <w:r w:rsidR="0081202A">
        <w:rPr>
          <w:rFonts w:hint="cs"/>
          <w:rtl/>
        </w:rPr>
        <w:t xml:space="preserve"> </w:t>
      </w:r>
      <w:r w:rsidR="0081202A" w:rsidRPr="0081202A">
        <w:rPr>
          <w:rtl/>
        </w:rPr>
        <w:t>כותב לה כתובה, ואין נכסי היבם משועבדים לה, שכתובתה על נכסי בעלה הראשון. ואם אין לראשון נכסים, כתובתה על נכסי היבם</w:t>
      </w:r>
      <w:r w:rsidR="0081202A" w:rsidRPr="0081202A">
        <w:t>:</w:t>
      </w:r>
    </w:p>
    <w:p w14:paraId="78E30AB2" w14:textId="3A8995B5" w:rsidR="0027051A" w:rsidRPr="0081202A" w:rsidRDefault="0027051A" w:rsidP="0027051A">
      <w:pPr>
        <w:pStyle w:val="Style1"/>
      </w:pPr>
      <w:r>
        <w:rPr>
          <w:rFonts w:hint="cs"/>
          <w:rtl/>
        </w:rPr>
        <w:t>8)[</w:t>
      </w:r>
      <w:r>
        <w:rPr>
          <w:rtl/>
        </w:rPr>
        <w:t>שולחן ערוך אבן העזר הלכות יבום סימן קסח סעיף ג</w:t>
      </w:r>
      <w:r>
        <w:rPr>
          <w:rFonts w:hint="cs"/>
          <w:rtl/>
        </w:rPr>
        <w:t xml:space="preserve">] </w:t>
      </w:r>
      <w:r>
        <w:rPr>
          <w:rtl/>
        </w:rPr>
        <w:t>יבמה, כתובתה על נכסי בעלה הראשון. לפיכך אין היבם רשאי למכור כלום מכל נכסי אחיו. ואם מכר או נתן מתנה, או חלק עם אחיו בנכסי המת, בין קודם יבום בין אחר יבום, לא עשה כלום.</w:t>
      </w:r>
    </w:p>
    <w:p w14:paraId="6CC01901" w14:textId="77777777" w:rsidR="005333F9" w:rsidRPr="005333F9" w:rsidRDefault="005333F9" w:rsidP="005333F9">
      <w:pPr>
        <w:pStyle w:val="Style1"/>
      </w:pPr>
    </w:p>
    <w:p w14:paraId="45609BCF" w14:textId="1E22BF7D" w:rsidR="000C2FD9" w:rsidRPr="00C7274A" w:rsidRDefault="000C2FD9" w:rsidP="000C2FD9">
      <w:pPr>
        <w:pStyle w:val="Style1"/>
      </w:pPr>
    </w:p>
    <w:p w14:paraId="7012E4CD" w14:textId="12D7BE7A" w:rsidR="0000635C" w:rsidRPr="005E06A6" w:rsidRDefault="0000635C" w:rsidP="0000635C">
      <w:pPr>
        <w:pStyle w:val="Style1"/>
      </w:pPr>
    </w:p>
    <w:p w14:paraId="694868DA" w14:textId="5FDBA0AD" w:rsidR="00B567EF" w:rsidRPr="005E06A6" w:rsidRDefault="00B567EF" w:rsidP="005E06A6">
      <w:pPr>
        <w:pStyle w:val="Style1"/>
        <w:rPr>
          <w:rStyle w:val="Style1Char"/>
          <w:rtl/>
        </w:rPr>
      </w:pPr>
    </w:p>
    <w:p w14:paraId="7C09325D" w14:textId="77777777" w:rsidR="00B2458D" w:rsidRPr="008F2AB0" w:rsidRDefault="00B2458D" w:rsidP="00B2458D">
      <w:pPr>
        <w:bidi/>
        <w:rPr>
          <w:rStyle w:val="Style1Char"/>
          <w:color w:val="4472C4" w:themeColor="accent1"/>
        </w:rPr>
      </w:pPr>
      <w:r w:rsidRPr="008F2AB0">
        <w:rPr>
          <w:rStyle w:val="Style1Char"/>
          <w:color w:val="4472C4" w:themeColor="accent1"/>
          <w:rtl/>
        </w:rPr>
        <w:t xml:space="preserve"> </w:t>
      </w:r>
    </w:p>
    <w:p w14:paraId="07DE0A1B" w14:textId="77777777" w:rsidR="00B2458D" w:rsidRPr="00F16D07" w:rsidRDefault="00B2458D" w:rsidP="00B2458D">
      <w:pPr>
        <w:bidi/>
        <w:rPr>
          <w:rStyle w:val="Style1Char"/>
          <w:color w:val="00B050"/>
          <w:rtl/>
        </w:rPr>
      </w:pPr>
    </w:p>
    <w:p w14:paraId="6C366C12" w14:textId="77777777" w:rsidR="00B2458D" w:rsidRPr="00222285" w:rsidRDefault="00B2458D" w:rsidP="00B2458D">
      <w:pPr>
        <w:bidi/>
        <w:rPr>
          <w:rStyle w:val="Style1Char"/>
          <w:color w:val="00B050"/>
          <w:rtl/>
        </w:rPr>
      </w:pPr>
    </w:p>
    <w:p w14:paraId="7EDCEC91" w14:textId="77777777" w:rsidR="00B2458D" w:rsidRDefault="00B2458D" w:rsidP="00B2458D">
      <w:pPr>
        <w:rPr>
          <w:rStyle w:val="Style1Char"/>
          <w:color w:val="00B050"/>
          <w:rtl/>
        </w:rPr>
      </w:pPr>
      <w:r>
        <w:rPr>
          <w:rStyle w:val="Style1Char"/>
          <w:color w:val="00B050"/>
          <w:rtl/>
        </w:rPr>
        <w:br w:type="page"/>
      </w:r>
    </w:p>
    <w:p w14:paraId="7C6C6498" w14:textId="609F2975" w:rsidR="00B2458D" w:rsidRDefault="00B2458D" w:rsidP="00B2458D">
      <w:pPr>
        <w:bidi/>
        <w:rPr>
          <w:rStyle w:val="Style1Char"/>
          <w:color w:val="4472C4" w:themeColor="accent1"/>
          <w:rtl/>
        </w:rPr>
      </w:pPr>
      <w:r w:rsidRPr="00F16D07">
        <w:rPr>
          <w:rStyle w:val="Style1Char"/>
          <w:color w:val="auto"/>
          <w:sz w:val="22"/>
          <w:szCs w:val="22"/>
          <w:rtl/>
        </w:rPr>
        <w:lastRenderedPageBreak/>
        <w:t>[</w:t>
      </w:r>
      <w:r w:rsidRPr="00F16D07">
        <w:rPr>
          <w:rStyle w:val="Style1Char"/>
          <w:color w:val="auto"/>
          <w:sz w:val="22"/>
          <w:szCs w:val="22"/>
          <w:highlight w:val="yellow"/>
          <w:rtl/>
        </w:rPr>
        <w:t>דף פא עמוד א]</w:t>
      </w:r>
      <w:r w:rsidRPr="00F16D07">
        <w:rPr>
          <w:rStyle w:val="Style1Char"/>
          <w:color w:val="auto"/>
          <w:sz w:val="22"/>
          <w:szCs w:val="22"/>
          <w:rtl/>
        </w:rPr>
        <w:t xml:space="preserve"> יורשיה </w:t>
      </w:r>
      <w:r w:rsidR="0001720A">
        <w:rPr>
          <w:rStyle w:val="Style1Char"/>
          <w:rFonts w:hint="cs"/>
          <w:rtl/>
        </w:rPr>
        <w:t>(1)</w:t>
      </w:r>
      <w:r w:rsidRPr="00F16D07">
        <w:rPr>
          <w:rStyle w:val="Style1Char"/>
          <w:color w:val="auto"/>
          <w:sz w:val="22"/>
          <w:szCs w:val="22"/>
          <w:rtl/>
        </w:rPr>
        <w:t>יורשי כתובתה חייבין בקבורתה</w:t>
      </w:r>
      <w:r w:rsidRPr="00F16D07">
        <w:rPr>
          <w:rStyle w:val="Style1Char"/>
          <w:color w:val="auto"/>
          <w:rtl/>
        </w:rPr>
        <w:t xml:space="preserve"> </w:t>
      </w:r>
      <w:r w:rsidRPr="00293059">
        <w:rPr>
          <w:rStyle w:val="Style1Char"/>
          <w:color w:val="C00000"/>
          <w:sz w:val="22"/>
          <w:szCs w:val="22"/>
          <w:rtl/>
        </w:rPr>
        <w:t>ש"מ יורשי הבעל חייבין בקבורתה</w:t>
      </w:r>
      <w:r w:rsidRPr="00952CA4">
        <w:rPr>
          <w:rStyle w:val="Style1Char"/>
          <w:color w:val="00B050"/>
          <w:rtl/>
        </w:rPr>
        <w:t xml:space="preserve">. </w:t>
      </w:r>
      <w:r w:rsidRPr="00F16D07">
        <w:rPr>
          <w:rStyle w:val="Style1Char"/>
          <w:color w:val="auto"/>
          <w:sz w:val="22"/>
          <w:szCs w:val="22"/>
          <w:rtl/>
        </w:rPr>
        <w:t>אמר אביי, אף אנן נמי תנינא: אלמנה ניזונת מנכסי יתומין, ומעשה ידיה שלהן, ואין חייבין בקבורתה, יורשיה יורשי כתובתה חייבין בקבורתה, ואיזוהי אלמנה שיש לה שני יורשין? הוי אומר: זו שומרת יבם</w:t>
      </w:r>
      <w:r w:rsidRPr="00293059">
        <w:rPr>
          <w:rStyle w:val="Style1Char"/>
          <w:sz w:val="22"/>
          <w:szCs w:val="22"/>
          <w:rtl/>
        </w:rPr>
        <w:t>.</w:t>
      </w:r>
      <w:r w:rsidRPr="00952CA4">
        <w:rPr>
          <w:rStyle w:val="Style1Char"/>
          <w:color w:val="00B050"/>
          <w:rtl/>
        </w:rPr>
        <w:t xml:space="preserve"> אמר רבא, ולימא: אח אני יורש, אשתו אין אני קובר! אמר ליה אביי: משום דבאין עליו משני צדדין, אם אחיו יורש - יקבור את אשתו, אם אינו קובר את אשתו - יתן כתובתה. אמר ליה, הכי קא אמינא: אח אני יורש, את אשתו אין אני קובר, ואי משום כתובה, </w:t>
      </w:r>
      <w:r w:rsidR="0001720A">
        <w:rPr>
          <w:rStyle w:val="Style1Char"/>
          <w:rFonts w:hint="cs"/>
          <w:rtl/>
        </w:rPr>
        <w:t>(2)</w:t>
      </w:r>
      <w:r w:rsidRPr="00952CA4">
        <w:rPr>
          <w:rStyle w:val="Style1Char"/>
          <w:color w:val="00B050"/>
          <w:rtl/>
        </w:rPr>
        <w:t xml:space="preserve">לא ניתנה כתובה לגבות מחיים! מאן שמעת ליה דאית ליה מדרש כתובה? בית שמאי, ושמעינן להו לב"ש דאמרי: שטר העומד לגבות כגבוי דמי; דתנן: מתו בעליהן עד שלא שתו, בש"א: נוטלות כתובתה ולא שותות, ובה"א: או שותות או לא נוטלות כתובה. או שותות? והביא האיש את אשתו אל הכהן אמר רחמנא וליכא! אלא, </w:t>
      </w:r>
      <w:r w:rsidR="00E53D30">
        <w:rPr>
          <w:rStyle w:val="Style1Char"/>
          <w:rFonts w:hint="cs"/>
          <w:rtl/>
        </w:rPr>
        <w:t>(3)</w:t>
      </w:r>
      <w:r w:rsidRPr="00952CA4">
        <w:rPr>
          <w:rStyle w:val="Style1Char"/>
          <w:color w:val="00B050"/>
          <w:rtl/>
        </w:rPr>
        <w:t>מתוך שלא שותות לא נוטלות כתובה. בית שמאי אומרים: נוטלות כתובה ולא שותות. ואמאי? ספיקא הוא, ספק זנאי ספק לא זנאי, וקאתי ספק ומוציא מידי ודאי! קסברי בית שמאי: שטר העומד לגבות כגבוי דמי. והא בעינן כשתנשאי לאחר תטלי מה שכתוב ליכי וליכא! אמר רב אשי: יבם נמי כאחר דמי. שלח ליה רבא לאביי ביד רב שמעיה בר זירא: ומי נתנה כתובה לגבות מחיים? וה</w:t>
      </w:r>
      <w:r w:rsidRPr="002301CA">
        <w:rPr>
          <w:rStyle w:val="Style1Char"/>
          <w:color w:val="auto"/>
          <w:sz w:val="22"/>
          <w:szCs w:val="22"/>
          <w:rtl/>
        </w:rPr>
        <w:t xml:space="preserve">תניא: ר' אבא אומר, שאלתי את סומכוס: הרוצה שימכור בנכסי אחיו, כיצד הוא עושה? אם כהן הוא - יעשה סעודה ויפייס, אם ישראל הוא - מגרש בגט ויחזיר; </w:t>
      </w:r>
      <w:r w:rsidRPr="008F2AB0">
        <w:rPr>
          <w:rStyle w:val="Style1Char"/>
          <w:color w:val="4472C4" w:themeColor="accent1"/>
          <w:rtl/>
        </w:rPr>
        <w:t xml:space="preserve">פירש רש"י מגרשה ומגבה לה כתובתה ומוכר מה שירצה ומחזירה ע"מ כתובתה הראשונה. או אפילו רצה להחזירה מיד מוכר כל זמן שירצה. שאין מעכבת מלמכור אלא יבמה שאין היבם כותב לה כתובה. ולא כתב דקנאי ודקנינא ואין כתובתה אלא על נכסי בעלה הראשון. אבל אי כתב לה כתובה כשמחזירה וכתב לה דקנאי ודקנינא לא מצי מעכבא </w:t>
      </w:r>
      <w:r>
        <w:rPr>
          <w:rStyle w:val="Style1Char"/>
          <w:rFonts w:hint="cs"/>
          <w:color w:val="4472C4" w:themeColor="accent1"/>
        </w:rPr>
        <w:t>‍</w:t>
      </w:r>
      <w:r w:rsidRPr="008F2AB0">
        <w:rPr>
          <w:rStyle w:val="Style1Char"/>
          <w:color w:val="4472C4" w:themeColor="accent1"/>
          <w:rtl/>
        </w:rPr>
        <w:t>ואי תיקשי לך הא אמרי' במתני' החזירה הרי היא ככל הנשים ואין לה כתובה. אלמא כשמחזירה כתובתה על נכסי בעלה הראשון כאשר בתחלה ולא על השני. י"ל היינו כשמחזירה סתם. אבל הכא יתנה שכתובתה על נכסיו ויכתוב לה דקנאי ודקנינא וכן שנינו בתוספתא (פ"ט) כונס ומגרש ושוברת לו על כתובתה</w:t>
      </w:r>
      <w:r>
        <w:rPr>
          <w:rStyle w:val="Style1Char"/>
          <w:rFonts w:hint="cs"/>
          <w:color w:val="4472C4" w:themeColor="accent1"/>
        </w:rPr>
        <w:t>‍</w:t>
      </w:r>
      <w:r w:rsidRPr="008F2AB0">
        <w:rPr>
          <w:rStyle w:val="Style1Char"/>
          <w:color w:val="4472C4" w:themeColor="accent1"/>
          <w:rtl/>
        </w:rPr>
        <w:t xml:space="preserve"> אבל בלא גירושין לא היתה מתרצה שיכתוב לה דקנאי ודקנינא וימכור נכסי בעלה הראשון</w:t>
      </w:r>
      <w:r w:rsidRPr="008F2AB0">
        <w:rPr>
          <w:rStyle w:val="Style1Char"/>
          <w:color w:val="4472C4" w:themeColor="accent1"/>
        </w:rPr>
        <w:t>:</w:t>
      </w:r>
    </w:p>
    <w:p w14:paraId="5E56E254" w14:textId="7E994DFA" w:rsidR="002F7DA8" w:rsidRDefault="002F7DA8" w:rsidP="002F7DA8">
      <w:pPr>
        <w:pStyle w:val="Style1"/>
        <w:rPr>
          <w:rtl/>
        </w:rPr>
      </w:pPr>
      <w:r>
        <w:rPr>
          <w:rFonts w:hint="cs"/>
          <w:rtl/>
        </w:rPr>
        <w:t>1)[</w:t>
      </w:r>
      <w:r>
        <w:rPr>
          <w:rtl/>
        </w:rPr>
        <w:t>רמב</w:t>
      </w:r>
      <w:r w:rsidR="00213DA1">
        <w:rPr>
          <w:rtl/>
        </w:rPr>
        <w:t>”ם \נשים\</w:t>
      </w:r>
      <w:r>
        <w:rPr>
          <w:rtl/>
        </w:rPr>
        <w:t xml:space="preserve"> הלכות אישות פרק כב הלכה י</w:t>
      </w:r>
      <w:r>
        <w:rPr>
          <w:rFonts w:hint="cs"/>
          <w:rtl/>
        </w:rPr>
        <w:t xml:space="preserve">] </w:t>
      </w:r>
      <w:r>
        <w:rPr>
          <w:rtl/>
        </w:rPr>
        <w:t>שומרת יבם יש לה למכור וליתן בנכסים שנפלו לה כשהיא שומרת יבם ואין ליבם פירות ואפילו בנכסי צאן ברזל שהכניסה לאחיו עד שיכנוס, מתה כשהיא שומרת יבם יורשיה מאביה יורשין נכסי מלוג שלה וחצי נכסי צאן ברזל ויורשי הבעל יורשין כתובתה וחצי נכסי צאן ברזל, ויורשי הבעל חייבין בקבורתה. /השגת הראב"ד/ שומרת יבם יש לה למכור וליתן בנכסים שנפלו לה כשהיא שומרת יבם ואין ליבם פירות ואפילו בנכסי צאן ברזל. א"א טעה בכל אלה דכיון [דנכסי מלוג דומיא דנכסי צאן ברזל שנפלו לה תחתיו דבעל יש ליבם חלק בפירות דכיון] דנפלו לה כשהיא תחתיו דבעל וזכה בהן הבעל ידו עדיפא מידה וגבי יבם ידו כידה וחולק עמה בפירות (נכסי מלוג), ובנכסי צאן ברזל הכל שלו ואם מתה הוא יורש אותם כעיקר כתובתה דבמקום יבם כל מה שכתב לה בכתובתה הרי הוא בחזקתו כעיקר הכתובה, וכמדומה לי שטעה במשנה זו משום משנת מי שמת (ב"ב קנח) שגורסין בה וכתובה בחזקת יורשי הבעל ופירשו הגאונים שהמחלוקת שאמרו ב"ה נכסים בחזקתן ופירשו בה שיחלוקו, בנכסי צאן ברזל היא שנויה ודמה שמשנה זו דומה לה ואינו כן דבמקום יבם כל מה שכתב לה בכתובתה כעיקר כתובה היא.</w:t>
      </w:r>
    </w:p>
    <w:p w14:paraId="098FEFEC" w14:textId="4CF03777" w:rsidR="002F7DA8" w:rsidRPr="005333F9" w:rsidRDefault="002F7DA8" w:rsidP="002F7DA8">
      <w:pPr>
        <w:pStyle w:val="Style1"/>
      </w:pPr>
      <w:r>
        <w:rPr>
          <w:rFonts w:hint="cs"/>
          <w:rtl/>
        </w:rPr>
        <w:t>1)[</w:t>
      </w:r>
      <w:r>
        <w:rPr>
          <w:rtl/>
        </w:rPr>
        <w:t>שולחן ערוך אבן העזר הלכות יבום סימן קס סעיף ז</w:t>
      </w:r>
      <w:r>
        <w:rPr>
          <w:rFonts w:hint="cs"/>
          <w:rtl/>
        </w:rPr>
        <w:t xml:space="preserve">] </w:t>
      </w:r>
      <w:r w:rsidRPr="005333F9">
        <w:rPr>
          <w:rtl/>
        </w:rPr>
        <w:t>מתה כשהיא שומרת יבם, יורשיה יורשין נכסי מלוג שלה וחצי נכסי צאן ברזל</w:t>
      </w:r>
      <w:r w:rsidRPr="005333F9">
        <w:t>. </w:t>
      </w:r>
      <w:r w:rsidRPr="005333F9">
        <w:rPr>
          <w:rFonts w:hint="cs"/>
          <w:rtl/>
        </w:rPr>
        <w:t>וכן אם נתן לה היבם מתנה, יורשיה יורשין אותה (מהר"ם פדוואה סימן י"ז)</w:t>
      </w:r>
      <w:r w:rsidRPr="005333F9">
        <w:t xml:space="preserve">. </w:t>
      </w:r>
      <w:r w:rsidRPr="005333F9">
        <w:rPr>
          <w:rtl/>
        </w:rPr>
        <w:t>ויורשי הבעל יורשים עקר כתבה ותוספת וחצי נכסי צאן ברזל, ויורשי הבעל חיבים בקבורתה</w:t>
      </w:r>
      <w:r w:rsidRPr="005333F9">
        <w:t>.</w:t>
      </w:r>
    </w:p>
    <w:p w14:paraId="71F3F8D0" w14:textId="38AAE7A0" w:rsidR="002F7DA8" w:rsidRDefault="002F7DA8" w:rsidP="002F7DA8">
      <w:pPr>
        <w:pStyle w:val="Style1"/>
        <w:rPr>
          <w:rtl/>
        </w:rPr>
      </w:pPr>
      <w:r w:rsidRPr="005333F9">
        <w:rPr>
          <w:rFonts w:hint="cs"/>
          <w:rtl/>
        </w:rPr>
        <w:t>הגה: ויש אומרים דכל נכסי צאן ברזל שלה הם בחזקת יורשי הבעל, כמו הכתבה (ר"ת והרא"ש), ואין מוציאין מידם אם הם מחזקים (כ"כ הר"ן בתשובה). וכל זה במקום ובזמן שאין כופין לחלץ, אבל במקום ובזמן שכופין לחלץ, אם כן לא היתה ראויה להתיבם, יש אומרים דאין הנכסים בחזקת יבם, ולכך אם מתה אינה יורשה; ולכך, במדינות שכופין לחלץ, אינו יורשה לדעת זה (מהרי"ק שרש צ"א). ולענין מי נקרא יורשי הבעל, צריך עיון, כי יש אומרים שהיבם הוא יורש אף על גב דאביהם עדין חי, והוא קודם בירשת הבעל לכל יוצאי ירכו (מהרי"ו סימן מ"א והר"ן פרק האשה ומהר"ם פדוואה סימן י"ז). ויש אומרים דהאב יורש, דמיד שמתה היבמה פקעה זקת יבמים, ונפלה הירשה לפני הקודם בירשת הבעל (מהרי"ק שרש צ"א). ואף על פי שהסברא נותנת כסברא האחרונה, וכן משמע קצת לשון "יורשי הבעל", אבל סוגית הגמרא והירושלמי פרק האשה שנפלו משמע שהיבם יורש השומרת יבם, ואם כן אין לאב חלק בירשתה, וכסברא הראשונה. ואם היבמים רבים, עין לקמן </w:t>
      </w:r>
      <w:hyperlink r:id="rId200" w:tooltip="שולחן ערוך אבן העזר קסה" w:history="1">
        <w:r w:rsidRPr="005333F9">
          <w:rPr>
            <w:rStyle w:val="Hyperlink"/>
            <w:rFonts w:hint="cs"/>
            <w:color w:val="7030A0"/>
            <w:u w:val="none"/>
            <w:rtl/>
          </w:rPr>
          <w:t>סי' קס"ה</w:t>
        </w:r>
      </w:hyperlink>
      <w:r w:rsidRPr="005333F9">
        <w:t>:</w:t>
      </w:r>
    </w:p>
    <w:p w14:paraId="0F84AFC2" w14:textId="0074713E" w:rsidR="00CE296B" w:rsidRDefault="00CE296B" w:rsidP="00CE296B">
      <w:pPr>
        <w:pStyle w:val="Style1"/>
        <w:rPr>
          <w:rtl/>
        </w:rPr>
      </w:pPr>
      <w:r>
        <w:rPr>
          <w:rFonts w:hint="cs"/>
          <w:rtl/>
        </w:rPr>
        <w:t>2)[</w:t>
      </w:r>
      <w:r>
        <w:rPr>
          <w:rtl/>
        </w:rPr>
        <w:t>רמב</w:t>
      </w:r>
      <w:r w:rsidR="00213DA1">
        <w:rPr>
          <w:rtl/>
        </w:rPr>
        <w:t>”ם \נשים\</w:t>
      </w:r>
      <w:r>
        <w:rPr>
          <w:rtl/>
        </w:rPr>
        <w:t xml:space="preserve"> הלכות אישות פרק טז הלכה ג</w:t>
      </w:r>
      <w:r>
        <w:rPr>
          <w:rFonts w:hint="cs"/>
          <w:rtl/>
        </w:rPr>
        <w:t xml:space="preserve">] </w:t>
      </w:r>
      <w:r>
        <w:rPr>
          <w:rtl/>
        </w:rPr>
        <w:t>כבר הודענו שחכמים תקנו כתובה לאשה, ודין התוספת כדין העיקר, ולא תקנוה לגבותה כל זמן שתרצה אלא הרי היא כחוב שיש לו זמן ואין הכתובה נגבית אלא לאחר מיתת הבעל או אם גירשה. וכן התקינו שאם היה לבעל שדות טובות ורעות ובינוניות ובאה האשה לגבות כתובתה ממנו שלא תגבה אלא מן הרעה שבנכסיו והיא הנקראת זיבורית.</w:t>
      </w:r>
    </w:p>
    <w:p w14:paraId="2C006D12" w14:textId="4FE8662B" w:rsidR="000F301C" w:rsidRPr="000F301C" w:rsidRDefault="000E380C" w:rsidP="000F301C">
      <w:pPr>
        <w:pStyle w:val="Style1"/>
      </w:pPr>
      <w:r>
        <w:rPr>
          <w:rFonts w:hint="cs"/>
          <w:rtl/>
        </w:rPr>
        <w:t>2)[</w:t>
      </w:r>
      <w:r>
        <w:rPr>
          <w:rtl/>
        </w:rPr>
        <w:t>שולחן ערוך אבן העזר הלכות כתובות סימן צג סעיף א</w:t>
      </w:r>
      <w:r>
        <w:rPr>
          <w:rFonts w:hint="cs"/>
          <w:rtl/>
        </w:rPr>
        <w:t>]</w:t>
      </w:r>
      <w:r w:rsidR="000F301C">
        <w:rPr>
          <w:rFonts w:hint="cs"/>
          <w:rtl/>
        </w:rPr>
        <w:t xml:space="preserve"> </w:t>
      </w:r>
      <w:r w:rsidR="000F301C" w:rsidRPr="000F301C">
        <w:rPr>
          <w:rtl/>
        </w:rPr>
        <w:t>הכתובה הרי היא כחוב שיש לו זמן, ואינה נגבית אלא לאחר מיתת הבעל, או אם גרשה</w:t>
      </w:r>
      <w:r w:rsidR="000F301C" w:rsidRPr="000F301C">
        <w:t>. </w:t>
      </w:r>
      <w:r w:rsidR="000F301C" w:rsidRPr="000F301C">
        <w:rPr>
          <w:rFonts w:hint="cs"/>
          <w:rtl/>
        </w:rPr>
        <w:t>הגה: והוא הדין מה שקבל בנדוניא. ועיין לעיל </w:t>
      </w:r>
      <w:hyperlink r:id="rId201" w:anchor="%D7%A1%D7%A2%D7%99%D7%A3_%D7%99%D7%90" w:tooltip="שולחן ערוך אבן העזר סו" w:history="1">
        <w:r w:rsidR="000F301C" w:rsidRPr="000F301C">
          <w:rPr>
            <w:rStyle w:val="Hyperlink"/>
            <w:rFonts w:hint="cs"/>
            <w:color w:val="7030A0"/>
            <w:u w:val="none"/>
            <w:rtl/>
          </w:rPr>
          <w:t>סימן ס"ו סעיף י"א</w:t>
        </w:r>
      </w:hyperlink>
      <w:r w:rsidR="000F301C" w:rsidRPr="000F301C">
        <w:rPr>
          <w:rFonts w:hint="cs"/>
        </w:rPr>
        <w:t>.</w:t>
      </w:r>
    </w:p>
    <w:p w14:paraId="276517BF" w14:textId="7FF09FC4" w:rsidR="000F301C" w:rsidRDefault="000F301C" w:rsidP="000F301C">
      <w:pPr>
        <w:pStyle w:val="Style1"/>
        <w:rPr>
          <w:rtl/>
        </w:rPr>
      </w:pPr>
      <w:r w:rsidRPr="000F301C">
        <w:rPr>
          <w:rtl/>
        </w:rPr>
        <w:t>כתב לה מתנות, הם נגבות מחיים; מיהו, אם דרך המקום לכתוב כן לכבוד בעלמא ושלא לגבותן מחיים, הולכין אחר המנהג (במישרים בשם גאון, ודלא כרשב"א). ולא יוכל האב להתנות על בתו בשום דבר לאחר שנשאת, אבל אם הוא משיאה יכול להתנות על מתנותיה לשנות מן המנהג קודם שנשאת, כפי רצונו. ועיין </w:t>
      </w:r>
      <w:hyperlink r:id="rId202" w:anchor="%D7%A1%D7%A2%D7%99%D7%A3_%D7%9B%D7%93" w:tooltip="שולחן ערוך חושן משפט צז" w:history="1">
        <w:r w:rsidRPr="000F301C">
          <w:rPr>
            <w:rStyle w:val="Hyperlink"/>
            <w:color w:val="7030A0"/>
            <w:u w:val="none"/>
            <w:rtl/>
          </w:rPr>
          <w:t>בחשן המשפט סימן צ"ז סעיף כ"ד</w:t>
        </w:r>
      </w:hyperlink>
      <w:r w:rsidRPr="000F301C">
        <w:t>:</w:t>
      </w:r>
    </w:p>
    <w:p w14:paraId="5870484E" w14:textId="1653BBF4" w:rsidR="00A11B75" w:rsidRPr="00A11B75" w:rsidRDefault="007010AA" w:rsidP="00A11B75">
      <w:pPr>
        <w:pStyle w:val="Style1"/>
      </w:pPr>
      <w:r>
        <w:rPr>
          <w:rFonts w:hint="cs"/>
          <w:rtl/>
        </w:rPr>
        <w:t>2)[</w:t>
      </w:r>
      <w:r>
        <w:rPr>
          <w:rtl/>
        </w:rPr>
        <w:t>שולחן ערוך חושן משפט הלכות גביית מלוה סימן צז סעיף כד</w:t>
      </w:r>
      <w:r>
        <w:rPr>
          <w:rFonts w:hint="cs"/>
          <w:rtl/>
        </w:rPr>
        <w:t>]</w:t>
      </w:r>
      <w:r w:rsidR="00A11B75">
        <w:rPr>
          <w:rFonts w:hint="cs"/>
          <w:rtl/>
        </w:rPr>
        <w:t xml:space="preserve"> </w:t>
      </w:r>
      <w:r w:rsidR="00A11B75" w:rsidRPr="00A11B75">
        <w:rPr>
          <w:rtl/>
        </w:rPr>
        <w:t>אין צריך לומר שלא תטול אשתו ממזונותיה להבא אלא אפילו תפסה מנכסי בעלה כגון שהלך למדינת הים ותפסה מנכסיו שתזון מהם מוציאין מידה ונותנים למלוה שאין לאשה מזונו' לא מקרקעי ולא ממטלטלי עד שיפרע המלוה אפילו היתה קודמת ואפי' הלך בעלה למדינת הים ולותה בשטר ואכלה אע"פ שקדמה הלואת מזונותיה בשטר להלואתו של בעל השטר אין הלואת המזונו' נגבית עד שיפרע בעל השטר תחלה ואם המלוה שעל הבעל היתה על פה והיא לותה לצורך מזונותיה על פה או בשטר איזה מהם שיבא לגבות תחלה קודם ואם באו שניהם כאחד חולקים</w:t>
      </w:r>
      <w:r w:rsidR="00A11B75" w:rsidRPr="00A11B75">
        <w:t>:</w:t>
      </w:r>
    </w:p>
    <w:p w14:paraId="6692C727" w14:textId="2F534228" w:rsidR="00A11B75" w:rsidRDefault="00A11B75" w:rsidP="00A11B75">
      <w:pPr>
        <w:pStyle w:val="Style1"/>
        <w:rPr>
          <w:rtl/>
        </w:rPr>
      </w:pPr>
      <w:r w:rsidRPr="00A11B75">
        <w:rPr>
          <w:rFonts w:hint="cs"/>
          <w:rtl/>
        </w:rPr>
        <w:t>הגה: מיהו אם מעות נדוניאה עדיין בידה או ברשות אביה יכולה לתפסם למזונותיה (מרדכי ס"פ אע"פ) היה חייב לעובדי כוכבים ותבעוהו בדיני עכו"ם ובאתה האשה עם כתובתה וסלקה העכו"ם בעלי חובות כי כן הוא בדיניהם להגבות לאשה נדוניתה תחלה ובא אח"כ מלוה ישראל לתבוע חובו ולהוציא מיד האשה מה שגבתה בדיני עכו"ם הדין עם המלוה דהרי הכתובה והנדונינא לא נתנה לגבות מחיים (ר"י נכ"ג ח"י) (כמו שנתבאר </w:t>
      </w:r>
      <w:hyperlink r:id="rId203" w:tooltip="שולחן ערוך אבן העזר נג" w:history="1">
        <w:r w:rsidRPr="00A11B75">
          <w:rPr>
            <w:rStyle w:val="Hyperlink"/>
            <w:rFonts w:hint="cs"/>
            <w:color w:val="7030A0"/>
            <w:u w:val="none"/>
            <w:rtl/>
          </w:rPr>
          <w:t>באה"ע סי' נ"ג</w:t>
        </w:r>
      </w:hyperlink>
      <w:r w:rsidRPr="00A11B75">
        <w:rPr>
          <w:rFonts w:hint="cs"/>
        </w:rPr>
        <w:t>)</w:t>
      </w:r>
      <w:r w:rsidRPr="00A11B75">
        <w:t>:</w:t>
      </w:r>
    </w:p>
    <w:p w14:paraId="281DC363" w14:textId="176A7E0E" w:rsidR="00437E8D" w:rsidRDefault="00437E8D" w:rsidP="007152EC">
      <w:pPr>
        <w:pStyle w:val="Style1"/>
        <w:rPr>
          <w:rtl/>
        </w:rPr>
      </w:pPr>
      <w:r>
        <w:rPr>
          <w:rFonts w:hint="cs"/>
          <w:rtl/>
        </w:rPr>
        <w:t>3)[</w:t>
      </w:r>
      <w:r>
        <w:rPr>
          <w:rtl/>
        </w:rPr>
        <w:t>רמב</w:t>
      </w:r>
      <w:r w:rsidR="00C764B2">
        <w:rPr>
          <w:rtl/>
        </w:rPr>
        <w:t>”ם \נשים\</w:t>
      </w:r>
      <w:r>
        <w:rPr>
          <w:rtl/>
        </w:rPr>
        <w:t xml:space="preserve"> הלכות סוטה פרק ב הלכה ז</w:t>
      </w:r>
      <w:r w:rsidR="007152EC">
        <w:rPr>
          <w:rFonts w:hint="cs"/>
          <w:rtl/>
        </w:rPr>
        <w:t xml:space="preserve">] </w:t>
      </w:r>
      <w:r>
        <w:rPr>
          <w:rtl/>
        </w:rPr>
        <w:t>מעוברת ומניקה מקנא לה ומשקה אותה כמות שהיא, אשה העומדת לשתות ומת בעלה קודם שתשתה אינה שותה ולא נוטלת כתובתה.</w:t>
      </w:r>
    </w:p>
    <w:p w14:paraId="57FE6866" w14:textId="77777777" w:rsidR="009F0367" w:rsidRDefault="009F0367" w:rsidP="009F0367">
      <w:pPr>
        <w:pStyle w:val="Style1"/>
      </w:pPr>
      <w:r>
        <w:rPr>
          <w:rFonts w:hint="cs"/>
          <w:rtl/>
        </w:rPr>
        <w:t>)[</w:t>
      </w:r>
      <w:r>
        <w:rPr>
          <w:rtl/>
        </w:rPr>
        <w:t>טור אבן העזר הלכות כתובות סימן קטו</w:t>
      </w:r>
      <w:r>
        <w:rPr>
          <w:rFonts w:hint="cs"/>
          <w:rtl/>
        </w:rPr>
        <w:t xml:space="preserve">] </w:t>
      </w:r>
      <w:r>
        <w:rPr>
          <w:rtl/>
        </w:rPr>
        <w:t xml:space="preserve">אלו יוצאות בלא כתובה </w:t>
      </w:r>
      <w:r>
        <w:rPr>
          <w:rFonts w:hint="cs"/>
        </w:rPr>
        <w:t>‍</w:t>
      </w:r>
      <w:r>
        <w:rPr>
          <w:rtl/>
        </w:rPr>
        <w:t xml:space="preserve">העוברת על דת משה ויהודית ואיזו היא דת משה מאכילתו שאינו מעושר או אחד מכל האיסורים כגון דם או חלב שהכשילתו ואכלו על פיה ונודע לו אח"כ כגון </w:t>
      </w:r>
      <w:r>
        <w:rPr>
          <w:rFonts w:hint="cs"/>
        </w:rPr>
        <w:t>‍</w:t>
      </w:r>
      <w:r>
        <w:rPr>
          <w:rtl/>
        </w:rPr>
        <w:t xml:space="preserve">שאמרה פלוני חכם תקן לי הכרי הזה או התיר לי חתיכה זו או טיהר לי הדם הזה ונמצאת שקרנית ודוקא שהוכחשה בעדים כגון שהעידו שבאותה שעה שאמרה שפלוני תקן לה שלא היה אותו פלוני בעיר וגם יש עדים שאמרה לו שהוא מתוקן ושהוא אכלו על פיה אבל אם אין עדים והיא כופרת שלא האכילתו </w:t>
      </w:r>
      <w:r>
        <w:rPr>
          <w:rFonts w:hint="cs"/>
        </w:rPr>
        <w:t>‍</w:t>
      </w:r>
      <w:r>
        <w:rPr>
          <w:rtl/>
        </w:rPr>
        <w:t xml:space="preserve">או שמכחשת החכם שאומר שלא תקן לה והיא אומרת שתקן לה נאמנת ודוקא שהכשילתו ואכל על פיה אבל אם רצתה להאכילו דבר איסור </w:t>
      </w:r>
      <w:r>
        <w:rPr>
          <w:rFonts w:hint="cs"/>
        </w:rPr>
        <w:t>‍</w:t>
      </w:r>
      <w:r>
        <w:rPr>
          <w:rtl/>
        </w:rPr>
        <w:t xml:space="preserve">ונודע לו ופירש או שהיא בעצמה </w:t>
      </w:r>
      <w:r>
        <w:rPr>
          <w:rFonts w:hint="cs"/>
        </w:rPr>
        <w:t>‍</w:t>
      </w:r>
      <w:r>
        <w:rPr>
          <w:rtl/>
        </w:rPr>
        <w:t xml:space="preserve">אכלה דבר איסור לא אבדה כתובתה </w:t>
      </w:r>
      <w:r>
        <w:rPr>
          <w:rFonts w:hint="cs"/>
        </w:rPr>
        <w:t>‍</w:t>
      </w:r>
      <w:r>
        <w:rPr>
          <w:rtl/>
        </w:rPr>
        <w:t xml:space="preserve">הוחזקה נדה בשכנותיה שראוה לובשת בגדי נדותה ואמרה לו טהורה אני </w:t>
      </w:r>
      <w:r>
        <w:rPr>
          <w:rFonts w:hint="cs"/>
        </w:rPr>
        <w:t>‍</w:t>
      </w:r>
      <w:r>
        <w:rPr>
          <w:rtl/>
        </w:rPr>
        <w:t xml:space="preserve">ובא עליה יוצאת </w:t>
      </w:r>
      <w:r>
        <w:rPr>
          <w:rFonts w:hint="cs"/>
          <w:rtl/>
        </w:rPr>
        <w:t>ב</w:t>
      </w:r>
      <w:r>
        <w:rPr>
          <w:rtl/>
        </w:rPr>
        <w:t xml:space="preserve">לא כתובה </w:t>
      </w:r>
      <w:r>
        <w:rPr>
          <w:rFonts w:hint="cs"/>
        </w:rPr>
        <w:t>‍</w:t>
      </w:r>
      <w:r>
        <w:rPr>
          <w:rtl/>
        </w:rPr>
        <w:t xml:space="preserve">הנודרת </w:t>
      </w:r>
      <w:r>
        <w:rPr>
          <w:rFonts w:hint="cs"/>
        </w:rPr>
        <w:t>‍</w:t>
      </w:r>
      <w:r>
        <w:rPr>
          <w:rtl/>
        </w:rPr>
        <w:t xml:space="preserve">ואינה מקיימת תצא בלא כתובה דבעון נדרים בנים מתים קטנים ואיזו היא דת יהודית יוצאת וראשה פרוע אפי' אין פרוע לגמרי אלא </w:t>
      </w:r>
      <w:r>
        <w:rPr>
          <w:rFonts w:hint="cs"/>
        </w:rPr>
        <w:t>‍</w:t>
      </w:r>
      <w:r>
        <w:rPr>
          <w:rtl/>
        </w:rPr>
        <w:t xml:space="preserve">קלתה בראשה כיון שאינה מכוסה בצעיף תצא כתב הרמב"ם אף על פי שמכוסה במטפחת כיון שאין עליה רדיד </w:t>
      </w:r>
      <w:r>
        <w:rPr>
          <w:rFonts w:hint="cs"/>
        </w:rPr>
        <w:t>‍</w:t>
      </w:r>
      <w:r>
        <w:rPr>
          <w:rtl/>
        </w:rPr>
        <w:t xml:space="preserve">ככל הנשים תצא בלא כתובה ודוקא שיוצאת כן ברשות הרבים או במבוי המפולש או בחצר שהרבים בוקעים בו </w:t>
      </w:r>
      <w:r>
        <w:rPr>
          <w:rtl/>
        </w:rPr>
        <w:lastRenderedPageBreak/>
        <w:t xml:space="preserve">אבל במבוי שאינו מפולש וחצר שאין הרבים בוקעים בו </w:t>
      </w:r>
      <w:r>
        <w:rPr>
          <w:rFonts w:hint="cs"/>
        </w:rPr>
        <w:t>‍</w:t>
      </w:r>
      <w:r>
        <w:rPr>
          <w:rtl/>
        </w:rPr>
        <w:t xml:space="preserve">לא תצא וכן הטווה בשוק שמראה זרועותיה לבני אדם וכן </w:t>
      </w:r>
      <w:r>
        <w:rPr>
          <w:rFonts w:hint="cs"/>
        </w:rPr>
        <w:t>‍</w:t>
      </w:r>
      <w:r>
        <w:rPr>
          <w:rtl/>
        </w:rPr>
        <w:t xml:space="preserve">הטווה ורד כנגד פניה ופירש"י שטווה בכפה על יריכה </w:t>
      </w:r>
      <w:r>
        <w:rPr>
          <w:rFonts w:hint="cs"/>
        </w:rPr>
        <w:t>‍</w:t>
      </w:r>
      <w:r>
        <w:rPr>
          <w:rtl/>
        </w:rPr>
        <w:t xml:space="preserve">והחוט מתוח כנגד פניה של מטה והרמב"ם כתב בשטווה בשוק וטווה ורד וכיוצא בו כנגד פניה על פדחתה או לחייה כדרך שעושין הפרוצות וכן המדברת והמשחקת </w:t>
      </w:r>
      <w:r>
        <w:rPr>
          <w:rFonts w:hint="cs"/>
        </w:rPr>
        <w:t>‍</w:t>
      </w:r>
      <w:r>
        <w:rPr>
          <w:rtl/>
        </w:rPr>
        <w:t xml:space="preserve">עם הבחורים וכן המקללת אביו בפניו </w:t>
      </w:r>
      <w:r>
        <w:rPr>
          <w:rFonts w:hint="cs"/>
        </w:rPr>
        <w:t>‍</w:t>
      </w:r>
      <w:r>
        <w:rPr>
          <w:rtl/>
        </w:rPr>
        <w:t xml:space="preserve">או בפני בנו וכן התובעת מבעלה התשמיש בקול רם עד ששכנותיה שומעות אותה או שמריבה עמו עד שנשמע קולה כשתובע על עסקי תשמיש בכל אחד מאלו תצא בלא כתובה ומ"מ לא אבדה כתובתה אא"כ יש עדים שהתרה בה תחילה ועברה על התראתו ואם אין עדים תשבע </w:t>
      </w:r>
      <w:r>
        <w:rPr>
          <w:rFonts w:hint="cs"/>
        </w:rPr>
        <w:t>‍</w:t>
      </w:r>
      <w:r>
        <w:rPr>
          <w:rtl/>
        </w:rPr>
        <w:t xml:space="preserve">שהוא כדבריה ואם רצה לקיים אותה </w:t>
      </w:r>
      <w:r>
        <w:rPr>
          <w:rFonts w:hint="cs"/>
        </w:rPr>
        <w:t>‍</w:t>
      </w:r>
      <w:r>
        <w:rPr>
          <w:rtl/>
        </w:rPr>
        <w:t>אח"כ אין כופין אותו להוציאה ומ"מ מצוה עליו שיוציאנה כתב הרמב"ם אף על פי שלא הוציאה אין לה כתובה שכתובה תקנת חכמים הוא שלא תהא קלה בעיניו להוציאה ולא הקפידו אלא על בנות ישראל הצנועות אבל הפרוצות אין להן תקנה זו אלא תהא קלה בעיניו:</w:t>
      </w:r>
    </w:p>
    <w:p w14:paraId="55F7E6D9" w14:textId="77777777" w:rsidR="009F0367" w:rsidRDefault="009F0367" w:rsidP="009F0367">
      <w:pPr>
        <w:pStyle w:val="Style1"/>
      </w:pPr>
      <w:r>
        <w:rPr>
          <w:rtl/>
        </w:rPr>
        <w:t>עברה בינה לבינו וידע שהיא עוברת על דת והתרה בה בלא עדים וחזרה ועברה הוא טוען שעברה והיא טוענת שלא עברה או לא התרתה בי אם רצה להוציאה יתן כתובה אחר שתשבע שלא עברה אחר ההתראה שאם תודה שעברה אחר ההתראה אין לה כלום ע"כ:</w:t>
      </w:r>
    </w:p>
    <w:p w14:paraId="225FEBD9" w14:textId="58E99296" w:rsidR="009F0367" w:rsidRDefault="009F0367" w:rsidP="009F0367">
      <w:pPr>
        <w:pStyle w:val="Style1"/>
        <w:rPr>
          <w:rtl/>
        </w:rPr>
      </w:pPr>
      <w:r>
        <w:rPr>
          <w:rtl/>
        </w:rPr>
        <w:t xml:space="preserve">כל אלו אין להם לא עיקר כתובה ולא תנאי כתובה ולא תוספת </w:t>
      </w:r>
      <w:r>
        <w:rPr>
          <w:rFonts w:hint="cs"/>
        </w:rPr>
        <w:t>‍</w:t>
      </w:r>
      <w:r>
        <w:rPr>
          <w:rtl/>
        </w:rPr>
        <w:t xml:space="preserve">אבל תטול מה שהכניסה אליו והוא בעין בין מנכסי צאן ברזל בין מנכסי מלוג ואם כלה או נגנב או נאבד </w:t>
      </w:r>
      <w:r>
        <w:rPr>
          <w:rFonts w:hint="cs"/>
        </w:rPr>
        <w:t>‍</w:t>
      </w:r>
      <w:r>
        <w:rPr>
          <w:rtl/>
        </w:rPr>
        <w:t>אין מוציאין ממנו וכן הדין במי שזנתה או יוצאת משום שם רע שאבדה עיקר כתובתה ותוספת ונוטלת מה שהוא בעין מכל מה שהכניסה וכן הדין בכל אותן ששנינו בה</w:t>
      </w:r>
      <w:r>
        <w:rPr>
          <w:rFonts w:hint="cs"/>
          <w:rtl/>
        </w:rPr>
        <w:t xml:space="preserve"> </w:t>
      </w:r>
      <w:r>
        <w:rPr>
          <w:rFonts w:hint="cs"/>
        </w:rPr>
        <w:t>‍</w:t>
      </w:r>
      <w:r>
        <w:rPr>
          <w:rtl/>
        </w:rPr>
        <w:t xml:space="preserve">תצא מזה ומזה שהרי מצד זנות היא מפסדת כתובתה אין עדים שזינתה אלא שהיא עצמה אומרת שזינתה אין חוששין לדבר זה לאוסרה דשמא עיניה נתנה באחר אבל אבדה כתובתה עיקר ותוספת ומה שאינו בעין ממה שהכניסה לו אבל אם נאנסה לא הפסידה כתובתה </w:t>
      </w:r>
      <w:r>
        <w:rPr>
          <w:rFonts w:hint="cs"/>
        </w:rPr>
        <w:t>‍</w:t>
      </w:r>
      <w:r>
        <w:rPr>
          <w:rtl/>
        </w:rPr>
        <w:t xml:space="preserve">לא אשת ישראל ולא אשת כהן ואם יש עד אחד שזינתה אינו חייב להוציאה בדיני אדם </w:t>
      </w:r>
      <w:r>
        <w:rPr>
          <w:rFonts w:hint="cs"/>
        </w:rPr>
        <w:t>‍</w:t>
      </w:r>
      <w:r>
        <w:rPr>
          <w:rtl/>
        </w:rPr>
        <w:t xml:space="preserve"> </w:t>
      </w:r>
      <w:r>
        <w:rPr>
          <w:rFonts w:hint="cs"/>
        </w:rPr>
        <w:t>‍</w:t>
      </w:r>
      <w:r>
        <w:rPr>
          <w:rtl/>
        </w:rPr>
        <w:t xml:space="preserve">אבל משום לזות שפתים אסור לו לעמוד עמה אם הוא סומך עליו מהימן ליה כבי תרי וצריך ליתן לה כתובה וכן כשאומרת אשתו שזינתה אם הוא מאמינה וסומך על דבריה </w:t>
      </w:r>
      <w:r>
        <w:rPr>
          <w:rFonts w:hint="cs"/>
        </w:rPr>
        <w:t>‍</w:t>
      </w:r>
      <w:r>
        <w:rPr>
          <w:rtl/>
        </w:rPr>
        <w:t xml:space="preserve">צריך להוציאה לצאת ידי שמים וכתב הרמב"ם מי שראה אשתו שזינתה או שאמרה לו אחת מקרובותיה </w:t>
      </w:r>
      <w:r>
        <w:rPr>
          <w:rFonts w:hint="cs"/>
        </w:rPr>
        <w:t>‍</w:t>
      </w:r>
      <w:r>
        <w:rPr>
          <w:rtl/>
        </w:rPr>
        <w:t>או אחד מקרוביו</w:t>
      </w:r>
      <w:r>
        <w:rPr>
          <w:rFonts w:hint="cs"/>
          <w:rtl/>
        </w:rPr>
        <w:t xml:space="preserve"> </w:t>
      </w:r>
      <w:r>
        <w:rPr>
          <w:rtl/>
        </w:rPr>
        <w:t xml:space="preserve">שהוא מאמינו ודעתו סומכת עליה שזינתה אשתו בין שהיה האומר איש בין שהיה אשה הרי זה חייב להוציאה ואסור לו לבא עליה ויוציא ויתן כתובה ואם הודתה לו שזנתה תצא בלא כתובה לפיכך משביעה בנקיטת חפץ שלא זינתה תחתיו אם ראה בעצמו שזינתה ואח"כ תגבה כתובתה </w:t>
      </w:r>
      <w:r>
        <w:rPr>
          <w:rFonts w:hint="cs"/>
        </w:rPr>
        <w:t>‍</w:t>
      </w:r>
      <w:r>
        <w:rPr>
          <w:rtl/>
        </w:rPr>
        <w:t xml:space="preserve"> </w:t>
      </w:r>
      <w:r>
        <w:rPr>
          <w:rFonts w:hint="cs"/>
        </w:rPr>
        <w:t>‍</w:t>
      </w:r>
      <w:r>
        <w:rPr>
          <w:rtl/>
        </w:rPr>
        <w:t xml:space="preserve">אבל מדברי אחר אינו יכול להשביעה אלא על ידי גלגול האומר לאשתו בפני עדים אל תסתרי עם איש פלוני ויש עדים שנכנסה עמו בסתר ושהתה עמו כדי טומאה אסורה לבעלה עד שתשתה ואם מת קודם שישקנה אין לה כתובה לא עיקר ולא תוספ' אף על פי שלא מצאו עליה דבר מכוער שאין לך דבר מכוער יותר מזה ובזמן הזה שאין מי סוטה אסורה לו עולמית ותצא בלא כתובה שהרי מעשיה הרעים גרמו לה להיאסר </w:t>
      </w:r>
      <w:r>
        <w:rPr>
          <w:rFonts w:hint="cs"/>
        </w:rPr>
        <w:t>‍</w:t>
      </w:r>
      <w:r>
        <w:rPr>
          <w:rtl/>
        </w:rPr>
        <w:t>אמר לה בינו לבינה אל תסתרי עם איש פלוני</w:t>
      </w:r>
      <w:r>
        <w:rPr>
          <w:rFonts w:hint="cs"/>
          <w:rtl/>
        </w:rPr>
        <w:t xml:space="preserve"> </w:t>
      </w:r>
      <w:r>
        <w:rPr>
          <w:rtl/>
        </w:rPr>
        <w:t xml:space="preserve">וראה אותה שנסתרה ושהתה עמו כדי טומאה </w:t>
      </w:r>
      <w:r>
        <w:rPr>
          <w:rFonts w:hint="cs"/>
        </w:rPr>
        <w:t>‍</w:t>
      </w:r>
      <w:r>
        <w:rPr>
          <w:rtl/>
        </w:rPr>
        <w:t xml:space="preserve"> </w:t>
      </w:r>
      <w:r>
        <w:rPr>
          <w:rFonts w:hint="cs"/>
        </w:rPr>
        <w:t>‍</w:t>
      </w:r>
      <w:r>
        <w:rPr>
          <w:rtl/>
        </w:rPr>
        <w:t xml:space="preserve">אסורה לו בזמן הזה שאין מי סוטה וחייב להוציאה ויתן לה כתובה ואם הודה שנסתרה אחרי שהתרה בה תצא בלא כתובה לפיכך משביעה על זה ואח"כ נותן לה כתובה שאלה לא"א הרא"ש ז"ל ששאלת ראובן השביע לאשתו שלא תדבר לפלוני ופלוני ולא תכנס עמהם לבית הסתר וקבלה שבועתו בפני עדים לזמן קצוב אם עברה על שום דבר משבועתה אם אבדה כתובתה תשובה אם נכנסה עמו לבית הסתר ושהתה עמו כדי טומאה בשני עדים אסורה לבעלה ותצא בלא כתובה ודוקא שיש ב' עדים שנסתרה אבל נסתרה עמו בעד אחד אינה אסורה אבל אם לא נכנסה לבית הסתר אלא דברה עם אחד מהם </w:t>
      </w:r>
      <w:r>
        <w:rPr>
          <w:rFonts w:hint="cs"/>
        </w:rPr>
        <w:t>‍</w:t>
      </w:r>
      <w:r>
        <w:rPr>
          <w:rtl/>
        </w:rPr>
        <w:t>לא נאסרה מכח הקינוי אבל מ"מ עוברת על דת היא כיון שנשבעה שלא לדבר עמו ועברה ודברה עמו יוצאת בלא כתובה ודוקא שהתרו בה תחילה אם תעברי על שבועתך תפסידי כתובתך אבל אם לא התרו בה לא הפסידה כתובתה:</w:t>
      </w:r>
    </w:p>
    <w:p w14:paraId="637CB44D" w14:textId="487D3F80" w:rsidR="001126E5" w:rsidRDefault="001126E5" w:rsidP="001126E5">
      <w:pPr>
        <w:pStyle w:val="Style1"/>
      </w:pPr>
      <w:r>
        <w:rPr>
          <w:rFonts w:hint="cs"/>
          <w:rtl/>
        </w:rPr>
        <w:t>3)[</w:t>
      </w:r>
      <w:r>
        <w:rPr>
          <w:rtl/>
        </w:rPr>
        <w:t>טור אבן העזר הלכות סוטה סימן קעח</w:t>
      </w:r>
      <w:r>
        <w:rPr>
          <w:rFonts w:hint="cs"/>
          <w:rtl/>
        </w:rPr>
        <w:t xml:space="preserve">] </w:t>
      </w:r>
      <w:r>
        <w:rPr>
          <w:rtl/>
        </w:rPr>
        <w:t>הלכות סוטה:</w:t>
      </w:r>
    </w:p>
    <w:p w14:paraId="421DDC58" w14:textId="41669D06" w:rsidR="001126E5" w:rsidRDefault="001126E5" w:rsidP="001126E5">
      <w:pPr>
        <w:pStyle w:val="Style1"/>
      </w:pPr>
      <w:r>
        <w:rPr>
          <w:rtl/>
        </w:rPr>
        <w:t xml:space="preserve">המקנא לאשתו ונסתרה ואינו יודע אם נטמאה בזמן שבית המקדש קיים מביאה אל הכהן ומשקה אותה מי המרים ונבדקת על ידן אם נמצאת טהורה מותרת </w:t>
      </w:r>
      <w:r w:rsidR="009D34D2">
        <w:rPr>
          <w:rFonts w:hint="cs"/>
        </w:rPr>
        <w:t>‍</w:t>
      </w:r>
      <w:r>
        <w:rPr>
          <w:rtl/>
        </w:rPr>
        <w:t>אבל אסורה לעולם עד שתבדק</w:t>
      </w:r>
      <w:r w:rsidR="009D34D2">
        <w:rPr>
          <w:rFonts w:hint="cs"/>
        </w:rPr>
        <w:t>‍</w:t>
      </w:r>
      <w:r>
        <w:rPr>
          <w:rtl/>
        </w:rPr>
        <w:t xml:space="preserve"> כי רק ההיתר תלוי בהשקאת המים בזמן הבית אבל באיסור אחר הסתירה אינו תלוי בזמן הבית שאפילו א"א להשקותה כמו בזמן הזה או שאינה ראויה להשקותה שיש דברים רבים שמונעים השתייה ויש נשים רבות שאינן ראויות להשקות כולן אסורות ובכאן אין רצוני להאריך לא בדברים המונעים לה השתייה ולא בנשים שאינן ראויות לשתות כיון שכולן אסורות ובלבד שיהא הסתירה והקינוי כראוי כיצד הקינוי אומר לה בפני ב' אל תסתרי עם איש פלוני </w:t>
      </w:r>
      <w:r w:rsidR="009D34D2">
        <w:rPr>
          <w:rFonts w:hint="cs"/>
        </w:rPr>
        <w:t>‍</w:t>
      </w:r>
      <w:r>
        <w:rPr>
          <w:rtl/>
        </w:rPr>
        <w:t xml:space="preserve">אפילו הוא אביה או אחיה </w:t>
      </w:r>
      <w:r w:rsidR="009D34D2">
        <w:rPr>
          <w:rFonts w:hint="cs"/>
        </w:rPr>
        <w:t>‍</w:t>
      </w:r>
      <w:r>
        <w:rPr>
          <w:rtl/>
        </w:rPr>
        <w:t xml:space="preserve">או עכו"ם או </w:t>
      </w:r>
      <w:r w:rsidR="009D34D2">
        <w:rPr>
          <w:rFonts w:hint="cs"/>
        </w:rPr>
        <w:t>‍</w:t>
      </w:r>
      <w:r>
        <w:rPr>
          <w:rtl/>
        </w:rPr>
        <w:t xml:space="preserve">שחוף פי' שאינו מתקשה ואינו מוליד והוא שיהיה גדול אבל אם אמר לה </w:t>
      </w:r>
      <w:r w:rsidR="009D34D2">
        <w:rPr>
          <w:rFonts w:hint="cs"/>
        </w:rPr>
        <w:t>‍</w:t>
      </w:r>
      <w:r>
        <w:rPr>
          <w:rtl/>
        </w:rPr>
        <w:t xml:space="preserve">אל תסתרי עם פלוני והוא קטן </w:t>
      </w:r>
      <w:r w:rsidR="009D34D2">
        <w:rPr>
          <w:rFonts w:hint="cs"/>
        </w:rPr>
        <w:t>‍</w:t>
      </w:r>
      <w:r>
        <w:rPr>
          <w:rtl/>
        </w:rPr>
        <w:t xml:space="preserve">או עם בהמה לא הוי קינוי ומקנא לה </w:t>
      </w:r>
      <w:r w:rsidR="009D34D2">
        <w:rPr>
          <w:rFonts w:hint="cs"/>
        </w:rPr>
        <w:t>‍</w:t>
      </w:r>
      <w:r>
        <w:rPr>
          <w:rtl/>
        </w:rPr>
        <w:t xml:space="preserve">בין אם היא ארוסה או נשואה או זקוקה ליבם כתב הרמב"ם קטנה שהשיאה אביה אם זינתה לרצונה אסורה לבעלה </w:t>
      </w:r>
      <w:r w:rsidR="009D34D2">
        <w:rPr>
          <w:rFonts w:hint="cs"/>
        </w:rPr>
        <w:t>‍</w:t>
      </w:r>
      <w:r>
        <w:rPr>
          <w:rtl/>
        </w:rPr>
        <w:t xml:space="preserve">לפיכך מקנאין לה </w:t>
      </w:r>
      <w:r w:rsidR="009D34D2">
        <w:rPr>
          <w:rFonts w:hint="cs"/>
        </w:rPr>
        <w:t>‍</w:t>
      </w:r>
      <w:r>
        <w:rPr>
          <w:rtl/>
        </w:rPr>
        <w:t xml:space="preserve">ולא להשקותה אלא להפסידה כתובתה </w:t>
      </w:r>
      <w:r w:rsidR="009D34D2">
        <w:rPr>
          <w:rFonts w:hint="cs"/>
        </w:rPr>
        <w:t>‍</w:t>
      </w:r>
      <w:r>
        <w:rPr>
          <w:rtl/>
        </w:rPr>
        <w:t xml:space="preserve">אבל קטנה בת מיאון אין מקנאין לה </w:t>
      </w:r>
      <w:r w:rsidR="009D34D2">
        <w:rPr>
          <w:rFonts w:hint="cs"/>
        </w:rPr>
        <w:t>‍</w:t>
      </w:r>
      <w:r>
        <w:rPr>
          <w:rtl/>
        </w:rPr>
        <w:t xml:space="preserve">לפי שאין לה רצון לאוסרה על בעלה </w:t>
      </w:r>
      <w:r w:rsidR="009D34D2">
        <w:rPr>
          <w:rFonts w:hint="cs"/>
        </w:rPr>
        <w:t>‍</w:t>
      </w:r>
      <w:r>
        <w:rPr>
          <w:rtl/>
        </w:rPr>
        <w:t>ואפילו אם הוא כהן אינה נאסרת עליו והראב"ד השיג עליו</w:t>
      </w:r>
      <w:r w:rsidR="009D34D2">
        <w:rPr>
          <w:rFonts w:hint="cs"/>
        </w:rPr>
        <w:t>‍</w:t>
      </w:r>
      <w:r>
        <w:rPr>
          <w:rtl/>
        </w:rPr>
        <w:t xml:space="preserve"> וכתב </w:t>
      </w:r>
      <w:r w:rsidR="009D34D2">
        <w:rPr>
          <w:rFonts w:hint="cs"/>
        </w:rPr>
        <w:t>‍</w:t>
      </w:r>
      <w:r>
        <w:rPr>
          <w:rtl/>
        </w:rPr>
        <w:t xml:space="preserve"> </w:t>
      </w:r>
      <w:r w:rsidR="009D34D2">
        <w:rPr>
          <w:rFonts w:hint="cs"/>
        </w:rPr>
        <w:t>‍</w:t>
      </w:r>
      <w:r>
        <w:rPr>
          <w:rtl/>
        </w:rPr>
        <w:t xml:space="preserve">והלא אמרינן פיתוי קטנה אונס הוא </w:t>
      </w:r>
      <w:r w:rsidR="009D34D2">
        <w:rPr>
          <w:rFonts w:hint="cs"/>
        </w:rPr>
        <w:t>‍</w:t>
      </w:r>
      <w:r>
        <w:rPr>
          <w:rtl/>
        </w:rPr>
        <w:t xml:space="preserve">ועוד התראה לקטנה אינה התראה שאין לה דעת </w:t>
      </w:r>
      <w:r w:rsidR="009D34D2">
        <w:rPr>
          <w:rFonts w:hint="cs"/>
        </w:rPr>
        <w:t>‍</w:t>
      </w:r>
      <w:r>
        <w:rPr>
          <w:rtl/>
        </w:rPr>
        <w:t xml:space="preserve">אלא אם זנתה אסורה ודאי לבעלה כהן </w:t>
      </w:r>
      <w:r w:rsidR="009D34D2">
        <w:rPr>
          <w:rFonts w:hint="cs"/>
        </w:rPr>
        <w:t>‍</w:t>
      </w:r>
      <w:r>
        <w:rPr>
          <w:rtl/>
        </w:rPr>
        <w:t xml:space="preserve">ולא מצאתי הפרש בין קטנה לקטנה לענין פתוי לומר בת מיאון אין לה רצון ויתן </w:t>
      </w:r>
      <w:r w:rsidR="009D34D2">
        <w:rPr>
          <w:rFonts w:hint="cs"/>
        </w:rPr>
        <w:t>‍</w:t>
      </w:r>
      <w:r>
        <w:rPr>
          <w:rtl/>
        </w:rPr>
        <w:t>הצער כמו אנוסה אלא כולן שוין להתפתות בקלות הדעת ע"כ וכיצד היא הסתירה שנסתרה בפני עדים</w:t>
      </w:r>
      <w:r w:rsidR="009D34D2">
        <w:rPr>
          <w:rFonts w:hint="cs"/>
        </w:rPr>
        <w:t>‍</w:t>
      </w:r>
      <w:r>
        <w:rPr>
          <w:rtl/>
        </w:rPr>
        <w:t xml:space="preserve"> עם פלוני שקינא לה עליו ושהתה כדי טומאה שהוא שיעור </w:t>
      </w:r>
      <w:r w:rsidR="009D34D2">
        <w:rPr>
          <w:rFonts w:hint="cs"/>
        </w:rPr>
        <w:t>‍</w:t>
      </w:r>
      <w:r>
        <w:rPr>
          <w:rtl/>
        </w:rPr>
        <w:t xml:space="preserve">כדי לצלות ביצה ולגומעה </w:t>
      </w:r>
      <w:r w:rsidR="009D34D2">
        <w:rPr>
          <w:rFonts w:hint="cs"/>
        </w:rPr>
        <w:t>‍</w:t>
      </w:r>
      <w:r>
        <w:rPr>
          <w:rtl/>
        </w:rPr>
        <w:t xml:space="preserve">קינא לה מב' שאמר לה אל תסתרי עם פלוני ופלוני ונסתרה עם שניהם כאחד ושהתה כדי טומאה </w:t>
      </w:r>
      <w:r w:rsidR="009D34D2">
        <w:rPr>
          <w:rFonts w:hint="cs"/>
        </w:rPr>
        <w:t>‍</w:t>
      </w:r>
      <w:r>
        <w:rPr>
          <w:rtl/>
        </w:rPr>
        <w:t xml:space="preserve">אפי' הם ב' אחים או אביה או אחיה אסורה עד שתשתה אמר לה בפני ב' אל תדברי עם פלוני אין זה קינוי ואפילו נסתרה עמו ושהתה עמו כדי טומאה מותרת או אמר לה אל תסתרי עם פלוני ודברה עמו בפני עדים מותרת שאין זו סתירה וכן אם נסתרה בפני עדים ושהתה כדי טומאה ולא קינא לה בפני עדים מותרת שאין אוסרין על הייחוד אפילו נסתרה יחד על דעת ערוה אא"כ קינא לה תחלה בפני ב' ומ"מ לא תתייחד אשה עם אנשים </w:t>
      </w:r>
      <w:r w:rsidR="009D34D2">
        <w:rPr>
          <w:rFonts w:hint="cs"/>
        </w:rPr>
        <w:t>‍</w:t>
      </w:r>
      <w:r>
        <w:rPr>
          <w:rtl/>
        </w:rPr>
        <w:t>כדפרישית לעיל באיסור ייחוד:</w:t>
      </w:r>
    </w:p>
    <w:p w14:paraId="277DDE14" w14:textId="33FFC9DF" w:rsidR="000F301C" w:rsidRPr="000F301C" w:rsidRDefault="009D34D2" w:rsidP="001126E5">
      <w:pPr>
        <w:pStyle w:val="Style1"/>
      </w:pPr>
      <w:r>
        <w:rPr>
          <w:rFonts w:hint="cs"/>
        </w:rPr>
        <w:t>‍</w:t>
      </w:r>
      <w:r w:rsidR="001126E5">
        <w:rPr>
          <w:rtl/>
        </w:rPr>
        <w:t xml:space="preserve">כתב בס"ה לא יאמר אדם לאשתו </w:t>
      </w:r>
      <w:r>
        <w:rPr>
          <w:rFonts w:hint="cs"/>
        </w:rPr>
        <w:t>‍</w:t>
      </w:r>
      <w:r w:rsidR="001126E5">
        <w:rPr>
          <w:rtl/>
        </w:rPr>
        <w:t xml:space="preserve">בזמן הזה אל תסתרי עם פלוני דשמא הלכה כר"י דאמר קינא לה בינה לבין עצמו שלא בפני עדים הוי קינוי ועכשיו אין מי סוטה ותיאסר עליו לעולם בא ע"א והעיד לו שנסתרה עם אותו שקינא לה עליו ושהתה כדי טומאה אם הוא נאמן בעיניו ודעתו סומכת עליו יוציאה ויתן כתובה ואם לאו מותרת לו ואם הוא בעצמו ראה שנסתרה עמו ושהתה כדי טומאה הרי זו אסורה עליו ויוציא ויתן כתובה שאינו יכול להשקותה ע"פ עצמו לא קינא לה ובא עד אחד </w:t>
      </w:r>
      <w:r>
        <w:rPr>
          <w:rFonts w:hint="cs"/>
        </w:rPr>
        <w:t>‍</w:t>
      </w:r>
      <w:r w:rsidR="001126E5">
        <w:rPr>
          <w:rtl/>
        </w:rPr>
        <w:t xml:space="preserve">ואמר לו זנתה </w:t>
      </w:r>
      <w:r>
        <w:rPr>
          <w:rFonts w:hint="cs"/>
        </w:rPr>
        <w:t>‍</w:t>
      </w:r>
      <w:r w:rsidR="001126E5">
        <w:rPr>
          <w:rtl/>
        </w:rPr>
        <w:t xml:space="preserve">והוא שותק אם הוא נאמן בעיניו ודעתו סומכת עליו כשנים יוציאה ויתן כתובה ואם לאו מותרת לו כתב א"א הרא"ש ז"ל בתשובה על אחד שהוציא קול על אשתו שזנתה ואמר שנתברר לו הדבר ואח"כ אמר אינו אמת אלא שמחמת הכעס שהכעיסתו הוציא עליה קול זה אם נתן אמתלא לדבריו מותרת לו </w:t>
      </w:r>
      <w:r>
        <w:rPr>
          <w:rFonts w:hint="cs"/>
        </w:rPr>
        <w:t>‍</w:t>
      </w:r>
      <w:r w:rsidR="001126E5">
        <w:rPr>
          <w:rtl/>
        </w:rPr>
        <w:t xml:space="preserve">ואם לאו אסורה לו עד כאן </w:t>
      </w:r>
      <w:r>
        <w:rPr>
          <w:rFonts w:hint="cs"/>
        </w:rPr>
        <w:t>‍</w:t>
      </w:r>
      <w:r w:rsidR="001126E5">
        <w:rPr>
          <w:rtl/>
        </w:rPr>
        <w:t xml:space="preserve">שמע העם מרננים אחר הקינוי והסתירה עד שהנשים נושאת ונותנות בה שזנתה מהאיש שקינא לה עליו אסורה </w:t>
      </w:r>
      <w:r>
        <w:rPr>
          <w:rFonts w:hint="cs"/>
        </w:rPr>
        <w:t>‍</w:t>
      </w:r>
      <w:r w:rsidR="001126E5">
        <w:rPr>
          <w:rtl/>
        </w:rPr>
        <w:t xml:space="preserve">ויוציאנה ויתן כתובה בעל שמחל על קינויו קודם סתירה קינויו מחול וכאילו לא קינא אבל לאחר סתירה אין קינויו מחול גירשה ה"ז כאילו מחל לה ואם החזירה צריך לקנאות לה פעם אחרת ואלו שב"ד מקנאין להם מי שנתחרש בעלה או נשתטה או היה במדינה אחרת או שהיה חבוש בבית האסורין ולא להשקותה אלא להפסידה כתובתה כיצד שמעו ב"ד שהעם מרננין אחריה קוראין לה ואומרים לה אל תסתרי עם פלוני באו עדים אח"כ שנסתרה עמו ושהתה כדי טומאה אוסרין אותה על בעלה לעולם וקורעין לה כתובתה וכשיבא בעלה או יבריא או יצא מבית האסורין יתן לה גט ואינו יכול להשקותה שהרי לא קינא בא עד אחד והעיד </w:t>
      </w:r>
      <w:r>
        <w:rPr>
          <w:rFonts w:hint="cs"/>
        </w:rPr>
        <w:t>‍</w:t>
      </w:r>
      <w:r w:rsidR="001126E5">
        <w:rPr>
          <w:rtl/>
        </w:rPr>
        <w:t xml:space="preserve">שנטמאה מאותו שקינא לה אינה שותה ותצא בלא כתובה אפילו עד הטומאה </w:t>
      </w:r>
      <w:r>
        <w:rPr>
          <w:rFonts w:hint="cs"/>
        </w:rPr>
        <w:t>‍</w:t>
      </w:r>
      <w:r w:rsidR="001126E5">
        <w:rPr>
          <w:rtl/>
        </w:rPr>
        <w:t xml:space="preserve">הוא עד אחד מעדי הסתירה </w:t>
      </w:r>
      <w:r>
        <w:rPr>
          <w:rFonts w:hint="cs"/>
        </w:rPr>
        <w:t>‍</w:t>
      </w:r>
      <w:r w:rsidR="001126E5">
        <w:rPr>
          <w:rtl/>
        </w:rPr>
        <w:t xml:space="preserve">ואפילו עבד או שפחה או אשה או קרוב כשר לעדות זה ואפילו נשים ששונאות זו את זו מעידות זו לזו לומר שנטמאה ונאמנת עליה לאוסרה על בעלה ושלא להשקותה אבל לא להפסיד כתובתה אבל נוטלת כתובתה ויוצאה בא עד אחד ואמר שנטמאה ואחר כך בא עד אחד ואמר לא נטמאה אין שומעין לאחרון שעד אחד בטומאת סוטה כשנים ואין דברי האחרון דוחין דברי הראשון שהוא כשנים באו שנים כאחד זה אומר נטמאת וזה אומר לא נטמאת או שבא אחד ואמר נטמאת ואח"כ באו ב' ואמרו לא נטמאת הרי זו שותה </w:t>
      </w:r>
      <w:r>
        <w:rPr>
          <w:rFonts w:hint="cs"/>
        </w:rPr>
        <w:t>‍</w:t>
      </w:r>
      <w:r w:rsidR="001126E5">
        <w:rPr>
          <w:rtl/>
        </w:rPr>
        <w:t xml:space="preserve">פי' בשעה שאתה אומר נטמאת ידענו שלא נטמאת לפיכך שותה שנתבטלו דברי האחד ואוקמה אחזקת ספק בא עד אחד כשר </w:t>
      </w:r>
      <w:r>
        <w:rPr>
          <w:rFonts w:hint="cs"/>
        </w:rPr>
        <w:t>‍</w:t>
      </w:r>
      <w:r w:rsidR="001126E5">
        <w:rPr>
          <w:rtl/>
        </w:rPr>
        <w:t xml:space="preserve">ונשים רבות כאחד העד הכשר אומר נטמאת והנשים אומרות לא נטמאת הרי זו שותה שעד אחד כשר ורבים פסולים כמחצה על מחצה דמי היו כולם פסולים הולכין אחר רוב דעות כתב הרמב"ם כיצד ב' אומרות נטמאת ושלש אומרות לא נטמאת הרי זו שותה ג' אומרות לא נטמאת וד' אומרות נטמאת אינה שותה היו מחצה על מחצה הרי זו שותה ע"כ כל שאינה שותה מפני עדי טומאה אסורה לעולם ותצא בלא כתובה כתב בה"ג שאין מוציאין על ידי עדי טומאה עד שיראה כמכחול בשפופרת ור"ח כתב שאין צריך רק שיראו אותם דבוקים זה בזה ונוהגין כדרך מנאפין וכ"פ רב אלפס </w:t>
      </w:r>
      <w:r>
        <w:rPr>
          <w:rFonts w:hint="cs"/>
        </w:rPr>
        <w:t>‍</w:t>
      </w:r>
      <w:r w:rsidR="001126E5">
        <w:rPr>
          <w:rtl/>
        </w:rPr>
        <w:t xml:space="preserve">ביבמות פרק כיצד וכן הוא מסקנת א"א הרא"ש ז"ל אשה שקינא לה בעלה </w:t>
      </w:r>
      <w:r>
        <w:rPr>
          <w:rFonts w:hint="cs"/>
        </w:rPr>
        <w:t>‍</w:t>
      </w:r>
      <w:r w:rsidR="001126E5">
        <w:rPr>
          <w:rtl/>
        </w:rPr>
        <w:t>ונסתרה ומת אינה נוטלת כתובתה כל שאסורה לבעל משום קינוי אסורה לבועל לפיכך האידנא שאסורה לעולם אחר קינוי וסתירה אסורה ג"כ לבועל ואם ניסת תצא ואם אין עדי טומאה אלא עדי כיעור פירשתי למעלה בסי' י"א</w:t>
      </w:r>
      <w:r w:rsidR="00165A89">
        <w:rPr>
          <w:rFonts w:hint="cs"/>
          <w:rtl/>
        </w:rPr>
        <w:t xml:space="preserve"> </w:t>
      </w:r>
      <w:r w:rsidR="001126E5">
        <w:rPr>
          <w:rtl/>
        </w:rPr>
        <w:t xml:space="preserve">כתב ר"ת ישראלית שהמירה ונישאת לעכו"ם ושוב חזרה בתשובה ונתגייר העכו"ם עמה וגירשה בעלה </w:t>
      </w:r>
      <w:r>
        <w:rPr>
          <w:rFonts w:hint="cs"/>
        </w:rPr>
        <w:t>‍</w:t>
      </w:r>
      <w:r w:rsidR="001126E5">
        <w:rPr>
          <w:rtl/>
        </w:rPr>
        <w:t xml:space="preserve">שמותרת לגר שנתגייר עמה וכ"כ א"א הרא"ש ז"ל ואף על פי שבודאי אסור לבעל מותרת לעכו"ם </w:t>
      </w:r>
      <w:r>
        <w:rPr>
          <w:rFonts w:hint="cs"/>
        </w:rPr>
        <w:t>‍</w:t>
      </w:r>
      <w:r w:rsidR="001126E5">
        <w:rPr>
          <w:rtl/>
        </w:rPr>
        <w:t xml:space="preserve">כתב הרמב"ם מצות חכמים היא על בני ישראל לקנאות לנשותיהן שנא' וקינא את אשתו וכל המקנא לאשתו נכנסה בו רוח טהרה ולא יקנא לה מתוך שחוק ולא מתוך שיחה ולא מתוך קלות ראש ולא מתוך מריבה ולא להטיל עליה אימה ואם עבר וקינא לה מתוך אחד מאלו הדברים הרי היא קנוי ואין ראויה לקפוץ ולקנאה בפני עדים תחלה </w:t>
      </w:r>
      <w:r>
        <w:rPr>
          <w:rFonts w:hint="cs"/>
        </w:rPr>
        <w:t>‍</w:t>
      </w:r>
      <w:r w:rsidR="001126E5">
        <w:rPr>
          <w:rtl/>
        </w:rPr>
        <w:t xml:space="preserve">אלא בינו </w:t>
      </w:r>
      <w:r w:rsidR="001126E5">
        <w:rPr>
          <w:rtl/>
        </w:rPr>
        <w:lastRenderedPageBreak/>
        <w:t>ובינה בנחת ובדרך טהרה ואזהרה כדי להדריכה בדרך ישרה ולהסירה ממכשול וכל שאינו מקפיד על אשתו ובניו ומזהירן ופוקד דרכיהן תמיד עד שידע שהם שלימים מכל חטא נקרא חוטא שנאמר ופקדת נוך ולא תחטא:</w:t>
      </w:r>
    </w:p>
    <w:p w14:paraId="4879343E" w14:textId="22A0334E" w:rsidR="000E380C" w:rsidRDefault="000E380C" w:rsidP="000E380C">
      <w:pPr>
        <w:pStyle w:val="Style1"/>
        <w:rPr>
          <w:rtl/>
        </w:rPr>
      </w:pPr>
    </w:p>
    <w:p w14:paraId="71D39DBA" w14:textId="77777777" w:rsidR="002F7DA8" w:rsidRPr="008F2AB0" w:rsidRDefault="002F7DA8" w:rsidP="002F7DA8">
      <w:pPr>
        <w:bidi/>
        <w:rPr>
          <w:rStyle w:val="Style1Char"/>
          <w:color w:val="4472C4" w:themeColor="accent1"/>
        </w:rPr>
      </w:pPr>
    </w:p>
    <w:p w14:paraId="655C070A" w14:textId="77777777" w:rsidR="00B2458D" w:rsidRPr="002301CA" w:rsidRDefault="00B2458D" w:rsidP="00B2458D">
      <w:pPr>
        <w:bidi/>
        <w:rPr>
          <w:rStyle w:val="Style1Char"/>
          <w:color w:val="auto"/>
          <w:sz w:val="22"/>
          <w:szCs w:val="22"/>
        </w:rPr>
      </w:pPr>
    </w:p>
    <w:p w14:paraId="1686F329" w14:textId="77777777" w:rsidR="00B2458D" w:rsidRPr="00F16D07" w:rsidRDefault="00B2458D" w:rsidP="00B2458D">
      <w:pPr>
        <w:bidi/>
        <w:rPr>
          <w:rStyle w:val="Style1Char"/>
          <w:sz w:val="22"/>
          <w:szCs w:val="22"/>
          <w:rtl/>
        </w:rPr>
      </w:pPr>
    </w:p>
    <w:p w14:paraId="522B2E48" w14:textId="77777777" w:rsidR="00B2458D" w:rsidRPr="00FD7C76" w:rsidRDefault="00B2458D" w:rsidP="00B2458D">
      <w:pPr>
        <w:bidi/>
        <w:rPr>
          <w:rStyle w:val="Style1Char"/>
          <w:color w:val="00B050"/>
          <w:rtl/>
        </w:rPr>
      </w:pPr>
    </w:p>
    <w:p w14:paraId="5D9B5772" w14:textId="77777777" w:rsidR="00B2458D" w:rsidRPr="00222095" w:rsidRDefault="00B2458D" w:rsidP="00B2458D">
      <w:pPr>
        <w:bidi/>
        <w:rPr>
          <w:rStyle w:val="Style1Char"/>
          <w:color w:val="00B050"/>
          <w:rtl/>
        </w:rPr>
      </w:pPr>
    </w:p>
    <w:p w14:paraId="2B76A1B5" w14:textId="77777777" w:rsidR="00B2458D" w:rsidRDefault="00B2458D" w:rsidP="00B2458D">
      <w:pPr>
        <w:rPr>
          <w:rStyle w:val="Style1Char"/>
          <w:color w:val="00B050"/>
          <w:rtl/>
        </w:rPr>
      </w:pPr>
      <w:r>
        <w:rPr>
          <w:rStyle w:val="Style1Char"/>
          <w:color w:val="00B050"/>
          <w:rtl/>
        </w:rPr>
        <w:br w:type="page"/>
      </w:r>
    </w:p>
    <w:p w14:paraId="012668CF" w14:textId="66E3E4E0" w:rsidR="00B2458D" w:rsidRPr="008F2AB0" w:rsidRDefault="00B2458D" w:rsidP="00B2458D">
      <w:pPr>
        <w:bidi/>
        <w:rPr>
          <w:rStyle w:val="Style1Char"/>
          <w:color w:val="4472C4" w:themeColor="accent1"/>
        </w:rPr>
      </w:pPr>
      <w:r w:rsidRPr="00CF6972">
        <w:rPr>
          <w:rStyle w:val="Style1Char"/>
          <w:color w:val="00B050"/>
          <w:sz w:val="22"/>
          <w:szCs w:val="22"/>
          <w:highlight w:val="yellow"/>
          <w:rtl/>
        </w:rPr>
        <w:lastRenderedPageBreak/>
        <w:t>[דף פא עמוד ב]</w:t>
      </w:r>
      <w:r w:rsidRPr="00CF6972">
        <w:rPr>
          <w:rStyle w:val="Style1Char"/>
          <w:color w:val="00B050"/>
          <w:sz w:val="22"/>
          <w:szCs w:val="22"/>
          <w:rtl/>
        </w:rPr>
        <w:t xml:space="preserve"> </w:t>
      </w:r>
      <w:r w:rsidRPr="00952CA4">
        <w:rPr>
          <w:rStyle w:val="Style1Char"/>
          <w:color w:val="00B050"/>
          <w:rtl/>
        </w:rPr>
        <w:t xml:space="preserve">ואי סלקא דעתין נתנה כתובה לגבות מחיים, נייחד לה שיעור כתובה והשאר ליזבין! ולטעמיך, ולותבה ממתני': לא יאמר לה הרי כתובתיך מונחת ליך על השלחן, אלא כל נכסיו אחראין לכתובתה! התם עצה טובה קא משמע לן, דאי לא תימא הכי, סיפא דקתני: וכן לא יאמר אדם לאשתו הרי כתובתיך מונחת ליך על השלחן אלא כל נכסיו אחראין לכתובת אשתו, אי בעי ליה לזבוני הכא נמי דלא מצי מזבין? אלא עצה טובה קמשמע לן, הכא נמי עצה טובה קמ"ל, אלא דרבי אבא קשיא! דרבי אבא נמי לא קשיא, משום איבה. </w:t>
      </w:r>
      <w:r w:rsidRPr="00F16D07">
        <w:rPr>
          <w:rStyle w:val="Style1Char"/>
          <w:color w:val="auto"/>
          <w:sz w:val="22"/>
          <w:szCs w:val="22"/>
          <w:rtl/>
        </w:rPr>
        <w:t xml:space="preserve">ההוא גברא דנפלה ליה יבמה בפומבדיתא, בעי אחוה למפסלה לה בגיטא מיניה, א"ל: מאי דעתיך? משום נכסי, אנא בנכסי פליגנא לך. </w:t>
      </w:r>
      <w:r w:rsidR="00E53D30">
        <w:rPr>
          <w:rStyle w:val="Style1Char"/>
          <w:rFonts w:hint="cs"/>
          <w:rtl/>
        </w:rPr>
        <w:t>(1)</w:t>
      </w:r>
      <w:r w:rsidRPr="00F16D07">
        <w:rPr>
          <w:rStyle w:val="Style1Char"/>
          <w:color w:val="auto"/>
          <w:sz w:val="22"/>
          <w:szCs w:val="22"/>
          <w:rtl/>
        </w:rPr>
        <w:t>אמר רב יוסף: כיון דאמור רבנן לא ליזבין, אף על גב דזבין לא הוה זביניה זביני, דתניא: מי שמת, והניח שומרת יבם והניח נכסים במאה מנה, אף על פי שכתובתה אינה אלא מנה - לא ימכור, שכל נכסיו אחראין לכתובתה</w:t>
      </w:r>
      <w:r w:rsidRPr="00FD7C76">
        <w:rPr>
          <w:rStyle w:val="Style1Char"/>
          <w:sz w:val="22"/>
          <w:szCs w:val="22"/>
          <w:rtl/>
        </w:rPr>
        <w:t>.</w:t>
      </w:r>
      <w:r w:rsidRPr="00952CA4">
        <w:rPr>
          <w:rStyle w:val="Style1Char"/>
          <w:color w:val="00B050"/>
          <w:rtl/>
        </w:rPr>
        <w:t xml:space="preserve"> אמר ליה אביי: וכל היכא דאמור רבנן לא ליזבין, אף על גב דזבין לא הוה זביניה זביני? והתנן, בית שמאי אומרים: תמכור, ובית הלל אומרים: לא תמכור, אלו ואלו מודים, שאם מכרה ונתנה - קיים! שלחוה לקמיה דר' חנינא בר פפי, שלחה: כדרב יוסף. אמר אביי: אטו ר' חנינא בר פפא כיפי תלה לה? שלחוה לקמיה דרב מניומי בריה דרב נחומי, שלחה: כדאביי, ואי אמר בה רב יוסף טעמא אחרינא שלחו לי. נפק רב יוסף דק ואשכח, ד</w:t>
      </w:r>
      <w:r w:rsidRPr="002646B1">
        <w:rPr>
          <w:rStyle w:val="Style1Char"/>
          <w:color w:val="auto"/>
          <w:sz w:val="22"/>
          <w:szCs w:val="22"/>
          <w:rtl/>
        </w:rPr>
        <w:t xml:space="preserve">תניא: הרי שהיה נושה באחיו </w:t>
      </w:r>
      <w:r w:rsidRPr="002646B1">
        <w:rPr>
          <w:rStyle w:val="Style1Char"/>
          <w:color w:val="806000" w:themeColor="accent4" w:themeShade="80"/>
          <w:sz w:val="22"/>
          <w:szCs w:val="22"/>
          <w:rtl/>
        </w:rPr>
        <w:t xml:space="preserve">מנה </w:t>
      </w:r>
      <w:r w:rsidRPr="002646B1">
        <w:rPr>
          <w:rStyle w:val="Style1Char"/>
          <w:color w:val="auto"/>
          <w:sz w:val="22"/>
          <w:szCs w:val="22"/>
          <w:rtl/>
        </w:rPr>
        <w:t>ומת, והניח שומרת יבם, לא יאמר הואיל ושאני יורש החזקתי, אלא מוציאין מיבם ויקח בהן קרקע והוא אוכל פירות</w:t>
      </w:r>
      <w:r w:rsidRPr="00FD7C76">
        <w:rPr>
          <w:rStyle w:val="Style1Char"/>
          <w:sz w:val="22"/>
          <w:szCs w:val="22"/>
          <w:rtl/>
        </w:rPr>
        <w:t xml:space="preserve">. </w:t>
      </w:r>
      <w:r w:rsidRPr="00952CA4">
        <w:rPr>
          <w:rStyle w:val="Style1Char"/>
          <w:color w:val="00B050"/>
          <w:rtl/>
        </w:rPr>
        <w:t xml:space="preserve">א"ל אביי: דלמא דטבא ליה עבדו ליה! א"ל, תנא תני: מוציאין, ואת אמרת: דטבא ליה עבדו ליה! הדור שלחוה קמיה דרב מניומי בריה דרב נחומי, אמר להו, הכי אמר רב יוסף בר מניומי אמר רב נחמן: זו </w:t>
      </w:r>
      <w:r w:rsidR="00710B4F">
        <w:rPr>
          <w:rStyle w:val="Style1Char"/>
          <w:rFonts w:hint="cs"/>
          <w:rtl/>
        </w:rPr>
        <w:t>(2)</w:t>
      </w:r>
      <w:r w:rsidRPr="00952CA4">
        <w:rPr>
          <w:rStyle w:val="Style1Char"/>
          <w:color w:val="00B050"/>
          <w:rtl/>
        </w:rPr>
        <w:t xml:space="preserve">אינה משנה. מאי טעמא? אילימא משום דהוו להו מטלטלי, ומטלטלי לכתובה לא משעבדי, דלמא </w:t>
      </w:r>
      <w:r w:rsidRPr="00BD1803">
        <w:rPr>
          <w:rStyle w:val="Style1Char"/>
          <w:color w:val="806000" w:themeColor="accent4" w:themeShade="80"/>
          <w:sz w:val="22"/>
          <w:szCs w:val="22"/>
          <w:rtl/>
        </w:rPr>
        <w:t xml:space="preserve">הא מתניתא </w:t>
      </w:r>
      <w:r w:rsidRPr="00BD1803">
        <w:rPr>
          <w:rStyle w:val="Style1Char"/>
          <w:color w:val="auto"/>
          <w:sz w:val="22"/>
          <w:szCs w:val="22"/>
          <w:rtl/>
        </w:rPr>
        <w:t>רבי מאיר היא, דאמר: מטלטלי משעבדי לכתובה</w:t>
      </w:r>
      <w:r w:rsidRPr="00BD1803">
        <w:rPr>
          <w:rStyle w:val="Style1Char"/>
          <w:color w:val="auto"/>
          <w:rtl/>
        </w:rPr>
        <w:t xml:space="preserve"> </w:t>
      </w:r>
      <w:r w:rsidRPr="00BD1803">
        <w:rPr>
          <w:rStyle w:val="Style1Char"/>
          <w:color w:val="806000" w:themeColor="accent4" w:themeShade="80"/>
          <w:rtl/>
        </w:rPr>
        <w:t>ואף על גב דלית הלכתא כוותיה כיון דתקינו רבנן השתא למגבה כתובה ממטלטלי עבדינן כוותיה</w:t>
      </w:r>
      <w:r w:rsidRPr="00BD1803">
        <w:rPr>
          <w:rStyle w:val="Style1Char"/>
          <w:color w:val="806000" w:themeColor="accent4" w:themeShade="80"/>
        </w:rPr>
        <w:t>:</w:t>
      </w:r>
      <w:r w:rsidRPr="00346C66">
        <w:rPr>
          <w:rStyle w:val="Style1Char"/>
          <w:color w:val="4472C4" w:themeColor="accent1"/>
          <w:rtl/>
        </w:rPr>
        <w:t xml:space="preserve"> </w:t>
      </w:r>
      <w:r w:rsidRPr="008F2AB0">
        <w:rPr>
          <w:rStyle w:val="Style1Char"/>
          <w:color w:val="4472C4" w:themeColor="accent1"/>
          <w:rtl/>
        </w:rPr>
        <w:t>ותמה הראב"ד ז"ל היאך הביא רב אלפס ז"ל ברייתא זו לפסק הלכה הא אמרינן דזו אינה משנה ולא עבדינן תרי חומרי בכתובה ואי משום דתקינו רבנן בתראי דכתובה גבי ממטלטלי. מי עדיפא תקנתא דבתראי ממילתיה דרבי מאיר דאמר מטלטלי משתעבדי לכתובה. ואפי' הכי אמרינן דדוקא במטלטלי דאיתנהו בעין ברשות היורשים</w:t>
      </w:r>
      <w:r>
        <w:rPr>
          <w:rStyle w:val="Style1Char"/>
          <w:rFonts w:hint="cs"/>
          <w:color w:val="4472C4" w:themeColor="accent1"/>
        </w:rPr>
        <w:t>‍</w:t>
      </w:r>
      <w:r w:rsidRPr="008F2AB0">
        <w:rPr>
          <w:rStyle w:val="Style1Char"/>
          <w:color w:val="4472C4" w:themeColor="accent1"/>
          <w:rtl/>
        </w:rPr>
        <w:t xml:space="preserve"> אבל מלוה דאיתא ברשות אחרים לא מפקינן מלוה בעל כרחו ויהבינן לאשה בכתובה מדרבי נתן דלא מחמרינן תרי חומרי בכתובה. וכל שכן שהיורש גופיה הוא הלוה דלא כייפינן ליה למפרע להנהו זוזי</w:t>
      </w:r>
      <w:r>
        <w:rPr>
          <w:rStyle w:val="Style1Char"/>
          <w:rFonts w:hint="cs"/>
          <w:color w:val="4472C4" w:themeColor="accent1"/>
        </w:rPr>
        <w:t>‍</w:t>
      </w:r>
      <w:r w:rsidRPr="008F2AB0">
        <w:rPr>
          <w:rStyle w:val="Style1Char"/>
          <w:color w:val="4472C4" w:themeColor="accent1"/>
          <w:rtl/>
        </w:rPr>
        <w:t xml:space="preserve"> </w:t>
      </w:r>
      <w:r>
        <w:rPr>
          <w:rStyle w:val="Style1Char"/>
          <w:rFonts w:hint="cs"/>
          <w:color w:val="4472C4" w:themeColor="accent1"/>
        </w:rPr>
        <w:t>‍‍‍</w:t>
      </w:r>
      <w:r w:rsidRPr="008F2AB0">
        <w:rPr>
          <w:rStyle w:val="Style1Char"/>
          <w:color w:val="4472C4" w:themeColor="accent1"/>
          <w:rtl/>
        </w:rPr>
        <w:t>ולא ידענא מאי קשיא ליה דהא דחשיב הש"ס להא מתניתא טעות לפי שודאי מעצמו שנאה התנא ומשבשתא היא</w:t>
      </w:r>
      <w:r>
        <w:rPr>
          <w:rStyle w:val="Style1Char"/>
          <w:rFonts w:hint="cs"/>
          <w:color w:val="4472C4" w:themeColor="accent1"/>
        </w:rPr>
        <w:t>‍</w:t>
      </w:r>
      <w:r w:rsidRPr="008F2AB0">
        <w:rPr>
          <w:rStyle w:val="Style1Char"/>
          <w:color w:val="4472C4" w:themeColor="accent1"/>
          <w:rtl/>
        </w:rPr>
        <w:t xml:space="preserve"> לפי שא"א לקיימה</w:t>
      </w:r>
      <w:r>
        <w:rPr>
          <w:rStyle w:val="Style1Char"/>
          <w:rFonts w:hint="cs"/>
          <w:color w:val="4472C4" w:themeColor="accent1"/>
        </w:rPr>
        <w:t>‍</w:t>
      </w:r>
      <w:r w:rsidRPr="008F2AB0">
        <w:rPr>
          <w:rStyle w:val="Style1Char"/>
          <w:color w:val="4472C4" w:themeColor="accent1"/>
          <w:rtl/>
        </w:rPr>
        <w:t xml:space="preserve"> אם לא שנעשה המחלוקת תרי זוגי תנאי. ר"מ ובר פלוגתיה. ור' נתן ובר פלוגתיה. ואפי' אי ס"ל הלכה כר"מ והלכה כר' נתן לא מחמרינן</w:t>
      </w:r>
      <w:r>
        <w:rPr>
          <w:rStyle w:val="Style1Char"/>
          <w:rFonts w:hint="cs"/>
          <w:color w:val="4472C4" w:themeColor="accent1"/>
        </w:rPr>
        <w:t>‍</w:t>
      </w:r>
      <w:r w:rsidRPr="008F2AB0">
        <w:rPr>
          <w:rStyle w:val="Style1Char"/>
          <w:color w:val="4472C4" w:themeColor="accent1"/>
          <w:rtl/>
        </w:rPr>
        <w:t xml:space="preserve"> תרי חומרי בכתובה. ואף אי ר"מ סבר כרבי נתן ורבי נתן כר' מאיר מודו תרווייהו דלא עבדינן כהך ברייתא אבל השתא דתקינו רבנן דגבי כתובה ממטלטלי יחזרו להיות המטלטלי כמו ממקרקעי ואין כאן אלא חומרא אחת כר' נתן</w:t>
      </w:r>
      <w:r>
        <w:rPr>
          <w:rStyle w:val="Style1Char"/>
          <w:rFonts w:hint="cs"/>
          <w:color w:val="4472C4" w:themeColor="accent1"/>
        </w:rPr>
        <w:t>‍‍‍‍</w:t>
      </w:r>
      <w:r w:rsidRPr="008F2AB0">
        <w:rPr>
          <w:rStyle w:val="Style1Char"/>
          <w:color w:val="4472C4" w:themeColor="accent1"/>
        </w:rPr>
        <w:t xml:space="preserve">: </w:t>
      </w:r>
    </w:p>
    <w:p w14:paraId="398F8EB0" w14:textId="5ABCC074" w:rsidR="00B2458D" w:rsidRDefault="00B2458D" w:rsidP="00B2458D">
      <w:pPr>
        <w:bidi/>
        <w:rPr>
          <w:rStyle w:val="Style1Char"/>
          <w:color w:val="00B050"/>
          <w:rtl/>
        </w:rPr>
      </w:pPr>
      <w:r w:rsidRPr="00952CA4">
        <w:rPr>
          <w:rStyle w:val="Style1Char"/>
          <w:color w:val="00B050"/>
          <w:rtl/>
        </w:rPr>
        <w:t>! ואלא משום דאמר לה את לאו בעלת דברים דידי את,</w:t>
      </w:r>
    </w:p>
    <w:p w14:paraId="163009D8" w14:textId="570AF702" w:rsidR="00E53D30" w:rsidRDefault="00E53D30" w:rsidP="00E53D30">
      <w:pPr>
        <w:pStyle w:val="Style1"/>
        <w:rPr>
          <w:rStyle w:val="Style1Char"/>
          <w:rtl/>
        </w:rPr>
      </w:pPr>
      <w:r>
        <w:rPr>
          <w:rStyle w:val="Style1Char"/>
          <w:rFonts w:hint="cs"/>
          <w:rtl/>
        </w:rPr>
        <w:t>1)[</w:t>
      </w:r>
      <w:r w:rsidRPr="00E53D30">
        <w:rPr>
          <w:rStyle w:val="Style1Char"/>
          <w:rtl/>
        </w:rPr>
        <w:t>רמב</w:t>
      </w:r>
      <w:r w:rsidR="00213DA1">
        <w:rPr>
          <w:rStyle w:val="Style1Char"/>
          <w:rtl/>
        </w:rPr>
        <w:t>”ם \נשים\</w:t>
      </w:r>
      <w:r w:rsidRPr="00E53D30">
        <w:rPr>
          <w:rStyle w:val="Style1Char"/>
          <w:rtl/>
        </w:rPr>
        <w:t xml:space="preserve"> הלכות אישות פרק כב הלכה יא</w:t>
      </w:r>
      <w:r>
        <w:rPr>
          <w:rStyle w:val="Style1Char"/>
          <w:rFonts w:hint="cs"/>
          <w:rtl/>
        </w:rPr>
        <w:t xml:space="preserve">] </w:t>
      </w:r>
      <w:r w:rsidRPr="00E53D30">
        <w:rPr>
          <w:rStyle w:val="Style1Char"/>
          <w:rtl/>
        </w:rPr>
        <w:t>שומרת יבם כתובתה על כל נכסי בעלה, לפיכך אין היבם יכול למכור בנכסי אחיו בין קודם יבום בין אחר יבום, ואם מכר או נתן מתנה או חלק עם אחיו בנכסי המת בין קודם יבום בין אחר יבום לא עשה כלום, שכבר נתחייבו נכסים אלו לאלמנה לגבות מהן כתובתה.</w:t>
      </w:r>
    </w:p>
    <w:p w14:paraId="38B6E639" w14:textId="12A6290E" w:rsidR="00E53D30" w:rsidRDefault="00E53D30" w:rsidP="00E53D30">
      <w:pPr>
        <w:pStyle w:val="Style1"/>
        <w:rPr>
          <w:rtl/>
        </w:rPr>
      </w:pPr>
      <w:r>
        <w:rPr>
          <w:rFonts w:hint="cs"/>
          <w:rtl/>
        </w:rPr>
        <w:t>1)[</w:t>
      </w:r>
      <w:r>
        <w:rPr>
          <w:rtl/>
        </w:rPr>
        <w:t>שולחן ערוך אבן העזר הלכות יבום סימן קסח סעיף ג</w:t>
      </w:r>
      <w:r>
        <w:rPr>
          <w:rFonts w:hint="cs"/>
          <w:rtl/>
        </w:rPr>
        <w:t xml:space="preserve">] </w:t>
      </w:r>
      <w:r>
        <w:rPr>
          <w:rtl/>
        </w:rPr>
        <w:t>יבמה, כתובתה על נכסי בעלה הראשון. לפיכך אין היבם רשאי למכור כלום מכל נכסי אחיו. ואם מכר או נתן מתנה, או חלק עם אחיו בנכסי המת, בין קודם יבום בין אחר יבום, לא עשה כלום.</w:t>
      </w:r>
    </w:p>
    <w:p w14:paraId="0B81C618" w14:textId="1EB054C7" w:rsidR="00710B4F" w:rsidRDefault="00710B4F" w:rsidP="00710B4F">
      <w:pPr>
        <w:pStyle w:val="Style1"/>
        <w:rPr>
          <w:rtl/>
        </w:rPr>
      </w:pPr>
      <w:r>
        <w:rPr>
          <w:rFonts w:hint="cs"/>
          <w:rtl/>
        </w:rPr>
        <w:t>2)[</w:t>
      </w:r>
      <w:r>
        <w:rPr>
          <w:rtl/>
        </w:rPr>
        <w:t>רמב</w:t>
      </w:r>
      <w:r w:rsidR="00213DA1">
        <w:rPr>
          <w:rtl/>
        </w:rPr>
        <w:t>”ם \נשים\</w:t>
      </w:r>
      <w:r>
        <w:rPr>
          <w:rtl/>
        </w:rPr>
        <w:t xml:space="preserve"> הלכות אישות פרק כב הלכה יג</w:t>
      </w:r>
      <w:r>
        <w:rPr>
          <w:rFonts w:hint="cs"/>
          <w:rtl/>
        </w:rPr>
        <w:t xml:space="preserve">] </w:t>
      </w:r>
      <w:r>
        <w:rPr>
          <w:rtl/>
        </w:rPr>
        <w:t>הניח פירות תלושין מן הקרקע וכן אם הניח מעות ומטלטלין הכל של יבם, ומשתמש בהן כמו שירצה ואינה יכולה לעכב, שהמטלטלין אין הכתובה נגבית מהן אלא בתקנת הגאונים ואין כח בתקנה זו למנעו מנכסי אחיו ולאסרן עליו באחריות זו שלא ישא ויתן בהם.</w:t>
      </w:r>
    </w:p>
    <w:p w14:paraId="352B4349" w14:textId="1C243783" w:rsidR="00710B4F" w:rsidRDefault="00710B4F" w:rsidP="00710B4F">
      <w:pPr>
        <w:pStyle w:val="Style1"/>
        <w:rPr>
          <w:rtl/>
        </w:rPr>
      </w:pPr>
      <w:r>
        <w:rPr>
          <w:rFonts w:hint="cs"/>
          <w:rtl/>
        </w:rPr>
        <w:t>2)[</w:t>
      </w:r>
      <w:r>
        <w:rPr>
          <w:rtl/>
        </w:rPr>
        <w:t>שולחן ערוך אבן העזר הלכות יבום סימן קסח סעיף ה</w:t>
      </w:r>
      <w:r>
        <w:rPr>
          <w:rFonts w:hint="cs"/>
          <w:rtl/>
        </w:rPr>
        <w:t xml:space="preserve">] </w:t>
      </w:r>
      <w:r>
        <w:rPr>
          <w:rtl/>
        </w:rPr>
        <w:t>הניח פירות תלושין או מטלטלים, ימכרו, וילקח בהן קרקע והוא אוכל פירות. וה"ה אם הניח מעות. ואפילו אם היה הוא חייב לאחיו מנה, מוציאין מידו וילקח בהם קרקע והוא אוכל פירות. וי"א שבפירות תלושין ומטלטלין ומעות, משתמש בהם כמו שירצה. ואם כתוב בכתובה: מטלטלי אגב מקרקעי, לדברי הכל ילקח בהם קרקע והוא אוכל פירות. הגה: ומ"מ כל זמן שלא כנסה, אין נותנים הנכסים לידו, אלא מוציאין כל המטלטלין והמעות מידו ליד ב"ד או לאפוטרופוס, (אבל) הקרקעות הוא אוכל פירות (ב"י בשם הרשב"א).</w:t>
      </w:r>
    </w:p>
    <w:p w14:paraId="5361C656" w14:textId="77777777" w:rsidR="00B2458D" w:rsidRPr="00E53D30" w:rsidRDefault="00B2458D" w:rsidP="00E53D30">
      <w:pPr>
        <w:pStyle w:val="Style1"/>
        <w:rPr>
          <w:rStyle w:val="Style1Char"/>
          <w:rtl/>
        </w:rPr>
      </w:pPr>
    </w:p>
    <w:p w14:paraId="6902B2B9" w14:textId="77777777" w:rsidR="00B2458D" w:rsidRPr="00FD7C76" w:rsidRDefault="00B2458D" w:rsidP="00B2458D">
      <w:pPr>
        <w:bidi/>
        <w:rPr>
          <w:rStyle w:val="Style1Char"/>
          <w:color w:val="00B050"/>
          <w:rtl/>
        </w:rPr>
      </w:pPr>
    </w:p>
    <w:p w14:paraId="278F491C" w14:textId="77777777" w:rsidR="00B2458D" w:rsidRPr="00293059" w:rsidRDefault="00B2458D" w:rsidP="00B2458D">
      <w:pPr>
        <w:bidi/>
        <w:rPr>
          <w:rStyle w:val="Style1Char"/>
          <w:color w:val="00B050"/>
          <w:rtl/>
        </w:rPr>
      </w:pPr>
    </w:p>
    <w:p w14:paraId="3EF49236" w14:textId="77777777" w:rsidR="00B2458D" w:rsidRDefault="00B2458D" w:rsidP="00B2458D">
      <w:pPr>
        <w:rPr>
          <w:rStyle w:val="Style1Char"/>
          <w:color w:val="00B050"/>
          <w:rtl/>
        </w:rPr>
      </w:pPr>
      <w:r>
        <w:rPr>
          <w:rStyle w:val="Style1Char"/>
          <w:color w:val="00B050"/>
          <w:rtl/>
        </w:rPr>
        <w:br w:type="page"/>
      </w:r>
    </w:p>
    <w:p w14:paraId="4799EFB1" w14:textId="24EFB44F" w:rsidR="00B2458D" w:rsidRDefault="00B2458D" w:rsidP="00B2458D">
      <w:pPr>
        <w:bidi/>
        <w:rPr>
          <w:rStyle w:val="Style1Char"/>
          <w:color w:val="00B050"/>
          <w:rtl/>
        </w:rPr>
      </w:pPr>
      <w:r w:rsidRPr="00952CA4">
        <w:rPr>
          <w:rStyle w:val="Style1Char"/>
          <w:color w:val="00B050"/>
          <w:rtl/>
        </w:rPr>
        <w:lastRenderedPageBreak/>
        <w:t xml:space="preserve"> </w:t>
      </w:r>
      <w:r w:rsidRPr="00CF6972">
        <w:rPr>
          <w:rStyle w:val="Style1Char"/>
          <w:color w:val="00B050"/>
          <w:sz w:val="22"/>
          <w:szCs w:val="22"/>
          <w:highlight w:val="yellow"/>
          <w:rtl/>
        </w:rPr>
        <w:t>[דף פב עמוד א]</w:t>
      </w:r>
      <w:r w:rsidRPr="00CF6972">
        <w:rPr>
          <w:rStyle w:val="Style1Char"/>
          <w:color w:val="00B050"/>
          <w:sz w:val="22"/>
          <w:szCs w:val="22"/>
          <w:rtl/>
        </w:rPr>
        <w:t xml:space="preserve"> </w:t>
      </w:r>
      <w:r w:rsidRPr="00952CA4">
        <w:rPr>
          <w:rStyle w:val="Style1Char"/>
          <w:color w:val="00B050"/>
          <w:rtl/>
        </w:rPr>
        <w:t xml:space="preserve">דלמא רבי נתן היא, דתניא, ר' נתן אומר: </w:t>
      </w:r>
      <w:r w:rsidR="00710B4F">
        <w:rPr>
          <w:rStyle w:val="Style1Char"/>
          <w:rFonts w:hint="cs"/>
          <w:rtl/>
        </w:rPr>
        <w:t>(1)</w:t>
      </w:r>
      <w:r w:rsidRPr="00952CA4">
        <w:rPr>
          <w:rStyle w:val="Style1Char"/>
          <w:color w:val="00B050"/>
          <w:rtl/>
        </w:rPr>
        <w:t xml:space="preserve">מנין לנושה בחבירו מנה וחבירו בחבירו, מנין שמוציאין מזה ונותנין לזה? ת"ל: ונתן לאשר אשם לו! אלא, לא אשכחן תנא דמחמיר תרי חומרי בכתובה, אלא אי כרבי מאיר אי כר' נתן. אמר רבא: א"כ, היינו דשמענא ליה לאביי דאמר זו אינה משנה, ולא ידענא מאי היא. ההוא גברא דנפלה ליה יבמה במתא מחסיא, בעא אחוה למיפסלה בגיטא מיניה, אמר ליה: מאי דעתיך? אי משום נכסי, אנא בנכסי פליגנא לך. אמר ליה: מסתפינא דעבדת לי כדעביד פומבדיתאה רמאה! אמר ליה: אי בעית פלוג לך מהשתא. אמר מר בר רב אשי, אף על גב דכי אתא רב דימי אמר רבי יוחנן: האומר לחבירו לך ומשוך פרה זו, ולא תהיה קנויה לך אלא לאחר שלשים יום - לאחר ל' יום קנה ואפי' עומדת באגם, התם בידו, הכא לאו בידו. והא כי אתא רבין א"ר יוחנן: לא קני! לא קשיא: </w:t>
      </w:r>
      <w:r w:rsidR="00D54AC6">
        <w:rPr>
          <w:rStyle w:val="Style1Char"/>
          <w:rFonts w:hint="cs"/>
          <w:rtl/>
        </w:rPr>
        <w:t>(2)</w:t>
      </w:r>
      <w:r w:rsidRPr="00952CA4">
        <w:rPr>
          <w:rStyle w:val="Style1Char"/>
          <w:color w:val="00B050"/>
          <w:rtl/>
        </w:rPr>
        <w:t>הא דא"ל קני מעכשיו, הא דלא אמר ליה קני מעכשיו: בעו מיניה מעולא: יבם ואח"כ חילק, מהו? לא עשה ולא כלום; חילק ואח"כ יבם, מהו? לא עשה ולא כלום. מתקיף לה רב ששת: השתא יבם ואח"כ חילק לא עשה ולא כלום חילק ואח"כ יבם מבעיא? שני מעשים הוו</w:t>
      </w:r>
      <w:r w:rsidRPr="007114F9">
        <w:rPr>
          <w:rStyle w:val="Style1Char"/>
          <w:color w:val="auto"/>
          <w:rtl/>
        </w:rPr>
        <w:t xml:space="preserve">. </w:t>
      </w:r>
      <w:r w:rsidRPr="007114F9">
        <w:rPr>
          <w:rStyle w:val="Style1Char"/>
          <w:color w:val="auto"/>
          <w:sz w:val="22"/>
          <w:szCs w:val="22"/>
          <w:rtl/>
        </w:rPr>
        <w:t xml:space="preserve">כי אתא רבין אמר ר"ל: בין יבם ואח"כ חילק, בין חילק ואח"כ יבם - לא עשה </w:t>
      </w:r>
      <w:r w:rsidRPr="00952CA4">
        <w:rPr>
          <w:rStyle w:val="Style1Char"/>
          <w:color w:val="00B050"/>
          <w:rtl/>
        </w:rPr>
        <w:t xml:space="preserve">ולא </w:t>
      </w:r>
      <w:r w:rsidRPr="007114F9">
        <w:rPr>
          <w:rStyle w:val="Style1Char"/>
          <w:color w:val="auto"/>
          <w:sz w:val="22"/>
          <w:szCs w:val="22"/>
          <w:rtl/>
        </w:rPr>
        <w:t xml:space="preserve">כלום. </w:t>
      </w:r>
      <w:r w:rsidR="00D54AC6">
        <w:rPr>
          <w:rStyle w:val="Style1Char"/>
          <w:rFonts w:hint="cs"/>
          <w:rtl/>
        </w:rPr>
        <w:t>(3)</w:t>
      </w:r>
      <w:r w:rsidRPr="007114F9">
        <w:rPr>
          <w:rStyle w:val="Style1Char"/>
          <w:color w:val="auto"/>
          <w:sz w:val="22"/>
          <w:szCs w:val="22"/>
          <w:rtl/>
        </w:rPr>
        <w:t xml:space="preserve">והלכתא: לא עשה </w:t>
      </w:r>
      <w:r w:rsidRPr="007114F9">
        <w:rPr>
          <w:rStyle w:val="Style1Char"/>
          <w:color w:val="ED7D31" w:themeColor="accent2"/>
          <w:sz w:val="22"/>
          <w:szCs w:val="22"/>
          <w:rtl/>
        </w:rPr>
        <w:t xml:space="preserve">ולא </w:t>
      </w:r>
      <w:r w:rsidRPr="007114F9">
        <w:rPr>
          <w:rStyle w:val="Style1Char"/>
          <w:color w:val="auto"/>
          <w:sz w:val="22"/>
          <w:szCs w:val="22"/>
          <w:rtl/>
        </w:rPr>
        <w:t>כלום</w:t>
      </w:r>
      <w:r w:rsidRPr="00952CA4">
        <w:rPr>
          <w:rStyle w:val="Style1Char"/>
          <w:color w:val="00B050"/>
          <w:rtl/>
        </w:rPr>
        <w:t xml:space="preserve">. </w:t>
      </w:r>
      <w:r w:rsidRPr="00CB3B2B">
        <w:rPr>
          <w:rStyle w:val="Style1Char"/>
          <w:color w:val="auto"/>
          <w:sz w:val="22"/>
          <w:szCs w:val="22"/>
          <w:rtl/>
        </w:rPr>
        <w:t>וחכ"א פירות המחוברים לקרקע - שלו</w:t>
      </w:r>
      <w:r w:rsidRPr="00952CA4">
        <w:rPr>
          <w:rStyle w:val="Style1Char"/>
          <w:color w:val="00B050"/>
          <w:rtl/>
        </w:rPr>
        <w:t xml:space="preserve">. אמאי? </w:t>
      </w:r>
      <w:r w:rsidRPr="00CB3B2B">
        <w:rPr>
          <w:rStyle w:val="Style1Char"/>
          <w:color w:val="auto"/>
          <w:sz w:val="22"/>
          <w:szCs w:val="22"/>
          <w:rtl/>
        </w:rPr>
        <w:t xml:space="preserve">והא כל נכסיו אחראין </w:t>
      </w:r>
      <w:r w:rsidRPr="00952CA4">
        <w:rPr>
          <w:rStyle w:val="Style1Char"/>
          <w:color w:val="00B050"/>
          <w:rtl/>
        </w:rPr>
        <w:t xml:space="preserve">וערבאין </w:t>
      </w:r>
      <w:r w:rsidRPr="00CB3B2B">
        <w:rPr>
          <w:rStyle w:val="Style1Char"/>
          <w:color w:val="auto"/>
          <w:sz w:val="22"/>
          <w:szCs w:val="22"/>
          <w:rtl/>
        </w:rPr>
        <w:t>לכתובתה! אמר ריש לקיש, תני: שלה</w:t>
      </w:r>
      <w:r w:rsidRPr="00952CA4">
        <w:rPr>
          <w:rStyle w:val="Style1Char"/>
          <w:color w:val="00B050"/>
          <w:rtl/>
        </w:rPr>
        <w:t xml:space="preserve">. </w:t>
      </w:r>
      <w:r w:rsidRPr="0065564B">
        <w:rPr>
          <w:rStyle w:val="Style1Char"/>
          <w:color w:val="ED7D31" w:themeColor="accent2"/>
          <w:sz w:val="22"/>
          <w:szCs w:val="22"/>
          <w:rtl/>
        </w:rPr>
        <w:t>כנסה - הרי היא כאשתו</w:t>
      </w:r>
      <w:r w:rsidRPr="0021028C">
        <w:rPr>
          <w:rStyle w:val="Style1Char"/>
          <w:color w:val="4472C4" w:themeColor="accent1"/>
          <w:rtl/>
        </w:rPr>
        <w:t xml:space="preserve"> </w:t>
      </w:r>
      <w:r w:rsidRPr="0021028C">
        <w:rPr>
          <w:rStyle w:val="Style1Char"/>
          <w:color w:val="4472C4" w:themeColor="accent1"/>
          <w:sz w:val="22"/>
          <w:szCs w:val="22"/>
          <w:rtl/>
        </w:rPr>
        <w:t>לכל דבר</w:t>
      </w:r>
      <w:r w:rsidRPr="0065564B">
        <w:rPr>
          <w:rStyle w:val="Style1Char"/>
          <w:color w:val="ED7D31" w:themeColor="accent2"/>
          <w:sz w:val="22"/>
          <w:szCs w:val="22"/>
          <w:rtl/>
        </w:rPr>
        <w:t xml:space="preserve">. למאי הלכתא? </w:t>
      </w:r>
      <w:r w:rsidRPr="00952CA4">
        <w:rPr>
          <w:rStyle w:val="Style1Char"/>
          <w:color w:val="00B050"/>
          <w:rtl/>
        </w:rPr>
        <w:t xml:space="preserve">אמר רבי יוסי בר' חנינא: </w:t>
      </w:r>
      <w:r w:rsidRPr="0065564B">
        <w:rPr>
          <w:rStyle w:val="Style1Char"/>
          <w:color w:val="ED7D31" w:themeColor="accent2"/>
          <w:sz w:val="22"/>
          <w:szCs w:val="22"/>
          <w:rtl/>
        </w:rPr>
        <w:t xml:space="preserve">לומר, </w:t>
      </w:r>
      <w:r w:rsidR="008B2599">
        <w:rPr>
          <w:rStyle w:val="Style1Char"/>
          <w:rFonts w:hint="cs"/>
          <w:rtl/>
        </w:rPr>
        <w:t>(4)</w:t>
      </w:r>
      <w:r w:rsidRPr="0065564B">
        <w:rPr>
          <w:rStyle w:val="Style1Char"/>
          <w:color w:val="ED7D31" w:themeColor="accent2"/>
          <w:sz w:val="22"/>
          <w:szCs w:val="22"/>
          <w:rtl/>
        </w:rPr>
        <w:t xml:space="preserve">שמגרשה בגט ומחזירה. </w:t>
      </w:r>
      <w:r w:rsidRPr="00E90632">
        <w:rPr>
          <w:rStyle w:val="Style1Char"/>
          <w:color w:val="00B050"/>
          <w:rtl/>
        </w:rPr>
        <w:t>מגרשה בגט</w:t>
      </w:r>
      <w:r w:rsidRPr="00952CA4">
        <w:rPr>
          <w:rStyle w:val="Style1Char"/>
          <w:color w:val="00B050"/>
          <w:rtl/>
        </w:rPr>
        <w:t xml:space="preserve">, פשיטא! מהו דתימא ויבמה אמר רחמנא, ועדיין יבומין הראשונים עליה, לא תיסגי לה בגט אלא בחליצה, קא משמע לן. מחזירה, פשיטא! </w:t>
      </w:r>
    </w:p>
    <w:p w14:paraId="27409BE2" w14:textId="006C487E" w:rsidR="00710B4F" w:rsidRDefault="00710B4F" w:rsidP="00710B4F">
      <w:pPr>
        <w:pStyle w:val="Style1"/>
        <w:rPr>
          <w:rStyle w:val="Style1Char"/>
          <w:rtl/>
        </w:rPr>
      </w:pPr>
      <w:r>
        <w:rPr>
          <w:rStyle w:val="Style1Char"/>
          <w:rFonts w:hint="cs"/>
          <w:rtl/>
        </w:rPr>
        <w:t>1)[</w:t>
      </w:r>
      <w:r w:rsidRPr="00710B4F">
        <w:rPr>
          <w:rStyle w:val="Style1Char"/>
          <w:rtl/>
        </w:rPr>
        <w:t>רמב</w:t>
      </w:r>
      <w:r w:rsidR="0057095E">
        <w:rPr>
          <w:rStyle w:val="Style1Char"/>
          <w:rtl/>
        </w:rPr>
        <w:t>”ם \משפטים\</w:t>
      </w:r>
      <w:r w:rsidRPr="00710B4F">
        <w:rPr>
          <w:rStyle w:val="Style1Char"/>
          <w:rtl/>
        </w:rPr>
        <w:t xml:space="preserve"> הלכות מלוה ולוה פרק ב הלכה ו</w:t>
      </w:r>
      <w:r>
        <w:rPr>
          <w:rStyle w:val="Style1Char"/>
          <w:rFonts w:hint="cs"/>
          <w:rtl/>
        </w:rPr>
        <w:t xml:space="preserve">] </w:t>
      </w:r>
      <w:r w:rsidRPr="00710B4F">
        <w:rPr>
          <w:rStyle w:val="Style1Char"/>
          <w:rtl/>
        </w:rPr>
        <w:t>ראובן שהיה חייב לשמעון מאה ולוי חייב לראובן מאה מוציאין מלוי ונותנין לשמעון, לפיכך אם אין לראובן נכסים והיו לו שטרי חוב על לוי ואמר לוי שטר אמנה הוא פרוע הוא והודה לו ראובן אין משגיחין על הודאתו שמא קנוניא הם עושין לאבד זכותו של שמעון אלא ישבע שמעון ויטול מלוי כדין כל טורף שאינו נפרע אלא בשבועה, וכן כל מי שיש עליו שטר חוב והודה לאחר מעצמו בחוב אחר אם אין לו נכסים כדי שיגבו שניהם גובה בעל השטר בלבד שלא יעשו קנוניא על שטרו של זה.</w:t>
      </w:r>
    </w:p>
    <w:p w14:paraId="6817DD08" w14:textId="01CC30D7" w:rsidR="00D54AC6" w:rsidRPr="00D54AC6" w:rsidRDefault="00710B4F" w:rsidP="00D54AC6">
      <w:pPr>
        <w:pStyle w:val="Style1"/>
      </w:pPr>
      <w:r>
        <w:rPr>
          <w:rStyle w:val="Style1Char"/>
          <w:rFonts w:hint="cs"/>
          <w:rtl/>
        </w:rPr>
        <w:t>1)[</w:t>
      </w:r>
      <w:r w:rsidRPr="00710B4F">
        <w:rPr>
          <w:rStyle w:val="Style1Char"/>
          <w:rtl/>
        </w:rPr>
        <w:t>שולחן ערוך חושן משפט הלכות טוען ונטען סימן פו סעיף א</w:t>
      </w:r>
      <w:r>
        <w:rPr>
          <w:rStyle w:val="Style1Char"/>
          <w:rFonts w:hint="cs"/>
          <w:rtl/>
        </w:rPr>
        <w:t>]</w:t>
      </w:r>
      <w:r w:rsidR="00D54AC6">
        <w:rPr>
          <w:rStyle w:val="Style1Char"/>
          <w:rFonts w:hint="cs"/>
          <w:rtl/>
        </w:rPr>
        <w:t xml:space="preserve"> </w:t>
      </w:r>
      <w:r w:rsidR="00D54AC6" w:rsidRPr="00D54AC6">
        <w:rPr>
          <w:rtl/>
        </w:rPr>
        <w:t>ראובן שנושה ק' בשמעון ושמעון בלוי מוציאין מלוי ונותנין לראובן ל"ש אם נתחייב לו כבר לשמעון בשעה שלוה מראובן ל"ש נתחייב לו אח"כ ואין חילוק בזה בין מלוה בשטר למלוה על פה כיון ששני הלווים מודים כל אחד למלוה שלו מוציאין מלוי ונותנים לראובן בכל ענין שיתחייב לוי לשמעון בין דרך הלואה שהלוה לו בין דרך מקח וממכר בין דרך שכירות</w:t>
      </w:r>
      <w:r w:rsidR="00D54AC6" w:rsidRPr="00D54AC6">
        <w:t>:</w:t>
      </w:r>
    </w:p>
    <w:p w14:paraId="76875957" w14:textId="117A68FF" w:rsidR="00D54AC6" w:rsidRDefault="00D54AC6" w:rsidP="00D54AC6">
      <w:pPr>
        <w:pStyle w:val="Style1"/>
        <w:rPr>
          <w:rtl/>
        </w:rPr>
      </w:pPr>
      <w:r w:rsidRPr="00D54AC6">
        <w:rPr>
          <w:rFonts w:hint="cs"/>
          <w:rtl/>
        </w:rPr>
        <w:t>הגה: ראובן שיש לו משכון מן העכו"ם והעכו"ם חייב לשמעון י"א דיוכל שמעון לפדות המשכון מראובן ונותן לו קרן ורבית שעלה עליו וגובה חובו מן המותר (תשו' מהרי"ל סי' קפ"ח) וכן נ"ל מאחר שאין לעכו"ם לפרוע בענין אחר שמעון יש לו כל זכות העכו"ם ואע"פ שיש מי שחולק בזה (ב"י </w:t>
      </w:r>
      <w:hyperlink r:id="rId204" w:tooltip="טור חושן משפט עד" w:history="1">
        <w:r w:rsidRPr="00D54AC6">
          <w:rPr>
            <w:rStyle w:val="Hyperlink"/>
            <w:rFonts w:hint="cs"/>
            <w:color w:val="7030A0"/>
            <w:u w:val="none"/>
            <w:rtl/>
          </w:rPr>
          <w:t>סי' ע"ד</w:t>
        </w:r>
      </w:hyperlink>
      <w:r w:rsidRPr="00D54AC6">
        <w:rPr>
          <w:rFonts w:hint="cs"/>
        </w:rPr>
        <w:t xml:space="preserve">) </w:t>
      </w:r>
      <w:r w:rsidRPr="00D54AC6">
        <w:rPr>
          <w:rFonts w:hint="cs"/>
          <w:rtl/>
        </w:rPr>
        <w:t>נראה לדון כמו שכתבתי</w:t>
      </w:r>
      <w:r w:rsidRPr="00D54AC6">
        <w:t>:</w:t>
      </w:r>
    </w:p>
    <w:p w14:paraId="201ABDA8" w14:textId="5731471F" w:rsidR="00D54AC6" w:rsidRDefault="00D54AC6" w:rsidP="00D54AC6">
      <w:pPr>
        <w:pStyle w:val="Style1"/>
        <w:rPr>
          <w:rtl/>
        </w:rPr>
      </w:pPr>
      <w:r>
        <w:rPr>
          <w:rFonts w:hint="cs"/>
          <w:rtl/>
        </w:rPr>
        <w:t>2)[</w:t>
      </w:r>
      <w:r>
        <w:rPr>
          <w:rtl/>
        </w:rPr>
        <w:t>רמב</w:t>
      </w:r>
      <w:r w:rsidR="00786216">
        <w:rPr>
          <w:rtl/>
        </w:rPr>
        <w:t>”ם \מכירה\</w:t>
      </w:r>
      <w:r>
        <w:rPr>
          <w:rtl/>
        </w:rPr>
        <w:t xml:space="preserve"> הלכות מכירה פרק ב הלכה ט</w:t>
      </w:r>
      <w:r>
        <w:rPr>
          <w:rFonts w:hint="cs"/>
          <w:rtl/>
        </w:rPr>
        <w:t xml:space="preserve">] </w:t>
      </w:r>
      <w:r>
        <w:rPr>
          <w:rtl/>
        </w:rPr>
        <w:t>האומר לחבירו משוך פרה זו ולא תקנה אלא לאחר שלשים יום ומשך, לא קנה, ואם אמר לו קנה מעכשיו ולאחר שלשים יום קנה, ואפילו היתה עומדת באגם ביום שלשים, שזה כמי שהקנה אותו מעתה על תנאי נעשה התנאי נתקיים הקניין, וכל האומר על מנת כאומר מעכשיו דמי. /השגת הראב"ד/ ביום שלשים וכו'. א"א נ"ל אם הפרה עומדת ברשות הלוקח ביום ל"א שהיא קנויה לו מידי דהוה אהרי את מקודשת לי לאחר שלשים יום דחיילי קדושין בההוא יומא עכ"ל.</w:t>
      </w:r>
    </w:p>
    <w:p w14:paraId="5A8561B0" w14:textId="5289F554" w:rsidR="00D54AC6" w:rsidRDefault="00D54AC6" w:rsidP="00D54AC6">
      <w:pPr>
        <w:pStyle w:val="Style1"/>
        <w:rPr>
          <w:rtl/>
        </w:rPr>
      </w:pPr>
      <w:r>
        <w:rPr>
          <w:rFonts w:hint="cs"/>
          <w:rtl/>
        </w:rPr>
        <w:t>2)[</w:t>
      </w:r>
      <w:r>
        <w:rPr>
          <w:rtl/>
        </w:rPr>
        <w:t>שולחן ערוך חושן משפט הלכות מקח וממכר סימן קצז סעיף ז</w:t>
      </w:r>
      <w:r>
        <w:rPr>
          <w:rFonts w:hint="cs"/>
          <w:rtl/>
        </w:rPr>
        <w:t xml:space="preserve">] </w:t>
      </w:r>
      <w:r w:rsidRPr="00D54AC6">
        <w:rPr>
          <w:rtl/>
        </w:rPr>
        <w:t>האומר לחבירו משוך פרה זו ולא תקני אלא לאחר שלשים יום ומשך לא קנה ואם אמר ליה קנה מעכשיו ולאחר ל' יום קנה ואפילו היתה עומדת באגם ביום ל' שזה כמי שהקנה אותה מעתה על תנאי נעשה התנאי נתקיים הקנין וכל האומר על מנת כאומר מעכשיו דמי</w:t>
      </w:r>
      <w:r w:rsidRPr="00D54AC6">
        <w:t>:</w:t>
      </w:r>
    </w:p>
    <w:p w14:paraId="6FAC6559" w14:textId="3EFB37C5" w:rsidR="00D54AC6" w:rsidRDefault="00D54AC6" w:rsidP="00D54AC6">
      <w:pPr>
        <w:pStyle w:val="Style1"/>
        <w:rPr>
          <w:rStyle w:val="Style1Char"/>
          <w:rtl/>
        </w:rPr>
      </w:pPr>
      <w:r>
        <w:rPr>
          <w:rStyle w:val="Style1Char"/>
          <w:rFonts w:hint="cs"/>
          <w:rtl/>
        </w:rPr>
        <w:t>3)[</w:t>
      </w:r>
      <w:r w:rsidRPr="00E53D30">
        <w:rPr>
          <w:rStyle w:val="Style1Char"/>
          <w:rtl/>
        </w:rPr>
        <w:t>רמב</w:t>
      </w:r>
      <w:r w:rsidR="00213DA1">
        <w:rPr>
          <w:rStyle w:val="Style1Char"/>
          <w:rtl/>
        </w:rPr>
        <w:t>”ם \נשים\</w:t>
      </w:r>
      <w:r w:rsidRPr="00E53D30">
        <w:rPr>
          <w:rStyle w:val="Style1Char"/>
          <w:rtl/>
        </w:rPr>
        <w:t xml:space="preserve"> הלכות אישות פרק כב הלכה יא</w:t>
      </w:r>
      <w:r>
        <w:rPr>
          <w:rStyle w:val="Style1Char"/>
          <w:rFonts w:hint="cs"/>
          <w:rtl/>
        </w:rPr>
        <w:t xml:space="preserve">] </w:t>
      </w:r>
      <w:r w:rsidRPr="00E53D30">
        <w:rPr>
          <w:rStyle w:val="Style1Char"/>
          <w:rtl/>
        </w:rPr>
        <w:t>שומרת יבם כתובתה על כל נכסי בעלה, לפיכך אין היבם יכול למכור בנכסי אחיו בין קודם יבום בין אחר יבום, ואם מכר או נתן מתנה או חלק עם אחיו בנכסי המת בין קודם יבום בין אחר יבום לא עשה כלום, שכבר נתחייבו נכסים אלו לאלמנה לגבות מהן כתובתה.</w:t>
      </w:r>
    </w:p>
    <w:p w14:paraId="43B8E897" w14:textId="1AE513A4" w:rsidR="00D54AC6" w:rsidRDefault="00D54AC6" w:rsidP="00D54AC6">
      <w:pPr>
        <w:pStyle w:val="Style1"/>
        <w:rPr>
          <w:rtl/>
        </w:rPr>
      </w:pPr>
      <w:r>
        <w:rPr>
          <w:rFonts w:hint="cs"/>
          <w:rtl/>
        </w:rPr>
        <w:t>3)[</w:t>
      </w:r>
      <w:r>
        <w:rPr>
          <w:rtl/>
        </w:rPr>
        <w:t>שולחן ערוך אבן העזר הלכות יבום סימן קסח סעיף ג</w:t>
      </w:r>
      <w:r>
        <w:rPr>
          <w:rFonts w:hint="cs"/>
          <w:rtl/>
        </w:rPr>
        <w:t xml:space="preserve">] </w:t>
      </w:r>
      <w:r>
        <w:rPr>
          <w:rtl/>
        </w:rPr>
        <w:t>יבמה, כתובתה על נכסי בעלה הראשון. לפיכך אין היבם רשאי למכור כלום מכל נכסי אחיו. ואם מכר או נתן מתנה, או חלק עם אחיו בנכסי המת, בין קודם יבום בין אחר יבום, לא עשה כלום.</w:t>
      </w:r>
    </w:p>
    <w:p w14:paraId="612F455B" w14:textId="1C4BE0E6" w:rsidR="008B2599" w:rsidRDefault="008B2599" w:rsidP="008B2599">
      <w:pPr>
        <w:pStyle w:val="Style1"/>
        <w:rPr>
          <w:rtl/>
        </w:rPr>
      </w:pPr>
      <w:r>
        <w:rPr>
          <w:rFonts w:hint="cs"/>
          <w:rtl/>
        </w:rPr>
        <w:t>4)[</w:t>
      </w:r>
      <w:r>
        <w:rPr>
          <w:rtl/>
        </w:rPr>
        <w:t>רמב</w:t>
      </w:r>
      <w:r w:rsidR="00EC109D">
        <w:rPr>
          <w:rtl/>
        </w:rPr>
        <w:t>”ם \נשים\</w:t>
      </w:r>
      <w:r>
        <w:rPr>
          <w:rtl/>
        </w:rPr>
        <w:t xml:space="preserve"> הלכות יבום וחליצה פרק א הלכה טו</w:t>
      </w:r>
      <w:r>
        <w:rPr>
          <w:rFonts w:hint="cs"/>
          <w:rtl/>
        </w:rPr>
        <w:t xml:space="preserve">] </w:t>
      </w:r>
      <w:r>
        <w:rPr>
          <w:rtl/>
        </w:rPr>
        <w:t>הכונס יבמתו וגירשה אם רצה להחזיר יחזיר מפני שהיא אשתו לכל דבר ולא נשאר עליה שם איסור מפני אחיו כלל לא מדברי תורה ולא מדברי סופרים.</w:t>
      </w:r>
    </w:p>
    <w:p w14:paraId="4516B4C5" w14:textId="27097712" w:rsidR="008B2599" w:rsidRDefault="008B2599" w:rsidP="008B2599">
      <w:pPr>
        <w:pStyle w:val="Style1"/>
        <w:rPr>
          <w:rtl/>
        </w:rPr>
      </w:pPr>
      <w:r>
        <w:rPr>
          <w:rFonts w:hint="cs"/>
          <w:rtl/>
        </w:rPr>
        <w:t>4)[</w:t>
      </w:r>
      <w:r>
        <w:rPr>
          <w:rtl/>
        </w:rPr>
        <w:t>שולחן ערוך אבן העזר הלכות יבום סימן קסח סעיף א</w:t>
      </w:r>
      <w:r>
        <w:rPr>
          <w:rFonts w:hint="cs"/>
          <w:rtl/>
        </w:rPr>
        <w:t xml:space="preserve">] </w:t>
      </w:r>
      <w:r>
        <w:rPr>
          <w:rtl/>
        </w:rPr>
        <w:t>משייבם היבם את היבמה, הרי היא כאשתו לכל דבר, שיכול להוציאה בגט ויכול להחזירה.</w:t>
      </w:r>
    </w:p>
    <w:p w14:paraId="134D205B" w14:textId="77777777" w:rsidR="00D54AC6" w:rsidRPr="00D54AC6" w:rsidRDefault="00D54AC6" w:rsidP="00D54AC6">
      <w:pPr>
        <w:pStyle w:val="Style1"/>
        <w:rPr>
          <w:rStyle w:val="Style1Char"/>
        </w:rPr>
      </w:pPr>
    </w:p>
    <w:p w14:paraId="66C22720" w14:textId="6D7752EC" w:rsidR="00710B4F" w:rsidRPr="00710B4F" w:rsidRDefault="00710B4F" w:rsidP="00710B4F">
      <w:pPr>
        <w:pStyle w:val="Style1"/>
        <w:rPr>
          <w:rStyle w:val="Style1Char"/>
        </w:rPr>
      </w:pPr>
    </w:p>
    <w:p w14:paraId="778D3D7A" w14:textId="77777777" w:rsidR="00B2458D" w:rsidRPr="007114F9" w:rsidRDefault="00B2458D" w:rsidP="00B2458D">
      <w:pPr>
        <w:bidi/>
        <w:rPr>
          <w:rStyle w:val="Style1Char"/>
          <w:color w:val="00B050"/>
          <w:rtl/>
        </w:rPr>
      </w:pPr>
    </w:p>
    <w:p w14:paraId="007C6BE8" w14:textId="77777777" w:rsidR="00B2458D" w:rsidRPr="0065564B" w:rsidRDefault="00B2458D" w:rsidP="00B2458D">
      <w:pPr>
        <w:bidi/>
        <w:rPr>
          <w:rStyle w:val="Style1Char"/>
          <w:color w:val="00B050"/>
          <w:rtl/>
        </w:rPr>
      </w:pPr>
    </w:p>
    <w:p w14:paraId="40445D0D" w14:textId="77777777" w:rsidR="00B2458D" w:rsidRPr="00FD7C76" w:rsidRDefault="00B2458D" w:rsidP="00B2458D">
      <w:pPr>
        <w:bidi/>
        <w:rPr>
          <w:rStyle w:val="Style1Char"/>
          <w:color w:val="00B050"/>
          <w:rtl/>
        </w:rPr>
      </w:pPr>
    </w:p>
    <w:p w14:paraId="19B2974A" w14:textId="77777777" w:rsidR="00B2458D" w:rsidRDefault="00B2458D" w:rsidP="00B2458D">
      <w:pPr>
        <w:rPr>
          <w:rStyle w:val="Style1Char"/>
          <w:color w:val="00B050"/>
          <w:rtl/>
        </w:rPr>
      </w:pPr>
      <w:r>
        <w:rPr>
          <w:rStyle w:val="Style1Char"/>
          <w:color w:val="00B050"/>
          <w:rtl/>
        </w:rPr>
        <w:br w:type="page"/>
      </w:r>
    </w:p>
    <w:p w14:paraId="7362AF79" w14:textId="77777777" w:rsidR="00B2458D" w:rsidRPr="00E90632" w:rsidRDefault="00B2458D" w:rsidP="00B2458D">
      <w:pPr>
        <w:bidi/>
        <w:rPr>
          <w:rStyle w:val="Style1Char"/>
          <w:color w:val="ED7D31" w:themeColor="accent2"/>
          <w:sz w:val="22"/>
          <w:szCs w:val="22"/>
        </w:rPr>
      </w:pPr>
      <w:r w:rsidRPr="00CF6972">
        <w:rPr>
          <w:rStyle w:val="Style1Char"/>
          <w:color w:val="00B050"/>
          <w:sz w:val="22"/>
          <w:szCs w:val="22"/>
          <w:highlight w:val="yellow"/>
          <w:rtl/>
        </w:rPr>
        <w:lastRenderedPageBreak/>
        <w:t>[דף פב עמוד ב]</w:t>
      </w:r>
      <w:r w:rsidRPr="00CF6972">
        <w:rPr>
          <w:rStyle w:val="Style1Char"/>
          <w:color w:val="00B050"/>
          <w:sz w:val="22"/>
          <w:szCs w:val="22"/>
          <w:rtl/>
        </w:rPr>
        <w:t xml:space="preserve"> </w:t>
      </w:r>
      <w:r w:rsidRPr="00952CA4">
        <w:rPr>
          <w:rStyle w:val="Style1Char"/>
          <w:color w:val="00B050"/>
          <w:rtl/>
        </w:rPr>
        <w:t xml:space="preserve">מהו דתימא, מצוה דרמא רחמנא עליה עבדה, והשתא תיקום עליה באיסור אשת אח, קא משמע לן. ואימא הכי נמי! </w:t>
      </w:r>
      <w:r w:rsidRPr="00E90632">
        <w:rPr>
          <w:rStyle w:val="Style1Char"/>
          <w:rFonts w:hint="cs"/>
          <w:color w:val="4472C4" w:themeColor="accent1"/>
          <w:sz w:val="22"/>
          <w:szCs w:val="22"/>
          <w:rtl/>
        </w:rPr>
        <w:t>ד</w:t>
      </w:r>
      <w:r w:rsidRPr="00E90632">
        <w:rPr>
          <w:rStyle w:val="Style1Char"/>
          <w:color w:val="ED7D31" w:themeColor="accent2"/>
          <w:sz w:val="22"/>
          <w:szCs w:val="22"/>
          <w:rtl/>
        </w:rPr>
        <w:t>אמר קרא: ולקחה לו לאשה, כיון שלקחה נעשית כאשתו</w:t>
      </w:r>
      <w:r w:rsidRPr="0021028C">
        <w:rPr>
          <w:rStyle w:val="Style1Char"/>
          <w:color w:val="4472C4" w:themeColor="accent1"/>
          <w:rtl/>
        </w:rPr>
        <w:t xml:space="preserve"> </w:t>
      </w:r>
      <w:r w:rsidRPr="0021028C">
        <w:rPr>
          <w:rStyle w:val="Style1Char"/>
          <w:color w:val="4472C4" w:themeColor="accent1"/>
          <w:sz w:val="22"/>
          <w:szCs w:val="22"/>
          <w:rtl/>
        </w:rPr>
        <w:t>לכל דבר</w:t>
      </w:r>
      <w:r w:rsidRPr="00E90632">
        <w:rPr>
          <w:rStyle w:val="Style1Char"/>
          <w:color w:val="ED7D31" w:themeColor="accent2"/>
          <w:sz w:val="22"/>
          <w:szCs w:val="22"/>
          <w:rtl/>
        </w:rPr>
        <w:t xml:space="preserve">. </w:t>
      </w:r>
    </w:p>
    <w:p w14:paraId="2BF29AA3" w14:textId="50E79275" w:rsidR="00B2458D" w:rsidRPr="0021028C" w:rsidRDefault="00B2458D" w:rsidP="00B2458D">
      <w:pPr>
        <w:bidi/>
        <w:rPr>
          <w:rStyle w:val="Style1Char"/>
          <w:color w:val="ED7D31" w:themeColor="accent2"/>
          <w:sz w:val="22"/>
          <w:szCs w:val="22"/>
          <w:rtl/>
        </w:rPr>
      </w:pPr>
      <w:r w:rsidRPr="0021028C">
        <w:rPr>
          <w:rStyle w:val="Style1Char"/>
          <w:color w:val="ED7D31" w:themeColor="accent2"/>
          <w:sz w:val="22"/>
          <w:szCs w:val="22"/>
          <w:rtl/>
        </w:rPr>
        <w:t xml:space="preserve">בלבד שתהא כתובתה על נכסי בעלה הראשון. מאי טעמא? אשה הקנו לו מן השמים. </w:t>
      </w:r>
      <w:r w:rsidR="008B2599">
        <w:rPr>
          <w:rStyle w:val="Style1Char"/>
          <w:rFonts w:hint="cs"/>
          <w:rtl/>
        </w:rPr>
        <w:t>(1)</w:t>
      </w:r>
      <w:r w:rsidRPr="0021028C">
        <w:rPr>
          <w:rStyle w:val="Style1Char"/>
          <w:color w:val="ED7D31" w:themeColor="accent2"/>
          <w:sz w:val="22"/>
          <w:szCs w:val="22"/>
          <w:rtl/>
        </w:rPr>
        <w:t xml:space="preserve">ואי לית לה מראשון אית לה משני, כדי שלא תהא קלה בעיניו להוציאה. </w:t>
      </w:r>
    </w:p>
    <w:p w14:paraId="1523256D" w14:textId="4EAB0384" w:rsidR="00B2458D" w:rsidRPr="00952CA4" w:rsidRDefault="008B2599" w:rsidP="00B2458D">
      <w:pPr>
        <w:bidi/>
        <w:rPr>
          <w:rStyle w:val="Style1Char"/>
          <w:color w:val="00B050"/>
        </w:rPr>
      </w:pPr>
      <w:r>
        <w:rPr>
          <w:rStyle w:val="Style1Char"/>
          <w:rFonts w:hint="cs"/>
          <w:rtl/>
        </w:rPr>
        <w:t>(1.3, 2)</w:t>
      </w:r>
      <w:r w:rsidR="00B2458D" w:rsidRPr="00952CA4">
        <w:rPr>
          <w:rStyle w:val="Style1Char"/>
          <w:color w:val="00B050"/>
          <w:rtl/>
        </w:rPr>
        <w:t xml:space="preserve">לא יאמר לה הרי כתובתיך. מאי וכן? מהו דתימא, התם הוא דלא כתב לה דקנאי ודקנינא, אבל הכא דכתב לה דקנאי ודקנינא - אימא סמכה דעתה, קמ"ל. </w:t>
      </w:r>
    </w:p>
    <w:p w14:paraId="005F81A5" w14:textId="6E6F57F9" w:rsidR="00B2458D" w:rsidRPr="00952CA4" w:rsidRDefault="00D707A7" w:rsidP="00B2458D">
      <w:pPr>
        <w:bidi/>
        <w:rPr>
          <w:rStyle w:val="Style1Char"/>
          <w:color w:val="00B050"/>
        </w:rPr>
      </w:pPr>
      <w:r>
        <w:rPr>
          <w:rStyle w:val="Style1Char"/>
          <w:rFonts w:hint="cs"/>
          <w:rtl/>
        </w:rPr>
        <w:t>(3)</w:t>
      </w:r>
      <w:r w:rsidR="00B2458D" w:rsidRPr="00730310">
        <w:rPr>
          <w:rStyle w:val="Style1Char"/>
          <w:color w:val="ED7D31" w:themeColor="accent2"/>
          <w:sz w:val="22"/>
          <w:szCs w:val="22"/>
          <w:rtl/>
        </w:rPr>
        <w:t>גרשה - אין לה אלא כתובתה.</w:t>
      </w:r>
      <w:r w:rsidR="00B2458D" w:rsidRPr="00952CA4">
        <w:rPr>
          <w:rStyle w:val="Style1Char"/>
          <w:color w:val="00B050"/>
          <w:rtl/>
        </w:rPr>
        <w:t xml:space="preserve"> גרשה אין, לא גרשה לא, קא משמע לן כדרבי אבא. </w:t>
      </w:r>
    </w:p>
    <w:p w14:paraId="6AFD4F83" w14:textId="67CC40D6" w:rsidR="00B2458D" w:rsidRDefault="00D707A7" w:rsidP="00B2458D">
      <w:pPr>
        <w:bidi/>
        <w:rPr>
          <w:rStyle w:val="Style1Char"/>
          <w:sz w:val="32"/>
          <w:szCs w:val="32"/>
          <w:rtl/>
        </w:rPr>
      </w:pPr>
      <w:r>
        <w:rPr>
          <w:rStyle w:val="Style1Char"/>
          <w:rFonts w:hint="cs"/>
          <w:rtl/>
        </w:rPr>
        <w:t>(3)</w:t>
      </w:r>
      <w:r w:rsidR="00B2458D" w:rsidRPr="00730310">
        <w:rPr>
          <w:rStyle w:val="Style1Char"/>
          <w:color w:val="ED7D31" w:themeColor="accent2"/>
          <w:sz w:val="22"/>
          <w:szCs w:val="22"/>
          <w:rtl/>
        </w:rPr>
        <w:t>החזירה - הרי היא ככל הנשים, ואין לה אלא כתובתה</w:t>
      </w:r>
      <w:r w:rsidR="00B2458D" w:rsidRPr="00952CA4">
        <w:rPr>
          <w:rStyle w:val="Style1Char"/>
          <w:color w:val="00B050"/>
          <w:rtl/>
        </w:rPr>
        <w:t xml:space="preserve">. החזירה מאי קא משמע לן? תנינא: </w:t>
      </w:r>
      <w:r>
        <w:rPr>
          <w:rStyle w:val="Style1Char"/>
          <w:rFonts w:hint="cs"/>
          <w:rtl/>
        </w:rPr>
        <w:t>(4)</w:t>
      </w:r>
      <w:r w:rsidR="00B2458D" w:rsidRPr="00952CA4">
        <w:rPr>
          <w:rStyle w:val="Style1Char"/>
          <w:color w:val="00B050"/>
          <w:rtl/>
        </w:rPr>
        <w:t xml:space="preserve">המגרש את האשה ומחזירה, על מנת כתובה ראשונה מחזירה! מהו דתימא, אשתו הוא דאיהו כתב לה כתובה מיניה, אבל יבמתו דלא איהו כתב לה, היכא דגרשה ואהדרה - אימא כתובתה מיניה, קא משמע לן. אמר רב יהודה: בראשונה היו כותבין לבתולה מאתים ולאלמנה מנה, והיו מזקינין ולא היו נושאין נשים, עד שבא שמעון בן שטח ותיקן: כל נכסיו אחראין לכתובתה. תניא נמי הכי: </w:t>
      </w:r>
      <w:r w:rsidR="00B2458D" w:rsidRPr="00C81EF4">
        <w:rPr>
          <w:rStyle w:val="Style1Char"/>
          <w:color w:val="auto"/>
          <w:sz w:val="22"/>
          <w:szCs w:val="22"/>
          <w:rtl/>
        </w:rPr>
        <w:t xml:space="preserve">בראשונה היו כותבין לבתולה מאתים ולאלמנה מנה, והיו מזקינין ולא היו נושאין נשים, התקינו שיהיו מניחין אותה בבית אביה; ועדיין כשהוא כועס עליה, אומר לה לכי אצל כתובתיך, התקינו שיהיו מניחין אותה בבית חמיה, עשירות עושות אותה קלתות של כסף ושל זהב, עניות היו עושות אותה עביט של מימי רגלים; ועדיין כשכועס עליה, אומר לה טלי כתובתיך וצאי, עד שבא שמעון בן שטח ותיקן, שיהא כותב לה </w:t>
      </w:r>
      <w:r w:rsidR="004F06CA">
        <w:rPr>
          <w:rStyle w:val="Style1Char"/>
          <w:rFonts w:hint="cs"/>
          <w:rtl/>
        </w:rPr>
        <w:t>(</w:t>
      </w:r>
      <w:r w:rsidR="00030B92">
        <w:rPr>
          <w:rStyle w:val="Style1Char"/>
          <w:rFonts w:hint="cs"/>
          <w:rtl/>
        </w:rPr>
        <w:t>5</w:t>
      </w:r>
      <w:r w:rsidR="004F06CA">
        <w:rPr>
          <w:rStyle w:val="Style1Char"/>
          <w:rFonts w:hint="cs"/>
          <w:rtl/>
        </w:rPr>
        <w:t>)</w:t>
      </w:r>
      <w:r w:rsidR="00B2458D" w:rsidRPr="00C81EF4">
        <w:rPr>
          <w:rStyle w:val="Style1Char"/>
          <w:color w:val="auto"/>
          <w:sz w:val="22"/>
          <w:szCs w:val="22"/>
          <w:rtl/>
        </w:rPr>
        <w:t>כל נכסי אחראין לכתובתה.</w:t>
      </w:r>
      <w:r w:rsidR="00B2458D" w:rsidRPr="00C81EF4">
        <w:rPr>
          <w:rStyle w:val="Style1Char"/>
          <w:color w:val="auto"/>
          <w:sz w:val="32"/>
          <w:szCs w:val="32"/>
          <w:rtl/>
        </w:rPr>
        <w:t xml:space="preserve"> </w:t>
      </w:r>
    </w:p>
    <w:p w14:paraId="12E033C1" w14:textId="11B2C5AF" w:rsidR="00B2458D" w:rsidRDefault="00B2458D" w:rsidP="00B2458D">
      <w:pPr>
        <w:bidi/>
        <w:rPr>
          <w:rStyle w:val="Style1Char"/>
          <w:color w:val="C00000"/>
          <w:rtl/>
        </w:rPr>
      </w:pPr>
      <w:r w:rsidRPr="007A4D49">
        <w:rPr>
          <w:rStyle w:val="Style1Char"/>
          <w:color w:val="C00000"/>
          <w:rtl/>
        </w:rPr>
        <w:t>האשה שנפלו לה נכסים עד שלא תתארס. לפי שראיתי אותה סתומה אצל החכמים וראיתי בה לאחד מהם פירוש כתב אותו בחבורו וז"ל</w:t>
      </w:r>
      <w:r>
        <w:rPr>
          <w:rStyle w:val="Style1Char"/>
          <w:rFonts w:hint="cs"/>
          <w:color w:val="C00000"/>
          <w:rtl/>
        </w:rPr>
        <w:t xml:space="preserve"> </w:t>
      </w:r>
      <w:r w:rsidRPr="007A4D49">
        <w:rPr>
          <w:rStyle w:val="Style1Char"/>
          <w:color w:val="C00000"/>
          <w:rtl/>
        </w:rPr>
        <w:t>דא מתני' וגמ' דיליה חזינן ביה פירוש מסותם הרבה והריני מפרש בדרך קצרה כדי לברר מקום הספק האשה שנפלו לה נכסים בירושה או במתנה עד שלא תתארס מודים ב"ש וב"ה בנכסים הללו הואיל ובזכותה נפלו אף על פי שעכשיו ארוסה מוכרת ונותנת כשהיא ארוסה לכתחלה והאי דקתני שאם מוכרת לאו דיעבד הוא אלא לכתחלה יש לה למכור וליתן במתנה וכל מה שהיא מוכרת בנכסים הללו שנפלו בזכותה הרי הוא קיים דהא כל היכא דלית לה למכור לכתחלה קתני לא תמכור ואם מכרה ונתנה קיים דיעבד וכל היכא דלא קתני לא תמכור אף על גב דקתני שאם מוכרת ונותנת קיים לכתחלה הוא ובהאי פירושא ריהטא הלכתא כולה ומיבררא כהוגן בלא קושיא ובבא תניינא שאם נפלו לה לאחר שנתארסה דמספקא מלתא דאימור בזכותה דידה נפלו ואימר בזכותיה נפלו לכתחלה לא תמכור כשהיא ארוסה ואי מכרה ונתנה קיים בבא תליתאה שאם נפלו לה משנשאת הכל מודים שאם מכרה ונתנה הבעל מוציא מיד הלקוחות בבא רביעאה שאם נפלו לה נכסים כשהיא ארוסה ואחר כך נשאת וקאמר ר"ג שאם מכרה ונתנה קיים לפי מה שפירשו שיש לה למכור לכתחלה ובבא חמישאה א"ר יהודה אמרו לפני רבן גמליאל הואיל וזכה [באשה] לא יזכה בנכסים ואמרינן בגמרא איבעי להו רבי יהודה לכתחלה קאי או אדיעבד קאי פירוש ארישא קאי דקתני מוכרת לכתחלה או על בבא תניינא קאי דקתני לא תמכור לכתחלה ואם מכרה ונתנה קיים דיעבד ת"ש דתניא א"ר יהודה אמרו לפני ר"ג הואיל והארוסה אשתו והנשואה אשתו מה הנשואה שנפלו לה משנשאת ומכרה מכרה בטל אף הארוסה נמי שנפלו לה משנתארסה אם מכרה כשהיא ארוסה יהא מכרה בטל (ואמר להן אף זו שנפלו לה משנתארסה לכתחלה לא תמכור ואם מכרה ונתנה קיים אמרו לו הואיל וזכה באשה לא יזכה בנכסים ויהא מכרה בטל אפי' דיעבד) אמר להן על החדשים אנו בושים פירוש שנפלו לה משנשאת אנו בושים שביטלנו את מכירתה אלא שאתם רוצים לגלגל עלינו את הישנים שנפלו לה עד שלא נשאת ומכרה עד שלא נשאת ש"מ אדיעבד קאי ש"מ ר"ח ב"ע אומר לא כך השיבן אלא כך השיבן ר"ג היאך אתם מדמין ארוסה לנשואה לא אם אמרתם בנשואה שבעלה זכאי במציאתה ובמעשה ידיה ובהפרת נדריה יזכה נמי בנכסיה ומכרה בטל תאמרו בארוסה שאין בעלה זכאי במציאתה ומעשה ידיה ובהפרת נדריה ולפיכך מכירתה קיימת אמרו לו רבי עד שלא נשאת ונשאת מהו אמר להן אף זו לא תמכור לכתחלה ואם מכרה ונתנה קיים אמרו לו הואיל ונשאת וזכה באשה לא יזכה בנכסים ואיך יהא מכרה קיים בדיעבד אפי' בדיעבד נמי יהא מכרה בטל שהרי זכה בה ויזכה נמי בנכסים אמר להן על הראשונים אנו בושים שנפלו לה משנשאת אלא שאתם מגלגלים עלינו את הישנים שנפלו לה מקודם שנישאת ואקשינן על ר' חנניא בן עקביא היאך אתה אומר שר"ג אומר להן על מי שנפלו נכסים עד שלא נשאת ונשאת שאינה מוכרת לכתחילה והא אנן [תנן] עד שלא נשאת ונשאת ר"ג אומר אם מכרה ונתנה קיים לכתחילה ותירץ רב זביד הברייתא ואמר לא תשני בברייתא אף זו לא תמכור אלא כך שנה אם מכרה ונתנה קיים לכתחילה וקיימא ברייתא כמתניתין שמוכרת לכתחילה ואתא רב פפא ופריק פירוקא אחרינא ואמר הא דתנן במתניתין מוכרת לכתחילה ר' יהודה אומר אליבא דר"ג והא דתניא בברייתא לא תמכור לכתחילה ר' חנניא הן עקביא אמרה אליבא דר"ג ודייקא מינה לרבי חנניא בן עקביא אם עד שלא נשאת ונשאת לא תמכור לכתחילה אלמא עד שלא תנשא מוכרת לכתחילה נכסים שנפלו לה כשהיא ארוסה האי סברא דב"ש הוא דאי ב"ה הא תנא לא תמכור לכתחילה והיכי קאי רבי חנניא בן עקביא כב"ש אפשר דשביק ר"ג ב"ה ומורי כב"ש וב"ש במקום ב"ה אינה משנה ופרקינן הכי קאמר ר' חנניא ב"ע לא נחלקו ב"ש וב"ה בדבר זה כלל אלא כולם מודים שאם נפלו לה נכסים משנתארסה נמי מוכרת לכתחילה ופליג אתנא דמתני' דקסבר פליגי ב"ש וב"ה בדבר זה וקא א"ל לא נחלקו בדבר זה זה הוא הפירוש הנכון ובגמרא דבני מערבא גרסינן רבי פינחס בעי קומי רבי יוסי למה לא תנינא מקולי ב"ש ומחומרי ב"ה אמר ליה לא אתינן מיתנא אלא דבר החמור משני צדדין וקל משני צדדין אבל הכא חמור מצד אחד וקל מצד אחד פירוש חמור מצד אחד דתנן ב"ה אומרים לא תמכור וקל מצד אחד דתנן אלו ואלו מודים שאם מכרה ונתנה קיים ואיתא נמי בגמרא דפאה בפרק בית שמאי</w:t>
      </w:r>
      <w:r w:rsidRPr="007A4D49">
        <w:rPr>
          <w:rStyle w:val="Style1Char"/>
          <w:color w:val="C00000"/>
        </w:rPr>
        <w:t>:</w:t>
      </w:r>
    </w:p>
    <w:p w14:paraId="12567F2D" w14:textId="35B3ADA1" w:rsidR="008B2599" w:rsidRDefault="008B2599" w:rsidP="008B2599">
      <w:pPr>
        <w:pStyle w:val="Style1"/>
        <w:rPr>
          <w:rStyle w:val="Style1Char"/>
          <w:rtl/>
        </w:rPr>
      </w:pPr>
      <w:r>
        <w:rPr>
          <w:rStyle w:val="Style1Char"/>
          <w:rFonts w:hint="cs"/>
          <w:rtl/>
        </w:rPr>
        <w:t>1)[</w:t>
      </w:r>
      <w:r w:rsidRPr="008B2599">
        <w:rPr>
          <w:rStyle w:val="Style1Char"/>
          <w:rtl/>
        </w:rPr>
        <w:t>רמב</w:t>
      </w:r>
      <w:r w:rsidR="00213DA1">
        <w:rPr>
          <w:rStyle w:val="Style1Char"/>
          <w:rtl/>
        </w:rPr>
        <w:t>”ם \נשים\</w:t>
      </w:r>
      <w:r w:rsidRPr="008B2599">
        <w:rPr>
          <w:rStyle w:val="Style1Char"/>
          <w:rtl/>
        </w:rPr>
        <w:t xml:space="preserve"> הלכות אישות פרק כב הלכה יד</w:t>
      </w:r>
      <w:r>
        <w:rPr>
          <w:rStyle w:val="Style1Char"/>
          <w:rFonts w:hint="cs"/>
          <w:rtl/>
        </w:rPr>
        <w:t xml:space="preserve">] </w:t>
      </w:r>
      <w:r w:rsidRPr="008B2599">
        <w:rPr>
          <w:rStyle w:val="Style1Char"/>
          <w:rtl/>
        </w:rPr>
        <w:t>יבמה שלא היתה לה כתובה או שמחלה כתובתה זכה בנכסי אחיו ומוכר ונותן כחפצו, וכשיכנוס את יבמתו יכתוב לה כתובה מאה ויהיו כל נכסיו אחראין לכתובתה כשאר כל הנשים שיש להן כתובה.</w:t>
      </w:r>
    </w:p>
    <w:p w14:paraId="328FB8B8" w14:textId="3E28E803" w:rsidR="008B2599" w:rsidRDefault="008B2599" w:rsidP="008B2599">
      <w:pPr>
        <w:pStyle w:val="Style1"/>
        <w:rPr>
          <w:rStyle w:val="Style1Char"/>
          <w:rtl/>
        </w:rPr>
      </w:pPr>
      <w:r>
        <w:rPr>
          <w:rStyle w:val="Style1Char"/>
          <w:rFonts w:hint="cs"/>
          <w:rtl/>
        </w:rPr>
        <w:t>1)[</w:t>
      </w:r>
      <w:r w:rsidRPr="008B2599">
        <w:rPr>
          <w:rStyle w:val="Style1Char"/>
          <w:rtl/>
        </w:rPr>
        <w:t>שולחן ערוך אבן העזר הלכות יבום סימן קסח סעיף ח</w:t>
      </w:r>
      <w:r>
        <w:rPr>
          <w:rStyle w:val="Style1Char"/>
          <w:rFonts w:hint="cs"/>
          <w:rtl/>
        </w:rPr>
        <w:t xml:space="preserve">] </w:t>
      </w:r>
      <w:r w:rsidRPr="008B2599">
        <w:rPr>
          <w:rStyle w:val="Style1Char"/>
          <w:rtl/>
        </w:rPr>
        <w:t>יבמה שלא היה לה כתובתה, או שמחלה כתובתה, זכה בנכסי אחיו, ומוכר ונותן כחפצו, וכשיכניסנה יכתוב לה כתובה מנה, ויהיו כל נכסיו אחראין לכתובתה כשאר כל הנשים.</w:t>
      </w:r>
    </w:p>
    <w:p w14:paraId="62EB3DB9" w14:textId="77777777" w:rsidR="00D707A7" w:rsidRPr="00D707A7" w:rsidRDefault="008B2599" w:rsidP="00D707A7">
      <w:pPr>
        <w:pStyle w:val="Style1"/>
      </w:pPr>
      <w:r>
        <w:rPr>
          <w:rStyle w:val="Style1Char"/>
          <w:rFonts w:hint="cs"/>
          <w:rtl/>
        </w:rPr>
        <w:t>1)[</w:t>
      </w:r>
      <w:r w:rsidRPr="008B2599">
        <w:rPr>
          <w:rStyle w:val="Style1Char"/>
          <w:rtl/>
        </w:rPr>
        <w:t>שולחן ערוך אבן העזר הלכות יבום סימן קסח סעיף ט</w:t>
      </w:r>
      <w:r>
        <w:rPr>
          <w:rStyle w:val="Style1Char"/>
          <w:rFonts w:hint="cs"/>
          <w:rtl/>
        </w:rPr>
        <w:t>]</w:t>
      </w:r>
      <w:r w:rsidR="00D707A7">
        <w:rPr>
          <w:rStyle w:val="Style1Char"/>
          <w:rFonts w:hint="cs"/>
          <w:rtl/>
        </w:rPr>
        <w:t xml:space="preserve"> </w:t>
      </w:r>
      <w:r w:rsidR="00D707A7" w:rsidRPr="00D707A7">
        <w:rPr>
          <w:rtl/>
        </w:rPr>
        <w:t>יבמה שלא היה לה על בעלה כתבה, מפני שהיא אסורה עליו, והיא מתרת ליבם, אם רצה כונס ואין לה כתבה, כדרך שלא היה לה על בעלה</w:t>
      </w:r>
      <w:r w:rsidR="00D707A7" w:rsidRPr="00D707A7">
        <w:t>. </w:t>
      </w:r>
      <w:r w:rsidR="00D707A7" w:rsidRPr="00D707A7">
        <w:rPr>
          <w:rFonts w:hint="cs"/>
          <w:rtl/>
        </w:rPr>
        <w:t>ודוקא שלא כתב לה, אבל אסור להשהותה בלא כתבה (המ"מ פ"ב)</w:t>
      </w:r>
      <w:r w:rsidR="00D707A7" w:rsidRPr="00D707A7">
        <w:t xml:space="preserve">. </w:t>
      </w:r>
      <w:r w:rsidR="00D707A7" w:rsidRPr="00D707A7">
        <w:rPr>
          <w:rtl/>
        </w:rPr>
        <w:t>ודינה עם יבמה בתוספות, כמו שהיה לה על בעלה. אבל אם לא כתב לה בעלה כתבה [או שמכרה לו], או שמחלה לו, צריך היבם לכתב לה כתבה כדרך כל האלמנות</w:t>
      </w:r>
      <w:r w:rsidR="00D707A7" w:rsidRPr="00D707A7">
        <w:t>.</w:t>
      </w:r>
    </w:p>
    <w:p w14:paraId="75ABD3B8" w14:textId="1BAD3D7C" w:rsidR="00D707A7" w:rsidRDefault="00D707A7" w:rsidP="00D707A7">
      <w:pPr>
        <w:pStyle w:val="Style1"/>
        <w:rPr>
          <w:rtl/>
        </w:rPr>
      </w:pPr>
      <w:r w:rsidRPr="00D707A7">
        <w:rPr>
          <w:rFonts w:hint="cs"/>
          <w:rtl/>
        </w:rPr>
        <w:t>הגה: וכן אם לא היו נכסים לבעלה הראשון, יש לה כתבה מנה משני, כדין אלמנה (טור). היו לה בנות מן היבם, אם יש לה כתבה על נכסי יבם, גם הבנות נזונות מן האחים. ואם אין לה כתבה על נכסיו, גם הבנות אינן נזונות מן האחין, מכל מקום האלמנה נזונית כל ימי מגר אלמנותה (ר"ן פרק נערה)</w:t>
      </w:r>
      <w:r w:rsidRPr="00D707A7">
        <w:t>:</w:t>
      </w:r>
    </w:p>
    <w:p w14:paraId="601C7D36" w14:textId="56FA6000" w:rsidR="00D707A7" w:rsidRDefault="00D707A7" w:rsidP="00D707A7">
      <w:pPr>
        <w:pStyle w:val="Style1"/>
        <w:rPr>
          <w:rtl/>
        </w:rPr>
      </w:pPr>
      <w:r>
        <w:rPr>
          <w:rFonts w:hint="cs"/>
          <w:rtl/>
        </w:rPr>
        <w:t>2)[</w:t>
      </w:r>
      <w:r>
        <w:rPr>
          <w:rtl/>
        </w:rPr>
        <w:t>רמב</w:t>
      </w:r>
      <w:r w:rsidR="00213DA1">
        <w:rPr>
          <w:rtl/>
        </w:rPr>
        <w:t>”ם \נשים\</w:t>
      </w:r>
      <w:r>
        <w:rPr>
          <w:rtl/>
        </w:rPr>
        <w:t xml:space="preserve"> הלכות אישות פרק כב הלכה יא</w:t>
      </w:r>
      <w:r>
        <w:rPr>
          <w:rFonts w:hint="cs"/>
          <w:rtl/>
        </w:rPr>
        <w:t xml:space="preserve">] </w:t>
      </w:r>
      <w:r>
        <w:rPr>
          <w:rtl/>
        </w:rPr>
        <w:t>שומרת יבם כתובתה על כל נכסי בעלה, לפיכך אין היבם יכול למכור בנכסי אחיו בין קודם יבום בין אחר יבום, ואם מכר או נתן מתנה או חלק עם אחיו בנכסי המת בין קודם יבום בין אחר יבום לא עשה כלום, שכבר נתחייבו נכסים אלו לאלמנה לגבות מהן כתובתה.</w:t>
      </w:r>
    </w:p>
    <w:p w14:paraId="6B7B9145" w14:textId="084EBCAE" w:rsidR="00D707A7" w:rsidRDefault="00D707A7" w:rsidP="00D707A7">
      <w:pPr>
        <w:pStyle w:val="Style1"/>
        <w:rPr>
          <w:rtl/>
        </w:rPr>
      </w:pPr>
      <w:r>
        <w:rPr>
          <w:rFonts w:hint="cs"/>
          <w:rtl/>
        </w:rPr>
        <w:lastRenderedPageBreak/>
        <w:t>2)[</w:t>
      </w:r>
      <w:r>
        <w:rPr>
          <w:rtl/>
        </w:rPr>
        <w:t>שולחן ערוך אבן העזר הלכות יבום סימן קסח סעיף ג</w:t>
      </w:r>
      <w:r>
        <w:rPr>
          <w:rFonts w:hint="cs"/>
          <w:rtl/>
        </w:rPr>
        <w:t xml:space="preserve">] </w:t>
      </w:r>
      <w:r>
        <w:rPr>
          <w:rtl/>
        </w:rPr>
        <w:t>במה, כתובתה על נכסי בעלה הראשון. לפיכך אין היבם רשאי למכור כלום מכל נכסי אחיו. ואם מכר או נתן מתנה, או חלק עם אחיו בנכסי המת, בין קודם יבום בין אחר יבום, לא עשה כלום.</w:t>
      </w:r>
    </w:p>
    <w:p w14:paraId="4FA90C18" w14:textId="488DF0F8" w:rsidR="00D707A7" w:rsidRDefault="00D707A7" w:rsidP="00D707A7">
      <w:pPr>
        <w:pStyle w:val="Style1"/>
        <w:rPr>
          <w:rtl/>
        </w:rPr>
      </w:pPr>
      <w:r>
        <w:rPr>
          <w:rFonts w:hint="cs"/>
          <w:rtl/>
        </w:rPr>
        <w:t>3)[</w:t>
      </w:r>
      <w:r>
        <w:rPr>
          <w:rtl/>
        </w:rPr>
        <w:t>שולחן ערוך אבן העזר הלכות יבום סימן קסח סעיף ב</w:t>
      </w:r>
      <w:r>
        <w:rPr>
          <w:rFonts w:hint="cs"/>
          <w:rtl/>
        </w:rPr>
        <w:t xml:space="preserve">] </w:t>
      </w:r>
      <w:r>
        <w:rPr>
          <w:rtl/>
        </w:rPr>
        <w:t>גירשה והחזירה קודם שיפרע לה כתובתה, דינה כאשה אחרת שגירשה והחזירה, שאין לה אלא כתובה אחת.</w:t>
      </w:r>
    </w:p>
    <w:p w14:paraId="0862288C" w14:textId="1A3E41E2" w:rsidR="00D707A7" w:rsidRDefault="00D707A7" w:rsidP="00D707A7">
      <w:pPr>
        <w:pStyle w:val="Style1"/>
        <w:rPr>
          <w:rtl/>
        </w:rPr>
      </w:pPr>
      <w:r>
        <w:rPr>
          <w:rFonts w:hint="cs"/>
          <w:rtl/>
        </w:rPr>
        <w:t>4)[</w:t>
      </w:r>
      <w:r>
        <w:rPr>
          <w:rtl/>
        </w:rPr>
        <w:t>רמב</w:t>
      </w:r>
      <w:r w:rsidR="00213DA1">
        <w:rPr>
          <w:rtl/>
        </w:rPr>
        <w:t>”ם \נשים\</w:t>
      </w:r>
      <w:r>
        <w:rPr>
          <w:rtl/>
        </w:rPr>
        <w:t xml:space="preserve"> הלכות אישות פרק טז הלכה ל</w:t>
      </w:r>
      <w:r>
        <w:rPr>
          <w:rFonts w:hint="cs"/>
          <w:rtl/>
        </w:rPr>
        <w:t xml:space="preserve">] </w:t>
      </w:r>
      <w:r>
        <w:rPr>
          <w:rtl/>
        </w:rPr>
        <w:t>הוציאה שני גיטין וכתובה אחת אין לה אלא כתובה אחת, שהמגרש את אשתו והחזירה סתם על כתובתה הראשונה החזירה. הוציאה גט וכתובה אחר מיתת הבעל, אם גט קודם לכתובה גובה בגט זה עיקר כתובה אם אין דרכן לכתוב כתובה וגובה כל מה שיש בכתובה שהרי זכתה בה במיתתו, ואם כתובה קדמה את הגט אין לה אלא כתובה אחת, שעל כתובתה הראשונה החזירה.</w:t>
      </w:r>
    </w:p>
    <w:p w14:paraId="7B0109FC" w14:textId="450867CD" w:rsidR="00D707A7" w:rsidRDefault="00D707A7" w:rsidP="00D707A7">
      <w:pPr>
        <w:pStyle w:val="Style1"/>
        <w:rPr>
          <w:rtl/>
        </w:rPr>
      </w:pPr>
      <w:r>
        <w:rPr>
          <w:rFonts w:hint="cs"/>
          <w:rtl/>
        </w:rPr>
        <w:t>4)[</w:t>
      </w:r>
      <w:r>
        <w:rPr>
          <w:rtl/>
        </w:rPr>
        <w:t>שולחן ערוך אבן העזר הלכות כתובות סימן ק סעיף טו</w:t>
      </w:r>
      <w:r>
        <w:rPr>
          <w:rFonts w:hint="cs"/>
          <w:rtl/>
        </w:rPr>
        <w:t xml:space="preserve">] </w:t>
      </w:r>
      <w:r>
        <w:rPr>
          <w:rtl/>
        </w:rPr>
        <w:t>הוציאה שני גיטין וכתובה אחת, אין לה אלא כתובה אחת; שהמגרש את אשתו והחזירה סתם, על כתובתה הראשונה החזירה.</w:t>
      </w:r>
    </w:p>
    <w:p w14:paraId="6E82EFE6" w14:textId="77B34FEE" w:rsidR="00114109" w:rsidRDefault="00114109" w:rsidP="00114109">
      <w:pPr>
        <w:pStyle w:val="Style1"/>
        <w:rPr>
          <w:rtl/>
        </w:rPr>
      </w:pPr>
      <w:r>
        <w:rPr>
          <w:rFonts w:hint="cs"/>
          <w:rtl/>
        </w:rPr>
        <w:t>5)[</w:t>
      </w:r>
      <w:r>
        <w:rPr>
          <w:rtl/>
        </w:rPr>
        <w:t>רמב</w:t>
      </w:r>
      <w:r w:rsidR="00213DA1">
        <w:rPr>
          <w:rtl/>
        </w:rPr>
        <w:t>”ם \נשים\</w:t>
      </w:r>
      <w:r>
        <w:rPr>
          <w:rtl/>
        </w:rPr>
        <w:t xml:space="preserve"> הלכות אישות פרק טז הלכה י</w:t>
      </w:r>
      <w:r>
        <w:rPr>
          <w:rFonts w:hint="cs"/>
          <w:rtl/>
        </w:rPr>
        <w:t xml:space="preserve">] </w:t>
      </w:r>
      <w:r>
        <w:rPr>
          <w:rtl/>
        </w:rPr>
        <w:t>ועוד תקנו חכמים שיהיו כל נכסי הבעל אחראין וערבאין לכתובה, אפילו כתובתה מנה ויש לו קרקע באלפים זהובים הכל תחת שיעבוד הכתובה, וכל שימכור אחר הנישואין מנכסיו אף על פי שממכרו קיים ויש לו למכור כל נכסיו אם ירצה יש לה לטרוף אותן בכתובתה כשיגרשנה או כשימות אם לא תמצא נכסים בני חורין, וכשתטרוף לא תטרוף אלא בשבועה בנקיטת חפץ כדין כל בעלי חובות, ותקנה זו כדי שלא תהיה כתובתה קלה בעיניו.</w:t>
      </w:r>
    </w:p>
    <w:p w14:paraId="0B86AEF3" w14:textId="20007AC0" w:rsidR="00114109" w:rsidRPr="00A50C6B" w:rsidRDefault="00114109" w:rsidP="00114109">
      <w:pPr>
        <w:pStyle w:val="Style1"/>
      </w:pPr>
      <w:r>
        <w:rPr>
          <w:rStyle w:val="Style1Char"/>
          <w:rFonts w:hint="cs"/>
          <w:rtl/>
        </w:rPr>
        <w:t>5)[</w:t>
      </w:r>
      <w:r w:rsidRPr="00277FCB">
        <w:rPr>
          <w:rStyle w:val="Style1Char"/>
          <w:rtl/>
        </w:rPr>
        <w:t>שולחן ערוך אבן העזר הלכות כתובות סימן ק סעיף א</w:t>
      </w:r>
      <w:r>
        <w:rPr>
          <w:rStyle w:val="Style1Char"/>
          <w:rFonts w:hint="cs"/>
          <w:rtl/>
        </w:rPr>
        <w:t xml:space="preserve">] </w:t>
      </w:r>
      <w:r w:rsidRPr="00A50C6B">
        <w:rPr>
          <w:rtl/>
        </w:rPr>
        <w:t>מדינא דגמרא, הכתובה, דהינו עיקר כתובה ותוספת, אינם נגבים אלא מן הקרקע. ומתקנת הגאונים נגבים אף מן המטלטלים. והוא הדין לכל תנאיה, חוץ מכתובת בנין דכרין. לפיכך, אם גבו היורשים מעות בחובת אביהם, גובה מהם</w:t>
      </w:r>
      <w:r w:rsidRPr="00A50C6B">
        <w:t>. </w:t>
      </w:r>
      <w:r w:rsidRPr="00A50C6B">
        <w:rPr>
          <w:rFonts w:hint="cs"/>
          <w:rtl/>
        </w:rPr>
        <w:t>ומיהו, רשות ביד היורשים לסלקה בקרקע (הגהות אלפסי פרק הכותב)</w:t>
      </w:r>
      <w:r w:rsidRPr="00A50C6B">
        <w:t>.</w:t>
      </w:r>
    </w:p>
    <w:p w14:paraId="48F26489" w14:textId="77777777" w:rsidR="00114109" w:rsidRPr="00A50C6B" w:rsidRDefault="00114109" w:rsidP="00114109">
      <w:pPr>
        <w:pStyle w:val="Style1"/>
      </w:pPr>
      <w:r w:rsidRPr="00A50C6B">
        <w:rPr>
          <w:rtl/>
        </w:rPr>
        <w:t>ודוקא מטלטלי בני חרי, אבל אם מכרם הבעל או נתנם במתנת בריא, אינה גובה מהם</w:t>
      </w:r>
      <w:r w:rsidRPr="00A50C6B">
        <w:t>.</w:t>
      </w:r>
    </w:p>
    <w:p w14:paraId="0D7D4514" w14:textId="5BE6412A" w:rsidR="008B2599" w:rsidRPr="00114109" w:rsidRDefault="008B2599" w:rsidP="008B2599">
      <w:pPr>
        <w:pStyle w:val="Style1"/>
        <w:rPr>
          <w:rStyle w:val="Style1Char"/>
        </w:rPr>
      </w:pPr>
    </w:p>
    <w:p w14:paraId="3E2E28D6" w14:textId="77777777" w:rsidR="00B2458D" w:rsidRPr="008B2599" w:rsidRDefault="00B2458D" w:rsidP="008B2599">
      <w:pPr>
        <w:pStyle w:val="Style1"/>
        <w:rPr>
          <w:rStyle w:val="Style1Char"/>
          <w:rtl/>
        </w:rPr>
      </w:pPr>
    </w:p>
    <w:p w14:paraId="0BE17CA7" w14:textId="77777777" w:rsidR="00B2458D" w:rsidRPr="0091453F" w:rsidRDefault="00B2458D" w:rsidP="00B2458D">
      <w:pPr>
        <w:bidi/>
        <w:rPr>
          <w:color w:val="00B050"/>
          <w:sz w:val="44"/>
          <w:szCs w:val="44"/>
        </w:rPr>
      </w:pPr>
      <w:r w:rsidRPr="00952CA4">
        <w:rPr>
          <w:rStyle w:val="Style1Char"/>
          <w:color w:val="auto"/>
          <w:sz w:val="28"/>
          <w:szCs w:val="28"/>
          <w:rtl/>
        </w:rPr>
        <w:t>הדרן עלך האשה.</w:t>
      </w:r>
    </w:p>
    <w:p w14:paraId="7083CD2C" w14:textId="77777777" w:rsidR="002165BA" w:rsidRPr="00B2458D" w:rsidRDefault="002165BA" w:rsidP="002165BA">
      <w:pPr>
        <w:bidi/>
        <w:rPr>
          <w:color w:val="00B050"/>
          <w:sz w:val="24"/>
          <w:szCs w:val="24"/>
        </w:rPr>
      </w:pPr>
    </w:p>
    <w:p w14:paraId="0CB52715" w14:textId="77777777" w:rsidR="00C369CA" w:rsidRPr="00115293" w:rsidRDefault="00C369CA" w:rsidP="00C369CA">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 xml:space="preserve">פרק </w:t>
      </w:r>
      <w:r w:rsidRPr="00D2614D">
        <w:rPr>
          <w:rStyle w:val="Style1Char"/>
          <w:color w:val="auto"/>
          <w:sz w:val="22"/>
          <w:szCs w:val="22"/>
          <w:rtl/>
        </w:rPr>
        <w:t>ט - הכותב לאשתו</w:t>
      </w:r>
    </w:p>
    <w:p w14:paraId="1CA9053B" w14:textId="6525C35E" w:rsidR="00C369CA" w:rsidRDefault="00C369CA" w:rsidP="00C369CA">
      <w:pPr>
        <w:bidi/>
        <w:rPr>
          <w:rStyle w:val="Style1Char"/>
          <w:sz w:val="22"/>
          <w:szCs w:val="22"/>
        </w:rPr>
      </w:pPr>
      <w:r w:rsidRPr="00C57F33">
        <w:rPr>
          <w:rStyle w:val="Style1Char"/>
          <w:color w:val="000000" w:themeColor="text1"/>
          <w:sz w:val="22"/>
          <w:szCs w:val="22"/>
          <w:highlight w:val="yellow"/>
          <w:rtl/>
        </w:rPr>
        <w:t>[דף פג עמוד א]</w:t>
      </w:r>
      <w:r w:rsidRPr="00C57F33">
        <w:rPr>
          <w:rStyle w:val="Style1Char"/>
          <w:color w:val="000000" w:themeColor="text1"/>
          <w:sz w:val="22"/>
          <w:szCs w:val="22"/>
          <w:rtl/>
        </w:rPr>
        <w:t xml:space="preserve"> /מתני'/. </w:t>
      </w:r>
      <w:r w:rsidR="00DB6594" w:rsidRPr="00EF64BD">
        <w:rPr>
          <w:rStyle w:val="Style1Char"/>
          <w:rFonts w:hint="cs"/>
          <w:rtl/>
        </w:rPr>
        <w:t>(1)</w:t>
      </w:r>
      <w:r w:rsidRPr="00C57F33">
        <w:rPr>
          <w:rStyle w:val="Style1Char"/>
          <w:color w:val="000000" w:themeColor="text1"/>
          <w:sz w:val="22"/>
          <w:szCs w:val="22"/>
          <w:rtl/>
        </w:rPr>
        <w:t xml:space="preserve">הכותב לאשתו דין ודברים אין לי בנכסיך - הרי זה אוכל פירות בחייה, ואם מתה - יורשה. אם כן, למה כתב לה דין ודברים אין לי בנכסיך? שאם מכרה ונתנה - קיים. </w:t>
      </w:r>
      <w:r w:rsidR="00282493" w:rsidRPr="00EF64BD">
        <w:rPr>
          <w:rStyle w:val="Style1Char"/>
          <w:rFonts w:hint="cs"/>
          <w:rtl/>
        </w:rPr>
        <w:t>(</w:t>
      </w:r>
      <w:r w:rsidR="00282493">
        <w:rPr>
          <w:rStyle w:val="Style1Char"/>
          <w:rFonts w:hint="cs"/>
          <w:rtl/>
        </w:rPr>
        <w:t>2</w:t>
      </w:r>
      <w:r w:rsidR="00282493" w:rsidRPr="00EF64BD">
        <w:rPr>
          <w:rStyle w:val="Style1Char"/>
          <w:rFonts w:hint="cs"/>
          <w:rtl/>
        </w:rPr>
        <w:t>)</w:t>
      </w:r>
      <w:r w:rsidRPr="00C57F33">
        <w:rPr>
          <w:rStyle w:val="Style1Char"/>
          <w:color w:val="000000" w:themeColor="text1"/>
          <w:sz w:val="22"/>
          <w:szCs w:val="22"/>
          <w:rtl/>
        </w:rPr>
        <w:t xml:space="preserve">כתב לה דין ודברים אין לי בנכסיך ובפירותיהן - הרי זה אינו אוכל פירות בחייה, ואם מתה - יורשה; ר' יהודה אומר: לעולם אוכל פירי פירות, עד שיכתוב לה דין ודברים אין לי בנכסיך ובפירותיהן ובפירי פירותיהן עד עולם. </w:t>
      </w:r>
      <w:r w:rsidR="00D462B4" w:rsidRPr="00EF64BD">
        <w:rPr>
          <w:rStyle w:val="Style1Char"/>
          <w:rFonts w:hint="cs"/>
          <w:rtl/>
        </w:rPr>
        <w:t>(</w:t>
      </w:r>
      <w:r w:rsidR="00D462B4">
        <w:rPr>
          <w:rStyle w:val="Style1Char"/>
          <w:rFonts w:hint="cs"/>
          <w:rtl/>
        </w:rPr>
        <w:t>1.1, 3</w:t>
      </w:r>
      <w:r w:rsidR="00D462B4" w:rsidRPr="00EF64BD">
        <w:rPr>
          <w:rStyle w:val="Style1Char"/>
          <w:rFonts w:hint="cs"/>
          <w:rtl/>
        </w:rPr>
        <w:t>)</w:t>
      </w:r>
      <w:r w:rsidRPr="00C57F33">
        <w:rPr>
          <w:rStyle w:val="Style1Char"/>
          <w:color w:val="000000" w:themeColor="text1"/>
          <w:sz w:val="22"/>
          <w:szCs w:val="22"/>
          <w:rtl/>
        </w:rPr>
        <w:t xml:space="preserve">כתב לה דין ודברים אין לי בנכסיך ובפירותיהן ובפירי פירותיהן בחייך ובמותך - אינו אוכל פירות בחייה, ואם מתה - אינו יורשה; רשב"ג אומר: </w:t>
      </w:r>
      <w:r w:rsidR="00D462B4" w:rsidRPr="00EF64BD">
        <w:rPr>
          <w:rStyle w:val="Style1Char"/>
          <w:rFonts w:hint="cs"/>
          <w:rtl/>
        </w:rPr>
        <w:t>(1)</w:t>
      </w:r>
      <w:r w:rsidRPr="00C57F33">
        <w:rPr>
          <w:rStyle w:val="Style1Char"/>
          <w:color w:val="000000" w:themeColor="text1"/>
          <w:sz w:val="22"/>
          <w:szCs w:val="22"/>
          <w:rtl/>
        </w:rPr>
        <w:t>אם מתה - יירשנה, מפני שמתנה על מה שכתוב בתורה, וכל המתנה על מה שכתוב בתורה - תנאו בטל.</w:t>
      </w:r>
      <w:r w:rsidRPr="00910C14">
        <w:rPr>
          <w:rStyle w:val="Style1Char"/>
          <w:sz w:val="22"/>
          <w:szCs w:val="22"/>
          <w:rtl/>
        </w:rPr>
        <w:t xml:space="preserve"> </w:t>
      </w:r>
    </w:p>
    <w:p w14:paraId="1B3A6F8B" w14:textId="77777777" w:rsidR="00C369CA" w:rsidRPr="00E53B77" w:rsidRDefault="00C369CA" w:rsidP="00C369CA">
      <w:pPr>
        <w:bidi/>
        <w:rPr>
          <w:rStyle w:val="Style1Char"/>
          <w:color w:val="4472C4" w:themeColor="accent1"/>
        </w:rPr>
      </w:pPr>
      <w:r w:rsidRPr="00E53B77">
        <w:rPr>
          <w:rStyle w:val="Style1Char"/>
          <w:color w:val="4472C4" w:themeColor="accent1"/>
          <w:rtl/>
        </w:rPr>
        <w:t>ברוב ספרים גרסינן במתני' ובפירותיהן ובפירי פירותיהן וכן כתוב בפירוש רבינו חננאל. וא"כ סתם לן תנא כרבי יהודה. ונ"ל שצריך למיגרסיה. דאי לא גריס ליה אמאי קתני אינו אוכל פירות בחייה הא בבבא מציעתא נמי קתני אינו אוכל פירות. ולא ה"ל למיתני אלא אם מתה אינו יורשה דדבר זה ניתוסף בתנאי האחרון בחייך ובמותך</w:t>
      </w:r>
      <w:r>
        <w:rPr>
          <w:rStyle w:val="Style1Char"/>
          <w:rFonts w:hint="cs"/>
          <w:color w:val="4472C4" w:themeColor="accent1"/>
        </w:rPr>
        <w:t>‍</w:t>
      </w:r>
      <w:r w:rsidRPr="00E53B77">
        <w:rPr>
          <w:rStyle w:val="Style1Char"/>
          <w:color w:val="4472C4" w:themeColor="accent1"/>
          <w:rtl/>
        </w:rPr>
        <w:t xml:space="preserve"> וכן בבבא מציעתא לא חזר ושנה אם מכרה ונתנה קיים לפי שגם בבבא הראשונה הדין כך אלא משום דקאמר רבי יהודה לעולם הוא אוכל פירי פירות קתני הכא דאינו אוכל פירי פירות שניתוספו בתנאי זה. ואם תאמר א"כ בגמ' דמיבעיא לן אי פירי פירות דוקא או עד עולם דוקא תפשוט מהכא דעד עולם לאו דוקא. וי"ל דלא חש להאריך בלשונו אלא לאשמועינן סתמא כר' יהודה. אי נמי בחייך ובמותיך הוי כמו עד עולם. לכך פסקו הגאונים זכרונם לברכה דהלכה כר' יהודה</w:t>
      </w:r>
      <w:r w:rsidRPr="00E53B77">
        <w:rPr>
          <w:rStyle w:val="Style1Char"/>
          <w:color w:val="4472C4" w:themeColor="accent1"/>
        </w:rPr>
        <w:t>:</w:t>
      </w:r>
    </w:p>
    <w:p w14:paraId="2BD5E96F" w14:textId="2CD48772" w:rsidR="00C369CA" w:rsidRDefault="00C369CA" w:rsidP="00C369CA">
      <w:pPr>
        <w:bidi/>
        <w:rPr>
          <w:rStyle w:val="Style1Char"/>
          <w:color w:val="00B050"/>
          <w:rtl/>
        </w:rPr>
      </w:pPr>
      <w:r w:rsidRPr="00C10761">
        <w:rPr>
          <w:rStyle w:val="Style1Char"/>
          <w:color w:val="000000" w:themeColor="text1"/>
          <w:sz w:val="22"/>
          <w:szCs w:val="22"/>
          <w:rtl/>
        </w:rPr>
        <w:t xml:space="preserve">גמ'. תני רבי חייא: </w:t>
      </w:r>
      <w:r w:rsidR="00892090" w:rsidRPr="00EF64BD">
        <w:rPr>
          <w:rStyle w:val="Style1Char"/>
          <w:rFonts w:hint="cs"/>
          <w:rtl/>
        </w:rPr>
        <w:t>(1)</w:t>
      </w:r>
      <w:r w:rsidRPr="00C10761">
        <w:rPr>
          <w:rStyle w:val="Style1Char"/>
          <w:color w:val="000000" w:themeColor="text1"/>
          <w:sz w:val="22"/>
          <w:szCs w:val="22"/>
          <w:rtl/>
        </w:rPr>
        <w:t xml:space="preserve">האומר לאשתו. וכי כתב לה הכי מאי הוי? והתניא: האומר לחבירו דין ודברים אין לי על שדה זו, ואין לי עסק בה, וידי מסולקת הימנה - לא אמר כלום! אמרי דבי רבי ינאי: </w:t>
      </w:r>
      <w:r w:rsidR="00892090" w:rsidRPr="00EF64BD">
        <w:rPr>
          <w:rStyle w:val="Style1Char"/>
          <w:rFonts w:hint="cs"/>
          <w:rtl/>
        </w:rPr>
        <w:t>(</w:t>
      </w:r>
      <w:r w:rsidR="00892090">
        <w:rPr>
          <w:rStyle w:val="Style1Char"/>
          <w:rFonts w:hint="cs"/>
          <w:rtl/>
        </w:rPr>
        <w:t>4</w:t>
      </w:r>
      <w:r w:rsidR="00892090" w:rsidRPr="00EF64BD">
        <w:rPr>
          <w:rStyle w:val="Style1Char"/>
          <w:rFonts w:hint="cs"/>
          <w:rtl/>
        </w:rPr>
        <w:t>)</w:t>
      </w:r>
      <w:r w:rsidRPr="00C10761">
        <w:rPr>
          <w:rStyle w:val="Style1Char"/>
          <w:color w:val="000000" w:themeColor="text1"/>
          <w:sz w:val="22"/>
          <w:szCs w:val="22"/>
          <w:rtl/>
        </w:rPr>
        <w:t xml:space="preserve">בכותב לה ועודה ארוסה; </w:t>
      </w:r>
      <w:r w:rsidRPr="00E53B77">
        <w:rPr>
          <w:rStyle w:val="Style1Char"/>
          <w:color w:val="4472C4" w:themeColor="accent1"/>
          <w:rtl/>
        </w:rPr>
        <w:t xml:space="preserve">ומסתמא נמי מיירי דנפלו לה בעודה ארוסה </w:t>
      </w:r>
      <w:r>
        <w:rPr>
          <w:rStyle w:val="Style1Char"/>
          <w:rFonts w:hint="cs"/>
          <w:color w:val="4472C4" w:themeColor="accent1"/>
        </w:rPr>
        <w:t>‍‍</w:t>
      </w:r>
      <w:r w:rsidRPr="00E53B77">
        <w:rPr>
          <w:rStyle w:val="Style1Char"/>
          <w:color w:val="4472C4" w:themeColor="accent1"/>
          <w:rtl/>
        </w:rPr>
        <w:t>וקשה דא"כ אפילו אם לא כתב לה נמי מכרה קיים דהא תנן</w:t>
      </w:r>
      <w:r>
        <w:rPr>
          <w:rStyle w:val="Style1Char"/>
          <w:rFonts w:hint="cs"/>
          <w:color w:val="4472C4" w:themeColor="accent1"/>
        </w:rPr>
        <w:t>‍</w:t>
      </w:r>
      <w:r w:rsidRPr="00E53B77">
        <w:rPr>
          <w:rStyle w:val="Style1Char"/>
          <w:color w:val="4472C4" w:themeColor="accent1"/>
          <w:rtl/>
        </w:rPr>
        <w:t xml:space="preserve"> לעיל (דף עח א) עד שלא נשאת ונשאת רבן גמליאל אומר אם מכרה ונתנה קיים וי"ל דמתני' דהכא כתנאי דאמרו לו והרמב"ם ז"ל (פכ"ג מהל' אישות) כתב דמסתלק הוא מנכסים שנפלו</w:t>
      </w:r>
      <w:r>
        <w:rPr>
          <w:rStyle w:val="Style1Char"/>
          <w:rFonts w:hint="cs"/>
          <w:color w:val="4472C4" w:themeColor="accent1"/>
        </w:rPr>
        <w:t>‍</w:t>
      </w:r>
      <w:r w:rsidRPr="00E53B77">
        <w:rPr>
          <w:rStyle w:val="Style1Char"/>
          <w:color w:val="4472C4" w:themeColor="accent1"/>
          <w:rtl/>
        </w:rPr>
        <w:t xml:space="preserve"> לה לאחר שתנשא דסלוק בעלמא הוא ובמה שאינו ראוי לו עדיין אדם מתנה שלא יזכה בו ומיהו בירושלמי לא משמע הכי דגרסי' התם אמר ר' ירמיה בעו קמיה דרבי זירא כתב לה דין ודברים אין לי בנכסיך ונפלו לה לאחר מיכן מהו. ויש אדם מתנה על דבר שאינו ברשותו. ולא דמי לכותב לה ועודה ארוסה דהתם הנכסים כבר ביד האשה. וקצת יש לדחות דירושלמי איירי דכתב לה אחר נשואין</w:t>
      </w:r>
      <w:r>
        <w:rPr>
          <w:rStyle w:val="Style1Char"/>
          <w:rFonts w:hint="cs"/>
          <w:color w:val="4472C4" w:themeColor="accent1"/>
        </w:rPr>
        <w:t>‍</w:t>
      </w:r>
      <w:r w:rsidRPr="00E53B77">
        <w:rPr>
          <w:rStyle w:val="Style1Char"/>
          <w:color w:val="4472C4" w:themeColor="accent1"/>
          <w:rtl/>
        </w:rPr>
        <w:t xml:space="preserve"> דכיון דידו כידה אין הסילוק מועיל לדבר שאינו ברשותו אבל בעודה ארוסה מהני סילוק אפילו לנכסים שנפלו לה משנשאת. </w:t>
      </w:r>
      <w:r w:rsidRPr="00160312">
        <w:rPr>
          <w:rStyle w:val="Style1Char"/>
          <w:color w:val="000000" w:themeColor="text1"/>
          <w:sz w:val="22"/>
          <w:szCs w:val="22"/>
          <w:rtl/>
        </w:rPr>
        <w:t xml:space="preserve">כדרב כהנא, דאמר רב כהנא: </w:t>
      </w:r>
      <w:r w:rsidR="009A6D3F" w:rsidRPr="00EF64BD">
        <w:rPr>
          <w:rStyle w:val="Style1Char"/>
          <w:rFonts w:hint="cs"/>
          <w:rtl/>
        </w:rPr>
        <w:t>(</w:t>
      </w:r>
      <w:r w:rsidR="009A6D3F">
        <w:rPr>
          <w:rStyle w:val="Style1Char"/>
          <w:rFonts w:hint="cs"/>
          <w:rtl/>
        </w:rPr>
        <w:t>4</w:t>
      </w:r>
      <w:r w:rsidR="009A6D3F" w:rsidRPr="00EF64BD">
        <w:rPr>
          <w:rStyle w:val="Style1Char"/>
          <w:rFonts w:hint="cs"/>
          <w:rtl/>
        </w:rPr>
        <w:t>)</w:t>
      </w:r>
      <w:r w:rsidRPr="00160312">
        <w:rPr>
          <w:rStyle w:val="Style1Char"/>
          <w:color w:val="000000" w:themeColor="text1"/>
          <w:sz w:val="22"/>
          <w:szCs w:val="22"/>
          <w:rtl/>
        </w:rPr>
        <w:t>נחלה הבאה לאדם ממקום אחר, אדם מתנה עליה שלא יירשנה; וכדרבא, דאמר רבא: האומר אי אפשי בתקנת חכמים כגון זו - שומעין לו. מאי כגון זו? כדרב הונא אמר רב, דאמר רב הונא אמר רב: יכולה אשה שתאמר לבעלה איני ניזונת ואיני עושה. אי הכי, אפילו נשואה נמי! אמר אביי: נשואה - ידו כידה; רבא אמר: ידו עדיפא מידה. נפקא מינה? לשומרת יבם</w:t>
      </w:r>
      <w:r w:rsidRPr="00160312">
        <w:rPr>
          <w:rStyle w:val="Style1Char"/>
          <w:color w:val="000000" w:themeColor="text1"/>
          <w:rtl/>
        </w:rPr>
        <w:t xml:space="preserve"> </w:t>
      </w:r>
      <w:r w:rsidRPr="00D205EB">
        <w:rPr>
          <w:rStyle w:val="Style1Char"/>
          <w:color w:val="C00000"/>
          <w:rtl/>
        </w:rPr>
        <w:t>שאם מתה נכסיה לבעלה ואם מת הבעל והניח אשתו שומרת יבם כל הנכסים שנפלו לה בחיי בעלה לא נתרוקנה בהן הרשות לעצמה אלא עדיין רשות בעלה עמה שהרי יש לה ליבמה בהן רשות מחמת בעלה וידו עדיפא מידה</w:t>
      </w:r>
      <w:r w:rsidRPr="00910C14">
        <w:rPr>
          <w:rStyle w:val="Style1Char"/>
          <w:sz w:val="22"/>
          <w:szCs w:val="22"/>
          <w:rtl/>
        </w:rPr>
        <w:t>.</w:t>
      </w:r>
      <w:r w:rsidRPr="00D2614D">
        <w:rPr>
          <w:rStyle w:val="Style1Char"/>
          <w:color w:val="00B050"/>
          <w:rtl/>
        </w:rPr>
        <w:t xml:space="preserve"> </w:t>
      </w:r>
      <w:r w:rsidRPr="00160312">
        <w:rPr>
          <w:rStyle w:val="Style1Char"/>
          <w:color w:val="000000" w:themeColor="text1"/>
          <w:sz w:val="22"/>
          <w:szCs w:val="22"/>
          <w:rtl/>
        </w:rPr>
        <w:t>איבעיא להו: קנו מידו</w:t>
      </w:r>
      <w:r w:rsidRPr="00160312">
        <w:rPr>
          <w:rStyle w:val="Style1Char"/>
          <w:color w:val="000000" w:themeColor="text1"/>
          <w:rtl/>
        </w:rPr>
        <w:t xml:space="preserve"> </w:t>
      </w:r>
      <w:r w:rsidRPr="00E26D79">
        <w:rPr>
          <w:rStyle w:val="Style1Char"/>
          <w:color w:val="C00000"/>
          <w:sz w:val="22"/>
          <w:szCs w:val="22"/>
          <w:rtl/>
        </w:rPr>
        <w:t>של בעל ועודה ארוסה</w:t>
      </w:r>
      <w:r w:rsidRPr="00E26D79">
        <w:rPr>
          <w:rStyle w:val="Style1Char"/>
          <w:sz w:val="22"/>
          <w:szCs w:val="22"/>
          <w:rtl/>
        </w:rPr>
        <w:t xml:space="preserve">, </w:t>
      </w:r>
      <w:r w:rsidRPr="00160312">
        <w:rPr>
          <w:rStyle w:val="Style1Char"/>
          <w:color w:val="000000" w:themeColor="text1"/>
          <w:sz w:val="22"/>
          <w:szCs w:val="22"/>
          <w:rtl/>
        </w:rPr>
        <w:t>מהו?</w:t>
      </w:r>
      <w:r w:rsidRPr="00E26D79">
        <w:rPr>
          <w:rStyle w:val="Style1Char"/>
          <w:sz w:val="22"/>
          <w:szCs w:val="22"/>
          <w:rtl/>
        </w:rPr>
        <w:t xml:space="preserve"> </w:t>
      </w:r>
      <w:r w:rsidRPr="00E53B77">
        <w:rPr>
          <w:rStyle w:val="Style1Char"/>
          <w:color w:val="4472C4" w:themeColor="accent1"/>
          <w:rtl/>
        </w:rPr>
        <w:t xml:space="preserve">פירש"י דאברייתא קאי וקשה לר"י מה מועיל שם קנין למי הוא מקנה אותה. דדין ודברים אין לי בה אינו אלא לשון הפקר. הלכך נראה לר"י דאנשואה קאי דלא מהני דין ודברים משום דידו כידה ומבעיא להו אי מהני קנין. ויש לקיים פירוש רש"י דכיון שאומר לחבירו שהוא שותף עמו והקנה לו מוכח שהוא מקנה לו השדה. ורב אלפס ז"ל כתב קנו מידו של בעל ועודה ארוסה מהו. וקשה דהא אפילו באמירה מועיל. וכוונתו שאם אמר דין ודברים אין לי בנכסיך </w:t>
      </w:r>
      <w:r w:rsidRPr="00E53B77">
        <w:rPr>
          <w:rStyle w:val="Style1Char"/>
          <w:color w:val="4472C4" w:themeColor="accent1"/>
          <w:rtl/>
        </w:rPr>
        <w:lastRenderedPageBreak/>
        <w:t>וקנו מידו אם נסתלק גם מפירות וירושה. וקשה כיון דטעמא דלא נסתלק משום דיד בעל השטר על התחתונה או מדקדוק הלשון דבנכסייך ולא בפירות. בנכסייך ולא לאחר מיתה. לרב אשי מאי מהני קנין לדבר שאינו שלו במשמעות הלשון. וכן בכל מקום שאנו אומרים יד בעל השטר על התחתונה אטו אי קנו מיניה תהיה ידו על העליונה. ופרש"י עיקר דקאי אברייתא כדפרישית</w:t>
      </w:r>
    </w:p>
    <w:p w14:paraId="48691B2B" w14:textId="393AAF6D" w:rsidR="00C369CA" w:rsidRDefault="00C369CA" w:rsidP="00C369CA">
      <w:pPr>
        <w:bidi/>
        <w:rPr>
          <w:rStyle w:val="Style1Char"/>
          <w:color w:val="00B050"/>
          <w:rtl/>
        </w:rPr>
      </w:pPr>
      <w:r w:rsidRPr="00820F62">
        <w:rPr>
          <w:rStyle w:val="Style1Char"/>
          <w:color w:val="000000" w:themeColor="text1"/>
          <w:sz w:val="22"/>
          <w:szCs w:val="22"/>
          <w:rtl/>
        </w:rPr>
        <w:t xml:space="preserve">אמר רב יוסף: מדין ודברים קנו מידו. רב נחמן אמר: </w:t>
      </w:r>
      <w:r w:rsidR="00EA79B0" w:rsidRPr="00EF64BD">
        <w:rPr>
          <w:rStyle w:val="Style1Char"/>
          <w:rFonts w:hint="cs"/>
          <w:rtl/>
        </w:rPr>
        <w:t>(</w:t>
      </w:r>
      <w:r w:rsidR="00EA79B0">
        <w:rPr>
          <w:rStyle w:val="Style1Char"/>
          <w:rFonts w:hint="cs"/>
          <w:rtl/>
        </w:rPr>
        <w:t>4.2, 5</w:t>
      </w:r>
      <w:r w:rsidR="00EA79B0" w:rsidRPr="00EF64BD">
        <w:rPr>
          <w:rStyle w:val="Style1Char"/>
          <w:rFonts w:hint="cs"/>
          <w:rtl/>
        </w:rPr>
        <w:t>)</w:t>
      </w:r>
      <w:r w:rsidRPr="00820F62">
        <w:rPr>
          <w:rStyle w:val="Style1Char"/>
          <w:color w:val="000000" w:themeColor="text1"/>
          <w:sz w:val="22"/>
          <w:szCs w:val="22"/>
          <w:rtl/>
        </w:rPr>
        <w:t>מגופה של קרקע קנו מידו</w:t>
      </w:r>
      <w:r w:rsidRPr="00E26D79">
        <w:rPr>
          <w:rStyle w:val="Style1Char"/>
          <w:sz w:val="22"/>
          <w:szCs w:val="22"/>
          <w:rtl/>
        </w:rPr>
        <w:t xml:space="preserve">. </w:t>
      </w:r>
      <w:r w:rsidRPr="00D2614D">
        <w:rPr>
          <w:rStyle w:val="Style1Char"/>
          <w:color w:val="00B050"/>
          <w:rtl/>
        </w:rPr>
        <w:t>אמר אביי: מסתברא מילתא דרב יוסף</w:t>
      </w:r>
    </w:p>
    <w:p w14:paraId="1B68B075" w14:textId="023A9F5F" w:rsidR="00644F9E" w:rsidRDefault="00644F9E" w:rsidP="00644F9E">
      <w:pPr>
        <w:pStyle w:val="Style1"/>
        <w:rPr>
          <w:rStyle w:val="Style1Char"/>
          <w:rtl/>
        </w:rPr>
      </w:pPr>
      <w:r>
        <w:rPr>
          <w:rStyle w:val="Style1Char"/>
          <w:rFonts w:hint="cs"/>
          <w:rtl/>
        </w:rPr>
        <w:t>1)[</w:t>
      </w:r>
      <w:r w:rsidRPr="00644F9E">
        <w:rPr>
          <w:rStyle w:val="Style1Char"/>
          <w:rtl/>
        </w:rPr>
        <w:t>רמב</w:t>
      </w:r>
      <w:r w:rsidR="00213DA1">
        <w:rPr>
          <w:rStyle w:val="Style1Char"/>
          <w:rtl/>
        </w:rPr>
        <w:t>”ם \נשים\</w:t>
      </w:r>
      <w:r w:rsidRPr="00644F9E">
        <w:rPr>
          <w:rStyle w:val="Style1Char"/>
          <w:rtl/>
        </w:rPr>
        <w:t xml:space="preserve"> הלכות אישות פרק כג הלכה ב</w:t>
      </w:r>
      <w:r>
        <w:rPr>
          <w:rStyle w:val="Style1Char"/>
          <w:rFonts w:hint="cs"/>
          <w:rtl/>
        </w:rPr>
        <w:t xml:space="preserve">] </w:t>
      </w:r>
      <w:r w:rsidRPr="00644F9E">
        <w:rPr>
          <w:rStyle w:val="Style1Char"/>
          <w:rtl/>
        </w:rPr>
        <w:t>התנה עמה שלא יהיה לו דין ודברים בנכסיה אם מכרה ונתנה מכרה קיים ומתנתה קיימת אבל אוכל פירותיהן כל זמן שהן ברשותה, ואם קנו מידו כשהיא ארוסה שאין לו דין ודברים בנכסיה הרי סילק עצמו מגוף הקרקע ואין לו בנכסיה פירות לעולם, ואפילו ערער על קניינו ואמר לא עלה בדעתי שאין לי פירות מפני קנין זה אלא שאם מכרה מכרה קיים שאין אדם נושא אשה בלא נכסים אין שומעין לו אלא כבר סילק עצמו מגוף הקרקע. /השגת הראב"ד/ ואם קנו מידו כשהיא ארוסה שאין לו דין ודברים בנכסיה הרי סילק עצמו מגוף הקרקע ואין לו בנכסיה פירות. א"א כל מה שכתב כאן הכל הבל ורעות רוח.</w:t>
      </w:r>
    </w:p>
    <w:p w14:paraId="78A74877" w14:textId="031BC558" w:rsidR="00ED5EB7" w:rsidRPr="00ED5EB7" w:rsidRDefault="00CF2974" w:rsidP="00ED5EB7">
      <w:pPr>
        <w:pStyle w:val="Style1"/>
      </w:pPr>
      <w:r>
        <w:rPr>
          <w:rStyle w:val="Style1Char"/>
          <w:rFonts w:hint="cs"/>
          <w:rtl/>
        </w:rPr>
        <w:t>1)[</w:t>
      </w:r>
      <w:r w:rsidRPr="00CF2974">
        <w:rPr>
          <w:rStyle w:val="Style1Char"/>
          <w:rtl/>
        </w:rPr>
        <w:t>שולחן ערוך אבן העזר הלכות כתובות סימן צב סעיף א</w:t>
      </w:r>
      <w:r>
        <w:rPr>
          <w:rStyle w:val="Style1Char"/>
          <w:rFonts w:hint="cs"/>
          <w:rtl/>
        </w:rPr>
        <w:t>]</w:t>
      </w:r>
      <w:r w:rsidR="00ED5EB7">
        <w:rPr>
          <w:rStyle w:val="Style1Char"/>
          <w:rFonts w:hint="cs"/>
          <w:rtl/>
        </w:rPr>
        <w:t xml:space="preserve"> </w:t>
      </w:r>
      <w:r w:rsidR="00ED5EB7" w:rsidRPr="00ED5EB7">
        <w:rPr>
          <w:rtl/>
        </w:rPr>
        <w:t>הכותב או האומר לאשתו בעודה ארוסה: "דין ודברים אין לי בנכסיך", אם מכרה או נתנה, קיים</w:t>
      </w:r>
      <w:r w:rsidR="00ED5EB7" w:rsidRPr="00ED5EB7">
        <w:t>. </w:t>
      </w:r>
      <w:r w:rsidR="00ED5EB7" w:rsidRPr="00ED5EB7">
        <w:rPr>
          <w:rFonts w:hint="cs"/>
          <w:rtl/>
        </w:rPr>
        <w:t>ואין לו במעות המקח כלל (הגהות אלפסי)</w:t>
      </w:r>
      <w:r w:rsidR="00ED5EB7" w:rsidRPr="00ED5EB7">
        <w:t xml:space="preserve">. </w:t>
      </w:r>
      <w:r w:rsidR="00ED5EB7" w:rsidRPr="00ED5EB7">
        <w:rPr>
          <w:rtl/>
        </w:rPr>
        <w:t>וכל זמן שלא מכרה ולא נתנה, הבעל אוכל הפרות, ואם מתה יורשה. ואם כתב לה כן אחר הנשואין, צריך לקנות מידו ואז יהיה מכרה ומתנתה קיים</w:t>
      </w:r>
      <w:r w:rsidR="00ED5EB7" w:rsidRPr="00ED5EB7">
        <w:t>.</w:t>
      </w:r>
    </w:p>
    <w:p w14:paraId="449400BB" w14:textId="313D6013" w:rsidR="00ED5EB7" w:rsidRDefault="00ED5EB7" w:rsidP="00ED5EB7">
      <w:pPr>
        <w:pStyle w:val="Style1"/>
        <w:rPr>
          <w:rtl/>
        </w:rPr>
      </w:pPr>
      <w:r w:rsidRPr="00ED5EB7">
        <w:rPr>
          <w:rFonts w:hint="cs"/>
          <w:rtl/>
        </w:rPr>
        <w:t>הגה: ולא מהני סלוקו אלא לאחר ארוסין, אבל קודם ארוסין לא מהני סלוק (ר"ן ריש פרק הכותב ורשב"א סימן תתק"ס)</w:t>
      </w:r>
      <w:r w:rsidRPr="00ED5EB7">
        <w:t>:</w:t>
      </w:r>
    </w:p>
    <w:p w14:paraId="1A9B79B8" w14:textId="1CFBF8C9" w:rsidR="00D02731" w:rsidRDefault="00D02731" w:rsidP="00D02731">
      <w:pPr>
        <w:pStyle w:val="Style1"/>
        <w:rPr>
          <w:rtl/>
        </w:rPr>
      </w:pPr>
      <w:r>
        <w:rPr>
          <w:rFonts w:hint="cs"/>
          <w:rtl/>
        </w:rPr>
        <w:t>2)[</w:t>
      </w:r>
      <w:r>
        <w:rPr>
          <w:rtl/>
        </w:rPr>
        <w:t>רמב</w:t>
      </w:r>
      <w:r w:rsidR="00213DA1">
        <w:rPr>
          <w:rtl/>
        </w:rPr>
        <w:t>”ם \נשים\</w:t>
      </w:r>
      <w:r>
        <w:rPr>
          <w:rtl/>
        </w:rPr>
        <w:t xml:space="preserve"> הלכות אישות פרק כג הלכה ג</w:t>
      </w:r>
      <w:r>
        <w:rPr>
          <w:rFonts w:hint="cs"/>
          <w:rtl/>
        </w:rPr>
        <w:t xml:space="preserve">] </w:t>
      </w:r>
      <w:r>
        <w:rPr>
          <w:rtl/>
        </w:rPr>
        <w:t>התנה עמה שלא יאכל פירות נכסיה הרי זה אינו אוכל פירותיהן אבל מוכרין את הפירות ולוקחין בהן קרקע והוא אוכל פירותיה, שלא סילק עצמו אלא מפירות נכסים אלו בלבד.</w:t>
      </w:r>
    </w:p>
    <w:p w14:paraId="2353693C" w14:textId="64080F4A" w:rsidR="004D462C" w:rsidRDefault="004D462C" w:rsidP="004D462C">
      <w:pPr>
        <w:pStyle w:val="Style1"/>
        <w:rPr>
          <w:rtl/>
        </w:rPr>
      </w:pPr>
      <w:r>
        <w:rPr>
          <w:rFonts w:hint="cs"/>
          <w:rtl/>
        </w:rPr>
        <w:t>2)[</w:t>
      </w:r>
      <w:r>
        <w:rPr>
          <w:rtl/>
        </w:rPr>
        <w:t>שולחן ערוך אבן העזר הלכות כתובות סימן צב סעיף ד</w:t>
      </w:r>
      <w:r>
        <w:rPr>
          <w:rFonts w:hint="cs"/>
          <w:rtl/>
        </w:rPr>
        <w:t xml:space="preserve">] </w:t>
      </w:r>
      <w:r>
        <w:rPr>
          <w:rtl/>
        </w:rPr>
        <w:t>הוסיף להתנות גם על הפירות, שאמר לה: דין ודברים אין לי בנכסייך ובפירותיהן, אינו אוכל פירות בחייה, אבל מוכרים הפירות ולוקחים בהם קרקע ואוכל פירותיו. הגה: ואם מתה, יורשה (טור). וי"א דאין כופין אותה למכור הפירות, אלא שאם שיירה פירות ימכרם ויקנה בהם קרקע והוא אוכל פירות (טור בשם הרא"ש).</w:t>
      </w:r>
    </w:p>
    <w:p w14:paraId="542C0158" w14:textId="23863279" w:rsidR="00A959AA" w:rsidRPr="00A959AA" w:rsidRDefault="00D41009" w:rsidP="00A959AA">
      <w:pPr>
        <w:pStyle w:val="Style1"/>
      </w:pPr>
      <w:r>
        <w:rPr>
          <w:rFonts w:hint="cs"/>
          <w:rtl/>
        </w:rPr>
        <w:t>3)[</w:t>
      </w:r>
      <w:r>
        <w:rPr>
          <w:rtl/>
        </w:rPr>
        <w:t>שולחן ערוך אבן העזר הלכות כתובות סימן צב סעיף ח</w:t>
      </w:r>
      <w:r>
        <w:rPr>
          <w:rFonts w:hint="cs"/>
          <w:rtl/>
        </w:rPr>
        <w:t>]</w:t>
      </w:r>
      <w:r w:rsidR="00A959AA">
        <w:rPr>
          <w:rFonts w:hint="cs"/>
          <w:rtl/>
        </w:rPr>
        <w:t xml:space="preserve"> </w:t>
      </w:r>
      <w:r w:rsidR="00A959AA" w:rsidRPr="00A959AA">
        <w:rPr>
          <w:rtl/>
        </w:rPr>
        <w:t>התנה עמה אחר נשואין שלא יהיו לו דין ודברים בנכסיה ולא בפרי פרותיה עד עולם בחייה ובמותה, הרי זה אינו אוכל פירות כלל, אבל אם מתה יירשנה</w:t>
      </w:r>
      <w:r w:rsidR="00A959AA" w:rsidRPr="00A959AA">
        <w:t>.</w:t>
      </w:r>
    </w:p>
    <w:p w14:paraId="373C6A7B" w14:textId="7824A9B5" w:rsidR="00A959AA" w:rsidRDefault="00A959AA" w:rsidP="00A959AA">
      <w:pPr>
        <w:pStyle w:val="Style1"/>
        <w:rPr>
          <w:rtl/>
        </w:rPr>
      </w:pPr>
      <w:r w:rsidRPr="00A959AA">
        <w:rPr>
          <w:rFonts w:hint="cs"/>
          <w:rtl/>
        </w:rPr>
        <w:t>הגה: סלק עצמו מנכסי אשתו וגרשה, וחזר ונשאה סתם, על תנאי הראשון הוא מחזירה (רשב"א סימן תתקס"ב)</w:t>
      </w:r>
      <w:r w:rsidRPr="00A959AA">
        <w:t>:</w:t>
      </w:r>
    </w:p>
    <w:p w14:paraId="318F6C02" w14:textId="2482DEEA" w:rsidR="00F56188" w:rsidRDefault="00F56188" w:rsidP="00F56188">
      <w:pPr>
        <w:pStyle w:val="Style1"/>
        <w:rPr>
          <w:rtl/>
        </w:rPr>
      </w:pPr>
      <w:r>
        <w:rPr>
          <w:rFonts w:hint="cs"/>
          <w:rtl/>
        </w:rPr>
        <w:t>4)[</w:t>
      </w:r>
      <w:r>
        <w:rPr>
          <w:rtl/>
        </w:rPr>
        <w:t>רמב</w:t>
      </w:r>
      <w:r w:rsidR="00213DA1">
        <w:rPr>
          <w:rtl/>
        </w:rPr>
        <w:t>”ם \נשים\</w:t>
      </w:r>
      <w:r>
        <w:rPr>
          <w:rtl/>
        </w:rPr>
        <w:t xml:space="preserve"> הלכות אישות פרק כג הלכה ו</w:t>
      </w:r>
      <w:r>
        <w:rPr>
          <w:rFonts w:hint="cs"/>
          <w:rtl/>
        </w:rPr>
        <w:t xml:space="preserve">] </w:t>
      </w:r>
      <w:r>
        <w:rPr>
          <w:rtl/>
        </w:rPr>
        <w:t>במה דברים אמורים בשהתנה עמה קודם שתנשא, שהנחלה הבאה לו לאדם שלא ממשפחתו מתנה עליה שלא יירשנה קודם שתהא ראויה לו, אבל אם התנה עמה אחר שנישאת תנאו בטל ויירשנה כמו שביארנו.</w:t>
      </w:r>
    </w:p>
    <w:p w14:paraId="2322F023" w14:textId="67F4AD4A" w:rsidR="00EB6FB1" w:rsidRDefault="00EB6FB1" w:rsidP="00EB6FB1">
      <w:pPr>
        <w:pStyle w:val="Style1"/>
        <w:rPr>
          <w:rtl/>
        </w:rPr>
      </w:pPr>
      <w:r>
        <w:rPr>
          <w:rFonts w:hint="cs"/>
          <w:rtl/>
        </w:rPr>
        <w:t>4)[</w:t>
      </w:r>
      <w:r>
        <w:rPr>
          <w:rtl/>
        </w:rPr>
        <w:t>שולחן ערוך אבן העזר הלכות כתובות סימן צב סעיף ג</w:t>
      </w:r>
      <w:r>
        <w:rPr>
          <w:rFonts w:hint="cs"/>
          <w:rtl/>
        </w:rPr>
        <w:t>]</w:t>
      </w:r>
      <w:r w:rsidR="00CD7069">
        <w:rPr>
          <w:rFonts w:hint="cs"/>
          <w:rtl/>
        </w:rPr>
        <w:t xml:space="preserve"> </w:t>
      </w:r>
      <w:r w:rsidR="00CD7069" w:rsidRPr="00CD7069">
        <w:rPr>
          <w:rtl/>
        </w:rPr>
        <w:t>כשאמר לה בעודה ארוסה: דין ודברים אין לי בנכסיך, אם קנו מידו הרי סלק עצמו מגוף הקרקע ואין לו בנכסיה פירות לעולם. ויש מי שחולק בזה</w:t>
      </w:r>
      <w:r w:rsidR="00CD7069" w:rsidRPr="00CD7069">
        <w:t>:</w:t>
      </w:r>
    </w:p>
    <w:p w14:paraId="0F606AA8" w14:textId="0DC46DAB" w:rsidR="00DF63E0" w:rsidRPr="00DF63E0" w:rsidRDefault="0099536E" w:rsidP="00DF63E0">
      <w:pPr>
        <w:pStyle w:val="Style1"/>
      </w:pPr>
      <w:r>
        <w:rPr>
          <w:rFonts w:hint="cs"/>
          <w:rtl/>
        </w:rPr>
        <w:t>4)[</w:t>
      </w:r>
      <w:r>
        <w:rPr>
          <w:rtl/>
        </w:rPr>
        <w:t>שולחן ערוך אבן העזר הלכות כתובות סימן צב סעיף ז</w:t>
      </w:r>
      <w:r>
        <w:rPr>
          <w:rFonts w:hint="cs"/>
          <w:rtl/>
        </w:rPr>
        <w:t>]</w:t>
      </w:r>
      <w:r w:rsidR="00DF63E0">
        <w:rPr>
          <w:rFonts w:hint="cs"/>
          <w:rtl/>
        </w:rPr>
        <w:t xml:space="preserve"> </w:t>
      </w:r>
      <w:r w:rsidR="00DF63E0" w:rsidRPr="00DF63E0">
        <w:rPr>
          <w:rtl/>
        </w:rPr>
        <w:t>התנה עמה שלא יירשנה, הרי זה לא יירשנה, אבל אוכל פירות בחייה. וכן אם התנה עמה שיירש מקצת נכסים, וכן אם התנה עמה שאם מתה בלא בנים יחזרו הנכסים לבית אביה, הכל קיים. במה דברים אמורים, שהתנה עמה קדם שתנשא, בעודה ארוסה, או בכותב לה בכתובתה בשעת כניסה, אבל אם התנה עמה אחר שנשאה, תנאו בטל, ויירשנה</w:t>
      </w:r>
      <w:r w:rsidR="00DF63E0" w:rsidRPr="00DF63E0">
        <w:t>.</w:t>
      </w:r>
    </w:p>
    <w:p w14:paraId="00E87518" w14:textId="1EFFF0F8" w:rsidR="00DF63E0" w:rsidRDefault="00DF63E0" w:rsidP="00DF63E0">
      <w:pPr>
        <w:pStyle w:val="Style1"/>
        <w:rPr>
          <w:rtl/>
        </w:rPr>
      </w:pPr>
      <w:r w:rsidRPr="00DF63E0">
        <w:rPr>
          <w:rFonts w:hint="cs"/>
          <w:rtl/>
        </w:rPr>
        <w:t>הגה: ועין לעיל </w:t>
      </w:r>
      <w:hyperlink r:id="rId205" w:tooltip="שולחן ערוך אבן העזר סט" w:history="1">
        <w:r w:rsidRPr="00DF63E0">
          <w:rPr>
            <w:rStyle w:val="Hyperlink"/>
            <w:rFonts w:hint="cs"/>
            <w:color w:val="7030A0"/>
            <w:u w:val="none"/>
            <w:rtl/>
          </w:rPr>
          <w:t>סימן ס"ט</w:t>
        </w:r>
      </w:hyperlink>
      <w:r w:rsidRPr="00DF63E0">
        <w:rPr>
          <w:rFonts w:hint="cs"/>
        </w:rPr>
        <w:t xml:space="preserve">. </w:t>
      </w:r>
      <w:r w:rsidRPr="00DF63E0">
        <w:rPr>
          <w:rFonts w:hint="cs"/>
          <w:rtl/>
        </w:rPr>
        <w:t>והא דלא מהני תנאי לאחר שנשאת, דוקא שאמר שלא יירשנה; מכל מקום, אם מחייב עצמו להחזיר ליורשיה מה שיורש ממנה, צריך לקיים (הר"ן ריש הכותב בשם הרמב"ן וריב"ש </w:t>
      </w:r>
      <w:hyperlink r:id="rId206" w:tooltip="תשובות ריב&quot;ש/סד" w:history="1">
        <w:r w:rsidRPr="00DF63E0">
          <w:rPr>
            <w:rStyle w:val="Hyperlink"/>
            <w:rFonts w:hint="cs"/>
            <w:color w:val="7030A0"/>
            <w:u w:val="none"/>
            <w:rtl/>
          </w:rPr>
          <w:t>סימן ס"ד</w:t>
        </w:r>
      </w:hyperlink>
      <w:r w:rsidRPr="00DF63E0">
        <w:rPr>
          <w:rFonts w:hint="cs"/>
        </w:rPr>
        <w:t> </w:t>
      </w:r>
      <w:hyperlink r:id="rId207" w:tooltip="תשובות ריב&quot;ש/קב" w:history="1">
        <w:r w:rsidRPr="00DF63E0">
          <w:rPr>
            <w:rStyle w:val="Hyperlink"/>
            <w:rFonts w:hint="cs"/>
            <w:color w:val="7030A0"/>
            <w:u w:val="none"/>
            <w:rtl/>
          </w:rPr>
          <w:t>וק"ב</w:t>
        </w:r>
      </w:hyperlink>
      <w:r w:rsidRPr="00DF63E0">
        <w:rPr>
          <w:rFonts w:hint="cs"/>
        </w:rPr>
        <w:t>)</w:t>
      </w:r>
      <w:r w:rsidRPr="00DF63E0">
        <w:t>:</w:t>
      </w:r>
    </w:p>
    <w:p w14:paraId="5BCC24A5" w14:textId="7F02DC77" w:rsidR="00291D0C" w:rsidRDefault="00291D0C" w:rsidP="00291D0C">
      <w:pPr>
        <w:pStyle w:val="Style1"/>
        <w:rPr>
          <w:rtl/>
        </w:rPr>
      </w:pPr>
      <w:r>
        <w:rPr>
          <w:rFonts w:hint="cs"/>
          <w:rtl/>
        </w:rPr>
        <w:t>4)[</w:t>
      </w:r>
      <w:r>
        <w:rPr>
          <w:rtl/>
        </w:rPr>
        <w:t>שולחן ערוך אבן העזר הלכות כתובות סימן סט סעיף ז</w:t>
      </w:r>
      <w:r>
        <w:rPr>
          <w:rFonts w:hint="cs"/>
          <w:rtl/>
        </w:rPr>
        <w:t xml:space="preserve">] </w:t>
      </w:r>
      <w:r>
        <w:rPr>
          <w:rtl/>
        </w:rPr>
        <w:t>זה שאמרנו שאין תנאי מועיל להסתלק מירושתה, היינו במתנה עמה אחר שנשאה או קודם שאירסה, אבל במתנה עמה בעודה ארוסה, מהני. (וע"ל סימן צ"ב. יג] אמרו רז"ל: אין לך כשרה בנשים אלא אשה שעושה רצון בעלה) (הגהות מיימוני פט"ו בשם תנא דבי אליהו).</w:t>
      </w:r>
    </w:p>
    <w:p w14:paraId="2BD0B11A" w14:textId="00798338" w:rsidR="0033145A" w:rsidRPr="00DF63E0" w:rsidRDefault="0033145A" w:rsidP="0033145A">
      <w:pPr>
        <w:pStyle w:val="Style1"/>
      </w:pPr>
      <w:r>
        <w:rPr>
          <w:rFonts w:hint="cs"/>
          <w:rtl/>
        </w:rPr>
        <w:t>5)[</w:t>
      </w:r>
      <w:r>
        <w:rPr>
          <w:rtl/>
        </w:rPr>
        <w:t>רמב</w:t>
      </w:r>
      <w:r w:rsidR="00213DA1">
        <w:rPr>
          <w:rtl/>
        </w:rPr>
        <w:t>”ם \נשים\</w:t>
      </w:r>
      <w:r>
        <w:rPr>
          <w:rtl/>
        </w:rPr>
        <w:t xml:space="preserve"> הלכות אישות פרק כג הלכה א</w:t>
      </w:r>
      <w:r>
        <w:rPr>
          <w:rFonts w:hint="cs"/>
          <w:rtl/>
        </w:rPr>
        <w:t xml:space="preserve">] </w:t>
      </w:r>
      <w:r>
        <w:rPr>
          <w:rtl/>
        </w:rPr>
        <w:t>האשה שהתנת על בעלה לבטל זכות מדברים שזוכה בהן הבעל, אם כתב לה ועודה ארוסה קודם הנישואין אינו צריך לקנות מידו אלא כל מה שכתב לה קיים, ואם כתב לה אחר הנישואין צריך לקנות מידו.</w:t>
      </w:r>
    </w:p>
    <w:p w14:paraId="61D6D28C" w14:textId="77777777" w:rsidR="00DF63E0" w:rsidRPr="00DF63E0" w:rsidRDefault="00DF63E0" w:rsidP="00DF63E0">
      <w:pPr>
        <w:pStyle w:val="Style1"/>
      </w:pPr>
    </w:p>
    <w:p w14:paraId="30A8EED0" w14:textId="34BAE19B" w:rsidR="0099536E" w:rsidRPr="00CD7069" w:rsidRDefault="0099536E" w:rsidP="0099536E">
      <w:pPr>
        <w:pStyle w:val="Style1"/>
      </w:pPr>
    </w:p>
    <w:p w14:paraId="7610F207" w14:textId="0D14F89D" w:rsidR="00EB6FB1" w:rsidRPr="00A959AA" w:rsidRDefault="00EB6FB1" w:rsidP="00EB6FB1">
      <w:pPr>
        <w:pStyle w:val="Style1"/>
      </w:pPr>
    </w:p>
    <w:p w14:paraId="47EE94A0" w14:textId="77777777" w:rsidR="00A959AA" w:rsidRPr="00A959AA" w:rsidRDefault="00A959AA" w:rsidP="00A959AA">
      <w:pPr>
        <w:pStyle w:val="Style1"/>
      </w:pPr>
    </w:p>
    <w:p w14:paraId="243F813F" w14:textId="6016E92B" w:rsidR="00D41009" w:rsidRPr="00ED5EB7" w:rsidRDefault="00D41009" w:rsidP="00D41009">
      <w:pPr>
        <w:pStyle w:val="Style1"/>
      </w:pPr>
    </w:p>
    <w:p w14:paraId="03442448" w14:textId="77777777" w:rsidR="00C369CA" w:rsidRPr="00ED5EB7" w:rsidRDefault="00C369CA" w:rsidP="00ED5EB7">
      <w:pPr>
        <w:pStyle w:val="Style1"/>
        <w:rPr>
          <w:rStyle w:val="Style1Char"/>
        </w:rPr>
      </w:pPr>
    </w:p>
    <w:p w14:paraId="68308198" w14:textId="77777777" w:rsidR="00C369CA" w:rsidRPr="00910C14" w:rsidRDefault="00C369CA" w:rsidP="00C369CA">
      <w:pPr>
        <w:bidi/>
        <w:rPr>
          <w:rStyle w:val="Style1Char"/>
          <w:color w:val="00B050"/>
          <w:rtl/>
        </w:rPr>
      </w:pPr>
    </w:p>
    <w:p w14:paraId="27E8A134" w14:textId="77777777" w:rsidR="00C369CA" w:rsidRDefault="00C369CA" w:rsidP="00C369CA">
      <w:pPr>
        <w:rPr>
          <w:rStyle w:val="Style1Char"/>
          <w:color w:val="00B050"/>
          <w:rtl/>
        </w:rPr>
      </w:pPr>
      <w:r>
        <w:rPr>
          <w:rStyle w:val="Style1Char"/>
          <w:color w:val="00B050"/>
          <w:rtl/>
        </w:rPr>
        <w:br w:type="page"/>
      </w:r>
    </w:p>
    <w:p w14:paraId="227D1179" w14:textId="77777777" w:rsidR="00C369CA" w:rsidRDefault="00C369CA" w:rsidP="00C369CA">
      <w:pPr>
        <w:bidi/>
        <w:rPr>
          <w:rStyle w:val="Style1Char"/>
          <w:color w:val="00B050"/>
        </w:rPr>
      </w:pPr>
      <w:r w:rsidRPr="0019655F">
        <w:rPr>
          <w:rStyle w:val="Style1Char"/>
          <w:color w:val="00B050"/>
          <w:sz w:val="22"/>
          <w:szCs w:val="22"/>
          <w:highlight w:val="yellow"/>
          <w:rtl/>
        </w:rPr>
        <w:lastRenderedPageBreak/>
        <w:t>[דף פג עמוד ב]</w:t>
      </w:r>
      <w:r w:rsidRPr="0019655F">
        <w:rPr>
          <w:rStyle w:val="Style1Char"/>
          <w:color w:val="00B050"/>
          <w:sz w:val="22"/>
          <w:szCs w:val="22"/>
          <w:rtl/>
        </w:rPr>
        <w:t xml:space="preserve"> </w:t>
      </w:r>
      <w:r w:rsidRPr="00D2614D">
        <w:rPr>
          <w:rStyle w:val="Style1Char"/>
          <w:color w:val="00B050"/>
          <w:rtl/>
        </w:rPr>
        <w:t xml:space="preserve">בעורר, אבל בעומד - מגופה של קרקע קנו מידו. אמר אמימר, </w:t>
      </w:r>
      <w:r w:rsidRPr="00EB543A">
        <w:rPr>
          <w:rStyle w:val="Style1Char"/>
          <w:sz w:val="22"/>
          <w:szCs w:val="22"/>
          <w:rtl/>
        </w:rPr>
        <w:t>הלכתא: מגופה של קרקע קנו מידו</w:t>
      </w:r>
      <w:r w:rsidRPr="00EB543A">
        <w:rPr>
          <w:rStyle w:val="Style1Char"/>
          <w:color w:val="C00000"/>
          <w:rtl/>
        </w:rPr>
        <w:t xml:space="preserve"> </w:t>
      </w:r>
      <w:r w:rsidRPr="00811AB8">
        <w:rPr>
          <w:rStyle w:val="Style1Char"/>
          <w:color w:val="806000" w:themeColor="accent4" w:themeShade="80"/>
          <w:sz w:val="22"/>
          <w:szCs w:val="22"/>
          <w:rtl/>
        </w:rPr>
        <w:t>בין בעורר על קניינו בין בעומד</w:t>
      </w:r>
      <w:r w:rsidRPr="00D2614D">
        <w:rPr>
          <w:rStyle w:val="Style1Char"/>
          <w:color w:val="00B050"/>
          <w:rtl/>
        </w:rPr>
        <w:t xml:space="preserve">. אמר ליה רב אשי לאמימר: בעורר או בעומד? למאי נפקא מינה? לכדרב יוסף, אמר ליה: לא שמיע לי, כלומר, לא סבירא לי. אם כן, למה כתב לה וכו'. ותימא ליה: מכל מילי סליקת נפשך! אמר אביי: יד בעל השטר על התחתונה. ואימא: מפירי! אמר אביי: בוצינא טב מקרא. ואימא: מירושה! אמר אביי: מיתה שכיחא, מכירה לא שכיחא, וכי מסליק איניש נפשיה - ממילתא דלא שכיחא, ממילתא דשכיחא - לא מסליק איניש נפשיה. רב אשי אמר: בנכסייך - ולא בפירותיהן, בנכסייך - ולא לאחר מיתה. </w:t>
      </w:r>
      <w:r w:rsidRPr="00EB543A">
        <w:rPr>
          <w:rStyle w:val="Style1Char"/>
          <w:sz w:val="22"/>
          <w:szCs w:val="22"/>
          <w:rtl/>
        </w:rPr>
        <w:t xml:space="preserve">רבי יהודה אומר: לעולם הוא אוכל פירי פירות. </w:t>
      </w:r>
      <w:r w:rsidRPr="000565CE">
        <w:rPr>
          <w:rStyle w:val="Style1Char"/>
          <w:color w:val="auto"/>
          <w:sz w:val="22"/>
          <w:szCs w:val="22"/>
          <w:rtl/>
        </w:rPr>
        <w:t>תנו רבנן: אלו הן פירות, ואלו הן פירי פירות? הכניסה לו קרקע ועשתה פירות - הרי הן פירות, מכר פירות ולקח מהן קרקע ועשתה פירות - הרי הן פירי פירות</w:t>
      </w:r>
      <w:r w:rsidRPr="000565CE">
        <w:rPr>
          <w:rStyle w:val="Style1Char"/>
          <w:color w:val="4472C4" w:themeColor="accent1"/>
          <w:rtl/>
        </w:rPr>
        <w:t xml:space="preserve"> </w:t>
      </w:r>
      <w:r w:rsidRPr="00E53B77">
        <w:rPr>
          <w:rStyle w:val="Style1Char"/>
          <w:color w:val="4472C4" w:themeColor="accent1"/>
          <w:rtl/>
        </w:rPr>
        <w:t>והך ברייתא אתיא אליבא דרבי יהודה. דלרבנן לא משכחת פירי פירות אם סילק עצמו מפירות גם מפירי פירות אינו אוכל. ואם סלק עצמו מקרקע הקרקע שלקח בפירות הוא שלו.</w:t>
      </w:r>
      <w:r w:rsidRPr="00EB543A">
        <w:rPr>
          <w:rStyle w:val="Style1Char"/>
          <w:sz w:val="22"/>
          <w:szCs w:val="22"/>
          <w:rtl/>
        </w:rPr>
        <w:t xml:space="preserve">. </w:t>
      </w:r>
      <w:r w:rsidRPr="00F71113">
        <w:rPr>
          <w:rStyle w:val="Style1Char"/>
          <w:color w:val="ED7D31" w:themeColor="accent2"/>
          <w:sz w:val="22"/>
          <w:szCs w:val="22"/>
          <w:rtl/>
        </w:rPr>
        <w:t xml:space="preserve">איבעיא להו: </w:t>
      </w:r>
      <w:r w:rsidRPr="00D2614D">
        <w:rPr>
          <w:rStyle w:val="Style1Char"/>
          <w:color w:val="00B050"/>
          <w:rtl/>
        </w:rPr>
        <w:t xml:space="preserve">לרבי יהודה, </w:t>
      </w:r>
      <w:r w:rsidRPr="00F71113">
        <w:rPr>
          <w:rStyle w:val="Style1Char"/>
          <w:color w:val="ED7D31" w:themeColor="accent2"/>
          <w:sz w:val="22"/>
          <w:szCs w:val="22"/>
          <w:rtl/>
        </w:rPr>
        <w:t xml:space="preserve">פירי פירות דוקא, או </w:t>
      </w:r>
      <w:r w:rsidRPr="00D2614D">
        <w:rPr>
          <w:rStyle w:val="Style1Char"/>
          <w:color w:val="00B050"/>
          <w:rtl/>
        </w:rPr>
        <w:t xml:space="preserve">דלמא </w:t>
      </w:r>
      <w:r w:rsidRPr="00F71113">
        <w:rPr>
          <w:rStyle w:val="Style1Char"/>
          <w:color w:val="ED7D31" w:themeColor="accent2"/>
          <w:sz w:val="22"/>
          <w:szCs w:val="22"/>
          <w:rtl/>
        </w:rPr>
        <w:t>עד עולם דוקא</w:t>
      </w:r>
      <w:r w:rsidRPr="00D2614D">
        <w:rPr>
          <w:rStyle w:val="Style1Char"/>
          <w:color w:val="00B050"/>
          <w:rtl/>
        </w:rPr>
        <w:t xml:space="preserve">, או דלמא תרוייהו דוקא? </w:t>
      </w:r>
      <w:r w:rsidRPr="000E7459">
        <w:rPr>
          <w:rStyle w:val="Style1Char"/>
          <w:color w:val="4472C4" w:themeColor="accent1"/>
          <w:sz w:val="22"/>
          <w:szCs w:val="22"/>
          <w:rtl/>
        </w:rPr>
        <w:t>ולא איפשיטא הלכך בעינן תרוייהו</w:t>
      </w:r>
      <w:r w:rsidRPr="000E7459">
        <w:rPr>
          <w:rStyle w:val="Style1Char"/>
          <w:color w:val="00B050"/>
          <w:sz w:val="22"/>
          <w:szCs w:val="22"/>
          <w:rtl/>
        </w:rPr>
        <w:t xml:space="preserve"> </w:t>
      </w:r>
      <w:r w:rsidRPr="00D2614D">
        <w:rPr>
          <w:rStyle w:val="Style1Char"/>
          <w:color w:val="00B050"/>
          <w:rtl/>
        </w:rPr>
        <w:t xml:space="preserve">אם תמצי לומר פירי פירות דוקא עד עולם למה לי? הא קמ"ל, כיון דכתב לה פירי פירות, כמאן דכתב לה עד עולם דמי; ואם תמצי לומר עד עולם דוקא, פירי פירות למה לי? הא קמ"ל, אף על גב דכתב לה פירי פירות, אי כתב לה עד עולם - אין, אי לא - לא; ואם תמצי לומר תרוייהו דוקא, תרתי למה לי? צריכא, דאי כתב לה פירי פירות ולא כתב לה עד עולם, הוה אמינא פירי פירות הוא דלא אכיל, אבל פירא דפירי פירות אכיל, להכי איצטריך עד עולם; ואי כתב לה עד עולם ולא כתב לה פירי פירות, הוה אמינא לעולם אפירות קאי, להכי איצטריך פירי פירות. </w:t>
      </w:r>
      <w:r w:rsidRPr="000E7459">
        <w:rPr>
          <w:rStyle w:val="Style1Char"/>
          <w:color w:val="ED7D31" w:themeColor="accent2"/>
          <w:sz w:val="22"/>
          <w:szCs w:val="22"/>
          <w:rtl/>
        </w:rPr>
        <w:t xml:space="preserve">איבעיא להו: </w:t>
      </w:r>
      <w:r w:rsidRPr="00D2614D">
        <w:rPr>
          <w:rStyle w:val="Style1Char"/>
          <w:color w:val="00B050"/>
          <w:rtl/>
        </w:rPr>
        <w:t xml:space="preserve">כתב לה </w:t>
      </w:r>
      <w:r w:rsidRPr="000E7459">
        <w:rPr>
          <w:rStyle w:val="Style1Char"/>
          <w:color w:val="ED7D31" w:themeColor="accent2"/>
          <w:sz w:val="22"/>
          <w:szCs w:val="22"/>
          <w:rtl/>
        </w:rPr>
        <w:t>דין ודברים אין לי בנכסייך ובפירי פירות, מהו שיאכל פירות? מפירי פירות סליק נפשיה, מפירי לא סליק נפשיה, או דלמא</w:t>
      </w:r>
      <w:r w:rsidRPr="00D2614D">
        <w:rPr>
          <w:rStyle w:val="Style1Char"/>
          <w:color w:val="00B050"/>
          <w:rtl/>
        </w:rPr>
        <w:t xml:space="preserve"> מכל מילי סליק נפשיה</w:t>
      </w:r>
      <w:r w:rsidRPr="00D97F48">
        <w:rPr>
          <w:rStyle w:val="Style1Char"/>
          <w:color w:val="4472C4" w:themeColor="accent1"/>
          <w:rtl/>
        </w:rPr>
        <w:t xml:space="preserve"> </w:t>
      </w:r>
      <w:r w:rsidRPr="00D97F48">
        <w:rPr>
          <w:rStyle w:val="Style1Char"/>
          <w:color w:val="4472C4" w:themeColor="accent1"/>
          <w:sz w:val="22"/>
          <w:szCs w:val="22"/>
          <w:rtl/>
        </w:rPr>
        <w:t>כ"ש מפירות</w:t>
      </w:r>
      <w:r w:rsidRPr="00D97F48">
        <w:rPr>
          <w:rStyle w:val="Style1Char"/>
          <w:color w:val="ED7D31" w:themeColor="accent2"/>
          <w:sz w:val="22"/>
          <w:szCs w:val="22"/>
          <w:rtl/>
        </w:rPr>
        <w:t xml:space="preserve">? פשיטא דמכל מילי סליק נפשיה, דאי אמרת: מפירי פירות סליק נפשיה, מפירי לא סליק נפשיה, כיון דאכלינהו לפירות, פירי פירות מהיכא? וליטעמיך, הא דתנן, רבי יהודה אומר: לעולם הוא אוכל פירי פירות כו', כיון דאכלינהו לפירי, פירי פירות מהיכא? אלא בדשיירא, הכא נמי בדשייר. </w:t>
      </w:r>
    </w:p>
    <w:p w14:paraId="331410AC" w14:textId="77777777" w:rsidR="00C369CA" w:rsidRPr="00E53B77" w:rsidRDefault="00C369CA" w:rsidP="00C369CA">
      <w:pPr>
        <w:bidi/>
        <w:rPr>
          <w:rStyle w:val="Style1Char"/>
          <w:color w:val="4472C4" w:themeColor="accent1"/>
        </w:rPr>
      </w:pPr>
      <w:r w:rsidRPr="00E53B77">
        <w:rPr>
          <w:rStyle w:val="Style1Char"/>
          <w:color w:val="4472C4" w:themeColor="accent1"/>
          <w:rtl/>
        </w:rPr>
        <w:t>מדקאמר בדשיירא משמע דהדבר תלוי בה אם תרצה תשייר. אבל אין הבעל יכול לכופה ליקח בהן קרקע והרמב"ם ז"ל (פכ"ג מהלכות אישות) כתב ילקח בהן קרקע והוא אוכל פירות. ונראה שסמך על התוספתא דתני רבי יהודה אומר לעולם הוא אוכל פירי פירות כיצד מוכר פירות וילקח בהן קרקע והוא אוכל פירות. וכן מצאתי בירושלמי (ה"א). ר' זעירא רב יהודה בשם רב הכותב שדה מתנה לאשתו אין לו אכילת פירות. אמר רבי מתנה מתניתא לא אמרה כן אלו הן פירי פירות מוכר פירות וילקח בהן קרקע והוא אוכל פירות. לאו ככותב שדה מתנה לאשתו הוא ואת אמרת אין לו לא פירות ולא פירי פירות. רבי אמי בעי אילו אחר כתב לה יש לו אכילת פירות. הוא כתב לה לא כל שכן. ונראה דירושלמי פליג אגמרא דידן דבפרק חזקת הבתים (דף נא א) פליגי אמוראי במוכר שדה לאשתו אם הבעל אוכל פירות או לא ומודו דאם נתן לה מתנה דאינו אוכל פירות. הלכך לפום גמרא דידן לא אמרינן מכר פירות ולוקח בהן קרקע אלא אם כן שיירה ולקחה בהן קרקע. אמר רב הלכה כרשב"ג. ולית הלכתא כוותיה דקי"ל בדבר שבממון תנאו קיים ירושלמי אמר ר' יוסי אלין דכתבין. אי אמות בלא בני כל מה דילה (כלתה) דתיהדר לבי נשא. תנאי ממון הוא וקיים. ור"ח ז"ל פוסק כרשב"ג</w:t>
      </w:r>
      <w:r>
        <w:rPr>
          <w:rStyle w:val="Style1Char"/>
          <w:rFonts w:hint="cs"/>
          <w:color w:val="4472C4" w:themeColor="accent1"/>
        </w:rPr>
        <w:t>‍</w:t>
      </w:r>
      <w:r w:rsidRPr="00E53B77">
        <w:rPr>
          <w:rStyle w:val="Style1Char"/>
          <w:color w:val="4472C4" w:themeColor="accent1"/>
          <w:rtl/>
        </w:rPr>
        <w:t xml:space="preserve"> וכן פסק ר"י לעיל בפרק קמא. וכן פסק בעל הלכות והביא ראיה מדגרסי' בירושל' ר' ירמיה בשם רב הלכה כרשב"ג שאם מתה ירשנה. אבל לא לענין דבריו שאמר מפני שהתנה עמ"ש בתורה תנאו בטל. דהמתנה עמ"ש בתורה דתנאו בטל בתנאי גוף. והכא בתנא ממון אנן קיימין ולמה אמרו תנאו בטיל שבסוף זכה בהן כלומר דלאחר מיתתה הוא יורשה. וזהו כמי שסילק ידו מנכסי אביו שאם מת אביו בנו יורשו מפני שבחיי אביו לא היה לו כלום בנכסים כך הבעל אין לו בגוף נכסי אשתו בחייה כלום. ודבר שלא בא לידו הוא לפיכך התנאי בטל ויורשה לאחר מיתה. ובירושלמי דאמר אי אמות בלא בני כו'. לאו בתנאי הבעל מיירי אלא האב כשפוסק נדוניא לבתו והוי כמתנה על מנת</w:t>
      </w:r>
      <w:r>
        <w:rPr>
          <w:rStyle w:val="Style1Char"/>
          <w:rFonts w:hint="cs"/>
          <w:color w:val="4472C4" w:themeColor="accent1"/>
        </w:rPr>
        <w:t>‍</w:t>
      </w:r>
      <w:r w:rsidRPr="00E53B77">
        <w:rPr>
          <w:rStyle w:val="Style1Char"/>
          <w:color w:val="4472C4" w:themeColor="accent1"/>
          <w:rtl/>
        </w:rPr>
        <w:t xml:space="preserve"> להחזיר. והרמב"ן ז"ל דחה ראיה זו של הירושלמי דודאי אם היה כותב לה לאחר שנשאת אז דמי לבן שסילק עצמו מירושת אביו. אבל גמרא דידן מוקי למתניתין בכותב לה ועודה ארוסה ומייתי עלה דרב כהנא נחלה הבאה לו לאדם ממקום אחר שלא ממשפחתו ושלא מאשתו נשואה שהוא ראוי לירש לה מכבר אלא כגון ארוסה שהיא עתידה להיות ראויה לו כשישאנה אדם מתנה עליה שלא יירשנה אבל באשתו נשואה אפי' ת"ק מודה דאם מתה יירשנה. דהוי כבן שסילק עצמו מנכסי אביו לפי שכבר הוא ראוי לירש ובירושלמי מוקי רב למתני' בכותב לה משנשאת ופליג אגמרא דידן. ועוד מלתא דרב כהנא אזלא כת"ק אדם מתנה עליה שלא יירשנה. וכיון דליכא ראיה ברורה אית לן למימר כל תנאי שבממון קיים</w:t>
      </w:r>
      <w:r>
        <w:rPr>
          <w:rStyle w:val="Style1Char"/>
          <w:rFonts w:hint="cs"/>
          <w:color w:val="4472C4" w:themeColor="accent1"/>
        </w:rPr>
        <w:t>‍‍‍‍‍</w:t>
      </w:r>
      <w:r w:rsidRPr="00E53B77">
        <w:rPr>
          <w:rStyle w:val="Style1Char"/>
          <w:color w:val="4472C4" w:themeColor="accent1"/>
        </w:rPr>
        <w:t xml:space="preserve">: </w:t>
      </w:r>
    </w:p>
    <w:p w14:paraId="23D0556D" w14:textId="77777777" w:rsidR="00C369CA" w:rsidRPr="00D205EB" w:rsidRDefault="00C369CA" w:rsidP="00C369CA">
      <w:pPr>
        <w:bidi/>
        <w:rPr>
          <w:rStyle w:val="Style1Char"/>
          <w:color w:val="C00000"/>
        </w:rPr>
      </w:pPr>
      <w:r w:rsidRPr="00EB543A">
        <w:rPr>
          <w:rStyle w:val="Style1Char"/>
          <w:sz w:val="22"/>
          <w:szCs w:val="22"/>
          <w:rtl/>
        </w:rPr>
        <w:t xml:space="preserve">רבן שמעון בן גמליאל אומר </w:t>
      </w:r>
      <w:r w:rsidRPr="00EB543A">
        <w:rPr>
          <w:rStyle w:val="Style1Char"/>
          <w:color w:val="C00000"/>
          <w:sz w:val="22"/>
          <w:szCs w:val="22"/>
          <w:rtl/>
        </w:rPr>
        <w:t>אם מתה יירשנה מפני שהתנה על מה שכתוב בתורה</w:t>
      </w:r>
      <w:r w:rsidRPr="00D2614D">
        <w:rPr>
          <w:rStyle w:val="Style1Char"/>
          <w:color w:val="00B050"/>
          <w:rtl/>
        </w:rPr>
        <w:t xml:space="preserve"> </w:t>
      </w:r>
      <w:r w:rsidRPr="00EB543A">
        <w:rPr>
          <w:rStyle w:val="Style1Char"/>
          <w:sz w:val="22"/>
          <w:szCs w:val="22"/>
          <w:rtl/>
        </w:rPr>
        <w:t xml:space="preserve">אמר רב: הלכה כרבן שמעון בן גמליאל </w:t>
      </w:r>
      <w:r w:rsidRPr="00D205EB">
        <w:rPr>
          <w:rStyle w:val="Style1Char"/>
          <w:color w:val="C00000"/>
          <w:rtl/>
        </w:rPr>
        <w:t>ולית הלכתא כוותיה דקי"ל דבר שבממון תנאו קיים: ירושלמי א"ר יוסי אלין דכתבין לנשיהן אי מיתה בלא בני כל מאי דילה תהדר לבי נשא תנאי ממון הוא וקיים</w:t>
      </w:r>
      <w:r w:rsidRPr="00D205EB">
        <w:rPr>
          <w:rStyle w:val="Style1Char"/>
          <w:color w:val="C00000"/>
        </w:rPr>
        <w:t>:</w:t>
      </w:r>
    </w:p>
    <w:p w14:paraId="0A6A0041" w14:textId="75A61C12" w:rsidR="00C369CA" w:rsidRDefault="00C369CA" w:rsidP="00C369CA">
      <w:pPr>
        <w:bidi/>
        <w:rPr>
          <w:rStyle w:val="Style1Char"/>
          <w:color w:val="00B050"/>
          <w:rtl/>
        </w:rPr>
      </w:pPr>
      <w:r w:rsidRPr="00D2614D">
        <w:rPr>
          <w:rStyle w:val="Style1Char"/>
          <w:color w:val="00B050"/>
          <w:rtl/>
        </w:rPr>
        <w:t xml:space="preserve">ולא מטעמיה. מאי הלכה כרבן שמעון בן גמליאל ולא מטעמיה? אילימא הלכה כרשב"ג, דאמר: אם מתה - יירשנה, ולאו מטעמיה, דאילו רשב"ג סבר: מתנה על מה שכתוב בתורה - תנאו בטל, ורב סבר: תנאו קיים, </w:t>
      </w:r>
      <w:r w:rsidR="00B519C3">
        <w:rPr>
          <w:rStyle w:val="Style1Char"/>
          <w:rFonts w:hint="cs"/>
          <w:rtl/>
        </w:rPr>
        <w:t>(1)</w:t>
      </w:r>
      <w:r w:rsidRPr="00D2614D">
        <w:rPr>
          <w:rStyle w:val="Style1Char"/>
          <w:color w:val="00B050"/>
          <w:rtl/>
        </w:rPr>
        <w:t xml:space="preserve">וקסבר: ירושת הבעל דרבנן, וחכמים עשו חיזוק לדבריהם יותר משל תורה, </w:t>
      </w:r>
    </w:p>
    <w:p w14:paraId="008FCC50" w14:textId="646D0AD3" w:rsidR="00D95C23" w:rsidRDefault="00D95C23" w:rsidP="00D95C23">
      <w:pPr>
        <w:pStyle w:val="Style1"/>
        <w:rPr>
          <w:rStyle w:val="Style1Char"/>
          <w:rtl/>
        </w:rPr>
      </w:pPr>
      <w:r>
        <w:rPr>
          <w:rStyle w:val="Style1Char"/>
          <w:rFonts w:hint="cs"/>
          <w:rtl/>
        </w:rPr>
        <w:t>1)[</w:t>
      </w:r>
      <w:r w:rsidRPr="00D95C23">
        <w:rPr>
          <w:rStyle w:val="Style1Char"/>
          <w:rtl/>
        </w:rPr>
        <w:t>רמב</w:t>
      </w:r>
      <w:r w:rsidR="00213DA1">
        <w:rPr>
          <w:rStyle w:val="Style1Char"/>
          <w:rtl/>
        </w:rPr>
        <w:t>”ם \נשים\</w:t>
      </w:r>
      <w:r w:rsidRPr="00D95C23">
        <w:rPr>
          <w:rStyle w:val="Style1Char"/>
          <w:rtl/>
        </w:rPr>
        <w:t xml:space="preserve"> הלכות אישות פרק יב הלכה ט</w:t>
      </w:r>
      <w:r>
        <w:rPr>
          <w:rStyle w:val="Style1Char"/>
          <w:rFonts w:hint="cs"/>
          <w:rtl/>
        </w:rPr>
        <w:t xml:space="preserve">] </w:t>
      </w:r>
      <w:r w:rsidRPr="00D95C23">
        <w:rPr>
          <w:rStyle w:val="Style1Char"/>
          <w:rtl/>
        </w:rPr>
        <w:t xml:space="preserve">התנת עמו אחר שנשאה שלא יירשנה תנאה בטל ואף על פי שירושת הבעל מדברי סופרים עשו חיזוק לדבריהם כשל תורה, וכל תנאי שבירושה בטל אף על פי שהוא ממון שנ' </w:t>
      </w:r>
      <w:r w:rsidRPr="00D95C23">
        <w:rPr>
          <w:rStyle w:val="Style1Char"/>
          <w:rFonts w:hint="cs"/>
          <w:rtl/>
        </w:rPr>
        <w:t>(</w:t>
      </w:r>
      <w:r w:rsidRPr="00D95C23">
        <w:rPr>
          <w:rStyle w:val="Style1Char"/>
          <w:rtl/>
        </w:rPr>
        <w:t>במדבר כ"ז</w:t>
      </w:r>
      <w:r w:rsidRPr="00D95C23">
        <w:rPr>
          <w:rStyle w:val="Style1Char"/>
          <w:rFonts w:hint="cs"/>
          <w:rtl/>
        </w:rPr>
        <w:t>)</w:t>
      </w:r>
      <w:r w:rsidRPr="00D95C23">
        <w:rPr>
          <w:rStyle w:val="Style1Char"/>
          <w:rtl/>
        </w:rPr>
        <w:t xml:space="preserve"> בה לחקת משפט, ובשאר הדברים תנאו קיים, כגון שהתנה עמה שאין לה שאר וכסות, על מנת שלא יאכל פירות נכסיה, וכל כיוצא בזה תנאו קיים. /השגת הראב"ד/ וכל תנאי שבירושה בטל אף על פי שהוא ממון שנא' לחוקת משפט. א"א חסרון דעת אני רואה בכאן ומה צורך לחקת משפט והיאך אדם יכול להתנות על דבר שלא בא לעולם ואיך יאמר לאביו או לאחד ממורישיו דין ודברים אין לי בנכסים אחר מיתתכם ואין אדם מקנה מה שאין לו בו שום זכות.</w:t>
      </w:r>
    </w:p>
    <w:p w14:paraId="4F314A2D" w14:textId="5FCA25E8" w:rsidR="00C44062" w:rsidRDefault="00C44062" w:rsidP="00C44062">
      <w:pPr>
        <w:pStyle w:val="Style1"/>
        <w:rPr>
          <w:rStyle w:val="Style1Char"/>
          <w:rtl/>
        </w:rPr>
      </w:pPr>
      <w:r>
        <w:rPr>
          <w:rStyle w:val="Style1Char"/>
          <w:rFonts w:hint="cs"/>
          <w:rtl/>
        </w:rPr>
        <w:t>1)[</w:t>
      </w:r>
      <w:r w:rsidRPr="00C44062">
        <w:rPr>
          <w:rStyle w:val="Style1Char"/>
          <w:rtl/>
        </w:rPr>
        <w:t>רמב</w:t>
      </w:r>
      <w:r w:rsidR="00EC109D">
        <w:rPr>
          <w:rStyle w:val="Style1Char"/>
          <w:rtl/>
        </w:rPr>
        <w:t>”ם \משפטים\</w:t>
      </w:r>
      <w:r w:rsidRPr="00C44062">
        <w:rPr>
          <w:rStyle w:val="Style1Char"/>
          <w:rtl/>
        </w:rPr>
        <w:t xml:space="preserve"> הלכות נחלות פרק א הלכה ח</w:t>
      </w:r>
      <w:r>
        <w:rPr>
          <w:rStyle w:val="Style1Char"/>
          <w:rFonts w:hint="cs"/>
          <w:rtl/>
        </w:rPr>
        <w:t xml:space="preserve">] </w:t>
      </w:r>
      <w:r w:rsidRPr="00C44062">
        <w:rPr>
          <w:rStyle w:val="Style1Char"/>
          <w:rtl/>
        </w:rPr>
        <w:t>האשה אינה יורשת בעלה כלל והבעל יורש את כל נכסי אשתו מדברי סופרים והוא קודם לכל בירושתה אף על פי שהיא אסורה עליו, כגון אלמנה לכהן גדול גרושה וחלוצה לכהן הדיוט ואף על פי שהיא קטנה ואף על פי שהבעל חרש הוא יורש את אשתו. /השגת הראב"ד/ האשה אינה יורשת וכו' עד הוא יורש את אשתו. א"א איני מודה בזה משמעתא בתרייתא דמי שמת ושאר הראיות המראות הפך זה אין להם עמידה עכ"ל.</w:t>
      </w:r>
    </w:p>
    <w:p w14:paraId="5B3E917A" w14:textId="35486764" w:rsidR="006605EF" w:rsidRPr="00D95C23" w:rsidRDefault="006605EF" w:rsidP="006605EF">
      <w:pPr>
        <w:pStyle w:val="Style1"/>
        <w:rPr>
          <w:rStyle w:val="Style1Char"/>
          <w:rtl/>
        </w:rPr>
      </w:pPr>
      <w:r>
        <w:rPr>
          <w:rStyle w:val="Style1Char"/>
          <w:rFonts w:hint="cs"/>
          <w:rtl/>
        </w:rPr>
        <w:t>1)[</w:t>
      </w:r>
      <w:r w:rsidRPr="006605EF">
        <w:rPr>
          <w:rStyle w:val="Style1Char"/>
          <w:rtl/>
        </w:rPr>
        <w:t>טור אבן העזר הלכות כתובות סימן סט</w:t>
      </w:r>
      <w:r>
        <w:rPr>
          <w:rStyle w:val="Style1Char"/>
          <w:rFonts w:hint="cs"/>
          <w:rtl/>
        </w:rPr>
        <w:t xml:space="preserve">] </w:t>
      </w:r>
      <w:r w:rsidRPr="006605EF">
        <w:rPr>
          <w:rStyle w:val="Style1Char"/>
          <w:rtl/>
        </w:rPr>
        <w:t xml:space="preserve">כשנושא אדם אשה בין בתולה בין בעולה בין קטנ' או גדולה אחת בת ישראל או גיורת או משוחררת יתחייב לה בעשרה דברים ויזכה בד' דברים העשרה שמתחייב בהן </w:t>
      </w:r>
      <w:r>
        <w:rPr>
          <w:rStyle w:val="Style1Char"/>
          <w:rFonts w:hint="cs"/>
        </w:rPr>
        <w:t>‍</w:t>
      </w:r>
      <w:r w:rsidRPr="006605EF">
        <w:rPr>
          <w:rStyle w:val="Style1Char"/>
          <w:rtl/>
        </w:rPr>
        <w:t xml:space="preserve">ג' מן התורה דכתיב שארה כסותה ועונתה לא יגרע </w:t>
      </w:r>
      <w:r>
        <w:rPr>
          <w:rStyle w:val="Style1Char"/>
          <w:rFonts w:hint="cs"/>
        </w:rPr>
        <w:t>‍</w:t>
      </w:r>
      <w:r w:rsidRPr="006605EF">
        <w:rPr>
          <w:rStyle w:val="Style1Char"/>
          <w:rtl/>
        </w:rPr>
        <w:t xml:space="preserve">שארה מזונותיה כסותה כמשמעה עונתה </w:t>
      </w:r>
      <w:r>
        <w:rPr>
          <w:rStyle w:val="Style1Char"/>
          <w:rFonts w:hint="cs"/>
        </w:rPr>
        <w:t>‍</w:t>
      </w:r>
      <w:r w:rsidRPr="006605EF">
        <w:rPr>
          <w:rStyle w:val="Style1Char"/>
          <w:rtl/>
        </w:rPr>
        <w:t xml:space="preserve">לבא עליה כדרך כל הארץ והשבעה מדברי סופרים וכולם מתנאי ב"ד האחד מהם </w:t>
      </w:r>
      <w:r>
        <w:rPr>
          <w:rStyle w:val="Style1Char"/>
          <w:rFonts w:hint="cs"/>
        </w:rPr>
        <w:t>‍</w:t>
      </w:r>
      <w:r w:rsidRPr="006605EF">
        <w:rPr>
          <w:rStyle w:val="Style1Char"/>
          <w:rtl/>
        </w:rPr>
        <w:t xml:space="preserve">עיקר כתובה והשאר נקראים תנאי כתיבה ואלו הן </w:t>
      </w:r>
      <w:r>
        <w:rPr>
          <w:rStyle w:val="Style1Char"/>
          <w:rFonts w:hint="cs"/>
        </w:rPr>
        <w:t>‍</w:t>
      </w:r>
      <w:r w:rsidRPr="006605EF">
        <w:rPr>
          <w:rStyle w:val="Style1Char"/>
          <w:rtl/>
        </w:rPr>
        <w:t xml:space="preserve">לרפאותה אם חלתה ולפדותה אם נשבית ולקוברה אם מתה ולהיות ניזונת מנכסיו ויושבת בביתו אחר מותו כ"ז אלמנותה להיות בנותיה ממנו ניזונות מנכסיו אחרי מותו </w:t>
      </w:r>
      <w:r>
        <w:rPr>
          <w:rStyle w:val="Style1Char"/>
          <w:rFonts w:hint="cs"/>
        </w:rPr>
        <w:t>‍</w:t>
      </w:r>
      <w:r w:rsidRPr="006605EF">
        <w:rPr>
          <w:rStyle w:val="Style1Char"/>
          <w:rtl/>
        </w:rPr>
        <w:t xml:space="preserve">עד שיתארסו </w:t>
      </w:r>
      <w:r>
        <w:rPr>
          <w:rStyle w:val="Style1Char"/>
          <w:rFonts w:hint="cs"/>
        </w:rPr>
        <w:t>‍</w:t>
      </w:r>
      <w:r w:rsidRPr="006605EF">
        <w:rPr>
          <w:rStyle w:val="Style1Char"/>
          <w:rtl/>
        </w:rPr>
        <w:t xml:space="preserve">ולהיות בניה הזכרים ממנו יורשין כתובתה יתר על חלקם בירושה שעם אחיהם והד' שזוכה בהן כולם מד"ס ואלו הן </w:t>
      </w:r>
      <w:r>
        <w:rPr>
          <w:rStyle w:val="Style1Char"/>
          <w:rFonts w:hint="cs"/>
        </w:rPr>
        <w:t>‍</w:t>
      </w:r>
      <w:r w:rsidRPr="006605EF">
        <w:rPr>
          <w:rStyle w:val="Style1Char"/>
          <w:rtl/>
        </w:rPr>
        <w:t xml:space="preserve">מעשה ידיה ומציאתה ואוכל כל פירות נכסים בחייה </w:t>
      </w:r>
      <w:r>
        <w:rPr>
          <w:rStyle w:val="Style1Char"/>
          <w:rFonts w:hint="cs"/>
        </w:rPr>
        <w:t>‍</w:t>
      </w:r>
      <w:r w:rsidRPr="006605EF">
        <w:rPr>
          <w:rStyle w:val="Style1Char"/>
          <w:rtl/>
        </w:rPr>
        <w:t xml:space="preserve">ואם מתה בחייו ירשנה ועוד תקנו חכמים שיהיו </w:t>
      </w:r>
      <w:r>
        <w:rPr>
          <w:rStyle w:val="Style1Char"/>
          <w:rFonts w:hint="cs"/>
        </w:rPr>
        <w:t>‍</w:t>
      </w:r>
      <w:r w:rsidRPr="006605EF">
        <w:rPr>
          <w:rStyle w:val="Style1Char"/>
          <w:rtl/>
        </w:rPr>
        <w:t xml:space="preserve">מעשה ידי האשה כנגד מזונותיה ופדיונה כנגד אכילת פירות נכסיה </w:t>
      </w:r>
      <w:r>
        <w:rPr>
          <w:rStyle w:val="Style1Char"/>
          <w:rFonts w:hint="cs"/>
        </w:rPr>
        <w:t>‍</w:t>
      </w:r>
      <w:r w:rsidRPr="006605EF">
        <w:rPr>
          <w:rStyle w:val="Style1Char"/>
          <w:rtl/>
        </w:rPr>
        <w:t xml:space="preserve">וקבורתה כנגד ירושת כתובתה לפיכך אם אמרה האשה </w:t>
      </w:r>
      <w:r>
        <w:rPr>
          <w:rStyle w:val="Style1Char"/>
          <w:rFonts w:hint="cs"/>
        </w:rPr>
        <w:t>‍</w:t>
      </w:r>
      <w:r w:rsidRPr="006605EF">
        <w:rPr>
          <w:rStyle w:val="Style1Char"/>
          <w:rtl/>
        </w:rPr>
        <w:t>איני ניזונית ואיני עושה שומעין לה ואין כופין אותה אבל אם אומר הבעל איני זנך ואיני נוטל מעשה ידיך אין שומעין לו</w:t>
      </w:r>
      <w:r>
        <w:rPr>
          <w:rStyle w:val="Style1Char"/>
          <w:rFonts w:hint="cs"/>
        </w:rPr>
        <w:t>‍</w:t>
      </w:r>
      <w:r w:rsidRPr="006605EF">
        <w:rPr>
          <w:rStyle w:val="Style1Char"/>
          <w:rtl/>
        </w:rPr>
        <w:t xml:space="preserve"> שמא לא יספיק </w:t>
      </w:r>
      <w:r>
        <w:rPr>
          <w:rStyle w:val="Style1Char"/>
          <w:rFonts w:hint="cs"/>
        </w:rPr>
        <w:t>‍</w:t>
      </w:r>
      <w:r w:rsidRPr="006605EF">
        <w:rPr>
          <w:rStyle w:val="Style1Char"/>
          <w:rtl/>
        </w:rPr>
        <w:t xml:space="preserve">ואפי' היא אומרת </w:t>
      </w:r>
      <w:r>
        <w:rPr>
          <w:rStyle w:val="Style1Char"/>
          <w:rFonts w:hint="cs"/>
        </w:rPr>
        <w:t>‍</w:t>
      </w:r>
      <w:r w:rsidRPr="006605EF">
        <w:rPr>
          <w:rStyle w:val="Style1Char"/>
          <w:rtl/>
        </w:rPr>
        <w:t>איני נותנת לך פירות</w:t>
      </w:r>
      <w:r>
        <w:rPr>
          <w:rStyle w:val="Style1Char"/>
          <w:rFonts w:hint="cs"/>
        </w:rPr>
        <w:t>‍</w:t>
      </w:r>
      <w:r w:rsidRPr="006605EF">
        <w:rPr>
          <w:rStyle w:val="Style1Char"/>
          <w:rtl/>
        </w:rPr>
        <w:t xml:space="preserve"> ואיני חפץ שתפדני אם אשבה אין שומעין לה כדי שלא תתערב בין העכו"ם וכל אלו הדברים אפילו לא נכתבו בכתובה או אפי' לא כתבו כתובה כלל אלא נשא סתם זכתה האשה בכל י' דברים והוא בד' התנה הבעל כשנשאה שלא יתחייב באחד מהדברים שהוא חייב בהם או שהתנית האשה שלא יזכה הבעל באחד מהדברים שיש לו לזכות בהן התנאי קיים חוץ מג' דברים שאין התנאי מועיל בהן ואלו הן בעונתה ועיקר כתובתה (וירושתה) </w:t>
      </w:r>
      <w:r>
        <w:rPr>
          <w:rStyle w:val="Style1Char"/>
          <w:rFonts w:hint="cs"/>
        </w:rPr>
        <w:t>‍</w:t>
      </w:r>
      <w:r w:rsidRPr="006605EF">
        <w:rPr>
          <w:rStyle w:val="Style1Char"/>
          <w:rtl/>
        </w:rPr>
        <w:t xml:space="preserve">כיצד התנה ע"מ שלא יתחייב בעונתה חייב בעונתה </w:t>
      </w:r>
      <w:r>
        <w:rPr>
          <w:rStyle w:val="Style1Char"/>
          <w:rFonts w:hint="cs"/>
        </w:rPr>
        <w:t>‍</w:t>
      </w:r>
      <w:r w:rsidRPr="006605EF">
        <w:rPr>
          <w:rStyle w:val="Style1Char"/>
          <w:rtl/>
        </w:rPr>
        <w:t xml:space="preserve">כיון שאינו תנאי של ממון </w:t>
      </w:r>
      <w:r w:rsidRPr="006605EF">
        <w:rPr>
          <w:rStyle w:val="Style1Char"/>
          <w:rtl/>
        </w:rPr>
        <w:lastRenderedPageBreak/>
        <w:t>תנאו בטל</w:t>
      </w:r>
      <w:r>
        <w:rPr>
          <w:rStyle w:val="Style1Char"/>
          <w:rFonts w:hint="cs"/>
          <w:rtl/>
        </w:rPr>
        <w:t xml:space="preserve"> </w:t>
      </w:r>
      <w:r w:rsidRPr="006605EF">
        <w:rPr>
          <w:rStyle w:val="Style1Char"/>
          <w:rtl/>
        </w:rPr>
        <w:t xml:space="preserve">וכן התנה לפחות מעיקר כתובתה או שכתב לה מנה או ק"ק </w:t>
      </w:r>
      <w:r>
        <w:rPr>
          <w:rStyle w:val="Style1Char"/>
          <w:rFonts w:hint="cs"/>
        </w:rPr>
        <w:t>‍</w:t>
      </w:r>
      <w:r w:rsidRPr="006605EF">
        <w:rPr>
          <w:rStyle w:val="Style1Char"/>
          <w:rtl/>
        </w:rPr>
        <w:t xml:space="preserve">ומחלה לו עליה תנאו בטל </w:t>
      </w:r>
      <w:r>
        <w:rPr>
          <w:rStyle w:val="Style1Char"/>
          <w:rFonts w:hint="cs"/>
        </w:rPr>
        <w:t>‍</w:t>
      </w:r>
      <w:r w:rsidRPr="006605EF">
        <w:rPr>
          <w:rStyle w:val="Style1Char"/>
          <w:rtl/>
        </w:rPr>
        <w:t xml:space="preserve">וכן אם התנה עמה אחר שנשאה שלא ירשנה תנאו בטל </w:t>
      </w:r>
      <w:r>
        <w:rPr>
          <w:rStyle w:val="Style1Char"/>
          <w:rFonts w:hint="cs"/>
        </w:rPr>
        <w:t>‍</w:t>
      </w:r>
      <w:r w:rsidRPr="006605EF">
        <w:rPr>
          <w:rStyle w:val="Style1Char"/>
          <w:rtl/>
        </w:rPr>
        <w:t>אבל בכל שאר הדברים תנאו קיים כגון שהתנה עמה ע"מ שאין לה שאר וכסות או שלא יאכל פירות נכסיה וכיוצא בו תנאו קיים ור"ח ור"י כתבו ג"כ שלענין ירושה אינו מועיל תנאה אפילו התנה קודם שנשאה שלא ירשנה אינו מועיל ויורשה ורב אלפס פסק שגם לענין ירושה מועיל תנאי ולזה הסכים א"א ז"ל:</w:t>
      </w:r>
    </w:p>
    <w:p w14:paraId="1F98864C" w14:textId="77777777" w:rsidR="00C369CA" w:rsidRDefault="00C369CA" w:rsidP="00C369CA">
      <w:pPr>
        <w:rPr>
          <w:rStyle w:val="Style1Char"/>
          <w:color w:val="00B050"/>
          <w:rtl/>
        </w:rPr>
      </w:pPr>
      <w:r>
        <w:rPr>
          <w:rStyle w:val="Style1Char"/>
          <w:color w:val="00B050"/>
          <w:rtl/>
        </w:rPr>
        <w:br w:type="page"/>
      </w:r>
    </w:p>
    <w:p w14:paraId="3964CC6E" w14:textId="13E021BC" w:rsidR="00C369CA" w:rsidRPr="00D2614D" w:rsidRDefault="00C369CA" w:rsidP="00C369CA">
      <w:pPr>
        <w:bidi/>
        <w:rPr>
          <w:rStyle w:val="Style1Char"/>
          <w:color w:val="00B050"/>
        </w:rPr>
      </w:pPr>
      <w:r w:rsidRPr="0019655F">
        <w:rPr>
          <w:rStyle w:val="Style1Char"/>
          <w:color w:val="00B050"/>
          <w:sz w:val="22"/>
          <w:szCs w:val="22"/>
          <w:highlight w:val="yellow"/>
          <w:rtl/>
        </w:rPr>
        <w:lastRenderedPageBreak/>
        <w:t>[דף פד עמוד א]</w:t>
      </w:r>
      <w:r w:rsidRPr="0019655F">
        <w:rPr>
          <w:rStyle w:val="Style1Char"/>
          <w:color w:val="00B050"/>
          <w:sz w:val="22"/>
          <w:szCs w:val="22"/>
          <w:rtl/>
        </w:rPr>
        <w:t xml:space="preserve"> </w:t>
      </w:r>
      <w:r w:rsidRPr="00D2614D">
        <w:rPr>
          <w:rStyle w:val="Style1Char"/>
          <w:color w:val="00B050"/>
          <w:rtl/>
        </w:rPr>
        <w:t xml:space="preserve">וסבר רב תנאו קיים? והא איתמר: האומר לחבירו על מנת שאין לך עלי אונאה, רב אמר: </w:t>
      </w:r>
      <w:r w:rsidR="006605EF">
        <w:rPr>
          <w:rStyle w:val="Style1Char"/>
          <w:rFonts w:hint="cs"/>
          <w:rtl/>
        </w:rPr>
        <w:t>(1)</w:t>
      </w:r>
      <w:r w:rsidRPr="00D2614D">
        <w:rPr>
          <w:rStyle w:val="Style1Char"/>
          <w:color w:val="00B050"/>
          <w:rtl/>
        </w:rPr>
        <w:t xml:space="preserve">יש לו עליו אונאה, ושמואל אמר: אין לו עליו אונאה! אלא הלכה כרבן שמעון בן גמליאל, דאמר: המתנה על מה שכתוב בתורה - תנאו בטל, ולאו מטעמיה, דאילו רבן שמעון בן גמליאל סבר: מתה - יירשנה, ורב סבר: מתה - לא יירשנה. האי מטעמיה ולא כהילכתיה הוא! אלא, הלכה כרבן שמעון בן גמליאל, דאמר: אם מתה - יירשנה, ולאו מטעמיה, דאילו רבן שמעון בן גמליאל סבר: בדאורייתא תנאו בטל, הא בדרבנן תנאו קיים, ורב סבר: אפילו בדרבנן תנאו בטל. האי כטעמיה וכהילכתיה הוא, ורב מוסיף הוא! אלא, הלכה כרבן שמעון בן גמליאל, דאמר: אם מתה - יירשנה, ולאו מטעמיה, דאילו רבן שמעון בן גמליאל סבר: ירושת הבעל דאורייתא, וכל המתנה על מה שכתוב בתורה - תנאו בטל, ורב סבר: ירושת הבעל דרבנן, וחכמים עשו חיזוק לדבריהם כשל תורה. ורב סבר ירושת הבעל דרבנן? והתנן, רבי יוחנן בן ברוקא אומר: היורש את אשתו - יחזיר לבני משפחה וינכה להן מן הדמים; והוינן בה, מאי קסבר? אי קסבר: ירושת הבעל דאורייתא, אמאי יחזיר? ואי דרבנן, דמים מאי עבידתייהו? ואמר רב, לעולם קסבר: ירושת הבעל דאורייתא, וכגון שהורישתו אשתו בית הקברות, משום פגם משפחה אמור רבנן לישקול דמי וליהדר, ומאי ינכה להן מן הדמים? דמי קבר אשתו, כדתניא: </w:t>
      </w:r>
      <w:r w:rsidR="006605EF">
        <w:rPr>
          <w:rStyle w:val="Style1Char"/>
          <w:rFonts w:hint="cs"/>
          <w:rtl/>
        </w:rPr>
        <w:t>(2)</w:t>
      </w:r>
      <w:r w:rsidRPr="00D2614D">
        <w:rPr>
          <w:rStyle w:val="Style1Char"/>
          <w:color w:val="00B050"/>
          <w:rtl/>
        </w:rPr>
        <w:t xml:space="preserve">המוכר קברו ודרך קברו, מעמדו ומקום הספידו - באין בני משפחה וקוברין אותו בעל כרחו, משום פגם משפחה! רב לטעמיה דרבי יוחנן בן ברוקא קאמר, וליה לא סבירא ליה. </w:t>
      </w:r>
    </w:p>
    <w:p w14:paraId="6B0361FD" w14:textId="37D17C43" w:rsidR="00C369CA" w:rsidRPr="00614DF2" w:rsidRDefault="00C369CA" w:rsidP="00C369CA">
      <w:pPr>
        <w:bidi/>
        <w:rPr>
          <w:rStyle w:val="Style1Char"/>
          <w:color w:val="auto"/>
          <w:sz w:val="22"/>
          <w:szCs w:val="22"/>
        </w:rPr>
      </w:pPr>
      <w:r w:rsidRPr="00614DF2">
        <w:rPr>
          <w:rStyle w:val="Style1Char"/>
          <w:color w:val="auto"/>
          <w:sz w:val="22"/>
          <w:szCs w:val="22"/>
          <w:rtl/>
        </w:rPr>
        <w:t xml:space="preserve">מתני'. מי שמת, והניח אשה ובעל חוב ויורשין, והיה לו פקדון או מלוה ביד אחרים, רבי טרפון אומר: ינתנו לכושל שבהן, רבי עקיבא אומר: אין מרחמין בדין, </w:t>
      </w:r>
      <w:r w:rsidR="00753D33">
        <w:rPr>
          <w:rStyle w:val="Style1Char"/>
          <w:rFonts w:hint="cs"/>
          <w:rtl/>
        </w:rPr>
        <w:t>(3)</w:t>
      </w:r>
      <w:r w:rsidRPr="00614DF2">
        <w:rPr>
          <w:rStyle w:val="Style1Char"/>
          <w:color w:val="auto"/>
          <w:sz w:val="22"/>
          <w:szCs w:val="22"/>
          <w:rtl/>
        </w:rPr>
        <w:t xml:space="preserve">אלא ינתנו ליורשין, שכולן צריכין שבועה ואין היורשין צריכין שבועה. הניח פירות תלושין מן הקרקע - </w:t>
      </w:r>
      <w:r w:rsidR="00753D33">
        <w:rPr>
          <w:rStyle w:val="Style1Char"/>
          <w:rFonts w:hint="cs"/>
          <w:rtl/>
        </w:rPr>
        <w:t>(</w:t>
      </w:r>
      <w:r w:rsidR="008365E2">
        <w:rPr>
          <w:rStyle w:val="Style1Char"/>
          <w:rFonts w:hint="cs"/>
          <w:rtl/>
        </w:rPr>
        <w:t>3.1, 4</w:t>
      </w:r>
      <w:r w:rsidR="00753D33">
        <w:rPr>
          <w:rStyle w:val="Style1Char"/>
          <w:rFonts w:hint="cs"/>
          <w:rtl/>
        </w:rPr>
        <w:t>)</w:t>
      </w:r>
      <w:r w:rsidRPr="00614DF2">
        <w:rPr>
          <w:rStyle w:val="Style1Char"/>
          <w:color w:val="auto"/>
          <w:sz w:val="22"/>
          <w:szCs w:val="22"/>
          <w:rtl/>
        </w:rPr>
        <w:t xml:space="preserve">כל הקודם בהן זכה בהן. זכתה אשה יותר מכתובתה, ובעל חוב יותר על חובו, המותר - רבי טרפון אומר: ינתנו לכושל שבהן, רבי עקיבא אומר: אין מרחמין בדין, אלא ינתנו ליורשין, שכולם צריכין שבועה ואין היורשין צריכין שבועה. </w:t>
      </w:r>
    </w:p>
    <w:p w14:paraId="7BD3126E" w14:textId="77777777" w:rsidR="00C369CA" w:rsidRPr="00842C33" w:rsidRDefault="00C369CA" w:rsidP="00C369CA">
      <w:pPr>
        <w:bidi/>
        <w:rPr>
          <w:rStyle w:val="Style1Char"/>
          <w:color w:val="00B050"/>
          <w:sz w:val="22"/>
          <w:szCs w:val="22"/>
        </w:rPr>
      </w:pPr>
      <w:r w:rsidRPr="00144384">
        <w:rPr>
          <w:rStyle w:val="Style1Char"/>
          <w:sz w:val="22"/>
          <w:szCs w:val="22"/>
          <w:rtl/>
        </w:rPr>
        <w:t>גמ'</w:t>
      </w:r>
      <w:r w:rsidRPr="00BC0E4D">
        <w:rPr>
          <w:rStyle w:val="Style1Char"/>
          <w:color w:val="4472C4" w:themeColor="accent1"/>
          <w:rtl/>
        </w:rPr>
        <w:t xml:space="preserve"> </w:t>
      </w:r>
      <w:r w:rsidRPr="00BC0E4D">
        <w:rPr>
          <w:rStyle w:val="Style1Char"/>
          <w:color w:val="4472C4" w:themeColor="accent1"/>
          <w:sz w:val="22"/>
          <w:szCs w:val="22"/>
          <w:rtl/>
        </w:rPr>
        <w:t>לכושל שבהן</w:t>
      </w:r>
      <w:r w:rsidRPr="00623586">
        <w:rPr>
          <w:rStyle w:val="Style1Char"/>
          <w:color w:val="4472C4" w:themeColor="accent1"/>
          <w:rtl/>
        </w:rPr>
        <w:t xml:space="preserve"> </w:t>
      </w:r>
      <w:r w:rsidRPr="00623586">
        <w:rPr>
          <w:rStyle w:val="Style1Char"/>
          <w:color w:val="4472C4" w:themeColor="accent1"/>
          <w:sz w:val="22"/>
          <w:szCs w:val="22"/>
          <w:rtl/>
        </w:rPr>
        <w:t>ירושלמי ר' יוסי בר חנינא אומר לכושל בראיותיו. כגון מלוה בשטר ומלוה בעדים יתננו למלוה בעדים ר' יוחנן אומר לכושל שבגופו. לכושל שבראיה פירש רש"י</w:t>
      </w:r>
      <w:r w:rsidRPr="00623586">
        <w:rPr>
          <w:rStyle w:val="Style1Char"/>
          <w:rFonts w:hint="cs"/>
          <w:color w:val="4472C4" w:themeColor="accent1"/>
          <w:sz w:val="22"/>
          <w:szCs w:val="22"/>
        </w:rPr>
        <w:t>‍</w:t>
      </w:r>
      <w:r w:rsidRPr="00623586">
        <w:rPr>
          <w:rStyle w:val="Style1Char"/>
          <w:color w:val="4472C4" w:themeColor="accent1"/>
          <w:sz w:val="22"/>
          <w:szCs w:val="22"/>
          <w:rtl/>
        </w:rPr>
        <w:t xml:space="preserve"> למי ששטרו מאוחר</w:t>
      </w:r>
      <w:r w:rsidRPr="00623586">
        <w:rPr>
          <w:rStyle w:val="Style1Char"/>
          <w:rFonts w:hint="cs"/>
          <w:color w:val="4472C4" w:themeColor="accent1"/>
          <w:sz w:val="22"/>
          <w:szCs w:val="22"/>
        </w:rPr>
        <w:t>‍</w:t>
      </w:r>
      <w:r w:rsidRPr="00623586">
        <w:rPr>
          <w:rStyle w:val="Style1Char"/>
          <w:color w:val="4472C4" w:themeColor="accent1"/>
          <w:sz w:val="22"/>
          <w:szCs w:val="22"/>
          <w:rtl/>
        </w:rPr>
        <w:t xml:space="preserve"> ורב אלפס ז"ל כתב</w:t>
      </w:r>
      <w:r w:rsidRPr="00144384">
        <w:rPr>
          <w:rStyle w:val="Style1Char"/>
          <w:sz w:val="22"/>
          <w:szCs w:val="22"/>
          <w:rtl/>
        </w:rPr>
        <w:t>.</w:t>
      </w:r>
      <w:r w:rsidRPr="00D2614D">
        <w:rPr>
          <w:rStyle w:val="Style1Char"/>
          <w:color w:val="00B050"/>
          <w:rtl/>
        </w:rPr>
        <w:t xml:space="preserve"> למה לי למיתני מלוה, למה לי למיתני פקדון? צריכא, דאי תנא מלוה, בהא קאמר רבי טרפון, משום דמלוה להוצאה ניתנה, אבל פקדון דאיתיה בעיניה - אימא מודי ליה לרבי עקיבא; ואי תנא הא, בהא קאמר רבי עקיבא, אבל בהך אימא מודי לרבי טרפון, צריכא</w:t>
      </w:r>
      <w:r w:rsidRPr="00623586">
        <w:rPr>
          <w:rStyle w:val="Style1Char"/>
          <w:color w:val="auto"/>
          <w:rtl/>
        </w:rPr>
        <w:t xml:space="preserve">. </w:t>
      </w:r>
      <w:r w:rsidRPr="00623586">
        <w:rPr>
          <w:rStyle w:val="Style1Char"/>
          <w:color w:val="auto"/>
          <w:sz w:val="22"/>
          <w:szCs w:val="22"/>
          <w:rtl/>
        </w:rPr>
        <w:t xml:space="preserve">מאי לכושל? </w:t>
      </w:r>
      <w:r w:rsidRPr="00D2614D">
        <w:rPr>
          <w:rStyle w:val="Style1Char"/>
          <w:color w:val="00B050"/>
          <w:rtl/>
        </w:rPr>
        <w:t xml:space="preserve">רבי יוסי ברבי חנינא אומר: לכושל שבראיה, רבי יוחנן אמר: לכתובת אשה, משום חינא. כתנאי, ר' בנימין אומר: לכושל שבראיה, והוא כשר; רבי אלעזר אומר: לכתובת אשה, משום חינא. </w:t>
      </w:r>
      <w:r w:rsidRPr="00623586">
        <w:rPr>
          <w:rStyle w:val="Style1Char"/>
          <w:color w:val="806000" w:themeColor="accent4" w:themeShade="80"/>
          <w:sz w:val="22"/>
          <w:szCs w:val="22"/>
          <w:rtl/>
        </w:rPr>
        <w:t xml:space="preserve">בעל חוב ואמאי קרי ליה כושל דלא גבי אלא בראיה </w:t>
      </w:r>
      <w:r w:rsidRPr="00623586">
        <w:rPr>
          <w:rStyle w:val="Style1Char"/>
          <w:color w:val="4472C4" w:themeColor="accent1"/>
          <w:sz w:val="22"/>
          <w:szCs w:val="22"/>
          <w:rtl/>
        </w:rPr>
        <w:t>אבל אשה גביא בתנאי ב"ד</w:t>
      </w:r>
      <w:r w:rsidRPr="00623586">
        <w:rPr>
          <w:rStyle w:val="Style1Char"/>
          <w:rFonts w:hint="cs"/>
          <w:color w:val="4472C4" w:themeColor="accent1"/>
          <w:sz w:val="22"/>
          <w:szCs w:val="22"/>
        </w:rPr>
        <w:t>‍</w:t>
      </w:r>
      <w:r w:rsidRPr="00623586">
        <w:rPr>
          <w:rStyle w:val="Style1Char"/>
          <w:color w:val="4472C4" w:themeColor="accent1"/>
          <w:sz w:val="22"/>
          <w:szCs w:val="22"/>
          <w:rtl/>
        </w:rPr>
        <w:t xml:space="preserve"> </w:t>
      </w:r>
      <w:r w:rsidRPr="00842C33">
        <w:rPr>
          <w:rStyle w:val="Style1Char"/>
          <w:color w:val="C00000"/>
          <w:sz w:val="22"/>
          <w:szCs w:val="22"/>
          <w:rtl/>
        </w:rPr>
        <w:t>ומאי שנא פקדון ומלוה משום דמטלטלי לבע"ח לא משתעבדי והני כיון דלא אתו לרשות יורשים משתעבדי לבע"ח מדר' נתן דתניא מנין לנושה בחבירו מנה וחבירו בחבירו שמוציאין מזה ונותנין לזה שנאמר ונתן לאשר אשם לו</w:t>
      </w:r>
      <w:r w:rsidRPr="003F4926">
        <w:rPr>
          <w:rStyle w:val="Style1Char"/>
          <w:color w:val="4472C4" w:themeColor="accent1"/>
          <w:rtl/>
        </w:rPr>
        <w:t xml:space="preserve"> </w:t>
      </w:r>
      <w:r w:rsidRPr="00E53B77">
        <w:rPr>
          <w:rStyle w:val="Style1Char"/>
          <w:color w:val="4472C4" w:themeColor="accent1"/>
          <w:rtl/>
        </w:rPr>
        <w:t>והירושלמי סעד לפרש"י ולדברי רב אלפס ה"ל לר' יוסי בר חנינא למימר לבע"ח מפני שהוא כושל שבראיה כדקאמר ר' יוחנן לכתובת אשה משום חינא ומדקאמר לכושל שבראיה משמע איזה מהן שהוא הכושל שבראיה וכן שני בעלי חובין ינתנו למאוחר ואף על גב דאיפסיקא הלכתא כר' עקיבא</w:t>
      </w:r>
      <w:r>
        <w:rPr>
          <w:rStyle w:val="Style1Char"/>
          <w:rFonts w:hint="cs"/>
          <w:color w:val="4472C4" w:themeColor="accent1"/>
        </w:rPr>
        <w:t>‍</w:t>
      </w:r>
      <w:r w:rsidRPr="00E53B77">
        <w:rPr>
          <w:rStyle w:val="Style1Char"/>
          <w:color w:val="4472C4" w:themeColor="accent1"/>
          <w:rtl/>
        </w:rPr>
        <w:t xml:space="preserve"> הוצרכנו לפרש דברי ר' טרפון לפי דבתר תקנה דרבנן בתראי גבי ממטלטלין</w:t>
      </w:r>
      <w:r>
        <w:rPr>
          <w:rStyle w:val="Style1Char"/>
          <w:rFonts w:hint="cs"/>
          <w:color w:val="4472C4" w:themeColor="accent1"/>
        </w:rPr>
        <w:t>‍</w:t>
      </w:r>
      <w:r w:rsidRPr="00E53B77">
        <w:rPr>
          <w:rStyle w:val="Style1Char"/>
          <w:color w:val="4472C4" w:themeColor="accent1"/>
          <w:rtl/>
        </w:rPr>
        <w:t xml:space="preserve"> ועבדינן כר' טרפון ואליבא דר' יוסי בר חנינא דאיהי קשיש טפי מדר' יוחנן וכן לקמן בפרקין (דף פו א) היכא דקיימי כתובת אשה ובעל חוב לגבות</w:t>
      </w:r>
      <w:r>
        <w:rPr>
          <w:rStyle w:val="Style1Char"/>
          <w:rFonts w:hint="cs"/>
          <w:color w:val="4472C4" w:themeColor="accent1"/>
        </w:rPr>
        <w:t>‍</w:t>
      </w:r>
      <w:r w:rsidRPr="00E53B77">
        <w:rPr>
          <w:rStyle w:val="Style1Char"/>
          <w:color w:val="4472C4" w:themeColor="accent1"/>
          <w:rtl/>
        </w:rPr>
        <w:t xml:space="preserve"> יפה כח בעל חוב משום נעילת דלת</w:t>
      </w:r>
      <w:r>
        <w:rPr>
          <w:rStyle w:val="Style1Char"/>
          <w:rFonts w:hint="cs"/>
          <w:color w:val="4472C4" w:themeColor="accent1"/>
        </w:rPr>
        <w:t>‍</w:t>
      </w:r>
      <w:r w:rsidRPr="00E53B77">
        <w:rPr>
          <w:rStyle w:val="Style1Char"/>
          <w:color w:val="4472C4" w:themeColor="accent1"/>
          <w:rtl/>
        </w:rPr>
        <w:t xml:space="preserve"> שכולן צריכין שבועה וכו' ירושלמי הגע עצמך שפטרום מן השבועה זו תורה וזו אינה תורה. פירוש עיקר טעמיה דר' עקיבא דניכסי כל היכא דאיתנהו ברשותא דיתמי איתנהו אבל בעל חוב מחוסר גוביינא. ונקט טעמא דשבועה שאינו אלא תקנת חכמים ולא מן התורה לאלומי למילתיה.</w:t>
      </w:r>
    </w:p>
    <w:p w14:paraId="6B76F8F9" w14:textId="4F764958" w:rsidR="00C369CA" w:rsidRDefault="00C369CA" w:rsidP="00C369CA">
      <w:pPr>
        <w:bidi/>
        <w:rPr>
          <w:rStyle w:val="Style1Char"/>
          <w:color w:val="auto"/>
          <w:sz w:val="22"/>
          <w:szCs w:val="22"/>
          <w:rtl/>
        </w:rPr>
      </w:pPr>
      <w:r w:rsidRPr="00D2614D">
        <w:rPr>
          <w:rStyle w:val="Style1Char"/>
          <w:color w:val="00B050"/>
          <w:rtl/>
        </w:rPr>
        <w:t xml:space="preserve">הניח פירות התלושין. </w:t>
      </w:r>
      <w:r w:rsidRPr="001948BA">
        <w:rPr>
          <w:rStyle w:val="Style1Char"/>
          <w:color w:val="auto"/>
          <w:sz w:val="22"/>
          <w:szCs w:val="22"/>
          <w:rtl/>
        </w:rPr>
        <w:t>ורבי עקיבא</w:t>
      </w:r>
      <w:r w:rsidRPr="001948BA">
        <w:rPr>
          <w:rStyle w:val="Style1Char"/>
          <w:color w:val="auto"/>
          <w:rtl/>
        </w:rPr>
        <w:t xml:space="preserve">, </w:t>
      </w:r>
      <w:r w:rsidRPr="001948BA">
        <w:rPr>
          <w:rStyle w:val="Style1Char"/>
          <w:color w:val="auto"/>
          <w:sz w:val="22"/>
          <w:szCs w:val="22"/>
          <w:rtl/>
        </w:rPr>
        <w:t>מאי איריא מותר?</w:t>
      </w:r>
      <w:r w:rsidRPr="001948BA">
        <w:rPr>
          <w:rStyle w:val="Style1Char"/>
          <w:color w:val="auto"/>
          <w:rtl/>
        </w:rPr>
        <w:t xml:space="preserve"> </w:t>
      </w:r>
      <w:r w:rsidRPr="001948BA">
        <w:rPr>
          <w:rStyle w:val="Style1Char"/>
          <w:color w:val="auto"/>
          <w:sz w:val="22"/>
          <w:szCs w:val="22"/>
          <w:rtl/>
        </w:rPr>
        <w:t xml:space="preserve">כולהו נמי דיורשין הוו! אין הכי נמי, ואיידי דאמר רבי טרפון מותר, תנא איהו נמי מותר. </w:t>
      </w:r>
    </w:p>
    <w:p w14:paraId="07E88BF7" w14:textId="5A1990D7" w:rsidR="006605EF" w:rsidRDefault="006605EF" w:rsidP="006605EF">
      <w:pPr>
        <w:pStyle w:val="Style1"/>
        <w:rPr>
          <w:rStyle w:val="Style1Char"/>
          <w:rtl/>
        </w:rPr>
      </w:pPr>
      <w:r>
        <w:rPr>
          <w:rStyle w:val="Style1Char"/>
          <w:rFonts w:hint="cs"/>
          <w:rtl/>
        </w:rPr>
        <w:t>1)[</w:t>
      </w:r>
      <w:r w:rsidRPr="006605EF">
        <w:rPr>
          <w:rStyle w:val="Style1Char"/>
          <w:rtl/>
        </w:rPr>
        <w:t>רמב</w:t>
      </w:r>
      <w:r w:rsidR="00786216">
        <w:rPr>
          <w:rStyle w:val="Style1Char"/>
          <w:rtl/>
        </w:rPr>
        <w:t>”ם \מכירה\</w:t>
      </w:r>
      <w:r w:rsidRPr="006605EF">
        <w:rPr>
          <w:rStyle w:val="Style1Char"/>
          <w:rtl/>
        </w:rPr>
        <w:t xml:space="preserve"> הלכות מכירה פרק יג הלכה ג</w:t>
      </w:r>
      <w:r>
        <w:rPr>
          <w:rStyle w:val="Style1Char"/>
          <w:rFonts w:hint="cs"/>
          <w:rtl/>
        </w:rPr>
        <w:t xml:space="preserve">] </w:t>
      </w:r>
      <w:r w:rsidRPr="006605EF">
        <w:rPr>
          <w:rStyle w:val="Style1Char"/>
          <w:rtl/>
        </w:rPr>
        <w:t>האומר לחבירו על מנת שאין לך עלי אונייה יש לו עליו הונייה, במה דברים אמורים בסתם שאין יודע כמה הונייה יש בו כדי שימחול, ואין צריך לומר אם אמר לו על מנת שאין בו הונייה שהרי יש בו, אבל במפרש אין לו הונייה שכל תנאי שבממון קיים.</w:t>
      </w:r>
    </w:p>
    <w:p w14:paraId="1D61F33D" w14:textId="187AEFF5" w:rsidR="006605EF" w:rsidRDefault="006605EF" w:rsidP="006605EF">
      <w:pPr>
        <w:pStyle w:val="Style1"/>
        <w:rPr>
          <w:rtl/>
        </w:rPr>
      </w:pPr>
      <w:r>
        <w:rPr>
          <w:rStyle w:val="Style1Char"/>
          <w:rFonts w:hint="cs"/>
          <w:rtl/>
        </w:rPr>
        <w:t>1)[</w:t>
      </w:r>
      <w:r w:rsidRPr="006605EF">
        <w:rPr>
          <w:rStyle w:val="Style1Char"/>
          <w:rtl/>
        </w:rPr>
        <w:t>שולחן ערוך חושן משפט הלכות אונאה ומקח טעות סימן רכז סעיף כא</w:t>
      </w:r>
      <w:r>
        <w:rPr>
          <w:rStyle w:val="Style1Char"/>
          <w:rFonts w:hint="cs"/>
          <w:rtl/>
        </w:rPr>
        <w:t xml:space="preserve">] </w:t>
      </w:r>
      <w:r w:rsidRPr="006605EF">
        <w:rPr>
          <w:rtl/>
        </w:rPr>
        <w:t>האומר לחבירו ע"מ שאין לך עלי אונאה יש לו עליו אונאה במה דברים אמורים בסתם שאינו יודע כמה אונאה יש בו כדי שימחול ואצ"ל אם אמר ע"מ שאין בו אונאה שהרי יש בו אבל במפרש אין לו אונאה כיצד מוכר שאמ' ללוקח חפץ זה שאני נותן לך בק"ק יודע אני שאינו שוה אלא מאה ע"מ שאין לך עלי אונאה אני מוכר לך אין לו עליו אונאה וכן לוקח שאמר למוכר חפץ זה שאני לוקח ממך בק' יודע אני ששוה ק"ק ע"מ שאין לך עלי אונאה אני לוקח ממך אין לו עליו אונאה</w:t>
      </w:r>
      <w:r w:rsidRPr="006605EF">
        <w:t>:</w:t>
      </w:r>
    </w:p>
    <w:p w14:paraId="3F54487F" w14:textId="391F0B16" w:rsidR="006605EF" w:rsidRDefault="006605EF" w:rsidP="006605EF">
      <w:pPr>
        <w:pStyle w:val="Style1"/>
        <w:rPr>
          <w:rStyle w:val="Style1Char"/>
          <w:rtl/>
        </w:rPr>
      </w:pPr>
      <w:r>
        <w:rPr>
          <w:rStyle w:val="Style1Char"/>
          <w:rFonts w:hint="cs"/>
          <w:rtl/>
        </w:rPr>
        <w:t>2)[</w:t>
      </w:r>
      <w:r w:rsidRPr="006605EF">
        <w:rPr>
          <w:rStyle w:val="Style1Char"/>
          <w:rtl/>
        </w:rPr>
        <w:t>רמב</w:t>
      </w:r>
      <w:r w:rsidR="00786216">
        <w:rPr>
          <w:rStyle w:val="Style1Char"/>
          <w:rtl/>
        </w:rPr>
        <w:t>”ם \מכירה\</w:t>
      </w:r>
      <w:r w:rsidRPr="006605EF">
        <w:rPr>
          <w:rStyle w:val="Style1Char"/>
          <w:rtl/>
        </w:rPr>
        <w:t xml:space="preserve"> הלכות מכירה פרק כד הלכה יז</w:t>
      </w:r>
      <w:r>
        <w:rPr>
          <w:rStyle w:val="Style1Char"/>
          <w:rFonts w:hint="cs"/>
          <w:rtl/>
        </w:rPr>
        <w:t xml:space="preserve">] </w:t>
      </w:r>
      <w:r w:rsidRPr="006605EF">
        <w:rPr>
          <w:rStyle w:val="Style1Char"/>
          <w:rtl/>
        </w:rPr>
        <w:t>המוכר קברו או דרך קברו או מקום מעמדו או בית הספדו, באין בני משפחה וקוברים שם בעל כרחו משום פגם משפחה, ונותנין דמי הקבר שקברו בו ללוקח אף על פי שלא פירש.</w:t>
      </w:r>
    </w:p>
    <w:p w14:paraId="729672EA" w14:textId="1AB79820" w:rsidR="006605EF" w:rsidRDefault="006605EF" w:rsidP="006605EF">
      <w:pPr>
        <w:pStyle w:val="Style1"/>
        <w:rPr>
          <w:rStyle w:val="Style1Char"/>
          <w:rtl/>
        </w:rPr>
      </w:pPr>
      <w:r>
        <w:rPr>
          <w:rStyle w:val="Style1Char"/>
          <w:rFonts w:hint="cs"/>
          <w:rtl/>
        </w:rPr>
        <w:t>2)[</w:t>
      </w:r>
      <w:r w:rsidRPr="006605EF">
        <w:rPr>
          <w:rStyle w:val="Style1Char"/>
          <w:rtl/>
        </w:rPr>
        <w:t>שולחן ערוך יורה דעה הלכות אבילות סימן שסו סעיף א</w:t>
      </w:r>
      <w:r>
        <w:rPr>
          <w:rStyle w:val="Style1Char"/>
          <w:rFonts w:hint="cs"/>
          <w:rtl/>
        </w:rPr>
        <w:t xml:space="preserve">] </w:t>
      </w:r>
      <w:r w:rsidRPr="006605EF">
        <w:rPr>
          <w:rStyle w:val="Style1Char"/>
          <w:rtl/>
        </w:rPr>
        <w:t>המוכר קברו ודרך קברו, מקום מעמדו ומקום הספדו, באים בני המשפחה וקוברין אותו בעל כרחו של לוקח, ומחזירין את דמיו.</w:t>
      </w:r>
    </w:p>
    <w:p w14:paraId="1053CFFB" w14:textId="3B15BA9C" w:rsidR="00753D33" w:rsidRDefault="00753D33" w:rsidP="00753D33">
      <w:pPr>
        <w:pStyle w:val="Style1"/>
        <w:rPr>
          <w:rStyle w:val="Style1Char"/>
          <w:rtl/>
        </w:rPr>
      </w:pPr>
      <w:r>
        <w:rPr>
          <w:rStyle w:val="Style1Char"/>
          <w:rFonts w:hint="cs"/>
          <w:rtl/>
        </w:rPr>
        <w:t>2)[</w:t>
      </w:r>
      <w:r w:rsidRPr="00753D33">
        <w:rPr>
          <w:rStyle w:val="Style1Char"/>
          <w:rtl/>
        </w:rPr>
        <w:t>שולחן ערוך חושן משפט הלכות מקח וממכר סימן ריז סעיף ז</w:t>
      </w:r>
      <w:r>
        <w:rPr>
          <w:rStyle w:val="Style1Char"/>
          <w:rFonts w:hint="cs"/>
          <w:rtl/>
        </w:rPr>
        <w:t xml:space="preserve">] </w:t>
      </w:r>
      <w:r w:rsidRPr="00753D33">
        <w:rPr>
          <w:rStyle w:val="Style1Char"/>
          <w:rtl/>
        </w:rPr>
        <w:t>המוכר קברו ודרך קברו, מקום מעמדו והספדו, באים בני משפחתו וקוברים אותו בעל כרחו של לוקח, ונותנים לו דמי הקבר שקברו אותו בה.</w:t>
      </w:r>
    </w:p>
    <w:p w14:paraId="5EEAFB36" w14:textId="6C209CCF" w:rsidR="00B33A93" w:rsidRPr="00B33A93" w:rsidRDefault="00753D33" w:rsidP="00B33A93">
      <w:pPr>
        <w:pStyle w:val="Style1"/>
      </w:pPr>
      <w:r>
        <w:rPr>
          <w:rStyle w:val="Style1Char"/>
          <w:rFonts w:hint="cs"/>
          <w:rtl/>
        </w:rPr>
        <w:t>3)[</w:t>
      </w:r>
      <w:r w:rsidRPr="00753D33">
        <w:rPr>
          <w:rStyle w:val="Style1Char"/>
          <w:rtl/>
        </w:rPr>
        <w:t>שולחן ערוך אבן העזר הלכות כתובות סימן קב סעיף ב</w:t>
      </w:r>
      <w:r>
        <w:rPr>
          <w:rStyle w:val="Style1Char"/>
          <w:rFonts w:hint="cs"/>
          <w:rtl/>
        </w:rPr>
        <w:t>]</w:t>
      </w:r>
      <w:r w:rsidR="00B33A93">
        <w:rPr>
          <w:rStyle w:val="Style1Char"/>
          <w:rFonts w:hint="cs"/>
          <w:rtl/>
        </w:rPr>
        <w:t xml:space="preserve"> </w:t>
      </w:r>
      <w:r w:rsidR="00B33A93" w:rsidRPr="00B33A93">
        <w:rPr>
          <w:rtl/>
        </w:rPr>
        <w:t>לא הניח אלא מטלטלים שאין בהם קדימה, כגון דלא אקני לה מטלטלי אגב מקרקעי, ינתנו לבעל חוב, אפילו הוא מאוחר, ותדחה האשה מלגבות עיקר ותוספת. ומיהו, אם תפסה, אפלו שלא בבית דין, אין מוציאין מידה</w:t>
      </w:r>
      <w:r w:rsidR="00B33A93" w:rsidRPr="00B33A93">
        <w:t>.</w:t>
      </w:r>
    </w:p>
    <w:p w14:paraId="77B42CE4" w14:textId="3A2C98D3" w:rsidR="00B33A93" w:rsidRDefault="00B33A93" w:rsidP="00B33A93">
      <w:pPr>
        <w:pStyle w:val="Style1"/>
        <w:rPr>
          <w:rtl/>
        </w:rPr>
      </w:pPr>
      <w:r w:rsidRPr="00B33A93">
        <w:rPr>
          <w:rFonts w:hint="cs"/>
          <w:rtl/>
        </w:rPr>
        <w:t>הגה: ויש אומרים דאפילו תפסה, מוציאין מידה (מרדכי בשם מוהר"ם פרק הכותב), וכן הורו האחרונים מהרי"ל ומהרי"ו. ואין חלוק בזה בין מלוה בשטר או מלוה על פה הידועה (מהרי"ו סימן ל'). אבל אם אינה ידועה, יכולה לומר: דלמא אינו חייב לך. ולכולי עלמא אם תפסה פקדון של אחרים שהיה ביד בעלה, צריכה להחזיר (מהרא"י בפסקיו סימן ר"ס). יש אומרים דאין כותבין "אגב", בכתובה, וכן נוהגין. מיהו, אפילו כתב, בזמן הזה, אין לחוש, וכמו שנתבאר לעיל </w:t>
      </w:r>
      <w:hyperlink r:id="rId208" w:tooltip="שולחן ערוך אבן העזר ק" w:history="1">
        <w:r w:rsidRPr="00B33A93">
          <w:rPr>
            <w:rStyle w:val="Hyperlink"/>
            <w:rFonts w:hint="cs"/>
            <w:color w:val="7030A0"/>
            <w:u w:val="none"/>
            <w:rtl/>
          </w:rPr>
          <w:t>סימן ק</w:t>
        </w:r>
      </w:hyperlink>
    </w:p>
    <w:p w14:paraId="7AC2887C" w14:textId="282FD66A" w:rsidR="00B33A93" w:rsidRPr="00B33A93" w:rsidRDefault="00B33A93" w:rsidP="008365E2">
      <w:pPr>
        <w:pStyle w:val="Style1"/>
      </w:pPr>
      <w:r>
        <w:rPr>
          <w:rFonts w:hint="cs"/>
          <w:rtl/>
        </w:rPr>
        <w:t>3)[</w:t>
      </w:r>
      <w:r>
        <w:rPr>
          <w:rtl/>
        </w:rPr>
        <w:t>שולחן ערוך חושן משפט הלכות גביית חוב מהיתומים סימן קז סעיף א</w:t>
      </w:r>
      <w:r>
        <w:rPr>
          <w:rFonts w:hint="cs"/>
          <w:rtl/>
        </w:rPr>
        <w:t>]</w:t>
      </w:r>
      <w:r w:rsidR="008365E2">
        <w:rPr>
          <w:rFonts w:hint="cs"/>
          <w:rtl/>
        </w:rPr>
        <w:t xml:space="preserve"> </w:t>
      </w:r>
      <w:r w:rsidRPr="00B33A93">
        <w:rPr>
          <w:rtl/>
        </w:rPr>
        <w:t>מצווה על היורשים לפרוע חוב אביהם, וכופים אותם בכך כמו שכופים את אביהם.    במה דברים אמורים? כשהניח קרקעות; אבל אם לא הניח אלא מטלטלים -- אין כופין אותם לפרוע חוב אביהם מהם, אבל מצוה עליהם לפרוע חוב אביהם מהם. זהו מן הדין</w:t>
      </w:r>
      <w:r w:rsidRPr="00B33A93">
        <w:t>.</w:t>
      </w:r>
    </w:p>
    <w:p w14:paraId="13FAFE4D" w14:textId="77777777" w:rsidR="00B33A93" w:rsidRPr="00B33A93" w:rsidRDefault="00B33A93" w:rsidP="00B33A93">
      <w:pPr>
        <w:pStyle w:val="Style1"/>
      </w:pPr>
      <w:r w:rsidRPr="00B33A93">
        <w:rPr>
          <w:rtl/>
        </w:rPr>
        <w:t>אבל הגאונים תקנו, שיהא בעל חוב גובה מהיורשים מטלטלים שהניח אביהם. הלכך האידנא כופין אותם לפרוע חובות אביהם, אפילו היא מלוה על פה, אף מהמטלטלים שהניח אביהם, אפילו קנאם הלוה אחר שלוה ולא כתב "דאקני</w:t>
      </w:r>
      <w:r w:rsidRPr="00B33A93">
        <w:t>" </w:t>
      </w:r>
      <w:r w:rsidRPr="00B33A93">
        <w:rPr>
          <w:rFonts w:hint="cs"/>
        </w:rPr>
        <w:t>(</w:t>
      </w:r>
      <w:r w:rsidRPr="00B33A93">
        <w:rPr>
          <w:rFonts w:hint="cs"/>
          <w:rtl/>
        </w:rPr>
        <w:t>עיין לקמן </w:t>
      </w:r>
      <w:hyperlink r:id="rId209" w:tooltip="שולחן ערוך חושן משפט קיא" w:history="1">
        <w:r w:rsidRPr="00B33A93">
          <w:rPr>
            <w:rStyle w:val="Hyperlink"/>
            <w:rFonts w:hint="cs"/>
            <w:color w:val="7030A0"/>
            <w:u w:val="none"/>
            <w:rtl/>
          </w:rPr>
          <w:t>סימן קיא</w:t>
        </w:r>
      </w:hyperlink>
      <w:r w:rsidRPr="00B33A93">
        <w:rPr>
          <w:rFonts w:hint="cs"/>
        </w:rPr>
        <w:t>)</w:t>
      </w:r>
      <w:r w:rsidRPr="00B33A93">
        <w:t xml:space="preserve">; </w:t>
      </w:r>
      <w:r w:rsidRPr="00B33A93">
        <w:rPr>
          <w:rtl/>
        </w:rPr>
        <w:t>דיורש במקום אביו קאי</w:t>
      </w:r>
      <w:r w:rsidRPr="00B33A93">
        <w:t>.</w:t>
      </w:r>
    </w:p>
    <w:p w14:paraId="1EFA9030" w14:textId="77777777" w:rsidR="00B33A93" w:rsidRPr="00B33A93" w:rsidRDefault="00B33A93" w:rsidP="00B33A93">
      <w:pPr>
        <w:pStyle w:val="Style1"/>
      </w:pPr>
      <w:r w:rsidRPr="00B33A93">
        <w:rPr>
          <w:rtl/>
        </w:rPr>
        <w:lastRenderedPageBreak/>
        <w:t>וכן חייבים לפרוע חוב אביהם ממלוה שהיתה לאביהם ביד אחרים, בין גבו קרקע, בין גבו מעות. ואם ירשו קרקע ומטלטלים, ואין מפורש בשטר שיגבה מטלטלי בין בחייו בין במותו, והיורשים רוצים להגבות לבעל חוב קרקע והוא רוצה לגבות מטלטלים -- הדין עם היורשים</w:t>
      </w:r>
      <w:r w:rsidRPr="00B33A93">
        <w:t>.</w:t>
      </w:r>
    </w:p>
    <w:p w14:paraId="0D7A4E78" w14:textId="77777777" w:rsidR="00B33A93" w:rsidRPr="00B33A93" w:rsidRDefault="00B33A93" w:rsidP="00B33A93">
      <w:pPr>
        <w:pStyle w:val="Style1"/>
      </w:pPr>
      <w:r w:rsidRPr="00B33A93">
        <w:rPr>
          <w:rtl/>
        </w:rPr>
        <w:t>אבל אם לא ירשו כלום מאביהן, אין חייבים לפרוע חוב אביהם, ואפילו מצוה ליכא</w:t>
      </w:r>
      <w:r w:rsidRPr="00B33A93">
        <w:t>.   </w:t>
      </w:r>
    </w:p>
    <w:p w14:paraId="2820FA95" w14:textId="7A98E250" w:rsidR="00B33A93" w:rsidRDefault="00B33A93" w:rsidP="00B33A93">
      <w:pPr>
        <w:pStyle w:val="Style1"/>
        <w:rPr>
          <w:rtl/>
        </w:rPr>
      </w:pPr>
      <w:r w:rsidRPr="00B33A93">
        <w:rPr>
          <w:rFonts w:hint="cs"/>
          <w:rtl/>
        </w:rPr>
        <w:t>הגה: ירש קצת נכסים, אין צריך לפרוע, רק מה שירש. ואם אומר "איני יורש ואיני משלם", עיין לקמן </w:t>
      </w:r>
      <w:hyperlink r:id="rId210" w:tooltip="שולחן ערוך חושן משפט רעח" w:history="1">
        <w:r w:rsidRPr="00B33A93">
          <w:rPr>
            <w:rStyle w:val="Hyperlink"/>
            <w:rFonts w:hint="cs"/>
            <w:color w:val="7030A0"/>
            <w:u w:val="none"/>
            <w:rtl/>
          </w:rPr>
          <w:t>סוף סימן רע"ח</w:t>
        </w:r>
      </w:hyperlink>
      <w:r w:rsidRPr="00B33A93">
        <w:rPr>
          <w:rFonts w:hint="cs"/>
        </w:rPr>
        <w:t> </w:t>
      </w:r>
      <w:r w:rsidRPr="00B33A93">
        <w:rPr>
          <w:rFonts w:hint="cs"/>
          <w:rtl/>
        </w:rPr>
        <w:t>אם שומעין לו</w:t>
      </w:r>
      <w:r w:rsidRPr="00B33A93">
        <w:t>.</w:t>
      </w:r>
    </w:p>
    <w:p w14:paraId="23C8CC96" w14:textId="448BEBDB" w:rsidR="008365E2" w:rsidRPr="008365E2" w:rsidRDefault="008365E2" w:rsidP="008365E2">
      <w:pPr>
        <w:pStyle w:val="Style1"/>
      </w:pPr>
      <w:r>
        <w:rPr>
          <w:rFonts w:hint="cs"/>
          <w:rtl/>
        </w:rPr>
        <w:t>4)[</w:t>
      </w:r>
      <w:r>
        <w:rPr>
          <w:rtl/>
        </w:rPr>
        <w:t>שולחן ערוך אבן העזר הלכות כתובות סימן קב סעיף ג</w:t>
      </w:r>
      <w:r>
        <w:rPr>
          <w:rFonts w:hint="cs"/>
          <w:rtl/>
        </w:rPr>
        <w:t xml:space="preserve">] </w:t>
      </w:r>
      <w:r w:rsidRPr="008365E2">
        <w:rPr>
          <w:rtl/>
        </w:rPr>
        <w:t>אם זמן שניהם שוין, או שנשא ולוה ואחר כך קנה, או שלוה ונשא ואחר כך קנה, שחל שעבודם כאחד בשעה שקנה, בין שהניח מקרקעי או מטלטלי, ינתנו לבעל חוב ותדחה האשה מגבית עיקר ותוספת. ואם קדמה האשה ותפסה קרקע, אם קדמה וגבתה בבית דין, כגון שהגבוה בית דין קודם שידעו שהיה שם בעל חוב, אין מוציאין מידה. אבל אם גבתה מעצמה, אפלו על ידי שומא, מפקינן מינה. ואם קדמה ותפסה מטלטלין, אפילו שלא בבית דין, לא מפקינן מנה</w:t>
      </w:r>
      <w:r w:rsidRPr="008365E2">
        <w:t>.</w:t>
      </w:r>
    </w:p>
    <w:p w14:paraId="695D6C0F" w14:textId="1EB8BBE2" w:rsidR="008365E2" w:rsidRDefault="008365E2" w:rsidP="008365E2">
      <w:pPr>
        <w:pStyle w:val="Style1"/>
        <w:rPr>
          <w:rtl/>
        </w:rPr>
      </w:pPr>
      <w:r w:rsidRPr="008365E2">
        <w:rPr>
          <w:rFonts w:hint="cs"/>
          <w:rtl/>
        </w:rPr>
        <w:t>הגה: אלמנה שבאת לגבות כתבתה, והיתומים טוענין שתתן ערבות שאם ימצאו אחר כך בעלי חוב המוקדמים שתחזיר מה שגבתה, אין שומעין להם וגובאת כך בלא ערבות</w:t>
      </w:r>
      <w:r w:rsidRPr="008365E2">
        <w:rPr>
          <w:rFonts w:hint="cs"/>
        </w:rPr>
        <w:t xml:space="preserve"> (</w:t>
      </w:r>
      <w:hyperlink r:id="rId211" w:tooltip="תשובות ריב&quot;ש/רצט" w:history="1">
        <w:r w:rsidRPr="008365E2">
          <w:rPr>
            <w:rStyle w:val="Hyperlink"/>
            <w:rFonts w:hint="cs"/>
            <w:color w:val="7030A0"/>
            <w:u w:val="none"/>
            <w:rtl/>
          </w:rPr>
          <w:t>ריב"ש סימן רצ"ט</w:t>
        </w:r>
      </w:hyperlink>
      <w:r w:rsidRPr="008365E2">
        <w:rPr>
          <w:rFonts w:hint="cs"/>
        </w:rPr>
        <w:t>)</w:t>
      </w:r>
      <w:r w:rsidRPr="008365E2">
        <w:t>:</w:t>
      </w:r>
    </w:p>
    <w:p w14:paraId="7DC9A5F0" w14:textId="5139E355" w:rsidR="00E37DC7" w:rsidRPr="00E37DC7" w:rsidRDefault="00E37DC7" w:rsidP="00E37DC7">
      <w:pPr>
        <w:pStyle w:val="Style1"/>
      </w:pPr>
      <w:r>
        <w:rPr>
          <w:rFonts w:hint="cs"/>
          <w:rtl/>
        </w:rPr>
        <w:t>4)[</w:t>
      </w:r>
      <w:r>
        <w:rPr>
          <w:rtl/>
        </w:rPr>
        <w:t>שולחן ערוך חושן משפט הלכות גביית מלוה סימן קד סעיף ג</w:t>
      </w:r>
      <w:r>
        <w:rPr>
          <w:rFonts w:hint="cs"/>
          <w:rtl/>
        </w:rPr>
        <w:t xml:space="preserve">] </w:t>
      </w:r>
      <w:r w:rsidRPr="00E37DC7">
        <w:rPr>
          <w:rtl/>
        </w:rPr>
        <w:t>בית דין שהכריזו כראוי ובדקו יפה ודקדקו בשומא, אף על פי שטעו ומכרו שוה מנה במאתים או מאתים במנה, הרי מכרם קיים. אבל אם לא בדקו בשומא, ולא כתבו אגרת בקורת שהיא דקדוק השומא וההכרזה, וטעו והותירו שתות או פחתו שתות, מכרם בטל. פחות משתות, מכרם קיים. וכן אם מכרו קרקע בעת שאינם צריכים להכריז עליה, וטעו, ופחתו שתות או הותירו שתות, מכרן בטל, אף על פי שהכריזו</w:t>
      </w:r>
      <w:r w:rsidRPr="00E37DC7">
        <w:t>. </w:t>
      </w:r>
      <w:r w:rsidRPr="00E37DC7">
        <w:rPr>
          <w:rFonts w:hint="cs"/>
          <w:rtl/>
        </w:rPr>
        <w:t>ויש אומרים כיון שהכריזו, אפלו טעו בכפל, המקח קים (טור בשם הרא"ש) פחות משתות</w:t>
      </w:r>
      <w:r w:rsidRPr="00E37DC7">
        <w:t xml:space="preserve">, </w:t>
      </w:r>
      <w:r w:rsidRPr="00E37DC7">
        <w:rPr>
          <w:rtl/>
        </w:rPr>
        <w:t>מכרם קיים ואינו צריך להחזיר אונאה אף על פי שלא הכריזו. איזהו העת שאינם צריכים הכרזה, בעת שימכרו קרקע לקבורה או למזונות האשה והבנות או ליתן מנת המלך, אינם צריכים הכרזה, לפי שהדבר נחוץ. וכן אם לוו לצרך דברים אלו, כשמוכרים לפרעם אינם צריכים הכרזה</w:t>
      </w:r>
      <w:r w:rsidRPr="00E37DC7">
        <w:t>:</w:t>
      </w:r>
    </w:p>
    <w:p w14:paraId="5B48AE81" w14:textId="1E6FCFCB" w:rsidR="00E37DC7" w:rsidRPr="00E37DC7" w:rsidRDefault="00E37DC7" w:rsidP="00E37DC7">
      <w:pPr>
        <w:pStyle w:val="Style1"/>
      </w:pPr>
      <w:r>
        <w:rPr>
          <w:rFonts w:hint="cs"/>
          <w:rtl/>
        </w:rPr>
        <w:t>4)[</w:t>
      </w:r>
      <w:r>
        <w:rPr>
          <w:rtl/>
        </w:rPr>
        <w:t>שולחן ערוך חושן משפט הלכות גביית מלוה סימן קד סעיף ה</w:t>
      </w:r>
      <w:r>
        <w:rPr>
          <w:rFonts w:hint="cs"/>
          <w:rtl/>
        </w:rPr>
        <w:t xml:space="preserve">] </w:t>
      </w:r>
      <w:r w:rsidRPr="00E37DC7">
        <w:rPr>
          <w:rtl/>
        </w:rPr>
        <w:t>היכא דטעו ונתאנו בשתות, שהמכר בטל, אם ירצו בית דין לקיים המקח ולהחזיר האונאה, הרשות בידם. ויש חולקים בזה</w:t>
      </w:r>
      <w:r w:rsidRPr="00E37DC7">
        <w:t>:</w:t>
      </w:r>
    </w:p>
    <w:p w14:paraId="44695BC1" w14:textId="63725C37" w:rsidR="00E37DC7" w:rsidRPr="008365E2" w:rsidRDefault="00E37DC7" w:rsidP="00E37DC7">
      <w:pPr>
        <w:pStyle w:val="Style1"/>
      </w:pPr>
    </w:p>
    <w:p w14:paraId="324E09AF" w14:textId="77777777" w:rsidR="008365E2" w:rsidRPr="008365E2" w:rsidRDefault="008365E2" w:rsidP="008365E2">
      <w:pPr>
        <w:pStyle w:val="Style1"/>
      </w:pPr>
    </w:p>
    <w:p w14:paraId="562F1E4F" w14:textId="07F2C935" w:rsidR="008365E2" w:rsidRPr="00B33A93" w:rsidRDefault="008365E2" w:rsidP="008365E2">
      <w:pPr>
        <w:pStyle w:val="Style1"/>
      </w:pPr>
    </w:p>
    <w:p w14:paraId="3C46836C" w14:textId="77777777" w:rsidR="00B33A93" w:rsidRPr="00B33A93" w:rsidRDefault="00B33A93" w:rsidP="00B33A93">
      <w:pPr>
        <w:pStyle w:val="Style1"/>
      </w:pPr>
    </w:p>
    <w:p w14:paraId="4EF39EFC" w14:textId="1F20250F" w:rsidR="006605EF" w:rsidRPr="00B33A93" w:rsidRDefault="006605EF" w:rsidP="00B33A93">
      <w:pPr>
        <w:pStyle w:val="Style1"/>
        <w:rPr>
          <w:rStyle w:val="Style1Char"/>
        </w:rPr>
      </w:pPr>
    </w:p>
    <w:p w14:paraId="4E3A61C4" w14:textId="77777777" w:rsidR="00C369CA" w:rsidRPr="00B33A93" w:rsidRDefault="00C369CA" w:rsidP="00B33A93">
      <w:pPr>
        <w:pStyle w:val="Style1"/>
        <w:rPr>
          <w:rStyle w:val="Style1Char"/>
          <w:rtl/>
        </w:rPr>
      </w:pPr>
    </w:p>
    <w:p w14:paraId="30C5790A" w14:textId="77777777" w:rsidR="00C369CA" w:rsidRPr="00792B29" w:rsidRDefault="00C369CA" w:rsidP="00C369CA">
      <w:pPr>
        <w:bidi/>
        <w:rPr>
          <w:rStyle w:val="Style1Char"/>
          <w:color w:val="00B050"/>
          <w:rtl/>
        </w:rPr>
      </w:pPr>
    </w:p>
    <w:p w14:paraId="22C1507F" w14:textId="77777777" w:rsidR="00C369CA" w:rsidRDefault="00C369CA" w:rsidP="00C369CA">
      <w:pPr>
        <w:rPr>
          <w:rStyle w:val="Style1Char"/>
          <w:color w:val="00B050"/>
          <w:rtl/>
        </w:rPr>
      </w:pPr>
      <w:r>
        <w:rPr>
          <w:rStyle w:val="Style1Char"/>
          <w:color w:val="00B050"/>
          <w:rtl/>
        </w:rPr>
        <w:br w:type="page"/>
      </w:r>
    </w:p>
    <w:p w14:paraId="6D39E622" w14:textId="27D50D26" w:rsidR="00C369CA" w:rsidRDefault="00C369CA" w:rsidP="00C369CA">
      <w:pPr>
        <w:bidi/>
        <w:rPr>
          <w:rStyle w:val="Style1Char"/>
        </w:rPr>
      </w:pPr>
      <w:r w:rsidRPr="002C3608">
        <w:rPr>
          <w:rStyle w:val="Style1Char"/>
          <w:color w:val="auto"/>
          <w:sz w:val="22"/>
          <w:szCs w:val="22"/>
          <w:highlight w:val="yellow"/>
          <w:rtl/>
        </w:rPr>
        <w:lastRenderedPageBreak/>
        <w:t>[דף פד עמוד ב]</w:t>
      </w:r>
      <w:r w:rsidRPr="002C3608">
        <w:rPr>
          <w:rStyle w:val="Style1Char"/>
          <w:color w:val="auto"/>
          <w:sz w:val="22"/>
          <w:szCs w:val="22"/>
          <w:rtl/>
        </w:rPr>
        <w:t xml:space="preserve"> ור"ע, תפיסה לא מהניא כלל? אמר רבא אמר רב נחמן: </w:t>
      </w:r>
      <w:r w:rsidR="00E37DC7">
        <w:rPr>
          <w:rStyle w:val="Style1Char"/>
          <w:rFonts w:hint="cs"/>
          <w:rtl/>
        </w:rPr>
        <w:t>(1)</w:t>
      </w:r>
      <w:r w:rsidRPr="002C3608">
        <w:rPr>
          <w:rStyle w:val="Style1Char"/>
          <w:color w:val="auto"/>
          <w:sz w:val="22"/>
          <w:szCs w:val="22"/>
          <w:rtl/>
        </w:rPr>
        <w:t>והוא שתפס מחיים</w:t>
      </w:r>
      <w:r w:rsidRPr="002C3608">
        <w:rPr>
          <w:rStyle w:val="Style1Char"/>
          <w:color w:val="auto"/>
          <w:rtl/>
        </w:rPr>
        <w:t xml:space="preserve"> </w:t>
      </w:r>
      <w:r w:rsidRPr="00D205EB">
        <w:rPr>
          <w:rStyle w:val="Style1Char"/>
          <w:color w:val="C00000"/>
          <w:rtl/>
        </w:rPr>
        <w:t xml:space="preserve">אבל לאחר מיתה לא </w:t>
      </w:r>
      <w:r w:rsidRPr="006F4FD9">
        <w:rPr>
          <w:rStyle w:val="Style1Char"/>
          <w:color w:val="806000" w:themeColor="accent4" w:themeShade="80"/>
          <w:sz w:val="22"/>
          <w:szCs w:val="22"/>
          <w:rtl/>
        </w:rPr>
        <w:t xml:space="preserve">והלכה כרבי עקיבא דקי"ל הלכה כר' עקיבא מחבירו </w:t>
      </w:r>
      <w:r w:rsidRPr="008D2ABE">
        <w:rPr>
          <w:rStyle w:val="Style1Char"/>
          <w:color w:val="4472C4" w:themeColor="accent1"/>
          <w:sz w:val="22"/>
          <w:szCs w:val="22"/>
          <w:rtl/>
        </w:rPr>
        <w:t xml:space="preserve">ורבי טרפון חבירו הוה </w:t>
      </w:r>
      <w:r w:rsidRPr="008D2ABE">
        <w:rPr>
          <w:rStyle w:val="Style1Char"/>
          <w:color w:val="806000" w:themeColor="accent4" w:themeShade="80"/>
          <w:sz w:val="22"/>
          <w:szCs w:val="22"/>
          <w:rtl/>
        </w:rPr>
        <w:t xml:space="preserve">ואמרינן נמי דון דייני כרבי טרפון ואהדרה ר' שמעון בן לקיש לעובדא </w:t>
      </w:r>
      <w:r w:rsidRPr="00E53B77">
        <w:rPr>
          <w:rStyle w:val="Style1Char"/>
          <w:color w:val="4472C4" w:themeColor="accent1"/>
          <w:rtl/>
        </w:rPr>
        <w:t>מינייהו</w:t>
      </w:r>
      <w:r w:rsidRPr="00D205EB">
        <w:rPr>
          <w:rStyle w:val="Style1Char"/>
          <w:color w:val="C00000"/>
          <w:rtl/>
        </w:rPr>
        <w:t xml:space="preserve"> </w:t>
      </w:r>
      <w:r w:rsidRPr="00711ACC">
        <w:rPr>
          <w:rStyle w:val="Style1Char"/>
          <w:color w:val="C00000"/>
          <w:sz w:val="22"/>
          <w:szCs w:val="22"/>
          <w:rtl/>
        </w:rPr>
        <w:t xml:space="preserve">כר"ע </w:t>
      </w:r>
      <w:r w:rsidRPr="00711ACC">
        <w:rPr>
          <w:rStyle w:val="Style1Char"/>
          <w:color w:val="4472C4" w:themeColor="accent1"/>
          <w:sz w:val="22"/>
          <w:szCs w:val="22"/>
          <w:rtl/>
        </w:rPr>
        <w:t>וגם רבי יוחנן אמר מה אעשה שכנגדי חלוק עלי</w:t>
      </w:r>
      <w:r w:rsidRPr="00711ACC">
        <w:rPr>
          <w:rStyle w:val="Style1Char"/>
          <w:color w:val="C00000"/>
          <w:sz w:val="22"/>
          <w:szCs w:val="22"/>
          <w:rtl/>
        </w:rPr>
        <w:t xml:space="preserve"> </w:t>
      </w:r>
      <w:r w:rsidRPr="00D205EB">
        <w:rPr>
          <w:rStyle w:val="Style1Char"/>
          <w:color w:val="C00000"/>
          <w:rtl/>
        </w:rPr>
        <w:t xml:space="preserve">אלא </w:t>
      </w:r>
      <w:r w:rsidRPr="00711ACC">
        <w:rPr>
          <w:rStyle w:val="Style1Char"/>
          <w:color w:val="806000" w:themeColor="accent4" w:themeShade="80"/>
          <w:sz w:val="22"/>
          <w:szCs w:val="22"/>
          <w:rtl/>
        </w:rPr>
        <w:t xml:space="preserve">מיהו הנ"מ בזמן דמטלטלין לא הוו משתעבדי לבעל חוב אבל האידנא דמטלטלי משתעבדי לבעל חוב </w:t>
      </w:r>
      <w:r w:rsidRPr="00E53B77">
        <w:rPr>
          <w:rStyle w:val="Style1Char"/>
          <w:color w:val="4472C4" w:themeColor="accent1"/>
          <w:rtl/>
        </w:rPr>
        <w:t xml:space="preserve">מפקינן להו מיתמי </w:t>
      </w:r>
      <w:r w:rsidRPr="009C2AAA">
        <w:rPr>
          <w:rStyle w:val="Style1Char"/>
          <w:color w:val="C00000"/>
          <w:sz w:val="22"/>
          <w:szCs w:val="22"/>
          <w:rtl/>
        </w:rPr>
        <w:t xml:space="preserve">גבי בע"ח מנייהו דיתמי </w:t>
      </w:r>
      <w:r w:rsidRPr="00D205EB">
        <w:rPr>
          <w:rStyle w:val="Style1Char"/>
          <w:color w:val="C00000"/>
          <w:rtl/>
        </w:rPr>
        <w:t>בין תפס בין לא תפס</w:t>
      </w:r>
      <w:r w:rsidRPr="00865062">
        <w:rPr>
          <w:rStyle w:val="Style1Char"/>
          <w:sz w:val="22"/>
          <w:szCs w:val="22"/>
          <w:rtl/>
        </w:rPr>
        <w:t>.</w:t>
      </w:r>
      <w:r w:rsidRPr="00865062">
        <w:rPr>
          <w:rStyle w:val="Style1Char"/>
          <w:rtl/>
        </w:rPr>
        <w:t xml:space="preserve"> </w:t>
      </w:r>
      <w:r w:rsidRPr="00E53B77">
        <w:rPr>
          <w:rStyle w:val="Style1Char"/>
          <w:color w:val="4472C4" w:themeColor="accent1"/>
          <w:rtl/>
        </w:rPr>
        <w:t>ויהבינן להו לכתובת אשה ובעל חוב</w:t>
      </w:r>
      <w:r>
        <w:rPr>
          <w:rStyle w:val="Style1Char"/>
          <w:rFonts w:hint="cs"/>
          <w:color w:val="4472C4" w:themeColor="accent1"/>
        </w:rPr>
        <w:t>‍</w:t>
      </w:r>
      <w:r w:rsidRPr="00E53B77">
        <w:rPr>
          <w:rStyle w:val="Style1Char"/>
          <w:color w:val="4472C4" w:themeColor="accent1"/>
        </w:rPr>
        <w:t>:</w:t>
      </w:r>
    </w:p>
    <w:p w14:paraId="613EA9ED" w14:textId="22E4FE12" w:rsidR="00C369CA" w:rsidRPr="00E53B77" w:rsidRDefault="00C369CA" w:rsidP="00C369CA">
      <w:pPr>
        <w:bidi/>
        <w:rPr>
          <w:rStyle w:val="Style1Char"/>
          <w:color w:val="4472C4" w:themeColor="accent1"/>
        </w:rPr>
      </w:pPr>
      <w:r w:rsidRPr="00D2614D">
        <w:rPr>
          <w:rStyle w:val="Style1Char"/>
          <w:color w:val="00B050"/>
          <w:rtl/>
        </w:rPr>
        <w:t xml:space="preserve">ולרבי טרפון, דמנחי היכא? רב ושמואל דאמרי תרוייהו: והוא שצבורין ומונחין ברשות הרבים, אבל בסימטא לא; ורבי יוחנן וריש לקיש דאמרי תרוייהו: אפי' בסימטא. דון דייני כר' טרפון, ואהדריה ר"ל לעובדא מינייהו; אמר ליה רבי יוחנן: עשית כשל תורה. לימא בהא קמיפלגי, דמ"ס: </w:t>
      </w:r>
      <w:r w:rsidR="003B2493">
        <w:rPr>
          <w:rStyle w:val="Style1Char"/>
          <w:rFonts w:hint="cs"/>
          <w:rtl/>
        </w:rPr>
        <w:t>(2)</w:t>
      </w:r>
      <w:r w:rsidRPr="00D2614D">
        <w:rPr>
          <w:rStyle w:val="Style1Char"/>
          <w:color w:val="00B050"/>
          <w:rtl/>
        </w:rPr>
        <w:t xml:space="preserve">טעה בדבר משנה חוזר, ומר סבר: טעה בדבר משנה אינו חוזר! לא, דכ"ע - טעה בדבר משנה חוזר, והכא בהא קמיפלגי, מר סבר: הלכה כר"ע מחבירו ולא מרבו, ומר סבר: הלכה אפי' מרבו. ואיבעית אימא: דכ"ע - הלכה כר"ע מחבירו ולא מרבו, והכא בהא קמיפלגי, מר סבר: רבי טרפון רבו הוה, ומ"ס: חבירו הוה. ואיבעית אימא: דכולי עלמא - חבירו הוה, והכא בהא קמיפלגי, מר סבר: הלכה איתמר, ומר סבר: מטין איתמר. קריביה דר' יוחנן תפוס פרה דיתמי מסימטא, אתו לקמיה דר' יוחנן, אמר להו: שפיר תפסתוה. אתו לקמיה דרבי שמעון בן לקיש, אמר להו: זילו אהדור. אתו לקמיה דרבי יוחנן, אמר להו: מה אעשה, שכנגדי חלוק עלי. </w:t>
      </w:r>
      <w:r w:rsidRPr="00197603">
        <w:rPr>
          <w:rStyle w:val="Style1Char"/>
          <w:color w:val="auto"/>
          <w:sz w:val="22"/>
          <w:szCs w:val="22"/>
          <w:rtl/>
        </w:rPr>
        <w:t xml:space="preserve">ההוא בקרא דיתמי דתפסי תורא מיניה, בע"ח אמר: מחיים תפיסנא ליה, ובקרא אמר: לאחר מיתה תפסיה, אתו לקמיה דרב נחמן, אמר ליה: אית לך סהדי </w:t>
      </w:r>
      <w:r w:rsidRPr="00197603">
        <w:rPr>
          <w:rStyle w:val="Style1Char"/>
          <w:color w:val="806000" w:themeColor="accent4" w:themeShade="80"/>
          <w:sz w:val="22"/>
          <w:szCs w:val="22"/>
          <w:rtl/>
        </w:rPr>
        <w:t xml:space="preserve">דלאחר מיתה </w:t>
      </w:r>
      <w:r w:rsidRPr="00873E1D">
        <w:rPr>
          <w:rStyle w:val="Style1Char"/>
          <w:color w:val="00B050"/>
          <w:rtl/>
        </w:rPr>
        <w:t>ד</w:t>
      </w:r>
      <w:r w:rsidRPr="00197603">
        <w:rPr>
          <w:rStyle w:val="Style1Char"/>
          <w:color w:val="auto"/>
          <w:sz w:val="22"/>
          <w:szCs w:val="22"/>
          <w:rtl/>
        </w:rPr>
        <w:t xml:space="preserve">תפסיה? </w:t>
      </w:r>
      <w:r w:rsidRPr="00E53B77">
        <w:rPr>
          <w:rStyle w:val="Style1Char"/>
          <w:color w:val="4472C4" w:themeColor="accent1"/>
          <w:rtl/>
        </w:rPr>
        <w:t xml:space="preserve">כך כתוב ברוב ספרים ור"י אומר שאין צריך לגרוס לאחר מיתה אלא אית לך סהדי דתפס אף על פי שאין העדים יודעין אם היתה התפיסה לאחר מיתה או מחיים. דכיון שראו שבע"כ נטלו ליכא השתא מגו דלא מצי למימר לקוח הוא בידי. ואפי' הוא טוען שלקחו מאבי היתומים כיון שראו עדים שנטלה בחזקה מן השומר תו לא מהימן לומר לקוח הוא בידי. ובלא מיגו לא מהימן למימר מחיים תפיסנא ליה דכל טענה שהוא טוען שבא לידו בלי דעת הבעל לאו טענה מעלייתא היא ולא מהימן עלה בלא מיגו. דאית ליה לאוקמא ממונא בחזקת מריה. </w:t>
      </w:r>
      <w:r w:rsidRPr="00DF3855">
        <w:rPr>
          <w:rStyle w:val="Style1Char"/>
          <w:color w:val="auto"/>
          <w:sz w:val="22"/>
          <w:szCs w:val="22"/>
          <w:rtl/>
        </w:rPr>
        <w:t xml:space="preserve">אמר ליה: לאו, </w:t>
      </w:r>
      <w:r w:rsidR="003B2493">
        <w:rPr>
          <w:rStyle w:val="Style1Char"/>
          <w:rFonts w:hint="cs"/>
          <w:rtl/>
        </w:rPr>
        <w:t>(</w:t>
      </w:r>
      <w:r w:rsidR="00A76285">
        <w:rPr>
          <w:rStyle w:val="Style1Char"/>
          <w:rFonts w:hint="cs"/>
          <w:rtl/>
        </w:rPr>
        <w:t>1.1, 3</w:t>
      </w:r>
      <w:r w:rsidR="003B2493">
        <w:rPr>
          <w:rStyle w:val="Style1Char"/>
          <w:rFonts w:hint="cs"/>
          <w:rtl/>
        </w:rPr>
        <w:t>)</w:t>
      </w:r>
      <w:r w:rsidRPr="00DF3855">
        <w:rPr>
          <w:rStyle w:val="Style1Char"/>
          <w:color w:val="auto"/>
          <w:sz w:val="22"/>
          <w:szCs w:val="22"/>
          <w:rtl/>
        </w:rPr>
        <w:t xml:space="preserve">אמר ליה: מגו דיכול למימר לקוח הוא בידי, יכול נמי למימר מחיים תפיסנא ליה. והאמר ר"ל: </w:t>
      </w:r>
      <w:r w:rsidR="003B2493">
        <w:rPr>
          <w:rStyle w:val="Style1Char"/>
          <w:rFonts w:hint="cs"/>
          <w:rtl/>
        </w:rPr>
        <w:t>(4)</w:t>
      </w:r>
      <w:r w:rsidRPr="00DF3855">
        <w:rPr>
          <w:rStyle w:val="Style1Char"/>
          <w:color w:val="auto"/>
          <w:sz w:val="22"/>
          <w:szCs w:val="22"/>
          <w:rtl/>
        </w:rPr>
        <w:t xml:space="preserve">הגודרות אין להן חזקה! שאני </w:t>
      </w:r>
      <w:r w:rsidRPr="00D2614D">
        <w:rPr>
          <w:rStyle w:val="Style1Char"/>
          <w:color w:val="00B050"/>
          <w:rtl/>
        </w:rPr>
        <w:t>תורא</w:t>
      </w:r>
      <w:r w:rsidRPr="00C671F7">
        <w:rPr>
          <w:rStyle w:val="Style1Char"/>
          <w:color w:val="C00000"/>
          <w:rtl/>
        </w:rPr>
        <w:t xml:space="preserve"> </w:t>
      </w:r>
      <w:r w:rsidRPr="00E53B77">
        <w:rPr>
          <w:rStyle w:val="Style1Char"/>
          <w:color w:val="4472C4" w:themeColor="accent1"/>
          <w:rtl/>
        </w:rPr>
        <w:t xml:space="preserve">הכא </w:t>
      </w:r>
      <w:r w:rsidRPr="00C671F7">
        <w:rPr>
          <w:rStyle w:val="Style1Char"/>
          <w:color w:val="C00000"/>
          <w:sz w:val="22"/>
          <w:szCs w:val="22"/>
          <w:rtl/>
        </w:rPr>
        <w:t>התם</w:t>
      </w:r>
      <w:r w:rsidRPr="00D2614D">
        <w:rPr>
          <w:rStyle w:val="Style1Char"/>
          <w:color w:val="00B050"/>
          <w:rtl/>
        </w:rPr>
        <w:t xml:space="preserve">, </w:t>
      </w:r>
      <w:r w:rsidRPr="00271ADD">
        <w:rPr>
          <w:rStyle w:val="Style1Char"/>
          <w:color w:val="auto"/>
          <w:sz w:val="22"/>
          <w:szCs w:val="22"/>
          <w:rtl/>
        </w:rPr>
        <w:t>דמסירה לרועה</w:t>
      </w:r>
      <w:r w:rsidRPr="001568E2">
        <w:rPr>
          <w:rStyle w:val="Style1Char"/>
          <w:color w:val="4472C4" w:themeColor="accent1"/>
          <w:rtl/>
        </w:rPr>
        <w:t xml:space="preserve"> </w:t>
      </w:r>
      <w:r w:rsidRPr="00E53B77">
        <w:rPr>
          <w:rStyle w:val="Style1Char"/>
          <w:color w:val="4472C4" w:themeColor="accent1"/>
          <w:rtl/>
        </w:rPr>
        <w:t>והאי בקרא לא הוי כעד אחד שקם לשבועה. לפי שבעל דבר הוא שחייב לשלם ליתומים. כדאמרי' בפ' השוכר (דף צג ב) דרועה חייב בלסטים שאינו מזויין שהיה לו להציל וכ"כ ר"ח ז"ל כיון דאודי בקרא דלאחר מיתה תפסיה ה"ל פושע בשמירתן וחייב לשלומי ליתמי מדיליה. והדין דינא לפום דינא דגמרא דלא משעבדי מטלטלי לבע"ח. אבל האידנא דמשעבדי לב"ח אי אית ליה לב"ח ראיה ברורה דיכול לפרוע ביה ההוא חוב מיתמי לא מחייב בקרא מידי ואי לית ליה לב"ח ראיה אלא שמחמת תפיסה הוא זוכה מיחייב בקרא לשלומי</w:t>
      </w:r>
      <w:r w:rsidRPr="00E53B77">
        <w:rPr>
          <w:rStyle w:val="Style1Char"/>
          <w:color w:val="4472C4" w:themeColor="accent1"/>
        </w:rPr>
        <w:t xml:space="preserve">: </w:t>
      </w:r>
    </w:p>
    <w:p w14:paraId="3C09C170" w14:textId="35A8A5F4" w:rsidR="00C369CA" w:rsidRDefault="00C369CA" w:rsidP="00C369CA">
      <w:pPr>
        <w:bidi/>
        <w:rPr>
          <w:rStyle w:val="Style1Char"/>
          <w:color w:val="00B050"/>
          <w:rtl/>
        </w:rPr>
      </w:pPr>
      <w:r w:rsidRPr="00C671F7">
        <w:rPr>
          <w:rStyle w:val="Style1Char"/>
          <w:sz w:val="22"/>
          <w:szCs w:val="22"/>
          <w:rtl/>
        </w:rPr>
        <w:t xml:space="preserve">. </w:t>
      </w:r>
      <w:r w:rsidRPr="00D2614D">
        <w:rPr>
          <w:rStyle w:val="Style1Char"/>
          <w:color w:val="00B050"/>
          <w:rtl/>
        </w:rPr>
        <w:t xml:space="preserve">דבי נשיאה תפוס אמתא דיתמי מסימטא, יתיב ר' אבהו ור' חנינא בר פפי ור' יצחק נפחא ויתיב רבי אבא גבייהו, אמר להו: שפיר תפסיתוה. אמר להו ר' אבא: משום דבי נשיאה נינהו מחנפיתו להו? והא דון דייני כר' טרפון, ואהדריה ריש לקיש עובדא מינייהו. יימר בר חשו הוה מסיק ביה זוזי בההוא גברא, שכיב ושביק ארבא, א"ל לשלוחיה: זיל תפסה ניהליה, אזל תפסה. פגעו ביה רב פפא ורב הונא ברי' דרב יהושע, אמרו ליה: את תופס לב"ח במקום שחב לאחרים, ואמר רבי יוחנן: </w:t>
      </w:r>
      <w:r w:rsidR="00A76285">
        <w:rPr>
          <w:rStyle w:val="Style1Char"/>
          <w:rFonts w:hint="cs"/>
          <w:rtl/>
        </w:rPr>
        <w:t>(5)</w:t>
      </w:r>
      <w:r w:rsidRPr="00D2614D">
        <w:rPr>
          <w:rStyle w:val="Style1Char"/>
          <w:color w:val="00B050"/>
          <w:rtl/>
        </w:rPr>
        <w:t xml:space="preserve">התופס לבע"ח במקום שחב לאחרים </w:t>
      </w:r>
      <w:r>
        <w:rPr>
          <w:rStyle w:val="Style1Char"/>
          <w:color w:val="00B050"/>
          <w:rtl/>
        </w:rPr>
        <w:t>–</w:t>
      </w:r>
      <w:r w:rsidRPr="00D2614D">
        <w:rPr>
          <w:rStyle w:val="Style1Char"/>
          <w:color w:val="00B050"/>
          <w:rtl/>
        </w:rPr>
        <w:t xml:space="preserve"> </w:t>
      </w:r>
    </w:p>
    <w:p w14:paraId="154F3042" w14:textId="23AC13FF" w:rsidR="00E37DC7" w:rsidRDefault="00E37DC7" w:rsidP="00E37DC7">
      <w:pPr>
        <w:pStyle w:val="Style1"/>
        <w:rPr>
          <w:rStyle w:val="Style1Char"/>
        </w:rPr>
      </w:pPr>
      <w:r>
        <w:rPr>
          <w:rStyle w:val="Style1Char"/>
          <w:rFonts w:hint="cs"/>
          <w:rtl/>
        </w:rPr>
        <w:t>1)[</w:t>
      </w:r>
      <w:r w:rsidRPr="00E37DC7">
        <w:rPr>
          <w:rStyle w:val="Style1Char"/>
          <w:rtl/>
        </w:rPr>
        <w:t>רמב</w:t>
      </w:r>
      <w:r w:rsidR="0057095E">
        <w:rPr>
          <w:rStyle w:val="Style1Char"/>
          <w:rtl/>
        </w:rPr>
        <w:t>”ם \משפטים\</w:t>
      </w:r>
      <w:r w:rsidRPr="00E37DC7">
        <w:rPr>
          <w:rStyle w:val="Style1Char"/>
          <w:rtl/>
        </w:rPr>
        <w:t xml:space="preserve"> הלכות מלוה ולוה פרק יא הלכה ח</w:t>
      </w:r>
      <w:r>
        <w:rPr>
          <w:rStyle w:val="Style1Char"/>
          <w:rFonts w:hint="cs"/>
          <w:rtl/>
        </w:rPr>
        <w:t xml:space="preserve">] </w:t>
      </w:r>
      <w:r w:rsidRPr="00E37DC7">
        <w:rPr>
          <w:rStyle w:val="Style1Char"/>
          <w:rtl/>
        </w:rPr>
        <w:t>מצוה על היתומין לפרוע חוב אביהן מן המטלטלין שהניח ואם לא רצה היורש ליתן אין כופין אותו ואם תפס ב"ח מחיים גובה מהן, טען שמחיים תפסן והיורש טען שאחר מיתה תפס על היורש להביא ראיה או ישבע המלוה שכך וכך הוא חייב לו ויכול לטעון עד כדי דמיהן וכולל בשבועתו שמחיים תפס, היו הדברים שתפס שטרות וטען שהן משכון בידו על חובו ושמחיים תפס על המלוה להביא ראיה שמחיים תפס, ואם לא הביא ראיה יחזיר ליורשים מפני שאינו טוען לקנות גופם אלא לראיה שבהן.</w:t>
      </w:r>
    </w:p>
    <w:p w14:paraId="5616F8D8" w14:textId="6B164F03" w:rsidR="00DB49AD" w:rsidRPr="00DB49AD" w:rsidRDefault="00DB49AD" w:rsidP="00DB49AD">
      <w:pPr>
        <w:pStyle w:val="Style1"/>
        <w:rPr>
          <w:rStyle w:val="Style1Char"/>
        </w:rPr>
      </w:pPr>
      <w:r>
        <w:rPr>
          <w:rStyle w:val="Style1Char"/>
          <w:rFonts w:hint="cs"/>
          <w:rtl/>
        </w:rPr>
        <w:t>1)[</w:t>
      </w:r>
      <w:r w:rsidRPr="00DB49AD">
        <w:rPr>
          <w:rStyle w:val="Style1Char"/>
          <w:rtl/>
        </w:rPr>
        <w:t>טור חושן משפט הלכות גביית חוב מהיתומים סימן קז</w:t>
      </w:r>
      <w:r>
        <w:rPr>
          <w:rStyle w:val="Style1Char"/>
          <w:rFonts w:hint="cs"/>
          <w:rtl/>
        </w:rPr>
        <w:t>]</w:t>
      </w:r>
    </w:p>
    <w:p w14:paraId="4A5548BD" w14:textId="77777777" w:rsidR="00DB49AD" w:rsidRPr="00DB49AD" w:rsidRDefault="00DB49AD" w:rsidP="00DB49AD">
      <w:pPr>
        <w:pStyle w:val="Style1"/>
        <w:rPr>
          <w:rStyle w:val="Style1Char"/>
        </w:rPr>
      </w:pPr>
      <w:r w:rsidRPr="00DB49AD">
        <w:rPr>
          <w:rStyle w:val="Style1Char"/>
          <w:rtl/>
        </w:rPr>
        <w:t>א הלכות גביית חוב מהיתומים:</w:t>
      </w:r>
    </w:p>
    <w:p w14:paraId="44D4656F" w14:textId="77777777" w:rsidR="00DB49AD" w:rsidRPr="00DB49AD" w:rsidRDefault="00DB49AD" w:rsidP="00DB49AD">
      <w:pPr>
        <w:pStyle w:val="Style1"/>
        <w:rPr>
          <w:rStyle w:val="Style1Char"/>
        </w:rPr>
      </w:pPr>
      <w:r w:rsidRPr="00DB49AD">
        <w:rPr>
          <w:rStyle w:val="Style1Char"/>
          <w:rtl/>
        </w:rPr>
        <w:t>מצוה על היתומים לפרוע חוב אביהן וכופין אותן בכך כמו שכופין את אביהן:</w:t>
      </w:r>
    </w:p>
    <w:p w14:paraId="234426F2" w14:textId="77777777" w:rsidR="00DB49AD" w:rsidRPr="00DB49AD" w:rsidRDefault="00DB49AD" w:rsidP="00DB49AD">
      <w:pPr>
        <w:pStyle w:val="Style1"/>
        <w:rPr>
          <w:rStyle w:val="Style1Char"/>
        </w:rPr>
      </w:pPr>
      <w:r w:rsidRPr="00DB49AD">
        <w:rPr>
          <w:rStyle w:val="Style1Char"/>
          <w:rtl/>
        </w:rPr>
        <w:t>ב בד"א שהניח להן אביהן אחריות נכסים שאז נשתעבדו אלו הנכסים בחיי אביהם אבל אם לא הניח להן אחריות נכסים מצוה עליהן לפרוע חובות אביהן משום כבוד אביהן:</w:t>
      </w:r>
    </w:p>
    <w:p w14:paraId="0896E0AB" w14:textId="77777777" w:rsidR="00DB49AD" w:rsidRPr="00DB49AD" w:rsidRDefault="00DB49AD" w:rsidP="00DB49AD">
      <w:pPr>
        <w:pStyle w:val="Style1"/>
        <w:rPr>
          <w:rStyle w:val="Style1Char"/>
        </w:rPr>
      </w:pPr>
      <w:r w:rsidRPr="00DB49AD">
        <w:rPr>
          <w:rStyle w:val="Style1Char"/>
          <w:rtl/>
        </w:rPr>
        <w:t>ג אבל אין כופין אותן דמטלטלי דיתמי לא משתעבדי לב"ח מן התורה אפילו הם מופקדים ביד המלוה או ביד אחרים וטעמא משום דמצות כיבוד היא מצות עשה שמתן שכרה בצדה וכל מצות עשה שמתן שכרה בצדה אין ב"ד שלמטה מוזהרין עליה אבל אם לא ירשו כלום מאביהן אין חייבין לפרוע חוב אביהן ואפילו מצוה נמי ליכא:</w:t>
      </w:r>
    </w:p>
    <w:p w14:paraId="1F35AFED" w14:textId="77777777" w:rsidR="00DB49AD" w:rsidRPr="00DB49AD" w:rsidRDefault="00DB49AD" w:rsidP="00DB49AD">
      <w:pPr>
        <w:pStyle w:val="Style1"/>
        <w:rPr>
          <w:rStyle w:val="Style1Char"/>
        </w:rPr>
      </w:pPr>
      <w:r w:rsidRPr="00DB49AD">
        <w:rPr>
          <w:rStyle w:val="Style1Char"/>
          <w:rtl/>
        </w:rPr>
        <w:t>ד טען היורש שאביו לא הניח לו ממון ואינו חייב לפרוע חוב אביו משלו כתב רב אלפס בתשובה אם טען המלוה וודאי שאביו הורישו ממון נשבע היורש היסת ונפטר ואם טוען שמא אין עליו אלא חרם סתם כדין כל הבא בטענת שמא אבל אין להשביע משום תקנת הגאונים שתקנו להשביע ללוה שלא תקנוהו אלא על הלוה בעצמו אבל לא תקנו על היורש:</w:t>
      </w:r>
    </w:p>
    <w:p w14:paraId="69AAEC97" w14:textId="77777777" w:rsidR="00DB49AD" w:rsidRPr="00DB49AD" w:rsidRDefault="00DB49AD" w:rsidP="00DB49AD">
      <w:pPr>
        <w:pStyle w:val="Style1"/>
        <w:rPr>
          <w:rStyle w:val="Style1Char"/>
        </w:rPr>
      </w:pPr>
      <w:r w:rsidRPr="00DB49AD">
        <w:rPr>
          <w:rStyle w:val="Style1Char"/>
          <w:rtl/>
        </w:rPr>
        <w:t>ה יורש שמכר כל הנכסים ודאי בע"ח טורף מהלקוחות אפילו אם יש ביד היורש נכסים משלהן לפי שהנכסים שלהן אינם משועבדים לחוב אביהן:</w:t>
      </w:r>
    </w:p>
    <w:p w14:paraId="5D43405C" w14:textId="77777777" w:rsidR="00DB49AD" w:rsidRPr="00DB49AD" w:rsidRDefault="00DB49AD" w:rsidP="00DB49AD">
      <w:pPr>
        <w:pStyle w:val="Style1"/>
        <w:rPr>
          <w:rStyle w:val="Style1Char"/>
        </w:rPr>
      </w:pPr>
      <w:r w:rsidRPr="00DB49AD">
        <w:rPr>
          <w:rStyle w:val="Style1Char"/>
          <w:rtl/>
        </w:rPr>
        <w:t>ו ואם היורש רוצה לסלק המלוה במעות יכול לסלקו מהנכסים שמכר אף על פי שלא ירש המעות מאביו אלא אם כן עשה אביו נכסים אלו אפותיקי מפורש לבע"ח אבל אם אין ליורש משל עצמו לא מטלטלי ולא מעות אלא קרקע ורוצה ליתן למלוה כדי לסלקו מן הלקוחות יכול המלוה לומר איני רוצה אלא בנכסים שהניח אביך שהם משועבדים לי ואפילו הם פחותים מנכסי היורש שאין מכריחין לאדם ליטול נכסים שאינו חפץ בהן ולא היה שיעבודו עליהם:</w:t>
      </w:r>
    </w:p>
    <w:p w14:paraId="7808EBA6" w14:textId="6B570367" w:rsidR="00DB49AD" w:rsidRPr="00DB49AD" w:rsidRDefault="00DB49AD" w:rsidP="00DB49AD">
      <w:pPr>
        <w:pStyle w:val="Style1"/>
        <w:rPr>
          <w:rStyle w:val="Style1Char"/>
        </w:rPr>
      </w:pPr>
      <w:r w:rsidRPr="00DB49AD">
        <w:rPr>
          <w:rStyle w:val="Style1Char"/>
          <w:rtl/>
        </w:rPr>
        <w:t>ז ואם אין בעל חוב יכול לטרוף מהלקוחות כגון שמכרם לעכו"ם או מלוה על פה או מלוה בשטר ולא שיעבד לו מטלטלי אגב מקרקעי לדברי רב האי גאון שפירש בההוא דיתומים שקדמו ומכרו בנכסים מועטים מה שמכרו מכרו דבתר דתקינו מזוני ממטלטלי דיתמי חייבים לזונם מן הדמים הכא נמי כיון דבעל חוב גבי ממטלטלי דיתמי גבי נמי מהדמים וא"א הרא"ש ז"ל תמה על דברי רב האי וכתב כיון דהני זוזי לא אישתעבדו אבנות אלא שעבודייהו אניכסי אבוהון וכיון שמכרו ואין יכולין לטרוף הפסידו מזונותיהם</w:t>
      </w:r>
      <w:r>
        <w:rPr>
          <w:rStyle w:val="Style1Char"/>
          <w:rFonts w:hint="cs"/>
          <w:rtl/>
        </w:rPr>
        <w:t xml:space="preserve"> </w:t>
      </w:r>
      <w:r w:rsidRPr="00DB49AD">
        <w:rPr>
          <w:rStyle w:val="Style1Char"/>
          <w:rtl/>
        </w:rPr>
        <w:t>למה הדבר דומה למלוה ע"פ שיצא על היתומים ומכרו הנכסים שאין ב"ח גובה מן המעות שבידם ולאו הני זוזי שבק אבוהון ע"כ נמצא לפי דבריו אין ב"ח גובה מהמעות שבידם ונ"ל שאם מכרו קרקע שחייבין לשלם ולא מטעם חוב אביהן אלא מטעם מזיק שיעבודו של חבירו דקי"ל שהוא חייב ואין לך מזיק גדול מזה שהכניסו למקום שאינו יכול לגבותו:</w:t>
      </w:r>
    </w:p>
    <w:p w14:paraId="09454488" w14:textId="77777777" w:rsidR="00DB49AD" w:rsidRPr="00DB49AD" w:rsidRDefault="00DB49AD" w:rsidP="00DB49AD">
      <w:pPr>
        <w:pStyle w:val="Style1"/>
        <w:rPr>
          <w:rStyle w:val="Style1Char"/>
        </w:rPr>
      </w:pPr>
      <w:r w:rsidRPr="00DB49AD">
        <w:rPr>
          <w:rStyle w:val="Style1Char"/>
          <w:rtl/>
        </w:rPr>
        <w:t>ח ואם ימכרו מטלטלין אין חייבין לשלם שאין שיעבוד ב"ח על המטלטלין אף על פי שתקנו הגאונים לגבות ממטלטלי דיתמי היינו דוקא בעוד שהם בידם אבל אם מכרו נוקמיה אדאורייתא ואין חייבין לשלם ומיהו א"א הרא"ש ז"ל כתב בתשובה שאף אם מכרו קרקע אין חייבין לשלם שאפילו מזיק שיעבודו של חבירו ליכא כי לא קלקלו גוף הקרקע כלום עד כאן אף על פי שנראה לחלק כמו שכתבתי איני משיב על דבריו:</w:t>
      </w:r>
    </w:p>
    <w:p w14:paraId="4162C762" w14:textId="77777777" w:rsidR="00DB49AD" w:rsidRPr="00DB49AD" w:rsidRDefault="00DB49AD" w:rsidP="00DB49AD">
      <w:pPr>
        <w:pStyle w:val="Style1"/>
        <w:rPr>
          <w:rStyle w:val="Style1Char"/>
        </w:rPr>
      </w:pPr>
      <w:r w:rsidRPr="00DB49AD">
        <w:rPr>
          <w:rStyle w:val="Style1Char"/>
          <w:rtl/>
        </w:rPr>
        <w:lastRenderedPageBreak/>
        <w:t>ט גבו קרקע בחובת אביהן אותו הקרקע משועבד לב"ח של אביהם כאילו היה גבוי כבר בחיי אביהן:</w:t>
      </w:r>
    </w:p>
    <w:p w14:paraId="0587DA5D" w14:textId="77777777" w:rsidR="00DB49AD" w:rsidRPr="00DB49AD" w:rsidRDefault="00DB49AD" w:rsidP="00DB49AD">
      <w:pPr>
        <w:pStyle w:val="Style1"/>
        <w:rPr>
          <w:rStyle w:val="Style1Char"/>
        </w:rPr>
      </w:pPr>
      <w:r w:rsidRPr="00DB49AD">
        <w:rPr>
          <w:rStyle w:val="Style1Char"/>
          <w:rtl/>
        </w:rPr>
        <w:t>י תפש המלוה מטלטלים מחיים גובה מהם:</w:t>
      </w:r>
    </w:p>
    <w:p w14:paraId="47D0DA81" w14:textId="64159FE8" w:rsidR="00DB49AD" w:rsidRPr="00DB49AD" w:rsidRDefault="00DB49AD" w:rsidP="00DB49AD">
      <w:pPr>
        <w:pStyle w:val="Style1"/>
        <w:rPr>
          <w:rStyle w:val="Style1Char"/>
        </w:rPr>
      </w:pPr>
      <w:r w:rsidRPr="00DB49AD">
        <w:rPr>
          <w:rStyle w:val="Style1Char"/>
          <w:rtl/>
        </w:rPr>
        <w:t>יא טען המלוה שמחיים תפשן והיורש טען שלאחר מיתה תפשן על היורש להביא ראיה או ישבע המלוה שכך וכך הוא חייב לו ויכול לטעון עד כדי דמיהן</w:t>
      </w:r>
      <w:r w:rsidR="006E05C6">
        <w:rPr>
          <w:rStyle w:val="Style1Char"/>
          <w:rFonts w:hint="cs"/>
          <w:rtl/>
        </w:rPr>
        <w:t xml:space="preserve"> </w:t>
      </w:r>
      <w:r w:rsidRPr="00DB49AD">
        <w:rPr>
          <w:rStyle w:val="Style1Char"/>
          <w:rtl/>
        </w:rPr>
        <w:t>וכולל בשבועתו שמחיים תפשן:</w:t>
      </w:r>
    </w:p>
    <w:p w14:paraId="325B73F6" w14:textId="77777777" w:rsidR="00DB49AD" w:rsidRPr="00DB49AD" w:rsidRDefault="00DB49AD" w:rsidP="00DB49AD">
      <w:pPr>
        <w:pStyle w:val="Style1"/>
        <w:rPr>
          <w:rStyle w:val="Style1Char"/>
        </w:rPr>
      </w:pPr>
      <w:r w:rsidRPr="00DB49AD">
        <w:rPr>
          <w:rStyle w:val="Style1Char"/>
          <w:rtl/>
        </w:rPr>
        <w:t>יב ואם תפס משטרי חובות של הלוה שהיו לו על אחרים ואומר שמחיים תפשן כתבתי למעלה בסימן ס"ד:</w:t>
      </w:r>
    </w:p>
    <w:p w14:paraId="797C69D3" w14:textId="77777777" w:rsidR="00DB49AD" w:rsidRPr="00DB49AD" w:rsidRDefault="00DB49AD" w:rsidP="00DB49AD">
      <w:pPr>
        <w:pStyle w:val="Style1"/>
        <w:rPr>
          <w:rStyle w:val="Style1Char"/>
        </w:rPr>
      </w:pPr>
      <w:r w:rsidRPr="00DB49AD">
        <w:rPr>
          <w:rStyle w:val="Style1Char"/>
          <w:rtl/>
        </w:rPr>
        <w:t>יג כתב א"א הרא"ש ז"ל האידנא שתקנו הגאונים לגבות מטלטלי דיתמי כל שיעבוד וסמך המלוה על מטלטלי כמו על מקרקעי כופין אף במטלטלי וכן עמא דבר עד כאן וכ"כ הרמב"ם כבר תקנו הגאונים האחרונים שיהא בעל חוב גובה מהיתומים ממטלטלי שירשו מאביהן וכן דנין ישראל בכל בתי דינים שבעולם:</w:t>
      </w:r>
    </w:p>
    <w:p w14:paraId="34F4AC1A" w14:textId="3A98E3A4" w:rsidR="00DB49AD" w:rsidRPr="00DB49AD" w:rsidRDefault="00DB49AD" w:rsidP="00DB49AD">
      <w:pPr>
        <w:pStyle w:val="Style1"/>
        <w:rPr>
          <w:rStyle w:val="Style1Char"/>
        </w:rPr>
      </w:pPr>
      <w:r w:rsidRPr="00DB49AD">
        <w:rPr>
          <w:rStyle w:val="Style1Char"/>
          <w:rtl/>
        </w:rPr>
        <w:t>יד ובמערב כותבין בשטר חוב שיש לו לגבות מהמטלטלין ומן המקרקעי בחייו ובמותו ונמצא גובה בשביל התנאי י</w:t>
      </w:r>
      <w:r w:rsidR="006E05C6">
        <w:rPr>
          <w:rStyle w:val="Style1Char"/>
          <w:rFonts w:hint="cs"/>
          <w:rtl/>
        </w:rPr>
        <w:t>ת</w:t>
      </w:r>
      <w:r w:rsidRPr="00DB49AD">
        <w:rPr>
          <w:rStyle w:val="Style1Char"/>
          <w:rtl/>
        </w:rPr>
        <w:t>ר על התקנה וסייג גדול הוא בדבר שמא לא ידע הלוה בתקנה ונמצא גובה ממון של יתומים שלא כדין שאין כח בתקנת אחרונים לחייב בהן יתומים ע"כ:</w:t>
      </w:r>
    </w:p>
    <w:p w14:paraId="297B4361" w14:textId="77777777" w:rsidR="00DB49AD" w:rsidRPr="00DB49AD" w:rsidRDefault="00DB49AD" w:rsidP="00DB49AD">
      <w:pPr>
        <w:pStyle w:val="Style1"/>
        <w:rPr>
          <w:rStyle w:val="Style1Char"/>
        </w:rPr>
      </w:pPr>
      <w:r w:rsidRPr="00DB49AD">
        <w:rPr>
          <w:rStyle w:val="Style1Char"/>
          <w:rtl/>
        </w:rPr>
        <w:t>טו וי"א שתקנת הגאונים לא היתה אלא במלוה בשטר אבל במלוה על פה לא תיקנו שאין בו משום נעילת דלת דלא שכיח ולכך לא תקנו בה שיגבו מטלטלין שירשו מאביהן דאוקמוה אדאורייתא ולא נהגו כן אלא אף במלוה על פה גובין מהן ואפי' קנאם הלוה אחר שלוה ולא כתב דאיקני דיורש במקום אביו קאי:</w:t>
      </w:r>
    </w:p>
    <w:p w14:paraId="78D4A339" w14:textId="77777777" w:rsidR="00DB49AD" w:rsidRPr="00DB49AD" w:rsidRDefault="00DB49AD" w:rsidP="00DB49AD">
      <w:pPr>
        <w:pStyle w:val="Style1"/>
        <w:rPr>
          <w:rStyle w:val="Style1Char"/>
        </w:rPr>
      </w:pPr>
      <w:r w:rsidRPr="00DB49AD">
        <w:rPr>
          <w:rStyle w:val="Style1Char"/>
          <w:rtl/>
        </w:rPr>
        <w:t>טז וכן גובין ממלוה שהיה לאביו ביד אחרים בין אם גבו קרקע או מעות:</w:t>
      </w:r>
    </w:p>
    <w:p w14:paraId="1086AA63" w14:textId="77777777" w:rsidR="00DB49AD" w:rsidRPr="00DB49AD" w:rsidRDefault="00DB49AD" w:rsidP="00DB49AD">
      <w:pPr>
        <w:pStyle w:val="Style1"/>
        <w:rPr>
          <w:rStyle w:val="Style1Char"/>
        </w:rPr>
      </w:pPr>
      <w:r w:rsidRPr="00DB49AD">
        <w:rPr>
          <w:rStyle w:val="Style1Char"/>
          <w:rtl/>
        </w:rPr>
        <w:t>יז ואם ירשו קרקע ומטלטלין ואינו מפורש בשטר שיגבה ממטלטלין בין בחייו בין במותו והיתומים רוצין שיגבה ממקרקעי ולא ממטלטלי שומעין להן שלא תיקנו להכריחם ממטלטלי אלא כשאין להם קרקע אבל כשיש להם קרקע דינו במקומו עומד שמטלטלין שלהם אינם משועבדים לב"ח:</w:t>
      </w:r>
    </w:p>
    <w:p w14:paraId="19434201" w14:textId="77777777" w:rsidR="00DB49AD" w:rsidRPr="00DB49AD" w:rsidRDefault="00DB49AD" w:rsidP="00DB49AD">
      <w:pPr>
        <w:pStyle w:val="Style1"/>
        <w:rPr>
          <w:rStyle w:val="Style1Char"/>
        </w:rPr>
      </w:pPr>
      <w:r w:rsidRPr="00DB49AD">
        <w:rPr>
          <w:rStyle w:val="Style1Char"/>
          <w:rtl/>
        </w:rPr>
        <w:t>יח היה על אביהם חוב של מנה והניח קרקע שוה נ' זוז ומת ובא ב"ח וטרפו ונתנו לו היורשים נ' זוז סתם ולקחוה ממנו יכול לחזור ולטרפו בשביל נ' זוז הנשארים אלא א"כ פירשו אלו החמשים זוז שאני נותנים לך הן בשביל הקרקע ששוו נ' זוז:</w:t>
      </w:r>
    </w:p>
    <w:p w14:paraId="4447D005" w14:textId="77777777" w:rsidR="00DB49AD" w:rsidRPr="00DB49AD" w:rsidRDefault="00DB49AD" w:rsidP="00DB49AD">
      <w:pPr>
        <w:pStyle w:val="Style1"/>
        <w:rPr>
          <w:rStyle w:val="Style1Char"/>
        </w:rPr>
      </w:pPr>
      <w:r w:rsidRPr="00DB49AD">
        <w:rPr>
          <w:rStyle w:val="Style1Char"/>
          <w:rtl/>
        </w:rPr>
        <w:t>יט ירשו האחים קרקעות מאביהן וחלקום ובא הב"ח לטרוף אם לא ירשו אלא שני שדות ולקח כל אחד שדה אחת אינן יכולין לומר לבעל חוב קח מכל אחד חצי שדה שהן במקום אביהן:</w:t>
      </w:r>
    </w:p>
    <w:p w14:paraId="12041760" w14:textId="77777777" w:rsidR="00DB49AD" w:rsidRPr="00DB49AD" w:rsidRDefault="00DB49AD" w:rsidP="00DB49AD">
      <w:pPr>
        <w:pStyle w:val="Style1"/>
        <w:rPr>
          <w:rStyle w:val="Style1Char"/>
        </w:rPr>
      </w:pPr>
      <w:r w:rsidRPr="00DB49AD">
        <w:rPr>
          <w:rStyle w:val="Style1Char"/>
          <w:rtl/>
        </w:rPr>
        <w:t>כ ואילו היה אביהן קיים ואומר טול מכל אחד ואחד שבשדותי חלק חובך משדה זה וחלק חובך משדה זה אין שומעין לו אלא ב"ד מגבין לו כל חובו משדה אחת כך כשבא לגבות שדה מהיתומים נוטל שדה אחת מאיזה מהן שירצה אבל אם ירשו ד' שדות וחובו כנגד ב' שדות אינו יכול לומר אקח מאחד שני שדות אלא יקח מכל אחד שדה אחת כיון שיכול ליקח מכל אחד שדה שלמה צריך ליטול מכל אחד ואחד שדה אחת ואם עשאם לו אפותיקי אז ודאי יגבה הכל מאחד מהם לא מיבעיא אם עשאם אפותיקי מפורש שאמר לא יהא לך פרעון אלא מזו שנוטל מאחד הכל אלא אפילו לא עשאו לו אפותיקי מפורש אלא שיעבד כל נכסיו לו וסיים לו קרקע אחד במצריו להיותה תחילה לפרעון אם ירצה גובה הכל מאחד והאידנא דשקיל בעל חוב מהיתומים כתקנת הגאונים אי יהבינן לו מעות או מטלטלי שקיל מכל אחד ואחד כפי מנתיה דיליה:</w:t>
      </w:r>
    </w:p>
    <w:p w14:paraId="42018342" w14:textId="77777777" w:rsidR="00DB49AD" w:rsidRPr="00DB49AD" w:rsidRDefault="00DB49AD" w:rsidP="00DB49AD">
      <w:pPr>
        <w:pStyle w:val="Style1"/>
        <w:rPr>
          <w:rStyle w:val="Style1Char"/>
        </w:rPr>
      </w:pPr>
      <w:r w:rsidRPr="00DB49AD">
        <w:rPr>
          <w:rStyle w:val="Style1Char"/>
          <w:rtl/>
        </w:rPr>
        <w:t>כא בד"א שכולם מצויין לפנינו אבל אם אין כולם מצויין לפנינו א"צ לחזור אחריהם אלא יקח כל חובו מאותו שלפנינו והוא יחזר אחר האחרים:</w:t>
      </w:r>
    </w:p>
    <w:p w14:paraId="4F155C75" w14:textId="77777777" w:rsidR="00DB49AD" w:rsidRPr="00DB49AD" w:rsidRDefault="00DB49AD" w:rsidP="00DB49AD">
      <w:pPr>
        <w:pStyle w:val="Style1"/>
        <w:rPr>
          <w:rStyle w:val="Style1Char"/>
        </w:rPr>
      </w:pPr>
      <w:r w:rsidRPr="00DB49AD">
        <w:rPr>
          <w:rStyle w:val="Style1Char"/>
          <w:rtl/>
        </w:rPr>
        <w:t>כב ירשו קרקעות וחלקום ומכר אחד מהם חלקו או נתנו במתנה ובא בעל חוב אביהם לטרוף מהלוקח שקנה מהיורש ואומר הנחתי לך בני חורין ביד היורש הא' לגבות מהם כתב א"א הרא"ש ז"ל בתשובה שהדין עם הבעל חוב:</w:t>
      </w:r>
    </w:p>
    <w:p w14:paraId="6E986842" w14:textId="45EFA719" w:rsidR="00DB49AD" w:rsidRDefault="00DB49AD" w:rsidP="00DB49AD">
      <w:pPr>
        <w:pStyle w:val="Style1"/>
        <w:rPr>
          <w:rStyle w:val="Style1Char"/>
          <w:rtl/>
        </w:rPr>
      </w:pPr>
      <w:r w:rsidRPr="00DB49AD">
        <w:rPr>
          <w:rStyle w:val="Style1Char"/>
          <w:rtl/>
        </w:rPr>
        <w:t>כג דלא אמרינן אין גובה מנכסים משועבדים במקום שיש בני חורין אלא כששיעבד הלוה נכסיו אבל גבי היורש או לוקח ששיעבדו לא אמרינן הכי הילכך יטול חצי החוב מהלוקח וחצי החוב מהיורש:</w:t>
      </w:r>
    </w:p>
    <w:p w14:paraId="15EA3610" w14:textId="2D4EBD83" w:rsidR="003B2493" w:rsidRDefault="003B2493" w:rsidP="003B2493">
      <w:pPr>
        <w:pStyle w:val="Style1"/>
        <w:rPr>
          <w:rStyle w:val="Style1Char"/>
          <w:rtl/>
        </w:rPr>
      </w:pPr>
      <w:r>
        <w:rPr>
          <w:rStyle w:val="Style1Char"/>
          <w:rFonts w:hint="cs"/>
          <w:rtl/>
        </w:rPr>
        <w:t>2)[</w:t>
      </w:r>
      <w:r w:rsidRPr="003B2493">
        <w:rPr>
          <w:rStyle w:val="Style1Char"/>
          <w:rtl/>
        </w:rPr>
        <w:t>רמב</w:t>
      </w:r>
      <w:r w:rsidR="005258D6">
        <w:rPr>
          <w:rStyle w:val="Style1Char"/>
          <w:rtl/>
        </w:rPr>
        <w:t>”</w:t>
      </w:r>
      <w:r w:rsidRPr="003B2493">
        <w:rPr>
          <w:rStyle w:val="Style1Char"/>
          <w:rtl/>
        </w:rPr>
        <w:t>ם</w:t>
      </w:r>
      <w:r w:rsidR="005258D6">
        <w:rPr>
          <w:rStyle w:val="Style1Char"/>
          <w:rtl/>
        </w:rPr>
        <w:t xml:space="preserve">\שופטים\ </w:t>
      </w:r>
      <w:r w:rsidRPr="003B2493">
        <w:rPr>
          <w:rStyle w:val="Style1Char"/>
          <w:rtl/>
        </w:rPr>
        <w:t xml:space="preserve"> הלכות סנהדרין פרק ו הלכה א</w:t>
      </w:r>
      <w:r>
        <w:rPr>
          <w:rStyle w:val="Style1Char"/>
          <w:rFonts w:hint="cs"/>
          <w:rtl/>
        </w:rPr>
        <w:t xml:space="preserve">] </w:t>
      </w:r>
      <w:r w:rsidRPr="003B2493">
        <w:rPr>
          <w:rStyle w:val="Style1Char"/>
          <w:rtl/>
        </w:rPr>
        <w:t>כל דיין שדן דיני ממונות וטעה אם טעה בדברים הגלויים והידועים כגון דינין המפורשין במשנה או בגמרא חוזר הדין ומחזירין הדבר כשהיה ודנין בו כהלכה, ואם אי אפשר להחזיר כגון שהלך זה שנטל הממון שלא כדין למדינת הים, או שהיה אלם או שטמא דבר טהור או שהורה בכשרה שהיא טריפה והאכילה לכלבים וכיוצא בזה הרי זה פטור מלשלם, אף על פי שגרם להזיק לא נתכוון להזיק.</w:t>
      </w:r>
    </w:p>
    <w:p w14:paraId="5C2EEBAA" w14:textId="64553C94" w:rsidR="003B2493" w:rsidRPr="003B2493" w:rsidRDefault="003B2493" w:rsidP="003B2493">
      <w:pPr>
        <w:pStyle w:val="Style1"/>
      </w:pPr>
      <w:r>
        <w:rPr>
          <w:rStyle w:val="Style1Char"/>
          <w:rFonts w:hint="cs"/>
          <w:rtl/>
        </w:rPr>
        <w:t>2)[</w:t>
      </w:r>
      <w:r w:rsidRPr="003B2493">
        <w:rPr>
          <w:rStyle w:val="Style1Char"/>
          <w:rtl/>
        </w:rPr>
        <w:t>שולחן ערוך חושן משפט הלכות דיינים סימן כה סעיף א</w:t>
      </w:r>
      <w:r>
        <w:rPr>
          <w:rStyle w:val="Style1Char"/>
          <w:rFonts w:hint="cs"/>
          <w:rtl/>
        </w:rPr>
        <w:t xml:space="preserve">] </w:t>
      </w:r>
      <w:r w:rsidRPr="003B2493">
        <w:rPr>
          <w:rtl/>
        </w:rPr>
        <w:t>כל דיין שדן דיני ממונות וטעה אם טעה בדברים הגלויים והידועים כגון דינים המפורשים במשנה או בגמרא או בדברי הפוסקים חוזר הדין ודנין אותו כהלכה</w:t>
      </w:r>
      <w:r w:rsidRPr="003B2493">
        <w:t>:</w:t>
      </w:r>
    </w:p>
    <w:p w14:paraId="0F13B539" w14:textId="77777777" w:rsidR="003B2493" w:rsidRPr="003B2493" w:rsidRDefault="003B2493" w:rsidP="003B2493">
      <w:pPr>
        <w:pStyle w:val="Style1"/>
      </w:pPr>
      <w:r w:rsidRPr="003B2493">
        <w:rPr>
          <w:rFonts w:hint="cs"/>
          <w:rtl/>
        </w:rPr>
        <w:t>הגה: מיהו י"א דאם נראה לדיין ולבני דורו מכח ראיות מוכרחות שאין הדין כמו שהוזכר בפוסקים יכול לחלוק עליו מאחר שאינו נזכר בגמרא (טור בשם הרא"ש) מ"מ אין להקל בדבר שהחמירו בו החבורים שנתפשטו ברוב ישראל אם לא שקבל מרבותיו שאין נוהגין כאותה חומרא</w:t>
      </w:r>
      <w:r w:rsidRPr="003B2493">
        <w:rPr>
          <w:rFonts w:hint="cs"/>
        </w:rPr>
        <w:t xml:space="preserve"> (</w:t>
      </w:r>
      <w:hyperlink r:id="rId212" w:tooltip="תרומת הדשן/ב/רמא" w:history="1">
        <w:r w:rsidRPr="003B2493">
          <w:rPr>
            <w:rStyle w:val="Hyperlink"/>
            <w:rFonts w:hint="cs"/>
            <w:color w:val="7030A0"/>
            <w:u w:val="none"/>
            <w:rtl/>
          </w:rPr>
          <w:t>פסקי מהרא"י סי' רמ"א</w:t>
        </w:r>
      </w:hyperlink>
      <w:r w:rsidRPr="003B2493">
        <w:rPr>
          <w:rFonts w:hint="cs"/>
        </w:rPr>
        <w:t>)</w:t>
      </w:r>
      <w:r w:rsidRPr="003B2493">
        <w:t>:</w:t>
      </w:r>
    </w:p>
    <w:p w14:paraId="021C04BB" w14:textId="77777777" w:rsidR="003B2493" w:rsidRPr="003B2493" w:rsidRDefault="003B2493" w:rsidP="003B2493">
      <w:pPr>
        <w:pStyle w:val="Style1"/>
      </w:pPr>
      <w:r w:rsidRPr="003B2493">
        <w:rPr>
          <w:rtl/>
        </w:rPr>
        <w:t>ואם א"א לחזור כגון שהלך זה שנטל הממון שלא כדין למדינת הים או שהוא אלם או שטימא דבר הטהור או שהורה בכשרה שהיא טרפה והאכילוה לכלבים וכיוצא בזה הרי זה פטור מלשלם אע"פ שגרם להזיק לא נתכוין להזיק</w:t>
      </w:r>
      <w:r w:rsidRPr="003B2493">
        <w:t>:</w:t>
      </w:r>
    </w:p>
    <w:p w14:paraId="07EE362E" w14:textId="21F364FF" w:rsidR="003B2493" w:rsidRDefault="003B2493" w:rsidP="003B2493">
      <w:pPr>
        <w:pStyle w:val="Style1"/>
        <w:rPr>
          <w:rtl/>
        </w:rPr>
      </w:pPr>
      <w:r w:rsidRPr="003B2493">
        <w:rPr>
          <w:rFonts w:hint="cs"/>
          <w:rtl/>
        </w:rPr>
        <w:t>הגה: ויש חולקין (טור בשם הרא"ש ועוד פוסקים ע' ס"ק אות ה' ב'). ולענין הוראות איסור והיתר אם הגיע להוראה אע"פ שאינו סמוך דינו כמומחה (נ"י ר"פ אד"מ) ועיין </w:t>
      </w:r>
      <w:hyperlink r:id="rId213" w:tooltip="שולחן ערוך יורה דעה רמב" w:history="1">
        <w:r w:rsidRPr="003B2493">
          <w:rPr>
            <w:rStyle w:val="Hyperlink"/>
            <w:rFonts w:hint="cs"/>
            <w:color w:val="7030A0"/>
            <w:u w:val="none"/>
            <w:rtl/>
          </w:rPr>
          <w:t>ביורה דעה סי' רמ"ב</w:t>
        </w:r>
      </w:hyperlink>
      <w:r w:rsidRPr="003B2493">
        <w:rPr>
          <w:rFonts w:hint="cs"/>
        </w:rPr>
        <w:t> </w:t>
      </w:r>
      <w:r w:rsidRPr="003B2493">
        <w:rPr>
          <w:rFonts w:hint="cs"/>
          <w:rtl/>
        </w:rPr>
        <w:t>מדין הסמיכות בזמן הזה</w:t>
      </w:r>
      <w:r w:rsidRPr="003B2493">
        <w:t>:</w:t>
      </w:r>
    </w:p>
    <w:p w14:paraId="11765EEF" w14:textId="4476B6D2" w:rsidR="00A76285" w:rsidRDefault="00A76285" w:rsidP="00A76285">
      <w:pPr>
        <w:pStyle w:val="Style1"/>
        <w:rPr>
          <w:rtl/>
        </w:rPr>
      </w:pPr>
      <w:r>
        <w:rPr>
          <w:rFonts w:hint="cs"/>
          <w:rtl/>
        </w:rPr>
        <w:t>3)[</w:t>
      </w:r>
      <w:r>
        <w:rPr>
          <w:rtl/>
        </w:rPr>
        <w:t>רמב</w:t>
      </w:r>
      <w:r w:rsidR="0057095E">
        <w:rPr>
          <w:rtl/>
        </w:rPr>
        <w:t>”ם \משפטים\</w:t>
      </w:r>
      <w:r>
        <w:rPr>
          <w:rtl/>
        </w:rPr>
        <w:t xml:space="preserve"> הלכות מלוה ולוה פרק יא הלכה ח</w:t>
      </w:r>
      <w:r>
        <w:rPr>
          <w:rFonts w:hint="cs"/>
          <w:rtl/>
        </w:rPr>
        <w:t xml:space="preserve">] </w:t>
      </w:r>
      <w:r>
        <w:rPr>
          <w:rtl/>
        </w:rPr>
        <w:t>מצוה על היתומין לפרוע חוב אביהן מן המטלטלין שהניח ואם לא רצה היורש ליתן אין כופין אותו ואם תפס ב"ח מחיים גובה מהן, טען שמחיים תפסן והיורש טען שאחר מיתה תפס על היורש להביא ראיה או ישבע המלוה שכך וכך הוא חייב לו ויכול לטעון עד כדי דמיהן וכולל בשבועתו שמחיים תפס, היו הדברים שתפס שטרות וטען שהן משכון בידו על חובו ושמחיים תפס על המלוה להביא ראיה שמחיים תפס, ואם לא הביא ראיה יחזיר ליורשים מפני שאינו טוען לקנות גופם אלא לראיה שבהן.</w:t>
      </w:r>
    </w:p>
    <w:p w14:paraId="29326DC3" w14:textId="3755B7B8" w:rsidR="00FF368D" w:rsidRDefault="00FF368D" w:rsidP="00FF368D">
      <w:pPr>
        <w:pStyle w:val="Style1"/>
        <w:rPr>
          <w:rtl/>
        </w:rPr>
      </w:pPr>
      <w:r>
        <w:rPr>
          <w:rFonts w:hint="cs"/>
          <w:rtl/>
        </w:rPr>
        <w:t>4)[</w:t>
      </w:r>
      <w:r>
        <w:rPr>
          <w:rtl/>
        </w:rPr>
        <w:t>רמב</w:t>
      </w:r>
      <w:r w:rsidR="0057095E">
        <w:rPr>
          <w:rtl/>
        </w:rPr>
        <w:t>”ם \משפטים\</w:t>
      </w:r>
      <w:r>
        <w:rPr>
          <w:rtl/>
        </w:rPr>
        <w:t xml:space="preserve"> הלכות טוען ונטען פרק י הלכה א</w:t>
      </w:r>
      <w:r>
        <w:rPr>
          <w:rFonts w:hint="cs"/>
          <w:rtl/>
        </w:rPr>
        <w:t xml:space="preserve">] </w:t>
      </w:r>
      <w:r>
        <w:rPr>
          <w:rtl/>
        </w:rPr>
        <w:t>בהמה או חיה שאינה שמורה אלא מהלכת בכל מקום ורועה, אינה בחזקת זה שתפסה מאחר שהיא ידועה לבעלים, כיצד הביא התובע עדים שהבהמה הזאת ידועה לו וזה התופס טוען אתה נתתה לי אתה מכרתה לי אינו נאמן, שאין היותה תחת ידו ראיה שהרי היא הלכה מעצמה ונכנסה ברשותו, לפיכך אם לא הביא ראיה תחזור הבהמה לבעליה וישבע היסת על טענה זו.</w:t>
      </w:r>
    </w:p>
    <w:p w14:paraId="24C13EF2" w14:textId="43A30745" w:rsidR="00FF368D" w:rsidRPr="00FF368D" w:rsidRDefault="00FF368D" w:rsidP="00FF368D">
      <w:pPr>
        <w:pStyle w:val="Style1"/>
      </w:pPr>
      <w:r>
        <w:rPr>
          <w:rFonts w:hint="cs"/>
          <w:rtl/>
        </w:rPr>
        <w:t>4)[</w:t>
      </w:r>
      <w:r>
        <w:rPr>
          <w:rtl/>
        </w:rPr>
        <w:t>שולחן ערוך חושן משפט הלכות חזקת מטלטלין סימן קלה סעיף א</w:t>
      </w:r>
      <w:r>
        <w:rPr>
          <w:rFonts w:hint="cs"/>
          <w:rtl/>
        </w:rPr>
        <w:t xml:space="preserve">]  </w:t>
      </w:r>
      <w:r w:rsidRPr="00FF368D">
        <w:rPr>
          <w:rtl/>
        </w:rPr>
        <w:t>אע"פ שהמחזיק בדבר המיטלטל נאמן לומר שהוא שלו על בהמה וחיה אינו נאמן דכיון שהיא מהלכת יש לחוש שמא מעצמה נכנסה לרשותו </w:t>
      </w:r>
      <w:r w:rsidRPr="00FF368D">
        <w:rPr>
          <w:rFonts w:hint="cs"/>
        </w:rPr>
        <w:t>(</w:t>
      </w:r>
      <w:r w:rsidRPr="00FF368D">
        <w:rPr>
          <w:rFonts w:hint="cs"/>
          <w:rtl/>
        </w:rPr>
        <w:t>עי' לעיל </w:t>
      </w:r>
      <w:hyperlink r:id="rId214" w:anchor="%D7%A1%D7%A2%D7%99%D7%A3_%D7%9B%D7%90" w:tooltip="שולחן ערוך חושן משפט עב" w:history="1">
        <w:r w:rsidRPr="00FF368D">
          <w:rPr>
            <w:rStyle w:val="Hyperlink"/>
            <w:rFonts w:hint="cs"/>
            <w:color w:val="7030A0"/>
            <w:u w:val="none"/>
            <w:rtl/>
          </w:rPr>
          <w:t>סי' ע"ב סוף סעיף כ"א</w:t>
        </w:r>
      </w:hyperlink>
      <w:r w:rsidRPr="00FF368D">
        <w:rPr>
          <w:rFonts w:hint="cs"/>
        </w:rPr>
        <w:t>)</w:t>
      </w:r>
      <w:r w:rsidRPr="00FF368D">
        <w:t> </w:t>
      </w:r>
      <w:r w:rsidRPr="00FF368D">
        <w:rPr>
          <w:rtl/>
        </w:rPr>
        <w:t xml:space="preserve">או שמא לקחה בדרך והחזיק בה לפיכך אם יש </w:t>
      </w:r>
      <w:r w:rsidRPr="00FF368D">
        <w:rPr>
          <w:rtl/>
        </w:rPr>
        <w:lastRenderedPageBreak/>
        <w:t>למערער עדים שהיא שלו נשבע היסת ונוטל ואם אין לו עדים נשבע המחזיק היסת ועומד בשלו ובמקום שדרך למסור בהמה לרועה שחרית ולוקחה מידו ערבית בענין שאינה הולכת לבדה כלל דינה כשאר מטלטלין ונאמן המחזיק בשבועת היסת לומר שקנויה לו ואם טען שהזיקה לו כדי דמיה או שהוא חייב לו כך וכך ישבע בנקיטת חפץ</w:t>
      </w:r>
      <w:r w:rsidRPr="00FF368D">
        <w:t>:</w:t>
      </w:r>
    </w:p>
    <w:p w14:paraId="24988D20" w14:textId="605AB529" w:rsidR="00FF368D" w:rsidRDefault="00FF368D" w:rsidP="00FF368D">
      <w:pPr>
        <w:pStyle w:val="Style1"/>
        <w:rPr>
          <w:rtl/>
        </w:rPr>
      </w:pPr>
      <w:r w:rsidRPr="00FF368D">
        <w:rPr>
          <w:rFonts w:hint="cs"/>
          <w:rtl/>
        </w:rPr>
        <w:t>הגה: וי"א דאם החזיק בהם ג' שנים בכל ענין הוי חזקה ( טור והמגיד פ"י מטוען בשם רשב"ם וכ"כ התוס' בפ"ב דגיטין)</w:t>
      </w:r>
      <w:r w:rsidRPr="00FF368D">
        <w:t>:</w:t>
      </w:r>
    </w:p>
    <w:p w14:paraId="12E4D098" w14:textId="3BFEE9C7" w:rsidR="00FF368D" w:rsidRDefault="00FF368D" w:rsidP="00FF368D">
      <w:pPr>
        <w:pStyle w:val="Style1"/>
        <w:rPr>
          <w:rtl/>
        </w:rPr>
      </w:pPr>
      <w:r>
        <w:rPr>
          <w:rFonts w:hint="cs"/>
          <w:rtl/>
        </w:rPr>
        <w:t>5)[</w:t>
      </w:r>
      <w:r>
        <w:rPr>
          <w:rtl/>
        </w:rPr>
        <w:t>רמב</w:t>
      </w:r>
      <w:r w:rsidR="0057095E">
        <w:rPr>
          <w:rtl/>
        </w:rPr>
        <w:t>”ם \משפטים\</w:t>
      </w:r>
      <w:r>
        <w:rPr>
          <w:rtl/>
        </w:rPr>
        <w:t xml:space="preserve"> הלכות מלוה ולוה פרק כ הלכה ב</w:t>
      </w:r>
      <w:r>
        <w:rPr>
          <w:rFonts w:hint="cs"/>
          <w:rtl/>
        </w:rPr>
        <w:t xml:space="preserve">] </w:t>
      </w:r>
      <w:r>
        <w:rPr>
          <w:rtl/>
        </w:rPr>
        <w:t>לוה וכתב לו שאני עתיד לקנות משועבד לך ואחר כך קנה שדה וחזר ולוה מאחר הרי השדה משועבד לראשון והוא קודם לגבות, וכן אפילו היו מאה. אין דין קדימה במטלטלין אלא כל שקדם וגבה מהן זכה אף על פי שהוא אחרון, קידם אחד משאר אדם ותפס מן המטלטלין של זה כדי לזכות לאחד מבעלי חובות לא זכה שכל התופס לבעל חוב במקום שיש עליו חוב לאחרים לא קנה, אבל אין עליו חוב לאחרים קנה לו, וכן אם אמר לו הלוה זכה בחפץ זה לפלוני זכה לו ואין אחד מבעלי חובות יכולין לגבות מאלו המטלטלין שכבר זכה בהן אחר.</w:t>
      </w:r>
    </w:p>
    <w:p w14:paraId="39911E15" w14:textId="3C96DE20" w:rsidR="00FF368D" w:rsidRPr="00B809D4" w:rsidRDefault="00FF368D" w:rsidP="00FF368D">
      <w:pPr>
        <w:pStyle w:val="Style1"/>
      </w:pPr>
      <w:r>
        <w:rPr>
          <w:rFonts w:hint="cs"/>
          <w:rtl/>
        </w:rPr>
        <w:t>5)[</w:t>
      </w:r>
      <w:r>
        <w:rPr>
          <w:rtl/>
        </w:rPr>
        <w:t>שולחן ערוך חושן משפט הלכות גביית מלוה סימן קה סעיף א</w:t>
      </w:r>
      <w:r>
        <w:rPr>
          <w:rFonts w:hint="cs"/>
          <w:rtl/>
        </w:rPr>
        <w:t>]</w:t>
      </w:r>
      <w:r w:rsidR="00B809D4">
        <w:rPr>
          <w:rFonts w:hint="cs"/>
          <w:rtl/>
        </w:rPr>
        <w:t xml:space="preserve"> </w:t>
      </w:r>
      <w:r w:rsidR="00B809D4" w:rsidRPr="00B809D4">
        <w:rPr>
          <w:rtl/>
        </w:rPr>
        <w:t>הלוה שחייב לשנים או יותר ואין לו כדי לפרוע לכולם וקדם אדם א' ותפס מהמטלטלים של לוה כדי לזכות לאחד מבעלי חובות לא זכה שכל התופס לב"ח במקום שיש עליו חוב לאחרים לא קנה ואפי' עשאו שליח וכתב לו הרשאה אבל אפוטרופוס קנה דיד בעלים הוא</w:t>
      </w:r>
      <w:r w:rsidR="00B809D4" w:rsidRPr="00B809D4">
        <w:t>:</w:t>
      </w:r>
    </w:p>
    <w:p w14:paraId="6266FA92" w14:textId="04FC3F82" w:rsidR="00FF368D" w:rsidRPr="00FF368D" w:rsidRDefault="00FF368D" w:rsidP="00FF368D">
      <w:pPr>
        <w:pStyle w:val="Style1"/>
      </w:pPr>
    </w:p>
    <w:p w14:paraId="3289561E" w14:textId="77777777" w:rsidR="00FF368D" w:rsidRPr="00FF368D" w:rsidRDefault="00FF368D" w:rsidP="00FF368D">
      <w:pPr>
        <w:pStyle w:val="Style1"/>
      </w:pPr>
    </w:p>
    <w:p w14:paraId="7260C7F6" w14:textId="4C167C7E" w:rsidR="003B2493" w:rsidRPr="00FF368D" w:rsidRDefault="003B2493" w:rsidP="00FF368D">
      <w:pPr>
        <w:pStyle w:val="Style1"/>
        <w:rPr>
          <w:rStyle w:val="Style1Char"/>
        </w:rPr>
      </w:pPr>
    </w:p>
    <w:p w14:paraId="3AD7189F" w14:textId="29B4394B" w:rsidR="003B2493" w:rsidRPr="00FF368D" w:rsidRDefault="003B2493" w:rsidP="00FF368D">
      <w:pPr>
        <w:pStyle w:val="Style1"/>
        <w:rPr>
          <w:rStyle w:val="Style1Char"/>
        </w:rPr>
      </w:pPr>
    </w:p>
    <w:p w14:paraId="5D4EC572" w14:textId="77777777" w:rsidR="00C369CA" w:rsidRPr="00FF368D" w:rsidRDefault="00C369CA" w:rsidP="00FF368D">
      <w:pPr>
        <w:pStyle w:val="Style1"/>
        <w:rPr>
          <w:rStyle w:val="Style1Char"/>
          <w:rtl/>
        </w:rPr>
      </w:pPr>
    </w:p>
    <w:p w14:paraId="31F98580" w14:textId="77777777" w:rsidR="00C369CA" w:rsidRPr="00FF368D" w:rsidRDefault="00C369CA" w:rsidP="00FF368D">
      <w:pPr>
        <w:pStyle w:val="Style1"/>
        <w:rPr>
          <w:rStyle w:val="Style1Char"/>
          <w:rtl/>
        </w:rPr>
      </w:pPr>
    </w:p>
    <w:p w14:paraId="4C83463B" w14:textId="77777777" w:rsidR="00C369CA" w:rsidRPr="00FF368D" w:rsidRDefault="00C369CA" w:rsidP="00FF368D">
      <w:pPr>
        <w:pStyle w:val="Style1"/>
        <w:rPr>
          <w:rStyle w:val="Style1Char"/>
          <w:rtl/>
        </w:rPr>
      </w:pPr>
    </w:p>
    <w:p w14:paraId="632A3141" w14:textId="77777777" w:rsidR="00C369CA" w:rsidRPr="00FF368D" w:rsidRDefault="00C369CA" w:rsidP="00FF368D">
      <w:pPr>
        <w:pStyle w:val="Style1"/>
        <w:rPr>
          <w:rStyle w:val="Style1Char"/>
          <w:rtl/>
        </w:rPr>
      </w:pPr>
      <w:r w:rsidRPr="00FF368D">
        <w:rPr>
          <w:rStyle w:val="Style1Char"/>
          <w:rtl/>
        </w:rPr>
        <w:br w:type="page"/>
      </w:r>
    </w:p>
    <w:p w14:paraId="64B07310" w14:textId="2A698CC0" w:rsidR="00C369CA" w:rsidRPr="00E85617" w:rsidRDefault="00C369CA" w:rsidP="00C369CA">
      <w:pPr>
        <w:bidi/>
        <w:rPr>
          <w:rStyle w:val="Style1Char"/>
          <w:color w:val="auto"/>
          <w:sz w:val="22"/>
          <w:szCs w:val="22"/>
        </w:rPr>
      </w:pPr>
      <w:r w:rsidRPr="0019655F">
        <w:rPr>
          <w:rStyle w:val="Style1Char"/>
          <w:color w:val="00B050"/>
          <w:sz w:val="22"/>
          <w:szCs w:val="22"/>
          <w:highlight w:val="yellow"/>
          <w:rtl/>
        </w:rPr>
        <w:lastRenderedPageBreak/>
        <w:t>[דף פה עמוד א]</w:t>
      </w:r>
      <w:r w:rsidRPr="0019655F">
        <w:rPr>
          <w:rStyle w:val="Style1Char"/>
          <w:color w:val="00B050"/>
          <w:sz w:val="22"/>
          <w:szCs w:val="22"/>
          <w:rtl/>
        </w:rPr>
        <w:t xml:space="preserve"> </w:t>
      </w:r>
      <w:r w:rsidRPr="00D2614D">
        <w:rPr>
          <w:rStyle w:val="Style1Char"/>
          <w:color w:val="00B050"/>
          <w:rtl/>
        </w:rPr>
        <w:t xml:space="preserve">לא קנה. תפסוה אינהו, רב פפא מימלח מלוחי, רב הונא בריה דרב יהושע ממתח לה באשלא, מר אמר: אנא קנינא לה לכולה, ומר אמר: אנא קנינא לה לכולה. פגע בהו רב פנחס בר אמי, אמר להו, רב ושמואל דאמרי תרוייהו: והוא שצבורין ומונחין ברה"ר! אמר להו: אנן נמי מחריפותא דנהרא תפיסנא. אתו לקמיה דרבא, אמר להו: קאקי חיורי משלחי גלימי דאינשי, הכי אמר רב נחמן: והוא שתפסה מחיים. </w:t>
      </w:r>
      <w:r w:rsidRPr="00B53EED">
        <w:rPr>
          <w:rStyle w:val="Style1Char"/>
          <w:color w:val="auto"/>
          <w:sz w:val="22"/>
          <w:szCs w:val="22"/>
          <w:rtl/>
        </w:rPr>
        <w:t xml:space="preserve">אבימי בריה דרבי אבהו הוו מסקי ביה זוזי בי חוזאי, שדרינהו ביד חמא בריה דרבה בר אבהו, אזל פרעינהו. אמר להו: הבו לי שטרא, אמרו ליה: סיטראי נינהו. אתא לקמיה דרבי אבהו, א"ל: אית לך סהדי דפרעתינהו? אמר ליה: לא, אמר ליה: </w:t>
      </w:r>
      <w:r w:rsidR="00B61861">
        <w:rPr>
          <w:rStyle w:val="Style1Char"/>
          <w:rFonts w:hint="cs"/>
          <w:rtl/>
        </w:rPr>
        <w:t>(1)</w:t>
      </w:r>
      <w:r w:rsidRPr="00B53EED">
        <w:rPr>
          <w:rStyle w:val="Style1Char"/>
          <w:color w:val="auto"/>
          <w:sz w:val="22"/>
          <w:szCs w:val="22"/>
          <w:rtl/>
        </w:rPr>
        <w:t>מיגו דיכולין לומר לא היו דברים מעולם, יכולין נמי למימר סיטראי נינהו</w:t>
      </w:r>
      <w:r>
        <w:rPr>
          <w:rStyle w:val="Style1Char"/>
          <w:color w:val="auto"/>
          <w:sz w:val="22"/>
          <w:szCs w:val="22"/>
        </w:rPr>
        <w:t xml:space="preserve"> </w:t>
      </w:r>
      <w:r w:rsidRPr="00E53B77">
        <w:rPr>
          <w:rStyle w:val="Style1Char"/>
          <w:color w:val="4472C4" w:themeColor="accent1"/>
          <w:rtl/>
        </w:rPr>
        <w:t>בל בלא מיגו לא מהימן דלאו טענה מעלייתא היא דיותר ברצון אדם פורע מלוה בשטר ממלוה על פה</w:t>
      </w:r>
      <w:r w:rsidRPr="00B53EED">
        <w:rPr>
          <w:rStyle w:val="Style1Char"/>
          <w:color w:val="auto"/>
          <w:rtl/>
        </w:rPr>
        <w:t xml:space="preserve"> </w:t>
      </w:r>
      <w:r w:rsidRPr="00F34564">
        <w:rPr>
          <w:rStyle w:val="Style1Char"/>
          <w:color w:val="C00000"/>
          <w:sz w:val="22"/>
          <w:szCs w:val="22"/>
          <w:rtl/>
        </w:rPr>
        <w:t>וכבר ביררנוהו בפרק שבועת הדיינין בירור יפה.</w:t>
      </w:r>
      <w:r w:rsidRPr="00A53F61">
        <w:rPr>
          <w:rStyle w:val="Style1Char"/>
          <w:sz w:val="22"/>
          <w:szCs w:val="22"/>
          <w:rtl/>
        </w:rPr>
        <w:t xml:space="preserve">. </w:t>
      </w:r>
      <w:r w:rsidRPr="00E85617">
        <w:rPr>
          <w:rStyle w:val="Style1Char"/>
          <w:color w:val="auto"/>
          <w:sz w:val="22"/>
          <w:szCs w:val="22"/>
          <w:rtl/>
        </w:rPr>
        <w:t xml:space="preserve">לענין שלומי שליח, מאי? אמר רב אשי: חזינן, אי א"ל שקול שטרא והב זוזי - משלם, הב זוזי ושקול שטרא - לא משלם. ולא היא, </w:t>
      </w:r>
      <w:r w:rsidR="00C35A5D">
        <w:rPr>
          <w:rStyle w:val="Style1Char"/>
          <w:rFonts w:hint="cs"/>
          <w:rtl/>
        </w:rPr>
        <w:t>(1.2, 2)</w:t>
      </w:r>
      <w:r w:rsidRPr="00E85617">
        <w:rPr>
          <w:rStyle w:val="Style1Char"/>
          <w:color w:val="auto"/>
          <w:sz w:val="22"/>
          <w:szCs w:val="22"/>
          <w:rtl/>
        </w:rPr>
        <w:t>בין כך ובין כך משלם, דא"ל: לתקוני שדרתיך ולא לעוותי</w:t>
      </w:r>
    </w:p>
    <w:p w14:paraId="603B0E98" w14:textId="168CA5E1" w:rsidR="00C369CA" w:rsidRDefault="00C369CA" w:rsidP="00C369CA">
      <w:pPr>
        <w:bidi/>
        <w:rPr>
          <w:rStyle w:val="Style1Char"/>
          <w:color w:val="auto"/>
          <w:sz w:val="22"/>
          <w:szCs w:val="22"/>
        </w:rPr>
      </w:pPr>
      <w:r w:rsidRPr="00234A1F">
        <w:rPr>
          <w:rStyle w:val="Style1Char"/>
          <w:color w:val="C00000"/>
          <w:sz w:val="22"/>
          <w:szCs w:val="22"/>
          <w:rtl/>
        </w:rPr>
        <w:t xml:space="preserve">וה"מ היכא דאמר </w:t>
      </w:r>
      <w:r w:rsidRPr="00E53B77">
        <w:rPr>
          <w:rStyle w:val="Style1Char"/>
          <w:color w:val="4472C4" w:themeColor="accent1"/>
          <w:rtl/>
        </w:rPr>
        <w:t xml:space="preserve">דאידכר ליה שטרא או בתחלה או בסוף </w:t>
      </w:r>
      <w:r w:rsidRPr="00234A1F">
        <w:rPr>
          <w:rStyle w:val="Style1Char"/>
          <w:color w:val="C00000"/>
          <w:sz w:val="22"/>
          <w:szCs w:val="22"/>
          <w:rtl/>
        </w:rPr>
        <w:t xml:space="preserve">ליה שקול שטרא מינייהו </w:t>
      </w:r>
      <w:r w:rsidRPr="00234A1F">
        <w:rPr>
          <w:rStyle w:val="Style1Char"/>
          <w:color w:val="4472C4" w:themeColor="accent1"/>
          <w:sz w:val="22"/>
          <w:szCs w:val="22"/>
          <w:rtl/>
        </w:rPr>
        <w:t xml:space="preserve">דכיון דהזכיר לו השטר איבעי ליה לאסוקי אדעתיה שיקח השטר תחלה. </w:t>
      </w:r>
      <w:r w:rsidRPr="005C3533">
        <w:rPr>
          <w:rStyle w:val="Style1Char"/>
          <w:color w:val="806000" w:themeColor="accent4" w:themeShade="80"/>
          <w:sz w:val="22"/>
          <w:szCs w:val="22"/>
          <w:rtl/>
        </w:rPr>
        <w:t xml:space="preserve">אבל אי לא א"ל </w:t>
      </w:r>
      <w:r w:rsidRPr="007C4033">
        <w:rPr>
          <w:rStyle w:val="Style1Char"/>
          <w:color w:val="C00000"/>
          <w:sz w:val="22"/>
          <w:szCs w:val="22"/>
          <w:rtl/>
        </w:rPr>
        <w:t xml:space="preserve">שקול שטרא מינייהו </w:t>
      </w:r>
      <w:r w:rsidRPr="00E53B77">
        <w:rPr>
          <w:rStyle w:val="Style1Char"/>
          <w:color w:val="4472C4" w:themeColor="accent1"/>
          <w:rtl/>
        </w:rPr>
        <w:t>אלא הב זוזי בעלמא ולא הזכיר השטר לא בתחלה ולא בסוף מיפטר</w:t>
      </w:r>
      <w:r w:rsidRPr="00D205EB">
        <w:rPr>
          <w:rStyle w:val="Style1Char"/>
          <w:color w:val="C00000"/>
          <w:rtl/>
        </w:rPr>
        <w:t xml:space="preserve"> </w:t>
      </w:r>
      <w:r w:rsidRPr="007C4033">
        <w:rPr>
          <w:rStyle w:val="Style1Char"/>
          <w:color w:val="C00000"/>
          <w:sz w:val="22"/>
          <w:szCs w:val="22"/>
          <w:rtl/>
        </w:rPr>
        <w:t xml:space="preserve">לא מחייב לשלומי </w:t>
      </w:r>
      <w:r w:rsidRPr="00222FA0">
        <w:rPr>
          <w:rStyle w:val="Style1Char"/>
          <w:color w:val="806000" w:themeColor="accent4" w:themeShade="80"/>
          <w:sz w:val="22"/>
          <w:szCs w:val="22"/>
          <w:rtl/>
        </w:rPr>
        <w:t xml:space="preserve">וכן נמי אי ליכא שטרא אי לא אמר ליה פרעינהו באפי סהדי לא מיחייב למפרעינהו בסהדי </w:t>
      </w:r>
      <w:r w:rsidRPr="00E53B77">
        <w:rPr>
          <w:rStyle w:val="Style1Char"/>
          <w:color w:val="4472C4" w:themeColor="accent1"/>
          <w:rtl/>
        </w:rPr>
        <w:t>והכי אמרי'</w:t>
      </w:r>
      <w:r>
        <w:rPr>
          <w:rStyle w:val="Style1Char"/>
          <w:color w:val="4472C4" w:themeColor="accent1"/>
        </w:rPr>
        <w:t xml:space="preserve"> </w:t>
      </w:r>
      <w:r w:rsidRPr="00234A1F">
        <w:rPr>
          <w:rStyle w:val="Style1Char"/>
          <w:color w:val="C00000"/>
          <w:sz w:val="22"/>
          <w:szCs w:val="22"/>
          <w:rtl/>
        </w:rPr>
        <w:t xml:space="preserve">דתנן גבי חנוני על פנקסו כיצד לא שיאמר לו כתוב בפנקסי שאתה חייב לי מאתים זוז אלא שאמר לו תן לבני סאתים חטים ולפועלי סלע מעות הוא אומר נתתי והן אומרים לא נטלנו הוא נשבע ונוטל והן נשבעין ונוטלין הוה חנוני יהיב לפועלים בלא סהדי ולא מפסיד </w:t>
      </w:r>
      <w:r w:rsidRPr="00F50541">
        <w:rPr>
          <w:rStyle w:val="Style1Char"/>
          <w:color w:val="4472C4" w:themeColor="accent1"/>
          <w:sz w:val="22"/>
          <w:szCs w:val="22"/>
          <w:rtl/>
        </w:rPr>
        <w:t xml:space="preserve">דאמר חנווני לבעל הבית אנא שליחותא דידך עבדי מאי אית לי גבי שכיר אף על גב דמשתבע לי לא מהימן. את הימנת ליה דלא אמרת בסהדי הב ליה </w:t>
      </w:r>
      <w:r w:rsidRPr="009D31C7">
        <w:rPr>
          <w:rStyle w:val="Style1Char"/>
          <w:color w:val="806000" w:themeColor="accent4" w:themeShade="80"/>
          <w:sz w:val="22"/>
          <w:szCs w:val="22"/>
          <w:rtl/>
        </w:rPr>
        <w:t xml:space="preserve">וגרסינן נמי בקידושין פרק האיש מקדש [קידושין מ"ג ע"א] א"ר נחמן האומר לשנים קדשו לי אשה פלונית הן הן שלוחיו הן הן עדיו וכן בגירושין וכן בדיני ממונות </w:t>
      </w:r>
      <w:r w:rsidRPr="00B80E16">
        <w:rPr>
          <w:rStyle w:val="Style1Char"/>
          <w:color w:val="806000" w:themeColor="accent4" w:themeShade="80"/>
          <w:sz w:val="22"/>
          <w:szCs w:val="22"/>
          <w:rtl/>
        </w:rPr>
        <w:t>ואסיקנא השתא דתקון רבנן שבועת היסת משתבעי עדים דיהבינהו ליה ומשתבע מלוה דלא שקיל מינייהו ופרע לי' לוה למלוה ושמעינן מינה דלא מיחייב שליח למיפרע באפי סהדי</w:t>
      </w:r>
      <w:r w:rsidRPr="00D2614D">
        <w:rPr>
          <w:rStyle w:val="Style1Char"/>
          <w:color w:val="00B050"/>
          <w:rtl/>
        </w:rPr>
        <w:t xml:space="preserve">. </w:t>
      </w:r>
      <w:r w:rsidR="00F80B28">
        <w:rPr>
          <w:rStyle w:val="Style1Char"/>
          <w:rFonts w:hint="cs"/>
          <w:rtl/>
        </w:rPr>
        <w:t>(3)</w:t>
      </w:r>
      <w:r w:rsidRPr="00B0590F">
        <w:rPr>
          <w:rStyle w:val="Style1Char"/>
          <w:color w:val="auto"/>
          <w:sz w:val="22"/>
          <w:szCs w:val="22"/>
          <w:rtl/>
        </w:rPr>
        <w:t>ההיא איתתא דהוו מיפקדי גבה מלוגא דשטרי, אתו יורשים קא תבעי ליה מינה, אמרה להו: מחיים תפיסנא להו</w:t>
      </w:r>
      <w:r w:rsidRPr="00B0590F">
        <w:rPr>
          <w:rStyle w:val="Style1Char"/>
          <w:color w:val="auto"/>
          <w:rtl/>
        </w:rPr>
        <w:t xml:space="preserve"> </w:t>
      </w:r>
      <w:r w:rsidRPr="00D205EB">
        <w:rPr>
          <w:rStyle w:val="Style1Char"/>
          <w:color w:val="C00000"/>
          <w:rtl/>
        </w:rPr>
        <w:t xml:space="preserve">פירוש </w:t>
      </w:r>
      <w:r w:rsidRPr="00E53B77">
        <w:rPr>
          <w:rStyle w:val="Style1Char"/>
          <w:color w:val="4472C4" w:themeColor="accent1"/>
          <w:rtl/>
        </w:rPr>
        <w:t xml:space="preserve">היה בדעתי מחיי אביכם לתופסה </w:t>
      </w:r>
      <w:r w:rsidRPr="00F21C97">
        <w:rPr>
          <w:rStyle w:val="Style1Char"/>
          <w:color w:val="806000" w:themeColor="accent4" w:themeShade="80"/>
          <w:rtl/>
        </w:rPr>
        <w:t xml:space="preserve">בתורת משכון </w:t>
      </w:r>
      <w:r w:rsidRPr="00E53B77">
        <w:rPr>
          <w:rStyle w:val="Style1Char"/>
          <w:color w:val="4472C4" w:themeColor="accent1"/>
          <w:rtl/>
        </w:rPr>
        <w:t>עד שיפרע לי אביכם</w:t>
      </w:r>
      <w:r w:rsidRPr="00D52FCD">
        <w:rPr>
          <w:rStyle w:val="Style1Char"/>
          <w:color w:val="4472C4" w:themeColor="accent1"/>
          <w:rtl/>
        </w:rPr>
        <w:t xml:space="preserve"> </w:t>
      </w:r>
      <w:r w:rsidRPr="00E53B77">
        <w:rPr>
          <w:rStyle w:val="Style1Char"/>
          <w:color w:val="4472C4" w:themeColor="accent1"/>
          <w:rtl/>
        </w:rPr>
        <w:t>אבל לענין מיגבא להנהו חובות לא מהני תפיסה דאין אותיות נקנות במסירה</w:t>
      </w:r>
      <w:r w:rsidRPr="00F34564">
        <w:rPr>
          <w:rStyle w:val="Style1Char"/>
          <w:sz w:val="22"/>
          <w:szCs w:val="22"/>
          <w:rtl/>
        </w:rPr>
        <w:t xml:space="preserve">. </w:t>
      </w:r>
      <w:r w:rsidRPr="00D52FCD">
        <w:rPr>
          <w:rStyle w:val="Style1Char"/>
          <w:color w:val="auto"/>
          <w:sz w:val="22"/>
          <w:szCs w:val="22"/>
          <w:rtl/>
        </w:rPr>
        <w:t xml:space="preserve">אתאי לקמי' דרב נחמן, אמר לה: אית ליך סהדי דתבעוה מיניך </w:t>
      </w:r>
      <w:r w:rsidRPr="00D52FCD">
        <w:rPr>
          <w:rStyle w:val="Style1Char"/>
          <w:sz w:val="22"/>
          <w:szCs w:val="22"/>
          <w:rtl/>
        </w:rPr>
        <w:t xml:space="preserve">מחיים </w:t>
      </w:r>
      <w:r w:rsidRPr="00D52FCD">
        <w:rPr>
          <w:rStyle w:val="Style1Char"/>
          <w:color w:val="auto"/>
          <w:sz w:val="22"/>
          <w:szCs w:val="22"/>
          <w:rtl/>
        </w:rPr>
        <w:t>ולא יהבית ניהליה? א"ל: לא</w:t>
      </w:r>
      <w:r w:rsidRPr="00F34564">
        <w:rPr>
          <w:rStyle w:val="Style1Char"/>
          <w:sz w:val="22"/>
          <w:szCs w:val="22"/>
          <w:rtl/>
        </w:rPr>
        <w:t xml:space="preserve">. </w:t>
      </w:r>
      <w:r w:rsidRPr="00145D8A">
        <w:rPr>
          <w:rStyle w:val="Style1Char"/>
          <w:color w:val="auto"/>
          <w:sz w:val="22"/>
          <w:szCs w:val="22"/>
          <w:rtl/>
        </w:rPr>
        <w:t>א"כ, הוי תפיסה דלאחר מיתה, ותפיסה דלאחר מיתה לא כלום היא</w:t>
      </w:r>
    </w:p>
    <w:p w14:paraId="54ABB8A1" w14:textId="77777777" w:rsidR="00C369CA" w:rsidRPr="00E53B77" w:rsidRDefault="00C369CA" w:rsidP="00C369CA">
      <w:pPr>
        <w:bidi/>
        <w:rPr>
          <w:rStyle w:val="Style1Char"/>
          <w:color w:val="4472C4" w:themeColor="accent1"/>
        </w:rPr>
      </w:pPr>
      <w:r w:rsidRPr="00E53B77">
        <w:rPr>
          <w:rStyle w:val="Style1Char"/>
          <w:color w:val="4472C4" w:themeColor="accent1"/>
          <w:rtl/>
        </w:rPr>
        <w:t>ולא מהימנא לומר מחיים תפיסנא להו במיגו דלקוחין הן בידי כדאמרי' לעיל גבי ההוא בקרא. משום דאי אמרה לקוחין הן בידי צריכה להביא ראי'</w:t>
      </w:r>
      <w:r>
        <w:rPr>
          <w:rStyle w:val="Style1Char"/>
          <w:rFonts w:hint="cs"/>
          <w:color w:val="4472C4" w:themeColor="accent1"/>
        </w:rPr>
        <w:t>‍</w:t>
      </w:r>
      <w:r w:rsidRPr="00E53B77">
        <w:rPr>
          <w:rStyle w:val="Style1Char"/>
          <w:color w:val="4472C4" w:themeColor="accent1"/>
          <w:rtl/>
        </w:rPr>
        <w:t xml:space="preserve">. ואף ע"ג דאמרי' בפ' גט פשוט (דף קעג א) אותיות נקנות במסירה אמר אביי צריך להביא ראיה ורבא אמר א"צ להביא ראיה. רבא לא מיירי אלא אליבא דמאן דאמר אותיות נקנות במסירה. אבל לדידן דקי"ל אין אותיות נקנות במסירה צריך להביא ראיה. והא דלא מהימנא למימר מחיים תפיסנא להו בתורת משכון במיגו דממושכנין היו אצלי מעיקרא דאז אינה צריכה ראיה כיון דאינה רוצה לגבות השטרות. או </w:t>
      </w:r>
      <w:r>
        <w:rPr>
          <w:rStyle w:val="Style1Char"/>
          <w:rFonts w:hint="cs"/>
          <w:color w:val="4472C4" w:themeColor="accent1"/>
        </w:rPr>
        <w:t>‍‍</w:t>
      </w:r>
      <w:r w:rsidRPr="00E53B77">
        <w:rPr>
          <w:rStyle w:val="Style1Char"/>
          <w:color w:val="4472C4" w:themeColor="accent1"/>
          <w:rtl/>
        </w:rPr>
        <w:t>במיגו דנאנסו או החזרתים לך או לא היו דברים מעולם וצ"ל דמיירי שהפקידו אצלה בעדים וגם ראו עתה מלוגא דשטרי בידה הלכך אין לה שום טענה ליפטר אא"כ תביא עדים שתבע ממנה מחיים ואמרה שבתורת משכון היא רוצה לתופסם והדין דינא דגמרא אבל השתא דתקון רבנן דמתיבתא למיגבא ממטלטלי גבי מינייהו אפילו לא תפסה מחיים</w:t>
      </w:r>
      <w:r w:rsidRPr="00E53B77">
        <w:rPr>
          <w:rStyle w:val="Style1Char"/>
          <w:color w:val="4472C4" w:themeColor="accent1"/>
        </w:rPr>
        <w:t xml:space="preserve">: </w:t>
      </w:r>
    </w:p>
    <w:p w14:paraId="5AD6E967" w14:textId="718F1F4E" w:rsidR="00C369CA" w:rsidRDefault="00C369CA" w:rsidP="00C369CA">
      <w:pPr>
        <w:bidi/>
        <w:rPr>
          <w:rStyle w:val="Style1Char"/>
          <w:color w:val="4472C4" w:themeColor="accent1"/>
        </w:rPr>
      </w:pPr>
      <w:r w:rsidRPr="00145D8A">
        <w:rPr>
          <w:rStyle w:val="Style1Char"/>
          <w:color w:val="auto"/>
          <w:rtl/>
        </w:rPr>
        <w:t xml:space="preserve"> </w:t>
      </w:r>
      <w:r w:rsidRPr="00D205EB">
        <w:rPr>
          <w:rStyle w:val="Style1Char"/>
          <w:color w:val="C00000"/>
          <w:rtl/>
        </w:rPr>
        <w:t>דמטלטלי לא משתעבדי לבע"ח וכיון דלא תפסה לה מחיים קם ליה ברשות יורשין והדין דינא דגמרא הוא אבל השתא תקינו רבנן דמתיבתא למגבא בע"ח מיתמי אפי' ממטלטלי ומסתברא לן דהא דאצרכה רב נחמן לאתויי סהדי דמחיים תפסה ליה במלוגא דשטרי בלחוד הוא דדיינין הכי ולא גמרינן למידי אחרינא משום דמלוגא דשטרא לא יכלה למימר לקוחין הן בידי דאי אמרה לקוחין הן בידי אמרינן לה אחוי שטריך דקי"ל אין אותיות נקנות במסירה הילכך צריכה עדים דתבעוה מינה מחיים ולא יהבה להו ניהלייהו אבל מידי אחרינא דיכיל למימר לקוח הוא בידי ומהימן כי אמר מחיים תפיסנא ליה מהימן כדכתבינא לעיל בההוא בקרא הא ר"ג גופיה הוא דאמר בההוא בקרא דיתמא צריך לאתויי ראיה דלאחר מיתה תפסיה מיניה בע"ח והוא דאמר במלוגא דשטרי דבע"ח צריך לאיתויי ראיה דמחיים תפס דשמעת מינה דשאני דינא דמלוגא דשטרי משאר מילי.</w:t>
      </w:r>
      <w:r w:rsidRPr="00606350">
        <w:rPr>
          <w:rStyle w:val="Style1Char"/>
          <w:color w:val="C00000"/>
          <w:rtl/>
        </w:rPr>
        <w:t xml:space="preserve"> </w:t>
      </w:r>
      <w:r w:rsidRPr="00D205EB">
        <w:rPr>
          <w:rStyle w:val="Style1Char"/>
          <w:color w:val="C00000"/>
          <w:rtl/>
        </w:rPr>
        <w:t>ובפרק חזקת הבתים [בבא - בתרא ל"ו ע"א] נמי אמרינן הנהו עיזי דאכלן חושלי בנהרדעא אתא מרי דחושלא תפיס בהו וקא טעין טובא אמר אבוה דשמואל יכול לטעון עד כדי דמיהן והאמר ר"ל הגודרות אין להן חזקה שאני עיזי דמסירן לרועה למימרא דכל היכא דיכיל למימר לקוח הוא בידי יכול למימר בחוב דידי תפשתיה כדאמר ר"נ בבקרא דיתמא ומסתברא לן נמי דהאי מלוגא דשטרי בתורת משכון הוא דתפסה ליה אבל לענין מיגבא בהו לא מהניא לה תפיסה ולא כלום בין מחיים בין לאחר מיתה דאין אותיות נקנות במסירה:</w:t>
      </w:r>
      <w:r w:rsidRPr="00F34564">
        <w:rPr>
          <w:rStyle w:val="Style1Char"/>
          <w:sz w:val="22"/>
          <w:szCs w:val="22"/>
          <w:rtl/>
        </w:rPr>
        <w:t xml:space="preserve">. </w:t>
      </w:r>
      <w:r w:rsidR="00411FEA">
        <w:rPr>
          <w:rStyle w:val="Style1Char"/>
          <w:rFonts w:hint="cs"/>
          <w:rtl/>
        </w:rPr>
        <w:t>(4)</w:t>
      </w:r>
      <w:r w:rsidRPr="00EC17DC">
        <w:rPr>
          <w:rStyle w:val="Style1Char"/>
          <w:color w:val="auto"/>
          <w:sz w:val="22"/>
          <w:szCs w:val="22"/>
          <w:rtl/>
        </w:rPr>
        <w:t xml:space="preserve">ההיא איתתא דאיחייבא שבועה בי דינא דרבא, אמרה ליה בת רב חסדא: ידענא בה דחשודה אשבועה, אפכה רבא לשבועה אשכנגדה. זימנין הוו יתבי קמיה רב פפא ורב אדא בר מתנא, אייתו ההוא שטרא גביה, א"ל רב פפא: ידענא ביה דשטרא פריעא הוא, א"ל: איכא איניש אחרינא בהדי' דמר? </w:t>
      </w:r>
      <w:r w:rsidRPr="003074A8">
        <w:rPr>
          <w:rStyle w:val="Style1Char"/>
          <w:color w:val="00B050"/>
          <w:rtl/>
        </w:rPr>
        <w:t>א"ל: לא</w:t>
      </w:r>
      <w:r w:rsidRPr="00617936">
        <w:rPr>
          <w:rStyle w:val="Style1Char"/>
          <w:sz w:val="22"/>
          <w:szCs w:val="22"/>
          <w:rtl/>
        </w:rPr>
        <w:t>,</w:t>
      </w:r>
      <w:r w:rsidRPr="00D2614D">
        <w:rPr>
          <w:rStyle w:val="Style1Char"/>
          <w:color w:val="00B050"/>
          <w:rtl/>
        </w:rPr>
        <w:t xml:space="preserve"> א"ל: אף על גב דאיכא מר, עד אחד לאו כלום הוא. </w:t>
      </w:r>
      <w:r w:rsidRPr="00EA6C56">
        <w:rPr>
          <w:rStyle w:val="Style1Char"/>
          <w:color w:val="auto"/>
          <w:sz w:val="22"/>
          <w:szCs w:val="22"/>
          <w:rtl/>
        </w:rPr>
        <w:t xml:space="preserve">א"ל רב אדא בר מתנא: ולא יהא רב פפא כבת רב חסדא? </w:t>
      </w:r>
      <w:r w:rsidRPr="00EA6C56">
        <w:rPr>
          <w:rStyle w:val="Style1Char"/>
          <w:color w:val="806000" w:themeColor="accent4" w:themeShade="80"/>
          <w:sz w:val="22"/>
          <w:szCs w:val="22"/>
          <w:rtl/>
        </w:rPr>
        <w:t xml:space="preserve">אמר ליה </w:t>
      </w:r>
      <w:r w:rsidRPr="00EA6C56">
        <w:rPr>
          <w:rStyle w:val="Style1Char"/>
          <w:color w:val="auto"/>
          <w:sz w:val="22"/>
          <w:szCs w:val="22"/>
          <w:rtl/>
        </w:rPr>
        <w:t xml:space="preserve">בת רב חסדא קים לי בגווה, מר לא קים לי בגוויה. אמר רב פפא, השתא דאמר מר: קים לי בגוויה מילתא היא, כגון אבא מר ברי דקים לי בגוויה, קרענא שטרא אפומיה. קרענא ס"ד? </w:t>
      </w:r>
      <w:r w:rsidR="00411FEA">
        <w:rPr>
          <w:rStyle w:val="Style1Char"/>
          <w:rFonts w:hint="cs"/>
          <w:rtl/>
        </w:rPr>
        <w:t>(4)</w:t>
      </w:r>
      <w:r w:rsidRPr="00EA6C56">
        <w:rPr>
          <w:rStyle w:val="Style1Char"/>
          <w:color w:val="auto"/>
          <w:sz w:val="22"/>
          <w:szCs w:val="22"/>
          <w:rtl/>
        </w:rPr>
        <w:t>אלא, מרענא שטרא אפומיה</w:t>
      </w:r>
      <w:r>
        <w:rPr>
          <w:rStyle w:val="Style1Char"/>
          <w:color w:val="auto"/>
          <w:sz w:val="22"/>
          <w:szCs w:val="22"/>
        </w:rPr>
        <w:t xml:space="preserve"> </w:t>
      </w:r>
      <w:r w:rsidRPr="00E53B77">
        <w:rPr>
          <w:rStyle w:val="Style1Char"/>
          <w:color w:val="4472C4" w:themeColor="accent1"/>
          <w:rtl/>
        </w:rPr>
        <w:t>פירש"י לא אזקק לגבות באותו שטר ומקרע נמי לא קרענא ליה אלא אניח השטר בידו ואם יתבענו בב"ד אחר דלא קים ליה באבא מרי ברי יגבה לו חובו</w:t>
      </w:r>
      <w:r w:rsidRPr="00E53B77">
        <w:rPr>
          <w:rStyle w:val="Style1Char"/>
          <w:color w:val="4472C4" w:themeColor="accent1"/>
        </w:rPr>
        <w:t>:</w:t>
      </w:r>
    </w:p>
    <w:p w14:paraId="01C50A5C" w14:textId="77777777" w:rsidR="00C369CA" w:rsidRDefault="00C369CA" w:rsidP="00C369CA">
      <w:pPr>
        <w:bidi/>
        <w:rPr>
          <w:rStyle w:val="Style1Char"/>
          <w:color w:val="4472C4" w:themeColor="accent1"/>
        </w:rPr>
      </w:pPr>
      <w:r w:rsidRPr="00C81E95">
        <w:rPr>
          <w:rStyle w:val="Style1Char"/>
          <w:color w:val="4472C4" w:themeColor="accent1"/>
          <w:sz w:val="22"/>
          <w:szCs w:val="22"/>
          <w:rtl/>
        </w:rPr>
        <w:t xml:space="preserve">ורב אלפס ז"ל פי' </w:t>
      </w:r>
      <w:r w:rsidRPr="00D759AE">
        <w:rPr>
          <w:rStyle w:val="Style1Char"/>
          <w:color w:val="806000" w:themeColor="accent4" w:themeShade="80"/>
          <w:sz w:val="22"/>
          <w:szCs w:val="22"/>
          <w:rtl/>
        </w:rPr>
        <w:t xml:space="preserve">מרענא שטרא אפומיה דלא מיפרע מיניה אלא בשבועה </w:t>
      </w:r>
      <w:r w:rsidRPr="00E53B77">
        <w:rPr>
          <w:rStyle w:val="Style1Char"/>
          <w:color w:val="4472C4" w:themeColor="accent1"/>
          <w:rtl/>
        </w:rPr>
        <w:t>וקשה לפי' מאי רבותא דאבא מרי דקים ליה בגויה אפי' איניש דעלמא דתנן לקמן (דף פז א) עד אחד מעידה שהיא פרועה לא תפרע אלא בשבועה וכן רבא אמאי לא הימניה (רבא) לרב פפא להצריכו שבועה וי"ל דרב פפא קרוב היה וכן אבא מרי אפילו למי שהוא קרוב מרענא אפומיה מיהו לישנא דאיכא איניש אחרינא בהדיה דמר משמע דשני עדים צריך</w:t>
      </w:r>
      <w:r>
        <w:rPr>
          <w:rStyle w:val="Style1Char"/>
          <w:rFonts w:hint="cs"/>
          <w:color w:val="4472C4" w:themeColor="accent1"/>
        </w:rPr>
        <w:t>‍</w:t>
      </w:r>
      <w:r w:rsidRPr="00E53B77">
        <w:rPr>
          <w:rStyle w:val="Style1Char"/>
          <w:color w:val="4472C4" w:themeColor="accent1"/>
          <w:rtl/>
        </w:rPr>
        <w:t xml:space="preserve"> וגם משמע דרב פפא היה צריך להעיד בעד אחד</w:t>
      </w:r>
      <w:r>
        <w:rPr>
          <w:rStyle w:val="Style1Char"/>
          <w:rFonts w:hint="cs"/>
          <w:color w:val="4472C4" w:themeColor="accent1"/>
        </w:rPr>
        <w:t>‍</w:t>
      </w:r>
      <w:r w:rsidRPr="00E53B77">
        <w:rPr>
          <w:rStyle w:val="Style1Char"/>
          <w:color w:val="4472C4" w:themeColor="accent1"/>
          <w:rtl/>
        </w:rPr>
        <w:t xml:space="preserve"> ופי' ר"ת דרב אדא בר מתנה היה סבור דהיפוך שבועה הוי כמו קריעת השטר וקאמר ליה לא יהיה אלא כבת רב חסדא ולמה לא תקרע השטר ואהדר ליה לא מיבעיא דאפי' קים ליה בגוויה לא קרענא לשטרא אפומיה אלא אפילו להיפוך שבועה לא הוי כבת רב חסדא דלא קים ליה בגוויה ור"ח פי' דנפקא מיניה היכא שהיה בשטר נאמנות סתם כלומר שכתב שהאמינו אבל לא כתב שהאמינו כשני עדים ומועיל נאמנות זה בסתם שעד אחד אינו יכול להשביעו ובכי ה"ג קאמר כגון אבא מרי ברי מרענא שטרא אפומיה להשביעו אף על פי שעד אחד אינו יכול להשביעו </w:t>
      </w:r>
    </w:p>
    <w:p w14:paraId="7F2B1B26" w14:textId="77777777" w:rsidR="00C369CA" w:rsidRDefault="00C369CA" w:rsidP="00C369CA">
      <w:pPr>
        <w:bidi/>
        <w:rPr>
          <w:rStyle w:val="Style1Char"/>
          <w:color w:val="4472C4" w:themeColor="accent1"/>
        </w:rPr>
      </w:pPr>
    </w:p>
    <w:p w14:paraId="33BD75B2" w14:textId="77777777" w:rsidR="00C369CA" w:rsidRPr="006F767C" w:rsidRDefault="00C369CA" w:rsidP="00C369CA">
      <w:pPr>
        <w:bidi/>
        <w:rPr>
          <w:rStyle w:val="Style1Char"/>
          <w:color w:val="806000" w:themeColor="accent4" w:themeShade="80"/>
          <w:sz w:val="22"/>
          <w:szCs w:val="22"/>
        </w:rPr>
      </w:pPr>
      <w:r w:rsidRPr="002A5094">
        <w:rPr>
          <w:rStyle w:val="Style1Char"/>
          <w:color w:val="4472C4" w:themeColor="accent1"/>
          <w:sz w:val="22"/>
          <w:szCs w:val="22"/>
          <w:rtl/>
        </w:rPr>
        <w:t xml:space="preserve">כתב רב אלפס ז"ל </w:t>
      </w:r>
      <w:r w:rsidRPr="00315CE0">
        <w:rPr>
          <w:rStyle w:val="Style1Char"/>
          <w:color w:val="806000" w:themeColor="accent4" w:themeShade="80"/>
          <w:sz w:val="22"/>
          <w:szCs w:val="22"/>
          <w:rtl/>
        </w:rPr>
        <w:t xml:space="preserve">אי נמי בשודא דדייני יהבינא לההוא דלא איתרע שטריה </w:t>
      </w:r>
      <w:r w:rsidRPr="00E53B77">
        <w:rPr>
          <w:rStyle w:val="Style1Char"/>
          <w:color w:val="4472C4" w:themeColor="accent1"/>
          <w:rtl/>
        </w:rPr>
        <w:t>ואף על גב דלא אמרי' שודא דדייני בשטרי הלואות אלא בשטרי מקח כגון שני שטרות מכר ומתנה היוצאין ביום אחד כה"ג עבדינן שודא דדייני אף בשטרי הלואות שאם היו ב' שטרי הלואות על אדם אחד ואין לו ממון כדי פירעון שתיהן ואדם דקים ליה לדיין בגוויה מעיד על האחד שהוא פרוע יתן הדיין הממון למלוה אחר</w:t>
      </w:r>
      <w:r>
        <w:rPr>
          <w:rStyle w:val="Style1Char"/>
          <w:rFonts w:hint="cs"/>
          <w:color w:val="4472C4" w:themeColor="accent1"/>
        </w:rPr>
        <w:t>‍</w:t>
      </w:r>
      <w:r w:rsidRPr="00E53B77">
        <w:rPr>
          <w:rStyle w:val="Style1Char"/>
          <w:color w:val="4472C4" w:themeColor="accent1"/>
          <w:rtl/>
        </w:rPr>
        <w:t xml:space="preserve"> </w:t>
      </w:r>
      <w:r w:rsidRPr="006F767C">
        <w:rPr>
          <w:rStyle w:val="Style1Char"/>
          <w:color w:val="806000" w:themeColor="accent4" w:themeShade="80"/>
          <w:sz w:val="22"/>
          <w:szCs w:val="22"/>
          <w:rtl/>
        </w:rPr>
        <w:t>וחזינן לגאון דקאמר דהאידנא לא אפשר ליה לדיין למימר קים ליה בגויה דלא בריר לן קים לן בגויה היכי הוי הלכך לית ליה לאורועי שטרא או לאפוכי שבועה אלא בעדות ברורה ואעפ"כ בעדות אדם נאמן מחמיצין את הדין ודורשין וחוקרין עד שיתברר הדבר ויצא הדין לאמיתו:.</w:t>
      </w:r>
    </w:p>
    <w:p w14:paraId="06590602" w14:textId="7F62D751" w:rsidR="00C369CA" w:rsidRDefault="00C369CA" w:rsidP="00C369CA">
      <w:pPr>
        <w:bidi/>
        <w:rPr>
          <w:rStyle w:val="Style1Char"/>
          <w:color w:val="auto"/>
          <w:sz w:val="22"/>
          <w:szCs w:val="22"/>
        </w:rPr>
      </w:pPr>
      <w:r w:rsidRPr="00083BD6">
        <w:rPr>
          <w:rStyle w:val="Style1Char"/>
          <w:color w:val="auto"/>
          <w:sz w:val="22"/>
          <w:szCs w:val="22"/>
          <w:rtl/>
        </w:rPr>
        <w:t xml:space="preserve">ההיא איתתא דאיחייבא שבועה בי דינא דרב ביבי בר אביי, </w:t>
      </w:r>
      <w:r w:rsidR="00411FEA">
        <w:rPr>
          <w:rStyle w:val="Style1Char"/>
          <w:rFonts w:hint="cs"/>
          <w:rtl/>
        </w:rPr>
        <w:t>(5)</w:t>
      </w:r>
      <w:r w:rsidRPr="00083BD6">
        <w:rPr>
          <w:rStyle w:val="Style1Char"/>
          <w:color w:val="auto"/>
          <w:sz w:val="22"/>
          <w:szCs w:val="22"/>
          <w:rtl/>
        </w:rPr>
        <w:t>אמר להו ההוא בע"ד: תיתי ותישתבע במתא</w:t>
      </w:r>
      <w:r w:rsidRPr="00F94DDF">
        <w:rPr>
          <w:rStyle w:val="Style1Char"/>
          <w:sz w:val="22"/>
          <w:szCs w:val="22"/>
          <w:rtl/>
        </w:rPr>
        <w:t>,</w:t>
      </w:r>
      <w:r w:rsidRPr="00D2614D">
        <w:rPr>
          <w:rStyle w:val="Style1Char"/>
          <w:color w:val="00B050"/>
          <w:rtl/>
        </w:rPr>
        <w:t xml:space="preserve"> אפשר דמיכספא ומודיא</w:t>
      </w:r>
      <w:r w:rsidRPr="00083BD6">
        <w:rPr>
          <w:rStyle w:val="Style1Char"/>
          <w:color w:val="4472C4" w:themeColor="accent1"/>
          <w:rtl/>
        </w:rPr>
        <w:t xml:space="preserve"> </w:t>
      </w:r>
      <w:r w:rsidRPr="00E53B77">
        <w:rPr>
          <w:rStyle w:val="Style1Char"/>
          <w:color w:val="4472C4" w:themeColor="accent1"/>
          <w:rtl/>
        </w:rPr>
        <w:t>פי' שניהן היו דרים בעיר א' האיש והאשה והלכו לבית מדרשו של רב ביבי לדון לפניו ואמר האיש אחרי שאנו בעיר אחת כשתחזור לעירנו תשבע לי אולי תתבייש מבני העיר היודעין בדבר אבל בע"א אין התובע יכול לכוף את הנתבע שילך עמו במקום שהוא רוצה</w:t>
      </w:r>
      <w:r w:rsidRPr="00D2614D">
        <w:rPr>
          <w:rStyle w:val="Style1Char"/>
          <w:color w:val="00B050"/>
          <w:rtl/>
        </w:rPr>
        <w:t xml:space="preserve">, </w:t>
      </w:r>
      <w:r w:rsidRPr="00083BD6">
        <w:rPr>
          <w:rStyle w:val="Style1Char"/>
          <w:color w:val="auto"/>
          <w:sz w:val="22"/>
          <w:szCs w:val="22"/>
          <w:rtl/>
        </w:rPr>
        <w:t xml:space="preserve">אמרה להו: כתבו לי זכוותא </w:t>
      </w:r>
      <w:r w:rsidR="00411FEA">
        <w:rPr>
          <w:rStyle w:val="Style1Char"/>
          <w:rFonts w:hint="cs"/>
          <w:rtl/>
        </w:rPr>
        <w:t>(6)</w:t>
      </w:r>
      <w:r w:rsidRPr="00083BD6">
        <w:rPr>
          <w:rStyle w:val="Style1Char"/>
          <w:color w:val="auto"/>
          <w:sz w:val="22"/>
          <w:szCs w:val="22"/>
          <w:rtl/>
        </w:rPr>
        <w:t>דכי משתבענא יהבי לי</w:t>
      </w:r>
      <w:r w:rsidRPr="00083BD6">
        <w:rPr>
          <w:rStyle w:val="Style1Char"/>
          <w:color w:val="4472C4" w:themeColor="accent1"/>
          <w:rtl/>
        </w:rPr>
        <w:t xml:space="preserve"> </w:t>
      </w:r>
      <w:r w:rsidRPr="00E53B77">
        <w:rPr>
          <w:rStyle w:val="Style1Char"/>
          <w:color w:val="4472C4" w:themeColor="accent1"/>
          <w:rtl/>
        </w:rPr>
        <w:t>פי' אמרה שיכתבו לה פלונית נשבעת לפלוני ונפטרה הימנו ויתנוהו ביד נאמן שיתנהו לה אחר שתשבע</w:t>
      </w:r>
      <w:r w:rsidRPr="00F94DDF">
        <w:rPr>
          <w:rStyle w:val="Style1Char"/>
          <w:sz w:val="22"/>
          <w:szCs w:val="22"/>
          <w:rtl/>
        </w:rPr>
        <w:t xml:space="preserve">, </w:t>
      </w:r>
      <w:r w:rsidRPr="00083BD6">
        <w:rPr>
          <w:rStyle w:val="Style1Char"/>
          <w:color w:val="auto"/>
          <w:sz w:val="22"/>
          <w:szCs w:val="22"/>
          <w:rtl/>
        </w:rPr>
        <w:t>אמר להו רב ביבי בר אביי: כתבו לה. אמר רב פפי: משום דאתיתו ממולאי אמריתו מילי מוליתא? הא אמר רבא: האי אשרתא דדייני דמיכתבא מקמי דנחוו סהדי אחתימות ידייהו - פסולה, אלמא מיחזי כשיקרא, ה"נ מיחזי כשיקרא. וליתא, מדרב נחמן, דאמר רב נחמן, אומר היה ר"מ: אפי' מצאו באשפה, וחתמו ונתנו לה - כשר</w:t>
      </w:r>
      <w:r w:rsidRPr="00083BD6">
        <w:rPr>
          <w:rStyle w:val="Style1Char"/>
          <w:color w:val="auto"/>
          <w:rtl/>
        </w:rPr>
        <w:t xml:space="preserve">, </w:t>
      </w:r>
      <w:r w:rsidRPr="00083BD6">
        <w:rPr>
          <w:rStyle w:val="Style1Char"/>
          <w:color w:val="auto"/>
          <w:sz w:val="22"/>
          <w:szCs w:val="22"/>
          <w:rtl/>
        </w:rPr>
        <w:t xml:space="preserve">ואפי' רבנן לא פליגי עליה דר' מאיר - אלא בגיטי נשים, </w:t>
      </w:r>
      <w:r w:rsidR="00BE6D43">
        <w:rPr>
          <w:rStyle w:val="Style1Char"/>
          <w:rFonts w:hint="cs"/>
          <w:rtl/>
        </w:rPr>
        <w:t>(7)</w:t>
      </w:r>
      <w:r w:rsidRPr="00083BD6">
        <w:rPr>
          <w:rStyle w:val="Style1Char"/>
          <w:color w:val="auto"/>
          <w:sz w:val="22"/>
          <w:szCs w:val="22"/>
          <w:rtl/>
        </w:rPr>
        <w:t xml:space="preserve">דבעינן כתיבה לשמה, </w:t>
      </w:r>
      <w:r w:rsidR="00BE6D43">
        <w:rPr>
          <w:rStyle w:val="Style1Char"/>
          <w:rFonts w:hint="cs"/>
          <w:rtl/>
        </w:rPr>
        <w:t>(8)</w:t>
      </w:r>
      <w:r w:rsidRPr="00083BD6">
        <w:rPr>
          <w:rStyle w:val="Style1Char"/>
          <w:color w:val="auto"/>
          <w:sz w:val="22"/>
          <w:szCs w:val="22"/>
          <w:rtl/>
        </w:rPr>
        <w:t xml:space="preserve">אבל בשאר שטרות מודו ליה, דאמר רב אסי אמר ר' יוחנן: </w:t>
      </w:r>
      <w:r w:rsidR="00BE6D43">
        <w:rPr>
          <w:rStyle w:val="Style1Char"/>
          <w:rFonts w:hint="cs"/>
          <w:rtl/>
        </w:rPr>
        <w:t>(8, 9)</w:t>
      </w:r>
      <w:r w:rsidRPr="00083BD6">
        <w:rPr>
          <w:rStyle w:val="Style1Char"/>
          <w:color w:val="auto"/>
          <w:sz w:val="22"/>
          <w:szCs w:val="22"/>
          <w:rtl/>
        </w:rPr>
        <w:t xml:space="preserve">שטר שלוה בו ופרעו - אינו חוזר ולוה בו, שכבר נמחל שיעבודו, טעמא דנמחל שיעבודו, אבל למיחזי </w:t>
      </w:r>
    </w:p>
    <w:p w14:paraId="4071D809" w14:textId="6F92A192" w:rsidR="00B61861" w:rsidRDefault="00B61861" w:rsidP="00B61861">
      <w:pPr>
        <w:pStyle w:val="Style1"/>
        <w:rPr>
          <w:rStyle w:val="Style1Char"/>
          <w:rtl/>
        </w:rPr>
      </w:pPr>
      <w:r>
        <w:rPr>
          <w:rStyle w:val="Style1Char"/>
          <w:rFonts w:hint="cs"/>
          <w:rtl/>
        </w:rPr>
        <w:t>1)[</w:t>
      </w:r>
      <w:r w:rsidRPr="00B61861">
        <w:rPr>
          <w:rStyle w:val="Style1Char"/>
          <w:rtl/>
        </w:rPr>
        <w:t>רמב</w:t>
      </w:r>
      <w:r w:rsidR="0057095E">
        <w:rPr>
          <w:rStyle w:val="Style1Char"/>
          <w:rtl/>
        </w:rPr>
        <w:t>”ם \משפטים\</w:t>
      </w:r>
      <w:r w:rsidRPr="00B61861">
        <w:rPr>
          <w:rStyle w:val="Style1Char"/>
          <w:rtl/>
        </w:rPr>
        <w:t xml:space="preserve"> הלכות מלוה ולוה פרק יד הלכה ט</w:t>
      </w:r>
      <w:r>
        <w:rPr>
          <w:rStyle w:val="Style1Char"/>
          <w:rFonts w:hint="cs"/>
          <w:rtl/>
        </w:rPr>
        <w:t xml:space="preserve">] </w:t>
      </w:r>
      <w:r w:rsidRPr="00B61861">
        <w:rPr>
          <w:rStyle w:val="Style1Char"/>
          <w:rtl/>
        </w:rPr>
        <w:t>הוציא עליו שטר מקויים שיש לו עליו מנה ואמר לו הלוה הלא פרעתיך בפני פלוני ופלוני ובאו אלו והעידו שפרעו אבל לא הזכיר לו את השטר ואמר לו המלוה כן הוא שפרעת אבל חוב אחר פרעת שהיה לי אצלך הרי בטל השטר, בד"א כשהעידו שנתן לו בתורת פרעון אבל אם ראוהו נותן לו מעות ולא ידעו אם הוא בתורת פרעון או בתורת פקדון או בתורת מתנה, אם אמר בעל השטר לא היו דברים מעולם הרי הוחזק כפרן ובטל השטר, ואם אמר פרעון של חוב אחר הוא הרי זה נאמן ונשבע ונוטל מה שבשטר שהרי לא פרעו בעדים מתוך שיכול לומר מתנה נתנם לי נאמן לומר פרעון של חוב אחר הן, אמר לו הלוה והלא שטר חוב זה דמי שור שלקחתי ממך הוא ואתה גבית דמי בשרו, ואמר לו בעל השטר כן אני גביתי את דמיו מחוב אחר שהיה לי אצלך הואיל והודה מעצמו שדמי השור הוא החוב ומדמיו נפרע בטל השטר, ואף על פי שאין עליו עדים שפרע מדמיו ישבע הלוה היסת שפרעו וכן כל כיוצא בזה.</w:t>
      </w:r>
    </w:p>
    <w:p w14:paraId="5DDF2DF9" w14:textId="34FFBEDC" w:rsidR="00B61861" w:rsidRPr="00B61861" w:rsidRDefault="00B61861" w:rsidP="00B61861">
      <w:pPr>
        <w:pStyle w:val="Style1"/>
      </w:pPr>
      <w:r>
        <w:rPr>
          <w:rStyle w:val="Style1Char"/>
          <w:rFonts w:hint="cs"/>
          <w:rtl/>
        </w:rPr>
        <w:t>1)[</w:t>
      </w:r>
      <w:r w:rsidRPr="00B61861">
        <w:rPr>
          <w:rStyle w:val="Style1Char"/>
          <w:rtl/>
        </w:rPr>
        <w:t>שולחן ערוך חושן משפט הלכות הלואה סימן נח סעיף א</w:t>
      </w:r>
      <w:r>
        <w:rPr>
          <w:rStyle w:val="Style1Char"/>
          <w:rFonts w:hint="cs"/>
          <w:rtl/>
        </w:rPr>
        <w:t xml:space="preserve">] </w:t>
      </w:r>
      <w:r w:rsidRPr="00B61861">
        <w:rPr>
          <w:rtl/>
        </w:rPr>
        <w:t>המוציא שטר מקוים על חבירו וא"ל פרעתיך ואמר לו אמת שפרעתני אבל מלוה אחר היה לי עליך על פה ובשבילם קבלתים וזה השטר עדיין בחזקתו עומד אם לא נתנם לו בפני עדים נאמן והשטר עדיין בחזקתו וגובה בו בלא שבועה אם יש בו נאמנות ואם אח"כ יתבענו שלקח ממנו שלא כדין נשבע היסת ונפטר ואם אין בו נאמנות אינו נוטל אלא בשבועה ואם לא פרעו הלוה עצמו אלא שלחם ע"י שליח בין שאמר לו קח השטר ותן לו המעות בין שאמר לו </w:t>
      </w:r>
      <w:r w:rsidRPr="00B61861">
        <w:rPr>
          <w:rFonts w:hint="cs"/>
        </w:rPr>
        <w:t>(</w:t>
      </w:r>
      <w:r w:rsidRPr="00B61861">
        <w:rPr>
          <w:rFonts w:hint="cs"/>
          <w:rtl/>
        </w:rPr>
        <w:t>וע"ל </w:t>
      </w:r>
      <w:hyperlink r:id="rId215" w:anchor="%D7%A1%D7%A2%D7%99%D7%A3_%D7%94" w:tooltip="שולחן ערוך חושן משפט קל" w:history="1">
        <w:r w:rsidRPr="00B61861">
          <w:rPr>
            <w:rStyle w:val="Hyperlink"/>
            <w:rFonts w:hint="cs"/>
            <w:color w:val="7030A0"/>
            <w:u w:val="none"/>
            <w:rtl/>
          </w:rPr>
          <w:t>סי' ק"ל סעיף ה</w:t>
        </w:r>
        <w:r w:rsidRPr="00B61861">
          <w:rPr>
            <w:rStyle w:val="Hyperlink"/>
            <w:rFonts w:hint="cs"/>
            <w:color w:val="7030A0"/>
            <w:u w:val="none"/>
          </w:rPr>
          <w:t>'</w:t>
        </w:r>
      </w:hyperlink>
      <w:r w:rsidRPr="00B61861">
        <w:rPr>
          <w:rFonts w:hint="cs"/>
        </w:rPr>
        <w:t>)</w:t>
      </w:r>
      <w:r w:rsidRPr="00B61861">
        <w:t> </w:t>
      </w:r>
      <w:r w:rsidRPr="00B61861">
        <w:rPr>
          <w:rtl/>
        </w:rPr>
        <w:t>תן המעות וקח השטר חייב השליח לפרוע למשלח</w:t>
      </w:r>
      <w:r w:rsidRPr="00B61861">
        <w:t>. </w:t>
      </w:r>
      <w:r w:rsidRPr="00B61861">
        <w:rPr>
          <w:rFonts w:hint="cs"/>
        </w:rPr>
        <w:t>(</w:t>
      </w:r>
      <w:r w:rsidRPr="00B61861">
        <w:rPr>
          <w:rFonts w:hint="cs"/>
          <w:rtl/>
        </w:rPr>
        <w:t>וע"ל </w:t>
      </w:r>
      <w:hyperlink r:id="rId216" w:anchor="%D7%A1%D7%A2%D7%99%D7%A3_%D7%94" w:tooltip="שולחן ערוך חושן משפט קל" w:history="1">
        <w:r w:rsidRPr="00B61861">
          <w:rPr>
            <w:rStyle w:val="Hyperlink"/>
            <w:rFonts w:hint="cs"/>
            <w:color w:val="7030A0"/>
            <w:u w:val="none"/>
            <w:rtl/>
          </w:rPr>
          <w:t>סי' ק"ל ס"ה</w:t>
        </w:r>
      </w:hyperlink>
      <w:r w:rsidRPr="00B61861">
        <w:rPr>
          <w:rFonts w:hint="cs"/>
        </w:rPr>
        <w:t>)</w:t>
      </w:r>
      <w:r w:rsidRPr="00B61861">
        <w:t>:</w:t>
      </w:r>
    </w:p>
    <w:p w14:paraId="55F39D4C" w14:textId="77777777" w:rsidR="00B61861" w:rsidRPr="00B61861" w:rsidRDefault="00B61861" w:rsidP="00B61861">
      <w:pPr>
        <w:pStyle w:val="Style1"/>
      </w:pPr>
      <w:r w:rsidRPr="00B61861">
        <w:rPr>
          <w:rFonts w:hint="cs"/>
          <w:rtl/>
        </w:rPr>
        <w:t>הגה: וי"א דאחר דחייב השליח לשלם לא יכול המלוה לעכבן אם יאמר שהלוה חייב לו ממ"א אלא אם טוען שהשליח נתנם לו ג"כ על חוב אחר ויש חולקים וס"ל דבכל ענין יכול לומר דחייב לו ממקום אחר (מרדכי פרק הכותב שתי הדיעות) וכן מי שהפקיד ביד א' ואמר הנפקד שהפקדון הוא של פלוני אחר החייב לו אם טוען שבשליחות אותו פלוני נתן המפקיד בידו יכול לטעון עליו עד כדי דמיהן במיגו דהחזרתים אע"ג דהמפקיד יצטרך לשלם לאותו פלוני אבל אם אומר שהמפקיד לא הזכיר לו אותו פלוני רק הפקידו בידו רק שהוא טוען שהפקדון של פלוני לא יוכל לעכבן הואיל ולא יכול לברר שאותו פלוני חייב לו (ריב"ש סי' שצ"ג) וי"א דוקא שבא ליד הנפקד בתורת פקדון אבל אם תפסו מיד המפקיד ויש לו מגו יוכל לומר שאותו שהפקדון שלו הוא חייב לו כדי דמיו והמפקיד חייב לשלם שהרי פשע (ב"י סוף </w:t>
      </w:r>
      <w:hyperlink r:id="rId217" w:tooltip="טור חושן משפט פד" w:history="1">
        <w:r w:rsidRPr="00B61861">
          <w:rPr>
            <w:rStyle w:val="Hyperlink"/>
            <w:rFonts w:hint="cs"/>
            <w:color w:val="7030A0"/>
            <w:u w:val="none"/>
            <w:rtl/>
          </w:rPr>
          <w:t>סימן פ"ד</w:t>
        </w:r>
      </w:hyperlink>
      <w:r w:rsidRPr="00B61861">
        <w:rPr>
          <w:rFonts w:hint="cs"/>
        </w:rPr>
        <w:t> </w:t>
      </w:r>
      <w:r w:rsidRPr="00B61861">
        <w:rPr>
          <w:rFonts w:hint="cs"/>
          <w:rtl/>
        </w:rPr>
        <w:t>בשם הריטב"א וכ"כ עוד הריטב"א כתובות פרק הכותב ע"ש</w:t>
      </w:r>
      <w:r w:rsidRPr="00B61861">
        <w:rPr>
          <w:rFonts w:hint="cs"/>
        </w:rPr>
        <w:t>)</w:t>
      </w:r>
    </w:p>
    <w:p w14:paraId="7DE63F67" w14:textId="7B161CF6" w:rsidR="00B61861" w:rsidRDefault="00B61861" w:rsidP="00B61861">
      <w:pPr>
        <w:pStyle w:val="Style1"/>
        <w:rPr>
          <w:rtl/>
        </w:rPr>
      </w:pPr>
      <w:r w:rsidRPr="00B61861">
        <w:rPr>
          <w:rtl/>
        </w:rPr>
        <w:t>אבל אם לא הזכיר שיקח השטר פטור </w:t>
      </w:r>
      <w:r w:rsidRPr="00B61861">
        <w:rPr>
          <w:rFonts w:hint="cs"/>
          <w:rtl/>
        </w:rPr>
        <w:t>הואיל ולא אמר ליתנ' לו בפני עדים (טור)</w:t>
      </w:r>
      <w:r w:rsidRPr="00B61861">
        <w:t>:</w:t>
      </w:r>
    </w:p>
    <w:p w14:paraId="1A6214D0" w14:textId="4AD10103" w:rsidR="00C35A5D" w:rsidRDefault="00C35A5D" w:rsidP="00C35A5D">
      <w:pPr>
        <w:pStyle w:val="Style1"/>
        <w:rPr>
          <w:rtl/>
        </w:rPr>
      </w:pPr>
      <w:r>
        <w:rPr>
          <w:rFonts w:hint="cs"/>
          <w:rtl/>
        </w:rPr>
        <w:t>2)[</w:t>
      </w:r>
      <w:r>
        <w:rPr>
          <w:rtl/>
        </w:rPr>
        <w:t>רמב</w:t>
      </w:r>
      <w:r w:rsidR="00736FB6">
        <w:rPr>
          <w:rtl/>
        </w:rPr>
        <w:t>”ם \קניין\</w:t>
      </w:r>
      <w:r>
        <w:rPr>
          <w:rtl/>
        </w:rPr>
        <w:t xml:space="preserve"> הלכות שלוחין ושותפין פרק א הלכה ו</w:t>
      </w:r>
      <w:r>
        <w:rPr>
          <w:rFonts w:hint="cs"/>
          <w:rtl/>
        </w:rPr>
        <w:t xml:space="preserve">] </w:t>
      </w:r>
      <w:r>
        <w:rPr>
          <w:rtl/>
        </w:rPr>
        <w:t>מי שהיה חייב לחבירו ממון בין משום מלוה בין משום פקדון או שכירות ונתן המעות ביד השליח ואמר לו הולך ממון זה לבעל חובי אין השליח צריך להטפל לו וליתן לו בפני עדים, ואם אמר לשליח אל תפרע חוב זה אלא בעדים ופרעו שלא בעדים חייב לשלם, וכן אם היה החוב בשטר בין שאמר לו קח השטר ותן לו המעות בין שאמר לו תן המעות וקח השטר ונתן בלא עדים ולא לקח השטר חייב לשלם שהרי לתקן שלחו ולא לעוות.</w:t>
      </w:r>
    </w:p>
    <w:p w14:paraId="037462C5" w14:textId="1A4B4E8F" w:rsidR="00F80B28" w:rsidRDefault="00F80B28" w:rsidP="00F80B28">
      <w:pPr>
        <w:pStyle w:val="Style1"/>
        <w:rPr>
          <w:rtl/>
        </w:rPr>
      </w:pPr>
      <w:r>
        <w:rPr>
          <w:rFonts w:hint="cs"/>
          <w:rtl/>
        </w:rPr>
        <w:t>3)[</w:t>
      </w:r>
      <w:r>
        <w:rPr>
          <w:rtl/>
        </w:rPr>
        <w:t>רמב</w:t>
      </w:r>
      <w:r w:rsidR="0057095E">
        <w:rPr>
          <w:rtl/>
        </w:rPr>
        <w:t>”ם \משפטים\</w:t>
      </w:r>
      <w:r>
        <w:rPr>
          <w:rtl/>
        </w:rPr>
        <w:t xml:space="preserve"> הלכות מלוה ולוה פרק יא הלכה ח</w:t>
      </w:r>
      <w:r>
        <w:rPr>
          <w:rFonts w:hint="cs"/>
          <w:rtl/>
        </w:rPr>
        <w:t xml:space="preserve">] </w:t>
      </w:r>
      <w:r>
        <w:rPr>
          <w:rtl/>
        </w:rPr>
        <w:t>מצוה על היתומין לפרוע חוב אביהן מן המטלטלין שהניח ואם לא רצה היורש ליתן אין כופין אותו ואם תפס ב"ח מחיים גובה מהן, טען שמחיים תפסן והיורש טען שאחר מיתה תפס על היורש להביא ראיה או ישבע המלוה שכך וכך הוא חייב לו ויכול לטעון עד כדי דמיהן וכולל בשבועתו שמחיים תפס, היו הדברים שתפס שטרות וטען שהן משכון בידו על חובו ושמחיים תפס על המלוה להביא ראיה שמחיים תפס, ואם לא הביא ראיה יחזיר ליורשים מפני שאינו טוען לקנות גופם אלא לראיה שבהן.</w:t>
      </w:r>
    </w:p>
    <w:p w14:paraId="2CF4F735" w14:textId="454B187A" w:rsidR="00C1025C" w:rsidRPr="00C1025C" w:rsidRDefault="00F80B28" w:rsidP="00C1025C">
      <w:pPr>
        <w:pStyle w:val="Style1"/>
      </w:pPr>
      <w:r>
        <w:rPr>
          <w:rFonts w:hint="cs"/>
          <w:rtl/>
        </w:rPr>
        <w:t>3)[</w:t>
      </w:r>
      <w:r>
        <w:rPr>
          <w:rtl/>
        </w:rPr>
        <w:t>שולחן ערוך חושן משפט הלכות הלואה סימן סד</w:t>
      </w:r>
      <w:r>
        <w:rPr>
          <w:rFonts w:hint="cs"/>
          <w:rtl/>
        </w:rPr>
        <w:t>]</w:t>
      </w:r>
      <w:r w:rsidR="00C1025C">
        <w:rPr>
          <w:rFonts w:hint="cs"/>
          <w:rtl/>
        </w:rPr>
        <w:t xml:space="preserve"> </w:t>
      </w:r>
      <w:r w:rsidR="00C1025C" w:rsidRPr="00C1025C">
        <w:rPr>
          <w:rtl/>
        </w:rPr>
        <w:t>מי שהפקידו בידו שטרות ומת המפקיד וטוען הנפקד מחיים תפסתי אותם למשכון בשביל חוב שיש לי על המפקיד דאלו לגבותם לא היה מועיל בלא כתיבה אם יש עדים שתבעם ממנו מחיים ולא רצה להחזירם לו אז הויא תפיסה ואי לא לא ומיירי שיש עדים שהפקידם בידו וגם יש עדים שראום עתה בידו שאם לא כן היה נאמן במגו דנאנסו או לא היו דברים מעולם וכל זה לדינא דגמרא אבל למאי דתקון רבנן שגובין מטלטלי דיתמי גובין משטרותיהם אפי' לא תפס מחיים</w:t>
      </w:r>
      <w:r w:rsidR="00C1025C" w:rsidRPr="00C1025C">
        <w:t>:</w:t>
      </w:r>
    </w:p>
    <w:p w14:paraId="4CBC6E7E" w14:textId="77777777" w:rsidR="00C1025C" w:rsidRPr="00C1025C" w:rsidRDefault="00C1025C" w:rsidP="00C1025C">
      <w:pPr>
        <w:pStyle w:val="Style1"/>
      </w:pPr>
      <w:r w:rsidRPr="00C1025C">
        <w:rPr>
          <w:rtl/>
        </w:rPr>
        <w:t>הערה: * (דאם לא כן מטלטלי דיתמי לא משתעבדי לדינא דגמרא)</w:t>
      </w:r>
    </w:p>
    <w:p w14:paraId="73E7B821" w14:textId="6CF6C900" w:rsidR="00C1025C" w:rsidRDefault="00C1025C" w:rsidP="00C1025C">
      <w:pPr>
        <w:pStyle w:val="Style1"/>
        <w:rPr>
          <w:rtl/>
        </w:rPr>
      </w:pPr>
      <w:r w:rsidRPr="00C1025C">
        <w:rPr>
          <w:rFonts w:hint="cs"/>
          <w:rtl/>
        </w:rPr>
        <w:t>הגה: ואע"פ שאין לו מיגו ואינו יכול לומר לקוחין הם בידי מ"מ אם תפסם מחיים יוכל לומר למשכון תפסתים (תוס' והרא"ש פ' הכותב) דלא כיש מי שאומר דלא יוכל לומר למשכון תפסתים אלא בידוע שהיה חייב לו מאחר שאין לו מגו (ב"י בשם הרשב"א)</w:t>
      </w:r>
      <w:r w:rsidRPr="00C1025C">
        <w:t>:</w:t>
      </w:r>
    </w:p>
    <w:p w14:paraId="5289E62E" w14:textId="7DCF956B" w:rsidR="00C1025C" w:rsidRDefault="00C1025C" w:rsidP="00C1025C">
      <w:pPr>
        <w:pStyle w:val="Style1"/>
        <w:rPr>
          <w:rtl/>
        </w:rPr>
      </w:pPr>
      <w:r>
        <w:rPr>
          <w:rFonts w:hint="cs"/>
          <w:rtl/>
        </w:rPr>
        <w:t>4)[</w:t>
      </w:r>
      <w:r>
        <w:rPr>
          <w:rtl/>
        </w:rPr>
        <w:t>רמב</w:t>
      </w:r>
      <w:r w:rsidR="005258D6">
        <w:rPr>
          <w:rtl/>
        </w:rPr>
        <w:t>”</w:t>
      </w:r>
      <w:r>
        <w:rPr>
          <w:rtl/>
        </w:rPr>
        <w:t>ם</w:t>
      </w:r>
      <w:r w:rsidR="005258D6">
        <w:rPr>
          <w:rtl/>
        </w:rPr>
        <w:t xml:space="preserve">\שופטים\ </w:t>
      </w:r>
      <w:r>
        <w:rPr>
          <w:rtl/>
        </w:rPr>
        <w:t xml:space="preserve"> הלכות סנהדרין פרק כד הלכה א</w:t>
      </w:r>
      <w:r>
        <w:rPr>
          <w:rFonts w:hint="cs"/>
          <w:rtl/>
        </w:rPr>
        <w:t xml:space="preserve">] </w:t>
      </w:r>
      <w:r>
        <w:rPr>
          <w:rtl/>
        </w:rPr>
        <w:t xml:space="preserve">יש לדיין לדון בדיני ממונות על פי הדברים שדעתו נוטה להן שהן אמת והדבר חזק בלבו שהוא כן אף על פי שאין שם ראיה ברורה ואין צריך לומר אם היה יודע בודאי שהדבר כן הוא שהוא דן כפי מה שיודע, כיצד הרי שנתחייב אדם שבועה בב"ד ואמר לדיין אדם שהוא נאמן אצלו ושדעתו סומכת על דבריו שזה האיש חשוד על השבועה יש לדיין להפוך השבועה על שכנגדו וישבע ויטול הואיל וסמכה דעתו של דיין על דברי זה, אפילו היתה אשה או עבד נאמנים אצלו הואיל ומצא הדבר חזק ונכון בלבו סומך עליו ודן, ואין צריך לומר אם ידע הוא עצמו שזה חשוד. </w:t>
      </w:r>
      <w:r>
        <w:rPr>
          <w:rtl/>
        </w:rPr>
        <w:lastRenderedPageBreak/>
        <w:t>וכן אם יצא שטר חוב לפניו ואמר לו אדם שסמך עליו אפילו אשה או קרוב זה פרוע הוא אם סמכה דעתו על דבריו יש לו לומר לזה לא תפרע אלא בשבועה, או אם היה עליו שטר חוב לאחר יתן לזה שלא נפגם שטרו כלל ויניח זה שנפגם שטרו בדברי האחד או ישליך השטר בפניו ולא ידון בו כפי מה שיראה, וכן מי שבא וטען שיש לו פקדון אצל פלוני שמת בלא צואה ונתן סימנין מובהקין ולא היה זה הטוען רגיל להכנס בבית זה האיש שמת, אם ידע הדיין שזה המת אינו אמוד להיות לו חפץ זה וסמכה דעתו שאין זה החפץ של מת מוציאו מן היורשין ונותנו לזה האמוד בו ונתן סימנים, וכן כל כיוצא בזה שאין הדבר מסור אלא ללבו של דיין לפי מה שיראה לו שהוא דין האמת, אם כן למה הצריכה תורה שני עדים שבזמן שיבואו לפני הדיין שני עדים ידון על פי עדותן אף על פי שאינו יודע אם באמת העידו או בשקר. /השגת הראב"ד/ וכן אם יצא שטר חוב לפניו וכו' עד לא תפרע אלא וכו'. א"א דבר זה הוציא ממה שפירש רבינו חננאל במה שאמר רב פפא כגון אבא מר ברי קרענא שטרא אפומיה אומר דאפילו בשטר שיש בו נאמנות אינו גובה אלא בשבועה ואני אומר דאפילו בשבועה נמי לא גבי אלא מקרע נמי לא קרעינן ליה דוק ותשכח בכתובות פרק אף על פי ובשבועות פרק הדיינים דכל ריע שטרא לא מגבינן ביה או אם היה עליו שטר חוב לאחר יתן לזה שלא נפגם שטרו כלל ויניח זה שנפגם שטרו בדברי האחר או ישליך השטר בפניו ולא ידון כלל כפי מה שיראה עכ"ל.</w:t>
      </w:r>
    </w:p>
    <w:p w14:paraId="41F595C8" w14:textId="49D45EFD" w:rsidR="00411FEA" w:rsidRPr="00411FEA" w:rsidRDefault="00C1025C" w:rsidP="00411FEA">
      <w:pPr>
        <w:pStyle w:val="Style1"/>
      </w:pPr>
      <w:r>
        <w:rPr>
          <w:rFonts w:hint="cs"/>
          <w:rtl/>
        </w:rPr>
        <w:t>4)[</w:t>
      </w:r>
      <w:r>
        <w:rPr>
          <w:rtl/>
        </w:rPr>
        <w:t>שולחן ערוך חושן משפט הלכות דיינים סימן טו סעיף ה</w:t>
      </w:r>
      <w:r>
        <w:rPr>
          <w:rFonts w:hint="cs"/>
          <w:rtl/>
        </w:rPr>
        <w:t>]</w:t>
      </w:r>
      <w:r w:rsidR="00411FEA">
        <w:rPr>
          <w:rFonts w:hint="cs"/>
          <w:rtl/>
        </w:rPr>
        <w:t xml:space="preserve"> </w:t>
      </w:r>
      <w:r w:rsidR="00411FEA" w:rsidRPr="00411FEA">
        <w:rPr>
          <w:rtl/>
        </w:rPr>
        <w:t>יש לדיין לדון דיני ממונות ע"פ הדברים שדעתו נוטה להם שהם אמת והדבר חזק בלבו שהוא כך אע"פ שאין שם ראיה ברורה ומשרבו בתי דינים שאינם הגונים ובעלי בינה הסכימו שלא יהפכו שבועה אלא בראיה ברורה ולא יפגמו שטר ויפסידו חזקתו על פי עדות אשה או קרוב אע"פ שדעתו סומכת על דבריהם וכן אין מוציאים מהיתומים אלא בראיה ברורה לא בדעת הדיין ולא באומדן המת או הטוען ואעפ"כ אם העיד אדם נאמן בדבר מכל הדברים ונטתה דעת הדיין שאמת הוא אומר ממתין בדין ואינו דוחה עדותו ונושא ונותן עם בעלי דינים עד שיודו לדברי העד ודורש וחוקר עד שיתברר הדבר או יעשו פשרה או יסתלק מן הדין כמו שנתבאר</w:t>
      </w:r>
      <w:r w:rsidR="00411FEA" w:rsidRPr="00411FEA">
        <w:t>:</w:t>
      </w:r>
    </w:p>
    <w:p w14:paraId="057FFD77" w14:textId="30285433" w:rsidR="00411FEA" w:rsidRDefault="00411FEA" w:rsidP="00411FEA">
      <w:pPr>
        <w:pStyle w:val="Style1"/>
        <w:rPr>
          <w:rtl/>
        </w:rPr>
      </w:pPr>
      <w:r w:rsidRPr="00411FEA">
        <w:rPr>
          <w:rFonts w:hint="cs"/>
          <w:rtl/>
        </w:rPr>
        <w:t>הגה: ואם נראה לב"ד שאחד גוזל חבירו ולא יוכלו להוציאו ממנו בדין יכולין לגזור על שאר בני אדם שלא ישאו ויתנו עמו ואם היא אשה שלא תנשא לאיש ולא יעסקו בשידוכיה עד שתוציא מידה שאינו שלה (פסקי מהרא"י סי' ר"ס) ועיין לקמן </w:t>
      </w:r>
      <w:hyperlink r:id="rId218" w:anchor="%D7%A1%D7%A2%D7%99%D7%A3_%D7%94" w:tooltip="שולחן ערוך חושן משפט שנח" w:history="1">
        <w:r w:rsidRPr="00411FEA">
          <w:rPr>
            <w:rStyle w:val="Hyperlink"/>
            <w:rFonts w:hint="cs"/>
            <w:color w:val="7030A0"/>
            <w:u w:val="none"/>
            <w:rtl/>
          </w:rPr>
          <w:t>סימן שנ"ח סעיף ה</w:t>
        </w:r>
        <w:r w:rsidRPr="00411FEA">
          <w:rPr>
            <w:rStyle w:val="Hyperlink"/>
            <w:rFonts w:hint="cs"/>
            <w:color w:val="7030A0"/>
            <w:u w:val="none"/>
          </w:rPr>
          <w:t>'</w:t>
        </w:r>
      </w:hyperlink>
      <w:r w:rsidRPr="00411FEA">
        <w:t>:</w:t>
      </w:r>
    </w:p>
    <w:p w14:paraId="244194EB" w14:textId="476DE393" w:rsidR="00EC084E" w:rsidRPr="00EC084E" w:rsidRDefault="00411FEA" w:rsidP="00EC084E">
      <w:pPr>
        <w:pStyle w:val="Style1"/>
      </w:pPr>
      <w:r>
        <w:rPr>
          <w:rFonts w:hint="cs"/>
          <w:rtl/>
        </w:rPr>
        <w:t>5)[</w:t>
      </w:r>
      <w:r>
        <w:rPr>
          <w:rtl/>
        </w:rPr>
        <w:t>שולחן ערוך חושן משפט הלכות טוען ונטען סימן פז סעיף כג</w:t>
      </w:r>
      <w:r>
        <w:rPr>
          <w:rFonts w:hint="cs"/>
          <w:rtl/>
        </w:rPr>
        <w:t>]</w:t>
      </w:r>
      <w:r w:rsidR="00EC084E">
        <w:rPr>
          <w:rFonts w:hint="cs"/>
          <w:rtl/>
        </w:rPr>
        <w:t xml:space="preserve"> </w:t>
      </w:r>
      <w:r w:rsidR="00EC084E" w:rsidRPr="00EC084E">
        <w:rPr>
          <w:rtl/>
        </w:rPr>
        <w:t>כל שבועה מן הדין בפני הלה שכנגדו </w:t>
      </w:r>
      <w:r w:rsidR="00EC084E" w:rsidRPr="00EC084E">
        <w:rPr>
          <w:rFonts w:hint="cs"/>
          <w:rtl/>
        </w:rPr>
        <w:t>(או) בפני העד (ה"ה פ"ז ממלוה) אם אין התובע יודע האמת רק ע"פ העד (ואז) א"צ לישבע בפני התובע (ב"י בשם תשובת אשכנזית) (רשב"א)</w:t>
      </w:r>
      <w:r w:rsidR="00EC084E" w:rsidRPr="00EC084E">
        <w:rPr>
          <w:rtl/>
        </w:rPr>
        <w:t> ואם השביעוהו שלא בפניו אם נשבע כתקנו ועל דעת ב"ד נפטר</w:t>
      </w:r>
      <w:r w:rsidR="00EC084E" w:rsidRPr="00EC084E">
        <w:t>:</w:t>
      </w:r>
    </w:p>
    <w:p w14:paraId="02FAB7D8" w14:textId="5DC05DC9" w:rsidR="00EC084E" w:rsidRDefault="00EC084E" w:rsidP="00EC084E">
      <w:pPr>
        <w:pStyle w:val="Style1"/>
        <w:rPr>
          <w:rtl/>
        </w:rPr>
      </w:pPr>
      <w:r w:rsidRPr="00EC084E">
        <w:rPr>
          <w:rFonts w:hint="cs"/>
          <w:rtl/>
        </w:rPr>
        <w:t>הגה: ואע"פ שלא נשבע במקומו שהוא מקום רבים ואיכא למימר שיתבייש לפניהם מיהו לכתחילה יכול לומר שישבע לו במקום שנעשה שם העסק שיודעין שם בני האדם או שהוא מקום רבים (ב"י בשם הרשב"א) מיהו אם אין הנשבע הולך לשם עכשיו צריך להמתין עד שיבא שם ואז צריך לישבע שם ולא יכול לומר לא אשבע אלא בעירי (ב"י בשם תשו' אשכנזית)</w:t>
      </w:r>
      <w:r w:rsidRPr="00EC084E">
        <w:t>:</w:t>
      </w:r>
    </w:p>
    <w:p w14:paraId="37DACAA0" w14:textId="762B0D42" w:rsidR="00EC084E" w:rsidRDefault="00EC084E" w:rsidP="00EC084E">
      <w:pPr>
        <w:pStyle w:val="Style1"/>
        <w:rPr>
          <w:rtl/>
        </w:rPr>
      </w:pPr>
      <w:r>
        <w:rPr>
          <w:rFonts w:hint="cs"/>
          <w:rtl/>
        </w:rPr>
        <w:t>6)[</w:t>
      </w:r>
      <w:r>
        <w:rPr>
          <w:rtl/>
        </w:rPr>
        <w:t>רמב</w:t>
      </w:r>
      <w:r w:rsidR="0057095E">
        <w:rPr>
          <w:rtl/>
        </w:rPr>
        <w:t>”ם \משפטים\</w:t>
      </w:r>
      <w:r>
        <w:rPr>
          <w:rtl/>
        </w:rPr>
        <w:t xml:space="preserve"> הלכות מלוה ולוה פרק יד הלכה יב</w:t>
      </w:r>
      <w:r>
        <w:rPr>
          <w:rFonts w:hint="cs"/>
          <w:rtl/>
        </w:rPr>
        <w:t xml:space="preserve">] </w:t>
      </w:r>
      <w:r>
        <w:rPr>
          <w:rtl/>
        </w:rPr>
        <w:t>מי שטען שפרע השטר ואמר ישבע המלוה ויטול אומרים לו הבא מעותיו ואחר כך ישבע ויטול, אם אין לו כלום לשלם משביעין אותו כתקנת הגאונים שאין לו ולכשתשיג ידו יתן לבעל חובו וישביעו שלא פרע ואח"כ יתן לו.</w:t>
      </w:r>
    </w:p>
    <w:p w14:paraId="3EB13D24" w14:textId="7846D0E7" w:rsidR="00EC084E" w:rsidRDefault="00EC084E" w:rsidP="00EC084E">
      <w:pPr>
        <w:pStyle w:val="Style1"/>
        <w:rPr>
          <w:rtl/>
        </w:rPr>
      </w:pPr>
      <w:r>
        <w:rPr>
          <w:rFonts w:hint="cs"/>
          <w:rtl/>
        </w:rPr>
        <w:t>6)[</w:t>
      </w:r>
      <w:r>
        <w:rPr>
          <w:rtl/>
        </w:rPr>
        <w:t>שולחן ערוך חושן משפט הלכות טוען ונטען סימן פב סעיף ג</w:t>
      </w:r>
      <w:r>
        <w:rPr>
          <w:rFonts w:hint="cs"/>
          <w:rtl/>
        </w:rPr>
        <w:t xml:space="preserve">] </w:t>
      </w:r>
      <w:r w:rsidRPr="00EC084E">
        <w:rPr>
          <w:rtl/>
        </w:rPr>
        <w:t>כשטוען שפרע השטר ואמר ישבע לי המלוה ויטול אומרים לו הבא מעותיו ואחר כך ישבע ויטול ואם טען הלוה שאין לו מה לפרוע ישבע הלוה שאין לו וכשתגיע ידו ישביע למלוה שלא פרעו ואז יתן לו</w:t>
      </w:r>
      <w:r w:rsidRPr="00EC084E">
        <w:t>:</w:t>
      </w:r>
    </w:p>
    <w:p w14:paraId="4FC91312" w14:textId="0F9A66D0" w:rsidR="00EC084E" w:rsidRDefault="00EC084E" w:rsidP="00EC084E">
      <w:pPr>
        <w:pStyle w:val="Style1"/>
        <w:rPr>
          <w:rtl/>
        </w:rPr>
      </w:pPr>
      <w:r>
        <w:rPr>
          <w:rFonts w:hint="cs"/>
          <w:rtl/>
        </w:rPr>
        <w:t>7)[</w:t>
      </w:r>
      <w:r>
        <w:rPr>
          <w:rtl/>
        </w:rPr>
        <w:t>רמב</w:t>
      </w:r>
      <w:r w:rsidR="00213DA1">
        <w:rPr>
          <w:rtl/>
        </w:rPr>
        <w:t>”ם \נשים\</w:t>
      </w:r>
      <w:r>
        <w:rPr>
          <w:rtl/>
        </w:rPr>
        <w:t xml:space="preserve"> הלכות גירושין פרק ג הלכה ד</w:t>
      </w:r>
      <w:r>
        <w:rPr>
          <w:rFonts w:hint="cs"/>
          <w:rtl/>
        </w:rPr>
        <w:t xml:space="preserve">] </w:t>
      </w:r>
      <w:r>
        <w:rPr>
          <w:rtl/>
        </w:rPr>
        <w:t>יתר על כן אמר לסופר כתוב ואיזו שארצה אגרש בו וכתב הסופר על דעת זו וגירש בו אחת מהן הרי זה ספק גירושין, וכל גט שכתבו שלא לשמה אף על פי שהעביר עליו קולמוס לשמה אינו גט.</w:t>
      </w:r>
    </w:p>
    <w:p w14:paraId="06545579" w14:textId="79D97EE5" w:rsidR="00EC084E" w:rsidRDefault="00EC084E" w:rsidP="00EC084E">
      <w:pPr>
        <w:pStyle w:val="Style1"/>
        <w:rPr>
          <w:rtl/>
        </w:rPr>
      </w:pPr>
      <w:r>
        <w:rPr>
          <w:rFonts w:hint="cs"/>
          <w:rtl/>
        </w:rPr>
        <w:t>7)[</w:t>
      </w:r>
      <w:r>
        <w:rPr>
          <w:rtl/>
        </w:rPr>
        <w:t>שולחן ערוך אבן העזר הלכות גיטין סימן קלא סעיף א</w:t>
      </w:r>
      <w:r>
        <w:rPr>
          <w:rFonts w:hint="cs"/>
          <w:rtl/>
        </w:rPr>
        <w:t xml:space="preserve">] </w:t>
      </w:r>
      <w:r w:rsidR="00BE6D43" w:rsidRPr="00BE6D43">
        <w:rPr>
          <w:rtl/>
        </w:rPr>
        <w:t>צריך שתהיה כתיבת הגט וחתימתו לשם האיש המגרש ולשם האשה המתגרשת. ואם לא נכתב לשמה, אינו גט. כיצד, סופר שכתב גט ללמד או להתלמד, ובא הבעל ומצא שם שנכתב בגט זה כשמו, ושם האשה כשם אשתו, ושם העיר כשם עירו, ונטלו וגרש בו, אינו גט</w:t>
      </w:r>
      <w:r w:rsidR="00BE6D43" w:rsidRPr="00BE6D43">
        <w:t>:</w:t>
      </w:r>
    </w:p>
    <w:p w14:paraId="36A50CAB" w14:textId="7071CFB4" w:rsidR="00BE6D43" w:rsidRPr="00BE6D43" w:rsidRDefault="00BE6D43" w:rsidP="00BE6D43">
      <w:pPr>
        <w:pStyle w:val="Style1"/>
      </w:pPr>
      <w:r>
        <w:rPr>
          <w:rFonts w:hint="cs"/>
          <w:rtl/>
        </w:rPr>
        <w:t>8)[</w:t>
      </w:r>
      <w:r>
        <w:rPr>
          <w:rtl/>
        </w:rPr>
        <w:t>שולחן ערוך חושן משפט הלכות הלואה סימן מח</w:t>
      </w:r>
      <w:r>
        <w:rPr>
          <w:rFonts w:hint="cs"/>
          <w:rtl/>
        </w:rPr>
        <w:t xml:space="preserve">] </w:t>
      </w:r>
      <w:r w:rsidRPr="00BE6D43">
        <w:rPr>
          <w:rtl/>
        </w:rPr>
        <w:t>סופר שבא לכתוב טופסי שטרות כדי שיהיו מצויים אצלו הרשות בידו ויכול לכתוב הכל שם הלוה והמלוה והמעות רק שיניח מקום הזמן שלא יהיה מוקדם אבל שטר שנכתב על הלואה אחת ונפרע אינו יכול לחזור וללות בו אפילו אם הכל ביום א' שאינו מוקדם שכיון שנמחל שעבודו אינו חוזר ולוה בו ואם פרע מקצת חובו אינו חוזר ולוה בו באותו שטר אותו מקצת דהוי נמחל שעבודו לאותו מקצת</w:t>
      </w:r>
    </w:p>
    <w:p w14:paraId="74E3C147" w14:textId="593A2061" w:rsidR="00BE6D43" w:rsidRDefault="00BE6D43" w:rsidP="00BE6D43">
      <w:pPr>
        <w:pStyle w:val="Style1"/>
        <w:rPr>
          <w:rtl/>
        </w:rPr>
      </w:pPr>
      <w:r w:rsidRPr="00BE6D43">
        <w:rPr>
          <w:rFonts w:hint="cs"/>
          <w:rtl/>
        </w:rPr>
        <w:t>הגה: ויש מי שאומר הא דנמחל שיעבודו היינו הקנין הראשון ולכן אם חזר וקבל קנין יכול לחזור וללות בו (מרדכי פ' כל הגט) ואפי' לא חזר והקנה לו רק שחזר ומסרו לו בפני עדים למ"ד עידי מסירה עיקר אפי' בשטרות (מרדכי פרק הכותב) (וע' לקמן </w:t>
      </w:r>
      <w:hyperlink r:id="rId219" w:tooltip="שולחן ערוך חושן משפט נא" w:history="1">
        <w:r w:rsidRPr="00BE6D43">
          <w:rPr>
            <w:rStyle w:val="Hyperlink"/>
            <w:rFonts w:hint="cs"/>
            <w:color w:val="7030A0"/>
            <w:u w:val="none"/>
            <w:rtl/>
          </w:rPr>
          <w:t>סי' נ"א</w:t>
        </w:r>
      </w:hyperlink>
      <w:r w:rsidRPr="00BE6D43">
        <w:rPr>
          <w:rFonts w:hint="cs"/>
        </w:rPr>
        <w:t>)</w:t>
      </w:r>
      <w:r w:rsidRPr="00BE6D43">
        <w:t>:</w:t>
      </w:r>
    </w:p>
    <w:p w14:paraId="25F909F9" w14:textId="1C52177F" w:rsidR="00BE6D43" w:rsidRPr="00BE6D43" w:rsidRDefault="00BE6D43" w:rsidP="00BE6D43">
      <w:pPr>
        <w:pStyle w:val="Style1"/>
      </w:pPr>
      <w:r>
        <w:rPr>
          <w:rFonts w:hint="cs"/>
          <w:rtl/>
        </w:rPr>
        <w:t>9)[</w:t>
      </w:r>
      <w:r>
        <w:rPr>
          <w:rtl/>
        </w:rPr>
        <w:t>רמב</w:t>
      </w:r>
      <w:r w:rsidR="0057095E">
        <w:rPr>
          <w:rtl/>
        </w:rPr>
        <w:t>”ם \משפטים\</w:t>
      </w:r>
      <w:r>
        <w:rPr>
          <w:rtl/>
        </w:rPr>
        <w:t xml:space="preserve"> הלכות מלוה ולוה פרק יד הלכה ז</w:t>
      </w:r>
      <w:r>
        <w:rPr>
          <w:rFonts w:hint="cs"/>
          <w:rtl/>
        </w:rPr>
        <w:t xml:space="preserve">] </w:t>
      </w:r>
      <w:r>
        <w:rPr>
          <w:rtl/>
        </w:rPr>
        <w:t>שטר שלוה בו ופרעו אינו חוזר ולוה בו שכבר נמחל שעבודו ונעשה כחרס.</w:t>
      </w:r>
    </w:p>
    <w:p w14:paraId="4F5789C4" w14:textId="77777777" w:rsidR="00BE6D43" w:rsidRPr="00BE6D43" w:rsidRDefault="00BE6D43" w:rsidP="00BE6D43">
      <w:pPr>
        <w:pStyle w:val="Style1"/>
      </w:pPr>
    </w:p>
    <w:p w14:paraId="27E60B08" w14:textId="64330D6F" w:rsidR="00BE6D43" w:rsidRPr="00BE6D43" w:rsidRDefault="00BE6D43" w:rsidP="00BE6D43">
      <w:pPr>
        <w:pStyle w:val="Style1"/>
        <w:rPr>
          <w:rtl/>
        </w:rPr>
      </w:pPr>
    </w:p>
    <w:p w14:paraId="01B6D6F0" w14:textId="77777777" w:rsidR="00EC084E" w:rsidRPr="00EC084E" w:rsidRDefault="00EC084E" w:rsidP="00EC084E">
      <w:pPr>
        <w:pStyle w:val="Style1"/>
      </w:pPr>
    </w:p>
    <w:p w14:paraId="462DDC20" w14:textId="2E179B4F" w:rsidR="00EC084E" w:rsidRPr="00EC084E" w:rsidRDefault="00EC084E" w:rsidP="00EC084E">
      <w:pPr>
        <w:pStyle w:val="Style1"/>
      </w:pPr>
    </w:p>
    <w:p w14:paraId="39C517C1" w14:textId="3B591E00" w:rsidR="00EC084E" w:rsidRPr="00EC084E" w:rsidRDefault="00EC084E" w:rsidP="00EC084E">
      <w:pPr>
        <w:pStyle w:val="Style1"/>
      </w:pPr>
    </w:p>
    <w:p w14:paraId="35C2C917" w14:textId="77777777" w:rsidR="00EC084E" w:rsidRPr="00EC084E" w:rsidRDefault="00EC084E" w:rsidP="00EC084E">
      <w:pPr>
        <w:pStyle w:val="Style1"/>
      </w:pPr>
    </w:p>
    <w:p w14:paraId="1632E7D8" w14:textId="38E1CC9E" w:rsidR="00411FEA" w:rsidRPr="00EC084E" w:rsidRDefault="00411FEA" w:rsidP="00EC084E">
      <w:pPr>
        <w:pStyle w:val="Style1"/>
      </w:pPr>
    </w:p>
    <w:p w14:paraId="4918EE2A" w14:textId="77777777" w:rsidR="00411FEA" w:rsidRPr="00EC084E" w:rsidRDefault="00411FEA" w:rsidP="00EC084E">
      <w:pPr>
        <w:pStyle w:val="Style1"/>
      </w:pPr>
    </w:p>
    <w:p w14:paraId="08FED1D7" w14:textId="7677C2AE" w:rsidR="00C1025C" w:rsidRPr="00EC084E" w:rsidRDefault="00C1025C" w:rsidP="00EC084E">
      <w:pPr>
        <w:pStyle w:val="Style1"/>
      </w:pPr>
    </w:p>
    <w:p w14:paraId="5A91F455" w14:textId="77777777" w:rsidR="00B61861" w:rsidRPr="00EC084E" w:rsidRDefault="00B61861" w:rsidP="00EC084E">
      <w:pPr>
        <w:pStyle w:val="Style1"/>
        <w:rPr>
          <w:rStyle w:val="Style1Char"/>
        </w:rPr>
      </w:pPr>
    </w:p>
    <w:p w14:paraId="0D046859" w14:textId="77777777" w:rsidR="00C369CA" w:rsidRPr="00C1025C" w:rsidRDefault="00C369CA" w:rsidP="00C1025C">
      <w:pPr>
        <w:pStyle w:val="Style1"/>
        <w:rPr>
          <w:rStyle w:val="Style1Char"/>
          <w:rtl/>
        </w:rPr>
      </w:pPr>
      <w:r w:rsidRPr="00C1025C">
        <w:rPr>
          <w:rStyle w:val="Style1Char"/>
          <w:rtl/>
        </w:rPr>
        <w:br w:type="page"/>
      </w:r>
    </w:p>
    <w:p w14:paraId="7D23E510" w14:textId="75BF5182" w:rsidR="00C369CA" w:rsidRPr="00E53B77" w:rsidRDefault="00C369CA" w:rsidP="00C369CA">
      <w:pPr>
        <w:bidi/>
        <w:rPr>
          <w:rStyle w:val="Style1Char"/>
          <w:color w:val="4472C4" w:themeColor="accent1"/>
        </w:rPr>
      </w:pPr>
      <w:r w:rsidRPr="00083BD6">
        <w:rPr>
          <w:rStyle w:val="Style1Char"/>
          <w:color w:val="auto"/>
          <w:sz w:val="22"/>
          <w:szCs w:val="22"/>
          <w:highlight w:val="yellow"/>
          <w:rtl/>
        </w:rPr>
        <w:lastRenderedPageBreak/>
        <w:t>[דף פה עמוד ב]</w:t>
      </w:r>
      <w:r w:rsidRPr="00083BD6">
        <w:rPr>
          <w:rStyle w:val="Style1Char"/>
          <w:color w:val="auto"/>
          <w:sz w:val="22"/>
          <w:szCs w:val="22"/>
          <w:rtl/>
        </w:rPr>
        <w:t xml:space="preserve"> כשיקרא לא חיישינן.</w:t>
      </w:r>
      <w:r w:rsidRPr="00083BD6">
        <w:rPr>
          <w:rStyle w:val="Style1Char"/>
          <w:color w:val="auto"/>
          <w:rtl/>
        </w:rPr>
        <w:t xml:space="preserve"> </w:t>
      </w:r>
      <w:r w:rsidR="00BE6D43">
        <w:rPr>
          <w:rStyle w:val="Style1Char"/>
          <w:rFonts w:hint="cs"/>
          <w:rtl/>
        </w:rPr>
        <w:t>(1)</w:t>
      </w:r>
      <w:r w:rsidRPr="00AD4544">
        <w:rPr>
          <w:rStyle w:val="Style1Char"/>
          <w:color w:val="auto"/>
          <w:sz w:val="22"/>
          <w:szCs w:val="22"/>
          <w:rtl/>
        </w:rPr>
        <w:t>ההוא גברא דאפקיד שב מרגניתא דציירי בסדינא בי רבי מיאשא בר בריה דר' יהושע בן לוי, שכיב ר' מיאשא ולא פקיד, אתו לקמיה דר' אמי, א"ל: חדא, דידענא ביה בר' מיאשא</w:t>
      </w:r>
      <w:r w:rsidRPr="00F94DDF">
        <w:rPr>
          <w:rStyle w:val="Style1Char"/>
          <w:sz w:val="22"/>
          <w:szCs w:val="22"/>
          <w:rtl/>
        </w:rPr>
        <w:t xml:space="preserve"> </w:t>
      </w:r>
      <w:r w:rsidRPr="00D2614D">
        <w:rPr>
          <w:rStyle w:val="Style1Char"/>
          <w:color w:val="00B050"/>
          <w:rtl/>
        </w:rPr>
        <w:t xml:space="preserve">בר בריה דר' יהושע בן לוי </w:t>
      </w:r>
      <w:r w:rsidRPr="00094E89">
        <w:rPr>
          <w:rStyle w:val="Style1Char"/>
          <w:color w:val="auto"/>
          <w:sz w:val="22"/>
          <w:szCs w:val="22"/>
          <w:rtl/>
        </w:rPr>
        <w:t>דלא אמיד</w:t>
      </w:r>
      <w:r w:rsidRPr="00094E89">
        <w:rPr>
          <w:rStyle w:val="Style1Char"/>
          <w:color w:val="4472C4" w:themeColor="accent1"/>
          <w:rtl/>
        </w:rPr>
        <w:t xml:space="preserve"> </w:t>
      </w:r>
      <w:r w:rsidRPr="00E53B77">
        <w:rPr>
          <w:rStyle w:val="Style1Char"/>
          <w:color w:val="4472C4" w:themeColor="accent1"/>
          <w:rtl/>
        </w:rPr>
        <w:t>ואף על פי שאם היה ר' מיאשא קיים והיה אומר שלו הם מהימן מ"מ</w:t>
      </w:r>
      <w:r>
        <w:rPr>
          <w:rStyle w:val="Style1Char"/>
          <w:rFonts w:hint="cs"/>
          <w:color w:val="4472C4" w:themeColor="accent1"/>
        </w:rPr>
        <w:t>‍</w:t>
      </w:r>
      <w:r w:rsidRPr="00E53B77">
        <w:rPr>
          <w:rStyle w:val="Style1Char"/>
          <w:color w:val="4472C4" w:themeColor="accent1"/>
          <w:rtl/>
        </w:rPr>
        <w:t xml:space="preserve"> מילתא דלא שכיח לא טענינן להו ליתמי </w:t>
      </w:r>
      <w:r>
        <w:rPr>
          <w:rStyle w:val="Style1Char"/>
          <w:rFonts w:hint="cs"/>
          <w:color w:val="4472C4" w:themeColor="accent1"/>
        </w:rPr>
        <w:t>‍</w:t>
      </w:r>
      <w:r w:rsidRPr="00E53B77">
        <w:rPr>
          <w:rStyle w:val="Style1Char"/>
          <w:color w:val="4472C4" w:themeColor="accent1"/>
          <w:rtl/>
        </w:rPr>
        <w:t>כדאמר בפ' המוכר את הבית (דף ע ב) גבי שטר כיס היוצא על היתומים דלא טענינן ליתמי נאנסו משום דלא שכיח אף על פי שאביהם היה יכול לטעון נאנסו</w:t>
      </w:r>
      <w:r w:rsidRPr="00094E89">
        <w:rPr>
          <w:rStyle w:val="Style1Char"/>
          <w:color w:val="auto"/>
          <w:sz w:val="22"/>
          <w:szCs w:val="22"/>
          <w:rtl/>
        </w:rPr>
        <w:t>; ועוד, הא קא יהיב סימנא</w:t>
      </w:r>
      <w:r w:rsidRPr="008A17F0">
        <w:rPr>
          <w:rStyle w:val="Style1Char"/>
          <w:color w:val="4472C4" w:themeColor="accent1"/>
          <w:rtl/>
        </w:rPr>
        <w:t xml:space="preserve"> </w:t>
      </w:r>
      <w:r w:rsidRPr="00E53B77">
        <w:rPr>
          <w:rStyle w:val="Style1Char"/>
          <w:color w:val="4472C4" w:themeColor="accent1"/>
          <w:rtl/>
        </w:rPr>
        <w:t>האי ועוד לא אתא לבטולי לטעמיה קמא ולמימר דאפי' אי אמיד יהבינן ליה נינהו כיון דקא יהיב סימנא דאם כן לא שבקת חיי לכל בני העשירים שאדם הרגיל אצלן ומכיר בסימני כלי כסף וזהב שלהם ילך ויגיד לאחרים ויתנו סימן אלא הני תרי טעמי שייכי אהדדי ואין מועילין זה בלא זה דבעינן דלא אמיד ויהיב סימנא ודוקא היכא שהיתומים טוענים שמא אבל אי טוענים ודאי אבינו אמר לנו שהיו שלו משתבעי דקושטא קאמרי ולא מפקינן מינייהו. וכן היה אומר ה"ר משה בר' יוסף ז"ל מנרבונ"א והביא ראיה מדקאמר ולא פקיד הא אי פקיד אף על גב דלא אמיד לא מפקינן מינייהו</w:t>
      </w:r>
      <w:r w:rsidRPr="00F94DDF">
        <w:rPr>
          <w:rStyle w:val="Style1Char"/>
          <w:sz w:val="22"/>
          <w:szCs w:val="22"/>
          <w:rtl/>
        </w:rPr>
        <w:t xml:space="preserve">. </w:t>
      </w:r>
      <w:r w:rsidRPr="008A17F0">
        <w:rPr>
          <w:rStyle w:val="Style1Char"/>
          <w:color w:val="auto"/>
          <w:sz w:val="22"/>
          <w:szCs w:val="22"/>
          <w:rtl/>
        </w:rPr>
        <w:t xml:space="preserve">ולא אמרן - אלא </w:t>
      </w:r>
      <w:r w:rsidRPr="008A17F0">
        <w:rPr>
          <w:rStyle w:val="Style1Char"/>
          <w:color w:val="806000" w:themeColor="accent4" w:themeShade="80"/>
          <w:sz w:val="22"/>
          <w:szCs w:val="22"/>
          <w:rtl/>
        </w:rPr>
        <w:t xml:space="preserve">באיניש </w:t>
      </w:r>
      <w:r w:rsidRPr="008A17F0">
        <w:rPr>
          <w:rStyle w:val="Style1Char"/>
          <w:color w:val="auto"/>
          <w:sz w:val="22"/>
          <w:szCs w:val="22"/>
          <w:rtl/>
        </w:rPr>
        <w:t xml:space="preserve">דלא רגיל דעייל ונפיק </w:t>
      </w:r>
      <w:r w:rsidRPr="009D1FEF">
        <w:rPr>
          <w:rStyle w:val="Style1Char"/>
          <w:color w:val="00B050"/>
          <w:rtl/>
        </w:rPr>
        <w:t>להתם</w:t>
      </w:r>
      <w:r w:rsidRPr="00F94DDF">
        <w:rPr>
          <w:rStyle w:val="Style1Char"/>
          <w:sz w:val="22"/>
          <w:szCs w:val="22"/>
          <w:rtl/>
        </w:rPr>
        <w:t xml:space="preserve">, </w:t>
      </w:r>
      <w:r w:rsidRPr="008A17F0">
        <w:rPr>
          <w:rStyle w:val="Style1Char"/>
          <w:color w:val="auto"/>
          <w:sz w:val="22"/>
          <w:szCs w:val="22"/>
          <w:rtl/>
        </w:rPr>
        <w:t>אבל רגיל דעייל ונפיק להתם, אימא איניש אחרינא אפקיד ואיהו מיחזא חזא. ההוא גברא דאפקיד כסא דכספא בי חסא, שכיב חסא ולא פקיד, אתו לקמיה דרב נחמן</w:t>
      </w:r>
      <w:r w:rsidRPr="008A17F0">
        <w:rPr>
          <w:rStyle w:val="Style1Char"/>
          <w:color w:val="auto"/>
          <w:rtl/>
        </w:rPr>
        <w:t xml:space="preserve"> </w:t>
      </w:r>
      <w:r w:rsidRPr="004A0DD6">
        <w:rPr>
          <w:rStyle w:val="Style1Char"/>
          <w:color w:val="806000" w:themeColor="accent4" w:themeShade="80"/>
          <w:sz w:val="22"/>
          <w:szCs w:val="22"/>
          <w:rtl/>
        </w:rPr>
        <w:t>דן להו כהאי דינא דרבי אמי,</w:t>
      </w:r>
      <w:r w:rsidRPr="00E53B77">
        <w:rPr>
          <w:rStyle w:val="Style1Char"/>
          <w:color w:val="4472C4" w:themeColor="accent1"/>
          <w:rtl/>
        </w:rPr>
        <w:t>אימור אינש אחרינא אפקיד ומיחזא חזא. ומצאתי כתוב בשם ה"ר יונה ז"ל דכיון שלא זכה זה התובע מותר ליתומים להשתמש בו ולמוכרו שהרי זה התובע שטען ודאי נתבטלו דבריו ומעתה אין טענת ודאי על פקדון זה וכיון שהוא ספק ונמצא ברשות אביהם ישתמשו בו וכן מסתבר דאדם שלא אמיד ונמצא ממון ברשותו לא אמרי' שיהא מונח עד שיבא אליהו ושמא יבא אדם ויתן לו סימן אלא ודאי אמרי' שמא מצא מציאה כל זמן שלא בא עליהן בטענת ודאי בסימן מובהק</w:t>
      </w:r>
      <w:r w:rsidRPr="00E53B77">
        <w:rPr>
          <w:rStyle w:val="Style1Char"/>
          <w:color w:val="4472C4" w:themeColor="accent1"/>
        </w:rPr>
        <w:t xml:space="preserve">: </w:t>
      </w:r>
    </w:p>
    <w:p w14:paraId="651782A2" w14:textId="61F2F8EA" w:rsidR="00C369CA" w:rsidRDefault="00C369CA" w:rsidP="00C369CA">
      <w:pPr>
        <w:bidi/>
        <w:rPr>
          <w:rStyle w:val="Style1Char"/>
          <w:sz w:val="22"/>
          <w:szCs w:val="22"/>
        </w:rPr>
      </w:pPr>
      <w:r w:rsidRPr="009D1FEF">
        <w:rPr>
          <w:rStyle w:val="Style1Char"/>
          <w:color w:val="00B050"/>
          <w:rtl/>
        </w:rPr>
        <w:t>אמר להו:</w:t>
      </w:r>
      <w:r w:rsidRPr="009D1FEF">
        <w:rPr>
          <w:rStyle w:val="Style1Char"/>
          <w:color w:val="00B050"/>
          <w:sz w:val="10"/>
          <w:szCs w:val="10"/>
          <w:rtl/>
        </w:rPr>
        <w:t xml:space="preserve"> </w:t>
      </w:r>
      <w:r w:rsidRPr="00D2614D">
        <w:rPr>
          <w:rStyle w:val="Style1Char"/>
          <w:color w:val="00B050"/>
          <w:rtl/>
        </w:rPr>
        <w:t xml:space="preserve">ידענא ביה בחסא דלא אמיד; ועוד, הא קא יהיב סימנא. ולא אמרן - אלא דלא רגיל דעייל ונפיק להתם, אבל רגיל דעייל ונפיק להתם, אימר איניש אחרינא אפקיד ואיהו מיחזא חזא. </w:t>
      </w:r>
      <w:r w:rsidRPr="004A0DD6">
        <w:rPr>
          <w:rStyle w:val="Style1Char"/>
          <w:color w:val="806000" w:themeColor="accent4" w:themeShade="80"/>
          <w:sz w:val="22"/>
          <w:szCs w:val="22"/>
          <w:rtl/>
        </w:rPr>
        <w:t xml:space="preserve">ותו </w:t>
      </w:r>
      <w:r w:rsidRPr="004A0DD6">
        <w:rPr>
          <w:rStyle w:val="Style1Char"/>
          <w:color w:val="auto"/>
          <w:sz w:val="22"/>
          <w:szCs w:val="22"/>
          <w:rtl/>
        </w:rPr>
        <w:t>ההוא דאפקיד מטכסא בי רב דימי אחוה דרב ספרא, שכיב רב דימי ולא פקיד, אתא לקמיה דרבי אבא</w:t>
      </w:r>
      <w:r w:rsidRPr="003B1771">
        <w:rPr>
          <w:rStyle w:val="Style1Char"/>
          <w:color w:val="C00000"/>
          <w:rtl/>
        </w:rPr>
        <w:t xml:space="preserve"> </w:t>
      </w:r>
      <w:r w:rsidRPr="004A0DD6">
        <w:rPr>
          <w:rStyle w:val="Style1Char"/>
          <w:color w:val="806000" w:themeColor="accent4" w:themeShade="80"/>
          <w:sz w:val="22"/>
          <w:szCs w:val="22"/>
          <w:rtl/>
        </w:rPr>
        <w:t>ודן להו כרבי אמי ורב נחמן למימר דהלכה רווחת היא ולית בה פלוגתא</w:t>
      </w:r>
      <w:r w:rsidRPr="00D2614D">
        <w:rPr>
          <w:rStyle w:val="Style1Char"/>
          <w:color w:val="00B050"/>
          <w:rtl/>
        </w:rPr>
        <w:t xml:space="preserve">, אמר להו: חדא, דידענא ביה ברב דימי דלא אמיד; ועוד, הא קא יהיב סימנא. ולא אמרן - אלא דלא רגיל דעייל ונפיק להתם, אבל רגיל דעייל ונפיק להתם, אימא איניש אחרינא אפקיד ואיהו מיחזא חזא. </w:t>
      </w:r>
      <w:r w:rsidR="00911F76">
        <w:rPr>
          <w:rStyle w:val="Style1Char"/>
          <w:rFonts w:hint="cs"/>
          <w:rtl/>
        </w:rPr>
        <w:t>(</w:t>
      </w:r>
      <w:r w:rsidR="00400E7F">
        <w:rPr>
          <w:rStyle w:val="Style1Char"/>
          <w:rFonts w:hint="cs"/>
          <w:rtl/>
        </w:rPr>
        <w:t>2</w:t>
      </w:r>
      <w:r w:rsidR="00911F76">
        <w:rPr>
          <w:rStyle w:val="Style1Char"/>
          <w:rFonts w:hint="cs"/>
          <w:rtl/>
        </w:rPr>
        <w:t>)</w:t>
      </w:r>
      <w:r w:rsidRPr="004E7AC7">
        <w:rPr>
          <w:rStyle w:val="Style1Char"/>
          <w:color w:val="auto"/>
          <w:sz w:val="22"/>
          <w:szCs w:val="22"/>
          <w:rtl/>
        </w:rPr>
        <w:t xml:space="preserve">ההוא דאמר </w:t>
      </w:r>
      <w:r w:rsidRPr="003B1771">
        <w:rPr>
          <w:rStyle w:val="Style1Char"/>
          <w:color w:val="00B050"/>
          <w:rtl/>
        </w:rPr>
        <w:t>להו</w:t>
      </w:r>
      <w:r w:rsidRPr="003B1771">
        <w:rPr>
          <w:rStyle w:val="Style1Char"/>
          <w:sz w:val="22"/>
          <w:szCs w:val="22"/>
          <w:rtl/>
        </w:rPr>
        <w:t xml:space="preserve">: </w:t>
      </w:r>
      <w:r w:rsidRPr="004E7AC7">
        <w:rPr>
          <w:rStyle w:val="Style1Char"/>
          <w:color w:val="auto"/>
          <w:sz w:val="22"/>
          <w:szCs w:val="22"/>
          <w:rtl/>
        </w:rPr>
        <w:t>נכסיי לטוביה, שכיב, אתא טוביה, א"ר יוחנן: הרי בא טוביה</w:t>
      </w:r>
      <w:r w:rsidRPr="004E7AC7">
        <w:rPr>
          <w:rStyle w:val="Style1Char"/>
          <w:color w:val="4472C4" w:themeColor="accent1"/>
          <w:rtl/>
        </w:rPr>
        <w:t xml:space="preserve"> </w:t>
      </w:r>
      <w:r w:rsidRPr="00E53B77">
        <w:rPr>
          <w:rStyle w:val="Style1Char"/>
          <w:color w:val="4472C4" w:themeColor="accent1"/>
          <w:rtl/>
        </w:rPr>
        <w:t>ואפילו יש טוביה אחר שראוי להסתפק בו לא נטרינן דאמרי' ודאי זה שבא תחילה ודאי ידע שהיתה דעתו קרובה אליו ונתנה לו לכך מיהר לבא</w:t>
      </w:r>
      <w:r w:rsidRPr="004E7AC7">
        <w:rPr>
          <w:rStyle w:val="Style1Char"/>
          <w:color w:val="auto"/>
          <w:rtl/>
        </w:rPr>
        <w:t xml:space="preserve">. </w:t>
      </w:r>
      <w:r w:rsidRPr="004E7AC7">
        <w:rPr>
          <w:rStyle w:val="Style1Char"/>
          <w:color w:val="auto"/>
          <w:sz w:val="22"/>
          <w:szCs w:val="22"/>
          <w:rtl/>
        </w:rPr>
        <w:t>אמר טוביה ואתא רב טוביה - לטוביה אמר, לרב טוביה לא אמר; ואי איניש דגיס ביה - הא גיס ביה</w:t>
      </w:r>
      <w:r w:rsidRPr="004E7AC7">
        <w:rPr>
          <w:rStyle w:val="Style1Char"/>
          <w:color w:val="auto"/>
          <w:rtl/>
        </w:rPr>
        <w:t xml:space="preserve">; </w:t>
      </w:r>
      <w:r w:rsidRPr="004E7AC7">
        <w:rPr>
          <w:rStyle w:val="Style1Char"/>
          <w:color w:val="auto"/>
          <w:sz w:val="22"/>
          <w:szCs w:val="22"/>
          <w:rtl/>
        </w:rPr>
        <w:t>אתו שני טוביה, שכן ותלמיד חכם - תלמיד חכם קודם, קרוב ות"ח - ת"ח קודם. איבעיא להו: שכן וקרוב, מאי? ת"ש: טוב שכן קרוב מאח רחוק. שניהם קרובים ושניהם שכנים ושניהם חכמים - שודא דדייני</w:t>
      </w:r>
      <w:r w:rsidRPr="004F5957">
        <w:rPr>
          <w:rStyle w:val="Style1Char"/>
          <w:color w:val="4472C4" w:themeColor="accent1"/>
          <w:rtl/>
        </w:rPr>
        <w:t xml:space="preserve"> </w:t>
      </w:r>
      <w:r w:rsidRPr="00E53B77">
        <w:rPr>
          <w:rStyle w:val="Style1Char"/>
          <w:color w:val="4472C4" w:themeColor="accent1"/>
          <w:rtl/>
        </w:rPr>
        <w:t>והא דאמרי' שכן קודם לא בעי למימר שכינו הדר אצלו דכמה אנשים דרים זה אצל זה ואין להן שייכות יחד אלא שכן היינו שהוא חבירו ורגיל אצלו תמיד במשא ובמתן על זה אמר הפסוק טוב שכן קרוב מאח רחוק ובפ' חזקת הבתים (סי' כג) כתבתי פירוש ר"ת לשודא דדייני</w:t>
      </w:r>
      <w:r w:rsidRPr="00E53B77">
        <w:rPr>
          <w:rStyle w:val="Style1Char"/>
          <w:color w:val="4472C4" w:themeColor="accent1"/>
        </w:rPr>
        <w:t>:</w:t>
      </w:r>
    </w:p>
    <w:p w14:paraId="51FB6960" w14:textId="154E7CE6" w:rsidR="00C369CA" w:rsidRPr="00E53B77" w:rsidRDefault="00C369CA" w:rsidP="00C369CA">
      <w:pPr>
        <w:bidi/>
        <w:rPr>
          <w:rStyle w:val="Style1Char"/>
          <w:color w:val="4472C4" w:themeColor="accent1"/>
        </w:rPr>
      </w:pPr>
      <w:r w:rsidRPr="002E56F8">
        <w:rPr>
          <w:rStyle w:val="Style1Char"/>
          <w:color w:val="auto"/>
          <w:sz w:val="22"/>
          <w:szCs w:val="22"/>
          <w:rtl/>
        </w:rPr>
        <w:t>א"ל רבא לבריה דרב חייא בר אבין</w:t>
      </w:r>
      <w:r w:rsidRPr="00DB6015">
        <w:rPr>
          <w:rStyle w:val="Style1Char"/>
          <w:sz w:val="22"/>
          <w:szCs w:val="22"/>
          <w:rtl/>
        </w:rPr>
        <w:t xml:space="preserve">: </w:t>
      </w:r>
      <w:r w:rsidRPr="002E56F8">
        <w:rPr>
          <w:rStyle w:val="Style1Char"/>
          <w:color w:val="806000" w:themeColor="accent4" w:themeShade="80"/>
          <w:sz w:val="22"/>
          <w:szCs w:val="22"/>
          <w:rtl/>
        </w:rPr>
        <w:t xml:space="preserve">בר אוריין </w:t>
      </w:r>
      <w:r w:rsidRPr="002E56F8">
        <w:rPr>
          <w:rStyle w:val="Style1Char"/>
          <w:color w:val="auto"/>
          <w:sz w:val="22"/>
          <w:szCs w:val="22"/>
          <w:rtl/>
        </w:rPr>
        <w:t xml:space="preserve">תא אימא לך מילתא מעליותא דהוה אמר </w:t>
      </w:r>
      <w:r w:rsidRPr="002E56F8">
        <w:rPr>
          <w:rStyle w:val="Style1Char"/>
          <w:color w:val="ED7D31" w:themeColor="accent2"/>
          <w:rtl/>
        </w:rPr>
        <w:t xml:space="preserve">אבוך </w:t>
      </w:r>
      <w:r w:rsidRPr="00DB6015">
        <w:rPr>
          <w:rStyle w:val="Style1Char"/>
          <w:color w:val="C00000"/>
          <w:sz w:val="22"/>
          <w:szCs w:val="22"/>
          <w:rtl/>
        </w:rPr>
        <w:t>אבוה דאימך משמיה דשמואל</w:t>
      </w:r>
      <w:r w:rsidRPr="00DB6015">
        <w:rPr>
          <w:rStyle w:val="Style1Char"/>
          <w:sz w:val="22"/>
          <w:szCs w:val="22"/>
          <w:rtl/>
        </w:rPr>
        <w:t>,</w:t>
      </w:r>
      <w:r w:rsidRPr="00D2614D">
        <w:rPr>
          <w:rStyle w:val="Style1Char"/>
          <w:color w:val="00B050"/>
          <w:rtl/>
        </w:rPr>
        <w:t xml:space="preserve"> </w:t>
      </w:r>
      <w:r w:rsidRPr="002E56F8">
        <w:rPr>
          <w:rStyle w:val="Style1Char"/>
          <w:color w:val="auto"/>
          <w:sz w:val="22"/>
          <w:szCs w:val="22"/>
          <w:rtl/>
        </w:rPr>
        <w:t xml:space="preserve">הא דאמר שמואל: </w:t>
      </w:r>
      <w:r w:rsidR="005B1505">
        <w:rPr>
          <w:rStyle w:val="Style1Char"/>
          <w:rFonts w:hint="cs"/>
          <w:rtl/>
        </w:rPr>
        <w:t>(3)</w:t>
      </w:r>
      <w:r w:rsidRPr="002E56F8">
        <w:rPr>
          <w:rStyle w:val="Style1Char"/>
          <w:color w:val="auto"/>
          <w:sz w:val="22"/>
          <w:szCs w:val="22"/>
          <w:rtl/>
        </w:rPr>
        <w:t xml:space="preserve">המוכר שטר חוב לחבירו וחזר ומחלו - מחול, ואפילו יורש מוחל, מודה שמואל, </w:t>
      </w:r>
      <w:r w:rsidR="005B1505">
        <w:rPr>
          <w:rStyle w:val="Style1Char"/>
          <w:rFonts w:hint="cs"/>
          <w:rtl/>
        </w:rPr>
        <w:t>(4)</w:t>
      </w:r>
      <w:r w:rsidRPr="002E56F8">
        <w:rPr>
          <w:rStyle w:val="Style1Char"/>
          <w:color w:val="auto"/>
          <w:sz w:val="22"/>
          <w:szCs w:val="22"/>
          <w:rtl/>
        </w:rPr>
        <w:t>במכנסת שטר חוב לבעלה וחזרה ומחלתו - שאינו מחול, מפני שידו כידה</w:t>
      </w:r>
      <w:r w:rsidRPr="004C32A8">
        <w:rPr>
          <w:rStyle w:val="Style1Char"/>
          <w:color w:val="4472C4" w:themeColor="accent1"/>
          <w:rtl/>
        </w:rPr>
        <w:t xml:space="preserve"> </w:t>
      </w:r>
      <w:r w:rsidRPr="00E53B77">
        <w:rPr>
          <w:rStyle w:val="Style1Char"/>
          <w:color w:val="4472C4" w:themeColor="accent1"/>
          <w:rtl/>
        </w:rPr>
        <w:t>ואין קניין לאשה בלא בעלה ואין מחילתה כלום</w:t>
      </w:r>
      <w:r w:rsidRPr="00E53B77">
        <w:rPr>
          <w:rStyle w:val="Style1Char"/>
          <w:color w:val="4472C4" w:themeColor="accent1"/>
        </w:rPr>
        <w:t>:</w:t>
      </w:r>
    </w:p>
    <w:p w14:paraId="350670A0" w14:textId="1D177B8D" w:rsidR="00C369CA" w:rsidRDefault="00C369CA" w:rsidP="00C369CA">
      <w:pPr>
        <w:bidi/>
        <w:rPr>
          <w:rStyle w:val="Style1Char"/>
          <w:color w:val="auto"/>
          <w:sz w:val="22"/>
          <w:szCs w:val="22"/>
          <w:rtl/>
        </w:rPr>
      </w:pPr>
      <w:r w:rsidRPr="00D205EB">
        <w:rPr>
          <w:rStyle w:val="Style1Char"/>
          <w:color w:val="C00000"/>
          <w:rtl/>
        </w:rPr>
        <w:t>ובפרק מי שמת אמרינן ומודה שמואל שאם נתנו במתנת שכיב מרע שאינו יכול למחול וחזינא למקצת רבוותא דאמרי היינו טעמא דמוכר שטר חוב לחבירו דיכול למוחלו בין הוא בין יורש משום דיכול למימר עיינית בחושבני ולא פש לי גביה ולא מידי אי נמי אסתפקא לי מילתא אי פריע אי לא פריע ומספיקא לא מגבינן שטרא הילכך ש"מ דלא מצי למימר הכי משום דסתמיה דשכיב מרע מידק דייק ויהיב אינו יכול למחול ואנן מסתברא לן דהאי טעמא ליתיה דטעמא פריכא הוא דאי איתא להאי טעמא אפי' המכנסת שטר חוב לבעלה הוי יכולה למחול ומדלא יכלה למחול שמעינן דליתיה להאי טעמא ועוד שכיב מרע גופיה אמאי אינו יכול למחול הא קיימא לן בשכיב מרע [בבא - בתרא קנ"א ע"ב] דכל שאילו עמד חוזר חוזר במתנתו ואף על גב דסתמיה מידק דייק והדר יהיב אלא ודאי האי טעמא פריכא הוא דשכיב מרע גופיה יכול למחול והא דאמרינן מודה שמואל שאם נתנו במתנת שכיב מרע שאינו יכול למחול לאו אשכיב מרע גופיה קיימינן אלא איורש קיימינן ומהאי טעמא אין יורש יכול למחול משום דמתנת שכיב מרע עשאוה כמתנת דאורייתא דמטיא ליה לידיה דמקבל והיינו דאמרינן דברי שכיב מרע ככתובין וכמסורין דמו ומשום הכי לא יכיל יורש למחול דלית ליה מאי דמחיל ובהדיא אמרינן בפרק מי שמת דטעמא דהאי מילתא כדכתבינן דאמרינן התם [בבא - בתרא קמ"ז ע"ב] אמר רבא אמר רב נחמן מתנת שכיב מרע מדרבנן בעלמא היא גזירה שמא תטרוף דעתו עליו ואקשינן ומי אמר רב נחמן הכי והא אמר רב נחמן אף על גב דאמר שמואל המוכר שטר חוב לחברו וחזר ומחלו מחול אפילו יורש מוחל מודה שמואל שאם נתנו במתנת שכיב מרע שאינו יכול למחול אי אמרת בשלמא דאורייתא משום הכי אינו יכול למחול אלא אי אמרת דרבנן אמאי אינו יכול למחול ופריק אינה של תורה ועשאוה כשל תורה דמטיא לידיה דמקבל ושמעת מינה דמשום דעשאוה כשל תורה הוא דאינו יכול למחול ואיורש קיימינן ולא אשכיב מרע גופיה כדפשטינן ועוד אי הא דאמר שמואל חזר ומחלו מחול משום דיכיל למימר עיינית בחושבנא ולא פש לי מידי גביה הכי איבעיא ליה למימר המוכר שטר חוב לחבירו וחזר ואמר לא פש לי מידי גביה מהימן ולא הוה אמר וחזר ומחלו מחול ומדאמר וחזר ומחלו מחול שמע מינה דאפילו אמר אית לי גביה אלא הרי הוא מחול לו מחול וטעמא דהמכנסת שטר חוב דאינה יכולה למחול הא קא פריש לה בהדיא מפני שידו כידה דכי היכי דאיהו לא מצי מחיל משום דילה (הם) הכי נמי איהי לא מציא מחלה משום דיליה דכדיליה דמי דאין קנין לאשה בלא בעלה</w:t>
      </w:r>
      <w:r w:rsidRPr="00DB6015">
        <w:rPr>
          <w:rStyle w:val="Style1Char"/>
          <w:sz w:val="22"/>
          <w:szCs w:val="22"/>
          <w:rtl/>
        </w:rPr>
        <w:t>.</w:t>
      </w:r>
      <w:r w:rsidRPr="00D2614D">
        <w:rPr>
          <w:rStyle w:val="Style1Char"/>
          <w:color w:val="00B050"/>
          <w:rtl/>
        </w:rPr>
        <w:t xml:space="preserve"> </w:t>
      </w:r>
      <w:r w:rsidR="005B1505">
        <w:rPr>
          <w:rStyle w:val="Style1Char"/>
          <w:rFonts w:hint="cs"/>
          <w:rtl/>
        </w:rPr>
        <w:t>(5)</w:t>
      </w:r>
      <w:r w:rsidRPr="00494191">
        <w:rPr>
          <w:rStyle w:val="Style1Char"/>
          <w:color w:val="auto"/>
          <w:sz w:val="22"/>
          <w:szCs w:val="22"/>
          <w:rtl/>
        </w:rPr>
        <w:t>קריבתיה דרב נחמן זבינתה לכתובתה בטובת הנאה, איגרשה ושכיבה, אתו</w:t>
      </w:r>
      <w:r w:rsidRPr="00525C0B">
        <w:rPr>
          <w:rStyle w:val="Style1Char"/>
          <w:sz w:val="22"/>
          <w:szCs w:val="22"/>
          <w:rtl/>
        </w:rPr>
        <w:t xml:space="preserve"> </w:t>
      </w:r>
      <w:r w:rsidRPr="00E53B77">
        <w:rPr>
          <w:rStyle w:val="Style1Char"/>
          <w:color w:val="4472C4" w:themeColor="accent1"/>
          <w:rtl/>
        </w:rPr>
        <w:t xml:space="preserve">לקוחות </w:t>
      </w:r>
      <w:r w:rsidRPr="00D00024">
        <w:rPr>
          <w:rStyle w:val="Style1Char"/>
          <w:color w:val="C00000"/>
          <w:sz w:val="22"/>
          <w:szCs w:val="22"/>
          <w:rtl/>
        </w:rPr>
        <w:t xml:space="preserve">יורשים </w:t>
      </w:r>
      <w:r w:rsidRPr="00494191">
        <w:rPr>
          <w:rStyle w:val="Style1Char"/>
          <w:color w:val="auto"/>
          <w:sz w:val="22"/>
          <w:szCs w:val="22"/>
          <w:rtl/>
        </w:rPr>
        <w:t>קא תבעי לה לברתה</w:t>
      </w:r>
      <w:r w:rsidRPr="00F94B6F">
        <w:rPr>
          <w:rStyle w:val="Style1Char"/>
          <w:color w:val="4472C4" w:themeColor="accent1"/>
          <w:rtl/>
        </w:rPr>
        <w:t xml:space="preserve"> </w:t>
      </w:r>
      <w:r w:rsidRPr="00E53B77">
        <w:rPr>
          <w:rStyle w:val="Style1Char"/>
          <w:color w:val="4472C4" w:themeColor="accent1"/>
          <w:rtl/>
        </w:rPr>
        <w:t>פירש"י שהלוקח תבע הבת לדין שבאת לגבות כתובת אמה מאביה ואין הלשון משמע כן דמה לו ללוקח אצל בת מסתמא כשקנה הכתובה מאמה מסרה לידו הכתובה וכתבה לו שטר מכירה עליה והאב לא יפרע אלא למי שיחזיר לו הכתובה הלכך הפירוש הנכון הוא שמת גם האב ואין להן יורש אלא זו הבת ואשמועינן תלמודא דאף בכי האי גוונא שהמחילה היא לעצמה שיכולה למחול לאביה והיא זוכה במקום אביה וכיוצא בו מצינו בפ' הגוזל קמא (דף קח ב) הגוזל את אביו ונשבע לו ומת הרי זה משלם קרן וחומש לבנו או לאחיו ופריך בגמ' (דף קט א) ואמאי ונמחול לנפשיה.</w:t>
      </w:r>
      <w:r w:rsidRPr="00494191">
        <w:rPr>
          <w:rStyle w:val="Style1Char"/>
          <w:color w:val="auto"/>
          <w:sz w:val="22"/>
          <w:szCs w:val="22"/>
          <w:rtl/>
        </w:rPr>
        <w:t xml:space="preserve">, אמר להו רב נחמן: ליכא דליסבא לה עצה, </w:t>
      </w:r>
    </w:p>
    <w:p w14:paraId="16A06114" w14:textId="749EF2B9" w:rsidR="00873C21" w:rsidRDefault="00873C21" w:rsidP="00873C21">
      <w:pPr>
        <w:pStyle w:val="Style1"/>
        <w:rPr>
          <w:rtl/>
        </w:rPr>
      </w:pPr>
      <w:r>
        <w:rPr>
          <w:rFonts w:hint="cs"/>
          <w:rtl/>
        </w:rPr>
        <w:t>1)[</w:t>
      </w:r>
      <w:r>
        <w:rPr>
          <w:rtl/>
        </w:rPr>
        <w:t>רמב</w:t>
      </w:r>
      <w:r w:rsidR="005258D6">
        <w:rPr>
          <w:rtl/>
        </w:rPr>
        <w:t>”</w:t>
      </w:r>
      <w:r>
        <w:rPr>
          <w:rtl/>
        </w:rPr>
        <w:t>ם</w:t>
      </w:r>
      <w:r w:rsidR="005258D6">
        <w:rPr>
          <w:rtl/>
        </w:rPr>
        <w:t xml:space="preserve">\שופטים\ </w:t>
      </w:r>
      <w:r>
        <w:rPr>
          <w:rtl/>
        </w:rPr>
        <w:t xml:space="preserve"> הלכות סנהדרין פרק כד הלכה א</w:t>
      </w:r>
      <w:r>
        <w:rPr>
          <w:rFonts w:hint="cs"/>
          <w:rtl/>
        </w:rPr>
        <w:t xml:space="preserve">] </w:t>
      </w:r>
      <w:r>
        <w:rPr>
          <w:rtl/>
        </w:rPr>
        <w:t xml:space="preserve">יש לדיין לדון בדיני ממונות על פי הדברים שדעתו נוטה להן שהן אמת והדבר חזק בלבו שהוא כן אף על פי שאין שם ראיה ברורה ואין צריך לומר אם היה יודע בודאי שהדבר כן הוא שהוא דן כפי מה שיודע, כיצד הרי שנתחייב אדם שבועה בב"ד ואמר לדיין אדם שהוא נאמן אצלו ושדעתו סומכת על דבריו שזה האיש חשוד על השבועה יש לדיין להפוך השבועה על שכנגדו וישבע ויטול הואיל וסמכה דעתו של דיין על דברי זה, אפילו היתה אשה או עבד נאמנים אצלו הואיל ומצא הדבר חזק ונכון בלבו סומך עליו ודן, ואין צריך לומר אם ידע הוא עצמו שזה חשוד. וכן אם יצא שטר חוב לפניו ואמר לו אדם שסמך עליו אפילו אשה או קרוב זה פרוע הוא אם סמכה דעתו על דבריו יש לו לומר לזה לא תפרע אלא בשבועה, או אם היה עליו שטר חוב לאחר יתן לזה שלא נפגם שטרו כלל ויניח זה שנפגם שטרו בדברי האחד או ישליך השטר בפניו ולא ידון בו כפי מה שיראה, וכן מי שבא וטען שיש לו פקדון אצל פלוני שמת בלא צואה ונתן סימנין מובהקין ולא היה זה הטוען רגיל להכנס בבית זה האיש שמת, אם ידע </w:t>
      </w:r>
      <w:r>
        <w:rPr>
          <w:rtl/>
        </w:rPr>
        <w:lastRenderedPageBreak/>
        <w:t>הדיין שזה המת אינו אמוד להיות לו חפץ זה וסמכה דעתו שאין זה החפץ של מת מוציאו מן היורשין ונותנו לזה האמוד בו ונתן סימנים, וכן כל כיוצא בזה שאין הדבר מסור אלא ללבו של דיין לפי מה שיראה לו שהוא דין האמת, אם כן למה הצריכה תורה שני עדים שבזמן שיבואו לפני הדיין שני עדים ידון על פי עדותן אף על פי שאינו יודע אם באמת העידו או בשקר. /השגת הראב"ד/ וכן אם יצא שטר חוב לפניו וכו' עד לא תפרע אלא וכו'. א"א דבר זה הוציא ממה שפירש רבינו חננאל במה שאמר רב פפא כגון אבא מר ברי קרענא שטרא אפומיה אומר דאפילו בשטר שיש בו נאמנות אינו גובה אלא בשבועה ואני אומר דאפילו בשבועה נמי לא גבי אלא מקרע נמי לא קרעינן ליה דוק ותשכח בכתובות פרק אף על פי ובשבועות פרק הדיינים דכל ריע שטרא לא מגבינן ביה או אם היה עליו שטר חוב לאחר יתן לזה שלא נפגם שטרו כלל ויניח זה שנפגם שטרו בדברי האחר או ישליך השטר בפניו ולא ידון כלל כפי מה שיראה עכ"ל.</w:t>
      </w:r>
    </w:p>
    <w:p w14:paraId="5533C8E3" w14:textId="3EDC45A0" w:rsidR="00873C21" w:rsidRDefault="00873C21" w:rsidP="00873C21">
      <w:pPr>
        <w:pStyle w:val="Style1"/>
        <w:rPr>
          <w:rtl/>
        </w:rPr>
      </w:pPr>
      <w:r>
        <w:rPr>
          <w:rFonts w:hint="cs"/>
          <w:rtl/>
        </w:rPr>
        <w:t>1)[</w:t>
      </w:r>
      <w:r>
        <w:rPr>
          <w:rtl/>
        </w:rPr>
        <w:t>רמב</w:t>
      </w:r>
      <w:r w:rsidR="005258D6">
        <w:rPr>
          <w:rtl/>
        </w:rPr>
        <w:t>”ם \משפטים\</w:t>
      </w:r>
      <w:r>
        <w:rPr>
          <w:rtl/>
        </w:rPr>
        <w:t xml:space="preserve"> הלכות שאלה ופקדון פרק ו הלכה ד</w:t>
      </w:r>
      <w:r>
        <w:rPr>
          <w:rFonts w:hint="cs"/>
          <w:rtl/>
        </w:rPr>
        <w:t xml:space="preserve">] </w:t>
      </w:r>
      <w:r>
        <w:rPr>
          <w:rtl/>
        </w:rPr>
        <w:t>הפקיד אצל חבירו בעדים ובאו עדים שזה החפץ בפנינו הפקידו אצלו אין השומר יכול לטעון ולומר חזרתי ולקחתיו ממנו או נתנו לי במתנה, לפיכך אם מת השומר מוציאין הפקדון עצמו מן היתומים בלא שבועה, ולא עוד אלא מי שבא ואמר כך וכך הפקדתי אצל אביכם ונתן סימנין מובהקין ונמצא הפקדון כמו שאמר והיה יודע הדיין שלא היה המת אמוד שזה הפקדון שלו יש לו לדיין הזה לתת הפקדון לזה שנתן סימניו והוא שלא יהיה המפקיד רגיל להכנס אצל זה שמת אבל אם היה רגיל ליכנס אצלו שמא של אחר הוא והכיר הסימנין שלו, באו עדים והעידו לדיין שאין זה אמוד אין מוציאין מיד היתומים בעדותן שאין זה ראייה ברורה ואומדן דעתן אינו אומד דעתו ואין לו לדיין אלא מה שדעתו סומכת עליו כמו שיתבאר בהלכות סנהדרין, מעשה באחד שהפקיד שומשמין אצל חבירו בעדים ובא לתבעו ואמר לו החזרתים אמר לו המפקיד והלא כך וכך היא מדתם והרי הם מונחים אצלך בחביתך אמר לו שלך החזרתי לך ואלו אחרים הן ואמרו חכמים אין מוציאין מידו שמא אלו השומשמין של שומר הן אלא ישבע השומר בנקיטת חפץ שהחזיר כמו שביארנו. /השגת הראב"ד/ מעשה באחד שהפקיד שומשמין וכו' עד כמו שביארנו. א"א למה בנקיטת חפץ והלא המפקיד אצל חבירו בעדים אינו צריך להחזיר לו בעדים עכ"ל.</w:t>
      </w:r>
    </w:p>
    <w:p w14:paraId="10DF686E" w14:textId="1E3D835C" w:rsidR="00911F76" w:rsidRPr="00911F76" w:rsidRDefault="00911F76" w:rsidP="00911F76">
      <w:pPr>
        <w:pStyle w:val="Style1"/>
      </w:pPr>
      <w:r>
        <w:rPr>
          <w:rFonts w:hint="cs"/>
          <w:rtl/>
        </w:rPr>
        <w:t>1)[</w:t>
      </w:r>
      <w:r>
        <w:rPr>
          <w:rtl/>
        </w:rPr>
        <w:t>שולחן ערוך חושן משפט הלכות פקדון סימן רצז</w:t>
      </w:r>
      <w:r>
        <w:rPr>
          <w:rFonts w:hint="cs"/>
          <w:rtl/>
        </w:rPr>
        <w:t xml:space="preserve">] </w:t>
      </w:r>
      <w:r w:rsidRPr="00911F76">
        <w:rPr>
          <w:rtl/>
        </w:rPr>
        <w:t>המפקיד אצל חבירו שלא בעדים נאמן לומר להד"מ אע"פ שאין הנפקד אמוד שיהא לו חפץ כזה והמפקיד נותן בו סימן ואפי' הפקיד אצלו בעדים אם לא ראו עתה בידו נאמן לומר החזרתיו לך או נתתו לי במתנה ואפי' אם טוען הפקדתי בידך חטים וזה אומר החזרתי לך והלה אומר והרי כך וכך היו ונתתם בחבית פלונית ונמצא כדבריו אפי' הכי נאמן הנפקד לומר החזרתי לך את שלך ואלו אחרים הם אפי' הפקידם בעדים אבל אם עדים מעידים שהפקיד בידו זה החפץ ורואים אותו עתה בידו אינו נאמן לומר חזרתי [ולקחתי ממך] או נתתו לי במתנה ולא מבעיא אם הוא חי שמוציאין אותו מידו אלא אפי' אם מת מוציאים אותו מהיורשי' אפי' בלא שבועה</w:t>
      </w:r>
      <w:r w:rsidRPr="00911F76">
        <w:t>:</w:t>
      </w:r>
    </w:p>
    <w:p w14:paraId="65B610C3" w14:textId="77777777" w:rsidR="00911F76" w:rsidRPr="00911F76" w:rsidRDefault="00911F76" w:rsidP="00911F76">
      <w:pPr>
        <w:pStyle w:val="Style1"/>
      </w:pPr>
      <w:r w:rsidRPr="00911F76">
        <w:rPr>
          <w:rFonts w:hint="cs"/>
          <w:rtl/>
        </w:rPr>
        <w:t>הגה: אמר המפקיד חפץ פלוני הפקדתי בעדים בידו שסימנו כך וכך ואנו רואים ביד היתומים חפץ כזה צריכין להראותו לעדים ואם עדים מעידים אותו שהוא זה מחזירין אותו ואם אמרו היתומים אבינו אמר שלו הוא נאמנים בשבועה (טור ס"ד)</w:t>
      </w:r>
      <w:r w:rsidRPr="00911F76">
        <w:t>:</w:t>
      </w:r>
    </w:p>
    <w:p w14:paraId="14ADE9A6" w14:textId="77777777" w:rsidR="00911F76" w:rsidRPr="00911F76" w:rsidRDefault="00911F76" w:rsidP="00911F76">
      <w:pPr>
        <w:pStyle w:val="Style1"/>
      </w:pPr>
      <w:r w:rsidRPr="00911F76">
        <w:rPr>
          <w:rtl/>
        </w:rPr>
        <w:t>ולא עוד אלא מי שבא ואמר כך וכך הפקדתי אצל אביכם ונתן סימנים מובהקים ונמצא הפקדון כמו שאמר והיה יודע הדיין שלא היה המת אמוד שזה הפקדון שלו יש לו לדיין הזה לתת הפקדון לזה שנתן סימניו והוא שלא יהיה המפקיד רגיל להכנס אצל זה שמת אבל אם היה רגיל להכנס אצלו שמא של אחר הוא והכיר הסימנים שלו באו עדים והעידו לדיין שאין זה אמוד אין מוציאין מיד היתומים בעדותן שאין זה ראיה ברורה ואומדן דעתם אינו אומד דעתו ואין לו לדיין אלא מה שדעתו סומכת עליו ומשרבו בתי דינים שאינם הגונים ואפי' יהיו הגונים במעשיהם אינם חכמים כראוי ובעלי בינה הסכימו רוב בתי דיני ישראל שאין מוציאים מהיתומים באומד דעתו של דיין</w:t>
      </w:r>
    </w:p>
    <w:p w14:paraId="6EE952DA" w14:textId="77777777" w:rsidR="00911F76" w:rsidRPr="00911F76" w:rsidRDefault="00911F76" w:rsidP="00911F76">
      <w:pPr>
        <w:pStyle w:val="Style1"/>
      </w:pPr>
      <w:r w:rsidRPr="00911F76">
        <w:rPr>
          <w:rFonts w:hint="cs"/>
          <w:rtl/>
        </w:rPr>
        <w:t>(החזיר פקדון ע"פ ב"ד ואח"כ נודע שטעו הנפקד פטור) (ר' ירוחם נ"א חי"א)</w:t>
      </w:r>
      <w:r w:rsidRPr="00911F76">
        <w:t>:</w:t>
      </w:r>
    </w:p>
    <w:p w14:paraId="21B9089F" w14:textId="4F5C9228" w:rsidR="00873C21" w:rsidRPr="00411FEA" w:rsidRDefault="00873C21" w:rsidP="00873C21">
      <w:pPr>
        <w:pStyle w:val="Style1"/>
      </w:pPr>
      <w:r>
        <w:rPr>
          <w:rFonts w:hint="cs"/>
          <w:rtl/>
        </w:rPr>
        <w:t>1)[</w:t>
      </w:r>
      <w:r>
        <w:rPr>
          <w:rtl/>
        </w:rPr>
        <w:t>שולחן ערוך חושן משפט הלכות דיינים סימן טו סעיף ה</w:t>
      </w:r>
      <w:r>
        <w:rPr>
          <w:rFonts w:hint="cs"/>
          <w:rtl/>
        </w:rPr>
        <w:t xml:space="preserve">] </w:t>
      </w:r>
      <w:r w:rsidRPr="00411FEA">
        <w:rPr>
          <w:rtl/>
        </w:rPr>
        <w:t>יש לדיין לדון דיני ממונות ע"פ הדברים שדעתו נוטה להם שהם אמת והדבר חזק בלבו שהוא כך אע"פ שאין שם ראיה ברורה ומשרבו בתי דינים שאינם הגונים ובעלי בינה הסכימו שלא יהפכו שבועה אלא בראיה ברורה ולא יפגמו שטר ויפסידו חזקתו על פי עדות אשה או קרוב אע"פ שדעתו סומכת על דבריהם וכן אין מוציאים מהיתומים אלא בראיה ברורה לא בדעת הדיין ולא באומדן המת או הטוען ואעפ"כ אם העיד אדם נאמן בדבר מכל הדברים ונטתה דעת הדיין שאמת הוא אומר ממתין בדין ואינו דוחה עדותו ונושא ונותן עם בעלי דינים עד שיודו לדברי העד ודורש וחוקר עד שיתברר הדבר או יעשו פשרה או יסתלק מן הדין כמו שנתבאר</w:t>
      </w:r>
      <w:r w:rsidRPr="00411FEA">
        <w:t>:</w:t>
      </w:r>
    </w:p>
    <w:p w14:paraId="528C89C3" w14:textId="668187A9" w:rsidR="00873C21" w:rsidRDefault="00873C21" w:rsidP="00873C21">
      <w:pPr>
        <w:pStyle w:val="Style1"/>
        <w:rPr>
          <w:rtl/>
        </w:rPr>
      </w:pPr>
      <w:r w:rsidRPr="00411FEA">
        <w:rPr>
          <w:rFonts w:hint="cs"/>
          <w:rtl/>
        </w:rPr>
        <w:t>הגה: ואם נראה לב"ד שאחד גוזל חבירו ולא יוכלו להוציאו ממנו בדין יכולין לגזור על שאר בני אדם שלא ישאו ויתנו עמו ואם היא אשה שלא תנשא לאיש ולא יעסקו בשידוכיה עד שתוציא מידה שאינו שלה (פסקי מהרא"י סי' ר"ס) ועיין לקמן </w:t>
      </w:r>
      <w:hyperlink r:id="rId220" w:anchor="%D7%A1%D7%A2%D7%99%D7%A3_%D7%94" w:tooltip="שולחן ערוך חושן משפט שנח" w:history="1">
        <w:r w:rsidRPr="00411FEA">
          <w:rPr>
            <w:rStyle w:val="Hyperlink"/>
            <w:rFonts w:hint="cs"/>
            <w:color w:val="7030A0"/>
            <w:u w:val="none"/>
            <w:rtl/>
          </w:rPr>
          <w:t>סימן שנ"ח סעיף ה</w:t>
        </w:r>
        <w:r w:rsidRPr="00411FEA">
          <w:rPr>
            <w:rStyle w:val="Hyperlink"/>
            <w:rFonts w:hint="cs"/>
            <w:color w:val="7030A0"/>
            <w:u w:val="none"/>
          </w:rPr>
          <w:t>'</w:t>
        </w:r>
      </w:hyperlink>
      <w:r w:rsidRPr="00411FEA">
        <w:t>:</w:t>
      </w:r>
    </w:p>
    <w:p w14:paraId="123E450D" w14:textId="3AEE7115" w:rsidR="00400E7F" w:rsidRDefault="00400E7F" w:rsidP="00400E7F">
      <w:pPr>
        <w:pStyle w:val="Style1"/>
        <w:rPr>
          <w:rtl/>
        </w:rPr>
      </w:pPr>
      <w:r>
        <w:rPr>
          <w:rFonts w:hint="cs"/>
          <w:rtl/>
        </w:rPr>
        <w:t>2)[</w:t>
      </w:r>
      <w:r>
        <w:rPr>
          <w:rtl/>
        </w:rPr>
        <w:t>רמב</w:t>
      </w:r>
      <w:r w:rsidR="00C764B2">
        <w:rPr>
          <w:rtl/>
        </w:rPr>
        <w:t>”ם \קנין\</w:t>
      </w:r>
      <w:r>
        <w:rPr>
          <w:rtl/>
        </w:rPr>
        <w:t xml:space="preserve"> הלכות זכיה ומתנה פרק יא הלכה ב</w:t>
      </w:r>
      <w:r>
        <w:rPr>
          <w:rFonts w:hint="cs"/>
          <w:rtl/>
        </w:rPr>
        <w:t xml:space="preserve">] </w:t>
      </w:r>
      <w:r>
        <w:rPr>
          <w:rtl/>
        </w:rPr>
        <w:t>שכיב מרע שאמר נכסי לטוביה ומת, ובא אחד ששמו טוביה ואמר אני הוא, נוטלן, ואם הוחזק שמו רב טוביה אינו נוטלן, ואם היה שכיב מרע גס בו וקורא אותו בשמו נוטלן.</w:t>
      </w:r>
    </w:p>
    <w:p w14:paraId="319D9E94" w14:textId="53E9CD23" w:rsidR="00400E7F" w:rsidRPr="00400E7F" w:rsidRDefault="00400E7F" w:rsidP="00400E7F">
      <w:pPr>
        <w:pStyle w:val="Style1"/>
      </w:pPr>
      <w:r>
        <w:rPr>
          <w:rFonts w:hint="cs"/>
          <w:rtl/>
        </w:rPr>
        <w:t>2)[</w:t>
      </w:r>
      <w:r>
        <w:rPr>
          <w:rtl/>
        </w:rPr>
        <w:t>שולחן ערוך חושן משפט הלכות מתנת שכיב מרע סימן רנג סעיף כט</w:t>
      </w:r>
      <w:r>
        <w:rPr>
          <w:rFonts w:hint="cs"/>
          <w:rtl/>
        </w:rPr>
        <w:t xml:space="preserve">] </w:t>
      </w:r>
      <w:r w:rsidRPr="00400E7F">
        <w:rPr>
          <w:rtl/>
        </w:rPr>
        <w:t>שכיב מרע שאמר נכסי לטוביה, ומת, ובא אחד ששמו טוביה ואמר אני הוא, נוטלן</w:t>
      </w:r>
    </w:p>
    <w:p w14:paraId="06D95136" w14:textId="77777777" w:rsidR="00400E7F" w:rsidRPr="00400E7F" w:rsidRDefault="00400E7F" w:rsidP="00400E7F">
      <w:pPr>
        <w:pStyle w:val="Style1"/>
      </w:pPr>
      <w:r w:rsidRPr="00400E7F">
        <w:rPr>
          <w:rFonts w:hint="cs"/>
          <w:rtl/>
        </w:rPr>
        <w:t>(ואפילו אם יש טוביה אחר שראוי להסתפק בו, אין ממתינין) (טור)</w:t>
      </w:r>
      <w:r w:rsidRPr="00400E7F">
        <w:t xml:space="preserve">. </w:t>
      </w:r>
      <w:r w:rsidRPr="00400E7F">
        <w:rPr>
          <w:rtl/>
        </w:rPr>
        <w:t>ואם הוחזק שמו רב טוביה, אינו נוטלן. ואם היה השכיב מרע גס בו וקורא אותו בשמו, נוטלן</w:t>
      </w:r>
      <w:r w:rsidRPr="00400E7F">
        <w:t>.</w:t>
      </w:r>
    </w:p>
    <w:p w14:paraId="5A0D35FE" w14:textId="77777777" w:rsidR="00400E7F" w:rsidRPr="00400E7F" w:rsidRDefault="00400E7F" w:rsidP="00400E7F">
      <w:pPr>
        <w:pStyle w:val="Style1"/>
      </w:pPr>
      <w:r w:rsidRPr="00400E7F">
        <w:rPr>
          <w:rtl/>
        </w:rPr>
        <w:t>באו שנים לתבוע וכל אחד מהם הוחזק שמו טוביה, אם היה אחד מהם ת"ח, קודם</w:t>
      </w:r>
      <w:r w:rsidRPr="00400E7F">
        <w:t>. </w:t>
      </w:r>
      <w:r w:rsidRPr="00400E7F">
        <w:rPr>
          <w:rFonts w:hint="cs"/>
          <w:rtl/>
        </w:rPr>
        <w:t>(אא"כ ידוע שדעתו יותר קרובה על שכינו או קרובו ששמו כך) (טור)</w:t>
      </w:r>
      <w:r w:rsidRPr="00400E7F">
        <w:t>.</w:t>
      </w:r>
    </w:p>
    <w:p w14:paraId="47DD4603" w14:textId="4B6F9EBE" w:rsidR="00400E7F" w:rsidRPr="00400E7F" w:rsidRDefault="00400E7F" w:rsidP="00400E7F">
      <w:pPr>
        <w:pStyle w:val="Style1"/>
      </w:pPr>
      <w:r w:rsidRPr="00400E7F">
        <w:rPr>
          <w:rtl/>
        </w:rPr>
        <w:t>אין בהם ת"ח, והיה אחד מהן שכן או קרוב, הוא קודם. היה אחד שכן ואחד קרוב, שכן קודם. שניהם קרובים או שניהם שכנים או שניהם תלמידי חכמים, יעשו הדיינים כמו שיראה להם, כל מי שדעתם נוטה שעל זה אמר נותנים לו. וכן אם היו רבים</w:t>
      </w:r>
      <w:r w:rsidRPr="00400E7F">
        <w:t>.</w:t>
      </w:r>
    </w:p>
    <w:p w14:paraId="0ED3BAC8" w14:textId="28EB8B7E" w:rsidR="00400E7F" w:rsidRDefault="00400E7F" w:rsidP="00400E7F">
      <w:pPr>
        <w:pStyle w:val="Style1"/>
        <w:rPr>
          <w:rtl/>
        </w:rPr>
      </w:pPr>
      <w:r w:rsidRPr="00400E7F">
        <w:rPr>
          <w:rFonts w:hint="cs"/>
          <w:rtl/>
        </w:rPr>
        <w:t>(והאי שכן, לא בשכן הדר אצלו, אלא בשכן חבירו הרגיל אצלו במשא ומתן) (טור). והא דאומדין דעת הנותן היינו דוקא בנותן להם מתנה, אבל אם אמר שחייב לטוביה ובאו שנים שוין, יחלוקו ביחד, דהא ליכא אומדנא מאחר שחייב להן (ר"ן פ' הכותב)</w:t>
      </w:r>
      <w:r w:rsidRPr="00400E7F">
        <w:t>.</w:t>
      </w:r>
    </w:p>
    <w:p w14:paraId="6F532E3F" w14:textId="4DA26116" w:rsidR="005B1505" w:rsidRDefault="005B1505" w:rsidP="005B1505">
      <w:pPr>
        <w:pStyle w:val="Style1"/>
        <w:rPr>
          <w:rtl/>
        </w:rPr>
      </w:pPr>
      <w:r>
        <w:rPr>
          <w:rFonts w:hint="cs"/>
          <w:rtl/>
        </w:rPr>
        <w:t>3)[</w:t>
      </w:r>
      <w:r>
        <w:rPr>
          <w:rtl/>
        </w:rPr>
        <w:t>רמב</w:t>
      </w:r>
      <w:r w:rsidR="00786216">
        <w:rPr>
          <w:rtl/>
        </w:rPr>
        <w:t>”ם \מכירה\</w:t>
      </w:r>
      <w:r>
        <w:rPr>
          <w:rtl/>
        </w:rPr>
        <w:t xml:space="preserve"> הלכות מכירה פרק ו הלכה יא</w:t>
      </w:r>
      <w:r>
        <w:rPr>
          <w:rFonts w:hint="cs"/>
          <w:rtl/>
        </w:rPr>
        <w:t xml:space="preserve">] </w:t>
      </w:r>
      <w:r>
        <w:rPr>
          <w:rtl/>
        </w:rPr>
        <w:t>וכיצד יקנה השטר, שיכתוב לו המקנה קנה שטר פלוני וכל השעבוד שיש בו וימסור לו השטר ונמצא שנקנה בכתיבה ומסירה, ואין צריך עדים לענין קנייתו אבל צריך עדים לענין תביעתו, שהרי הנתבע אומר לו מי יאמר שבעל דברים שלי כתב ומסר לך /השגת הראב"ד/ ואינו צריך עדים. א"א יש שהקשה על זה והא קי"ל כרבא דאמר אינו צריך למסירה, וי"ל דלא פליגי אביי ורבא אלא אליבא דמ"ד אותיות נקנות במסירה אבל למאן דבעי כתיבה היכא דליכא כתיבה כגון שכיב מרע ראיה מיהת בעי ועוד אני אומר דכי אמר רבא אינו צריך ראיה ה"מ להדי מוכר אבל לגבי לוה כי אתא למיגבי מיניה מצי א"ל אייתי ראיה היכי מטא שטרא לידך עכ"ל.</w:t>
      </w:r>
    </w:p>
    <w:p w14:paraId="6A56D182" w14:textId="3F6D05D0" w:rsidR="005B1505" w:rsidRPr="005B1505" w:rsidRDefault="005B1505" w:rsidP="005B1505">
      <w:pPr>
        <w:pStyle w:val="Style1"/>
      </w:pPr>
      <w:r>
        <w:rPr>
          <w:rFonts w:hint="cs"/>
          <w:rtl/>
        </w:rPr>
        <w:t>3)[</w:t>
      </w:r>
      <w:r>
        <w:rPr>
          <w:rtl/>
        </w:rPr>
        <w:t>שולחן ערוך חושן משפט הלכות הלואה סימן סו סעיף כג</w:t>
      </w:r>
      <w:r>
        <w:rPr>
          <w:rFonts w:hint="cs"/>
          <w:rtl/>
        </w:rPr>
        <w:t xml:space="preserve">] </w:t>
      </w:r>
      <w:r w:rsidRPr="005B1505">
        <w:rPr>
          <w:rtl/>
        </w:rPr>
        <w:t>המוכר שטר חוב כדינו אם חזר ומחלו ללוה מחול</w:t>
      </w:r>
      <w:r w:rsidRPr="005B1505">
        <w:t>. </w:t>
      </w:r>
      <w:r w:rsidRPr="005B1505">
        <w:rPr>
          <w:rFonts w:hint="cs"/>
          <w:rtl/>
        </w:rPr>
        <w:t>מיהו אין הלוקח מחויב להחזיר ללוה שטרו ויש חולקין (ר"ן פרק הכותב ור' ירוחם ני"ד שתי הדעות)</w:t>
      </w:r>
      <w:r w:rsidRPr="005B1505">
        <w:t xml:space="preserve">. </w:t>
      </w:r>
      <w:r w:rsidRPr="005B1505">
        <w:rPr>
          <w:rtl/>
        </w:rPr>
        <w:t>ומה תקנתיה? יפייס ללוה שיעשה לו שטר על שמו או יקבל עליו הלוה בקנין או בהודאתו בפני עדים שזקפו עליו במלוה לקונה ושוב לא יוכל למחול ואפי' אם התנה עמו שלא יוכל למוחלו אם מחלו מחול ואפי' אם סלק עצמו מכח החוב ההוא לגמרי וריקן כל כחו בשטר לקונה אפי' הכי אם מחלו מחול ואפי' היורש של המוכר יכול למחול ומיהו אין היורש יכול למחול לעצמו כדי להפסיד ללוקח כיצד ראובן הלוה לבנו בשטר ומכרו לשמעון ומת ראובן לא יאמר הבן הואיל ואני יורש החזקתי למחול לעצמי ואין לי לשלם כלום מדינא דגרמי שאני לא כוונתי להזיק ללוקח אלא לפטור עצמי אלא פורע כל החוב ללוקח ויש מי שחולק ואומר שאף לעצמו יכול למחול</w:t>
      </w:r>
      <w:r w:rsidRPr="005B1505">
        <w:t>:</w:t>
      </w:r>
    </w:p>
    <w:p w14:paraId="1FB057DF" w14:textId="4FE3A428" w:rsidR="005B1505" w:rsidRDefault="005B1505" w:rsidP="005B1505">
      <w:pPr>
        <w:pStyle w:val="Style1"/>
        <w:rPr>
          <w:rtl/>
        </w:rPr>
      </w:pPr>
      <w:r w:rsidRPr="005B1505">
        <w:rPr>
          <w:rFonts w:hint="cs"/>
          <w:rtl/>
        </w:rPr>
        <w:lastRenderedPageBreak/>
        <w:t>הגה: לעיל סי</w:t>
      </w:r>
      <w:r w:rsidRPr="005B1505">
        <w:rPr>
          <w:rFonts w:hint="cs"/>
        </w:rPr>
        <w:t>' </w:t>
      </w:r>
      <w:hyperlink r:id="rId221" w:tooltip="שולחן ערוך חושן משפט ס" w:history="1">
        <w:r w:rsidRPr="005B1505">
          <w:rPr>
            <w:rStyle w:val="Hyperlink"/>
            <w:rFonts w:hint="cs"/>
            <w:color w:val="7030A0"/>
            <w:u w:val="none"/>
            <w:rtl/>
          </w:rPr>
          <w:t>ס</w:t>
        </w:r>
        <w:r w:rsidRPr="005B1505">
          <w:rPr>
            <w:rStyle w:val="Hyperlink"/>
            <w:rFonts w:hint="cs"/>
            <w:color w:val="7030A0"/>
            <w:u w:val="none"/>
          </w:rPr>
          <w:t>'</w:t>
        </w:r>
      </w:hyperlink>
      <w:r w:rsidRPr="005B1505">
        <w:rPr>
          <w:rFonts w:hint="cs"/>
        </w:rPr>
        <w:t> </w:t>
      </w:r>
      <w:hyperlink r:id="rId222" w:tooltip="שולחן ערוך חושן משפט סח" w:history="1">
        <w:r w:rsidRPr="005B1505">
          <w:rPr>
            <w:rStyle w:val="Hyperlink"/>
            <w:rFonts w:hint="cs"/>
            <w:color w:val="7030A0"/>
            <w:u w:val="none"/>
            <w:rtl/>
          </w:rPr>
          <w:t>ס"ח</w:t>
        </w:r>
      </w:hyperlink>
      <w:r w:rsidRPr="005B1505">
        <w:rPr>
          <w:rFonts w:hint="cs"/>
        </w:rPr>
        <w:t> </w:t>
      </w:r>
      <w:r w:rsidRPr="005B1505">
        <w:rPr>
          <w:rFonts w:hint="cs"/>
          <w:rtl/>
        </w:rPr>
        <w:t>(גם בטור שם סי' ז') נתבאר שאם ראובן צוה לכתוב שטר שלו על שם שמעון אין שמעון יכול למחלו הואיל ואין הממון שלו אבל ראובן יכול למחלו כי הוא נקרא בעל השטר ואפילו לא מסרו בהדיא רק שמחל ללוה כל מה שבידו או כיוצא בזה גם שטר זה נמחל אע"פ שנכתב על שם שמעון (תשו' רשב"א סי" תתקכ"ו)</w:t>
      </w:r>
      <w:r w:rsidRPr="005B1505">
        <w:t>:</w:t>
      </w:r>
    </w:p>
    <w:p w14:paraId="6B1D74FC" w14:textId="0C6F425D" w:rsidR="007258D9" w:rsidRDefault="007258D9" w:rsidP="007258D9">
      <w:pPr>
        <w:pStyle w:val="Style1"/>
        <w:rPr>
          <w:rtl/>
        </w:rPr>
      </w:pPr>
      <w:r>
        <w:rPr>
          <w:rFonts w:hint="cs"/>
          <w:rtl/>
        </w:rPr>
        <w:t>4)[</w:t>
      </w:r>
      <w:r>
        <w:rPr>
          <w:rtl/>
        </w:rPr>
        <w:t>רמב</w:t>
      </w:r>
      <w:r w:rsidR="00786216">
        <w:rPr>
          <w:rtl/>
        </w:rPr>
        <w:t>”ם \מכירה\</w:t>
      </w:r>
      <w:r>
        <w:rPr>
          <w:rtl/>
        </w:rPr>
        <w:t xml:space="preserve"> הלכות מכירה פרק ו הלכה יג</w:t>
      </w:r>
      <w:r>
        <w:rPr>
          <w:rFonts w:hint="cs"/>
          <w:rtl/>
        </w:rPr>
        <w:t xml:space="preserve">] </w:t>
      </w:r>
      <w:r>
        <w:rPr>
          <w:rtl/>
        </w:rPr>
        <w:t>האשה שהכניסה שטר חוב לבעלה אינה יכולה למחול אלא מדעת בעלה מפני שידה כידו.</w:t>
      </w:r>
    </w:p>
    <w:p w14:paraId="0D75A4D3" w14:textId="2DFF4906" w:rsidR="007258D9" w:rsidRDefault="007258D9" w:rsidP="007258D9">
      <w:pPr>
        <w:pStyle w:val="Style1"/>
        <w:rPr>
          <w:rtl/>
        </w:rPr>
      </w:pPr>
      <w:r>
        <w:rPr>
          <w:rFonts w:hint="cs"/>
          <w:rtl/>
        </w:rPr>
        <w:t>4)[</w:t>
      </w:r>
      <w:r>
        <w:rPr>
          <w:rtl/>
        </w:rPr>
        <w:t>שולחן ערוך חושן משפט הלכות הלואה סימן סו סעיף כח</w:t>
      </w:r>
      <w:r>
        <w:rPr>
          <w:rFonts w:hint="cs"/>
          <w:rtl/>
        </w:rPr>
        <w:t xml:space="preserve">] </w:t>
      </w:r>
      <w:r w:rsidRPr="007258D9">
        <w:rPr>
          <w:rtl/>
        </w:rPr>
        <w:t>מכנסת לבעלה שט"ח או מלוה על פה או שלוו [ממנה] אחרי' אחר נישואיה אינה יכולה למחול דאין קנין לאשה בלא בעלה ואפילו היו נכסי מלוג</w:t>
      </w:r>
      <w:r w:rsidRPr="007258D9">
        <w:t xml:space="preserve"> (</w:t>
      </w:r>
      <w:r w:rsidRPr="007258D9">
        <w:rPr>
          <w:rtl/>
        </w:rPr>
        <w:t>פי' נכסי האשה שהבעל אוכל פירות ומניח קרן כענין מליגת הראש שתולשין השער ומניחין הראש</w:t>
      </w:r>
      <w:r w:rsidRPr="007258D9">
        <w:t>):</w:t>
      </w:r>
    </w:p>
    <w:p w14:paraId="639955B3" w14:textId="1295AA6E" w:rsidR="007258D9" w:rsidRPr="007258D9" w:rsidRDefault="007258D9" w:rsidP="007258D9">
      <w:pPr>
        <w:pStyle w:val="Style1"/>
      </w:pPr>
      <w:r>
        <w:rPr>
          <w:rFonts w:hint="cs"/>
          <w:rtl/>
        </w:rPr>
        <w:t>5)[</w:t>
      </w:r>
      <w:r>
        <w:rPr>
          <w:rtl/>
        </w:rPr>
        <w:t>שולחן ערוך אבן העזר הלכות כתובות סימן קה סעיף ו</w:t>
      </w:r>
      <w:r>
        <w:rPr>
          <w:rFonts w:hint="cs"/>
          <w:rtl/>
        </w:rPr>
        <w:t xml:space="preserve">] </w:t>
      </w:r>
      <w:r w:rsidRPr="007258D9">
        <w:rPr>
          <w:rtl/>
        </w:rPr>
        <w:t>המוכר שטר חוב לחברו, וחזר ומחלו לו, מחול. ואפילו יורש מוחל. לפיכך, מכרה כתובתה ומת הבעל ואחר כך מתה, בנה יכול למחול והמכר בטל. ואפילו אין לה יורש אחר אלא זה הבן ונמצא פרעון הכתובה עליו, יכול למחול לעצמו כדי לבטל המקח, ויורש הכתובה</w:t>
      </w:r>
      <w:r w:rsidRPr="007258D9">
        <w:t>:</w:t>
      </w:r>
    </w:p>
    <w:p w14:paraId="31AFB792" w14:textId="77777777" w:rsidR="007258D9" w:rsidRPr="007258D9" w:rsidRDefault="007258D9" w:rsidP="007258D9">
      <w:pPr>
        <w:pStyle w:val="Style1"/>
      </w:pPr>
    </w:p>
    <w:p w14:paraId="35A142C6" w14:textId="5BD15119" w:rsidR="007258D9" w:rsidRPr="007258D9" w:rsidRDefault="007258D9" w:rsidP="007258D9">
      <w:pPr>
        <w:pStyle w:val="Style1"/>
      </w:pPr>
    </w:p>
    <w:p w14:paraId="2983BCDD" w14:textId="7619164D" w:rsidR="007258D9" w:rsidRPr="007258D9" w:rsidRDefault="007258D9" w:rsidP="007258D9">
      <w:pPr>
        <w:pStyle w:val="Style1"/>
      </w:pPr>
    </w:p>
    <w:p w14:paraId="6F582DDE" w14:textId="77777777" w:rsidR="005B1505" w:rsidRPr="007258D9" w:rsidRDefault="005B1505" w:rsidP="007258D9">
      <w:pPr>
        <w:pStyle w:val="Style1"/>
      </w:pPr>
    </w:p>
    <w:p w14:paraId="5913B364" w14:textId="75663E2F" w:rsidR="005B1505" w:rsidRPr="005B1505" w:rsidRDefault="005B1505" w:rsidP="005B1505">
      <w:pPr>
        <w:pStyle w:val="Style1"/>
      </w:pPr>
    </w:p>
    <w:p w14:paraId="6A583DFA" w14:textId="77777777" w:rsidR="00400E7F" w:rsidRPr="00400E7F" w:rsidRDefault="00400E7F" w:rsidP="00400E7F">
      <w:pPr>
        <w:pStyle w:val="Style1"/>
      </w:pPr>
    </w:p>
    <w:p w14:paraId="274B608D" w14:textId="61D3C5B9" w:rsidR="00400E7F" w:rsidRPr="00400E7F" w:rsidRDefault="00400E7F" w:rsidP="00400E7F">
      <w:pPr>
        <w:pStyle w:val="Style1"/>
        <w:rPr>
          <w:rtl/>
        </w:rPr>
      </w:pPr>
    </w:p>
    <w:p w14:paraId="158E3F86" w14:textId="02EB441B" w:rsidR="00873C21" w:rsidRPr="00873C21" w:rsidRDefault="00873C21" w:rsidP="00873C21">
      <w:pPr>
        <w:bidi/>
        <w:rPr>
          <w:rStyle w:val="Style1Char"/>
          <w:color w:val="auto"/>
          <w:sz w:val="22"/>
          <w:szCs w:val="22"/>
        </w:rPr>
      </w:pPr>
    </w:p>
    <w:p w14:paraId="002BDE1E" w14:textId="0D27B38D" w:rsidR="00873C21" w:rsidRPr="00494191" w:rsidRDefault="00873C21" w:rsidP="00873C21">
      <w:pPr>
        <w:bidi/>
        <w:rPr>
          <w:rStyle w:val="Style1Char"/>
          <w:color w:val="auto"/>
          <w:sz w:val="22"/>
          <w:szCs w:val="22"/>
          <w:rtl/>
        </w:rPr>
      </w:pPr>
      <w:r w:rsidRPr="00873C21">
        <w:rPr>
          <w:rStyle w:val="Style1Char"/>
          <w:color w:val="auto"/>
          <w:sz w:val="22"/>
          <w:szCs w:val="22"/>
          <w:rtl/>
        </w:rPr>
        <w:t>י</w:t>
      </w:r>
    </w:p>
    <w:p w14:paraId="531B816A" w14:textId="77777777" w:rsidR="00C369CA" w:rsidRPr="00D205EB" w:rsidRDefault="00C369CA" w:rsidP="00C369CA">
      <w:pPr>
        <w:bidi/>
        <w:rPr>
          <w:rStyle w:val="Style1Char"/>
          <w:color w:val="C00000"/>
        </w:rPr>
      </w:pPr>
      <w:r w:rsidRPr="00D205EB">
        <w:rPr>
          <w:rStyle w:val="Style1Char"/>
          <w:color w:val="C00000"/>
          <w:rtl/>
        </w:rPr>
        <w:t xml:space="preserve"> </w:t>
      </w:r>
    </w:p>
    <w:p w14:paraId="6140B0CC" w14:textId="77777777" w:rsidR="00C369CA" w:rsidRPr="00A53F61" w:rsidRDefault="00C369CA" w:rsidP="00C369CA">
      <w:pPr>
        <w:bidi/>
        <w:rPr>
          <w:rStyle w:val="Style1Char"/>
          <w:color w:val="00B050"/>
          <w:rtl/>
        </w:rPr>
      </w:pPr>
    </w:p>
    <w:p w14:paraId="09CB7487" w14:textId="77777777" w:rsidR="00C369CA" w:rsidRDefault="00C369CA" w:rsidP="00C369CA">
      <w:pPr>
        <w:bidi/>
        <w:rPr>
          <w:rStyle w:val="Style1Char"/>
          <w:color w:val="00B050"/>
          <w:rtl/>
        </w:rPr>
      </w:pPr>
    </w:p>
    <w:p w14:paraId="5D422087" w14:textId="77777777" w:rsidR="00C369CA" w:rsidRDefault="00C369CA" w:rsidP="00C369CA">
      <w:pPr>
        <w:rPr>
          <w:rStyle w:val="Style1Char"/>
          <w:color w:val="00B050"/>
          <w:rtl/>
        </w:rPr>
      </w:pPr>
      <w:r>
        <w:rPr>
          <w:rStyle w:val="Style1Char"/>
          <w:color w:val="00B050"/>
          <w:rtl/>
        </w:rPr>
        <w:br w:type="page"/>
      </w:r>
    </w:p>
    <w:p w14:paraId="4CE6D1CE" w14:textId="77777777" w:rsidR="00C369CA" w:rsidRDefault="00C369CA" w:rsidP="00C369CA">
      <w:pPr>
        <w:bidi/>
        <w:rPr>
          <w:rStyle w:val="Style1Char"/>
          <w:color w:val="00B050"/>
          <w:rtl/>
        </w:rPr>
      </w:pPr>
      <w:r w:rsidRPr="00F94B6F">
        <w:rPr>
          <w:rStyle w:val="Style1Char"/>
          <w:color w:val="auto"/>
          <w:sz w:val="22"/>
          <w:szCs w:val="22"/>
          <w:highlight w:val="yellow"/>
          <w:rtl/>
        </w:rPr>
        <w:lastRenderedPageBreak/>
        <w:t>[דף פו עמוד א]</w:t>
      </w:r>
      <w:r w:rsidRPr="00F94B6F">
        <w:rPr>
          <w:rStyle w:val="Style1Char"/>
          <w:color w:val="auto"/>
          <w:sz w:val="22"/>
          <w:szCs w:val="22"/>
          <w:rtl/>
        </w:rPr>
        <w:t xml:space="preserve"> תיזיל ותיחלה לכתובתה דאמה לגבי אבוה, </w:t>
      </w:r>
      <w:r w:rsidRPr="00F94B6F">
        <w:rPr>
          <w:rStyle w:val="Style1Char"/>
          <w:color w:val="806000" w:themeColor="accent4" w:themeShade="80"/>
          <w:sz w:val="22"/>
          <w:szCs w:val="22"/>
          <w:rtl/>
        </w:rPr>
        <w:t xml:space="preserve">ותהדר </w:t>
      </w:r>
      <w:r w:rsidRPr="00F94B6F">
        <w:rPr>
          <w:rStyle w:val="Style1Char"/>
          <w:color w:val="auto"/>
          <w:sz w:val="22"/>
          <w:szCs w:val="22"/>
          <w:rtl/>
        </w:rPr>
        <w:t>ותירתה מיניה</w:t>
      </w:r>
      <w:r w:rsidRPr="00F94B6F">
        <w:rPr>
          <w:rStyle w:val="Style1Char"/>
          <w:color w:val="auto"/>
          <w:rtl/>
        </w:rPr>
        <w:t xml:space="preserve">. </w:t>
      </w:r>
      <w:r w:rsidRPr="00F94B6F">
        <w:rPr>
          <w:rStyle w:val="Style1Char"/>
          <w:color w:val="auto"/>
          <w:sz w:val="22"/>
          <w:szCs w:val="22"/>
          <w:rtl/>
        </w:rPr>
        <w:t>שמעה</w:t>
      </w:r>
      <w:r w:rsidRPr="0036628F">
        <w:rPr>
          <w:rStyle w:val="Style1Char"/>
          <w:color w:val="4472C4" w:themeColor="accent1"/>
          <w:rtl/>
        </w:rPr>
        <w:t xml:space="preserve"> </w:t>
      </w:r>
      <w:r w:rsidRPr="0036628F">
        <w:rPr>
          <w:rStyle w:val="Style1Char"/>
          <w:color w:val="4472C4" w:themeColor="accent1"/>
          <w:sz w:val="22"/>
          <w:szCs w:val="22"/>
          <w:rtl/>
        </w:rPr>
        <w:t>ברתה</w:t>
      </w:r>
      <w:r w:rsidRPr="00F94B6F">
        <w:rPr>
          <w:rStyle w:val="Style1Char"/>
          <w:color w:val="auto"/>
          <w:sz w:val="22"/>
          <w:szCs w:val="22"/>
          <w:rtl/>
        </w:rPr>
        <w:t>, אזלה אחילתה. אמר רב נחמן: עשינו עצמינו כעורכי הדיינין. מעיקרא מאי סבר, ולבסוף מאי סבר? מעיקרא סבר: ומבשרך לא תתעלם, ולבסוף סבר: אדם חשוב שאני</w:t>
      </w:r>
      <w:r w:rsidRPr="00002592">
        <w:rPr>
          <w:rStyle w:val="Style1Char"/>
          <w:color w:val="C00000"/>
          <w:rtl/>
        </w:rPr>
        <w:t xml:space="preserve"> </w:t>
      </w:r>
      <w:r w:rsidRPr="00D205EB">
        <w:rPr>
          <w:rStyle w:val="Style1Char"/>
          <w:color w:val="C00000"/>
          <w:rtl/>
        </w:rPr>
        <w:t>ומהא נמי שמעינן דליתיה להאי טעמא דאמר עיינית בחושבנאי לא פש לי מידי דאי מהאי טעמא אמרינן חזר ומחלו מחול ואפילו יורש מוחל לא הוה אפשר ליה לרב נחמן דליסבה עצה בכי הא מילתא דהויא לה טענתא דשיקרא וחס ליה לרב נחמן לאגמורי טענותא דשיקרא לאינשי</w:t>
      </w:r>
      <w:r w:rsidRPr="00D2614D">
        <w:rPr>
          <w:rStyle w:val="Style1Char"/>
          <w:color w:val="00B050"/>
          <w:rtl/>
        </w:rPr>
        <w:t xml:space="preserve">. </w:t>
      </w:r>
    </w:p>
    <w:p w14:paraId="4E0BA1DA" w14:textId="77777777" w:rsidR="00C369CA" w:rsidRDefault="00C369CA" w:rsidP="00C369CA">
      <w:pPr>
        <w:bidi/>
        <w:rPr>
          <w:rStyle w:val="Style1Char"/>
          <w:color w:val="4472C4" w:themeColor="accent1"/>
          <w:rtl/>
        </w:rPr>
      </w:pPr>
      <w:r w:rsidRPr="00E53B77">
        <w:rPr>
          <w:rStyle w:val="Style1Char"/>
          <w:color w:val="4472C4" w:themeColor="accent1"/>
          <w:rtl/>
        </w:rPr>
        <w:t>בפ"ק דבב"מ (דף יט ב) אההיא דמצא שובר כתבתי (סי' מח) אם חייב המוחל לשלם כל דמי השטר או דמים שקבל הראב"ד ז"ל כתב דאי כתב ליה לוה למלוה משתעבדנא לך ולכל דאתי מחמתך ומכר המלוה אותו השטר אינו יכול למוחלו דכמאן דכתב ליה שטרא לוה ללוקח דמי ונראה שדקדק דבר זה מהא דאמרינן בסוף פ"ק דגיטין (דף יג ב) גבי הא דאמר רב הונא מנה לי בידך תנהו לפלוני במעמד שלשתן קנה ושקיל וטרי התם לפרושי טעמא דמילתיה דרב הונא למה קונה בדבור בעלמא במעמד שלשתן הא קי"ל דאפי' בקנין אגב קרקע אין הלואה ניקנית וקא יהיב אמימר טעמא למילתיה דנעשה כאומר לו בשעת מתן מעות משתעבדנא לך ולכל דאתי מחמתך אלמא היכא דא"ל הכי בשעת מתן מעות הוא משועבד לכל הבא מכחו כמו שהיה משועבד לו הלכך אינו יכול למחול לו. ונראה שאינה ראיה לכאן שלא יוכל למחול דהתם קאמר מטעם זה קונה דנעשה כמי שנשתעבד לו בשעת מתן מעות. אבל מאן לימא לן דאם חזר ומחלו שאינו מחול דמההוא טעמא דמפרש רבינו תם דמוכר שטר חוב שיכול למחול אף על פי שמדאורייתא הוי מכר משום דשני שיעבודים יש לו למלוה על הלוה אחד שיעבוד נכסיו ואחד שגופו משועבד לפרוע לו ושעבוד נכסיו של הלוה יכול המלוה למכור אבל שיעבוד גופו של הלוה אין קניין נתפס עליו הלכך כל זמן שלא מחל לו גובה נכסיו של לוה אבל אם מחל המלוה ללוה שיעבוד גופו שנשאר אצלו פקע נמי שיעבוד נכסין דנכסי דאיניש אינון ערבין ביה וכשנסתלק שיעבוד הלוה נסתלק נמי שיעבוד נכסיו ומהאי טעמא נמי נוכל לומר דנהי דבמעמד שלשתן קנה משום דנעשה כאומר לו בשעת מתן מעות משעבדנא לך ולכל דאתי מחמתך מ"מ שיעבוד גופו נשאר ביד המלוה ויכול למחול. ואפי' לדברי המפרשים דבמעמד שלשתן אינו יכול למחול ומביאין ראיה מההיא דפרק שני דקדושין (דף מח א) התקדשי לי בשטר חוב או שהיה לו מלוה ביד אחרים וכו' כדמפרש בתוס' סוף פ"ק דגיטין. יש לחלק דשאני התם</w:t>
      </w:r>
      <w:r>
        <w:rPr>
          <w:rStyle w:val="Style1Char"/>
          <w:rFonts w:hint="cs"/>
          <w:color w:val="4472C4" w:themeColor="accent1"/>
        </w:rPr>
        <w:t>‍</w:t>
      </w:r>
      <w:r w:rsidRPr="00E53B77">
        <w:rPr>
          <w:rStyle w:val="Style1Char"/>
          <w:color w:val="4472C4" w:themeColor="accent1"/>
          <w:rtl/>
        </w:rPr>
        <w:t xml:space="preserve"> דשלשתן עומדין במעמד אחד ומחל המלוה ללוה שיעבוד גופו וחל שיעבוד גוף הלוה לשני משעת מתן מעות. אבל במוכר שטר כיון שאין קנין המלוה מועיל שיהא שיעבוד גופו של לוה קנוי ללוקח מכח קנין המלוה אלא מחמת שכתב לו הלוה למלוה משתעבדנא לך וכל דאתי מחמתך</w:t>
      </w:r>
      <w:r>
        <w:rPr>
          <w:rStyle w:val="Style1Char"/>
          <w:rFonts w:hint="cs"/>
          <w:color w:val="4472C4" w:themeColor="accent1"/>
        </w:rPr>
        <w:t>‍</w:t>
      </w:r>
      <w:r w:rsidRPr="00E53B77">
        <w:rPr>
          <w:rStyle w:val="Style1Char"/>
          <w:color w:val="4472C4" w:themeColor="accent1"/>
          <w:rtl/>
        </w:rPr>
        <w:t xml:space="preserve"> אנן סהדי דאין הלוה רוצה שיהא גופו משועבד לשניהם. למלוה לפי שלא הועיל הקנין להיות גוף המלוה משועבד ללוקח מכח קנין המלוה ונמצא שנשאר עדיין שיעבוד גוף הלוה ביד המלוה. וגם ללוקח לפי שכתב למלוה משתעבדנא לך וכל דאתי מחמתך אלא ודאי הא דכתב ליה ולכל דאתי מחמתך על שעבוד נכסיו דיכול המלוה למכור כתב לו דפקע שיעבוד המלוה ולא נשאר משועבד כי אם ללוקח ולא על שיעבוד גופו. ועוד יש לפרש הא דקאמר משעבדנא לך ולכל דאתי מחמתך</w:t>
      </w:r>
      <w:r>
        <w:rPr>
          <w:rStyle w:val="Style1Char"/>
          <w:rFonts w:hint="cs"/>
          <w:color w:val="4472C4" w:themeColor="accent1"/>
        </w:rPr>
        <w:t>‍</w:t>
      </w:r>
      <w:r w:rsidRPr="00E53B77">
        <w:rPr>
          <w:rStyle w:val="Style1Char"/>
          <w:color w:val="4472C4" w:themeColor="accent1"/>
          <w:rtl/>
        </w:rPr>
        <w:t xml:space="preserve"> פי' כשארצה להשתעבד יחול שיעבודי מעתה ובכי האי גוונא</w:t>
      </w:r>
      <w:r>
        <w:rPr>
          <w:rStyle w:val="Style1Char"/>
          <w:rFonts w:hint="cs"/>
          <w:color w:val="4472C4" w:themeColor="accent1"/>
        </w:rPr>
        <w:t>‍</w:t>
      </w:r>
      <w:r w:rsidRPr="00E53B77">
        <w:rPr>
          <w:rStyle w:val="Style1Char"/>
          <w:color w:val="4472C4" w:themeColor="accent1"/>
          <w:rtl/>
        </w:rPr>
        <w:t xml:space="preserve"> פירשו התוס' בסוף פ"ק דגיטין כשרצו לדקדק דבמעמד שלשתן קנה בעל כרחו של לוה להאי טעמא דאמימר דמפרש טעמיה דמילתיה דרב הונא משום דמשתעבדנא לך ולכל דאתי מחמתך דכיון דבשעת הלואה נשתעבד לכל הבא מכחו נמצא שבעל כרחו של לוה צריך להשתעבד לשני ודחו ראיה זו דדילמא ה"ק לכל דאתי מחמתך שארצה להשתעבד מדעתי. הלכך כשנתרצה פקע שיעבוד ראשון וחל שיעבוד השני משא"כ במכירת השטר חוב אפי' כתב לו כל דאתי מחמתך לא פקע שיעבוד הראשון וכל שכן לדברי רב אלפס ז"ל והגאונים שפירשו דמכירת שטר חוב דרבנן דאין קניין נתפס על שטר חוב כמו שאין נתפס על הלוה ומהאי טעמא יכול למחול. וכדבריהם משמע בפ' מי שמת (דף קמז ב) גבי הא דאמר רב נחמן מתנת שכיב מרע דרבנן וכו' הלכך אפילו אי אמר ליה משעבדנא לך ולכל דאתי מחמתך אין קניין מועיל בו. ואף על גב דבסוף פ"ק דגיטין </w:t>
      </w:r>
      <w:r>
        <w:rPr>
          <w:rStyle w:val="Style1Char"/>
          <w:rFonts w:hint="cs"/>
          <w:color w:val="4472C4" w:themeColor="accent1"/>
        </w:rPr>
        <w:t>‍</w:t>
      </w:r>
      <w:r w:rsidRPr="00E53B77">
        <w:rPr>
          <w:rStyle w:val="Style1Char"/>
          <w:color w:val="4472C4" w:themeColor="accent1"/>
          <w:rtl/>
        </w:rPr>
        <w:t xml:space="preserve"> קאמר אמימר דאפילו במלוה בלא שטר קנה במעמד שלשתן דנעשה כאומר משתעבדנא לך ולכל דאתי מחמתך לפי שהקנין חל למפרע לשני משעת הלואה ומסתברא דכל שכן במוכר שט"ח וכתוב בו הריני משועבד לך ולכל הבא מכחך. לא היא דשאני התם שעומדין שלשתן כאחד ונתרצה להשתעבד לו כדפרישית לעיל. ועוד מקשי' על דברי הראב"ד ז"ל מההיא דפ"ק דמציעא (דף יט ב) מצא שובר כתובה בזמן שהאשה מודה יחזיר לבעל ופריך וליחוש דלמא כתבה ליתן בניסן ולא נתנה עד תשרי וזבינתה לכתובתה בטובת הנאה מניסן ועד תשרי ומפיק ליה לשובר ומפסיד להו ללקוחות שלא כדין. ומשני אמר רבא שמע מינה איתא לדשמואל דאמר המוכר שטר לחבירו וחזר ומחלו מחול. פי' הלכך לפסידא דלקוחות לא חיישינן שהרי בידה להפסידם בלאו הכי שתמחול כתובתה לבעלה. ולדברי הראב"ד ז"ל איכא למיחש שמא כתב לה בכתובתה ולכל דאתי מחמתך וא"ת לדברי המפרשים דבמעמד שלשתן אינו יכול למחול ליחוש שמא מכרה במעמד שלשתן דהיינו היא והבעל והלוקח ויש</w:t>
      </w:r>
      <w:r>
        <w:rPr>
          <w:rStyle w:val="Style1Char"/>
          <w:rFonts w:hint="cs"/>
          <w:color w:val="4472C4" w:themeColor="accent1"/>
        </w:rPr>
        <w:t>‍</w:t>
      </w:r>
      <w:r w:rsidRPr="00E53B77">
        <w:rPr>
          <w:rStyle w:val="Style1Char"/>
          <w:color w:val="4472C4" w:themeColor="accent1"/>
          <w:rtl/>
        </w:rPr>
        <w:t xml:space="preserve"> לומר דלהא ליכא למיחש דאם שתק הבעל כשמכרה כתובתה בפניו הרי הודה שהשובר שכתבו על כתובתה היה שקר שאם היה אמת היה לו למחות ולומר כבר נתקבלת כתובתיך. </w:t>
      </w:r>
    </w:p>
    <w:p w14:paraId="2F4D161E" w14:textId="1176ED94" w:rsidR="00C369CA" w:rsidRPr="005E5188" w:rsidRDefault="00C369CA" w:rsidP="00C369CA">
      <w:pPr>
        <w:bidi/>
        <w:rPr>
          <w:rStyle w:val="Style1Char"/>
          <w:color w:val="auto"/>
          <w:rtl/>
        </w:rPr>
      </w:pPr>
      <w:r w:rsidRPr="00DC7C7D">
        <w:rPr>
          <w:rStyle w:val="Style1Char"/>
          <w:color w:val="auto"/>
          <w:sz w:val="22"/>
          <w:szCs w:val="22"/>
          <w:rtl/>
        </w:rPr>
        <w:t>גופא, אמר שמואל: המוכר שטר חוב לחבירו וחזר ומחלו - מחול</w:t>
      </w:r>
      <w:r w:rsidRPr="006609B9">
        <w:rPr>
          <w:rStyle w:val="Style1Char"/>
          <w:sz w:val="22"/>
          <w:szCs w:val="22"/>
          <w:rtl/>
        </w:rPr>
        <w:t xml:space="preserve">, ואפי' יורש מוחל. </w:t>
      </w:r>
      <w:r w:rsidRPr="00DC7C7D">
        <w:rPr>
          <w:rStyle w:val="Style1Char"/>
          <w:color w:val="auto"/>
          <w:sz w:val="22"/>
          <w:szCs w:val="22"/>
          <w:rtl/>
        </w:rPr>
        <w:t xml:space="preserve">אמר רב הונא בריה דרב יהושע: </w:t>
      </w:r>
      <w:r w:rsidR="00DA6E5B">
        <w:rPr>
          <w:rStyle w:val="Style1Char"/>
          <w:rFonts w:hint="cs"/>
          <w:rtl/>
        </w:rPr>
        <w:t>(1)</w:t>
      </w:r>
      <w:r w:rsidRPr="00DC7C7D">
        <w:rPr>
          <w:rStyle w:val="Style1Char"/>
          <w:color w:val="auto"/>
          <w:sz w:val="22"/>
          <w:szCs w:val="22"/>
          <w:rtl/>
        </w:rPr>
        <w:t xml:space="preserve">ואי פקח הוא, מקרקש ליה זוזי וכתב ליה שטרא בשמיה. אמר אמימר: </w:t>
      </w:r>
      <w:r w:rsidR="00DA6E5B">
        <w:rPr>
          <w:rStyle w:val="Style1Char"/>
          <w:rFonts w:hint="cs"/>
          <w:rtl/>
        </w:rPr>
        <w:t>(1, 2)</w:t>
      </w:r>
      <w:r w:rsidRPr="00DC7C7D">
        <w:rPr>
          <w:rStyle w:val="Style1Char"/>
          <w:color w:val="auto"/>
          <w:sz w:val="22"/>
          <w:szCs w:val="22"/>
          <w:rtl/>
        </w:rPr>
        <w:t xml:space="preserve">מאן דדאין דינא דגרמי - מגבי </w:t>
      </w:r>
      <w:r w:rsidRPr="00E53B77">
        <w:rPr>
          <w:rStyle w:val="Style1Char"/>
          <w:color w:val="4472C4" w:themeColor="accent1"/>
          <w:rtl/>
        </w:rPr>
        <w:t xml:space="preserve">ליה </w:t>
      </w:r>
      <w:r w:rsidRPr="00DC7C7D">
        <w:rPr>
          <w:rStyle w:val="Style1Char"/>
          <w:color w:val="auto"/>
          <w:sz w:val="22"/>
          <w:szCs w:val="22"/>
          <w:rtl/>
        </w:rPr>
        <w:t>ביה</w:t>
      </w:r>
      <w:r w:rsidRPr="006609B9">
        <w:rPr>
          <w:rStyle w:val="Style1Char"/>
          <w:sz w:val="22"/>
          <w:szCs w:val="22"/>
          <w:rtl/>
        </w:rPr>
        <w:t xml:space="preserve"> </w:t>
      </w:r>
      <w:r w:rsidRPr="00E936B2">
        <w:rPr>
          <w:rStyle w:val="Style1Char"/>
          <w:color w:val="806000" w:themeColor="accent4" w:themeShade="80"/>
          <w:sz w:val="22"/>
          <w:szCs w:val="22"/>
          <w:rtl/>
        </w:rPr>
        <w:t xml:space="preserve">מיניה </w:t>
      </w:r>
      <w:r w:rsidRPr="006609B9">
        <w:rPr>
          <w:rStyle w:val="Style1Char"/>
          <w:color w:val="C00000"/>
          <w:sz w:val="22"/>
          <w:szCs w:val="22"/>
          <w:rtl/>
        </w:rPr>
        <w:t xml:space="preserve">דמוחל </w:t>
      </w:r>
      <w:r w:rsidRPr="00E936B2">
        <w:rPr>
          <w:rStyle w:val="Style1Char"/>
          <w:color w:val="auto"/>
          <w:sz w:val="22"/>
          <w:szCs w:val="22"/>
          <w:rtl/>
        </w:rPr>
        <w:t>דמי שטרא מעליא</w:t>
      </w:r>
      <w:r w:rsidRPr="00E936B2">
        <w:rPr>
          <w:rStyle w:val="Style1Char"/>
          <w:color w:val="4472C4" w:themeColor="accent1"/>
          <w:rtl/>
        </w:rPr>
        <w:t xml:space="preserve"> </w:t>
      </w:r>
      <w:r w:rsidRPr="00E53B77">
        <w:rPr>
          <w:rStyle w:val="Style1Char"/>
          <w:color w:val="4472C4" w:themeColor="accent1"/>
          <w:rtl/>
        </w:rPr>
        <w:t>פירוש כל דמי שוויו שהיה עומד לימכר בהן לפי שעבוד נכסים של לוה ולפי אלמותו</w:t>
      </w:r>
      <w:r w:rsidRPr="00E936B2">
        <w:rPr>
          <w:rStyle w:val="Style1Char"/>
          <w:color w:val="auto"/>
          <w:rtl/>
        </w:rPr>
        <w:t>.</w:t>
      </w:r>
      <w:r w:rsidRPr="00E936B2">
        <w:rPr>
          <w:rStyle w:val="Style1Char"/>
          <w:color w:val="auto"/>
          <w:sz w:val="22"/>
          <w:szCs w:val="22"/>
          <w:rtl/>
        </w:rPr>
        <w:t>,</w:t>
      </w:r>
      <w:r w:rsidRPr="00E936B2">
        <w:rPr>
          <w:rStyle w:val="Style1Char"/>
          <w:color w:val="auto"/>
          <w:rtl/>
        </w:rPr>
        <w:t xml:space="preserve"> </w:t>
      </w:r>
      <w:r w:rsidRPr="00E936B2">
        <w:rPr>
          <w:rStyle w:val="Style1Char"/>
          <w:color w:val="auto"/>
          <w:sz w:val="22"/>
          <w:szCs w:val="22"/>
          <w:rtl/>
        </w:rPr>
        <w:t>מאן דלא דאין דינא דגרמי - מגבי ביה דמי ניירא בעלמא</w:t>
      </w:r>
      <w:r w:rsidRPr="00E53B77">
        <w:rPr>
          <w:rStyle w:val="Style1Char"/>
          <w:color w:val="4472C4" w:themeColor="accent1"/>
          <w:rtl/>
        </w:rPr>
        <w:t>פרש"י אומר שלא מכר לו אלא הנייר והרי הוא בידך ולשון מגבי ביה קשיא וי"ל דעיקר מילתא איתמר בהגוזל קמא (דף צח א) על השורף שטר חבירו ולהכי קא מגבי ליה ניירא וחכמי פרווינצי"א ז"ל אומרים</w:t>
      </w:r>
      <w:r>
        <w:rPr>
          <w:rStyle w:val="Style1Char"/>
          <w:rFonts w:hint="cs"/>
          <w:color w:val="4472C4" w:themeColor="accent1"/>
        </w:rPr>
        <w:t>‍</w:t>
      </w:r>
      <w:r w:rsidRPr="00E53B77">
        <w:rPr>
          <w:rStyle w:val="Style1Char"/>
          <w:color w:val="4472C4" w:themeColor="accent1"/>
          <w:rtl/>
        </w:rPr>
        <w:t xml:space="preserve"> שגם כאן צריך לפרוע המוחל ללוקח דמי הנייר. דכיון דמוחלו הרי הוא כפרוע וצריך להחזירו ללוה כי הוא נותן שכר הסופר והנייר שלו</w:t>
      </w:r>
      <w:r w:rsidRPr="00D2614D">
        <w:rPr>
          <w:rStyle w:val="Style1Char"/>
          <w:color w:val="00B050"/>
          <w:rtl/>
        </w:rPr>
        <w:t xml:space="preserve">. </w:t>
      </w:r>
      <w:r w:rsidRPr="00E936B2">
        <w:rPr>
          <w:rStyle w:val="Style1Char"/>
          <w:color w:val="auto"/>
          <w:sz w:val="22"/>
          <w:szCs w:val="22"/>
          <w:rtl/>
        </w:rPr>
        <w:t xml:space="preserve">הוה עובדא וכפייה רפרם לרב אשי, ואגבי ביה </w:t>
      </w:r>
      <w:r w:rsidRPr="00466586">
        <w:rPr>
          <w:rStyle w:val="Style1Char"/>
          <w:rFonts w:hint="cs"/>
          <w:color w:val="806000" w:themeColor="accent4" w:themeShade="80"/>
          <w:sz w:val="22"/>
          <w:szCs w:val="22"/>
          <w:rtl/>
        </w:rPr>
        <w:t>כ</w:t>
      </w:r>
      <w:r w:rsidRPr="00E936B2">
        <w:rPr>
          <w:rStyle w:val="Style1Char"/>
          <w:color w:val="auto"/>
          <w:sz w:val="22"/>
          <w:szCs w:val="22"/>
          <w:rtl/>
        </w:rPr>
        <w:t>כי</w:t>
      </w:r>
      <w:r w:rsidRPr="006609B9">
        <w:rPr>
          <w:rStyle w:val="Style1Char"/>
          <w:sz w:val="22"/>
          <w:szCs w:val="22"/>
          <w:rtl/>
        </w:rPr>
        <w:t xml:space="preserve"> </w:t>
      </w:r>
      <w:r w:rsidRPr="00E936B2">
        <w:rPr>
          <w:rStyle w:val="Style1Char"/>
          <w:color w:val="auto"/>
          <w:sz w:val="22"/>
          <w:szCs w:val="22"/>
          <w:rtl/>
        </w:rPr>
        <w:t>כשורא לצלמי</w:t>
      </w:r>
      <w:r w:rsidRPr="00E936B2">
        <w:rPr>
          <w:rStyle w:val="Style1Char"/>
          <w:color w:val="auto"/>
          <w:rtl/>
        </w:rPr>
        <w:t xml:space="preserve"> </w:t>
      </w:r>
      <w:r w:rsidRPr="00466586">
        <w:rPr>
          <w:rStyle w:val="Style1Char"/>
          <w:color w:val="806000" w:themeColor="accent4" w:themeShade="80"/>
          <w:sz w:val="22"/>
          <w:szCs w:val="22"/>
          <w:rtl/>
        </w:rPr>
        <w:t>והלכתא כוותיה</w:t>
      </w:r>
      <w:r w:rsidRPr="00D2614D">
        <w:rPr>
          <w:rStyle w:val="Style1Char"/>
          <w:color w:val="00B050"/>
          <w:rtl/>
        </w:rPr>
        <w:t xml:space="preserve">. </w:t>
      </w:r>
      <w:r w:rsidRPr="001D6D44">
        <w:rPr>
          <w:rStyle w:val="Style1Char"/>
          <w:color w:val="auto"/>
          <w:sz w:val="22"/>
          <w:szCs w:val="22"/>
          <w:rtl/>
        </w:rPr>
        <w:t xml:space="preserve">אמר אמימר </w:t>
      </w:r>
      <w:r w:rsidRPr="003A6585">
        <w:rPr>
          <w:rStyle w:val="Style1Char"/>
          <w:sz w:val="22"/>
          <w:szCs w:val="22"/>
          <w:rtl/>
        </w:rPr>
        <w:t xml:space="preserve">משמיה דרב חמא: </w:t>
      </w:r>
      <w:r w:rsidR="00C2458C">
        <w:rPr>
          <w:rStyle w:val="Style1Char"/>
          <w:rFonts w:hint="cs"/>
          <w:rtl/>
        </w:rPr>
        <w:t>(3)</w:t>
      </w:r>
      <w:r w:rsidRPr="001D6D44">
        <w:rPr>
          <w:rStyle w:val="Style1Char"/>
          <w:color w:val="auto"/>
          <w:sz w:val="22"/>
          <w:szCs w:val="22"/>
          <w:rtl/>
        </w:rPr>
        <w:t>האי מאן דאיכא עליה כתובת אשה ובע"ח, ואית ליה ארעא ואית ליה זוזי</w:t>
      </w:r>
      <w:r w:rsidRPr="001D6D44">
        <w:rPr>
          <w:rStyle w:val="Style1Char"/>
          <w:color w:val="auto"/>
          <w:rtl/>
        </w:rPr>
        <w:t xml:space="preserve"> </w:t>
      </w:r>
      <w:r w:rsidRPr="001D6D44">
        <w:rPr>
          <w:rStyle w:val="Style1Char"/>
          <w:color w:val="806000" w:themeColor="accent4" w:themeShade="80"/>
          <w:rtl/>
        </w:rPr>
        <w:t xml:space="preserve">פירוש וליכא חד מינייהו דקדים </w:t>
      </w:r>
      <w:r w:rsidRPr="00D205EB">
        <w:rPr>
          <w:rStyle w:val="Style1Char"/>
          <w:color w:val="C00000"/>
          <w:rtl/>
        </w:rPr>
        <w:t>(כגון שנשא ולוה)</w:t>
      </w:r>
      <w:r w:rsidRPr="00D2614D">
        <w:rPr>
          <w:rStyle w:val="Style1Char"/>
          <w:color w:val="00B050"/>
          <w:rtl/>
        </w:rPr>
        <w:t xml:space="preserve">, </w:t>
      </w:r>
      <w:r w:rsidRPr="001D6D44">
        <w:rPr>
          <w:rStyle w:val="Style1Char"/>
          <w:color w:val="auto"/>
          <w:sz w:val="22"/>
          <w:szCs w:val="22"/>
          <w:rtl/>
        </w:rPr>
        <w:t xml:space="preserve">לבעל חוב מסלקינן ליה בזוזי, לאשה </w:t>
      </w:r>
      <w:r w:rsidRPr="00E53B77">
        <w:rPr>
          <w:rStyle w:val="Style1Char"/>
          <w:color w:val="4472C4" w:themeColor="accent1"/>
          <w:rtl/>
        </w:rPr>
        <w:t>לא</w:t>
      </w:r>
      <w:r w:rsidRPr="001D6D44">
        <w:rPr>
          <w:rStyle w:val="Style1Char"/>
          <w:color w:val="auto"/>
          <w:sz w:val="22"/>
          <w:szCs w:val="22"/>
          <w:rtl/>
        </w:rPr>
        <w:t xml:space="preserve"> מסלקינן לה </w:t>
      </w:r>
      <w:r w:rsidRPr="00E53B77">
        <w:rPr>
          <w:rStyle w:val="Style1Char"/>
          <w:color w:val="4472C4" w:themeColor="accent1"/>
          <w:rtl/>
        </w:rPr>
        <w:t xml:space="preserve">אלא </w:t>
      </w:r>
      <w:r w:rsidRPr="001D6D44">
        <w:rPr>
          <w:rStyle w:val="Style1Char"/>
          <w:color w:val="auto"/>
          <w:sz w:val="22"/>
          <w:szCs w:val="22"/>
          <w:rtl/>
        </w:rPr>
        <w:t xml:space="preserve">בארעא. האי כי דיניה והאי כי דיניה; </w:t>
      </w:r>
      <w:r w:rsidR="00C2458C">
        <w:rPr>
          <w:rStyle w:val="Style1Char"/>
          <w:rFonts w:hint="cs"/>
          <w:rtl/>
        </w:rPr>
        <w:t>(3.1, 4)</w:t>
      </w:r>
      <w:r w:rsidRPr="001D6D44">
        <w:rPr>
          <w:rStyle w:val="Style1Char"/>
          <w:color w:val="auto"/>
          <w:sz w:val="22"/>
          <w:szCs w:val="22"/>
          <w:rtl/>
        </w:rPr>
        <w:t>ואי לא איכא אלא</w:t>
      </w:r>
      <w:r w:rsidRPr="00D2614D">
        <w:rPr>
          <w:rStyle w:val="Style1Char"/>
          <w:color w:val="00B050"/>
          <w:rtl/>
        </w:rPr>
        <w:t xml:space="preserve"> חד </w:t>
      </w:r>
      <w:r w:rsidRPr="005E5188">
        <w:rPr>
          <w:rStyle w:val="Style1Char"/>
          <w:color w:val="auto"/>
          <w:sz w:val="22"/>
          <w:szCs w:val="22"/>
          <w:rtl/>
        </w:rPr>
        <w:t>ארעא ולא חזיא אלא לחד, לבעל חוב יהבינן ליה, לאשה לא יהבינן לה, מאי טעמא? יותר ממה שהאיש רוצה לישא - אשה רוצה להנשא</w:t>
      </w:r>
      <w:r w:rsidRPr="005E5188">
        <w:rPr>
          <w:rStyle w:val="Style1Char"/>
          <w:color w:val="auto"/>
          <w:rtl/>
        </w:rPr>
        <w:t xml:space="preserve"> </w:t>
      </w:r>
    </w:p>
    <w:p w14:paraId="3B564248" w14:textId="77777777" w:rsidR="00C369CA" w:rsidRPr="00AD2BA6" w:rsidRDefault="00C369CA" w:rsidP="00C369CA">
      <w:pPr>
        <w:bidi/>
        <w:rPr>
          <w:rStyle w:val="Style1Char"/>
          <w:color w:val="806000" w:themeColor="accent4" w:themeShade="80"/>
          <w:rtl/>
        </w:rPr>
      </w:pPr>
      <w:r w:rsidRPr="00E53B77">
        <w:rPr>
          <w:rStyle w:val="Style1Char"/>
          <w:color w:val="4472C4" w:themeColor="accent1"/>
          <w:rtl/>
        </w:rPr>
        <w:t xml:space="preserve"> </w:t>
      </w:r>
      <w:r w:rsidRPr="005025AD">
        <w:rPr>
          <w:rStyle w:val="Style1Char"/>
          <w:color w:val="806000" w:themeColor="accent4" w:themeShade="80"/>
          <w:rtl/>
        </w:rPr>
        <w:t xml:space="preserve">שמעינן מהא דאמימר דכל היכא דכי הדדי נינהו וליכא דינא דקדימה לחד מינייהו כגון מטלטלי בזמה"ז </w:t>
      </w:r>
      <w:r w:rsidRPr="00E53B77">
        <w:rPr>
          <w:rStyle w:val="Style1Char"/>
          <w:color w:val="4472C4" w:themeColor="accent1"/>
          <w:rtl/>
        </w:rPr>
        <w:t xml:space="preserve">ולא אקני להו מטלטלי אגב מקרקעי </w:t>
      </w:r>
      <w:r w:rsidRPr="001C6839">
        <w:rPr>
          <w:rStyle w:val="Style1Char"/>
          <w:color w:val="806000" w:themeColor="accent4" w:themeShade="80"/>
          <w:rtl/>
        </w:rPr>
        <w:t xml:space="preserve">וליכא אלא שיעורא דחד מינייהו לבע"ח יהבינן לאשה לא יהבינן דיותר ממה שהאיש רוצה לישא אשה רוצה להנשא והכין שדר ר' האי גאון למר אברהם קבסי זצ"ל ואיכא מ"ד דהא דאמימר ליתא אלא כששטר כתובה ושט"ח שניהם יוצאים ביום אחד דדיינינן בהו שודא דדייני כדאמרינן [בבא - בתרא ל"ד ע"ב] שני שטרות היוצאין ביום אחד רב אמר חולקין ושמואל אמר שודא דדייני ואתא אמימר לאשמועינן דהיכא דחד מינייהו בע"ח וחד מינייהו כתובת אשה [איכא] שודא דדייני בהא מילתא דלבעל חוב יהבינן לאשה לא יהבינן דיותר ממה שהאיש רוצה לישא אשה רוצה להנשא אבל (בעלמא) היכא דשטר חוב וכתובה שוין כגון </w:t>
      </w:r>
      <w:r w:rsidRPr="004F1C3F">
        <w:rPr>
          <w:rStyle w:val="Style1Char"/>
          <w:color w:val="806000" w:themeColor="accent4" w:themeShade="80"/>
          <w:rtl/>
        </w:rPr>
        <w:t xml:space="preserve">לוה </w:t>
      </w:r>
      <w:r w:rsidRPr="00E53B77">
        <w:rPr>
          <w:rStyle w:val="Style1Char"/>
          <w:color w:val="4472C4" w:themeColor="accent1"/>
          <w:rtl/>
        </w:rPr>
        <w:t xml:space="preserve">ונשא </w:t>
      </w:r>
      <w:r w:rsidRPr="00D205EB">
        <w:rPr>
          <w:rStyle w:val="Style1Char"/>
          <w:color w:val="C00000"/>
          <w:rtl/>
        </w:rPr>
        <w:t xml:space="preserve">ולוה </w:t>
      </w:r>
      <w:r w:rsidRPr="004F1C3F">
        <w:rPr>
          <w:rStyle w:val="Style1Char"/>
          <w:color w:val="806000" w:themeColor="accent4" w:themeShade="80"/>
          <w:rtl/>
        </w:rPr>
        <w:t xml:space="preserve">ואחר כך קנה אי נמי מטלטלין בזמן הזה דקיימי לן חולקין לא אמרינן בכי האי מילתא לבעל חוב יהבינן לאשה לא יהבינן דהא לאו שודא דדייני הוא הילכך כתובה ושטר חוב נמי חולקין כבעלי חובות </w:t>
      </w:r>
      <w:r w:rsidRPr="00E53B77">
        <w:rPr>
          <w:rStyle w:val="Style1Char"/>
          <w:color w:val="4472C4" w:themeColor="accent1"/>
          <w:rtl/>
        </w:rPr>
        <w:t xml:space="preserve">וליתא </w:t>
      </w:r>
      <w:r w:rsidRPr="00D205EB">
        <w:rPr>
          <w:rStyle w:val="Style1Char"/>
          <w:color w:val="C00000"/>
          <w:rtl/>
        </w:rPr>
        <w:t xml:space="preserve">והאי מימרא לאו מימרא מעליא הוא </w:t>
      </w:r>
      <w:r w:rsidRPr="00AD2BA6">
        <w:rPr>
          <w:rStyle w:val="Style1Char"/>
          <w:color w:val="806000" w:themeColor="accent4" w:themeShade="80"/>
          <w:rtl/>
        </w:rPr>
        <w:t>חדא דלא אמרינן בגמרא דזמנם ביום אחד אלא סתמא קאמר האי מאן דאיכא עליה כתובת אשה ובעל חוב למימר דכל היכא דכי הדדי נינהו וליכא דינא דקדימה לבעל חוב יהבינן לאשה לא יהבינן</w:t>
      </w:r>
    </w:p>
    <w:p w14:paraId="7739A5A3" w14:textId="77777777" w:rsidR="00C369CA" w:rsidRDefault="00C369CA" w:rsidP="00C369CA">
      <w:pPr>
        <w:bidi/>
        <w:rPr>
          <w:rStyle w:val="Style1Char"/>
          <w:color w:val="C00000"/>
          <w:rtl/>
        </w:rPr>
      </w:pPr>
    </w:p>
    <w:p w14:paraId="7994441D" w14:textId="77777777" w:rsidR="00C369CA" w:rsidRDefault="00C369CA" w:rsidP="00C369CA">
      <w:pPr>
        <w:bidi/>
        <w:rPr>
          <w:rStyle w:val="Style1Char"/>
          <w:color w:val="C00000"/>
          <w:rtl/>
        </w:rPr>
      </w:pPr>
    </w:p>
    <w:p w14:paraId="48060DF0" w14:textId="77777777" w:rsidR="00C369CA" w:rsidRDefault="00C369CA" w:rsidP="00C369CA">
      <w:pPr>
        <w:bidi/>
        <w:rPr>
          <w:rStyle w:val="Style1Char"/>
          <w:color w:val="C00000"/>
          <w:rtl/>
        </w:rPr>
      </w:pPr>
    </w:p>
    <w:p w14:paraId="2B517E57" w14:textId="77777777" w:rsidR="00C369CA" w:rsidRDefault="00C369CA" w:rsidP="00C369CA">
      <w:pPr>
        <w:bidi/>
        <w:rPr>
          <w:rStyle w:val="Style1Char"/>
          <w:color w:val="C00000"/>
          <w:rtl/>
        </w:rPr>
      </w:pPr>
    </w:p>
    <w:p w14:paraId="70689463" w14:textId="77777777" w:rsidR="00C369CA" w:rsidRDefault="00C369CA" w:rsidP="00C369CA">
      <w:pPr>
        <w:bidi/>
        <w:rPr>
          <w:rStyle w:val="Style1Char"/>
          <w:color w:val="806000" w:themeColor="accent4" w:themeShade="80"/>
          <w:sz w:val="22"/>
          <w:szCs w:val="22"/>
          <w:rtl/>
        </w:rPr>
      </w:pPr>
      <w:r w:rsidRPr="00D205EB">
        <w:rPr>
          <w:rStyle w:val="Style1Char"/>
          <w:color w:val="C00000"/>
          <w:rtl/>
        </w:rPr>
        <w:t xml:space="preserve"> </w:t>
      </w:r>
      <w:r w:rsidRPr="00AD2BA6">
        <w:rPr>
          <w:rStyle w:val="Style1Char"/>
          <w:color w:val="806000" w:themeColor="accent4" w:themeShade="80"/>
          <w:rtl/>
        </w:rPr>
        <w:t xml:space="preserve">ועוד דהא דאמר שמואל בשני שטרות היוצאין ביום אחד </w:t>
      </w:r>
      <w:r w:rsidRPr="00D205EB">
        <w:rPr>
          <w:rStyle w:val="Style1Char"/>
          <w:color w:val="C00000"/>
          <w:rtl/>
        </w:rPr>
        <w:t xml:space="preserve">שודא דדייני </w:t>
      </w:r>
      <w:r w:rsidRPr="00AD2BA6">
        <w:rPr>
          <w:rStyle w:val="Style1Char"/>
          <w:color w:val="806000" w:themeColor="accent4" w:themeShade="80"/>
          <w:rtl/>
        </w:rPr>
        <w:t xml:space="preserve">דקא גמרי מיניה לאו שטרי בעלי חובות נינהו אלא שטרי קרקעות נינהו </w:t>
      </w:r>
      <w:r w:rsidRPr="00E53B77">
        <w:rPr>
          <w:rStyle w:val="Style1Char"/>
          <w:color w:val="4472C4" w:themeColor="accent1"/>
          <w:rtl/>
        </w:rPr>
        <w:t xml:space="preserve">כעובדא </w:t>
      </w:r>
      <w:r w:rsidRPr="00D205EB">
        <w:rPr>
          <w:rStyle w:val="Style1Char"/>
          <w:color w:val="C00000"/>
          <w:rtl/>
        </w:rPr>
        <w:t xml:space="preserve">כגון מעשה [דף צ"ד ע"ב] </w:t>
      </w:r>
      <w:r w:rsidRPr="00E01233">
        <w:rPr>
          <w:rStyle w:val="Style1Char"/>
          <w:color w:val="806000" w:themeColor="accent4" w:themeShade="80"/>
          <w:rtl/>
        </w:rPr>
        <w:t xml:space="preserve">דרמי בר חמא ורב עוקבא בר חמא דמפרש לקמן אבל בשטרי הודאות והלואות לא אמר שמואל שודא דדייני דהא תנן היו [דף צ"ג ע"ב] כולן יוצאות בשעה אחת </w:t>
      </w:r>
      <w:r w:rsidRPr="00D205EB">
        <w:rPr>
          <w:rStyle w:val="Style1Char"/>
          <w:color w:val="C00000"/>
          <w:rtl/>
        </w:rPr>
        <w:t xml:space="preserve">ואין שם אלא מנה </w:t>
      </w:r>
      <w:r w:rsidRPr="00E01233">
        <w:rPr>
          <w:rStyle w:val="Style1Char"/>
          <w:color w:val="806000" w:themeColor="accent4" w:themeShade="80"/>
          <w:rtl/>
        </w:rPr>
        <w:t xml:space="preserve">חולקות בשוה וליכא למימר דשמואל פליג אמתני' דאם איתא דפליג שמואל אמתניתין אדמותבינן עליה [דף צ"ד ע"ב] מברייתא דקתני שני שטרות היוצאות ביום אחד חולקין ופריק הא מני רבי מאיר היא דאמר עדי חתימה כרתי לותביה ממתניתין אלא ודאי מדלא אותבי' ליה ממתניתין שמעינן דלא פליגא דשמואל אמתניתין אלא דשמואל לחוד ומתניתין לחוד ואף על גב דחזינן בירושלמי דאקשי בה על שמואל וקאמר הכין מתניתין פליגא אדשמואל דאמר מי שהיה נשוי </w:t>
      </w:r>
      <w:r w:rsidRPr="00E53B77">
        <w:rPr>
          <w:rStyle w:val="Style1Char"/>
          <w:color w:val="4472C4" w:themeColor="accent1"/>
          <w:rtl/>
        </w:rPr>
        <w:t xml:space="preserve">שלש נשים ומת </w:t>
      </w:r>
      <w:r w:rsidRPr="00E01233">
        <w:rPr>
          <w:rStyle w:val="Style1Char"/>
          <w:color w:val="806000" w:themeColor="accent4" w:themeShade="80"/>
          <w:rtl/>
        </w:rPr>
        <w:t xml:space="preserve">וכו' אין שם אלא מנה חולקות בשוה ולית תמן שודא דדייני אגמרא דילן סמכינן ומדחזינן לגמרא דילן דלא אקשי מינה לשמואל שמעינן דלית היא פליגא עליה ולגמרא דבני מערבא דסבר דמתניתין פליגא אדשמואל מסתברא לן דהלכתא כרב (סבירא ליה) דקיימא מתניתין כוותיה וממילא הדרי תרין גמרי לחד טעמא דבהודאות והלואות חולקין ומסתייע נמי האי סברא מהא דגרסינן פרק חזקת הבתים [בבא - בתרא ל"ד ע"ב] זה אומר של אבותי וזה אומר של אבותי אמר רב נחמן כל דאלים גבר ואקשינן ומאי שנא משני שטרות היוצאין ביום אחד דרב אמר חולקין ושמואל אמר שודא דדייני ושנינן התם ליכא למיקם עלה דמילתא הכא איכא למיקם עלה דמילתא והדרינן ואקשינן ומאי שנא מהא </w:t>
      </w:r>
      <w:r w:rsidRPr="00C023DC">
        <w:rPr>
          <w:rStyle w:val="Style1Char"/>
          <w:color w:val="806000" w:themeColor="accent4" w:themeShade="80"/>
          <w:rtl/>
        </w:rPr>
        <w:t xml:space="preserve">דתנן המחליף פרה בחמור וילדה וכן המוכר שפחתו וילדה זה אומר עד שלא מכרתי ילדה וזה אומר משלקחתי ילדה יחלוקו ושנינן התם איכא דררא דממונא למר ואיכא דררא דממונא למר הכא אי דמר לאו דמר ואי דמר לאו דמר מדקא משנינן הכא דאיכא דררא דממונא למר ואיכא דררא דממונא למר ולא משנינן הכי בשני שטרות היוצאין ביום אחד אלא קא משנינן בה דליכא למיקם עלה דמילתא </w:t>
      </w:r>
      <w:r w:rsidRPr="00E53B77">
        <w:rPr>
          <w:rStyle w:val="Style1Char"/>
          <w:color w:val="4472C4" w:themeColor="accent1"/>
          <w:rtl/>
        </w:rPr>
        <w:t xml:space="preserve">שפיר </w:t>
      </w:r>
      <w:r w:rsidRPr="00C023DC">
        <w:rPr>
          <w:rStyle w:val="Style1Char"/>
          <w:color w:val="806000" w:themeColor="accent4" w:themeShade="80"/>
          <w:rtl/>
        </w:rPr>
        <w:t xml:space="preserve">שמעינן דשני שטרות היוצאין ביום אחד דאמר שמואל שודא דדייני ליכא דררא דממונא למר ודררא דממונא למר אלא אי דמר לאו דמר ואי דמר לאו דמר כעין זה אומר של אבותי וזה אומר של אבותי </w:t>
      </w:r>
      <w:r w:rsidRPr="00C92364">
        <w:rPr>
          <w:rStyle w:val="Style1Char"/>
          <w:color w:val="C00000"/>
          <w:rtl/>
        </w:rPr>
        <w:t xml:space="preserve">דליכא דררא דממונא למר ודררא דממונא למר </w:t>
      </w:r>
      <w:r w:rsidRPr="00D205EB">
        <w:rPr>
          <w:rStyle w:val="Style1Char"/>
          <w:color w:val="C00000"/>
          <w:rtl/>
        </w:rPr>
        <w:t xml:space="preserve">ומש"ה משנינן בה בליכא למיקם עלה דמילתא ולא משנינן באיכא דררא דממונא למר הרי איפשיט לך דשני שטרות היוצאין ביום אחד דדיינינן בהו שודא דדייני ליתא בשטרי הודאות והלואות אלא בשטרי קרקעות בלחוד דאי איתא </w:t>
      </w:r>
      <w:r w:rsidRPr="00E53B77">
        <w:rPr>
          <w:rStyle w:val="Style1Char"/>
          <w:color w:val="4472C4" w:themeColor="accent1"/>
          <w:rtl/>
        </w:rPr>
        <w:t xml:space="preserve">אבל </w:t>
      </w:r>
      <w:r w:rsidRPr="000960AC">
        <w:rPr>
          <w:rStyle w:val="Style1Char"/>
          <w:color w:val="806000" w:themeColor="accent4" w:themeShade="80"/>
          <w:rtl/>
        </w:rPr>
        <w:t xml:space="preserve">בשטרי הודאות והלואות </w:t>
      </w:r>
      <w:r w:rsidRPr="00D205EB">
        <w:rPr>
          <w:rStyle w:val="Style1Char"/>
          <w:color w:val="C00000"/>
          <w:rtl/>
        </w:rPr>
        <w:t xml:space="preserve">הא </w:t>
      </w:r>
      <w:r w:rsidRPr="00FC0A7A">
        <w:rPr>
          <w:rStyle w:val="Style1Char"/>
          <w:rFonts w:hint="cs"/>
          <w:color w:val="4472C4" w:themeColor="accent1"/>
          <w:rtl/>
        </w:rPr>
        <w:t>ד</w:t>
      </w:r>
      <w:r w:rsidRPr="00060B32">
        <w:rPr>
          <w:rStyle w:val="Style1Char"/>
          <w:color w:val="806000" w:themeColor="accent4" w:themeShade="80"/>
          <w:rtl/>
        </w:rPr>
        <w:t xml:space="preserve">איכא דררא דממונא למר ודררא דממונא למר </w:t>
      </w:r>
      <w:r w:rsidRPr="00D205EB">
        <w:rPr>
          <w:rStyle w:val="Style1Char"/>
          <w:color w:val="C00000"/>
          <w:rtl/>
        </w:rPr>
        <w:t xml:space="preserve">(ועוד דשודא דדיינא למאן דחזי יהיב ואי האי לא מצי יהיב לה לאשה לא הוי שודא דדייני שודא דדייני למאן דבעי יהיב) נמי לוה ולוה ואח"כ קנה חולקין דהיינו טעמא </w:t>
      </w:r>
      <w:r w:rsidRPr="00E53B77">
        <w:rPr>
          <w:rStyle w:val="Style1Char"/>
          <w:color w:val="4472C4" w:themeColor="accent1"/>
          <w:rtl/>
        </w:rPr>
        <w:t xml:space="preserve">אמרינן </w:t>
      </w:r>
      <w:r w:rsidRPr="000C42FB">
        <w:rPr>
          <w:rStyle w:val="Style1Char"/>
          <w:color w:val="806000" w:themeColor="accent4" w:themeShade="80"/>
          <w:rtl/>
        </w:rPr>
        <w:t xml:space="preserve">דלוה ולוה ואח"כ קנה </w:t>
      </w:r>
      <w:r w:rsidRPr="00D205EB">
        <w:rPr>
          <w:rStyle w:val="Style1Char"/>
          <w:color w:val="C00000"/>
          <w:rtl/>
        </w:rPr>
        <w:t xml:space="preserve">[בבא - בתרא קנ"ז ע"ב] </w:t>
      </w:r>
      <w:r w:rsidRPr="000C42FB">
        <w:rPr>
          <w:rStyle w:val="Style1Char"/>
          <w:color w:val="806000" w:themeColor="accent4" w:themeShade="80"/>
          <w:rtl/>
        </w:rPr>
        <w:t xml:space="preserve">דחולקין משום דשעבודא דתרוייהו בהדי הדדי קאתו והכא נמי כששניהם יוצאין ביום אחד שעבודא דתרוייהו בהדי הדדי קאתי ומש"ה תנן היו כולן יוצאות בשעה אחת </w:t>
      </w:r>
      <w:r w:rsidRPr="00D205EB">
        <w:rPr>
          <w:rStyle w:val="Style1Char"/>
          <w:color w:val="C00000"/>
          <w:rtl/>
        </w:rPr>
        <w:t xml:space="preserve">ואין שם אלא מנה </w:t>
      </w:r>
      <w:r w:rsidRPr="000C42FB">
        <w:rPr>
          <w:rStyle w:val="Style1Char"/>
          <w:color w:val="806000" w:themeColor="accent4" w:themeShade="80"/>
          <w:rtl/>
        </w:rPr>
        <w:t xml:space="preserve">חולקות בשוה </w:t>
      </w:r>
      <w:r w:rsidRPr="00E145BD">
        <w:rPr>
          <w:rStyle w:val="Style1Char"/>
          <w:color w:val="806000" w:themeColor="accent4" w:themeShade="80"/>
          <w:rtl/>
        </w:rPr>
        <w:t xml:space="preserve">וחד יומא באתרא דלא כתבי שעות כחדא שעתא באתרא דכתבי שעות דמי הלכך תרוייהו חד טעמא נינהו וחד דינא נינהו וליכא שינויא בינייהו וכבר אבטיל ליה ההיא סברא וליכא למיסמך עלה </w:t>
      </w:r>
      <w:r w:rsidRPr="004D4748">
        <w:rPr>
          <w:rStyle w:val="Style1Char"/>
          <w:color w:val="806000" w:themeColor="accent4" w:themeShade="80"/>
          <w:rtl/>
        </w:rPr>
        <w:t xml:space="preserve">הילכך בין שטר חוב וכתובה יוצאין ביום אחד בין ששניהן כעין לוה ולוה ואחר כך קנה בין מטלטלי בזמן הזה הואיל ושעבודא דתרוייהו בהדי הדדי קאתו וליכא דינא דקדימה לחד מינייהו </w:t>
      </w:r>
      <w:r w:rsidRPr="00C719A6">
        <w:rPr>
          <w:rStyle w:val="Style1Char"/>
          <w:color w:val="806000" w:themeColor="accent4" w:themeShade="80"/>
          <w:rtl/>
        </w:rPr>
        <w:t xml:space="preserve">אי ליכא </w:t>
      </w:r>
      <w:r w:rsidRPr="00D205EB">
        <w:rPr>
          <w:rStyle w:val="Style1Char"/>
          <w:color w:val="C00000"/>
          <w:rtl/>
        </w:rPr>
        <w:t xml:space="preserve">אלא </w:t>
      </w:r>
      <w:r w:rsidRPr="00C719A6">
        <w:rPr>
          <w:rStyle w:val="Style1Char"/>
          <w:color w:val="806000" w:themeColor="accent4" w:themeShade="80"/>
          <w:rtl/>
        </w:rPr>
        <w:t>מאי דשקיל חד מינייהו לבעל חוב יהבינן לאשה לא יהבינן דיותר ממה שהאיש רוצה לישא אשה רוצה להנשא:</w:t>
      </w:r>
      <w:r w:rsidRPr="00C719A6">
        <w:rPr>
          <w:rStyle w:val="Style1Char"/>
          <w:color w:val="806000" w:themeColor="accent4" w:themeShade="80"/>
          <w:sz w:val="22"/>
          <w:szCs w:val="22"/>
          <w:rtl/>
        </w:rPr>
        <w:t>.</w:t>
      </w:r>
    </w:p>
    <w:p w14:paraId="7711906C" w14:textId="77777777" w:rsidR="00C369CA" w:rsidRPr="00E53B77" w:rsidRDefault="00C369CA" w:rsidP="00C369CA">
      <w:pPr>
        <w:bidi/>
        <w:rPr>
          <w:rStyle w:val="Style1Char"/>
          <w:color w:val="4472C4" w:themeColor="accent1"/>
        </w:rPr>
      </w:pPr>
      <w:r w:rsidRPr="00E53B77">
        <w:rPr>
          <w:rStyle w:val="Style1Char"/>
          <w:color w:val="4472C4" w:themeColor="accent1"/>
          <w:rtl/>
        </w:rPr>
        <w:t>כתב הרמב"ם ז"ל (פ"כ מהל' מלוה הל"א) לוה ולוה ואח"כ קנה דאמרינן חולקין אם קדם אחד מהם ותפס הכל אין מוציאין מידו. לפי שלא אמרו חכמים אלא בעל חוב מאוחר שקדם וגבה מה שגבה לא גבה. ואף בזו נחלקו לקמן (דף צד ב) אבל בששניהם שוין לכולי עלמא אין מוציאין מידו. וכן משמע מתוך דברי רב אלפס שמשוה דין לוה ולוה לשני שטרות שזמנן ביום אחד וכתב דיהבינן לאיש. ובשלמא אי סבר דאי תפס חד מינייהו לא מפקינן מיניה ניחא דמטעם יותר משהאיש רוצה לישא מתפסינן ליה לבעל חוב ופקע כח האשה. אבל אי אמרינן דאפילו אי תפס חד מינייהו מפקינן מיניה לא מסתבר דמטעם דיותר משהאיש רוצה לישא מפקעינן כח האשה כיון דאפילו לאחר שבא ליד בעל חוב עדיין יש לאשה זכות בהן. וה"ר יונה ז"ל כתב הא דאמרינן אם לוה ולוה ואח"כ קנה חולקין וכן בכל המקומות שאמר בש"ס חולקין אם קדם האחד וגבה מה שגבה גבה. ואף על גב דאמרינן בעל חוב מאוחר שקדם וגבה מה שגבה לא גבה. ה"מ מאוחר אבל זה שיש בו זכות קצת מה שגבה גבה ודוקא כשגבה בבית דין שהגבוהו ב"ד קודם שידעו שהיה שם בעל חוב אחר. אבל אם גבה מעצמו אפי' ע"י שומא דליכא למימר מאן שם לך מה שגבה לא גבה. והביא ראיה מדאמרינן</w:t>
      </w:r>
      <w:r>
        <w:rPr>
          <w:rStyle w:val="Style1Char"/>
          <w:rFonts w:hint="cs"/>
          <w:color w:val="4472C4" w:themeColor="accent1"/>
        </w:rPr>
        <w:t>‍</w:t>
      </w:r>
      <w:r w:rsidRPr="00E53B77">
        <w:rPr>
          <w:rStyle w:val="Style1Char"/>
          <w:color w:val="4472C4" w:themeColor="accent1"/>
          <w:rtl/>
        </w:rPr>
        <w:t xml:space="preserve"> בפ"ק דמציעא (דף טו א) בעל חוב גובה את השבח ואמרי' עלה מאי שבח חצי שבח. לפי שהשבח שהשביח זה הלוקח שדה של המוכר אותו השבח הוא משועבד לו בשביל אחריות המכר שקבל עליו המוכר כמו שהוא משועבד לבעל חובו של המוכר והוה ליה זה השבח לבעל חוב ולוקח כמו לוה ולוה ואח"כ קנה שחולקין ויגבה בעל חובו חצי השבח. אף על פי שהלוקח מוחזק בכל השבח כיון שבא לידו שלא בכח בית דין לא מהניא חזקתו ואמרינן מה שגבה לא גבה. ונראה דבריו במקרקעי אבל במטלטלי מה שגבה גבה אפילו שלא בבית דין. כדאמר לעיל (דף פד א) בפירקין לר' טרפון בפירות תלושין דכל הקודם זכה. אף על גב דהיכא דלא תפסי חד מינייהו יהבינן לבעל חוב כמו שכתב רב אלפס ז"ל. אפ"ה</w:t>
      </w:r>
      <w:r>
        <w:rPr>
          <w:rStyle w:val="Style1Char"/>
          <w:rFonts w:hint="cs"/>
          <w:color w:val="4472C4" w:themeColor="accent1"/>
          <w:rtl/>
        </w:rPr>
        <w:t xml:space="preserve"> </w:t>
      </w:r>
      <w:r w:rsidRPr="00E53B77">
        <w:rPr>
          <w:rStyle w:val="Style1Char"/>
          <w:color w:val="4472C4" w:themeColor="accent1"/>
          <w:rtl/>
        </w:rPr>
        <w:t>אי קדמה האשה ותפסה זכתה. הלכך אם יש קרקע לחד מיניהו ינתן למוקדם. ואם קדם המאוחר מוציאין מידו. ואם יש מטלטלין לחד מינייהו אם קדמה האשה ותפסה זכתה. ואם לא תפסה לבעל חוב יהבינן. ואם הם שווין בזמן ויש קרקע לחד מינייהו או אם אינם שוין בזמן וקנה הקרקע אחר שעבוד שניהם לבעל חוב יהבינן. ואם קדמה האשה ותפסה מוציאין מידה ואם יש זוזי וארעא לשניהם ותפסה האשה זוזי יראה שמוציאין מידה ונותנים לה קרקע כיון שמספיק לשניהם יהבינן לכל חד כדיניה</w:t>
      </w:r>
      <w:r w:rsidRPr="00E53B77">
        <w:rPr>
          <w:rStyle w:val="Style1Char"/>
          <w:color w:val="4472C4" w:themeColor="accent1"/>
        </w:rPr>
        <w:t xml:space="preserve">: </w:t>
      </w:r>
    </w:p>
    <w:p w14:paraId="77DE862D" w14:textId="63482356" w:rsidR="00C369CA" w:rsidRPr="00E53B77" w:rsidRDefault="00C369CA" w:rsidP="00C369CA">
      <w:pPr>
        <w:bidi/>
        <w:rPr>
          <w:rStyle w:val="Style1Char"/>
          <w:color w:val="4472C4" w:themeColor="accent1"/>
        </w:rPr>
      </w:pPr>
      <w:r w:rsidRPr="008E15BF">
        <w:rPr>
          <w:rStyle w:val="Style1Char"/>
          <w:color w:val="auto"/>
          <w:sz w:val="22"/>
          <w:szCs w:val="22"/>
          <w:rtl/>
        </w:rPr>
        <w:t xml:space="preserve">אמר ליה רב פפא לרב חמא, ודאי דאמריתו משמיה דרבא: האי מאן דמסקי ביה זוזי ואית ליה ארעא, ואתא בעל חוב וקא תבע מיניה, ואמר ליה זיל שקול מארעא, אמרינן ליה: זיל זבין את ואייתי </w:t>
      </w:r>
      <w:r w:rsidRPr="008E15BF">
        <w:rPr>
          <w:rStyle w:val="Style1Char"/>
          <w:color w:val="4472C4" w:themeColor="accent1"/>
          <w:sz w:val="22"/>
          <w:szCs w:val="22"/>
          <w:rtl/>
        </w:rPr>
        <w:t xml:space="preserve">זוזי </w:t>
      </w:r>
      <w:r w:rsidRPr="008E15BF">
        <w:rPr>
          <w:rStyle w:val="Style1Char"/>
          <w:color w:val="auto"/>
          <w:sz w:val="22"/>
          <w:szCs w:val="22"/>
          <w:rtl/>
        </w:rPr>
        <w:t xml:space="preserve">הב ליה? </w:t>
      </w:r>
      <w:r w:rsidR="00C2458C">
        <w:rPr>
          <w:rStyle w:val="Style1Char"/>
          <w:rFonts w:hint="cs"/>
          <w:rtl/>
        </w:rPr>
        <w:t>(5)</w:t>
      </w:r>
      <w:r w:rsidRPr="00752B1B">
        <w:rPr>
          <w:rStyle w:val="Style1Char"/>
          <w:sz w:val="22"/>
          <w:szCs w:val="22"/>
          <w:rtl/>
        </w:rPr>
        <w:t xml:space="preserve">א"ל: לא, אימא לי גופא דעובדא היכי הוה, </w:t>
      </w:r>
      <w:r w:rsidR="00247F96">
        <w:rPr>
          <w:rStyle w:val="Style1Char"/>
          <w:rFonts w:hint="cs"/>
          <w:rtl/>
        </w:rPr>
        <w:t>(5.1, 6)</w:t>
      </w:r>
      <w:r w:rsidRPr="00C80858">
        <w:rPr>
          <w:rStyle w:val="Style1Char"/>
          <w:color w:val="auto"/>
          <w:sz w:val="22"/>
          <w:szCs w:val="22"/>
          <w:rtl/>
        </w:rPr>
        <w:t>א"ל</w:t>
      </w:r>
      <w:r w:rsidRPr="00C80858">
        <w:rPr>
          <w:rStyle w:val="Style1Char"/>
          <w:color w:val="4472C4" w:themeColor="accent1"/>
          <w:rtl/>
        </w:rPr>
        <w:t xml:space="preserve"> </w:t>
      </w:r>
      <w:r w:rsidRPr="00C80858">
        <w:rPr>
          <w:rStyle w:val="Style1Char"/>
          <w:color w:val="4472C4" w:themeColor="accent1"/>
          <w:sz w:val="22"/>
          <w:szCs w:val="22"/>
          <w:rtl/>
        </w:rPr>
        <w:t>ההוא דשמיעא לך</w:t>
      </w:r>
      <w:r w:rsidRPr="00C80858">
        <w:rPr>
          <w:rStyle w:val="Style1Char"/>
          <w:color w:val="auto"/>
          <w:sz w:val="22"/>
          <w:szCs w:val="22"/>
          <w:rtl/>
        </w:rPr>
        <w:t>: תולה מעותיו בעובד כוכבים הוה, הוא עשה שלא כהוגן, לפיכך עשו בו שלא כהוגן</w:t>
      </w:r>
      <w:r>
        <w:rPr>
          <w:rStyle w:val="Style1Char"/>
          <w:rFonts w:hint="cs"/>
          <w:color w:val="4472C4" w:themeColor="accent1"/>
        </w:rPr>
        <w:t>‍</w:t>
      </w:r>
      <w:r w:rsidRPr="00E53B77">
        <w:rPr>
          <w:rStyle w:val="Style1Char"/>
          <w:color w:val="4472C4" w:themeColor="accent1"/>
          <w:rtl/>
        </w:rPr>
        <w:t>כי מן הדין היה לו לפרוע מן המעות שבידו והבריחם ממנו בטענת שקר לכך קנסוהו לטרוח ולמכור קרקעות וליתן לו מעות הא לאו הכי היו מגבין לו מן הקרקע בשומת ב"ד. ודיני פירעון כתבתי בפ"ק דב"ק (סי' ה)</w:t>
      </w:r>
      <w:r w:rsidRPr="00E53B77">
        <w:rPr>
          <w:rStyle w:val="Style1Char"/>
          <w:color w:val="4472C4" w:themeColor="accent1"/>
        </w:rPr>
        <w:t xml:space="preserve">: </w:t>
      </w:r>
    </w:p>
    <w:p w14:paraId="2ECE71CC" w14:textId="2E59B0C8" w:rsidR="00C369CA" w:rsidRDefault="00C369CA" w:rsidP="00C369CA">
      <w:pPr>
        <w:bidi/>
        <w:rPr>
          <w:rStyle w:val="Style1Char"/>
          <w:color w:val="auto"/>
          <w:rtl/>
        </w:rPr>
      </w:pPr>
      <w:r w:rsidRPr="00C80858">
        <w:rPr>
          <w:rStyle w:val="Style1Char"/>
          <w:color w:val="auto"/>
          <w:sz w:val="22"/>
          <w:szCs w:val="22"/>
          <w:rtl/>
        </w:rPr>
        <w:t xml:space="preserve">. </w:t>
      </w:r>
      <w:r w:rsidRPr="00B51A82">
        <w:rPr>
          <w:rStyle w:val="Style1Char"/>
          <w:color w:val="auto"/>
          <w:sz w:val="22"/>
          <w:szCs w:val="22"/>
          <w:rtl/>
        </w:rPr>
        <w:t xml:space="preserve">א"ל רב </w:t>
      </w:r>
      <w:r w:rsidRPr="00B51A82">
        <w:rPr>
          <w:rStyle w:val="Style1Char"/>
          <w:color w:val="ED7D31" w:themeColor="accent2"/>
          <w:rtl/>
        </w:rPr>
        <w:t xml:space="preserve">כהנא </w:t>
      </w:r>
      <w:r w:rsidRPr="0044162D">
        <w:rPr>
          <w:rStyle w:val="Style1Char"/>
          <w:color w:val="C00000"/>
          <w:sz w:val="22"/>
          <w:szCs w:val="22"/>
          <w:rtl/>
        </w:rPr>
        <w:t xml:space="preserve">פפא </w:t>
      </w:r>
      <w:r w:rsidRPr="0044162D">
        <w:rPr>
          <w:rStyle w:val="Style1Char"/>
          <w:sz w:val="22"/>
          <w:szCs w:val="22"/>
          <w:rtl/>
        </w:rPr>
        <w:t xml:space="preserve">לרב </w:t>
      </w:r>
      <w:r w:rsidRPr="00B51A82">
        <w:rPr>
          <w:rStyle w:val="Style1Char"/>
          <w:color w:val="ED7D31" w:themeColor="accent2"/>
          <w:rtl/>
        </w:rPr>
        <w:t xml:space="preserve">פפא </w:t>
      </w:r>
      <w:r w:rsidRPr="0044162D">
        <w:rPr>
          <w:rStyle w:val="Style1Char"/>
          <w:color w:val="C00000"/>
          <w:sz w:val="22"/>
          <w:szCs w:val="22"/>
          <w:rtl/>
        </w:rPr>
        <w:t>כהנא</w:t>
      </w:r>
      <w:r w:rsidRPr="00D2614D">
        <w:rPr>
          <w:rStyle w:val="Style1Char"/>
          <w:color w:val="00B050"/>
          <w:rtl/>
        </w:rPr>
        <w:t xml:space="preserve">, </w:t>
      </w:r>
      <w:r w:rsidRPr="00B51A82">
        <w:rPr>
          <w:rStyle w:val="Style1Char"/>
          <w:color w:val="auto"/>
          <w:sz w:val="22"/>
          <w:szCs w:val="22"/>
          <w:rtl/>
        </w:rPr>
        <w:t>לדידך דאמרת: פריעת בעל חוב מצוה, אמר לא ניחא לי דאיעביד מצוה, מאי?</w:t>
      </w:r>
      <w:r w:rsidRPr="00AA708F">
        <w:rPr>
          <w:rStyle w:val="Style1Char"/>
          <w:sz w:val="22"/>
          <w:szCs w:val="22"/>
          <w:rtl/>
        </w:rPr>
        <w:t xml:space="preserve"> </w:t>
      </w:r>
      <w:r w:rsidRPr="00B51A82">
        <w:rPr>
          <w:rStyle w:val="Style1Char"/>
          <w:color w:val="auto"/>
          <w:sz w:val="22"/>
          <w:szCs w:val="22"/>
          <w:rtl/>
        </w:rPr>
        <w:t xml:space="preserve">א"ל, </w:t>
      </w:r>
      <w:r w:rsidRPr="008B0ED0">
        <w:rPr>
          <w:rStyle w:val="Style1Char"/>
          <w:color w:val="4472C4" w:themeColor="accent1"/>
          <w:sz w:val="22"/>
          <w:szCs w:val="22"/>
          <w:rtl/>
        </w:rPr>
        <w:t xml:space="preserve">היו מכין אותו עד שתצא נפשו. </w:t>
      </w:r>
      <w:r w:rsidR="0085390A">
        <w:rPr>
          <w:rStyle w:val="Style1Char"/>
          <w:rFonts w:hint="cs"/>
          <w:rtl/>
        </w:rPr>
        <w:t>(7)</w:t>
      </w:r>
      <w:r w:rsidRPr="008B0ED0">
        <w:rPr>
          <w:rStyle w:val="Style1Char"/>
          <w:color w:val="4472C4" w:themeColor="accent1"/>
          <w:sz w:val="22"/>
          <w:szCs w:val="22"/>
          <w:rtl/>
        </w:rPr>
        <w:t>כד</w:t>
      </w:r>
      <w:r w:rsidRPr="00B51A82">
        <w:rPr>
          <w:rStyle w:val="Style1Char"/>
          <w:color w:val="auto"/>
          <w:sz w:val="22"/>
          <w:szCs w:val="22"/>
          <w:rtl/>
        </w:rPr>
        <w:t>תנינא: במה דברים אמורים - במצות לא תעשה, אבל במצות עשה, כגון שאומרין לו עשה סוכה ואינו עושה, לולב ואינו עושה,</w:t>
      </w:r>
      <w:r w:rsidRPr="00B51A82">
        <w:rPr>
          <w:rStyle w:val="Style1Char"/>
          <w:color w:val="auto"/>
          <w:rtl/>
        </w:rPr>
        <w:t xml:space="preserve"> </w:t>
      </w:r>
    </w:p>
    <w:p w14:paraId="184623F2" w14:textId="218054BB" w:rsidR="007258D9" w:rsidRPr="005B1505" w:rsidRDefault="007258D9" w:rsidP="007258D9">
      <w:pPr>
        <w:pStyle w:val="Style1"/>
      </w:pPr>
      <w:r>
        <w:rPr>
          <w:rFonts w:hint="cs"/>
          <w:rtl/>
        </w:rPr>
        <w:t>1)[</w:t>
      </w:r>
      <w:r>
        <w:rPr>
          <w:rtl/>
        </w:rPr>
        <w:t>שולחן ערוך חושן משפט הלכות הלואה סימן סו סעיף כג</w:t>
      </w:r>
      <w:r>
        <w:rPr>
          <w:rFonts w:hint="cs"/>
          <w:rtl/>
        </w:rPr>
        <w:t xml:space="preserve">] </w:t>
      </w:r>
      <w:r w:rsidRPr="005B1505">
        <w:rPr>
          <w:rtl/>
        </w:rPr>
        <w:t>המוכר שטר חוב כדינו אם חזר ומחלו ללוה מחול</w:t>
      </w:r>
      <w:r w:rsidRPr="005B1505">
        <w:t>. </w:t>
      </w:r>
      <w:r w:rsidRPr="005B1505">
        <w:rPr>
          <w:rFonts w:hint="cs"/>
          <w:rtl/>
        </w:rPr>
        <w:t>מיהו אין הלוקח מחויב להחזיר ללוה שטרו ויש חולקין (ר"ן פרק הכותב ור' ירוחם ני"ד שתי הדעות)</w:t>
      </w:r>
      <w:r w:rsidRPr="005B1505">
        <w:t xml:space="preserve">. </w:t>
      </w:r>
      <w:r w:rsidRPr="005B1505">
        <w:rPr>
          <w:rtl/>
        </w:rPr>
        <w:t>ומה תקנתיה? יפייס ללוה שיעשה לו שטר על שמו או יקבל עליו הלוה בקנין או בהודאתו בפני עדים שזקפו עליו במלוה לקונה ושוב לא יוכל למחול ואפי' אם התנה עמו שלא יוכל למוחלו אם מחלו מחול ואפי' אם סלק עצמו מכח החוב ההוא לגמרי וריקן כל כחו בשטר לקונה אפי' הכי אם מחלו מחול ואפי' היורש של המוכר יכול למחול ומיהו אין היורש יכול למחול לעצמו כדי להפסיד ללוקח כיצד ראובן הלוה לבנו בשטר ומכרו לשמעון ומת ראובן לא יאמר הבן הואיל ואני יורש החזקתי למחול לעצמי ואין לי לשלם כלום מדינא דגרמי שאני לא כוונתי להזיק ללוקח אלא לפטור עצמי אלא פורע כל החוב ללוקח ויש מי שחולק ואומר שאף לעצמו יכול למחול</w:t>
      </w:r>
      <w:r w:rsidRPr="005B1505">
        <w:t>:</w:t>
      </w:r>
    </w:p>
    <w:p w14:paraId="55DDC0F9" w14:textId="763198F7" w:rsidR="007258D9" w:rsidRDefault="007258D9" w:rsidP="007258D9">
      <w:pPr>
        <w:pStyle w:val="Style1"/>
        <w:rPr>
          <w:rtl/>
        </w:rPr>
      </w:pPr>
      <w:r w:rsidRPr="005B1505">
        <w:rPr>
          <w:rFonts w:hint="cs"/>
          <w:rtl/>
        </w:rPr>
        <w:t>הגה: לעיל סי</w:t>
      </w:r>
      <w:r w:rsidRPr="005B1505">
        <w:rPr>
          <w:rFonts w:hint="cs"/>
        </w:rPr>
        <w:t>' </w:t>
      </w:r>
      <w:hyperlink r:id="rId223" w:tooltip="שולחן ערוך חושן משפט ס" w:history="1">
        <w:r w:rsidRPr="005B1505">
          <w:rPr>
            <w:rStyle w:val="Hyperlink"/>
            <w:rFonts w:hint="cs"/>
            <w:color w:val="7030A0"/>
            <w:u w:val="none"/>
            <w:rtl/>
          </w:rPr>
          <w:t>ס</w:t>
        </w:r>
        <w:r w:rsidRPr="005B1505">
          <w:rPr>
            <w:rStyle w:val="Hyperlink"/>
            <w:rFonts w:hint="cs"/>
            <w:color w:val="7030A0"/>
            <w:u w:val="none"/>
          </w:rPr>
          <w:t>'</w:t>
        </w:r>
      </w:hyperlink>
      <w:r w:rsidRPr="005B1505">
        <w:rPr>
          <w:rFonts w:hint="cs"/>
        </w:rPr>
        <w:t> </w:t>
      </w:r>
      <w:hyperlink r:id="rId224" w:tooltip="שולחן ערוך חושן משפט סח" w:history="1">
        <w:r w:rsidRPr="005B1505">
          <w:rPr>
            <w:rStyle w:val="Hyperlink"/>
            <w:rFonts w:hint="cs"/>
            <w:color w:val="7030A0"/>
            <w:u w:val="none"/>
            <w:rtl/>
          </w:rPr>
          <w:t>ס"ח</w:t>
        </w:r>
      </w:hyperlink>
      <w:r w:rsidRPr="005B1505">
        <w:rPr>
          <w:rFonts w:hint="cs"/>
        </w:rPr>
        <w:t> </w:t>
      </w:r>
      <w:r w:rsidRPr="005B1505">
        <w:rPr>
          <w:rFonts w:hint="cs"/>
          <w:rtl/>
        </w:rPr>
        <w:t>(גם בטור שם סי' ז') נתבאר שאם ראובן צוה לכתוב שטר שלו על שם שמעון אין שמעון יכול למחלו הואיל ואין הממון שלו אבל ראובן יכול למחלו כי הוא נקרא בעל השטר ואפילו לא מסרו בהדיא רק שמחל ללוה כל מה שבידו או כיוצא בזה גם שטר זה נמחל אע"פ שנכתב על שם שמעון (תשו' רשב"א סי" תתקכ"ו)</w:t>
      </w:r>
      <w:r w:rsidRPr="005B1505">
        <w:t>:</w:t>
      </w:r>
    </w:p>
    <w:p w14:paraId="67C63AE2" w14:textId="7E8DFC1F" w:rsidR="00DA6E5B" w:rsidRDefault="00DA6E5B" w:rsidP="00DA6E5B">
      <w:pPr>
        <w:pStyle w:val="Style1"/>
        <w:rPr>
          <w:rtl/>
        </w:rPr>
      </w:pPr>
      <w:r>
        <w:rPr>
          <w:rFonts w:hint="cs"/>
          <w:rtl/>
        </w:rPr>
        <w:t>2)[</w:t>
      </w:r>
      <w:r>
        <w:rPr>
          <w:rtl/>
        </w:rPr>
        <w:t>רמב</w:t>
      </w:r>
      <w:r w:rsidR="005258D6">
        <w:rPr>
          <w:rtl/>
        </w:rPr>
        <w:t>”ם \נזיקין\</w:t>
      </w:r>
      <w:r>
        <w:rPr>
          <w:rtl/>
        </w:rPr>
        <w:t xml:space="preserve"> הלכות חובל ומזיק פרק ז הלכה י</w:t>
      </w:r>
      <w:r>
        <w:rPr>
          <w:rFonts w:hint="cs"/>
          <w:rtl/>
        </w:rPr>
        <w:t xml:space="preserve">] </w:t>
      </w:r>
      <w:r>
        <w:rPr>
          <w:rtl/>
        </w:rPr>
        <w:t>וכן ראובן שהיה נושה בשמעון ומכר השטר ללוי וחזר אחר שמכרו ומחלו לשמעון, הרי נפטר שמעון כמו שיתבאר במקומו ונתחייב ראובן לשלם ללוי כל מה שבשטר, שהרי גרם לו לאבד השטר והרי הוא כמי ששרפו, וכן אם מחלו יורש ראובן משלם המוחל מן היפה שבנכסיו.</w:t>
      </w:r>
    </w:p>
    <w:p w14:paraId="32C02926" w14:textId="5EAF643A" w:rsidR="009F1CE4" w:rsidRPr="009F1CE4" w:rsidRDefault="009F1CE4" w:rsidP="009F1CE4">
      <w:pPr>
        <w:pStyle w:val="Style1"/>
      </w:pPr>
      <w:r>
        <w:rPr>
          <w:rFonts w:hint="cs"/>
          <w:rtl/>
        </w:rPr>
        <w:lastRenderedPageBreak/>
        <w:t>2)[</w:t>
      </w:r>
      <w:r>
        <w:rPr>
          <w:rtl/>
        </w:rPr>
        <w:t>שולחן ערוך חושן משפט הלכות הלואה סימן סו סעיף לב</w:t>
      </w:r>
      <w:r>
        <w:rPr>
          <w:rFonts w:hint="cs"/>
          <w:rtl/>
        </w:rPr>
        <w:t xml:space="preserve">] </w:t>
      </w:r>
      <w:r w:rsidRPr="009F1CE4">
        <w:rPr>
          <w:rtl/>
        </w:rPr>
        <w:t>כשמוחל המוכר או יורשיו צריכים לשלם כל מה שכתוב בשטר החוב מהיפה שבנכסים שהרי גרם לו לאבד השטר והרי הוא כמו ששרפו ומיהו שמין השטר כפי מה שהוא כגון אם הלוה גברא אלמא דלא ציית דינא או שאין לו נכסים ואם מת ישלמו יורשיו</w:t>
      </w:r>
      <w:r w:rsidRPr="009F1CE4">
        <w:t>:</w:t>
      </w:r>
    </w:p>
    <w:p w14:paraId="10F77165" w14:textId="53E3E31F" w:rsidR="009F1CE4" w:rsidRDefault="009F1CE4" w:rsidP="009F1CE4">
      <w:pPr>
        <w:pStyle w:val="Style1"/>
        <w:rPr>
          <w:rtl/>
        </w:rPr>
      </w:pPr>
      <w:r w:rsidRPr="009F1CE4">
        <w:rPr>
          <w:rFonts w:hint="cs"/>
          <w:rtl/>
        </w:rPr>
        <w:t>הגה: (תשו' רשב"א וע' ס"ק ק"ג) ואם מכר לו שט"ח של עכו"ם ומחלו צריך לשלם לו אף הרבית שעלה עליו אבל אם נודע שפרוע הוא אע"ג דהוא היה יכול לחזור ולגבות מן העכו"ם פטור המוחל (רבינו ירוחם ני"ד בשם הרשב"א ) וכל זה לדעת קצת רבוותא (ב' הדעות בטור וב"י וע' ס"ק ק"ה) אבל רבים חולקים וס"ל דבכל מוכר שטר חוב ומחלו אין צריך לשלם לו אלא הדמים שנתן לו (טור בשם הרא"ש ורב שרירא גאון) ומה שהוציא עליו (ד"ע)</w:t>
      </w:r>
      <w:r w:rsidRPr="009F1CE4">
        <w:t>:</w:t>
      </w:r>
    </w:p>
    <w:p w14:paraId="428E0C65" w14:textId="2D5625A5" w:rsidR="007B6F69" w:rsidRDefault="007B6F69" w:rsidP="007B6F69">
      <w:pPr>
        <w:pStyle w:val="Style1"/>
        <w:rPr>
          <w:rtl/>
        </w:rPr>
      </w:pPr>
      <w:r>
        <w:rPr>
          <w:rFonts w:hint="cs"/>
          <w:rtl/>
        </w:rPr>
        <w:t>2)[</w:t>
      </w:r>
      <w:r>
        <w:rPr>
          <w:rtl/>
        </w:rPr>
        <w:t>שולחן ערוך חושן משפט הלכות נזיקין סימן שפו סעיף א</w:t>
      </w:r>
      <w:r>
        <w:rPr>
          <w:rFonts w:hint="cs"/>
          <w:rtl/>
        </w:rPr>
        <w:t xml:space="preserve">] </w:t>
      </w:r>
      <w:r w:rsidRPr="007B6F69">
        <w:rPr>
          <w:rtl/>
        </w:rPr>
        <w:t>קיימא לן כרבי מאיר דדאין דינא דגרמי </w:t>
      </w:r>
      <w:r w:rsidRPr="007B6F69">
        <w:rPr>
          <w:rFonts w:hint="cs"/>
          <w:rtl/>
        </w:rPr>
        <w:t>(ודוקא באדם חייב דינא דגרמי אבל בבהמה לכולי עלמא פטור) (נ"י פ' הפרה)</w:t>
      </w:r>
      <w:r w:rsidRPr="007B6F69">
        <w:t xml:space="preserve">. </w:t>
      </w:r>
      <w:r w:rsidRPr="007B6F69">
        <w:rPr>
          <w:rtl/>
        </w:rPr>
        <w:t>לפיכך הדוחף מטבע של חבירו עד שירד לים חייב אע"פ שלא הגביהו וכן הפוחת מטבע של חבירו והעביר צורתו חייב אע"פ שלא חסרו והמוכר ש"ח לחבירו וחזר ומחלו דקי"ל שהוא מחול צריך לשלם ללוקח כמו שנתבאר </w:t>
      </w:r>
      <w:hyperlink r:id="rId225" w:tooltip="שולחן ערוך חושן משפט סו" w:history="1">
        <w:r w:rsidRPr="007B6F69">
          <w:rPr>
            <w:rtl/>
          </w:rPr>
          <w:t>בסי' ס"ו</w:t>
        </w:r>
      </w:hyperlink>
      <w:r w:rsidRPr="007B6F69">
        <w:t>:</w:t>
      </w:r>
    </w:p>
    <w:p w14:paraId="5CEEED40" w14:textId="65DF30E1" w:rsidR="007B6F69" w:rsidRDefault="007B6F69" w:rsidP="007B6F69">
      <w:pPr>
        <w:pStyle w:val="Style1"/>
        <w:rPr>
          <w:rtl/>
        </w:rPr>
      </w:pPr>
      <w:r>
        <w:rPr>
          <w:rFonts w:hint="cs"/>
          <w:rtl/>
        </w:rPr>
        <w:t>3)[</w:t>
      </w:r>
      <w:r>
        <w:rPr>
          <w:rtl/>
        </w:rPr>
        <w:t>רמב</w:t>
      </w:r>
      <w:r w:rsidR="00213DA1">
        <w:rPr>
          <w:rtl/>
        </w:rPr>
        <w:t>”ם \נשים\</w:t>
      </w:r>
      <w:r>
        <w:rPr>
          <w:rtl/>
        </w:rPr>
        <w:t xml:space="preserve"> הלכות אישות פרק יז הלכה ד</w:t>
      </w:r>
      <w:r>
        <w:rPr>
          <w:rFonts w:hint="cs"/>
          <w:rtl/>
        </w:rPr>
        <w:t xml:space="preserve">] </w:t>
      </w:r>
      <w:r>
        <w:rPr>
          <w:rtl/>
        </w:rPr>
        <w:t>מי שגירש את אשתו ועליו שטר חוב ובא בעל חוב והאשה לגבות והיו לו מעות וקרקע כדי החוב והכתובה, בעל חוב נוטל מעות והאשה נוטלת כתובתה מן הקרקע, ואם אין לו אלא קרקע שאין בה כדי לגבות שניהם ולא היה בה דין קדימה נותנין אותה לבעל חוב, ואם נשאר לאשה כלום תטול ואם לאו תדחה מפני בעל חוב, שהרי בעל חוב הפסיד והוציא מעותיו והאשה לא חסרה דבר, שיתר משהאיש רוצה לישא אשה רוצה להנשא.</w:t>
      </w:r>
    </w:p>
    <w:p w14:paraId="46ED8D84" w14:textId="4C7FCDB2" w:rsidR="00C2458C" w:rsidRPr="00C2458C" w:rsidRDefault="007B6F69" w:rsidP="00C2458C">
      <w:pPr>
        <w:pStyle w:val="Style1"/>
      </w:pPr>
      <w:r>
        <w:rPr>
          <w:rFonts w:hint="cs"/>
          <w:rtl/>
        </w:rPr>
        <w:t>3)[</w:t>
      </w:r>
      <w:r>
        <w:rPr>
          <w:rtl/>
        </w:rPr>
        <w:t>שולחן ערוך אבן העזר הלכות כתובות סימן קב סעיף ד</w:t>
      </w:r>
      <w:r>
        <w:rPr>
          <w:rFonts w:hint="cs"/>
          <w:rtl/>
        </w:rPr>
        <w:t>]</w:t>
      </w:r>
      <w:r w:rsidR="00C2458C">
        <w:rPr>
          <w:rFonts w:hint="cs"/>
          <w:rtl/>
        </w:rPr>
        <w:t xml:space="preserve"> </w:t>
      </w:r>
      <w:r w:rsidR="00C2458C" w:rsidRPr="00C2458C">
        <w:rPr>
          <w:rtl/>
        </w:rPr>
        <w:t>אם יש כדי לפרע לשניהם בקרקע ומעות, אם זמנם שוה נותנים לבעל חוב מעות ולאשה קרקע</w:t>
      </w:r>
      <w:r w:rsidR="00C2458C" w:rsidRPr="00C2458C">
        <w:t>, </w:t>
      </w:r>
      <w:r w:rsidR="00C2458C" w:rsidRPr="00C2458C">
        <w:rPr>
          <w:rFonts w:hint="cs"/>
          <w:rtl/>
        </w:rPr>
        <w:t>אפילו יש לה נדוניא עם הכתובה (כך משמע מפרש"י והבית יוסף)</w:t>
      </w:r>
      <w:r w:rsidR="00C2458C" w:rsidRPr="00C2458C">
        <w:t xml:space="preserve">. </w:t>
      </w:r>
      <w:r w:rsidR="00C2458C" w:rsidRPr="00C2458C">
        <w:rPr>
          <w:rtl/>
        </w:rPr>
        <w:t>ואם קדמה לגבות מעות, יש מי שאומר שמוציאין מידה ונותן לבעל חוב</w:t>
      </w:r>
      <w:r w:rsidR="00C2458C" w:rsidRPr="00C2458C">
        <w:t>. </w:t>
      </w:r>
      <w:r w:rsidR="00C2458C" w:rsidRPr="00C2458C">
        <w:rPr>
          <w:rFonts w:hint="cs"/>
          <w:rtl/>
        </w:rPr>
        <w:t>מיהו, אם הבעל חוב חפץ בקרקע, נותנים לו הקרקע (טור)</w:t>
      </w:r>
      <w:r w:rsidR="00C2458C" w:rsidRPr="00C2458C">
        <w:t>.</w:t>
      </w:r>
    </w:p>
    <w:p w14:paraId="225AD912" w14:textId="5E03135C" w:rsidR="00C2458C" w:rsidRDefault="00C2458C" w:rsidP="00C2458C">
      <w:pPr>
        <w:pStyle w:val="Style1"/>
        <w:rPr>
          <w:rtl/>
        </w:rPr>
      </w:pPr>
      <w:r w:rsidRPr="00C2458C">
        <w:rPr>
          <w:rtl/>
        </w:rPr>
        <w:t>ואם אין זמנם שוה, המוקדם נותנים לו המעות. ואם קדם המאוחר ותפס המעות, יש מי שאומר שמוציאין מידו</w:t>
      </w:r>
      <w:r w:rsidRPr="00C2458C">
        <w:t>:</w:t>
      </w:r>
    </w:p>
    <w:p w14:paraId="0E4BEF2B" w14:textId="513EAF76" w:rsidR="00C2458C" w:rsidRPr="00C2458C" w:rsidRDefault="00C2458C" w:rsidP="00C2458C">
      <w:pPr>
        <w:pStyle w:val="Style1"/>
      </w:pPr>
      <w:r>
        <w:rPr>
          <w:rFonts w:hint="cs"/>
          <w:rtl/>
        </w:rPr>
        <w:t>4)[</w:t>
      </w:r>
      <w:r>
        <w:rPr>
          <w:rtl/>
        </w:rPr>
        <w:t>שולחן ערוך אבן העזר הלכות כתובות סימן קב סעיף ג</w:t>
      </w:r>
      <w:r>
        <w:rPr>
          <w:rFonts w:hint="cs"/>
          <w:rtl/>
        </w:rPr>
        <w:t xml:space="preserve">] </w:t>
      </w:r>
      <w:r w:rsidRPr="00C2458C">
        <w:rPr>
          <w:rtl/>
        </w:rPr>
        <w:t>אם זמן שניהם שוין, או שנשא ולוה ואחר כך קנה, או שלוה ונשא ואחר כך קנה, שחל שעבודם כאחד בשעה שקנה, בין שהניח מקרקעי או מטלטלי, ינתנו לבעל חוב ותדחה האשה מגבית עיקר ותוספת. ואם קדמה האשה ותפסה קרקע, אם קדמה וגבתה בבית דין, כגון שהגבוה בית דין קודם שידעו שהיה שם בעל חוב, אין מוציאין מידה. אבל אם גבתה מעצמה, אפלו על ידי שומא, מפקינן מינה. ואם קדמה ותפסה מטלטלין, אפילו שלא בבית דין, לא מפקינן מנה</w:t>
      </w:r>
      <w:r w:rsidRPr="00C2458C">
        <w:t>.</w:t>
      </w:r>
    </w:p>
    <w:p w14:paraId="1222EDE9" w14:textId="6180756E" w:rsidR="00C2458C" w:rsidRDefault="00C2458C" w:rsidP="00C2458C">
      <w:pPr>
        <w:pStyle w:val="Style1"/>
        <w:rPr>
          <w:rtl/>
        </w:rPr>
      </w:pPr>
      <w:r w:rsidRPr="00C2458C">
        <w:rPr>
          <w:rFonts w:hint="cs"/>
          <w:rtl/>
        </w:rPr>
        <w:t>הגה: אלמנה שבאת לגבות כתבתה, והיתומים טוענין שתתן ערבות שאם ימצאו אחר כך בעלי חוב המוקדמים שתחזיר מה שגבתה, אין שומעין להם וגובאת כך בלא ערבות</w:t>
      </w:r>
      <w:r w:rsidRPr="00C2458C">
        <w:rPr>
          <w:rFonts w:hint="cs"/>
        </w:rPr>
        <w:t xml:space="preserve"> (</w:t>
      </w:r>
      <w:hyperlink r:id="rId226" w:tooltip="תשובות ריב&quot;ש/רצט" w:history="1">
        <w:r w:rsidRPr="00C2458C">
          <w:rPr>
            <w:rStyle w:val="Hyperlink"/>
            <w:rFonts w:hint="cs"/>
            <w:color w:val="7030A0"/>
            <w:u w:val="none"/>
            <w:rtl/>
          </w:rPr>
          <w:t>ריב"ש סימן רצ"ט</w:t>
        </w:r>
      </w:hyperlink>
      <w:r w:rsidRPr="00C2458C">
        <w:rPr>
          <w:rFonts w:hint="cs"/>
        </w:rPr>
        <w:t>)</w:t>
      </w:r>
      <w:r w:rsidRPr="00C2458C">
        <w:t>:</w:t>
      </w:r>
    </w:p>
    <w:p w14:paraId="1825D8FA" w14:textId="2E6039BD" w:rsidR="00247F96" w:rsidRDefault="00247F96" w:rsidP="00247F96">
      <w:pPr>
        <w:pStyle w:val="Style1"/>
        <w:rPr>
          <w:rtl/>
        </w:rPr>
      </w:pPr>
      <w:r>
        <w:rPr>
          <w:rFonts w:hint="cs"/>
          <w:rtl/>
        </w:rPr>
        <w:t>5)[</w:t>
      </w:r>
      <w:r>
        <w:rPr>
          <w:rtl/>
        </w:rPr>
        <w:t>רמב</w:t>
      </w:r>
      <w:r w:rsidR="0057095E">
        <w:rPr>
          <w:rtl/>
        </w:rPr>
        <w:t>”ם \משפטים\</w:t>
      </w:r>
      <w:r>
        <w:rPr>
          <w:rtl/>
        </w:rPr>
        <w:t xml:space="preserve"> הלכות מלוה ולוה פרק יא הלכה ז</w:t>
      </w:r>
      <w:r>
        <w:rPr>
          <w:rFonts w:hint="cs"/>
          <w:rtl/>
        </w:rPr>
        <w:t xml:space="preserve">] </w:t>
      </w:r>
      <w:r>
        <w:rPr>
          <w:rtl/>
        </w:rPr>
        <w:t>לוה שאין לו מטלטלין ויש לו קרקע אם נודע לבית דין שתולה מעותיו ביד אחרים כופין אותו למכור וליתן לבעל חובו, ואם לא נודע להם דבר זה מחרימין על מי שידע לו מטלטלין ולא יביאם ואח"כ יורדין לבינונית שבנכסיו ומגבין לבעל חובו כמו שיתבאר, בד"א בזמן שנפרעין מן הלוה עצמו אבל הבא ליפרע מן היורש בין קטן בין גדול לא יפרע מן המטלטלין אפילו היו מופקדין או מלוה אצל אחרים שהמטלטלין אינו תחת שיעבוד בעל חוב מן התורה.</w:t>
      </w:r>
    </w:p>
    <w:p w14:paraId="002F3B61" w14:textId="797A4CD1" w:rsidR="00247F96" w:rsidRDefault="00247F96" w:rsidP="00247F96">
      <w:pPr>
        <w:pStyle w:val="Style1"/>
        <w:rPr>
          <w:rtl/>
        </w:rPr>
      </w:pPr>
      <w:r>
        <w:rPr>
          <w:rFonts w:hint="cs"/>
          <w:rtl/>
        </w:rPr>
        <w:t>5)[</w:t>
      </w:r>
      <w:r>
        <w:rPr>
          <w:rtl/>
        </w:rPr>
        <w:t>שולחן ערוך חושן משפט הלכות גביית מלוה סימן קא סעיף ב</w:t>
      </w:r>
      <w:r>
        <w:rPr>
          <w:rFonts w:hint="cs"/>
          <w:rtl/>
        </w:rPr>
        <w:t xml:space="preserve">] </w:t>
      </w:r>
      <w:r w:rsidRPr="00247F96">
        <w:rPr>
          <w:rtl/>
        </w:rPr>
        <w:t>אם אין לו מעות אינו צריך למכור כדי ליתן לו מעות אלא נותן לו ממה שיש לו ואם יש לו מטלטלים וקרקע וחפץ המלוה יותר במטלטלים מבקרקע צריך ליתן לו מטלטלים אלא שנותן לו מאיזה מטלטלים שירצה הוא ואין המלוה יכול לומר איני רוצה מטלטל זה אלא זה</w:t>
      </w:r>
      <w:r w:rsidRPr="00247F96">
        <w:t>:</w:t>
      </w:r>
    </w:p>
    <w:p w14:paraId="5FC5A126" w14:textId="6D197378" w:rsidR="00247F96" w:rsidRDefault="00247F96" w:rsidP="00247F96">
      <w:pPr>
        <w:pStyle w:val="Style1"/>
        <w:rPr>
          <w:rtl/>
        </w:rPr>
      </w:pPr>
      <w:r>
        <w:rPr>
          <w:rFonts w:hint="cs"/>
          <w:rtl/>
        </w:rPr>
        <w:t>6)[</w:t>
      </w:r>
      <w:r>
        <w:rPr>
          <w:rtl/>
        </w:rPr>
        <w:t>שולחן ערוך חושן משפט הלכות גביית מלוה סימן קא סעיף א</w:t>
      </w:r>
      <w:r>
        <w:rPr>
          <w:rFonts w:hint="cs"/>
          <w:rtl/>
        </w:rPr>
        <w:t xml:space="preserve">] </w:t>
      </w:r>
      <w:r w:rsidRPr="00247F96">
        <w:rPr>
          <w:rtl/>
        </w:rPr>
        <w:t>אם יש מעות ללוה ותולה אותם בעכו"ם והמלוה חושש שהם שלו מחרימין על כל מי שיודע שיש לו ממון או מעות וי"א שאם הלוה אמוד אין שומעין לו וכופין אותו ליתן מעות</w:t>
      </w:r>
      <w:r w:rsidRPr="00247F96">
        <w:t>:</w:t>
      </w:r>
    </w:p>
    <w:p w14:paraId="046FB6F6" w14:textId="114690DB" w:rsidR="0085390A" w:rsidRDefault="0085390A" w:rsidP="0085390A">
      <w:pPr>
        <w:pStyle w:val="Style1"/>
        <w:rPr>
          <w:rtl/>
        </w:rPr>
      </w:pPr>
      <w:r>
        <w:rPr>
          <w:rFonts w:hint="cs"/>
          <w:rtl/>
        </w:rPr>
        <w:t>6)[</w:t>
      </w:r>
      <w:r>
        <w:rPr>
          <w:rtl/>
        </w:rPr>
        <w:t>שולחן ערוך חושן משפט הלכות גביית מלוה סימן קא סעיף ז</w:t>
      </w:r>
      <w:r>
        <w:rPr>
          <w:rFonts w:hint="cs"/>
          <w:rtl/>
        </w:rPr>
        <w:t xml:space="preserve">] </w:t>
      </w:r>
      <w:r>
        <w:rPr>
          <w:rtl/>
        </w:rPr>
        <w:t>אם יש מעות ללוה, ותולה אותם בעובד כוכבים, והמלוה חושש שהם שלו, מחרימין על כל מי שיודע שיש לו ממון או מעות. וי"א שאם הלוה אמוד, אין שומעין לו וכופין אותו ליתן מעות.</w:t>
      </w:r>
    </w:p>
    <w:p w14:paraId="5B2FE3B8" w14:textId="0FD18217" w:rsidR="0085390A" w:rsidRDefault="0085390A" w:rsidP="0085390A">
      <w:pPr>
        <w:pStyle w:val="Style1"/>
        <w:rPr>
          <w:rtl/>
        </w:rPr>
      </w:pPr>
      <w:r>
        <w:rPr>
          <w:rFonts w:hint="cs"/>
          <w:rtl/>
        </w:rPr>
        <w:t>7)[</w:t>
      </w:r>
      <w:r>
        <w:rPr>
          <w:rtl/>
        </w:rPr>
        <w:t>רמב</w:t>
      </w:r>
      <w:r w:rsidR="0057095E">
        <w:rPr>
          <w:rtl/>
        </w:rPr>
        <w:t>”ם \משפטים\</w:t>
      </w:r>
      <w:r>
        <w:rPr>
          <w:rtl/>
        </w:rPr>
        <w:t xml:space="preserve"> הלכות מלוה ולוה פרק יא הלכה ח</w:t>
      </w:r>
      <w:r>
        <w:rPr>
          <w:rFonts w:hint="cs"/>
          <w:rtl/>
        </w:rPr>
        <w:t xml:space="preserve">] </w:t>
      </w:r>
      <w:r>
        <w:rPr>
          <w:rtl/>
        </w:rPr>
        <w:t>מצוה על ל היתומין לפרוע חוב אביהן מן המטלטלין שהניח ואם לא רצה היורש ליתן אין כופין אותו ואם תפס ב"ח מחיים גובה מהן, טען שמחיים תפסן והיורש טען שאחר מיתה תפס על היורש להביא ראיה או ישבע המלוה שכך וכך הוא חייב לו ויכול לטעון עד כדי דמיהן וכולל בשבועתו שמחיים תפס, היו הדברים שתפס שטרות וטען שהן משכון בידו על חובו ושמחיים תפס על המלוה להביא ראיה שמחיים תפס, ואם לא הביא ראיה יחזיר ליורשים מפני שאינו טוען לקנות גופם אלא לראיה שבהן.</w:t>
      </w:r>
    </w:p>
    <w:p w14:paraId="4850D2B6" w14:textId="7AF71811" w:rsidR="0085390A" w:rsidRPr="00B33A93" w:rsidRDefault="0085390A" w:rsidP="0085390A">
      <w:pPr>
        <w:pStyle w:val="Style1"/>
      </w:pPr>
      <w:r>
        <w:rPr>
          <w:rFonts w:hint="cs"/>
          <w:rtl/>
        </w:rPr>
        <w:t>7)[</w:t>
      </w:r>
      <w:r>
        <w:rPr>
          <w:rtl/>
        </w:rPr>
        <w:t>שולחן ערוך חושן משפט הלכות גביית חוב מהיתומים סימן קז סעיף א</w:t>
      </w:r>
      <w:r>
        <w:rPr>
          <w:rFonts w:hint="cs"/>
          <w:rtl/>
        </w:rPr>
        <w:t xml:space="preserve">] </w:t>
      </w:r>
      <w:r w:rsidRPr="00B33A93">
        <w:rPr>
          <w:rtl/>
        </w:rPr>
        <w:t>מצווה על היורשים לפרוע חוב אביהם, וכופים אותם בכך כמו שכופים את אביהם.    במה דברים אמורים? כשהניח קרקעות; אבל אם לא הניח אלא מטלטלים -- אין כופין אותם לפרוע חוב אביהם מהם, אבל מצוה עליהם לפרוע חוב אביהם מהם. זהו מן הדין</w:t>
      </w:r>
      <w:r w:rsidRPr="00B33A93">
        <w:t>.</w:t>
      </w:r>
    </w:p>
    <w:p w14:paraId="5FB0623D" w14:textId="77777777" w:rsidR="0085390A" w:rsidRPr="00B33A93" w:rsidRDefault="0085390A" w:rsidP="0085390A">
      <w:pPr>
        <w:pStyle w:val="Style1"/>
      </w:pPr>
      <w:r w:rsidRPr="00B33A93">
        <w:rPr>
          <w:rtl/>
        </w:rPr>
        <w:t>אבל הגאונים תקנו, שיהא בעל חוב גובה מהיורשים מטלטלים שהניח אביהם. הלכך האידנא כופין אותם לפרוע חובות אביהם, אפילו היא מלוה על פה, אף מהמטלטלים שהניח אביהם, אפילו קנאם הלוה אחר שלוה ולא כתב "דאקני</w:t>
      </w:r>
      <w:r w:rsidRPr="00B33A93">
        <w:t>" </w:t>
      </w:r>
      <w:r w:rsidRPr="00B33A93">
        <w:rPr>
          <w:rFonts w:hint="cs"/>
        </w:rPr>
        <w:t>(</w:t>
      </w:r>
      <w:r w:rsidRPr="00B33A93">
        <w:rPr>
          <w:rFonts w:hint="cs"/>
          <w:rtl/>
        </w:rPr>
        <w:t>עיין לקמן </w:t>
      </w:r>
      <w:hyperlink r:id="rId227" w:tooltip="שולחן ערוך חושן משפט קיא" w:history="1">
        <w:r w:rsidRPr="00B33A93">
          <w:rPr>
            <w:rStyle w:val="Hyperlink"/>
            <w:rFonts w:hint="cs"/>
            <w:color w:val="7030A0"/>
            <w:u w:val="none"/>
            <w:rtl/>
          </w:rPr>
          <w:t>סימן קיא</w:t>
        </w:r>
      </w:hyperlink>
      <w:r w:rsidRPr="00B33A93">
        <w:rPr>
          <w:rFonts w:hint="cs"/>
        </w:rPr>
        <w:t>)</w:t>
      </w:r>
      <w:r w:rsidRPr="00B33A93">
        <w:t xml:space="preserve">; </w:t>
      </w:r>
      <w:r w:rsidRPr="00B33A93">
        <w:rPr>
          <w:rtl/>
        </w:rPr>
        <w:t>דיורש במקום אביו קאי</w:t>
      </w:r>
      <w:r w:rsidRPr="00B33A93">
        <w:t>.</w:t>
      </w:r>
    </w:p>
    <w:p w14:paraId="0CB59B00" w14:textId="77777777" w:rsidR="0085390A" w:rsidRPr="00B33A93" w:rsidRDefault="0085390A" w:rsidP="0085390A">
      <w:pPr>
        <w:pStyle w:val="Style1"/>
      </w:pPr>
      <w:r w:rsidRPr="00B33A93">
        <w:rPr>
          <w:rtl/>
        </w:rPr>
        <w:t>וכן חייבים לפרוע חוב אביהם ממלוה שהיתה לאביהם ביד אחרים, בין גבו קרקע, בין גבו מעות. ואם ירשו קרקע ומטלטלים, ואין מפורש בשטר שיגבה מטלטלי בין בחייו בין במותו, והיורשים רוצים להגבות לבעל חוב קרקע והוא רוצה לגבות מטלטלים -- הדין עם היורשים</w:t>
      </w:r>
      <w:r w:rsidRPr="00B33A93">
        <w:t>.</w:t>
      </w:r>
    </w:p>
    <w:p w14:paraId="2E080480" w14:textId="77777777" w:rsidR="0085390A" w:rsidRPr="00B33A93" w:rsidRDefault="0085390A" w:rsidP="0085390A">
      <w:pPr>
        <w:pStyle w:val="Style1"/>
      </w:pPr>
      <w:r w:rsidRPr="00B33A93">
        <w:rPr>
          <w:rtl/>
        </w:rPr>
        <w:t>אבל אם לא ירשו כלום מאביהן, אין חייבים לפרוע חוב אביהם, ואפילו מצוה ליכא</w:t>
      </w:r>
      <w:r w:rsidRPr="00B33A93">
        <w:t>.   </w:t>
      </w:r>
    </w:p>
    <w:p w14:paraId="04A17081" w14:textId="77777777" w:rsidR="0085390A" w:rsidRDefault="0085390A" w:rsidP="0085390A">
      <w:pPr>
        <w:pStyle w:val="Style1"/>
        <w:rPr>
          <w:rtl/>
        </w:rPr>
      </w:pPr>
      <w:r w:rsidRPr="00B33A93">
        <w:rPr>
          <w:rFonts w:hint="cs"/>
          <w:rtl/>
        </w:rPr>
        <w:t>הגה: ירש קצת נכסים, אין צריך לפרוע, רק מה שירש. ואם אומר "איני יורש ואיני משלם", עיין לקמן </w:t>
      </w:r>
      <w:hyperlink r:id="rId228" w:tooltip="שולחן ערוך חושן משפט רעח" w:history="1">
        <w:r w:rsidRPr="00B33A93">
          <w:rPr>
            <w:rStyle w:val="Hyperlink"/>
            <w:rFonts w:hint="cs"/>
            <w:color w:val="7030A0"/>
            <w:u w:val="none"/>
            <w:rtl/>
          </w:rPr>
          <w:t>סוף סימן רע"ח</w:t>
        </w:r>
      </w:hyperlink>
      <w:r w:rsidRPr="00B33A93">
        <w:rPr>
          <w:rFonts w:hint="cs"/>
        </w:rPr>
        <w:t> </w:t>
      </w:r>
      <w:r w:rsidRPr="00B33A93">
        <w:rPr>
          <w:rFonts w:hint="cs"/>
          <w:rtl/>
        </w:rPr>
        <w:t>אם שומעין לו</w:t>
      </w:r>
      <w:r w:rsidRPr="00B33A93">
        <w:t>.</w:t>
      </w:r>
    </w:p>
    <w:p w14:paraId="63E1F385" w14:textId="6E5DC7A4" w:rsidR="00247F96" w:rsidRPr="00247F96" w:rsidRDefault="00247F96" w:rsidP="00247F96">
      <w:pPr>
        <w:pStyle w:val="Style1"/>
      </w:pPr>
    </w:p>
    <w:p w14:paraId="464CCF05" w14:textId="130CE6A3" w:rsidR="00247F96" w:rsidRPr="00C2458C" w:rsidRDefault="00247F96" w:rsidP="00247F96">
      <w:pPr>
        <w:pStyle w:val="Style1"/>
      </w:pPr>
    </w:p>
    <w:p w14:paraId="76636927" w14:textId="77777777" w:rsidR="00C2458C" w:rsidRPr="00C2458C" w:rsidRDefault="00C2458C" w:rsidP="00C2458C">
      <w:pPr>
        <w:pStyle w:val="Style1"/>
      </w:pPr>
    </w:p>
    <w:p w14:paraId="6E5EDA70" w14:textId="77777777" w:rsidR="00C369CA" w:rsidRPr="0044162D" w:rsidRDefault="00C369CA" w:rsidP="00C369CA">
      <w:pPr>
        <w:rPr>
          <w:rStyle w:val="Style1Char"/>
          <w:sz w:val="22"/>
          <w:szCs w:val="22"/>
          <w:rtl/>
        </w:rPr>
      </w:pPr>
      <w:r w:rsidRPr="0044162D">
        <w:rPr>
          <w:rStyle w:val="Style1Char"/>
          <w:sz w:val="22"/>
          <w:szCs w:val="22"/>
          <w:rtl/>
        </w:rPr>
        <w:br w:type="page"/>
      </w:r>
    </w:p>
    <w:p w14:paraId="47EEDCD8" w14:textId="77777777" w:rsidR="00C369CA" w:rsidRDefault="00C369CA" w:rsidP="00C369CA">
      <w:pPr>
        <w:bidi/>
        <w:rPr>
          <w:rStyle w:val="Style1Char"/>
          <w:color w:val="4472C4" w:themeColor="accent1"/>
          <w:rtl/>
        </w:rPr>
      </w:pPr>
      <w:r w:rsidRPr="00B51A82">
        <w:rPr>
          <w:rStyle w:val="Style1Char"/>
          <w:color w:val="auto"/>
          <w:sz w:val="22"/>
          <w:szCs w:val="22"/>
          <w:highlight w:val="yellow"/>
          <w:rtl/>
        </w:rPr>
        <w:lastRenderedPageBreak/>
        <w:t>[דף פו עמוד ב]</w:t>
      </w:r>
      <w:r w:rsidRPr="00B51A82">
        <w:rPr>
          <w:rStyle w:val="Style1Char"/>
          <w:color w:val="auto"/>
          <w:sz w:val="22"/>
          <w:szCs w:val="22"/>
          <w:rtl/>
        </w:rPr>
        <w:t xml:space="preserve"> מכין אותו עד שתצא נפשו</w:t>
      </w:r>
      <w:r w:rsidRPr="00047B14">
        <w:rPr>
          <w:rStyle w:val="Style1Char"/>
          <w:color w:val="4472C4" w:themeColor="accent1"/>
          <w:rtl/>
        </w:rPr>
        <w:t xml:space="preserve"> </w:t>
      </w:r>
      <w:r w:rsidRPr="00E53B77">
        <w:rPr>
          <w:rStyle w:val="Style1Char"/>
          <w:color w:val="4472C4" w:themeColor="accent1"/>
          <w:rtl/>
        </w:rPr>
        <w:t>היכא דאית ליה נכסי ללוה לא קא מיבעיא ליה דפשיטא דב"ד היו יורדין לנכסיו דכתיב לא תבא אל ביתו לעבוט עבוטו ואמרינן הוא דאינו נכנס אבל שליח ב"ד נכנס. ורב פפא גופיה הוא דאמר בפ"ק דקידושין (דף יג ב) מלוה על פה גובה מן היורשין דשיעבודא דאורייתא</w:t>
      </w:r>
      <w:r>
        <w:rPr>
          <w:rStyle w:val="Style1Char"/>
          <w:rFonts w:hint="cs"/>
          <w:color w:val="4472C4" w:themeColor="accent1"/>
        </w:rPr>
        <w:t>‍</w:t>
      </w:r>
      <w:r w:rsidRPr="00E53B77">
        <w:rPr>
          <w:rStyle w:val="Style1Char"/>
          <w:color w:val="4472C4" w:themeColor="accent1"/>
          <w:rtl/>
        </w:rPr>
        <w:t xml:space="preserve"> וכיון דמשעבדי נכסיו נחתינן לנכסיה. וגם רב פפא אמרה למילתיה בפ' שום היתומים (דף כב א) אהא דאין נזקקין לנכסי יתומים </w:t>
      </w:r>
      <w:r>
        <w:rPr>
          <w:rStyle w:val="Style1Char"/>
          <w:rFonts w:hint="cs"/>
          <w:color w:val="4472C4" w:themeColor="accent1"/>
        </w:rPr>
        <w:t>‍</w:t>
      </w:r>
      <w:r w:rsidRPr="00E53B77">
        <w:rPr>
          <w:rStyle w:val="Style1Char"/>
          <w:color w:val="4472C4" w:themeColor="accent1"/>
          <w:rtl/>
        </w:rPr>
        <w:t>קטנים ומפרש דטעמא משום דפריעת בעל חוב מצוה ויתמי לאו בני מיעבד מצוה נינהו. מכלל דלנכסי יתומים גדולים נזקקין וכופין אותן לפרוע. אלא מיירי בדלית ליה קרקעי ומבריח מטלטלין או תולן בעובדי כוכבים ומיבעיא ליה אי היו כייפינן ליה בגופיה לקיים מצותו</w:t>
      </w:r>
      <w:r w:rsidRPr="00E53B77">
        <w:rPr>
          <w:rStyle w:val="Style1Char"/>
          <w:color w:val="4472C4" w:themeColor="accent1"/>
        </w:rPr>
        <w:t xml:space="preserve">: </w:t>
      </w:r>
    </w:p>
    <w:p w14:paraId="319B2283" w14:textId="77777777" w:rsidR="00C369CA" w:rsidRPr="00E53B77" w:rsidRDefault="00C369CA" w:rsidP="00C369CA">
      <w:pPr>
        <w:bidi/>
        <w:rPr>
          <w:rStyle w:val="Style1Char"/>
          <w:color w:val="4472C4" w:themeColor="accent1"/>
        </w:rPr>
      </w:pPr>
      <w:r w:rsidRPr="00E53B77">
        <w:rPr>
          <w:rStyle w:val="Style1Char"/>
          <w:color w:val="4472C4" w:themeColor="accent1"/>
          <w:rtl/>
        </w:rPr>
        <w:t xml:space="preserve">והא דאמרי' דפריעת בעל חוב מצוה וכופין יתומים גדולים היינו היכא דהניח אביהן אחריות נכסים דעלה איתמר מלתא דרב פפא בערכין אבל בדליכא אחריות נכסים אלא מטלטלין מצוה על היתומים ואין כופין כדמוכח לקמן בפרק מי שהיה נשוי (דף צא ב) גבי ההוא דשבק קטינא דארעא דא"ל אביי הני קמאי מצוה קא עבידתו השתא כי קטריף בדין קא טריף. וטעמא משום דהויא מצות כבוד אב מצות עשה שמתן שכרה בצדה ואין ב"ד של מטה מוזהרין עליה. והא דאמרינן בהגוזל (דף צד ב) הניח להם אביהם פרה וטלית וכל דבר המסויים חייבין להחזיר מפני כבוד אביהם. לאו דוקא כבוד אביהם קאמר אלא דאם לא מחזירין הוה קלון אביהם אבל משום כבוד אביהם לחודיה אין מחייבין אותן להחזיר. ומה שפירש רש"י לקמן גבי קטינא דארעא הואיל וליכא מצוה אלא מדרבנן לא כייפינן להו. לא נהירא דאשכחן כפייה במצות דרבנן כגון מצוה לקיים דברי המת דאמרינן בגיטין פרק השולח (דף מ א) כופין את היורשין ועושין אותה בת חורין. </w:t>
      </w:r>
      <w:r>
        <w:rPr>
          <w:rStyle w:val="Style1Char"/>
          <w:rFonts w:hint="cs"/>
          <w:color w:val="4472C4" w:themeColor="accent1"/>
        </w:rPr>
        <w:t>‍</w:t>
      </w:r>
      <w:r w:rsidRPr="00E53B77">
        <w:rPr>
          <w:rStyle w:val="Style1Char"/>
          <w:color w:val="4472C4" w:themeColor="accent1"/>
          <w:rtl/>
        </w:rPr>
        <w:t>ויראה דהאידנא דתקון רבנן בתראי לגבות ממטלטלי וסמך המלוה אמטלטלי כמו אמקרקעי. כופין אף במטלטלין וכן עמא דבר</w:t>
      </w:r>
      <w:r w:rsidRPr="00E53B77">
        <w:rPr>
          <w:rStyle w:val="Style1Char"/>
          <w:color w:val="4472C4" w:themeColor="accent1"/>
        </w:rPr>
        <w:t>:</w:t>
      </w:r>
    </w:p>
    <w:p w14:paraId="2787BF7A" w14:textId="77FCB193" w:rsidR="00C369CA" w:rsidRPr="00641B3C" w:rsidRDefault="00C369CA" w:rsidP="00C369CA">
      <w:pPr>
        <w:bidi/>
        <w:rPr>
          <w:rStyle w:val="Style1Char"/>
          <w:color w:val="4472C4" w:themeColor="accent1"/>
          <w:sz w:val="22"/>
          <w:szCs w:val="22"/>
        </w:rPr>
      </w:pPr>
      <w:r w:rsidRPr="00CD29C9">
        <w:rPr>
          <w:rStyle w:val="Style1Char"/>
          <w:color w:val="ED7D31" w:themeColor="accent2"/>
          <w:sz w:val="22"/>
          <w:szCs w:val="22"/>
          <w:rtl/>
        </w:rPr>
        <w:t xml:space="preserve">. בעא מיניה רמי בר חמא מרב חסדא: הרי זה גיטיך ולא תתגרשי בו אלא לאחר שלשים יום, והלכה והניחתו בצידי רשות הרבים, מהו? אמר ליה: </w:t>
      </w:r>
      <w:r w:rsidRPr="00090FC2">
        <w:rPr>
          <w:rStyle w:val="Style1Char"/>
          <w:color w:val="00B050"/>
          <w:rtl/>
        </w:rPr>
        <w:t>אינה מגורשת מדרב ושמואל</w:t>
      </w:r>
      <w:r w:rsidRPr="00D2614D">
        <w:rPr>
          <w:rStyle w:val="Style1Char"/>
          <w:color w:val="00B050"/>
          <w:rtl/>
        </w:rPr>
        <w:t xml:space="preserve">, דרב ושמואל </w:t>
      </w:r>
      <w:r w:rsidRPr="00090FC2">
        <w:rPr>
          <w:rStyle w:val="Style1Char"/>
          <w:color w:val="00B050"/>
          <w:rtl/>
        </w:rPr>
        <w:t xml:space="preserve">דאמרי תרוייהו: והוא שצבורין ומונחין ברשות הרבים, </w:t>
      </w:r>
      <w:r w:rsidRPr="00D2614D">
        <w:rPr>
          <w:rStyle w:val="Style1Char"/>
          <w:color w:val="00B050"/>
          <w:rtl/>
        </w:rPr>
        <w:t xml:space="preserve">וצידי רשות הרבים כרשות הרבים דמו. אדרבה, </w:t>
      </w:r>
      <w:r w:rsidRPr="00AB1BBF">
        <w:rPr>
          <w:rStyle w:val="Style1Char"/>
          <w:color w:val="ED7D31" w:themeColor="accent2"/>
          <w:sz w:val="22"/>
          <w:szCs w:val="22"/>
          <w:rtl/>
        </w:rPr>
        <w:t>מגורשת מדרב נחמן, דאמר רב נחמן אמר רבה בר אבוה: האומר לחבירו משוך פרה זו ולא תהיה קנויה לך עד לאחר שלשים יום - קנה ואפילו עומדת באגם</w:t>
      </w:r>
      <w:r w:rsidRPr="00D2614D">
        <w:rPr>
          <w:rStyle w:val="Style1Char"/>
          <w:color w:val="00B050"/>
          <w:rtl/>
        </w:rPr>
        <w:t xml:space="preserve">, מאי לאו היינו אגם והיינו צידי רשות הרבים! לא, אגם לחוד, וצידי רשות הרבים לחוד. איכא דאמרי, אמר ליה: </w:t>
      </w:r>
      <w:r w:rsidR="0085390A">
        <w:rPr>
          <w:rStyle w:val="Style1Char"/>
          <w:rFonts w:hint="cs"/>
          <w:rtl/>
        </w:rPr>
        <w:t>(1)</w:t>
      </w:r>
      <w:r w:rsidRPr="00D2614D">
        <w:rPr>
          <w:rStyle w:val="Style1Char"/>
          <w:color w:val="00B050"/>
          <w:rtl/>
        </w:rPr>
        <w:t xml:space="preserve">מגורשת מדרב נחמן, וצידי רשות הרבים כאגם דמי. </w:t>
      </w:r>
      <w:r w:rsidRPr="00EB4121">
        <w:rPr>
          <w:rStyle w:val="Style1Char"/>
          <w:color w:val="ED7D31" w:themeColor="accent2"/>
          <w:sz w:val="22"/>
          <w:szCs w:val="22"/>
          <w:rtl/>
        </w:rPr>
        <w:t>אדרבה, אינה מגורשת מדרב ושמואל</w:t>
      </w:r>
      <w:r w:rsidRPr="00EB4121">
        <w:rPr>
          <w:rStyle w:val="Style1Char"/>
          <w:color w:val="4472C4" w:themeColor="accent1"/>
          <w:rtl/>
        </w:rPr>
        <w:t xml:space="preserve"> </w:t>
      </w:r>
      <w:r w:rsidRPr="00EB4121">
        <w:rPr>
          <w:rStyle w:val="Style1Char"/>
          <w:color w:val="4472C4" w:themeColor="accent1"/>
          <w:sz w:val="22"/>
          <w:szCs w:val="22"/>
          <w:rtl/>
        </w:rPr>
        <w:t>דאמרי תרויהו והוא שצבורים ומונחים ברשות הרבים</w:t>
      </w:r>
      <w:r w:rsidRPr="00D2614D">
        <w:rPr>
          <w:rStyle w:val="Style1Char"/>
          <w:color w:val="00B050"/>
          <w:rtl/>
        </w:rPr>
        <w:t xml:space="preserve">, </w:t>
      </w:r>
      <w:r w:rsidRPr="00DE5B77">
        <w:rPr>
          <w:rStyle w:val="Style1Char"/>
          <w:color w:val="ED7D31" w:themeColor="accent2"/>
          <w:sz w:val="22"/>
          <w:szCs w:val="22"/>
          <w:rtl/>
        </w:rPr>
        <w:t xml:space="preserve">מאי לאו היינו רשות הרבים והיינו צידי רשות הרבים! </w:t>
      </w:r>
      <w:r w:rsidR="003D2316">
        <w:rPr>
          <w:rStyle w:val="Style1Char"/>
          <w:rFonts w:hint="cs"/>
          <w:rtl/>
        </w:rPr>
        <w:t>(1)</w:t>
      </w:r>
      <w:r w:rsidRPr="00DE5B77">
        <w:rPr>
          <w:rStyle w:val="Style1Char"/>
          <w:color w:val="ED7D31" w:themeColor="accent2"/>
          <w:sz w:val="22"/>
          <w:szCs w:val="22"/>
          <w:rtl/>
        </w:rPr>
        <w:t xml:space="preserve">לא, רשות הרבים לחוד, וצידי רשות הרבים לחוד. </w:t>
      </w:r>
      <w:r w:rsidRPr="00641B3C">
        <w:rPr>
          <w:rStyle w:val="Style1Char"/>
          <w:color w:val="4472C4" w:themeColor="accent1"/>
          <w:sz w:val="22"/>
          <w:szCs w:val="22"/>
          <w:rtl/>
        </w:rPr>
        <w:t>הלכתא כלישנא בתרא. והכי אמרי' לעיל בפ' אלו נערות (דף לא ב) דאפי' למ"ד דלענין שבת צידי רה"ר כרה"ר דמי</w:t>
      </w:r>
      <w:r w:rsidRPr="00641B3C">
        <w:rPr>
          <w:rStyle w:val="Style1Char"/>
          <w:rFonts w:hint="cs"/>
          <w:color w:val="4472C4" w:themeColor="accent1"/>
          <w:sz w:val="22"/>
          <w:szCs w:val="22"/>
        </w:rPr>
        <w:t>‍</w:t>
      </w:r>
      <w:r w:rsidRPr="00641B3C">
        <w:rPr>
          <w:rStyle w:val="Style1Char"/>
          <w:color w:val="4472C4" w:themeColor="accent1"/>
          <w:sz w:val="22"/>
          <w:szCs w:val="22"/>
          <w:rtl/>
        </w:rPr>
        <w:t xml:space="preserve"> מודה הוא דלענין מיקנא קני ביה</w:t>
      </w:r>
      <w:r w:rsidRPr="00641B3C">
        <w:rPr>
          <w:rStyle w:val="Style1Char"/>
          <w:color w:val="4472C4" w:themeColor="accent1"/>
          <w:sz w:val="22"/>
          <w:szCs w:val="22"/>
        </w:rPr>
        <w:t xml:space="preserve">: </w:t>
      </w:r>
    </w:p>
    <w:p w14:paraId="1DC97487" w14:textId="587DA6BF" w:rsidR="00C369CA" w:rsidRPr="006A1913" w:rsidRDefault="00C369CA" w:rsidP="00C369CA">
      <w:pPr>
        <w:bidi/>
        <w:rPr>
          <w:rStyle w:val="Style1Char"/>
          <w:color w:val="auto"/>
          <w:sz w:val="22"/>
          <w:szCs w:val="22"/>
        </w:rPr>
      </w:pPr>
      <w:r w:rsidRPr="006A1913">
        <w:rPr>
          <w:rStyle w:val="Style1Char"/>
          <w:color w:val="auto"/>
          <w:sz w:val="22"/>
          <w:szCs w:val="22"/>
          <w:rtl/>
        </w:rPr>
        <w:t xml:space="preserve">מתני'. </w:t>
      </w:r>
      <w:r w:rsidR="003D2316">
        <w:rPr>
          <w:rStyle w:val="Style1Char"/>
          <w:rFonts w:hint="cs"/>
          <w:rtl/>
        </w:rPr>
        <w:t>(2)</w:t>
      </w:r>
      <w:r w:rsidRPr="006A1913">
        <w:rPr>
          <w:rStyle w:val="Style1Char"/>
          <w:color w:val="auto"/>
          <w:sz w:val="22"/>
          <w:szCs w:val="22"/>
          <w:rtl/>
        </w:rPr>
        <w:t xml:space="preserve">המושיב את אשתו חנוונית, או שמינה אפוטרופיא - הרי זה משביעה כל זמן שירצה; ר' אליעזר אומר: אפילו על פילכה ועל עיסתה. </w:t>
      </w:r>
    </w:p>
    <w:p w14:paraId="54882447" w14:textId="77777777" w:rsidR="00C369CA" w:rsidRDefault="00C369CA" w:rsidP="00C369CA">
      <w:pPr>
        <w:bidi/>
        <w:rPr>
          <w:rStyle w:val="Style1Char"/>
          <w:color w:val="4472C4" w:themeColor="accent1"/>
        </w:rPr>
      </w:pPr>
      <w:r w:rsidRPr="009117A8">
        <w:rPr>
          <w:rStyle w:val="Style1Char"/>
          <w:sz w:val="22"/>
          <w:szCs w:val="22"/>
          <w:rtl/>
        </w:rPr>
        <w:t>גמ'</w:t>
      </w:r>
      <w:r w:rsidRPr="009117A8">
        <w:rPr>
          <w:rStyle w:val="Style1Char"/>
          <w:color w:val="C00000"/>
          <w:rtl/>
        </w:rPr>
        <w:t xml:space="preserve"> </w:t>
      </w:r>
      <w:r w:rsidRPr="009117A8">
        <w:rPr>
          <w:rStyle w:val="Style1Char"/>
          <w:color w:val="C00000"/>
          <w:sz w:val="22"/>
          <w:szCs w:val="22"/>
          <w:rtl/>
        </w:rPr>
        <w:t>חזינן לרבוותא דאמרי לית הלכתא כת"ק ולא כרבי אליעזר אלא כר"ש דקתני סיפא</w:t>
      </w:r>
      <w:r w:rsidRPr="009117A8">
        <w:rPr>
          <w:rStyle w:val="Style1Char"/>
          <w:sz w:val="22"/>
          <w:szCs w:val="22"/>
          <w:rtl/>
        </w:rPr>
        <w:t>.</w:t>
      </w:r>
      <w:r w:rsidRPr="00D2614D">
        <w:rPr>
          <w:rStyle w:val="Style1Char"/>
          <w:color w:val="00B050"/>
          <w:rtl/>
        </w:rPr>
        <w:t xml:space="preserve"> </w:t>
      </w:r>
      <w:r w:rsidRPr="00750A14">
        <w:rPr>
          <w:rStyle w:val="Style1Char"/>
          <w:sz w:val="22"/>
          <w:szCs w:val="22"/>
          <w:rtl/>
        </w:rPr>
        <w:t xml:space="preserve">איבעיא להו: ר' אליעזר, על ידי גלגול קאמר או לכתחלה קאמר? </w:t>
      </w:r>
      <w:r w:rsidRPr="00E53B77">
        <w:rPr>
          <w:rStyle w:val="Style1Char"/>
          <w:color w:val="4472C4" w:themeColor="accent1"/>
          <w:rtl/>
        </w:rPr>
        <w:t>ומסיק דר"א לכתחלה קאמר</w:t>
      </w:r>
      <w:r>
        <w:rPr>
          <w:rStyle w:val="Style1Char"/>
          <w:rFonts w:hint="cs"/>
          <w:color w:val="4472C4" w:themeColor="accent1"/>
        </w:rPr>
        <w:t>‍</w:t>
      </w:r>
      <w:r w:rsidRPr="00E53B77">
        <w:rPr>
          <w:rStyle w:val="Style1Char"/>
          <w:color w:val="4472C4" w:themeColor="accent1"/>
          <w:rtl/>
        </w:rPr>
        <w:t xml:space="preserve"> ומשמע דרבנן מודו דע"י גלגול מגלגל אפילו על פילכה ועל עיסתה אבל לכתחלה לא כדמפרש טעמא בירושלמי (ה"ד) שאם אתה אומר כן אין שלום בבית לעולם</w:t>
      </w:r>
    </w:p>
    <w:p w14:paraId="05E48B58" w14:textId="77777777" w:rsidR="00C369CA" w:rsidRPr="00E53B77" w:rsidRDefault="00C369CA" w:rsidP="00C369CA">
      <w:pPr>
        <w:bidi/>
        <w:rPr>
          <w:rStyle w:val="Style1Char"/>
          <w:color w:val="4472C4" w:themeColor="accent1"/>
        </w:rPr>
      </w:pPr>
      <w:r>
        <w:rPr>
          <w:rStyle w:val="Style1Char"/>
          <w:color w:val="4472C4" w:themeColor="accent1"/>
        </w:rPr>
        <w:t xml:space="preserve"> </w:t>
      </w:r>
      <w:r w:rsidRPr="00E53B77">
        <w:rPr>
          <w:rStyle w:val="Style1Char"/>
          <w:color w:val="4472C4" w:themeColor="accent1"/>
          <w:rtl/>
        </w:rPr>
        <w:t xml:space="preserve">עוד קאמר בירושלמי </w:t>
      </w:r>
      <w:r>
        <w:rPr>
          <w:rStyle w:val="Style1Char"/>
          <w:rFonts w:hint="cs"/>
          <w:color w:val="4472C4" w:themeColor="accent1"/>
        </w:rPr>
        <w:t>‍</w:t>
      </w:r>
      <w:r w:rsidRPr="00E53B77">
        <w:rPr>
          <w:rStyle w:val="Style1Char"/>
          <w:color w:val="4472C4" w:themeColor="accent1"/>
          <w:rtl/>
        </w:rPr>
        <w:t xml:space="preserve"> שברה כלים מה את עביד לה כשומר חנם או כשומר שכר מסתברא אפילו כשומר חנם אינה שאם אין אתה אומר כן אין שלום בבית לעולם ופטורה אף מן הפשיעה. אבל אם שברתן במזיד או נתנתן לאחר חייבת לשלם</w:t>
      </w:r>
      <w:r w:rsidRPr="00E53B77">
        <w:rPr>
          <w:rStyle w:val="Style1Char"/>
          <w:color w:val="4472C4" w:themeColor="accent1"/>
        </w:rPr>
        <w:t xml:space="preserve">: </w:t>
      </w:r>
    </w:p>
    <w:p w14:paraId="2BC25063" w14:textId="4E98F6EC" w:rsidR="00C369CA" w:rsidRDefault="00C369CA" w:rsidP="00C369CA">
      <w:pPr>
        <w:bidi/>
        <w:rPr>
          <w:rStyle w:val="Style1Char"/>
          <w:color w:val="00B050"/>
        </w:rPr>
      </w:pPr>
      <w:r w:rsidRPr="00E53B77">
        <w:rPr>
          <w:rStyle w:val="Style1Char"/>
          <w:color w:val="4472C4" w:themeColor="accent1"/>
        </w:rPr>
        <w:t xml:space="preserve">: </w:t>
      </w:r>
      <w:r w:rsidRPr="00D2614D">
        <w:rPr>
          <w:rStyle w:val="Style1Char"/>
          <w:color w:val="00B050"/>
          <w:rtl/>
        </w:rPr>
        <w:t xml:space="preserve">ת"ש, אמרו לו לרבי אליעזר: אין אדם דר עם נחש בכפיפה; אי אמרת בשלמא לכתחלה - שפיר, אלא אי אמרת ע"י גלגול - מאי נפקא לה מינה? דאמרה ליה: כיון דקדייקת בתראי כולי האי, לא מצינא דאדור בהדך. ת"ש: הרי שלא פטר את אשתו מן הנדר ומן השבועה, והושיבה חנוונית או שמינה אפוטרופיא - הרי זה משביעה כל זמן שירצה, </w:t>
      </w:r>
      <w:r w:rsidR="000E1CC8">
        <w:rPr>
          <w:rStyle w:val="Style1Char"/>
          <w:rFonts w:hint="cs"/>
          <w:rtl/>
        </w:rPr>
        <w:t>(2.2, 3)</w:t>
      </w:r>
      <w:r w:rsidRPr="00D2614D">
        <w:rPr>
          <w:rStyle w:val="Style1Char"/>
          <w:color w:val="00B050"/>
          <w:rtl/>
        </w:rPr>
        <w:t xml:space="preserve">לא הושיבה חנוונית ולא מינה אפוטרופיא - אינו יכול להשביעה; רבי אליעזר אומר: אף על פי שלא הושיבה חנוונית ולא מינה אפוטרופיא - הרי זה משביעה כל זמן שירצה, שאין לך אשה שלא נעשית אפוטרופיא שעה אחת בחיי בעלה על פילכה ועל עיסתה, אמרו לו: אין אדם דר עם נחש בכפיפה; שמע מינה לכתחלה, שמע מינה. </w:t>
      </w:r>
    </w:p>
    <w:p w14:paraId="5892C041" w14:textId="0D131943" w:rsidR="00C369CA" w:rsidRPr="00E53B77" w:rsidRDefault="00C369CA" w:rsidP="00C369CA">
      <w:pPr>
        <w:bidi/>
        <w:rPr>
          <w:rStyle w:val="Style1Char"/>
          <w:color w:val="4472C4" w:themeColor="accent1"/>
        </w:rPr>
      </w:pPr>
      <w:r w:rsidRPr="00D472A2">
        <w:rPr>
          <w:rStyle w:val="Style1Char"/>
          <w:color w:val="auto"/>
          <w:sz w:val="22"/>
          <w:szCs w:val="22"/>
          <w:rtl/>
        </w:rPr>
        <w:t xml:space="preserve">מתני'. </w:t>
      </w:r>
      <w:r w:rsidR="00574B02">
        <w:rPr>
          <w:rStyle w:val="Style1Char"/>
          <w:rFonts w:hint="cs"/>
          <w:rtl/>
        </w:rPr>
        <w:t>(4)</w:t>
      </w:r>
      <w:r w:rsidRPr="00D472A2">
        <w:rPr>
          <w:rStyle w:val="Style1Char"/>
          <w:color w:val="auto"/>
          <w:sz w:val="22"/>
          <w:szCs w:val="22"/>
          <w:rtl/>
        </w:rPr>
        <w:t xml:space="preserve">כתב לה נדר ושבועה אין לי עליך - אין יכול להשביעה, </w:t>
      </w:r>
      <w:r w:rsidR="00C53C99">
        <w:rPr>
          <w:rStyle w:val="Style1Char"/>
          <w:rFonts w:hint="cs"/>
          <w:rtl/>
        </w:rPr>
        <w:t>(4)</w:t>
      </w:r>
      <w:r w:rsidRPr="00D472A2">
        <w:rPr>
          <w:rStyle w:val="Style1Char"/>
          <w:color w:val="auto"/>
          <w:sz w:val="22"/>
          <w:szCs w:val="22"/>
          <w:rtl/>
        </w:rPr>
        <w:t xml:space="preserve">אבל משביע הוא את יורשיה ואת הבאים ברשותה. </w:t>
      </w:r>
      <w:r w:rsidR="00C53C99">
        <w:rPr>
          <w:rStyle w:val="Style1Char"/>
          <w:rFonts w:hint="cs"/>
          <w:rtl/>
        </w:rPr>
        <w:t>(</w:t>
      </w:r>
      <w:r w:rsidR="00260FEA">
        <w:rPr>
          <w:rStyle w:val="Style1Char"/>
          <w:rFonts w:hint="cs"/>
          <w:rtl/>
        </w:rPr>
        <w:t>4.</w:t>
      </w:r>
      <w:r w:rsidR="00AD5512">
        <w:rPr>
          <w:rStyle w:val="Style1Char"/>
          <w:rFonts w:hint="cs"/>
          <w:rtl/>
        </w:rPr>
        <w:t>6</w:t>
      </w:r>
      <w:r w:rsidR="00260FEA">
        <w:rPr>
          <w:rStyle w:val="Style1Char"/>
          <w:rFonts w:hint="cs"/>
          <w:rtl/>
        </w:rPr>
        <w:t>, 5</w:t>
      </w:r>
      <w:r w:rsidR="00C53C99">
        <w:rPr>
          <w:rStyle w:val="Style1Char"/>
          <w:rFonts w:hint="cs"/>
          <w:rtl/>
        </w:rPr>
        <w:t>)</w:t>
      </w:r>
      <w:r w:rsidRPr="00D472A2">
        <w:rPr>
          <w:rStyle w:val="Style1Char"/>
          <w:color w:val="auto"/>
          <w:sz w:val="22"/>
          <w:szCs w:val="22"/>
          <w:rtl/>
        </w:rPr>
        <w:t xml:space="preserve">נדר ושבועה אין לי עליך ועל יורשיך ועל הבאים ברשותך - אינו יכול להשביעה לא היא ולא יורשיה ולא את הבאים ברשותה, אבל יורשיו משביעין אותה ואת יורשיה ואת הבאים ברשותה. 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 </w:t>
      </w:r>
      <w:r w:rsidR="00AD5512">
        <w:rPr>
          <w:rStyle w:val="Style1Char"/>
          <w:rFonts w:hint="cs"/>
          <w:rtl/>
        </w:rPr>
        <w:t>(3, 5.3)</w:t>
      </w:r>
      <w:r w:rsidRPr="00D472A2">
        <w:rPr>
          <w:rStyle w:val="Style1Char"/>
          <w:color w:val="auto"/>
          <w:sz w:val="22"/>
          <w:szCs w:val="22"/>
          <w:rtl/>
        </w:rPr>
        <w:t>הלכה מקבר בעלה לבית אביה, או שחזרה לבית חמיה ולא נעשית אפוטרופיא - אין היורשין משביעין אותה, ואם נעשית אפוטרופיא - היורשין משביעין אותה על העתיד לבא, ואין משביעין אותה על מה שעבר.</w:t>
      </w:r>
      <w:r w:rsidRPr="00D472A2">
        <w:rPr>
          <w:rStyle w:val="Style1Char"/>
          <w:color w:val="auto"/>
          <w:rtl/>
        </w:rPr>
        <w:t xml:space="preserve"> </w:t>
      </w:r>
      <w:r w:rsidRPr="00131398">
        <w:rPr>
          <w:rStyle w:val="Style1Char"/>
          <w:color w:val="806000" w:themeColor="accent4" w:themeShade="80"/>
          <w:sz w:val="22"/>
          <w:szCs w:val="22"/>
          <w:rtl/>
        </w:rPr>
        <w:t>תוספתא</w:t>
      </w:r>
      <w:r w:rsidRPr="00E53B77">
        <w:rPr>
          <w:rStyle w:val="Style1Char"/>
          <w:color w:val="4472C4" w:themeColor="accent1"/>
          <w:rtl/>
        </w:rPr>
        <w:t xml:space="preserve">(פ"ט) </w:t>
      </w:r>
      <w:r w:rsidRPr="00131398">
        <w:rPr>
          <w:rStyle w:val="Style1Char"/>
          <w:color w:val="806000" w:themeColor="accent4" w:themeShade="80"/>
          <w:sz w:val="22"/>
          <w:szCs w:val="22"/>
          <w:rtl/>
        </w:rPr>
        <w:t xml:space="preserve"> אלו הן הבאים ברשותה כל שמכרה או נתנה להם במתנה</w:t>
      </w:r>
      <w:r w:rsidRPr="00131398">
        <w:rPr>
          <w:rStyle w:val="Style1Char"/>
          <w:color w:val="806000" w:themeColor="accent4" w:themeShade="80"/>
          <w:sz w:val="22"/>
          <w:szCs w:val="22"/>
        </w:rPr>
        <w:t>:</w:t>
      </w:r>
      <w:r>
        <w:rPr>
          <w:rStyle w:val="Style1Char"/>
          <w:color w:val="806000" w:themeColor="accent4" w:themeShade="80"/>
          <w:sz w:val="22"/>
          <w:szCs w:val="22"/>
        </w:rPr>
        <w:t xml:space="preserve"> </w:t>
      </w:r>
      <w:r w:rsidRPr="00E53B77">
        <w:rPr>
          <w:rStyle w:val="Style1Char"/>
          <w:color w:val="4472C4" w:themeColor="accent1"/>
          <w:rtl/>
        </w:rPr>
        <w:t>פירש רש"י שאם מכרה כתובתה ונתגרשה ומתה נשבעין הלקוחות שאינן יודעין שהיא נתפרעה מכתובתה</w:t>
      </w:r>
      <w:r>
        <w:rPr>
          <w:rStyle w:val="Style1Char"/>
          <w:rFonts w:hint="cs"/>
          <w:color w:val="4472C4" w:themeColor="accent1"/>
        </w:rPr>
        <w:t>‍</w:t>
      </w:r>
      <w:r w:rsidRPr="00E53B77">
        <w:rPr>
          <w:rStyle w:val="Style1Char"/>
          <w:color w:val="4472C4" w:themeColor="accent1"/>
          <w:rtl/>
        </w:rPr>
        <w:t xml:space="preserve"> ומשמע שאם היא חיה שאין הלקוחות גובין עד שתשבע היא בעצמה אם אינה רוצה לישבע</w:t>
      </w:r>
      <w:r>
        <w:rPr>
          <w:rStyle w:val="Style1Char"/>
          <w:rFonts w:hint="cs"/>
          <w:color w:val="4472C4" w:themeColor="accent1"/>
        </w:rPr>
        <w:t>‍</w:t>
      </w:r>
      <w:r w:rsidRPr="00E53B77">
        <w:rPr>
          <w:rStyle w:val="Style1Char"/>
          <w:color w:val="4472C4" w:themeColor="accent1"/>
          <w:rtl/>
        </w:rPr>
        <w:t xml:space="preserve"> יפסידו הלקוחות</w:t>
      </w:r>
      <w:r>
        <w:rPr>
          <w:rStyle w:val="Style1Char"/>
          <w:rFonts w:hint="cs"/>
          <w:color w:val="4472C4" w:themeColor="accent1"/>
        </w:rPr>
        <w:t>‍</w:t>
      </w:r>
      <w:r w:rsidRPr="00E53B77">
        <w:rPr>
          <w:rStyle w:val="Style1Char"/>
          <w:color w:val="4472C4" w:themeColor="accent1"/>
          <w:rtl/>
        </w:rPr>
        <w:t xml:space="preserve"> וכן מסתבר</w:t>
      </w:r>
      <w:r w:rsidRPr="00E53B77">
        <w:rPr>
          <w:rStyle w:val="Style1Char"/>
          <w:color w:val="4472C4" w:themeColor="accent1"/>
        </w:rPr>
        <w:t>:</w:t>
      </w:r>
    </w:p>
    <w:p w14:paraId="10E652BC" w14:textId="6E0A4E2C" w:rsidR="00C369CA" w:rsidRDefault="00C369CA" w:rsidP="00C369CA">
      <w:pPr>
        <w:bidi/>
        <w:rPr>
          <w:rStyle w:val="Style1Char"/>
          <w:sz w:val="22"/>
          <w:szCs w:val="22"/>
          <w:rtl/>
        </w:rPr>
      </w:pPr>
      <w:r w:rsidRPr="00945140">
        <w:rPr>
          <w:rStyle w:val="Style1Char"/>
          <w:color w:val="auto"/>
          <w:sz w:val="22"/>
          <w:szCs w:val="22"/>
          <w:rtl/>
        </w:rPr>
        <w:t>גמ'.</w:t>
      </w:r>
      <w:r w:rsidRPr="00DC00D6">
        <w:rPr>
          <w:rStyle w:val="BalloonTextChar"/>
          <w:rFonts w:asciiTheme="minorHAnsi" w:hAnsiTheme="minorHAnsi" w:cs="Arial"/>
          <w:color w:val="C00000"/>
          <w:rtl/>
        </w:rPr>
        <w:t xml:space="preserve"> </w:t>
      </w:r>
      <w:r w:rsidRPr="00945140">
        <w:rPr>
          <w:rStyle w:val="Style1Char"/>
          <w:color w:val="806000" w:themeColor="accent4" w:themeShade="80"/>
          <w:sz w:val="22"/>
          <w:szCs w:val="22"/>
          <w:rtl/>
        </w:rPr>
        <w:t>כתב לה נדר ושבועה אין לי עליך</w:t>
      </w:r>
      <w:r w:rsidRPr="00945140">
        <w:rPr>
          <w:rStyle w:val="Style1Char"/>
          <w:color w:val="806000" w:themeColor="accent4" w:themeShade="80"/>
          <w:sz w:val="32"/>
          <w:szCs w:val="32"/>
          <w:rtl/>
        </w:rPr>
        <w:t xml:space="preserve"> </w:t>
      </w:r>
      <w:r w:rsidRPr="00945140">
        <w:rPr>
          <w:rStyle w:val="Style1Char"/>
          <w:color w:val="auto"/>
          <w:sz w:val="22"/>
          <w:szCs w:val="22"/>
          <w:rtl/>
        </w:rPr>
        <w:t xml:space="preserve">שבועה מאי עבידתה? </w:t>
      </w:r>
      <w:r w:rsidRPr="00681B60">
        <w:rPr>
          <w:rStyle w:val="Style1Char"/>
          <w:sz w:val="22"/>
          <w:szCs w:val="22"/>
          <w:rtl/>
        </w:rPr>
        <w:t xml:space="preserve">אמר רב יהודה אמר רב: </w:t>
      </w:r>
    </w:p>
    <w:p w14:paraId="1C65E98B" w14:textId="5601FA66" w:rsidR="0085390A" w:rsidRDefault="003D2316" w:rsidP="003D2316">
      <w:pPr>
        <w:pStyle w:val="Style1"/>
        <w:rPr>
          <w:rStyle w:val="Style1Char"/>
          <w:rtl/>
        </w:rPr>
      </w:pPr>
      <w:r>
        <w:rPr>
          <w:rStyle w:val="Style1Char"/>
          <w:rFonts w:hint="cs"/>
          <w:rtl/>
        </w:rPr>
        <w:t>1)[</w:t>
      </w:r>
      <w:r w:rsidR="0085390A" w:rsidRPr="0085390A">
        <w:rPr>
          <w:rStyle w:val="Style1Char"/>
          <w:rtl/>
        </w:rPr>
        <w:t>רמב</w:t>
      </w:r>
      <w:r w:rsidR="00213DA1">
        <w:rPr>
          <w:rStyle w:val="Style1Char"/>
          <w:rtl/>
        </w:rPr>
        <w:t>”ם \נשים\</w:t>
      </w:r>
      <w:r w:rsidR="0085390A" w:rsidRPr="0085390A">
        <w:rPr>
          <w:rStyle w:val="Style1Char"/>
          <w:rtl/>
        </w:rPr>
        <w:t xml:space="preserve"> הלכות גירושין פרק ט הלכה ג</w:t>
      </w:r>
      <w:r>
        <w:rPr>
          <w:rStyle w:val="Style1Char"/>
          <w:rFonts w:hint="cs"/>
          <w:rtl/>
        </w:rPr>
        <w:t xml:space="preserve">] </w:t>
      </w:r>
      <w:r w:rsidR="0085390A" w:rsidRPr="0085390A">
        <w:rPr>
          <w:rStyle w:val="Style1Char"/>
          <w:rtl/>
        </w:rPr>
        <w:t>הלכה והניחתו בצדי רשות הרבים ונגנב או אבד משם לאחר שלשים יום הרי זו מגורשת הואיל והיה הגט קיים ביום שהיא מתגרשת בו וייחדה אותו במקום שאינו רשות הרבים, שצדי רשות הרבים אינן כרשות הרבים.</w:t>
      </w:r>
    </w:p>
    <w:p w14:paraId="30633C6F" w14:textId="0138A2AE" w:rsidR="003D2316" w:rsidRDefault="003D2316" w:rsidP="003D2316">
      <w:pPr>
        <w:pStyle w:val="Style1"/>
        <w:rPr>
          <w:rtl/>
        </w:rPr>
      </w:pPr>
      <w:r>
        <w:rPr>
          <w:rStyle w:val="Style1Char"/>
          <w:rFonts w:hint="cs"/>
          <w:rtl/>
        </w:rPr>
        <w:t>1)[</w:t>
      </w:r>
      <w:r w:rsidRPr="003D2316">
        <w:rPr>
          <w:rStyle w:val="Style1Char"/>
          <w:rtl/>
        </w:rPr>
        <w:t>שולחן ערוך אבן העזר הלכות גיטין סימן קמו סעיף ב</w:t>
      </w:r>
      <w:r>
        <w:rPr>
          <w:rStyle w:val="Style1Char"/>
          <w:rFonts w:hint="cs"/>
          <w:rtl/>
        </w:rPr>
        <w:t xml:space="preserve">] </w:t>
      </w:r>
      <w:r w:rsidRPr="003D2316">
        <w:rPr>
          <w:rtl/>
        </w:rPr>
        <w:t xml:space="preserve">הלכה והניחתו בצדי רשות הרבים, ונגנב או אבד לאחר שלשים יום, הרי זו מגרשת, הואיל והיה הגט קים ביום שמתגרשת בו, ויחדה אותו במקום שאינו רשות הרבים, שצדי רשות הרבים אינם כרשות הרבים. וכן אם תלה הגרושין במעשה, דינו כדין מגרש אחר זמן. כיצד, כגון שאמר לאשה: הרי זה גטך ולא תתגרשי בו עד שתתני לי מאתים זוז, הרי זו מתגרשת אחר שתתן, ואינו צריך לכפל התנאי ולא לשאר משפטי התנאים, שהרי לא גרש על תנאי, אלא עדין לא גרש זה, אלא תלה הגרושין בעשיה כך וכך ואחר כך תתגרש. ומה בין מגרש על תנאי, לזה שקבע זמן לגרושין או תלאן במעשה, שהמגרש על תנאי יש שם גרושין, ואינם גומרים עד שיתקים התנאי; לפיכך, כשיתקים התנאי, נתגרשה, אם היה הגט קים, אף על פי שאינה ברשותה, ואינה צריכה לחזר ולטלו או להיותה ברשותה אחר שנתקים התנאי, שהרי הגיע לידה תחלה בתורת גרושין. אבל התולה הגרושין בזמן או במעשה, לא הגיע לידה בתורת גרושין אלא בתורת פקדון עד הזמן שקבע או עד שתעשה המעשה; לפיכך, </w:t>
      </w:r>
      <w:r w:rsidRPr="003D2316">
        <w:rPr>
          <w:rtl/>
        </w:rPr>
        <w:lastRenderedPageBreak/>
        <w:t>כשהגיע הזמן צריך להיות הגט ברשותה, או תחזר ותטלנו, או יהיה במקום שיחדה אותו בו אף על פי שאינו רשותה, כמו שבארנו, ואחר כך תתגרש בו. ואם נשאת קדם הזמן שקבע, או קדם שתעשה המעשה שתלה בו הגרושין, תצא והולד ממנו ממזר, שעדין היא אשת איש גמורה ואין כאן שם גרושין</w:t>
      </w:r>
      <w:r w:rsidRPr="003D2316">
        <w:t>:</w:t>
      </w:r>
    </w:p>
    <w:p w14:paraId="74C596F1" w14:textId="330CE22B" w:rsidR="00F117EC" w:rsidRDefault="00F117EC" w:rsidP="00F117EC">
      <w:pPr>
        <w:pStyle w:val="Style1"/>
        <w:rPr>
          <w:rStyle w:val="Style1Char"/>
          <w:rtl/>
        </w:rPr>
      </w:pPr>
      <w:r>
        <w:rPr>
          <w:rStyle w:val="Style1Char"/>
          <w:rFonts w:hint="cs"/>
          <w:rtl/>
        </w:rPr>
        <w:t>2)[</w:t>
      </w:r>
      <w:r w:rsidRPr="00F117EC">
        <w:rPr>
          <w:rStyle w:val="Style1Char"/>
          <w:rtl/>
        </w:rPr>
        <w:t>רמב</w:t>
      </w:r>
      <w:r w:rsidR="00736FB6">
        <w:rPr>
          <w:rStyle w:val="Style1Char"/>
          <w:rtl/>
        </w:rPr>
        <w:t>”ם \קניין\</w:t>
      </w:r>
      <w:r w:rsidRPr="00F117EC">
        <w:rPr>
          <w:rStyle w:val="Style1Char"/>
          <w:rtl/>
        </w:rPr>
        <w:t xml:space="preserve"> הלכות שלוחין ושותפין פרק ט הלכה א</w:t>
      </w:r>
      <w:r>
        <w:rPr>
          <w:rStyle w:val="Style1Char"/>
          <w:rFonts w:hint="cs"/>
          <w:rtl/>
        </w:rPr>
        <w:t xml:space="preserve">] </w:t>
      </w:r>
      <w:r w:rsidRPr="00F117EC">
        <w:rPr>
          <w:rStyle w:val="Style1Char"/>
          <w:rtl/>
        </w:rPr>
        <w:t>השותפין כולן והאריסין והאפוטרופין שמינו אותם ב"ד על היתומים והאשה שהיא נושאת ונותנת בתוך הבית או שהושיבה בעלה חנוונית ובן הבית כל אחד מאלו נשבע מדבריהם בטענת ספק שמא גזל חבירו במשא ומתן או שמא לא דקדק בחשבון שביניהם, ולמה תקנו חכמים שבועה זו מפני שאלו מורין לעצמן שכל מה שיקחו מנכסי בעל המעות ראוי הוא להם מפני שנושאין ונותנין וטורחין, לפיכך תקנו להם חכמים שחייבין שבועה בטענת ספק כדי שיעשו כל מעשיהן בצדק ואמונה.</w:t>
      </w:r>
    </w:p>
    <w:p w14:paraId="15D2746E" w14:textId="7DDA0159" w:rsidR="00F117EC" w:rsidRDefault="00F117EC" w:rsidP="00F117EC">
      <w:pPr>
        <w:pStyle w:val="Style1"/>
        <w:rPr>
          <w:rtl/>
        </w:rPr>
      </w:pPr>
      <w:r>
        <w:rPr>
          <w:rStyle w:val="Style1Char"/>
          <w:rFonts w:hint="cs"/>
          <w:rtl/>
        </w:rPr>
        <w:t>2)[</w:t>
      </w:r>
      <w:r w:rsidRPr="00F117EC">
        <w:rPr>
          <w:rStyle w:val="Style1Char"/>
          <w:rtl/>
        </w:rPr>
        <w:t>שולחן ערוך אבן העזר הלכות כתובות סימן צז סעיף א</w:t>
      </w:r>
      <w:r>
        <w:rPr>
          <w:rStyle w:val="Style1Char"/>
          <w:rFonts w:hint="cs"/>
          <w:rtl/>
        </w:rPr>
        <w:t xml:space="preserve">] </w:t>
      </w:r>
      <w:r w:rsidRPr="00F117EC">
        <w:rPr>
          <w:rtl/>
        </w:rPr>
        <w:t>המושיב אשתו חנונית, או שמינה אפוטרופוס -- משביעה אפילו בטענת שמא של שתי כסף. אבל אם אינה נושאת ונותנת, אלא שמתעסקת בצרכי הבית בפלכה ובעיסתה כדרך כל הנשים -- אינו יכול להשביעה בטענת שמא</w:t>
      </w:r>
      <w:r w:rsidRPr="00F117EC">
        <w:t>:</w:t>
      </w:r>
    </w:p>
    <w:p w14:paraId="7440D1FF" w14:textId="3BC4B3EE" w:rsidR="00F117EC" w:rsidRPr="00F117EC" w:rsidRDefault="00F117EC" w:rsidP="00F117EC">
      <w:pPr>
        <w:pStyle w:val="Style1"/>
      </w:pPr>
      <w:r>
        <w:rPr>
          <w:rStyle w:val="Style1Char"/>
          <w:rFonts w:hint="cs"/>
          <w:rtl/>
        </w:rPr>
        <w:t>2)[</w:t>
      </w:r>
      <w:r w:rsidRPr="00F117EC">
        <w:rPr>
          <w:rStyle w:val="Style1Char"/>
          <w:rtl/>
        </w:rPr>
        <w:t>שולחן ערוך אבן העזר הלכות כתובות סימן צז סעיף ב</w:t>
      </w:r>
      <w:r>
        <w:rPr>
          <w:rStyle w:val="Style1Char"/>
          <w:rFonts w:hint="cs"/>
          <w:rtl/>
        </w:rPr>
        <w:t>]</w:t>
      </w:r>
      <w:r w:rsidRPr="00F117EC">
        <w:rPr>
          <w:rtl/>
        </w:rPr>
        <w:t xml:space="preserve"> המושיב אשתו חנונית או שמינה אפוטרופא -- אינו יכול להשביעה עד שתתבע כתובתה. ויש אומרים שמשביעה כל זמן שירצה</w:t>
      </w:r>
      <w:r w:rsidRPr="00F117EC">
        <w:t>.</w:t>
      </w:r>
    </w:p>
    <w:p w14:paraId="75C50EC9" w14:textId="332D9044" w:rsidR="00F117EC" w:rsidRDefault="00F117EC" w:rsidP="00F117EC">
      <w:pPr>
        <w:pStyle w:val="Style1"/>
        <w:rPr>
          <w:rtl/>
        </w:rPr>
      </w:pPr>
      <w:r w:rsidRPr="00F117EC">
        <w:rPr>
          <w:rFonts w:hint="cs"/>
          <w:rtl/>
        </w:rPr>
        <w:t>יחד לה קרקע בכתובתה, אף על פי שבאתה לגבות כתובתה לא מקרי תובעת כתובה, ואינו יכול להשביעה (מרדכי פרק הכותב) לפי סברא הראשונה</w:t>
      </w:r>
      <w:r w:rsidRPr="00F117EC">
        <w:t>:</w:t>
      </w:r>
    </w:p>
    <w:p w14:paraId="4C629169" w14:textId="347418D4" w:rsidR="000E1CC8" w:rsidRPr="000E1CC8" w:rsidRDefault="00F117EC" w:rsidP="000E1CC8">
      <w:pPr>
        <w:pStyle w:val="Style1"/>
      </w:pPr>
      <w:r>
        <w:rPr>
          <w:rFonts w:hint="cs"/>
          <w:rtl/>
        </w:rPr>
        <w:t>2)[</w:t>
      </w:r>
      <w:r>
        <w:rPr>
          <w:rtl/>
        </w:rPr>
        <w:t>שולחן ערוך חושן משפט הלכות טוען ונטען סימן צג סעיף א</w:t>
      </w:r>
      <w:r>
        <w:rPr>
          <w:rFonts w:hint="cs"/>
          <w:rtl/>
        </w:rPr>
        <w:t>]</w:t>
      </w:r>
      <w:r w:rsidR="000E1CC8">
        <w:rPr>
          <w:rFonts w:hint="cs"/>
          <w:rtl/>
        </w:rPr>
        <w:t xml:space="preserve"> </w:t>
      </w:r>
      <w:r w:rsidR="000E1CC8" w:rsidRPr="000E1CC8">
        <w:rPr>
          <w:rtl/>
        </w:rPr>
        <w:t>אלו נשבעים בטענת שמא השותפים והאריסים והאפוטרופסים שמינו אותם ב"ד על היתומים והאשה שהיא נושאת ונותנת בתוך הבית או שהושיבה בעלה חנונית ובן הבית שהוא נושא ונותן בענייני בעל הבית כל אחד מאלו נשבע מדבריהם בנקיטת חפץ בטענת ספק שמא גזל חבירו במשא ומתן או שמא לא דקדק בחשבון שביניהם ואין כל אחד מאלו נשבע בטענת ספק עד שיחשוד המשביע אותן בשתי מעין כסף</w:t>
      </w:r>
      <w:r w:rsidR="000E1CC8" w:rsidRPr="000E1CC8">
        <w:t>:</w:t>
      </w:r>
    </w:p>
    <w:p w14:paraId="7C71412F" w14:textId="64E9495E" w:rsidR="000E1CC8" w:rsidRDefault="000E1CC8" w:rsidP="000E1CC8">
      <w:pPr>
        <w:pStyle w:val="Style1"/>
        <w:rPr>
          <w:rtl/>
        </w:rPr>
      </w:pPr>
      <w:r w:rsidRPr="000E1CC8">
        <w:rPr>
          <w:rFonts w:hint="cs"/>
          <w:rtl/>
        </w:rPr>
        <w:t>הגה: בין בקרן בין בריוח (הגהות מרדכי פ' כל הנשבעין) וכל אלו יכולין להשביע אימת שירצה ואינן צריכין להמתין עד שיחלוקו וישביעם לבסוף (הרא"ש פ' אלמנה ניזונית)</w:t>
      </w:r>
      <w:r w:rsidRPr="000E1CC8">
        <w:t>:</w:t>
      </w:r>
    </w:p>
    <w:p w14:paraId="64B07882" w14:textId="0359FBA1" w:rsidR="000E1CC8" w:rsidRDefault="000E1CC8" w:rsidP="000E1CC8">
      <w:pPr>
        <w:pStyle w:val="Style1"/>
        <w:rPr>
          <w:rtl/>
        </w:rPr>
      </w:pPr>
      <w:r>
        <w:rPr>
          <w:rFonts w:hint="cs"/>
          <w:rtl/>
        </w:rPr>
        <w:t>3)[</w:t>
      </w:r>
      <w:r>
        <w:rPr>
          <w:rtl/>
        </w:rPr>
        <w:t>רמב</w:t>
      </w:r>
      <w:r w:rsidR="00736FB6">
        <w:rPr>
          <w:rtl/>
        </w:rPr>
        <w:t>”ם \קניין\</w:t>
      </w:r>
      <w:r>
        <w:rPr>
          <w:rtl/>
        </w:rPr>
        <w:t xml:space="preserve"> הלכות שלוחין ושותפין פרק ט הלכה ד</w:t>
      </w:r>
      <w:r>
        <w:rPr>
          <w:rFonts w:hint="cs"/>
          <w:rtl/>
        </w:rPr>
        <w:t xml:space="preserve">] </w:t>
      </w:r>
      <w:r>
        <w:rPr>
          <w:rtl/>
        </w:rPr>
        <w:t>אף על פי שאין שם עדים שזה אריסו או שותפו אלא הוא מודה מפי עצמו ואמר שותפו או אריסו או בן ביתו אני אבל לא גזלתי כלום הרי זה נשבע בנקיטת חפץ שאין אומרים מיגו לפוטרו שבועה אלא לפוטרו ממון, איזהו בן הבית שיש לו להשביע בטענת ספק זה שמכניס פועלים ומוציא פועלים ומכניס לו פירות ומוציא לו פירות אבל בן הבית שאינו נושא ונותן אלא נכנס ברגלו ויוצא בלבד אינו יכול להשביע מספק, וכן אפוטרופוס שמינהו אבי יתומים אין היתומים משביעין אותו בטענת ספק, וכן האשה שלא נעשת אפוטרופא בחיי בעלה ולא נשאה ולא נתנה לאחר קבורת בעלה אין משביעין אותה מספק, וכן אם נשאה ונתנה בין מיתה וקבורה אין משביעין על זה שנשתמש בין מיתה לקבורה שאם אתה אומר שתשבע על זה לא תמכור לקבורה ונמצא המת מתנוול.</w:t>
      </w:r>
    </w:p>
    <w:p w14:paraId="03A3731F" w14:textId="7C79004C" w:rsidR="00574B02" w:rsidRDefault="00574B02" w:rsidP="00574B02">
      <w:pPr>
        <w:pStyle w:val="Style1"/>
        <w:rPr>
          <w:rtl/>
        </w:rPr>
      </w:pPr>
      <w:r>
        <w:rPr>
          <w:rFonts w:hint="cs"/>
          <w:rtl/>
        </w:rPr>
        <w:t>4)[</w:t>
      </w:r>
      <w:r>
        <w:rPr>
          <w:rtl/>
        </w:rPr>
        <w:t>רמב</w:t>
      </w:r>
      <w:r w:rsidR="00213DA1">
        <w:rPr>
          <w:rtl/>
        </w:rPr>
        <w:t>”ם \נשים\</w:t>
      </w:r>
      <w:r>
        <w:rPr>
          <w:rtl/>
        </w:rPr>
        <w:t xml:space="preserve"> הלכות אישות פרק טז הלכה יט</w:t>
      </w:r>
      <w:r>
        <w:rPr>
          <w:rFonts w:hint="cs"/>
          <w:rtl/>
        </w:rPr>
        <w:t xml:space="preserve">] </w:t>
      </w:r>
      <w:r>
        <w:rPr>
          <w:rtl/>
        </w:rPr>
        <w:t>אמר הבעל מעצמו תשבע לי על טענתי אומרין לה השבעי וטלי ותשבע בנקיטת חפץ. התנה עמה שתגבה כתובתה בלא שבועה או שתהיה נאמנת בכל מה שתטעון גובה ממנו בלא שבועה כלל, אבל אם באה לגבות מיורשיו תשבע ואחר כך תטול.</w:t>
      </w:r>
    </w:p>
    <w:p w14:paraId="083412FA" w14:textId="6C68BB65" w:rsidR="00574B02" w:rsidRDefault="00574B02" w:rsidP="00574B02">
      <w:pPr>
        <w:pStyle w:val="Style1"/>
        <w:rPr>
          <w:rtl/>
        </w:rPr>
      </w:pPr>
      <w:r>
        <w:rPr>
          <w:rFonts w:hint="cs"/>
          <w:rtl/>
        </w:rPr>
        <w:t>4)[</w:t>
      </w:r>
      <w:r>
        <w:rPr>
          <w:rtl/>
        </w:rPr>
        <w:t>רמב</w:t>
      </w:r>
      <w:r w:rsidR="0057095E">
        <w:rPr>
          <w:rtl/>
        </w:rPr>
        <w:t>”ם \משפטים\</w:t>
      </w:r>
      <w:r>
        <w:rPr>
          <w:rtl/>
        </w:rPr>
        <w:t xml:space="preserve"> הלכות מלוה ולוה פרק טו הלכה ז</w:t>
      </w:r>
      <w:r>
        <w:rPr>
          <w:rFonts w:hint="cs"/>
          <w:rtl/>
        </w:rPr>
        <w:t xml:space="preserve">] </w:t>
      </w:r>
      <w:r>
        <w:rPr>
          <w:rtl/>
        </w:rPr>
        <w:t>התנה המלוה שיהיה גובה בלא שבועה ה"ז גובה ממנו בלא שבועה, אבל אם בא לגבות מיורשיו ישבע ואחר כך יגבה, ואם התנה שיגבה אף מן היורש בלא שבועה גובה בלא שבועה, וכן אם התנה שיגבה מן העידית גובה מן העידית אף מן היורשין שכל תנאי שבממון קיים, בא לגבות מן הלוקח לא יטרוף אלא בשבועה שאין זה מתנה לאבד ממון חבירו. /השגת הראב"ד/ התנה המלוה שיהיה גובה וכו' עד לאבד ממון חבירו. א"א אלו הם דברי הרב ז"ל ולא הסכמנו עמו ויש לנו ראיות גדולות לדברינו שמאחר שהם לקחו ממנו אחר התנאי אינהו הוא דאפסידו אנפשייהו.</w:t>
      </w:r>
    </w:p>
    <w:p w14:paraId="137AC0D8" w14:textId="68938CD7" w:rsidR="00574B02" w:rsidRPr="00574B02" w:rsidRDefault="00574B02" w:rsidP="00574B02">
      <w:pPr>
        <w:pStyle w:val="Style1"/>
      </w:pPr>
      <w:r>
        <w:rPr>
          <w:rFonts w:hint="cs"/>
          <w:rtl/>
        </w:rPr>
        <w:t>4)[</w:t>
      </w:r>
      <w:r>
        <w:rPr>
          <w:rtl/>
        </w:rPr>
        <w:t>שולחן ערוך אבן העזר הלכות כתובות סימן צח סעיף א</w:t>
      </w:r>
      <w:r>
        <w:rPr>
          <w:rFonts w:hint="cs"/>
          <w:rtl/>
        </w:rPr>
        <w:t xml:space="preserve">] </w:t>
      </w:r>
      <w:r w:rsidRPr="00574B02">
        <w:rPr>
          <w:rtl/>
        </w:rPr>
        <w:t>אם פטרה הבעל משבועה, גובה כתובתה בלא שבועה. וכפי לשון הפטור היא נפטרת. כיצד, כתב: נדר ושבועה אין לי עליך, אינו יכול להשביעה שום שבועה; אבל משביע את יורשיה, אם גרשה ומתה יורשיה נשבעים שבועת היורשים; ואת הבאים ברשותה, כגון אם מכרה כתובתה לאחרים ונתגרשה ומתה, והלקוחות תובעים כתובתה, נשבעים: שלא פקדתנו. ואם היא עדיין קיימת, לא יגבו הלקוחות אלא אם כן תשבע היא שלא נפרעה</w:t>
      </w:r>
      <w:r w:rsidRPr="00574B02">
        <w:t>.</w:t>
      </w:r>
    </w:p>
    <w:p w14:paraId="6744DA7C" w14:textId="7F8EFF8D" w:rsidR="00574B02" w:rsidRDefault="00574B02" w:rsidP="00574B02">
      <w:pPr>
        <w:pStyle w:val="Style1"/>
        <w:rPr>
          <w:rtl/>
        </w:rPr>
      </w:pPr>
      <w:r w:rsidRPr="00574B02">
        <w:rPr>
          <w:rFonts w:hint="cs"/>
          <w:rtl/>
        </w:rPr>
        <w:t>הגה: ועיין לקמן </w:t>
      </w:r>
      <w:hyperlink r:id="rId229" w:tooltip="שולחן ערוך אבן העזר קה" w:history="1">
        <w:r w:rsidRPr="00574B02">
          <w:rPr>
            <w:rStyle w:val="Hyperlink"/>
            <w:rFonts w:hint="cs"/>
            <w:color w:val="7030A0"/>
            <w:u w:val="none"/>
            <w:rtl/>
          </w:rPr>
          <w:t>סימן ק"ה</w:t>
        </w:r>
      </w:hyperlink>
      <w:r w:rsidRPr="00574B02">
        <w:rPr>
          <w:rFonts w:hint="cs"/>
        </w:rPr>
        <w:t xml:space="preserve">. </w:t>
      </w:r>
      <w:r w:rsidRPr="00574B02">
        <w:rPr>
          <w:rFonts w:hint="cs"/>
          <w:rtl/>
        </w:rPr>
        <w:t>פטר אשתו בשעת מיתתו מן השבועה, נוטלת כתובתה בלא שבועה. אבל אם ראו אותה אחר כך מפסדת הנכסים, צריכה לישבע (מרדכי סוף הכותב). ואם יש עדים שהפסידה או נתנה לאחרים, או שהיא מודה, צריכה לשלם ואינה נאמנת לומר שבעלה צוה לה כך (תשובת הרא"ש כלל נ'). אבל אם עשאה נאמן בפרוש על כל דבר כשני עדים, נאמנת (סברת הרב)</w:t>
      </w:r>
      <w:r w:rsidRPr="00574B02">
        <w:t>:</w:t>
      </w:r>
    </w:p>
    <w:p w14:paraId="30ED0CE0" w14:textId="3C42883A" w:rsidR="00574B02" w:rsidRDefault="00574B02" w:rsidP="00574B02">
      <w:pPr>
        <w:pStyle w:val="Style1"/>
        <w:rPr>
          <w:rtl/>
        </w:rPr>
      </w:pPr>
      <w:r>
        <w:rPr>
          <w:rFonts w:hint="cs"/>
          <w:rtl/>
        </w:rPr>
        <w:t>4)[</w:t>
      </w:r>
      <w:r>
        <w:rPr>
          <w:rtl/>
        </w:rPr>
        <w:t>שולחן ערוך אבן העזר הלכות כתובות סימן צח סעיף ב</w:t>
      </w:r>
      <w:r>
        <w:rPr>
          <w:rFonts w:hint="cs"/>
          <w:rtl/>
        </w:rPr>
        <w:t xml:space="preserve">] </w:t>
      </w:r>
      <w:r w:rsidRPr="00574B02">
        <w:rPr>
          <w:rtl/>
        </w:rPr>
        <w:t>ומשביעין גם כן יורשיה והבאים ברשותה אם פגמו הכתובה או אם נעשו אפוטרופוס, ואפילו אם נתן לה רשות למנות אפוטרופוס</w:t>
      </w:r>
      <w:r w:rsidRPr="00574B02">
        <w:t>:</w:t>
      </w:r>
    </w:p>
    <w:p w14:paraId="0063A0E5" w14:textId="1C3DFAC8" w:rsidR="00C53C99" w:rsidRPr="00C53C99" w:rsidRDefault="00574B02" w:rsidP="00C53C99">
      <w:pPr>
        <w:pStyle w:val="Style1"/>
      </w:pPr>
      <w:r>
        <w:rPr>
          <w:rFonts w:hint="cs"/>
          <w:rtl/>
        </w:rPr>
        <w:t>4)[</w:t>
      </w:r>
      <w:r>
        <w:rPr>
          <w:rtl/>
        </w:rPr>
        <w:t>שולחן ערוך חושן משפט הלכות הלואה סימן עא סעיף א</w:t>
      </w:r>
      <w:r>
        <w:rPr>
          <w:rFonts w:hint="cs"/>
          <w:rtl/>
        </w:rPr>
        <w:t>]</w:t>
      </w:r>
      <w:r w:rsidR="00C53C99">
        <w:rPr>
          <w:rFonts w:hint="cs"/>
          <w:rtl/>
        </w:rPr>
        <w:t xml:space="preserve"> </w:t>
      </w:r>
      <w:r w:rsidR="00C53C99" w:rsidRPr="00C53C99">
        <w:rPr>
          <w:rtl/>
        </w:rPr>
        <w:t>התנה המלוה עם הלוה שיהא נאמן בכל עת שיאמר שלא פרעו הרי זה נוטל בלא שבועה אע"פ שטוען שפרעו אפילו היא מלוה על פה</w:t>
      </w:r>
      <w:r w:rsidR="00C53C99" w:rsidRPr="00C53C99">
        <w:t>:</w:t>
      </w:r>
    </w:p>
    <w:p w14:paraId="09201F47" w14:textId="77777777" w:rsidR="00C53C99" w:rsidRPr="00C53C99" w:rsidRDefault="00C53C99" w:rsidP="00C53C99">
      <w:pPr>
        <w:pStyle w:val="Style1"/>
      </w:pPr>
      <w:r w:rsidRPr="00C53C99">
        <w:rPr>
          <w:rFonts w:hint="cs"/>
          <w:rtl/>
        </w:rPr>
        <w:t>הגה: ודוקא בדאיכא עדים שהאמינו עליו אבל אי ליכא עדים והלוה אומר שהאמינו ופרעו נאמן במיגו וע' לעיל </w:t>
      </w:r>
      <w:hyperlink r:id="rId230" w:tooltip="שולחן ערוך חושן משפט סט" w:history="1">
        <w:r w:rsidRPr="00C53C99">
          <w:rPr>
            <w:rStyle w:val="Hyperlink"/>
            <w:rFonts w:hint="cs"/>
            <w:color w:val="7030A0"/>
            <w:u w:val="none"/>
            <w:rtl/>
          </w:rPr>
          <w:t>סי' ס"ט</w:t>
        </w:r>
      </w:hyperlink>
      <w:r w:rsidRPr="00C53C99">
        <w:rPr>
          <w:rFonts w:hint="cs"/>
        </w:rPr>
        <w:t> </w:t>
      </w:r>
      <w:r w:rsidRPr="00C53C99">
        <w:rPr>
          <w:rFonts w:hint="cs"/>
          <w:rtl/>
        </w:rPr>
        <w:t>ס"ב</w:t>
      </w:r>
      <w:r w:rsidRPr="00C53C99">
        <w:t>:</w:t>
      </w:r>
    </w:p>
    <w:p w14:paraId="305C8F1B" w14:textId="77777777" w:rsidR="00C53C99" w:rsidRPr="00C53C99" w:rsidRDefault="00C53C99" w:rsidP="00C53C99">
      <w:pPr>
        <w:pStyle w:val="Style1"/>
      </w:pPr>
      <w:r w:rsidRPr="00C53C99">
        <w:rPr>
          <w:rtl/>
        </w:rPr>
        <w:t>אבל אם הביא עדים שפרעו אינו נוטל כלום ואם התנה עמו שיהא המלוה נאמן כשני עדים אף על פי שהביא עדים שפרעו ה"ז גובה ממנו בלא שבועה ואפי' הביא מאה עדים שפרעו בפניהם שהשנים כמאה</w:t>
      </w:r>
      <w:r w:rsidRPr="00C53C99">
        <w:t>:</w:t>
      </w:r>
    </w:p>
    <w:p w14:paraId="69EADC62" w14:textId="77777777" w:rsidR="00C53C99" w:rsidRPr="00C53C99" w:rsidRDefault="00C53C99" w:rsidP="00C53C99">
      <w:pPr>
        <w:pStyle w:val="Style1"/>
      </w:pPr>
      <w:r w:rsidRPr="00C53C99">
        <w:rPr>
          <w:rFonts w:hint="cs"/>
          <w:rtl/>
        </w:rPr>
        <w:t>הגה: ואפילו היה ללוה מיגו והיה אפשר למיפטר עצמו בטענה אחרת לא מהימנינן ליה במיגו נגד הנאמנות שהאמין עליו (ב"י בשם הרשב"א)</w:t>
      </w:r>
      <w:r w:rsidRPr="00C53C99">
        <w:t>:</w:t>
      </w:r>
    </w:p>
    <w:p w14:paraId="72158788" w14:textId="10CA9A3C" w:rsidR="00C53C99" w:rsidRDefault="00C53C99" w:rsidP="00C53C99">
      <w:pPr>
        <w:pStyle w:val="Style1"/>
        <w:rPr>
          <w:rFonts w:ascii="Arial" w:hAnsi="Arial"/>
          <w:color w:val="202122"/>
          <w:sz w:val="21"/>
          <w:szCs w:val="21"/>
          <w:rtl/>
        </w:rPr>
      </w:pPr>
      <w:r w:rsidRPr="00C53C99">
        <w:rPr>
          <w:rtl/>
        </w:rPr>
        <w:t>אבל אם אמר לו הרי אתה נאמן עלי כשלשה הואיל וירד למנין אם פרעו בפני ארבעה הרי זה פרוע</w:t>
      </w:r>
      <w:r>
        <w:rPr>
          <w:rFonts w:ascii="Arial" w:hAnsi="Arial"/>
          <w:color w:val="202122"/>
          <w:sz w:val="21"/>
          <w:szCs w:val="21"/>
        </w:rPr>
        <w:t>.:</w:t>
      </w:r>
    </w:p>
    <w:p w14:paraId="094071D5" w14:textId="0779A56F" w:rsidR="00C53C99" w:rsidRDefault="00C53C99" w:rsidP="00C53C99">
      <w:pPr>
        <w:pStyle w:val="Style1"/>
        <w:rPr>
          <w:rtl/>
        </w:rPr>
      </w:pPr>
      <w:r>
        <w:rPr>
          <w:rFonts w:hint="cs"/>
          <w:rtl/>
        </w:rPr>
        <w:t>4)[</w:t>
      </w:r>
      <w:r w:rsidRPr="00C53C99">
        <w:rPr>
          <w:rtl/>
        </w:rPr>
        <w:t>שולחן ערוך חושן משפט הלכות הלואה סימן עא סעיף יז</w:t>
      </w:r>
      <w:r>
        <w:rPr>
          <w:rFonts w:hint="cs"/>
          <w:rtl/>
        </w:rPr>
        <w:t xml:space="preserve">] </w:t>
      </w:r>
      <w:r w:rsidRPr="00C53C99">
        <w:rPr>
          <w:rtl/>
        </w:rPr>
        <w:t>במה דברים אמורים דמהני נאמנות סתם לפטרו משבועה בעוד שהלוה חי ובא לגבות ממנו אבל אם מת ובא לגבות מיורשיו לא מהני אלא א"כ פירש שפוטרו ממנו ומיורשיו שאז גובים בלא שבועה ואם כתב תהא נאמן עלי ועל באי כחי יורשיו בכלל ומקבלי מתנה ג"כ בכלל באי כחו</w:t>
      </w:r>
      <w:r w:rsidRPr="00C53C99">
        <w:t>:</w:t>
      </w:r>
    </w:p>
    <w:p w14:paraId="60CC4E97" w14:textId="21F191EE" w:rsidR="00C53C99" w:rsidRDefault="00260FEA" w:rsidP="00260FEA">
      <w:pPr>
        <w:pStyle w:val="Style1"/>
        <w:rPr>
          <w:rtl/>
        </w:rPr>
      </w:pPr>
      <w:r>
        <w:rPr>
          <w:rFonts w:hint="cs"/>
          <w:rtl/>
        </w:rPr>
        <w:t>5)[</w:t>
      </w:r>
      <w:r w:rsidR="00C53C99">
        <w:rPr>
          <w:rtl/>
        </w:rPr>
        <w:t>רמב</w:t>
      </w:r>
      <w:r w:rsidR="00213DA1">
        <w:rPr>
          <w:rtl/>
        </w:rPr>
        <w:t>”ם \נשים\</w:t>
      </w:r>
      <w:r w:rsidR="00C53C99">
        <w:rPr>
          <w:rtl/>
        </w:rPr>
        <w:t xml:space="preserve"> הלכות אישות פרק טז הלכה כ</w:t>
      </w:r>
      <w:r>
        <w:rPr>
          <w:rFonts w:hint="cs"/>
          <w:rtl/>
        </w:rPr>
        <w:t xml:space="preserve">] </w:t>
      </w:r>
      <w:r w:rsidR="00C53C99">
        <w:rPr>
          <w:rtl/>
        </w:rPr>
        <w:t>התנה עמה שתגבה כתובתה מיורשיו בלא שבועה או שתהיה נאמנת בכל מה שתטעון על יורשיו הרי זו נוטלת מהן בלא שבועה, אבל אם באה לטרוף מנכסים משועבדים לא תטרוף אלא בשבועה ואף על פי שהאמינה הבעל, שאין תנאי הבעל מועיל אלא עליו ועל יורשיו אבל להפסיד ממון אחרים אינו מועיל. /השגת הראב"ד/ שאין תנאי הבעל מועיל אלא עליו ועל יורשיו. א"א איני מודה בזה שאם קדם הנאמנות למקח לוקח איהו דאפסיד אנפשיה.</w:t>
      </w:r>
    </w:p>
    <w:p w14:paraId="478B9F87" w14:textId="2E5F79F4" w:rsidR="00C53C99" w:rsidRDefault="00260FEA" w:rsidP="00260FEA">
      <w:pPr>
        <w:pStyle w:val="Style1"/>
        <w:rPr>
          <w:rtl/>
        </w:rPr>
      </w:pPr>
      <w:r>
        <w:rPr>
          <w:rFonts w:hint="cs"/>
          <w:rtl/>
        </w:rPr>
        <w:lastRenderedPageBreak/>
        <w:t>5)[</w:t>
      </w:r>
      <w:r>
        <w:rPr>
          <w:rtl/>
        </w:rPr>
        <w:t>שולחן ערוך אבן העזר הלכות כתובות סימן צח סעיף ג</w:t>
      </w:r>
      <w:r>
        <w:rPr>
          <w:rFonts w:hint="cs"/>
          <w:rtl/>
        </w:rPr>
        <w:t xml:space="preserve">] </w:t>
      </w:r>
      <w:r w:rsidRPr="00260FEA">
        <w:rPr>
          <w:rtl/>
        </w:rPr>
        <w:t>כתב לה: "נדר ושבועה אין לי עליך ועל יורשיך ועל הבאים ברשותך", אינו יכול להשביעה לא אותה ולא יורשיה ולא את הבאים ברשותה שום שבועה. אבל יורשיו והבאים ברשותו, כגון לקוחות שקנו ממנו, משביעים אותה ואת יורשיה ואת הבאים ברשותה, כגון אם נתגרשה ומתה; אבל אם נתאלמנה ומתה קודם שנשבעה, אין יורשיה ולא הבאים ברשותה גובין כתובתה</w:t>
      </w:r>
      <w:r w:rsidRPr="00260FEA">
        <w:t>:</w:t>
      </w:r>
    </w:p>
    <w:p w14:paraId="16FAFD15" w14:textId="22B7694A" w:rsidR="00260FEA" w:rsidRDefault="00260FEA" w:rsidP="00AD5512">
      <w:pPr>
        <w:pStyle w:val="Style1"/>
        <w:rPr>
          <w:rtl/>
        </w:rPr>
      </w:pPr>
      <w:r>
        <w:rPr>
          <w:rFonts w:hint="cs"/>
          <w:rtl/>
        </w:rPr>
        <w:t>5)[</w:t>
      </w:r>
      <w:r>
        <w:rPr>
          <w:rtl/>
        </w:rPr>
        <w:t>שולחן ערוך אבן העזר הלכות כתובות סימן צח סעיף ד</w:t>
      </w:r>
      <w:r>
        <w:rPr>
          <w:rFonts w:hint="cs"/>
          <w:rtl/>
        </w:rPr>
        <w:t xml:space="preserve">] </w:t>
      </w:r>
      <w:r w:rsidRPr="00260FEA">
        <w:rPr>
          <w:rtl/>
        </w:rPr>
        <w:t>כתב לה: "נדר ושבועה אין לי וליורשי ולא לבאים ברשותי לא עליך ולא על יורשיך ולא על הבאים ברשותך", אינו יכול להשביע לא הוא ולא יורשיו ולא הבאים ברשותו לא אותה ולא יורשיה ולא הבאים ברשותה. ואפילו פגמה היא או היורשים כתובתה או יורשים מן היורשים. אבל אם נעשית אפטרופסית לאחר מיתת הבעל, לזה אינו מועיל הפטור. אבל לאפטרופסות שנעשית בחיי בעלה, מועיל, שאפילו על ידי גלגול אינו יכול להשביעה. ויש מי שאומר, שאפילו לא פטרה אין היורשים יכולים להשביעה על אפטרופסות שנעשית בחיי בעלה</w:t>
      </w:r>
      <w:r w:rsidRPr="00260FEA">
        <w:t>:</w:t>
      </w:r>
    </w:p>
    <w:p w14:paraId="1FD63FCA" w14:textId="3B922A12" w:rsidR="00260FEA" w:rsidRPr="00260FEA" w:rsidRDefault="00260FEA" w:rsidP="00260FEA">
      <w:pPr>
        <w:pStyle w:val="Style1"/>
      </w:pPr>
    </w:p>
    <w:p w14:paraId="1B8AE291" w14:textId="77777777" w:rsidR="00C53C99" w:rsidRPr="00C53C99" w:rsidRDefault="00C53C99" w:rsidP="00C53C99">
      <w:pPr>
        <w:pStyle w:val="Style1"/>
      </w:pPr>
    </w:p>
    <w:p w14:paraId="5F70F169" w14:textId="04A60DEA" w:rsidR="00574B02" w:rsidRPr="00574B02" w:rsidRDefault="00574B02" w:rsidP="00574B02">
      <w:pPr>
        <w:pStyle w:val="Style1"/>
      </w:pPr>
    </w:p>
    <w:p w14:paraId="2BEEB032" w14:textId="3B87006B" w:rsidR="00574B02" w:rsidRPr="00574B02" w:rsidRDefault="00574B02" w:rsidP="00574B02">
      <w:pPr>
        <w:pStyle w:val="Style1"/>
      </w:pPr>
    </w:p>
    <w:p w14:paraId="6A4ED326" w14:textId="77777777" w:rsidR="00574B02" w:rsidRPr="00574B02" w:rsidRDefault="00574B02" w:rsidP="00574B02">
      <w:pPr>
        <w:pStyle w:val="Style1"/>
      </w:pPr>
    </w:p>
    <w:p w14:paraId="558A5B37" w14:textId="71E3A8C4" w:rsidR="00574B02" w:rsidRPr="000E1CC8" w:rsidRDefault="00574B02" w:rsidP="00574B02">
      <w:pPr>
        <w:pStyle w:val="Style1"/>
      </w:pPr>
    </w:p>
    <w:p w14:paraId="67F797C9" w14:textId="77777777" w:rsidR="000E1CC8" w:rsidRPr="000E1CC8" w:rsidRDefault="000E1CC8" w:rsidP="000E1CC8">
      <w:pPr>
        <w:pStyle w:val="Style1"/>
      </w:pPr>
    </w:p>
    <w:p w14:paraId="76045F56" w14:textId="4785361C" w:rsidR="00F117EC" w:rsidRPr="00F117EC" w:rsidRDefault="00F117EC" w:rsidP="00F117EC">
      <w:pPr>
        <w:pStyle w:val="Style1"/>
      </w:pPr>
    </w:p>
    <w:p w14:paraId="5EAA774C" w14:textId="23D51C33" w:rsidR="00F117EC" w:rsidRPr="00F117EC" w:rsidRDefault="00F117EC" w:rsidP="00F117EC">
      <w:pPr>
        <w:pStyle w:val="Style1"/>
        <w:rPr>
          <w:rStyle w:val="Style1Char"/>
        </w:rPr>
      </w:pPr>
    </w:p>
    <w:p w14:paraId="26554C77" w14:textId="6FBC8D41" w:rsidR="003D2316" w:rsidRPr="003D2316" w:rsidRDefault="003D2316" w:rsidP="003D2316">
      <w:pPr>
        <w:pStyle w:val="Style1"/>
        <w:rPr>
          <w:rStyle w:val="Style1Char"/>
          <w:rtl/>
        </w:rPr>
      </w:pPr>
    </w:p>
    <w:p w14:paraId="6F00B6F5" w14:textId="77777777" w:rsidR="00C369CA" w:rsidRPr="003D2316" w:rsidRDefault="00C369CA" w:rsidP="003D2316">
      <w:pPr>
        <w:pStyle w:val="Style1"/>
        <w:rPr>
          <w:rStyle w:val="Style1Char"/>
          <w:rtl/>
        </w:rPr>
      </w:pPr>
    </w:p>
    <w:p w14:paraId="0977CBD8" w14:textId="77777777" w:rsidR="00C369CA" w:rsidRPr="003D2316" w:rsidRDefault="00C369CA" w:rsidP="003D2316">
      <w:pPr>
        <w:pStyle w:val="Style1"/>
        <w:rPr>
          <w:rStyle w:val="Style1Char"/>
          <w:rtl/>
        </w:rPr>
      </w:pPr>
    </w:p>
    <w:p w14:paraId="53D3D43E" w14:textId="77777777" w:rsidR="00C369CA" w:rsidRDefault="00C369CA" w:rsidP="00C369CA">
      <w:pPr>
        <w:rPr>
          <w:rStyle w:val="Style1Char"/>
          <w:color w:val="00B050"/>
          <w:sz w:val="22"/>
          <w:szCs w:val="22"/>
          <w:rtl/>
        </w:rPr>
      </w:pPr>
      <w:r>
        <w:rPr>
          <w:rStyle w:val="Style1Char"/>
          <w:color w:val="00B050"/>
          <w:sz w:val="22"/>
          <w:szCs w:val="22"/>
          <w:rtl/>
        </w:rPr>
        <w:br w:type="page"/>
      </w:r>
    </w:p>
    <w:p w14:paraId="00821FE6" w14:textId="77777777" w:rsidR="00C369CA" w:rsidRPr="00E53B77" w:rsidRDefault="00C369CA" w:rsidP="00C369CA">
      <w:pPr>
        <w:bidi/>
        <w:rPr>
          <w:rStyle w:val="Style1Char"/>
          <w:color w:val="4472C4" w:themeColor="accent1"/>
        </w:rPr>
      </w:pPr>
      <w:r w:rsidRPr="00DC00D6">
        <w:rPr>
          <w:rStyle w:val="Style1Char"/>
          <w:sz w:val="22"/>
          <w:szCs w:val="22"/>
          <w:highlight w:val="yellow"/>
          <w:rtl/>
        </w:rPr>
        <w:lastRenderedPageBreak/>
        <w:t>[דף פז עמוד א]</w:t>
      </w:r>
      <w:r w:rsidRPr="00DC00D6">
        <w:rPr>
          <w:rStyle w:val="Style1Char"/>
          <w:sz w:val="22"/>
          <w:szCs w:val="22"/>
          <w:rtl/>
        </w:rPr>
        <w:t xml:space="preserve"> על אפוטרופיא שנעשית בחיי בעלה; </w:t>
      </w:r>
      <w:r w:rsidRPr="00D775B9">
        <w:rPr>
          <w:rStyle w:val="Style1Char"/>
          <w:rFonts w:hint="cs"/>
          <w:color w:val="4472C4" w:themeColor="accent1"/>
          <w:rtl/>
        </w:rPr>
        <w:t>אמר</w:t>
      </w:r>
      <w:r>
        <w:rPr>
          <w:rStyle w:val="Style1Char"/>
          <w:rFonts w:hint="cs"/>
          <w:color w:val="auto"/>
          <w:sz w:val="22"/>
          <w:szCs w:val="22"/>
          <w:rtl/>
        </w:rPr>
        <w:t xml:space="preserve"> רב נחמן</w:t>
      </w:r>
      <w:r w:rsidRPr="00D775B9">
        <w:rPr>
          <w:rStyle w:val="Style1Char"/>
          <w:color w:val="auto"/>
          <w:sz w:val="22"/>
          <w:szCs w:val="22"/>
          <w:rtl/>
        </w:rPr>
        <w:t xml:space="preserve"> אמר רבה בר אבוה: על הפוגמת כתובתה</w:t>
      </w:r>
      <w:r w:rsidRPr="00D775B9">
        <w:rPr>
          <w:rStyle w:val="BalloonTextChar"/>
          <w:rFonts w:asciiTheme="minorHAnsi" w:hAnsiTheme="minorHAnsi" w:cs="Arial"/>
          <w:rtl/>
        </w:rPr>
        <w:t xml:space="preserve"> </w:t>
      </w:r>
      <w:r w:rsidRPr="00D205EB">
        <w:rPr>
          <w:rStyle w:val="Style1Char"/>
          <w:color w:val="C00000"/>
          <w:rtl/>
        </w:rPr>
        <w:t>הא דאמר רב יהודה אמר רב על אפוטרופיא שנעשית בחיי בעלה אסיפא</w:t>
      </w:r>
      <w:r>
        <w:rPr>
          <w:rStyle w:val="Style1Char"/>
          <w:rFonts w:hint="cs"/>
          <w:color w:val="C00000"/>
          <w:rtl/>
        </w:rPr>
        <w:t>.</w:t>
      </w:r>
      <w:r w:rsidRPr="00EF116D">
        <w:rPr>
          <w:rStyle w:val="Style1Char"/>
          <w:color w:val="4472C4" w:themeColor="accent1"/>
          <w:rtl/>
        </w:rPr>
        <w:t xml:space="preserve"> </w:t>
      </w:r>
      <w:r w:rsidRPr="00E53B77">
        <w:rPr>
          <w:rStyle w:val="Style1Char"/>
          <w:color w:val="4472C4" w:themeColor="accent1"/>
          <w:rtl/>
        </w:rPr>
        <w:t>כתב הראב"ד ז"ל דפטור סתם לא מהני לעד אחד מעידה שהיא פרועה דנהי דטפי מנפשיה הימנה טפי מעד אחד לא הימנה ודכוותה בפרק שבועת הדיינין (דף מב א) כתלתא הימניה כארבע לא הימניה ודייק מדאדכר הכא פטור דאפטרופא ודפוגמת ולא אדכר דשבועת עד אחד שמע מינה דלא מיפטרא בסתמא אלא אם כן פטרה בפירוש ולא נהירא לי דהנך שבועות דמתניתין הן שבועות שב"ד מחייבין אותה ולא שהוא תובע השבועה אית לן למימר שהוא לא פטרה משבועה זו שהעד מכחישה הלכך כשפוטרה סתם פטרה מכל שבועה שב"ד מחייבין אותה. והא דמדכר שבועה דפוגמית רישא דמתני' נקט</w:t>
      </w:r>
      <w:r>
        <w:rPr>
          <w:rStyle w:val="Style1Char"/>
          <w:rFonts w:hint="cs"/>
          <w:color w:val="4472C4" w:themeColor="accent1"/>
        </w:rPr>
        <w:t>‍</w:t>
      </w:r>
      <w:r w:rsidRPr="00E53B77">
        <w:rPr>
          <w:rStyle w:val="Style1Char"/>
          <w:color w:val="4472C4" w:themeColor="accent1"/>
          <w:rtl/>
        </w:rPr>
        <w:t xml:space="preserve"> והוא הדין כולהו. ומה שהביא ראיה משבועת הדיינין לאו ראיה היא דשאני התם דנחית לדיעות כדמפרש התם אבל אי הימניה כתרי ה"ה כמאה וכן הכא נמי כשפטרה סתם פטרה מכל שבועות שחייבוה ב"ד. וכן פירש ר"ת לעיל (בפירקין סי' ו') גבי מרענא שטרא אפומיה דנאמנות בסתם מועיל כנגד עד אחד</w:t>
      </w:r>
      <w:r w:rsidRPr="00E53B77">
        <w:rPr>
          <w:rStyle w:val="Style1Char"/>
          <w:color w:val="4472C4" w:themeColor="accent1"/>
        </w:rPr>
        <w:t>:</w:t>
      </w:r>
    </w:p>
    <w:p w14:paraId="1B0E7813" w14:textId="197E57C7" w:rsidR="00C369CA" w:rsidRDefault="00C369CA" w:rsidP="00C369CA">
      <w:pPr>
        <w:bidi/>
        <w:rPr>
          <w:rStyle w:val="Style1Char"/>
          <w:color w:val="C00000"/>
          <w:rtl/>
        </w:rPr>
      </w:pPr>
      <w:r w:rsidRPr="00D2614D">
        <w:rPr>
          <w:rStyle w:val="Style1Char"/>
          <w:color w:val="00B050"/>
          <w:rtl/>
        </w:rPr>
        <w:t xml:space="preserve">. אזל רב מרדכי אמרה לשמעתא קמיה דרב אשי; בשלמא למ"ד על הפוגמת כתובתה, דמסקא אדעתה דלמא מצטרכי לי זוזי ושקילנא מכתובתאי, וא"ל כתוב לי דלא משבעת לי, אלא למ"ד על אפוטרופיא שנעשית בחיי בעלה, איהי מי הות ידעה דמותיב לה אפוטרופיא, דאמרה לי' כתוב לי דלא משבעת לי? א"ל: אתון אהא מתניתו לה, אנן אהא </w:t>
      </w:r>
      <w:r w:rsidRPr="00A25168">
        <w:rPr>
          <w:rStyle w:val="Style1Char"/>
          <w:sz w:val="22"/>
          <w:szCs w:val="22"/>
          <w:rtl/>
        </w:rPr>
        <w:t xml:space="preserve">מתנינן לה: </w:t>
      </w:r>
      <w:r w:rsidRPr="00A25168">
        <w:rPr>
          <w:rStyle w:val="Style1Char"/>
          <w:color w:val="C00000"/>
          <w:sz w:val="22"/>
          <w:szCs w:val="22"/>
          <w:rtl/>
        </w:rPr>
        <w:t xml:space="preserve">דתנן </w:t>
      </w:r>
      <w:r w:rsidRPr="00D6147A">
        <w:rPr>
          <w:rStyle w:val="Style1Char"/>
          <w:color w:val="auto"/>
          <w:sz w:val="22"/>
          <w:szCs w:val="22"/>
          <w:rtl/>
        </w:rPr>
        <w:t>הלכה מקבר בעלה לבית אביה</w:t>
      </w:r>
      <w:r w:rsidRPr="00D6147A">
        <w:rPr>
          <w:rStyle w:val="Style1Char"/>
          <w:rFonts w:hint="cs"/>
          <w:color w:val="auto"/>
          <w:rtl/>
        </w:rPr>
        <w:t xml:space="preserve"> </w:t>
      </w:r>
      <w:r w:rsidRPr="00872190">
        <w:rPr>
          <w:rStyle w:val="Style1Char"/>
          <w:rFonts w:hint="cs"/>
          <w:sz w:val="22"/>
          <w:szCs w:val="22"/>
          <w:rtl/>
        </w:rPr>
        <w:t>וכ"ו</w:t>
      </w:r>
      <w:r w:rsidRPr="00D2614D">
        <w:rPr>
          <w:rStyle w:val="Style1Char"/>
          <w:color w:val="00B050"/>
          <w:rtl/>
        </w:rPr>
        <w:t xml:space="preserve">, </w:t>
      </w:r>
      <w:r w:rsidRPr="00D6147A">
        <w:rPr>
          <w:rStyle w:val="Style1Char"/>
          <w:color w:val="ED7D31" w:themeColor="accent2"/>
          <w:sz w:val="22"/>
          <w:szCs w:val="22"/>
          <w:rtl/>
        </w:rPr>
        <w:t xml:space="preserve">או שחזרה לבית חמיה ולא נעשית אפוטרופיא - אין היורשין משביעין אותה, ואם נעשית אפוטרופי' </w:t>
      </w:r>
      <w:r w:rsidRPr="00D6147A">
        <w:rPr>
          <w:rStyle w:val="Style1Char"/>
          <w:color w:val="auto"/>
          <w:sz w:val="22"/>
          <w:szCs w:val="22"/>
          <w:rtl/>
        </w:rPr>
        <w:t>- יורשין משביעין אותה על העתיד לבא, ואין משביעין אותה על שעבר</w:t>
      </w:r>
      <w:r w:rsidRPr="00E4665B">
        <w:rPr>
          <w:rStyle w:val="Style1Char"/>
          <w:color w:val="4472C4" w:themeColor="accent1"/>
          <w:rtl/>
        </w:rPr>
        <w:t xml:space="preserve"> </w:t>
      </w:r>
      <w:r w:rsidRPr="00E53B77">
        <w:rPr>
          <w:rStyle w:val="Style1Char"/>
          <w:color w:val="4472C4" w:themeColor="accent1"/>
          <w:rtl/>
        </w:rPr>
        <w:t>פירש רש"י דקאי אהיכא שפטרה מן השבועה. והקשו חכמי פרובינציי"א ז"ל למה חזר ושנה אין משביעין אותה לשעבר</w:t>
      </w:r>
      <w:r>
        <w:rPr>
          <w:rStyle w:val="Style1Char"/>
          <w:rFonts w:hint="cs"/>
          <w:color w:val="4472C4" w:themeColor="accent1"/>
        </w:rPr>
        <w:t>‍</w:t>
      </w:r>
      <w:r w:rsidRPr="00E53B77">
        <w:rPr>
          <w:rStyle w:val="Style1Char"/>
          <w:color w:val="4472C4" w:themeColor="accent1"/>
          <w:rtl/>
        </w:rPr>
        <w:t xml:space="preserve"> הא תנא ליה רישא אין היורשין משביעין אותה על אפיטרופא שנעשית בחיי בעלה. ותירץ ה"ר שמואל מנרבונא ז"ל דקמ"ל דאפילו ע"י גלגול אין משביעין אותה ואף על גב דתנן (שבועות מה א) השותפין והאריסין שחלקו אין להן שבועה זה על זה דכיון שלא תבעו שבועה בשעת חלוקה מחלו זה לזה ואפ"ה קתני נתחייב לו שבועה ממקום אחר מגלגלין עליו את הכל שאני הכא דפטרה בפירוש</w:t>
      </w:r>
      <w:r>
        <w:rPr>
          <w:rStyle w:val="Style1Char"/>
          <w:rFonts w:hint="cs"/>
          <w:color w:val="4472C4" w:themeColor="accent1"/>
        </w:rPr>
        <w:t>‍</w:t>
      </w:r>
      <w:r w:rsidRPr="00E53B77">
        <w:rPr>
          <w:rStyle w:val="Style1Char"/>
          <w:color w:val="4472C4" w:themeColor="accent1"/>
          <w:rtl/>
        </w:rPr>
        <w:t xml:space="preserve"> ורב האי ז"ל כתב דאיירי כשלא פטרה הבעל משבועה אפ"ה אין היורשין משביעין אותה על אפיטרופסת שנעשית בחיי בעלה</w:t>
      </w:r>
      <w:r>
        <w:rPr>
          <w:rStyle w:val="Style1Char"/>
          <w:rFonts w:hint="cs"/>
          <w:color w:val="4472C4" w:themeColor="accent1"/>
        </w:rPr>
        <w:t>‍</w:t>
      </w:r>
      <w:r w:rsidRPr="00E53B77">
        <w:rPr>
          <w:rStyle w:val="Style1Char"/>
          <w:color w:val="4472C4" w:themeColor="accent1"/>
          <w:rtl/>
        </w:rPr>
        <w:t xml:space="preserve"> דכיון דלא השביעה הבעל בחייו מחל לה השבועה ופירוש רש"י עיקר</w:t>
      </w:r>
      <w:r>
        <w:rPr>
          <w:rStyle w:val="Style1Char"/>
          <w:rFonts w:hint="cs"/>
          <w:color w:val="4472C4" w:themeColor="accent1"/>
        </w:rPr>
        <w:t>‍</w:t>
      </w:r>
      <w:r w:rsidRPr="00E53B77">
        <w:rPr>
          <w:rStyle w:val="Style1Char"/>
          <w:color w:val="4472C4" w:themeColor="accent1"/>
          <w:rtl/>
        </w:rPr>
        <w:t xml:space="preserve"> וכן מוכח בתוספתא</w:t>
      </w:r>
      <w:r w:rsidRPr="00E53B77">
        <w:rPr>
          <w:rStyle w:val="Style1Char"/>
          <w:color w:val="4472C4" w:themeColor="accent1"/>
        </w:rPr>
        <w:t>:</w:t>
      </w:r>
      <w:r w:rsidRPr="006B1652">
        <w:rPr>
          <w:rStyle w:val="Style1Char"/>
          <w:sz w:val="22"/>
          <w:szCs w:val="22"/>
          <w:rtl/>
        </w:rPr>
        <w:t xml:space="preserve">; </w:t>
      </w:r>
      <w:r w:rsidRPr="005C7C57">
        <w:rPr>
          <w:rStyle w:val="Style1Char"/>
          <w:color w:val="auto"/>
          <w:sz w:val="22"/>
          <w:szCs w:val="22"/>
          <w:rtl/>
        </w:rPr>
        <w:t>שעבר מאי עבידתיה? א"ר יהודה אמר רב: על אפוטרופיא שנעשית בחיי הבעל</w:t>
      </w:r>
      <w:r w:rsidRPr="005C7C57">
        <w:rPr>
          <w:rStyle w:val="Style1Char"/>
          <w:color w:val="auto"/>
          <w:rtl/>
        </w:rPr>
        <w:t xml:space="preserve">, </w:t>
      </w:r>
      <w:r w:rsidRPr="005C7C57">
        <w:rPr>
          <w:rStyle w:val="Style1Char"/>
          <w:color w:val="auto"/>
          <w:sz w:val="22"/>
          <w:szCs w:val="22"/>
          <w:rtl/>
        </w:rPr>
        <w:t>אבל בין מיתה לקבורה - משבעינן לה</w:t>
      </w:r>
      <w:r w:rsidRPr="00A75EC9">
        <w:rPr>
          <w:rStyle w:val="Style1Char"/>
          <w:color w:val="4472C4" w:themeColor="accent1"/>
          <w:rtl/>
        </w:rPr>
        <w:t xml:space="preserve"> </w:t>
      </w:r>
      <w:r w:rsidRPr="00E53B77">
        <w:rPr>
          <w:rStyle w:val="Style1Char"/>
          <w:color w:val="4472C4" w:themeColor="accent1"/>
          <w:rtl/>
        </w:rPr>
        <w:t>אף אם לא היתה נותנת ונושאת אלא בצרכי המת וקבורתו שכן אין דרך לעשות משא ומתן בין מיתה לקבורה אלא בצרכי המת ואף בהא קאמר רב יהודה דמשביעין אותה</w:t>
      </w:r>
      <w:r w:rsidRPr="003124A5">
        <w:rPr>
          <w:rStyle w:val="Style1Char"/>
          <w:sz w:val="22"/>
          <w:szCs w:val="22"/>
          <w:rtl/>
        </w:rPr>
        <w:t xml:space="preserve">; </w:t>
      </w:r>
      <w:r w:rsidR="009256D4">
        <w:rPr>
          <w:rStyle w:val="Style1Char"/>
          <w:rFonts w:hint="cs"/>
          <w:rtl/>
        </w:rPr>
        <w:t>(1)</w:t>
      </w:r>
      <w:r w:rsidRPr="00A75EC9">
        <w:rPr>
          <w:rStyle w:val="Style1Char"/>
          <w:color w:val="auto"/>
          <w:sz w:val="22"/>
          <w:szCs w:val="22"/>
          <w:rtl/>
        </w:rPr>
        <w:t>ורב מתנא אמר: אפילו בין מיתה לקבורה - לא משבעינן לה</w:t>
      </w:r>
      <w:r w:rsidRPr="003124A5">
        <w:rPr>
          <w:rStyle w:val="Style1Char"/>
          <w:sz w:val="22"/>
          <w:szCs w:val="22"/>
          <w:rtl/>
        </w:rPr>
        <w:t xml:space="preserve">, </w:t>
      </w:r>
      <w:r w:rsidR="009256D4">
        <w:rPr>
          <w:rStyle w:val="Style1Char"/>
          <w:rFonts w:hint="cs"/>
          <w:rtl/>
        </w:rPr>
        <w:t>(2)</w:t>
      </w:r>
      <w:r w:rsidRPr="00C049D8">
        <w:rPr>
          <w:rStyle w:val="Style1Char"/>
          <w:color w:val="auto"/>
          <w:sz w:val="22"/>
          <w:szCs w:val="22"/>
          <w:rtl/>
        </w:rPr>
        <w:t>דאמרי נהרדעי: לכרגא, ולמזוני, ולקבורה - מזבנינן בלא אכרזתא</w:t>
      </w:r>
      <w:r w:rsidRPr="00C049D8">
        <w:rPr>
          <w:rStyle w:val="Style1Char"/>
          <w:color w:val="auto"/>
          <w:rtl/>
        </w:rPr>
        <w:t xml:space="preserve"> </w:t>
      </w:r>
      <w:r w:rsidRPr="00D205EB">
        <w:rPr>
          <w:rStyle w:val="Style1Char"/>
          <w:color w:val="C00000"/>
          <w:rtl/>
        </w:rPr>
        <w:t>פירוש דאי מכרזי אתי מיתא לאינוולי הכא נמי אי אמרת משבעינן לה על מה דזבינא לקבורה לא מזבנא ואתי מיתא לאינוולי הילכך לא משבעינן לה וכן הלכתא</w:t>
      </w:r>
    </w:p>
    <w:p w14:paraId="15212941" w14:textId="77777777" w:rsidR="00C369CA" w:rsidRPr="00E53B77" w:rsidRDefault="00C369CA" w:rsidP="00C369CA">
      <w:pPr>
        <w:bidi/>
        <w:rPr>
          <w:rStyle w:val="Style1Char"/>
          <w:color w:val="4472C4" w:themeColor="accent1"/>
        </w:rPr>
      </w:pPr>
      <w:r w:rsidRPr="00E53B77">
        <w:rPr>
          <w:rStyle w:val="Style1Char"/>
          <w:color w:val="4472C4" w:themeColor="accent1"/>
          <w:rtl/>
        </w:rPr>
        <w:t>הלכך כי היכי דמקילין לזבוני בלא אכרזתא ה"נ מקילין שלא להשביעה שאם היה לה לישבע מימנעה ולא עבדא. וגם מתוך המהירות א"א לה ליזהר שלא תוותר ושלא תהנה הלכך אפילו ע"י גלגול לא משבעינן לה אם לא נתנה ונשאה כי אם בצרכי המת. דהא רב מתנא אמתני' דאין משביעין אותה לשעבר קאי והיינו אפילו על ידי גלגול</w:t>
      </w:r>
      <w:r>
        <w:rPr>
          <w:rStyle w:val="Style1Char"/>
          <w:rFonts w:hint="cs"/>
          <w:color w:val="4472C4" w:themeColor="accent1"/>
        </w:rPr>
        <w:t>‍</w:t>
      </w:r>
      <w:r w:rsidRPr="00E53B77">
        <w:rPr>
          <w:rStyle w:val="Style1Char"/>
          <w:color w:val="4472C4" w:themeColor="accent1"/>
          <w:rtl/>
        </w:rPr>
        <w:t xml:space="preserve"> כדפרישית וקאמר רב מתנא דאף בין מיתה לקבורה אין משביעין אותה ע"י גלגול. ונראה דהלכה כרב מתנא דמיסתבר טעמיה כדאמרי' נהרדעי.</w:t>
      </w:r>
      <w:r>
        <w:rPr>
          <w:rStyle w:val="Style1Char"/>
          <w:rFonts w:hint="cs"/>
          <w:color w:val="4472C4" w:themeColor="accent1"/>
        </w:rPr>
        <w:t>‍</w:t>
      </w:r>
      <w:r w:rsidRPr="00E53B77">
        <w:rPr>
          <w:rStyle w:val="Style1Char"/>
          <w:color w:val="4472C4" w:themeColor="accent1"/>
          <w:rtl/>
        </w:rPr>
        <w:t xml:space="preserve"> וכן פסקו רבינו חננאל ורב אלפס ז"ל. וכן ראיתי שפסק ה"ר מאיר הלוי ז"ל כרב מתנא. לכרגא פי' רש"י של היתומים. ומשמע הא לשאר צרכי היתומים מכריזין. וקשה לפירושו מהא דפריך בריש פרק שום היתומים (דף כב א) למ"ד אין נזקקין לנכסי יתומים אלא שטר שיש בו ריבית ממתני' דשום היתומים שלשים יום. ואם אין נזקקין לנכסי יתומים היכי משכחת הכרזה כי בשטר שיש בו ריבית לא ימתינו עד שיכריזו ומאי קשיא ליה דמשכחת הכרזה למכור לצורכי היתומים. הלכך נראה דלצורכי היתומים מוכרין בלא הכרזה והאי כרגא ולמזוני דהכא לצורכי האשה דעל היתומים לפרוע כסף גולגלתה. כמו שעשה הבעל בחייו דבכלל מזוני הוא. לקבורה לא מיסתבר לפרושי שמוכרין בלא הכרזה לצורך הקבורה דמילתא דפשיטא שלא יהא המת מוטל בבזיון עד שיכריזו הלכך נראה לפרושי לכרגא ולמזוני ולקבורה אם לוו לצרכם כשבא בעל חוב לגבות חובו מזבנין בלא הכרזה דאם לא כן נמצא מכשילן לעתיד לבא ויבא לידי הפסד אם לא יפרעו הכרגא לאלתר וגם תמות האלמנה ברעב</w:t>
      </w:r>
      <w:r w:rsidRPr="00E53B77">
        <w:rPr>
          <w:rStyle w:val="Style1Char"/>
          <w:color w:val="4472C4" w:themeColor="accent1"/>
        </w:rPr>
        <w:t xml:space="preserve">: </w:t>
      </w:r>
    </w:p>
    <w:p w14:paraId="34385202" w14:textId="77777777" w:rsidR="00C369CA" w:rsidRDefault="00C369CA" w:rsidP="00C369CA">
      <w:pPr>
        <w:bidi/>
        <w:rPr>
          <w:rStyle w:val="Style1Char"/>
          <w:sz w:val="22"/>
          <w:szCs w:val="22"/>
          <w:rtl/>
        </w:rPr>
      </w:pPr>
      <w:r w:rsidRPr="00C15858">
        <w:rPr>
          <w:rStyle w:val="Style1Char"/>
          <w:color w:val="auto"/>
          <w:sz w:val="22"/>
          <w:szCs w:val="22"/>
          <w:rtl/>
        </w:rPr>
        <w:t xml:space="preserve">אמר </w:t>
      </w:r>
      <w:r w:rsidRPr="00C15858">
        <w:rPr>
          <w:rStyle w:val="Style1Char"/>
          <w:color w:val="ED7D31" w:themeColor="accent2"/>
          <w:rtl/>
        </w:rPr>
        <w:t xml:space="preserve">רבה </w:t>
      </w:r>
      <w:r w:rsidRPr="0068328A">
        <w:rPr>
          <w:rStyle w:val="Style1Char"/>
          <w:color w:val="C00000"/>
          <w:sz w:val="22"/>
          <w:szCs w:val="22"/>
          <w:rtl/>
        </w:rPr>
        <w:t xml:space="preserve">רב </w:t>
      </w:r>
      <w:r w:rsidRPr="00C15858">
        <w:rPr>
          <w:rStyle w:val="Style1Char"/>
          <w:color w:val="auto"/>
          <w:sz w:val="22"/>
          <w:szCs w:val="22"/>
          <w:rtl/>
        </w:rPr>
        <w:t>א"ר חייא: דלא נדר ודלא שבועה - הוא אינו יכול להשביעה, אבל יורשין משביעין אותה, נקי נדר נקי שבועה - בין הוא ובין יורשין אין משביעין אותה</w:t>
      </w:r>
      <w:r w:rsidRPr="00C15858">
        <w:rPr>
          <w:rStyle w:val="Style1Char"/>
          <w:color w:val="auto"/>
          <w:rtl/>
        </w:rPr>
        <w:t xml:space="preserve">, </w:t>
      </w:r>
      <w:r w:rsidRPr="00C15858">
        <w:rPr>
          <w:rStyle w:val="Style1Char"/>
          <w:color w:val="auto"/>
          <w:sz w:val="22"/>
          <w:szCs w:val="22"/>
          <w:rtl/>
        </w:rPr>
        <w:t xml:space="preserve">ה"ק לה: מנקית משבועתא; </w:t>
      </w:r>
      <w:r w:rsidRPr="00D2614D">
        <w:rPr>
          <w:rStyle w:val="Style1Char"/>
          <w:color w:val="00B050"/>
          <w:rtl/>
        </w:rPr>
        <w:t xml:space="preserve">ורב יוסף אמר רבי חייא: דלא נדר ודלא שבועה - הוא אינו יכול להשביעה, אבל יורשין משביעין אותה, נקי נדר נקי שבועה - בין הוא ובין יורשין משביעין אותה, ה"ק לה: נקי נפשך בשבועתא. </w:t>
      </w:r>
      <w:r w:rsidRPr="0067620D">
        <w:rPr>
          <w:rStyle w:val="Style1Char"/>
          <w:color w:val="auto"/>
          <w:sz w:val="22"/>
          <w:szCs w:val="22"/>
          <w:rtl/>
        </w:rPr>
        <w:t>שלח ר' זכאי למר עוקבא: בין דלא שבועה בין דנקי שבועה, בין דלא נדר ובין דנקי נדר, בנכסי - הוא אינו יכול להשביעה, אבל יורשין משביעין אותה, מנכסיא אילין - בין הוא ובין יורשיו אין משביעין אותה</w:t>
      </w:r>
      <w:r w:rsidRPr="0067620D">
        <w:rPr>
          <w:rStyle w:val="Style1Char"/>
          <w:color w:val="auto"/>
          <w:rtl/>
        </w:rPr>
        <w:t xml:space="preserve">. </w:t>
      </w:r>
      <w:r w:rsidRPr="0067620D">
        <w:rPr>
          <w:rStyle w:val="Style1Char"/>
          <w:color w:val="auto"/>
          <w:sz w:val="22"/>
          <w:szCs w:val="22"/>
          <w:rtl/>
        </w:rPr>
        <w:t>אמר רב נחמן אמר שמואל משום אבא שאול בן אימא מרים</w:t>
      </w:r>
      <w:r w:rsidRPr="0067620D">
        <w:rPr>
          <w:rStyle w:val="Style1Char"/>
          <w:color w:val="auto"/>
          <w:rtl/>
        </w:rPr>
        <w:t xml:space="preserve">: </w:t>
      </w:r>
      <w:r w:rsidRPr="0067620D">
        <w:rPr>
          <w:rStyle w:val="Style1Char"/>
          <w:color w:val="auto"/>
          <w:sz w:val="22"/>
          <w:szCs w:val="22"/>
          <w:rtl/>
        </w:rPr>
        <w:t>בין דלא שבועה בין דנקי שבועה, בין, דלא נדר ובין דנקי נדר, בין מנכסי ובין מנכסיא אילין - בין הוא ובין יורשיו אין משביעין אותה, אבל מה אעשה שהרי אמרו חכמים: הבא ליפרע מנכסי יתומים - לא יפרע אלא בשבועה</w:t>
      </w:r>
      <w:r w:rsidRPr="0036147D">
        <w:rPr>
          <w:rStyle w:val="Style1Char"/>
          <w:sz w:val="22"/>
          <w:szCs w:val="22"/>
          <w:rtl/>
        </w:rPr>
        <w:t>.</w:t>
      </w:r>
    </w:p>
    <w:p w14:paraId="6FAED913" w14:textId="3D964093" w:rsidR="00C369CA" w:rsidRDefault="00C369CA" w:rsidP="00C369CA">
      <w:pPr>
        <w:bidi/>
        <w:rPr>
          <w:rStyle w:val="Style1Char"/>
          <w:color w:val="4472C4" w:themeColor="accent1"/>
          <w:rtl/>
        </w:rPr>
      </w:pPr>
      <w:r w:rsidRPr="00D2614D">
        <w:rPr>
          <w:rStyle w:val="Style1Char"/>
          <w:color w:val="00B050"/>
          <w:rtl/>
        </w:rPr>
        <w:t xml:space="preserve">ואיכא דאמרי לה מתניתא, אבא שאול בן אימא מרים אמר: </w:t>
      </w:r>
      <w:r w:rsidRPr="0036147D">
        <w:rPr>
          <w:rStyle w:val="Style1Char"/>
          <w:color w:val="00B050"/>
          <w:rtl/>
        </w:rPr>
        <w:t>בין דלא שבועה בין דנקי שבועה, בין דלא נדר ובין נקי נדר, בין מנכסי ובין מנכסיא אילין - בין הוא ובין יורשיו אין משביעין אותה, אבל מה אעשה שהרי אמרו חכמים: הבא ליפרע מנכסי יתומים - לא יפרע אלא בשבועה</w:t>
      </w:r>
      <w:r w:rsidRPr="00D2614D">
        <w:rPr>
          <w:rStyle w:val="Style1Char"/>
          <w:color w:val="00B050"/>
          <w:rtl/>
        </w:rPr>
        <w:t xml:space="preserve">. </w:t>
      </w:r>
      <w:r w:rsidRPr="009466BF">
        <w:rPr>
          <w:rStyle w:val="Style1Char"/>
          <w:color w:val="auto"/>
          <w:sz w:val="22"/>
          <w:szCs w:val="22"/>
          <w:rtl/>
        </w:rPr>
        <w:t xml:space="preserve">אמר רב נחמן אמר שמואל: </w:t>
      </w:r>
      <w:r w:rsidR="009256D4">
        <w:rPr>
          <w:rStyle w:val="Style1Char"/>
          <w:rFonts w:hint="cs"/>
          <w:rtl/>
        </w:rPr>
        <w:t>(3)</w:t>
      </w:r>
      <w:r w:rsidRPr="009466BF">
        <w:rPr>
          <w:rStyle w:val="Style1Char"/>
          <w:color w:val="auto"/>
          <w:sz w:val="22"/>
          <w:szCs w:val="22"/>
          <w:rtl/>
        </w:rPr>
        <w:t>הלכה כבן אימא מרים</w:t>
      </w:r>
      <w:r w:rsidRPr="004A5A27">
        <w:rPr>
          <w:rStyle w:val="Style1Char"/>
          <w:sz w:val="22"/>
          <w:szCs w:val="22"/>
          <w:rtl/>
        </w:rPr>
        <w:t xml:space="preserve">. </w:t>
      </w:r>
      <w:r w:rsidRPr="00245D0A">
        <w:rPr>
          <w:rStyle w:val="Style1Char"/>
          <w:color w:val="806000" w:themeColor="accent4" w:themeShade="80"/>
          <w:rtl/>
        </w:rPr>
        <w:t xml:space="preserve">והני מילי דכתב לה דלא נדר ודלא שבועה אי נמי נקי נדר נקי שבועה בלחוד ולא כתב לה בין ממני בין מיורשי אחרי אבל אי כתב לה בין ממני בין מיורשי אחרי גובה בלא שבועה ואפילו היא פוגמת כתובתה בין ממנו בין מיורשיו אחריו כסתם מתני' דקתני נדר ושבועה אין לי ולא ליורשי ולא לבאים ברשותי עליך ועל יורשיך ועל הבאים ברשותיך אינו יכול להשביעה לא הוא ולא יורשיו וכו' </w:t>
      </w:r>
      <w:r w:rsidRPr="00904680">
        <w:rPr>
          <w:rStyle w:val="Style1Char"/>
          <w:color w:val="806000" w:themeColor="accent4" w:themeShade="80"/>
          <w:rtl/>
        </w:rPr>
        <w:t>ואמרינן שבועה מאי עבידתה ואמר רב נחמן אמר רבה בר אבוה אפוגמת כתובתה</w:t>
      </w:r>
      <w:r w:rsidRPr="00D205EB">
        <w:rPr>
          <w:rStyle w:val="Style1Char"/>
          <w:color w:val="C00000"/>
          <w:rtl/>
        </w:rPr>
        <w:t xml:space="preserve"> </w:t>
      </w:r>
      <w:r w:rsidRPr="00E53B77">
        <w:rPr>
          <w:rStyle w:val="Style1Char"/>
          <w:color w:val="4472C4" w:themeColor="accent1"/>
          <w:rtl/>
        </w:rPr>
        <w:t>וקשה להאי פיסקא דאמרינן לקמן (דף פח ב) אלא אמר אביי אהא נדר ושבועה אין לי עליך וכו' ואתא ר' שמעון למימר כל זמן שתובעת כתובתה יורשין משביעין אותה וקא מפלגי בפלוגתא דאבא שאול בן אימא מרים ורבנן אלמא דחזינן דר"ש דמחייבי שבועה אפילו היכא דאמר אין לי ולא ליורשי עליך ועל יורשיך סבר כאבא שאול אלמא דאבא שאול מחייב שבועה בכל ענין ופסק רב נחמן כאבא שאול ויראה שכך היתה דעת רב אלפס ז"ל דאבא שאול סבירא ליה כשאמר נקי נדר או דלא נדר ולא אמר אין לי עליך משמע שתהא בלא נדר מכל אדם אף מן היורשין ואף על פי שאמר מנכסי כיון שפטרה עכשיו מאותם נכסים פטורה לעולם מהם אפילו לאחר שנפלו הנכסים לפני היורשין אבל מה אעשה שחכמים הזקיקוה שבועה כשאמר בלשון הזה אף על פי שיש במשמעותו שאף מן היורשין פטרה</w:t>
      </w:r>
      <w:r>
        <w:rPr>
          <w:rStyle w:val="Style1Char"/>
          <w:rFonts w:hint="cs"/>
          <w:color w:val="4472C4" w:themeColor="accent1"/>
        </w:rPr>
        <w:t>‍</w:t>
      </w:r>
      <w:r w:rsidRPr="00E53B77">
        <w:rPr>
          <w:rStyle w:val="Style1Char"/>
          <w:color w:val="4472C4" w:themeColor="accent1"/>
          <w:rtl/>
        </w:rPr>
        <w:t xml:space="preserve"> ומיהו היכא דפטרה בהדיא מן היורשין מודה אבא שאול</w:t>
      </w:r>
      <w:r>
        <w:rPr>
          <w:rStyle w:val="Style1Char"/>
          <w:rFonts w:hint="cs"/>
          <w:color w:val="4472C4" w:themeColor="accent1"/>
        </w:rPr>
        <w:t>‍</w:t>
      </w:r>
      <w:r w:rsidRPr="00E53B77">
        <w:rPr>
          <w:rStyle w:val="Style1Char"/>
          <w:color w:val="4472C4" w:themeColor="accent1"/>
          <w:rtl/>
        </w:rPr>
        <w:t xml:space="preserve"> ובהא פסיק רב נחמן כאבא שאול. והא דאמרינן לקמן ר"ש כאבא שאול פי' כשיטת אבא שאול קאמר ועדיפא מיניה כי היכי דלאבא שאול כי אמר דלא נדר נקי נדר משמע לדידיה בין ממנו בין מן היורשין ואפילו הכי קאמר שחכמים הזקיקוה לישבע הכי נמי לרבי שמעון אפילו פטרה בהדיא מן היורשין ס"ל דהזקיקוה חכמים לישבע</w:t>
      </w:r>
      <w:r>
        <w:rPr>
          <w:rStyle w:val="Style1Char"/>
          <w:rFonts w:hint="cs"/>
          <w:color w:val="4472C4" w:themeColor="accent1"/>
        </w:rPr>
        <w:t>‍</w:t>
      </w:r>
      <w:r w:rsidRPr="00E53B77">
        <w:rPr>
          <w:rStyle w:val="Style1Char"/>
          <w:color w:val="4472C4" w:themeColor="accent1"/>
          <w:rtl/>
        </w:rPr>
        <w:t xml:space="preserve"> ומיהו רבינו חננאל פסק כאבא שאול אפילו פטרה בהדיא מן היורשין</w:t>
      </w:r>
      <w:r>
        <w:rPr>
          <w:rStyle w:val="Style1Char"/>
          <w:rFonts w:hint="cs"/>
          <w:color w:val="4472C4" w:themeColor="accent1"/>
        </w:rPr>
        <w:t>‍</w:t>
      </w:r>
      <w:r w:rsidRPr="00E53B77">
        <w:rPr>
          <w:rStyle w:val="Style1Char"/>
          <w:color w:val="4472C4" w:themeColor="accent1"/>
          <w:rtl/>
        </w:rPr>
        <w:t xml:space="preserve"> וכן דעת התוספות ודעת רב אלפס ז"ל</w:t>
      </w:r>
      <w:r w:rsidRPr="00E53B77">
        <w:rPr>
          <w:rStyle w:val="Style1Char"/>
          <w:color w:val="4472C4" w:themeColor="accent1"/>
        </w:rPr>
        <w:t xml:space="preserve">: </w:t>
      </w:r>
    </w:p>
    <w:p w14:paraId="21CA94E5" w14:textId="77777777" w:rsidR="00C369CA" w:rsidRPr="00E53B77" w:rsidRDefault="00C369CA" w:rsidP="00C369CA">
      <w:pPr>
        <w:bidi/>
        <w:rPr>
          <w:rStyle w:val="Style1Char"/>
          <w:color w:val="4472C4" w:themeColor="accent1"/>
        </w:rPr>
      </w:pPr>
      <w:r w:rsidRPr="00E53B77">
        <w:rPr>
          <w:rStyle w:val="Style1Char"/>
          <w:color w:val="4472C4" w:themeColor="accent1"/>
          <w:rtl/>
        </w:rPr>
        <w:t>הא דבעינן שיזכיר גם פטור מן היורשין ה"מ כשפטר הלוה את המלוה כי הך דמתני' שפטר הבעל את האשה בחוב שיש לה עליו. אבל בשטר שכתב בו המלוה נאמנות ללוה כשיאמר שהשטר פרוע שיהא נאמן אם מת המלוה ובאו יורשיו לגבות ואמר הלוה פרעתי לאביכם נאמן אף על פי שלא האמינו על היורשים מאי טעמא משום דשטר מעיקרא מיעקר דלא מצי למימר הוה לך למיקרעיה או למיכתב תברא עילויה</w:t>
      </w:r>
      <w:r>
        <w:rPr>
          <w:rStyle w:val="Style1Char"/>
          <w:rFonts w:hint="cs"/>
          <w:color w:val="4472C4" w:themeColor="accent1"/>
        </w:rPr>
        <w:t>‍</w:t>
      </w:r>
      <w:r w:rsidRPr="00E53B77">
        <w:rPr>
          <w:rStyle w:val="Style1Char"/>
          <w:color w:val="4472C4" w:themeColor="accent1"/>
          <w:rtl/>
        </w:rPr>
        <w:t xml:space="preserve"> דאמר ליה אנא אהימנותא דכתב לי סמכי ומיהו שבועה בעי כיון דלא כתב ליה מהימנת אף בלא שבועה דלמא ה"ק ליה מהימנת עלי לבטולי שטרא דידי ולמיהוי כמלוה על פה והוה כמה </w:t>
      </w:r>
      <w:r w:rsidRPr="00E53B77">
        <w:rPr>
          <w:rStyle w:val="Style1Char"/>
          <w:color w:val="4472C4" w:themeColor="accent1"/>
          <w:rtl/>
        </w:rPr>
        <w:lastRenderedPageBreak/>
        <w:t>דטעין מנה לי בידך וא"ל אידך החזרתיו לך דמשתבע שבועת היסת ומיפטר</w:t>
      </w:r>
      <w:r>
        <w:rPr>
          <w:rStyle w:val="Style1Char"/>
          <w:rFonts w:hint="cs"/>
          <w:color w:val="4472C4" w:themeColor="accent1"/>
        </w:rPr>
        <w:t>‍</w:t>
      </w:r>
      <w:r w:rsidRPr="00E53B77">
        <w:rPr>
          <w:rStyle w:val="Style1Char"/>
          <w:color w:val="4472C4" w:themeColor="accent1"/>
          <w:rtl/>
        </w:rPr>
        <w:t xml:space="preserve"> ואשכחן נאמנות כי האי גוונא בפרק המוכר את הבית (דף ע א) בעא מיניה רב עמרם מרב חסדא המפקיד אצל חבירו בשטר ואמר החזרתיו לך מהו מיגו דאי אמר נאנסתי נאמן כי אמר לו נמי החזרתי לך מהימן או דלמא א"ל שטרך בידי מאי בעי א"ל נאמן ולימא ליה שטרך בידי מאי בעי אילו אמר נאנסתי מי מצי אמר ליה שטרך בידי מאי בעי ולאו שבועה בעי הכא נמי מאי נאמן נאמן בשבועה הלכך האי מלוה כיון דכתב ליה ללוה מהימנת עלי סתם ולא פטריה משבועה בהדיא</w:t>
      </w:r>
      <w:r>
        <w:rPr>
          <w:rStyle w:val="Style1Char"/>
          <w:rFonts w:hint="cs"/>
          <w:color w:val="4472C4" w:themeColor="accent1"/>
        </w:rPr>
        <w:t>‍</w:t>
      </w:r>
      <w:r w:rsidRPr="00E53B77">
        <w:rPr>
          <w:rStyle w:val="Style1Char"/>
          <w:color w:val="4472C4" w:themeColor="accent1"/>
          <w:rtl/>
        </w:rPr>
        <w:t xml:space="preserve"> אמרינן יד בעל השטר על התחתונה והאי נאמנות דכתב ליה לבטולי שטרא הוא דכתב ליה אבל מידי שבועה לא מיפטר והכי שדר רב האי ז"ל ואם מת הלוה ואמרו בניו אבינו אמר לנו שהשטר פרוע יראה שאין בדבריהם כלום שיאמר המלוה לאביכם האמנתי כשיאמר לי שהוא פרוע לכם לא האמנתי</w:t>
      </w:r>
      <w:r>
        <w:rPr>
          <w:rStyle w:val="Style1Char"/>
          <w:rFonts w:hint="cs"/>
          <w:color w:val="4472C4" w:themeColor="accent1"/>
        </w:rPr>
        <w:t>‍</w:t>
      </w:r>
      <w:r w:rsidRPr="00E53B77">
        <w:rPr>
          <w:rStyle w:val="Style1Char"/>
          <w:color w:val="4472C4" w:themeColor="accent1"/>
          <w:rtl/>
        </w:rPr>
        <w:t xml:space="preserve"> ואני אומר שלא אמרו אביכם מעולם אבל אם הביאו עדים שאמר אביהם שהוא פרוע נתבטל השטר</w:t>
      </w:r>
      <w:r w:rsidRPr="00E53B77">
        <w:rPr>
          <w:rStyle w:val="Style1Char"/>
          <w:color w:val="4472C4" w:themeColor="accent1"/>
        </w:rPr>
        <w:t xml:space="preserve">: </w:t>
      </w:r>
    </w:p>
    <w:p w14:paraId="73BECF1C" w14:textId="77777777" w:rsidR="00C369CA" w:rsidRDefault="00C369CA" w:rsidP="00C369CA">
      <w:pPr>
        <w:bidi/>
        <w:rPr>
          <w:rStyle w:val="Style1Char"/>
          <w:sz w:val="22"/>
          <w:szCs w:val="22"/>
          <w:rtl/>
        </w:rPr>
      </w:pPr>
      <w:r w:rsidRPr="00D205EB">
        <w:rPr>
          <w:rStyle w:val="Style1Char"/>
          <w:color w:val="C00000"/>
          <w:rtl/>
        </w:rPr>
        <w:t>וה"מ בבא ליפרע מנכסי יתומים אבל יתומים שבאו ליפרע מן הלוה בשטר שיש בו נאמנות ללוה כגון מלוה דכתב ללוה כל אימת דאמרת פרענא להאי שטרא מהימנת עלאי כדאמר ליה פרענא מהימן דקי"ל תנאי שבממון קיים ואפילו מת מלוה ונפל ליה שטרא קמי יתמי ואמר להו כבר פרענא לאבוכון מהימן ואף על גב דלא כתב ליה מהימנת עלאי ועל ירתאי מאי טעמא דשטר מעקר עקיר דלא מצי למימר ליה אי פרעתן הוה לך למיקרע שטרא אי נמי מיכתב תברא עילויה משום דא"ל אנא אהימנותא דכתבת לי סמכי הלכך ל"ש גבי דידיה ול"ש גבי ירתיה כי אמר פרעתיה נאמן אלא מיהו נאמן ובשבועה דכיון דלא כתב ליה מהימנת אפילו משבועה לא פטרינן ליה משבועה דחיישינן דילמא הכי א"ל מהימנת עלאי לבטולי לשטרא דילי ולהוי כמלוה על פה דאילו מעיקרא כי אמר שטרא פריעא הוא לא כל כמיניה ואי א"ל אשתבע לי דינא הוא דמשתבע ליה ושקיל ולא מצי איהו אשתבועי ואפטורי אבל השתא דכתב ליה כל אימת דאמרת שטרא פריעא הוא מהימנת עלאי ולא פטריה משבועה איכא למימר מאי נאמן דקאמר ליה נאמן לבטולי שטרא ולא אמרינן ליה לאו כל כמינך דמבטלת ליה לשטרא דאי שטרא פריעא הוא איבעי לך למקרעיה או למכתב עליה תברא אלא כדאמר פריעא הוא בטיל ליה לשטרא והוה ליה כמאן דטעין ליה מלוה על פה מנה לי בידך וא"ל אידך נתתיו לך דמשתבע שבועת היסת ומיפטר ואשכחן נמי לשון נאמנות בהאי גוונא דאמרינן [בבא - בתרא ע' ע"א] בעא מיניה רב עמרם מרב חסדא המפקיד אצל חבירו בשטר וא"ל החזרתיו לך מהו מגו דאי אמר נאנסו מהימן כי א"ל החזרתיו לך מהימן או דילמא אמר ליה שטרא בידי מאי בעי אמר ליה נאמן ולימא ליה שטרך בידי מאי בעי אילו א"ל נאנסו מי מצי א"ל שטרא בידי מאי בעי ולאו שבועה בעי הכי נמי מאי נאמן נאמן בשבועה הלכך האי מלוה כיון דכתב ליה ללוה מהימנת עלאי סתם ולא פטריה משבועה בהדיא אמרינן יד בעל השטר על התחתונה והאי נאמן דכתב ליה לבטולי לשטרא הוא דכתב ליה הכי אבל מידי שבועה לא מיפטר והכי [שדר] רב האי גאון ז"ל:</w:t>
      </w:r>
    </w:p>
    <w:p w14:paraId="7A1C4EAB" w14:textId="6CDEB18D" w:rsidR="00C369CA" w:rsidRPr="00F73FE2" w:rsidRDefault="00C369CA" w:rsidP="00C369CA">
      <w:pPr>
        <w:bidi/>
        <w:rPr>
          <w:rStyle w:val="Style1Char"/>
          <w:color w:val="auto"/>
          <w:rtl/>
        </w:rPr>
      </w:pPr>
      <w:r w:rsidRPr="008A4E40">
        <w:rPr>
          <w:rStyle w:val="Style1Char"/>
          <w:color w:val="auto"/>
          <w:sz w:val="22"/>
          <w:szCs w:val="22"/>
          <w:rtl/>
        </w:rPr>
        <w:t xml:space="preserve">מתני'. </w:t>
      </w:r>
      <w:r w:rsidR="00333A3D">
        <w:rPr>
          <w:rStyle w:val="Style1Char"/>
          <w:rFonts w:hint="cs"/>
          <w:rtl/>
        </w:rPr>
        <w:t>(4)</w:t>
      </w:r>
      <w:r w:rsidRPr="008A4E40">
        <w:rPr>
          <w:rStyle w:val="Style1Char"/>
          <w:color w:val="auto"/>
          <w:sz w:val="22"/>
          <w:szCs w:val="22"/>
          <w:rtl/>
        </w:rPr>
        <w:t>הפוגמת כתובתה - לא תפרע אלא בשבועה. עד אחד מעידה שהיא פרועה - לא תפרע אלא בשבועה</w:t>
      </w:r>
      <w:r w:rsidRPr="008A4E40">
        <w:rPr>
          <w:rStyle w:val="Style1Char"/>
          <w:color w:val="auto"/>
          <w:rtl/>
        </w:rPr>
        <w:t xml:space="preserve">. </w:t>
      </w:r>
      <w:r w:rsidRPr="008A4E40">
        <w:rPr>
          <w:rStyle w:val="Style1Char"/>
          <w:color w:val="auto"/>
          <w:sz w:val="22"/>
          <w:szCs w:val="22"/>
          <w:rtl/>
        </w:rPr>
        <w:t>מנכסי יתומים, ומנכסים משועבדים, ושלא בפניו - לא תפרע אלא בשבועה. הפוגמת כתובתה כיצד? היתה כתובתה אלף זוז, ואמר לה התקבלת כתובתיך והיא אומרת לא התקבלתי אלא מנה - לא תפרע אלא בשבועה</w:t>
      </w:r>
      <w:r w:rsidRPr="00D2614D">
        <w:rPr>
          <w:rStyle w:val="Style1Char"/>
          <w:color w:val="00B050"/>
          <w:rtl/>
        </w:rPr>
        <w:t xml:space="preserve">. </w:t>
      </w:r>
      <w:r w:rsidR="00333A3D">
        <w:rPr>
          <w:rStyle w:val="Style1Char"/>
          <w:rFonts w:hint="cs"/>
          <w:rtl/>
        </w:rPr>
        <w:t>(4.2, 5)</w:t>
      </w:r>
      <w:r w:rsidRPr="002F66D2">
        <w:rPr>
          <w:rStyle w:val="Style1Char"/>
          <w:color w:val="auto"/>
          <w:sz w:val="22"/>
          <w:szCs w:val="22"/>
          <w:rtl/>
        </w:rPr>
        <w:t xml:space="preserve">עד אחד מעידה שהיא פרועה כיצד? </w:t>
      </w:r>
      <w:r w:rsidRPr="002F66D2">
        <w:rPr>
          <w:rStyle w:val="Style1Char"/>
          <w:sz w:val="22"/>
          <w:szCs w:val="22"/>
          <w:rtl/>
        </w:rPr>
        <w:t>היתה כתובתה אלף זוז</w:t>
      </w:r>
      <w:r w:rsidRPr="002F66D2">
        <w:rPr>
          <w:rStyle w:val="Style1Char"/>
          <w:color w:val="auto"/>
          <w:sz w:val="22"/>
          <w:szCs w:val="22"/>
          <w:rtl/>
        </w:rPr>
        <w:t xml:space="preserve">, ואמר לה, התקבלת כתובתיך והיא אומרת לא התקבלתי, ועד אחד מעידה שהיא פרועה - לא תפרע אלא בשבועה. </w:t>
      </w:r>
      <w:r w:rsidR="00815887">
        <w:rPr>
          <w:rStyle w:val="Style1Char"/>
          <w:rFonts w:hint="cs"/>
          <w:rtl/>
        </w:rPr>
        <w:t>(6)</w:t>
      </w:r>
      <w:r w:rsidR="00815887" w:rsidRPr="002F66D2">
        <w:rPr>
          <w:rStyle w:val="Style1Char"/>
          <w:color w:val="auto"/>
          <w:sz w:val="22"/>
          <w:szCs w:val="22"/>
          <w:rtl/>
        </w:rPr>
        <w:t xml:space="preserve"> </w:t>
      </w:r>
      <w:r w:rsidRPr="002F66D2">
        <w:rPr>
          <w:rStyle w:val="Style1Char"/>
          <w:color w:val="auto"/>
          <w:sz w:val="22"/>
          <w:szCs w:val="22"/>
          <w:rtl/>
        </w:rPr>
        <w:t xml:space="preserve">מנכסים משועבדים כיצד? מכר </w:t>
      </w:r>
      <w:r w:rsidRPr="000036A2">
        <w:rPr>
          <w:rStyle w:val="Style1Char"/>
          <w:color w:val="4472C4" w:themeColor="accent1"/>
          <w:sz w:val="22"/>
          <w:szCs w:val="22"/>
          <w:rtl/>
        </w:rPr>
        <w:t xml:space="preserve">כל </w:t>
      </w:r>
      <w:r w:rsidRPr="002F66D2">
        <w:rPr>
          <w:rStyle w:val="Style1Char"/>
          <w:color w:val="auto"/>
          <w:sz w:val="22"/>
          <w:szCs w:val="22"/>
          <w:rtl/>
        </w:rPr>
        <w:t>נכסיו לאחרים, והיא נפרעת מן הלקוחות - לא תפרע אלא בשבועה</w:t>
      </w:r>
      <w:r w:rsidRPr="00F74857">
        <w:rPr>
          <w:rStyle w:val="Style1Char"/>
          <w:sz w:val="22"/>
          <w:szCs w:val="22"/>
          <w:rtl/>
        </w:rPr>
        <w:t xml:space="preserve">. </w:t>
      </w:r>
      <w:r w:rsidR="00815887">
        <w:rPr>
          <w:rStyle w:val="Style1Char"/>
          <w:rFonts w:hint="cs"/>
          <w:rtl/>
        </w:rPr>
        <w:t>(4.2, 7)</w:t>
      </w:r>
      <w:r w:rsidR="00815887" w:rsidRPr="00F73FE2">
        <w:rPr>
          <w:rStyle w:val="Style1Char"/>
          <w:color w:val="auto"/>
          <w:sz w:val="22"/>
          <w:szCs w:val="22"/>
          <w:rtl/>
        </w:rPr>
        <w:t xml:space="preserve"> </w:t>
      </w:r>
      <w:r w:rsidRPr="00F73FE2">
        <w:rPr>
          <w:rStyle w:val="Style1Char"/>
          <w:color w:val="auto"/>
          <w:sz w:val="22"/>
          <w:szCs w:val="22"/>
          <w:rtl/>
        </w:rPr>
        <w:t xml:space="preserve">מנכסי יתומים כיצד? מת והניח נכסיו ליתומים, והיא נפרעת מן היתומים - לא תפרע אלא בשבועה. </w:t>
      </w:r>
      <w:r w:rsidR="0037367E">
        <w:rPr>
          <w:rStyle w:val="Style1Char"/>
          <w:rFonts w:hint="cs"/>
          <w:rtl/>
        </w:rPr>
        <w:t>(8)</w:t>
      </w:r>
      <w:r w:rsidR="0037367E" w:rsidRPr="00F73FE2">
        <w:rPr>
          <w:rStyle w:val="Style1Char"/>
          <w:color w:val="auto"/>
          <w:sz w:val="22"/>
          <w:szCs w:val="22"/>
          <w:rtl/>
        </w:rPr>
        <w:t xml:space="preserve"> </w:t>
      </w:r>
      <w:r w:rsidRPr="00F73FE2">
        <w:rPr>
          <w:rStyle w:val="Style1Char"/>
          <w:color w:val="auto"/>
          <w:sz w:val="22"/>
          <w:szCs w:val="22"/>
          <w:rtl/>
        </w:rPr>
        <w:t>ושלא בפניו כיצד? הלך לו למדינת הים, והיא נפרעת שלא בפניו - אינה נפרעת אלא בשבועה.</w:t>
      </w:r>
      <w:r w:rsidRPr="00F73FE2">
        <w:rPr>
          <w:rStyle w:val="Style1Char"/>
          <w:color w:val="auto"/>
          <w:rtl/>
        </w:rPr>
        <w:t xml:space="preserve"> </w:t>
      </w:r>
    </w:p>
    <w:p w14:paraId="2B02ECBC" w14:textId="7A3F1618" w:rsidR="00C369CA" w:rsidRDefault="00C369CA" w:rsidP="00C369CA">
      <w:pPr>
        <w:bidi/>
        <w:rPr>
          <w:rStyle w:val="Style1Char"/>
          <w:color w:val="4472C4" w:themeColor="accent1"/>
          <w:rtl/>
        </w:rPr>
      </w:pPr>
      <w:r w:rsidRPr="00E53B77">
        <w:rPr>
          <w:rStyle w:val="Style1Char"/>
          <w:color w:val="4472C4" w:themeColor="accent1"/>
          <w:rtl/>
        </w:rPr>
        <w:t>אף על גב דכתב לה בעלה נאמנות לא תפרע אלא בשבועה דלא מהניא נאמנות אלא דהמניה לוה למלוה עליה ועל ירתיה בתריה אבל היכא דאיכא עליה בעל חוב אינש אחרינא או כתובת אשה או לוקח דזבן מיניה לא מהניא ומסתייע הדין סברא מהא דגרסינן לעיל בפ' האשה (דף יט א) אמר רב יהודה אמר רב האומר שטר אמנה הוא זה אינו נאמן ואמרינן דקאמר מאן אילימא דקאמר לוה פשיטא אלא דקאמר מלוה תבא עליו ברכה וכו' אמר אביי לעולם דקאמר מלוה וכגון שחב לאחרים וכדר' נתן דאמר רבי נתן מנין לנושה בחבירו מנה וחבירו בחבירו מנין שמוציאין מזה ונותנין לזה שנאמר ונתן לאשר אשם לו אלמא כל היכא דהוא חייב לאחרים וליכא גביה מהיכא דפרע אין הודאתו הודאה</w:t>
      </w:r>
      <w:r>
        <w:rPr>
          <w:rStyle w:val="Style1Char"/>
          <w:rFonts w:hint="cs"/>
          <w:color w:val="4472C4" w:themeColor="accent1"/>
        </w:rPr>
        <w:t>‍</w:t>
      </w:r>
      <w:r w:rsidRPr="00E53B77">
        <w:rPr>
          <w:rStyle w:val="Style1Char"/>
          <w:color w:val="4472C4" w:themeColor="accent1"/>
          <w:rtl/>
        </w:rPr>
        <w:t xml:space="preserve"> והא נמי דכוותיה ומקשינן על דבריו מהא דתנן במתני' (לעיל פו ב) דמועיל נאמנות שכתב לאשה אף על הבאין ברשותה ותניא בתוספתא ואלו הן הבאין ברשותה כל שמכרה או נתנה לאחר וא"כ הבאין ברשותו נמי הוי שמכר נכסיו לאחרים וקתני דמועיל נאמנות וגובה האשה מהן בלא שבועה ויש לתרץ דבריו דהא דקאמר דלא מהניא נאמנות היינו אחר שמכר נכסיו דומיא דשטר אמנה דלאו כל כמיניה לגרועי כח הלקוחות אחר שמכר להן כבר אבל אם קדם הנאמנות ללקוחות לא פקע בשביל שמכר נכסיו לאחרים וכן חילק בעל המאור אבל מתוך דברי רב אלפס ז"ל משמע שלא ירד לחילוק זה דמשמע</w:t>
      </w:r>
      <w:r>
        <w:rPr>
          <w:rStyle w:val="Style1Char"/>
          <w:rFonts w:hint="cs"/>
          <w:color w:val="4472C4" w:themeColor="accent1"/>
        </w:rPr>
        <w:t>‍</w:t>
      </w:r>
      <w:r w:rsidRPr="00E53B77">
        <w:rPr>
          <w:rStyle w:val="Style1Char"/>
          <w:color w:val="4472C4" w:themeColor="accent1"/>
          <w:rtl/>
        </w:rPr>
        <w:t xml:space="preserve"> דמפליג בין ירתי ללקוחות</w:t>
      </w:r>
      <w:r>
        <w:rPr>
          <w:rStyle w:val="Style1Char"/>
          <w:rFonts w:hint="cs"/>
          <w:color w:val="4472C4" w:themeColor="accent1"/>
        </w:rPr>
        <w:t>‍</w:t>
      </w:r>
      <w:r w:rsidRPr="00E53B77">
        <w:rPr>
          <w:rStyle w:val="Style1Char"/>
          <w:color w:val="4472C4" w:themeColor="accent1"/>
          <w:rtl/>
        </w:rPr>
        <w:t xml:space="preserve"> וכן כתב רבינו חננאל ז"ל ומעשים בכל יום שאין נפרעין מן המשועבדים אף על פי שיש להם נאמנות אלא בשבועה ומן היתומים שלא בשבועה</w:t>
      </w:r>
      <w:r>
        <w:rPr>
          <w:rStyle w:val="Style1Char"/>
          <w:rFonts w:hint="cs"/>
          <w:color w:val="4472C4" w:themeColor="accent1"/>
        </w:rPr>
        <w:t>‍</w:t>
      </w:r>
      <w:r w:rsidRPr="00E53B77">
        <w:rPr>
          <w:rStyle w:val="Style1Char"/>
          <w:color w:val="4472C4" w:themeColor="accent1"/>
          <w:rtl/>
        </w:rPr>
        <w:t xml:space="preserve"> ואיפשר דטעמיה משום דחיישינן לקנוניא שמא פרעו והחזיר לו השטר אף על גב דמפרש בתוספתא דבאים ברשותה היינו לקוחות הבאים ברשותו לאו היינו לקוחות</w:t>
      </w:r>
      <w:r>
        <w:rPr>
          <w:rStyle w:val="Style1Char"/>
          <w:rFonts w:hint="cs"/>
          <w:color w:val="4472C4" w:themeColor="accent1"/>
        </w:rPr>
        <w:t>‍</w:t>
      </w:r>
      <w:r w:rsidRPr="00E53B77">
        <w:rPr>
          <w:rStyle w:val="Style1Char"/>
          <w:color w:val="4472C4" w:themeColor="accent1"/>
          <w:rtl/>
        </w:rPr>
        <w:t xml:space="preserve"> אלא אפיטרופוס שמינה על נכסיו והראב"ד וה"ר מאיר הלוי ז"ל חלקו גם הם בין קדמו הלקוחות ובין קדם הנאמנות והאידנא דנפישי רמאי נכון להחמיר כדברי רבינו חננאל ורב אלפס ז"ל</w:t>
      </w:r>
      <w:r w:rsidRPr="00E53B77">
        <w:rPr>
          <w:rStyle w:val="Style1Char"/>
          <w:color w:val="4472C4" w:themeColor="accent1"/>
        </w:rPr>
        <w:t>:</w:t>
      </w:r>
    </w:p>
    <w:p w14:paraId="5EA1F816" w14:textId="45F5F717" w:rsidR="00AD5512" w:rsidRDefault="00AD5512" w:rsidP="00AD5512">
      <w:pPr>
        <w:pStyle w:val="Style1"/>
        <w:rPr>
          <w:rtl/>
        </w:rPr>
      </w:pPr>
      <w:r>
        <w:rPr>
          <w:rFonts w:hint="cs"/>
          <w:rtl/>
        </w:rPr>
        <w:t>1)[</w:t>
      </w:r>
      <w:r>
        <w:rPr>
          <w:rtl/>
        </w:rPr>
        <w:t>רמב</w:t>
      </w:r>
      <w:r w:rsidR="00736FB6">
        <w:rPr>
          <w:rtl/>
        </w:rPr>
        <w:t>”ם \קניין\</w:t>
      </w:r>
      <w:r>
        <w:rPr>
          <w:rtl/>
        </w:rPr>
        <w:t xml:space="preserve"> הלכות שלוחין ושותפין פרק ט הלכה ד</w:t>
      </w:r>
      <w:r>
        <w:rPr>
          <w:rFonts w:hint="cs"/>
          <w:rtl/>
        </w:rPr>
        <w:t xml:space="preserve">] </w:t>
      </w:r>
      <w:r>
        <w:rPr>
          <w:rtl/>
        </w:rPr>
        <w:t>אף על פי שאין שם עדים שזה אריסו או שותפו אלא הוא מודה מפי עצמו ואמר שותפו או אריסו או בן ביתו אני אבל לא גזלתי כלום הרי זה נשבע בנקיטת חפץ שאין אומרים מיגו לפוטרו שבועה אלא לפוטרו ממון, איזהו בן הבית שיש לו להשביע בטענת ספק זה שמכניס פועלים ומוציא פועלים ומכניס לו פירות ומוציא לו פירות אבל בן הבית שאינו נושא ונותן אלא נכנס ברגלו ויוצא בלבד אינו יכול להשביע מספק, וכן אפוטרופוס שמינהו אבי יתומים אין היתומים משביעין אותו בטענת ספק, וכן האשה שלא נעשת אפוטרופא בחיי בעלה ולא נשאה ולא נתנה לאחר קבורת בעלה אין משביעין אותה מספק, וכן אם נשאה ונתנה בין מיתה וקבורה אין משביעין על זה שנשתמש בין מיתה לקבורה שאם אתה אומר שתשבע על זה לא תמכור לקבורה ונמצא המת מתנוול.</w:t>
      </w:r>
    </w:p>
    <w:p w14:paraId="61874ABF" w14:textId="13E08045" w:rsidR="00AD5512" w:rsidRDefault="00AD5512" w:rsidP="00AD5512">
      <w:pPr>
        <w:pStyle w:val="Style1"/>
        <w:rPr>
          <w:rtl/>
        </w:rPr>
      </w:pPr>
      <w:r>
        <w:rPr>
          <w:rFonts w:hint="cs"/>
          <w:rtl/>
        </w:rPr>
        <w:t>1)[</w:t>
      </w:r>
      <w:r>
        <w:rPr>
          <w:rtl/>
        </w:rPr>
        <w:t>שולחן ערוך אבן העזר הלכות כתובות סימן צח סעיף ה</w:t>
      </w:r>
      <w:r>
        <w:rPr>
          <w:rFonts w:hint="cs"/>
          <w:rtl/>
        </w:rPr>
        <w:t xml:space="preserve">] </w:t>
      </w:r>
      <w:r>
        <w:rPr>
          <w:rtl/>
        </w:rPr>
        <w:t>על מה שמכרה בין מיתה לקבורה, לצורך קבורה, אין משביעין אותה אפילו ע"י גלגול.</w:t>
      </w:r>
    </w:p>
    <w:p w14:paraId="26A59688" w14:textId="5911764C" w:rsidR="00AD5512" w:rsidRDefault="00AD5512" w:rsidP="00AD5512">
      <w:pPr>
        <w:pStyle w:val="Style1"/>
        <w:rPr>
          <w:rtl/>
        </w:rPr>
      </w:pPr>
      <w:r>
        <w:rPr>
          <w:rFonts w:hint="cs"/>
          <w:rtl/>
        </w:rPr>
        <w:t>2)[</w:t>
      </w:r>
      <w:r>
        <w:rPr>
          <w:rtl/>
        </w:rPr>
        <w:t>רמב</w:t>
      </w:r>
      <w:r w:rsidR="00213DA1">
        <w:rPr>
          <w:rtl/>
        </w:rPr>
        <w:t>”ם \נשים\</w:t>
      </w:r>
      <w:r>
        <w:rPr>
          <w:rtl/>
        </w:rPr>
        <w:t xml:space="preserve"> הלכות אישות פרק יב הלכה טז</w:t>
      </w:r>
      <w:r>
        <w:rPr>
          <w:rFonts w:hint="cs"/>
          <w:rtl/>
        </w:rPr>
        <w:t xml:space="preserve">] </w:t>
      </w:r>
      <w:r>
        <w:rPr>
          <w:rtl/>
        </w:rPr>
        <w:t>מי שהלך למדינה אחרת ובאה אשתו לבית דין לתבוע מזונות, שלשה חדשים הראשונים מיום הליכתו אין פוסקין לה בהן מזונות, חזקה היא שאין אדם מניח ביתו ריקן, מכאן ואילך פוסקין לה מזונות, ואם היו לו נכסים בית דין יורדין לנכסיו ומוכרין למזונותיה, ואין  מחשבין עמה על מעשה ידיה עד שיבוא בעלה אם מצא שעשת הרי אלו שלו. וכן אם לא עמדה בדין אלא מכרה לעצמה למזונות מכרה קיים ואינה צריכה הכרזה ולא שבועה עד שיבוא בעלה ויטעון או עד שתבוא לגבות כתובתה אחר מותו מגלגלין עליה שלא מכרה אלא למזונות שהיא צריכה להן.</w:t>
      </w:r>
    </w:p>
    <w:p w14:paraId="0AAD9524" w14:textId="6846C286" w:rsidR="00BF6572" w:rsidRDefault="00BF6572" w:rsidP="00BF6572">
      <w:pPr>
        <w:pStyle w:val="Style1"/>
        <w:rPr>
          <w:rtl/>
        </w:rPr>
      </w:pPr>
      <w:r>
        <w:rPr>
          <w:rFonts w:hint="cs"/>
          <w:rtl/>
        </w:rPr>
        <w:t>2)[</w:t>
      </w:r>
      <w:r>
        <w:rPr>
          <w:rtl/>
        </w:rPr>
        <w:t>רמב</w:t>
      </w:r>
      <w:r w:rsidR="00213DA1">
        <w:rPr>
          <w:rtl/>
        </w:rPr>
        <w:t>”ם \נשים\</w:t>
      </w:r>
      <w:r>
        <w:rPr>
          <w:rtl/>
        </w:rPr>
        <w:t xml:space="preserve"> הלכות אישות פרק יח הלכה כ</w:t>
      </w:r>
      <w:r>
        <w:rPr>
          <w:rFonts w:hint="cs"/>
          <w:rtl/>
        </w:rPr>
        <w:t xml:space="preserve">] </w:t>
      </w:r>
      <w:r>
        <w:rPr>
          <w:rtl/>
        </w:rPr>
        <w:t>אלמנה שבאת לבית דין לתבוע מזונות משביעין אותה בתחלה ומוכרין בלא הכרזה ונותנין לה מזונות, וכן יש לה למכור למזונות שלא בבית דין מומחין אלא בשלשה אנשים נאמנים בלא הכרזה, וכן אם מכרה למזונות בינה לבין עצמה שוה בשוה מכרה קיים, וכשיבאו היורשין להשביע אותה נשבעת.</w:t>
      </w:r>
    </w:p>
    <w:p w14:paraId="025776DB" w14:textId="11B589E1" w:rsidR="00BF6572" w:rsidRDefault="00BF6572" w:rsidP="00BF6572">
      <w:pPr>
        <w:pStyle w:val="Style1"/>
        <w:rPr>
          <w:rtl/>
        </w:rPr>
      </w:pPr>
      <w:r>
        <w:rPr>
          <w:rFonts w:hint="cs"/>
          <w:rtl/>
        </w:rPr>
        <w:t>2)[</w:t>
      </w:r>
      <w:r>
        <w:rPr>
          <w:rtl/>
        </w:rPr>
        <w:t>רמב</w:t>
      </w:r>
      <w:r w:rsidR="0057095E">
        <w:rPr>
          <w:rtl/>
        </w:rPr>
        <w:t>”ם \משפטים\</w:t>
      </w:r>
      <w:r>
        <w:rPr>
          <w:rtl/>
        </w:rPr>
        <w:t xml:space="preserve"> הלכות מלוה ולוה פרק יב הלכה יא</w:t>
      </w:r>
      <w:r>
        <w:rPr>
          <w:rFonts w:hint="cs"/>
          <w:rtl/>
        </w:rPr>
        <w:t xml:space="preserve">] </w:t>
      </w:r>
      <w:r>
        <w:rPr>
          <w:rtl/>
        </w:rPr>
        <w:t xml:space="preserve">ובית דין שהכריזו כראוי ובדקו יפה יפה ודקדקו בשומא אף על פי שטעו ומכרו שוה מנה במאתים או מאתים במנה הרי מכרן קיים, אבל אם לא בדקו בשומא ולא כתבו אגרת בקורת שהיא דקדוק השומא וההכרזה וטעו והותירו שתות או פחתו שתות מכרן בטל פחות משתות מכרן קיים, וכן אם מכרו קרקע בעת שאינן צריכין להכריז עליה וטעו שתות או הותירו שתות מכרן בטל אף על פי שהכריזו, פחות משתות מכרן קיים אף על פי שלא הכריזו שאינן צריכין הכרזה באותו העת, איזהו העת שאינן צריכין הכרזה בעת שימכרו קרקע לקבורה או למזון האשה והבנות או ליתן מנת המלך אין צריכין הכרזה לפי שהדבר נחוץ, וכן ב"ד שמכרו דברים שאינן טעונין הכרזה וטעו בשתות מכרן בטל פחות </w:t>
      </w:r>
      <w:r>
        <w:rPr>
          <w:rtl/>
        </w:rPr>
        <w:lastRenderedPageBreak/>
        <w:t>משתות מכרן קיים, ואלו הן הדברים שאין מכריזין עליהם העבדים והשטרות והמטלטלין, העבדים שמא ישמעו ויברחו, והשטרות והמטלטלין שמא יגנבו, לפיכך שמין אותן בבית דין ומוכרין אותן מיד, ואם השוק קרוב למדינה מוליכין אותן לשוק.</w:t>
      </w:r>
    </w:p>
    <w:p w14:paraId="1269798E" w14:textId="082D8CF7" w:rsidR="00BF6572" w:rsidRPr="007C21DD" w:rsidRDefault="00BF6572" w:rsidP="00BF6572">
      <w:pPr>
        <w:pStyle w:val="Style1"/>
      </w:pPr>
      <w:r>
        <w:rPr>
          <w:rFonts w:hint="cs"/>
          <w:rtl/>
        </w:rPr>
        <w:t>2)[</w:t>
      </w:r>
      <w:r>
        <w:rPr>
          <w:rtl/>
        </w:rPr>
        <w:t>שולחן ערוך אבן העזר הלכות כתובות סימן ע סעיף ה</w:t>
      </w:r>
      <w:r>
        <w:rPr>
          <w:rFonts w:hint="cs"/>
          <w:rtl/>
        </w:rPr>
        <w:t xml:space="preserve">] </w:t>
      </w:r>
      <w:r w:rsidRPr="007C21DD">
        <w:rPr>
          <w:rtl/>
        </w:rPr>
        <w:t>מי שהלך למדינת הים ובאה אשתו לבית דין לתבוע מזונות, שלשה חדשים הראשונים מיום הליכתו אין פוסקים לה בהם מזונות, שחזקה אין אדם מניח ביתו ריקן</w:t>
      </w:r>
      <w:r w:rsidRPr="007C21DD">
        <w:t>.</w:t>
      </w:r>
    </w:p>
    <w:p w14:paraId="7368EDF6" w14:textId="77777777" w:rsidR="00BF6572" w:rsidRPr="007C21DD" w:rsidRDefault="00BF6572" w:rsidP="00BF6572">
      <w:pPr>
        <w:pStyle w:val="Style1"/>
      </w:pPr>
      <w:r w:rsidRPr="007C21DD">
        <w:rPr>
          <w:rFonts w:hint="cs"/>
          <w:rtl/>
        </w:rPr>
        <w:t>הגה: אבל אם שתקה יותר, ותבעה אחר כך, אין פוסקין לה למפרע, רק מיום התביעה אפילו החמיצו הבית דין את הדין (הר"ן פרק שני דיני גזרות). ויש אומרים דאם נפרד ממנה בקטטה, ורוצה לעגנה, פוסקין לה לאלתר, דודאי הניח ביתו ריקן (מרדכי ריש דיני גזרות)</w:t>
      </w:r>
      <w:r w:rsidRPr="007C21DD">
        <w:t>.</w:t>
      </w:r>
    </w:p>
    <w:p w14:paraId="1B7DEB1C" w14:textId="56858BCA" w:rsidR="00BF6572" w:rsidRDefault="00BF6572" w:rsidP="00BF6572">
      <w:pPr>
        <w:pStyle w:val="Style1"/>
        <w:rPr>
          <w:rtl/>
        </w:rPr>
      </w:pPr>
      <w:r w:rsidRPr="007C21DD">
        <w:rPr>
          <w:rtl/>
        </w:rPr>
        <w:t>מכאן ואילך, אפילו אין כתובתה בידה פוסקים לה מזונות, אבל אין נותנים לה במה שתתקשט. ואם היו לו נכסים, בית דין יורדים לנכסיו ומוכרים למזונותיה, אפילו לא שמעו בו שמת. ואין מחשבים עמה על מעשה ידיה, עד שיבוא בעלה, אם מצא שעשתה הרי אלו שלו. וכן אם לא עמדה בדין, אלא מכרה לעצמה למזונות, מכרה קיים, ואינה צריכה הכרזה ולא שבועה, עד שיבוא בעלה ויטען, או עד שתבוא לגבות כתובתה אחר מותו, מגלגלין עליה שלא מכרה אלא למזונות שהיא צריכה להם</w:t>
      </w:r>
      <w:r w:rsidRPr="007C21DD">
        <w:t>:</w:t>
      </w:r>
    </w:p>
    <w:p w14:paraId="6A88866F" w14:textId="23D094ED" w:rsidR="00BF6572" w:rsidRDefault="00BF6572" w:rsidP="00BF6572">
      <w:pPr>
        <w:pStyle w:val="Style1"/>
        <w:rPr>
          <w:rtl/>
        </w:rPr>
      </w:pPr>
      <w:r>
        <w:rPr>
          <w:rFonts w:hint="cs"/>
          <w:rtl/>
        </w:rPr>
        <w:t>2)[</w:t>
      </w:r>
      <w:r>
        <w:rPr>
          <w:rtl/>
        </w:rPr>
        <w:t>שולחן ערוך אבן העזר הלכות כתובות סימן צג סעיף כה</w:t>
      </w:r>
      <w:r>
        <w:rPr>
          <w:rFonts w:hint="cs"/>
          <w:rtl/>
        </w:rPr>
        <w:t xml:space="preserve">] </w:t>
      </w:r>
      <w:r w:rsidRPr="00BF6572">
        <w:rPr>
          <w:rtl/>
        </w:rPr>
        <w:t>אלמנה שבאה לבית דין לתבוע מזונות, מוכרין בלא הכרזה ונותנין לה מזונות. וכן יש לה למכור למזונות שלא בבית דין מומחין, אלא בשלשה אנשים נאמנים בלא הכרזה. וכן אם מכרה בינה לבין עצמה שוה בשוה, מכרה קיים; ויש חולקין בזו</w:t>
      </w:r>
      <w:r w:rsidRPr="00BF6572">
        <w:t>:</w:t>
      </w:r>
    </w:p>
    <w:p w14:paraId="5C5096BA" w14:textId="7BA98FD7" w:rsidR="00BF6572" w:rsidRDefault="00BF6572" w:rsidP="00A32994">
      <w:pPr>
        <w:pStyle w:val="Style1"/>
        <w:rPr>
          <w:rtl/>
        </w:rPr>
      </w:pPr>
      <w:r>
        <w:rPr>
          <w:rFonts w:hint="cs"/>
          <w:rtl/>
        </w:rPr>
        <w:t>2)[</w:t>
      </w:r>
      <w:r>
        <w:rPr>
          <w:rtl/>
        </w:rPr>
        <w:t>שולחן ערוך אבן העזר הלכות כתובות סימן קד סעיף ג</w:t>
      </w:r>
      <w:r>
        <w:rPr>
          <w:rFonts w:hint="cs"/>
          <w:rtl/>
        </w:rPr>
        <w:t>]</w:t>
      </w:r>
      <w:r w:rsidR="00A32994">
        <w:rPr>
          <w:rFonts w:hint="cs"/>
          <w:rtl/>
        </w:rPr>
        <w:t xml:space="preserve"> </w:t>
      </w:r>
      <w:r w:rsidR="00A32994" w:rsidRPr="00A32994">
        <w:rPr>
          <w:rtl/>
        </w:rPr>
        <w:t>בית דין שהכריזו כראוי ובדקו יפה ודקדקו בשומא, אף על פי שטעו ומכרו שוה מנה במאתים או מאתים במנה, הרי מכרם קיים. אבל אם לא בדקו בשומא, ולא כתבו אגרת בקורת שהיא דקדוק השומא וההכרזה, וטעו והותירו שתות או פחתו שתות, מכרם בטל. פחות משתות, מכרם קיים. וכן אם מכרו קרקע בעת שאינם צריכים להכריז עליה, וטעו, ופחתו שתות או הותירו שתות, מכרן בטל, אף על פי שהכריזו</w:t>
      </w:r>
      <w:r w:rsidR="00A32994" w:rsidRPr="00A32994">
        <w:t>. </w:t>
      </w:r>
      <w:r w:rsidR="00A32994" w:rsidRPr="00A32994">
        <w:rPr>
          <w:rFonts w:hint="cs"/>
          <w:rtl/>
        </w:rPr>
        <w:t>ויש אומרים כיון שהכריזו, אפלו טעו בכפל, המקח קים (טור בשם הרא"ש) פחות משתות</w:t>
      </w:r>
      <w:r w:rsidR="00A32994" w:rsidRPr="00A32994">
        <w:t xml:space="preserve">, </w:t>
      </w:r>
      <w:r w:rsidR="00A32994" w:rsidRPr="00A32994">
        <w:rPr>
          <w:rtl/>
        </w:rPr>
        <w:t>מכרם קיים ואינו צריך להחזיר אונאה אף על פי שלא הכריזו. איזהו העת שאינם צריכים הכרזה, בעת שימכרו קרקע לקבורה או למזונות האשה והבנות או ליתן מנת המלך, אינם צריכים הכרזה, לפי שהדבר נחוץ. וכן אם לוו לצרך דברים אלו, כשמוכרים לפרעם אינם צריכים הכרזה</w:t>
      </w:r>
      <w:r w:rsidR="00A32994" w:rsidRPr="00A32994">
        <w:t>:</w:t>
      </w:r>
    </w:p>
    <w:p w14:paraId="76C72130" w14:textId="022C87A4" w:rsidR="00A32994" w:rsidRDefault="00A32994" w:rsidP="00A32994">
      <w:pPr>
        <w:pStyle w:val="Style1"/>
        <w:rPr>
          <w:rtl/>
        </w:rPr>
      </w:pPr>
      <w:r>
        <w:rPr>
          <w:rFonts w:hint="cs"/>
          <w:rtl/>
        </w:rPr>
        <w:t>2)[</w:t>
      </w:r>
      <w:r>
        <w:rPr>
          <w:rtl/>
        </w:rPr>
        <w:t>שולחן ערוך אבן העזר הלכות כתובות סימן קיב סעיף ו</w:t>
      </w:r>
      <w:r>
        <w:rPr>
          <w:rFonts w:hint="cs"/>
          <w:rtl/>
        </w:rPr>
        <w:t xml:space="preserve">] </w:t>
      </w:r>
      <w:r w:rsidRPr="00A32994">
        <w:rPr>
          <w:rtl/>
        </w:rPr>
        <w:t>פוסקין לבת מזונות וכסות ומדור מנכסי אביה, כדרך שפוסקין לאלמנה. ומוכרין למזון הבנות וכסותן בלא הכרזה, כדרך שמוכרין למזון האלמנה וכסותה; אלא שהאשה פוסקין לה לפי כבודה וכבוד בעלה, ולבת פוסקין לה דבר המספיק לה בלבד. ואין הבנות נשבעות</w:t>
      </w:r>
      <w:r w:rsidRPr="00A32994">
        <w:t>:</w:t>
      </w:r>
    </w:p>
    <w:p w14:paraId="4EF9A69E" w14:textId="12B73C47" w:rsidR="00A32994" w:rsidRPr="00A32994" w:rsidRDefault="00A32994" w:rsidP="00A32994">
      <w:pPr>
        <w:pStyle w:val="Style1"/>
      </w:pPr>
      <w:r>
        <w:rPr>
          <w:rFonts w:hint="cs"/>
          <w:rtl/>
        </w:rPr>
        <w:t>2)[</w:t>
      </w:r>
      <w:r>
        <w:rPr>
          <w:rtl/>
        </w:rPr>
        <w:t>שולחן ערוך חושן משפט הלכות גביית חוב מהיתומים סימן קט סעיף ג</w:t>
      </w:r>
      <w:r>
        <w:rPr>
          <w:rFonts w:hint="cs"/>
          <w:rtl/>
        </w:rPr>
        <w:t xml:space="preserve">] </w:t>
      </w:r>
      <w:r w:rsidRPr="00A32994">
        <w:rPr>
          <w:rtl/>
        </w:rPr>
        <w:t>ב"ד שמכרו שלא בהכרזה נעשו כמו שטעו בדבר משנה וחוזרים ומוכרים בהכרזה</w:t>
      </w:r>
      <w:r w:rsidRPr="00A32994">
        <w:t>:</w:t>
      </w:r>
    </w:p>
    <w:p w14:paraId="5A79D0F7" w14:textId="77777777" w:rsidR="00A32994" w:rsidRPr="00A32994" w:rsidRDefault="00A32994" w:rsidP="00A32994">
      <w:pPr>
        <w:pStyle w:val="Style1"/>
      </w:pPr>
      <w:r w:rsidRPr="00A32994">
        <w:rPr>
          <w:rFonts w:hint="cs"/>
          <w:rtl/>
        </w:rPr>
        <w:t>הגה: י"א דאם מכרו הקרקעות בשעה שאין קונין כגון בשעת מגפה או מלחמה מה שעשו עשוי דאין לב"ד למכור אלא בשעת הגבייה ויש חולקין (ב"י שתי הדעות)</w:t>
      </w:r>
      <w:r w:rsidRPr="00A32994">
        <w:t>:</w:t>
      </w:r>
    </w:p>
    <w:p w14:paraId="0E527E35" w14:textId="77777777" w:rsidR="00A32994" w:rsidRPr="00A32994" w:rsidRDefault="00A32994" w:rsidP="00A32994">
      <w:pPr>
        <w:pStyle w:val="Style1"/>
      </w:pPr>
      <w:r w:rsidRPr="00A32994">
        <w:rPr>
          <w:rtl/>
        </w:rPr>
        <w:t>וב"ד שמכרו האחריות על היתומים וב"ד שהכריזוה כראוי ובדקו יפה ודקדקו בשומא אע"פ שטעו ומכרו שוה מנה בק"ק או ק"ק במנה הרי מכרן קיים אבל אם לא בדקו בשומא ולא כתבו אגרת בקורת שהיא דקדוק השומא וההכרז' וטעו והותירו שתות או פחתו שתות מכרן בטל פחות משתות מכרן קיים וכן אם מכרו קרקע בעת שאינם צריכין להכריז עליה (או) במקום שנהגו שלא להכריז לעולם (טור ס"ז) וטעו ופחתו שתות או הותירו שתות מכרן בטל אף ע"פ שהכריזו </w:t>
      </w:r>
      <w:r w:rsidRPr="00A32994">
        <w:rPr>
          <w:rFonts w:hint="cs"/>
          <w:rtl/>
        </w:rPr>
        <w:t>(ויש אומרים דכיון שהכריזו אע"פ שלא היו צריכים מכרן קיים) (טור בשם הרא"ש)</w:t>
      </w:r>
    </w:p>
    <w:p w14:paraId="0DC06F01" w14:textId="48382B6E" w:rsidR="00A32994" w:rsidRDefault="00A32994" w:rsidP="00A32994">
      <w:pPr>
        <w:pStyle w:val="Style1"/>
        <w:rPr>
          <w:rtl/>
        </w:rPr>
      </w:pPr>
      <w:r w:rsidRPr="00A32994">
        <w:rPr>
          <w:rtl/>
        </w:rPr>
        <w:t>ואם רצו ב"ד שלא לבטל המכר ויחזירו האונאה מחזירין לא יהיה כח הדיוט חמור מהם פחות משתות מכרן קיים והוי מחילה כדין ההדיוט אע"פ שלא הכריזו שאינם צריכי' (הכרזה) באותה העת איזהו העת שאינם צריכים הכרזה כשמוכרים לפרוע למי שהלוה לצורך קבורה או למזון האשה והבנות או ליתן מנת המלך וכן ב"ד שמכרו דברים שאינם טעונים הכרזה וטעו בשתות מכרן בטל פחות משתות מכרן קיים ואלו הם הדברי' שאין מכריזין עליהם העבדים והשטרות והמטלטלי' אלא שמין אותם בב"ד ומוכרים אותם מיד ואם השוק קרוב למדינה מוליכים אותו לשוק</w:t>
      </w:r>
      <w:r w:rsidRPr="00A32994">
        <w:t>:</w:t>
      </w:r>
    </w:p>
    <w:p w14:paraId="2DE7079C" w14:textId="3A29E351" w:rsidR="009256D4" w:rsidRDefault="009256D4" w:rsidP="009256D4">
      <w:pPr>
        <w:pStyle w:val="Style1"/>
        <w:rPr>
          <w:rtl/>
        </w:rPr>
      </w:pPr>
      <w:r>
        <w:rPr>
          <w:rFonts w:hint="cs"/>
          <w:rtl/>
        </w:rPr>
        <w:t>3)[</w:t>
      </w:r>
      <w:r>
        <w:rPr>
          <w:rtl/>
        </w:rPr>
        <w:t>רמב</w:t>
      </w:r>
      <w:r w:rsidR="00213DA1">
        <w:rPr>
          <w:rtl/>
        </w:rPr>
        <w:t>”ם \נשים\</w:t>
      </w:r>
      <w:r>
        <w:rPr>
          <w:rtl/>
        </w:rPr>
        <w:t xml:space="preserve"> הלכות אישות פרק יח הלכה יט</w:t>
      </w:r>
      <w:r>
        <w:rPr>
          <w:rFonts w:hint="cs"/>
          <w:rtl/>
        </w:rPr>
        <w:t xml:space="preserve">] </w:t>
      </w:r>
      <w:r>
        <w:rPr>
          <w:rtl/>
        </w:rPr>
        <w:t>אלמנה שבאת לבית דין לתבוע מזונות יש מי שהורה שפוסקין לה מזונות ואין משביעין אותה, ואין ראוי לסמוך על הוראה זו מפני שנתחלף לו הדבר באשה שהלך בעלה למדינת הים, ורבותי הורו שאין לה מזונות מבית דין עד שתשבע שהרי זו באה להפרע מנכסי יתומים וכל הנפרע מנכסי יתומים לא יפרע אלא בשבועה, ולזה דעתי נוטה ובו ראוי לדון. /השגת הראב"ד/ ורבותי הורו שאין לה מזונות מב"ד עד שתשבע. א"א והלא מה שאמ' חנן תשבע לבסוף ולא תשבע בתחילה העמידוה בששמעו בו שמת והיינו אלמנה.</w:t>
      </w:r>
    </w:p>
    <w:p w14:paraId="4660A691" w14:textId="47950990" w:rsidR="009256D4" w:rsidRDefault="009256D4" w:rsidP="009256D4">
      <w:pPr>
        <w:pStyle w:val="Style1"/>
        <w:rPr>
          <w:rtl/>
        </w:rPr>
      </w:pPr>
      <w:r>
        <w:rPr>
          <w:rFonts w:hint="cs"/>
          <w:rtl/>
        </w:rPr>
        <w:t>3)[</w:t>
      </w:r>
      <w:r>
        <w:rPr>
          <w:rtl/>
        </w:rPr>
        <w:t>שולחן ערוך אבן העזר הלכות כתובות סימן צח סעיף ו</w:t>
      </w:r>
      <w:r>
        <w:rPr>
          <w:rFonts w:hint="cs"/>
          <w:rtl/>
        </w:rPr>
        <w:t xml:space="preserve">] </w:t>
      </w:r>
      <w:r>
        <w:rPr>
          <w:rtl/>
        </w:rPr>
        <w:t>כתב: דלא נדר דלא שבועה, אפילו אמר: מנכסי אילין, היורשים משביעין אותה, אלא אם כן פטרה בפירוש מהיורשים.</w:t>
      </w:r>
    </w:p>
    <w:p w14:paraId="3B9CAAFC" w14:textId="1CE869BD" w:rsidR="005E6F85" w:rsidRDefault="005E6F85" w:rsidP="005E6F85">
      <w:pPr>
        <w:pStyle w:val="Style1"/>
        <w:rPr>
          <w:rtl/>
        </w:rPr>
      </w:pPr>
      <w:r>
        <w:rPr>
          <w:rFonts w:hint="cs"/>
          <w:rtl/>
        </w:rPr>
        <w:t>4)[</w:t>
      </w:r>
      <w:r>
        <w:rPr>
          <w:rtl/>
        </w:rPr>
        <w:t>רמב</w:t>
      </w:r>
      <w:r w:rsidR="00213DA1">
        <w:rPr>
          <w:rtl/>
        </w:rPr>
        <w:t>”ם \נשים\</w:t>
      </w:r>
      <w:r>
        <w:rPr>
          <w:rtl/>
        </w:rPr>
        <w:t xml:space="preserve"> הלכות אישות פרק טז הלכה יד</w:t>
      </w:r>
      <w:r>
        <w:rPr>
          <w:rFonts w:hint="cs"/>
          <w:rtl/>
        </w:rPr>
        <w:t xml:space="preserve">] </w:t>
      </w:r>
      <w:r>
        <w:rPr>
          <w:rtl/>
        </w:rPr>
        <w:t>הפוגמת כתובתה לא תפרע אלא בשבועה כיצד, הוציאה שטר כתובה שיש בו אלף זוז הבעל אומר נתקבלה הכל והיא אומרת לא נתקבלתי אלא כך וכך, ואפילו יש עליה עדים במקצת שנטלה ואפילו דקדקה בחשבון מה שנטלה בחצי חצי פרוטה, לא תטול השאר אלא בשבועה.</w:t>
      </w:r>
    </w:p>
    <w:p w14:paraId="17CCF3A6" w14:textId="05338C21" w:rsidR="005E6F85" w:rsidRDefault="005E6F85" w:rsidP="005E6F85">
      <w:pPr>
        <w:pStyle w:val="Style1"/>
        <w:rPr>
          <w:rtl/>
        </w:rPr>
      </w:pPr>
      <w:r>
        <w:rPr>
          <w:rFonts w:hint="cs"/>
          <w:rtl/>
        </w:rPr>
        <w:t>4)[</w:t>
      </w:r>
      <w:r>
        <w:rPr>
          <w:rtl/>
        </w:rPr>
        <w:t>רמב</w:t>
      </w:r>
      <w:r w:rsidR="0057095E">
        <w:rPr>
          <w:rtl/>
        </w:rPr>
        <w:t>”ם \משפטים\</w:t>
      </w:r>
      <w:r>
        <w:rPr>
          <w:rtl/>
        </w:rPr>
        <w:t xml:space="preserve"> הלכות מלוה ולוה פרק יד הלכה א</w:t>
      </w:r>
      <w:r>
        <w:rPr>
          <w:rFonts w:hint="cs"/>
          <w:rtl/>
        </w:rPr>
        <w:t xml:space="preserve">] </w:t>
      </w:r>
      <w:r>
        <w:rPr>
          <w:rtl/>
        </w:rPr>
        <w:t>הפוגם את שטרו, או שעד אחד מעיד על שטרו שהוא פרוע, והבא ליפרע שלא בפני הלוה, והטורף מיד הלוקח, והנפרעים מן היורש בין קטן בין א גדול לא יפרע אלא בשבועה כעין של תורה (ואומר) לו כשיתבע השבע ואח"כ תטול, ואם היה החוב לזמן ותבע בזמנו יפרע שלא בשבועה, עבר זמנו לא יגבה אלא בשבועה.</w:t>
      </w:r>
    </w:p>
    <w:p w14:paraId="299D29A5" w14:textId="3851D541" w:rsidR="005E6F85" w:rsidRDefault="005E6F85" w:rsidP="005E6F85">
      <w:pPr>
        <w:pStyle w:val="Style1"/>
        <w:rPr>
          <w:rtl/>
        </w:rPr>
      </w:pPr>
      <w:r>
        <w:rPr>
          <w:rFonts w:hint="cs"/>
          <w:rtl/>
        </w:rPr>
        <w:t>4)[</w:t>
      </w:r>
      <w:r>
        <w:rPr>
          <w:rtl/>
        </w:rPr>
        <w:t>שולחן ערוך אבן העזר הלכות כתובות סימן צו סעיף ז</w:t>
      </w:r>
      <w:r>
        <w:rPr>
          <w:rFonts w:hint="cs"/>
          <w:rtl/>
        </w:rPr>
        <w:t xml:space="preserve">] </w:t>
      </w:r>
      <w:r>
        <w:rPr>
          <w:rtl/>
        </w:rPr>
        <w:t>פעמים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w:t>
      </w:r>
    </w:p>
    <w:p w14:paraId="1178F190" w14:textId="748E5FAD" w:rsidR="005E6F85" w:rsidRDefault="005E6F85" w:rsidP="005E6F85">
      <w:pPr>
        <w:pStyle w:val="Style1"/>
        <w:rPr>
          <w:rtl/>
        </w:rPr>
      </w:pPr>
      <w:r>
        <w:rPr>
          <w:rFonts w:hint="cs"/>
          <w:rtl/>
        </w:rPr>
        <w:t>4)[</w:t>
      </w:r>
      <w:r>
        <w:rPr>
          <w:rtl/>
        </w:rPr>
        <w:t>שולחן ערוך חושן משפט הלכות טוען ונטען סימן פד סעיף א</w:t>
      </w:r>
      <w:r>
        <w:rPr>
          <w:rFonts w:hint="cs"/>
          <w:rtl/>
        </w:rPr>
        <w:t xml:space="preserve">] </w:t>
      </w:r>
      <w:r w:rsidRPr="005E6F85">
        <w:rPr>
          <w:rtl/>
        </w:rPr>
        <w:t>הפוגם שטרו לא יפרע אלא בשבועה אע"פ שלא טען הלוה השבע לי כיצד הרי ששטרו אלף זוז וטען הלוה פרוע כולו ומלוה אומר לא נפרעתי אלא מקצתו לא יפרע את השאר אלא בשבועה כעין של תורה אפילו היו עדים בשעת הפרעון או שכתב לו שובר במה שפרע ולא אמרינן אם איתא דפרע טפי בעדים הוה פרע ליה כדפרעיה מעיקרא או היה כותב לו שובר ואפילו דקדק לצרף בחשבונו אפילו פחות משוה פרוטה לא אמרינן כיון שדקדק כל כך קושטא קאמר ואם יש בו נאמנות אע"פ שלא פירש בין בכולו בין במקצתו נוטל בלא שבועה</w:t>
      </w:r>
      <w:r w:rsidRPr="005E6F85">
        <w:t>:</w:t>
      </w:r>
    </w:p>
    <w:p w14:paraId="14F960D8" w14:textId="335A7BA8" w:rsidR="006B670F" w:rsidRDefault="006B670F" w:rsidP="006B670F">
      <w:pPr>
        <w:pStyle w:val="Style1"/>
        <w:rPr>
          <w:rtl/>
        </w:rPr>
      </w:pPr>
      <w:r>
        <w:rPr>
          <w:rFonts w:hint="cs"/>
          <w:rtl/>
        </w:rPr>
        <w:t>5)[</w:t>
      </w:r>
      <w:r>
        <w:rPr>
          <w:rtl/>
        </w:rPr>
        <w:t>רמב</w:t>
      </w:r>
      <w:r w:rsidR="00213DA1">
        <w:rPr>
          <w:rtl/>
        </w:rPr>
        <w:t>”ם \נשים\</w:t>
      </w:r>
      <w:r>
        <w:rPr>
          <w:rtl/>
        </w:rPr>
        <w:t xml:space="preserve"> הלכות אישות פרק טז הלכה טו</w:t>
      </w:r>
      <w:r>
        <w:rPr>
          <w:rFonts w:hint="cs"/>
          <w:rtl/>
        </w:rPr>
        <w:t xml:space="preserve">] </w:t>
      </w:r>
      <w:r>
        <w:rPr>
          <w:rtl/>
        </w:rPr>
        <w:t>אמר הבעל נתקבלה הכל והיא אומרת לא נתקבלתי כלום ועד אחד מעיד עליה שנתקבלה הכל או מקצת לא תפרע כל הכתובה אלא בשבועה.</w:t>
      </w:r>
    </w:p>
    <w:p w14:paraId="2E0EA26A" w14:textId="1857A392" w:rsidR="006B670F" w:rsidRDefault="006B670F" w:rsidP="006B670F">
      <w:pPr>
        <w:pStyle w:val="Style1"/>
      </w:pPr>
      <w:r>
        <w:rPr>
          <w:rFonts w:hint="cs"/>
          <w:rtl/>
        </w:rPr>
        <w:t>5)[</w:t>
      </w:r>
      <w:r>
        <w:rPr>
          <w:rtl/>
        </w:rPr>
        <w:t>שולחן ערוך אבן העזר הלכות כתובות סימן צו סעיף ח</w:t>
      </w:r>
      <w:r>
        <w:rPr>
          <w:rFonts w:hint="cs"/>
          <w:rtl/>
        </w:rPr>
        <w:t xml:space="preserve">] </w:t>
      </w:r>
      <w:r>
        <w:rPr>
          <w:rtl/>
        </w:rPr>
        <w:t>וכן אם עד אחד מעידה שהיא פרועה.</w:t>
      </w:r>
    </w:p>
    <w:p w14:paraId="78A456B5" w14:textId="20A29B2F" w:rsidR="006B670F" w:rsidRDefault="006B670F" w:rsidP="006B670F">
      <w:pPr>
        <w:pStyle w:val="Style1"/>
        <w:rPr>
          <w:rtl/>
        </w:rPr>
      </w:pPr>
      <w:r>
        <w:rPr>
          <w:rFonts w:hint="cs"/>
          <w:rtl/>
        </w:rPr>
        <w:lastRenderedPageBreak/>
        <w:t>5)[</w:t>
      </w:r>
      <w:r>
        <w:rPr>
          <w:rtl/>
        </w:rPr>
        <w:t>שולחן ערוך חושן משפט הלכות טוען ונטען סימן פד סעיף ה</w:t>
      </w:r>
      <w:r>
        <w:rPr>
          <w:rFonts w:hint="cs"/>
          <w:rtl/>
        </w:rPr>
        <w:t>]</w:t>
      </w:r>
      <w:r w:rsidR="009258B0">
        <w:rPr>
          <w:rFonts w:hint="cs"/>
          <w:rtl/>
        </w:rPr>
        <w:t xml:space="preserve"> </w:t>
      </w:r>
      <w:r w:rsidR="009258B0" w:rsidRPr="009258B0">
        <w:rPr>
          <w:rtl/>
        </w:rPr>
        <w:t>עד אחר מעיד בשטר שהוא פרוע לא יפרע אלא בשבועה בד"א כשעבר זמנו אבל אם הוא תוך זמנו נפרע שלא בשבועה אא"כ טען הלוה ישבע לי עד א' מעיד על שטר שהוא פרוע ומת המלוה עד שלא נשבע אין יורשין גובין אותו והוא הדין לפוגם שטרו ומת עד שלא נשבע</w:t>
      </w:r>
      <w:r w:rsidR="009258B0" w:rsidRPr="009258B0">
        <w:t>:</w:t>
      </w:r>
    </w:p>
    <w:p w14:paraId="0DC9DC50" w14:textId="00D8BC65" w:rsidR="00F72E04" w:rsidRDefault="00F72E04" w:rsidP="00F72E04">
      <w:pPr>
        <w:pStyle w:val="Style1"/>
        <w:rPr>
          <w:rtl/>
        </w:rPr>
      </w:pPr>
      <w:r>
        <w:rPr>
          <w:rFonts w:hint="cs"/>
          <w:rtl/>
        </w:rPr>
        <w:t>6)[</w:t>
      </w:r>
      <w:r>
        <w:rPr>
          <w:rtl/>
        </w:rPr>
        <w:t>רמב</w:t>
      </w:r>
      <w:r w:rsidR="00213DA1">
        <w:rPr>
          <w:rtl/>
        </w:rPr>
        <w:t>”ם \נשים\</w:t>
      </w:r>
      <w:r>
        <w:rPr>
          <w:rtl/>
        </w:rPr>
        <w:t xml:space="preserve"> הלכות אישות פרק טז הלכה כ</w:t>
      </w:r>
      <w:r>
        <w:rPr>
          <w:rFonts w:hint="cs"/>
          <w:rtl/>
        </w:rPr>
        <w:t xml:space="preserve">] </w:t>
      </w:r>
      <w:r>
        <w:rPr>
          <w:rtl/>
        </w:rPr>
        <w:t>התנה עמה שתגבה כתובתה מיורשיו בלא שבועה או שתהיה נאמנת בכל מה שתטעון על יורשיו הרי זו נוטלת מהן בלא שבועה, אבל אם באה לטרוף מנכסים משועבדים לא תטרוף אלא בשבועה ואף על פי שהאמינה הבעל, שאין תנאי הבעל מועיל אלא עליו ועל יורשיו אבל להפסיד ממון אחרים אינו מועיל. /השגת הראב"ד/ שאין תנאי הבעל מועיל אלא עליו ועל יורשיו. א"א איני מודה בזה שאם קדם הנאמנות למקח לוקח איהו דאפסיד אנפשיה.</w:t>
      </w:r>
    </w:p>
    <w:p w14:paraId="409AC40E" w14:textId="2587532A" w:rsidR="00F72E04" w:rsidRDefault="00F72E04" w:rsidP="00F72E04">
      <w:pPr>
        <w:pStyle w:val="Style1"/>
        <w:rPr>
          <w:rtl/>
        </w:rPr>
      </w:pPr>
      <w:r>
        <w:rPr>
          <w:rFonts w:hint="cs"/>
          <w:rtl/>
        </w:rPr>
        <w:t>6)[</w:t>
      </w:r>
      <w:r>
        <w:rPr>
          <w:rtl/>
        </w:rPr>
        <w:t>רמב</w:t>
      </w:r>
      <w:r w:rsidR="0057095E">
        <w:rPr>
          <w:rtl/>
        </w:rPr>
        <w:t>”ם \משפטים\</w:t>
      </w:r>
      <w:r>
        <w:rPr>
          <w:rtl/>
        </w:rPr>
        <w:t xml:space="preserve"> הלכות מלוה ולוה פרק כב הלכה י</w:t>
      </w:r>
      <w:r>
        <w:rPr>
          <w:rFonts w:hint="cs"/>
          <w:rtl/>
        </w:rPr>
        <w:t xml:space="preserve">] </w:t>
      </w:r>
      <w:r>
        <w:rPr>
          <w:rtl/>
        </w:rPr>
        <w:t>ואח"כ משביעין את הלוה שאין לו כלום כתקנת הגאונים אם היה הלוה עמנו במדינה, ומשביעין את הטורף בנקיטת חפץ שלא נפרע חוב זה ולא מחלו ולא מכרו לאחר, ואח"כ מורידין אותו לנכסי הלוקח בשומא שלו וכותבין הורדה.</w:t>
      </w:r>
    </w:p>
    <w:p w14:paraId="47CF016E" w14:textId="1F8E39EB" w:rsidR="00F72E04" w:rsidRDefault="00F72E04" w:rsidP="00F72E04">
      <w:pPr>
        <w:pStyle w:val="Style1"/>
        <w:rPr>
          <w:rtl/>
        </w:rPr>
      </w:pPr>
      <w:r>
        <w:rPr>
          <w:rFonts w:hint="cs"/>
          <w:rtl/>
        </w:rPr>
        <w:t>6)[</w:t>
      </w:r>
      <w:r>
        <w:rPr>
          <w:rtl/>
        </w:rPr>
        <w:t>שולחן ערוך אבן העזר הלכות כתובות סימן צו סעיף ט</w:t>
      </w:r>
      <w:r>
        <w:rPr>
          <w:rFonts w:hint="cs"/>
          <w:rtl/>
        </w:rPr>
        <w:t>] ו</w:t>
      </w:r>
      <w:r>
        <w:rPr>
          <w:rtl/>
        </w:rPr>
        <w:t>כן אם היא טורפת מלקוחות. הגה: וכן אם היו לו שתי נשים וגירש אחת, צריכה לישבע לשניה (ב"י בשם המ"מ), וכמו שיתבאר לקמן סעיף ט"ז.</w:t>
      </w:r>
    </w:p>
    <w:p w14:paraId="753D553A" w14:textId="6C8339DB" w:rsidR="00F72E04" w:rsidRDefault="00F72E04" w:rsidP="00B73586">
      <w:pPr>
        <w:pStyle w:val="Style1"/>
        <w:rPr>
          <w:rtl/>
        </w:rPr>
      </w:pPr>
      <w:r>
        <w:rPr>
          <w:rFonts w:hint="cs"/>
          <w:rtl/>
        </w:rPr>
        <w:t>6)[</w:t>
      </w:r>
      <w:r>
        <w:rPr>
          <w:rtl/>
        </w:rPr>
        <w:t>שולחן ערוך חושן משפט הלכות גביית מלוה סימן צח סעיף ט</w:t>
      </w:r>
      <w:r>
        <w:rPr>
          <w:rFonts w:hint="cs"/>
          <w:rtl/>
        </w:rPr>
        <w:t>]</w:t>
      </w:r>
      <w:r w:rsidR="00B73586">
        <w:rPr>
          <w:rFonts w:hint="cs"/>
          <w:rtl/>
        </w:rPr>
        <w:t xml:space="preserve"> </w:t>
      </w:r>
      <w:r w:rsidR="00B73586" w:rsidRPr="00B73586">
        <w:rPr>
          <w:rtl/>
        </w:rPr>
        <w:t>כיצד כותבים האדרכתא אם לנכסים בני חורין הורידוהו כותבים איש פלו' נתחייב לפלו' בדין כך וכך ולא נתן לו מעצמו וכתבנו לו אדרכתא זו על שדה פלונית שלו ואח"כ שמין לו שלשה באותו שדה כנגד חובו ומכריזין עליהם כפי מה שיראה </w:t>
      </w:r>
      <w:r w:rsidR="00B73586" w:rsidRPr="00B73586">
        <w:rPr>
          <w:rFonts w:hint="cs"/>
        </w:rPr>
        <w:t>(</w:t>
      </w:r>
      <w:r w:rsidR="00B73586" w:rsidRPr="00B73586">
        <w:rPr>
          <w:rFonts w:hint="cs"/>
          <w:rtl/>
        </w:rPr>
        <w:t>ובטור </w:t>
      </w:r>
      <w:hyperlink r:id="rId231" w:tooltip="טור חושן משפט קב" w:history="1">
        <w:r w:rsidR="00B73586" w:rsidRPr="00B73586">
          <w:rPr>
            <w:rStyle w:val="Hyperlink"/>
            <w:rFonts w:hint="cs"/>
            <w:color w:val="7030A0"/>
            <w:u w:val="none"/>
            <w:rtl/>
          </w:rPr>
          <w:t>סי' ק"ב</w:t>
        </w:r>
      </w:hyperlink>
      <w:r w:rsidR="00B73586" w:rsidRPr="00B73586">
        <w:rPr>
          <w:rFonts w:hint="cs"/>
        </w:rPr>
        <w:t> </w:t>
      </w:r>
      <w:r w:rsidR="00B73586" w:rsidRPr="00B73586">
        <w:rPr>
          <w:rFonts w:hint="cs"/>
          <w:rtl/>
        </w:rPr>
        <w:t>ס"ב הביא זה ג"כ</w:t>
      </w:r>
      <w:r w:rsidR="00B73586" w:rsidRPr="00B73586">
        <w:rPr>
          <w:rFonts w:hint="cs"/>
        </w:rPr>
        <w:t>)</w:t>
      </w:r>
      <w:r w:rsidR="00B73586" w:rsidRPr="00B73586">
        <w:t> </w:t>
      </w:r>
      <w:r w:rsidR="00B73586" w:rsidRPr="00B73586">
        <w:rPr>
          <w:rtl/>
        </w:rPr>
        <w:t>עד שיפסקו המוסיפים ומורידין אותו בחובו לחלק ששמו אותו וקורעין שטר החוב אם היה שם שטר ואם לא היו לו נכסים בני חורין כותבין האדרכתא כך איש פלו' נתחייב לפלו' כך בשטר חוב שבידו ולא נתן לו חובו ולא מצינו לו נכסים בני חורין וכבר קרענו לשטר שיש לו עליו ונתננו לפלו' רשות לדרוש ולחקור ולהיות ידו נטויה על כל הנכסים שימצאו לו וכל הקרקעות שמכר מזמן פלו' והלאה יש לו רשות לגבות חובו מהכל ואחר שכותבין אדרכתא זו הולך המלוה ומחפש אם מצא לו נכסים בני חורין שמין לו מהם מצא לו נכסים משועבדים מאחר זמן שטרו טורף מהם וקורעים שטר האדרכתא וכותבין לו שטר הטרפא כיצד כותבין איש פלו' בן פלו' זכה בדין לטרוף בדין בחוב שפלו' חייב לו שהוא כו"כ בשדה פלונית שלקחה פלונ' בכך וכך מזמן פלו' וכבר קרענו האדרכתא שהיתה בידו והרשינוהו לטרוף מזה בכך וכך ואחר שכותבים הטירפא לטרוף מורידין ג' בקיאים לאותה שדה ושמין לו ממנה כשיעור חובו מהקרן וחצי השבח ומכריזין עליה שלשים יום כדרך שמכריזין על נכסי יתומים ואח"כ משביעין את הלוה שאין לו כלום אם היה הלוה עמנו במדינה ומשביעין את הטורף בנק"ח שלא נפרע חוב זה ולא מחלו ולא מכרו לאחר ואח"כ מורידים אותו לנכסי הלוקח בשומא שלו וכותבין הורדה וכיצד כותבין אחר ששמנו לפלו' בשומא שהיתה בידו והכרזנו ל' יום כראוי והשבענו את זה הטורף ואת הבעל חוב הורדנוהו לשדה פלונית להיות משתמש בה כדרך שאדם משתמש בקניינו ומאימתי אוכל הטורף פירות שדה זו משיפסקו ימי ההכרזה (שם בפ' הנושא) ואם יש טעות באדרכתא אינו אוכל פירות אפי' מיום ששלמו ימי ההכרזה</w:t>
      </w:r>
      <w:r w:rsidR="00B73586" w:rsidRPr="00B73586">
        <w:t>:</w:t>
      </w:r>
    </w:p>
    <w:p w14:paraId="31762092" w14:textId="16DEFB39" w:rsidR="00B73586" w:rsidRDefault="00B73586" w:rsidP="00B73586">
      <w:pPr>
        <w:pStyle w:val="Style1"/>
        <w:rPr>
          <w:rtl/>
        </w:rPr>
      </w:pPr>
      <w:r>
        <w:rPr>
          <w:rFonts w:hint="cs"/>
          <w:rtl/>
        </w:rPr>
        <w:t>6)[</w:t>
      </w:r>
      <w:r>
        <w:rPr>
          <w:rtl/>
        </w:rPr>
        <w:t>שולחן ערוך חושן משפט הלכות גביית חוב מנכסים משועבדים סימן קיד סעיף ד</w:t>
      </w:r>
      <w:r>
        <w:rPr>
          <w:rFonts w:hint="cs"/>
          <w:rtl/>
        </w:rPr>
        <w:t xml:space="preserve">] </w:t>
      </w:r>
      <w:r w:rsidRPr="00B73586">
        <w:rPr>
          <w:rtl/>
        </w:rPr>
        <w:t>אחר שכותבין הטירפא מורידין שלשה בקיאין לאותה שדה ושמין לו ממנה כשיעור חובו כפי מה שראוי לו מהקרן וחצי השבח כפי מה ששוה עתה ומכריזין עליה ל' יום כדרך שמכריזים על נכסי יתומים שנתבאר בסי' ק"ט ואחר כך משביעין את הלוה בתקנת הגאונים שאין לו כלום אם היה הלוה עמנו במדינה ומשביעין את הטורף בנקיטת חפץ שלא נפרע חוב זה ושלא מחלו ושלא מכרו לאחר וכולל בשבועתו שאין זה שטר אמנה ואם </w:t>
      </w:r>
      <w:r w:rsidRPr="00B73586">
        <w:rPr>
          <w:rFonts w:hint="cs"/>
        </w:rPr>
        <w:t>(</w:t>
      </w:r>
      <w:r w:rsidRPr="00B73586">
        <w:rPr>
          <w:rFonts w:hint="cs"/>
          <w:rtl/>
        </w:rPr>
        <w:t>הוא</w:t>
      </w:r>
      <w:r w:rsidRPr="00B73586">
        <w:rPr>
          <w:rFonts w:hint="cs"/>
        </w:rPr>
        <w:t>)</w:t>
      </w:r>
      <w:r w:rsidRPr="00B73586">
        <w:t> </w:t>
      </w:r>
      <w:r w:rsidRPr="00B73586">
        <w:rPr>
          <w:rtl/>
        </w:rPr>
        <w:t>תוך הזמן טורף בלא שבועה ואח"כ מורידין אותו לנכסי הלוקח בשומא על פי מה שנתבאר </w:t>
      </w:r>
      <w:hyperlink r:id="rId232" w:tooltip="שולחן ערוך חושן משפט קג" w:history="1">
        <w:r w:rsidRPr="00B73586">
          <w:rPr>
            <w:rStyle w:val="Hyperlink"/>
            <w:color w:val="7030A0"/>
            <w:u w:val="none"/>
            <w:rtl/>
          </w:rPr>
          <w:t>בסי' ק"ג</w:t>
        </w:r>
      </w:hyperlink>
      <w:r w:rsidRPr="00B73586">
        <w:t> </w:t>
      </w:r>
      <w:r w:rsidRPr="00B73586">
        <w:rPr>
          <w:rtl/>
        </w:rPr>
        <w:t>וכותבים הורדה וכותבים בה שהכירו שהיא של פלו' הלוה וכותבים שקרעו הטרפא</w:t>
      </w:r>
      <w:r w:rsidRPr="00B73586">
        <w:t>:</w:t>
      </w:r>
    </w:p>
    <w:p w14:paraId="0358688B" w14:textId="066D22FD" w:rsidR="00B73586" w:rsidRDefault="00B73586" w:rsidP="00B73586">
      <w:pPr>
        <w:pStyle w:val="Style1"/>
        <w:rPr>
          <w:rtl/>
        </w:rPr>
      </w:pPr>
      <w:r>
        <w:rPr>
          <w:rFonts w:hint="cs"/>
          <w:rtl/>
        </w:rPr>
        <w:t>7)[</w:t>
      </w:r>
      <w:r>
        <w:rPr>
          <w:rtl/>
        </w:rPr>
        <w:t>רמב</w:t>
      </w:r>
      <w:r w:rsidR="00213DA1">
        <w:rPr>
          <w:rtl/>
        </w:rPr>
        <w:t>”ם \נשים\</w:t>
      </w:r>
      <w:r>
        <w:rPr>
          <w:rtl/>
        </w:rPr>
        <w:t xml:space="preserve"> הלכות אישות פרק טז הלכה יט</w:t>
      </w:r>
      <w:r>
        <w:rPr>
          <w:rFonts w:hint="cs"/>
          <w:rtl/>
        </w:rPr>
        <w:t xml:space="preserve">] </w:t>
      </w:r>
      <w:r>
        <w:rPr>
          <w:rtl/>
        </w:rPr>
        <w:t>אמר הבעל מעצמו תשבע לי על טענתי אומרין לה השבעי וטלי ותשבע בנקיטת חפץ. התנה עמה שתגבה כתובתה בלא שבועה או שתהיה נאמנת בכל מה שתטעון גובה ממנו בלא שבועה כלל, אבל אם באה לגבות מיורשיו תשבע ואחר כך תטול.</w:t>
      </w:r>
    </w:p>
    <w:p w14:paraId="0BC56561" w14:textId="60B15EAA" w:rsidR="00815887" w:rsidRPr="00AF2148" w:rsidRDefault="00815887" w:rsidP="00815887">
      <w:pPr>
        <w:pStyle w:val="Style1"/>
      </w:pPr>
      <w:r>
        <w:rPr>
          <w:rFonts w:hint="cs"/>
          <w:rtl/>
        </w:rPr>
        <w:t>7)[</w:t>
      </w:r>
      <w:r>
        <w:rPr>
          <w:rtl/>
        </w:rPr>
        <w:t>שולחן ערוך אבן העזר הלכות כתובות סימן צו סעיף א</w:t>
      </w:r>
      <w:r>
        <w:rPr>
          <w:rFonts w:hint="cs"/>
          <w:rtl/>
        </w:rPr>
        <w:t>]</w:t>
      </w:r>
      <w:r w:rsidRPr="00AF2148">
        <w:rPr>
          <w:rtl/>
        </w:rPr>
        <w:t>אין אלמנה גובה כתובתה, עיקר ותוספת, אלא בשבועה. ונכסי מלוג ונכסי צאן ברזל, או נכסים שיחד לה בכתובתה בעין, אם אותם שהכניסה לו הם בעצמם קיימים, או דברים שידוע שבאו מכחם, נוטלת אותם בלא שבועה. ואם נכסי צאן ברזל אינם קיימים, ולא דברים הבאים מכחם, ובאה לפרע מנכסיו, אינה נפרעת אלא בשבועה. והוא הדין אם יחד לה מטלטלים בכתובתה, שיש לחלק בהם כמו שחלקנו בנכסי צאן ברזל. ואם יחד לה קרקע בכתובתה, אף על פי שלא פרש אלא מצד אחד, נוטלתו בלא שבועה. ואם מתה קדם שנשבעה, אין יורשיה יורשין כתובתה, שאין אדם מוריש לבניו ממון שאין יכול לגבותו אלא בשבועה</w:t>
      </w:r>
      <w:r w:rsidRPr="00AF2148">
        <w:t>.</w:t>
      </w:r>
    </w:p>
    <w:p w14:paraId="2ECEE925" w14:textId="77777777" w:rsidR="00815887" w:rsidRPr="00AF2148" w:rsidRDefault="00815887" w:rsidP="00815887">
      <w:pPr>
        <w:pStyle w:val="Style1"/>
      </w:pPr>
      <w:r w:rsidRPr="00AF2148">
        <w:rPr>
          <w:rFonts w:hint="cs"/>
          <w:rtl/>
        </w:rPr>
        <w:t>הגה: ועין בחלוקי דין זה </w:t>
      </w:r>
      <w:hyperlink r:id="rId233" w:tooltip="שולחן ערוך חושן משפט קח" w:history="1">
        <w:r w:rsidRPr="00AF2148">
          <w:rPr>
            <w:rStyle w:val="Hyperlink"/>
            <w:rFonts w:hint="cs"/>
            <w:color w:val="7030A0"/>
            <w:u w:val="none"/>
            <w:rtl/>
          </w:rPr>
          <w:t>בחשן המשפט סימן ק"ח</w:t>
        </w:r>
      </w:hyperlink>
      <w:r w:rsidRPr="00AF2148">
        <w:rPr>
          <w:rFonts w:hint="cs"/>
        </w:rPr>
        <w:t xml:space="preserve">. </w:t>
      </w:r>
      <w:r w:rsidRPr="00AF2148">
        <w:rPr>
          <w:rFonts w:hint="cs"/>
          <w:rtl/>
        </w:rPr>
        <w:t>יש אומרים הא דאין יורשיה יורשין כתובתה היינו בדלא תפסה, אבל תפסה, יורשיה יורשין כתובתה הואיל והן מוחזקין; (כן משמע בטור חשן המשפט סימן ק"ח ובמרדכי ריש אלמנה נזונית ובפרק מי שמת ומהרי"ו סימן צ"ה ובתרומת הדשן סימן ש"ל). ויש חולקים (מרדכי פרק כל הנשבעין בשם מוהר"ם), ועין </w:t>
      </w:r>
      <w:hyperlink r:id="rId234" w:tooltip="שולחן ערוך חושן משפט קח" w:history="1">
        <w:r w:rsidRPr="00AF2148">
          <w:rPr>
            <w:rStyle w:val="Hyperlink"/>
            <w:rFonts w:hint="cs"/>
            <w:color w:val="7030A0"/>
            <w:u w:val="none"/>
            <w:rtl/>
          </w:rPr>
          <w:t>בחשן המשפט סימן ק"ח</w:t>
        </w:r>
      </w:hyperlink>
      <w:r w:rsidRPr="00AF2148">
        <w:rPr>
          <w:rFonts w:hint="cs"/>
        </w:rPr>
        <w:t xml:space="preserve">. </w:t>
      </w:r>
      <w:r w:rsidRPr="00AF2148">
        <w:rPr>
          <w:rFonts w:hint="cs"/>
          <w:rtl/>
        </w:rPr>
        <w:t>אם היורשים אומרים: נשבעה, עליהם להביא ראיה</w:t>
      </w:r>
      <w:r w:rsidRPr="00AF2148">
        <w:rPr>
          <w:rFonts w:hint="cs"/>
        </w:rPr>
        <w:t xml:space="preserve"> (</w:t>
      </w:r>
      <w:hyperlink r:id="rId235" w:tooltip="תשובות ריב&quot;ש/קסט" w:history="1">
        <w:r w:rsidRPr="00AF2148">
          <w:rPr>
            <w:rStyle w:val="Hyperlink"/>
            <w:rFonts w:hint="cs"/>
            <w:color w:val="7030A0"/>
            <w:u w:val="none"/>
            <w:rtl/>
          </w:rPr>
          <w:t>ריב"ש סימן קס"ט</w:t>
        </w:r>
      </w:hyperlink>
      <w:r w:rsidRPr="00AF2148">
        <w:rPr>
          <w:rFonts w:hint="cs"/>
        </w:rPr>
        <w:t xml:space="preserve">). </w:t>
      </w:r>
      <w:r w:rsidRPr="00AF2148">
        <w:rPr>
          <w:rFonts w:hint="cs"/>
          <w:rtl/>
        </w:rPr>
        <w:t>אם פרעו לה מקצת כתובתה ועשו לה שטר חוב על הנשאר, יורשיה יורשין החוב ההוא אפילו לא נשבעה (בית יוסף בשם תשובת הרשב"א סימן תתפ"ו</w:t>
      </w:r>
      <w:r w:rsidRPr="00AF2148">
        <w:rPr>
          <w:rFonts w:hint="cs"/>
        </w:rPr>
        <w:t>)</w:t>
      </w:r>
      <w:r w:rsidRPr="00AF2148">
        <w:t>.</w:t>
      </w:r>
    </w:p>
    <w:p w14:paraId="52D2FF0A" w14:textId="77777777" w:rsidR="00815887" w:rsidRPr="00AF2148" w:rsidRDefault="00815887" w:rsidP="00815887">
      <w:pPr>
        <w:pStyle w:val="Style1"/>
      </w:pPr>
      <w:r w:rsidRPr="00AF2148">
        <w:rPr>
          <w:rtl/>
        </w:rPr>
        <w:t>אלמנה שנשתתקה, ורמזה קדם מיתתה שלא נטלה כלום, סגי בכך והוי כאלו נשבעה (בית יוסף בשם תשובת הרשב"א)</w:t>
      </w:r>
      <w:r w:rsidRPr="00AF2148">
        <w:t>.</w:t>
      </w:r>
    </w:p>
    <w:p w14:paraId="038F113B" w14:textId="77777777" w:rsidR="00815887" w:rsidRPr="00AF2148" w:rsidRDefault="00815887" w:rsidP="00815887">
      <w:pPr>
        <w:pStyle w:val="Style1"/>
      </w:pPr>
      <w:r w:rsidRPr="00AF2148">
        <w:rPr>
          <w:rFonts w:hint="cs"/>
          <w:rtl/>
        </w:rPr>
        <w:t>אשה שנשתטית ונתאלמנה, אין יורשיה נוטלין כתובתה הואיל ואינה יכולה לישבע (בית יוסף בשם תשובת הרשב"א, וכן כתב הרמב"ן בתשובות סימן ס"ו). ועין לקמן </w:t>
      </w:r>
      <w:hyperlink r:id="rId236" w:anchor="%D7%A1%D7%A2%D7%99%D7%A3_%D7%92" w:tooltip="שולחן ערוך אבן העזר קה" w:history="1">
        <w:r w:rsidRPr="00AF2148">
          <w:rPr>
            <w:rStyle w:val="Hyperlink"/>
            <w:rFonts w:hint="cs"/>
            <w:color w:val="7030A0"/>
            <w:u w:val="none"/>
            <w:rtl/>
          </w:rPr>
          <w:t>סימן ק"ה סעיף ג</w:t>
        </w:r>
        <w:r w:rsidRPr="00AF2148">
          <w:rPr>
            <w:rStyle w:val="Hyperlink"/>
            <w:rFonts w:hint="cs"/>
            <w:color w:val="7030A0"/>
            <w:u w:val="none"/>
          </w:rPr>
          <w:t>'</w:t>
        </w:r>
      </w:hyperlink>
      <w:r w:rsidRPr="00AF2148">
        <w:t>.</w:t>
      </w:r>
    </w:p>
    <w:p w14:paraId="2294BBCF" w14:textId="0F8986F0" w:rsidR="00815887" w:rsidRDefault="00815887" w:rsidP="00815887">
      <w:pPr>
        <w:pStyle w:val="Style1"/>
        <w:rPr>
          <w:rtl/>
        </w:rPr>
      </w:pPr>
      <w:r w:rsidRPr="00AF2148">
        <w:rPr>
          <w:rtl/>
        </w:rPr>
        <w:t>אבל אם נתגרשה ומתה, יורשיה נשבעים: שלא פקדתנו, ונוטלין ואפלו מיורשיו, אם מת אחריה</w:t>
      </w:r>
      <w:r w:rsidRPr="00AF2148">
        <w:t>:</w:t>
      </w:r>
    </w:p>
    <w:p w14:paraId="12F2E34B" w14:textId="739B1880" w:rsidR="00815887" w:rsidRDefault="00815887" w:rsidP="00815887">
      <w:pPr>
        <w:pStyle w:val="Style1"/>
        <w:rPr>
          <w:rtl/>
        </w:rPr>
      </w:pPr>
      <w:r>
        <w:rPr>
          <w:rFonts w:hint="cs"/>
          <w:rtl/>
        </w:rPr>
        <w:t>7)[</w:t>
      </w:r>
      <w:r>
        <w:rPr>
          <w:rtl/>
        </w:rPr>
        <w:t>שולחן ערוך חושן משפט הלכות גביית חוב מהיתומים סימן קח סעיף ג</w:t>
      </w:r>
      <w:r>
        <w:rPr>
          <w:rFonts w:hint="cs"/>
          <w:rtl/>
        </w:rPr>
        <w:t xml:space="preserve">] </w:t>
      </w:r>
      <w:r w:rsidRPr="00815887">
        <w:rPr>
          <w:rtl/>
        </w:rPr>
        <w:t>אין נפרעים מיורשים קטנים בעודם קטנים שאינם בני י"ג שנה שום הלואה מחוב אביהם ואפילו היה עליו שטר מקויים ואפילו היה בו נאמנות ואפי' היה בו כל תנאי שבעולם שמא יש להם ראיה ששוברים בה השטר אלא א"כ היה במלוה זו אחד מג' דרכים הנזכרים לעיל בסמוך (בס"א) ואפילו היתה מלוה על פה גובה מיתומים קטנים בא' מג' דרכים הנזכרים ודהיתה תוך זמן צריך שנתקבל העדות בחיי אביהם שהוא תוך זמן שאם לא כן אין מקבלין עדות על קטן אפילו בפניו ואם הם גדולים והוציא עליהם שטר מקויים אפי' אין שם א' מג' דרכים אלו גובה מהם בלא שבועה אם יש בו נאמנות מפורש שהאמינו עליו ועל יורשיו או על באי כחו שיורשיו בכלל באי כחו אבל אם אין שם כתוב בשטר נאמנות ואפי' כתוב בו נאמנות סתם ולא פירש על יורשיו או על באי כחו צריך לישבע כעין של תורה בנקיטת חפץ וגובה ואפילו תפס משלהם בלא שבועה משביעין ליה ואי לא בעי לאשתבועי דינו כמו שנתבאר </w:t>
      </w:r>
      <w:hyperlink r:id="rId237" w:tooltip="שולחן ערוך חושן משפט פב" w:history="1">
        <w:r w:rsidRPr="00815887">
          <w:rPr>
            <w:rtl/>
          </w:rPr>
          <w:t>בסימן פ"ב</w:t>
        </w:r>
      </w:hyperlink>
      <w:r w:rsidRPr="00815887">
        <w:t> </w:t>
      </w:r>
      <w:r w:rsidRPr="00815887">
        <w:rPr>
          <w:rFonts w:hint="cs"/>
        </w:rPr>
        <w:t>(</w:t>
      </w:r>
      <w:r w:rsidRPr="00815887">
        <w:rPr>
          <w:rFonts w:hint="cs"/>
          <w:rtl/>
        </w:rPr>
        <w:t>ו</w:t>
      </w:r>
      <w:hyperlink r:id="rId238" w:anchor="%D7%A1%D7%A2%D7%99%D7%A3_%D7%99" w:tooltip="שולחן ערוך חושן משפט פז" w:history="1">
        <w:r w:rsidRPr="00815887">
          <w:rPr>
            <w:rFonts w:hint="cs"/>
            <w:rtl/>
          </w:rPr>
          <w:t>פ"ז ס"י</w:t>
        </w:r>
      </w:hyperlink>
      <w:r w:rsidRPr="00815887">
        <w:rPr>
          <w:rFonts w:hint="cs"/>
        </w:rPr>
        <w:t>)</w:t>
      </w:r>
      <w:r w:rsidRPr="00815887">
        <w:t>:</w:t>
      </w:r>
    </w:p>
    <w:p w14:paraId="2007CECD" w14:textId="1DBA15A5" w:rsidR="00815887" w:rsidRDefault="00815887" w:rsidP="00815887">
      <w:pPr>
        <w:pStyle w:val="Style1"/>
        <w:rPr>
          <w:rtl/>
        </w:rPr>
      </w:pPr>
      <w:r>
        <w:rPr>
          <w:rFonts w:hint="cs"/>
          <w:rtl/>
        </w:rPr>
        <w:t>7)[</w:t>
      </w:r>
      <w:r>
        <w:rPr>
          <w:rtl/>
        </w:rPr>
        <w:t>שולחן ערוך חושן משפט הלכות גביית חוב מהיתומים סימן קח סעיף יז</w:t>
      </w:r>
      <w:r>
        <w:rPr>
          <w:rFonts w:hint="cs"/>
          <w:rtl/>
        </w:rPr>
        <w:t xml:space="preserve">] </w:t>
      </w:r>
      <w:r>
        <w:rPr>
          <w:rtl/>
        </w:rPr>
        <w:t>אין נפרעים מנכסי יורשים, אפילו גדולים, אלא בשבועה. ואם נפרע שלא בשבועה, היו מנדין אותו עד שישבע.</w:t>
      </w:r>
    </w:p>
    <w:p w14:paraId="06DD0C06" w14:textId="7BABF1AA" w:rsidR="004F3634" w:rsidRDefault="004F3634" w:rsidP="004F3634">
      <w:pPr>
        <w:pStyle w:val="Style1"/>
        <w:rPr>
          <w:rtl/>
        </w:rPr>
      </w:pPr>
      <w:r>
        <w:rPr>
          <w:rFonts w:hint="cs"/>
          <w:rtl/>
        </w:rPr>
        <w:t>8)[</w:t>
      </w:r>
      <w:r>
        <w:rPr>
          <w:rtl/>
        </w:rPr>
        <w:t>רמב</w:t>
      </w:r>
      <w:r w:rsidR="00213DA1">
        <w:rPr>
          <w:rtl/>
        </w:rPr>
        <w:t>”ם \נשים\</w:t>
      </w:r>
      <w:r>
        <w:rPr>
          <w:rtl/>
        </w:rPr>
        <w:t xml:space="preserve"> הלכות אישות פרק טז הלכה טז</w:t>
      </w:r>
      <w:r>
        <w:rPr>
          <w:rFonts w:hint="cs"/>
          <w:rtl/>
        </w:rPr>
        <w:t xml:space="preserve">] </w:t>
      </w:r>
      <w:r>
        <w:rPr>
          <w:rtl/>
        </w:rPr>
        <w:t>הנפרעת שלא בפניו לא תפרע אלא בשבועה כיצד, הרי שגירש את אשתו והלך לו בית דין יורדין לנכסיו אחר שתשבע ומגבין אותה כתובתה, והוא שיהיה במקום רחוק שיש להן טורח להודיעו, אבל אם היה במקום קרוב להודיעו שולחין לו ומודיעין אותו, אם לא יבוא תשבע ותטול.</w:t>
      </w:r>
    </w:p>
    <w:p w14:paraId="21DACC56" w14:textId="131BC300" w:rsidR="004F3634" w:rsidRDefault="004F3634" w:rsidP="004F3634">
      <w:pPr>
        <w:pStyle w:val="Style1"/>
        <w:rPr>
          <w:rtl/>
        </w:rPr>
      </w:pPr>
      <w:r>
        <w:rPr>
          <w:rFonts w:hint="cs"/>
          <w:rtl/>
        </w:rPr>
        <w:lastRenderedPageBreak/>
        <w:t>8)[</w:t>
      </w:r>
      <w:r>
        <w:rPr>
          <w:rtl/>
        </w:rPr>
        <w:t>רמב</w:t>
      </w:r>
      <w:r w:rsidR="0057095E">
        <w:rPr>
          <w:rtl/>
        </w:rPr>
        <w:t>”ם \משפטים\</w:t>
      </w:r>
      <w:r>
        <w:rPr>
          <w:rtl/>
        </w:rPr>
        <w:t xml:space="preserve"> הלכות מלוה ולוה פרק יג הלכה א</w:t>
      </w:r>
      <w:r>
        <w:rPr>
          <w:rFonts w:hint="cs"/>
          <w:rtl/>
        </w:rPr>
        <w:t xml:space="preserve">] </w:t>
      </w:r>
      <w:r>
        <w:rPr>
          <w:rtl/>
        </w:rPr>
        <w:t>מלוה שבא להפרע בשטר שבידו שלא בפני לוה אם יכולין ב"ד לשלוח אליו ולהודיעו עד שיעמוד עמו בדין שולחין ומודיעין לו, ואם אי אפשר להודיעו במהרה אומרים למלוה שישבע ויטול מנכסיו בין מן הקרקע בין מן המטלטלים ואין חוששין לשובר, ודין זה תקנת חכמים הוא כדי שלא יהיה כל אחד ואחד נוטל מעותיו של חבירו והולך ויושב לו במדינה אחרת ונמצא נועל דלת בפני לוין.</w:t>
      </w:r>
    </w:p>
    <w:p w14:paraId="67D234C8" w14:textId="50BD5D36" w:rsidR="004F3634" w:rsidRDefault="004F3634" w:rsidP="004F3634">
      <w:pPr>
        <w:pStyle w:val="Style1"/>
        <w:rPr>
          <w:rtl/>
        </w:rPr>
      </w:pPr>
      <w:r>
        <w:rPr>
          <w:rFonts w:hint="cs"/>
          <w:rtl/>
        </w:rPr>
        <w:t>8)[</w:t>
      </w:r>
      <w:r>
        <w:rPr>
          <w:rtl/>
        </w:rPr>
        <w:t>רמב</w:t>
      </w:r>
      <w:r w:rsidR="0057095E">
        <w:rPr>
          <w:rtl/>
        </w:rPr>
        <w:t>”ם \משפטים\</w:t>
      </w:r>
      <w:r>
        <w:rPr>
          <w:rtl/>
        </w:rPr>
        <w:t xml:space="preserve"> הלכות מלוה ולוה פרק יד הלכה א</w:t>
      </w:r>
      <w:r>
        <w:rPr>
          <w:rFonts w:hint="cs"/>
          <w:rtl/>
        </w:rPr>
        <w:t xml:space="preserve">] </w:t>
      </w:r>
      <w:r>
        <w:rPr>
          <w:rtl/>
        </w:rPr>
        <w:t>הפוגם את שטרו, או שעד אחד מעיד על שטרו שהוא פרוע, והבא ליפרע שלא בפני הלוה, והטורף מיד הלוקח, והנפרעים מן היורש בין קטן בין גדול לא יפרע אלא בשבועה כעין של תורה (ואומר) לו כשיתבע השבע ואח"כ תטול, ואם היה החוב לזמן ותבע בזמנו יפרע שלא בשבועה, עבר זמנו לא יגבה אלא בשבועה.</w:t>
      </w:r>
    </w:p>
    <w:p w14:paraId="1D88AE4B" w14:textId="6AC08984" w:rsidR="004F3634" w:rsidRDefault="004F3634" w:rsidP="004F3634">
      <w:pPr>
        <w:pStyle w:val="Style1"/>
        <w:rPr>
          <w:rtl/>
        </w:rPr>
      </w:pPr>
      <w:r>
        <w:rPr>
          <w:rFonts w:hint="cs"/>
          <w:rtl/>
        </w:rPr>
        <w:t>8)[</w:t>
      </w:r>
      <w:r>
        <w:rPr>
          <w:rtl/>
        </w:rPr>
        <w:t>שולחן ערוך אבן העזר הלכות כתובות סימן צו סעיף י</w:t>
      </w:r>
      <w:r>
        <w:rPr>
          <w:rFonts w:hint="cs"/>
          <w:rtl/>
        </w:rPr>
        <w:t xml:space="preserve">] </w:t>
      </w:r>
      <w:r>
        <w:rPr>
          <w:rtl/>
        </w:rPr>
        <w:t>וכן אם היא נפרעת שלא בפניו, והוא שיהיה במקום רחוק. אבל אם הוא במקום קרוב כדי שילך השליח ויחזור תוך שלשים יום, מודיעין אותו, ואם לא יבא ישביעוה ותטול; והאשה נותנת שכר השליח ומוסיפים על כתובתה.</w:t>
      </w:r>
    </w:p>
    <w:p w14:paraId="19504D46" w14:textId="64D3A32D" w:rsidR="004F3634" w:rsidRPr="004F3634" w:rsidRDefault="004F3634" w:rsidP="004F3634">
      <w:pPr>
        <w:pStyle w:val="Style1"/>
      </w:pPr>
      <w:r>
        <w:rPr>
          <w:rFonts w:hint="cs"/>
          <w:rtl/>
        </w:rPr>
        <w:t>8)[</w:t>
      </w:r>
      <w:r>
        <w:rPr>
          <w:rtl/>
        </w:rPr>
        <w:t>שולחן ערוך חושן משפט הלכות גביית מלוה סימן קו סעיף א</w:t>
      </w:r>
      <w:r>
        <w:rPr>
          <w:rFonts w:hint="cs"/>
          <w:rtl/>
        </w:rPr>
        <w:t xml:space="preserve">] </w:t>
      </w:r>
      <w:r w:rsidRPr="004F3634">
        <w:rPr>
          <w:rtl/>
        </w:rPr>
        <w:t>מלוה שבא ליפרע בשטר מקויים שבידו שלא בפני לוה אם יכולים ב"ד לשלוח לו ולהודיעו עד שיעמוד עמו בדין שולחים ומודיעין לו אם הוא בכדי שילך השליח ויחזור תוך ל' יום והמלוה יתן שכר השליחות ויגבנו נוסף על חובו ואם הוא במקום שאין השליח יכול לילך ולחזור תוך ל' יום מגבין לו חובו מיד אחר שישבע המלוה ויטול בין מהמקרקעי (רשב"א) בין מהמטלטלים ואין חוששין לשובר ואם כתוב בשטר נאמנות בפירוש שאפי' יפרע שלא בפניו או שכתוב בו נאמנות עליו ועל באי כחו אינו צריך לישבע</w:t>
      </w:r>
      <w:r w:rsidRPr="004F3634">
        <w:t>:</w:t>
      </w:r>
    </w:p>
    <w:p w14:paraId="38B1457B" w14:textId="77777777" w:rsidR="004F3634" w:rsidRPr="004F3634" w:rsidRDefault="004F3634" w:rsidP="004F3634">
      <w:pPr>
        <w:pStyle w:val="Style1"/>
      </w:pPr>
      <w:r w:rsidRPr="004F3634">
        <w:rPr>
          <w:rFonts w:hint="cs"/>
          <w:rtl/>
        </w:rPr>
        <w:t>הגה: י"א דאין גובין שלא בפניו רק מלוה עצמו אבל לא מיורשיו אלא צריך לילך אחריהם (ריב"ש סימן שנ"ג) וע' לעיל </w:t>
      </w:r>
      <w:hyperlink r:id="rId239" w:anchor="%D7%A1%D7%A2%D7%99%D7%A3_%D7%99" w:tooltip="שולחן ערוך חושן משפט עג" w:history="1">
        <w:r w:rsidRPr="004F3634">
          <w:rPr>
            <w:rStyle w:val="Hyperlink"/>
            <w:rFonts w:hint="cs"/>
            <w:color w:val="7030A0"/>
            <w:u w:val="none"/>
            <w:rtl/>
          </w:rPr>
          <w:t>סי' ע"ג סעיף י</w:t>
        </w:r>
        <w:r w:rsidRPr="004F3634">
          <w:rPr>
            <w:rStyle w:val="Hyperlink"/>
            <w:rFonts w:hint="cs"/>
            <w:color w:val="7030A0"/>
            <w:u w:val="none"/>
          </w:rPr>
          <w:t>'</w:t>
        </w:r>
      </w:hyperlink>
      <w:r w:rsidRPr="004F3634">
        <w:rPr>
          <w:rFonts w:hint="cs"/>
        </w:rPr>
        <w:t> </w:t>
      </w:r>
      <w:r w:rsidRPr="004F3634">
        <w:rPr>
          <w:rFonts w:hint="cs"/>
          <w:rtl/>
        </w:rPr>
        <w:t>ו</w:t>
      </w:r>
      <w:hyperlink r:id="rId240" w:tooltip="שולחן ערוך חושן משפט יד" w:history="1">
        <w:r w:rsidRPr="004F3634">
          <w:rPr>
            <w:rStyle w:val="Hyperlink"/>
            <w:rFonts w:hint="cs"/>
            <w:color w:val="7030A0"/>
            <w:u w:val="none"/>
            <w:rtl/>
          </w:rPr>
          <w:t>סימן י"ד</w:t>
        </w:r>
      </w:hyperlink>
      <w:r w:rsidRPr="004F3634">
        <w:rPr>
          <w:rFonts w:hint="cs"/>
        </w:rPr>
        <w:t> </w:t>
      </w:r>
      <w:r w:rsidRPr="004F3634">
        <w:rPr>
          <w:rFonts w:hint="cs"/>
          <w:rtl/>
        </w:rPr>
        <w:t>סעיף א</w:t>
      </w:r>
      <w:r w:rsidRPr="004F3634">
        <w:rPr>
          <w:rFonts w:hint="cs"/>
        </w:rPr>
        <w:t>'</w:t>
      </w:r>
      <w:r w:rsidRPr="004F3634">
        <w:t>:</w:t>
      </w:r>
    </w:p>
    <w:p w14:paraId="2A0A5D3C" w14:textId="0FF6D3AF" w:rsidR="00815887" w:rsidRPr="004F3634" w:rsidRDefault="00815887" w:rsidP="004F3634">
      <w:pPr>
        <w:pStyle w:val="Style1"/>
        <w:rPr>
          <w:rtl/>
        </w:rPr>
      </w:pPr>
    </w:p>
    <w:p w14:paraId="014F8677" w14:textId="7ECF5117" w:rsidR="00B73586" w:rsidRPr="00B73586" w:rsidRDefault="00B73586" w:rsidP="00815887">
      <w:pPr>
        <w:pStyle w:val="Style1"/>
      </w:pPr>
    </w:p>
    <w:p w14:paraId="2E50C217" w14:textId="69F39B81" w:rsidR="00F72E04" w:rsidRPr="00B73586" w:rsidRDefault="00F72E04" w:rsidP="00B73586">
      <w:pPr>
        <w:pStyle w:val="Style1"/>
        <w:rPr>
          <w:rtl/>
        </w:rPr>
      </w:pPr>
    </w:p>
    <w:p w14:paraId="15244FE0" w14:textId="14158ED4" w:rsidR="006B670F" w:rsidRPr="00B73586" w:rsidRDefault="006B670F" w:rsidP="00B73586">
      <w:pPr>
        <w:pStyle w:val="Style1"/>
      </w:pPr>
    </w:p>
    <w:p w14:paraId="366EF1C9" w14:textId="6094BDD3" w:rsidR="005E6F85" w:rsidRPr="00A32994" w:rsidRDefault="005E6F85" w:rsidP="005E6F85">
      <w:pPr>
        <w:pStyle w:val="Style1"/>
      </w:pPr>
    </w:p>
    <w:p w14:paraId="0A86BC90" w14:textId="77777777" w:rsidR="00A32994" w:rsidRPr="00A32994" w:rsidRDefault="00A32994" w:rsidP="00A32994">
      <w:pPr>
        <w:pStyle w:val="Style1"/>
      </w:pPr>
    </w:p>
    <w:p w14:paraId="015C4C24" w14:textId="2F9F1A2C" w:rsidR="00A32994" w:rsidRPr="00A32994" w:rsidRDefault="00A32994" w:rsidP="00A32994">
      <w:pPr>
        <w:pStyle w:val="Style1"/>
      </w:pPr>
    </w:p>
    <w:p w14:paraId="33001D4C" w14:textId="55EA1627" w:rsidR="00A32994" w:rsidRPr="00A32994" w:rsidRDefault="00A32994" w:rsidP="00A32994">
      <w:pPr>
        <w:pStyle w:val="Style1"/>
        <w:rPr>
          <w:rtl/>
        </w:rPr>
      </w:pPr>
    </w:p>
    <w:p w14:paraId="613F90C6" w14:textId="77777777" w:rsidR="00AD5512" w:rsidRPr="00A32994" w:rsidRDefault="00AD5512" w:rsidP="00A32994">
      <w:pPr>
        <w:pStyle w:val="Style1"/>
        <w:rPr>
          <w:rStyle w:val="Style1Char"/>
        </w:rPr>
      </w:pPr>
    </w:p>
    <w:p w14:paraId="2A40B074" w14:textId="77777777" w:rsidR="00C369CA" w:rsidRPr="00152C98" w:rsidRDefault="00C369CA" w:rsidP="00C369CA">
      <w:pPr>
        <w:bidi/>
        <w:rPr>
          <w:rStyle w:val="Style1Char"/>
          <w:color w:val="00B050"/>
          <w:rtl/>
        </w:rPr>
      </w:pPr>
    </w:p>
    <w:p w14:paraId="0EBE28E9" w14:textId="77777777" w:rsidR="00C369CA" w:rsidRPr="00D205EB" w:rsidRDefault="00C369CA" w:rsidP="00C369CA">
      <w:pPr>
        <w:bidi/>
        <w:rPr>
          <w:rStyle w:val="Style1Char"/>
          <w:color w:val="C00000"/>
        </w:rPr>
      </w:pPr>
      <w:r w:rsidRPr="00D205EB">
        <w:rPr>
          <w:rStyle w:val="Style1Char"/>
          <w:color w:val="C00000"/>
          <w:rtl/>
        </w:rPr>
        <w:t xml:space="preserve"> </w:t>
      </w:r>
    </w:p>
    <w:p w14:paraId="30343329" w14:textId="77777777" w:rsidR="00C369CA" w:rsidRPr="00F74857" w:rsidRDefault="00C369CA" w:rsidP="00C369CA">
      <w:pPr>
        <w:bidi/>
        <w:rPr>
          <w:rStyle w:val="Style1Char"/>
          <w:color w:val="00B050"/>
          <w:rtl/>
        </w:rPr>
      </w:pPr>
    </w:p>
    <w:p w14:paraId="5D9B6E6E" w14:textId="77777777" w:rsidR="00C369CA" w:rsidRDefault="00C369CA" w:rsidP="00C369CA">
      <w:pPr>
        <w:rPr>
          <w:rStyle w:val="Style1Char"/>
          <w:color w:val="00B050"/>
          <w:rtl/>
        </w:rPr>
      </w:pPr>
      <w:r>
        <w:rPr>
          <w:rStyle w:val="Style1Char"/>
          <w:color w:val="00B050"/>
          <w:rtl/>
        </w:rPr>
        <w:br w:type="page"/>
      </w:r>
    </w:p>
    <w:p w14:paraId="2EE85731" w14:textId="77777777" w:rsidR="00C369CA" w:rsidRPr="002F3EA1" w:rsidRDefault="00C369CA" w:rsidP="00C369CA">
      <w:pPr>
        <w:bidi/>
        <w:rPr>
          <w:rStyle w:val="Style1Char"/>
          <w:sz w:val="22"/>
          <w:szCs w:val="22"/>
          <w:rtl/>
        </w:rPr>
      </w:pPr>
      <w:r w:rsidRPr="009117A8">
        <w:rPr>
          <w:rStyle w:val="Style1Char"/>
          <w:sz w:val="22"/>
          <w:szCs w:val="22"/>
          <w:highlight w:val="yellow"/>
          <w:rtl/>
        </w:rPr>
        <w:lastRenderedPageBreak/>
        <w:t>[</w:t>
      </w:r>
      <w:r w:rsidRPr="00646FE9">
        <w:rPr>
          <w:rStyle w:val="Style1Char"/>
          <w:color w:val="auto"/>
          <w:sz w:val="22"/>
          <w:szCs w:val="22"/>
          <w:highlight w:val="yellow"/>
          <w:rtl/>
        </w:rPr>
        <w:t>דף פז עמוד ב]</w:t>
      </w:r>
      <w:r w:rsidRPr="00646FE9">
        <w:rPr>
          <w:rStyle w:val="Style1Char"/>
          <w:color w:val="auto"/>
          <w:sz w:val="22"/>
          <w:szCs w:val="22"/>
          <w:rtl/>
        </w:rPr>
        <w:t xml:space="preserve"> ר' שמעון אומר: כל זמן שהיא תובעת כתובתה - היורשין משביעין אותה, ואם אינה תובעת כתובתה - אין היורשין משביעין אותה</w:t>
      </w:r>
      <w:r w:rsidRPr="009117A8">
        <w:rPr>
          <w:rStyle w:val="Style1Char"/>
          <w:sz w:val="22"/>
          <w:szCs w:val="22"/>
          <w:rtl/>
        </w:rPr>
        <w:t xml:space="preserve">. </w:t>
      </w:r>
      <w:r w:rsidRPr="002F3EA1">
        <w:rPr>
          <w:rStyle w:val="Style1Char"/>
          <w:color w:val="C00000"/>
          <w:sz w:val="22"/>
          <w:szCs w:val="22"/>
          <w:rtl/>
        </w:rPr>
        <w:t>ואמרינן</w:t>
      </w:r>
      <w:r w:rsidRPr="002F3EA1">
        <w:rPr>
          <w:rStyle w:val="BalloonTextChar"/>
          <w:rFonts w:asciiTheme="minorHAnsi" w:hAnsiTheme="minorHAnsi" w:cs="Arial"/>
          <w:color w:val="C00000"/>
          <w:sz w:val="22"/>
          <w:szCs w:val="22"/>
          <w:rtl/>
        </w:rPr>
        <w:t xml:space="preserve"> </w:t>
      </w:r>
      <w:r w:rsidRPr="002F3EA1">
        <w:rPr>
          <w:rStyle w:val="Style1Char"/>
          <w:color w:val="C00000"/>
          <w:sz w:val="22"/>
          <w:szCs w:val="22"/>
          <w:rtl/>
        </w:rPr>
        <w:t>ר"ש אהייא</w:t>
      </w:r>
      <w:r w:rsidRPr="002F3EA1">
        <w:rPr>
          <w:rStyle w:val="Style1Char"/>
          <w:rFonts w:hint="cs"/>
          <w:color w:val="C00000"/>
          <w:sz w:val="22"/>
          <w:szCs w:val="22"/>
          <w:rtl/>
        </w:rPr>
        <w:t>?</w:t>
      </w:r>
      <w:r w:rsidRPr="002F3EA1">
        <w:rPr>
          <w:rStyle w:val="Style1Char"/>
          <w:color w:val="C00000"/>
          <w:sz w:val="22"/>
          <w:szCs w:val="22"/>
          <w:rtl/>
        </w:rPr>
        <w:t xml:space="preserve"> ואסקה רב פפא [דף פ"ח ע"ב] לאפוקי מדרבי אליעזר ומחלוקתו למימר דהלכה כרבי שמעון ואנן סבירא לן דהלכה כתנא קמא דהוא סתם מתניתין וקיימא לן בכל דוכתא דלא אפסיקא הלכה בהדיא דהלכה כסתם מתניתין והכא לא אפסיקא הילכתא בהדיא דרב פפא לא אתא לאפסוקי הלכתא אלא לפרושי בעלמא הוא דאתא והכי אמר רב פפא רבי שמעון לאפוקי מדרבי אליעזר ומחלוקתו קאתי ולעולם הלכתא כתנא קמא ועוד הא קתני לה גבי הילכתא פסיקתא דתנן ואלו נשבעין שלא בטענה השותפין והאריסין והאפוטרופין והאשה הנושאת והנותנת בתוך הבית ובן בית וקי"ל דהני כולהו הילכתא נינהו ולא מצית למימר דהאי אשה אלמנה היא דאשה סתם קתני בין אלמנה בין א"א (ועוד דלא קתני הכא הנושאת והנותנת בתוך הבית כשתובעת כתובתה) ועוד דסוגיא דשמעתא כת"ק אזלא הלכך הילכתא כת"ק דאמר המושיב אשתו חנונית או שמינה אפוטרופא ה"ז משביעה כל זמן שירצה</w:t>
      </w:r>
      <w:r w:rsidRPr="002F3EA1">
        <w:rPr>
          <w:rStyle w:val="Style1Char"/>
          <w:color w:val="C00000"/>
          <w:sz w:val="22"/>
          <w:szCs w:val="22"/>
        </w:rPr>
        <w:t>:</w:t>
      </w:r>
    </w:p>
    <w:p w14:paraId="2265B57D" w14:textId="77777777" w:rsidR="00C369CA" w:rsidRDefault="00C369CA" w:rsidP="00C369CA">
      <w:pPr>
        <w:bidi/>
        <w:rPr>
          <w:rStyle w:val="Style1Char"/>
          <w:color w:val="00B050"/>
          <w:rtl/>
        </w:rPr>
      </w:pPr>
      <w:r w:rsidRPr="00BF3B69">
        <w:rPr>
          <w:rStyle w:val="Style1Char"/>
          <w:sz w:val="22"/>
          <w:szCs w:val="22"/>
          <w:rtl/>
        </w:rPr>
        <w:t xml:space="preserve">גמ' </w:t>
      </w:r>
      <w:r w:rsidRPr="00D205EB">
        <w:rPr>
          <w:rStyle w:val="Style1Char"/>
          <w:color w:val="C00000"/>
          <w:rtl/>
        </w:rPr>
        <w:t>ואף על גב דכתב לה בעלה נאמנות לא תפרע אלא בשבועה דלא מהניא נאמנות אלא היכא דהמניה לוה למלוה עליה דידיה ועל ירתיה בתריה אבל היכא דאיכא עליה חוב לאיניש אחרינא או כתובת אשה או לוקח דזבן מיניה לא מהניא ומסתייע הדין סברא מהא דגרסי' פרק האשה שנתאלמנה [דף י"ט ע"א] אמר רב יהודה אמר רב האומר שטר אמנה הוא זה אינו נאמן ואמרינן דקאמר מאן אילימא דקאמר לוה פשיטא לאו כל כמיניה אלא דקאמר מלוה תבא עליו ברכה וכו' אביי אמר לעולם דקאמר מלוה וכגון שחב לאחרים וכדר' נתן דאמר ר' נתן מניין לנושה בחבירו מנה וחבירו בחבירו מניין שמוציאין מזה ונותנין לזה ת"ל ונתן לאשר אשם לו אלמא כל היכא דחב לאחרים וליכא גביה מהיכא דפרע אין הודאתו הודאה והא נמי דכותה</w:t>
      </w:r>
      <w:r w:rsidRPr="00D205EB">
        <w:rPr>
          <w:rStyle w:val="Style1Char"/>
          <w:color w:val="C00000"/>
        </w:rPr>
        <w:t>:</w:t>
      </w:r>
      <w:r w:rsidRPr="00D2614D">
        <w:rPr>
          <w:rStyle w:val="Style1Char"/>
          <w:color w:val="00B050"/>
          <w:rtl/>
        </w:rPr>
        <w:t>.</w:t>
      </w:r>
    </w:p>
    <w:p w14:paraId="32F04936" w14:textId="4F455156" w:rsidR="00C369CA" w:rsidRPr="00E53B77" w:rsidRDefault="00C369CA" w:rsidP="00C369CA">
      <w:pPr>
        <w:bidi/>
        <w:rPr>
          <w:rStyle w:val="Style1Char"/>
          <w:color w:val="4472C4" w:themeColor="accent1"/>
        </w:rPr>
      </w:pPr>
      <w:r w:rsidRPr="00D2614D">
        <w:rPr>
          <w:rStyle w:val="Style1Char"/>
          <w:color w:val="00B050"/>
          <w:rtl/>
        </w:rPr>
        <w:t xml:space="preserve"> סבר רמי בר חמא למימר שבועה דאורייתא, דקא טעין מאתים וקא מודה ליה במאה, הויא ליה הודאה במקצת הטענה, </w:t>
      </w:r>
      <w:r w:rsidR="0037367E">
        <w:rPr>
          <w:rStyle w:val="Style1Char"/>
          <w:rFonts w:hint="cs"/>
          <w:rtl/>
        </w:rPr>
        <w:t>(1)</w:t>
      </w:r>
      <w:r w:rsidR="0037367E" w:rsidRPr="00D2614D">
        <w:rPr>
          <w:rStyle w:val="Style1Char"/>
          <w:color w:val="00B050"/>
          <w:rtl/>
        </w:rPr>
        <w:t xml:space="preserve"> </w:t>
      </w:r>
      <w:r w:rsidRPr="00D2614D">
        <w:rPr>
          <w:rStyle w:val="Style1Char"/>
          <w:color w:val="00B050"/>
          <w:rtl/>
        </w:rPr>
        <w:t xml:space="preserve">וכל המודה במקצת הטענה ישבע; אמר רבא, שתי תשובות בדבר: חדא, דכל הנשבעין שבתורה - נשבעין ולא משלמין, והיא נשבעת ונוטלת: ועוד, </w:t>
      </w:r>
      <w:r w:rsidR="0037367E">
        <w:rPr>
          <w:rStyle w:val="Style1Char"/>
          <w:rFonts w:hint="cs"/>
          <w:rtl/>
        </w:rPr>
        <w:t>(2)</w:t>
      </w:r>
      <w:r w:rsidR="0037367E" w:rsidRPr="00D2614D">
        <w:rPr>
          <w:rStyle w:val="Style1Char"/>
          <w:color w:val="00B050"/>
          <w:rtl/>
        </w:rPr>
        <w:t xml:space="preserve"> </w:t>
      </w:r>
      <w:r w:rsidRPr="00D2614D">
        <w:rPr>
          <w:rStyle w:val="Style1Char"/>
          <w:color w:val="00B050"/>
          <w:rtl/>
        </w:rPr>
        <w:t xml:space="preserve">אין נשבעין על כפירת שעבוד קרקעות! אלא אמר רבא: </w:t>
      </w:r>
      <w:r w:rsidR="0037367E">
        <w:rPr>
          <w:rStyle w:val="Style1Char"/>
          <w:rFonts w:hint="cs"/>
          <w:rtl/>
        </w:rPr>
        <w:t>(3)</w:t>
      </w:r>
      <w:r w:rsidR="0037367E" w:rsidRPr="00D2614D">
        <w:rPr>
          <w:rStyle w:val="Style1Char"/>
          <w:color w:val="00B050"/>
          <w:rtl/>
        </w:rPr>
        <w:t xml:space="preserve"> </w:t>
      </w:r>
      <w:r w:rsidRPr="00D2614D">
        <w:rPr>
          <w:rStyle w:val="Style1Char"/>
          <w:color w:val="00B050"/>
          <w:rtl/>
        </w:rPr>
        <w:t>מדרבנן, דפרע דייק, דמיפרע לא דייק, ורמו רבנן שבועה עלה כי היכי דתידוק</w:t>
      </w:r>
      <w:r w:rsidRPr="008103FB">
        <w:rPr>
          <w:rStyle w:val="Style1Char"/>
          <w:sz w:val="22"/>
          <w:szCs w:val="22"/>
          <w:rtl/>
        </w:rPr>
        <w:t xml:space="preserve">. </w:t>
      </w:r>
      <w:r w:rsidRPr="00D048F0">
        <w:rPr>
          <w:rStyle w:val="Style1Char"/>
          <w:color w:val="auto"/>
          <w:sz w:val="22"/>
          <w:szCs w:val="22"/>
          <w:rtl/>
        </w:rPr>
        <w:t xml:space="preserve">איבעיא להו: פוגמת כתובתה בעדים, מהו? </w:t>
      </w:r>
      <w:r w:rsidRPr="00C476B6">
        <w:rPr>
          <w:rStyle w:val="Style1Char"/>
          <w:color w:val="4472C4" w:themeColor="accent1"/>
          <w:sz w:val="22"/>
          <w:szCs w:val="22"/>
          <w:rtl/>
        </w:rPr>
        <w:t xml:space="preserve">מי אמרינן </w:t>
      </w:r>
      <w:r w:rsidRPr="00D048F0">
        <w:rPr>
          <w:rStyle w:val="Style1Char"/>
          <w:color w:val="auto"/>
          <w:sz w:val="22"/>
          <w:szCs w:val="22"/>
          <w:rtl/>
        </w:rPr>
        <w:t xml:space="preserve">אם איתא דפרעה - בעדים הוה פרע לה, </w:t>
      </w:r>
      <w:r w:rsidR="0037367E">
        <w:rPr>
          <w:rStyle w:val="Style1Char"/>
          <w:rFonts w:hint="cs"/>
          <w:rtl/>
        </w:rPr>
        <w:t>(3.3, 4)</w:t>
      </w:r>
      <w:r w:rsidR="0037367E" w:rsidRPr="00D048F0">
        <w:rPr>
          <w:rStyle w:val="Style1Char"/>
          <w:color w:val="auto"/>
          <w:sz w:val="22"/>
          <w:szCs w:val="22"/>
          <w:rtl/>
        </w:rPr>
        <w:t xml:space="preserve"> </w:t>
      </w:r>
      <w:r w:rsidRPr="00D048F0">
        <w:rPr>
          <w:rStyle w:val="Style1Char"/>
          <w:color w:val="auto"/>
          <w:sz w:val="22"/>
          <w:szCs w:val="22"/>
          <w:rtl/>
        </w:rPr>
        <w:t xml:space="preserve">או דלמא איתרמויי איתרמי ליה? </w:t>
      </w:r>
      <w:r w:rsidRPr="00E53B77">
        <w:rPr>
          <w:rStyle w:val="Style1Char"/>
          <w:color w:val="4472C4" w:themeColor="accent1"/>
          <w:rtl/>
        </w:rPr>
        <w:t xml:space="preserve">ולא איפשיטא הלכך </w:t>
      </w:r>
      <w:r w:rsidRPr="00062802">
        <w:rPr>
          <w:rStyle w:val="Style1Char"/>
          <w:color w:val="C00000"/>
          <w:sz w:val="22"/>
          <w:szCs w:val="22"/>
          <w:rtl/>
        </w:rPr>
        <w:t xml:space="preserve">ומסקנא בין בעדים בין שלא בעדים </w:t>
      </w:r>
      <w:r w:rsidRPr="00C476B6">
        <w:rPr>
          <w:rStyle w:val="Style1Char"/>
          <w:color w:val="806000" w:themeColor="accent4" w:themeShade="80"/>
          <w:sz w:val="22"/>
          <w:szCs w:val="22"/>
          <w:rtl/>
        </w:rPr>
        <w:t xml:space="preserve">לא תפרע אלא בשבועה </w:t>
      </w:r>
      <w:r w:rsidRPr="00D2614D">
        <w:rPr>
          <w:rStyle w:val="Style1Char"/>
          <w:color w:val="00B050"/>
          <w:rtl/>
        </w:rPr>
        <w:t xml:space="preserve">ת"ש: </w:t>
      </w:r>
      <w:r w:rsidR="00955CA3">
        <w:rPr>
          <w:rStyle w:val="Style1Char"/>
          <w:rFonts w:hint="cs"/>
          <w:rtl/>
        </w:rPr>
        <w:t>(5)</w:t>
      </w:r>
      <w:r w:rsidRPr="00D2614D">
        <w:rPr>
          <w:rStyle w:val="Style1Char"/>
          <w:color w:val="00B050"/>
          <w:rtl/>
        </w:rPr>
        <w:t xml:space="preserve">כל הנשבעין שבתורה - נשבעין ולא משלמין; ואלו נשבעין ונוטלין: </w:t>
      </w:r>
      <w:r w:rsidR="00955CA3">
        <w:rPr>
          <w:rStyle w:val="Style1Char"/>
          <w:rFonts w:hint="cs"/>
          <w:rtl/>
        </w:rPr>
        <w:t>(5.1, 5.3, 6)</w:t>
      </w:r>
      <w:r w:rsidRPr="00D2614D">
        <w:rPr>
          <w:rStyle w:val="Style1Char"/>
          <w:color w:val="00B050"/>
          <w:rtl/>
        </w:rPr>
        <w:t xml:space="preserve">השכיר, </w:t>
      </w:r>
      <w:r w:rsidR="00955CA3">
        <w:rPr>
          <w:rStyle w:val="Style1Char"/>
          <w:rFonts w:hint="cs"/>
          <w:rtl/>
        </w:rPr>
        <w:t>(5.3, 6, 7)</w:t>
      </w:r>
      <w:r w:rsidRPr="00D2614D">
        <w:rPr>
          <w:rStyle w:val="Style1Char"/>
          <w:color w:val="00B050"/>
          <w:rtl/>
        </w:rPr>
        <w:t xml:space="preserve">והנגזל, </w:t>
      </w:r>
      <w:r w:rsidR="00196B65">
        <w:rPr>
          <w:rStyle w:val="Style1Char"/>
          <w:rFonts w:hint="cs"/>
          <w:rtl/>
        </w:rPr>
        <w:t>(5.3, 8)</w:t>
      </w:r>
      <w:r w:rsidRPr="00D2614D">
        <w:rPr>
          <w:rStyle w:val="Style1Char"/>
          <w:color w:val="00B050"/>
          <w:rtl/>
        </w:rPr>
        <w:t xml:space="preserve">והנחבל, </w:t>
      </w:r>
      <w:r w:rsidR="00BB7376">
        <w:rPr>
          <w:rStyle w:val="Style1Char"/>
          <w:rFonts w:hint="cs"/>
          <w:rtl/>
        </w:rPr>
        <w:t>(5.2, 5.3, 9)</w:t>
      </w:r>
      <w:r w:rsidRPr="00D2614D">
        <w:rPr>
          <w:rStyle w:val="Style1Char"/>
          <w:color w:val="00B050"/>
          <w:rtl/>
        </w:rPr>
        <w:t xml:space="preserve">ושכנגדו חשוד על השבועה, </w:t>
      </w:r>
      <w:r w:rsidR="00BB46C9">
        <w:rPr>
          <w:rStyle w:val="Style1Char"/>
          <w:rFonts w:hint="cs"/>
          <w:rtl/>
        </w:rPr>
        <w:t>(5.3, 10)</w:t>
      </w:r>
      <w:r w:rsidRPr="00D2614D">
        <w:rPr>
          <w:rStyle w:val="Style1Char"/>
          <w:color w:val="00B050"/>
          <w:rtl/>
        </w:rPr>
        <w:t xml:space="preserve">וחנוני על פנקסו, והפוגם שטרו שלא בעדים; שלא בעדים אין, בעדים לא. לא מיבעיא קאמר, לא מיבעיא בעדים - דודאי צריכה שבועה, אבל שלא בעדים - אימא תיהוי כמשיב אבידה ותשקול בלא שבועה, קמ"ל. </w:t>
      </w:r>
      <w:r w:rsidRPr="007579E4">
        <w:rPr>
          <w:rStyle w:val="Style1Char"/>
          <w:color w:val="ED7D31" w:themeColor="accent2"/>
          <w:sz w:val="22"/>
          <w:szCs w:val="22"/>
          <w:rtl/>
        </w:rPr>
        <w:t xml:space="preserve">איבעיא להו: הפוגמת כתובתה פחות פחות משוה פרוטה, מהו? </w:t>
      </w:r>
      <w:r w:rsidRPr="00D2614D">
        <w:rPr>
          <w:rStyle w:val="Style1Char"/>
          <w:color w:val="00B050"/>
          <w:rtl/>
        </w:rPr>
        <w:t xml:space="preserve">מי אמרינן </w:t>
      </w:r>
      <w:r w:rsidRPr="007579E4">
        <w:rPr>
          <w:rStyle w:val="Style1Char"/>
          <w:color w:val="ED7D31" w:themeColor="accent2"/>
          <w:sz w:val="22"/>
          <w:szCs w:val="22"/>
          <w:rtl/>
        </w:rPr>
        <w:t xml:space="preserve">כיון דקא דייקא כולי האי קושטא קא אמרה, </w:t>
      </w:r>
      <w:r w:rsidR="001E1267">
        <w:rPr>
          <w:rStyle w:val="Style1Char"/>
          <w:rFonts w:hint="cs"/>
          <w:rtl/>
        </w:rPr>
        <w:t>(11)</w:t>
      </w:r>
      <w:r w:rsidRPr="007579E4">
        <w:rPr>
          <w:rStyle w:val="Style1Char"/>
          <w:color w:val="ED7D31" w:themeColor="accent2"/>
          <w:sz w:val="22"/>
          <w:szCs w:val="22"/>
          <w:rtl/>
        </w:rPr>
        <w:t>או דלמא איערומי קא מערמא</w:t>
      </w:r>
      <w:r w:rsidRPr="00083AC7">
        <w:rPr>
          <w:rStyle w:val="Style1Char"/>
          <w:color w:val="4472C4" w:themeColor="accent1"/>
          <w:rtl/>
        </w:rPr>
        <w:t xml:space="preserve"> </w:t>
      </w:r>
      <w:r w:rsidRPr="00083AC7">
        <w:rPr>
          <w:rStyle w:val="Style1Char"/>
          <w:color w:val="4472C4" w:themeColor="accent1"/>
          <w:sz w:val="22"/>
          <w:szCs w:val="22"/>
          <w:rtl/>
        </w:rPr>
        <w:t>ובעיא אישתבועי</w:t>
      </w:r>
      <w:r w:rsidRPr="007579E4">
        <w:rPr>
          <w:rStyle w:val="Style1Char"/>
          <w:color w:val="ED7D31" w:themeColor="accent2"/>
          <w:sz w:val="22"/>
          <w:szCs w:val="22"/>
          <w:rtl/>
        </w:rPr>
        <w:t xml:space="preserve">? תיקו. </w:t>
      </w:r>
      <w:r w:rsidRPr="000D722B">
        <w:rPr>
          <w:rStyle w:val="Style1Char"/>
          <w:color w:val="auto"/>
          <w:sz w:val="22"/>
          <w:szCs w:val="22"/>
          <w:rtl/>
        </w:rPr>
        <w:t xml:space="preserve">איבעיא להו: פוחתת כתובתה, מהו? מי אמרינן היינו פוגמת, או דלמא פוגמת מודיא במקצת, הא לא קא מודיא במקצת? ת"ש: </w:t>
      </w:r>
      <w:r w:rsidR="001E1267">
        <w:rPr>
          <w:rStyle w:val="Style1Char"/>
          <w:rFonts w:hint="cs"/>
          <w:rtl/>
        </w:rPr>
        <w:t>(12)</w:t>
      </w:r>
      <w:r w:rsidRPr="000D722B">
        <w:rPr>
          <w:rStyle w:val="Style1Char"/>
          <w:color w:val="auto"/>
          <w:sz w:val="22"/>
          <w:szCs w:val="22"/>
          <w:rtl/>
        </w:rPr>
        <w:t xml:space="preserve">פוחתת </w:t>
      </w:r>
      <w:r w:rsidRPr="000D722B">
        <w:rPr>
          <w:rStyle w:val="Style1Char"/>
          <w:color w:val="4472C4" w:themeColor="accent1"/>
          <w:sz w:val="22"/>
          <w:szCs w:val="22"/>
          <w:rtl/>
        </w:rPr>
        <w:t xml:space="preserve">כתובתה </w:t>
      </w:r>
      <w:r w:rsidRPr="000D722B">
        <w:rPr>
          <w:rStyle w:val="Style1Char"/>
          <w:color w:val="auto"/>
          <w:sz w:val="22"/>
          <w:szCs w:val="22"/>
          <w:rtl/>
        </w:rPr>
        <w:t>תפרע שלא בשבועה</w:t>
      </w:r>
      <w:r w:rsidRPr="00062802">
        <w:rPr>
          <w:rStyle w:val="Style1Char"/>
          <w:sz w:val="22"/>
          <w:szCs w:val="22"/>
          <w:rtl/>
        </w:rPr>
        <w:t xml:space="preserve">, </w:t>
      </w:r>
      <w:r w:rsidRPr="00062802">
        <w:rPr>
          <w:rStyle w:val="Style1Char"/>
          <w:color w:val="C00000"/>
          <w:sz w:val="22"/>
          <w:szCs w:val="22"/>
          <w:rtl/>
        </w:rPr>
        <w:t xml:space="preserve">פוחתת </w:t>
      </w:r>
      <w:r w:rsidRPr="00EB0E61">
        <w:rPr>
          <w:rStyle w:val="Style1Char"/>
          <w:color w:val="auto"/>
          <w:sz w:val="22"/>
          <w:szCs w:val="22"/>
          <w:rtl/>
        </w:rPr>
        <w:t>כיצד? היתה כתובתה אלף זוז, ואמר לה התקבלת כתובתיך והיא אומרת לא התקבלתי ואינה אלא מנה - נפרעת שלא בשבועה</w:t>
      </w:r>
      <w:r w:rsidRPr="00062802">
        <w:rPr>
          <w:rStyle w:val="Style1Char"/>
          <w:sz w:val="22"/>
          <w:szCs w:val="22"/>
          <w:rtl/>
        </w:rPr>
        <w:t xml:space="preserve">. </w:t>
      </w:r>
      <w:r w:rsidRPr="00083AC7">
        <w:rPr>
          <w:rStyle w:val="Style1Char"/>
          <w:color w:val="auto"/>
          <w:sz w:val="22"/>
          <w:szCs w:val="22"/>
          <w:rtl/>
        </w:rPr>
        <w:t xml:space="preserve">במאי גביא? בהאי שטרא, האי שטרא חספא בעלמא הוא! </w:t>
      </w:r>
      <w:r w:rsidR="00DB6941">
        <w:rPr>
          <w:rStyle w:val="Style1Char"/>
          <w:rFonts w:hint="cs"/>
          <w:rtl/>
        </w:rPr>
        <w:t>(12)</w:t>
      </w:r>
      <w:r w:rsidRPr="008C61F8">
        <w:rPr>
          <w:rStyle w:val="Style1Char"/>
          <w:sz w:val="22"/>
          <w:szCs w:val="22"/>
          <w:rtl/>
        </w:rPr>
        <w:t>אמר רבא בריה דרבה:</w:t>
      </w:r>
      <w:r w:rsidRPr="00083AC7">
        <w:rPr>
          <w:rStyle w:val="Style1Char"/>
          <w:color w:val="auto"/>
          <w:sz w:val="22"/>
          <w:szCs w:val="22"/>
          <w:rtl/>
        </w:rPr>
        <w:t xml:space="preserve"> באומרת אמנה היתה לי ביני לבינו</w:t>
      </w:r>
      <w:r w:rsidRPr="00062802">
        <w:rPr>
          <w:rStyle w:val="Style1Char"/>
          <w:sz w:val="22"/>
          <w:szCs w:val="22"/>
          <w:rtl/>
        </w:rPr>
        <w:t xml:space="preserve">. </w:t>
      </w:r>
      <w:r w:rsidRPr="00062802">
        <w:rPr>
          <w:rStyle w:val="Style1Char"/>
          <w:color w:val="C00000"/>
          <w:sz w:val="22"/>
          <w:szCs w:val="22"/>
          <w:rtl/>
        </w:rPr>
        <w:t>ושמעינן מהא דאי לא אמרה הכין הוה ליה ההוא שטרא חספא בעלמא ולא גביא ביה מידי:</w:t>
      </w:r>
      <w:r>
        <w:rPr>
          <w:rStyle w:val="Style1Char"/>
          <w:rFonts w:hint="cs"/>
          <w:color w:val="C00000"/>
          <w:sz w:val="22"/>
          <w:szCs w:val="22"/>
          <w:rtl/>
        </w:rPr>
        <w:t xml:space="preserve"> </w:t>
      </w:r>
      <w:r w:rsidRPr="00E53B77">
        <w:rPr>
          <w:rStyle w:val="Style1Char"/>
          <w:color w:val="4472C4" w:themeColor="accent1"/>
          <w:rtl/>
        </w:rPr>
        <w:t>ובמיגו נמי לא מהימנא</w:t>
      </w:r>
      <w:r>
        <w:rPr>
          <w:rStyle w:val="Style1Char"/>
          <w:rFonts w:hint="cs"/>
          <w:color w:val="4472C4" w:themeColor="accent1"/>
        </w:rPr>
        <w:t>‍</w:t>
      </w:r>
      <w:r w:rsidRPr="00E53B77">
        <w:rPr>
          <w:rStyle w:val="Style1Char"/>
          <w:color w:val="4472C4" w:themeColor="accent1"/>
          <w:rtl/>
        </w:rPr>
        <w:t xml:space="preserve"> כיון דלפי דבריה השטר אינו כלום ולא אמרינן מיגו לאפוקי ממונא כדאמרינן בחזקת הבתים (דף לב ב) גבי ההוא דאמר ליה לחבריה וכו' גחין וא"ל לרבה אין שטרא זייפא הוא ושטרא מעליא הוה לי ואירכוס ומסיק התם היכא דקיימא ארעא תיקום והיכא דקיימי דמי לוקמי</w:t>
      </w:r>
      <w:r w:rsidRPr="00E53B77">
        <w:rPr>
          <w:rStyle w:val="Style1Char"/>
          <w:color w:val="4472C4" w:themeColor="accent1"/>
        </w:rPr>
        <w:t xml:space="preserve">: </w:t>
      </w:r>
    </w:p>
    <w:p w14:paraId="47357D6D" w14:textId="254944F4" w:rsidR="00C369CA" w:rsidRDefault="00C369CA" w:rsidP="00C369CA">
      <w:pPr>
        <w:bidi/>
        <w:rPr>
          <w:rStyle w:val="Style1Char"/>
          <w:color w:val="auto"/>
          <w:sz w:val="22"/>
          <w:szCs w:val="22"/>
          <w:rtl/>
        </w:rPr>
      </w:pPr>
      <w:r w:rsidRPr="00A2791D">
        <w:rPr>
          <w:rStyle w:val="Style1Char"/>
          <w:color w:val="auto"/>
          <w:sz w:val="22"/>
          <w:szCs w:val="22"/>
          <w:rtl/>
        </w:rPr>
        <w:t>עד אחד מעידה שהיא פרועה</w:t>
      </w:r>
      <w:r w:rsidRPr="00A2791D">
        <w:rPr>
          <w:rStyle w:val="Style1Char"/>
          <w:color w:val="auto"/>
          <w:rtl/>
        </w:rPr>
        <w:t xml:space="preserve"> </w:t>
      </w:r>
      <w:r w:rsidRPr="00BF4051">
        <w:rPr>
          <w:rStyle w:val="Style1Char"/>
          <w:color w:val="C00000"/>
          <w:sz w:val="22"/>
          <w:szCs w:val="22"/>
          <w:rtl/>
        </w:rPr>
        <w:t>לא תפרע אלא בשבועה</w:t>
      </w:r>
      <w:r w:rsidRPr="00D2614D">
        <w:rPr>
          <w:rStyle w:val="Style1Char"/>
          <w:color w:val="00B050"/>
          <w:rtl/>
        </w:rPr>
        <w:t xml:space="preserve">. </w:t>
      </w:r>
      <w:r w:rsidRPr="00A2791D">
        <w:rPr>
          <w:rStyle w:val="Style1Char"/>
          <w:color w:val="auto"/>
          <w:sz w:val="22"/>
          <w:szCs w:val="22"/>
          <w:rtl/>
        </w:rPr>
        <w:t>סבר רמי בר חמא למימר שבועה דאורייתא, דכתיב: לא יקום עד אחד באיש לכל עון ולכל חטאת</w:t>
      </w:r>
      <w:r w:rsidRPr="00BF4051">
        <w:rPr>
          <w:rStyle w:val="Style1Char"/>
          <w:sz w:val="22"/>
          <w:szCs w:val="22"/>
          <w:rtl/>
        </w:rPr>
        <w:t>,</w:t>
      </w:r>
      <w:r w:rsidRPr="00D2614D">
        <w:rPr>
          <w:rStyle w:val="Style1Char"/>
          <w:color w:val="00B050"/>
          <w:rtl/>
        </w:rPr>
        <w:t xml:space="preserve"> </w:t>
      </w:r>
      <w:r w:rsidRPr="00BF4051">
        <w:rPr>
          <w:rStyle w:val="Style1Char"/>
          <w:color w:val="C00000"/>
          <w:sz w:val="22"/>
          <w:szCs w:val="22"/>
          <w:rtl/>
        </w:rPr>
        <w:t xml:space="preserve">ואמרינן </w:t>
      </w:r>
      <w:r w:rsidR="00DB6941">
        <w:rPr>
          <w:rStyle w:val="Style1Char"/>
          <w:rFonts w:hint="cs"/>
          <w:rtl/>
        </w:rPr>
        <w:t>(1, 2.1)</w:t>
      </w:r>
      <w:r w:rsidRPr="00A2791D">
        <w:rPr>
          <w:rStyle w:val="Style1Char"/>
          <w:color w:val="auto"/>
          <w:sz w:val="22"/>
          <w:szCs w:val="22"/>
          <w:rtl/>
        </w:rPr>
        <w:t>לכל עון ולכל חטאת הוא דאינו קם אבל קם הוא לשבועה, ואמר מר: כל מקום שהשנים מחייבין אותו ממון, אחד מחייבו שבועה; אמר רבא, שתי תשובות בדבר: חדא, דכל הנשבעין שבתורה - נשבעין ולא משלמין</w:t>
      </w:r>
      <w:r w:rsidRPr="00A2791D">
        <w:rPr>
          <w:rStyle w:val="Style1Char"/>
          <w:color w:val="auto"/>
          <w:rtl/>
        </w:rPr>
        <w:t>,</w:t>
      </w:r>
      <w:r w:rsidRPr="00D2614D">
        <w:rPr>
          <w:rStyle w:val="Style1Char"/>
          <w:color w:val="00B050"/>
          <w:rtl/>
        </w:rPr>
        <w:t xml:space="preserve"> </w:t>
      </w:r>
      <w:r w:rsidRPr="00F95BAB">
        <w:rPr>
          <w:rStyle w:val="Style1Char"/>
          <w:color w:val="ED7D31" w:themeColor="accent2"/>
          <w:rtl/>
        </w:rPr>
        <w:t xml:space="preserve">והיא </w:t>
      </w:r>
      <w:r w:rsidRPr="007F223C">
        <w:rPr>
          <w:rStyle w:val="Style1Char"/>
          <w:color w:val="C00000"/>
          <w:sz w:val="22"/>
          <w:szCs w:val="22"/>
          <w:rtl/>
        </w:rPr>
        <w:t xml:space="preserve">והא </w:t>
      </w:r>
      <w:r w:rsidRPr="00F95BAB">
        <w:rPr>
          <w:rStyle w:val="Style1Char"/>
          <w:color w:val="auto"/>
          <w:sz w:val="22"/>
          <w:szCs w:val="22"/>
          <w:rtl/>
        </w:rPr>
        <w:t>נשבעת ונוטלת</w:t>
      </w:r>
      <w:r w:rsidRPr="00F95BAB">
        <w:rPr>
          <w:rStyle w:val="Style1Char"/>
          <w:color w:val="auto"/>
          <w:rtl/>
        </w:rPr>
        <w:t xml:space="preserve"> </w:t>
      </w:r>
      <w:r w:rsidRPr="007F223C">
        <w:rPr>
          <w:rStyle w:val="Style1Char"/>
          <w:color w:val="C00000"/>
          <w:sz w:val="22"/>
          <w:szCs w:val="22"/>
          <w:rtl/>
        </w:rPr>
        <w:t>היא</w:t>
      </w:r>
      <w:r w:rsidRPr="007F223C">
        <w:rPr>
          <w:rStyle w:val="Style1Char"/>
          <w:sz w:val="22"/>
          <w:szCs w:val="22"/>
          <w:rtl/>
        </w:rPr>
        <w:t xml:space="preserve">; </w:t>
      </w:r>
      <w:r w:rsidRPr="00F95BAB">
        <w:rPr>
          <w:rStyle w:val="Style1Char"/>
          <w:color w:val="auto"/>
          <w:sz w:val="22"/>
          <w:szCs w:val="22"/>
          <w:rtl/>
        </w:rPr>
        <w:t xml:space="preserve">ועוד, אין נשבעין על כפירת שיעבוד קרקעות! אלא אמר רבא: מדרבנן, כדי להפיס דעתו של בעל. אמר רב פפא: </w:t>
      </w:r>
    </w:p>
    <w:p w14:paraId="6E72DB7F" w14:textId="3B5D20B9" w:rsidR="0037367E" w:rsidRDefault="0037367E" w:rsidP="0037367E">
      <w:pPr>
        <w:pStyle w:val="Style1"/>
        <w:rPr>
          <w:rStyle w:val="Style1Char"/>
          <w:rtl/>
        </w:rPr>
      </w:pPr>
      <w:r>
        <w:rPr>
          <w:rStyle w:val="Style1Char"/>
          <w:rFonts w:hint="cs"/>
          <w:rtl/>
        </w:rPr>
        <w:t>1)[</w:t>
      </w:r>
      <w:r w:rsidRPr="0037367E">
        <w:rPr>
          <w:rStyle w:val="Style1Char"/>
          <w:rtl/>
        </w:rPr>
        <w:t>רמב</w:t>
      </w:r>
      <w:r w:rsidR="0057095E">
        <w:rPr>
          <w:rStyle w:val="Style1Char"/>
          <w:rtl/>
        </w:rPr>
        <w:t>”ם \משפטים\</w:t>
      </w:r>
      <w:r w:rsidRPr="0037367E">
        <w:rPr>
          <w:rStyle w:val="Style1Char"/>
          <w:rtl/>
        </w:rPr>
        <w:t xml:space="preserve"> הלכות טוען ונטען פרק א הלכה א</w:t>
      </w:r>
      <w:r>
        <w:rPr>
          <w:rStyle w:val="Style1Char"/>
          <w:rFonts w:hint="cs"/>
          <w:rtl/>
        </w:rPr>
        <w:t xml:space="preserve">] </w:t>
      </w:r>
      <w:r w:rsidRPr="0037367E">
        <w:rPr>
          <w:rStyle w:val="Style1Char"/>
          <w:rtl/>
        </w:rPr>
        <w:t>הטוען את חבירו במטלטלין והודה לו במקצת הרי זה משלם מה שהודה בו ונשבע על השאר מן התורה שנאמר אשר יאמר כי הוא זה, וכן אם כפר בכל ואומר לא היו דברים מעולם ועד אחד מעיד שהוא חייב לו הרי זה נשבע מן התורה, ומפי השמועה למדו שכל מקום ששנים מחייבין אותו ממון אחד מחייבו שבועה, וכן למדו מפי השמועה שעד אחד לכל עון ולכל חטאת אינו קם אבל קם הוא לשבועה.</w:t>
      </w:r>
    </w:p>
    <w:p w14:paraId="51176A7A" w14:textId="07E2CE30" w:rsidR="0037367E" w:rsidRDefault="0037367E" w:rsidP="0037367E">
      <w:pPr>
        <w:pStyle w:val="Style1"/>
        <w:rPr>
          <w:rStyle w:val="Style1Char"/>
          <w:rtl/>
        </w:rPr>
      </w:pPr>
      <w:r>
        <w:rPr>
          <w:rStyle w:val="Style1Char"/>
          <w:rFonts w:hint="cs"/>
          <w:rtl/>
        </w:rPr>
        <w:t>1)[</w:t>
      </w:r>
      <w:r w:rsidRPr="0037367E">
        <w:rPr>
          <w:rStyle w:val="Style1Char"/>
          <w:rtl/>
        </w:rPr>
        <w:t>רמב</w:t>
      </w:r>
      <w:r w:rsidR="00EC109D">
        <w:rPr>
          <w:rStyle w:val="Style1Char"/>
          <w:rtl/>
        </w:rPr>
        <w:t>”ם \הפלאה\</w:t>
      </w:r>
      <w:r w:rsidRPr="0037367E">
        <w:rPr>
          <w:rStyle w:val="Style1Char"/>
          <w:rtl/>
        </w:rPr>
        <w:t xml:space="preserve"> הלכות שבועות פרק יא הלכה ה</w:t>
      </w:r>
      <w:r>
        <w:rPr>
          <w:rStyle w:val="Style1Char"/>
          <w:rFonts w:hint="cs"/>
          <w:rtl/>
        </w:rPr>
        <w:t xml:space="preserve">] </w:t>
      </w:r>
      <w:r w:rsidRPr="0037367E">
        <w:rPr>
          <w:rStyle w:val="Style1Char"/>
          <w:rtl/>
        </w:rPr>
        <w:t>שלשה מיני שבועות הן שחייבין בהן מן התורה, ואלו הן: מי שטענו חבירו מטלטלין והודה במקצתן וכפר במקצתן, ומי שכפר בכל המטלטלין שטענו ועד אחד מעיד עליו ומכחישו הרי אלו שתי שבועות על ידי טענת ודאי וכפירה, וכן שומר שטוען שאבד דבר שהפקידו אצלו או נגנב או מת וכיוצא בזה הרי זה נשבע מספק, שאין בעל הפקדון יודע אם אמת טוען זה השומר או שקר, והוא נשבע מן התורה שנאמר שבועת ה' תהיה בין שניהם.</w:t>
      </w:r>
    </w:p>
    <w:p w14:paraId="5548C1F2" w14:textId="6336AC34" w:rsidR="00BC35C0" w:rsidRPr="00BC35C0" w:rsidRDefault="00BC35C0" w:rsidP="00BC35C0">
      <w:pPr>
        <w:pStyle w:val="Style1"/>
      </w:pPr>
      <w:r>
        <w:rPr>
          <w:rStyle w:val="Style1Char"/>
          <w:rFonts w:hint="cs"/>
          <w:rtl/>
        </w:rPr>
        <w:t>1)[</w:t>
      </w:r>
      <w:r w:rsidRPr="00BC35C0">
        <w:rPr>
          <w:rStyle w:val="Style1Char"/>
          <w:rtl/>
        </w:rPr>
        <w:t>שולחן ערוך חושן משפט הלכות טוען ונטען סימן פז סעיף א</w:t>
      </w:r>
      <w:r>
        <w:rPr>
          <w:rStyle w:val="Style1Char"/>
          <w:rFonts w:hint="cs"/>
          <w:rtl/>
        </w:rPr>
        <w:t xml:space="preserve">] </w:t>
      </w:r>
      <w:r w:rsidRPr="00BC35C0">
        <w:rPr>
          <w:rtl/>
        </w:rPr>
        <w:t>התובע לחבירו ממון או חפץ שהיה יכול להחזיק בו בטענת להד"מ או החזרתיו לך או לקוח הוא בידי אם הוא מודה מקצת חייב שבועה מן התורה וכן אם הוא כופר בכל ועד א' מכחישו חייב שבועה מן התורה אפילו אינו ידוע שחייב לו אלא ע"פ העד אבל הכופר בכל ואין עד א' מכחישו פטור משבועת התורה (טור ס"י בשם הרמב"ם והרא"ש) בין במלוה בין בפקדון אבל חייב שבועת היסת אפילו אמר ליה מנה לי בידך והלה אומר להד"ם נשבע היסת (טור סי' ט' ) </w:t>
      </w:r>
      <w:r w:rsidRPr="00BC35C0">
        <w:rPr>
          <w:rFonts w:hint="cs"/>
        </w:rPr>
        <w:t>(</w:t>
      </w:r>
      <w:r w:rsidRPr="00BC35C0">
        <w:rPr>
          <w:rFonts w:hint="cs"/>
          <w:rtl/>
        </w:rPr>
        <w:t>ובלבד שיתבענו ודאי כמו שנתבאר לעיל </w:t>
      </w:r>
      <w:hyperlink r:id="rId241" w:tooltip="שולחן ערוך חושן משפט עה" w:history="1">
        <w:r w:rsidRPr="00BC35C0">
          <w:rPr>
            <w:rStyle w:val="Hyperlink"/>
            <w:rFonts w:hint="cs"/>
            <w:color w:val="7030A0"/>
            <w:u w:val="none"/>
            <w:rtl/>
          </w:rPr>
          <w:t>סי' ע"ה</w:t>
        </w:r>
      </w:hyperlink>
      <w:r w:rsidRPr="00BC35C0">
        <w:rPr>
          <w:rFonts w:hint="cs"/>
        </w:rPr>
        <w:t>)</w:t>
      </w:r>
      <w:r w:rsidRPr="00BC35C0">
        <w:t> </w:t>
      </w:r>
      <w:r w:rsidRPr="00BC35C0">
        <w:rPr>
          <w:rtl/>
        </w:rPr>
        <w:t>ואפילו מודה מקצת אם אמר לו הילך המקצת שאני מודה אינו חייב אלא היסת ואינו נקרא הילך אא"כ יהא המקצת שהוא מודה לו מוכן בידו בפני ב"ד ליתנו לו מיד אבל אם אמר הרי הוא בביתי ואתננו לך לא ואפילו אם יתן לו משכון על מה שמודה בו לא חשיב הילך</w:t>
      </w:r>
    </w:p>
    <w:p w14:paraId="634553A1" w14:textId="437943F2" w:rsidR="00BC35C0" w:rsidRDefault="00BC35C0" w:rsidP="00BC35C0">
      <w:pPr>
        <w:pStyle w:val="Style1"/>
        <w:rPr>
          <w:rtl/>
        </w:rPr>
      </w:pPr>
      <w:r w:rsidRPr="00BC35C0">
        <w:rPr>
          <w:rFonts w:hint="cs"/>
          <w:rtl/>
        </w:rPr>
        <w:t>(וי"א דמשכון חשיב הילך דהא אפילו שטר חשוב הילך) ( טור ובעל העיטור)</w:t>
      </w:r>
      <w:r w:rsidRPr="00BC35C0">
        <w:t>:</w:t>
      </w:r>
    </w:p>
    <w:p w14:paraId="1E307AD3" w14:textId="3995F977" w:rsidR="00BC35C0" w:rsidRDefault="00BC35C0" w:rsidP="00BC35C0">
      <w:pPr>
        <w:pStyle w:val="Style1"/>
        <w:rPr>
          <w:rtl/>
        </w:rPr>
      </w:pPr>
      <w:r>
        <w:rPr>
          <w:rFonts w:hint="cs"/>
          <w:rtl/>
        </w:rPr>
        <w:t>2)[</w:t>
      </w:r>
      <w:r>
        <w:rPr>
          <w:rtl/>
        </w:rPr>
        <w:t>רמב</w:t>
      </w:r>
      <w:r w:rsidR="0057095E">
        <w:rPr>
          <w:rtl/>
        </w:rPr>
        <w:t>”ם \משפטים\</w:t>
      </w:r>
      <w:r>
        <w:rPr>
          <w:rtl/>
        </w:rPr>
        <w:t xml:space="preserve"> הלכות טוען ונטען פרק ה הלכה א</w:t>
      </w:r>
      <w:r>
        <w:rPr>
          <w:rFonts w:hint="cs"/>
          <w:rtl/>
        </w:rPr>
        <w:t xml:space="preserve">] </w:t>
      </w:r>
      <w:r>
        <w:rPr>
          <w:rtl/>
        </w:rPr>
        <w:t>ואלו דברים שאין נשבעין עליהן מן התורה, הקרקעות והעבדים והשטרות וההקדשות אף על פי שהודה במקצת או שיש עליו עד אחד או ששמר וטען טענת השומרין הרי זה פטור, שנאמר כי יתן איש אל רעהו פרט להקדש, כסף או כלים פרט לקרקעות ולעבדים שהוקשו לקרקעות, וכן יצאו שטרות שאין גופן ממון ככסף וככלים ואינן אלא לראיה שבהן, ועל כלן נשבע שבועת היסת אם היתה שם טענת ודאי, חוץ מן ההקדשות שאע"פ שאינו חייב עליהם שבועה מן התורה תקנו חכמים שישבע עליהם כעין של תורה כדי שלא יזלזלו בהקדשות.</w:t>
      </w:r>
    </w:p>
    <w:p w14:paraId="546B00B5" w14:textId="5E13DB9E" w:rsidR="00086A7F" w:rsidRPr="00086A7F" w:rsidRDefault="00BC35C0" w:rsidP="00086A7F">
      <w:pPr>
        <w:pStyle w:val="Style1"/>
      </w:pPr>
      <w:r>
        <w:rPr>
          <w:rFonts w:hint="cs"/>
          <w:rtl/>
        </w:rPr>
        <w:lastRenderedPageBreak/>
        <w:t>2)[</w:t>
      </w:r>
      <w:r>
        <w:rPr>
          <w:rtl/>
        </w:rPr>
        <w:t>שולחן ערוך חושן משפט הלכות טוען ונטען סימן צה סעיף א</w:t>
      </w:r>
      <w:r>
        <w:rPr>
          <w:rFonts w:hint="cs"/>
          <w:rtl/>
        </w:rPr>
        <w:t>]</w:t>
      </w:r>
      <w:r w:rsidR="00086A7F">
        <w:rPr>
          <w:rFonts w:hint="cs"/>
          <w:rtl/>
        </w:rPr>
        <w:t xml:space="preserve"> </w:t>
      </w:r>
      <w:r w:rsidR="00086A7F" w:rsidRPr="00086A7F">
        <w:rPr>
          <w:rtl/>
        </w:rPr>
        <w:t>אלו דברים שאין נשבעין עליהם מן התורה קרקעות אפי' של ח"ל ועבדים ושטרות והקדשות וכן נכסי עכו"ם לא שנא מודה מקצת לא שנא כופר בכל ועד אחד מכחישו לא שנא בשבועת השומרים ואפי' אם פשעו בהם ונאבדו פטורים מלשלם לא שנא שומר חנם או שומר שכר ושואל ואם התנה לשלם הכל לפי תנאו (מיימוני פ' ב' משכירות) </w:t>
      </w:r>
      <w:r w:rsidR="00086A7F" w:rsidRPr="00086A7F">
        <w:rPr>
          <w:rFonts w:hint="cs"/>
        </w:rPr>
        <w:t>(</w:t>
      </w:r>
      <w:r w:rsidR="00086A7F" w:rsidRPr="00086A7F">
        <w:rPr>
          <w:rFonts w:hint="cs"/>
          <w:rtl/>
        </w:rPr>
        <w:t>ועיין לעיל </w:t>
      </w:r>
      <w:hyperlink r:id="rId242" w:anchor="%D7%A1%D7%A2%D7%99%D7%A3_%D7%9E" w:tooltip="שולחן ערוך חושן משפט סו" w:history="1">
        <w:r w:rsidR="00086A7F" w:rsidRPr="00086A7F">
          <w:rPr>
            <w:rStyle w:val="Hyperlink"/>
            <w:rFonts w:hint="cs"/>
            <w:color w:val="7030A0"/>
            <w:u w:val="none"/>
            <w:rtl/>
          </w:rPr>
          <w:t>סימן ס"ו סעיף מ</w:t>
        </w:r>
        <w:r w:rsidR="00086A7F" w:rsidRPr="00086A7F">
          <w:rPr>
            <w:rStyle w:val="Hyperlink"/>
            <w:rFonts w:hint="cs"/>
            <w:color w:val="7030A0"/>
            <w:u w:val="none"/>
          </w:rPr>
          <w:t>'</w:t>
        </w:r>
      </w:hyperlink>
      <w:r w:rsidR="00086A7F" w:rsidRPr="00086A7F">
        <w:rPr>
          <w:rFonts w:hint="cs"/>
        </w:rPr>
        <w:t>)</w:t>
      </w:r>
      <w:r w:rsidR="00086A7F" w:rsidRPr="00086A7F">
        <w:t> </w:t>
      </w:r>
      <w:r w:rsidR="00086A7F" w:rsidRPr="00086A7F">
        <w:rPr>
          <w:rtl/>
        </w:rPr>
        <w:t>אבל שבועת היסת נשבעין אפילו על דברים אלו וכן ע"י גלגול נשבעין עליהן והקדשות שאמרו דוקא הקדש גבוה אבל הקדש לעניים או לבהכ"נ או לספר תורה וכיוצא בזה נשבעין עליהם כמו שנשבעין על נכסי הדיוט</w:t>
      </w:r>
      <w:r w:rsidR="00086A7F" w:rsidRPr="00086A7F">
        <w:t>:</w:t>
      </w:r>
    </w:p>
    <w:p w14:paraId="28070968" w14:textId="1C9F92FB" w:rsidR="00086A7F" w:rsidRDefault="00086A7F" w:rsidP="00086A7F">
      <w:pPr>
        <w:pStyle w:val="Style1"/>
        <w:rPr>
          <w:rtl/>
        </w:rPr>
      </w:pPr>
      <w:r w:rsidRPr="00086A7F">
        <w:rPr>
          <w:rFonts w:hint="cs"/>
          <w:rtl/>
        </w:rPr>
        <w:t>הגה: וי"א דתלוש ולבסוף חברו בקרקע לאו כקרקע דמי (טור בשם עיטור) ויש חולקין ולכן אם שאל בית ונשרף פטור מלשלם (מרדכי פרק הדיינים וע' לקמן </w:t>
      </w:r>
      <w:hyperlink r:id="rId243" w:tooltip="שולחן ערוך חושן משפט שא" w:history="1">
        <w:r w:rsidRPr="00086A7F">
          <w:rPr>
            <w:rStyle w:val="Hyperlink"/>
            <w:rFonts w:hint="cs"/>
            <w:color w:val="7030A0"/>
            <w:u w:val="none"/>
            <w:rtl/>
          </w:rPr>
          <w:t>סי' ש"א</w:t>
        </w:r>
      </w:hyperlink>
      <w:r w:rsidRPr="00086A7F">
        <w:rPr>
          <w:rFonts w:hint="cs"/>
        </w:rPr>
        <w:t>)</w:t>
      </w:r>
      <w:r w:rsidRPr="00086A7F">
        <w:t>:</w:t>
      </w:r>
    </w:p>
    <w:p w14:paraId="4D4C6BF4" w14:textId="2543D03E" w:rsidR="00086A7F" w:rsidRDefault="00196B65" w:rsidP="00086A7F">
      <w:pPr>
        <w:pStyle w:val="Style1"/>
        <w:rPr>
          <w:rtl/>
        </w:rPr>
      </w:pPr>
      <w:r>
        <w:rPr>
          <w:rFonts w:hint="cs"/>
          <w:rtl/>
        </w:rPr>
        <w:t>3</w:t>
      </w:r>
      <w:r w:rsidR="00086A7F">
        <w:rPr>
          <w:rFonts w:hint="cs"/>
          <w:rtl/>
        </w:rPr>
        <w:t>)[</w:t>
      </w:r>
      <w:r w:rsidR="00086A7F">
        <w:rPr>
          <w:rtl/>
        </w:rPr>
        <w:t>רמב</w:t>
      </w:r>
      <w:r w:rsidR="0057095E">
        <w:rPr>
          <w:rtl/>
        </w:rPr>
        <w:t>”ם \משפטים\</w:t>
      </w:r>
      <w:r w:rsidR="00086A7F">
        <w:rPr>
          <w:rtl/>
        </w:rPr>
        <w:t xml:space="preserve"> הלכות מלוה ולוה פרק יד הלכה א</w:t>
      </w:r>
      <w:r w:rsidR="00086A7F">
        <w:rPr>
          <w:rFonts w:hint="cs"/>
          <w:rtl/>
        </w:rPr>
        <w:t xml:space="preserve">] </w:t>
      </w:r>
      <w:r w:rsidR="00086A7F">
        <w:rPr>
          <w:rtl/>
        </w:rPr>
        <w:t>הפוגם את שטרו, או שעד אחד מעיד על שטרו שהוא פרוע, והבא ליפרע שלא בפני הלוה, והטורף מיד הלוקח, והנפרעים מן היורש בין קטן בין גדול לא יפרע אלא בשבועה כעין של תורה (ואומר) לו כשיתבע השבע ואח"כ תטול, ואם היה החוב לזמן ותבע בזמנו יפרע שלא בשבועה, עבר זמנו לא יגבה אלא בשבועה.</w:t>
      </w:r>
    </w:p>
    <w:p w14:paraId="48E487E3" w14:textId="4D14C772" w:rsidR="00086A7F" w:rsidRDefault="00196B65" w:rsidP="00086A7F">
      <w:pPr>
        <w:pStyle w:val="Style1"/>
        <w:rPr>
          <w:rtl/>
        </w:rPr>
      </w:pPr>
      <w:r>
        <w:rPr>
          <w:rFonts w:hint="cs"/>
          <w:rtl/>
        </w:rPr>
        <w:t>3</w:t>
      </w:r>
      <w:r w:rsidR="00086A7F">
        <w:rPr>
          <w:rFonts w:hint="cs"/>
          <w:rtl/>
        </w:rPr>
        <w:t>)[</w:t>
      </w:r>
      <w:r w:rsidR="00086A7F">
        <w:rPr>
          <w:rtl/>
        </w:rPr>
        <w:t>שולחן ערוך אבן העזר הלכות כתובות סימן צו סעיף יא</w:t>
      </w:r>
      <w:r w:rsidR="00086A7F">
        <w:rPr>
          <w:rFonts w:hint="cs"/>
          <w:rtl/>
        </w:rPr>
        <w:t xml:space="preserve">] </w:t>
      </w:r>
      <w:r w:rsidR="00086A7F" w:rsidRPr="00086A7F">
        <w:rPr>
          <w:rtl/>
        </w:rPr>
        <w:t>כל אלו השבועות אף על פי שהם דרבנן, הן בנקיטת חפץ. ואם קדמה ותפסה מעות ואינה רוצה לשבע, לא מפקינן מינה, ואפוכי לא מפכינן לה</w:t>
      </w:r>
      <w:r w:rsidR="00086A7F" w:rsidRPr="00086A7F">
        <w:t>:</w:t>
      </w:r>
    </w:p>
    <w:p w14:paraId="312D0C79" w14:textId="3DBC897D" w:rsidR="00086A7F" w:rsidRDefault="00196B65" w:rsidP="00086A7F">
      <w:pPr>
        <w:pStyle w:val="Style1"/>
        <w:rPr>
          <w:rtl/>
        </w:rPr>
      </w:pPr>
      <w:r>
        <w:rPr>
          <w:rFonts w:hint="cs"/>
          <w:rtl/>
        </w:rPr>
        <w:t>3</w:t>
      </w:r>
      <w:r w:rsidR="00086A7F">
        <w:rPr>
          <w:rFonts w:hint="cs"/>
          <w:rtl/>
        </w:rPr>
        <w:t>)[</w:t>
      </w:r>
      <w:r w:rsidR="00086A7F">
        <w:rPr>
          <w:rtl/>
        </w:rPr>
        <w:t>שולחן ערוך חושן משפט הלכות טוען ונטען סימן פד סעיף א</w:t>
      </w:r>
      <w:r w:rsidR="00086A7F">
        <w:rPr>
          <w:rFonts w:hint="cs"/>
          <w:rtl/>
        </w:rPr>
        <w:t xml:space="preserve">] </w:t>
      </w:r>
      <w:r w:rsidR="00086A7F" w:rsidRPr="005E6F85">
        <w:rPr>
          <w:rtl/>
        </w:rPr>
        <w:t>הפוגם שטרו לא יפרע אלא בשבועה אע"פ שלא טען הלוה השבע לי כיצד הרי ששטרו אלף זוז וטען הלוה פרוע כולו ומלוה אומר לא נפרעתי אלא מקצתו לא יפרע את השאר אלא בשבועה כעין של תורה אפילו היו עדים בשעת הפרעון או שכתב לו שובר במה שפרע ולא אמרינן אם איתא דפרע טפי בעדים הוה פרע ליה כדפרעיה מעיקרא או היה כותב לו שובר ואפילו דקדק לצרף בחשבונו אפילו פחות משוה פרוטה לא אמרינן כיון שדקדק כל כך קושטא קאמר ואם יש בו נאמנות אע"פ שלא פירש בין בכולו בין במקצתו נוטל בלא שבועה</w:t>
      </w:r>
      <w:r w:rsidR="00086A7F" w:rsidRPr="005E6F85">
        <w:t>:</w:t>
      </w:r>
    </w:p>
    <w:p w14:paraId="439BB15A" w14:textId="063BC22C" w:rsidR="00086A7F" w:rsidRDefault="00196B65" w:rsidP="00086A7F">
      <w:pPr>
        <w:pStyle w:val="Style1"/>
        <w:rPr>
          <w:rtl/>
        </w:rPr>
      </w:pPr>
      <w:r>
        <w:rPr>
          <w:rFonts w:hint="cs"/>
          <w:rtl/>
        </w:rPr>
        <w:t>4</w:t>
      </w:r>
      <w:r w:rsidR="00086A7F">
        <w:rPr>
          <w:rFonts w:hint="cs"/>
          <w:rtl/>
        </w:rPr>
        <w:t>)[</w:t>
      </w:r>
      <w:r w:rsidR="00086A7F">
        <w:rPr>
          <w:rtl/>
        </w:rPr>
        <w:t>רמב</w:t>
      </w:r>
      <w:r w:rsidR="00213DA1">
        <w:rPr>
          <w:rtl/>
        </w:rPr>
        <w:t>”ם \נשים\</w:t>
      </w:r>
      <w:r w:rsidR="00086A7F">
        <w:rPr>
          <w:rtl/>
        </w:rPr>
        <w:t xml:space="preserve"> הלכות אישות פרק טז הלכה טו</w:t>
      </w:r>
      <w:r w:rsidR="00086A7F">
        <w:rPr>
          <w:rFonts w:hint="cs"/>
          <w:rtl/>
        </w:rPr>
        <w:t xml:space="preserve">] </w:t>
      </w:r>
      <w:r w:rsidR="00086A7F">
        <w:rPr>
          <w:rtl/>
        </w:rPr>
        <w:t>אמר הבעל נתקבלה הכל והיא אומרת לא נתקבלתי כלום ועד אחד מעיד עליה שנתקבלה הכל או מקצת לא תפרע כל הכתובה אלא בשבועה.</w:t>
      </w:r>
    </w:p>
    <w:p w14:paraId="5886D256" w14:textId="682BB5F7" w:rsidR="00086A7F" w:rsidRDefault="00196B65" w:rsidP="00086A7F">
      <w:pPr>
        <w:pStyle w:val="Style1"/>
        <w:rPr>
          <w:rtl/>
        </w:rPr>
      </w:pPr>
      <w:r>
        <w:rPr>
          <w:rFonts w:hint="cs"/>
          <w:rtl/>
        </w:rPr>
        <w:t>4</w:t>
      </w:r>
      <w:r w:rsidR="00086A7F">
        <w:rPr>
          <w:rFonts w:hint="cs"/>
          <w:rtl/>
        </w:rPr>
        <w:t>)[</w:t>
      </w:r>
      <w:r w:rsidR="00086A7F">
        <w:rPr>
          <w:rtl/>
        </w:rPr>
        <w:t>שולחן ערוך אבן העזר הלכות כתובות סימן צו סעיף ז</w:t>
      </w:r>
      <w:r w:rsidR="00086A7F">
        <w:rPr>
          <w:rFonts w:hint="cs"/>
          <w:rtl/>
        </w:rPr>
        <w:t xml:space="preserve">] </w:t>
      </w:r>
      <w:r w:rsidR="00086A7F" w:rsidRPr="00086A7F">
        <w:rPr>
          <w:rtl/>
        </w:rPr>
        <w:t>פעמים שאף גרושה משביעין אותה, אפלו לא יטען, כגון פוגמת כתבתה; כגון שהיתה כתבתה אלף, ואמר לה: התקבלת כתבתיך, והיא אומרת: לא התקבלתי אלא מנה, אפלו יש לה עדים כמה קבלה, ואפלו דקדקה מה שנטלה אפלו כחצי פרוטה, לא תפרע אלא בשבועה</w:t>
      </w:r>
      <w:r w:rsidR="00086A7F" w:rsidRPr="00086A7F">
        <w:t>:</w:t>
      </w:r>
    </w:p>
    <w:p w14:paraId="43E9316F" w14:textId="398B1ACC" w:rsidR="00496532" w:rsidRDefault="00196B65" w:rsidP="00496532">
      <w:pPr>
        <w:pStyle w:val="Style1"/>
        <w:rPr>
          <w:rtl/>
        </w:rPr>
      </w:pPr>
      <w:r>
        <w:rPr>
          <w:rFonts w:hint="cs"/>
          <w:rtl/>
        </w:rPr>
        <w:t>5</w:t>
      </w:r>
      <w:r w:rsidR="00496532">
        <w:rPr>
          <w:rFonts w:hint="cs"/>
          <w:rtl/>
        </w:rPr>
        <w:t>)[</w:t>
      </w:r>
      <w:r w:rsidR="00496532">
        <w:rPr>
          <w:rtl/>
        </w:rPr>
        <w:t>רמב</w:t>
      </w:r>
      <w:r w:rsidR="0057095E">
        <w:rPr>
          <w:rtl/>
        </w:rPr>
        <w:t>”ם \משפטים\</w:t>
      </w:r>
      <w:r w:rsidR="00496532">
        <w:rPr>
          <w:rtl/>
        </w:rPr>
        <w:t xml:space="preserve"> הלכות טוען ונטען פרק א הלכה ב</w:t>
      </w:r>
      <w:r w:rsidR="00496532">
        <w:rPr>
          <w:rFonts w:hint="cs"/>
          <w:rtl/>
        </w:rPr>
        <w:t xml:space="preserve">] </w:t>
      </w:r>
      <w:r w:rsidR="00496532">
        <w:rPr>
          <w:rtl/>
        </w:rPr>
        <w:t>אין לך מחוייב שבועה מן התורה חוץ משלשה, מי שהודה במקצת המטלטלין, ומי שחייבו עד אחד, והשומר, שהרי נאמר בשומר שבועת ה' תהיה בין שניהם, וכבר ביארנו שבועת השומרין בהלכות שכירות, וכל אחד מן השלשה נשבע ונפטר מלשלם, אבל כל הנשבעין ונוטלין כגון שכיר ונחבל ופוגם את שטרו וכיוצא בו, וכן כל הנשבעין בטענת ספק כגון השותפין והאריסין כולן נשבעין בתקנת חכמים, וכל אלו השבועות אף על פי שהן מדברי סופרים הרי הן כעין של תורה בנקיטת חפץ.</w:t>
      </w:r>
    </w:p>
    <w:p w14:paraId="756BE8C9" w14:textId="330BBBE6" w:rsidR="00496532" w:rsidRDefault="00196B65" w:rsidP="00496532">
      <w:pPr>
        <w:pStyle w:val="Style1"/>
        <w:rPr>
          <w:rtl/>
        </w:rPr>
      </w:pPr>
      <w:r>
        <w:rPr>
          <w:rFonts w:hint="cs"/>
          <w:rtl/>
        </w:rPr>
        <w:t>5</w:t>
      </w:r>
      <w:r w:rsidR="00496532">
        <w:rPr>
          <w:rFonts w:hint="cs"/>
          <w:rtl/>
        </w:rPr>
        <w:t>)[</w:t>
      </w:r>
      <w:r w:rsidR="00496532">
        <w:rPr>
          <w:rtl/>
        </w:rPr>
        <w:t>רמב</w:t>
      </w:r>
      <w:r w:rsidR="0057095E">
        <w:rPr>
          <w:rtl/>
        </w:rPr>
        <w:t>”ם \משפטים\</w:t>
      </w:r>
      <w:r w:rsidR="00496532">
        <w:rPr>
          <w:rtl/>
        </w:rPr>
        <w:t xml:space="preserve"> הלכות טוען ונטען פרק ב הלכה ד</w:t>
      </w:r>
      <w:r w:rsidR="00496532">
        <w:rPr>
          <w:rFonts w:hint="cs"/>
          <w:rtl/>
        </w:rPr>
        <w:t xml:space="preserve">] </w:t>
      </w:r>
      <w:r w:rsidR="00496532">
        <w:rPr>
          <w:rtl/>
        </w:rPr>
        <w:t>תקנת חכמים היא שכל המחוייב שבועה מן התורה על טענת ודאי, אם היה חשוד הרי התובע נשבע מדבריהם ונוטל מה שטען, היו שניהם חשודין חזרה שבועה למחוייב לה שהוא הנתבע ומתוך שאינו יכול לישבע משלם, היה החשוד שומר וטען שאבד הפקדון או נגנב שכנגדו אינו יכול להשבע וליטול שהרי אינו טוענו ודאי שאכלו, לפיכך אם טען בעל הפקדון ואמר בפני שלח יד בפקדוני או פשע בו הרי התובע נשבע בתקנת חכמים ונוטל.</w:t>
      </w:r>
    </w:p>
    <w:p w14:paraId="2D4580D8" w14:textId="4D6EDE03" w:rsidR="00496532" w:rsidRDefault="00196B65" w:rsidP="00496532">
      <w:pPr>
        <w:pStyle w:val="Style1"/>
        <w:rPr>
          <w:rtl/>
        </w:rPr>
      </w:pPr>
      <w:r>
        <w:rPr>
          <w:rFonts w:hint="cs"/>
          <w:rtl/>
        </w:rPr>
        <w:t>5</w:t>
      </w:r>
      <w:r w:rsidR="00496532">
        <w:rPr>
          <w:rFonts w:hint="cs"/>
          <w:rtl/>
        </w:rPr>
        <w:t>)[</w:t>
      </w:r>
      <w:r w:rsidR="00496532">
        <w:rPr>
          <w:rtl/>
        </w:rPr>
        <w:t>שולחן ערוך חושן משפט הלכות טוען ונטען סימן פט סעיף א</w:t>
      </w:r>
      <w:r w:rsidR="00496532">
        <w:rPr>
          <w:rFonts w:hint="cs"/>
          <w:rtl/>
        </w:rPr>
        <w:t xml:space="preserve">] </w:t>
      </w:r>
      <w:r w:rsidR="00496532">
        <w:rPr>
          <w:rtl/>
        </w:rPr>
        <w:t>כל הנשבעין שבתורה, נשבעין ולא משלמין. ואלו נשבעין ונוטלים: השכיר, והנגזל, והנחבל, והחנוני על פנקסו, ושכנגדו חשוד על השבועה.</w:t>
      </w:r>
    </w:p>
    <w:p w14:paraId="2CB95F7B" w14:textId="32812C24" w:rsidR="00955CA3" w:rsidRPr="00955CA3" w:rsidRDefault="00196B65" w:rsidP="00955CA3">
      <w:pPr>
        <w:pStyle w:val="Style1"/>
      </w:pPr>
      <w:r>
        <w:rPr>
          <w:rFonts w:hint="cs"/>
          <w:rtl/>
        </w:rPr>
        <w:t>6</w:t>
      </w:r>
      <w:r w:rsidR="00955CA3">
        <w:rPr>
          <w:rFonts w:hint="cs"/>
          <w:rtl/>
        </w:rPr>
        <w:t>)[</w:t>
      </w:r>
      <w:r w:rsidR="00496532">
        <w:rPr>
          <w:rtl/>
        </w:rPr>
        <w:t>שולחן ערוך חושן משפט הלכות טוען ונטען סימן פט סעיף ב</w:t>
      </w:r>
      <w:r w:rsidR="00955CA3">
        <w:rPr>
          <w:rFonts w:hint="cs"/>
          <w:rtl/>
        </w:rPr>
        <w:t xml:space="preserve">] </w:t>
      </w:r>
      <w:r w:rsidR="00955CA3" w:rsidRPr="00955CA3">
        <w:rPr>
          <w:rtl/>
        </w:rPr>
        <w:t>השכיר כיצד? השכיר שעושה מלאכה אצל בע"ה ותבע שכרו ואמר ליה בעה"ב פרעתיך כל שכרך או קצתו אפי' היה שכרו פרוטה ובעל הבית אומר נתתיה נשבע השכיר בנק"ח כעין של תורה ונוטל אפי' היה השכיר תובע את הקטן הרי זה נשבע ונוטל</w:t>
      </w:r>
      <w:r w:rsidR="00955CA3" w:rsidRPr="00955CA3">
        <w:t>:</w:t>
      </w:r>
    </w:p>
    <w:p w14:paraId="5E90BD6F" w14:textId="26DC4A0C" w:rsidR="00955CA3" w:rsidRDefault="00955CA3" w:rsidP="00955CA3">
      <w:pPr>
        <w:pStyle w:val="Style1"/>
        <w:rPr>
          <w:rtl/>
        </w:rPr>
      </w:pPr>
      <w:r w:rsidRPr="00955CA3">
        <w:rPr>
          <w:rFonts w:hint="cs"/>
          <w:rtl/>
        </w:rPr>
        <w:t>הגה: היה השכיר קטן או עבד או חשוד נשבע בעל הבית ונפטר (טור בשם הראב"ד ור"ן פרק הנשבעים) השכיר נשבע ונוטל מיורשי בעה"ב אם תבעו בזמנו אבל אין יורשי השכיר נשבעין ונוטלין (ב"י בשם הרשב"א)</w:t>
      </w:r>
      <w:r w:rsidRPr="00955CA3">
        <w:t>:</w:t>
      </w:r>
    </w:p>
    <w:p w14:paraId="6C117444" w14:textId="3FEE796F" w:rsidR="005A1E40" w:rsidRDefault="00196B65" w:rsidP="005A1E40">
      <w:pPr>
        <w:pStyle w:val="Style1"/>
        <w:rPr>
          <w:rtl/>
        </w:rPr>
      </w:pPr>
      <w:r>
        <w:rPr>
          <w:rFonts w:hint="cs"/>
          <w:rtl/>
        </w:rPr>
        <w:t>7</w:t>
      </w:r>
      <w:r w:rsidR="005A1E40">
        <w:rPr>
          <w:rFonts w:hint="cs"/>
          <w:rtl/>
        </w:rPr>
        <w:t>)[</w:t>
      </w:r>
      <w:r w:rsidR="005A1E40">
        <w:rPr>
          <w:rtl/>
        </w:rPr>
        <w:t>רמב</w:t>
      </w:r>
      <w:r w:rsidR="00EC109D">
        <w:rPr>
          <w:rtl/>
        </w:rPr>
        <w:t>”ם \נזיקין\</w:t>
      </w:r>
      <w:r w:rsidR="005A1E40">
        <w:rPr>
          <w:rtl/>
        </w:rPr>
        <w:t xml:space="preserve"> הלכות גזלה ואבדה פרק ד הלכה א</w:t>
      </w:r>
      <w:r w:rsidR="005A1E40">
        <w:rPr>
          <w:rFonts w:hint="cs"/>
          <w:rtl/>
        </w:rPr>
        <w:t xml:space="preserve">] </w:t>
      </w:r>
      <w:r w:rsidR="005A1E40">
        <w:rPr>
          <w:rtl/>
        </w:rPr>
        <w:t>קנס קנסו חכמים לגזלנין שיהיה הנגזל נשבע על כל מה שיטעון ונוטל מן הגזלן, והוא שיהיה זה מוחזק שגזלו בשני עדים.</w:t>
      </w:r>
    </w:p>
    <w:p w14:paraId="79FF836F" w14:textId="376D2B89" w:rsidR="005A1E40" w:rsidRPr="005A1E40" w:rsidRDefault="00196B65" w:rsidP="005A1E40">
      <w:pPr>
        <w:pStyle w:val="Style1"/>
      </w:pPr>
      <w:r>
        <w:rPr>
          <w:rFonts w:hint="cs"/>
          <w:rtl/>
        </w:rPr>
        <w:t>7</w:t>
      </w:r>
      <w:r w:rsidR="005A1E40">
        <w:rPr>
          <w:rFonts w:hint="cs"/>
          <w:rtl/>
        </w:rPr>
        <w:t>)[</w:t>
      </w:r>
      <w:r w:rsidR="005A1E40">
        <w:rPr>
          <w:rtl/>
        </w:rPr>
        <w:t>שולחן ערוך חושן משפט הלכות טוען ונטען סימן צ סעיף א</w:t>
      </w:r>
      <w:r w:rsidR="005A1E40">
        <w:rPr>
          <w:rFonts w:hint="cs"/>
          <w:rtl/>
        </w:rPr>
        <w:t xml:space="preserve">] </w:t>
      </w:r>
      <w:r w:rsidR="005A1E40" w:rsidRPr="005A1E40">
        <w:rPr>
          <w:rtl/>
        </w:rPr>
        <w:t>הנגזל כיצד? ראוהו עדים שנכנס לתוך ביתו של חבירו למשכנו שלא ברשות ולא היה לו כלום תחת כנפיו וכשיוצא ראוהו שהיו כלים תחת כנפיו ואינם יודעים מה הם ובעל הבית תובע תן לי כך וכך שגזלתני בין אם יאמר כן נכנסתי למשכנך אבל לא נטלתי כלום והכלים שהוצאתי תחת כנפי שלי הם בין אם יאמר מעולם לא נכנסתי לביתך ליטול ממך כלום בין אם יאמר לא נטלתי אלא כלי זה ובע"ה אומר נטלת עוד אחרים אפי' העדים מכירים קצת הכלים ובעל הבית טוען שהטמין יותר ממה שראו העדים בכל אלו ב"ה נשבע בנקיטת חפץ ונוטל כל מה שיטעון והוא שיטענו דברים שהוא אמוד בהם או שהוא אמוד שמפקידים אצלו אותן דברים שטען ויהיו אותן דברים שטען דברים שאיפשר שינטל תחת הכנפים</w:t>
      </w:r>
      <w:r w:rsidR="005A1E40" w:rsidRPr="005A1E40">
        <w:t>:</w:t>
      </w:r>
    </w:p>
    <w:p w14:paraId="5A6241FE" w14:textId="77777777" w:rsidR="005A1E40" w:rsidRPr="005A1E40" w:rsidRDefault="005A1E40" w:rsidP="005A1E40">
      <w:pPr>
        <w:pStyle w:val="Style1"/>
      </w:pPr>
      <w:r w:rsidRPr="005A1E40">
        <w:rPr>
          <w:rFonts w:hint="cs"/>
          <w:rtl/>
        </w:rPr>
        <w:t>הגה: ויש אומרים דבעינן נמי שטוען מידי דאורחיה לאנוחי במקום שנכנס לשם (טור בשם הרמ"ה) והכי מסתברא</w:t>
      </w:r>
      <w:r w:rsidRPr="005A1E40">
        <w:rPr>
          <w:rFonts w:hint="cs"/>
        </w:rPr>
        <w:t>.</w:t>
      </w:r>
    </w:p>
    <w:p w14:paraId="068A931B" w14:textId="622B1487" w:rsidR="005A1E40" w:rsidRDefault="005A1E40" w:rsidP="005A1E40">
      <w:pPr>
        <w:pStyle w:val="Style1"/>
        <w:rPr>
          <w:rtl/>
        </w:rPr>
      </w:pPr>
      <w:r w:rsidRPr="005A1E40">
        <w:rPr>
          <w:rtl/>
        </w:rPr>
        <w:t>ואם טענו דברים שאינו אמוד בהם או דברים שאינם נטלים תחת הכנפים יש מי שאומר שהנתבע נשבע היסת ונפטר ויש מי שאומר שאינו נשבע אלא מחרימים על מי שכופר ממון חבירו ואינו משלם לו</w:t>
      </w:r>
      <w:r w:rsidRPr="005A1E40">
        <w:t>:</w:t>
      </w:r>
    </w:p>
    <w:p w14:paraId="29BF62B3" w14:textId="43477715" w:rsidR="005A1E40" w:rsidRDefault="00196B65" w:rsidP="005A1E40">
      <w:pPr>
        <w:pStyle w:val="Style1"/>
        <w:rPr>
          <w:rtl/>
        </w:rPr>
      </w:pPr>
      <w:r>
        <w:rPr>
          <w:rFonts w:hint="cs"/>
          <w:rtl/>
        </w:rPr>
        <w:t>8</w:t>
      </w:r>
      <w:r w:rsidR="005A1E40">
        <w:rPr>
          <w:rFonts w:hint="cs"/>
          <w:rtl/>
        </w:rPr>
        <w:t>)[</w:t>
      </w:r>
      <w:r w:rsidR="005A1E40">
        <w:rPr>
          <w:rtl/>
        </w:rPr>
        <w:t>רמב</w:t>
      </w:r>
      <w:r w:rsidR="005258D6">
        <w:rPr>
          <w:rtl/>
        </w:rPr>
        <w:t>”ם \נזיקין\</w:t>
      </w:r>
      <w:r w:rsidR="005A1E40">
        <w:rPr>
          <w:rtl/>
        </w:rPr>
        <w:t xml:space="preserve"> הלכות חובל ומזיק פרק ה הלכה ד</w:t>
      </w:r>
      <w:r w:rsidR="005A1E40">
        <w:rPr>
          <w:rFonts w:hint="cs"/>
          <w:rtl/>
        </w:rPr>
        <w:t xml:space="preserve">] </w:t>
      </w:r>
      <w:r w:rsidR="005A1E40">
        <w:rPr>
          <w:rtl/>
        </w:rPr>
        <w:t>קנס קנסו חכמים לאלו השוטים בעלי זרוע שיהיה הנחבל נאמן ונשבע בנקיטת חפץ שזה חבל בו חבל זה ונוטל מה שראוי לו, והוא שיהיו שם עדים. כיצד, היו שני עדים מעידין אותו שנכנס לתוך ידו שלם ויצא חבול ולא ראוהו בעת שחבל בו והוא אומר לא חבלתי והלה אומר אתה חבלת בי הרי זה נשבע ונוטל. /השגת הראב"ד/ קנס קנסו חכמים. א"א לא היה קנס אלא שאין דרך בני אדם לחבל בעצמן ע"כ האמינוהו לזה בשבועה.</w:t>
      </w:r>
    </w:p>
    <w:p w14:paraId="7AF5D7EE" w14:textId="249353E1" w:rsidR="00021847" w:rsidRDefault="00196B65" w:rsidP="00021847">
      <w:pPr>
        <w:pStyle w:val="Style1"/>
        <w:rPr>
          <w:rtl/>
        </w:rPr>
      </w:pPr>
      <w:r>
        <w:rPr>
          <w:rFonts w:hint="cs"/>
          <w:rtl/>
        </w:rPr>
        <w:t>8</w:t>
      </w:r>
      <w:r w:rsidR="00021847">
        <w:rPr>
          <w:rFonts w:hint="cs"/>
          <w:rtl/>
        </w:rPr>
        <w:t>)[</w:t>
      </w:r>
      <w:r w:rsidR="00021847">
        <w:rPr>
          <w:rtl/>
        </w:rPr>
        <w:t>שולחן ערוך חושן משפט הלכות טוען ונטען סימן צ סעיף טז</w:t>
      </w:r>
      <w:r w:rsidR="00021847">
        <w:rPr>
          <w:rFonts w:hint="cs"/>
          <w:rtl/>
        </w:rPr>
        <w:t xml:space="preserve">] </w:t>
      </w:r>
      <w:r w:rsidR="00021847" w:rsidRPr="00021847">
        <w:rPr>
          <w:rtl/>
        </w:rPr>
        <w:t>הנחבל כיצד ראוהו עדים שנכנס תחת ידו של חבירו שלם ויצא חבול ולא ראוהו בשעה שחבל בו וזה אומר חבל בי וזה אומר לא חבלתי בו ה"ז נשבע ונוטל ואם יש הוכחה שזה חבל בו כגון שהיתה החבלה במקום שאי אפשר לו לחבול בעצמו כגון שהיתה בין כתיפיו וכיוצא בזה ולא היה אחר עמהם ה"ז נוטל בלא שבועה ואפי' יש אחר עמהם אי ברור לעדים שאותו אחר לא חבל בו כאילו אין עמהם אחר דמי ונוטל בלא שבועה</w:t>
      </w:r>
      <w:r w:rsidR="00021847" w:rsidRPr="00021847">
        <w:t>:</w:t>
      </w:r>
    </w:p>
    <w:p w14:paraId="5CBBDAD7" w14:textId="48389B9D" w:rsidR="00BB7376" w:rsidRDefault="00BB7376" w:rsidP="00BB7376">
      <w:pPr>
        <w:pStyle w:val="Style1"/>
        <w:rPr>
          <w:rtl/>
        </w:rPr>
      </w:pPr>
      <w:r>
        <w:rPr>
          <w:rFonts w:hint="cs"/>
          <w:rtl/>
        </w:rPr>
        <w:lastRenderedPageBreak/>
        <w:t>9)[</w:t>
      </w:r>
      <w:r>
        <w:rPr>
          <w:rtl/>
        </w:rPr>
        <w:t>שולחן ערוך חושן משפט הלכות טוען ונטען סימן צב סעיף א</w:t>
      </w:r>
      <w:r>
        <w:rPr>
          <w:rFonts w:hint="cs"/>
          <w:rtl/>
        </w:rPr>
        <w:t xml:space="preserve">] </w:t>
      </w:r>
      <w:r w:rsidRPr="00BB7376">
        <w:rPr>
          <w:rtl/>
        </w:rPr>
        <w:t>החשוד על השבועה אין משביעים אותו לא שבועת התורה ולא שבועה של דבריהם ואם אמר התובע אקבל שבועתו אע"פ שהוא חשוד אין שומעין לו</w:t>
      </w:r>
      <w:r w:rsidRPr="00BB7376">
        <w:t>:</w:t>
      </w:r>
    </w:p>
    <w:p w14:paraId="3EB6A5E9" w14:textId="3D0FF3AF" w:rsidR="00BB7376" w:rsidRDefault="00BB7376" w:rsidP="00BB7376">
      <w:pPr>
        <w:pStyle w:val="Style1"/>
        <w:rPr>
          <w:rtl/>
        </w:rPr>
      </w:pPr>
      <w:r>
        <w:rPr>
          <w:rFonts w:hint="cs"/>
          <w:rtl/>
        </w:rPr>
        <w:t>10)[</w:t>
      </w:r>
      <w:r>
        <w:rPr>
          <w:rtl/>
        </w:rPr>
        <w:t>רמב</w:t>
      </w:r>
      <w:r w:rsidR="0057095E">
        <w:rPr>
          <w:rtl/>
        </w:rPr>
        <w:t>”ם \משפטים\</w:t>
      </w:r>
      <w:r>
        <w:rPr>
          <w:rtl/>
        </w:rPr>
        <w:t xml:space="preserve"> הלכות מלוה ולוה פרק טז הלכה ה</w:t>
      </w:r>
      <w:r>
        <w:rPr>
          <w:rFonts w:hint="cs"/>
          <w:rtl/>
        </w:rPr>
        <w:t xml:space="preserve">] </w:t>
      </w:r>
      <w:r>
        <w:rPr>
          <w:rtl/>
        </w:rPr>
        <w:t>חנוני שהיה נותן לבעל הבית מן החנות כל מה שירצה בתורת הלואה ומקיפו עד שיתקבץ הכל ופורע לו ואמר לו בעל הבית תן לפועלים סלע או לבעל חובי מנה שיש לו אצלי ואני אתן לך והרי החנוני אומר נתתי והפועל או בעל חובו אומר לא לקחתי הרי הפועל או בעל חוב נשבע ונוטל מבעל הבית חובו וכן החנוני נשבע ונוטל מבעל הבית מה שטען שנתן שהרי הוא אמר לו ליתן, והפועל נשבע במעמד החנוני וכן החנוני במעמד הפועל או בעל חוב כדי שיכלמו זה מזה וכן כל כיוצא בזה ושבועה זו תקנת חכמים היא בנקיטת חפץ</w:t>
      </w:r>
      <w:r w:rsidR="00BB46C9">
        <w:rPr>
          <w:rFonts w:hint="cs"/>
          <w:rtl/>
        </w:rPr>
        <w:t xml:space="preserve"> </w:t>
      </w:r>
      <w:r>
        <w:rPr>
          <w:rtl/>
        </w:rPr>
        <w:t>מפני שבאין שניהן ליטול, לפיכך אם מת החנוני נוטל בעל חוב בלא שבועה וכן אם מת פועל או בעל חוב החנוני נוטל בלא שבועה שהרי אין בעל הבית מפסיד כלום ואינו משלם אלא תשלום אחד.</w:t>
      </w:r>
    </w:p>
    <w:p w14:paraId="218EE88F" w14:textId="692F7139" w:rsidR="00BB46C9" w:rsidRDefault="00BB46C9" w:rsidP="00BB46C9">
      <w:pPr>
        <w:pStyle w:val="Style1"/>
        <w:rPr>
          <w:rtl/>
        </w:rPr>
      </w:pPr>
      <w:r>
        <w:rPr>
          <w:rFonts w:hint="cs"/>
          <w:rtl/>
        </w:rPr>
        <w:t>10)[</w:t>
      </w:r>
      <w:r>
        <w:rPr>
          <w:rtl/>
        </w:rPr>
        <w:t>שולחן ערוך חושן משפט הלכות טוען ונטען סימן צא סעיף א</w:t>
      </w:r>
      <w:r>
        <w:rPr>
          <w:rFonts w:hint="cs"/>
          <w:rtl/>
        </w:rPr>
        <w:t xml:space="preserve">] </w:t>
      </w:r>
      <w:r w:rsidRPr="00BB46C9">
        <w:rPr>
          <w:rtl/>
        </w:rPr>
        <w:t>חנוני נאמן על פנקסו כיצד בעל הבית שאמר לחנוני תן לפועלי סלע והוא מודה שא"ל כן או שיש עדים בדבר והחנוני אומר ככר נתתי להם והפועלים אומרים לא קבלנו ממנו כלום שניהם נשבעין כעין של תורה ונוטלים מבע"ה וצריכים שישבעו כל אחד בפני חבירו חנוני בפני פועלים ופועלים בפני חנוני כדי שיתביישו יותר </w:t>
      </w:r>
      <w:r w:rsidRPr="00BB46C9">
        <w:rPr>
          <w:rFonts w:hint="cs"/>
          <w:rtl/>
        </w:rPr>
        <w:t>(ודוקא בדאיתנהו לתרווייהו) (ר"ן פרק הנשבעין)</w:t>
      </w:r>
      <w:r w:rsidRPr="00BB46C9">
        <w:rPr>
          <w:rtl/>
        </w:rPr>
        <w:t> והוא הדין אם א"ל הלויני מנה ופרע לבעל חובי זה אומר נתתי וזה אומר לא קבלתי ישבעו שניהם זה בפני זה ויתן בעה"ב לשניהם </w:t>
      </w:r>
      <w:r w:rsidRPr="00BB46C9">
        <w:rPr>
          <w:rFonts w:hint="cs"/>
          <w:rtl/>
        </w:rPr>
        <w:t>(ואין נשבעין ביחד אלא זה אחר זה) (הגהות שניות דמרדכי ריש ב"מ)</w:t>
      </w:r>
      <w:r w:rsidRPr="00BB46C9">
        <w:t>:</w:t>
      </w:r>
    </w:p>
    <w:p w14:paraId="42116F7C" w14:textId="0DC7444B" w:rsidR="001E1267" w:rsidRDefault="001E1267" w:rsidP="001E1267">
      <w:pPr>
        <w:pStyle w:val="Style1"/>
        <w:rPr>
          <w:rtl/>
        </w:rPr>
      </w:pPr>
      <w:r>
        <w:rPr>
          <w:rFonts w:hint="cs"/>
          <w:rtl/>
        </w:rPr>
        <w:t>11)[</w:t>
      </w:r>
      <w:r>
        <w:rPr>
          <w:rtl/>
        </w:rPr>
        <w:t>רמב</w:t>
      </w:r>
      <w:r w:rsidR="00213DA1">
        <w:rPr>
          <w:rtl/>
        </w:rPr>
        <w:t>”ם \נשים\</w:t>
      </w:r>
      <w:r>
        <w:rPr>
          <w:rtl/>
        </w:rPr>
        <w:t xml:space="preserve"> הלכות אישות פרק טז הלכה יד</w:t>
      </w:r>
      <w:r>
        <w:rPr>
          <w:rFonts w:hint="cs"/>
          <w:rtl/>
        </w:rPr>
        <w:t xml:space="preserve">] </w:t>
      </w:r>
      <w:r>
        <w:rPr>
          <w:rtl/>
        </w:rPr>
        <w:t>הפוגמת כתובתה לא תפרע אלא בשבועה כיצד, הוציאה שטר כתובה שיש בו אלף זוז הבעל אומר נתקבלה הכל והיא אומרת לא נתקבלתי אלא כך וכך, ואפילו יש עליה עדים במקצת שנטלה ואפילו דקדקה בחשבון מה שנטלה בחצי חצי פרוטה, לא תטול השאר אלא בשבועה.</w:t>
      </w:r>
    </w:p>
    <w:p w14:paraId="2C6EF738" w14:textId="77777777" w:rsidR="001E1267" w:rsidRDefault="001E1267" w:rsidP="001E1267">
      <w:pPr>
        <w:pStyle w:val="Style1"/>
        <w:rPr>
          <w:rtl/>
        </w:rPr>
      </w:pPr>
      <w:r>
        <w:rPr>
          <w:rFonts w:hint="cs"/>
          <w:rtl/>
        </w:rPr>
        <w:t>4)[</w:t>
      </w:r>
      <w:r>
        <w:rPr>
          <w:rtl/>
        </w:rPr>
        <w:t>שולחן ערוך אבן העזר הלכות כתובות סימן צו סעיף ז</w:t>
      </w:r>
      <w:r>
        <w:rPr>
          <w:rFonts w:hint="cs"/>
          <w:rtl/>
        </w:rPr>
        <w:t xml:space="preserve">] </w:t>
      </w:r>
      <w:r>
        <w:rPr>
          <w:rtl/>
        </w:rPr>
        <w:t>פעמים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w:t>
      </w:r>
    </w:p>
    <w:p w14:paraId="380EF79C" w14:textId="11D5C3F6" w:rsidR="001E1267" w:rsidRDefault="001E1267" w:rsidP="001E1267">
      <w:pPr>
        <w:pStyle w:val="Style1"/>
        <w:rPr>
          <w:rtl/>
        </w:rPr>
      </w:pPr>
      <w:r>
        <w:rPr>
          <w:rFonts w:hint="cs"/>
          <w:rtl/>
        </w:rPr>
        <w:t>4)[</w:t>
      </w:r>
      <w:r>
        <w:rPr>
          <w:rtl/>
        </w:rPr>
        <w:t>שולחן ערוך חושן משפט הלכות טוען ונטען סימן פד סעיף א</w:t>
      </w:r>
      <w:r>
        <w:rPr>
          <w:rFonts w:hint="cs"/>
          <w:rtl/>
        </w:rPr>
        <w:t xml:space="preserve">] </w:t>
      </w:r>
      <w:r w:rsidRPr="005E6F85">
        <w:rPr>
          <w:rtl/>
        </w:rPr>
        <w:t>הפוגם שטרו לא יפרע אלא בשבועה אע"פ שלא טען הלוה השבע לי כיצד הרי ששטרו אלף זוז וטען הלוה פרוע כולו ומלוה אומר לא נפרעתי אלא מקצתו לא יפרע את השאר אלא בשבועה כעין של תורה אפילו היו עדים בשעת הפרעון או שכתב לו שובר במה שפרע ולא אמרינן אם איתא דפרע טפי בעדים הוה פרע ליה כדפרעיה מעיקרא או היה כותב לו שובר ואפילו דקדק לצרף בחשבונו אפילו פחות משוה פרוטה לא אמרינן כיון שדקדק כל כך קושטא קאמר ואם יש בו נאמנות אע"פ שלא פירש בין בכולו בין במקצתו נוטל בלא שבועה</w:t>
      </w:r>
      <w:r w:rsidRPr="005E6F85">
        <w:t>:</w:t>
      </w:r>
    </w:p>
    <w:p w14:paraId="50CB6EE3" w14:textId="52572DF2" w:rsidR="001E1267" w:rsidRDefault="001E1267" w:rsidP="001E1267">
      <w:pPr>
        <w:pStyle w:val="Style1"/>
        <w:rPr>
          <w:rtl/>
        </w:rPr>
      </w:pPr>
      <w:r>
        <w:rPr>
          <w:rFonts w:hint="cs"/>
          <w:rtl/>
        </w:rPr>
        <w:t>12)[</w:t>
      </w:r>
      <w:r>
        <w:rPr>
          <w:rtl/>
        </w:rPr>
        <w:t>מב"ם הלכות אישות פרק טז הלכה יז</w:t>
      </w:r>
      <w:r>
        <w:rPr>
          <w:rFonts w:hint="cs"/>
          <w:rtl/>
        </w:rPr>
        <w:t xml:space="preserve">] </w:t>
      </w:r>
      <w:r>
        <w:rPr>
          <w:rtl/>
        </w:rPr>
        <w:t>הפוחתת כתובתה נפרעת שלא בשבועה כיצד, הוציאה שטר כתובה באלף זוז הוא אומר נתקבלה הכל והיא אומרת לא נתקבלתי כלום ואין לי אלא חמש מאות וזה שכתב לי אלף אמנה היתה ביני לבינו הרי זו נפרעת שלא בשבועה, אבל אם אמרה אין בשטר כתובתי אלא חמש מאות אינה נפרעת בשטר זה שיש בו אלף כלום שהרי בטלה אותו וכאילו הודת שהוא שקר, לפיכך נשבע שבועת הסת ונפטר.</w:t>
      </w:r>
    </w:p>
    <w:p w14:paraId="758A6CDC" w14:textId="0D8E9783" w:rsidR="001E1267" w:rsidRDefault="001E1267" w:rsidP="001E1267">
      <w:pPr>
        <w:pStyle w:val="Style1"/>
        <w:rPr>
          <w:rtl/>
        </w:rPr>
      </w:pPr>
      <w:r>
        <w:rPr>
          <w:rFonts w:hint="cs"/>
          <w:rtl/>
        </w:rPr>
        <w:t>12)[</w:t>
      </w:r>
      <w:r>
        <w:rPr>
          <w:rtl/>
        </w:rPr>
        <w:t>שולחן ערוך אבן העזר הלכות כתובות סימן צו סעיף יד</w:t>
      </w:r>
      <w:r>
        <w:rPr>
          <w:rFonts w:hint="cs"/>
          <w:rtl/>
        </w:rPr>
        <w:t xml:space="preserve">] </w:t>
      </w:r>
      <w:r>
        <w:rPr>
          <w:rtl/>
        </w:rPr>
        <w:t>הוציאה שטר כתובתה באלף זוז, והוא אומר: נפרעת הכל, והיא אומרת: לא נפרעתי כלום אבל אין לי עליך אלא ת"ק כי אמנה היתה ביני לבינך, נוטלת בלא שבועה. אבל אם אומרת: אין בשטר כתובתי אלא ת"ק, אינה נפרעת בשטר זה שיש בו אלף, כלום. (והבעל ישבע שבועת היסת ויפטר) (הרמב"ם פי"ז וכ"כ הב"י).</w:t>
      </w:r>
    </w:p>
    <w:p w14:paraId="34BA410A" w14:textId="3A91563B" w:rsidR="00DB6941" w:rsidRDefault="001E1267" w:rsidP="00DB6941">
      <w:pPr>
        <w:pStyle w:val="Style1"/>
        <w:rPr>
          <w:rtl/>
        </w:rPr>
      </w:pPr>
      <w:r>
        <w:rPr>
          <w:rFonts w:hint="cs"/>
          <w:rtl/>
        </w:rPr>
        <w:t>12)[</w:t>
      </w:r>
      <w:r>
        <w:rPr>
          <w:rtl/>
        </w:rPr>
        <w:t>שולחן ערוך חושן משפט הלכות טוען ונטען סימן פד סעיף ד</w:t>
      </w:r>
      <w:r>
        <w:rPr>
          <w:rFonts w:hint="cs"/>
          <w:rtl/>
        </w:rPr>
        <w:t>]</w:t>
      </w:r>
      <w:r w:rsidR="00DB6941">
        <w:rPr>
          <w:rFonts w:hint="cs"/>
          <w:rtl/>
        </w:rPr>
        <w:t xml:space="preserve"> </w:t>
      </w:r>
      <w:r w:rsidR="00DB6941" w:rsidRPr="00DB6941">
        <w:rPr>
          <w:rFonts w:hint="cs"/>
        </w:rPr>
        <w:t>(</w:t>
      </w:r>
      <w:r w:rsidR="00DB6941" w:rsidRPr="00DB6941">
        <w:rPr>
          <w:rFonts w:hint="cs"/>
          <w:rtl/>
        </w:rPr>
        <w:t>כפול לעיל </w:t>
      </w:r>
      <w:hyperlink r:id="rId244" w:anchor="%D7%A1%D7%A2%D7%99%D7%A3_%D7%91" w:tooltip="שולחן ערוך חושן משפט מז" w:history="1">
        <w:r w:rsidR="00DB6941" w:rsidRPr="00DB6941">
          <w:rPr>
            <w:rStyle w:val="Hyperlink"/>
            <w:rFonts w:hint="cs"/>
            <w:color w:val="7030A0"/>
            <w:u w:val="none"/>
            <w:rtl/>
          </w:rPr>
          <w:t>סי' מ"ז ס"ב</w:t>
        </w:r>
      </w:hyperlink>
      <w:r w:rsidR="00DB6941" w:rsidRPr="00DB6941">
        <w:rPr>
          <w:rFonts w:hint="cs"/>
        </w:rPr>
        <w:t>)</w:t>
      </w:r>
      <w:r w:rsidR="00DB6941" w:rsidRPr="00DB6941">
        <w:t> </w:t>
      </w:r>
      <w:r w:rsidR="00DB6941" w:rsidRPr="00DB6941">
        <w:rPr>
          <w:rtl/>
        </w:rPr>
        <w:t>הפוחת שטרו נפרע שלא בשבועה כיצד היה שטרו אלף זוז וטוען הלוה פרעתיך כולו והמלוה אומר לא נתפרעתי כלום אבל אינך חייב לי אלא ת"ק ומה שנכתב אלף אמנה היתה בינינו אע"פ שאין בו נאמנות נפרע שלא בשבועה אא"כ יאמר הלוה השבע לי טען המלוה לא נתפרעתי כלום אבל אין החוב אלא ת"ק והעדים טעו וכתבו אלף הרי מודה שהעדים העידו שקר ונשבע הלוה היסת ונפטר</w:t>
      </w:r>
      <w:r w:rsidR="00DB6941" w:rsidRPr="00DB6941">
        <w:t>:</w:t>
      </w:r>
    </w:p>
    <w:p w14:paraId="317BD3C8" w14:textId="7DE7AD08" w:rsidR="00DB6941" w:rsidRPr="00DB6941" w:rsidRDefault="00DB6941" w:rsidP="00DB6941">
      <w:pPr>
        <w:pStyle w:val="Style1"/>
      </w:pPr>
    </w:p>
    <w:p w14:paraId="32573AA2" w14:textId="3CA75FAF" w:rsidR="001E1267" w:rsidRPr="00DB6941" w:rsidRDefault="001E1267" w:rsidP="00DB6941">
      <w:pPr>
        <w:pStyle w:val="Style1"/>
        <w:rPr>
          <w:rtl/>
        </w:rPr>
      </w:pPr>
    </w:p>
    <w:p w14:paraId="68F1F27B" w14:textId="77777777" w:rsidR="00955CA3" w:rsidRPr="00021847" w:rsidRDefault="00955CA3" w:rsidP="00021847">
      <w:pPr>
        <w:pStyle w:val="Style1"/>
      </w:pPr>
    </w:p>
    <w:p w14:paraId="189C75BC" w14:textId="7B09B62A" w:rsidR="00496532" w:rsidRPr="00955CA3" w:rsidRDefault="00496532" w:rsidP="00955CA3">
      <w:pPr>
        <w:pStyle w:val="Style1"/>
      </w:pPr>
    </w:p>
    <w:p w14:paraId="472BF1C9" w14:textId="7DC42927" w:rsidR="00086A7F" w:rsidRPr="00086A7F" w:rsidRDefault="00086A7F" w:rsidP="00086A7F">
      <w:pPr>
        <w:pStyle w:val="Style1"/>
        <w:rPr>
          <w:rtl/>
        </w:rPr>
      </w:pPr>
    </w:p>
    <w:p w14:paraId="5401FFD2" w14:textId="77777777" w:rsidR="00086A7F" w:rsidRPr="00086A7F" w:rsidRDefault="00086A7F" w:rsidP="00086A7F">
      <w:pPr>
        <w:pStyle w:val="Style1"/>
      </w:pPr>
    </w:p>
    <w:p w14:paraId="100315D9" w14:textId="77777777" w:rsidR="00086A7F" w:rsidRPr="00086A7F" w:rsidRDefault="00086A7F" w:rsidP="00086A7F">
      <w:pPr>
        <w:pStyle w:val="Style1"/>
      </w:pPr>
    </w:p>
    <w:p w14:paraId="4950EC7F" w14:textId="75EE8461" w:rsidR="00BC35C0" w:rsidRPr="00BC35C0" w:rsidRDefault="00BC35C0" w:rsidP="00BC35C0">
      <w:pPr>
        <w:pStyle w:val="Style1"/>
      </w:pPr>
    </w:p>
    <w:p w14:paraId="358E7527" w14:textId="77777777" w:rsidR="00BC35C0" w:rsidRPr="00BC35C0" w:rsidRDefault="00BC35C0" w:rsidP="00BC35C0">
      <w:pPr>
        <w:pStyle w:val="Style1"/>
        <w:rPr>
          <w:rStyle w:val="Style1Char"/>
        </w:rPr>
      </w:pPr>
    </w:p>
    <w:p w14:paraId="5C39D654" w14:textId="1639C3F3" w:rsidR="00BC35C0" w:rsidRPr="00BC35C0" w:rsidRDefault="00BC35C0" w:rsidP="00BC35C0">
      <w:pPr>
        <w:pStyle w:val="Style1"/>
        <w:rPr>
          <w:rStyle w:val="Style1Char"/>
          <w:rtl/>
        </w:rPr>
      </w:pPr>
    </w:p>
    <w:p w14:paraId="6A198C25" w14:textId="77777777" w:rsidR="00C369CA" w:rsidRPr="0037367E" w:rsidRDefault="00C369CA" w:rsidP="0037367E">
      <w:pPr>
        <w:pStyle w:val="Style1"/>
        <w:rPr>
          <w:rStyle w:val="Style1Char"/>
          <w:rtl/>
        </w:rPr>
      </w:pPr>
    </w:p>
    <w:p w14:paraId="71226791" w14:textId="77777777" w:rsidR="00C369CA" w:rsidRPr="00B12C4D" w:rsidRDefault="00C369CA" w:rsidP="00C369CA">
      <w:pPr>
        <w:bidi/>
        <w:rPr>
          <w:rStyle w:val="Style1Char"/>
          <w:color w:val="00B050"/>
          <w:rtl/>
        </w:rPr>
      </w:pPr>
    </w:p>
    <w:p w14:paraId="4FEC16BE" w14:textId="77777777" w:rsidR="00C369CA" w:rsidRDefault="00C369CA" w:rsidP="00C369CA">
      <w:pPr>
        <w:rPr>
          <w:rStyle w:val="Style1Char"/>
          <w:color w:val="00B050"/>
          <w:rtl/>
        </w:rPr>
      </w:pPr>
      <w:r>
        <w:rPr>
          <w:rStyle w:val="Style1Char"/>
          <w:color w:val="00B050"/>
          <w:rtl/>
        </w:rPr>
        <w:br w:type="page"/>
      </w:r>
    </w:p>
    <w:p w14:paraId="2F31549C" w14:textId="77777777" w:rsidR="00C369CA" w:rsidRDefault="00C369CA" w:rsidP="00C369CA">
      <w:pPr>
        <w:bidi/>
        <w:rPr>
          <w:rStyle w:val="Style1Char"/>
          <w:sz w:val="22"/>
          <w:szCs w:val="22"/>
          <w:rtl/>
        </w:rPr>
      </w:pPr>
      <w:r w:rsidRPr="00F95BAB">
        <w:rPr>
          <w:rStyle w:val="Style1Char"/>
          <w:color w:val="auto"/>
          <w:sz w:val="22"/>
          <w:szCs w:val="22"/>
          <w:highlight w:val="yellow"/>
          <w:rtl/>
        </w:rPr>
        <w:lastRenderedPageBreak/>
        <w:t>[דף פח עמוד א]</w:t>
      </w:r>
      <w:r w:rsidRPr="00F95BAB">
        <w:rPr>
          <w:rStyle w:val="Style1Char"/>
          <w:color w:val="auto"/>
          <w:sz w:val="22"/>
          <w:szCs w:val="22"/>
          <w:rtl/>
        </w:rPr>
        <w:t xml:space="preserve"> אי פיקח הוא, מייתי לה לידי שבועה דאורייתא</w:t>
      </w:r>
      <w:r w:rsidRPr="00F95BAB">
        <w:rPr>
          <w:rStyle w:val="Style1Char"/>
          <w:color w:val="806000" w:themeColor="accent4" w:themeShade="80"/>
          <w:rtl/>
        </w:rPr>
        <w:t xml:space="preserve">, </w:t>
      </w:r>
      <w:r w:rsidRPr="00F95BAB">
        <w:rPr>
          <w:rStyle w:val="Style1Char"/>
          <w:color w:val="806000" w:themeColor="accent4" w:themeShade="80"/>
          <w:sz w:val="22"/>
          <w:szCs w:val="22"/>
          <w:rtl/>
        </w:rPr>
        <w:t xml:space="preserve">היכי עביד </w:t>
      </w:r>
      <w:r w:rsidRPr="00E53B77">
        <w:rPr>
          <w:rStyle w:val="Style1Char"/>
          <w:color w:val="4472C4" w:themeColor="accent1"/>
          <w:rtl/>
        </w:rPr>
        <w:t xml:space="preserve">ומסיק </w:t>
      </w:r>
      <w:r w:rsidRPr="00D2614D">
        <w:rPr>
          <w:rStyle w:val="Style1Char"/>
          <w:color w:val="00B050"/>
          <w:rtl/>
        </w:rPr>
        <w:t xml:space="preserve">יהיב לה כתובתה באפי חד סהדא, וסמיך סהדא קמא אסהדא בתרא, ומוקים להו להנך קמאי במלוה. מתקיף לה רב שישא בריה דרב אידי: היאך סמיך סהדא קמא אסהדא בתרא? אלא אמר רב שישא בריה דרב אידי: </w:t>
      </w:r>
      <w:r w:rsidRPr="00F95BAB">
        <w:rPr>
          <w:rStyle w:val="Style1Char"/>
          <w:color w:val="auto"/>
          <w:sz w:val="22"/>
          <w:szCs w:val="22"/>
          <w:rtl/>
        </w:rPr>
        <w:t xml:space="preserve">יהיב לה כתובתה </w:t>
      </w:r>
      <w:r w:rsidRPr="00F95BAB">
        <w:rPr>
          <w:rStyle w:val="Style1Char"/>
          <w:color w:val="4472C4" w:themeColor="accent1"/>
          <w:sz w:val="22"/>
          <w:szCs w:val="22"/>
          <w:rtl/>
        </w:rPr>
        <w:t xml:space="preserve">זימנא אחריתי </w:t>
      </w:r>
      <w:r w:rsidRPr="00F95BAB">
        <w:rPr>
          <w:rStyle w:val="Style1Char"/>
          <w:color w:val="auto"/>
          <w:sz w:val="22"/>
          <w:szCs w:val="22"/>
          <w:rtl/>
        </w:rPr>
        <w:t xml:space="preserve">באפי סהדא קמא </w:t>
      </w:r>
      <w:r w:rsidRPr="00E53B77">
        <w:rPr>
          <w:rStyle w:val="Style1Char"/>
          <w:color w:val="4472C4" w:themeColor="accent1"/>
          <w:rtl/>
        </w:rPr>
        <w:t xml:space="preserve">ועוד סהדא אחרינא </w:t>
      </w:r>
      <w:r w:rsidRPr="00F95BAB">
        <w:rPr>
          <w:rStyle w:val="Style1Char"/>
          <w:color w:val="auto"/>
          <w:sz w:val="22"/>
          <w:szCs w:val="22"/>
          <w:rtl/>
        </w:rPr>
        <w:t>וסהדא בתרא, ומוקים לה להנך קמאי בהלואה</w:t>
      </w:r>
      <w:r w:rsidRPr="006C15C8">
        <w:rPr>
          <w:rStyle w:val="Style1Char"/>
          <w:color w:val="4472C4" w:themeColor="accent1"/>
          <w:rtl/>
        </w:rPr>
        <w:t xml:space="preserve"> </w:t>
      </w:r>
      <w:r w:rsidRPr="00E53B77">
        <w:rPr>
          <w:rStyle w:val="Style1Char"/>
          <w:color w:val="4472C4" w:themeColor="accent1"/>
          <w:rtl/>
        </w:rPr>
        <w:t>ומודע להו לסהדי כי היכי דלא תימא שתי כתובות הוו</w:t>
      </w:r>
      <w:r w:rsidRPr="00E53B77">
        <w:rPr>
          <w:rStyle w:val="Style1Char"/>
          <w:color w:val="4472C4" w:themeColor="accent1"/>
        </w:rPr>
        <w:t>:</w:t>
      </w:r>
      <w:r w:rsidRPr="00F95BAB">
        <w:rPr>
          <w:rStyle w:val="Style1Char"/>
          <w:color w:val="auto"/>
          <w:sz w:val="22"/>
          <w:szCs w:val="22"/>
          <w:rtl/>
        </w:rPr>
        <w:t xml:space="preserve">. </w:t>
      </w:r>
      <w:r w:rsidRPr="006C15C8">
        <w:rPr>
          <w:rStyle w:val="Style1Char"/>
          <w:sz w:val="22"/>
          <w:szCs w:val="22"/>
          <w:rtl/>
        </w:rPr>
        <w:t xml:space="preserve">מתקיף לה רב אשי: אכתי יכולה למימר ב' כתובות הואי! </w:t>
      </w:r>
      <w:r w:rsidRPr="00F80950">
        <w:rPr>
          <w:rStyle w:val="Style1Char"/>
          <w:sz w:val="22"/>
          <w:szCs w:val="22"/>
          <w:rtl/>
        </w:rPr>
        <w:t>אלא אמר רב אשי: הוא דמודע להו.</w:t>
      </w:r>
    </w:p>
    <w:p w14:paraId="1287B97E" w14:textId="77777777" w:rsidR="00C369CA" w:rsidRPr="00E53B77" w:rsidRDefault="00C369CA" w:rsidP="00C369CA">
      <w:pPr>
        <w:bidi/>
        <w:rPr>
          <w:rStyle w:val="Style1Char"/>
          <w:color w:val="4472C4" w:themeColor="accent1"/>
        </w:rPr>
      </w:pPr>
      <w:r w:rsidRPr="00E53B77">
        <w:rPr>
          <w:rStyle w:val="Style1Char"/>
          <w:color w:val="4472C4" w:themeColor="accent1"/>
          <w:rtl/>
        </w:rPr>
        <w:t>כה פירש רש"י ונפקא מינה בשבועה דאורייתא לאנקוטי חפצא ובדרבנן לא נקיט חפצא וסתר את דבריו מה שפי' בגיטין (דף לה א) גבי אדרה בבית דין ואשבעה חוץ לב"ד ולא רצו להשביעה בבית דין לאנקוטי חפצא</w:t>
      </w:r>
      <w:r w:rsidRPr="00E53B77">
        <w:rPr>
          <w:rStyle w:val="Style1Char"/>
          <w:color w:val="4472C4" w:themeColor="accent1"/>
        </w:rPr>
        <w:t>:</w:t>
      </w:r>
    </w:p>
    <w:p w14:paraId="7BE3E1EC" w14:textId="77777777" w:rsidR="00C369CA" w:rsidRPr="00E53B77" w:rsidRDefault="00C369CA" w:rsidP="00C369CA">
      <w:pPr>
        <w:bidi/>
        <w:rPr>
          <w:rStyle w:val="Style1Char"/>
          <w:color w:val="4472C4" w:themeColor="accent1"/>
        </w:rPr>
      </w:pPr>
      <w:r w:rsidRPr="00E53B77">
        <w:rPr>
          <w:rStyle w:val="Style1Char"/>
          <w:color w:val="4472C4" w:themeColor="accent1"/>
          <w:rtl/>
        </w:rPr>
        <w:t>ונראה דהיינו חומרא דשבועה דאורייתא אליבא דרבי אבא דאמר חזרה שבועה למחוייב לה והלכתא כוותיה</w:t>
      </w:r>
      <w:r>
        <w:rPr>
          <w:rStyle w:val="Style1Char"/>
          <w:rFonts w:hint="cs"/>
          <w:color w:val="4472C4" w:themeColor="accent1"/>
        </w:rPr>
        <w:t>‍</w:t>
      </w:r>
      <w:r w:rsidRPr="00E53B77">
        <w:rPr>
          <w:rStyle w:val="Style1Char"/>
          <w:color w:val="4472C4" w:themeColor="accent1"/>
          <w:rtl/>
        </w:rPr>
        <w:t xml:space="preserve"> והיכא דאינו יכול לישבע משלם אבל שבועה דרבנן אם הוא חשוד אינו משלם וכן מוכח בפרק כל הנשבעין (דף מז א)[ב] ובנדון זה כתב רב אלפס ז"ל בתשובה דפוגם את שטרו והוא חשוד שכנגדו נשבע ופטור דהא דאמרינן (ב"מ ה ב) תקנתא לתקנתא לא עבדינן היינו דוקא בשבועת היסת</w:t>
      </w:r>
      <w:r>
        <w:rPr>
          <w:rStyle w:val="Style1Char"/>
          <w:rFonts w:hint="cs"/>
          <w:color w:val="4472C4" w:themeColor="accent1"/>
        </w:rPr>
        <w:t>‍</w:t>
      </w:r>
      <w:r w:rsidRPr="00E53B77">
        <w:rPr>
          <w:rStyle w:val="Style1Char"/>
          <w:color w:val="4472C4" w:themeColor="accent1"/>
          <w:rtl/>
        </w:rPr>
        <w:t xml:space="preserve"> אבל לא בשבועת המשנה. ועוד כשנתחייב הנתבע שבועת היסת והוא חשוד אם היינו אומרים שישבע שכנגדו ויטול הוי תקנתא לתקנתא לאפוקי ממונא אבל הכא ישבע ויפטר והכי עדיף טפי ממה שנאמר שיטול החשוד בלא שבועה וליכא למימר דנפקא מינה הכא לענין היפוך שבועה דבדרבנן מפכינן ובדאורייתא לא מפכינן דהכא דאע"ג דמדרבנן היא לא מתהפכה דלא מפכינן שבועה אלא מנתבע לגבי תובע משום דאמר ליה אי אית לך מידי גבאי אישתבע ושקול ואי לא פקע</w:t>
      </w:r>
      <w:r>
        <w:rPr>
          <w:rStyle w:val="Style1Char"/>
          <w:rFonts w:hint="cs"/>
          <w:color w:val="4472C4" w:themeColor="accent1"/>
        </w:rPr>
        <w:t>‍</w:t>
      </w:r>
      <w:r w:rsidRPr="00E53B77">
        <w:rPr>
          <w:rStyle w:val="Style1Char"/>
          <w:color w:val="4472C4" w:themeColor="accent1"/>
          <w:rtl/>
        </w:rPr>
        <w:t xml:space="preserve"> אבל בדמחייב תובע שבועה לא מצי להופכה עליה דנתבע ולמימר אישתבע לי דפרעת לי ותיפטר דיכול למימר ליה אנא לא בעינא לאישתבועי אלא את אי ניחא לך לאישתבועי ושקול לחיי ואי לא זיל דלית לך גבאי ולא מידי ועוד נ"מ דאי קדמה ותפסה ואמרה לא משתבענא ולא מהדרנא דדידי שקלית אי דאורייתא נחתינן לניכסה ומוציאין מידה אם אינה רוצה לישבע ואי דרבנן לא נחתינן לניכסה</w:t>
      </w:r>
      <w:r w:rsidRPr="00E53B77">
        <w:rPr>
          <w:rStyle w:val="Style1Char"/>
          <w:color w:val="4472C4" w:themeColor="accent1"/>
        </w:rPr>
        <w:t xml:space="preserve">: </w:t>
      </w:r>
    </w:p>
    <w:p w14:paraId="705F220D" w14:textId="77777777" w:rsidR="00C369CA" w:rsidRPr="00F80950" w:rsidRDefault="00C369CA" w:rsidP="00C369CA">
      <w:pPr>
        <w:bidi/>
        <w:rPr>
          <w:rStyle w:val="Style1Char"/>
          <w:sz w:val="22"/>
          <w:szCs w:val="22"/>
        </w:rPr>
      </w:pPr>
      <w:r w:rsidRPr="00D205EB">
        <w:rPr>
          <w:rStyle w:val="Style1Char"/>
          <w:color w:val="C00000"/>
          <w:rtl/>
        </w:rPr>
        <w:t>איכא למיבעי הכא מכדי קיימא לן דכל שבועתא דמתניתין בין שבועה דאורייתא בין שבועה דרבנן כולהו חד טכסיסא אית להו לאנקוטי חפצא בידא למאי הילכתא אר"פ אי פקח הוא מייתי לה לידי שבועה דאורייתא ומאי נפקא ליה מינה דאי לענין אנקוטי חפצא בידא הא נמי מנקטין לה חפצא בידה ואי לענין אפוכי שבועה דבדרבנן מפכינן ובדאורייתא לא מפכינן הא נמי אף על גב דמדרבנן היא לא מיתפכא דלא מפכינן שבועה דרבנן אלא מנתבע לגבי תובע משום דא"ל אנת לית לך גבאי ולא מידי אי קושטא קאמרת דאית לך גבאי אישתבע ושקול הילכך אי בעי למשקל משתבע ושקיל ואי לא פקע אבל במחויב תובע שבועה לא מצי לאפוכי עליה דנתבע דכד אמר ליה אישתבע דלית לי גבך מידי או דפרעת לי כך וכך ותפטר יכיל האיך למימר ליה אנא לא בעינן אשתבועי ואפטורי ואף על גב דהא מילתא טבא היא לדידי לאישתבועי ואפטורי לא בעינא לה אלא את אי ניחא לך לאישתבועי ומשקל לחיי ואי לא זיל דלית לך גבאי ולא מידי ודמיא לההוא דאמרינן [דף פ"ג ע"א] כל האומר אי אפשי בתקנת חכמים כגון זו שומעין לו והאי תובעת היא ולא מציא לאפוכה לשבועתא אם כן למאי הילכתא מייתי לה לידי שבועה דאורייתא ומסתברא לן דתשובה דהדין בעיא דאע"ג דלא מהני מידי לענין הני אנפי מהני לאנפא אחרינא דאי (לא מייתי לה לידי שבועה דאורייתא ואמרה לא משתבענא) קדמה ותפסה כתובתה בלא שבועה ואמרה לא מהדרנא ולא משתבענא כיון דקיימא לן דבדרבנן אי לא משתבע לא נחתינן לנכסיה ובדאורייתא נחתינן לנכסיה השתא דמייתי לה לידי שבועה דאורייתא אי אמרה לא משתבענא ולא מהדרנא ליה מידי דדידי שקילנא נחתינן לנכסה ומפקינן מינה בע"כ ואי שבועה דרבנן הוא לא מפקינן מינה:</w:t>
      </w:r>
    </w:p>
    <w:p w14:paraId="0CAA4EBA" w14:textId="2C64F4CF" w:rsidR="00C369CA" w:rsidRPr="0011381C" w:rsidRDefault="00C369CA" w:rsidP="00C369CA">
      <w:pPr>
        <w:bidi/>
        <w:rPr>
          <w:rStyle w:val="Style1Char"/>
          <w:color w:val="auto"/>
          <w:sz w:val="22"/>
          <w:szCs w:val="22"/>
          <w:rtl/>
        </w:rPr>
      </w:pPr>
      <w:r w:rsidRPr="001F2C5E">
        <w:rPr>
          <w:rStyle w:val="Style1Char"/>
          <w:sz w:val="22"/>
          <w:szCs w:val="22"/>
          <w:rtl/>
        </w:rPr>
        <w:t>מנכסים משועבדים</w:t>
      </w:r>
      <w:r w:rsidRPr="00B4180F">
        <w:rPr>
          <w:rStyle w:val="Style1Char"/>
          <w:color w:val="4472C4" w:themeColor="accent1"/>
          <w:rtl/>
        </w:rPr>
        <w:t xml:space="preserve"> </w:t>
      </w:r>
      <w:r w:rsidRPr="00E53B77">
        <w:rPr>
          <w:rStyle w:val="Style1Char"/>
          <w:color w:val="4472C4" w:themeColor="accent1"/>
          <w:rtl/>
        </w:rPr>
        <w:t>מנכסי יתומים וכו'</w:t>
      </w:r>
      <w:r w:rsidRPr="001F2C5E">
        <w:rPr>
          <w:rStyle w:val="Style1Char"/>
          <w:sz w:val="22"/>
          <w:szCs w:val="22"/>
          <w:rtl/>
        </w:rPr>
        <w:t xml:space="preserve">. </w:t>
      </w:r>
      <w:r w:rsidRPr="00114AA0">
        <w:rPr>
          <w:rStyle w:val="Style1Char"/>
          <w:color w:val="auto"/>
          <w:sz w:val="22"/>
          <w:szCs w:val="22"/>
          <w:rtl/>
        </w:rPr>
        <w:t xml:space="preserve">תנן התם: </w:t>
      </w:r>
      <w:r w:rsidR="00C06F36">
        <w:rPr>
          <w:rStyle w:val="Style1Char"/>
          <w:rFonts w:hint="cs"/>
          <w:rtl/>
        </w:rPr>
        <w:t>(1)</w:t>
      </w:r>
      <w:r w:rsidRPr="00114AA0">
        <w:rPr>
          <w:rStyle w:val="Style1Char"/>
          <w:color w:val="auto"/>
          <w:sz w:val="22"/>
          <w:szCs w:val="22"/>
          <w:rtl/>
        </w:rPr>
        <w:t>וכן היתומים לא יפרעו אלא בשבועה</w:t>
      </w:r>
      <w:r w:rsidRPr="001F2C5E">
        <w:rPr>
          <w:rStyle w:val="Style1Char"/>
          <w:sz w:val="22"/>
          <w:szCs w:val="22"/>
          <w:rtl/>
        </w:rPr>
        <w:t xml:space="preserve">; </w:t>
      </w:r>
      <w:r w:rsidRPr="001F2C5E">
        <w:rPr>
          <w:rStyle w:val="Style1Char"/>
          <w:color w:val="C00000"/>
          <w:sz w:val="22"/>
          <w:szCs w:val="22"/>
          <w:rtl/>
        </w:rPr>
        <w:t xml:space="preserve">יתומים </w:t>
      </w:r>
      <w:r w:rsidRPr="00114AA0">
        <w:rPr>
          <w:rStyle w:val="Style1Char"/>
          <w:color w:val="auto"/>
          <w:sz w:val="22"/>
          <w:szCs w:val="22"/>
          <w:rtl/>
        </w:rPr>
        <w:t xml:space="preserve">ממאן? אילימא מלוה, השתא אביהן שקיל בלא שבועה, ואינהו בשבועה? </w:t>
      </w:r>
      <w:r w:rsidRPr="00D2614D">
        <w:rPr>
          <w:rStyle w:val="Style1Char"/>
          <w:color w:val="00B050"/>
          <w:rtl/>
        </w:rPr>
        <w:t xml:space="preserve">אלא </w:t>
      </w:r>
      <w:r w:rsidRPr="00114AA0">
        <w:rPr>
          <w:rStyle w:val="Style1Char"/>
          <w:color w:val="auto"/>
          <w:sz w:val="22"/>
          <w:szCs w:val="22"/>
          <w:rtl/>
        </w:rPr>
        <w:t>ה"ק: וכן היתומים מן היתומים לא יפרעו אלא בשבועה</w:t>
      </w:r>
      <w:r w:rsidRPr="00114AA0">
        <w:rPr>
          <w:rStyle w:val="Style1Char"/>
          <w:color w:val="auto"/>
          <w:rtl/>
        </w:rPr>
        <w:t>.</w:t>
      </w:r>
      <w:r w:rsidRPr="00D2614D">
        <w:rPr>
          <w:rStyle w:val="Style1Char"/>
          <w:color w:val="00B050"/>
          <w:rtl/>
        </w:rPr>
        <w:t xml:space="preserve"> א"ר זריקא אמר רב יהודה, לא שנו אלא שאמרו יתומים: אמר לנו אבא לויתי ופרעתי, אבל אמרו: אמר לנו אבא לא לויתי - אף בשבועה לא יפרעו. מתקיף לה רבא: אדרבה, כל האומר לא לויתי כאומר לא פרעתי דמי! אלא אי אתמר הכי אתמר: </w:t>
      </w:r>
      <w:r w:rsidRPr="0011381C">
        <w:rPr>
          <w:rStyle w:val="Style1Char"/>
          <w:color w:val="auto"/>
          <w:sz w:val="22"/>
          <w:szCs w:val="22"/>
          <w:rtl/>
        </w:rPr>
        <w:t xml:space="preserve">א"ר זריקא אמר רב יהודה, לא שנו אלא שאמרו יתומים: אמר לנו אבא לויתי ופרעתי, אבל אמרו: אמר לנו אבא לא לויתי - נפרעין שלא בשבועה, שכל האומר לא לויתי כאומר לא פרעתי דמי. </w:t>
      </w:r>
    </w:p>
    <w:p w14:paraId="7C9AEEBD" w14:textId="77777777" w:rsidR="00C369CA" w:rsidRPr="001F2C5E" w:rsidRDefault="00C369CA" w:rsidP="00C369CA">
      <w:pPr>
        <w:bidi/>
        <w:rPr>
          <w:rStyle w:val="Style1Char"/>
          <w:sz w:val="22"/>
          <w:szCs w:val="22"/>
        </w:rPr>
      </w:pPr>
      <w:r>
        <w:rPr>
          <w:rStyle w:val="Style1Char"/>
          <w:rFonts w:hint="cs"/>
          <w:color w:val="4472C4" w:themeColor="accent1"/>
        </w:rPr>
        <w:t>‍‍</w:t>
      </w:r>
      <w:r w:rsidRPr="00E53B77">
        <w:rPr>
          <w:rStyle w:val="Style1Char"/>
          <w:color w:val="4472C4" w:themeColor="accent1"/>
          <w:rtl/>
        </w:rPr>
        <w:t>והא דיתומים נפרעין מן היתומים מוקי לה (שבועות מז ב) התם כשמת מל</w:t>
      </w:r>
      <w:r>
        <w:rPr>
          <w:rStyle w:val="Style1Char"/>
          <w:rFonts w:hint="cs"/>
          <w:color w:val="4472C4" w:themeColor="accent1"/>
          <w:rtl/>
        </w:rPr>
        <w:t>ו</w:t>
      </w:r>
      <w:r w:rsidRPr="00E53B77">
        <w:rPr>
          <w:rStyle w:val="Style1Char"/>
          <w:color w:val="4472C4" w:themeColor="accent1"/>
          <w:rtl/>
        </w:rPr>
        <w:t>ה בחיי לוה אבל אם מת לוה בחיי מלוה כבר נתחייב מלוה שבועה לבניו ואין אדם מוריש שבועה לבניו</w:t>
      </w:r>
    </w:p>
    <w:p w14:paraId="5EC5B933" w14:textId="30E86609" w:rsidR="00C369CA" w:rsidRDefault="00C369CA" w:rsidP="00C369CA">
      <w:pPr>
        <w:bidi/>
        <w:rPr>
          <w:rStyle w:val="Style1Char"/>
          <w:color w:val="C00000"/>
          <w:rtl/>
        </w:rPr>
      </w:pPr>
      <w:r w:rsidRPr="009F4EB1">
        <w:rPr>
          <w:rStyle w:val="Style1Char"/>
          <w:color w:val="auto"/>
          <w:sz w:val="22"/>
          <w:szCs w:val="22"/>
          <w:rtl/>
        </w:rPr>
        <w:t xml:space="preserve">ונפרעת שלא בפניו </w:t>
      </w:r>
      <w:r w:rsidRPr="001F2C5E">
        <w:rPr>
          <w:rStyle w:val="Style1Char"/>
          <w:sz w:val="22"/>
          <w:szCs w:val="22"/>
          <w:rtl/>
        </w:rPr>
        <w:t xml:space="preserve">- לא תפרע אלא בשבועה. </w:t>
      </w:r>
      <w:r w:rsidRPr="009F4EB1">
        <w:rPr>
          <w:rStyle w:val="Style1Char"/>
          <w:color w:val="auto"/>
          <w:sz w:val="22"/>
          <w:szCs w:val="22"/>
          <w:rtl/>
        </w:rPr>
        <w:t xml:space="preserve">אמר רב אחא שר הבירה: מעשה בא לפני רבי יצחק באנטוכיא, ואמר: לא שנו אלא לכתובת אשה, משום חינא, אבל בעל חוב לא; </w:t>
      </w:r>
      <w:r w:rsidR="00127056">
        <w:rPr>
          <w:rStyle w:val="Style1Char"/>
          <w:rFonts w:hint="cs"/>
          <w:rtl/>
        </w:rPr>
        <w:t>(3)</w:t>
      </w:r>
      <w:r w:rsidRPr="009F4EB1">
        <w:rPr>
          <w:rStyle w:val="Style1Char"/>
          <w:color w:val="auto"/>
          <w:sz w:val="22"/>
          <w:szCs w:val="22"/>
          <w:rtl/>
        </w:rPr>
        <w:t>ורבא אמר רב נחמן: אפי' בעל חוב, שלא יהא כל אחד ואחד נוטל מעותיו של חברו והולך ויושב במדינת הים, ואתה נועל דלת בפני לווין</w:t>
      </w:r>
      <w:r w:rsidRPr="001F2C5E">
        <w:rPr>
          <w:rStyle w:val="Style1Char"/>
          <w:sz w:val="22"/>
          <w:szCs w:val="22"/>
          <w:rtl/>
        </w:rPr>
        <w:t xml:space="preserve">. </w:t>
      </w:r>
      <w:r w:rsidRPr="00D205EB">
        <w:rPr>
          <w:rStyle w:val="Style1Char"/>
          <w:color w:val="C00000"/>
          <w:rtl/>
        </w:rPr>
        <w:t>וקיימא לן כרב נחמן דהילכתא כוותיה בדיני ועוד דהוא מסקנא דשמעתא ועוד הא מקשינן בערכין בפ' שום היתומים [ערכין כ"ב ע"ב] ואי חייש לשובר התם נמי לגבי הא דאמר רבא אמר רב נחמן ליחוש ופרקינן התם כיון דקאמר טעמא שלא יהא כל אחד ואחד נוטל מעותיו של חבירו והולך לו למדינת הים דאלמא הא דאמר רבא א"ר נחמן הלכה היא וטעמא דיליה טעמא מעליא הוא אלא מיהו חזינן לרבוותא דלא חייש להא דרבא אמר רב נחמן וסמכו להו בהא מילתא אגמרא דבני מערבא דמתמהי התם ונפרעין מן האדם שלא בפניו כשריבית אוכלת בו ובית דין גובה ריבית כשערב לו מן העובד כוכבים אלמא מילתא פסיקתא הוא גבייהו דאין נפרעין מן האדם שלא בפניו ואנן מסתברא לן דלא עדיף הא דאמרינן בגמרא דבני מערבא מהא דאמרינן בגמ' דילן משום רבי יצחק נפחא לא שאנו אלא כתובת אשה משום חינא אבל בעל חוב לא וכבר דחאה רב נחמן אבל ודאי אי מצינן לשדורי ליה ולאודועי ליה משדרינן ומודעינן ליה כי ההוא דאמרינן התם [בבא - בתרא קע"ד ע"א] ההוא דיינא דאחתיה למלוה לנכסי דלוה מקמי דליתבעיה ללוה סלקיה רב חנין בריה דרב ייבא אמר רבא מאן חכים למעבד כי האי מילתא אלא רב חנין בריה דרב ייבא קסבר נכסוהי דאיניש אינון ערבין ביה וקי"ל המלוה את חבירו ע"י ערב לא יתבע מן הערב תחלה ואי לא אפשר לשדורי ליה ולאודועיה עבדינן כרב נחמן</w:t>
      </w:r>
    </w:p>
    <w:p w14:paraId="3D352CD7" w14:textId="77777777" w:rsidR="00127056" w:rsidRDefault="00C369CA" w:rsidP="00127056">
      <w:pPr>
        <w:bidi/>
        <w:rPr>
          <w:rStyle w:val="BalloonTextChar"/>
          <w:rFonts w:cs="Arial"/>
          <w:color w:val="00B050"/>
          <w:sz w:val="16"/>
          <w:szCs w:val="16"/>
          <w:rtl/>
        </w:rPr>
      </w:pPr>
      <w:r w:rsidRPr="00E53B77">
        <w:rPr>
          <w:rStyle w:val="Style1Char"/>
          <w:color w:val="4472C4" w:themeColor="accent1"/>
          <w:rtl/>
        </w:rPr>
        <w:t xml:space="preserve">כתב רבינו חננאל ז"ל מעשים בכל יום שאין מוכרים שלא בפני בעל חוב ולית דחש לה להא דרב נחמן דאמר אפילו בעל חוב נמי ואף על גב דבערכין פרק שום היתומים (דף כב ב) מסיק נמי הכי ואי חיישת לשובר [התם] גבי הא דאמר רבא אמר רב נחמן אפי' בעל חוב נמי ליחוש ומשני התם כדקתני טעמא שלא יהא כל אחד ואחד נוטל וכו' מכל מקום כיון דמעשים בכל יום סמכינן אהא דאיתא בירושלמי וכי נפרעין מן האדם שלא בפניו תפתר כשרבית אוכלת בו ובית דין גובין רבית כשערב לו מן העובד כוכבים </w:t>
      </w:r>
      <w:r>
        <w:rPr>
          <w:rStyle w:val="Style1Char"/>
          <w:rFonts w:hint="cs"/>
          <w:color w:val="4472C4" w:themeColor="accent1"/>
        </w:rPr>
        <w:t>‍</w:t>
      </w:r>
      <w:r w:rsidRPr="00E53B77">
        <w:rPr>
          <w:rStyle w:val="Style1Char"/>
          <w:color w:val="4472C4" w:themeColor="accent1"/>
          <w:rtl/>
        </w:rPr>
        <w:t>ורב אלפס ז"ל כתב כיון דקיימא לן הילכתא כוותיה דרב נחמן בדיני וגם סתמא דהש"ס בערכין כוותיה לא עדיף ההיא דירושלמי מגמרא דידן דאמר ר' יצחק נפחא אבל בעל חוב לא ופליג עליה רב נחמן אבל ודאי אי מצי לשדורי ולאודועי משדרינן ליה כי ההיא דאמר התם (ב"ב דף קעד א) ההוא דיינא דאחתיה למלוה לנכסי דלוה מקמי דליתבע ללוה סלקיה רב חנן בריה דרב ייבא. אמר רבא מאן חכים למיעבד כי האי מילתא אלא רב חנן ברי' דרב ייבא קסבר נכסי דאינש אינון ערבין ביה וקיימא לן המלוה את חבירו ע"י ערב לא יפרע מן הערב תחלה ואי לא איפשר לשדורי ליה ולאודועי עבדינן כרב נחמן וכן עמא דבר. והאי איפשר לשדורי ולאודועי דכתב רב אלפס ז"ל יראה לפרש האי אפשרות בכדי שילך שליח ויחזור בתוך שלשים יום שהוא זמן בית דין דטפי משלשים יום אין לנו כח לאחר פירעון הלוה. והמלוה יוסיף על חובו שכר השליח ויגבהו עם חובו כההיא דערכין (דף כג ב) המקדיש נכסיו והיו עליו כתובת אשה ובע"ח מוסיף עוד דינר ופודה הנכסים משום דרבי אבהו ולשון מוסיף משמע שמוסיף על הלואתו וגובה הדינר עם שאר חובו והוא הדין להוצאת השליח שהוא לטובת הלוה שמן הדין הוא ראוי לירד לנכסיו מיד משום נעילת דלת. ואם אין שליח יכול לילך ולחזור בתוך שלשים יום ב"ד יורדין לנכסיו מיד ומגבין לו חובו</w:t>
      </w:r>
      <w:r w:rsidRPr="00E53B77">
        <w:rPr>
          <w:rStyle w:val="Style1Char"/>
          <w:color w:val="4472C4" w:themeColor="accent1"/>
        </w:rPr>
        <w:t>:</w:t>
      </w:r>
      <w:r w:rsidR="00127056" w:rsidRPr="00127056">
        <w:rPr>
          <w:rStyle w:val="BalloonTextChar"/>
          <w:rFonts w:cs="Arial"/>
          <w:color w:val="00B050"/>
          <w:sz w:val="16"/>
          <w:szCs w:val="16"/>
          <w:rtl/>
        </w:rPr>
        <w:t xml:space="preserve"> </w:t>
      </w:r>
    </w:p>
    <w:p w14:paraId="7CF04852" w14:textId="5C7630A6" w:rsidR="00127056" w:rsidRDefault="00127056" w:rsidP="00127056">
      <w:pPr>
        <w:bidi/>
        <w:rPr>
          <w:rStyle w:val="Style1Char"/>
          <w:color w:val="00B050"/>
          <w:rtl/>
        </w:rPr>
      </w:pPr>
      <w:r w:rsidRPr="00D2614D">
        <w:rPr>
          <w:rStyle w:val="Style1Char"/>
          <w:color w:val="00B050"/>
          <w:rtl/>
        </w:rPr>
        <w:lastRenderedPageBreak/>
        <w:t>ר"ש אומר: כל זמן שתובעת כתובתה וכו'</w:t>
      </w:r>
      <w:r w:rsidRPr="009117A8">
        <w:rPr>
          <w:rStyle w:val="Style1Char"/>
          <w:sz w:val="22"/>
          <w:szCs w:val="22"/>
          <w:rtl/>
        </w:rPr>
        <w:t xml:space="preserve">. </w:t>
      </w:r>
      <w:r w:rsidRPr="00D3213D">
        <w:rPr>
          <w:rStyle w:val="Style1Char"/>
          <w:color w:val="ED7D31" w:themeColor="accent2"/>
          <w:sz w:val="22"/>
          <w:szCs w:val="22"/>
          <w:rtl/>
        </w:rPr>
        <w:t xml:space="preserve">ר"ש אהייא? </w:t>
      </w:r>
      <w:r w:rsidRPr="00D2614D">
        <w:rPr>
          <w:rStyle w:val="Style1Char"/>
          <w:color w:val="00B050"/>
          <w:rtl/>
        </w:rPr>
        <w:t xml:space="preserve">אמר ר' ירמיה, אהא: ונפרעת שלא בפניו לא תפרע אלא בשבועה, לא שנא למזוני ולא שנא לכתובה, ואתא ר' שמעון למימר: כל זמן שתובעת כתובתה - יורשיה משביעין אותה, </w:t>
      </w:r>
    </w:p>
    <w:p w14:paraId="625ED322" w14:textId="291370CB" w:rsidR="00C369CA" w:rsidRDefault="00C369CA" w:rsidP="00C369CA">
      <w:pPr>
        <w:bidi/>
        <w:rPr>
          <w:rStyle w:val="Style1Char"/>
          <w:color w:val="4472C4" w:themeColor="accent1"/>
          <w:rtl/>
        </w:rPr>
      </w:pPr>
    </w:p>
    <w:p w14:paraId="098F0324" w14:textId="48EDF31D" w:rsidR="00C06F36" w:rsidRDefault="00C06F36" w:rsidP="00C06F36">
      <w:pPr>
        <w:pStyle w:val="Style1"/>
        <w:rPr>
          <w:rStyle w:val="Style1Char"/>
          <w:rtl/>
        </w:rPr>
      </w:pPr>
      <w:r>
        <w:rPr>
          <w:rStyle w:val="Style1Char"/>
          <w:rFonts w:hint="cs"/>
          <w:rtl/>
        </w:rPr>
        <w:t>1)[</w:t>
      </w:r>
      <w:r w:rsidRPr="00C06F36">
        <w:rPr>
          <w:rStyle w:val="Style1Char"/>
          <w:rtl/>
        </w:rPr>
        <w:t>רמב</w:t>
      </w:r>
      <w:r w:rsidR="0057095E">
        <w:rPr>
          <w:rStyle w:val="Style1Char"/>
          <w:rtl/>
        </w:rPr>
        <w:t>”ם \משפטים\</w:t>
      </w:r>
      <w:r w:rsidRPr="00C06F36">
        <w:rPr>
          <w:rStyle w:val="Style1Char"/>
          <w:rtl/>
        </w:rPr>
        <w:t xml:space="preserve"> הלכות מלוה ולוה פרק יז הלכה ב</w:t>
      </w:r>
      <w:r>
        <w:rPr>
          <w:rStyle w:val="Style1Char"/>
          <w:rFonts w:hint="cs"/>
          <w:rtl/>
        </w:rPr>
        <w:t xml:space="preserve">] </w:t>
      </w:r>
      <w:r w:rsidRPr="00C06F36">
        <w:rPr>
          <w:rStyle w:val="Style1Char"/>
          <w:rtl/>
        </w:rPr>
        <w:t>מת הלוה אחר שמת המלוה ובא היורש להפרע מן היורש לא יפרע אלא בשבועה ואומר לו תחלה ישבע שלא פקדנו אבא ושלא אמר לנו אבא ולא מצינו בין שטרותיו של אבא ששטר זה פרוע ואפילו היה היורש קטן המוטל בעריסה כשמת מורישו ה"ז נשבע ונוטל, ואם צוה המלוה בשעת מיתתו ששטר זה אינו פרוע יפרע היורש בלא שבועה אפילו מן היורש.</w:t>
      </w:r>
    </w:p>
    <w:p w14:paraId="6AD6B7FC" w14:textId="0BD3980D" w:rsidR="00C369CA" w:rsidRDefault="00C06F36" w:rsidP="00C06F36">
      <w:pPr>
        <w:pStyle w:val="Style1"/>
        <w:rPr>
          <w:rtl/>
        </w:rPr>
      </w:pPr>
      <w:r>
        <w:rPr>
          <w:rStyle w:val="Style1Char"/>
          <w:rFonts w:hint="cs"/>
          <w:rtl/>
        </w:rPr>
        <w:t>1)[</w:t>
      </w:r>
      <w:r w:rsidRPr="00C06F36">
        <w:rPr>
          <w:rStyle w:val="Style1Char"/>
          <w:rtl/>
        </w:rPr>
        <w:t>שולחן ערוך חושן משפט הלכות גביית חוב מהיתומים סימן קח סעיף ט</w:t>
      </w:r>
      <w:r>
        <w:rPr>
          <w:rStyle w:val="Style1Char"/>
          <w:rFonts w:hint="cs"/>
          <w:rtl/>
        </w:rPr>
        <w:t xml:space="preserve">] </w:t>
      </w:r>
      <w:r w:rsidRPr="00C06F36">
        <w:rPr>
          <w:rtl/>
        </w:rPr>
        <w:t>כל הדין שיש ליורשי המלוה עם הלוה כשבאים ליפרע ממנו כך יש להם עם יורשי הלוה אם מת ובאים ליפרע מהם אלא שכשטוענים עם יורשי הלוה צריכים ג"כ לישבע שלא נפרעו הם עצמם מאביהם ואם טענו יתמי הלוה אמר לנו אבא פרעתי לאביהם אין עליהם שבועה שלא נפרעו הם בעצמם</w:t>
      </w:r>
      <w:r w:rsidRPr="00C06F36">
        <w:t>:</w:t>
      </w:r>
    </w:p>
    <w:p w14:paraId="4F7CD043" w14:textId="38747B65" w:rsidR="00C06F36" w:rsidRDefault="00C06F36" w:rsidP="00C06F36">
      <w:pPr>
        <w:pStyle w:val="Style1"/>
        <w:rPr>
          <w:rtl/>
        </w:rPr>
      </w:pPr>
      <w:r>
        <w:rPr>
          <w:rFonts w:hint="cs"/>
          <w:rtl/>
        </w:rPr>
        <w:t>2)[</w:t>
      </w:r>
      <w:r>
        <w:rPr>
          <w:rtl/>
        </w:rPr>
        <w:t>רמב</w:t>
      </w:r>
      <w:r w:rsidR="0057095E">
        <w:rPr>
          <w:rtl/>
        </w:rPr>
        <w:t>”ם \משפטים\</w:t>
      </w:r>
      <w:r>
        <w:rPr>
          <w:rtl/>
        </w:rPr>
        <w:t xml:space="preserve"> הלכות מלוה ולוה פרק יז הלכה ו</w:t>
      </w:r>
      <w:r>
        <w:rPr>
          <w:rFonts w:hint="cs"/>
          <w:rtl/>
        </w:rPr>
        <w:t xml:space="preserve">] </w:t>
      </w:r>
      <w:r>
        <w:rPr>
          <w:rtl/>
        </w:rPr>
        <w:t>יורש שבא לגבות מן היורש ואמרו יורשי לוה אמר לנו אבא לא לויתי חוב זה הרי יורשי המלוה גובין שלא בשבועה שכל האומר לא לויתי כאומר לא פרעתי דמי, וכן מלוה שבא להפרע מיורשי לוה ואמרו אמר לנו אבא לא לויתי חוב זה ה"ז גובהו בלא שבועה אפילו האמינו בשטר כל זמן שאמר פרעתי שכל האומר לא לויתי כאומר לא פרעתי.</w:t>
      </w:r>
    </w:p>
    <w:p w14:paraId="7E9211CA" w14:textId="5E9F40F5" w:rsidR="00C06F36" w:rsidRDefault="00C06F36" w:rsidP="00C06F36">
      <w:pPr>
        <w:pStyle w:val="Style1"/>
        <w:rPr>
          <w:rtl/>
        </w:rPr>
      </w:pPr>
      <w:r>
        <w:rPr>
          <w:rFonts w:hint="cs"/>
          <w:rtl/>
        </w:rPr>
        <w:t>2)[</w:t>
      </w:r>
      <w:r>
        <w:rPr>
          <w:rtl/>
        </w:rPr>
        <w:t>שולחן ערוך חושן משפט הלכות גביית חוב מהיתומים סימן קח סעיף טו</w:t>
      </w:r>
      <w:r>
        <w:rPr>
          <w:rFonts w:hint="cs"/>
          <w:rtl/>
        </w:rPr>
        <w:t xml:space="preserve">] </w:t>
      </w:r>
      <w:r>
        <w:rPr>
          <w:rtl/>
        </w:rPr>
        <w:t>מלוה או יורשיו שבאו לגבות מיורשי הלוה, וטענו: אמר לנו אבא: לא לויתי שטר זה מעולם, הרי המלוה או יורשיו גובים בלא שבועה, ואפילו מת לוה בחיי מלוה ואח"כ מת מלוה, ואפילו האמין המלוה ללוה לומר: פרעתי.</w:t>
      </w:r>
    </w:p>
    <w:p w14:paraId="1E8BE11B" w14:textId="31E35E7F" w:rsidR="00127056" w:rsidRDefault="00127056" w:rsidP="00127056">
      <w:pPr>
        <w:pStyle w:val="Style1"/>
        <w:rPr>
          <w:rtl/>
        </w:rPr>
      </w:pPr>
      <w:r>
        <w:rPr>
          <w:rFonts w:hint="cs"/>
          <w:rtl/>
        </w:rPr>
        <w:t>3)[</w:t>
      </w:r>
      <w:r>
        <w:rPr>
          <w:rtl/>
        </w:rPr>
        <w:t>רמב</w:t>
      </w:r>
      <w:r w:rsidR="0057095E">
        <w:rPr>
          <w:rtl/>
        </w:rPr>
        <w:t>”ם \משפטים\</w:t>
      </w:r>
      <w:r>
        <w:rPr>
          <w:rtl/>
        </w:rPr>
        <w:t xml:space="preserve"> הלכות מלוה ולוה פרק יג הלכה א</w:t>
      </w:r>
      <w:r>
        <w:rPr>
          <w:rFonts w:hint="cs"/>
          <w:rtl/>
        </w:rPr>
        <w:t xml:space="preserve">] </w:t>
      </w:r>
      <w:r>
        <w:rPr>
          <w:rtl/>
        </w:rPr>
        <w:t>מלוה שבא להפרע בשטר שבידו שלא בפני לוה אם יכולין ב"ד לשלוח אליו ולהודיעו עד שיעמוד עמו בדין שולחין ומודיעין לו, ואם אי אפשר להודיעו במהרה אומרים למלוה שישבע ויטול מנכסיו בין מן הקרקע בין מן המטלטלים ואין חוששין לשובר, ודין זה תקנת חכמים הוא כדי שלא יהיה כל אחד ואחד נוטל מעותיו של חבירו והולך ויושב לו במדינה אחרת ונמצא נועל דלת בפני לוין.</w:t>
      </w:r>
    </w:p>
    <w:p w14:paraId="5B2E4CF7" w14:textId="3B5EF603" w:rsidR="00127056" w:rsidRPr="00127056" w:rsidRDefault="00127056" w:rsidP="00127056">
      <w:pPr>
        <w:pStyle w:val="Style1"/>
      </w:pPr>
      <w:r>
        <w:rPr>
          <w:rFonts w:hint="cs"/>
          <w:rtl/>
        </w:rPr>
        <w:t>3)[</w:t>
      </w:r>
      <w:r>
        <w:rPr>
          <w:rtl/>
        </w:rPr>
        <w:t>שולחן ערוך חושן משפט הלכות גביית מלוה סימן קו סעיף א</w:t>
      </w:r>
      <w:r>
        <w:rPr>
          <w:rFonts w:hint="cs"/>
          <w:rtl/>
        </w:rPr>
        <w:t xml:space="preserve">] </w:t>
      </w:r>
      <w:r w:rsidRPr="00127056">
        <w:rPr>
          <w:rtl/>
        </w:rPr>
        <w:t>מלוה שבא ליפרע בשטר מקויים שבידו שלא בפני לוה אם יכולים ב"ד לשלוח לו ולהודיעו עד שיעמוד עמו בדין שולחים ומודיעין לו אם הוא בכדי שילך השליח ויחזור תוך ל' יום והמלוה יתן שכר השליחות ויגבנו נוסף על חובו ואם הוא במקום שאין השליח יכול לילך ולחזור תוך ל' יום מגבין לו חובו מיד אחר שישבע המלוה ויטול בין מהמקרקעי (רשב"א) בין מהמטלטלים ואין חוששין לשובר ואם כתוב בשטר נאמנות בפירוש שאפי' יפרע שלא בפניו או שכתוב בו נאמנות עליו ועל באי כחו אינו צריך לישבע</w:t>
      </w:r>
      <w:r w:rsidRPr="00127056">
        <w:t>:</w:t>
      </w:r>
    </w:p>
    <w:p w14:paraId="1A4B8E41" w14:textId="77777777" w:rsidR="00127056" w:rsidRPr="00127056" w:rsidRDefault="00127056" w:rsidP="00127056">
      <w:pPr>
        <w:pStyle w:val="Style1"/>
      </w:pPr>
      <w:r w:rsidRPr="00127056">
        <w:rPr>
          <w:rFonts w:hint="cs"/>
          <w:rtl/>
        </w:rPr>
        <w:t>הגה: י"א דאין גובין שלא בפניו רק מלוה עצמו אבל לא מיורשיו אלא צריך לילך אחריהם (ריב"ש סימן שנ"ג) וע' לעיל </w:t>
      </w:r>
      <w:hyperlink r:id="rId245" w:anchor="%D7%A1%D7%A2%D7%99%D7%A3_%D7%99" w:tooltip="שולחן ערוך חושן משפט עג" w:history="1">
        <w:r w:rsidRPr="00127056">
          <w:rPr>
            <w:rStyle w:val="Hyperlink"/>
            <w:rFonts w:hint="cs"/>
            <w:color w:val="7030A0"/>
            <w:u w:val="none"/>
            <w:rtl/>
          </w:rPr>
          <w:t>סי' ע"ג סעיף י</w:t>
        </w:r>
        <w:r w:rsidRPr="00127056">
          <w:rPr>
            <w:rStyle w:val="Hyperlink"/>
            <w:rFonts w:hint="cs"/>
            <w:color w:val="7030A0"/>
            <w:u w:val="none"/>
          </w:rPr>
          <w:t>'</w:t>
        </w:r>
      </w:hyperlink>
      <w:r w:rsidRPr="00127056">
        <w:rPr>
          <w:rFonts w:hint="cs"/>
        </w:rPr>
        <w:t> </w:t>
      </w:r>
      <w:r w:rsidRPr="00127056">
        <w:rPr>
          <w:rFonts w:hint="cs"/>
          <w:rtl/>
        </w:rPr>
        <w:t>ו</w:t>
      </w:r>
      <w:hyperlink r:id="rId246" w:tooltip="שולחן ערוך חושן משפט יד" w:history="1">
        <w:r w:rsidRPr="00127056">
          <w:rPr>
            <w:rStyle w:val="Hyperlink"/>
            <w:rFonts w:hint="cs"/>
            <w:color w:val="7030A0"/>
            <w:u w:val="none"/>
            <w:rtl/>
          </w:rPr>
          <w:t>סימן י"ד</w:t>
        </w:r>
      </w:hyperlink>
      <w:r w:rsidRPr="00127056">
        <w:rPr>
          <w:rFonts w:hint="cs"/>
        </w:rPr>
        <w:t> </w:t>
      </w:r>
      <w:r w:rsidRPr="00127056">
        <w:rPr>
          <w:rFonts w:hint="cs"/>
          <w:rtl/>
        </w:rPr>
        <w:t>סעיף א</w:t>
      </w:r>
      <w:r w:rsidRPr="00127056">
        <w:rPr>
          <w:rFonts w:hint="cs"/>
        </w:rPr>
        <w:t>'</w:t>
      </w:r>
      <w:r w:rsidRPr="00127056">
        <w:t>:</w:t>
      </w:r>
    </w:p>
    <w:p w14:paraId="40042ED5" w14:textId="77777777" w:rsidR="00127056" w:rsidRPr="00127056" w:rsidRDefault="00127056" w:rsidP="00127056">
      <w:pPr>
        <w:pStyle w:val="Style1"/>
      </w:pPr>
    </w:p>
    <w:p w14:paraId="5131D8FD" w14:textId="77777777" w:rsidR="00127056" w:rsidRDefault="00127056">
      <w:pPr>
        <w:rPr>
          <w:rStyle w:val="Style1Char"/>
          <w:color w:val="00B050"/>
          <w:sz w:val="22"/>
          <w:szCs w:val="22"/>
          <w:highlight w:val="yellow"/>
          <w:rtl/>
        </w:rPr>
      </w:pPr>
      <w:r>
        <w:rPr>
          <w:rStyle w:val="Style1Char"/>
          <w:color w:val="00B050"/>
          <w:sz w:val="22"/>
          <w:szCs w:val="22"/>
          <w:highlight w:val="yellow"/>
          <w:rtl/>
        </w:rPr>
        <w:br w:type="page"/>
      </w:r>
    </w:p>
    <w:p w14:paraId="7307027B" w14:textId="0BC6396D" w:rsidR="00C369CA" w:rsidRDefault="00C369CA" w:rsidP="00C369CA">
      <w:pPr>
        <w:bidi/>
        <w:rPr>
          <w:rStyle w:val="Style1Char"/>
          <w:color w:val="4472C4" w:themeColor="accent1"/>
          <w:rtl/>
        </w:rPr>
      </w:pPr>
      <w:r w:rsidRPr="0019655F">
        <w:rPr>
          <w:rStyle w:val="Style1Char"/>
          <w:color w:val="00B050"/>
          <w:sz w:val="22"/>
          <w:szCs w:val="22"/>
          <w:highlight w:val="yellow"/>
          <w:rtl/>
        </w:rPr>
        <w:lastRenderedPageBreak/>
        <w:t>[דף פח עמוד ב]</w:t>
      </w:r>
      <w:r w:rsidRPr="0019655F">
        <w:rPr>
          <w:rStyle w:val="Style1Char"/>
          <w:color w:val="00B050"/>
          <w:sz w:val="22"/>
          <w:szCs w:val="22"/>
          <w:rtl/>
        </w:rPr>
        <w:t xml:space="preserve"> </w:t>
      </w:r>
      <w:r w:rsidRPr="00D2614D">
        <w:rPr>
          <w:rStyle w:val="Style1Char"/>
          <w:color w:val="00B050"/>
          <w:rtl/>
        </w:rPr>
        <w:t xml:space="preserve">אינה תובעת כתובתה - אין יורשין משביעין אותה; וקמיפלגי בפלוגתא דחנן ובני כהנים גדולים, דתנן: מי שהלך למדינת הים ואשתו תובעת מזונות, חנן אומר: תשבע בסוף ולא תשבע בתחלה, נחלקו עליו בני כהנים גדולים ואמרו: תשבע בתחלה ובסוף; ר"ש כחנן, רבנן כבני כהנים גדולים. מתקיף לה רב ששת: האי יורשין משביעין אותה? בית דין משביעין אותה מיבעי ליה! אלא אמר רב ששת, אהא: הלכה מקבר בעלה לבית אביה, או שחזר' לבית חמיה ולא נעשית אפוטרופיא - אין היורשים משביעין אותה, ואם נעשית אפוטרופיא - יורשין משביעין אותה על העתיד לבא ואין משביעין אותה על מה שעבר, ואתא ר"ש למימר: כל זמן שתובעת כתובתה - יורשין משביעין אותה, אינה תובעת כתובתה - אין היורשין משביעין אותה; וקמיפלגי בפלוגתא דאבא שאול ורבנן, דתנן: אפוטרופוס שמינהו אבי יתומים - ישבע, מינוהו בית דין - לא ישבע, אבא שאול אומר: חילוף הדברים, </w:t>
      </w:r>
      <w:r w:rsidR="00127056">
        <w:rPr>
          <w:rStyle w:val="Style1Char"/>
          <w:rFonts w:hint="cs"/>
          <w:rtl/>
        </w:rPr>
        <w:t>(1)</w:t>
      </w:r>
      <w:r w:rsidRPr="00D2614D">
        <w:rPr>
          <w:rStyle w:val="Style1Char"/>
          <w:color w:val="00B050"/>
          <w:rtl/>
        </w:rPr>
        <w:t xml:space="preserve">מינוהו בית דין - ישבע, מינהו אבי יתומים - לא ישבע; ר"ש כאבא שאול, ורבנן כרבנן. מתקיף לה אביי: האי כל זמן שתובעת כתובתה? אם תובעת מיבעי ליה! אלא </w:t>
      </w:r>
      <w:r w:rsidRPr="00C5508B">
        <w:rPr>
          <w:rStyle w:val="Style1Char"/>
          <w:color w:val="ED7D31" w:themeColor="accent2"/>
          <w:sz w:val="22"/>
          <w:szCs w:val="22"/>
          <w:rtl/>
        </w:rPr>
        <w:t xml:space="preserve">אמר אביי, אהא: כתב לה נדר ושבועה אין לי עליך - אינו יכול להשביעה כו', </w:t>
      </w:r>
      <w:r w:rsidRPr="00D2614D">
        <w:rPr>
          <w:rStyle w:val="Style1Char"/>
          <w:color w:val="00B050"/>
          <w:rtl/>
        </w:rPr>
        <w:t xml:space="preserve">נדר ושבועה אין לי ולא ליורשי ולא לבאים ברשותי עליך ועל יורשיך ועל הבאין ברשותך - אין יכול להשביעה לא הוא ולא יורשיו ולא הבאין ברשותו לא היא ולא יורשיה ולא הבאין ברשותה, </w:t>
      </w:r>
      <w:r w:rsidRPr="00AB6887">
        <w:rPr>
          <w:rStyle w:val="Style1Char"/>
          <w:color w:val="ED7D31" w:themeColor="accent2"/>
          <w:sz w:val="22"/>
          <w:szCs w:val="22"/>
          <w:rtl/>
        </w:rPr>
        <w:t>ואתא ר"ש למימר: כל זמן שתובעת כתובתה - יורשין משביעין אותה</w:t>
      </w:r>
      <w:r w:rsidRPr="00D2614D">
        <w:rPr>
          <w:rStyle w:val="Style1Char"/>
          <w:color w:val="00B050"/>
          <w:rtl/>
        </w:rPr>
        <w:t xml:space="preserve">; וקמיפלגי בפלוגתא דאבא שאול בן אימא מרים ורבנן, ר"ש כאבא שאול, ורבנן כרבנן. </w:t>
      </w:r>
      <w:r w:rsidRPr="00AB6887">
        <w:rPr>
          <w:rStyle w:val="Style1Char"/>
          <w:color w:val="ED7D31" w:themeColor="accent2"/>
          <w:sz w:val="22"/>
          <w:szCs w:val="22"/>
          <w:rtl/>
        </w:rPr>
        <w:t xml:space="preserve">מתקיף לה רב פפא: התינח כל זמן שתובעת כתובתה, אינה תובעת כתובתה מאי איכא למימר? אלא אמר רב פפא: לאפוקי מדר"א ומחלוקתו. </w:t>
      </w:r>
      <w:r w:rsidRPr="00E53B77">
        <w:rPr>
          <w:rStyle w:val="Style1Char"/>
          <w:color w:val="4472C4" w:themeColor="accent1"/>
          <w:rtl/>
        </w:rPr>
        <w:t>ופליג ר' שמעון אכולה מתני' וסבר אם אינה תובעת כתובתה אינו יכול להשביעה אף אם הושיבה חנונית וכתב רב אלפס ז"ל דהילכתא כת"ק דהוא סתם מתניתין דקי"ל בכל דוכתא דלא איפסיק הילכתא בהדיא הלכה כסתם מתני' והכא לא איפסיק הילכתא בהדיא דרב פפא לא אתא למיפסק הילכתא אלא לפרושי בעלמא הוא דאתא והכי קאמר רב פפא רבי שמעון לאפוקי מדר' אליעזר ומחלוקתו הוא דאתא ולעולם הלכה כת"ק ועוד הא קתני לה גבי הילכתא פסיקתא דתנן (שבועות דף מה א) אלו נשבעין שלא בטענה השותפין והאריסין והאפוטרופוס והאשה הנושאת והנותנת בתוך הבית ובן הבית וקי"ל דכולהו הילכתא נינהו ולא מצינן למימר דהאי אשה אלמנה היא דהא אשה סתם קאמר בין אלמנה בין אשת איש</w:t>
      </w:r>
      <w:r>
        <w:rPr>
          <w:rStyle w:val="Style1Char"/>
          <w:rFonts w:hint="cs"/>
          <w:color w:val="4472C4" w:themeColor="accent1"/>
        </w:rPr>
        <w:t>‍</w:t>
      </w:r>
      <w:r w:rsidRPr="00E53B77">
        <w:rPr>
          <w:rStyle w:val="Style1Char"/>
          <w:color w:val="4472C4" w:themeColor="accent1"/>
          <w:rtl/>
        </w:rPr>
        <w:t xml:space="preserve"> ועוד דלא קתני האשה הנושאת והנותנת בתוך הבית כשתובעת כתובה ור"ת פוסק הלכה כר"ש ומעשה בא לפניו באשה שמינה בעלה אפיטרופיא והושיבה חנוונית והיו לה הרבה מעות בידה ואמרה של אחרים הן ורצה בעלה להשביעה ופסק ר"ת שאינו יכול להשביעה בטענת שמא כר"ש דאמר כל זמן שאינה תובעת כתובתה אין היורשין משביעין אותה ויורשין לאו דווקא ונקט יורשין אגב רישא דכיון דאוקימנא כ"ז שתובעת כתובה וכו' דקאמר ר"ש כאבא שאול בן אימא מרים</w:t>
      </w:r>
      <w:r>
        <w:rPr>
          <w:rStyle w:val="Style1Char"/>
          <w:rFonts w:hint="cs"/>
          <w:color w:val="4472C4" w:themeColor="accent1"/>
        </w:rPr>
        <w:t>‍</w:t>
      </w:r>
      <w:r w:rsidRPr="00E53B77">
        <w:rPr>
          <w:rStyle w:val="Style1Char"/>
          <w:color w:val="4472C4" w:themeColor="accent1"/>
          <w:rtl/>
        </w:rPr>
        <w:t xml:space="preserve"> ובהא פסיק לעיל הלכה כאבא שאול בן אימא מרים א"כ הילכתא נמי בכולה מילתא כר"ש דלית לן למימר דהילכתא כוותיה בהא ובאידך לא אלא היכא דמפרש לה הש"ס בהדיא וא"ת א"כ לעיל (דף פז א) דפסק הלכה כאבא שאול אמאי לא פסיק כר"ש דמתני' יש לומר משום דלא פסיקא ליה דאיכא שינויי טובא הכא אליבא דר"ש. וכן פסק רבינו חננאל כר"ש וזה לשונו וקיימא לן כוותיה דר"ש הילכך התובעת כתובתה משביעין אותה על כל דבר שהיה בידה אפי' בחיי בעלה ואם אינה תובעת כתובתה אין משביעין אותה אלא בטענת ברי והני כולהו דבעי לאוקמי ר"ש כוותייהו כגון חנן ואבא שאול בן אימא מרים הילכתא כוותייהו. והקשו לר"ת מההיא דחזקת הבתים (דף נב ב) אשה הנושאת ונותנת בתוך הבית והיו אונות ושטרות יוצאות על שמה עליה להביא ראיה אלמא אינה נאמנת ותירץ דההיא ברייתא איירי לאחר מיתת בעלה דמוריא היתירא דטרחא קמי יתמי וכן מוכחא סוגיא דהתם. ומתני' דהאשה הנושאת ונותנת בתוך הבית דנשבעת שלא בטענה הוה מוקי לה ר"ת כשבאת לתבוע כתובתה</w:t>
      </w:r>
      <w:r w:rsidRPr="00E53B77">
        <w:rPr>
          <w:rStyle w:val="Style1Char"/>
          <w:color w:val="4472C4" w:themeColor="accent1"/>
        </w:rPr>
        <w:t xml:space="preserve">: </w:t>
      </w:r>
    </w:p>
    <w:p w14:paraId="6EF724C3" w14:textId="77777777" w:rsidR="00C369CA" w:rsidRPr="00E53B77" w:rsidRDefault="00C369CA" w:rsidP="00C369CA">
      <w:pPr>
        <w:bidi/>
        <w:rPr>
          <w:rStyle w:val="Style1Char"/>
          <w:color w:val="4472C4" w:themeColor="accent1"/>
        </w:rPr>
      </w:pPr>
      <w:r w:rsidRPr="00E53B77">
        <w:rPr>
          <w:rStyle w:val="Style1Char"/>
          <w:color w:val="4472C4" w:themeColor="accent1"/>
          <w:rtl/>
        </w:rPr>
        <w:t>מסקנא דסלקא מהך שמעתתא המושיב את אשתו חנוונית או שמינה אפוטרופיס לרבנן משביעין אותה כל זמן שירצה אף בטענת שמא אם חושד אותה בשתי כסף כדמפרש בפ' כל הנשבעין (דף מח ב) גבי הנשבעין שלא בטענה אבל לא על פלכה ועיסתה בטענת שמא אם לא בטענת ברי</w:t>
      </w:r>
      <w:r>
        <w:rPr>
          <w:rStyle w:val="Style1Char"/>
          <w:rFonts w:hint="cs"/>
          <w:color w:val="4472C4" w:themeColor="accent1"/>
        </w:rPr>
        <w:t>‍</w:t>
      </w:r>
      <w:r w:rsidRPr="00E53B77">
        <w:rPr>
          <w:rStyle w:val="Style1Char"/>
          <w:color w:val="4472C4" w:themeColor="accent1"/>
          <w:rtl/>
        </w:rPr>
        <w:t xml:space="preserve"> או בטענת שמא על ידי גילגול ור' אליעזר סבר דאף על פלכה ועיסתה משביעין לכתחלה ור"ש פליג עלייהו ואמר דאף אם הושיבה חנוונית ומינה אפיטרופיא</w:t>
      </w:r>
      <w:r>
        <w:rPr>
          <w:rStyle w:val="Style1Char"/>
          <w:rFonts w:hint="cs"/>
          <w:color w:val="4472C4" w:themeColor="accent1"/>
        </w:rPr>
        <w:t>‍</w:t>
      </w:r>
      <w:r w:rsidRPr="00E53B77">
        <w:rPr>
          <w:rStyle w:val="Style1Char"/>
          <w:color w:val="4472C4" w:themeColor="accent1"/>
          <w:rtl/>
        </w:rPr>
        <w:t xml:space="preserve"> אינו יכול להשביעה בטענת שמא כל זמן שאינה תובעת כתובתה</w:t>
      </w:r>
      <w:r>
        <w:rPr>
          <w:rStyle w:val="Style1Char"/>
          <w:rFonts w:hint="cs"/>
          <w:color w:val="4472C4" w:themeColor="accent1"/>
        </w:rPr>
        <w:t>‍</w:t>
      </w:r>
      <w:r w:rsidRPr="00E53B77">
        <w:rPr>
          <w:rStyle w:val="Style1Char"/>
          <w:color w:val="4472C4" w:themeColor="accent1"/>
          <w:rtl/>
        </w:rPr>
        <w:t xml:space="preserve"> אבל אם גרשה והיא תובעת כתובתה משביעה על הכל. פסק רב אלפס ז"ל הלכה כת"ק ורבינו חננאל ז"ל פסק כר"ש וגם ר"ת עשה מעשה כר"ש</w:t>
      </w:r>
      <w:r>
        <w:rPr>
          <w:rStyle w:val="Style1Char"/>
          <w:rFonts w:hint="cs"/>
          <w:color w:val="4472C4" w:themeColor="accent1"/>
        </w:rPr>
        <w:t>‍</w:t>
      </w:r>
      <w:r w:rsidRPr="00E53B77">
        <w:rPr>
          <w:rStyle w:val="Style1Char"/>
          <w:color w:val="4472C4" w:themeColor="accent1"/>
          <w:rtl/>
        </w:rPr>
        <w:t xml:space="preserve"> ונראה דבריהם וראיותיהם וגם כיון דאיכא פלוגתא דרבוותא לא עבדינן בה עובדא לחייבה שבועה. כתב לה נדר ושבועה אין לי עליך אינו יכול להשביעה ואמרי' בגמרא שבועה מאי עבידתה וקאמר רב נחמן על הפוגמת כתובתה משום דמסקא אדעתא בשעת נישואין דילמא מצריך לה זוזי ושקלא מכתובתה ואמרה כתוב לי דלא משתבעת לי</w:t>
      </w:r>
      <w:r>
        <w:rPr>
          <w:rStyle w:val="Style1Char"/>
          <w:rFonts w:hint="cs"/>
          <w:color w:val="4472C4" w:themeColor="accent1"/>
        </w:rPr>
        <w:t>‍</w:t>
      </w:r>
      <w:r w:rsidRPr="00E53B77">
        <w:rPr>
          <w:rStyle w:val="Style1Char"/>
          <w:color w:val="4472C4" w:themeColor="accent1"/>
          <w:rtl/>
        </w:rPr>
        <w:t xml:space="preserve"> ואגב פטור זה בקשה לפוטרה אף אם הושיבה חנוונית או מינה אותה אפוטרופוס וגם נמי פטור דשבועת עד א' בכלל כאשר כתבתי למעלה (סי' יח) ולא כמ"ש הראב"ד ז"ל ויש להסתפק אם פטור דשבועה הנפרעת שלא בפניו הוי בכלל לפי שראוי היה שלא לירד לנכסי אדם שלא בפניו דחיישינן לשובר או לצררי אלא שאמרו חכמים לעשות כן לר' יצחק נפחא בכתובת אשה דוקא משום חינא ולרב נחמן אף בבעל חוב משום נעילת דלת הילכך ראוי שלא יועיל לה הפטור לענין זה דכיון דשלא בפניו היא מעיזה פניה אמנם יראה שהפטור מועיל לכל שבועה שבית דין מחייבין אותה מדתנן הכא הנך שבועות שצריכה לישבע ושנאן באמצע דבריהם קודם ששנה מחלוקת רבי שמעון דפליג אכולה מתניתין אלא לכך הפסיק בדבריהם לפרש מאיזה שבועה פטרה ומפרש כשאמר לה שבועה אין לי עליך ועל יורשיך ועל הבאים ברשותיך פטרה משלש שבועות</w:t>
      </w:r>
      <w:r>
        <w:rPr>
          <w:rStyle w:val="Style1Char"/>
          <w:rFonts w:hint="cs"/>
          <w:color w:val="4472C4" w:themeColor="accent1"/>
        </w:rPr>
        <w:t>‍</w:t>
      </w:r>
      <w:r w:rsidRPr="00E53B77">
        <w:rPr>
          <w:rStyle w:val="Style1Char"/>
          <w:color w:val="4472C4" w:themeColor="accent1"/>
          <w:rtl/>
        </w:rPr>
        <w:t xml:space="preserve"> שבאו מכחו אבל לא שבועה דמנכסים משועבדים ומנכסי יתומים עד שיאמר אין לי ולא ליורשי ולא לבאים ברשותי אבל משביע את יורשיה אם גירשה ומתה נשבעין שבועת יורשין שלא פקדנו ששטר זה פרוע</w:t>
      </w:r>
      <w:r w:rsidRPr="00E53B77">
        <w:rPr>
          <w:rStyle w:val="Style1Char"/>
          <w:color w:val="4472C4" w:themeColor="accent1"/>
        </w:rPr>
        <w:t>:</w:t>
      </w:r>
    </w:p>
    <w:p w14:paraId="1A4A4541" w14:textId="77777777" w:rsidR="00C369CA" w:rsidRPr="00E53B77" w:rsidRDefault="00C369CA" w:rsidP="00C369CA">
      <w:pPr>
        <w:bidi/>
        <w:rPr>
          <w:rStyle w:val="Style1Char"/>
          <w:color w:val="4472C4" w:themeColor="accent1"/>
        </w:rPr>
      </w:pPr>
      <w:r w:rsidRPr="00E53B77">
        <w:rPr>
          <w:rStyle w:val="Style1Char"/>
          <w:color w:val="4472C4" w:themeColor="accent1"/>
          <w:rtl/>
        </w:rPr>
        <w:t>ואת הבאין ברשותה מפרש בתוספתא כגון שמכרה או נתנה כתובתה ופרש"י [ונתגרשה] ומתה ובאין הלקוחות לגבות כתובתה נשבעין שלא אמרה להם שהיתה פרוע. ודוקא אם מתה אבל אם היא קיימת היא צריכה לישבע שלא נפרעת ואם אינה רוצה לישבע יפסידו הלקוחות ואם היא אומרת שנפרעה אחר שמכרה נאמנת במיגו שיכולה למחול ולא דומה למלוה שאמר שטר אמנה הוא שאינו נאמן היכא שהוא חב לאחרים ולא מהימן במיגו דאי בעי מחיל לפי שאינו רוצה למחול ולהפסיד חובו אבל במה שאומר שטר אמנה הוא אינו מפסיד חובו כי מכיר בלוה שהוא ירא שמים ולא יעכב מעותיו אבל אם אמרה שנפרעה קודם המכר לא מהימנא במיגו דאי בעי מחלה דאין זה מיגו טוב דאי מחלה השתא היתה צריכה לשלם דמי שטרא מעליא אבל אם נפרעה קודם אינה חייבת לשלם אלא הדמים שקבלה מן המכר ומחזרת הדמים</w:t>
      </w:r>
      <w:r>
        <w:rPr>
          <w:rStyle w:val="Style1Char"/>
          <w:rFonts w:hint="cs"/>
          <w:color w:val="4472C4" w:themeColor="accent1"/>
        </w:rPr>
        <w:t>‍</w:t>
      </w:r>
      <w:r w:rsidRPr="00E53B77">
        <w:rPr>
          <w:rStyle w:val="Style1Char"/>
          <w:color w:val="4472C4" w:themeColor="accent1"/>
          <w:rtl/>
        </w:rPr>
        <w:t xml:space="preserve"> ואף לדברי המפרשים דכל מוחל שטר חוב אינו חייב לשלם אלא דמי המכר. מכל מקום כולי עלמא לאו דינא גמירי והיא יראה למחול שמא תתחייב לשלם כל דמי השטר אבל מה שאומרת שנפרעה קודם המכר דבר ידוע הוא כיון שמקח טעות היה הדמים חוזרין. וי"מ אבל משביעין את יורשיה ואת הבאים ברשותה אם פגמו הם הכתובה</w:t>
      </w:r>
      <w:r w:rsidRPr="00E53B77">
        <w:rPr>
          <w:rStyle w:val="Style1Char"/>
          <w:color w:val="4472C4" w:themeColor="accent1"/>
        </w:rPr>
        <w:t xml:space="preserve">: </w:t>
      </w:r>
    </w:p>
    <w:p w14:paraId="2E4F7E32" w14:textId="77777777" w:rsidR="00C369CA" w:rsidRPr="00E53B77" w:rsidRDefault="00C369CA" w:rsidP="00C369CA">
      <w:pPr>
        <w:bidi/>
        <w:rPr>
          <w:rStyle w:val="Style1Char"/>
          <w:color w:val="4472C4" w:themeColor="accent1"/>
        </w:rPr>
      </w:pPr>
      <w:r w:rsidRPr="00E53B77">
        <w:rPr>
          <w:rStyle w:val="Style1Char"/>
          <w:color w:val="4472C4" w:themeColor="accent1"/>
          <w:rtl/>
        </w:rPr>
        <w:t>ובירושלמי (הלכה ה) מפרש משביעין את יורשיה ואת הבאים ברשותה אשבועת אפיטרופוס כגון שנתן לה רשות למנות את יורשיה או אדם נכרי אפוטרופוס תחתיה אף על פי שפטרה מן השבועה משביע את יורשיה ואת הבאים ברשותה ומדקדק מזה בירושלמי דכל ארבעה שומרים אם כשפטרן מן השבועה והשאילו לאחרים ברשות משביע את האחרים. נדר ושבועה אין לי עליך ועל יורשיך ועל הבאים ברשותיך אין יכול להשביע לא אותה ולא יורשיה ולא הבאים ברשותה אבל יורשין משביעין אותה ואת כו'</w:t>
      </w:r>
      <w:r>
        <w:rPr>
          <w:rStyle w:val="Style1Char"/>
          <w:rFonts w:hint="cs"/>
          <w:color w:val="4472C4" w:themeColor="accent1"/>
        </w:rPr>
        <w:t>‍</w:t>
      </w:r>
      <w:r w:rsidRPr="00E53B77">
        <w:rPr>
          <w:rStyle w:val="Style1Char"/>
          <w:color w:val="4472C4" w:themeColor="accent1"/>
          <w:rtl/>
        </w:rPr>
        <w:t xml:space="preserve"> בגרושה מפרשא הך בבא אבל באלמנה לא משכחת יורשין משביעין יורשין דאם לא נשבעה האלמנה אינה מורשת שבועה ליורשין נדר ושבועה אין לי ולא ליורשי ולא לבאים ברשותי עליך ועל יורשיך ועל הבאים ברשותיך אין יכול להשביע לא הוא ולא יורשיו לא אותה ולא יורשיה ולא הבאים ברשותה</w:t>
      </w:r>
      <w:r>
        <w:rPr>
          <w:rStyle w:val="Style1Char"/>
          <w:rFonts w:hint="cs"/>
          <w:color w:val="4472C4" w:themeColor="accent1"/>
        </w:rPr>
        <w:t>‍</w:t>
      </w:r>
      <w:r w:rsidRPr="00E53B77">
        <w:rPr>
          <w:rStyle w:val="Style1Char"/>
          <w:color w:val="4472C4" w:themeColor="accent1"/>
          <w:rtl/>
        </w:rPr>
        <w:t xml:space="preserve"> ואף אם פגמה כתובתה מן היורשין או יורשיה מן הבעל או יורשין מן היורשין פטורין מן השבועה ולא דמי לשבועת אפוטרופסות דאע"פ שפטרה ממנו ומיורשיו אם נעשית אפוטרופוס אחר מיתת בעלה צריכה לישבע דהתם לא פטרה אלא מאפוטרופסות של ממונו שאף יורשין לא ישביעוה על שנעשית אפוטרופסת על ממונו וכשמת יצא הממון מרשותו ונכנס לרשות היתומים ואפוטרופסות של ממון יורשין לא פטרה אבל שבועה דפוגמת פטרה מכל פגם שיבא לאותה כתובה שכתב לה ממה שיהיה ולמי שיהיה ועוד מסקא אדעתא דלמא לא יכלו יורשיו לפרוע כתובתה בבת אחת ותיצטרך לפוגמה על כן בקשה שיפטרנה מן השבועה גם מיורשין אבל לא מסקא אדעתה כלל שיורשין ימנוה אפוטרופוס. הא דקתני ולא הבאים ברשותי היינו לקוחות שאחר הפטור אבל לקוחות שקדמו לפטור לאו כל כמיניה</w:t>
      </w:r>
      <w:r>
        <w:rPr>
          <w:rStyle w:val="Style1Char"/>
          <w:rFonts w:hint="cs"/>
          <w:color w:val="4472C4" w:themeColor="accent1"/>
        </w:rPr>
        <w:t>‍</w:t>
      </w:r>
      <w:r w:rsidRPr="00E53B77">
        <w:rPr>
          <w:rStyle w:val="Style1Char"/>
          <w:color w:val="4472C4" w:themeColor="accent1"/>
          <w:rtl/>
        </w:rPr>
        <w:t xml:space="preserve"> ומיהו טוב להשביעה אפילו אחר הפטור כדברי רבינו חננאל ז"ל מפני הרמאים</w:t>
      </w:r>
      <w:r w:rsidRPr="00E53B77">
        <w:rPr>
          <w:rStyle w:val="Style1Char"/>
          <w:color w:val="4472C4" w:themeColor="accent1"/>
        </w:rPr>
        <w:t>:</w:t>
      </w:r>
    </w:p>
    <w:p w14:paraId="3AA904C1" w14:textId="77777777" w:rsidR="00C369CA" w:rsidRPr="00E53B77" w:rsidRDefault="00C369CA" w:rsidP="00C369CA">
      <w:pPr>
        <w:bidi/>
        <w:rPr>
          <w:rStyle w:val="Style1Char"/>
          <w:color w:val="4472C4" w:themeColor="accent1"/>
        </w:rPr>
      </w:pPr>
      <w:r w:rsidRPr="00E53B77">
        <w:rPr>
          <w:rStyle w:val="Style1Char"/>
          <w:color w:val="4472C4" w:themeColor="accent1"/>
          <w:rtl/>
        </w:rPr>
        <w:t xml:space="preserve">הלכה מקבר בעלה לבית אביה קאי אהיכא דפטרה מן השבועה ממנו ומיורשיו ואפ"ה יורשין משביעין אותה על אפוטרופא שמינוה על נכסיהן אבל לא על שנתעסקה בין מיתה לקבורה לצרכי המת. ובירושלמי מוכיח קצת דאפילו נתעסקה בין מיתה לקבורה בשאר דברים שאינו לצורך המת אין משביעין אותה דגרסי' בירושלמי ר' יוסי ור' יונה תרווייהו אמרין ולא סוף דבר נכסים ששלטה בהן בחיי בעלה אלא אפילו נכסים ששלטה בהן אחר מיתת בעלה אין היורשין משביעין אותה פתר לה משעת מיתה עד שעת קבורה דאמר ר' אבהו א"ר יוחנן משעת מיתה עד שעת קבורה אין היורשין משביעין אותה </w:t>
      </w:r>
      <w:r w:rsidRPr="00E53B77">
        <w:rPr>
          <w:rStyle w:val="Style1Char"/>
          <w:color w:val="4472C4" w:themeColor="accent1"/>
          <w:rtl/>
        </w:rPr>
        <w:lastRenderedPageBreak/>
        <w:t>תני בר קפרא שלא תהא מניחתו והולכת לבית אביה אבל לפום גמרא דידן דמייתי עלה הא דנהרדעי משמע דאיירי דוקא בצרכי המת</w:t>
      </w:r>
      <w:r>
        <w:rPr>
          <w:rStyle w:val="Style1Char"/>
          <w:rFonts w:hint="cs"/>
          <w:color w:val="4472C4" w:themeColor="accent1"/>
        </w:rPr>
        <w:t>‍</w:t>
      </w:r>
      <w:r w:rsidRPr="00E53B77">
        <w:rPr>
          <w:rStyle w:val="Style1Char"/>
          <w:color w:val="4472C4" w:themeColor="accent1"/>
          <w:rtl/>
        </w:rPr>
        <w:t xml:space="preserve"> ואבא שאול פליג אמתני' וסבר דאפילו פטרה ואת יורשיה ממנו ומיורשיו כשבאין לגבות כתובתה מן היורשין צריכין שבועה והלכתא כוותיה</w:t>
      </w:r>
      <w:r w:rsidRPr="00E53B77">
        <w:rPr>
          <w:rStyle w:val="Style1Char"/>
          <w:color w:val="4472C4" w:themeColor="accent1"/>
        </w:rPr>
        <w:t xml:space="preserve">: </w:t>
      </w:r>
    </w:p>
    <w:p w14:paraId="0128299F" w14:textId="350901FD" w:rsidR="00C369CA" w:rsidRDefault="00C369CA" w:rsidP="00C369CA">
      <w:pPr>
        <w:bidi/>
        <w:rPr>
          <w:rStyle w:val="Style1Char"/>
          <w:color w:val="auto"/>
          <w:sz w:val="22"/>
          <w:szCs w:val="22"/>
          <w:rtl/>
        </w:rPr>
      </w:pPr>
      <w:r w:rsidRPr="00C50A44">
        <w:rPr>
          <w:rStyle w:val="Style1Char"/>
          <w:color w:val="auto"/>
          <w:sz w:val="22"/>
          <w:szCs w:val="22"/>
          <w:rtl/>
        </w:rPr>
        <w:t xml:space="preserve">מתני'. </w:t>
      </w:r>
      <w:r w:rsidR="00EB6098">
        <w:rPr>
          <w:rStyle w:val="Style1Char"/>
          <w:rFonts w:hint="cs"/>
          <w:rtl/>
        </w:rPr>
        <w:t>(2)</w:t>
      </w:r>
      <w:r w:rsidRPr="00C50A44">
        <w:rPr>
          <w:rStyle w:val="Style1Char"/>
          <w:color w:val="auto"/>
          <w:sz w:val="22"/>
          <w:szCs w:val="22"/>
          <w:rtl/>
        </w:rPr>
        <w:t xml:space="preserve">הוציאה גט ואין עמו כתובה – </w:t>
      </w:r>
    </w:p>
    <w:p w14:paraId="359DC606" w14:textId="1FB0D232" w:rsidR="00EB6098" w:rsidRDefault="00EB6098" w:rsidP="00EB6098">
      <w:pPr>
        <w:pStyle w:val="Style1"/>
        <w:rPr>
          <w:rStyle w:val="Style1Char"/>
          <w:rtl/>
        </w:rPr>
      </w:pPr>
      <w:r>
        <w:rPr>
          <w:rStyle w:val="Style1Char"/>
          <w:rFonts w:hint="cs"/>
          <w:rtl/>
        </w:rPr>
        <w:t>1)[</w:t>
      </w:r>
      <w:r w:rsidRPr="00EB6098">
        <w:rPr>
          <w:rStyle w:val="Style1Char"/>
          <w:rtl/>
        </w:rPr>
        <w:t>רמב</w:t>
      </w:r>
      <w:r w:rsidR="00EC109D">
        <w:rPr>
          <w:rStyle w:val="Style1Char"/>
          <w:rtl/>
        </w:rPr>
        <w:t>”ם \משפטים\</w:t>
      </w:r>
      <w:r w:rsidRPr="00EB6098">
        <w:rPr>
          <w:rStyle w:val="Style1Char"/>
          <w:rtl/>
        </w:rPr>
        <w:t xml:space="preserve"> הלכות נחלות פרק יא הלכה ה</w:t>
      </w:r>
      <w:r>
        <w:rPr>
          <w:rStyle w:val="Style1Char"/>
          <w:rFonts w:hint="cs"/>
          <w:rtl/>
        </w:rPr>
        <w:t xml:space="preserve">] </w:t>
      </w:r>
      <w:r w:rsidRPr="00EB6098">
        <w:rPr>
          <w:rStyle w:val="Style1Char"/>
          <w:rtl/>
        </w:rPr>
        <w:t>כשיגדילו היתומים נותן להם ממון מורישן ואינו צריך לעשות להן חשבונות מה שהכניס והוציא אלא אומר להן זה הנשאר, ונשבע בנקיטת חפץ שלא גזלן כלום, במה דברים אמורים כשמנוהו בית דין אבל אפוטרופוס שמנהו אבי יתומים וכן שאר המורישן אינו נשבע על טענת ספק, יש לאפוטרופוס ללבוש ולהתכסות מנכסי יתומים כדי שיהיה מכובד ויהיו דבריו נשמעין והוא שיהיה ליתומים הנאה בנכסיהן בהיות דבריו נשמעין.</w:t>
      </w:r>
    </w:p>
    <w:p w14:paraId="7AD5EF80" w14:textId="696E576A" w:rsidR="00EB6098" w:rsidRPr="00EB6098" w:rsidRDefault="00EB6098" w:rsidP="00EB6098">
      <w:pPr>
        <w:pStyle w:val="Style1"/>
      </w:pPr>
      <w:r>
        <w:rPr>
          <w:rStyle w:val="Style1Char"/>
          <w:rFonts w:hint="cs"/>
          <w:rtl/>
        </w:rPr>
        <w:t>1)[</w:t>
      </w:r>
      <w:r w:rsidRPr="00EB6098">
        <w:rPr>
          <w:rStyle w:val="Style1Char"/>
          <w:rtl/>
        </w:rPr>
        <w:t>שולחן ערוך חושן משפט הלכות אפוטרופוס סימן רצ סעיף טז</w:t>
      </w:r>
      <w:r>
        <w:rPr>
          <w:rStyle w:val="Style1Char"/>
          <w:rFonts w:hint="cs"/>
          <w:rtl/>
        </w:rPr>
        <w:t xml:space="preserve">] </w:t>
      </w:r>
      <w:r w:rsidRPr="00EB6098">
        <w:rPr>
          <w:rtl/>
        </w:rPr>
        <w:t>כשיגדילו היתומים נותן להם ממון מורישן ואינו צריך לעשות להם חשבונות מה שהכניס והוציא אלא אומר להם זה הנשאר ונשבע בנקיטת חפץ שלא גזלם כלום בד"א כשמינוהו ב"ד אבל אפוטרופוס שמינהו אבי היתומים וכן שאר המורישין אין נשבע על טענת ספק</w:t>
      </w:r>
      <w:r w:rsidRPr="00EB6098">
        <w:t>:</w:t>
      </w:r>
    </w:p>
    <w:p w14:paraId="7C51EF7E" w14:textId="77777777" w:rsidR="00EB6098" w:rsidRPr="00EB6098" w:rsidRDefault="00EB6098" w:rsidP="00EB6098">
      <w:pPr>
        <w:pStyle w:val="Style1"/>
      </w:pPr>
      <w:r w:rsidRPr="00EB6098">
        <w:rPr>
          <w:rFonts w:hint="cs"/>
          <w:rtl/>
        </w:rPr>
        <w:t>הגה: וי"א דהואיל ואינו נשבע צריך ליתן חשבון במינהו אבי יתומים (מרדכי פ' הניזקין בשם העיטור) והכי יש לנהוג (מהר"ם פאדוואה סי' ל"ח) ומחרימין חרם סתם על מי שלקח משל יתומים (ב"י בשם הרשב"א) ראובן שאומר שיש לו בידו מעות של שמעון ואומר שציוהו לתת לבניו אם רוצה לתת לכל בניו בשוה אינן יכולין להשביעו דהו"ל כאפוטרופוס שמינהו אבי יתומים אבל אם רוצה ליתן לקצתן ולא לכולן א"כ לפי דבריו אינו אפוטרופוס עליהן ויכולין להשביעו שלא עכב כלום לעצמו ואם הם קטנים ב"ד מעמידין להם אפוטרופוס ומשביעין אותו (מרדכי פרק הנזקין)</w:t>
      </w:r>
      <w:r w:rsidRPr="00EB6098">
        <w:t>:</w:t>
      </w:r>
    </w:p>
    <w:p w14:paraId="6E5DA77C" w14:textId="359E0D58" w:rsidR="00EB6098" w:rsidRDefault="00EB6098" w:rsidP="00EB6098">
      <w:pPr>
        <w:pStyle w:val="Style1"/>
        <w:rPr>
          <w:rtl/>
        </w:rPr>
      </w:pPr>
      <w:r w:rsidRPr="00EB6098">
        <w:rPr>
          <w:rtl/>
        </w:rPr>
        <w:t>אבל נשבע על טענת ודאי וכן אם אבד שום דבר מנכסי היתומים נשבע שבוע' השומרים ואם יש לאפוטרופוס חלק בריוח אפי' מינהו אבי היתומים נשבע אפי' על טענת ספק</w:t>
      </w:r>
      <w:r w:rsidRPr="00EB6098">
        <w:t>:</w:t>
      </w:r>
    </w:p>
    <w:p w14:paraId="0B72B8EC" w14:textId="2E61D981" w:rsidR="00EB6098" w:rsidRDefault="00EB6098" w:rsidP="00EB6098">
      <w:pPr>
        <w:pStyle w:val="Style1"/>
        <w:rPr>
          <w:rtl/>
        </w:rPr>
      </w:pPr>
      <w:r>
        <w:rPr>
          <w:rFonts w:hint="cs"/>
          <w:rtl/>
        </w:rPr>
        <w:t>2)[</w:t>
      </w:r>
      <w:r>
        <w:rPr>
          <w:rtl/>
        </w:rPr>
        <w:t>רמב</w:t>
      </w:r>
      <w:r w:rsidR="00213DA1">
        <w:rPr>
          <w:rtl/>
        </w:rPr>
        <w:t>”ם \נשים\</w:t>
      </w:r>
      <w:r>
        <w:rPr>
          <w:rtl/>
        </w:rPr>
        <w:t xml:space="preserve"> הלכות אישות פרק טז הלכה כח</w:t>
      </w:r>
      <w:r>
        <w:rPr>
          <w:rFonts w:hint="cs"/>
          <w:rtl/>
        </w:rPr>
        <w:t xml:space="preserve">] </w:t>
      </w:r>
      <w:r>
        <w:rPr>
          <w:rtl/>
        </w:rPr>
        <w:t>הוציאה גט ואין בידה שטר כתובה, אם דרך אותו מקום שלא יכתבו כתובה גובה עיקר כתובה בגט שבידה, ואם דרכן לכתוב כתובה אפילו עיקר אין לה עד שתוציא שטר כתובה כמו שביארנו, ונשבע הבעל שבועת הסת על טענתה ונפטר.</w:t>
      </w:r>
    </w:p>
    <w:p w14:paraId="776AB1F3" w14:textId="0ADE302F" w:rsidR="00EB6098" w:rsidRPr="008D7DEA" w:rsidRDefault="00EB6098" w:rsidP="00EB6098">
      <w:pPr>
        <w:pStyle w:val="Style1"/>
      </w:pPr>
      <w:r>
        <w:rPr>
          <w:rFonts w:hint="cs"/>
          <w:rtl/>
        </w:rPr>
        <w:t>2)[</w:t>
      </w:r>
      <w:r>
        <w:rPr>
          <w:rtl/>
        </w:rPr>
        <w:t>שולחן ערוך אבן העזר הלכות כתובות סימן ק סעיף יב</w:t>
      </w:r>
      <w:r>
        <w:rPr>
          <w:rFonts w:hint="cs"/>
          <w:rtl/>
        </w:rPr>
        <w:t>]</w:t>
      </w:r>
      <w:r w:rsidR="008D7DEA">
        <w:rPr>
          <w:rFonts w:hint="cs"/>
          <w:rtl/>
        </w:rPr>
        <w:t xml:space="preserve"> </w:t>
      </w:r>
      <w:r w:rsidR="008D7DEA" w:rsidRPr="008D7DEA">
        <w:rPr>
          <w:rtl/>
        </w:rPr>
        <w:t>הוציאה גט ואין עמה שטר כתובה, אם דרך אותו המקום שלא יכתבו כתובה, גובה עיקר כתובה בגט שבידה. ואם דרכן לכתב כתובה, אפלו עיקר אין לה עד שתוציא שטר כתובה, ונשבע הבעל שבועת הסת על טענתה, ונפטר</w:t>
      </w:r>
      <w:r w:rsidR="008D7DEA" w:rsidRPr="008D7DEA">
        <w:t>:</w:t>
      </w:r>
    </w:p>
    <w:p w14:paraId="7C901EC6" w14:textId="68AB1691" w:rsidR="00EB6098" w:rsidRPr="00EB6098" w:rsidRDefault="00EB6098" w:rsidP="00EB6098">
      <w:pPr>
        <w:pStyle w:val="Style1"/>
      </w:pPr>
    </w:p>
    <w:p w14:paraId="15A1B482" w14:textId="77777777" w:rsidR="00EB6098" w:rsidRPr="00EB6098" w:rsidRDefault="00EB6098" w:rsidP="00EB6098">
      <w:pPr>
        <w:pStyle w:val="Style1"/>
        <w:rPr>
          <w:rStyle w:val="Style1Char"/>
        </w:rPr>
      </w:pPr>
    </w:p>
    <w:p w14:paraId="7CD17381" w14:textId="77777777" w:rsidR="00C369CA" w:rsidRPr="00EB6098" w:rsidRDefault="00C369CA" w:rsidP="00EB6098">
      <w:pPr>
        <w:pStyle w:val="Style1"/>
        <w:rPr>
          <w:rStyle w:val="Style1Char"/>
          <w:rtl/>
        </w:rPr>
      </w:pPr>
    </w:p>
    <w:p w14:paraId="0A49054B" w14:textId="77777777" w:rsidR="00C369CA" w:rsidRPr="009B6772" w:rsidRDefault="00C369CA" w:rsidP="00C369CA">
      <w:pPr>
        <w:bidi/>
        <w:rPr>
          <w:rStyle w:val="Style1Char"/>
          <w:color w:val="00B050"/>
          <w:rtl/>
        </w:rPr>
      </w:pPr>
    </w:p>
    <w:p w14:paraId="2E5CBCC7" w14:textId="77777777" w:rsidR="00C369CA" w:rsidRPr="00D205EB" w:rsidRDefault="00C369CA" w:rsidP="00C369CA">
      <w:pPr>
        <w:bidi/>
        <w:rPr>
          <w:rStyle w:val="Style1Char"/>
          <w:color w:val="C00000"/>
        </w:rPr>
      </w:pPr>
    </w:p>
    <w:p w14:paraId="36C2F06A" w14:textId="77777777" w:rsidR="00C369CA" w:rsidRPr="004533E4" w:rsidRDefault="00C369CA" w:rsidP="00C369CA">
      <w:pPr>
        <w:bidi/>
        <w:rPr>
          <w:rStyle w:val="Style1Char"/>
          <w:color w:val="00B050"/>
          <w:rtl/>
        </w:rPr>
      </w:pPr>
    </w:p>
    <w:p w14:paraId="6F8DEF57" w14:textId="77777777" w:rsidR="00C369CA" w:rsidRDefault="00C369CA" w:rsidP="00C369CA">
      <w:pPr>
        <w:rPr>
          <w:rStyle w:val="Style1Char"/>
          <w:color w:val="00B050"/>
          <w:rtl/>
        </w:rPr>
      </w:pPr>
      <w:r>
        <w:rPr>
          <w:rStyle w:val="Style1Char"/>
          <w:color w:val="00B050"/>
          <w:rtl/>
        </w:rPr>
        <w:br w:type="page"/>
      </w:r>
    </w:p>
    <w:p w14:paraId="3323DED5" w14:textId="18D8CE05" w:rsidR="00C369CA" w:rsidRPr="002F6C1A" w:rsidRDefault="00C369CA" w:rsidP="00C369CA">
      <w:pPr>
        <w:bidi/>
        <w:rPr>
          <w:rStyle w:val="Style1Char"/>
          <w:color w:val="auto"/>
          <w:sz w:val="22"/>
          <w:szCs w:val="22"/>
        </w:rPr>
      </w:pPr>
      <w:r w:rsidRPr="002F6C1A">
        <w:rPr>
          <w:rStyle w:val="Style1Char"/>
          <w:color w:val="auto"/>
          <w:sz w:val="22"/>
          <w:szCs w:val="22"/>
          <w:highlight w:val="yellow"/>
          <w:rtl/>
        </w:rPr>
        <w:lastRenderedPageBreak/>
        <w:t>[דף פט עמוד א]</w:t>
      </w:r>
      <w:r w:rsidRPr="002F6C1A">
        <w:rPr>
          <w:rStyle w:val="Style1Char"/>
          <w:color w:val="auto"/>
          <w:sz w:val="22"/>
          <w:szCs w:val="22"/>
          <w:rtl/>
        </w:rPr>
        <w:t xml:space="preserve"> גובה כתובתה. כתובה ואין עמה גט - היא אומרת אבד גיטי והוא אומר אבד שוברי, </w:t>
      </w:r>
      <w:r w:rsidR="008D7DEA">
        <w:rPr>
          <w:rStyle w:val="Style1Char"/>
          <w:rFonts w:hint="cs"/>
          <w:rtl/>
        </w:rPr>
        <w:t>(1)</w:t>
      </w:r>
      <w:r w:rsidRPr="002F6C1A">
        <w:rPr>
          <w:rStyle w:val="Style1Char"/>
          <w:color w:val="auto"/>
          <w:sz w:val="22"/>
          <w:szCs w:val="22"/>
          <w:rtl/>
        </w:rPr>
        <w:t xml:space="preserve">וכן בעל חוב שהוציא שטר חוב ואין עמו פרוזבול - הרי אלו לא יפרעו; רשב"ג אומר: מן הסכנה ואילך, אשה גובה כתובתה שלא בגט, </w:t>
      </w:r>
      <w:r w:rsidR="008D7DEA">
        <w:rPr>
          <w:rStyle w:val="Style1Char"/>
          <w:rFonts w:hint="cs"/>
          <w:rtl/>
        </w:rPr>
        <w:t>(1)</w:t>
      </w:r>
      <w:r w:rsidRPr="002F6C1A">
        <w:rPr>
          <w:rStyle w:val="Style1Char"/>
          <w:color w:val="auto"/>
          <w:sz w:val="22"/>
          <w:szCs w:val="22"/>
          <w:rtl/>
        </w:rPr>
        <w:t xml:space="preserve">ובעל חוב גובה שלא בפרוזבול. </w:t>
      </w:r>
    </w:p>
    <w:p w14:paraId="02285F89" w14:textId="2EEECA56" w:rsidR="00C369CA" w:rsidRDefault="00C369CA" w:rsidP="00C369CA">
      <w:pPr>
        <w:bidi/>
        <w:rPr>
          <w:rStyle w:val="Style1Char"/>
          <w:color w:val="00B050"/>
          <w:rtl/>
        </w:rPr>
      </w:pPr>
      <w:r w:rsidRPr="004A6E98">
        <w:rPr>
          <w:rStyle w:val="Style1Char"/>
          <w:color w:val="auto"/>
          <w:sz w:val="22"/>
          <w:szCs w:val="22"/>
          <w:rtl/>
        </w:rPr>
        <w:t>גמ'.</w:t>
      </w:r>
      <w:r w:rsidRPr="00D2614D">
        <w:rPr>
          <w:rStyle w:val="Style1Char"/>
          <w:color w:val="00B050"/>
          <w:rtl/>
        </w:rPr>
        <w:t xml:space="preserve"> </w:t>
      </w:r>
      <w:r w:rsidRPr="004A6E98">
        <w:rPr>
          <w:rStyle w:val="Style1Char"/>
          <w:color w:val="4472C4" w:themeColor="accent1"/>
          <w:sz w:val="22"/>
          <w:szCs w:val="22"/>
          <w:rtl/>
        </w:rPr>
        <w:t xml:space="preserve">הא דגובה כתובתה בגט בלא כתובה </w:t>
      </w:r>
      <w:r w:rsidRPr="00D205EB">
        <w:rPr>
          <w:rStyle w:val="Style1Char"/>
          <w:color w:val="C00000"/>
          <w:rtl/>
        </w:rPr>
        <w:t>(</w:t>
      </w:r>
      <w:r w:rsidRPr="004A6E98">
        <w:rPr>
          <w:rStyle w:val="Style1Char"/>
          <w:color w:val="C00000"/>
          <w:sz w:val="22"/>
          <w:szCs w:val="22"/>
          <w:rtl/>
        </w:rPr>
        <w:t xml:space="preserve">הוציאה גט </w:t>
      </w:r>
      <w:r w:rsidRPr="004A6E98">
        <w:rPr>
          <w:rStyle w:val="Style1Char"/>
          <w:color w:val="806000" w:themeColor="accent4" w:themeShade="80"/>
          <w:sz w:val="22"/>
          <w:szCs w:val="22"/>
          <w:rtl/>
        </w:rPr>
        <w:t>אוקמה שמואל במקום שאין כותבין כתובה והלכתא כותיה</w:t>
      </w:r>
      <w:r w:rsidRPr="00D205EB">
        <w:rPr>
          <w:rStyle w:val="Style1Char"/>
          <w:color w:val="C00000"/>
          <w:rtl/>
        </w:rPr>
        <w:t>)</w:t>
      </w:r>
      <w:r w:rsidRPr="004A6E98">
        <w:rPr>
          <w:rStyle w:val="Style1Char"/>
          <w:rFonts w:hint="cs"/>
          <w:color w:val="4472C4" w:themeColor="accent1"/>
        </w:rPr>
        <w:t xml:space="preserve"> </w:t>
      </w:r>
      <w:r>
        <w:rPr>
          <w:rStyle w:val="Style1Char"/>
          <w:rFonts w:hint="cs"/>
          <w:color w:val="4472C4" w:themeColor="accent1"/>
        </w:rPr>
        <w:t>‍</w:t>
      </w:r>
      <w:r w:rsidRPr="00E53B77">
        <w:rPr>
          <w:rStyle w:val="Style1Char"/>
          <w:color w:val="4472C4" w:themeColor="accent1"/>
          <w:rtl/>
        </w:rPr>
        <w:t>מה שמקשין על דברי רב אלפס ז"ל ותירוץ הרמב"ן וז"ל כתבתי בפ"ק דב"מ (סי' מד)</w:t>
      </w:r>
      <w:r w:rsidRPr="00E53B77">
        <w:rPr>
          <w:rStyle w:val="Style1Char"/>
          <w:color w:val="4472C4" w:themeColor="accent1"/>
        </w:rPr>
        <w:t>:</w:t>
      </w:r>
      <w:r w:rsidRPr="00D205EB">
        <w:rPr>
          <w:rStyle w:val="Style1Char"/>
          <w:color w:val="C00000"/>
        </w:rPr>
        <w:t>:</w:t>
      </w:r>
      <w:r>
        <w:rPr>
          <w:rStyle w:val="Style1Char"/>
          <w:rFonts w:hint="cs"/>
          <w:color w:val="C00000"/>
          <w:rtl/>
        </w:rPr>
        <w:t xml:space="preserve"> </w:t>
      </w:r>
      <w:r w:rsidRPr="00D2614D">
        <w:rPr>
          <w:rStyle w:val="Style1Char"/>
          <w:color w:val="00B050"/>
          <w:rtl/>
        </w:rPr>
        <w:t xml:space="preserve">ש"מ: כותבין שובר, דאי אין כותבין שובר, ליחוש דלמא מפקא לה לכתובתה וגביא בה! אמר רב: במקום שאין כותבין כתובה עסקי', ושמואל אמר: אף במקום שכותבין כתובה. ולשמואל כותבין שובר? אמר רב ענן, לדידי מיפרשא לי מיניה דמר שמואל: </w:t>
      </w:r>
      <w:r w:rsidR="008D7DEA">
        <w:rPr>
          <w:rStyle w:val="Style1Char"/>
          <w:rFonts w:hint="cs"/>
          <w:rtl/>
        </w:rPr>
        <w:t>(2)</w:t>
      </w:r>
      <w:r w:rsidRPr="00D2614D">
        <w:rPr>
          <w:rStyle w:val="Style1Char"/>
          <w:color w:val="00B050"/>
          <w:rtl/>
        </w:rPr>
        <w:t xml:space="preserve">במקום שאין כותבין ואמר כתבתי - עליו להביא ראיה, במקום שכותבין ואמרה לא כתב לי - עליה להביא ראיה. ואף רב הדר ביה, דאמר רב: בין במקום שכותבין, בין במקום שאין כותבין, גט - </w:t>
      </w:r>
      <w:r w:rsidR="001B562E">
        <w:rPr>
          <w:rStyle w:val="Style1Char"/>
          <w:rFonts w:hint="cs"/>
          <w:rtl/>
        </w:rPr>
        <w:t>(2)</w:t>
      </w:r>
      <w:r w:rsidRPr="00D2614D">
        <w:rPr>
          <w:rStyle w:val="Style1Char"/>
          <w:color w:val="00B050"/>
          <w:rtl/>
        </w:rPr>
        <w:t xml:space="preserve">גובה עיקר, כתובה - גובה תוספת, וכל הרוצה להשיב יבא וישיב. תנן: כתובה ואין עמה גט - היא אומרת אבד גיטי והוא אומר אבד שוברי, וכן בע"ח שהוציא שטר חוב ואין עמו פרוזבול - הרי אלו לא יפרעו; בשלמא לשמואל, מוקי לה במקום שאין כותבין ואמר כתבתי, דאמרי' ליה: אייתי ראיה, ואי לא מייתי ראיה, אמרינן ליה: זיל פרעיה; אלא לרב, נהי דעיקר לא גביא, תוספת מיהא תיגבי! אמר רב יוסף: הכא במאי עסקינן - </w:t>
      </w:r>
      <w:r w:rsidR="001B562E">
        <w:rPr>
          <w:rStyle w:val="Style1Char"/>
          <w:rFonts w:hint="cs"/>
          <w:rtl/>
        </w:rPr>
        <w:t>(3)</w:t>
      </w:r>
      <w:r w:rsidRPr="00D2614D">
        <w:rPr>
          <w:rStyle w:val="Style1Char"/>
          <w:color w:val="00B050"/>
          <w:rtl/>
        </w:rPr>
        <w:t xml:space="preserve">כשאין שם עדי גירושין, מיגו דיכול למימר לא גירשתיה, </w:t>
      </w:r>
    </w:p>
    <w:p w14:paraId="39A1A1DB" w14:textId="16A2154A" w:rsidR="008D7DEA" w:rsidRDefault="008D7DEA" w:rsidP="008D7DEA">
      <w:pPr>
        <w:pStyle w:val="Style1"/>
        <w:rPr>
          <w:rStyle w:val="Style1Char"/>
          <w:rtl/>
        </w:rPr>
      </w:pPr>
      <w:r>
        <w:rPr>
          <w:rStyle w:val="Style1Char"/>
          <w:rFonts w:hint="cs"/>
          <w:rtl/>
        </w:rPr>
        <w:t>1)[</w:t>
      </w:r>
      <w:r w:rsidRPr="008D7DEA">
        <w:rPr>
          <w:rStyle w:val="Style1Char"/>
          <w:rtl/>
        </w:rPr>
        <w:t>רמב</w:t>
      </w:r>
      <w:r w:rsidR="00736FB6">
        <w:rPr>
          <w:rStyle w:val="Style1Char"/>
          <w:rtl/>
        </w:rPr>
        <w:t>”ם \זרעים\</w:t>
      </w:r>
      <w:r w:rsidRPr="008D7DEA">
        <w:rPr>
          <w:rStyle w:val="Style1Char"/>
          <w:rtl/>
        </w:rPr>
        <w:t xml:space="preserve"> הלכות שמיטה ויובל פרק ט הלכה כד</w:t>
      </w:r>
      <w:r>
        <w:rPr>
          <w:rStyle w:val="Style1Char"/>
          <w:rFonts w:hint="cs"/>
          <w:rtl/>
        </w:rPr>
        <w:t xml:space="preserve">] </w:t>
      </w:r>
      <w:r w:rsidRPr="008D7DEA">
        <w:rPr>
          <w:rStyle w:val="Style1Char"/>
          <w:rtl/>
        </w:rPr>
        <w:t>המוציא שטר חוב אחר שביעית ואין עמו פרוזבול אבד חובו, ואם אמר היה לי ואבד נאמן, שמזמן הסכנה ואילך בעל חוב גובה שלא בפרוזבול, ולא עוד אלא כשיביא בעל חוב את שטרו או כשיבוא לתבוע במלוה על פה אומרים לנתבע שלם לו, ואם טען הנתבע ואמר איה פרוזבול שלו, אומרים לתובע היה לך פרוזבול ואבד אם אמר הן נאמן, ואם הודה שלא כתב פרוזבול אבד חובו והיתומים אינן צריכין פרוזבול.</w:t>
      </w:r>
    </w:p>
    <w:p w14:paraId="4D0DC3C6" w14:textId="77777777" w:rsidR="008D7DEA" w:rsidRPr="008D7DEA" w:rsidRDefault="008D7DEA" w:rsidP="008D7DEA">
      <w:pPr>
        <w:pStyle w:val="Style1"/>
      </w:pPr>
      <w:r>
        <w:rPr>
          <w:rStyle w:val="Style1Char"/>
          <w:rFonts w:hint="cs"/>
          <w:rtl/>
        </w:rPr>
        <w:t>1)[</w:t>
      </w:r>
      <w:r w:rsidRPr="008D7DEA">
        <w:rPr>
          <w:rStyle w:val="Style1Char"/>
          <w:rtl/>
        </w:rPr>
        <w:t>שולחן ערוך חושן משפט הלכות הלואה סימן סז סעיף לג</w:t>
      </w:r>
      <w:r>
        <w:rPr>
          <w:rStyle w:val="Style1Char"/>
          <w:rFonts w:hint="cs"/>
          <w:rtl/>
        </w:rPr>
        <w:t xml:space="preserve">] </w:t>
      </w:r>
      <w:r w:rsidRPr="008D7DEA">
        <w:rPr>
          <w:rtl/>
        </w:rPr>
        <w:t>נאמן אדם לומר פרוזבול היה לי ואבד ולא עוד אלא שפותחין לו שמא פרוזבול היה לך ואבד ואם אמר כן נאמן</w:t>
      </w:r>
      <w:r w:rsidRPr="008D7DEA">
        <w:t>:</w:t>
      </w:r>
    </w:p>
    <w:p w14:paraId="241C726D" w14:textId="0C38ACEF" w:rsidR="008D7DEA" w:rsidRDefault="008D7DEA" w:rsidP="008D7DEA">
      <w:pPr>
        <w:pStyle w:val="Style1"/>
        <w:rPr>
          <w:rtl/>
        </w:rPr>
      </w:pPr>
      <w:r w:rsidRPr="008D7DEA">
        <w:rPr>
          <w:rFonts w:hint="cs"/>
          <w:rtl/>
        </w:rPr>
        <w:t>הגה: ואם לא פתחו לו הב"ד ויצא מב"ד וחזר ואמר פרוזבול היה לי אם הוא קודם פסק דין נאמן אבל אם הוא לאחר פסק דין א"נ: (ב"י בשם הרשב"א)</w:t>
      </w:r>
      <w:r w:rsidRPr="008D7DEA">
        <w:t>:</w:t>
      </w:r>
    </w:p>
    <w:p w14:paraId="754EFA9A" w14:textId="4B6185D0" w:rsidR="001B562E" w:rsidRDefault="001B562E" w:rsidP="001B562E">
      <w:pPr>
        <w:pStyle w:val="Style1"/>
        <w:rPr>
          <w:rtl/>
        </w:rPr>
      </w:pPr>
      <w:r>
        <w:rPr>
          <w:rFonts w:hint="cs"/>
          <w:rtl/>
        </w:rPr>
        <w:t>2)[</w:t>
      </w:r>
      <w:r>
        <w:rPr>
          <w:rtl/>
        </w:rPr>
        <w:t>רמב</w:t>
      </w:r>
      <w:r w:rsidR="00213DA1">
        <w:rPr>
          <w:rtl/>
        </w:rPr>
        <w:t>”ם \נשים\</w:t>
      </w:r>
      <w:r>
        <w:rPr>
          <w:rtl/>
        </w:rPr>
        <w:t xml:space="preserve"> הלכות אישות פרק טז הלכה כח</w:t>
      </w:r>
      <w:r>
        <w:rPr>
          <w:rFonts w:hint="cs"/>
          <w:rtl/>
        </w:rPr>
        <w:t xml:space="preserve">] </w:t>
      </w:r>
      <w:r>
        <w:rPr>
          <w:rtl/>
        </w:rPr>
        <w:t>הוציאה גט ואין בידה שטר כתובה, אם דרך אותו מקום שלא יכתבו כתובה גובה עיקר כתובה בגט שבידה, ואם דרכן לכתוב כתובה אפילו עיקר אין לה עד שתוציא שטר כתובה כמו שביארנו, ונשבע הבעל שבועת הסת על טענתה ונפטר.</w:t>
      </w:r>
    </w:p>
    <w:p w14:paraId="7EEE0F80" w14:textId="2A1858FD" w:rsidR="001B562E" w:rsidRDefault="001B562E" w:rsidP="001B562E">
      <w:pPr>
        <w:pStyle w:val="Style1"/>
        <w:rPr>
          <w:rtl/>
        </w:rPr>
      </w:pPr>
      <w:r>
        <w:rPr>
          <w:rFonts w:hint="cs"/>
          <w:rtl/>
        </w:rPr>
        <w:t>2)[</w:t>
      </w:r>
      <w:r>
        <w:rPr>
          <w:rtl/>
        </w:rPr>
        <w:t>שולחן ערוך אבן העזר הלכות כתובות סימן ק סעיף ט</w:t>
      </w:r>
      <w:r>
        <w:rPr>
          <w:rFonts w:hint="cs"/>
          <w:rtl/>
        </w:rPr>
        <w:t xml:space="preserve">] </w:t>
      </w:r>
      <w:r w:rsidRPr="001B562E">
        <w:rPr>
          <w:rtl/>
        </w:rPr>
        <w:t>במקום שאין כותבים כתובה, והביאו עדים שכתב לה כתובה, יש מי שאומר שדינו כבמקום שכותבים ואינה גובה בלא כתובה; ויש מי שאומר שגובה בלא כתובה</w:t>
      </w:r>
      <w:r w:rsidRPr="001B562E">
        <w:t>:</w:t>
      </w:r>
    </w:p>
    <w:p w14:paraId="225B557E" w14:textId="19D524A1" w:rsidR="001B562E" w:rsidRDefault="001B562E" w:rsidP="001B562E">
      <w:pPr>
        <w:pStyle w:val="Style1"/>
        <w:rPr>
          <w:rtl/>
        </w:rPr>
      </w:pPr>
      <w:r>
        <w:rPr>
          <w:rFonts w:hint="cs"/>
          <w:rtl/>
        </w:rPr>
        <w:t>2)[</w:t>
      </w:r>
      <w:r>
        <w:rPr>
          <w:rtl/>
        </w:rPr>
        <w:t>שולחן ערוך אבן העזר הלכות כתובות סימן ק סעיף יב</w:t>
      </w:r>
      <w:r>
        <w:rPr>
          <w:rFonts w:hint="cs"/>
          <w:rtl/>
        </w:rPr>
        <w:t xml:space="preserve">] </w:t>
      </w:r>
      <w:r w:rsidRPr="001B562E">
        <w:rPr>
          <w:rtl/>
        </w:rPr>
        <w:t>הוציאה גט ואין עמה שטר כתובה, אם דרך אותו המקום שלא יכתבו כתובה, גובה עיקר כתובה בגט שבידה. ואם דרכן לכתב כתובה, אפלו עיקר אין לה עד שתוציא שטר כתובה, ונשבע הבעל שבועת הסת על טענתה, ונפטר</w:t>
      </w:r>
      <w:r w:rsidRPr="001B562E">
        <w:t>:</w:t>
      </w:r>
    </w:p>
    <w:p w14:paraId="20EAF0BC" w14:textId="6D35B81B" w:rsidR="001B562E" w:rsidRDefault="001B562E" w:rsidP="001B562E">
      <w:pPr>
        <w:pStyle w:val="Style1"/>
        <w:rPr>
          <w:rtl/>
        </w:rPr>
      </w:pPr>
      <w:r>
        <w:rPr>
          <w:rFonts w:hint="cs"/>
          <w:rtl/>
        </w:rPr>
        <w:t>3)[</w:t>
      </w:r>
      <w:r>
        <w:rPr>
          <w:rtl/>
        </w:rPr>
        <w:t>רמב</w:t>
      </w:r>
      <w:r w:rsidR="00213DA1">
        <w:rPr>
          <w:rtl/>
        </w:rPr>
        <w:t>”ם \נשים\</w:t>
      </w:r>
      <w:r>
        <w:rPr>
          <w:rtl/>
        </w:rPr>
        <w:t xml:space="preserve"> הלכות אישות פרק טז הלכה כו</w:t>
      </w:r>
      <w:r>
        <w:rPr>
          <w:rFonts w:hint="cs"/>
          <w:rtl/>
        </w:rPr>
        <w:t xml:space="preserve">] </w:t>
      </w:r>
      <w:r>
        <w:rPr>
          <w:rtl/>
        </w:rPr>
        <w:t>האשה שאמרה לבעלה גירשתני נאמנת, שאינה מעיזה פניה בפני בעלה, לפיכך האשה שהוציאה שטר כתובה ואין עמה גט ואמרה לבעלה גירשתני ואבד גיטי תן לי כתובתי והוא אומר לא גירשתיך חייב ליתן לה עיקר כתובה, אבל אינו נותן התוספת עד שתביא ראיה שגירש או שיצא גט עם הכתובה מתחת ידה. /השגת הראב"ד/ לפיכך האשה שהוציאה שטר כתובה ואין עמה גט ואמרה לבעלה גרשתני ואבד גיטי תן לי כתובתי והוא אומר לא גרשתי חייב ליתן לה עיקר כתובה. א"א דברים הללו במות טלואות הם ואין להם טעם אם אינה מעיזה פניה וכאילו גט יוצא מתחת ידה היא מה בין עיקר לתוספת והרי כתובתה יוצאת מתחת ידה שהכל כתוב בה ועוד משנתינו לא חילקה והוא מחלק, וכבר כתבתי כל הצורך לאחד מן החברים לבטל כל אלו הדברים, ואני אומר שלא אמרו נאמנת לא שתנשא לכתחלה ולא לגבות כתובתה אלא שתופסין בה קידושין או שמא שאם נשאת לא תצא וא"ת תינשא לכתחלה לא הנחת בת לאברהם אבינו יושבת תחת בעלה.</w:t>
      </w:r>
    </w:p>
    <w:p w14:paraId="699E664E" w14:textId="7B6933B5" w:rsidR="003C71A0" w:rsidRPr="001B562E" w:rsidRDefault="003C71A0" w:rsidP="003C71A0">
      <w:pPr>
        <w:pStyle w:val="Style1"/>
      </w:pPr>
      <w:r>
        <w:rPr>
          <w:rFonts w:hint="cs"/>
          <w:rtl/>
        </w:rPr>
        <w:t>3)[</w:t>
      </w:r>
      <w:r>
        <w:rPr>
          <w:rtl/>
        </w:rPr>
        <w:t>שולחן ערוך אבן העזר הלכות כתובות סימן ק סעיף יא</w:t>
      </w:r>
      <w:r>
        <w:rPr>
          <w:rFonts w:hint="cs"/>
          <w:rtl/>
        </w:rPr>
        <w:t xml:space="preserve">] </w:t>
      </w:r>
      <w:r>
        <w:rPr>
          <w:rtl/>
        </w:rPr>
        <w:t>אמר לה הבעל: כך היה גירשתי ונתתי לה כל הכתובה עיקר ותוספת וכתבה לי שובר ואבד שוברי, מתוך שיכול לומר: לא גרשתי, ולא יתחייב בתוספת, נאמן ומשביעה בנקיטת חפץ ונותן לה את העיקר, ונשבע הוא שבועת היסת על התוספת.</w:t>
      </w:r>
    </w:p>
    <w:p w14:paraId="031AA14E" w14:textId="79A57597" w:rsidR="001B562E" w:rsidRPr="001B562E" w:rsidRDefault="001B562E" w:rsidP="001B562E">
      <w:pPr>
        <w:pStyle w:val="Style1"/>
      </w:pPr>
    </w:p>
    <w:p w14:paraId="12CF17E1" w14:textId="583341EE" w:rsidR="001B562E" w:rsidRPr="001B562E" w:rsidRDefault="001B562E" w:rsidP="001B562E">
      <w:pPr>
        <w:pStyle w:val="Style1"/>
      </w:pPr>
    </w:p>
    <w:p w14:paraId="66D0ACDC" w14:textId="725E7DDC" w:rsidR="008D7DEA" w:rsidRPr="008D7DEA" w:rsidRDefault="008D7DEA" w:rsidP="008D7DEA">
      <w:pPr>
        <w:pStyle w:val="Style1"/>
        <w:rPr>
          <w:rStyle w:val="Style1Char"/>
        </w:rPr>
      </w:pPr>
    </w:p>
    <w:p w14:paraId="6A149037" w14:textId="6779830C" w:rsidR="008D7DEA" w:rsidRPr="008D7DEA" w:rsidRDefault="008D7DEA" w:rsidP="008D7DEA">
      <w:pPr>
        <w:pStyle w:val="Style1"/>
        <w:rPr>
          <w:rStyle w:val="Style1Char"/>
          <w:rtl/>
        </w:rPr>
      </w:pPr>
    </w:p>
    <w:p w14:paraId="61E5A930" w14:textId="77777777" w:rsidR="00C369CA" w:rsidRPr="008D7DEA" w:rsidRDefault="00C369CA" w:rsidP="008D7DEA">
      <w:pPr>
        <w:pStyle w:val="Style1"/>
        <w:rPr>
          <w:rStyle w:val="Style1Char"/>
          <w:rtl/>
        </w:rPr>
      </w:pPr>
    </w:p>
    <w:p w14:paraId="42988CE7" w14:textId="77777777" w:rsidR="00C369CA" w:rsidRDefault="00C369CA" w:rsidP="00C369CA">
      <w:pPr>
        <w:rPr>
          <w:rStyle w:val="Style1Char"/>
          <w:color w:val="00B050"/>
          <w:rtl/>
        </w:rPr>
      </w:pPr>
      <w:r>
        <w:rPr>
          <w:rStyle w:val="Style1Char"/>
          <w:color w:val="00B050"/>
          <w:rtl/>
        </w:rPr>
        <w:br w:type="page"/>
      </w:r>
    </w:p>
    <w:p w14:paraId="71624B10" w14:textId="474C1D00" w:rsidR="00C369CA" w:rsidRPr="00D2614D" w:rsidRDefault="00C369CA" w:rsidP="00C369CA">
      <w:pPr>
        <w:bidi/>
        <w:rPr>
          <w:rStyle w:val="Style1Char"/>
          <w:color w:val="00B050"/>
        </w:rPr>
      </w:pPr>
      <w:r w:rsidRPr="0019655F">
        <w:rPr>
          <w:rStyle w:val="Style1Char"/>
          <w:color w:val="00B050"/>
          <w:sz w:val="22"/>
          <w:szCs w:val="22"/>
          <w:highlight w:val="yellow"/>
          <w:rtl/>
        </w:rPr>
        <w:lastRenderedPageBreak/>
        <w:t>[דף פט עמוד ב]</w:t>
      </w:r>
      <w:r w:rsidRPr="0019655F">
        <w:rPr>
          <w:rStyle w:val="Style1Char"/>
          <w:color w:val="00B050"/>
          <w:sz w:val="22"/>
          <w:szCs w:val="22"/>
          <w:rtl/>
        </w:rPr>
        <w:t xml:space="preserve"> </w:t>
      </w:r>
      <w:r w:rsidRPr="00D2614D">
        <w:rPr>
          <w:rStyle w:val="Style1Char"/>
          <w:color w:val="00B050"/>
          <w:rtl/>
        </w:rPr>
        <w:t xml:space="preserve">יכול למימר גירשתיה ונתתי לה כתובתה. הא מדקתני סיפא, רשב"ג אומר: מן הסכנה ואילך, אשה גובה כתובתה שלא בגט, ובעל חוב שלא בפרוזבול - בדאיכא עדי גירושין עסקינן, דאי ליכא עדי גירושין, במאי גביא? אלא כולה רשב"ג היא, וחסורי מיחסרא והכי קתני: הרי אלו לא יפרעו, בד"א - כשאין שם עדי גירושין, אבל יש שם עדי גירושין גביא תוספת, ועיקר - אי מפקא גיטא גביא, ואי לא מפקא גיטא לא גביא; </w:t>
      </w:r>
      <w:r w:rsidR="003C71A0">
        <w:rPr>
          <w:rStyle w:val="Style1Char"/>
          <w:rFonts w:hint="cs"/>
          <w:rtl/>
        </w:rPr>
        <w:t>(1)</w:t>
      </w:r>
      <w:r w:rsidRPr="00D2614D">
        <w:rPr>
          <w:rStyle w:val="Style1Char"/>
          <w:color w:val="00B050"/>
          <w:rtl/>
        </w:rPr>
        <w:t xml:space="preserve">ומן הסכנה ואילך, אף על גב דלא מפקא גיטא גביא, שרשב"ג אומר: מסכנה ואילך, אשה גובה כתובתה שלא בגט, ובעל חוב שלא בפרוזבול. אמרי ליה רב כהנא ורב אסי לרב: לדידך דאמרת גט גובה עיקר, אלמנה מן הנשואין במאי גביא? בעדי מיתה, וליחוש דלמא גירשה, ומפקא לגיטא וגביא ביה! ביושבת תחת בעלה. ודלמא סמוך למיתה גירשה! איהו הוא דאפסיד אנפשיה. אלמנה מן האירוסין במאי גביא? בעדי מיתה, וליחוש דלמא גירשה, ומפקא גיטא וגביא! אלא, במקום דלא אפשר כתבינן שובר, דאי לא תימא הכי, עדי מיתה גופייהו, ניחוש דלמא מפקא עדי מיתה בהאי בי דינא וגביא, והדר מפקא בבי דינא אחרינא וגביא! אלא ודאי, במקום דלא אפשר כתבינן שובר. אמר ליה מר קשישא בריה דרב חסדא לרב אשי: אלמנה מן האירוסין מנלן דאית לה כתובה? אילימא מהא: נתארמלה או נתגרשה, בין מן האירוסין בין מן הנשואין - גובה את הכל; דלמא דכתב לה! וכ"ת, אי כתב לה מאי למימרא? לאפוקי מדרבי אלעזר בן עזריה, דאמר: שלא כתב לה אלא ע"מ שהוא כונסה. דיקא נמי, דקתני: גובה את הכל; אי אמרת בשלמא דכתב לה, משום הכי גובה את הכל, אלא אי אמרת דלא כתב לה, מאי גובה את הכל? מנה מאתים הוא דאית לה. ואלא מדתני רב חייא בר אבין: אשתו ארוסה לא אונן ולא מיטמא לה, וכן היא לא אוננת ולא מיטמאה לו, מתה - אינו יורשה, מת הוא - גובה כתובתה; דלמא דכתב לה! וכ"ת, אי כתב לה מאי למימרא? מתה אינו יורשה איצטריכא ליה. א"ל רב נחמן לרב הונא: לרב דאמר גט גובה עיקר, ליחוש דלמא מפקא גיטא בהאי בי דינא וגביא, והדרא מפקא בבי דינא אחרינא וגביא! וכי תימא דקרעינן ליה, אמרה בעינא לאנסובי ביה. דקרעינן ליה, וכתבינן אגביה: גיטא דנן קרענוהי, לאו משום דגיטא פסול הוא, אלא דלא תיהדר ותיגבי ביה זמנא אחרינא. </w:t>
      </w:r>
    </w:p>
    <w:p w14:paraId="62E69A26" w14:textId="53D478BB" w:rsidR="00C369CA" w:rsidRDefault="00C369CA" w:rsidP="00C369CA">
      <w:pPr>
        <w:bidi/>
        <w:rPr>
          <w:rStyle w:val="Style1Char"/>
          <w:color w:val="auto"/>
          <w:sz w:val="22"/>
          <w:szCs w:val="22"/>
          <w:rtl/>
        </w:rPr>
      </w:pPr>
      <w:r w:rsidRPr="00392584">
        <w:rPr>
          <w:rStyle w:val="Style1Char"/>
          <w:color w:val="auto"/>
          <w:sz w:val="22"/>
          <w:szCs w:val="22"/>
          <w:rtl/>
        </w:rPr>
        <w:t xml:space="preserve">מתני'. </w:t>
      </w:r>
      <w:r w:rsidR="00BD1DC0">
        <w:rPr>
          <w:rStyle w:val="Style1Char"/>
          <w:rFonts w:hint="cs"/>
          <w:rtl/>
        </w:rPr>
        <w:t>(2)</w:t>
      </w:r>
      <w:r w:rsidRPr="00392584">
        <w:rPr>
          <w:rStyle w:val="Style1Char"/>
          <w:color w:val="auto"/>
          <w:sz w:val="22"/>
          <w:szCs w:val="22"/>
          <w:rtl/>
        </w:rPr>
        <w:t xml:space="preserve">שני גיטין ושתי כתובות - גובה שתי כתובות; </w:t>
      </w:r>
      <w:r w:rsidR="00BD1DC0">
        <w:rPr>
          <w:rStyle w:val="Style1Char"/>
          <w:rFonts w:hint="cs"/>
          <w:rtl/>
        </w:rPr>
        <w:t xml:space="preserve">(2.1, </w:t>
      </w:r>
      <w:r w:rsidR="00E707EF">
        <w:rPr>
          <w:rStyle w:val="Style1Char"/>
          <w:rFonts w:hint="cs"/>
          <w:rtl/>
        </w:rPr>
        <w:t>3</w:t>
      </w:r>
      <w:r w:rsidR="00BD1DC0">
        <w:rPr>
          <w:rStyle w:val="Style1Char"/>
          <w:rFonts w:hint="cs"/>
          <w:rtl/>
        </w:rPr>
        <w:t>)</w:t>
      </w:r>
      <w:r w:rsidRPr="00392584">
        <w:rPr>
          <w:rStyle w:val="Style1Char"/>
          <w:color w:val="auto"/>
          <w:sz w:val="22"/>
          <w:szCs w:val="22"/>
          <w:rtl/>
        </w:rPr>
        <w:t xml:space="preserve">שתי כתובות וגט אחד, או כתובה ושני גטין, או כתובה וגט ומיתה - אינה גובה אלא כתובה אחת, שהמגרש את אשתו והחזירה, ע"מ כתובה הראשונה מחזירה. </w:t>
      </w:r>
    </w:p>
    <w:p w14:paraId="43B48F07" w14:textId="015AD17C" w:rsidR="00C369CA" w:rsidRDefault="00C369CA" w:rsidP="00C369CA">
      <w:pPr>
        <w:bidi/>
        <w:rPr>
          <w:rStyle w:val="Style1Char"/>
          <w:color w:val="auto"/>
          <w:rtl/>
        </w:rPr>
      </w:pPr>
      <w:r w:rsidRPr="002159B6">
        <w:rPr>
          <w:rStyle w:val="Style1Char"/>
          <w:color w:val="auto"/>
          <w:sz w:val="22"/>
          <w:szCs w:val="22"/>
          <w:rtl/>
        </w:rPr>
        <w:t>גמ'.</w:t>
      </w:r>
      <w:r w:rsidRPr="00AB5700">
        <w:rPr>
          <w:rStyle w:val="Style1Char"/>
          <w:sz w:val="22"/>
          <w:szCs w:val="22"/>
          <w:rtl/>
        </w:rPr>
        <w:t xml:space="preserve"> </w:t>
      </w:r>
      <w:r w:rsidRPr="00AB5700">
        <w:rPr>
          <w:rStyle w:val="Style1Char"/>
          <w:color w:val="C00000"/>
          <w:sz w:val="22"/>
          <w:szCs w:val="22"/>
          <w:rtl/>
        </w:rPr>
        <w:t xml:space="preserve">שתי כתובות וגט אינה גובה אלא כתובה אחת </w:t>
      </w:r>
      <w:r w:rsidRPr="002159B6">
        <w:rPr>
          <w:rStyle w:val="Style1Char"/>
          <w:color w:val="auto"/>
          <w:sz w:val="22"/>
          <w:szCs w:val="22"/>
          <w:rtl/>
        </w:rPr>
        <w:t>אי בעיא בהאי גביא, אי בעיא בהאי גביא; לימא, תיהוי תיובתא דרב נחמן</w:t>
      </w:r>
      <w:r w:rsidRPr="00D2614D">
        <w:rPr>
          <w:rStyle w:val="Style1Char"/>
          <w:color w:val="00B050"/>
          <w:rtl/>
        </w:rPr>
        <w:t xml:space="preserve"> אמר שמואל, </w:t>
      </w:r>
      <w:r w:rsidRPr="002159B6">
        <w:rPr>
          <w:rStyle w:val="Style1Char"/>
          <w:color w:val="auto"/>
          <w:sz w:val="22"/>
          <w:szCs w:val="22"/>
          <w:rtl/>
        </w:rPr>
        <w:t xml:space="preserve">דאמר ר"נ </w:t>
      </w:r>
      <w:r w:rsidRPr="00D2614D">
        <w:rPr>
          <w:rStyle w:val="Style1Char"/>
          <w:color w:val="00B050"/>
          <w:rtl/>
        </w:rPr>
        <w:t xml:space="preserve">אמר שמואל: </w:t>
      </w:r>
      <w:r w:rsidRPr="002159B6">
        <w:rPr>
          <w:rStyle w:val="Style1Char"/>
          <w:color w:val="auto"/>
          <w:sz w:val="22"/>
          <w:szCs w:val="22"/>
          <w:rtl/>
        </w:rPr>
        <w:t>שני שטרות היוצאין בזה אחר זה - ביטל שני את הראשון! לאו אתמר עלה, אמר רב פפא: ומודה רב נחמן, דאי אוסיף ביה דיקלא - לתוספת כתביה</w:t>
      </w:r>
      <w:r w:rsidRPr="002159B6">
        <w:rPr>
          <w:rStyle w:val="Style1Char"/>
          <w:color w:val="auto"/>
          <w:rtl/>
        </w:rPr>
        <w:t xml:space="preserve"> </w:t>
      </w:r>
      <w:r w:rsidRPr="00AB5700">
        <w:rPr>
          <w:rStyle w:val="Style1Char"/>
          <w:color w:val="C00000"/>
          <w:sz w:val="22"/>
          <w:szCs w:val="22"/>
          <w:rtl/>
        </w:rPr>
        <w:t>ושעבודא דקמא קאים</w:t>
      </w:r>
      <w:r w:rsidRPr="00AB5700">
        <w:rPr>
          <w:rStyle w:val="Style1Char"/>
          <w:sz w:val="22"/>
          <w:szCs w:val="22"/>
          <w:rtl/>
        </w:rPr>
        <w:t xml:space="preserve">? </w:t>
      </w:r>
      <w:r w:rsidRPr="002159B6">
        <w:rPr>
          <w:rStyle w:val="Style1Char"/>
          <w:color w:val="auto"/>
          <w:sz w:val="22"/>
          <w:szCs w:val="22"/>
          <w:rtl/>
        </w:rPr>
        <w:t>הכא נמי בדאוסיף לה</w:t>
      </w:r>
      <w:r w:rsidRPr="002159B6">
        <w:rPr>
          <w:rStyle w:val="Style1Char"/>
          <w:color w:val="auto"/>
          <w:rtl/>
        </w:rPr>
        <w:t xml:space="preserve"> </w:t>
      </w:r>
      <w:r w:rsidRPr="00E53B77">
        <w:rPr>
          <w:rStyle w:val="Style1Char"/>
          <w:color w:val="4472C4" w:themeColor="accent1"/>
          <w:rtl/>
        </w:rPr>
        <w:t>הלכך אי בעיא למיגבא (קמא) מזמן קמא גביא בלא תוס' ואי בעי למיגבא תוספת גביא מזמן בתרא</w:t>
      </w:r>
      <w:r>
        <w:rPr>
          <w:rStyle w:val="Style1Char"/>
          <w:rFonts w:hint="cs"/>
          <w:color w:val="4472C4" w:themeColor="accent1"/>
          <w:rtl/>
        </w:rPr>
        <w:t xml:space="preserve"> </w:t>
      </w:r>
      <w:r w:rsidRPr="00E53B77">
        <w:rPr>
          <w:rStyle w:val="Style1Char"/>
          <w:color w:val="4472C4" w:themeColor="accent1"/>
        </w:rPr>
        <w:t>:</w:t>
      </w:r>
      <w:r w:rsidRPr="00D205EB">
        <w:rPr>
          <w:rStyle w:val="Style1Char"/>
          <w:color w:val="C00000"/>
          <w:rtl/>
        </w:rPr>
        <w:t>גרסינן בפרק נערה שנתפתתה איתמר הוציאה עליו שתי כתובות אחת של מאתים ואחת של ג' מאות אמר רב הונא באת לגבות מאתים גובה מזמן ראשון ג' מאות גובה מזמן שני ואמרינן חמש מאות מ"ט לא גביא דכיון דלא כתב לה אוסיפת לך תלת מאה אמאתים הכי קאמר לה אי מזמן ראשון גבית גבי מאתים ואי מזמן שני גבית גבי תלת מאה ומדלא כתב לה נמי אוסיפת לך מאה אמאתים אחולי אחילתא לשעבודא קמא הלכך כי גביא תלת מאה גביא מזמן שני:</w:t>
      </w:r>
      <w:r w:rsidRPr="00D2614D">
        <w:rPr>
          <w:rStyle w:val="Style1Char"/>
          <w:color w:val="00B050"/>
          <w:rtl/>
        </w:rPr>
        <w:t xml:space="preserve">. </w:t>
      </w:r>
      <w:r w:rsidRPr="002159B6">
        <w:rPr>
          <w:rStyle w:val="Style1Char"/>
          <w:color w:val="auto"/>
          <w:sz w:val="22"/>
          <w:szCs w:val="22"/>
          <w:rtl/>
        </w:rPr>
        <w:t>ת"ר</w:t>
      </w:r>
      <w:r w:rsidRPr="006651F7">
        <w:rPr>
          <w:rStyle w:val="Style1Char"/>
          <w:sz w:val="22"/>
          <w:szCs w:val="22"/>
          <w:rtl/>
        </w:rPr>
        <w:t xml:space="preserve">. </w:t>
      </w:r>
      <w:r w:rsidR="00E707EF">
        <w:rPr>
          <w:rStyle w:val="Style1Char"/>
          <w:rFonts w:hint="cs"/>
          <w:rtl/>
        </w:rPr>
        <w:t>(4)</w:t>
      </w:r>
      <w:r w:rsidRPr="006651F7">
        <w:rPr>
          <w:rStyle w:val="Style1Char"/>
          <w:color w:val="00B050"/>
          <w:rtl/>
        </w:rPr>
        <w:t xml:space="preserve">הוציאה </w:t>
      </w:r>
      <w:r w:rsidRPr="002159B6">
        <w:rPr>
          <w:rStyle w:val="Style1Char"/>
          <w:color w:val="auto"/>
          <w:sz w:val="22"/>
          <w:szCs w:val="22"/>
          <w:rtl/>
        </w:rPr>
        <w:t>גט וכתובה ומיתה</w:t>
      </w:r>
      <w:r w:rsidRPr="002159B6">
        <w:rPr>
          <w:rStyle w:val="Style1Char"/>
          <w:color w:val="auto"/>
          <w:rtl/>
        </w:rPr>
        <w:t xml:space="preserve">, </w:t>
      </w:r>
    </w:p>
    <w:p w14:paraId="5F6755A1" w14:textId="61D73606" w:rsidR="003C71A0" w:rsidRPr="003C71A0" w:rsidRDefault="003C71A0" w:rsidP="003C71A0">
      <w:pPr>
        <w:pStyle w:val="Style1"/>
        <w:rPr>
          <w:rStyle w:val="Style1Char"/>
        </w:rPr>
      </w:pPr>
      <w:r>
        <w:rPr>
          <w:rStyle w:val="Style1Char"/>
          <w:rFonts w:hint="cs"/>
          <w:rtl/>
        </w:rPr>
        <w:t>1)[</w:t>
      </w:r>
      <w:r w:rsidRPr="003C71A0">
        <w:rPr>
          <w:rStyle w:val="Style1Char"/>
          <w:rtl/>
        </w:rPr>
        <w:t>טור אבן העזר הלכות כתובות סימן ק</w:t>
      </w:r>
      <w:r>
        <w:rPr>
          <w:rStyle w:val="Style1Char"/>
          <w:rFonts w:hint="cs"/>
          <w:rtl/>
        </w:rPr>
        <w:t xml:space="preserve">] </w:t>
      </w:r>
      <w:r w:rsidRPr="003C71A0">
        <w:rPr>
          <w:rStyle w:val="Style1Char"/>
          <w:rtl/>
        </w:rPr>
        <w:t xml:space="preserve">אין הכתובה נגבית מדינא דגמרא אלא ממקרקעי </w:t>
      </w:r>
      <w:r>
        <w:rPr>
          <w:rStyle w:val="Style1Char"/>
          <w:rFonts w:hint="cs"/>
        </w:rPr>
        <w:t>‍</w:t>
      </w:r>
      <w:r w:rsidRPr="003C71A0">
        <w:rPr>
          <w:rStyle w:val="Style1Char"/>
          <w:rtl/>
        </w:rPr>
        <w:t xml:space="preserve">ומן הזיבורית שבנכסיו </w:t>
      </w:r>
      <w:r>
        <w:rPr>
          <w:rStyle w:val="Style1Char"/>
          <w:rFonts w:hint="cs"/>
        </w:rPr>
        <w:t>‍</w:t>
      </w:r>
      <w:r w:rsidRPr="003C71A0">
        <w:rPr>
          <w:rStyle w:val="Style1Char"/>
          <w:rtl/>
        </w:rPr>
        <w:t xml:space="preserve">ולא משבח שהשביחו הנכסים אחר מותו לא שנא השביחו יורשין ול"ש השביחו לקוחות ובאה לטרוף מהם </w:t>
      </w:r>
      <w:r>
        <w:rPr>
          <w:rStyle w:val="Style1Char"/>
          <w:rFonts w:hint="cs"/>
        </w:rPr>
        <w:t>‍</w:t>
      </w:r>
      <w:r w:rsidRPr="003C71A0">
        <w:rPr>
          <w:rStyle w:val="Style1Char"/>
          <w:rtl/>
        </w:rPr>
        <w:t>ולא מהראוי</w:t>
      </w:r>
      <w:r>
        <w:rPr>
          <w:rStyle w:val="Style1Char"/>
          <w:rFonts w:hint="cs"/>
        </w:rPr>
        <w:t>‍</w:t>
      </w:r>
      <w:r w:rsidRPr="003C71A0">
        <w:rPr>
          <w:rStyle w:val="Style1Char"/>
          <w:rtl/>
        </w:rPr>
        <w:t xml:space="preserve"> אבל במלוה שחייבים לבעל </w:t>
      </w:r>
      <w:r>
        <w:rPr>
          <w:rStyle w:val="Style1Char"/>
          <w:rFonts w:hint="cs"/>
        </w:rPr>
        <w:t>‍</w:t>
      </w:r>
      <w:r w:rsidRPr="003C71A0">
        <w:rPr>
          <w:rStyle w:val="Style1Char"/>
          <w:rtl/>
        </w:rPr>
        <w:t>נקרא מוחזק ונגבית מהם אפי' הוא על העכו"ם ומתקנת הגאונים</w:t>
      </w:r>
      <w:r w:rsidR="00283B7E">
        <w:rPr>
          <w:rStyle w:val="Style1Char"/>
          <w:rFonts w:hint="cs"/>
          <w:rtl/>
        </w:rPr>
        <w:t xml:space="preserve"> </w:t>
      </w:r>
      <w:r>
        <w:rPr>
          <w:rStyle w:val="Style1Char"/>
          <w:rFonts w:hint="cs"/>
        </w:rPr>
        <w:t>‍</w:t>
      </w:r>
      <w:r w:rsidRPr="003C71A0">
        <w:rPr>
          <w:rStyle w:val="Style1Char"/>
          <w:rtl/>
        </w:rPr>
        <w:t xml:space="preserve">נגבית ממטלטלים וה"ה נמי לכל תנאיה חוץ מכתובת בנין דכרין כדלקמן לפיכך אם גבו היורשים מעות בחובת אביהן </w:t>
      </w:r>
      <w:r>
        <w:rPr>
          <w:rStyle w:val="Style1Char"/>
          <w:rFonts w:hint="cs"/>
        </w:rPr>
        <w:t>‍</w:t>
      </w:r>
      <w:r w:rsidRPr="003C71A0">
        <w:rPr>
          <w:rStyle w:val="Style1Char"/>
          <w:rtl/>
        </w:rPr>
        <w:t xml:space="preserve">גובה מהן ודוקא מטלטלי דבני חרי אבל מכרם הבעל </w:t>
      </w:r>
      <w:r>
        <w:rPr>
          <w:rStyle w:val="Style1Char"/>
          <w:rFonts w:hint="cs"/>
        </w:rPr>
        <w:t>‍</w:t>
      </w:r>
      <w:r w:rsidRPr="003C71A0">
        <w:rPr>
          <w:rStyle w:val="Style1Char"/>
          <w:rtl/>
        </w:rPr>
        <w:t xml:space="preserve">או נתנם במתנת בריא אינה גובה מהם </w:t>
      </w:r>
      <w:r>
        <w:rPr>
          <w:rStyle w:val="Style1Char"/>
          <w:rFonts w:hint="cs"/>
        </w:rPr>
        <w:t>‍</w:t>
      </w:r>
      <w:r w:rsidRPr="003C71A0">
        <w:rPr>
          <w:rStyle w:val="Style1Char"/>
          <w:rtl/>
        </w:rPr>
        <w:t xml:space="preserve">ואם מכרום היורשים </w:t>
      </w:r>
      <w:r>
        <w:rPr>
          <w:rStyle w:val="Style1Char"/>
          <w:rFonts w:hint="cs"/>
        </w:rPr>
        <w:t>‍</w:t>
      </w:r>
      <w:r w:rsidRPr="003C71A0">
        <w:rPr>
          <w:rStyle w:val="Style1Char"/>
          <w:rtl/>
        </w:rPr>
        <w:t xml:space="preserve">אחרי מותו גובה מהם כ' הרמב"ם נהגו לכתוב בכל הכתובות מקרקעי ומטלטלי </w:t>
      </w:r>
      <w:r>
        <w:rPr>
          <w:rStyle w:val="Style1Char"/>
          <w:rFonts w:hint="cs"/>
        </w:rPr>
        <w:t>‍</w:t>
      </w:r>
      <w:r w:rsidRPr="003C71A0">
        <w:rPr>
          <w:rStyle w:val="Style1Char"/>
          <w:rtl/>
        </w:rPr>
        <w:t xml:space="preserve">ודבר זה תיקון גדול הוא ואנשים חכמים ונבונים נהגו כן והוא ככל תנאי שבממון שהוא קיים ונמצא האלמנה גובה מן המטלטלים בתנאי זה ולא מתקנת האחרונים </w:t>
      </w:r>
      <w:r>
        <w:rPr>
          <w:rStyle w:val="Style1Char"/>
          <w:rFonts w:hint="cs"/>
        </w:rPr>
        <w:t>‍</w:t>
      </w:r>
      <w:r w:rsidRPr="003C71A0">
        <w:rPr>
          <w:rStyle w:val="Style1Char"/>
          <w:rtl/>
        </w:rPr>
        <w:t>הרי שלא כתב כן בכתובתה אלא שנשא סתם אם הוא יודע בתקנת הגאונים גובה ואם לאו או שנסתפק לנו הדבר מתיישבים בדבר זה שאין כח בתקנת הגאונים לדון בה לפי שלא נתפרסם הדבר בדין תנאי כתובה שהוא תקנת סנהדרי גדולה ועד שנוציא בה ממון מן היורשים ע"כ:</w:t>
      </w:r>
    </w:p>
    <w:p w14:paraId="1A4CF70E" w14:textId="38AD997F" w:rsidR="003C71A0" w:rsidRPr="003C71A0" w:rsidRDefault="003C71A0" w:rsidP="003C71A0">
      <w:pPr>
        <w:pStyle w:val="Style1"/>
        <w:rPr>
          <w:rStyle w:val="Style1Char"/>
        </w:rPr>
      </w:pPr>
      <w:r w:rsidRPr="003C71A0">
        <w:rPr>
          <w:rStyle w:val="Style1Char"/>
          <w:rtl/>
        </w:rPr>
        <w:t xml:space="preserve">אם מוצאים קרקע בן חורין </w:t>
      </w:r>
      <w:r>
        <w:rPr>
          <w:rStyle w:val="Style1Char"/>
          <w:rFonts w:hint="cs"/>
        </w:rPr>
        <w:t>‍</w:t>
      </w:r>
      <w:r w:rsidRPr="003C71A0">
        <w:rPr>
          <w:rStyle w:val="Style1Char"/>
          <w:rtl/>
        </w:rPr>
        <w:t xml:space="preserve">מוכרין ונותנין לה ואם לאו טורפת ממשועבדים לו </w:t>
      </w:r>
      <w:r>
        <w:rPr>
          <w:rStyle w:val="Style1Char"/>
          <w:rFonts w:hint="cs"/>
        </w:rPr>
        <w:t>‍</w:t>
      </w:r>
      <w:r w:rsidRPr="003C71A0">
        <w:rPr>
          <w:rStyle w:val="Style1Char"/>
          <w:rtl/>
        </w:rPr>
        <w:t xml:space="preserve">שמכר או שנתן ל"ש נתן במתנת בריא או שכיב מרע שהרי כל נכסיו אחראין וערבאין לכתובתה אפי' אם נתרצית בקנינו שקנו מידה אינו מועיל אלא א"כ קנו ממנו תחילה </w:t>
      </w:r>
      <w:r>
        <w:rPr>
          <w:rStyle w:val="Style1Char"/>
          <w:rFonts w:hint="cs"/>
        </w:rPr>
        <w:t>‍</w:t>
      </w:r>
      <w:r w:rsidRPr="003C71A0">
        <w:rPr>
          <w:rStyle w:val="Style1Char"/>
          <w:rtl/>
        </w:rPr>
        <w:t xml:space="preserve">כדפי' לעיל מכר לאחד קרקע ולא נתרצית שלא רצתה לחתום לו ואחרי כן מכר לאחר לא שנא אותו קרקע ולא שנא קרקע אחרת וחתמה לו </w:t>
      </w:r>
      <w:r>
        <w:rPr>
          <w:rStyle w:val="Style1Char"/>
          <w:rFonts w:hint="cs"/>
        </w:rPr>
        <w:t>‍</w:t>
      </w:r>
      <w:r w:rsidRPr="003C71A0">
        <w:rPr>
          <w:rStyle w:val="Style1Char"/>
          <w:rtl/>
        </w:rPr>
        <w:t xml:space="preserve">קנה ואינה גובה ממנו שאינה יכולה לומר נחת רוח עשיתי לבעלי שאם היתה רוצה לעשות נחת רוח היתה עושה לראשון ולענין </w:t>
      </w:r>
      <w:r>
        <w:rPr>
          <w:rStyle w:val="Style1Char"/>
          <w:rFonts w:hint="cs"/>
        </w:rPr>
        <w:t>‍</w:t>
      </w:r>
      <w:r w:rsidRPr="003C71A0">
        <w:rPr>
          <w:rStyle w:val="Style1Char"/>
          <w:rtl/>
        </w:rPr>
        <w:t xml:space="preserve">אם יכולה לגבות מן הראשון איכא פלוגתא </w:t>
      </w:r>
      <w:r>
        <w:rPr>
          <w:rStyle w:val="Style1Char"/>
          <w:rFonts w:hint="cs"/>
        </w:rPr>
        <w:t>‍</w:t>
      </w:r>
      <w:r w:rsidRPr="003C71A0">
        <w:rPr>
          <w:rStyle w:val="Style1Char"/>
          <w:rtl/>
        </w:rPr>
        <w:t xml:space="preserve">לרש"י אינה גובה ממנו וכ"כ הרמב"ם ובעל העיטור </w:t>
      </w:r>
      <w:r>
        <w:rPr>
          <w:rStyle w:val="Style1Char"/>
          <w:rFonts w:hint="cs"/>
        </w:rPr>
        <w:t>‍</w:t>
      </w:r>
      <w:r w:rsidRPr="003C71A0">
        <w:rPr>
          <w:rStyle w:val="Style1Char"/>
          <w:rtl/>
        </w:rPr>
        <w:t xml:space="preserve">ולר"ח ולר"ת גובה ממנו ולזה הסכים א"א הרא"ש מי שהיה נשוי ב' נשים ומכר שדהו וכתבה הראשונה ללוקח דין ודברים אין לי עמך בענין שמועיל כגון שלקח מן האשה תחלה ומת השנייה מוציאה מיד הלוקח והראשונה מיד השנייה </w:t>
      </w:r>
      <w:r>
        <w:rPr>
          <w:rStyle w:val="Style1Char"/>
          <w:rFonts w:hint="cs"/>
        </w:rPr>
        <w:t>‍</w:t>
      </w:r>
      <w:r w:rsidRPr="003C71A0">
        <w:rPr>
          <w:rStyle w:val="Style1Char"/>
          <w:rtl/>
        </w:rPr>
        <w:t xml:space="preserve">שהיא קדמה ולא הוסר שיעבודה רק מלוקח והלוקח מיד הראשונה שהרי הסירה שיעבודה ממנה וחוזרת חלילה עד שיעשו פשרה ביניהם </w:t>
      </w:r>
      <w:r>
        <w:rPr>
          <w:rStyle w:val="Style1Char"/>
          <w:rFonts w:hint="cs"/>
        </w:rPr>
        <w:t>‍</w:t>
      </w:r>
      <w:r w:rsidRPr="003C71A0">
        <w:rPr>
          <w:rStyle w:val="Style1Char"/>
          <w:rtl/>
        </w:rPr>
        <w:t xml:space="preserve">שאלה לא"א הרא"ש ז"ל ששאלת איש ואשה שמכרו בית לאחד וכתבו לו בשטר שהודו המוכרים שלא שיירו לעצמם במכר זה שום זכות בעולם ואח"כ יצא על המוכר שטר חוב מוקדם למכר והבע"ח הוציא הקרקע מיד הלוקח בכח שטרו </w:t>
      </w:r>
      <w:r>
        <w:rPr>
          <w:rStyle w:val="Style1Char"/>
          <w:rFonts w:hint="cs"/>
        </w:rPr>
        <w:t>‍</w:t>
      </w:r>
      <w:r w:rsidRPr="003C71A0">
        <w:rPr>
          <w:rStyle w:val="Style1Char"/>
          <w:rtl/>
        </w:rPr>
        <w:t xml:space="preserve">והאשה מוציאה שטר נדוניתה שהיה מוקדמת לזה החוב כדי לקיים המקח ביד הלוקח והבעל חוב טוען שכבר סלקה זכות נדוניתה מעל זה הקרקע והיא טוענת אף על פי שסלקתי זכותי לענין שלא אתבענו אבל כל זכות שהיה לי בקרקע מכרתי לו וזה זכותי שהיה חובי מוקדם לשלך תשובה הדין עמה שלא סלקה מעל הקרקע אלא לגבי הקונה שלא תוכל להוציאו בשטר נדוניא אבל לגבי אחר לא סלקה זכותה והוי דינא הכי בעל חוב המוקדם מוציא מיד הלוקח והאשה מיד בעל חוב בנדוניתה והלוקח מן האשה וב"ח מיד הלוקח וחוזרין חלילה </w:t>
      </w:r>
      <w:r>
        <w:rPr>
          <w:rStyle w:val="Style1Char"/>
          <w:rFonts w:hint="cs"/>
        </w:rPr>
        <w:t>‍</w:t>
      </w:r>
      <w:r w:rsidRPr="003C71A0">
        <w:rPr>
          <w:rStyle w:val="Style1Char"/>
          <w:rtl/>
        </w:rPr>
        <w:t xml:space="preserve">עד שיעשו פשרה ביניהם והלוקח עומד במקום האשה ובמקומו נמצא הפשרה עשויה בנדון זה </w:t>
      </w:r>
      <w:r>
        <w:rPr>
          <w:rStyle w:val="Style1Char"/>
          <w:rFonts w:hint="cs"/>
        </w:rPr>
        <w:t>‍</w:t>
      </w:r>
      <w:r w:rsidRPr="003C71A0">
        <w:rPr>
          <w:rStyle w:val="Style1Char"/>
          <w:rtl/>
        </w:rPr>
        <w:t xml:space="preserve">כי הב"ח יוציאנו מיד הלוקח והלוקח יוציאנו מיד ב"ח בשטר נדוניתה שמסרה לו האשה וישאר כך הענין כי לא יוסיף אח"כ לזכות מכח הקנייה </w:t>
      </w:r>
      <w:r>
        <w:rPr>
          <w:rStyle w:val="Style1Char"/>
          <w:rFonts w:hint="cs"/>
        </w:rPr>
        <w:t>‍</w:t>
      </w:r>
      <w:r w:rsidRPr="003C71A0">
        <w:rPr>
          <w:rStyle w:val="Style1Char"/>
          <w:rtl/>
        </w:rPr>
        <w:t xml:space="preserve">ואין הכתובה נגבית אלא בפחות שבמטבעות כגון אם נשא במקום אחר וגירשה במקום אחר אם מעות של מקום הנישואין טובים מהמעות של מקום הגירושין נותן לה ממעות של מקום הגירושין ואם מעות מקום הגירושין טובים משל מקום הנישואין נותן לה ממעות מקום הנישואין אף על פי שבשאר חוב נותן לעולם ממעות של המקום שנשתעבד בו </w:t>
      </w:r>
      <w:r>
        <w:rPr>
          <w:rStyle w:val="Style1Char"/>
          <w:rFonts w:hint="cs"/>
        </w:rPr>
        <w:t>‍</w:t>
      </w:r>
      <w:r w:rsidRPr="003C71A0">
        <w:rPr>
          <w:rStyle w:val="Style1Char"/>
          <w:rtl/>
        </w:rPr>
        <w:t xml:space="preserve">בכתובה הקילו ור"ת כתב שגם כתובה נגבית לעולם </w:t>
      </w:r>
      <w:r>
        <w:rPr>
          <w:rStyle w:val="Style1Char"/>
          <w:rFonts w:hint="cs"/>
        </w:rPr>
        <w:t>‍</w:t>
      </w:r>
      <w:r w:rsidRPr="003C71A0">
        <w:rPr>
          <w:rStyle w:val="Style1Char"/>
          <w:rtl/>
        </w:rPr>
        <w:t xml:space="preserve">לפי המקום שנשתעבד בו אבל הרמב"ם ורי"ף וכל הגאונים </w:t>
      </w:r>
      <w:r>
        <w:rPr>
          <w:rStyle w:val="Style1Char"/>
          <w:rFonts w:hint="cs"/>
        </w:rPr>
        <w:t>‍</w:t>
      </w:r>
      <w:r w:rsidRPr="003C71A0">
        <w:rPr>
          <w:rStyle w:val="Style1Char"/>
          <w:rtl/>
        </w:rPr>
        <w:t xml:space="preserve">כתבו כסברא הראשונה כתב הרמב"ם בד"א כשהיה בכתובתה מעות סתם אבל אם פי' בה מטבע ידוע בין עיקר בין בתוספת הרי הוא כדין המלוה לחבירו מטבע ידוע שפירש לו מה שהלוה ובמקום שכותבין כתובה אינה נגבית אלא אם כן יהיה שטר כתובה בידה </w:t>
      </w:r>
      <w:r>
        <w:rPr>
          <w:rStyle w:val="Style1Char"/>
          <w:rFonts w:hint="cs"/>
        </w:rPr>
        <w:t>‍</w:t>
      </w:r>
      <w:r w:rsidRPr="003C71A0">
        <w:rPr>
          <w:rStyle w:val="Style1Char"/>
          <w:rtl/>
        </w:rPr>
        <w:t xml:space="preserve">אלא נשבע שבועת היסת ונפטר ובמקום שאין כותבין עיקר כתובה גובה בלא כתובה </w:t>
      </w:r>
      <w:r>
        <w:rPr>
          <w:rStyle w:val="Style1Char"/>
          <w:rFonts w:hint="cs"/>
        </w:rPr>
        <w:t>‍</w:t>
      </w:r>
      <w:r w:rsidRPr="003C71A0">
        <w:rPr>
          <w:rStyle w:val="Style1Char"/>
          <w:rtl/>
        </w:rPr>
        <w:t xml:space="preserve">בתנאי ב"ד בעדי מיתה או אפי' בלא עדים </w:t>
      </w:r>
      <w:r>
        <w:rPr>
          <w:rStyle w:val="Style1Char"/>
          <w:rFonts w:hint="cs"/>
        </w:rPr>
        <w:t>‍</w:t>
      </w:r>
      <w:r w:rsidRPr="003C71A0">
        <w:rPr>
          <w:rStyle w:val="Style1Char"/>
          <w:rtl/>
        </w:rPr>
        <w:t xml:space="preserve">שהאשה שאומרת מת בעלי נאמנת כדפירש' לעיל גם נותנין לה כתובה על פיה ונדוניא ותוספת אינה גובה אא"כ כתובתה בידה </w:t>
      </w:r>
      <w:r>
        <w:rPr>
          <w:rStyle w:val="Style1Char"/>
          <w:rFonts w:hint="cs"/>
        </w:rPr>
        <w:t>‍</w:t>
      </w:r>
      <w:r w:rsidRPr="003C71A0">
        <w:rPr>
          <w:rStyle w:val="Style1Char"/>
          <w:rtl/>
        </w:rPr>
        <w:t xml:space="preserve">אפילו יש עדים במה היה </w:t>
      </w:r>
      <w:r>
        <w:rPr>
          <w:rStyle w:val="Style1Char"/>
          <w:rFonts w:hint="cs"/>
        </w:rPr>
        <w:t>‍</w:t>
      </w:r>
      <w:r w:rsidRPr="003C71A0">
        <w:rPr>
          <w:rStyle w:val="Style1Char"/>
          <w:rtl/>
        </w:rPr>
        <w:t xml:space="preserve">והרמב"ם כתב שצריכה לישבע שמת </w:t>
      </w:r>
      <w:r>
        <w:rPr>
          <w:rStyle w:val="Style1Char"/>
          <w:rFonts w:hint="cs"/>
        </w:rPr>
        <w:t>‍</w:t>
      </w:r>
      <w:r w:rsidRPr="003C71A0">
        <w:rPr>
          <w:rStyle w:val="Style1Char"/>
          <w:rtl/>
        </w:rPr>
        <w:t xml:space="preserve">אבל אם אומרת מת בעלי תנו לי כתובתי אף לינשא אין מתירים אותה שאינה אומרת כן אלא ליטול כתובתה </w:t>
      </w:r>
      <w:r>
        <w:rPr>
          <w:rStyle w:val="Style1Char"/>
          <w:rFonts w:hint="cs"/>
        </w:rPr>
        <w:t>‍</w:t>
      </w:r>
      <w:r w:rsidRPr="003C71A0">
        <w:rPr>
          <w:rStyle w:val="Style1Char"/>
          <w:rtl/>
        </w:rPr>
        <w:t xml:space="preserve">והרמב"ם כתב שאם אומרת התירוני לינשא ותנו לי כתובתי מתירין אותה לינשא ונותנין לה כתובתה ואם אומרת תנו לי כתובתי והתירוני לינשא מתירין אותה לינשא ואין נותנין לה כתובתה ואם תפסה אין מוציאין מידה </w:t>
      </w:r>
      <w:r>
        <w:rPr>
          <w:rStyle w:val="Style1Char"/>
          <w:rFonts w:hint="cs"/>
        </w:rPr>
        <w:t>‍</w:t>
      </w:r>
      <w:r w:rsidRPr="003C71A0">
        <w:rPr>
          <w:rStyle w:val="Style1Char"/>
          <w:rtl/>
        </w:rPr>
        <w:t xml:space="preserve">ואני כתבתי למעלה </w:t>
      </w:r>
      <w:r>
        <w:rPr>
          <w:rStyle w:val="Style1Char"/>
          <w:rFonts w:hint="cs"/>
        </w:rPr>
        <w:t>‍</w:t>
      </w:r>
      <w:r w:rsidRPr="003C71A0">
        <w:rPr>
          <w:rStyle w:val="Style1Char"/>
          <w:rtl/>
        </w:rPr>
        <w:t xml:space="preserve">דבשניהם אין מתירין אותה לינשא במקום שאין כותבין כתובה והביא עדים שכתב לה כתובה כתב הרמב"ם שדינו כבמקום שכותבין ואינה גובה בלא כתובה וא"א הרא"ש ז"ל כתב שגובה כיון שבאותו מקום לא נהגו לכתוב </w:t>
      </w:r>
      <w:r>
        <w:rPr>
          <w:rStyle w:val="Style1Char"/>
          <w:rFonts w:hint="cs"/>
        </w:rPr>
        <w:t>‍</w:t>
      </w:r>
      <w:r w:rsidRPr="003C71A0">
        <w:rPr>
          <w:rStyle w:val="Style1Char"/>
          <w:rtl/>
        </w:rPr>
        <w:t xml:space="preserve">ולא מהימן לומר פרעתי דאיהו </w:t>
      </w:r>
      <w:r>
        <w:rPr>
          <w:rStyle w:val="Style1Char"/>
          <w:rFonts w:hint="cs"/>
        </w:rPr>
        <w:t>‍</w:t>
      </w:r>
      <w:r w:rsidRPr="003C71A0">
        <w:rPr>
          <w:rStyle w:val="Style1Char"/>
          <w:rtl/>
        </w:rPr>
        <w:t>דאפסיד אנפשיה שכתב לה ולא ישתנה הדין בכך ובספר המצות כתב על שם ר"י אפי' במקום שכותבין גובה עיקר כתובה וכל תנאיה בתנאי ב"ד וא"א הרא"ש ז"ל כתב כסברא ראשונה</w:t>
      </w:r>
      <w:r>
        <w:rPr>
          <w:rStyle w:val="Style1Char"/>
          <w:rFonts w:hint="cs"/>
          <w:rtl/>
        </w:rPr>
        <w:t xml:space="preserve"> </w:t>
      </w:r>
      <w:r w:rsidRPr="003C71A0">
        <w:rPr>
          <w:rStyle w:val="Style1Char"/>
          <w:rtl/>
        </w:rPr>
        <w:t xml:space="preserve">הוציאה גט ואין בידה כתובה דינו כמו אלמנה שבמקום שאין כותבין גובה עיקר ולא נדוניא ותוספת ובמקום שכותבין אינה גובה כלל ואם הוציאה כתובה בלא גט שאומרת שאבד גיטה והוא אומר שכבר הוציאה הגט וגבתה בו </w:t>
      </w:r>
      <w:r>
        <w:rPr>
          <w:rStyle w:val="Style1Char"/>
          <w:rFonts w:hint="cs"/>
        </w:rPr>
        <w:t>‍</w:t>
      </w:r>
      <w:r w:rsidRPr="003C71A0">
        <w:rPr>
          <w:rStyle w:val="Style1Char"/>
          <w:rtl/>
        </w:rPr>
        <w:t xml:space="preserve">והוא במקום שאין כותבין </w:t>
      </w:r>
      <w:r>
        <w:rPr>
          <w:rStyle w:val="Style1Char"/>
          <w:rFonts w:hint="cs"/>
        </w:rPr>
        <w:t>‍</w:t>
      </w:r>
      <w:r w:rsidRPr="003C71A0">
        <w:rPr>
          <w:rStyle w:val="Style1Char"/>
          <w:rtl/>
        </w:rPr>
        <w:t xml:space="preserve">ואומר מפני שאין רגילין לכתוב לא האמינו לי במה שכתבתי לה והוצרכתי לפרוע ע"פ הגט וכתבו לי שובר ואבד אם יש לה עדי גירושין אינו נאמן ואם אין לה עדי גירושין נאמן במגו שיכול לומר לא גירשתיך ואף על פי שהיא אומרת גירשתני אינה נאמנת כיון שתובעת כתובתה ואם הוא במקום שאין רשאין לכתוב גט </w:t>
      </w:r>
      <w:r>
        <w:rPr>
          <w:rStyle w:val="Style1Char"/>
          <w:rFonts w:hint="cs"/>
        </w:rPr>
        <w:t>‍</w:t>
      </w:r>
      <w:r w:rsidRPr="003C71A0">
        <w:rPr>
          <w:rStyle w:val="Style1Char"/>
          <w:rtl/>
        </w:rPr>
        <w:t xml:space="preserve">מפני הסכנה </w:t>
      </w:r>
      <w:r>
        <w:rPr>
          <w:rStyle w:val="Style1Char"/>
          <w:rFonts w:hint="cs"/>
        </w:rPr>
        <w:t>‍</w:t>
      </w:r>
      <w:r w:rsidRPr="003C71A0">
        <w:rPr>
          <w:rStyle w:val="Style1Char"/>
          <w:rtl/>
        </w:rPr>
        <w:t xml:space="preserve">היא נאמנת וגובה הכל אפי' אין לה עדי גירושין והרמב"ם כתב בזה אם הוא טוען לא גירשתיה </w:t>
      </w:r>
      <w:r>
        <w:rPr>
          <w:rStyle w:val="Style1Char"/>
          <w:rFonts w:hint="cs"/>
        </w:rPr>
        <w:t>‍</w:t>
      </w:r>
      <w:r w:rsidRPr="003C71A0">
        <w:rPr>
          <w:rStyle w:val="Style1Char"/>
          <w:rtl/>
        </w:rPr>
        <w:t xml:space="preserve">חייב ליתן </w:t>
      </w:r>
      <w:r w:rsidRPr="003C71A0">
        <w:rPr>
          <w:rStyle w:val="Style1Char"/>
          <w:rtl/>
        </w:rPr>
        <w:lastRenderedPageBreak/>
        <w:t xml:space="preserve">לה עיקר כתובה אבל לא תוספת עד שתביא ראיה שגירשה או שהוציאה גט עם הכתובה ואם הוא אומר גירשתיה ופרעתי הכל עיקר עם תוספת ואבד שוברי הרי זה נאמן </w:t>
      </w:r>
      <w:r>
        <w:rPr>
          <w:rStyle w:val="Style1Char"/>
          <w:rFonts w:hint="cs"/>
        </w:rPr>
        <w:t>‍</w:t>
      </w:r>
      <w:r w:rsidRPr="003C71A0">
        <w:rPr>
          <w:rStyle w:val="Style1Char"/>
          <w:rtl/>
        </w:rPr>
        <w:t xml:space="preserve">ומשביעה בנקיטת חפץ ונותן לה עיקר והוא נשבע שבועת היסת על התוספת </w:t>
      </w:r>
      <w:r>
        <w:rPr>
          <w:rStyle w:val="Style1Char"/>
          <w:rFonts w:hint="cs"/>
        </w:rPr>
        <w:t>‍</w:t>
      </w:r>
      <w:r w:rsidRPr="003C71A0">
        <w:rPr>
          <w:rStyle w:val="Style1Char"/>
          <w:rtl/>
        </w:rPr>
        <w:t>ולא נהירא שאם הוא נאמן למה יתן לה עיקר ואם אינו נאמן יתן לה הכל שהרי כתובה בידה וכן השיג עליו הראב"ד:</w:t>
      </w:r>
    </w:p>
    <w:p w14:paraId="56D62F5C" w14:textId="7DE41F7C" w:rsidR="003C71A0" w:rsidRDefault="003C71A0" w:rsidP="003C71A0">
      <w:pPr>
        <w:pStyle w:val="Style1"/>
        <w:rPr>
          <w:rStyle w:val="Style1Char"/>
          <w:rtl/>
        </w:rPr>
      </w:pPr>
      <w:r w:rsidRPr="003C71A0">
        <w:rPr>
          <w:rStyle w:val="Style1Char"/>
          <w:rtl/>
        </w:rPr>
        <w:t xml:space="preserve">הוציאה ב' גיטין וב' כתובות וזמן כתובה ראשונה קודם לגט הראשון וזמן הב' קודם לגט הב' </w:t>
      </w:r>
      <w:r>
        <w:rPr>
          <w:rStyle w:val="Style1Char"/>
          <w:rFonts w:hint="cs"/>
        </w:rPr>
        <w:t>‍</w:t>
      </w:r>
      <w:r w:rsidRPr="003C71A0">
        <w:rPr>
          <w:rStyle w:val="Style1Char"/>
          <w:rtl/>
        </w:rPr>
        <w:t xml:space="preserve">גובה שתיהן הוציאה ב' כתובות וגט אחד שכתב לה ב' כתובות זו אחד זו </w:t>
      </w:r>
      <w:r>
        <w:rPr>
          <w:rStyle w:val="Style1Char"/>
          <w:rFonts w:hint="cs"/>
        </w:rPr>
        <w:t>‍</w:t>
      </w:r>
      <w:r w:rsidRPr="003C71A0">
        <w:rPr>
          <w:rStyle w:val="Style1Char"/>
          <w:rtl/>
        </w:rPr>
        <w:t xml:space="preserve">אינה גובה אלא אחרונה שבטל הראשונה כשכתב לה האחרונה ואם האחרונה יתירה על הראשונה ולא כתב לה ואוסיפית ליך כך וכך על הראשונה אם רוצה לגבות הראשונה גובה מזמן א' או ב' מזמן ב' ואם כתב לה ואוסיפית ליך כך וכך על הראשונה גובה ראשונה מזמן ראשונה ותוספת מזמן ב' בד"א ששתיהן מן האירוסין או מן הנישואין אבל אם אחת מן האירוסין והב' מן הנישואין בכל ענין אינה גובה </w:t>
      </w:r>
      <w:r>
        <w:rPr>
          <w:rStyle w:val="Style1Char"/>
          <w:rFonts w:hint="cs"/>
        </w:rPr>
        <w:t>‍</w:t>
      </w:r>
      <w:r w:rsidRPr="003C71A0">
        <w:rPr>
          <w:rStyle w:val="Style1Char"/>
          <w:rtl/>
        </w:rPr>
        <w:t xml:space="preserve">אלא אות' שמן הנישואין הוציאה כתובה וב' גיטין שהחזירה ולא כתב לה כתובה אין לה אלא כתובה אחת שהמגרש אשתו והחזירה על דעת כתובה הראשונה החזירה הוציאה </w:t>
      </w:r>
      <w:r>
        <w:rPr>
          <w:rStyle w:val="Style1Char"/>
          <w:rFonts w:hint="cs"/>
        </w:rPr>
        <w:t>‍</w:t>
      </w:r>
      <w:r w:rsidRPr="003C71A0">
        <w:rPr>
          <w:rStyle w:val="Style1Char"/>
          <w:rtl/>
        </w:rPr>
        <w:t>גט וכתובה ועידי מיתה אם הגט קודם לכתובה רואין אם אין דרך לכתוב כתובה גובה בגט עיקר הכתובה ובכתובה גובה כל מה שכתוב בה שהרי זכתה בה במיתת הבעל ואם כתובה קודמת לגט אין לה אלא כתובה אחת שעל דעת כתובה הראשונה החזירה:</w:t>
      </w:r>
    </w:p>
    <w:p w14:paraId="3398D5C7" w14:textId="23604EA3" w:rsidR="00BD1DC0" w:rsidRDefault="00BD1DC0" w:rsidP="00BD1DC0">
      <w:pPr>
        <w:pStyle w:val="Style1"/>
        <w:rPr>
          <w:rStyle w:val="Style1Char"/>
          <w:rtl/>
        </w:rPr>
      </w:pPr>
      <w:r>
        <w:rPr>
          <w:rStyle w:val="Style1Char"/>
          <w:rFonts w:hint="cs"/>
          <w:rtl/>
        </w:rPr>
        <w:t>2)[</w:t>
      </w:r>
      <w:r w:rsidRPr="00BD1DC0">
        <w:rPr>
          <w:rStyle w:val="Style1Char"/>
          <w:rtl/>
        </w:rPr>
        <w:t>רמב</w:t>
      </w:r>
      <w:r w:rsidR="00213DA1">
        <w:rPr>
          <w:rStyle w:val="Style1Char"/>
          <w:rtl/>
        </w:rPr>
        <w:t>”ם \נשים\</w:t>
      </w:r>
      <w:r w:rsidRPr="00BD1DC0">
        <w:rPr>
          <w:rStyle w:val="Style1Char"/>
          <w:rtl/>
        </w:rPr>
        <w:t xml:space="preserve"> הלכות אישות פרק טז הלכה כט</w:t>
      </w:r>
      <w:r>
        <w:rPr>
          <w:rStyle w:val="Style1Char"/>
          <w:rFonts w:hint="cs"/>
          <w:rtl/>
        </w:rPr>
        <w:t xml:space="preserve">] </w:t>
      </w:r>
      <w:r w:rsidRPr="00BD1DC0">
        <w:rPr>
          <w:rStyle w:val="Style1Char"/>
          <w:rtl/>
        </w:rPr>
        <w:t>הוציאה שני גיטין ושתי כתובות גובה שתי כתובות, הוציאה שתי כתובות וגט אחד אינה גובה אלא כתובה אחת, ואיזו מהן גובה, אם שתיהן שוות בטלה האחרונה את הראשונה ואינה טורפת אלא מזמן האחרונה, ואם היה באחת משתיהן תוספת על חבירתה גובה באיזו מהן שתרצה ותבטל השניה.</w:t>
      </w:r>
    </w:p>
    <w:p w14:paraId="5840C786" w14:textId="14CC3EB9" w:rsidR="00BD1DC0" w:rsidRDefault="00BD1DC0" w:rsidP="00BD1DC0">
      <w:pPr>
        <w:pStyle w:val="Style1"/>
        <w:rPr>
          <w:rStyle w:val="Style1Char"/>
          <w:rtl/>
        </w:rPr>
      </w:pPr>
      <w:r>
        <w:rPr>
          <w:rStyle w:val="Style1Char"/>
          <w:rFonts w:hint="cs"/>
          <w:rtl/>
        </w:rPr>
        <w:t>2)[</w:t>
      </w:r>
      <w:r w:rsidRPr="00BD1DC0">
        <w:rPr>
          <w:rStyle w:val="Style1Char"/>
          <w:rtl/>
        </w:rPr>
        <w:t>שולחן ערוך אבן העזר הלכות כתובות סימן ק סעיף יג</w:t>
      </w:r>
      <w:r>
        <w:rPr>
          <w:rStyle w:val="Style1Char"/>
          <w:rFonts w:hint="cs"/>
          <w:rtl/>
        </w:rPr>
        <w:t xml:space="preserve">] </w:t>
      </w:r>
      <w:r w:rsidRPr="00BD1DC0">
        <w:rPr>
          <w:rStyle w:val="Style1Char"/>
          <w:rtl/>
        </w:rPr>
        <w:t>הוציאה ב' גיטין וב' כתובות, וזמן כתובה ראשונה קודם לגט הראשון, וזמן השניה קודם לגט השני, גובה ב' כתובות.</w:t>
      </w:r>
    </w:p>
    <w:p w14:paraId="7A8EF0E2" w14:textId="14233D78" w:rsidR="00E707EF" w:rsidRDefault="00E707EF" w:rsidP="00E707EF">
      <w:pPr>
        <w:pStyle w:val="Style1"/>
        <w:rPr>
          <w:rStyle w:val="Style1Char"/>
          <w:rtl/>
        </w:rPr>
      </w:pPr>
      <w:r>
        <w:rPr>
          <w:rStyle w:val="Style1Char"/>
          <w:rFonts w:hint="cs"/>
          <w:rtl/>
        </w:rPr>
        <w:t>3)[</w:t>
      </w:r>
      <w:r w:rsidRPr="00E707EF">
        <w:rPr>
          <w:rStyle w:val="Style1Char"/>
          <w:rtl/>
        </w:rPr>
        <w:t>שולחן ערוך אבן העזר הלכות כתובות סימן ק סעיף יד</w:t>
      </w:r>
      <w:r>
        <w:rPr>
          <w:rStyle w:val="Style1Char"/>
          <w:rFonts w:hint="cs"/>
          <w:rtl/>
        </w:rPr>
        <w:t xml:space="preserve">] </w:t>
      </w:r>
      <w:r w:rsidRPr="00E707EF">
        <w:rPr>
          <w:rStyle w:val="Style1Char"/>
          <w:rtl/>
        </w:rPr>
        <w:t>הוציאה ב' כתובות וגט אחד, אינה גובה אלא כתובה אחת. ואיזו מהם גובה, אם שתיהן שוות ביטלה האחרונה את הראשונה ואינה טורפת אלא מזמן האחרונה. ואם היתה באחת משתיהן תוספת על חבירתה ולא כתב לה: ואוסיפית לך כך וכך על הראשונה, אם רוצה לגבות הראשונה גובה מזמן ראשון, או שניה מזמן שני. ואם כתב לה: ואוסיפית לה כך וכך על הראשונה, גובה ראשונה מזמן ראשון והתוספת מזמן שני. בד"א, ששתיהן מן האירוסין או מן הנשואין, אבל אם אחת מן האירוסין והשנייה מן הנשואין, בכל ענין אינה גובה אלא אותה שמן הנשואין.</w:t>
      </w:r>
    </w:p>
    <w:p w14:paraId="26F9D9A5" w14:textId="11851D34" w:rsidR="00E707EF" w:rsidRDefault="00E707EF" w:rsidP="00E707EF">
      <w:pPr>
        <w:pStyle w:val="Style1"/>
        <w:rPr>
          <w:rStyle w:val="Style1Char"/>
          <w:rtl/>
        </w:rPr>
      </w:pPr>
      <w:r>
        <w:rPr>
          <w:rStyle w:val="Style1Char"/>
          <w:rFonts w:hint="cs"/>
          <w:rtl/>
        </w:rPr>
        <w:t>4)[</w:t>
      </w:r>
      <w:r w:rsidRPr="00E707EF">
        <w:rPr>
          <w:rStyle w:val="Style1Char"/>
          <w:rtl/>
        </w:rPr>
        <w:t>רמב</w:t>
      </w:r>
      <w:r w:rsidR="00213DA1">
        <w:rPr>
          <w:rStyle w:val="Style1Char"/>
          <w:rtl/>
        </w:rPr>
        <w:t>”ם \נשים\</w:t>
      </w:r>
      <w:r w:rsidRPr="00E707EF">
        <w:rPr>
          <w:rStyle w:val="Style1Char"/>
          <w:rtl/>
        </w:rPr>
        <w:t xml:space="preserve"> הלכות אישות פרק טז הלכה ל</w:t>
      </w:r>
      <w:r>
        <w:rPr>
          <w:rStyle w:val="Style1Char"/>
          <w:rFonts w:hint="cs"/>
          <w:rtl/>
        </w:rPr>
        <w:t xml:space="preserve">] </w:t>
      </w:r>
      <w:r w:rsidRPr="00E707EF">
        <w:rPr>
          <w:rStyle w:val="Style1Char"/>
          <w:rtl/>
        </w:rPr>
        <w:t>הוציאה שני גיטין וכתובה אחת אין לה אלא כתובה אחת, שהמגרש את אשתו והחזירה סתם על כתובתה הראשונה החזירה. הוציאה גט וכתובה אחר מיתת הבעל, אם גט קודם לכתובה גובה בגט זה עיקר כתובה אם אין דרכן לכתוב כתובה וגובה כל מה שיש בכתובה שהרי זכתה בה במיתתו, ואם כתובה קדמה את הגט אין לה אלא כתובה אחת, שעל כתובתה הראשונה החזירה.</w:t>
      </w:r>
    </w:p>
    <w:p w14:paraId="073FE132" w14:textId="3E763FBB" w:rsidR="00E707EF" w:rsidRDefault="00E707EF" w:rsidP="00E707EF">
      <w:pPr>
        <w:pStyle w:val="Style1"/>
        <w:rPr>
          <w:rStyle w:val="Style1Char"/>
          <w:rtl/>
        </w:rPr>
      </w:pPr>
      <w:r>
        <w:rPr>
          <w:rStyle w:val="Style1Char"/>
          <w:rFonts w:hint="cs"/>
          <w:rtl/>
        </w:rPr>
        <w:t>4)[</w:t>
      </w:r>
      <w:r w:rsidRPr="00E707EF">
        <w:rPr>
          <w:rStyle w:val="Style1Char"/>
          <w:rtl/>
        </w:rPr>
        <w:t>שולחן ערוך אבן העזר הלכות כתובות סימן ק סעיף טז</w:t>
      </w:r>
      <w:r>
        <w:rPr>
          <w:rStyle w:val="Style1Char"/>
          <w:rFonts w:hint="cs"/>
          <w:rtl/>
        </w:rPr>
        <w:t xml:space="preserve">] </w:t>
      </w:r>
      <w:r w:rsidRPr="00E707EF">
        <w:rPr>
          <w:rStyle w:val="Style1Char"/>
          <w:rtl/>
        </w:rPr>
        <w:t>הוציאה גט וכתובה אחר מיתת הבעל, אם גט קודם לכתובה, גובה בגט זה עיקר כתובה, אם אין דרכם לכתוב כתובה, (ובכתובה) גובה כל מה שיש בכתובתה זו, שהרי זכתה בה במיתתו. ואם כתובה קדמה את הגט, אין לה אלא כתובה אחת, שעל דעת כתובתה הראשונה החזירה.</w:t>
      </w:r>
    </w:p>
    <w:p w14:paraId="16D9C317" w14:textId="77777777" w:rsidR="00E707EF" w:rsidRPr="003C71A0" w:rsidRDefault="00E707EF" w:rsidP="00E707EF">
      <w:pPr>
        <w:pStyle w:val="Style1"/>
        <w:rPr>
          <w:rStyle w:val="Style1Char"/>
          <w:rtl/>
        </w:rPr>
      </w:pPr>
    </w:p>
    <w:p w14:paraId="00DFD69D" w14:textId="77777777" w:rsidR="00C369CA" w:rsidRPr="003C71A0" w:rsidRDefault="00C369CA" w:rsidP="003C71A0">
      <w:pPr>
        <w:pStyle w:val="Style1"/>
        <w:rPr>
          <w:rStyle w:val="Style1Char"/>
          <w:rtl/>
        </w:rPr>
      </w:pPr>
    </w:p>
    <w:p w14:paraId="2638FB0F" w14:textId="77777777" w:rsidR="00C369CA" w:rsidRPr="003C71A0" w:rsidRDefault="00C369CA" w:rsidP="003C71A0">
      <w:pPr>
        <w:pStyle w:val="Style1"/>
        <w:rPr>
          <w:rStyle w:val="Style1Char"/>
          <w:rtl/>
        </w:rPr>
      </w:pPr>
    </w:p>
    <w:p w14:paraId="730446DD" w14:textId="77777777" w:rsidR="00C369CA" w:rsidRPr="003C71A0" w:rsidRDefault="00C369CA" w:rsidP="003C71A0">
      <w:pPr>
        <w:pStyle w:val="Style1"/>
        <w:rPr>
          <w:rStyle w:val="Style1Char"/>
          <w:rtl/>
        </w:rPr>
      </w:pPr>
      <w:r w:rsidRPr="003C71A0">
        <w:rPr>
          <w:rStyle w:val="Style1Char"/>
          <w:rtl/>
        </w:rPr>
        <w:br w:type="page"/>
      </w:r>
    </w:p>
    <w:p w14:paraId="061F7E84" w14:textId="77777777" w:rsidR="00C369CA" w:rsidRPr="00D205EB" w:rsidRDefault="00C369CA" w:rsidP="00C369CA">
      <w:pPr>
        <w:bidi/>
        <w:rPr>
          <w:rStyle w:val="Style1Char"/>
          <w:color w:val="C00000"/>
        </w:rPr>
      </w:pPr>
      <w:r w:rsidRPr="00D3167D">
        <w:rPr>
          <w:rStyle w:val="Style1Char"/>
          <w:color w:val="auto"/>
          <w:sz w:val="22"/>
          <w:szCs w:val="22"/>
          <w:highlight w:val="yellow"/>
          <w:rtl/>
        </w:rPr>
        <w:lastRenderedPageBreak/>
        <w:t>[דף צ עמוד א]</w:t>
      </w:r>
      <w:r w:rsidRPr="00D3167D">
        <w:rPr>
          <w:rStyle w:val="Style1Char"/>
          <w:color w:val="auto"/>
          <w:sz w:val="22"/>
          <w:szCs w:val="22"/>
          <w:rtl/>
        </w:rPr>
        <w:t xml:space="preserve"> אם גט קודם לכתובה - גובה שתי כתובות, כתובה קודמת לגט - אינה גובה אלא כתובה אחת, שהמגרש את אשתו והחזירה, על מנת כתובה הראשונה החזירה</w:t>
      </w:r>
      <w:r w:rsidRPr="006651F7">
        <w:rPr>
          <w:rStyle w:val="Style1Char"/>
          <w:sz w:val="22"/>
          <w:szCs w:val="22"/>
          <w:rtl/>
        </w:rPr>
        <w:t xml:space="preserve">. </w:t>
      </w:r>
      <w:r w:rsidRPr="00D3167D">
        <w:rPr>
          <w:rStyle w:val="Style1Char"/>
          <w:color w:val="806000" w:themeColor="accent4" w:themeShade="80"/>
          <w:rtl/>
        </w:rPr>
        <w:t xml:space="preserve">והני מילי כשהחזירה סתמא אבל אי כתב לה כתובה אחריתי גביא תרוייהו כדקתני רישא שני גיטין ושתי כתובות גובה שתי כתובות: </w:t>
      </w:r>
    </w:p>
    <w:p w14:paraId="01455151" w14:textId="1516C5CD" w:rsidR="00C369CA" w:rsidRPr="00D3167D" w:rsidRDefault="00C369CA" w:rsidP="00C369CA">
      <w:pPr>
        <w:bidi/>
        <w:rPr>
          <w:rStyle w:val="Style1Char"/>
          <w:color w:val="auto"/>
          <w:sz w:val="22"/>
          <w:szCs w:val="22"/>
          <w:rtl/>
        </w:rPr>
      </w:pPr>
      <w:r w:rsidRPr="00D3167D">
        <w:rPr>
          <w:rStyle w:val="Style1Char"/>
          <w:color w:val="auto"/>
          <w:sz w:val="22"/>
          <w:szCs w:val="22"/>
          <w:rtl/>
        </w:rPr>
        <w:t xml:space="preserve">מתני'. </w:t>
      </w:r>
      <w:r w:rsidR="00E707EF">
        <w:rPr>
          <w:rStyle w:val="Style1Char"/>
          <w:rFonts w:hint="cs"/>
          <w:rtl/>
        </w:rPr>
        <w:t>(1)</w:t>
      </w:r>
      <w:r w:rsidRPr="00D3167D">
        <w:rPr>
          <w:rStyle w:val="Style1Char"/>
          <w:color w:val="auto"/>
          <w:sz w:val="22"/>
          <w:szCs w:val="22"/>
          <w:rtl/>
        </w:rPr>
        <w:t xml:space="preserve">קטן שהשיאו אביו - כתובתה קיימת, שע"מ כן קיימה, </w:t>
      </w:r>
      <w:r w:rsidR="00D77D4F">
        <w:rPr>
          <w:rStyle w:val="Style1Char"/>
          <w:rFonts w:hint="cs"/>
          <w:rtl/>
        </w:rPr>
        <w:t>(1)</w:t>
      </w:r>
      <w:r w:rsidRPr="00D3167D">
        <w:rPr>
          <w:rStyle w:val="Style1Char"/>
          <w:color w:val="auto"/>
          <w:sz w:val="22"/>
          <w:szCs w:val="22"/>
          <w:rtl/>
        </w:rPr>
        <w:t xml:space="preserve">גר שנתגיירה אשתו עמו - כתובתה קיימת, שעל מנת כן קיימה. </w:t>
      </w:r>
    </w:p>
    <w:p w14:paraId="5B4D4F37" w14:textId="2E3D0A5A" w:rsidR="00C369CA" w:rsidRPr="009800FE" w:rsidRDefault="00C369CA" w:rsidP="00C369CA">
      <w:pPr>
        <w:bidi/>
        <w:rPr>
          <w:rStyle w:val="Style1Char"/>
          <w:color w:val="806000" w:themeColor="accent4" w:themeShade="80"/>
          <w:sz w:val="22"/>
          <w:szCs w:val="22"/>
        </w:rPr>
      </w:pPr>
      <w:r w:rsidRPr="00D3167D">
        <w:rPr>
          <w:rStyle w:val="Style1Char"/>
          <w:color w:val="auto"/>
          <w:sz w:val="22"/>
          <w:szCs w:val="22"/>
          <w:rtl/>
        </w:rPr>
        <w:t xml:space="preserve">גמ'. אמר רב הונא: לא שנו </w:t>
      </w:r>
      <w:r w:rsidR="00D77D4F">
        <w:rPr>
          <w:rStyle w:val="Style1Char"/>
          <w:rFonts w:hint="cs"/>
          <w:rtl/>
        </w:rPr>
        <w:t>(1)</w:t>
      </w:r>
      <w:r w:rsidRPr="00D3167D">
        <w:rPr>
          <w:rStyle w:val="Style1Char"/>
          <w:color w:val="auto"/>
          <w:sz w:val="22"/>
          <w:szCs w:val="22"/>
          <w:rtl/>
        </w:rPr>
        <w:t>אלא מנה מאתים, אבל תוספת אין לה</w:t>
      </w:r>
      <w:r w:rsidRPr="009800FE">
        <w:rPr>
          <w:rStyle w:val="Style1Char"/>
          <w:color w:val="4472C4" w:themeColor="accent1"/>
          <w:rtl/>
        </w:rPr>
        <w:t xml:space="preserve"> </w:t>
      </w:r>
      <w:r w:rsidRPr="00E53B77">
        <w:rPr>
          <w:rStyle w:val="Style1Char"/>
          <w:color w:val="4472C4" w:themeColor="accent1"/>
          <w:rtl/>
        </w:rPr>
        <w:t>וממשעבדי לא גביא דהו"ל שטר מוקדם</w:t>
      </w:r>
      <w:r w:rsidRPr="00D2614D">
        <w:rPr>
          <w:rStyle w:val="Style1Char"/>
          <w:color w:val="00B050"/>
          <w:rtl/>
        </w:rPr>
        <w:t xml:space="preserve">, ורב יהודה אמר: אפי' תוספת יש לה. מיתיבי: חידשו - נוטלת מה שחידשו; חידשו אין, לא חידשו לא! אימא: אף מה שחידשו. והא לא תני הכי: </w:t>
      </w:r>
      <w:r w:rsidRPr="009800FE">
        <w:rPr>
          <w:rStyle w:val="Style1Char"/>
          <w:color w:val="806000" w:themeColor="accent4" w:themeShade="80"/>
          <w:sz w:val="22"/>
          <w:szCs w:val="22"/>
          <w:rtl/>
        </w:rPr>
        <w:t>תניא כוותיה דרב הונא</w:t>
      </w:r>
      <w:r w:rsidRPr="007D2975">
        <w:rPr>
          <w:rStyle w:val="Style1Char"/>
          <w:color w:val="C00000"/>
          <w:sz w:val="22"/>
          <w:szCs w:val="22"/>
          <w:rtl/>
        </w:rPr>
        <w:t xml:space="preserve"> </w:t>
      </w:r>
      <w:r w:rsidRPr="009800FE">
        <w:rPr>
          <w:rStyle w:val="Style1Char"/>
          <w:color w:val="auto"/>
          <w:sz w:val="22"/>
          <w:szCs w:val="22"/>
          <w:rtl/>
        </w:rPr>
        <w:t>חידשו - נוטלת מה שחידשו, לא חידשו - בתולה גובה מאתים ואלמנה מנה</w:t>
      </w:r>
      <w:r w:rsidRPr="007D2975">
        <w:rPr>
          <w:rStyle w:val="Style1Char"/>
          <w:color w:val="C00000"/>
          <w:rtl/>
        </w:rPr>
        <w:t xml:space="preserve"> </w:t>
      </w:r>
      <w:r w:rsidRPr="009800FE">
        <w:rPr>
          <w:rStyle w:val="Style1Char"/>
          <w:color w:val="806000" w:themeColor="accent4" w:themeShade="80"/>
          <w:sz w:val="22"/>
          <w:szCs w:val="22"/>
          <w:rtl/>
        </w:rPr>
        <w:t>אבל תוספת לא</w:t>
      </w:r>
      <w:r w:rsidRPr="009800FE">
        <w:rPr>
          <w:rStyle w:val="Style1Char"/>
          <w:color w:val="806000" w:themeColor="accent4" w:themeShade="80"/>
          <w:sz w:val="22"/>
          <w:szCs w:val="22"/>
        </w:rPr>
        <w:t>:</w:t>
      </w:r>
    </w:p>
    <w:p w14:paraId="3FE4D310" w14:textId="164BE690" w:rsidR="00C369CA" w:rsidRDefault="00C369CA" w:rsidP="00C369CA">
      <w:pPr>
        <w:bidi/>
        <w:rPr>
          <w:rStyle w:val="Style1Char"/>
          <w:color w:val="00B050"/>
          <w:rtl/>
        </w:rPr>
      </w:pPr>
      <w:r w:rsidRPr="00D2614D">
        <w:rPr>
          <w:rStyle w:val="Style1Char"/>
          <w:color w:val="00B050"/>
          <w:rtl/>
        </w:rPr>
        <w:t xml:space="preserve">, תיובתא דרב יהודה! רב יהודה מתניתין אטעיתיה, הוא סבר: כתובתה קיימת אכולה מילתא קאי, ולא היא, אעיקר כתובה קאי. </w:t>
      </w:r>
    </w:p>
    <w:p w14:paraId="78D8EED0" w14:textId="26335E13" w:rsidR="00E707EF" w:rsidRDefault="00E707EF" w:rsidP="00E707EF">
      <w:pPr>
        <w:pStyle w:val="Style1"/>
        <w:rPr>
          <w:rStyle w:val="Style1Char"/>
          <w:rtl/>
        </w:rPr>
      </w:pPr>
      <w:r>
        <w:rPr>
          <w:rStyle w:val="Style1Char"/>
          <w:rFonts w:hint="cs"/>
          <w:rtl/>
        </w:rPr>
        <w:t>1)[</w:t>
      </w:r>
      <w:r w:rsidRPr="00E707EF">
        <w:rPr>
          <w:rStyle w:val="Style1Char"/>
          <w:rtl/>
        </w:rPr>
        <w:t>רמב</w:t>
      </w:r>
      <w:r w:rsidR="00213DA1">
        <w:rPr>
          <w:rStyle w:val="Style1Char"/>
          <w:rtl/>
        </w:rPr>
        <w:t>”ם \נשים\</w:t>
      </w:r>
      <w:r w:rsidRPr="00E707EF">
        <w:rPr>
          <w:rStyle w:val="Style1Char"/>
          <w:rtl/>
        </w:rPr>
        <w:t xml:space="preserve"> הלכות אישות פרק יא הלכה ז</w:t>
      </w:r>
      <w:r>
        <w:rPr>
          <w:rStyle w:val="Style1Char"/>
          <w:rFonts w:hint="cs"/>
          <w:rtl/>
        </w:rPr>
        <w:t xml:space="preserve">] </w:t>
      </w:r>
      <w:r w:rsidRPr="00E707EF">
        <w:rPr>
          <w:rStyle w:val="Style1Char"/>
          <w:rtl/>
        </w:rPr>
        <w:t>קטן אפילו בן תשע שנים ויום אחד שנשא אשה אין לה כתובה, ואם הגדיל וקיימה אחר שהגדיל יש לה עיקר כתובה, וכן גר שנתגייר הוא ואשתו כתובתה מנה שעל מנת כן קיימה.</w:t>
      </w:r>
    </w:p>
    <w:p w14:paraId="464B4062" w14:textId="664C17F3" w:rsidR="00E707EF" w:rsidRPr="00E707EF" w:rsidRDefault="00E707EF" w:rsidP="00E707EF">
      <w:pPr>
        <w:pStyle w:val="Style1"/>
      </w:pPr>
      <w:r>
        <w:rPr>
          <w:rStyle w:val="Style1Char"/>
          <w:rFonts w:hint="cs"/>
          <w:rtl/>
        </w:rPr>
        <w:t>1)[</w:t>
      </w:r>
      <w:r w:rsidRPr="00E707EF">
        <w:rPr>
          <w:rStyle w:val="Style1Char"/>
          <w:rtl/>
        </w:rPr>
        <w:t>שולחן ערוך אבן העזר הלכות כתובות סימן סז סעיף יא</w:t>
      </w:r>
      <w:r>
        <w:rPr>
          <w:rStyle w:val="Style1Char"/>
          <w:rFonts w:hint="cs"/>
          <w:rtl/>
        </w:rPr>
        <w:t xml:space="preserve">] </w:t>
      </w:r>
      <w:r w:rsidRPr="00E707EF">
        <w:rPr>
          <w:rtl/>
        </w:rPr>
        <w:t>קטן, אפילו מבן תשע שנים ומעלה, שהשיאו אביו, אין לה כתובה; ואם בא עליה אחר שהגדיל, יש לה עיקר כתובה, מאתיים לבתולה, מנה לאלמנה; אבל תוספת שכתב לה בקטנותו, אין לה</w:t>
      </w:r>
      <w:r w:rsidRPr="00E707EF">
        <w:t>, </w:t>
      </w:r>
      <w:r w:rsidRPr="00E707EF">
        <w:rPr>
          <w:rFonts w:hint="cs"/>
          <w:rtl/>
        </w:rPr>
        <w:t>ואפילו השיאוה בית דין</w:t>
      </w:r>
      <w:r w:rsidRPr="00E707EF">
        <w:t xml:space="preserve">; </w:t>
      </w:r>
      <w:r w:rsidRPr="00E707EF">
        <w:rPr>
          <w:rtl/>
        </w:rPr>
        <w:t>ואפילו העיקר אינה גובה מכח שטר הכתובה, אלא מתנאי בית דין. לפיכך, אינה גובה אלא מבני חרי, ולא ממשעבדי שנמכרו בקטנותו. וכן הדין בגר שנתגיירה אשתו עמו, ואין ביניהם אלא שבזו אין כתובתה אלא מנה לדעת הרמב"ם</w:t>
      </w:r>
      <w:r w:rsidRPr="00E707EF">
        <w:t>:</w:t>
      </w:r>
    </w:p>
    <w:p w14:paraId="09CDD263" w14:textId="0AA43BE6" w:rsidR="00E707EF" w:rsidRPr="00E707EF" w:rsidRDefault="00E707EF" w:rsidP="00E707EF">
      <w:pPr>
        <w:pStyle w:val="Style1"/>
        <w:rPr>
          <w:rStyle w:val="Style1Char"/>
          <w:rtl/>
        </w:rPr>
      </w:pPr>
    </w:p>
    <w:p w14:paraId="2A0F0147" w14:textId="77777777" w:rsidR="00C369CA" w:rsidRPr="00D2614D" w:rsidRDefault="00C369CA" w:rsidP="00C369CA">
      <w:pPr>
        <w:bidi/>
        <w:rPr>
          <w:color w:val="00B050"/>
          <w:sz w:val="52"/>
          <w:szCs w:val="52"/>
        </w:rPr>
      </w:pPr>
      <w:r w:rsidRPr="00D2614D">
        <w:rPr>
          <w:rStyle w:val="Style1Char"/>
          <w:color w:val="auto"/>
          <w:sz w:val="28"/>
          <w:szCs w:val="28"/>
          <w:rtl/>
        </w:rPr>
        <w:t>הדרן עלך הכותב לאשתו.</w:t>
      </w:r>
    </w:p>
    <w:p w14:paraId="2DB868CD" w14:textId="77777777" w:rsidR="005F1878" w:rsidRPr="00115293" w:rsidRDefault="005F1878" w:rsidP="005F1878">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 xml:space="preserve">פרק </w:t>
      </w:r>
      <w:r w:rsidRPr="00DB0EBD">
        <w:rPr>
          <w:rStyle w:val="Style1Char"/>
          <w:color w:val="000000" w:themeColor="text1"/>
          <w:sz w:val="24"/>
          <w:szCs w:val="24"/>
          <w:rtl/>
        </w:rPr>
        <w:t>י - מי שהיה נשוי</w:t>
      </w:r>
    </w:p>
    <w:p w14:paraId="1699427D" w14:textId="12B9664C" w:rsidR="005F1878" w:rsidRPr="00A36843" w:rsidRDefault="005F1878" w:rsidP="005F1878">
      <w:pPr>
        <w:bidi/>
        <w:rPr>
          <w:rStyle w:val="Style1Char"/>
          <w:color w:val="auto"/>
          <w:sz w:val="22"/>
          <w:szCs w:val="22"/>
          <w:rtl/>
        </w:rPr>
      </w:pPr>
      <w:r w:rsidRPr="00A36843">
        <w:rPr>
          <w:rStyle w:val="Style1Char"/>
          <w:color w:val="auto"/>
          <w:sz w:val="22"/>
          <w:szCs w:val="22"/>
          <w:rtl/>
        </w:rPr>
        <w:t xml:space="preserve">/מתני'/. מי שהיה </w:t>
      </w:r>
      <w:r w:rsidR="00172A55" w:rsidRPr="00EF64BD">
        <w:rPr>
          <w:rStyle w:val="Style1Char"/>
          <w:rFonts w:hint="cs"/>
          <w:rtl/>
        </w:rPr>
        <w:t>(1)</w:t>
      </w:r>
      <w:r w:rsidRPr="00A36843">
        <w:rPr>
          <w:rStyle w:val="Style1Char"/>
          <w:color w:val="auto"/>
          <w:sz w:val="22"/>
          <w:szCs w:val="22"/>
          <w:rtl/>
        </w:rPr>
        <w:t xml:space="preserve">נשוי שתי נשים ומת - הראשונה קודמת לשניה, ויורשי הראשונה קודמין ליורשי שניה. </w:t>
      </w:r>
      <w:r w:rsidR="00172A55" w:rsidRPr="00EF64BD">
        <w:rPr>
          <w:rStyle w:val="Style1Char"/>
          <w:rFonts w:hint="cs"/>
          <w:rtl/>
        </w:rPr>
        <w:t>(</w:t>
      </w:r>
      <w:r w:rsidR="00172A55">
        <w:rPr>
          <w:rStyle w:val="Style1Char"/>
          <w:rFonts w:hint="cs"/>
          <w:rtl/>
        </w:rPr>
        <w:t>2</w:t>
      </w:r>
      <w:r w:rsidR="00172A55" w:rsidRPr="00EF64BD">
        <w:rPr>
          <w:rStyle w:val="Style1Char"/>
          <w:rFonts w:hint="cs"/>
          <w:rtl/>
        </w:rPr>
        <w:t>)</w:t>
      </w:r>
      <w:r w:rsidRPr="00A36843">
        <w:rPr>
          <w:rStyle w:val="Style1Char"/>
          <w:color w:val="auto"/>
          <w:sz w:val="22"/>
          <w:szCs w:val="22"/>
          <w:rtl/>
        </w:rPr>
        <w:t xml:space="preserve">נשא את הראשונה ומתה, נשא שניה ומת הוא - שניה ויורשיה קודמין ליורשי הראשונה. </w:t>
      </w:r>
    </w:p>
    <w:p w14:paraId="109869DD" w14:textId="77777777" w:rsidR="005F1878" w:rsidRPr="002E501D" w:rsidRDefault="005F1878" w:rsidP="005F1878">
      <w:pPr>
        <w:bidi/>
        <w:rPr>
          <w:rStyle w:val="Style1Char"/>
          <w:color w:val="806000" w:themeColor="accent4" w:themeShade="80"/>
        </w:rPr>
      </w:pPr>
      <w:r w:rsidRPr="002E501D">
        <w:rPr>
          <w:rStyle w:val="Style1Char"/>
          <w:color w:val="806000" w:themeColor="accent4" w:themeShade="80"/>
          <w:rtl/>
        </w:rPr>
        <w:t>אוקימנא בסוף כל הנשבעין (דף מח א) כשנשבעה ומתה אבל מתה ולא נשבעה אין יורשין של שניה נוטלין כתובתה דאין אדם מוריש שבועה לבניו</w:t>
      </w:r>
      <w:r w:rsidRPr="002E501D">
        <w:rPr>
          <w:rStyle w:val="Style1Char"/>
          <w:color w:val="806000" w:themeColor="accent4" w:themeShade="80"/>
        </w:rPr>
        <w:t xml:space="preserve">: </w:t>
      </w:r>
    </w:p>
    <w:p w14:paraId="2CDEDEAF" w14:textId="2EF0B48B" w:rsidR="005F1878" w:rsidRDefault="005F1878" w:rsidP="005F1878">
      <w:pPr>
        <w:bidi/>
        <w:rPr>
          <w:rStyle w:val="Style1Char"/>
          <w:color w:val="00B050"/>
        </w:rPr>
      </w:pPr>
      <w:r w:rsidRPr="00C353D8">
        <w:rPr>
          <w:rStyle w:val="Style1Char"/>
          <w:sz w:val="22"/>
          <w:szCs w:val="22"/>
          <w:rtl/>
        </w:rPr>
        <w:t xml:space="preserve">גמ'. </w:t>
      </w:r>
      <w:r w:rsidRPr="00DB0EBD">
        <w:rPr>
          <w:rStyle w:val="Style1Char"/>
          <w:color w:val="00B050"/>
          <w:rtl/>
        </w:rPr>
        <w:t xml:space="preserve">מדקתני הראשונה קודמת לשניה, ולא קתני הראשונה יש לה והשניה אין לה, מכלל דאי קדמה שניה ותפסה - לא מפקינן מינה, שמע מינה: בעל חוב מאוחר שקדם וגבה, מה שגבה גבה! לעולם אימא לך: מה שגבה לא גבה, ומאי קודמת? לגמרי קתני, כדתנן: בן קודם לבת. איכא דאמרי: מדלא קתני אם קדמה שניה ותפסה אין מוציאין מידה, מכלל דאי קדמה שניה ותפסה - מפקינן מינה, שמע מינה: בעל חוב מאוחר שקדם וגבה, מה שגבה לא גבה! לעולם אימא לך: מה שגבה גבה, איידי דתנא שניה ויורשיה קודמין ליורשי הראשונה, </w:t>
      </w:r>
    </w:p>
    <w:p w14:paraId="634B048C" w14:textId="4D2F8ECB" w:rsidR="00F603C8" w:rsidRDefault="00F603C8" w:rsidP="00F603C8">
      <w:pPr>
        <w:pStyle w:val="Style1"/>
        <w:rPr>
          <w:rStyle w:val="Style1Char"/>
          <w:rtl/>
        </w:rPr>
      </w:pPr>
      <w:r>
        <w:rPr>
          <w:rStyle w:val="Style1Char"/>
          <w:rFonts w:hint="cs"/>
          <w:rtl/>
        </w:rPr>
        <w:t>1)[</w:t>
      </w:r>
      <w:r w:rsidRPr="00F603C8">
        <w:rPr>
          <w:rStyle w:val="Style1Char"/>
          <w:rtl/>
        </w:rPr>
        <w:t>רמב</w:t>
      </w:r>
      <w:r w:rsidR="00213DA1">
        <w:rPr>
          <w:rStyle w:val="Style1Char"/>
          <w:rtl/>
        </w:rPr>
        <w:t>”ם \נשים\</w:t>
      </w:r>
      <w:r w:rsidRPr="00F603C8">
        <w:rPr>
          <w:rStyle w:val="Style1Char"/>
          <w:rtl/>
        </w:rPr>
        <w:t xml:space="preserve"> הלכות אישות פרק יט הלכה ב</w:t>
      </w:r>
      <w:r>
        <w:rPr>
          <w:rStyle w:val="Style1Char"/>
          <w:rFonts w:hint="cs"/>
          <w:rtl/>
        </w:rPr>
        <w:t xml:space="preserve">] </w:t>
      </w:r>
      <w:r w:rsidRPr="00F603C8">
        <w:rPr>
          <w:rStyle w:val="Style1Char"/>
          <w:rtl/>
        </w:rPr>
        <w:t>כיצד נשא אשה כתובתה ונדוניתה אלף וילדה בן ומתה בחייו, ואחר כך נשא אשה אחרת כתובתה ונדוניתה מאתים והולידה בן ומתה בחייו, ואחר כך מת הוא והניח אלפים, בנו מן הראשונה יורש אלף שבכתובת אמו ובנו מן השנייה יורש מאתים שבכתובת אמו והשאר יורשים אותו בשוה, נמצא ביד בן הראשונה אלף וארבע מאות וביד בן השנייה שש מאות.</w:t>
      </w:r>
    </w:p>
    <w:p w14:paraId="7BB42C51" w14:textId="7617247C" w:rsidR="0068036D" w:rsidRDefault="0068036D" w:rsidP="0068036D">
      <w:pPr>
        <w:pStyle w:val="Style1"/>
        <w:rPr>
          <w:rStyle w:val="Style1Char"/>
          <w:rtl/>
        </w:rPr>
      </w:pPr>
      <w:r>
        <w:rPr>
          <w:rStyle w:val="Style1Char"/>
          <w:rFonts w:hint="cs"/>
          <w:rtl/>
        </w:rPr>
        <w:t>1)[</w:t>
      </w:r>
      <w:r w:rsidRPr="0068036D">
        <w:rPr>
          <w:rStyle w:val="Style1Char"/>
          <w:rtl/>
        </w:rPr>
        <w:t>שולחן ערוך אבן העזר הלכות כתובות סימן קיא סעיף יא</w:t>
      </w:r>
      <w:r>
        <w:rPr>
          <w:rStyle w:val="Style1Char"/>
          <w:rFonts w:hint="cs"/>
          <w:rtl/>
        </w:rPr>
        <w:t xml:space="preserve">] </w:t>
      </w:r>
      <w:r w:rsidRPr="0068036D">
        <w:rPr>
          <w:rStyle w:val="Style1Char"/>
          <w:rtl/>
        </w:rPr>
        <w:t>היה נשוי שתי נשים, והיו לו בנים מהן ומת, ואח"כ מתו הנשים, אם נשבעו ואחר כך מתו, כל אחד ואחד יורש כתובת אמו בירושה של תורה ולא בתנאי זה, לפיכך אין משגיחין אם יש שם מותר או אין שם. ויורשי הראשונה קודמים ליורשי השניה. ואם לא נשבעו, חולקין כל הבנים בשוה ואין שם ירושת כתובה, לפי שאין לאלמנה כתובה עד שתשבע.</w:t>
      </w:r>
    </w:p>
    <w:p w14:paraId="70DFB17D" w14:textId="11D5122C" w:rsidR="003D0611" w:rsidRDefault="003D0611" w:rsidP="003D0611">
      <w:pPr>
        <w:pStyle w:val="Style1"/>
        <w:rPr>
          <w:rStyle w:val="Style1Char"/>
          <w:rtl/>
        </w:rPr>
      </w:pPr>
      <w:r>
        <w:rPr>
          <w:rStyle w:val="Style1Char"/>
          <w:rFonts w:hint="cs"/>
          <w:rtl/>
        </w:rPr>
        <w:t>2)[</w:t>
      </w:r>
      <w:r w:rsidRPr="003D0611">
        <w:rPr>
          <w:rStyle w:val="Style1Char"/>
          <w:rtl/>
        </w:rPr>
        <w:t>רמב</w:t>
      </w:r>
      <w:r w:rsidR="00213DA1">
        <w:rPr>
          <w:rStyle w:val="Style1Char"/>
          <w:rtl/>
        </w:rPr>
        <w:t>”ם \נשים\</w:t>
      </w:r>
      <w:r w:rsidRPr="003D0611">
        <w:rPr>
          <w:rStyle w:val="Style1Char"/>
          <w:rtl/>
        </w:rPr>
        <w:t xml:space="preserve"> הלכות אישות פרק יט הלכה ז</w:t>
      </w:r>
      <w:r>
        <w:rPr>
          <w:rStyle w:val="Style1Char"/>
          <w:rFonts w:hint="cs"/>
          <w:rtl/>
        </w:rPr>
        <w:t xml:space="preserve">] </w:t>
      </w:r>
      <w:r w:rsidRPr="003D0611">
        <w:rPr>
          <w:rStyle w:val="Style1Char"/>
          <w:rtl/>
        </w:rPr>
        <w:t>מי שהיה נשוי שתי נשים ומתה אחת מהן בחייו ואחת אחר מותו ולו בנים משתיהן אף על פי שלא הניח יתר על שתי הכתובות אם נשבעה השניה שבועת אלמנה קודם שתמות, בניה קודמים לירש כתובתה, מפני שאינן יורשין כתובת אמן בתנאי זה אלא ירושה של תורה, ואחר כך יורשין בני הראשונה כתובת אמן בתנאי זה, ואם נשאר שם כלום חולקין אותו בשוה, ואם מתה קודם שתשבע בני הראשונה יורשים כתובת אמן בלבד והשאר חולקין בשוה.</w:t>
      </w:r>
    </w:p>
    <w:p w14:paraId="0511E758" w14:textId="624D6810" w:rsidR="00336B23" w:rsidRPr="00A40C45" w:rsidRDefault="00336B23" w:rsidP="00336B23">
      <w:pPr>
        <w:pStyle w:val="Style1"/>
      </w:pPr>
      <w:r>
        <w:rPr>
          <w:rStyle w:val="Style1Char"/>
          <w:rFonts w:hint="cs"/>
          <w:rtl/>
        </w:rPr>
        <w:t>2)[</w:t>
      </w:r>
      <w:r w:rsidRPr="00336B23">
        <w:rPr>
          <w:rStyle w:val="Style1Char"/>
          <w:rtl/>
        </w:rPr>
        <w:t>שולחן ערוך אבן העזר הלכות כתובות סימן קיא סעיף ח</w:t>
      </w:r>
      <w:r>
        <w:rPr>
          <w:rStyle w:val="Style1Char"/>
          <w:rFonts w:hint="cs"/>
          <w:rtl/>
        </w:rPr>
        <w:t>]</w:t>
      </w:r>
      <w:r w:rsidR="00A40C45">
        <w:rPr>
          <w:rStyle w:val="Style1Char"/>
          <w:rFonts w:hint="cs"/>
          <w:rtl/>
        </w:rPr>
        <w:t xml:space="preserve"> </w:t>
      </w:r>
      <w:r w:rsidR="00A40C45" w:rsidRPr="00A40C45">
        <w:rPr>
          <w:rtl/>
        </w:rPr>
        <w:t>מי שהיה נשוי שתי נשים ומתה אחת מהם בחייו ואחת אחר מותו, ולו בנים משתיהן, אף על פי שלא הניח יותר על שתי הכתבות, אם נשבעה השניה שבועת אלמנה קדם שתמות, בניה קודמים לירשת כתבתה, מפני שאינם יורשים כתבת אמם בתנאי זה, אלא ירשה של תורה, ואחר כך יורשים בני הראשונה כתבת אמם בתנאי זה; ואם נשאר שם כלום, חולקין אותו בשוה. ואם מתה קדם שתשבע, בני הראשונה יורשים כתבת אמם בלבד, והשאר חולקין בשוה. וכל שכן אם מתו שתיהן אחר מותו, שבני כל אחת נוטלים כתבת אמם אפלו אין שם מותר, שהרי באים בתורת חוב. וכן אם גרש אחת, ומתה אחת בחייו, ואחר כך מת והניח בנים משתיהן, בני המתה נוטלין כתבת בנין דכרין אפלו אין שם מותר דינר, דכתבת הגרושה שהוא חוב נעשית מותר לחברתה. לפיכך בני הגרושה נוטלים תחלה, ואחר כך בני המתה</w:t>
      </w:r>
      <w:r w:rsidR="00A40C45" w:rsidRPr="00A40C45">
        <w:t>:</w:t>
      </w:r>
    </w:p>
    <w:p w14:paraId="554D598B" w14:textId="58D905AD" w:rsidR="00336B23" w:rsidRPr="00F603C8" w:rsidRDefault="00336B23" w:rsidP="00336B23">
      <w:pPr>
        <w:pStyle w:val="Style1"/>
        <w:rPr>
          <w:rStyle w:val="Style1Char"/>
          <w:rtl/>
        </w:rPr>
      </w:pPr>
    </w:p>
    <w:p w14:paraId="7D11B2AB" w14:textId="77777777" w:rsidR="005F1878" w:rsidRPr="0094092D" w:rsidRDefault="005F1878" w:rsidP="005F1878">
      <w:pPr>
        <w:bidi/>
        <w:rPr>
          <w:rStyle w:val="Style1Char"/>
          <w:color w:val="00B050"/>
          <w:rtl/>
        </w:rPr>
      </w:pPr>
    </w:p>
    <w:p w14:paraId="2B0034D2" w14:textId="77777777" w:rsidR="005F1878" w:rsidRDefault="005F1878" w:rsidP="005F1878">
      <w:pPr>
        <w:rPr>
          <w:rStyle w:val="Style1Char"/>
          <w:color w:val="00B050"/>
          <w:rtl/>
        </w:rPr>
      </w:pPr>
      <w:r>
        <w:rPr>
          <w:rStyle w:val="Style1Char"/>
          <w:color w:val="00B050"/>
          <w:rtl/>
        </w:rPr>
        <w:br w:type="page"/>
      </w:r>
    </w:p>
    <w:p w14:paraId="41F728F1" w14:textId="77777777" w:rsidR="005F1878" w:rsidRPr="00DB0EBD" w:rsidRDefault="005F1878" w:rsidP="005F1878">
      <w:pPr>
        <w:bidi/>
        <w:rPr>
          <w:rStyle w:val="Style1Char"/>
          <w:color w:val="00B050"/>
        </w:rPr>
      </w:pPr>
      <w:r w:rsidRPr="00E95188">
        <w:rPr>
          <w:rStyle w:val="Style1Char"/>
          <w:color w:val="00B050"/>
          <w:sz w:val="22"/>
          <w:szCs w:val="22"/>
          <w:highlight w:val="yellow"/>
          <w:rtl/>
        </w:rPr>
        <w:lastRenderedPageBreak/>
        <w:t>[דף צ עמוד ב]</w:t>
      </w:r>
      <w:r w:rsidRPr="00E95188">
        <w:rPr>
          <w:rStyle w:val="Style1Char"/>
          <w:color w:val="00B050"/>
          <w:sz w:val="22"/>
          <w:szCs w:val="22"/>
          <w:rtl/>
        </w:rPr>
        <w:t xml:space="preserve"> </w:t>
      </w:r>
      <w:r w:rsidRPr="00DB0EBD">
        <w:rPr>
          <w:rStyle w:val="Style1Char"/>
          <w:color w:val="00B050"/>
          <w:rtl/>
        </w:rPr>
        <w:t xml:space="preserve">תנא נמי הראשונה קודמת לשניה. </w:t>
      </w:r>
    </w:p>
    <w:p w14:paraId="41EA786C" w14:textId="6A5D3704" w:rsidR="005F1878" w:rsidRDefault="005F1878" w:rsidP="005F1878">
      <w:pPr>
        <w:bidi/>
        <w:rPr>
          <w:rStyle w:val="Style1Char"/>
          <w:color w:val="00B050"/>
          <w:rtl/>
        </w:rPr>
      </w:pPr>
      <w:r w:rsidRPr="00DB0EBD">
        <w:rPr>
          <w:rStyle w:val="Style1Char"/>
          <w:color w:val="00B050"/>
          <w:rtl/>
        </w:rPr>
        <w:t xml:space="preserve">נשא את הראשונה. </w:t>
      </w:r>
      <w:r w:rsidRPr="003F6C76">
        <w:rPr>
          <w:rStyle w:val="Style1Char"/>
          <w:color w:val="auto"/>
          <w:sz w:val="22"/>
          <w:szCs w:val="22"/>
          <w:rtl/>
        </w:rPr>
        <w:t xml:space="preserve">שמע מינה תלת: </w:t>
      </w:r>
      <w:r w:rsidR="009D799D">
        <w:rPr>
          <w:rStyle w:val="Style1Char"/>
          <w:rFonts w:hint="cs"/>
          <w:rtl/>
        </w:rPr>
        <w:t>(1)</w:t>
      </w:r>
      <w:r w:rsidRPr="003F6C76">
        <w:rPr>
          <w:rStyle w:val="Style1Char"/>
          <w:color w:val="auto"/>
          <w:sz w:val="22"/>
          <w:szCs w:val="22"/>
          <w:rtl/>
        </w:rPr>
        <w:t>שמע מינה, אחת בחייו ואחת במותו - יש להן כתובת בנין דכרין, ולא חיישינן לאינצויי, ממאי? מדקתני שניה ויורשיה קודמים ליורשי ראשונה, מיקדם הוא דקדמי, הא איכא שקלי</w:t>
      </w:r>
      <w:r w:rsidRPr="00D22338">
        <w:rPr>
          <w:rStyle w:val="BalloonTextChar"/>
          <w:rFonts w:asciiTheme="minorHAnsi" w:hAnsiTheme="minorHAnsi" w:cs="Arial"/>
          <w:color w:val="4472C4" w:themeColor="accent1"/>
          <w:rtl/>
        </w:rPr>
        <w:t xml:space="preserve"> </w:t>
      </w:r>
      <w:r w:rsidRPr="00EA5594">
        <w:rPr>
          <w:rStyle w:val="Style1Char"/>
          <w:color w:val="4472C4" w:themeColor="accent1"/>
          <w:rtl/>
        </w:rPr>
        <w:t>כתב רבינו חננאל ז"ל מסוגיא דהא שמעתתא שמעינן דאם מתה גם זו שנשארה אחריו יש להן כתובת בנין דיכרין לבני הראשונה אבל בדאיתא בחיים לא אשכחן ויש מן הגאונים שאמרו כן בתשובותיהם וטעמא דמילתא משום דאינצויי כי הא ודאי חיישינן לפי שאין בני השנייה נוטלין כלום אלא כתובת אמן ובני הראשונה נוטלין כל הנכסים והם יוצאין נקיים מהם לגמרי</w:t>
      </w:r>
      <w:r>
        <w:rPr>
          <w:rStyle w:val="Style1Char"/>
          <w:rFonts w:hint="cs"/>
          <w:color w:val="4472C4" w:themeColor="accent1"/>
          <w:rtl/>
        </w:rPr>
        <w:t xml:space="preserve"> </w:t>
      </w:r>
      <w:r w:rsidRPr="00EA5594">
        <w:rPr>
          <w:rStyle w:val="Style1Char"/>
          <w:color w:val="4472C4" w:themeColor="accent1"/>
          <w:rtl/>
        </w:rPr>
        <w:t>ויש מן הגאונים דאמרי שאפילו בחיי השניה נוטלין בני הראשונה ודייקי מדקתני מתני' שניה ויורשיה קודמין וכי היכי דדייקינן על יורשיה מיקדם הוא דקדמי הא איכא שקלי ה"נ דייקינן בשניה מיקדם הוא דקדמה הא איכא שקלי וכן מסתבר דאם איתא דבחייה לית להו לבני הראשונה גם אחרי מותה נמי לית להו דכבר זכו בהן בני השניה בנכסים כי היכי דאמרי' במועטין ונתרבו.</w:t>
      </w:r>
      <w:r w:rsidRPr="003F6C76">
        <w:rPr>
          <w:rStyle w:val="Style1Char"/>
          <w:color w:val="auto"/>
          <w:sz w:val="22"/>
          <w:szCs w:val="22"/>
          <w:rtl/>
        </w:rPr>
        <w:t xml:space="preserve">; </w:t>
      </w:r>
      <w:r w:rsidR="00304E93">
        <w:rPr>
          <w:rStyle w:val="Style1Char"/>
          <w:rFonts w:hint="cs"/>
          <w:rtl/>
        </w:rPr>
        <w:t>(1)</w:t>
      </w:r>
      <w:r w:rsidRPr="003F6C76">
        <w:rPr>
          <w:rStyle w:val="Style1Char"/>
          <w:color w:val="auto"/>
          <w:sz w:val="22"/>
          <w:szCs w:val="22"/>
          <w:rtl/>
        </w:rPr>
        <w:t>ושמע מינה, כתובה נעשית מותר לחברתה, ממאי? מדלא קתני אם יש שם מותר דינר</w:t>
      </w:r>
      <w:r>
        <w:rPr>
          <w:rStyle w:val="Style1Char"/>
          <w:rFonts w:hint="cs"/>
          <w:color w:val="auto"/>
          <w:sz w:val="22"/>
          <w:szCs w:val="22"/>
          <w:rtl/>
        </w:rPr>
        <w:t xml:space="preserve"> </w:t>
      </w:r>
      <w:r w:rsidRPr="00EA5594">
        <w:rPr>
          <w:rStyle w:val="Style1Char"/>
          <w:color w:val="4472C4" w:themeColor="accent1"/>
          <w:rtl/>
        </w:rPr>
        <w:t>כי בפירעון כתובת השנייה מיקיימא נחלה דאורייתא ואם לא היו שם נכסים אלא כשיעור כתובה ראשונה ופרעו מהן כתובת השניה לא יטלו בני הראשונה המותר כיון דאי הוו שקלו כתובת אמן מיעקרא נחלה דאורייתא כי לא היה שם מותר דינר אף על פי שפרעו כתובת השניה לית כאן כלל דין כתובת בני דיכרין כיון שלא היה שם מותר דינר יתר על כתובת אמן וכן פרש"י בב"ח שיש שיעור שתי כתובות ומותר דינר והוא משועבד לב"ח אבל אם אין שם מותר דינר על שתי כתובות אף על פי שהן צריכין לפרוע חוב אביהן לא אמרינן הרי קיימו נחלה דאורייתא והמותר יחלוקו ביניהם כל אחד כפי חלק המגיעו והיינו טעמא כיון דבשעת מיתה לא היה שם מותר זכו מיד בני כתובה הקטנה לחלוק בשוה וכשבא אח"כ ב"ח לגבות חובו ה"ל כדבר שנתחדש ביניהם אח"כ דהא קי"ל ב"ח מכאן ולהבא הוא גובה ואינו מבטל הזכות שזכו בני הקטנה מידי דהוה אמועטין ונתרבו והיכא דהוה נכסי יותר מכדי כתובה הראשונה וכשפרע כתובת השניה לא נשאר לבני הראשונה כדי כתובתן ראיתי מן הגדולים שכתבו דלא תקינו כתובת בנין דיכרין אלא היכא דמצי למשקל כל כתובת אמן ולא מיסתבר כלל כיון דבשעת מיתת אביהן היה בנכסים כדי לקיים נחלה דאורייתא לא הפסידו זכותן ומה שישאר אחר הפריעה יטלו הן רב הן מעט וכן בשתי כתובות וב"ח ויש יתר על שתי כתובות דינר אף על פי שהחוב גדול יחלוקו המותר ביניהם לפי הכתובות אף על פי שאינן גובין בו כתובת אמן וה"ה נמי בכתובה נעשית מותר לחברתה</w:t>
      </w:r>
      <w:r w:rsidRPr="003F6C76">
        <w:rPr>
          <w:rStyle w:val="Style1Char"/>
          <w:color w:val="auto"/>
          <w:sz w:val="22"/>
          <w:szCs w:val="22"/>
          <w:rtl/>
        </w:rPr>
        <w:t xml:space="preserve">; </w:t>
      </w:r>
      <w:r w:rsidR="00F048BF">
        <w:rPr>
          <w:rStyle w:val="Style1Char"/>
          <w:rFonts w:hint="cs"/>
          <w:rtl/>
        </w:rPr>
        <w:t>(2)</w:t>
      </w:r>
      <w:r w:rsidRPr="003F6C76">
        <w:rPr>
          <w:rStyle w:val="Style1Char"/>
          <w:color w:val="auto"/>
          <w:sz w:val="22"/>
          <w:szCs w:val="22"/>
          <w:rtl/>
        </w:rPr>
        <w:t>ושמע מינה, כתובת בנין דכרין לא טרפה ממשעבדי, דאי סלקא דעתין טרפה ממשעבדי, ליתו בני ראשונה ולטרפינהו לבני שניה</w:t>
      </w:r>
      <w:r w:rsidRPr="003F6C76">
        <w:rPr>
          <w:rStyle w:val="Style1Char"/>
          <w:color w:val="auto"/>
          <w:rtl/>
        </w:rPr>
        <w:t xml:space="preserve">. </w:t>
      </w:r>
      <w:r w:rsidRPr="00DB0EBD">
        <w:rPr>
          <w:rStyle w:val="Style1Char"/>
          <w:color w:val="00B050"/>
          <w:rtl/>
        </w:rPr>
        <w:t xml:space="preserve">מתקיף לה רב אשי: ממאי? דלמא לעולם אימא לך: אחת בחייו ואחת במותו - אין להן כתובת בנין דכרין, ומאי קודמין? לנחלה קתני! וכי תימא יורשי הראשונה למה לי? איידי דתנא שניה ויורשיה, תנא נמי ליורשי הראשונה: ודקאמרת: כתובה נעשית מותר לחברתה, דלמא לעולם אימא לך: אין כתובה נעשית מותר לחברתה, והכא הוא דאיכא מותר דינר; ואחת בחייו ואחת במותו תנאי היא, דתניא: מתו אחת בחייו ואחת במותו, בן ננס אומר: יכולין בני הראשונה לומר לבני השניה בני בעלת חוב אתם, טלו כתובת אמכם וצאו, ר' עקיבא אומר: כבר קפצה נחלה מלפני בני הראשונה ונפלה לפני בני השניה; מאי לאו בהא קא מיפלגי, דמר סבר: אחת בחייו ואחת במותו - יש להן כתובת בנין דכרין, ומר סבר: אחת בחייו ואחת במותו - אין להן כתובת בנין דכרין. אמר רבה, אשכחתינהו לרבנן דבי רב דיתבי וקאמרי: דכולי עלמא, אחת בחייו ואחת במותו - יש להן כתובת בנין דכרין, והכא בכתובה נעשית מותר לחברתה והוא הדין לבעל חוב קמיפלגי, מר סבר: כתובה נעשית מותר לחברתה והוא הדין לבעל חוב, ומר סבר: אין כתובה נעשית מותר לחברתה והוא הדין לבעל חוב; ואמינא להו אנא: </w:t>
      </w:r>
      <w:r w:rsidR="007F4002">
        <w:rPr>
          <w:rStyle w:val="Style1Char"/>
          <w:rFonts w:hint="cs"/>
          <w:rtl/>
        </w:rPr>
        <w:t>(3)</w:t>
      </w:r>
      <w:r w:rsidRPr="00DB0EBD">
        <w:rPr>
          <w:rStyle w:val="Style1Char"/>
          <w:color w:val="00B050"/>
          <w:rtl/>
        </w:rPr>
        <w:t xml:space="preserve">בעל חוב - כולי עלמא לא פליגי דהוי מותר, כי פליגי - בכתובה. מתקיף לה רב יוסף: אי הכי, רבי עקיבא אומר: כבר קפצה נחלה, אם יש מותר דינר מיבעי ליה! אלא אמר רב יוסף: באחת בחייו ואחת במותו קא מיפלגי, והני תנאי כי הני תנאי; דתניא: נשא את הראשונה ומתה, נשא את השניה ומת הוא, באין בניה של זו לאחר מיתה ונוטלין כתובת אמן; ר"ש אומר: אם יש מותר דינר - אלו נוטלין כתובת אמן ואלו נוטלין כתובת אמן, ואם לאו - חולקין בשוה; מאי לאו בהא קא מיפלגי, דמר סבר: אחת בחייו ואחת במותו - יש להן כתובת בנין דכרין, ומר סבר: אחת בחייו ואחת במותו - אין להם כתובת בנין דכרין! לא, דכ"ע אחת בחייו ואחת במותו - יש להן כתובת בנין דכרין, </w:t>
      </w:r>
    </w:p>
    <w:p w14:paraId="5B1A9D07" w14:textId="032FA4AC" w:rsidR="005F1878" w:rsidRDefault="005F1878" w:rsidP="005F1878">
      <w:pPr>
        <w:bidi/>
        <w:rPr>
          <w:rStyle w:val="Style1Char"/>
          <w:color w:val="C00000"/>
          <w:sz w:val="22"/>
          <w:szCs w:val="22"/>
          <w:rtl/>
        </w:rPr>
      </w:pPr>
      <w:r w:rsidRPr="00622FC2">
        <w:rPr>
          <w:rStyle w:val="Style1Char"/>
          <w:color w:val="C00000"/>
          <w:sz w:val="22"/>
          <w:szCs w:val="22"/>
          <w:rtl/>
        </w:rPr>
        <w:t>והיכא דאיכא בע"ח ואיכא מותר על שתי כתובות מאי דשקל בע"ח כ"ע לא פליגי דהוי מותר והני שקלי כתובת אמן והני שקלי כתובת אמן:</w:t>
      </w:r>
    </w:p>
    <w:p w14:paraId="365B6203" w14:textId="0A7905CF" w:rsidR="004656EB" w:rsidRDefault="004656EB" w:rsidP="004656EB">
      <w:pPr>
        <w:pStyle w:val="Style1"/>
        <w:rPr>
          <w:rStyle w:val="Style1Char"/>
          <w:rtl/>
        </w:rPr>
      </w:pPr>
      <w:r>
        <w:rPr>
          <w:rStyle w:val="Style1Char"/>
          <w:rFonts w:hint="cs"/>
          <w:rtl/>
        </w:rPr>
        <w:t>1)[</w:t>
      </w:r>
      <w:r w:rsidRPr="003D0611">
        <w:rPr>
          <w:rStyle w:val="Style1Char"/>
          <w:rtl/>
        </w:rPr>
        <w:t>רמב</w:t>
      </w:r>
      <w:r w:rsidR="00213DA1">
        <w:rPr>
          <w:rStyle w:val="Style1Char"/>
          <w:rtl/>
        </w:rPr>
        <w:t>”ם \נשים\</w:t>
      </w:r>
      <w:r w:rsidRPr="003D0611">
        <w:rPr>
          <w:rStyle w:val="Style1Char"/>
          <w:rtl/>
        </w:rPr>
        <w:t xml:space="preserve"> הלכות אישות פרק יט הלכה ז</w:t>
      </w:r>
      <w:r>
        <w:rPr>
          <w:rStyle w:val="Style1Char"/>
          <w:rFonts w:hint="cs"/>
          <w:rtl/>
        </w:rPr>
        <w:t xml:space="preserve">] </w:t>
      </w:r>
      <w:r w:rsidRPr="003D0611">
        <w:rPr>
          <w:rStyle w:val="Style1Char"/>
          <w:rtl/>
        </w:rPr>
        <w:t>מי שהיה נשוי שתי נשים ומתה אחת מהן בחייו ואחת אחר מותו ולו בנים משתיהן אף על פי שלא הניח יתר על שתי הכתובות אם נשבעה השניה שבועת אלמנה קודם שתמות, בניה קודמים לירש כתובתה, מפני שאינן יורשין כתובת אמן בתנאי זה אלא ירושה של תורה, ואחר כך יורשין בני הראשונה כתובת אמן בתנאי זה, ואם נשאר שם כלום חולקין אותו בשוה, ואם מתה קודם שתשבע בני הראשונה יורשים כתובת אמן בלבד והשאר חולקין בשוה.</w:t>
      </w:r>
    </w:p>
    <w:p w14:paraId="6ACBE7D3" w14:textId="1DEE56E8" w:rsidR="004656EB" w:rsidRDefault="004656EB" w:rsidP="004656EB">
      <w:pPr>
        <w:pStyle w:val="Style1"/>
        <w:rPr>
          <w:rtl/>
        </w:rPr>
      </w:pPr>
      <w:r>
        <w:rPr>
          <w:rStyle w:val="Style1Char"/>
          <w:rFonts w:hint="cs"/>
          <w:rtl/>
        </w:rPr>
        <w:t>1)[</w:t>
      </w:r>
      <w:r w:rsidRPr="00336B23">
        <w:rPr>
          <w:rStyle w:val="Style1Char"/>
          <w:rtl/>
        </w:rPr>
        <w:t>שולחן ערוך אבן העזר הלכות כתובות סימן קיא סעיף ח</w:t>
      </w:r>
      <w:r>
        <w:rPr>
          <w:rStyle w:val="Style1Char"/>
          <w:rFonts w:hint="cs"/>
          <w:rtl/>
        </w:rPr>
        <w:t xml:space="preserve">] </w:t>
      </w:r>
      <w:r w:rsidRPr="00A40C45">
        <w:rPr>
          <w:rtl/>
        </w:rPr>
        <w:t>מי שהיה נשוי שתי נשים ומתה אחת מהם בחייו ואחת אחר מותו, ולו בנים משתיהן, אף על פי שלא הניח יותר על שתי הכתבות, אם נשבעה השניה שבועת אלמנה קדם שתמות, בניה קודמים לירשת כתבתה, מפני שאינם יורשים כתבת אמם בתנאי זה, אלא ירשה של תורה, ואחר כך יורשים בני הראשונה כתבת אמם בתנאי זה; ואם נשאר שם כלום, חולקין אותו בשוה. ואם מתה קדם שתשבע, בני הראשונה יורשים כתבת אמם בלבד, והשאר חולקין בשוה. וכל שכן אם מתו שתיהן אחר מותו, שבני כל אחת נוטלים כתבת אמם אפלו אין שם מותר, שהרי באים בתורת חוב. וכן אם גרש אחת, ומתה אחת בחייו, ואחר כך מת והניח בנים משתיהן, בני המתה נוטלין כתבת בנין דכרין אפלו אין שם מותר דינר, דכתבת הגרושה שהוא חוב נעשית מותר לחברתה. לפיכך בני הגרושה נוטלים תחלה, ואחר כך בני המתה</w:t>
      </w:r>
      <w:r w:rsidRPr="00A40C45">
        <w:t>:</w:t>
      </w:r>
    </w:p>
    <w:p w14:paraId="5B88CFAE" w14:textId="471F4037" w:rsidR="00F048BF" w:rsidRDefault="00F048BF" w:rsidP="00F048BF">
      <w:pPr>
        <w:pStyle w:val="Style1"/>
        <w:rPr>
          <w:rtl/>
        </w:rPr>
      </w:pPr>
      <w:r>
        <w:rPr>
          <w:rFonts w:hint="cs"/>
          <w:rtl/>
        </w:rPr>
        <w:t>2)[</w:t>
      </w:r>
      <w:r>
        <w:rPr>
          <w:rtl/>
        </w:rPr>
        <w:t>רמב</w:t>
      </w:r>
      <w:r w:rsidR="00213DA1">
        <w:rPr>
          <w:rtl/>
        </w:rPr>
        <w:t>”ם \נשים\</w:t>
      </w:r>
      <w:r>
        <w:rPr>
          <w:rtl/>
        </w:rPr>
        <w:t xml:space="preserve"> הלכות אישות פרק יט הלכה ט</w:t>
      </w:r>
      <w:r>
        <w:rPr>
          <w:rFonts w:hint="cs"/>
          <w:rtl/>
        </w:rPr>
        <w:t xml:space="preserve">] </w:t>
      </w:r>
      <w:r>
        <w:rPr>
          <w:rtl/>
        </w:rPr>
        <w:t>אחת נשבעה ואחת לא נשבעה, זו שנשבעה בניה יורשין כתובתה תחלה והשאר חולקין אותו בשוה, וכל היורש כתובת אמו שמתה בחיי אביו אינו טורף מנכסים משועבדים אלא מבני חורין ככל היורשין.</w:t>
      </w:r>
    </w:p>
    <w:p w14:paraId="126DE5D4" w14:textId="2AB587DC" w:rsidR="00A35FFC" w:rsidRDefault="00A35FFC" w:rsidP="00A35FFC">
      <w:pPr>
        <w:pStyle w:val="Style1"/>
        <w:rPr>
          <w:rtl/>
        </w:rPr>
      </w:pPr>
      <w:r>
        <w:rPr>
          <w:rFonts w:hint="cs"/>
          <w:rtl/>
        </w:rPr>
        <w:t>2)[</w:t>
      </w:r>
      <w:r>
        <w:rPr>
          <w:rtl/>
        </w:rPr>
        <w:t>שולחן ערוך אבן העזר הלכות כתובות סימן קיא סעיף יג</w:t>
      </w:r>
      <w:r>
        <w:rPr>
          <w:rFonts w:hint="cs"/>
          <w:rtl/>
        </w:rPr>
        <w:t xml:space="preserve">] </w:t>
      </w:r>
      <w:r>
        <w:rPr>
          <w:rtl/>
        </w:rPr>
        <w:t>כל היורש כתובת אמו שמתה בחיי אביו, אינו טורף מנכסים משועבדים אלא מבני חורין, ככל היורשין. (ועיין למטה סוף הסימן).</w:t>
      </w:r>
    </w:p>
    <w:p w14:paraId="1129DA84" w14:textId="3B179B56" w:rsidR="00EA05FF" w:rsidRDefault="00EA05FF" w:rsidP="00EA05FF">
      <w:pPr>
        <w:pStyle w:val="Style1"/>
        <w:rPr>
          <w:rtl/>
        </w:rPr>
      </w:pPr>
      <w:r>
        <w:rPr>
          <w:rFonts w:hint="cs"/>
          <w:rtl/>
        </w:rPr>
        <w:t>3)[</w:t>
      </w:r>
      <w:r>
        <w:rPr>
          <w:rtl/>
        </w:rPr>
        <w:t>רמב</w:t>
      </w:r>
      <w:r w:rsidR="00213DA1">
        <w:rPr>
          <w:rtl/>
        </w:rPr>
        <w:t>”ם \נשים\</w:t>
      </w:r>
      <w:r>
        <w:rPr>
          <w:rtl/>
        </w:rPr>
        <w:t xml:space="preserve"> הלכות אישות פרק יט הלכה ו</w:t>
      </w:r>
      <w:r>
        <w:rPr>
          <w:rFonts w:hint="cs"/>
          <w:rtl/>
        </w:rPr>
        <w:t xml:space="preserve">] </w:t>
      </w:r>
      <w:r>
        <w:rPr>
          <w:rtl/>
        </w:rPr>
        <w:t>היה שם יתר על כדי כל הכתובות דינר או יתר אף על פי שיש עליו שטר חוב כנגד היתר אינו ממעט אלא כל אחד ואחד מהן יורש כתובת אמו.</w:t>
      </w:r>
    </w:p>
    <w:p w14:paraId="1AECC2EB" w14:textId="0236BFE0" w:rsidR="00A26B28" w:rsidRPr="00A40C45" w:rsidRDefault="00A26B28" w:rsidP="00A26B28">
      <w:pPr>
        <w:pStyle w:val="Style1"/>
      </w:pPr>
      <w:r>
        <w:rPr>
          <w:rFonts w:hint="cs"/>
          <w:rtl/>
        </w:rPr>
        <w:t>3)[</w:t>
      </w:r>
      <w:r>
        <w:rPr>
          <w:rtl/>
        </w:rPr>
        <w:t>שולחן ערוך אבן העזר הלכות כתובות סימן קיא סעיף ו</w:t>
      </w:r>
      <w:r>
        <w:rPr>
          <w:rFonts w:hint="cs"/>
          <w:rtl/>
        </w:rPr>
        <w:t xml:space="preserve">] </w:t>
      </w:r>
      <w:r>
        <w:rPr>
          <w:rtl/>
        </w:rPr>
        <w:t>היה שם יותר על כדי כל הכתובות דינר או יותר, אף על פי שיש עליו שטר חוב כנגד היותר, אינו ממעט אלא כל אחד מהם יורש כתובת אמו.</w:t>
      </w:r>
    </w:p>
    <w:p w14:paraId="55CD0C3D" w14:textId="77777777" w:rsidR="004656EB" w:rsidRPr="004656EB" w:rsidRDefault="004656EB" w:rsidP="004656EB">
      <w:pPr>
        <w:bidi/>
        <w:rPr>
          <w:rStyle w:val="Style1Char"/>
          <w:color w:val="C00000"/>
          <w:sz w:val="22"/>
          <w:szCs w:val="22"/>
          <w:rtl/>
        </w:rPr>
      </w:pPr>
    </w:p>
    <w:p w14:paraId="4FFAB5B2" w14:textId="77777777" w:rsidR="005F1878" w:rsidRPr="003F6C76" w:rsidRDefault="005F1878" w:rsidP="005F1878">
      <w:pPr>
        <w:bidi/>
        <w:rPr>
          <w:rStyle w:val="Style1Char"/>
          <w:color w:val="00B050"/>
          <w:sz w:val="22"/>
          <w:szCs w:val="22"/>
          <w:rtl/>
        </w:rPr>
      </w:pPr>
    </w:p>
    <w:p w14:paraId="60194E05" w14:textId="77777777" w:rsidR="005F1878" w:rsidRPr="004A355E" w:rsidRDefault="005F1878" w:rsidP="005F1878">
      <w:pPr>
        <w:bidi/>
        <w:rPr>
          <w:rStyle w:val="Style1Char"/>
          <w:color w:val="00B050"/>
          <w:rtl/>
        </w:rPr>
      </w:pPr>
    </w:p>
    <w:p w14:paraId="10CAAAC3" w14:textId="77777777" w:rsidR="005F1878" w:rsidRDefault="005F1878" w:rsidP="005F1878">
      <w:pPr>
        <w:rPr>
          <w:rStyle w:val="Style1Char"/>
          <w:color w:val="00B050"/>
          <w:rtl/>
        </w:rPr>
      </w:pPr>
      <w:r>
        <w:rPr>
          <w:rStyle w:val="Style1Char"/>
          <w:color w:val="00B050"/>
          <w:rtl/>
        </w:rPr>
        <w:br w:type="page"/>
      </w:r>
    </w:p>
    <w:p w14:paraId="4A05C71E" w14:textId="77777777" w:rsidR="005F1878" w:rsidRDefault="005F1878" w:rsidP="005F1878">
      <w:pPr>
        <w:bidi/>
        <w:rPr>
          <w:rStyle w:val="Style1Char"/>
          <w:color w:val="C00000"/>
          <w:sz w:val="22"/>
          <w:szCs w:val="22"/>
          <w:rtl/>
        </w:rPr>
      </w:pPr>
      <w:r w:rsidRPr="00E95188">
        <w:rPr>
          <w:rStyle w:val="Style1Char"/>
          <w:color w:val="00B050"/>
          <w:sz w:val="22"/>
          <w:szCs w:val="22"/>
          <w:highlight w:val="yellow"/>
          <w:rtl/>
        </w:rPr>
        <w:lastRenderedPageBreak/>
        <w:t>[דף צא עמוד א]</w:t>
      </w:r>
      <w:r w:rsidRPr="00E95188">
        <w:rPr>
          <w:rStyle w:val="Style1Char"/>
          <w:color w:val="00B050"/>
          <w:sz w:val="22"/>
          <w:szCs w:val="22"/>
          <w:rtl/>
        </w:rPr>
        <w:t xml:space="preserve"> </w:t>
      </w:r>
      <w:r w:rsidRPr="00DB0EBD">
        <w:rPr>
          <w:rStyle w:val="Style1Char"/>
          <w:color w:val="00B050"/>
          <w:rtl/>
        </w:rPr>
        <w:t xml:space="preserve">והכא בדינר מקרקעי קמיפלגי, מר סבר: מקרקעי אין, מטלטלי לא, ומר סבר: אפילו מטלטלי. ומי מצית אמרת הכי? והתנן, ר"ש אומר: אפי' יש שם נכסים שאין להם אחריות - אינן כלום, עד שיהא שם נכסים שיש להן אחריות יתר על ב' כתובות דינר! אלא, הכא בדינר משעבדי קמיפלגי, מר סבר: מבני חורין אין, ממשעבדי לא, ומר סבר: אפי' ממשעבדי. אי הכי, ר"ש אומר: אם יש שם מותר דינר, כיון שיש שם מותר דינר מיבעי ליה! אלא בפחות מדינר קמיפלגי, מר סבר: דינר אין פחות מדינר לא, ומר סבר: אפילו פחות מדינר. והא ר"ש דינר קאמר! וכי תימא איפוך, ת"ק דמתני' נמי דינר קאמר! אלא כי הנך תרי לישנאי קמאי ואיפוך. </w:t>
      </w:r>
      <w:r w:rsidRPr="0023618A">
        <w:rPr>
          <w:rStyle w:val="Style1Char"/>
          <w:color w:val="auto"/>
          <w:sz w:val="22"/>
          <w:szCs w:val="22"/>
          <w:rtl/>
        </w:rPr>
        <w:t>אמר מר זוטרא משמיה דרב פפא, הלכתא: אחת בחייו ואחת במותו - יש להן כתובת בנין דכרין, וכתובה נעשית מותר לחברתה</w:t>
      </w:r>
      <w:r w:rsidRPr="0023618A">
        <w:rPr>
          <w:rStyle w:val="Style1Char"/>
          <w:color w:val="C00000"/>
          <w:sz w:val="22"/>
          <w:szCs w:val="22"/>
          <w:rtl/>
        </w:rPr>
        <w:t xml:space="preserve"> </w:t>
      </w:r>
      <w:r w:rsidRPr="00B7254B">
        <w:rPr>
          <w:rStyle w:val="Style1Char"/>
          <w:color w:val="C00000"/>
          <w:sz w:val="22"/>
          <w:szCs w:val="22"/>
          <w:rtl/>
        </w:rPr>
        <w:t>והנ"מ באחת בחייו ואחת במותו אבל מתו שתיהן בחייו עד שיהא שם יתר על שתי כתובות דינר</w:t>
      </w:r>
      <w:r w:rsidRPr="00DB0EBD">
        <w:rPr>
          <w:rStyle w:val="Style1Char"/>
          <w:color w:val="00B050"/>
          <w:rtl/>
        </w:rPr>
        <w:t xml:space="preserve">. בשלמא אי אשמעינן אחת בחייו ואחת במותו יש להן כתובת בנין דיכרין ולא אשמעינן כתובה נעשית מותר לחברתה, הוה אמינא, אי איכא מותר דינר - אין, אי לא - לא, אלא לישמעינן כתובה נעשית מותר לחברתה, ואנא ידענא משום דאחת בחייו ואחת במותו יש להן כתובת בנין דכרין! אי אשמעינן הכי, הוה אמינא, כגון שנשא שלש נשים ומתו שתים בחייו ואחת במותו, והך דמיית לאחר מיתה יולדת נקבה היא, ולאו בת ירושה היא, אבל אחת בחייו ואחת במותו והא דלאחר מיתה יולדת זכר היא, אימא ליחוש לאינצויי, קמ"ל. </w:t>
      </w:r>
      <w:r w:rsidRPr="00B7254B">
        <w:rPr>
          <w:rStyle w:val="Style1Char"/>
          <w:color w:val="C00000"/>
          <w:sz w:val="22"/>
          <w:szCs w:val="22"/>
          <w:rtl/>
        </w:rPr>
        <w:t>דתנן</w:t>
      </w:r>
    </w:p>
    <w:p w14:paraId="5AB4A04A" w14:textId="0498E8B7" w:rsidR="005F1878" w:rsidRDefault="005F1878" w:rsidP="005F1878">
      <w:pPr>
        <w:bidi/>
        <w:rPr>
          <w:rStyle w:val="Style1Char"/>
          <w:sz w:val="22"/>
          <w:szCs w:val="22"/>
          <w:rtl/>
        </w:rPr>
      </w:pPr>
      <w:r w:rsidRPr="00DB0EBD">
        <w:rPr>
          <w:rStyle w:val="Style1Char"/>
          <w:color w:val="00B050"/>
          <w:rtl/>
        </w:rPr>
        <w:t xml:space="preserve">מתני'. </w:t>
      </w:r>
      <w:r w:rsidR="00831D22">
        <w:rPr>
          <w:rStyle w:val="Style1Char"/>
          <w:rFonts w:hint="cs"/>
          <w:rtl/>
        </w:rPr>
        <w:t>(1)</w:t>
      </w:r>
      <w:r w:rsidRPr="00631DFE">
        <w:rPr>
          <w:rStyle w:val="Style1Char"/>
          <w:color w:val="auto"/>
          <w:sz w:val="22"/>
          <w:szCs w:val="22"/>
          <w:rtl/>
        </w:rPr>
        <w:t xml:space="preserve">מי שהיה נשוי שתי נשים ומתו, ואחר כך מת הוא, ויתומים מבקשין כתובת אמן ואין שם אלא שתי כתובות - חולקין בשוה; </w:t>
      </w:r>
      <w:r w:rsidR="00831D22">
        <w:rPr>
          <w:rStyle w:val="Style1Char"/>
          <w:rFonts w:hint="cs"/>
          <w:rtl/>
        </w:rPr>
        <w:t>(1)</w:t>
      </w:r>
      <w:r w:rsidRPr="00631DFE">
        <w:rPr>
          <w:rStyle w:val="Style1Char"/>
          <w:color w:val="auto"/>
          <w:sz w:val="22"/>
          <w:szCs w:val="22"/>
          <w:rtl/>
        </w:rPr>
        <w:t xml:space="preserve">היה שם מותר דינר - אלו נוטלים כתובת אמן, ואלו נוטלים כתובת אמן. </w:t>
      </w:r>
      <w:r w:rsidR="00AD6D51">
        <w:rPr>
          <w:rStyle w:val="Style1Char"/>
          <w:rFonts w:hint="cs"/>
          <w:rtl/>
        </w:rPr>
        <w:t>(2)</w:t>
      </w:r>
      <w:r w:rsidRPr="00631DFE">
        <w:rPr>
          <w:rStyle w:val="Style1Char"/>
          <w:color w:val="auto"/>
          <w:sz w:val="22"/>
          <w:szCs w:val="22"/>
          <w:rtl/>
        </w:rPr>
        <w:t xml:space="preserve">אם אמרו יתומים אנחנו מעלים על נכסי אבינו יפה דינר, כדי שיטלו כתובת אמן - אין שומעין להן, אלא שמין את הנכסים בבית דין. </w:t>
      </w:r>
      <w:r w:rsidR="00AD6D51">
        <w:rPr>
          <w:rStyle w:val="Style1Char"/>
          <w:rFonts w:hint="cs"/>
          <w:rtl/>
        </w:rPr>
        <w:t>(3)</w:t>
      </w:r>
      <w:r w:rsidRPr="00631DFE">
        <w:rPr>
          <w:rStyle w:val="Style1Char"/>
          <w:color w:val="auto"/>
          <w:sz w:val="22"/>
          <w:szCs w:val="22"/>
          <w:rtl/>
        </w:rPr>
        <w:t>היו שם נכסים בראוי - אינן כבמוחזק</w:t>
      </w:r>
      <w:r w:rsidRPr="00A174DD">
        <w:rPr>
          <w:rStyle w:val="Style1Char"/>
          <w:color w:val="4472C4" w:themeColor="accent1"/>
          <w:rtl/>
        </w:rPr>
        <w:t xml:space="preserve"> </w:t>
      </w:r>
      <w:r w:rsidRPr="00EA5594">
        <w:rPr>
          <w:rStyle w:val="Style1Char"/>
          <w:color w:val="4472C4" w:themeColor="accent1"/>
          <w:rtl/>
        </w:rPr>
        <w:t>אף על פי שמת אבי אביהם קודם חלוקה הואיל ולא היו בשעת מיתה כבר זכו בני הקטנה לחלוק בשוה</w:t>
      </w:r>
      <w:r>
        <w:rPr>
          <w:rStyle w:val="Style1Char"/>
          <w:rFonts w:hint="cs"/>
          <w:color w:val="4472C4" w:themeColor="accent1"/>
          <w:rtl/>
        </w:rPr>
        <w:t xml:space="preserve"> </w:t>
      </w:r>
      <w:r w:rsidRPr="00EA5594">
        <w:rPr>
          <w:rStyle w:val="Style1Char"/>
          <w:color w:val="4472C4" w:themeColor="accent1"/>
          <w:rtl/>
        </w:rPr>
        <w:t>ולא דמי למועטין ונתרבו דמיבעיא ליה התם היה השבח בגוף הנכסים כגון דיקלא ואלים ארעא ואסקא שרטון או נתייקרו הנכסים אבל הכא הני נכסים מעלמא קא אתו.</w:t>
      </w:r>
      <w:r w:rsidRPr="00631DFE">
        <w:rPr>
          <w:rStyle w:val="Style1Char"/>
          <w:color w:val="auto"/>
          <w:sz w:val="22"/>
          <w:szCs w:val="22"/>
          <w:rtl/>
        </w:rPr>
        <w:t xml:space="preserve">. </w:t>
      </w:r>
      <w:r w:rsidR="00637805">
        <w:rPr>
          <w:rStyle w:val="Style1Char"/>
          <w:rFonts w:hint="cs"/>
          <w:rtl/>
        </w:rPr>
        <w:t>(4)</w:t>
      </w:r>
      <w:r w:rsidRPr="00631DFE">
        <w:rPr>
          <w:rStyle w:val="Style1Char"/>
          <w:color w:val="auto"/>
          <w:sz w:val="22"/>
          <w:szCs w:val="22"/>
          <w:rtl/>
        </w:rPr>
        <w:t xml:space="preserve">ר"ש אומר: אפי' יש שם נכסים שאין להם אחריות - אינן כלום, עד שיהיו שם נכסים שיש להן אחריות יותר על שתי הכתובות דינר. </w:t>
      </w:r>
      <w:r w:rsidRPr="00EA5594">
        <w:rPr>
          <w:rStyle w:val="Style1Char"/>
          <w:color w:val="4472C4" w:themeColor="accent1"/>
          <w:rtl/>
        </w:rPr>
        <w:t>ולרבנן אפי' מטלטלי הוי מותר דמיקיים בהו נחלה דאורייתא אבל בהא מודו רבנן לר' שמעון דבעינן מקרקעי שיעור שתי כתובות דתנאי כתובה ככתובה ודוקא ממקרקעי גבי כתובת בנין דיכרין. ואף על גב דתקינו רבנן בתראי למיגבי כתובה ממטלטלי לכתובת בנין דיכרין לא תיקון והיכא דאיכא בעל חוב ואיכא מותר על שני כתובות מאי דשקיל בעל חוב כולי עלמא ל"פ דהוה מותר והני שקלי כתובת אמן והני שקלי כתובת אמן</w:t>
      </w:r>
      <w:r w:rsidRPr="00EA5594">
        <w:rPr>
          <w:rStyle w:val="Style1Char"/>
          <w:color w:val="4472C4" w:themeColor="accent1"/>
        </w:rPr>
        <w:t>:</w:t>
      </w:r>
    </w:p>
    <w:p w14:paraId="5E762148" w14:textId="7C155473" w:rsidR="005F1878" w:rsidRDefault="005F1878" w:rsidP="005F1878">
      <w:pPr>
        <w:bidi/>
        <w:rPr>
          <w:rStyle w:val="Style1Char"/>
          <w:color w:val="auto"/>
          <w:sz w:val="22"/>
          <w:szCs w:val="22"/>
          <w:rtl/>
        </w:rPr>
      </w:pPr>
      <w:r w:rsidRPr="006D7A69">
        <w:rPr>
          <w:rStyle w:val="Style1Char"/>
          <w:color w:val="auto"/>
          <w:sz w:val="22"/>
          <w:szCs w:val="22"/>
          <w:rtl/>
        </w:rPr>
        <w:t xml:space="preserve">גמ'. ת"ר: לזו אלף ולזו חמש מאות, אם יש שם מותר דינר - אלו נוטלין כתובת אמן ואלו נוטלין כתובת אמן, ואם לאו - יחלקו בשוה. פשיטא, </w:t>
      </w:r>
      <w:r w:rsidR="00BC3BC9">
        <w:rPr>
          <w:rStyle w:val="Style1Char"/>
          <w:rFonts w:hint="cs"/>
          <w:rtl/>
        </w:rPr>
        <w:t>(2)</w:t>
      </w:r>
      <w:r w:rsidRPr="006D7A69">
        <w:rPr>
          <w:rStyle w:val="Style1Char"/>
          <w:color w:val="auto"/>
          <w:sz w:val="22"/>
          <w:szCs w:val="22"/>
          <w:rtl/>
        </w:rPr>
        <w:t xml:space="preserve">מרובין ונתמעטו - כבר זכו בהן יורשין, מועטין ונתרבו, מאי? </w:t>
      </w:r>
      <w:r w:rsidRPr="00DB0EBD">
        <w:rPr>
          <w:rStyle w:val="Style1Char"/>
          <w:color w:val="00B050"/>
          <w:rtl/>
        </w:rPr>
        <w:t>ת"ש: דניכסי דבי בר צרצור מועטין ונתרבו הוו, ואתו לקמיה דרב עמרם, אמר להו: זילו פייסינהו, לא אשגחו. אמר להו: אי לא מפייסיתו להו, מחינא לכו בסילוא דלא מבע דמא. שדרינהו לקמיה דרב נחמן</w:t>
      </w:r>
      <w:r w:rsidRPr="00622FC2">
        <w:rPr>
          <w:rStyle w:val="Style1Char"/>
          <w:color w:val="C00000"/>
          <w:rtl/>
        </w:rPr>
        <w:t xml:space="preserve"> </w:t>
      </w:r>
      <w:r w:rsidRPr="006D7A69">
        <w:rPr>
          <w:rStyle w:val="Style1Char"/>
          <w:color w:val="806000" w:themeColor="accent4" w:themeShade="80"/>
          <w:sz w:val="22"/>
          <w:szCs w:val="22"/>
          <w:rtl/>
        </w:rPr>
        <w:t>אמר רב נחמן</w:t>
      </w:r>
      <w:r w:rsidRPr="00DB0EBD">
        <w:rPr>
          <w:rStyle w:val="Style1Char"/>
          <w:color w:val="00B050"/>
          <w:rtl/>
        </w:rPr>
        <w:t xml:space="preserve">, אמר להן: </w:t>
      </w:r>
      <w:r w:rsidR="003B549B">
        <w:rPr>
          <w:rStyle w:val="Style1Char"/>
          <w:rFonts w:hint="cs"/>
          <w:rtl/>
        </w:rPr>
        <w:t>(2)</w:t>
      </w:r>
      <w:r w:rsidRPr="00CB633A">
        <w:rPr>
          <w:rStyle w:val="Style1Char"/>
          <w:color w:val="auto"/>
          <w:sz w:val="22"/>
          <w:szCs w:val="22"/>
          <w:rtl/>
        </w:rPr>
        <w:t xml:space="preserve">כשם שמרובין ונתמעטו </w:t>
      </w:r>
    </w:p>
    <w:p w14:paraId="05A9AC0E" w14:textId="3AF9CFA0" w:rsidR="00D436A6" w:rsidRDefault="00D436A6" w:rsidP="00D436A6">
      <w:pPr>
        <w:pStyle w:val="Style1"/>
        <w:rPr>
          <w:rStyle w:val="Style1Char"/>
          <w:rtl/>
        </w:rPr>
      </w:pPr>
      <w:r>
        <w:rPr>
          <w:rStyle w:val="Style1Char"/>
          <w:rFonts w:hint="cs"/>
          <w:rtl/>
        </w:rPr>
        <w:t>1)[</w:t>
      </w:r>
      <w:r w:rsidRPr="00D436A6">
        <w:rPr>
          <w:rStyle w:val="Style1Char"/>
          <w:rtl/>
        </w:rPr>
        <w:t>רמב</w:t>
      </w:r>
      <w:r w:rsidR="00213DA1">
        <w:rPr>
          <w:rStyle w:val="Style1Char"/>
          <w:rtl/>
        </w:rPr>
        <w:t>”ם \נשים\</w:t>
      </w:r>
      <w:r w:rsidRPr="00D436A6">
        <w:rPr>
          <w:rStyle w:val="Style1Char"/>
          <w:rtl/>
        </w:rPr>
        <w:t xml:space="preserve"> הלכות אישות פרק יט הלכה ג</w:t>
      </w:r>
      <w:r>
        <w:rPr>
          <w:rStyle w:val="Style1Char"/>
          <w:rFonts w:hint="cs"/>
          <w:rtl/>
        </w:rPr>
        <w:t xml:space="preserve">] </w:t>
      </w:r>
      <w:r w:rsidRPr="00D436A6">
        <w:rPr>
          <w:rStyle w:val="Style1Char"/>
          <w:rtl/>
        </w:rPr>
        <w:t>במה דברים אמורים בשהניח יתר על כדי שתי הכתובות דינר אחד או יתר כדי שיחלקו השאר בשוה, אבל אם לא הניח יתר דינר חולקים הכל בשוה, שאם יירשו אלו כתובת אמן ואלו כתובת אמן ולא ישאר דינר אחד לחלוק אותו בין היורשים נמצא תנאי זה מבטל חלוק ירושה בין הבנים בשוה שהוא מן התורה.</w:t>
      </w:r>
    </w:p>
    <w:p w14:paraId="20B8D0D9" w14:textId="679EB2DF" w:rsidR="00E84274" w:rsidRDefault="00E84274" w:rsidP="00E84274">
      <w:pPr>
        <w:pStyle w:val="Style1"/>
        <w:rPr>
          <w:rStyle w:val="Style1Char"/>
          <w:rtl/>
        </w:rPr>
      </w:pPr>
      <w:r>
        <w:rPr>
          <w:rStyle w:val="Style1Char"/>
          <w:rFonts w:hint="cs"/>
          <w:rtl/>
        </w:rPr>
        <w:t>1)[</w:t>
      </w:r>
      <w:r w:rsidRPr="00E84274">
        <w:rPr>
          <w:rStyle w:val="Style1Char"/>
          <w:rtl/>
        </w:rPr>
        <w:t>שולחן ערוך אבן העזר הלכות כתובות סימן קיא סעיף ב</w:t>
      </w:r>
      <w:r>
        <w:rPr>
          <w:rStyle w:val="Style1Char"/>
          <w:rFonts w:hint="cs"/>
          <w:rtl/>
        </w:rPr>
        <w:t xml:space="preserve">] </w:t>
      </w:r>
      <w:r w:rsidRPr="00E84274">
        <w:rPr>
          <w:rStyle w:val="Style1Char"/>
          <w:rtl/>
        </w:rPr>
        <w:t>בד"א, שהניח יותר על שתי הכתובות דינר אחד או יותר כדי שיחלקו השאר בשוה. אבל אם לא הניח יותר דינר, חולקים הכל בשוה; שאם ירשו אלו כתובת אמן ולא ישאר דינר א' לחלוק אותו בין היורשים, נמצאת תנאי זה מבטל חלק ירושה בין הבנים בשוה שהוא מן התורה.</w:t>
      </w:r>
    </w:p>
    <w:p w14:paraId="4E40F9F1" w14:textId="190F439B" w:rsidR="004D5512" w:rsidRDefault="004D5512" w:rsidP="004D5512">
      <w:pPr>
        <w:pStyle w:val="Style1"/>
        <w:rPr>
          <w:rStyle w:val="Style1Char"/>
          <w:rtl/>
        </w:rPr>
      </w:pPr>
      <w:r>
        <w:rPr>
          <w:rStyle w:val="Style1Char"/>
          <w:rFonts w:hint="cs"/>
          <w:rtl/>
        </w:rPr>
        <w:t>2)[</w:t>
      </w:r>
      <w:r w:rsidRPr="004D5512">
        <w:rPr>
          <w:rStyle w:val="Style1Char"/>
          <w:rtl/>
        </w:rPr>
        <w:t>רמב</w:t>
      </w:r>
      <w:r w:rsidR="00213DA1">
        <w:rPr>
          <w:rStyle w:val="Style1Char"/>
          <w:rtl/>
        </w:rPr>
        <w:t>”ם \נשים\</w:t>
      </w:r>
      <w:r w:rsidRPr="004D5512">
        <w:rPr>
          <w:rStyle w:val="Style1Char"/>
          <w:rtl/>
        </w:rPr>
        <w:t xml:space="preserve"> הלכות אישות פרק יט הלכה ה</w:t>
      </w:r>
      <w:r>
        <w:rPr>
          <w:rStyle w:val="Style1Char"/>
          <w:rFonts w:hint="cs"/>
          <w:rtl/>
        </w:rPr>
        <w:t xml:space="preserve">] </w:t>
      </w:r>
      <w:r w:rsidRPr="004D5512">
        <w:rPr>
          <w:rStyle w:val="Style1Char"/>
          <w:rtl/>
        </w:rPr>
        <w:t>אמרו היתומים הרי אנו מעלין על נכסי אבינו יתר דינר כדי שיטלו כתובת אמן אין שומעין להם אלא שמין את הנכסים בבית דין כמה היו שוין בשעת מיתת אביהן, אף על פי שנתרבו או נתמעטו אחר מיתת אביהן קודם שיבואו לחלוק אין שמין אותן אלא כשעת מיתת אביהן.</w:t>
      </w:r>
    </w:p>
    <w:p w14:paraId="16D06340" w14:textId="70C7D59B" w:rsidR="00565BA2" w:rsidRDefault="00565BA2" w:rsidP="00565BA2">
      <w:pPr>
        <w:pStyle w:val="Style1"/>
        <w:rPr>
          <w:rStyle w:val="Style1Char"/>
          <w:rtl/>
        </w:rPr>
      </w:pPr>
      <w:r>
        <w:rPr>
          <w:rStyle w:val="Style1Char"/>
          <w:rFonts w:hint="cs"/>
          <w:rtl/>
        </w:rPr>
        <w:t>2)[</w:t>
      </w:r>
      <w:r w:rsidRPr="00565BA2">
        <w:rPr>
          <w:rStyle w:val="Style1Char"/>
          <w:rtl/>
        </w:rPr>
        <w:t>שולחן ערוך אבן העזר הלכות כתובות סימן קיא סעיף ה</w:t>
      </w:r>
      <w:r>
        <w:rPr>
          <w:rStyle w:val="Style1Char"/>
          <w:rFonts w:hint="cs"/>
          <w:rtl/>
        </w:rPr>
        <w:t xml:space="preserve">] </w:t>
      </w:r>
      <w:r w:rsidRPr="00565BA2">
        <w:rPr>
          <w:rStyle w:val="Style1Char"/>
          <w:rtl/>
        </w:rPr>
        <w:t>אמרו היתומים: הרי אנו מעלים על נכסי אבינו יותר דינר, כדי שיטלו כתובת אמן, אין שומעין להם אלא שמין את הנכסים בב"ד כמה היו שוים בשעת מיתת אביהם; אף על פי שנתרבו או נתמעטו אחר מיתת אביהם קודם שיבואו לחלוק, אין שמין אותם אלא כשעת מיתת אביהם. (ודוקא שהוזלו הנכסים או נשתדפו, אבל נמצא שדה שאינו שלו, איגלאי מילתא למפרע דלא היה שם יותר דינר) (הר"ן פ' מי שהיה נשוי והמ"מ פי"ט).</w:t>
      </w:r>
    </w:p>
    <w:p w14:paraId="3D5A9AFD" w14:textId="2A2FC889" w:rsidR="00B02126" w:rsidRDefault="00B02126" w:rsidP="00B02126">
      <w:pPr>
        <w:pStyle w:val="Style1"/>
        <w:rPr>
          <w:rStyle w:val="Style1Char"/>
          <w:rtl/>
        </w:rPr>
      </w:pPr>
      <w:r>
        <w:rPr>
          <w:rStyle w:val="Style1Char"/>
          <w:rFonts w:hint="cs"/>
          <w:rtl/>
        </w:rPr>
        <w:t>3)[</w:t>
      </w:r>
      <w:r w:rsidRPr="00B02126">
        <w:rPr>
          <w:rStyle w:val="Style1Char"/>
          <w:rtl/>
        </w:rPr>
        <w:t>שולחן ערוך אבן העזר הלכות כתובות סימן קיא סעיף ג</w:t>
      </w:r>
      <w:r>
        <w:rPr>
          <w:rStyle w:val="Style1Char"/>
          <w:rFonts w:hint="cs"/>
          <w:rtl/>
        </w:rPr>
        <w:t xml:space="preserve">] </w:t>
      </w:r>
      <w:r w:rsidRPr="00B02126">
        <w:rPr>
          <w:rStyle w:val="Style1Char"/>
          <w:rtl/>
        </w:rPr>
        <w:t>אם אין שם יותר על שתי הכתובות דינר, אפילו היה ראוי ליפול ירושה מאבי אביהם בענין שהיה שם מותר, לא חשיב מותר, אפילו מת אבי אביהם קודם שיחלקו, כיון שלא היה שם מותר דינר בשעת מיתה.</w:t>
      </w:r>
    </w:p>
    <w:p w14:paraId="062CFBD3" w14:textId="04D32DBA" w:rsidR="000157A5" w:rsidRPr="00D436A6" w:rsidRDefault="000157A5" w:rsidP="000157A5">
      <w:pPr>
        <w:pStyle w:val="Style1"/>
        <w:rPr>
          <w:rStyle w:val="Style1Char"/>
          <w:rtl/>
        </w:rPr>
      </w:pPr>
      <w:r>
        <w:rPr>
          <w:rStyle w:val="Style1Char"/>
          <w:rFonts w:hint="cs"/>
          <w:rtl/>
        </w:rPr>
        <w:t>4)[</w:t>
      </w:r>
      <w:r w:rsidRPr="000157A5">
        <w:rPr>
          <w:rStyle w:val="Style1Char"/>
          <w:rtl/>
        </w:rPr>
        <w:t>שולחן ערוך אבן העזר הלכות כתובות סימן קיא סעיף יד</w:t>
      </w:r>
      <w:r>
        <w:rPr>
          <w:rStyle w:val="Style1Char"/>
          <w:rFonts w:hint="cs"/>
          <w:rtl/>
        </w:rPr>
        <w:t xml:space="preserve">] </w:t>
      </w:r>
      <w:r w:rsidRPr="000157A5">
        <w:rPr>
          <w:rStyle w:val="Style1Char"/>
          <w:rtl/>
        </w:rPr>
        <w:t>י"א דוקא במקרקעי, שיש שם קרקע כדי שתי הכתובות, נהיגא כתובת בנין דכרין. אבל אם אין שם אלא מטלטלי, לא. ומיהו אפילו אין המותר אלא מטלטלי, שפיר דמי. ויש מי שאומר דהאידנא דכתבינן בכתובה דילן מטלטלי אגב מקרקעי, גם כתובות בנין דכרין נגבית ממטלטלים, דתנאי כתובה ככתובה.</w:t>
      </w:r>
    </w:p>
    <w:p w14:paraId="74E79E4C" w14:textId="77777777" w:rsidR="005F1878" w:rsidRPr="00E769E8" w:rsidRDefault="005F1878" w:rsidP="005F1878">
      <w:pPr>
        <w:bidi/>
        <w:rPr>
          <w:rStyle w:val="Style1Char"/>
          <w:sz w:val="22"/>
          <w:szCs w:val="22"/>
          <w:rtl/>
        </w:rPr>
      </w:pPr>
    </w:p>
    <w:p w14:paraId="74B0ACF6" w14:textId="77777777" w:rsidR="005F1878" w:rsidRPr="003A1D65" w:rsidRDefault="005F1878" w:rsidP="005F1878">
      <w:pPr>
        <w:bidi/>
        <w:rPr>
          <w:rStyle w:val="Style1Char"/>
          <w:color w:val="00B050"/>
          <w:rtl/>
        </w:rPr>
      </w:pPr>
    </w:p>
    <w:p w14:paraId="38E8542D" w14:textId="77777777" w:rsidR="005F1878" w:rsidRDefault="005F1878" w:rsidP="005F1878">
      <w:pPr>
        <w:rPr>
          <w:rStyle w:val="Style1Char"/>
          <w:color w:val="00B050"/>
          <w:rtl/>
        </w:rPr>
      </w:pPr>
      <w:r>
        <w:rPr>
          <w:rStyle w:val="Style1Char"/>
          <w:color w:val="00B050"/>
          <w:rtl/>
        </w:rPr>
        <w:br w:type="page"/>
      </w:r>
    </w:p>
    <w:p w14:paraId="43F21119" w14:textId="3AB60549" w:rsidR="005F1878" w:rsidRDefault="005F1878" w:rsidP="005F1878">
      <w:pPr>
        <w:bidi/>
        <w:rPr>
          <w:rStyle w:val="Style1Char"/>
          <w:color w:val="4472C4" w:themeColor="accent1"/>
          <w:rtl/>
        </w:rPr>
      </w:pPr>
      <w:r w:rsidRPr="00CB633A">
        <w:rPr>
          <w:rStyle w:val="Style1Char"/>
          <w:color w:val="auto"/>
          <w:sz w:val="22"/>
          <w:szCs w:val="22"/>
          <w:highlight w:val="yellow"/>
          <w:rtl/>
        </w:rPr>
        <w:lastRenderedPageBreak/>
        <w:t>[דף צא עמוד ב]</w:t>
      </w:r>
      <w:r w:rsidRPr="00CB633A">
        <w:rPr>
          <w:rStyle w:val="Style1Char"/>
          <w:color w:val="auto"/>
          <w:sz w:val="22"/>
          <w:szCs w:val="22"/>
          <w:rtl/>
        </w:rPr>
        <w:t xml:space="preserve"> זכו בהן יורשין, כך מועטין ונתרבו זכו בהן יורשין</w:t>
      </w:r>
      <w:r w:rsidRPr="00171ECB">
        <w:rPr>
          <w:rStyle w:val="Style1Char"/>
          <w:color w:val="4472C4" w:themeColor="accent1"/>
          <w:rtl/>
        </w:rPr>
        <w:t xml:space="preserve"> </w:t>
      </w:r>
      <w:r w:rsidRPr="00EA5594">
        <w:rPr>
          <w:rStyle w:val="Style1Char"/>
          <w:color w:val="4472C4" w:themeColor="accent1"/>
          <w:rtl/>
        </w:rPr>
        <w:t>פרש"י וחולקין בשוה וכן פי' רבינו חננאל ז"ל ויש מפרשים כשם שמרובין ונתמעטו זכו בהן יורשין בני כתובה הגדולה כך מועטין ונתרבו זכו בהן יורשין בני הגדולה ולא נהירא דמסתבר טפי למיזל בתר שעת מיתה כמו במרובין ונתמעטו ועוד כדי לקיים נחלה דאורייתא</w:t>
      </w:r>
      <w:r w:rsidRPr="00EA5594">
        <w:rPr>
          <w:rStyle w:val="Style1Char"/>
          <w:color w:val="4472C4" w:themeColor="accent1"/>
        </w:rPr>
        <w:t>:</w:t>
      </w:r>
      <w:r w:rsidRPr="00CB633A">
        <w:rPr>
          <w:rStyle w:val="Style1Char"/>
          <w:color w:val="auto"/>
          <w:sz w:val="22"/>
          <w:szCs w:val="22"/>
          <w:rtl/>
        </w:rPr>
        <w:t>.</w:t>
      </w:r>
      <w:r w:rsidRPr="00CB633A">
        <w:rPr>
          <w:rStyle w:val="Style1Char"/>
          <w:color w:val="auto"/>
          <w:rtl/>
        </w:rPr>
        <w:t xml:space="preserve"> </w:t>
      </w:r>
      <w:r w:rsidRPr="00DB0EBD">
        <w:rPr>
          <w:rStyle w:val="Style1Char"/>
          <w:color w:val="00B050"/>
          <w:rtl/>
        </w:rPr>
        <w:t xml:space="preserve">(סימן: אלף ומאה מצוה בכתובה יעקב זקף שדותיו בדברים עסיקין). </w:t>
      </w:r>
      <w:r w:rsidR="003B549B">
        <w:rPr>
          <w:rStyle w:val="Style1Char"/>
          <w:rFonts w:hint="cs"/>
          <w:rtl/>
        </w:rPr>
        <w:t>(1)</w:t>
      </w:r>
      <w:r w:rsidRPr="001732AD">
        <w:rPr>
          <w:rStyle w:val="Style1Char"/>
          <w:color w:val="auto"/>
          <w:sz w:val="22"/>
          <w:szCs w:val="22"/>
          <w:rtl/>
        </w:rPr>
        <w:t>ההוא גברא דהוו מסקי ביה אלפא זוזי, הוו ליה תרי אפדני, זבינהו חדא בחמש מאה וחדא בחמש מאה, אתא בעל חוב טרפא לחדא מינייהו, הדר קטריף לאידך, שקל אלפא זוזי וקא אזיל לגביה, א"ל: אי שויא לך אלפא זוזי - לחיי, ואי לא - שקיל אלפא זוזי ואיסתלק; סבר רמי בר חמא למימר, היינו מתני': אם אמרו יתומים הרי אנו מעלין על נכסי אבינו יפה דינר</w:t>
      </w:r>
      <w:r w:rsidRPr="001732AD">
        <w:rPr>
          <w:rStyle w:val="Style1Char"/>
          <w:color w:val="auto"/>
          <w:rtl/>
        </w:rPr>
        <w:t xml:space="preserve"> </w:t>
      </w:r>
      <w:r w:rsidRPr="001732AD">
        <w:rPr>
          <w:rStyle w:val="Style1Char"/>
          <w:color w:val="806000" w:themeColor="accent4" w:themeShade="80"/>
          <w:sz w:val="22"/>
          <w:szCs w:val="22"/>
          <w:rtl/>
        </w:rPr>
        <w:t>אין שומעין להן</w:t>
      </w:r>
      <w:r w:rsidRPr="00DB0EBD">
        <w:rPr>
          <w:rStyle w:val="Style1Char"/>
          <w:color w:val="00B050"/>
          <w:rtl/>
        </w:rPr>
        <w:t xml:space="preserve">, </w:t>
      </w:r>
      <w:r w:rsidRPr="00622FC2">
        <w:rPr>
          <w:rStyle w:val="Style1Char"/>
          <w:sz w:val="22"/>
          <w:szCs w:val="22"/>
          <w:rtl/>
        </w:rPr>
        <w:t>א</w:t>
      </w:r>
      <w:r w:rsidRPr="001732AD">
        <w:rPr>
          <w:rStyle w:val="Style1Char"/>
          <w:color w:val="auto"/>
          <w:sz w:val="22"/>
          <w:szCs w:val="22"/>
          <w:rtl/>
        </w:rPr>
        <w:t xml:space="preserve">"ל רבא: מי דמי? התם אית להו פסידא ליתמי, הכא </w:t>
      </w:r>
      <w:r w:rsidRPr="00DB0EBD">
        <w:rPr>
          <w:rStyle w:val="Style1Char"/>
          <w:color w:val="00B050"/>
          <w:rtl/>
        </w:rPr>
        <w:t xml:space="preserve">מי </w:t>
      </w:r>
      <w:r w:rsidRPr="001732AD">
        <w:rPr>
          <w:rStyle w:val="Style1Char"/>
          <w:color w:val="806000" w:themeColor="accent4" w:themeShade="80"/>
          <w:sz w:val="22"/>
          <w:szCs w:val="22"/>
          <w:rtl/>
        </w:rPr>
        <w:t xml:space="preserve">מאי </w:t>
      </w:r>
      <w:r w:rsidRPr="00DB0EBD">
        <w:rPr>
          <w:rStyle w:val="Style1Char"/>
          <w:color w:val="00B050"/>
          <w:rtl/>
        </w:rPr>
        <w:t xml:space="preserve">אית ליה </w:t>
      </w:r>
      <w:r w:rsidRPr="001732AD">
        <w:rPr>
          <w:rStyle w:val="Style1Char"/>
          <w:color w:val="auto"/>
          <w:sz w:val="22"/>
          <w:szCs w:val="22"/>
          <w:rtl/>
        </w:rPr>
        <w:t>פסידא</w:t>
      </w:r>
      <w:r w:rsidRPr="001732AD">
        <w:rPr>
          <w:rStyle w:val="Style1Char"/>
          <w:color w:val="auto"/>
          <w:rtl/>
        </w:rPr>
        <w:t xml:space="preserve"> </w:t>
      </w:r>
      <w:r w:rsidRPr="001732AD">
        <w:rPr>
          <w:rStyle w:val="Style1Char"/>
          <w:color w:val="806000" w:themeColor="accent4" w:themeShade="80"/>
          <w:sz w:val="22"/>
          <w:szCs w:val="22"/>
          <w:rtl/>
        </w:rPr>
        <w:t>איכא</w:t>
      </w:r>
      <w:r w:rsidRPr="001732AD">
        <w:rPr>
          <w:rStyle w:val="Style1Char"/>
          <w:color w:val="auto"/>
          <w:sz w:val="22"/>
          <w:szCs w:val="22"/>
          <w:rtl/>
        </w:rPr>
        <w:t>?</w:t>
      </w:r>
      <w:r w:rsidRPr="001732AD">
        <w:rPr>
          <w:rStyle w:val="Style1Char"/>
          <w:color w:val="auto"/>
          <w:rtl/>
        </w:rPr>
        <w:t xml:space="preserve"> </w:t>
      </w:r>
      <w:r w:rsidRPr="001732AD">
        <w:rPr>
          <w:rStyle w:val="Style1Char"/>
          <w:color w:val="auto"/>
          <w:sz w:val="22"/>
          <w:szCs w:val="22"/>
          <w:rtl/>
        </w:rPr>
        <w:t xml:space="preserve">אלפא יהיב ואלפא שקיל. וטירפא בכמה כתבינן? רבינא אמר: באלפא, רב עוירא אמר: בחמש מאה. </w:t>
      </w:r>
      <w:r w:rsidR="001975E1">
        <w:rPr>
          <w:rStyle w:val="Style1Char"/>
          <w:rFonts w:hint="cs"/>
          <w:rtl/>
        </w:rPr>
        <w:t>(1)</w:t>
      </w:r>
      <w:r w:rsidRPr="001732AD">
        <w:rPr>
          <w:rStyle w:val="Style1Char"/>
          <w:color w:val="auto"/>
          <w:sz w:val="22"/>
          <w:szCs w:val="22"/>
          <w:rtl/>
        </w:rPr>
        <w:t>והלכתא: בחמש מאה.</w:t>
      </w:r>
      <w:r>
        <w:rPr>
          <w:rStyle w:val="Style1Char"/>
          <w:rFonts w:hint="cs"/>
          <w:color w:val="auto"/>
          <w:sz w:val="22"/>
          <w:szCs w:val="22"/>
          <w:rtl/>
        </w:rPr>
        <w:t xml:space="preserve"> </w:t>
      </w:r>
      <w:r w:rsidRPr="00EA5594">
        <w:rPr>
          <w:rStyle w:val="Style1Char"/>
          <w:color w:val="4472C4" w:themeColor="accent1"/>
          <w:rtl/>
        </w:rPr>
        <w:t>דאע"ג דקבלה בעל חוב באלפא זוזי לא היתה שוה לימכר בדמים הללו לאדם אחר שלא היתה חביבה עליו</w:t>
      </w:r>
      <w:r>
        <w:rPr>
          <w:rStyle w:val="Style1Char"/>
          <w:rFonts w:hint="cs"/>
          <w:color w:val="4472C4" w:themeColor="accent1"/>
          <w:rtl/>
        </w:rPr>
        <w:t xml:space="preserve"> </w:t>
      </w:r>
      <w:r w:rsidRPr="00EA5594">
        <w:rPr>
          <w:rStyle w:val="Style1Char"/>
          <w:color w:val="4472C4" w:themeColor="accent1"/>
          <w:rtl/>
        </w:rPr>
        <w:t>אבל אם השביחה כתבינן ליה טירפא כפי שוויה של שעת טירפא מצאתי כתוב בשם הר"י דמיירי בדלא אכריז כשטרף אפדנא ראשונה</w:t>
      </w:r>
      <w:r>
        <w:rPr>
          <w:rStyle w:val="Style1Char"/>
          <w:rFonts w:hint="cs"/>
          <w:color w:val="4472C4" w:themeColor="accent1"/>
          <w:rtl/>
        </w:rPr>
        <w:t xml:space="preserve"> </w:t>
      </w:r>
      <w:r w:rsidRPr="00EA5594">
        <w:rPr>
          <w:rStyle w:val="Style1Char"/>
          <w:color w:val="4472C4" w:themeColor="accent1"/>
          <w:rtl/>
        </w:rPr>
        <w:t>אבל אם עשו הכרזה בשומת בית דין והורידוהו לקרקע</w:t>
      </w:r>
      <w:r>
        <w:rPr>
          <w:rStyle w:val="Style1Char"/>
          <w:rFonts w:hint="cs"/>
          <w:color w:val="4472C4" w:themeColor="accent1"/>
          <w:rtl/>
        </w:rPr>
        <w:t xml:space="preserve"> </w:t>
      </w:r>
      <w:r w:rsidRPr="00EA5594">
        <w:rPr>
          <w:rStyle w:val="Style1Char"/>
          <w:color w:val="4472C4" w:themeColor="accent1"/>
          <w:rtl/>
        </w:rPr>
        <w:t>לא מצי תו לסלוקי דא"כ אין לדבר סוף</w:t>
      </w:r>
      <w:r>
        <w:rPr>
          <w:rStyle w:val="Style1Char"/>
          <w:rFonts w:hint="cs"/>
          <w:color w:val="4472C4" w:themeColor="accent1"/>
          <w:rtl/>
        </w:rPr>
        <w:t xml:space="preserve"> </w:t>
      </w:r>
      <w:r w:rsidRPr="00EA5594">
        <w:rPr>
          <w:rStyle w:val="Style1Char"/>
          <w:color w:val="4472C4" w:themeColor="accent1"/>
          <w:rtl/>
        </w:rPr>
        <w:t>וכן מצאתי בשם הרב ר' מאיר הלוי ז"ל אלא שהוא כתב דהיכא(ז) שמכרו או נתנו הב"ח לאחר תו לא הדרה השומא ויותר כיון יפה ה"ר יונה ז"ל דהא דאמרי' (ב"מ דף לה א) דשומא הדרא לעולם היינו דווקא כששמו ב"ד נכסי הלוה למלוה ומשום ועשית הישר והטוב עשו תקנה זו שישאר הקרקע ביד בעליו אבל לוקח שלקח שיעבוד המלוה לא שייך ביה הישר והטוב כי נכנס לשעבודו של מלוה ולקח במעותיו יחזור ויקבל מעותיו מן המוכר וישאר למלוה שעבודו דהא לרמי בר חמא אף כשבא המלוה לטרוף אין הלוקח יכול לסלקו בזוזי הלכך לרבא(ח) נמי נהי דבשעת טירפא יכול לסלקו בזוזי מודה הוא דלאחר שירד לקרקע בשומת בית דין תו לא מצי לסלוקי בזוזי</w:t>
      </w:r>
      <w:r w:rsidRPr="00EA5594">
        <w:rPr>
          <w:rStyle w:val="Style1Char"/>
          <w:color w:val="4472C4" w:themeColor="accent1"/>
        </w:rPr>
        <w:t xml:space="preserve">: </w:t>
      </w:r>
    </w:p>
    <w:p w14:paraId="3886C240" w14:textId="77777777" w:rsidR="005F1878" w:rsidRPr="00EA5594" w:rsidRDefault="005F1878" w:rsidP="005F1878">
      <w:pPr>
        <w:bidi/>
        <w:rPr>
          <w:rStyle w:val="Style1Char"/>
          <w:color w:val="4472C4" w:themeColor="accent1"/>
        </w:rPr>
      </w:pPr>
      <w:r w:rsidRPr="00EA5594">
        <w:rPr>
          <w:rStyle w:val="Style1Char"/>
          <w:color w:val="4472C4" w:themeColor="accent1"/>
          <w:rtl/>
        </w:rPr>
        <w:t>ועוד כתב הר"ם ז"ל שאם יבא שום אדם בתוך ימי ההכרזה ויעלה הקרקע יותר ממה ששמו אותה ב"ד אם רוצה המלוה להחזיק בקרקע צריך לקבלו באותו עילוי שהשומא והכרזה לתועלת הלוה היא שאם ימצא מי שיתן יותר הרי טוב ואם לא יקחם המלוה באותה שומא אבל אם הלוקח עצמו יעלה על השומא ששמו בית דין לא נחוש לדבריו כי ודאי לתועלתו הוא מכוין ואמר בלבו מה לי אם אוסיף וישאר הקרקע בידי אח"כ אחזור ואגבה הכל מן המוכר הלכך בעבור העילוי שלו לא נבטל שומת ב"ד ששוה לרובא דאינשי ורב האי גאון ז"ל כתב בשער כ"ח של מקח וממכר דבעל חוב והלוקח אם יוסיף האחד על חבירו לאותו שיוסיף יהיה הקרקע</w:t>
      </w:r>
      <w:r>
        <w:rPr>
          <w:rStyle w:val="Style1Char"/>
          <w:rFonts w:hint="cs"/>
          <w:color w:val="4472C4" w:themeColor="accent1"/>
          <w:rtl/>
        </w:rPr>
        <w:t xml:space="preserve"> </w:t>
      </w:r>
      <w:r w:rsidRPr="00EA5594">
        <w:rPr>
          <w:rStyle w:val="Style1Char"/>
          <w:color w:val="4472C4" w:themeColor="accent1"/>
          <w:rtl/>
        </w:rPr>
        <w:t>ואפשר דההיא איירי כשרוצה אחד מהם להוסיף עד כנגד כל החוב כי הך דשמעתין אבל אם ירצה הלוקח להוסיף מעט מעות על שומת בית דין ולא יהיה כל החוב פרוע בההיא אזלינן בתר שומת בית דין ואם אומר המלוה אני רוצה לקבל את הקרקע בכל חובי בלא שומת בית דין והלוקח אמר לא כן אלא ישומו בית דין ואתן לך כפי שומתן אין שומעין ללוקח כי יש בו הפסד ללוה אבל אם היתומים אומרים כן שומעין להן ומכריזין עליו ומקבלו בשומתו דאי אתו זוזי לידי דיתמי מסלקי ליה בדמי שויו</w:t>
      </w:r>
      <w:r>
        <w:rPr>
          <w:rStyle w:val="Style1Char"/>
          <w:rFonts w:hint="cs"/>
          <w:color w:val="4472C4" w:themeColor="accent1"/>
          <w:rtl/>
        </w:rPr>
        <w:t xml:space="preserve"> </w:t>
      </w:r>
      <w:r w:rsidRPr="00EA5594">
        <w:rPr>
          <w:rStyle w:val="Style1Char"/>
          <w:color w:val="4472C4" w:themeColor="accent1"/>
          <w:rtl/>
        </w:rPr>
        <w:t>וכן היה עובדא בתרי קטיני דארעא וסבר רב יוסף למידן כרמי בר חמא ואהדריה אביי והלכתא כאביי ורבא</w:t>
      </w:r>
      <w:r w:rsidRPr="00EA5594">
        <w:rPr>
          <w:rStyle w:val="Style1Char"/>
          <w:color w:val="4472C4" w:themeColor="accent1"/>
        </w:rPr>
        <w:t xml:space="preserve">: </w:t>
      </w:r>
    </w:p>
    <w:p w14:paraId="24D6E6BF" w14:textId="71F2FE35" w:rsidR="005F1878" w:rsidRPr="00EA5594" w:rsidRDefault="005F1878" w:rsidP="005F1878">
      <w:pPr>
        <w:bidi/>
        <w:rPr>
          <w:rStyle w:val="Style1Char"/>
          <w:color w:val="4472C4" w:themeColor="accent1"/>
        </w:rPr>
      </w:pPr>
      <w:r w:rsidRPr="00582FCF">
        <w:rPr>
          <w:rStyle w:val="Style1Char"/>
          <w:color w:val="00B050"/>
          <w:rtl/>
        </w:rPr>
        <w:t>ההוא גברא דהוו מסקי ביה מאה זוזי</w:t>
      </w:r>
      <w:r w:rsidRPr="00F94BCE">
        <w:rPr>
          <w:rStyle w:val="Style1Char"/>
          <w:sz w:val="22"/>
          <w:szCs w:val="22"/>
          <w:rtl/>
        </w:rPr>
        <w:t xml:space="preserve">, </w:t>
      </w:r>
      <w:r w:rsidRPr="00DB0EBD">
        <w:rPr>
          <w:rStyle w:val="Style1Char"/>
          <w:color w:val="00B050"/>
          <w:rtl/>
        </w:rPr>
        <w:t xml:space="preserve">הוו ליה תרי קטיני דארעא, חד זבינהו בחמשין וחד בחמשין, אתא בעל חוב טרפא לחד מינייהו, הדר אתא וקטריף לאידך, שקל ק' זוזי וקאזיל לגביה, וא"ל: אי שויא לך ק' זוזי - לחיי, ואי לא - שקול ק' זוזי ואיסתלק; סבר רב יוסף למימר, היינו מתני': אם אמרו יתומים כו', א"ל אביי: מי דמי? התם אית להו פסידא ליתמי, הכא מאי פסידא אית ליה? מאה יהיב, מאה שקיל. וטירפא בכמה כתבינן? רבינא אמר: במאה, רב עוירא אמר: בחמשין. והלכתא: בחמשין. </w:t>
      </w:r>
      <w:r w:rsidR="00755F33">
        <w:rPr>
          <w:rStyle w:val="Style1Char"/>
          <w:rFonts w:hint="cs"/>
          <w:rtl/>
        </w:rPr>
        <w:t>(2)</w:t>
      </w:r>
      <w:r w:rsidRPr="00FE136E">
        <w:rPr>
          <w:rStyle w:val="Style1Char"/>
          <w:color w:val="auto"/>
          <w:sz w:val="22"/>
          <w:szCs w:val="22"/>
          <w:rtl/>
        </w:rPr>
        <w:t xml:space="preserve">ההוא גברא דהוו מסקי ביה מאה זוזי, שכיב, שבק קטינא דארעא דהוה שויא חמשין זוזי, אתא בעל חוב וקטריף ליה, אזול יתמי יהבו ליה חמשין זוזי, הדר קטריף לה, אתו לקמיה דאביי, אמר להן: מצוה על היתומים לפרוע חוב אביהן, הני </w:t>
      </w:r>
      <w:r w:rsidRPr="00D80DB2">
        <w:rPr>
          <w:rStyle w:val="Style1Char"/>
          <w:color w:val="C00000"/>
          <w:sz w:val="22"/>
          <w:szCs w:val="22"/>
          <w:rtl/>
        </w:rPr>
        <w:t xml:space="preserve">חמשין </w:t>
      </w:r>
      <w:r w:rsidRPr="00FE136E">
        <w:rPr>
          <w:rStyle w:val="Style1Char"/>
          <w:color w:val="auto"/>
          <w:sz w:val="22"/>
          <w:szCs w:val="22"/>
          <w:rtl/>
        </w:rPr>
        <w:t xml:space="preserve">קמאי מצוה עבדיתו, השתא כי טריף בדין קטריף. </w:t>
      </w:r>
      <w:r w:rsidR="00F96EC5">
        <w:rPr>
          <w:rStyle w:val="Style1Char"/>
          <w:rFonts w:hint="cs"/>
          <w:rtl/>
        </w:rPr>
        <w:t>(2)</w:t>
      </w:r>
      <w:r w:rsidRPr="00FE136E">
        <w:rPr>
          <w:rStyle w:val="Style1Char"/>
          <w:color w:val="auto"/>
          <w:sz w:val="22"/>
          <w:szCs w:val="22"/>
          <w:rtl/>
        </w:rPr>
        <w:t xml:space="preserve">ולא אמרן </w:t>
      </w:r>
      <w:r w:rsidRPr="00D80DB2">
        <w:rPr>
          <w:rStyle w:val="Style1Char"/>
          <w:sz w:val="22"/>
          <w:szCs w:val="22"/>
          <w:rtl/>
        </w:rPr>
        <w:t xml:space="preserve">- </w:t>
      </w:r>
      <w:r w:rsidRPr="00CF2B58">
        <w:rPr>
          <w:rStyle w:val="Style1Char"/>
          <w:color w:val="806000" w:themeColor="accent4" w:themeShade="80"/>
          <w:sz w:val="22"/>
          <w:szCs w:val="22"/>
          <w:rtl/>
        </w:rPr>
        <w:t xml:space="preserve">אלא </w:t>
      </w:r>
      <w:r w:rsidRPr="00CF2B58">
        <w:rPr>
          <w:rStyle w:val="Style1Char"/>
          <w:color w:val="auto"/>
          <w:sz w:val="22"/>
          <w:szCs w:val="22"/>
          <w:rtl/>
        </w:rPr>
        <w:t xml:space="preserve">דלא אמרו ליה הני חמשין זוזי דמי </w:t>
      </w:r>
      <w:r w:rsidRPr="00A02003">
        <w:rPr>
          <w:rStyle w:val="Style1Char"/>
          <w:color w:val="00B050"/>
          <w:rtl/>
        </w:rPr>
        <w:t xml:space="preserve">דארעא </w:t>
      </w:r>
      <w:r w:rsidRPr="00CF2B58">
        <w:rPr>
          <w:rStyle w:val="Style1Char"/>
          <w:color w:val="auto"/>
          <w:sz w:val="22"/>
          <w:szCs w:val="22"/>
          <w:rtl/>
        </w:rPr>
        <w:t xml:space="preserve">קטינא, אבל אמרו ליה הני חמשין זוזי דמי </w:t>
      </w:r>
      <w:r w:rsidRPr="00CF2B58">
        <w:rPr>
          <w:rStyle w:val="Style1Char"/>
          <w:color w:val="auto"/>
          <w:rtl/>
        </w:rPr>
        <w:t xml:space="preserve">ארעא </w:t>
      </w:r>
      <w:r w:rsidRPr="00CF2B58">
        <w:rPr>
          <w:rStyle w:val="Style1Char"/>
          <w:color w:val="auto"/>
          <w:sz w:val="22"/>
          <w:szCs w:val="22"/>
          <w:rtl/>
        </w:rPr>
        <w:t>קטינא - סלוקי סלקוה</w:t>
      </w:r>
      <w:r w:rsidRPr="006C507D">
        <w:rPr>
          <w:rStyle w:val="Style1Char"/>
          <w:color w:val="4472C4" w:themeColor="accent1"/>
          <w:rtl/>
        </w:rPr>
        <w:t xml:space="preserve"> </w:t>
      </w:r>
      <w:r w:rsidRPr="00EA5594">
        <w:rPr>
          <w:rStyle w:val="Style1Char"/>
          <w:color w:val="4472C4" w:themeColor="accent1"/>
          <w:rtl/>
        </w:rPr>
        <w:t>וכן הדין בב"ח מאוחר</w:t>
      </w:r>
      <w:r>
        <w:rPr>
          <w:rStyle w:val="Style1Char"/>
          <w:rFonts w:hint="cs"/>
          <w:color w:val="4472C4" w:themeColor="accent1"/>
          <w:rtl/>
        </w:rPr>
        <w:t xml:space="preserve"> </w:t>
      </w:r>
      <w:r w:rsidRPr="00EA5594">
        <w:rPr>
          <w:rStyle w:val="Style1Char"/>
          <w:color w:val="4472C4" w:themeColor="accent1"/>
          <w:rtl/>
        </w:rPr>
        <w:t>אחר שסילקו בעל חוב מוקדם בדמי קטינא דגרסינן בירושלמי דשילהי פירקין א"ר יוסי הדין אמרה ההוא דיזיף מן תרי בר נש אתא תניינא</w:t>
      </w:r>
      <w:r>
        <w:rPr>
          <w:rStyle w:val="Style1Char"/>
          <w:rFonts w:hint="cs"/>
          <w:color w:val="4472C4" w:themeColor="accent1"/>
          <w:rtl/>
        </w:rPr>
        <w:t xml:space="preserve"> </w:t>
      </w:r>
      <w:r w:rsidRPr="00EA5594">
        <w:rPr>
          <w:rStyle w:val="Style1Char"/>
          <w:color w:val="4472C4" w:themeColor="accent1"/>
          <w:rtl/>
        </w:rPr>
        <w:t>א"ל קום פשר</w:t>
      </w:r>
      <w:r>
        <w:rPr>
          <w:rStyle w:val="Style1Char"/>
          <w:rFonts w:hint="cs"/>
          <w:color w:val="4472C4" w:themeColor="accent1"/>
          <w:rtl/>
        </w:rPr>
        <w:t xml:space="preserve"> </w:t>
      </w:r>
      <w:r w:rsidRPr="00EA5594">
        <w:rPr>
          <w:rStyle w:val="Style1Char"/>
          <w:color w:val="4472C4" w:themeColor="accent1"/>
          <w:rtl/>
        </w:rPr>
        <w:t>אמר ולית סופך דקדמין אתי וטריף יכול למימר ליה קום פשר ואי טריף טריף פשר מן השני חזקה שהראשון בא וטריף פשר מן ראשון אמר רבי פנחס אתא עובדא קמיה דרבי ירמיה אמר פשר פשר כלומר אם התפשר עם הראשון אין האחרון יכול לחזור ולטרוף ממנו</w:t>
      </w:r>
      <w:r>
        <w:rPr>
          <w:rStyle w:val="Style1Char"/>
          <w:rFonts w:hint="cs"/>
          <w:color w:val="4472C4" w:themeColor="accent1"/>
          <w:rtl/>
        </w:rPr>
        <w:t xml:space="preserve"> </w:t>
      </w:r>
      <w:r w:rsidRPr="00EA5594">
        <w:rPr>
          <w:rStyle w:val="Style1Char"/>
          <w:color w:val="4472C4" w:themeColor="accent1"/>
          <w:rtl/>
        </w:rPr>
        <w:t>ופריך אמר ר' יוסי ולא אמרו כל דאקני לא איתיה</w:t>
      </w:r>
      <w:r>
        <w:rPr>
          <w:rStyle w:val="Style1Char"/>
          <w:rFonts w:hint="cs"/>
          <w:color w:val="4472C4" w:themeColor="accent1"/>
          <w:rtl/>
        </w:rPr>
        <w:t xml:space="preserve"> </w:t>
      </w:r>
      <w:r w:rsidRPr="00EA5594">
        <w:rPr>
          <w:rStyle w:val="Style1Char"/>
          <w:color w:val="4472C4" w:themeColor="accent1"/>
          <w:rtl/>
        </w:rPr>
        <w:t>אלא ביורש</w:t>
      </w:r>
      <w:r w:rsidRPr="00EA5594">
        <w:rPr>
          <w:rStyle w:val="Style1Char"/>
          <w:color w:val="4472C4" w:themeColor="accent1"/>
        </w:rPr>
        <w:t xml:space="preserve">: </w:t>
      </w:r>
    </w:p>
    <w:p w14:paraId="635EEA87" w14:textId="5B1E0819" w:rsidR="005F1878" w:rsidRDefault="00D552F5" w:rsidP="005F1878">
      <w:pPr>
        <w:bidi/>
        <w:rPr>
          <w:rStyle w:val="Style1Char"/>
          <w:sz w:val="22"/>
          <w:szCs w:val="22"/>
          <w:rtl/>
        </w:rPr>
      </w:pPr>
      <w:r>
        <w:rPr>
          <w:rStyle w:val="Style1Char"/>
          <w:rFonts w:hint="cs"/>
          <w:rtl/>
        </w:rPr>
        <w:t>(3)</w:t>
      </w:r>
      <w:r w:rsidR="005F1878" w:rsidRPr="00CF2B58">
        <w:rPr>
          <w:rStyle w:val="Style1Char"/>
          <w:color w:val="auto"/>
          <w:sz w:val="22"/>
          <w:szCs w:val="22"/>
          <w:rtl/>
        </w:rPr>
        <w:t xml:space="preserve">ההוא גברא דזבנה לכתובתה דאימיה בטובת הנאה, וא"ל: אי אתיא אם ומערערא לא מפצינא לך; שכיבא אימיה ולא איערערא, ואתא איהו וקא מערער; סבר רמי בר חמא למימר, איהו במקום אימיה קאי, א"ל רבא: נהי דאחריות דידה לא קביל עליה, אחריות </w:t>
      </w:r>
      <w:r w:rsidR="005F1878" w:rsidRPr="00986E49">
        <w:rPr>
          <w:rStyle w:val="Style1Char"/>
          <w:color w:val="00B050"/>
          <w:rtl/>
        </w:rPr>
        <w:t xml:space="preserve">דידיה </w:t>
      </w:r>
      <w:r w:rsidR="005F1878" w:rsidRPr="00F71527">
        <w:rPr>
          <w:rStyle w:val="Style1Char"/>
          <w:color w:val="806000" w:themeColor="accent4" w:themeShade="80"/>
          <w:sz w:val="22"/>
          <w:szCs w:val="22"/>
          <w:rtl/>
        </w:rPr>
        <w:t xml:space="preserve">דנפשיה </w:t>
      </w:r>
      <w:r w:rsidR="005F1878" w:rsidRPr="00F71527">
        <w:rPr>
          <w:rStyle w:val="Style1Char"/>
          <w:color w:val="auto"/>
          <w:sz w:val="22"/>
          <w:szCs w:val="22"/>
          <w:rtl/>
        </w:rPr>
        <w:t xml:space="preserve">מי לא קביל? </w:t>
      </w:r>
      <w:r w:rsidR="005F1878" w:rsidRPr="00EA5594">
        <w:rPr>
          <w:rStyle w:val="Style1Char"/>
          <w:color w:val="4472C4" w:themeColor="accent1"/>
          <w:rtl/>
        </w:rPr>
        <w:t>מכאן היה נראה לר"ת</w:t>
      </w:r>
      <w:r w:rsidR="005F1878">
        <w:rPr>
          <w:rStyle w:val="Style1Char"/>
          <w:rFonts w:hint="cs"/>
          <w:color w:val="4472C4" w:themeColor="accent1"/>
          <w:rtl/>
        </w:rPr>
        <w:t xml:space="preserve"> </w:t>
      </w:r>
      <w:r w:rsidR="005F1878" w:rsidRPr="00EA5594">
        <w:rPr>
          <w:rStyle w:val="Style1Char"/>
          <w:color w:val="4472C4" w:themeColor="accent1"/>
          <w:rtl/>
        </w:rPr>
        <w:t>הא דאמר בפ' יש נוחלין (דף קלו א) ובפ"ק דבבא מציעא (דף טז א) מה שאירש מאבא מכור לך לא עשה ולא כלום היינו כשאמר בסתם אבל אם אמר שדה זו שאירש מכור לך קנה. אפי' למאן דאמר אין אדם מקנה דבר שלא בא לעולם</w:t>
      </w:r>
      <w:r w:rsidR="005F1878">
        <w:rPr>
          <w:rStyle w:val="Style1Char"/>
          <w:rFonts w:hint="cs"/>
          <w:color w:val="4472C4" w:themeColor="accent1"/>
          <w:rtl/>
        </w:rPr>
        <w:t xml:space="preserve"> </w:t>
      </w:r>
      <w:r w:rsidR="005F1878" w:rsidRPr="00EA5594">
        <w:rPr>
          <w:rStyle w:val="Style1Char"/>
          <w:color w:val="4472C4" w:themeColor="accent1"/>
          <w:rtl/>
        </w:rPr>
        <w:t>דכיון שהירושה עתידה ליפול לפניו מאליה וגם בירר המכר לא חשיבא כולי האי דבר שלא בא לעולם דאי לא תימא הכי היאך מכר כל עיקר כתובת אמו דהיינו מה שאירש מאבא מכור לך דעל כרחך המכר היה מכר דאם לא היה מכר היה חייב להחזיר הדמים דהא דקאמר לא מפצינא לך היינו על עירעור אמו אבל על זה לא התנה שאם לא היה המכר מכר מעיקרא שלא יחזיר הדמים והיאך ס"ד דרמב"ח למימר שלא יחזיר הדמים ולא מסתבר למימר דאתיא כמ"ד אדם מקנה דשב"ל דלא הוי מייתי הש"ס עובדא דלא כהלכתא אבל לפירוש שני דרש"י שמפרש שמכר שדה המיוחד לכתובת אמו</w:t>
      </w:r>
      <w:r w:rsidR="005F1878">
        <w:rPr>
          <w:rStyle w:val="Style1Char"/>
          <w:rFonts w:hint="cs"/>
          <w:color w:val="4472C4" w:themeColor="accent1"/>
          <w:rtl/>
        </w:rPr>
        <w:t xml:space="preserve"> </w:t>
      </w:r>
      <w:r w:rsidR="005F1878" w:rsidRPr="00EA5594">
        <w:rPr>
          <w:rStyle w:val="Style1Char"/>
          <w:color w:val="4472C4" w:themeColor="accent1"/>
          <w:rtl/>
        </w:rPr>
        <w:t>אז אין ראיה מכאן ועוד הביא ראיה מהא דאמרי' בשלהי מי שמת (דף קנט א) בן שמכר בנכסי אביו בחיי אביו ומת בנו מוציא מיד הלקוחות ומפרש טעמא משום דאמר אנא מכח אבוה דאבא קאתינא</w:t>
      </w:r>
      <w:r w:rsidR="005F1878">
        <w:rPr>
          <w:rStyle w:val="Style1Char"/>
          <w:rFonts w:hint="cs"/>
          <w:color w:val="4472C4" w:themeColor="accent1"/>
          <w:rtl/>
        </w:rPr>
        <w:t xml:space="preserve"> </w:t>
      </w:r>
      <w:r w:rsidR="005F1878" w:rsidRPr="00EA5594">
        <w:rPr>
          <w:rStyle w:val="Style1Char"/>
          <w:color w:val="4472C4" w:themeColor="accent1"/>
          <w:rtl/>
        </w:rPr>
        <w:t>ובלאו האי טעמא נמי דאין אדם מקנה דבר שלא בא לעולם אלא ודאי מיירי כגון שאמר שדה זו שאירש מאבא</w:t>
      </w:r>
    </w:p>
    <w:p w14:paraId="4B581F46" w14:textId="71AEE0E8" w:rsidR="005F1878" w:rsidRDefault="005F1878" w:rsidP="005F1878">
      <w:pPr>
        <w:bidi/>
        <w:rPr>
          <w:rStyle w:val="Style1Char"/>
          <w:color w:val="auto"/>
          <w:sz w:val="22"/>
          <w:szCs w:val="22"/>
          <w:rtl/>
        </w:rPr>
      </w:pPr>
      <w:r w:rsidRPr="00233295">
        <w:rPr>
          <w:rStyle w:val="Style1Char"/>
          <w:color w:val="auto"/>
          <w:sz w:val="22"/>
          <w:szCs w:val="22"/>
          <w:rtl/>
        </w:rPr>
        <w:t>אמר רמי בר חמא: ראובן שמכר שדה לשמעון שלא באחריות, ואתא שמעון ומכרה לראובן באחריות,</w:t>
      </w:r>
    </w:p>
    <w:p w14:paraId="5CF70BD5" w14:textId="5712C1CA" w:rsidR="00E91DF2" w:rsidRDefault="00E91DF2" w:rsidP="00E91DF2">
      <w:pPr>
        <w:pStyle w:val="Style1"/>
        <w:rPr>
          <w:rStyle w:val="Style1Char"/>
          <w:rtl/>
        </w:rPr>
      </w:pPr>
      <w:r>
        <w:rPr>
          <w:rStyle w:val="Style1Char"/>
          <w:rFonts w:hint="cs"/>
          <w:rtl/>
        </w:rPr>
        <w:t>1)[</w:t>
      </w:r>
      <w:r w:rsidRPr="00E91DF2">
        <w:rPr>
          <w:rStyle w:val="Style1Char"/>
          <w:rtl/>
        </w:rPr>
        <w:t>רמב</w:t>
      </w:r>
      <w:r w:rsidR="0057095E">
        <w:rPr>
          <w:rStyle w:val="Style1Char"/>
          <w:rtl/>
        </w:rPr>
        <w:t>”ם \משפטים\</w:t>
      </w:r>
      <w:r w:rsidRPr="00E91DF2">
        <w:rPr>
          <w:rStyle w:val="Style1Char"/>
          <w:rtl/>
        </w:rPr>
        <w:t xml:space="preserve"> הלכות מלוה ולוה פרק יח הלכה ט</w:t>
      </w:r>
      <w:r>
        <w:rPr>
          <w:rStyle w:val="Style1Char"/>
          <w:rFonts w:hint="cs"/>
          <w:rtl/>
        </w:rPr>
        <w:t xml:space="preserve">] </w:t>
      </w:r>
      <w:r w:rsidRPr="00E91DF2">
        <w:rPr>
          <w:rStyle w:val="Style1Char"/>
          <w:rtl/>
        </w:rPr>
        <w:t>ראובן שהיה חייב לשמעון מאתים והיו לו שתי שדות ומכר אחת מהן ללוי במנה וחזר ומכר לו השניה במנה ובא שמעון וטרף אחת במנה וחזר לטרוף השניה במנה הנשאר לו והביא לו מאתים ואמר לו אם תרצה להיות השדה שטרפת שומה לך בכל המאתים שיש לך הרי מוטב ואם לאו הילך מאתים של חובך והסתלק הדין עם לוי, רצה שמעון ועמד בה אף על פי שקבלה במאתים אין לוי חוזר ותובע ראובן אלא במנה.</w:t>
      </w:r>
    </w:p>
    <w:p w14:paraId="0383EDB4" w14:textId="5FE9A43E" w:rsidR="00E3517E" w:rsidRPr="00E3517E" w:rsidRDefault="00767FC9" w:rsidP="00E3517E">
      <w:pPr>
        <w:pStyle w:val="Style1"/>
      </w:pPr>
      <w:r>
        <w:rPr>
          <w:rStyle w:val="Style1Char"/>
          <w:rFonts w:hint="cs"/>
          <w:rtl/>
        </w:rPr>
        <w:t>1)[</w:t>
      </w:r>
      <w:r w:rsidRPr="00767FC9">
        <w:rPr>
          <w:rStyle w:val="Style1Char"/>
          <w:rtl/>
        </w:rPr>
        <w:t>שולחן ערוך חושן משפט הלכות גביית חוב מנכסים משועבדים סימן קיד סעיף ג</w:t>
      </w:r>
      <w:r>
        <w:rPr>
          <w:rStyle w:val="Style1Char"/>
          <w:rFonts w:hint="cs"/>
          <w:rtl/>
        </w:rPr>
        <w:t>]</w:t>
      </w:r>
      <w:r w:rsidR="00E3517E">
        <w:rPr>
          <w:rStyle w:val="Style1Char"/>
          <w:rFonts w:hint="cs"/>
          <w:rtl/>
        </w:rPr>
        <w:t xml:space="preserve"> </w:t>
      </w:r>
      <w:r w:rsidR="00E3517E" w:rsidRPr="00E3517E">
        <w:rPr>
          <w:rtl/>
        </w:rPr>
        <w:t>אם רוצה הלוקח לסלק המלוה במעות הרשות בידו וישאר לו הקרקע ויחזור וישאל מהמוכר מה שפרע למלוה בשבילו ואם עשאה אפותיקי מפורש דאמר ליה לא יהיה לך פרעון אלא מזו אינו יכול לסלקו במעות אם קנה שתי שדות זו אחר זו כל אחת במנה והחוב שהיה למלוה על הלוה היה ק"ק וטרף ממנו במנה שדה שקנה ראשון וכשבא לטרוף השניה במנה הנשאר הביא לו ק"ק ואמר ליה אם תרצה שדה ראשונ' שגבית כבר בכל המאתים הרי טוב ואם לאו קח ק"ק והסתלק הדין עמו ואם רצה המלוה וקבלה בק"ק אין הלוקח חוזר על המוכר וגובה ממנו אלא מנה</w:t>
      </w:r>
      <w:r w:rsidR="00E3517E" w:rsidRPr="00E3517E">
        <w:t>:</w:t>
      </w:r>
    </w:p>
    <w:p w14:paraId="7742B1C8" w14:textId="3603E26D" w:rsidR="00E3517E" w:rsidRDefault="00E3517E" w:rsidP="00E3517E">
      <w:pPr>
        <w:pStyle w:val="Style1"/>
        <w:rPr>
          <w:rtl/>
        </w:rPr>
      </w:pPr>
      <w:r w:rsidRPr="00E3517E">
        <w:rPr>
          <w:rFonts w:hint="cs"/>
          <w:rtl/>
        </w:rPr>
        <w:lastRenderedPageBreak/>
        <w:t>הגה: וי"א דאם עשו ב"ד תחלה שומא והכרזה שוב אין הלוקח יכול לסלקו דשומא לא הדרא ללוקח (טור בשם רבינו יונה והרא"ש) ועי' לעיל </w:t>
      </w:r>
      <w:hyperlink r:id="rId247" w:anchor="%D7%A1%D7%A2%D7%99%D7%A3_%D7%98" w:tooltip="שולחן ערוך חושן משפט קג" w:history="1">
        <w:r w:rsidRPr="00E3517E">
          <w:rPr>
            <w:rStyle w:val="Hyperlink"/>
            <w:rFonts w:hint="cs"/>
            <w:color w:val="7030A0"/>
            <w:u w:val="none"/>
            <w:rtl/>
          </w:rPr>
          <w:t>סימן ק"ג סעיף ט</w:t>
        </w:r>
        <w:r w:rsidRPr="00E3517E">
          <w:rPr>
            <w:rStyle w:val="Hyperlink"/>
            <w:rFonts w:hint="cs"/>
            <w:color w:val="7030A0"/>
            <w:u w:val="none"/>
          </w:rPr>
          <w:t>'</w:t>
        </w:r>
      </w:hyperlink>
      <w:r w:rsidRPr="00E3517E">
        <w:rPr>
          <w:rFonts w:hint="cs"/>
        </w:rPr>
        <w:t> </w:t>
      </w:r>
      <w:r w:rsidRPr="00E3517E">
        <w:rPr>
          <w:rFonts w:hint="cs"/>
          <w:rtl/>
        </w:rPr>
        <w:t>וכל זה מיירי בלוקח א' שלקח ב' השדות אבל בב' לוקחין אין השני יכול לומר דיקבל שדה האחד יותר משוויו או לסלקו במעות דלאו בעל דברים דידיה הוא (נ"י פ' מי שהיה נשוי ור' ירוחם)</w:t>
      </w:r>
      <w:r w:rsidRPr="00E3517E">
        <w:t>:</w:t>
      </w:r>
    </w:p>
    <w:p w14:paraId="4E123F2C" w14:textId="181F8AE5" w:rsidR="00646613" w:rsidRDefault="00646613" w:rsidP="00646613">
      <w:pPr>
        <w:pStyle w:val="Style1"/>
        <w:rPr>
          <w:rtl/>
        </w:rPr>
      </w:pPr>
      <w:r>
        <w:rPr>
          <w:rFonts w:hint="cs"/>
          <w:rtl/>
        </w:rPr>
        <w:t>2)[</w:t>
      </w:r>
      <w:r>
        <w:rPr>
          <w:rtl/>
        </w:rPr>
        <w:t>רמב</w:t>
      </w:r>
      <w:r w:rsidR="0057095E">
        <w:rPr>
          <w:rtl/>
        </w:rPr>
        <w:t>”ם \משפטים\</w:t>
      </w:r>
      <w:r>
        <w:rPr>
          <w:rtl/>
        </w:rPr>
        <w:t xml:space="preserve"> הלכות מלוה ולוה פרק יח הלכה י</w:t>
      </w:r>
      <w:r>
        <w:rPr>
          <w:rFonts w:hint="cs"/>
          <w:rtl/>
        </w:rPr>
        <w:t xml:space="preserve">] </w:t>
      </w:r>
      <w:r>
        <w:rPr>
          <w:rtl/>
        </w:rPr>
        <w:t>מת ראובן והניח שדה אחת שוה מאה ובא שמעון וטרפה ונתנו לו היתומים מאה מן המטלטלין שהניח אביהן וסילקוהו ה"ז חוזר וטורף אותה בשאר חובו שמאה שנתנו לו מצוה עשו שמצוה על היתומים לפרוע חובות אביהם, ואם אמרו לו אלו במאה דמי השדה שטרפת אינו יכול לחזור ולטרוף אותה פעם אחרת בשאר חובו.</w:t>
      </w:r>
    </w:p>
    <w:p w14:paraId="56467E1F" w14:textId="542B54A2" w:rsidR="00230B90" w:rsidRPr="00230B90" w:rsidRDefault="00047C35" w:rsidP="00230B90">
      <w:pPr>
        <w:pStyle w:val="Style1"/>
      </w:pPr>
      <w:r>
        <w:rPr>
          <w:rFonts w:hint="cs"/>
          <w:rtl/>
        </w:rPr>
        <w:t>2)[</w:t>
      </w:r>
      <w:r>
        <w:rPr>
          <w:rtl/>
        </w:rPr>
        <w:t>שולחן ערוך חושן משפט הלכות גביית חוב מהיתומים סימן קז סעיף ו</w:t>
      </w:r>
      <w:r>
        <w:rPr>
          <w:rFonts w:hint="cs"/>
          <w:rtl/>
        </w:rPr>
        <w:t>]</w:t>
      </w:r>
      <w:r w:rsidR="00230B90">
        <w:rPr>
          <w:rFonts w:hint="cs"/>
          <w:rtl/>
        </w:rPr>
        <w:t xml:space="preserve"> </w:t>
      </w:r>
      <w:r w:rsidR="00230B90" w:rsidRPr="00230B90">
        <w:rPr>
          <w:rtl/>
        </w:rPr>
        <w:t>היה על אביהם חוב של מנה ולא הניח לא מקרקעי ולא מטלטלי אלא קרקע שוה חמשים ובא בעל חוב וטרפה ונתנו לו היורשים חמשים משלהם אפילו לא אמרו לו שבדמי קרקע זה הם נותנים לו אינו יכול לחזור ולטרפה מהם בשארית חובו</w:t>
      </w:r>
      <w:r w:rsidR="00230B90" w:rsidRPr="00230B90">
        <w:t>. </w:t>
      </w:r>
      <w:r w:rsidR="00230B90" w:rsidRPr="00230B90">
        <w:rPr>
          <w:rFonts w:hint="cs"/>
        </w:rPr>
        <w:t>(</w:t>
      </w:r>
      <w:r w:rsidR="00230B90" w:rsidRPr="00230B90">
        <w:rPr>
          <w:rFonts w:hint="cs"/>
          <w:rtl/>
        </w:rPr>
        <w:t>וע"ל </w:t>
      </w:r>
      <w:hyperlink r:id="rId248" w:anchor="%D7%A1%D7%A2%D7%99%D7%A3_%D7%98" w:tooltip="שולחן ערוך חושן משפט קיא" w:history="1">
        <w:r w:rsidR="00230B90" w:rsidRPr="00230B90">
          <w:rPr>
            <w:rStyle w:val="Hyperlink"/>
            <w:rFonts w:hint="cs"/>
            <w:color w:val="7030A0"/>
            <w:u w:val="none"/>
            <w:rtl/>
          </w:rPr>
          <w:t>סימן קי"א ס"ט</w:t>
        </w:r>
      </w:hyperlink>
      <w:r w:rsidR="00230B90" w:rsidRPr="00230B90">
        <w:rPr>
          <w:rFonts w:hint="cs"/>
        </w:rPr>
        <w:t>)</w:t>
      </w:r>
    </w:p>
    <w:p w14:paraId="6961573B" w14:textId="61B290EA" w:rsidR="00230B90" w:rsidRDefault="00230B90" w:rsidP="00230B90">
      <w:pPr>
        <w:pStyle w:val="Style1"/>
        <w:rPr>
          <w:rtl/>
        </w:rPr>
      </w:pPr>
      <w:r w:rsidRPr="00230B90">
        <w:rPr>
          <w:rtl/>
        </w:rPr>
        <w:t>וכן אין בעל חוב מאוחר ממנו יכול לטורפה דהוה ליה כמו שהגבו אותה לו בחובו וחזרו ולקחוה ממנו</w:t>
      </w:r>
      <w:r w:rsidRPr="00230B90">
        <w:t>:</w:t>
      </w:r>
    </w:p>
    <w:p w14:paraId="1A6E3FDF" w14:textId="78EC1AF9" w:rsidR="00D6692B" w:rsidRPr="00D6692B" w:rsidRDefault="00D6692B" w:rsidP="00D6692B">
      <w:pPr>
        <w:pStyle w:val="Style1"/>
      </w:pPr>
      <w:r>
        <w:rPr>
          <w:rFonts w:hint="cs"/>
          <w:rtl/>
        </w:rPr>
        <w:t>3)[</w:t>
      </w:r>
      <w:r>
        <w:rPr>
          <w:rtl/>
        </w:rPr>
        <w:t>שולחן ערוך אבן העזר הלכות כתובות סימן קה סעיף ז</w:t>
      </w:r>
      <w:r>
        <w:rPr>
          <w:rFonts w:hint="cs"/>
          <w:rtl/>
        </w:rPr>
        <w:t xml:space="preserve">] </w:t>
      </w:r>
      <w:r>
        <w:rPr>
          <w:rtl/>
        </w:rPr>
        <w:t>מי שמכר בחיי אביו כתובת אמו שאם ימות אביו ואח"כ תמות אמו ויירש הוא את כתובתה שיהיה הלוקח עומד במקומה לגבותה, והתנה שאם תערער אמו על המכר שלא יסלקנו מערער, ומתה ולא ערערה, אינו יכול לומר: אני במקום אמי וכמו שהיא יכולה לערער על המקח גם אני מערער ואבטלנו, שערעור של עצמו קיבל עליו ודאי.</w:t>
      </w:r>
    </w:p>
    <w:p w14:paraId="12F66E0C" w14:textId="77777777" w:rsidR="00230B90" w:rsidRPr="00230B90" w:rsidRDefault="00230B90" w:rsidP="00230B90">
      <w:pPr>
        <w:pStyle w:val="Style1"/>
      </w:pPr>
    </w:p>
    <w:p w14:paraId="19799E28" w14:textId="00242F4A" w:rsidR="00047C35" w:rsidRPr="00E3517E" w:rsidRDefault="00047C35" w:rsidP="00047C35">
      <w:pPr>
        <w:pStyle w:val="Style1"/>
      </w:pPr>
    </w:p>
    <w:p w14:paraId="0EB49F4B" w14:textId="77777777" w:rsidR="005F1878" w:rsidRPr="00E3517E" w:rsidRDefault="005F1878" w:rsidP="00E3517E">
      <w:pPr>
        <w:pStyle w:val="Style1"/>
        <w:rPr>
          <w:rStyle w:val="Style1Char"/>
          <w:rtl/>
        </w:rPr>
      </w:pPr>
    </w:p>
    <w:p w14:paraId="424FB213" w14:textId="77777777" w:rsidR="005F1878" w:rsidRPr="00E3517E" w:rsidRDefault="005F1878" w:rsidP="00E3517E">
      <w:pPr>
        <w:pStyle w:val="Style1"/>
        <w:rPr>
          <w:rStyle w:val="Style1Char"/>
          <w:rtl/>
        </w:rPr>
      </w:pPr>
    </w:p>
    <w:p w14:paraId="066F54BA" w14:textId="77777777" w:rsidR="005F1878" w:rsidRPr="00E3517E" w:rsidRDefault="005F1878" w:rsidP="00E3517E">
      <w:pPr>
        <w:pStyle w:val="Style1"/>
        <w:rPr>
          <w:rStyle w:val="Style1Char"/>
          <w:rtl/>
        </w:rPr>
      </w:pPr>
    </w:p>
    <w:p w14:paraId="78122488" w14:textId="77777777" w:rsidR="005F1878" w:rsidRPr="00E3517E" w:rsidRDefault="005F1878" w:rsidP="00E3517E">
      <w:pPr>
        <w:pStyle w:val="Style1"/>
        <w:rPr>
          <w:rStyle w:val="Style1Char"/>
          <w:rtl/>
        </w:rPr>
      </w:pPr>
      <w:r w:rsidRPr="00E3517E">
        <w:rPr>
          <w:rStyle w:val="Style1Char"/>
          <w:rtl/>
        </w:rPr>
        <w:br w:type="page"/>
      </w:r>
    </w:p>
    <w:p w14:paraId="6B1061C0" w14:textId="23C80189" w:rsidR="005F1878" w:rsidRPr="00233295" w:rsidRDefault="005F1878" w:rsidP="005F1878">
      <w:pPr>
        <w:bidi/>
        <w:rPr>
          <w:rStyle w:val="Style1Char"/>
          <w:color w:val="auto"/>
          <w:rtl/>
        </w:rPr>
      </w:pPr>
      <w:r w:rsidRPr="00233295">
        <w:rPr>
          <w:rStyle w:val="Style1Char"/>
          <w:color w:val="auto"/>
          <w:sz w:val="22"/>
          <w:szCs w:val="22"/>
          <w:highlight w:val="yellow"/>
          <w:rtl/>
        </w:rPr>
        <w:lastRenderedPageBreak/>
        <w:t>[דף צב עמוד א]</w:t>
      </w:r>
      <w:r w:rsidRPr="00233295">
        <w:rPr>
          <w:rStyle w:val="Style1Char"/>
          <w:color w:val="auto"/>
          <w:sz w:val="22"/>
          <w:szCs w:val="22"/>
          <w:rtl/>
        </w:rPr>
        <w:t xml:space="preserve"> ואתא בעל חוב דראובן וקטריף ליה מיניה, דינא הוא, דאזיל שמעון ומפצי ליה. </w:t>
      </w:r>
      <w:r w:rsidR="008C4FE9">
        <w:rPr>
          <w:rStyle w:val="Style1Char"/>
          <w:rFonts w:hint="cs"/>
          <w:rtl/>
        </w:rPr>
        <w:t>(1)</w:t>
      </w:r>
      <w:r w:rsidRPr="00233295">
        <w:rPr>
          <w:rStyle w:val="Style1Char"/>
          <w:color w:val="auto"/>
          <w:sz w:val="22"/>
          <w:szCs w:val="22"/>
          <w:rtl/>
        </w:rPr>
        <w:t xml:space="preserve">א"ל רבא: נהי דאחריות דעלמא קביל עליה, אחריות דנפשיה מי </w:t>
      </w:r>
      <w:r w:rsidRPr="005B7733">
        <w:rPr>
          <w:rStyle w:val="Style1Char"/>
          <w:color w:val="C00000"/>
          <w:sz w:val="22"/>
          <w:szCs w:val="22"/>
          <w:rtl/>
        </w:rPr>
        <w:t xml:space="preserve">לא </w:t>
      </w:r>
      <w:r w:rsidRPr="00233295">
        <w:rPr>
          <w:rStyle w:val="Style1Char"/>
          <w:color w:val="auto"/>
          <w:sz w:val="22"/>
          <w:szCs w:val="22"/>
          <w:rtl/>
        </w:rPr>
        <w:t xml:space="preserve">קביל עליה? </w:t>
      </w:r>
      <w:r w:rsidRPr="00EA5594">
        <w:rPr>
          <w:rStyle w:val="Style1Char"/>
          <w:color w:val="4472C4" w:themeColor="accent1"/>
          <w:rtl/>
        </w:rPr>
        <w:t>ורב אלפס ז"ל גורס נהי דאחריות דעלמא לא קביל עילויה אחריות דנפשיה מי קביל עילויה ופירש ה"ר מאיר הלוי ז"ל האי קביל ולא קביל</w:t>
      </w:r>
      <w:r w:rsidRPr="00233295">
        <w:rPr>
          <w:rStyle w:val="Style1Char"/>
          <w:color w:val="auto"/>
          <w:sz w:val="22"/>
          <w:szCs w:val="22"/>
          <w:rtl/>
        </w:rPr>
        <w:t xml:space="preserve"> </w:t>
      </w:r>
      <w:r w:rsidRPr="00EA5594">
        <w:rPr>
          <w:rStyle w:val="Style1Char"/>
          <w:color w:val="4472C4" w:themeColor="accent1"/>
          <w:rtl/>
        </w:rPr>
        <w:t>לאו בקבלת המוכר דקביל עליה אחריות ללוקח קאי</w:t>
      </w:r>
      <w:r w:rsidRPr="00233295">
        <w:rPr>
          <w:rStyle w:val="Style1Char"/>
          <w:color w:val="auto"/>
          <w:sz w:val="22"/>
          <w:szCs w:val="22"/>
          <w:rtl/>
        </w:rPr>
        <w:t xml:space="preserve"> </w:t>
      </w:r>
      <w:r w:rsidRPr="00EA5594">
        <w:rPr>
          <w:rStyle w:val="Style1Char"/>
          <w:color w:val="4472C4" w:themeColor="accent1"/>
          <w:rtl/>
        </w:rPr>
        <w:t>אלא בקבלת הלוקח דסביר וקביל דלא ליהדר אמוכר כדאמר (ב"ק דף ט א) חייתא דקיטרי סברת וקבילית והכי פירושא דכי הדר ראובן וזבנה מיניה דשמעון באחריות נהי דאחריות דעלמא לא קביל ראובן עילויה אלא אדעתא דמפצי ליה שמעון הוא דזבין מיניה אחריות דנפשיה דראובן מי לא קביל עילויה דלא ליהדר בה שמעון</w:t>
      </w:r>
      <w:r w:rsidRPr="00EA5594">
        <w:rPr>
          <w:rStyle w:val="Style1Char"/>
          <w:color w:val="4472C4" w:themeColor="accent1"/>
        </w:rPr>
        <w:t xml:space="preserve">: </w:t>
      </w:r>
      <w:r w:rsidR="008C4FE9">
        <w:rPr>
          <w:rStyle w:val="Style1Char"/>
          <w:rFonts w:hint="cs"/>
          <w:rtl/>
        </w:rPr>
        <w:t>(1)</w:t>
      </w:r>
      <w:r w:rsidRPr="00233295">
        <w:rPr>
          <w:rStyle w:val="Style1Char"/>
          <w:color w:val="auto"/>
          <w:sz w:val="22"/>
          <w:szCs w:val="22"/>
          <w:rtl/>
        </w:rPr>
        <w:t>ומודה רבא, בראובן שירש שדה מיעקב ומכרה לשמעון שלא באחריות</w:t>
      </w:r>
      <w:r w:rsidRPr="00233295">
        <w:rPr>
          <w:rStyle w:val="Style1Char"/>
          <w:color w:val="auto"/>
          <w:rtl/>
        </w:rPr>
        <w:t xml:space="preserve">, </w:t>
      </w:r>
      <w:r w:rsidRPr="00DB0EBD">
        <w:rPr>
          <w:rStyle w:val="Style1Char"/>
          <w:color w:val="00B050"/>
          <w:rtl/>
        </w:rPr>
        <w:t xml:space="preserve">ואתא </w:t>
      </w:r>
      <w:r w:rsidRPr="00986E49">
        <w:rPr>
          <w:rStyle w:val="Style1Char"/>
          <w:color w:val="C00000"/>
          <w:sz w:val="22"/>
          <w:szCs w:val="22"/>
          <w:rtl/>
        </w:rPr>
        <w:t xml:space="preserve">וחזר </w:t>
      </w:r>
      <w:r w:rsidRPr="00233295">
        <w:rPr>
          <w:rStyle w:val="Style1Char"/>
          <w:color w:val="auto"/>
          <w:sz w:val="22"/>
          <w:szCs w:val="22"/>
          <w:rtl/>
        </w:rPr>
        <w:t>שמעון ומכרה לראובן באחריות, ואתא בעל חוב דיעקב וקטריף ליה מיניה, דינא הוא, דאזיל שמעון ומפצי ליה</w:t>
      </w:r>
      <w:r w:rsidRPr="00F5194B">
        <w:rPr>
          <w:rStyle w:val="Style1Char"/>
          <w:sz w:val="22"/>
          <w:szCs w:val="22"/>
          <w:rtl/>
        </w:rPr>
        <w:t xml:space="preserve"> </w:t>
      </w:r>
      <w:r w:rsidRPr="00DB0EBD">
        <w:rPr>
          <w:rStyle w:val="Style1Char"/>
          <w:color w:val="00B050"/>
          <w:rtl/>
        </w:rPr>
        <w:t xml:space="preserve">מיניה, </w:t>
      </w:r>
      <w:r w:rsidRPr="00233295">
        <w:rPr>
          <w:rStyle w:val="Style1Char"/>
          <w:color w:val="auto"/>
          <w:sz w:val="22"/>
          <w:szCs w:val="22"/>
          <w:rtl/>
        </w:rPr>
        <w:t>מאי טעמא? בעל חוב דיעקב כבעל חוב דעלמא דמי</w:t>
      </w:r>
      <w:r w:rsidRPr="00233295">
        <w:rPr>
          <w:rStyle w:val="Style1Char"/>
          <w:color w:val="auto"/>
          <w:rtl/>
        </w:rPr>
        <w:t xml:space="preserve"> </w:t>
      </w:r>
    </w:p>
    <w:p w14:paraId="7B8615A3" w14:textId="10E55D1C" w:rsidR="005F1878" w:rsidRPr="00EA5594" w:rsidRDefault="005F1878" w:rsidP="005F1878">
      <w:pPr>
        <w:bidi/>
        <w:rPr>
          <w:rStyle w:val="Style1Char"/>
          <w:color w:val="4472C4" w:themeColor="accent1"/>
        </w:rPr>
      </w:pPr>
      <w:r w:rsidRPr="00A55221">
        <w:rPr>
          <w:rStyle w:val="Style1Char"/>
          <w:color w:val="C00000"/>
          <w:rtl/>
        </w:rPr>
        <w:t>גרסי' בפ' חזקת הבתים אמר רב פפא אף על גב דאמור רבנן המוכר שדה לחברו שלא באחריות ובא בעל חוב וטרפה אינו חוזר עליו נמצאת שדה שאינה שלו חוזר עליו ורב זביד אמר אפילו נמצאת שדה שאינה שלו אינו חוזר עליו דא"ל להכי זבני שלא באחריות והלכה כרב זביד גרסינן בפרק מי שאחזו קורדיקוס [גיטין ע"ג ע"א] ההוא גברא דזבן ארעא לחבריה קביל עליה כל אונסא דמתיליד לסוף אפיקו ביה נהרא אתו לקמיה דרבינא א"ל זיל שפי ליה דהא קבילת כל אונסא דמתייליד א"ל רב אדא ב</w:t>
      </w:r>
      <w:r>
        <w:rPr>
          <w:rStyle w:val="Style1Char"/>
          <w:rFonts w:hint="cs"/>
          <w:color w:val="C00000"/>
          <w:rtl/>
        </w:rPr>
        <w:t>ר</w:t>
      </w:r>
      <w:r w:rsidRPr="00A55221">
        <w:rPr>
          <w:rStyle w:val="Style1Char"/>
          <w:color w:val="C00000"/>
          <w:rtl/>
        </w:rPr>
        <w:t xml:space="preserve"> תחליפא לרבינא אונסא דלא שכיח הוא אגלגלא מילתא ומטא לקמיה דרבא אמר אונסא דלא שכיחא הוא רב פפא ורב הונא בריה דרב יהושע זבון שומשמי אגודא דנהר מלכא סבא אגירו מלחי לעבורינהו וקבילו עלייהו כל אונסא דמתייליד לסוף איסתכר נהר מלכא סבר נקטו מלחי אמרו להו אגירי חמרי ואסקינהו ניהלן דהא קבילתון כל אונסא דמתייליד אתו לקמיה דרבא אמר להו קאקי חיורא משלחי גלימא דאינשי אונסא דלא שכיח הוא:</w:t>
      </w:r>
      <w:r w:rsidRPr="00F5194B">
        <w:rPr>
          <w:rStyle w:val="Style1Char"/>
          <w:sz w:val="22"/>
          <w:szCs w:val="22"/>
          <w:rtl/>
        </w:rPr>
        <w:t xml:space="preserve">. </w:t>
      </w:r>
      <w:r w:rsidRPr="00836EEE">
        <w:rPr>
          <w:rStyle w:val="Style1Char"/>
          <w:color w:val="ED7D31" w:themeColor="accent2"/>
          <w:sz w:val="22"/>
          <w:szCs w:val="22"/>
          <w:rtl/>
        </w:rPr>
        <w:t xml:space="preserve">אמר רמי בר חמא: </w:t>
      </w:r>
      <w:r w:rsidR="00D8410C">
        <w:rPr>
          <w:rStyle w:val="Style1Char"/>
          <w:rFonts w:hint="cs"/>
          <w:rtl/>
        </w:rPr>
        <w:t>(2)</w:t>
      </w:r>
      <w:r w:rsidRPr="00836EEE">
        <w:rPr>
          <w:rStyle w:val="Style1Char"/>
          <w:color w:val="ED7D31" w:themeColor="accent2"/>
          <w:sz w:val="22"/>
          <w:szCs w:val="22"/>
          <w:rtl/>
        </w:rPr>
        <w:t xml:space="preserve">ראובן שמכר שדה לשמעון באחריות וזקף עליו במלוה, ומת ראובן, ואתא בעל חוב </w:t>
      </w:r>
      <w:r w:rsidRPr="00DB0EBD">
        <w:rPr>
          <w:rStyle w:val="Style1Char"/>
          <w:color w:val="00B050"/>
          <w:rtl/>
        </w:rPr>
        <w:t xml:space="preserve">דראובן </w:t>
      </w:r>
      <w:r w:rsidRPr="00836EEE">
        <w:rPr>
          <w:rStyle w:val="Style1Char"/>
          <w:color w:val="ED7D31" w:themeColor="accent2"/>
          <w:sz w:val="22"/>
          <w:szCs w:val="22"/>
          <w:rtl/>
        </w:rPr>
        <w:t xml:space="preserve">וקטריף לה משמעון ופייסיה בזוזי, דינא הוא, דאמרי ליה בני ראובן: אנן מטלטלי שבק אבון גבך, </w:t>
      </w:r>
      <w:r w:rsidRPr="00DB0EBD">
        <w:rPr>
          <w:rStyle w:val="Style1Char"/>
          <w:color w:val="00B050"/>
          <w:rtl/>
        </w:rPr>
        <w:t>ו</w:t>
      </w:r>
      <w:r w:rsidRPr="00AB0583">
        <w:rPr>
          <w:rStyle w:val="Style1Char"/>
          <w:color w:val="ED7D31" w:themeColor="accent2"/>
          <w:sz w:val="22"/>
          <w:szCs w:val="22"/>
          <w:rtl/>
        </w:rPr>
        <w:t>מטלטלי</w:t>
      </w:r>
      <w:r w:rsidRPr="00DB0EBD">
        <w:rPr>
          <w:rStyle w:val="Style1Char"/>
          <w:color w:val="00B050"/>
          <w:rtl/>
        </w:rPr>
        <w:t xml:space="preserve"> דיתמי </w:t>
      </w:r>
      <w:r w:rsidRPr="00AB0583">
        <w:rPr>
          <w:rStyle w:val="Style1Char"/>
          <w:color w:val="ED7D31" w:themeColor="accent2"/>
          <w:sz w:val="22"/>
          <w:szCs w:val="22"/>
          <w:rtl/>
        </w:rPr>
        <w:t xml:space="preserve">לבעל חוב לא משתעבדי. אמר רבא: </w:t>
      </w:r>
      <w:r w:rsidR="006B56F8">
        <w:rPr>
          <w:rStyle w:val="Style1Char"/>
          <w:rFonts w:hint="cs"/>
          <w:rtl/>
        </w:rPr>
        <w:t>(2)</w:t>
      </w:r>
      <w:r w:rsidRPr="00AB0583">
        <w:rPr>
          <w:rStyle w:val="Style1Char"/>
          <w:color w:val="ED7D31" w:themeColor="accent2"/>
          <w:sz w:val="22"/>
          <w:szCs w:val="22"/>
          <w:rtl/>
        </w:rPr>
        <w:t xml:space="preserve">אי פקח אידך, מגבי להו ניהלייהו ארעא והדר גבי לה מינייהו; </w:t>
      </w:r>
      <w:r w:rsidRPr="00DB0EBD">
        <w:rPr>
          <w:rStyle w:val="Style1Char"/>
          <w:color w:val="00B050"/>
          <w:rtl/>
        </w:rPr>
        <w:t xml:space="preserve">כרב </w:t>
      </w:r>
      <w:r w:rsidRPr="00AB0583">
        <w:rPr>
          <w:rStyle w:val="Style1Char"/>
          <w:color w:val="4472C4" w:themeColor="accent1"/>
          <w:sz w:val="22"/>
          <w:szCs w:val="22"/>
          <w:rtl/>
        </w:rPr>
        <w:t xml:space="preserve">מדרב </w:t>
      </w:r>
      <w:r w:rsidRPr="00AB0583">
        <w:rPr>
          <w:rStyle w:val="Style1Char"/>
          <w:color w:val="ED7D31" w:themeColor="accent2"/>
          <w:sz w:val="22"/>
          <w:szCs w:val="22"/>
          <w:rtl/>
        </w:rPr>
        <w:t>נחמן</w:t>
      </w:r>
      <w:r>
        <w:rPr>
          <w:rStyle w:val="Style1Char"/>
          <w:rFonts w:hint="cs"/>
          <w:color w:val="00B050"/>
          <w:rtl/>
        </w:rPr>
        <w:t xml:space="preserve"> </w:t>
      </w:r>
      <w:r w:rsidRPr="00521FDC">
        <w:rPr>
          <w:rStyle w:val="Style1Char"/>
          <w:rFonts w:hint="cs"/>
          <w:color w:val="4472C4" w:themeColor="accent1"/>
          <w:sz w:val="22"/>
          <w:szCs w:val="22"/>
          <w:rtl/>
        </w:rPr>
        <w:t>וכ"ו</w:t>
      </w:r>
      <w:r w:rsidRPr="00AB0583">
        <w:rPr>
          <w:rStyle w:val="Style1Char"/>
          <w:color w:val="4472C4" w:themeColor="accent1"/>
          <w:rtl/>
        </w:rPr>
        <w:t xml:space="preserve">, </w:t>
      </w:r>
      <w:r w:rsidRPr="00DB0EBD">
        <w:rPr>
          <w:rStyle w:val="Style1Char"/>
          <w:color w:val="00B050"/>
          <w:rtl/>
        </w:rPr>
        <w:t xml:space="preserve">דאמר רב נחמן אמר רבה בר אבוה: </w:t>
      </w:r>
      <w:r w:rsidR="00290D32">
        <w:rPr>
          <w:rStyle w:val="Style1Char"/>
          <w:rFonts w:hint="cs"/>
          <w:rtl/>
        </w:rPr>
        <w:t>(3)</w:t>
      </w:r>
      <w:r w:rsidRPr="00DB0EBD">
        <w:rPr>
          <w:rStyle w:val="Style1Char"/>
          <w:color w:val="00B050"/>
          <w:rtl/>
        </w:rPr>
        <w:t>יתומים שגבו קרקע בחובת אביהן, בעל חוב חוזר וגובה אותה מהן</w:t>
      </w:r>
      <w:r w:rsidRPr="00196959">
        <w:rPr>
          <w:rStyle w:val="Style1Char"/>
          <w:color w:val="4472C4" w:themeColor="accent1"/>
          <w:rtl/>
        </w:rPr>
        <w:t xml:space="preserve"> </w:t>
      </w:r>
      <w:r w:rsidRPr="00EA5594">
        <w:rPr>
          <w:rStyle w:val="Style1Char"/>
          <w:color w:val="4472C4" w:themeColor="accent1"/>
          <w:rtl/>
        </w:rPr>
        <w:t>מכאן יש להוכיח דאע"ג דאמרינן לעיל בפרק הכותב (דף פו א) דדינא דבעל חוב בזוזי היכא דאית ליה פסידא כי הכא לא מחייב למיתב זוזי ואינו ראיה כ"כ דמלוה זו באה מחמת קרקע שקנה הלכך מצי למיהדר להו האי ארעא דזבן מאבוהון בהני זוזי</w:t>
      </w:r>
      <w:r>
        <w:rPr>
          <w:rStyle w:val="Style1Char"/>
          <w:rFonts w:hint="cs"/>
          <w:color w:val="4472C4" w:themeColor="accent1"/>
          <w:rtl/>
        </w:rPr>
        <w:t xml:space="preserve"> </w:t>
      </w:r>
      <w:r w:rsidRPr="00EA5594">
        <w:rPr>
          <w:rStyle w:val="Style1Char"/>
          <w:color w:val="4472C4" w:themeColor="accent1"/>
          <w:rtl/>
        </w:rPr>
        <w:t>הנך תלתא מימרות איתנהו</w:t>
      </w:r>
      <w:r>
        <w:rPr>
          <w:rStyle w:val="Style1Char"/>
          <w:rFonts w:hint="cs"/>
          <w:color w:val="4472C4" w:themeColor="accent1"/>
          <w:rtl/>
        </w:rPr>
        <w:t xml:space="preserve"> </w:t>
      </w:r>
      <w:r w:rsidRPr="00EA5594">
        <w:rPr>
          <w:rStyle w:val="Style1Char"/>
          <w:color w:val="4472C4" w:themeColor="accent1"/>
          <w:rtl/>
        </w:rPr>
        <w:t>בפ"ק דבבא קמא (דף ח ב)</w:t>
      </w:r>
      <w:r w:rsidRPr="00EA5594">
        <w:rPr>
          <w:rStyle w:val="Style1Char"/>
          <w:color w:val="4472C4" w:themeColor="accent1"/>
        </w:rPr>
        <w:t xml:space="preserve">: </w:t>
      </w:r>
    </w:p>
    <w:p w14:paraId="61F91070" w14:textId="195EE9F0" w:rsidR="005F1878" w:rsidRDefault="005F1878" w:rsidP="005F1878">
      <w:pPr>
        <w:bidi/>
        <w:rPr>
          <w:rStyle w:val="Style1Char"/>
          <w:sz w:val="22"/>
          <w:szCs w:val="22"/>
          <w:rtl/>
        </w:rPr>
      </w:pPr>
      <w:r w:rsidRPr="00DB0EBD">
        <w:rPr>
          <w:rStyle w:val="Style1Char"/>
          <w:color w:val="00B050"/>
          <w:rtl/>
        </w:rPr>
        <w:t xml:space="preserve">. </w:t>
      </w:r>
      <w:r w:rsidRPr="00E232EB">
        <w:rPr>
          <w:rStyle w:val="Style1Char"/>
          <w:sz w:val="22"/>
          <w:szCs w:val="22"/>
          <w:rtl/>
        </w:rPr>
        <w:t xml:space="preserve">אמר רבה: </w:t>
      </w:r>
      <w:r w:rsidR="009F172C">
        <w:rPr>
          <w:rStyle w:val="Style1Char"/>
          <w:rFonts w:hint="cs"/>
          <w:rtl/>
        </w:rPr>
        <w:t>(4)</w:t>
      </w:r>
      <w:r w:rsidRPr="00E232EB">
        <w:rPr>
          <w:rStyle w:val="Style1Char"/>
          <w:sz w:val="22"/>
          <w:szCs w:val="22"/>
          <w:rtl/>
        </w:rPr>
        <w:t xml:space="preserve">ראובן שמכר כל שדותיו לשמעון, וחזר שמעון ומכר שדה אחת ללוי, ואתא בעל חוב דראובן, רצה - מזה גובה, רצה - מזה גובה. ולא אמרן אלא דזבנה בינונית, אבל זבנה עידית וזבורית, מצי אמר ליה: להכי טרחי וזביני ארעא דלא חזיא לך. ובינונית נמי, לא אמרן אלא דלא שבק בינונית דכוותה, </w:t>
      </w:r>
    </w:p>
    <w:p w14:paraId="21705DF0" w14:textId="0BE5B235" w:rsidR="00CA2A47" w:rsidRDefault="00CA2A47" w:rsidP="00CA2A47">
      <w:pPr>
        <w:pStyle w:val="Style1"/>
        <w:rPr>
          <w:rStyle w:val="Style1Char"/>
          <w:rtl/>
        </w:rPr>
      </w:pPr>
      <w:r>
        <w:rPr>
          <w:rStyle w:val="Style1Char"/>
          <w:rFonts w:hint="cs"/>
          <w:rtl/>
        </w:rPr>
        <w:t>1)[</w:t>
      </w:r>
      <w:r w:rsidRPr="00CA2A47">
        <w:rPr>
          <w:rStyle w:val="Style1Char"/>
          <w:rtl/>
        </w:rPr>
        <w:t>רמב</w:t>
      </w:r>
      <w:r w:rsidR="00786216">
        <w:rPr>
          <w:rStyle w:val="Style1Char"/>
          <w:rtl/>
        </w:rPr>
        <w:t>”ם \מכירה\</w:t>
      </w:r>
      <w:r w:rsidRPr="00CA2A47">
        <w:rPr>
          <w:rStyle w:val="Style1Char"/>
          <w:rtl/>
        </w:rPr>
        <w:t xml:space="preserve"> הלכות מכירה פרק יט הלכה י</w:t>
      </w:r>
      <w:r>
        <w:rPr>
          <w:rStyle w:val="Style1Char"/>
          <w:rFonts w:hint="cs"/>
          <w:rtl/>
        </w:rPr>
        <w:t xml:space="preserve">] </w:t>
      </w:r>
      <w:r w:rsidRPr="00CA2A47">
        <w:rPr>
          <w:rStyle w:val="Style1Char"/>
          <w:rtl/>
        </w:rPr>
        <w:t>ראובן שמכר שדה לשמעון שלא באחריות וחזר ולקחה משמעון באחריות, ובא בעל חוב של ראובן לטרוף אותה ממנו, אינו יכול לחזור על שמעון, שאף על פי שלא קבל עליו אחריות לשמעון אחריות עצמו קבל שלא יהיה הוא המוכר והוא המוציא לעצמו, אבל אם בא בעל חוב של יעקב אביהם וטרפה מיד ראובן, חוזר בכל הדמים על שמעון, מפני ששמעון קבל לו האחריות וראובן לא קבל לשמעון אחריות של אחרים כלל.</w:t>
      </w:r>
    </w:p>
    <w:p w14:paraId="669F1941" w14:textId="2E4A9075" w:rsidR="00BB2437" w:rsidRDefault="00BB2437" w:rsidP="00BB2437">
      <w:pPr>
        <w:pStyle w:val="Style1"/>
        <w:rPr>
          <w:rStyle w:val="Style1Char"/>
          <w:rtl/>
        </w:rPr>
      </w:pPr>
      <w:r>
        <w:rPr>
          <w:rStyle w:val="Style1Char"/>
          <w:rFonts w:hint="cs"/>
          <w:rtl/>
        </w:rPr>
        <w:t>1)[</w:t>
      </w:r>
      <w:r w:rsidRPr="00BB2437">
        <w:rPr>
          <w:rStyle w:val="Style1Char"/>
          <w:rtl/>
        </w:rPr>
        <w:t>שולחן ערוך חושן משפט הלכות מקח וממכר סימן רכו סעיף ב</w:t>
      </w:r>
      <w:r>
        <w:rPr>
          <w:rStyle w:val="Style1Char"/>
          <w:rFonts w:hint="cs"/>
          <w:rtl/>
        </w:rPr>
        <w:t xml:space="preserve">] </w:t>
      </w:r>
      <w:r w:rsidRPr="00BB2437">
        <w:rPr>
          <w:rStyle w:val="Style1Char"/>
          <w:rtl/>
        </w:rPr>
        <w:t>ראובן שמכר שדה לשמעון שלא באחריות, וחזר ולקחה משמעון באחריות, ובא בעל חוב של ראובן לטרוף אותה ממנו, אינו יכול לחזור על שמעון, שאע"פ שלא קבל עליו אחריות לשמעון, אחריות עצמו קבל שלא יהיה הוא המוכר והוא המוציא לעצמו. אבל אם בא בעל חוב של יעקב אביו וטרפה מיד ראובן, חוזר וגובה כל הדמים משמעון.</w:t>
      </w:r>
    </w:p>
    <w:p w14:paraId="7D949FFB" w14:textId="28525EF2" w:rsidR="00663D4B" w:rsidRDefault="00663D4B" w:rsidP="00663D4B">
      <w:pPr>
        <w:pStyle w:val="Style1"/>
        <w:rPr>
          <w:rStyle w:val="Style1Char"/>
          <w:rtl/>
        </w:rPr>
      </w:pPr>
      <w:r>
        <w:rPr>
          <w:rStyle w:val="Style1Char"/>
          <w:rFonts w:hint="cs"/>
          <w:rtl/>
        </w:rPr>
        <w:t>2)[</w:t>
      </w:r>
      <w:r w:rsidRPr="00663D4B">
        <w:rPr>
          <w:rStyle w:val="Style1Char"/>
          <w:rtl/>
        </w:rPr>
        <w:t>רמב</w:t>
      </w:r>
      <w:r w:rsidR="0057095E">
        <w:rPr>
          <w:rStyle w:val="Style1Char"/>
          <w:rtl/>
        </w:rPr>
        <w:t>”ם \משפטים\</w:t>
      </w:r>
      <w:r w:rsidRPr="00663D4B">
        <w:rPr>
          <w:rStyle w:val="Style1Char"/>
          <w:rtl/>
        </w:rPr>
        <w:t xml:space="preserve"> הלכות מלוה ולוה פרק יא הלכה י</w:t>
      </w:r>
      <w:r>
        <w:rPr>
          <w:rStyle w:val="Style1Char"/>
          <w:rFonts w:hint="cs"/>
          <w:rtl/>
        </w:rPr>
        <w:t xml:space="preserve">] </w:t>
      </w:r>
      <w:r w:rsidRPr="00663D4B">
        <w:rPr>
          <w:rStyle w:val="Style1Char"/>
          <w:rtl/>
        </w:rPr>
        <w:t>ראובן שמכר שדה לשמעון באחריות וזקף שמעון דמי השדה עליו מלוה לראובן ומת ראובן ובא בעל חוב של ראובן לטרוף משמעון השדה ופייסו שמעון במעות והלך לו הדין נותן שיבאו יורשי ראובן ויתבעו שמעון במלוה שזקף עליו שהרי אינה משועבדת לב"ח של ראובן, לפיכך אם היה שמעון פקח נותן להן הקרקע שלקח מראובן במלוה שזקף על עצמו וחוזר וטורף אותה מהן מפני המעות שנתן לב"ח של ראובן כדי שלא יטרוף אותה ממנו שהרי באחריות לקחה מראובן.</w:t>
      </w:r>
    </w:p>
    <w:p w14:paraId="5D303FFF" w14:textId="1754C3F9" w:rsidR="006047DE" w:rsidRPr="006047DE" w:rsidRDefault="006047DE" w:rsidP="006047DE">
      <w:pPr>
        <w:pStyle w:val="Style1"/>
        <w:rPr>
          <w:rStyle w:val="Style1Char"/>
        </w:rPr>
      </w:pPr>
      <w:r>
        <w:rPr>
          <w:rStyle w:val="Style1Char"/>
          <w:rFonts w:hint="cs"/>
          <w:rtl/>
        </w:rPr>
        <w:t>2)[</w:t>
      </w:r>
      <w:r w:rsidRPr="006047DE">
        <w:rPr>
          <w:rStyle w:val="Style1Char"/>
          <w:rtl/>
        </w:rPr>
        <w:t>טור חושן משפט הלכות גביית מלוה סימן קא</w:t>
      </w:r>
      <w:r>
        <w:rPr>
          <w:rStyle w:val="Style1Char"/>
          <w:rFonts w:hint="cs"/>
          <w:rtl/>
        </w:rPr>
        <w:t>]</w:t>
      </w:r>
    </w:p>
    <w:p w14:paraId="1F14035D" w14:textId="4E31B363" w:rsidR="006047DE" w:rsidRPr="006047DE" w:rsidRDefault="006047DE" w:rsidP="006047DE">
      <w:pPr>
        <w:pStyle w:val="Style1"/>
        <w:rPr>
          <w:rStyle w:val="Style1Char"/>
        </w:rPr>
      </w:pPr>
      <w:r>
        <w:rPr>
          <w:rStyle w:val="Style1Char"/>
          <w:rFonts w:hint="cs"/>
          <w:rtl/>
        </w:rPr>
        <w:t xml:space="preserve">א </w:t>
      </w:r>
      <w:r w:rsidRPr="006047DE">
        <w:rPr>
          <w:rStyle w:val="Style1Char"/>
          <w:rtl/>
        </w:rPr>
        <w:t>בא לפרוע אם יש לו מעות צריך ליתנם לו ואינו יכול לדחותו אצל מקרקעי או מטלטלי ומיהא היכא דאיכא פסידא ללוה אם יפרע לו מעות יכול לדחותו ליתן לו קרקע כיצד ראובן שמכר לשמעון שדה באחריות ולא נתן לו המעות אלא זקפו עליו במלוה ומת ראובן ובא ב"ח של ראובן לטורפה מיד שמעון ופייסו מדמי קרקע שנשאר עדיין בידו בזה לא נפטרו בני ראובן וצריך ליתן להם מעותיהם שנתחייב לאביהן בשביל קרקע ואם יתן להם מעות לא יהיה לו במה לגבות דמי הקרקע שעליהם ליתן בשביל האחריות ואם יתן להם קרקע בחובם יכול לחזור ולגבות מהם לפיכך אם פקח הוא יתן להם הקרקע ויחזור ויטרפנו מהם:</w:t>
      </w:r>
    </w:p>
    <w:p w14:paraId="5DD1C593" w14:textId="77777777" w:rsidR="006047DE" w:rsidRPr="006047DE" w:rsidRDefault="006047DE" w:rsidP="006047DE">
      <w:pPr>
        <w:pStyle w:val="Style1"/>
        <w:rPr>
          <w:rStyle w:val="Style1Char"/>
        </w:rPr>
      </w:pPr>
      <w:r w:rsidRPr="006047DE">
        <w:rPr>
          <w:rStyle w:val="Style1Char"/>
          <w:rtl/>
        </w:rPr>
        <w:t>ב אבל אם אין ללוה מעות א"צ למכור כדי ליתן לו מעות אלא נותן לו ממה שיש לו:</w:t>
      </w:r>
    </w:p>
    <w:p w14:paraId="53957A7C" w14:textId="77777777" w:rsidR="006047DE" w:rsidRPr="006047DE" w:rsidRDefault="006047DE" w:rsidP="006047DE">
      <w:pPr>
        <w:pStyle w:val="Style1"/>
        <w:rPr>
          <w:rStyle w:val="Style1Char"/>
        </w:rPr>
      </w:pPr>
      <w:r w:rsidRPr="006047DE">
        <w:rPr>
          <w:rStyle w:val="Style1Char"/>
          <w:rtl/>
        </w:rPr>
        <w:t>ג וכתב א"א הרא"ש ז"ל יש לו מטלטלי וחפץ המלוה יותר במטלטלי מבקרקעי צריך ליתנם לו אלא שנותן לו מאיזה מטלטלין שירצה הוא ואין המלוה יכול לומר מחפץ פלוני אני חפץ שהוא חביב עלי:</w:t>
      </w:r>
    </w:p>
    <w:p w14:paraId="2888B7F9" w14:textId="77777777" w:rsidR="006047DE" w:rsidRPr="006047DE" w:rsidRDefault="006047DE" w:rsidP="006047DE">
      <w:pPr>
        <w:pStyle w:val="Style1"/>
        <w:rPr>
          <w:rStyle w:val="Style1Char"/>
        </w:rPr>
      </w:pPr>
      <w:r w:rsidRPr="006047DE">
        <w:rPr>
          <w:rStyle w:val="Style1Char"/>
          <w:rtl/>
        </w:rPr>
        <w:t>ד י"א שאם יש לו מעות וקרקע או מעות ומטלטלין שיכול המלוה לומר במטלטלי או במקרקעי אני רוצה ולא נהירא שאין דינו אלא על המעות כיון שיש שם מעות וכן אם אין שם מעות אלא קרקע ומטלטלי אינו יכול לומר תן לי מקרקעי אלא יתן לו מטלטלין אם ירצה:</w:t>
      </w:r>
    </w:p>
    <w:p w14:paraId="20068587" w14:textId="77777777" w:rsidR="006047DE" w:rsidRPr="006047DE" w:rsidRDefault="006047DE" w:rsidP="006047DE">
      <w:pPr>
        <w:pStyle w:val="Style1"/>
        <w:rPr>
          <w:rStyle w:val="Style1Char"/>
        </w:rPr>
      </w:pPr>
      <w:r w:rsidRPr="006047DE">
        <w:rPr>
          <w:rStyle w:val="Style1Char"/>
          <w:rtl/>
        </w:rPr>
        <w:t>ה ואם אין לו אלא קרקע ובא ליתנו לו ואמר המלוה איני רוצה אותם ואיני מבקש עתה ממך כלום אלא אמתין עד שיהיו לך מעות כתבתי למעלה בסימן ע"ד:</w:t>
      </w:r>
    </w:p>
    <w:p w14:paraId="353D5D1E" w14:textId="77777777" w:rsidR="006047DE" w:rsidRPr="006047DE" w:rsidRDefault="006047DE" w:rsidP="006047DE">
      <w:pPr>
        <w:pStyle w:val="Style1"/>
        <w:rPr>
          <w:rStyle w:val="Style1Char"/>
        </w:rPr>
      </w:pPr>
      <w:r w:rsidRPr="006047DE">
        <w:rPr>
          <w:rStyle w:val="Style1Char"/>
          <w:rtl/>
        </w:rPr>
        <w:t>ו י"א שאם יש ללוה שטרי חובות על אחרים שאין יכול להגבותם למלוה בחובו שאין גופם ממון ועוד שהקלקול מצוי בהם וא"א הרא"ש ז"ל כתב שיכול להגבותם לו וישומו אותם כפי מה שהוא הלוה אם הוא אלם וכפי מה שהם נכסיו עדית או זיבורית:</w:t>
      </w:r>
    </w:p>
    <w:p w14:paraId="0E2A0FE8" w14:textId="77777777" w:rsidR="006047DE" w:rsidRPr="006047DE" w:rsidRDefault="006047DE" w:rsidP="006047DE">
      <w:pPr>
        <w:pStyle w:val="Style1"/>
        <w:rPr>
          <w:rStyle w:val="Style1Char"/>
        </w:rPr>
      </w:pPr>
      <w:r w:rsidRPr="006047DE">
        <w:rPr>
          <w:rStyle w:val="Style1Char"/>
          <w:rtl/>
        </w:rPr>
        <w:t>ז ואם יש לו מעות ללוה ותולה אותם בעכו"ם והמלוה חושש שהם שלו ואומר כן כדי לדחותו מהם מחרימין על כל מי שיודע שיש לו מעות וי"א שאם הלוה אמוד אין שומעין לו וכופין אותו ליתן מעות ואם נודע שהממון שלו אלא שתלה אותם בעכו"ם ואינו יכול ליתן לו כי העכו"ם מעכב כופין אותו למכור קרקע וליתן לבעל חובו מעות:</w:t>
      </w:r>
    </w:p>
    <w:p w14:paraId="7EB1001C" w14:textId="77777777" w:rsidR="006047DE" w:rsidRPr="006047DE" w:rsidRDefault="006047DE" w:rsidP="006047DE">
      <w:pPr>
        <w:pStyle w:val="Style1"/>
        <w:rPr>
          <w:rStyle w:val="Style1Char"/>
        </w:rPr>
      </w:pPr>
      <w:r w:rsidRPr="006047DE">
        <w:rPr>
          <w:rStyle w:val="Style1Char"/>
          <w:rtl/>
        </w:rPr>
        <w:t>ח וכן אם הדבר ידוע שיש לעכו"ם ערעור על נכסי הלוה וירא המלוה ליטול קרקע מיראת ערעורו של העכו"ם צריך הלוה לטרוח ולמכור כדי ליתן מעות:</w:t>
      </w:r>
    </w:p>
    <w:p w14:paraId="675E214A" w14:textId="77777777" w:rsidR="006047DE" w:rsidRPr="006047DE" w:rsidRDefault="006047DE" w:rsidP="006047DE">
      <w:pPr>
        <w:pStyle w:val="Style1"/>
        <w:rPr>
          <w:rStyle w:val="Style1Char"/>
        </w:rPr>
      </w:pPr>
      <w:r w:rsidRPr="006047DE">
        <w:rPr>
          <w:rStyle w:val="Style1Char"/>
          <w:rtl/>
        </w:rPr>
        <w:lastRenderedPageBreak/>
        <w:t>ט וכל מה שיתן לו מקרקעי או מטלטלי ישומו לו כפי מה שיוכל למוכרן מיד ואפילו בביתו לפי השער ולפי הזמן ולא שיצטרך לחזר ולמוכרו בעיירות ובשווקים או לעכבו עד שימצאו לו קונים או שיתייקר שאם לא כן נעלת דלת לפני לווין שיתן לו הפחות שבביתו אם אין לו מעות והמלוה לא יוכל למוכרו לאלתר:</w:t>
      </w:r>
    </w:p>
    <w:p w14:paraId="212FFC1C" w14:textId="77777777" w:rsidR="006047DE" w:rsidRPr="006047DE" w:rsidRDefault="006047DE" w:rsidP="006047DE">
      <w:pPr>
        <w:pStyle w:val="Style1"/>
        <w:rPr>
          <w:rStyle w:val="Style1Char"/>
        </w:rPr>
      </w:pPr>
      <w:r w:rsidRPr="006047DE">
        <w:rPr>
          <w:rStyle w:val="Style1Char"/>
          <w:rtl/>
        </w:rPr>
        <w:t>י לשון הרמב"ם מגבין למלוה כל המטלטלין שימצאו ללוה לא יספיקו לו המטלטלין מגבין לו קרקע אחר שיחרימו על כל מי שיש לו מטלטלין או על כל מי שיודע מטלטלין ואינו מביאם לב"ד:</w:t>
      </w:r>
    </w:p>
    <w:p w14:paraId="48E78B0C" w14:textId="77777777" w:rsidR="006047DE" w:rsidRPr="006047DE" w:rsidRDefault="006047DE" w:rsidP="006047DE">
      <w:pPr>
        <w:pStyle w:val="Style1"/>
        <w:rPr>
          <w:rStyle w:val="Style1Char"/>
        </w:rPr>
      </w:pPr>
      <w:r w:rsidRPr="006047DE">
        <w:rPr>
          <w:rStyle w:val="Style1Char"/>
          <w:rtl/>
        </w:rPr>
        <w:t>יא וגובין כל קרקע שיש לו ואפילו אם הוא משועבד לכתובת אשה או לבע"ח שקדם גובין מיד לוה ואם יבא ראשון ויטרוף טורף ממנו:</w:t>
      </w:r>
    </w:p>
    <w:p w14:paraId="569F5B76" w14:textId="69415D00" w:rsidR="006047DE" w:rsidRDefault="006047DE" w:rsidP="006047DE">
      <w:pPr>
        <w:pStyle w:val="Style1"/>
        <w:rPr>
          <w:rStyle w:val="Style1Char"/>
          <w:rtl/>
        </w:rPr>
      </w:pPr>
      <w:r w:rsidRPr="006047DE">
        <w:rPr>
          <w:rStyle w:val="Style1Char"/>
          <w:rtl/>
        </w:rPr>
        <w:t>יב היו לו מטלטלין או קרקע ויש עליו חובות לעכו"ם ואומר כל נכסי משועבדים לעכו"ם ואם יטלו אותם ישראל יבאו העכו"ם ויאסרו אותו ויהיה בשביה הורו רבותינו שאין שומעין לו ואין משגיחין בו ויגבה הישראל ואם יאסרוהו עכו"ם הרי כל ישראל מצווין לפדותו:</w:t>
      </w:r>
    </w:p>
    <w:p w14:paraId="0B99A76A" w14:textId="5EAC2871" w:rsidR="009F172C" w:rsidRDefault="009F172C" w:rsidP="009F172C">
      <w:pPr>
        <w:pStyle w:val="Style1"/>
        <w:rPr>
          <w:rStyle w:val="Style1Char"/>
          <w:rtl/>
        </w:rPr>
      </w:pPr>
      <w:r>
        <w:rPr>
          <w:rStyle w:val="Style1Char"/>
          <w:rFonts w:hint="cs"/>
          <w:rtl/>
        </w:rPr>
        <w:t>3)[</w:t>
      </w:r>
      <w:r w:rsidRPr="009F172C">
        <w:rPr>
          <w:rStyle w:val="Style1Char"/>
          <w:rtl/>
        </w:rPr>
        <w:t>רמב</w:t>
      </w:r>
      <w:r w:rsidR="0057095E">
        <w:rPr>
          <w:rStyle w:val="Style1Char"/>
          <w:rtl/>
        </w:rPr>
        <w:t>”ם \משפטים\</w:t>
      </w:r>
      <w:r w:rsidRPr="009F172C">
        <w:rPr>
          <w:rStyle w:val="Style1Char"/>
          <w:rtl/>
        </w:rPr>
        <w:t xml:space="preserve"> הלכות מלוה ולוה פרק יא הלכה ט</w:t>
      </w:r>
      <w:r>
        <w:rPr>
          <w:rStyle w:val="Style1Char"/>
          <w:rFonts w:hint="cs"/>
          <w:rtl/>
        </w:rPr>
        <w:t xml:space="preserve">] </w:t>
      </w:r>
      <w:r w:rsidRPr="009F172C">
        <w:rPr>
          <w:rStyle w:val="Style1Char"/>
          <w:rtl/>
        </w:rPr>
        <w:t>יתומים שגבו קרקע בחוב שהיה לאביהן אצל אחרים יש לבעל חוב של אביהם לחזור ולגבות אותה מהן שהרי קרקע זו של אביהם היא.</w:t>
      </w:r>
    </w:p>
    <w:p w14:paraId="60E3D9BF" w14:textId="0C393865" w:rsidR="00ED6481" w:rsidRPr="00B33A93" w:rsidRDefault="00ED6481" w:rsidP="00ED6481">
      <w:pPr>
        <w:pStyle w:val="Style1"/>
      </w:pPr>
      <w:r>
        <w:rPr>
          <w:rFonts w:hint="cs"/>
          <w:rtl/>
        </w:rPr>
        <w:t>3)[</w:t>
      </w:r>
      <w:r>
        <w:rPr>
          <w:rtl/>
        </w:rPr>
        <w:t>שולחן ערוך חושן משפט הלכות גביית חוב מהיתומים סימן קז סעיף א</w:t>
      </w:r>
      <w:r>
        <w:rPr>
          <w:rFonts w:hint="cs"/>
          <w:rtl/>
        </w:rPr>
        <w:t xml:space="preserve">] </w:t>
      </w:r>
      <w:r w:rsidRPr="00B33A93">
        <w:rPr>
          <w:rtl/>
        </w:rPr>
        <w:t>מצווה על היורשים לפרוע חוב אביהם, וכופים אותם בכך כמו שכופים את אביהם. במה דברים אמורים? כשהניח קרקעות; אבל אם לא הניח אלא מטלטלים -- אין כופין אותם לפרוע חוב אביהם מהם, אבל מצוה עליהם לפרוע חוב אביהם מהם. זהו מן הדין</w:t>
      </w:r>
      <w:r w:rsidRPr="00B33A93">
        <w:t>.</w:t>
      </w:r>
    </w:p>
    <w:p w14:paraId="20255559" w14:textId="77777777" w:rsidR="00ED6481" w:rsidRPr="00B33A93" w:rsidRDefault="00ED6481" w:rsidP="00ED6481">
      <w:pPr>
        <w:pStyle w:val="Style1"/>
      </w:pPr>
      <w:r w:rsidRPr="00B33A93">
        <w:rPr>
          <w:rtl/>
        </w:rPr>
        <w:t>אבל הגאונים תקנו, שיהא בעל חוב גובה מהיורשים מטלטלים שהניח אביהם. הלכך האידנא כופין אותם לפרוע חובות אביהם, אפילו היא מלוה על פה, אף מהמטלטלים שהניח אביהם, אפילו קנאם הלוה אחר שלוה ולא כתב "דאקני</w:t>
      </w:r>
      <w:r w:rsidRPr="00B33A93">
        <w:t>" </w:t>
      </w:r>
      <w:r w:rsidRPr="00B33A93">
        <w:rPr>
          <w:rFonts w:hint="cs"/>
        </w:rPr>
        <w:t>(</w:t>
      </w:r>
      <w:r w:rsidRPr="00B33A93">
        <w:rPr>
          <w:rFonts w:hint="cs"/>
          <w:rtl/>
        </w:rPr>
        <w:t>עיין לקמן </w:t>
      </w:r>
      <w:hyperlink r:id="rId249" w:tooltip="שולחן ערוך חושן משפט קיא" w:history="1">
        <w:r w:rsidRPr="00B33A93">
          <w:rPr>
            <w:rStyle w:val="Hyperlink"/>
            <w:rFonts w:hint="cs"/>
            <w:color w:val="7030A0"/>
            <w:u w:val="none"/>
            <w:rtl/>
          </w:rPr>
          <w:t>סימן קיא</w:t>
        </w:r>
      </w:hyperlink>
      <w:r w:rsidRPr="00B33A93">
        <w:rPr>
          <w:rFonts w:hint="cs"/>
        </w:rPr>
        <w:t>)</w:t>
      </w:r>
      <w:r w:rsidRPr="00B33A93">
        <w:t xml:space="preserve">; </w:t>
      </w:r>
      <w:r w:rsidRPr="00B33A93">
        <w:rPr>
          <w:rtl/>
        </w:rPr>
        <w:t>דיורש במקום אביו קאי</w:t>
      </w:r>
      <w:r w:rsidRPr="00B33A93">
        <w:t>.</w:t>
      </w:r>
    </w:p>
    <w:p w14:paraId="5347EC75" w14:textId="77777777" w:rsidR="00ED6481" w:rsidRPr="00B33A93" w:rsidRDefault="00ED6481" w:rsidP="00ED6481">
      <w:pPr>
        <w:pStyle w:val="Style1"/>
      </w:pPr>
      <w:r w:rsidRPr="00B33A93">
        <w:rPr>
          <w:rtl/>
        </w:rPr>
        <w:t>וכן חייבים לפרוע חוב אביהם ממלוה שהיתה לאביהם ביד אחרים, בין גבו קרקע, בין גבו מעות. ואם ירשו קרקע ומטלטלים, ואין מפורש בשטר שיגבה מטלטלי בין בחייו בין במותו, והיורשים רוצים להגבות לבעל חוב קרקע והוא רוצה לגבות מטלטלים -- הדין עם היורשים</w:t>
      </w:r>
      <w:r w:rsidRPr="00B33A93">
        <w:t>.</w:t>
      </w:r>
    </w:p>
    <w:p w14:paraId="09471608" w14:textId="77777777" w:rsidR="00ED6481" w:rsidRPr="00B33A93" w:rsidRDefault="00ED6481" w:rsidP="00ED6481">
      <w:pPr>
        <w:pStyle w:val="Style1"/>
      </w:pPr>
      <w:r w:rsidRPr="00B33A93">
        <w:rPr>
          <w:rtl/>
        </w:rPr>
        <w:t>אבל אם לא ירשו כלום מאביהן, אין חייבים לפרוע חוב אביהם, ואפילו מצוה ליכא</w:t>
      </w:r>
      <w:r w:rsidRPr="00B33A93">
        <w:t>.   </w:t>
      </w:r>
    </w:p>
    <w:p w14:paraId="0724D600" w14:textId="5BBAAC36" w:rsidR="00ED6481" w:rsidRDefault="00ED6481" w:rsidP="00ED6481">
      <w:pPr>
        <w:pStyle w:val="Style1"/>
        <w:rPr>
          <w:rtl/>
        </w:rPr>
      </w:pPr>
      <w:r w:rsidRPr="00B33A93">
        <w:rPr>
          <w:rFonts w:hint="cs"/>
          <w:rtl/>
        </w:rPr>
        <w:t>הגה: ירש קצת נכסים, אין צריך לפרוע, רק מה שירש. ואם אומר "איני יורש ואיני משלם", עיין לקמן </w:t>
      </w:r>
      <w:hyperlink r:id="rId250" w:tooltip="שולחן ערוך חושן משפט רעח" w:history="1">
        <w:r w:rsidRPr="00B33A93">
          <w:rPr>
            <w:rStyle w:val="Hyperlink"/>
            <w:rFonts w:hint="cs"/>
            <w:color w:val="7030A0"/>
            <w:u w:val="none"/>
            <w:rtl/>
          </w:rPr>
          <w:t>סוף סימן רע"ח</w:t>
        </w:r>
      </w:hyperlink>
      <w:r w:rsidRPr="00B33A93">
        <w:rPr>
          <w:rFonts w:hint="cs"/>
        </w:rPr>
        <w:t> </w:t>
      </w:r>
      <w:r w:rsidRPr="00B33A93">
        <w:rPr>
          <w:rFonts w:hint="cs"/>
          <w:rtl/>
        </w:rPr>
        <w:t>אם שומעין לו</w:t>
      </w:r>
      <w:r w:rsidRPr="00B33A93">
        <w:t>.</w:t>
      </w:r>
    </w:p>
    <w:p w14:paraId="236D85BC" w14:textId="293B774B" w:rsidR="00A92165" w:rsidRDefault="00A92165" w:rsidP="00A92165">
      <w:pPr>
        <w:pStyle w:val="Style1"/>
        <w:rPr>
          <w:rtl/>
        </w:rPr>
      </w:pPr>
      <w:r>
        <w:rPr>
          <w:rFonts w:hint="cs"/>
          <w:rtl/>
        </w:rPr>
        <w:t>4)[</w:t>
      </w:r>
      <w:r>
        <w:rPr>
          <w:rtl/>
        </w:rPr>
        <w:t>רמב</w:t>
      </w:r>
      <w:r w:rsidR="0057095E">
        <w:rPr>
          <w:rtl/>
        </w:rPr>
        <w:t>”ם \משפטים\</w:t>
      </w:r>
      <w:r>
        <w:rPr>
          <w:rtl/>
        </w:rPr>
        <w:t xml:space="preserve"> הלכות מלוה ולוה פרק יט הלכה ג</w:t>
      </w:r>
      <w:r>
        <w:rPr>
          <w:rFonts w:hint="cs"/>
          <w:rtl/>
        </w:rPr>
        <w:t xml:space="preserve">] </w:t>
      </w:r>
      <w:r>
        <w:rPr>
          <w:rtl/>
        </w:rPr>
        <w:t>ראובן שמכר כל שדותיו לשמעון וחזר שמעון ומכר שדה אחת מהן ללוי ובא ב"ח של ראובן לטרוף רצה מזה גובה רצה מזה גובה, בד"א כשלקח לוי בינונית, אבל אם לקח עידית או זיבורית אינו טורף מלוי שהרי זה אומר לו מפני זה טרחתי ולקחתי שדה שאין דינך לגבות ממנו, וכן אם לקח לוי בינונית והניח אצל שמעון בינונית כמו הבינונית שלקח אינו טורף מלוי שהרי זה אומר לו הנחתי לך מקום לגבות ממנו.</w:t>
      </w:r>
    </w:p>
    <w:p w14:paraId="569611F4" w14:textId="7B860D2D" w:rsidR="00483A4A" w:rsidRPr="00483A4A" w:rsidRDefault="00371321" w:rsidP="00483A4A">
      <w:pPr>
        <w:pStyle w:val="Style1"/>
      </w:pPr>
      <w:r>
        <w:rPr>
          <w:rFonts w:hint="cs"/>
          <w:rtl/>
        </w:rPr>
        <w:t>4)[</w:t>
      </w:r>
      <w:r>
        <w:rPr>
          <w:rtl/>
        </w:rPr>
        <w:t>שולחן ערוך חושן משפט הלכות אפותיקי סימן קיט סעיף א</w:t>
      </w:r>
      <w:r>
        <w:rPr>
          <w:rFonts w:hint="cs"/>
          <w:rtl/>
        </w:rPr>
        <w:t>]</w:t>
      </w:r>
      <w:r w:rsidR="00483A4A">
        <w:rPr>
          <w:rFonts w:hint="cs"/>
          <w:rtl/>
        </w:rPr>
        <w:t xml:space="preserve"> </w:t>
      </w:r>
      <w:r w:rsidR="00483A4A" w:rsidRPr="00483A4A">
        <w:rPr>
          <w:rtl/>
        </w:rPr>
        <w:t>ראובן שמכר כל שדותיו לשמעון בבת אחת וחזר שמעון ומכר שדה אחת ללוי והיא בינונית ולא נשאר בינונית אחרת ביד שמעון ובא ב"ח לגבות רצה גובה מבינונית שביד לוי רצה גובה ממה שביד שמעון אפילו לא נשאר בידו אלא עידית יכול לגבות ממנו בד"א שגובה מלוי כשלקח בינונית אבל אם לקח עידית או זיבורית א"י לגבות ממנו </w:t>
      </w:r>
      <w:r w:rsidR="00483A4A" w:rsidRPr="00483A4A">
        <w:rPr>
          <w:rFonts w:hint="cs"/>
          <w:rtl/>
        </w:rPr>
        <w:t>(וי"א דגובה מן הזיבורית שביד לוקח שני אם לא נשאר ביד הראשון רק עידית) (המ"מ פי"ט ממלוה בשם הרמב"ן והרשב"א)</w:t>
      </w:r>
      <w:r w:rsidR="00483A4A" w:rsidRPr="00483A4A">
        <w:rPr>
          <w:rtl/>
        </w:rPr>
        <w:t> וכן אם נשאר בינונית ביד שמעון אינו יכול לגבות מלוי אפי' אם לקח בינונית וכל זה לא איירי אלא כשקנאם שמעון בבת אחת אבל אם קנאם זה אחר זה וקנה זיבורית באחרונה אינו גובה מלוי</w:t>
      </w:r>
      <w:r w:rsidR="00483A4A" w:rsidRPr="00483A4A">
        <w:t>:</w:t>
      </w:r>
    </w:p>
    <w:p w14:paraId="2AF88D34" w14:textId="77777777" w:rsidR="005F1878" w:rsidRPr="00CA2A47" w:rsidRDefault="005F1878" w:rsidP="00CA2A47">
      <w:pPr>
        <w:pStyle w:val="Style1"/>
        <w:rPr>
          <w:rStyle w:val="Style1Char"/>
        </w:rPr>
      </w:pPr>
    </w:p>
    <w:p w14:paraId="1C4DC8AD" w14:textId="77777777" w:rsidR="005F1878" w:rsidRPr="00986E49" w:rsidRDefault="005F1878" w:rsidP="005F1878">
      <w:pPr>
        <w:bidi/>
        <w:rPr>
          <w:rStyle w:val="Style1Char"/>
          <w:color w:val="00B050"/>
          <w:rtl/>
        </w:rPr>
      </w:pPr>
    </w:p>
    <w:p w14:paraId="6F1864F2" w14:textId="77777777" w:rsidR="005F1878" w:rsidRDefault="005F1878" w:rsidP="005F1878">
      <w:pPr>
        <w:rPr>
          <w:rStyle w:val="Style1Char"/>
          <w:color w:val="00B050"/>
          <w:rtl/>
        </w:rPr>
      </w:pPr>
      <w:r>
        <w:rPr>
          <w:rStyle w:val="Style1Char"/>
          <w:color w:val="00B050"/>
          <w:rtl/>
        </w:rPr>
        <w:br w:type="page"/>
      </w:r>
    </w:p>
    <w:p w14:paraId="15E5786D" w14:textId="1413A818" w:rsidR="005F1878" w:rsidRDefault="005F1878" w:rsidP="005F1878">
      <w:pPr>
        <w:bidi/>
        <w:rPr>
          <w:rStyle w:val="Style1Char"/>
          <w:sz w:val="22"/>
          <w:szCs w:val="22"/>
          <w:rtl/>
        </w:rPr>
      </w:pPr>
      <w:r w:rsidRPr="00E232EB">
        <w:rPr>
          <w:rStyle w:val="Style1Char"/>
          <w:sz w:val="22"/>
          <w:szCs w:val="22"/>
          <w:highlight w:val="yellow"/>
          <w:rtl/>
        </w:rPr>
        <w:lastRenderedPageBreak/>
        <w:t>[דף צב עמוד ב]</w:t>
      </w:r>
      <w:r w:rsidRPr="00E232EB">
        <w:rPr>
          <w:rStyle w:val="Style1Char"/>
          <w:sz w:val="22"/>
          <w:szCs w:val="22"/>
          <w:rtl/>
        </w:rPr>
        <w:t xml:space="preserve"> אבל שבק בינונית דכוותה, מצי א"ל: הנחתי לך מקום לגבות הימנו. אמר אביי: ראובן שמכר שדה לשמעון באחריות, ואתא בעל חוב דראובן וקטריף לה מיניה, דינא הוא, דאזיל ראובן ומפצי ליה, ולא מצי אמר ליה לאו בעל דברים דידי את, משום דאמר ליה: דמפקת מיניה עלי הדר. </w:t>
      </w:r>
      <w:r w:rsidR="00BE2F2E">
        <w:rPr>
          <w:rStyle w:val="Style1Char"/>
          <w:rFonts w:hint="cs"/>
          <w:rtl/>
        </w:rPr>
        <w:t>(1)</w:t>
      </w:r>
      <w:r w:rsidRPr="00E232EB">
        <w:rPr>
          <w:rStyle w:val="Style1Char"/>
          <w:sz w:val="22"/>
          <w:szCs w:val="22"/>
          <w:rtl/>
        </w:rPr>
        <w:t xml:space="preserve">ואיכא דאמרי: אפילו שלא באחריות נמי, דאמר ליה: לא ניחא לי דתהוי ליה לשמעון תרעומת עלי. אמר אביי: ראובן שמכר שדה לשמעון שלא באחריות, ויצאו עליו </w:t>
      </w:r>
    </w:p>
    <w:p w14:paraId="5CF7D280" w14:textId="3B72B13A" w:rsidR="00E734EF" w:rsidRDefault="00E734EF" w:rsidP="00E734EF">
      <w:pPr>
        <w:pStyle w:val="Style1"/>
        <w:rPr>
          <w:rStyle w:val="Style1Char"/>
          <w:rtl/>
        </w:rPr>
      </w:pPr>
      <w:r>
        <w:rPr>
          <w:rStyle w:val="Style1Char"/>
          <w:rFonts w:hint="cs"/>
          <w:rtl/>
        </w:rPr>
        <w:t>1)[</w:t>
      </w:r>
      <w:r w:rsidRPr="00E734EF">
        <w:rPr>
          <w:rStyle w:val="Style1Char"/>
          <w:rtl/>
        </w:rPr>
        <w:t>רמב</w:t>
      </w:r>
      <w:r w:rsidR="00786216">
        <w:rPr>
          <w:rStyle w:val="Style1Char"/>
          <w:rtl/>
        </w:rPr>
        <w:t>”ם \מכירה\</w:t>
      </w:r>
      <w:r w:rsidRPr="00E734EF">
        <w:rPr>
          <w:rStyle w:val="Style1Char"/>
          <w:rtl/>
        </w:rPr>
        <w:t xml:space="preserve"> הלכות מכירה פרק יט הלכה ט</w:t>
      </w:r>
      <w:r>
        <w:rPr>
          <w:rStyle w:val="Style1Char"/>
          <w:rFonts w:hint="cs"/>
          <w:rtl/>
        </w:rPr>
        <w:t xml:space="preserve">] </w:t>
      </w:r>
      <w:r w:rsidRPr="00E734EF">
        <w:rPr>
          <w:rStyle w:val="Style1Char"/>
          <w:rtl/>
        </w:rPr>
        <w:t>ראובן שמכר שדה לשמעון שלא באחריות, ובא לוי והוציאה מיד שמעון, אם רצה ראובן לעשות דין עם לוי עושה, ואין יכול לוי לומר לו מה לי ולך והרי אין עליך אחריות, שהרי ראובן אומר לו אין רצוני שיהיה לשמעון תרעומת עלי שהרי הפסיד בגללי.</w:t>
      </w:r>
    </w:p>
    <w:p w14:paraId="5ADC4847" w14:textId="77777777" w:rsidR="004049C6" w:rsidRPr="004049C6" w:rsidRDefault="003D4517" w:rsidP="004049C6">
      <w:pPr>
        <w:pStyle w:val="Style1"/>
      </w:pPr>
      <w:r>
        <w:rPr>
          <w:rStyle w:val="Style1Char"/>
          <w:rFonts w:hint="cs"/>
          <w:rtl/>
        </w:rPr>
        <w:t>1)[</w:t>
      </w:r>
      <w:r w:rsidRPr="003D4517">
        <w:rPr>
          <w:rStyle w:val="Style1Char"/>
          <w:rtl/>
        </w:rPr>
        <w:t>שולחן ערוך חושן משפט הלכות מקח וממכר סימן רכו סעיף א</w:t>
      </w:r>
      <w:r>
        <w:rPr>
          <w:rStyle w:val="Style1Char"/>
          <w:rFonts w:hint="cs"/>
          <w:rtl/>
        </w:rPr>
        <w:t>]</w:t>
      </w:r>
      <w:r w:rsidR="004049C6">
        <w:rPr>
          <w:rStyle w:val="Style1Char"/>
          <w:rFonts w:hint="cs"/>
          <w:rtl/>
        </w:rPr>
        <w:t xml:space="preserve"> </w:t>
      </w:r>
      <w:r w:rsidR="004049C6" w:rsidRPr="004049C6">
        <w:rPr>
          <w:rtl/>
        </w:rPr>
        <w:t>ראובן שמכר שדה לשמעון שלא באחריות ובא לוי והוציאה מיד שמעון אם רצה ראובן לעשות דין עם לוי עושה ואין לוי יכול לומר מה לי ולך והרי אין עליך אחריות שהרי ראובן אומר לו אין רצוני שיהיה לשמעון תרעומת עלי שהפסיד בגללי</w:t>
      </w:r>
    </w:p>
    <w:p w14:paraId="4FCDA495" w14:textId="77777777" w:rsidR="004049C6" w:rsidRPr="004049C6" w:rsidRDefault="004049C6" w:rsidP="004049C6">
      <w:pPr>
        <w:pStyle w:val="Style1"/>
      </w:pPr>
      <w:r w:rsidRPr="004049C6">
        <w:rPr>
          <w:rFonts w:hint="cs"/>
          <w:rtl/>
        </w:rPr>
        <w:t>(אבל אם נתן לו במתנה לא יוכל לטעון בעדו דהא ליכא כאן תרעומת) (ב"י בשם הרשב"א)</w:t>
      </w:r>
      <w:r w:rsidRPr="004049C6">
        <w:t>:</w:t>
      </w:r>
    </w:p>
    <w:p w14:paraId="79E0B693" w14:textId="1F2FCB56" w:rsidR="003D4517" w:rsidRPr="004049C6" w:rsidRDefault="003D4517" w:rsidP="004049C6">
      <w:pPr>
        <w:pStyle w:val="Style1"/>
        <w:rPr>
          <w:rStyle w:val="Style1Char"/>
        </w:rPr>
      </w:pPr>
    </w:p>
    <w:p w14:paraId="4732822C" w14:textId="07F1884F" w:rsidR="003D4517" w:rsidRPr="004049C6" w:rsidRDefault="003D4517" w:rsidP="004049C6">
      <w:pPr>
        <w:pStyle w:val="Style1"/>
        <w:rPr>
          <w:rStyle w:val="Style1Char"/>
          <w:rtl/>
        </w:rPr>
      </w:pPr>
    </w:p>
    <w:p w14:paraId="1F499F47" w14:textId="77777777" w:rsidR="005F1878" w:rsidRPr="00E232EB" w:rsidRDefault="005F1878" w:rsidP="005F1878">
      <w:pPr>
        <w:bidi/>
        <w:rPr>
          <w:rStyle w:val="Style1Char"/>
          <w:color w:val="00B050"/>
          <w:rtl/>
        </w:rPr>
      </w:pPr>
    </w:p>
    <w:p w14:paraId="66702AAD" w14:textId="77777777" w:rsidR="005F1878" w:rsidRDefault="005F1878" w:rsidP="005F1878">
      <w:pPr>
        <w:rPr>
          <w:rStyle w:val="Style1Char"/>
          <w:color w:val="00B050"/>
          <w:rtl/>
        </w:rPr>
      </w:pPr>
      <w:r>
        <w:rPr>
          <w:rStyle w:val="Style1Char"/>
          <w:color w:val="00B050"/>
          <w:rtl/>
        </w:rPr>
        <w:br w:type="page"/>
      </w:r>
    </w:p>
    <w:p w14:paraId="78221E6A" w14:textId="004DEAD3" w:rsidR="005F1878" w:rsidRPr="00616624" w:rsidRDefault="005F1878" w:rsidP="005F1878">
      <w:pPr>
        <w:bidi/>
        <w:rPr>
          <w:rStyle w:val="Style1Char"/>
          <w:sz w:val="22"/>
          <w:szCs w:val="22"/>
          <w:rtl/>
        </w:rPr>
      </w:pPr>
      <w:r w:rsidRPr="00616624">
        <w:rPr>
          <w:rStyle w:val="Style1Char"/>
          <w:sz w:val="22"/>
          <w:szCs w:val="22"/>
          <w:highlight w:val="yellow"/>
          <w:rtl/>
        </w:rPr>
        <w:lastRenderedPageBreak/>
        <w:t>[דף צג עמוד א]</w:t>
      </w:r>
      <w:r w:rsidRPr="00616624">
        <w:rPr>
          <w:rStyle w:val="Style1Char"/>
          <w:sz w:val="22"/>
          <w:szCs w:val="22"/>
          <w:rtl/>
        </w:rPr>
        <w:t xml:space="preserve"> עסיקין, </w:t>
      </w:r>
      <w:r w:rsidR="00782087">
        <w:rPr>
          <w:rStyle w:val="Style1Char"/>
          <w:rFonts w:hint="cs"/>
          <w:rtl/>
        </w:rPr>
        <w:t>(1)</w:t>
      </w:r>
      <w:r w:rsidRPr="00616624">
        <w:rPr>
          <w:rStyle w:val="Style1Char"/>
          <w:sz w:val="22"/>
          <w:szCs w:val="22"/>
          <w:rtl/>
        </w:rPr>
        <w:t xml:space="preserve">עד שלא החזיק בה - יכול לחזור בו, משהחזיק בה - אינו יכול לחזור בו, משום דאמר ליה: חייתא דקיטרי סברת וקבילת. ומאימת מחזיק בה? מכי דייש אמצרי. </w:t>
      </w:r>
      <w:r w:rsidR="001214A2">
        <w:rPr>
          <w:rStyle w:val="Style1Char"/>
          <w:rFonts w:hint="cs"/>
          <w:rtl/>
        </w:rPr>
        <w:t>(1)</w:t>
      </w:r>
      <w:r w:rsidRPr="00616624">
        <w:rPr>
          <w:rStyle w:val="Style1Char"/>
          <w:sz w:val="22"/>
          <w:szCs w:val="22"/>
          <w:rtl/>
        </w:rPr>
        <w:t xml:space="preserve">איכא דאמרי: אפי' באחריות נמי, דאמר ליה: אחוי טירפך ואשלם לך. </w:t>
      </w:r>
    </w:p>
    <w:p w14:paraId="4FF5B41B" w14:textId="3CFAF6CE" w:rsidR="005F1878" w:rsidRPr="00052E48" w:rsidRDefault="005F1878" w:rsidP="005F1878">
      <w:pPr>
        <w:pStyle w:val="Style1"/>
        <w:rPr>
          <w:rStyle w:val="Style1Char"/>
          <w:color w:val="auto"/>
          <w:sz w:val="22"/>
          <w:szCs w:val="22"/>
          <w:rtl/>
        </w:rPr>
      </w:pPr>
      <w:r w:rsidRPr="00052E48">
        <w:rPr>
          <w:rStyle w:val="Style1Char"/>
          <w:color w:val="auto"/>
          <w:sz w:val="22"/>
          <w:szCs w:val="22"/>
          <w:rtl/>
        </w:rPr>
        <w:t xml:space="preserve">מתני'. </w:t>
      </w:r>
      <w:r w:rsidR="00932A69">
        <w:rPr>
          <w:rStyle w:val="Style1Char"/>
          <w:rFonts w:hint="cs"/>
          <w:rtl/>
        </w:rPr>
        <w:t>(1)</w:t>
      </w:r>
      <w:r w:rsidRPr="00052E48">
        <w:rPr>
          <w:rStyle w:val="Style1Char"/>
          <w:color w:val="auto"/>
          <w:sz w:val="22"/>
          <w:szCs w:val="22"/>
          <w:rtl/>
        </w:rPr>
        <w:t xml:space="preserve">מי שהיה נשוי שלש נשים ומת, כתובתה של זו מנה ושל זו מאתים ושל זו שלש מאות, ואין שם אלא מנה - חולקין בשוה. היו שם מאתים, של מנה - נוטלת חמשים, של מאתים ושל שלש מאות - שלשה שלשה של זהב. היו שם שלש מאות, של מנה - נוטלת חמשים, ושל מאתים - מנה, ושל שלש מאות - ששה של זהב. וכן ג' שהטילו לכיס, פיחתו או הותירו כך הן חולקין. </w:t>
      </w:r>
    </w:p>
    <w:p w14:paraId="200B435B" w14:textId="77777777" w:rsidR="005F1878" w:rsidRDefault="005F1878" w:rsidP="005F1878">
      <w:pPr>
        <w:bidi/>
        <w:rPr>
          <w:rStyle w:val="Style1Char"/>
          <w:color w:val="00B050"/>
          <w:rtl/>
        </w:rPr>
      </w:pPr>
      <w:r w:rsidRPr="009C1DA6">
        <w:rPr>
          <w:rStyle w:val="Style1Char"/>
          <w:sz w:val="22"/>
          <w:szCs w:val="22"/>
          <w:rtl/>
        </w:rPr>
        <w:t xml:space="preserve">גמ'. </w:t>
      </w:r>
      <w:r w:rsidRPr="00A55221">
        <w:rPr>
          <w:rStyle w:val="Style1Char"/>
          <w:color w:val="C00000"/>
          <w:rtl/>
        </w:rPr>
        <w:t xml:space="preserve">גמ' הא מתני' וגמרא דילה שקלי וטרו בה קמאי ז"ל ולא סלקא להון כל עיקר וכיון דחזו דלא סליקא להו כהוגן הדרי לשקול הדעת ופסקי הלכתא דפלגין לפום ממונא וסמכי להאי סברא על מימרא דרבי דאמר אין אני רואה דבריו של רבי נתן באלו אלא חולקין בשוה וקא פרישו להא דא"ר חולקין בשוה שהוא לפי מעות והדין סברא כי מעיינת בה בגמרא משכחת לה פריכא ולא סליק אליבא דגמרא כל עיקר ולא אליבא דמתני' דבהדיא תנינא במתני' ואין שם אלא מנה חולקות בשוה ותנן בבבא תילתאה היו שם שלש מאות של מנה נוטלת חמשים של מאתים מנה ושל שלש מאות ששה של זהב והיינו לפי מעות אי אמרת בשלמא דלא סבירא ליה לתנא דחולקין לפי מעות משום הכי קתני בבבא דרישא חולקין בשוה דשקלא כל חדא מינייהו תלתין ותלתא ותילתא ותני בבבא תליתאה של מנה נוטלת חמשים ושל מאתים מנה ושל ג' מאות ששה של זהב ואף על פי דהאי פלוגתא לפי מעות הוי לא קתני בה חולקין לפי מעות אלא קא פריט לה לחושבנא כי היכי דלא ליתני חולקין לפי מעות דלאו מעיקרא דינא הוא דפלגי לה לפי מעות אלא אתרמויי אתרמי ליה הכי אלא אי אמרת דסבירא ליה לתנא דחולקין לפי מעות והאי דקתני חולקין בשוה לפי מעות הוא ובבא תליתאה נמי לפי מעות ניתני או אידי ואידי חולקין בשוה או אידי ואידי חולקין לפי מעות מאי טעמא קתני בבבא דרישא חולקין בשוה ובבבא דסיפא פריט לה לחושבנא והוה סגי ליה למתני חולקין בשוה אי נמי חולקין לפי מעות אלא ודאי לית ליה להאי תנא חולקין לפי מעות גבי הא מילתא כלל אלא הא דקתני חולקין בשוה כל חדא מינייהו שקלא תילתא דהוא תלתין ותלתא ותילתא ורבי דקאמר אין אני רואה דבריו של רבי נתן באלו אלא חולקין בשוה אתרי בבי בתראי פליג דלא תני בהו חולקין בשוה וסבירא ליה לרבי דבכולהו תלתא בבי חולקין בשוה וטעמא דיליה כדבעינן למימר קמן ואף רבינו האי גאון ז"ל לא סבירא ליה האי מימרא דקמאי דמימרא פריכא הוא ועיין בה איהו נמי ומסתברא ליה על דרך שנים אוחזין בטלית והוה ס"ל הכי כמה שני ושמיע לן דהדר ביה מיניה לסוף שניה כד איגלי ליה דלא סליקא שמעתא כהוגן והדר ליה לסברא דקמאי דחולקין לפי מעות ואנן עיינינן ביה טובא ואיגלי לן טעמיה שפיר בסייעתא דשמיא ופרישנא לה למתניתין ולגמרא דילה וברירנא עיקרא דילה מדברי רבותינו ז"ל בפירוש מעליא ומילי נהירין ולית בהון ספיקא וכד מעיינת בהון מתברר לך דודאי הוא דעתא דתנאי ואמוראי בלא ספק וליכא למיחש לחזור מיניה דאיהו דינא דקושטא והלכה למשה מסיני ופרישנא לה בלשון ערבי וכתיבנא ליה בסוף הדין מסכתא בהדי פירוש תרתי שמעתתא אחרנייתא מהאי מסכתא דחזינא בהו פירושי דלא סליקו ומשום הכי פרישנא להון וארוחנא בפירושיהן לפום מאי דחזינן ומאן דמעיין בהו קאים על בוריהן ואפילו הכי חזינא למכתב מיניה הכא מאי דצריכנא ליה מחוורתא דשמעתא ופסקא דדינא דמי שהיה נשוי שלש נשים ומת כתובתה של זו מנה ושל זו מאתים ושל זו שלש מאות ואין שם אלא מנה חולקות בשוה ושקלה כל חדא מינייהו תילתא דהוא תלתין ותלתא ותילתא כדקתני במתניתין וליכא מאן דפליג בהאי בבא (בהא) אבל היו שם מאתים או שלש מאות בהני תרתי בבי פליגי רבי ורבי נתן דרבי נתן סבר חד מנה מינייהו פלגי בשוה כדמעיקרא דליכא מינייהו מאן דאית ליה בציר מחד מנה והוה ליה שעבודא דכולהו בהאי מנה וקאתי בהדי הדדי הילכך פלגי להו כולהו בשוה וכד שקלה האי דאית לה מנה מנתה דילה מהאי מנה איסתלקא לה ולית לה במנה תנינא ותליתאה ולא מידי משום דלית לה בהון שעבודא והאי מנה תנינא פלגי ליה דאית לה מאתים ודאית לה תלת מאה בשוה דמשעבד לתרוייהו וכד שקלה הך דאית לה מאתים ממנה תנינא פלגא דידה איסתלקא לה מהאי מנה תליתאה לגמרי דלית לה בגויה שעבודא ושקלא ליה דאית לה תלת מאה לחודה דלדידה משתעבד הדין הוא סברא דר' נתן וקאמר רבי אין אני רואה דבריו של ר' נתן באלו דאינון תרי בבי דסיפא היו שם </w:t>
      </w:r>
      <w:r>
        <w:rPr>
          <w:rStyle w:val="Style1Char"/>
          <w:rFonts w:hint="cs"/>
          <w:color w:val="C00000"/>
          <w:rtl/>
        </w:rPr>
        <w:t>-</w:t>
      </w:r>
      <w:r w:rsidRPr="00A55221">
        <w:rPr>
          <w:rStyle w:val="Style1Char"/>
          <w:color w:val="C00000"/>
          <w:rtl/>
        </w:rPr>
        <w:t>מאתים היו שם ג' מאות אלא הני נמי חולקות בשוה וכל חדא מינייהו שקלה מאה הואיל וכל חדא וחדא מינייהו לית לה בציר ממאה כסברא דרבי נתן בבבא קמא והוא הדין בהיות שם מאתים דכל חדא וחדא מינייהו לא מטי לה שעבודא דילה ואי איכא ארבע מאה פלגין תלת מאה מינייהו בשוה דשקלה כל חדא מינייהו מאה ומאה יתירא פלגי לה דמאתים ותלת מאה בשוה דכבר אסתלקא לה דמנה ולא פש לה מידי וכן נמי אי איכא חמש מאה פלגי כולהו לתלת מאה בשוה ומאתים יתירתא פלגי ליה תרוייהו בשוה ואי אשתכח בתר הכי מידי שקלה ליה הך דאית לה תלת מאה ואי לא לא הדין סברא דרבי דסבר דאזלינן בתר מאי דשוו להדדי דכל היכא דכי פלגינן בינייהו בשוה לא מטי לחדא מינייהו טפי מדילה פלגינן בינייהו בשוה והכי עבדינן עד דמטי לחדא מינייהו שיעורא דאית לה וכד מטי לה שיעור מאי דאית לה מסלקינן לה ומאי דפש בתר הכי פלגי ליה הנך עד דמטי נמי לחדא מינייהו מאי דאית לה ומאי דפש שקלא ליה היאך עד דמשתלמא כל מאי דאית לה אבל רבי נתן סבר דאזלינן בתר שיעורא זוטא דבכולהו דפלגי לה כולהו בשוה ומאי דפש מממונא חזינן מאי דשוו הנך תרתי בשעבודיה פלגי ליה ושארא שקלה ליה הך דאית לה טפי מכולהו עד דמטי שיעורא דמשתכח לשיעורא רבא דכולהו דהוא תלת מאה ואי איכא טופיינא על תלת מאה כגון דמשתכח ארבע מאה כיון דליכא בכולהו מאן דאית לה ארבע מאה פלגי להו לתלת מאה כדמעיקרא והך מאה יתירתא הדר ביה דינא לכדמעיקרא דחזינן (מאן) דשוו ביה כולהו להדדי ומשתעבד לכולהו פלגי ליה בשוה לפום מאי דפרישנא בסברא דידיה בפלוגתא קמייתא והכי נמי עבדינן עד דמשתכחי שית מאה דהוא כללא דממונא דכולהו ושקלא כל חדא מינייהו שיעורא דילה עד גמירא וטעמיה דרבי עדיף וטפי מסתבר הילכך הילכתא כוותיה ומאן דלא סגיא ליה בהאי פירושא לעיין בסוף מסכתא בפירושא דכתיבנא ליה בלשון ערבי: וכן ג' שהטילו לכיס זה מנה וזה מאתים וזה שלש מאות פיחתו או הותירו כך הן חולקין. כלומר [לפי מעות] כדאתמרי בבבא דסיפא דמתני'</w:t>
      </w:r>
    </w:p>
    <w:p w14:paraId="6B23C1D6" w14:textId="126F8DAD" w:rsidR="005F1878" w:rsidRPr="00DB0EBD" w:rsidRDefault="005F1878" w:rsidP="005F1878">
      <w:pPr>
        <w:bidi/>
        <w:rPr>
          <w:rStyle w:val="Style1Char"/>
          <w:color w:val="00B050"/>
        </w:rPr>
      </w:pPr>
      <w:r w:rsidRPr="00DB0EBD">
        <w:rPr>
          <w:rStyle w:val="Style1Char"/>
          <w:color w:val="00B050"/>
          <w:rtl/>
        </w:rPr>
        <w:t xml:space="preserve">של מנה נוטלת חמשים, תלתין ותלתא ותילתא הוא דאית לה! אמר שמואל: בכותבת בעלת מאתים לבעלת מנה, דין ודברים אין לי עמך במנה: אי הכי, אימא סיפא: של מאתים ושל שלש מאות - שלש שלש של זהב, תימא לה: הא סלקת נפשך מינה! משום דאמרה לה: מדין ודברים הוא דסליקי נפשאי. היו שם שלש מאות וכו'. של מאתים - מנה, שבעים וחמשה הוא דאית לה! אמר שמואל: בכותבת בעלת שלש מאות לבעלת מאתים ולבעלת מנה דין ודברים אין לי עמכם במנה. רב יעקב מנהר פקוד משמיה דרבינא אמר: רישא בשתי תפיסות, וסיפא בשתי תפיסות; רישא בשתי תפיסות - דנפלו שבעין וחמשה בחד זימנא, ומאה ועשרים וחמשה בחד זימנא, סיפא בשתי תפיסות - דנפלו שבעים וחמשה בחד זימנא, ומאתים ועשרים וחמשה בחד זימנא. </w:t>
      </w:r>
      <w:r w:rsidRPr="006B2347">
        <w:rPr>
          <w:rStyle w:val="Style1Char"/>
          <w:color w:val="ED7D31" w:themeColor="accent2"/>
          <w:sz w:val="22"/>
          <w:szCs w:val="22"/>
          <w:rtl/>
        </w:rPr>
        <w:t xml:space="preserve">תניא: זו משנת רבי נתן; </w:t>
      </w:r>
      <w:r w:rsidR="00A25527">
        <w:rPr>
          <w:rStyle w:val="Style1Char"/>
          <w:rFonts w:hint="cs"/>
          <w:rtl/>
        </w:rPr>
        <w:t>(1)</w:t>
      </w:r>
      <w:r w:rsidRPr="006B2347">
        <w:rPr>
          <w:rStyle w:val="Style1Char"/>
          <w:color w:val="ED7D31" w:themeColor="accent2"/>
          <w:sz w:val="22"/>
          <w:szCs w:val="22"/>
          <w:rtl/>
        </w:rPr>
        <w:t xml:space="preserve">רבי אומר: אין אני רואה דבריו של רבי נתן באלו, אלא חולקות בשוה. </w:t>
      </w:r>
    </w:p>
    <w:p w14:paraId="55D02F65" w14:textId="77777777" w:rsidR="005F1878" w:rsidRDefault="005F1878" w:rsidP="005F1878">
      <w:pPr>
        <w:bidi/>
        <w:rPr>
          <w:rStyle w:val="Style1Char"/>
          <w:color w:val="4472C4" w:themeColor="accent1"/>
          <w:rtl/>
        </w:rPr>
      </w:pPr>
      <w:r w:rsidRPr="00EA5594">
        <w:rPr>
          <w:rStyle w:val="Style1Char"/>
          <w:color w:val="4472C4" w:themeColor="accent1"/>
          <w:rtl/>
        </w:rPr>
        <w:t xml:space="preserve">פי' רבינו חננאל ז"ל דקי"ל בהא הלכה כר' ואי אפשר להעמיד דבריו בזמן שיש שם שלש מאות שיחלקו בשוה אלא כל עזבון המת חולקין לששה חלקים של מנה נוטלת חלק א' ושל מאתים שני חלקים ושל שלש מאות שלשה חלקים וכל חדא וחדא נוטלת לפי מעותיה עד שתפרע כל כתובתה כי זה הדין דין צדק ומה שאמר רבי אין אני רואה דבריו של ר' נתן באלו בבא דרישא ומציעתא אבל בבבא דסיפא לא פליג רבי אלא בין בתפיסה אחת בין בשתי תפיסות כך הוא הדין כל אחת נוטלת לפי מעותיה. ותו אשכחן משנה שלימה בפ' שור שנגח ארבעה וחמשה (דף לו א) שור שוה מאתים שנגח שור שוה מאתים ואין הנבילה יפה כלום זה נוטל מנה וזה נוטל מנה חזר ונגח שור שוה מאתים האחרון נוטל מנה ושלפניו זה נוטל חמשים וזה נוטל חמשים חזר ונגח שור שוה מאתים האחרון נוטל מנה ושלפניו חמשים זוז ושנים הראשונים דינר זהב ומוקי לה כר"ע דאמר שותפי נינהו וקי"ל כוותיה וחלוקה זו כל אחד ואחד לפי מעותיו לפיכך העמדנו דברי רבי לחלוק כל מנה ומנה לששה שתהא חלוקה זו לפי המעות כי היכי דלא תיקשי הלכתא אהלכתא ותו גרסינן ביש נוחלין (דף קכד א) תניא רבי אומר הבכור נוטל פי שנים בשבח ששבחו נכסים לאחר מיתת אביהם ירשו פשר חוב בכור נוטל פי שנים אלמא כל אחד נוטל לפי מעותיו ואם היינו מעמידים דבריו הכא ממש בשוה א"כ קשיא דרבי אדרבי הלכך נראה להעמיד הדבר על בוריו אליבא דהלכתא להיות דברי רבי לפי המעות וכן ההלכות שוות עד כאן לשון רבינו חננאל ז"ל ולא דמי כלל האי דיש נוחלין דהתם ליכא שיעבוד אלא כל אחד יש לו חלק בקרקע ובכור זה יש לו פי שנים הלכך נוטל כל מה שהשביח חלקו וכן ההיא דפרק שור שנגח כל אחד נוטל לפי מה שיש לו בשור אבל הכא כל הנכסים משועבדים לכתובה וכל השלש מאות משועבדות לבעלת מנה כמו לבעלת מאתים ולבעלת שלש מאות שכולן אחראים לכתובתה עד שיהא לה כל המנה </w:t>
      </w:r>
      <w:r w:rsidRPr="00EA5594">
        <w:rPr>
          <w:rStyle w:val="Style1Char"/>
          <w:color w:val="4472C4" w:themeColor="accent1"/>
          <w:rtl/>
        </w:rPr>
        <w:lastRenderedPageBreak/>
        <w:t>שלה הלכך חולקות בשוה אבל סיפא דחולקות לפי מעות לא קרי ליה חולקות בשוה ודין צדק הוא אם היו שם שלש מאות כל אחת נוטלת מנה היו שם חמש מאות בעלת מנה נוטלת מנה ואינך כל אחת מאתים וכן פסק רב אלפס ז"ל</w:t>
      </w:r>
      <w:r w:rsidRPr="00EA5594">
        <w:rPr>
          <w:rStyle w:val="Style1Char"/>
          <w:color w:val="4472C4" w:themeColor="accent1"/>
        </w:rPr>
        <w:t xml:space="preserve">: </w:t>
      </w:r>
    </w:p>
    <w:p w14:paraId="2EB70AE3" w14:textId="723EB885" w:rsidR="005F1878" w:rsidRDefault="005F1878" w:rsidP="005F1878">
      <w:pPr>
        <w:bidi/>
        <w:rPr>
          <w:rStyle w:val="Style1Char"/>
          <w:color w:val="auto"/>
          <w:sz w:val="22"/>
          <w:szCs w:val="22"/>
          <w:rtl/>
        </w:rPr>
      </w:pPr>
      <w:r w:rsidRPr="003A1B94">
        <w:rPr>
          <w:rStyle w:val="Style1Char"/>
          <w:color w:val="ED7D31" w:themeColor="accent2"/>
          <w:sz w:val="22"/>
          <w:szCs w:val="22"/>
          <w:rtl/>
        </w:rPr>
        <w:t>וכן שלשה שהטילו</w:t>
      </w:r>
      <w:r w:rsidRPr="003A1B94">
        <w:rPr>
          <w:rStyle w:val="Style1Char"/>
          <w:color w:val="4472C4" w:themeColor="accent1"/>
          <w:rtl/>
        </w:rPr>
        <w:t xml:space="preserve"> </w:t>
      </w:r>
      <w:r w:rsidRPr="003A1B94">
        <w:rPr>
          <w:rStyle w:val="Style1Char"/>
          <w:color w:val="4472C4" w:themeColor="accent1"/>
          <w:sz w:val="22"/>
          <w:szCs w:val="22"/>
          <w:rtl/>
        </w:rPr>
        <w:t>לכיס</w:t>
      </w:r>
      <w:r w:rsidRPr="00DB0EBD">
        <w:rPr>
          <w:rStyle w:val="Style1Char"/>
          <w:color w:val="00B050"/>
          <w:rtl/>
        </w:rPr>
        <w:t xml:space="preserve">. </w:t>
      </w:r>
      <w:r w:rsidRPr="003A1B94">
        <w:rPr>
          <w:rStyle w:val="Style1Char"/>
          <w:color w:val="auto"/>
          <w:sz w:val="22"/>
          <w:szCs w:val="22"/>
          <w:rtl/>
        </w:rPr>
        <w:t xml:space="preserve">אמר שמואל: שנים שהטילו לכיס, זה מנה וזה מאתים – </w:t>
      </w:r>
    </w:p>
    <w:p w14:paraId="6B39A7CC" w14:textId="0D331794" w:rsidR="00B9794B" w:rsidRDefault="00B9794B" w:rsidP="00B9794B">
      <w:pPr>
        <w:pStyle w:val="Style1"/>
        <w:rPr>
          <w:rStyle w:val="Style1Char"/>
          <w:rtl/>
        </w:rPr>
      </w:pPr>
      <w:r>
        <w:rPr>
          <w:rStyle w:val="Style1Char"/>
          <w:rFonts w:hint="cs"/>
          <w:rtl/>
        </w:rPr>
        <w:t>1)[</w:t>
      </w:r>
      <w:r w:rsidRPr="00B9794B">
        <w:rPr>
          <w:rStyle w:val="Style1Char"/>
          <w:rtl/>
        </w:rPr>
        <w:t>רמב</w:t>
      </w:r>
      <w:r w:rsidR="00786216">
        <w:rPr>
          <w:rStyle w:val="Style1Char"/>
          <w:rtl/>
        </w:rPr>
        <w:t>”ם \מכירה\</w:t>
      </w:r>
      <w:r w:rsidRPr="00B9794B">
        <w:rPr>
          <w:rStyle w:val="Style1Char"/>
          <w:rtl/>
        </w:rPr>
        <w:t xml:space="preserve"> הלכות מכירה פרק יט הלכה ב</w:t>
      </w:r>
      <w:r>
        <w:rPr>
          <w:rStyle w:val="Style1Char"/>
          <w:rFonts w:hint="cs"/>
          <w:rtl/>
        </w:rPr>
        <w:t xml:space="preserve">] </w:t>
      </w:r>
      <w:r w:rsidRPr="00B9794B">
        <w:rPr>
          <w:rStyle w:val="Style1Char"/>
          <w:rtl/>
        </w:rPr>
        <w:t>המוכר קרקע לחבירו ואחר שקנה הלוקח באחד מן הדרכים שקונין בהן קודם שישתמש בה יצא עליו מערערין, הרי זה יכול לחזור בו, שאין לך מום גדול מזה שעדיין לא נהנה בו ובאו התובעין, לפיכך יבטל המקח ויחזיר המוכר את הדמים ויעשה דין עם  המערערין, ואם נשתמש בה הלוקח כל שהוא ואפילו דש המצר שלה וערבו עם הארץ אינו יכול לחזור בו אלא עושה דין עם המערערין, ואם הוציאו מידו בדין יחזור על המוכר כדין כל הנטרפין.</w:t>
      </w:r>
    </w:p>
    <w:p w14:paraId="4EF8A3CD" w14:textId="677DFE2E" w:rsidR="00813A8C" w:rsidRPr="00813A8C" w:rsidRDefault="004B69EF" w:rsidP="00813A8C">
      <w:pPr>
        <w:pStyle w:val="Style1"/>
      </w:pPr>
      <w:r>
        <w:rPr>
          <w:rStyle w:val="Style1Char"/>
          <w:rFonts w:hint="cs"/>
          <w:rtl/>
        </w:rPr>
        <w:t>1)[</w:t>
      </w:r>
      <w:r w:rsidRPr="004B69EF">
        <w:rPr>
          <w:rStyle w:val="Style1Char"/>
          <w:rtl/>
        </w:rPr>
        <w:t>שולחן ערוך חושן משפט הלכות מקח וממכר סימן רכו סעיף ה</w:t>
      </w:r>
      <w:r>
        <w:rPr>
          <w:rStyle w:val="Style1Char"/>
          <w:rFonts w:hint="cs"/>
          <w:rtl/>
        </w:rPr>
        <w:t>]</w:t>
      </w:r>
      <w:r w:rsidR="00813A8C">
        <w:rPr>
          <w:rStyle w:val="Style1Char"/>
          <w:rFonts w:hint="cs"/>
          <w:rtl/>
        </w:rPr>
        <w:t xml:space="preserve"> </w:t>
      </w:r>
      <w:r w:rsidR="00813A8C" w:rsidRPr="00813A8C">
        <w:rPr>
          <w:rtl/>
        </w:rPr>
        <w:t>המוכר קרקע לחבירו ואחר שקנה הלוקח באחד מהדרכים שקונים בהם קודם שישתמש בה יצאו עליו מערערין ה"ז יכול לחזור בו שאין לך מום גדול מזה שעדיין לא נהנה בו ובאו התובעים לפיכך יבטל המקח ויחזיר המוכר את הדמים ויעשה דין עם המערערים ואם נשתמש בה הלוקח כל שהוא ואפילו דש אמצר שלה ועירבו עם הארץ אינו יכול לחזור בו אלא עושה דין עם המערער ואם הוציאה מידו בדין יחזור על המוכר כדין כל הנטרפין</w:t>
      </w:r>
      <w:r w:rsidR="00813A8C" w:rsidRPr="00813A8C">
        <w:t>:</w:t>
      </w:r>
    </w:p>
    <w:p w14:paraId="33B0CEA2" w14:textId="4793B3A4" w:rsidR="00813A8C" w:rsidRDefault="00813A8C" w:rsidP="00813A8C">
      <w:pPr>
        <w:pStyle w:val="Style1"/>
        <w:rPr>
          <w:rtl/>
        </w:rPr>
      </w:pPr>
      <w:r w:rsidRPr="00813A8C">
        <w:rPr>
          <w:rFonts w:hint="cs"/>
          <w:rtl/>
        </w:rPr>
        <w:t>הגה: כל זה מיירי בערעור שלא נתברר עדיין לגמרי אבל ב"ד רואין שיש אמתלא בדברי המערער אבל אם לא יצא רק קול בעלמא אפילו לא נתקיים המקח לגמרי לא יכול לבטל המקח בשביל דברים בעלמא (טור) ואם חזר הלוקח מחמת ערעור אע"פ שנתבטל הערעור אח"כ נתבטל המקח ושניהן יכולין לחזור בו אם בא ערעור על השדה מחמת שהמוכר היה חייב לאחרים והמוכר אומר שיש לו שוברים על החובות מקרי ערעור ויכול הלוקח לחזור בו וא"צ לקנות דבר ולשמור שוברו לעולם (שם בשם הרא"ש)</w:t>
      </w:r>
      <w:r w:rsidRPr="00813A8C">
        <w:t>:</w:t>
      </w:r>
    </w:p>
    <w:p w14:paraId="085F7685" w14:textId="3F1453F0" w:rsidR="00273CB2" w:rsidRDefault="00273CB2" w:rsidP="00273CB2">
      <w:pPr>
        <w:pStyle w:val="Style1"/>
        <w:rPr>
          <w:rtl/>
        </w:rPr>
      </w:pPr>
      <w:r>
        <w:rPr>
          <w:rFonts w:hint="cs"/>
          <w:rtl/>
        </w:rPr>
        <w:t>2)[</w:t>
      </w:r>
      <w:r>
        <w:rPr>
          <w:rtl/>
        </w:rPr>
        <w:t>רמב</w:t>
      </w:r>
      <w:r w:rsidR="00213DA1">
        <w:rPr>
          <w:rtl/>
        </w:rPr>
        <w:t>”ם \נשים\</w:t>
      </w:r>
      <w:r>
        <w:rPr>
          <w:rtl/>
        </w:rPr>
        <w:t xml:space="preserve"> הלכות אישות פרק יז הלכה ח</w:t>
      </w:r>
      <w:r>
        <w:rPr>
          <w:rFonts w:hint="cs"/>
          <w:rtl/>
        </w:rPr>
        <w:t xml:space="preserve">] </w:t>
      </w:r>
      <w:r>
        <w:rPr>
          <w:rtl/>
        </w:rPr>
        <w:t>מי שמת או גירש ויש לו נשים רבות ואין שם דין קדימה ואין לו כדי כל הכתובות כיצד הן חולקות, רואים אם כשיחלק הממון על מנין הנשים יגיע לפחותה שבהן כדי כתובתה או פחות חולקות בשוה, ואם היה הממון יתר על זה חולקים ממנו כדי שיגיע לפחותה שבהן כשיעור כתובתה וחוזרות וחולקות את המותר בין הנותרות על הדרך הראשונה. כיצד מי שהיה נשוי ארבע נשים כתובתה של ראשונה ארבע מאות ושל שנייה שלש מאות ושל שלישית מאתים ושל רביעית מאה נמצא הכל אלף וגירש כולן או מת, אם הניח ארבע מאות או פחות חולקות בשוה וכל אחת נוטלת מאה או פחות. הניח שמונה מאות אם תחלק בין כולן בשוה נמצאת הרביעית נוטלת מאתים והרי אין בכתובתה אלא מאה, אלא כיצד עושין לוקחין ארבע מאות וחולקין אותן ביניהן בשוה מאה מאה, נמצאת הרביעית נטלה כדי כתובתה והלכה לה ונשאר כאן ארבע מאות ושלש נשים שביד כל אחת משלשתן מאה, אם תחלק הארבע מאות בין שלשתן בשוה נמצאת השלישית נוטלת מאתים ושלשים ושלשה ושליש והרי אין בכתובתה אלא מאתים, לפיכך לוקחין מארבע המאות שלש מאות וחולקין בין שלשתן בשוה שנמצאת השלישית נטלה מאתים שלה והלכה לה, נשאר כאן מאה ושתי נשים, חולקין את המאה בשוה בין ראשונה ושנייה, נמצא ביד הראשונה מאתים וחמשים וכן ביד השנייה, ונמצא ביד השלישית מאתים וביד הרביעית מאה, ועל דרך זו חולקות לעולם אפילו הן מאה. /השגת הראב"ד/ כיצד מי שהיה נשוי ארבע נשים כתובתה של ראשונה וכו'. א"א זהו על דרך הרב ז"ל ואינו מחוור כלל.</w:t>
      </w:r>
    </w:p>
    <w:p w14:paraId="403D3836" w14:textId="1228514F" w:rsidR="00284E43" w:rsidRDefault="00284E43" w:rsidP="00284E43">
      <w:pPr>
        <w:pStyle w:val="Style1"/>
        <w:rPr>
          <w:rtl/>
        </w:rPr>
      </w:pPr>
      <w:r>
        <w:rPr>
          <w:rFonts w:hint="cs"/>
          <w:rtl/>
        </w:rPr>
        <w:t>2)[</w:t>
      </w:r>
      <w:r>
        <w:rPr>
          <w:rtl/>
        </w:rPr>
        <w:t>רמב</w:t>
      </w:r>
      <w:r w:rsidR="0057095E">
        <w:rPr>
          <w:rtl/>
        </w:rPr>
        <w:t>”ם \משפטים\</w:t>
      </w:r>
      <w:r>
        <w:rPr>
          <w:rtl/>
        </w:rPr>
        <w:t xml:space="preserve"> הלכות מלוה ולוה פרק כ הלכה ד</w:t>
      </w:r>
      <w:r>
        <w:rPr>
          <w:rFonts w:hint="cs"/>
          <w:rtl/>
        </w:rPr>
        <w:t xml:space="preserve">] </w:t>
      </w:r>
      <w:r>
        <w:rPr>
          <w:rtl/>
        </w:rPr>
        <w:t>באו כולן ביחד לגבות, וכן בעלי חובות שכל אחד מהן קודם לזמן חבירו שבאו לגבות מן המטלטלין שהרי אין בהן דין קדימה, או שבאו לגבות מקרקע שקנה הלוה לאחר שלוה מן האחרון שבהן ואין בנכסים כדי שיגבה כל אחד מהן את חובו מחלקין ביניהן, כיצד חולקין אם כשיתחלק הממון הנמצא על מנינם יגיע לפחות שבהן כשיעור חובו או פחות חולקים לפי מנינם בשוה, ואם יגיע לפחות שבהם יותר על חובו חולקים מכל הממון ביניהם כדי שיגיע לפחות שבהם כשיעור חובו וחוזרין הנשארים מבעלי חובות וחולקין היתר ביניהן כדרך הזאת, כיצד היו ג' חובות של זה מנה ושל זה מאתים ד ושל זה ג' מאות אם היה כל הנמצא ג' מאות נוטלין מאה מאה, וכן אם נמצא שם פחות מג' מאות חולקין בשוה, נמצא שם יתר על ג' מאות חולקין ג' מאות בשוה ויסתלק בעל המאה ושאר הממון חולקין אותו השנים על אותה הדרך, כיצד נמצאו שם ה' מאות או פחות חולקין ג' מאות בשוה ויסתלק האחד וחוזרין וחולקין המאתים או הפחות בשוה ויסתלק השני, נמצא שם שש מאות חולקין שלש מאות בשוה ויסתלק בעל המנה וחוזרין וחולקין המאתים בין השנים בשוה ויסתלק בעל המאתים, ונותנין המאה הנשארים לבעל השלש מאות ונמצא בידו שלש מאות בלבד, ועל דרך זו חולקין אפילו הן מאה כשיבאו לגבות כאחת, ויש מן הגאונים שהורו שחולקין לפי ממונם. /השגת הראב"ד/ ועל דרך זה חולקים וכו'. א"א זהו כפירוש הרב לדעת רבינו עכ"ל.</w:t>
      </w:r>
    </w:p>
    <w:p w14:paraId="4256E426" w14:textId="0F4124BE" w:rsidR="000B1FF2" w:rsidRDefault="000B1FF2" w:rsidP="000B1FF2">
      <w:pPr>
        <w:pStyle w:val="Style1"/>
        <w:rPr>
          <w:rtl/>
        </w:rPr>
      </w:pPr>
      <w:r>
        <w:rPr>
          <w:rFonts w:hint="cs"/>
          <w:rtl/>
        </w:rPr>
        <w:t>2)[</w:t>
      </w:r>
      <w:r>
        <w:rPr>
          <w:rtl/>
        </w:rPr>
        <w:t>רמב</w:t>
      </w:r>
      <w:r w:rsidR="0057095E">
        <w:rPr>
          <w:rtl/>
        </w:rPr>
        <w:t>”ם \משפטים\</w:t>
      </w:r>
      <w:r>
        <w:rPr>
          <w:rtl/>
        </w:rPr>
        <w:t xml:space="preserve"> הלכות מלוה ולוה פרק כא הלכה א</w:t>
      </w:r>
      <w:r>
        <w:rPr>
          <w:rFonts w:hint="cs"/>
          <w:rtl/>
        </w:rPr>
        <w:t xml:space="preserve">] </w:t>
      </w:r>
      <w:r>
        <w:rPr>
          <w:rtl/>
        </w:rPr>
        <w:t>בעל חוב גובה את השבח שהשביח הלוקח בין שהשביחו מחמת הוצאה בין ששבחו נכסים מאליהן, אלא שאם שבחו מאליהן טורף כל השבח ואם השביחו מחמת הוצאה גובה חצי השבח, כיצד ראובן שהיה לו חוב על שמעון מאתים ומכר שמעון ללוי שדה במנה והוציא עליה לוי הוצאות והשביחה והרי היא שוה מאתים, כשיבא ראובן לטרוף מלוי טורף ממנה במאה וחמשים של חצי השבח, ואם השביחה מחמת עצמה כגון שהוקרה בדמים או עלו בה אילנות גובה את כולה, הורו חכמים גדולים ואמרו לא יהא הלוקח רע כחו מהיורד לשדה חבירו שלא ברשות ששמין לו וידו על התחתונה לפיכך אם השביח מאה והוציא חמשים נוטל כל ההוצאה וחצי השבח היתר על ההוצאה והחצי עם הקרן טורף ב"ח [ודברים של טעם הם וכך ראוי לדון] וחוזר הלוקח וגובה את הקרן מנכסי שמעון אף מן המשועבדין שמכר או נתן מאחר זמן שמכר בו ללוי אבל השבח שטרף ממנו ב"ח בין בחציו בין בכולו אין לוי גובהו אלא מנכסים בני חורין של שמעון שתקנת עולם היא שלא יגבה השבח ולא הפירות שאכל הגזלן ולא מזון האשה והבנות מנכסים משועבדין שאלו דברים שאין להן קצבה, ומקולי כתובה שלא תטרוף אשה מן השבח כתובתה ולמה יטרוף בעל חוב חצי השבח בלבד הבאה מחמת הוצאה עצמה לפי שהשבח בא לאחר שלוה מראובן ולאחר שמכר ללוי ונמצא ראובן ולוי כשני בעלי חובות לשמעון והשבח בנכסים שבאו לו אחר שלוה משניהם שהן חולקין כאחד כמו שביארנו. לפיכך ראובן שלוה משמעון מנה וכתב לו שאני עתיד לקנות וחזר ולוה מלוי מאתים וכתב לו שאני עתיד לקנות וקנה אחר כך שדה ומכרה ליהודה במאה וחמשים והשביחה יהודה בהוצאתו והרי היא שוה שלש מאות טורף שמעון ולוי הקרן וחולקין אותו בשוה ונמצא ביד זה ע"ה וביד זה ע"ה, וחוזרין שמעון ולוי ויהודה שלשתן וחולקין מאה וחמשים של שבח על הדרך שפירשנו, נמצא שמעון טורף מנה שלו משדה זו ולוי טורף מאה ושלשים ושבעה ומחצה ויהודה נוטל מן השבח שנים וששים ומחצה, וכזה הן חולקין אפילו הן מאה.</w:t>
      </w:r>
    </w:p>
    <w:p w14:paraId="08437668" w14:textId="77078A41" w:rsidR="003E2905" w:rsidRDefault="003E2905" w:rsidP="003E2905">
      <w:pPr>
        <w:pStyle w:val="Style1"/>
        <w:rPr>
          <w:rtl/>
        </w:rPr>
      </w:pPr>
      <w:r>
        <w:rPr>
          <w:rFonts w:hint="cs"/>
          <w:rtl/>
        </w:rPr>
        <w:t>2)[</w:t>
      </w:r>
      <w:r>
        <w:rPr>
          <w:rtl/>
        </w:rPr>
        <w:t>שולחן ערוך אבן העזר הלכות כתובות סימן צו סעיף יח</w:t>
      </w:r>
      <w:r>
        <w:rPr>
          <w:rFonts w:hint="cs"/>
          <w:rtl/>
        </w:rPr>
        <w:t xml:space="preserve">] </w:t>
      </w:r>
      <w:r>
        <w:rPr>
          <w:rtl/>
        </w:rPr>
        <w:t>מי שהיה נשוי ד' נשים, כתובה של זו מנה, ושל זו ר', ושל זו ש', ושל זו ת', וכולן נחתמו ביום אחד, ומת ואין לו כדי כל הכתובות, כיצד הם חולקות, רואים אם כשיחלק הממון על מנין הנשים יגיעו לפחותה שבהם כדי כתובתה או פחות, חולקין בשוה. ואם היה הממון יותר על זה, חולקין ממנו כדי שיגיע לפחותה שבהם כשיעור כתובתה, וחוזרת וחולקות את המותר בין הנותרות על הדרך הראשון.</w:t>
      </w:r>
    </w:p>
    <w:p w14:paraId="19E901B7" w14:textId="0646A226" w:rsidR="005F1878" w:rsidRDefault="00BF4DB9" w:rsidP="00626E92">
      <w:pPr>
        <w:pStyle w:val="Style1"/>
        <w:rPr>
          <w:rStyle w:val="Style1Char"/>
          <w:color w:val="00B050"/>
          <w:rtl/>
        </w:rPr>
      </w:pPr>
      <w:r>
        <w:rPr>
          <w:rFonts w:hint="cs"/>
          <w:rtl/>
        </w:rPr>
        <w:t>2)[</w:t>
      </w:r>
      <w:r>
        <w:rPr>
          <w:rtl/>
        </w:rPr>
        <w:t>שולחן ערוך חושן משפט הלכות גביית מלוה סימן קד סעיף י</w:t>
      </w:r>
      <w:r>
        <w:rPr>
          <w:rFonts w:hint="cs"/>
          <w:rtl/>
        </w:rPr>
        <w:t>]</w:t>
      </w:r>
      <w:r w:rsidR="008C43DF">
        <w:rPr>
          <w:rFonts w:hint="cs"/>
          <w:rtl/>
        </w:rPr>
        <w:t xml:space="preserve"> </w:t>
      </w:r>
      <w:r w:rsidR="008C43DF" w:rsidRPr="008C43DF">
        <w:rPr>
          <w:rtl/>
        </w:rPr>
        <w:t>שטרות שזמן כולם יום א' או שעה אחת במקום שכותבין שעות ובאו כולם ביחד לגבות וכן בעלי חובות שכל אחד מהם קודם לזמן חבירו שבאו לגבות מטלטלי שהרי אין בהם דין קדימה או שבאו לגבות מקרקעי שקנה הלוה לאחר שלוה מהאחרון שבהם ואין בנכסי' כדי שיגבה כל אחד מהם חובו מחלקים ביניהם כיצד חולקים אם כשיתחלק הממון הנמצא על מניינם יגיע לפחות שבהם כשיעור חובו (או פחות חולקים לפי מנינם בשוה ואם יגיע לפחות שבהם יותר על חובו חולקים מכל הממון ביניהם כדי שיגיע לפחות שבהם כשיעור חובו) וחוזרים הנשארים מבעלי חובות וחולקים היתר ביניהם בדרך הזאת כיצד היו ג' חובות של זה ק' ושל זה ק"ק ושל זה ש' אם היה כל הנמצא שם ש' נוטלים ק"</w:t>
      </w:r>
      <w:r w:rsidR="0054715E">
        <w:rPr>
          <w:rFonts w:hint="cs"/>
          <w:rtl/>
        </w:rPr>
        <w:t xml:space="preserve"> </w:t>
      </w:r>
      <w:r w:rsidR="008C43DF" w:rsidRPr="008C43DF">
        <w:rPr>
          <w:rtl/>
        </w:rPr>
        <w:t>ק</w:t>
      </w:r>
      <w:r w:rsidR="0054715E">
        <w:rPr>
          <w:rFonts w:hint="cs"/>
          <w:rtl/>
        </w:rPr>
        <w:t>"</w:t>
      </w:r>
      <w:r w:rsidR="008C43DF" w:rsidRPr="008C43DF">
        <w:rPr>
          <w:rtl/>
        </w:rPr>
        <w:t xml:space="preserve"> וכן אם נמצא שם פחות מש' חולקים בשוה נמצא שם יותר על ש' חולקים ש' בשוה ויסתלק בעל הק' ושאר הממון חולקים אותם השנים על אותו הדרך כיצד נמצאו שם ת"ק או פחות חולקים ש' בשוה ויסתלק הראשון וחוזרים וחולקים הק"ק או הפחות בשוה ויסתלק השני נמצא שם ת"ר חולקי' ש' בשוה ויסתלק בעל המנה וחוזרים וחולקים הק"ק בין השנים ויסתלק בעל הק"ק ונותנין הק' הנשארים לבעל הש' ונמצא בידו ש' ועל דרך זו חולקים אפי' הם מאה כשיבואו לגבות כאחד</w:t>
      </w:r>
      <w:r w:rsidR="008C43DF" w:rsidRPr="008C43DF">
        <w:t>:</w:t>
      </w:r>
      <w:r w:rsidR="005F1878">
        <w:rPr>
          <w:rStyle w:val="Style1Char"/>
          <w:color w:val="00B050"/>
          <w:rtl/>
        </w:rPr>
        <w:br w:type="page"/>
      </w:r>
    </w:p>
    <w:p w14:paraId="1AF382F4" w14:textId="2844FC2D" w:rsidR="005F1878" w:rsidRDefault="005F1878" w:rsidP="005F1878">
      <w:pPr>
        <w:bidi/>
        <w:rPr>
          <w:rStyle w:val="Style1Char"/>
          <w:sz w:val="22"/>
          <w:szCs w:val="22"/>
          <w:rtl/>
        </w:rPr>
      </w:pPr>
      <w:r w:rsidRPr="009C1DA6">
        <w:rPr>
          <w:rStyle w:val="Style1Char"/>
          <w:sz w:val="22"/>
          <w:szCs w:val="22"/>
          <w:highlight w:val="yellow"/>
          <w:rtl/>
        </w:rPr>
        <w:lastRenderedPageBreak/>
        <w:t>[דף צג עמוד ב]</w:t>
      </w:r>
      <w:r w:rsidRPr="009C1DA6">
        <w:rPr>
          <w:rStyle w:val="Style1Char"/>
          <w:sz w:val="22"/>
          <w:szCs w:val="22"/>
          <w:rtl/>
        </w:rPr>
        <w:t xml:space="preserve"> </w:t>
      </w:r>
      <w:r w:rsidRPr="009C1DA6">
        <w:rPr>
          <w:rStyle w:val="Style1Char"/>
          <w:color w:val="C00000"/>
          <w:sz w:val="22"/>
          <w:szCs w:val="22"/>
          <w:rtl/>
        </w:rPr>
        <w:t xml:space="preserve">והותירו או פיחתו </w:t>
      </w:r>
      <w:r w:rsidR="00577A47">
        <w:rPr>
          <w:rStyle w:val="Style1Char"/>
          <w:rFonts w:hint="cs"/>
          <w:rtl/>
        </w:rPr>
        <w:t>(1)</w:t>
      </w:r>
      <w:r w:rsidRPr="003A1B94">
        <w:rPr>
          <w:rStyle w:val="Style1Char"/>
          <w:color w:val="auto"/>
          <w:sz w:val="22"/>
          <w:szCs w:val="22"/>
          <w:rtl/>
        </w:rPr>
        <w:t>השכר לאמצע</w:t>
      </w:r>
      <w:r w:rsidRPr="006A354A">
        <w:rPr>
          <w:rStyle w:val="Style1Char"/>
          <w:color w:val="4472C4" w:themeColor="accent1"/>
          <w:rtl/>
        </w:rPr>
        <w:t xml:space="preserve"> </w:t>
      </w:r>
      <w:r w:rsidRPr="00EA5594">
        <w:rPr>
          <w:rStyle w:val="Style1Char"/>
          <w:color w:val="4472C4" w:themeColor="accent1"/>
          <w:rtl/>
        </w:rPr>
        <w:t>דאיבעי ליה לאתנויי בעל המאתים שיטול בריוח לפי הקרן ומדלא התנה אנו אומדים דעתו שהסכים שיטול בעל המנה חצי הריוח לפי שהוא חריף ובקי במשא ומתן או שום אמתלא אחרת לפי שדרך כל המשתתפין להתנות לחלוק הריוח לפי הקרן ומדלא התנה ודאי אומדנא דמוכח הוא.</w:t>
      </w:r>
      <w:r w:rsidRPr="003A1B94">
        <w:rPr>
          <w:rStyle w:val="Style1Char"/>
          <w:color w:val="auto"/>
          <w:sz w:val="22"/>
          <w:szCs w:val="22"/>
          <w:rtl/>
        </w:rPr>
        <w:t xml:space="preserve">. </w:t>
      </w:r>
      <w:r w:rsidRPr="006A354A">
        <w:rPr>
          <w:rStyle w:val="Style1Char"/>
          <w:color w:val="auto"/>
          <w:sz w:val="22"/>
          <w:szCs w:val="22"/>
          <w:rtl/>
        </w:rPr>
        <w:t>אמר</w:t>
      </w:r>
      <w:r w:rsidRPr="00DB0EBD">
        <w:rPr>
          <w:rStyle w:val="Style1Char"/>
          <w:color w:val="00B050"/>
          <w:rtl/>
        </w:rPr>
        <w:t xml:space="preserve"> </w:t>
      </w:r>
      <w:r w:rsidRPr="006A354A">
        <w:rPr>
          <w:rStyle w:val="Style1Char"/>
          <w:color w:val="ED7D31" w:themeColor="accent2"/>
          <w:rtl/>
        </w:rPr>
        <w:t>רבה</w:t>
      </w:r>
      <w:r w:rsidRPr="009C1DA6">
        <w:rPr>
          <w:rStyle w:val="Style1Char"/>
          <w:color w:val="C00000"/>
          <w:sz w:val="22"/>
          <w:szCs w:val="22"/>
          <w:rtl/>
        </w:rPr>
        <w:t>(רבא)</w:t>
      </w:r>
      <w:r w:rsidRPr="00DB0EBD">
        <w:rPr>
          <w:rStyle w:val="Style1Char"/>
          <w:color w:val="00B050"/>
          <w:rtl/>
        </w:rPr>
        <w:t xml:space="preserve">: </w:t>
      </w:r>
      <w:r w:rsidRPr="006A354A">
        <w:rPr>
          <w:rStyle w:val="Style1Char"/>
          <w:color w:val="auto"/>
          <w:sz w:val="22"/>
          <w:szCs w:val="22"/>
          <w:rtl/>
        </w:rPr>
        <w:t xml:space="preserve">מסתברא מילתיה דשמואל </w:t>
      </w:r>
      <w:r w:rsidRPr="009C1DA6">
        <w:rPr>
          <w:rStyle w:val="Style1Char"/>
          <w:sz w:val="22"/>
          <w:szCs w:val="22"/>
          <w:rtl/>
        </w:rPr>
        <w:t xml:space="preserve">- </w:t>
      </w:r>
      <w:r w:rsidRPr="006A354A">
        <w:rPr>
          <w:rStyle w:val="Style1Char"/>
          <w:color w:val="806000" w:themeColor="accent4" w:themeShade="80"/>
          <w:sz w:val="22"/>
          <w:szCs w:val="22"/>
          <w:rtl/>
        </w:rPr>
        <w:t xml:space="preserve">בשלקחו </w:t>
      </w:r>
      <w:r w:rsidRPr="002E1732">
        <w:rPr>
          <w:rStyle w:val="Style1Char"/>
          <w:color w:val="00B050"/>
          <w:rtl/>
        </w:rPr>
        <w:t>ב</w:t>
      </w:r>
      <w:r w:rsidRPr="006A354A">
        <w:rPr>
          <w:rStyle w:val="Style1Char"/>
          <w:color w:val="auto"/>
          <w:sz w:val="22"/>
          <w:szCs w:val="22"/>
          <w:rtl/>
        </w:rPr>
        <w:t>שור</w:t>
      </w:r>
      <w:r w:rsidRPr="009C1DA6">
        <w:rPr>
          <w:rStyle w:val="Style1Char"/>
          <w:sz w:val="22"/>
          <w:szCs w:val="22"/>
          <w:rtl/>
        </w:rPr>
        <w:t xml:space="preserve"> </w:t>
      </w:r>
      <w:r w:rsidRPr="00511E3B">
        <w:rPr>
          <w:rStyle w:val="Style1Char"/>
          <w:color w:val="auto"/>
          <w:sz w:val="22"/>
          <w:szCs w:val="22"/>
          <w:rtl/>
        </w:rPr>
        <w:t xml:space="preserve">לחרישה ועומד לחרישה, אבל </w:t>
      </w:r>
      <w:r w:rsidRPr="00511E3B">
        <w:rPr>
          <w:rStyle w:val="Style1Char"/>
          <w:color w:val="806000" w:themeColor="accent4" w:themeShade="80"/>
          <w:sz w:val="22"/>
          <w:szCs w:val="22"/>
          <w:rtl/>
        </w:rPr>
        <w:t xml:space="preserve">לקחו </w:t>
      </w:r>
      <w:r w:rsidRPr="002E1732">
        <w:rPr>
          <w:rStyle w:val="Style1Char"/>
          <w:color w:val="00B050"/>
          <w:rtl/>
        </w:rPr>
        <w:t>ב</w:t>
      </w:r>
      <w:r w:rsidRPr="00511E3B">
        <w:rPr>
          <w:rStyle w:val="Style1Char"/>
          <w:color w:val="auto"/>
          <w:sz w:val="22"/>
          <w:szCs w:val="22"/>
          <w:rtl/>
        </w:rPr>
        <w:t>שור</w:t>
      </w:r>
      <w:r w:rsidRPr="009C1DA6">
        <w:rPr>
          <w:rStyle w:val="Style1Char"/>
          <w:sz w:val="22"/>
          <w:szCs w:val="22"/>
          <w:rtl/>
        </w:rPr>
        <w:t xml:space="preserve"> </w:t>
      </w:r>
      <w:r w:rsidRPr="00511E3B">
        <w:rPr>
          <w:rStyle w:val="Style1Char"/>
          <w:color w:val="auto"/>
          <w:sz w:val="22"/>
          <w:szCs w:val="22"/>
          <w:rtl/>
        </w:rPr>
        <w:t xml:space="preserve">לחרישה ועומד לטביחה </w:t>
      </w:r>
      <w:r w:rsidRPr="00003AD7">
        <w:rPr>
          <w:rStyle w:val="Style1Char"/>
          <w:color w:val="806000" w:themeColor="accent4" w:themeShade="80"/>
          <w:rtl/>
        </w:rPr>
        <w:t xml:space="preserve">כגון שנמלכו עליו להעמידו לטביחה לחלוק באיבריו ואח"כ נזדמן להם ומכרוהו חי </w:t>
      </w:r>
      <w:r w:rsidRPr="00DB0EBD">
        <w:rPr>
          <w:rStyle w:val="Style1Char"/>
          <w:color w:val="00B050"/>
          <w:rtl/>
        </w:rPr>
        <w:t xml:space="preserve">- </w:t>
      </w:r>
      <w:r w:rsidRPr="00003AD7">
        <w:rPr>
          <w:rStyle w:val="Style1Char"/>
          <w:color w:val="auto"/>
          <w:sz w:val="22"/>
          <w:szCs w:val="22"/>
          <w:rtl/>
        </w:rPr>
        <w:t>זה נוטל לפי מעותיו וזה נוטל לפי מעותיו</w:t>
      </w:r>
      <w:r w:rsidRPr="00003AD7">
        <w:rPr>
          <w:rStyle w:val="Style1Char"/>
          <w:color w:val="auto"/>
          <w:rtl/>
        </w:rPr>
        <w:t xml:space="preserve"> </w:t>
      </w:r>
      <w:r w:rsidRPr="00003AD7">
        <w:rPr>
          <w:rStyle w:val="Style1Char"/>
          <w:color w:val="806000" w:themeColor="accent4" w:themeShade="80"/>
          <w:rtl/>
        </w:rPr>
        <w:t>הואיל ואילו טבחוהו וחלקו באיבריו היה זה נוטל שליש מגופו וזה שני שלישים</w:t>
      </w:r>
      <w:r w:rsidRPr="00003AD7">
        <w:rPr>
          <w:rStyle w:val="Style1Char"/>
          <w:color w:val="806000" w:themeColor="accent4" w:themeShade="80"/>
          <w:sz w:val="22"/>
          <w:szCs w:val="22"/>
          <w:rtl/>
        </w:rPr>
        <w:t xml:space="preserve">; </w:t>
      </w:r>
      <w:r w:rsidRPr="00003AD7">
        <w:rPr>
          <w:rStyle w:val="Style1Char"/>
          <w:color w:val="auto"/>
          <w:sz w:val="22"/>
          <w:szCs w:val="22"/>
          <w:rtl/>
        </w:rPr>
        <w:t xml:space="preserve">ורב המנונא אמר: </w:t>
      </w:r>
      <w:r w:rsidR="00155DAC">
        <w:rPr>
          <w:rStyle w:val="Style1Char"/>
          <w:rFonts w:hint="cs"/>
          <w:rtl/>
        </w:rPr>
        <w:t>(1)</w:t>
      </w:r>
      <w:r w:rsidRPr="00003AD7">
        <w:rPr>
          <w:rStyle w:val="Style1Char"/>
          <w:color w:val="auto"/>
          <w:sz w:val="22"/>
          <w:szCs w:val="22"/>
          <w:rtl/>
        </w:rPr>
        <w:t xml:space="preserve">אפילו </w:t>
      </w:r>
      <w:r w:rsidRPr="00003AD7">
        <w:rPr>
          <w:rStyle w:val="Style1Char"/>
          <w:color w:val="806000" w:themeColor="accent4" w:themeShade="80"/>
          <w:sz w:val="22"/>
          <w:szCs w:val="22"/>
          <w:rtl/>
        </w:rPr>
        <w:t xml:space="preserve">לקחו </w:t>
      </w:r>
      <w:r w:rsidRPr="00003AD7">
        <w:rPr>
          <w:rStyle w:val="Style1Char"/>
          <w:color w:val="auto"/>
          <w:sz w:val="22"/>
          <w:szCs w:val="22"/>
          <w:rtl/>
        </w:rPr>
        <w:t>שור לחרישה ועומד לטביחה - השכר לאמצע</w:t>
      </w:r>
      <w:r w:rsidRPr="00003AD7">
        <w:rPr>
          <w:rStyle w:val="Style1Char"/>
          <w:color w:val="auto"/>
          <w:rtl/>
        </w:rPr>
        <w:t xml:space="preserve"> </w:t>
      </w:r>
      <w:r w:rsidRPr="00A55221">
        <w:rPr>
          <w:rStyle w:val="Style1Char"/>
          <w:color w:val="C00000"/>
          <w:rtl/>
        </w:rPr>
        <w:t>הואיל וכשהוא חי מכרוהו ועדיין לא חלקו שכיון שלא חלקו עדיין השותפות קיימת ולפיכך השכר לאמצע</w:t>
      </w:r>
      <w:r w:rsidRPr="000F391F">
        <w:rPr>
          <w:rStyle w:val="Style1Char"/>
          <w:sz w:val="22"/>
          <w:szCs w:val="22"/>
          <w:rtl/>
        </w:rPr>
        <w:t xml:space="preserve">. </w:t>
      </w:r>
    </w:p>
    <w:p w14:paraId="0AF38A55" w14:textId="77777777" w:rsidR="005F1878" w:rsidRPr="00EA5594" w:rsidRDefault="005F1878" w:rsidP="005F1878">
      <w:pPr>
        <w:bidi/>
        <w:rPr>
          <w:rStyle w:val="Style1Char"/>
          <w:color w:val="4472C4" w:themeColor="accent1"/>
        </w:rPr>
      </w:pPr>
      <w:r w:rsidRPr="00EA5594">
        <w:rPr>
          <w:rStyle w:val="Style1Char"/>
          <w:color w:val="4472C4" w:themeColor="accent1"/>
          <w:rtl/>
        </w:rPr>
        <w:t>לאו דוקא כשלקחו לחרישה דה"ה נמי לקחוהו לטביחה ועומד לטביחה או לקחו פירות וכלים הראוין ליחלק אלא משום דרבה נקט שור לחרישה ועומד לטביחה נקט איהו נמי האי לישנא ותדע לך מדאקשי לרבה מהא דתניא שנים שהטילו לכיס זה מנה וזה מאתים השכר לאמצע אלמא לרב המנונא ניחא ואי אמרת דבשור לטביחה חולקין לפי המעות לרב המנונא נמי קשיא אדתני סיפא לקח זה בשלו וזה בשלו זה נוטל לפי מעותיו וכו' לפלוג וליתני בדידיה במה דברים אמורים בשור לחרישה ועומד לטביחה אבל בשור לטביחה ועומד לטביחה חולקין לפי המעות ועוד מדאקשי לרב המנונא ממתניתין דקתני וכן שלשה שהטילו לכיס ולא אשכחן פירוקא אלא בזוזי חדתי ומאי דוחקיה לאוקמא בשינויא דחיקי כי האי לוקמא כשלקחו סחורה דסתמא הכי דעת המשתתפין דלקנות פירות או סחורה הם משתתפין אלא על כרחך דלרב המנונא אפי' בשור לטביחה ועומד לטביחה או סחורה הראויה ליחלק פלגי בשוה וטעמא כדאיתא בירושלמי דגרסינן התם (ה"ד) אמר רבי אלעזר כשהיתה הסלע חסרה או יתירה אבל לשכר ולהפסד שלהן חולקין בשוה וקשה הדין יהב מאה דינרין והדין יהיב חמשין +עשרה+ ואת אמרת הכין חבריא אמרין יכול הוא למימר ע"י עשרה דינרין סלקת פרקמטיא פירוש דרך קונה סחורה לקנות סחורה בק' דינרין ואלמלא עשרה דינרין דילי לא היית יכול לקנותה עד כדון דהות פרקמטיא זעירא הות פרקמטיא רבה מאי פי' אם נשתתפו במעות הרבה היה יכול לקנות כמה סחורות בלא שותפותו אמר רבי בון בר חייא יכול הוא למימר ליה עד דאת חד זבין אנא מזבין עשר זימנין עד כדון במקום קרוב היה מקום רחוק אמר רבי אילא יכול הוא למימר ליה עד דאת אזיל ואתי חד זמן אנא אזיל ואתי עשר זימנין וי"מ דרב המנונא לא אמר אלא בשור לחרישה ועומד לטביחה אבל בשור לטביחה ועומד לטביחה מודה רב המנונא דחולקין לפי המעות ולא תקשי ליה אדתני סיפא לקח זה בשלו וכו' ליפלוג וליתני בדידיה כדלעיל דטפי קרי ליה בדידיה מאי דמוקי הכל בשור לחרישה ומפליג בין הטילו לכיס ובין לקח זה בשלו וזה בשלו ממאי דהוה תני הכל בהטילו לכיס והוה מפליג בין שור לחרישה ובין שור לטביחה והא דלא שני רב המנונא מתני' בשור לטביחה ועומד לטביחה משום דמילתא דפשיטא היא ומאי קמ"ל מתני' ומשני הותירו זוזי חדתי ולעולם בשור לחרישה ועומד לטביחה ואפ"ה חולקין לפי המעות שלדעת כן נשתתפו שאם לא ירויחו אלא חילוף המעות שבשביל ריוח מועט לא יקפידו אלא כל א' יטול מעותיו וכן נמי אם פיחתו אסתירא דצוניתא ורבינו חננאל ורב אלפס ז"ל פסקו כרב המנונא דפשטא דברייתא כוותיה ומדמשני נמי רב נחמן מתניתין כוותיה אלא שרב אלפס פי' דווקא שור לחרישה ועומד לטביחה השכר לאמצע אם מכרוהו בעודו חי אבל אם טבחוהו חולקין לפי המעות וכ"ש לקחוהו לטביחה והיינו כשינויא בתרא דשנינן וממילא רווחא שמעתתא כפירושא קמא ואף הירושלמי אמר בהדיא כן ואף אם היה פי' קמא דחוק ראוי לדחוק ולפרש כדי להשוות שתי הגמרות יחד וכ"ש שהוא מרווח ומפורש וכן דעת רוב המפרשים שבכל מיני שיתוף סחורות אם נשתתפו בסתם לוקח המועט כמרובה בשכר ובהפסד והטעם כמפורש בירושלמי או משום אומדנא דמוכח כדפרישית</w:t>
      </w:r>
      <w:r w:rsidRPr="00EA5594">
        <w:rPr>
          <w:rStyle w:val="Style1Char"/>
          <w:color w:val="4472C4" w:themeColor="accent1"/>
        </w:rPr>
        <w:t xml:space="preserve">: </w:t>
      </w:r>
    </w:p>
    <w:p w14:paraId="3C0EA17E" w14:textId="3F3A17B8" w:rsidR="005F1878" w:rsidRDefault="005F1878" w:rsidP="005F1878">
      <w:pPr>
        <w:bidi/>
        <w:rPr>
          <w:rStyle w:val="Style1Char"/>
          <w:color w:val="C00000"/>
          <w:rtl/>
        </w:rPr>
      </w:pPr>
      <w:r w:rsidRPr="00DB0EBD">
        <w:rPr>
          <w:rStyle w:val="Style1Char"/>
          <w:color w:val="00B050"/>
          <w:rtl/>
        </w:rPr>
        <w:t xml:space="preserve">מיתיבי. שני' שהטילו לכיס, זה מנה וזה מאתים - השכר לאמצע; מאי לאו בשור לחרישה ועומד לטביחה, ותיובתא דרבה! לא, בשור לחרישה ועומד לחרישה. אבל שור לחרישה ועומד לטביחה, מאי? זה נוטל לפי מעותיו וזה נוטל לפי מעותיו, אדתני סיפא: לקח זה בשלו וזה בשלו ונתערבו - זה נוטל לפי מעותיו וזה נוטל לפי מעותיו, ליפלוג וליתני בדידיה: במד"א - בשור לחרישה ועומד לחרישה, אבל בשור לחרישה ועומד לטביחה - זה נוטל לפי מעותיו וזה נוטל לפי מעותיו! הכי נמי קאמר: במד"א - בשור לחרישה ועומד לחרישה, אבל בשור לחרישה ועומד לטביחה, נעשה כמי שלקח זה בשלו וזה בשלו ונתערבו, זה נוטל לפי מעותיו וזה נוטל לפי מעותיו. </w:t>
      </w:r>
      <w:r w:rsidRPr="00861B8D">
        <w:rPr>
          <w:rStyle w:val="Style1Char"/>
          <w:color w:val="C00000"/>
          <w:sz w:val="22"/>
          <w:szCs w:val="22"/>
          <w:rtl/>
        </w:rPr>
        <w:t>ואותבינן עליה דשמואל מהא ד</w:t>
      </w:r>
      <w:r w:rsidRPr="00861B8D">
        <w:rPr>
          <w:rStyle w:val="Style1Char"/>
          <w:sz w:val="22"/>
          <w:szCs w:val="22"/>
          <w:rtl/>
        </w:rPr>
        <w:t>תנן: וכן שלשה שהטילו לכיס</w:t>
      </w:r>
      <w:r w:rsidRPr="00861B8D">
        <w:rPr>
          <w:rStyle w:val="Style1Char"/>
          <w:color w:val="C00000"/>
          <w:rtl/>
        </w:rPr>
        <w:t xml:space="preserve"> </w:t>
      </w:r>
      <w:r w:rsidRPr="00861B8D">
        <w:rPr>
          <w:rStyle w:val="Style1Char"/>
          <w:color w:val="C00000"/>
          <w:sz w:val="22"/>
          <w:szCs w:val="22"/>
          <w:rtl/>
        </w:rPr>
        <w:t>זה מנה וזה מאתים</w:t>
      </w:r>
      <w:r w:rsidRPr="00861B8D">
        <w:rPr>
          <w:rStyle w:val="Style1Char"/>
          <w:sz w:val="22"/>
          <w:szCs w:val="22"/>
          <w:rtl/>
        </w:rPr>
        <w:t xml:space="preserve">, פחתו או הותירו כך הן חולקין; מאי לאו פחתו - פחתו ממש, הותירו - הותירו ממש! </w:t>
      </w:r>
      <w:r w:rsidRPr="00861B8D">
        <w:rPr>
          <w:rStyle w:val="Style1Char"/>
          <w:color w:val="C00000"/>
          <w:sz w:val="22"/>
          <w:szCs w:val="22"/>
          <w:rtl/>
        </w:rPr>
        <w:t xml:space="preserve">וחולקין לפי מעות ותיובתא דשמואל אליבא דתרוייהו בין לרבה ובין לרב המנונא </w:t>
      </w:r>
      <w:r w:rsidR="009C483B">
        <w:rPr>
          <w:rStyle w:val="Style1Char"/>
          <w:rFonts w:hint="cs"/>
          <w:rtl/>
        </w:rPr>
        <w:t>(1)</w:t>
      </w:r>
      <w:r w:rsidRPr="00861B8D">
        <w:rPr>
          <w:rStyle w:val="Style1Char"/>
          <w:sz w:val="22"/>
          <w:szCs w:val="22"/>
          <w:rtl/>
        </w:rPr>
        <w:t xml:space="preserve">אמר רב נחמן אמר רבה בר אבוה: </w:t>
      </w:r>
      <w:r w:rsidRPr="00861B8D">
        <w:rPr>
          <w:rStyle w:val="Style1Char"/>
          <w:color w:val="00B050"/>
          <w:rtl/>
        </w:rPr>
        <w:t>לא</w:t>
      </w:r>
      <w:r w:rsidRPr="00861B8D">
        <w:rPr>
          <w:rStyle w:val="Style1Char"/>
          <w:sz w:val="22"/>
          <w:szCs w:val="22"/>
          <w:rtl/>
        </w:rPr>
        <w:t xml:space="preserve">, הותירו - זוזי חדתי, פחתו - אסתירא דצוניתא. </w:t>
      </w:r>
      <w:r w:rsidRPr="00A55221">
        <w:rPr>
          <w:rStyle w:val="Style1Char"/>
          <w:color w:val="C00000"/>
          <w:rtl/>
        </w:rPr>
        <w:t>וקמה לה מתניתין בפירוקא דרב נחמן והכי הילכתא דמתניתין דקתני חולקין לפי מעות לא שהותירו ממש ופיחתו ממש אלא שהותירו או פיחתו מחמת שינוי טיבעא וממונא כדקאי קאי אבל אם פיחתו ממש או הותירו ממש הלכה כשמואל ואליבא דרב המנונא דאמר [אפילו] לקחו שור לחרישה ועומד לטביחה השכר לאמצע דסתמא קאמר שמואל השכר לאמצע לא שנא לקחו לחרישה ועומד לחרישה ל"ש לקחו לחרישה ועומד לטביחה</w:t>
      </w:r>
      <w:r w:rsidRPr="004207B5">
        <w:rPr>
          <w:rStyle w:val="Style1Char"/>
          <w:color w:val="C00000"/>
          <w:rtl/>
        </w:rPr>
        <w:t xml:space="preserve"> </w:t>
      </w:r>
      <w:r w:rsidRPr="00A55221">
        <w:rPr>
          <w:rStyle w:val="Style1Char"/>
          <w:color w:val="C00000"/>
          <w:rtl/>
        </w:rPr>
        <w:t>ומתניתא מסייע ליה דתניא שנים שהטילו לכיס זה מנה וזה מאתים השכר לאמצע ואף על גב דאוקמה רבה כשלקחו שור לחרישה ועומד לחרישה שינויא הוא ולא סמכינן אשינויא</w:t>
      </w:r>
      <w:r w:rsidRPr="00A55221">
        <w:rPr>
          <w:rStyle w:val="Style1Char"/>
          <w:color w:val="C00000"/>
        </w:rPr>
        <w:t>:</w:t>
      </w:r>
    </w:p>
    <w:p w14:paraId="3BC7333D" w14:textId="0783AAAF" w:rsidR="005F1878" w:rsidRPr="003C0EF0" w:rsidRDefault="005F1878" w:rsidP="005F1878">
      <w:pPr>
        <w:bidi/>
        <w:rPr>
          <w:rStyle w:val="Style1Char"/>
          <w:color w:val="auto"/>
          <w:sz w:val="22"/>
          <w:szCs w:val="22"/>
        </w:rPr>
      </w:pPr>
      <w:r w:rsidRPr="003C0EF0">
        <w:rPr>
          <w:rStyle w:val="Style1Char"/>
          <w:color w:val="auto"/>
          <w:sz w:val="22"/>
          <w:szCs w:val="22"/>
          <w:rtl/>
        </w:rPr>
        <w:t xml:space="preserve">מתני'. </w:t>
      </w:r>
      <w:r w:rsidR="00464EBB">
        <w:rPr>
          <w:rStyle w:val="Style1Char"/>
          <w:rFonts w:hint="cs"/>
          <w:rtl/>
        </w:rPr>
        <w:t>(2)</w:t>
      </w:r>
      <w:r w:rsidRPr="003C0EF0">
        <w:rPr>
          <w:rStyle w:val="Style1Char"/>
          <w:color w:val="auto"/>
          <w:sz w:val="22"/>
          <w:szCs w:val="22"/>
          <w:rtl/>
        </w:rPr>
        <w:t xml:space="preserve">מי שהיה נשוי ד' נשים ומת - הראשונה קודמת לשניה, ושניה לשלישית, ושלישית לרביעית, וראשונה נשבעת לשניה, ושניה לשלישית, ושלישית לרביעית, והרביעית נפרעת שלא בשבועה; בן ננס אומר: וכי מפני שהיא אחרונה נשכרת? </w:t>
      </w:r>
      <w:r w:rsidR="009E4AEE">
        <w:rPr>
          <w:rStyle w:val="Style1Char"/>
          <w:rFonts w:hint="cs"/>
          <w:rtl/>
        </w:rPr>
        <w:t>(2)</w:t>
      </w:r>
      <w:r w:rsidRPr="003C0EF0">
        <w:rPr>
          <w:rStyle w:val="Style1Char"/>
          <w:color w:val="auto"/>
          <w:sz w:val="22"/>
          <w:szCs w:val="22"/>
          <w:rtl/>
        </w:rPr>
        <w:t xml:space="preserve">אף היא לא תפרע אלא בשבועה. </w:t>
      </w:r>
      <w:r w:rsidR="00057255">
        <w:rPr>
          <w:rStyle w:val="Style1Char"/>
          <w:rFonts w:hint="cs"/>
          <w:rtl/>
        </w:rPr>
        <w:t>(3)</w:t>
      </w:r>
      <w:r w:rsidRPr="003C0EF0">
        <w:rPr>
          <w:rStyle w:val="Style1Char"/>
          <w:color w:val="auto"/>
          <w:sz w:val="22"/>
          <w:szCs w:val="22"/>
          <w:rtl/>
        </w:rPr>
        <w:t xml:space="preserve">היו יוצאות כולן ביום אחד, כל הקודמת לחברתה אפילו שעה אחת - זכתה; וכך היו כותבין בירושלים שעות. היו כולן יוצאות בשעה אחת, ואין שם אלא מנה - חולקות בשוה. </w:t>
      </w:r>
    </w:p>
    <w:p w14:paraId="64057856" w14:textId="1AD736AA" w:rsidR="005F1878" w:rsidRDefault="005F1878" w:rsidP="005F1878">
      <w:pPr>
        <w:bidi/>
        <w:rPr>
          <w:rStyle w:val="Style1Char"/>
          <w:color w:val="auto"/>
          <w:sz w:val="22"/>
          <w:szCs w:val="22"/>
          <w:rtl/>
        </w:rPr>
      </w:pPr>
      <w:r w:rsidRPr="004B2170">
        <w:rPr>
          <w:rStyle w:val="Style1Char"/>
          <w:color w:val="auto"/>
          <w:sz w:val="22"/>
          <w:szCs w:val="22"/>
          <w:rtl/>
        </w:rPr>
        <w:t xml:space="preserve">גמ'. במאי קמיפלגי? אמר שמואל: </w:t>
      </w:r>
    </w:p>
    <w:p w14:paraId="4D58D520" w14:textId="2891288C" w:rsidR="00CC43D9" w:rsidRDefault="00CC43D9" w:rsidP="00CC43D9">
      <w:pPr>
        <w:pStyle w:val="Style1"/>
        <w:rPr>
          <w:rStyle w:val="Style1Char"/>
          <w:rtl/>
        </w:rPr>
      </w:pPr>
      <w:r>
        <w:rPr>
          <w:rStyle w:val="Style1Char"/>
          <w:rFonts w:hint="cs"/>
          <w:rtl/>
        </w:rPr>
        <w:t>1)[</w:t>
      </w:r>
      <w:r w:rsidRPr="00CC43D9">
        <w:rPr>
          <w:rStyle w:val="Style1Char"/>
          <w:rtl/>
        </w:rPr>
        <w:t>רמב</w:t>
      </w:r>
      <w:r w:rsidR="00736FB6">
        <w:rPr>
          <w:rStyle w:val="Style1Char"/>
          <w:rtl/>
        </w:rPr>
        <w:t>”ם \קניין\</w:t>
      </w:r>
      <w:r w:rsidRPr="00CC43D9">
        <w:rPr>
          <w:rStyle w:val="Style1Char"/>
          <w:rtl/>
        </w:rPr>
        <w:t xml:space="preserve"> הלכות שלוחין ושותפין פרק ד הלכה ג</w:t>
      </w:r>
      <w:r>
        <w:rPr>
          <w:rStyle w:val="Style1Char"/>
          <w:rFonts w:hint="cs"/>
          <w:rtl/>
        </w:rPr>
        <w:t xml:space="preserve">] </w:t>
      </w:r>
      <w:r w:rsidRPr="00CC43D9">
        <w:rPr>
          <w:rStyle w:val="Style1Char"/>
          <w:rtl/>
        </w:rPr>
        <w:t>השותפין שהטילו לכיס זה מנה וזה מאתים וזה שלש מאות ונתעסקו כולן בממון ופחתו או הותירו השכר או הפחת ביניהם בשוה לפי מניינם ולא לפי המעות, ואפילו לקחו שור לטביחה שאילו טבחוהו היה נוטל כל אחד מבשרו כפי מעותיו אם מכרוהו חי ופחתו או הותירו השכר או הפחת לאמצע, במה דברים אמורים כשנשאו ונתנו במעות שנשתתפו בהן אבל אם המעות קיימין ועדיין לא הוציאו אותן ופחתו או הותירו מחמת המטבע ששינה המלך או אנשי המדינה חולקין השכר או ההפסד לפי המעות, בד"א בסתם אבל אם התנו שיטול בעל המאה שלשה רבעים מן השכר ויטול בעל המאתים רביע ואם נפחתו לא יפחות זה שיטול שלשה רביעי השכר אלא רביע ההפסד ויפסיד זה שנוטל רביע השכר שלשה רבעים מן הפחת הרי אלו חולקין כפי מה שהתנו שכל תנאי שבממון קיים. /השגת הראב"ד/ השותפין שהטילו לכיס וכו' עד אם מכרוהו חי והותירו או פחתו השכר או הפחת לאמצע. א"א לא נתחוורו דברים הללו כשמכרוהו חי אלא בריוח שהרויחו בו כשהוא חי במלאכתו מפני שהחלק הקטן צריך לגדול.</w:t>
      </w:r>
    </w:p>
    <w:p w14:paraId="124AF30A" w14:textId="1AC39752" w:rsidR="00853AF4" w:rsidRDefault="00853AF4" w:rsidP="00B52114">
      <w:pPr>
        <w:pStyle w:val="Style1"/>
        <w:rPr>
          <w:rtl/>
        </w:rPr>
      </w:pPr>
      <w:r>
        <w:rPr>
          <w:rStyle w:val="Style1Char"/>
          <w:rFonts w:hint="cs"/>
          <w:rtl/>
        </w:rPr>
        <w:t>1)[</w:t>
      </w:r>
      <w:r w:rsidRPr="00853AF4">
        <w:rPr>
          <w:rStyle w:val="Style1Char"/>
          <w:rtl/>
        </w:rPr>
        <w:t>שולחן ערוך חושן משפט הלכות שותפים סימן קעו סעיף ה</w:t>
      </w:r>
      <w:r>
        <w:rPr>
          <w:rStyle w:val="Style1Char"/>
          <w:rFonts w:hint="cs"/>
          <w:rtl/>
        </w:rPr>
        <w:t>]</w:t>
      </w:r>
      <w:r w:rsidR="00B52114">
        <w:rPr>
          <w:rStyle w:val="Style1Char"/>
          <w:rFonts w:hint="cs"/>
          <w:rtl/>
        </w:rPr>
        <w:t xml:space="preserve"> </w:t>
      </w:r>
      <w:r w:rsidR="00B52114" w:rsidRPr="00B52114">
        <w:rPr>
          <w:rtl/>
        </w:rPr>
        <w:t>השותפין שהטילו לכיס זה מנה וזה מאתים וזה ש' ונתעסקו כולם בממון סתם ופיחתו או הותירו השכר או הפחת ביניהם בשוה לפי מנינם לא לפי המעות ואפי' לקחו שור לטביחה שאלו לא מכרוהו [נ"א טבחוהו] היה נוטל כל אחד מבשרו לפי מעותיו אם מכרוהו חי ופחתו או הותירו השכר או הפחת לאמצע בד"א כשנשאו ונתנו במעות שנשתתפו בהם אבל אם המעות קיימים ועדיין לא הוציאו אותם ופחתו או הותירו מחמת המטבע ששינה המלך או אנשי המדינה חולקין השכר או ההפסד לפי המעות </w:t>
      </w:r>
      <w:r w:rsidR="00B52114" w:rsidRPr="00B52114">
        <w:rPr>
          <w:rFonts w:hint="cs"/>
          <w:rtl/>
        </w:rPr>
        <w:t>וכל שכן אם נשתתפו בפירות ועדיין הן בעין שנוטלין לפי מעותיהן (טור)</w:t>
      </w:r>
      <w:r w:rsidR="00B52114" w:rsidRPr="00B52114">
        <w:rPr>
          <w:rtl/>
        </w:rPr>
        <w:t> ואם התנו ביניהם הכל לפי תנאם בין בריוח בין בהפסד</w:t>
      </w:r>
      <w:r w:rsidR="00B52114" w:rsidRPr="00B52114">
        <w:t>:</w:t>
      </w:r>
    </w:p>
    <w:p w14:paraId="5C90DCAF" w14:textId="2D2097D7" w:rsidR="004D2535" w:rsidRDefault="004D2535" w:rsidP="004D2535">
      <w:pPr>
        <w:pStyle w:val="Style1"/>
        <w:rPr>
          <w:rStyle w:val="Style1Char"/>
          <w:rtl/>
        </w:rPr>
      </w:pPr>
      <w:r>
        <w:rPr>
          <w:rStyle w:val="Style1Char"/>
          <w:rFonts w:hint="cs"/>
          <w:rtl/>
        </w:rPr>
        <w:lastRenderedPageBreak/>
        <w:t>2)[</w:t>
      </w:r>
      <w:r w:rsidRPr="004D2535">
        <w:rPr>
          <w:rStyle w:val="Style1Char"/>
          <w:rtl/>
        </w:rPr>
        <w:t>רמב</w:t>
      </w:r>
      <w:r w:rsidR="00213DA1">
        <w:rPr>
          <w:rStyle w:val="Style1Char"/>
          <w:rtl/>
        </w:rPr>
        <w:t>”ם \נשים\</w:t>
      </w:r>
      <w:r w:rsidRPr="004D2535">
        <w:rPr>
          <w:rStyle w:val="Style1Char"/>
          <w:rtl/>
        </w:rPr>
        <w:t xml:space="preserve"> הלכות אישות פרק יז הלכה א</w:t>
      </w:r>
      <w:r>
        <w:rPr>
          <w:rStyle w:val="Style1Char"/>
          <w:rFonts w:hint="cs"/>
          <w:rtl/>
        </w:rPr>
        <w:t xml:space="preserve">] </w:t>
      </w:r>
      <w:r w:rsidRPr="004D2535">
        <w:rPr>
          <w:rStyle w:val="Style1Char"/>
          <w:rtl/>
        </w:rPr>
        <w:t>מי שהיה נשוי נשים רבות ומת, כל שנשאת בתחלה קודמת ליטול כתובתה, ואין אחת מהן נוטלת אלא בשבועה, ואין לאחרונה אלא מה ששיירה שלפניה וגם היא נשבעת א ונוטלת השאר, וכן אם היה עליו שטר חוב, אם היה החוב קודם גובה בעל חוב תחילה, ואם הכתובה קדמה גובה האשה ב תחלה והשאר לבעל חוב.</w:t>
      </w:r>
    </w:p>
    <w:p w14:paraId="2B3225B6" w14:textId="6858E0A4" w:rsidR="00AD0E50" w:rsidRDefault="00AD0E50" w:rsidP="00AD0E50">
      <w:pPr>
        <w:pStyle w:val="Style1"/>
        <w:rPr>
          <w:rStyle w:val="Style1Char"/>
          <w:rtl/>
        </w:rPr>
      </w:pPr>
      <w:r>
        <w:rPr>
          <w:rStyle w:val="Style1Char"/>
          <w:rFonts w:hint="cs"/>
          <w:rtl/>
        </w:rPr>
        <w:t>2)[</w:t>
      </w:r>
      <w:r w:rsidRPr="00AD0E50">
        <w:rPr>
          <w:rStyle w:val="Style1Char"/>
          <w:rtl/>
        </w:rPr>
        <w:t>שולחן ערוך אבן העזר הלכות כתובות סימן צו סעיף טז</w:t>
      </w:r>
      <w:r>
        <w:rPr>
          <w:rStyle w:val="Style1Char"/>
          <w:rFonts w:hint="cs"/>
          <w:rtl/>
        </w:rPr>
        <w:t xml:space="preserve">] </w:t>
      </w:r>
      <w:r w:rsidRPr="00AD0E50">
        <w:rPr>
          <w:rStyle w:val="Style1Char"/>
          <w:rtl/>
        </w:rPr>
        <w:t>מי שהיה נשוי ד' נשים, שנשאם זו אחר זו, ומת, ובאות לגבות כתובתן, הראשונה נשבעת לשניה שאין לה משל בעלה כלום, והשניה לשלישית, והשלישית לרביעית, והרביעית נשבעת ליתומים; ואפילו הם גדולים, אין נפרעים מהם אלא בשבועה.</w:t>
      </w:r>
    </w:p>
    <w:p w14:paraId="34AEF2CF" w14:textId="51AF1704" w:rsidR="00FE106A" w:rsidRDefault="00FE106A" w:rsidP="00FE106A">
      <w:pPr>
        <w:pStyle w:val="Style1"/>
        <w:rPr>
          <w:rStyle w:val="Style1Char"/>
          <w:rtl/>
        </w:rPr>
      </w:pPr>
      <w:r>
        <w:rPr>
          <w:rStyle w:val="Style1Char"/>
          <w:rFonts w:hint="cs"/>
          <w:rtl/>
        </w:rPr>
        <w:t>3)[</w:t>
      </w:r>
      <w:r w:rsidRPr="00FE106A">
        <w:rPr>
          <w:rStyle w:val="Style1Char"/>
          <w:rtl/>
        </w:rPr>
        <w:t>רמב</w:t>
      </w:r>
      <w:r w:rsidR="00213DA1">
        <w:rPr>
          <w:rStyle w:val="Style1Char"/>
          <w:rtl/>
        </w:rPr>
        <w:t>”ם \נשים\</w:t>
      </w:r>
      <w:r w:rsidRPr="00FE106A">
        <w:rPr>
          <w:rStyle w:val="Style1Char"/>
          <w:rtl/>
        </w:rPr>
        <w:t xml:space="preserve"> הלכות אישות פרק יז הלכה ג</w:t>
      </w:r>
      <w:r>
        <w:rPr>
          <w:rStyle w:val="Style1Char"/>
          <w:rFonts w:hint="cs"/>
          <w:rtl/>
        </w:rPr>
        <w:t xml:space="preserve">] </w:t>
      </w:r>
      <w:r w:rsidRPr="00FE106A">
        <w:rPr>
          <w:rStyle w:val="Style1Char"/>
          <w:rtl/>
        </w:rPr>
        <w:t>וכן אם היה זמן הכתובות והשטרות כולן יום אחד או שעה אחת במקום שכותבים שעות חולקין כאחת, שאין שם קודם, ולעולם כל שקדם וזכה במטלטלין כדי חובו או כדי כתובתה אין מוציאין מידו, שאין דין קדימה במטלטלין.</w:t>
      </w:r>
    </w:p>
    <w:p w14:paraId="6BE65206" w14:textId="031B4126" w:rsidR="00DC385A" w:rsidRDefault="00DC385A" w:rsidP="00DC385A">
      <w:pPr>
        <w:pStyle w:val="Style1"/>
        <w:rPr>
          <w:rtl/>
        </w:rPr>
      </w:pPr>
      <w:r>
        <w:rPr>
          <w:rFonts w:hint="cs"/>
          <w:rtl/>
        </w:rPr>
        <w:t>3)[</w:t>
      </w:r>
      <w:r>
        <w:rPr>
          <w:rtl/>
        </w:rPr>
        <w:t>שולחן ערוך אבן העזר הלכות כתובות סימן צו סעיף ז</w:t>
      </w:r>
      <w:r>
        <w:rPr>
          <w:rFonts w:hint="cs"/>
          <w:rtl/>
        </w:rPr>
        <w:t xml:space="preserve">] </w:t>
      </w:r>
      <w:r>
        <w:rPr>
          <w:rtl/>
        </w:rPr>
        <w:t>פעמים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w:t>
      </w:r>
    </w:p>
    <w:p w14:paraId="381663EF" w14:textId="0A16D554" w:rsidR="00853AF4" w:rsidRPr="00B52114" w:rsidRDefault="00853AF4" w:rsidP="00B52114">
      <w:pPr>
        <w:pStyle w:val="Style1"/>
        <w:rPr>
          <w:rStyle w:val="Style1Char"/>
          <w:rtl/>
        </w:rPr>
      </w:pPr>
    </w:p>
    <w:p w14:paraId="40E65887" w14:textId="77777777" w:rsidR="005F1878" w:rsidRPr="004B2170" w:rsidRDefault="005F1878" w:rsidP="005F1878">
      <w:pPr>
        <w:bidi/>
        <w:rPr>
          <w:rStyle w:val="Style1Char"/>
          <w:color w:val="auto"/>
          <w:sz w:val="22"/>
          <w:szCs w:val="22"/>
          <w:rtl/>
        </w:rPr>
      </w:pPr>
    </w:p>
    <w:p w14:paraId="5FDF125A" w14:textId="77777777" w:rsidR="005F1878" w:rsidRDefault="005F1878" w:rsidP="005F1878">
      <w:pPr>
        <w:rPr>
          <w:rStyle w:val="Style1Char"/>
          <w:color w:val="00B050"/>
          <w:rtl/>
        </w:rPr>
      </w:pPr>
      <w:r>
        <w:rPr>
          <w:rStyle w:val="Style1Char"/>
          <w:color w:val="00B050"/>
          <w:rtl/>
        </w:rPr>
        <w:br w:type="page"/>
      </w:r>
    </w:p>
    <w:p w14:paraId="0BCFE256" w14:textId="77777777" w:rsidR="005F1878" w:rsidRDefault="005F1878" w:rsidP="005F1878">
      <w:pPr>
        <w:bidi/>
        <w:rPr>
          <w:rStyle w:val="Style1Char"/>
          <w:color w:val="C00000"/>
          <w:sz w:val="22"/>
          <w:szCs w:val="22"/>
          <w:rtl/>
        </w:rPr>
      </w:pPr>
      <w:r w:rsidRPr="004B2170">
        <w:rPr>
          <w:rStyle w:val="Style1Char"/>
          <w:color w:val="auto"/>
          <w:sz w:val="22"/>
          <w:szCs w:val="22"/>
          <w:highlight w:val="yellow"/>
          <w:rtl/>
        </w:rPr>
        <w:lastRenderedPageBreak/>
        <w:t>[דף צד עמוד א]</w:t>
      </w:r>
      <w:r w:rsidRPr="004B2170">
        <w:rPr>
          <w:rStyle w:val="Style1Char"/>
          <w:color w:val="auto"/>
          <w:sz w:val="22"/>
          <w:szCs w:val="22"/>
          <w:rtl/>
        </w:rPr>
        <w:t xml:space="preserve"> כגון שנמצאת אחת מהן שדה שאינה שלו, ובבעל חוב מאוחר שקדם וגבה קמיפלגי, ת"ק סבר: מה שגבה לא גבה, ובן ננס סבר: מה שגבה גבה</w:t>
      </w:r>
      <w:r w:rsidRPr="00910455">
        <w:rPr>
          <w:rStyle w:val="Style1Char"/>
          <w:sz w:val="22"/>
          <w:szCs w:val="22"/>
          <w:rtl/>
        </w:rPr>
        <w:t>.</w:t>
      </w:r>
      <w:r w:rsidRPr="00910455">
        <w:rPr>
          <w:rStyle w:val="Style1Char"/>
          <w:rtl/>
        </w:rPr>
        <w:t xml:space="preserve"> </w:t>
      </w:r>
      <w:r w:rsidRPr="00DB0EBD">
        <w:rPr>
          <w:rStyle w:val="Style1Char"/>
          <w:color w:val="00B050"/>
          <w:rtl/>
        </w:rPr>
        <w:t xml:space="preserve">(אמר) </w:t>
      </w:r>
      <w:r w:rsidRPr="004B2170">
        <w:rPr>
          <w:rStyle w:val="Style1Char"/>
          <w:color w:val="auto"/>
          <w:sz w:val="22"/>
          <w:szCs w:val="22"/>
          <w:rtl/>
        </w:rPr>
        <w:t>ר"נ אמר רבה בר אבוה: דכולי עלמא מה שגבה לא גבה, והכא בחיישינן שמא תכסיף קמיפלגי</w:t>
      </w:r>
      <w:r w:rsidRPr="00910455">
        <w:rPr>
          <w:rStyle w:val="Style1Char"/>
          <w:sz w:val="22"/>
          <w:szCs w:val="22"/>
          <w:rtl/>
        </w:rPr>
        <w:t xml:space="preserve">, </w:t>
      </w:r>
      <w:r w:rsidRPr="00DB0EBD">
        <w:rPr>
          <w:rStyle w:val="Style1Char"/>
          <w:color w:val="00B050"/>
          <w:rtl/>
        </w:rPr>
        <w:t>מר סבר: חיישינן שמא תכסיף, ומר סבר: לא חיישינן שמא תכסיף</w:t>
      </w:r>
      <w:r w:rsidRPr="003724DD">
        <w:rPr>
          <w:rStyle w:val="Style1Char"/>
          <w:color w:val="C00000"/>
          <w:rtl/>
        </w:rPr>
        <w:t xml:space="preserve"> </w:t>
      </w:r>
      <w:r w:rsidRPr="003724DD">
        <w:rPr>
          <w:rStyle w:val="Style1Char"/>
          <w:color w:val="C00000"/>
          <w:sz w:val="22"/>
          <w:szCs w:val="22"/>
          <w:rtl/>
        </w:rPr>
        <w:t>וקי"ל הכי דמה שגבה לא גבה והא דגרסינן בערכין פרק אין בערכין [ערכין ז' ע"ב] בענין אמר ערכי עלי וחזר ואמר ערכי עלי ולא היה בידו אלא חמש סלעים בע"ח מאוחר שקדם וגבה מה שגבה גבה קא חזינא לרב שרירא גאון ז"ל דכתב הכי איכא למימר ה"מ בהקדש דאין הקדש מוציא מיד הקדש אבל הדיוט מוציא מיד הדיוט ולפיכך מה שגבה לא גבה והני מילי במקרקעי אבל במטלטלי מה שגבה גבה דלית בהון דין קדימה משום דלית להו קלא דאמר רבא [בבא - קמא י"א ע"ב] עשה עבדו אפותיקי ומכרו בע"ח גובה ממנו שורו וחמורו אפותיקי ומכרו אין בעל חוב גובה ממנו מ"ט האי אית ליה קלא והאי לית ליה קלא</w:t>
      </w:r>
    </w:p>
    <w:p w14:paraId="412AB656" w14:textId="77777777" w:rsidR="005F1878" w:rsidRPr="00EA5594" w:rsidRDefault="005F1878" w:rsidP="005F1878">
      <w:pPr>
        <w:bidi/>
        <w:rPr>
          <w:rStyle w:val="Style1Char"/>
          <w:color w:val="4472C4" w:themeColor="accent1"/>
        </w:rPr>
      </w:pPr>
      <w:r w:rsidRPr="00EA5594">
        <w:rPr>
          <w:rStyle w:val="Style1Char"/>
          <w:color w:val="4472C4" w:themeColor="accent1"/>
          <w:rtl/>
        </w:rPr>
        <w:t>הקשה ר"ח ז"ל מהא דאמר בפ' שני דערכין (דף ז ב) היו בידו חמש סלעים ואמר ערכי עלי וחזר ואמר ערכי עלי ונתן ארבע לשניה ואחת לראשונה יצא מאי טעמא בעל חוב מאוחר שקדם וגבה מה שגבה גבה והכא מסיק רב נחמן דכ"ע מה שקדם וגבה לא גבה ותנן נמי בשילהי פירקא (דף צה א) הראשונה מוציאה מיד השניה אלמא מה שגבה לא גבה ותי' דגבי הקדש אמרי' מה שגבה גבה ואין לחוש הואיל והכל להקדש עוד תי' דהתם במטלטלים לכך מה שגבה גבה דלית להו דין קדימה ומשום דלית להו קלא אבל במקרקעי מה שגבה לא גבה והא דאמר בשלהי המניח (דף לג ב) קדמו בעלי חובות וגבו בין חב עד שלא הזיק בין הזיק עד שלא חב לא עשה ולא כלום וקאמר התם בשלמא הזיק עד שלא חב נזקין קדמו אלא חב עד שלא הזיק ב"ח קדים ואפי' הזיק עד שלא חב נמי ב"ח קדים ותפיס ש"מ ב"ח מאוחר שקדם וגבה מה שגבה לא גבה ואף על גב דהתם במטלטלין איירי לא קשה מידי דשור המזיק הוי כמקרקעי כדאמרינן התם כיון דנגח תורא נגחנא קרו ליה ועוד דהתם דין הוא מה שגבה לא גבה דאין לניזק מקום לגבות אלא מגופו של שור דהתם אינו משלם אלא מגופו אבל מטלטלין בעלמא מה שגבה גבה ורב האי גאון ורבינו חננאל ורב אלפס ז"ל פסקו כמ"ד מה שגבה לא גבה דהלכתא כר"נ</w:t>
      </w:r>
      <w:r>
        <w:rPr>
          <w:rStyle w:val="Style1Char"/>
          <w:color w:val="4472C4" w:themeColor="accent1"/>
        </w:rPr>
        <w:t xml:space="preserve"> </w:t>
      </w:r>
      <w:r w:rsidRPr="00EA5594">
        <w:rPr>
          <w:rStyle w:val="Style1Char"/>
          <w:color w:val="4472C4" w:themeColor="accent1"/>
          <w:rtl/>
        </w:rPr>
        <w:t>בדיני ושמואל נמי דאוקי פלוגתייהו בב"ח מאוחר שקדם וגבה רבנן סברי מה שגבה לא גבה ויחיד ורבים הלכה כרבים ולדינא דמתניתין הלכה כבן ננס דאביי דהוא בתראה מוקי פלוגתייהו כדאביי קשישא ובפרק הנזיקין (דף נ ב) מוכח דהלכתא כאביי קשישא ואף</w:t>
      </w:r>
      <w:r>
        <w:rPr>
          <w:rStyle w:val="Style1Char"/>
          <w:color w:val="4472C4" w:themeColor="accent1"/>
        </w:rPr>
        <w:t xml:space="preserve"> </w:t>
      </w:r>
      <w:r w:rsidRPr="00EA5594">
        <w:rPr>
          <w:rStyle w:val="Style1Char"/>
          <w:color w:val="4472C4" w:themeColor="accent1"/>
          <w:rtl/>
        </w:rPr>
        <w:t>לרב נחמן ושמואל דמוקי פלוגתייהו בטעמי אחריני</w:t>
      </w:r>
      <w:r>
        <w:rPr>
          <w:rStyle w:val="Style1Char"/>
          <w:color w:val="4472C4" w:themeColor="accent1"/>
        </w:rPr>
        <w:t xml:space="preserve"> </w:t>
      </w:r>
      <w:r w:rsidRPr="00EA5594">
        <w:rPr>
          <w:rStyle w:val="Style1Char"/>
          <w:color w:val="4472C4" w:themeColor="accent1"/>
          <w:rtl/>
        </w:rPr>
        <w:t>לית להו לרבנן הא דאביי קשישא</w:t>
      </w:r>
      <w:r>
        <w:rPr>
          <w:rStyle w:val="Style1Char"/>
          <w:color w:val="4472C4" w:themeColor="accent1"/>
        </w:rPr>
        <w:t xml:space="preserve"> </w:t>
      </w:r>
      <w:r w:rsidRPr="00EA5594">
        <w:rPr>
          <w:rStyle w:val="Style1Char"/>
          <w:color w:val="4472C4" w:themeColor="accent1"/>
          <w:rtl/>
        </w:rPr>
        <w:t>אם לא נאמר דמיירי כשפטרה אביהן מן השבועה ומועיל הפטור לגבי יתמי אבל לא לגבי הנשים מ"מ</w:t>
      </w:r>
      <w:r>
        <w:rPr>
          <w:rStyle w:val="Style1Char"/>
          <w:color w:val="4472C4" w:themeColor="accent1"/>
        </w:rPr>
        <w:t xml:space="preserve"> </w:t>
      </w:r>
      <w:r w:rsidRPr="00EA5594">
        <w:rPr>
          <w:rStyle w:val="Style1Char"/>
          <w:color w:val="4472C4" w:themeColor="accent1"/>
          <w:rtl/>
        </w:rPr>
        <w:t>הלכה כאביי קשישא אם לא פטרה</w:t>
      </w:r>
      <w:r w:rsidRPr="00EA5594">
        <w:rPr>
          <w:rStyle w:val="Style1Char"/>
          <w:color w:val="4472C4" w:themeColor="accent1"/>
        </w:rPr>
        <w:t xml:space="preserve">: </w:t>
      </w:r>
    </w:p>
    <w:p w14:paraId="1EA1EAD2" w14:textId="48494F9B" w:rsidR="005F1878" w:rsidRPr="00EA5594" w:rsidRDefault="005F1878" w:rsidP="005F1878">
      <w:pPr>
        <w:bidi/>
        <w:rPr>
          <w:rStyle w:val="Style1Char"/>
          <w:color w:val="4472C4" w:themeColor="accent1"/>
        </w:rPr>
      </w:pPr>
      <w:r w:rsidRPr="00DB0EBD">
        <w:rPr>
          <w:rStyle w:val="Style1Char"/>
          <w:color w:val="00B050"/>
          <w:rtl/>
        </w:rPr>
        <w:t xml:space="preserve"> אביי אמר: דאביי קשישא איכא בינייהו, דתני אביי קשישא: </w:t>
      </w:r>
      <w:r w:rsidR="00781501">
        <w:rPr>
          <w:rStyle w:val="Style1Char"/>
          <w:rFonts w:hint="cs"/>
          <w:rtl/>
        </w:rPr>
        <w:t>(1)</w:t>
      </w:r>
      <w:r w:rsidRPr="00DB0EBD">
        <w:rPr>
          <w:rStyle w:val="Style1Char"/>
          <w:color w:val="00B050"/>
          <w:rtl/>
        </w:rPr>
        <w:t xml:space="preserve">יתומים שאמרו - גדולים ואין צ"ל קטנים, ת"ק לית ליה דאביי קשישא, ובן ננס אית ליה דאביי קשישא. </w:t>
      </w:r>
      <w:r w:rsidR="00A44309">
        <w:rPr>
          <w:rStyle w:val="Style1Char"/>
          <w:rFonts w:hint="cs"/>
          <w:rtl/>
        </w:rPr>
        <w:t>(</w:t>
      </w:r>
      <w:r w:rsidR="004868C5">
        <w:rPr>
          <w:rStyle w:val="Style1Char"/>
          <w:rFonts w:hint="cs"/>
          <w:rtl/>
        </w:rPr>
        <w:t>2</w:t>
      </w:r>
      <w:r w:rsidR="00A44309">
        <w:rPr>
          <w:rStyle w:val="Style1Char"/>
          <w:rFonts w:hint="cs"/>
          <w:rtl/>
        </w:rPr>
        <w:t>)</w:t>
      </w:r>
      <w:r w:rsidRPr="006E707C">
        <w:rPr>
          <w:rStyle w:val="Style1Char"/>
          <w:color w:val="auto"/>
          <w:sz w:val="22"/>
          <w:szCs w:val="22"/>
          <w:rtl/>
        </w:rPr>
        <w:t>אמר רב הונא: הני תרי אחי</w:t>
      </w:r>
      <w:r w:rsidRPr="003724DD">
        <w:rPr>
          <w:rStyle w:val="Style1Char"/>
          <w:sz w:val="22"/>
          <w:szCs w:val="22"/>
          <w:rtl/>
        </w:rPr>
        <w:t xml:space="preserve"> </w:t>
      </w:r>
      <w:r w:rsidRPr="003724DD">
        <w:rPr>
          <w:rStyle w:val="Style1Char"/>
          <w:color w:val="C00000"/>
          <w:sz w:val="22"/>
          <w:szCs w:val="22"/>
          <w:rtl/>
        </w:rPr>
        <w:t>או</w:t>
      </w:r>
      <w:r w:rsidRPr="003724DD">
        <w:rPr>
          <w:rStyle w:val="Style1Char"/>
          <w:sz w:val="32"/>
          <w:szCs w:val="32"/>
          <w:rtl/>
        </w:rPr>
        <w:t xml:space="preserve"> </w:t>
      </w:r>
      <w:r w:rsidRPr="006E707C">
        <w:rPr>
          <w:rStyle w:val="Style1Char"/>
          <w:color w:val="ED7D31" w:themeColor="accent2"/>
          <w:sz w:val="18"/>
          <w:szCs w:val="18"/>
          <w:rtl/>
        </w:rPr>
        <w:t>ו</w:t>
      </w:r>
      <w:r w:rsidRPr="006E707C">
        <w:rPr>
          <w:rStyle w:val="Style1Char"/>
          <w:color w:val="auto"/>
          <w:sz w:val="22"/>
          <w:szCs w:val="22"/>
          <w:rtl/>
        </w:rPr>
        <w:t>תרי</w:t>
      </w:r>
      <w:r w:rsidRPr="003724DD">
        <w:rPr>
          <w:rStyle w:val="Style1Char"/>
          <w:sz w:val="22"/>
          <w:szCs w:val="22"/>
          <w:rtl/>
        </w:rPr>
        <w:t xml:space="preserve"> </w:t>
      </w:r>
      <w:r w:rsidRPr="006E707C">
        <w:rPr>
          <w:rStyle w:val="Style1Char"/>
          <w:color w:val="auto"/>
          <w:sz w:val="22"/>
          <w:szCs w:val="22"/>
          <w:rtl/>
        </w:rPr>
        <w:t>שותפי דאית להו דינא בהדי חד, ואזל חד מינייהו בהדיה לדינא, לא מצי אידך למימר ליה את לאו בעל דברים דידי את, אלא שליחותיה עבד.</w:t>
      </w:r>
      <w:r w:rsidRPr="006E707C">
        <w:rPr>
          <w:rStyle w:val="Style1Char"/>
          <w:color w:val="auto"/>
          <w:rtl/>
        </w:rPr>
        <w:t xml:space="preserve"> </w:t>
      </w:r>
      <w:r w:rsidRPr="006E707C">
        <w:rPr>
          <w:rStyle w:val="Style1Char"/>
          <w:color w:val="auto"/>
          <w:sz w:val="22"/>
          <w:szCs w:val="22"/>
          <w:rtl/>
        </w:rPr>
        <w:t xml:space="preserve">אקלע ר"נ לסורא, שיילוהי: כי האי גוונא מאי? אמר להו, מתני' היא: הראשונה נשבעת לשניה, ושניה לשלישית, ושלישית לרביעית, ואילו ראשונה לשלישית לא קתני, מאי טעמא? לאו משום דשליחותה עבדה. מי דמי? התם </w:t>
      </w:r>
      <w:r w:rsidR="00897C84">
        <w:rPr>
          <w:rStyle w:val="Style1Char"/>
          <w:rFonts w:hint="cs"/>
          <w:rtl/>
        </w:rPr>
        <w:t>(2.1, 3)</w:t>
      </w:r>
      <w:r w:rsidRPr="006E707C">
        <w:rPr>
          <w:rStyle w:val="Style1Char"/>
          <w:color w:val="auto"/>
          <w:sz w:val="22"/>
          <w:szCs w:val="22"/>
          <w:rtl/>
        </w:rPr>
        <w:t xml:space="preserve">שבועה לאחד ושבועה למאה, הכא אמר: אילו אנא הואי, טעיננא טפי. </w:t>
      </w:r>
      <w:r w:rsidR="002C5F06">
        <w:rPr>
          <w:rStyle w:val="Style1Char"/>
          <w:rFonts w:hint="cs"/>
          <w:rtl/>
        </w:rPr>
        <w:t>(</w:t>
      </w:r>
      <w:r w:rsidR="003C1223">
        <w:rPr>
          <w:rStyle w:val="Style1Char"/>
          <w:rFonts w:hint="cs"/>
          <w:rtl/>
        </w:rPr>
        <w:t>2</w:t>
      </w:r>
      <w:r w:rsidR="002C5F06">
        <w:rPr>
          <w:rStyle w:val="Style1Char"/>
          <w:rFonts w:hint="cs"/>
          <w:rtl/>
        </w:rPr>
        <w:t>)</w:t>
      </w:r>
      <w:r w:rsidRPr="006E707C">
        <w:rPr>
          <w:rStyle w:val="Style1Char"/>
          <w:color w:val="auto"/>
          <w:sz w:val="22"/>
          <w:szCs w:val="22"/>
          <w:rtl/>
        </w:rPr>
        <w:t>ולא אמרן אלא דלא איתיה במתא, אבל איתיה במתא איבעי ליה למיתי</w:t>
      </w:r>
      <w:r w:rsidRPr="000233B8">
        <w:rPr>
          <w:rStyle w:val="Style1Char"/>
          <w:color w:val="4472C4" w:themeColor="accent1"/>
          <w:rtl/>
        </w:rPr>
        <w:t xml:space="preserve"> </w:t>
      </w:r>
      <w:r w:rsidRPr="00EA5594">
        <w:rPr>
          <w:rStyle w:val="Style1Char"/>
          <w:color w:val="4472C4" w:themeColor="accent1"/>
          <w:rtl/>
        </w:rPr>
        <w:t>ומיהו אם האחד סתם טענותיו ואמר אין לי עדים ואין לי ראיה והשני מצא עדים או ראיה לא הפסיד בטענת הראשון וכן אם הודה הראשון והפסיד בהודאתו לא יפסיד השני בהודאת הראשון אם הוא כופר ולא אמרינן דהפסיד במה שלא בא אלא בדבר שאין יכול לשנות בטענתו ממה שטען הראשון ונפקא מינה שב"ד יורדין לנכסיו ואינו יכול לדחות עצמו עד שירדו עמו לדין שכתבו פסק דין עליו כאילו כבר ירד לדין והרמב"ם ז"ל כתב (פ"ג מהל' שותפין ה"ג) דכי אזיל חד מינייהו לדינא בהדי חד מצי אידך למימר לא אדון עמך אלא על חלקך שהרי כשיבא חברך אצטרך לדון עמו וליתא חדא דמה איכפת ליה שידון על הכל אם יזכה בדין נגדו הרי נפטר מחלקו ועוד מצי אמר ליה האי אם ארד עמך לדין על החצי ואזכה בדין אצטריך לחלק אותו עם שותפי משום דאמר לי מאן פלג לך הלכך כיון שאינו יכול לזכות בחלקו אם לא שירד עמו לדין על הכל צריך להשיב לו על הכל ובפרק שבועת הדיינין (סי' ב) הארכתי בזה הרבה</w:t>
      </w:r>
      <w:r w:rsidRPr="00EA5594">
        <w:rPr>
          <w:rStyle w:val="Style1Char"/>
          <w:color w:val="4472C4" w:themeColor="accent1"/>
        </w:rPr>
        <w:t xml:space="preserve">: </w:t>
      </w:r>
    </w:p>
    <w:p w14:paraId="44BA2B24" w14:textId="2EE23034" w:rsidR="005F1878" w:rsidRDefault="005F1878" w:rsidP="005F1878">
      <w:pPr>
        <w:bidi/>
        <w:rPr>
          <w:rStyle w:val="Style1Char"/>
          <w:color w:val="00B050"/>
        </w:rPr>
      </w:pPr>
      <w:r w:rsidRPr="006E707C">
        <w:rPr>
          <w:rStyle w:val="Style1Char"/>
          <w:color w:val="auto"/>
          <w:sz w:val="22"/>
          <w:szCs w:val="22"/>
          <w:rtl/>
        </w:rPr>
        <w:t xml:space="preserve">. אתמר: ב' שטרות היוצאים ביום אחד, רב אמר: חולקין, </w:t>
      </w:r>
      <w:r w:rsidR="00CD2792">
        <w:rPr>
          <w:rStyle w:val="Style1Char"/>
          <w:rFonts w:hint="cs"/>
          <w:rtl/>
        </w:rPr>
        <w:t>(4)</w:t>
      </w:r>
      <w:r w:rsidRPr="006E707C">
        <w:rPr>
          <w:rStyle w:val="Style1Char"/>
          <w:color w:val="auto"/>
          <w:sz w:val="22"/>
          <w:szCs w:val="22"/>
          <w:rtl/>
        </w:rPr>
        <w:t>ושמואל אמר: שודא דדייני</w:t>
      </w:r>
      <w:r w:rsidRPr="006E707C">
        <w:rPr>
          <w:rStyle w:val="Style1Char"/>
          <w:color w:val="auto"/>
          <w:rtl/>
        </w:rPr>
        <w:t xml:space="preserve"> </w:t>
      </w:r>
      <w:r w:rsidRPr="00A66EED">
        <w:rPr>
          <w:rStyle w:val="Style1Char"/>
          <w:color w:val="806000" w:themeColor="accent4" w:themeShade="80"/>
          <w:sz w:val="22"/>
          <w:szCs w:val="22"/>
          <w:rtl/>
        </w:rPr>
        <w:t xml:space="preserve">והלכתא כשמואל </w:t>
      </w:r>
      <w:r w:rsidRPr="00A55221">
        <w:rPr>
          <w:rStyle w:val="Style1Char"/>
          <w:color w:val="C00000"/>
          <w:rtl/>
        </w:rPr>
        <w:t>והאי שמעתא בשטרי קרקעות היא כגון ב' שטרות של ב' לקוחות על שדה אחת או ב' שטרות של שני מקבלי מתנה אבל שני שטרות של הודאות והלואות היוצאים ביום אחד לא פליג שמואל דתנן [דף צ"ג ע"א] מי שהיה נשוי ג' נשים ומת כתובתה של זו מנה ושל זו מאתים ושל זו ג' מאות ואין שם אלא מנה חולקות בשוה וכבר ברירנא להא שמעתא דשני שטרות היוצאין ביום אחד שפיר בפרק הכותב</w:t>
      </w:r>
      <w:r w:rsidRPr="00DB0EBD">
        <w:rPr>
          <w:rStyle w:val="Style1Char"/>
          <w:color w:val="00B050"/>
          <w:rtl/>
        </w:rPr>
        <w:t xml:space="preserve">. </w:t>
      </w:r>
    </w:p>
    <w:p w14:paraId="3515EE67" w14:textId="77777777" w:rsidR="005F1878" w:rsidRPr="00EA5594" w:rsidRDefault="005F1878" w:rsidP="005F1878">
      <w:pPr>
        <w:bidi/>
        <w:rPr>
          <w:rStyle w:val="Style1Char"/>
          <w:color w:val="4472C4" w:themeColor="accent1"/>
        </w:rPr>
      </w:pPr>
      <w:r w:rsidRPr="00EA5594">
        <w:rPr>
          <w:rStyle w:val="Style1Char"/>
          <w:color w:val="4472C4" w:themeColor="accent1"/>
          <w:rtl/>
        </w:rPr>
        <w:t>ובשטר מכר או מתנה על שדה אחת מיירי אבל שטרי הודאות והלואות היוצאין ביום אחד חולקין ובהא לא פליג שמואל כדתנן במתני' היו כולן יוצאות ביום א' ואין שם אלא מנה חולקות בשוה(מ) לפי שיש חילוק בין קנין לשיעבוד דקניין מכר או מתנה כל הקודם בקנין זכה אבל השיעבוד אינו חל עליו אלא מאותה שעה שמוכיח מתוך השטר שחל השיעבוד דהיינו ממחרת יום הכתיבה ובו ביום שנכתב השטר אין הוכחה בו מתי התחיל השיעבוד בבקר או בערב והארכתי לעיל בפרק הכותב (סימן יא)</w:t>
      </w:r>
      <w:r w:rsidRPr="00EA5594">
        <w:rPr>
          <w:rStyle w:val="Style1Char"/>
          <w:color w:val="4472C4" w:themeColor="accent1"/>
        </w:rPr>
        <w:t>:</w:t>
      </w:r>
    </w:p>
    <w:p w14:paraId="2567B598" w14:textId="5AD7A458" w:rsidR="005F1878" w:rsidRDefault="005F1878" w:rsidP="005F1878">
      <w:pPr>
        <w:bidi/>
        <w:rPr>
          <w:rStyle w:val="Style1Char"/>
          <w:color w:val="00B050"/>
          <w:rtl/>
        </w:rPr>
      </w:pPr>
      <w:r w:rsidRPr="00DB0EBD">
        <w:rPr>
          <w:rStyle w:val="Style1Char"/>
          <w:color w:val="00B050"/>
          <w:rtl/>
        </w:rPr>
        <w:t>לימא, רב דאמר כר"מ, דאמר: עדי חתימה כרתי,</w:t>
      </w:r>
    </w:p>
    <w:p w14:paraId="1DC89AAA" w14:textId="046FF380" w:rsidR="004868C5" w:rsidRDefault="004868C5" w:rsidP="004868C5">
      <w:pPr>
        <w:pStyle w:val="Style1"/>
        <w:rPr>
          <w:rStyle w:val="Style1Char"/>
          <w:rtl/>
        </w:rPr>
      </w:pPr>
      <w:r>
        <w:rPr>
          <w:rStyle w:val="Style1Char"/>
          <w:rFonts w:hint="cs"/>
          <w:rtl/>
        </w:rPr>
        <w:t>1)[</w:t>
      </w:r>
      <w:r w:rsidRPr="004868C5">
        <w:rPr>
          <w:rStyle w:val="Style1Char"/>
          <w:rtl/>
        </w:rPr>
        <w:t>רמב</w:t>
      </w:r>
      <w:r w:rsidR="0057095E">
        <w:rPr>
          <w:rStyle w:val="Style1Char"/>
          <w:rtl/>
        </w:rPr>
        <w:t>”ם \משפטים\</w:t>
      </w:r>
      <w:r w:rsidRPr="004868C5">
        <w:rPr>
          <w:rStyle w:val="Style1Char"/>
          <w:rtl/>
        </w:rPr>
        <w:t xml:space="preserve"> הלכות מלוה ולוה פרק יד הלכה א</w:t>
      </w:r>
      <w:r>
        <w:rPr>
          <w:rStyle w:val="Style1Char"/>
          <w:rFonts w:hint="cs"/>
          <w:rtl/>
        </w:rPr>
        <w:t xml:space="preserve">] </w:t>
      </w:r>
      <w:r w:rsidRPr="004868C5">
        <w:rPr>
          <w:rStyle w:val="Style1Char"/>
          <w:rtl/>
        </w:rPr>
        <w:t>הפוגם את שטרו, או שעד אחד מעיד על שטרו שהוא פרוע, והבא ליפרע שלא בפני הלוה, והטורף מיד הלוקח, והנפרעים מן היורש בין קטן בין א גדול לא יפרע אלא בשבועה כעין של תורה (ואומר) לו כשיתבע השבע ואח"כ תטול, ואם היה החוב לזמן ותבע בזמנו יפרע שלא בשבועה, עבר זמנו לא יגבה אלא בשבועה.</w:t>
      </w:r>
    </w:p>
    <w:p w14:paraId="2C1A8410" w14:textId="5B2886C7" w:rsidR="00F96FEF" w:rsidRDefault="00F96FEF" w:rsidP="00F96FEF">
      <w:pPr>
        <w:pStyle w:val="Style1"/>
        <w:rPr>
          <w:rStyle w:val="Style1Char"/>
          <w:rtl/>
        </w:rPr>
      </w:pPr>
      <w:r>
        <w:rPr>
          <w:rStyle w:val="Style1Char"/>
          <w:rFonts w:hint="cs"/>
          <w:rtl/>
        </w:rPr>
        <w:t>1)[</w:t>
      </w:r>
      <w:r w:rsidRPr="00AD0E50">
        <w:rPr>
          <w:rStyle w:val="Style1Char"/>
          <w:rtl/>
        </w:rPr>
        <w:t>שולחן ערוך אבן העזר הלכות כתובות סימן צו סעיף טז</w:t>
      </w:r>
      <w:r>
        <w:rPr>
          <w:rStyle w:val="Style1Char"/>
          <w:rFonts w:hint="cs"/>
          <w:rtl/>
        </w:rPr>
        <w:t xml:space="preserve">] </w:t>
      </w:r>
      <w:r w:rsidRPr="00AD0E50">
        <w:rPr>
          <w:rStyle w:val="Style1Char"/>
          <w:rtl/>
        </w:rPr>
        <w:t>מי שהיה נשוי ד' נשים, שנשאם זו אחר זו, ומת, ובאות לגבות כתובתן, הראשונה נשבעת לשניה שאין לה משל בעלה כלום, והשניה לשלישית, והשלישית לרביעית, והרביעית נשבעת ליתומים; ואפילו הם גדולים, אין נפרעים מהם אלא בשבועה.</w:t>
      </w:r>
    </w:p>
    <w:p w14:paraId="45F39BE3" w14:textId="51C03BB5" w:rsidR="001450F7" w:rsidRDefault="001450F7" w:rsidP="001450F7">
      <w:pPr>
        <w:pStyle w:val="Style1"/>
        <w:rPr>
          <w:rtl/>
        </w:rPr>
      </w:pPr>
      <w:r>
        <w:rPr>
          <w:rFonts w:hint="cs"/>
          <w:rtl/>
        </w:rPr>
        <w:t>1)[</w:t>
      </w:r>
      <w:r>
        <w:rPr>
          <w:rtl/>
        </w:rPr>
        <w:t>שולחן ערוך חושן משפט הלכות גביית חוב מהיתומים סימן קח סעיף ג</w:t>
      </w:r>
      <w:r>
        <w:rPr>
          <w:rFonts w:hint="cs"/>
          <w:rtl/>
        </w:rPr>
        <w:t xml:space="preserve">] </w:t>
      </w:r>
      <w:r w:rsidRPr="00815887">
        <w:rPr>
          <w:rtl/>
        </w:rPr>
        <w:t>אין נפרעים מיורשים קטנים בעודם קטנים שאינם בני י"ג שנה שום הלואה מחוב אביהם ואפילו היה עליו שטר מקויים ואפילו היה בו נאמנות ואפי' היה בו כל תנאי שבעולם שמא יש להם ראיה ששוברים בה השטר אלא א"כ היה במלוה זו אחד מג' דרכים הנזכרים לעיל בסמוך (בס"א) ואפילו היתה מלוה על פה גובה מיתומים קטנים בא' מג' דרכים הנזכרים ודהיתה תוך זמן צריך שנתקבל העדות בחיי אביהם שהוא תוך זמן שאם לא כן אין מקבלין עדות על קטן אפילו בפניו ואם הם גדולים והוציא עליהם שטר מקויים אפי' אין שם א' מג' דרכים אלו גובה מהם בלא שבועה אם יש בו נאמנות מפורש שהאמינו עליו ועל יורשיו או על באי כחו שיורשיו בכלל באי כחו אבל אם אין שם כתוב בשטר נאמנות ואפי' כתוב בו נאמנות סתם ולא פירש על יורשיו או על באי כחו צריך לישבע כעין של תורה בנקיטת חפץ וגובה ואפילו תפס משלהם בלא שבועה משביעין ליה ואי לא בעי לאשתבועי דינו כמו שנתבאר </w:t>
      </w:r>
      <w:hyperlink r:id="rId251" w:tooltip="שולחן ערוך חושן משפט פב" w:history="1">
        <w:r w:rsidRPr="00815887">
          <w:rPr>
            <w:rtl/>
          </w:rPr>
          <w:t>בסימן פ"ב</w:t>
        </w:r>
      </w:hyperlink>
      <w:r w:rsidRPr="00815887">
        <w:t> </w:t>
      </w:r>
      <w:r w:rsidRPr="00815887">
        <w:rPr>
          <w:rFonts w:hint="cs"/>
        </w:rPr>
        <w:t>(</w:t>
      </w:r>
      <w:r w:rsidRPr="00815887">
        <w:rPr>
          <w:rFonts w:hint="cs"/>
          <w:rtl/>
        </w:rPr>
        <w:t>ו</w:t>
      </w:r>
      <w:hyperlink r:id="rId252" w:anchor="%D7%A1%D7%A2%D7%99%D7%A3_%D7%99" w:tooltip="שולחן ערוך חושן משפט פז" w:history="1">
        <w:r w:rsidRPr="00815887">
          <w:rPr>
            <w:rFonts w:hint="cs"/>
            <w:rtl/>
          </w:rPr>
          <w:t>פ"ז ס"י</w:t>
        </w:r>
      </w:hyperlink>
      <w:r w:rsidRPr="00815887">
        <w:rPr>
          <w:rFonts w:hint="cs"/>
        </w:rPr>
        <w:t>)</w:t>
      </w:r>
      <w:r w:rsidRPr="00815887">
        <w:t>:</w:t>
      </w:r>
    </w:p>
    <w:p w14:paraId="2DB022BE" w14:textId="44DA5151" w:rsidR="001450F7" w:rsidRDefault="001450F7" w:rsidP="001450F7">
      <w:pPr>
        <w:pStyle w:val="Style1"/>
        <w:rPr>
          <w:rtl/>
        </w:rPr>
      </w:pPr>
      <w:r>
        <w:rPr>
          <w:rFonts w:hint="cs"/>
          <w:rtl/>
        </w:rPr>
        <w:lastRenderedPageBreak/>
        <w:t>1)[</w:t>
      </w:r>
      <w:r>
        <w:rPr>
          <w:rtl/>
        </w:rPr>
        <w:t>שולחן ערוך חושן משפט הלכות גביית חוב מהיתומים סימן קח סעיף יז</w:t>
      </w:r>
      <w:r>
        <w:rPr>
          <w:rFonts w:hint="cs"/>
          <w:rtl/>
        </w:rPr>
        <w:t xml:space="preserve">] </w:t>
      </w:r>
      <w:r>
        <w:rPr>
          <w:rtl/>
        </w:rPr>
        <w:t>אין נפרעים מנכסי יורשים, אפילו גדולים, אלא בשבועה. ואם נפרע שלא בשבועה, היו מנדין אותו עד שישבע.</w:t>
      </w:r>
    </w:p>
    <w:p w14:paraId="066E6C11" w14:textId="54D23A15" w:rsidR="00E736CB" w:rsidRDefault="00E736CB" w:rsidP="00E736CB">
      <w:pPr>
        <w:pStyle w:val="Style1"/>
        <w:rPr>
          <w:rtl/>
        </w:rPr>
      </w:pPr>
      <w:r>
        <w:rPr>
          <w:rFonts w:hint="cs"/>
          <w:rtl/>
        </w:rPr>
        <w:t>2)[</w:t>
      </w:r>
      <w:r>
        <w:rPr>
          <w:rtl/>
        </w:rPr>
        <w:t>רמב</w:t>
      </w:r>
      <w:r w:rsidR="00736FB6">
        <w:rPr>
          <w:rtl/>
        </w:rPr>
        <w:t>”ם \קניין\</w:t>
      </w:r>
      <w:r>
        <w:rPr>
          <w:rtl/>
        </w:rPr>
        <w:t xml:space="preserve"> הלכות שלוחין ושותפין פרק ג הלכה ג</w:t>
      </w:r>
      <w:r>
        <w:rPr>
          <w:rFonts w:hint="cs"/>
          <w:rtl/>
        </w:rPr>
        <w:t xml:space="preserve">] </w:t>
      </w:r>
      <w:r>
        <w:rPr>
          <w:rtl/>
        </w:rPr>
        <w:t>אחד מן האחים שלא חלקו או מן השותפין שבא לתבוע תובע על הכל הואיל ויש לו חלק בזה הממון אין צריך הרשאה משאר שותפין, ואין השותף האחר יכול לומר לשותפו שדן אילו הייתי אני שם הייתי תובע טענות אחרות ומחייב בעל דיני, שהרי אומר לו למה לא באת לתבוע גם אתה, לפיכך אם היה במדינה אחרת יש לו לחזור על בעל הדין ולדון עמו ולומר לו אני איני מודה בכל מה שטען שותף שלי לפיכך יש לנתבע לעכב ולומר לזה או דון עמי בחלקך או הבא הרשאה שהרי ממון שניכם בידי ושניכם בעלי דיני ולמחר יבא אחיך או שותפך ויתבע גם הוא.</w:t>
      </w:r>
    </w:p>
    <w:p w14:paraId="377DF94A" w14:textId="685D4193" w:rsidR="00B37588" w:rsidRPr="002B5EA6" w:rsidRDefault="00833809" w:rsidP="002B5EA6">
      <w:pPr>
        <w:pStyle w:val="Style1"/>
      </w:pPr>
      <w:r>
        <w:rPr>
          <w:rFonts w:hint="cs"/>
          <w:rtl/>
        </w:rPr>
        <w:t>2)[</w:t>
      </w:r>
      <w:r>
        <w:rPr>
          <w:rtl/>
        </w:rPr>
        <w:t>שולחן ערוך חושן משפט הלכות טוען ונטען סימן עז סעיף ט</w:t>
      </w:r>
      <w:r>
        <w:rPr>
          <w:rFonts w:hint="cs"/>
          <w:rtl/>
        </w:rPr>
        <w:t>]</w:t>
      </w:r>
      <w:r w:rsidR="002B5EA6">
        <w:rPr>
          <w:rFonts w:hint="cs"/>
          <w:rtl/>
        </w:rPr>
        <w:t xml:space="preserve"> </w:t>
      </w:r>
      <w:r w:rsidR="00B37588" w:rsidRPr="002B5EA6">
        <w:rPr>
          <w:rtl/>
        </w:rPr>
        <w:t>שנים שהלוו או הפקידו לאחד ובא אחד מהם ליטול חלקו אין שומעין לו עד שיבא חבירו אבל אם חבירו בעיר ושמע ולא בא צריך ליתן לזה התובע הכל ואם טען שאינו רוצה לתת לו אלא חלקו אבל חלק שותפו יתן ביד ב"ד הרשות בידו</w:t>
      </w:r>
      <w:r w:rsidR="00B37588" w:rsidRPr="002B5EA6">
        <w:t>:</w:t>
      </w:r>
    </w:p>
    <w:p w14:paraId="76D15E60" w14:textId="5CA99578" w:rsidR="00B37588" w:rsidRDefault="00B37588" w:rsidP="002B5EA6">
      <w:pPr>
        <w:pStyle w:val="Style1"/>
        <w:rPr>
          <w:rtl/>
        </w:rPr>
      </w:pPr>
      <w:r w:rsidRPr="002B5EA6">
        <w:rPr>
          <w:rFonts w:hint="cs"/>
          <w:rtl/>
        </w:rPr>
        <w:t>הגה: וכל זה בשנים שהפקידו ביחד אבל מי שהפקיד ביד אחד ומת והיו לו ב' בנים ובא אחד מהן נותנין לו חלקו (תשובת הרשב"א סימן אלף ק"ב) (ועיין לקמן </w:t>
      </w:r>
      <w:hyperlink r:id="rId253" w:tooltip="שולחן ערוך חושן משפט רצט" w:history="1">
        <w:r w:rsidRPr="002B5EA6">
          <w:rPr>
            <w:rStyle w:val="Hyperlink"/>
            <w:rFonts w:hint="cs"/>
            <w:color w:val="7030A0"/>
            <w:u w:val="none"/>
            <w:rtl/>
          </w:rPr>
          <w:t>סי' רצ"ט</w:t>
        </w:r>
      </w:hyperlink>
      <w:r w:rsidRPr="002B5EA6">
        <w:rPr>
          <w:rFonts w:hint="cs"/>
        </w:rPr>
        <w:t> </w:t>
      </w:r>
      <w:r w:rsidRPr="002B5EA6">
        <w:rPr>
          <w:rFonts w:hint="cs"/>
          <w:rtl/>
        </w:rPr>
        <w:t>מאלו הדינים</w:t>
      </w:r>
      <w:r w:rsidRPr="002B5EA6">
        <w:rPr>
          <w:rFonts w:hint="cs"/>
        </w:rPr>
        <w:t>)</w:t>
      </w:r>
      <w:r w:rsidRPr="002B5EA6">
        <w:t>:</w:t>
      </w:r>
    </w:p>
    <w:p w14:paraId="3606FD93" w14:textId="6D6939DD" w:rsidR="002B5EA6" w:rsidRDefault="002B5EA6" w:rsidP="002B5EA6">
      <w:pPr>
        <w:pStyle w:val="Style1"/>
        <w:rPr>
          <w:rtl/>
        </w:rPr>
      </w:pPr>
      <w:r>
        <w:rPr>
          <w:rFonts w:hint="cs"/>
          <w:rtl/>
        </w:rPr>
        <w:t>2)[</w:t>
      </w:r>
      <w:r>
        <w:rPr>
          <w:rtl/>
        </w:rPr>
        <w:t>שולחן ערוך חושן משפט הלכות הרשאה סימן קכב סעיף ט</w:t>
      </w:r>
      <w:r>
        <w:rPr>
          <w:rFonts w:hint="cs"/>
          <w:rtl/>
        </w:rPr>
        <w:t>]</w:t>
      </w:r>
      <w:r w:rsidR="004908A0">
        <w:rPr>
          <w:rFonts w:hint="cs"/>
          <w:rtl/>
        </w:rPr>
        <w:t xml:space="preserve"> </w:t>
      </w:r>
      <w:r w:rsidR="004908A0" w:rsidRPr="004908A0">
        <w:rPr>
          <w:rtl/>
        </w:rPr>
        <w:t>אחד מהאחים שלא חלקו או מהשותפים שבא לתבוע תובע על הכל הואיל ויש לו חלק בזה הממון אינו צריך הרשאה משאר שותפין ואם יצא חייב אין השותף האחר יכול לומר לשותפו שדן אילו הייתי אני שם הייתי תובעו טענות אחרות ומחייב בעל דיני שהרי אומר לו למה לא באת לתבוע גם אתה לפיכך אם היה בעיר אחרת יש לו לחזור על הבעל דין ולדון עמו ולומר לו איני מודה בכל מה שטען שותפי ולפיכך יש לנתבע לעכב ולומר או דון עמי בחלקך או הבא הרשאה שהרי ממון שניכם בידי ושניכם בעלי דיני ולמחר יבוא אחיך או שותפך ויתבע גם הוא ויתבאר זה עוד בסימן קע"ו סעיף כ"ה וסעיף כ"ו</w:t>
      </w:r>
      <w:r w:rsidR="004908A0" w:rsidRPr="004908A0">
        <w:t>:</w:t>
      </w:r>
    </w:p>
    <w:p w14:paraId="6BE76D73" w14:textId="69C902DC" w:rsidR="00547DEC" w:rsidRPr="00547DEC" w:rsidRDefault="007D1ABD" w:rsidP="00547DEC">
      <w:pPr>
        <w:pStyle w:val="Style1"/>
      </w:pPr>
      <w:r>
        <w:rPr>
          <w:rFonts w:hint="cs"/>
          <w:rtl/>
        </w:rPr>
        <w:t>2)[</w:t>
      </w:r>
      <w:r>
        <w:rPr>
          <w:rtl/>
        </w:rPr>
        <w:t>שולחן ערוך חושן משפט הלכות שותפים סימן קעו סעיף כה</w:t>
      </w:r>
      <w:r>
        <w:rPr>
          <w:rFonts w:hint="cs"/>
          <w:rtl/>
        </w:rPr>
        <w:t>]</w:t>
      </w:r>
      <w:r w:rsidR="004F4370">
        <w:rPr>
          <w:rFonts w:hint="cs"/>
          <w:rtl/>
        </w:rPr>
        <w:t xml:space="preserve"> </w:t>
      </w:r>
      <w:r w:rsidR="00547DEC" w:rsidRPr="00547DEC">
        <w:rPr>
          <w:rtl/>
        </w:rPr>
        <w:t>היה להם תביעת ממון עליו ויצא השותף חייב אם לא היה שותפו בעיר יכול לתבעו פעם אחרת </w:t>
      </w:r>
      <w:r w:rsidR="00547DEC" w:rsidRPr="00547DEC">
        <w:rPr>
          <w:rFonts w:hint="cs"/>
          <w:rtl/>
        </w:rPr>
        <w:t>(וקטן כמאן דליתא בעיר דמי וי"א דה"ה אשה) (נ"י בשם הריטב"א)</w:t>
      </w:r>
      <w:r w:rsidR="00547DEC" w:rsidRPr="00547DEC">
        <w:rPr>
          <w:rtl/>
        </w:rPr>
        <w:t> היה בעיר אינו יכול לתבעו</w:t>
      </w:r>
      <w:r w:rsidR="00547DEC" w:rsidRPr="00547DEC">
        <w:t>:</w:t>
      </w:r>
    </w:p>
    <w:p w14:paraId="285ED847" w14:textId="14F4C8EF" w:rsidR="00547DEC" w:rsidRDefault="00547DEC" w:rsidP="00547DEC">
      <w:pPr>
        <w:pStyle w:val="Style1"/>
        <w:rPr>
          <w:rtl/>
        </w:rPr>
      </w:pPr>
      <w:r w:rsidRPr="00547DEC">
        <w:rPr>
          <w:rFonts w:hint="cs"/>
          <w:rtl/>
        </w:rPr>
        <w:t>הגה: ודוקא כשהן התובעין אבל כשהן נתבעין ואחד טען אינו מזיק לחבירו כלל הואיל ולא צוהו לטעון ולדון בשבילו ובני העיר בענייני צרכי העיר הם כשותפין ואם אחד מהם תבע לאחר כולן יודעין באותו תביעה ואינן יכולין לחזור ולטעון (מרדכי פ' מי שהיה נשוי)</w:t>
      </w:r>
      <w:r w:rsidRPr="00547DEC">
        <w:t>:</w:t>
      </w:r>
    </w:p>
    <w:p w14:paraId="0DCD3F09" w14:textId="58B4CC4A" w:rsidR="00834C65" w:rsidRDefault="00834C65" w:rsidP="00834C65">
      <w:pPr>
        <w:pStyle w:val="Style1"/>
        <w:rPr>
          <w:rtl/>
        </w:rPr>
      </w:pPr>
      <w:r>
        <w:rPr>
          <w:rFonts w:hint="cs"/>
          <w:rtl/>
        </w:rPr>
        <w:t>3)[</w:t>
      </w:r>
      <w:r>
        <w:rPr>
          <w:rtl/>
        </w:rPr>
        <w:t>שולחן ערוך חושן משפט הלכות טוען ונטען סימן פז סעיף לו</w:t>
      </w:r>
      <w:r>
        <w:rPr>
          <w:rFonts w:hint="cs"/>
          <w:rtl/>
        </w:rPr>
        <w:t xml:space="preserve">] </w:t>
      </w:r>
      <w:r>
        <w:rPr>
          <w:rtl/>
        </w:rPr>
        <w:t>שנים או שלשה שיש להם תביעה על אחד, ונשבע לאחד מהם, פטור מהאחרים.</w:t>
      </w:r>
    </w:p>
    <w:p w14:paraId="2B0E28F9" w14:textId="38868C66" w:rsidR="00191FBA" w:rsidRDefault="00191FBA" w:rsidP="00191FBA">
      <w:pPr>
        <w:pStyle w:val="Style1"/>
        <w:rPr>
          <w:rtl/>
        </w:rPr>
      </w:pPr>
      <w:r>
        <w:rPr>
          <w:rFonts w:hint="cs"/>
          <w:rtl/>
        </w:rPr>
        <w:t>3)[</w:t>
      </w:r>
      <w:r>
        <w:rPr>
          <w:rtl/>
        </w:rPr>
        <w:t>שולחן ערוך חושן משפט הלכות שותפים סימן קעו סעיף כד</w:t>
      </w:r>
      <w:r>
        <w:rPr>
          <w:rFonts w:hint="cs"/>
          <w:rtl/>
        </w:rPr>
        <w:t xml:space="preserve">] </w:t>
      </w:r>
      <w:r>
        <w:rPr>
          <w:rtl/>
        </w:rPr>
        <w:t>שני שותפים שיש להם תביעה על אחד, ותבעו אחד מהם ויצא השותף חייב, אם היה על עסק שבועה שהיה חייב לו ונשבע לו, אין שותף שני יכול לתבעו בשבועה, דשבועה לאחד שבועה למאה.</w:t>
      </w:r>
    </w:p>
    <w:p w14:paraId="1CC4FA1A" w14:textId="6DB12629" w:rsidR="00E87956" w:rsidRDefault="00E87956" w:rsidP="00E87956">
      <w:pPr>
        <w:pStyle w:val="Style1"/>
        <w:rPr>
          <w:rtl/>
        </w:rPr>
      </w:pPr>
      <w:r>
        <w:rPr>
          <w:rFonts w:hint="cs"/>
          <w:rtl/>
        </w:rPr>
        <w:t>4)[</w:t>
      </w:r>
      <w:r>
        <w:rPr>
          <w:rtl/>
        </w:rPr>
        <w:t>רמב</w:t>
      </w:r>
      <w:r w:rsidR="00C764B2">
        <w:rPr>
          <w:rtl/>
        </w:rPr>
        <w:t>”ם \קנין\</w:t>
      </w:r>
      <w:r>
        <w:rPr>
          <w:rtl/>
        </w:rPr>
        <w:t xml:space="preserve"> הלכות זכיה ומתנה פרק ה הלכה ו</w:t>
      </w:r>
      <w:r>
        <w:rPr>
          <w:rFonts w:hint="cs"/>
          <w:rtl/>
        </w:rPr>
        <w:t xml:space="preserve">] </w:t>
      </w:r>
      <w:r>
        <w:rPr>
          <w:rtl/>
        </w:rPr>
        <w:t>שני שטרות שזמנן ביום אחד והן כתובין על שדה אחת בין במכר בין במתנה, אם דרך אנשי המקום לכתוב שעות כל הקודם זכה, ואם אין דרך המקום לכתוב שעות הרי הדבר מסור לדיינים, כל שדעתם נוטה להעמיד שדה זו בידו יעמידו.</w:t>
      </w:r>
    </w:p>
    <w:p w14:paraId="7C110C5D" w14:textId="232031F9" w:rsidR="006D1797" w:rsidRDefault="006D1797" w:rsidP="006D1797">
      <w:pPr>
        <w:pStyle w:val="Style1"/>
        <w:rPr>
          <w:rtl/>
        </w:rPr>
      </w:pPr>
      <w:r>
        <w:rPr>
          <w:rFonts w:hint="cs"/>
          <w:rtl/>
        </w:rPr>
        <w:t>4)[</w:t>
      </w:r>
      <w:r>
        <w:rPr>
          <w:rtl/>
        </w:rPr>
        <w:t>רמב</w:t>
      </w:r>
      <w:r w:rsidR="0057095E">
        <w:rPr>
          <w:rtl/>
        </w:rPr>
        <w:t>”ם \משפטים\</w:t>
      </w:r>
      <w:r>
        <w:rPr>
          <w:rtl/>
        </w:rPr>
        <w:t xml:space="preserve"> הלכות מלוה ולוה פרק כ הלכה ג</w:t>
      </w:r>
      <w:r>
        <w:rPr>
          <w:rFonts w:hint="cs"/>
          <w:rtl/>
        </w:rPr>
        <w:t xml:space="preserve">] </w:t>
      </w:r>
      <w:r>
        <w:rPr>
          <w:rtl/>
        </w:rPr>
        <w:t>שטרות שזמן כולן יום אחד או שעה אחת במקום שכותבין שעות כל שקדם מהן וגבה בין קרקע בין מטלטלין זכה. /השגת הראב"ד/ שטרות שזמן כולן וכו'. א"א מאין הוציא זה דין חדש לומר כל הקודם זכה במה שאמרו חכמים יחלוקו ולא לשתמיט תנא בחד דוכתא ולימא יחלוקו או כל הקודם זכה ואין לנו אלא מה שמנו חכמים וחוץ מזה משפט מעוקל עכ"ל.</w:t>
      </w:r>
    </w:p>
    <w:p w14:paraId="6E948786" w14:textId="5F6809DD" w:rsidR="00363C36" w:rsidRPr="00363C36" w:rsidRDefault="003035D1" w:rsidP="00363C36">
      <w:pPr>
        <w:pStyle w:val="Style1"/>
      </w:pPr>
      <w:r>
        <w:rPr>
          <w:rFonts w:hint="cs"/>
          <w:rtl/>
        </w:rPr>
        <w:t>4)[</w:t>
      </w:r>
      <w:r>
        <w:rPr>
          <w:rtl/>
        </w:rPr>
        <w:t>שולחן ערוך חושן משפט הלכות אונאה ומקח טעות סימן רמ סעיף ג</w:t>
      </w:r>
      <w:r>
        <w:rPr>
          <w:rFonts w:hint="cs"/>
          <w:rtl/>
        </w:rPr>
        <w:t>]</w:t>
      </w:r>
      <w:r w:rsidR="00363C36">
        <w:rPr>
          <w:rFonts w:hint="cs"/>
          <w:rtl/>
        </w:rPr>
        <w:t xml:space="preserve"> </w:t>
      </w:r>
      <w:r w:rsidR="00363C36" w:rsidRPr="00363C36">
        <w:rPr>
          <w:rtl/>
        </w:rPr>
        <w:t>שני שטרות שזמנם ביום א' והם כתובים על שדה אחד בין במכר בין במתנה אם (אין) דרך אנשי המקום לכתוב שעות הרי הדבר מסור לדיינים כל שדעתם נוטה להעמיד שדה זו בידו יעמידו</w:t>
      </w:r>
      <w:r w:rsidR="00363C36" w:rsidRPr="00363C36">
        <w:t>:</w:t>
      </w:r>
    </w:p>
    <w:p w14:paraId="53201E4F" w14:textId="2CCB97A6" w:rsidR="00363C36" w:rsidRDefault="00363C36" w:rsidP="00363C36">
      <w:pPr>
        <w:pStyle w:val="Style1"/>
        <w:rPr>
          <w:rtl/>
        </w:rPr>
      </w:pPr>
      <w:r w:rsidRPr="00363C36">
        <w:rPr>
          <w:rFonts w:hint="cs"/>
          <w:rtl/>
        </w:rPr>
        <w:t>הגה: וי"א שאין דנין דין שודא דדייני רק בדיין מומחה ובקרקע (טור בשם ר"ח) וי"א דאף במטלטלים כל שאין א' מוחזק בהן (שם בשם ר"י כ"כ התו' שם ובמרדכי)</w:t>
      </w:r>
      <w:r w:rsidRPr="00363C36">
        <w:t>:</w:t>
      </w:r>
    </w:p>
    <w:p w14:paraId="006AF0E2" w14:textId="2E5CDD83" w:rsidR="0079456D" w:rsidRPr="00597625" w:rsidRDefault="0079456D" w:rsidP="0079456D">
      <w:pPr>
        <w:pStyle w:val="Style1"/>
      </w:pPr>
      <w:r>
        <w:rPr>
          <w:rFonts w:hint="cs"/>
          <w:rtl/>
        </w:rPr>
        <w:t>4)[</w:t>
      </w:r>
      <w:r>
        <w:rPr>
          <w:rtl/>
        </w:rPr>
        <w:t>שולחן ערוך חושן משפט הלכות גביית מלוה סימן קד סעיף ח</w:t>
      </w:r>
      <w:r>
        <w:rPr>
          <w:rFonts w:hint="cs"/>
          <w:rtl/>
        </w:rPr>
        <w:t>]</w:t>
      </w:r>
      <w:r w:rsidR="00597625">
        <w:rPr>
          <w:rFonts w:hint="cs"/>
          <w:rtl/>
        </w:rPr>
        <w:t xml:space="preserve"> </w:t>
      </w:r>
      <w:r w:rsidR="00597625" w:rsidRPr="00597625">
        <w:rPr>
          <w:rtl/>
        </w:rPr>
        <w:t>היו עליו בעלי חובות הרבה כולם ביום א' או בשעה אחת במקום שכותבין שעות אין בהם דין קדימה וכל הקודם לגבות זכה בין מקרקעי בין מטלטלי</w:t>
      </w:r>
      <w:r w:rsidR="00597625" w:rsidRPr="00597625">
        <w:t>:</w:t>
      </w:r>
    </w:p>
    <w:p w14:paraId="198578E6" w14:textId="3D1BAC88" w:rsidR="0079456D" w:rsidRPr="00363C36" w:rsidRDefault="0079456D" w:rsidP="0079456D">
      <w:pPr>
        <w:pStyle w:val="Style1"/>
      </w:pPr>
    </w:p>
    <w:p w14:paraId="71DCDC3A" w14:textId="77777777" w:rsidR="00363C36" w:rsidRPr="00363C36" w:rsidRDefault="00363C36" w:rsidP="00363C36">
      <w:pPr>
        <w:pStyle w:val="Style1"/>
      </w:pPr>
    </w:p>
    <w:p w14:paraId="01EEF3AF" w14:textId="16BF1930" w:rsidR="003035D1" w:rsidRDefault="003035D1" w:rsidP="003035D1">
      <w:pPr>
        <w:pStyle w:val="Style1"/>
        <w:rPr>
          <w:rtl/>
        </w:rPr>
      </w:pPr>
    </w:p>
    <w:p w14:paraId="5F87FB37" w14:textId="77777777" w:rsidR="00827115" w:rsidRPr="00827115" w:rsidRDefault="00827115" w:rsidP="00827115">
      <w:pPr>
        <w:pStyle w:val="Style1"/>
      </w:pPr>
    </w:p>
    <w:p w14:paraId="44A73B8F" w14:textId="43AEDE95" w:rsidR="003B6238" w:rsidRPr="00547DEC" w:rsidRDefault="003B6238" w:rsidP="003B6238">
      <w:pPr>
        <w:pStyle w:val="Style1"/>
      </w:pPr>
    </w:p>
    <w:p w14:paraId="61C0F54E" w14:textId="77777777" w:rsidR="00547DEC" w:rsidRPr="00547DEC" w:rsidRDefault="00547DEC" w:rsidP="00547DEC">
      <w:pPr>
        <w:pStyle w:val="Style1"/>
      </w:pPr>
    </w:p>
    <w:p w14:paraId="5414B4B3" w14:textId="77777777" w:rsidR="004908A0" w:rsidRPr="00547DEC" w:rsidRDefault="004908A0" w:rsidP="00547DEC">
      <w:pPr>
        <w:pStyle w:val="Style1"/>
      </w:pPr>
    </w:p>
    <w:p w14:paraId="49B6747A" w14:textId="77777777" w:rsidR="00B37588" w:rsidRPr="00547DEC" w:rsidRDefault="00B37588" w:rsidP="00547DEC">
      <w:pPr>
        <w:pStyle w:val="Style1"/>
      </w:pPr>
    </w:p>
    <w:p w14:paraId="3CC765BF" w14:textId="4FA9F39D" w:rsidR="001450F7" w:rsidRDefault="001450F7" w:rsidP="001450F7">
      <w:pPr>
        <w:pStyle w:val="Style1"/>
        <w:rPr>
          <w:rStyle w:val="Style1Char"/>
          <w:rtl/>
        </w:rPr>
      </w:pPr>
    </w:p>
    <w:p w14:paraId="16AE4956" w14:textId="77777777" w:rsidR="005F1878" w:rsidRPr="00043123" w:rsidRDefault="005F1878" w:rsidP="005F1878">
      <w:pPr>
        <w:bidi/>
        <w:rPr>
          <w:rStyle w:val="Style1Char"/>
          <w:color w:val="00B050"/>
          <w:rtl/>
        </w:rPr>
      </w:pPr>
    </w:p>
    <w:p w14:paraId="374015CD" w14:textId="77777777" w:rsidR="005F1878" w:rsidRDefault="005F1878" w:rsidP="005F1878">
      <w:pPr>
        <w:rPr>
          <w:rStyle w:val="Style1Char"/>
          <w:color w:val="00B050"/>
          <w:rtl/>
        </w:rPr>
      </w:pPr>
      <w:r>
        <w:rPr>
          <w:rStyle w:val="Style1Char"/>
          <w:color w:val="00B050"/>
          <w:rtl/>
        </w:rPr>
        <w:br w:type="page"/>
      </w:r>
    </w:p>
    <w:p w14:paraId="30911DBC" w14:textId="5EFCC457" w:rsidR="005F1878" w:rsidRPr="00EA5594" w:rsidRDefault="005F1878" w:rsidP="005F1878">
      <w:pPr>
        <w:bidi/>
        <w:rPr>
          <w:rStyle w:val="Style1Char"/>
          <w:color w:val="4472C4" w:themeColor="accent1"/>
        </w:rPr>
      </w:pPr>
      <w:r w:rsidRPr="00F06FBB">
        <w:rPr>
          <w:rStyle w:val="Style1Char"/>
          <w:color w:val="00B050"/>
          <w:sz w:val="22"/>
          <w:szCs w:val="22"/>
          <w:highlight w:val="yellow"/>
          <w:rtl/>
        </w:rPr>
        <w:lastRenderedPageBreak/>
        <w:t>[דף צד עמוד ב]</w:t>
      </w:r>
      <w:r w:rsidRPr="00F06FBB">
        <w:rPr>
          <w:rStyle w:val="Style1Char"/>
          <w:color w:val="00B050"/>
          <w:sz w:val="22"/>
          <w:szCs w:val="22"/>
          <w:rtl/>
        </w:rPr>
        <w:t xml:space="preserve"> </w:t>
      </w:r>
      <w:r w:rsidRPr="00DB0EBD">
        <w:rPr>
          <w:rStyle w:val="Style1Char"/>
          <w:color w:val="00B050"/>
          <w:rtl/>
        </w:rPr>
        <w:t xml:space="preserve">ושמואל דאמר כרבי אלעזר, דאמר: </w:t>
      </w:r>
      <w:r w:rsidR="00CD7BF4">
        <w:rPr>
          <w:rStyle w:val="Style1Char"/>
          <w:rFonts w:hint="cs"/>
          <w:rtl/>
        </w:rPr>
        <w:t>(1)</w:t>
      </w:r>
      <w:r w:rsidRPr="00DB0EBD">
        <w:rPr>
          <w:rStyle w:val="Style1Char"/>
          <w:color w:val="00B050"/>
          <w:rtl/>
        </w:rPr>
        <w:t xml:space="preserve">עדי מסירה כרתי! לא, דכולי עלמא כרבי אלעזר, והכא בהא קמיפלגי, רב סבר: חלוקה עדיפא, ושמואל סבר: שודא דדייני עדיפא. ומי מצית מוקמת ליה לרב כר' אלעזר? והאמר רב יהודה אמר רב: הלכה כרבי אלעזר בגיטין, כי אמריתה קמיה דשמואל, אמר: אף בשטרות, מכלל דרב סבר: בשטרות לא! אלא מחוורתא, רב כר"מ ושמואל כרבי אלעזר. מיתיבי: שני שטרות היוצאים ביום אחד - חולקין, תיובתא דשמואל! אמר לך שמואל: הא מני? ר"מ היא, ואנא דאמרי כר' אלעזר. אי ר"מ, אימא סיפא: כתב לאחד ומסר לאחר - זה שמסר לו קנה, ואי רבי מאיר, אמאי קנה? האמר: עדי חתימה כרתי! תנאי היא; דתניא, וחכמים אומרים: יחלוקו, וכאן אמרו: מה שירצה השליש יעשה. </w:t>
      </w:r>
      <w:r w:rsidRPr="005260FE">
        <w:rPr>
          <w:rStyle w:val="Style1Char"/>
          <w:color w:val="auto"/>
          <w:sz w:val="22"/>
          <w:szCs w:val="22"/>
          <w:rtl/>
        </w:rPr>
        <w:t>אמיה דרמי בר חמא כתבתינהו לנכסה לרמי בר חמא בצפרא, לאורתא כתבתינהו למר עוקבא בר חמא</w:t>
      </w:r>
      <w:r w:rsidRPr="00523378">
        <w:rPr>
          <w:rStyle w:val="Style1Char"/>
          <w:color w:val="4472C4" w:themeColor="accent1"/>
          <w:rtl/>
        </w:rPr>
        <w:t xml:space="preserve"> </w:t>
      </w:r>
      <w:r w:rsidRPr="00EA5594">
        <w:rPr>
          <w:rStyle w:val="Style1Char"/>
          <w:color w:val="4472C4" w:themeColor="accent1"/>
          <w:rtl/>
        </w:rPr>
        <w:t>במתנת בריא בשטר בלא קניין הוה ולא נודע למי נמסר שטרא תחלה ואין זה עובדא דפרק מי שמת (דף קנא א) דהתם מתנת שכיב מרע הוה</w:t>
      </w:r>
      <w:r w:rsidRPr="005260FE">
        <w:rPr>
          <w:rStyle w:val="Style1Char"/>
          <w:color w:val="auto"/>
          <w:sz w:val="22"/>
          <w:szCs w:val="22"/>
          <w:rtl/>
        </w:rPr>
        <w:t>. אתא רמי בר חמא לקמיה דרב ששת, אוקמיה בנכסא. אתא מר עוקבא לקמיה דרב נחמן, אוקמיה בנכסא. אתא רב ששת לקמיה דרב נחמן, א"ל: מ"ט עבד מר הכי? א"ל: ומ"ט עבד מר הכי? א"ל: דקדים</w:t>
      </w:r>
      <w:r w:rsidRPr="00DF15C0">
        <w:rPr>
          <w:rStyle w:val="Style1Char"/>
          <w:color w:val="4472C4" w:themeColor="accent1"/>
          <w:rtl/>
        </w:rPr>
        <w:t xml:space="preserve"> </w:t>
      </w:r>
      <w:r w:rsidRPr="00DF15C0">
        <w:rPr>
          <w:rStyle w:val="Style1Char"/>
          <w:color w:val="4472C4" w:themeColor="accent1"/>
          <w:sz w:val="22"/>
          <w:szCs w:val="22"/>
          <w:rtl/>
        </w:rPr>
        <w:t>לכתיבה ומסתמא כיון שנכתב תחלה גם נמסר תחלה כי היה ירא מאחיו שיקדמנו</w:t>
      </w:r>
      <w:r w:rsidRPr="005260FE">
        <w:rPr>
          <w:rStyle w:val="Style1Char"/>
          <w:color w:val="auto"/>
          <w:sz w:val="22"/>
          <w:szCs w:val="22"/>
          <w:rtl/>
        </w:rPr>
        <w:t>, א"ל: אטו בירושלים יתבינן דכתבינן שעות</w:t>
      </w:r>
      <w:r w:rsidRPr="00EA7C85">
        <w:rPr>
          <w:rStyle w:val="Style1Char"/>
          <w:color w:val="4472C4" w:themeColor="accent1"/>
          <w:rtl/>
        </w:rPr>
        <w:t xml:space="preserve"> </w:t>
      </w:r>
      <w:r w:rsidRPr="00EA5594">
        <w:rPr>
          <w:rStyle w:val="Style1Char"/>
          <w:color w:val="4472C4" w:themeColor="accent1"/>
          <w:rtl/>
        </w:rPr>
        <w:t>והואיל ואין ניכר זמן הכתיבה בשטר לא תלינן המסירה בכתיבה</w:t>
      </w:r>
      <w:r w:rsidRPr="005260FE">
        <w:rPr>
          <w:rStyle w:val="Style1Char"/>
          <w:color w:val="auto"/>
          <w:sz w:val="22"/>
          <w:szCs w:val="22"/>
          <w:rtl/>
        </w:rPr>
        <w:t>? אלא מר מאי טעמא עבד הכי? א"ל: שודא דדייני, א"ל: אנא נמי שודא דדייני</w:t>
      </w:r>
      <w:r w:rsidRPr="005260FE">
        <w:rPr>
          <w:rStyle w:val="Style1Char"/>
          <w:color w:val="auto"/>
          <w:rtl/>
        </w:rPr>
        <w:t xml:space="preserve"> </w:t>
      </w:r>
      <w:r w:rsidRPr="00EA7C85">
        <w:rPr>
          <w:rStyle w:val="Style1Char"/>
          <w:color w:val="806000" w:themeColor="accent4" w:themeShade="80"/>
          <w:sz w:val="22"/>
          <w:szCs w:val="22"/>
          <w:rtl/>
        </w:rPr>
        <w:t>עבדי</w:t>
      </w:r>
      <w:r w:rsidRPr="00685EC7">
        <w:rPr>
          <w:rStyle w:val="Style1Char"/>
          <w:sz w:val="22"/>
          <w:szCs w:val="22"/>
          <w:rtl/>
        </w:rPr>
        <w:t xml:space="preserve">! </w:t>
      </w:r>
      <w:r w:rsidRPr="00EA7C85">
        <w:rPr>
          <w:rStyle w:val="Style1Char"/>
          <w:color w:val="auto"/>
          <w:sz w:val="22"/>
          <w:szCs w:val="22"/>
          <w:rtl/>
        </w:rPr>
        <w:t xml:space="preserve">א"ל: חדא, </w:t>
      </w:r>
      <w:r w:rsidR="00D97BFA">
        <w:rPr>
          <w:rStyle w:val="Style1Char"/>
          <w:rFonts w:hint="cs"/>
          <w:rtl/>
        </w:rPr>
        <w:t>(</w:t>
      </w:r>
      <w:r w:rsidR="00BB4A1B">
        <w:rPr>
          <w:rStyle w:val="Style1Char"/>
          <w:rFonts w:hint="cs"/>
          <w:rtl/>
        </w:rPr>
        <w:t>2</w:t>
      </w:r>
      <w:r w:rsidR="00D97BFA">
        <w:rPr>
          <w:rStyle w:val="Style1Char"/>
          <w:rFonts w:hint="cs"/>
          <w:rtl/>
        </w:rPr>
        <w:t>)</w:t>
      </w:r>
      <w:r w:rsidRPr="00EA7C85">
        <w:rPr>
          <w:rStyle w:val="Style1Char"/>
          <w:color w:val="auto"/>
          <w:sz w:val="22"/>
          <w:szCs w:val="22"/>
          <w:rtl/>
        </w:rPr>
        <w:t>דאנא דיינא ומר לאו דיינא; ועוד, מעיקרא לאו בתורת הכי אתית לה</w:t>
      </w:r>
      <w:r w:rsidRPr="0038188A">
        <w:rPr>
          <w:rStyle w:val="Style1Char"/>
          <w:color w:val="C00000"/>
          <w:rtl/>
        </w:rPr>
        <w:t xml:space="preserve"> </w:t>
      </w:r>
      <w:r w:rsidRPr="00EA5594">
        <w:rPr>
          <w:rStyle w:val="Style1Char"/>
          <w:color w:val="4472C4" w:themeColor="accent1"/>
          <w:rtl/>
        </w:rPr>
        <w:t>כתב רבינו חננאל ז"ל קבלה בידינו דשודא דדייני דוקא במקרקעי ודוקא בדיין מומחה דהא רב ששת גברא רבה הוה וא"ל רב נחמן שאינו דיין לעשות שודא דדייני ונראה דגבי מטלטלי נמי שייך שודא דדייני כי ההיא דפ"ק דגיטין (דף יד ב) וכאן אמרו מה שירצה שליש יעשה וקרי ליה בשמעתין שודא דדייני ונ"ל דרבינו חננאל קאמר בשודא דדייני הבא לפני הדיין אבל ההיא דשליש עליו היה מוטל לעשות שודא דדייני</w:t>
      </w:r>
      <w:r w:rsidRPr="00EA5594">
        <w:rPr>
          <w:rStyle w:val="Style1Char"/>
          <w:color w:val="4472C4" w:themeColor="accent1"/>
        </w:rPr>
        <w:t xml:space="preserve">: </w:t>
      </w:r>
    </w:p>
    <w:p w14:paraId="4A2E7AFB" w14:textId="0E9210D5" w:rsidR="005F1878" w:rsidRDefault="005F1878" w:rsidP="005F1878">
      <w:pPr>
        <w:bidi/>
        <w:rPr>
          <w:rStyle w:val="Style1Char"/>
          <w:color w:val="auto"/>
          <w:sz w:val="22"/>
          <w:szCs w:val="22"/>
          <w:rtl/>
        </w:rPr>
      </w:pPr>
      <w:r w:rsidRPr="00A55221">
        <w:rPr>
          <w:rStyle w:val="Style1Char"/>
          <w:color w:val="C00000"/>
          <w:rtl/>
        </w:rPr>
        <w:t>האי עובדא דאימיה דרמי בר חמא מתנת בריא היא בשטרא בלחוד בלא קנין כדתנן [קידושין כ"ו ע"א] נכסים שיש להן אחריות נקנין בכסף בשטר ובחזקה דאי אית ביה קנין הוה קיימא בידיה דמאן דקדים אפילו שעה אחת וכבר פרישנא עיקרי הדא שמעתא פירושא רויחא בלשון ערבי וכתיבנא לה בסוף הדא מסכתא.</w:t>
      </w:r>
      <w:r w:rsidRPr="00DB0EBD">
        <w:rPr>
          <w:rStyle w:val="Style1Char"/>
          <w:color w:val="00B050"/>
          <w:rtl/>
        </w:rPr>
        <w:t xml:space="preserve">. </w:t>
      </w:r>
      <w:r w:rsidR="00BB4A1B">
        <w:rPr>
          <w:rStyle w:val="Style1Char"/>
          <w:rFonts w:hint="cs"/>
          <w:rtl/>
        </w:rPr>
        <w:t>(3)</w:t>
      </w:r>
      <w:r w:rsidRPr="002701CB">
        <w:rPr>
          <w:rStyle w:val="Style1Char"/>
          <w:color w:val="auto"/>
          <w:sz w:val="22"/>
          <w:szCs w:val="22"/>
          <w:rtl/>
        </w:rPr>
        <w:t xml:space="preserve">הנהו תרי שטרי דאתו לקמיה דרב יוסף, חד הוה כתוב בחמשא בניסן, וחד הוה כתוב ביה בניסן סתמא, אוקמיה רב יוסף לההוא דחמשא בניסן בנכסים. אמר ליה אידך: ואנא אפסיד? אמר ליה: את ידך על התחתונה, אימא בר כ"ט בניסן את. א"ל: ונכתוב לי מר </w:t>
      </w:r>
    </w:p>
    <w:p w14:paraId="2EC7293B" w14:textId="0843BEE4" w:rsidR="009B3884" w:rsidRDefault="009B3884" w:rsidP="009B3884">
      <w:pPr>
        <w:pStyle w:val="Style1"/>
        <w:rPr>
          <w:rtl/>
        </w:rPr>
      </w:pPr>
      <w:r>
        <w:rPr>
          <w:rFonts w:hint="cs"/>
          <w:rtl/>
        </w:rPr>
        <w:t>1)[</w:t>
      </w:r>
      <w:r>
        <w:rPr>
          <w:rtl/>
        </w:rPr>
        <w:t>רמב</w:t>
      </w:r>
      <w:r w:rsidR="00C764B2">
        <w:rPr>
          <w:rtl/>
        </w:rPr>
        <w:t>”ם \קנין\</w:t>
      </w:r>
      <w:r>
        <w:rPr>
          <w:rtl/>
        </w:rPr>
        <w:t xml:space="preserve"> הלכות זכיה ומתנה פרק ה הלכה ו</w:t>
      </w:r>
      <w:r>
        <w:rPr>
          <w:rFonts w:hint="cs"/>
          <w:rtl/>
        </w:rPr>
        <w:t xml:space="preserve">] </w:t>
      </w:r>
      <w:r>
        <w:rPr>
          <w:rtl/>
        </w:rPr>
        <w:t>שני שטרות שזמנן ביום אחד והן כתובין על שדה אחת בין במכר בין במתנה, אם דרך אנשי המקום לכתוב שעות כל הקודם זכה, ואם אין דרך המקום לכתוב שעות הרי הדבר מסור לדיינים, כל שדעתם נוטה להעמיד שדה זו בידו יעמידו.</w:t>
      </w:r>
    </w:p>
    <w:p w14:paraId="1B11F5A5" w14:textId="304D4FBF" w:rsidR="00D307F4" w:rsidRDefault="00D307F4" w:rsidP="00D307F4">
      <w:pPr>
        <w:pStyle w:val="Style1"/>
        <w:rPr>
          <w:rtl/>
        </w:rPr>
      </w:pPr>
      <w:r>
        <w:rPr>
          <w:rFonts w:hint="cs"/>
          <w:rtl/>
        </w:rPr>
        <w:t>1)[</w:t>
      </w:r>
      <w:r>
        <w:rPr>
          <w:rtl/>
        </w:rPr>
        <w:t>רמב</w:t>
      </w:r>
      <w:r w:rsidR="00C764B2">
        <w:rPr>
          <w:rtl/>
        </w:rPr>
        <w:t>”ם \קנין\</w:t>
      </w:r>
      <w:r>
        <w:rPr>
          <w:rtl/>
        </w:rPr>
        <w:t xml:space="preserve"> הלכות זכיה ומתנה פרק ה הלכה ז</w:t>
      </w:r>
      <w:r>
        <w:rPr>
          <w:rFonts w:hint="cs"/>
          <w:rtl/>
        </w:rPr>
        <w:t xml:space="preserve">] </w:t>
      </w:r>
      <w:r>
        <w:rPr>
          <w:rtl/>
        </w:rPr>
        <w:t>במה דברים אמורים בשטר שאין בו קנין אלא קנה שדה זו בשטר זה, שאין אנו יודעין מי הוא משניהם שהגיע שטרו לידו תחלה, אבל אם היה בכל שטר מהן קנין כל שקדם לו הקנין זכה וישאלו העדים, וכן אם היו שם עדים שזה הגיע לידו שטר מתנתו תחלה קנה הראשון.</w:t>
      </w:r>
    </w:p>
    <w:p w14:paraId="0947FE86" w14:textId="234835BD" w:rsidR="00514297" w:rsidRDefault="00514297" w:rsidP="00514297">
      <w:pPr>
        <w:pStyle w:val="Style1"/>
        <w:rPr>
          <w:rtl/>
        </w:rPr>
      </w:pPr>
      <w:r>
        <w:rPr>
          <w:rFonts w:hint="cs"/>
          <w:rtl/>
        </w:rPr>
        <w:t>1)[</w:t>
      </w:r>
      <w:r>
        <w:rPr>
          <w:rtl/>
        </w:rPr>
        <w:t>רמב</w:t>
      </w:r>
      <w:r w:rsidR="00213DA1">
        <w:rPr>
          <w:rtl/>
        </w:rPr>
        <w:t>”ם \נשים\</w:t>
      </w:r>
      <w:r>
        <w:rPr>
          <w:rtl/>
        </w:rPr>
        <w:t xml:space="preserve"> הלכות גירושין פרק א הלכה טו</w:t>
      </w:r>
      <w:r>
        <w:rPr>
          <w:rFonts w:hint="cs"/>
          <w:rtl/>
        </w:rPr>
        <w:t xml:space="preserve">] </w:t>
      </w:r>
      <w:r>
        <w:rPr>
          <w:rtl/>
        </w:rPr>
        <w:t>תקנת חכמים היא שיהיו העדים חותמין על הגט, שמא יתן לה גט בפני שנים וימותו ונמצא הגט שבידה כחרש מחרשי אדמה שהרי אין בו עדים, לפיכך תקנו שיעידו מתוכו, ואף על פי שהעדים בתוכו נותנו לה בפני שנים בין אותן העדים החתומין עליו בין בפני שנים אחרים שעיקר הגירושין בעידי מסירה.</w:t>
      </w:r>
    </w:p>
    <w:p w14:paraId="0FF52FF5" w14:textId="1FA6E4C2" w:rsidR="00C05FBB" w:rsidRDefault="00C05FBB" w:rsidP="00C05FBB">
      <w:pPr>
        <w:pStyle w:val="Style1"/>
        <w:rPr>
          <w:rtl/>
        </w:rPr>
      </w:pPr>
      <w:r>
        <w:rPr>
          <w:rFonts w:hint="cs"/>
          <w:rtl/>
        </w:rPr>
        <w:t>1)[</w:t>
      </w:r>
      <w:r>
        <w:rPr>
          <w:rtl/>
        </w:rPr>
        <w:t>רמב</w:t>
      </w:r>
      <w:r w:rsidR="00213DA1">
        <w:rPr>
          <w:rtl/>
        </w:rPr>
        <w:t>”ם \נשים\</w:t>
      </w:r>
      <w:r>
        <w:rPr>
          <w:rtl/>
        </w:rPr>
        <w:t xml:space="preserve"> הלכות גירושין פרק ד הלכה יז</w:t>
      </w:r>
      <w:r>
        <w:rPr>
          <w:rFonts w:hint="cs"/>
          <w:rtl/>
        </w:rPr>
        <w:t xml:space="preserve">] </w:t>
      </w:r>
      <w:r>
        <w:rPr>
          <w:rtl/>
        </w:rPr>
        <w:t>במה דברים אמורים בשהיה הגט יוצא מתחת ידה בעידי חתימה ואין שם עידי מסירה אבל אם יש שם עדים שנמסר לה הגט בפניהם והיה כשר הרי זה כשר אף על פי שהיה תורף הגט על המחק או בין השיטין או שהיה קרוע שתי וערב כשנתן לה בפניהם.</w:t>
      </w:r>
    </w:p>
    <w:p w14:paraId="54E0AE84" w14:textId="5A0FCAC4" w:rsidR="00364401" w:rsidRDefault="00364401" w:rsidP="00364401">
      <w:pPr>
        <w:pStyle w:val="Style1"/>
        <w:rPr>
          <w:rtl/>
        </w:rPr>
      </w:pPr>
      <w:r>
        <w:rPr>
          <w:rFonts w:hint="cs"/>
          <w:rtl/>
        </w:rPr>
        <w:t>1)[</w:t>
      </w:r>
      <w:r>
        <w:rPr>
          <w:rtl/>
        </w:rPr>
        <w:t>רמב</w:t>
      </w:r>
      <w:r w:rsidR="00213DA1">
        <w:rPr>
          <w:rtl/>
        </w:rPr>
        <w:t>”ם \נשים\</w:t>
      </w:r>
      <w:r>
        <w:rPr>
          <w:rtl/>
        </w:rPr>
        <w:t xml:space="preserve"> הלכות גירושין פרק ד הלכה יח</w:t>
      </w:r>
      <w:r>
        <w:rPr>
          <w:rFonts w:hint="cs"/>
          <w:rtl/>
        </w:rPr>
        <w:t xml:space="preserve">] </w:t>
      </w:r>
      <w:r>
        <w:rPr>
          <w:rtl/>
        </w:rPr>
        <w:t>חמשה שכתבו גט אחד לחמש נשותיהן, אם כתבוהו בכלל כגון שכתבו בכך בשבת גירש פלוני לפלונית ופלוני לפלונית וכן אמר כל אחד מהן לאשתו ליכי די תהוייין וכל טופס הגט ושני עדים חותמין מלמטה הרי זה גט כשר וינתן לכל אחת מהן בעידי מסירה, ואם אין שם עידי מסירה כלל כל שתצא מגילה זו מתחת ידה מגורשת. אבל אם כתב בכך בשבת גירש פלוני לפלונית והשלים הגט והתחיל תחתיו גט אחר באותה המגילה וכתב וביום זה או בכך בשבת גירש פלוני לפלונית והשלים הגט השני וכן עד שהשלים כל הגיטין והעדים מלמטה, אם ניתנה מגילה זו לכל אחת מהן בעידי מסירה הרי כולן מגורשות ואם אין שם עידי מסירה והיתה מגילה זו יוצאה מתחת יד אחת מהן אם היתה זו שגיטה באחרונה שהעדים נקראין עמו הרי זו מגורשת ואם היתה המגילה יוצאה מתחת יד אחת מן הראשונות הרי זו ספק מגורשת.</w:t>
      </w:r>
    </w:p>
    <w:p w14:paraId="5E8A9174" w14:textId="3C3CD840" w:rsidR="00FA799B" w:rsidRPr="00FA799B" w:rsidRDefault="00CF0C23" w:rsidP="00FA799B">
      <w:pPr>
        <w:pStyle w:val="Style1"/>
      </w:pPr>
      <w:r>
        <w:rPr>
          <w:rFonts w:hint="cs"/>
          <w:rtl/>
        </w:rPr>
        <w:t>1)[</w:t>
      </w:r>
      <w:r>
        <w:rPr>
          <w:rtl/>
        </w:rPr>
        <w:t>שולחן ערוך חושן משפט הלכות אונאה ומקח טעות סימן רמ סעיף ד</w:t>
      </w:r>
      <w:r>
        <w:rPr>
          <w:rFonts w:hint="cs"/>
          <w:rtl/>
        </w:rPr>
        <w:t>]</w:t>
      </w:r>
      <w:r w:rsidR="00FA799B">
        <w:rPr>
          <w:rFonts w:hint="cs"/>
          <w:rtl/>
        </w:rPr>
        <w:t xml:space="preserve"> </w:t>
      </w:r>
      <w:r w:rsidR="00FA799B" w:rsidRPr="00FA799B">
        <w:rPr>
          <w:rtl/>
        </w:rPr>
        <w:t>בד"א בשטר שאין בו קנין אלא קנה שדה זו בשטר זה שאין אנו יודעים מי הוא משניהם שהגיע שטרו לידו תחילה אבל אם בכל שטר מהם קנין כל שקדם לו הקנין זכה וישאלו העדים וכן אם היו שם עדים שזה הגיע לידו שטר מתנתו תחלה קנה הראשון</w:t>
      </w:r>
      <w:r w:rsidR="00FA799B" w:rsidRPr="00FA799B">
        <w:t>:</w:t>
      </w:r>
    </w:p>
    <w:p w14:paraId="04FAFDE3" w14:textId="169B3D41" w:rsidR="00FA799B" w:rsidRDefault="00FA799B" w:rsidP="00FA799B">
      <w:pPr>
        <w:pStyle w:val="Style1"/>
        <w:rPr>
          <w:rtl/>
        </w:rPr>
      </w:pPr>
      <w:r w:rsidRPr="00FA799B">
        <w:rPr>
          <w:rFonts w:hint="cs"/>
          <w:rtl/>
        </w:rPr>
        <w:t>הגה: מי שנתן מתנה לחבירו ופירש איזה מתנה נתן לו כגון שנתן לו קרקע או מקום בבית הכנסת ומצר לו מצרים ואח"כ נתן לאחר מקום בבית הכנסת סתם או קרקע סתם ולא מצר לו מצרים י"א דאמרי' שמא מקום או קרקע אחרת נתן לשני והמשנה ראשונה קיימת (ריטב"א) וי"א דאמרי' ודאי לא כוון אלא על מקום או קרקע הידוע לו ומאחר שאין יודעים שיש לו מקום או קרקע אחרת קנה השני ודוקא במתנת שכיב מרע שיכול לחזור במתנתו אבל במתנת בריא קנה הראשון מ"מ (ב"י סוף </w:t>
      </w:r>
      <w:hyperlink r:id="rId254" w:tooltip="טור חושן משפט רנג" w:history="1">
        <w:r w:rsidRPr="00FA799B">
          <w:rPr>
            <w:rStyle w:val="Hyperlink"/>
            <w:rFonts w:hint="cs"/>
            <w:color w:val="7030A0"/>
            <w:u w:val="none"/>
            <w:rtl/>
          </w:rPr>
          <w:t>סימן רנ"ג</w:t>
        </w:r>
      </w:hyperlink>
      <w:r w:rsidRPr="00FA799B">
        <w:rPr>
          <w:rFonts w:hint="cs"/>
        </w:rPr>
        <w:t> </w:t>
      </w:r>
      <w:r w:rsidRPr="00FA799B">
        <w:rPr>
          <w:rFonts w:hint="cs"/>
          <w:rtl/>
        </w:rPr>
        <w:t>בשם הרשב"א</w:t>
      </w:r>
      <w:r w:rsidRPr="00FA799B">
        <w:rPr>
          <w:rFonts w:hint="cs"/>
        </w:rPr>
        <w:t>)</w:t>
      </w:r>
      <w:r w:rsidRPr="00FA799B">
        <w:t>:</w:t>
      </w:r>
    </w:p>
    <w:p w14:paraId="721A50D5" w14:textId="098B2223" w:rsidR="009509CC" w:rsidRDefault="009509CC" w:rsidP="009509CC">
      <w:pPr>
        <w:pStyle w:val="Style1"/>
        <w:rPr>
          <w:rtl/>
        </w:rPr>
      </w:pPr>
      <w:r>
        <w:rPr>
          <w:rFonts w:hint="cs"/>
          <w:rtl/>
        </w:rPr>
        <w:t>1)[</w:t>
      </w:r>
      <w:r>
        <w:rPr>
          <w:rtl/>
        </w:rPr>
        <w:t>שולחן ערוך חושן משפט הלכות הלואה סימן נא סעיף ז</w:t>
      </w:r>
      <w:r>
        <w:rPr>
          <w:rFonts w:hint="cs"/>
          <w:rtl/>
        </w:rPr>
        <w:t>]</w:t>
      </w:r>
      <w:r w:rsidR="006362C6">
        <w:rPr>
          <w:rFonts w:hint="cs"/>
          <w:rtl/>
        </w:rPr>
        <w:t xml:space="preserve"> </w:t>
      </w:r>
      <w:r w:rsidR="006362C6" w:rsidRPr="006362C6">
        <w:rPr>
          <w:rtl/>
        </w:rPr>
        <w:t>שטר שנמסר בפני שני עדים גובין ממשעבדי אע"פ שהם (אינן) חתומים בו. ומ"מ אם נמצאו עידי חתימתו פסולים, ואפי' עד אחד מהם פסול -- השטר פסול אע"פ שנמסר בפני עדים כשרים מפני שהוא מזוייף מתוכו</w:t>
      </w:r>
      <w:r w:rsidR="006362C6" w:rsidRPr="006362C6">
        <w:t>:</w:t>
      </w:r>
    </w:p>
    <w:p w14:paraId="39A9406D" w14:textId="6ED93D47" w:rsidR="00D20651" w:rsidRDefault="00D20651" w:rsidP="00D20651">
      <w:pPr>
        <w:pStyle w:val="Style1"/>
        <w:rPr>
          <w:rtl/>
        </w:rPr>
      </w:pPr>
      <w:r>
        <w:rPr>
          <w:rFonts w:hint="cs"/>
          <w:rtl/>
        </w:rPr>
        <w:t>1)[</w:t>
      </w:r>
      <w:r>
        <w:rPr>
          <w:rtl/>
        </w:rPr>
        <w:t>שולחן ערוך אבן העזר הלכות גיטין סימן קל סעיף ו</w:t>
      </w:r>
      <w:r>
        <w:rPr>
          <w:rFonts w:hint="cs"/>
          <w:rtl/>
        </w:rPr>
        <w:t xml:space="preserve">] </w:t>
      </w:r>
      <w:r>
        <w:rPr>
          <w:rtl/>
        </w:rPr>
        <w:t>כל אלו שאמרנו פסול, אם יש כאן עדי מסירה, כשר.</w:t>
      </w:r>
    </w:p>
    <w:p w14:paraId="5531B2D0" w14:textId="256C6239" w:rsidR="00D055EA" w:rsidRPr="00D055EA" w:rsidRDefault="000207B6" w:rsidP="00D055EA">
      <w:pPr>
        <w:pStyle w:val="Style1"/>
      </w:pPr>
      <w:r>
        <w:rPr>
          <w:rFonts w:hint="cs"/>
          <w:rtl/>
        </w:rPr>
        <w:t>1)[</w:t>
      </w:r>
      <w:r>
        <w:rPr>
          <w:rtl/>
        </w:rPr>
        <w:t>שולחן ערוך אבן העזר הלכות גיטין סימן קלג סעיף א</w:t>
      </w:r>
      <w:r>
        <w:rPr>
          <w:rFonts w:hint="cs"/>
          <w:rtl/>
        </w:rPr>
        <w:t>]</w:t>
      </w:r>
      <w:r w:rsidR="00D055EA">
        <w:rPr>
          <w:rFonts w:hint="cs"/>
          <w:rtl/>
        </w:rPr>
        <w:t xml:space="preserve"> </w:t>
      </w:r>
      <w:r w:rsidR="00D055EA" w:rsidRPr="00D055EA">
        <w:rPr>
          <w:rtl/>
        </w:rPr>
        <w:t>צריך שיהיו שני עדים כשרים בשעת מסירת הגט, ושימסר לה הגט בפני שניהם ביחד (ב"י). וכן צריך להחתים עליו עדים לכתחלה, אבל בדיעבד אם לא היו אלא עדי חתימה, ומסרו בינו לבינה, כשר. וכן אם היו עדי מסירה ולא היו בו עדי חתימה, כשר</w:t>
      </w:r>
      <w:r w:rsidR="00D055EA" w:rsidRPr="00D055EA">
        <w:t>.</w:t>
      </w:r>
    </w:p>
    <w:p w14:paraId="6EA5CA99" w14:textId="6703EEB8" w:rsidR="00D055EA" w:rsidRDefault="00D055EA" w:rsidP="00D055EA">
      <w:pPr>
        <w:pStyle w:val="Style1"/>
        <w:rPr>
          <w:rtl/>
        </w:rPr>
      </w:pPr>
      <w:r w:rsidRPr="00D055EA">
        <w:rPr>
          <w:rtl/>
        </w:rPr>
        <w:t>ויש אומרים שאם נודע שנתן לה בלא עדי מסירה, אף על פי שעדים חתומים בו, פסול. ומיהו, כשרואין אותו חתום, תולין שבודאי נמסר בעדי מסירה</w:t>
      </w:r>
      <w:r w:rsidRPr="00D055EA">
        <w:t>. </w:t>
      </w:r>
      <w:r w:rsidRPr="00D055EA">
        <w:rPr>
          <w:rFonts w:hint="cs"/>
          <w:rtl/>
        </w:rPr>
        <w:t>הגה: ועיין לעיל ריש </w:t>
      </w:r>
      <w:hyperlink r:id="rId255" w:tooltip="שולחן ערוך אבן העזר קל" w:history="1">
        <w:r w:rsidRPr="00D055EA">
          <w:rPr>
            <w:rStyle w:val="Hyperlink"/>
            <w:rFonts w:hint="cs"/>
            <w:color w:val="7030A0"/>
            <w:u w:val="none"/>
            <w:rtl/>
          </w:rPr>
          <w:t>סימן ק"ל</w:t>
        </w:r>
      </w:hyperlink>
      <w:r w:rsidRPr="00D055EA">
        <w:rPr>
          <w:rFonts w:hint="cs"/>
        </w:rPr>
        <w:t> </w:t>
      </w:r>
      <w:r w:rsidRPr="00D055EA">
        <w:rPr>
          <w:rFonts w:hint="cs"/>
          <w:rtl/>
        </w:rPr>
        <w:t>דלוקחין כת אחת של עדים לחתימה ולמסירה, ולא שני כתות</w:t>
      </w:r>
      <w:r w:rsidRPr="00D055EA">
        <w:t>:</w:t>
      </w:r>
    </w:p>
    <w:p w14:paraId="550E36F7" w14:textId="5657FE41" w:rsidR="000F4625" w:rsidRPr="000F4625" w:rsidRDefault="00B13BF8" w:rsidP="000F4625">
      <w:pPr>
        <w:pStyle w:val="Style1"/>
      </w:pPr>
      <w:r>
        <w:rPr>
          <w:rFonts w:hint="cs"/>
          <w:rtl/>
        </w:rPr>
        <w:t>2)[</w:t>
      </w:r>
      <w:r>
        <w:rPr>
          <w:rtl/>
        </w:rPr>
        <w:t>שולחן ערוך חושן משפט הלכות אונאה ומקח טעות סימן רמ סעיף ג</w:t>
      </w:r>
      <w:r>
        <w:rPr>
          <w:rFonts w:hint="cs"/>
          <w:rtl/>
        </w:rPr>
        <w:t>]</w:t>
      </w:r>
      <w:r w:rsidR="00714411">
        <w:rPr>
          <w:rFonts w:hint="cs"/>
          <w:rtl/>
        </w:rPr>
        <w:t xml:space="preserve"> </w:t>
      </w:r>
      <w:r w:rsidR="000F4625" w:rsidRPr="000F4625">
        <w:rPr>
          <w:rtl/>
        </w:rPr>
        <w:t>שני שטרות שזמנם ביום א' והם כתובים על שדה אחד בין במכר בין במתנה אם (אין) דרך אנשי המקום לכתוב שעות הרי הדבר מסור לדיינים כל שדעתם נוטה להעמיד שדה זו בידו יעמידו</w:t>
      </w:r>
      <w:r w:rsidR="000F4625" w:rsidRPr="000F4625">
        <w:t>:</w:t>
      </w:r>
    </w:p>
    <w:p w14:paraId="1D5F75BA" w14:textId="7B2343EA" w:rsidR="000F4625" w:rsidRDefault="000F4625" w:rsidP="000F4625">
      <w:pPr>
        <w:pStyle w:val="Style1"/>
        <w:rPr>
          <w:rtl/>
        </w:rPr>
      </w:pPr>
      <w:r w:rsidRPr="000F4625">
        <w:rPr>
          <w:rFonts w:hint="cs"/>
          <w:rtl/>
        </w:rPr>
        <w:lastRenderedPageBreak/>
        <w:t>הגה: וי"א שאין דנין דין שודא דדייני רק בדיין מומחה ובקרקע (טור בשם ר"ח) וי"א דאף במטלטלים כל שאין א' מוחזק בהן (שם בשם ר"י כ"כ התו' שם ובמרדכי)</w:t>
      </w:r>
      <w:r w:rsidRPr="000F4625">
        <w:t>:</w:t>
      </w:r>
    </w:p>
    <w:p w14:paraId="12F16FDC" w14:textId="53EA4856" w:rsidR="0001022C" w:rsidRDefault="0001022C" w:rsidP="0001022C">
      <w:pPr>
        <w:pStyle w:val="Style1"/>
        <w:rPr>
          <w:rtl/>
        </w:rPr>
      </w:pPr>
      <w:r>
        <w:rPr>
          <w:rFonts w:hint="cs"/>
          <w:rtl/>
        </w:rPr>
        <w:t>3)[</w:t>
      </w:r>
      <w:r>
        <w:rPr>
          <w:rtl/>
        </w:rPr>
        <w:t>רמב</w:t>
      </w:r>
      <w:r w:rsidR="0057095E">
        <w:rPr>
          <w:rtl/>
        </w:rPr>
        <w:t>”ם \משפטים\</w:t>
      </w:r>
      <w:r>
        <w:rPr>
          <w:rtl/>
        </w:rPr>
        <w:t xml:space="preserve"> הלכות מלוה ולוה פרק כ הלכה ה</w:t>
      </w:r>
      <w:r>
        <w:rPr>
          <w:rFonts w:hint="cs"/>
          <w:rtl/>
        </w:rPr>
        <w:t xml:space="preserve">] </w:t>
      </w:r>
      <w:r>
        <w:rPr>
          <w:rtl/>
        </w:rPr>
        <w:t>ראובן ושמעון לכל אחד משניהם שטר חוב על לוי ראובן שטרו בה' בניסן ושמעון שטרו בניסן סתם והרי יש ללוי שדה שאינה כדי חוב של שניהם מורידין לתוכה ראובן שמא שטרו של שמעון בסוף ניסן היה, וכן אין שמעון יכול לטרוף מאייר ואילך שהרי הלוקח אומר לו שמא באחד בניסן הוא זמנו של שטרך והרי שדה בת חורין ביד ראובן שתגבה אותה ויבא ראובן שהוא אחר זמנך והוא שיש לו לטרוף ממנו, לפיכך אם כתבו הרשאה זה לזה טורפין מאייר ואילך מכל צד, והוא הדין בראובן ושמעון שמכר להן לוי שדה אחת בשני שטרות שטרו של זה בחמשה בניסן ושטרו של זה בניסן סתם.</w:t>
      </w:r>
    </w:p>
    <w:p w14:paraId="799520B4" w14:textId="470D4EAB" w:rsidR="000F120C" w:rsidRPr="000F120C" w:rsidRDefault="0005040E" w:rsidP="000F120C">
      <w:pPr>
        <w:pStyle w:val="Style1"/>
      </w:pPr>
      <w:r>
        <w:rPr>
          <w:rFonts w:hint="cs"/>
          <w:rtl/>
        </w:rPr>
        <w:t>3)[</w:t>
      </w:r>
      <w:r>
        <w:rPr>
          <w:rtl/>
        </w:rPr>
        <w:t>שולחן ערוך חושן משפט הלכות הלואה סימן מג סעיף כג</w:t>
      </w:r>
      <w:r>
        <w:rPr>
          <w:rFonts w:hint="cs"/>
          <w:rtl/>
        </w:rPr>
        <w:t>]</w:t>
      </w:r>
      <w:r w:rsidR="000F120C">
        <w:rPr>
          <w:rFonts w:hint="cs"/>
          <w:rtl/>
        </w:rPr>
        <w:t xml:space="preserve"> ר</w:t>
      </w:r>
      <w:r w:rsidR="000F120C" w:rsidRPr="000F120C">
        <w:rPr>
          <w:rtl/>
        </w:rPr>
        <w:t>אובן ושמעון שיש לכל אחד מהם שטר על לוי בשל ראובן כתוב בכ"ה (נ"א) בחמש בניסן ובשל שמעון כתוב בניסן סתם ואין ללוי אלא שדה אחת שאין בה כדי חובת שניהם נותנים אותה לראובן דשמא שטרו של שמעון היה בסוף ניסן וכן אין שמעון יכול לטרוף מלקוחות שקנו מלוי מאייר ואילך שיאמרו לו זמנך מא' בניסן והנחנו לך מקום לגבות חובך והוא אותו שדה שגבה ראובן כי שלא כדין גבה שאתה מוקדם לו לפיכך אם יכתבו הרשאה זה לזה יגבו מלקוחות שקנו מאייר ואילך</w:t>
      </w:r>
    </w:p>
    <w:p w14:paraId="0BF35F33" w14:textId="3EB06A4D" w:rsidR="0005040E" w:rsidRPr="000F4625" w:rsidRDefault="0005040E" w:rsidP="0005040E">
      <w:pPr>
        <w:pStyle w:val="Style1"/>
      </w:pPr>
    </w:p>
    <w:p w14:paraId="66320E37" w14:textId="77777777" w:rsidR="000F4625" w:rsidRPr="000F4625" w:rsidRDefault="000F4625" w:rsidP="000F4625">
      <w:pPr>
        <w:pStyle w:val="Style1"/>
      </w:pPr>
    </w:p>
    <w:p w14:paraId="1CE9F7AA" w14:textId="5E758695" w:rsidR="00B13BF8" w:rsidRPr="00D055EA" w:rsidRDefault="00B13BF8" w:rsidP="00B13BF8">
      <w:pPr>
        <w:pStyle w:val="Style1"/>
      </w:pPr>
    </w:p>
    <w:p w14:paraId="2D3FEF30" w14:textId="77777777" w:rsidR="00D055EA" w:rsidRPr="00D055EA" w:rsidRDefault="00D055EA" w:rsidP="00D055EA">
      <w:pPr>
        <w:pStyle w:val="Style1"/>
      </w:pPr>
    </w:p>
    <w:p w14:paraId="1F10CAC0" w14:textId="6B78FB6B" w:rsidR="000207B6" w:rsidRPr="006362C6" w:rsidRDefault="000207B6" w:rsidP="000207B6">
      <w:pPr>
        <w:pStyle w:val="Style1"/>
      </w:pPr>
    </w:p>
    <w:p w14:paraId="5C89A9E6" w14:textId="54D3A5B5" w:rsidR="009509CC" w:rsidRPr="00FA799B" w:rsidRDefault="009509CC" w:rsidP="009509CC">
      <w:pPr>
        <w:pStyle w:val="Style1"/>
      </w:pPr>
    </w:p>
    <w:p w14:paraId="7310B6D4" w14:textId="77777777" w:rsidR="00FA799B" w:rsidRPr="00FA799B" w:rsidRDefault="00FA799B" w:rsidP="00FA799B">
      <w:pPr>
        <w:pStyle w:val="Style1"/>
      </w:pPr>
    </w:p>
    <w:p w14:paraId="54E1D5D5" w14:textId="09D3C354" w:rsidR="00CF0C23" w:rsidRDefault="00CF0C23" w:rsidP="00CF0C23">
      <w:pPr>
        <w:pStyle w:val="Style1"/>
        <w:rPr>
          <w:rtl/>
        </w:rPr>
      </w:pPr>
    </w:p>
    <w:p w14:paraId="386250EB" w14:textId="77777777" w:rsidR="009B3884" w:rsidRPr="002701CB" w:rsidRDefault="009B3884" w:rsidP="009B3884">
      <w:pPr>
        <w:bidi/>
        <w:rPr>
          <w:rStyle w:val="Style1Char"/>
          <w:color w:val="auto"/>
          <w:sz w:val="22"/>
          <w:szCs w:val="22"/>
        </w:rPr>
      </w:pPr>
    </w:p>
    <w:p w14:paraId="7430C62C" w14:textId="77777777" w:rsidR="005F1878" w:rsidRPr="002701CB" w:rsidRDefault="005F1878" w:rsidP="005F1878">
      <w:pPr>
        <w:bidi/>
        <w:rPr>
          <w:rStyle w:val="Style1Char"/>
          <w:sz w:val="22"/>
          <w:szCs w:val="22"/>
        </w:rPr>
      </w:pPr>
    </w:p>
    <w:p w14:paraId="0E2F81C5" w14:textId="77777777" w:rsidR="005F1878" w:rsidRPr="005260FE" w:rsidRDefault="005F1878" w:rsidP="005F1878">
      <w:pPr>
        <w:bidi/>
        <w:rPr>
          <w:rStyle w:val="Style1Char"/>
          <w:sz w:val="22"/>
          <w:szCs w:val="22"/>
          <w:rtl/>
        </w:rPr>
      </w:pPr>
    </w:p>
    <w:p w14:paraId="4F9218BD" w14:textId="77777777" w:rsidR="005F1878" w:rsidRPr="00910455" w:rsidRDefault="005F1878" w:rsidP="005F1878">
      <w:pPr>
        <w:bidi/>
        <w:rPr>
          <w:rStyle w:val="Style1Char"/>
          <w:color w:val="00B050"/>
          <w:rtl/>
        </w:rPr>
      </w:pPr>
    </w:p>
    <w:p w14:paraId="32CBF103" w14:textId="77777777" w:rsidR="005F1878" w:rsidRDefault="005F1878" w:rsidP="005F1878">
      <w:pPr>
        <w:bidi/>
        <w:rPr>
          <w:rStyle w:val="Style1Char"/>
          <w:color w:val="00B050"/>
          <w:rtl/>
        </w:rPr>
      </w:pPr>
    </w:p>
    <w:p w14:paraId="54E9DE93" w14:textId="77777777" w:rsidR="005F1878" w:rsidRDefault="005F1878" w:rsidP="005F1878">
      <w:pPr>
        <w:rPr>
          <w:rStyle w:val="Style1Char"/>
          <w:color w:val="00B050"/>
          <w:rtl/>
        </w:rPr>
      </w:pPr>
      <w:r>
        <w:rPr>
          <w:rStyle w:val="Style1Char"/>
          <w:color w:val="00B050"/>
          <w:rtl/>
        </w:rPr>
        <w:br w:type="page"/>
      </w:r>
    </w:p>
    <w:p w14:paraId="2B0C891E" w14:textId="77777777" w:rsidR="005F1878" w:rsidRDefault="005F1878" w:rsidP="005F1878">
      <w:pPr>
        <w:bidi/>
        <w:rPr>
          <w:rStyle w:val="Style1Char"/>
          <w:sz w:val="22"/>
          <w:szCs w:val="22"/>
        </w:rPr>
      </w:pPr>
      <w:r w:rsidRPr="00DA12D5">
        <w:rPr>
          <w:rStyle w:val="Style1Char"/>
          <w:color w:val="auto"/>
          <w:sz w:val="22"/>
          <w:szCs w:val="22"/>
          <w:highlight w:val="yellow"/>
          <w:rtl/>
        </w:rPr>
        <w:lastRenderedPageBreak/>
        <w:t>[דף צה עמוד א]</w:t>
      </w:r>
      <w:r w:rsidRPr="00DA12D5">
        <w:rPr>
          <w:rStyle w:val="Style1Char"/>
          <w:color w:val="auto"/>
          <w:sz w:val="22"/>
          <w:szCs w:val="22"/>
          <w:rtl/>
        </w:rPr>
        <w:t xml:space="preserve"> טירפא מאייר ואילך! א"ל: יכלי למימר לך את בר חד בניסן את</w:t>
      </w:r>
      <w:r w:rsidRPr="00DA12D5">
        <w:rPr>
          <w:rStyle w:val="Style1Char"/>
          <w:color w:val="auto"/>
          <w:rtl/>
        </w:rPr>
        <w:t xml:space="preserve"> </w:t>
      </w:r>
      <w:r w:rsidRPr="00DA12D5">
        <w:rPr>
          <w:rStyle w:val="Style1Char"/>
          <w:color w:val="806000" w:themeColor="accent4" w:themeShade="80"/>
          <w:sz w:val="22"/>
          <w:szCs w:val="22"/>
          <w:rtl/>
        </w:rPr>
        <w:t>והנחתי לך מקום לגבות ממנו</w:t>
      </w:r>
      <w:r w:rsidRPr="00DB0EBD">
        <w:rPr>
          <w:rStyle w:val="Style1Char"/>
          <w:color w:val="00B050"/>
          <w:rtl/>
        </w:rPr>
        <w:t xml:space="preserve">. </w:t>
      </w:r>
      <w:r w:rsidRPr="00DA12D5">
        <w:rPr>
          <w:rStyle w:val="Style1Char"/>
          <w:color w:val="auto"/>
          <w:sz w:val="22"/>
          <w:szCs w:val="22"/>
          <w:rtl/>
        </w:rPr>
        <w:t xml:space="preserve">מאי תקנתיה? נכתבו הרשאה להדדי. </w:t>
      </w:r>
    </w:p>
    <w:p w14:paraId="1AF503F7" w14:textId="3D54F059" w:rsidR="005F1878" w:rsidRPr="00DE7A96" w:rsidRDefault="005F1878" w:rsidP="005F1878">
      <w:pPr>
        <w:bidi/>
        <w:rPr>
          <w:rStyle w:val="Style1Char"/>
          <w:color w:val="auto"/>
          <w:sz w:val="22"/>
          <w:szCs w:val="22"/>
        </w:rPr>
      </w:pPr>
      <w:r w:rsidRPr="00DE7A96">
        <w:rPr>
          <w:rStyle w:val="Style1Char"/>
          <w:color w:val="auto"/>
          <w:sz w:val="22"/>
          <w:szCs w:val="22"/>
          <w:rtl/>
        </w:rPr>
        <w:t xml:space="preserve">מתני'. </w:t>
      </w:r>
      <w:r w:rsidR="00543BBD">
        <w:rPr>
          <w:rStyle w:val="Style1Char"/>
          <w:rFonts w:hint="cs"/>
          <w:rtl/>
        </w:rPr>
        <w:t>(1)</w:t>
      </w:r>
      <w:r w:rsidRPr="00DE7A96">
        <w:rPr>
          <w:rStyle w:val="Style1Char"/>
          <w:color w:val="auto"/>
          <w:sz w:val="22"/>
          <w:szCs w:val="22"/>
          <w:rtl/>
        </w:rPr>
        <w:t xml:space="preserve">מי שהיה נשוי ב' נשים, ומכר את שדהו, וכתבה ראשונה ללוקח דין ודברים אין לי עמך - השניה מוציאה מהלוקח וראשונה מן השניה והלוקח מן הראשונה, וחוזרות חלילה, עד שיעשו פשרה ביניהם. </w:t>
      </w:r>
      <w:r w:rsidR="002D7ADE">
        <w:rPr>
          <w:rStyle w:val="Style1Char"/>
          <w:rFonts w:hint="cs"/>
          <w:rtl/>
        </w:rPr>
        <w:t>(2)</w:t>
      </w:r>
      <w:r w:rsidRPr="00DE7A96">
        <w:rPr>
          <w:rStyle w:val="Style1Char"/>
          <w:color w:val="auto"/>
          <w:sz w:val="22"/>
          <w:szCs w:val="22"/>
          <w:rtl/>
        </w:rPr>
        <w:t xml:space="preserve">וכן בעל חוב; וכן אשה בעלת חוב. </w:t>
      </w:r>
    </w:p>
    <w:p w14:paraId="44A5D9D2" w14:textId="3C49CD47" w:rsidR="005F1878" w:rsidRDefault="005F1878" w:rsidP="005F1878">
      <w:pPr>
        <w:bidi/>
        <w:rPr>
          <w:rStyle w:val="Style1Char"/>
          <w:color w:val="C00000"/>
          <w:sz w:val="22"/>
          <w:szCs w:val="22"/>
        </w:rPr>
      </w:pPr>
      <w:r w:rsidRPr="000D00C6">
        <w:rPr>
          <w:rStyle w:val="Style1Char"/>
          <w:color w:val="auto"/>
          <w:sz w:val="22"/>
          <w:szCs w:val="22"/>
          <w:rtl/>
        </w:rPr>
        <w:t>גמ'. וכי כתבה ליה מאי הוי? והתניא: האומר לחבירו דין ודברים אין לי על שדה זו, ואין לי עסק בה, וידי מסולקת הימנה - לא אמר כלום! הכא במאי עסקינן - בשקנו מידה. וכי קנו מידה מאי</w:t>
      </w:r>
      <w:r w:rsidRPr="005C2835">
        <w:rPr>
          <w:rStyle w:val="Style1Char"/>
          <w:sz w:val="22"/>
          <w:szCs w:val="22"/>
          <w:rtl/>
        </w:rPr>
        <w:t xml:space="preserve"> </w:t>
      </w:r>
      <w:r w:rsidRPr="00DB0EBD">
        <w:rPr>
          <w:rStyle w:val="Style1Char"/>
          <w:color w:val="00B050"/>
          <w:rtl/>
        </w:rPr>
        <w:t xml:space="preserve">הוי? </w:t>
      </w:r>
      <w:r w:rsidRPr="000D00C6">
        <w:rPr>
          <w:rStyle w:val="Style1Char"/>
          <w:color w:val="auto"/>
          <w:sz w:val="22"/>
          <w:szCs w:val="22"/>
          <w:rtl/>
        </w:rPr>
        <w:t xml:space="preserve">תימא: נחת רוח עשיתי לבעלי! מי לא תנן: </w:t>
      </w:r>
      <w:r w:rsidR="001F2F13">
        <w:rPr>
          <w:rStyle w:val="Style1Char"/>
          <w:rFonts w:hint="cs"/>
          <w:rtl/>
        </w:rPr>
        <w:t>(3)</w:t>
      </w:r>
      <w:r w:rsidRPr="000D00C6">
        <w:rPr>
          <w:rStyle w:val="Style1Char"/>
          <w:color w:val="auto"/>
          <w:sz w:val="22"/>
          <w:szCs w:val="22"/>
          <w:rtl/>
        </w:rPr>
        <w:t xml:space="preserve">לקח מן האיש וחזר ולקח מן האשה - מקחו בטל, אלמא יכולה היא שתאמר: נחת רוח עשיתי לבעלי! </w:t>
      </w:r>
      <w:r w:rsidRPr="002C00A0">
        <w:rPr>
          <w:rStyle w:val="Style1Char"/>
          <w:color w:val="C00000"/>
          <w:sz w:val="22"/>
          <w:szCs w:val="22"/>
          <w:rtl/>
        </w:rPr>
        <w:t xml:space="preserve">הכא נמי יכולה היא שתאמר נחת רוח עשיתי לבעלי </w:t>
      </w:r>
    </w:p>
    <w:p w14:paraId="29A224E2" w14:textId="788897D8" w:rsidR="005F1878" w:rsidRDefault="005F1878" w:rsidP="005F1878">
      <w:pPr>
        <w:bidi/>
        <w:rPr>
          <w:rStyle w:val="Style1Char"/>
          <w:color w:val="00B050"/>
          <w:rtl/>
        </w:rPr>
      </w:pPr>
      <w:r w:rsidRPr="00DB0EBD">
        <w:rPr>
          <w:rStyle w:val="Style1Char"/>
          <w:color w:val="00B050"/>
          <w:rtl/>
        </w:rPr>
        <w:t xml:space="preserve">א"ר זירא אמר רב חסדא, לא קשיא: הא ר"מ, הא ר' יהודה; דתניא: כתב לראשון ולא חתמה לו, לשני וחתמה לו - איבדה כתובתה, דברי ר"מ; ר' יהודה אומר: יכולה היא שתאמר נחת רוח עשיתי לבעלי, אתם מה לכם עלי. ורבי סתם לה הכא כר"מ, וסתם לה התם כר' יהודה? אמר רב פפא: בגרושה ודברי הכל. </w:t>
      </w:r>
      <w:r w:rsidRPr="009A6AB1">
        <w:rPr>
          <w:rStyle w:val="Style1Char"/>
          <w:color w:val="806000" w:themeColor="accent4" w:themeShade="80"/>
          <w:sz w:val="22"/>
          <w:szCs w:val="22"/>
          <w:rtl/>
        </w:rPr>
        <w:t>ופריק</w:t>
      </w:r>
      <w:r w:rsidRPr="009A6AB1">
        <w:rPr>
          <w:rStyle w:val="Style1Char"/>
          <w:color w:val="806000" w:themeColor="accent4" w:themeShade="80"/>
          <w:sz w:val="32"/>
          <w:szCs w:val="32"/>
          <w:rtl/>
        </w:rPr>
        <w:t xml:space="preserve"> </w:t>
      </w:r>
      <w:r w:rsidRPr="009A6AB1">
        <w:rPr>
          <w:rStyle w:val="Style1Char"/>
          <w:color w:val="auto"/>
          <w:sz w:val="22"/>
          <w:szCs w:val="22"/>
          <w:rtl/>
        </w:rPr>
        <w:t>רב אשי</w:t>
      </w:r>
      <w:r w:rsidRPr="00E00483">
        <w:rPr>
          <w:rStyle w:val="Style1Char"/>
          <w:sz w:val="22"/>
          <w:szCs w:val="22"/>
          <w:rtl/>
        </w:rPr>
        <w:t xml:space="preserve"> </w:t>
      </w:r>
      <w:r w:rsidRPr="00E00483">
        <w:rPr>
          <w:rStyle w:val="Style1Char"/>
          <w:color w:val="00B050"/>
          <w:rtl/>
        </w:rPr>
        <w:t>אמר</w:t>
      </w:r>
      <w:r w:rsidRPr="000559BA">
        <w:rPr>
          <w:rStyle w:val="Style1Char"/>
          <w:color w:val="C00000"/>
          <w:rtl/>
        </w:rPr>
        <w:t xml:space="preserve"> </w:t>
      </w:r>
      <w:r w:rsidRPr="009A6AB1">
        <w:rPr>
          <w:rStyle w:val="Style1Char"/>
          <w:color w:val="806000" w:themeColor="accent4" w:themeShade="80"/>
          <w:sz w:val="22"/>
          <w:szCs w:val="22"/>
          <w:rtl/>
        </w:rPr>
        <w:t>מתניתין דהכא דקתני הלוקח מוציא מיד הראשונה ולא מצית למימר נחת רוח עשיתי לבעלי</w:t>
      </w:r>
      <w:r w:rsidRPr="00DB0EBD">
        <w:rPr>
          <w:rStyle w:val="Style1Char"/>
          <w:color w:val="00B050"/>
          <w:rtl/>
        </w:rPr>
        <w:t xml:space="preserve">: כולה ר"מ היא, </w:t>
      </w:r>
      <w:r w:rsidR="001652CD">
        <w:rPr>
          <w:rStyle w:val="Style1Char"/>
          <w:rFonts w:hint="cs"/>
          <w:rtl/>
        </w:rPr>
        <w:t>(3)</w:t>
      </w:r>
      <w:r w:rsidRPr="00DB0EBD">
        <w:rPr>
          <w:rStyle w:val="Style1Char"/>
          <w:color w:val="00B050"/>
          <w:rtl/>
        </w:rPr>
        <w:t xml:space="preserve">ועד כאן לא קאמר ר"מ התם - אלא </w:t>
      </w:r>
      <w:r w:rsidRPr="009A6AB1">
        <w:rPr>
          <w:rStyle w:val="Style1Char"/>
          <w:color w:val="auto"/>
          <w:sz w:val="22"/>
          <w:szCs w:val="22"/>
          <w:rtl/>
        </w:rPr>
        <w:t>בשני לקוחות</w:t>
      </w:r>
      <w:r w:rsidRPr="009A6AB1">
        <w:rPr>
          <w:rStyle w:val="Style1Char"/>
          <w:color w:val="auto"/>
          <w:rtl/>
        </w:rPr>
        <w:t xml:space="preserve"> </w:t>
      </w:r>
      <w:r w:rsidRPr="009A6AB1">
        <w:rPr>
          <w:rStyle w:val="Style1Char"/>
          <w:color w:val="806000" w:themeColor="accent4" w:themeShade="80"/>
          <w:sz w:val="22"/>
          <w:szCs w:val="22"/>
          <w:rtl/>
        </w:rPr>
        <w:t>לחד לא כתבה ליה ולחד כתבה ליה</w:t>
      </w:r>
      <w:r w:rsidRPr="00E00483">
        <w:rPr>
          <w:rStyle w:val="Style1Char"/>
          <w:sz w:val="22"/>
          <w:szCs w:val="22"/>
          <w:rtl/>
        </w:rPr>
        <w:t xml:space="preserve">, </w:t>
      </w:r>
      <w:r w:rsidRPr="009A6AB1">
        <w:rPr>
          <w:rStyle w:val="Style1Char"/>
          <w:color w:val="auto"/>
          <w:sz w:val="22"/>
          <w:szCs w:val="22"/>
          <w:rtl/>
        </w:rPr>
        <w:t>דאמרי לה: אי איתא דנחת רוח עבדת - לקמא איבעי לך למיעבד</w:t>
      </w:r>
      <w:r w:rsidRPr="0059224B">
        <w:rPr>
          <w:rStyle w:val="BalloonTextChar"/>
          <w:rFonts w:asciiTheme="minorHAnsi" w:hAnsiTheme="minorHAnsi" w:cs="Arial"/>
          <w:color w:val="806000" w:themeColor="accent4" w:themeShade="80"/>
          <w:sz w:val="22"/>
          <w:szCs w:val="22"/>
          <w:rtl/>
        </w:rPr>
        <w:t xml:space="preserve"> </w:t>
      </w:r>
      <w:r w:rsidRPr="00A02158">
        <w:rPr>
          <w:rStyle w:val="Style1Char"/>
          <w:color w:val="806000" w:themeColor="accent4" w:themeShade="80"/>
          <w:sz w:val="22"/>
          <w:szCs w:val="22"/>
          <w:rtl/>
        </w:rPr>
        <w:t>כדתניא</w:t>
      </w:r>
      <w:r w:rsidRPr="00DB0EBD">
        <w:rPr>
          <w:rStyle w:val="Style1Char"/>
          <w:color w:val="00B050"/>
          <w:rtl/>
        </w:rPr>
        <w:t xml:space="preserve">: </w:t>
      </w:r>
      <w:r w:rsidRPr="0059224B">
        <w:rPr>
          <w:rStyle w:val="Style1Char"/>
          <w:color w:val="806000" w:themeColor="accent4" w:themeShade="80"/>
          <w:sz w:val="22"/>
          <w:szCs w:val="22"/>
          <w:rtl/>
        </w:rPr>
        <w:t>כתב לראשון ולא חתמה לו, לשני וחתמה לו - איבדה כתובתה</w:t>
      </w:r>
      <w:r w:rsidRPr="0059224B">
        <w:rPr>
          <w:rStyle w:val="Style1Char"/>
          <w:color w:val="806000" w:themeColor="accent4" w:themeShade="80"/>
          <w:rtl/>
        </w:rPr>
        <w:t xml:space="preserve"> </w:t>
      </w:r>
      <w:r w:rsidRPr="00A02158">
        <w:rPr>
          <w:rStyle w:val="Style1Char"/>
          <w:color w:val="806000" w:themeColor="accent4" w:themeShade="80"/>
          <w:sz w:val="22"/>
          <w:szCs w:val="22"/>
          <w:rtl/>
        </w:rPr>
        <w:t>ומתני' דקתני לקח מן האיש וחזר ולקח מן האשה מקחו בטל דאלמא יכולה היא שתאמר נחת רוח עשיתי לבעלי בחד לוקח דליכא למימר לה הכי וכן הלכתא:</w:t>
      </w:r>
      <w:r w:rsidRPr="00A02158">
        <w:rPr>
          <w:rStyle w:val="Style1Char"/>
          <w:color w:val="806000" w:themeColor="accent4" w:themeShade="80"/>
          <w:rtl/>
        </w:rPr>
        <w:t>,</w:t>
      </w:r>
      <w:r w:rsidRPr="00DB0EBD">
        <w:rPr>
          <w:rStyle w:val="Style1Char"/>
          <w:color w:val="00B050"/>
          <w:rtl/>
        </w:rPr>
        <w:t xml:space="preserve">, אבל בלוקח אחד אפילו רבי מאיר מודה, ומתני' - דכתב ליה לאחר. תנן התם: </w:t>
      </w:r>
      <w:r w:rsidR="00AE7E8C">
        <w:rPr>
          <w:rStyle w:val="Style1Char"/>
          <w:rFonts w:hint="cs"/>
          <w:rtl/>
        </w:rPr>
        <w:t>(4)</w:t>
      </w:r>
      <w:r w:rsidRPr="00DB0EBD">
        <w:rPr>
          <w:rStyle w:val="Style1Char"/>
          <w:color w:val="00B050"/>
          <w:rtl/>
        </w:rPr>
        <w:t xml:space="preserve">אין נפרעין מנכסים משועבדים במקום שיש נכסים בני חורין ואפי' הן זיבורית. </w:t>
      </w:r>
      <w:r w:rsidRPr="00472761">
        <w:rPr>
          <w:rStyle w:val="Style1Char"/>
          <w:color w:val="ED7D31" w:themeColor="accent2"/>
          <w:sz w:val="22"/>
          <w:szCs w:val="22"/>
          <w:rtl/>
        </w:rPr>
        <w:t>איבעיא להו: אישתדוף בני חרי מהו דליטרוף ממשעבדי? ת"ש: כתב לראשון ולא חתמה לו, לשני וחתמה לו - איבדה כתובתה</w:t>
      </w:r>
      <w:r w:rsidRPr="00472761">
        <w:rPr>
          <w:rStyle w:val="Style1Char"/>
          <w:color w:val="ED7D31" w:themeColor="accent2"/>
          <w:rtl/>
        </w:rPr>
        <w:t xml:space="preserve"> </w:t>
      </w:r>
      <w:r w:rsidRPr="00472761">
        <w:rPr>
          <w:rStyle w:val="Style1Char"/>
          <w:color w:val="ED7D31" w:themeColor="accent2"/>
          <w:sz w:val="22"/>
          <w:szCs w:val="22"/>
          <w:rtl/>
        </w:rPr>
        <w:t xml:space="preserve">דברי ר"מ; ואי סלקא דעתך אישתדוף בני חרי טריף ממשעבדי, נהי דאיבדה כתובתה משני, מראשון מיהא תיגבי! אמר רב נחמן בר יצחק: מאי איבדה? איבדה משני. אמר רבא, שתי תשובות בדבר: חדא, דאיבדה לגמרי משמע; ועוד תניא: </w:t>
      </w:r>
      <w:r w:rsidR="005F1337">
        <w:rPr>
          <w:rStyle w:val="Style1Char"/>
          <w:rFonts w:hint="cs"/>
          <w:rtl/>
        </w:rPr>
        <w:t>(5)</w:t>
      </w:r>
      <w:r w:rsidRPr="00472761">
        <w:rPr>
          <w:rStyle w:val="Style1Char"/>
          <w:color w:val="ED7D31" w:themeColor="accent2"/>
          <w:sz w:val="22"/>
          <w:szCs w:val="22"/>
          <w:rtl/>
        </w:rPr>
        <w:t xml:space="preserve">לוה מן האחד ומכר נכסיו לשנים, וכתב בעל חוב ללוקח שני דין ודברים אין לי עמך - אין לו על לוקח ראשון כלום, מפני שיכול לומר הנחתי לך מקום לגבות הימנו; </w:t>
      </w:r>
      <w:r w:rsidR="004B69E1">
        <w:rPr>
          <w:rStyle w:val="Style1Char"/>
          <w:rFonts w:hint="cs"/>
          <w:rtl/>
        </w:rPr>
        <w:t>(5)</w:t>
      </w:r>
      <w:r w:rsidRPr="00472761">
        <w:rPr>
          <w:rStyle w:val="Style1Char"/>
          <w:color w:val="ED7D31" w:themeColor="accent2"/>
          <w:sz w:val="22"/>
          <w:szCs w:val="22"/>
          <w:rtl/>
        </w:rPr>
        <w:t>התם איהו דאפסיד נפשיה</w:t>
      </w:r>
      <w:r w:rsidRPr="00DB0EBD">
        <w:rPr>
          <w:rStyle w:val="Style1Char"/>
          <w:color w:val="00B050"/>
          <w:rtl/>
        </w:rPr>
        <w:t xml:space="preserve"> בידים</w:t>
      </w:r>
      <w:r>
        <w:rPr>
          <w:rStyle w:val="Style1Char"/>
          <w:color w:val="00B050"/>
        </w:rPr>
        <w:t xml:space="preserve"> </w:t>
      </w:r>
      <w:r w:rsidRPr="00EA5594">
        <w:rPr>
          <w:rStyle w:val="Style1Char"/>
          <w:color w:val="4472C4" w:themeColor="accent1"/>
          <w:rtl/>
        </w:rPr>
        <w:t>פירש"י וכולה רבא קאמר לה ודחי לשינויא דרב נחמן בר יצחק ובין בעל חוב ובין אשה איהו דאפסיד אנפשיה ולא נהירא לרבינו תם ז"ל דהוה ליה למימר אלא ופי' רבינו תם דפירוקא דרב נחמן הוא והכי פירושא התם בע"ח איהו דאפסיד אנפשיה דידע דסופו לגבות ואפ"ה כתב ליה הלכך לא גבי מראשון אבל אשה ליכא למימר כולי האי איהי דאפסיד אנפשה דהא בשעה שכתבה לו לא היתה עדיין ראויה לגבות בברור דלא ניתנה כתובה ליגבות מחיים וכן פי' רבינו חננאל ז"ל</w:t>
      </w:r>
      <w:r>
        <w:rPr>
          <w:rStyle w:val="Style1Char"/>
          <w:color w:val="4472C4" w:themeColor="accent1"/>
        </w:rPr>
        <w:t xml:space="preserve"> </w:t>
      </w:r>
      <w:r w:rsidRPr="00EA5594">
        <w:rPr>
          <w:rStyle w:val="Style1Char"/>
          <w:color w:val="4472C4" w:themeColor="accent1"/>
          <w:rtl/>
        </w:rPr>
        <w:t>ובכמה מקומות בהש"ס לא חש לשנויי אלא חדא מן הקושיות וגם קמייתא אינה פירכא כ"כ דרב נחמן לא משמע ליה אבדה לגמרי אלא משניוהרמב"ם ז"ל (פי"ז מהלכות אישות הי"ד) והעיטור כתבו דאבדה לגמרי וסוגיא דשמעתא אזלא כרבינו חננאל ורבינו תם וכן עיקר</w:t>
      </w:r>
      <w:r w:rsidRPr="00DB0EBD">
        <w:rPr>
          <w:rStyle w:val="Style1Char"/>
          <w:color w:val="00B050"/>
          <w:rtl/>
        </w:rPr>
        <w:t xml:space="preserve">. א"ל רב יימר לרב אשי: </w:t>
      </w:r>
    </w:p>
    <w:p w14:paraId="655B48D4" w14:textId="0060C3D1" w:rsidR="00901C0F" w:rsidRDefault="00901C0F" w:rsidP="00901C0F">
      <w:pPr>
        <w:pStyle w:val="Style1"/>
        <w:rPr>
          <w:rStyle w:val="Style1Char"/>
          <w:rtl/>
        </w:rPr>
      </w:pPr>
      <w:r>
        <w:rPr>
          <w:rStyle w:val="Style1Char"/>
          <w:rFonts w:hint="cs"/>
          <w:rtl/>
        </w:rPr>
        <w:t>1)[</w:t>
      </w:r>
      <w:r w:rsidRPr="00901C0F">
        <w:rPr>
          <w:rStyle w:val="Style1Char"/>
          <w:rtl/>
        </w:rPr>
        <w:t>רמב</w:t>
      </w:r>
      <w:r w:rsidR="00213DA1">
        <w:rPr>
          <w:rStyle w:val="Style1Char"/>
          <w:rtl/>
        </w:rPr>
        <w:t>”ם \נשים\</w:t>
      </w:r>
      <w:r w:rsidRPr="00901C0F">
        <w:rPr>
          <w:rStyle w:val="Style1Char"/>
          <w:rtl/>
        </w:rPr>
        <w:t xml:space="preserve"> הלכות אישות פרק יז הלכה יב</w:t>
      </w:r>
      <w:r>
        <w:rPr>
          <w:rStyle w:val="Style1Char"/>
          <w:rFonts w:hint="cs"/>
          <w:rtl/>
        </w:rPr>
        <w:t xml:space="preserve">] </w:t>
      </w:r>
      <w:r w:rsidRPr="00901C0F">
        <w:rPr>
          <w:rStyle w:val="Style1Char"/>
          <w:rtl/>
        </w:rPr>
        <w:t>מי שהיו לו שתי נשים ומכר את שדהו וקנו מיד הראשונה שאין לה שיעבוד על שדה זו ואינה טורפת אותה מן הלוקח והיה קנין המועיל שאינה יכולה לטעון בו נחת רוח עשיתי לבעלי ואחר כך מת הבעל או גירש שתיהן, השנייה מוציאה מיד הלוקח שהרי לא קנו מידה ללוקח, והראשונה מוציאה מיד השנייה מפני שהיא קדמה ולא הסירה שיעבודה אלא מעל הלוקח, וכשתחזור השדה לראשונה חוזר הלוקח ומוציאה מידה שהרי קנו מידה לו, וחוזרות חלילה עד שיעשו פשרה ביניהן.</w:t>
      </w:r>
    </w:p>
    <w:p w14:paraId="7771767D" w14:textId="042A40DC" w:rsidR="00923ABE" w:rsidRDefault="00923ABE" w:rsidP="00923ABE">
      <w:pPr>
        <w:pStyle w:val="Style1"/>
        <w:rPr>
          <w:rStyle w:val="Style1Char"/>
          <w:rtl/>
        </w:rPr>
      </w:pPr>
      <w:r>
        <w:rPr>
          <w:rStyle w:val="Style1Char"/>
          <w:rFonts w:hint="cs"/>
          <w:rtl/>
        </w:rPr>
        <w:t>1)[</w:t>
      </w:r>
      <w:r w:rsidRPr="00923ABE">
        <w:rPr>
          <w:rStyle w:val="Style1Char"/>
          <w:rtl/>
        </w:rPr>
        <w:t>שולחן ערוך אבן העזר הלכות כתובות סימן ק סעיף ד</w:t>
      </w:r>
      <w:r>
        <w:rPr>
          <w:rStyle w:val="Style1Char"/>
          <w:rFonts w:hint="cs"/>
          <w:rtl/>
        </w:rPr>
        <w:t xml:space="preserve">] </w:t>
      </w:r>
      <w:r w:rsidRPr="00923ABE">
        <w:rPr>
          <w:rStyle w:val="Style1Char"/>
          <w:rtl/>
        </w:rPr>
        <w:t>מי שהיה נשוי שתי נשים, ומכר את שדהו וקנו מהאשה הראשונה תחלה, ואחר כך ממנו; השניה מוציאה מיד הלוקח, והראשונה מיד השנייה, והלוקח מיד הראשונה וחוזרים חלילה, עד שיעשו פשרה ביניהם.</w:t>
      </w:r>
    </w:p>
    <w:p w14:paraId="6406F489" w14:textId="57642A5E" w:rsidR="00A30C6E" w:rsidRDefault="00A30C6E" w:rsidP="00A30C6E">
      <w:pPr>
        <w:pStyle w:val="Style1"/>
        <w:rPr>
          <w:rStyle w:val="Style1Char"/>
          <w:rtl/>
        </w:rPr>
      </w:pPr>
      <w:r>
        <w:rPr>
          <w:rStyle w:val="Style1Char"/>
          <w:rFonts w:hint="cs"/>
          <w:rtl/>
        </w:rPr>
        <w:t>2)[</w:t>
      </w:r>
      <w:r w:rsidRPr="00A30C6E">
        <w:rPr>
          <w:rStyle w:val="Style1Char"/>
          <w:rtl/>
        </w:rPr>
        <w:t>רמב</w:t>
      </w:r>
      <w:r w:rsidR="0057095E">
        <w:rPr>
          <w:rStyle w:val="Style1Char"/>
          <w:rtl/>
        </w:rPr>
        <w:t>”ם \משפטים\</w:t>
      </w:r>
      <w:r w:rsidRPr="00A30C6E">
        <w:rPr>
          <w:rStyle w:val="Style1Char"/>
          <w:rtl/>
        </w:rPr>
        <w:t xml:space="preserve"> הלכות מלוה ולוה פרק יט הלכה ח</w:t>
      </w:r>
      <w:r>
        <w:rPr>
          <w:rStyle w:val="Style1Char"/>
          <w:rFonts w:hint="cs"/>
          <w:rtl/>
        </w:rPr>
        <w:t xml:space="preserve">] </w:t>
      </w:r>
      <w:r w:rsidRPr="00A30C6E">
        <w:rPr>
          <w:rStyle w:val="Style1Char"/>
          <w:rtl/>
        </w:rPr>
        <w:t xml:space="preserve">מי שלוה מאחד ואחר כך מכר הלוה נכסיו לשנים וכתב בעל חוב ללוקח שני דין ודברים אין לי עמך וקנו מידו אינו יכול לטרוף מלוקח ראשון שהרי אומר לו הנחתי לך מקום לגבות ממנו אצל בעל חובך מן הנכסים שקנה לוקח שני אחרי ואתה הפסדת על עצמך שהרי סלקת עצמך מהן, והוא הדין לאשה בכתובתה אם כתבה לשני, אבדה כתובתה ואינה יכולה לטרוף, אבל אם כתבו לראשון טורפין מן השני, מכר הלוה שדה ללוקח ומכרה לוקח ראשון ללוקח שני וכתב המלוה ללוקח ראשון דין ודברים אין לי עמך וקנו מידו הרי ב"ח טורף מלוקח שני אותה השדה ולוקח ראשון טורף אותה מב"ח שהרי כתב לו ולוקח שני טורף אותה מלוקח ראשון שהרי הוא מכרה לו וב"ח חוזר וטורף משני וחוזרין </w:t>
      </w:r>
      <w:r w:rsidR="00A01F69">
        <w:rPr>
          <w:rStyle w:val="Style1Char"/>
          <w:rFonts w:hint="cs"/>
          <w:rtl/>
        </w:rPr>
        <w:t>ח</w:t>
      </w:r>
      <w:r w:rsidRPr="00A30C6E">
        <w:rPr>
          <w:rStyle w:val="Style1Char"/>
          <w:rtl/>
        </w:rPr>
        <w:t>לילה עד שיעשו פשרה ביניהן וכן האשה בכתובתה. /השגת הראב"ד/ מכר הלוה שדה ללוקח וכו' עד וכן האשה בכתובתה. א"א זה הפירוש למה שאמרו וכן ב"ח ושני לקוחות ובחיי ראשי לא ראיתי בכל ספריו טעות גדולה כזו מכמה תשובות האחד שאין זו החלילה אלא כשמכר הלוקח ראשון לשני באחריות ומשנתנו אין בו הפלגה וקאמר וכן ב"ח, והב' משנתנו הפשרה מתחלה לשלשתן וכאן אין הפשרה אלא לשני ב"ח וא' מן הלקוחות שהרי אחד מן הלקוחות קיבל מעותיו, והג' שאף לב' אין כאן פשרה כי כשיטרוף ב"ח השדה מלוקח שני הלך אצל לוקח ראשון ולקח מעותיו כשיבא לוקח ראשון ויוציא השדה מב"ח אותו ב"ח על מי יחזור והלוקח שני כבר לקח מעותיו והלך לו נמצא הוא לבדו מפסיד, והרביעית שאף לכתחלה אין ב"ח יכול לטרוף מלוקח שני משום דאמר ליה אי שתקת שתקת ואי לא מהדרנא שטרא למריה וכן הדין למי שאבדה לו דרך שדהו, ועל זה הדרך חולקין אפילו הן מאה כשיצאו לגבות כאחת עכ"ל.</w:t>
      </w:r>
    </w:p>
    <w:p w14:paraId="1CF8AB53" w14:textId="0812E64C" w:rsidR="007F7FDE" w:rsidRDefault="007F7FDE" w:rsidP="007F7FDE">
      <w:pPr>
        <w:pStyle w:val="Style1"/>
        <w:rPr>
          <w:rtl/>
        </w:rPr>
      </w:pPr>
      <w:r>
        <w:rPr>
          <w:rStyle w:val="Style1Char"/>
          <w:rFonts w:hint="cs"/>
          <w:rtl/>
        </w:rPr>
        <w:t>2)[</w:t>
      </w:r>
      <w:r w:rsidRPr="007F7FDE">
        <w:rPr>
          <w:rStyle w:val="Style1Char"/>
          <w:rtl/>
        </w:rPr>
        <w:t>שולחן ערוך חושן משפט הלכות אפותיקי סימן קיח סעיף ב</w:t>
      </w:r>
      <w:r>
        <w:rPr>
          <w:rStyle w:val="Style1Char"/>
          <w:rFonts w:hint="cs"/>
          <w:rtl/>
        </w:rPr>
        <w:t>]</w:t>
      </w:r>
      <w:r w:rsidR="00656587">
        <w:rPr>
          <w:rStyle w:val="Style1Char"/>
          <w:rFonts w:hint="cs"/>
          <w:rtl/>
        </w:rPr>
        <w:t xml:space="preserve"> </w:t>
      </w:r>
      <w:r w:rsidR="00656587" w:rsidRPr="00CA7AD4">
        <w:rPr>
          <w:rtl/>
        </w:rPr>
        <w:t>מכר הלוה שדה ללוקח ומכר אחריה שדה שניה ללוקח שני וכתב המלוה ללוקח שני דין ודברים אין לי עמך וקנו מידו הרי ב"ח טורף מהלוקח ראשון שדה ראשונה ולוקח ראשון טורף מלוקח שני שדה שניה שהרי קנה אחריו וב"ח טורף אותה מלוקח ראשון ולוקח שני מוציאה אותה מב"ח שהרי כתב לו (דין ודברים אין לי עמך) ולוקח ראשון חוזר וטורף משני וחוזרים חלילה עד שיעשו פשרה ביניהם וכן האשה בכתובתה והוא שהיה החוב כנגד שתי השדות</w:t>
      </w:r>
      <w:r w:rsidR="00656587" w:rsidRPr="00CA7AD4">
        <w:t>:</w:t>
      </w:r>
    </w:p>
    <w:p w14:paraId="5819B019" w14:textId="38D70EFA" w:rsidR="00E0476E" w:rsidRDefault="00E0476E" w:rsidP="00E0476E">
      <w:pPr>
        <w:pStyle w:val="Style1"/>
        <w:rPr>
          <w:rtl/>
        </w:rPr>
      </w:pPr>
      <w:r>
        <w:rPr>
          <w:rFonts w:hint="cs"/>
          <w:rtl/>
        </w:rPr>
        <w:t>3)[</w:t>
      </w:r>
      <w:r>
        <w:rPr>
          <w:rtl/>
        </w:rPr>
        <w:t>רמב</w:t>
      </w:r>
      <w:r w:rsidR="00213DA1">
        <w:rPr>
          <w:rtl/>
        </w:rPr>
        <w:t>”ם \נשים\</w:t>
      </w:r>
      <w:r>
        <w:rPr>
          <w:rtl/>
        </w:rPr>
        <w:t xml:space="preserve"> הלכות אישות פרק יז הלכה יא</w:t>
      </w:r>
      <w:r>
        <w:rPr>
          <w:rFonts w:hint="cs"/>
          <w:rtl/>
        </w:rPr>
        <w:t xml:space="preserve">] </w:t>
      </w:r>
      <w:r>
        <w:rPr>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 וכן אם מכר הבעל ואמר לאשתו לכתוב ללוקח דין ודברים אין לי עמך ולא כתבה ולא הסכימה למעשיו ונפסד המכר וחזר הבעל ומכר לאיש אחר בין אותה שדה בין שדה אחרת ואחר שמכר הבעל הסכימה למעשיו וקנו מידה שאין לה שיעבוד על שדה זו אינה יכולה לטרוף, שאינה יכולה לומר נחת רוח עשיתי לבעלי שהרי בראשונה כשלא רצת לא הלכה ברצון בעלה.</w:t>
      </w:r>
    </w:p>
    <w:p w14:paraId="0F7000D6" w14:textId="636ADABE" w:rsidR="00AC70D0" w:rsidRDefault="00AC70D0" w:rsidP="00AC70D0">
      <w:pPr>
        <w:pStyle w:val="Style1"/>
        <w:rPr>
          <w:rtl/>
        </w:rPr>
      </w:pPr>
      <w:r>
        <w:rPr>
          <w:rFonts w:hint="cs"/>
          <w:rtl/>
        </w:rPr>
        <w:lastRenderedPageBreak/>
        <w:t>3)[</w:t>
      </w:r>
      <w:r>
        <w:rPr>
          <w:rtl/>
        </w:rPr>
        <w:t>רמב</w:t>
      </w:r>
      <w:r w:rsidR="00786216">
        <w:rPr>
          <w:rtl/>
        </w:rPr>
        <w:t>”ם \מכירה\</w:t>
      </w:r>
      <w:r>
        <w:rPr>
          <w:rtl/>
        </w:rPr>
        <w:t xml:space="preserve"> הלכות מכירה פרק ל הלכה ג</w:t>
      </w:r>
      <w:r>
        <w:rPr>
          <w:rFonts w:hint="cs"/>
          <w:rtl/>
        </w:rPr>
        <w:t xml:space="preserve">] </w:t>
      </w:r>
      <w:r>
        <w:rPr>
          <w:rtl/>
        </w:rPr>
        <w:t>וכן האשה שמכרה או נתנה מתנה, בין בנכסי בעלה בין בנכסי צאן ברזל שהכניסה לו, בין בדברים שייחד לה בכתובתה בין בנכסי מלוג, בין בקרקעות בין במטלטלין, וכן אם לקחה או נתנה [לה מתנה] יד הבעל על העליונה ואם רצה לקיים יקיים אם רצה לבטל יבטל הכל, אבל הבעל שמכר או נתן בין קרקע שהכניסה לו אשתו בכתובתה או קרקע שהכניס לה שום א משלו, בין קרקע שייחד לה בכתובתה, אף על פי שקנו מיד האשה אחר שקיימה מעשיו הרי כל מה שעשה בטל מפני שהיא אומרת נחת רוח עשיתי לבעלי.</w:t>
      </w:r>
    </w:p>
    <w:p w14:paraId="026D9EC2" w14:textId="439C7D84" w:rsidR="004A3F4B" w:rsidRPr="004A3F4B" w:rsidRDefault="00D15A5C" w:rsidP="004A3F4B">
      <w:pPr>
        <w:pStyle w:val="Style1"/>
      </w:pPr>
      <w:r>
        <w:rPr>
          <w:rFonts w:hint="cs"/>
          <w:rtl/>
        </w:rPr>
        <w:t>3)[</w:t>
      </w:r>
      <w:r w:rsidR="004D6E1B">
        <w:rPr>
          <w:rtl/>
        </w:rPr>
        <w:t>שולחן ערוך אבן העזר הלכות כתובות סימן צ סעיף יז</w:t>
      </w:r>
      <w:r>
        <w:rPr>
          <w:rFonts w:hint="cs"/>
          <w:rtl/>
        </w:rPr>
        <w:t>]</w:t>
      </w:r>
      <w:r w:rsidR="004A3F4B">
        <w:rPr>
          <w:rFonts w:hint="cs"/>
          <w:rtl/>
        </w:rPr>
        <w:t xml:space="preserve"> </w:t>
      </w:r>
      <w:r w:rsidR="004A3F4B" w:rsidRPr="004A3F4B">
        <w:rPr>
          <w:rtl/>
        </w:rPr>
        <w:t>הבעל שמכר נכסיו, ואחר כך כתבה אשתו ללוקח: "דין ודברים אין לי עמך", והסכימה למעשיו, אף על פי שקנו ממנו, הרי זו טורפת, שלא כתבה לו אלא כדי שלא תהיה בינה לבין בעלה קטטה, ויש לה לומר: נחת רוח עשיתי לבעלי. ואפלו כתבה לו שלא תוכל לומר נחת רוח עשיתי לבעלי, אינו כלום. אבל אם קנו מיד האשה תחלה שאין לה שעבוד על מקום זה, ואחר כך מכר אותו הבעל, אינה טורפת אותו. וכן אם מכר הבעל ואמר לאשתו לכתב ללוקח: דין ודברים אין לי עמך, ולא הסכימה למעשיו, וחזר הבעל ומכר לאיש אחר, בין אותה שדה בין שדה אחרת, ואחר שמכר הבעל הסכימה למעשיו, וקנו מידה שאין לה שעבוד על שדה זו, אינה יכולה למחות, שאינה יכולה לומר: נחת רוח עשיתי לבעלי. וכן אם קבלה עליה אחריות בפרוש שאם יטרף בעל חוב של בעלה ממנו שהיא תשלם לו, אינה יכולה לטען: נחת רוח עשיתי לבעלי</w:t>
      </w:r>
      <w:r w:rsidR="004A3F4B" w:rsidRPr="004A3F4B">
        <w:t>.</w:t>
      </w:r>
    </w:p>
    <w:p w14:paraId="42701EFD" w14:textId="2815E2E1" w:rsidR="004A3F4B" w:rsidRDefault="004A3F4B" w:rsidP="004A3F4B">
      <w:pPr>
        <w:pStyle w:val="Style1"/>
        <w:rPr>
          <w:rtl/>
        </w:rPr>
      </w:pPr>
      <w:r w:rsidRPr="004A3F4B">
        <w:rPr>
          <w:rFonts w:hint="cs"/>
          <w:rtl/>
        </w:rPr>
        <w:t>הגה: ויש אומרים דאם האשה קבלה המעות אינה יכולה לומר עוד: נחת רוח עשיתי לבעלי (נמוקי יוסף פרק חזקת ובמישרים נתיב כ"ג חלק ד'). אשה שהודית שחייבת עם בעלה, צריכה לשלם ולא יכולה למימר בזה: נחת רוח עשיתי לבעלי, דלא אמרינן כן אלא בנכסים שמוכר (בית יוסף בשם תשובת הרמב"ן). אשה שסלקה כחה מנכסי בעלה קדם שקנאן הבעל, יכול למכרן אחר כך ואינה טורפת מהן, ולא שייך בזה לומר: נחת רוח עשיתי לבעלי (מרדכי ריש הכותב ובהגהות מימוני פרק כ"ג)</w:t>
      </w:r>
      <w:r w:rsidRPr="004A3F4B">
        <w:t>:</w:t>
      </w:r>
    </w:p>
    <w:p w14:paraId="23C08FDE" w14:textId="151E499B" w:rsidR="004D6E1B" w:rsidRDefault="006E5CD5" w:rsidP="00442E1C">
      <w:pPr>
        <w:pStyle w:val="Style1"/>
        <w:rPr>
          <w:rtl/>
        </w:rPr>
      </w:pPr>
      <w:r>
        <w:rPr>
          <w:rFonts w:hint="cs"/>
          <w:rtl/>
        </w:rPr>
        <w:t>3)[</w:t>
      </w:r>
      <w:r>
        <w:rPr>
          <w:rtl/>
        </w:rPr>
        <w:t>שולחן ערוך אבן העזר הלכות כתובות סימן ק סעיף ג</w:t>
      </w:r>
      <w:r>
        <w:rPr>
          <w:rFonts w:hint="cs"/>
          <w:rtl/>
        </w:rPr>
        <w:t>]</w:t>
      </w:r>
      <w:r w:rsidR="00442E1C">
        <w:rPr>
          <w:rFonts w:hint="cs"/>
          <w:rtl/>
        </w:rPr>
        <w:t xml:space="preserve"> </w:t>
      </w:r>
      <w:r w:rsidR="00442E1C" w:rsidRPr="00442E1C">
        <w:rPr>
          <w:rtl/>
        </w:rPr>
        <w:t>שלמו השלשים יום ולא הביא ב"ד כותבין אדרכתא מיד על נכסיו ואם לא ימצאו לו נכסים אין מנדין אותו אבל אם יאמר איני רוצה לשלם כותבין אדרכתא על נכסיו ואם אין מוצאין לו נכסים מתרין בו בה"ב ואח"כ מנדין אותו ועומד [בנידויו] עד שישלם לו או עד שיטעון שאין לו כלום וישבע על זה ואם עמד בנדויו ל' יום ולא תבעו להתיר נדויו מנדין אותו ל' יום ואם עמד בהם מחרימים אותו ומשפטי הנידוי והחרם נתבאר בטור </w:t>
      </w:r>
      <w:hyperlink r:id="rId256" w:tooltip="טור יורה דעה שלד" w:history="1">
        <w:r w:rsidR="00442E1C" w:rsidRPr="00442E1C">
          <w:rPr>
            <w:rStyle w:val="Hyperlink"/>
            <w:color w:val="7030A0"/>
            <w:u w:val="none"/>
            <w:rtl/>
          </w:rPr>
          <w:t>יורה דעה סי' של"ד</w:t>
        </w:r>
      </w:hyperlink>
      <w:r w:rsidR="00442E1C" w:rsidRPr="00442E1C">
        <w:t>:</w:t>
      </w:r>
    </w:p>
    <w:p w14:paraId="45FA81FF" w14:textId="5E2D19C4" w:rsidR="009C2EAB" w:rsidRDefault="009C2EAB" w:rsidP="009C2EAB">
      <w:pPr>
        <w:pStyle w:val="Style1"/>
        <w:rPr>
          <w:rtl/>
        </w:rPr>
      </w:pPr>
      <w:r>
        <w:rPr>
          <w:rFonts w:hint="cs"/>
          <w:rtl/>
        </w:rPr>
        <w:t>4)[</w:t>
      </w:r>
      <w:r>
        <w:rPr>
          <w:rtl/>
        </w:rPr>
        <w:t>רמב</w:t>
      </w:r>
      <w:r w:rsidR="0057095E">
        <w:rPr>
          <w:rtl/>
        </w:rPr>
        <w:t>”ם \משפטים\</w:t>
      </w:r>
      <w:r>
        <w:rPr>
          <w:rtl/>
        </w:rPr>
        <w:t xml:space="preserve"> הלכות מלוה ולוה פרק יח הלכה א</w:t>
      </w:r>
      <w:r>
        <w:rPr>
          <w:rFonts w:hint="cs"/>
          <w:rtl/>
        </w:rPr>
        <w:t xml:space="preserve">] </w:t>
      </w:r>
      <w:r>
        <w:rPr>
          <w:rtl/>
        </w:rPr>
        <w:t>המלוה את חבירו סתם הרי כל נכסיו אחראין וערבאין לחוב זה, לפיכך כשיבא לגבות תובע את בעל חובו תחלה אם מצא עמו נכסים בין מטלטלין בין קרקעות גובה מהן ברצון הלוה, ואם לא נתן הלוה מדעתו מגבין אותו ב"ד, לא הספיק לו כל הנמצא כנגד שטר חובו הרי זה גובה מכל הקרקעות שהיו ללוה אף על פי שהן עתה מכורין לאחרים או נתונים במתנה, הואיל ומכר הלוה או נתן אחר שנשתעבד בחוב זה ה"ז מוציא מיד הלקוחות או מיד בעלי המתנות וזהו הנקרא טורף, בד"א בקרקעות שהיו לו בעת שלוה, אבל נכסים הבאין לו לאחר שלוה לא נשתעבדו לב"ח ואינו טורפן, ואם התנה עליו שכל נכסים שיקנה יהיו משועבדין להפרע מהן וקנה אחר שלוה ומכר או נתן הרי בעל חוב טורף מהן.</w:t>
      </w:r>
    </w:p>
    <w:p w14:paraId="46F9E814" w14:textId="224E46F2" w:rsidR="00E358BB" w:rsidRDefault="00E358BB" w:rsidP="00E358BB">
      <w:pPr>
        <w:pStyle w:val="Style1"/>
        <w:rPr>
          <w:rtl/>
        </w:rPr>
      </w:pPr>
      <w:r>
        <w:rPr>
          <w:rFonts w:hint="cs"/>
          <w:rtl/>
        </w:rPr>
        <w:t>4)[</w:t>
      </w:r>
      <w:r>
        <w:rPr>
          <w:rtl/>
        </w:rPr>
        <w:t>רמב</w:t>
      </w:r>
      <w:r w:rsidR="0057095E">
        <w:rPr>
          <w:rtl/>
        </w:rPr>
        <w:t>”ם \משפטים\</w:t>
      </w:r>
      <w:r>
        <w:rPr>
          <w:rtl/>
        </w:rPr>
        <w:t xml:space="preserve"> הלכות מלוה ולוה פרק יט הלכה ב</w:t>
      </w:r>
      <w:r>
        <w:rPr>
          <w:rFonts w:hint="cs"/>
          <w:rtl/>
        </w:rPr>
        <w:t xml:space="preserve">] </w:t>
      </w:r>
      <w:r>
        <w:rPr>
          <w:rtl/>
        </w:rPr>
        <w:t>אין נפרעים מנכסים משועבדין במקום שיש נכסים בני חורין ואפילו היו בני חורין זיבורית והמשועבדים בינונית או עידית בין שמכרם בין שנתנם, נשתדפו בני חורין ה"ז טורף מן המשועבדין שכיון שנשחתו כאילו אינם.</w:t>
      </w:r>
    </w:p>
    <w:p w14:paraId="3826BCA0" w14:textId="55A8E1FC" w:rsidR="00C92929" w:rsidRPr="00C92929" w:rsidRDefault="00F754F9" w:rsidP="00C92929">
      <w:pPr>
        <w:pStyle w:val="Style1"/>
      </w:pPr>
      <w:r>
        <w:rPr>
          <w:rFonts w:hint="cs"/>
          <w:rtl/>
        </w:rPr>
        <w:t>4)[</w:t>
      </w:r>
      <w:r>
        <w:rPr>
          <w:rtl/>
        </w:rPr>
        <w:t>שולחן ערוך חושן משפט הלכות גביית חוב מנכסים משועבדים סימן קיא סעיף ח</w:t>
      </w:r>
      <w:r>
        <w:rPr>
          <w:rFonts w:hint="cs"/>
          <w:rtl/>
        </w:rPr>
        <w:t>]</w:t>
      </w:r>
      <w:r w:rsidR="00C92929">
        <w:rPr>
          <w:rFonts w:hint="cs"/>
          <w:rtl/>
        </w:rPr>
        <w:t xml:space="preserve"> </w:t>
      </w:r>
      <w:r w:rsidR="00C92929" w:rsidRPr="00C92929">
        <w:rPr>
          <w:rtl/>
        </w:rPr>
        <w:t>בד"א שטורף ממשעבדי כשאינו מוציא ביד הלוה בני חרי לגבות חובו מהם אבל אם מצא ביד הלוה בני חרי לגבות אפילו הם זיבורית לא יטרוף ממשעבדי לא שנא אם הם לקוחות או מקבלי מתנה לפיכך אם נתן הלוה מתנה לאחרים וכתב להם ק"ק לפלוני וש' לפלוני ות' לפלוני ואין בנכסיו כדי שיספיק לכולם אין אומרים כל הקודם בשטר זכה אלא חולקים הנכסים לט' חלקים ויקח בעל הק"ק ב' חלקים ובעל הש' ג' חלקים ובעל הת' ד' חלקים ואם יצא עליהם שטר חוב גובה מכולם וכפי החלוקה יפרע כל אחד מחלקו אבל אם אמר ק"ק זוז לפלוני ואחריו ש' לפלוני ואחריו ת' לפלוני כל הקודם בשטר זכה לפיכך יצא עליהם שט"ח גובה מהאחרון ואם אינו מספיק גובה משלפניו ואם אינו מספיק גובה משלפני פניו</w:t>
      </w:r>
      <w:r w:rsidR="00C92929" w:rsidRPr="00C92929">
        <w:t>:</w:t>
      </w:r>
    </w:p>
    <w:p w14:paraId="411F22F6" w14:textId="362567BB" w:rsidR="00C92929" w:rsidRDefault="00C92929" w:rsidP="00C92929">
      <w:pPr>
        <w:pStyle w:val="Style1"/>
        <w:rPr>
          <w:rtl/>
        </w:rPr>
      </w:pPr>
      <w:r w:rsidRPr="00C92929">
        <w:rPr>
          <w:rFonts w:hint="cs"/>
          <w:rtl/>
        </w:rPr>
        <w:t>הגה: י"א דה"ה אם אמר ר' זוז לפלוני ור' זוז לפלוני ור' לפלוני דמאחר דנותן לכולם בשוה ולא כללם ביחד הוי כאילו אמר אחריו לפלוני (הרא"ש סוף פרק יש נוחלין) ויש חולקין (המ"מ פ"י מהל' זכייה בשם הסכמת המפרשים)</w:t>
      </w:r>
      <w:r w:rsidRPr="00C92929">
        <w:t>:</w:t>
      </w:r>
    </w:p>
    <w:p w14:paraId="49BCE3AE" w14:textId="3602BB5D" w:rsidR="00312D99" w:rsidRDefault="00312D99" w:rsidP="00312D99">
      <w:pPr>
        <w:pStyle w:val="Style1"/>
        <w:rPr>
          <w:rStyle w:val="Style1Char"/>
          <w:rtl/>
        </w:rPr>
      </w:pPr>
      <w:r>
        <w:rPr>
          <w:rStyle w:val="Style1Char"/>
          <w:rFonts w:hint="cs"/>
          <w:rtl/>
        </w:rPr>
        <w:t>5)[</w:t>
      </w:r>
      <w:r w:rsidRPr="00A30C6E">
        <w:rPr>
          <w:rStyle w:val="Style1Char"/>
          <w:rtl/>
        </w:rPr>
        <w:t>רמב</w:t>
      </w:r>
      <w:r w:rsidR="0057095E">
        <w:rPr>
          <w:rStyle w:val="Style1Char"/>
          <w:rtl/>
        </w:rPr>
        <w:t>”ם \משפטים\</w:t>
      </w:r>
      <w:r w:rsidRPr="00A30C6E">
        <w:rPr>
          <w:rStyle w:val="Style1Char"/>
          <w:rtl/>
        </w:rPr>
        <w:t xml:space="preserve"> הלכות מלוה ולוה פרק יט הלכה ח</w:t>
      </w:r>
      <w:r>
        <w:rPr>
          <w:rStyle w:val="Style1Char"/>
          <w:rFonts w:hint="cs"/>
          <w:rtl/>
        </w:rPr>
        <w:t xml:space="preserve">] </w:t>
      </w:r>
      <w:r w:rsidRPr="00A30C6E">
        <w:rPr>
          <w:rStyle w:val="Style1Char"/>
          <w:rtl/>
        </w:rPr>
        <w:t xml:space="preserve">מי שלוה מאחד ואחר כך מכר הלוה נכסיו לשנים וכתב בעל חוב ללוקח שני דין ודברים אין לי עמך וקנו מידו אינו יכול לטרוף מלוקח ראשון שהרי אומר לו הנחתי לך מקום לגבות ממנו אצל בעל חובך מן הנכסים שקנה לוקח שני אחרי ואתה הפסדת על עצמך שהרי סלקת עצמך מהן, והוא הדין לאשה בכתובתה אם כתבה לשני, אבדה כתובתה ואינה יכולה לטרוף, אבל אם כתבו לראשון טורפין מן השני, מכר הלוה שדה ללוקח ומכרה לוקח ראשון ללוקח שני וכתב המלוה ללוקח ראשון דין ודברים אין לי עמך וקנו מידו הרי ב"ח טורף מלוקח שני אותה השדה ולוקח ראשון טורף אותה מב"ח שהרי כתב לו ולוקח שני טורף אותה מלוקח ראשון שהרי הוא מכרה לו וב"ח חוזר וטורף משני וחוזרין </w:t>
      </w:r>
      <w:r>
        <w:rPr>
          <w:rStyle w:val="Style1Char"/>
          <w:rFonts w:hint="cs"/>
          <w:rtl/>
        </w:rPr>
        <w:t>ח</w:t>
      </w:r>
      <w:r w:rsidRPr="00A30C6E">
        <w:rPr>
          <w:rStyle w:val="Style1Char"/>
          <w:rtl/>
        </w:rPr>
        <w:t>לילה עד שיעשו פשרה ביניהן וכן האשה בכתובתה. /השגת הראב"ד/ מכר הלוה שדה ללוקח וכו' עד וכן האשה בכתובתה. א"א זה הפירוש למה שאמרו וכן ב"ח ושני לקוחות ובחיי ראשי לא ראיתי בכל ספריו טעות גדולה כזו מכמה תשובות האחד שאין זו החלילה אלא כשמכר הלוקח ראשון לשני באחריות ומשנתנו אין בו הפלגה וקאמר וכן ב"ח, והב' משנתנו הפשרה מתחלה לשלשתן וכאן אין הפשרה אלא לשני ב"ח וא' מן הלקוחות שהרי אחד מן הלקוחות קיבל מעותיו, והג' שאף לב' אין כאן פשרה כי כשיטרוף ב"ח השדה מלוקח שני הלך אצל לוקח ראשון ולקח מעותיו כשיבא לוקח ראשון ויוציא השדה מב"ח אותו ב"ח על מי יחזור והלוקח שני כבר לקח מעותיו והלך לו נמצא הוא לבדו מפסיד, והרביעית שאף לכתחלה אין ב"ח יכול לטרוף מלוקח שני משום דאמר ליה אי שתקת שתקת ואי לא מהדרנא שטרא למריה וכן הדין למי שאבדה לו דרך שדהו, ועל זה הדרך חולקין אפילו הן מאה כשיצאו לגבות כאחת עכ"ל.</w:t>
      </w:r>
    </w:p>
    <w:p w14:paraId="1FF9D25B" w14:textId="77777777" w:rsidR="007B7A26" w:rsidRPr="007B7A26" w:rsidRDefault="00312D99" w:rsidP="007B7A26">
      <w:pPr>
        <w:pStyle w:val="Style1"/>
      </w:pPr>
      <w:r>
        <w:rPr>
          <w:rStyle w:val="Style1Char"/>
          <w:rFonts w:hint="cs"/>
          <w:rtl/>
        </w:rPr>
        <w:t>5)[</w:t>
      </w:r>
      <w:r w:rsidRPr="007F7FDE">
        <w:rPr>
          <w:rStyle w:val="Style1Char"/>
          <w:rtl/>
        </w:rPr>
        <w:t xml:space="preserve">שולחן ערוך חושן משפט הלכות אפותיקי סימן קיח סעיף </w:t>
      </w:r>
      <w:r w:rsidR="007B7A26">
        <w:rPr>
          <w:rStyle w:val="Style1Char"/>
          <w:rFonts w:hint="cs"/>
          <w:rtl/>
        </w:rPr>
        <w:t>א</w:t>
      </w:r>
      <w:r>
        <w:rPr>
          <w:rStyle w:val="Style1Char"/>
          <w:rFonts w:hint="cs"/>
          <w:rtl/>
        </w:rPr>
        <w:t>]</w:t>
      </w:r>
      <w:r w:rsidR="007B7A26">
        <w:rPr>
          <w:rStyle w:val="Style1Char"/>
          <w:rFonts w:hint="cs"/>
          <w:rtl/>
        </w:rPr>
        <w:t xml:space="preserve"> </w:t>
      </w:r>
      <w:r w:rsidR="007B7A26" w:rsidRPr="007B7A26">
        <w:rPr>
          <w:rtl/>
        </w:rPr>
        <w:t>לוה שמכר נכסיו לשנים זה אחר זה וכתב בעל חוב ללוקח שני דין ודברים אין לי עמך וקנו מידו אינו יכול לטרוף מלוקח ראשון שהרי אומר לו הנחתי לך מקום לגבות אצל בעל חובך מהנכסים שקנה לוקח שני אחרי ואתה הפסדת על עצמך שהרי סילקת עצמך מהם והוא הדין לאשה בכתובתה אם כתבה לשני אבדה כתובתה ואינה יכולה לטרוף אבל אם כתבו לראשון טורפים מהשני</w:t>
      </w:r>
      <w:r w:rsidR="007B7A26" w:rsidRPr="007B7A26">
        <w:t>:</w:t>
      </w:r>
    </w:p>
    <w:p w14:paraId="4E07A867" w14:textId="4E144AD9" w:rsidR="007B7A26" w:rsidRDefault="007B7A26" w:rsidP="007B7A26">
      <w:pPr>
        <w:pStyle w:val="Style1"/>
        <w:rPr>
          <w:rtl/>
        </w:rPr>
      </w:pPr>
      <w:r w:rsidRPr="007B7A26">
        <w:rPr>
          <w:rFonts w:hint="cs"/>
          <w:rtl/>
        </w:rPr>
        <w:t>הגה: ואם הראשון מכר הקרקע שקנה לאחר אינו טורפה מהשני כמו שאין טורפה אם נשארה ביד הראשון (טור וכ"כ הראב"ד בהשגתו שם והמגיד)</w:t>
      </w:r>
      <w:r w:rsidRPr="007B7A26">
        <w:t>:</w:t>
      </w:r>
    </w:p>
    <w:p w14:paraId="516D0651" w14:textId="5F9F9C25" w:rsidR="00C92929" w:rsidRPr="00A2308A" w:rsidRDefault="00163F97" w:rsidP="00A2308A">
      <w:pPr>
        <w:pStyle w:val="Style1"/>
      </w:pPr>
      <w:r>
        <w:rPr>
          <w:rFonts w:hint="cs"/>
          <w:rtl/>
        </w:rPr>
        <w:t>5)[</w:t>
      </w:r>
      <w:r>
        <w:rPr>
          <w:rtl/>
        </w:rPr>
        <w:t>שולחן ערוך חושן משפט הלכות גביית חוב מנכסים משועבדים סימן קיא סעיף יב</w:t>
      </w:r>
      <w:r>
        <w:rPr>
          <w:rFonts w:hint="cs"/>
          <w:rtl/>
        </w:rPr>
        <w:t>]</w:t>
      </w:r>
      <w:r w:rsidR="00A2308A">
        <w:rPr>
          <w:rFonts w:hint="cs"/>
          <w:rtl/>
        </w:rPr>
        <w:t xml:space="preserve"> </w:t>
      </w:r>
      <w:r w:rsidR="00A2308A" w:rsidRPr="00A2308A">
        <w:rPr>
          <w:rtl/>
        </w:rPr>
        <w:t>הניחו הלקוחות בני חורין ביד הלוה ונתקלקלו בעל חוב טורף מהלקוחות ודוקא נתקלקלו אבל לא נתקלקלו אלא שאינו יכול לגבות מהם מחמת פשיעתו כגון שסילק שעבודו מהם ולקח בקנין שלא יגבה מהם אינו גובה מהלקוחות שיאמרו לו הנחנו לך מקום לגבות ממנו</w:t>
      </w:r>
      <w:r w:rsidR="00A2308A" w:rsidRPr="00A2308A">
        <w:t>:</w:t>
      </w:r>
    </w:p>
    <w:p w14:paraId="3C3D0D0A" w14:textId="60A3600E" w:rsidR="00F754F9" w:rsidRPr="00442E1C" w:rsidRDefault="00F754F9" w:rsidP="00F754F9">
      <w:pPr>
        <w:pStyle w:val="Style1"/>
      </w:pPr>
    </w:p>
    <w:p w14:paraId="3D6F4222" w14:textId="1AD316B2" w:rsidR="007F7FDE" w:rsidRPr="00442E1C" w:rsidRDefault="007F7FDE" w:rsidP="00442E1C">
      <w:pPr>
        <w:pStyle w:val="Style1"/>
        <w:rPr>
          <w:rStyle w:val="Style1Char"/>
        </w:rPr>
      </w:pPr>
    </w:p>
    <w:p w14:paraId="4C6DB28A" w14:textId="77777777" w:rsidR="005F1878" w:rsidRPr="00EA5594" w:rsidRDefault="005F1878" w:rsidP="005F1878">
      <w:pPr>
        <w:bidi/>
        <w:rPr>
          <w:rStyle w:val="Style1Char"/>
          <w:color w:val="4472C4" w:themeColor="accent1"/>
        </w:rPr>
      </w:pPr>
      <w:r w:rsidRPr="00EA5594">
        <w:rPr>
          <w:rStyle w:val="Style1Char"/>
          <w:color w:val="4472C4" w:themeColor="accent1"/>
        </w:rPr>
        <w:t>:</w:t>
      </w:r>
    </w:p>
    <w:p w14:paraId="27673A11" w14:textId="77777777" w:rsidR="005F1878" w:rsidRPr="00472761" w:rsidRDefault="005F1878" w:rsidP="005F1878">
      <w:pPr>
        <w:bidi/>
        <w:rPr>
          <w:rStyle w:val="Style1Char"/>
          <w:color w:val="00B050"/>
          <w:rtl/>
        </w:rPr>
      </w:pPr>
    </w:p>
    <w:p w14:paraId="213B4A92" w14:textId="77777777" w:rsidR="005F1878" w:rsidRDefault="005F1878" w:rsidP="005F1878">
      <w:pPr>
        <w:rPr>
          <w:rStyle w:val="Style1Char"/>
          <w:color w:val="00B050"/>
          <w:rtl/>
        </w:rPr>
      </w:pPr>
      <w:r>
        <w:rPr>
          <w:rStyle w:val="Style1Char"/>
          <w:color w:val="00B050"/>
          <w:rtl/>
        </w:rPr>
        <w:br w:type="page"/>
      </w:r>
    </w:p>
    <w:p w14:paraId="7AA8935C" w14:textId="6532D5EB" w:rsidR="005F1878" w:rsidRDefault="005F1878" w:rsidP="005F1878">
      <w:pPr>
        <w:bidi/>
        <w:rPr>
          <w:rStyle w:val="Style1Char"/>
          <w:color w:val="auto"/>
          <w:sz w:val="32"/>
          <w:szCs w:val="32"/>
          <w:rtl/>
        </w:rPr>
      </w:pPr>
      <w:r w:rsidRPr="00F06FBB">
        <w:rPr>
          <w:rStyle w:val="Style1Char"/>
          <w:color w:val="00B050"/>
          <w:sz w:val="22"/>
          <w:szCs w:val="22"/>
          <w:highlight w:val="yellow"/>
          <w:rtl/>
        </w:rPr>
        <w:lastRenderedPageBreak/>
        <w:t>[דף צה עמוד ב]</w:t>
      </w:r>
      <w:r w:rsidRPr="00F06FBB">
        <w:rPr>
          <w:rStyle w:val="Style1Char"/>
          <w:color w:val="00B050"/>
          <w:sz w:val="22"/>
          <w:szCs w:val="22"/>
          <w:rtl/>
        </w:rPr>
        <w:t xml:space="preserve"> </w:t>
      </w:r>
      <w:r w:rsidRPr="00DB0EBD">
        <w:rPr>
          <w:rStyle w:val="Style1Char"/>
          <w:color w:val="00B050"/>
          <w:rtl/>
        </w:rPr>
        <w:t xml:space="preserve">והא מעשים בכל יום, דההוא גברא דמישכן ליה פרדיסא לחבריה לעשר שנין וקש לחמש שנין, ואתא לקמייהו דרבנן וכתבו ליה טירפא! התם נמי אינהו הוא דאפסידו אנפשייהו, כיון דהוו ידעי דפרדיסא עביד דקיש, לא איבעי להו למיזבן. </w:t>
      </w:r>
      <w:r w:rsidR="005457C5">
        <w:rPr>
          <w:rStyle w:val="Style1Char"/>
          <w:rFonts w:hint="cs"/>
          <w:rtl/>
        </w:rPr>
        <w:t>(1)</w:t>
      </w:r>
      <w:r w:rsidRPr="0039609E">
        <w:rPr>
          <w:rStyle w:val="Style1Char"/>
          <w:color w:val="ED7D31" w:themeColor="accent2"/>
          <w:sz w:val="22"/>
          <w:szCs w:val="22"/>
          <w:rtl/>
        </w:rPr>
        <w:t xml:space="preserve">והלכתא: אישתדוף בני חרי טרפא ממשעבדי. </w:t>
      </w:r>
      <w:r w:rsidRPr="00DB0EBD">
        <w:rPr>
          <w:rStyle w:val="Style1Char"/>
          <w:color w:val="00B050"/>
          <w:rtl/>
        </w:rPr>
        <w:t xml:space="preserve">אמר אביי: </w:t>
      </w:r>
      <w:r w:rsidR="004A4339">
        <w:rPr>
          <w:rStyle w:val="Style1Char"/>
          <w:rFonts w:hint="cs"/>
          <w:rtl/>
        </w:rPr>
        <w:t>(2)</w:t>
      </w:r>
      <w:r w:rsidRPr="00DB0EBD">
        <w:rPr>
          <w:rStyle w:val="Style1Char"/>
          <w:color w:val="00B050"/>
          <w:rtl/>
        </w:rPr>
        <w:t xml:space="preserve">נכסי ליך ואחריך לפלוני, ועמדה וניסת - בעל לוקח הוי, ואין לאחריך במקום בעל כלום. כמאן? כי האי תנא; דתניא: נכסי ליך ואחריך לפלוני, ירד הראשון ומכר - השני מוציא מיד הלקוחות, דברי רבי; רשב"ג אומר: </w:t>
      </w:r>
      <w:r w:rsidR="002C24E8">
        <w:rPr>
          <w:rStyle w:val="Style1Char"/>
          <w:rFonts w:hint="cs"/>
          <w:rtl/>
        </w:rPr>
        <w:t>(2.3, 3)</w:t>
      </w:r>
      <w:r w:rsidRPr="00DB0EBD">
        <w:rPr>
          <w:rStyle w:val="Style1Char"/>
          <w:color w:val="00B050"/>
          <w:rtl/>
        </w:rPr>
        <w:t xml:space="preserve">אין לשני אלא מה ששייר ראשון. ומי אמר אביי הכי? והאמר אביי: </w:t>
      </w:r>
      <w:r w:rsidR="007C2C5A">
        <w:rPr>
          <w:rStyle w:val="Style1Char"/>
          <w:rFonts w:hint="cs"/>
          <w:rtl/>
        </w:rPr>
        <w:t>(4)</w:t>
      </w:r>
      <w:r w:rsidRPr="00DB0EBD">
        <w:rPr>
          <w:rStyle w:val="Style1Char"/>
          <w:color w:val="00B050"/>
          <w:rtl/>
        </w:rPr>
        <w:t xml:space="preserve">איזהו רשע ערום? זה המשיא עצה למכור בנכסים כרשב"ג! מי קאמר תינשא? נשאת קאמר. ואמר אביי: נכסי ליך ואחריך לפלוני, ומכרה ומתה - הבעל מוציא מיד הלקוחות, ואחריך מיד בעל, ולוקח מיד אחריך, ומוקמינן לכולהו בידא דלוקח. מאי שנא מהא דתנן: וחוזרות חלילה, עד שיעשו פשרה ביניהן? התם אית להו פסידא לכולהו, הכא לוקח הוא דאית ליה פסידא. אזל רפרם אמר לשמעתא קמיה דרב אשי, מי אמר אביי הכי? והאמר אביי: נכסי ליך ואחריך לפלוני, עמדה וניסת - בעל לוקח הוי, ואין לאחריך במקום בעל כלום! א"ל: התם דאמר לה כשהיא פנויה, </w:t>
      </w:r>
      <w:r w:rsidR="0065066D">
        <w:rPr>
          <w:rStyle w:val="Style1Char"/>
          <w:rFonts w:hint="cs"/>
          <w:rtl/>
        </w:rPr>
        <w:t>(2)</w:t>
      </w:r>
      <w:r w:rsidRPr="00DB0EBD">
        <w:rPr>
          <w:rStyle w:val="Style1Char"/>
          <w:color w:val="00B050"/>
          <w:rtl/>
        </w:rPr>
        <w:t xml:space="preserve">הכא דאמר לה כשהיא נשואה; מאי קאמר לה? אחריך ליקני, בעל לא ליקני. </w:t>
      </w:r>
      <w:r w:rsidRPr="0039609E">
        <w:rPr>
          <w:rStyle w:val="Style1Char"/>
          <w:color w:val="auto"/>
          <w:sz w:val="22"/>
          <w:szCs w:val="22"/>
          <w:rtl/>
        </w:rPr>
        <w:t>וכן בעל חוב</w:t>
      </w:r>
      <w:r w:rsidRPr="0039609E">
        <w:rPr>
          <w:rStyle w:val="Style1Char"/>
          <w:color w:val="auto"/>
          <w:rtl/>
        </w:rPr>
        <w:t xml:space="preserve"> </w:t>
      </w:r>
      <w:r w:rsidRPr="00D04517">
        <w:rPr>
          <w:rStyle w:val="Style1Char"/>
          <w:color w:val="C00000"/>
          <w:sz w:val="22"/>
          <w:szCs w:val="22"/>
          <w:rtl/>
        </w:rPr>
        <w:t>וכן אשה בעלת חוב:</w:t>
      </w:r>
      <w:r w:rsidRPr="00D04517">
        <w:rPr>
          <w:rStyle w:val="Style1Char"/>
          <w:sz w:val="22"/>
          <w:szCs w:val="22"/>
          <w:rtl/>
        </w:rPr>
        <w:t xml:space="preserve">. </w:t>
      </w:r>
      <w:r w:rsidRPr="0039609E">
        <w:rPr>
          <w:rStyle w:val="Style1Char"/>
          <w:color w:val="auto"/>
          <w:sz w:val="22"/>
          <w:szCs w:val="22"/>
          <w:rtl/>
        </w:rPr>
        <w:t xml:space="preserve">תנא: </w:t>
      </w:r>
      <w:r w:rsidR="009C1628">
        <w:rPr>
          <w:rStyle w:val="Style1Char"/>
          <w:rFonts w:hint="cs"/>
          <w:rtl/>
        </w:rPr>
        <w:t>(5)</w:t>
      </w:r>
      <w:r w:rsidRPr="0039609E">
        <w:rPr>
          <w:rStyle w:val="Style1Char"/>
          <w:color w:val="auto"/>
          <w:sz w:val="22"/>
          <w:szCs w:val="22"/>
          <w:rtl/>
        </w:rPr>
        <w:t>וכן בעל חוב ושני לקוחות; וכן אשה בעלת חוב ושני לקוחות.</w:t>
      </w:r>
      <w:r w:rsidRPr="0039609E">
        <w:rPr>
          <w:rStyle w:val="Style1Char"/>
          <w:color w:val="auto"/>
          <w:sz w:val="32"/>
          <w:szCs w:val="32"/>
          <w:rtl/>
        </w:rPr>
        <w:t xml:space="preserve"> </w:t>
      </w:r>
    </w:p>
    <w:p w14:paraId="3CCEFF73" w14:textId="5CBEDCC1" w:rsidR="005457C5" w:rsidRDefault="005457C5" w:rsidP="005457C5">
      <w:pPr>
        <w:pStyle w:val="Style1"/>
        <w:rPr>
          <w:rStyle w:val="Style1Char"/>
          <w:rtl/>
        </w:rPr>
      </w:pPr>
      <w:r>
        <w:rPr>
          <w:rStyle w:val="Style1Char"/>
          <w:rFonts w:hint="cs"/>
          <w:rtl/>
        </w:rPr>
        <w:t>1)[</w:t>
      </w:r>
      <w:r w:rsidRPr="005457C5">
        <w:rPr>
          <w:rStyle w:val="Style1Char"/>
          <w:rtl/>
        </w:rPr>
        <w:t>רמב</w:t>
      </w:r>
      <w:r w:rsidR="0057095E">
        <w:rPr>
          <w:rStyle w:val="Style1Char"/>
          <w:rtl/>
        </w:rPr>
        <w:t>”ם \משפטים\</w:t>
      </w:r>
      <w:r w:rsidRPr="005457C5">
        <w:rPr>
          <w:rStyle w:val="Style1Char"/>
          <w:rtl/>
        </w:rPr>
        <w:t xml:space="preserve"> הלכות מלוה ולוה פרק יט הלכה ב</w:t>
      </w:r>
      <w:r>
        <w:rPr>
          <w:rStyle w:val="Style1Char"/>
          <w:rFonts w:hint="cs"/>
          <w:rtl/>
        </w:rPr>
        <w:t xml:space="preserve">] </w:t>
      </w:r>
      <w:r w:rsidRPr="005457C5">
        <w:rPr>
          <w:rStyle w:val="Style1Char"/>
          <w:rtl/>
        </w:rPr>
        <w:t>אין נפרעים מנכסים משועבדין במקום שיש נכסים בני חורין ואפילו היו בני חורין זיבורית והמשועבדים בינונית או עידית בין שמכרם בין שנתנם, נשתדפו בני חורין ה"ז טורף מן המשועבדין שכיון שנשחתו כאילו אינם.</w:t>
      </w:r>
    </w:p>
    <w:p w14:paraId="57CFF13F" w14:textId="780D22DB" w:rsidR="00262601" w:rsidRDefault="00262601" w:rsidP="00262601">
      <w:pPr>
        <w:pStyle w:val="Style1"/>
        <w:rPr>
          <w:rtl/>
        </w:rPr>
      </w:pPr>
      <w:r>
        <w:rPr>
          <w:rFonts w:hint="cs"/>
          <w:rtl/>
        </w:rPr>
        <w:t>1)[</w:t>
      </w:r>
      <w:r>
        <w:rPr>
          <w:rtl/>
        </w:rPr>
        <w:t>שולחן ערוך חושן משפט הלכות גביית חוב מנכסים משועבדים סימן קיא סעיף יב</w:t>
      </w:r>
      <w:r>
        <w:rPr>
          <w:rFonts w:hint="cs"/>
          <w:rtl/>
        </w:rPr>
        <w:t xml:space="preserve">] </w:t>
      </w:r>
      <w:r w:rsidRPr="00A2308A">
        <w:rPr>
          <w:rtl/>
        </w:rPr>
        <w:t>הניחו הלקוחות בני חורין ביד הלוה ונתקלקלו בעל חוב טורף מהלקוחות ודוקא נתקלקלו אבל לא נתקלקלו אלא שאינו יכול לגבות מהם מחמת פשיעתו כגון שסילק שעבודו מהם ולקח בקנין שלא יגבה מהם אינו גובה מהלקוחות שיאמרו לו הנחנו לך מקום לגבות ממנו</w:t>
      </w:r>
      <w:r w:rsidRPr="00A2308A">
        <w:t>:</w:t>
      </w:r>
    </w:p>
    <w:p w14:paraId="2AFF2F6F" w14:textId="0E7C48C7" w:rsidR="00EF4096" w:rsidRDefault="00EF4096" w:rsidP="00EF4096">
      <w:pPr>
        <w:pStyle w:val="Style1"/>
        <w:rPr>
          <w:rtl/>
        </w:rPr>
      </w:pPr>
      <w:r>
        <w:rPr>
          <w:rFonts w:hint="cs"/>
          <w:rtl/>
        </w:rPr>
        <w:t>2)[</w:t>
      </w:r>
      <w:r>
        <w:rPr>
          <w:rtl/>
        </w:rPr>
        <w:t>רמב</w:t>
      </w:r>
      <w:r w:rsidR="00C764B2">
        <w:rPr>
          <w:rtl/>
        </w:rPr>
        <w:t>”ם \קנין\</w:t>
      </w:r>
      <w:r>
        <w:rPr>
          <w:rtl/>
        </w:rPr>
        <w:t xml:space="preserve"> הלכות זכיה ומתנה פרק יב הלכה יב</w:t>
      </w:r>
      <w:r>
        <w:rPr>
          <w:rFonts w:hint="cs"/>
          <w:rtl/>
        </w:rPr>
        <w:t xml:space="preserve">] </w:t>
      </w:r>
      <w:r>
        <w:rPr>
          <w:rtl/>
        </w:rPr>
        <w:t>שכיב מרע שאמר לאשה פנויה נכסי לך ואחריך לפלוני ועמדה ונשאת, בעל לוקח הוא ואין השני מוציא מיד הבעל, ואם אמר לה כשהיא נשואה נכסי ליך ואחריך לפלוני ומתה, השני מוציא מיד הבעל, שכיון שזכתה בנכסים על תנאי זה כשהיא נשואה נמצא כאילו אמר לה בפירוש אחריך יקנה פלוני לא הבעל, לפיכך אם מכרה נכסים אלו כשהיא תחת בעלה ומתה תחת בעלה יעמדו נכסים ביד הלוקח שאם יוציא הבעל מיד הלוקח מפני שמכרה כשהיא נשואה הרי השני מוציא מיד הבעל והלוקח חוזר ומוציא מיד השני, שהרי מכרה לו ואין לו אלא מה ששייר ראשון, ואין בשלשתן מי שהוציא ממון אלא הלוקח, ולפיכך תעמוד בידו, מעשה באחד שאמר נכסי לאמי ואחריה ליורשי והיתה לו בת נשואה ומתה הבת בחיי בעלה ובחיי אם אביה ואחר כך מתה הזקנה, ואמרו חכמים אין הבעל יורש אותן נכסים מפני שהן ראויין לאשתו ולא זכתה בהן האשה אלא אחר שמתה, אבל אם הניחה הבת בן או בת היו יורשין הנכסים, שמשמע יורשין ואפילו יורשי יורשין, ואילו אמר וכשתמות הזקנה הרי הן לבתי מעכשיו, היה הבעל יורש אותן אחר מיתת אשתו.</w:t>
      </w:r>
    </w:p>
    <w:p w14:paraId="067E0BCA" w14:textId="790FE710" w:rsidR="00F51A36" w:rsidRDefault="00102C50" w:rsidP="00F51A36">
      <w:pPr>
        <w:pStyle w:val="Style1"/>
        <w:rPr>
          <w:rtl/>
        </w:rPr>
      </w:pPr>
      <w:r>
        <w:rPr>
          <w:rFonts w:hint="cs"/>
          <w:rtl/>
        </w:rPr>
        <w:t>2)[</w:t>
      </w:r>
      <w:r>
        <w:rPr>
          <w:rtl/>
        </w:rPr>
        <w:t>שולחן ערוך חושן משפט הלכות מתנה סימן רמח סעיף ח</w:t>
      </w:r>
      <w:r>
        <w:rPr>
          <w:rFonts w:hint="cs"/>
          <w:rtl/>
        </w:rPr>
        <w:t>]</w:t>
      </w:r>
      <w:r w:rsidR="00F51A36">
        <w:rPr>
          <w:rFonts w:hint="cs"/>
          <w:rtl/>
        </w:rPr>
        <w:t xml:space="preserve"> </w:t>
      </w:r>
      <w:r w:rsidR="00F51A36" w:rsidRPr="00F51A36">
        <w:rPr>
          <w:rtl/>
        </w:rPr>
        <w:t>שכיב מרע שאמר לאשה פנויה: נכסי לך ואחריך לפלוני, ולא אמר: מהיום, ועמדה ונשאת, בעל לוקח הוי, ואין השני מוציא מיד הבעל. ואם אמר לה כשהיא נשואה, ומתה, השני מוציא מיד הבעל, שכיון שזוכה בנכסים על תנאי זה כשהיא נשואה, נמצא כאלו אמר לה בפירוש: אחריך יקנה פלוני, לא הבעל. לפיכך אם מכרה נכסים אלו כשהיא תחת בעלה, ומתה תחת בעלה, יעמדו הנכסים ביד הלוקח</w:t>
      </w:r>
      <w:r w:rsidR="00F51A36" w:rsidRPr="00F51A36">
        <w:t>.</w:t>
      </w:r>
    </w:p>
    <w:p w14:paraId="0A88B45B" w14:textId="1A6A66FA" w:rsidR="00BA34ED" w:rsidRDefault="008F212D" w:rsidP="001E1D71">
      <w:pPr>
        <w:pStyle w:val="Style1"/>
        <w:rPr>
          <w:rtl/>
        </w:rPr>
      </w:pPr>
      <w:r>
        <w:rPr>
          <w:rFonts w:hint="cs"/>
          <w:rtl/>
        </w:rPr>
        <w:t>2)[</w:t>
      </w:r>
      <w:r>
        <w:rPr>
          <w:rtl/>
        </w:rPr>
        <w:t>שולחן ערוך אבן העזר הלכות כתובות סימן צא סעיף ב</w:t>
      </w:r>
      <w:r>
        <w:rPr>
          <w:rFonts w:hint="cs"/>
          <w:rtl/>
        </w:rPr>
        <w:t>]</w:t>
      </w:r>
      <w:r w:rsidR="001E1D71">
        <w:rPr>
          <w:rFonts w:hint="cs"/>
          <w:rtl/>
        </w:rPr>
        <w:t xml:space="preserve"> </w:t>
      </w:r>
      <w:r w:rsidR="00BA34ED" w:rsidRPr="001E1D71">
        <w:rPr>
          <w:rtl/>
        </w:rPr>
        <w:t>בעל בנכסי אשתו הוי כלוקח. לפיכך, מי שאמר לאשה: נכסי לך ואחריך לפלוני, ונשאת, הוי כלוקח, ואין לאחריך במקום בעל כלום, דקימא לן נכסי לך ואחריך לפלוני ומכר הראשון, אין לשני אלא מה ששייר ראשון. במה דברים אמורים, באומר כן לפנויה, אבל האומר לנשואה: נכסי לך ואחריך לפלוני, ומתה, אחריך קונה ולא הבעל. לפיכך, האומר לנשואה: נכסי לך ואחריך לפלוני, ומכרה, ומתה, יעמדו נכסים ביד הלוקח</w:t>
      </w:r>
      <w:r w:rsidR="00BA34ED" w:rsidRPr="001E1D71">
        <w:t>:</w:t>
      </w:r>
    </w:p>
    <w:p w14:paraId="7EFD3E96" w14:textId="218496D6" w:rsidR="0096748A" w:rsidRDefault="0096748A" w:rsidP="0096748A">
      <w:pPr>
        <w:pStyle w:val="Style1"/>
        <w:rPr>
          <w:rtl/>
        </w:rPr>
      </w:pPr>
      <w:r>
        <w:rPr>
          <w:rFonts w:hint="cs"/>
          <w:rtl/>
        </w:rPr>
        <w:t>3)[</w:t>
      </w:r>
      <w:r>
        <w:rPr>
          <w:rtl/>
        </w:rPr>
        <w:t>רמב</w:t>
      </w:r>
      <w:r w:rsidR="00C764B2">
        <w:rPr>
          <w:rtl/>
        </w:rPr>
        <w:t>”ם \קנין\</w:t>
      </w:r>
      <w:r>
        <w:rPr>
          <w:rtl/>
        </w:rPr>
        <w:t xml:space="preserve"> הלכות זכיה ומתנה פרק יב הלכה ג</w:t>
      </w:r>
      <w:r>
        <w:rPr>
          <w:rFonts w:hint="cs"/>
          <w:rtl/>
        </w:rPr>
        <w:t xml:space="preserve">] </w:t>
      </w:r>
      <w:r>
        <w:rPr>
          <w:rtl/>
        </w:rPr>
        <w:t>שכיב מרע שאמר נכסי לפלוני ואחריו לפלוני, אין לשני אלא מה ששייר ראשון.</w:t>
      </w:r>
    </w:p>
    <w:p w14:paraId="06BD1DB7" w14:textId="69449528" w:rsidR="002F0485" w:rsidRPr="002F0485" w:rsidRDefault="0096748A" w:rsidP="002F0485">
      <w:pPr>
        <w:pStyle w:val="Style1"/>
      </w:pPr>
      <w:r>
        <w:rPr>
          <w:rFonts w:hint="cs"/>
          <w:rtl/>
        </w:rPr>
        <w:t>3)[</w:t>
      </w:r>
      <w:r>
        <w:rPr>
          <w:rtl/>
        </w:rPr>
        <w:t>שולחן ערוך חושן משפט הלכות מתנה סימן רמח סעיף א</w:t>
      </w:r>
      <w:r>
        <w:rPr>
          <w:rFonts w:hint="cs"/>
          <w:rtl/>
        </w:rPr>
        <w:t>]</w:t>
      </w:r>
      <w:r w:rsidR="002F0485">
        <w:rPr>
          <w:rFonts w:hint="cs"/>
          <w:rtl/>
        </w:rPr>
        <w:t xml:space="preserve"> </w:t>
      </w:r>
      <w:r w:rsidR="002F0485" w:rsidRPr="002F0485">
        <w:rPr>
          <w:rtl/>
        </w:rPr>
        <w:t>שכיב מרע שאמר: נכסי לפלוני ואחריו לפלוני,אין לשני אלא מה ששייר ראשון. ואם היה הראשון ראוי ליורשו,כגון שהיה בן מכלל הבנים, אין לשני כלום</w:t>
      </w:r>
      <w:r w:rsidR="002F0485" w:rsidRPr="002F0485">
        <w:t>.</w:t>
      </w:r>
    </w:p>
    <w:p w14:paraId="2029A9B5" w14:textId="77777777" w:rsidR="002F0485" w:rsidRPr="002F0485" w:rsidRDefault="002F0485" w:rsidP="002F0485">
      <w:pPr>
        <w:pStyle w:val="Style1"/>
      </w:pPr>
      <w:r w:rsidRPr="002F0485">
        <w:rPr>
          <w:rFonts w:hint="cs"/>
          <w:rtl/>
        </w:rPr>
        <w:t>(אפילו אם גם השני ראוי לירש) (המגיד פרק י"ב דזכיה וב"י בשם הר"ן) וכן אפילו הקדישה אחריו של ראשון, אין להקדש כלום (תשובת רשב"א סימן תש"ד וב"י בשם גאונים)</w:t>
      </w:r>
    </w:p>
    <w:p w14:paraId="79604F61" w14:textId="77777777" w:rsidR="002F0485" w:rsidRPr="002F0485" w:rsidRDefault="002F0485" w:rsidP="002F0485">
      <w:pPr>
        <w:pStyle w:val="Style1"/>
      </w:pPr>
      <w:r w:rsidRPr="002F0485">
        <w:rPr>
          <w:rtl/>
        </w:rPr>
        <w:t>שכל לשון מתנה ליורש הרי הוא כלשון ירושה, וירושה אין לה הפסק ואף על פי שיאמר: ואחריו לפלוני</w:t>
      </w:r>
      <w:r w:rsidRPr="002F0485">
        <w:t>.</w:t>
      </w:r>
    </w:p>
    <w:p w14:paraId="7ED23924" w14:textId="77777777" w:rsidR="002F0485" w:rsidRPr="002F0485" w:rsidRDefault="002F0485" w:rsidP="002F0485">
      <w:pPr>
        <w:pStyle w:val="Style1"/>
      </w:pPr>
      <w:r w:rsidRPr="002F0485">
        <w:rPr>
          <w:rFonts w:hint="cs"/>
          <w:rtl/>
        </w:rPr>
        <w:t>הגה: ואם עשה הצוואה במקום שנהגו לדון בערכאות של עו"ג, ובאו אח"כ (למקום אחר) לדון בדיני ישראל, לא אמרינן דירושה אין לה הפסק (ריב"ש </w:t>
      </w:r>
      <w:hyperlink r:id="rId257" w:tooltip="תשובות ריב&quot;ש/נב" w:history="1">
        <w:r w:rsidRPr="002F0485">
          <w:rPr>
            <w:rStyle w:val="Hyperlink"/>
            <w:rFonts w:hint="cs"/>
            <w:color w:val="7030A0"/>
            <w:u w:val="none"/>
            <w:rtl/>
          </w:rPr>
          <w:t>סימן נ"ב</w:t>
        </w:r>
      </w:hyperlink>
      <w:r w:rsidRPr="002F0485">
        <w:rPr>
          <w:rFonts w:hint="cs"/>
        </w:rPr>
        <w:t>)</w:t>
      </w:r>
      <w:r w:rsidRPr="002F0485">
        <w:t>.</w:t>
      </w:r>
    </w:p>
    <w:p w14:paraId="61E7127C" w14:textId="0C913BE6" w:rsidR="002F0485" w:rsidRDefault="002F0485" w:rsidP="002F0485">
      <w:pPr>
        <w:pStyle w:val="Style1"/>
        <w:rPr>
          <w:rtl/>
        </w:rPr>
      </w:pPr>
      <w:r w:rsidRPr="002F0485">
        <w:rPr>
          <w:rtl/>
        </w:rPr>
        <w:t>אבל הבריא שנתן מתנת בריא על דרך זה, וכתב ליה: נכסי לך ואחריך לפלוני, אין לשני אלא מה ששייר ראשון, אפילו היה הראשון ראוי ליורשו</w:t>
      </w:r>
      <w:r w:rsidRPr="002F0485">
        <w:t>.</w:t>
      </w:r>
    </w:p>
    <w:p w14:paraId="3AB3AB44" w14:textId="401D8E1B" w:rsidR="00C0352F" w:rsidRDefault="00C0352F" w:rsidP="00C0352F">
      <w:pPr>
        <w:pStyle w:val="Style1"/>
        <w:rPr>
          <w:rtl/>
        </w:rPr>
      </w:pPr>
      <w:r>
        <w:rPr>
          <w:rFonts w:hint="cs"/>
          <w:rtl/>
        </w:rPr>
        <w:t>4)[</w:t>
      </w:r>
      <w:r>
        <w:rPr>
          <w:rtl/>
        </w:rPr>
        <w:t>רמב</w:t>
      </w:r>
      <w:r w:rsidR="00C764B2">
        <w:rPr>
          <w:rtl/>
        </w:rPr>
        <w:t>”ם \קנין\</w:t>
      </w:r>
      <w:r>
        <w:rPr>
          <w:rtl/>
        </w:rPr>
        <w:t xml:space="preserve"> הלכות זכיה ומתנה פרק יב הלכה ט</w:t>
      </w:r>
      <w:r>
        <w:rPr>
          <w:rFonts w:hint="cs"/>
          <w:rtl/>
        </w:rPr>
        <w:t xml:space="preserve">] </w:t>
      </w:r>
      <w:r>
        <w:rPr>
          <w:rtl/>
        </w:rPr>
        <w:t>ואם עבר הראשון ומכר ונתן במתנה, אין השני מוציא מיד הלקוחות שאין לשני לא מן הגוף ולא מן הפירות אלא הנשאר, וכל המשיא עצה לראשון למכור נקרא רשע, ואפילו היה בהן עבדים והוציאן הראשון לחירות או כלים ועשאן תכריכין למת מעשיו קיימין.</w:t>
      </w:r>
    </w:p>
    <w:p w14:paraId="2BDB6AA3" w14:textId="50B8F139" w:rsidR="000D1692" w:rsidRPr="000D1692" w:rsidRDefault="00651320" w:rsidP="000D1692">
      <w:pPr>
        <w:pStyle w:val="Style1"/>
      </w:pPr>
      <w:r>
        <w:rPr>
          <w:rFonts w:hint="cs"/>
          <w:rtl/>
        </w:rPr>
        <w:t>4)[</w:t>
      </w:r>
      <w:r>
        <w:rPr>
          <w:rtl/>
        </w:rPr>
        <w:t>שולחן ערוך חושן משפט הלכות מתנה סימן רמח סעיף ג</w:t>
      </w:r>
      <w:r>
        <w:rPr>
          <w:rFonts w:hint="cs"/>
          <w:rtl/>
        </w:rPr>
        <w:t>]</w:t>
      </w:r>
      <w:r w:rsidR="000D1692">
        <w:rPr>
          <w:rFonts w:hint="cs"/>
          <w:rtl/>
        </w:rPr>
        <w:t xml:space="preserve"> </w:t>
      </w:r>
      <w:r w:rsidR="000D1692" w:rsidRPr="000D1692">
        <w:rPr>
          <w:rtl/>
        </w:rPr>
        <w:t>נכסי לפלוני ואחריו לפלוני ואחריו לפלוני, מת ראשון קנה שני, מת שני קנה שלישי, מת שני בחיי ראשון, הנכסים של יורשי ראשון</w:t>
      </w:r>
      <w:r w:rsidR="000D1692" w:rsidRPr="000D1692">
        <w:t>. </w:t>
      </w:r>
      <w:r w:rsidR="000D1692" w:rsidRPr="000D1692">
        <w:rPr>
          <w:rFonts w:hint="cs"/>
          <w:rtl/>
        </w:rPr>
        <w:t>(וכן דין שלישי עם השני) (המגיד הנ"ל)</w:t>
      </w:r>
      <w:r w:rsidR="000D1692" w:rsidRPr="000D1692">
        <w:t xml:space="preserve">. </w:t>
      </w:r>
      <w:r w:rsidR="000D1692" w:rsidRPr="000D1692">
        <w:rPr>
          <w:rtl/>
        </w:rPr>
        <w:t>אף על פי שאמרנו אין לשני אלא מה ששייר ראשון, אסור לראשון למכור או ליתן גופו, אלא אוכל הפירות עד שימות, ויזכה השני. ואם עבר האחד ומכר או נתן במתנה, אין השני מוציא מיד הלקוחות,שאין לשני לא מהגוף ולא מהפירות אלא הנשאר. וכל המשיא עצה לראשון למכור, נקרא רשע. ואפילו היו בהם עבדים והוציאם הראשון לחירות, או כלים ועשאם תכריכים למת, מעשיו קיימים</w:t>
      </w:r>
      <w:r w:rsidR="000D1692" w:rsidRPr="000D1692">
        <w:t>.</w:t>
      </w:r>
    </w:p>
    <w:p w14:paraId="1B96A88A" w14:textId="73E10E77" w:rsidR="000D1692" w:rsidRDefault="000D1692" w:rsidP="000D1692">
      <w:pPr>
        <w:pStyle w:val="Style1"/>
        <w:rPr>
          <w:rtl/>
        </w:rPr>
      </w:pPr>
      <w:r w:rsidRPr="000D1692">
        <w:rPr>
          <w:rFonts w:hint="cs"/>
          <w:rtl/>
        </w:rPr>
        <w:t>הגה: נתן לראשון הנכסים לעשר שנים ואחר כך לפלוני, ומכרן הראשון, השני מוציא מיד הלקוחות שהרי לא נתן לו מתנה גמורה רק לזמן (טור)</w:t>
      </w:r>
      <w:r w:rsidRPr="000D1692">
        <w:t>.</w:t>
      </w:r>
    </w:p>
    <w:p w14:paraId="6B2206A2" w14:textId="0F075F98" w:rsidR="00A53CA3" w:rsidRDefault="00A53CA3" w:rsidP="00A53CA3">
      <w:pPr>
        <w:pStyle w:val="Style1"/>
        <w:rPr>
          <w:rStyle w:val="Style1Char"/>
          <w:rtl/>
        </w:rPr>
      </w:pPr>
      <w:r>
        <w:rPr>
          <w:rStyle w:val="Style1Char"/>
          <w:rFonts w:hint="cs"/>
          <w:rtl/>
        </w:rPr>
        <w:t>5)[</w:t>
      </w:r>
      <w:r w:rsidRPr="00A30C6E">
        <w:rPr>
          <w:rStyle w:val="Style1Char"/>
          <w:rtl/>
        </w:rPr>
        <w:t>רמב</w:t>
      </w:r>
      <w:r w:rsidR="0057095E">
        <w:rPr>
          <w:rStyle w:val="Style1Char"/>
          <w:rtl/>
        </w:rPr>
        <w:t>”ם \משפטים\</w:t>
      </w:r>
      <w:r w:rsidRPr="00A30C6E">
        <w:rPr>
          <w:rStyle w:val="Style1Char"/>
          <w:rtl/>
        </w:rPr>
        <w:t xml:space="preserve"> הלכות מלוה ולוה פרק יט הלכה ח</w:t>
      </w:r>
      <w:r>
        <w:rPr>
          <w:rStyle w:val="Style1Char"/>
          <w:rFonts w:hint="cs"/>
          <w:rtl/>
        </w:rPr>
        <w:t xml:space="preserve">] </w:t>
      </w:r>
      <w:r w:rsidRPr="00A30C6E">
        <w:rPr>
          <w:rStyle w:val="Style1Char"/>
          <w:rtl/>
        </w:rPr>
        <w:t xml:space="preserve">מי שלוה מאחד ואחר כך מכר הלוה נכסיו לשנים וכתב בעל חוב ללוקח שני דין ודברים אין לי עמך וקנו מידו אינו יכול לטרוף מלוקח ראשון שהרי אומר לו הנחתי לך מקום לגבות ממנו אצל בעל חובך מן הנכסים שקנה לוקח שני אחרי ואתה הפסדת על עצמך שהרי סלקת עצמך מהן, והוא הדין לאשה בכתובתה אם כתבה לשני, אבדה כתובתה ואינה יכולה לטרוף, אבל אם כתבו לראשון טורפין מן השני, מכר הלוה שדה ללוקח ומכרה לוקח ראשון ללוקח שני וכתב המלוה ללוקח ראשון דין ודברים אין לי עמך וקנו מידו הרי ב"ח טורף מלוקח שני אותה השדה ולוקח ראשון טורף אותה מב"ח שהרי כתב לו ולוקח שני טורף אותה מלוקח ראשון שהרי הוא מכרה לו וב"ח חוזר וטורף משני וחוזרין </w:t>
      </w:r>
      <w:r>
        <w:rPr>
          <w:rStyle w:val="Style1Char"/>
          <w:rFonts w:hint="cs"/>
          <w:rtl/>
        </w:rPr>
        <w:t>ח</w:t>
      </w:r>
      <w:r w:rsidRPr="00A30C6E">
        <w:rPr>
          <w:rStyle w:val="Style1Char"/>
          <w:rtl/>
        </w:rPr>
        <w:t xml:space="preserve">לילה עד שיעשו פשרה ביניהן וכן האשה בכתובתה. /השגת הראב"ד/ מכר הלוה שדה ללוקח וכו' עד וכן האשה בכתובתה. א"א זה הפירוש למה שאמרו וכן ב"ח ושני לקוחות ובחיי ראשי לא ראיתי בכל ספריו טעות גדולה כזו מכמה תשובות האחד שאין זו החלילה אלא כשמכר הלוקח ראשון לשני באחריות </w:t>
      </w:r>
      <w:r w:rsidRPr="00A30C6E">
        <w:rPr>
          <w:rStyle w:val="Style1Char"/>
          <w:rtl/>
        </w:rPr>
        <w:lastRenderedPageBreak/>
        <w:t>ומשנתנו אין בו הפלגה וקאמר וכן ב"ח, והב' משנתנו הפשרה מתחלה לשלשתן וכאן אין הפשרה אלא לשני ב"ח וא' מן הלקוחות שהרי אחד מן הלקוחות קיבל מעותיו, והג' שאף לב' אין כאן פשרה כי כשיטרוף ב"ח השדה מלוקח שני הלך אצל לוקח ראשון ולקח מעותיו כשיבא לוקח ראשון ויוציא השדה מב"ח אותו ב"ח על מי יחזור והלוקח שני כבר לקח מעותיו והלך לו נמצא הוא לבדו מפסיד, והרביעית שאף לכתחלה אין ב"ח יכול לטרוף מלוקח שני משום דאמר ליה אי שתקת שתקת ואי לא מהדרנא שטרא למריה וכן הדין למי שאבדה לו דרך שדהו, ועל זה הדרך חולקין אפילו הן מאה כשיצאו לגבות כאחת עכ"ל.</w:t>
      </w:r>
    </w:p>
    <w:p w14:paraId="136558CF" w14:textId="16148FF2" w:rsidR="00A53CA3" w:rsidRDefault="00A53CA3" w:rsidP="00A53CA3">
      <w:pPr>
        <w:pStyle w:val="Style1"/>
        <w:rPr>
          <w:rtl/>
        </w:rPr>
      </w:pPr>
      <w:r>
        <w:rPr>
          <w:rStyle w:val="Style1Char"/>
          <w:rFonts w:hint="cs"/>
          <w:rtl/>
        </w:rPr>
        <w:t>5)[</w:t>
      </w:r>
      <w:r w:rsidRPr="007F7FDE">
        <w:rPr>
          <w:rStyle w:val="Style1Char"/>
          <w:rtl/>
        </w:rPr>
        <w:t>שולחן ערוך חושן משפט הלכות אפותיקי סימן קיח סעיף ב</w:t>
      </w:r>
      <w:r>
        <w:rPr>
          <w:rStyle w:val="Style1Char"/>
          <w:rFonts w:hint="cs"/>
          <w:rtl/>
        </w:rPr>
        <w:t xml:space="preserve">] </w:t>
      </w:r>
      <w:r w:rsidRPr="00CA7AD4">
        <w:rPr>
          <w:rtl/>
        </w:rPr>
        <w:t>מכר הלוה שדה ללוקח ומכר אחריה שדה שניה ללוקח שני וכתב המלוה ללוקח שני דין ודברים אין לי עמך וקנו מידו הרי ב"ח טורף מהלוקח ראשון שדה ראשונה ולוקח ראשון טורף מלוקח שני שדה שניה שהרי קנה אחריו וב"ח טורף אותה מלוקח ראשון ולוקח שני מוציאה אותה מב"ח שהרי כתב לו (דין ודברים אין לי עמך) ולוקח ראשון חוזר וטורף משני וחוזרים חלילה עד שיעשו פשרה ביניהם וכן האשה בכתובתה והוא שהיה החוב כנגד שתי השדות</w:t>
      </w:r>
      <w:r w:rsidRPr="00CA7AD4">
        <w:t>:</w:t>
      </w:r>
    </w:p>
    <w:p w14:paraId="2DE2E37F" w14:textId="77777777" w:rsidR="00B600B2" w:rsidRDefault="00B600B2" w:rsidP="00A53CA3">
      <w:pPr>
        <w:pStyle w:val="Style1"/>
        <w:rPr>
          <w:rtl/>
        </w:rPr>
      </w:pPr>
    </w:p>
    <w:p w14:paraId="302A25D6" w14:textId="77777777" w:rsidR="005F1878" w:rsidRPr="004A7805" w:rsidRDefault="005F1878" w:rsidP="005F1878">
      <w:pPr>
        <w:bidi/>
        <w:rPr>
          <w:color w:val="00B050"/>
          <w:sz w:val="72"/>
          <w:szCs w:val="72"/>
        </w:rPr>
      </w:pPr>
      <w:r w:rsidRPr="004A7805">
        <w:rPr>
          <w:rStyle w:val="Style1Char"/>
          <w:color w:val="000000" w:themeColor="text1"/>
          <w:sz w:val="28"/>
          <w:szCs w:val="28"/>
          <w:rtl/>
        </w:rPr>
        <w:t>הדרן עלך מי שהיה נשוי.</w:t>
      </w:r>
    </w:p>
    <w:p w14:paraId="4264FF31" w14:textId="77777777" w:rsidR="00B600B2" w:rsidRPr="00115293" w:rsidRDefault="00B600B2" w:rsidP="00B600B2">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 xml:space="preserve">פרק </w:t>
      </w:r>
      <w:r w:rsidRPr="00884884">
        <w:rPr>
          <w:rStyle w:val="Style1Char"/>
          <w:color w:val="auto"/>
          <w:sz w:val="22"/>
          <w:szCs w:val="22"/>
          <w:rtl/>
        </w:rPr>
        <w:t>יא - אלמנה ניזונת</w:t>
      </w:r>
    </w:p>
    <w:p w14:paraId="379EDF0E" w14:textId="4AF9A5E6" w:rsidR="00B600B2" w:rsidRPr="009A2323" w:rsidRDefault="00B600B2" w:rsidP="00B600B2">
      <w:pPr>
        <w:bidi/>
        <w:rPr>
          <w:rStyle w:val="Style1Char"/>
          <w:color w:val="auto"/>
          <w:sz w:val="22"/>
          <w:szCs w:val="22"/>
        </w:rPr>
      </w:pPr>
      <w:r w:rsidRPr="009A2323">
        <w:rPr>
          <w:rStyle w:val="Style1Char"/>
          <w:color w:val="auto"/>
          <w:sz w:val="22"/>
          <w:szCs w:val="22"/>
          <w:rtl/>
        </w:rPr>
        <w:t xml:space="preserve">/מתני'/. </w:t>
      </w:r>
      <w:r w:rsidR="00216DD7" w:rsidRPr="00EF64BD">
        <w:rPr>
          <w:rStyle w:val="Style1Char"/>
          <w:rFonts w:hint="cs"/>
          <w:rtl/>
        </w:rPr>
        <w:t>(1)</w:t>
      </w:r>
      <w:r w:rsidRPr="009A2323">
        <w:rPr>
          <w:rStyle w:val="Style1Char"/>
          <w:color w:val="auto"/>
          <w:sz w:val="22"/>
          <w:szCs w:val="22"/>
          <w:rtl/>
        </w:rPr>
        <w:t xml:space="preserve">אלמנה ניזונת מנכסי יתומים, </w:t>
      </w:r>
      <w:r w:rsidR="00216DD7" w:rsidRPr="00EF64BD">
        <w:rPr>
          <w:rStyle w:val="Style1Char"/>
          <w:rFonts w:hint="cs"/>
          <w:rtl/>
        </w:rPr>
        <w:t>(</w:t>
      </w:r>
      <w:r w:rsidR="00216DD7">
        <w:rPr>
          <w:rStyle w:val="Style1Char"/>
          <w:rFonts w:hint="cs"/>
          <w:rtl/>
        </w:rPr>
        <w:t>2</w:t>
      </w:r>
      <w:r w:rsidR="00216DD7" w:rsidRPr="00EF64BD">
        <w:rPr>
          <w:rStyle w:val="Style1Char"/>
          <w:rFonts w:hint="cs"/>
          <w:rtl/>
        </w:rPr>
        <w:t>)</w:t>
      </w:r>
      <w:r w:rsidRPr="009A2323">
        <w:rPr>
          <w:rStyle w:val="Style1Char"/>
          <w:color w:val="auto"/>
          <w:sz w:val="22"/>
          <w:szCs w:val="22"/>
          <w:rtl/>
        </w:rPr>
        <w:t xml:space="preserve">מעשה ידיה שלהן, </w:t>
      </w:r>
      <w:r w:rsidR="00BE3E70" w:rsidRPr="00EF64BD">
        <w:rPr>
          <w:rStyle w:val="Style1Char"/>
          <w:rFonts w:hint="cs"/>
          <w:rtl/>
        </w:rPr>
        <w:t>(</w:t>
      </w:r>
      <w:r w:rsidR="00BE3E70">
        <w:rPr>
          <w:rStyle w:val="Style1Char"/>
          <w:rFonts w:hint="cs"/>
          <w:rtl/>
        </w:rPr>
        <w:t>2.1, 3</w:t>
      </w:r>
      <w:r w:rsidR="00BE3E70" w:rsidRPr="00EF64BD">
        <w:rPr>
          <w:rStyle w:val="Style1Char"/>
          <w:rFonts w:hint="cs"/>
          <w:rtl/>
        </w:rPr>
        <w:t>)</w:t>
      </w:r>
      <w:r w:rsidRPr="009A2323">
        <w:rPr>
          <w:rStyle w:val="Style1Char"/>
          <w:color w:val="auto"/>
          <w:sz w:val="22"/>
          <w:szCs w:val="22"/>
          <w:rtl/>
        </w:rPr>
        <w:t xml:space="preserve">ואין חייבין בקבורתה; </w:t>
      </w:r>
      <w:r w:rsidR="00F91483" w:rsidRPr="00EF64BD">
        <w:rPr>
          <w:rStyle w:val="Style1Char"/>
          <w:rFonts w:hint="cs"/>
          <w:rtl/>
        </w:rPr>
        <w:t>(</w:t>
      </w:r>
      <w:r w:rsidR="00F91483">
        <w:rPr>
          <w:rStyle w:val="Style1Char"/>
          <w:rFonts w:hint="cs"/>
          <w:rtl/>
        </w:rPr>
        <w:t>2.1, 4</w:t>
      </w:r>
      <w:r w:rsidR="00F91483" w:rsidRPr="00EF64BD">
        <w:rPr>
          <w:rStyle w:val="Style1Char"/>
          <w:rFonts w:hint="cs"/>
          <w:rtl/>
        </w:rPr>
        <w:t>)</w:t>
      </w:r>
      <w:r w:rsidRPr="009A2323">
        <w:rPr>
          <w:rStyle w:val="Style1Char"/>
          <w:color w:val="auto"/>
          <w:sz w:val="22"/>
          <w:szCs w:val="22"/>
          <w:rtl/>
        </w:rPr>
        <w:t xml:space="preserve">יורשיה יורשי כתובתה - חייבין בקבורתה. </w:t>
      </w:r>
    </w:p>
    <w:p w14:paraId="64DFF746" w14:textId="46FE0732" w:rsidR="00B600B2" w:rsidRDefault="00B600B2" w:rsidP="00B600B2">
      <w:pPr>
        <w:bidi/>
        <w:rPr>
          <w:rStyle w:val="Style1Char"/>
          <w:color w:val="00B050"/>
          <w:rtl/>
        </w:rPr>
      </w:pPr>
      <w:r w:rsidRPr="00884884">
        <w:rPr>
          <w:rStyle w:val="Style1Char"/>
          <w:color w:val="00B050"/>
          <w:rtl/>
        </w:rPr>
        <w:t>גמ'. איבעיא להו: ניזונת תנן או הניזונת תנן? ניזונת תנן - וכאנשי גליל, ולא סגי דלא יהבי לה, או דלמא הניזונת תנן - כאנשי יהודה, ואי בעו לא יהבי לה?</w:t>
      </w:r>
    </w:p>
    <w:p w14:paraId="1A66D42B" w14:textId="49A8D3A8" w:rsidR="00F91483" w:rsidRDefault="00F91483" w:rsidP="00F91483">
      <w:pPr>
        <w:pStyle w:val="Style1"/>
        <w:rPr>
          <w:rStyle w:val="Style1Char"/>
          <w:rtl/>
        </w:rPr>
      </w:pPr>
      <w:r>
        <w:rPr>
          <w:rStyle w:val="Style1Char"/>
          <w:rFonts w:hint="cs"/>
          <w:rtl/>
        </w:rPr>
        <w:t>1)[</w:t>
      </w:r>
      <w:r w:rsidRPr="00F91483">
        <w:rPr>
          <w:rStyle w:val="Style1Char"/>
          <w:rtl/>
        </w:rPr>
        <w:t>רמב</w:t>
      </w:r>
      <w:r w:rsidR="00213DA1">
        <w:rPr>
          <w:rStyle w:val="Style1Char"/>
          <w:rtl/>
        </w:rPr>
        <w:t>”ם \נשים\</w:t>
      </w:r>
      <w:r w:rsidRPr="00F91483">
        <w:rPr>
          <w:rStyle w:val="Style1Char"/>
          <w:rtl/>
        </w:rPr>
        <w:t xml:space="preserve"> הלכות אישות פרק יח הלכה א</w:t>
      </w:r>
      <w:r>
        <w:rPr>
          <w:rStyle w:val="Style1Char"/>
          <w:rFonts w:hint="cs"/>
          <w:rtl/>
        </w:rPr>
        <w:t xml:space="preserve">] </w:t>
      </w:r>
      <w:r w:rsidRPr="00F91483">
        <w:rPr>
          <w:rStyle w:val="Style1Char"/>
          <w:rtl/>
        </w:rPr>
        <w:t>אלמנה ניזונת מנכסי יורשין כל זמן אלמנותה עד שתטול כתובתה, ומשתתבע כתובתה בבית דין אין לה מזונות, וכן אם מכרה כתובתה כולה או משכנה כתובתה או עשתה כתובתה אפותיקי לאחר והוא שתאמר לו פה תקנה חובך בין שעשת דברים אלו בבית דין מומחין בין שלא בבית דין בין שעשת בחיי בעלה בין שעשת לאחר מיתת בעלה אין לה מזונות מן היורשים, אבל אם מכרה מקצתה יש לה מזונות, ומשתתארס האלמנה אבדה מזונותיה.</w:t>
      </w:r>
    </w:p>
    <w:p w14:paraId="3A8B29F9" w14:textId="0EEE0819" w:rsidR="00EC0FFB" w:rsidRPr="00EC0FFB" w:rsidRDefault="007A33E2" w:rsidP="00EC0FFB">
      <w:pPr>
        <w:pStyle w:val="Style1"/>
      </w:pPr>
      <w:r>
        <w:rPr>
          <w:rStyle w:val="Style1Char"/>
          <w:rFonts w:hint="cs"/>
          <w:rtl/>
        </w:rPr>
        <w:t>1)[</w:t>
      </w:r>
      <w:r w:rsidRPr="007A33E2">
        <w:rPr>
          <w:rStyle w:val="Style1Char"/>
          <w:rtl/>
        </w:rPr>
        <w:t>שולחן ערוך אבן העזר הלכות כתובות סימן צג סעיף ג</w:t>
      </w:r>
      <w:r>
        <w:rPr>
          <w:rStyle w:val="Style1Char"/>
          <w:rFonts w:hint="cs"/>
          <w:rtl/>
        </w:rPr>
        <w:t>]</w:t>
      </w:r>
      <w:r w:rsidR="00EC0FFB">
        <w:rPr>
          <w:rStyle w:val="Style1Char"/>
          <w:rFonts w:hint="cs"/>
          <w:rtl/>
        </w:rPr>
        <w:t xml:space="preserve"> </w:t>
      </w:r>
      <w:r w:rsidR="00EC0FFB" w:rsidRPr="00EC0FFB">
        <w:rPr>
          <w:rtl/>
        </w:rPr>
        <w:t>אלמנה נזונית מנכסי יורשין כל זמן אלמנותה, אפילו אם לא נכתב בכתובה, ואפילו אם צוה בשעת מיתה: אל תזון אלמנתי מנכסי, אין שומעין לו. ואין היורשים יכולין לפרע לה כתובתה ולסלקה מהמזונות, אלא היא נזונית על כרחם כל זמן שלא תתבע כתובתה, אלא אם כן התנו כן בפרוש שלא תזון אלמנתו מנכסיו, או שהיה מנהג המקום כן</w:t>
      </w:r>
      <w:r w:rsidR="00EC0FFB" w:rsidRPr="00EC0FFB">
        <w:t>.</w:t>
      </w:r>
    </w:p>
    <w:p w14:paraId="07D60855" w14:textId="55FA56FA" w:rsidR="00EC0FFB" w:rsidRDefault="00EC0FFB" w:rsidP="00EC0FFB">
      <w:pPr>
        <w:pStyle w:val="Style1"/>
        <w:rPr>
          <w:rtl/>
        </w:rPr>
      </w:pPr>
      <w:r w:rsidRPr="00EC0FFB">
        <w:rPr>
          <w:rFonts w:hint="cs"/>
          <w:rtl/>
        </w:rPr>
        <w:t>ויכולין בית דין לתקן במקומן שהיתומים יסלקו אותה כשירצו (בית יוסף ו</w:t>
      </w:r>
      <w:hyperlink r:id="rId258" w:tooltip="תשובות ריב&quot;ש/קז" w:history="1">
        <w:r w:rsidRPr="00EC0FFB">
          <w:rPr>
            <w:rStyle w:val="Hyperlink"/>
            <w:rFonts w:hint="cs"/>
            <w:color w:val="7030A0"/>
            <w:u w:val="none"/>
            <w:rtl/>
          </w:rPr>
          <w:t>ריב"ש סימן ק"ז</w:t>
        </w:r>
      </w:hyperlink>
      <w:r w:rsidRPr="00EC0FFB">
        <w:rPr>
          <w:rFonts w:hint="cs"/>
        </w:rPr>
        <w:t>)</w:t>
      </w:r>
      <w:r w:rsidRPr="00EC0FFB">
        <w:t>:</w:t>
      </w:r>
    </w:p>
    <w:p w14:paraId="7FE79A32" w14:textId="038D51CF" w:rsidR="00FA5F28" w:rsidRDefault="00FA5F28" w:rsidP="00FA5F28">
      <w:pPr>
        <w:pStyle w:val="Style1"/>
        <w:rPr>
          <w:rtl/>
        </w:rPr>
      </w:pPr>
      <w:r>
        <w:rPr>
          <w:rFonts w:hint="cs"/>
          <w:rtl/>
        </w:rPr>
        <w:t>2)[</w:t>
      </w:r>
      <w:r>
        <w:rPr>
          <w:rtl/>
        </w:rPr>
        <w:t>רמב</w:t>
      </w:r>
      <w:r w:rsidR="00213DA1">
        <w:rPr>
          <w:rtl/>
        </w:rPr>
        <w:t>”ם \נשים\</w:t>
      </w:r>
      <w:r>
        <w:rPr>
          <w:rtl/>
        </w:rPr>
        <w:t xml:space="preserve"> הלכות אישות פרק יח הלכה ו</w:t>
      </w:r>
      <w:r>
        <w:rPr>
          <w:rFonts w:hint="cs"/>
          <w:rtl/>
        </w:rPr>
        <w:t xml:space="preserve">] </w:t>
      </w:r>
      <w:r>
        <w:rPr>
          <w:rtl/>
        </w:rPr>
        <w:t>מתה האלמנה יורשי הבעל חייבין בקבורתה, ואם נשבעה שבועת אלמנה ואחר כך מתה יורשיה יורשין כתובתה והן חייבין בקבורתה אבל לא יורשי הבעל. מעשה ידי האלמנה ליורשין, ויורש שאמר לאלמנה טלי מעשה ידיך במזונותיך אין שומעין לו אבל היא שרצתה בזה שומעין לה. /השגת הראב"ד/ מתה האלמנה יורשי הבעל חייבין בקבורתה. א"א דעתא קלישתא קא חזינא הכא וכי מפני שלא נשבעה קרא ליורשי הבעל יורשי כתובתה והלא הם אומרים שכבר נפרעה והורישה, אלא ודאי יורשי נדוניתה ונכסי מלוג שלה קוברין אותה ואף על פי שלא ירשו כלום.</w:t>
      </w:r>
    </w:p>
    <w:p w14:paraId="3B57FF55" w14:textId="523D90D2" w:rsidR="00056B9E" w:rsidRDefault="00056B9E" w:rsidP="00056B9E">
      <w:pPr>
        <w:pStyle w:val="Style1"/>
        <w:rPr>
          <w:rtl/>
        </w:rPr>
      </w:pPr>
      <w:r>
        <w:rPr>
          <w:rFonts w:hint="cs"/>
          <w:rtl/>
        </w:rPr>
        <w:t>2)[</w:t>
      </w:r>
      <w:r>
        <w:rPr>
          <w:rtl/>
        </w:rPr>
        <w:t>שולחן ערוך אבן העזר הלכות כתובות סימן צה סעיף א</w:t>
      </w:r>
      <w:r>
        <w:rPr>
          <w:rFonts w:hint="cs"/>
          <w:rtl/>
        </w:rPr>
        <w:t>]</w:t>
      </w:r>
      <w:r w:rsidR="00E631A1">
        <w:rPr>
          <w:rFonts w:hint="cs"/>
          <w:rtl/>
        </w:rPr>
        <w:t xml:space="preserve"> </w:t>
      </w:r>
      <w:r w:rsidR="00E631A1" w:rsidRPr="00E631A1">
        <w:rPr>
          <w:rtl/>
        </w:rPr>
        <w:t>מאחר שהיורשים חיבים במזונות האלמנה, מעשה ידיה שלהם. ואם היורשים אומרים לה: טלי מעשה ידיך למזונותיך, אין שומעין להם. אבל אם היא אומרת כן, שומעין לה</w:t>
      </w:r>
      <w:r w:rsidR="00E631A1" w:rsidRPr="00E631A1">
        <w:t>:</w:t>
      </w:r>
    </w:p>
    <w:p w14:paraId="1EE9B3D0" w14:textId="16B8DD54" w:rsidR="00E631A1" w:rsidRDefault="00E631A1" w:rsidP="00E631A1">
      <w:pPr>
        <w:pStyle w:val="Style1"/>
        <w:rPr>
          <w:rtl/>
        </w:rPr>
      </w:pPr>
      <w:r>
        <w:rPr>
          <w:rFonts w:hint="cs"/>
          <w:rtl/>
        </w:rPr>
        <w:t>3)[</w:t>
      </w:r>
      <w:r>
        <w:rPr>
          <w:rtl/>
        </w:rPr>
        <w:t>שולחן ערוך אבן העזר הלכות כתובות סימן צד סעיף ז</w:t>
      </w:r>
      <w:r>
        <w:rPr>
          <w:rFonts w:hint="cs"/>
          <w:rtl/>
        </w:rPr>
        <w:t xml:space="preserve">] </w:t>
      </w:r>
      <w:r>
        <w:rPr>
          <w:rtl/>
        </w:rPr>
        <w:t>חייבים לפרוע בשבילה כסף גולגלתה ומס שעליה, כדרך שפרע בעלה בשבילה. אבל אין חייבין בפדיונה, ולא ברפואתה שיש לה קצבה, ולא בקבורתה.</w:t>
      </w:r>
    </w:p>
    <w:p w14:paraId="430B1D5A" w14:textId="7420E905" w:rsidR="00C03901" w:rsidRPr="00CA5629" w:rsidRDefault="00C03901" w:rsidP="00C03901">
      <w:pPr>
        <w:pStyle w:val="Style1"/>
      </w:pPr>
      <w:r>
        <w:rPr>
          <w:rFonts w:hint="cs"/>
          <w:rtl/>
        </w:rPr>
        <w:t>4)[</w:t>
      </w:r>
      <w:r>
        <w:rPr>
          <w:rtl/>
        </w:rPr>
        <w:t>שולחן ערוך אבן העזר הלכות כתובות סימן פט סעיף ד</w:t>
      </w:r>
      <w:r>
        <w:rPr>
          <w:rFonts w:hint="cs"/>
          <w:rtl/>
        </w:rPr>
        <w:t>]</w:t>
      </w:r>
      <w:r w:rsidR="00CA5629">
        <w:rPr>
          <w:rFonts w:hint="cs"/>
          <w:rtl/>
        </w:rPr>
        <w:t xml:space="preserve"> </w:t>
      </w:r>
      <w:r w:rsidR="00CA5629" w:rsidRPr="00CA5629">
        <w:rPr>
          <w:rtl/>
        </w:rPr>
        <w:t>אלמנה, אינה נקברת מנכסי בעלה, אלא יורשי כתובתה חייבין בקבורתה. ואם מתה קודם שנשבעה שבועת אלמנה, יש מי שאומר שיורשי בעלה חייבין בקבורתה, ולא הודו לו</w:t>
      </w:r>
      <w:r w:rsidR="00CA5629" w:rsidRPr="00CA5629">
        <w:t>:</w:t>
      </w:r>
    </w:p>
    <w:p w14:paraId="4D0FA3B3" w14:textId="56D5E53C" w:rsidR="00C03901" w:rsidRPr="00E631A1" w:rsidRDefault="00C03901" w:rsidP="00C03901">
      <w:pPr>
        <w:pStyle w:val="Style1"/>
      </w:pPr>
    </w:p>
    <w:p w14:paraId="5419A3D9" w14:textId="10CFD0FC" w:rsidR="00056B9E" w:rsidRPr="00EC0FFB" w:rsidRDefault="00056B9E" w:rsidP="00056B9E">
      <w:pPr>
        <w:pStyle w:val="Style1"/>
      </w:pPr>
    </w:p>
    <w:p w14:paraId="72B214B8" w14:textId="77777777" w:rsidR="00EC0FFB" w:rsidRPr="00EC0FFB" w:rsidRDefault="00EC0FFB" w:rsidP="00EC0FFB">
      <w:pPr>
        <w:pStyle w:val="Style1"/>
        <w:rPr>
          <w:rStyle w:val="Style1Char"/>
        </w:rPr>
      </w:pPr>
    </w:p>
    <w:p w14:paraId="7F1E1470" w14:textId="77777777" w:rsidR="00B600B2" w:rsidRDefault="00B600B2" w:rsidP="00B600B2">
      <w:pPr>
        <w:rPr>
          <w:rStyle w:val="Style1Char"/>
          <w:color w:val="00B050"/>
          <w:rtl/>
        </w:rPr>
      </w:pPr>
      <w:r>
        <w:rPr>
          <w:rStyle w:val="Style1Char"/>
          <w:color w:val="00B050"/>
          <w:rtl/>
        </w:rPr>
        <w:br w:type="page"/>
      </w:r>
    </w:p>
    <w:p w14:paraId="40030EFD" w14:textId="72A1D905" w:rsidR="00B600B2" w:rsidRPr="00484281" w:rsidRDefault="00B600B2" w:rsidP="00B600B2">
      <w:pPr>
        <w:bidi/>
        <w:rPr>
          <w:rStyle w:val="Style1Char"/>
          <w:color w:val="ED7D31" w:themeColor="accent2"/>
          <w:sz w:val="22"/>
          <w:szCs w:val="22"/>
          <w:rtl/>
        </w:rPr>
      </w:pPr>
      <w:r w:rsidRPr="00884884">
        <w:rPr>
          <w:rStyle w:val="Style1Char"/>
          <w:color w:val="00B050"/>
          <w:rtl/>
        </w:rPr>
        <w:lastRenderedPageBreak/>
        <w:t xml:space="preserve"> </w:t>
      </w:r>
      <w:r w:rsidRPr="00884884">
        <w:rPr>
          <w:rStyle w:val="Style1Char"/>
          <w:color w:val="00B050"/>
          <w:sz w:val="22"/>
          <w:szCs w:val="22"/>
          <w:highlight w:val="yellow"/>
          <w:rtl/>
        </w:rPr>
        <w:t>[דף צו עמוד א]</w:t>
      </w:r>
      <w:r w:rsidRPr="00884884">
        <w:rPr>
          <w:rStyle w:val="Style1Char"/>
          <w:color w:val="00B050"/>
          <w:sz w:val="22"/>
          <w:szCs w:val="22"/>
          <w:rtl/>
        </w:rPr>
        <w:t xml:space="preserve"> </w:t>
      </w:r>
      <w:r w:rsidRPr="00884884">
        <w:rPr>
          <w:rStyle w:val="Style1Char"/>
          <w:color w:val="00B050"/>
          <w:rtl/>
        </w:rPr>
        <w:t xml:space="preserve">תא שמע, אמר רבי זירא </w:t>
      </w:r>
      <w:r w:rsidRPr="00EF7EE6">
        <w:rPr>
          <w:rStyle w:val="Style1Char"/>
          <w:color w:val="C00000"/>
          <w:sz w:val="22"/>
          <w:szCs w:val="22"/>
        </w:rPr>
        <w:t>)</w:t>
      </w:r>
      <w:r w:rsidRPr="00484281">
        <w:rPr>
          <w:rStyle w:val="Style1Char"/>
          <w:color w:val="auto"/>
          <w:sz w:val="22"/>
          <w:szCs w:val="22"/>
          <w:rtl/>
        </w:rPr>
        <w:t xml:space="preserve">אמר שמואל: </w:t>
      </w:r>
      <w:r w:rsidR="00B24E5D">
        <w:rPr>
          <w:rStyle w:val="Style1Char"/>
          <w:rFonts w:hint="cs"/>
          <w:rtl/>
        </w:rPr>
        <w:t>(1)</w:t>
      </w:r>
      <w:r w:rsidRPr="00484281">
        <w:rPr>
          <w:rStyle w:val="Style1Char"/>
          <w:color w:val="auto"/>
          <w:sz w:val="22"/>
          <w:szCs w:val="22"/>
          <w:rtl/>
        </w:rPr>
        <w:t>מציאת אלמנה לעצמה</w:t>
      </w:r>
      <w:r w:rsidRPr="00884884">
        <w:rPr>
          <w:rStyle w:val="Style1Char"/>
          <w:color w:val="00B050"/>
          <w:rtl/>
        </w:rPr>
        <w:t xml:space="preserve">; אי אמרת בשלמא הניזונת תנן - שפיר, אלא אי אמרת ניזונת תנן - ניהוו כבעל, מה בעל מציאת אשה לבעלה, הכא נמי מציאת אשה ליורשים! לעולם אימא לך: ניזונת תנן, </w:t>
      </w:r>
      <w:r w:rsidRPr="00484281">
        <w:rPr>
          <w:rStyle w:val="Style1Char"/>
          <w:color w:val="auto"/>
          <w:sz w:val="22"/>
          <w:szCs w:val="22"/>
          <w:rtl/>
        </w:rPr>
        <w:t>טעמא מאי אמור רבנן מציאת אשה לבעלה? דלא תיהוי לה איבה, הני תיהוי להו איבה</w:t>
      </w:r>
      <w:r w:rsidRPr="00EF7EE6">
        <w:rPr>
          <w:rStyle w:val="Style1Char"/>
          <w:color w:val="C00000"/>
          <w:sz w:val="22"/>
          <w:szCs w:val="22"/>
        </w:rPr>
        <w:t>(</w:t>
      </w:r>
      <w:r w:rsidRPr="00EF7EE6">
        <w:rPr>
          <w:rStyle w:val="Style1Char"/>
          <w:sz w:val="22"/>
          <w:szCs w:val="22"/>
          <w:rtl/>
        </w:rPr>
        <w:t>.</w:t>
      </w:r>
      <w:r w:rsidRPr="00884884">
        <w:rPr>
          <w:rStyle w:val="Style1Char"/>
          <w:color w:val="00B050"/>
          <w:rtl/>
        </w:rPr>
        <w:t xml:space="preserve"> </w:t>
      </w:r>
      <w:r w:rsidRPr="00484281">
        <w:rPr>
          <w:rStyle w:val="Style1Char"/>
          <w:color w:val="auto"/>
          <w:sz w:val="22"/>
          <w:szCs w:val="22"/>
          <w:rtl/>
        </w:rPr>
        <w:t xml:space="preserve">אמר רבי יוסי בר חנינא: </w:t>
      </w:r>
      <w:r w:rsidR="00956F28">
        <w:rPr>
          <w:rStyle w:val="Style1Char"/>
          <w:rFonts w:hint="cs"/>
          <w:rtl/>
        </w:rPr>
        <w:t>(2)</w:t>
      </w:r>
      <w:r w:rsidRPr="00484281">
        <w:rPr>
          <w:rStyle w:val="Style1Char"/>
          <w:color w:val="auto"/>
          <w:sz w:val="22"/>
          <w:szCs w:val="22"/>
          <w:rtl/>
        </w:rPr>
        <w:t xml:space="preserve">כל מלאכות שהאשה עושה לבעלה - אלמנה עושה ליורשים, חוץ ממזיגת הכוס, והצעת המטה, והרחצת פניו ידיו ורגליו. </w:t>
      </w:r>
      <w:r w:rsidRPr="00484281">
        <w:rPr>
          <w:rStyle w:val="Style1Char"/>
          <w:color w:val="ED7D31" w:themeColor="accent2"/>
          <w:sz w:val="22"/>
          <w:szCs w:val="22"/>
          <w:rtl/>
        </w:rPr>
        <w:t xml:space="preserve">אמר רבי יהושע בן לוי: </w:t>
      </w:r>
      <w:r w:rsidR="00662F3A">
        <w:rPr>
          <w:rStyle w:val="Style1Char"/>
          <w:rFonts w:hint="cs"/>
          <w:rtl/>
        </w:rPr>
        <w:t>(3)</w:t>
      </w:r>
      <w:r w:rsidRPr="00484281">
        <w:rPr>
          <w:rStyle w:val="Style1Char"/>
          <w:color w:val="ED7D31" w:themeColor="accent2"/>
          <w:sz w:val="22"/>
          <w:szCs w:val="22"/>
          <w:rtl/>
        </w:rPr>
        <w:t xml:space="preserve">כל מלאכות שהעבד עושה לרבו - תלמיד עושה לרבו, חוץ מהתרת </w:t>
      </w:r>
      <w:r w:rsidRPr="00884884">
        <w:rPr>
          <w:rStyle w:val="Style1Char"/>
          <w:color w:val="00B050"/>
          <w:rtl/>
        </w:rPr>
        <w:t xml:space="preserve">(לו) </w:t>
      </w:r>
      <w:r w:rsidRPr="00484281">
        <w:rPr>
          <w:rStyle w:val="Style1Char"/>
          <w:color w:val="ED7D31" w:themeColor="accent2"/>
          <w:sz w:val="22"/>
          <w:szCs w:val="22"/>
          <w:rtl/>
        </w:rPr>
        <w:t xml:space="preserve">מנעל. אמר רבא: </w:t>
      </w:r>
      <w:r w:rsidR="00586F5C">
        <w:rPr>
          <w:rStyle w:val="Style1Char"/>
          <w:rFonts w:hint="cs"/>
          <w:rtl/>
        </w:rPr>
        <w:t>(3)</w:t>
      </w:r>
      <w:r w:rsidRPr="00484281">
        <w:rPr>
          <w:rStyle w:val="Style1Char"/>
          <w:color w:val="ED7D31" w:themeColor="accent2"/>
          <w:sz w:val="22"/>
          <w:szCs w:val="22"/>
          <w:rtl/>
        </w:rPr>
        <w:t xml:space="preserve">לא אמרן אלא במקום שאין מכירין אותו, אבל במקום שמכירין אותו לית לן בה. אמר רב אשי: </w:t>
      </w:r>
      <w:r w:rsidR="00586F5C">
        <w:rPr>
          <w:rStyle w:val="Style1Char"/>
          <w:rFonts w:hint="cs"/>
          <w:rtl/>
        </w:rPr>
        <w:t>(3)</w:t>
      </w:r>
      <w:r w:rsidRPr="00484281">
        <w:rPr>
          <w:rStyle w:val="Style1Char"/>
          <w:color w:val="ED7D31" w:themeColor="accent2"/>
          <w:sz w:val="22"/>
          <w:szCs w:val="22"/>
          <w:rtl/>
        </w:rPr>
        <w:t xml:space="preserve">ובמקום שאין מכירין אותו נמי, לא אמרן אלא דלא מנח תפלין, אבל מנח תפלין ל"ל בה. אמר ר' חייא בר אבא אמר רבי יוחנן: </w:t>
      </w:r>
      <w:r w:rsidR="00351FDA">
        <w:rPr>
          <w:rStyle w:val="Style1Char"/>
          <w:rFonts w:hint="cs"/>
          <w:rtl/>
        </w:rPr>
        <w:t>(3.1, 4)</w:t>
      </w:r>
      <w:r w:rsidRPr="00484281">
        <w:rPr>
          <w:rStyle w:val="Style1Char"/>
          <w:color w:val="ED7D31" w:themeColor="accent2"/>
          <w:sz w:val="22"/>
          <w:szCs w:val="22"/>
          <w:rtl/>
        </w:rPr>
        <w:t xml:space="preserve">כל המונע תלמידו מלשמשו - כאילו מונע ממנו חסד, שנא': למס מרעהו חסד. רב נחמן בר יצחק אומר. </w:t>
      </w:r>
      <w:r w:rsidR="00351FDA">
        <w:rPr>
          <w:rStyle w:val="Style1Char"/>
          <w:rFonts w:hint="cs"/>
          <w:rtl/>
        </w:rPr>
        <w:t>(3.1, 4)</w:t>
      </w:r>
      <w:r w:rsidRPr="00484281">
        <w:rPr>
          <w:rStyle w:val="Style1Char"/>
          <w:color w:val="ED7D31" w:themeColor="accent2"/>
          <w:sz w:val="22"/>
          <w:szCs w:val="22"/>
          <w:rtl/>
        </w:rPr>
        <w:t xml:space="preserve">אף פורק ממנו יראת שמים, שנאמר: ויראת שדי יעזוב. </w:t>
      </w:r>
    </w:p>
    <w:p w14:paraId="5062D4F4" w14:textId="7D023E5B" w:rsidR="00B600B2" w:rsidRPr="00F9005B" w:rsidRDefault="00B600B2" w:rsidP="00B600B2">
      <w:pPr>
        <w:bidi/>
        <w:rPr>
          <w:rStyle w:val="Style1Char"/>
          <w:color w:val="4472C4" w:themeColor="accent1"/>
        </w:rPr>
      </w:pPr>
      <w:r w:rsidRPr="005E449D">
        <w:rPr>
          <w:rStyle w:val="Style1Char"/>
          <w:color w:val="auto"/>
          <w:sz w:val="22"/>
          <w:szCs w:val="22"/>
          <w:rtl/>
        </w:rPr>
        <w:t xml:space="preserve">אמר רבי אלעזר: </w:t>
      </w:r>
      <w:r w:rsidR="00F53393">
        <w:rPr>
          <w:rStyle w:val="Style1Char"/>
          <w:rFonts w:hint="cs"/>
          <w:rtl/>
        </w:rPr>
        <w:t>(5)</w:t>
      </w:r>
      <w:r w:rsidRPr="005E449D">
        <w:rPr>
          <w:rStyle w:val="Style1Char"/>
          <w:color w:val="auto"/>
          <w:sz w:val="22"/>
          <w:szCs w:val="22"/>
          <w:rtl/>
        </w:rPr>
        <w:t>אלמנה שתפסה מטלטלין במזונותיה - מה שתפסה תפסה</w:t>
      </w:r>
      <w:r w:rsidRPr="00884884">
        <w:rPr>
          <w:rStyle w:val="Style1Char"/>
          <w:color w:val="00B050"/>
          <w:rtl/>
        </w:rPr>
        <w:t>. תניא נמי הכי: אלמנה שתפסה מטלטלין במזונותיה - מה שתפסה תפסה</w:t>
      </w:r>
      <w:r w:rsidRPr="00C66179">
        <w:rPr>
          <w:rStyle w:val="Style1Char"/>
          <w:sz w:val="22"/>
          <w:szCs w:val="22"/>
          <w:rtl/>
        </w:rPr>
        <w:t xml:space="preserve">. </w:t>
      </w:r>
      <w:r w:rsidRPr="005E449D">
        <w:rPr>
          <w:rStyle w:val="Style1Char"/>
          <w:color w:val="auto"/>
          <w:sz w:val="22"/>
          <w:szCs w:val="22"/>
          <w:rtl/>
        </w:rPr>
        <w:t xml:space="preserve">וכן כי אתא רב דימי אמר: מעשה בכלתו של ר' שבתי שתפסה דסקיא מלאה מעות, ולא היה כח ביד חכמים להוציא מידה. אמר רבינא: ולא אמרן אלא למזוני, אבל לכתובה - מפקינן מינה. מתקיף לה מר בר רב אשי: מ"ש לכתובה? דממקרקעי ולא ממטלטלי, מזונות נמי ממקרקעי ולא ממטלטלי! </w:t>
      </w:r>
      <w:r w:rsidR="009317E9">
        <w:rPr>
          <w:rStyle w:val="Style1Char"/>
          <w:rFonts w:hint="cs"/>
          <w:rtl/>
        </w:rPr>
        <w:t>(</w:t>
      </w:r>
      <w:r w:rsidR="00C255B3">
        <w:rPr>
          <w:rStyle w:val="Style1Char"/>
          <w:rFonts w:hint="cs"/>
          <w:rtl/>
        </w:rPr>
        <w:t>6</w:t>
      </w:r>
      <w:r w:rsidR="009317E9">
        <w:rPr>
          <w:rStyle w:val="Style1Char"/>
          <w:rFonts w:hint="cs"/>
          <w:rtl/>
        </w:rPr>
        <w:t>)</w:t>
      </w:r>
      <w:r w:rsidRPr="005E449D">
        <w:rPr>
          <w:rStyle w:val="Style1Char"/>
          <w:color w:val="auto"/>
          <w:sz w:val="22"/>
          <w:szCs w:val="22"/>
          <w:rtl/>
        </w:rPr>
        <w:t xml:space="preserve">אלא </w:t>
      </w:r>
      <w:r w:rsidRPr="00884884">
        <w:rPr>
          <w:rStyle w:val="Style1Char"/>
          <w:color w:val="00B050"/>
          <w:rtl/>
        </w:rPr>
        <w:t xml:space="preserve">למזוני </w:t>
      </w:r>
      <w:r w:rsidRPr="00F02752">
        <w:rPr>
          <w:rStyle w:val="Style1Char"/>
          <w:color w:val="auto"/>
          <w:sz w:val="22"/>
          <w:szCs w:val="22"/>
          <w:rtl/>
        </w:rPr>
        <w:t xml:space="preserve">מאי דתפסה תפסה, </w:t>
      </w:r>
      <w:r w:rsidRPr="00CA4177">
        <w:rPr>
          <w:rStyle w:val="Style1Char"/>
          <w:sz w:val="22"/>
          <w:szCs w:val="22"/>
          <w:rtl/>
        </w:rPr>
        <w:t>הכי נמי</w:t>
      </w:r>
      <w:r w:rsidRPr="00884884">
        <w:rPr>
          <w:rStyle w:val="Style1Char"/>
          <w:color w:val="00B050"/>
          <w:rtl/>
        </w:rPr>
        <w:t xml:space="preserve"> לכתובה</w:t>
      </w:r>
      <w:r w:rsidRPr="00CA4177">
        <w:rPr>
          <w:rStyle w:val="Style1Char"/>
          <w:color w:val="C00000"/>
          <w:rtl/>
        </w:rPr>
        <w:t xml:space="preserve"> </w:t>
      </w:r>
      <w:r w:rsidRPr="00CA4177">
        <w:rPr>
          <w:rStyle w:val="Style1Char"/>
          <w:color w:val="C00000"/>
          <w:sz w:val="22"/>
          <w:szCs w:val="22"/>
          <w:rtl/>
        </w:rPr>
        <w:t>מאי דתפס תפס</w:t>
      </w:r>
      <w:r w:rsidRPr="00884884">
        <w:rPr>
          <w:rStyle w:val="Style1Char"/>
          <w:color w:val="00B050"/>
          <w:rtl/>
        </w:rPr>
        <w:t xml:space="preserve">. </w:t>
      </w:r>
      <w:r w:rsidRPr="00F02752">
        <w:rPr>
          <w:rStyle w:val="Style1Char"/>
          <w:color w:val="auto"/>
          <w:sz w:val="22"/>
          <w:szCs w:val="22"/>
          <w:rtl/>
        </w:rPr>
        <w:t xml:space="preserve">אמר ליה רב </w:t>
      </w:r>
      <w:r w:rsidRPr="00884884">
        <w:rPr>
          <w:rStyle w:val="Style1Char"/>
          <w:color w:val="00B050"/>
          <w:rtl/>
        </w:rPr>
        <w:t xml:space="preserve">יצחק </w:t>
      </w:r>
      <w:r w:rsidRPr="00F02752">
        <w:rPr>
          <w:rStyle w:val="Style1Char"/>
          <w:color w:val="806000" w:themeColor="accent4" w:themeShade="80"/>
          <w:sz w:val="22"/>
          <w:szCs w:val="22"/>
          <w:rtl/>
        </w:rPr>
        <w:t xml:space="preserve">יעקב </w:t>
      </w:r>
      <w:r w:rsidRPr="00F02752">
        <w:rPr>
          <w:rStyle w:val="Style1Char"/>
          <w:color w:val="auto"/>
          <w:sz w:val="22"/>
          <w:szCs w:val="22"/>
          <w:rtl/>
        </w:rPr>
        <w:t>בר נפתלי לרבינא: הכי אמרינן משמיה דרבא כוותיך</w:t>
      </w:r>
      <w:r w:rsidRPr="00F02752">
        <w:rPr>
          <w:rStyle w:val="Style1Char"/>
          <w:color w:val="auto"/>
          <w:rtl/>
        </w:rPr>
        <w:t xml:space="preserve"> </w:t>
      </w:r>
      <w:r w:rsidRPr="00F9005B">
        <w:rPr>
          <w:rStyle w:val="Style1Char"/>
          <w:color w:val="4472C4" w:themeColor="accent1"/>
          <w:rtl/>
        </w:rPr>
        <w:t>והאידנא דתקינו רבנן כתובה אפי' ממטלטלין כיון דמזוני תנאי כתובה נינהו ותנאי כתובה ככתוב' דמיא ניזונת נמי ממטלטלי</w:t>
      </w:r>
      <w:r>
        <w:rPr>
          <w:rStyle w:val="Style1Char"/>
          <w:rFonts w:hint="cs"/>
          <w:color w:val="4472C4" w:themeColor="accent1"/>
        </w:rPr>
        <w:t>‍</w:t>
      </w:r>
      <w:r w:rsidRPr="00F9005B">
        <w:rPr>
          <w:rStyle w:val="Style1Char"/>
          <w:color w:val="4472C4" w:themeColor="accent1"/>
          <w:rtl/>
        </w:rPr>
        <w:t xml:space="preserve"> בין שתפסה בין שלא תפסה ירושלמי (ה"ב) אלמנה שתפסה אלף זוז במזונותיה אין מוציאין אותן מידה מהו למימר לה</w:t>
      </w:r>
      <w:r>
        <w:rPr>
          <w:rStyle w:val="Style1Char"/>
          <w:rFonts w:hint="cs"/>
          <w:color w:val="4472C4" w:themeColor="accent1"/>
        </w:rPr>
        <w:t>‍</w:t>
      </w:r>
      <w:r w:rsidRPr="00F9005B">
        <w:rPr>
          <w:rStyle w:val="Style1Char"/>
          <w:color w:val="4472C4" w:themeColor="accent1"/>
          <w:rtl/>
        </w:rPr>
        <w:t xml:space="preserve"> חוי מה שבידך תלמידי דר' יונה אמרי אמרי' לה חוי מה שבידך אמר לון רבי יוסי בר בון מכיון שיש לה לישבע בסוף אפי' חוי מה שבידך לא אמרי' לה וריצב"א כתב לרבינו שמשון אחיו מה שכתבת אחי דאלמנה שתפסה למזונותיה כל מה שתפסה יכולה לעכב אפילו כמה וכמה מההיא ירושלמי דפ' אלמנה לפי זה לא שבקת חיי לכל בריה נשים גבירות ושולטות בממון בעליהן ויש להן בנים קטנים יקחו כל הממון ולא יתבעו לעולם כתובה ויתפסו הכל בשביל מזונות וכן נשים שאינן גבירות אם יש מטלטלין הרבה בתוך הבית או כסף וזהב יקחו הכל אלא יש לפרש הא דקאמר התם ר' יוסי בר' בון אמר מכיון שהיא עתידה לישבע בסוף אפי' חוי מה שבידך לא אמרי' לה. מתוך לשונו משמע דוקא בשביל שסופה לישבע הא אין סופה לישבע אמרי' לה חוי מה שבידך א"כ בנדון זה שלקחה הכל ואינה עתידה לישבע בסוף אמרי' לה חוי ומוציאין מידה כל המותר על מזונותיה לשנים עשר חודש כי יותר אין ראוי שישאר בידה ממה שראוי בפעם אחת למכור בקרקעות ובהא שיעורא אמרינן מה שתפסה תפסה ואלף זוז דקאמר לאו דוקא אי נמי בעשירה שראויה לכך בשנים עשר חדש אי נמי נראה מה שתפסה תפסה ראוי לומר אפי' ביתר משנים עשר חדש ובלבד שתפסה פחות מכדי כתובתה שסופה לישבע על כתובתה אבל אם תפסה יותר מכדי כתובתה שאין סופה לישבע על כתובתה לא והא דקאמר אפילו חוי מה שבידך לא אמרינן היינו היכא דידע לן שלא תפסה כדי כתובתה לפי שסופה לישבע אבל אי לא ידעינן כמה תפסה לא ולכאורה אם היתה תובעת מזונותיה אחרי כן ואמרה שכבר אכלה כל מה שתפסה לא היו זנין אותה עד שתשבע כמה לקחה עד כאן דבריו ורבינו מאיר כתב השתא לפי דבריו אחרי שהיתומים אומרים שתפסה יותר מכתובתה היה לנו להשביעה אמנם לפי דברי רבינו שמשון אחיו שנחלקו עליו אפילו בתפסה יותר אין להשביעה וכן משמע מדברי הרמב"ם ז"ל (פי"ח מהל' אישות ה"י) שכתב אלמנה שתפסה מטלטלין כדי שתזון מהן בין שתפסה מחיים בין שתפסה אחר מיתה אפי' תפסה ככר זהב אין מוציאין מידה אלא שכותבין לה ב"ד מה שתפסה ופוסקין לה מזונות ומחשבין עמה והיא ניזונת ממה שבידה עד שלא יהא לה מזונות יותר או עד שתמות ויקחו היורשין את השאר וכו' ואחרי שכתב אפילו ככר זהב שמע מינה דסבירא ליה דתפיסה למזונות מהניא אפי' ביותר מכתובתה ולא מפקינן מינה ופשט הירושלמי דקאמר אלף זוז וגמרא דידן דקאמר דסקיא מליאה מעות משמע נמי הכי דאפילו טובא יותר מכדי כתובתה לא מפקינן מינה וטעמא הוי משום דלא ידעינן כמה תחיה וכמה תצטרך למזונות כי שמא יאבד מהן או שמא תחלה ותצטרך לרפואה שאין לה קצבה שהיא בכלל מזונות וכיון דאף אם תפסה למזונותיה הרבה יותר ממזונותיה לא מפקינן מינה א"כ למה היה לנו להשביעה השתא הרי לא מצינו שום שבועה כיוצא בזו מצינו נשבעין ולא משלמין נשבעין ונוטלין אבל בנדון זה שבועה זו למה לא ליטול ולא ליפטר מעכשיו אמנם אם אחר זמן תאמר שכלו כל המטלטלין שתפסה ותבוא לתבוע מזונות לא יהבינן לה מידי עד שתשבע שלא נשאר בידה ממה שתפסה ולא נתנה ולא בזבזה כלום דבהא מודה הרמב"ם ז"ל שהרי הוא כתב (שם הי"ט) אלמנה שבאה לבית דין לתבוע מזונות יש מי שהורה שפוסקין לה מזונות ואין משביעין אותה ואין ראוי לסמוך על הוראה זו מפני שנתחלף לו הדבר באשה שהלך בעלה למדינת הים ורבותי הורו שאין לה מזונות עד שתשבע שהרי זו באה ליפרע מנכסי יתומים ולזה דעתי נוטה וכן ראוי לדון עכ"ל ואפי' לדברי הגדולים האומרים דבכל ענין קאמר חנן לא תשבע בתחלה אפי' כי אתיא לאפוקי מזוני מיתמי נראה לי דכל כהאי גוונא שעכבה ממון היתומים יותר מן הראוי להגבותה בבית דין בפעם אחת דהיינו כדי מזון שלשים יום מודו כ"ע דלא יהבינן לה עד שתשבע כי צריך לתת טעם מאי שנא למזוני דלא משביעינן לה משום דסופה עתידה לישבע על כתובתה ואף על פי דשמא לא תבוא לעולם לידי גיבוי כתובה ובשאר דוכתי לא אמרינן הכי שהרי אפוטרופא ושותפין ואריסין הנשבעין שלא בטענה אי בעי משבעי אהדדי כל יומא ולא אמרי' ימתין עד לבסוף ואז ישבע על הכל אלא נראה דהיינו טעמא גבי אשה דאי ידעה שעתידין להשביעה על מזונותיה בימי מיגר אלמנותיה שהיא יושבת לכבודו הויא לה קטטה מעיקרא בהדי בעלה ואין אדם דר עם נחש בכפיפה אבל בנדון זה שרגלים לדבר וראוי לחושדה לפי שתפסה ממון היתומים והיה ראוי להשביעה מיד אלא שלא מצינו שבועה כיוצא בזו כדפרישית לעיל מ"מ ודאי אם תתבע מזונות אח"כ ראוי להשביעה לכ"ע ע"כ דברי רבינו מאיר ומתוך דברי הרמב"ם ז"ל משמע שפסק כתלמידי דרבי' יונה דאמרי' לה חוי מה שבידך וכן מסתבר</w:t>
      </w:r>
      <w:r w:rsidRPr="00F9005B">
        <w:rPr>
          <w:rStyle w:val="Style1Char"/>
          <w:color w:val="4472C4" w:themeColor="accent1"/>
        </w:rPr>
        <w:t xml:space="preserve">: </w:t>
      </w:r>
    </w:p>
    <w:p w14:paraId="7A9074B2" w14:textId="132A9F8F" w:rsidR="00B600B2" w:rsidRDefault="00B600B2" w:rsidP="00B600B2">
      <w:pPr>
        <w:bidi/>
        <w:rPr>
          <w:rStyle w:val="Style1Char"/>
          <w:color w:val="auto"/>
          <w:sz w:val="22"/>
          <w:szCs w:val="22"/>
          <w:rtl/>
        </w:rPr>
      </w:pPr>
      <w:r w:rsidRPr="00320D3D">
        <w:rPr>
          <w:rStyle w:val="Style1Char"/>
          <w:color w:val="C00000"/>
          <w:rtl/>
        </w:rPr>
        <w:t>דהני שמעתתא כולהו בשתפסה מחיים ואנן לא חזינן להאי פירוקא דאם איתא דקשיא דרבא אדרבא לא הוה שתיק גמרא מיניה אלא הוה ליה לאקשויי דרבא אדרבא ולשנויי הדר ביה רבא ולברורי הי מינייהו הדר ביה ומדלא אקשי ליה הכי שמע מינה דלא קשיא דרבא אדרבא אלא הני תרתי דרבא תרי טעמי נינהו ולא קשיאן אהדדי דהאי דאמר רבא תפיסת מטלטלי לכתובה לא מהניא בתפיסה דלאחר מיתה ואפילו הכי למזוני מהניא והא דאמרינן בההיא איתתא דתפסה כסא דכספא בכתובתה דמהניא בשתפסה מחיים דיקא נמי דבהא אמרי אלמנה שתפסה למימרא דכשהיא אלמנה תפסה ובהא אמרי' איתתא דתפסה כסא דכספא למימרא דכשהיא תחת בעלה תפסה וכן האי דגרסי' בפ' שבועת העדות דכוותה והאידנא תקינו רבנן כתובה אפילו ממטלטלי וכיון דמזוני תנאי כתובה ותנאי כתובה ככתובה דמי מזונות נמי ממטלטלי בין תפסה בין לא תפסה:</w:t>
      </w:r>
      <w:r w:rsidRPr="00CA4177">
        <w:rPr>
          <w:rStyle w:val="Style1Char"/>
          <w:sz w:val="22"/>
          <w:szCs w:val="22"/>
          <w:rtl/>
        </w:rPr>
        <w:t xml:space="preserve">. </w:t>
      </w:r>
      <w:r w:rsidRPr="00A23D71">
        <w:rPr>
          <w:rStyle w:val="Style1Char"/>
          <w:color w:val="auto"/>
          <w:sz w:val="22"/>
          <w:szCs w:val="22"/>
          <w:rtl/>
        </w:rPr>
        <w:t xml:space="preserve">אמר ר' יוחנן משמיה דרבי יוסי בן זימרא: </w:t>
      </w:r>
      <w:r w:rsidR="009317E9">
        <w:rPr>
          <w:rStyle w:val="Style1Char"/>
          <w:rFonts w:hint="cs"/>
          <w:rtl/>
        </w:rPr>
        <w:t>(</w:t>
      </w:r>
      <w:r w:rsidR="00C255B3">
        <w:rPr>
          <w:rStyle w:val="Style1Char"/>
          <w:rFonts w:hint="cs"/>
          <w:rtl/>
        </w:rPr>
        <w:t>7</w:t>
      </w:r>
      <w:r w:rsidR="009317E9">
        <w:rPr>
          <w:rStyle w:val="Style1Char"/>
          <w:rFonts w:hint="cs"/>
          <w:rtl/>
        </w:rPr>
        <w:t>)</w:t>
      </w:r>
      <w:r w:rsidRPr="00A23D71">
        <w:rPr>
          <w:rStyle w:val="Style1Char"/>
          <w:color w:val="auto"/>
          <w:sz w:val="22"/>
          <w:szCs w:val="22"/>
          <w:rtl/>
        </w:rPr>
        <w:t xml:space="preserve">אלמנה ששהתה שתים ושלש שנים ולא תבעה מזונות - איבדה מזונות. השתא שתים איבדה, שלש מיבעיא? </w:t>
      </w:r>
      <w:r w:rsidR="00FA72ED">
        <w:rPr>
          <w:rStyle w:val="Style1Char"/>
          <w:rFonts w:hint="cs"/>
          <w:rtl/>
        </w:rPr>
        <w:t>(7)</w:t>
      </w:r>
      <w:r w:rsidRPr="00A23D71">
        <w:rPr>
          <w:rStyle w:val="Style1Char"/>
          <w:color w:val="auto"/>
          <w:sz w:val="22"/>
          <w:szCs w:val="22"/>
          <w:rtl/>
        </w:rPr>
        <w:t xml:space="preserve">לא קשיא: כאן בעניה, כאן בעשירה; </w:t>
      </w:r>
      <w:r w:rsidR="00501E25">
        <w:rPr>
          <w:rStyle w:val="Style1Char"/>
          <w:rFonts w:hint="cs"/>
          <w:rtl/>
        </w:rPr>
        <w:t>(8)</w:t>
      </w:r>
      <w:r w:rsidRPr="00A23D71">
        <w:rPr>
          <w:rStyle w:val="Style1Char"/>
          <w:color w:val="auto"/>
          <w:sz w:val="22"/>
          <w:szCs w:val="22"/>
          <w:rtl/>
        </w:rPr>
        <w:t>אי נמי, כאן בפרוצה, כאן בצנועה</w:t>
      </w:r>
      <w:r w:rsidRPr="00A23D71">
        <w:rPr>
          <w:rStyle w:val="Style1Char"/>
          <w:color w:val="4472C4" w:themeColor="accent1"/>
          <w:rtl/>
        </w:rPr>
        <w:t xml:space="preserve"> </w:t>
      </w:r>
      <w:r w:rsidRPr="00F9005B">
        <w:rPr>
          <w:rStyle w:val="Style1Char"/>
          <w:color w:val="4472C4" w:themeColor="accent1"/>
          <w:rtl/>
        </w:rPr>
        <w:t>הלכך לא איבדה בשתי שנים עד שתהא עניה ופרוצה ירושלמי (ה"ב) ר' אלעזר בשם רבי יוסי בן זימרא בשלא לותה ואין בידה משכון אבל אם לותה או שיש בידה משכון גובה אפילו למפרע</w:t>
      </w:r>
      <w:r w:rsidRPr="00A23D71">
        <w:rPr>
          <w:rStyle w:val="Style1Char"/>
          <w:color w:val="auto"/>
          <w:sz w:val="22"/>
          <w:szCs w:val="22"/>
          <w:rtl/>
        </w:rPr>
        <w:t xml:space="preserve">. </w:t>
      </w:r>
      <w:r w:rsidRPr="00A7005F">
        <w:rPr>
          <w:rStyle w:val="Style1Char"/>
          <w:color w:val="auto"/>
          <w:sz w:val="22"/>
          <w:szCs w:val="22"/>
          <w:rtl/>
        </w:rPr>
        <w:t xml:space="preserve">אמר רבא: </w:t>
      </w:r>
      <w:r w:rsidR="00FA72ED">
        <w:rPr>
          <w:rStyle w:val="Style1Char"/>
          <w:rFonts w:hint="cs"/>
          <w:rtl/>
        </w:rPr>
        <w:t>(7)</w:t>
      </w:r>
      <w:r w:rsidRPr="00A7005F">
        <w:rPr>
          <w:rStyle w:val="Style1Char"/>
          <w:color w:val="auto"/>
          <w:sz w:val="22"/>
          <w:szCs w:val="22"/>
          <w:rtl/>
        </w:rPr>
        <w:t xml:space="preserve">לא אמרן אלא למפרע, אבל להבא יש לה. </w:t>
      </w:r>
      <w:r w:rsidRPr="00D211C7">
        <w:rPr>
          <w:rStyle w:val="Style1Char"/>
          <w:color w:val="auto"/>
          <w:sz w:val="22"/>
          <w:szCs w:val="22"/>
          <w:rtl/>
        </w:rPr>
        <w:t xml:space="preserve">בעי ר' יוחנן: יתומים אומרים נתננו </w:t>
      </w:r>
      <w:r w:rsidRPr="00D211C7">
        <w:rPr>
          <w:rStyle w:val="Style1Char"/>
          <w:color w:val="4472C4" w:themeColor="accent1"/>
          <w:sz w:val="22"/>
          <w:szCs w:val="22"/>
          <w:rtl/>
        </w:rPr>
        <w:t xml:space="preserve">לה מזונות עד היום הזה </w:t>
      </w:r>
      <w:r w:rsidRPr="00D211C7">
        <w:rPr>
          <w:rStyle w:val="Style1Char"/>
          <w:color w:val="auto"/>
          <w:sz w:val="22"/>
          <w:szCs w:val="22"/>
          <w:rtl/>
        </w:rPr>
        <w:t>והיא אומרת לא נטלתי</w:t>
      </w:r>
      <w:r w:rsidRPr="00D211C7">
        <w:rPr>
          <w:rStyle w:val="Style1Char"/>
          <w:color w:val="4472C4" w:themeColor="accent1"/>
          <w:rtl/>
        </w:rPr>
        <w:t xml:space="preserve"> </w:t>
      </w:r>
      <w:r w:rsidRPr="00D211C7">
        <w:rPr>
          <w:rStyle w:val="Style1Char"/>
          <w:color w:val="4472C4" w:themeColor="accent1"/>
          <w:sz w:val="22"/>
          <w:szCs w:val="22"/>
          <w:rtl/>
        </w:rPr>
        <w:t>ולא שהתה עדיין שתים ושלש שנים</w:t>
      </w:r>
      <w:r w:rsidRPr="00D211C7">
        <w:rPr>
          <w:rStyle w:val="Style1Char"/>
          <w:color w:val="auto"/>
          <w:sz w:val="22"/>
          <w:szCs w:val="22"/>
          <w:rtl/>
        </w:rPr>
        <w:t xml:space="preserve">, על מי להביא ראיה? </w:t>
      </w:r>
    </w:p>
    <w:p w14:paraId="5425D5CD" w14:textId="03C13F0B" w:rsidR="00B24E5D" w:rsidRDefault="00B24E5D" w:rsidP="00B24E5D">
      <w:pPr>
        <w:pStyle w:val="Style1"/>
        <w:rPr>
          <w:rStyle w:val="Style1Char"/>
          <w:rtl/>
        </w:rPr>
      </w:pPr>
      <w:r>
        <w:rPr>
          <w:rStyle w:val="Style1Char"/>
          <w:rFonts w:hint="cs"/>
          <w:rtl/>
        </w:rPr>
        <w:t>1)[</w:t>
      </w:r>
      <w:r w:rsidRPr="00B24E5D">
        <w:rPr>
          <w:rStyle w:val="Style1Char"/>
          <w:rtl/>
        </w:rPr>
        <w:t>רמב</w:t>
      </w:r>
      <w:r w:rsidR="00213DA1">
        <w:rPr>
          <w:rStyle w:val="Style1Char"/>
          <w:rtl/>
        </w:rPr>
        <w:t>”ם \נשים\</w:t>
      </w:r>
      <w:r w:rsidRPr="00B24E5D">
        <w:rPr>
          <w:rStyle w:val="Style1Char"/>
          <w:rtl/>
        </w:rPr>
        <w:t xml:space="preserve"> הלכות אישות פרק יח הלכה ח</w:t>
      </w:r>
      <w:r>
        <w:rPr>
          <w:rStyle w:val="Style1Char"/>
          <w:rFonts w:hint="cs"/>
          <w:rtl/>
        </w:rPr>
        <w:t xml:space="preserve">] </w:t>
      </w:r>
      <w:r w:rsidRPr="00B24E5D">
        <w:rPr>
          <w:rStyle w:val="Style1Char"/>
          <w:rtl/>
        </w:rPr>
        <w:t>מציאת האלמנה ופירות נכסים שהכניסה לבעל לעצמה ואין ליורש בהם כלום.</w:t>
      </w:r>
    </w:p>
    <w:p w14:paraId="4D103949" w14:textId="368D06EE" w:rsidR="00866506" w:rsidRDefault="00866506" w:rsidP="00866506">
      <w:pPr>
        <w:pStyle w:val="Style1"/>
        <w:rPr>
          <w:rStyle w:val="Style1Char"/>
          <w:rtl/>
        </w:rPr>
      </w:pPr>
      <w:r>
        <w:rPr>
          <w:rStyle w:val="Style1Char"/>
          <w:rFonts w:hint="cs"/>
          <w:rtl/>
        </w:rPr>
        <w:t>1)[</w:t>
      </w:r>
      <w:r w:rsidRPr="00866506">
        <w:rPr>
          <w:rStyle w:val="Style1Char"/>
          <w:rtl/>
        </w:rPr>
        <w:t>שולחן ערוך אבן העזר הלכות כתובות סימן צה סעיף ד</w:t>
      </w:r>
      <w:r>
        <w:rPr>
          <w:rStyle w:val="Style1Char"/>
          <w:rFonts w:hint="cs"/>
          <w:rtl/>
        </w:rPr>
        <w:t xml:space="preserve">] </w:t>
      </w:r>
      <w:r w:rsidRPr="00866506">
        <w:rPr>
          <w:rStyle w:val="Style1Char"/>
          <w:rtl/>
        </w:rPr>
        <w:t>מציאתה ופירות נכסיה לעצמה.</w:t>
      </w:r>
    </w:p>
    <w:p w14:paraId="5B4FAE54" w14:textId="2F1687A6" w:rsidR="00662F3A" w:rsidRDefault="00662F3A" w:rsidP="00662F3A">
      <w:pPr>
        <w:pStyle w:val="Style1"/>
        <w:rPr>
          <w:rStyle w:val="Style1Char"/>
          <w:rtl/>
        </w:rPr>
      </w:pPr>
      <w:r>
        <w:rPr>
          <w:rStyle w:val="Style1Char"/>
          <w:rFonts w:hint="cs"/>
          <w:rtl/>
        </w:rPr>
        <w:lastRenderedPageBreak/>
        <w:t>2)[</w:t>
      </w:r>
      <w:r w:rsidRPr="00662F3A">
        <w:rPr>
          <w:rStyle w:val="Style1Char"/>
          <w:rtl/>
        </w:rPr>
        <w:t>רמב</w:t>
      </w:r>
      <w:r w:rsidR="00213DA1">
        <w:rPr>
          <w:rStyle w:val="Style1Char"/>
          <w:rtl/>
        </w:rPr>
        <w:t>”ם \נשים\</w:t>
      </w:r>
      <w:r w:rsidRPr="00662F3A">
        <w:rPr>
          <w:rStyle w:val="Style1Char"/>
          <w:rtl/>
        </w:rPr>
        <w:t xml:space="preserve"> הלכות אישות פרק יח הלכה ז</w:t>
      </w:r>
      <w:r>
        <w:rPr>
          <w:rStyle w:val="Style1Char"/>
          <w:rFonts w:hint="cs"/>
          <w:rtl/>
        </w:rPr>
        <w:t xml:space="preserve">] </w:t>
      </w:r>
      <w:r w:rsidRPr="00662F3A">
        <w:rPr>
          <w:rStyle w:val="Style1Char"/>
          <w:rtl/>
        </w:rPr>
        <w:t>וכל מלאכות שהאשה עושה לבעלה אלמנה עושה ליתומים חוץ ממזיגת הכוס והצעת המטה והרחצת פניו ידיו ורגליו.</w:t>
      </w:r>
    </w:p>
    <w:p w14:paraId="014E5C81" w14:textId="28E8C984" w:rsidR="009B7D1E" w:rsidRDefault="009B7D1E" w:rsidP="009B7D1E">
      <w:pPr>
        <w:pStyle w:val="Style1"/>
        <w:rPr>
          <w:rStyle w:val="Style1Char"/>
          <w:rtl/>
        </w:rPr>
      </w:pPr>
      <w:r>
        <w:rPr>
          <w:rStyle w:val="Style1Char"/>
          <w:rFonts w:hint="cs"/>
          <w:rtl/>
        </w:rPr>
        <w:t>2)[</w:t>
      </w:r>
      <w:r w:rsidRPr="009B7D1E">
        <w:rPr>
          <w:rStyle w:val="Style1Char"/>
          <w:rtl/>
        </w:rPr>
        <w:t>שולחן ערוך אבן העזר הלכות כתובות סימן צה סעיף ג</w:t>
      </w:r>
      <w:r>
        <w:rPr>
          <w:rStyle w:val="Style1Char"/>
          <w:rFonts w:hint="cs"/>
          <w:rtl/>
        </w:rPr>
        <w:t xml:space="preserve">] </w:t>
      </w:r>
      <w:r w:rsidRPr="009B7D1E">
        <w:rPr>
          <w:rStyle w:val="Style1Char"/>
          <w:rtl/>
        </w:rPr>
        <w:t>כל מלאכות שהאשה עושה לבעלה אלמנה עושה ליורשים, חוץ ממזיגת הכוס והצעת המטה והרחצת פנים ידים ורגלים.</w:t>
      </w:r>
    </w:p>
    <w:p w14:paraId="05879CE8" w14:textId="7C4A7EF4" w:rsidR="001136AC" w:rsidRDefault="001136AC" w:rsidP="001136AC">
      <w:pPr>
        <w:pStyle w:val="Style1"/>
        <w:rPr>
          <w:rStyle w:val="Style1Char"/>
          <w:rtl/>
        </w:rPr>
      </w:pPr>
      <w:r>
        <w:rPr>
          <w:rStyle w:val="Style1Char"/>
          <w:rFonts w:hint="cs"/>
          <w:rtl/>
        </w:rPr>
        <w:t>3)[</w:t>
      </w:r>
      <w:r w:rsidRPr="001136AC">
        <w:rPr>
          <w:rStyle w:val="Style1Char"/>
          <w:rtl/>
        </w:rPr>
        <w:t>רמב</w:t>
      </w:r>
      <w:r w:rsidR="0057095E">
        <w:rPr>
          <w:rStyle w:val="Style1Char"/>
          <w:rtl/>
        </w:rPr>
        <w:t>”ם \מדע\</w:t>
      </w:r>
      <w:r w:rsidRPr="001136AC">
        <w:rPr>
          <w:rStyle w:val="Style1Char"/>
          <w:rtl/>
        </w:rPr>
        <w:t xml:space="preserve"> הלכות תלמוד תורה פרק ה הלכה ח</w:t>
      </w:r>
      <w:r>
        <w:rPr>
          <w:rStyle w:val="Style1Char"/>
          <w:rFonts w:hint="cs"/>
          <w:rtl/>
        </w:rPr>
        <w:t xml:space="preserve">] </w:t>
      </w:r>
      <w:r w:rsidRPr="001136AC">
        <w:rPr>
          <w:rStyle w:val="Style1Char"/>
          <w:rtl/>
        </w:rPr>
        <w:t>אין חולקין כבוד לתלמיד בפני רבו אלא א"כ דרך רבו לחלוק לו כבוד, וכל המלאכות שהעבד עושה לרבו תלמיד עושה לרבו, ואם היה במקום שאין מכירין אותו ולא היו לו תפילין וחש שמא יאמרו עבד הוא אינו נועל לו מנעלו ואינו חולצו, וכל המונע תלמידו מלשמשו מונע ממנו חסד ופורק ממנו יראת שמים, וכל תלמיד שמזלזל דבר מכל כבוד רבו גורם לשכינה שתסתלק מישראל.</w:t>
      </w:r>
    </w:p>
    <w:p w14:paraId="7F98C80B" w14:textId="23C81379" w:rsidR="005A0C8B" w:rsidRDefault="005A0C8B" w:rsidP="005A0C8B">
      <w:pPr>
        <w:pStyle w:val="Style1"/>
        <w:rPr>
          <w:rStyle w:val="Style1Char"/>
          <w:rtl/>
        </w:rPr>
      </w:pPr>
      <w:r>
        <w:rPr>
          <w:rStyle w:val="Style1Char"/>
          <w:rFonts w:hint="cs"/>
          <w:rtl/>
        </w:rPr>
        <w:t>3)[</w:t>
      </w:r>
      <w:r w:rsidRPr="005A0C8B">
        <w:rPr>
          <w:rStyle w:val="Style1Char"/>
          <w:rtl/>
        </w:rPr>
        <w:t>שולחן ערוך יורה דעה הלכות כבוד רבו ותלמיד חכם סימן רמב סעיף יט</w:t>
      </w:r>
      <w:r>
        <w:rPr>
          <w:rStyle w:val="Style1Char"/>
          <w:rFonts w:hint="cs"/>
          <w:rtl/>
        </w:rPr>
        <w:t xml:space="preserve">] </w:t>
      </w:r>
      <w:r w:rsidRPr="005A0C8B">
        <w:rPr>
          <w:rStyle w:val="Style1Char"/>
          <w:rtl/>
        </w:rPr>
        <w:t>כל מלאכות שהעבד עושה לרבו תלמיד עושה לרבו. ואם הוא במקום שאין מכירין אותו, ואין לו תפילין בראשו, וחושש שמא יאמרו עליו שהוא עבד, אינו נועל לו מנעל ולא חולצו.</w:t>
      </w:r>
    </w:p>
    <w:p w14:paraId="4D9FD575" w14:textId="0AEEA211" w:rsidR="00C72F02" w:rsidRDefault="00C72F02" w:rsidP="00C72F02">
      <w:pPr>
        <w:pStyle w:val="Style1"/>
        <w:rPr>
          <w:rStyle w:val="Style1Char"/>
          <w:rtl/>
        </w:rPr>
      </w:pPr>
      <w:r>
        <w:rPr>
          <w:rStyle w:val="Style1Char"/>
          <w:rFonts w:hint="cs"/>
          <w:rtl/>
        </w:rPr>
        <w:t>4)[</w:t>
      </w:r>
      <w:r w:rsidRPr="00C72F02">
        <w:rPr>
          <w:rStyle w:val="Style1Char"/>
          <w:rtl/>
        </w:rPr>
        <w:t>שולחן ערוך יורה דעה הלכות כבוד רבו ותלמיד חכם סימן רמב סעיף כ</w:t>
      </w:r>
      <w:r>
        <w:rPr>
          <w:rStyle w:val="Style1Char"/>
          <w:rFonts w:hint="cs"/>
          <w:rtl/>
        </w:rPr>
        <w:t xml:space="preserve">] </w:t>
      </w:r>
      <w:r w:rsidRPr="00C72F02">
        <w:rPr>
          <w:rStyle w:val="Style1Char"/>
          <w:rtl/>
        </w:rPr>
        <w:t>כל המונע תלמידו מלשמשו מונע ממנו חסד ופורק ממנו יראת שמים. וכל תלמיד שמזלזל דבר מכל כבוד רבו, גורם לשכינה שתסתלק מישראל.</w:t>
      </w:r>
    </w:p>
    <w:p w14:paraId="7FCC1993" w14:textId="62B88564" w:rsidR="009E47B7" w:rsidRDefault="009E47B7" w:rsidP="009E47B7">
      <w:pPr>
        <w:pStyle w:val="Style1"/>
        <w:rPr>
          <w:rStyle w:val="Style1Char"/>
          <w:rtl/>
        </w:rPr>
      </w:pPr>
      <w:r>
        <w:rPr>
          <w:rStyle w:val="Style1Char"/>
          <w:rFonts w:hint="cs"/>
          <w:rtl/>
        </w:rPr>
        <w:t>5)[</w:t>
      </w:r>
      <w:r w:rsidRPr="009E47B7">
        <w:rPr>
          <w:rStyle w:val="Style1Char"/>
          <w:rtl/>
        </w:rPr>
        <w:t>רמב</w:t>
      </w:r>
      <w:r w:rsidR="00213DA1">
        <w:rPr>
          <w:rStyle w:val="Style1Char"/>
          <w:rtl/>
        </w:rPr>
        <w:t>”ם \נשים\</w:t>
      </w:r>
      <w:r w:rsidRPr="009E47B7">
        <w:rPr>
          <w:rStyle w:val="Style1Char"/>
          <w:rtl/>
        </w:rPr>
        <w:t xml:space="preserve"> הלכות אישות פרק יח הלכה י</w:t>
      </w:r>
      <w:r>
        <w:rPr>
          <w:rStyle w:val="Style1Char"/>
          <w:rFonts w:hint="cs"/>
          <w:rtl/>
        </w:rPr>
        <w:t xml:space="preserve">] </w:t>
      </w:r>
      <w:r w:rsidRPr="009E47B7">
        <w:rPr>
          <w:rStyle w:val="Style1Char"/>
          <w:rtl/>
        </w:rPr>
        <w:t xml:space="preserve">אלמנה שתפסה מטלטלין כדי שתזון מהן בין שתפסה מחיים בין שתפסה אחר מותו אפילו תפסה ככר זהב אין מוציאין </w:t>
      </w:r>
      <w:r w:rsidR="0015006C">
        <w:rPr>
          <w:rStyle w:val="Style1Char"/>
          <w:rFonts w:hint="cs"/>
          <w:rtl/>
        </w:rPr>
        <w:t xml:space="preserve"> </w:t>
      </w:r>
      <w:r w:rsidRPr="009E47B7">
        <w:rPr>
          <w:rStyle w:val="Style1Char"/>
          <w:rtl/>
        </w:rPr>
        <w:t>מידה אלא כותבין עליה בית דין מה שתפסה ופוסקין לה מזונות ומחשבין עמה והיא ניזונית ממה שבידה עד שתמות או עד שלא יהיו לה מזונות ויקחו היורשין את השאר.</w:t>
      </w:r>
    </w:p>
    <w:p w14:paraId="1671CF51" w14:textId="182B882A" w:rsidR="00A56CDC" w:rsidRPr="00A56CDC" w:rsidRDefault="001F57B6" w:rsidP="00A56CDC">
      <w:pPr>
        <w:pStyle w:val="Style1"/>
      </w:pPr>
      <w:r>
        <w:rPr>
          <w:rStyle w:val="Style1Char"/>
          <w:rFonts w:hint="cs"/>
          <w:rtl/>
        </w:rPr>
        <w:t>5)[</w:t>
      </w:r>
      <w:r w:rsidRPr="001F57B6">
        <w:rPr>
          <w:rStyle w:val="Style1Char"/>
          <w:rtl/>
        </w:rPr>
        <w:t>שולחן ערוך אבן העזר הלכות כתובות סימן צג סעיף כ</w:t>
      </w:r>
      <w:r>
        <w:rPr>
          <w:rStyle w:val="Style1Char"/>
          <w:rFonts w:hint="cs"/>
          <w:rtl/>
        </w:rPr>
        <w:t>]</w:t>
      </w:r>
      <w:r w:rsidR="00A56CDC">
        <w:rPr>
          <w:rStyle w:val="Style1Char"/>
          <w:rFonts w:hint="cs"/>
          <w:rtl/>
        </w:rPr>
        <w:t xml:space="preserve"> </w:t>
      </w:r>
      <w:r w:rsidR="00A56CDC" w:rsidRPr="00A56CDC">
        <w:rPr>
          <w:rtl/>
        </w:rPr>
        <w:t>אין אלמנה נזונית אלא מקרקעות בני חורין, ולא מהמשועבדים. לא מבעיא אם מכר או נתן הבעל בחייו, אלא אפילו מכרו או משכנו או נתנו היורשים לאחר מיתת אביהם, אין מוציאין למזון האשה והבנות. ודוקא שנתן האב מתנת בריא, אבל אם נתן מתנת שכיב מרע, נזונית ממנה </w:t>
      </w:r>
      <w:r w:rsidR="00A56CDC" w:rsidRPr="00A56CDC">
        <w:rPr>
          <w:rFonts w:hint="cs"/>
          <w:rtl/>
        </w:rPr>
        <w:t>אם אין כאן בני חורין</w:t>
      </w:r>
      <w:r w:rsidR="00A56CDC" w:rsidRPr="00A56CDC">
        <w:rPr>
          <w:rFonts w:hint="cs"/>
        </w:rPr>
        <w:t xml:space="preserve"> (</w:t>
      </w:r>
      <w:hyperlink r:id="rId259" w:tooltip="תשובות ריב&quot;ש/קז" w:history="1">
        <w:r w:rsidR="00A56CDC" w:rsidRPr="00A56CDC">
          <w:rPr>
            <w:rStyle w:val="Hyperlink"/>
            <w:rFonts w:hint="cs"/>
            <w:color w:val="7030A0"/>
            <w:u w:val="none"/>
            <w:rtl/>
          </w:rPr>
          <w:t>ריב"ש סימן ק"ז</w:t>
        </w:r>
      </w:hyperlink>
      <w:r w:rsidR="00A56CDC" w:rsidRPr="00A56CDC">
        <w:rPr>
          <w:rFonts w:hint="cs"/>
        </w:rPr>
        <w:t xml:space="preserve">). </w:t>
      </w:r>
      <w:r w:rsidR="00A56CDC" w:rsidRPr="00A56CDC">
        <w:rPr>
          <w:rFonts w:hint="cs"/>
          <w:rtl/>
        </w:rPr>
        <w:t>הקדיש נכסיו הוי כמתנת בריא (ר"ן ריש המדיר</w:t>
      </w:r>
      <w:r w:rsidR="00A56CDC" w:rsidRPr="00A56CDC">
        <w:rPr>
          <w:rFonts w:hint="cs"/>
        </w:rPr>
        <w:t>)</w:t>
      </w:r>
      <w:r w:rsidR="00A56CDC" w:rsidRPr="00A56CDC">
        <w:t>.</w:t>
      </w:r>
    </w:p>
    <w:p w14:paraId="272B1C69" w14:textId="77777777" w:rsidR="00A56CDC" w:rsidRPr="00A56CDC" w:rsidRDefault="00A56CDC" w:rsidP="00A56CDC">
      <w:pPr>
        <w:pStyle w:val="Style1"/>
      </w:pPr>
      <w:r w:rsidRPr="00A56CDC">
        <w:rPr>
          <w:rtl/>
        </w:rPr>
        <w:t>ואינה נזונית ממטלטלין, אפילו בני חורין. ומיהו, אם תפסה ממטלטלין, אפילו אחר מיתה, לא מפקינן מינה. ועכשו שתקנו הגאונים שתגבה כתובה ותנאי כתובה ממטלטלין, הרי היא נזונית ממטלטלין, אפילו לא תפסה</w:t>
      </w:r>
      <w:r w:rsidRPr="00A56CDC">
        <w:t>.</w:t>
      </w:r>
    </w:p>
    <w:p w14:paraId="3BEDB4A6" w14:textId="6A499F29" w:rsidR="00A56CDC" w:rsidRDefault="00A56CDC" w:rsidP="00A56CDC">
      <w:pPr>
        <w:pStyle w:val="Style1"/>
        <w:rPr>
          <w:rtl/>
        </w:rPr>
      </w:pPr>
      <w:r w:rsidRPr="00A56CDC">
        <w:rPr>
          <w:rFonts w:hint="cs"/>
          <w:rtl/>
        </w:rPr>
        <w:t>מיהו, אם נתן המטלטלין לאחרים, אפילו במתנת שכיב מרע, יש אומרים דאינה נזונית מהן (מרדכי פרק נערה בשם יש אומרים)</w:t>
      </w:r>
      <w:r w:rsidRPr="00A56CDC">
        <w:t>:</w:t>
      </w:r>
    </w:p>
    <w:p w14:paraId="159B4D55" w14:textId="5A878896" w:rsidR="005F7DEE" w:rsidRPr="005F7DEE" w:rsidRDefault="005F7DEE" w:rsidP="005F7DEE">
      <w:pPr>
        <w:pStyle w:val="Style1"/>
      </w:pPr>
      <w:r>
        <w:rPr>
          <w:rFonts w:hint="cs"/>
          <w:rtl/>
        </w:rPr>
        <w:t>5)[</w:t>
      </w:r>
      <w:r>
        <w:rPr>
          <w:rtl/>
        </w:rPr>
        <w:t>שולחן ערוך אבן העזר הלכות כתובות סימן צג סעיף כג</w:t>
      </w:r>
      <w:r>
        <w:rPr>
          <w:rFonts w:hint="cs"/>
          <w:rtl/>
        </w:rPr>
        <w:t xml:space="preserve">] </w:t>
      </w:r>
      <w:r w:rsidRPr="005F7DEE">
        <w:rPr>
          <w:rtl/>
        </w:rPr>
        <w:t>אלמנה שתפסה מטלטלין כדי שתזון מהם, בין שתפסה מחיים בין שתפסה אחר מותו, אפילו תפסה ככר זהב, אין מוציאין מידה אלא כותבים עליה בית דין מה שתפסה, ופוסקין לה מזונות, ומחשבין עליה והיא נזונית ממה שבידה עד שתמות או עד שלא יהיו לה מזונות, ויקחו היורשים את השאר</w:t>
      </w:r>
      <w:r w:rsidRPr="005F7DEE">
        <w:t>.</w:t>
      </w:r>
    </w:p>
    <w:p w14:paraId="01F27918" w14:textId="792BD61B" w:rsidR="005F7DEE" w:rsidRDefault="005F7DEE" w:rsidP="005F7DEE">
      <w:pPr>
        <w:pStyle w:val="Style1"/>
        <w:rPr>
          <w:rtl/>
        </w:rPr>
      </w:pPr>
      <w:r w:rsidRPr="005F7DEE">
        <w:rPr>
          <w:rFonts w:hint="cs"/>
          <w:rtl/>
        </w:rPr>
        <w:t>הגה: יש אומרים דלא הוי תפיסה אלא תפיסה מרשות הרבים או מסמטא, אבל לא מרשות יורשין (הר"ן פרק אלמנה נזונית בשם רש"י). ויש חולקין (כך משמע מדברי </w:t>
      </w:r>
      <w:hyperlink r:id="rId260" w:tooltip="תשובות ריב&quot;ש/שסד" w:history="1">
        <w:r w:rsidRPr="005F7DEE">
          <w:rPr>
            <w:rStyle w:val="Hyperlink"/>
            <w:rFonts w:hint="cs"/>
            <w:color w:val="7030A0"/>
            <w:u w:val="none"/>
            <w:rtl/>
          </w:rPr>
          <w:t>הריב"ש סימן שס"ד</w:t>
        </w:r>
      </w:hyperlink>
      <w:r w:rsidRPr="005F7DEE">
        <w:rPr>
          <w:rFonts w:hint="cs"/>
        </w:rPr>
        <w:t xml:space="preserve">) </w:t>
      </w:r>
      <w:r w:rsidRPr="005F7DEE">
        <w:rPr>
          <w:rFonts w:hint="cs"/>
          <w:rtl/>
        </w:rPr>
        <w:t>ולכלי עלמא בעינן תפיסה גמורה, דהינו שתפסה מאחד מדרכי הקניות, אבל אם לא תפסה רק מפתחות החדרים לא מקרי תפיסה ונותנין הכל ליורשין. ודוקא שתפסה בעצמה, אבל על ידי שליח לא מהני תפיסתה (בריב"ש </w:t>
      </w:r>
      <w:hyperlink r:id="rId261" w:tooltip="תשובות ריב&quot;ש/שסד" w:history="1">
        <w:r w:rsidRPr="005F7DEE">
          <w:rPr>
            <w:rStyle w:val="Hyperlink"/>
            <w:rFonts w:hint="cs"/>
            <w:color w:val="7030A0"/>
            <w:u w:val="none"/>
            <w:rtl/>
          </w:rPr>
          <w:t>סימן שס"ד</w:t>
        </w:r>
      </w:hyperlink>
      <w:r w:rsidRPr="005F7DEE">
        <w:rPr>
          <w:rFonts w:hint="cs"/>
        </w:rPr>
        <w:t> </w:t>
      </w:r>
      <w:r w:rsidRPr="005F7DEE">
        <w:rPr>
          <w:rFonts w:hint="cs"/>
          <w:rtl/>
        </w:rPr>
        <w:t>ו</w:t>
      </w:r>
      <w:hyperlink r:id="rId262" w:tooltip="תשובות ריב&quot;ש/קז" w:history="1">
        <w:r w:rsidRPr="005F7DEE">
          <w:rPr>
            <w:rStyle w:val="Hyperlink"/>
            <w:rFonts w:hint="cs"/>
            <w:color w:val="7030A0"/>
            <w:u w:val="none"/>
            <w:rtl/>
          </w:rPr>
          <w:t>סימן ק"ז</w:t>
        </w:r>
      </w:hyperlink>
      <w:r w:rsidRPr="005F7DEE">
        <w:rPr>
          <w:rFonts w:hint="cs"/>
        </w:rPr>
        <w:t>)</w:t>
      </w:r>
      <w:r w:rsidRPr="005F7DEE">
        <w:t>:</w:t>
      </w:r>
    </w:p>
    <w:p w14:paraId="21C1B149" w14:textId="0FE298D4" w:rsidR="00CF0FDE" w:rsidRDefault="00CF0FDE" w:rsidP="008E5385">
      <w:pPr>
        <w:pStyle w:val="Style1"/>
        <w:rPr>
          <w:rtl/>
        </w:rPr>
      </w:pPr>
      <w:r>
        <w:rPr>
          <w:rFonts w:hint="cs"/>
          <w:rtl/>
        </w:rPr>
        <w:t>6)[</w:t>
      </w:r>
      <w:r>
        <w:rPr>
          <w:rtl/>
        </w:rPr>
        <w:t>רמב</w:t>
      </w:r>
      <w:r w:rsidR="00213DA1">
        <w:rPr>
          <w:rtl/>
        </w:rPr>
        <w:t>”ם \נשים\</w:t>
      </w:r>
      <w:r>
        <w:rPr>
          <w:rtl/>
        </w:rPr>
        <w:t xml:space="preserve"> הלכות אישות פרק יח הלכה יא</w:t>
      </w:r>
      <w:r w:rsidR="008E5385">
        <w:rPr>
          <w:rFonts w:hint="cs"/>
          <w:rtl/>
        </w:rPr>
        <w:t xml:space="preserve">] </w:t>
      </w:r>
      <w:r>
        <w:rPr>
          <w:rtl/>
        </w:rPr>
        <w:t>וכן אם תפסה מטלטלין בכתובתה בחיי בעלה ומת גובה מהן, אבל אם תפסה אחר מותו לכתובתה אינה גובה מהן. אף על פי שתקנו הגאונים שתגבה הכתובה ותנאי הכתובה מן המטלטלין ולפיכך תזון האלמנה מן המטלטלין אף על פי שלא תפסה.</w:t>
      </w:r>
    </w:p>
    <w:p w14:paraId="4BA78EC1" w14:textId="401E9919" w:rsidR="00324588" w:rsidRDefault="00324588" w:rsidP="00324588">
      <w:pPr>
        <w:pStyle w:val="Style1"/>
        <w:rPr>
          <w:rtl/>
        </w:rPr>
      </w:pPr>
      <w:r>
        <w:rPr>
          <w:rFonts w:hint="cs"/>
          <w:rtl/>
        </w:rPr>
        <w:t>7)[</w:t>
      </w:r>
      <w:r>
        <w:rPr>
          <w:rtl/>
        </w:rPr>
        <w:t>רמב</w:t>
      </w:r>
      <w:r w:rsidR="00213DA1">
        <w:rPr>
          <w:rtl/>
        </w:rPr>
        <w:t>”ם \נשים\</w:t>
      </w:r>
      <w:r>
        <w:rPr>
          <w:rtl/>
        </w:rPr>
        <w:t xml:space="preserve"> הלכות אישות פרק יח הלכה כו</w:t>
      </w:r>
      <w:r>
        <w:rPr>
          <w:rFonts w:hint="cs"/>
          <w:rtl/>
        </w:rPr>
        <w:t xml:space="preserve">] </w:t>
      </w:r>
      <w:r>
        <w:rPr>
          <w:rtl/>
        </w:rPr>
        <w:t>אלמנה עניה ששהת שתי שנים ולא תבעה מזונות או עשירה ששהת שלש שנים ולא תבעה ויתרה ואין לה מזונות בשנים שעברו אלא משעה שתבעה, ואם שהת פחות מזה אפילו ביום אחד לא ויתרה אלא תובעת ונוטלת מזון השנים שעברו.</w:t>
      </w:r>
    </w:p>
    <w:p w14:paraId="18A5C7BE" w14:textId="6537EB2B" w:rsidR="00861BC3" w:rsidRDefault="00861BC3" w:rsidP="00861BC3">
      <w:pPr>
        <w:pStyle w:val="Style1"/>
        <w:rPr>
          <w:rtl/>
        </w:rPr>
      </w:pPr>
      <w:r>
        <w:rPr>
          <w:rFonts w:hint="cs"/>
          <w:rtl/>
        </w:rPr>
        <w:t>7)[</w:t>
      </w:r>
      <w:r>
        <w:rPr>
          <w:rtl/>
        </w:rPr>
        <w:t>שולחן ערוך אבן העזר הלכות כתובות סימן צג סעיף יד</w:t>
      </w:r>
      <w:r>
        <w:rPr>
          <w:rFonts w:hint="cs"/>
          <w:rtl/>
        </w:rPr>
        <w:t>] א</w:t>
      </w:r>
      <w:r>
        <w:rPr>
          <w:rtl/>
        </w:rPr>
        <w:t>למנה עניה ששהתה שתי שנים ולא תבעה מזונות, או עשירה ששהתה שלש שנים ולא תבעה, ויתרה ואין לה מזונות משנים שעברו. ואם שהתה פחות מזה אפילו יום אחד, לא ויתרה, ואם היה בידה משכון בתוך אותם שנים, או שלותה, לא ויתרה.</w:t>
      </w:r>
    </w:p>
    <w:p w14:paraId="5AFA0808" w14:textId="43BDB569" w:rsidR="00746397" w:rsidRPr="005F7DEE" w:rsidRDefault="00C40C69" w:rsidP="00C40C69">
      <w:pPr>
        <w:pStyle w:val="Style1"/>
      </w:pPr>
      <w:r>
        <w:rPr>
          <w:rFonts w:hint="cs"/>
          <w:rtl/>
        </w:rPr>
        <w:t>8)[</w:t>
      </w:r>
      <w:r w:rsidR="00746397">
        <w:rPr>
          <w:rtl/>
        </w:rPr>
        <w:t>טור אבן העזר הלכות כתובות סימן צג</w:t>
      </w:r>
      <w:r>
        <w:rPr>
          <w:rFonts w:hint="cs"/>
          <w:rtl/>
        </w:rPr>
        <w:t xml:space="preserve">] </w:t>
      </w:r>
      <w:r w:rsidR="00746397">
        <w:rPr>
          <w:rtl/>
        </w:rPr>
        <w:t>מת הבעל בחיי אשתו או שגירשה גובה כתובתה</w:t>
      </w:r>
      <w:r w:rsidR="00746397">
        <w:rPr>
          <w:rFonts w:hint="cs"/>
        </w:rPr>
        <w:t>‍</w:t>
      </w:r>
      <w:r w:rsidR="00746397">
        <w:rPr>
          <w:rtl/>
        </w:rPr>
        <w:t xml:space="preserve"> אבל לא קודם </w:t>
      </w:r>
      <w:r w:rsidR="00746397">
        <w:rPr>
          <w:rFonts w:hint="cs"/>
        </w:rPr>
        <w:t>‍</w:t>
      </w:r>
      <w:r w:rsidR="00746397">
        <w:rPr>
          <w:rtl/>
        </w:rPr>
        <w:t xml:space="preserve">אף על פי שהכתובה היא כמו שטר חוב אינה נגבית בכל עת אלא לכשתתאלמן או תתגרש ואם תתגרש אין לה עסק עמו אלא נוטלת כתובתה והולכת בד"א שנתן לה </w:t>
      </w:r>
      <w:r w:rsidR="00746397">
        <w:rPr>
          <w:rFonts w:hint="cs"/>
        </w:rPr>
        <w:t>‍</w:t>
      </w:r>
      <w:r w:rsidR="00746397">
        <w:rPr>
          <w:rtl/>
        </w:rPr>
        <w:t xml:space="preserve">כתובה בלא איחור אבל אם מעכב מליתנה לה חייב במזונותיה עד שיפרע לה עד פרוטה אחרונה וכן אם זרק לה גט ברשות הרבים ספק קרוב לו ספק קרוב לה חייב במזונותיה </w:t>
      </w:r>
      <w:r w:rsidR="00746397">
        <w:rPr>
          <w:rFonts w:hint="cs"/>
        </w:rPr>
        <w:t>‍</w:t>
      </w:r>
      <w:r w:rsidR="00746397">
        <w:rPr>
          <w:rtl/>
        </w:rPr>
        <w:t xml:space="preserve">ודוקא בחייו אבל אם מת אין היורשים חייבים לזונה נתאלמנה חייבים היורשים לזונה כתנאי כתובה את תהא יתבא בביתי ומיתזנא מנכסי כל ימי מיגר ארמלותך בביתי אפי' אם לא נכתב בכתובתה ואפי' אם צוה בשעת מיתה אל תיזון אלמנתי מנכסי </w:t>
      </w:r>
      <w:r w:rsidR="00746397">
        <w:rPr>
          <w:rFonts w:hint="cs"/>
        </w:rPr>
        <w:t>‍</w:t>
      </w:r>
      <w:r w:rsidR="00746397">
        <w:rPr>
          <w:rtl/>
        </w:rPr>
        <w:t xml:space="preserve">אין שומעין לו אבל אם התנה בשעת נישואין שלא תיזון אלמנתו מנכסיו הוי תנאי שבממון וקיים פליגי אנשי יהודה וגליל אנשי גליל אומרים </w:t>
      </w:r>
      <w:r w:rsidR="00746397">
        <w:rPr>
          <w:rFonts w:hint="cs"/>
        </w:rPr>
        <w:t>‍</w:t>
      </w:r>
      <w:r w:rsidR="00746397">
        <w:rPr>
          <w:rtl/>
        </w:rPr>
        <w:t xml:space="preserve">שכך הוא התנאי שהדבר תלוי בה להיות ניזונית כל זמן שלא תרצה לגבות כתובתה ואנשי יהודה אומרים שהדבר תלוי ביד היתומים בכל פעם שירצו ליתן לה אין לה מזונות ופלוגתייהו </w:t>
      </w:r>
      <w:r w:rsidR="00746397">
        <w:rPr>
          <w:rFonts w:hint="cs"/>
        </w:rPr>
        <w:t>‍</w:t>
      </w:r>
      <w:r w:rsidR="00746397">
        <w:rPr>
          <w:rtl/>
        </w:rPr>
        <w:t xml:space="preserve">בסתם שלא פירש אבל אם פירש הכל לפי </w:t>
      </w:r>
      <w:r w:rsidR="00746397">
        <w:rPr>
          <w:rFonts w:hint="cs"/>
        </w:rPr>
        <w:t>‍</w:t>
      </w:r>
      <w:r w:rsidR="00746397">
        <w:rPr>
          <w:rtl/>
        </w:rPr>
        <w:t xml:space="preserve">תנאו וכן פסק רב הלכתא כאנשי יהודה ושמואל פסק כאנשי גליל וכתבו רבי' חננאל ורב אלפס דבמקום שיש מנהג ידוע היאך נהוג יעשו כמנהגא ואם אין מנהג ידוע יעשו כשמואל ותיזון עד שתגבה כתובתה ואין חילוק בין אם הנכסים מרובים למועטים אף על גב דגבי בת הניזונת יש חילוק בין מרובים למועטים </w:t>
      </w:r>
      <w:r w:rsidR="00746397">
        <w:rPr>
          <w:rFonts w:hint="cs"/>
        </w:rPr>
        <w:t>‍</w:t>
      </w:r>
      <w:r w:rsidR="00746397">
        <w:rPr>
          <w:rtl/>
        </w:rPr>
        <w:t xml:space="preserve">כדלקמן הכא אין חילוק אלא בכל ענין </w:t>
      </w:r>
      <w:r w:rsidR="00746397">
        <w:rPr>
          <w:rFonts w:hint="cs"/>
        </w:rPr>
        <w:t>‍</w:t>
      </w:r>
      <w:r w:rsidR="00746397">
        <w:rPr>
          <w:rtl/>
        </w:rPr>
        <w:t xml:space="preserve">אם יש אלמנה ובן או אלמנה ובת תיזון היא עם הבן או עם הבת עד שיאכלו הנכסים ואפי' אם תינשא הבת </w:t>
      </w:r>
      <w:r w:rsidR="00746397">
        <w:rPr>
          <w:rFonts w:hint="cs"/>
        </w:rPr>
        <w:t>‍</w:t>
      </w:r>
      <w:r w:rsidR="00746397">
        <w:rPr>
          <w:rtl/>
        </w:rPr>
        <w:t xml:space="preserve">ומכנסת הנכסים לבעל היא תיזון מהן אפי' אחר מיתת הבת אבל אם יש אלמנה ובן ובת והנכסים מועטים שאין בהן כדי שיזונו הבת והבן עד שתיבגר הבת אז ידחו הבן והבת ותיזון האלמנה לבדה עד שתגבה כתובתה אלמנה שתבעה כתובתה בבית דין אין לה עוד מזונות אפי' לא פרעוה אבל תבעה שלא בב"ד לא הפסידה מזונותיה ואפי' בב"ד לא הפסידה אא"כ תבעה מעצמה אבל אם תבעה מדוחק שלא נתנו לה מזונות או שרימוה ואמרו לה פלוני חפץ לישא אותך ומחמת זה תבעה כתובתה או כיוצא בזה לא הפסידה מזונות תבעוה לינשא אפילו מתפייסת לא הפסידה מזונותיה וכן אם כחלה או פרכסה או זינתה לא הפסידה מזונותיה </w:t>
      </w:r>
      <w:r w:rsidR="00746397">
        <w:rPr>
          <w:rFonts w:hint="cs"/>
        </w:rPr>
        <w:t>‍</w:t>
      </w:r>
      <w:r w:rsidR="00746397">
        <w:rPr>
          <w:rtl/>
        </w:rPr>
        <w:t xml:space="preserve">נתארסה הפסידה מזונותיה מכרה או מישכנה כתובתה או שעשתה כתובתה </w:t>
      </w:r>
      <w:r w:rsidR="00746397">
        <w:rPr>
          <w:rFonts w:hint="cs"/>
        </w:rPr>
        <w:t>‍</w:t>
      </w:r>
      <w:r w:rsidR="00746397">
        <w:rPr>
          <w:rtl/>
        </w:rPr>
        <w:t xml:space="preserve">אפותיקי לבעל חוב בין בב"ד בין שלא בב"ד בין בחיי בעלה או אחרי מות בעלה הפסידה מזונותיה </w:t>
      </w:r>
      <w:r w:rsidR="00746397">
        <w:rPr>
          <w:rFonts w:hint="cs"/>
        </w:rPr>
        <w:t>‍</w:t>
      </w:r>
      <w:r w:rsidR="00746397">
        <w:rPr>
          <w:rtl/>
        </w:rPr>
        <w:t xml:space="preserve">מחלה כתובתה לבעלה הפסידה מזונותיה ודוקא אחרי מותו הפסידה מזונותיה במחילתה </w:t>
      </w:r>
      <w:r w:rsidR="00746397">
        <w:rPr>
          <w:rFonts w:hint="cs"/>
        </w:rPr>
        <w:t>‍</w:t>
      </w:r>
      <w:r w:rsidR="00746397">
        <w:rPr>
          <w:rtl/>
        </w:rPr>
        <w:t xml:space="preserve">אבל בחייו ניזונת אף על פי שמחלה ודוקא שמכרה או שמשכנה או שמחלה כל הכתובה אבל שיירה מקצתה ניזונת </w:t>
      </w:r>
      <w:r w:rsidR="00746397">
        <w:rPr>
          <w:rFonts w:hint="cs"/>
        </w:rPr>
        <w:t>‍</w:t>
      </w:r>
      <w:r w:rsidR="00746397">
        <w:rPr>
          <w:rtl/>
        </w:rPr>
        <w:t xml:space="preserve">אפי' לא שיירה אלא תוספת ומכרה או מחלה כל העיקר ניזונת בשביל התוספת וכתב אדוני אבי הרא"ש ז"ל ומיהו אם ירצו היורשים יפרעו לה המותר של הכתובה ומסלקין אותה אפילו לאנשי גליל דאל"כ כל אשה תגבה כתובתה עד תשלום דינר ותתפרנס כל ימיה בשביל הדינר החסר ואם תבעה כתובתה בסתם לא אמרינן אין דעתה אלא העיקר אלא מסתמא הכל תבעה ואין לה מזונות כתב רב אלפס כשאין בנכסים שתתפרנס מן הריוח כגון בשכירות בתים ומפירות קרקעות אלא שצריכה למכור מהנכסים כדי לפרנסה אז אינה ניזונת </w:t>
      </w:r>
      <w:r w:rsidR="00746397">
        <w:rPr>
          <w:rFonts w:hint="cs"/>
        </w:rPr>
        <w:t>‍</w:t>
      </w:r>
      <w:r w:rsidR="00746397">
        <w:rPr>
          <w:rtl/>
        </w:rPr>
        <w:t xml:space="preserve">אלא כדי כתובתה אלא אם יש בפירות ובשכירות הבתים כדי שתיזון ניזונת לעולם ולא נהירא לא"א הרא"ש ז"ל אלא לעולם ניזונת והולכת </w:t>
      </w:r>
      <w:r w:rsidR="00746397">
        <w:rPr>
          <w:rFonts w:hint="cs"/>
        </w:rPr>
        <w:t>‍</w:t>
      </w:r>
      <w:r w:rsidR="00746397">
        <w:rPr>
          <w:rtl/>
        </w:rPr>
        <w:t xml:space="preserve">עד שישארו בנכסים כדי כתובתה ונוטלתן בכתובתה וכ"כ הרמב"ם אלמנה שהיא ענייה </w:t>
      </w:r>
      <w:r w:rsidR="00746397">
        <w:rPr>
          <w:rFonts w:hint="cs"/>
        </w:rPr>
        <w:t>‍</w:t>
      </w:r>
      <w:r w:rsidR="00746397">
        <w:rPr>
          <w:rtl/>
        </w:rPr>
        <w:t xml:space="preserve">ופרוצה שאינה בושה לשאול מזונותיה ושתקה ב' שנים ולא תבעה מזונותיה </w:t>
      </w:r>
      <w:r w:rsidR="00746397">
        <w:rPr>
          <w:rFonts w:hint="cs"/>
        </w:rPr>
        <w:t>‍</w:t>
      </w:r>
      <w:r w:rsidR="00746397">
        <w:rPr>
          <w:rtl/>
        </w:rPr>
        <w:t xml:space="preserve">ודאי מחלה מזונותיה בד"א במזונות שעברו </w:t>
      </w:r>
      <w:r w:rsidR="00746397">
        <w:rPr>
          <w:rFonts w:hint="cs"/>
        </w:rPr>
        <w:t>‍</w:t>
      </w:r>
      <w:r w:rsidR="00746397">
        <w:rPr>
          <w:rtl/>
        </w:rPr>
        <w:t xml:space="preserve">אבל להבא לא ואפילו שעברו אם יש לה משכון מהיורשים או שלותה ממקום אחר לא הויא שתיקתה מחילה ואם היא עשירה אפי' פרוצה או ענייה צנועה לא הויא שתיקתה מחילה עד סוף ג' שנים שלימות והרמ"ה כתב דבענייה לחוד הויא מחילה בב' שנים </w:t>
      </w:r>
      <w:r w:rsidR="00746397">
        <w:rPr>
          <w:rFonts w:hint="cs"/>
        </w:rPr>
        <w:t>‍</w:t>
      </w:r>
      <w:r w:rsidR="00746397">
        <w:rPr>
          <w:rtl/>
        </w:rPr>
        <w:t xml:space="preserve">וא"א הרא"ש ז"ל כתב כסברא הראשונה ואם היורשים אומרין נתננו לה מזונות והיא אומרת לא נטלתי לא מיבעיא להבא שאין היורשים נאמנים אלא אפילו לשעבר </w:t>
      </w:r>
      <w:r w:rsidR="00746397">
        <w:rPr>
          <w:rFonts w:hint="cs"/>
        </w:rPr>
        <w:t>‍</w:t>
      </w:r>
      <w:r w:rsidR="00746397">
        <w:rPr>
          <w:rtl/>
        </w:rPr>
        <w:t xml:space="preserve">אם לא שתקה ג' שנים אינם נאמנים וכתב הרמב"ם </w:t>
      </w:r>
      <w:r w:rsidR="00746397">
        <w:rPr>
          <w:rFonts w:hint="cs"/>
        </w:rPr>
        <w:t>‍</w:t>
      </w:r>
      <w:r w:rsidR="00746397">
        <w:rPr>
          <w:rtl/>
        </w:rPr>
        <w:t xml:space="preserve">והיא נשבעת </w:t>
      </w:r>
      <w:r w:rsidR="00746397">
        <w:rPr>
          <w:rtl/>
        </w:rPr>
        <w:lastRenderedPageBreak/>
        <w:t xml:space="preserve">שבועת היסת ונוטלת בד"א כל זמן שלא ניסת אז אינם נאמנים </w:t>
      </w:r>
      <w:r w:rsidR="00746397">
        <w:rPr>
          <w:rFonts w:hint="cs"/>
        </w:rPr>
        <w:t>‍</w:t>
      </w:r>
      <w:r w:rsidR="00746397">
        <w:rPr>
          <w:rtl/>
        </w:rPr>
        <w:t xml:space="preserve">אפילו פרעו לה כתובתה בב"ד אבל אם נישאת אז היורשים נאמנים גם בזה כתב הרמב"ם ונשבעין שבועת היסת ונפטרין מי שיחד לאלמנותו קרקע שתיזון ממנו </w:t>
      </w:r>
      <w:r w:rsidR="00746397">
        <w:rPr>
          <w:rFonts w:hint="cs"/>
        </w:rPr>
        <w:t>‍</w:t>
      </w:r>
      <w:r w:rsidR="00746397">
        <w:rPr>
          <w:rtl/>
        </w:rPr>
        <w:t xml:space="preserve">אם אמר יהיה מקום זה למזונותי' </w:t>
      </w:r>
      <w:r w:rsidR="00746397">
        <w:rPr>
          <w:rFonts w:hint="cs"/>
        </w:rPr>
        <w:t>‍</w:t>
      </w:r>
      <w:r w:rsidR="00746397">
        <w:rPr>
          <w:rtl/>
        </w:rPr>
        <w:t xml:space="preserve">ריב' לה מזונות ואם היה שכרה פחות ממזונותי' הראויין לה נוטלת מזונותי' משאר נכסיו ואם יש בו יותר מהראוי לה נוטלת הכל ואם אמר </w:t>
      </w:r>
      <w:r w:rsidR="00746397">
        <w:rPr>
          <w:rFonts w:hint="cs"/>
        </w:rPr>
        <w:t>‍</w:t>
      </w:r>
      <w:r w:rsidR="00746397">
        <w:rPr>
          <w:rtl/>
        </w:rPr>
        <w:t xml:space="preserve">יהא מקום פלוני במזונותיה </w:t>
      </w:r>
      <w:r w:rsidR="00746397">
        <w:rPr>
          <w:rFonts w:hint="cs"/>
        </w:rPr>
        <w:t>‍</w:t>
      </w:r>
      <w:r w:rsidR="00746397">
        <w:rPr>
          <w:rtl/>
        </w:rPr>
        <w:t xml:space="preserve">ושתקה אין לה אלא אותו המקום לבד שהרי קצץ לה מזונות האשה שאומרת </w:t>
      </w:r>
      <w:r w:rsidR="00746397">
        <w:rPr>
          <w:rFonts w:hint="cs"/>
        </w:rPr>
        <w:t>‍</w:t>
      </w:r>
      <w:r w:rsidR="00746397">
        <w:rPr>
          <w:rtl/>
        </w:rPr>
        <w:t xml:space="preserve">מת בעלי נאמנת וניזונת והולכת לעולם כדין כל אלמנה אבל אם באה ואומרת גירשני אינה ניזונת אלא עד כדי כתובתה </w:t>
      </w:r>
      <w:r w:rsidR="00746397">
        <w:rPr>
          <w:rFonts w:hint="cs"/>
        </w:rPr>
        <w:t>‍</w:t>
      </w:r>
      <w:r w:rsidR="00746397">
        <w:rPr>
          <w:rtl/>
        </w:rPr>
        <w:t xml:space="preserve">שאינה נאמנת לומר גירשני כדי ליטול כתובה ואינה ניזונת משלו כיון שאומרת שגירשה אבל עד כדי כתובתה ניזונת ממ"נ אם לא גירשה חייב במזונותיה ואם גירשה תחשב לה בפירעון כתובתה כתב הרמב"ם אלמנה שאין שטר כתובתה בידה אין פוסקין לה מזונות דשמא מחלה כתובתה או מכרה או משכנה ואפילו לא טען היורש אנו טוענין לו שתביא כתובתה או שתשבע שלא מחלה או משכנה ואף כשיש בידה כתובה כתב </w:t>
      </w:r>
      <w:r w:rsidR="00746397">
        <w:rPr>
          <w:rFonts w:hint="cs"/>
        </w:rPr>
        <w:t>‍</w:t>
      </w:r>
      <w:r w:rsidR="00746397">
        <w:rPr>
          <w:rtl/>
        </w:rPr>
        <w:t xml:space="preserve">שצריכה שבועה שלא תפסה משל בעלה כלום ול"נ לא"א הרא"ש ז"ל אלא ניזונת מתנאי ב"ד </w:t>
      </w:r>
      <w:r w:rsidR="00746397">
        <w:rPr>
          <w:rFonts w:hint="cs"/>
        </w:rPr>
        <w:t>‍</w:t>
      </w:r>
      <w:r w:rsidR="00746397">
        <w:rPr>
          <w:rtl/>
        </w:rPr>
        <w:t xml:space="preserve">אפי' בלא כתובה ואפי' בלא שבועה מדינא דגמרא אין אלמנה ניזונת אלא מקרקעי בני חורין לא מיבעיא אם מכר או נתן הבעל בחייו שאין מוציאין למזון האשה והבנות </w:t>
      </w:r>
      <w:r w:rsidR="00746397">
        <w:rPr>
          <w:rFonts w:hint="cs"/>
        </w:rPr>
        <w:t>‍</w:t>
      </w:r>
      <w:r w:rsidR="00746397">
        <w:rPr>
          <w:rtl/>
        </w:rPr>
        <w:t xml:space="preserve">מנכסים משועבדים אלא אפי' מכרו או שמשכנו או נתנו היורשים לאחר מיתת אביהם אין מוציאין למזון האשה והבנות ודוקא שנתן האב </w:t>
      </w:r>
      <w:r w:rsidR="00746397">
        <w:rPr>
          <w:rFonts w:hint="cs"/>
        </w:rPr>
        <w:t>‍</w:t>
      </w:r>
      <w:r w:rsidR="00746397">
        <w:rPr>
          <w:rtl/>
        </w:rPr>
        <w:t xml:space="preserve">מתנת בריא אבל אם נתן מתנת שכיב מרע ניזונת ממנו ולא ממטלטלי אפי' בני חרי </w:t>
      </w:r>
      <w:r w:rsidR="00746397">
        <w:rPr>
          <w:rFonts w:hint="cs"/>
        </w:rPr>
        <w:t>‍</w:t>
      </w:r>
      <w:r w:rsidR="00746397">
        <w:rPr>
          <w:rtl/>
        </w:rPr>
        <w:t xml:space="preserve">ומיהו אם תפשה מטלטלין אפי' אחר מיתה לא מפקינן מינה אבל לפי תקנת הגאונים שכתובה נגבת ממטלטלים </w:t>
      </w:r>
      <w:r w:rsidR="00746397">
        <w:rPr>
          <w:rFonts w:hint="cs"/>
        </w:rPr>
        <w:t>‍</w:t>
      </w:r>
      <w:r w:rsidR="00746397">
        <w:rPr>
          <w:rtl/>
        </w:rPr>
        <w:t xml:space="preserve">היא הדין נמי מזונות ואפי' לא תפשה ניזונת ממטלטלין כתב הרמב"ם לפיכך אם הניח נשים רבות אפי' נשאן זו אחר זו כולן ניזונות בשוה </w:t>
      </w:r>
      <w:r w:rsidR="00746397">
        <w:rPr>
          <w:rFonts w:hint="cs"/>
        </w:rPr>
        <w:t>‍</w:t>
      </w:r>
      <w:r w:rsidR="00746397">
        <w:rPr>
          <w:rtl/>
        </w:rPr>
        <w:t xml:space="preserve">שאין דין קדימה במטלטלים והראב"ד כתב דאפי' אם ניזונות ממקרקעין אין בהן דין קדימה לפי </w:t>
      </w:r>
      <w:r w:rsidR="00746397">
        <w:rPr>
          <w:rFonts w:hint="cs"/>
        </w:rPr>
        <w:t>‍</w:t>
      </w:r>
      <w:r w:rsidR="00746397">
        <w:rPr>
          <w:rtl/>
        </w:rPr>
        <w:t xml:space="preserve">שאין חיוב המזונות אלא לאחר מותו וכבר הגיע שעת החיוב לכולן בבת אחת </w:t>
      </w:r>
      <w:r w:rsidR="00746397">
        <w:rPr>
          <w:rFonts w:hint="cs"/>
        </w:rPr>
        <w:t>‍</w:t>
      </w:r>
      <w:r w:rsidR="00746397">
        <w:rPr>
          <w:rtl/>
        </w:rPr>
        <w:t xml:space="preserve">והוה ליה כלוה וחזר ולוה ואחר כך קנה שכולן שוין בו והכי איתא בירושלמי כתב הרמב"ם אם הניח בעלה מטלטלים ולא תפשה אותן היורשים נוטלין אותם והם מעלים לה מזונות ואינה יכולה לעכב ולומר יהיו המטלטלין מונחים בבית דין שאזון מהן שמא יאבדו ולא יהיה לי מזונות ואפילו </w:t>
      </w:r>
      <w:r w:rsidR="00746397">
        <w:rPr>
          <w:rFonts w:hint="cs"/>
        </w:rPr>
        <w:t>‍</w:t>
      </w:r>
      <w:r w:rsidR="00746397">
        <w:rPr>
          <w:rtl/>
        </w:rPr>
        <w:t xml:space="preserve">התנתה עליו בפירוש שתיזון מן המטלטלין אינה מעכבת אבל אם הניח קרקע יכולה לעכב עליהם שלא ימכרוה ואם מכרו אינה מוציאה מיד הלקוחות שאין האשה והבנות ניזונות אלא מנכסים בני חורין ע"כ ולענין דמי הקרקע שמכרו שבידה לרב האי שכתב קדמו הבנים ומכרו בנכסים מועטים שהבנות ניזונות מדמים שבידם הכא נמי ניזונת מהדמים </w:t>
      </w:r>
      <w:r w:rsidR="00746397">
        <w:rPr>
          <w:rFonts w:hint="cs"/>
        </w:rPr>
        <w:t>‍</w:t>
      </w:r>
      <w:r w:rsidR="00746397">
        <w:rPr>
          <w:rtl/>
        </w:rPr>
        <w:t>ולדעת אדוני אבי הרא"ש ז"ל אינה ניזונת מהם</w:t>
      </w:r>
      <w:r w:rsidR="00746397">
        <w:rPr>
          <w:rFonts w:hint="cs"/>
        </w:rPr>
        <w:t>‍</w:t>
      </w:r>
      <w:r w:rsidR="00746397">
        <w:rPr>
          <w:rtl/>
        </w:rPr>
        <w:t xml:space="preserve"> </w:t>
      </w:r>
      <w:r w:rsidR="00746397">
        <w:rPr>
          <w:rFonts w:hint="cs"/>
        </w:rPr>
        <w:t>‍</w:t>
      </w:r>
      <w:r w:rsidR="00746397">
        <w:rPr>
          <w:rtl/>
        </w:rPr>
        <w:t xml:space="preserve">תפשה הרבה מטלטלים בשביל מזונותיה אין מוציאין מידה וקאמר בירושלמי מהו למימר לה </w:t>
      </w:r>
      <w:r w:rsidR="00746397">
        <w:rPr>
          <w:rFonts w:hint="cs"/>
        </w:rPr>
        <w:t>‍</w:t>
      </w:r>
      <w:r w:rsidR="00746397">
        <w:rPr>
          <w:rtl/>
        </w:rPr>
        <w:t xml:space="preserve">חוי מה שבידך תלמידי ר' יונה אמרי אמרינן לה חוי מה שבידך א"ל רבי יוסי בר בון כיון </w:t>
      </w:r>
      <w:r w:rsidR="00746397">
        <w:rPr>
          <w:rFonts w:hint="cs"/>
        </w:rPr>
        <w:t>‍</w:t>
      </w:r>
      <w:r w:rsidR="00746397">
        <w:rPr>
          <w:rtl/>
        </w:rPr>
        <w:t xml:space="preserve">שיש לה לישבע לבסוף </w:t>
      </w:r>
      <w:r w:rsidR="00746397">
        <w:rPr>
          <w:rFonts w:hint="cs"/>
        </w:rPr>
        <w:t>‍</w:t>
      </w:r>
      <w:r w:rsidR="00746397">
        <w:rPr>
          <w:rtl/>
        </w:rPr>
        <w:t xml:space="preserve">אפי' חוי מה שבידך לא אמרינן לה </w:t>
      </w:r>
      <w:r w:rsidR="00746397">
        <w:rPr>
          <w:rFonts w:hint="cs"/>
        </w:rPr>
        <w:t>‍</w:t>
      </w:r>
      <w:r w:rsidR="00746397">
        <w:rPr>
          <w:rtl/>
        </w:rPr>
        <w:t xml:space="preserve">וכתב ריב"א דוקא שהדבר ידוע שתפסה </w:t>
      </w:r>
      <w:r w:rsidR="00746397">
        <w:rPr>
          <w:rFonts w:hint="cs"/>
        </w:rPr>
        <w:t>‍</w:t>
      </w:r>
      <w:r w:rsidR="00746397">
        <w:rPr>
          <w:rtl/>
        </w:rPr>
        <w:t xml:space="preserve">פחות מכדי כתובתה </w:t>
      </w:r>
      <w:r w:rsidR="00746397">
        <w:rPr>
          <w:rFonts w:hint="cs"/>
        </w:rPr>
        <w:t>‍</w:t>
      </w:r>
      <w:r w:rsidR="00746397">
        <w:rPr>
          <w:rtl/>
        </w:rPr>
        <w:t xml:space="preserve">אבל אם היורשים אומרים שתפשה יותר מכדי כתובתה צריכה לישבע מה שתפשה ואפילו תפשה פחות מכדי כתובתה אם באת אח"כ ואמר אכלתי הכל צריכ' לישבע </w:t>
      </w:r>
      <w:r w:rsidR="00746397">
        <w:rPr>
          <w:rFonts w:hint="cs"/>
        </w:rPr>
        <w:t>‍</w:t>
      </w:r>
      <w:r w:rsidR="00746397">
        <w:rPr>
          <w:rtl/>
        </w:rPr>
        <w:t xml:space="preserve">ורבינו שמשון כתב אפי' תפסה יותר מכדי כתובתה אין צריכה לישבע וכן יראה מדברי הרמב"ם שכתב אלמנה שתפשה מטלטלי כדי שתזון בהן בין שתפשה מחיים ובין שתפשה אחר מיתה אפילו שתפשה ככר זהב אין מוציאין מידה </w:t>
      </w:r>
      <w:r w:rsidR="00746397">
        <w:rPr>
          <w:rFonts w:hint="cs"/>
        </w:rPr>
        <w:t>‍</w:t>
      </w:r>
      <w:r w:rsidR="00746397">
        <w:rPr>
          <w:rtl/>
        </w:rPr>
        <w:t xml:space="preserve">אלא שכותבים לה ב"ד שתפשה ופוסקין לה מזונות ומחשבינן עמה </w:t>
      </w:r>
      <w:r w:rsidR="00746397">
        <w:rPr>
          <w:rFonts w:hint="cs"/>
        </w:rPr>
        <w:t>‍</w:t>
      </w:r>
      <w:r w:rsidR="00746397">
        <w:rPr>
          <w:rtl/>
        </w:rPr>
        <w:t xml:space="preserve">והיא ניזונת ממה שבידה עד שלא יהיו לה מזונות יותר או עד שתמות ויקחו היורשים השאר ע"כ וכן כתב רבינו מאיר מרוטנבורק אפי' תפשה הרבה יותר מכתובתה אין מוציאין מידה ואין משביעין אותה אבל אם אחר כך שואלת מזונות יותר אפי' אם לא תפשה יותר מכתובתה אלא שתפשה יותר ממה שראוי להגבות בב"ד בפעם אחת דהיינו מזון ל' יום לא יהבינן לה עד שתשבע שמשביעין אותה שלא נשאר בידה ממה שתפשה ולא נתנה ולא בזבזה ממנו כלום </w:t>
      </w:r>
      <w:r w:rsidR="00746397">
        <w:rPr>
          <w:rFonts w:hint="cs"/>
        </w:rPr>
        <w:t>‍</w:t>
      </w:r>
      <w:r w:rsidR="00746397">
        <w:rPr>
          <w:rtl/>
        </w:rPr>
        <w:t>וא"א הרא"ש ז"ל כתב מתוך דברי הרמב"ם יראה שפוסק כתלמידי רבינו יונה שאומר לה חוי מה שבידך וכן מסתבר ע"כ אבל לעולם</w:t>
      </w:r>
      <w:r w:rsidR="00746397">
        <w:rPr>
          <w:rFonts w:hint="cs"/>
        </w:rPr>
        <w:t>‍</w:t>
      </w:r>
      <w:r w:rsidR="00746397">
        <w:rPr>
          <w:rtl/>
        </w:rPr>
        <w:t xml:space="preserve"> אין משביעין אותה עתה עד שתתבע יותר אלמנה שבאה למכור מנכסי בעלה למזונות אינה צריכה שבועה ולא הכרזה ולא לבא לפני ב"ד מומחין </w:t>
      </w:r>
      <w:r w:rsidR="00746397">
        <w:rPr>
          <w:rFonts w:hint="cs"/>
        </w:rPr>
        <w:t>‍</w:t>
      </w:r>
      <w:r w:rsidR="00746397">
        <w:rPr>
          <w:rtl/>
        </w:rPr>
        <w:t xml:space="preserve">אבל צריכה לפחות ג' אנשים בקיאים בשומא </w:t>
      </w:r>
      <w:r w:rsidR="00746397">
        <w:rPr>
          <w:rFonts w:hint="cs"/>
        </w:rPr>
        <w:t>‍</w:t>
      </w:r>
      <w:r w:rsidR="00746397">
        <w:rPr>
          <w:rtl/>
        </w:rPr>
        <w:t xml:space="preserve">לפיכך אם לקחה הקרקע לעצמה בסכום ידוע אינו כלום ואם נתייקר אח"כ צריכה להחזירו ליורשים או אפי' לא נתייקר </w:t>
      </w:r>
      <w:r w:rsidR="00746397">
        <w:rPr>
          <w:rFonts w:hint="cs"/>
        </w:rPr>
        <w:t>‍</w:t>
      </w:r>
      <w:r w:rsidR="00746397">
        <w:rPr>
          <w:rtl/>
        </w:rPr>
        <w:t>אם ירצו יבטלו המקח ואם טעתה אפילו כל שהוא שמכרה שוה מנה ודינר במנה מכרה בטל</w:t>
      </w:r>
      <w:r w:rsidR="00746397">
        <w:rPr>
          <w:rFonts w:hint="cs"/>
        </w:rPr>
        <w:t>‍</w:t>
      </w:r>
      <w:r w:rsidR="00746397">
        <w:rPr>
          <w:rtl/>
        </w:rPr>
        <w:t xml:space="preserve"> </w:t>
      </w:r>
      <w:r w:rsidR="00746397">
        <w:rPr>
          <w:rFonts w:hint="cs"/>
        </w:rPr>
        <w:t>‍</w:t>
      </w:r>
      <w:r w:rsidR="00746397">
        <w:rPr>
          <w:rtl/>
        </w:rPr>
        <w:t xml:space="preserve">והאחריות הוא על היתומים אפ"ה כשבאה לגבות כתובתה </w:t>
      </w:r>
      <w:r w:rsidR="00746397">
        <w:rPr>
          <w:rFonts w:hint="cs"/>
        </w:rPr>
        <w:t>‍</w:t>
      </w:r>
      <w:r w:rsidR="00746397">
        <w:rPr>
          <w:rtl/>
        </w:rPr>
        <w:t xml:space="preserve">אינה יכולה לטרוף מהלקוחות שמכרה להם לצורך מזונותיה וכתב הרמב"ם וכן אם מכרה בינה לבין עצמה שוה בשוה </w:t>
      </w:r>
      <w:r w:rsidR="00746397">
        <w:rPr>
          <w:rFonts w:hint="cs"/>
        </w:rPr>
        <w:t>‍</w:t>
      </w:r>
      <w:r w:rsidR="00746397">
        <w:rPr>
          <w:rtl/>
        </w:rPr>
        <w:t xml:space="preserve">מכרה קיים וכשיבאו היורשים להשביעה נשבעת אבל ר"ח כתב אם מכרה שלא בב"ד אפי' הדיוטות </w:t>
      </w:r>
      <w:r w:rsidR="00746397">
        <w:rPr>
          <w:rFonts w:hint="cs"/>
        </w:rPr>
        <w:t>‍</w:t>
      </w:r>
      <w:r w:rsidR="00746397">
        <w:rPr>
          <w:rtl/>
        </w:rPr>
        <w:t xml:space="preserve">מכרה בטל ומוכרת כדי מזונות הצריכות לה לו' חדשים והמעות ישארו ביד הלוקח שלא יתנם לה הכל מיד שמא תינשא או תתבע כתובתה שאין לה עוד מזונות אלא נותן לה מזונות של ל' יום וכן לעולם וכתב בעל העיטור ומסתבר דוקא קרקע שאינו ראוי לימכר דבר מועט אבל מטלטלין בזמן הזה אין למכור אלא חפץ אחד </w:t>
      </w:r>
      <w:r w:rsidR="00746397">
        <w:rPr>
          <w:rFonts w:hint="cs"/>
        </w:rPr>
        <w:t>‍</w:t>
      </w:r>
      <w:r w:rsidR="00746397">
        <w:rPr>
          <w:rtl/>
        </w:rPr>
        <w:t xml:space="preserve">לריש מתיבתא כי אמרינן מוכרת </w:t>
      </w:r>
      <w:r w:rsidR="00746397">
        <w:rPr>
          <w:rFonts w:hint="cs"/>
        </w:rPr>
        <w:t>‍</w:t>
      </w:r>
      <w:r w:rsidR="00746397">
        <w:rPr>
          <w:rtl/>
        </w:rPr>
        <w:t xml:space="preserve">לששה חדשים שלא בב"ד הדיוטו' לאלתר דשכיח שאין אדם רוצה שתתבזה אשתו בב"ד אבל מכאן ואילך מוכרת בב"ד אפי' לכמה שנים עד שתטול כתובתה וה"מ סתמא אבל היכא דיהיב ברשותה לזבוני ואיתזוני מוכרת </w:t>
      </w:r>
      <w:r w:rsidR="00746397">
        <w:rPr>
          <w:rFonts w:hint="cs"/>
        </w:rPr>
        <w:t>‍</w:t>
      </w:r>
      <w:r w:rsidR="00746397">
        <w:rPr>
          <w:rtl/>
        </w:rPr>
        <w:t xml:space="preserve">אפילו שלא בב"ד הדיוטות ולא בריר לן ומסתבר </w:t>
      </w:r>
      <w:r w:rsidR="00746397">
        <w:rPr>
          <w:rFonts w:hint="cs"/>
        </w:rPr>
        <w:t>‍</w:t>
      </w:r>
      <w:r w:rsidR="00746397">
        <w:rPr>
          <w:rtl/>
        </w:rPr>
        <w:t>לעולם אינה מוכרת אלא לששה חדשים וכל זה אינו אלא כשהיא מוכרת אז לא הרשוה למכור אלא כדי מזונות ששה חדשים אבל מכרו ב"ד אין קצבה לדבר אלא לפי ראות עיניהם מה שהוא תועלת היתומים:</w:t>
      </w:r>
    </w:p>
    <w:p w14:paraId="45130AA0" w14:textId="77777777" w:rsidR="00746397" w:rsidRPr="00132B3E" w:rsidRDefault="00746397" w:rsidP="00746397"/>
    <w:p w14:paraId="78B2E596" w14:textId="77777777" w:rsidR="005F7DEE" w:rsidRPr="00746397" w:rsidRDefault="005F7DEE" w:rsidP="005F7DEE">
      <w:pPr>
        <w:pStyle w:val="Style1"/>
      </w:pPr>
    </w:p>
    <w:p w14:paraId="256BDC1C" w14:textId="1AC85F1F" w:rsidR="005F7DEE" w:rsidRPr="00A56CDC" w:rsidRDefault="005F7DEE" w:rsidP="005F7DEE">
      <w:pPr>
        <w:pStyle w:val="Style1"/>
      </w:pPr>
    </w:p>
    <w:p w14:paraId="181E6C95" w14:textId="77777777" w:rsidR="00A56CDC" w:rsidRPr="00A56CDC" w:rsidRDefault="00A56CDC" w:rsidP="00A56CDC">
      <w:pPr>
        <w:pStyle w:val="Style1"/>
        <w:rPr>
          <w:rStyle w:val="Style1Char"/>
        </w:rPr>
      </w:pPr>
    </w:p>
    <w:p w14:paraId="30FED488" w14:textId="014600EE" w:rsidR="001F57B6" w:rsidRPr="00B24E5D" w:rsidRDefault="001F57B6" w:rsidP="001F57B6">
      <w:pPr>
        <w:pStyle w:val="Style1"/>
        <w:rPr>
          <w:rStyle w:val="Style1Char"/>
          <w:rtl/>
        </w:rPr>
      </w:pPr>
    </w:p>
    <w:p w14:paraId="12D9CBA0" w14:textId="77777777" w:rsidR="00B600B2" w:rsidRPr="0097788A" w:rsidRDefault="00B600B2" w:rsidP="00B600B2">
      <w:pPr>
        <w:bidi/>
        <w:rPr>
          <w:rStyle w:val="Style1Char"/>
          <w:color w:val="00B050"/>
          <w:rtl/>
        </w:rPr>
      </w:pPr>
    </w:p>
    <w:p w14:paraId="48656F73" w14:textId="77777777" w:rsidR="00B600B2" w:rsidRDefault="00B600B2" w:rsidP="00B600B2">
      <w:pPr>
        <w:rPr>
          <w:rStyle w:val="Style1Char"/>
          <w:color w:val="00B050"/>
          <w:rtl/>
        </w:rPr>
      </w:pPr>
      <w:r>
        <w:rPr>
          <w:rStyle w:val="Style1Char"/>
          <w:color w:val="00B050"/>
          <w:rtl/>
        </w:rPr>
        <w:br w:type="page"/>
      </w:r>
    </w:p>
    <w:p w14:paraId="76715CB3" w14:textId="7D17B643" w:rsidR="00B600B2" w:rsidRDefault="00B600B2" w:rsidP="00B600B2">
      <w:pPr>
        <w:bidi/>
        <w:rPr>
          <w:rStyle w:val="Style1Char"/>
          <w:color w:val="00B050"/>
          <w:rtl/>
        </w:rPr>
      </w:pPr>
      <w:r w:rsidRPr="00D211C7">
        <w:rPr>
          <w:rStyle w:val="Style1Char"/>
          <w:color w:val="auto"/>
          <w:sz w:val="22"/>
          <w:szCs w:val="22"/>
          <w:highlight w:val="yellow"/>
          <w:rtl/>
        </w:rPr>
        <w:lastRenderedPageBreak/>
        <w:t>[דף צו עמוד ב]</w:t>
      </w:r>
      <w:r w:rsidRPr="00D211C7">
        <w:rPr>
          <w:rStyle w:val="Style1Char"/>
          <w:color w:val="auto"/>
          <w:sz w:val="22"/>
          <w:szCs w:val="22"/>
          <w:rtl/>
        </w:rPr>
        <w:t xml:space="preserve"> נכסי בחזקת יתמי קיימי, ועל אלמנה להביא ראיה, או דלמא נכסי בחזקת אלמנה קיימי</w:t>
      </w:r>
      <w:r w:rsidRPr="00D211C7">
        <w:rPr>
          <w:rStyle w:val="Style1Char"/>
          <w:color w:val="4472C4" w:themeColor="accent1"/>
          <w:rtl/>
        </w:rPr>
        <w:t xml:space="preserve"> </w:t>
      </w:r>
      <w:r w:rsidRPr="00D211C7">
        <w:rPr>
          <w:rStyle w:val="Style1Char"/>
          <w:color w:val="4472C4" w:themeColor="accent1"/>
          <w:sz w:val="22"/>
          <w:szCs w:val="22"/>
          <w:rtl/>
        </w:rPr>
        <w:t>כיון דאלים כחה למכור שלא בבית דין</w:t>
      </w:r>
      <w:r w:rsidRPr="00E11F1C">
        <w:rPr>
          <w:rStyle w:val="Style1Char"/>
          <w:sz w:val="22"/>
          <w:szCs w:val="22"/>
          <w:rtl/>
        </w:rPr>
        <w:t xml:space="preserve">, </w:t>
      </w:r>
      <w:r w:rsidRPr="00D211C7">
        <w:rPr>
          <w:rStyle w:val="Style1Char"/>
          <w:color w:val="auto"/>
          <w:sz w:val="22"/>
          <w:szCs w:val="22"/>
          <w:rtl/>
        </w:rPr>
        <w:t>ועל היתומים להביא ראיה?</w:t>
      </w:r>
      <w:r w:rsidRPr="00D211C7">
        <w:rPr>
          <w:rStyle w:val="Style1Char"/>
          <w:color w:val="auto"/>
          <w:rtl/>
        </w:rPr>
        <w:t xml:space="preserve"> </w:t>
      </w:r>
      <w:r w:rsidRPr="00F9005B">
        <w:rPr>
          <w:rStyle w:val="Style1Char"/>
          <w:color w:val="4472C4" w:themeColor="accent1"/>
          <w:rtl/>
        </w:rPr>
        <w:t>ודלא כפירש"י שפירש נתננו דמי מזונות שנה הבאה דהא פשיטא דעל היתומים להביא ראיה דהא רבי יוחנן הוא דאמר בפ"ק דב"מ [דף יז א] הטוען אחר מעשה בית דין לא אמר כלום</w:t>
      </w:r>
      <w:r>
        <w:rPr>
          <w:rStyle w:val="Style1Char"/>
          <w:rFonts w:hint="cs"/>
          <w:color w:val="4472C4" w:themeColor="accent1"/>
        </w:rPr>
        <w:t>‍</w:t>
      </w:r>
      <w:r w:rsidRPr="00F9005B">
        <w:rPr>
          <w:rStyle w:val="Style1Char"/>
          <w:color w:val="4472C4" w:themeColor="accent1"/>
          <w:rtl/>
        </w:rPr>
        <w:t xml:space="preserve"> ואפילו מאן דלית ליה דר' יוחנן מודה הכא דאי מהימני לומר פרעתי מה הועילו חכמים בתקנתם שתקנו לה מזונות בכל שעה יאמרו פרענו מידי דהוה אכתובה במקום שאין כותבין כתובה דכולי עלמא מודו דלא מצי למימר פרעתי מטעמא דפרישית אבל מזונות שעברו מוכחא מילתא דקושטא קאמרי</w:t>
      </w:r>
      <w:r>
        <w:rPr>
          <w:rStyle w:val="Style1Char"/>
          <w:rFonts w:hint="cs"/>
          <w:color w:val="4472C4" w:themeColor="accent1"/>
        </w:rPr>
        <w:t>‍</w:t>
      </w:r>
      <w:r w:rsidRPr="00F9005B">
        <w:rPr>
          <w:rStyle w:val="Style1Char"/>
          <w:color w:val="4472C4" w:themeColor="accent1"/>
          <w:rtl/>
        </w:rPr>
        <w:t xml:space="preserve"> מדשתקה עד השתא וכן מוכח דפשיט מדתני לוי דאיירי במזונות שעברו. </w:t>
      </w:r>
      <w:r w:rsidRPr="00D211C7">
        <w:rPr>
          <w:rStyle w:val="Style1Char"/>
          <w:color w:val="auto"/>
          <w:sz w:val="22"/>
          <w:szCs w:val="22"/>
          <w:rtl/>
        </w:rPr>
        <w:t xml:space="preserve">ת"ש, דתני לוי: </w:t>
      </w:r>
      <w:r w:rsidR="00DD359F">
        <w:rPr>
          <w:rStyle w:val="Style1Char"/>
          <w:rFonts w:hint="cs"/>
          <w:rtl/>
        </w:rPr>
        <w:t>(1)</w:t>
      </w:r>
      <w:r w:rsidRPr="00D211C7">
        <w:rPr>
          <w:rStyle w:val="Style1Char"/>
          <w:color w:val="auto"/>
          <w:sz w:val="22"/>
          <w:szCs w:val="22"/>
          <w:rtl/>
        </w:rPr>
        <w:t>אלמנה כל זמן שלא ניסת - על היתומים להביא ראיה, ניסת - עליה להביא ראיה</w:t>
      </w:r>
      <w:r w:rsidRPr="00D211C7">
        <w:rPr>
          <w:rStyle w:val="Style1Char"/>
          <w:color w:val="4472C4" w:themeColor="accent1"/>
          <w:rtl/>
        </w:rPr>
        <w:t xml:space="preserve"> </w:t>
      </w:r>
      <w:r w:rsidRPr="00F9005B">
        <w:rPr>
          <w:rStyle w:val="Style1Char"/>
          <w:color w:val="4472C4" w:themeColor="accent1"/>
          <w:rtl/>
        </w:rPr>
        <w:t>מדלא משכח דעליה להביא ראיה אלא בנשאת שמע מינה דאם פרעו לה כתובתה בב"ד דעל היתומים להביא ראיה על מזונות שעברו</w:t>
      </w:r>
      <w:r w:rsidRPr="00F9005B">
        <w:rPr>
          <w:rStyle w:val="Style1Char"/>
          <w:color w:val="4472C4" w:themeColor="accent1"/>
        </w:rPr>
        <w:t>:</w:t>
      </w:r>
      <w:r w:rsidRPr="00E11F1C">
        <w:rPr>
          <w:rStyle w:val="Style1Char"/>
          <w:sz w:val="22"/>
          <w:szCs w:val="22"/>
          <w:rtl/>
        </w:rPr>
        <w:t xml:space="preserve">. </w:t>
      </w:r>
      <w:r w:rsidRPr="00884884">
        <w:rPr>
          <w:rStyle w:val="Style1Char"/>
          <w:color w:val="00B050"/>
          <w:rtl/>
        </w:rPr>
        <w:t xml:space="preserve">א"ר שימי בר אשי, כתנאי: </w:t>
      </w:r>
      <w:r w:rsidR="00617605">
        <w:rPr>
          <w:rStyle w:val="Style1Char"/>
          <w:rFonts w:hint="cs"/>
          <w:rtl/>
        </w:rPr>
        <w:t>(3)</w:t>
      </w:r>
      <w:r w:rsidRPr="00884884">
        <w:rPr>
          <w:rStyle w:val="Style1Char"/>
          <w:color w:val="00B050"/>
          <w:rtl/>
        </w:rPr>
        <w:t xml:space="preserve">מוכרת וכותבת אלו למזונות מכרתי ואלו לכתובה מכרתי, דברי רבי יהודה, ר' יוסי אומר: מוכרת וכותבת סתם, וכן כחה יפה: מאי לאו בהא קמיפלגי, לר' יהודה דאמר בעי לפרושי, סבר: נכסי בחזקת יתמי קיימי, ועל האלמנה להביא ראיה, ורבי יוסי סבר לא בעי לפרושי, נכסי בחזקת אלמנה קיימי, ועל היתומים להביא ראיה. ממאי? דלמא דכולי עלמא - נכסי בחזקת אלמנה קיימי, ועל היתומים להביא ראיה, </w:t>
      </w:r>
      <w:r w:rsidR="00617605">
        <w:rPr>
          <w:rStyle w:val="Style1Char"/>
          <w:rFonts w:hint="cs"/>
          <w:rtl/>
        </w:rPr>
        <w:t>(3)</w:t>
      </w:r>
      <w:r w:rsidRPr="00884884">
        <w:rPr>
          <w:rStyle w:val="Style1Char"/>
          <w:color w:val="00B050"/>
          <w:rtl/>
        </w:rPr>
        <w:t xml:space="preserve">ורבי יהודה עצה טובה קמ"ל, דלא ליקרו לה רעבתנותא; דאי לא תימא הכי, הא דבעי ר' יוחנן, תפשוט ליה ממתני': מוכרת למזונות שלא בבית דין, וכותבת אלו למזונות מכרתי! אלא ממתני' ליכא למשמע מינה, דעצה טובה קמ"ל, ה"נ עצה טובה קמ"ל. א"נ, דכולי עלמא - נכסי בחזקת יתמי קיימי, והיינו טעמא דר' יוסי - כדאביי קשישא, דאמר אביי קשישא: משל דר' יוסי למה הדבר דומה? </w:t>
      </w:r>
      <w:r w:rsidR="00617605">
        <w:rPr>
          <w:rStyle w:val="Style1Char"/>
          <w:rFonts w:hint="cs"/>
          <w:rtl/>
        </w:rPr>
        <w:t>(4)</w:t>
      </w:r>
      <w:r w:rsidRPr="00884884">
        <w:rPr>
          <w:rStyle w:val="Style1Char"/>
          <w:color w:val="00B050"/>
          <w:rtl/>
        </w:rPr>
        <w:t xml:space="preserve">לשכיב מרע שאמר תנו מאתים זוז לפלוני בעל חובי, רצה - בחובו נוטלן, רצה - במתנה נוטלן, </w:t>
      </w:r>
    </w:p>
    <w:p w14:paraId="5CFCAC49" w14:textId="7F074548" w:rsidR="005B3DDB" w:rsidRDefault="005B3DDB" w:rsidP="005B3DDB">
      <w:pPr>
        <w:pStyle w:val="Style1"/>
        <w:rPr>
          <w:rStyle w:val="Style1Char"/>
          <w:rtl/>
        </w:rPr>
      </w:pPr>
      <w:r>
        <w:rPr>
          <w:rStyle w:val="Style1Char"/>
          <w:rFonts w:hint="cs"/>
          <w:rtl/>
        </w:rPr>
        <w:t>1)[</w:t>
      </w:r>
      <w:r w:rsidRPr="005B3DDB">
        <w:rPr>
          <w:rStyle w:val="Style1Char"/>
          <w:rtl/>
        </w:rPr>
        <w:t>רמב</w:t>
      </w:r>
      <w:r w:rsidR="00213DA1">
        <w:rPr>
          <w:rStyle w:val="Style1Char"/>
          <w:rtl/>
        </w:rPr>
        <w:t>”ם \נשים\</w:t>
      </w:r>
      <w:r w:rsidRPr="005B3DDB">
        <w:rPr>
          <w:rStyle w:val="Style1Char"/>
          <w:rtl/>
        </w:rPr>
        <w:t xml:space="preserve"> הלכות אישות פרק יח הלכה כז</w:t>
      </w:r>
      <w:r>
        <w:rPr>
          <w:rStyle w:val="Style1Char"/>
          <w:rFonts w:hint="cs"/>
          <w:rtl/>
        </w:rPr>
        <w:t xml:space="preserve">] </w:t>
      </w:r>
      <w:r w:rsidRPr="005B3DDB">
        <w:rPr>
          <w:rStyle w:val="Style1Char"/>
          <w:rtl/>
        </w:rPr>
        <w:t>אלמנה שתבעה מזונות מן היורשים, הם אומרים נתנו והיא אומרת לא נטלתי, כל זמן שלא נשאת על היתומים להביא ראיה או תשבע שבועת הסת ותטול, משנשאת עליה להביא ראיה או ישבעו היורשים שבועת הסת שנתנו לה.</w:t>
      </w:r>
    </w:p>
    <w:p w14:paraId="1B60A35E" w14:textId="78C17650" w:rsidR="006D4930" w:rsidRDefault="006D4930" w:rsidP="008403E5">
      <w:pPr>
        <w:pStyle w:val="Style1"/>
        <w:rPr>
          <w:shd w:val="clear" w:color="auto" w:fill="FFFFFF"/>
          <w:rtl/>
        </w:rPr>
      </w:pPr>
      <w:r>
        <w:rPr>
          <w:rStyle w:val="Style1Char"/>
          <w:rFonts w:hint="cs"/>
          <w:rtl/>
        </w:rPr>
        <w:t>1)[</w:t>
      </w:r>
      <w:r w:rsidRPr="006D4930">
        <w:rPr>
          <w:rStyle w:val="Style1Char"/>
          <w:rtl/>
        </w:rPr>
        <w:t>שולחן ערוך אבן העזר הלכות כתובות סימן צג סעיף טו</w:t>
      </w:r>
      <w:r>
        <w:rPr>
          <w:rStyle w:val="Style1Char"/>
          <w:rFonts w:hint="cs"/>
          <w:rtl/>
        </w:rPr>
        <w:t>]</w:t>
      </w:r>
      <w:r w:rsidR="008403E5">
        <w:rPr>
          <w:rStyle w:val="Style1Char"/>
          <w:rFonts w:hint="cs"/>
          <w:rtl/>
        </w:rPr>
        <w:t xml:space="preserve"> </w:t>
      </w:r>
      <w:r w:rsidR="008403E5">
        <w:rPr>
          <w:shd w:val="clear" w:color="auto" w:fill="FFFFFF"/>
          <w:rtl/>
        </w:rPr>
        <w:t>אלמנה שתבעה מזונות מהיורשים, והם אמרו שנתנו לה והיא אומרת שלא נטלה, כל זמן שלא נשאת על היתומים להביא ראיה או תשבע שבועת היסת ותטול; משנשאת, עליה להביא ראיה או ישבע היורש שבועת היסת שנתנם לה</w:t>
      </w:r>
      <w:r w:rsidR="008403E5">
        <w:rPr>
          <w:shd w:val="clear" w:color="auto" w:fill="FFFFFF"/>
        </w:rPr>
        <w:t>:</w:t>
      </w:r>
    </w:p>
    <w:p w14:paraId="30E4C995" w14:textId="11B83309" w:rsidR="00617605" w:rsidRDefault="00617605" w:rsidP="00617605">
      <w:pPr>
        <w:pStyle w:val="Style1"/>
        <w:rPr>
          <w:rStyle w:val="Style1Char"/>
          <w:rtl/>
        </w:rPr>
      </w:pPr>
      <w:r>
        <w:rPr>
          <w:rStyle w:val="Style1Char"/>
          <w:rFonts w:hint="cs"/>
          <w:rtl/>
        </w:rPr>
        <w:t>2)[</w:t>
      </w:r>
      <w:r w:rsidRPr="00617605">
        <w:rPr>
          <w:rStyle w:val="Style1Char"/>
          <w:rtl/>
        </w:rPr>
        <w:t>טור אבן העזר הלכות כתובות סימן קג</w:t>
      </w:r>
      <w:r>
        <w:rPr>
          <w:rStyle w:val="Style1Char"/>
          <w:rFonts w:hint="cs"/>
          <w:rtl/>
        </w:rPr>
        <w:t xml:space="preserve">] </w:t>
      </w:r>
      <w:r w:rsidRPr="00617605">
        <w:rPr>
          <w:rStyle w:val="Style1Char"/>
          <w:rtl/>
        </w:rPr>
        <w:t xml:space="preserve">אלמנה בין מן הנישואין </w:t>
      </w:r>
      <w:r>
        <w:rPr>
          <w:rStyle w:val="Style1Char"/>
          <w:rFonts w:hint="cs"/>
        </w:rPr>
        <w:t>‍</w:t>
      </w:r>
      <w:r w:rsidRPr="00617605">
        <w:rPr>
          <w:rStyle w:val="Style1Char"/>
          <w:rtl/>
        </w:rPr>
        <w:t xml:space="preserve">בין מן האירוסין מוכרת מנכסי בעלה לגבות כתובתה וכן </w:t>
      </w:r>
      <w:r>
        <w:rPr>
          <w:rStyle w:val="Style1Char"/>
          <w:rFonts w:hint="cs"/>
        </w:rPr>
        <w:t>‍</w:t>
      </w:r>
      <w:r w:rsidRPr="00617605">
        <w:rPr>
          <w:rStyle w:val="Style1Char"/>
          <w:rtl/>
        </w:rPr>
        <w:t xml:space="preserve">שלא בבית דין </w:t>
      </w:r>
      <w:r>
        <w:rPr>
          <w:rStyle w:val="Style1Char"/>
          <w:rFonts w:hint="cs"/>
        </w:rPr>
        <w:t>‍</w:t>
      </w:r>
      <w:r w:rsidRPr="00617605">
        <w:rPr>
          <w:rStyle w:val="Style1Char"/>
          <w:rtl/>
        </w:rPr>
        <w:t xml:space="preserve">ושלא בהכרזה לא שנא אם מוכרת לגבות כל כתובתה ביחד ל"ש אם מוכרת ג' או ד' פעמים לגבות </w:t>
      </w:r>
      <w:r>
        <w:rPr>
          <w:rStyle w:val="Style1Char"/>
          <w:rFonts w:hint="cs"/>
        </w:rPr>
        <w:t>‍</w:t>
      </w:r>
      <w:r w:rsidRPr="00617605">
        <w:rPr>
          <w:rStyle w:val="Style1Char"/>
          <w:rtl/>
        </w:rPr>
        <w:t>מעט מעט בכל פעם מוכרת שלא בב"ד מומחין אבל צריכה ב"ד הדיוטות ג' אנשים בקיאים בשומת קרקע ואם מכרה בלא ב"ד הדיוטות כתב ר"ח שמכרה בטל והרמב"ם כתב גבי מוכרת למזונות שקיים ונשבעת שלא זלזלה וא"א הרא"ש ז"ל כתב בתשובה כר"ח ואחריות המכר על היתומים</w:t>
      </w:r>
      <w:r>
        <w:rPr>
          <w:rStyle w:val="Style1Char"/>
          <w:rFonts w:hint="cs"/>
        </w:rPr>
        <w:t>‍</w:t>
      </w:r>
      <w:r w:rsidRPr="00617605">
        <w:rPr>
          <w:rStyle w:val="Style1Char"/>
          <w:rtl/>
        </w:rPr>
        <w:t xml:space="preserve"> בין אם תמכור היא או ב"ד וגרושה לא תמכור אלא בב"ד ואלמנה נמי אם נשאת לא תמכור אלא בב"ד ואם ב"ד מוכרין ונותנים לה אז אינה נשבעת אלא שלא התפיסה צררי </w:t>
      </w:r>
      <w:r>
        <w:rPr>
          <w:rStyle w:val="Style1Char"/>
          <w:rFonts w:hint="cs"/>
        </w:rPr>
        <w:t>‍</w:t>
      </w:r>
      <w:r w:rsidRPr="00617605">
        <w:rPr>
          <w:rStyle w:val="Style1Char"/>
          <w:rtl/>
        </w:rPr>
        <w:t xml:space="preserve">ושלא תפשה היא משלו </w:t>
      </w:r>
      <w:r>
        <w:rPr>
          <w:rStyle w:val="Style1Char"/>
          <w:rFonts w:hint="cs"/>
        </w:rPr>
        <w:t>‍</w:t>
      </w:r>
      <w:r w:rsidRPr="00617605">
        <w:rPr>
          <w:rStyle w:val="Style1Char"/>
          <w:rtl/>
        </w:rPr>
        <w:t xml:space="preserve">ואם היא בעצמה מוכרת צריכה לישבע שבועת צררי ושלא גבתה יותר </w:t>
      </w:r>
      <w:r>
        <w:rPr>
          <w:rStyle w:val="Style1Char"/>
          <w:rFonts w:hint="cs"/>
        </w:rPr>
        <w:t>‍</w:t>
      </w:r>
      <w:r w:rsidRPr="00617605">
        <w:rPr>
          <w:rStyle w:val="Style1Char"/>
          <w:rtl/>
        </w:rPr>
        <w:t xml:space="preserve">ושלא זלזלה בנכסים ואם לקחה לעצמה אינו כלום </w:t>
      </w:r>
      <w:r>
        <w:rPr>
          <w:rStyle w:val="Style1Char"/>
          <w:rFonts w:hint="cs"/>
        </w:rPr>
        <w:t>‍</w:t>
      </w:r>
      <w:r w:rsidRPr="00617605">
        <w:rPr>
          <w:rStyle w:val="Style1Char"/>
          <w:rtl/>
        </w:rPr>
        <w:t xml:space="preserve">אף על פי ששמוה שלשה הדיוטות אלא צריכה להחזיר ליתומים אפילו אם הכריזה ועצה טובה היא לה שתפרש מה שמוכרת לצורך כתובתה שלא יאמרו שמוכרת הכל לצורך מזונותיה ויקראוה רעבתנית ואם אינה חוששת שיקראוה רעבתנית טוב לה שלא תפרש שאם יכלו הנכסים תאמר כל מה שמכרה הוא </w:t>
      </w:r>
      <w:r>
        <w:rPr>
          <w:rStyle w:val="Style1Char"/>
          <w:rFonts w:hint="cs"/>
        </w:rPr>
        <w:t>‍</w:t>
      </w:r>
      <w:r w:rsidRPr="00617605">
        <w:rPr>
          <w:rStyle w:val="Style1Char"/>
          <w:rtl/>
        </w:rPr>
        <w:t xml:space="preserve">לצורך מזונות ותטרוף מהלקוחות שקנו מבעלה לצורך כתובתה אבל אם תפרש שמוכרת לצורך כתובתה לא תוכל לטרוף מהלקוחות מזונות ויש צד אחר שטוב לה יותר שלא תפרש שאם לא תפרש ויצא עליו שטר חוב תאמר שלכתובה מכרה ואם כתובתה קדמה לא יוכל בעל השטר לטרוף ממה שמכרה ואם תפרש למזונות יטרפנו ב"ח מפני שזמנו קודם שאין חיוב המזונות אלא עד אחר מיתה היתה כתובתה מאתים ומכרה שוה מאתים במנה </w:t>
      </w:r>
      <w:r>
        <w:rPr>
          <w:rStyle w:val="Style1Char"/>
          <w:rFonts w:hint="cs"/>
        </w:rPr>
        <w:t>‍</w:t>
      </w:r>
      <w:r w:rsidRPr="00617605">
        <w:rPr>
          <w:rStyle w:val="Style1Char"/>
          <w:rtl/>
        </w:rPr>
        <w:t xml:space="preserve">והוזל שאינו שוה אלא מנה </w:t>
      </w:r>
      <w:r>
        <w:rPr>
          <w:rStyle w:val="Style1Char"/>
          <w:rFonts w:hint="cs"/>
        </w:rPr>
        <w:t>‍</w:t>
      </w:r>
      <w:r w:rsidRPr="00617605">
        <w:rPr>
          <w:rStyle w:val="Style1Char"/>
          <w:rtl/>
        </w:rPr>
        <w:t xml:space="preserve">והיא רוצה לקיים המקח נתקבלה כתובתה ולא אמרינן </w:t>
      </w:r>
      <w:r>
        <w:rPr>
          <w:rStyle w:val="Style1Char"/>
          <w:rFonts w:hint="cs"/>
        </w:rPr>
        <w:t>‍</w:t>
      </w:r>
      <w:r w:rsidRPr="00617605">
        <w:rPr>
          <w:rStyle w:val="Style1Char"/>
          <w:rtl/>
        </w:rPr>
        <w:t xml:space="preserve">כיון שהיה המקח בטעות לא יצא הקרקע מחזקת היתומים וברשותם הוזל אלא כיון שבשעה שקבלה הקרקע להכניסו לרשות הלוקח היה שוה מאתים כאילו כוונה לקנות הקרקע ונתקבלה כתובתה ואינה חוזרת ליתומים וכן אם מכרה שוה מנה במאתים והוקר והלוקח רוצה לקיים המקח ונתקבלה כתובתה </w:t>
      </w:r>
      <w:r>
        <w:rPr>
          <w:rStyle w:val="Style1Char"/>
          <w:rFonts w:hint="cs"/>
        </w:rPr>
        <w:t>‍</w:t>
      </w:r>
      <w:r w:rsidRPr="00617605">
        <w:rPr>
          <w:rStyle w:val="Style1Char"/>
          <w:rtl/>
        </w:rPr>
        <w:t xml:space="preserve">והריוח ליתומים </w:t>
      </w:r>
      <w:r>
        <w:rPr>
          <w:rStyle w:val="Style1Char"/>
          <w:rFonts w:hint="cs"/>
        </w:rPr>
        <w:t>‍</w:t>
      </w:r>
      <w:r w:rsidRPr="00617605">
        <w:rPr>
          <w:rStyle w:val="Style1Char"/>
          <w:rtl/>
        </w:rPr>
        <w:t xml:space="preserve">טעתה ומכרה שוה מנה ודינר במנה או שטעתה אפילו כל שהו אפילו אם רוצה ליתן ליתומים מה שטעתה מכרה בטל היתה כתובתה ד' מאות ומכרה לזה במנה ולזה במנה ולאחרון שוה מנה ודינר במנה הראשונים מכרן קיים והאחרון מכרו בטל בד"א </w:t>
      </w:r>
      <w:r>
        <w:rPr>
          <w:rStyle w:val="Style1Char"/>
          <w:rFonts w:hint="cs"/>
        </w:rPr>
        <w:t>‍</w:t>
      </w:r>
      <w:r w:rsidRPr="00617605">
        <w:rPr>
          <w:rStyle w:val="Style1Char"/>
          <w:rtl/>
        </w:rPr>
        <w:t xml:space="preserve">שהן ד' שדות חלוקות אבל אם הכל שדה אחת ומכרה ממנו לד' לרב אלפס שפסק </w:t>
      </w:r>
      <w:r>
        <w:rPr>
          <w:rStyle w:val="Style1Char"/>
          <w:rFonts w:hint="cs"/>
        </w:rPr>
        <w:t>‍</w:t>
      </w:r>
      <w:r w:rsidRPr="00617605">
        <w:rPr>
          <w:rStyle w:val="Style1Char"/>
          <w:rtl/>
        </w:rPr>
        <w:t xml:space="preserve">במכור לי כורא וזבין לי' ליתכא שהמכר בטל שחשוב כמעביר על דבריו </w:t>
      </w:r>
      <w:r>
        <w:rPr>
          <w:rStyle w:val="Style1Char"/>
          <w:rFonts w:hint="cs"/>
        </w:rPr>
        <w:t>‍</w:t>
      </w:r>
      <w:r w:rsidRPr="00617605">
        <w:rPr>
          <w:rStyle w:val="Style1Char"/>
          <w:rtl/>
        </w:rPr>
        <w:t xml:space="preserve">אפי' הראשונים מכרן בטל אם עשה לכל אחד ואחד שטר בפני עצמו אלא אם כן מכרה לכולם בשטר אחד </w:t>
      </w:r>
      <w:r>
        <w:rPr>
          <w:rStyle w:val="Style1Char"/>
          <w:rFonts w:hint="cs"/>
        </w:rPr>
        <w:t>‍</w:t>
      </w:r>
      <w:r w:rsidRPr="00617605">
        <w:rPr>
          <w:rStyle w:val="Style1Char"/>
          <w:rtl/>
        </w:rPr>
        <w:t>אז מכר הראשונים קיים אבל רבי' האי פסק במכור לי כורא וזבין ליה לתכא שהמכר קיים ולפי זה אפילו מכרה לד' בד' שטרות הראשונים מכרן קיים לבד מהאחרון וכך הוא מסקנת אדוני אבי ז"ל</w:t>
      </w:r>
    </w:p>
    <w:p w14:paraId="628A9C23" w14:textId="0F230C07" w:rsidR="00617605" w:rsidRDefault="00617605" w:rsidP="00617605">
      <w:pPr>
        <w:pStyle w:val="Style1"/>
        <w:rPr>
          <w:rStyle w:val="Style1Char"/>
          <w:rtl/>
        </w:rPr>
      </w:pPr>
      <w:r>
        <w:rPr>
          <w:rStyle w:val="Style1Char"/>
          <w:rFonts w:hint="cs"/>
          <w:rtl/>
        </w:rPr>
        <w:t>4)[</w:t>
      </w:r>
      <w:r w:rsidRPr="00617605">
        <w:rPr>
          <w:rStyle w:val="Style1Char"/>
          <w:rtl/>
        </w:rPr>
        <w:t>רמב</w:t>
      </w:r>
      <w:r w:rsidR="00C764B2">
        <w:rPr>
          <w:rStyle w:val="Style1Char"/>
          <w:rtl/>
        </w:rPr>
        <w:t>”ם \קנין\</w:t>
      </w:r>
      <w:r w:rsidRPr="00617605">
        <w:rPr>
          <w:rStyle w:val="Style1Char"/>
          <w:rtl/>
        </w:rPr>
        <w:t xml:space="preserve"> הלכות זכיה ומתנה פרק יא הלכה טז</w:t>
      </w:r>
      <w:r>
        <w:rPr>
          <w:rStyle w:val="Style1Char"/>
          <w:rFonts w:hint="cs"/>
          <w:rtl/>
        </w:rPr>
        <w:t xml:space="preserve">] </w:t>
      </w:r>
      <w:r w:rsidRPr="00617605">
        <w:rPr>
          <w:rStyle w:val="Style1Char"/>
          <w:rtl/>
        </w:rPr>
        <w:t>שכיב מרע שאמר תנו מאתים זוז לפלוני בכורי כראוי לו, נוטלן ונוטל בכורתו.</w:t>
      </w:r>
    </w:p>
    <w:p w14:paraId="12EBF3B0" w14:textId="334B16B1" w:rsidR="00617605" w:rsidRDefault="00617605" w:rsidP="00617605">
      <w:pPr>
        <w:pStyle w:val="Style1"/>
        <w:rPr>
          <w:rStyle w:val="Style1Char"/>
          <w:rtl/>
        </w:rPr>
      </w:pPr>
      <w:r>
        <w:rPr>
          <w:rStyle w:val="Style1Char"/>
          <w:rFonts w:hint="cs"/>
          <w:rtl/>
        </w:rPr>
        <w:t>4)[</w:t>
      </w:r>
      <w:r w:rsidRPr="00617605">
        <w:rPr>
          <w:rStyle w:val="Style1Char"/>
          <w:rtl/>
        </w:rPr>
        <w:t>רמב</w:t>
      </w:r>
      <w:r w:rsidR="00C764B2">
        <w:rPr>
          <w:rStyle w:val="Style1Char"/>
          <w:rtl/>
        </w:rPr>
        <w:t>”ם \קנין\</w:t>
      </w:r>
      <w:r w:rsidRPr="00617605">
        <w:rPr>
          <w:rStyle w:val="Style1Char"/>
          <w:rtl/>
        </w:rPr>
        <w:t xml:space="preserve"> הלכות זכיה ומתנה פרק יא הלכה יז</w:t>
      </w:r>
      <w:r>
        <w:rPr>
          <w:rStyle w:val="Style1Char"/>
          <w:rFonts w:hint="cs"/>
          <w:rtl/>
        </w:rPr>
        <w:t xml:space="preserve">] </w:t>
      </w:r>
      <w:r w:rsidRPr="00617605">
        <w:rPr>
          <w:rStyle w:val="Style1Char"/>
          <w:rtl/>
        </w:rPr>
        <w:t>אמר בבכורתו ידו על העליונה, רצה חלק בכורה נוטל רצה מאתים זוז נוטל.</w:t>
      </w:r>
    </w:p>
    <w:p w14:paraId="441A4A28" w14:textId="6E73AC86" w:rsidR="00617605" w:rsidRDefault="00617605" w:rsidP="00617605">
      <w:pPr>
        <w:pStyle w:val="Style1"/>
        <w:rPr>
          <w:rStyle w:val="Style1Char"/>
          <w:rtl/>
        </w:rPr>
      </w:pPr>
      <w:r>
        <w:rPr>
          <w:rStyle w:val="Style1Char"/>
          <w:rFonts w:hint="cs"/>
          <w:rtl/>
        </w:rPr>
        <w:t>4)[</w:t>
      </w:r>
      <w:r w:rsidRPr="00617605">
        <w:rPr>
          <w:rStyle w:val="Style1Char"/>
          <w:rtl/>
        </w:rPr>
        <w:t>רמב</w:t>
      </w:r>
      <w:r w:rsidR="00C764B2">
        <w:rPr>
          <w:rStyle w:val="Style1Char"/>
          <w:rtl/>
        </w:rPr>
        <w:t>”ם \קנין\</w:t>
      </w:r>
      <w:r w:rsidRPr="00617605">
        <w:rPr>
          <w:rStyle w:val="Style1Char"/>
          <w:rtl/>
        </w:rPr>
        <w:t xml:space="preserve"> הלכות זכיה ומתנה פרק יא הלכה יח</w:t>
      </w:r>
      <w:r>
        <w:rPr>
          <w:rStyle w:val="Style1Char"/>
          <w:rFonts w:hint="cs"/>
          <w:rtl/>
        </w:rPr>
        <w:t xml:space="preserve">] </w:t>
      </w:r>
      <w:r w:rsidRPr="00617605">
        <w:rPr>
          <w:rStyle w:val="Style1Char"/>
          <w:rtl/>
        </w:rPr>
        <w:t>כן אם אמר תנו מאתים זוז לפלונית אשתי כראוי לה, נוטלתן ונוטלת כתובתה, ואם אמר בכתובתה ידה על העליונה.</w:t>
      </w:r>
    </w:p>
    <w:p w14:paraId="7C9FF20A" w14:textId="5282F9A4" w:rsidR="00617605" w:rsidRDefault="00617605" w:rsidP="00617605">
      <w:pPr>
        <w:pStyle w:val="Style1"/>
        <w:rPr>
          <w:rStyle w:val="Style1Char"/>
          <w:rtl/>
        </w:rPr>
      </w:pPr>
      <w:r>
        <w:rPr>
          <w:rStyle w:val="Style1Char"/>
          <w:rFonts w:hint="cs"/>
          <w:rtl/>
        </w:rPr>
        <w:t>4)[</w:t>
      </w:r>
      <w:r w:rsidRPr="00617605">
        <w:rPr>
          <w:rStyle w:val="Style1Char"/>
          <w:rtl/>
        </w:rPr>
        <w:t>רמב</w:t>
      </w:r>
      <w:r w:rsidR="00C764B2">
        <w:rPr>
          <w:rStyle w:val="Style1Char"/>
          <w:rtl/>
        </w:rPr>
        <w:t>”ם \קנין\</w:t>
      </w:r>
      <w:r w:rsidRPr="00617605">
        <w:rPr>
          <w:rStyle w:val="Style1Char"/>
          <w:rtl/>
        </w:rPr>
        <w:t xml:space="preserve"> הלכות זכיה ומתנה פרק יא הלכה יט</w:t>
      </w:r>
      <w:r>
        <w:rPr>
          <w:rStyle w:val="Style1Char"/>
          <w:rFonts w:hint="cs"/>
          <w:rtl/>
        </w:rPr>
        <w:t xml:space="preserve">] </w:t>
      </w:r>
      <w:r w:rsidRPr="00617605">
        <w:rPr>
          <w:rStyle w:val="Style1Char"/>
          <w:rtl/>
        </w:rPr>
        <w:t>אמר תנו מאתים זוז לפלוני בעל חובי כראוי לו נוטלן ונוטל את חובו, אמר בחובו אין לו אלא חובו.</w:t>
      </w:r>
    </w:p>
    <w:p w14:paraId="73CA74D5" w14:textId="6C49F4E9" w:rsidR="00617605" w:rsidRPr="00617605" w:rsidRDefault="00617605" w:rsidP="00617605">
      <w:pPr>
        <w:pStyle w:val="Style1"/>
      </w:pPr>
      <w:r>
        <w:rPr>
          <w:rStyle w:val="Style1Char"/>
          <w:rFonts w:hint="cs"/>
          <w:rtl/>
        </w:rPr>
        <w:t>4)[</w:t>
      </w:r>
      <w:r w:rsidRPr="00617605">
        <w:rPr>
          <w:rStyle w:val="Style1Char"/>
          <w:rtl/>
        </w:rPr>
        <w:t>שולחן ערוך חושן משפט הלכות מתנת שכיב מרע סימן רנג סעיף ח</w:t>
      </w:r>
      <w:r>
        <w:rPr>
          <w:rStyle w:val="Style1Char"/>
          <w:rFonts w:hint="cs"/>
          <w:rtl/>
        </w:rPr>
        <w:t xml:space="preserve">] </w:t>
      </w:r>
      <w:r w:rsidRPr="00617605">
        <w:rPr>
          <w:rtl/>
        </w:rPr>
        <w:t>שכיב מרע שאמר תנו ק"ק זוז לפלוני בני כראוי לו, או לאשתי כראוי לה, או לבעל חובי כראוי לו, נוטלים ק"ק זוז עודף על חלק הבכורה והכתובה והחוב. ואם אמר תנו ק"ק זוז לבני בבכורתו, או לאשתי בכתובתה, לא יטלו שניהם אלא אחד מהם, וידן על העליונה, אם ק"ק זוז יותר נוטלים ק"ק זוז; ואם הבכורה והכתובה יותר מק"ק זוז, נוטלים אותה. אבל אם אמר תנו ק"ק לבעל חובי בחובו, אין לו אלא חובו</w:t>
      </w:r>
      <w:r w:rsidRPr="00617605">
        <w:t>.</w:t>
      </w:r>
    </w:p>
    <w:p w14:paraId="38F1070A" w14:textId="77777777" w:rsidR="00617605" w:rsidRPr="00617605" w:rsidRDefault="00617605" w:rsidP="00617605">
      <w:pPr>
        <w:pStyle w:val="Style1"/>
      </w:pPr>
      <w:r w:rsidRPr="00617605">
        <w:rPr>
          <w:rFonts w:hint="cs"/>
          <w:rtl/>
        </w:rPr>
        <w:t>(ואם אמר ר' זוז לבני פלוני שהוא פשוט בירושתו, אין לו אלא ר' זוז) (טור)</w:t>
      </w:r>
    </w:p>
    <w:p w14:paraId="11A7E79F" w14:textId="77777777" w:rsidR="00617605" w:rsidRPr="00617605" w:rsidRDefault="00617605" w:rsidP="00617605">
      <w:pPr>
        <w:pStyle w:val="Style1"/>
      </w:pPr>
      <w:r w:rsidRPr="00617605">
        <w:rPr>
          <w:rtl/>
        </w:rPr>
        <w:t>ואם לא אמר לא כראוי לו ולא בבכורתו ולא בכתובתה ולא בחובו, בכולם ידם על העליונה. ואפילו בבעל חוב, אם אמר תנו ק"ק זוז לפלוני בעל חובי, רצה נוטלן רצה נוטל חובו. ויש חולקין ואומרים יב) שאם אמר סתם: לבני פלוני, או לאשתי </w:t>
      </w:r>
      <w:r w:rsidRPr="00617605">
        <w:rPr>
          <w:rFonts w:hint="cs"/>
          <w:rtl/>
        </w:rPr>
        <w:t>(או לפלוני בעל חובי) (טור)</w:t>
      </w:r>
      <w:r w:rsidRPr="00617605">
        <w:t xml:space="preserve">, </w:t>
      </w:r>
      <w:r w:rsidRPr="00617605">
        <w:rPr>
          <w:rtl/>
        </w:rPr>
        <w:t>מתנה נתן להם יתר על הראוי להם; ואם אמר לבני בכורי דינו כאילו אמר בבכורתו, מדהזכיר בכורה</w:t>
      </w:r>
      <w:r w:rsidRPr="00617605">
        <w:t>.</w:t>
      </w:r>
    </w:p>
    <w:p w14:paraId="716D8232" w14:textId="77777777" w:rsidR="00617605" w:rsidRPr="00617605" w:rsidRDefault="00617605" w:rsidP="00617605">
      <w:pPr>
        <w:pStyle w:val="Style1"/>
      </w:pPr>
      <w:r w:rsidRPr="00617605">
        <w:rPr>
          <w:rFonts w:hint="cs"/>
          <w:rtl/>
        </w:rPr>
        <w:t>הגה: וסברא הראשונה נראה עיקר.וכל זה דלא אמר דנותן במתנה, אבל אם אמר בפירוש: אני נותן במתנה ר' זוז לפלוני בעל חובי, או לאשתי, נוטלין מלבד מה שחייב להן (ריב"ש </w:t>
      </w:r>
      <w:hyperlink r:id="rId263" w:tooltip="תשובות ריב&quot;ש/תפ" w:history="1">
        <w:r w:rsidRPr="00617605">
          <w:rPr>
            <w:rStyle w:val="Hyperlink"/>
            <w:rFonts w:hint="cs"/>
            <w:color w:val="7030A0"/>
            <w:u w:val="none"/>
            <w:rtl/>
          </w:rPr>
          <w:t>סי' ת"פ</w:t>
        </w:r>
      </w:hyperlink>
      <w:r w:rsidRPr="00617605">
        <w:rPr>
          <w:rFonts w:hint="cs"/>
        </w:rPr>
        <w:t>).</w:t>
      </w:r>
      <w:r w:rsidRPr="00617605">
        <w:rPr>
          <w:rFonts w:hint="cs"/>
          <w:rtl/>
        </w:rPr>
        <w:t>מי שאמר בתו תטול בנכסיו כך וכך, ולא הזכיר לצורך נישואיה, נוטלת המתנה מלבד עישור נכסים שלה (ב"י סימן ר"ן בשם הרשב"א</w:t>
      </w:r>
      <w:r w:rsidRPr="00617605">
        <w:rPr>
          <w:rFonts w:hint="cs"/>
        </w:rPr>
        <w:t>)</w:t>
      </w:r>
      <w:r w:rsidRPr="00617605">
        <w:t>.</w:t>
      </w:r>
    </w:p>
    <w:p w14:paraId="2BB402AD" w14:textId="77777777" w:rsidR="00617605" w:rsidRPr="00617605" w:rsidRDefault="00617605" w:rsidP="00617605">
      <w:pPr>
        <w:pStyle w:val="Style1"/>
        <w:rPr>
          <w:rStyle w:val="Style1Char"/>
        </w:rPr>
      </w:pPr>
    </w:p>
    <w:p w14:paraId="01BEC415" w14:textId="7B2F791A" w:rsidR="00617605" w:rsidRPr="00617605" w:rsidRDefault="00617605" w:rsidP="00617605">
      <w:pPr>
        <w:pStyle w:val="Style1"/>
        <w:rPr>
          <w:rStyle w:val="Style1Char"/>
          <w:rtl/>
        </w:rPr>
      </w:pPr>
    </w:p>
    <w:p w14:paraId="55F6C664" w14:textId="77777777" w:rsidR="00B600B2" w:rsidRDefault="00B600B2" w:rsidP="00B600B2">
      <w:pPr>
        <w:rPr>
          <w:rStyle w:val="Style1Char"/>
          <w:color w:val="00B050"/>
          <w:rtl/>
        </w:rPr>
      </w:pPr>
      <w:r>
        <w:rPr>
          <w:rStyle w:val="Style1Char"/>
          <w:color w:val="00B050"/>
          <w:rtl/>
        </w:rPr>
        <w:br w:type="page"/>
      </w:r>
    </w:p>
    <w:p w14:paraId="7725CFC7" w14:textId="0FE3F67C" w:rsidR="00B600B2" w:rsidRPr="00F9005B" w:rsidRDefault="00B600B2" w:rsidP="00B600B2">
      <w:pPr>
        <w:bidi/>
        <w:rPr>
          <w:rStyle w:val="Style1Char"/>
          <w:color w:val="4472C4" w:themeColor="accent1"/>
        </w:rPr>
      </w:pPr>
      <w:r w:rsidRPr="00884884">
        <w:rPr>
          <w:rStyle w:val="Style1Char"/>
          <w:color w:val="00B050"/>
          <w:sz w:val="22"/>
          <w:szCs w:val="22"/>
          <w:highlight w:val="yellow"/>
          <w:rtl/>
        </w:rPr>
        <w:lastRenderedPageBreak/>
        <w:t>[דף צז עמוד א]</w:t>
      </w:r>
      <w:r w:rsidRPr="00884884">
        <w:rPr>
          <w:rStyle w:val="Style1Char"/>
          <w:color w:val="00B050"/>
          <w:sz w:val="22"/>
          <w:szCs w:val="22"/>
          <w:rtl/>
        </w:rPr>
        <w:t xml:space="preserve"> </w:t>
      </w:r>
      <w:r w:rsidRPr="00884884">
        <w:rPr>
          <w:rStyle w:val="Style1Char"/>
          <w:color w:val="00B050"/>
          <w:rtl/>
        </w:rPr>
        <w:t xml:space="preserve">אם במתנה נוטלן, לא כך יפה כחו. </w:t>
      </w:r>
      <w:r w:rsidRPr="00F4037A">
        <w:rPr>
          <w:rStyle w:val="Style1Char"/>
          <w:color w:val="ED7D31" w:themeColor="accent2"/>
          <w:sz w:val="22"/>
          <w:szCs w:val="22"/>
          <w:rtl/>
        </w:rPr>
        <w:t xml:space="preserve">כיצד מוכרת? </w:t>
      </w:r>
      <w:r w:rsidRPr="00F4037A">
        <w:rPr>
          <w:rStyle w:val="Style1Char"/>
          <w:color w:val="auto"/>
          <w:sz w:val="22"/>
          <w:szCs w:val="22"/>
          <w:rtl/>
        </w:rPr>
        <w:t>אמר רבי דניאל בר רב קטינא אמר רב הונא: מוכרת אחת לשנים עשר חדש, ולוקח מפרנס אחת לשלשים יום; ורב יהודה אמר: מוכרת לששה חדשים, ולוקח מפרנס אחת לשלשים יום</w:t>
      </w:r>
      <w:r w:rsidRPr="00F4037A">
        <w:rPr>
          <w:rStyle w:val="Style1Char"/>
          <w:color w:val="auto"/>
          <w:rtl/>
        </w:rPr>
        <w:t>.</w:t>
      </w:r>
      <w:r w:rsidRPr="00884884">
        <w:rPr>
          <w:rStyle w:val="Style1Char"/>
          <w:color w:val="00B050"/>
          <w:rtl/>
        </w:rPr>
        <w:t xml:space="preserve"> תניא כוותיה דרב הונא: מוכרת לשנים עשר חדש, ולוקח מפרנס אחת לשלשים יום. תניא כוותיה דרבי יהודה: מוכרת לששה חדשים, ולוקח מפרנס אחת לשלשים יום. </w:t>
      </w:r>
      <w:r w:rsidRPr="000C1BEC">
        <w:rPr>
          <w:rStyle w:val="Style1Char"/>
          <w:color w:val="auto"/>
          <w:sz w:val="22"/>
          <w:szCs w:val="22"/>
          <w:rtl/>
        </w:rPr>
        <w:t xml:space="preserve">אמר אמימר, </w:t>
      </w:r>
      <w:r w:rsidR="00A864B0">
        <w:rPr>
          <w:rStyle w:val="Style1Char"/>
          <w:rFonts w:hint="cs"/>
          <w:rtl/>
        </w:rPr>
        <w:t>(1)</w:t>
      </w:r>
      <w:r w:rsidRPr="000C1BEC">
        <w:rPr>
          <w:rStyle w:val="Style1Char"/>
          <w:color w:val="auto"/>
          <w:sz w:val="22"/>
          <w:szCs w:val="22"/>
          <w:rtl/>
        </w:rPr>
        <w:t>הלכתא: מוכרת לששה חדשים, ולוקח מפרנס אחת לשלשים יום</w:t>
      </w:r>
      <w:r w:rsidRPr="000C1BEC">
        <w:rPr>
          <w:rStyle w:val="Style1Char"/>
          <w:color w:val="4472C4" w:themeColor="accent1"/>
          <w:rtl/>
        </w:rPr>
        <w:t xml:space="preserve"> </w:t>
      </w:r>
      <w:r w:rsidRPr="00F9005B">
        <w:rPr>
          <w:rStyle w:val="Style1Char"/>
          <w:color w:val="4472C4" w:themeColor="accent1"/>
          <w:rtl/>
        </w:rPr>
        <w:t>ויראה דוקא כשהיא מוכרת לא הרשוה למכור יותר מכדי מזון לששה חדשים אבל כשב"ד מוכרין לא נתנו להם קצבה אלא הכל לפי ראות עיניהם מה שהוא תועלת היתומים</w:t>
      </w:r>
      <w:r w:rsidRPr="00F9005B">
        <w:rPr>
          <w:rStyle w:val="Style1Char"/>
          <w:color w:val="4472C4" w:themeColor="accent1"/>
        </w:rPr>
        <w:t xml:space="preserve">: </w:t>
      </w:r>
    </w:p>
    <w:p w14:paraId="00A10340" w14:textId="77777777" w:rsidR="00B600B2" w:rsidRDefault="00B600B2" w:rsidP="00B600B2">
      <w:pPr>
        <w:bidi/>
        <w:rPr>
          <w:rStyle w:val="Style1Char"/>
          <w:color w:val="00B050"/>
          <w:rtl/>
        </w:rPr>
      </w:pPr>
      <w:r w:rsidRPr="000C1BEC">
        <w:rPr>
          <w:rStyle w:val="Style1Char"/>
          <w:color w:val="auto"/>
          <w:sz w:val="22"/>
          <w:szCs w:val="22"/>
          <w:rtl/>
        </w:rPr>
        <w:t>.</w:t>
      </w:r>
      <w:r w:rsidRPr="00CC008E">
        <w:rPr>
          <w:rStyle w:val="Style1Char"/>
          <w:sz w:val="22"/>
          <w:szCs w:val="22"/>
          <w:rtl/>
        </w:rPr>
        <w:t xml:space="preserve"> </w:t>
      </w:r>
      <w:r w:rsidRPr="00884884">
        <w:rPr>
          <w:rStyle w:val="Style1Char"/>
          <w:color w:val="00B050"/>
          <w:rtl/>
        </w:rPr>
        <w:t xml:space="preserve">אמר ליה רב אשי לאמימר: דרב הונא מאי? אמר ליה: לא שמיע לי, כלומר, לא סבירא לי. </w:t>
      </w:r>
    </w:p>
    <w:p w14:paraId="3C066EC4" w14:textId="31D637D0" w:rsidR="00B600B2" w:rsidRDefault="00B600B2" w:rsidP="00B600B2">
      <w:pPr>
        <w:bidi/>
        <w:rPr>
          <w:rStyle w:val="Style1Char"/>
          <w:color w:val="00B050"/>
          <w:rtl/>
        </w:rPr>
      </w:pPr>
      <w:r w:rsidRPr="007D180F">
        <w:rPr>
          <w:rStyle w:val="Style1Char"/>
          <w:color w:val="auto"/>
          <w:sz w:val="22"/>
          <w:szCs w:val="22"/>
          <w:rtl/>
        </w:rPr>
        <w:t xml:space="preserve">בעו מיניה מרב ששת: מוכרת למזונות, מהו שתחזור ותטרוף לכתובה? קמיבעיא להו בדרב יוסף, דאמר רב יוסף: </w:t>
      </w:r>
      <w:r w:rsidR="00A864B0">
        <w:rPr>
          <w:rStyle w:val="Style1Char"/>
          <w:rFonts w:hint="cs"/>
          <w:rtl/>
        </w:rPr>
        <w:t>(2)</w:t>
      </w:r>
      <w:r w:rsidRPr="007D180F">
        <w:rPr>
          <w:rStyle w:val="Style1Char"/>
          <w:color w:val="auto"/>
          <w:sz w:val="22"/>
          <w:szCs w:val="22"/>
          <w:rtl/>
        </w:rPr>
        <w:t>ארמלתא דזבין אחריות איתמי, ובי דינא דזבין אחריות איתמי, מאי?</w:t>
      </w:r>
      <w:r w:rsidRPr="00E11F1C">
        <w:rPr>
          <w:rStyle w:val="Style1Char"/>
          <w:sz w:val="22"/>
          <w:szCs w:val="22"/>
          <w:rtl/>
        </w:rPr>
        <w:t xml:space="preserve"> </w:t>
      </w:r>
      <w:r w:rsidRPr="007D180F">
        <w:rPr>
          <w:rStyle w:val="Style1Char"/>
          <w:color w:val="4472C4" w:themeColor="accent1"/>
          <w:sz w:val="22"/>
          <w:szCs w:val="22"/>
          <w:rtl/>
        </w:rPr>
        <w:t xml:space="preserve">מי אמרינן </w:t>
      </w:r>
      <w:r w:rsidRPr="007D180F">
        <w:rPr>
          <w:rStyle w:val="Style1Char"/>
          <w:color w:val="auto"/>
          <w:sz w:val="22"/>
          <w:szCs w:val="22"/>
          <w:rtl/>
        </w:rPr>
        <w:t>כיון דאחריות איתמי - טרפא, או דלמא מצי אמרי לה: נהי דאחריות דעלמא לא קבילת עילוך, אחריות דנפשך מי לא קבולי קבילת</w:t>
      </w:r>
      <w:r w:rsidRPr="007D180F">
        <w:rPr>
          <w:rStyle w:val="Style1Char"/>
          <w:color w:val="4472C4" w:themeColor="accent1"/>
          <w:rtl/>
        </w:rPr>
        <w:t xml:space="preserve"> </w:t>
      </w:r>
      <w:r w:rsidRPr="007D180F">
        <w:rPr>
          <w:rStyle w:val="Style1Char"/>
          <w:color w:val="4472C4" w:themeColor="accent1"/>
          <w:sz w:val="22"/>
          <w:szCs w:val="22"/>
          <w:rtl/>
        </w:rPr>
        <w:t>עלך</w:t>
      </w:r>
      <w:r w:rsidRPr="007D180F">
        <w:rPr>
          <w:rStyle w:val="Style1Char"/>
          <w:color w:val="auto"/>
          <w:sz w:val="22"/>
          <w:szCs w:val="22"/>
          <w:rtl/>
        </w:rPr>
        <w:t>? אמר ליה</w:t>
      </w:r>
      <w:r w:rsidRPr="007D180F">
        <w:rPr>
          <w:rStyle w:val="Style1Char"/>
          <w:color w:val="auto"/>
          <w:rtl/>
        </w:rPr>
        <w:t xml:space="preserve"> </w:t>
      </w:r>
      <w:r w:rsidRPr="007D180F">
        <w:rPr>
          <w:rStyle w:val="Style1Char"/>
          <w:color w:val="806000" w:themeColor="accent4" w:themeShade="80"/>
          <w:sz w:val="22"/>
          <w:szCs w:val="22"/>
          <w:rtl/>
        </w:rPr>
        <w:t>רב ששת</w:t>
      </w:r>
      <w:r w:rsidRPr="007D180F">
        <w:rPr>
          <w:rStyle w:val="Style1Char"/>
          <w:color w:val="806000" w:themeColor="accent4" w:themeShade="80"/>
          <w:rtl/>
        </w:rPr>
        <w:t xml:space="preserve">, </w:t>
      </w:r>
      <w:r w:rsidRPr="007D180F">
        <w:rPr>
          <w:rStyle w:val="Style1Char"/>
          <w:color w:val="auto"/>
          <w:sz w:val="22"/>
          <w:szCs w:val="22"/>
          <w:rtl/>
        </w:rPr>
        <w:t>תניתוה: מוכרת והולכת עד כדי כתובתה, וסמך לה שתגבה כתובתה מן השאר; שמע מינה, שיירא אין, לא שיירא לא</w:t>
      </w:r>
      <w:r w:rsidRPr="007D180F">
        <w:rPr>
          <w:rStyle w:val="Style1Char"/>
          <w:color w:val="auto"/>
          <w:rtl/>
        </w:rPr>
        <w:t xml:space="preserve"> </w:t>
      </w:r>
      <w:r w:rsidRPr="00F9005B">
        <w:rPr>
          <w:rStyle w:val="Style1Char"/>
          <w:color w:val="4472C4" w:themeColor="accent1"/>
          <w:rtl/>
        </w:rPr>
        <w:t xml:space="preserve">וכתב רב אלפס ז"ל </w:t>
      </w:r>
      <w:r w:rsidRPr="00BE2754">
        <w:rPr>
          <w:rStyle w:val="Style1Char"/>
          <w:color w:val="806000" w:themeColor="accent4" w:themeShade="80"/>
          <w:rtl/>
        </w:rPr>
        <w:t>מהא שמעינן דלית לה לזבוני אלא כדי כתובתה אבל יותר מכדי כתובתה לא וקשיא לן הא דגרסינן בפרק שני דייני גזירות [כתובות ק"ז ע"ב] האשה שהלכה היא ובעלה למדינת היום ובאה ואמרה מת בעלי רצתה ניזונת רצתה גובה כתובתה אמרה גרשני בעלי מתפרנסת והולכת עד כדי כתובתה ואוקמה שמואל בששמעו בו שמת ומקשינן ומ"ש עד כדי כתובתה ופרקינן איהי אפסדה אנפשה דאמרה גרשני בעלי ושמעינן מינה דאי לא אמרה גרשני בעלי ניזונת והולכת עד לעולם</w:t>
      </w:r>
      <w:r w:rsidRPr="00320D3D">
        <w:rPr>
          <w:rStyle w:val="Style1Char"/>
          <w:color w:val="C00000"/>
          <w:rtl/>
        </w:rPr>
        <w:t xml:space="preserve"> ואשכחנן פירוקא למקצת רבואתא דאמרי הא דאמרי' עד כדי כתובתה בנכסים מועטין והך אחריתי בנכסים מרובין והאי פירוקא דחיקא הוא ולא אשכחן ליה עיקר ועוד כמה הן נכסים מרובין וכמה הן נכסים מועטין בהאי דינא הלכך ליכא למיסמך על האי פירוקא ואנן מסתברא לן פירוקא דהאי קושיא </w:t>
      </w:r>
      <w:r w:rsidRPr="00F9005B">
        <w:rPr>
          <w:rStyle w:val="Style1Char"/>
          <w:color w:val="4472C4" w:themeColor="accent1"/>
          <w:rtl/>
        </w:rPr>
        <w:t>ותירץ</w:t>
      </w:r>
      <w:r w:rsidRPr="00320D3D">
        <w:rPr>
          <w:rStyle w:val="Style1Char"/>
          <w:color w:val="C00000"/>
          <w:rtl/>
        </w:rPr>
        <w:t xml:space="preserve"> </w:t>
      </w:r>
      <w:r w:rsidRPr="00C10EAB">
        <w:rPr>
          <w:rStyle w:val="Style1Char"/>
          <w:color w:val="806000" w:themeColor="accent4" w:themeShade="80"/>
          <w:rtl/>
        </w:rPr>
        <w:t xml:space="preserve">הא דתניא מוכרת והולכת עד כדי כתובתה אבל יתר מכדי כתובתה לא </w:t>
      </w:r>
      <w:r w:rsidRPr="009F5926">
        <w:rPr>
          <w:rStyle w:val="Style1Char"/>
          <w:color w:val="806000" w:themeColor="accent4" w:themeShade="80"/>
          <w:rtl/>
        </w:rPr>
        <w:t xml:space="preserve">בדלא אפשר לה לאתזוני אלא </w:t>
      </w:r>
      <w:r w:rsidRPr="00F9005B">
        <w:rPr>
          <w:rStyle w:val="Style1Char"/>
          <w:color w:val="4472C4" w:themeColor="accent1"/>
          <w:rtl/>
        </w:rPr>
        <w:t xml:space="preserve">בזביני </w:t>
      </w:r>
      <w:r w:rsidRPr="009F5926">
        <w:rPr>
          <w:rStyle w:val="Style1Char"/>
          <w:color w:val="806000" w:themeColor="accent4" w:themeShade="80"/>
          <w:rtl/>
        </w:rPr>
        <w:t xml:space="preserve">ממקרקעי הלכך לית לה לזבוני אלא כדי כתובתה והך אחריתי דשמעת מינה ניזונת לעולם מיירי בדאפשר לה לאתזוני מפירי דמקרקעי ומאגרא דבתי ומאי דדמי ליה ודייקינן מדקתני בהאי מתניתא מוכרת ובהך לא קתני מוכרת אלא ניזונת:. </w:t>
      </w:r>
      <w:r w:rsidRPr="00F9005B">
        <w:rPr>
          <w:rStyle w:val="Style1Char"/>
          <w:color w:val="4472C4" w:themeColor="accent1"/>
          <w:rtl/>
        </w:rPr>
        <w:t>ודברים של תימה הן היאך דקדקו מכאן דאינה מוכרת למזונות אלא עד כדי כתובתה הא בהדיא מוכח בברייתא שהשאר הוא כדי כתובתה שתגבה מהן כתובתה וקמ"ל דמה שמכרה למזונות אינה חוזרת וטורפת לכתובתה דאחריות דנפשה קבילת עילווה אבל אם אינה חוששת על גביית כתובתה יכולה להיות ניזונת לעולם</w:t>
      </w:r>
      <w:r w:rsidRPr="00F9005B">
        <w:rPr>
          <w:rStyle w:val="Style1Char"/>
          <w:color w:val="4472C4" w:themeColor="accent1"/>
        </w:rPr>
        <w:t>:</w:t>
      </w:r>
    </w:p>
    <w:p w14:paraId="5DD417BD" w14:textId="10AD37E5" w:rsidR="00B600B2" w:rsidRDefault="00B600B2" w:rsidP="00B600B2">
      <w:pPr>
        <w:bidi/>
        <w:rPr>
          <w:rStyle w:val="Style1Char"/>
          <w:color w:val="C00000"/>
          <w:rtl/>
        </w:rPr>
      </w:pPr>
      <w:r w:rsidRPr="00884884">
        <w:rPr>
          <w:rStyle w:val="Style1Char"/>
          <w:color w:val="00B050"/>
          <w:rtl/>
        </w:rPr>
        <w:t xml:space="preserve">ודלמא עצה טובה קא משמע לן, דלא ליקרו לה הדרינתא! א"כ, ליתני גובה כתובתה מן השאר, מאי סמך לה? </w:t>
      </w:r>
      <w:r w:rsidR="00BF4BE7">
        <w:rPr>
          <w:rStyle w:val="Style1Char"/>
          <w:rFonts w:hint="cs"/>
          <w:rtl/>
        </w:rPr>
        <w:t>(2.3)</w:t>
      </w:r>
      <w:r w:rsidRPr="00884884">
        <w:rPr>
          <w:rStyle w:val="Style1Char"/>
          <w:color w:val="00B050"/>
          <w:rtl/>
        </w:rPr>
        <w:t xml:space="preserve">שמע מינה, שיירא אין, לא שיירא לא. </w:t>
      </w:r>
      <w:r w:rsidRPr="00C024FE">
        <w:rPr>
          <w:rStyle w:val="Style1Char"/>
          <w:color w:val="auto"/>
          <w:sz w:val="22"/>
          <w:szCs w:val="22"/>
          <w:rtl/>
        </w:rPr>
        <w:t>איבעיא להו: זבין ולא איצטריכו ליה זוזי</w:t>
      </w:r>
      <w:r w:rsidRPr="00C024FE">
        <w:rPr>
          <w:rStyle w:val="Style1Char"/>
          <w:color w:val="auto"/>
          <w:rtl/>
        </w:rPr>
        <w:t xml:space="preserve"> </w:t>
      </w:r>
      <w:r w:rsidRPr="00C024FE">
        <w:rPr>
          <w:rStyle w:val="Style1Char"/>
          <w:color w:val="C00000"/>
          <w:sz w:val="22"/>
          <w:szCs w:val="22"/>
          <w:rtl/>
        </w:rPr>
        <w:t>מהו</w:t>
      </w:r>
      <w:r w:rsidRPr="00C130DF">
        <w:rPr>
          <w:rStyle w:val="Style1Char"/>
          <w:sz w:val="22"/>
          <w:szCs w:val="22"/>
          <w:rtl/>
        </w:rPr>
        <w:t xml:space="preserve">, </w:t>
      </w:r>
      <w:r w:rsidRPr="00C024FE">
        <w:rPr>
          <w:rStyle w:val="Style1Char"/>
          <w:color w:val="auto"/>
          <w:sz w:val="22"/>
          <w:szCs w:val="22"/>
          <w:rtl/>
        </w:rPr>
        <w:t xml:space="preserve">הדרי זביני או לא הדרי זביני? </w:t>
      </w:r>
      <w:r w:rsidRPr="00884884">
        <w:rPr>
          <w:rStyle w:val="Style1Char"/>
          <w:color w:val="00B050"/>
          <w:rtl/>
        </w:rPr>
        <w:t xml:space="preserve">תא שמע: דההוא גברא דזבין ארעא לרב פפא, דאצטריכו ליה זוזי למיזבן תורי, לסוף לא איצטריכו ליה, ואהדריה ניהליה רב פפא לארעיה. רב פפא לפנים משורת הדין הוא דעבד. ת"ש: דההוא בצורתא דהוה בנהרדעא, זבנינהו כולי עלמא לאפדנייהו, לסוף אתו חיטי, אמר להו רב נחמן: דינא הוא, דהדרי אפדני למרייהו. התם נמי זביני בטעות הוו, דאיגלאי מילתא דארבא בעקולי הוה קיימא. אי הכי, היינו דאמר ליה רמי בר שמואל לרב נחמן: אם כן, נמצאת מכשילן לעתיד לבא! אמר ליה: אטו כל יומא בצורתא שכיחא? אמר ליה: אין, בצורתא בנהרדעא משכח שכיחא. </w:t>
      </w:r>
      <w:r w:rsidR="00BF4BE7">
        <w:rPr>
          <w:rStyle w:val="Style1Char"/>
          <w:rFonts w:hint="cs"/>
          <w:rtl/>
        </w:rPr>
        <w:t>(3)</w:t>
      </w:r>
      <w:r w:rsidRPr="00C024FE">
        <w:rPr>
          <w:rStyle w:val="Style1Char"/>
          <w:color w:val="auto"/>
          <w:sz w:val="22"/>
          <w:szCs w:val="22"/>
          <w:rtl/>
        </w:rPr>
        <w:t>והלכתא: זבין ולא איצטריכו ליה זוזי, הדרי זביני</w:t>
      </w:r>
      <w:r w:rsidRPr="00CB4266">
        <w:rPr>
          <w:rStyle w:val="Style1Char"/>
          <w:sz w:val="22"/>
          <w:szCs w:val="22"/>
          <w:rtl/>
        </w:rPr>
        <w:t xml:space="preserve">. </w:t>
      </w:r>
      <w:r w:rsidRPr="00320D3D">
        <w:rPr>
          <w:rStyle w:val="Style1Char"/>
          <w:color w:val="C00000"/>
          <w:rtl/>
        </w:rPr>
        <w:t>והוא דגלי אדעתיה דמשום דצריך לזוזי למעבד בהו כך וכך הוא דמזבין אבל אי לא גלי אדעתיה לא מחייב לוקח לאהדורי ליה משום דהוו דברים שבלב ודברים שבלב אינן דברים כדגרסינן בקדושין בפ' האיש מקדש [קידושין מ"ט ע"ב] ההוא גברא דזבנינהו לנכסי אדעתא למיסק לארעא דישראל ובעידן דזבין לא אמר ולא מידי אמר רבא הוו דברים שבלב ודברים שבלב אינן דברים ההוא גברא דזבין נכסיה אדעתא למיסק לא"י סליק ולא אתדר ליה אמר רבא כל דסליק אדעתא דלמידר והא לא אתדר ליה איכא דאמרי אדעתא למיסק הוא והא סליק ליה ההוא גברא דזבין נכסיה אדעתא למיסק לא"י לסוף לא סליק א"ר אשי אי בעי סליק איכא דאמרי אי בעי לא סליק איכא בינייהו דאתייליד אונסא באורחא</w:t>
      </w:r>
      <w:r w:rsidRPr="00320D3D">
        <w:rPr>
          <w:rStyle w:val="Style1Char"/>
          <w:color w:val="C00000"/>
        </w:rPr>
        <w:t>:</w:t>
      </w:r>
    </w:p>
    <w:p w14:paraId="2C9F9E5B" w14:textId="77777777" w:rsidR="00B600B2" w:rsidRPr="00F9005B" w:rsidRDefault="00B600B2" w:rsidP="00B600B2">
      <w:pPr>
        <w:bidi/>
        <w:rPr>
          <w:rStyle w:val="Style1Char"/>
          <w:color w:val="4472C4" w:themeColor="accent1"/>
        </w:rPr>
      </w:pPr>
      <w:r w:rsidRPr="00F9005B">
        <w:rPr>
          <w:rStyle w:val="Style1Char"/>
          <w:color w:val="4472C4" w:themeColor="accent1"/>
          <w:rtl/>
        </w:rPr>
        <w:t xml:space="preserve">ודוקא בדגלי דעתיה בשעת המכר שלצורך כך וכך הוא מוכר </w:t>
      </w:r>
      <w:r>
        <w:rPr>
          <w:rStyle w:val="Style1Char"/>
          <w:rFonts w:hint="cs"/>
          <w:color w:val="4472C4" w:themeColor="accent1"/>
        </w:rPr>
        <w:t>‍</w:t>
      </w:r>
      <w:r w:rsidRPr="00F9005B">
        <w:rPr>
          <w:rStyle w:val="Style1Char"/>
          <w:color w:val="4472C4" w:themeColor="accent1"/>
          <w:rtl/>
        </w:rPr>
        <w:t xml:space="preserve">אבל אי שתק בשעת המכר אף על פי שגילה דעתו קודם לכן הוו דברים שבלב ודברים שבלב אינן דברים ולא הדרי זביני כדגרסי' בקדושין בפ' האיש מקדש (דף מט ב) ההוא גברא דזבין נכסיה אדעתא למיסק לארעא דישראל בעידנא דזבין לא אמר ולא מידי אמר רבא הוו דברים שבלב ודברים שבלב אינן דברים </w:t>
      </w:r>
      <w:r>
        <w:rPr>
          <w:rStyle w:val="Style1Char"/>
          <w:rFonts w:hint="cs"/>
          <w:color w:val="4472C4" w:themeColor="accent1"/>
        </w:rPr>
        <w:t>‍‍</w:t>
      </w:r>
      <w:r w:rsidRPr="00F9005B">
        <w:rPr>
          <w:rStyle w:val="Style1Char"/>
          <w:color w:val="4472C4" w:themeColor="accent1"/>
          <w:rtl/>
        </w:rPr>
        <w:t>ויש דברים שאין מועיל בהם גילוי דעת עד שיתנה בפירוש כגון היכא שאין הענין מוכיח על דעתו אי לאו דאתני</w:t>
      </w:r>
      <w:r>
        <w:rPr>
          <w:rStyle w:val="Style1Char"/>
          <w:rFonts w:hint="cs"/>
          <w:color w:val="4472C4" w:themeColor="accent1"/>
        </w:rPr>
        <w:t>‍</w:t>
      </w:r>
      <w:r w:rsidRPr="00F9005B">
        <w:rPr>
          <w:rStyle w:val="Style1Char"/>
          <w:color w:val="4472C4" w:themeColor="accent1"/>
          <w:rtl/>
        </w:rPr>
        <w:t xml:space="preserve"> וכיון דבעי תנאי בעי תנאי כפול. ויש דברים שאפילו גילוי דעת א"צ משום דאיכא אומדנא דמוכח דאפי' לא גילה דעתו בשעת המעשה לא הוו דברים שבלב משום דבלאו גילוי דעת אנן סהדי דלהכי איכוין כגון</w:t>
      </w:r>
      <w:r>
        <w:rPr>
          <w:rStyle w:val="Style1Char"/>
          <w:rFonts w:hint="cs"/>
          <w:color w:val="4472C4" w:themeColor="accent1"/>
        </w:rPr>
        <w:t>‍</w:t>
      </w:r>
      <w:r w:rsidRPr="00F9005B">
        <w:rPr>
          <w:rStyle w:val="Style1Char"/>
          <w:color w:val="4472C4" w:themeColor="accent1"/>
          <w:rtl/>
        </w:rPr>
        <w:t xml:space="preserve"> שטר מברחת דלעיל (דף עח ב) ולקח מן האיש וחזר ולקח מן האשה דלעיל (דף צה א) והכותב כל נכסיו לאשתו לא עשאה אלא אפוטרופא בפ' יש נוחלין (דף קלא ב) ושכיב מרע שכתב כל נכסיו לאחרים בפ' מי שמת (דף קמו ב) וההוא דשמע שמת בנו ועמד וכתב כל נכסיו לאחרים אמר ר"ש בן מנסיא בידוע שאם היה בנו קיים לא היה כותבן לאחרים </w:t>
      </w:r>
      <w:r>
        <w:rPr>
          <w:rStyle w:val="Style1Char"/>
          <w:rFonts w:hint="cs"/>
          <w:color w:val="4472C4" w:themeColor="accent1"/>
        </w:rPr>
        <w:t>‍</w:t>
      </w:r>
      <w:r w:rsidRPr="00F9005B">
        <w:rPr>
          <w:rStyle w:val="Style1Char"/>
          <w:color w:val="4472C4" w:themeColor="accent1"/>
          <w:rtl/>
        </w:rPr>
        <w:t xml:space="preserve"> וכן המקדש אחותו (קידושין דף מו ב) בין למאן דאמר פקדון בין למאן דאמר מתנה וכן סבלונות וקידושין דהדרי (שם נ ב) וכן נדרי זרוזין בפ' ארבעה נדרים (דף כ ב) כל אלו אומדנא דמוכח אינון הלכך אפילו גילוי דעת לא בעי לא בשעת מעשה ולא קודם לכן אבל זבין ולא אצטריכו ליה זוזי וההוא גברא דזבין נכסי אדעתא למיסק לארעא דישראל אף על גב דגלי אדעתיה מעיקרא וידוע לכל שלדעת כן הוא מוכר בעינן גילוי דעת בשעת מעשה דליכא אומדנא דמוכח כולי האי בלא גילוי דעת דהרבה פעמים אדם מוכר קרקעותיו ואין ידוע למה הוא מוכרן והא דאמרי' הדרי זביני היינו דווקא היכא דלא איצטריכו ליה זוזי מחמת דבר שנתחדש אח"כ כגון בצורתא דהוה בנהרדעא זבנינהו לאפדנייהו למיזבן חיטי ולבסוף אתו חיטי או שמכר נכסיו לקנות דבר ידוע וחזרו בהם אותם המוכרין אבל אם חזר בו המוכר הנכסים ואין רוצה לקנות אף על פי שמוצא לקנותן לא הדרי זביני כההיא דבפרק האיש מקדש (דף נ א) ההוא גברא דזבנינהו לנכסיה דבעא למיסק לארעא דישראל לסוף לא סליק א"ר אשי אי בעי סליק איכא דאמרי אי בעי לא סליק איכא בינייהו היכא דאיתיליד אונסא באורחא ותו גרסי' התם ההוא גברא דזבנינהו לנכסי אדעתא למיסק לארעא דישראל סליק ולא איתדר ליה אמר רבא כל דסליק אדעתא למיתדר הוא והא לא איתדר ליה</w:t>
      </w:r>
      <w:r>
        <w:rPr>
          <w:rStyle w:val="Style1Char"/>
          <w:rFonts w:hint="cs"/>
          <w:color w:val="4472C4" w:themeColor="accent1"/>
        </w:rPr>
        <w:t>‍</w:t>
      </w:r>
      <w:r w:rsidRPr="00F9005B">
        <w:rPr>
          <w:rStyle w:val="Style1Char"/>
          <w:color w:val="4472C4" w:themeColor="accent1"/>
          <w:rtl/>
        </w:rPr>
        <w:t xml:space="preserve"> איכא דאמרי אדעתא למיסק הוא והא סליק ליה</w:t>
      </w:r>
      <w:r w:rsidRPr="00F9005B">
        <w:rPr>
          <w:rStyle w:val="Style1Char"/>
          <w:color w:val="4472C4" w:themeColor="accent1"/>
        </w:rPr>
        <w:t xml:space="preserve">: </w:t>
      </w:r>
    </w:p>
    <w:p w14:paraId="028AC3BB" w14:textId="4CEA12BB" w:rsidR="00B600B2" w:rsidRPr="00DA1663" w:rsidRDefault="00B600B2" w:rsidP="00B600B2">
      <w:pPr>
        <w:bidi/>
        <w:rPr>
          <w:rStyle w:val="Style1Char"/>
          <w:color w:val="auto"/>
          <w:sz w:val="22"/>
          <w:szCs w:val="22"/>
        </w:rPr>
      </w:pPr>
      <w:r w:rsidRPr="00DA1663">
        <w:rPr>
          <w:rStyle w:val="Style1Char"/>
          <w:color w:val="auto"/>
          <w:sz w:val="22"/>
          <w:szCs w:val="22"/>
          <w:rtl/>
        </w:rPr>
        <w:t xml:space="preserve">מתני'. </w:t>
      </w:r>
      <w:r w:rsidR="00084933">
        <w:rPr>
          <w:rStyle w:val="Style1Char"/>
          <w:rFonts w:hint="cs"/>
          <w:rtl/>
        </w:rPr>
        <w:t>(2.1, 4)</w:t>
      </w:r>
      <w:r w:rsidRPr="00DA1663">
        <w:rPr>
          <w:rStyle w:val="Style1Char"/>
          <w:color w:val="auto"/>
          <w:sz w:val="22"/>
          <w:szCs w:val="22"/>
          <w:rtl/>
        </w:rPr>
        <w:t xml:space="preserve">אלמנה בין מן האירוסין בין מן הנשואין - מוכרת שלא בבית דין; ר' שמעון אומר: מן הנשואין - מוכרת שלא בבית דין, מן האירוסין - לא תמכור אלא בבית דין, מפני שאין לה מזונות, וכל שאין לה מזונות - לא תמכור אלא בבית דין. </w:t>
      </w:r>
    </w:p>
    <w:p w14:paraId="20839907" w14:textId="77777777" w:rsidR="00B600B2" w:rsidRPr="00B20062" w:rsidRDefault="00B600B2" w:rsidP="00B600B2">
      <w:pPr>
        <w:bidi/>
        <w:rPr>
          <w:rStyle w:val="Style1Char"/>
          <w:color w:val="806000" w:themeColor="accent4" w:themeShade="80"/>
          <w:sz w:val="22"/>
          <w:szCs w:val="22"/>
        </w:rPr>
      </w:pPr>
      <w:r w:rsidRPr="00F9005B">
        <w:rPr>
          <w:rStyle w:val="Style1Char"/>
          <w:color w:val="4472C4" w:themeColor="accent1"/>
          <w:rtl/>
        </w:rPr>
        <w:t xml:space="preserve">. הא דאמר אינה צריכה ב"ד איתמר עלה </w:t>
      </w:r>
      <w:r w:rsidRPr="004D5221">
        <w:rPr>
          <w:rStyle w:val="Style1Char"/>
          <w:color w:val="C00000"/>
          <w:sz w:val="22"/>
          <w:szCs w:val="22"/>
          <w:rtl/>
        </w:rPr>
        <w:t xml:space="preserve">גרסינן </w:t>
      </w:r>
      <w:r w:rsidRPr="00B20062">
        <w:rPr>
          <w:rStyle w:val="Style1Char"/>
          <w:color w:val="806000" w:themeColor="accent4" w:themeShade="80"/>
          <w:sz w:val="22"/>
          <w:szCs w:val="22"/>
          <w:rtl/>
        </w:rPr>
        <w:t>בפרק אלו מציאות (דף לב א) אמר רב יוסף בר מניומי א"ר נחמן אינה צריכה ב"ד מומחין אבל צריכה ב"ד הדיוטות כגון גברי מהימני דבקיאי בשומא</w:t>
      </w:r>
      <w:r w:rsidRPr="00B20062">
        <w:rPr>
          <w:rStyle w:val="Style1Char"/>
          <w:color w:val="806000" w:themeColor="accent4" w:themeShade="80"/>
          <w:sz w:val="22"/>
          <w:szCs w:val="22"/>
        </w:rPr>
        <w:t>:</w:t>
      </w:r>
    </w:p>
    <w:p w14:paraId="53B71CBE" w14:textId="0B4D44A8" w:rsidR="00B600B2" w:rsidRDefault="00B600B2" w:rsidP="00B600B2">
      <w:pPr>
        <w:bidi/>
        <w:rPr>
          <w:rStyle w:val="Style1Char"/>
          <w:color w:val="auto"/>
          <w:sz w:val="22"/>
          <w:szCs w:val="22"/>
          <w:rtl/>
        </w:rPr>
      </w:pPr>
      <w:r w:rsidRPr="00534FEF">
        <w:rPr>
          <w:rStyle w:val="Style1Char"/>
          <w:color w:val="auto"/>
          <w:sz w:val="22"/>
          <w:szCs w:val="22"/>
          <w:rtl/>
        </w:rPr>
        <w:t>גמ'.</w:t>
      </w:r>
      <w:r w:rsidRPr="00534FEF">
        <w:rPr>
          <w:rStyle w:val="Style1Char"/>
          <w:color w:val="auto"/>
          <w:rtl/>
        </w:rPr>
        <w:t xml:space="preserve"> </w:t>
      </w:r>
      <w:r w:rsidRPr="00534FEF">
        <w:rPr>
          <w:rStyle w:val="Style1Char"/>
          <w:color w:val="auto"/>
          <w:sz w:val="22"/>
          <w:szCs w:val="22"/>
          <w:rtl/>
        </w:rPr>
        <w:t xml:space="preserve">בשלמא מן הנשואין - משום מזוני, </w:t>
      </w:r>
    </w:p>
    <w:p w14:paraId="2E4F981B" w14:textId="10B1A68D" w:rsidR="00A864B0" w:rsidRDefault="00A864B0" w:rsidP="00A864B0">
      <w:pPr>
        <w:pStyle w:val="Style1"/>
        <w:rPr>
          <w:rStyle w:val="Style1Char"/>
          <w:rtl/>
        </w:rPr>
      </w:pPr>
      <w:r>
        <w:rPr>
          <w:rStyle w:val="Style1Char"/>
          <w:rFonts w:hint="cs"/>
          <w:rtl/>
        </w:rPr>
        <w:lastRenderedPageBreak/>
        <w:t>1)[</w:t>
      </w:r>
      <w:r w:rsidRPr="00A864B0">
        <w:rPr>
          <w:rStyle w:val="Style1Char"/>
          <w:rtl/>
        </w:rPr>
        <w:t>רמב</w:t>
      </w:r>
      <w:r w:rsidR="00213DA1">
        <w:rPr>
          <w:rStyle w:val="Style1Char"/>
          <w:rtl/>
        </w:rPr>
        <w:t>”ם \נשים\</w:t>
      </w:r>
      <w:r w:rsidRPr="00A864B0">
        <w:rPr>
          <w:rStyle w:val="Style1Char"/>
          <w:rtl/>
        </w:rPr>
        <w:t xml:space="preserve"> הלכות אישות פרק יח הלכה כא</w:t>
      </w:r>
      <w:r>
        <w:rPr>
          <w:rStyle w:val="Style1Char"/>
          <w:rFonts w:hint="cs"/>
          <w:rtl/>
        </w:rPr>
        <w:t xml:space="preserve">] </w:t>
      </w:r>
      <w:r w:rsidRPr="00A864B0">
        <w:rPr>
          <w:rStyle w:val="Style1Char"/>
          <w:rtl/>
        </w:rPr>
        <w:t>וכמה מוכרין למזונות, כדי לזון מהם ששה חדשים לא יתר על זה, ומוכרין על מנת שיהיה הלוקח נותן לה מזון שלשים יום מזון שלשים יום, וחוזרת ומוכרת פעם שניה לששה חדשים, וכן מוכרת והולכת לעולם עד שישאר מן הנכסים כדי כתובתה, גובה כתובתה מן השאר והולכת לה.</w:t>
      </w:r>
    </w:p>
    <w:p w14:paraId="34B315D7" w14:textId="14F540AD" w:rsidR="00A864B0" w:rsidRDefault="00A864B0" w:rsidP="00A864B0">
      <w:pPr>
        <w:pStyle w:val="Style1"/>
        <w:rPr>
          <w:rStyle w:val="Style1Char"/>
          <w:rtl/>
        </w:rPr>
      </w:pPr>
      <w:r>
        <w:rPr>
          <w:rStyle w:val="Style1Char"/>
          <w:rFonts w:hint="cs"/>
          <w:rtl/>
        </w:rPr>
        <w:t>1)[</w:t>
      </w:r>
      <w:r w:rsidRPr="00A864B0">
        <w:rPr>
          <w:rStyle w:val="Style1Char"/>
          <w:rtl/>
        </w:rPr>
        <w:t>שולחן ערוך אבן העזר הלכות כתובות סימן צג סעיף ל</w:t>
      </w:r>
      <w:r>
        <w:rPr>
          <w:rStyle w:val="Style1Char"/>
          <w:rFonts w:hint="cs"/>
          <w:rtl/>
        </w:rPr>
        <w:t xml:space="preserve">] </w:t>
      </w:r>
      <w:r w:rsidRPr="00A864B0">
        <w:rPr>
          <w:rStyle w:val="Style1Char"/>
          <w:rtl/>
        </w:rPr>
        <w:t>כמה מוכרים למזונות כדי לזון מהם, ששה חדשים ולא יותר. והמעות ישארו ביד הלוקח, שלא יתנם לה הכל מיד, אלא כדי מזון ל' יום, וכן משלשים יום לשלשים יום. וחוזרת ומוכרה שנית לששה חדשים; וכן מוכרת והולכת לעולם, עד שישאר מהנכסים כדי כתובתה, גובה כתובתה מהשאר והולכת לה. הגה: י"א הא דמוכרת לו' חדשים היינו דוקא קרקע, אבל בזמן הזה דניזונת ממטלטלין אין למכור אלא חפץ אחד (טור בשם בעל העיטור).</w:t>
      </w:r>
    </w:p>
    <w:p w14:paraId="1FBEDEFA" w14:textId="19E193F8" w:rsidR="00323C4D" w:rsidRDefault="00323C4D" w:rsidP="00323C4D">
      <w:pPr>
        <w:pStyle w:val="Style1"/>
        <w:rPr>
          <w:rStyle w:val="Style1Char"/>
          <w:rtl/>
        </w:rPr>
      </w:pPr>
      <w:r>
        <w:rPr>
          <w:rStyle w:val="Style1Char"/>
          <w:rFonts w:hint="cs"/>
          <w:rtl/>
        </w:rPr>
        <w:t>2)[</w:t>
      </w:r>
      <w:r w:rsidRPr="00323C4D">
        <w:rPr>
          <w:rStyle w:val="Style1Char"/>
          <w:rtl/>
        </w:rPr>
        <w:t>רמב</w:t>
      </w:r>
      <w:r w:rsidR="00213DA1">
        <w:rPr>
          <w:rStyle w:val="Style1Char"/>
          <w:rtl/>
        </w:rPr>
        <w:t>”ם \נשים\</w:t>
      </w:r>
      <w:r w:rsidRPr="00323C4D">
        <w:rPr>
          <w:rStyle w:val="Style1Char"/>
          <w:rtl/>
        </w:rPr>
        <w:t xml:space="preserve"> הלכות אישות פרק יז הלכה יג</w:t>
      </w:r>
      <w:r>
        <w:rPr>
          <w:rStyle w:val="Style1Char"/>
          <w:rFonts w:hint="cs"/>
          <w:rtl/>
        </w:rPr>
        <w:t xml:space="preserve">] </w:t>
      </w:r>
      <w:r w:rsidRPr="00323C4D">
        <w:rPr>
          <w:rStyle w:val="Style1Char"/>
          <w:rtl/>
        </w:rPr>
        <w:t>אלמנה בין מן הנישואין בין מן האירוסין נשבעת ומוכרת מקרקע בעלה ונפרעת כתובתה בין בבית דין מומחין בית בבית דין שאינן מומחין, והוא שיהיו השלשה אנשים נאמנין ויודעין בשומת הקרקע, ואחריות המכר על נכסי יתומים, אבל הגרושה לא תמכור אלא בבית דין מומחין, וכל המוכרת בבית דין לא תמכור אלא בהכרזה, ובהלכות הלואה יתבאר משפט מכירת בית דין היאך היא, אבל המוכרת שלא בבית דין אינה צריכה הכרזה ואף על פי כן צריך שלשה שהם נאמנים ויודעים בשומה.</w:t>
      </w:r>
    </w:p>
    <w:p w14:paraId="507AE779" w14:textId="5C15F02F" w:rsidR="00323C4D" w:rsidRDefault="00323C4D" w:rsidP="00323C4D">
      <w:pPr>
        <w:pStyle w:val="Style1"/>
        <w:rPr>
          <w:rStyle w:val="Style1Char"/>
          <w:rtl/>
        </w:rPr>
      </w:pPr>
      <w:r>
        <w:rPr>
          <w:rStyle w:val="Style1Char"/>
          <w:rFonts w:hint="cs"/>
          <w:rtl/>
        </w:rPr>
        <w:t>2)[</w:t>
      </w:r>
      <w:r w:rsidRPr="00323C4D">
        <w:rPr>
          <w:rStyle w:val="Style1Char"/>
          <w:rtl/>
        </w:rPr>
        <w:t>רמב</w:t>
      </w:r>
      <w:r w:rsidR="0057095E">
        <w:rPr>
          <w:rStyle w:val="Style1Char"/>
          <w:rtl/>
        </w:rPr>
        <w:t>”ם \משפטים\</w:t>
      </w:r>
      <w:r w:rsidRPr="00323C4D">
        <w:rPr>
          <w:rStyle w:val="Style1Char"/>
          <w:rtl/>
        </w:rPr>
        <w:t xml:space="preserve"> הלכות מלוה ולוה פרק יב הלכה ג</w:t>
      </w:r>
      <w:r>
        <w:rPr>
          <w:rStyle w:val="Style1Char"/>
          <w:rFonts w:hint="cs"/>
          <w:rtl/>
        </w:rPr>
        <w:t xml:space="preserve">] </w:t>
      </w:r>
      <w:r w:rsidRPr="00323C4D">
        <w:rPr>
          <w:rStyle w:val="Style1Char"/>
          <w:rtl/>
        </w:rPr>
        <w:t>היתה המלוה רבית של עכו"ם שהרי הרבית אוכלת בנכסיהן מעמידין להם אפוטרופוס ונזקקין לנכסיהן ומוכרין ופורעין החוב, וכן אשה שתבעה כתובתה בין אלמנה בין גרושה מעמידים להם אפוטרופוס ונזקקין משום חן האשה כדי שיהיה לה כלום שתנשא בו האשה לאחר, לפיכך אם קפצה האשה ונשאת ואחר כך באת לתבוע כתובתה מנכסי יתומים אין נזקקין לה עד שיגדלו היתומים שהרי אין לה מזונות והרי נשאת.</w:t>
      </w:r>
    </w:p>
    <w:p w14:paraId="6813ABF9" w14:textId="1688F3BB" w:rsidR="00323C4D" w:rsidRDefault="00323C4D" w:rsidP="00323C4D">
      <w:pPr>
        <w:pStyle w:val="Style1"/>
        <w:rPr>
          <w:rStyle w:val="Style1Char"/>
          <w:rtl/>
        </w:rPr>
      </w:pPr>
      <w:r>
        <w:rPr>
          <w:rStyle w:val="Style1Char"/>
          <w:rFonts w:hint="cs"/>
          <w:rtl/>
        </w:rPr>
        <w:t>2)[</w:t>
      </w:r>
      <w:r w:rsidRPr="00323C4D">
        <w:rPr>
          <w:rStyle w:val="Style1Char"/>
          <w:rtl/>
        </w:rPr>
        <w:t>שולחן ערוך אבן העזר הלכות כתובות סימן צג סעיף כט</w:t>
      </w:r>
      <w:r>
        <w:rPr>
          <w:rStyle w:val="Style1Char"/>
          <w:rFonts w:hint="cs"/>
          <w:rtl/>
        </w:rPr>
        <w:t xml:space="preserve">] </w:t>
      </w:r>
      <w:r w:rsidRPr="00323C4D">
        <w:rPr>
          <w:rStyle w:val="Style1Char"/>
          <w:rtl/>
        </w:rPr>
        <w:t>אלמנה שמכרה, האחריות על היתומים; ואעפ"כ כשבאה לגבות כתובתה אינה יכולה לטרוף מהלקוחות שמכרה להם.</w:t>
      </w:r>
    </w:p>
    <w:p w14:paraId="7D1BBF6C" w14:textId="29C8E34A" w:rsidR="00323C4D" w:rsidRPr="00323C4D" w:rsidRDefault="00323C4D" w:rsidP="00323C4D">
      <w:pPr>
        <w:pStyle w:val="Style1"/>
      </w:pPr>
      <w:r>
        <w:rPr>
          <w:rStyle w:val="Style1Char"/>
          <w:rFonts w:hint="cs"/>
          <w:rtl/>
        </w:rPr>
        <w:t>2)[</w:t>
      </w:r>
      <w:r w:rsidRPr="00323C4D">
        <w:rPr>
          <w:rStyle w:val="Style1Char"/>
          <w:rtl/>
        </w:rPr>
        <w:t>שולחן ערוך אבן העזר הלכות כתובות סימן קג סעיף ב</w:t>
      </w:r>
      <w:r>
        <w:rPr>
          <w:rStyle w:val="Style1Char"/>
          <w:rFonts w:hint="cs"/>
          <w:rtl/>
        </w:rPr>
        <w:t xml:space="preserve">] </w:t>
      </w:r>
      <w:r w:rsidRPr="00323C4D">
        <w:rPr>
          <w:rtl/>
        </w:rPr>
        <w:t>אחריות המכר על היתומים, בין אם תמכור היא או בית דין</w:t>
      </w:r>
      <w:r w:rsidRPr="00323C4D">
        <w:t>.</w:t>
      </w:r>
    </w:p>
    <w:p w14:paraId="2C8B9489" w14:textId="1AC44508" w:rsidR="00323C4D" w:rsidRDefault="00323C4D" w:rsidP="00323C4D">
      <w:pPr>
        <w:pStyle w:val="Style1"/>
        <w:rPr>
          <w:rtl/>
        </w:rPr>
      </w:pPr>
      <w:r w:rsidRPr="00323C4D">
        <w:rPr>
          <w:rFonts w:hint="cs"/>
          <w:rtl/>
        </w:rPr>
        <w:t>ולכן אף אם מכרו בית דין בטעות, כגון שהאשה מחלה הכתובה ליתומים בסתר, אין היתומים יכולין לטרוף מן הלוקח (תשובת הרא"ש כלל ס"ג)</w:t>
      </w:r>
      <w:r w:rsidRPr="00323C4D">
        <w:t>:</w:t>
      </w:r>
    </w:p>
    <w:p w14:paraId="769911C1" w14:textId="60460450" w:rsidR="00323C4D" w:rsidRDefault="00323C4D" w:rsidP="00323C4D">
      <w:pPr>
        <w:pStyle w:val="Style1"/>
        <w:rPr>
          <w:rtl/>
        </w:rPr>
      </w:pPr>
      <w:r>
        <w:rPr>
          <w:rFonts w:hint="cs"/>
          <w:rtl/>
        </w:rPr>
        <w:t>2)[</w:t>
      </w:r>
      <w:r>
        <w:rPr>
          <w:rtl/>
        </w:rPr>
        <w:t>שולחן ערוך חושן משפט הלכות גביית חוב מהיתומים סימן קט סעיף ד</w:t>
      </w:r>
      <w:r>
        <w:rPr>
          <w:rFonts w:hint="cs"/>
          <w:rtl/>
        </w:rPr>
        <w:t xml:space="preserve">] </w:t>
      </w:r>
      <w:r>
        <w:rPr>
          <w:rtl/>
        </w:rPr>
        <w:t>אפוטרופוס או ב"ד שלוו לצורך היתומים, מוכרים שלא בהכרזה, ופורעים. וכן ב"ד דזבין ואחריותא איתמי, אם טרפו ממנו גובה הלוקח שלא בהכרזה.</w:t>
      </w:r>
    </w:p>
    <w:p w14:paraId="79204CC6" w14:textId="37EB2DA4" w:rsidR="00BF4BE7" w:rsidRDefault="00BF4BE7" w:rsidP="00BF4BE7">
      <w:pPr>
        <w:pStyle w:val="Style1"/>
        <w:rPr>
          <w:rtl/>
        </w:rPr>
      </w:pPr>
      <w:r>
        <w:rPr>
          <w:rFonts w:hint="cs"/>
          <w:rtl/>
        </w:rPr>
        <w:t>3)[</w:t>
      </w:r>
      <w:r>
        <w:rPr>
          <w:rtl/>
        </w:rPr>
        <w:t>רמב</w:t>
      </w:r>
      <w:r w:rsidR="00786216">
        <w:rPr>
          <w:rtl/>
        </w:rPr>
        <w:t>”ם \מכירה\</w:t>
      </w:r>
      <w:r>
        <w:rPr>
          <w:rtl/>
        </w:rPr>
        <w:t xml:space="preserve"> הלכות מכירה פרק יא הלכה ח</w:t>
      </w:r>
      <w:r>
        <w:rPr>
          <w:rFonts w:hint="cs"/>
          <w:rtl/>
        </w:rPr>
        <w:t xml:space="preserve">] </w:t>
      </w:r>
      <w:r>
        <w:rPr>
          <w:rtl/>
        </w:rPr>
        <w:t>מי שמכר חצירו או שדהו, ופירש בשעת המכירה שהוא מוכר כדי לילך למקום פלוני או מפני המטר שנמנע כדי לקנות חטים בדמי חצירו הרי זה כמוכר על תנאי, לפיכך אם ירד המטר אחר שמכר, או באו חטין והוזלו, או נמנע הדרך לילך לאותה הארץ, או שלא נסתייע לו להעלות או לקנות חטים, הרי זה מחזיר אותן הדמים ותחזור לו קרקע, שהרי פירש שאינו מוכר אלא לעשות דבר פלוני והרי לא נעשה, וכן כל כיוצא בהן.</w:t>
      </w:r>
    </w:p>
    <w:p w14:paraId="0A0B1956" w14:textId="57895CAD" w:rsidR="00BF4BE7" w:rsidRPr="00BF4BE7" w:rsidRDefault="00BF4BE7" w:rsidP="00BF4BE7">
      <w:pPr>
        <w:pStyle w:val="Style1"/>
      </w:pPr>
      <w:r>
        <w:rPr>
          <w:rFonts w:hint="cs"/>
          <w:rtl/>
        </w:rPr>
        <w:t>3)[</w:t>
      </w:r>
      <w:r>
        <w:rPr>
          <w:rtl/>
        </w:rPr>
        <w:t>שולחן ערוך חושן משפט הלכות מקח וממכר סימן רז סעיף ג</w:t>
      </w:r>
      <w:r>
        <w:rPr>
          <w:rFonts w:hint="cs"/>
          <w:rtl/>
        </w:rPr>
        <w:t xml:space="preserve">] </w:t>
      </w:r>
      <w:r w:rsidRPr="00BF4BE7">
        <w:rPr>
          <w:rtl/>
        </w:rPr>
        <w:t>מי שמכר חצירו או שדהו ופירש בשעת המכירה שהוא מוכר כדי לילך למקום פלוני או מפני המטר שנמנע כדי לקנות חטים בדמיו ה"ז כמוכר על תנאי לפיכך אם ירד המטר אחר שמכר או באו חטים והוזלו או נמנע הדרך לעלות לאותה הארץ או לא נסתייע לו לעלות או לקנות החטים ה"ז מחזיר לו הדמים ותחזור לו הקרקע שהרי פירש שאינו מוכר אלא לעשות דבר פלוני והרי לא נעשה וכן כל כיוצא בזה</w:t>
      </w:r>
      <w:r w:rsidRPr="00BF4BE7">
        <w:t>:</w:t>
      </w:r>
    </w:p>
    <w:p w14:paraId="66D7A918" w14:textId="74288687" w:rsidR="00BF4BE7" w:rsidRDefault="00BF4BE7" w:rsidP="00BF4BE7">
      <w:pPr>
        <w:pStyle w:val="Style1"/>
        <w:rPr>
          <w:rtl/>
        </w:rPr>
      </w:pPr>
      <w:r w:rsidRPr="00BF4BE7">
        <w:rPr>
          <w:rFonts w:hint="cs"/>
          <w:rtl/>
        </w:rPr>
        <w:t>הגה: ודוקא במוכר קרקעותיו אבל במוכר מטלטלים ל"מ גילוי דעתו עד שיתנה בדיני תנאי (טור בשם רש"י)</w:t>
      </w:r>
      <w:r w:rsidRPr="00BF4BE7">
        <w:t>:</w:t>
      </w:r>
    </w:p>
    <w:p w14:paraId="612AB2ED" w14:textId="4D599983" w:rsidR="00084933" w:rsidRPr="00084933" w:rsidRDefault="00BF4BE7" w:rsidP="00084933">
      <w:pPr>
        <w:pStyle w:val="Style1"/>
      </w:pPr>
      <w:r>
        <w:rPr>
          <w:rFonts w:hint="cs"/>
          <w:rtl/>
        </w:rPr>
        <w:t>4)[</w:t>
      </w:r>
      <w:r>
        <w:rPr>
          <w:rtl/>
        </w:rPr>
        <w:t>שולחן ערוך אבן העזר הלכות כתובות סימן קג סעיף א</w:t>
      </w:r>
      <w:r>
        <w:rPr>
          <w:rFonts w:hint="cs"/>
          <w:rtl/>
        </w:rPr>
        <w:t>]</w:t>
      </w:r>
      <w:r w:rsidR="00084933">
        <w:rPr>
          <w:rFonts w:hint="cs"/>
          <w:rtl/>
        </w:rPr>
        <w:t xml:space="preserve"> </w:t>
      </w:r>
      <w:r w:rsidR="00084933" w:rsidRPr="00084933">
        <w:rPr>
          <w:rtl/>
        </w:rPr>
        <w:t>אלמנה, בין מן הארוסין אם כתב לה כתובה, בין מן הנשואין, מוכרת מנכסי בעלה לגבות כתובתה שלא בבית דין ושלא בהכרזה, לא שנא אם מוכרת לגבות כל כתובתה ביחד, לא שנא אם מוכרת שלשה או ארבעה פעמים לגבות מעט מעט בכל פעם, מוכרת שלא בבית דין מומחים, אבל צריכה בית דין הדיוטות שלשה אנשים נאמנים בקיאים בשומת קרקע</w:t>
      </w:r>
      <w:r w:rsidR="00084933" w:rsidRPr="00084933">
        <w:t>.</w:t>
      </w:r>
    </w:p>
    <w:p w14:paraId="3E1F1B0B" w14:textId="77777777" w:rsidR="00084933" w:rsidRPr="00084933" w:rsidRDefault="00084933" w:rsidP="00084933">
      <w:pPr>
        <w:pStyle w:val="Style1"/>
      </w:pPr>
      <w:r w:rsidRPr="00084933">
        <w:rPr>
          <w:rFonts w:hint="cs"/>
          <w:rtl/>
        </w:rPr>
        <w:t>הגה: ודוקא עיקר הכתובה והתוספת, אבל אינה מוכרת שלא בבית דין לגבות נדוניתא, דאינו רק כחוב בעלמא (בית יוסף בשם הריטב"א פרק אלמנה נזונית)</w:t>
      </w:r>
      <w:r w:rsidRPr="00084933">
        <w:t>.</w:t>
      </w:r>
    </w:p>
    <w:p w14:paraId="4A5D52E2" w14:textId="77777777" w:rsidR="00084933" w:rsidRPr="00084933" w:rsidRDefault="00084933" w:rsidP="00084933">
      <w:pPr>
        <w:pStyle w:val="Style1"/>
      </w:pPr>
      <w:r w:rsidRPr="00084933">
        <w:rPr>
          <w:rtl/>
        </w:rPr>
        <w:t>אם מכרה בינה לבין עצמה שוה בשוה, מכרה קיים. ויש חולקים</w:t>
      </w:r>
      <w:r w:rsidRPr="00084933">
        <w:t>:</w:t>
      </w:r>
    </w:p>
    <w:p w14:paraId="6F402C5C" w14:textId="77777777" w:rsidR="00084933" w:rsidRPr="00084933" w:rsidRDefault="00084933" w:rsidP="00084933">
      <w:pPr>
        <w:pStyle w:val="Style1"/>
      </w:pPr>
    </w:p>
    <w:p w14:paraId="1C197916" w14:textId="77777777" w:rsidR="00BF4BE7" w:rsidRPr="00084933" w:rsidRDefault="00BF4BE7" w:rsidP="00084933">
      <w:pPr>
        <w:pStyle w:val="Style1"/>
      </w:pPr>
    </w:p>
    <w:p w14:paraId="2AD99BB5" w14:textId="20025EBD" w:rsidR="00BF4BE7" w:rsidRPr="00323C4D" w:rsidRDefault="00BF4BE7" w:rsidP="00BF4BE7">
      <w:pPr>
        <w:pStyle w:val="Style1"/>
      </w:pPr>
    </w:p>
    <w:p w14:paraId="0D2E3301" w14:textId="77777777" w:rsidR="00323C4D" w:rsidRPr="00323C4D" w:rsidRDefault="00323C4D" w:rsidP="00323C4D">
      <w:pPr>
        <w:pStyle w:val="Style1"/>
        <w:rPr>
          <w:rStyle w:val="Style1Char"/>
        </w:rPr>
      </w:pPr>
    </w:p>
    <w:p w14:paraId="08E967A4" w14:textId="77777777" w:rsidR="00323C4D" w:rsidRPr="00A864B0" w:rsidRDefault="00323C4D" w:rsidP="00323C4D">
      <w:pPr>
        <w:pStyle w:val="Style1"/>
        <w:rPr>
          <w:rStyle w:val="Style1Char"/>
          <w:rtl/>
        </w:rPr>
      </w:pPr>
    </w:p>
    <w:p w14:paraId="32D69558" w14:textId="77777777" w:rsidR="00B600B2" w:rsidRDefault="00B600B2" w:rsidP="00B600B2">
      <w:pPr>
        <w:rPr>
          <w:rStyle w:val="Style1Char"/>
          <w:color w:val="00B050"/>
          <w:rtl/>
        </w:rPr>
      </w:pPr>
      <w:r>
        <w:rPr>
          <w:rStyle w:val="Style1Char"/>
          <w:color w:val="00B050"/>
          <w:rtl/>
        </w:rPr>
        <w:br w:type="page"/>
      </w:r>
    </w:p>
    <w:p w14:paraId="6D2C0F28" w14:textId="77777777" w:rsidR="00B600B2" w:rsidRPr="00CA70DE" w:rsidRDefault="00B600B2" w:rsidP="00B600B2">
      <w:pPr>
        <w:bidi/>
        <w:rPr>
          <w:rStyle w:val="Style1Char"/>
          <w:color w:val="4472C4" w:themeColor="accent1"/>
          <w:sz w:val="22"/>
          <w:szCs w:val="22"/>
        </w:rPr>
      </w:pPr>
      <w:r w:rsidRPr="00534FEF">
        <w:rPr>
          <w:rStyle w:val="Style1Char"/>
          <w:color w:val="auto"/>
          <w:sz w:val="22"/>
          <w:szCs w:val="22"/>
          <w:highlight w:val="yellow"/>
          <w:rtl/>
        </w:rPr>
        <w:lastRenderedPageBreak/>
        <w:t>[דף צז עמוד ב]</w:t>
      </w:r>
      <w:r w:rsidRPr="00534FEF">
        <w:rPr>
          <w:rStyle w:val="Style1Char"/>
          <w:color w:val="auto"/>
          <w:sz w:val="22"/>
          <w:szCs w:val="22"/>
          <w:rtl/>
        </w:rPr>
        <w:t xml:space="preserve"> אלא מן האירוסין מאי טעמא?</w:t>
      </w:r>
      <w:r w:rsidRPr="00534FEF">
        <w:rPr>
          <w:rStyle w:val="Style1Char"/>
          <w:color w:val="auto"/>
          <w:rtl/>
        </w:rPr>
        <w:t xml:space="preserve"> </w:t>
      </w:r>
      <w:r w:rsidRPr="00534FEF">
        <w:rPr>
          <w:rStyle w:val="Style1Char"/>
          <w:color w:val="auto"/>
          <w:sz w:val="22"/>
          <w:szCs w:val="22"/>
          <w:rtl/>
        </w:rPr>
        <w:t>אמר עולא: משום חינא, ר'</w:t>
      </w:r>
      <w:r w:rsidRPr="00534FEF">
        <w:rPr>
          <w:rStyle w:val="Style1Char"/>
          <w:color w:val="auto"/>
          <w:rtl/>
        </w:rPr>
        <w:t xml:space="preserve"> </w:t>
      </w:r>
      <w:r w:rsidRPr="00884884">
        <w:rPr>
          <w:rStyle w:val="Style1Char"/>
          <w:color w:val="00B050"/>
          <w:rtl/>
        </w:rPr>
        <w:t xml:space="preserve">יוחנן </w:t>
      </w:r>
      <w:r w:rsidRPr="00FE0D87">
        <w:rPr>
          <w:rStyle w:val="Style1Char"/>
          <w:color w:val="C00000"/>
          <w:sz w:val="22"/>
          <w:szCs w:val="22"/>
          <w:rtl/>
        </w:rPr>
        <w:t xml:space="preserve">יהודה </w:t>
      </w:r>
      <w:r w:rsidRPr="00534FEF">
        <w:rPr>
          <w:rStyle w:val="Style1Char"/>
          <w:color w:val="auto"/>
          <w:sz w:val="22"/>
          <w:szCs w:val="22"/>
          <w:rtl/>
        </w:rPr>
        <w:t>אמר</w:t>
      </w:r>
      <w:r w:rsidRPr="00534FEF">
        <w:rPr>
          <w:rStyle w:val="Style1Char"/>
          <w:color w:val="auto"/>
          <w:rtl/>
        </w:rPr>
        <w:t xml:space="preserve">: </w:t>
      </w:r>
      <w:r w:rsidRPr="00534FEF">
        <w:rPr>
          <w:rStyle w:val="Style1Char"/>
          <w:color w:val="auto"/>
          <w:sz w:val="22"/>
          <w:szCs w:val="22"/>
          <w:rtl/>
        </w:rPr>
        <w:t>לפי שאין אדם רוצה שתתבזה אשתו בבית דין. מאי בינייהו? איכא בינייהו גרושה</w:t>
      </w:r>
      <w:r w:rsidRPr="00CA70DE">
        <w:rPr>
          <w:rStyle w:val="Style1Char"/>
          <w:color w:val="4472C4" w:themeColor="accent1"/>
          <w:rtl/>
        </w:rPr>
        <w:t xml:space="preserve"> </w:t>
      </w:r>
      <w:r w:rsidRPr="00CA70DE">
        <w:rPr>
          <w:rStyle w:val="Style1Char"/>
          <w:color w:val="4472C4" w:themeColor="accent1"/>
          <w:sz w:val="22"/>
          <w:szCs w:val="22"/>
          <w:rtl/>
        </w:rPr>
        <w:t>דמשום חינא איכא משום שלא תתבזה ליכא והלכתא כר"י</w:t>
      </w:r>
      <w:r w:rsidRPr="00CA70DE">
        <w:rPr>
          <w:rStyle w:val="Style1Char"/>
          <w:rFonts w:hint="cs"/>
          <w:color w:val="4472C4" w:themeColor="accent1"/>
          <w:sz w:val="22"/>
          <w:szCs w:val="22"/>
        </w:rPr>
        <w:t>‍</w:t>
      </w:r>
      <w:r w:rsidRPr="00CA70DE">
        <w:rPr>
          <w:rStyle w:val="Style1Char"/>
          <w:color w:val="4472C4" w:themeColor="accent1"/>
          <w:sz w:val="22"/>
          <w:szCs w:val="22"/>
          <w:rtl/>
        </w:rPr>
        <w:t xml:space="preserve"> דפשטא דמתני' כוותיה</w:t>
      </w:r>
      <w:r w:rsidRPr="00CA70DE">
        <w:rPr>
          <w:rStyle w:val="Style1Char"/>
          <w:color w:val="4472C4" w:themeColor="accent1"/>
          <w:sz w:val="22"/>
          <w:szCs w:val="22"/>
        </w:rPr>
        <w:t xml:space="preserve">: </w:t>
      </w:r>
    </w:p>
    <w:p w14:paraId="4E4E6897" w14:textId="4E9CECFF" w:rsidR="00B600B2" w:rsidRDefault="00B600B2" w:rsidP="00B600B2">
      <w:pPr>
        <w:bidi/>
        <w:rPr>
          <w:rStyle w:val="Style1Char"/>
          <w:color w:val="00B050"/>
        </w:rPr>
      </w:pPr>
      <w:r w:rsidRPr="00FE0D87">
        <w:rPr>
          <w:rStyle w:val="Style1Char"/>
          <w:sz w:val="22"/>
          <w:szCs w:val="22"/>
          <w:rtl/>
        </w:rPr>
        <w:t xml:space="preserve">, </w:t>
      </w:r>
      <w:r w:rsidRPr="00884884">
        <w:rPr>
          <w:rStyle w:val="Style1Char"/>
          <w:color w:val="00B050"/>
          <w:rtl/>
        </w:rPr>
        <w:t>למאן דאמר משום חינא, גרושה נמי בעיא חן; למאן דאמר לפי שאין אדם רוצה שתתבזה אשתו בבית דין, גרושה לא איכפת ליה. תנן: וגרושה לא תמכור אלא בבית דין; בשלמא למאן דאמר לפי שאין אדם רוצה שתתבזה אשתו בבית דין, גרושה לא איכפת ליה; אלא למאן דאמר משום חינא, גרושה נמי בעיא חן! הא מני? ר' שמעון היא. אי רבי שמעון, הא תנא ליה רישא: מן האירוסין לא תמכור כו'! מהו דתימא אלמנה מן האירוסין הוא, דלא נפיש חן דידה, אבל גרושה דנפיש חן דידה - אימא תיבעי חן. הא נמי תנינא: כל שאין לה מזונות, לאתויי מאי? לאו לאתויי גרושה! לא, לאתויי מגורשת ואינה מגורשת, כדרבי זירא, דאמר ר' זירא</w:t>
      </w:r>
      <w:r w:rsidRPr="000969CA">
        <w:rPr>
          <w:rStyle w:val="Style1Char"/>
          <w:color w:val="C00000"/>
          <w:rtl/>
        </w:rPr>
        <w:t xml:space="preserve"> </w:t>
      </w:r>
      <w:r w:rsidRPr="008768B0">
        <w:rPr>
          <w:rStyle w:val="Style1Char"/>
          <w:color w:val="806000" w:themeColor="accent4" w:themeShade="80"/>
          <w:sz w:val="22"/>
          <w:szCs w:val="22"/>
          <w:rtl/>
        </w:rPr>
        <w:t>אמר רבה בר ירמיה אמר שמואל</w:t>
      </w:r>
      <w:r w:rsidRPr="00884884">
        <w:rPr>
          <w:rStyle w:val="Style1Char"/>
          <w:color w:val="00B050"/>
          <w:rtl/>
        </w:rPr>
        <w:t xml:space="preserve">: </w:t>
      </w:r>
      <w:r w:rsidR="00084933">
        <w:rPr>
          <w:rStyle w:val="Style1Char"/>
          <w:rFonts w:hint="cs"/>
          <w:rtl/>
        </w:rPr>
        <w:t>(1)</w:t>
      </w:r>
      <w:r w:rsidRPr="008768B0">
        <w:rPr>
          <w:rStyle w:val="Style1Char"/>
          <w:color w:val="auto"/>
          <w:sz w:val="22"/>
          <w:szCs w:val="22"/>
          <w:rtl/>
        </w:rPr>
        <w:t>כל מקום שאמרו מגורשת ואינה מגורשת - בעל חייב במזונותי'</w:t>
      </w:r>
      <w:r w:rsidRPr="008768B0">
        <w:rPr>
          <w:rStyle w:val="Style1Char"/>
          <w:color w:val="auto"/>
          <w:rtl/>
        </w:rPr>
        <w:t xml:space="preserve"> </w:t>
      </w:r>
      <w:r w:rsidRPr="008768B0">
        <w:rPr>
          <w:rStyle w:val="Style1Char"/>
          <w:color w:val="806000" w:themeColor="accent4" w:themeShade="80"/>
          <w:sz w:val="22"/>
          <w:szCs w:val="22"/>
          <w:rtl/>
        </w:rPr>
        <w:t>וה"מ בחיי בעלה אבל אחר מיתת בעלה לא</w:t>
      </w:r>
      <w:r w:rsidRPr="008768B0">
        <w:rPr>
          <w:rStyle w:val="Style1Char"/>
          <w:color w:val="806000" w:themeColor="accent4" w:themeShade="80"/>
          <w:sz w:val="22"/>
          <w:szCs w:val="22"/>
        </w:rPr>
        <w:t>:</w:t>
      </w:r>
      <w:r w:rsidRPr="008768B0">
        <w:rPr>
          <w:rStyle w:val="Style1Char"/>
          <w:color w:val="806000" w:themeColor="accent4" w:themeShade="80"/>
          <w:rtl/>
        </w:rPr>
        <w:t xml:space="preserve">. </w:t>
      </w:r>
      <w:r w:rsidRPr="00884884">
        <w:rPr>
          <w:rStyle w:val="Style1Char"/>
          <w:color w:val="00B050"/>
          <w:rtl/>
        </w:rPr>
        <w:t xml:space="preserve">ת"ש: כשם שמוכרת שלא בב"ד, כך יורשיה יורשי כתובתה מוכרים שלא בבית דין; בשלמא למאן דאמר לפי שאין אדם רוצה שתתבזה אשתו בבית דין, כי היכי דאיהי לא ניחא ליה דתתבזי, יורשיה נמי לא ניחא ליה דליבזו; אלא למאן דאמר משום חינא, יורשיה מאי חן איכא? תרגמה עולא: כגון שירשתה בתה או אחותה. </w:t>
      </w:r>
    </w:p>
    <w:p w14:paraId="310F5AD3" w14:textId="6F2FC16F" w:rsidR="00B600B2" w:rsidRPr="004B366A" w:rsidRDefault="00B600B2" w:rsidP="00B600B2">
      <w:pPr>
        <w:bidi/>
        <w:rPr>
          <w:rStyle w:val="Style1Char"/>
          <w:color w:val="auto"/>
          <w:sz w:val="22"/>
          <w:szCs w:val="22"/>
        </w:rPr>
      </w:pPr>
      <w:r w:rsidRPr="004B366A">
        <w:rPr>
          <w:rStyle w:val="Style1Char"/>
          <w:color w:val="auto"/>
          <w:sz w:val="22"/>
          <w:szCs w:val="22"/>
          <w:rtl/>
        </w:rPr>
        <w:t xml:space="preserve">מתני'. מכרה כתובתה או מקצתה, משכנה כתובתה או מקצתה, נתנה כתובתה לאחר או מקצתה - לא תמכור את השאר אלא בבית דין; וחכ"א: </w:t>
      </w:r>
      <w:r w:rsidR="00084933">
        <w:rPr>
          <w:rStyle w:val="Style1Char"/>
          <w:rFonts w:hint="cs"/>
          <w:rtl/>
        </w:rPr>
        <w:t>(2)</w:t>
      </w:r>
      <w:r w:rsidRPr="004B366A">
        <w:rPr>
          <w:rStyle w:val="Style1Char"/>
          <w:color w:val="auto"/>
          <w:sz w:val="22"/>
          <w:szCs w:val="22"/>
          <w:rtl/>
        </w:rPr>
        <w:t xml:space="preserve">מוכרת היא אפי' ארבעה וחמשה פעמים, </w:t>
      </w:r>
      <w:r w:rsidR="00084933">
        <w:rPr>
          <w:rStyle w:val="Style1Char"/>
          <w:rFonts w:hint="cs"/>
          <w:rtl/>
        </w:rPr>
        <w:t>(3)</w:t>
      </w:r>
      <w:r w:rsidRPr="004B366A">
        <w:rPr>
          <w:rStyle w:val="Style1Char"/>
          <w:color w:val="auto"/>
          <w:sz w:val="22"/>
          <w:szCs w:val="22"/>
          <w:rtl/>
        </w:rPr>
        <w:t xml:space="preserve">ומוכרת למזונות שלא בבית דין וכותבת למזונות מכרתי; </w:t>
      </w:r>
      <w:r w:rsidR="00084933">
        <w:rPr>
          <w:rStyle w:val="Style1Char"/>
          <w:rFonts w:hint="cs"/>
          <w:rtl/>
        </w:rPr>
        <w:t>(4)</w:t>
      </w:r>
      <w:r w:rsidRPr="004B366A">
        <w:rPr>
          <w:rStyle w:val="Style1Char"/>
          <w:color w:val="auto"/>
          <w:sz w:val="22"/>
          <w:szCs w:val="22"/>
          <w:rtl/>
        </w:rPr>
        <w:t xml:space="preserve">וגרושה לא תמכור אלא בבית דין. </w:t>
      </w:r>
    </w:p>
    <w:p w14:paraId="351C0EB2" w14:textId="77777777" w:rsidR="00B600B2" w:rsidRPr="004B366A" w:rsidRDefault="00B600B2" w:rsidP="00B600B2">
      <w:pPr>
        <w:bidi/>
        <w:rPr>
          <w:rStyle w:val="Style1Char"/>
          <w:sz w:val="22"/>
          <w:szCs w:val="22"/>
        </w:rPr>
      </w:pPr>
      <w:r w:rsidRPr="00F9005B">
        <w:rPr>
          <w:rStyle w:val="Style1Char"/>
          <w:color w:val="4472C4" w:themeColor="accent1"/>
          <w:rtl/>
        </w:rPr>
        <w:t>הא דקתני וכותבת למזונות אסיקנא לעיל (דף צו ב) דעצה טובה קמ"ל דלא ליקרו לה רעבתנותא והוא הדין נמי אי לא כתבה אלא מכרה סתם נאמנת לומר למזונות מכרתי דנכסי בחזקת אלמנה קיימי ועל היתומים להביא ראיה</w:t>
      </w:r>
      <w:r>
        <w:rPr>
          <w:rStyle w:val="Style1Char"/>
          <w:rFonts w:hint="cs"/>
          <w:color w:val="4472C4" w:themeColor="accent1"/>
        </w:rPr>
        <w:t>‍</w:t>
      </w:r>
      <w:r w:rsidRPr="00F9005B">
        <w:rPr>
          <w:rStyle w:val="Style1Char"/>
          <w:color w:val="4472C4" w:themeColor="accent1"/>
          <w:rtl/>
        </w:rPr>
        <w:t xml:space="preserve"> כדתני לוי אלמנה כל זמן שלא נשאת על היתומים להביא ראיה</w:t>
      </w:r>
      <w:r>
        <w:rPr>
          <w:rStyle w:val="Style1Char"/>
          <w:rFonts w:hint="cs"/>
          <w:color w:val="4472C4" w:themeColor="accent1"/>
        </w:rPr>
        <w:t>‍</w:t>
      </w:r>
      <w:r w:rsidRPr="00F9005B">
        <w:rPr>
          <w:rStyle w:val="Style1Char"/>
          <w:color w:val="4472C4" w:themeColor="accent1"/>
          <w:rtl/>
        </w:rPr>
        <w:t xml:space="preserve"> וכר' יוסי דאמר מוכרת סתם ובכך כחה יפה ובירושלמי (ה"ג) מפרש ייפוי כח דר'</w:t>
      </w:r>
      <w:r>
        <w:rPr>
          <w:rStyle w:val="Style1Char"/>
          <w:rFonts w:hint="cs"/>
          <w:color w:val="4472C4" w:themeColor="accent1"/>
        </w:rPr>
        <w:t>‍</w:t>
      </w:r>
      <w:r w:rsidRPr="00F9005B">
        <w:rPr>
          <w:rStyle w:val="Style1Char"/>
          <w:color w:val="4472C4" w:themeColor="accent1"/>
          <w:rtl/>
        </w:rPr>
        <w:t xml:space="preserve"> יוסי אם באתה מלוה בעדים אומרת למזונות מכרתי</w:t>
      </w:r>
      <w:r>
        <w:rPr>
          <w:rStyle w:val="Style1Char"/>
          <w:rFonts w:hint="cs"/>
          <w:color w:val="4472C4" w:themeColor="accent1"/>
        </w:rPr>
        <w:t>‍</w:t>
      </w:r>
      <w:r w:rsidRPr="00F9005B">
        <w:rPr>
          <w:rStyle w:val="Style1Char"/>
          <w:color w:val="4472C4" w:themeColor="accent1"/>
          <w:rtl/>
        </w:rPr>
        <w:t xml:space="preserve"> באתה מלוה בשטר אומרת לכתובה מכרתי</w:t>
      </w:r>
      <w:r w:rsidRPr="00F9005B">
        <w:rPr>
          <w:rStyle w:val="Style1Char"/>
          <w:color w:val="4472C4" w:themeColor="accent1"/>
        </w:rPr>
        <w:t>:</w:t>
      </w:r>
    </w:p>
    <w:p w14:paraId="106C856E" w14:textId="5F80DA94" w:rsidR="00B600B2" w:rsidRDefault="00B600B2" w:rsidP="00B600B2">
      <w:pPr>
        <w:bidi/>
        <w:rPr>
          <w:rStyle w:val="Style1Char"/>
          <w:color w:val="00B050"/>
          <w:rtl/>
        </w:rPr>
      </w:pPr>
      <w:r w:rsidRPr="00FD2980">
        <w:rPr>
          <w:rStyle w:val="Style1Char"/>
          <w:color w:val="auto"/>
          <w:sz w:val="22"/>
          <w:szCs w:val="22"/>
          <w:rtl/>
        </w:rPr>
        <w:t>גמ'. מתניתין מני? ר"ש היא; דתניא: מכרה כתובתה, משכנה כתובתה, עשתה כתובתה אפותיקי לאחר - אין לה מזונות, (דברי ר"מ); ר"ש אומר: אף על פי שלא מכרה ולא משכנה כתובתה אלא</w:t>
      </w:r>
      <w:r w:rsidRPr="00884884">
        <w:rPr>
          <w:rStyle w:val="Style1Char"/>
          <w:color w:val="00B050"/>
          <w:rtl/>
        </w:rPr>
        <w:t xml:space="preserve"> מחציתה </w:t>
      </w:r>
      <w:r w:rsidRPr="00FD2980">
        <w:rPr>
          <w:rStyle w:val="Style1Char"/>
          <w:color w:val="806000" w:themeColor="accent4" w:themeShade="80"/>
          <w:sz w:val="22"/>
          <w:szCs w:val="22"/>
          <w:rtl/>
        </w:rPr>
        <w:t xml:space="preserve">מקצתה ולא משכנה אלא מקצתה לא תמכור את השאר אלא בב"ד וליתא לדרבי שמעון דאמרינן </w:t>
      </w:r>
      <w:r w:rsidRPr="00884884">
        <w:rPr>
          <w:rStyle w:val="Style1Char"/>
          <w:color w:val="00B050"/>
          <w:rtl/>
        </w:rPr>
        <w:t xml:space="preserve">- אבדה מזונותיה. למימרא, דרבי שמעון סבר: דלא אמרי' מקצת כסף ככל כסף, ורבנן סברי: אמרי' מקצת כסף ככל כסף, הא איפכא שמעינן להו! דתניא: והוא אשה בבתוליה - </w:t>
      </w:r>
      <w:r w:rsidR="00CF0634">
        <w:rPr>
          <w:rStyle w:val="Style1Char"/>
          <w:rFonts w:hint="cs"/>
          <w:rtl/>
        </w:rPr>
        <w:t>(5)</w:t>
      </w:r>
      <w:r w:rsidRPr="00884884">
        <w:rPr>
          <w:rStyle w:val="Style1Char"/>
          <w:color w:val="00B050"/>
          <w:rtl/>
        </w:rPr>
        <w:t xml:space="preserve">פרט לבוגרת שכלו בתוליה, דברי ר"מ, ר' אלעזר ור' שמעון מכשירין בבוגרת! התם בקראי פליגי, ר' מאיר סבר: בתולה - אפי' מקצת בתולים, בתוליה - עד דאיכא כולהו בתולים, בבתוליה - בכדרכה אין, שלא כדרכה לא; ר' אלעזר ור' שמעון סברי: בתולה - שלמה משמע, בתוליה - אפילו מקצת בתולים, </w:t>
      </w:r>
    </w:p>
    <w:p w14:paraId="29B7138B" w14:textId="6C1BC1EC" w:rsidR="00084933" w:rsidRDefault="00084933" w:rsidP="00084933">
      <w:pPr>
        <w:pStyle w:val="Style1"/>
        <w:rPr>
          <w:rStyle w:val="Style1Char"/>
          <w:rtl/>
        </w:rPr>
      </w:pPr>
      <w:r>
        <w:rPr>
          <w:rStyle w:val="Style1Char"/>
          <w:rFonts w:hint="cs"/>
          <w:rtl/>
        </w:rPr>
        <w:t>1)[</w:t>
      </w:r>
      <w:r w:rsidRPr="00084933">
        <w:rPr>
          <w:rStyle w:val="Style1Char"/>
          <w:rtl/>
        </w:rPr>
        <w:t>רמב</w:t>
      </w:r>
      <w:r w:rsidR="00213DA1">
        <w:rPr>
          <w:rStyle w:val="Style1Char"/>
          <w:rtl/>
        </w:rPr>
        <w:t>”ם \נשים\</w:t>
      </w:r>
      <w:r w:rsidRPr="00084933">
        <w:rPr>
          <w:rStyle w:val="Style1Char"/>
          <w:rtl/>
        </w:rPr>
        <w:t xml:space="preserve"> הלכות אישות פרק יח הלכה כה</w:t>
      </w:r>
      <w:r>
        <w:rPr>
          <w:rStyle w:val="Style1Char"/>
          <w:rFonts w:hint="cs"/>
          <w:rtl/>
        </w:rPr>
        <w:t xml:space="preserve">] </w:t>
      </w:r>
      <w:r w:rsidRPr="00084933">
        <w:rPr>
          <w:rStyle w:val="Style1Char"/>
          <w:rtl/>
        </w:rPr>
        <w:t>האשה שהיה לה ספק גירושין ומת בעלה אינה ניזונת מנכסיו, שאין מוציאין מיד היורש מספק, אבל בחיי בעלה יש לה מזונות עד שתתגרש גירושין גמורין.</w:t>
      </w:r>
    </w:p>
    <w:p w14:paraId="3C1E7CEC" w14:textId="203107BE" w:rsidR="00084933" w:rsidRDefault="00084933" w:rsidP="00084933">
      <w:pPr>
        <w:pStyle w:val="Style1"/>
        <w:rPr>
          <w:rStyle w:val="Style1Char"/>
          <w:rtl/>
        </w:rPr>
      </w:pPr>
      <w:r>
        <w:rPr>
          <w:rStyle w:val="Style1Char"/>
          <w:rFonts w:hint="cs"/>
          <w:rtl/>
        </w:rPr>
        <w:t>1)[</w:t>
      </w:r>
      <w:r w:rsidRPr="00084933">
        <w:rPr>
          <w:rStyle w:val="Style1Char"/>
          <w:rtl/>
        </w:rPr>
        <w:t>שולחן ערוך אבן העזר הלכות כתובות סימן צג סעיף ב</w:t>
      </w:r>
      <w:r>
        <w:rPr>
          <w:rStyle w:val="Style1Char"/>
          <w:rFonts w:hint="cs"/>
          <w:rtl/>
        </w:rPr>
        <w:t xml:space="preserve">] </w:t>
      </w:r>
      <w:r w:rsidRPr="00084933">
        <w:rPr>
          <w:rStyle w:val="Style1Char"/>
          <w:rtl/>
        </w:rPr>
        <w:t>האשה שהיה לה ספק גירושין ומת בעלה, אינה ניזונית מנכסיו, שאין מוציאין מיד היורש, מספק. אבל בחיי בעלה יש לה מזונות עד שתתגרש גרושין גמורים.</w:t>
      </w:r>
    </w:p>
    <w:p w14:paraId="1402D360" w14:textId="07EF19E7" w:rsidR="00084933" w:rsidRDefault="00084933" w:rsidP="00084933">
      <w:pPr>
        <w:pStyle w:val="Style1"/>
        <w:rPr>
          <w:rStyle w:val="Style1Char"/>
          <w:rtl/>
        </w:rPr>
      </w:pPr>
      <w:r>
        <w:rPr>
          <w:rStyle w:val="Style1Char"/>
          <w:rFonts w:hint="cs"/>
          <w:rtl/>
        </w:rPr>
        <w:t>2)[</w:t>
      </w:r>
      <w:r w:rsidRPr="00084933">
        <w:rPr>
          <w:rStyle w:val="Style1Char"/>
          <w:rtl/>
        </w:rPr>
        <w:t>רמב</w:t>
      </w:r>
      <w:r w:rsidR="00213DA1">
        <w:rPr>
          <w:rStyle w:val="Style1Char"/>
          <w:rtl/>
        </w:rPr>
        <w:t>”ם \נשים\</w:t>
      </w:r>
      <w:r w:rsidRPr="00084933">
        <w:rPr>
          <w:rStyle w:val="Style1Char"/>
          <w:rtl/>
        </w:rPr>
        <w:t xml:space="preserve"> הלכות אישות פרק יז הלכה יח</w:t>
      </w:r>
      <w:r>
        <w:rPr>
          <w:rStyle w:val="Style1Char"/>
          <w:rFonts w:hint="cs"/>
          <w:rtl/>
        </w:rPr>
        <w:t xml:space="preserve">] </w:t>
      </w:r>
      <w:r w:rsidRPr="00084933">
        <w:rPr>
          <w:rStyle w:val="Style1Char"/>
          <w:rtl/>
        </w:rPr>
        <w:t>הרי שמכרה מקצת כתובתה או משכנה מקצתה או נתנה לאחר מקצתה מוכרת מקרקע בעלה ותגבה השאר בין בבית דין מומחין בין בשלשה נאמנים, ומוכרת לכתובתה אפילו בפעמים רבות בין בבית דין בין בשלשה נאמנים ויודעים שומת הקרקע.</w:t>
      </w:r>
    </w:p>
    <w:p w14:paraId="2D784CDF" w14:textId="45EE7A2F" w:rsidR="00084933" w:rsidRPr="00084933" w:rsidRDefault="00084933" w:rsidP="00084933">
      <w:pPr>
        <w:pStyle w:val="Style1"/>
      </w:pPr>
      <w:r>
        <w:rPr>
          <w:rFonts w:hint="cs"/>
          <w:rtl/>
        </w:rPr>
        <w:t>2)[</w:t>
      </w:r>
      <w:r>
        <w:rPr>
          <w:rtl/>
        </w:rPr>
        <w:t>שולחן ערוך אבן העזר הלכות כתובות סימן קג סעיף א</w:t>
      </w:r>
      <w:r>
        <w:rPr>
          <w:rFonts w:hint="cs"/>
          <w:rtl/>
        </w:rPr>
        <w:t xml:space="preserve">] </w:t>
      </w:r>
      <w:r w:rsidRPr="00084933">
        <w:rPr>
          <w:rtl/>
        </w:rPr>
        <w:t>אלמנה, בין מן הארוסין אם כתב לה כתובה, בין מן הנשואין, מוכרת מנכסי בעלה לגבות כתובתה שלא בבית דין ושלא בהכרזה, לא שנא אם מוכרת לגבות כל כתובתה ביחד, לא שנא אם מוכרת שלשה או ארבעה פעמים לגבות מעט מעט בכל פעם, מוכרת שלא בבית דין מומחים, אבל צריכה בית דין הדיוטות שלשה אנשים נאמנים בקיאים בשומת קרקע</w:t>
      </w:r>
      <w:r w:rsidRPr="00084933">
        <w:t>.</w:t>
      </w:r>
    </w:p>
    <w:p w14:paraId="7B29D2FC" w14:textId="77777777" w:rsidR="00084933" w:rsidRPr="00084933" w:rsidRDefault="00084933" w:rsidP="00084933">
      <w:pPr>
        <w:pStyle w:val="Style1"/>
      </w:pPr>
      <w:r w:rsidRPr="00084933">
        <w:rPr>
          <w:rFonts w:hint="cs"/>
          <w:rtl/>
        </w:rPr>
        <w:t>הגה: ודוקא עיקר הכתובה והתוספת, אבל אינה מוכרת שלא בבית דין לגבות נדוניתא, דאינו רק כחוב בעלמא (בית יוסף בשם הריטב"א פרק אלמנה נזונית)</w:t>
      </w:r>
      <w:r w:rsidRPr="00084933">
        <w:t>.</w:t>
      </w:r>
    </w:p>
    <w:p w14:paraId="0E9014CC" w14:textId="68435C65" w:rsidR="00084933" w:rsidRDefault="00084933" w:rsidP="00084933">
      <w:pPr>
        <w:pStyle w:val="Style1"/>
        <w:rPr>
          <w:rtl/>
        </w:rPr>
      </w:pPr>
      <w:r w:rsidRPr="00084933">
        <w:rPr>
          <w:rtl/>
        </w:rPr>
        <w:t>אם מכרה בינה לבין עצמה שוה בשוה, מכרה קיים. ויש חולקים</w:t>
      </w:r>
      <w:r w:rsidRPr="00084933">
        <w:t>:</w:t>
      </w:r>
    </w:p>
    <w:p w14:paraId="7B3C8E84" w14:textId="6A4DEDAB" w:rsidR="009F5998" w:rsidRDefault="009F5998" w:rsidP="009F5998">
      <w:pPr>
        <w:pStyle w:val="Style1"/>
        <w:rPr>
          <w:rtl/>
        </w:rPr>
      </w:pPr>
      <w:r>
        <w:rPr>
          <w:rFonts w:hint="cs"/>
          <w:rtl/>
        </w:rPr>
        <w:t>3)[</w:t>
      </w:r>
      <w:r>
        <w:rPr>
          <w:rtl/>
        </w:rPr>
        <w:t>רמב</w:t>
      </w:r>
      <w:r w:rsidR="00213DA1">
        <w:rPr>
          <w:rtl/>
        </w:rPr>
        <w:t>”ם \נשים\</w:t>
      </w:r>
      <w:r>
        <w:rPr>
          <w:rtl/>
        </w:rPr>
        <w:t xml:space="preserve"> הלכות אישות פרק יח הלכה כ</w:t>
      </w:r>
      <w:r>
        <w:rPr>
          <w:rFonts w:hint="cs"/>
          <w:rtl/>
        </w:rPr>
        <w:t xml:space="preserve">] </w:t>
      </w:r>
      <w:r>
        <w:rPr>
          <w:rtl/>
        </w:rPr>
        <w:t>אלמנה שבאת לבית דין לתבוע מזונות משביעין אותה בתחלה ומוכרין בלא הכרזה ונותנין לה מזונות, וכן יש לה למכור למזונות שלא בבית דין מומחין אלא בשלשה אנשים נאמנים בלא הכרזה, וכן אם מכרה למזונות בינה לבין עצמה שוה בשוה מכרה קיים, וכשיבאו היורשין להשביע אותה נשבעת.</w:t>
      </w:r>
    </w:p>
    <w:p w14:paraId="377EEEA7" w14:textId="400C07E7" w:rsidR="009F5998" w:rsidRDefault="009F5998" w:rsidP="009F5998">
      <w:pPr>
        <w:pStyle w:val="Style1"/>
        <w:rPr>
          <w:rtl/>
        </w:rPr>
      </w:pPr>
      <w:r>
        <w:rPr>
          <w:rFonts w:hint="cs"/>
          <w:rtl/>
        </w:rPr>
        <w:t>3)[</w:t>
      </w:r>
      <w:r>
        <w:rPr>
          <w:rtl/>
        </w:rPr>
        <w:t>שולחן ערוך אבן העזר הלכות כתובות סימן צג סעיף כה</w:t>
      </w:r>
      <w:r>
        <w:rPr>
          <w:rFonts w:hint="cs"/>
          <w:rtl/>
        </w:rPr>
        <w:t xml:space="preserve">] </w:t>
      </w:r>
      <w:r>
        <w:rPr>
          <w:rtl/>
        </w:rPr>
        <w:t>אלמנה שבאה לבית דין לתבוע מזונות, מוכרין בלא הכרזה ונותנין לה מזונות. וכן יש לה למכור למזונות שלא בב"ד מומחין, אלא בג' אנשים נאמנים בלא הכרזה</w:t>
      </w:r>
      <w:r>
        <w:rPr>
          <w:rFonts w:hint="cs"/>
          <w:rtl/>
        </w:rPr>
        <w:t xml:space="preserve"> </w:t>
      </w:r>
      <w:r>
        <w:rPr>
          <w:rtl/>
        </w:rPr>
        <w:t>וכן אם מכרה בינה לבין עצמה שוה בשוה, מכרה קיים; ויש חולקין בזו.</w:t>
      </w:r>
    </w:p>
    <w:p w14:paraId="2897F173" w14:textId="04EA03C3" w:rsidR="009F5998" w:rsidRDefault="009F5998" w:rsidP="009F5998">
      <w:pPr>
        <w:pStyle w:val="Style1"/>
        <w:rPr>
          <w:rtl/>
        </w:rPr>
      </w:pPr>
      <w:r>
        <w:rPr>
          <w:rFonts w:hint="cs"/>
          <w:rtl/>
        </w:rPr>
        <w:t>4)[</w:t>
      </w:r>
      <w:r>
        <w:rPr>
          <w:rtl/>
        </w:rPr>
        <w:t>רמב</w:t>
      </w:r>
      <w:r w:rsidR="00213DA1">
        <w:rPr>
          <w:rtl/>
        </w:rPr>
        <w:t>”ם \נשים\</w:t>
      </w:r>
      <w:r>
        <w:rPr>
          <w:rtl/>
        </w:rPr>
        <w:t xml:space="preserve"> הלכות אישות פרק יז הלכה יג</w:t>
      </w:r>
      <w:r>
        <w:rPr>
          <w:rFonts w:hint="cs"/>
          <w:rtl/>
        </w:rPr>
        <w:t xml:space="preserve">] </w:t>
      </w:r>
      <w:r>
        <w:rPr>
          <w:rtl/>
        </w:rPr>
        <w:t>אלמנה בין מן הנישואין בין מן האירוסין נשבעת ומוכרת מקרקע בעלה ונפרעת כתובתה בין בבית דין מומחין בית בבית דין שאינן מומחין, והוא שיהיו השלשה אנשים נאמנין ויודעין בשומת הקרקע, ואחריות המכר על נכסי יתומים, אבל הגרושה לא תמכור אלא בבית דין מומחין, וכל המוכרת בבית דין לא תמכור אלא בהכרזה, ובהלכות הלואה יתבאר משפט מכירת בית דין היאך היא, אבל המוכרת שלא בבית דין אינה צריכה הכרזה ואף על פי כן צריך שלשה שהם נאמנים ויודעים בשומה.</w:t>
      </w:r>
    </w:p>
    <w:p w14:paraId="1578F79A" w14:textId="0C765F69" w:rsidR="009F5998" w:rsidRDefault="009F5998" w:rsidP="009F5998">
      <w:pPr>
        <w:pStyle w:val="Style1"/>
        <w:rPr>
          <w:rtl/>
        </w:rPr>
      </w:pPr>
      <w:r>
        <w:rPr>
          <w:rFonts w:hint="cs"/>
          <w:rtl/>
        </w:rPr>
        <w:t>4)[</w:t>
      </w:r>
      <w:r>
        <w:rPr>
          <w:rtl/>
        </w:rPr>
        <w:t>שולחן ערוך אבן העזר הלכות כתובות סימן קג סעיף ג</w:t>
      </w:r>
      <w:r>
        <w:rPr>
          <w:rFonts w:hint="cs"/>
          <w:rtl/>
        </w:rPr>
        <w:t xml:space="preserve">] </w:t>
      </w:r>
      <w:r>
        <w:rPr>
          <w:rtl/>
        </w:rPr>
        <w:t>גרושה, לא תמכור אלא בב"ד מומחים. ואלמנה נמי, אם נשאת, לא תמכור אלא בבית דין מומחים.</w:t>
      </w:r>
    </w:p>
    <w:p w14:paraId="151393AC" w14:textId="3DF90CE4" w:rsidR="00B600B2" w:rsidRDefault="009F5998" w:rsidP="00CF0634">
      <w:pPr>
        <w:pStyle w:val="Style1"/>
        <w:rPr>
          <w:rStyle w:val="Style1Char"/>
          <w:color w:val="00B050"/>
          <w:rtl/>
        </w:rPr>
      </w:pPr>
      <w:r>
        <w:rPr>
          <w:rFonts w:hint="cs"/>
          <w:rtl/>
        </w:rPr>
        <w:t>5)[</w:t>
      </w:r>
      <w:r>
        <w:rPr>
          <w:rtl/>
        </w:rPr>
        <w:t>רמב</w:t>
      </w:r>
      <w:r w:rsidR="00213DA1">
        <w:rPr>
          <w:rtl/>
        </w:rPr>
        <w:t>”ם \קדושה\</w:t>
      </w:r>
      <w:r>
        <w:rPr>
          <w:rtl/>
        </w:rPr>
        <w:t xml:space="preserve"> הלכות איסורי ביאה פרק יז הלכה יג</w:t>
      </w:r>
      <w:r>
        <w:rPr>
          <w:rFonts w:hint="cs"/>
          <w:rtl/>
        </w:rPr>
        <w:t xml:space="preserve">] </w:t>
      </w:r>
      <w:r>
        <w:rPr>
          <w:rtl/>
        </w:rPr>
        <w:t>מצות עשה על כהן גדול שישא נערה בתולה, ומשתבגור תאסר עליו והוא אשה בבתוליה יקח, אשה לא קטנה, בבתוליה ולא בוגרת, הא כיצד יצאת מכלל קטנות ולכלל בגרות לא באה זו נערה, ואינו נושא שתי נשים לעולם כאחת שנאמר אשה אחת ולא שתים. /השגת הראב"ד/ ואינו נושא ב' נשים וכו'. כתב הראב"ד ז"ל /א"א/ לא מתחורא זאת הסברא שלא אמרו במס' יומא אלא ביתו אמר רחמנא ולא ב' בתים ואפשר שלא נאסר בב' נשים אלא ביו"כ שמא ימשוך לבו אחריהן ויבא לידי טומאה, אבל הדעת נותנת כן כדי שלא יצטרך לגרש ערב י"כ אלא שאני מוצא וישא לו יהוידע נשים שתים ויולד בנים ובנות עכ"ל.</w:t>
      </w:r>
      <w:r w:rsidR="00B600B2">
        <w:rPr>
          <w:rStyle w:val="Style1Char"/>
          <w:color w:val="00B050"/>
          <w:rtl/>
        </w:rPr>
        <w:br w:type="page"/>
      </w:r>
    </w:p>
    <w:p w14:paraId="2B14DD5D" w14:textId="1F27F00B" w:rsidR="00B600B2" w:rsidRPr="00F9005B" w:rsidRDefault="00B600B2" w:rsidP="00B600B2">
      <w:pPr>
        <w:bidi/>
        <w:rPr>
          <w:rStyle w:val="Style1Char"/>
          <w:color w:val="4472C4" w:themeColor="accent1"/>
        </w:rPr>
      </w:pPr>
      <w:r w:rsidRPr="00884884">
        <w:rPr>
          <w:rStyle w:val="Style1Char"/>
          <w:color w:val="00B050"/>
          <w:sz w:val="22"/>
          <w:szCs w:val="22"/>
          <w:highlight w:val="yellow"/>
          <w:rtl/>
        </w:rPr>
        <w:lastRenderedPageBreak/>
        <w:t>[דף צח עמוד א]</w:t>
      </w:r>
      <w:r w:rsidRPr="00884884">
        <w:rPr>
          <w:rStyle w:val="Style1Char"/>
          <w:color w:val="00B050"/>
          <w:sz w:val="22"/>
          <w:szCs w:val="22"/>
          <w:rtl/>
        </w:rPr>
        <w:t xml:space="preserve"> </w:t>
      </w:r>
      <w:r w:rsidRPr="00884884">
        <w:rPr>
          <w:rStyle w:val="Style1Char"/>
          <w:color w:val="00B050"/>
          <w:rtl/>
        </w:rPr>
        <w:t xml:space="preserve">בבתוליה - שיהו כל בתוליה קיימין, </w:t>
      </w:r>
      <w:r w:rsidR="00CF0634">
        <w:rPr>
          <w:rStyle w:val="Style1Char"/>
          <w:rFonts w:hint="cs"/>
          <w:rtl/>
        </w:rPr>
        <w:t>(1)</w:t>
      </w:r>
      <w:r w:rsidRPr="00884884">
        <w:rPr>
          <w:rStyle w:val="Style1Char"/>
          <w:color w:val="00B050"/>
          <w:rtl/>
        </w:rPr>
        <w:t xml:space="preserve">בין בכדרכה בין שלא כדרכה. </w:t>
      </w:r>
      <w:r w:rsidRPr="000C7F2F">
        <w:rPr>
          <w:rStyle w:val="Style1Char"/>
          <w:color w:val="auto"/>
          <w:sz w:val="22"/>
          <w:szCs w:val="22"/>
          <w:rtl/>
        </w:rPr>
        <w:t>ההיא איתתא דתפסה כסא דכספא בכתובתה</w:t>
      </w:r>
      <w:r w:rsidRPr="00884884">
        <w:rPr>
          <w:rStyle w:val="Style1Char"/>
          <w:color w:val="00B050"/>
          <w:rtl/>
        </w:rPr>
        <w:t xml:space="preserve">, קתבעה מזוני, </w:t>
      </w:r>
      <w:r w:rsidRPr="000C7F2F">
        <w:rPr>
          <w:rStyle w:val="Style1Char"/>
          <w:color w:val="auto"/>
          <w:sz w:val="22"/>
          <w:szCs w:val="22"/>
          <w:rtl/>
        </w:rPr>
        <w:t>אתאי לקמיה דרבא, אמר</w:t>
      </w:r>
      <w:r w:rsidRPr="000C7F2F">
        <w:rPr>
          <w:rStyle w:val="Style1Char"/>
          <w:color w:val="auto"/>
          <w:rtl/>
        </w:rPr>
        <w:t xml:space="preserve"> </w:t>
      </w:r>
      <w:r w:rsidRPr="00A06D4A">
        <w:rPr>
          <w:rStyle w:val="Style1Char"/>
          <w:color w:val="ED7D31" w:themeColor="accent2"/>
          <w:sz w:val="22"/>
          <w:szCs w:val="22"/>
          <w:rtl/>
        </w:rPr>
        <w:t>להו ליתמי: זילו הבו לה מזונות</w:t>
      </w:r>
      <w:r w:rsidRPr="00884884">
        <w:rPr>
          <w:rStyle w:val="Style1Char"/>
          <w:color w:val="00B050"/>
          <w:rtl/>
        </w:rPr>
        <w:t xml:space="preserve">, </w:t>
      </w:r>
      <w:r w:rsidRPr="00A06D4A">
        <w:rPr>
          <w:rStyle w:val="Style1Char"/>
          <w:color w:val="auto"/>
          <w:sz w:val="22"/>
          <w:szCs w:val="22"/>
          <w:rtl/>
        </w:rPr>
        <w:t>לית דחש להא דר' שמעון, דאמר: לא אמרינן מקצת כסף ככל כסף</w:t>
      </w:r>
      <w:r w:rsidRPr="00A06D4A">
        <w:rPr>
          <w:rStyle w:val="Style1Char"/>
          <w:color w:val="4472C4" w:themeColor="accent1"/>
          <w:rtl/>
        </w:rPr>
        <w:t xml:space="preserve"> </w:t>
      </w:r>
      <w:r w:rsidRPr="00F9005B">
        <w:rPr>
          <w:rStyle w:val="Style1Char"/>
          <w:color w:val="4472C4" w:themeColor="accent1"/>
          <w:rtl/>
        </w:rPr>
        <w:t>וראיתי לגדולים שפירשו דאע"פ שחייבין לזונה אם רצו היורשין פורעין לה מותר כתובתה ומסלקין אותה אפילו לאנשי גליל ודברים של טעם הם</w:t>
      </w:r>
      <w:r>
        <w:rPr>
          <w:rStyle w:val="Style1Char"/>
          <w:rFonts w:hint="cs"/>
          <w:color w:val="4472C4" w:themeColor="accent1"/>
        </w:rPr>
        <w:t>‍</w:t>
      </w:r>
      <w:r w:rsidRPr="00F9005B">
        <w:rPr>
          <w:rStyle w:val="Style1Char"/>
          <w:color w:val="4472C4" w:themeColor="accent1"/>
          <w:rtl/>
        </w:rPr>
        <w:t xml:space="preserve"> דאל"כ כל אשה תמכור כתובתה עד תשלום דינר ותתפרנס כל ימיה בחסרון הדינר</w:t>
      </w:r>
      <w:r w:rsidRPr="00F9005B">
        <w:rPr>
          <w:rStyle w:val="Style1Char"/>
          <w:color w:val="4472C4" w:themeColor="accent1"/>
        </w:rPr>
        <w:t xml:space="preserve">: </w:t>
      </w:r>
    </w:p>
    <w:p w14:paraId="5A7D153F" w14:textId="1999AE7F" w:rsidR="00B600B2" w:rsidRDefault="00B600B2" w:rsidP="00B600B2">
      <w:pPr>
        <w:bidi/>
        <w:rPr>
          <w:rStyle w:val="Style1Char"/>
          <w:sz w:val="22"/>
          <w:szCs w:val="22"/>
        </w:rPr>
      </w:pPr>
      <w:r w:rsidRPr="00610090">
        <w:rPr>
          <w:rStyle w:val="Style1Char"/>
          <w:color w:val="auto"/>
          <w:sz w:val="22"/>
          <w:szCs w:val="22"/>
          <w:rtl/>
        </w:rPr>
        <w:t xml:space="preserve">שלח ליה רבה בריה דרבא לרב יוסף: מוכרת שלא בב"ד, צריכה שבועה או אין צריכה שבועה? </w:t>
      </w:r>
      <w:r w:rsidRPr="00F9005B">
        <w:rPr>
          <w:rStyle w:val="Style1Char"/>
          <w:color w:val="4472C4" w:themeColor="accent1"/>
          <w:rtl/>
        </w:rPr>
        <w:t>במוכרת לכתובתה קא מיבעיא ליה</w:t>
      </w:r>
      <w:r>
        <w:rPr>
          <w:rStyle w:val="Style1Char"/>
          <w:rFonts w:hint="cs"/>
          <w:color w:val="4472C4" w:themeColor="accent1"/>
        </w:rPr>
        <w:t>‍</w:t>
      </w:r>
      <w:r w:rsidRPr="00F9005B">
        <w:rPr>
          <w:rStyle w:val="Style1Char"/>
          <w:color w:val="4472C4" w:themeColor="accent1"/>
          <w:rtl/>
        </w:rPr>
        <w:t xml:space="preserve"> דאי למזונות קי"ל כחנן דאמר תשבע בסוף ולא תשבע בתחלה</w:t>
      </w:r>
      <w:r>
        <w:rPr>
          <w:rStyle w:val="Style1Char"/>
          <w:rFonts w:hint="cs"/>
          <w:color w:val="4472C4" w:themeColor="accent1"/>
        </w:rPr>
        <w:t>‍</w:t>
      </w:r>
      <w:r w:rsidRPr="00F9005B">
        <w:rPr>
          <w:rStyle w:val="Style1Char"/>
          <w:color w:val="4472C4" w:themeColor="accent1"/>
          <w:rtl/>
        </w:rPr>
        <w:t xml:space="preserve"> וההיא בסוף היינו בשעת גיבוי כתובתה דהא לעיל בשילהי הכותב (דף פח א) מוקי ר' ירמיה הא דר' שמעון דאמר כל זמן שתובעת כתובתה יורשין משביעין אותה אינה תובעת כתובתה אין היורשין משביעין אותה כחנן אלמא דאין משביעין אותה שום שבועה עד זמן תביעת כתובתה אלא ודאי במוכרת לכתובתה קא מיבעיא ליה ולא מיבעיא ליה בשבועת צררי דפשיטא דמשביעין אותה כדתנן בפרק השולח (דף לד ב) אין אלמנה נפרעת מנכסי יתומים אלא בשבועה אלא מיבעיא ליה אחר שמכרה הנכסים שלא בב"ד אם משביעין שלא גבתה יותר א"נ מיבעיא ליה אם משביעין אותה שלא זילזלה בנכסים וכן מוכח מדקאמר ותיבעי לך הכרזה דהאי נמי משום דלא תזלזל. </w:t>
      </w:r>
      <w:r w:rsidRPr="008A171A">
        <w:rPr>
          <w:rStyle w:val="Style1Char"/>
          <w:color w:val="auto"/>
          <w:sz w:val="22"/>
          <w:szCs w:val="22"/>
          <w:rtl/>
        </w:rPr>
        <w:t xml:space="preserve">ותבעי לך הכרזה! אמר ליה: הכרזה לא קמיבעיא לי, דא"ר זירא אמר רב נחמן: </w:t>
      </w:r>
      <w:r w:rsidR="00CF0634">
        <w:rPr>
          <w:rStyle w:val="Style1Char"/>
          <w:rFonts w:hint="cs"/>
          <w:rtl/>
        </w:rPr>
        <w:t>(2)</w:t>
      </w:r>
      <w:r w:rsidRPr="008A171A">
        <w:rPr>
          <w:rStyle w:val="Style1Char"/>
          <w:color w:val="auto"/>
          <w:sz w:val="22"/>
          <w:szCs w:val="22"/>
          <w:rtl/>
        </w:rPr>
        <w:t xml:space="preserve">אלמנה ששמה לעצמה - לא עשתה ולא כלום, ה"ד? אי דאכרוז, אמאי לא עשתה ולא כלום? אלא לאו דלא אכרוז, ולעצמה הוא דלא עשתה ולא כלום, </w:t>
      </w:r>
      <w:r w:rsidR="00711A5A">
        <w:rPr>
          <w:rStyle w:val="Style1Char"/>
          <w:rFonts w:hint="cs"/>
          <w:rtl/>
        </w:rPr>
        <w:t>(2.1, 3)</w:t>
      </w:r>
      <w:r w:rsidRPr="008A171A">
        <w:rPr>
          <w:rStyle w:val="Style1Char"/>
          <w:color w:val="auto"/>
          <w:sz w:val="22"/>
          <w:szCs w:val="22"/>
          <w:rtl/>
        </w:rPr>
        <w:t>הא לאחר מה שעשתה עשתה</w:t>
      </w:r>
      <w:r w:rsidRPr="008A171A">
        <w:rPr>
          <w:rStyle w:val="Style1Char"/>
          <w:color w:val="auto"/>
          <w:rtl/>
        </w:rPr>
        <w:t xml:space="preserve">. </w:t>
      </w:r>
      <w:r w:rsidR="00711A5A">
        <w:rPr>
          <w:rStyle w:val="Style1Char"/>
          <w:rFonts w:hint="cs"/>
          <w:rtl/>
        </w:rPr>
        <w:t>(2.1, 3)</w:t>
      </w:r>
      <w:r w:rsidRPr="008A171A">
        <w:rPr>
          <w:rStyle w:val="Style1Char"/>
          <w:color w:val="auto"/>
          <w:sz w:val="22"/>
          <w:szCs w:val="22"/>
          <w:rtl/>
        </w:rPr>
        <w:t xml:space="preserve">לעולם דאכרוז, ודאמרי לה: מאן שם ליך? </w:t>
      </w:r>
      <w:r w:rsidRPr="00F9005B">
        <w:rPr>
          <w:rStyle w:val="Style1Char"/>
          <w:color w:val="4472C4" w:themeColor="accent1"/>
          <w:rtl/>
        </w:rPr>
        <w:t>כלומר מי החזיקך באלו הנכסים שאין אדם יכול לזכות במקח אלא מיד המקנה לו ואין לפרש דשומא ממש קאמר דאע"ג דליכא ב"ד מומחין ב"ד הדיוטות מיהא איכא כדאיתא בפ' אלו מציאות (דף לב א) כדפרישית לעיל (סי' י) ומה שהחזיקוה ב"ד הדיוטות אינה חזקה דיושבי קרנות הן ואינם בקיאים אלא בשומא בעלמא</w:t>
      </w:r>
      <w:r>
        <w:rPr>
          <w:rStyle w:val="Style1Char"/>
          <w:color w:val="4472C4" w:themeColor="accent1"/>
        </w:rPr>
        <w:t xml:space="preserve"> </w:t>
      </w:r>
      <w:r w:rsidRPr="00AB2B48">
        <w:rPr>
          <w:rStyle w:val="Style1Char"/>
          <w:color w:val="auto"/>
          <w:sz w:val="22"/>
          <w:szCs w:val="22"/>
          <w:rtl/>
        </w:rPr>
        <w:t>כי האי דההוא גברא דאפקידו גביה כיסתא דיתמי, אזל שמה לנפשיה בארבע מאה זוזי</w:t>
      </w:r>
      <w:r w:rsidRPr="00270E02">
        <w:rPr>
          <w:rStyle w:val="Style1Char"/>
          <w:sz w:val="22"/>
          <w:szCs w:val="22"/>
          <w:rtl/>
        </w:rPr>
        <w:t xml:space="preserve">, </w:t>
      </w:r>
      <w:r w:rsidRPr="00AB2B48">
        <w:rPr>
          <w:rStyle w:val="Style1Char"/>
          <w:color w:val="806000" w:themeColor="accent4" w:themeShade="80"/>
          <w:sz w:val="22"/>
          <w:szCs w:val="22"/>
          <w:rtl/>
        </w:rPr>
        <w:t xml:space="preserve">לסוף </w:t>
      </w:r>
      <w:r w:rsidRPr="00AB2B48">
        <w:rPr>
          <w:rStyle w:val="Style1Char"/>
          <w:color w:val="auto"/>
          <w:sz w:val="22"/>
          <w:szCs w:val="22"/>
          <w:rtl/>
        </w:rPr>
        <w:t>אייקר קם בשית מאה, אתא לקמיה דרבי</w:t>
      </w:r>
      <w:r w:rsidRPr="00AB2B48">
        <w:rPr>
          <w:rStyle w:val="Style1Char"/>
          <w:color w:val="auto"/>
          <w:rtl/>
        </w:rPr>
        <w:t xml:space="preserve"> </w:t>
      </w:r>
      <w:r w:rsidRPr="00884884">
        <w:rPr>
          <w:rStyle w:val="Style1Char"/>
          <w:color w:val="00B050"/>
          <w:rtl/>
        </w:rPr>
        <w:t>אמי</w:t>
      </w:r>
      <w:r w:rsidRPr="00EF4900">
        <w:rPr>
          <w:rStyle w:val="Style1Char"/>
          <w:color w:val="C00000"/>
          <w:rtl/>
        </w:rPr>
        <w:t xml:space="preserve"> </w:t>
      </w:r>
      <w:r w:rsidRPr="00F9005B">
        <w:rPr>
          <w:rStyle w:val="Style1Char"/>
          <w:color w:val="4472C4" w:themeColor="accent1"/>
          <w:rtl/>
        </w:rPr>
        <w:t xml:space="preserve">יוסף </w:t>
      </w:r>
      <w:r w:rsidRPr="00EF4900">
        <w:rPr>
          <w:rStyle w:val="Style1Char"/>
          <w:color w:val="C00000"/>
          <w:sz w:val="22"/>
          <w:szCs w:val="22"/>
          <w:rtl/>
        </w:rPr>
        <w:t>אסי</w:t>
      </w:r>
      <w:r w:rsidRPr="00884884">
        <w:rPr>
          <w:rStyle w:val="Style1Char"/>
          <w:color w:val="00B050"/>
          <w:rtl/>
        </w:rPr>
        <w:t xml:space="preserve">, </w:t>
      </w:r>
      <w:r w:rsidRPr="00AB2B48">
        <w:rPr>
          <w:rStyle w:val="Style1Char"/>
          <w:color w:val="auto"/>
          <w:sz w:val="22"/>
          <w:szCs w:val="22"/>
          <w:rtl/>
        </w:rPr>
        <w:t xml:space="preserve">אמר ליה: מאן שם לך? </w:t>
      </w:r>
      <w:r w:rsidR="004F3DDD">
        <w:rPr>
          <w:rStyle w:val="Style1Char"/>
          <w:rFonts w:hint="cs"/>
          <w:rtl/>
        </w:rPr>
        <w:t>(4)</w:t>
      </w:r>
      <w:r w:rsidRPr="00AB2B48">
        <w:rPr>
          <w:rStyle w:val="Style1Char"/>
          <w:color w:val="auto"/>
          <w:sz w:val="22"/>
          <w:szCs w:val="22"/>
          <w:rtl/>
        </w:rPr>
        <w:t>והלכתא: צריכה שבועה ואינה צריכה הכרזה</w:t>
      </w:r>
      <w:r w:rsidRPr="00EF4900">
        <w:rPr>
          <w:rStyle w:val="Style1Char"/>
          <w:sz w:val="22"/>
          <w:szCs w:val="22"/>
          <w:rtl/>
        </w:rPr>
        <w:t xml:space="preserve">. </w:t>
      </w:r>
    </w:p>
    <w:p w14:paraId="0BA4F146" w14:textId="77777777" w:rsidR="00B600B2" w:rsidRPr="00A522A9" w:rsidRDefault="00B600B2" w:rsidP="00B600B2">
      <w:pPr>
        <w:bidi/>
        <w:rPr>
          <w:rStyle w:val="Style1Char"/>
          <w:sz w:val="22"/>
          <w:szCs w:val="22"/>
        </w:rPr>
      </w:pPr>
      <w:r w:rsidRPr="00F9005B">
        <w:rPr>
          <w:rStyle w:val="Style1Char"/>
          <w:color w:val="4472C4" w:themeColor="accent1"/>
          <w:rtl/>
        </w:rPr>
        <w:t>ואף על גב דאמרינן (לעיל דף פז א) לכרגא ולמזוני ולקבורה מזבנינן בלא אכרזתא משמע הא לכל שאר מילי דאלמנה בעינן הכרזה ותנן נמי בערכין (דף כא ב) שום היתומים שלשים יום [אומר ר'] היינו כשב"ד מוכרין דאי טעו בפחות משתות מכרן קיים הלכך צריכין הכרזה שלא להפסיד היתומים אבל אלמנה דתנן אפי' מכרה שוה מנה ודינר במנה מכרה בטל ואין יכול לבא לידי הפסד ליתומים מוכרת שלא בהכרזה והאי טעמא ליתא דאם</w:t>
      </w:r>
      <w:r>
        <w:rPr>
          <w:rStyle w:val="Style1Char"/>
          <w:rFonts w:hint="cs"/>
          <w:color w:val="4472C4" w:themeColor="accent1"/>
        </w:rPr>
        <w:t>‍</w:t>
      </w:r>
      <w:r w:rsidRPr="00F9005B">
        <w:rPr>
          <w:rStyle w:val="Style1Char"/>
          <w:color w:val="4472C4" w:themeColor="accent1"/>
          <w:rtl/>
        </w:rPr>
        <w:t xml:space="preserve"> כן אפילו שליח ימכור שלא בהכרזה</w:t>
      </w:r>
      <w:r>
        <w:rPr>
          <w:rStyle w:val="Style1Char"/>
          <w:rFonts w:hint="cs"/>
          <w:color w:val="4472C4" w:themeColor="accent1"/>
        </w:rPr>
        <w:t>‍</w:t>
      </w:r>
      <w:r w:rsidRPr="00F9005B">
        <w:rPr>
          <w:rStyle w:val="Style1Char"/>
          <w:color w:val="4472C4" w:themeColor="accent1"/>
          <w:rtl/>
        </w:rPr>
        <w:t xml:space="preserve"> ופי' ה"ר יונה זכרונו לברכה שהקלו על האלמנה שתמכור שלא בהכרזה כמה שהקלו עליה למכור שלא בבית דין</w:t>
      </w:r>
      <w:r>
        <w:rPr>
          <w:rStyle w:val="Style1Char"/>
          <w:rFonts w:hint="cs"/>
          <w:color w:val="4472C4" w:themeColor="accent1"/>
        </w:rPr>
        <w:t>‍</w:t>
      </w:r>
      <w:r w:rsidRPr="00F9005B">
        <w:rPr>
          <w:rStyle w:val="Style1Char"/>
          <w:color w:val="4472C4" w:themeColor="accent1"/>
          <w:rtl/>
        </w:rPr>
        <w:t xml:space="preserve"> רב אלפס ז"ל כתב דאם מכרה האלמנה או נתנה במתנה מנכסי יתומים</w:t>
      </w:r>
      <w:r>
        <w:rPr>
          <w:rStyle w:val="Style1Char"/>
          <w:rFonts w:hint="cs"/>
          <w:color w:val="4472C4" w:themeColor="accent1"/>
        </w:rPr>
        <w:t>‍</w:t>
      </w:r>
      <w:r w:rsidRPr="00F9005B">
        <w:rPr>
          <w:rStyle w:val="Style1Char"/>
          <w:color w:val="4472C4" w:themeColor="accent1"/>
          <w:rtl/>
        </w:rPr>
        <w:t xml:space="preserve"> קודם שתשבע מה שעשתה עשוי והביא ראיה ממתניתין (דף צז א) דקתני אלמנה בין מן האירוסין בין מן הנשואין מוכרת שלא בבית דין ואמרינן עלה בגמרא</w:t>
      </w:r>
      <w:r>
        <w:rPr>
          <w:rStyle w:val="Style1Char"/>
          <w:rFonts w:hint="cs"/>
          <w:color w:val="4472C4" w:themeColor="accent1"/>
        </w:rPr>
        <w:t>‍</w:t>
      </w:r>
      <w:r w:rsidRPr="00F9005B">
        <w:rPr>
          <w:rStyle w:val="Style1Char"/>
          <w:color w:val="4472C4" w:themeColor="accent1"/>
          <w:rtl/>
        </w:rPr>
        <w:t xml:space="preserve"> בשלמא מן הנשואין משום מזוני. ומיירי בשלא נשבעה דאי נשבעה אין לה מזונות</w:t>
      </w:r>
      <w:r>
        <w:rPr>
          <w:rStyle w:val="Style1Char"/>
          <w:rFonts w:hint="cs"/>
          <w:color w:val="4472C4" w:themeColor="accent1"/>
        </w:rPr>
        <w:t>‍</w:t>
      </w:r>
      <w:r w:rsidRPr="00F9005B">
        <w:rPr>
          <w:rStyle w:val="Style1Char"/>
          <w:color w:val="4472C4" w:themeColor="accent1"/>
          <w:rtl/>
        </w:rPr>
        <w:t xml:space="preserve"> לפי שאינה נשבעת עד שתתבע כתובתה בבית דין ומשעה שתבעה כתובתה אין לה מזונות</w:t>
      </w:r>
      <w:r>
        <w:rPr>
          <w:rStyle w:val="Style1Char"/>
          <w:rFonts w:hint="cs"/>
          <w:color w:val="4472C4" w:themeColor="accent1"/>
        </w:rPr>
        <w:t>‍</w:t>
      </w:r>
      <w:r w:rsidRPr="00F9005B">
        <w:rPr>
          <w:rStyle w:val="Style1Char"/>
          <w:color w:val="4472C4" w:themeColor="accent1"/>
          <w:rtl/>
        </w:rPr>
        <w:t xml:space="preserve"> והא דקאמר הכא צריכה שבועה אחר המכירה קאמר דמשביעין אחר המכירה שבועת צררי וגם שלא זלזלה במכירה ולא מכרה יותר מן הצורך ואף על פי שהיו שם ב"ד הדיוטות בקיאין בשומא שמא לא דקדקו כולי האי דיושבי קרנות הן</w:t>
      </w:r>
      <w:r w:rsidRPr="00F9005B">
        <w:rPr>
          <w:rStyle w:val="Style1Char"/>
          <w:color w:val="4472C4" w:themeColor="accent1"/>
        </w:rPr>
        <w:t xml:space="preserve">: </w:t>
      </w:r>
    </w:p>
    <w:p w14:paraId="51C8C6AC" w14:textId="09B4674D" w:rsidR="00B600B2" w:rsidRPr="00F9005B" w:rsidRDefault="00B600B2" w:rsidP="00B600B2">
      <w:pPr>
        <w:bidi/>
        <w:rPr>
          <w:rStyle w:val="Style1Char"/>
          <w:color w:val="4472C4" w:themeColor="accent1"/>
        </w:rPr>
      </w:pPr>
      <w:r w:rsidRPr="005F38A8">
        <w:rPr>
          <w:rStyle w:val="Style1Char"/>
          <w:color w:val="auto"/>
          <w:sz w:val="22"/>
          <w:szCs w:val="22"/>
          <w:rtl/>
        </w:rPr>
        <w:t xml:space="preserve">מתני'. </w:t>
      </w:r>
      <w:r w:rsidR="004F3DDD">
        <w:rPr>
          <w:rStyle w:val="Style1Char"/>
          <w:rFonts w:hint="cs"/>
          <w:rtl/>
        </w:rPr>
        <w:t>(1, 5)</w:t>
      </w:r>
      <w:r w:rsidRPr="005F38A8">
        <w:rPr>
          <w:rStyle w:val="Style1Char"/>
          <w:color w:val="auto"/>
          <w:sz w:val="22"/>
          <w:szCs w:val="22"/>
          <w:rtl/>
        </w:rPr>
        <w:t xml:space="preserve">אלמנה שהיתה כתובתה מאתים, ומכרה שוה מנה במאתים או שוה מאתים במנה - נתקבלה כתובתה. </w:t>
      </w:r>
      <w:r w:rsidR="000F1DFC">
        <w:rPr>
          <w:rStyle w:val="Style1Char"/>
          <w:rFonts w:hint="cs"/>
          <w:rtl/>
        </w:rPr>
        <w:t>(1, 6)</w:t>
      </w:r>
      <w:r w:rsidRPr="005F38A8">
        <w:rPr>
          <w:rStyle w:val="Style1Char"/>
          <w:color w:val="auto"/>
          <w:sz w:val="22"/>
          <w:szCs w:val="22"/>
          <w:rtl/>
        </w:rPr>
        <w:t xml:space="preserve">היתה כתובתה מנה, ומכרה שוה מנה ודינר במנה - מכרה בטל, </w:t>
      </w:r>
      <w:r w:rsidRPr="008A7E6D">
        <w:rPr>
          <w:rStyle w:val="Style1Char"/>
          <w:sz w:val="22"/>
          <w:szCs w:val="22"/>
          <w:rtl/>
        </w:rPr>
        <w:t>אפילו היא אומרת אחזיר דינר ליורשין - מכרה בטל</w:t>
      </w:r>
      <w:r w:rsidRPr="005F38A8">
        <w:rPr>
          <w:rStyle w:val="Style1Char"/>
          <w:color w:val="auto"/>
          <w:sz w:val="22"/>
          <w:szCs w:val="22"/>
          <w:rtl/>
        </w:rPr>
        <w:t xml:space="preserve">; רשב"ג אומר: לעולם מכרה קיים, עד שתהא שם כדי שתשייר בשדה בת תשעה קבין, ובגנה בת חצי קב, וכדברי רבי עקיבא בית רובע. </w:t>
      </w:r>
      <w:r w:rsidR="000F1DFC">
        <w:rPr>
          <w:rStyle w:val="Style1Char"/>
          <w:rFonts w:hint="cs"/>
          <w:rtl/>
        </w:rPr>
        <w:t>(7)</w:t>
      </w:r>
      <w:r w:rsidRPr="005F38A8">
        <w:rPr>
          <w:rStyle w:val="Style1Char"/>
          <w:color w:val="auto"/>
          <w:sz w:val="22"/>
          <w:szCs w:val="22"/>
          <w:rtl/>
        </w:rPr>
        <w:t xml:space="preserve">היתה כתובתה ארבע מאות זוז, ומכרה לזה במנה ולזה במנה, ולאחרון יפה מנה ודינר במנה, של אחרון - בטל, ושל כולן - מכרן קיים. </w:t>
      </w:r>
      <w:r w:rsidRPr="00F9005B">
        <w:rPr>
          <w:rStyle w:val="Style1Char"/>
          <w:color w:val="4472C4" w:themeColor="accent1"/>
          <w:rtl/>
        </w:rPr>
        <w:t>דין בטול מקח דקרקעות כתבתי בפרק הזהב (סי' כא)</w:t>
      </w:r>
      <w:r w:rsidRPr="00F9005B">
        <w:rPr>
          <w:rStyle w:val="Style1Char"/>
          <w:color w:val="4472C4" w:themeColor="accent1"/>
        </w:rPr>
        <w:t xml:space="preserve">: </w:t>
      </w:r>
    </w:p>
    <w:p w14:paraId="1E7A8FD3" w14:textId="2A76208C" w:rsidR="00B600B2" w:rsidRDefault="00B600B2" w:rsidP="00B600B2">
      <w:pPr>
        <w:bidi/>
        <w:rPr>
          <w:rStyle w:val="Style1Char"/>
          <w:color w:val="auto"/>
          <w:sz w:val="22"/>
          <w:szCs w:val="22"/>
          <w:rtl/>
        </w:rPr>
      </w:pPr>
      <w:r w:rsidRPr="003F6084">
        <w:rPr>
          <w:rStyle w:val="Style1Char"/>
          <w:color w:val="auto"/>
          <w:sz w:val="22"/>
          <w:szCs w:val="22"/>
          <w:rtl/>
        </w:rPr>
        <w:t xml:space="preserve">גמ'. מאי שנא שוה מאתים במנה? דאמרי לה את אפסדת, שוה מנה במאתים נמי תימא אנא ארווחנא! אמר רב נחמן אמר רבה בר אבוה, </w:t>
      </w:r>
    </w:p>
    <w:p w14:paraId="10CB54EF" w14:textId="6E5C2742" w:rsidR="00CF0634" w:rsidRDefault="00CF0634" w:rsidP="00CF0634">
      <w:pPr>
        <w:pStyle w:val="Style1"/>
        <w:rPr>
          <w:rStyle w:val="Style1Char"/>
          <w:rtl/>
        </w:rPr>
      </w:pPr>
      <w:r>
        <w:rPr>
          <w:rStyle w:val="Style1Char"/>
          <w:rFonts w:hint="cs"/>
          <w:rtl/>
        </w:rPr>
        <w:t>1)[</w:t>
      </w:r>
      <w:r w:rsidRPr="00CF0634">
        <w:rPr>
          <w:rStyle w:val="Style1Char"/>
          <w:rtl/>
        </w:rPr>
        <w:t>רמב</w:t>
      </w:r>
      <w:r w:rsidR="00213DA1">
        <w:rPr>
          <w:rStyle w:val="Style1Char"/>
          <w:rtl/>
        </w:rPr>
        <w:t>”ם \קדושה\</w:t>
      </w:r>
      <w:r w:rsidRPr="00CF0634">
        <w:rPr>
          <w:rStyle w:val="Style1Char"/>
          <w:rtl/>
        </w:rPr>
        <w:t xml:space="preserve"> הלכות איסורי ביאה פרק יז הלכה יד</w:t>
      </w:r>
      <w:r>
        <w:rPr>
          <w:rStyle w:val="Style1Char"/>
          <w:rFonts w:hint="cs"/>
          <w:rtl/>
        </w:rPr>
        <w:t xml:space="preserve">] </w:t>
      </w:r>
      <w:r w:rsidRPr="00CF0634">
        <w:rPr>
          <w:rStyle w:val="Style1Char"/>
          <w:rtl/>
        </w:rPr>
        <w:t>כהן גדול לא ישא מוכת עץ אף על פי שלא נבעלה [נבעלה שלא כדרכה הרי זו כנבעלה כדרכה, נבעלה לבהמה ה"ז מותרת].</w:t>
      </w:r>
    </w:p>
    <w:p w14:paraId="1BB0652A" w14:textId="0DC25DF3" w:rsidR="00CF0634" w:rsidRDefault="00CF0634" w:rsidP="00CF0634">
      <w:pPr>
        <w:pStyle w:val="Style1"/>
        <w:rPr>
          <w:rStyle w:val="Style1Char"/>
          <w:rtl/>
        </w:rPr>
      </w:pPr>
      <w:r>
        <w:rPr>
          <w:rStyle w:val="Style1Char"/>
          <w:rFonts w:hint="cs"/>
          <w:rtl/>
        </w:rPr>
        <w:t>2)[</w:t>
      </w:r>
      <w:r w:rsidRPr="00CF0634">
        <w:rPr>
          <w:rStyle w:val="Style1Char"/>
          <w:rtl/>
        </w:rPr>
        <w:t>רמב</w:t>
      </w:r>
      <w:r w:rsidR="00213DA1">
        <w:rPr>
          <w:rStyle w:val="Style1Char"/>
          <w:rtl/>
        </w:rPr>
        <w:t>”ם \נשים\</w:t>
      </w:r>
      <w:r w:rsidRPr="00CF0634">
        <w:rPr>
          <w:rStyle w:val="Style1Char"/>
          <w:rtl/>
        </w:rPr>
        <w:t xml:space="preserve"> הלכות אישות פרק יז הלכה יד</w:t>
      </w:r>
      <w:r>
        <w:rPr>
          <w:rStyle w:val="Style1Char"/>
          <w:rFonts w:hint="cs"/>
          <w:rtl/>
        </w:rPr>
        <w:t xml:space="preserve">] </w:t>
      </w:r>
      <w:r w:rsidRPr="00CF0634">
        <w:rPr>
          <w:rStyle w:val="Style1Char"/>
          <w:rtl/>
        </w:rPr>
        <w:t>אלמנה שמכרה קרקע בכתובתה בינה לבין עצמה, אם מכרה שוה בשוה מכרה קיים ונשבעת שבועת אלמנה אחר שמכרה, והוא שמכרה לאחר אבל אם שמה לעצמה לא עשת כלום ואפילו הכריזה.</w:t>
      </w:r>
    </w:p>
    <w:p w14:paraId="5A8E8C4D" w14:textId="747F5833" w:rsidR="00CF0634" w:rsidRDefault="00CF0634" w:rsidP="00CF0634">
      <w:pPr>
        <w:pStyle w:val="Style1"/>
        <w:rPr>
          <w:rStyle w:val="Style1Char"/>
          <w:rtl/>
        </w:rPr>
      </w:pPr>
      <w:r>
        <w:rPr>
          <w:rStyle w:val="Style1Char"/>
          <w:rFonts w:hint="cs"/>
          <w:rtl/>
        </w:rPr>
        <w:t>2)[</w:t>
      </w:r>
      <w:r w:rsidRPr="00CF0634">
        <w:rPr>
          <w:rStyle w:val="Style1Char"/>
          <w:rtl/>
        </w:rPr>
        <w:t>רמב</w:t>
      </w:r>
      <w:r w:rsidR="00213DA1">
        <w:rPr>
          <w:rStyle w:val="Style1Char"/>
          <w:rtl/>
        </w:rPr>
        <w:t>”ם \נשים\</w:t>
      </w:r>
      <w:r w:rsidRPr="00CF0634">
        <w:rPr>
          <w:rStyle w:val="Style1Char"/>
          <w:rtl/>
        </w:rPr>
        <w:t xml:space="preserve"> הלכות אישות פרק יח הלכה כ</w:t>
      </w:r>
      <w:r>
        <w:rPr>
          <w:rStyle w:val="Style1Char"/>
          <w:rFonts w:hint="cs"/>
          <w:rtl/>
        </w:rPr>
        <w:t xml:space="preserve">] </w:t>
      </w:r>
      <w:r w:rsidRPr="00CF0634">
        <w:rPr>
          <w:rStyle w:val="Style1Char"/>
          <w:rtl/>
        </w:rPr>
        <w:t>אלמנה שבאת לבית דין לתבוע מזונות משביעין אותה בתחלה ומוכרין בלא הכרזה ונותנין לה מזונות, וכן יש לה למכור למזונות שלא בבית דין מומחין אלא בשלשה אנשים נאמנים בלא הכרזה, וכן אם מכרה למזונות בינה לבין עצמה שוה בשוה מכרה קיים, וכשיבאו היורשין להשביע אותה נשבעת.</w:t>
      </w:r>
    </w:p>
    <w:p w14:paraId="2B8ED8DB" w14:textId="3585771F" w:rsidR="00B600B2" w:rsidRDefault="00CF0634" w:rsidP="00CF0634">
      <w:pPr>
        <w:pStyle w:val="Style1"/>
        <w:rPr>
          <w:rtl/>
        </w:rPr>
      </w:pPr>
      <w:r>
        <w:rPr>
          <w:rStyle w:val="Style1Char"/>
          <w:rFonts w:hint="cs"/>
          <w:rtl/>
        </w:rPr>
        <w:t>2)[</w:t>
      </w:r>
      <w:r w:rsidRPr="00CF0634">
        <w:rPr>
          <w:rStyle w:val="Style1Char"/>
          <w:rtl/>
        </w:rPr>
        <w:t>שולחן ערוך אבן העזר הלכות כתובות סימן צג סעיף כז</w:t>
      </w:r>
      <w:r>
        <w:rPr>
          <w:rStyle w:val="Style1Char"/>
          <w:rFonts w:hint="cs"/>
          <w:rtl/>
        </w:rPr>
        <w:t>]</w:t>
      </w:r>
      <w:r w:rsidRPr="00CF0634">
        <w:rPr>
          <w:rFonts w:ascii="Arial" w:hAnsi="Arial"/>
          <w:color w:val="202122"/>
          <w:sz w:val="21"/>
          <w:szCs w:val="21"/>
          <w:shd w:val="clear" w:color="auto" w:fill="FFFFFF"/>
          <w:rtl/>
        </w:rPr>
        <w:t xml:space="preserve"> </w:t>
      </w:r>
      <w:r w:rsidRPr="00CF0634">
        <w:rPr>
          <w:rtl/>
        </w:rPr>
        <w:t>אם לקחה הקרקע לעצמה בסכום ידוע, אפילו הוא שוה בשוה, אינו כלום אפילו הכריזה, ואם נתיקר אחר כך צריכה להחזירו ליורשים, ואפילו לא נתיקר, אם ירצו יבטלו המקח</w:t>
      </w:r>
      <w:r w:rsidRPr="00CF0634">
        <w:t>:</w:t>
      </w:r>
    </w:p>
    <w:p w14:paraId="2DD24CFE" w14:textId="7C2F6992" w:rsidR="00711A5A" w:rsidRDefault="00711A5A" w:rsidP="00711A5A">
      <w:pPr>
        <w:pStyle w:val="Style1"/>
        <w:rPr>
          <w:rtl/>
        </w:rPr>
      </w:pPr>
      <w:r>
        <w:rPr>
          <w:rFonts w:hint="cs"/>
          <w:rtl/>
        </w:rPr>
        <w:t>2)[</w:t>
      </w:r>
      <w:r>
        <w:rPr>
          <w:rtl/>
        </w:rPr>
        <w:t>שולחן ערוך אבן העזר הלכות כתובות סימן קג סעיף ה</w:t>
      </w:r>
      <w:r>
        <w:rPr>
          <w:rFonts w:hint="cs"/>
          <w:rtl/>
        </w:rPr>
        <w:t xml:space="preserve">] </w:t>
      </w:r>
      <w:r w:rsidRPr="00711A5A">
        <w:rPr>
          <w:rtl/>
        </w:rPr>
        <w:t>אלמנה ששמה ולקחתו לעצמה, אינו כלום, אפילו הכריזו עליו, אלא אם כן היו בשומא בית דין הדיוטות. ויש אומרים שאינו כלום עד שיהיו שם בית דין מומחים</w:t>
      </w:r>
      <w:r w:rsidRPr="00711A5A">
        <w:t>:</w:t>
      </w:r>
    </w:p>
    <w:p w14:paraId="487C136F" w14:textId="0BF7D376" w:rsidR="00711A5A" w:rsidRDefault="00711A5A" w:rsidP="00711A5A">
      <w:pPr>
        <w:pStyle w:val="Style1"/>
        <w:rPr>
          <w:rtl/>
        </w:rPr>
      </w:pPr>
      <w:r>
        <w:rPr>
          <w:rFonts w:hint="cs"/>
          <w:rtl/>
        </w:rPr>
        <w:t>3)[</w:t>
      </w:r>
      <w:r>
        <w:rPr>
          <w:rtl/>
        </w:rPr>
        <w:t>שולחן ערוך אבן העזר הלכות כתובות סימן צג סעיף כה</w:t>
      </w:r>
      <w:r>
        <w:rPr>
          <w:rFonts w:hint="cs"/>
          <w:rtl/>
        </w:rPr>
        <w:t xml:space="preserve">] </w:t>
      </w:r>
      <w:r w:rsidRPr="00BF6572">
        <w:rPr>
          <w:rtl/>
        </w:rPr>
        <w:t>אלמנה שבאה לבית דין לתבוע מזונות, מוכרין בלא הכרזה ונותנין לה מזונות. וכן יש לה למכור למזונות שלא בבית דין מומחין, אלא בשלשה אנשים נאמנים בלא הכרזה. וכן אם מכרה בינה לבין עצמה שוה בשוה, מכרה קיים; ויש חולקין בזו</w:t>
      </w:r>
      <w:r w:rsidRPr="00BF6572">
        <w:t>:</w:t>
      </w:r>
    </w:p>
    <w:p w14:paraId="66CF334A" w14:textId="335A1251" w:rsidR="00711A5A" w:rsidRPr="00084933" w:rsidRDefault="00711A5A" w:rsidP="00711A5A">
      <w:pPr>
        <w:pStyle w:val="Style1"/>
      </w:pPr>
      <w:r>
        <w:rPr>
          <w:rFonts w:hint="cs"/>
          <w:rtl/>
        </w:rPr>
        <w:t>3)[</w:t>
      </w:r>
      <w:r>
        <w:rPr>
          <w:rtl/>
        </w:rPr>
        <w:t>שולחן ערוך אבן העזר הלכות כתובות סימן קג סעיף א</w:t>
      </w:r>
      <w:r>
        <w:rPr>
          <w:rFonts w:hint="cs"/>
          <w:rtl/>
        </w:rPr>
        <w:t xml:space="preserve">] </w:t>
      </w:r>
      <w:r w:rsidRPr="00084933">
        <w:rPr>
          <w:rtl/>
        </w:rPr>
        <w:t>אלמנה, בין מן הארוסין אם כתב לה כתובה, בין מן הנשואין, מוכרת מנכסי בעלה לגבות כתובתה שלא בבית דין ושלא בהכרזה, לא שנא אם מוכרת לגבות כל כתובתה ביחד, לא שנא אם מוכרת שלשה או ארבעה פעמים לגבות מעט מעט בכל פעם, מוכרת שלא בבית דין מומחים, אבל צריכה בית דין הדיוטות שלשה אנשים נאמנים בקיאים בשומת קרקע</w:t>
      </w:r>
      <w:r w:rsidRPr="00084933">
        <w:t>.</w:t>
      </w:r>
    </w:p>
    <w:p w14:paraId="35EF850F" w14:textId="77777777" w:rsidR="00711A5A" w:rsidRPr="00084933" w:rsidRDefault="00711A5A" w:rsidP="00711A5A">
      <w:pPr>
        <w:pStyle w:val="Style1"/>
      </w:pPr>
      <w:r w:rsidRPr="00084933">
        <w:rPr>
          <w:rFonts w:hint="cs"/>
          <w:rtl/>
        </w:rPr>
        <w:t>הגה: ודוקא עיקר הכתובה והתוספת, אבל אינה מוכרת שלא בבית דין לגבות נדוניתא, דאינו רק כחוב בעלמא (בית יוסף בשם הריטב"א פרק אלמנה נזונית)</w:t>
      </w:r>
      <w:r w:rsidRPr="00084933">
        <w:t>.</w:t>
      </w:r>
    </w:p>
    <w:p w14:paraId="40D06EDC" w14:textId="030FABEF" w:rsidR="00711A5A" w:rsidRDefault="00711A5A" w:rsidP="00711A5A">
      <w:pPr>
        <w:pStyle w:val="Style1"/>
        <w:rPr>
          <w:rtl/>
        </w:rPr>
      </w:pPr>
      <w:r w:rsidRPr="00084933">
        <w:rPr>
          <w:rtl/>
        </w:rPr>
        <w:lastRenderedPageBreak/>
        <w:t>אם מכרה בינה לבין עצמה שוה בשוה, מכרה קיים. ויש חולקים</w:t>
      </w:r>
      <w:r w:rsidRPr="00084933">
        <w:t>:</w:t>
      </w:r>
    </w:p>
    <w:p w14:paraId="0B43A421" w14:textId="21F531B9" w:rsidR="00711A5A" w:rsidRDefault="00711A5A" w:rsidP="00711A5A">
      <w:pPr>
        <w:pStyle w:val="Style1"/>
        <w:rPr>
          <w:rtl/>
        </w:rPr>
      </w:pPr>
      <w:r>
        <w:rPr>
          <w:rFonts w:hint="cs"/>
          <w:rtl/>
        </w:rPr>
        <w:t>4)[</w:t>
      </w:r>
      <w:r>
        <w:rPr>
          <w:rtl/>
        </w:rPr>
        <w:t>רמב</w:t>
      </w:r>
      <w:r w:rsidR="00213DA1">
        <w:rPr>
          <w:rtl/>
        </w:rPr>
        <w:t>”ם \נשים\</w:t>
      </w:r>
      <w:r>
        <w:rPr>
          <w:rtl/>
        </w:rPr>
        <w:t xml:space="preserve"> הלכות אישות פרק יח הלכה כ</w:t>
      </w:r>
      <w:r>
        <w:rPr>
          <w:rFonts w:hint="cs"/>
          <w:rtl/>
        </w:rPr>
        <w:t xml:space="preserve">] </w:t>
      </w:r>
      <w:r>
        <w:rPr>
          <w:rtl/>
        </w:rPr>
        <w:t>אלמנה שבאת לבית דין לתבוע מזונות משביעין אותה בתחלה ומוכרין בלא הכרזה ונותנין לה מזונות, וכן יש לה למכור למזונות שלא בבית דין מומחין אלא בשלשה אנשים נאמנים בלא הכרזה, וכן אם מכרה למזונות בינה לבין עצמה שוה בשוה מכרה קיים, וכשיבאו היורשין להשביע אותה נשבעת.</w:t>
      </w:r>
    </w:p>
    <w:p w14:paraId="24DCFCCC" w14:textId="395A3EB3" w:rsidR="004F3DDD" w:rsidRPr="00084933" w:rsidRDefault="004F3DDD" w:rsidP="004F3DDD">
      <w:pPr>
        <w:pStyle w:val="Style1"/>
      </w:pPr>
      <w:r>
        <w:rPr>
          <w:rFonts w:hint="cs"/>
          <w:rtl/>
        </w:rPr>
        <w:t>4)[</w:t>
      </w:r>
      <w:r>
        <w:rPr>
          <w:rtl/>
        </w:rPr>
        <w:t>שולחן ערוך אבן העזר הלכות כתובות סימן קג סעיף א</w:t>
      </w:r>
      <w:r>
        <w:rPr>
          <w:rFonts w:hint="cs"/>
          <w:rtl/>
        </w:rPr>
        <w:t xml:space="preserve">] </w:t>
      </w:r>
      <w:r w:rsidRPr="00084933">
        <w:rPr>
          <w:rtl/>
        </w:rPr>
        <w:t>אלמנה, בין מן הארוסין אם כתב לה כתובה, בין מן הנשואין, מוכרת מנכסי בעלה לגבות כתובתה שלא בבית דין ושלא בהכרזה, לא שנא אם מוכרת לגבות כל כתובתה ביחד, לא שנא אם מוכרת שלשה או ארבעה פעמים לגבות מעט מעט בכל פעם, מוכרת שלא בבית דין מומחים, אבל צריכה בית דין הדיוטות שלשה אנשים נאמנים בקיאים בשומת קרקע</w:t>
      </w:r>
      <w:r w:rsidRPr="00084933">
        <w:t>.</w:t>
      </w:r>
    </w:p>
    <w:p w14:paraId="4CDAEDAF" w14:textId="77777777" w:rsidR="004F3DDD" w:rsidRPr="00084933" w:rsidRDefault="004F3DDD" w:rsidP="004F3DDD">
      <w:pPr>
        <w:pStyle w:val="Style1"/>
      </w:pPr>
      <w:r w:rsidRPr="00084933">
        <w:rPr>
          <w:rFonts w:hint="cs"/>
          <w:rtl/>
        </w:rPr>
        <w:t>הגה: ודוקא עיקר הכתובה והתוספת, אבל אינה מוכרת שלא בבית דין לגבות נדוניתא, דאינו רק כחוב בעלמא (בית יוסף בשם הריטב"א פרק אלמנה נזונית)</w:t>
      </w:r>
      <w:r w:rsidRPr="00084933">
        <w:t>.</w:t>
      </w:r>
    </w:p>
    <w:p w14:paraId="05DD28AC" w14:textId="56243A82" w:rsidR="004F3DDD" w:rsidRDefault="004F3DDD" w:rsidP="004F3DDD">
      <w:pPr>
        <w:pStyle w:val="Style1"/>
        <w:rPr>
          <w:rtl/>
        </w:rPr>
      </w:pPr>
      <w:r w:rsidRPr="00084933">
        <w:rPr>
          <w:rtl/>
        </w:rPr>
        <w:t>אם מכרה בינה לבין עצמה שוה בשוה, מכרה קיים. ויש חולקים</w:t>
      </w:r>
      <w:r w:rsidRPr="00084933">
        <w:t>:</w:t>
      </w:r>
    </w:p>
    <w:p w14:paraId="432EF7BA" w14:textId="59DDC42F" w:rsidR="004F3DDD" w:rsidRDefault="004F3DDD" w:rsidP="004F3DDD">
      <w:pPr>
        <w:pStyle w:val="Style1"/>
        <w:rPr>
          <w:rtl/>
        </w:rPr>
      </w:pPr>
      <w:r>
        <w:rPr>
          <w:rFonts w:hint="cs"/>
          <w:rtl/>
        </w:rPr>
        <w:t>4)[</w:t>
      </w:r>
      <w:r>
        <w:rPr>
          <w:rtl/>
        </w:rPr>
        <w:t>שולחן ערוך אבן העזר הלכות כתובות סימן קג סעיף ד</w:t>
      </w:r>
      <w:r>
        <w:rPr>
          <w:rFonts w:hint="cs"/>
          <w:rtl/>
        </w:rPr>
        <w:t xml:space="preserve">] </w:t>
      </w:r>
      <w:r w:rsidRPr="004F3DDD">
        <w:rPr>
          <w:rtl/>
        </w:rPr>
        <w:t>אם בית דין מוכרים ונותנים לה, אינה נשבעת שלא זלזלה בנכסים</w:t>
      </w:r>
      <w:r w:rsidRPr="004F3DDD">
        <w:t>, </w:t>
      </w:r>
      <w:r w:rsidRPr="004F3DDD">
        <w:rPr>
          <w:rFonts w:hint="cs"/>
          <w:rtl/>
        </w:rPr>
        <w:t>אלא נשבעת שלא אתפסה צררי ושלא תפסה היא משלו (טור)</w:t>
      </w:r>
      <w:r w:rsidRPr="004F3DDD">
        <w:t xml:space="preserve">. </w:t>
      </w:r>
      <w:r w:rsidRPr="004F3DDD">
        <w:rPr>
          <w:rtl/>
        </w:rPr>
        <w:t>אבל אם היא בעצמה מוכרת, צריכה לכלול בשבועתה שלא זלזלה בנכסים</w:t>
      </w:r>
      <w:r w:rsidRPr="004F3DDD">
        <w:t>:</w:t>
      </w:r>
    </w:p>
    <w:p w14:paraId="2BBC27D3" w14:textId="7E8B4652" w:rsidR="004F3DDD" w:rsidRDefault="004F3DDD" w:rsidP="004F3DDD">
      <w:pPr>
        <w:pStyle w:val="Style1"/>
        <w:rPr>
          <w:rtl/>
        </w:rPr>
      </w:pPr>
      <w:r>
        <w:rPr>
          <w:rFonts w:hint="cs"/>
          <w:rtl/>
        </w:rPr>
        <w:t>5)[</w:t>
      </w:r>
      <w:r>
        <w:rPr>
          <w:rtl/>
        </w:rPr>
        <w:t>שולחן ערוך אבן העזר הלכות כתובות סימן קג סעיף ו</w:t>
      </w:r>
      <w:r>
        <w:rPr>
          <w:rFonts w:hint="cs"/>
          <w:rtl/>
        </w:rPr>
        <w:t xml:space="preserve">] </w:t>
      </w:r>
      <w:r>
        <w:rPr>
          <w:rtl/>
        </w:rPr>
        <w:t>אלמנה שהיתה כתובתה מאתים, ומכרה שוה מאה במאתים או שוה מאתים במאה, נתקבלה כתובתה.</w:t>
      </w:r>
    </w:p>
    <w:p w14:paraId="4273C43D" w14:textId="68EB9FC1" w:rsidR="004F3DDD" w:rsidRDefault="004F3DDD" w:rsidP="004F3DDD">
      <w:pPr>
        <w:pStyle w:val="Style1"/>
        <w:rPr>
          <w:rtl/>
        </w:rPr>
      </w:pPr>
      <w:r>
        <w:rPr>
          <w:rFonts w:hint="cs"/>
          <w:rtl/>
        </w:rPr>
        <w:t>6)[</w:t>
      </w:r>
      <w:r>
        <w:rPr>
          <w:rtl/>
        </w:rPr>
        <w:t>שולחן ערוך אבן העזר הלכות כתובות סימן קג סעיף ז</w:t>
      </w:r>
      <w:r>
        <w:rPr>
          <w:rFonts w:hint="cs"/>
          <w:rtl/>
        </w:rPr>
        <w:t>]</w:t>
      </w:r>
      <w:r w:rsidR="000F1DFC">
        <w:rPr>
          <w:rFonts w:hint="cs"/>
          <w:rtl/>
        </w:rPr>
        <w:t xml:space="preserve"> </w:t>
      </w:r>
      <w:r w:rsidR="000F1DFC" w:rsidRPr="000F1DFC">
        <w:rPr>
          <w:rtl/>
        </w:rPr>
        <w:t>היתה כתובתה מאה ומכרה שוה מאה ודינר במאה, מכרה בטל. ואפילו היא אומרת: אני אחזיר את הדינר ליורשים</w:t>
      </w:r>
      <w:r w:rsidR="000F1DFC" w:rsidRPr="000F1DFC">
        <w:t>:</w:t>
      </w:r>
    </w:p>
    <w:p w14:paraId="325CA474" w14:textId="38ED44F6" w:rsidR="000F1DFC" w:rsidRDefault="000F1DFC" w:rsidP="000F1DFC">
      <w:pPr>
        <w:pStyle w:val="Style1"/>
        <w:rPr>
          <w:rtl/>
        </w:rPr>
      </w:pPr>
      <w:r>
        <w:rPr>
          <w:rFonts w:hint="cs"/>
          <w:rtl/>
        </w:rPr>
        <w:t>7)[</w:t>
      </w:r>
      <w:r>
        <w:rPr>
          <w:rtl/>
        </w:rPr>
        <w:t>רמב</w:t>
      </w:r>
      <w:r w:rsidR="00213DA1">
        <w:rPr>
          <w:rtl/>
        </w:rPr>
        <w:t>”ם \נשים\</w:t>
      </w:r>
      <w:r>
        <w:rPr>
          <w:rtl/>
        </w:rPr>
        <w:t xml:space="preserve"> הלכות אישות פרק יז הלכה ו</w:t>
      </w:r>
      <w:r>
        <w:rPr>
          <w:rFonts w:hint="cs"/>
          <w:rtl/>
        </w:rPr>
        <w:t xml:space="preserve">] </w:t>
      </w:r>
      <w:r>
        <w:rPr>
          <w:rtl/>
        </w:rPr>
        <w:t>וכיון שתקנו הגאונים שתגבה האשה ובעל חוב מן המטלטלין והדבר ידוע שאין דין קדימה במטלטלין, אם לא הניח מטלטלין כדי ליתן לשניהם נותנין לבעל חוב כל חובו תחלה, ואם נשאר לאשה מה שתטול בכתובתה תטול ואם לאו תדחה.</w:t>
      </w:r>
    </w:p>
    <w:p w14:paraId="7F0DC322" w14:textId="6994F715" w:rsidR="000F1DFC" w:rsidRPr="000F1DFC" w:rsidRDefault="000F1DFC" w:rsidP="000F1DFC">
      <w:pPr>
        <w:pStyle w:val="Style1"/>
      </w:pPr>
      <w:r>
        <w:rPr>
          <w:rFonts w:hint="cs"/>
          <w:rtl/>
        </w:rPr>
        <w:t>8)[</w:t>
      </w:r>
      <w:r>
        <w:rPr>
          <w:rtl/>
        </w:rPr>
        <w:t>שולחן ערוך אבן העזר הלכות כתובות סימן קג סעיף ח</w:t>
      </w:r>
      <w:r>
        <w:rPr>
          <w:rFonts w:hint="cs"/>
          <w:rtl/>
        </w:rPr>
        <w:t xml:space="preserve">] </w:t>
      </w:r>
      <w:r w:rsidRPr="000F1DFC">
        <w:rPr>
          <w:rtl/>
        </w:rPr>
        <w:t>היתה כתובתה ארבע מאות זוז, ומכרה לזה מנה שוה בשוה, וכן לשני, וכן לשלישי, ומכרה לרביעי שוה מנה ודינר, במנה של רביעי בלבד מכרה בטל</w:t>
      </w:r>
      <w:r w:rsidRPr="000F1DFC">
        <w:t>:</w:t>
      </w:r>
    </w:p>
    <w:p w14:paraId="77DD9E04" w14:textId="0909C0C0" w:rsidR="000F1DFC" w:rsidRPr="000F1DFC" w:rsidRDefault="000F1DFC" w:rsidP="000F1DFC">
      <w:pPr>
        <w:pStyle w:val="Style1"/>
      </w:pPr>
    </w:p>
    <w:p w14:paraId="4015A46F" w14:textId="15516772" w:rsidR="004F3DDD" w:rsidRPr="004F3DDD" w:rsidRDefault="004F3DDD" w:rsidP="004F3DDD">
      <w:pPr>
        <w:pStyle w:val="Style1"/>
      </w:pPr>
    </w:p>
    <w:p w14:paraId="46E57321" w14:textId="3ADAA355" w:rsidR="004F3DDD" w:rsidRDefault="004F3DDD" w:rsidP="004F3DDD">
      <w:pPr>
        <w:pStyle w:val="Style1"/>
        <w:rPr>
          <w:rtl/>
        </w:rPr>
      </w:pPr>
    </w:p>
    <w:p w14:paraId="5C37A053" w14:textId="78191FA6" w:rsidR="00711A5A" w:rsidRPr="00711A5A" w:rsidRDefault="00711A5A" w:rsidP="00711A5A">
      <w:pPr>
        <w:pStyle w:val="Style1"/>
      </w:pPr>
    </w:p>
    <w:p w14:paraId="22221F47" w14:textId="15514ECA" w:rsidR="00B600B2" w:rsidRDefault="00B600B2" w:rsidP="00B600B2">
      <w:pPr>
        <w:bidi/>
        <w:rPr>
          <w:rStyle w:val="Style1Char"/>
          <w:color w:val="00B050"/>
          <w:rtl/>
        </w:rPr>
      </w:pPr>
    </w:p>
    <w:p w14:paraId="6B484F02" w14:textId="77777777" w:rsidR="00711A5A" w:rsidRPr="00C047ED" w:rsidRDefault="00711A5A" w:rsidP="00711A5A">
      <w:pPr>
        <w:bidi/>
        <w:rPr>
          <w:rStyle w:val="Style1Char"/>
          <w:color w:val="00B050"/>
        </w:rPr>
      </w:pPr>
    </w:p>
    <w:p w14:paraId="1216B8D8" w14:textId="77777777" w:rsidR="00B600B2" w:rsidRDefault="00B600B2" w:rsidP="00B600B2">
      <w:pPr>
        <w:rPr>
          <w:rStyle w:val="Style1Char"/>
          <w:color w:val="00B050"/>
          <w:rtl/>
        </w:rPr>
      </w:pPr>
      <w:r>
        <w:rPr>
          <w:rStyle w:val="Style1Char"/>
          <w:color w:val="00B050"/>
          <w:rtl/>
        </w:rPr>
        <w:br w:type="page"/>
      </w:r>
    </w:p>
    <w:p w14:paraId="0CBDE5FA" w14:textId="7405DDDD" w:rsidR="00B600B2" w:rsidRPr="00F9005B" w:rsidRDefault="00B600B2" w:rsidP="00B600B2">
      <w:pPr>
        <w:bidi/>
        <w:rPr>
          <w:rStyle w:val="Style1Char"/>
          <w:color w:val="4472C4" w:themeColor="accent1"/>
        </w:rPr>
      </w:pPr>
      <w:r w:rsidRPr="00471BFF">
        <w:rPr>
          <w:rStyle w:val="Style1Char"/>
          <w:color w:val="auto"/>
          <w:sz w:val="22"/>
          <w:szCs w:val="22"/>
          <w:highlight w:val="yellow"/>
          <w:rtl/>
        </w:rPr>
        <w:lastRenderedPageBreak/>
        <w:t>[דף צח עמוד ב]</w:t>
      </w:r>
      <w:r w:rsidRPr="00471BFF">
        <w:rPr>
          <w:rStyle w:val="Style1Char"/>
          <w:color w:val="auto"/>
          <w:sz w:val="22"/>
          <w:szCs w:val="22"/>
          <w:rtl/>
        </w:rPr>
        <w:t xml:space="preserve"> כאן שנה רבי: הכל לבעל המעות; כדתניא: הוסיפו לו אחת יתירה - הכל לשליח, דברי רבי יהודה, רבי יוסי אומר: חולקין; והתניא, רבי יוסי אומר: הכל לבעל המעות! אמר רמי בר חמא, לא קשיא: כאן בדבר שיש לו קצבה, כאן בדבר שאין לו קצבה. אמר רב פפא, </w:t>
      </w:r>
      <w:r w:rsidR="000F1DFC">
        <w:rPr>
          <w:rStyle w:val="Style1Char"/>
          <w:rFonts w:hint="cs"/>
          <w:rtl/>
        </w:rPr>
        <w:t>(1)</w:t>
      </w:r>
      <w:r w:rsidRPr="00471BFF">
        <w:rPr>
          <w:rStyle w:val="Style1Char"/>
          <w:color w:val="auto"/>
          <w:sz w:val="22"/>
          <w:szCs w:val="22"/>
          <w:rtl/>
        </w:rPr>
        <w:t>הלכתא: דבר שיש לו קצבה - חולקין, דבר שאין לו קצבה - הכל לבעל המעות</w:t>
      </w:r>
      <w:r w:rsidRPr="00471BFF">
        <w:rPr>
          <w:rStyle w:val="Style1Char"/>
          <w:color w:val="auto"/>
          <w:rtl/>
        </w:rPr>
        <w:t xml:space="preserve"> </w:t>
      </w:r>
      <w:r w:rsidRPr="00F9005B">
        <w:rPr>
          <w:rStyle w:val="Style1Char"/>
          <w:color w:val="4472C4" w:themeColor="accent1"/>
          <w:rtl/>
        </w:rPr>
        <w:t xml:space="preserve">ומתני' דבר שאין לו קצבה הוא </w:t>
      </w:r>
      <w:r w:rsidRPr="00342537">
        <w:rPr>
          <w:rStyle w:val="Style1Char"/>
          <w:color w:val="806000" w:themeColor="accent4" w:themeShade="80"/>
          <w:rtl/>
        </w:rPr>
        <w:t>פירוש דבר שיש לו קצבה כגון הפירות שנמכרין מנין ידוע או משקל ידוע או מדה ידוע בכך וכך אם נתן לו המוכר אותו הדבר הידוע והוסיף לו אחת יתירה חולקין ולמה חולקין השליח עם בעל הבית הואיל ובאתה לו לשליח הנאה ע"י בעל הבית חולק עמו</w:t>
      </w:r>
      <w:r w:rsidRPr="00342537">
        <w:rPr>
          <w:rStyle w:val="Style1Char"/>
          <w:color w:val="4472C4" w:themeColor="accent1"/>
          <w:rtl/>
        </w:rPr>
        <w:t xml:space="preserve"> </w:t>
      </w:r>
      <w:r w:rsidRPr="00F9005B">
        <w:rPr>
          <w:rStyle w:val="Style1Char"/>
          <w:color w:val="4472C4" w:themeColor="accent1"/>
          <w:rtl/>
        </w:rPr>
        <w:t>שאל ה"ר יעקב ישראל את ר"ת על ראובן ששלח את שמעון לקבל לו מעות מן העובד כוכבים והעובד כוכבים טעה ונתן לו יותר ולא נמצא העכו"ם להחזיר לו המותר. המותר למי והשיב שחולקין אותו ביניהם דמעות הוו כדבר שיש לו קצבה דאמרי' הוסיף לו אחת יתירה ר' יוסי אומר חולקין ומוקמינן לה בדבר שיש לו קצבה וטעמא דחולקין לפי שבעל המעות כיון שקבל קצבתו מה לו בטעותו של שליח אלא דאמרי' הואיל וע"י מעותיו של זה נשתכר יהיב ליה פלגא והוא הדין נמי גבי טעות חשבון אף על גב דאיכא טעמא אחרינא גבי חולקין כמו שפירש רש"י די"ל לשליח נתנם וי"ל לבעל המעות נתנם והאי טעמא לא שייך גבי טעות מכ"מ גם האי טעמא עיקר וכיון דמוחזק ידו על העליונה וחולקין ואפי' אם היה נותן לו שכר אין הבעלים מקפידים על הגבהת מציאה עם המלאכה דאילו מצא ארנקי בשוק מי לא זכה בו ושוב חזר בו ואמר דכל טעות בין על ידי מקח בין ע"י שטעה במנין</w:t>
      </w:r>
      <w:r>
        <w:rPr>
          <w:rStyle w:val="Style1Char"/>
          <w:rFonts w:hint="cs"/>
          <w:color w:val="4472C4" w:themeColor="accent1"/>
        </w:rPr>
        <w:t>‍</w:t>
      </w:r>
      <w:r w:rsidRPr="00F9005B">
        <w:rPr>
          <w:rStyle w:val="Style1Char"/>
          <w:color w:val="4472C4" w:themeColor="accent1"/>
          <w:rtl/>
        </w:rPr>
        <w:t xml:space="preserve"> הכל לבעל המעות כמתני' ולא דמי להוסיפו לו אחת דהתם ליכא טעות ור"י אומר דהכל לשליח שהרי אם גנב ואם גזל והטעה מה טיבו של בעל הבית בו ואפי' חולקין לא שייך למימר ולא דמי לשאר טעות דאמרי' הכל לבעל המעות דהתם הוא סבור שהמקח שוה יותר מן המעות שקבל ונתן הכל לבעל המעות על סמך זה אבל הכא טעות בעלמא הוא שהעובד כוכבים ידע הסך שהוא חייב לו והיתרון דבר בפני עצמו הוא כאילו גנב לו היתרון תדע שאם היה רוצה אומר טעית בחשבון ומחזיר לו המותר ותימה הוא לומר שלא היה יכול להחזיר לו וכן נראה עיקר</w:t>
      </w:r>
      <w:r w:rsidRPr="00F9005B">
        <w:rPr>
          <w:rStyle w:val="Style1Char"/>
          <w:color w:val="4472C4" w:themeColor="accent1"/>
        </w:rPr>
        <w:t>:</w:t>
      </w:r>
    </w:p>
    <w:p w14:paraId="6C2C6170" w14:textId="29844B7D" w:rsidR="00B600B2" w:rsidRDefault="00B600B2" w:rsidP="00B600B2">
      <w:pPr>
        <w:bidi/>
        <w:rPr>
          <w:rStyle w:val="Style1Char"/>
          <w:color w:val="00B050"/>
          <w:rtl/>
        </w:rPr>
      </w:pPr>
      <w:r w:rsidRPr="00342537">
        <w:rPr>
          <w:rStyle w:val="Style1Char"/>
          <w:color w:val="806000" w:themeColor="accent4" w:themeShade="80"/>
          <w:rtl/>
        </w:rPr>
        <w:t>:</w:t>
      </w:r>
      <w:r w:rsidRPr="008A36B8">
        <w:rPr>
          <w:rStyle w:val="Style1Char"/>
          <w:sz w:val="22"/>
          <w:szCs w:val="22"/>
          <w:rtl/>
        </w:rPr>
        <w:t>.</w:t>
      </w:r>
      <w:r w:rsidRPr="008A36B8">
        <w:rPr>
          <w:rStyle w:val="Style1Char"/>
          <w:rtl/>
        </w:rPr>
        <w:t xml:space="preserve"> </w:t>
      </w:r>
      <w:r w:rsidRPr="00884884">
        <w:rPr>
          <w:rStyle w:val="Style1Char"/>
          <w:color w:val="00B050"/>
          <w:rtl/>
        </w:rPr>
        <w:t xml:space="preserve">מאי קמ"ל? שינויא דשנינן שינויא הוא. </w:t>
      </w:r>
      <w:r w:rsidRPr="0047734C">
        <w:rPr>
          <w:rStyle w:val="Style1Char"/>
          <w:color w:val="auto"/>
          <w:sz w:val="22"/>
          <w:szCs w:val="22"/>
          <w:rtl/>
        </w:rPr>
        <w:t xml:space="preserve">איבעיא להו: אמר ליה </w:t>
      </w:r>
      <w:r w:rsidRPr="0047734C">
        <w:rPr>
          <w:rStyle w:val="Style1Char"/>
          <w:color w:val="806000" w:themeColor="accent4" w:themeShade="80"/>
          <w:sz w:val="22"/>
          <w:szCs w:val="22"/>
          <w:rtl/>
        </w:rPr>
        <w:t xml:space="preserve">לשלוחו </w:t>
      </w:r>
      <w:r w:rsidRPr="0047734C">
        <w:rPr>
          <w:rStyle w:val="Style1Char"/>
          <w:color w:val="4472C4" w:themeColor="accent1"/>
          <w:sz w:val="22"/>
          <w:szCs w:val="22"/>
          <w:rtl/>
        </w:rPr>
        <w:t xml:space="preserve">זיל </w:t>
      </w:r>
      <w:r w:rsidRPr="0047734C">
        <w:rPr>
          <w:rStyle w:val="Style1Char"/>
          <w:color w:val="auto"/>
          <w:sz w:val="22"/>
          <w:szCs w:val="22"/>
          <w:rtl/>
        </w:rPr>
        <w:t xml:space="preserve">זבין לי </w:t>
      </w:r>
      <w:r w:rsidRPr="0047734C">
        <w:rPr>
          <w:rStyle w:val="Style1Char"/>
          <w:color w:val="806000" w:themeColor="accent4" w:themeShade="80"/>
          <w:sz w:val="22"/>
          <w:szCs w:val="22"/>
          <w:rtl/>
        </w:rPr>
        <w:t xml:space="preserve">מארעא דידי </w:t>
      </w:r>
      <w:r w:rsidRPr="00F428F5">
        <w:rPr>
          <w:rStyle w:val="Style1Char"/>
          <w:color w:val="C00000"/>
          <w:sz w:val="22"/>
          <w:szCs w:val="22"/>
          <w:rtl/>
        </w:rPr>
        <w:t xml:space="preserve">בי </w:t>
      </w:r>
      <w:r w:rsidRPr="0047734C">
        <w:rPr>
          <w:rStyle w:val="Style1Char"/>
          <w:color w:val="auto"/>
          <w:sz w:val="22"/>
          <w:szCs w:val="22"/>
          <w:rtl/>
        </w:rPr>
        <w:t xml:space="preserve">ליתכא, ואזל וזבין ליה כורא, מאי? מוסיף על דבריו הוא, וליתכא מיהא קני, או דלמא מעביר על דבריו הוא, וליתכא נמי לא קני? </w:t>
      </w:r>
      <w:r w:rsidRPr="00884884">
        <w:rPr>
          <w:rStyle w:val="Style1Char"/>
          <w:color w:val="00B050"/>
          <w:rtl/>
        </w:rPr>
        <w:t xml:space="preserve">אמר רב יעקב מנהר פקוד משמיה דרבינא, ת"ש: </w:t>
      </w:r>
      <w:r w:rsidR="00583BEB">
        <w:rPr>
          <w:rStyle w:val="Style1Char"/>
          <w:rFonts w:hint="cs"/>
          <w:rtl/>
        </w:rPr>
        <w:t>(2)</w:t>
      </w:r>
      <w:r w:rsidRPr="00884884">
        <w:rPr>
          <w:rStyle w:val="Style1Char"/>
          <w:color w:val="00B050"/>
          <w:rtl/>
        </w:rPr>
        <w:t xml:space="preserve">אמר בעה"ב לשלוחו תן להן חתיכה לאורחין, והוא אומר טלו שתים, והן נטלו שלש - כולן מעלו; אי אמרת בשלמא מוסיף על דבריו הוי, משום הכי בעל הבית מעל, אלא אי אמרת מעביר על דבריו הוי, בעל הבית אמאי מעל? והתנן: </w:t>
      </w:r>
      <w:r w:rsidR="002570CA">
        <w:rPr>
          <w:rStyle w:val="Style1Char"/>
          <w:rFonts w:hint="cs"/>
          <w:rtl/>
        </w:rPr>
        <w:t>(2)</w:t>
      </w:r>
      <w:r w:rsidRPr="00884884">
        <w:rPr>
          <w:rStyle w:val="Style1Char"/>
          <w:color w:val="00B050"/>
          <w:rtl/>
        </w:rPr>
        <w:t xml:space="preserve">השליח שעשה שליחותו - בעל הבית מעל, לא עשה שליחותו - שליח מעל! הכא במאי עסקינן - </w:t>
      </w:r>
      <w:r w:rsidR="002570CA">
        <w:rPr>
          <w:rStyle w:val="Style1Char"/>
          <w:rFonts w:hint="cs"/>
          <w:rtl/>
        </w:rPr>
        <w:t>(2)</w:t>
      </w:r>
      <w:r w:rsidRPr="00884884">
        <w:rPr>
          <w:rStyle w:val="Style1Char"/>
          <w:color w:val="00B050"/>
          <w:rtl/>
        </w:rPr>
        <w:t xml:space="preserve">דאמר להו טלו אחת מדעתו של בעל הבית ואחת מדעתי, ושקלו אינהו תלת. ת"ש: היתה כתובתה מנה, ומכרה שוה מנה ודינר במנה - מכרה בטל; מאי לאו דזבין שוה מנה ודינר במנה ודינר, ומאי במנה? מנה שלה, ומאי אפי'? אפי' היא אומרת אחזיר את הדינר ליורשים בדינר מקרקעי, וקתני: מכרה בטל! אמר רב הונא בריה דרב נתן: לא, בדאוזיל. </w:t>
      </w:r>
    </w:p>
    <w:p w14:paraId="7B54C731" w14:textId="65C0A236" w:rsidR="000F1DFC" w:rsidRDefault="000F1DFC" w:rsidP="000F1DFC">
      <w:pPr>
        <w:pStyle w:val="Style1"/>
        <w:rPr>
          <w:rStyle w:val="Style1Char"/>
          <w:rtl/>
        </w:rPr>
      </w:pPr>
      <w:r>
        <w:rPr>
          <w:rStyle w:val="Style1Char"/>
          <w:rFonts w:hint="cs"/>
          <w:rtl/>
        </w:rPr>
        <w:t>1)[</w:t>
      </w:r>
      <w:r w:rsidRPr="000F1DFC">
        <w:rPr>
          <w:rStyle w:val="Style1Char"/>
          <w:rtl/>
        </w:rPr>
        <w:t>רמב</w:t>
      </w:r>
      <w:r w:rsidR="00736FB6">
        <w:rPr>
          <w:rStyle w:val="Style1Char"/>
          <w:rtl/>
        </w:rPr>
        <w:t>”ם \קניין\</w:t>
      </w:r>
      <w:r w:rsidRPr="000F1DFC">
        <w:rPr>
          <w:rStyle w:val="Style1Char"/>
          <w:rtl/>
        </w:rPr>
        <w:t xml:space="preserve"> הלכות שלוחין ושותפין פרק א הלכה ה</w:t>
      </w:r>
      <w:r>
        <w:rPr>
          <w:rStyle w:val="Style1Char"/>
          <w:rFonts w:hint="cs"/>
          <w:rtl/>
        </w:rPr>
        <w:t xml:space="preserve">] </w:t>
      </w:r>
      <w:r w:rsidRPr="000F1DFC">
        <w:rPr>
          <w:rStyle w:val="Style1Char"/>
          <w:rtl/>
        </w:rPr>
        <w:t>הנותן מעות לשלוחו ליקח בהם חטים או מין ממיני סחורה ולא לקח אין לו עליו אלא תרעומת, נתן לו מעות ליקח בהן חטים בין לאכילה בין לסחורה והלך ולקח בהן שעורים אם פחתו דמי זה שלקח פחתו לשליח מפני שהוא משנה ואם הוסיפו דמיהן הוסיפו לבעל המעות, היה השער קצוב וידוע והוסיפו לשליח במניין או במשקל או במדה כל שהוסיפו לו המוכרים הרי הוא של שניהם וחולק התוספת השליח עם בעל המעות, ואם היה הדבר שאין לו קצבה הכל לבעל המעות.</w:t>
      </w:r>
    </w:p>
    <w:p w14:paraId="7131BC75" w14:textId="3F06270A" w:rsidR="0069740D" w:rsidRPr="0069740D" w:rsidRDefault="0069740D" w:rsidP="0069740D">
      <w:pPr>
        <w:pStyle w:val="Style1"/>
      </w:pPr>
      <w:r>
        <w:rPr>
          <w:rStyle w:val="Style1Char"/>
          <w:rFonts w:hint="cs"/>
          <w:rtl/>
        </w:rPr>
        <w:t>1)[</w:t>
      </w:r>
      <w:r w:rsidRPr="0069740D">
        <w:rPr>
          <w:rStyle w:val="Style1Char"/>
          <w:rtl/>
        </w:rPr>
        <w:t>שולחן ערוך חושן משפט הלכות שלוחין סימן קפג סעיף ו</w:t>
      </w:r>
      <w:r>
        <w:rPr>
          <w:rStyle w:val="Style1Char"/>
          <w:rFonts w:hint="cs"/>
          <w:rtl/>
        </w:rPr>
        <w:t>]</w:t>
      </w:r>
      <w:r w:rsidRPr="0069740D">
        <w:rPr>
          <w:rtl/>
        </w:rPr>
        <w:t xml:space="preserve"> היה השער קצוב וידוע והוסיפו לשליח במנין או במשקל או במדה כל שהוסיפו לו המוכרים הרי הוא של שניהם וחולק התוספת השליח עם בעל המעות ואם היה דבר שאין לו קצבה הכל לבעל המעות</w:t>
      </w:r>
    </w:p>
    <w:p w14:paraId="1C17B996" w14:textId="38AB90F3" w:rsidR="0069740D" w:rsidRDefault="0069740D" w:rsidP="0069740D">
      <w:pPr>
        <w:pStyle w:val="Style1"/>
        <w:rPr>
          <w:rtl/>
        </w:rPr>
      </w:pPr>
      <w:r w:rsidRPr="0069740D">
        <w:rPr>
          <w:rFonts w:hint="cs"/>
          <w:rtl/>
        </w:rPr>
        <w:t>מיהו אם אמר המוכר בפירוש שנותן לשליח הכל של שליח (ר"ן פ' אלמנה ניזונית ותשובת רמב"ן סי' ס</w:t>
      </w:r>
      <w:r w:rsidRPr="0069740D">
        <w:rPr>
          <w:rFonts w:hint="cs"/>
        </w:rPr>
        <w:t>'</w:t>
      </w:r>
      <w:r w:rsidRPr="0069740D">
        <w:t>):</w:t>
      </w:r>
    </w:p>
    <w:p w14:paraId="28E47BB1" w14:textId="245D3FBA" w:rsidR="0069740D" w:rsidRPr="0069740D" w:rsidRDefault="0069740D" w:rsidP="0069740D">
      <w:pPr>
        <w:pStyle w:val="Style1"/>
      </w:pPr>
      <w:r>
        <w:rPr>
          <w:rFonts w:hint="cs"/>
          <w:rtl/>
        </w:rPr>
        <w:t>2)[</w:t>
      </w:r>
      <w:r>
        <w:rPr>
          <w:rtl/>
        </w:rPr>
        <w:t>רמב</w:t>
      </w:r>
      <w:r w:rsidR="00736FB6">
        <w:rPr>
          <w:rtl/>
        </w:rPr>
        <w:t>”ם \עבודה\</w:t>
      </w:r>
      <w:r>
        <w:rPr>
          <w:rtl/>
        </w:rPr>
        <w:t xml:space="preserve"> הלכות מעילה פרק ז הלכה א</w:t>
      </w:r>
      <w:r>
        <w:rPr>
          <w:rFonts w:hint="cs"/>
          <w:rtl/>
        </w:rPr>
        <w:t xml:space="preserve">] </w:t>
      </w:r>
      <w:r>
        <w:rPr>
          <w:rtl/>
        </w:rPr>
        <w:t>מי ששגג ולקח הקדש או מעות הקדש ונתנו לשליח להוציאו בתורת חולין, אם עשה השליח שליחותו המשלח הוא שמעל, ואם לא עשה שליחותו אלא עשה השליח מדעת עצמו השליח הוא שמעל, כיצד בעל הבית שאמר לשלוחו תן (לי) מאותו בשר לאורחין הלך ונתן להן ככר, או שאמר לו תן להן ככר ונתן להן בשר, אמר לשלוחו הבא לי מן החלון והביא לו מן המגדל, או שאמר לו הבא מן המגדל והביא לו מן החלון, השליח מעל, וכן כל כיוצא בזה, הלך השליח והביא מן החלון כמו שאמר לו אף על פי שאמר השולח לא היה בלבי שיביא אלא מן המגדל בעל הבית מעל, שהרי עשה שליחות מאמרו ודברים שבלב אינן דברים, ואפילו היה השליח חרש או שוטה או קטן שאין להן שליחות אם עשה כמאמרו בעל הבית מעל ואם לא עשה שליחותו בעל הבית פטור, אמר לשלוחו תן לאורחין חתיכה חתיכה של בשר הלך השליח ואמר להן טולו שתים שתים, בעל הבית מעל שהרי נעשה דברו והשליח פטור מפני שהוא מוסיף על שליחות בעל הבית ולא עקר השליחות, אבל אם אמר להם השליח טולו שתים שתים מדעתי שניהן מעלו, נטלו האורחים שלש שלש אף האורחין מעלו מפני שכל אחד מהן עשה שליחות חבירו והוסיף מדעתו, נמצא חבירו חייב לפי שנעשו דבריו ולא נעקרה השליחות והוא חייב על זה שהוסיף מדעתו.</w:t>
      </w:r>
    </w:p>
    <w:p w14:paraId="7DA2F9AC" w14:textId="55376451" w:rsidR="00B600B2" w:rsidRPr="0069740D" w:rsidRDefault="00B600B2" w:rsidP="0069740D">
      <w:pPr>
        <w:pStyle w:val="Style1"/>
        <w:rPr>
          <w:rStyle w:val="Style1Char"/>
          <w:color w:val="00B050"/>
        </w:rPr>
      </w:pPr>
    </w:p>
    <w:p w14:paraId="70514294" w14:textId="77777777" w:rsidR="00B600B2" w:rsidRPr="00471BFF" w:rsidRDefault="00B600B2" w:rsidP="00B600B2">
      <w:pPr>
        <w:bidi/>
        <w:rPr>
          <w:rStyle w:val="Style1Char"/>
          <w:color w:val="00B050"/>
        </w:rPr>
      </w:pPr>
    </w:p>
    <w:p w14:paraId="787414C8" w14:textId="77777777" w:rsidR="00B600B2" w:rsidRPr="008A36B8" w:rsidRDefault="00B600B2" w:rsidP="00B600B2">
      <w:pPr>
        <w:bidi/>
        <w:rPr>
          <w:rStyle w:val="Style1Char"/>
          <w:color w:val="00B050"/>
          <w:rtl/>
        </w:rPr>
      </w:pPr>
    </w:p>
    <w:p w14:paraId="184E47F3" w14:textId="77777777" w:rsidR="00B600B2" w:rsidRDefault="00B600B2" w:rsidP="00B600B2">
      <w:pPr>
        <w:rPr>
          <w:rStyle w:val="Style1Char"/>
          <w:color w:val="00B050"/>
          <w:rtl/>
        </w:rPr>
      </w:pPr>
      <w:r>
        <w:rPr>
          <w:rStyle w:val="Style1Char"/>
          <w:color w:val="00B050"/>
          <w:rtl/>
        </w:rPr>
        <w:br w:type="page"/>
      </w:r>
    </w:p>
    <w:p w14:paraId="0E2B0288" w14:textId="7511295C" w:rsidR="00B600B2" w:rsidRDefault="00B600B2" w:rsidP="00B600B2">
      <w:pPr>
        <w:bidi/>
        <w:rPr>
          <w:rStyle w:val="Style1Char"/>
          <w:color w:val="00B050"/>
          <w:rtl/>
        </w:rPr>
      </w:pPr>
      <w:r w:rsidRPr="00884884">
        <w:rPr>
          <w:rStyle w:val="Style1Char"/>
          <w:color w:val="00B050"/>
          <w:sz w:val="22"/>
          <w:szCs w:val="22"/>
          <w:highlight w:val="yellow"/>
          <w:rtl/>
        </w:rPr>
        <w:lastRenderedPageBreak/>
        <w:t>[דף צט עמוד א]</w:t>
      </w:r>
      <w:r w:rsidRPr="00884884">
        <w:rPr>
          <w:rStyle w:val="Style1Char"/>
          <w:color w:val="00B050"/>
          <w:sz w:val="22"/>
          <w:szCs w:val="22"/>
          <w:rtl/>
        </w:rPr>
        <w:t xml:space="preserve"> </w:t>
      </w:r>
      <w:r w:rsidRPr="00884884">
        <w:rPr>
          <w:rStyle w:val="Style1Char"/>
          <w:color w:val="00B050"/>
          <w:rtl/>
        </w:rPr>
        <w:t xml:space="preserve">הא מדסיפא בדאוזיל, הוי רישא בדלא אוזיל! דקתני סיפא: היתה כתובתה ארבע מאות זוז, מכרה לזה במנה ולזה במנה, ולאחרון יפה מנה ודינר במנה, של אחרון - מכרה בטל, ושל כולן - מכרן קיים! לא, רישא וסיפא בדאוזיל, וסיפא הא קא משמע לן, טעמא דאוזיל בדיתמי, אבל בדידה - מכרה קיים. הא מדרישא שמעת מינה: היתה כתובתה מאתים, ומכרה שוה מנה במאתים או שוה מאתים במנה - נתקבלה כתובתה! מהו דתימא, התם הוא דאיסתלקא לה מהאי ביתא לגמרי, אבל הכא ניגזור מנה ראשון אטו מנה אחרון, קא משמע לן. </w:t>
      </w:r>
      <w:r w:rsidRPr="00690590">
        <w:rPr>
          <w:rStyle w:val="Style1Char"/>
          <w:color w:val="auto"/>
          <w:sz w:val="22"/>
          <w:szCs w:val="22"/>
          <w:rtl/>
        </w:rPr>
        <w:t>ואיכא דאמרי: הא לא תיבעי לך</w:t>
      </w:r>
      <w:r w:rsidRPr="00690590">
        <w:rPr>
          <w:rStyle w:val="Style1Char"/>
          <w:color w:val="auto"/>
          <w:rtl/>
        </w:rPr>
        <w:t>,</w:t>
      </w:r>
      <w:r w:rsidRPr="00884884">
        <w:rPr>
          <w:rStyle w:val="Style1Char"/>
          <w:color w:val="00B050"/>
          <w:rtl/>
        </w:rPr>
        <w:t xml:space="preserve"> </w:t>
      </w:r>
      <w:r w:rsidR="002570CA">
        <w:rPr>
          <w:rStyle w:val="Style1Char"/>
          <w:rFonts w:hint="cs"/>
          <w:rtl/>
        </w:rPr>
        <w:t>(1)</w:t>
      </w:r>
      <w:r w:rsidRPr="00884884">
        <w:rPr>
          <w:rStyle w:val="Style1Char"/>
          <w:color w:val="00B050"/>
          <w:rtl/>
        </w:rPr>
        <w:t xml:space="preserve">היכא דאמר ליה זיל זבין לי ליתכא, וזבין ליה כורא - </w:t>
      </w:r>
      <w:r w:rsidRPr="00F428F5">
        <w:rPr>
          <w:rStyle w:val="Style1Char"/>
          <w:sz w:val="22"/>
          <w:szCs w:val="22"/>
          <w:rtl/>
        </w:rPr>
        <w:t>דודאי מוסיף על דבריו הוי</w:t>
      </w:r>
      <w:r w:rsidRPr="00FD4430">
        <w:rPr>
          <w:rStyle w:val="Style1Char"/>
          <w:color w:val="4472C4" w:themeColor="accent1"/>
          <w:rtl/>
        </w:rPr>
        <w:t xml:space="preserve"> </w:t>
      </w:r>
      <w:r w:rsidRPr="00FD4430">
        <w:rPr>
          <w:rStyle w:val="Style1Char"/>
          <w:color w:val="4472C4" w:themeColor="accent1"/>
          <w:sz w:val="22"/>
          <w:szCs w:val="22"/>
          <w:rtl/>
        </w:rPr>
        <w:t>דודאי ליתכא מיהא קני</w:t>
      </w:r>
      <w:r w:rsidRPr="00FD4430">
        <w:rPr>
          <w:rStyle w:val="Style1Char"/>
          <w:rFonts w:hint="cs"/>
          <w:color w:val="4472C4" w:themeColor="accent1"/>
          <w:sz w:val="22"/>
          <w:szCs w:val="22"/>
        </w:rPr>
        <w:t>‍</w:t>
      </w:r>
      <w:r w:rsidRPr="00FD4430">
        <w:rPr>
          <w:rStyle w:val="Style1Char"/>
          <w:color w:val="4472C4" w:themeColor="accent1"/>
          <w:sz w:val="22"/>
          <w:szCs w:val="22"/>
          <w:rtl/>
        </w:rPr>
        <w:t xml:space="preserve"> אם ירצה הלוקח אבל לוקח אי בעי מצי אמר אין אני רוצה לקנות אלא כור ביחד</w:t>
      </w:r>
      <w:r w:rsidRPr="00F428F5">
        <w:rPr>
          <w:rStyle w:val="Style1Char"/>
          <w:sz w:val="22"/>
          <w:szCs w:val="22"/>
          <w:rtl/>
        </w:rPr>
        <w:t xml:space="preserve">, </w:t>
      </w:r>
      <w:r w:rsidRPr="00FD4430">
        <w:rPr>
          <w:rStyle w:val="Style1Char"/>
          <w:color w:val="auto"/>
          <w:sz w:val="22"/>
          <w:szCs w:val="22"/>
          <w:rtl/>
        </w:rPr>
        <w:t xml:space="preserve">כי תיבעי לך - דאמר ליה </w:t>
      </w:r>
      <w:r w:rsidRPr="00F428F5">
        <w:rPr>
          <w:rStyle w:val="Style1Char"/>
          <w:sz w:val="22"/>
          <w:szCs w:val="22"/>
          <w:rtl/>
        </w:rPr>
        <w:t xml:space="preserve">זיל </w:t>
      </w:r>
      <w:r w:rsidRPr="00FD4430">
        <w:rPr>
          <w:rStyle w:val="Style1Char"/>
          <w:color w:val="auto"/>
          <w:sz w:val="22"/>
          <w:szCs w:val="22"/>
          <w:rtl/>
        </w:rPr>
        <w:t>זבין</w:t>
      </w:r>
      <w:r w:rsidRPr="00F428F5">
        <w:rPr>
          <w:rStyle w:val="Style1Char"/>
          <w:sz w:val="22"/>
          <w:szCs w:val="22"/>
          <w:rtl/>
        </w:rPr>
        <w:t xml:space="preserve"> לי </w:t>
      </w:r>
      <w:r w:rsidRPr="00FD4430">
        <w:rPr>
          <w:rStyle w:val="Style1Char"/>
          <w:color w:val="auto"/>
          <w:sz w:val="22"/>
          <w:szCs w:val="22"/>
          <w:rtl/>
        </w:rPr>
        <w:t>כורא</w:t>
      </w:r>
      <w:r w:rsidRPr="00F428F5">
        <w:rPr>
          <w:rStyle w:val="Style1Char"/>
          <w:sz w:val="22"/>
          <w:szCs w:val="22"/>
          <w:rtl/>
        </w:rPr>
        <w:t xml:space="preserve">, ואזיל </w:t>
      </w:r>
      <w:r w:rsidRPr="00FD4430">
        <w:rPr>
          <w:rStyle w:val="Style1Char"/>
          <w:color w:val="auto"/>
          <w:sz w:val="22"/>
          <w:szCs w:val="22"/>
          <w:rtl/>
        </w:rPr>
        <w:t xml:space="preserve">וזבין </w:t>
      </w:r>
      <w:r w:rsidRPr="00F428F5">
        <w:rPr>
          <w:rStyle w:val="Style1Char"/>
          <w:sz w:val="22"/>
          <w:szCs w:val="22"/>
          <w:rtl/>
        </w:rPr>
        <w:t xml:space="preserve">ליה </w:t>
      </w:r>
      <w:r w:rsidRPr="00FD4430">
        <w:rPr>
          <w:rStyle w:val="Style1Char"/>
          <w:color w:val="auto"/>
          <w:sz w:val="22"/>
          <w:szCs w:val="22"/>
          <w:rtl/>
        </w:rPr>
        <w:t>ליתכא</w:t>
      </w:r>
      <w:r w:rsidRPr="00F428F5">
        <w:rPr>
          <w:rStyle w:val="Style1Char"/>
          <w:sz w:val="22"/>
          <w:szCs w:val="22"/>
          <w:rtl/>
        </w:rPr>
        <w:t xml:space="preserve">, מאי? </w:t>
      </w:r>
      <w:r w:rsidRPr="00FD4430">
        <w:rPr>
          <w:rStyle w:val="Style1Char"/>
          <w:color w:val="auto"/>
          <w:sz w:val="22"/>
          <w:szCs w:val="22"/>
          <w:rtl/>
        </w:rPr>
        <w:t>מי אמרינן, א"ל: דטבא לך עבדי לך</w:t>
      </w:r>
      <w:r w:rsidRPr="00F428F5">
        <w:rPr>
          <w:rStyle w:val="Style1Char"/>
          <w:sz w:val="22"/>
          <w:szCs w:val="22"/>
          <w:rtl/>
        </w:rPr>
        <w:t xml:space="preserve">, </w:t>
      </w:r>
      <w:r w:rsidRPr="00884884">
        <w:rPr>
          <w:rStyle w:val="Style1Char"/>
          <w:color w:val="00B050"/>
          <w:rtl/>
        </w:rPr>
        <w:t xml:space="preserve">דאי לא מצטרכי לך זוזי לא מצית הדרת ביה, </w:t>
      </w:r>
      <w:r w:rsidRPr="00FD4430">
        <w:rPr>
          <w:rStyle w:val="Style1Char"/>
          <w:color w:val="auto"/>
          <w:sz w:val="22"/>
          <w:szCs w:val="22"/>
          <w:rtl/>
        </w:rPr>
        <w:t xml:space="preserve">או דלמא </w:t>
      </w:r>
      <w:r w:rsidR="00604234">
        <w:rPr>
          <w:rStyle w:val="Style1Char"/>
          <w:rFonts w:hint="cs"/>
          <w:rtl/>
        </w:rPr>
        <w:t>(1.1, 2)</w:t>
      </w:r>
      <w:r w:rsidRPr="00FD4430">
        <w:rPr>
          <w:rStyle w:val="Style1Char"/>
          <w:color w:val="auto"/>
          <w:sz w:val="22"/>
          <w:szCs w:val="22"/>
          <w:rtl/>
        </w:rPr>
        <w:t xml:space="preserve">אמר ליה: לא ניחא לי דליפשו שטרי עילואי? </w:t>
      </w:r>
      <w:r w:rsidRPr="00F9005B">
        <w:rPr>
          <w:rStyle w:val="Style1Char"/>
          <w:color w:val="4472C4" w:themeColor="accent1"/>
          <w:rtl/>
        </w:rPr>
        <w:t xml:space="preserve">וה"ה דמבעיא ליה אם מכר כור לשנים אף על גב דלא שייך למימר הכא דטבא לך עבדי לך דעיקר הטעם תלוי במאי דאמר ליה לא ניחא לי דליפשו שטרי עלואי דאית ליה ריעותא למשלח אבל לא בעינן דליהוי טיבותא למשלח תדע דמייתי ראיה מהביא לו בשלש חלוק ובשלש טלית והתם לא שייך למימר דטבא לך עבדי לך שהרי הוציא כל הדינר וגם מדקרי ליה מוסיף על דבריו מכלל דהוסיף על דבריו ומכרו לשני בני אדם דאם לא מכר אלא לתך מאי שייך למימר מוסיף על דבריו </w:t>
      </w:r>
      <w:r w:rsidRPr="003F2191">
        <w:rPr>
          <w:rStyle w:val="Style1Char"/>
          <w:color w:val="806000" w:themeColor="accent4" w:themeShade="80"/>
          <w:sz w:val="22"/>
          <w:szCs w:val="22"/>
          <w:rtl/>
        </w:rPr>
        <w:t xml:space="preserve">ולא אפשיטא בהדיא וסוגייא דמעביר על דבריו הוי </w:t>
      </w:r>
      <w:r w:rsidRPr="00F9005B">
        <w:rPr>
          <w:rStyle w:val="Style1Char"/>
          <w:color w:val="4472C4" w:themeColor="accent1"/>
          <w:rtl/>
        </w:rPr>
        <w:t>משום דיוקא דמתני' דקתני מודה רבי יהודה בקטנית דמיירי בדאייתי ליה שוי שית בשלש</w:t>
      </w:r>
      <w:r>
        <w:rPr>
          <w:rStyle w:val="Style1Char"/>
          <w:rFonts w:hint="cs"/>
          <w:color w:val="4472C4" w:themeColor="accent1"/>
        </w:rPr>
        <w:t>‍</w:t>
      </w:r>
      <w:r w:rsidRPr="00F9005B">
        <w:rPr>
          <w:rStyle w:val="Style1Char"/>
          <w:color w:val="4472C4" w:themeColor="accent1"/>
          <w:rtl/>
        </w:rPr>
        <w:t xml:space="preserve"> והיינו דאמרי' מעביר על דבריו הוי דאי מוסיף על דבריו הוי אפילו אי אייתי ליה שוה שית בשלש בעל הבית מעל</w:t>
      </w:r>
      <w:r>
        <w:rPr>
          <w:rStyle w:val="Style1Char"/>
          <w:rFonts w:hint="cs"/>
          <w:color w:val="4472C4" w:themeColor="accent1"/>
        </w:rPr>
        <w:t>‍</w:t>
      </w:r>
      <w:r w:rsidRPr="00F9005B">
        <w:rPr>
          <w:rStyle w:val="Style1Char"/>
          <w:color w:val="4472C4" w:themeColor="accent1"/>
          <w:rtl/>
        </w:rPr>
        <w:t xml:space="preserve"> ועוד כיון דלא איפשיט לא קנה לוקח דאוקי ארעא בחזקת מריה קמא</w:t>
      </w:r>
      <w:r>
        <w:rPr>
          <w:rStyle w:val="Style1Char"/>
          <w:rFonts w:hint="cs"/>
          <w:color w:val="4472C4" w:themeColor="accent1"/>
        </w:rPr>
        <w:t>‍</w:t>
      </w:r>
      <w:r w:rsidRPr="00F9005B">
        <w:rPr>
          <w:rStyle w:val="Style1Char"/>
          <w:color w:val="4472C4" w:themeColor="accent1"/>
          <w:rtl/>
        </w:rPr>
        <w:t xml:space="preserve"> ועוד דטענה מעלייתא היא בכולי הש"ס לא ניחא לי דליפשו שטרי עילואי הכי גריס רש"י</w:t>
      </w:r>
      <w:r w:rsidR="002570CA">
        <w:rPr>
          <w:rStyle w:val="Style1Char"/>
          <w:rFonts w:hint="cs"/>
          <w:color w:val="4472C4" w:themeColor="accent1"/>
          <w:rtl/>
        </w:rPr>
        <w:t xml:space="preserve"> </w:t>
      </w:r>
      <w:r w:rsidRPr="00884884">
        <w:rPr>
          <w:rStyle w:val="Style1Char"/>
          <w:color w:val="00B050"/>
          <w:rtl/>
        </w:rPr>
        <w:t xml:space="preserve">אמר רבי חנינא מסורא, תא שמע: נתן לו דינר של זהב ואמר לו הבא לי חלוק, והלך והביא לו בשלש חלוק ובשלש טלית - שניהם מעלו; אי אמרת בשלמא שליח כי האי גוונא עושה שליחותו ומוסיף על דבריו הוי, משום הכי בעל הבית מעל, אלא אי אמרת מעביר על דבריו הוי, אמאי מעל? </w:t>
      </w:r>
      <w:r w:rsidR="00F2336D">
        <w:rPr>
          <w:rStyle w:val="Style1Char"/>
          <w:rFonts w:hint="cs"/>
          <w:rtl/>
        </w:rPr>
        <w:t>(3)</w:t>
      </w:r>
      <w:r w:rsidRPr="00884884">
        <w:rPr>
          <w:rStyle w:val="Style1Char"/>
          <w:color w:val="00B050"/>
          <w:rtl/>
        </w:rPr>
        <w:t xml:space="preserve">הכא במאי עסקינן - דאייתי ליה שוה שש בשלש. אי הכי, שליח אמאי מעל? אטלית. אי הכי, אימא סיפא, רבי יהודה אומר: אף בזה בעל הבית לא מעל, מפני שיכול לומר חלוק גדול הייתי מבקש ואתה הבאת לי חלוק קטן ורע. מאי רע? רע בדמים, דאמר ליה: אי אייתית לי בשית, כל שכן דהוה שוה תרתי סרי. דיקא נמי, דקתני: מודה רבי יהודה, בקטנית - ששניהם מעלו, </w:t>
      </w:r>
    </w:p>
    <w:p w14:paraId="05E7BC00" w14:textId="076498AA" w:rsidR="002570CA" w:rsidRDefault="002570CA" w:rsidP="002570CA">
      <w:pPr>
        <w:pStyle w:val="Style1"/>
        <w:rPr>
          <w:rStyle w:val="Style1Char"/>
          <w:rtl/>
        </w:rPr>
      </w:pPr>
      <w:r>
        <w:rPr>
          <w:rStyle w:val="Style1Char"/>
          <w:rFonts w:hint="cs"/>
          <w:rtl/>
        </w:rPr>
        <w:t>1)[</w:t>
      </w:r>
      <w:r w:rsidRPr="002570CA">
        <w:rPr>
          <w:rStyle w:val="Style1Char"/>
          <w:rtl/>
        </w:rPr>
        <w:t>רמב</w:t>
      </w:r>
      <w:r w:rsidR="00736FB6">
        <w:rPr>
          <w:rStyle w:val="Style1Char"/>
          <w:rtl/>
        </w:rPr>
        <w:t>”ם \קניין\</w:t>
      </w:r>
      <w:r w:rsidRPr="002570CA">
        <w:rPr>
          <w:rStyle w:val="Style1Char"/>
          <w:rtl/>
        </w:rPr>
        <w:t xml:space="preserve"> הלכות שלוחין ושותפין פרק א הלכה ד</w:t>
      </w:r>
      <w:r>
        <w:rPr>
          <w:rStyle w:val="Style1Char"/>
          <w:rFonts w:hint="cs"/>
          <w:rtl/>
        </w:rPr>
        <w:t xml:space="preserve">] </w:t>
      </w:r>
      <w:r w:rsidRPr="002570CA">
        <w:rPr>
          <w:rStyle w:val="Style1Char"/>
          <w:rtl/>
        </w:rPr>
        <w:t>האומר לשלוחו מכור לי משדה שלי בית סאה ומכר לו בית סאתים ה"ז מוסיף על דבריו וקנה הלוקח בית סאה בלבד, אמר לו מכור לי בית סאתים ומכר לו בית סאה הרי זה מעביר על דבריו ולא קנה הלוקח, אמר לו מכור לי שדה לאדם אחד והלך השליח ומכרה לשנים ממכרו בטל שהרי עבר על דבריו, אמר לו מכור לי שדה ולא פירש אפילו מכר למאה ממכרו קיים.</w:t>
      </w:r>
    </w:p>
    <w:p w14:paraId="382D191F" w14:textId="19C39AC6" w:rsidR="00604234" w:rsidRDefault="00604234" w:rsidP="00604234">
      <w:pPr>
        <w:pStyle w:val="Style1"/>
        <w:rPr>
          <w:rStyle w:val="Style1Char"/>
          <w:rtl/>
        </w:rPr>
      </w:pPr>
      <w:r>
        <w:rPr>
          <w:rStyle w:val="Style1Char"/>
          <w:rFonts w:hint="cs"/>
          <w:rtl/>
        </w:rPr>
        <w:t>1)[</w:t>
      </w:r>
      <w:r w:rsidRPr="00604234">
        <w:rPr>
          <w:rStyle w:val="Style1Char"/>
          <w:rtl/>
        </w:rPr>
        <w:t>שולחן ערוך חושן משפט הלכות שלוחין סימן קפב סעיף ח</w:t>
      </w:r>
      <w:r>
        <w:rPr>
          <w:rStyle w:val="Style1Char"/>
          <w:rFonts w:hint="cs"/>
          <w:rtl/>
        </w:rPr>
        <w:t xml:space="preserve">] </w:t>
      </w:r>
      <w:r w:rsidRPr="00604234">
        <w:rPr>
          <w:rStyle w:val="Style1Char"/>
          <w:rtl/>
        </w:rPr>
        <w:t>האומר לשלוחו: מכור משדי בית סאה, והלך ומכר בית סאתים, הרי זה מוסיף על דבריו וקנה הלוקח בית סאה בלבד. ומיהו הלוקח יכול לחזור ולומר: איני רוצה לקנות אלא סאתים ביחד.</w:t>
      </w:r>
    </w:p>
    <w:p w14:paraId="001566FD" w14:textId="2BE2630C" w:rsidR="00604234" w:rsidRDefault="00604234" w:rsidP="00604234">
      <w:pPr>
        <w:pStyle w:val="Style1"/>
        <w:rPr>
          <w:rStyle w:val="Style1Char"/>
          <w:rtl/>
        </w:rPr>
      </w:pPr>
      <w:r>
        <w:rPr>
          <w:rStyle w:val="Style1Char"/>
          <w:rFonts w:hint="cs"/>
          <w:rtl/>
        </w:rPr>
        <w:t>2)[</w:t>
      </w:r>
      <w:r w:rsidRPr="00604234">
        <w:rPr>
          <w:rStyle w:val="Style1Char"/>
          <w:rtl/>
        </w:rPr>
        <w:t>שולחן ערוך חושן משפט הלכות שלוחין סימן קפב סעיף ט</w:t>
      </w:r>
      <w:r>
        <w:rPr>
          <w:rStyle w:val="Style1Char"/>
          <w:rFonts w:hint="cs"/>
          <w:rtl/>
        </w:rPr>
        <w:t xml:space="preserve">] </w:t>
      </w:r>
      <w:r w:rsidRPr="00604234">
        <w:rPr>
          <w:rStyle w:val="Style1Char"/>
          <w:rtl/>
        </w:rPr>
        <w:t>אמר ליה: מכור בית סאתים, ומכר לו בית סאה, הרי זה מעביר על דבריו ולא קנה הלוקח.</w:t>
      </w:r>
    </w:p>
    <w:p w14:paraId="26FE8F90" w14:textId="68680D37" w:rsidR="00F2336D" w:rsidRPr="002570CA" w:rsidRDefault="00F2336D" w:rsidP="00F2336D">
      <w:pPr>
        <w:pStyle w:val="Style1"/>
        <w:rPr>
          <w:rStyle w:val="Style1Char"/>
        </w:rPr>
      </w:pPr>
      <w:r>
        <w:rPr>
          <w:rStyle w:val="Style1Char"/>
          <w:rFonts w:hint="cs"/>
          <w:rtl/>
        </w:rPr>
        <w:t>3)[</w:t>
      </w:r>
      <w:r w:rsidRPr="00F2336D">
        <w:rPr>
          <w:rStyle w:val="Style1Char"/>
          <w:rtl/>
        </w:rPr>
        <w:t>רמב</w:t>
      </w:r>
      <w:r w:rsidR="00736FB6">
        <w:rPr>
          <w:rStyle w:val="Style1Char"/>
          <w:rtl/>
        </w:rPr>
        <w:t>”ם \עבודה\</w:t>
      </w:r>
      <w:r w:rsidRPr="00F2336D">
        <w:rPr>
          <w:rStyle w:val="Style1Char"/>
          <w:rtl/>
        </w:rPr>
        <w:t xml:space="preserve"> הלכות מעילה פרק ז הלכה ד</w:t>
      </w:r>
      <w:r>
        <w:rPr>
          <w:rStyle w:val="Style1Char"/>
          <w:rFonts w:hint="cs"/>
          <w:rtl/>
        </w:rPr>
        <w:t xml:space="preserve">] </w:t>
      </w:r>
      <w:r w:rsidRPr="00F2336D">
        <w:rPr>
          <w:rStyle w:val="Style1Char"/>
          <w:rtl/>
        </w:rPr>
        <w:t>נתן לו שתי פרוטות ואמר לו הבא לי אתרוג והלך והביא לו בפרוטה אתרוג ובפרוטה רמון, השליח מעל ובעל הבית פטור שהרי שלחו לקנות לו אתרוג ששוה שתי פרוטות, לפיכך אם היה האתרוג שהביא לו בפרוטה אחת שוה שתי פרוטות שניהם מעלו.</w:t>
      </w:r>
    </w:p>
    <w:p w14:paraId="230CD94D" w14:textId="77777777" w:rsidR="00B600B2" w:rsidRPr="00690590" w:rsidRDefault="00B600B2" w:rsidP="00B600B2">
      <w:pPr>
        <w:bidi/>
        <w:rPr>
          <w:rStyle w:val="Style1Char"/>
          <w:color w:val="00B050"/>
        </w:rPr>
      </w:pPr>
    </w:p>
    <w:p w14:paraId="3EF913CC" w14:textId="77777777" w:rsidR="00B600B2" w:rsidRPr="00320D3D" w:rsidRDefault="00B600B2" w:rsidP="00B600B2">
      <w:pPr>
        <w:bidi/>
        <w:rPr>
          <w:rStyle w:val="Style1Char"/>
          <w:color w:val="C00000"/>
        </w:rPr>
      </w:pPr>
      <w:r w:rsidRPr="00320D3D">
        <w:rPr>
          <w:rStyle w:val="Style1Char"/>
          <w:color w:val="C00000"/>
          <w:rtl/>
        </w:rPr>
        <w:t xml:space="preserve"> </w:t>
      </w:r>
    </w:p>
    <w:p w14:paraId="7479551E" w14:textId="77777777" w:rsidR="00B600B2" w:rsidRPr="00F428F5" w:rsidRDefault="00B600B2" w:rsidP="00B600B2">
      <w:pPr>
        <w:bidi/>
        <w:rPr>
          <w:rStyle w:val="Style1Char"/>
          <w:color w:val="00B050"/>
          <w:rtl/>
        </w:rPr>
      </w:pPr>
    </w:p>
    <w:p w14:paraId="6DC36232" w14:textId="77777777" w:rsidR="00B600B2" w:rsidRDefault="00B600B2" w:rsidP="00B600B2">
      <w:pPr>
        <w:rPr>
          <w:rStyle w:val="Style1Char"/>
          <w:color w:val="00B050"/>
          <w:rtl/>
        </w:rPr>
      </w:pPr>
      <w:r>
        <w:rPr>
          <w:rStyle w:val="Style1Char"/>
          <w:color w:val="00B050"/>
          <w:rtl/>
        </w:rPr>
        <w:br w:type="page"/>
      </w:r>
    </w:p>
    <w:p w14:paraId="7B9B1391" w14:textId="51D40FFE" w:rsidR="00B600B2" w:rsidRPr="00F9005B" w:rsidRDefault="00B600B2" w:rsidP="00B600B2">
      <w:pPr>
        <w:bidi/>
        <w:rPr>
          <w:rStyle w:val="Style1Char"/>
          <w:color w:val="4472C4" w:themeColor="accent1"/>
        </w:rPr>
      </w:pPr>
      <w:r w:rsidRPr="00884884">
        <w:rPr>
          <w:rStyle w:val="Style1Char"/>
          <w:color w:val="00B050"/>
          <w:sz w:val="22"/>
          <w:szCs w:val="22"/>
          <w:highlight w:val="yellow"/>
          <w:rtl/>
        </w:rPr>
        <w:lastRenderedPageBreak/>
        <w:t>[דף צט עמוד ב]</w:t>
      </w:r>
      <w:r w:rsidRPr="00884884">
        <w:rPr>
          <w:rStyle w:val="Style1Char"/>
          <w:color w:val="00B050"/>
          <w:sz w:val="22"/>
          <w:szCs w:val="22"/>
          <w:rtl/>
        </w:rPr>
        <w:t xml:space="preserve"> </w:t>
      </w:r>
      <w:r w:rsidRPr="00884884">
        <w:rPr>
          <w:rStyle w:val="Style1Char"/>
          <w:color w:val="00B050"/>
          <w:rtl/>
        </w:rPr>
        <w:t>שהקטנית בסלע וקטנית בפרוטה, שמע מינה. היכי דמי? אילימא באתרא דמזבני בשומא, היכא דיהיב ליה סלע מוזלי גביה טפי! אמר רב פפא: באתרא דכיילי בכני, דאמר ליה כנא כנא בפרוטה. ת"ש: היתה כתובתה ארבע מאות זוז, מכרה לזה במנה ולזה במנה, ולאחרון יפה מנה ודינר במנה, של אחרון - בטל, ושל כולן - מכרן קיים! כדאמר רב שישא בריה דרב אידי: בקטיני, הכא נמי בקטיני</w:t>
      </w:r>
      <w:r w:rsidRPr="00502999">
        <w:rPr>
          <w:rStyle w:val="Style1Char"/>
          <w:sz w:val="22"/>
          <w:szCs w:val="22"/>
          <w:rtl/>
        </w:rPr>
        <w:t xml:space="preserve">. </w:t>
      </w:r>
      <w:r w:rsidR="00F2336D">
        <w:rPr>
          <w:rStyle w:val="Style1Char"/>
          <w:rFonts w:hint="cs"/>
          <w:rtl/>
        </w:rPr>
        <w:t>(1)</w:t>
      </w:r>
      <w:r w:rsidRPr="003F2191">
        <w:rPr>
          <w:rStyle w:val="Style1Char"/>
          <w:color w:val="auto"/>
          <w:sz w:val="22"/>
          <w:szCs w:val="22"/>
          <w:rtl/>
        </w:rPr>
        <w:t xml:space="preserve">פשיטא, אמר לאחד </w:t>
      </w:r>
      <w:r w:rsidRPr="003F2191">
        <w:rPr>
          <w:rStyle w:val="Style1Char"/>
          <w:color w:val="ED7D31" w:themeColor="accent2"/>
          <w:rtl/>
        </w:rPr>
        <w:t>ולא לשנים</w:t>
      </w:r>
      <w:r w:rsidRPr="00DF437E">
        <w:rPr>
          <w:rStyle w:val="Style1Char"/>
          <w:color w:val="00B050"/>
          <w:rtl/>
        </w:rPr>
        <w:t xml:space="preserve"> - האמר ליה לאחד ולא לשנים</w:t>
      </w:r>
      <w:r w:rsidRPr="00DF437E">
        <w:rPr>
          <w:rStyle w:val="Style1Char"/>
          <w:color w:val="C00000"/>
          <w:rtl/>
        </w:rPr>
        <w:t xml:space="preserve"> </w:t>
      </w:r>
      <w:r w:rsidRPr="0057574C">
        <w:rPr>
          <w:rStyle w:val="Style1Char"/>
          <w:color w:val="806000" w:themeColor="accent4" w:themeShade="80"/>
          <w:sz w:val="22"/>
          <w:szCs w:val="22"/>
          <w:rtl/>
        </w:rPr>
        <w:t xml:space="preserve">קפידא </w:t>
      </w:r>
      <w:r w:rsidRPr="00DF437E">
        <w:rPr>
          <w:rStyle w:val="Style1Char"/>
          <w:color w:val="C00000"/>
          <w:sz w:val="22"/>
          <w:szCs w:val="22"/>
          <w:rtl/>
        </w:rPr>
        <w:t>ואי זבין לתרי לא הוי זביניה זביני</w:t>
      </w:r>
      <w:r w:rsidRPr="00DF437E">
        <w:rPr>
          <w:rStyle w:val="Style1Char"/>
          <w:color w:val="00B050"/>
          <w:rtl/>
        </w:rPr>
        <w:t xml:space="preserve">, </w:t>
      </w:r>
      <w:r w:rsidRPr="0014363B">
        <w:rPr>
          <w:rStyle w:val="Style1Char"/>
          <w:color w:val="00B050"/>
          <w:rtl/>
        </w:rPr>
        <w:t xml:space="preserve">א"ל </w:t>
      </w:r>
      <w:r w:rsidRPr="0014363B">
        <w:rPr>
          <w:rStyle w:val="Style1Char"/>
          <w:color w:val="C00000"/>
          <w:sz w:val="22"/>
          <w:szCs w:val="22"/>
          <w:rtl/>
        </w:rPr>
        <w:t xml:space="preserve">אמר </w:t>
      </w:r>
      <w:r w:rsidRPr="0014363B">
        <w:rPr>
          <w:rStyle w:val="Style1Char"/>
          <w:color w:val="00B050"/>
          <w:rtl/>
        </w:rPr>
        <w:t xml:space="preserve">לאחד </w:t>
      </w:r>
      <w:r w:rsidRPr="0057574C">
        <w:rPr>
          <w:rStyle w:val="Style1Char"/>
          <w:color w:val="auto"/>
          <w:sz w:val="22"/>
          <w:szCs w:val="22"/>
          <w:rtl/>
        </w:rPr>
        <w:t xml:space="preserve">סתמא, מאי? </w:t>
      </w:r>
      <w:r w:rsidRPr="00F9005B">
        <w:rPr>
          <w:rStyle w:val="Style1Char"/>
          <w:color w:val="4472C4" w:themeColor="accent1"/>
          <w:rtl/>
        </w:rPr>
        <w:t xml:space="preserve">פירוש אמר לאחד בסתם ולא אמר לו ולא לשנים מאי </w:t>
      </w:r>
      <w:r w:rsidRPr="0057574C">
        <w:rPr>
          <w:rStyle w:val="Style1Char"/>
          <w:color w:val="auto"/>
          <w:sz w:val="22"/>
          <w:szCs w:val="22"/>
          <w:rtl/>
        </w:rPr>
        <w:t xml:space="preserve">רב הונא אמר: לאחד - ולא לשנים, </w:t>
      </w:r>
      <w:r w:rsidR="00A04766">
        <w:rPr>
          <w:rStyle w:val="Style1Char"/>
          <w:rFonts w:hint="cs"/>
          <w:rtl/>
        </w:rPr>
        <w:t>(1.1, 2)</w:t>
      </w:r>
      <w:r w:rsidRPr="0057574C">
        <w:rPr>
          <w:rStyle w:val="Style1Char"/>
          <w:color w:val="auto"/>
          <w:sz w:val="22"/>
          <w:szCs w:val="22"/>
          <w:rtl/>
        </w:rPr>
        <w:t>רב חסדא ורבה בר רב הונא דאמרי תרוייהו: לאחד - ואפילו לשנים, לאחד - ואפילו למאה</w:t>
      </w:r>
      <w:r w:rsidRPr="00034135">
        <w:rPr>
          <w:rStyle w:val="Style1Char"/>
          <w:color w:val="4472C4" w:themeColor="accent1"/>
          <w:rtl/>
        </w:rPr>
        <w:t xml:space="preserve"> </w:t>
      </w:r>
      <w:r w:rsidRPr="00F9005B">
        <w:rPr>
          <w:rStyle w:val="Style1Char"/>
          <w:color w:val="4472C4" w:themeColor="accent1"/>
          <w:rtl/>
        </w:rPr>
        <w:t>תימה אפלו אמר לו סתמא לא איפשיטא בעיין לעיל אי חייש לאפושי שטרי</w:t>
      </w:r>
      <w:r>
        <w:rPr>
          <w:rStyle w:val="Style1Char"/>
          <w:rFonts w:hint="cs"/>
          <w:color w:val="4472C4" w:themeColor="accent1"/>
        </w:rPr>
        <w:t>‍</w:t>
      </w:r>
      <w:r w:rsidRPr="00F9005B">
        <w:rPr>
          <w:rStyle w:val="Style1Char"/>
          <w:color w:val="4472C4" w:themeColor="accent1"/>
          <w:rtl/>
        </w:rPr>
        <w:t xml:space="preserve"> והיכי פשיטא להו לרב חסדא ולרבה בר רב הונא דאפילו אמר בפירוש לאחד דאמרינן לאחד אפי' למאה ומפרש רבינו תם דהאי קפידא דאפושי שטרי דלעיל לאו משום זילותא דנכסי הוא אלא משום שיצטרך לחזור בכל שטר ושטר אחר חתימת עדים וקניין והכא איירי כשהחתים השליח את השטרות דליכא תו קפידא אלא באפושי בעלי דינין שטורח לו אם יצטרך היום או למחר לבא עם שניהם לדין ובטרחא כי האי פליגי הני אמוראי אי נמי איכא לאוקמי כשמכר בשטר א' וליכא אפושי שטרי אלא קפידת בעלי דינין כדפרישית והאי דפשיט לקמן מאלמנה שמכרה לזה במנה ולזה במנה מכל שכן קא פשיט דאפי' בשני שטרות קנו ורבינו חננאל</w:t>
      </w:r>
      <w:r>
        <w:rPr>
          <w:rStyle w:val="Style1Char"/>
          <w:rFonts w:hint="cs"/>
          <w:color w:val="4472C4" w:themeColor="accent1"/>
        </w:rPr>
        <w:t>‍</w:t>
      </w:r>
      <w:r w:rsidRPr="00F9005B">
        <w:rPr>
          <w:rStyle w:val="Style1Char"/>
          <w:color w:val="4472C4" w:themeColor="accent1"/>
          <w:rtl/>
        </w:rPr>
        <w:t xml:space="preserve"> ז"ל גריס לאחד קפידא סתמא מאי והא דקאמרי רב חסדא ורבה בר רב הונא לאחד ואפי' לשנים לאו משום דהמשלח הזכיר בדבריו לאחד</w:t>
      </w:r>
      <w:r>
        <w:rPr>
          <w:rStyle w:val="Style1Char"/>
          <w:rFonts w:hint="cs"/>
          <w:color w:val="4472C4" w:themeColor="accent1"/>
        </w:rPr>
        <w:t>‍</w:t>
      </w:r>
      <w:r w:rsidRPr="00F9005B">
        <w:rPr>
          <w:rStyle w:val="Style1Char"/>
          <w:color w:val="4472C4" w:themeColor="accent1"/>
          <w:rtl/>
        </w:rPr>
        <w:t xml:space="preserve"> אלא אגב דקאמר רב הונא לאחד ולא לשנים קאמרי אינהו לאחד ואפילו לשנים</w:t>
      </w:r>
      <w:r w:rsidRPr="0014363B">
        <w:rPr>
          <w:rStyle w:val="Style1Char"/>
          <w:sz w:val="22"/>
          <w:szCs w:val="22"/>
          <w:rtl/>
        </w:rPr>
        <w:t xml:space="preserve">. </w:t>
      </w:r>
      <w:r w:rsidRPr="000E4039">
        <w:rPr>
          <w:rStyle w:val="Style1Char"/>
          <w:color w:val="auto"/>
          <w:sz w:val="22"/>
          <w:szCs w:val="22"/>
          <w:rtl/>
        </w:rPr>
        <w:t>איקלע רב נחמן לסורא, עול לגביה רב חסדא ורבה בר רב הונא. אמרו ליה: כי האי גוונא מאי? אמר להו: לאחד - ואפי' לשנים, לאחד - ואפילו למאה</w:t>
      </w:r>
      <w:r w:rsidRPr="000E4039">
        <w:rPr>
          <w:rStyle w:val="Style1Char"/>
          <w:color w:val="auto"/>
          <w:rtl/>
        </w:rPr>
        <w:t xml:space="preserve">. </w:t>
      </w:r>
      <w:r w:rsidRPr="000E4039">
        <w:rPr>
          <w:rStyle w:val="Style1Char"/>
          <w:color w:val="auto"/>
          <w:sz w:val="22"/>
          <w:szCs w:val="22"/>
          <w:rtl/>
        </w:rPr>
        <w:t>אמרו ליה: אף על גב דטעה שליח?</w:t>
      </w:r>
      <w:r w:rsidRPr="00342F6F">
        <w:rPr>
          <w:rStyle w:val="Style1Char"/>
          <w:sz w:val="22"/>
          <w:szCs w:val="22"/>
          <w:rtl/>
        </w:rPr>
        <w:t xml:space="preserve"> </w:t>
      </w:r>
      <w:r w:rsidRPr="000E4039">
        <w:rPr>
          <w:rStyle w:val="Style1Char"/>
          <w:color w:val="ED7D31" w:themeColor="accent2"/>
          <w:rtl/>
        </w:rPr>
        <w:t>אמר להו</w:t>
      </w:r>
      <w:r w:rsidRPr="00342F6F">
        <w:rPr>
          <w:rStyle w:val="Style1Char"/>
          <w:sz w:val="22"/>
          <w:szCs w:val="22"/>
          <w:rtl/>
        </w:rPr>
        <w:t xml:space="preserve">: </w:t>
      </w:r>
      <w:r w:rsidRPr="00342F6F">
        <w:rPr>
          <w:rStyle w:val="Style1Char"/>
          <w:color w:val="C00000"/>
          <w:sz w:val="22"/>
          <w:szCs w:val="22"/>
          <w:rtl/>
        </w:rPr>
        <w:t xml:space="preserve">היכא </w:t>
      </w:r>
      <w:r w:rsidRPr="000E4039">
        <w:rPr>
          <w:rStyle w:val="Style1Char"/>
          <w:color w:val="auto"/>
          <w:sz w:val="22"/>
          <w:szCs w:val="22"/>
          <w:rtl/>
        </w:rPr>
        <w:t>דטעה שליח לא קאמינא</w:t>
      </w:r>
      <w:r w:rsidRPr="00342F6F">
        <w:rPr>
          <w:rStyle w:val="Style1Char"/>
          <w:sz w:val="22"/>
          <w:szCs w:val="22"/>
          <w:rtl/>
        </w:rPr>
        <w:t xml:space="preserve">. </w:t>
      </w:r>
      <w:r w:rsidRPr="00884884">
        <w:rPr>
          <w:rStyle w:val="Style1Char"/>
          <w:color w:val="00B050"/>
          <w:rtl/>
        </w:rPr>
        <w:t xml:space="preserve">אמרו ליה, </w:t>
      </w:r>
      <w:r w:rsidRPr="000E4039">
        <w:rPr>
          <w:rStyle w:val="Style1Char"/>
          <w:color w:val="auto"/>
          <w:sz w:val="22"/>
          <w:szCs w:val="22"/>
          <w:rtl/>
        </w:rPr>
        <w:t xml:space="preserve">והאמר מר: </w:t>
      </w:r>
      <w:r w:rsidR="008D5B4F">
        <w:rPr>
          <w:rStyle w:val="Style1Char"/>
          <w:rFonts w:hint="cs"/>
          <w:rtl/>
        </w:rPr>
        <w:t>(3)</w:t>
      </w:r>
      <w:r w:rsidRPr="000E4039">
        <w:rPr>
          <w:rStyle w:val="Style1Char"/>
          <w:color w:val="auto"/>
          <w:sz w:val="22"/>
          <w:szCs w:val="22"/>
          <w:rtl/>
        </w:rPr>
        <w:t xml:space="preserve">אין אונאה לקרקעות! </w:t>
      </w:r>
      <w:r w:rsidR="008D5B4F">
        <w:rPr>
          <w:rStyle w:val="Style1Char"/>
          <w:rFonts w:hint="cs"/>
          <w:rtl/>
        </w:rPr>
        <w:t>(3)</w:t>
      </w:r>
      <w:r w:rsidRPr="000E4039">
        <w:rPr>
          <w:rStyle w:val="Style1Char"/>
          <w:color w:val="auto"/>
          <w:sz w:val="22"/>
          <w:szCs w:val="22"/>
          <w:rtl/>
        </w:rPr>
        <w:t>הני מילי היכא דטעה בעל הבית, אבל טעה שליח - אמר ליה לתקוני שדרתיך ולא לעוותי</w:t>
      </w:r>
      <w:r w:rsidRPr="000E4039">
        <w:rPr>
          <w:rStyle w:val="Style1Char"/>
          <w:color w:val="auto"/>
          <w:rtl/>
        </w:rPr>
        <w:t xml:space="preserve"> </w:t>
      </w:r>
      <w:r w:rsidRPr="000E4039">
        <w:rPr>
          <w:rStyle w:val="Style1Char"/>
          <w:color w:val="806000" w:themeColor="accent4" w:themeShade="80"/>
          <w:sz w:val="22"/>
          <w:szCs w:val="22"/>
          <w:rtl/>
        </w:rPr>
        <w:t>וכן הלכתא</w:t>
      </w:r>
      <w:r w:rsidRPr="000E4039">
        <w:rPr>
          <w:rStyle w:val="Style1Char"/>
          <w:color w:val="4472C4" w:themeColor="accent1"/>
          <w:rtl/>
        </w:rPr>
        <w:t xml:space="preserve"> </w:t>
      </w:r>
      <w:r w:rsidRPr="00F9005B">
        <w:rPr>
          <w:rStyle w:val="Style1Char"/>
          <w:color w:val="4472C4" w:themeColor="accent1"/>
          <w:rtl/>
        </w:rPr>
        <w:t>ורב אלפס זכרונו לברכה שפסק בבעיא דלעיל דמעביר על דבריו הוי והכא פסיק לאחד ואפילו לשנים</w:t>
      </w:r>
      <w:r>
        <w:rPr>
          <w:rStyle w:val="Style1Char"/>
          <w:rFonts w:hint="cs"/>
          <w:color w:val="4472C4" w:themeColor="accent1"/>
        </w:rPr>
        <w:t>‍</w:t>
      </w:r>
      <w:r w:rsidRPr="00F9005B">
        <w:rPr>
          <w:rStyle w:val="Style1Char"/>
          <w:color w:val="4472C4" w:themeColor="accent1"/>
          <w:rtl/>
        </w:rPr>
        <w:t xml:space="preserve"> צריך לחלק כמו שפירש ר"ת</w:t>
      </w:r>
      <w:r>
        <w:rPr>
          <w:rStyle w:val="Style1Char"/>
          <w:rFonts w:hint="cs"/>
          <w:color w:val="4472C4" w:themeColor="accent1"/>
        </w:rPr>
        <w:t>‍</w:t>
      </w:r>
      <w:r w:rsidRPr="00F9005B">
        <w:rPr>
          <w:rStyle w:val="Style1Char"/>
          <w:color w:val="4472C4" w:themeColor="accent1"/>
          <w:rtl/>
        </w:rPr>
        <w:t xml:space="preserve"> ורב האי גאון ז"ל בשער ששי של מקח וממכר פסק דמוסיף על דבריו הוי מדאמרינן פשיטא אמר לאחד קפידא סתמא מאי ואסיקנא לאחד ואפילו לשנים אלמא קיימא לן מוסיף על דבריו הוי והוא מפרש האי פשיטא על דרך מאי הוי עלה</w:t>
      </w:r>
      <w:r w:rsidRPr="00F9005B">
        <w:rPr>
          <w:rStyle w:val="Style1Char"/>
          <w:color w:val="4472C4" w:themeColor="accent1"/>
        </w:rPr>
        <w:t xml:space="preserve">: </w:t>
      </w:r>
    </w:p>
    <w:p w14:paraId="074AA82D" w14:textId="4F05FE21" w:rsidR="00B600B2" w:rsidRPr="00884884" w:rsidRDefault="00B600B2" w:rsidP="00B600B2">
      <w:pPr>
        <w:bidi/>
        <w:rPr>
          <w:rStyle w:val="Style1Char"/>
          <w:color w:val="00B050"/>
        </w:rPr>
      </w:pPr>
      <w:r w:rsidRPr="000E4039">
        <w:rPr>
          <w:rStyle w:val="Style1Char"/>
          <w:color w:val="806000" w:themeColor="accent4" w:themeShade="80"/>
          <w:sz w:val="22"/>
          <w:szCs w:val="22"/>
        </w:rPr>
        <w:t>:</w:t>
      </w:r>
      <w:r w:rsidRPr="00342F6F">
        <w:rPr>
          <w:rStyle w:val="Style1Char"/>
          <w:sz w:val="22"/>
          <w:szCs w:val="22"/>
          <w:rtl/>
        </w:rPr>
        <w:t xml:space="preserve">. </w:t>
      </w:r>
      <w:r w:rsidRPr="00884884">
        <w:rPr>
          <w:rStyle w:val="Style1Char"/>
          <w:color w:val="00B050"/>
          <w:rtl/>
        </w:rPr>
        <w:t xml:space="preserve">ומנא תימרא דשאני בין שליח לבעל הבית? דתנן: </w:t>
      </w:r>
      <w:r w:rsidR="008D5B4F">
        <w:rPr>
          <w:rStyle w:val="Style1Char"/>
          <w:rFonts w:hint="cs"/>
          <w:rtl/>
        </w:rPr>
        <w:t>(4)</w:t>
      </w:r>
      <w:r w:rsidRPr="00884884">
        <w:rPr>
          <w:rStyle w:val="Style1Char"/>
          <w:color w:val="00B050"/>
          <w:rtl/>
        </w:rPr>
        <w:t xml:space="preserve">האומר לשלוחו צא ותרום - תורם כדעת בעל הבית, ואם אינו יודע דעתו של בעל הבית - תורם בבינונית אחד מחמשים, פיחת עשרה או הוסיף עשרה - תרומתו תרומה; ואילו גבי בעל הבית תניא: </w:t>
      </w:r>
      <w:r w:rsidR="0062075A">
        <w:rPr>
          <w:rStyle w:val="Style1Char"/>
          <w:rFonts w:hint="cs"/>
          <w:rtl/>
        </w:rPr>
        <w:t>(5)</w:t>
      </w:r>
      <w:r w:rsidRPr="00884884">
        <w:rPr>
          <w:rStyle w:val="Style1Char"/>
          <w:color w:val="00B050"/>
          <w:rtl/>
        </w:rPr>
        <w:t xml:space="preserve">תרם ועלה בידו אפילו אחד מעשרים - תרומתו תרומה. תא שמע: היתה כתובתה ארבע מאות זוז, מכרה לזה במנה ולזה במנה, ולאחרון שוה מנה ודינר במנה, של אחרון - בטל, ושל כולן - מכרן קיים! אמר רב שישא בריה דרב אידי: בקטיני. </w:t>
      </w:r>
    </w:p>
    <w:p w14:paraId="56227B9F" w14:textId="61B34D8C" w:rsidR="00B600B2" w:rsidRDefault="00B600B2" w:rsidP="00B600B2">
      <w:pPr>
        <w:bidi/>
        <w:rPr>
          <w:rStyle w:val="Style1Char"/>
          <w:color w:val="auto"/>
          <w:sz w:val="22"/>
          <w:szCs w:val="22"/>
        </w:rPr>
      </w:pPr>
      <w:r w:rsidRPr="00810AFD">
        <w:rPr>
          <w:rStyle w:val="Style1Char"/>
          <w:color w:val="auto"/>
          <w:sz w:val="22"/>
          <w:szCs w:val="22"/>
          <w:rtl/>
        </w:rPr>
        <w:t xml:space="preserve">מתני'. </w:t>
      </w:r>
      <w:r w:rsidR="0062075A">
        <w:rPr>
          <w:rStyle w:val="Style1Char"/>
          <w:rFonts w:hint="cs"/>
          <w:rtl/>
        </w:rPr>
        <w:t>(6)</w:t>
      </w:r>
      <w:r w:rsidRPr="00810AFD">
        <w:rPr>
          <w:rStyle w:val="Style1Char"/>
          <w:color w:val="auto"/>
          <w:sz w:val="22"/>
          <w:szCs w:val="22"/>
          <w:rtl/>
        </w:rPr>
        <w:t xml:space="preserve">שום הדיינין שפיחתו שתות או הוסיפו שתות - מכרן בטל; רשב"ג אומר: מכרן קיים, אם כן, מה כח בית דין יפה. </w:t>
      </w:r>
      <w:r w:rsidR="00DB2AC1">
        <w:rPr>
          <w:rStyle w:val="Style1Char"/>
          <w:rFonts w:hint="cs"/>
          <w:rtl/>
        </w:rPr>
        <w:t>(6)</w:t>
      </w:r>
      <w:r w:rsidRPr="00810AFD">
        <w:rPr>
          <w:rStyle w:val="Style1Char"/>
          <w:color w:val="auto"/>
          <w:sz w:val="22"/>
          <w:szCs w:val="22"/>
          <w:rtl/>
        </w:rPr>
        <w:t xml:space="preserve">אבל אם עשו אגרת בקורת ביניהן, אפילו מכרו שוה מנה במאתים או שוה מאתים במנה - מכרן קיים. </w:t>
      </w:r>
    </w:p>
    <w:p w14:paraId="03ED6239" w14:textId="77777777" w:rsidR="00B600B2" w:rsidRDefault="00B600B2" w:rsidP="00B600B2">
      <w:pPr>
        <w:bidi/>
        <w:rPr>
          <w:rStyle w:val="Style1Char"/>
          <w:sz w:val="22"/>
          <w:szCs w:val="22"/>
        </w:rPr>
      </w:pPr>
      <w:r w:rsidRPr="00F9005B">
        <w:rPr>
          <w:rStyle w:val="Style1Char"/>
          <w:color w:val="4472C4" w:themeColor="accent1"/>
          <w:rtl/>
        </w:rPr>
        <w:t>הא דקתני פחתו מכרן בטל ניחא דנתאנו היתומים</w:t>
      </w:r>
      <w:r>
        <w:rPr>
          <w:rStyle w:val="Style1Char"/>
          <w:rFonts w:hint="cs"/>
          <w:color w:val="4472C4" w:themeColor="accent1"/>
        </w:rPr>
        <w:t>‍</w:t>
      </w:r>
      <w:r w:rsidRPr="00F9005B">
        <w:rPr>
          <w:rStyle w:val="Style1Char"/>
          <w:color w:val="4472C4" w:themeColor="accent1"/>
          <w:rtl/>
        </w:rPr>
        <w:t xml:space="preserve"> אבל אם הותירו שתות שנתאנה לוקח אמאי בטל לא יהא כח יתומים גרוע מכח אחר</w:t>
      </w:r>
      <w:r>
        <w:rPr>
          <w:rStyle w:val="Style1Char"/>
          <w:rFonts w:hint="cs"/>
          <w:color w:val="4472C4" w:themeColor="accent1"/>
        </w:rPr>
        <w:t>‍</w:t>
      </w:r>
      <w:r w:rsidRPr="00F9005B">
        <w:rPr>
          <w:rStyle w:val="Style1Char"/>
          <w:color w:val="4472C4" w:themeColor="accent1"/>
          <w:rtl/>
        </w:rPr>
        <w:t xml:space="preserve"> דאין אונאה לקרקעות ומתוך פירוש רש"י משמע דכיון דלגבי אונאת יתומים אמרי' מכרן בטל הוא הדין נמי לגבי אונאת לוקח ולסברא זו גם בשליח הדין כן היכי דאי טעה שליח ונתאנה המקח בטל דאמר ליה לתקוני שדרתיך ולא לעוותי ה"נ אם נתאנה לוקח וכן כתב רב האי ז"ל דבשליח אם הותיר שתות מכרו בטל ותמיהני למה הזכיר שתות אם רוצה לדמות הותיר לפיחת אפילו בדינר נמי דהא קיימא לן שליח כאלמנה והרב ר' יונה ז"ל כתב</w:t>
      </w:r>
      <w:r>
        <w:rPr>
          <w:rStyle w:val="Style1Char"/>
          <w:rFonts w:hint="cs"/>
          <w:color w:val="4472C4" w:themeColor="accent1"/>
        </w:rPr>
        <w:t>‍</w:t>
      </w:r>
      <w:r w:rsidRPr="00F9005B">
        <w:rPr>
          <w:rStyle w:val="Style1Char"/>
          <w:color w:val="4472C4" w:themeColor="accent1"/>
          <w:rtl/>
        </w:rPr>
        <w:t xml:space="preserve"> דאם הותיר השליח דינו כאיניש דעלמא שמוכר את שלו וזכה המשלח ביתרון ואם פיחת א"ל לתקוני שדרתיך ולא לעוותי אבל שומת בית דין כמו שהיתומים סומכין עליהם כך הלוקח סומך עליהם שלא יעשו עול ולא ירחמו בדין והוו ב"ד שלוחים של אלו ואלו הלכך בין פיחתו שתות בין הותירו שתות מכרן בטל אבל בפחות משתות מכרן קיים וכן מסתבר וכן היה נראה היכא דנתאנו יתומין דהמקח בטל אין ב"ד יכולין לקיים המקח אם ירצו ולהכריח הלוקח להחזיר האונאה דכיון שרצו ב"ד לבטל המקח הרשות ביד הלוקח נמי לבטלו ומסתבר הני טעמי דאי מיפות כח ליתומים טפי מלוקח הא ריעא ליתמי ולא זבנו מינייהו והרמב"ם ז"ל (פי"ג מהלכות מכירה ה"י) כתב דאם רצו בית דין שלא לבטל המקח ויחזירו האונאה מחזירין</w:t>
      </w:r>
    </w:p>
    <w:p w14:paraId="44DDE7EB" w14:textId="4C3D2474" w:rsidR="00B600B2" w:rsidRDefault="00B600B2" w:rsidP="00B600B2">
      <w:pPr>
        <w:bidi/>
        <w:rPr>
          <w:rStyle w:val="Style1Char"/>
          <w:color w:val="auto"/>
          <w:sz w:val="22"/>
          <w:szCs w:val="22"/>
          <w:rtl/>
        </w:rPr>
      </w:pPr>
      <w:r w:rsidRPr="00171D1A">
        <w:rPr>
          <w:rStyle w:val="Style1Char"/>
          <w:color w:val="auto"/>
          <w:sz w:val="22"/>
          <w:szCs w:val="22"/>
          <w:rtl/>
        </w:rPr>
        <w:t xml:space="preserve">גמ'. איבעיא להו: שליח כמאן? </w:t>
      </w:r>
    </w:p>
    <w:p w14:paraId="60AC5A05" w14:textId="1A4BDDB3" w:rsidR="00F2336D" w:rsidRDefault="00F2336D" w:rsidP="00F2336D">
      <w:pPr>
        <w:pStyle w:val="Style1"/>
        <w:rPr>
          <w:rStyle w:val="Style1Char"/>
          <w:rtl/>
        </w:rPr>
      </w:pPr>
      <w:r>
        <w:rPr>
          <w:rStyle w:val="Style1Char"/>
          <w:rFonts w:hint="cs"/>
          <w:rtl/>
        </w:rPr>
        <w:t>1)[</w:t>
      </w:r>
      <w:r w:rsidRPr="00F2336D">
        <w:rPr>
          <w:rStyle w:val="Style1Char"/>
          <w:rtl/>
        </w:rPr>
        <w:t>רמב</w:t>
      </w:r>
      <w:r w:rsidR="00736FB6">
        <w:rPr>
          <w:rStyle w:val="Style1Char"/>
          <w:rtl/>
        </w:rPr>
        <w:t>”ם \קניין\</w:t>
      </w:r>
      <w:r w:rsidRPr="00F2336D">
        <w:rPr>
          <w:rStyle w:val="Style1Char"/>
          <w:rtl/>
        </w:rPr>
        <w:t xml:space="preserve"> הלכות שלוחין ושותפין פרק א הלכה ד</w:t>
      </w:r>
      <w:r>
        <w:rPr>
          <w:rStyle w:val="Style1Char"/>
          <w:rFonts w:hint="cs"/>
          <w:rtl/>
        </w:rPr>
        <w:t xml:space="preserve">] </w:t>
      </w:r>
      <w:r w:rsidRPr="00F2336D">
        <w:rPr>
          <w:rStyle w:val="Style1Char"/>
          <w:rtl/>
        </w:rPr>
        <w:t>האומר לשלוחו מכור לי משדה שלי בית סאה ומכר לו בית סאתים ה"ז מוסיף על דבריו וקנה הלוקח בית סאה בלבד, אמר לו מכור לי בית סאתים ומכר לו בית סאה הרי זה מעביר על דבריו ולא קנה הלוקח, אמר לו מכור לי שדה לאדם אחד והלך השליח ומכרה לשנים ממכרו בטל שהרי עבר על דבריו, אמר לו מכור לי שדה ולא פירש אפילו מכר למאה ממכרו קיים.</w:t>
      </w:r>
    </w:p>
    <w:p w14:paraId="00180C7B" w14:textId="64E5E785" w:rsidR="004E2FE5" w:rsidRDefault="004E2FE5" w:rsidP="004E2FE5">
      <w:pPr>
        <w:pStyle w:val="Style1"/>
        <w:rPr>
          <w:rStyle w:val="Style1Char"/>
          <w:rtl/>
        </w:rPr>
      </w:pPr>
      <w:r>
        <w:rPr>
          <w:rStyle w:val="Style1Char"/>
          <w:rFonts w:hint="cs"/>
          <w:rtl/>
        </w:rPr>
        <w:t>1)[</w:t>
      </w:r>
      <w:r w:rsidRPr="004E2FE5">
        <w:rPr>
          <w:rStyle w:val="Style1Char"/>
          <w:rtl/>
        </w:rPr>
        <w:t>שולחן ערוך חושן משפט הלכות שלוחין סימן קפב סעיף י</w:t>
      </w:r>
      <w:r>
        <w:rPr>
          <w:rStyle w:val="Style1Char"/>
          <w:rFonts w:hint="cs"/>
          <w:rtl/>
        </w:rPr>
        <w:t xml:space="preserve">] </w:t>
      </w:r>
      <w:r w:rsidRPr="004E2FE5">
        <w:rPr>
          <w:rStyle w:val="Style1Char"/>
          <w:rtl/>
        </w:rPr>
        <w:t>א"ל: מכור שדה לאדם אחד, והלך השליח ומכרה לשנים, ממכרו בטל; שהרי עבר על דבריו. (וי"א דווקא שמכר להן בשני שטרות) (טור).</w:t>
      </w:r>
    </w:p>
    <w:p w14:paraId="08E02639" w14:textId="60BB995E" w:rsidR="00A04766" w:rsidRDefault="00A04766" w:rsidP="00A04766">
      <w:pPr>
        <w:pStyle w:val="Style1"/>
        <w:rPr>
          <w:rtl/>
        </w:rPr>
      </w:pPr>
      <w:r>
        <w:rPr>
          <w:rStyle w:val="Style1Char"/>
          <w:rFonts w:hint="cs"/>
          <w:rtl/>
        </w:rPr>
        <w:t>2)[</w:t>
      </w:r>
      <w:r w:rsidRPr="00A04766">
        <w:rPr>
          <w:rStyle w:val="Style1Char"/>
          <w:rtl/>
        </w:rPr>
        <w:t>שולחן ערוך חושן משפט הלכות שלוחין סימן קפב סעיף יא</w:t>
      </w:r>
      <w:r>
        <w:rPr>
          <w:rStyle w:val="Style1Char"/>
          <w:rFonts w:hint="cs"/>
          <w:rtl/>
        </w:rPr>
        <w:t xml:space="preserve">] </w:t>
      </w:r>
      <w:r w:rsidRPr="00A04766">
        <w:rPr>
          <w:rtl/>
        </w:rPr>
        <w:t>א"ל מכור שדה ולא פירש אפילו מכר למאה ממכרו קיים בד"א כשמכרה בשטר אחד או כשמכרם בב' שטרות והחתימם השליח אבל אם מכר לשנים בשני שטרות ולא החתימם השליח מכרו בטל</w:t>
      </w:r>
      <w:r w:rsidRPr="00A04766">
        <w:t>:</w:t>
      </w:r>
    </w:p>
    <w:p w14:paraId="17F7A3C9" w14:textId="62A047F2" w:rsidR="008D5B4F" w:rsidRDefault="008D5B4F" w:rsidP="008D5B4F">
      <w:pPr>
        <w:pStyle w:val="Style1"/>
        <w:rPr>
          <w:rtl/>
        </w:rPr>
      </w:pPr>
      <w:r>
        <w:rPr>
          <w:rFonts w:hint="cs"/>
          <w:rtl/>
        </w:rPr>
        <w:t>3)[</w:t>
      </w:r>
      <w:r>
        <w:rPr>
          <w:rtl/>
        </w:rPr>
        <w:t>רמב</w:t>
      </w:r>
      <w:r w:rsidR="00736FB6">
        <w:rPr>
          <w:rtl/>
        </w:rPr>
        <w:t>”ם \קניין\</w:t>
      </w:r>
      <w:r>
        <w:rPr>
          <w:rtl/>
        </w:rPr>
        <w:t xml:space="preserve"> הלכות שלוחין ושותפין פרק א הלכה ב</w:t>
      </w:r>
      <w:r>
        <w:rPr>
          <w:rFonts w:hint="cs"/>
          <w:rtl/>
        </w:rPr>
        <w:t xml:space="preserve">] </w:t>
      </w:r>
      <w:r>
        <w:rPr>
          <w:rtl/>
        </w:rPr>
        <w:t>שליח שעבר על דברי משלחו לא עשה כלום, וכן אם טעה בכל שהוא בין בקרקע בין במטלטלין חוזר שהרי הוא אומר לתקן שליחותי שדרתיך ולא לעוות, ולא אמרו שההונייה במטלטלין שתות והעבדים והשטרות והקרקעות אין בהן הונייה אלא במוכר שלו או קונה לעצמו אבל שליח שטעה בכולם בכל שהוא חוזר.</w:t>
      </w:r>
    </w:p>
    <w:p w14:paraId="4BFF5A71" w14:textId="20051115" w:rsidR="008D5B4F" w:rsidRDefault="008D5B4F" w:rsidP="008D5B4F">
      <w:pPr>
        <w:pStyle w:val="Style1"/>
        <w:rPr>
          <w:rtl/>
        </w:rPr>
      </w:pPr>
      <w:r>
        <w:rPr>
          <w:rFonts w:hint="cs"/>
          <w:rtl/>
        </w:rPr>
        <w:t>3)[</w:t>
      </w:r>
      <w:r>
        <w:rPr>
          <w:rtl/>
        </w:rPr>
        <w:t>רמב</w:t>
      </w:r>
      <w:r w:rsidR="00786216">
        <w:rPr>
          <w:rtl/>
        </w:rPr>
        <w:t>”ם \מכירה\</w:t>
      </w:r>
      <w:r>
        <w:rPr>
          <w:rtl/>
        </w:rPr>
        <w:t xml:space="preserve"> הלכות מכירה פרק יג הלכה ח</w:t>
      </w:r>
      <w:r>
        <w:rPr>
          <w:rFonts w:hint="cs"/>
          <w:rtl/>
        </w:rPr>
        <w:t xml:space="preserve">] </w:t>
      </w:r>
      <w:r>
        <w:rPr>
          <w:rtl/>
        </w:rPr>
        <w:t>אלו דברים שאין להם הונייה, הקרקעות והעבדים והשטרות וההקדשות, אפילו מכר שוה אלף בדינר או שוה דינר באלף אין בהן הונייה, שנאמר או קנה מיד עמיתך, דבר הנקנה מיד ליד, יצאו הקרקעות ויצאו עבדים שהוקשו לקרקעות, ויצאו שטרות שאין גופן קנוי אלא לראיה שבהן, עמיתך ולא הקדש.</w:t>
      </w:r>
    </w:p>
    <w:p w14:paraId="2C545B97" w14:textId="5B03064E" w:rsidR="008D5B4F" w:rsidRDefault="008D5B4F" w:rsidP="008D5B4F">
      <w:pPr>
        <w:pStyle w:val="Style1"/>
        <w:rPr>
          <w:rtl/>
        </w:rPr>
      </w:pPr>
      <w:r>
        <w:rPr>
          <w:rFonts w:hint="cs"/>
          <w:rtl/>
        </w:rPr>
        <w:t>3)[</w:t>
      </w:r>
      <w:r>
        <w:rPr>
          <w:rtl/>
        </w:rPr>
        <w:t>רמב</w:t>
      </w:r>
      <w:r w:rsidR="00786216">
        <w:rPr>
          <w:rtl/>
        </w:rPr>
        <w:t>”ם \מכירה\</w:t>
      </w:r>
      <w:r>
        <w:rPr>
          <w:rtl/>
        </w:rPr>
        <w:t xml:space="preserve"> הלכות מכירה פרק יג הלכה ט</w:t>
      </w:r>
      <w:r>
        <w:rPr>
          <w:rFonts w:hint="cs"/>
          <w:rtl/>
        </w:rPr>
        <w:t xml:space="preserve">] </w:t>
      </w:r>
      <w:r>
        <w:rPr>
          <w:rtl/>
        </w:rPr>
        <w:t>במה דברים אמורים במוכר נכסי עצמו, אבל השליח שטעה בכל שהוא בין במטלטלין בין בקרקעות חוזר, ונראה לי שכן הדין באפוטרופוס שטעה בכל שהוא, בין במטלטלין בין בקרקעות חוזר, ואינו דומה לב"ד מפני שהוא יחיד. /השגת הראב"ד/ שכן הדין באפוטרופוס וכו'. א"א לפי ענין דבריו הלוקח אינו יכול לחזור ולא לתבוע האונאה, וכשתעיין יפה אין הדבר כן שהרי מה ששנינו שום הדיינין וכו' העמידו אותו בגמרא בדברים שמכריזין עליהם והכריזו [כגון קרקעות] ואפ"ה הותירו שתות מכרן בטל או יחזירו ההונאה כפי דבריו, והטעם כל מי שקונה בשומת ב"ד לא עלה בדעתו שיתאנה ויהיה שם שום טעות הילכך אפילו בקרקעות קפיד אינש.</w:t>
      </w:r>
    </w:p>
    <w:p w14:paraId="72C4DF9D" w14:textId="1B351A00" w:rsidR="00E763A7" w:rsidRPr="00E763A7" w:rsidRDefault="008D5B4F" w:rsidP="00E763A7">
      <w:pPr>
        <w:pStyle w:val="Style1"/>
      </w:pPr>
      <w:r>
        <w:rPr>
          <w:rFonts w:hint="cs"/>
          <w:rtl/>
        </w:rPr>
        <w:lastRenderedPageBreak/>
        <w:t>3)[</w:t>
      </w:r>
      <w:r>
        <w:rPr>
          <w:rtl/>
        </w:rPr>
        <w:t>שולחן ערוך חושן משפט הלכות שלוחין סימן קפב סעיף ג</w:t>
      </w:r>
      <w:r>
        <w:rPr>
          <w:rFonts w:hint="cs"/>
          <w:rtl/>
        </w:rPr>
        <w:t>]</w:t>
      </w:r>
      <w:r w:rsidR="00E763A7">
        <w:rPr>
          <w:rFonts w:hint="cs"/>
          <w:rtl/>
        </w:rPr>
        <w:t xml:space="preserve"> </w:t>
      </w:r>
      <w:r w:rsidR="00E763A7" w:rsidRPr="00E763A7">
        <w:rPr>
          <w:rtl/>
        </w:rPr>
        <w:t>טעה וקנה ביוקר אפילו בכל שהוא המקח בטל בין בקרקע בין במטלטלין שיאמר לו לתקוני שדרתיך ולא לעוותי לפיכך אם התנה עמו שעשהו שליח בין לתיקון בין לעוות אפילו מכר לו שוה מנה בדינר או לקח לו שוה דינר במנה אינו יכול לחזור בו וחייב המשלח ליתן כפי התנאי</w:t>
      </w:r>
      <w:r w:rsidR="00E763A7" w:rsidRPr="00E763A7">
        <w:t>:</w:t>
      </w:r>
    </w:p>
    <w:p w14:paraId="05C385AC" w14:textId="5F332519" w:rsidR="00E763A7" w:rsidRDefault="00E763A7" w:rsidP="00E763A7">
      <w:pPr>
        <w:pStyle w:val="Style1"/>
        <w:rPr>
          <w:rtl/>
        </w:rPr>
      </w:pPr>
      <w:r w:rsidRPr="00E763A7">
        <w:rPr>
          <w:rFonts w:hint="cs"/>
          <w:rtl/>
        </w:rPr>
        <w:t>הגה</w:t>
      </w:r>
      <w:r w:rsidRPr="00E763A7">
        <w:rPr>
          <w:rFonts w:hint="cs"/>
        </w:rPr>
        <w:t>: </w:t>
      </w:r>
      <w:r w:rsidRPr="00E763A7">
        <w:rPr>
          <w:rFonts w:hint="cs"/>
          <w:rtl/>
        </w:rPr>
        <w:t>מי שצוה לאחד שיתעסק לו באיזו דבר והוא הוציא עליו הוצאות אם הוציא עליו יותר מן הרגילות להוציא על עסק כזה א"צ להחזיר דלא אסיק אדעתיה שיוציא כל כך אבל אם לא הוציא יותר מן הרגילות חייב לשלם לו (מהרי"ק שורש י') ואם יש טענה ביניהם עי' לעיל </w:t>
      </w:r>
      <w:hyperlink r:id="rId264" w:anchor="%D7%A1%D7%A2%D7%99%D7%A3_%D7%92" w:tooltip="שולחן ערוך חושן משפט צא" w:history="1">
        <w:r w:rsidRPr="00E763A7">
          <w:rPr>
            <w:rStyle w:val="Hyperlink"/>
            <w:rFonts w:hint="cs"/>
            <w:color w:val="7030A0"/>
            <w:u w:val="none"/>
            <w:rtl/>
          </w:rPr>
          <w:t>סי' צ"א סעיף ג</w:t>
        </w:r>
        <w:r w:rsidRPr="00E763A7">
          <w:rPr>
            <w:rStyle w:val="Hyperlink"/>
            <w:rFonts w:hint="cs"/>
            <w:color w:val="7030A0"/>
            <w:u w:val="none"/>
          </w:rPr>
          <w:t>'</w:t>
        </w:r>
      </w:hyperlink>
      <w:r w:rsidRPr="00E763A7">
        <w:rPr>
          <w:rFonts w:hint="cs"/>
        </w:rPr>
        <w:t> </w:t>
      </w:r>
      <w:r w:rsidRPr="00E763A7">
        <w:rPr>
          <w:rFonts w:hint="cs"/>
          <w:rtl/>
        </w:rPr>
        <w:t>ו</w:t>
      </w:r>
      <w:hyperlink r:id="rId265" w:anchor="%D7%A1%D7%A2%D7%99%D7%A3_%D7%93" w:tooltip="שולחן ערוך חושן משפט צג" w:history="1">
        <w:r w:rsidRPr="00E763A7">
          <w:rPr>
            <w:rStyle w:val="Hyperlink"/>
            <w:rFonts w:hint="cs"/>
            <w:color w:val="7030A0"/>
            <w:u w:val="none"/>
            <w:rtl/>
          </w:rPr>
          <w:t>סי' צ"ג סעיף ד</w:t>
        </w:r>
        <w:r w:rsidRPr="00E763A7">
          <w:rPr>
            <w:rStyle w:val="Hyperlink"/>
            <w:rFonts w:hint="cs"/>
            <w:color w:val="7030A0"/>
            <w:u w:val="none"/>
          </w:rPr>
          <w:t>'</w:t>
        </w:r>
      </w:hyperlink>
      <w:r w:rsidRPr="00E763A7">
        <w:t>:</w:t>
      </w:r>
    </w:p>
    <w:p w14:paraId="5888384C" w14:textId="6D9F5973" w:rsidR="00E763A7" w:rsidRPr="00E763A7" w:rsidRDefault="00E763A7" w:rsidP="00E763A7">
      <w:pPr>
        <w:pStyle w:val="Style1"/>
      </w:pPr>
      <w:r>
        <w:rPr>
          <w:rFonts w:hint="cs"/>
          <w:rtl/>
        </w:rPr>
        <w:t>3)[</w:t>
      </w:r>
      <w:r>
        <w:rPr>
          <w:rtl/>
        </w:rPr>
        <w:t>שולחן ערוך חושן משפט הלכות אונאה ומקח טעות סימן רכז סעיף כט</w:t>
      </w:r>
      <w:r>
        <w:rPr>
          <w:rFonts w:hint="cs"/>
          <w:rtl/>
        </w:rPr>
        <w:t xml:space="preserve">] </w:t>
      </w:r>
      <w:r w:rsidRPr="00E763A7">
        <w:rPr>
          <w:rtl/>
        </w:rPr>
        <w:t>אלו דברים שאין להם אונאה העבדים והשטרות והקרקעות וההקדשות אפי' מכר שוה אלף בדינר או שוה דינר באלף אין בהם אונאה</w:t>
      </w:r>
      <w:r w:rsidRPr="00E763A7">
        <w:t>:</w:t>
      </w:r>
    </w:p>
    <w:p w14:paraId="7CE48EC7" w14:textId="15377350" w:rsidR="00E763A7" w:rsidRDefault="00E763A7" w:rsidP="00E763A7">
      <w:pPr>
        <w:pStyle w:val="Style1"/>
        <w:rPr>
          <w:rtl/>
        </w:rPr>
      </w:pPr>
      <w:r w:rsidRPr="00E763A7">
        <w:rPr>
          <w:rFonts w:hint="cs"/>
          <w:rtl/>
        </w:rPr>
        <w:t>הגה: וי"א דדוקא עד פלגא אבל יותר מפלגא כגון שמכר לו אחד יותר משנים הוי אונאה (טור בשם ר"ח והרא"ש)</w:t>
      </w:r>
      <w:r w:rsidRPr="00E763A7">
        <w:t>:</w:t>
      </w:r>
    </w:p>
    <w:p w14:paraId="0FD018B8" w14:textId="268170C8" w:rsidR="00E763A7" w:rsidRDefault="00E763A7" w:rsidP="00E763A7">
      <w:pPr>
        <w:pStyle w:val="Style1"/>
        <w:rPr>
          <w:rtl/>
        </w:rPr>
      </w:pPr>
      <w:r>
        <w:rPr>
          <w:rFonts w:hint="cs"/>
          <w:rtl/>
        </w:rPr>
        <w:t>3)[</w:t>
      </w:r>
      <w:r>
        <w:rPr>
          <w:rtl/>
        </w:rPr>
        <w:t>שולחן ערוך חושן משפט הלכות אונאה ומקח טעות סימן רכז סעיף ל</w:t>
      </w:r>
      <w:r>
        <w:rPr>
          <w:rFonts w:hint="cs"/>
          <w:rtl/>
        </w:rPr>
        <w:t xml:space="preserve">] </w:t>
      </w:r>
      <w:r w:rsidRPr="00E763A7">
        <w:rPr>
          <w:rtl/>
        </w:rPr>
        <w:t>במה דברים אמורים במוכר נכסי עצמו אבל השליח או אפוטרופוס שטעה ונתאנה בכל שהוא בין במטלטלין בין בקרקע חוזר ואם אינה את הלוקח יש מי שאומר שהוא הדין שמכרו בטל בכל שהוא ויש מי שאומר שדינו כשאר כל אדם דעד שתות הוי מחילה וזכה המשלח ביתרון</w:t>
      </w:r>
      <w:r w:rsidRPr="00E763A7">
        <w:t>:</w:t>
      </w:r>
    </w:p>
    <w:p w14:paraId="4ED071EF" w14:textId="2558AC5D" w:rsidR="0062075A" w:rsidRDefault="0062075A" w:rsidP="0062075A">
      <w:pPr>
        <w:pStyle w:val="Style1"/>
        <w:rPr>
          <w:rtl/>
        </w:rPr>
      </w:pPr>
      <w:r>
        <w:rPr>
          <w:rFonts w:hint="cs"/>
          <w:rtl/>
        </w:rPr>
        <w:t>4)[</w:t>
      </w:r>
      <w:r>
        <w:rPr>
          <w:rtl/>
        </w:rPr>
        <w:t>רמב</w:t>
      </w:r>
      <w:r w:rsidR="00786216">
        <w:rPr>
          <w:rtl/>
        </w:rPr>
        <w:t>”ם \זרעים\</w:t>
      </w:r>
      <w:r>
        <w:rPr>
          <w:rtl/>
        </w:rPr>
        <w:t xml:space="preserve"> הלכות תרומות פרק ד הלכה ז</w:t>
      </w:r>
      <w:r>
        <w:rPr>
          <w:rFonts w:hint="cs"/>
          <w:rtl/>
        </w:rPr>
        <w:t xml:space="preserve">] </w:t>
      </w:r>
      <w:r>
        <w:rPr>
          <w:rtl/>
        </w:rPr>
        <w:t>האומר לשלוחו צא ותרום תורם כדעתו של בעל הבית, אם היה יודע בו שהוא בעל עין רעה מפריש אחד מששים, ואם היה בעל נפש שבעה מפריש אחד מארבעים, ואם אינו יודע דעתו מפריש לו בינונית אחד מחמשים, נתכוון לבינונית ועלתה בידו אחד מארבעים או אחד מששים תרומתו תרומה, ואם נתכוון להוסיף על הבינונית ותרם אפילו אחד מתשעים ותשעה אין תרומתו תרומה.</w:t>
      </w:r>
    </w:p>
    <w:p w14:paraId="6046A848" w14:textId="07FE0315" w:rsidR="0062075A" w:rsidRDefault="0062075A" w:rsidP="0062075A">
      <w:pPr>
        <w:pStyle w:val="Style1"/>
        <w:rPr>
          <w:rtl/>
        </w:rPr>
      </w:pPr>
      <w:r>
        <w:rPr>
          <w:rFonts w:hint="cs"/>
          <w:rtl/>
        </w:rPr>
        <w:t>5)[</w:t>
      </w:r>
      <w:r>
        <w:rPr>
          <w:rtl/>
        </w:rPr>
        <w:t>רמב</w:t>
      </w:r>
      <w:r w:rsidR="00786216">
        <w:rPr>
          <w:rtl/>
        </w:rPr>
        <w:t>”ם \זרעים\</w:t>
      </w:r>
      <w:r>
        <w:rPr>
          <w:rtl/>
        </w:rPr>
        <w:t xml:space="preserve"> הלכות תרומות פרק ג הלכה ו</w:t>
      </w:r>
      <w:r>
        <w:rPr>
          <w:rFonts w:hint="cs"/>
          <w:rtl/>
        </w:rPr>
        <w:t xml:space="preserve">] </w:t>
      </w:r>
      <w:r>
        <w:rPr>
          <w:rtl/>
        </w:rPr>
        <w:t>המפריש תרומה ועלתה בידו אפי' אחד מעשרים תרומתו תרומה, תרם ועלתה בידו אחד מששים וחזר והוסיף לשם תרומה אותה התוספת חייבת במעשרות ומפריש ממנה הכהן המעשרות ואחר כך יאכלנה, תרם ועלתה בידו אחד מששים ואחד הרי זו תרומה ויחזור ויתרום פעם שנייה כדי להשלים השיעור שבדעתו, והתוספת הזאת יש לו להפרישה במדה או במשקל או במנין אבל לא יפרישנה אלא מן המוקף כראשונה.</w:t>
      </w:r>
    </w:p>
    <w:p w14:paraId="265FF701" w14:textId="4646B9FB" w:rsidR="0062075A" w:rsidRDefault="0062075A" w:rsidP="0062075A">
      <w:pPr>
        <w:pStyle w:val="Style1"/>
        <w:rPr>
          <w:rtl/>
        </w:rPr>
      </w:pPr>
      <w:r>
        <w:rPr>
          <w:rFonts w:hint="cs"/>
          <w:rtl/>
        </w:rPr>
        <w:t>6)[</w:t>
      </w:r>
      <w:r>
        <w:rPr>
          <w:rtl/>
        </w:rPr>
        <w:t>רמב</w:t>
      </w:r>
      <w:r w:rsidR="00786216">
        <w:rPr>
          <w:rtl/>
        </w:rPr>
        <w:t>”ם \מכירה\</w:t>
      </w:r>
      <w:r>
        <w:rPr>
          <w:rtl/>
        </w:rPr>
        <w:t xml:space="preserve"> הלכות מכירה פרק יג הלכה י</w:t>
      </w:r>
      <w:r>
        <w:rPr>
          <w:rFonts w:hint="cs"/>
          <w:rtl/>
        </w:rPr>
        <w:t xml:space="preserve">] </w:t>
      </w:r>
      <w:r>
        <w:rPr>
          <w:rtl/>
        </w:rPr>
        <w:t>בית דין שמכרו נכסי יתומים וטעו בין בקרקעות בין במטלטלין, אם טעו בפחות משתות הרי זו מחילה כהדיוט, טעו בשתות בטל המקח ואם רצו שלא לבטל הממכר ויחזירו ההונייה מחזירין, לא יהיה כח הדיוט חמור מהן.</w:t>
      </w:r>
    </w:p>
    <w:p w14:paraId="47BB7791" w14:textId="63B384A9" w:rsidR="0062075A" w:rsidRDefault="0062075A" w:rsidP="0062075A">
      <w:pPr>
        <w:pStyle w:val="Style1"/>
        <w:rPr>
          <w:rtl/>
        </w:rPr>
      </w:pPr>
      <w:r>
        <w:rPr>
          <w:rFonts w:hint="cs"/>
          <w:rtl/>
        </w:rPr>
        <w:t>6)[</w:t>
      </w:r>
      <w:r>
        <w:rPr>
          <w:rtl/>
        </w:rPr>
        <w:t>רמב</w:t>
      </w:r>
      <w:r w:rsidR="00786216">
        <w:rPr>
          <w:rtl/>
        </w:rPr>
        <w:t>”ם \מכירה\</w:t>
      </w:r>
      <w:r>
        <w:rPr>
          <w:rtl/>
        </w:rPr>
        <w:t xml:space="preserve"> הלכות מכירה פרק יג הלכה יא</w:t>
      </w:r>
      <w:r>
        <w:rPr>
          <w:rFonts w:hint="cs"/>
          <w:rtl/>
        </w:rPr>
        <w:t xml:space="preserve">] </w:t>
      </w:r>
      <w:r>
        <w:rPr>
          <w:rtl/>
        </w:rPr>
        <w:t>נראה לי שבית דין שמכרו קרקע או עבדים של יתומים שוה מנה במאתים, אין הלוקח יכול לחזור בהן, לא יהיה כח הדיוט חמור מכח היתומים, וכן הדין באפוטרופוס שמכר קרקע ועבדים שאין הלוקח יכול לחזור בהונייה כדין ההדיוט.</w:t>
      </w:r>
    </w:p>
    <w:p w14:paraId="32475515" w14:textId="7909545E" w:rsidR="00DB2AC1" w:rsidRDefault="00DB2AC1" w:rsidP="00DB2AC1">
      <w:pPr>
        <w:pStyle w:val="Style1"/>
        <w:rPr>
          <w:rtl/>
        </w:rPr>
      </w:pPr>
      <w:r>
        <w:rPr>
          <w:rFonts w:hint="cs"/>
          <w:rtl/>
        </w:rPr>
        <w:t>6)[</w:t>
      </w:r>
      <w:r>
        <w:rPr>
          <w:rtl/>
        </w:rPr>
        <w:t>רמב</w:t>
      </w:r>
      <w:r w:rsidR="0057095E">
        <w:rPr>
          <w:rtl/>
        </w:rPr>
        <w:t>”ם \משפטים\</w:t>
      </w:r>
      <w:r>
        <w:rPr>
          <w:rtl/>
        </w:rPr>
        <w:t xml:space="preserve"> הלכות מלוה ולוה פרק יב הלכה יא</w:t>
      </w:r>
      <w:r>
        <w:rPr>
          <w:rFonts w:hint="cs"/>
          <w:rtl/>
        </w:rPr>
        <w:t xml:space="preserve">] </w:t>
      </w:r>
      <w:r>
        <w:rPr>
          <w:rtl/>
        </w:rPr>
        <w:t>ובית דין שהכריזו כראוי ובדקו יפה יפה ודקדקו בשומא אף על פי שטעו ומכרו שוה מנה במאתים או מאתים במנה הרי מכרן קיים, אבל אם לא בדקו בשומא ולא כתבו אגרת בקורת שהיא דקדוק השומא וההכרזה וטעו והותירו שתות או פחתו שתות מכרן בטל פחות משתות מכרן קיים, וכן אם מכרו קרקע בעת שאינן צריכין להכריז עליה וטעו שתות או הותירו שתות מכרן בטל אף על פי שהכריזו, פחות משתות מכרן קיים אף על פי שלא הכריזו שאינן צריכין הכרזה באותו העת, איזהו העת שאינן צריכין הכרזה בעת שימכרו קרקע לקבורה או למזון האשה והבנות או ליתן מנת המלך אין צריכין הכרזה לפי שהדבר נחוץ, וכן ב"ד שמכרו דברים שאינן טעונין הכרזה וטעו בשתות מכרן בטל פחות משתות מכרן קיים, ואלו הן הדברים שאין מכריזין עליהם העבדים והשטרות והמטלטלין, העבדים שמא ישמעו ויברחו, והשטרות והמטלטלין שמא יגנבו, לפיכך שמין אותן בבית דין ומוכרין אותן מיד, ואם השוק קרוב למדינה מוליכין אותן לשוק.</w:t>
      </w:r>
    </w:p>
    <w:p w14:paraId="7D3BC879" w14:textId="4036872E" w:rsidR="00DB2AC1" w:rsidRDefault="00DB2AC1" w:rsidP="00DB2AC1">
      <w:pPr>
        <w:pStyle w:val="Style1"/>
        <w:rPr>
          <w:rtl/>
        </w:rPr>
      </w:pPr>
      <w:r>
        <w:rPr>
          <w:rFonts w:hint="cs"/>
          <w:rtl/>
        </w:rPr>
        <w:t>6)[</w:t>
      </w:r>
      <w:r>
        <w:rPr>
          <w:rtl/>
        </w:rPr>
        <w:t>שולחן ערוך אבן העזר הלכות כתובות סימן קד סעיף ג</w:t>
      </w:r>
      <w:r>
        <w:rPr>
          <w:rFonts w:hint="cs"/>
          <w:rtl/>
        </w:rPr>
        <w:t xml:space="preserve">] </w:t>
      </w:r>
      <w:r w:rsidRPr="00A32994">
        <w:rPr>
          <w:rtl/>
        </w:rPr>
        <w:t>בית דין שהכריזו כראוי ובדקו יפה ודקדקו בשומא, אף על פי שטעו ומכרו שוה מנה במאתים או מאתים במנה, הרי מכרם קיים. אבל אם לא בדקו בשומא, ולא כתבו אגרת בקורת שהיא דקדוק השומא וההכרזה, וטעו והותירו שתות או פחתו שתות, מכרם בטל. פחות משתות, מכרם קיים. וכן אם מכרו קרקע בעת שאינם צריכים להכריז עליה, וטעו, ופחתו שתות או הותירו שתות, מכרן בטל, אף על פי שהכריזו</w:t>
      </w:r>
      <w:r w:rsidRPr="00A32994">
        <w:t>. </w:t>
      </w:r>
      <w:r w:rsidRPr="00A32994">
        <w:rPr>
          <w:rFonts w:hint="cs"/>
          <w:rtl/>
        </w:rPr>
        <w:t>ויש אומרים כיון שהכריזו, אפלו טעו בכפל, המקח קים (טור בשם הרא"ש) פחות משתות</w:t>
      </w:r>
      <w:r w:rsidRPr="00A32994">
        <w:t xml:space="preserve">, </w:t>
      </w:r>
      <w:r w:rsidRPr="00A32994">
        <w:rPr>
          <w:rtl/>
        </w:rPr>
        <w:t>מכרם קיים ואינו צריך להחזיר אונאה אף על פי שלא הכריזו. איזהו העת שאינם צריכים הכרזה, בעת שימכרו קרקע לקבורה או למזונות האשה והבנות או ליתן מנת המלך, אינם צריכים הכרזה, לפי שהדבר נחוץ. וכן אם לוו לצרך דברים אלו, כשמוכרים לפרעם אינם צריכים הכרזה</w:t>
      </w:r>
      <w:r w:rsidRPr="00A32994">
        <w:t>:</w:t>
      </w:r>
    </w:p>
    <w:p w14:paraId="7FB5BBD0" w14:textId="015734AC" w:rsidR="00DB2AC1" w:rsidRPr="00A32994" w:rsidRDefault="00DB2AC1" w:rsidP="00DB2AC1">
      <w:pPr>
        <w:pStyle w:val="Style1"/>
      </w:pPr>
      <w:r>
        <w:rPr>
          <w:rFonts w:hint="cs"/>
          <w:rtl/>
        </w:rPr>
        <w:t>6)[</w:t>
      </w:r>
      <w:r>
        <w:rPr>
          <w:rtl/>
        </w:rPr>
        <w:t>שולחן ערוך חושן משפט הלכות גביית חוב מהיתומים סימן קט סעיף ג</w:t>
      </w:r>
      <w:r>
        <w:rPr>
          <w:rFonts w:hint="cs"/>
          <w:rtl/>
        </w:rPr>
        <w:t xml:space="preserve">] </w:t>
      </w:r>
      <w:r w:rsidRPr="00A32994">
        <w:rPr>
          <w:rtl/>
        </w:rPr>
        <w:t>ב"ד שמכרו שלא בהכרזה נעשו כמו שטעו בדבר משנה וחוזרים ומוכרים בהכרזה</w:t>
      </w:r>
      <w:r w:rsidRPr="00A32994">
        <w:t>:</w:t>
      </w:r>
    </w:p>
    <w:p w14:paraId="79F31D3C" w14:textId="77777777" w:rsidR="00DB2AC1" w:rsidRPr="00A32994" w:rsidRDefault="00DB2AC1" w:rsidP="00DB2AC1">
      <w:pPr>
        <w:pStyle w:val="Style1"/>
      </w:pPr>
      <w:r w:rsidRPr="00A32994">
        <w:rPr>
          <w:rFonts w:hint="cs"/>
          <w:rtl/>
        </w:rPr>
        <w:t>הגה: י"א דאם מכרו הקרקעות בשעה שאין קונין כגון בשעת מגפה או מלחמה מה שעשו עשוי דאין לב"ד למכור אלא בשעת הגבייה ויש חולקין (ב"י שתי הדעות)</w:t>
      </w:r>
      <w:r w:rsidRPr="00A32994">
        <w:t>:</w:t>
      </w:r>
    </w:p>
    <w:p w14:paraId="7EB57E9B" w14:textId="77777777" w:rsidR="00DB2AC1" w:rsidRPr="00A32994" w:rsidRDefault="00DB2AC1" w:rsidP="00DB2AC1">
      <w:pPr>
        <w:pStyle w:val="Style1"/>
      </w:pPr>
      <w:r w:rsidRPr="00A32994">
        <w:rPr>
          <w:rtl/>
        </w:rPr>
        <w:t>וב"ד שמכרו האחריות על היתומים וב"ד שהכריזוה כראוי ובדקו יפה ודקדקו בשומא אע"פ שטעו ומכרו שוה מנה בק"ק או ק"ק במנה הרי מכרן קיים אבל אם לא בדקו בשומא ולא כתבו אגרת בקורת שהיא דקדוק השומא וההכרז' וטעו והותירו שתות או פחתו שתות מכרן בטל פחות משתות מכרן קיים וכן אם מכרו קרקע בעת שאינם צריכין להכריז עליה (או) במקום שנהגו שלא להכריז לעולם (טור ס"ז) וטעו ופחתו שתות או הותירו שתות מכרן בטל אף ע"פ שהכריזו </w:t>
      </w:r>
      <w:r w:rsidRPr="00A32994">
        <w:rPr>
          <w:rFonts w:hint="cs"/>
          <w:rtl/>
        </w:rPr>
        <w:t>(ויש אומרים דכיון שהכריזו אע"פ שלא היו צריכים מכרן קיים) (טור בשם הרא"ש)</w:t>
      </w:r>
    </w:p>
    <w:p w14:paraId="13C6EB3C" w14:textId="77777777" w:rsidR="00DB2AC1" w:rsidRDefault="00DB2AC1" w:rsidP="00DB2AC1">
      <w:pPr>
        <w:pStyle w:val="Style1"/>
        <w:rPr>
          <w:rtl/>
        </w:rPr>
      </w:pPr>
      <w:r w:rsidRPr="00A32994">
        <w:rPr>
          <w:rtl/>
        </w:rPr>
        <w:t>ואם רצו ב"ד שלא לבטל המכר ויחזירו האונאה מחזירין לא יהיה כח הדיוט חמור מהם פחות משתות מכרן קיים והוי מחילה כדין ההדיוט אע"פ שלא הכריזו שאינם צריכי' (הכרזה) באותה העת איזהו העת שאינם צריכים הכרזה כשמוכרים לפרוע למי שהלוה לצורך קבורה או למזון האשה והבנות או ליתן מנת המלך וכן ב"ד שמכרו דברים שאינם טעונים הכרזה וטעו בשתות מכרן בטל פחות משתות מכרן קיים ואלו הם הדברי' שאין מכריזין עליהם העבדים והשטרות והמטלטלי' אלא שמין אותם בב"ד ומוכרים אותם מיד ואם השוק קרוב למדינה מוליכים אותו לשוק</w:t>
      </w:r>
      <w:r w:rsidRPr="00A32994">
        <w:t>:</w:t>
      </w:r>
    </w:p>
    <w:p w14:paraId="0B4F7226" w14:textId="7986D7B8" w:rsidR="00E763A7" w:rsidRPr="00E763A7" w:rsidRDefault="00E763A7" w:rsidP="00DB2AC1">
      <w:pPr>
        <w:pStyle w:val="Style1"/>
      </w:pPr>
    </w:p>
    <w:p w14:paraId="013A773C" w14:textId="77777777" w:rsidR="00E763A7" w:rsidRPr="00E763A7" w:rsidRDefault="00E763A7" w:rsidP="00E763A7">
      <w:pPr>
        <w:pStyle w:val="Style1"/>
      </w:pPr>
    </w:p>
    <w:p w14:paraId="48232BA3" w14:textId="4F3F1063" w:rsidR="00E763A7" w:rsidRPr="00E763A7" w:rsidRDefault="00E763A7" w:rsidP="00E763A7">
      <w:pPr>
        <w:pStyle w:val="Style1"/>
      </w:pPr>
    </w:p>
    <w:p w14:paraId="37705916" w14:textId="77777777" w:rsidR="00E763A7" w:rsidRPr="00E763A7" w:rsidRDefault="00E763A7" w:rsidP="00E763A7">
      <w:pPr>
        <w:pStyle w:val="Style1"/>
      </w:pPr>
    </w:p>
    <w:p w14:paraId="5C71D9D0" w14:textId="77777777" w:rsidR="00B600B2" w:rsidRDefault="00B600B2" w:rsidP="00B600B2">
      <w:pPr>
        <w:rPr>
          <w:rStyle w:val="Style1Char"/>
          <w:color w:val="00B050"/>
          <w:rtl/>
        </w:rPr>
      </w:pPr>
      <w:r>
        <w:rPr>
          <w:rStyle w:val="Style1Char"/>
          <w:color w:val="00B050"/>
          <w:rtl/>
        </w:rPr>
        <w:br w:type="page"/>
      </w:r>
    </w:p>
    <w:p w14:paraId="16BDF71A" w14:textId="575DF96B" w:rsidR="00B600B2" w:rsidRPr="00F9005B" w:rsidRDefault="00B600B2" w:rsidP="00B600B2">
      <w:pPr>
        <w:bidi/>
        <w:rPr>
          <w:rStyle w:val="Style1Char"/>
          <w:color w:val="4472C4" w:themeColor="accent1"/>
        </w:rPr>
      </w:pPr>
      <w:r w:rsidRPr="00F828F8">
        <w:rPr>
          <w:rStyle w:val="Style1Char"/>
          <w:color w:val="auto"/>
          <w:sz w:val="22"/>
          <w:szCs w:val="22"/>
          <w:highlight w:val="yellow"/>
          <w:rtl/>
        </w:rPr>
        <w:lastRenderedPageBreak/>
        <w:t>[דף ק עמוד א]</w:t>
      </w:r>
      <w:r w:rsidRPr="00F828F8">
        <w:rPr>
          <w:rStyle w:val="Style1Char"/>
          <w:color w:val="auto"/>
          <w:sz w:val="22"/>
          <w:szCs w:val="22"/>
          <w:rtl/>
        </w:rPr>
        <w:t xml:space="preserve"> רבא אמר ר"נ: שליח כדיינין, רב שמואל בר ביסנא אמר ר"נ: </w:t>
      </w:r>
      <w:r w:rsidRPr="001A6FBE">
        <w:rPr>
          <w:rStyle w:val="Style1Char"/>
          <w:color w:val="806000" w:themeColor="accent4" w:themeShade="80"/>
          <w:sz w:val="22"/>
          <w:szCs w:val="22"/>
          <w:rtl/>
        </w:rPr>
        <w:t xml:space="preserve">שליח </w:t>
      </w:r>
      <w:r w:rsidRPr="001A6FBE">
        <w:rPr>
          <w:rStyle w:val="Style1Char"/>
          <w:color w:val="auto"/>
          <w:sz w:val="22"/>
          <w:szCs w:val="22"/>
          <w:rtl/>
        </w:rPr>
        <w:t>כאלמנה</w:t>
      </w:r>
      <w:r w:rsidRPr="006E3F78">
        <w:rPr>
          <w:rStyle w:val="Style1Char"/>
          <w:sz w:val="22"/>
          <w:szCs w:val="22"/>
          <w:rtl/>
        </w:rPr>
        <w:t>.</w:t>
      </w:r>
      <w:r w:rsidRPr="006E3F78">
        <w:rPr>
          <w:rStyle w:val="Style1Char"/>
          <w:rtl/>
        </w:rPr>
        <w:t xml:space="preserve"> </w:t>
      </w:r>
      <w:r w:rsidRPr="00884884">
        <w:rPr>
          <w:rStyle w:val="Style1Char"/>
          <w:color w:val="00B050"/>
          <w:rtl/>
        </w:rPr>
        <w:t>רבא אמר ר"נ שליח כדיינין, מה דיינין לאו לדידהו, אף שליח נמי לאו לדידיה, לאפוקי אלמנה דלדידה; רב שמואל בר ביסנא אמר ר"נ כאלמנה, מה אלמנה יחידה, אף שליח יחיד, לאפוקי ב"ד דרבים נינהו</w:t>
      </w:r>
      <w:r w:rsidRPr="003D4526">
        <w:rPr>
          <w:rStyle w:val="Style1Char"/>
          <w:sz w:val="22"/>
          <w:szCs w:val="22"/>
          <w:rtl/>
        </w:rPr>
        <w:t xml:space="preserve">. </w:t>
      </w:r>
      <w:r w:rsidR="00DB2AC1">
        <w:rPr>
          <w:rStyle w:val="Style1Char"/>
          <w:rFonts w:hint="cs"/>
          <w:rtl/>
        </w:rPr>
        <w:t>(1)</w:t>
      </w:r>
      <w:r w:rsidRPr="001A6FBE">
        <w:rPr>
          <w:rStyle w:val="Style1Char"/>
          <w:color w:val="auto"/>
          <w:sz w:val="22"/>
          <w:szCs w:val="22"/>
          <w:rtl/>
        </w:rPr>
        <w:t>והלכתא: שליח כאלמנה</w:t>
      </w:r>
      <w:r w:rsidRPr="001A6FBE">
        <w:rPr>
          <w:rStyle w:val="Style1Char"/>
          <w:color w:val="auto"/>
          <w:rtl/>
        </w:rPr>
        <w:t xml:space="preserve"> </w:t>
      </w:r>
      <w:r w:rsidRPr="001A6FBE">
        <w:rPr>
          <w:rStyle w:val="Style1Char"/>
          <w:color w:val="806000" w:themeColor="accent4" w:themeShade="80"/>
          <w:sz w:val="22"/>
          <w:szCs w:val="22"/>
          <w:rtl/>
        </w:rPr>
        <w:t>דאם טעה בכל שהוא מכרו בטל</w:t>
      </w:r>
      <w:r w:rsidRPr="00AC10D3">
        <w:rPr>
          <w:rStyle w:val="BalloonTextChar"/>
          <w:rFonts w:asciiTheme="minorHAnsi" w:hAnsiTheme="minorHAnsi" w:cs="Arial"/>
          <w:color w:val="4472C4" w:themeColor="accent1"/>
          <w:rtl/>
        </w:rPr>
        <w:t xml:space="preserve"> </w:t>
      </w:r>
      <w:r w:rsidRPr="00F9005B">
        <w:rPr>
          <w:rStyle w:val="Style1Char"/>
          <w:color w:val="4472C4" w:themeColor="accent1"/>
          <w:rtl/>
        </w:rPr>
        <w:t>משמע הא דקתני במתני' מכרה שוה מנה ודינר במנה לאו דוקא דינר הוא הדין בפחות ויש מפרשים דינר דווקא ולא נהירא כיון דאפי' פחות מכדי אונאה בטל אין חילוק בין דינר לפחות פירש ר"ת דהאי שליח מיירי כשעשאוהו בית דין שליח למכור דאי בשליח שעשאוהו בעלים היכי קאמר רבא משמיה דרב נחמן שליח כדיינין הא אמר רב נחמן לעיל (דף צט ב) אבל טעה שליח לא דאמר ליה לתקוני שדרתיך ועוד דבריש האיש מקדש (דף מב ב) א"ר נחמן האחין שחלקו לקוחות הן פחות משתות נקנה מקח אמר רבא הא דאמרת פחות משתות נקנה מקח לא אמרן אלא דלא שוייה שליח אבל שוייה שליח א"ל לתקוני שדרתיך ולא לעוותי אלמא בשליח אפילו בפחות משתות בטל מקח הלכך בשליח דיינין איירי הכא דאלים כחו ור"י פירש כיון דקאמר הש"ס שליח סתם משמע בסתם שליח שעשאוהו בעלים והא דא"ר נחמן לעיל טעה שליח לא קאמינא היינו בטעות שתות כטעות דמתני' וההיא דקידושין הכי פירושא הא דאמרת פחות משתות נקנה מקח ואין צריך להחזיר אונאה לא אמרן אלא דלא שווייה שליח אבל שוייה שליח מצי אמר ליה לתקוני שדרתיך לענין זה שצריך להחזיר האונאה ומכ"מ המקח קיים</w:t>
      </w:r>
      <w:r>
        <w:rPr>
          <w:rStyle w:val="Style1Char"/>
          <w:rFonts w:hint="cs"/>
          <w:color w:val="4472C4" w:themeColor="accent1"/>
        </w:rPr>
        <w:t>‍</w:t>
      </w:r>
      <w:r w:rsidRPr="00F9005B">
        <w:rPr>
          <w:rStyle w:val="Style1Char"/>
          <w:color w:val="4472C4" w:themeColor="accent1"/>
          <w:rtl/>
        </w:rPr>
        <w:t xml:space="preserve"> והא דאמר רב נחמן שליח כדיינין היינו לענין זה דהמקח קיים אבל האונאה מיהא צריך להחזיר וכן הדיינין דאין כח בדיינין כלל טפי משליח דעלמא והרמב"ם ז"ל (פי"ג מהל' מכירה הל' י') כתב דאם טעו בפחות משתות הרי זו מחילה כהדיוט וכן מסתבר ופירוש רבינו תם עיקר דנקבעת בעיא זו אמתניתין דשום הדיינין שפחתו שתות משמע דבשליח דיינין איירי</w:t>
      </w:r>
      <w:r w:rsidRPr="00F9005B">
        <w:rPr>
          <w:rStyle w:val="Style1Char"/>
          <w:color w:val="4472C4" w:themeColor="accent1"/>
        </w:rPr>
        <w:t xml:space="preserve">: </w:t>
      </w:r>
    </w:p>
    <w:p w14:paraId="10BD6190" w14:textId="60A2CA37" w:rsidR="00B600B2" w:rsidRDefault="00B600B2" w:rsidP="00B600B2">
      <w:pPr>
        <w:bidi/>
        <w:rPr>
          <w:rStyle w:val="Style1Char"/>
          <w:color w:val="auto"/>
          <w:sz w:val="22"/>
          <w:szCs w:val="22"/>
        </w:rPr>
      </w:pPr>
      <w:r w:rsidRPr="003D4526">
        <w:rPr>
          <w:rStyle w:val="Style1Char"/>
          <w:sz w:val="22"/>
          <w:szCs w:val="22"/>
          <w:rtl/>
        </w:rPr>
        <w:t xml:space="preserve">. </w:t>
      </w:r>
      <w:r w:rsidRPr="00884884">
        <w:rPr>
          <w:rStyle w:val="Style1Char"/>
          <w:color w:val="00B050"/>
          <w:rtl/>
        </w:rPr>
        <w:t xml:space="preserve">ומאי שנא מהא דתנן: האומר לשלוחו צא ותרום - תורם כדעת בעל הבית, ואם אינו יודע דעתו של בעל הבית - תורם בבינונית אחד מחמשים, פיחת עשרה או הוסיף עשרה - תרומתו תרומה? התם כיון דאיכא דתורם בעין רעה ואיכא דתורם בעין יפה, א"ל: להכי אמדתיך, אבל הכא טעותא הוא, א"ל: לא איבעי לך למיטעי. </w:t>
      </w:r>
      <w:r w:rsidRPr="003D4526">
        <w:rPr>
          <w:rStyle w:val="Style1Char"/>
          <w:sz w:val="22"/>
          <w:szCs w:val="22"/>
          <w:rtl/>
        </w:rPr>
        <w:t xml:space="preserve">אמר רב הונא בר חנינא </w:t>
      </w:r>
      <w:r w:rsidRPr="008D7055">
        <w:rPr>
          <w:rStyle w:val="Style1Char"/>
          <w:color w:val="auto"/>
          <w:sz w:val="22"/>
          <w:szCs w:val="22"/>
          <w:rtl/>
        </w:rPr>
        <w:t>אמר ר"נ</w:t>
      </w:r>
      <w:r w:rsidRPr="008D7055">
        <w:rPr>
          <w:rStyle w:val="Style1Char"/>
          <w:color w:val="4472C4" w:themeColor="accent1"/>
          <w:rtl/>
        </w:rPr>
        <w:t xml:space="preserve"> </w:t>
      </w:r>
      <w:r w:rsidRPr="00F9005B">
        <w:rPr>
          <w:rStyle w:val="Style1Char"/>
          <w:color w:val="4472C4" w:themeColor="accent1"/>
          <w:rtl/>
        </w:rPr>
        <w:t>אמר רב הונא</w:t>
      </w:r>
      <w:r w:rsidRPr="003D4526">
        <w:rPr>
          <w:rStyle w:val="Style1Char"/>
          <w:sz w:val="22"/>
          <w:szCs w:val="22"/>
          <w:rtl/>
        </w:rPr>
        <w:t xml:space="preserve">: </w:t>
      </w:r>
      <w:r w:rsidRPr="008D7055">
        <w:rPr>
          <w:rStyle w:val="Style1Char"/>
          <w:color w:val="auto"/>
          <w:sz w:val="22"/>
          <w:szCs w:val="22"/>
          <w:rtl/>
        </w:rPr>
        <w:t xml:space="preserve">הלכה כדברי חכמים. ולית ליה לר"נ מה כח ב"ד יפה? והאמר ר"נ אמר שמואל: </w:t>
      </w:r>
      <w:r w:rsidR="00A6107D">
        <w:rPr>
          <w:rStyle w:val="Style1Char"/>
          <w:rFonts w:hint="cs"/>
          <w:rtl/>
        </w:rPr>
        <w:t>(2)</w:t>
      </w:r>
      <w:r w:rsidRPr="008D7055">
        <w:rPr>
          <w:rStyle w:val="Style1Char"/>
          <w:color w:val="auto"/>
          <w:sz w:val="22"/>
          <w:szCs w:val="22"/>
          <w:rtl/>
        </w:rPr>
        <w:t xml:space="preserve">יתומים שבאו לחלוק בנכסי אביהן, ב"ד מעמידין להן אפוטרופוס ובוררין להם חלק יפה, הגדילו - יכולין למחות; ור"נ דידיה אמר: </w:t>
      </w:r>
      <w:r w:rsidR="00D33B9D">
        <w:rPr>
          <w:rStyle w:val="Style1Char"/>
          <w:rFonts w:hint="cs"/>
          <w:rtl/>
        </w:rPr>
        <w:t>(2)</w:t>
      </w:r>
      <w:r w:rsidRPr="008D7055">
        <w:rPr>
          <w:rStyle w:val="Style1Char"/>
          <w:color w:val="auto"/>
          <w:sz w:val="22"/>
          <w:szCs w:val="22"/>
          <w:rtl/>
        </w:rPr>
        <w:t xml:space="preserve">הגדילו - אין יכולין למחות, </w:t>
      </w:r>
      <w:r w:rsidRPr="008D7055">
        <w:rPr>
          <w:rStyle w:val="Style1Char"/>
          <w:rFonts w:hint="cs"/>
          <w:color w:val="806000" w:themeColor="accent4" w:themeShade="80"/>
          <w:sz w:val="22"/>
          <w:szCs w:val="22"/>
          <w:rtl/>
        </w:rPr>
        <w:t>ד</w:t>
      </w:r>
      <w:r w:rsidRPr="008D7055">
        <w:rPr>
          <w:rStyle w:val="Style1Char"/>
          <w:color w:val="auto"/>
          <w:sz w:val="22"/>
          <w:szCs w:val="22"/>
          <w:rtl/>
        </w:rPr>
        <w:t xml:space="preserve">א"כ, מה כח ב"ד יפה! </w:t>
      </w:r>
    </w:p>
    <w:p w14:paraId="4C547EDE" w14:textId="77777777" w:rsidR="00B600B2" w:rsidRDefault="00B600B2" w:rsidP="00B600B2">
      <w:pPr>
        <w:bidi/>
        <w:rPr>
          <w:rStyle w:val="Style1Char"/>
          <w:color w:val="4472C4" w:themeColor="accent1"/>
        </w:rPr>
      </w:pPr>
      <w:r w:rsidRPr="00F9005B">
        <w:rPr>
          <w:rStyle w:val="Style1Char"/>
          <w:color w:val="4472C4" w:themeColor="accent1"/>
          <w:rtl/>
        </w:rPr>
        <w:t>י"מ הא דקאמר יתומים שבאו לחלוק דהוא הדין</w:t>
      </w:r>
      <w:r>
        <w:rPr>
          <w:rStyle w:val="Style1Char"/>
          <w:rFonts w:hint="cs"/>
          <w:color w:val="4472C4" w:themeColor="accent1"/>
        </w:rPr>
        <w:t>‍</w:t>
      </w:r>
      <w:r w:rsidRPr="00F9005B">
        <w:rPr>
          <w:rStyle w:val="Style1Char"/>
          <w:color w:val="4472C4" w:themeColor="accent1"/>
          <w:rtl/>
        </w:rPr>
        <w:t xml:space="preserve"> אפילו לא בא אלא אחד דהא בריש האיש מקדש (דף מב ב) מייתי לה אחלוקת ארץ ישראל שהיו בה כמה יונקי שדים ומיהו אין ראיה גמורה מהתם דלא עבדינן ממש הנך יתומים כי ההיא דעל פי הדיבור היתה חלוקת הארץ והיו שם אורים ותומים והגדילו אינן יכולין למחות ויש רוצים לדקדק מההיא דיבמות פרק אלמנה (דף סז א) כולן זכרים יאכלו עבדים בתרומה ואף על גב דשמא ימצא עובר זכר ועובר במעי זרה זר הוא דעבדינן תקנתא כדרב נחמן ונותנין לעובר חלק בנכסים כנגד העבדים אלמא עבדינן תקנתא דר"נ אפילו לא בא כי אם הא' לחלק דומיא דהתם דאיכא עובר וגם זו אינה ראיה גמורה דשאני התם דיש תקנתא גם לעובר שחלקו מתעלה בכך במה שיאכלו עבדים שלו בתרומה שהיא בזול ועוד היכא שהאחד מוחה בפירוש שלא לחלק אין ראיה שנעמיד אפטרופוס לחלוק בעל כרחו</w:t>
      </w:r>
      <w:r>
        <w:rPr>
          <w:rStyle w:val="Style1Char"/>
          <w:rFonts w:hint="cs"/>
          <w:color w:val="4472C4" w:themeColor="accent1"/>
        </w:rPr>
        <w:t>‍</w:t>
      </w:r>
      <w:r w:rsidRPr="00F9005B">
        <w:rPr>
          <w:rStyle w:val="Style1Char"/>
          <w:color w:val="4472C4" w:themeColor="accent1"/>
          <w:rtl/>
        </w:rPr>
        <w:t xml:space="preserve"> וגם ר"ת פירש דווקא שניהם רוצים אבל אחד רוצה ואחד אינו רוצה לא ויראה דכל האי שקלא וטריא היכא שהיתומים כולן קטנים וצריכין אפטרופוס לשמור נכסיהם הלכך אין חולקין נכסיהם בלא דעת כולם אבל אם מקצתן גדולים ואומרים אנו רוצים לעבוד ולשמור את חלקנו ואין אנו רוצים שיהיה אפטרופוס ממונה על חלקנו</w:t>
      </w:r>
      <w:r>
        <w:rPr>
          <w:rStyle w:val="Style1Char"/>
          <w:rFonts w:hint="cs"/>
          <w:color w:val="4472C4" w:themeColor="accent1"/>
        </w:rPr>
        <w:t>‍</w:t>
      </w:r>
      <w:r w:rsidRPr="00F9005B">
        <w:rPr>
          <w:rStyle w:val="Style1Char"/>
          <w:color w:val="4472C4" w:themeColor="accent1"/>
          <w:rtl/>
        </w:rPr>
        <w:t xml:space="preserve"> מלתא דפשיטא היא ששומעין להם דלמה יפסידו הם בשביל שאחיהם קטנים</w:t>
      </w:r>
      <w:r>
        <w:rPr>
          <w:rStyle w:val="Style1Char"/>
          <w:rFonts w:hint="cs"/>
          <w:color w:val="4472C4" w:themeColor="accent1"/>
        </w:rPr>
        <w:t>‍</w:t>
      </w:r>
      <w:r w:rsidRPr="00F9005B">
        <w:rPr>
          <w:rStyle w:val="Style1Char"/>
          <w:color w:val="4472C4" w:themeColor="accent1"/>
          <w:rtl/>
        </w:rPr>
        <w:t xml:space="preserve"> ולכאורה נראה דמילתא דשמואל לא איירי כלל בכולן קטנים דלא שייך לומר שבאו לחלוק דאין מעשיהם כלום אלא אם יראה לב"ד שהחלוקה טובה להם יחלקו ביניהם ואם יראה בית דין שאין החלוקה טובה אין שומעין להם אפילו כולן תובעין חלוקה אלא עיקר מלתא דשמואל איירי כשהגדולים תובעין חלוקה וקמ"ל דנזקקין ב"ד להם להעמיד אפטרופוס לקטנים ולחלוק עם הגדולים מעמידין בית דין להם אפטרופוס לחלוק על פיו ובוררין להם חלק יפה בגורל</w:t>
      </w:r>
      <w:r>
        <w:rPr>
          <w:rStyle w:val="Style1Char"/>
          <w:rFonts w:hint="cs"/>
          <w:color w:val="4472C4" w:themeColor="accent1"/>
        </w:rPr>
        <w:t>‍</w:t>
      </w:r>
      <w:r w:rsidRPr="00F9005B">
        <w:rPr>
          <w:rStyle w:val="Style1Char"/>
          <w:color w:val="4472C4" w:themeColor="accent1"/>
          <w:rtl/>
        </w:rPr>
        <w:t xml:space="preserve"> ובשומת ב"ד וכן פירש רבנו תם דאפילו בגורל שייך ברירת חלק יפה כגון אם יש שלש שדות שיטול כל אחד שדה אחת ויהא חלקו במקום אחד ממה שיטול כל אחד שליש כל שדה ושדה וכמה ענייני ברירות יש אפילו בגורל ובשומת ב"ד כגון בחלונות וסולם ודרך ואין חולקין בדבר דשייך ביה גוד או אגוד דאי חולקין בו</w:t>
      </w:r>
      <w:r>
        <w:rPr>
          <w:rStyle w:val="Style1Char"/>
          <w:rFonts w:hint="cs"/>
          <w:color w:val="4472C4" w:themeColor="accent1"/>
        </w:rPr>
        <w:t>‍</w:t>
      </w:r>
      <w:r w:rsidRPr="00F9005B">
        <w:rPr>
          <w:rStyle w:val="Style1Char"/>
          <w:color w:val="4472C4" w:themeColor="accent1"/>
          <w:rtl/>
        </w:rPr>
        <w:t xml:space="preserve"> אמאי דחיק למימר יכולין למחות ברוחות הול"ל יכולין למחות בגוד או אגוד וכן פירש רבינו חננאל ז"ל</w:t>
      </w:r>
      <w:r w:rsidRPr="00F9005B">
        <w:rPr>
          <w:rStyle w:val="Style1Char"/>
          <w:color w:val="4472C4" w:themeColor="accent1"/>
        </w:rPr>
        <w:t>:</w:t>
      </w:r>
    </w:p>
    <w:p w14:paraId="6093F545" w14:textId="571DF843" w:rsidR="00B600B2" w:rsidRPr="00F9005B" w:rsidRDefault="00B600B2" w:rsidP="00B600B2">
      <w:pPr>
        <w:bidi/>
        <w:rPr>
          <w:rStyle w:val="Style1Char"/>
          <w:color w:val="4472C4" w:themeColor="accent1"/>
        </w:rPr>
      </w:pPr>
      <w:r w:rsidRPr="008D7055">
        <w:rPr>
          <w:rStyle w:val="Style1Char"/>
          <w:color w:val="auto"/>
          <w:sz w:val="22"/>
          <w:szCs w:val="22"/>
          <w:rtl/>
        </w:rPr>
        <w:t xml:space="preserve">לא קשיא: </w:t>
      </w:r>
      <w:r w:rsidR="00D33B9D">
        <w:rPr>
          <w:rStyle w:val="Style1Char"/>
          <w:rFonts w:hint="cs"/>
          <w:rtl/>
        </w:rPr>
        <w:t>(2)</w:t>
      </w:r>
      <w:r w:rsidRPr="008D7055">
        <w:rPr>
          <w:rStyle w:val="Style1Char"/>
          <w:color w:val="auto"/>
          <w:sz w:val="22"/>
          <w:szCs w:val="22"/>
          <w:rtl/>
        </w:rPr>
        <w:t>הא דטעו, הא דלא טעו. אי דלא טעו, במאי יכולין למחות? ברוחות</w:t>
      </w:r>
      <w:r w:rsidRPr="008D7055">
        <w:rPr>
          <w:rStyle w:val="Style1Char"/>
          <w:color w:val="auto"/>
          <w:rtl/>
        </w:rPr>
        <w:t xml:space="preserve"> </w:t>
      </w:r>
      <w:r w:rsidRPr="003D4526">
        <w:rPr>
          <w:rStyle w:val="Style1Char"/>
          <w:color w:val="C00000"/>
          <w:sz w:val="22"/>
          <w:szCs w:val="22"/>
          <w:rtl/>
        </w:rPr>
        <w:t>והלכתא כר"נ</w:t>
      </w:r>
      <w:r w:rsidRPr="009D4D89">
        <w:rPr>
          <w:rStyle w:val="Style1Char"/>
          <w:color w:val="4472C4" w:themeColor="accent1"/>
          <w:rtl/>
        </w:rPr>
        <w:t xml:space="preserve"> </w:t>
      </w:r>
    </w:p>
    <w:p w14:paraId="2735441D" w14:textId="20D4DE1D" w:rsidR="00B600B2" w:rsidRDefault="00B600B2" w:rsidP="00B600B2">
      <w:pPr>
        <w:bidi/>
        <w:rPr>
          <w:rStyle w:val="Style1Char"/>
          <w:color w:val="00B050"/>
          <w:rtl/>
        </w:rPr>
      </w:pPr>
      <w:r w:rsidRPr="003D4526">
        <w:rPr>
          <w:rStyle w:val="Style1Char"/>
          <w:color w:val="C00000"/>
          <w:sz w:val="22"/>
          <w:szCs w:val="22"/>
          <w:rtl/>
        </w:rPr>
        <w:t>.</w:t>
      </w:r>
      <w:r w:rsidRPr="003D4526">
        <w:rPr>
          <w:rStyle w:val="Style1Char"/>
          <w:sz w:val="22"/>
          <w:szCs w:val="22"/>
          <w:rtl/>
        </w:rPr>
        <w:t>.</w:t>
      </w:r>
      <w:r w:rsidRPr="00884884">
        <w:rPr>
          <w:rStyle w:val="Style1Char"/>
          <w:color w:val="00B050"/>
          <w:rtl/>
        </w:rPr>
        <w:t xml:space="preserve"> כי אתא רב דימי אמר: מעשה ועשה רבי כדברי חכמים, אמר לפניו פרטא בנו של רבי אלעזר בן פרטא בן בנו של ר' פרטא הגדול: א"כ: מה כח ב"ד יפה? והחזיר רבי את המעשה. רב דימי מתני הכי. רב ספרא מתני הכי: מעשה וביקש רבי לעשות כדברי חכמים, אמר לפניו פרטא בנו של רבי אלעזר בן פרטא בן בנו של ר' פרטא הגדול: א"כ, מה כח ב"ד יפה? לא עשה רבי את המעשה. לימא בהא קמיפלגי, מר סבר: טעה בדבר משנה חוזר, ומר סבר: אינו חוזר! לא, דכ"ע - טעה בדבר משנה חוזר, ומר סבר: הכי הוה מעשה, ומר סבר: הכי הוה מעשה. </w:t>
      </w:r>
      <w:r w:rsidRPr="00226057">
        <w:rPr>
          <w:rStyle w:val="Style1Char"/>
          <w:color w:val="auto"/>
          <w:sz w:val="22"/>
          <w:szCs w:val="22"/>
          <w:rtl/>
        </w:rPr>
        <w:t>אמר רב יוסף: ארמלתא דזבינה - אחריות איתמי, וב"ד דזבין - אחריות איתמי.</w:t>
      </w:r>
      <w:r w:rsidRPr="00474A90">
        <w:rPr>
          <w:rStyle w:val="Style1Char"/>
          <w:sz w:val="22"/>
          <w:szCs w:val="22"/>
          <w:rtl/>
        </w:rPr>
        <w:t xml:space="preserve"> </w:t>
      </w:r>
      <w:r w:rsidRPr="00884884">
        <w:rPr>
          <w:rStyle w:val="Style1Char"/>
          <w:color w:val="00B050"/>
          <w:rtl/>
        </w:rPr>
        <w:t xml:space="preserve">פשיטא! אלמנה לא איצטריכא ליה, כי איצטריך ליה - בי דינא, מהו דתימא </w:t>
      </w:r>
    </w:p>
    <w:p w14:paraId="411ED1ED" w14:textId="74838D5B" w:rsidR="00A6107D" w:rsidRDefault="00A6107D" w:rsidP="00A6107D">
      <w:pPr>
        <w:pStyle w:val="Style1"/>
        <w:rPr>
          <w:rtl/>
        </w:rPr>
      </w:pPr>
      <w:r>
        <w:rPr>
          <w:rFonts w:hint="cs"/>
          <w:rtl/>
        </w:rPr>
        <w:t>1)[</w:t>
      </w:r>
      <w:r>
        <w:rPr>
          <w:rtl/>
        </w:rPr>
        <w:t>רמב</w:t>
      </w:r>
      <w:r w:rsidR="00786216">
        <w:rPr>
          <w:rtl/>
        </w:rPr>
        <w:t>”ם \מכירה\</w:t>
      </w:r>
      <w:r>
        <w:rPr>
          <w:rtl/>
        </w:rPr>
        <w:t xml:space="preserve"> הלכות מכירה פרק יג הלכה ט</w:t>
      </w:r>
      <w:r>
        <w:rPr>
          <w:rFonts w:hint="cs"/>
          <w:rtl/>
        </w:rPr>
        <w:t xml:space="preserve">] </w:t>
      </w:r>
      <w:r>
        <w:rPr>
          <w:rtl/>
        </w:rPr>
        <w:t>במה דברים אמורים במוכר נכסי עצמו, אבל השליח שטעה בכל שהוא בין במטלטלין בין בקרקעות חוזר, ונראה לי שכן הדין באפוטרופוס שטעה בכל שהוא, בין במטלטלין בין בקרקעות חוזר, ואינו דומה לב"ד מפני שהוא יחיד. /השגת הראב"ד/ שכן הדין באפוטרופוס וכו'. א"א לפי ענין דבריו הלוקח אינו יכול לחזור ולא לתבוע האונאה, וכשתעיין יפה אין הדבר כן שהרי מה ששנינו שום הדיינין וכו' העמידו אותו בגמרא בדברים שמכריזין עליהם והכריזו [כגון קרקעות] ואפ"ה הותירו שתות מכרן בטל או יחזירו ההונאה כפי דבריו, והטעם כל מי שקונה בשומת ב"ד לא עלה בדעתו שיתאנה ויהיה שם שום טעות הילכך אפילו בקרקעות קפיד אינש.</w:t>
      </w:r>
    </w:p>
    <w:p w14:paraId="1C9D30E2" w14:textId="05C56C71" w:rsidR="00A6107D" w:rsidRDefault="00A6107D" w:rsidP="00A6107D">
      <w:pPr>
        <w:pStyle w:val="Style1"/>
        <w:rPr>
          <w:rtl/>
        </w:rPr>
      </w:pPr>
      <w:r>
        <w:rPr>
          <w:rFonts w:hint="cs"/>
          <w:rtl/>
        </w:rPr>
        <w:t>1)[</w:t>
      </w:r>
      <w:r>
        <w:rPr>
          <w:rtl/>
        </w:rPr>
        <w:t>רמב</w:t>
      </w:r>
      <w:r w:rsidR="00736FB6">
        <w:rPr>
          <w:rtl/>
        </w:rPr>
        <w:t>”ם \קניין\</w:t>
      </w:r>
      <w:r>
        <w:rPr>
          <w:rtl/>
        </w:rPr>
        <w:t xml:space="preserve"> הלכות שלוחין ושותפין פרק א הלכה ב</w:t>
      </w:r>
      <w:r>
        <w:rPr>
          <w:rFonts w:hint="cs"/>
          <w:rtl/>
        </w:rPr>
        <w:t xml:space="preserve">] </w:t>
      </w:r>
      <w:r>
        <w:rPr>
          <w:rtl/>
        </w:rPr>
        <w:t>שליח שעבר על דברי משלחו לא עשה כלום, וכן אם טעה בכל שהוא בין בקרקע בין במטלטלין חוזר שהרי הוא אומר לתקן שליחותי שדרתיך ולא לעוות, ולא אמרו שההונייה במטלטלין שתות והעבדים והשטרות והקרקעות אין בהן הונייה אלא במוכר שלו או קונה לעצמו אבל שליח שטעה בכולם בכל שהוא חוזר.</w:t>
      </w:r>
    </w:p>
    <w:p w14:paraId="09C9770F" w14:textId="5AC501CF" w:rsidR="00A6107D" w:rsidRPr="00A6107D" w:rsidRDefault="00A6107D" w:rsidP="00A6107D">
      <w:pPr>
        <w:pStyle w:val="Style1"/>
      </w:pPr>
      <w:r>
        <w:rPr>
          <w:rFonts w:hint="cs"/>
          <w:rtl/>
        </w:rPr>
        <w:t>1)[</w:t>
      </w:r>
      <w:r>
        <w:rPr>
          <w:rtl/>
        </w:rPr>
        <w:t>שולחן ערוך אבן העזר הלכות כתובות סימן קד סעיף ו</w:t>
      </w:r>
      <w:r>
        <w:rPr>
          <w:rFonts w:hint="cs"/>
          <w:rtl/>
        </w:rPr>
        <w:t xml:space="preserve">] </w:t>
      </w:r>
      <w:r w:rsidRPr="00A6107D">
        <w:rPr>
          <w:rtl/>
        </w:rPr>
        <w:t>שליח שמכר וטעה ונתאנה אפלו בכל שהוא, המכר בטל אפלו אם הוא שליח בית דין. ואם הטעה את הלוקח, עד שתות, המקח קיים וזכה המשלח ביתרון</w:t>
      </w:r>
      <w:r w:rsidRPr="00A6107D">
        <w:t>.</w:t>
      </w:r>
    </w:p>
    <w:p w14:paraId="10E93EC9" w14:textId="52E342EE" w:rsidR="00A6107D" w:rsidRDefault="00A6107D" w:rsidP="00A6107D">
      <w:pPr>
        <w:pStyle w:val="Style1"/>
        <w:rPr>
          <w:rtl/>
        </w:rPr>
      </w:pPr>
      <w:r w:rsidRPr="00A6107D">
        <w:rPr>
          <w:rFonts w:hint="cs"/>
          <w:rtl/>
        </w:rPr>
        <w:t>הגה: יש אומרים דדין שנתמנה על פי הורמנא דמלכא ומכר על ידי שלוחו, עדיף משאר שליח בית דין, והוי כבית דין שטעו ומכרן קיים; וכל שכן אם מכר בעצמו</w:t>
      </w:r>
      <w:r w:rsidRPr="00A6107D">
        <w:rPr>
          <w:rFonts w:hint="cs"/>
        </w:rPr>
        <w:t xml:space="preserve"> (</w:t>
      </w:r>
      <w:hyperlink r:id="rId266" w:tooltip="תשובות ריב&quot;ש/קעט" w:history="1">
        <w:r w:rsidRPr="00A6107D">
          <w:rPr>
            <w:rStyle w:val="Hyperlink"/>
            <w:rFonts w:hint="cs"/>
            <w:color w:val="7030A0"/>
            <w:u w:val="none"/>
            <w:rtl/>
          </w:rPr>
          <w:t>ריב"ש סימן קע"ט</w:t>
        </w:r>
      </w:hyperlink>
      <w:r w:rsidRPr="00A6107D">
        <w:rPr>
          <w:rFonts w:hint="cs"/>
        </w:rPr>
        <w:t>)</w:t>
      </w:r>
      <w:r w:rsidRPr="00A6107D">
        <w:t>:</w:t>
      </w:r>
    </w:p>
    <w:p w14:paraId="79AF371D" w14:textId="68C681E0" w:rsidR="00A6107D" w:rsidRPr="00A6107D" w:rsidRDefault="00A6107D" w:rsidP="00A6107D">
      <w:pPr>
        <w:pStyle w:val="Style1"/>
      </w:pPr>
      <w:r>
        <w:rPr>
          <w:rFonts w:hint="cs"/>
          <w:rtl/>
        </w:rPr>
        <w:t>1)[</w:t>
      </w:r>
      <w:r>
        <w:rPr>
          <w:rtl/>
        </w:rPr>
        <w:t>שולחן ערוך חושן משפט הלכות גביית חוב מהיתומים סימן קט סעיף ו</w:t>
      </w:r>
      <w:r>
        <w:rPr>
          <w:rFonts w:hint="cs"/>
          <w:rtl/>
        </w:rPr>
        <w:t xml:space="preserve">] </w:t>
      </w:r>
      <w:r w:rsidRPr="00A6107D">
        <w:rPr>
          <w:rtl/>
        </w:rPr>
        <w:t>מכרו על ידי שליח ונתאנה השליח בכל שהוא המכר בטל ואם אינה השליח לקונה דינו כשאר כל אדם</w:t>
      </w:r>
      <w:r w:rsidRPr="00A6107D">
        <w:t>:</w:t>
      </w:r>
    </w:p>
    <w:p w14:paraId="51E253F6" w14:textId="7AF05460" w:rsidR="00A6107D" w:rsidRDefault="00A6107D" w:rsidP="00A6107D">
      <w:pPr>
        <w:pStyle w:val="Style1"/>
        <w:rPr>
          <w:rtl/>
        </w:rPr>
      </w:pPr>
      <w:r w:rsidRPr="00A6107D">
        <w:rPr>
          <w:rFonts w:hint="cs"/>
          <w:rtl/>
        </w:rPr>
        <w:t>הגה: ודוקא שליח ב"ד אינו כמותם אבל שופט הממונה בהורמנא דמלכא שלוחו הרי הוא כמוהו (ריב"ש סי' קמ"ט)</w:t>
      </w:r>
      <w:r w:rsidRPr="00A6107D">
        <w:t>:</w:t>
      </w:r>
    </w:p>
    <w:p w14:paraId="70E1D458" w14:textId="0F96C69A" w:rsidR="00A6107D" w:rsidRDefault="00A6107D" w:rsidP="00A6107D">
      <w:pPr>
        <w:pStyle w:val="Style1"/>
        <w:rPr>
          <w:rtl/>
        </w:rPr>
      </w:pPr>
      <w:r>
        <w:rPr>
          <w:rFonts w:hint="cs"/>
          <w:rtl/>
        </w:rPr>
        <w:t>2)[</w:t>
      </w:r>
      <w:r>
        <w:rPr>
          <w:rtl/>
        </w:rPr>
        <w:t>רמב</w:t>
      </w:r>
      <w:r w:rsidR="00EC109D">
        <w:rPr>
          <w:rtl/>
        </w:rPr>
        <w:t>”ם \משפטים\</w:t>
      </w:r>
      <w:r>
        <w:rPr>
          <w:rtl/>
        </w:rPr>
        <w:t xml:space="preserve"> הלכות נחלות פרק י הלכה ד</w:t>
      </w:r>
      <w:r>
        <w:rPr>
          <w:rFonts w:hint="cs"/>
          <w:rtl/>
        </w:rPr>
        <w:t xml:space="preserve">] </w:t>
      </w:r>
      <w:r>
        <w:rPr>
          <w:rtl/>
        </w:rPr>
        <w:t>מי שהניח יתומים מקצתן גדולים ומקצתן קטנים ורצו לחלוק בנכסי אביהן כדי שיטלו הגדולים חלקן, מעמידין בית דין אפוטרופוס לקטנים ובורר להן החלק היפה, ואם הגדילו אינן יכולין למחות שהרי על פי בית דין חלקו להם, ואם טעו בית דין בשומא ופחתו שתות, יכולין למחות וחולקין חלוקה אחרת אחר שהגדילו.</w:t>
      </w:r>
    </w:p>
    <w:p w14:paraId="4135B42D" w14:textId="64A993E9" w:rsidR="00D33B9D" w:rsidRPr="00D33B9D" w:rsidRDefault="00D33B9D" w:rsidP="00D33B9D">
      <w:pPr>
        <w:pStyle w:val="Style1"/>
      </w:pPr>
      <w:r>
        <w:rPr>
          <w:rFonts w:hint="cs"/>
          <w:rtl/>
        </w:rPr>
        <w:lastRenderedPageBreak/>
        <w:t>2)[</w:t>
      </w:r>
      <w:r>
        <w:rPr>
          <w:rtl/>
        </w:rPr>
        <w:t>שולחן ערוך חושן משפט הלכות נחלות סימן רפט סעיף א</w:t>
      </w:r>
      <w:r>
        <w:rPr>
          <w:rFonts w:hint="cs"/>
          <w:rtl/>
        </w:rPr>
        <w:t xml:space="preserve">] </w:t>
      </w:r>
      <w:r w:rsidRPr="00D33B9D">
        <w:rPr>
          <w:rtl/>
        </w:rPr>
        <w:t>מי שהניח יתומים מקצתן גדולים ומקצתם קטנים ורצו לחלוק בנכסי אביהם כדי שיטלו הגדולים חלקם מעמידים ב"ד אפוטרופוס לקטנים ובורר להם החלק היפה </w:t>
      </w:r>
      <w:r w:rsidRPr="00D33B9D">
        <w:rPr>
          <w:rFonts w:hint="cs"/>
          <w:rtl/>
        </w:rPr>
        <w:t>(וי"א דצריכים לחלוק בגורל) (טור)</w:t>
      </w:r>
      <w:r w:rsidRPr="00D33B9D">
        <w:rPr>
          <w:rtl/>
        </w:rPr>
        <w:t> ואם הגדילו אינם יכולים למחות שהרי ע"פ ב"ד חלקו להם ואם טעו ב"ד בשומא ופחתו שתות יכולים למחות וחוזרים וחולקים חלוקה אחרת אחר שהגדילו</w:t>
      </w:r>
      <w:r w:rsidRPr="00D33B9D">
        <w:t>:</w:t>
      </w:r>
    </w:p>
    <w:p w14:paraId="444DF0B9" w14:textId="77777777" w:rsidR="00D33B9D" w:rsidRPr="00D33B9D" w:rsidRDefault="00D33B9D" w:rsidP="00D33B9D">
      <w:pPr>
        <w:pStyle w:val="Style1"/>
      </w:pPr>
      <w:r w:rsidRPr="00D33B9D">
        <w:rPr>
          <w:rFonts w:hint="cs"/>
          <w:rtl/>
        </w:rPr>
        <w:t>הגה: אבל אפוטרופוס אפי' מינהו אבי יתומים אינו יכול לחלוק בלא ב"ד אא"כ נתמנה בפירוש לכך (תשובת הר"ן סי' ס') ואין לב"ד רשות לחלוק בדבר דשייך ביה גוד או אגוד (טור וכ"כ התוס' בפרק ב' דקידושין והרא"ש בפ' אלמנה ניזונית) וי"ח ומתירין (נ"י פרק הנ"ל ומרדכי שתי הדעות) היו האחין כולן קטנים אין חולקין להם עד שיגדילו אא"כ נראה לב"ד שיש להן תועלת בחלוקה (ב"י בשם הרא"ש והר"ן) וכל שהגיעו הקטנים לי"ג שנה יכולים לחלוק בעצמן דחלוקה לא הוי כמכר (ר"י נכ"ו ח"ב)</w:t>
      </w:r>
      <w:r w:rsidRPr="00D33B9D">
        <w:t>:</w:t>
      </w:r>
    </w:p>
    <w:p w14:paraId="0B0E1276" w14:textId="77777777" w:rsidR="00A6107D" w:rsidRPr="00D33B9D" w:rsidRDefault="00A6107D" w:rsidP="00D33B9D">
      <w:pPr>
        <w:pStyle w:val="Style1"/>
      </w:pPr>
    </w:p>
    <w:p w14:paraId="4182E387" w14:textId="77777777" w:rsidR="00B600B2" w:rsidRPr="00B5502A" w:rsidRDefault="00B600B2" w:rsidP="00B600B2">
      <w:pPr>
        <w:bidi/>
        <w:rPr>
          <w:rStyle w:val="Style1Char"/>
          <w:color w:val="00B050"/>
        </w:rPr>
      </w:pPr>
    </w:p>
    <w:p w14:paraId="555F8776" w14:textId="77777777" w:rsidR="00B600B2" w:rsidRPr="00171D1A" w:rsidRDefault="00B600B2" w:rsidP="00B600B2">
      <w:pPr>
        <w:bidi/>
        <w:rPr>
          <w:rStyle w:val="Style1Char"/>
          <w:color w:val="00B050"/>
          <w:rtl/>
        </w:rPr>
      </w:pPr>
    </w:p>
    <w:p w14:paraId="4CDC9667" w14:textId="77777777" w:rsidR="00B600B2" w:rsidRPr="006E3F78" w:rsidRDefault="00B600B2" w:rsidP="00B600B2">
      <w:pPr>
        <w:bidi/>
        <w:rPr>
          <w:rStyle w:val="Style1Char"/>
          <w:color w:val="00B050"/>
          <w:rtl/>
        </w:rPr>
      </w:pPr>
    </w:p>
    <w:p w14:paraId="4582D3C5" w14:textId="77777777" w:rsidR="00B600B2" w:rsidRDefault="00B600B2" w:rsidP="00B600B2">
      <w:pPr>
        <w:rPr>
          <w:rStyle w:val="Style1Char"/>
          <w:color w:val="00B050"/>
          <w:rtl/>
        </w:rPr>
      </w:pPr>
      <w:r>
        <w:rPr>
          <w:rStyle w:val="Style1Char"/>
          <w:color w:val="00B050"/>
          <w:rtl/>
        </w:rPr>
        <w:br w:type="page"/>
      </w:r>
    </w:p>
    <w:p w14:paraId="47030B0D" w14:textId="77777777" w:rsidR="00B600B2" w:rsidRPr="00884884" w:rsidRDefault="00B600B2" w:rsidP="00B600B2">
      <w:pPr>
        <w:bidi/>
        <w:rPr>
          <w:rStyle w:val="Style1Char"/>
          <w:color w:val="00B050"/>
        </w:rPr>
      </w:pPr>
      <w:r w:rsidRPr="00884884">
        <w:rPr>
          <w:rStyle w:val="Style1Char"/>
          <w:color w:val="00B050"/>
          <w:sz w:val="22"/>
          <w:szCs w:val="22"/>
          <w:highlight w:val="yellow"/>
          <w:rtl/>
        </w:rPr>
        <w:lastRenderedPageBreak/>
        <w:t>[דף ק עמוד ב]</w:t>
      </w:r>
      <w:r w:rsidRPr="00884884">
        <w:rPr>
          <w:rStyle w:val="Style1Char"/>
          <w:color w:val="00B050"/>
          <w:sz w:val="22"/>
          <w:szCs w:val="22"/>
          <w:rtl/>
        </w:rPr>
        <w:t xml:space="preserve"> </w:t>
      </w:r>
      <w:r w:rsidRPr="00884884">
        <w:rPr>
          <w:rStyle w:val="Style1Char"/>
          <w:color w:val="00B050"/>
          <w:rtl/>
        </w:rPr>
        <w:t xml:space="preserve">כל דזבין מבי דינא - אדעתא למיפק ליה קלא הוא דזבין, קמ"ל. </w:t>
      </w:r>
    </w:p>
    <w:p w14:paraId="5ACBCD6F" w14:textId="347D65EB" w:rsidR="00B600B2" w:rsidRPr="00DD740C" w:rsidRDefault="00B600B2" w:rsidP="00B600B2">
      <w:pPr>
        <w:bidi/>
        <w:rPr>
          <w:rStyle w:val="Style1Char"/>
          <w:color w:val="806000" w:themeColor="accent4" w:themeShade="80"/>
          <w:sz w:val="22"/>
          <w:szCs w:val="22"/>
        </w:rPr>
      </w:pPr>
      <w:r w:rsidRPr="00884884">
        <w:rPr>
          <w:rStyle w:val="Style1Char"/>
          <w:color w:val="00B050"/>
          <w:rtl/>
        </w:rPr>
        <w:t>רשב"ג אומר כו'. ועד כמה? אמר רב הונא בר יהודה אמר רב ששת: עד פלגא. תניא נמי הכי, אמר רשב"ג: ב"ד שמכרו שוה מאתים במנה או שוה מנה במאתים - מכרן קיים</w:t>
      </w:r>
      <w:r w:rsidRPr="00474A90">
        <w:rPr>
          <w:rStyle w:val="Style1Char"/>
          <w:sz w:val="22"/>
          <w:szCs w:val="22"/>
          <w:rtl/>
        </w:rPr>
        <w:t xml:space="preserve">. </w:t>
      </w:r>
      <w:r w:rsidRPr="004A6A34">
        <w:rPr>
          <w:rStyle w:val="Style1Char"/>
          <w:color w:val="auto"/>
          <w:sz w:val="22"/>
          <w:szCs w:val="22"/>
          <w:rtl/>
        </w:rPr>
        <w:t xml:space="preserve">אמר אמימר משמיה דרב יוסף: </w:t>
      </w:r>
      <w:r w:rsidR="009A60DE">
        <w:rPr>
          <w:rStyle w:val="Style1Char"/>
          <w:rFonts w:hint="cs"/>
          <w:rtl/>
        </w:rPr>
        <w:t>(1)</w:t>
      </w:r>
      <w:r w:rsidRPr="004A6A34">
        <w:rPr>
          <w:rStyle w:val="Style1Char"/>
          <w:color w:val="auto"/>
          <w:sz w:val="22"/>
          <w:szCs w:val="22"/>
          <w:rtl/>
        </w:rPr>
        <w:t xml:space="preserve">ב"ד שמכרו בלא הכרזה, נעשו כמי שטעו בדבר משנה וחוזרין נעשו? ודאי טעו! דתנן. </w:t>
      </w:r>
      <w:r w:rsidR="009A60DE">
        <w:rPr>
          <w:rStyle w:val="Style1Char"/>
          <w:rFonts w:hint="cs"/>
          <w:rtl/>
        </w:rPr>
        <w:t>(2)</w:t>
      </w:r>
      <w:r w:rsidRPr="004A6A34">
        <w:rPr>
          <w:rStyle w:val="Style1Char"/>
          <w:color w:val="auto"/>
          <w:sz w:val="22"/>
          <w:szCs w:val="22"/>
          <w:rtl/>
        </w:rPr>
        <w:t xml:space="preserve">שום היתומין - שלשים יום, </w:t>
      </w:r>
      <w:r w:rsidR="009A60DE">
        <w:rPr>
          <w:rStyle w:val="Style1Char"/>
          <w:rFonts w:hint="cs"/>
          <w:rtl/>
        </w:rPr>
        <w:t>(3)</w:t>
      </w:r>
      <w:r w:rsidRPr="004A6A34">
        <w:rPr>
          <w:rStyle w:val="Style1Char"/>
          <w:color w:val="auto"/>
          <w:sz w:val="22"/>
          <w:szCs w:val="22"/>
          <w:rtl/>
        </w:rPr>
        <w:t>ושום ההקדש - ששים יום, ומכריזין בבקר ובערב! אי מההיא הוה אמינא ה"מ שליח, אבל ב"ד לא, קמ"ל</w:t>
      </w:r>
      <w:r w:rsidRPr="004A6A34">
        <w:rPr>
          <w:rStyle w:val="Style1Char"/>
          <w:color w:val="auto"/>
          <w:rtl/>
        </w:rPr>
        <w:t xml:space="preserve"> </w:t>
      </w:r>
      <w:r w:rsidRPr="0014686C">
        <w:rPr>
          <w:rStyle w:val="Style1Char"/>
          <w:color w:val="806000" w:themeColor="accent4" w:themeShade="80"/>
          <w:sz w:val="22"/>
          <w:szCs w:val="22"/>
          <w:rtl/>
        </w:rPr>
        <w:t>דאפילו ב"ד</w:t>
      </w:r>
      <w:r w:rsidRPr="00474A90">
        <w:rPr>
          <w:rStyle w:val="Style1Char"/>
          <w:sz w:val="22"/>
          <w:szCs w:val="22"/>
          <w:rtl/>
        </w:rPr>
        <w:t xml:space="preserve">. </w:t>
      </w:r>
      <w:r w:rsidRPr="0014686C">
        <w:rPr>
          <w:rStyle w:val="Style1Char"/>
          <w:color w:val="auto"/>
          <w:sz w:val="22"/>
          <w:szCs w:val="22"/>
          <w:rtl/>
        </w:rPr>
        <w:t>איתיביה רב אשי לאמימר: שום הדיינין שפחתו שתות או הותירו שתות - מכרן בטל, הא שוה בשוה - מכרן קיים, מאי לאו דלא אכרוז! לא, בדאכרוז. הא מדסיפא בדאכרוז, הוי רישא בדלא אכרוז! דקתני סיפא: אם עשו אגרת בקורת, אפי' מכרו שוה מנה במאתים או שוה מאתים במנה - מכרן קיים!</w:t>
      </w:r>
      <w:r w:rsidRPr="0014686C">
        <w:rPr>
          <w:rStyle w:val="Style1Char"/>
          <w:color w:val="auto"/>
          <w:rtl/>
        </w:rPr>
        <w:t xml:space="preserve"> </w:t>
      </w:r>
      <w:r w:rsidRPr="00884884">
        <w:rPr>
          <w:rStyle w:val="Style1Char"/>
          <w:color w:val="00B050"/>
          <w:rtl/>
        </w:rPr>
        <w:t xml:space="preserve">אלא לעולם בדלא אכרוז, ולא קשיא: </w:t>
      </w:r>
      <w:r w:rsidR="00340447">
        <w:rPr>
          <w:rStyle w:val="Style1Char"/>
          <w:rFonts w:hint="cs"/>
          <w:rtl/>
        </w:rPr>
        <w:t>(1.3, 4)</w:t>
      </w:r>
      <w:r w:rsidRPr="00884884">
        <w:rPr>
          <w:rStyle w:val="Style1Char"/>
          <w:color w:val="00B050"/>
          <w:rtl/>
        </w:rPr>
        <w:t xml:space="preserve">כאן בדברים שמכריזין עליהן, כאן בדברים שאין מכריזין עליהן, </w:t>
      </w:r>
      <w:r w:rsidRPr="00DD740C">
        <w:rPr>
          <w:rStyle w:val="Style1Char"/>
          <w:color w:val="806000" w:themeColor="accent4" w:themeShade="80"/>
          <w:sz w:val="22"/>
          <w:szCs w:val="22"/>
          <w:rtl/>
        </w:rPr>
        <w:t xml:space="preserve">לא רישא וסיפא בדאכרוז ולא קשיא כאן בדברים שמכריזין עליהן כאן בדברים שאין מכריזין עליהן רישא דקתני פיחתו שתות או הותירו שתות מכרן בטל ואף על גב דאכרוז בדברים שאין מכריזין עליהם אי נמי בשעה שאין מכריזין אי נמי במקום שאין מכריזין דכיון דלא בעו הכרזה בין אכרוז בין לא אכרוז חד דינא הוא ואם פיחת שתות או הותיר שתות מכרן בטל שוה בשוה מכרן קיים וסיפא דקתני אם עשו איגרת בקורת אפילו מכרו שוה מנה במאתים או שוה מאתים במנה מכרן קיים בדברים שמכריזין עליהן ובשעה שמכריזין ובמקום שמכריזין דכיון דאכרוז עלייהו כדחזי בין פיתחו בין הותירו מכרן קיים </w:t>
      </w:r>
    </w:p>
    <w:p w14:paraId="579501C0" w14:textId="77777777" w:rsidR="00B600B2" w:rsidRDefault="00B600B2" w:rsidP="00B600B2">
      <w:pPr>
        <w:bidi/>
        <w:rPr>
          <w:rStyle w:val="Style1Char"/>
          <w:color w:val="4472C4" w:themeColor="accent1"/>
        </w:rPr>
      </w:pPr>
      <w:r w:rsidRPr="00F9005B">
        <w:rPr>
          <w:rStyle w:val="Style1Char"/>
          <w:color w:val="4472C4" w:themeColor="accent1"/>
          <w:rtl/>
        </w:rPr>
        <w:t xml:space="preserve">והלשון דחוק דקתני אבל אם עשו אגרת בקורת מכלל דרישא מיירי בדלא אכרוז וי"ל דאי הוה אמר אבל אם הכריזו הוה משמע דברישא לא אכרוז אבל להכי תני אגרת בקורת משום דאורחא דמלתא הוא כשמכריזין מדרך החיוב כותבין שטר הכרזה אבל כשמכריזין שלא מדרך החיוב אלא שהיה נראה לבית דין צורך שעה אין כותבין שטר הכרזה לפי שמי שיראה שטר ההכרזה יחשוב אותם לב"ד טועין שהכריזו בדברים שאין להכריז נמצא שזה הלשון דאגרת בקורת ולא קתני אבל אם הכריזו מורה דרישא נמי איירי בדאכרוז אלא שלא נתנו שטר הכרזה מיהו אין הטעם הגון לחלק בין אם היתה ההכרזה מדרך החיוב ובין לא היתה מדרך החיוב דטעמא דהכרזה היא כיון שדקדקו בית דין כל כך במתון ובפרסום בשומא זו אין לתלות בה שום טעות הלכך אפי' עשו הכרזה בדברים שאין מכריזין האי טעמא מיהא איתא ביה אם הוסיפו לעשות וכי בשביל זה גרע טפי על כן נראה לפרש רישא וסיפא בדאכרוז כלומר רישא וסיפא מודו דבעי הכרזה ואם לא הכריזו אפי' שוה בשוה מכרן בטל והא דאמרי' ברישא שוה בשוה מכרן קיים בדברים שאין מכריזין עליהן ולא הכריזו </w:t>
      </w:r>
    </w:p>
    <w:p w14:paraId="0A710835" w14:textId="4C6EB2C3" w:rsidR="00B600B2" w:rsidRDefault="00340447" w:rsidP="00B600B2">
      <w:pPr>
        <w:bidi/>
        <w:rPr>
          <w:rStyle w:val="Style1Char"/>
          <w:color w:val="4472C4" w:themeColor="accent1"/>
          <w:rtl/>
        </w:rPr>
      </w:pPr>
      <w:r>
        <w:rPr>
          <w:rStyle w:val="Style1Char"/>
          <w:rFonts w:hint="cs"/>
          <w:rtl/>
        </w:rPr>
        <w:t>(1.3, 4)</w:t>
      </w:r>
      <w:r w:rsidR="00B600B2" w:rsidRPr="002F2429">
        <w:rPr>
          <w:rStyle w:val="Style1Char"/>
          <w:color w:val="auto"/>
          <w:sz w:val="22"/>
          <w:szCs w:val="22"/>
          <w:rtl/>
        </w:rPr>
        <w:t>ואלו הן דברים שאין מכריזין עליהן: העבדים, והמטלטלין, והשטרות</w:t>
      </w:r>
      <w:r w:rsidR="00B600B2" w:rsidRPr="002F2429">
        <w:rPr>
          <w:rStyle w:val="Style1Char"/>
          <w:color w:val="auto"/>
          <w:rtl/>
        </w:rPr>
        <w:t xml:space="preserve"> </w:t>
      </w:r>
      <w:r w:rsidR="00B600B2" w:rsidRPr="00F9005B">
        <w:rPr>
          <w:rStyle w:val="Style1Char"/>
          <w:color w:val="4472C4" w:themeColor="accent1"/>
          <w:rtl/>
        </w:rPr>
        <w:t>ואף על גב דלא משעבדי לבעל חוב ולצורכי היתומים מוכרין שלא בהכרזה מ"מ בית דין פעמים מוכרין אותן לפרוע חובות אביהם כי נראה להם טוב למוכרן ממה שימכרו קרקעות</w:t>
      </w:r>
      <w:r w:rsidR="00B600B2" w:rsidRPr="00263847">
        <w:rPr>
          <w:rStyle w:val="Style1Char"/>
          <w:color w:val="C00000"/>
          <w:sz w:val="22"/>
          <w:szCs w:val="22"/>
          <w:rtl/>
        </w:rPr>
        <w:t xml:space="preserve"> </w:t>
      </w:r>
      <w:r w:rsidR="00B600B2" w:rsidRPr="00D74247">
        <w:rPr>
          <w:rStyle w:val="Style1Char"/>
          <w:color w:val="806000" w:themeColor="accent4" w:themeShade="80"/>
          <w:sz w:val="22"/>
          <w:szCs w:val="22"/>
          <w:rtl/>
        </w:rPr>
        <w:t>מ"ט</w:t>
      </w:r>
      <w:r w:rsidR="00B600B2" w:rsidRPr="00D74247">
        <w:rPr>
          <w:rStyle w:val="Style1Char"/>
          <w:rFonts w:hint="cs"/>
          <w:color w:val="806000" w:themeColor="accent4" w:themeShade="80"/>
          <w:sz w:val="22"/>
          <w:szCs w:val="22"/>
          <w:rtl/>
        </w:rPr>
        <w:t>?</w:t>
      </w:r>
      <w:r w:rsidR="00B600B2" w:rsidRPr="00D74247">
        <w:rPr>
          <w:rStyle w:val="Style1Char"/>
          <w:color w:val="806000" w:themeColor="accent4" w:themeShade="80"/>
          <w:sz w:val="22"/>
          <w:szCs w:val="22"/>
          <w:rtl/>
        </w:rPr>
        <w:t xml:space="preserve"> עולא אמר</w:t>
      </w:r>
      <w:r w:rsidR="00B600B2" w:rsidRPr="00D302BC">
        <w:rPr>
          <w:rStyle w:val="Style1Char"/>
          <w:sz w:val="22"/>
          <w:szCs w:val="22"/>
          <w:rtl/>
        </w:rPr>
        <w:t xml:space="preserve">; </w:t>
      </w:r>
      <w:r w:rsidR="00B600B2" w:rsidRPr="00D74247">
        <w:rPr>
          <w:rStyle w:val="Style1Char"/>
          <w:color w:val="auto"/>
          <w:sz w:val="22"/>
          <w:szCs w:val="22"/>
          <w:rtl/>
        </w:rPr>
        <w:t xml:space="preserve">עבדים </w:t>
      </w:r>
      <w:r w:rsidR="00B600B2" w:rsidRPr="00884884">
        <w:rPr>
          <w:rStyle w:val="Style1Char"/>
          <w:color w:val="00B050"/>
          <w:rtl/>
        </w:rPr>
        <w:t xml:space="preserve">טעמא מאי? </w:t>
      </w:r>
      <w:r w:rsidR="00B600B2" w:rsidRPr="00D74247">
        <w:rPr>
          <w:rStyle w:val="Style1Char"/>
          <w:color w:val="auto"/>
          <w:sz w:val="22"/>
          <w:szCs w:val="22"/>
          <w:rtl/>
        </w:rPr>
        <w:t>שמא ישמעו ויברחו, מטלטלין ושטרות? שמא יגנבו</w:t>
      </w:r>
      <w:r w:rsidR="00B600B2" w:rsidRPr="00263847">
        <w:rPr>
          <w:rStyle w:val="Style1Char"/>
          <w:sz w:val="22"/>
          <w:szCs w:val="22"/>
          <w:rtl/>
        </w:rPr>
        <w:t xml:space="preserve">. </w:t>
      </w:r>
      <w:r>
        <w:rPr>
          <w:rStyle w:val="Style1Char"/>
          <w:rFonts w:hint="cs"/>
          <w:rtl/>
        </w:rPr>
        <w:t>(1.3, 4)</w:t>
      </w:r>
      <w:r w:rsidR="00B600B2" w:rsidRPr="00884884">
        <w:rPr>
          <w:rStyle w:val="Style1Char"/>
          <w:color w:val="00B050"/>
          <w:rtl/>
        </w:rPr>
        <w:t>ואיבעית אימא: כאן בשעה שמכריזין, כאן ב</w:t>
      </w:r>
      <w:r w:rsidR="00B600B2" w:rsidRPr="00D74247">
        <w:rPr>
          <w:rStyle w:val="Style1Char"/>
          <w:color w:val="auto"/>
          <w:sz w:val="22"/>
          <w:szCs w:val="22"/>
          <w:rtl/>
        </w:rPr>
        <w:t>שעה</w:t>
      </w:r>
      <w:r w:rsidR="00B600B2" w:rsidRPr="00B26B69">
        <w:rPr>
          <w:rStyle w:val="Style1Char"/>
          <w:sz w:val="22"/>
          <w:szCs w:val="22"/>
          <w:rtl/>
        </w:rPr>
        <w:t xml:space="preserve"> </w:t>
      </w:r>
      <w:r w:rsidR="00B600B2" w:rsidRPr="00D74247">
        <w:rPr>
          <w:rStyle w:val="Style1Char"/>
          <w:color w:val="auto"/>
          <w:sz w:val="22"/>
          <w:szCs w:val="22"/>
          <w:rtl/>
        </w:rPr>
        <w:t>שאין מכריזין</w:t>
      </w:r>
      <w:r w:rsidR="00B600B2" w:rsidRPr="00B26B69">
        <w:rPr>
          <w:rStyle w:val="Style1Char"/>
          <w:sz w:val="22"/>
          <w:szCs w:val="22"/>
          <w:rtl/>
        </w:rPr>
        <w:t xml:space="preserve">, </w:t>
      </w:r>
      <w:r w:rsidR="00B600B2" w:rsidRPr="00D74247">
        <w:rPr>
          <w:rStyle w:val="Style1Char"/>
          <w:color w:val="806000" w:themeColor="accent4" w:themeShade="80"/>
          <w:sz w:val="22"/>
          <w:szCs w:val="22"/>
          <w:rtl/>
        </w:rPr>
        <w:t>כ</w:t>
      </w:r>
      <w:r w:rsidR="00B600B2" w:rsidRPr="00D74247">
        <w:rPr>
          <w:rStyle w:val="Style1Char"/>
          <w:color w:val="auto"/>
          <w:sz w:val="22"/>
          <w:szCs w:val="22"/>
          <w:rtl/>
        </w:rPr>
        <w:t>דאמרי</w:t>
      </w:r>
      <w:r w:rsidR="00B600B2" w:rsidRPr="00B26B69">
        <w:rPr>
          <w:rStyle w:val="Style1Char"/>
          <w:color w:val="00B050"/>
          <w:sz w:val="22"/>
          <w:szCs w:val="22"/>
          <w:rtl/>
        </w:rPr>
        <w:t xml:space="preserve"> </w:t>
      </w:r>
      <w:r w:rsidR="00B600B2" w:rsidRPr="00D74247">
        <w:rPr>
          <w:rStyle w:val="Style1Char"/>
          <w:color w:val="auto"/>
          <w:sz w:val="22"/>
          <w:szCs w:val="22"/>
          <w:rtl/>
        </w:rPr>
        <w:t>נהרדעי: לכרגא, למזוני, ולקבורה - מזבנינן בלא אכרזתא</w:t>
      </w:r>
      <w:r w:rsidR="00B600B2" w:rsidRPr="0047093C">
        <w:rPr>
          <w:rStyle w:val="Style1Char"/>
          <w:sz w:val="22"/>
          <w:szCs w:val="22"/>
          <w:rtl/>
        </w:rPr>
        <w:t xml:space="preserve">. </w:t>
      </w:r>
      <w:r>
        <w:rPr>
          <w:rStyle w:val="Style1Char"/>
          <w:rFonts w:hint="cs"/>
          <w:rtl/>
        </w:rPr>
        <w:t>(1.3, 4)</w:t>
      </w:r>
      <w:r w:rsidR="00B600B2" w:rsidRPr="00884884">
        <w:rPr>
          <w:rStyle w:val="Style1Char"/>
          <w:color w:val="00B050"/>
          <w:rtl/>
        </w:rPr>
        <w:t>ואב"א: כאן במקום שמכריזין, כאן ב</w:t>
      </w:r>
      <w:r w:rsidR="00B600B2" w:rsidRPr="00B929BC">
        <w:rPr>
          <w:rStyle w:val="Style1Char"/>
          <w:color w:val="auto"/>
          <w:sz w:val="22"/>
          <w:szCs w:val="22"/>
          <w:rtl/>
        </w:rPr>
        <w:t>מקום</w:t>
      </w:r>
      <w:r w:rsidR="00B600B2" w:rsidRPr="0047093C">
        <w:rPr>
          <w:rStyle w:val="Style1Char"/>
          <w:sz w:val="22"/>
          <w:szCs w:val="22"/>
          <w:rtl/>
        </w:rPr>
        <w:t xml:space="preserve"> </w:t>
      </w:r>
      <w:r w:rsidR="00B600B2" w:rsidRPr="00B929BC">
        <w:rPr>
          <w:rStyle w:val="Style1Char"/>
          <w:color w:val="auto"/>
          <w:sz w:val="22"/>
          <w:szCs w:val="22"/>
          <w:rtl/>
        </w:rPr>
        <w:t xml:space="preserve">שאין מכריזין, דאמר רב נחמן: מעולם לא עשו אגרת בקורת בנהרדעא. סבור מינה, משום דבקיאי בשומא, א"ל רב יוסף בר מניומי: לדידי מיפרשא לי מיניה דרב נחמן, משום דקרו להו בני אכלי נכסי דאכרזתא. </w:t>
      </w:r>
      <w:r w:rsidR="00B600B2" w:rsidRPr="001F01DF">
        <w:rPr>
          <w:rStyle w:val="Style1Char"/>
          <w:color w:val="auto"/>
          <w:sz w:val="22"/>
          <w:szCs w:val="22"/>
          <w:rtl/>
        </w:rPr>
        <w:t xml:space="preserve">אמר רב יהודה אמר שמואל: מטלטלין של יתומים - שמין אותן ומוכרין אותן לאלתר, רב חסדא אמר אבימי: מוכרין אותן לשווקים. ולא פליגי, </w:t>
      </w:r>
      <w:r>
        <w:rPr>
          <w:rStyle w:val="Style1Char"/>
          <w:rFonts w:hint="cs"/>
          <w:rtl/>
        </w:rPr>
        <w:t>(1.3, 4)</w:t>
      </w:r>
      <w:r w:rsidR="00B600B2" w:rsidRPr="001F01DF">
        <w:rPr>
          <w:rStyle w:val="Style1Char"/>
          <w:color w:val="auto"/>
          <w:sz w:val="22"/>
          <w:szCs w:val="22"/>
          <w:rtl/>
        </w:rPr>
        <w:t xml:space="preserve">הא דמיקרב שוקא, הא דמרחק שוקא. רב </w:t>
      </w:r>
      <w:r w:rsidR="00B600B2" w:rsidRPr="00F9005B">
        <w:rPr>
          <w:rStyle w:val="Style1Char"/>
          <w:color w:val="4472C4" w:themeColor="accent1"/>
          <w:rtl/>
        </w:rPr>
        <w:t xml:space="preserve">הונא </w:t>
      </w:r>
      <w:r w:rsidR="00B600B2" w:rsidRPr="004E12BE">
        <w:rPr>
          <w:rStyle w:val="Style1Char"/>
          <w:sz w:val="22"/>
          <w:szCs w:val="22"/>
          <w:rtl/>
        </w:rPr>
        <w:t xml:space="preserve">כהנא </w:t>
      </w:r>
      <w:r w:rsidR="00B600B2" w:rsidRPr="001F01DF">
        <w:rPr>
          <w:rStyle w:val="Style1Char"/>
          <w:color w:val="auto"/>
          <w:sz w:val="22"/>
          <w:szCs w:val="22"/>
          <w:rtl/>
        </w:rPr>
        <w:t>הוה בידיה שכרא דרב משרשיא בר חילקאי יתמא, שהייה עד ריגלא, אמר: אף על גב דנפל ביה איצצתא, מייתי זוזא חריפא. רבינא הוה בידיה חמרא דרבינא זוטי יתמא בר אחתיה, הוה לדידיה נמי חמרא, הוה קמסיק ליה לסיכרא, אתא לקמיה דרב אשי, א"ל</w:t>
      </w:r>
      <w:r w:rsidR="00B600B2" w:rsidRPr="004E12BE">
        <w:rPr>
          <w:rStyle w:val="Style1Char"/>
          <w:sz w:val="22"/>
          <w:szCs w:val="22"/>
          <w:rtl/>
        </w:rPr>
        <w:t xml:space="preserve">: </w:t>
      </w:r>
      <w:r w:rsidR="00B600B2" w:rsidRPr="00C52A1F">
        <w:rPr>
          <w:rStyle w:val="Style1Char"/>
          <w:color w:val="00B050"/>
          <w:rtl/>
        </w:rPr>
        <w:t>מהו לאמטויי בהדן</w:t>
      </w:r>
      <w:r w:rsidR="00B600B2" w:rsidRPr="00C52A1F">
        <w:rPr>
          <w:rStyle w:val="Style1Char"/>
          <w:color w:val="00B050"/>
          <w:sz w:val="10"/>
          <w:szCs w:val="10"/>
          <w:rtl/>
        </w:rPr>
        <w:t xml:space="preserve"> </w:t>
      </w:r>
      <w:r w:rsidR="00B600B2" w:rsidRPr="003C5036">
        <w:rPr>
          <w:rStyle w:val="Style1Char"/>
          <w:color w:val="806000" w:themeColor="accent4" w:themeShade="80"/>
          <w:sz w:val="22"/>
          <w:szCs w:val="22"/>
          <w:rtl/>
        </w:rPr>
        <w:t>מהו למשקליה בהדיה</w:t>
      </w:r>
      <w:r w:rsidR="00B600B2">
        <w:rPr>
          <w:rStyle w:val="Style1Char"/>
          <w:color w:val="806000" w:themeColor="accent4" w:themeShade="80"/>
          <w:sz w:val="22"/>
          <w:szCs w:val="22"/>
        </w:rPr>
        <w:t>?</w:t>
      </w:r>
      <w:r w:rsidR="00B600B2" w:rsidRPr="003C5036">
        <w:rPr>
          <w:rStyle w:val="Style1Char"/>
          <w:color w:val="806000" w:themeColor="accent4" w:themeShade="80"/>
          <w:sz w:val="22"/>
          <w:szCs w:val="22"/>
          <w:rtl/>
        </w:rPr>
        <w:t xml:space="preserve"> נשקליה דילמא מיתניס</w:t>
      </w:r>
      <w:r w:rsidR="00B600B2">
        <w:rPr>
          <w:rStyle w:val="Style1Char"/>
          <w:color w:val="806000" w:themeColor="accent4" w:themeShade="80"/>
          <w:sz w:val="22"/>
          <w:szCs w:val="22"/>
        </w:rPr>
        <w:t>,</w:t>
      </w:r>
      <w:r w:rsidR="00B600B2" w:rsidRPr="003C5036">
        <w:rPr>
          <w:rStyle w:val="Style1Char"/>
          <w:color w:val="806000" w:themeColor="accent4" w:themeShade="80"/>
          <w:sz w:val="22"/>
          <w:szCs w:val="22"/>
          <w:rtl/>
        </w:rPr>
        <w:t xml:space="preserve"> נשבקיה דילמא מתקיף? </w:t>
      </w:r>
      <w:r w:rsidR="00B600B2" w:rsidRPr="003C5036">
        <w:rPr>
          <w:rStyle w:val="Style1Char"/>
          <w:color w:val="auto"/>
          <w:sz w:val="22"/>
          <w:szCs w:val="22"/>
          <w:rtl/>
        </w:rPr>
        <w:t>א"ל: זיל, לא עדיף מדידך</w:t>
      </w:r>
      <w:r w:rsidR="00B600B2" w:rsidRPr="004E12BE">
        <w:rPr>
          <w:rStyle w:val="Style1Char"/>
          <w:sz w:val="22"/>
          <w:szCs w:val="22"/>
          <w:rtl/>
        </w:rPr>
        <w:t xml:space="preserve">. </w:t>
      </w:r>
      <w:r w:rsidR="00B600B2">
        <w:rPr>
          <w:rStyle w:val="Style1Char"/>
          <w:rFonts w:hint="cs"/>
          <w:color w:val="4472C4" w:themeColor="accent1"/>
        </w:rPr>
        <w:t>‍</w:t>
      </w:r>
      <w:r w:rsidR="00B600B2" w:rsidRPr="00F9005B">
        <w:rPr>
          <w:rStyle w:val="Style1Char"/>
          <w:color w:val="4472C4" w:themeColor="accent1"/>
          <w:rtl/>
        </w:rPr>
        <w:t>וכן ראוי לעשות לכל מי שיש בידו ממון יתומים שיעשה במאמר בית דין ולא שיאמר מדעת עצמו אעשה כמו בשלי כי לא יצא בזה ידי חובתו להפטר מן האונס וכן מכירת מטלטלי דיתמי הכל לפי ראות עיני בית דין וזה שיראה להם תועלת ותקנת היתומים להשהותם עד יום השוק או למכור לאלתר יעשו</w:t>
      </w:r>
      <w:r w:rsidR="00B600B2" w:rsidRPr="00F9005B">
        <w:rPr>
          <w:rStyle w:val="Style1Char"/>
          <w:color w:val="4472C4" w:themeColor="accent1"/>
        </w:rPr>
        <w:t xml:space="preserve">: </w:t>
      </w:r>
    </w:p>
    <w:p w14:paraId="2D548A7C" w14:textId="77777777" w:rsidR="00B600B2" w:rsidRPr="001E3B35" w:rsidRDefault="00B600B2" w:rsidP="00B600B2">
      <w:pPr>
        <w:bidi/>
        <w:rPr>
          <w:rStyle w:val="Style1Char"/>
          <w:color w:val="806000" w:themeColor="accent4" w:themeShade="80"/>
          <w:rtl/>
        </w:rPr>
      </w:pPr>
      <w:r w:rsidRPr="00AB4FCA">
        <w:rPr>
          <w:rStyle w:val="Style1Char"/>
          <w:color w:val="806000" w:themeColor="accent4" w:themeShade="80"/>
          <w:rtl/>
        </w:rPr>
        <w:t>תנן התם בערכין [ערכין כ"א ע"ב] שום היתומים שלשים יום ושום ההקדש ששים יום ומכריזין בבקר ובערב. [ערכין כ"ג ע"א] המקדיש נכסיו והיה עליו כתובת אשה רבי אליעזר אומר כשהוא מגרשה ידירנה הנאה ר' יהושע אומר אינו צריך וכן היה רבן שמעון ב"ג אומר הערב לאשה בכתובתה ורצה בעלה לגרשה ידירנה הנאה שמא יעשה קנוניא על נכסיו של זה ויחזיר את אשתו</w:t>
      </w:r>
      <w:r w:rsidRPr="00AB4FCA">
        <w:rPr>
          <w:rStyle w:val="Style1Char"/>
          <w:color w:val="4472C4" w:themeColor="accent1"/>
          <w:rtl/>
        </w:rPr>
        <w:t xml:space="preserve"> </w:t>
      </w:r>
      <w:r w:rsidRPr="00F9005B">
        <w:rPr>
          <w:rStyle w:val="Style1Char"/>
          <w:color w:val="4472C4" w:themeColor="accent1"/>
          <w:rtl/>
        </w:rPr>
        <w:t>והלכה כרבי אלעזר דחיישינן לקנוניא בהקדש כמו גבי ערב</w:t>
      </w:r>
      <w:r w:rsidRPr="00AB4FCA">
        <w:rPr>
          <w:rStyle w:val="Style1Char"/>
          <w:color w:val="806000" w:themeColor="accent4" w:themeShade="80"/>
          <w:rtl/>
        </w:rPr>
        <w:t xml:space="preserve">. </w:t>
      </w:r>
      <w:r w:rsidRPr="00411B19">
        <w:rPr>
          <w:rStyle w:val="Style1Char"/>
          <w:color w:val="806000" w:themeColor="accent4" w:themeShade="80"/>
          <w:rtl/>
        </w:rPr>
        <w:t xml:space="preserve">מ"ש בבקר ובערב [ערכין כ"ב ע"א] אמר רב יהודה בשעת הכנסת פועלים ובשעת הוצאת פועלים בשעת הוצאת פועלים דאי איכא דניחא ליה למזבן אמר זילו סיירו לה ניהלי ובשעת הכנסת פועלים דנידכר דאמר להו ניזיל ונישיילינהו </w:t>
      </w:r>
      <w:r w:rsidRPr="00B75FC7">
        <w:rPr>
          <w:rStyle w:val="Style1Char"/>
          <w:color w:val="806000" w:themeColor="accent4" w:themeShade="80"/>
          <w:rtl/>
        </w:rPr>
        <w:t xml:space="preserve">תניא נמי הכי שום היתומין ל' יום ושום ההקדש ס' יום ומכריזין בבוקר ובערב בשעת הוצאת פועלים ובשעת הכנסת פועלים ואומר שדה פלוני בסימניה ובמצרניה כך היא יפה ובכך היא שומה כל הרוצה ליקח יבא ויקח על מנת ליתן לאשה בכתובתה ולבע"ח בחובו למה לי למימר ע"מ ליתן לאשה בכתובתה ולבע"ח בחובו דאיכא דניחא ליה באשה ואיכא דניחא ליה בבע"ח איכא דניחא ליה באשה דשקלה על יד על יד ואיכא דניחא ליה בבע"ח דמיקל בזוזי </w:t>
      </w:r>
      <w:r w:rsidRPr="00F9005B">
        <w:rPr>
          <w:rStyle w:val="Style1Char"/>
          <w:color w:val="4472C4" w:themeColor="accent1"/>
          <w:rtl/>
        </w:rPr>
        <w:t xml:space="preserve">ואינו מדקדק בזוזי טבי ותקולי כמו האשה </w:t>
      </w:r>
      <w:r w:rsidRPr="009D7A0A">
        <w:rPr>
          <w:rStyle w:val="Style1Char"/>
          <w:color w:val="806000" w:themeColor="accent4" w:themeShade="80"/>
          <w:rtl/>
        </w:rPr>
        <w:t xml:space="preserve">א"ר חסדא בא להכריז רצופין ל' בשני וחמישי ס' ואף על גב דכי חשיב מר ליומי דהכרזה לא הוו אלא תמני סרי יומי כיון דמשכא מילתא שמעי אינשי </w:t>
      </w:r>
      <w:r w:rsidRPr="001454A6">
        <w:rPr>
          <w:rStyle w:val="Style1Char"/>
          <w:color w:val="806000" w:themeColor="accent4" w:themeShade="80"/>
          <w:rtl/>
        </w:rPr>
        <w:t xml:space="preserve">א"ר יהודה אמר רב אסי אין נזקקין לנכסי יתומים אא"כ היתה רבית אוכלת בהן ורבי יוחנן אמר או לשטר שיש בו רבית או לכתובת אשה משום מזוני ורב אסי אמר לך כתובת אשה הא תקינו רבנן מעשה ידיה במזונותיה ואידך זימנין דלא ספקא תנן שום היתומים ל' יום במאי עסקינן אילימא בבע"ח עובד כוכבים מי צאית אלא פשיטא בבע"ח ישראל ואי דקא אכיל רבית מי שבקינן לה אלא דלא אכיל רבית וקתני נזקקין בשלמא לר' יוחנן מוקי לה בכתובת אשה אלא לרב אסי קשיא אמר לך רב אסי ולר' יוחנן מי ניחא שבקינן מזוני דודאי קא מפסדא ונקטינן הכרזה דלא ידעינן אי מרווחינן אי לא הא לא קשיא בתובעת כתובתה בב"ד וכדרב יהודה אמר שמואל דא"ר יהודה אמר שמואל התובעת כתובתה בב"ד אין לה מזונות א"ה אזדקוקי נמי [לא] נזדקקינא לה כיון דאיזדקקין לה מעיקרא מיזדקקינן לה נמי השתא מ"מ לרב אסי קשיא לעולם בבע"ח עובד כוכבי' ודקאמרת לא צאית כגון שקבל עליו לדון בדיני ישראל אי הכי רבית נמי לא נישקול שקבל לזו ולא קבל לזו </w:t>
      </w:r>
      <w:r w:rsidRPr="00EE5B6C">
        <w:rPr>
          <w:rStyle w:val="Style1Char"/>
          <w:color w:val="806000" w:themeColor="accent4" w:themeShade="80"/>
          <w:rtl/>
        </w:rPr>
        <w:t xml:space="preserve">מרימר אגבי כתובה לאשה מנכסי דיתמי א"ל רב </w:t>
      </w:r>
      <w:r w:rsidRPr="00F9005B">
        <w:rPr>
          <w:rStyle w:val="Style1Char"/>
          <w:color w:val="4472C4" w:themeColor="accent1"/>
          <w:rtl/>
        </w:rPr>
        <w:t xml:space="preserve">יהודה </w:t>
      </w:r>
      <w:r w:rsidRPr="00320D3D">
        <w:rPr>
          <w:rStyle w:val="Style1Char"/>
          <w:color w:val="C00000"/>
          <w:rtl/>
        </w:rPr>
        <w:t xml:space="preserve">אשי </w:t>
      </w:r>
      <w:r w:rsidRPr="00EE5B6C">
        <w:rPr>
          <w:rStyle w:val="Style1Char"/>
          <w:color w:val="806000" w:themeColor="accent4" w:themeShade="80"/>
          <w:rtl/>
        </w:rPr>
        <w:t>למרימר והא א"ר יהודה אמר רב אסי אין נזקקין לנכסי יתומים אא"כ היתה רבית אוכלת בהן ור' יוחנן אמר או לשטר שיש בו רבית או לכתובת אשה משום מזוני ואפילו רבי יוחנן לא קאמר אלא באלמנה דמפסדא מזוני אבל גרושה לא</w:t>
      </w:r>
      <w:r w:rsidRPr="00320D3D">
        <w:rPr>
          <w:rStyle w:val="Style1Char"/>
          <w:color w:val="C00000"/>
          <w:rtl/>
        </w:rPr>
        <w:t xml:space="preserve"> </w:t>
      </w:r>
      <w:r w:rsidRPr="00EE5B6C">
        <w:rPr>
          <w:rStyle w:val="Style1Char"/>
          <w:color w:val="806000" w:themeColor="accent4" w:themeShade="80"/>
          <w:rtl/>
        </w:rPr>
        <w:t xml:space="preserve">אמר ליה ההיא דר' יוחנן משום חינא מתנינן לה פירוש כשתטול כתובתה יהא לה חן ותנשא אר"נ מריש לא הוה מזדקיקנא לנכסי דיתמי כיון דשמעי להא דרב הונא חברין משמיה דרב יתמי דאכלי דלאו דידהו ניזלי בתר שבקייהו מכאן ואילך מיזדקיקנא ומעיקרא מ"ט לא רב פפא אמר פריעת בעל חוב מצוה ויתמי לאו בני מיעבד מצוה נינהו ורב הונא בריה דרב יהושע אמר אימור צררי אתפסיה מאי בינייהו א"ב שחייב מודה א"נ </w:t>
      </w:r>
      <w:r>
        <w:rPr>
          <w:rStyle w:val="Style1Char"/>
          <w:rFonts w:hint="cs"/>
          <w:color w:val="806000" w:themeColor="accent4" w:themeShade="80"/>
          <w:rtl/>
        </w:rPr>
        <w:t>ד</w:t>
      </w:r>
      <w:r w:rsidRPr="00EE5B6C">
        <w:rPr>
          <w:rStyle w:val="Style1Char"/>
          <w:color w:val="806000" w:themeColor="accent4" w:themeShade="80"/>
          <w:rtl/>
        </w:rPr>
        <w:t>שמתיה ומית בשמתיה</w:t>
      </w:r>
      <w:r w:rsidRPr="00320D3D">
        <w:rPr>
          <w:rStyle w:val="Style1Char"/>
          <w:color w:val="C00000"/>
          <w:rtl/>
        </w:rPr>
        <w:t xml:space="preserve"> </w:t>
      </w:r>
      <w:r w:rsidRPr="00F9005B">
        <w:rPr>
          <w:rStyle w:val="Style1Char"/>
          <w:color w:val="4472C4" w:themeColor="accent1"/>
          <w:rtl/>
        </w:rPr>
        <w:t xml:space="preserve">דהשתא ליכא למיחש לצררי </w:t>
      </w:r>
      <w:r w:rsidRPr="00EE5B6C">
        <w:rPr>
          <w:rStyle w:val="Style1Char"/>
          <w:color w:val="806000" w:themeColor="accent4" w:themeShade="80"/>
          <w:rtl/>
        </w:rPr>
        <w:t xml:space="preserve">והלכתא כרב הונא בריה דרב יהושע </w:t>
      </w:r>
      <w:r w:rsidRPr="00320D3D">
        <w:rPr>
          <w:rStyle w:val="Style1Char"/>
          <w:color w:val="C00000"/>
          <w:rtl/>
        </w:rPr>
        <w:t xml:space="preserve">[ערכין כ"ב ע"א] </w:t>
      </w:r>
      <w:r w:rsidRPr="00EE5B6C">
        <w:rPr>
          <w:rStyle w:val="Style1Char"/>
          <w:color w:val="806000" w:themeColor="accent4" w:themeShade="80"/>
          <w:rtl/>
        </w:rPr>
        <w:t xml:space="preserve">רבא אמר משום שובר א"ל </w:t>
      </w:r>
      <w:r w:rsidRPr="00EE5B6C">
        <w:rPr>
          <w:rStyle w:val="Style1Char"/>
          <w:color w:val="806000" w:themeColor="accent4" w:themeShade="80"/>
          <w:rtl/>
        </w:rPr>
        <w:lastRenderedPageBreak/>
        <w:t xml:space="preserve">רב הונא בריה דרב יהושע לרבא ומי חיישת לשובר והתנן הנפרעת שלא בפניו לא תפרע אלא בשבועה ואמר רב אחא שר הבירה מעשה ובא לפני ר'  יצחק נפחא באנטוכיא ואמר לא שנו אלא כתובת אשה משום חינא אבל בע"ח לא ורבא א"ר נחמן אפי' בע"ח נמי ואי חיישת לשובר התם נמי ניחוש א"ל התם כדאמרי' טעמא שלא יהא כל או"א נוטל מעותיו של חבירו והולך ויושב לו במדינת הים אמר רבא הלכתא אין נזקקין לנכסי יתומים ואם אמר תנו נזקקין שדה זו ומנה זו נזקקין ואין מעמידין אפוטרופוס שדה סתם ומנה סתם נזקקין ומעמידין אפוטרופוס </w:t>
      </w:r>
      <w:r w:rsidRPr="00F9005B">
        <w:rPr>
          <w:rStyle w:val="Style1Char"/>
          <w:color w:val="4472C4" w:themeColor="accent1"/>
          <w:rtl/>
        </w:rPr>
        <w:t xml:space="preserve">לחפש בזכות היתומים ולדחות מקבל מתנה אצל הגרוע אבל כשאמר שדה זו ומנה זו לא יוכל אפוטרופוס להועיל ליתומים </w:t>
      </w:r>
      <w:r w:rsidRPr="001E3B35">
        <w:rPr>
          <w:rStyle w:val="Style1Char"/>
          <w:color w:val="806000" w:themeColor="accent4" w:themeShade="80"/>
          <w:rtl/>
        </w:rPr>
        <w:t>אבל נמצאת שדה שאינה שלו נזקקין ואין מעמידין אפוטרופוס</w:t>
      </w:r>
      <w:r w:rsidRPr="00320D3D">
        <w:rPr>
          <w:rStyle w:val="Style1Char"/>
          <w:color w:val="C00000"/>
          <w:rtl/>
        </w:rPr>
        <w:t xml:space="preserve"> </w:t>
      </w:r>
      <w:r w:rsidRPr="00F9005B">
        <w:rPr>
          <w:rStyle w:val="Style1Char"/>
          <w:color w:val="4472C4" w:themeColor="accent1"/>
          <w:rtl/>
        </w:rPr>
        <w:t xml:space="preserve">פי' אם נתברר שהניח לפניו שדה שאינה שלו ירד בה מתחלה בתורת גזילה ובא הנגזל להוציאה מיד היתומים בית דין נזקקין לתובע להורידו לשדה ואין מעמידין אפוטרופוס לטעון בשביל היתומים אולי יוכל לפסול עדיו דאחזוקי סהדי בשקרי לא מחזקינן </w:t>
      </w:r>
      <w:r w:rsidRPr="001E3B35">
        <w:rPr>
          <w:rStyle w:val="Style1Char"/>
          <w:color w:val="806000" w:themeColor="accent4" w:themeShade="80"/>
          <w:rtl/>
        </w:rPr>
        <w:t>אמרי נהרדעי בכולהו נזקקין ומעמידין אפוטרופוס לבר מנמצאת שדה שאינה שלו דאחזוקי סהדי בשיקרי לא מחזקינן א"ר אשי הלכך אנן אזדקוקי לא מזדקקינן דהא אמר רבא הלכתא אין נזקקין ואי מזדקקינן מוקמינן אפוטרופוס דהא אמרי נהרדעי בכולהו נזקקין ומעמידין אפוטרופוס לבר מנמצאת שדה שאינה שלו דאחזוקי סהדי בשקרי לא מחזקינן</w:t>
      </w:r>
      <w:r w:rsidRPr="001E3B35">
        <w:rPr>
          <w:rStyle w:val="Style1Char"/>
          <w:color w:val="806000" w:themeColor="accent4" w:themeShade="80"/>
        </w:rPr>
        <w:t>:</w:t>
      </w:r>
    </w:p>
    <w:p w14:paraId="1F51777D" w14:textId="77777777" w:rsidR="00B600B2" w:rsidRPr="00F9005B" w:rsidRDefault="00B600B2" w:rsidP="00B600B2">
      <w:pPr>
        <w:bidi/>
        <w:rPr>
          <w:rStyle w:val="Style1Char"/>
          <w:color w:val="4472C4" w:themeColor="accent1"/>
        </w:rPr>
      </w:pPr>
      <w:r w:rsidRPr="00F9005B">
        <w:rPr>
          <w:rStyle w:val="Style1Char"/>
          <w:color w:val="4472C4" w:themeColor="accent1"/>
          <w:rtl/>
        </w:rPr>
        <w:t>הא דקאמר ואי מזדקיקנן מוקמינן אפוטרופוס כגון מנה סתם או שדה סתם או שדה זו ומנה זו או חייב מודה או שמתוהו ומת בשמתיה או שלא הגיע זמן פירעון המלוה בחיי אביהם דקי"ל (ב"ב ה ב) חזקה אין אדם פורע בתוך זמנו ואפי' מיתמי והא דקאמר נמצאת שדה שאינה שלו נזקקין</w:t>
      </w:r>
      <w:r>
        <w:rPr>
          <w:rStyle w:val="Style1Char"/>
          <w:rFonts w:hint="cs"/>
          <w:color w:val="4472C4" w:themeColor="accent1"/>
        </w:rPr>
        <w:t>‍</w:t>
      </w:r>
      <w:r w:rsidRPr="00F9005B">
        <w:rPr>
          <w:rStyle w:val="Style1Char"/>
          <w:color w:val="4472C4" w:themeColor="accent1"/>
          <w:rtl/>
        </w:rPr>
        <w:t xml:space="preserve"> מיירי שנתקבל העדות בחיי אביהם דאין מקבלין עדות אלא בפני בעל דין ובפני היתומים כשלא בפניהם דמי כדמוכח בפרק הגוזל בתרא (דף קיב א) גבי בר חמוה דר' ירמיה. כתב הרמב"ן ז"ל שאם לוו ב"ד או אפוטרופוס לצרכי יתומים נזקקין לנכסיהן כשהם קטנים דלמ"ד משום צררי ליכא וכן למ"ד משום פריעת בעל חוב מצוה ויתמי לאו בני מיעבד מצוה נינהו כיון דאפוטרופוס לוה עליה דידיה רמיא הך מצוה למיהוי הן שלו צדק ולא מצרכי רבנן למיהוי מי שמפקח על עסקי יתומים לוה רשע ולא ישלם וכ"ש בית דין עצמם שלוו לצרכם ועוד שזהו תקנתם דלעבדי להו מידי וכך לא בעינן הכרזה שאם לוו לצורכם מוכרין ופורעין כדרך שאדם פורע בשלו שאילו מתחלה כשלוו לצרכיהן מכרו מנכסיהן לא היו צריכין הכרזה כדפרישנא לעיל (סי' כ) גם כשמוכרין לפרוע מה שלוו מוכרין בלא הכרזה וכן בי דינא דזבין ואחריותא איתמי אם טרפו ממנו גובה הלוקח שלא בהכרזה מדלא מוקים מתני' דשום היתומים שלשים יום בהכי וכן נראה שנפרעין במילי דידהו מן הבינונית וכן מוכח פרק שום היתומים (דף כב א) דהא דקאמר אין נפרעין מנכסי יתומים אלא מן הזיבורית היינו במילי דאבוהון והקשו לדבריו מהא דאמרינן בפרק שור שנגח ארבעה וחמשה (דף לט א) גבי שור של חרש שנגח מעליית דמאן רבי יוחנן אמר מעליית יתומים רבי יוסי בר חנינא אמר מעליית אפוטרופוס והוינן בה מי אמר רבי יוחנן הכי והאמר רב יהודה אמר רב אסי אין נזקקין לנכסי יתומים וכו' אלמא אפילו במילי דיתומים גופייהו אין נזקקין לנכסיהן ותרץ כיון דהתם חיובא ממילא אתא עלייהו דיתמי אין נזקקין דכי היכי דבעלמא חיישינן לצררי ולשובר ולא דיינינן במילי דקטנים משום דלכי גדלי אינהו מפקחי וידעי במילי דאבוהון טפי מינן הכי נמי ודאי חיישינן בנזקין לכי גדלי מייתי סהדי לפטורא ששמרוהו שמירה מעולה או שלא נעשה מועד כדין וכל שכן שלא היה לנו להעמיד אפוטרופוס מתחילה כדי שיתחייבו קטנים בנזקין אבל במה שלוו לצרכם ודאי נזקקין וכן נראה שאין במעשה יתומים בשלהן לומר אין מקבלין עדות שלא בפני בעל דין תדע דאמרי' מעמידין אפוטרופוס לגבות ולמאן דאמר נמי אין מעמידין אם הוחזקו נגחנין מעמידין להם אפוטרופוס ומעידין בפני אפוטרופוס ומשוו ליה מועד דכי הדר נגח משלם מעליית יתומים או מעליית אפוטרופוס וחוזרין ונפרעין מהן לכי גדלי ולא מצריכין להו עדים אחרים אלמא בכל מילתא דמעמידין עליהן אפוטרופוס קבלינן עדים שלא בפני יתומים דאפוטרופוס בע"ד הוא וכן עדי צוואה מילי דיתומים הוא ובמלתא דנזקקין כגון דאמר תנו בין בשדה זו ומנה זה בין בשדה סתם ומנה סתם מקבלין עדים הללו בפני אפוטרופוס דהא הלכתא אי מזדקיקנן מוקמינן אפוטרופוס</w:t>
      </w:r>
      <w:r>
        <w:rPr>
          <w:rStyle w:val="Style1Char"/>
          <w:rFonts w:hint="cs"/>
          <w:color w:val="4472C4" w:themeColor="accent1"/>
        </w:rPr>
        <w:t>‍</w:t>
      </w:r>
      <w:r w:rsidRPr="00F9005B">
        <w:rPr>
          <w:rStyle w:val="Style1Char"/>
          <w:color w:val="4472C4" w:themeColor="accent1"/>
          <w:rtl/>
        </w:rPr>
        <w:t xml:space="preserve"> והראב"ד ז"ל העמידו במוסר דברים לב"ד או שכתבו עדותו בשטר כל זה מדברי הרמב"ן ז"ל ור"י ז"ל פירש דאין נזקקין לנכסי יתומים אף במלוה הבאה ע"י עצמן משום דאין מקבלין עדות אלא בפני בעל דין משום דהוה קשיא ליה מהא דאמרי' בפרק שור שנגח ארבעה וחמשה (דף לט א) רבי יוחנן אמר מעליית יתומים ר' יוסי בר' חנינא אמר מעליית אפוטרופוס ומי א"ר יוחנן הכי [וכו'] איפוך דר' יוחנן אמר מעליית אפוטרופוס רבי יוסי בר חנינא אמר מעליית יתומים אמר רבא משום דקשיא דר' יוחנן אדר' יוחנן משוית ליה לרבי יוסי בר חנינא טועה והשתא קשה מאי טעותא דלמא הא דאין נזקקין משום חשש צררי הוא דמפרש כרב הונא בריה דרב יהושע ופליג אדרב פפא דאמר משום פריעת ב"ח מצוה ויתמי לאו בני מיעבד מצוה נינהו וקי"ל הלכתא כרב הונא בריה דרב יהושע והכא ליכא למיחש לצררי ורבא (דהכא) נמי דהוא מפרש טעמא בפ' שום היתומים משום שובר והכא לא שייך האי טעמא ותירץ דר' יוחנן דאמר אין נזקקין בכל ענין איירי בין במלוה הבאה מחמת עצמן בין במלוה הבאה מחמת אביהן במלוה הבאה מחמת עצמן משום דאין מקבלין עדות שלא בפני בעל דין ובפני היתומים כשלא בפניהם דמי כדמוכח בהגוזל בתרא גבי בר חמוה דרבי ירמיה ובבאה מחמת אביהן אף בשטר דאז מקבלין כדאתא בהגוזל בתרא [דף קיב ב] דמקיימין השטר שלא בפני בעל דין או אפילו במקויים אין נזקקין משום צררי ולהכי חשיב ליה דרבי יוסי בר חנינא טועה דהא כמלוה הבאה מחמת עצמן היא ואית ליה דמקבלין עדות שלא בפני בעל דין והא דקאמר אם הוחזקו נגחנין מעמידין להם אפוטרופוס ומשוינן ליה מועד ומשלם למר מעליית יתומים ולמר מעליית אפוטרופוא וחוזרין ונפרעין לכי גדלי משום דמזיק שאני ולטובת העולם שלא ירבו להזיק הוא דנזקקין לנכסיהן ומיהו דברי הרמב"ן ז"ל דברים של טעם הם דכל דבר שעשו בית דין או האפוטרופוס נזקקין לנכסיהן ומקבלין עדות לפני ב"ד או לפני אפוטרופוס והם בעלי דבר ומוכרין שלא בהכרזה וגובין מן הבינונית דכל מה דאמור רבנן אין נפרעין מנכסי יתומים הינו במילי דאבוהון ומה שפירש רש"י ז"ל דאף במלוה הבאה מחמת עצמן אין נזקקין משום דאין מקבלין עדות שלא בפני בעל דין</w:t>
      </w:r>
      <w:r>
        <w:rPr>
          <w:rStyle w:val="Style1Char"/>
          <w:rFonts w:hint="cs"/>
          <w:color w:val="4472C4" w:themeColor="accent1"/>
        </w:rPr>
        <w:t>‍</w:t>
      </w:r>
      <w:r w:rsidRPr="00F9005B">
        <w:rPr>
          <w:rStyle w:val="Style1Char"/>
          <w:color w:val="4472C4" w:themeColor="accent1"/>
          <w:rtl/>
        </w:rPr>
        <w:t xml:space="preserve"> היינו במלוה שלוו היתומים עצמן בלא אפוטרופוס</w:t>
      </w:r>
      <w:r>
        <w:rPr>
          <w:rStyle w:val="Style1Char"/>
          <w:rFonts w:hint="cs"/>
          <w:color w:val="4472C4" w:themeColor="accent1"/>
        </w:rPr>
        <w:t>‍</w:t>
      </w:r>
      <w:r w:rsidRPr="00F9005B">
        <w:rPr>
          <w:rStyle w:val="Style1Char"/>
          <w:color w:val="4472C4" w:themeColor="accent1"/>
          <w:rtl/>
        </w:rPr>
        <w:t xml:space="preserve"> מידי דהוה אמקחן וממכרן דקיים משום כדי חייו וכן מתנתן מתנה וכן נמי אם לוו ובא המלוה לגבות חובו אין ב"ד נזקקין לקבל עדות עד שיגדלו ואין ב"ד מעמידין להם אפוטרופוס לקבל העדות וכיוצא בזה הוי שור שנגח ולהכי משוי רבי יוסי בר חנינא טועה ובעדי צוואה נראה כדברי הראב"ד ז"ל דאין מקבלין עדות בפני האפוטרופוס</w:t>
      </w:r>
      <w:r w:rsidRPr="00F9005B">
        <w:rPr>
          <w:rStyle w:val="Style1Char"/>
          <w:color w:val="4472C4" w:themeColor="accent1"/>
        </w:rPr>
        <w:t xml:space="preserve">: </w:t>
      </w:r>
    </w:p>
    <w:p w14:paraId="1361B1FB" w14:textId="64377FB3" w:rsidR="00B600B2" w:rsidRPr="00F4300B" w:rsidRDefault="00B600B2" w:rsidP="00B600B2">
      <w:pPr>
        <w:bidi/>
        <w:rPr>
          <w:rStyle w:val="Style1Char"/>
          <w:color w:val="auto"/>
          <w:sz w:val="22"/>
          <w:szCs w:val="22"/>
        </w:rPr>
      </w:pPr>
      <w:r w:rsidRPr="00F4300B">
        <w:rPr>
          <w:rStyle w:val="Style1Char"/>
          <w:color w:val="auto"/>
          <w:sz w:val="22"/>
          <w:szCs w:val="22"/>
          <w:rtl/>
        </w:rPr>
        <w:t xml:space="preserve">מתני'. </w:t>
      </w:r>
      <w:r w:rsidR="00340447">
        <w:rPr>
          <w:rStyle w:val="Style1Char"/>
          <w:rFonts w:hint="cs"/>
          <w:rtl/>
        </w:rPr>
        <w:t>(</w:t>
      </w:r>
      <w:r w:rsidR="00AB3ABB">
        <w:rPr>
          <w:rStyle w:val="Style1Char"/>
          <w:rFonts w:hint="cs"/>
          <w:rtl/>
        </w:rPr>
        <w:t>5</w:t>
      </w:r>
      <w:r w:rsidR="00340447">
        <w:rPr>
          <w:rStyle w:val="Style1Char"/>
          <w:rFonts w:hint="cs"/>
          <w:rtl/>
        </w:rPr>
        <w:t>)</w:t>
      </w:r>
      <w:r w:rsidRPr="00F4300B">
        <w:rPr>
          <w:rStyle w:val="Style1Char"/>
          <w:color w:val="auto"/>
          <w:sz w:val="22"/>
          <w:szCs w:val="22"/>
          <w:rtl/>
        </w:rPr>
        <w:t xml:space="preserve">הממאנת, </w:t>
      </w:r>
      <w:r w:rsidR="00340447">
        <w:rPr>
          <w:rStyle w:val="Style1Char"/>
          <w:rFonts w:hint="cs"/>
          <w:rtl/>
        </w:rPr>
        <w:t>(</w:t>
      </w:r>
      <w:r w:rsidR="00AB3ABB">
        <w:rPr>
          <w:rStyle w:val="Style1Char"/>
          <w:rFonts w:hint="cs"/>
          <w:rtl/>
        </w:rPr>
        <w:t>6</w:t>
      </w:r>
      <w:r w:rsidR="00340447">
        <w:rPr>
          <w:rStyle w:val="Style1Char"/>
          <w:rFonts w:hint="cs"/>
          <w:rtl/>
        </w:rPr>
        <w:t>)</w:t>
      </w:r>
      <w:r w:rsidRPr="00F4300B">
        <w:rPr>
          <w:rStyle w:val="Style1Char"/>
          <w:color w:val="auto"/>
          <w:sz w:val="22"/>
          <w:szCs w:val="22"/>
          <w:rtl/>
        </w:rPr>
        <w:t xml:space="preserve">השניה, </w:t>
      </w:r>
      <w:r w:rsidR="00340447">
        <w:rPr>
          <w:rStyle w:val="Style1Char"/>
          <w:rFonts w:hint="cs"/>
          <w:rtl/>
        </w:rPr>
        <w:t>(</w:t>
      </w:r>
      <w:r w:rsidR="00AB3ABB">
        <w:rPr>
          <w:rStyle w:val="Style1Char"/>
          <w:rFonts w:hint="cs"/>
          <w:rtl/>
        </w:rPr>
        <w:t>6.1, 7</w:t>
      </w:r>
      <w:r w:rsidR="00340447">
        <w:rPr>
          <w:rStyle w:val="Style1Char"/>
          <w:rFonts w:hint="cs"/>
          <w:rtl/>
        </w:rPr>
        <w:t>)</w:t>
      </w:r>
      <w:r w:rsidRPr="00F4300B">
        <w:rPr>
          <w:rStyle w:val="Style1Char"/>
          <w:color w:val="auto"/>
          <w:sz w:val="22"/>
          <w:szCs w:val="22"/>
          <w:rtl/>
        </w:rPr>
        <w:t xml:space="preserve">והאילונית - אין להן כתובה ולא פירות, ולא מזונות ולא בלאות; אם מתחלה נשאה לשם אילונית - יש לה כתובה. אלמנה לכ"ג, גרושה וחלוצה לכהן הדיוט, ממזרת ונתינה לישראל, בת ישראל לנתין ולממזר - יש להם כתובה. </w:t>
      </w:r>
    </w:p>
    <w:p w14:paraId="25F5AD2C" w14:textId="77777777" w:rsidR="00B600B2" w:rsidRDefault="00B600B2" w:rsidP="00B600B2">
      <w:pPr>
        <w:bidi/>
        <w:rPr>
          <w:rStyle w:val="Style1Char"/>
          <w:color w:val="4472C4" w:themeColor="accent1"/>
          <w:rtl/>
        </w:rPr>
      </w:pPr>
      <w:r w:rsidRPr="000D2856">
        <w:rPr>
          <w:rStyle w:val="Style1Char"/>
          <w:color w:val="auto"/>
          <w:sz w:val="22"/>
          <w:szCs w:val="22"/>
          <w:rtl/>
        </w:rPr>
        <w:t>גמ'.</w:t>
      </w:r>
      <w:r w:rsidRPr="002C2368">
        <w:rPr>
          <w:rStyle w:val="BalloonTextChar"/>
          <w:rFonts w:asciiTheme="minorHAnsi" w:hAnsiTheme="minorHAnsi" w:cs="Arial"/>
          <w:color w:val="C00000"/>
          <w:rtl/>
        </w:rPr>
        <w:t xml:space="preserve"> </w:t>
      </w:r>
      <w:r w:rsidRPr="002C2368">
        <w:rPr>
          <w:rStyle w:val="Style1Char"/>
          <w:color w:val="C00000"/>
          <w:sz w:val="22"/>
          <w:szCs w:val="22"/>
          <w:rtl/>
        </w:rPr>
        <w:t xml:space="preserve">ירושלמי ויתומה אין לה כתובה תפתר ביתומה שמיאנה </w:t>
      </w:r>
      <w:r w:rsidRPr="009C16B0">
        <w:rPr>
          <w:rStyle w:val="Style1Char"/>
          <w:color w:val="806000" w:themeColor="accent4" w:themeShade="80"/>
          <w:sz w:val="22"/>
          <w:szCs w:val="22"/>
          <w:rtl/>
        </w:rPr>
        <w:t>כשם שקנסו בה שאין לה כתובה כך קנסו בו שאם קידשה בליטרא דדהבא מאבד הכל</w:t>
      </w:r>
      <w:r w:rsidRPr="000721FC">
        <w:rPr>
          <w:rStyle w:val="Style1Char"/>
          <w:color w:val="4472C4" w:themeColor="accent1"/>
          <w:rtl/>
        </w:rPr>
        <w:t xml:space="preserve"> </w:t>
      </w:r>
      <w:r w:rsidRPr="00F9005B">
        <w:rPr>
          <w:rStyle w:val="Style1Char"/>
          <w:color w:val="4472C4" w:themeColor="accent1"/>
          <w:rtl/>
        </w:rPr>
        <w:t>הא דקאמר אין לה פירות מפרש [בתרין אפין] אין לה פרקונה שהוא תחת פירות</w:t>
      </w:r>
      <w:r>
        <w:rPr>
          <w:rStyle w:val="Style1Char"/>
          <w:rFonts w:hint="cs"/>
          <w:color w:val="4472C4" w:themeColor="accent1"/>
        </w:rPr>
        <w:t>‍</w:t>
      </w:r>
      <w:r w:rsidRPr="00F9005B">
        <w:rPr>
          <w:rStyle w:val="Style1Char"/>
          <w:color w:val="4472C4" w:themeColor="accent1"/>
          <w:rtl/>
        </w:rPr>
        <w:t xml:space="preserve"> וגם אין משלם פירות שאכל אף על פי שלא נתחייב בפרקונה</w:t>
      </w:r>
      <w:r>
        <w:rPr>
          <w:rStyle w:val="Style1Char"/>
          <w:rFonts w:hint="cs"/>
          <w:color w:val="4472C4" w:themeColor="accent1"/>
        </w:rPr>
        <w:t>‍</w:t>
      </w:r>
      <w:r w:rsidRPr="00F9005B">
        <w:rPr>
          <w:rStyle w:val="Style1Char"/>
          <w:color w:val="4472C4" w:themeColor="accent1"/>
          <w:rtl/>
        </w:rPr>
        <w:t xml:space="preserve"> ובשנייה ובאיילונית ניחא אבל בממאנת מאי אין לה פירות אין לומר תקנת פירות דהיינו פרקונה דבעודה יושבת תחתיו פשיטא דאם נשבית חייב לפדותה ואם מיאנה ואח"כ נשבית פשיטא דאינו חייב לפדותה ואם נשבית ומיאנה ועודה שבוייה פשיטא דאין חייב לפדותה דאלמנה לכה"ג שנשבית בחיי בעלה ומת אמרינן (לעיל דף נב א) דאין היורשין חייבין לפדותה ובפירות שאכל נמי אין לפרש דאפילו קרן גופיה אם אכלו אין לה דאמר בגמרא אי דליתנהו אידי ואידי לית לה אלא אצטריך לאשמועינן דאין לה פירות שליקט אפילו הן מונחין בעין בתוך ביתו ועוד יש לפרש תקנת פירות כגון שנשבית ולוותה ופדתה את עצמה ואח"כ מיאנה דומיא דמזונות דמפרש לקמן בפ' שני דייני גזירות (דף קז ב) כיצד אמרו ממאנת אין לה מזונות אי אתה יכול לומר ביושבת תחת בעלה שהרי בעלה חייב במזונותיה אלא כגון שהלך בעלה למדינת הים ולוותה ואכלה ועמדה ומיאנה</w:t>
      </w:r>
      <w:r w:rsidRPr="00F9005B">
        <w:rPr>
          <w:rStyle w:val="Style1Char"/>
          <w:color w:val="4472C4" w:themeColor="accent1"/>
        </w:rPr>
        <w:t>:</w:t>
      </w:r>
    </w:p>
    <w:p w14:paraId="5D01334B" w14:textId="77777777" w:rsidR="00B600B2" w:rsidRPr="00F9005B" w:rsidRDefault="00B600B2" w:rsidP="00B600B2">
      <w:pPr>
        <w:bidi/>
        <w:rPr>
          <w:rStyle w:val="Style1Char"/>
          <w:color w:val="4472C4" w:themeColor="accent1"/>
        </w:rPr>
      </w:pPr>
      <w:r>
        <w:rPr>
          <w:rStyle w:val="Style1Char"/>
          <w:rFonts w:hint="cs"/>
          <w:color w:val="4472C4" w:themeColor="accent1"/>
        </w:rPr>
        <w:t>‍</w:t>
      </w:r>
      <w:r w:rsidRPr="00F9005B">
        <w:rPr>
          <w:rStyle w:val="Style1Char"/>
          <w:color w:val="4472C4" w:themeColor="accent1"/>
          <w:rtl/>
        </w:rPr>
        <w:t xml:space="preserve"> ולא מזונות משום דתנאי כתובה ככתובה דמי וכי היכי דאין לה כתובה כך אין לה מזונות ולא תימא הא דאין לשנייה מזונות היינו לאחר מיתה דהוו תנאי כתובה אבל מחיים דלא הוו מזונות תנאי כתובה אית לה דהשתא אלמנה לכ"ג דאית לה מזונות לאחר מיתה לית לה מחיים דלמא תתעכב גביה כדאיתא בפ' יש מותרות (דף פה א) כל שכן שנייה דלית לה לאחר מיתה דגם מחיים לית לה ולא תימא נמי אין לה מזונות מחיים אבל לאחר מיתה אית לה כמו אלמנה דהא בהדיא קתני בפרק יש מותרות </w:t>
      </w:r>
      <w:r>
        <w:rPr>
          <w:rStyle w:val="Style1Char"/>
          <w:rFonts w:hint="cs"/>
          <w:color w:val="4472C4" w:themeColor="accent1"/>
        </w:rPr>
        <w:t>‍</w:t>
      </w:r>
      <w:r w:rsidRPr="00F9005B">
        <w:rPr>
          <w:rStyle w:val="Style1Char"/>
          <w:color w:val="4472C4" w:themeColor="accent1"/>
          <w:rtl/>
        </w:rPr>
        <w:t xml:space="preserve"> אלמנה יש לה מזונות שנייה אין לה מזונות ויש לה מזונות דאלמנה היינו לאחר מיתה וקאמר דשנייה אין לה הלכך אין לה לא מחיים ולא לאחר מיתה. אין לה כתובה אמר שמואל לא שנו אלא מנה ומאתים אבל תוספת יש לה דמתנה בעלמא יהב לה משום חיבת ביאה תניא נמי הכי נשים שאמרו חכמים אין להן כתובה</w:t>
      </w:r>
      <w:r>
        <w:rPr>
          <w:rStyle w:val="Style1Char"/>
          <w:rFonts w:hint="cs"/>
          <w:color w:val="4472C4" w:themeColor="accent1"/>
        </w:rPr>
        <w:t>‍</w:t>
      </w:r>
      <w:r w:rsidRPr="00F9005B">
        <w:rPr>
          <w:rStyle w:val="Style1Char"/>
          <w:color w:val="4472C4" w:themeColor="accent1"/>
          <w:rtl/>
        </w:rPr>
        <w:t xml:space="preserve"> כגון ממאנת וחברותיה שכתחלתן כך סופן ולהכי תנא בהו אין להן כתובה כלומר שאין להן כתובה מתחלתן והוא הדין במקום ששנה יוצאות שלא בכתובה כההיא ברייתא דיבמות פרק הבא על יבמתו (דף סה א) נשאת למי שאין לו בנים תצא שלא בכתובה יש לה תוספת</w:t>
      </w:r>
      <w:r>
        <w:rPr>
          <w:rStyle w:val="Style1Char"/>
          <w:rFonts w:hint="cs"/>
          <w:color w:val="4472C4" w:themeColor="accent1"/>
        </w:rPr>
        <w:t>‍</w:t>
      </w:r>
      <w:r w:rsidRPr="00F9005B">
        <w:rPr>
          <w:rStyle w:val="Style1Char"/>
          <w:color w:val="4472C4" w:themeColor="accent1"/>
          <w:rtl/>
        </w:rPr>
        <w:t xml:space="preserve"> מיד דהוה אאילונית לפי שכתחילתה כך סופה ונשים שאמרו חכמים יוצאות שלא בכתובה שמחמת קלקול שאחר הנשואין </w:t>
      </w:r>
      <w:r w:rsidRPr="00F9005B">
        <w:rPr>
          <w:rStyle w:val="Style1Char"/>
          <w:color w:val="4472C4" w:themeColor="accent1"/>
          <w:rtl/>
        </w:rPr>
        <w:lastRenderedPageBreak/>
        <w:t>הפסידו</w:t>
      </w:r>
      <w:r>
        <w:rPr>
          <w:rStyle w:val="Style1Char"/>
          <w:rFonts w:hint="cs"/>
          <w:color w:val="4472C4" w:themeColor="accent1"/>
        </w:rPr>
        <w:t>‍</w:t>
      </w:r>
      <w:r w:rsidRPr="00F9005B">
        <w:rPr>
          <w:rStyle w:val="Style1Char"/>
          <w:color w:val="4472C4" w:themeColor="accent1"/>
          <w:rtl/>
        </w:rPr>
        <w:t xml:space="preserve"> כגון עוברת על דת וחברותיה שאין סופן כתחלתן שמתחלה היו ראויות לכתובה ועכשיו הפסידו על עצמן בין ששנו בהן בלשון יוצאות שלא בכתובה בין ששנו בהן אין לה כתובה כאותה ששנינו ביבמות (דף פז ב) ובהזורק (דף עט ב) תצא מזה ומזה ואין לה כתובה כולן אין להן לא מנה ולא תוס' שהרי כל אותן הנשים משום צד זנות הן מפסידות כתובתן ונאסרות על בעליהן הלכך עוברת על דת וחברותיה והיוצאת משום ש"ר נוטלת מה שבפניה ויוצאת מסייע ליה לרב הונא דאמר רב הונא זינתה לא הפסידה בלאותיה קיימין בלאותיה הן בלאות בין של נכסי מלוג בין של נכסי צאן</w:t>
      </w:r>
      <w:r>
        <w:rPr>
          <w:rStyle w:val="Style1Char"/>
          <w:rFonts w:hint="cs"/>
          <w:color w:val="4472C4" w:themeColor="accent1"/>
        </w:rPr>
        <w:t>‍</w:t>
      </w:r>
      <w:r w:rsidRPr="00F9005B">
        <w:rPr>
          <w:rStyle w:val="Style1Char"/>
          <w:color w:val="4472C4" w:themeColor="accent1"/>
          <w:rtl/>
        </w:rPr>
        <w:t xml:space="preserve"> ברזל ומדקתני בלאותיה סתם משמע מכל מה שהכניסה לו</w:t>
      </w:r>
      <w:r w:rsidRPr="00F9005B">
        <w:rPr>
          <w:rStyle w:val="Style1Char"/>
          <w:color w:val="4472C4" w:themeColor="accent1"/>
        </w:rPr>
        <w:t>:</w:t>
      </w:r>
    </w:p>
    <w:p w14:paraId="1219BAF0" w14:textId="328B6E01" w:rsidR="00B600B2" w:rsidRDefault="00B600B2" w:rsidP="00B600B2">
      <w:pPr>
        <w:bidi/>
        <w:rPr>
          <w:rStyle w:val="Style1Char"/>
          <w:color w:val="auto"/>
          <w:sz w:val="22"/>
          <w:szCs w:val="22"/>
          <w:rtl/>
        </w:rPr>
      </w:pPr>
      <w:r w:rsidRPr="0085681C">
        <w:rPr>
          <w:rStyle w:val="Style1Char"/>
          <w:color w:val="auto"/>
          <w:sz w:val="22"/>
          <w:szCs w:val="22"/>
          <w:rtl/>
        </w:rPr>
        <w:t xml:space="preserve">רב תני: קטנה יוצאה בגט - אין לה כתובה, וכל שכן ממאנת; שמואל תני: ממאנת - אין לה כתובה, </w:t>
      </w:r>
      <w:r w:rsidRPr="0085681C">
        <w:rPr>
          <w:rStyle w:val="Style1Char"/>
          <w:color w:val="auto"/>
          <w:rtl/>
        </w:rPr>
        <w:t xml:space="preserve">אבל </w:t>
      </w:r>
      <w:r w:rsidRPr="0085681C">
        <w:rPr>
          <w:rStyle w:val="Style1Char"/>
          <w:color w:val="auto"/>
          <w:sz w:val="22"/>
          <w:szCs w:val="22"/>
          <w:rtl/>
        </w:rPr>
        <w:t>יוצאה בגט - יש לה כתובה</w:t>
      </w:r>
      <w:r w:rsidRPr="0085681C">
        <w:rPr>
          <w:rStyle w:val="Style1Char"/>
          <w:color w:val="4472C4" w:themeColor="accent1"/>
          <w:rtl/>
        </w:rPr>
        <w:t xml:space="preserve"> </w:t>
      </w:r>
      <w:r w:rsidRPr="0085681C">
        <w:rPr>
          <w:rStyle w:val="Style1Char"/>
          <w:color w:val="4472C4" w:themeColor="accent1"/>
          <w:sz w:val="22"/>
          <w:szCs w:val="22"/>
          <w:rtl/>
        </w:rPr>
        <w:t>וקי"ל כשמואל</w:t>
      </w:r>
      <w:r w:rsidRPr="0085681C">
        <w:rPr>
          <w:rStyle w:val="Style1Char"/>
          <w:color w:val="auto"/>
          <w:sz w:val="22"/>
          <w:szCs w:val="22"/>
          <w:rtl/>
        </w:rPr>
        <w:t xml:space="preserve">. ואזדא שמואל לטעמיה, דאמר שמואל: ממאנת - </w:t>
      </w:r>
      <w:r w:rsidR="00AB3ABB">
        <w:rPr>
          <w:rStyle w:val="Style1Char"/>
          <w:rFonts w:hint="cs"/>
          <w:rtl/>
        </w:rPr>
        <w:t>(5.1, 5.2)</w:t>
      </w:r>
      <w:r w:rsidRPr="0085681C">
        <w:rPr>
          <w:rStyle w:val="Style1Char"/>
          <w:color w:val="auto"/>
          <w:sz w:val="22"/>
          <w:szCs w:val="22"/>
          <w:rtl/>
        </w:rPr>
        <w:t>אין לה כתובה, יוצאה בגט - יש לה כתובה;</w:t>
      </w:r>
      <w:r w:rsidRPr="0085681C">
        <w:rPr>
          <w:rStyle w:val="Style1Char"/>
          <w:color w:val="auto"/>
          <w:rtl/>
        </w:rPr>
        <w:t xml:space="preserve"> </w:t>
      </w:r>
      <w:r w:rsidR="00AB3ABB">
        <w:rPr>
          <w:rStyle w:val="Style1Char"/>
          <w:rFonts w:hint="cs"/>
          <w:rtl/>
        </w:rPr>
        <w:t>(5.3, 8)</w:t>
      </w:r>
      <w:r w:rsidRPr="0085681C">
        <w:rPr>
          <w:rStyle w:val="Style1Char"/>
          <w:color w:val="auto"/>
          <w:sz w:val="22"/>
          <w:szCs w:val="22"/>
          <w:rtl/>
        </w:rPr>
        <w:t xml:space="preserve">ממאנת - לא פסלה מן האחין </w:t>
      </w:r>
      <w:r w:rsidR="008C02C9">
        <w:rPr>
          <w:rStyle w:val="Style1Char"/>
          <w:rFonts w:hint="cs"/>
          <w:rtl/>
        </w:rPr>
        <w:t>(5.3, 9)</w:t>
      </w:r>
      <w:r w:rsidRPr="0085681C">
        <w:rPr>
          <w:rStyle w:val="Style1Char"/>
          <w:color w:val="auto"/>
          <w:sz w:val="22"/>
          <w:szCs w:val="22"/>
          <w:rtl/>
        </w:rPr>
        <w:t xml:space="preserve">ולא פסלה מן הכהונה, יוצאה בגט - פסלה מן האחין ופסלה מן הכהונה; </w:t>
      </w:r>
      <w:r w:rsidR="008C02C9">
        <w:rPr>
          <w:rStyle w:val="Style1Char"/>
          <w:rFonts w:hint="cs"/>
          <w:rtl/>
        </w:rPr>
        <w:t>(5.3, 10)</w:t>
      </w:r>
      <w:r w:rsidRPr="0085681C">
        <w:rPr>
          <w:rStyle w:val="Style1Char"/>
          <w:color w:val="auto"/>
          <w:sz w:val="22"/>
          <w:szCs w:val="22"/>
          <w:rtl/>
        </w:rPr>
        <w:t xml:space="preserve">ממאנת - אינה צריכה להמתין שלשה חדשים, </w:t>
      </w:r>
    </w:p>
    <w:p w14:paraId="48ECD176" w14:textId="11B45333" w:rsidR="009A60DE" w:rsidRDefault="009A60DE" w:rsidP="009A60DE">
      <w:pPr>
        <w:pStyle w:val="Style1"/>
        <w:rPr>
          <w:rStyle w:val="Style1Char"/>
          <w:rtl/>
        </w:rPr>
      </w:pPr>
      <w:r>
        <w:rPr>
          <w:rStyle w:val="Style1Char"/>
          <w:rFonts w:hint="cs"/>
          <w:rtl/>
        </w:rPr>
        <w:t>1)[</w:t>
      </w:r>
      <w:r w:rsidRPr="009A60DE">
        <w:rPr>
          <w:rStyle w:val="Style1Char"/>
          <w:rtl/>
        </w:rPr>
        <w:t>רמב</w:t>
      </w:r>
      <w:r w:rsidR="0057095E">
        <w:rPr>
          <w:rStyle w:val="Style1Char"/>
          <w:rtl/>
        </w:rPr>
        <w:t>”ם \משפטים\</w:t>
      </w:r>
      <w:r w:rsidRPr="009A60DE">
        <w:rPr>
          <w:rStyle w:val="Style1Char"/>
          <w:rtl/>
        </w:rPr>
        <w:t xml:space="preserve"> הלכות מלוה ולוה פרק יב הלכה י</w:t>
      </w:r>
      <w:r>
        <w:rPr>
          <w:rStyle w:val="Style1Char"/>
          <w:rFonts w:hint="cs"/>
          <w:rtl/>
        </w:rPr>
        <w:t xml:space="preserve">] </w:t>
      </w:r>
      <w:r w:rsidRPr="009A60DE">
        <w:rPr>
          <w:rStyle w:val="Style1Char"/>
          <w:rtl/>
        </w:rPr>
        <w:t>בית דין שמכרו שלא בהכרזה נעשו כמי שטעו בדבר משנה וחוזרים ומוכרין בהכרזה, וב"ד שמכרו האחריות על היתומים.</w:t>
      </w:r>
    </w:p>
    <w:p w14:paraId="61248F4B" w14:textId="51148EDC" w:rsidR="009A60DE" w:rsidRDefault="009A60DE" w:rsidP="009A60DE">
      <w:pPr>
        <w:pStyle w:val="Style1"/>
        <w:rPr>
          <w:rStyle w:val="Style1Char"/>
          <w:rtl/>
        </w:rPr>
      </w:pPr>
      <w:r>
        <w:rPr>
          <w:rStyle w:val="Style1Char"/>
          <w:rFonts w:hint="cs"/>
          <w:rtl/>
        </w:rPr>
        <w:t>1)[</w:t>
      </w:r>
      <w:r w:rsidRPr="009A60DE">
        <w:rPr>
          <w:rStyle w:val="Style1Char"/>
          <w:rtl/>
        </w:rPr>
        <w:t>שולחן ערוך אבן העזר הלכות כתובות סימן קד סעיף ב</w:t>
      </w:r>
      <w:r>
        <w:rPr>
          <w:rStyle w:val="Style1Char"/>
          <w:rFonts w:hint="cs"/>
          <w:rtl/>
        </w:rPr>
        <w:t xml:space="preserve">] </w:t>
      </w:r>
      <w:r w:rsidRPr="009A60DE">
        <w:rPr>
          <w:rStyle w:val="Style1Char"/>
          <w:rtl/>
        </w:rPr>
        <w:t>ב"ד שמכרו שלא בהכרזה, אפילו מכרו שוה בשוה, נעשו כמי שטעה בדבר משנה וחוזרים ומוכרים בהכרזה.</w:t>
      </w:r>
    </w:p>
    <w:p w14:paraId="19814DEA" w14:textId="53341984" w:rsidR="009A60DE" w:rsidRPr="00A32994" w:rsidRDefault="009A60DE" w:rsidP="009A60DE">
      <w:pPr>
        <w:pStyle w:val="Style1"/>
      </w:pPr>
      <w:r>
        <w:rPr>
          <w:rFonts w:hint="cs"/>
          <w:rtl/>
        </w:rPr>
        <w:t>1)[</w:t>
      </w:r>
      <w:r>
        <w:rPr>
          <w:rtl/>
        </w:rPr>
        <w:t>שולחן ערוך חושן משפט הלכות גביית חוב מהיתומים סימן קט סעיף ג</w:t>
      </w:r>
      <w:r>
        <w:rPr>
          <w:rFonts w:hint="cs"/>
          <w:rtl/>
        </w:rPr>
        <w:t xml:space="preserve">] </w:t>
      </w:r>
      <w:r w:rsidRPr="00A32994">
        <w:rPr>
          <w:rtl/>
        </w:rPr>
        <w:t>ב"ד שמכרו שלא בהכרזה נעשו כמו שטעו בדבר משנה וחוזרים ומוכרים בהכרזה</w:t>
      </w:r>
      <w:r w:rsidRPr="00A32994">
        <w:t>:</w:t>
      </w:r>
    </w:p>
    <w:p w14:paraId="1096D876" w14:textId="77777777" w:rsidR="009A60DE" w:rsidRPr="00A32994" w:rsidRDefault="009A60DE" w:rsidP="009A60DE">
      <w:pPr>
        <w:pStyle w:val="Style1"/>
      </w:pPr>
      <w:r w:rsidRPr="00A32994">
        <w:rPr>
          <w:rFonts w:hint="cs"/>
          <w:rtl/>
        </w:rPr>
        <w:t>הגה: י"א דאם מכרו הקרקעות בשעה שאין קונין כגון בשעת מגפה או מלחמה מה שעשו עשוי דאין לב"ד למכור אלא בשעת הגבייה ויש חולקין (ב"י שתי הדעות)</w:t>
      </w:r>
      <w:r w:rsidRPr="00A32994">
        <w:t>:</w:t>
      </w:r>
    </w:p>
    <w:p w14:paraId="05FAE12A" w14:textId="77777777" w:rsidR="009A60DE" w:rsidRPr="00A32994" w:rsidRDefault="009A60DE" w:rsidP="009A60DE">
      <w:pPr>
        <w:pStyle w:val="Style1"/>
      </w:pPr>
      <w:r w:rsidRPr="00A32994">
        <w:rPr>
          <w:rtl/>
        </w:rPr>
        <w:t>וב"ד שמכרו האחריות על היתומים וב"ד שהכריזוה כראוי ובדקו יפה ודקדקו בשומא אע"פ שטעו ומכרו שוה מנה בק"ק או ק"ק במנה הרי מכרן קיים אבל אם לא בדקו בשומא ולא כתבו אגרת בקורת שהיא דקדוק השומא וההכרז' וטעו והותירו שתות או פחתו שתות מכרן בטל פחות משתות מכרן קיים וכן אם מכרו קרקע בעת שאינם צריכין להכריז עליה (או) במקום שנהגו שלא להכריז לעולם (טור ס"ז) וטעו ופחתו שתות או הותירו שתות מכרן בטל אף ע"פ שהכריזו </w:t>
      </w:r>
      <w:r w:rsidRPr="00A32994">
        <w:rPr>
          <w:rFonts w:hint="cs"/>
          <w:rtl/>
        </w:rPr>
        <w:t>(ויש אומרים דכיון שהכריזו אע"פ שלא היו צריכים מכרן קיים) (טור בשם הרא"ש)</w:t>
      </w:r>
    </w:p>
    <w:p w14:paraId="049CC7E0" w14:textId="317BD4BF" w:rsidR="009A60DE" w:rsidRDefault="009A60DE" w:rsidP="009A60DE">
      <w:pPr>
        <w:pStyle w:val="Style1"/>
        <w:rPr>
          <w:rtl/>
        </w:rPr>
      </w:pPr>
      <w:r w:rsidRPr="00A32994">
        <w:rPr>
          <w:rtl/>
        </w:rPr>
        <w:t>ואם רצו ב"ד שלא לבטל המכר ויחזירו האונאה מחזירין לא יהיה כח הדיוט חמור מהם פחות משתות מכרן קיים והוי מחילה כדין ההדיוט אע"פ שלא הכריזו שאינם צריכי' (הכרזה) באותה העת איזהו העת שאינם צריכים הכרזה כשמוכרים לפרוע למי שהלוה לצורך קבורה או למזון האשה והבנות או ליתן מנת המלך וכן ב"ד שמכרו דברים שאינם טעונים הכרזה וטעו בשתות מכרן בטל פחות משתות מכרן קיים ואלו הם הדברי' שאין מכריזין עליהם העבדים והשטרות והמטלטלי' אלא שמין אותם בב"ד ומוכרים אותם מיד ואם השוק קרוב למדינה מוליכים אותו לשוק</w:t>
      </w:r>
      <w:r w:rsidRPr="00A32994">
        <w:t>:</w:t>
      </w:r>
    </w:p>
    <w:p w14:paraId="769D7A60" w14:textId="6D0687E4" w:rsidR="00774559" w:rsidRDefault="00774559" w:rsidP="00774559">
      <w:pPr>
        <w:pStyle w:val="Style1"/>
        <w:rPr>
          <w:rtl/>
        </w:rPr>
      </w:pPr>
      <w:r>
        <w:rPr>
          <w:rFonts w:hint="cs"/>
          <w:rtl/>
        </w:rPr>
        <w:t>2)[</w:t>
      </w:r>
      <w:r>
        <w:rPr>
          <w:rtl/>
        </w:rPr>
        <w:t>רמב</w:t>
      </w:r>
      <w:r w:rsidR="0057095E">
        <w:rPr>
          <w:rtl/>
        </w:rPr>
        <w:t>”ם \משפטים\</w:t>
      </w:r>
      <w:r>
        <w:rPr>
          <w:rtl/>
        </w:rPr>
        <w:t xml:space="preserve"> הלכות מלוה ולוה פרק יב הלכה ח</w:t>
      </w:r>
      <w:r>
        <w:rPr>
          <w:rFonts w:hint="cs"/>
          <w:rtl/>
        </w:rPr>
        <w:t xml:space="preserve">] </w:t>
      </w:r>
      <w:r>
        <w:rPr>
          <w:rtl/>
        </w:rPr>
        <w:t>כשנזקקין ב"ד לנכסי יתומים למכור שמין את הקרקע ואח"כ מכריזין עליה שלשים יום רצופין או ששים יום שני וחמישי ומכריזים בבקר ובערב בשעת הכנסת פועלים ובשעת הוצאת פועלין וכל מי שרוצה לקנות יוליך הפועלין לבקר לו, ובשעה שמכריזין מסיימים את השדה במצריה ומודיעין כמה יפה ובכמה הוא שומה ומפני מה רוצים למכרה אם להגבות לב"ח או לכתובת אשה לפי שיש מי שרוצה ליתן לב"ח ויש מי שרוצה להגבות לאשה.</w:t>
      </w:r>
    </w:p>
    <w:p w14:paraId="664E46A8" w14:textId="696F61F3" w:rsidR="00774559" w:rsidRDefault="00774559" w:rsidP="00774559">
      <w:pPr>
        <w:pStyle w:val="Style1"/>
        <w:rPr>
          <w:rtl/>
        </w:rPr>
      </w:pPr>
      <w:r>
        <w:rPr>
          <w:rFonts w:hint="cs"/>
          <w:rtl/>
        </w:rPr>
        <w:t>2)[</w:t>
      </w:r>
      <w:r>
        <w:rPr>
          <w:rtl/>
        </w:rPr>
        <w:t>שולחן ערוך אבן העזר הלכות כתובות סימן קד סעיף א</w:t>
      </w:r>
      <w:r>
        <w:rPr>
          <w:rFonts w:hint="cs"/>
          <w:rtl/>
        </w:rPr>
        <w:t xml:space="preserve">] </w:t>
      </w:r>
      <w:r w:rsidRPr="00774559">
        <w:rPr>
          <w:rtl/>
        </w:rPr>
        <w:t>בית דין שמוכרים להגבות לאלמנה כתובתה, אין מוכרין אלא בהכרזה. ומכריזים שלשים יום רצופים, או ששים יום שני וחמישי. ומכריזין בבקר ובערב. ובשעה שמכריזין מסיימין השדה במצריה ומודיעים כמה היא יפה ובכמה היא שומא, ושרוצים למכרה כדי להגבות לאשה כתובתה</w:t>
      </w:r>
      <w:r w:rsidRPr="00774559">
        <w:t>:</w:t>
      </w:r>
    </w:p>
    <w:p w14:paraId="44A8E48C" w14:textId="1DA79084" w:rsidR="00774559" w:rsidRDefault="00774559" w:rsidP="00774559">
      <w:pPr>
        <w:pStyle w:val="Style1"/>
        <w:rPr>
          <w:rtl/>
        </w:rPr>
      </w:pPr>
      <w:r>
        <w:rPr>
          <w:rFonts w:hint="cs"/>
          <w:rtl/>
        </w:rPr>
        <w:t>2)[</w:t>
      </w:r>
      <w:r>
        <w:rPr>
          <w:rtl/>
        </w:rPr>
        <w:t>שולחן ערוך חושן משפט הלכות גביית חוב מהיתומים סימן קט סעיף א</w:t>
      </w:r>
      <w:r>
        <w:rPr>
          <w:rFonts w:hint="cs"/>
          <w:rtl/>
        </w:rPr>
        <w:t>]</w:t>
      </w:r>
      <w:r w:rsidR="00E27130">
        <w:rPr>
          <w:rFonts w:hint="cs"/>
          <w:rtl/>
        </w:rPr>
        <w:t xml:space="preserve"> </w:t>
      </w:r>
      <w:r w:rsidR="00E27130" w:rsidRPr="00E27130">
        <w:rPr>
          <w:rtl/>
        </w:rPr>
        <w:t>כשבאים למכור מנכסי יתומים שמין ב"ד הקרקע ואח"כ מכריזין עליה שלשים יום רצופים ואם אין מכריזין רצופים אלא בכל שני וחמישי יכריזו ס' יום שני וחמישי שבהם ומכריזין בבקר ובערב בשעת הכנסת פועלים ובשעת הוצאת פועלי</w:t>
      </w:r>
      <w:r w:rsidR="00E27130" w:rsidRPr="00E27130">
        <w:t>' (</w:t>
      </w:r>
      <w:r w:rsidR="00E27130" w:rsidRPr="00E27130">
        <w:rPr>
          <w:rtl/>
        </w:rPr>
        <w:t>לשון הרמב"ם </w:t>
      </w:r>
      <w:hyperlink r:id="rId267" w:tooltip="רמב&quot;ם הלכות מלוה ולוה יג" w:history="1">
        <w:r w:rsidR="00E27130" w:rsidRPr="00E27130">
          <w:rPr>
            <w:rtl/>
          </w:rPr>
          <w:t>פי"ג ממלוה</w:t>
        </w:r>
      </w:hyperlink>
      <w:r w:rsidR="00E27130" w:rsidRPr="00E27130">
        <w:t> </w:t>
      </w:r>
      <w:r w:rsidR="00E27130" w:rsidRPr="00E27130">
        <w:rPr>
          <w:rtl/>
        </w:rPr>
        <w:t>ד"ח</w:t>
      </w:r>
      <w:r w:rsidR="00E27130" w:rsidRPr="00E27130">
        <w:t xml:space="preserve">) </w:t>
      </w:r>
      <w:r w:rsidR="00E27130" w:rsidRPr="00E27130">
        <w:rPr>
          <w:rtl/>
        </w:rPr>
        <w:t>וכל מי שירצה לקנות יוליך הפועלי' לבקר לו ובשעה שמכריזין מסיימין את השדה במצרים ומודיעים כמה מוצאי' בה ובכמה שמו אותה ב"ד ומפני מה הם רוצים למכרה אם להגבות לבע"ח או לכתובת אשה ואם יאמר המלוה אני אקבל השדה בלא שומא בפרעון חובי והיורש אומר לא כי אלא ישומו אותה בית דין שומעין ליורש</w:t>
      </w:r>
      <w:r w:rsidR="00E27130" w:rsidRPr="00E27130">
        <w:t>:</w:t>
      </w:r>
    </w:p>
    <w:p w14:paraId="405FD52B" w14:textId="75657824" w:rsidR="00E27130" w:rsidRDefault="00E27130" w:rsidP="00E27130">
      <w:pPr>
        <w:pStyle w:val="Style1"/>
        <w:rPr>
          <w:rtl/>
        </w:rPr>
      </w:pPr>
      <w:r>
        <w:rPr>
          <w:rFonts w:hint="cs"/>
          <w:rtl/>
        </w:rPr>
        <w:t>3)[</w:t>
      </w:r>
      <w:r>
        <w:rPr>
          <w:rtl/>
        </w:rPr>
        <w:t>רמב</w:t>
      </w:r>
      <w:r w:rsidR="005258D6">
        <w:rPr>
          <w:rtl/>
        </w:rPr>
        <w:t>”ם \הפלאה\</w:t>
      </w:r>
      <w:r>
        <w:rPr>
          <w:rtl/>
        </w:rPr>
        <w:t xml:space="preserve"> הלכות ערכין וחרמין פרק ד הלכה כז</w:t>
      </w:r>
      <w:r>
        <w:rPr>
          <w:rFonts w:hint="cs"/>
          <w:rtl/>
        </w:rPr>
        <w:t xml:space="preserve">] </w:t>
      </w:r>
      <w:r>
        <w:rPr>
          <w:rtl/>
        </w:rPr>
        <w:t>כל שדה ששמין אותה להקדש למכור אותה בדמיה מכריזין עליה ששים יום רצופין בבקר בשעת הכנסת פועלים ובערב בשעת הוצאת פועלים, ומסיימין מצריה ואומר כך היא יפה ובכך היא שומה כל הרוצה ליקח יבא ויקח.</w:t>
      </w:r>
    </w:p>
    <w:p w14:paraId="1419F1AD" w14:textId="20E1DCB5" w:rsidR="00E27130" w:rsidRDefault="00340447" w:rsidP="00E27130">
      <w:pPr>
        <w:pStyle w:val="Style1"/>
        <w:rPr>
          <w:rtl/>
        </w:rPr>
      </w:pPr>
      <w:r>
        <w:rPr>
          <w:rFonts w:hint="cs"/>
          <w:rtl/>
        </w:rPr>
        <w:t>4</w:t>
      </w:r>
      <w:r w:rsidR="00E27130">
        <w:rPr>
          <w:rFonts w:hint="cs"/>
          <w:rtl/>
        </w:rPr>
        <w:t>)[</w:t>
      </w:r>
      <w:r w:rsidR="00E27130">
        <w:rPr>
          <w:rtl/>
        </w:rPr>
        <w:t>רמב</w:t>
      </w:r>
      <w:r w:rsidR="0057095E">
        <w:rPr>
          <w:rtl/>
        </w:rPr>
        <w:t>”ם \משפטים\</w:t>
      </w:r>
      <w:r w:rsidR="00E27130">
        <w:rPr>
          <w:rtl/>
        </w:rPr>
        <w:t xml:space="preserve"> הלכות מלוה ולוה פרק יב הלכה יא</w:t>
      </w:r>
      <w:r w:rsidR="00E27130">
        <w:rPr>
          <w:rFonts w:hint="cs"/>
          <w:rtl/>
        </w:rPr>
        <w:t xml:space="preserve">] </w:t>
      </w:r>
      <w:r w:rsidR="00E27130">
        <w:rPr>
          <w:rtl/>
        </w:rPr>
        <w:t>ובית דין שהכריזו כראוי ובדקו יפה יפה ודקדקו בשומא אף על פי שטעו ומכרו שוה מנה במאתים או מאתים במנה הרי מכרן קיים, אבל אם לא בדקו בשומא ולא כתבו אגרת בקורת שהיא דקדוק השומא וההכרזה וטעו והותירו שתות או פחתו שתות מכרן בטל פחות משתות מכרן קיים, וכן אם מכרו קרקע בעת שאינן צריכין להכריז עליה וטעו שתות או הותירו שתות מכרן בטל אף על פי שהכריזו, פחות משתות מכרן קיים אף על פי שלא הכריזו שאינן צריכין הכרזה באותו העת, איזהו העת שאינן צריכין הכרזה בעת שימכרו קרקע לקבורה או למזון האשה והבנות או ליתן מנת המלך אין צריכין הכרזה לפי שהדבר נחוץ, וכן ב"ד שמכרו דברים שאינן טעונין הכרזה וטעו בשתות מכרן בטל פחות משתות מכרן קיים, ואלו הן הדברים שאין מכריזין עליהם העבדים והשטרות והמטלטלין, העבדים שמא ישמעו ויברחו, והשטרות והמטלטלין שמא יגנבו, לפיכך שמין אותן בבית דין ומוכרין אותן מיד, ואם השוק קרוב למדינה מוליכין אותן לשוק.</w:t>
      </w:r>
    </w:p>
    <w:p w14:paraId="3FC5271F" w14:textId="6E3F390F" w:rsidR="00340447" w:rsidRPr="00340447" w:rsidRDefault="00340447" w:rsidP="00340447">
      <w:pPr>
        <w:pStyle w:val="Style1"/>
      </w:pPr>
      <w:r>
        <w:rPr>
          <w:rFonts w:hint="cs"/>
          <w:rtl/>
        </w:rPr>
        <w:t>4</w:t>
      </w:r>
      <w:r w:rsidR="00E27130">
        <w:rPr>
          <w:rFonts w:hint="cs"/>
          <w:rtl/>
        </w:rPr>
        <w:t>)[</w:t>
      </w:r>
      <w:r w:rsidR="00E27130">
        <w:rPr>
          <w:rtl/>
        </w:rPr>
        <w:t xml:space="preserve">שולחן ערוך אבן העזר הלכות כתובות סימן קד סעיף </w:t>
      </w:r>
      <w:r w:rsidR="00E27130">
        <w:rPr>
          <w:rFonts w:hint="cs"/>
          <w:rtl/>
        </w:rPr>
        <w:t xml:space="preserve">ד] </w:t>
      </w:r>
      <w:r w:rsidRPr="00340447">
        <w:rPr>
          <w:rtl/>
        </w:rPr>
        <w:t>וכן בית דין שמכרו דברים שאינם טעונים הכרזה וטעו בשתות, מכרם בטל. פחות משתות, מכרם קיים. ואלו הן הדברים שאין מכריזים עליהם: העבדים והשטרות והמטלטלים. העבדים, שמא ישמעו ויברחו; והשטרות והמטלטלים, שמא יגנבו; לפיכך שמין אותם בבית דין ומוכרים אותם מיד. ואם השוק קרוב למדינה, מוליכים אותם לשוק</w:t>
      </w:r>
      <w:r w:rsidRPr="00340447">
        <w:t>.</w:t>
      </w:r>
    </w:p>
    <w:p w14:paraId="097AB964" w14:textId="29EDB8F5" w:rsidR="00340447" w:rsidRDefault="00340447" w:rsidP="00340447">
      <w:pPr>
        <w:pStyle w:val="Style1"/>
        <w:rPr>
          <w:rtl/>
        </w:rPr>
      </w:pPr>
      <w:r w:rsidRPr="00340447">
        <w:rPr>
          <w:rFonts w:hint="cs"/>
          <w:rtl/>
        </w:rPr>
        <w:t>ובמקום שאין נוהגין להכריז שום דבר, דינו כדברים שאינן מכריזין (טור)</w:t>
      </w:r>
      <w:r w:rsidRPr="00340447">
        <w:t>:</w:t>
      </w:r>
    </w:p>
    <w:p w14:paraId="1FDD60E7" w14:textId="72E72ECD" w:rsidR="00340447" w:rsidRDefault="00340447" w:rsidP="00340447">
      <w:pPr>
        <w:pStyle w:val="Style1"/>
        <w:rPr>
          <w:rtl/>
        </w:rPr>
      </w:pPr>
      <w:r>
        <w:rPr>
          <w:rFonts w:hint="cs"/>
          <w:rtl/>
        </w:rPr>
        <w:t>5)[</w:t>
      </w:r>
      <w:r>
        <w:rPr>
          <w:rtl/>
        </w:rPr>
        <w:t>רמב</w:t>
      </w:r>
      <w:r w:rsidR="00213DA1">
        <w:rPr>
          <w:rtl/>
        </w:rPr>
        <w:t>”ם \נשים\</w:t>
      </w:r>
      <w:r>
        <w:rPr>
          <w:rtl/>
        </w:rPr>
        <w:t xml:space="preserve"> הלכות אישות פרק כד הלכה ה</w:t>
      </w:r>
      <w:r>
        <w:rPr>
          <w:rFonts w:hint="cs"/>
          <w:rtl/>
        </w:rPr>
        <w:t xml:space="preserve">] </w:t>
      </w:r>
      <w:r>
        <w:rPr>
          <w:rtl/>
        </w:rPr>
        <w:t>הממאנת אין לה עיקר כתובה אבל תוספת יש לה, ואין מוציאין מן הבעל פירות שאכל, ואם לותה כשהיתה תחתיו ואכלה ואחר כך מיאנה אין מוציאין אותן מזונות מן הבעל.</w:t>
      </w:r>
    </w:p>
    <w:p w14:paraId="29E57910" w14:textId="7FD63A4A" w:rsidR="00203438" w:rsidRDefault="00203438" w:rsidP="00203438">
      <w:pPr>
        <w:pStyle w:val="Style1"/>
        <w:rPr>
          <w:rtl/>
        </w:rPr>
      </w:pPr>
      <w:r>
        <w:rPr>
          <w:rFonts w:hint="cs"/>
          <w:rtl/>
        </w:rPr>
        <w:t>5)[</w:t>
      </w:r>
      <w:r>
        <w:rPr>
          <w:rtl/>
        </w:rPr>
        <w:t>שולחן ערוך אבן העזר הלכות כתובות סימן קטז סעיף ה</w:t>
      </w:r>
      <w:r>
        <w:rPr>
          <w:rFonts w:hint="cs"/>
          <w:rtl/>
        </w:rPr>
        <w:t xml:space="preserve">] </w:t>
      </w:r>
      <w:r w:rsidRPr="00203438">
        <w:rPr>
          <w:rtl/>
        </w:rPr>
        <w:t>הממאנת, אין לה מנה ומאתים אבל יש לה תוספות; וחייב לזונה ולפדותה כל זמן שהיא תחתיו, ואוכל פירותיה, אבל אם הלך למדינת הים ולוותה למזונותיה או לפדיונה ואחר כך מיאנה, אינו חייב לשלם אף על פי שאכל פירותיה, ואפילו הם בעין</w:t>
      </w:r>
      <w:r w:rsidRPr="00203438">
        <w:t>:</w:t>
      </w:r>
    </w:p>
    <w:p w14:paraId="7F87F7C5" w14:textId="12B2C65C" w:rsidR="004D3797" w:rsidRDefault="00203438" w:rsidP="004D3797">
      <w:pPr>
        <w:pStyle w:val="Style1"/>
        <w:rPr>
          <w:rtl/>
        </w:rPr>
      </w:pPr>
      <w:r>
        <w:rPr>
          <w:rFonts w:hint="cs"/>
          <w:rtl/>
        </w:rPr>
        <w:lastRenderedPageBreak/>
        <w:t>5)[</w:t>
      </w:r>
      <w:r>
        <w:rPr>
          <w:rtl/>
        </w:rPr>
        <w:t>שולחן ערוך אבן העזר הלכות מיאון סימן קנה סעיף י</w:t>
      </w:r>
      <w:r>
        <w:rPr>
          <w:rFonts w:hint="cs"/>
          <w:rtl/>
        </w:rPr>
        <w:t>]</w:t>
      </w:r>
      <w:r w:rsidR="004D3797">
        <w:rPr>
          <w:rFonts w:hint="cs"/>
          <w:rtl/>
        </w:rPr>
        <w:t xml:space="preserve"> </w:t>
      </w:r>
      <w:r w:rsidR="004D3797" w:rsidRPr="004D3797">
        <w:rPr>
          <w:rtl/>
        </w:rPr>
        <w:t>קטנה הממאנת אין לה כתבה מנה ומאתים, אבל יש לה תוספת. וכל זמן שלא מאנה, בעלה זכאי במעשה ידיה ובמציאתה, וחיב במזונותיה ופדיונה כל זמן שהיא תחתיו, אבל אם הלך למדינת הים, ולותה ואכלה או לצרך פדיונה, ועמדה ומאנה, אינו חיב לשלם, אף על פי שאכל פרותיה, ואפלו הם בעין עדין, שלקטן ומנחין ברשותו, אינו מחזירן. ונכסין של צאן ברזל ושל מלוג, אם הם בעין, נוטלתן; ומה שאבד מהם מנכסי צאן ברזל, חיב לשלם; ומנכסי מלוג, פטור. והוא מתר בקרובותיה, והיא מתרת בקרוביו, וכשרה לכהנה, ואינה צריכה להמתין ג' חדשים מלהנשא; ואם נשאת לאחר וגרשה או מת, מתרת לחזר לראשון. ולא עוד, אלא אפלו גרשה הראשון, והחזירה, ומאנה בו, ונשאת לאחר אחר שמאנה בו, וגרשה האחר, מתרת לחזר לראשון. שכל היוצאת במאון, אף על פי שקדמו גט, הרי זו כמי שלא נתגרשה ממנו בגט מעולם, ומתרת לחזר לו. אבל המגרש את הקטנה בגט, יש לה כתבה, ואסור בקרובותיה, ואסורה בקרוביו, ואסורה לכהנה, וצריכה להמתין שלשה חדשים; ואם נשאת לאחר ומאנה בו, אסורה לחזר לראשון, מפני שיצאה ממנו בגט, אף על פי שיצאה מן האחרון במאון, ואין צריך לומר אם גרשה האחרון או מת. וכן אסורה לאבי הראשון, ולבנו, ולאחיו, כשאר הגרושות, אף על פי שיצת מן האחרון במאון. ואם מאנה בראשון, והחזירה וגרשה ונשאת לאחר ונתאלמנה או נתגרשה או מאנה בו, אסורה לחזר לראשון ולקרוביו. שכל שיצת ממנו במאון לבסוף, דינה כממאנת; וכל שיצת ממנו בגט לבסוף, דינה כמגרשת</w:t>
      </w:r>
      <w:r w:rsidR="004D3797" w:rsidRPr="004D3797">
        <w:t>:</w:t>
      </w:r>
    </w:p>
    <w:p w14:paraId="6F707D8D" w14:textId="299610D1" w:rsidR="004D3797" w:rsidRDefault="004D3797" w:rsidP="004D3797">
      <w:pPr>
        <w:pStyle w:val="Style1"/>
        <w:rPr>
          <w:rtl/>
        </w:rPr>
      </w:pPr>
      <w:r>
        <w:rPr>
          <w:rFonts w:hint="cs"/>
          <w:rtl/>
        </w:rPr>
        <w:t>6)[</w:t>
      </w:r>
      <w:r>
        <w:rPr>
          <w:rtl/>
        </w:rPr>
        <w:t>רמב</w:t>
      </w:r>
      <w:r w:rsidR="00213DA1">
        <w:rPr>
          <w:rtl/>
        </w:rPr>
        <w:t>”ם \נשים\</w:t>
      </w:r>
      <w:r>
        <w:rPr>
          <w:rtl/>
        </w:rPr>
        <w:t xml:space="preserve"> הלכות אישות פרק כד הלכה ב</w:t>
      </w:r>
      <w:r>
        <w:rPr>
          <w:rFonts w:hint="cs"/>
          <w:rtl/>
        </w:rPr>
        <w:t xml:space="preserve">] </w:t>
      </w:r>
      <w:r>
        <w:rPr>
          <w:rtl/>
        </w:rPr>
        <w:t>אבל הנושא אשה ולא הכיר בה ונמצאת אילונית או מחייבי לאוין, וכן הנושא שנייה בין הכיר בה בין לא הכיר בה, אין לה עיקר כתובה ולא תנאי מתנאי כתובה אבל תוספת יש לה ואין לה מזונות ואפילו לאחר מותו, וכשכופין אותו ומפרישין ביניהם אין מוציאין מן הבעל פירות שאכל. /השגת הראב"ד/ וכן הנושא שנייה בין הכיר בה בין לא הכיר בה אין לה עיקר כתובה ולא תנאי מתנאי כתובה אבל תוספת יש לה. א"א הרב ז"ל כך כתב (ספי"א) ותמהנו עליו על אילונית שלא הכיר בה למה יש לה תוספת.</w:t>
      </w:r>
    </w:p>
    <w:p w14:paraId="76BC0531" w14:textId="5F1AAB9D" w:rsidR="004D3797" w:rsidRDefault="004D3797" w:rsidP="004D3797">
      <w:pPr>
        <w:pStyle w:val="Style1"/>
        <w:rPr>
          <w:rtl/>
        </w:rPr>
      </w:pPr>
      <w:r>
        <w:rPr>
          <w:rFonts w:hint="cs"/>
          <w:rtl/>
        </w:rPr>
        <w:t>6)[</w:t>
      </w:r>
      <w:r>
        <w:rPr>
          <w:rtl/>
        </w:rPr>
        <w:t>שולחן ערוך אבן העזר הלכות כתובות סימן קטז סעיף ד</w:t>
      </w:r>
      <w:r>
        <w:rPr>
          <w:rFonts w:hint="cs"/>
          <w:rtl/>
        </w:rPr>
        <w:t xml:space="preserve">] </w:t>
      </w:r>
      <w:r w:rsidRPr="004D3797">
        <w:rPr>
          <w:rtl/>
        </w:rPr>
        <w:t>שנייה, בין הכיר בה בין לא הכיר בה, דינה כדין חייבי לאוין שלא הכיר בה; חוץ מנכסי צאן ברזל ונכסי מלוג, שדינה בהם ככל הנשים</w:t>
      </w:r>
      <w:r w:rsidRPr="004D3797">
        <w:t>:</w:t>
      </w:r>
    </w:p>
    <w:p w14:paraId="1D369096" w14:textId="0D7CA099" w:rsidR="00AB3ABB" w:rsidRDefault="00AB3ABB" w:rsidP="00AB3ABB">
      <w:pPr>
        <w:pStyle w:val="Style1"/>
        <w:rPr>
          <w:rtl/>
        </w:rPr>
      </w:pPr>
      <w:r>
        <w:rPr>
          <w:rFonts w:hint="cs"/>
          <w:rtl/>
        </w:rPr>
        <w:t>7)[</w:t>
      </w:r>
      <w:r>
        <w:rPr>
          <w:rtl/>
        </w:rPr>
        <w:t>שולחן ערוך אבן העזר הלכות כתובות סימן קטז סעיף ג</w:t>
      </w:r>
      <w:r>
        <w:rPr>
          <w:rFonts w:hint="cs"/>
          <w:rtl/>
        </w:rPr>
        <w:t>] א</w:t>
      </w:r>
      <w:r>
        <w:rPr>
          <w:rtl/>
        </w:rPr>
        <w:t>ילונית, אם הכיר בה, הרי היא ככל הנשים ויש לה כתובה ותנאי כתובה, וכן זוכה הבעל במה שזוכה בשאר הנשים. ואם לא הכיר בה, דינה כדין חייבי לאוין שלא הכיר בה.</w:t>
      </w:r>
    </w:p>
    <w:p w14:paraId="0129D059" w14:textId="55A74108" w:rsidR="00AB3ABB" w:rsidRDefault="00AB3ABB" w:rsidP="00AB3ABB">
      <w:pPr>
        <w:pStyle w:val="Style1"/>
        <w:rPr>
          <w:rtl/>
        </w:rPr>
      </w:pPr>
      <w:r>
        <w:rPr>
          <w:rFonts w:hint="cs"/>
          <w:rtl/>
        </w:rPr>
        <w:t>8)[</w:t>
      </w:r>
      <w:r>
        <w:rPr>
          <w:rtl/>
        </w:rPr>
        <w:t>רמב</w:t>
      </w:r>
      <w:r w:rsidR="00213DA1">
        <w:rPr>
          <w:rtl/>
        </w:rPr>
        <w:t>”ם \נשים\</w:t>
      </w:r>
      <w:r>
        <w:rPr>
          <w:rtl/>
        </w:rPr>
        <w:t xml:space="preserve"> הלכות גירושין פרק יא הלכה יז</w:t>
      </w:r>
      <w:r>
        <w:rPr>
          <w:rFonts w:hint="cs"/>
          <w:rtl/>
        </w:rPr>
        <w:t xml:space="preserve">] </w:t>
      </w:r>
      <w:r>
        <w:rPr>
          <w:rtl/>
        </w:rPr>
        <w:t>הממאנת ביבם אסורה לאביו מפני שנראת ככלתו בעת שמת בנו אבל לשאר קרוביו מותרת, לפיכך אם מיאנה באחד מן היבמין מותרת לאחיו.</w:t>
      </w:r>
    </w:p>
    <w:p w14:paraId="02AF6143" w14:textId="438B05D2" w:rsidR="008C02C9" w:rsidRDefault="008C02C9" w:rsidP="008C02C9">
      <w:pPr>
        <w:pStyle w:val="Style1"/>
        <w:rPr>
          <w:rtl/>
        </w:rPr>
      </w:pPr>
      <w:r>
        <w:rPr>
          <w:rFonts w:hint="cs"/>
          <w:rtl/>
        </w:rPr>
        <w:t>9)[</w:t>
      </w:r>
      <w:r>
        <w:rPr>
          <w:rtl/>
        </w:rPr>
        <w:t>רמב</w:t>
      </w:r>
      <w:r w:rsidR="00213DA1">
        <w:rPr>
          <w:rtl/>
        </w:rPr>
        <w:t>”ם \נשים\</w:t>
      </w:r>
      <w:r>
        <w:rPr>
          <w:rtl/>
        </w:rPr>
        <w:t xml:space="preserve"> הלכות גירושין פרק יא הלכה טז</w:t>
      </w:r>
      <w:r>
        <w:rPr>
          <w:rFonts w:hint="cs"/>
          <w:rtl/>
        </w:rPr>
        <w:t xml:space="preserve">] </w:t>
      </w:r>
      <w:r>
        <w:rPr>
          <w:rtl/>
        </w:rPr>
        <w:t>הממאנת באיש אינה מגורשת ממנו, ודינה עם בעלה שמיאנה בו כדינה עם מי שלא קידשה מעולם, היא מותרת בקרוביו והוא מותר בקרובותיה ולא פסלה מן הכהונה, ואם נשאת לאחר וגירשה האחר או מת או מיאנה בו מותרת לחזור לראשון. ולא עוד אלא אפילו גירשה הראשון והחזירה ומיאנה בו ונשאת לאחר אחר שמיאנה בו וגירשה האחר מותרת לחזור לראשון, שכל היוצאה במיאון אף על פי שקדמו גט הרי זו כמי שלא נתגרשה ממנו בגט מעולם ומותרת לחזור לו. אבל המגרש את הקטנה בגט ונשאת לאחר ומיאנה באחר אסורה לחזור לראשון מפני שיצאת ממנו בגט אף על פי שיצאת מן האחרון במיאון, ואין צריך לומר אם גירשה האחרון או מת, וכן אסורה לאבי הראשון ולבנו ולאחיו כשאר הגרושות אף על פי שיצאת מן האחרון במיאון.</w:t>
      </w:r>
    </w:p>
    <w:p w14:paraId="03D0CBE0" w14:textId="2A07F78D" w:rsidR="008C02C9" w:rsidRDefault="008C02C9" w:rsidP="008C02C9">
      <w:pPr>
        <w:pStyle w:val="Style1"/>
        <w:rPr>
          <w:rtl/>
        </w:rPr>
      </w:pPr>
      <w:r>
        <w:rPr>
          <w:rFonts w:hint="cs"/>
          <w:rtl/>
        </w:rPr>
        <w:t>9)[</w:t>
      </w:r>
      <w:r>
        <w:rPr>
          <w:rtl/>
        </w:rPr>
        <w:t>שולחן ערוך אבן העזר הלכות פריה ורביה סימן ו סעיף ב</w:t>
      </w:r>
      <w:r>
        <w:rPr>
          <w:rFonts w:hint="cs"/>
          <w:rtl/>
        </w:rPr>
        <w:t xml:space="preserve">] </w:t>
      </w:r>
      <w:r>
        <w:rPr>
          <w:rtl/>
        </w:rPr>
        <w:t>קטנה שמיאנה בבעלה, מותרת לכהן. ואם נתן לה גט, אסורה. ואם אחר שנתן לה גט החזירה ומיאנה בו, מותרת לכהן, שהמיאון מבטל הגט. ואם אחר שגרשה נשאת לאחר ומיאנה בו, יש מי שאומר שמותרת לכהן.</w:t>
      </w:r>
    </w:p>
    <w:p w14:paraId="0EB0B83D" w14:textId="73B99FF6" w:rsidR="008C02C9" w:rsidRDefault="008C02C9" w:rsidP="008C02C9">
      <w:pPr>
        <w:pStyle w:val="Style1"/>
        <w:rPr>
          <w:rtl/>
        </w:rPr>
      </w:pPr>
      <w:r>
        <w:rPr>
          <w:rFonts w:hint="cs"/>
          <w:rtl/>
        </w:rPr>
        <w:t>10)[</w:t>
      </w:r>
      <w:r>
        <w:rPr>
          <w:rtl/>
        </w:rPr>
        <w:t>רמב</w:t>
      </w:r>
      <w:r w:rsidR="00213DA1">
        <w:rPr>
          <w:rtl/>
        </w:rPr>
        <w:t>”ם \נשים\</w:t>
      </w:r>
      <w:r>
        <w:rPr>
          <w:rtl/>
        </w:rPr>
        <w:t xml:space="preserve"> הלכות גירושין פרק יא הלכה כב</w:t>
      </w:r>
      <w:r>
        <w:rPr>
          <w:rFonts w:hint="cs"/>
          <w:rtl/>
        </w:rPr>
        <w:t xml:space="preserve">] </w:t>
      </w:r>
      <w:r>
        <w:rPr>
          <w:rtl/>
        </w:rPr>
        <w:t>הממאנת אינה צריכה להמתין לא גזרו אלא בגרושה, וכן המזנה אינה צריכה להמתין מפני שהיא משמרת עצמה שלא תתעבר, וכן אנוסה ומפותה אינן צריכות להמתין.</w:t>
      </w:r>
    </w:p>
    <w:p w14:paraId="0622FCEC" w14:textId="0E0C2520" w:rsidR="005945AE" w:rsidRPr="005945AE" w:rsidRDefault="008C02C9" w:rsidP="005945AE">
      <w:pPr>
        <w:pStyle w:val="Style1"/>
      </w:pPr>
      <w:r>
        <w:rPr>
          <w:rFonts w:hint="cs"/>
          <w:rtl/>
        </w:rPr>
        <w:t>10)[</w:t>
      </w:r>
      <w:r>
        <w:rPr>
          <w:rtl/>
        </w:rPr>
        <w:t>שולחן ערוך אבן העזר הלכות אישות סימן יג סעיף ו</w:t>
      </w:r>
      <w:r>
        <w:rPr>
          <w:rFonts w:hint="cs"/>
          <w:rtl/>
        </w:rPr>
        <w:t>]</w:t>
      </w:r>
      <w:r w:rsidR="005945AE">
        <w:rPr>
          <w:rFonts w:hint="cs"/>
          <w:rtl/>
        </w:rPr>
        <w:t xml:space="preserve"> </w:t>
      </w:r>
      <w:r w:rsidR="005945AE" w:rsidRPr="005945AE">
        <w:rPr>
          <w:rtl/>
        </w:rPr>
        <w:t>הממאנת אינה צריכה להמתין, לא גזרו אלא בגרושה. וכן המזנה אינה צריכה להמתין, מפני שמהפכת עצמה בשעת תשמיש כדי שלא תתעבר. וכן אנוסה ומפותה אינן צריכות להמתין, והוא הדין לשבויה, אפילו היא גדולה</w:t>
      </w:r>
      <w:r w:rsidR="005945AE" w:rsidRPr="005945AE">
        <w:t>:</w:t>
      </w:r>
    </w:p>
    <w:p w14:paraId="074DA681" w14:textId="77777777" w:rsidR="005945AE" w:rsidRPr="005945AE" w:rsidRDefault="005945AE" w:rsidP="005945AE">
      <w:pPr>
        <w:pStyle w:val="Style1"/>
      </w:pPr>
      <w:r w:rsidRPr="005945AE">
        <w:rPr>
          <w:rFonts w:hint="cs"/>
          <w:rtl/>
        </w:rPr>
        <w:t>הגה</w:t>
      </w:r>
      <w:r w:rsidRPr="005945AE">
        <w:rPr>
          <w:rFonts w:hint="cs"/>
        </w:rPr>
        <w:t>: </w:t>
      </w:r>
      <w:r w:rsidRPr="005945AE">
        <w:rPr>
          <w:rFonts w:hint="cs"/>
          <w:rtl/>
        </w:rPr>
        <w:t>ויש אומרים דכל אלו צריכין להמתין אם הם גדולות וראויות להתעבר (טור). אשה שנאנסה תחת בעלה, אם לא נבעלה לבעלה תחילה צריכה להמתין (א"ז)</w:t>
      </w:r>
      <w:r w:rsidRPr="005945AE">
        <w:t>:</w:t>
      </w:r>
    </w:p>
    <w:p w14:paraId="4D4F088F" w14:textId="77777777" w:rsidR="005945AE" w:rsidRPr="005945AE" w:rsidRDefault="005945AE" w:rsidP="005945AE">
      <w:pPr>
        <w:pStyle w:val="Style1"/>
      </w:pPr>
    </w:p>
    <w:p w14:paraId="092DDEC3" w14:textId="03C5B6D4" w:rsidR="008C02C9" w:rsidRDefault="008C02C9" w:rsidP="008C02C9">
      <w:pPr>
        <w:pStyle w:val="Style1"/>
        <w:rPr>
          <w:rtl/>
        </w:rPr>
      </w:pPr>
    </w:p>
    <w:p w14:paraId="0FF90249" w14:textId="32D4FBDE" w:rsidR="004D3797" w:rsidRPr="004D3797" w:rsidRDefault="004D3797" w:rsidP="004D3797">
      <w:pPr>
        <w:pStyle w:val="Style1"/>
      </w:pPr>
    </w:p>
    <w:p w14:paraId="5BD879E6" w14:textId="3A3C63D6" w:rsidR="004D3797" w:rsidRPr="004D3797" w:rsidRDefault="004D3797" w:rsidP="004D3797">
      <w:pPr>
        <w:pStyle w:val="Style1"/>
      </w:pPr>
    </w:p>
    <w:p w14:paraId="58872231" w14:textId="197DF25A" w:rsidR="00203438" w:rsidRPr="00203438" w:rsidRDefault="00203438" w:rsidP="00203438">
      <w:pPr>
        <w:pStyle w:val="Style1"/>
      </w:pPr>
    </w:p>
    <w:p w14:paraId="509F1363" w14:textId="77777777" w:rsidR="00203438" w:rsidRPr="00203438" w:rsidRDefault="00203438" w:rsidP="00203438">
      <w:pPr>
        <w:pStyle w:val="Style1"/>
      </w:pPr>
    </w:p>
    <w:p w14:paraId="29247251" w14:textId="77777777" w:rsidR="00340447" w:rsidRPr="00340447" w:rsidRDefault="00340447" w:rsidP="00340447">
      <w:pPr>
        <w:pStyle w:val="Style1"/>
        <w:rPr>
          <w:rStyle w:val="Style1Char"/>
          <w:rtl/>
        </w:rPr>
      </w:pPr>
    </w:p>
    <w:p w14:paraId="66CA1DDC" w14:textId="77777777" w:rsidR="00E27130" w:rsidRPr="00E27130" w:rsidRDefault="00E27130">
      <w:pPr>
        <w:rPr>
          <w:rStyle w:val="Style1Char"/>
          <w:color w:val="auto"/>
          <w:sz w:val="22"/>
          <w:szCs w:val="22"/>
          <w:rtl/>
        </w:rPr>
      </w:pPr>
      <w:r w:rsidRPr="00E27130">
        <w:rPr>
          <w:rStyle w:val="Style1Char"/>
          <w:color w:val="auto"/>
          <w:sz w:val="22"/>
          <w:szCs w:val="22"/>
          <w:rtl/>
        </w:rPr>
        <w:br w:type="page"/>
      </w:r>
    </w:p>
    <w:p w14:paraId="7E152018" w14:textId="0530D6D9" w:rsidR="00B600B2" w:rsidRPr="0085681C" w:rsidRDefault="00B600B2" w:rsidP="00B600B2">
      <w:pPr>
        <w:bidi/>
        <w:rPr>
          <w:rStyle w:val="Style1Char"/>
          <w:color w:val="auto"/>
          <w:sz w:val="22"/>
          <w:szCs w:val="22"/>
          <w:rtl/>
        </w:rPr>
      </w:pPr>
      <w:r w:rsidRPr="0085681C">
        <w:rPr>
          <w:rStyle w:val="Style1Char"/>
          <w:color w:val="auto"/>
          <w:sz w:val="22"/>
          <w:szCs w:val="22"/>
          <w:highlight w:val="yellow"/>
          <w:rtl/>
        </w:rPr>
        <w:lastRenderedPageBreak/>
        <w:t>[דף קא עמוד א]</w:t>
      </w:r>
      <w:r w:rsidRPr="0085681C">
        <w:rPr>
          <w:rStyle w:val="Style1Char"/>
          <w:color w:val="auto"/>
          <w:sz w:val="22"/>
          <w:szCs w:val="22"/>
          <w:rtl/>
        </w:rPr>
        <w:t xml:space="preserve"> יוצאה בגט - צריכה להמתין שלשה חדשים. מאי קמ"ל? תנינא</w:t>
      </w:r>
      <w:r w:rsidRPr="00884884">
        <w:rPr>
          <w:rStyle w:val="Style1Char"/>
          <w:color w:val="00B050"/>
          <w:rtl/>
        </w:rPr>
        <w:t xml:space="preserve"> כולהו: </w:t>
      </w:r>
      <w:r w:rsidR="00F7233D">
        <w:rPr>
          <w:rStyle w:val="Style1Char"/>
          <w:rFonts w:hint="cs"/>
          <w:rtl/>
        </w:rPr>
        <w:t>(1)</w:t>
      </w:r>
      <w:r w:rsidRPr="0085681C">
        <w:rPr>
          <w:rStyle w:val="Style1Char"/>
          <w:color w:val="auto"/>
          <w:sz w:val="22"/>
          <w:szCs w:val="22"/>
          <w:rtl/>
        </w:rPr>
        <w:t>הממאנת באיש - הוא מותר בקרובותיה והיא מותרת בקרוביו, ולא פסלה מן הכהונה; נתן לה גט - הוא אסור בקרובותיה והיא אסורה בקרוביו, ופסלה מן הכהונה! צריכה להמתין ג' חדשים איצטריכא ליה דלא תנן.</w:t>
      </w:r>
    </w:p>
    <w:p w14:paraId="0B7D2C1D" w14:textId="77777777" w:rsidR="00B600B2" w:rsidRDefault="00B600B2" w:rsidP="00B600B2">
      <w:pPr>
        <w:bidi/>
        <w:rPr>
          <w:rStyle w:val="Style1Char"/>
          <w:color w:val="00B050"/>
          <w:rtl/>
        </w:rPr>
      </w:pPr>
      <w:r w:rsidRPr="00884884">
        <w:rPr>
          <w:rStyle w:val="Style1Char"/>
          <w:color w:val="00B050"/>
          <w:rtl/>
        </w:rPr>
        <w:t xml:space="preserve">לימא כתנאי, ר"א אומר: אין מעשה קטנה כלום, ואין בעלה זכאי במציאתה ולא במעשה ידיה ולא בהפרת נדריה, ואינו יורשה ואינו מיטמא לה, כללו של דבר: אינה כאשתו לכל דבר - אלא שצריכה מיאון; רבי יהושע אומר: מעשה קטנה כלום, ובעלה זכאי במציאתה ובמעשה ידיה ובהפרת נדריה, ויורשה ומיטמא לה, כללו של דבר: הרי היא כאשתו לכל דבר - אלא שיוצאה במיאון; לימא, רב דאמר כר"א, ושמואל דאמר כרבי יהושע! אליבא דר"א כולי עלמא לא פליגי, כי פליגי - אליבא דרבי יהושע, שמואל כר' יהושע, ורב? עד כאן לא קאמר ר' יהושע התם - אלא מדידה לדידיה, אבל מדידיה לדידה לא. </w:t>
      </w:r>
    </w:p>
    <w:p w14:paraId="5C11FD85" w14:textId="77777777" w:rsidR="00B600B2" w:rsidRPr="00843723" w:rsidRDefault="00B600B2" w:rsidP="00B600B2">
      <w:pPr>
        <w:bidi/>
        <w:rPr>
          <w:rStyle w:val="Style1Char"/>
          <w:color w:val="00B050"/>
          <w:sz w:val="22"/>
          <w:szCs w:val="22"/>
        </w:rPr>
      </w:pPr>
      <w:r w:rsidRPr="00843723">
        <w:rPr>
          <w:rStyle w:val="Style1Char"/>
          <w:color w:val="C00000"/>
          <w:sz w:val="22"/>
          <w:szCs w:val="22"/>
          <w:rtl/>
        </w:rPr>
        <w:t>ולא פירות: ירושלמי שאינה יכולה להוציא ממנו פירות שאכל: ולא מזונות: גרסינן בפ' שני דייני גזירות [דף ק"ז ע"ב] כיצד אמרו ממאנת אין לה מזונות אי אתה יכול לומר ביושבת תחת בעלה שהרי בעלה חייב במזונותיה אלא כגון שהלך בעלה למדינת הים ולותה ואכלה ועמדה ומיאנה</w:t>
      </w:r>
    </w:p>
    <w:p w14:paraId="3937BEDE" w14:textId="1E3B0319" w:rsidR="00B600B2" w:rsidRDefault="00B600B2" w:rsidP="00B600B2">
      <w:pPr>
        <w:bidi/>
        <w:rPr>
          <w:rStyle w:val="Style1Char"/>
          <w:color w:val="00B050"/>
          <w:rtl/>
        </w:rPr>
      </w:pPr>
      <w:r w:rsidRPr="0085681C">
        <w:rPr>
          <w:rStyle w:val="Style1Char"/>
          <w:color w:val="auto"/>
          <w:sz w:val="22"/>
          <w:szCs w:val="22"/>
          <w:rtl/>
        </w:rPr>
        <w:t xml:space="preserve">ולא בלאות. א"ל רב הונא בר חייא לרב כהנא, אמרת לן משמיה דשמואל: </w:t>
      </w:r>
      <w:r w:rsidR="00F7233D">
        <w:rPr>
          <w:rStyle w:val="Style1Char"/>
          <w:rFonts w:hint="cs"/>
          <w:rtl/>
        </w:rPr>
        <w:t>(1)</w:t>
      </w:r>
      <w:r w:rsidRPr="0085681C">
        <w:rPr>
          <w:rStyle w:val="Style1Char"/>
          <w:color w:val="auto"/>
          <w:sz w:val="22"/>
          <w:szCs w:val="22"/>
          <w:rtl/>
        </w:rPr>
        <w:t>לא שנו אלא נכסי מלוג, אבל נכסי צאן ברזל אית לה</w:t>
      </w:r>
      <w:r w:rsidRPr="00843723">
        <w:rPr>
          <w:rStyle w:val="Style1Char"/>
          <w:sz w:val="22"/>
          <w:szCs w:val="22"/>
          <w:rtl/>
        </w:rPr>
        <w:t>.</w:t>
      </w:r>
      <w:r w:rsidRPr="00884884">
        <w:rPr>
          <w:rStyle w:val="Style1Char"/>
          <w:color w:val="00B050"/>
          <w:rtl/>
        </w:rPr>
        <w:t xml:space="preserve"> הוי בה רב פפא: אהייא? אילימא אממאנת, </w:t>
      </w:r>
      <w:r w:rsidR="00F7233D">
        <w:rPr>
          <w:rStyle w:val="Style1Char"/>
          <w:rFonts w:hint="cs"/>
          <w:rtl/>
        </w:rPr>
        <w:t>(1)</w:t>
      </w:r>
      <w:r w:rsidRPr="00884884">
        <w:rPr>
          <w:rStyle w:val="Style1Char"/>
          <w:color w:val="00B050"/>
          <w:rtl/>
        </w:rPr>
        <w:t xml:space="preserve">אי דאיתנהו, אידי ואידי שקלא! ואי דליתנהו, אידי ואידי לא שקלא! אלא אאיילונית, אי דאיתנהו, אידי ואידי שקלא! אי דליתנהו, איפכא מיבעי ליה: נכסי מלוג דברשותה קיימי אית לה, נכסי צאן ברזל דלאו ברשותה קיימי לית לה! אלא </w:t>
      </w:r>
      <w:r w:rsidRPr="0085681C">
        <w:rPr>
          <w:rStyle w:val="Style1Char"/>
          <w:color w:val="806000" w:themeColor="accent4" w:themeShade="80"/>
          <w:sz w:val="22"/>
          <w:szCs w:val="22"/>
          <w:rtl/>
        </w:rPr>
        <w:t xml:space="preserve">ואוקימנא לה </w:t>
      </w:r>
      <w:r w:rsidR="00F7233D">
        <w:rPr>
          <w:rStyle w:val="Style1Char"/>
          <w:rFonts w:hint="cs"/>
          <w:rtl/>
        </w:rPr>
        <w:t>(2)</w:t>
      </w:r>
      <w:r w:rsidRPr="0085681C">
        <w:rPr>
          <w:rStyle w:val="Style1Char"/>
          <w:color w:val="auto"/>
          <w:sz w:val="22"/>
          <w:szCs w:val="22"/>
          <w:rtl/>
        </w:rPr>
        <w:t>אשניה</w:t>
      </w:r>
      <w:r w:rsidRPr="0085681C">
        <w:rPr>
          <w:rStyle w:val="Style1Char"/>
          <w:color w:val="auto"/>
          <w:rtl/>
        </w:rPr>
        <w:t xml:space="preserve">, </w:t>
      </w:r>
      <w:r w:rsidRPr="0085681C">
        <w:rPr>
          <w:rStyle w:val="Style1Char"/>
          <w:color w:val="auto"/>
          <w:sz w:val="22"/>
          <w:szCs w:val="22"/>
          <w:rtl/>
        </w:rPr>
        <w:t>וקנסו רבנן לדידה בדידיה</w:t>
      </w:r>
      <w:r w:rsidRPr="0085681C">
        <w:rPr>
          <w:rStyle w:val="Style1Char"/>
          <w:color w:val="4472C4" w:themeColor="accent1"/>
          <w:rtl/>
        </w:rPr>
        <w:t xml:space="preserve"> </w:t>
      </w:r>
      <w:r w:rsidRPr="00F9005B">
        <w:rPr>
          <w:rStyle w:val="Style1Char"/>
          <w:color w:val="4472C4" w:themeColor="accent1"/>
          <w:rtl/>
        </w:rPr>
        <w:t>דמשלם לה נכסי צאן ברזל</w:t>
      </w:r>
      <w:r w:rsidRPr="0085681C">
        <w:rPr>
          <w:rStyle w:val="Style1Char"/>
          <w:color w:val="auto"/>
          <w:sz w:val="22"/>
          <w:szCs w:val="22"/>
          <w:rtl/>
        </w:rPr>
        <w:t xml:space="preserve">, </w:t>
      </w:r>
      <w:r w:rsidRPr="00007C21">
        <w:rPr>
          <w:rStyle w:val="Style1Char"/>
          <w:color w:val="806000" w:themeColor="accent4" w:themeShade="80"/>
          <w:sz w:val="22"/>
          <w:szCs w:val="22"/>
          <w:rtl/>
        </w:rPr>
        <w:t>ולדידיה בדידה</w:t>
      </w:r>
      <w:r w:rsidRPr="00007C21">
        <w:rPr>
          <w:rStyle w:val="Style1Char"/>
          <w:color w:val="806000" w:themeColor="accent4" w:themeShade="80"/>
          <w:rtl/>
        </w:rPr>
        <w:t xml:space="preserve"> </w:t>
      </w:r>
      <w:r w:rsidRPr="00007C21">
        <w:rPr>
          <w:rStyle w:val="Style1Char"/>
          <w:color w:val="806000" w:themeColor="accent4" w:themeShade="80"/>
          <w:sz w:val="22"/>
          <w:szCs w:val="22"/>
          <w:rtl/>
        </w:rPr>
        <w:t>לדידה בדידיה שאין לה כתובה ולדידיה בדידה שמשלם לה נכסי צאן ברזל לישנא אחרינא וקנסו רבנן לדידה בדידה ולדידיה בדידיה לדידה בדידה נכסי מלוג דאינון דידה דברשותה קיימי קנסוה רבנן ולית לה ולדידיה בדידיה נכסי צאן ברזל דלאו ברשותה קיימי אלא ברשותיה דבעל דאם מתו מתו לו ואם הותירו הותירו לו קנסוהו רבנן דאי ליתנהו משלם לה מדיליה</w:t>
      </w:r>
      <w:r w:rsidRPr="00440F59">
        <w:rPr>
          <w:rStyle w:val="Style1Char"/>
          <w:color w:val="C00000"/>
          <w:sz w:val="22"/>
          <w:szCs w:val="22"/>
          <w:rtl/>
        </w:rPr>
        <w:t xml:space="preserve"> </w:t>
      </w:r>
      <w:r w:rsidRPr="00F9005B">
        <w:rPr>
          <w:rStyle w:val="Style1Char"/>
          <w:color w:val="4472C4" w:themeColor="accent1"/>
          <w:rtl/>
        </w:rPr>
        <w:t xml:space="preserve">כדי לעקור מהן תורת נשואין </w:t>
      </w:r>
      <w:r w:rsidRPr="0007055E">
        <w:rPr>
          <w:rStyle w:val="Style1Char"/>
          <w:color w:val="806000" w:themeColor="accent4" w:themeShade="80"/>
          <w:sz w:val="22"/>
          <w:szCs w:val="22"/>
          <w:rtl/>
        </w:rPr>
        <w:t xml:space="preserve">אבל ממאנת אי איתנהו לבלאותיה </w:t>
      </w:r>
      <w:r w:rsidRPr="00440F59">
        <w:rPr>
          <w:rStyle w:val="Style1Char"/>
          <w:color w:val="C00000"/>
          <w:sz w:val="22"/>
          <w:szCs w:val="22"/>
          <w:rtl/>
        </w:rPr>
        <w:t xml:space="preserve">בין דנכסי מלוג בין דנכסי צאן ברזל </w:t>
      </w:r>
      <w:r w:rsidRPr="0007055E">
        <w:rPr>
          <w:rStyle w:val="Style1Char"/>
          <w:color w:val="806000" w:themeColor="accent4" w:themeShade="80"/>
          <w:sz w:val="22"/>
          <w:szCs w:val="22"/>
          <w:rtl/>
        </w:rPr>
        <w:t xml:space="preserve">אידי ואידי שקלה להו </w:t>
      </w:r>
      <w:r w:rsidRPr="00F9005B">
        <w:rPr>
          <w:rStyle w:val="Style1Char"/>
          <w:color w:val="4472C4" w:themeColor="accent1"/>
          <w:rtl/>
        </w:rPr>
        <w:t xml:space="preserve">כיון שהיא יוצאה ממנו </w:t>
      </w:r>
      <w:r w:rsidRPr="0007055E">
        <w:rPr>
          <w:rStyle w:val="Style1Char"/>
          <w:color w:val="806000" w:themeColor="accent4" w:themeShade="80"/>
          <w:sz w:val="22"/>
          <w:szCs w:val="22"/>
          <w:rtl/>
        </w:rPr>
        <w:t xml:space="preserve">ואי ליתנהו אידי ואידי לית לה </w:t>
      </w:r>
      <w:r w:rsidRPr="00F9005B">
        <w:rPr>
          <w:rStyle w:val="Style1Char"/>
          <w:color w:val="4472C4" w:themeColor="accent1"/>
          <w:rtl/>
        </w:rPr>
        <w:t>נכסי צאן ברזל שהרי הוציאן ברשות ונכסי מלוג נמי תשאר תחתיו ותמות בחייו ויירשנה וכיון שיוציאנה מעכשיו אינו משלם לה</w:t>
      </w:r>
      <w:r>
        <w:rPr>
          <w:rStyle w:val="Style1Char"/>
          <w:rFonts w:hint="cs"/>
          <w:color w:val="4472C4" w:themeColor="accent1"/>
        </w:rPr>
        <w:t>‍</w:t>
      </w:r>
      <w:r w:rsidRPr="00F9005B">
        <w:rPr>
          <w:rStyle w:val="Style1Char"/>
          <w:color w:val="4472C4" w:themeColor="accent1"/>
          <w:rtl/>
        </w:rPr>
        <w:t xml:space="preserve"> </w:t>
      </w:r>
      <w:r w:rsidRPr="0007055E">
        <w:rPr>
          <w:rStyle w:val="Style1Char"/>
          <w:color w:val="806000" w:themeColor="accent4" w:themeShade="80"/>
          <w:sz w:val="22"/>
          <w:szCs w:val="22"/>
          <w:rtl/>
        </w:rPr>
        <w:t xml:space="preserve">ואילונית דלא הכיר בה אי דאיתנהו אידי ואידי אית לה ואי דליתנהו נכסי מלוג דברשותה קיימי אית לה נכסי צאן ברזל דלאו ברשותה קיימי לית לה </w:t>
      </w:r>
      <w:r w:rsidRPr="00440F59">
        <w:rPr>
          <w:rStyle w:val="Style1Char"/>
          <w:color w:val="C00000"/>
          <w:sz w:val="22"/>
          <w:szCs w:val="22"/>
          <w:rtl/>
        </w:rPr>
        <w:t>ואילונית שהכיר בה יש לה כתובה כדתנן ואם מתחלה נשאה לשם אילונית יש לה כתובה:</w:t>
      </w:r>
      <w:r w:rsidRPr="00884884">
        <w:rPr>
          <w:rStyle w:val="Style1Char"/>
          <w:color w:val="00B050"/>
          <w:rtl/>
        </w:rPr>
        <w:t xml:space="preserve">. </w:t>
      </w:r>
      <w:r w:rsidRPr="0007055E">
        <w:rPr>
          <w:rStyle w:val="Style1Char"/>
          <w:color w:val="ED7D31" w:themeColor="accent2"/>
          <w:rtl/>
        </w:rPr>
        <w:t xml:space="preserve">אמר רב שימי בר אשי: ש"מ מדרב כהנא, עיילא ליה גלימא - קרנא הוי, ולא מכסי לה </w:t>
      </w:r>
      <w:r w:rsidRPr="00884884">
        <w:rPr>
          <w:rStyle w:val="Style1Char"/>
          <w:color w:val="00B050"/>
          <w:rtl/>
        </w:rPr>
        <w:t>ואזיל עד דבלי</w:t>
      </w:r>
      <w:r w:rsidRPr="0007055E">
        <w:rPr>
          <w:rStyle w:val="Style1Char"/>
          <w:color w:val="4472C4" w:themeColor="accent1"/>
          <w:rtl/>
        </w:rPr>
        <w:t xml:space="preserve"> </w:t>
      </w:r>
      <w:r w:rsidRPr="00F9005B">
        <w:rPr>
          <w:rStyle w:val="Style1Char"/>
          <w:color w:val="4472C4" w:themeColor="accent1"/>
          <w:rtl/>
        </w:rPr>
        <w:t>ואי משתמש בה ובלתה משלם וגבי</w:t>
      </w:r>
      <w:r w:rsidRPr="00E932BB">
        <w:rPr>
          <w:rStyle w:val="Style1Char"/>
          <w:color w:val="4472C4" w:themeColor="accent1"/>
          <w:rtl/>
        </w:rPr>
        <w:t xml:space="preserve"> </w:t>
      </w:r>
      <w:r w:rsidRPr="00F9005B">
        <w:rPr>
          <w:rStyle w:val="Style1Char"/>
          <w:color w:val="4472C4" w:themeColor="accent1"/>
          <w:rtl/>
        </w:rPr>
        <w:t>שנייה הוא דקנסוה שלא לשלם אבל באשה כשירה משלם</w:t>
      </w:r>
      <w:r w:rsidRPr="00884884">
        <w:rPr>
          <w:rStyle w:val="Style1Char"/>
          <w:color w:val="00B050"/>
          <w:rtl/>
        </w:rPr>
        <w:t xml:space="preserve">. </w:t>
      </w:r>
      <w:r w:rsidRPr="00E932BB">
        <w:rPr>
          <w:rStyle w:val="Style1Char"/>
          <w:color w:val="ED7D31" w:themeColor="accent2"/>
          <w:rtl/>
        </w:rPr>
        <w:t xml:space="preserve">והאמר רב נחמן: פירא הוי! </w:t>
      </w:r>
      <w:r w:rsidRPr="00F9005B">
        <w:rPr>
          <w:rStyle w:val="Style1Char"/>
          <w:color w:val="4472C4" w:themeColor="accent1"/>
          <w:rtl/>
        </w:rPr>
        <w:t>ומכסי ואזיל עד דבלי</w:t>
      </w:r>
      <w:r>
        <w:rPr>
          <w:rStyle w:val="Style1Char"/>
          <w:rFonts w:hint="cs"/>
          <w:color w:val="4472C4" w:themeColor="accent1"/>
        </w:rPr>
        <w:t>‍</w:t>
      </w:r>
      <w:r w:rsidRPr="00F9005B">
        <w:rPr>
          <w:rStyle w:val="Style1Char"/>
          <w:color w:val="4472C4" w:themeColor="accent1"/>
          <w:rtl/>
        </w:rPr>
        <w:t xml:space="preserve"> הא </w:t>
      </w:r>
      <w:r w:rsidRPr="00E932BB">
        <w:rPr>
          <w:rStyle w:val="Style1Char"/>
          <w:color w:val="ED7D31" w:themeColor="accent2"/>
          <w:rtl/>
        </w:rPr>
        <w:t xml:space="preserve">דרב נחמן פליגא. </w:t>
      </w:r>
    </w:p>
    <w:p w14:paraId="2AA2258A" w14:textId="77777777" w:rsidR="00B600B2" w:rsidRPr="00F9005B" w:rsidRDefault="00B600B2" w:rsidP="00B600B2">
      <w:pPr>
        <w:bidi/>
        <w:rPr>
          <w:rStyle w:val="Style1Char"/>
          <w:color w:val="4472C4" w:themeColor="accent1"/>
        </w:rPr>
      </w:pPr>
      <w:r w:rsidRPr="00F9005B">
        <w:rPr>
          <w:rStyle w:val="Style1Char"/>
          <w:color w:val="4472C4" w:themeColor="accent1"/>
          <w:rtl/>
        </w:rPr>
        <w:t>וא"כ רב נחמן דס"ל פירא הוי מוקי מתני' בנכסי צאן ברזל דאלו נכסי מלוג אפי' לכשירה לית לה ולית ליה לרב נחמן דקנסי לדידיה ותימה על רב אלפס ז"ל שפסק כרב כהנא וכרב נחמן ותירץ הראב"ד ז"ל דלעולם רב נחמן ס"ל כרב כהנא דנכסי צאן ברזל אית לה דקנסוהו לדידיה ומוקי מתניתין בנכסי מלוג ובדאיתנהו וכיון שהיה רשאי לבלותן כפירא הוי השתא נמי שלא בלאן לית לה משום דקנסוה ורב פפא דפשיטא ליה דאי איתנהו אידי ואידי שקלה לא סבר לה כרב נחמן אלא סבר דעיילא ליה גלימא קרנא הוי הלכך אי איתנהו ודאי אית לה והא דאמר רב שימי בר אשי שמע מינה מדרב כהנא וכו' אשקלא וטריא דאסיק רב פפא קא סמיק דס"ל כוותיה ומיהו אכתי למה פסק רב אלפס באיילונית דנכסי מלוג אית לה דברשותה קיימי והא לרב נחמן לאו ברשותה קיימי והדין בלאות פירי הוא דאכל וכבר תנן דאין לה פירות וי"ל דהא דאיילונית אין לה פירות מפרש בפרק איזהו נשך (דף סז א) משום דמימחל קא מחלה להו כי היכי דתיפוק עלה שמא דאישות ונהי דמחלה צאן ברזל שהכניסה לו כדי לשלוח בהן יד וכן פירות נכסי מלוג אבל לא מחלה שיכלה קרן של נכסי מלוג שלה</w:t>
      </w:r>
      <w:r>
        <w:rPr>
          <w:rStyle w:val="Style1Char"/>
          <w:rFonts w:hint="cs"/>
          <w:color w:val="4472C4" w:themeColor="accent1"/>
        </w:rPr>
        <w:t>‍</w:t>
      </w:r>
      <w:r w:rsidRPr="00F9005B">
        <w:rPr>
          <w:rStyle w:val="Style1Char"/>
          <w:color w:val="4472C4" w:themeColor="accent1"/>
          <w:rtl/>
        </w:rPr>
        <w:t xml:space="preserve"> כך תירץ הראב"ד ז"ל ליישב דברי רב אלפס ז"ל</w:t>
      </w:r>
      <w:r>
        <w:rPr>
          <w:rStyle w:val="Style1Char"/>
          <w:rFonts w:hint="cs"/>
          <w:color w:val="4472C4" w:themeColor="accent1"/>
        </w:rPr>
        <w:t>‍</w:t>
      </w:r>
      <w:r w:rsidRPr="00F9005B">
        <w:rPr>
          <w:rStyle w:val="Style1Char"/>
          <w:color w:val="4472C4" w:themeColor="accent1"/>
          <w:rtl/>
        </w:rPr>
        <w:t xml:space="preserve"> אבל רב אלפס לא כתב כן אלא כתב דשנייה אין לה בלאות של נכסיה מלוג בדליתנהו אבל איתנהו אית לה ונראה לתרץ דבריו דרב שימי בר </w:t>
      </w:r>
      <w:r>
        <w:rPr>
          <w:rStyle w:val="Style1Char"/>
          <w:rFonts w:hint="cs"/>
          <w:color w:val="4472C4" w:themeColor="accent1"/>
        </w:rPr>
        <w:t>‍</w:t>
      </w:r>
      <w:r w:rsidRPr="00F9005B">
        <w:rPr>
          <w:rStyle w:val="Style1Char"/>
          <w:color w:val="4472C4" w:themeColor="accent1"/>
          <w:rtl/>
        </w:rPr>
        <w:t xml:space="preserve"> אשי דקאמר שמע מינה מדרב כהנא וכו' סבר דמתני' דקתני ולא בלאות מיירי דבלינהו בעל מעט מעט בדמכסי בהו ואזיל משום הכי קאמר שמע מיניה מדרב כהנא קרנא הוי דאי פירא הוי מאי איריא הני אפילו כשירה נמי לית לה אלא שמע מינה דקרנא הוי ואי בלינהו בעל מעט מעט דרך לבישה באשה כשירה משלם והכא קנסוה ופריך והאמר רב נחמן פירא הוי ומשני דרב נחמן פליגא כלומר אדרב שימי אבל לעולם רב נחמן כרב כהנא ס"ל דנכסי צאן ברזל אית לה משום דקנסו לדידיה ומוקי מתני' בנכסי מלוג ובדליתנהו כגון שבלן הבעל בבת אחת שמכרן והיינו דאיכא בין שנייה לאשה כשירה דשנייה לית לה ואשה כשירה אית לה דפירא הוי ללובשן ולבלותן על ידי תשמיש וישארו לה השחקים אבל לא למכרם ולאכול הדמים דהשתא ודאי קרנא קא אכיל</w:t>
      </w:r>
      <w:r w:rsidRPr="00F9005B">
        <w:rPr>
          <w:rStyle w:val="Style1Char"/>
          <w:color w:val="4472C4" w:themeColor="accent1"/>
        </w:rPr>
        <w:t>:</w:t>
      </w:r>
    </w:p>
    <w:p w14:paraId="2986DF46" w14:textId="66F7CE8E" w:rsidR="00B600B2" w:rsidRDefault="00B600B2" w:rsidP="00B600B2">
      <w:pPr>
        <w:bidi/>
        <w:rPr>
          <w:rStyle w:val="Style1Char"/>
          <w:sz w:val="22"/>
          <w:szCs w:val="22"/>
          <w:rtl/>
        </w:rPr>
      </w:pPr>
      <w:r w:rsidRPr="00884884">
        <w:rPr>
          <w:rStyle w:val="Style1Char"/>
          <w:color w:val="00B050"/>
          <w:rtl/>
        </w:rPr>
        <w:t xml:space="preserve">אין להן כתובה. </w:t>
      </w:r>
      <w:r w:rsidRPr="002C2368">
        <w:rPr>
          <w:rStyle w:val="Style1Char"/>
          <w:sz w:val="22"/>
          <w:szCs w:val="22"/>
          <w:rtl/>
        </w:rPr>
        <w:t xml:space="preserve">אמר שמואל: </w:t>
      </w:r>
      <w:r w:rsidR="004B48B2">
        <w:rPr>
          <w:rStyle w:val="Style1Char"/>
          <w:rFonts w:hint="cs"/>
          <w:rtl/>
        </w:rPr>
        <w:t>(1.4, 3)</w:t>
      </w:r>
      <w:r w:rsidRPr="002C2368">
        <w:rPr>
          <w:rStyle w:val="Style1Char"/>
          <w:sz w:val="22"/>
          <w:szCs w:val="22"/>
          <w:rtl/>
        </w:rPr>
        <w:t xml:space="preserve">ל"ש אלא מנה מאתים, אבל תוספת יש להן. תנ"ה: נשים שאמרו חכמים אין להן כתובה, כגון הממאנת </w:t>
      </w:r>
      <w:r w:rsidRPr="00884884">
        <w:rPr>
          <w:rStyle w:val="Style1Char"/>
          <w:color w:val="00B050"/>
          <w:rtl/>
        </w:rPr>
        <w:t xml:space="preserve">וחברותיה </w:t>
      </w:r>
      <w:r w:rsidRPr="002C2368">
        <w:rPr>
          <w:rStyle w:val="Style1Char"/>
          <w:color w:val="C00000"/>
          <w:sz w:val="22"/>
          <w:szCs w:val="22"/>
          <w:rtl/>
        </w:rPr>
        <w:t xml:space="preserve">והשניה והאילונית </w:t>
      </w:r>
      <w:r w:rsidRPr="002C2368">
        <w:rPr>
          <w:rStyle w:val="Style1Char"/>
          <w:sz w:val="22"/>
          <w:szCs w:val="22"/>
          <w:rtl/>
        </w:rPr>
        <w:t xml:space="preserve">- אין להן מנה מאתים, אבל תוספת יש להן; נשים שאמרו חכמים יוצאות שלא בכתובה, </w:t>
      </w:r>
      <w:r w:rsidR="008F5CB4">
        <w:rPr>
          <w:rStyle w:val="Style1Char"/>
          <w:rFonts w:hint="cs"/>
          <w:rtl/>
        </w:rPr>
        <w:t>(4)</w:t>
      </w:r>
      <w:r w:rsidRPr="002C2368">
        <w:rPr>
          <w:rStyle w:val="Style1Char"/>
          <w:sz w:val="22"/>
          <w:szCs w:val="22"/>
          <w:rtl/>
        </w:rPr>
        <w:t xml:space="preserve">כגון עוברת על דת וחברותיה - אין להן תוספת, וכ"ש מנה מאתים; </w:t>
      </w:r>
      <w:r w:rsidR="008F5CB4">
        <w:rPr>
          <w:rStyle w:val="Style1Char"/>
          <w:rFonts w:hint="cs"/>
          <w:rtl/>
        </w:rPr>
        <w:t>(4)</w:t>
      </w:r>
      <w:r w:rsidRPr="002C2368">
        <w:rPr>
          <w:rStyle w:val="Style1Char"/>
          <w:sz w:val="22"/>
          <w:szCs w:val="22"/>
          <w:rtl/>
        </w:rPr>
        <w:t xml:space="preserve">והיוצאת משום שם רע - נוטלת מה שלפניה ויוצאה. מסייע ליה לרב הונא, דאמר רב הונא: </w:t>
      </w:r>
      <w:r w:rsidR="008F5CB4">
        <w:rPr>
          <w:rStyle w:val="Style1Char"/>
          <w:rFonts w:hint="cs"/>
          <w:rtl/>
        </w:rPr>
        <w:t>(4)</w:t>
      </w:r>
      <w:r w:rsidRPr="002C2368">
        <w:rPr>
          <w:rStyle w:val="Style1Char"/>
          <w:sz w:val="22"/>
          <w:szCs w:val="22"/>
          <w:rtl/>
        </w:rPr>
        <w:t xml:space="preserve">זינתה, לא הפסידה </w:t>
      </w:r>
    </w:p>
    <w:p w14:paraId="7BE30DA9" w14:textId="67B0DAEE" w:rsidR="005945AE" w:rsidRDefault="005945AE" w:rsidP="005945AE">
      <w:pPr>
        <w:pStyle w:val="Style1"/>
        <w:rPr>
          <w:rtl/>
        </w:rPr>
      </w:pPr>
      <w:r>
        <w:rPr>
          <w:rFonts w:hint="cs"/>
          <w:rtl/>
        </w:rPr>
        <w:t>1)[</w:t>
      </w:r>
      <w:r>
        <w:rPr>
          <w:rtl/>
        </w:rPr>
        <w:t>רמב</w:t>
      </w:r>
      <w:r w:rsidR="00213DA1">
        <w:rPr>
          <w:rtl/>
        </w:rPr>
        <w:t>”ם \נשים\</w:t>
      </w:r>
      <w:r>
        <w:rPr>
          <w:rtl/>
        </w:rPr>
        <w:t xml:space="preserve"> הלכות גירושין פרק יא הלכה טז</w:t>
      </w:r>
      <w:r>
        <w:rPr>
          <w:rFonts w:hint="cs"/>
          <w:rtl/>
        </w:rPr>
        <w:t xml:space="preserve">] </w:t>
      </w:r>
      <w:r>
        <w:rPr>
          <w:rtl/>
        </w:rPr>
        <w:t>הממאנת באיש אינה מגורשת ממנו, ודינה עם בעלה שמיאנה בו כדינה עם מי שלא קידשה מעולם, היא מותרת בקרוביו והוא מותר בקרובותיה ולא פסלה מן הכהונה, ואם נשאת לאחר וגירשה האחר או מת או מיאנה בו מותרת לחזור לראשון. ולא עוד אלא אפילו גירשה הראשון והחזירה ומיאנה בו ונשאת לאחר אחר שמיאנה בו וגירשה האחר מותרת לחזור לראשון, שכל היוצאה במיאון אף על פי שקדמו גט הרי זו כמי שלא נתגרשה ממנו בגט מעולם ומותרת לחזור לו. אבל המגרש את הקטנה בגט ונשאת לאחר ומיאנה באחר אסורה לחזור לראשון מפני שיצאת ממנו בגט אף על פי שיצאת מן האחרון במיאון, ואין צריך לומר אם גירשה האחרון או מת, וכן אסורה לאבי הראשון ולבנו ולאחיו כשאר הגרושות אף על פי שיצאת מן האחרון במיאון.</w:t>
      </w:r>
    </w:p>
    <w:p w14:paraId="42BCC2E9" w14:textId="661E23B2" w:rsidR="005945AE" w:rsidRDefault="005945AE" w:rsidP="005945AE">
      <w:pPr>
        <w:pStyle w:val="Style1"/>
        <w:rPr>
          <w:rtl/>
        </w:rPr>
      </w:pPr>
      <w:r>
        <w:rPr>
          <w:rFonts w:hint="cs"/>
          <w:rtl/>
        </w:rPr>
        <w:t>1)[</w:t>
      </w:r>
      <w:r>
        <w:rPr>
          <w:rtl/>
        </w:rPr>
        <w:t>רמב</w:t>
      </w:r>
      <w:r w:rsidR="00213DA1">
        <w:rPr>
          <w:rtl/>
        </w:rPr>
        <w:t>”ם \נשים\</w:t>
      </w:r>
      <w:r>
        <w:rPr>
          <w:rtl/>
        </w:rPr>
        <w:t xml:space="preserve"> הלכות אישות פרק כב הלכה ד</w:t>
      </w:r>
      <w:r>
        <w:rPr>
          <w:rFonts w:hint="cs"/>
          <w:rtl/>
        </w:rPr>
        <w:t xml:space="preserve">] </w:t>
      </w:r>
      <w:r>
        <w:rPr>
          <w:rtl/>
        </w:rPr>
        <w:t>הנושא אשה שהיא אסורה לו הואיל ויש לו בה קידושין אם מתה תחתיו יירשנה, וכן הנושא את הקטנה אף על פי שאין קידושיה קידושין גמורים אם מתה תחתיו יירשנה, אבל הפקח שנשא חרשת אם מתה לא יירשנה, והחרש שנשא פקחת ומתה יירשנה, שהרי היא בת דעת ולדעתה נשאת וזיכתה לו ממונה. /השגת הראב"ד/ אבל הפקח שנשא חרשת אם מתה תחתיו לא יירשנה. א"א המחבר הזה למד ירושה מן הכתובה דכיון דפקח שנשא חרשת לא תקנו לה כתובה מן הסתם אף כאן אינו יורשה וא"כ אף חרש שנשא פקחת כך היא ואי משום שהיא בת דעת ונשאת לו מה שבידה זכתה לו מה שלאחר מיתה לא זכתה לו.</w:t>
      </w:r>
    </w:p>
    <w:p w14:paraId="278F0253" w14:textId="652A5E21" w:rsidR="005945AE" w:rsidRDefault="005945AE" w:rsidP="005945AE">
      <w:pPr>
        <w:pStyle w:val="Style1"/>
        <w:rPr>
          <w:rtl/>
        </w:rPr>
      </w:pPr>
      <w:r>
        <w:rPr>
          <w:rFonts w:hint="cs"/>
          <w:rtl/>
        </w:rPr>
        <w:t>1)[</w:t>
      </w:r>
      <w:r>
        <w:rPr>
          <w:rtl/>
        </w:rPr>
        <w:t>רמב</w:t>
      </w:r>
      <w:r w:rsidR="00213DA1">
        <w:rPr>
          <w:rtl/>
        </w:rPr>
        <w:t>”ם \נשים\</w:t>
      </w:r>
      <w:r>
        <w:rPr>
          <w:rtl/>
        </w:rPr>
        <w:t xml:space="preserve"> הלכות אישות פרק כד הלכה ט</w:t>
      </w:r>
      <w:r>
        <w:rPr>
          <w:rFonts w:hint="cs"/>
          <w:rtl/>
        </w:rPr>
        <w:t xml:space="preserve">] </w:t>
      </w:r>
      <w:r>
        <w:rPr>
          <w:rtl/>
        </w:rPr>
        <w:t>והממאנת אין לה בליות כלל שאין מוציאין מן הבעל דבר ממה שאבד או נגנב בין מנכסי מלוג בין מנכסי צאן ברזל אלא נוטלת הנמצא לה ויוצאה.</w:t>
      </w:r>
    </w:p>
    <w:p w14:paraId="2E6A717C" w14:textId="58F2AA4D" w:rsidR="00F7233D" w:rsidRDefault="00F7233D" w:rsidP="00F7233D">
      <w:pPr>
        <w:pStyle w:val="Style1"/>
        <w:rPr>
          <w:rtl/>
        </w:rPr>
      </w:pPr>
      <w:r>
        <w:rPr>
          <w:rFonts w:hint="cs"/>
          <w:rtl/>
        </w:rPr>
        <w:lastRenderedPageBreak/>
        <w:t>1)[</w:t>
      </w:r>
      <w:r>
        <w:rPr>
          <w:rtl/>
        </w:rPr>
        <w:t>שולחן ערוך אבן העזר הלכות מיאון סימן קנה סעיף י</w:t>
      </w:r>
      <w:r>
        <w:rPr>
          <w:rFonts w:hint="cs"/>
          <w:rtl/>
        </w:rPr>
        <w:t xml:space="preserve">] </w:t>
      </w:r>
      <w:r w:rsidRPr="004D3797">
        <w:rPr>
          <w:rtl/>
        </w:rPr>
        <w:t>קטנה הממאנת אין לה כתבה מנה ומאתים, אבל יש לה תוספת. וכל זמן שלא מאנה, בעלה זכאי במעשה ידיה ובמציאתה, וחיב במזונותיה ופדיונה כל זמן שהיא תחתיו, אבל אם הלך למדינת הים, ולותה ואכלה או לצרך פדיונה, ועמדה ומאנה, אינו חיב לשלם, אף על פי שאכל פרותיה, ואפלו הם בעין עדין, שלקטן ומנחין ברשותו, אינו מחזירן. ונכסין של צאן ברזל ושל מלוג, אם הם בעין, נוטלתן; ומה שאבד מהם מנכסי צאן ברזל, חיב לשלם; ומנכסי מלוג, פטור. והוא מתר בקרובותיה, והיא מתרת בקרוביו, וכשרה לכהנה, ואינה צריכה להמתין ג' חדשים מלהנשא; ואם נשאת לאחר וגרשה או מת, מתרת לחזר לראשון. ולא עוד, אלא אפלו גרשה הראשון, והחזירה, ומאנה בו, ונשאת לאחר אחר שמאנה בו, וגרשה האחר, מתרת לחזר לראשון. שכל היוצאת במאון, אף על פי שקדמו גט, הרי זו כמי שלא נתגרשה ממנו בגט מעולם, ומתרת לחזר לו. אבל המגרש את הקטנה בגט, יש לה כתבה, ואסור בקרובותיה, ואסורה בקרוביו, ואסורה לכהנה, וצריכה להמתין שלשה חדשים; ואם נשאת לאחר ומאנה בו, אסורה לחזר לראשון, מפני שיצאה ממנו בגט, אף על פי שיצאה מן האחרון במאון, ואין צריך לומר אם גרשה האחרון או מת. וכן אסורה לאבי הראשון, ולבנו, ולאחיו, כשאר הגרושות, אף על פי שיצת מן האחרון במאון. ואם מאנה בראשון, והחזירה וגרשה ונשאת לאחר ונתאלמנה או נתגרשה או מאנה בו, אסורה לחזר לראשון ולקרוביו. שכל שיצת ממנו במאון לבסוף, דינה כממאנת; וכל שיצת ממנו בגט לבסוף, דינה כמגרשת</w:t>
      </w:r>
      <w:r w:rsidRPr="004D3797">
        <w:t>:</w:t>
      </w:r>
    </w:p>
    <w:p w14:paraId="707C2C1A" w14:textId="71E9E493" w:rsidR="00F7233D" w:rsidRDefault="00F7233D" w:rsidP="00F7233D">
      <w:pPr>
        <w:pStyle w:val="Style1"/>
        <w:rPr>
          <w:rtl/>
        </w:rPr>
      </w:pPr>
      <w:r>
        <w:rPr>
          <w:rFonts w:hint="cs"/>
          <w:rtl/>
        </w:rPr>
        <w:t>2)[</w:t>
      </w:r>
      <w:r>
        <w:rPr>
          <w:rtl/>
        </w:rPr>
        <w:t>רמב</w:t>
      </w:r>
      <w:r w:rsidR="00213DA1">
        <w:rPr>
          <w:rtl/>
        </w:rPr>
        <w:t>”ם \נשים\</w:t>
      </w:r>
      <w:r>
        <w:rPr>
          <w:rtl/>
        </w:rPr>
        <w:t xml:space="preserve"> הלכות אישות פרק כד הלכה ז</w:t>
      </w:r>
      <w:r>
        <w:rPr>
          <w:rFonts w:hint="cs"/>
          <w:rtl/>
        </w:rPr>
        <w:t xml:space="preserve">] </w:t>
      </w:r>
      <w:r>
        <w:rPr>
          <w:rtl/>
        </w:rPr>
        <w:t>והיאך דין נשים אלו בנדוניא שלהם, כל אשה שנדוניתה קיימת אפילו זינת נוטלת שלה והולכת, ואם היתה שנייה או מחייבי עשה בין הכיר בה בין לא הכיר בה או שהיתה אילונית או מחייבי לאוין והכיר בה הרי היא בנדוניתה ככל הנשים.</w:t>
      </w:r>
    </w:p>
    <w:p w14:paraId="2EBEFC5E" w14:textId="69BC7B92" w:rsidR="00F7233D" w:rsidRDefault="00F7233D" w:rsidP="00F7233D">
      <w:pPr>
        <w:pStyle w:val="Style1"/>
        <w:rPr>
          <w:rtl/>
        </w:rPr>
      </w:pPr>
      <w:r>
        <w:rPr>
          <w:rFonts w:hint="cs"/>
          <w:rtl/>
        </w:rPr>
        <w:t>2)[</w:t>
      </w:r>
      <w:r>
        <w:rPr>
          <w:rtl/>
        </w:rPr>
        <w:t>שולחן ערוך אבן העזר הלכות כתובות סימן קטז סעיף ד</w:t>
      </w:r>
      <w:r>
        <w:rPr>
          <w:rFonts w:hint="cs"/>
          <w:rtl/>
        </w:rPr>
        <w:t xml:space="preserve">] </w:t>
      </w:r>
      <w:r w:rsidRPr="004D3797">
        <w:rPr>
          <w:rtl/>
        </w:rPr>
        <w:t>שנייה, בין הכיר בה בין לא הכיר בה, דינה כדין חייבי לאוין שלא הכיר בה; חוץ מנכסי צאן ברזל ונכסי מלוג, שדינה בהם ככל הנשים</w:t>
      </w:r>
      <w:r w:rsidRPr="004D3797">
        <w:t>:</w:t>
      </w:r>
    </w:p>
    <w:p w14:paraId="7EDD7291" w14:textId="616177C4" w:rsidR="004B48B2" w:rsidRDefault="004B48B2" w:rsidP="004B48B2">
      <w:pPr>
        <w:pStyle w:val="Style1"/>
        <w:rPr>
          <w:rtl/>
        </w:rPr>
      </w:pPr>
      <w:r>
        <w:rPr>
          <w:rFonts w:hint="cs"/>
          <w:rtl/>
        </w:rPr>
        <w:t>3)[</w:t>
      </w:r>
      <w:r>
        <w:rPr>
          <w:rtl/>
        </w:rPr>
        <w:t>רמב</w:t>
      </w:r>
      <w:r w:rsidR="00213DA1">
        <w:rPr>
          <w:rtl/>
        </w:rPr>
        <w:t>”ם \נשים\</w:t>
      </w:r>
      <w:r>
        <w:rPr>
          <w:rtl/>
        </w:rPr>
        <w:t xml:space="preserve"> הלכות אישות פרק כד הלכה ה</w:t>
      </w:r>
      <w:r>
        <w:rPr>
          <w:rFonts w:hint="cs"/>
          <w:rtl/>
        </w:rPr>
        <w:t xml:space="preserve">] </w:t>
      </w:r>
      <w:r>
        <w:rPr>
          <w:rtl/>
        </w:rPr>
        <w:t>הממאנת אין לה עיקר כתובה אבל תוספת יש לה, ואין מוציאין מן הבעל פירות שאכל, ואם לותה כשהיתה תחתיו ואכלה ואחר כך מיאנה אין מוציאין אותן מזונות מן הבעל.</w:t>
      </w:r>
    </w:p>
    <w:p w14:paraId="06B6D087" w14:textId="69AF1FA1" w:rsidR="00F7233D" w:rsidRDefault="004B48B2" w:rsidP="004B48B2">
      <w:pPr>
        <w:pStyle w:val="Style1"/>
        <w:rPr>
          <w:rtl/>
        </w:rPr>
      </w:pPr>
      <w:r>
        <w:rPr>
          <w:rFonts w:hint="cs"/>
          <w:rtl/>
        </w:rPr>
        <w:t>3)[</w:t>
      </w:r>
      <w:r>
        <w:rPr>
          <w:rtl/>
        </w:rPr>
        <w:t>שולחן ערוך אבן העזר הלכות כתובות סימן קטז סעיף א</w:t>
      </w:r>
      <w:r>
        <w:rPr>
          <w:rFonts w:hint="cs"/>
          <w:rtl/>
        </w:rPr>
        <w:t xml:space="preserve">] </w:t>
      </w:r>
      <w:r w:rsidRPr="004B48B2">
        <w:rPr>
          <w:rtl/>
        </w:rPr>
        <w:t>הנושא אחת מחייבי לאוין, אם הכיר בה יש לה עיקר ותוספת וכל תנאיה; ומיהו, מזונות אין לה אלא לאחר מותו, אבל בחייו אין לה, אפילו לוותה ואכלה אינו חייב כלום</w:t>
      </w:r>
      <w:r w:rsidRPr="004B48B2">
        <w:t>, </w:t>
      </w:r>
      <w:r w:rsidRPr="004B48B2">
        <w:rPr>
          <w:rFonts w:hint="cs"/>
          <w:rtl/>
        </w:rPr>
        <w:t>ואם זן אותה, מעשה ידיה שלו (נמוקי יוסף פרק יש מותרות)</w:t>
      </w:r>
      <w:r w:rsidRPr="004B48B2">
        <w:t xml:space="preserve">. </w:t>
      </w:r>
      <w:r w:rsidRPr="004B48B2">
        <w:rPr>
          <w:rtl/>
        </w:rPr>
        <w:t>ואם לא הכיר בה, אין לה מנה ומאתים אבל תוספות יש לה. ואין לה שום תנאי מתנאי כתובה, ואפילו מזונות, אחר מותו; ואינו חייב בפרקונה, ואפילו הכי אינו משלם פירות שאכל משלה, ואפילו הם בעין אצלו. ונכסים שהכניסה לו, אם הם בעין, בין נכסי מלוג בין נכסי צאן ברזל, תטלם; וכל מה שאבד או נגנב או כלה או נשחק מנכסי צאן ברזל, אינו חייב לשלם; וכל מה שאבד או נגנב מנכסי מלוג, חייב לשלם</w:t>
      </w:r>
      <w:r w:rsidRPr="004B48B2">
        <w:t>:</w:t>
      </w:r>
    </w:p>
    <w:p w14:paraId="5238F847" w14:textId="329F9CE0" w:rsidR="004B48B2" w:rsidRDefault="004B48B2" w:rsidP="004B48B2">
      <w:pPr>
        <w:pStyle w:val="Style1"/>
        <w:rPr>
          <w:rtl/>
        </w:rPr>
      </w:pPr>
      <w:r>
        <w:rPr>
          <w:rFonts w:hint="cs"/>
          <w:rtl/>
        </w:rPr>
        <w:t>3)[</w:t>
      </w:r>
      <w:r>
        <w:rPr>
          <w:rtl/>
        </w:rPr>
        <w:t>שולחן ערוך אבן העזר הלכות כתובות סימן קטז סעיף ה</w:t>
      </w:r>
      <w:r>
        <w:rPr>
          <w:rFonts w:hint="cs"/>
          <w:rtl/>
        </w:rPr>
        <w:t xml:space="preserve">] </w:t>
      </w:r>
      <w:r w:rsidRPr="00203438">
        <w:rPr>
          <w:rtl/>
        </w:rPr>
        <w:t>הממאנת, אין לה מנה ומאתים אבל יש לה תוספות; וחייב לזונה ולפדותה כל זמן שהיא תחתיו, ואוכל פירותיה, אבל אם הלך למדינת הים ולוותה למזונותיה או לפדיונה ואחר כך מיאנה, אינו חייב לשלם אף על פי שאכל פירותיה, ואפילו הם בעין</w:t>
      </w:r>
      <w:r w:rsidRPr="00203438">
        <w:t>:</w:t>
      </w:r>
    </w:p>
    <w:p w14:paraId="30520B60" w14:textId="71567A80" w:rsidR="008F5CB4" w:rsidRDefault="008F5CB4" w:rsidP="008F5CB4">
      <w:pPr>
        <w:pStyle w:val="Style1"/>
        <w:rPr>
          <w:rtl/>
        </w:rPr>
      </w:pPr>
      <w:r>
        <w:rPr>
          <w:rFonts w:hint="cs"/>
          <w:rtl/>
        </w:rPr>
        <w:t>4)[</w:t>
      </w:r>
      <w:r>
        <w:rPr>
          <w:rtl/>
        </w:rPr>
        <w:t>רמב</w:t>
      </w:r>
      <w:r w:rsidR="00213DA1">
        <w:rPr>
          <w:rtl/>
        </w:rPr>
        <w:t>”ם \נשים\</w:t>
      </w:r>
      <w:r>
        <w:rPr>
          <w:rtl/>
        </w:rPr>
        <w:t xml:space="preserve"> הלכות אישות פרק כד הלכה י</w:t>
      </w:r>
      <w:r>
        <w:rPr>
          <w:rFonts w:hint="cs"/>
          <w:rtl/>
        </w:rPr>
        <w:t xml:space="preserve">] </w:t>
      </w:r>
      <w:r>
        <w:rPr>
          <w:rtl/>
        </w:rPr>
        <w:t>מי שזינת תחת בעלה אין לה כתובה לא עיקר ולא תוספת, ואין מוציאין מן הבעל דבר ממה שאבד או נגנב מנכסי צאן ברזל שלה ואין צריך לומר נכסי מלוג, ולא המזנה בלבד אלא אף העוברת על דת משה או על דת יהודית או היוצאה משום שם רע אין לה כתובה לא עיקר ולא תוספת ולא תנאי מתנאי כתובה, וכל אחת מהן נוטלת הנמצא מנדוניתה ויוצאה ואין הבעל חייב לשלם כלום לא מה שפחת ולא מה שאבד.</w:t>
      </w:r>
    </w:p>
    <w:p w14:paraId="7C55BE67" w14:textId="6871E984" w:rsidR="008F5CB4" w:rsidRPr="008442B6" w:rsidRDefault="008F5CB4" w:rsidP="008F5CB4">
      <w:pPr>
        <w:pStyle w:val="Style1"/>
      </w:pPr>
      <w:r>
        <w:rPr>
          <w:rFonts w:hint="cs"/>
          <w:rtl/>
        </w:rPr>
        <w:t>4)[</w:t>
      </w:r>
      <w:r>
        <w:rPr>
          <w:rtl/>
        </w:rPr>
        <w:t>שולחן ערוך אבן העזר הלכות כתובות סימן קטו סעיף ה</w:t>
      </w:r>
      <w:r>
        <w:rPr>
          <w:rFonts w:hint="cs"/>
          <w:rtl/>
        </w:rPr>
        <w:t xml:space="preserve">] </w:t>
      </w:r>
      <w:r w:rsidRPr="008442B6">
        <w:rPr>
          <w:rtl/>
        </w:rPr>
        <w:t>כל אלו אין להם לא עקר כתבה ולא תנאי כתבה ולא תוספת, אבל תטל מה שהכניסה לו והוא בעין, בין מנכסי צאן ברזל בין מנכסי מלוג. ואם כלה או נגנב או נאבד, אין מוציאין ממנו. וכן הדין במי שזנתה או שיוצאת משום שם רע, שאבדה עקר כתבה ותוספת, ונוטלת מה שהוא בעין מכל מה שהכניסה. וכן הדין בכל אותם ששנינו בהן תצא מזה ומזה</w:t>
      </w:r>
      <w:r w:rsidRPr="008442B6">
        <w:t>:</w:t>
      </w:r>
    </w:p>
    <w:p w14:paraId="7E5D65A3" w14:textId="3336A3DC" w:rsidR="004B48B2" w:rsidRPr="008F5CB4" w:rsidRDefault="004B48B2" w:rsidP="004B48B2">
      <w:pPr>
        <w:pStyle w:val="Style1"/>
        <w:rPr>
          <w:rtl/>
        </w:rPr>
      </w:pPr>
    </w:p>
    <w:p w14:paraId="5906FB49" w14:textId="77777777" w:rsidR="005945AE" w:rsidRDefault="005945AE" w:rsidP="005945AE">
      <w:pPr>
        <w:bidi/>
        <w:rPr>
          <w:rStyle w:val="Style1Char"/>
          <w:sz w:val="22"/>
          <w:szCs w:val="22"/>
          <w:rtl/>
        </w:rPr>
      </w:pPr>
    </w:p>
    <w:p w14:paraId="3630467D" w14:textId="77777777" w:rsidR="00B600B2" w:rsidRPr="008E6A98" w:rsidRDefault="00B600B2" w:rsidP="00B600B2">
      <w:pPr>
        <w:bidi/>
        <w:rPr>
          <w:rStyle w:val="Style1Char"/>
          <w:sz w:val="22"/>
          <w:szCs w:val="22"/>
          <w:rtl/>
        </w:rPr>
      </w:pPr>
    </w:p>
    <w:p w14:paraId="750CFCE1" w14:textId="77777777" w:rsidR="00B600B2" w:rsidRPr="00320D3D" w:rsidRDefault="00B600B2" w:rsidP="00B600B2">
      <w:pPr>
        <w:bidi/>
        <w:rPr>
          <w:rStyle w:val="Style1Char"/>
          <w:color w:val="C00000"/>
        </w:rPr>
      </w:pPr>
      <w:r w:rsidRPr="00320D3D">
        <w:rPr>
          <w:rStyle w:val="Style1Char"/>
          <w:color w:val="C00000"/>
          <w:rtl/>
        </w:rPr>
        <w:t xml:space="preserve"> </w:t>
      </w:r>
    </w:p>
    <w:p w14:paraId="0E4E2AEB" w14:textId="77777777" w:rsidR="00B600B2" w:rsidRPr="00025E5B" w:rsidRDefault="00B600B2" w:rsidP="00B600B2">
      <w:pPr>
        <w:bidi/>
        <w:rPr>
          <w:rStyle w:val="Style1Char"/>
          <w:color w:val="00B050"/>
          <w:rtl/>
        </w:rPr>
      </w:pPr>
    </w:p>
    <w:p w14:paraId="67D1317E" w14:textId="77777777" w:rsidR="00B600B2" w:rsidRDefault="00B600B2" w:rsidP="00B600B2">
      <w:pPr>
        <w:rPr>
          <w:rStyle w:val="Style1Char"/>
          <w:color w:val="00B050"/>
          <w:rtl/>
        </w:rPr>
      </w:pPr>
      <w:r>
        <w:rPr>
          <w:rStyle w:val="Style1Char"/>
          <w:color w:val="00B050"/>
          <w:rtl/>
        </w:rPr>
        <w:br w:type="page"/>
      </w:r>
    </w:p>
    <w:p w14:paraId="5F648A7C" w14:textId="77777777" w:rsidR="00B600B2" w:rsidRPr="00884884" w:rsidRDefault="00B600B2" w:rsidP="00B600B2">
      <w:pPr>
        <w:bidi/>
        <w:rPr>
          <w:rStyle w:val="Style1Char"/>
          <w:color w:val="00B050"/>
        </w:rPr>
      </w:pPr>
      <w:r w:rsidRPr="006D1A2D">
        <w:rPr>
          <w:rStyle w:val="Style1Char"/>
          <w:sz w:val="22"/>
          <w:szCs w:val="22"/>
          <w:highlight w:val="yellow"/>
          <w:rtl/>
        </w:rPr>
        <w:lastRenderedPageBreak/>
        <w:t>[דף קא עמוד ב]</w:t>
      </w:r>
      <w:r w:rsidRPr="006D1A2D">
        <w:rPr>
          <w:rStyle w:val="Style1Char"/>
          <w:sz w:val="22"/>
          <w:szCs w:val="22"/>
          <w:rtl/>
        </w:rPr>
        <w:t xml:space="preserve"> בלאותיה קיימין</w:t>
      </w:r>
      <w:r w:rsidRPr="006D1A2D">
        <w:rPr>
          <w:rStyle w:val="Style1Char"/>
          <w:color w:val="C00000"/>
          <w:rtl/>
        </w:rPr>
        <w:t xml:space="preserve"> </w:t>
      </w:r>
      <w:r w:rsidRPr="00320D3D">
        <w:rPr>
          <w:rStyle w:val="Style1Char"/>
          <w:color w:val="C00000"/>
          <w:rtl/>
        </w:rPr>
        <w:t>פירוש בלאותיה הן בלאות נכסים הנכנסין והיוצאין עמה בין נכסי מלוג בין נכסי צאן ברזל</w:t>
      </w:r>
      <w:r w:rsidRPr="00884884">
        <w:rPr>
          <w:rStyle w:val="Style1Char"/>
          <w:color w:val="00B050"/>
          <w:rtl/>
        </w:rPr>
        <w:t xml:space="preserve">. תני תנא קמיה דרב נחמן: זינתה, הפסידה בלאותיה קיימין. א"ל: אם היא זינתה, כליה מי זנאי? תני: לא הפסידה בלאותיה קיימין. אמר רבה בר בר חנה א"ר יוחנן: זו דברי רבי מנחם סתימתאה, אבל חכמים אומרים: זינתה, לא הפסידה בלאותיה קיימין. </w:t>
      </w:r>
    </w:p>
    <w:p w14:paraId="2F219D7A" w14:textId="77777777" w:rsidR="00B600B2" w:rsidRPr="002A1F74" w:rsidRDefault="00B600B2" w:rsidP="00B600B2">
      <w:pPr>
        <w:bidi/>
        <w:rPr>
          <w:rStyle w:val="Style1Char"/>
          <w:sz w:val="22"/>
          <w:szCs w:val="22"/>
        </w:rPr>
      </w:pPr>
      <w:r w:rsidRPr="00B673DB">
        <w:rPr>
          <w:rStyle w:val="Style1Char"/>
          <w:color w:val="ED7D31" w:themeColor="accent2"/>
          <w:sz w:val="22"/>
          <w:szCs w:val="22"/>
          <w:rtl/>
        </w:rPr>
        <w:t xml:space="preserve">אם מתחלה נשאה </w:t>
      </w:r>
      <w:r w:rsidRPr="00F9005B">
        <w:rPr>
          <w:rStyle w:val="Style1Char"/>
          <w:color w:val="4472C4" w:themeColor="accent1"/>
          <w:rtl/>
        </w:rPr>
        <w:t xml:space="preserve">לשם אילונית יש לה כתובה </w:t>
      </w:r>
      <w:r w:rsidRPr="00884884">
        <w:rPr>
          <w:rStyle w:val="Style1Char"/>
          <w:color w:val="00B050"/>
          <w:rtl/>
        </w:rPr>
        <w:t>כו'</w:t>
      </w:r>
      <w:r w:rsidRPr="00703C03">
        <w:rPr>
          <w:rStyle w:val="Style1Char"/>
          <w:color w:val="C00000"/>
          <w:rtl/>
        </w:rPr>
        <w:t xml:space="preserve"> </w:t>
      </w:r>
      <w:r w:rsidRPr="00703C03">
        <w:rPr>
          <w:rStyle w:val="Style1Char"/>
          <w:color w:val="C00000"/>
          <w:sz w:val="22"/>
          <w:szCs w:val="22"/>
          <w:rtl/>
        </w:rPr>
        <w:t>אלמנה לכה"ג גרושה וחלוצה לכהן הדיוט וכו'</w:t>
      </w:r>
      <w:r w:rsidRPr="00884884">
        <w:rPr>
          <w:rStyle w:val="Style1Char"/>
          <w:color w:val="00B050"/>
          <w:rtl/>
        </w:rPr>
        <w:t xml:space="preserve">. </w:t>
      </w:r>
      <w:r w:rsidRPr="00B673DB">
        <w:rPr>
          <w:rStyle w:val="Style1Char"/>
          <w:color w:val="auto"/>
          <w:sz w:val="22"/>
          <w:szCs w:val="22"/>
          <w:rtl/>
        </w:rPr>
        <w:t xml:space="preserve">אמר רב הונא: אילונית - אשה ואינה אשה, אלמנה </w:t>
      </w:r>
      <w:r w:rsidRPr="00B673DB">
        <w:rPr>
          <w:rStyle w:val="Style1Char"/>
          <w:color w:val="806000" w:themeColor="accent4" w:themeShade="80"/>
          <w:sz w:val="22"/>
          <w:szCs w:val="22"/>
          <w:rtl/>
        </w:rPr>
        <w:t xml:space="preserve">לכהן גדול </w:t>
      </w:r>
      <w:r w:rsidRPr="00703C03">
        <w:rPr>
          <w:rStyle w:val="Style1Char"/>
          <w:sz w:val="22"/>
          <w:szCs w:val="22"/>
          <w:rtl/>
        </w:rPr>
        <w:t xml:space="preserve">- </w:t>
      </w:r>
      <w:r w:rsidRPr="00B673DB">
        <w:rPr>
          <w:rStyle w:val="Style1Char"/>
          <w:color w:val="auto"/>
          <w:sz w:val="22"/>
          <w:szCs w:val="22"/>
          <w:rtl/>
        </w:rPr>
        <w:t>אשה גמורה; אילונית אשה</w:t>
      </w:r>
      <w:r w:rsidRPr="00B673DB">
        <w:rPr>
          <w:rStyle w:val="Style1Char"/>
          <w:color w:val="auto"/>
          <w:rtl/>
        </w:rPr>
        <w:t xml:space="preserve"> </w:t>
      </w:r>
      <w:r w:rsidRPr="00884884">
        <w:rPr>
          <w:rStyle w:val="Style1Char"/>
          <w:color w:val="00B050"/>
          <w:rtl/>
        </w:rPr>
        <w:t xml:space="preserve">ואינה אשה, </w:t>
      </w:r>
      <w:r w:rsidRPr="00B673DB">
        <w:rPr>
          <w:rStyle w:val="Style1Char"/>
          <w:color w:val="auto"/>
          <w:sz w:val="22"/>
          <w:szCs w:val="22"/>
          <w:rtl/>
        </w:rPr>
        <w:t xml:space="preserve">הכיר בה - יש לה כתובה, </w:t>
      </w:r>
      <w:r w:rsidRPr="00B673DB">
        <w:rPr>
          <w:rStyle w:val="Style1Char"/>
          <w:color w:val="806000" w:themeColor="accent4" w:themeShade="80"/>
          <w:sz w:val="22"/>
          <w:szCs w:val="22"/>
          <w:rtl/>
        </w:rPr>
        <w:t xml:space="preserve">ואינה אשה שאם </w:t>
      </w:r>
      <w:r w:rsidRPr="00B673DB">
        <w:rPr>
          <w:rStyle w:val="Style1Char"/>
          <w:color w:val="auto"/>
          <w:sz w:val="22"/>
          <w:szCs w:val="22"/>
          <w:rtl/>
        </w:rPr>
        <w:t xml:space="preserve">לא הכיר בה - אין לה כתובה; אלמנה </w:t>
      </w:r>
      <w:r w:rsidRPr="00B673DB">
        <w:rPr>
          <w:rStyle w:val="Style1Char"/>
          <w:color w:val="806000" w:themeColor="accent4" w:themeShade="80"/>
          <w:sz w:val="22"/>
          <w:szCs w:val="22"/>
          <w:rtl/>
        </w:rPr>
        <w:t xml:space="preserve">לכהן גדול </w:t>
      </w:r>
      <w:r w:rsidRPr="00B673DB">
        <w:rPr>
          <w:rStyle w:val="Style1Char"/>
          <w:color w:val="auto"/>
          <w:sz w:val="22"/>
          <w:szCs w:val="22"/>
          <w:rtl/>
        </w:rPr>
        <w:t>אשה גמורה, בין הכיר בה בין לא הכיר בה - יש לה כתובה</w:t>
      </w:r>
      <w:r w:rsidRPr="00B673DB">
        <w:rPr>
          <w:rStyle w:val="Style1Char"/>
          <w:color w:val="auto"/>
          <w:rtl/>
        </w:rPr>
        <w:t xml:space="preserve">; </w:t>
      </w:r>
      <w:r w:rsidRPr="00B673DB">
        <w:rPr>
          <w:rStyle w:val="Style1Char"/>
          <w:color w:val="auto"/>
          <w:sz w:val="22"/>
          <w:szCs w:val="22"/>
          <w:rtl/>
        </w:rPr>
        <w:t>ורב יהודה אומר: אחת זו ואחת זו אשה ואינה אשה, הכיר בה - יש לה כתובה, לא הכיר בה - אין לה כתובה</w:t>
      </w:r>
      <w:r w:rsidRPr="00B673DB">
        <w:rPr>
          <w:rStyle w:val="Style1Char"/>
          <w:color w:val="auto"/>
          <w:rtl/>
        </w:rPr>
        <w:t xml:space="preserve"> </w:t>
      </w:r>
      <w:r w:rsidRPr="00B05658">
        <w:rPr>
          <w:rStyle w:val="Style1Char"/>
          <w:color w:val="806000" w:themeColor="accent4" w:themeShade="80"/>
          <w:sz w:val="22"/>
          <w:szCs w:val="22"/>
          <w:rtl/>
        </w:rPr>
        <w:t>והלכתא כרב יהודה דתניא כותיה</w:t>
      </w:r>
      <w:r w:rsidRPr="009232D8">
        <w:rPr>
          <w:rStyle w:val="Style1Char"/>
          <w:sz w:val="22"/>
          <w:szCs w:val="22"/>
          <w:rtl/>
        </w:rPr>
        <w:t xml:space="preserve">. </w:t>
      </w:r>
      <w:r w:rsidRPr="00884884">
        <w:rPr>
          <w:rStyle w:val="Style1Char"/>
          <w:color w:val="00B050"/>
          <w:rtl/>
        </w:rPr>
        <w:t xml:space="preserve">מיתיבי: כנסה בחזקת שהיא כן ונמצאת שהיא כן - יש לה כתובה, הא סתמא - אין לה כתובה! לא תימא: הא סתמא - אין לה כתובה, אלא אימא: כנסה בחזקת שאינה כן ונמצאת שהיא כן - אין לה כתובה. אבל סתמא מאי? אית לה, אדתני: בחזקת שהיא כן ונמצאת שהיא כן - יש לה כתובה, לשמעינן סתמא וכ"ש הא! ועוד תני: </w:t>
      </w:r>
      <w:r w:rsidRPr="009522E3">
        <w:rPr>
          <w:rStyle w:val="Style1Char"/>
          <w:color w:val="auto"/>
          <w:sz w:val="22"/>
          <w:szCs w:val="22"/>
          <w:rtl/>
        </w:rPr>
        <w:t>כנסה בידוע</w:t>
      </w:r>
      <w:r w:rsidRPr="009522E3">
        <w:rPr>
          <w:rStyle w:val="Style1Char"/>
          <w:color w:val="auto"/>
          <w:rtl/>
        </w:rPr>
        <w:t xml:space="preserve"> </w:t>
      </w:r>
      <w:r w:rsidRPr="009522E3">
        <w:rPr>
          <w:rStyle w:val="Style1Char"/>
          <w:color w:val="ED7D31" w:themeColor="accent2"/>
          <w:rtl/>
        </w:rPr>
        <w:t xml:space="preserve">ונמצאת בידוע </w:t>
      </w:r>
      <w:r w:rsidRPr="00884884">
        <w:rPr>
          <w:rStyle w:val="Style1Char"/>
          <w:color w:val="00B050"/>
          <w:rtl/>
        </w:rPr>
        <w:t xml:space="preserve">- </w:t>
      </w:r>
      <w:r w:rsidRPr="009522E3">
        <w:rPr>
          <w:rStyle w:val="Style1Char"/>
          <w:color w:val="auto"/>
          <w:sz w:val="22"/>
          <w:szCs w:val="22"/>
          <w:rtl/>
        </w:rPr>
        <w:t>יש לה כתובה, כנסה סתם - אין לה כתובה</w:t>
      </w:r>
      <w:r w:rsidRPr="00884884">
        <w:rPr>
          <w:rStyle w:val="Style1Char"/>
          <w:color w:val="00B050"/>
          <w:rtl/>
        </w:rPr>
        <w:t xml:space="preserve">, תיובתא דרב הונא! </w:t>
      </w:r>
      <w:r w:rsidRPr="009522E3">
        <w:rPr>
          <w:rStyle w:val="Style1Char"/>
          <w:color w:val="auto"/>
          <w:sz w:val="22"/>
          <w:szCs w:val="22"/>
          <w:rtl/>
        </w:rPr>
        <w:t xml:space="preserve">רב הונא מתני' אטעיתיה, הוא סבר: מדקא מפליג </w:t>
      </w:r>
      <w:r w:rsidRPr="0057590F">
        <w:rPr>
          <w:rStyle w:val="Style1Char"/>
          <w:color w:val="806000" w:themeColor="accent4" w:themeShade="80"/>
          <w:sz w:val="22"/>
          <w:szCs w:val="22"/>
          <w:rtl/>
        </w:rPr>
        <w:t xml:space="preserve">תנא </w:t>
      </w:r>
      <w:r w:rsidRPr="0057590F">
        <w:rPr>
          <w:rStyle w:val="Style1Char"/>
          <w:color w:val="auto"/>
          <w:sz w:val="22"/>
          <w:szCs w:val="22"/>
          <w:rtl/>
        </w:rPr>
        <w:t>באילונית</w:t>
      </w:r>
      <w:r w:rsidRPr="00923986">
        <w:rPr>
          <w:rStyle w:val="Style1Char"/>
          <w:sz w:val="22"/>
          <w:szCs w:val="22"/>
          <w:rtl/>
        </w:rPr>
        <w:t xml:space="preserve"> </w:t>
      </w:r>
      <w:r w:rsidRPr="0057590F">
        <w:rPr>
          <w:rStyle w:val="Style1Char"/>
          <w:color w:val="806000" w:themeColor="accent4" w:themeShade="80"/>
          <w:sz w:val="22"/>
          <w:szCs w:val="22"/>
          <w:rtl/>
        </w:rPr>
        <w:t xml:space="preserve">וקאמר אם מתחלה נשאה לשם אילונית יש לה כתובה </w:t>
      </w:r>
      <w:r w:rsidRPr="0057590F">
        <w:rPr>
          <w:rStyle w:val="Style1Char"/>
          <w:color w:val="auto"/>
          <w:sz w:val="22"/>
          <w:szCs w:val="22"/>
          <w:rtl/>
        </w:rPr>
        <w:t>ולא קמפליג באלמנה, מכלל דאלמנה אפי' בסתמא נמי אית לה</w:t>
      </w:r>
      <w:r w:rsidRPr="0057590F">
        <w:rPr>
          <w:rStyle w:val="Style1Char"/>
          <w:color w:val="auto"/>
          <w:rtl/>
        </w:rPr>
        <w:t xml:space="preserve"> </w:t>
      </w:r>
      <w:r w:rsidRPr="0028724B">
        <w:rPr>
          <w:rStyle w:val="Style1Char"/>
          <w:color w:val="806000" w:themeColor="accent4" w:themeShade="80"/>
          <w:sz w:val="22"/>
          <w:szCs w:val="22"/>
          <w:rtl/>
        </w:rPr>
        <w:t>כתובה</w:t>
      </w:r>
      <w:r w:rsidRPr="00923986">
        <w:rPr>
          <w:rStyle w:val="Style1Char"/>
          <w:sz w:val="22"/>
          <w:szCs w:val="22"/>
          <w:rtl/>
        </w:rPr>
        <w:t xml:space="preserve">, </w:t>
      </w:r>
      <w:r w:rsidRPr="0028724B">
        <w:rPr>
          <w:rStyle w:val="Style1Char"/>
          <w:color w:val="auto"/>
          <w:sz w:val="22"/>
          <w:szCs w:val="22"/>
          <w:rtl/>
        </w:rPr>
        <w:t>ולא היא</w:t>
      </w:r>
      <w:r w:rsidRPr="0028724B">
        <w:rPr>
          <w:rStyle w:val="Style1Char"/>
          <w:color w:val="auto"/>
          <w:rtl/>
        </w:rPr>
        <w:t xml:space="preserve">, </w:t>
      </w:r>
      <w:r w:rsidRPr="0028724B">
        <w:rPr>
          <w:rStyle w:val="Style1Char"/>
          <w:color w:val="auto"/>
          <w:sz w:val="22"/>
          <w:szCs w:val="22"/>
          <w:rtl/>
        </w:rPr>
        <w:t>כי קתני לה לאלמנה - אפלוגתא דאילונית קאי</w:t>
      </w:r>
      <w:r w:rsidRPr="006F1D26">
        <w:rPr>
          <w:rStyle w:val="Style1Char"/>
          <w:sz w:val="22"/>
          <w:szCs w:val="22"/>
          <w:rtl/>
        </w:rPr>
        <w:t xml:space="preserve">. </w:t>
      </w:r>
      <w:r w:rsidRPr="00F9005B">
        <w:rPr>
          <w:rStyle w:val="Style1Char"/>
          <w:color w:val="4472C4" w:themeColor="accent1"/>
        </w:rPr>
        <w:t xml:space="preserve">: </w:t>
      </w:r>
    </w:p>
    <w:p w14:paraId="37A31069" w14:textId="77777777" w:rsidR="00B600B2" w:rsidRDefault="00B600B2" w:rsidP="00B600B2">
      <w:pPr>
        <w:bidi/>
        <w:rPr>
          <w:rStyle w:val="Style1Char"/>
          <w:color w:val="806000" w:themeColor="accent4" w:themeShade="80"/>
          <w:rtl/>
        </w:rPr>
      </w:pPr>
      <w:r w:rsidRPr="0028724B">
        <w:rPr>
          <w:rStyle w:val="Style1Char"/>
          <w:color w:val="806000" w:themeColor="accent4" w:themeShade="80"/>
          <w:rtl/>
        </w:rPr>
        <w:t>הלכך אלמנה לכהן גדול גרושה וחלוצה לכהן הדיוט ממזרת ונתינה לישראל בת ישראל לממזר ולנתין הכיר בהן יש להן כתובה בין מנה מאתים בין תוספת ויש להן פירות ומזונות ובלאות דכיון דאית להו כתובה אית להו נמי תנאי כתובה ומזונות דאית להו ה"מ לאחר מיתה דלא הספיק' להוציא עד שמת אבל בחיי הבעל כיון דבעמוד והוציא קאי לית להו מזונות דאי אמרת אית להו אתיין לעיכובי גבייהו דהכי אסיקנא בפרק יש מותרות לבעליהן [יבמות פ"ה ע"א] לא הכיר בהן אין להן כתובה מנה מאתים ולא פירות ולא מזונות ולא בלאות אבל תוספת יש להן כשמואל ובלאות דאמרינן דלית להו מסתברא לן דכיון דדינא דידהו כדין האילונית ודינא דאילונית דלא הכיר בה אי איתנהו לבלאות אידי ואידי אית לה בין נכסי מלוג בין נכסי צאן ברזל ואי ליתנהו נכסי מלוג דברשותה קיימי אית לה נכסי צאן ברזל דלאו ברשותה קיימי לית לה הני נמי כיוצא בה אבל שניה לא שנא הכיר בה לא שנא לא הכיר בה אין לה כתובה מנה מאתים אבל תוספת יש לה ולא פירות ולא מזונות ולא בלאות של נכסי מלוג בדליתנהו אבל איתנהו אית לה ונכסי צאן ברזל בין ליתנהו בין איתנהו אית לה כדרב כהנא דאמר קנסוה רבנן לדידה בדידה ולדידיה בדידיה ומנא לן דשניה בין הכיר בה בין לא הכיר בה חד דינא הוא דאית לה חדא מדקא מפליג תנא באילונית ולא מפליג בשניה מכלל דשניה ל"ש הכיר ול"ש לא הכיר אין לה כתובה ועוד דגרסי' בפ' יש מותרות לבעליהן [יבמות פ"ה ע"א] ת"ר אלמנה לכה"ג גרושה וחלוצה לכהן הדיוט יש להן כתובה פירות מזונות ובלאות והיא פסולה וולדה פסול וכופין אותו להוציא שניות מדברי סופרים אין להן כתובה ולא פירות ולא מזונות ולא בלאות והיא כשרה וולדה כשר וכופין אותו להוציא אמר רבי שמעון בן אלעזר מפני מה אמרו אלמנה לכהן גדול יש לה כתובה</w:t>
      </w:r>
      <w:r w:rsidRPr="00CE741E">
        <w:rPr>
          <w:rStyle w:val="Style1Char"/>
          <w:color w:val="4472C4" w:themeColor="accent1"/>
          <w:rtl/>
        </w:rPr>
        <w:t xml:space="preserve"> </w:t>
      </w:r>
      <w:r w:rsidRPr="00F9005B">
        <w:rPr>
          <w:rStyle w:val="Style1Char"/>
          <w:color w:val="4472C4" w:themeColor="accent1"/>
          <w:rtl/>
        </w:rPr>
        <w:t>מפני שהיא פסולה וולדה פסול וכל מקום שהיא פסולה וולדה פסול קנסו אותו בכתובה ומפני מה אמרו שניות מדברי סופרים אין להן כתובה מפני שהיא כשירה וולדה כשר וכ"מ שהיא כשרה וולדה כשר קנסו אותה בכתובה</w:t>
      </w:r>
    </w:p>
    <w:p w14:paraId="05B963BD" w14:textId="77777777" w:rsidR="00B600B2" w:rsidRDefault="00B600B2" w:rsidP="00B600B2">
      <w:pPr>
        <w:bidi/>
        <w:rPr>
          <w:rStyle w:val="Style1Char"/>
          <w:color w:val="4472C4" w:themeColor="accent1"/>
          <w:rtl/>
        </w:rPr>
      </w:pPr>
      <w:r w:rsidRPr="002A1F74">
        <w:rPr>
          <w:rStyle w:val="Style1Char"/>
          <w:color w:val="C00000"/>
          <w:sz w:val="22"/>
          <w:szCs w:val="22"/>
          <w:rtl/>
        </w:rPr>
        <w:t xml:space="preserve"> שהוא כשר והיא פסולה וכל מקום שהוא כשר והיא פסולה [דף פ"ה ע"ב] קנסו אותו בכתובתה ומפני מה אמרו שניות מדברי סופרים אין להן כתובה מפני שהוא כשר והיא כשרה וכל מקום שהוא כשר והיא כשרה קנסו אותה בכתובתה </w:t>
      </w:r>
      <w:r w:rsidRPr="002A1F74">
        <w:rPr>
          <w:rStyle w:val="Style1Char"/>
          <w:color w:val="806000" w:themeColor="accent4" w:themeShade="80"/>
          <w:rtl/>
        </w:rPr>
        <w:t xml:space="preserve">רבי אומר הללו דברי תורה ואין דברי תורה צריכין חיזוק והללו דברי סופרים ודברי סופרים צריכין חיזוק ד"א זו הוא מרגילה וזו היא מרגילתו וכבר קיימא לן דהכא דקתני אלמנה לכה"ג יש לה כתובה בשהכיר בה אבל לא הכיר בה אין לה כתובה </w:t>
      </w:r>
      <w:r w:rsidRPr="00431270">
        <w:rPr>
          <w:rStyle w:val="Style1Char"/>
          <w:color w:val="C00000"/>
          <w:sz w:val="22"/>
          <w:szCs w:val="22"/>
          <w:rtl/>
        </w:rPr>
        <w:t>אבל תוספת יש לה ומדאלמנה הוא דיש לה כתובה בשהכיר בה שניה נמי דפליג בדידה בשהכיר בה וקתני אין לה כתובה ואי הכיר בה</w:t>
      </w:r>
      <w:r w:rsidRPr="00431270">
        <w:rPr>
          <w:rStyle w:val="Style1Char"/>
          <w:rFonts w:hint="cs"/>
          <w:color w:val="C00000"/>
          <w:sz w:val="22"/>
          <w:szCs w:val="22"/>
          <w:rtl/>
        </w:rPr>
        <w:t xml:space="preserve">   </w:t>
      </w:r>
      <w:r w:rsidRPr="00431270">
        <w:rPr>
          <w:rStyle w:val="Style1Char"/>
          <w:color w:val="C00000"/>
          <w:sz w:val="22"/>
          <w:szCs w:val="22"/>
          <w:rtl/>
        </w:rPr>
        <w:t xml:space="preserve"> </w:t>
      </w:r>
      <w:r w:rsidRPr="00F9005B">
        <w:rPr>
          <w:rStyle w:val="Style1Char"/>
          <w:color w:val="4472C4" w:themeColor="accent1"/>
          <w:rtl/>
        </w:rPr>
        <w:t xml:space="preserve">אלמא דומיא דאלמנה כשהכיר בה קאמר דשנייה </w:t>
      </w:r>
      <w:r w:rsidRPr="00431270">
        <w:rPr>
          <w:rStyle w:val="Style1Char"/>
          <w:color w:val="806000" w:themeColor="accent4" w:themeShade="80"/>
          <w:sz w:val="22"/>
          <w:szCs w:val="22"/>
          <w:rtl/>
        </w:rPr>
        <w:t xml:space="preserve">אין לה כתובה כ"ש לא הכיר בה </w:t>
      </w:r>
      <w:r w:rsidRPr="004F5270">
        <w:rPr>
          <w:rStyle w:val="Style1Char"/>
          <w:color w:val="C00000"/>
          <w:sz w:val="22"/>
          <w:szCs w:val="22"/>
          <w:rtl/>
        </w:rPr>
        <w:t xml:space="preserve">ושמעינן מינה דשניה בין הכיר בה בין לא הכיר בה אין לה כתובה: </w:t>
      </w:r>
      <w:r w:rsidRPr="00F9005B">
        <w:rPr>
          <w:rStyle w:val="Style1Char"/>
          <w:color w:val="4472C4" w:themeColor="accent1"/>
          <w:rtl/>
        </w:rPr>
        <w:t>כתב הראב"ד ז"ל וקשה לי באלמנה לכ"ג ולא הכיר בה</w:t>
      </w:r>
      <w:r>
        <w:rPr>
          <w:rStyle w:val="Style1Char"/>
          <w:rFonts w:hint="cs"/>
          <w:color w:val="4472C4" w:themeColor="accent1"/>
        </w:rPr>
        <w:t>‍</w:t>
      </w:r>
      <w:r w:rsidRPr="00F9005B">
        <w:rPr>
          <w:rStyle w:val="Style1Char"/>
          <w:color w:val="4472C4" w:themeColor="accent1"/>
          <w:rtl/>
        </w:rPr>
        <w:t xml:space="preserve"> מאי טעמא לא דמיא לשנייה דהא איהי מרגלה ליה דאיהי הוה ידעה בנפשה ואיהו לא הוה ידע בה וקא מינסבא ליה הלכך ליקנסה כשנייה לדידה בדידיה דנכסי מלוג לא תשקול ונכסי צאן ברזל נמי לא תשקול דהא איהו לא קנסינן ליה דהא לא ידע דעבד איסורא ואיכא למימר כיון דפסיל זרעה לא קנסינן לה דסופה ודאי בעי למיפק מיניה דלא מרגלה ליה והאי דאינסבא ליה יצרה תקפה</w:t>
      </w:r>
    </w:p>
    <w:p w14:paraId="34340A19" w14:textId="77777777" w:rsidR="00B600B2" w:rsidRPr="004F5270" w:rsidRDefault="00B600B2" w:rsidP="00B600B2">
      <w:pPr>
        <w:bidi/>
        <w:rPr>
          <w:rStyle w:val="Style1Char"/>
          <w:color w:val="806000" w:themeColor="accent4" w:themeShade="80"/>
          <w:rtl/>
        </w:rPr>
      </w:pPr>
      <w:r w:rsidRPr="004F5270">
        <w:rPr>
          <w:rStyle w:val="Style1Char"/>
          <w:color w:val="806000" w:themeColor="accent4" w:themeShade="80"/>
          <w:rtl/>
        </w:rPr>
        <w:t>גרסינן בנדה ס"פ ראשון [נדה י"ב ע"ב] אשה שאין לה וסת אסורה לשמש ואין לה כתובה ולא פירות ולא מזונות ולא בלאות ויוציא ולא יחזיר עולמית ד"ר מאיר ר' חנינא בן אנטיגנוס אומר משמשת בשני עדים והן הן עוותיה ותקוניה שאם תשמש פעם ראשונה ושניה ושלישית בעדים וימצא דם על עד שלה או שלו בכל פעם ופעם הרי הן עוותיה שהוחזקה נדה כל ימיה ויוציא בלא כתובה ואין לה לא פירות ולא מזונות ולא בלאות דלאו בת תשמיש היא דלא חזיא לביאה ולא יחזיר עולמית ואף על גב דהדר איתקן דאי אמרת יחזיר זמנין דאזלא ומינסבא ומיתקנה ויאמר אילו הייתי יודע שכן הוא אפילו נותנין לי מאה מנה לא הייתי מגרשה ונמצא גט בטל ובניה ממזרים ואם שמשה בשני עדים אחד לו ואחד לה שלשה פעמים ולא נמצא דם באחד מהן הרי הן תקוניה והרי היא ככל הנשים אמר רב יהודה אמר שמואל הלכה כרבי חנינא בן אנטיגנוס</w:t>
      </w:r>
      <w:r w:rsidRPr="004F5270">
        <w:rPr>
          <w:rStyle w:val="Style1Char"/>
          <w:color w:val="806000" w:themeColor="accent4" w:themeShade="80"/>
        </w:rPr>
        <w:t>:</w:t>
      </w:r>
    </w:p>
    <w:p w14:paraId="4B744303" w14:textId="77777777" w:rsidR="00B600B2" w:rsidRPr="00D2614D" w:rsidRDefault="00B600B2" w:rsidP="00B600B2">
      <w:pPr>
        <w:bidi/>
        <w:rPr>
          <w:color w:val="00B050"/>
          <w:sz w:val="52"/>
          <w:szCs w:val="52"/>
        </w:rPr>
      </w:pPr>
      <w:r w:rsidRPr="00884884">
        <w:rPr>
          <w:rStyle w:val="Style1Char"/>
          <w:color w:val="auto"/>
          <w:sz w:val="28"/>
          <w:szCs w:val="28"/>
          <w:rtl/>
        </w:rPr>
        <w:t>הדרן עלך אלמנה ניזונת.</w:t>
      </w:r>
    </w:p>
    <w:p w14:paraId="29748948" w14:textId="77777777" w:rsidR="000231F5" w:rsidRPr="00115293" w:rsidRDefault="000231F5" w:rsidP="000231F5">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 xml:space="preserve">פרק </w:t>
      </w:r>
      <w:r w:rsidRPr="00853299">
        <w:rPr>
          <w:rStyle w:val="Style1Char"/>
          <w:color w:val="auto"/>
          <w:sz w:val="24"/>
          <w:szCs w:val="24"/>
          <w:rtl/>
        </w:rPr>
        <w:t>יב - הנושא את האשה</w:t>
      </w:r>
    </w:p>
    <w:p w14:paraId="76C35F07" w14:textId="77777777" w:rsidR="000231F5" w:rsidRDefault="000231F5" w:rsidP="000231F5">
      <w:pPr>
        <w:bidi/>
        <w:rPr>
          <w:rStyle w:val="Style1Char"/>
          <w:sz w:val="22"/>
          <w:szCs w:val="22"/>
          <w:rtl/>
        </w:rPr>
      </w:pPr>
      <w:r w:rsidRPr="00E401D5">
        <w:rPr>
          <w:rStyle w:val="Style1Char"/>
          <w:color w:val="auto"/>
          <w:sz w:val="22"/>
          <w:szCs w:val="22"/>
          <w:rtl/>
        </w:rPr>
        <w:t xml:space="preserve">/מתני'/. הנושא </w:t>
      </w:r>
      <w:r w:rsidRPr="00EF64BD">
        <w:rPr>
          <w:rStyle w:val="Style1Char"/>
          <w:rFonts w:hint="cs"/>
          <w:rtl/>
        </w:rPr>
        <w:t>(1)</w:t>
      </w:r>
      <w:r w:rsidRPr="00E401D5">
        <w:rPr>
          <w:rStyle w:val="Style1Char"/>
          <w:color w:val="auto"/>
          <w:sz w:val="22"/>
          <w:szCs w:val="22"/>
          <w:rtl/>
        </w:rPr>
        <w:t xml:space="preserve">את האשה, ופסקה עמו כדי שיזון את בתה חמש שנים - חייב לזונה חמש שנים. </w:t>
      </w:r>
      <w:r w:rsidRPr="00EF64BD">
        <w:rPr>
          <w:rStyle w:val="Style1Char"/>
          <w:rFonts w:hint="cs"/>
          <w:rtl/>
        </w:rPr>
        <w:t>(</w:t>
      </w:r>
      <w:r>
        <w:rPr>
          <w:rStyle w:val="Style1Char"/>
          <w:rFonts w:hint="cs"/>
          <w:rtl/>
        </w:rPr>
        <w:t>1.1, 2</w:t>
      </w:r>
      <w:r w:rsidRPr="00EF64BD">
        <w:rPr>
          <w:rStyle w:val="Style1Char"/>
          <w:rFonts w:hint="cs"/>
          <w:rtl/>
        </w:rPr>
        <w:t>)</w:t>
      </w:r>
      <w:r w:rsidRPr="00E401D5">
        <w:rPr>
          <w:rStyle w:val="Style1Char"/>
          <w:color w:val="auto"/>
          <w:sz w:val="22"/>
          <w:szCs w:val="22"/>
          <w:rtl/>
        </w:rPr>
        <w:t xml:space="preserve">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 </w:t>
      </w:r>
      <w:r w:rsidRPr="00EF64BD">
        <w:rPr>
          <w:rStyle w:val="Style1Char"/>
          <w:rFonts w:hint="cs"/>
          <w:rtl/>
        </w:rPr>
        <w:t>(</w:t>
      </w:r>
      <w:r>
        <w:rPr>
          <w:rStyle w:val="Style1Char"/>
          <w:rFonts w:hint="cs"/>
          <w:rtl/>
        </w:rPr>
        <w:t>3</w:t>
      </w:r>
      <w:r w:rsidRPr="00EF64BD">
        <w:rPr>
          <w:rStyle w:val="Style1Char"/>
          <w:rFonts w:hint="cs"/>
          <w:rtl/>
        </w:rPr>
        <w:t>)</w:t>
      </w:r>
      <w:r w:rsidRPr="00E401D5">
        <w:rPr>
          <w:rStyle w:val="Style1Char"/>
          <w:color w:val="auto"/>
          <w:sz w:val="22"/>
          <w:szCs w:val="22"/>
          <w:rtl/>
        </w:rPr>
        <w:t xml:space="preserve">ניסת - הבעל נותן לה מזונות, והן נותנין לה דמי מזונות. מתו - בנותיהן ניזונות מנכסים בני חורין, והיא ניזונת מנכסים משועבדים, מפני שהיא כבעלת חוב. </w:t>
      </w:r>
      <w:r w:rsidRPr="00EF64BD">
        <w:rPr>
          <w:rStyle w:val="Style1Char"/>
          <w:rFonts w:hint="cs"/>
          <w:rtl/>
        </w:rPr>
        <w:t>(</w:t>
      </w:r>
      <w:r>
        <w:rPr>
          <w:rStyle w:val="Style1Char"/>
          <w:rFonts w:hint="cs"/>
          <w:rtl/>
        </w:rPr>
        <w:t>4</w:t>
      </w:r>
      <w:r w:rsidRPr="00EF64BD">
        <w:rPr>
          <w:rStyle w:val="Style1Char"/>
          <w:rFonts w:hint="cs"/>
          <w:rtl/>
        </w:rPr>
        <w:t>)</w:t>
      </w:r>
      <w:r w:rsidRPr="00E401D5">
        <w:rPr>
          <w:rStyle w:val="Style1Char"/>
          <w:color w:val="auto"/>
          <w:sz w:val="22"/>
          <w:szCs w:val="22"/>
          <w:rtl/>
        </w:rPr>
        <w:t xml:space="preserve">הפקחים היו כותבים ע"מ שאזון את בתך חמש שנים כל זמן שאת עמי. </w:t>
      </w:r>
    </w:p>
    <w:p w14:paraId="40218182" w14:textId="77777777" w:rsidR="000231F5" w:rsidRPr="0087756C" w:rsidRDefault="000231F5" w:rsidP="000231F5">
      <w:pPr>
        <w:bidi/>
        <w:rPr>
          <w:rFonts w:ascii="Arial" w:hAnsi="Arial" w:cs="Arial"/>
          <w:color w:val="4472C4" w:themeColor="accent1"/>
          <w:sz w:val="16"/>
          <w:szCs w:val="16"/>
        </w:rPr>
      </w:pPr>
      <w:r w:rsidRPr="0087756C">
        <w:rPr>
          <w:rFonts w:ascii="Arial" w:hAnsi="Arial" w:cs="Arial"/>
          <w:color w:val="4472C4" w:themeColor="accent1"/>
          <w:sz w:val="16"/>
          <w:szCs w:val="16"/>
          <w:rtl/>
        </w:rPr>
        <w:t xml:space="preserve">ירושלמי תני זנה ה' שנים הראשונות בין ביוקר בין בזול היה ביוקר והוזלו אם הוא גרם נותן ביוקר ואם היא גרמה נותן בזול היה בזול והוקרו בין שהיא גרמה בין שהוא גרם נותן בזול פירוש אם היו המזונות ביוקר בחמש שנים הראשונות ולא נתן לה ואח"כ הוזלו אם הוא גרם שעיכב מליתן לה צריך ליתן לה כשעת היוקר אבל אם הראשונות היו בזול אינו חייב לשלם ביוקר אלא דמי אותן שנים כעין שגזל. תוספתא כתב לזון בת אשתו או בן אשתו הרי הן </w:t>
      </w:r>
      <w:r w:rsidRPr="0087756C">
        <w:rPr>
          <w:rFonts w:ascii="Arial" w:hAnsi="Arial" w:cs="Arial"/>
          <w:color w:val="4472C4" w:themeColor="accent1"/>
          <w:sz w:val="16"/>
          <w:szCs w:val="16"/>
          <w:rtl/>
        </w:rPr>
        <w:lastRenderedPageBreak/>
        <w:t>כבעל חוב והן קודמין לכל אדם לא יאמר להם צאו ועשו מלאכה ואני זן אתכם אלא הן יושבין ומעלה להן מזונות כתב לזון בת אשתו ושברה האשה לבעלה שכתבה לו שובר ופיצתה אותו ממזונות בתה לא הועיל לו כלום שזכין לקטן ואין חבין לו ירושלמי תמן תנינן בנן נוקבין דיהוויין ליכי מינאי תהוויין יתבן בביתי ומיתזנן מנכסי</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ותני עלה ומתכסין בכסותי</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מעשה ידי הבת של מי נשמעינה מן הדא נשאת הבעל חייב במזונותיה והן נותנין לה דמי מזונות</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הדא אמרה זנה ומעשה ידיה של בעלה אמר ר' אסי הדא אמרה הפוסק לזון כלתו זנה ומעשה ידיה של בנו ומה שהביא הירושלמי ראיה ממתניתין לבנן נוקבן לא דמי</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דמתניתין בחוב קא אכלה ובגמרא דידן לעיל</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מפרש טעמא בפ' נערה (דף מג א)</w:t>
      </w:r>
      <w:r w:rsidRPr="0087756C">
        <w:rPr>
          <w:rFonts w:ascii="Arial" w:hAnsi="Arial" w:cs="Arial"/>
          <w:color w:val="4472C4" w:themeColor="accent1"/>
          <w:sz w:val="16"/>
          <w:szCs w:val="16"/>
        </w:rPr>
        <w:t>:</w:t>
      </w:r>
    </w:p>
    <w:p w14:paraId="60723CB4" w14:textId="77777777" w:rsidR="000231F5" w:rsidRPr="0087756C" w:rsidRDefault="000231F5" w:rsidP="000231F5">
      <w:pPr>
        <w:bidi/>
        <w:rPr>
          <w:rFonts w:ascii="Arial" w:hAnsi="Arial" w:cs="Arial"/>
          <w:color w:val="4472C4" w:themeColor="accent1"/>
          <w:sz w:val="16"/>
          <w:szCs w:val="16"/>
        </w:rPr>
      </w:pPr>
      <w:r w:rsidRPr="0087756C">
        <w:rPr>
          <w:rFonts w:ascii="Arial" w:hAnsi="Arial" w:cs="Arial"/>
          <w:color w:val="4472C4" w:themeColor="accent1"/>
          <w:sz w:val="16"/>
          <w:szCs w:val="16"/>
          <w:rtl/>
        </w:rPr>
        <w:t>והן נותנין לה דמי מזונות ומסתברא דנותנין לה כל מזונותיה משלם ולא לפי ברכת הבית. ולא דמי לאלמנה שלא התנה אלא לזונה בביתו שכך כתב לה את תהא יתבא בביתי ומתזנא מנכסי ובאלמנה נמי כי אתיא בטענה נותנין לה מזונותיה משלם כדתנן (דף קג א) ואם היתה טוענת מפני שהיא ילדה והם ילדים זנים אותה והיא בבית אביה כל שכן זו שעיקר תנאה אינו אלא בבית אמה. מפני שהיא כבעלת חוב פי' כבעל חוב לגבות מן המשועבדים ולא כבעלת חוב ממש שאם מתה אינו משלם ליורשיה והכי איתא בירושלמי חלתה כמי שנשאת מתה כבר מתה הפקחין היו כותבין כל זמן שאת עמי</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מסתבר שאם גירשה והחזירה כבר נתבטל תנאו ואין לה עליו מזונות דכל זמן שאת עמי מנישואין אלו קאמר והכי איתא בירושלמי כל זמן שאת עמי מתה אינה עמו נתגרשה אינה עמו והירושלמי נראה לי דאינו ראיה לכאן דלא איירי בהחזירה דומיא דמתה כתב ה"ר מאיר הלוי ז"ל דהני מזונות דמתניתין (לעיל דף סד) לא מיחייב למיתב לה אלא במשרה אשתו ע"י שליש ואפי' בעשיר שבישראל לא מיחייב למיתב לה לפי כבודו דכי אמרינן (לעיל מח א סא א) עולה עמו ואינה יורדת עמו הני מילי לגבי אשתו אבל לגבי בתה לא ולא תימא הני מילי דאיהי גופה הויא ענייה אבל אם היתה עשירה חייב לזונה לפי כבודה אלא אפי' עשירה נמי אינו חייב לזונה אלא בפחות שבמזונות דכי אמרינן הכי הני מילי לגבי אשתו דבתנאי ב"ד קא אכלה אבל בת אשתו דאיהו חייב נפשיה יד בעל השטר על התחתונה ונותן לה בפחות שבמזונות ולא נהירא לי דמי שנותן מעות לבעל הבית כדי לפרנסו או עושה לו טובת הנאה כדי לפרנסו כי הך דמתני' מסתמא דעתו שיתפרנס כאחד מבני ביתו ולא שיתנהו לרע מכל בני הבית שיהיו הם אוכלים בשר ושותין יין והוא יאכל זרעונים וישתה מים ולא נתנו חכמים קצבה למזונות אלא במשרה ע"י שליש אבל כשהיא אצלו מתגלגלת עמו במה שהוא סועד הן רב הן מעט ומצינו במזון פועלים (ב"מ דף פג א) שהחמיר רבי מתיא בן חרש ואמר אפי' אתה עושה להם כסעודת שלמה אי אתה יוצא ידי חובתך ורבי שמעון בן גמליאל אומר הכל כמנהג המדינה וגם זה מנהג שאדם משוה חלק אוכלי שלחנו וגם מצינו שהחמירה תורה על האדם במזון הנלוים אליו שייטיב להם עמו במאכל ובמשתה הלכך המתחייב בפרנסת אדם מחוייב לפרנסו כשאר אנשי ביתו. ואם חלתה אינו חייב לרפאותה ואף על גב דאמרי' (לעיל נב ב) במזון האשה דרפואה שאין לה קצבה הרי הן כמזונות הני מילי באוכלת בתנאי ב"ד שהוא מחוייב להספיק כל צרכיה</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אבל המקבל עליו לפרנס אין הרפואה בכלל. הא דאמרינן במתני' אחד זנה ואחד נותן לה דמי מזונות אם מתה האם או גרשה בעלה השני שניהן חייבין לזונה ואם כל אחד מהם אומר אני זנה עמי ואיני רוצה ליתן דמים כתב ה"ר מאיר הלוי ז"ל שהדבר תלוי בה אצל מי היא רוצה להיות וכן מסתבר</w:t>
      </w:r>
      <w:r w:rsidRPr="0087756C">
        <w:rPr>
          <w:rFonts w:ascii="Arial" w:hAnsi="Arial" w:cs="Arial"/>
          <w:color w:val="4472C4" w:themeColor="accent1"/>
          <w:sz w:val="16"/>
          <w:szCs w:val="16"/>
        </w:rPr>
        <w:t xml:space="preserve">: </w:t>
      </w:r>
    </w:p>
    <w:p w14:paraId="198FB57C" w14:textId="2DA9A380" w:rsidR="000231F5" w:rsidRDefault="000231F5" w:rsidP="000231F5">
      <w:pPr>
        <w:bidi/>
        <w:rPr>
          <w:rStyle w:val="Style1Char"/>
          <w:color w:val="00B050"/>
          <w:rtl/>
        </w:rPr>
      </w:pPr>
      <w:r w:rsidRPr="007C5356">
        <w:rPr>
          <w:rStyle w:val="Style1Char"/>
          <w:color w:val="auto"/>
          <w:sz w:val="22"/>
          <w:szCs w:val="22"/>
          <w:rtl/>
        </w:rPr>
        <w:t xml:space="preserve">גמ'. אתמר: האומר לחבירו חייב אני לך מנה, </w:t>
      </w:r>
      <w:r w:rsidRPr="00EF64BD">
        <w:rPr>
          <w:rStyle w:val="Style1Char"/>
          <w:rFonts w:hint="cs"/>
          <w:rtl/>
        </w:rPr>
        <w:t>(</w:t>
      </w:r>
      <w:r>
        <w:rPr>
          <w:rStyle w:val="Style1Char"/>
          <w:rFonts w:hint="cs"/>
          <w:rtl/>
        </w:rPr>
        <w:t>5</w:t>
      </w:r>
      <w:r w:rsidRPr="00EF64BD">
        <w:rPr>
          <w:rStyle w:val="Style1Char"/>
          <w:rFonts w:hint="cs"/>
          <w:rtl/>
        </w:rPr>
        <w:t>)</w:t>
      </w:r>
      <w:r w:rsidRPr="007C5356">
        <w:rPr>
          <w:rStyle w:val="Style1Char"/>
          <w:color w:val="auto"/>
          <w:sz w:val="22"/>
          <w:szCs w:val="22"/>
          <w:rtl/>
        </w:rPr>
        <w:t xml:space="preserve">רבי יוחנן אמר: חייב, ור"ל אמר: פטור. ה"ד? אי דאמר להו אתם עדיי, מ"ט דר"ל דקפטר? אי דלא אמר להו אתם עדיי, מ"ט דרבי יוחנן דקמחייב? לעולם דלא קאמר להו אתם עדיי, והכא במאי עסקינן - </w:t>
      </w:r>
      <w:r w:rsidRPr="00EF64BD">
        <w:rPr>
          <w:rStyle w:val="Style1Char"/>
          <w:rFonts w:hint="cs"/>
          <w:rtl/>
        </w:rPr>
        <w:t>(</w:t>
      </w:r>
      <w:r>
        <w:rPr>
          <w:rStyle w:val="Style1Char"/>
          <w:rFonts w:hint="cs"/>
          <w:rtl/>
        </w:rPr>
        <w:t>5</w:t>
      </w:r>
      <w:r w:rsidRPr="00EF64BD">
        <w:rPr>
          <w:rStyle w:val="Style1Char"/>
          <w:rFonts w:hint="cs"/>
          <w:rtl/>
        </w:rPr>
        <w:t>)</w:t>
      </w:r>
      <w:r w:rsidRPr="007C5356">
        <w:rPr>
          <w:rStyle w:val="Style1Char"/>
          <w:color w:val="auto"/>
          <w:sz w:val="22"/>
          <w:szCs w:val="22"/>
          <w:rtl/>
        </w:rPr>
        <w:t>דא"ל חייב אני לך מנה בשטר, רבי יוחנן אמר: חייב, אלימא מילתא דשטרא כמאן דאמר להו אתם עדים</w:t>
      </w:r>
      <w:r w:rsidRPr="007C5356">
        <w:rPr>
          <w:rStyle w:val="Style1Char"/>
          <w:color w:val="auto"/>
          <w:rtl/>
        </w:rPr>
        <w:t xml:space="preserve"> </w:t>
      </w:r>
      <w:r w:rsidRPr="00853299">
        <w:rPr>
          <w:rStyle w:val="Style1Char"/>
          <w:color w:val="00B050"/>
          <w:rtl/>
        </w:rPr>
        <w:t>דמי</w:t>
      </w:r>
      <w:r w:rsidRPr="006557E4">
        <w:rPr>
          <w:rStyle w:val="Style1Char"/>
          <w:sz w:val="22"/>
          <w:szCs w:val="22"/>
          <w:rtl/>
        </w:rPr>
        <w:t xml:space="preserve">; </w:t>
      </w:r>
      <w:r w:rsidRPr="00C67D2F">
        <w:rPr>
          <w:rStyle w:val="Style1Char"/>
          <w:color w:val="auto"/>
          <w:sz w:val="22"/>
          <w:szCs w:val="22"/>
          <w:rtl/>
        </w:rPr>
        <w:t>ר"ל אמר: פטור, לא אלימא מילתא דשטרא</w:t>
      </w:r>
      <w:r w:rsidRPr="00C67D2F">
        <w:rPr>
          <w:rFonts w:ascii="Arial" w:hAnsi="Arial" w:cs="Arial"/>
          <w:sz w:val="16"/>
          <w:szCs w:val="16"/>
          <w:rtl/>
        </w:rPr>
        <w:t xml:space="preserve"> </w:t>
      </w:r>
      <w:r w:rsidRPr="00C67D2F">
        <w:rPr>
          <w:rFonts w:ascii="Arial" w:hAnsi="Arial" w:cs="Arial"/>
          <w:color w:val="806000" w:themeColor="accent4" w:themeShade="80"/>
          <w:rtl/>
        </w:rPr>
        <w:t xml:space="preserve">והלכתא כר' יוחנן </w:t>
      </w:r>
      <w:r w:rsidRPr="0087756C">
        <w:rPr>
          <w:rFonts w:ascii="Arial" w:hAnsi="Arial" w:cs="Arial"/>
          <w:color w:val="4472C4" w:themeColor="accent1"/>
          <w:sz w:val="16"/>
          <w:szCs w:val="16"/>
          <w:rtl/>
        </w:rPr>
        <w:t xml:space="preserve">רש"י פירש דחייב אני לך מנה בשטר בהודאה איירי בלא חתימת ידו </w:t>
      </w:r>
      <w:r>
        <w:rPr>
          <w:rFonts w:ascii="Arial" w:hAnsi="Arial" w:cs="Arial" w:hint="cs"/>
          <w:color w:val="4472C4" w:themeColor="accent1"/>
          <w:sz w:val="16"/>
          <w:szCs w:val="16"/>
        </w:rPr>
        <w:t>‍‍</w:t>
      </w:r>
      <w:r w:rsidRPr="0087756C">
        <w:rPr>
          <w:rFonts w:ascii="Arial" w:hAnsi="Arial" w:cs="Arial"/>
          <w:color w:val="4472C4" w:themeColor="accent1"/>
          <w:sz w:val="16"/>
          <w:szCs w:val="16"/>
          <w:rtl/>
        </w:rPr>
        <w:t>ורבינו תם פירש דלא איירי בהודאה אלא בשכתב לו בכתב ידו אני פלוני חייב לך מנה ומשעבד עצמו להתחייב לו מנה בזה השטר ר' יוחנן סבר אלימא מלתא דשטרא להתחייב לו ממון כאילו הודה לו בפני עדים ואמר אתם עדיי ואין לתמוה היאך מתחייב בשטר זה הא אין מטלטלין נקנין בשטר דהואיל וטרח למיכתב בלישנא דחיובא גמר ומשעבד נפשיה שהרי אפי' באמירה בעלמא יש דברים שנקנין כדאמרי'</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בסמוך והכא נמי מתוך שטרח ליתן לו בשטר גמר ומקני דמטלטלין המיוחדין אינן נקנין אלא במשיכה אבל שעבוד וחוב מהני בשטר וכן פי' רב אלפס ז"ל שכתב </w:t>
      </w:r>
      <w:r w:rsidRPr="00310E4C">
        <w:rPr>
          <w:rFonts w:ascii="Arial" w:hAnsi="Arial" w:cs="Arial"/>
          <w:color w:val="806000" w:themeColor="accent4" w:themeShade="80"/>
          <w:rtl/>
        </w:rPr>
        <w:t>ומדמקשינן עליה דר"ל ממתני'</w:t>
      </w:r>
      <w:r w:rsidRPr="00853299">
        <w:rPr>
          <w:rStyle w:val="Style1Char"/>
          <w:color w:val="00B050"/>
          <w:rtl/>
        </w:rPr>
        <w:t xml:space="preserve">. </w:t>
      </w:r>
      <w:r w:rsidRPr="00AD4A0E">
        <w:rPr>
          <w:rStyle w:val="Style1Char"/>
          <w:rFonts w:hint="cs"/>
          <w:color w:val="806000" w:themeColor="accent4" w:themeShade="80"/>
          <w:sz w:val="22"/>
          <w:szCs w:val="22"/>
          <w:rtl/>
        </w:rPr>
        <w:t>ד</w:t>
      </w:r>
      <w:r w:rsidRPr="00AD4A0E">
        <w:rPr>
          <w:rStyle w:val="Style1Char"/>
          <w:color w:val="auto"/>
          <w:sz w:val="22"/>
          <w:szCs w:val="22"/>
          <w:rtl/>
        </w:rPr>
        <w:t>תנן</w:t>
      </w:r>
      <w:r w:rsidRPr="00853299">
        <w:rPr>
          <w:rStyle w:val="Style1Char"/>
          <w:color w:val="00B050"/>
          <w:rtl/>
        </w:rPr>
        <w:t xml:space="preserve">: </w:t>
      </w:r>
      <w:r w:rsidRPr="00AD4A0E">
        <w:rPr>
          <w:rStyle w:val="Style1Char"/>
          <w:color w:val="auto"/>
          <w:sz w:val="22"/>
          <w:szCs w:val="22"/>
          <w:rtl/>
        </w:rPr>
        <w:t xml:space="preserve">הנושא את האשה, ופסקה עמו לזון את בתה חמש שנים </w:t>
      </w:r>
      <w:r w:rsidRPr="00853299">
        <w:rPr>
          <w:rStyle w:val="Style1Char"/>
          <w:color w:val="00B050"/>
          <w:rtl/>
        </w:rPr>
        <w:t>- חייב לזונה חמש שנים</w:t>
      </w:r>
      <w:r w:rsidRPr="00C352BF">
        <w:rPr>
          <w:rFonts w:ascii="Arial" w:hAnsi="Arial" w:cs="Arial"/>
          <w:color w:val="C00000"/>
          <w:sz w:val="16"/>
          <w:szCs w:val="16"/>
          <w:rtl/>
        </w:rPr>
        <w:t xml:space="preserve"> </w:t>
      </w:r>
      <w:r w:rsidRPr="00AD4A0E">
        <w:rPr>
          <w:rFonts w:ascii="Arial" w:hAnsi="Arial" w:cs="Arial"/>
          <w:color w:val="806000" w:themeColor="accent4" w:themeShade="80"/>
          <w:rtl/>
        </w:rPr>
        <w:t>דלית לה גביה מעיקרא ולא מידי אלא איהו חייב נפשיה במילתא דלא הוה מיחייב ביה</w:t>
      </w:r>
      <w:r w:rsidRPr="009508CD">
        <w:rPr>
          <w:rFonts w:ascii="Arial" w:hAnsi="Arial" w:cs="Arial"/>
          <w:color w:val="4472C4" w:themeColor="accent1"/>
          <w:sz w:val="16"/>
          <w:szCs w:val="16"/>
          <w:rtl/>
        </w:rPr>
        <w:t xml:space="preserve"> </w:t>
      </w:r>
      <w:r w:rsidRPr="009508CD">
        <w:rPr>
          <w:rFonts w:ascii="Arial" w:hAnsi="Arial" w:cs="Arial"/>
          <w:color w:val="4472C4" w:themeColor="accent1"/>
          <w:rtl/>
        </w:rPr>
        <w:t>מעיקרא</w:t>
      </w:r>
      <w:r w:rsidRPr="00853299">
        <w:rPr>
          <w:rStyle w:val="Style1Char"/>
          <w:color w:val="00B050"/>
          <w:rtl/>
        </w:rPr>
        <w:t xml:space="preserve">; מאי לאו כי האי גוונא! </w:t>
      </w:r>
    </w:p>
    <w:p w14:paraId="5FF242EF" w14:textId="17C6C997" w:rsidR="00FC7D10" w:rsidRDefault="00FC7D10" w:rsidP="00FC7D10">
      <w:pPr>
        <w:pStyle w:val="Style1"/>
        <w:rPr>
          <w:rStyle w:val="Style1Char"/>
          <w:rtl/>
        </w:rPr>
      </w:pPr>
      <w:r>
        <w:rPr>
          <w:rStyle w:val="Style1Char"/>
          <w:rFonts w:hint="cs"/>
          <w:rtl/>
        </w:rPr>
        <w:t>1)[</w:t>
      </w:r>
      <w:r w:rsidRPr="00FC7D10">
        <w:rPr>
          <w:rStyle w:val="Style1Char"/>
          <w:rtl/>
        </w:rPr>
        <w:t>רמב</w:t>
      </w:r>
      <w:r w:rsidR="00213DA1">
        <w:rPr>
          <w:rStyle w:val="Style1Char"/>
          <w:rtl/>
        </w:rPr>
        <w:t>”ם \נשים\</w:t>
      </w:r>
      <w:r w:rsidRPr="00FC7D10">
        <w:rPr>
          <w:rStyle w:val="Style1Char"/>
          <w:rtl/>
        </w:rPr>
        <w:t xml:space="preserve"> הלכות אישות פרק כג הלכה יז</w:t>
      </w:r>
      <w:r>
        <w:rPr>
          <w:rStyle w:val="Style1Char"/>
          <w:rFonts w:hint="cs"/>
          <w:rtl/>
        </w:rPr>
        <w:t xml:space="preserve">] </w:t>
      </w:r>
      <w:r w:rsidRPr="00FC7D10">
        <w:rPr>
          <w:rStyle w:val="Style1Char"/>
          <w:rtl/>
        </w:rPr>
        <w:t>הנושא את האשה ופסקה עמו שיהיה זן את בתה כך וכך שנים חייב לזון אותם שנים שקיבל על עצמו והוא שיתנו על דבר זה בשעת קידושין, אבל שלא בשעת קידושין עד שיקנו מידו או עד שיכתוב בשטר וכיוצא בו כמו שיתבאר בהלכות מקח וממכר. נתגרשה בתוך השנים שקיבל על עצמו לזון את בתה ונשאת לאחר ופסקה עמו שיהיה זן אותה הבת כך וכך שנים לא יאמר הראשון אם תבוא לביתי אזונה אלא מוליך מזונותיה למקום שהיא שם אמה, וכן לא יאמרו שניהם הרי אנו זנין אותה כאחת אלא אחד זנה ואחד נותן לה דמי מזונות.</w:t>
      </w:r>
    </w:p>
    <w:p w14:paraId="307D9E45" w14:textId="32E0648A" w:rsidR="0015606B" w:rsidRDefault="0015606B" w:rsidP="0015606B">
      <w:pPr>
        <w:pStyle w:val="Style1"/>
        <w:rPr>
          <w:rStyle w:val="Style1Char"/>
          <w:rtl/>
        </w:rPr>
      </w:pPr>
      <w:r>
        <w:rPr>
          <w:rStyle w:val="Style1Char"/>
          <w:rFonts w:hint="cs"/>
          <w:rtl/>
        </w:rPr>
        <w:t>1)[</w:t>
      </w:r>
      <w:r w:rsidRPr="0015606B">
        <w:rPr>
          <w:rStyle w:val="Style1Char"/>
          <w:rtl/>
        </w:rPr>
        <w:t>רמב</w:t>
      </w:r>
      <w:r w:rsidR="00786216">
        <w:rPr>
          <w:rStyle w:val="Style1Char"/>
          <w:rtl/>
        </w:rPr>
        <w:t>”ם \מכירה\</w:t>
      </w:r>
      <w:r w:rsidRPr="0015606B">
        <w:rPr>
          <w:rStyle w:val="Style1Char"/>
          <w:rtl/>
        </w:rPr>
        <w:t xml:space="preserve"> הלכות מכירה פרק יא הלכה טז</w:t>
      </w:r>
      <w:r>
        <w:rPr>
          <w:rStyle w:val="Style1Char"/>
          <w:rFonts w:hint="cs"/>
          <w:rtl/>
        </w:rPr>
        <w:t xml:space="preserve">] </w:t>
      </w:r>
      <w:r w:rsidRPr="0015606B">
        <w:rPr>
          <w:rStyle w:val="Style1Char"/>
          <w:rtl/>
        </w:rPr>
        <w:t>חייב עצמו בדבר שאינו קצוב, כגון שאמר הריני חייב לזון אותך או לכסות חמש שנים, אף על פי שקנו מידו לא נשתעבד, שזו כמו מתנה היא ואין כאן דבר ידוע ומצוי שנתנו במתנה, וכן הורו רבותי. /השגת הראב"ד/ בדבר שאינו וכו'. א"א רבותיו הורו ולא ידעתי מאין הורו שהרי בגמ' הקשו מאותה משנה לריש לקיש וסייעו לרבי יוחנן והיו סבורין שאינם כשטרי פסיקאתא ור"ל הוא שמעמיד אותה בכך וכשתעיין יפה הכל דרך אחד עכ"ל.</w:t>
      </w:r>
    </w:p>
    <w:p w14:paraId="7B6AAEEA" w14:textId="274D3E10" w:rsidR="004F4D3C" w:rsidRDefault="004F4D3C" w:rsidP="004F4D3C">
      <w:pPr>
        <w:pStyle w:val="Style1"/>
        <w:rPr>
          <w:rStyle w:val="Style1Char"/>
          <w:rtl/>
        </w:rPr>
      </w:pPr>
      <w:r>
        <w:rPr>
          <w:rStyle w:val="Style1Char"/>
          <w:rFonts w:hint="cs"/>
          <w:rtl/>
        </w:rPr>
        <w:t>1)[</w:t>
      </w:r>
      <w:r w:rsidRPr="004F4D3C">
        <w:rPr>
          <w:rStyle w:val="Style1Char"/>
          <w:rtl/>
        </w:rPr>
        <w:t>רמב</w:t>
      </w:r>
      <w:r w:rsidR="00786216">
        <w:rPr>
          <w:rStyle w:val="Style1Char"/>
          <w:rtl/>
        </w:rPr>
        <w:t>”ם \מכירה\</w:t>
      </w:r>
      <w:r w:rsidRPr="004F4D3C">
        <w:rPr>
          <w:rStyle w:val="Style1Char"/>
          <w:rtl/>
        </w:rPr>
        <w:t xml:space="preserve"> הלכות מכירה פרק יא הלכה יז</w:t>
      </w:r>
      <w:r>
        <w:rPr>
          <w:rStyle w:val="Style1Char"/>
          <w:rFonts w:hint="cs"/>
          <w:rtl/>
        </w:rPr>
        <w:t xml:space="preserve">] </w:t>
      </w:r>
      <w:r w:rsidRPr="004F4D3C">
        <w:rPr>
          <w:rStyle w:val="Style1Char"/>
          <w:rtl/>
        </w:rPr>
        <w:t>ומפני מה הפוסק עם אשתו שיהיה זן את בתה חייב לזונה, מפני שפסק בשעת נשואין והדבר דומה לדברים הנקנין באמירה.</w:t>
      </w:r>
    </w:p>
    <w:p w14:paraId="393225B2" w14:textId="508B965D" w:rsidR="000231F5" w:rsidRDefault="00D415DD" w:rsidP="00D415DD">
      <w:pPr>
        <w:pStyle w:val="Style1"/>
        <w:rPr>
          <w:rtl/>
        </w:rPr>
      </w:pPr>
      <w:r>
        <w:rPr>
          <w:rStyle w:val="Style1Char"/>
          <w:rFonts w:hint="cs"/>
          <w:rtl/>
        </w:rPr>
        <w:t>1)[</w:t>
      </w:r>
      <w:r w:rsidRPr="00D415DD">
        <w:rPr>
          <w:rStyle w:val="Style1Char"/>
          <w:rtl/>
        </w:rPr>
        <w:t>שולחן ערוך אבן העזר הלכות כתובות סימן קיד סעיף א</w:t>
      </w:r>
      <w:r>
        <w:rPr>
          <w:rStyle w:val="Style1Char"/>
          <w:rFonts w:hint="cs"/>
          <w:rtl/>
        </w:rPr>
        <w:t>]</w:t>
      </w:r>
      <w:r w:rsidR="00213B6D">
        <w:rPr>
          <w:rStyle w:val="Style1Char"/>
          <w:rFonts w:hint="cs"/>
          <w:rtl/>
        </w:rPr>
        <w:t xml:space="preserve"> </w:t>
      </w:r>
      <w:r w:rsidR="00213B6D" w:rsidRPr="00213B6D">
        <w:rPr>
          <w:rtl/>
        </w:rPr>
        <w:t>הנושא אשה, ופסקה עמו לזון את בתה חמש שנים, חיב לזונה במאכל ובמשקה חמש שנים הראשונים שאחר הנשואין, בין אם המזונות ביקר או בזול. ואם לא זנה בהם, והוזלו המזונות, אם הוא עכב צריך לפרע לה כזמן היקר. ואם היא עכבה, אינו נותן לה אלא בזמן הזול. ואם היו בזול והוקרו, אפלו אם עכב הוא, אינו נותן לה אלא כדמי הזול</w:t>
      </w:r>
      <w:r w:rsidR="00213B6D" w:rsidRPr="00213B6D">
        <w:t>:</w:t>
      </w:r>
    </w:p>
    <w:p w14:paraId="1E866B2E" w14:textId="44E885D5" w:rsidR="00496BA4" w:rsidRPr="001F55D2" w:rsidRDefault="00496BA4" w:rsidP="001F55D2">
      <w:pPr>
        <w:pStyle w:val="Style1"/>
      </w:pPr>
      <w:r>
        <w:rPr>
          <w:rFonts w:hint="cs"/>
          <w:rtl/>
        </w:rPr>
        <w:t>1)[</w:t>
      </w:r>
      <w:r>
        <w:rPr>
          <w:rtl/>
        </w:rPr>
        <w:t>טור חושן משפט הלכות מקח וממכר סימן רז</w:t>
      </w:r>
      <w:r>
        <w:rPr>
          <w:rFonts w:hint="cs"/>
          <w:rtl/>
        </w:rPr>
        <w:t>]</w:t>
      </w:r>
      <w:r w:rsidR="001F55D2">
        <w:rPr>
          <w:rFonts w:hint="cs"/>
          <w:rtl/>
        </w:rPr>
        <w:t xml:space="preserve"> </w:t>
      </w:r>
      <w:r w:rsidRPr="001F55D2">
        <w:rPr>
          <w:rtl/>
        </w:rPr>
        <w:t>הלכות מוכר על תנאי ודיני אסמכתא:</w:t>
      </w:r>
    </w:p>
    <w:p w14:paraId="25CA76E4" w14:textId="19D994D4" w:rsidR="00496BA4" w:rsidRDefault="001F55D2" w:rsidP="00496BA4">
      <w:pPr>
        <w:pStyle w:val="Style1"/>
      </w:pPr>
      <w:r>
        <w:rPr>
          <w:rFonts w:hint="cs"/>
          <w:rtl/>
        </w:rPr>
        <w:t xml:space="preserve">א </w:t>
      </w:r>
      <w:r w:rsidR="00496BA4">
        <w:rPr>
          <w:rtl/>
        </w:rPr>
        <w:t>המקנה לחבירו בין קרקע בין מטלטלין על תנאי שאפשר לקיימו אם יתקיים התנאי נתקיים המקח שהוקנה לא נתקיים התנאי לא נתקיים המקח וכתב הרמב"ם בין שהתנה מקנה או הקונה ע"כ:</w:t>
      </w:r>
    </w:p>
    <w:p w14:paraId="633FBEA0" w14:textId="009D460E" w:rsidR="00496BA4" w:rsidRDefault="00496BA4" w:rsidP="00496BA4">
      <w:pPr>
        <w:pStyle w:val="Style1"/>
      </w:pPr>
      <w:r>
        <w:rPr>
          <w:rtl/>
        </w:rPr>
        <w:t>ב וצריך לחלק בדבר שאם התנה המוכר בתנאי שהוא לטובת הלוקח אין זה תנאי כההוא דזבין ארעא לחבריה שלא באחריות ובתר הכי א"ל מוכר ללוקח אם יטרפוה מינך מגבינא לך שופרא שבחא ופירי דאסיקנא דלא הוי תנאה שהלוקח היה צריך שיתנה זה התנאי ומיהו כתב א"א הרא"ש דווקא שבתחילת הקנין</w:t>
      </w:r>
      <w:r w:rsidR="00450997">
        <w:rPr>
          <w:rFonts w:hint="cs"/>
          <w:rtl/>
        </w:rPr>
        <w:t xml:space="preserve"> </w:t>
      </w:r>
      <w:r>
        <w:rPr>
          <w:rtl/>
        </w:rPr>
        <w:t>פסקו שלא באחריות ועדיין לא נגמר המקח כגון שנתן המעות ולא כתבו השטר ובאתרא דקנו בשטרא וכיוצא באלו בכי האי גוונא כיון שנתרצה הלוקח בתחילת המקח ליקח שלא באחריות אף ע"פ שאמר לו המוכר אח"כ קודם שנגמר המקח שמקבל עליו אחריות אינו תנאי כיון שלא התנה הלוקח תנאו אמרינן שלא חשש עליו אבל אם בתחילת המכר אמר המוכר ללוקח קני לך שדי ואי טרפי לה מינך מגבינא לך שופרא וכו' הוי תנאי גמור אף על פי שהלוקח צריך לתנאי ומוכר התנה אותו כי בודאי לא נתכוון לוקח לקנות אלא כפי מה שפירש לו המוכר:</w:t>
      </w:r>
    </w:p>
    <w:p w14:paraId="1F80EA00" w14:textId="77777777" w:rsidR="00496BA4" w:rsidRDefault="00496BA4" w:rsidP="00496BA4">
      <w:pPr>
        <w:pStyle w:val="Style1"/>
      </w:pPr>
      <w:r>
        <w:rPr>
          <w:rtl/>
        </w:rPr>
        <w:t>ג ואין התנאי מבטל המקח אא"כ התנה בכל דיני התנאי בתנאי כפול ככל משפטיו כאשר פירשתי בספר אבן העזר:</w:t>
      </w:r>
    </w:p>
    <w:p w14:paraId="2F9DCEBA" w14:textId="77777777" w:rsidR="00496BA4" w:rsidRDefault="00496BA4" w:rsidP="00496BA4">
      <w:pPr>
        <w:pStyle w:val="Style1"/>
      </w:pPr>
      <w:r>
        <w:rPr>
          <w:rtl/>
        </w:rPr>
        <w:lastRenderedPageBreak/>
        <w:t>ד ומיהו יש דבר שאין צריך אפילו להתנות אלא כיון שאומר שלדעת כן מוכר הוה ליה כאילו התנה כההוא דזבין לנכסיה אדעתא למיסק לארעא דישראל ולא אמר כלום בשעת המכר ולא עלה ואסיקנא שם שהמקח קיים משום דהויא דברים שבלב כיון שלא אמר בשעת המכר כלום אבל אי אמר בשעת המכר שלדעת כן הוא מוכר ולא עלה לא נתקיים המקח אף על פי שלא התנה בפירוש:</w:t>
      </w:r>
    </w:p>
    <w:p w14:paraId="54108F69" w14:textId="77777777" w:rsidR="00496BA4" w:rsidRDefault="00496BA4" w:rsidP="00496BA4">
      <w:pPr>
        <w:pStyle w:val="Style1"/>
      </w:pPr>
      <w:r>
        <w:rPr>
          <w:rtl/>
        </w:rPr>
        <w:t>ה ופירש רש"י דדוקא במוכר קרקעותיו לפי שאין דרך בני אדם למכור קרקעות שהוא מתפרנס מהם אם לא שהיה דעתו לעקור דירתו מכאן אבל מכר כל מטלטליו אפילו אי אמר בשעת המכר על דעת לילך לא"י ולא הלך המקח קיים אם לא שהתנה לפי שפעמים אדם מוכר מטלטלין אפי' אם דעתו לישאר כאן:</w:t>
      </w:r>
    </w:p>
    <w:p w14:paraId="1A5A80D2" w14:textId="77777777" w:rsidR="00496BA4" w:rsidRDefault="00496BA4" w:rsidP="00496BA4">
      <w:pPr>
        <w:pStyle w:val="Style1"/>
      </w:pPr>
      <w:r>
        <w:rPr>
          <w:rtl/>
        </w:rPr>
        <w:t>ו ואם פירש בשעת המכר על דעת לדור במקום פלוני והלך לשם וצר לו המקום מלדור שם המקח קיים כיון שעלה ואם יארע לו סכנה בדרך שאינו רשאי לילך שם אלא בחבורה המכר בטל שלא היה בדעתו אלא על תנאי שיוכל לילך שם בלא שום אונס וכיון שאינו יכול לילך בלא חבורה הוי אונס:</w:t>
      </w:r>
    </w:p>
    <w:p w14:paraId="1D0CAB51" w14:textId="77777777" w:rsidR="00496BA4" w:rsidRDefault="00496BA4" w:rsidP="00496BA4">
      <w:pPr>
        <w:pStyle w:val="Style1"/>
      </w:pPr>
      <w:r>
        <w:rPr>
          <w:rtl/>
        </w:rPr>
        <w:t>ז וכן הדין נמי במוכר חפץ לקנות בדמיו דבר ידוע ולא איצטריכו ליה זוזי אם אמר בשעת מכר שלדעת כן הוא מוכר המכר בטל אף על פי שלא התנה ואם לא אמר הוי דברים שבלב והמקח קיים וכתב ר"ח דוקא במוכר קרקע הוא דהוי האי דינא אבל לא במטלטלין אלא כיון שמשך קנה ושוב אין המוכר יכול לבטלו ודוקא דלא אצטריכו ליה זוזי משום דבר שנתחדש אח"כ כההיא בצורתא דהוה בנהרדעא זבינהו לאפדנייהו למיזבן חטי ולבסוף אתו וזלו חטי או שמכר נכסים לקנות דבר ידוע ואח"כ חזר בו המוכר ולא רצה למוכרה לו אבל אם הוא בעצמו חזר בו ולא רצה לקנות אותו הדבר שמכר נכסיו בשבילו כדי לקנותו המקח קיים:</w:t>
      </w:r>
    </w:p>
    <w:p w14:paraId="0A1510A8" w14:textId="77777777" w:rsidR="00496BA4" w:rsidRDefault="00496BA4" w:rsidP="00496BA4">
      <w:pPr>
        <w:pStyle w:val="Style1"/>
      </w:pPr>
      <w:r>
        <w:rPr>
          <w:rtl/>
        </w:rPr>
        <w:t>ח כתב הרמב"ם מי שהקנה לחבירו והתנה עליו על מנת שתתן מקח זה או תמכרנו לפלוני אם מכרו אם נתנו לאותו פלוני קנה ואם לא קיים התנאי אלא מכרו לאחר או שלא מכרו או נתנו בזמן שקבע לו לא קנה:</w:t>
      </w:r>
    </w:p>
    <w:p w14:paraId="652CA26B" w14:textId="77777777" w:rsidR="00496BA4" w:rsidRDefault="00496BA4" w:rsidP="00496BA4">
      <w:pPr>
        <w:pStyle w:val="Style1"/>
      </w:pPr>
      <w:r>
        <w:rPr>
          <w:rtl/>
        </w:rPr>
        <w:t>ט מכר קרקע והתנה המוכר שיחזירנו לו כשיהיה לו המעות צריך להחזירו לו כשיביא לו מעותיו לפיכך אסור לו ללוקח לאכול הפירות דהוי להו הנך זוזי כהלואה גביה:</w:t>
      </w:r>
    </w:p>
    <w:p w14:paraId="7C5FD535" w14:textId="77777777" w:rsidR="00496BA4" w:rsidRDefault="00496BA4" w:rsidP="00496BA4">
      <w:pPr>
        <w:pStyle w:val="Style1"/>
      </w:pPr>
      <w:r>
        <w:rPr>
          <w:rtl/>
        </w:rPr>
        <w:t>י אבל אם אמר הלוקח מעצמו אחזירנו לך כשתרצה או לאחר שהתנה עליו המוכר השיב הלוקח כן אעשה אם לא תשתנה דעתי אבל אם תשתנה דעתי ולא ארצה להחזירה איני מתחייב להחזירה אין כאן תנאי לפיכך יכול הלוקח לאכול פירות שאף אם יחזירנו לו אח"כ הוי כמוכרו לו מעתה:</w:t>
      </w:r>
    </w:p>
    <w:p w14:paraId="03835981" w14:textId="08B92F03" w:rsidR="00496BA4" w:rsidRDefault="00496BA4" w:rsidP="00496BA4">
      <w:pPr>
        <w:pStyle w:val="Style1"/>
      </w:pPr>
      <w:r>
        <w:rPr>
          <w:rtl/>
        </w:rPr>
        <w:t>יא לשון הרמב"ם ז"ל מכר לו סתם ואמר לו הלוקח מדעתו כשיהיה לך מעות תביאם ואני אחזיר לך הקרקע הרי זה תנאו קיים והלוקח אוכל פירות ואין זה אבק רבית שהרי מדעתו חייב את עצמו לתנאי זה ע"כ ואיני מבין דבריו כיון שמחשיב אותו תנאי וצריך הלוקח לקיימו א"כ היאך יאכל הפירות אלא ודאי אין כאן תנאי כלל:</w:t>
      </w:r>
    </w:p>
    <w:p w14:paraId="610D5818" w14:textId="77777777" w:rsidR="00496BA4" w:rsidRDefault="00496BA4" w:rsidP="00496BA4">
      <w:pPr>
        <w:pStyle w:val="Style1"/>
      </w:pPr>
      <w:r>
        <w:rPr>
          <w:rtl/>
        </w:rPr>
        <w:t>יב בספר יורה דעה בהלכות רבית כתבתי מכר לו שדה ונתן לו קצת מהדמים ואמר לו כשתביא יתר המעות טול את שלך:</w:t>
      </w:r>
    </w:p>
    <w:p w14:paraId="57F96D54" w14:textId="77777777" w:rsidR="00496BA4" w:rsidRDefault="00496BA4" w:rsidP="00496BA4">
      <w:pPr>
        <w:pStyle w:val="Style1"/>
      </w:pPr>
      <w:r>
        <w:rPr>
          <w:rtl/>
        </w:rPr>
        <w:t>יג הלוהו על שדהו מאה זהובים והוא שוה יותר וא"ל אם לא תפרעני עד ג' שנים תהא שלי הוי אסמכתא ולא קני ואם אמר לו אם לא תפרעני עד ג' שנים תהא שלי מעכשיו קנה ואם בתחילה כשלוה ממנו הקפיד שלא למשכן אלא שדה זו דווקא קנה אפילו בלא מעכשיו ואם אמר לו לא יהא לך פרעון אלא מזו אפילו לא אמר מעכשיו מהני שאינו יכול להגבותו ממקום אחר ולא זה יכול לתבוע ממנו שיפרע לו ממקום אחר ומיהו אם ירצה יכול לסלקו במעות וכל היכא שלא קנה השדה משום דהוי אסמכתא הפירות שאכל תוך ג' שנים א"צ להחזיר דהוי אבק רבית ואם אכלן אחר ג' שנים מפני שהלוה היה סבור שנחלטה לו והניח לו לאכול ושוב נודע לו שלא נחלטה לו צריך להחזיר לו הפירות שאכל:</w:t>
      </w:r>
    </w:p>
    <w:p w14:paraId="16E41CD7" w14:textId="4F46C1E0" w:rsidR="00496BA4" w:rsidRDefault="00496BA4" w:rsidP="00496BA4">
      <w:pPr>
        <w:pStyle w:val="Style1"/>
      </w:pPr>
      <w:r>
        <w:rPr>
          <w:rtl/>
        </w:rPr>
        <w:t>יד כתב הרמב"ם ז"ל בד"א שקנה כשמקיים התנאי שקנו ממנו באחד מן הדרכים שקונין בהם אלא שהתנה שיהיה על תנאי לפיכך אם נתקיים התנאי נתקיים המקח אבל אם לא קנו ממנו עתה והתנה שאם לא יתקיים לא יקנה אף על פי שנתקיים לא יקנה כיצד מכר או נתן לו בית על תנאי שילך ביום פלוני למקום פלוני והחזיק בו עתה אם קיים תנאו והלך ביום פלוני למקום פלוני קנה ואם לאו לא קנה אבל אם התנה ואמר אם תלך למקום פלוני ביום פלוני או תביא לי דבר פלוני אמכור לך בית זה או אתננו לך וקיים תנאו והלך ביום פלוני למקום פלוני ואח"כ החזיק בבית לא קנאו שזו אסמכתא היא שסמך קנייתו לעשות כך וכך וכל אסמכתא לא קניא שהרי לא גמר להקנות</w:t>
      </w:r>
    </w:p>
    <w:p w14:paraId="4833181B" w14:textId="77777777" w:rsidR="00496BA4" w:rsidRDefault="00496BA4" w:rsidP="00496BA4">
      <w:pPr>
        <w:pStyle w:val="Style1"/>
      </w:pPr>
      <w:r>
        <w:rPr>
          <w:rtl/>
        </w:rPr>
        <w:t>טו לפיכך הנותן ערבון לחבירו על המקח ואומר אם אני חוזר בי ערבוני מחול לך ואמר המוכר אם אני חוזר בי אכפול לך ערבונך אם חוזר הלוקח קנה המוכר הערבון שהרי הוא תחת ידו ואם חזר המוכר אין מחייבין אותו לכפול הערבון שזו היא אסמכתא:</w:t>
      </w:r>
    </w:p>
    <w:p w14:paraId="6B309FE5" w14:textId="77777777" w:rsidR="00496BA4" w:rsidRDefault="00496BA4" w:rsidP="00496BA4">
      <w:pPr>
        <w:pStyle w:val="Style1"/>
      </w:pPr>
      <w:r>
        <w:rPr>
          <w:rtl/>
        </w:rPr>
        <w:t>טז וכן כל תנאים שמתנין בני אדם ביניהם אף על פי שהן בעדים ובשטר אם יהיה כך או אם תעשה כך אתן לך כך וכך או אקנה לך בית זה ואם לא יהיה כך או אם לא תעשה כך לא אקנה לך ולא אתן לך אף על פי שעשה לא קנה שכל האומר אם יהיה אם לא יהיה לא גמר והקנה שהרי אין דעתו סומכת שמא יהיה או לא יהיה ע"כ והראב"ד השיג עליו במ"ש שהמוכר קונה את הערבון מפני שהוא בידו וכן פי' רש"י שאף הלוקח אינו מוחל אם חוזר בו ובמה שכתב אם יהיה ואם לא יהיה ולא חילק בין היכא שהוא בידו אם לאו זה תימה דבגמרא מחלק בזה ור"י חילק בו ופירש דבר שאינו בידו והוא תלוי ביד אחרים כגון האומר קנה לי יין ממקום פלוני או כיוצא בזה ואם לאו תתחייב לי בכך וכך אסמכתא היא דלא גמר ומקנה דשמא לא ירצו המוכרים למכור לו היין שהיה לו לקנות לפיכך לא גמר ומקנה אפילו אי לא גזים:</w:t>
      </w:r>
    </w:p>
    <w:p w14:paraId="4372F719" w14:textId="7F9DBBD4" w:rsidR="00496BA4" w:rsidRDefault="00496BA4" w:rsidP="00496BA4">
      <w:pPr>
        <w:pStyle w:val="Style1"/>
      </w:pPr>
      <w:r>
        <w:rPr>
          <w:rtl/>
        </w:rPr>
        <w:t>יז ודבר שאין בידו כלל ואין דבר לתלות בו לומר דאדעתא דהכי התנה שהוא סבור שמא יבא לידי כך כגון שחק בקוביא וכיוצא בו</w:t>
      </w:r>
      <w:r w:rsidR="007326FC">
        <w:rPr>
          <w:rFonts w:hint="cs"/>
          <w:rtl/>
        </w:rPr>
        <w:t xml:space="preserve"> </w:t>
      </w:r>
      <w:r>
        <w:rPr>
          <w:rtl/>
        </w:rPr>
        <w:t>שאינו יודע אם ינצח אם לאו ואפ"ה התנה ודאי מספק גמר ומקני בד"א כששוחקין במעות מוכנין אבל אם שוחקין באמנה אין מוציאין הימנו מה שהפסיד:</w:t>
      </w:r>
    </w:p>
    <w:p w14:paraId="2C7E4AEE" w14:textId="6DC7E788" w:rsidR="00496BA4" w:rsidRDefault="00496BA4" w:rsidP="00496BA4">
      <w:pPr>
        <w:pStyle w:val="Style1"/>
      </w:pPr>
      <w:r>
        <w:rPr>
          <w:rtl/>
        </w:rPr>
        <w:t>יח והמתנה על דבר שבידו לעשות אי לא גזים כגון אם אוביר ולא אעביד אשלם במיטב לא הוי אסמכתא ואם גזים שאמר אשלם אלפא זוזי הוי אסמכתא דלא גמר ומקנה ולא משלם אלא מה שהפסיד לפיכך כשהמוכר מקנה ללוקח על תנאי אם תעשה לי דבר פלוני תקנה הוי אסמכתא כיון שקיום התנאי אינו תלוי ביד המוכר אלא ביד הלוקח:</w:t>
      </w:r>
    </w:p>
    <w:p w14:paraId="040D65EE" w14:textId="77777777" w:rsidR="00496BA4" w:rsidRDefault="00496BA4" w:rsidP="00496BA4">
      <w:pPr>
        <w:pStyle w:val="Style1"/>
      </w:pPr>
      <w:r>
        <w:rPr>
          <w:rtl/>
        </w:rPr>
        <w:t>יט כתב הרמב"ם ז"ל כל האומר מעכשיו אין כאן אסמכתא כיצד אם לא באתי מכאן ועד ל' יום קנה בית זה מעכשיו וקנו מידו על זה ה"ז קנה אם לא בא בתוך הזמן שאילו לא גמר לו להקנותו לא הקנהו מעכשיו ואם קנו מידו בב"ד חשוב קנה והוא שיתפיש זכיותיו בב"ד והוא שלא יהיה אנוס כיצד התפיש שטרו או שוברו בב"ד וקנו מידו שאם לא יבא לזמן פלוני שיתננו לו לבעל דינו והגיע הזמן ולא בא הרי אלו נותנין ואם עכבו חולי או נהר ולא בא אין נותנין ע"כ וכ"כ א"א ז"ל שאם קנו מיניה בב"ד חשוב או מעכשיו קונה ונקרא ב"ד חשוב שלשה שבקיאין בדיני אסמכתא והחילוק שיש בין היכא דגזים או לא גזים ובין היכא שיש בידו לעשות מה שקיים עליו או אין בידו לעשות דכיון דבקיאין בדיני אסמכתא והקנה דלא כאסמכתא הפקר ב"ד הפקר ואם קנו מידו בב"ד חשוב קונה אפילו אם לא התפיש שטרו בב"ד:</w:t>
      </w:r>
    </w:p>
    <w:p w14:paraId="110C0A4B" w14:textId="77777777" w:rsidR="00496BA4" w:rsidRDefault="00496BA4" w:rsidP="00496BA4">
      <w:pPr>
        <w:pStyle w:val="Style1"/>
      </w:pPr>
      <w:r>
        <w:rPr>
          <w:rtl/>
        </w:rPr>
        <w:t>כ כתב הרמב"ם ז"ל כשהיו רוצין חכמי ספרד להקנות באסמכתא היו עושין כך קונין מזה שהיה חייב לו מאה זהובים ואחר שחייב עצמו קונין מבעל חוב שכל זמן שיהיה כך או יעשה כך הרי החוב הזה מחול לו מעכשיו ואם לא יהיה כך או לא יעשה כך הריני תובעו בממון שחייב עצמו ועל דרך זה היו עושין כל התנאים ושידוכין וכל הענינים הדומה להן:</w:t>
      </w:r>
    </w:p>
    <w:p w14:paraId="15F3A6E1" w14:textId="77777777" w:rsidR="00496BA4" w:rsidRDefault="00496BA4" w:rsidP="00496BA4">
      <w:pPr>
        <w:pStyle w:val="Style1"/>
      </w:pPr>
      <w:r>
        <w:rPr>
          <w:rtl/>
        </w:rPr>
        <w:t>כא וא"א הרא"ש ז"ל כתב שקנס שעושין בשידוכין לקנוס החוזר בו אף על פי שגזים לא הוי אסמכתא דלית כאן מילתא יתירתא כי כדי הוא שיתחייב החוזר בו בקנס לדמי הבושת שבייש את חבירו והוא כמו אם אוביר ולא אעביד אשלם במיטבא:</w:t>
      </w:r>
    </w:p>
    <w:p w14:paraId="3F55D217" w14:textId="609C2603" w:rsidR="00496BA4" w:rsidRDefault="00496BA4" w:rsidP="00496BA4">
      <w:pPr>
        <w:pStyle w:val="Style1"/>
      </w:pPr>
      <w:r>
        <w:rPr>
          <w:rtl/>
        </w:rPr>
        <w:lastRenderedPageBreak/>
        <w:t>כב ושנים שהתנו ביניהן לקיים דבר אחד</w:t>
      </w:r>
      <w:r w:rsidR="00FB4502">
        <w:rPr>
          <w:rFonts w:hint="cs"/>
          <w:rtl/>
        </w:rPr>
        <w:t xml:space="preserve"> </w:t>
      </w:r>
      <w:r>
        <w:rPr>
          <w:rtl/>
        </w:rPr>
        <w:t xml:space="preserve"> ונתנו ערבונות לקנס שמי שיחזור בו שיזכה חבירו בערבון לא יאמר אם אני חוזר בי אתן לך כך וכך והרי זה משכון על ממון שאתחייב לך אם אחזור בי דכי האי גוונא לא זכה במשכון כל זמן שאינו חייב לו כלום אלא צריך להקנות לו בסודר דלא כאסמכתא ובב"ד חשוב כדי שיתחייב לו מן הדין אם יחזור בו ואז יתן לו החפץ במשכון ואז יחול השיעבוד על המשכון כיון שנתחייב לו בקנס אם יחזור בו או יאמר אם אחזור בי תזכה בכך וכך ממון בגוף חפץ זה:</w:t>
      </w:r>
    </w:p>
    <w:p w14:paraId="5A6999B7" w14:textId="77777777" w:rsidR="00496BA4" w:rsidRDefault="00496BA4" w:rsidP="00496BA4">
      <w:pPr>
        <w:pStyle w:val="Style1"/>
      </w:pPr>
      <w:r>
        <w:rPr>
          <w:rtl/>
        </w:rPr>
        <w:t>כג וששאלת שטר שכתוב בו אם לא יפרע לזמן פלוני שיתחייב בכך וכך ממון וכתוב בסוף השטר דלא כאסמכתא אם אותו הקנס נגבה בב"ד תשובה דע כי אסמכתא היא הא דגזים שקבל עליו אם לא יפרע בזמנו שיתחייב בדבר שלא היה חייב בו ואסמכתא לא קניא אלא בקנין מעכשיו ובב"ד חשוב אף על גב דכתיב בשטר דלא כאסמכתא לא מהני מידי דהא חזינן דאסמכתא היא ומאי אהני דכתב דלא כאסמכתא:</w:t>
      </w:r>
    </w:p>
    <w:p w14:paraId="203AE7C3" w14:textId="77777777" w:rsidR="00496BA4" w:rsidRDefault="00496BA4" w:rsidP="00496BA4">
      <w:pPr>
        <w:pStyle w:val="Style1"/>
      </w:pPr>
      <w:r>
        <w:rPr>
          <w:rtl/>
        </w:rPr>
        <w:t>כד שאלה לא"א הרא"ש ז"ל ראובן היה לו פרה והיה ירא לשוחטה שמא תמצא טריפה א"ל שמעון שחוט אותה ואם תמצא טריפה אתן לך בשביל בשרה כך וכך ואם תמצא כשרה תן לי כך וכך ונתן שמעון משכון ביד שליש ושחט ראובן את הפרה ונטרפה והתחילו למכור הבשר וגבה שמעון המעות עד כדי חציה וראה שמעון שהיה מפסיד בה וחזר בו וא"ל טול מעותיך והשיב לו ראובן כבר קניתי המשכון ואינך יכול לחזור בך ואמר שמעון כי לא קנאו כי אסמכתא היתה אם תמצא טריפה או כשרה ילמדנו רבינו עם מי הדין וא"ת לנו שהדין עם ראובן המשכון שבידו אינו שוה כנגד כל המעות ואי מתחייב שמעון להשלים על המשכון או נאמר שלא קנה אלא כנגד המשכון תשובה יראה לי שמקח זה נעשה בלא קנין כי לא היה כאן אלא דברים בעלמא ויכול שמעון לחזור בו אף על פי שנתן משכון ביד שליש בשביל זה לא נגמר המקח חדא דמעות אינן קונות ועוד אפילו אי הוו מעות קונות נתינת המשכון אינו קונה דאילו משך שמעון הפרה מחיים לקנותה אפילו אם תהיה הפרה טריפה או אם הגביה הבשר אחר שנשחטה אז ודאי קנאה ולא מצי למיהדר ביה ולא הוי אסמכתא דלא דמי לאם אוביר ולא אעביד אשלם אלפא זוזי דהתם גזים והכא לא גזים:</w:t>
      </w:r>
    </w:p>
    <w:p w14:paraId="0ED9D4FF" w14:textId="77777777" w:rsidR="00496BA4" w:rsidRDefault="00496BA4" w:rsidP="00496BA4">
      <w:pPr>
        <w:pStyle w:val="Style1"/>
      </w:pPr>
      <w:r>
        <w:rPr>
          <w:rtl/>
        </w:rPr>
        <w:t>כה ואפילו א"ת דהכא נמי גזים דשמא קנה בשר טריפה יותר מכדי שויה כדי שישחטנה מ"מ כיון שהתנה שמעון תן לי כך וכך אדעתא דבעי למיקני גמר ומקני כדאמרינן גבי ב' בני אדם שהמרו זה את זה ופי' ר"ת ז"ל דלא הוי אסמכתא דאגב דבעי למיקני גמר ומקני:</w:t>
      </w:r>
    </w:p>
    <w:p w14:paraId="55CCF41B" w14:textId="77777777" w:rsidR="00496BA4" w:rsidRDefault="00496BA4" w:rsidP="00496BA4">
      <w:pPr>
        <w:pStyle w:val="Style1"/>
      </w:pPr>
      <w:r>
        <w:rPr>
          <w:rtl/>
        </w:rPr>
        <w:t>כו כתב הרמב"ם ז"ל המחייב עצמו לאחד ממון בלא תנאי כלל אף על פי שלא היה חייב לו כלום ה"ז חייב שדבר זה מתנה הוא ואינה אסמכתא:</w:t>
      </w:r>
    </w:p>
    <w:p w14:paraId="32BD95DD" w14:textId="77777777" w:rsidR="00496BA4" w:rsidRDefault="00496BA4" w:rsidP="00496BA4">
      <w:pPr>
        <w:pStyle w:val="Style1"/>
      </w:pPr>
      <w:r>
        <w:rPr>
          <w:rtl/>
        </w:rPr>
        <w:t>כז חייב עצמו בדבר שאינו קצוב כגון הריני חייב לזון אותך או לכסות אותך ה' שנים אף על פי שקנו מידו לא משתעבד שזה כמו מתנה היא ואין כאן דבר ידוע ומצוי שנתנו במתנה וכן הורו רבותי:</w:t>
      </w:r>
    </w:p>
    <w:p w14:paraId="2E2B01E6" w14:textId="77777777" w:rsidR="00496BA4" w:rsidRDefault="00496BA4" w:rsidP="00496BA4">
      <w:pPr>
        <w:pStyle w:val="Style1"/>
      </w:pPr>
      <w:r>
        <w:rPr>
          <w:rtl/>
        </w:rPr>
        <w:t>כח ומפני מה הפוסק לזון בת אשתו חמש שנים חייב לזונה מפני שפוסק בשעת נישואין ודומה לדברים הנקנין באמירה והראב"ד השיג עליו:</w:t>
      </w:r>
    </w:p>
    <w:p w14:paraId="16144CB9" w14:textId="19621D96" w:rsidR="00496BA4" w:rsidRDefault="00496BA4" w:rsidP="00496BA4">
      <w:pPr>
        <w:pStyle w:val="Style1"/>
      </w:pPr>
      <w:r>
        <w:rPr>
          <w:rtl/>
        </w:rPr>
        <w:t>כט וכן נראה מתשובות א"א ז"ל ששאלוהו על ראובן שנתחייב לשמעון בשטר בקנין גמור על נכסיו כל מה שיצטרך שמעון במאכל ובמשתה ובכסות עד יום פטירתו והכל לפי כבודו ועתה אומר לשמעון אני אשלח לך משולחני מה שאוכל ואשתה בכל יום כפי צרכך ושמעון אומר איני רוצה לצפות לשלחנך אלא תן לי מעות ואקנה ואוכל כשארצה ועוד שואל מראובן שיתן לו שמש לשמשו ולקנות לו מה שצריך כי חייב עצמו הכל לפי כבודו ואין כבודו להיות בלי שמש ואם יראה לו ששואל יותר מן הראוי ישומו ב"ד כמה צריך ויתן לו תשובה אחרי שראובן חייב עצמו ליתן לשמעון מאכל ומשתה וכסות לפי כבודו ולפי הראוי לו רואין אם שמעון היה מתפרנס כל ימיו בתוך ביתו ולא סמך על שלחן אחרים גם עתה נמי מחוייב ראובן ליתן לו מעות שיקנה צרכי אכילה ושתיה כפי מה שישומו ב"ד כמה ראוי ליתנו לצורך אכילה ושתיה לפי כבודו וגם אם היה רגיל שמעון שמלאכתו נעשית על ידי שליח לקנות לו צרכי אכילה ושתיה ולא היה הולך מעצמו לשוק לקנות גם עתה צריך ראובן להמציא לו שליח להנהיגו לפי כבודו הראוי לו כאשר הורגל מימי קדם דאדעתא דהכי שעבד לו כל נכסיו:</w:t>
      </w:r>
    </w:p>
    <w:p w14:paraId="6415CF18" w14:textId="5EED0C66" w:rsidR="00305AAE" w:rsidRDefault="00305AAE" w:rsidP="00305AAE">
      <w:pPr>
        <w:pStyle w:val="Style1"/>
        <w:rPr>
          <w:rtl/>
        </w:rPr>
      </w:pPr>
      <w:r>
        <w:rPr>
          <w:rFonts w:hint="cs"/>
          <w:rtl/>
        </w:rPr>
        <w:t>2)[</w:t>
      </w:r>
      <w:r>
        <w:rPr>
          <w:rtl/>
        </w:rPr>
        <w:t>שולחן ערוך אבן העזר הלכות כתובות סימן קיד סעיף ח</w:t>
      </w:r>
      <w:r>
        <w:rPr>
          <w:rFonts w:hint="cs"/>
          <w:rtl/>
        </w:rPr>
        <w:t xml:space="preserve">] </w:t>
      </w:r>
      <w:r>
        <w:rPr>
          <w:rtl/>
        </w:rPr>
        <w:t>נשאת לאחר, ופסקה גם עמו שיזון את בתה, אחד זנה ואחד נותן לה דמי מזונות משלם.</w:t>
      </w:r>
    </w:p>
    <w:p w14:paraId="470192D3" w14:textId="19308B71" w:rsidR="00775054" w:rsidRDefault="00775054" w:rsidP="00775054">
      <w:pPr>
        <w:pStyle w:val="Style1"/>
        <w:rPr>
          <w:rtl/>
        </w:rPr>
      </w:pPr>
      <w:r>
        <w:rPr>
          <w:rFonts w:hint="cs"/>
          <w:rtl/>
        </w:rPr>
        <w:t>3)[</w:t>
      </w:r>
      <w:r>
        <w:rPr>
          <w:rtl/>
        </w:rPr>
        <w:t>רמב</w:t>
      </w:r>
      <w:r w:rsidR="00213DA1">
        <w:rPr>
          <w:rtl/>
        </w:rPr>
        <w:t>”ם \נשים\</w:t>
      </w:r>
      <w:r>
        <w:rPr>
          <w:rtl/>
        </w:rPr>
        <w:t xml:space="preserve"> הלכות אישות פרק כג הלכה יח</w:t>
      </w:r>
      <w:r>
        <w:rPr>
          <w:rFonts w:hint="cs"/>
          <w:rtl/>
        </w:rPr>
        <w:t xml:space="preserve">] </w:t>
      </w:r>
      <w:r>
        <w:rPr>
          <w:rtl/>
        </w:rPr>
        <w:t>נישאת הבת בתוך זמן זה הבעל חייב במזונותיה, ובעלי אמה שניהם כל אחד ואחד נותן לה דמי מזונות, מתו אלו שפסקו לזון אותה אם קנו מידן או שחייב עצמו בשטר הרי זו כבעל חוב בשטר וטורפת מזונותיה מנכסיהן המשועבדים עד סוף הזמן שפסקו, ואם פסקו בשעת הקידושין ולא היה שם קנין הרי הם דברים שלא ניתנו ליכתב ואינה טורפת במזונותיה.</w:t>
      </w:r>
    </w:p>
    <w:p w14:paraId="2A5DCD80" w14:textId="0C8F4B8D" w:rsidR="003C7140" w:rsidRDefault="003C7140" w:rsidP="003C7140">
      <w:pPr>
        <w:pStyle w:val="Style1"/>
        <w:rPr>
          <w:rtl/>
        </w:rPr>
      </w:pPr>
      <w:r>
        <w:rPr>
          <w:rFonts w:hint="cs"/>
          <w:rtl/>
        </w:rPr>
        <w:t>3)[</w:t>
      </w:r>
      <w:r>
        <w:rPr>
          <w:rtl/>
        </w:rPr>
        <w:t>שולחן ערוך אבן העזר הלכות כתובות סימן קיד סעיף י</w:t>
      </w:r>
      <w:r>
        <w:rPr>
          <w:rFonts w:hint="cs"/>
          <w:rtl/>
        </w:rPr>
        <w:t xml:space="preserve">] </w:t>
      </w:r>
      <w:r>
        <w:rPr>
          <w:rtl/>
        </w:rPr>
        <w:t>נשאת הבת תוך הזמן, הבעל חייב במזונותיה והשנים כל אחד ואחד נותן לה דמי מזונות.</w:t>
      </w:r>
    </w:p>
    <w:p w14:paraId="1F316D07" w14:textId="38A0CBDA" w:rsidR="00825A2F" w:rsidRDefault="00825A2F" w:rsidP="00825A2F">
      <w:pPr>
        <w:pStyle w:val="Style1"/>
        <w:rPr>
          <w:rtl/>
        </w:rPr>
      </w:pPr>
      <w:r>
        <w:rPr>
          <w:rFonts w:hint="cs"/>
          <w:rtl/>
        </w:rPr>
        <w:t>4)[</w:t>
      </w:r>
      <w:r>
        <w:rPr>
          <w:rtl/>
        </w:rPr>
        <w:t>שולחן ערוך אבן העזר הלכות כתובות סימן קיד סעיף יא</w:t>
      </w:r>
      <w:r w:rsidRPr="00825A2F">
        <w:rPr>
          <w:rFonts w:hint="cs"/>
          <w:rtl/>
        </w:rPr>
        <w:t xml:space="preserve">] </w:t>
      </w:r>
      <w:r w:rsidRPr="00825A2F">
        <w:rPr>
          <w:rtl/>
        </w:rPr>
        <w:t>כתב לה: "אזון את בתך כל זמן שאת עמי", ומתה האם, אינו חיב עוד לזונה. וכן אם נתגרשה, אפלו חזר ונשאה</w:t>
      </w:r>
      <w:r w:rsidRPr="00825A2F">
        <w:t>:</w:t>
      </w:r>
    </w:p>
    <w:p w14:paraId="0BB93068" w14:textId="55E8BB30" w:rsidR="00603014" w:rsidRDefault="00603014" w:rsidP="00603014">
      <w:pPr>
        <w:pStyle w:val="Style1"/>
        <w:rPr>
          <w:rtl/>
        </w:rPr>
      </w:pPr>
      <w:r>
        <w:rPr>
          <w:rFonts w:hint="cs"/>
          <w:rtl/>
        </w:rPr>
        <w:t>5)[</w:t>
      </w:r>
      <w:r>
        <w:rPr>
          <w:rtl/>
        </w:rPr>
        <w:t>רמב</w:t>
      </w:r>
      <w:r w:rsidR="00786216">
        <w:rPr>
          <w:rtl/>
        </w:rPr>
        <w:t>”ם \מכירה\</w:t>
      </w:r>
      <w:r>
        <w:rPr>
          <w:rtl/>
        </w:rPr>
        <w:t xml:space="preserve"> הלכות מכירה פרק יא הלכה טו</w:t>
      </w:r>
      <w:r>
        <w:rPr>
          <w:rFonts w:hint="cs"/>
          <w:rtl/>
        </w:rPr>
        <w:t xml:space="preserve">] </w:t>
      </w:r>
      <w:r>
        <w:rPr>
          <w:rtl/>
        </w:rPr>
        <w:t>המחייב עצמו בממון לאחר בלא תנאי כלל, אף על פי שלא היה חייב לו כלום הרי זה חייב, שדבר זה מתנה היא ואינה אסמכתא, כיצד האומר לעדים הוו עלי עדים שאני חייב לפלוני מנה, או שכתב לו בשטר הריני חייב לך מנה אף על פי שאין שם עדים, או שאמר לו בפני עדים הריני חייב לך מנה בשטר, אף על פי שלא אמר אתם עדי, הואיל ואמר בשטר הרי זה כמי שאמר הוו עלי עדים וחייב לשלם, אף על פי ששניהם מודים והעדים יודעים שלא היה לו אצלו כלום, שהרי חייב עצמו, כמו שישתעבד הערב, וכזה הורו רוב הגאונים.</w:t>
      </w:r>
    </w:p>
    <w:p w14:paraId="6B146FF1" w14:textId="5BC97394" w:rsidR="006B060C" w:rsidRPr="006B060C" w:rsidRDefault="00E850F4" w:rsidP="006B060C">
      <w:pPr>
        <w:pStyle w:val="Style1"/>
      </w:pPr>
      <w:r>
        <w:rPr>
          <w:rFonts w:hint="cs"/>
          <w:rtl/>
        </w:rPr>
        <w:t>5)[</w:t>
      </w:r>
      <w:r>
        <w:rPr>
          <w:rtl/>
        </w:rPr>
        <w:t>שולחן ערוך חושן משפט הלכות הלואה סימן מ סעיף א</w:t>
      </w:r>
      <w:r>
        <w:rPr>
          <w:rFonts w:hint="cs"/>
          <w:rtl/>
        </w:rPr>
        <w:t>]</w:t>
      </w:r>
      <w:r w:rsidR="006B060C">
        <w:rPr>
          <w:rFonts w:hint="cs"/>
          <w:rtl/>
        </w:rPr>
        <w:t xml:space="preserve"> </w:t>
      </w:r>
      <w:r w:rsidR="006B060C" w:rsidRPr="006B060C">
        <w:rPr>
          <w:rtl/>
        </w:rPr>
        <w:t>המחייב עצמו בממון לאחר בלא תנאי אע"פ שלא היה חייב לו כלום הרי זה חייב</w:t>
      </w:r>
      <w:r w:rsidR="006B060C" w:rsidRPr="006B060C">
        <w:t>.</w:t>
      </w:r>
    </w:p>
    <w:p w14:paraId="0A1753E9" w14:textId="77777777" w:rsidR="006B060C" w:rsidRPr="006B060C" w:rsidRDefault="006B060C" w:rsidP="006B060C">
      <w:pPr>
        <w:pStyle w:val="Style1"/>
      </w:pPr>
      <w:r w:rsidRPr="006B060C">
        <w:rPr>
          <w:rtl/>
        </w:rPr>
        <w:t>כיצד? האומר לעדים הוו עלי עדים שאני חייב לפלוני מנה או שכתב לו בשטר הריני חייב לך מנה אע"פ שאין שם עדים או שאמר לו בפני עדים הריני חייב לך מנה בשטר אע"פ שלא אמר אתם עידי הואיל ואמר בשטר ה"ז כמו שאמר הוו עלי עדים וחייב לשלם אע"פ ששניהם מודים והעדים יודעים שלא היה לו אצלו כלום שהרי חייב עצמו כמו שישתעבד הערב</w:t>
      </w:r>
    </w:p>
    <w:p w14:paraId="3BFABFBA" w14:textId="77777777" w:rsidR="006B060C" w:rsidRPr="006B060C" w:rsidRDefault="006B060C" w:rsidP="006B060C">
      <w:pPr>
        <w:pStyle w:val="Style1"/>
      </w:pPr>
      <w:r w:rsidRPr="006B060C">
        <w:rPr>
          <w:rFonts w:hint="cs"/>
          <w:rtl/>
        </w:rPr>
        <w:t>( (וכ"ש כשכותב לאחד קבלתי ממך כך וכך על החוב שיש בידך דהוי מחילה אע"ג דידעינן דלא קבל) ) (ב"י סי' ע"ג בשם הריטב"א)</w:t>
      </w:r>
      <w:r w:rsidRPr="006B060C">
        <w:t>:</w:t>
      </w:r>
    </w:p>
    <w:p w14:paraId="480DDEC8" w14:textId="77777777" w:rsidR="006B060C" w:rsidRPr="006B060C" w:rsidRDefault="006B060C" w:rsidP="006B060C">
      <w:pPr>
        <w:pStyle w:val="Style1"/>
      </w:pPr>
    </w:p>
    <w:p w14:paraId="072D08FE" w14:textId="4D679DFA" w:rsidR="00E850F4" w:rsidRPr="00825A2F" w:rsidRDefault="00E850F4" w:rsidP="00E850F4">
      <w:pPr>
        <w:pStyle w:val="Style1"/>
      </w:pPr>
    </w:p>
    <w:p w14:paraId="70521186" w14:textId="491E779E" w:rsidR="00825A2F" w:rsidRPr="00825A2F" w:rsidRDefault="00825A2F" w:rsidP="00825A2F">
      <w:pPr>
        <w:pStyle w:val="Style1"/>
        <w:rPr>
          <w:rtl/>
        </w:rPr>
      </w:pPr>
    </w:p>
    <w:p w14:paraId="53DCFAB9" w14:textId="77777777" w:rsidR="000231F5" w:rsidRPr="006557E4" w:rsidRDefault="000231F5" w:rsidP="000231F5">
      <w:pPr>
        <w:bidi/>
        <w:rPr>
          <w:rStyle w:val="Style1Char"/>
          <w:color w:val="00B050"/>
          <w:rtl/>
        </w:rPr>
      </w:pPr>
    </w:p>
    <w:p w14:paraId="5F8B7BF9" w14:textId="77777777" w:rsidR="000231F5" w:rsidRDefault="000231F5" w:rsidP="000231F5">
      <w:pPr>
        <w:rPr>
          <w:rStyle w:val="Style1Char"/>
          <w:color w:val="00B050"/>
          <w:rtl/>
        </w:rPr>
      </w:pPr>
      <w:r>
        <w:rPr>
          <w:rStyle w:val="Style1Char"/>
          <w:color w:val="00B050"/>
          <w:rtl/>
        </w:rPr>
        <w:br w:type="page"/>
      </w:r>
    </w:p>
    <w:p w14:paraId="051FE776" w14:textId="58EAC9F2" w:rsidR="000231F5" w:rsidRDefault="000231F5" w:rsidP="000231F5">
      <w:pPr>
        <w:bidi/>
        <w:rPr>
          <w:rStyle w:val="Style1Char"/>
          <w:color w:val="00B050"/>
          <w:rtl/>
        </w:rPr>
      </w:pPr>
      <w:r w:rsidRPr="00853299">
        <w:rPr>
          <w:rStyle w:val="Style1Char"/>
          <w:color w:val="00B050"/>
          <w:sz w:val="22"/>
          <w:szCs w:val="22"/>
          <w:highlight w:val="yellow"/>
          <w:rtl/>
        </w:rPr>
        <w:lastRenderedPageBreak/>
        <w:t>[דף קב עמוד א]</w:t>
      </w:r>
      <w:r w:rsidRPr="00853299">
        <w:rPr>
          <w:rStyle w:val="Style1Char"/>
          <w:color w:val="00B050"/>
          <w:sz w:val="22"/>
          <w:szCs w:val="22"/>
          <w:rtl/>
        </w:rPr>
        <w:t xml:space="preserve"> </w:t>
      </w:r>
      <w:r w:rsidRPr="00853299">
        <w:rPr>
          <w:rStyle w:val="Style1Char"/>
          <w:color w:val="00B050"/>
          <w:rtl/>
        </w:rPr>
        <w:t>לא, בשטרי פסיקתא, וכדרב גידל, ד</w:t>
      </w:r>
      <w:r w:rsidRPr="007334E8">
        <w:rPr>
          <w:rStyle w:val="Style1Char"/>
          <w:sz w:val="22"/>
          <w:szCs w:val="22"/>
          <w:rtl/>
        </w:rPr>
        <w:t>אמר רב גידל אמר רב: כמה אתה נותן לבנך? כך וכך, וכמה אתה נותן לבתך? כך וכך, עמדו וקידשו - קנו, הן הן הדברים הנקנין באמירה</w:t>
      </w:r>
      <w:r w:rsidRPr="00853299">
        <w:rPr>
          <w:rStyle w:val="Style1Char"/>
          <w:color w:val="00B050"/>
          <w:rtl/>
        </w:rPr>
        <w:t>. תא שמע</w:t>
      </w:r>
      <w:r w:rsidRPr="003579CB">
        <w:rPr>
          <w:rFonts w:ascii="Arial" w:hAnsi="Arial" w:cs="Arial"/>
          <w:color w:val="C00000"/>
          <w:sz w:val="16"/>
          <w:szCs w:val="16"/>
          <w:rtl/>
        </w:rPr>
        <w:t xml:space="preserve"> </w:t>
      </w:r>
      <w:r w:rsidRPr="0073694A">
        <w:rPr>
          <w:rFonts w:ascii="Arial" w:hAnsi="Arial" w:cs="Arial"/>
          <w:color w:val="806000" w:themeColor="accent4" w:themeShade="80"/>
          <w:rtl/>
        </w:rPr>
        <w:t>ותו אקשינן עליה מהא</w:t>
      </w:r>
      <w:r w:rsidRPr="00853299">
        <w:rPr>
          <w:rStyle w:val="Style1Char"/>
          <w:color w:val="00B050"/>
          <w:rtl/>
        </w:rPr>
        <w:t>:</w:t>
      </w:r>
      <w:r w:rsidR="00957530" w:rsidRPr="00957530">
        <w:rPr>
          <w:rFonts w:hint="cs"/>
          <w:rtl/>
        </w:rPr>
        <w:t xml:space="preserve"> </w:t>
      </w:r>
      <w:r w:rsidR="00957530">
        <w:rPr>
          <w:rStyle w:val="Style1Char"/>
          <w:rFonts w:hint="cs"/>
          <w:rtl/>
        </w:rPr>
        <w:t>(1)</w:t>
      </w:r>
      <w:r w:rsidRPr="00853299">
        <w:rPr>
          <w:rStyle w:val="Style1Char"/>
          <w:color w:val="00B050"/>
          <w:rtl/>
        </w:rPr>
        <w:t xml:space="preserve"> </w:t>
      </w:r>
      <w:r w:rsidRPr="0073694A">
        <w:rPr>
          <w:rStyle w:val="Style1Char"/>
          <w:color w:val="auto"/>
          <w:sz w:val="22"/>
          <w:szCs w:val="22"/>
          <w:rtl/>
        </w:rPr>
        <w:t xml:space="preserve">כתב לכהן שאני חייב לך חמש סלעים - חייב ליתן לו חמש סלעים, ובנו אינו פדוי! </w:t>
      </w:r>
      <w:r w:rsidRPr="0073694A">
        <w:rPr>
          <w:rFonts w:ascii="Arial" w:hAnsi="Arial" w:cs="Arial"/>
          <w:color w:val="806000" w:themeColor="accent4" w:themeShade="80"/>
          <w:rtl/>
        </w:rPr>
        <w:t xml:space="preserve">דלית ליה לכהן מעיקרא גביה ולא מידי </w:t>
      </w:r>
      <w:r w:rsidRPr="00853299">
        <w:rPr>
          <w:rStyle w:val="Style1Char"/>
          <w:color w:val="00B050"/>
          <w:rtl/>
        </w:rPr>
        <w:t>שאני התם, דמשועבד ליה מדאורייתא. אי הכי, אמאי כתב? כדי לברר לו כהן. אי הכי, בנו אמאי אינו פדוי? כדעולא, דאמר עולא: דבר תורה פדוי לכשיתן, ומ"ט אמרו בנו אינו פדוי? גזירה שמא יאמרו פודין בשטרות. אמר רבא, כתנאי</w:t>
      </w:r>
      <w:r w:rsidRPr="003579CB">
        <w:rPr>
          <w:rFonts w:ascii="Arial" w:hAnsi="Arial" w:cs="Arial"/>
          <w:color w:val="C00000"/>
          <w:sz w:val="16"/>
          <w:szCs w:val="16"/>
          <w:rtl/>
        </w:rPr>
        <w:t xml:space="preserve"> </w:t>
      </w:r>
      <w:r w:rsidRPr="00004A02">
        <w:rPr>
          <w:rFonts w:ascii="Arial" w:hAnsi="Arial" w:cs="Arial"/>
          <w:color w:val="806000" w:themeColor="accent4" w:themeShade="80"/>
          <w:rtl/>
        </w:rPr>
        <w:t>ואוקימנא לר' יוחנן כר' שמעון דאמר</w:t>
      </w:r>
      <w:r w:rsidRPr="00853299">
        <w:rPr>
          <w:rStyle w:val="Style1Char"/>
          <w:color w:val="00B050"/>
          <w:rtl/>
        </w:rPr>
        <w:t xml:space="preserve">: </w:t>
      </w:r>
      <w:r w:rsidR="00A43AD2">
        <w:rPr>
          <w:rStyle w:val="Style1Char"/>
          <w:rFonts w:hint="cs"/>
          <w:rtl/>
        </w:rPr>
        <w:t>(1)</w:t>
      </w:r>
      <w:r w:rsidRPr="00004A02">
        <w:rPr>
          <w:rStyle w:val="Style1Char"/>
          <w:color w:val="auto"/>
          <w:sz w:val="22"/>
          <w:szCs w:val="22"/>
          <w:rtl/>
        </w:rPr>
        <w:t>ערב היוצא אחר חיתום שטרות - גובה מנכסים בני חורין</w:t>
      </w:r>
      <w:r w:rsidRPr="007334E8">
        <w:rPr>
          <w:rFonts w:ascii="Arial" w:hAnsi="Arial" w:cs="Arial"/>
          <w:color w:val="C00000"/>
          <w:sz w:val="16"/>
          <w:szCs w:val="16"/>
          <w:rtl/>
        </w:rPr>
        <w:t xml:space="preserve"> </w:t>
      </w:r>
      <w:r w:rsidRPr="00004A02">
        <w:rPr>
          <w:rFonts w:ascii="Arial" w:hAnsi="Arial" w:cs="Arial"/>
          <w:color w:val="806000" w:themeColor="accent4" w:themeShade="80"/>
          <w:rtl/>
        </w:rPr>
        <w:t xml:space="preserve">דלית ליה גביה ולא מידי אלא איהו חייב ליה לנפשיה שמעינן מהני כולהי דפלוגתא דר' יוחנן וריש לקיש במאן דקביל על נפשיה מילתא דלא הוה מיחייב בה וכיון דהילכתא כרבי יוחנן דאמר חייב אני לך מנה בשטר </w:t>
      </w:r>
      <w:r w:rsidRPr="00815013">
        <w:rPr>
          <w:rFonts w:ascii="Arial" w:hAnsi="Arial" w:cs="Arial"/>
          <w:color w:val="C00000"/>
          <w:rtl/>
        </w:rPr>
        <w:t xml:space="preserve">חייב ואפילו לא אמר אתם עידי כל שכן אי אמר אתם עידי דבהא אפי' ריש לקיש מודה </w:t>
      </w:r>
      <w:r w:rsidRPr="00004A02">
        <w:rPr>
          <w:rFonts w:ascii="Arial" w:hAnsi="Arial" w:cs="Arial"/>
          <w:color w:val="806000" w:themeColor="accent4" w:themeShade="80"/>
          <w:rtl/>
        </w:rPr>
        <w:t>וכל שכן אי קנו מיניה והא דאמרי' בגמ' דבני מערבא אהא מתני' במה הוא מתחייב לזון בת אשתו לא כן אמר רבי יוחנן ור"ל הכותב שטר חוב לחברו בחזקת שחייב לו ונמצא שאינו חייב אינו חייב ליתן לו כלום דלאמא רבי יוחנן ור"ל לא אפליגו בהא מילתא כל עיקר אלא תרוייהו סבירא להו דאינו חייב לא חיישינן לה אלא אגמרא דילן סמכינן דסבר בהא מילתא דפלוגתא דרבי יוחנן ור"ל היא וקי"ל דהלכה כר' יוחנן:</w:t>
      </w:r>
      <w:r w:rsidRPr="00004A02">
        <w:rPr>
          <w:rStyle w:val="Style1Char"/>
          <w:color w:val="806000" w:themeColor="accent4" w:themeShade="80"/>
          <w:sz w:val="22"/>
          <w:szCs w:val="22"/>
          <w:rtl/>
        </w:rPr>
        <w:t>,</w:t>
      </w:r>
      <w:r w:rsidRPr="00853299">
        <w:rPr>
          <w:rStyle w:val="Style1Char"/>
          <w:color w:val="00B050"/>
          <w:rtl/>
        </w:rPr>
        <w:t xml:space="preserve"> מעשה בא לפני רבי ישמעאל ואמר: גובה מנכסים בני חורין, אמר לו בן ננס: אינו גובה לא מנכסים בני חורין ולא מנכסים משועבדים, אמר לו: למה? אמר לו: הרי שהיה חונק את חבירו בשוק, ומצא חבירו ואמר לו הנח לו ואני אתן לך - פטור, שלא על אמונתו הלוהו; לימא, רבי יוחנן דאמר כרבי ישמעאל, וריש לקיש דאמר כבן ננס! אליבא דבן ננס כ"ע לא פליגי, </w:t>
      </w:r>
    </w:p>
    <w:p w14:paraId="4429672E" w14:textId="36196746" w:rsidR="00EB3354" w:rsidRDefault="00EB3354" w:rsidP="00EB3354">
      <w:pPr>
        <w:pStyle w:val="Style1"/>
        <w:rPr>
          <w:rStyle w:val="Style1Char"/>
          <w:rtl/>
        </w:rPr>
      </w:pPr>
      <w:r>
        <w:rPr>
          <w:rStyle w:val="Style1Char"/>
          <w:rFonts w:hint="cs"/>
          <w:rtl/>
        </w:rPr>
        <w:t>1)[</w:t>
      </w:r>
      <w:r w:rsidRPr="00EB3354">
        <w:rPr>
          <w:rStyle w:val="Style1Char"/>
          <w:rtl/>
        </w:rPr>
        <w:t>רמב</w:t>
      </w:r>
      <w:r w:rsidR="00736FB6">
        <w:rPr>
          <w:rStyle w:val="Style1Char"/>
          <w:rtl/>
        </w:rPr>
        <w:t>”ם \זרעים\</w:t>
      </w:r>
      <w:r w:rsidRPr="00EB3354">
        <w:rPr>
          <w:rStyle w:val="Style1Char"/>
          <w:rtl/>
        </w:rPr>
        <w:t xml:space="preserve"> הלכות ביכורים פרק יא הלכה ז</w:t>
      </w:r>
      <w:r>
        <w:rPr>
          <w:rStyle w:val="Style1Char"/>
          <w:rFonts w:hint="cs"/>
          <w:rtl/>
        </w:rPr>
        <w:t xml:space="preserve">] </w:t>
      </w:r>
      <w:r w:rsidRPr="00EB3354">
        <w:rPr>
          <w:rStyle w:val="Style1Char"/>
          <w:rtl/>
        </w:rPr>
        <w:t>כתב האב לכהן שהוא חייב לו ה' סלעים חייב ליתן לו ובנו אינו פדוי, נתן לו כלי שאינו שוה בשוק ה' סלעים וקבלו הכהן בה' סלעים הרי בנו פדוי, נתן ה' סלעים לעשרה כהנים בין בבת אחת בין בזה אחר זה יצא.</w:t>
      </w:r>
    </w:p>
    <w:p w14:paraId="4FA402AC" w14:textId="77777777" w:rsidR="00E05C95" w:rsidRPr="00F64C95" w:rsidRDefault="009A3A92" w:rsidP="00F64C95">
      <w:pPr>
        <w:pStyle w:val="Style1"/>
      </w:pPr>
      <w:r>
        <w:rPr>
          <w:rStyle w:val="Style1Char"/>
          <w:rFonts w:hint="cs"/>
          <w:rtl/>
        </w:rPr>
        <w:t>1)[</w:t>
      </w:r>
      <w:r w:rsidRPr="009A3A92">
        <w:rPr>
          <w:rStyle w:val="Style1Char"/>
          <w:rtl/>
        </w:rPr>
        <w:t>שולחן ערוך יורה דעה הלכות פדיון בכור סימן שה סעיף ד</w:t>
      </w:r>
      <w:r>
        <w:rPr>
          <w:rStyle w:val="Style1Char"/>
          <w:rFonts w:hint="cs"/>
          <w:rtl/>
        </w:rPr>
        <w:t>]</w:t>
      </w:r>
      <w:r w:rsidR="00E05C95">
        <w:rPr>
          <w:rStyle w:val="Style1Char"/>
          <w:rFonts w:hint="cs"/>
          <w:rtl/>
        </w:rPr>
        <w:t xml:space="preserve"> </w:t>
      </w:r>
      <w:r w:rsidR="00E05C95" w:rsidRPr="00F64C95">
        <w:rPr>
          <w:rtl/>
        </w:rPr>
        <w:t>כתב לכהן שהוא חייב לו חמשה סלעים בשביל פדיון בנו חייב ליתנם לו ובנו אינו פדוי (טור בשם ה"ג)</w:t>
      </w:r>
      <w:r w:rsidR="00E05C95" w:rsidRPr="00F64C95">
        <w:t>.</w:t>
      </w:r>
    </w:p>
    <w:p w14:paraId="62075706" w14:textId="4C25CC8C" w:rsidR="00E05C95" w:rsidRDefault="00E05C95" w:rsidP="00F64C95">
      <w:pPr>
        <w:pStyle w:val="Style1"/>
        <w:rPr>
          <w:rtl/>
        </w:rPr>
      </w:pPr>
      <w:r w:rsidRPr="00F64C95">
        <w:rPr>
          <w:rFonts w:hint="cs"/>
          <w:rtl/>
        </w:rPr>
        <w:t>אמר לכהן שנותן לו לפדות את בנו אסור לחזור בו מיהו אם חזר הוי חזרה (מרדכי ס"פ כל הגט) (ועיין לעיל </w:t>
      </w:r>
      <w:hyperlink r:id="rId268" w:tooltip="שולחן ערוך יורה דעה רסד" w:history="1">
        <w:r w:rsidRPr="00F64C95">
          <w:rPr>
            <w:rStyle w:val="Hyperlink"/>
            <w:rFonts w:hint="cs"/>
            <w:color w:val="7030A0"/>
            <w:u w:val="none"/>
            <w:rtl/>
          </w:rPr>
          <w:t>סי' רס"ד</w:t>
        </w:r>
      </w:hyperlink>
      <w:r w:rsidRPr="00F64C95">
        <w:rPr>
          <w:rFonts w:hint="cs"/>
        </w:rPr>
        <w:t>)</w:t>
      </w:r>
      <w:r w:rsidRPr="00F64C95">
        <w:t>:</w:t>
      </w:r>
    </w:p>
    <w:p w14:paraId="6124F39E" w14:textId="17F15CFA" w:rsidR="00015ABA" w:rsidRDefault="00015ABA" w:rsidP="00015ABA">
      <w:pPr>
        <w:pStyle w:val="Style1"/>
        <w:rPr>
          <w:rtl/>
        </w:rPr>
      </w:pPr>
      <w:r>
        <w:rPr>
          <w:rFonts w:hint="cs"/>
          <w:rtl/>
        </w:rPr>
        <w:t>2)[</w:t>
      </w:r>
      <w:r>
        <w:rPr>
          <w:rtl/>
        </w:rPr>
        <w:t>רמב</w:t>
      </w:r>
      <w:r w:rsidR="0057095E">
        <w:rPr>
          <w:rtl/>
        </w:rPr>
        <w:t>”ם \משפטים\</w:t>
      </w:r>
      <w:r>
        <w:rPr>
          <w:rtl/>
        </w:rPr>
        <w:t xml:space="preserve"> הלכות מלוה ולוה פרק כו הלכה א</w:t>
      </w:r>
      <w:r>
        <w:rPr>
          <w:rFonts w:hint="cs"/>
          <w:rtl/>
        </w:rPr>
        <w:t xml:space="preserve">] </w:t>
      </w:r>
      <w:r>
        <w:rPr>
          <w:rtl/>
        </w:rPr>
        <w:t>המלוה את חבירו בשטר ואחר שהעידו העדים בשטר בא ערב וערב את הלוה אף על פי שקנו מידו ונשתעבד לשלם כמו שביארנו כשיבא המלוה להפרע מנכסי הערב הזה אינו טורף מנכסים משועבדים, היה הערב בגופו של שטר קודם חתימת העדים אם כתבו פלוני ערב שהרי אינו מעורב עם הלוה במלוה אינו גובה ממנו מן המשועבדים אבל אם כתוב בשטר פלוני לוה מפלוני כך וכך ופלוני ערב שהרי ערבו לוה עם ערב בשטר וקנו מידו של ערב ואח"כ חתמו עדים בשטר ה"ז נפרע מנכסי ערב המשועבדים.</w:t>
      </w:r>
    </w:p>
    <w:p w14:paraId="3BF07C9F" w14:textId="7F14B592" w:rsidR="00BD00A1" w:rsidRPr="00BD00A1" w:rsidRDefault="00BD00A1" w:rsidP="00BD00A1">
      <w:pPr>
        <w:pStyle w:val="Style1"/>
      </w:pPr>
      <w:r>
        <w:rPr>
          <w:rFonts w:hint="cs"/>
          <w:rtl/>
        </w:rPr>
        <w:t>2)[</w:t>
      </w:r>
      <w:r>
        <w:rPr>
          <w:rtl/>
        </w:rPr>
        <w:t>שולחן ערוך חושן משפט הלכות ערב סימן קכט סעיף ד</w:t>
      </w:r>
      <w:r>
        <w:rPr>
          <w:rFonts w:hint="cs"/>
          <w:rtl/>
        </w:rPr>
        <w:t xml:space="preserve">] </w:t>
      </w:r>
      <w:r w:rsidRPr="00BD00A1">
        <w:rPr>
          <w:rtl/>
        </w:rPr>
        <w:t>ערב היוצא לאחר חיתום שטרות דהיינו לאחר שחתמו העדים בשטר כתב ואני ערב וניכר שכתב ידו הוא זה או שהעדים מעידים עליו י"א שמשתעבד בלא קנין לגבות ממנו מבני חורין וי"א שאינו משתעבד אלא בקנין ולהרמב"ם אפילו ערב היוצא קודם חיתום שטרות צריך קנין כל שלא נכנס ערב אלא לאחר מתן מעות</w:t>
      </w:r>
      <w:r w:rsidRPr="00BD00A1">
        <w:t>:</w:t>
      </w:r>
    </w:p>
    <w:p w14:paraId="2A674CEB" w14:textId="0A7C03DC" w:rsidR="00BD00A1" w:rsidRPr="00F64C95" w:rsidRDefault="00BD00A1" w:rsidP="00BD00A1">
      <w:pPr>
        <w:pStyle w:val="Style1"/>
      </w:pPr>
    </w:p>
    <w:p w14:paraId="4F7E6A66" w14:textId="4EA27984" w:rsidR="009A3A92" w:rsidRPr="00F64C95" w:rsidRDefault="009A3A92" w:rsidP="009A3A92">
      <w:pPr>
        <w:pStyle w:val="Style1"/>
        <w:rPr>
          <w:rStyle w:val="Style1Char"/>
        </w:rPr>
      </w:pPr>
    </w:p>
    <w:p w14:paraId="5BA0E570" w14:textId="77836503" w:rsidR="009A3A92" w:rsidRPr="00EB3354" w:rsidRDefault="009A3A92" w:rsidP="009A3A92">
      <w:pPr>
        <w:pStyle w:val="Style1"/>
        <w:rPr>
          <w:rStyle w:val="Style1Char"/>
          <w:rtl/>
        </w:rPr>
      </w:pPr>
    </w:p>
    <w:p w14:paraId="33FF51D7" w14:textId="77777777" w:rsidR="000231F5" w:rsidRPr="003579CB" w:rsidRDefault="000231F5" w:rsidP="000231F5">
      <w:pPr>
        <w:bidi/>
        <w:rPr>
          <w:rStyle w:val="Style1Char"/>
          <w:color w:val="00B050"/>
          <w:rtl/>
        </w:rPr>
      </w:pPr>
    </w:p>
    <w:p w14:paraId="64F372E1" w14:textId="77777777" w:rsidR="000231F5" w:rsidRDefault="000231F5" w:rsidP="000231F5">
      <w:pPr>
        <w:rPr>
          <w:rStyle w:val="Style1Char"/>
          <w:color w:val="00B050"/>
          <w:rtl/>
        </w:rPr>
      </w:pPr>
      <w:r>
        <w:rPr>
          <w:rStyle w:val="Style1Char"/>
          <w:color w:val="00B050"/>
          <w:rtl/>
        </w:rPr>
        <w:br w:type="page"/>
      </w:r>
    </w:p>
    <w:p w14:paraId="6A8B1068" w14:textId="014A32C2" w:rsidR="000231F5" w:rsidRPr="0087756C" w:rsidRDefault="000231F5" w:rsidP="000231F5">
      <w:pPr>
        <w:bidi/>
        <w:rPr>
          <w:rFonts w:ascii="Arial" w:hAnsi="Arial" w:cs="Arial"/>
          <w:color w:val="4472C4" w:themeColor="accent1"/>
          <w:sz w:val="16"/>
          <w:szCs w:val="16"/>
        </w:rPr>
      </w:pPr>
      <w:r w:rsidRPr="00853299">
        <w:rPr>
          <w:rStyle w:val="Style1Char"/>
          <w:color w:val="00B050"/>
          <w:sz w:val="22"/>
          <w:szCs w:val="22"/>
          <w:highlight w:val="yellow"/>
          <w:rtl/>
        </w:rPr>
        <w:lastRenderedPageBreak/>
        <w:t>[דף קב עמוד ב]</w:t>
      </w:r>
      <w:r w:rsidRPr="00853299">
        <w:rPr>
          <w:rStyle w:val="Style1Char"/>
          <w:color w:val="00B050"/>
          <w:sz w:val="22"/>
          <w:szCs w:val="22"/>
          <w:rtl/>
        </w:rPr>
        <w:t xml:space="preserve"> </w:t>
      </w:r>
      <w:r w:rsidRPr="00853299">
        <w:rPr>
          <w:rStyle w:val="Style1Char"/>
          <w:color w:val="00B050"/>
          <w:rtl/>
        </w:rPr>
        <w:t xml:space="preserve">כי פליגי - אליבא דרבי ישמעאל, רבי יוחנן כרבי ישמעאל, וריש לקיש? עד כאן לא קאמר רבי ישמעאל התם - אלא דשייך ליה לשיעבודא דאורייתא, אבל הכא לא שייך שיעבודא דאורייתא, גופא, </w:t>
      </w:r>
      <w:r w:rsidRPr="00ED2EB9">
        <w:rPr>
          <w:rStyle w:val="Style1Char"/>
          <w:color w:val="auto"/>
          <w:sz w:val="22"/>
          <w:szCs w:val="22"/>
          <w:rtl/>
        </w:rPr>
        <w:t xml:space="preserve">אמר רב גידל אמר רב: </w:t>
      </w:r>
      <w:r w:rsidR="00A95F89">
        <w:rPr>
          <w:rStyle w:val="Style1Char"/>
          <w:rFonts w:hint="cs"/>
          <w:rtl/>
        </w:rPr>
        <w:t>(1)</w:t>
      </w:r>
      <w:r w:rsidRPr="00ED2EB9">
        <w:rPr>
          <w:rStyle w:val="Style1Char"/>
          <w:color w:val="auto"/>
          <w:sz w:val="22"/>
          <w:szCs w:val="22"/>
          <w:rtl/>
        </w:rPr>
        <w:t>כמה אתה נותן לבנך? כך וכך, וכמה אתה נותן לבתך? כך וכך, עמדו וקידשו - קנו, הן הן הדברים הנקנים באמירה. אמר רבא: מסתברא מילתא דרב - בבתו נערה, דקא מטי הנאה לידיה</w:t>
      </w:r>
      <w:r w:rsidRPr="00ED2EB9">
        <w:rPr>
          <w:rFonts w:ascii="Arial" w:hAnsi="Arial" w:cs="Arial"/>
          <w:sz w:val="16"/>
          <w:szCs w:val="16"/>
          <w:rtl/>
        </w:rPr>
        <w:t xml:space="preserve"> </w:t>
      </w:r>
      <w:r w:rsidRPr="00ED2EB9">
        <w:rPr>
          <w:rFonts w:ascii="Arial" w:hAnsi="Arial" w:cs="Arial"/>
          <w:color w:val="806000" w:themeColor="accent4" w:themeShade="80"/>
          <w:rtl/>
        </w:rPr>
        <w:t>בכסף קדושיה</w:t>
      </w:r>
      <w:r w:rsidRPr="007334E8">
        <w:rPr>
          <w:rStyle w:val="Style1Char"/>
          <w:sz w:val="22"/>
          <w:szCs w:val="22"/>
          <w:rtl/>
        </w:rPr>
        <w:t xml:space="preserve">, </w:t>
      </w:r>
      <w:r w:rsidRPr="00467339">
        <w:rPr>
          <w:rStyle w:val="Style1Char"/>
          <w:color w:val="auto"/>
          <w:sz w:val="22"/>
          <w:szCs w:val="22"/>
          <w:rtl/>
        </w:rPr>
        <w:t xml:space="preserve">אבל בוגרת </w:t>
      </w:r>
      <w:r w:rsidRPr="00853299">
        <w:rPr>
          <w:rStyle w:val="Style1Char"/>
          <w:color w:val="00B050"/>
          <w:rtl/>
        </w:rPr>
        <w:t xml:space="preserve">דלא מטי הנאה לידיה - </w:t>
      </w:r>
      <w:r w:rsidRPr="007334E8">
        <w:rPr>
          <w:rFonts w:ascii="Arial" w:hAnsi="Arial" w:cs="Arial"/>
          <w:color w:val="C00000"/>
          <w:rtl/>
        </w:rPr>
        <w:t xml:space="preserve">דכסף קדושיה לעצמה </w:t>
      </w:r>
      <w:r w:rsidRPr="00467339">
        <w:rPr>
          <w:rStyle w:val="Style1Char"/>
          <w:color w:val="auto"/>
          <w:sz w:val="22"/>
          <w:szCs w:val="22"/>
          <w:rtl/>
        </w:rPr>
        <w:t>לא, והאלהים! אמר רב אפילו בוגרת, דאי לא תימא הכי, אבי הבן מאי הנאה אתא לידיה? אלא בההיא הנאה דקמיחתני אהדדי, גמרי ומקני להדדי</w:t>
      </w:r>
      <w:r w:rsidRPr="00467339">
        <w:rPr>
          <w:rFonts w:ascii="Arial" w:hAnsi="Arial" w:cs="Arial"/>
          <w:sz w:val="16"/>
          <w:szCs w:val="16"/>
          <w:rtl/>
        </w:rPr>
        <w:t xml:space="preserve"> </w:t>
      </w:r>
      <w:r w:rsidRPr="00467339">
        <w:rPr>
          <w:rFonts w:ascii="Arial" w:hAnsi="Arial" w:cs="Arial"/>
          <w:color w:val="C00000"/>
          <w:rtl/>
        </w:rPr>
        <w:t xml:space="preserve">וכן הלכתא. </w:t>
      </w:r>
      <w:r w:rsidRPr="00467339">
        <w:rPr>
          <w:rFonts w:ascii="Arial" w:hAnsi="Arial" w:cs="Arial"/>
          <w:color w:val="806000" w:themeColor="accent4" w:themeShade="80"/>
          <w:rtl/>
        </w:rPr>
        <w:t>ירושלמי אבל לא האח ע"י אחותו ולא אשה ע"י בתה ואפילו היא קטנה וגרסי' נמי התם ובלבד מן הנישואים הראשונים</w:t>
      </w:r>
      <w:r w:rsidRPr="002A6568">
        <w:rPr>
          <w:rFonts w:ascii="Arial" w:hAnsi="Arial" w:cs="Arial"/>
          <w:color w:val="4472C4" w:themeColor="accent1"/>
          <w:sz w:val="16"/>
          <w:szCs w:val="16"/>
          <w:rtl/>
        </w:rPr>
        <w:t xml:space="preserve"> </w:t>
      </w:r>
      <w:r w:rsidRPr="0087756C">
        <w:rPr>
          <w:rFonts w:ascii="Arial" w:hAnsi="Arial" w:cs="Arial"/>
          <w:color w:val="4472C4" w:themeColor="accent1"/>
          <w:sz w:val="16"/>
          <w:szCs w:val="16"/>
          <w:rtl/>
        </w:rPr>
        <w:t>ואם תאמר והא דתנן לקמן בפרק בתרא (ד' קח ב) הפוסק מעות לחתנו ופשט לו הרגל תהא יושבת עד שתלבין ראשה וכיון שהן דברים הנקנין באמירה יוציא ממנו בב"ד מה שפסק לו ויש לומר דמיירי בנשואין שניים ורשב"ם תירץ דהכא מיירי שקדשו מיד בשעת הפסיקתא וכן משמע מדקאמר עמדו וקדשו והתם בקדשו לאחר זמן ובשעת הקידושין לא הזכירו הפסיקתא וה"ר מאיר הלוי ז"ל תירץ דמיירי כשאין</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לו מעות לפרוע הפסיקתא</w:t>
      </w:r>
      <w:r w:rsidRPr="0087756C">
        <w:rPr>
          <w:rFonts w:ascii="Arial" w:hAnsi="Arial" w:cs="Arial"/>
          <w:color w:val="4472C4" w:themeColor="accent1"/>
          <w:sz w:val="16"/>
          <w:szCs w:val="16"/>
        </w:rPr>
        <w:t>:</w:t>
      </w:r>
    </w:p>
    <w:p w14:paraId="74014A7B" w14:textId="329D8E68" w:rsidR="000231F5" w:rsidRDefault="000231F5" w:rsidP="000231F5">
      <w:pPr>
        <w:bidi/>
        <w:rPr>
          <w:rStyle w:val="Style1Char"/>
          <w:color w:val="00B050"/>
          <w:rtl/>
        </w:rPr>
      </w:pPr>
      <w:r w:rsidRPr="00D16168">
        <w:rPr>
          <w:rStyle w:val="Style1Char"/>
          <w:color w:val="auto"/>
          <w:sz w:val="22"/>
          <w:szCs w:val="22"/>
          <w:rtl/>
        </w:rPr>
        <w:t xml:space="preserve">א"ל רבינא לרב אשי: דברים הללו ניתנו ליכתב או לא ניתנו ליכתב? </w:t>
      </w:r>
      <w:r w:rsidRPr="000C3C00">
        <w:rPr>
          <w:rStyle w:val="Style1Char"/>
          <w:sz w:val="22"/>
          <w:szCs w:val="22"/>
          <w:rtl/>
        </w:rPr>
        <w:t xml:space="preserve">א"ל: </w:t>
      </w:r>
      <w:r w:rsidR="00BD5BD8">
        <w:rPr>
          <w:rStyle w:val="Style1Char"/>
          <w:rFonts w:hint="cs"/>
          <w:rtl/>
        </w:rPr>
        <w:t>(1)</w:t>
      </w:r>
      <w:r w:rsidRPr="000C3C00">
        <w:rPr>
          <w:rStyle w:val="Style1Char"/>
          <w:sz w:val="22"/>
          <w:szCs w:val="22"/>
          <w:rtl/>
        </w:rPr>
        <w:t>לא ניתנו ליכתב</w:t>
      </w:r>
      <w:r w:rsidRPr="00853299">
        <w:rPr>
          <w:rStyle w:val="Style1Char"/>
          <w:color w:val="00B050"/>
          <w:rtl/>
        </w:rPr>
        <w:t xml:space="preserve">. </w:t>
      </w:r>
    </w:p>
    <w:p w14:paraId="709355AE" w14:textId="77777777" w:rsidR="000231F5" w:rsidRPr="0087756C" w:rsidRDefault="000231F5" w:rsidP="000231F5">
      <w:pPr>
        <w:bidi/>
        <w:rPr>
          <w:rFonts w:ascii="Arial" w:hAnsi="Arial" w:cs="Arial"/>
          <w:color w:val="4472C4" w:themeColor="accent1"/>
          <w:sz w:val="16"/>
          <w:szCs w:val="16"/>
        </w:rPr>
      </w:pPr>
      <w:r w:rsidRPr="0087756C">
        <w:rPr>
          <w:rFonts w:ascii="Arial" w:hAnsi="Arial" w:cs="Arial"/>
          <w:color w:val="4472C4" w:themeColor="accent1"/>
          <w:sz w:val="16"/>
          <w:szCs w:val="16"/>
          <w:rtl/>
        </w:rPr>
        <w:t>פירש רש"י נתנו חכמים כתיבה לדבר אם באו להחתים עדים בדברים הללו שהם בלא קניין או לא ניתנו ליכתב דלא ליטרוף ממשעבדי וכיון דליכא קניין לא משתעבדי נכסי. משמע מתוך פירושו דאפי' אם רוצים שניהם לכתוב אין יכולין לכתוב</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ונראה לפרש ניתנו ליכתב דכמאן דקנו מידו דמי דסתם קניין לכתיבה עומד וכותבין אפי' שלא מדעת המתחייב ור"ח ור"ת מפרשים ניתנו ליכתב כלומר ניתנו לגבות דווקא ע"י כתיבה ולאו דווקא דברים הנקנין באמירה אלא לאשמועינן דלא בעי קנין או לא ניתנו ליכתב דאף בלא כתיבה קונין</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א"ל לא ניתנו ליכתב ואי קשיא לך הא תנן מתו בנותיו נזונות מנכסים בני חורין והיא נזונת מנכסים משועבדים מפני שהיא כבעלת חוב דמשמע מינה דניתנו ליכתב התם</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כשקנו מידן דסתם קניין לכתיבה עומד</w:t>
      </w:r>
      <w:r w:rsidRPr="0087756C">
        <w:rPr>
          <w:rFonts w:ascii="Arial" w:hAnsi="Arial" w:cs="Arial"/>
          <w:color w:val="4472C4" w:themeColor="accent1"/>
          <w:sz w:val="16"/>
          <w:szCs w:val="16"/>
        </w:rPr>
        <w:t xml:space="preserve">: </w:t>
      </w:r>
    </w:p>
    <w:p w14:paraId="5F4ADDEF" w14:textId="4BD4A4C4" w:rsidR="000231F5" w:rsidRPr="00853299" w:rsidRDefault="000231F5" w:rsidP="000231F5">
      <w:pPr>
        <w:bidi/>
        <w:rPr>
          <w:rStyle w:val="Style1Char"/>
          <w:color w:val="00B050"/>
        </w:rPr>
      </w:pPr>
      <w:r w:rsidRPr="00853299">
        <w:rPr>
          <w:rStyle w:val="Style1Char"/>
          <w:color w:val="00B050"/>
          <w:rtl/>
        </w:rPr>
        <w:t xml:space="preserve">איתיביה: הפקחין היו כותבין על מנת שאזון את בתך חמש שנים כל זמן שאת עמי! מאי כותבין? אומרים. וקרי ליה לאמירה כתיבה? אין, והתנן: הכותב לאשתו דין ודברים אין לי בנכסייך, ותני ר' חייא: האומר לאשתו. ת"ש: </w:t>
      </w:r>
      <w:r w:rsidR="00821A58">
        <w:rPr>
          <w:rStyle w:val="Style1Char"/>
          <w:rFonts w:hint="cs"/>
          <w:rtl/>
        </w:rPr>
        <w:t>(2)</w:t>
      </w:r>
      <w:r w:rsidRPr="00853299">
        <w:rPr>
          <w:rStyle w:val="Style1Char"/>
          <w:color w:val="00B050"/>
          <w:rtl/>
        </w:rPr>
        <w:t xml:space="preserve">אין כותבין שטרי אירוסין ונשואין אלא מדעת שניהם, הא מדעת שניהם כותבין, מאי לאו </w:t>
      </w:r>
      <w:r w:rsidR="00012131">
        <w:rPr>
          <w:rStyle w:val="Style1Char"/>
          <w:rFonts w:hint="cs"/>
          <w:rtl/>
        </w:rPr>
        <w:t>(2)</w:t>
      </w:r>
      <w:r w:rsidRPr="00853299">
        <w:rPr>
          <w:rStyle w:val="Style1Char"/>
          <w:color w:val="00B050"/>
          <w:rtl/>
        </w:rPr>
        <w:t xml:space="preserve">שטרי פסיקתא! לא, שטרי אירוסין ממש, כדרב פפא ורב שרביא; דאיתמר: כתבו לשמה ושלא מדעתה - רבה ורבינא אמרי: מקודשת, </w:t>
      </w:r>
      <w:r w:rsidR="00FF0FCA">
        <w:rPr>
          <w:rStyle w:val="Style1Char"/>
          <w:rFonts w:hint="cs"/>
          <w:rtl/>
        </w:rPr>
        <w:t>(3)</w:t>
      </w:r>
      <w:r w:rsidRPr="00853299">
        <w:rPr>
          <w:rStyle w:val="Style1Char"/>
          <w:color w:val="00B050"/>
          <w:rtl/>
        </w:rPr>
        <w:t>רב פפא ורב שרביא אמרי: אינה מקודשת. תא שמע</w:t>
      </w:r>
      <w:r w:rsidRPr="00C1499F">
        <w:rPr>
          <w:rFonts w:ascii="Arial" w:hAnsi="Arial" w:cs="Arial"/>
          <w:color w:val="C00000"/>
          <w:sz w:val="16"/>
          <w:szCs w:val="16"/>
          <w:rtl/>
        </w:rPr>
        <w:t xml:space="preserve"> </w:t>
      </w:r>
      <w:r w:rsidRPr="00C1499F">
        <w:rPr>
          <w:rFonts w:ascii="Arial" w:hAnsi="Arial" w:cs="Arial"/>
          <w:color w:val="C00000"/>
          <w:rtl/>
        </w:rPr>
        <w:t>ואי קשיא לך הא דתנן</w:t>
      </w:r>
      <w:r w:rsidRPr="00853299">
        <w:rPr>
          <w:rStyle w:val="Style1Char"/>
          <w:color w:val="00B050"/>
          <w:rtl/>
        </w:rPr>
        <w:t xml:space="preserve">: </w:t>
      </w:r>
      <w:r w:rsidRPr="00302468">
        <w:rPr>
          <w:rStyle w:val="Style1Char"/>
          <w:sz w:val="22"/>
          <w:szCs w:val="22"/>
          <w:rtl/>
        </w:rPr>
        <w:t>מתו - בנותיהן ניזונות מנכסים בני חורין, והיא ניזונת מנכסים משועבדים, מפני שהיא כבעלת חוב</w:t>
      </w:r>
      <w:r w:rsidRPr="00C1499F">
        <w:rPr>
          <w:rFonts w:ascii="Arial" w:hAnsi="Arial" w:cs="Arial"/>
          <w:color w:val="C00000"/>
          <w:sz w:val="16"/>
          <w:szCs w:val="16"/>
          <w:rtl/>
        </w:rPr>
        <w:t xml:space="preserve"> </w:t>
      </w:r>
      <w:r w:rsidRPr="008241CD">
        <w:rPr>
          <w:rFonts w:ascii="Arial" w:hAnsi="Arial" w:cs="Arial"/>
          <w:color w:val="C00000"/>
          <w:sz w:val="16"/>
          <w:szCs w:val="16"/>
          <w:rtl/>
        </w:rPr>
        <w:t>דשמעת מינה דניתנו ליכתב</w:t>
      </w:r>
      <w:r w:rsidRPr="00302468">
        <w:rPr>
          <w:rStyle w:val="Style1Char"/>
          <w:sz w:val="22"/>
          <w:szCs w:val="22"/>
          <w:rtl/>
        </w:rPr>
        <w:t xml:space="preserve">! </w:t>
      </w:r>
      <w:r w:rsidRPr="00853299">
        <w:rPr>
          <w:rStyle w:val="Style1Char"/>
          <w:color w:val="00B050"/>
          <w:rtl/>
        </w:rPr>
        <w:t xml:space="preserve">הכא במאי עסקינן </w:t>
      </w:r>
      <w:r w:rsidRPr="00C1499F">
        <w:rPr>
          <w:rFonts w:ascii="Arial" w:hAnsi="Arial" w:cs="Arial"/>
          <w:color w:val="C00000"/>
          <w:rtl/>
        </w:rPr>
        <w:t xml:space="preserve">התם </w:t>
      </w:r>
      <w:r w:rsidRPr="00853299">
        <w:rPr>
          <w:rStyle w:val="Style1Char"/>
          <w:color w:val="00B050"/>
          <w:rtl/>
        </w:rPr>
        <w:t xml:space="preserve">- </w:t>
      </w:r>
      <w:r w:rsidR="000D0912">
        <w:rPr>
          <w:rStyle w:val="Style1Char"/>
          <w:rFonts w:hint="cs"/>
          <w:rtl/>
        </w:rPr>
        <w:t>(4)</w:t>
      </w:r>
      <w:r w:rsidRPr="00C1499F">
        <w:rPr>
          <w:rStyle w:val="Style1Char"/>
          <w:sz w:val="22"/>
          <w:szCs w:val="22"/>
          <w:rtl/>
        </w:rPr>
        <w:t>בשקנו מידו</w:t>
      </w:r>
      <w:r w:rsidRPr="00C1499F">
        <w:rPr>
          <w:rFonts w:ascii="Arial" w:hAnsi="Arial" w:cs="Arial"/>
          <w:color w:val="C00000"/>
          <w:rtl/>
        </w:rPr>
        <w:t xml:space="preserve"> דסתם קנין לכתיבה עומד</w:t>
      </w:r>
      <w:r w:rsidRPr="00853299">
        <w:rPr>
          <w:rStyle w:val="Style1Char"/>
          <w:color w:val="00B050"/>
          <w:rtl/>
        </w:rPr>
        <w:t xml:space="preserve">. אי הכי, בנות נמי! בשקנו לזו ולא קנו לזו. ומאי פסקא? איהי דהואי בשעת קנין - מהני לה קנין, בנות דלא הוו בשעת קנין - לא מהני להו קנין. מי לא עסקינן דהואי בשעת קנין, והיכי דמי? כגון דגרשה ואהדרה? אלא, איהי דליתא בתנאי ב"ד - מהני לה קנין, בנות דאיתנהו בתנאי ב"ד - לא מהני להו קנין. מגרע גרעי? אלא בנותיו היינו טעמא, כיון דאיתנהו בתנאי ב"ד - אימר צררי אתפסינהו. </w:t>
      </w:r>
    </w:p>
    <w:p w14:paraId="5630FF0D" w14:textId="672F9547" w:rsidR="000231F5" w:rsidRPr="0087756C" w:rsidRDefault="000231F5" w:rsidP="000231F5">
      <w:pPr>
        <w:bidi/>
        <w:rPr>
          <w:rFonts w:ascii="Arial" w:hAnsi="Arial" w:cs="Arial"/>
          <w:color w:val="4472C4" w:themeColor="accent1"/>
          <w:sz w:val="16"/>
          <w:szCs w:val="16"/>
        </w:rPr>
      </w:pPr>
      <w:r w:rsidRPr="00AF0BBB">
        <w:rPr>
          <w:rStyle w:val="Style1Char"/>
          <w:color w:val="auto"/>
          <w:sz w:val="22"/>
          <w:szCs w:val="22"/>
          <w:rtl/>
        </w:rPr>
        <w:t>לא יאמר הראשון</w:t>
      </w:r>
      <w:r w:rsidRPr="00AF0BBB">
        <w:rPr>
          <w:rFonts w:ascii="Arial" w:hAnsi="Arial" w:cs="Arial"/>
          <w:sz w:val="16"/>
          <w:szCs w:val="16"/>
          <w:rtl/>
        </w:rPr>
        <w:t xml:space="preserve"> </w:t>
      </w:r>
      <w:r w:rsidRPr="00AF0BBB">
        <w:rPr>
          <w:rFonts w:ascii="Arial" w:hAnsi="Arial" w:cs="Arial"/>
          <w:color w:val="806000" w:themeColor="accent4" w:themeShade="80"/>
          <w:rtl/>
        </w:rPr>
        <w:t>כשתבא אצלי אזונה</w:t>
      </w:r>
      <w:r w:rsidRPr="00C1499F">
        <w:rPr>
          <w:rStyle w:val="Style1Char"/>
          <w:sz w:val="22"/>
          <w:szCs w:val="22"/>
          <w:rtl/>
        </w:rPr>
        <w:t xml:space="preserve">. </w:t>
      </w:r>
      <w:r w:rsidRPr="00AF0BBB">
        <w:rPr>
          <w:rStyle w:val="Style1Char"/>
          <w:color w:val="auto"/>
          <w:sz w:val="22"/>
          <w:szCs w:val="22"/>
          <w:rtl/>
        </w:rPr>
        <w:t xml:space="preserve">אמר רב חסדא: </w:t>
      </w:r>
      <w:r w:rsidR="00365F85">
        <w:rPr>
          <w:rStyle w:val="Style1Char"/>
          <w:rFonts w:hint="cs"/>
          <w:rtl/>
        </w:rPr>
        <w:t>(5)</w:t>
      </w:r>
      <w:r w:rsidRPr="00AF0BBB">
        <w:rPr>
          <w:rStyle w:val="Style1Char"/>
          <w:color w:val="auto"/>
          <w:sz w:val="22"/>
          <w:szCs w:val="22"/>
          <w:rtl/>
        </w:rPr>
        <w:t>זאת אומרת, בת אצל אמה</w:t>
      </w:r>
      <w:r w:rsidRPr="00AF0BBB">
        <w:rPr>
          <w:rStyle w:val="BalloonTextChar"/>
          <w:rFonts w:cs="Arial"/>
          <w:sz w:val="22"/>
          <w:szCs w:val="22"/>
          <w:rtl/>
        </w:rPr>
        <w:t xml:space="preserve"> </w:t>
      </w:r>
      <w:r w:rsidRPr="00AF0BBB">
        <w:rPr>
          <w:rStyle w:val="Style1Char"/>
          <w:color w:val="806000" w:themeColor="accent4" w:themeShade="80"/>
          <w:sz w:val="22"/>
          <w:szCs w:val="22"/>
          <w:rtl/>
        </w:rPr>
        <w:t>לא שנא גדולה ולא שנא קטנה</w:t>
      </w:r>
      <w:r w:rsidRPr="00267C41">
        <w:rPr>
          <w:rStyle w:val="Style1Char"/>
          <w:color w:val="C00000"/>
          <w:sz w:val="22"/>
          <w:szCs w:val="22"/>
          <w:rtl/>
        </w:rPr>
        <w:t>.</w:t>
      </w:r>
      <w:r w:rsidRPr="00853299">
        <w:rPr>
          <w:rStyle w:val="Style1Char"/>
          <w:color w:val="00B050"/>
          <w:rtl/>
        </w:rPr>
        <w:t>. ממאי דבגדולה עסקינן? דלמא בקטנה עסקינן, ומשום מעשה שהיה! ד</w:t>
      </w:r>
      <w:r w:rsidRPr="00AF0BBB">
        <w:rPr>
          <w:rStyle w:val="Style1Char"/>
          <w:color w:val="auto"/>
          <w:sz w:val="22"/>
          <w:szCs w:val="22"/>
          <w:rtl/>
        </w:rPr>
        <w:t>תניא</w:t>
      </w:r>
      <w:r w:rsidRPr="00AF0BBB">
        <w:rPr>
          <w:rStyle w:val="Style1Char"/>
          <w:color w:val="806000" w:themeColor="accent4" w:themeShade="80"/>
          <w:sz w:val="22"/>
          <w:szCs w:val="22"/>
          <w:rtl/>
        </w:rPr>
        <w:t xml:space="preserve">: </w:t>
      </w:r>
      <w:r w:rsidRPr="00AF0BBB">
        <w:rPr>
          <w:rStyle w:val="Style1Char"/>
          <w:color w:val="auto"/>
          <w:sz w:val="22"/>
          <w:szCs w:val="22"/>
          <w:rtl/>
        </w:rPr>
        <w:t xml:space="preserve">מי שמת והניח בן קטן </w:t>
      </w:r>
      <w:r w:rsidRPr="00853299">
        <w:rPr>
          <w:rStyle w:val="Style1Char"/>
          <w:color w:val="00B050"/>
          <w:rtl/>
        </w:rPr>
        <w:t xml:space="preserve">לאמו, </w:t>
      </w:r>
      <w:r w:rsidRPr="00AF0BBB">
        <w:rPr>
          <w:rStyle w:val="Style1Char"/>
          <w:color w:val="auto"/>
          <w:sz w:val="22"/>
          <w:szCs w:val="22"/>
          <w:rtl/>
        </w:rPr>
        <w:t xml:space="preserve">יורשי האב אומרים יהא גדל אצלנו, ואמו אומרת יהא </w:t>
      </w:r>
      <w:r w:rsidRPr="00853299">
        <w:rPr>
          <w:rStyle w:val="Style1Char"/>
          <w:color w:val="00B050"/>
          <w:rtl/>
        </w:rPr>
        <w:t xml:space="preserve">בני </w:t>
      </w:r>
      <w:r w:rsidRPr="00AF0BBB">
        <w:rPr>
          <w:rStyle w:val="Style1Char"/>
          <w:color w:val="auto"/>
          <w:sz w:val="22"/>
          <w:szCs w:val="22"/>
          <w:rtl/>
        </w:rPr>
        <w:t>גדל אצלי</w:t>
      </w:r>
      <w:r w:rsidRPr="00AF0BBB">
        <w:rPr>
          <w:rStyle w:val="Style1Char"/>
          <w:color w:val="auto"/>
          <w:rtl/>
        </w:rPr>
        <w:t xml:space="preserve"> </w:t>
      </w:r>
      <w:r w:rsidRPr="00853299">
        <w:rPr>
          <w:rStyle w:val="Style1Char"/>
          <w:color w:val="00B050"/>
          <w:rtl/>
        </w:rPr>
        <w:t xml:space="preserve">- </w:t>
      </w:r>
      <w:r w:rsidRPr="00AF0BBB">
        <w:rPr>
          <w:rStyle w:val="Style1Char"/>
          <w:color w:val="ED7D31" w:themeColor="accent2"/>
          <w:sz w:val="22"/>
          <w:szCs w:val="22"/>
          <w:rtl/>
        </w:rPr>
        <w:t>מניחין אותו אצל אמו ו</w:t>
      </w:r>
      <w:r w:rsidRPr="00AF0BBB">
        <w:rPr>
          <w:rStyle w:val="Style1Char"/>
          <w:color w:val="auto"/>
          <w:sz w:val="22"/>
          <w:szCs w:val="22"/>
          <w:rtl/>
        </w:rPr>
        <w:t>אין</w:t>
      </w:r>
      <w:r w:rsidRPr="00AF0BBB">
        <w:rPr>
          <w:rStyle w:val="Style1Char"/>
          <w:color w:val="auto"/>
          <w:rtl/>
        </w:rPr>
        <w:t xml:space="preserve"> </w:t>
      </w:r>
      <w:r w:rsidRPr="00AF0BBB">
        <w:rPr>
          <w:rStyle w:val="Style1Char"/>
          <w:color w:val="auto"/>
          <w:sz w:val="22"/>
          <w:szCs w:val="22"/>
          <w:rtl/>
        </w:rPr>
        <w:t>מניחין אותו אצל ראוי ליורשו, מעשה היה ושחטוהו ער"ה!</w:t>
      </w:r>
      <w:r w:rsidRPr="00551558">
        <w:rPr>
          <w:rStyle w:val="Style1Char"/>
          <w:sz w:val="22"/>
          <w:szCs w:val="22"/>
          <w:rtl/>
        </w:rPr>
        <w:t xml:space="preserve"> </w:t>
      </w:r>
      <w:r w:rsidRPr="0087756C">
        <w:rPr>
          <w:rFonts w:ascii="Arial" w:hAnsi="Arial" w:cs="Arial"/>
          <w:color w:val="4472C4" w:themeColor="accent1"/>
          <w:sz w:val="16"/>
          <w:szCs w:val="16"/>
          <w:rtl/>
        </w:rPr>
        <w:t>יש אומרים הא דאמרינן הבת אצל האם היינו באלמנה דלא שבקינן לבת בהדי קרובי אביה אלא אצל אמה אבל בגרושה שבקינן לה אצל אביה וה"ר מאיר הלוי ז"ל כתב שראה בתשובת הגאונים דה"ה בגרושה והביא ראיה ממתני' דהנושא את האשה סתמא קתני</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ומשמע בין גרושה בין אלמנה ועלה קתני למקום שהיא אמה לאשמועי' דהבת אצל האם אפילו בבת גרושה נמי</w:t>
      </w:r>
      <w:r w:rsidRPr="0087756C">
        <w:rPr>
          <w:rFonts w:ascii="Arial" w:hAnsi="Arial" w:cs="Arial"/>
          <w:color w:val="4472C4" w:themeColor="accent1"/>
          <w:sz w:val="16"/>
          <w:szCs w:val="16"/>
        </w:rPr>
        <w:t xml:space="preserve">: </w:t>
      </w:r>
    </w:p>
    <w:p w14:paraId="30B57EC6" w14:textId="499F5787" w:rsidR="000231F5" w:rsidRDefault="000231F5" w:rsidP="000231F5">
      <w:pPr>
        <w:bidi/>
        <w:rPr>
          <w:rStyle w:val="Style1Char"/>
          <w:color w:val="00B050"/>
          <w:rtl/>
        </w:rPr>
      </w:pPr>
      <w:r w:rsidRPr="00853299">
        <w:rPr>
          <w:rStyle w:val="Style1Char"/>
          <w:color w:val="00B050"/>
          <w:rtl/>
        </w:rPr>
        <w:t>אם כן, ליתני למקום שהיא,</w:t>
      </w:r>
    </w:p>
    <w:p w14:paraId="00EDA95E" w14:textId="30C945E5" w:rsidR="00E815FD" w:rsidRDefault="00E815FD" w:rsidP="00E815FD">
      <w:pPr>
        <w:pStyle w:val="Style1"/>
        <w:rPr>
          <w:rStyle w:val="Style1Char"/>
          <w:rtl/>
        </w:rPr>
      </w:pPr>
      <w:r>
        <w:rPr>
          <w:rStyle w:val="Style1Char"/>
          <w:rFonts w:hint="cs"/>
          <w:rtl/>
        </w:rPr>
        <w:t>1)[</w:t>
      </w:r>
      <w:r w:rsidRPr="00E815FD">
        <w:rPr>
          <w:rStyle w:val="Style1Char"/>
          <w:rtl/>
        </w:rPr>
        <w:t>רמב</w:t>
      </w:r>
      <w:r w:rsidR="00213DA1">
        <w:rPr>
          <w:rStyle w:val="Style1Char"/>
          <w:rtl/>
        </w:rPr>
        <w:t>”ם \נשים\</w:t>
      </w:r>
      <w:r w:rsidRPr="00E815FD">
        <w:rPr>
          <w:rStyle w:val="Style1Char"/>
          <w:rtl/>
        </w:rPr>
        <w:t xml:space="preserve"> הלכות אישות פרק כג הלכה יג</w:t>
      </w:r>
      <w:r>
        <w:rPr>
          <w:rStyle w:val="Style1Char"/>
          <w:rFonts w:hint="cs"/>
          <w:rtl/>
        </w:rPr>
        <w:t xml:space="preserve">] </w:t>
      </w:r>
      <w:r w:rsidRPr="00E815FD">
        <w:rPr>
          <w:rStyle w:val="Style1Char"/>
          <w:rtl/>
        </w:rPr>
        <w:t>איש ואשה שהיו ביניהם שדוכין ואמר לה כמה את מכנסת לי כך וכך ואמרה לו וכמה אתה נותן לי או כותב לי כך וכך, וכן האב שפסק ע"י בנו ובתו כמה אתה נותן לבנך כך וכך וכמה אתה נותן לבתך כך וכך, ועמדו וקדשו, קנו אותן הדברים ואף על פי שלא היה ביניהן קנין מידם, ואלו הן הדברים הנקנין באמירה.</w:t>
      </w:r>
    </w:p>
    <w:p w14:paraId="7C5911B6" w14:textId="47A213A3" w:rsidR="006A5FFC" w:rsidRDefault="006A5FFC" w:rsidP="006A5FFC">
      <w:pPr>
        <w:pStyle w:val="Style1"/>
        <w:rPr>
          <w:rStyle w:val="Style1Char"/>
          <w:rtl/>
        </w:rPr>
      </w:pPr>
      <w:r>
        <w:rPr>
          <w:rStyle w:val="Style1Char"/>
          <w:rFonts w:hint="cs"/>
          <w:rtl/>
        </w:rPr>
        <w:t>1)[</w:t>
      </w:r>
      <w:r w:rsidRPr="006A5FFC">
        <w:rPr>
          <w:rStyle w:val="Style1Char"/>
          <w:rtl/>
        </w:rPr>
        <w:t>רמב</w:t>
      </w:r>
      <w:r w:rsidR="00C764B2">
        <w:rPr>
          <w:rStyle w:val="Style1Char"/>
          <w:rtl/>
        </w:rPr>
        <w:t>”ם \קנין\</w:t>
      </w:r>
      <w:r w:rsidRPr="006A5FFC">
        <w:rPr>
          <w:rStyle w:val="Style1Char"/>
          <w:rtl/>
        </w:rPr>
        <w:t xml:space="preserve"> הלכות זכיה ומתנה פרק ו הלכה יז</w:t>
      </w:r>
      <w:r>
        <w:rPr>
          <w:rStyle w:val="Style1Char"/>
          <w:rFonts w:hint="cs"/>
          <w:rtl/>
        </w:rPr>
        <w:t xml:space="preserve">] </w:t>
      </w:r>
      <w:r w:rsidRPr="006A5FFC">
        <w:rPr>
          <w:rStyle w:val="Style1Char"/>
          <w:rtl/>
        </w:rPr>
        <w:t>כבר ביארנו בנשואין ששנים שהיה ביניהם שדוכין ופסק זה על ידי בנו וזה על ידי בתו, ואמרו כמה אתה נותן לבנך, כך וכך, וכמה אתה נותן לבתך, כך וכך, ועמדו וקדשו, קנו באמירה, ואין קונין באמירה זו עד שעת נשואין שכל הפוסק דעתו לכנוס, וצריכין שיהיו הדברים שהן פוסקין מצויין ברשותו, שאין אדם מקנה דבר שלא בא לעולם כמו שביארנו, ודברים אלו לא ניתנו להכתב, לפיכך אינן כשטר עד שיטרוף בהן. /השגת הראב"ד/ ודברים אלו וכו' עד שיטרוף בהן. א"א דבריו מעורבים כי נראה מדבריו שהוא מפרש ניתנו להכתב או לא ניתנו אם צריכין ליכתב לגבות ממשועבדין או אין צריכין לכתוב ואח"כ אמר לפיכך אינו כשטר שיטרוף בהן וכיון שפשט שלא ניתנו ליכתב הרי הוא טורף בהם, ואולי הוא מפרש ניתנו ליכתב ולא נתן אם יש להם דין שט"ח או לא ואין דעות כל המפרשים שוות בזה עכ"ל.</w:t>
      </w:r>
    </w:p>
    <w:p w14:paraId="62F17867" w14:textId="12A71179" w:rsidR="00C2205D" w:rsidRPr="00C2205D" w:rsidRDefault="00FE251A" w:rsidP="00C2205D">
      <w:pPr>
        <w:pStyle w:val="Style1"/>
      </w:pPr>
      <w:r>
        <w:rPr>
          <w:rStyle w:val="Style1Char"/>
          <w:rFonts w:hint="cs"/>
          <w:rtl/>
        </w:rPr>
        <w:t>1)[</w:t>
      </w:r>
      <w:r w:rsidRPr="00FE251A">
        <w:rPr>
          <w:rStyle w:val="Style1Char"/>
          <w:rtl/>
        </w:rPr>
        <w:t>שולחן ערוך אבן העזר הלכות קידושין סימן נא</w:t>
      </w:r>
      <w:r>
        <w:rPr>
          <w:rStyle w:val="Style1Char"/>
          <w:rFonts w:hint="cs"/>
          <w:rtl/>
        </w:rPr>
        <w:t>]</w:t>
      </w:r>
      <w:r w:rsidR="00C2205D">
        <w:rPr>
          <w:rStyle w:val="Style1Char"/>
          <w:rFonts w:hint="cs"/>
          <w:rtl/>
        </w:rPr>
        <w:t xml:space="preserve"> </w:t>
      </w:r>
      <w:r w:rsidR="00C2205D" w:rsidRPr="00C2205D">
        <w:rPr>
          <w:rtl/>
        </w:rPr>
        <w:t>איש ואשה שהיו ביניהם שדוכין, ואמר לה: כמה את מכנסת לי, כך וכך, ואמרה לו: וכמה אתה נותן לי או כותב לי כך וכך</w:t>
      </w:r>
      <w:r w:rsidR="00C2205D" w:rsidRPr="00C2205D">
        <w:t>,</w:t>
      </w:r>
    </w:p>
    <w:p w14:paraId="64A4F8EF" w14:textId="77777777" w:rsidR="00C2205D" w:rsidRPr="00C2205D" w:rsidRDefault="00C2205D" w:rsidP="00C2205D">
      <w:pPr>
        <w:pStyle w:val="Style1"/>
      </w:pPr>
      <w:r w:rsidRPr="00C2205D">
        <w:rPr>
          <w:rFonts w:hint="cs"/>
          <w:rtl/>
        </w:rPr>
        <w:t>ואין חילוק בזה בין נשואין ראשונים לשניים (כן נראה מהרמב"ם וכן כתב </w:t>
      </w:r>
      <w:hyperlink r:id="rId269" w:tooltip="תשובות ריב&quot;ש/שמה" w:history="1">
        <w:r w:rsidRPr="00C2205D">
          <w:rPr>
            <w:rStyle w:val="Hyperlink"/>
            <w:rFonts w:hint="cs"/>
            <w:color w:val="7030A0"/>
            <w:u w:val="none"/>
            <w:rtl/>
          </w:rPr>
          <w:t>הריב"ש סימן שמ"ה</w:t>
        </w:r>
      </w:hyperlink>
      <w:r w:rsidRPr="00C2205D">
        <w:rPr>
          <w:rFonts w:hint="cs"/>
        </w:rPr>
        <w:t>)</w:t>
      </w:r>
      <w:r w:rsidRPr="00C2205D">
        <w:t>;</w:t>
      </w:r>
    </w:p>
    <w:p w14:paraId="27EEC9C9" w14:textId="77777777" w:rsidR="00C2205D" w:rsidRPr="00C2205D" w:rsidRDefault="00C2205D" w:rsidP="00C2205D">
      <w:pPr>
        <w:pStyle w:val="Style1"/>
      </w:pPr>
      <w:r w:rsidRPr="00C2205D">
        <w:rPr>
          <w:rtl/>
        </w:rPr>
        <w:t>וכן האב שפסק על ידי בנו ובתו: כמה אתה נותן לבנך כך וכך, וכמה אתה נותן לבתך כך וכך</w:t>
      </w:r>
      <w:r w:rsidRPr="00C2205D">
        <w:t>;</w:t>
      </w:r>
    </w:p>
    <w:p w14:paraId="0EBFD926" w14:textId="77777777" w:rsidR="00C2205D" w:rsidRPr="00C2205D" w:rsidRDefault="00C2205D" w:rsidP="00C2205D">
      <w:pPr>
        <w:pStyle w:val="Style1"/>
      </w:pPr>
      <w:r w:rsidRPr="00C2205D">
        <w:rPr>
          <w:rFonts w:hint="cs"/>
          <w:rtl/>
        </w:rPr>
        <w:t>הגה: ודוקא בדברים כאלו שביד האב לקיים, אבל אם פוסק על בנו שיעשה איזה דבר, כגון לילך אחריה למקום אחר -- אינו נקנה באמירה, דאין זה תלוי באב רק בבן (מרדכי פרק הנושא ובפרק מי שמת)</w:t>
      </w:r>
      <w:r w:rsidRPr="00C2205D">
        <w:t>;</w:t>
      </w:r>
    </w:p>
    <w:p w14:paraId="70FA31F6" w14:textId="77777777" w:rsidR="00C2205D" w:rsidRPr="00C2205D" w:rsidRDefault="00C2205D" w:rsidP="00C2205D">
      <w:pPr>
        <w:pStyle w:val="Style1"/>
      </w:pPr>
      <w:r w:rsidRPr="00C2205D">
        <w:rPr>
          <w:rtl/>
        </w:rPr>
        <w:t>עמדו וקדשו -- קנו אותן הדברים ואף על פי שלא היה ביניהם קנין; ואלו הן הדברים הנקנים באמירה. והוא שיהיו הדברים שפסקו מצויים ברשותם, שאין אדם מקנה דבר שלא בא לעולם. ודברים אלו לא נתנו ליכתב, לפיכך אפילו נכתבו, אינם כשטר שיטרוף בהם ממשעבדים. במה דברים אמורים? כשפסק האב לבתו, בין קטנה בין גדולה, או לבנו ובנשואין הראשונים</w:t>
      </w:r>
      <w:r w:rsidRPr="00C2205D">
        <w:t>,</w:t>
      </w:r>
    </w:p>
    <w:p w14:paraId="495B9C2F" w14:textId="47934100" w:rsidR="00C2205D" w:rsidRDefault="00C2205D" w:rsidP="00C2205D">
      <w:pPr>
        <w:pStyle w:val="Style1"/>
        <w:rPr>
          <w:rtl/>
        </w:rPr>
      </w:pPr>
      <w:r w:rsidRPr="00C2205D">
        <w:rPr>
          <w:rFonts w:hint="cs"/>
          <w:rtl/>
        </w:rPr>
        <w:t>ויש אומרים דבעינן דעמדו וקדשו מיד ולא הפסיקו בדברים אחרים, אבל הפסיקו בדברים אחרים -- לא (טור), וכן אם קדשו ואחר כך פסקו, לא מהני (תוספות פרק נערה). ויש אומרים דבעינן גם כן דהתנו כן ביחד, אבל אם עשו בלא תנאי אלא כל אחד אומר מעצמו, אינו נקנה באמירה</w:t>
      </w:r>
      <w:r w:rsidRPr="00C2205D">
        <w:rPr>
          <w:rFonts w:hint="cs"/>
        </w:rPr>
        <w:t xml:space="preserve"> (</w:t>
      </w:r>
      <w:hyperlink r:id="rId270" w:tooltip="תשובות ריב&quot;ש/שמה" w:history="1">
        <w:r w:rsidRPr="00C2205D">
          <w:rPr>
            <w:rStyle w:val="Hyperlink"/>
            <w:rFonts w:hint="cs"/>
            <w:color w:val="7030A0"/>
            <w:u w:val="none"/>
            <w:rtl/>
          </w:rPr>
          <w:t>ריב"ש סימן שמ"ה</w:t>
        </w:r>
      </w:hyperlink>
      <w:r w:rsidRPr="00C2205D">
        <w:rPr>
          <w:rFonts w:hint="cs"/>
        </w:rPr>
        <w:t>)</w:t>
      </w:r>
      <w:r w:rsidRPr="00C2205D">
        <w:t>;</w:t>
      </w:r>
    </w:p>
    <w:p w14:paraId="77316DD8" w14:textId="1264B77B" w:rsidR="00A873BF" w:rsidRPr="00C2205D" w:rsidRDefault="00A873BF" w:rsidP="00A873BF">
      <w:pPr>
        <w:pStyle w:val="Style1"/>
      </w:pPr>
      <w:r>
        <w:rPr>
          <w:rFonts w:hint="cs"/>
          <w:rtl/>
        </w:rPr>
        <w:lastRenderedPageBreak/>
        <w:t>2)[</w:t>
      </w:r>
      <w:r>
        <w:rPr>
          <w:rtl/>
        </w:rPr>
        <w:t>רמב</w:t>
      </w:r>
      <w:r w:rsidR="0057095E">
        <w:rPr>
          <w:rtl/>
        </w:rPr>
        <w:t>”ם \משפטים\</w:t>
      </w:r>
      <w:r>
        <w:rPr>
          <w:rtl/>
        </w:rPr>
        <w:t xml:space="preserve"> הלכות מלוה ולוה פרק כד הלכה א</w:t>
      </w:r>
      <w:r>
        <w:rPr>
          <w:rFonts w:hint="cs"/>
          <w:rtl/>
        </w:rPr>
        <w:t xml:space="preserve">] </w:t>
      </w:r>
      <w:r>
        <w:rPr>
          <w:rtl/>
        </w:rPr>
        <w:t>כבר ביארנו ששטר חוב שיש בו קנין כותבין אותו ללוה אף על פי שאין המלוה עמו, וכן כותבין שטר למוכר אף על פי שאין הלוקח עמו, וכן כותבין שובר למלוה אף על פי שאין הלוה עמו ושובר לאשה אף על פי שאין בעלה עמה וגט לאיש אף על פי שאין אשתו עמו, אבל אין כותבין שטרי אירוסין ונישואין ושטרי אריסות וקבלנות ושטר ברירת הדיינין או שטר טענת בעלי דינין וכל מעשה ב"ד אלא מדעת שניהם, וכל השטרות האלו צריכין להזהר בתקונן כשאר השטרות.</w:t>
      </w:r>
    </w:p>
    <w:p w14:paraId="5A838D9D" w14:textId="77777777" w:rsidR="00C2205D" w:rsidRPr="00C2205D" w:rsidRDefault="00C2205D" w:rsidP="00C2205D">
      <w:pPr>
        <w:pStyle w:val="Style1"/>
      </w:pPr>
      <w:r w:rsidRPr="00C2205D">
        <w:rPr>
          <w:rtl/>
        </w:rPr>
        <w:t>אבל אח שפסק לאחותו, או אשה שפסקה לבתה, וכן שאר קרובים, וכן האב שפסק לבנו או לבתו, בנשואין שניים -- לא קנו אותם הדברים עד שיקנו מיד הפוסק שהוא נותן כך וכך</w:t>
      </w:r>
      <w:r w:rsidRPr="00C2205D">
        <w:t>.</w:t>
      </w:r>
    </w:p>
    <w:p w14:paraId="03DCB860" w14:textId="77777777" w:rsidR="00C2205D" w:rsidRPr="00C2205D" w:rsidRDefault="00C2205D" w:rsidP="00C2205D">
      <w:pPr>
        <w:pStyle w:val="Style1"/>
      </w:pPr>
      <w:r w:rsidRPr="00C2205D">
        <w:rPr>
          <w:rFonts w:hint="cs"/>
          <w:rtl/>
        </w:rPr>
        <w:t>הגה: הדברים הנקנים באמירה, או שפסק האב וקנו מידו -- הוי כשאר חוב, ואפילו מת האב קודם שנשאת, החתן מוציא מן היורשין, ואפילו ממשעבדי, כשאר חוב</w:t>
      </w:r>
      <w:r w:rsidRPr="00C2205D">
        <w:rPr>
          <w:rFonts w:hint="cs"/>
        </w:rPr>
        <w:t xml:space="preserve"> (</w:t>
      </w:r>
      <w:hyperlink r:id="rId271" w:tooltip="תשובות ריב&quot;ש/קכט" w:history="1">
        <w:r w:rsidRPr="00C2205D">
          <w:rPr>
            <w:rStyle w:val="Hyperlink"/>
            <w:rFonts w:hint="cs"/>
            <w:color w:val="7030A0"/>
            <w:u w:val="none"/>
            <w:rtl/>
          </w:rPr>
          <w:t>ריב"ש סימן קכ"ט</w:t>
        </w:r>
      </w:hyperlink>
      <w:r w:rsidRPr="00C2205D">
        <w:rPr>
          <w:rFonts w:hint="cs"/>
        </w:rPr>
        <w:t xml:space="preserve">). </w:t>
      </w:r>
      <w:r w:rsidRPr="00C2205D">
        <w:rPr>
          <w:rFonts w:hint="cs"/>
          <w:rtl/>
        </w:rPr>
        <w:t>ויש אומרים דאין מנכין לבת מירושתה, הואיל וזכתה בהן בחיי האב; אבל אם אמר: אתן כך וכך, וכן חתן שפסק לעשות לה כתובה כך וכך, ובשעת הנשואין חוזרין בהם, עיין </w:t>
      </w:r>
      <w:hyperlink r:id="rId272" w:tooltip="שולחן ערוך חושן משפט רמה" w:history="1">
        <w:r w:rsidRPr="00C2205D">
          <w:rPr>
            <w:rStyle w:val="Hyperlink"/>
            <w:rFonts w:hint="cs"/>
            <w:color w:val="7030A0"/>
            <w:u w:val="none"/>
            <w:rtl/>
          </w:rPr>
          <w:t>בחשן המשפט סימן רמ"ה</w:t>
        </w:r>
      </w:hyperlink>
      <w:r w:rsidRPr="00C2205D">
        <w:rPr>
          <w:rFonts w:hint="cs"/>
        </w:rPr>
        <w:t> </w:t>
      </w:r>
      <w:r w:rsidRPr="00C2205D">
        <w:rPr>
          <w:rFonts w:hint="cs"/>
          <w:rtl/>
        </w:rPr>
        <w:t>אם צריך לקיים מצד הקנין, אבל מצד הקנס שפסקו על עצמן ודאי צריך לקיים, ולכן נהגו לעשות תנאים חדשים קודם הנשואין, כן נראה לי</w:t>
      </w:r>
      <w:r w:rsidRPr="00C2205D">
        <w:rPr>
          <w:rFonts w:hint="cs"/>
        </w:rPr>
        <w:t>.</w:t>
      </w:r>
    </w:p>
    <w:p w14:paraId="4599E369" w14:textId="77777777" w:rsidR="00C2205D" w:rsidRPr="00C2205D" w:rsidRDefault="00C2205D" w:rsidP="00C2205D">
      <w:pPr>
        <w:pStyle w:val="Style1"/>
      </w:pPr>
      <w:r w:rsidRPr="00C2205D">
        <w:rPr>
          <w:rtl/>
        </w:rPr>
        <w:t>וכל הדברים שנתבארו כאן שאינן נקנין באמירה, היינו דוקא במתנה מרובה, ולעשיר; אבל הפוסק לעני, צריך לקיים משום דהוי כנדר (בית יוסף בשם ר"מ וכן הוא בירושלמי); וכן בעשיר מתנה מועטת, אית בה משום מחסרי אמנה אם חוזר בו (בית יוסף בשם הרשב"ש)</w:t>
      </w:r>
      <w:r w:rsidRPr="00C2205D">
        <w:t>.</w:t>
      </w:r>
    </w:p>
    <w:p w14:paraId="3BB61740" w14:textId="77777777" w:rsidR="00C2205D" w:rsidRPr="00C2205D" w:rsidRDefault="00C2205D" w:rsidP="00C2205D">
      <w:pPr>
        <w:pStyle w:val="Style1"/>
      </w:pPr>
      <w:r w:rsidRPr="00C2205D">
        <w:rPr>
          <w:rtl/>
        </w:rPr>
        <w:t>ועיין </w:t>
      </w:r>
      <w:hyperlink r:id="rId273" w:tooltip="שולחן ערוך חושן משפט רמט" w:history="1">
        <w:r w:rsidRPr="00C2205D">
          <w:rPr>
            <w:rStyle w:val="Hyperlink"/>
            <w:color w:val="7030A0"/>
            <w:u w:val="none"/>
            <w:rtl/>
          </w:rPr>
          <w:t>בחשן המשפט סימן רמ"ט</w:t>
        </w:r>
      </w:hyperlink>
      <w:r w:rsidRPr="00C2205D">
        <w:t> </w:t>
      </w:r>
      <w:r w:rsidRPr="00C2205D">
        <w:rPr>
          <w:rtl/>
        </w:rPr>
        <w:t>בהלכות מתנה</w:t>
      </w:r>
      <w:r w:rsidRPr="00C2205D">
        <w:t>.</w:t>
      </w:r>
    </w:p>
    <w:p w14:paraId="53A6BF80" w14:textId="77777777" w:rsidR="00C2205D" w:rsidRPr="00C2205D" w:rsidRDefault="00C2205D" w:rsidP="00C2205D">
      <w:pPr>
        <w:pStyle w:val="Style1"/>
      </w:pPr>
      <w:r w:rsidRPr="00C2205D">
        <w:rPr>
          <w:rtl/>
        </w:rPr>
        <w:t>החתן צריך לשלם שכר התנאים, אם לא נכתב רק שטר אחד (נמוקי יוסף פרק גט פשוט). אבל אם נכתבו שני שטרות -- כל אחד משלם שלו</w:t>
      </w:r>
      <w:r w:rsidRPr="00C2205D">
        <w:t>.</w:t>
      </w:r>
    </w:p>
    <w:p w14:paraId="3F0D75C1" w14:textId="77777777" w:rsidR="00C2205D" w:rsidRPr="00C2205D" w:rsidRDefault="00C2205D" w:rsidP="00C2205D">
      <w:pPr>
        <w:pStyle w:val="Style1"/>
      </w:pPr>
      <w:r w:rsidRPr="00C2205D">
        <w:rPr>
          <w:rtl/>
        </w:rPr>
        <w:t>כל מה שפוסקין צריכין ליתן קודם שיכנס, אבל לא יוכל לומר: כנס ואחר כך אתן, אבל אם רוצה להשליש המעות, הרשות בידו (הגהות אלפסי)</w:t>
      </w:r>
      <w:r w:rsidRPr="00C2205D">
        <w:t>.</w:t>
      </w:r>
    </w:p>
    <w:p w14:paraId="026B484E" w14:textId="668C84A1" w:rsidR="00C2205D" w:rsidRDefault="00C2205D" w:rsidP="00C2205D">
      <w:pPr>
        <w:pStyle w:val="Style1"/>
        <w:rPr>
          <w:rtl/>
        </w:rPr>
      </w:pPr>
      <w:r w:rsidRPr="00C2205D">
        <w:rPr>
          <w:rtl/>
        </w:rPr>
        <w:t>ועיין בחשן המשפט</w:t>
      </w:r>
      <w:r w:rsidRPr="00C2205D">
        <w:t xml:space="preserve"> (</w:t>
      </w:r>
      <w:hyperlink r:id="rId274" w:anchor="%D7%A1%D7%A2%D7%99%D7%A3_%D7%97" w:tooltip="שולחן ערוך חושן משפט עג" w:history="1">
        <w:r w:rsidRPr="00C2205D">
          <w:rPr>
            <w:rStyle w:val="Hyperlink"/>
            <w:color w:val="7030A0"/>
            <w:u w:val="none"/>
            <w:rtl/>
          </w:rPr>
          <w:t>סימן ע"ג סעיף ח</w:t>
        </w:r>
        <w:r w:rsidRPr="00C2205D">
          <w:rPr>
            <w:rStyle w:val="Hyperlink"/>
            <w:color w:val="7030A0"/>
            <w:u w:val="none"/>
          </w:rPr>
          <w:t>'</w:t>
        </w:r>
      </w:hyperlink>
      <w:r w:rsidRPr="00C2205D">
        <w:t xml:space="preserve">) </w:t>
      </w:r>
      <w:r w:rsidRPr="00C2205D">
        <w:rPr>
          <w:rtl/>
        </w:rPr>
        <w:t>מי שנשבע ליתן נדוניא לחתנו והוא מרגיל קטטה עם הבת (מהרי"ק שרש פ"א</w:t>
      </w:r>
      <w:r w:rsidRPr="00C2205D">
        <w:t>):</w:t>
      </w:r>
    </w:p>
    <w:p w14:paraId="37C9028F" w14:textId="4147EEE5" w:rsidR="00AB7D15" w:rsidRDefault="00AB7D15" w:rsidP="00AB7D15">
      <w:pPr>
        <w:pStyle w:val="Style1"/>
        <w:rPr>
          <w:rtl/>
        </w:rPr>
      </w:pPr>
      <w:r>
        <w:rPr>
          <w:rFonts w:hint="cs"/>
          <w:rtl/>
        </w:rPr>
        <w:t>2)[</w:t>
      </w:r>
      <w:r>
        <w:rPr>
          <w:rtl/>
        </w:rPr>
        <w:t>טור אבן העזר הלכות קידושין סימן נא</w:t>
      </w:r>
      <w:r>
        <w:rPr>
          <w:rFonts w:hint="cs"/>
          <w:rtl/>
        </w:rPr>
        <w:t xml:space="preserve">] </w:t>
      </w:r>
      <w:r>
        <w:rPr>
          <w:rtl/>
        </w:rPr>
        <w:t>שנים שיש ביניהם שידוכין בנו של זה לבתו של זה ואמר זה לזה כמה אתה נותן לבנך כך וכך וכמה אתה נותן לבתך כך וכך עמדו וקדשו קנו באמירה בעלמא בלא קנין ובלא כתיבה לא שנא בתו גדולה ולא שנא בתו קטנה וכתב הרמב"ם צריך שיהיו הדברים שפסקו מצויין ברשותן שאין אדם מקנה דבר שלא בא לעולם ודוקא שקדשו מיד ולא הפסיקו בדברים אחרים אבל הפסיקו בדברים אחרים לא ואפי' לא הפסיקו בדברים אחרים דוקא בנישואין ראשונים אבל בשניים לא ודוקא באב הפוסק על בנו</w:t>
      </w:r>
      <w:r w:rsidR="005D7720">
        <w:rPr>
          <w:rFonts w:hint="cs"/>
          <w:rtl/>
        </w:rPr>
        <w:t xml:space="preserve"> </w:t>
      </w:r>
      <w:r>
        <w:rPr>
          <w:rtl/>
        </w:rPr>
        <w:t>או בתו אבל מי שפוסק בשביל אחותו או אחת משאר קרובותיו או אשה שפסקה בשביל בתה אינה נקנה באמירה בלא קנין והרמב"ם כתב ג"כ איש ואשה שהיו ביניהם שידוכין ואמר לה כמה את מכנסת לי כך וכך וכמה אתה נותן לי כך וכך שקונין באמירה ומיבעיא לן דברים הללו שנקנין באמירה אם ניתנו ליכתב ואסיקנא שלא ניתנו ליכתב ופירש"י שאפי' אם שניהם רוצים לכותבם ולהחתים עדים בדבר אין שומעין להם כדי שלא יוכל לטרוף ממשעבדי וכן נראה דעת הרמב"ם שכ' דברים אלו לא ניתנו ליכתב לפיכך אינו כשטר עד שיטרוף בכך ור"י פירש ודאי אם שניהם רוצים לכותבם הרשות בידם אבל מדעת אחד לבדו אין לנו לכותבם ולעשות שטר עד שירצו שניהם:</w:t>
      </w:r>
    </w:p>
    <w:p w14:paraId="7FA49A49" w14:textId="58240346" w:rsidR="00AE3F22" w:rsidRDefault="00AE3F22" w:rsidP="00AE3F22">
      <w:pPr>
        <w:pStyle w:val="Style1"/>
        <w:rPr>
          <w:rtl/>
        </w:rPr>
      </w:pPr>
      <w:r>
        <w:rPr>
          <w:rFonts w:hint="cs"/>
          <w:rtl/>
        </w:rPr>
        <w:t>3)[</w:t>
      </w:r>
      <w:r>
        <w:rPr>
          <w:rtl/>
        </w:rPr>
        <w:t>רמב</w:t>
      </w:r>
      <w:r w:rsidR="00213DA1">
        <w:rPr>
          <w:rtl/>
        </w:rPr>
        <w:t>”ם \נשים\</w:t>
      </w:r>
      <w:r>
        <w:rPr>
          <w:rtl/>
        </w:rPr>
        <w:t xml:space="preserve"> הלכות אישות פרק ג הלכה ד</w:t>
      </w:r>
      <w:r>
        <w:rPr>
          <w:rFonts w:hint="cs"/>
          <w:rtl/>
        </w:rPr>
        <w:t xml:space="preserve">] </w:t>
      </w:r>
      <w:r>
        <w:rPr>
          <w:rtl/>
        </w:rPr>
        <w:t>וצריך שיכתוב אותו לשם האשה המתקדשת כגט, ואינו כותבו אלא מדעתה, כתבו שלא לשמה או לשמה ושלא מדעתה אף על פי שנתנו לה מדעתה בפני עדים אינה מקודשת.</w:t>
      </w:r>
    </w:p>
    <w:p w14:paraId="242BD135" w14:textId="53FE24E7" w:rsidR="00881B51" w:rsidRDefault="000A46AB" w:rsidP="00881B51">
      <w:pPr>
        <w:pStyle w:val="Style1"/>
        <w:rPr>
          <w:rtl/>
        </w:rPr>
      </w:pPr>
      <w:r>
        <w:rPr>
          <w:rFonts w:hint="cs"/>
          <w:rtl/>
        </w:rPr>
        <w:t>3)[</w:t>
      </w:r>
      <w:r>
        <w:rPr>
          <w:rtl/>
        </w:rPr>
        <w:t>שולחן ערוך אבן העזר הלכות קידושין סימן לב סעיף א</w:t>
      </w:r>
      <w:r>
        <w:rPr>
          <w:rFonts w:hint="cs"/>
          <w:rtl/>
        </w:rPr>
        <w:t>]</w:t>
      </w:r>
      <w:r w:rsidR="00881B51">
        <w:rPr>
          <w:rFonts w:hint="cs"/>
          <w:rtl/>
        </w:rPr>
        <w:t xml:space="preserve"> </w:t>
      </w:r>
      <w:r w:rsidR="00881B51" w:rsidRPr="00881B51">
        <w:rPr>
          <w:rtl/>
        </w:rPr>
        <w:t>בשטר כיצד? כותב לה על הנייר או על החרס, אף על פי שאין בו שוה פרוטה, "הרי את מקודשת לי", ונותנו לה בפני עדים. וצריך שיכתוב אותו לשם האשה המתקדשת, כמו בגט. ואם כתבו שלא לשמה, אינה מקודשת. ואינו כותבו אלא לדעתה; ואם כתבו שלא לדעתה, הרי זו ספק מקודשת</w:t>
      </w:r>
      <w:r w:rsidR="00881B51" w:rsidRPr="00881B51">
        <w:t>:</w:t>
      </w:r>
    </w:p>
    <w:p w14:paraId="09FC8E3C" w14:textId="7188D845" w:rsidR="00F52DD4" w:rsidRDefault="00F52DD4" w:rsidP="00F52DD4">
      <w:pPr>
        <w:pStyle w:val="Style1"/>
        <w:rPr>
          <w:rtl/>
        </w:rPr>
      </w:pPr>
      <w:r>
        <w:rPr>
          <w:rFonts w:hint="cs"/>
          <w:rtl/>
        </w:rPr>
        <w:t>4)[</w:t>
      </w:r>
      <w:r>
        <w:rPr>
          <w:rtl/>
        </w:rPr>
        <w:t>רמב</w:t>
      </w:r>
      <w:r w:rsidR="00213DA1">
        <w:rPr>
          <w:rtl/>
        </w:rPr>
        <w:t>”ם \נשים\</w:t>
      </w:r>
      <w:r>
        <w:rPr>
          <w:rtl/>
        </w:rPr>
        <w:t xml:space="preserve"> הלכות אישות פרק כג הלכה יח</w:t>
      </w:r>
      <w:r>
        <w:rPr>
          <w:rFonts w:hint="cs"/>
          <w:rtl/>
        </w:rPr>
        <w:t xml:space="preserve">] </w:t>
      </w:r>
      <w:r>
        <w:rPr>
          <w:rtl/>
        </w:rPr>
        <w:t>נישאת הבת בתוך זמן זה הבעל חייב במזונותיה, ובעלי אמה שניהם כל אחד ואחד נותן לה דמי מזונות, מתו אלו שפסקו לזון אותה אם קנו מידן או שחייב עצמו בשטר הרי זו כבעל חוב בשטר וטורפת מזונותיה מנכסיהן המשועבדים עד סוף הזמן שפסקו, ואם פסקו בשעת הקידושין ולא היה שם קנין הרי הם דברים שלא ניתנו ליכתב ואינה טורפת במזונותיה.</w:t>
      </w:r>
    </w:p>
    <w:p w14:paraId="38E9440D" w14:textId="3EE5B369" w:rsidR="00F52DD4" w:rsidRDefault="00F52DD4" w:rsidP="00F52DD4">
      <w:pPr>
        <w:pStyle w:val="Style1"/>
        <w:rPr>
          <w:rtl/>
        </w:rPr>
      </w:pPr>
      <w:r>
        <w:rPr>
          <w:rFonts w:hint="cs"/>
          <w:rtl/>
        </w:rPr>
        <w:t>4)[</w:t>
      </w:r>
      <w:r>
        <w:rPr>
          <w:rtl/>
        </w:rPr>
        <w:t>שולחן ערוך אבן העזר הלכות כתובות סימן קיד סעיף י</w:t>
      </w:r>
      <w:r>
        <w:rPr>
          <w:rFonts w:hint="cs"/>
          <w:rtl/>
        </w:rPr>
        <w:t xml:space="preserve">] </w:t>
      </w:r>
      <w:r>
        <w:rPr>
          <w:rtl/>
        </w:rPr>
        <w:t>נשאת הבת תוך הזמן, הבעל חייב במזונותיה והשנים כל אחד ואחד נותן לה דמי מזונות.</w:t>
      </w:r>
    </w:p>
    <w:p w14:paraId="0D20AB26" w14:textId="3B31F529" w:rsidR="0051007F" w:rsidRDefault="0051007F" w:rsidP="0051007F">
      <w:pPr>
        <w:pStyle w:val="Style1"/>
        <w:rPr>
          <w:rtl/>
        </w:rPr>
      </w:pPr>
      <w:r>
        <w:rPr>
          <w:rFonts w:hint="cs"/>
          <w:rtl/>
        </w:rPr>
        <w:t>5)[</w:t>
      </w:r>
      <w:r>
        <w:rPr>
          <w:rtl/>
        </w:rPr>
        <w:t>רמב</w:t>
      </w:r>
      <w:r w:rsidR="00213DA1">
        <w:rPr>
          <w:rtl/>
        </w:rPr>
        <w:t>”ם \נשים\</w:t>
      </w:r>
      <w:r>
        <w:rPr>
          <w:rtl/>
        </w:rPr>
        <w:t xml:space="preserve"> הלכות אישות פרק כא הלכה יח</w:t>
      </w:r>
      <w:r>
        <w:rPr>
          <w:rFonts w:hint="cs"/>
          <w:rtl/>
        </w:rPr>
        <w:t xml:space="preserve">] </w:t>
      </w:r>
      <w:r>
        <w:rPr>
          <w:rtl/>
        </w:rPr>
        <w:t>כיצד היה האב ראוי לצדקה מוציאין ממנו הראוי לו בעל כרחו וזנין אותה והיא אצל אמה ואפילו נשאת האם לאחר בתה אצלה ואביה זן אותה משום צדקה עד שימות האב ותזון מנכסיו אחר מותו בתנאי כתובה והיא אצל אמה, ואם לא רצת האם שיהיו בניה אצלה אחר שגמלתן אחד זכרים ואחד נקבות הרשות בידה ונותנת אותן לאביהן או משלכת אותן לקהל אם אין להן אב והן מטפלין בהן.</w:t>
      </w:r>
    </w:p>
    <w:p w14:paraId="46BD2053" w14:textId="70A0C981" w:rsidR="00573BAD" w:rsidRPr="00573BAD" w:rsidRDefault="003F6C03" w:rsidP="00573BAD">
      <w:pPr>
        <w:pStyle w:val="Style1"/>
      </w:pPr>
      <w:r>
        <w:rPr>
          <w:rFonts w:hint="cs"/>
          <w:rtl/>
        </w:rPr>
        <w:t>5)[</w:t>
      </w:r>
      <w:r>
        <w:rPr>
          <w:rtl/>
        </w:rPr>
        <w:t>שולחן ערוך אבן העזר הלכות כתובות סימן פב סעיף ז</w:t>
      </w:r>
      <w:r>
        <w:rPr>
          <w:rFonts w:hint="cs"/>
          <w:rtl/>
        </w:rPr>
        <w:t>]</w:t>
      </w:r>
      <w:r w:rsidR="00573BAD">
        <w:rPr>
          <w:rFonts w:hint="cs"/>
          <w:rtl/>
        </w:rPr>
        <w:t xml:space="preserve"> </w:t>
      </w:r>
      <w:r w:rsidR="00573BAD" w:rsidRPr="00573BAD">
        <w:rPr>
          <w:rtl/>
        </w:rPr>
        <w:t>שלמו חדשיו וגמלתו, אם רצתה המגורשת שיהיה בנה אצלה, אין מפרישין אותו ממנה עד שיהיה בן שש שנים גמורות, אלא כופין את אביו ונותן לו מזונות והוא אצל אמו; ואחר שש שנים יש לאב לומר: אם אינו אצלי לא אתן לו מזונות. והבת אצל אמה לעולם, ואפלו לאחר שש. כיצד, היה האב ראוי לצדקה, מוציאין ממנו הראוי לה בעל כרחו, וזנין אותה והיא אצל אמה; ואפילו נשאת האם לאחר, בתה אצלה ואביה זן אותה משום צדקה, עד שימות האב ותזון אחר כך מנכסיו בתנאי כתובתה והיא אצל אמה</w:t>
      </w:r>
      <w:r w:rsidR="00573BAD" w:rsidRPr="00573BAD">
        <w:t>.</w:t>
      </w:r>
    </w:p>
    <w:p w14:paraId="608DEC3D" w14:textId="77777777" w:rsidR="00573BAD" w:rsidRPr="00573BAD" w:rsidRDefault="00573BAD" w:rsidP="00573BAD">
      <w:pPr>
        <w:pStyle w:val="Style1"/>
      </w:pPr>
      <w:r w:rsidRPr="00573BAD">
        <w:rPr>
          <w:rFonts w:hint="cs"/>
          <w:rtl/>
        </w:rPr>
        <w:t>הגה: ודוקא שנראה לבית דין שטוב לבת להיות עם אמה, אבל אם נראה להם שטוב לה יותר לישב עם בית אביה, אין האם יכולה לכוף שתהיה עמה (ר"מ פדואה סימן צ"ג). מתה האם, אין אם אמה יכולה לכוף שיהיו הבנים עמה (בית יוסף בשם הרשב"ץ)</w:t>
      </w:r>
      <w:r w:rsidRPr="00573BAD">
        <w:t>:</w:t>
      </w:r>
    </w:p>
    <w:p w14:paraId="120AD56C" w14:textId="77777777" w:rsidR="00573BAD" w:rsidRPr="00573BAD" w:rsidRDefault="00573BAD" w:rsidP="00573BAD">
      <w:pPr>
        <w:pStyle w:val="Style1"/>
      </w:pPr>
    </w:p>
    <w:p w14:paraId="14E373CC" w14:textId="24650D01" w:rsidR="003F6C03" w:rsidRDefault="003F6C03" w:rsidP="003F6C03">
      <w:pPr>
        <w:pStyle w:val="Style1"/>
        <w:rPr>
          <w:rtl/>
        </w:rPr>
      </w:pPr>
    </w:p>
    <w:p w14:paraId="308C267D" w14:textId="1FCB609E" w:rsidR="000A46AB" w:rsidRPr="00C2205D" w:rsidRDefault="000A46AB" w:rsidP="000A46AB">
      <w:pPr>
        <w:pStyle w:val="Style1"/>
      </w:pPr>
    </w:p>
    <w:p w14:paraId="51050222" w14:textId="77777777" w:rsidR="00C2205D" w:rsidRPr="00C2205D" w:rsidRDefault="00C2205D" w:rsidP="00C2205D">
      <w:pPr>
        <w:pStyle w:val="Style1"/>
        <w:rPr>
          <w:rStyle w:val="Style1Char"/>
        </w:rPr>
      </w:pPr>
    </w:p>
    <w:p w14:paraId="12F0A35B" w14:textId="5449C4FB" w:rsidR="00FE251A" w:rsidRPr="00C2205D" w:rsidRDefault="00FE251A" w:rsidP="00C2205D">
      <w:pPr>
        <w:pStyle w:val="Style1"/>
        <w:rPr>
          <w:rStyle w:val="Style1Char"/>
          <w:rtl/>
        </w:rPr>
      </w:pPr>
    </w:p>
    <w:p w14:paraId="3DCD3EBB" w14:textId="77777777" w:rsidR="000231F5" w:rsidRPr="00C2205D" w:rsidRDefault="000231F5" w:rsidP="00C2205D">
      <w:pPr>
        <w:pStyle w:val="Style1"/>
        <w:rPr>
          <w:rStyle w:val="Style1Char"/>
        </w:rPr>
      </w:pPr>
    </w:p>
    <w:p w14:paraId="05EC6CBF" w14:textId="77777777" w:rsidR="000231F5" w:rsidRPr="00C2205D" w:rsidRDefault="000231F5" w:rsidP="00C2205D">
      <w:pPr>
        <w:pStyle w:val="Style1"/>
        <w:rPr>
          <w:rStyle w:val="Style1Char"/>
          <w:rtl/>
        </w:rPr>
      </w:pPr>
    </w:p>
    <w:p w14:paraId="5A148293" w14:textId="77777777" w:rsidR="000231F5" w:rsidRPr="00C2205D" w:rsidRDefault="000231F5" w:rsidP="00C2205D">
      <w:pPr>
        <w:pStyle w:val="Style1"/>
        <w:rPr>
          <w:rStyle w:val="Style1Char"/>
          <w:rtl/>
        </w:rPr>
      </w:pPr>
      <w:r w:rsidRPr="00C2205D">
        <w:rPr>
          <w:rStyle w:val="Style1Char"/>
          <w:rtl/>
        </w:rPr>
        <w:br w:type="page"/>
      </w:r>
    </w:p>
    <w:p w14:paraId="5FE21B2A" w14:textId="77777777" w:rsidR="000231F5" w:rsidRPr="00A7541A" w:rsidRDefault="000231F5" w:rsidP="000231F5">
      <w:pPr>
        <w:bidi/>
        <w:rPr>
          <w:rStyle w:val="Style1Char"/>
          <w:sz w:val="22"/>
          <w:szCs w:val="22"/>
        </w:rPr>
      </w:pPr>
      <w:r w:rsidRPr="00853299">
        <w:rPr>
          <w:rStyle w:val="Style1Char"/>
          <w:color w:val="00B050"/>
          <w:sz w:val="22"/>
          <w:szCs w:val="22"/>
          <w:highlight w:val="yellow"/>
          <w:rtl/>
        </w:rPr>
        <w:lastRenderedPageBreak/>
        <w:t>[דף קג עמוד א]</w:t>
      </w:r>
      <w:r w:rsidRPr="00853299">
        <w:rPr>
          <w:rStyle w:val="Style1Char"/>
          <w:color w:val="00B050"/>
          <w:sz w:val="22"/>
          <w:szCs w:val="22"/>
          <w:rtl/>
        </w:rPr>
        <w:t xml:space="preserve"> </w:t>
      </w:r>
      <w:r w:rsidRPr="00853299">
        <w:rPr>
          <w:rStyle w:val="Style1Char"/>
          <w:color w:val="00B050"/>
          <w:rtl/>
        </w:rPr>
        <w:t xml:space="preserve">מאי למקום שאמה? </w:t>
      </w:r>
      <w:r w:rsidRPr="00214ECA">
        <w:rPr>
          <w:rStyle w:val="Style1Char"/>
          <w:color w:val="00B050"/>
          <w:rtl/>
        </w:rPr>
        <w:t>שמעת מינה, בת אצל האם</w:t>
      </w:r>
      <w:r w:rsidRPr="00A7541A">
        <w:rPr>
          <w:rStyle w:val="Style1Char"/>
          <w:sz w:val="22"/>
          <w:szCs w:val="22"/>
          <w:rtl/>
        </w:rPr>
        <w:t xml:space="preserve">, </w:t>
      </w:r>
      <w:r w:rsidRPr="00267C41">
        <w:rPr>
          <w:rStyle w:val="Style1Char"/>
          <w:color w:val="00B050"/>
          <w:rtl/>
        </w:rPr>
        <w:t xml:space="preserve">לא שנא גדולה ולא שנא קטנה. </w:t>
      </w:r>
    </w:p>
    <w:p w14:paraId="00390B54" w14:textId="159C5DCB" w:rsidR="000231F5" w:rsidRPr="008746F8" w:rsidRDefault="000231F5" w:rsidP="000231F5">
      <w:pPr>
        <w:bidi/>
        <w:rPr>
          <w:rStyle w:val="Style1Char"/>
          <w:color w:val="806000" w:themeColor="accent4" w:themeShade="80"/>
          <w:sz w:val="22"/>
          <w:szCs w:val="22"/>
          <w:rtl/>
        </w:rPr>
      </w:pPr>
      <w:r w:rsidRPr="00904EA1">
        <w:rPr>
          <w:rFonts w:ascii="Arial" w:hAnsi="Arial" w:cs="Arial"/>
          <w:color w:val="C00000"/>
          <w:rtl/>
        </w:rPr>
        <w:t xml:space="preserve">וכן </w:t>
      </w:r>
      <w:r w:rsidRPr="005D4E35">
        <w:rPr>
          <w:rStyle w:val="Style1Char"/>
          <w:color w:val="auto"/>
          <w:sz w:val="22"/>
          <w:szCs w:val="22"/>
          <w:rtl/>
        </w:rPr>
        <w:t xml:space="preserve">לא יאמרו שניהם </w:t>
      </w:r>
      <w:r w:rsidRPr="005D4E35">
        <w:rPr>
          <w:rFonts w:ascii="Arial" w:hAnsi="Arial" w:cs="Arial"/>
          <w:color w:val="806000" w:themeColor="accent4" w:themeShade="80"/>
          <w:rtl/>
        </w:rPr>
        <w:t>הרי אנו זנין אותה כאחת</w:t>
      </w:r>
      <w:r w:rsidRPr="00904EA1">
        <w:rPr>
          <w:rFonts w:ascii="Arial" w:hAnsi="Arial" w:cs="Arial"/>
          <w:color w:val="C00000"/>
          <w:rtl/>
        </w:rPr>
        <w:t xml:space="preserve">: </w:t>
      </w:r>
      <w:r w:rsidRPr="00853299">
        <w:rPr>
          <w:rStyle w:val="Style1Char"/>
          <w:color w:val="00B050"/>
          <w:rtl/>
        </w:rPr>
        <w:t xml:space="preserve">וכו'. </w:t>
      </w:r>
      <w:r w:rsidR="003462EB">
        <w:rPr>
          <w:rStyle w:val="Style1Char"/>
          <w:rFonts w:hint="cs"/>
          <w:rtl/>
        </w:rPr>
        <w:t>(1)</w:t>
      </w:r>
      <w:r w:rsidRPr="005D4E35">
        <w:rPr>
          <w:rStyle w:val="Style1Char"/>
          <w:color w:val="auto"/>
          <w:sz w:val="22"/>
          <w:szCs w:val="22"/>
          <w:rtl/>
        </w:rPr>
        <w:t xml:space="preserve">ההוא גברא דאוגר ליה ריחיא לחבריה לטחינה, לסוף איעתר זבין ריחיא וחמרא, אמר ליה: </w:t>
      </w:r>
      <w:r w:rsidRPr="00713340">
        <w:rPr>
          <w:rStyle w:val="Style1Char"/>
          <w:sz w:val="22"/>
          <w:szCs w:val="22"/>
          <w:rtl/>
        </w:rPr>
        <w:t>עד האידנא הוה טחיננא גבך</w:t>
      </w:r>
      <w:r w:rsidRPr="00713340">
        <w:rPr>
          <w:rFonts w:ascii="Arial" w:hAnsi="Arial" w:cs="Arial"/>
          <w:color w:val="7030A0"/>
          <w:sz w:val="16"/>
          <w:szCs w:val="16"/>
          <w:rtl/>
        </w:rPr>
        <w:t xml:space="preserve"> </w:t>
      </w:r>
      <w:r w:rsidRPr="00904EA1">
        <w:rPr>
          <w:rFonts w:ascii="Arial" w:hAnsi="Arial" w:cs="Arial"/>
          <w:color w:val="C00000"/>
          <w:rtl/>
        </w:rPr>
        <w:t>באגר ריחיא דידי</w:t>
      </w:r>
      <w:r w:rsidRPr="00904EA1">
        <w:rPr>
          <w:rStyle w:val="Style1Char"/>
          <w:sz w:val="22"/>
          <w:szCs w:val="22"/>
          <w:rtl/>
        </w:rPr>
        <w:t xml:space="preserve">, השתא </w:t>
      </w:r>
      <w:r w:rsidRPr="00904EA1">
        <w:rPr>
          <w:rFonts w:ascii="Arial" w:hAnsi="Arial" w:cs="Arial"/>
          <w:color w:val="C00000"/>
          <w:rtl/>
        </w:rPr>
        <w:t>דלא צריכנא</w:t>
      </w:r>
      <w:r w:rsidRPr="00904EA1">
        <w:rPr>
          <w:rStyle w:val="Style1Char"/>
          <w:sz w:val="32"/>
          <w:szCs w:val="32"/>
          <w:rtl/>
        </w:rPr>
        <w:t xml:space="preserve"> </w:t>
      </w:r>
      <w:r w:rsidRPr="00713340">
        <w:rPr>
          <w:rStyle w:val="Style1Char"/>
          <w:color w:val="auto"/>
          <w:sz w:val="22"/>
          <w:szCs w:val="22"/>
          <w:rtl/>
        </w:rPr>
        <w:t>הב לי אגרא</w:t>
      </w:r>
      <w:r w:rsidRPr="00904EA1">
        <w:rPr>
          <w:rStyle w:val="Style1Char"/>
          <w:sz w:val="22"/>
          <w:szCs w:val="22"/>
          <w:rtl/>
        </w:rPr>
        <w:t xml:space="preserve">, </w:t>
      </w:r>
      <w:r w:rsidRPr="00FA4EB6">
        <w:rPr>
          <w:rStyle w:val="Style1Char"/>
          <w:color w:val="auto"/>
          <w:sz w:val="22"/>
          <w:szCs w:val="22"/>
          <w:rtl/>
        </w:rPr>
        <w:t>א"ל</w:t>
      </w:r>
      <w:r w:rsidRPr="008114A3">
        <w:rPr>
          <w:rStyle w:val="Style1Char"/>
          <w:sz w:val="22"/>
          <w:szCs w:val="22"/>
          <w:rtl/>
        </w:rPr>
        <w:t xml:space="preserve">: </w:t>
      </w:r>
      <w:r w:rsidRPr="008114A3">
        <w:rPr>
          <w:rFonts w:ascii="Arial" w:hAnsi="Arial" w:cs="Arial"/>
          <w:color w:val="C00000"/>
          <w:rtl/>
        </w:rPr>
        <w:t xml:space="preserve">לא אלא </w:t>
      </w:r>
      <w:r w:rsidRPr="00FA4EB6">
        <w:rPr>
          <w:rStyle w:val="Style1Char"/>
          <w:color w:val="auto"/>
          <w:sz w:val="22"/>
          <w:szCs w:val="22"/>
          <w:rtl/>
        </w:rPr>
        <w:t>מיטחן טחיננא לך</w:t>
      </w:r>
      <w:r w:rsidRPr="00FA4EB6">
        <w:rPr>
          <w:rFonts w:ascii="Arial" w:hAnsi="Arial" w:cs="Arial"/>
          <w:sz w:val="16"/>
          <w:szCs w:val="16"/>
          <w:rtl/>
        </w:rPr>
        <w:t xml:space="preserve"> </w:t>
      </w:r>
      <w:r w:rsidRPr="008114A3">
        <w:rPr>
          <w:rFonts w:ascii="Arial" w:hAnsi="Arial" w:cs="Arial"/>
          <w:color w:val="C00000"/>
          <w:rtl/>
        </w:rPr>
        <w:t>באגרא דילך כדמעיקרא</w:t>
      </w:r>
      <w:r w:rsidRPr="008114A3">
        <w:rPr>
          <w:rStyle w:val="Style1Char"/>
          <w:sz w:val="22"/>
          <w:szCs w:val="22"/>
          <w:rtl/>
        </w:rPr>
        <w:t xml:space="preserve">; </w:t>
      </w:r>
      <w:r w:rsidRPr="00415F91">
        <w:rPr>
          <w:rStyle w:val="Style1Char"/>
          <w:color w:val="auto"/>
          <w:sz w:val="22"/>
          <w:szCs w:val="22"/>
          <w:rtl/>
        </w:rPr>
        <w:t>סבר רבינא למימר, היינו מתניתין: לא יאמרו שניהם הרי אנו זנין אותה כאחד, אלא אחד זנה ואחד נותן לה דמי מזונות</w:t>
      </w:r>
      <w:r w:rsidRPr="00415F91">
        <w:rPr>
          <w:rFonts w:ascii="Arial" w:hAnsi="Arial" w:cs="Arial"/>
          <w:sz w:val="16"/>
          <w:szCs w:val="16"/>
          <w:rtl/>
        </w:rPr>
        <w:t xml:space="preserve"> </w:t>
      </w:r>
      <w:r w:rsidRPr="00415F91">
        <w:rPr>
          <w:rFonts w:ascii="Arial" w:hAnsi="Arial" w:cs="Arial"/>
          <w:color w:val="806000" w:themeColor="accent4" w:themeShade="80"/>
          <w:rtl/>
        </w:rPr>
        <w:t>הכא נמי כיון דלא צריך לטחינה שקיל מיניה דמי</w:t>
      </w:r>
      <w:r w:rsidRPr="00853299">
        <w:rPr>
          <w:rStyle w:val="Style1Char"/>
          <w:color w:val="00B050"/>
          <w:rtl/>
        </w:rPr>
        <w:t xml:space="preserve">, </w:t>
      </w:r>
      <w:r w:rsidRPr="00415F91">
        <w:rPr>
          <w:rStyle w:val="Style1Char"/>
          <w:color w:val="auto"/>
          <w:sz w:val="22"/>
          <w:szCs w:val="22"/>
          <w:rtl/>
        </w:rPr>
        <w:t xml:space="preserve">א"ל רב עוירא: מי דמי? התם חד כריסא אית לה, תרתי כריסתא לית לה, הכא </w:t>
      </w:r>
      <w:r w:rsidRPr="00853299">
        <w:rPr>
          <w:rStyle w:val="Style1Char"/>
          <w:color w:val="00B050"/>
          <w:rtl/>
        </w:rPr>
        <w:t xml:space="preserve">מצי </w:t>
      </w:r>
      <w:r w:rsidRPr="008746F8">
        <w:rPr>
          <w:rStyle w:val="Style1Char"/>
          <w:color w:val="auto"/>
          <w:sz w:val="22"/>
          <w:szCs w:val="22"/>
          <w:rtl/>
        </w:rPr>
        <w:t xml:space="preserve">א"ל טחון וזבין, טחון ואותיב. </w:t>
      </w:r>
      <w:r w:rsidR="008A6A06">
        <w:rPr>
          <w:rStyle w:val="Style1Char"/>
          <w:rFonts w:hint="cs"/>
          <w:rtl/>
        </w:rPr>
        <w:t>(1)</w:t>
      </w:r>
      <w:r w:rsidRPr="008746F8">
        <w:rPr>
          <w:rStyle w:val="Style1Char"/>
          <w:color w:val="auto"/>
          <w:sz w:val="22"/>
          <w:szCs w:val="22"/>
          <w:rtl/>
        </w:rPr>
        <w:t xml:space="preserve">ולא אמרן אלא דלית ליה </w:t>
      </w:r>
      <w:r w:rsidRPr="00DC0852">
        <w:rPr>
          <w:rFonts w:ascii="Arial" w:hAnsi="Arial" w:cs="Arial"/>
          <w:color w:val="C00000"/>
          <w:rtl/>
        </w:rPr>
        <w:t xml:space="preserve">לאגירא </w:t>
      </w:r>
      <w:r w:rsidRPr="008746F8">
        <w:rPr>
          <w:rStyle w:val="Style1Char"/>
          <w:color w:val="auto"/>
          <w:sz w:val="22"/>
          <w:szCs w:val="22"/>
          <w:rtl/>
        </w:rPr>
        <w:t xml:space="preserve">טחינא </w:t>
      </w:r>
      <w:r w:rsidRPr="00853299">
        <w:rPr>
          <w:rStyle w:val="Style1Char"/>
          <w:color w:val="00B050"/>
          <w:rtl/>
        </w:rPr>
        <w:t xml:space="preserve">לריחיא, </w:t>
      </w:r>
      <w:r w:rsidRPr="008746F8">
        <w:rPr>
          <w:rStyle w:val="Style1Char"/>
          <w:color w:val="auto"/>
          <w:sz w:val="22"/>
          <w:szCs w:val="22"/>
          <w:rtl/>
        </w:rPr>
        <w:t>אבל אית ליה טחינא לריחיא</w:t>
      </w:r>
      <w:r w:rsidRPr="00853299">
        <w:rPr>
          <w:rStyle w:val="Style1Char"/>
          <w:color w:val="00B050"/>
          <w:rtl/>
        </w:rPr>
        <w:t xml:space="preserve">, כגון זו </w:t>
      </w:r>
      <w:r w:rsidRPr="008746F8">
        <w:rPr>
          <w:rStyle w:val="Style1Char"/>
          <w:color w:val="auto"/>
          <w:sz w:val="22"/>
          <w:szCs w:val="22"/>
          <w:rtl/>
        </w:rPr>
        <w:t>כופין אותו על מדת סדום</w:t>
      </w:r>
      <w:r w:rsidRPr="008746F8">
        <w:rPr>
          <w:rFonts w:ascii="Arial" w:hAnsi="Arial" w:cs="Arial"/>
          <w:sz w:val="16"/>
          <w:szCs w:val="16"/>
          <w:rtl/>
        </w:rPr>
        <w:t xml:space="preserve"> </w:t>
      </w:r>
      <w:r w:rsidRPr="008746F8">
        <w:rPr>
          <w:rFonts w:ascii="Arial" w:hAnsi="Arial" w:cs="Arial"/>
          <w:color w:val="806000" w:themeColor="accent4" w:themeShade="80"/>
          <w:rtl/>
        </w:rPr>
        <w:t>ויהיב דמי</w:t>
      </w:r>
      <w:r w:rsidRPr="008746F8">
        <w:rPr>
          <w:rFonts w:ascii="Arial" w:hAnsi="Arial" w:cs="Arial"/>
          <w:color w:val="806000" w:themeColor="accent4" w:themeShade="80"/>
        </w:rPr>
        <w:t>:</w:t>
      </w:r>
      <w:r w:rsidRPr="008746F8">
        <w:rPr>
          <w:rStyle w:val="Style1Char"/>
          <w:color w:val="806000" w:themeColor="accent4" w:themeShade="80"/>
          <w:sz w:val="22"/>
          <w:szCs w:val="22"/>
          <w:rtl/>
        </w:rPr>
        <w:t xml:space="preserve">. </w:t>
      </w:r>
    </w:p>
    <w:p w14:paraId="27744CAA" w14:textId="77777777" w:rsidR="000231F5" w:rsidRPr="0087756C" w:rsidRDefault="000231F5" w:rsidP="000231F5">
      <w:pPr>
        <w:bidi/>
        <w:rPr>
          <w:rFonts w:ascii="Arial" w:hAnsi="Arial" w:cs="Arial"/>
          <w:color w:val="4472C4" w:themeColor="accent1"/>
          <w:sz w:val="16"/>
          <w:szCs w:val="16"/>
        </w:rPr>
      </w:pPr>
      <w:r>
        <w:rPr>
          <w:rFonts w:ascii="Arial" w:hAnsi="Arial" w:cs="Arial" w:hint="cs"/>
          <w:color w:val="4472C4" w:themeColor="accent1"/>
          <w:sz w:val="16"/>
          <w:szCs w:val="16"/>
        </w:rPr>
        <w:t>‍</w:t>
      </w:r>
      <w:r w:rsidRPr="0087756C">
        <w:rPr>
          <w:rFonts w:ascii="Arial" w:hAnsi="Arial" w:cs="Arial"/>
          <w:color w:val="4472C4" w:themeColor="accent1"/>
          <w:sz w:val="16"/>
          <w:szCs w:val="16"/>
          <w:rtl/>
        </w:rPr>
        <w:t>ואם תאמר הואיל ואוקמא בדלית ליה טחינה אמאי הוצרך רב עוירא למימר הכא טחון וזבין טחון ואותיב אפילו אי לא אשכח המשכיר למיטחן ולמיזבן דהוי השתא כחד כריסא אכתי לא דמי למתני' דבמתניתין ליכא פסידא לבעל כי יהיב דמי דמה לי מזונות מה לי דמיהן ממה נפשך חייב ליתן לה או מזונות או דמיהן אבל שוכר אית ליה פסידא אי יהי</w:t>
      </w:r>
      <w:r>
        <w:rPr>
          <w:rFonts w:ascii="Arial" w:hAnsi="Arial" w:cs="Arial" w:hint="cs"/>
          <w:color w:val="4472C4" w:themeColor="accent1"/>
          <w:sz w:val="16"/>
          <w:szCs w:val="16"/>
          <w:rtl/>
        </w:rPr>
        <w:t>ב</w:t>
      </w:r>
      <w:r w:rsidRPr="0087756C">
        <w:rPr>
          <w:rFonts w:ascii="Arial" w:hAnsi="Arial" w:cs="Arial"/>
          <w:color w:val="4472C4" w:themeColor="accent1"/>
          <w:sz w:val="16"/>
          <w:szCs w:val="16"/>
          <w:rtl/>
        </w:rPr>
        <w:t xml:space="preserve"> דמי שהרי אינו מוצא לטחון וצריך לפרוע מכיסו ונראה דודאי בלא האי טעמא דטחון וזבין טחון ואותיב מיפטר שוכר מלמיתב דמי הואיל ואית ליה פסידא ומיהו אי לאו טעמא דטחון וזבין טחון ואותיב גם המשכיר יאמר לדידי אית לי פסידא שכר ריחיים שלי ויכול לבטל השכירות קודם הזמן ונהי דהשוכר לא יצטרך ליתן השכר מכיסו אבל לעכב הריחיים עד הזמן לא יוכל הואיל והמשכיר אית ליה פסידא אבל השתא דמצי למימר ליה טחון וזבין טחון ואותיב מצי אמר ליה לית לך פסידא אם תניח הריחיים אצלי אבל אם תחזור בך אית לי פסידא ורבינא היה סבר לאיתויי ראיה ממתניתין שיתן לו שכר או יחזור בו המשכיר ורב עוירא קאמר ליה כיון דמצי אמר ליה טחון וזבין טחון ואותיב לא יהיב ליה דמי וגם לא יחזור בו המשכיר כך פירשו התוספות ולא נהירא לי דדבר פשוט הוא דאפילו לא משכח המשכיר למיטחן ולמיזבן דהשתא אית ליה פסידא אפ"ה</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לא מצי משכיר למיהדר ביה בגו זימניה דשכירות ליומיה ממכר הוא [כדאי' ב"מ נו א] ומי הזקיקו לקנות ריחיים ויפסיד השוכר והואיל דאיכא פסידא לתרוייהו יותר ראוי שיפסיד המשכיר ויתקיים שכירות הריחיים עד זמנו והא דקאמר טחון וזבין טחון ואותיב לישנא יתירא נקט לאלומי למילתיה לא מיבעיא דבלאו האי טעמא נמי לא דמי למתני' דהא אית ליה פסידא לשוכר כי יהיב דמי ועוד אם גם אתה אינך מוצא לטחון בשכר אתה עשיר ויש לך מעות לקנות חטים קנה חטים ומכור קמח</w:t>
      </w:r>
      <w:r w:rsidRPr="0087756C">
        <w:rPr>
          <w:rFonts w:ascii="Arial" w:hAnsi="Arial" w:cs="Arial"/>
          <w:color w:val="4472C4" w:themeColor="accent1"/>
          <w:sz w:val="16"/>
          <w:szCs w:val="16"/>
        </w:rPr>
        <w:t xml:space="preserve">: </w:t>
      </w:r>
    </w:p>
    <w:p w14:paraId="33ADE39C" w14:textId="29CC4085" w:rsidR="000231F5" w:rsidRPr="008D3A0D" w:rsidRDefault="000231F5" w:rsidP="000231F5">
      <w:pPr>
        <w:bidi/>
        <w:rPr>
          <w:rStyle w:val="Style1Char"/>
          <w:color w:val="auto"/>
          <w:sz w:val="22"/>
          <w:szCs w:val="22"/>
          <w:rtl/>
        </w:rPr>
      </w:pPr>
      <w:r w:rsidRPr="008D3A0D">
        <w:rPr>
          <w:rStyle w:val="Style1Char"/>
          <w:color w:val="auto"/>
          <w:sz w:val="22"/>
          <w:szCs w:val="22"/>
          <w:rtl/>
        </w:rPr>
        <w:t xml:space="preserve">מתני'. אלמנה שאמרה אי אפשי לזוז מבית בעלי, אין היורשין יכולין לומר לה לכי לבית אביך ואנו זנין אותך, אלא זנין אותה ונותנין לה מדור לפי כבודה. </w:t>
      </w:r>
      <w:r w:rsidR="008A6A06">
        <w:rPr>
          <w:rStyle w:val="Style1Char"/>
          <w:rFonts w:hint="cs"/>
          <w:rtl/>
        </w:rPr>
        <w:t>(2)</w:t>
      </w:r>
      <w:r w:rsidRPr="008D3A0D">
        <w:rPr>
          <w:rStyle w:val="Style1Char"/>
          <w:color w:val="auto"/>
          <w:sz w:val="22"/>
          <w:szCs w:val="22"/>
          <w:rtl/>
        </w:rPr>
        <w:t xml:space="preserve">אמרה אי אפשי לזוז מבית אבא, יכולין היורשין לומר לה אם את אצלנו יש ליך מזונות, ואם אין את אצלנו אין ליך מזונות. אם היתה טוענת מפני שהיא ילדה והן ילדים, זנין אותה והיא בבית אביה. </w:t>
      </w:r>
    </w:p>
    <w:p w14:paraId="3101B555" w14:textId="56CEC3A7" w:rsidR="000231F5" w:rsidRDefault="000231F5" w:rsidP="000231F5">
      <w:pPr>
        <w:bidi/>
        <w:rPr>
          <w:rStyle w:val="Style1Char"/>
          <w:sz w:val="22"/>
          <w:szCs w:val="22"/>
          <w:rtl/>
        </w:rPr>
      </w:pPr>
      <w:r w:rsidRPr="006C17FF">
        <w:rPr>
          <w:rStyle w:val="Style1Char"/>
          <w:color w:val="auto"/>
          <w:sz w:val="22"/>
          <w:szCs w:val="22"/>
          <w:rtl/>
        </w:rPr>
        <w:t>גמ'. תנו רבנן: משתמשת במדור</w:t>
      </w:r>
      <w:r w:rsidRPr="006C17FF">
        <w:rPr>
          <w:rStyle w:val="Style1Char"/>
          <w:color w:val="auto"/>
          <w:rtl/>
        </w:rPr>
        <w:t xml:space="preserve"> כדרך </w:t>
      </w:r>
      <w:r w:rsidRPr="006C17FF">
        <w:rPr>
          <w:rStyle w:val="Style1Char"/>
          <w:color w:val="auto"/>
          <w:sz w:val="22"/>
          <w:szCs w:val="22"/>
          <w:rtl/>
        </w:rPr>
        <w:t xml:space="preserve">שמשתמשת בחיי בעלה, בעבדים ושפחות </w:t>
      </w:r>
      <w:r w:rsidRPr="004845D3">
        <w:rPr>
          <w:rStyle w:val="Style1Char"/>
          <w:sz w:val="22"/>
          <w:szCs w:val="22"/>
          <w:rtl/>
        </w:rPr>
        <w:t xml:space="preserve">- </w:t>
      </w:r>
      <w:r w:rsidRPr="00853299">
        <w:rPr>
          <w:rStyle w:val="Style1Char"/>
          <w:color w:val="00B050"/>
          <w:rtl/>
        </w:rPr>
        <w:t xml:space="preserve">כדרך </w:t>
      </w:r>
      <w:r w:rsidRPr="006C17FF">
        <w:rPr>
          <w:rStyle w:val="Style1Char"/>
          <w:color w:val="auto"/>
          <w:sz w:val="22"/>
          <w:szCs w:val="22"/>
          <w:rtl/>
        </w:rPr>
        <w:t xml:space="preserve">שמשתמשת בחיי בעלה, בכרים וכסתות </w:t>
      </w:r>
      <w:r w:rsidRPr="004845D3">
        <w:rPr>
          <w:rStyle w:val="Style1Char"/>
          <w:sz w:val="22"/>
          <w:szCs w:val="22"/>
          <w:rtl/>
        </w:rPr>
        <w:t xml:space="preserve">- </w:t>
      </w:r>
      <w:r w:rsidRPr="00853299">
        <w:rPr>
          <w:rStyle w:val="Style1Char"/>
          <w:color w:val="00B050"/>
          <w:rtl/>
        </w:rPr>
        <w:t xml:space="preserve">כדרך </w:t>
      </w:r>
      <w:r w:rsidRPr="006C17FF">
        <w:rPr>
          <w:rStyle w:val="Style1Char"/>
          <w:color w:val="auto"/>
          <w:sz w:val="22"/>
          <w:szCs w:val="22"/>
          <w:rtl/>
        </w:rPr>
        <w:t xml:space="preserve">שמשתמשת בחיי בעלה, בכלי כסף ובכלי זהב </w:t>
      </w:r>
      <w:r w:rsidRPr="004845D3">
        <w:rPr>
          <w:rStyle w:val="Style1Char"/>
          <w:sz w:val="22"/>
          <w:szCs w:val="22"/>
          <w:rtl/>
        </w:rPr>
        <w:t xml:space="preserve">- </w:t>
      </w:r>
      <w:r w:rsidRPr="00853299">
        <w:rPr>
          <w:rStyle w:val="Style1Char"/>
          <w:color w:val="00B050"/>
          <w:rtl/>
        </w:rPr>
        <w:t xml:space="preserve">כדרך </w:t>
      </w:r>
      <w:r w:rsidRPr="006C17FF">
        <w:rPr>
          <w:rStyle w:val="Style1Char"/>
          <w:color w:val="auto"/>
          <w:sz w:val="22"/>
          <w:szCs w:val="22"/>
          <w:rtl/>
        </w:rPr>
        <w:t xml:space="preserve">שמשתמשת בחיי בעלה, שכך כתב לה ואת תהא יתבת בביתי ומיתזנא מנכסי כל ימי מגר ארמלותיך. בביתי; תני רב יוסף: </w:t>
      </w:r>
      <w:r w:rsidR="00124ABB">
        <w:rPr>
          <w:rStyle w:val="Style1Char"/>
          <w:rFonts w:hint="cs"/>
          <w:rtl/>
        </w:rPr>
        <w:t>(3)</w:t>
      </w:r>
      <w:r w:rsidRPr="006C17FF">
        <w:rPr>
          <w:rStyle w:val="Style1Char"/>
          <w:color w:val="auto"/>
          <w:sz w:val="22"/>
          <w:szCs w:val="22"/>
          <w:rtl/>
        </w:rPr>
        <w:t>בביתי - ולא</w:t>
      </w:r>
      <w:r w:rsidRPr="006C17FF">
        <w:rPr>
          <w:rStyle w:val="Style1Char"/>
          <w:color w:val="auto"/>
          <w:rtl/>
        </w:rPr>
        <w:t xml:space="preserve"> </w:t>
      </w:r>
      <w:r w:rsidRPr="00853299">
        <w:rPr>
          <w:rStyle w:val="Style1Char"/>
          <w:color w:val="00B050"/>
          <w:rtl/>
        </w:rPr>
        <w:t>בבקתי</w:t>
      </w:r>
      <w:r w:rsidRPr="00F55A92">
        <w:rPr>
          <w:rFonts w:ascii="Arial" w:hAnsi="Arial" w:cs="Arial"/>
          <w:color w:val="C00000"/>
          <w:sz w:val="16"/>
          <w:szCs w:val="16"/>
          <w:rtl/>
        </w:rPr>
        <w:t xml:space="preserve"> </w:t>
      </w:r>
      <w:r w:rsidRPr="006C17FF">
        <w:rPr>
          <w:rFonts w:ascii="Arial" w:hAnsi="Arial" w:cs="Arial"/>
          <w:color w:val="806000" w:themeColor="accent4" w:themeShade="80"/>
          <w:rtl/>
        </w:rPr>
        <w:t>בעקתי</w:t>
      </w:r>
      <w:r w:rsidRPr="00853299">
        <w:rPr>
          <w:rStyle w:val="Style1Char"/>
          <w:color w:val="00B050"/>
          <w:rtl/>
        </w:rPr>
        <w:t xml:space="preserve">. </w:t>
      </w:r>
      <w:r w:rsidRPr="006C17FF">
        <w:rPr>
          <w:rStyle w:val="Style1Char"/>
          <w:color w:val="auto"/>
          <w:sz w:val="22"/>
          <w:szCs w:val="22"/>
          <w:rtl/>
        </w:rPr>
        <w:t xml:space="preserve">אמר רב נחמן: </w:t>
      </w:r>
      <w:r w:rsidR="00016619">
        <w:rPr>
          <w:rStyle w:val="Style1Char"/>
          <w:rFonts w:hint="cs"/>
          <w:rtl/>
        </w:rPr>
        <w:t>(4)</w:t>
      </w:r>
      <w:r w:rsidRPr="006C17FF">
        <w:rPr>
          <w:rStyle w:val="Style1Char"/>
          <w:color w:val="auto"/>
          <w:sz w:val="22"/>
          <w:szCs w:val="22"/>
          <w:rtl/>
        </w:rPr>
        <w:t xml:space="preserve">יתומים שמכרו מדור אלמנה - לא עשו ולא כלום. ומ"ש מדרבי אסי א"ר יוחנן? דא"ר אסי אמר ר' יוחנן: </w:t>
      </w:r>
      <w:r w:rsidR="00C10016">
        <w:rPr>
          <w:rStyle w:val="Style1Char"/>
          <w:rFonts w:hint="cs"/>
          <w:rtl/>
        </w:rPr>
        <w:t>(5)</w:t>
      </w:r>
      <w:r w:rsidRPr="006C17FF">
        <w:rPr>
          <w:rStyle w:val="Style1Char"/>
          <w:color w:val="auto"/>
          <w:sz w:val="22"/>
          <w:szCs w:val="22"/>
          <w:rtl/>
        </w:rPr>
        <w:t>יתומים שקדמו ומכרו בנכסים מועטין - מה שמכרו מכרו! התם לא</w:t>
      </w:r>
      <w:r w:rsidRPr="00D35FBC">
        <w:rPr>
          <w:rStyle w:val="Style1Char"/>
          <w:color w:val="00B050"/>
          <w:rtl/>
        </w:rPr>
        <w:t xml:space="preserve"> </w:t>
      </w:r>
      <w:r w:rsidRPr="00D35FBC">
        <w:rPr>
          <w:rStyle w:val="Style1Char"/>
          <w:color w:val="ED7D31" w:themeColor="accent2"/>
          <w:rtl/>
        </w:rPr>
        <w:t xml:space="preserve">משתעבדי לה </w:t>
      </w:r>
      <w:r w:rsidRPr="008D5930">
        <w:rPr>
          <w:rFonts w:ascii="Arial" w:hAnsi="Arial" w:cs="Arial"/>
          <w:color w:val="C00000"/>
          <w:rtl/>
        </w:rPr>
        <w:t>תפיסה</w:t>
      </w:r>
      <w:r w:rsidRPr="008D5930">
        <w:rPr>
          <w:rStyle w:val="Style1Char"/>
          <w:color w:val="00B050"/>
          <w:sz w:val="22"/>
          <w:szCs w:val="22"/>
          <w:rtl/>
        </w:rPr>
        <w:t xml:space="preserve"> </w:t>
      </w:r>
      <w:r w:rsidRPr="00D35FBC">
        <w:rPr>
          <w:rStyle w:val="Style1Char"/>
          <w:color w:val="auto"/>
          <w:sz w:val="22"/>
          <w:szCs w:val="22"/>
          <w:rtl/>
        </w:rPr>
        <w:t xml:space="preserve">מחיים, הכא </w:t>
      </w:r>
      <w:r w:rsidRPr="00D35FBC">
        <w:rPr>
          <w:rStyle w:val="Style1Char"/>
          <w:color w:val="ED7D31" w:themeColor="accent2"/>
          <w:rtl/>
        </w:rPr>
        <w:t xml:space="preserve">משתעבדי לה </w:t>
      </w:r>
      <w:r w:rsidRPr="008D5930">
        <w:rPr>
          <w:rFonts w:ascii="Arial" w:hAnsi="Arial" w:cs="Arial"/>
          <w:color w:val="C00000"/>
          <w:rtl/>
        </w:rPr>
        <w:t xml:space="preserve">תפיסה </w:t>
      </w:r>
      <w:r w:rsidRPr="00D35FBC">
        <w:rPr>
          <w:rStyle w:val="Style1Char"/>
          <w:color w:val="auto"/>
          <w:sz w:val="22"/>
          <w:szCs w:val="22"/>
          <w:rtl/>
        </w:rPr>
        <w:t>מחיים</w:t>
      </w:r>
      <w:r w:rsidRPr="00D35FBC">
        <w:rPr>
          <w:rStyle w:val="Style1Char"/>
          <w:color w:val="auto"/>
          <w:rtl/>
        </w:rPr>
        <w:t xml:space="preserve">. </w:t>
      </w:r>
      <w:r w:rsidRPr="00D35FBC">
        <w:rPr>
          <w:rStyle w:val="Style1Char"/>
          <w:color w:val="auto"/>
          <w:sz w:val="22"/>
          <w:szCs w:val="22"/>
          <w:rtl/>
        </w:rPr>
        <w:t xml:space="preserve">אמר אביי, נקיטינן: </w:t>
      </w:r>
      <w:r w:rsidR="006D25AC">
        <w:rPr>
          <w:rStyle w:val="Style1Char"/>
          <w:rFonts w:hint="cs"/>
          <w:rtl/>
        </w:rPr>
        <w:t>(3.1, 6)</w:t>
      </w:r>
      <w:r w:rsidRPr="00D35FBC">
        <w:rPr>
          <w:rStyle w:val="Style1Char"/>
          <w:color w:val="auto"/>
          <w:sz w:val="22"/>
          <w:szCs w:val="22"/>
          <w:rtl/>
        </w:rPr>
        <w:t xml:space="preserve">מדור אלמנה שנפל - אין היורשין חייבין לבנותו. תניא נמי הכי: מדור אלמנה שנפל - אין היורשין חייבין לבנותו; ולא עוד, אלא אפילו היא אומרת הניחוני ואבננו משלי - אין שומעין לה. בעי אביי: </w:t>
      </w:r>
      <w:r w:rsidR="001B260A">
        <w:rPr>
          <w:rStyle w:val="Style1Char"/>
          <w:rFonts w:hint="cs"/>
          <w:rtl/>
        </w:rPr>
        <w:t>(3.1, 6)</w:t>
      </w:r>
      <w:r w:rsidRPr="00D35FBC">
        <w:rPr>
          <w:rStyle w:val="Style1Char"/>
          <w:color w:val="auto"/>
          <w:sz w:val="22"/>
          <w:szCs w:val="22"/>
          <w:rtl/>
        </w:rPr>
        <w:t>שיפצה, מאי? תיקו</w:t>
      </w:r>
      <w:r w:rsidRPr="008D5930">
        <w:rPr>
          <w:rFonts w:ascii="Arial" w:hAnsi="Arial" w:cs="Arial"/>
          <w:color w:val="C00000"/>
          <w:sz w:val="16"/>
          <w:szCs w:val="16"/>
          <w:rtl/>
        </w:rPr>
        <w:t xml:space="preserve"> </w:t>
      </w:r>
      <w:r w:rsidRPr="00796749">
        <w:rPr>
          <w:rFonts w:ascii="Arial" w:hAnsi="Arial" w:cs="Arial"/>
          <w:color w:val="806000" w:themeColor="accent4" w:themeShade="80"/>
          <w:rtl/>
        </w:rPr>
        <w:t>הילכך לא תשפץ</w:t>
      </w:r>
      <w:r w:rsidRPr="008D5930">
        <w:rPr>
          <w:rFonts w:ascii="Arial" w:hAnsi="Arial" w:cs="Arial"/>
          <w:color w:val="C00000"/>
          <w:rtl/>
        </w:rPr>
        <w:t>:</w:t>
      </w:r>
      <w:r w:rsidRPr="00853299">
        <w:rPr>
          <w:rStyle w:val="Style1Char"/>
          <w:color w:val="00B050"/>
          <w:rtl/>
        </w:rPr>
        <w:t xml:space="preserve">. </w:t>
      </w:r>
      <w:r w:rsidRPr="008D5930">
        <w:rPr>
          <w:rStyle w:val="Style1Char"/>
          <w:sz w:val="22"/>
          <w:szCs w:val="22"/>
          <w:rtl/>
        </w:rPr>
        <w:t>אמרה אי אפשי</w:t>
      </w:r>
      <w:r w:rsidRPr="008D5930">
        <w:rPr>
          <w:rFonts w:ascii="Arial" w:hAnsi="Arial" w:cs="Arial"/>
          <w:color w:val="C00000"/>
          <w:sz w:val="16"/>
          <w:szCs w:val="16"/>
          <w:rtl/>
        </w:rPr>
        <w:t xml:space="preserve"> </w:t>
      </w:r>
      <w:r w:rsidRPr="008D5930">
        <w:rPr>
          <w:rFonts w:ascii="Arial" w:hAnsi="Arial" w:cs="Arial"/>
          <w:color w:val="C00000"/>
          <w:rtl/>
        </w:rPr>
        <w:t>לזוז מבית אבא:</w:t>
      </w:r>
      <w:r w:rsidRPr="008D5930">
        <w:rPr>
          <w:rStyle w:val="Style1Char"/>
          <w:sz w:val="22"/>
          <w:szCs w:val="22"/>
          <w:rtl/>
        </w:rPr>
        <w:t xml:space="preserve">. וליתבו לה כי יתבה התם! מסייע ליה לרב הונא, דאמר רב הונא: ברכת הבית ברובה. וליתבו לה לפי ברכת הבית! </w:t>
      </w:r>
      <w:r w:rsidRPr="008D5930">
        <w:rPr>
          <w:rStyle w:val="Style1Char"/>
          <w:rFonts w:hint="cs"/>
          <w:color w:val="C00000"/>
          <w:sz w:val="22"/>
          <w:szCs w:val="22"/>
          <w:rtl/>
        </w:rPr>
        <w:t>א</w:t>
      </w:r>
      <w:r w:rsidRPr="008D5930">
        <w:rPr>
          <w:rStyle w:val="Style1Char"/>
          <w:sz w:val="22"/>
          <w:szCs w:val="22"/>
          <w:rtl/>
        </w:rPr>
        <w:t xml:space="preserve">ה"נ. </w:t>
      </w:r>
    </w:p>
    <w:p w14:paraId="299659AB" w14:textId="02BBC4FA" w:rsidR="000231F5" w:rsidRDefault="000231F5" w:rsidP="000231F5">
      <w:pPr>
        <w:bidi/>
        <w:rPr>
          <w:rStyle w:val="Style1Char"/>
          <w:color w:val="00B050"/>
          <w:rtl/>
        </w:rPr>
      </w:pPr>
      <w:r w:rsidRPr="00853299">
        <w:rPr>
          <w:rStyle w:val="Style1Char"/>
          <w:color w:val="00B050"/>
          <w:rtl/>
        </w:rPr>
        <w:t xml:space="preserve">אמר רב הונא: לשון חכמים ברכה, לשון חכמים עושר, לשון חכמים מרפא. ברכה, הא דאמרן. עושר, דתנן: המוכר פירות לחבירו, משך ולא מדד - קנה, מדד ולא משך - לא קנה, </w:t>
      </w:r>
      <w:r w:rsidR="00BD059F">
        <w:rPr>
          <w:rStyle w:val="Style1Char"/>
          <w:rFonts w:hint="cs"/>
          <w:rtl/>
        </w:rPr>
        <w:t>(7)</w:t>
      </w:r>
      <w:r w:rsidRPr="00853299">
        <w:rPr>
          <w:rStyle w:val="Style1Char"/>
          <w:color w:val="00B050"/>
          <w:rtl/>
        </w:rPr>
        <w:t xml:space="preserve">ואם היה פקח - שוכר את מקומו. מרפא, דתנן: </w:t>
      </w:r>
      <w:r w:rsidR="00136ED8">
        <w:rPr>
          <w:rStyle w:val="Style1Char"/>
          <w:rFonts w:hint="cs"/>
          <w:rtl/>
        </w:rPr>
        <w:t>(8)</w:t>
      </w:r>
      <w:r w:rsidRPr="00853299">
        <w:rPr>
          <w:rStyle w:val="Style1Char"/>
          <w:color w:val="00B050"/>
          <w:rtl/>
        </w:rPr>
        <w:t xml:space="preserve">לא ילעוס אדם חטין ויניח על גבי מכתו בפסח, מפני שמחמיצות. ת"ר: בשעת פטירתו של רבי, אמר: לבני אני צריך, נכנסו בניו אצלו. אמר להם: הזהרו בכבוד אמכם; נר יהא דלוק במקומו, שולחן יהא ערוך במקומו, מטה תהא מוצעת במקומה; יוסף חפני, שמעון אפרתי, הם שמשוני בחיי והם ישמשוני במותי. הזהרו בכבוד אמכם. דאורייתא היא דכתיב: כבד את אביך ואת אמך! אשת אב הואי. אשת אב נמי דאורייתא היא, דתניא: </w:t>
      </w:r>
      <w:r w:rsidR="00136ED8">
        <w:rPr>
          <w:rStyle w:val="Style1Char"/>
          <w:rFonts w:hint="cs"/>
          <w:rtl/>
        </w:rPr>
        <w:t>(9)</w:t>
      </w:r>
      <w:r w:rsidRPr="00853299">
        <w:rPr>
          <w:rStyle w:val="Style1Char"/>
          <w:color w:val="00B050"/>
          <w:rtl/>
        </w:rPr>
        <w:t xml:space="preserve">כבד את אביך ואת אמך, את אביך - זו אשת אביך, ואת אמך - זו בעל אמך, </w:t>
      </w:r>
      <w:r w:rsidR="002B7EDB">
        <w:rPr>
          <w:rStyle w:val="Style1Char"/>
          <w:rFonts w:hint="cs"/>
          <w:rtl/>
        </w:rPr>
        <w:t>(9.1, 10)</w:t>
      </w:r>
      <w:r w:rsidRPr="00853299">
        <w:rPr>
          <w:rStyle w:val="Style1Char"/>
          <w:color w:val="00B050"/>
          <w:rtl/>
        </w:rPr>
        <w:t xml:space="preserve">וי"ו יתירה - לרבות את אחיך הגדול! </w:t>
      </w:r>
      <w:r w:rsidR="00EC285D">
        <w:rPr>
          <w:rStyle w:val="Style1Char"/>
          <w:rFonts w:hint="cs"/>
          <w:rtl/>
        </w:rPr>
        <w:t>(9)</w:t>
      </w:r>
      <w:r w:rsidRPr="00853299">
        <w:rPr>
          <w:rStyle w:val="Style1Char"/>
          <w:color w:val="00B050"/>
          <w:rtl/>
        </w:rPr>
        <w:t xml:space="preserve">הני מילי מחיים, אבל לאחר מיתה לא. נר יהא דלוק במקומו, שולחן יהא ערוך במקומו, מטה תהא מוצעת במקומה. מאי טעמא? כל בי שמשי הוה אתי לביתיה, ההוא בי שמשא אתאי שבבתא קא קריה אבבא, אמרה אמתיה: שתיקו, דרבי יתיב! כיון דשמע שוב לא אתא, שלא להוציא לעז על צדיקים הראשונים. יוסף חפני, שמעון אפרתי, הם שמשוני בחיי והם ישמשוני במותי. סבור מינה, בהדין עלמא הוא דקאמר, כיון דחזו דקדים ערסייהו לערסיה, אמרי: שמע מינה לההוא עלמא הוא דקאמר, והאי דאמר הכי? דלא לימרו: מילתא הואי להו, ועד האידנא נמי זכותו דרבי הוא דאהניא להו. אמר להן: לחכמי ישראל אני צריך, נכנסו אצלו חכמי ישראל. אמר להן: אל תספדוני בעיירות, </w:t>
      </w:r>
    </w:p>
    <w:p w14:paraId="68605668" w14:textId="3647D476" w:rsidR="00FB11B8" w:rsidRDefault="00FB11B8" w:rsidP="00FB11B8">
      <w:pPr>
        <w:pStyle w:val="Style1"/>
        <w:rPr>
          <w:rStyle w:val="Style1Char"/>
          <w:rtl/>
        </w:rPr>
      </w:pPr>
      <w:r>
        <w:rPr>
          <w:rStyle w:val="Style1Char"/>
          <w:rFonts w:hint="cs"/>
          <w:rtl/>
        </w:rPr>
        <w:t>1)[</w:t>
      </w:r>
      <w:r w:rsidRPr="00FB11B8">
        <w:rPr>
          <w:rStyle w:val="Style1Char"/>
          <w:rtl/>
        </w:rPr>
        <w:t>רמב</w:t>
      </w:r>
      <w:r w:rsidR="00786216">
        <w:rPr>
          <w:rStyle w:val="Style1Char"/>
          <w:rtl/>
        </w:rPr>
        <w:t>”ם \משפטים\</w:t>
      </w:r>
      <w:r w:rsidRPr="00FB11B8">
        <w:rPr>
          <w:rStyle w:val="Style1Char"/>
          <w:rtl/>
        </w:rPr>
        <w:t xml:space="preserve"> הלכות שכירות פרק ז הלכה ח</w:t>
      </w:r>
      <w:r>
        <w:rPr>
          <w:rStyle w:val="Style1Char"/>
          <w:rFonts w:hint="cs"/>
          <w:rtl/>
        </w:rPr>
        <w:t xml:space="preserve">] </w:t>
      </w:r>
      <w:r w:rsidRPr="00FB11B8">
        <w:rPr>
          <w:rStyle w:val="Style1Char"/>
          <w:rtl/>
        </w:rPr>
        <w:t>השוכר ריחיים מחבירו שיטחון לו כ' סאה בכל חדש בשכרו והעשיר בעל הריחיים והרי אינו צריך לטחון שם אם יש לשוכר חטים שצריך לטחון לעצמו או לאחרים כופין אותו ליתן דמי טחינת כ' סאה שזו מדת סדום היא, ואם אין לו יכול לומר אין לי דמים והריני טוחן לך כמו ששכרתי ואם אין אתה צריך מכור לאחרים וכן כל כיוצא בזה.</w:t>
      </w:r>
    </w:p>
    <w:p w14:paraId="3FE77DAE" w14:textId="4B7F3B90" w:rsidR="00716578" w:rsidRDefault="00716578" w:rsidP="00100E9B">
      <w:pPr>
        <w:pStyle w:val="Style1"/>
        <w:rPr>
          <w:rtl/>
        </w:rPr>
      </w:pPr>
      <w:r>
        <w:rPr>
          <w:rStyle w:val="Style1Char"/>
          <w:rFonts w:hint="cs"/>
          <w:rtl/>
        </w:rPr>
        <w:t>1)[</w:t>
      </w:r>
      <w:r w:rsidRPr="00716578">
        <w:rPr>
          <w:rStyle w:val="Style1Char"/>
          <w:rtl/>
        </w:rPr>
        <w:t>שולחן ערוך חושן משפט הלכות שוכר סימן שיח</w:t>
      </w:r>
      <w:r>
        <w:rPr>
          <w:rStyle w:val="Style1Char"/>
          <w:rFonts w:hint="cs"/>
          <w:rtl/>
        </w:rPr>
        <w:t>]</w:t>
      </w:r>
      <w:r w:rsidR="00100E9B">
        <w:rPr>
          <w:rStyle w:val="Style1Char"/>
          <w:rFonts w:hint="cs"/>
          <w:rtl/>
        </w:rPr>
        <w:t xml:space="preserve"> </w:t>
      </w:r>
      <w:r w:rsidR="00100E9B" w:rsidRPr="00100E9B">
        <w:rPr>
          <w:rtl/>
        </w:rPr>
        <w:t>השוכר רחים מחבירו שיטחן לו עשרים סאה בכל חדש בשכרו, והעשיר בעל הרחים והרי אינו צריך לטחון שם -- אם יש לשוכר חטים שצריך לטחון לעצמו או לאחרים -- כופין אותו ליתן דמי טחינת עשרים סאה, שזו מדת סדום היא. ואם אין לו, יכול לומר אין לי דמים והריני טוחן לך כמו ששכרתי ואם אין אתה צריך מכור לאחרים</w:t>
      </w:r>
      <w:r w:rsidR="00100E9B" w:rsidRPr="00100E9B">
        <w:t>.</w:t>
      </w:r>
    </w:p>
    <w:p w14:paraId="5560E37C" w14:textId="6B283218" w:rsidR="00ED28DF" w:rsidRDefault="00173CBA" w:rsidP="00ED28DF">
      <w:pPr>
        <w:pStyle w:val="Style1"/>
        <w:rPr>
          <w:rStyle w:val="Style1Char"/>
          <w:rtl/>
        </w:rPr>
      </w:pPr>
      <w:r>
        <w:rPr>
          <w:rStyle w:val="Style1Char"/>
          <w:rFonts w:hint="cs"/>
          <w:rtl/>
        </w:rPr>
        <w:t>2)[</w:t>
      </w:r>
      <w:r w:rsidRPr="00173CBA">
        <w:rPr>
          <w:rStyle w:val="Style1Char"/>
          <w:rtl/>
        </w:rPr>
        <w:t>רמב</w:t>
      </w:r>
      <w:r w:rsidR="00213DA1">
        <w:rPr>
          <w:rStyle w:val="Style1Char"/>
          <w:rtl/>
        </w:rPr>
        <w:t>”ם \נשים\</w:t>
      </w:r>
      <w:r w:rsidRPr="00173CBA">
        <w:rPr>
          <w:rStyle w:val="Style1Char"/>
          <w:rtl/>
        </w:rPr>
        <w:t xml:space="preserve"> הלכות אישות פרק יח הלכה ד</w:t>
      </w:r>
      <w:r>
        <w:rPr>
          <w:rStyle w:val="Style1Char"/>
          <w:rFonts w:hint="cs"/>
          <w:rtl/>
        </w:rPr>
        <w:t xml:space="preserve">] </w:t>
      </w:r>
      <w:r w:rsidRPr="00173CBA">
        <w:rPr>
          <w:rStyle w:val="Style1Char"/>
          <w:rtl/>
        </w:rPr>
        <w:t xml:space="preserve">ברכת הבית מרובה כיצד, חמשה שהיה מזונות כל אחד מהן קב כשיאכל לבדו אם היו חמשתן בבית אחד ואוכלין בעירוב מספיק להן ארבעת קבין, והוא הדין לשאר צרכי הבית, לפיכך אלמנה שאמרה איני זזה מבית אבי פסקו לי מזונות ותנו לי שם יכולין היורשין לומר לה אם את אצלנו יש ליך מזונות ואם לאו אין אנו נותנים ליך אלא כפי ו ברכת הבית, ואם היתה טוענת מפני שהיא ילדה והם ילדים נותנין לה מזונות המספיקין לה לבדה והיא בבית אביה, ומותר מזונות האלמנה ומותר הכסות ליורשין. /השגת הראב"ד/ ומותר מזונות האלמנה ומותר כסות </w:t>
      </w:r>
    </w:p>
    <w:p w14:paraId="7D8F7B02" w14:textId="0103EE35" w:rsidR="00BD241B" w:rsidRDefault="00BD241B" w:rsidP="00ED28DF">
      <w:pPr>
        <w:pStyle w:val="Style1"/>
        <w:rPr>
          <w:rStyle w:val="Style1Char"/>
          <w:rtl/>
        </w:rPr>
      </w:pPr>
      <w:r>
        <w:rPr>
          <w:rStyle w:val="Style1Char"/>
          <w:rFonts w:hint="cs"/>
          <w:rtl/>
        </w:rPr>
        <w:lastRenderedPageBreak/>
        <w:t>2)[</w:t>
      </w:r>
      <w:r w:rsidRPr="00BD241B">
        <w:rPr>
          <w:rStyle w:val="Style1Char"/>
          <w:rtl/>
        </w:rPr>
        <w:t>שולחן ערוך אבן העזר הלכות כתובות סימן צד סעיף ו</w:t>
      </w:r>
      <w:r>
        <w:rPr>
          <w:rStyle w:val="Style1Char"/>
          <w:rFonts w:hint="cs"/>
          <w:rtl/>
        </w:rPr>
        <w:t xml:space="preserve">] </w:t>
      </w:r>
      <w:r w:rsidRPr="00BD241B">
        <w:rPr>
          <w:rStyle w:val="Style1Char"/>
          <w:rtl/>
        </w:rPr>
        <w:t>אלמנה שאמרה: איני זזה מבית אבי, פסקו לי מזונות ותנו לי שם, יכולין היורשין לומר: אם את אצלנו יש לך מזונות, ואם לאו אין אנו נותנין לך אלא כפי ברכת הבית. ואם היתה טוענת מפני שהיא ילדה והם ילדים, נותנין לה מזונות המספיקים לה לבדה והיא בבית אביה. (וי"א שאין זה טענה אלא באשת אב שאינה אמם) (טור בשם הרמ"ה).</w:t>
      </w:r>
    </w:p>
    <w:p w14:paraId="5D57F02A" w14:textId="02272198" w:rsidR="00ED28DF" w:rsidRDefault="007848BC" w:rsidP="00ED28DF">
      <w:pPr>
        <w:pStyle w:val="Style1"/>
        <w:rPr>
          <w:rStyle w:val="Style1Char"/>
          <w:rtl/>
        </w:rPr>
      </w:pPr>
      <w:r>
        <w:rPr>
          <w:rStyle w:val="Style1Char"/>
          <w:rFonts w:hint="cs"/>
          <w:rtl/>
        </w:rPr>
        <w:t>3</w:t>
      </w:r>
      <w:r w:rsidR="00ED28DF">
        <w:rPr>
          <w:rStyle w:val="Style1Char"/>
          <w:rFonts w:hint="cs"/>
          <w:rtl/>
        </w:rPr>
        <w:t>)[</w:t>
      </w:r>
      <w:r w:rsidR="00ED28DF" w:rsidRPr="00ED28DF">
        <w:rPr>
          <w:rStyle w:val="Style1Char"/>
          <w:rtl/>
        </w:rPr>
        <w:t>רמב</w:t>
      </w:r>
      <w:r w:rsidR="00213DA1">
        <w:rPr>
          <w:rStyle w:val="Style1Char"/>
          <w:rtl/>
        </w:rPr>
        <w:t>”ם \נשים\</w:t>
      </w:r>
      <w:r w:rsidR="00ED28DF" w:rsidRPr="00ED28DF">
        <w:rPr>
          <w:rStyle w:val="Style1Char"/>
          <w:rtl/>
        </w:rPr>
        <w:t xml:space="preserve"> הלכות אישות פרק יח הלכה ג</w:t>
      </w:r>
      <w:r w:rsidR="00ED28DF">
        <w:rPr>
          <w:rStyle w:val="Style1Char"/>
          <w:rFonts w:hint="cs"/>
          <w:rtl/>
        </w:rPr>
        <w:t xml:space="preserve">] </w:t>
      </w:r>
      <w:r w:rsidR="00ED28DF" w:rsidRPr="00ED28DF">
        <w:rPr>
          <w:rStyle w:val="Style1Char"/>
          <w:rtl/>
        </w:rPr>
        <w:t xml:space="preserve">נפל הבית או שלא היה לבעלה בית אלא בשכר נותנין לה מדור לפי כבודה, וכן מזונותיה וכסותה לפי כבודה, ואם היה כבוד הבעל גדול מכבודה נותנין לה לפי כבודו מפני שעולה עמו ואינה יורדת אפילו לאחר מיתה. </w:t>
      </w:r>
      <w:r w:rsidR="00ED28DF" w:rsidRPr="00173CBA">
        <w:rPr>
          <w:rStyle w:val="Style1Char"/>
          <w:rtl/>
        </w:rPr>
        <w:t>ליורשים. א"א אף אני כך הייתי סבור עד שראיתי בירושלמי פרק אלמנה ניזונת (ה"א) רב יהודה בשם רב ר' אבהו בשם רבי יוחנן מציאתה שלה הותירה מזונות אשת איש שמציאתה שלו הותירה מזונותיה שלו אלמנה שמציאתה שלה הותירה מזונותיה שלה.</w:t>
      </w:r>
    </w:p>
    <w:p w14:paraId="31BB2540" w14:textId="061323D9" w:rsidR="002453B6" w:rsidRDefault="002453B6" w:rsidP="002453B6">
      <w:pPr>
        <w:pStyle w:val="Style1"/>
        <w:rPr>
          <w:rStyle w:val="Style1Char"/>
          <w:rtl/>
        </w:rPr>
      </w:pPr>
      <w:r>
        <w:rPr>
          <w:rStyle w:val="Style1Char"/>
          <w:rFonts w:hint="cs"/>
          <w:rtl/>
        </w:rPr>
        <w:t>3)[</w:t>
      </w:r>
      <w:r w:rsidRPr="002453B6">
        <w:rPr>
          <w:rStyle w:val="Style1Char"/>
          <w:rtl/>
        </w:rPr>
        <w:t>שולחן ערוך אבן העזר הלכות כתובות סימן צד סעיף ה</w:t>
      </w:r>
      <w:r>
        <w:rPr>
          <w:rStyle w:val="Style1Char"/>
          <w:rFonts w:hint="cs"/>
          <w:rtl/>
        </w:rPr>
        <w:t xml:space="preserve">] </w:t>
      </w:r>
      <w:r w:rsidRPr="002453B6">
        <w:rPr>
          <w:rStyle w:val="Style1Char"/>
          <w:rtl/>
        </w:rPr>
        <w:t>נפל הבית, או שלא היה לבעלה בית אלא בשכר, נותנין לה מדור לפי כבודה, וכן מזונותיה וכסותה לפי כבודה. ואם היה כבוד בעלה גדול, נותנין לה לפי כבודו.</w:t>
      </w:r>
    </w:p>
    <w:p w14:paraId="2752DF0D" w14:textId="6EACE1F2" w:rsidR="00E76F80" w:rsidRDefault="00E76F80" w:rsidP="00E76F80">
      <w:pPr>
        <w:pStyle w:val="Style1"/>
        <w:rPr>
          <w:rStyle w:val="Style1Char"/>
          <w:rtl/>
        </w:rPr>
      </w:pPr>
      <w:r>
        <w:rPr>
          <w:rStyle w:val="Style1Char"/>
          <w:rFonts w:hint="cs"/>
          <w:rtl/>
        </w:rPr>
        <w:t>4)[</w:t>
      </w:r>
      <w:r w:rsidRPr="00E76F80">
        <w:rPr>
          <w:rStyle w:val="Style1Char"/>
          <w:rtl/>
        </w:rPr>
        <w:t>רמב</w:t>
      </w:r>
      <w:r w:rsidR="00213DA1">
        <w:rPr>
          <w:rStyle w:val="Style1Char"/>
          <w:rtl/>
        </w:rPr>
        <w:t>”ם \נשים\</w:t>
      </w:r>
      <w:r w:rsidRPr="00E76F80">
        <w:rPr>
          <w:rStyle w:val="Style1Char"/>
          <w:rtl/>
        </w:rPr>
        <w:t xml:space="preserve"> הלכות אישות פרק יח הלכה ב</w:t>
      </w:r>
      <w:r>
        <w:rPr>
          <w:rStyle w:val="Style1Char"/>
          <w:rFonts w:hint="cs"/>
          <w:rtl/>
        </w:rPr>
        <w:t xml:space="preserve">] </w:t>
      </w:r>
      <w:r w:rsidRPr="00E76F80">
        <w:rPr>
          <w:rStyle w:val="Style1Char"/>
          <w:rtl/>
        </w:rPr>
        <w:t>כשם שניזונת אחר מותו מנכסיו כך נותנין לה כסות וכלי תשמיש ומדור, יושבת במדור שהיתה בו בחיי בעלה ומשתמשת בכרים וכסתות בעבדים ושפחות שנשתמשה בהן בחיי בעלה. נפל המדור אין היורשין חייבין לבנותו, ואם אמרה הניחו לי ואני אבננו משלי אין שומעין לה, וכן לא תחזק בדקו ולא טחה אותו אלא תשב בו כמו שהוא או תצא, ויורשין שמכרו מדור אלמנה לא עשו כלום.</w:t>
      </w:r>
    </w:p>
    <w:p w14:paraId="699E9A59" w14:textId="44EE014D" w:rsidR="00697F11" w:rsidRDefault="00697F11" w:rsidP="00697F11">
      <w:pPr>
        <w:pStyle w:val="Style1"/>
        <w:rPr>
          <w:rStyle w:val="Style1Char"/>
          <w:rtl/>
        </w:rPr>
      </w:pPr>
      <w:r>
        <w:rPr>
          <w:rStyle w:val="Style1Char"/>
          <w:rFonts w:hint="cs"/>
          <w:rtl/>
        </w:rPr>
        <w:t>4)[</w:t>
      </w:r>
      <w:r w:rsidRPr="00697F11">
        <w:rPr>
          <w:rStyle w:val="Style1Char"/>
          <w:rtl/>
        </w:rPr>
        <w:t>שולחן ערוך אבן העזר הלכות כתובות סימן צד סעיף ד</w:t>
      </w:r>
      <w:r>
        <w:rPr>
          <w:rStyle w:val="Style1Char"/>
          <w:rFonts w:hint="cs"/>
          <w:rtl/>
        </w:rPr>
        <w:t xml:space="preserve">] </w:t>
      </w:r>
      <w:r w:rsidRPr="00697F11">
        <w:rPr>
          <w:rStyle w:val="Style1Char"/>
          <w:rtl/>
        </w:rPr>
        <w:t>יורשין שמכרו מדור אלמנה, לא עשו כלום.</w:t>
      </w:r>
    </w:p>
    <w:p w14:paraId="79B4C574" w14:textId="30E904AB" w:rsidR="00D16144" w:rsidRDefault="00D16144" w:rsidP="00D16144">
      <w:pPr>
        <w:pStyle w:val="Style1"/>
        <w:rPr>
          <w:rStyle w:val="Style1Char"/>
          <w:rtl/>
        </w:rPr>
      </w:pPr>
      <w:r>
        <w:rPr>
          <w:rStyle w:val="Style1Char"/>
          <w:rFonts w:hint="cs"/>
          <w:rtl/>
        </w:rPr>
        <w:t>5)[</w:t>
      </w:r>
      <w:r w:rsidRPr="00D16144">
        <w:rPr>
          <w:rStyle w:val="Style1Char"/>
          <w:rtl/>
        </w:rPr>
        <w:t>רמב</w:t>
      </w:r>
      <w:r w:rsidR="00213DA1">
        <w:rPr>
          <w:rStyle w:val="Style1Char"/>
          <w:rtl/>
        </w:rPr>
        <w:t>”ם \נשים\</w:t>
      </w:r>
      <w:r w:rsidRPr="00D16144">
        <w:rPr>
          <w:rStyle w:val="Style1Char"/>
          <w:rtl/>
        </w:rPr>
        <w:t xml:space="preserve"> הלכות אישות פרק יט הלכה יט</w:t>
      </w:r>
      <w:r>
        <w:rPr>
          <w:rStyle w:val="Style1Char"/>
          <w:rFonts w:hint="cs"/>
          <w:rtl/>
        </w:rPr>
        <w:t xml:space="preserve">] </w:t>
      </w:r>
      <w:r w:rsidRPr="00D16144">
        <w:rPr>
          <w:rStyle w:val="Style1Char"/>
          <w:rtl/>
        </w:rPr>
        <w:t>הניח קרקע והיו הנכסים מרובין ונתמעטו אחר כן כבר זכו בהן יורשים, היו מועטין בשעת מיתה ונתרבו אחר כן הבנים יורשין אותן, ואפילו לא נתרבו אם קדמו הבנים ומכרו נכסים מועטין מכרן  קיים.</w:t>
      </w:r>
    </w:p>
    <w:p w14:paraId="022DEA3B" w14:textId="231FE6B6" w:rsidR="00B25789" w:rsidRPr="00AF429A" w:rsidRDefault="00770FBF" w:rsidP="00AF429A">
      <w:pPr>
        <w:pStyle w:val="Style1"/>
      </w:pPr>
      <w:r>
        <w:rPr>
          <w:rStyle w:val="Style1Char"/>
          <w:rFonts w:hint="cs"/>
          <w:rtl/>
        </w:rPr>
        <w:t>5)[</w:t>
      </w:r>
      <w:r w:rsidRPr="00770FBF">
        <w:rPr>
          <w:rStyle w:val="Style1Char"/>
          <w:rtl/>
        </w:rPr>
        <w:t>שולחן ערוך אבן העזר הלכות כתובות סימן קיב סעיף יד</w:t>
      </w:r>
      <w:r>
        <w:rPr>
          <w:rStyle w:val="Style1Char"/>
          <w:rFonts w:hint="cs"/>
          <w:rtl/>
        </w:rPr>
        <w:t>]</w:t>
      </w:r>
      <w:r w:rsidR="00AF429A">
        <w:rPr>
          <w:rStyle w:val="Style1Char"/>
          <w:rFonts w:hint="cs"/>
          <w:rtl/>
        </w:rPr>
        <w:t xml:space="preserve"> </w:t>
      </w:r>
      <w:r w:rsidR="00B25789" w:rsidRPr="00AF429A">
        <w:rPr>
          <w:rtl/>
        </w:rPr>
        <w:t>נישאת הבת, או מאנה או נתגרשה או נתאלמנה, אפילו היא שומרת יבם, הואיל וחזרה לבית אביה ועדיין לא בגרה, הרי זו נזונית מנכסי אביה עד שתיבגר או עד שתתארס</w:t>
      </w:r>
      <w:r w:rsidR="00B25789" w:rsidRPr="00AF429A">
        <w:t>.</w:t>
      </w:r>
    </w:p>
    <w:p w14:paraId="367F8CAF" w14:textId="56DE7AF7" w:rsidR="00B25789" w:rsidRDefault="00B25789" w:rsidP="00AF429A">
      <w:pPr>
        <w:pStyle w:val="Style1"/>
        <w:rPr>
          <w:rtl/>
        </w:rPr>
      </w:pPr>
      <w:r w:rsidRPr="00AF429A">
        <w:rPr>
          <w:rFonts w:hint="cs"/>
          <w:rtl/>
        </w:rPr>
        <w:t>הגה: ויש אומרים דוקא מן הארוסין, אבל משנישאת שוב אין לה מזונות (טור). ויש אומרים עוד, דוקא בחיי אביה, דכשמת אביה היתה ברשותו, אבל לאחר מיתת אביה אבדה מזונות מיד שנתארסה (טור בשם הרא"ש), וכן נראה עיקר</w:t>
      </w:r>
      <w:r w:rsidRPr="00AF429A">
        <w:t>:</w:t>
      </w:r>
    </w:p>
    <w:p w14:paraId="302026CE" w14:textId="4044E748" w:rsidR="004B1B88" w:rsidRDefault="004B1B88" w:rsidP="004B1B88">
      <w:pPr>
        <w:pStyle w:val="Style1"/>
        <w:rPr>
          <w:rtl/>
        </w:rPr>
      </w:pPr>
      <w:r>
        <w:rPr>
          <w:rFonts w:hint="cs"/>
          <w:rtl/>
        </w:rPr>
        <w:t>6)[</w:t>
      </w:r>
      <w:r>
        <w:rPr>
          <w:rtl/>
        </w:rPr>
        <w:t>שולחן ערוך אבן העזר הלכות כתובות סימן צד סעיף ב</w:t>
      </w:r>
      <w:r>
        <w:rPr>
          <w:rFonts w:hint="cs"/>
          <w:rtl/>
        </w:rPr>
        <w:t>]</w:t>
      </w:r>
      <w:r w:rsidR="0030423A">
        <w:rPr>
          <w:rFonts w:hint="cs"/>
          <w:rtl/>
        </w:rPr>
        <w:t xml:space="preserve"> </w:t>
      </w:r>
      <w:r w:rsidR="0030423A" w:rsidRPr="0030423A">
        <w:rPr>
          <w:rtl/>
        </w:rPr>
        <w:t>נפל המדור, אין היורשין חיבין לבנותו. ואם אמרה: הניחו לי ואני אבננו משלי, אין שומעין לה; וכן לא תחזק בדקו ולא תטחה אותו, אלא תשב בו כמו שהוא או תצא</w:t>
      </w:r>
      <w:r w:rsidR="0030423A" w:rsidRPr="0030423A">
        <w:t>:</w:t>
      </w:r>
    </w:p>
    <w:p w14:paraId="2E699704" w14:textId="34B753E2" w:rsidR="00E420F3" w:rsidRDefault="00E420F3" w:rsidP="00E420F3">
      <w:pPr>
        <w:pStyle w:val="Style1"/>
        <w:rPr>
          <w:rtl/>
        </w:rPr>
      </w:pPr>
      <w:r>
        <w:rPr>
          <w:rFonts w:hint="cs"/>
          <w:rtl/>
        </w:rPr>
        <w:t>7)[</w:t>
      </w:r>
      <w:r>
        <w:rPr>
          <w:rtl/>
        </w:rPr>
        <w:t>רמב</w:t>
      </w:r>
      <w:r w:rsidR="00786216">
        <w:rPr>
          <w:rtl/>
        </w:rPr>
        <w:t>”ם \מכירה\</w:t>
      </w:r>
      <w:r>
        <w:rPr>
          <w:rtl/>
        </w:rPr>
        <w:t xml:space="preserve"> הלכות מכירה פרק ג הלכה ו</w:t>
      </w:r>
      <w:r>
        <w:rPr>
          <w:rFonts w:hint="cs"/>
          <w:rtl/>
        </w:rPr>
        <w:t xml:space="preserve">] </w:t>
      </w:r>
      <w:r>
        <w:rPr>
          <w:rtl/>
        </w:rPr>
        <w:t>נמצאת אומר שאם נתן דמי המקח ונאנס קודם שיקחנו, ואמר לו הלוקח תן לי מקחי או החזר לי את מעותי, ואף על פי שיש עדים שאבד באונס ולא היה במוכר כח להצילו ולא נתרשל בדבר, הרי זה מחזיר את הדמים, שהרי תקנו חכמים משיכה, לפיכך אם היה ביתו של לוקח שיש בו החפץ שנמכר מושכר למוכר, לא תקנו לו חכמים משיכה, שהרי המקח ברשות הלוקח, ומשנתן את הדמים נקנה המקח ואין אחד מהן יכול לחזור בו.</w:t>
      </w:r>
    </w:p>
    <w:p w14:paraId="13A62F0A" w14:textId="0F858386" w:rsidR="0000239F" w:rsidRDefault="0000239F" w:rsidP="0000239F">
      <w:pPr>
        <w:pStyle w:val="Style1"/>
        <w:rPr>
          <w:rtl/>
        </w:rPr>
      </w:pPr>
      <w:r>
        <w:rPr>
          <w:rFonts w:hint="cs"/>
          <w:rtl/>
        </w:rPr>
        <w:t>7)[</w:t>
      </w:r>
      <w:r>
        <w:rPr>
          <w:rtl/>
        </w:rPr>
        <w:t>רמב</w:t>
      </w:r>
      <w:r w:rsidR="00786216">
        <w:rPr>
          <w:rtl/>
        </w:rPr>
        <w:t>”ם \מכירה\</w:t>
      </w:r>
      <w:r>
        <w:rPr>
          <w:rtl/>
        </w:rPr>
        <w:t xml:space="preserve"> הלכות מכירה פרק ג הלכה ז</w:t>
      </w:r>
      <w:r>
        <w:rPr>
          <w:rFonts w:hint="cs"/>
          <w:rtl/>
        </w:rPr>
        <w:t xml:space="preserve">] </w:t>
      </w:r>
      <w:r>
        <w:rPr>
          <w:rtl/>
        </w:rPr>
        <w:t>וכן השוכר המקום שאותן המטלטלין הנמכרין מונחין בו קנה, ואין אחד מהן יכול לחזור בו ואף על פי שלא הגביה ולא משך ולא נמסרו לו, שהרי נעשה ברשותו, וכבר ביארנו ששכירות קרקע נקנה בכסף או בשטר או בחזקה.</w:t>
      </w:r>
    </w:p>
    <w:p w14:paraId="668068B5" w14:textId="4E4F7FE1" w:rsidR="007D4042" w:rsidRPr="007D4042" w:rsidRDefault="00DA0D62" w:rsidP="007D4042">
      <w:pPr>
        <w:pStyle w:val="Style1"/>
      </w:pPr>
      <w:r>
        <w:rPr>
          <w:rFonts w:hint="cs"/>
          <w:rtl/>
        </w:rPr>
        <w:t>7)[</w:t>
      </w:r>
      <w:r>
        <w:rPr>
          <w:rtl/>
        </w:rPr>
        <w:t>שולחן ערוך חושן משפט הלכות מקח וממכר סימן קצח סעיף ה</w:t>
      </w:r>
      <w:r>
        <w:rPr>
          <w:rFonts w:hint="cs"/>
          <w:rtl/>
        </w:rPr>
        <w:t>]</w:t>
      </w:r>
      <w:r w:rsidR="007D4042">
        <w:rPr>
          <w:rFonts w:hint="cs"/>
          <w:rtl/>
        </w:rPr>
        <w:t xml:space="preserve"> </w:t>
      </w:r>
      <w:r w:rsidR="007D4042" w:rsidRPr="007D4042">
        <w:rPr>
          <w:rtl/>
        </w:rPr>
        <w:t>ולמה תקנו חכמים שלא יהא מעות קונות גזירה שמא יתן הלוקח דמי החפץ וקודם שיקחנו יאבד באונס כגון שתפול דליקה וישרף או יבואו לסטים ויטלוהו ואם היה ברשות הלוקח יתמהמה המוכר ולא יציל לפיכך העמידוהו חכמים ברשות המוכר כדי שישתדל ויציל לפיכך אם היה ביתו של לוקח שיש בו החפץ שנמכר מושכר למוכר העמידוהו על דין תורה שהרי מצוי הוא אצל ביתו ויכול להציל וכן השוכר המקום שאותם המטלטלים הנמכרים מונחים בו באחד מדרכי קניית השכירות שנתבארו </w:t>
      </w:r>
      <w:hyperlink r:id="rId275" w:anchor="%D7%A1%D7%A2%D7%99%D7%A3_%D7%98" w:tooltip="שולחן ערוך חושן משפט קצה" w:history="1">
        <w:r w:rsidR="007D4042" w:rsidRPr="007D4042">
          <w:rPr>
            <w:rStyle w:val="Hyperlink"/>
            <w:color w:val="7030A0"/>
            <w:u w:val="none"/>
            <w:rtl/>
          </w:rPr>
          <w:t>בסי' קצ"ה [סעיף ט']</w:t>
        </w:r>
      </w:hyperlink>
      <w:r w:rsidR="007D4042" w:rsidRPr="007D4042">
        <w:t> </w:t>
      </w:r>
      <w:r w:rsidR="007D4042" w:rsidRPr="007D4042">
        <w:rPr>
          <w:rtl/>
        </w:rPr>
        <w:t>קנה המטלטלים שבו ואין שום אחד מהם יכול לחזור בו והוא שתהא חצר המשתמרת לדעת השוכר או שהוא עומד בצד המקום ההוא</w:t>
      </w:r>
      <w:r w:rsidR="007D4042" w:rsidRPr="007D4042">
        <w:t>:</w:t>
      </w:r>
    </w:p>
    <w:p w14:paraId="673DCCE8" w14:textId="20D0191C" w:rsidR="007D4042" w:rsidRDefault="007D4042" w:rsidP="007D4042">
      <w:pPr>
        <w:pStyle w:val="Style1"/>
        <w:rPr>
          <w:rtl/>
        </w:rPr>
      </w:pPr>
      <w:r w:rsidRPr="007D4042">
        <w:rPr>
          <w:rFonts w:hint="cs"/>
          <w:rtl/>
        </w:rPr>
        <w:t>הגה: וי"א דאם היו המטלטלין במקום דליכא למיחש לדליקה נקנו במעות (הגהות ראשונות דמרדכי פרק הזהב) וכן אם התנו בהדיא דמעות יקנו קנו (ב"י)</w:t>
      </w:r>
      <w:r w:rsidRPr="007D4042">
        <w:t>:</w:t>
      </w:r>
    </w:p>
    <w:p w14:paraId="6A6015C5" w14:textId="430FB415" w:rsidR="00356A66" w:rsidRDefault="00356A66" w:rsidP="00356A66">
      <w:pPr>
        <w:pStyle w:val="Style1"/>
        <w:rPr>
          <w:rtl/>
        </w:rPr>
      </w:pPr>
      <w:r>
        <w:rPr>
          <w:rFonts w:hint="cs"/>
          <w:rtl/>
        </w:rPr>
        <w:t>8)[</w:t>
      </w:r>
      <w:r>
        <w:rPr>
          <w:rtl/>
        </w:rPr>
        <w:t>רמב</w:t>
      </w:r>
      <w:r w:rsidR="00736FB6">
        <w:rPr>
          <w:rtl/>
        </w:rPr>
        <w:t>”ם \זמנים\</w:t>
      </w:r>
      <w:r>
        <w:rPr>
          <w:rtl/>
        </w:rPr>
        <w:t xml:space="preserve"> הלכות חמץ ומצה פרק ה הלכה יט</w:t>
      </w:r>
      <w:r>
        <w:rPr>
          <w:rFonts w:hint="cs"/>
          <w:rtl/>
        </w:rPr>
        <w:t>] ל</w:t>
      </w:r>
      <w:r>
        <w:rPr>
          <w:rtl/>
        </w:rPr>
        <w:t>א תשרה אשה מורסן שתוליך בידה למרחץ, אבל שפה היא על בשרה יבש, ולא ילעוס אדם חטין ויתן על מכתו מפני שהן מחמיצות, אין נותנין את הקמח לתוך החרוסת ואם נתן ישרף מיד מפני שהוא ממהר להחמיץ, ואין נותנין את הקמח לתוך החרדל ואם נתן יאכל מיד.</w:t>
      </w:r>
    </w:p>
    <w:p w14:paraId="552C9680" w14:textId="326277DF" w:rsidR="00BF5700" w:rsidRDefault="00BF5700" w:rsidP="00BF5700">
      <w:pPr>
        <w:pStyle w:val="Style1"/>
        <w:rPr>
          <w:rtl/>
        </w:rPr>
      </w:pPr>
      <w:r>
        <w:rPr>
          <w:rFonts w:hint="cs"/>
          <w:rtl/>
        </w:rPr>
        <w:t>8)[</w:t>
      </w:r>
      <w:r>
        <w:rPr>
          <w:rtl/>
        </w:rPr>
        <w:t>שולחן ערוך אורח חיים הלכות פסח סימן תסו סעיף א</w:t>
      </w:r>
      <w:r>
        <w:rPr>
          <w:rFonts w:hint="cs"/>
          <w:rtl/>
        </w:rPr>
        <w:t>]</w:t>
      </w:r>
      <w:r w:rsidR="00641DAF">
        <w:rPr>
          <w:rFonts w:hint="cs"/>
          <w:rtl/>
        </w:rPr>
        <w:t xml:space="preserve"> </w:t>
      </w:r>
      <w:r w:rsidR="00641DAF" w:rsidRPr="00641DAF">
        <w:rPr>
          <w:rtl/>
        </w:rPr>
        <w:t>לא ילעוס אדם חטים ויתן על גבי מכתו מפני שהן מחמיצות שהרוק מחמיץ</w:t>
      </w:r>
      <w:r w:rsidR="00641DAF" w:rsidRPr="00641DAF">
        <w:t>:</w:t>
      </w:r>
    </w:p>
    <w:p w14:paraId="069D71B1" w14:textId="003B073C" w:rsidR="00633E49" w:rsidRDefault="00633E49" w:rsidP="00633E49">
      <w:pPr>
        <w:pStyle w:val="Style1"/>
        <w:rPr>
          <w:rtl/>
        </w:rPr>
      </w:pPr>
      <w:r>
        <w:rPr>
          <w:rFonts w:hint="cs"/>
          <w:rtl/>
        </w:rPr>
        <w:t>9)[</w:t>
      </w:r>
      <w:r>
        <w:rPr>
          <w:rtl/>
        </w:rPr>
        <w:t>רמב</w:t>
      </w:r>
      <w:r w:rsidR="00736FB6">
        <w:rPr>
          <w:rtl/>
        </w:rPr>
        <w:t>”ם \ממרים\</w:t>
      </w:r>
      <w:r>
        <w:rPr>
          <w:rtl/>
        </w:rPr>
        <w:t xml:space="preserve"> הלכות ממרים פרק ו הלכה טו</w:t>
      </w:r>
      <w:r>
        <w:rPr>
          <w:rFonts w:hint="cs"/>
          <w:rtl/>
        </w:rPr>
        <w:t xml:space="preserve">] </w:t>
      </w:r>
      <w:r>
        <w:rPr>
          <w:rtl/>
        </w:rPr>
        <w:t>חייב אדם לכבד את אשת אביו אף על פי שאינה אמו כל זמן שאביו קיים שזה בכלל כבוד אביו, וכן מכבד בעל אמו כל זמן שאמו קיימת, אבל לאחר מיתתה אינו חייב, ומדברי סופרים שיהיה אדם חייב בכבוד אחיו הגדול ככבוד אביו.</w:t>
      </w:r>
    </w:p>
    <w:p w14:paraId="0A1648AD" w14:textId="76DA2AA1" w:rsidR="00A10FAC" w:rsidRDefault="00A10FAC" w:rsidP="00A10FAC">
      <w:pPr>
        <w:pStyle w:val="Style1"/>
        <w:rPr>
          <w:rtl/>
        </w:rPr>
      </w:pPr>
      <w:r>
        <w:rPr>
          <w:rFonts w:hint="cs"/>
          <w:rtl/>
        </w:rPr>
        <w:t>9)[</w:t>
      </w:r>
      <w:r>
        <w:rPr>
          <w:rtl/>
        </w:rPr>
        <w:t>שולחן ערוך יורה דעה הלכות כבוד אב ואם סימן רמ סעיף כא</w:t>
      </w:r>
      <w:r>
        <w:rPr>
          <w:rFonts w:hint="cs"/>
          <w:rtl/>
        </w:rPr>
        <w:t xml:space="preserve">] </w:t>
      </w:r>
      <w:r>
        <w:rPr>
          <w:rtl/>
        </w:rPr>
        <w:t>חייב אדם לכבד אשת אביו, אף ע"פ שאינה אמו, כל זמן שאביו קיים. וחייב לכבד בעל אמו, כל זמן שאמו קיימת. אבל לאחר מיתה, אינו חייב בכבודם. ומכל מקום דבר הגון לכבדם אף לאחר מיתה.</w:t>
      </w:r>
    </w:p>
    <w:p w14:paraId="1386B011" w14:textId="5554C572" w:rsidR="00E965B2" w:rsidRPr="00E965B2" w:rsidRDefault="00CA70BB" w:rsidP="00E965B2">
      <w:pPr>
        <w:pStyle w:val="Style1"/>
      </w:pPr>
      <w:r>
        <w:rPr>
          <w:rFonts w:hint="cs"/>
          <w:rtl/>
        </w:rPr>
        <w:t>10)[</w:t>
      </w:r>
      <w:r>
        <w:rPr>
          <w:rtl/>
        </w:rPr>
        <w:t>שולחן ערוך יורה דעה הלכות כבוד אב ואם סימן רמ סעיף כב</w:t>
      </w:r>
      <w:r>
        <w:rPr>
          <w:rFonts w:hint="cs"/>
          <w:rtl/>
        </w:rPr>
        <w:t>]</w:t>
      </w:r>
      <w:r w:rsidR="00E965B2">
        <w:rPr>
          <w:rFonts w:hint="cs"/>
          <w:rtl/>
        </w:rPr>
        <w:t xml:space="preserve"> </w:t>
      </w:r>
      <w:r w:rsidR="00E965B2" w:rsidRPr="00E965B2">
        <w:rPr>
          <w:rtl/>
        </w:rPr>
        <w:t>חייב אדם בכבוד אחיו הגדול, בין שהוא אחיו מאביו, בין שהוא אחיו מאמו</w:t>
      </w:r>
      <w:r w:rsidR="00E965B2" w:rsidRPr="00E965B2">
        <w:t>. </w:t>
      </w:r>
      <w:r w:rsidR="00E965B2" w:rsidRPr="00E965B2">
        <w:rPr>
          <w:rFonts w:hint="cs"/>
          <w:rtl/>
        </w:rPr>
        <w:t>(ואפילו הקטן הוא תלמיד חכם וגדול בתורה יותר מן הגדול). (כן משמע לו מתשובת הרא"ש שבסעיף שאחר זה, וסמ"ג, ודלא כיש חולקין בזה) (ב"ז)</w:t>
      </w:r>
      <w:r w:rsidR="00E965B2" w:rsidRPr="00E965B2">
        <w:t>.</w:t>
      </w:r>
    </w:p>
    <w:p w14:paraId="2AA246F8" w14:textId="7C3C055C" w:rsidR="00CA70BB" w:rsidRPr="00641DAF" w:rsidRDefault="00CA70BB" w:rsidP="00CA70BB">
      <w:pPr>
        <w:pStyle w:val="Style1"/>
      </w:pPr>
    </w:p>
    <w:p w14:paraId="27D4A14B" w14:textId="6B5EECC4" w:rsidR="00BF5700" w:rsidRPr="007D4042" w:rsidRDefault="00BF5700" w:rsidP="00BF5700">
      <w:pPr>
        <w:pStyle w:val="Style1"/>
      </w:pPr>
    </w:p>
    <w:p w14:paraId="58008883" w14:textId="77777777" w:rsidR="007D4042" w:rsidRPr="007D4042" w:rsidRDefault="007D4042" w:rsidP="007D4042">
      <w:pPr>
        <w:pStyle w:val="Style1"/>
      </w:pPr>
    </w:p>
    <w:p w14:paraId="37FCF2BE" w14:textId="414C3A79" w:rsidR="00DA0D62" w:rsidRPr="0030423A" w:rsidRDefault="00DA0D62" w:rsidP="00DA0D62">
      <w:pPr>
        <w:pStyle w:val="Style1"/>
      </w:pPr>
    </w:p>
    <w:p w14:paraId="18984BFD" w14:textId="77777777" w:rsidR="00B25789" w:rsidRPr="00AF429A" w:rsidRDefault="00B25789" w:rsidP="00AF429A">
      <w:pPr>
        <w:pStyle w:val="Style1"/>
        <w:rPr>
          <w:rStyle w:val="Style1Char"/>
          <w:rtl/>
        </w:rPr>
      </w:pPr>
    </w:p>
    <w:p w14:paraId="39110580" w14:textId="77777777" w:rsidR="000231F5" w:rsidRDefault="000231F5" w:rsidP="000231F5">
      <w:pPr>
        <w:rPr>
          <w:rStyle w:val="Style1Char"/>
          <w:color w:val="00B050"/>
          <w:rtl/>
        </w:rPr>
      </w:pPr>
      <w:r>
        <w:rPr>
          <w:rStyle w:val="Style1Char"/>
          <w:color w:val="00B050"/>
          <w:rtl/>
        </w:rPr>
        <w:br w:type="page"/>
      </w:r>
    </w:p>
    <w:p w14:paraId="5D0CD777" w14:textId="08B7BE55" w:rsidR="000231F5" w:rsidRDefault="000231F5" w:rsidP="000231F5">
      <w:pPr>
        <w:bidi/>
        <w:rPr>
          <w:rStyle w:val="Style1Char"/>
          <w:color w:val="00B050"/>
          <w:rtl/>
        </w:rPr>
      </w:pPr>
      <w:r w:rsidRPr="00853299">
        <w:rPr>
          <w:rStyle w:val="Style1Char"/>
          <w:color w:val="00B050"/>
          <w:sz w:val="22"/>
          <w:szCs w:val="22"/>
          <w:highlight w:val="yellow"/>
          <w:rtl/>
        </w:rPr>
        <w:lastRenderedPageBreak/>
        <w:t>[דף קג עמוד ב]</w:t>
      </w:r>
      <w:r w:rsidRPr="00853299">
        <w:rPr>
          <w:rStyle w:val="Style1Char"/>
          <w:color w:val="00B050"/>
          <w:sz w:val="22"/>
          <w:szCs w:val="22"/>
          <w:rtl/>
        </w:rPr>
        <w:t xml:space="preserve"> </w:t>
      </w:r>
      <w:r w:rsidRPr="00853299">
        <w:rPr>
          <w:rStyle w:val="Style1Char"/>
          <w:color w:val="00B050"/>
          <w:rtl/>
        </w:rPr>
        <w:t xml:space="preserve">והושיבו ישיבה לאחר שלשים יום; שמעון בני חכם, גמליאל בני נשיא, חנינא בר חמא ישב בראש. אל תספדוני בעיירות. סבור מינה, משום טרחא הוא דקאמר, כיון דחזי דקספדי בכרכים וקאתו כולי עלמא, אמרו: שמע מינה, משום יקרא הוא דקאמר. </w:t>
      </w:r>
      <w:r w:rsidR="006C0BBF">
        <w:rPr>
          <w:rStyle w:val="Style1Char"/>
          <w:rFonts w:hint="cs"/>
          <w:rtl/>
        </w:rPr>
        <w:t>(1)</w:t>
      </w:r>
      <w:r w:rsidRPr="00853299">
        <w:rPr>
          <w:rStyle w:val="Style1Char"/>
          <w:color w:val="00B050"/>
          <w:rtl/>
        </w:rPr>
        <w:t xml:space="preserve">הושיבו ישיבה לאחר שלשים יום. דלא עדיפנא ממשה רבינו, דכתיב: ויבכו בני ישראל את משה בערבות מואב שלשים יום, תלתין יומין ספדין ביממא וליליא, מכאן ואילך ספדו ביממא וגרסי בליליא או ספדו בליליא וגרסי ביממא, </w:t>
      </w:r>
      <w:r w:rsidR="00FB777F">
        <w:rPr>
          <w:rStyle w:val="Style1Char"/>
          <w:rFonts w:hint="cs"/>
          <w:rtl/>
        </w:rPr>
        <w:t>(1)</w:t>
      </w:r>
      <w:r w:rsidRPr="00853299">
        <w:rPr>
          <w:rStyle w:val="Style1Char"/>
          <w:color w:val="00B050"/>
          <w:rtl/>
        </w:rPr>
        <w:t xml:space="preserve">עד דספדי תריסר ירחי שתא. ההוא יומא דאשכבתיה דרבי, נפקא בת קלא ואמרה: כל דהוה באשכבתיה דרבי מזומן הוא לחיי העוה"ב. ההוא כובס כל יומא הוה אתי קמיה, ההוא יומא לא אתא, כיון דשמע הכי, סליק לאיגרא ונפל לארעא ומית, יצתה בת קול ואמרה: אף ההוא כובס מזומן הוא לחיי העולם הבא. שמעון בני חכם. מאי קאמר? הכי קאמר: </w:t>
      </w:r>
      <w:r w:rsidR="00865D6E">
        <w:rPr>
          <w:rStyle w:val="Style1Char"/>
          <w:rFonts w:hint="cs"/>
          <w:rtl/>
        </w:rPr>
        <w:t>(2)</w:t>
      </w:r>
      <w:r w:rsidRPr="00853299">
        <w:rPr>
          <w:rStyle w:val="Style1Char"/>
          <w:color w:val="00B050"/>
          <w:rtl/>
        </w:rPr>
        <w:t xml:space="preserve">אף על פי ששמעון בני חכם, גמליאל בני נשיא. אמר לוי: צריכא למימר? אמר רבי שמעון בר רבי: צריכא לך ולמטלעתך. מאי קשיא ליה? הא קרא קאמר: ואת הממלכה נתן ליהורם כי הוא הבכור. </w:t>
      </w:r>
      <w:r w:rsidR="00730704">
        <w:rPr>
          <w:rStyle w:val="Style1Char"/>
          <w:rFonts w:hint="cs"/>
          <w:rtl/>
        </w:rPr>
        <w:t>(2)</w:t>
      </w:r>
      <w:r w:rsidRPr="00853299">
        <w:rPr>
          <w:rStyle w:val="Style1Char"/>
          <w:color w:val="00B050"/>
          <w:rtl/>
        </w:rPr>
        <w:t xml:space="preserve">ההוא ממלא מקום אבותיו הוה, ורבן גמליאל אינו ממלא מקום אבותיו הוה. ורבי מאי טעמא עבד הכי? נהי דאינו ממלא מקום אבותיו בחכמה, ביראת חטא ממלא מקום אבותיו הוה. חנינא בר חמא ישב בראש. לא קיבל רבי חנינא, שהיה ר' אפס גדול ממנו שתי שנים ומחצה. יתיב רבי אפס ברישא, ויתיב רבי חנינא אבראי ואתא לוי ויתיב גביה. נח נפשיה דרבי אפס ויתיב רבי חנינא ברישא, ולא הוה ליה ללוי איניש למיתב גביה וקאתא לבבל. והיינו דאמרי ליה לרב: גברא רבה אקלע לנהרדעא ומטלע, ודריש </w:t>
      </w:r>
      <w:r w:rsidR="00B512A4">
        <w:rPr>
          <w:rStyle w:val="Style1Char"/>
          <w:rFonts w:hint="cs"/>
          <w:rtl/>
        </w:rPr>
        <w:t>(3)</w:t>
      </w:r>
      <w:r w:rsidRPr="00853299">
        <w:rPr>
          <w:rStyle w:val="Style1Char"/>
          <w:color w:val="00B050"/>
          <w:rtl/>
        </w:rPr>
        <w:t xml:space="preserve">כלילא שרי, אמר: שמע מינה, נח נפשיה דרבי אפס ויתיב רבי חנינא ברישא, ולא הוה ליה ללוי איניש למיתב גביה וקאתא. ואימא: רבי חנינא נח נפשיה, ור' אפס כדיתיב יתיב, ולא הוה ליה ללוי איניש למיתב גביה וקאתא! איבעית אימא: לוי לר' אפס מיכף הוה כייף ליה; ואי בעית אימא: כיון דאמר ר' חנינא בר חמא ישב בראש, לא סגי דלא מליך, דכתיב בהו בצדיקים: ותגזר אומר ויקם לך. והא הוה ר' חייא! נח נפשיה. והאמר ר' חייא: אני ראיתי קברו של רבי והורדתי עליו דמעות! איפוך. והאמר רבי חייא: אותו היום שמת רבי בטלה קדושה! איפוך. והתניא: כשחלה רבי, נכנס ר' חייא אצלו ומצאו שהוא בוכה, אמר לו: רבי, מפני מה אתה בוכה? והתניא: מת מתוך השחוק - סימן יפה לו, מתוך הבכי - סימן רע לו; פניו למעלה - סימן יפה לו, פניו למטה - סימן רע לו; פניו כלפי העם - סימן יפה לו, כלפי הכותל - סימן רע לו; פניו ירוקין - סימן רע לו, פניו צהובין ואדומים - סימן יפה לו; מת בע"ש - סימן יפה לו, במו"ש - סימן רע לו; מת בערב יוהכ"פ - סימן רע לו, במוצאי יוהכ"פ - סימן יפה לו; מת מחולי מעיים - סימן יפה לו, מפני שרובם של צדיקים מיתתן בחולי מעיים! א"ל: אנא אתורה ומצות קא בכינא! איבעית אימא: איפוך; ואיבעית אימא: לעולם לא תיפוך, ר' חייא עסוק במצות הוה, ורבי סבר: לא אפגריה. והיינו דכי הוו מינצו ר' חנינא ור' חייא, א"ל ר' חנינא לר' חייא: בהדי דידי מינצת? דאם חס ושלום נשתכחה תורה מישראל, מהדרנא ליה מפלפולי! א"ל ר' חייא: אנא עבדי דלא משתכחה תורה מישראל, דאייתינא כיתנא ושדיינא, ומגדלנא נישבי וציידנא טביא, ומאכילנא בישרא ליתמי, ואריכנא מגילתא ממשכי דטביא, וסליקנא למתא דלית בה מקרי דרדקי, וכתיבנא חמשא חומשי לחמשא ינוקי, ומתנינא שיתא סידרי לשיתא ינוקי, לכל חד וחד אמרי ליה אתני סידרך לחברך. והיינו דאמר רבי: כמה גדולים מעשה חייא. א"ל ר"ש ב"ר: אפילו ממך? א"ל: אין. א"ל רבי ישמעאל ברבי יוסי: אפילו מאבא? א"ל: חס ושלום, לא תהא כזאת בישראל. אמר להן: לבני קטן אני צריך, נכנס ר' שמעון אצלו, מסר לו סדרי חכמה. אמר להן: לבני גדול אני צריך, נכנס רבן גמליאל אצלו, ומסר לו סדרי נשיאות. אמר לו: בני, נהוג נשיאותך ברמים, </w:t>
      </w:r>
      <w:r w:rsidR="00E269AB">
        <w:rPr>
          <w:rStyle w:val="Style1Char"/>
          <w:rFonts w:hint="cs"/>
          <w:rtl/>
        </w:rPr>
        <w:t>(4)</w:t>
      </w:r>
      <w:r w:rsidRPr="00853299">
        <w:rPr>
          <w:rStyle w:val="Style1Char"/>
          <w:color w:val="00B050"/>
          <w:rtl/>
        </w:rPr>
        <w:t xml:space="preserve">זרוק מרה בתלמידים. איני? והא כתיב: ואת יראי ה' יכבד, ואמר מר: זה יהושפט מלך יהודה, כשהיה רואה תלמיד חכם, היה עומד מכסאו ומחבקו ומנשקו, וקורא לו: רבי, רבי, מרי, מרי! לא קשיא: הא בצינעא, הא בפרהסיא. תניא: רבי מוטל בציפורי, ומקום מוכן לו בבית שערים. והתניא: צדק צדק תרדף - הלך אחר ר' לבית שערים! ר' בבית שערים הוה, אלא כיון דחלש אמטיוהי לציפורי, </w:t>
      </w:r>
    </w:p>
    <w:p w14:paraId="79EE3400" w14:textId="30F1E89A" w:rsidR="006C0BBF" w:rsidRDefault="006C0BBF" w:rsidP="006C0BBF">
      <w:pPr>
        <w:pStyle w:val="Style1"/>
        <w:rPr>
          <w:rStyle w:val="Style1Char"/>
          <w:rtl/>
        </w:rPr>
      </w:pPr>
      <w:r>
        <w:rPr>
          <w:rStyle w:val="Style1Char"/>
          <w:rFonts w:hint="cs"/>
          <w:rtl/>
        </w:rPr>
        <w:t>1)[</w:t>
      </w:r>
      <w:r w:rsidRPr="006C0BBF">
        <w:rPr>
          <w:rStyle w:val="Style1Char"/>
          <w:rtl/>
        </w:rPr>
        <w:t>רמב</w:t>
      </w:r>
      <w:r w:rsidR="00213DA1">
        <w:rPr>
          <w:rStyle w:val="Style1Char"/>
          <w:rtl/>
        </w:rPr>
        <w:t>”ם \שופטים\</w:t>
      </w:r>
      <w:r w:rsidRPr="006C0BBF">
        <w:rPr>
          <w:rStyle w:val="Style1Char"/>
          <w:rtl/>
        </w:rPr>
        <w:t xml:space="preserve"> הלכות אבל פרק יג הלכה י</w:t>
      </w:r>
      <w:r>
        <w:rPr>
          <w:rStyle w:val="Style1Char"/>
          <w:rFonts w:hint="cs"/>
          <w:rtl/>
        </w:rPr>
        <w:t xml:space="preserve">] </w:t>
      </w:r>
      <w:r w:rsidRPr="006C0BBF">
        <w:rPr>
          <w:rStyle w:val="Style1Char"/>
          <w:rtl/>
        </w:rPr>
        <w:t>אין בוכין על המת יתר משלשה ימים, ואין מספידין יתר משבעה, במה דברים אמורים בשאר העם, אבל תלמידי חכמים הכל לפי חכמתן, ואין בוכין עליהם יותר משלשים יום, שאין לנו גדול ממשה רבינו וכתיב ויתמו ימי בכי אבל משה, וכן אין מספידין יתר על שנים עשר חדש, אין לנו בחכמה גדול מרבינו הקדוש ושנים עשר חדש בלבד נספד, וכן חכם שבאה שמועתו לאחר שנים עשר חדש אין סופדין אותו.</w:t>
      </w:r>
    </w:p>
    <w:p w14:paraId="65526CCB" w14:textId="716A877E" w:rsidR="0080590D" w:rsidRDefault="0080590D" w:rsidP="0080590D">
      <w:pPr>
        <w:pStyle w:val="Style1"/>
        <w:rPr>
          <w:rStyle w:val="Style1Char"/>
          <w:rtl/>
        </w:rPr>
      </w:pPr>
      <w:r>
        <w:rPr>
          <w:rStyle w:val="Style1Char"/>
          <w:rFonts w:hint="cs"/>
          <w:rtl/>
        </w:rPr>
        <w:t>1)[</w:t>
      </w:r>
      <w:r w:rsidRPr="0080590D">
        <w:rPr>
          <w:rStyle w:val="Style1Char"/>
          <w:rtl/>
        </w:rPr>
        <w:t>שולחן ערוך יורה דעה הלכות אבילות סימן שצד סעיף ב</w:t>
      </w:r>
      <w:r>
        <w:rPr>
          <w:rStyle w:val="Style1Char"/>
          <w:rFonts w:hint="cs"/>
          <w:rtl/>
        </w:rPr>
        <w:t xml:space="preserve">] </w:t>
      </w:r>
      <w:r w:rsidRPr="0080590D">
        <w:rPr>
          <w:rStyle w:val="Style1Char"/>
          <w:rtl/>
        </w:rPr>
        <w:t>במה דברים אמורים, בשאר העם. אבל תלמידי חכמים, הכל לפי חכמתם; ואין בוכים עליהם יותר מל' יום; ואין מספידין עליהם יותר מי"ב חדש; וכן חכם שבא שמועתו לאחר י"ב חדש, אין מספידין אותו.</w:t>
      </w:r>
    </w:p>
    <w:p w14:paraId="1EDCF153" w14:textId="6C7E7713" w:rsidR="00856C6A" w:rsidRDefault="00856C6A" w:rsidP="00856C6A">
      <w:pPr>
        <w:pStyle w:val="Style1"/>
        <w:rPr>
          <w:rStyle w:val="Style1Char"/>
          <w:rtl/>
        </w:rPr>
      </w:pPr>
      <w:r>
        <w:rPr>
          <w:rStyle w:val="Style1Char"/>
          <w:rFonts w:hint="cs"/>
          <w:rtl/>
        </w:rPr>
        <w:t>2)[</w:t>
      </w:r>
      <w:r w:rsidRPr="00856C6A">
        <w:rPr>
          <w:rStyle w:val="Style1Char"/>
          <w:rtl/>
        </w:rPr>
        <w:t>רמב"ם הלכות כלי המקדש פרק ד הלכה כ</w:t>
      </w:r>
      <w:r>
        <w:rPr>
          <w:rStyle w:val="Style1Char"/>
          <w:rFonts w:hint="cs"/>
          <w:rtl/>
        </w:rPr>
        <w:t xml:space="preserve">] </w:t>
      </w:r>
      <w:r w:rsidRPr="00856C6A">
        <w:rPr>
          <w:rStyle w:val="Style1Char"/>
          <w:rtl/>
        </w:rPr>
        <w:t>כשימות המלך או כהן גדול או אחד משאר הממונים מעמידין תחתיו בנו או הראוי ליורשו, וכל הקודם לנחלה קודם לשררות המת, והוא שיהיה ממלא מקומו בחכמה, או ביראה אף על פי שאינו כמותו בחכמה שנאמר במלך הוא ובניו בקרב ישראל, מלמד שהמלכות ירושה והוא הדין לכל שררה שבקרב ישראל שהזוכה לה זוכה לעצמו ולזרעו.</w:t>
      </w:r>
    </w:p>
    <w:p w14:paraId="4AAB177A" w14:textId="76165ED6" w:rsidR="00452750" w:rsidRDefault="00452750" w:rsidP="00452750">
      <w:pPr>
        <w:pStyle w:val="Style1"/>
        <w:rPr>
          <w:rStyle w:val="Style1Char"/>
          <w:rtl/>
        </w:rPr>
      </w:pPr>
      <w:r>
        <w:rPr>
          <w:rStyle w:val="Style1Char"/>
          <w:rFonts w:hint="cs"/>
          <w:rtl/>
        </w:rPr>
        <w:t>2)[</w:t>
      </w:r>
      <w:r w:rsidRPr="00452750">
        <w:rPr>
          <w:rStyle w:val="Style1Char"/>
          <w:rtl/>
        </w:rPr>
        <w:t>רמב</w:t>
      </w:r>
      <w:r w:rsidR="00C764B2">
        <w:rPr>
          <w:rStyle w:val="Style1Char"/>
          <w:rtl/>
        </w:rPr>
        <w:t>”ם \שופטים\</w:t>
      </w:r>
      <w:r w:rsidRPr="00452750">
        <w:rPr>
          <w:rStyle w:val="Style1Char"/>
          <w:rtl/>
        </w:rPr>
        <w:t xml:space="preserve"> הלכות מלכים פרק א הלכה ז</w:t>
      </w:r>
      <w:r>
        <w:rPr>
          <w:rStyle w:val="Style1Char"/>
          <w:rFonts w:hint="cs"/>
          <w:rtl/>
        </w:rPr>
        <w:t xml:space="preserve">] </w:t>
      </w:r>
      <w:r w:rsidRPr="00452750">
        <w:rPr>
          <w:rStyle w:val="Style1Char"/>
          <w:rtl/>
        </w:rPr>
        <w:t>כשמעמידין המלך מושחין אותו בשמן המשחה, שנאמר ויקח שמואל את פך השמן ויצק על ראשו וישקהו, ומאחר שמושחין המלך הרי זה זוכה לו ולבניו עד עולם, שהמלכות ירושה שנאמר למען יאריך ימים על ממלכתו הוא ובניו בקרב ישראל, הניח בן קטן משמרין לו המלוכה עד שיגדיל, כמו שעשה יהוידע ליואש, וכל הקודם בנחלה קודם לירושת המלוכה, והבן הגדול קודם לקטן ממנו, ולא המלכות בלבד אלא כל השררות וכל המינויין שבישראל ירושה לבנו ולבן בנו עד עולם, והוא שיהיה הבן ממלא מקום אבותיו בחכמה וביראה, היה ממלא ביראה אף על פי שאינו ממלא בחכמה מעמידין אותו במקום אביו ומלמדין אותו, וכל מי שאין בו יראת שמים אף על פי שחכמתו מרובה אין ממנין אותו למינוי מן המינויין שבישראל, כיון שנמשח דוד זכה בכתר מלכות, והרי המלכות לו ולבניו הזכרים עד עולם, שנאמר כסאך יהיה נכון עד עולם, ולא זכה אלא לכשרים שנאמר אם ישמרו בניך בריתי, אף על פי שלא זכה אלא לכשרים לא תכרת המלוכה מזרע דוד לעולם, הקדוש ברוך הוא הבטיחו בכך שנאמר אם יעזבו בניו תורתי ובמשפטי לא ילכון ופקדתי בשבט פשעם ובנגעים עונם וחסדי לא אפיר מעמו.</w:t>
      </w:r>
    </w:p>
    <w:p w14:paraId="1E02BCBA" w14:textId="1B4DAA3E" w:rsidR="00157724" w:rsidRDefault="002D5230" w:rsidP="00157724">
      <w:pPr>
        <w:pStyle w:val="Style1"/>
        <w:rPr>
          <w:rtl/>
        </w:rPr>
      </w:pPr>
      <w:r>
        <w:rPr>
          <w:rStyle w:val="Style1Char"/>
          <w:rFonts w:hint="cs"/>
          <w:rtl/>
        </w:rPr>
        <w:t>2)[</w:t>
      </w:r>
      <w:r w:rsidR="00D4314E" w:rsidRPr="00D4314E">
        <w:rPr>
          <w:rStyle w:val="Style1Char"/>
          <w:rtl/>
        </w:rPr>
        <w:t>שולחן ערוך יורה דעה הלכות כבוד רבו ותלמיד חכם סימן רמד סעיף יח</w:t>
      </w:r>
      <w:r>
        <w:rPr>
          <w:rStyle w:val="Style1Char"/>
          <w:rFonts w:hint="cs"/>
          <w:rtl/>
        </w:rPr>
        <w:t>]</w:t>
      </w:r>
      <w:r w:rsidR="00157724">
        <w:rPr>
          <w:rStyle w:val="Style1Char"/>
          <w:rFonts w:hint="cs"/>
          <w:rtl/>
        </w:rPr>
        <w:t xml:space="preserve"> </w:t>
      </w:r>
      <w:r w:rsidR="00157724" w:rsidRPr="00157724">
        <w:rPr>
          <w:rtl/>
        </w:rPr>
        <w:t>היו ביחד חכם שמופלג בחכמה והוא בחור וזקן שמופלג בזקנה והוא חכם קצת בישיבה של דין או של תורה הולכים אחר החכמה להושיב החכם בחור בראש ולדבר תחילה ובמסיבה של משתה או של נישואים הולכים אחר הזקנה להושיבו בראש ואם החכם מופלג בחכמה והזקן אינו מופלג בזקנה בכל מקום הולכים אחר החכמה ואם הזקן מופלג בזקנה והחכם אינו מופלג בחכמה בכל מקום הולכים אחר הזקנה הואיל והוא חכם קצת ואם אין שום אחד מהם מופלג לא זה בחכמה ולא זה בזקנה הזקן קודם בכל מקום</w:t>
      </w:r>
      <w:r w:rsidR="00157724" w:rsidRPr="00157724">
        <w:t>:</w:t>
      </w:r>
    </w:p>
    <w:p w14:paraId="485270EA" w14:textId="77777777" w:rsidR="00EF0B2F" w:rsidRPr="00CD3E4B" w:rsidRDefault="00F511BC" w:rsidP="00CD3E4B">
      <w:pPr>
        <w:pStyle w:val="Style1"/>
      </w:pPr>
      <w:r>
        <w:rPr>
          <w:rStyle w:val="Style1Char"/>
          <w:rFonts w:hint="cs"/>
          <w:rtl/>
        </w:rPr>
        <w:t>2)[</w:t>
      </w:r>
      <w:r w:rsidRPr="00F511BC">
        <w:rPr>
          <w:rStyle w:val="Style1Char"/>
          <w:rtl/>
        </w:rPr>
        <w:t>שולחן ערוך יורה דעה הלכות תלמוד תורה סימן רמה סעיף כב</w:t>
      </w:r>
      <w:r>
        <w:rPr>
          <w:rStyle w:val="Style1Char"/>
          <w:rFonts w:hint="cs"/>
          <w:rtl/>
        </w:rPr>
        <w:t>]</w:t>
      </w:r>
      <w:r w:rsidR="00EF0B2F">
        <w:rPr>
          <w:rStyle w:val="Style1Char"/>
          <w:rFonts w:hint="cs"/>
          <w:rtl/>
        </w:rPr>
        <w:t xml:space="preserve"> </w:t>
      </w:r>
      <w:r w:rsidR="00EF0B2F" w:rsidRPr="00CD3E4B">
        <w:rPr>
          <w:rtl/>
        </w:rPr>
        <w:t>אחד מבני החצר או מבני מבוי שביקש ליעשות מלמד תינוקות, אין שכניו יכולים למחות בידו. וכן מלמד תינוקות שבא חבירו ופתח בית ללמד תינוקות בצדו, כדי שיביאו לו תינוקות אחרים או כדי שיבואו התינוקות שאצל זה לזה, אין יכולים למחות בידו, שנאמר ה' חפץ למען צדקו יגדיל תורה ויאדיר</w:t>
      </w:r>
      <w:r w:rsidR="00EF0B2F" w:rsidRPr="00CD3E4B">
        <w:t>.</w:t>
      </w:r>
    </w:p>
    <w:p w14:paraId="1DC29288" w14:textId="6A9C35E7" w:rsidR="00EF0B2F" w:rsidRDefault="00EF0B2F" w:rsidP="00CD3E4B">
      <w:pPr>
        <w:pStyle w:val="Style1"/>
        <w:rPr>
          <w:rtl/>
        </w:rPr>
      </w:pPr>
      <w:r w:rsidRPr="00CD3E4B">
        <w:rPr>
          <w:rFonts w:hint="cs"/>
          <w:rtl/>
        </w:rPr>
        <w:t>הגה</w:t>
      </w:r>
      <w:r w:rsidRPr="00CD3E4B">
        <w:rPr>
          <w:rFonts w:hint="cs"/>
        </w:rPr>
        <w:t>: </w:t>
      </w:r>
      <w:r w:rsidRPr="00CD3E4B">
        <w:rPr>
          <w:rFonts w:hint="cs"/>
          <w:rtl/>
        </w:rPr>
        <w:t>רב היושב בעירו ולומד לרבים, יכול חכם אחר לבא וללמוד גם כן שם, אפילו מקפח קצת פרנסת הראשון, כגון שהקהל קבלו הראשון עליהם לרב ונוטל פרס מהם על זה, אפילו הכי יכול השני לבא לדור שם ולהחזיק רבנות בכל דבר, כמו הראשון, אם הוא גדול וראוי לכך</w:t>
      </w:r>
      <w:r w:rsidRPr="00CD3E4B">
        <w:rPr>
          <w:rFonts w:hint="cs"/>
        </w:rPr>
        <w:t>. (</w:t>
      </w:r>
      <w:r w:rsidRPr="00CD3E4B">
        <w:rPr>
          <w:rFonts w:hint="cs"/>
          <w:rtl/>
        </w:rPr>
        <w:t>מהרי"ו סי' קנ"א ומהרא"י בפסקיו סימן קנ"ח ע"ש תשו' הגדולים</w:t>
      </w:r>
      <w:r w:rsidRPr="00CD3E4B">
        <w:rPr>
          <w:rFonts w:hint="cs"/>
        </w:rPr>
        <w:t xml:space="preserve">). </w:t>
      </w:r>
      <w:r w:rsidRPr="00CD3E4B">
        <w:rPr>
          <w:rFonts w:hint="cs"/>
          <w:rtl/>
        </w:rPr>
        <w:t>אבל אם בא חכם אכסנאי לעיר, אין לו לקפח שכר הרב הדר שם לעשות חופות וקידושין וליטול השכר הבא מהם, הואיל והוא פרס הרב הדר שם, אבל מותר לעשות החופה ולתת השכר לרב הקבוע. וכן הותר לו לדון בין שני בעלי דינין שבעיר הבאים לפניו לדון, דלמא הרב שבעיר אין ממוצע להם. אבל אין לו להורות איסור והיתר, או לדרוש לנהוג שררה, באתריה דחבריה</w:t>
      </w:r>
      <w:r w:rsidRPr="00CD3E4B">
        <w:rPr>
          <w:rFonts w:hint="cs"/>
        </w:rPr>
        <w:t>. (</w:t>
      </w:r>
      <w:r w:rsidRPr="00CD3E4B">
        <w:rPr>
          <w:rFonts w:hint="cs"/>
          <w:rtl/>
        </w:rPr>
        <w:t>מהרי"ק שורש ק"ע ומהר"ד בתשובה כ"ב</w:t>
      </w:r>
      <w:r w:rsidRPr="00CD3E4B">
        <w:rPr>
          <w:rFonts w:hint="cs"/>
        </w:rPr>
        <w:t xml:space="preserve">). </w:t>
      </w:r>
      <w:r w:rsidRPr="00CD3E4B">
        <w:rPr>
          <w:rFonts w:hint="cs"/>
          <w:rtl/>
        </w:rPr>
        <w:t>ומי שהוחזק לרב בעיר אפילו החזיק בעצמו באיזה שררה, אין להורידו מגדולתו אף על פי שבא לשם אחר גדול ממנו </w:t>
      </w:r>
      <w:r w:rsidRPr="00CD3E4B">
        <w:rPr>
          <w:rFonts w:hint="cs"/>
        </w:rPr>
        <w:t>(</w:t>
      </w:r>
      <w:r w:rsidRPr="00CD3E4B">
        <w:rPr>
          <w:rFonts w:hint="cs"/>
          <w:rtl/>
        </w:rPr>
        <w:t>ריב"ש סימן רע"א</w:t>
      </w:r>
      <w:r w:rsidRPr="00CD3E4B">
        <w:rPr>
          <w:rFonts w:hint="cs"/>
        </w:rPr>
        <w:t xml:space="preserve">). </w:t>
      </w:r>
      <w:r w:rsidRPr="00CD3E4B">
        <w:rPr>
          <w:rFonts w:hint="cs"/>
          <w:rtl/>
        </w:rPr>
        <w:t>אפילו בנו ובן בנו לעולם קודמים לאחרים, כל זמן שממלאים מקום אבותיהם ביראה והם חכמים קצת</w:t>
      </w:r>
      <w:r w:rsidRPr="00CD3E4B">
        <w:rPr>
          <w:rFonts w:hint="cs"/>
        </w:rPr>
        <w:t>. (</w:t>
      </w:r>
      <w:hyperlink r:id="rId276" w:tooltip="רמב&quot;ם הלכות מלכים ומלחמות א" w:history="1">
        <w:r w:rsidRPr="00CD3E4B">
          <w:rPr>
            <w:rStyle w:val="Hyperlink"/>
            <w:rFonts w:hint="cs"/>
            <w:color w:val="7030A0"/>
            <w:u w:val="none"/>
            <w:rtl/>
          </w:rPr>
          <w:t>רמב"ם פ"א מהלכות מלכים</w:t>
        </w:r>
      </w:hyperlink>
      <w:r w:rsidRPr="00CD3E4B">
        <w:rPr>
          <w:rFonts w:hint="cs"/>
        </w:rPr>
        <w:t xml:space="preserve">). </w:t>
      </w:r>
      <w:r w:rsidRPr="00CD3E4B">
        <w:rPr>
          <w:rFonts w:hint="cs"/>
          <w:rtl/>
        </w:rPr>
        <w:t>ובמקום שיש מנהג לקבל רב על זמן קצוב, או שמנהג לבחור במי שירצו, הרשות בידם</w:t>
      </w:r>
      <w:r w:rsidRPr="00CD3E4B">
        <w:rPr>
          <w:rFonts w:hint="cs"/>
        </w:rPr>
        <w:t>, (</w:t>
      </w:r>
      <w:r w:rsidRPr="00CD3E4B">
        <w:rPr>
          <w:rFonts w:hint="cs"/>
          <w:rtl/>
        </w:rPr>
        <w:t>כל בו</w:t>
      </w:r>
      <w:r w:rsidRPr="00CD3E4B">
        <w:rPr>
          <w:rFonts w:hint="cs"/>
        </w:rPr>
        <w:t xml:space="preserve">). </w:t>
      </w:r>
      <w:r w:rsidRPr="00CD3E4B">
        <w:rPr>
          <w:rFonts w:hint="cs"/>
          <w:rtl/>
        </w:rPr>
        <w:t>אבל כל שקבלו הקהל עליהם, וכל שכן אם עשו ברצון השררה, אין לשום גדול בעולם להשתרר עליו ולהורידו </w:t>
      </w:r>
      <w:r w:rsidRPr="00CD3E4B">
        <w:rPr>
          <w:rFonts w:hint="cs"/>
        </w:rPr>
        <w:t>(</w:t>
      </w:r>
      <w:r w:rsidRPr="00CD3E4B">
        <w:rPr>
          <w:rFonts w:hint="cs"/>
          <w:rtl/>
        </w:rPr>
        <w:t>שם בריב"ש</w:t>
      </w:r>
      <w:r w:rsidRPr="00CD3E4B">
        <w:rPr>
          <w:rFonts w:hint="cs"/>
        </w:rPr>
        <w:t>).</w:t>
      </w:r>
    </w:p>
    <w:p w14:paraId="05CCDFF3" w14:textId="2C1D918A" w:rsidR="00655047" w:rsidRDefault="00655047" w:rsidP="00655047">
      <w:pPr>
        <w:pStyle w:val="Style1"/>
        <w:rPr>
          <w:rtl/>
        </w:rPr>
      </w:pPr>
      <w:r>
        <w:rPr>
          <w:rFonts w:hint="cs"/>
          <w:rtl/>
        </w:rPr>
        <w:t>3)[</w:t>
      </w:r>
      <w:r>
        <w:rPr>
          <w:rtl/>
        </w:rPr>
        <w:t>רמב</w:t>
      </w:r>
      <w:r w:rsidR="00C764B2">
        <w:rPr>
          <w:rtl/>
        </w:rPr>
        <w:t>”ם \זמנים\</w:t>
      </w:r>
      <w:r>
        <w:rPr>
          <w:rtl/>
        </w:rPr>
        <w:t xml:space="preserve"> הלכות שבת פרק יט הלכה י</w:t>
      </w:r>
      <w:r>
        <w:rPr>
          <w:rFonts w:hint="cs"/>
          <w:rtl/>
        </w:rPr>
        <w:t xml:space="preserve">] </w:t>
      </w:r>
      <w:r>
        <w:rPr>
          <w:rtl/>
        </w:rPr>
        <w:t>יוצאה אשה בחוטין שבצוארה מפני שאינה חונקת עצמה בהן ואינן חוצצין, ואם היו צבועין אסורים שמא תראה אותן לחברותיה, ויוצאה אשה בכליל של זהב בראשה שאין יוצאה בו אלא אשה חשובה שאין דרכה לחלוץ ולהראות, ויוצאה בציץ ובלחיים של זהב בזמן שהן תפורין בשבכה שעל ראשה כדי שלא יפולו וכן כל כיוצא בזה.</w:t>
      </w:r>
    </w:p>
    <w:p w14:paraId="4B051E68" w14:textId="0B42F229" w:rsidR="006D232C" w:rsidRDefault="006D232C" w:rsidP="00A90913">
      <w:pPr>
        <w:pStyle w:val="Style1"/>
        <w:rPr>
          <w:rtl/>
        </w:rPr>
      </w:pPr>
      <w:r>
        <w:rPr>
          <w:rFonts w:hint="cs"/>
          <w:rtl/>
        </w:rPr>
        <w:lastRenderedPageBreak/>
        <w:t>3)[</w:t>
      </w:r>
      <w:r>
        <w:rPr>
          <w:rtl/>
        </w:rPr>
        <w:t>שולחן ערוך אורח חיים הלכות שבת סימן שג סעיף ה</w:t>
      </w:r>
      <w:r>
        <w:rPr>
          <w:rFonts w:hint="cs"/>
          <w:rtl/>
        </w:rPr>
        <w:t>]</w:t>
      </w:r>
      <w:r w:rsidR="00A90913">
        <w:rPr>
          <w:rFonts w:hint="cs"/>
          <w:rtl/>
        </w:rPr>
        <w:t xml:space="preserve"> </w:t>
      </w:r>
      <w:r w:rsidR="00A90913" w:rsidRPr="00A90913">
        <w:rPr>
          <w:rtl/>
        </w:rPr>
        <w:t>כלילא והוא תכשיט שמניחתו על פדחתה מאוזן לאוזן וקושרתו ברצועות התלויות מותרת לצאת בו בין שהיא עשויה מחתיכות של זהב חרוזות בחוט בין שאותן חתיכות קבועות במטלית</w:t>
      </w:r>
      <w:r w:rsidR="00A90913" w:rsidRPr="00A90913">
        <w:t>:</w:t>
      </w:r>
    </w:p>
    <w:p w14:paraId="251B54FB" w14:textId="6C540DC5" w:rsidR="00F511BC" w:rsidRDefault="00DA687F" w:rsidP="00D7135F">
      <w:pPr>
        <w:pStyle w:val="Style1"/>
        <w:rPr>
          <w:rtl/>
        </w:rPr>
      </w:pPr>
      <w:r>
        <w:rPr>
          <w:rFonts w:hint="cs"/>
          <w:rtl/>
        </w:rPr>
        <w:t>4</w:t>
      </w:r>
      <w:r w:rsidR="00D7135F">
        <w:rPr>
          <w:rFonts w:hint="cs"/>
          <w:rtl/>
        </w:rPr>
        <w:t>)[</w:t>
      </w:r>
      <w:r w:rsidR="00D7135F">
        <w:rPr>
          <w:rtl/>
        </w:rPr>
        <w:t>רמב</w:t>
      </w:r>
      <w:r w:rsidR="0057095E">
        <w:rPr>
          <w:rtl/>
        </w:rPr>
        <w:t>”ם \מדע\</w:t>
      </w:r>
      <w:r w:rsidR="00D7135F">
        <w:rPr>
          <w:rtl/>
        </w:rPr>
        <w:t xml:space="preserve"> הלכות תלמוד תורה פרק ד הלכה ה</w:t>
      </w:r>
      <w:r w:rsidR="00D7135F">
        <w:rPr>
          <w:rFonts w:hint="cs"/>
          <w:rtl/>
        </w:rPr>
        <w:t xml:space="preserve">] </w:t>
      </w:r>
      <w:r w:rsidR="00D7135F">
        <w:rPr>
          <w:rtl/>
        </w:rPr>
        <w:t>לא יהיה התלמיד בוש מחביריו שלמדו מפעם ראשונה או שניה והוא לא למד אלא אחר כמה פעמים, שאם נתבייש מדבר זה נמצא נכנס ויוצא לבית המדרש והוא אינו למד כלום, לפיכך אמרו חכמים הראשונים אין הביישן למד ולא הקפדן מלמד, במה דברים אמורים בזמן שלא הבינו התלמידים הדבר מפני עומקו או מפני דעתן שהיא קצרה, אבל אם ניכר לרב שהם מתרשלין בדברי תורה ומתרפין עליהן ולפיכך לא הבינו חייב לרגוז עליהן ולהכלימן בדברים כדי לחדדם, וכענין זה אמרו חכמים  זרוק מרה בתלמידים, לפיכך אין ראוי לרב לנהוג קלות ראש לפני התלמידים ולא לשחוק בפניהם ולא לאכול ולשתות עמהם כדי שתהא אימתו עליהן וילמדו ממנו במהרה.</w:t>
      </w:r>
    </w:p>
    <w:p w14:paraId="0B36919F" w14:textId="31A5C380" w:rsidR="00324C8C" w:rsidRPr="00A90913" w:rsidRDefault="00324C8C" w:rsidP="00324C8C">
      <w:pPr>
        <w:pStyle w:val="Style1"/>
        <w:rPr>
          <w:rStyle w:val="Style1Char"/>
        </w:rPr>
      </w:pPr>
      <w:r>
        <w:rPr>
          <w:rStyle w:val="Style1Char"/>
          <w:rFonts w:hint="cs"/>
          <w:rtl/>
        </w:rPr>
        <w:t>4)[</w:t>
      </w:r>
      <w:r w:rsidRPr="00324C8C">
        <w:rPr>
          <w:rStyle w:val="Style1Char"/>
          <w:rtl/>
        </w:rPr>
        <w:t>שולחן ערוך יורה דעה הלכות תלמוד תורה סימן רמו סעיף יא</w:t>
      </w:r>
      <w:r>
        <w:rPr>
          <w:rStyle w:val="Style1Char"/>
          <w:rFonts w:hint="cs"/>
          <w:rtl/>
        </w:rPr>
        <w:t xml:space="preserve">] </w:t>
      </w:r>
      <w:r w:rsidRPr="00324C8C">
        <w:rPr>
          <w:rStyle w:val="Style1Char"/>
          <w:rtl/>
        </w:rPr>
        <w:t>ולא יהא התלמיד בוש מחבירו שלמד בפעם ראשונה או שניה והוא לא למד אפילו אחר כמה פעמים, שאם נתבייש מדבר זה נמצא נכנס ויוצא לבית המדרש והוא לא למד כלום, ועל כן אמרו: לא הביישן למד ולא הקפדן מלמד. בד"א, שלא הבינו התלמידים הדבר מפני עומקו, או מפני דעתן שהיא קצרה, אבל אם ניכר לרב שהם מתרשלים בדברי תורה ומתרפים עליהם ולפיכך לא הבינו, חייב לכעוס עליהם ולהכלימם בדברים כדי לחדדן, ועל זה אמרו: זרוק מרה בתלמידים. לפיכך אין ראוי לרב לנהוג קלות ראש בפני התלמידים; ולא לשחוק בפניהם; ולא לאכול ולשתות עמהם, כדי שתהא אימתו מוטלת עליהם וילמדו ממנו מהרה.</w:t>
      </w:r>
    </w:p>
    <w:p w14:paraId="0D88D701" w14:textId="741037A9" w:rsidR="00F511BC" w:rsidRPr="00A90913" w:rsidRDefault="00F511BC" w:rsidP="00A90913">
      <w:pPr>
        <w:pStyle w:val="Style1"/>
        <w:rPr>
          <w:rStyle w:val="Style1Char"/>
        </w:rPr>
      </w:pPr>
    </w:p>
    <w:p w14:paraId="1237B73F" w14:textId="43F43C3D" w:rsidR="00D4314E" w:rsidRPr="00CD3E4B" w:rsidRDefault="00D4314E" w:rsidP="00CD3E4B">
      <w:pPr>
        <w:pStyle w:val="Style1"/>
        <w:rPr>
          <w:rStyle w:val="Style1Char"/>
          <w:rtl/>
        </w:rPr>
      </w:pPr>
    </w:p>
    <w:p w14:paraId="50B2D382" w14:textId="77777777" w:rsidR="000231F5" w:rsidRPr="00157724" w:rsidRDefault="000231F5" w:rsidP="00157724">
      <w:pPr>
        <w:pStyle w:val="Style1"/>
        <w:bidi w:val="0"/>
        <w:rPr>
          <w:rStyle w:val="Style1Char"/>
          <w:rtl/>
        </w:rPr>
      </w:pPr>
      <w:r w:rsidRPr="00157724">
        <w:rPr>
          <w:rStyle w:val="Style1Char"/>
          <w:rtl/>
        </w:rPr>
        <w:br w:type="page"/>
      </w:r>
    </w:p>
    <w:p w14:paraId="776915EA" w14:textId="42888ED6" w:rsidR="000231F5" w:rsidRPr="00853299" w:rsidRDefault="000231F5" w:rsidP="000231F5">
      <w:pPr>
        <w:bidi/>
        <w:rPr>
          <w:rStyle w:val="Style1Char"/>
          <w:color w:val="00B050"/>
        </w:rPr>
      </w:pPr>
      <w:r w:rsidRPr="00853299">
        <w:rPr>
          <w:rStyle w:val="Style1Char"/>
          <w:color w:val="00B050"/>
          <w:sz w:val="22"/>
          <w:szCs w:val="22"/>
          <w:highlight w:val="yellow"/>
          <w:rtl/>
        </w:rPr>
        <w:lastRenderedPageBreak/>
        <w:t>[דף קד עמוד א]</w:t>
      </w:r>
      <w:r w:rsidRPr="00853299">
        <w:rPr>
          <w:rStyle w:val="Style1Char"/>
          <w:color w:val="00B050"/>
          <w:sz w:val="22"/>
          <w:szCs w:val="22"/>
          <w:rtl/>
        </w:rPr>
        <w:t xml:space="preserve"> </w:t>
      </w:r>
      <w:r w:rsidRPr="00853299">
        <w:rPr>
          <w:rStyle w:val="Style1Char"/>
          <w:color w:val="00B050"/>
          <w:rtl/>
        </w:rPr>
        <w:t xml:space="preserve">דמדליא ובסים אוירא. ההוא יומא דנח נפשיה דרבי, גזרו רבנן תעניתא ובעו רחמי, ואמרי: כל מאן דאמר נח נפשיה דר', ידקר בחרב. סליקא אמתיה דרבי לאיגרא, אמרה: עליוני' מבקשין את רבי והתחתוני' מבקשין את רבי, יהי רצון שיכופו תחתונים את העליונים. כיון דחזאי כמה זימני דעייל לבית הכסא, וחלץ תפילין ומנח להו וקמצטער, אמרה: יהי רצון שיכופו עליונים את התחתונים. ולא הוו שתקי רבנן מלמיבעי רחמי, שקלה כוזא שדייא מאיגרא [לארעא], אישתיקו מרחמי ונח נפשיה דרבי. אמרו ליה רבנן לבר קפרא: זיל עיין. אזל אשכחיה דנח נפשיה, קרעיה ללבושיה ואהדריה לקרעיה לאחוריה, פתח ואמר: אראלים ומצוקים אחזו בארון הקדש, נצחו אראלים את המצוקים ונשבה ארון הקדש! אמרו ליה: נח נפשיה? אמר להו: אתון קאמריתו ואנא לא קאמינא. בשעת פטירתו של רבי, זקף עשר אצבעותיו כלפי מעלה, אמר: רבש"ע, גלוי וידוע לפניך שיגעתי בעשר אצבעותי בתורה ולא נהניתי אפילו באצבע קטנה, יהי רצון מלפניך שיהא שלום במנוחתי, יצתה ב"ק ואמרה: יבא שלום ינוחו על משכבותם. על משכבך מיבעי ליה! מסייע ליה לר' חייא בר גמדא, דאמר רבי חייא בר גמדא אמר ר' יוסי בן שאול: בשעה שהצדיק נפטר מן העולם, אומרים מלאכי השרת לפני הקדוש ברוך הוא: רבש"ע, צדיק פלוני בא! אומר להם: יבואו צדיקים ויצאו לקראתו, ואומרים לו: יבא בשלום, ינוחו על משכבותם. אמר ר' אלעזר: </w:t>
      </w:r>
      <w:r w:rsidR="00061A31">
        <w:rPr>
          <w:rStyle w:val="Style1Char"/>
          <w:rFonts w:hint="cs"/>
          <w:rtl/>
        </w:rPr>
        <w:t>(1)</w:t>
      </w:r>
      <w:r w:rsidRPr="00853299">
        <w:rPr>
          <w:rStyle w:val="Style1Char"/>
          <w:color w:val="00B050"/>
          <w:rtl/>
        </w:rPr>
        <w:t xml:space="preserve">בשעה שהצדיק נפטר מן העולם, שלש כיתות של מלאכי השרת יוצאות לקראתו, אחת אומרת לו: בא בשלום, ואחת אומרת: הולך נכחו, ואחת אומרת לו: יבא שלום ינוחו על משכבותם. בשעה שהרשע נאבד מן העולם, שלש כיתות של מלאכי חבלה יוצאות לקראתו, אחת אומרת: אין שלום אמר ה' לרשעים, ואחת אומרת לו: למעצבה ישכב, ואחת אומרת לו: רדה והשכבה את ערלים. </w:t>
      </w:r>
    </w:p>
    <w:p w14:paraId="157A9D3C" w14:textId="64A30A44" w:rsidR="000231F5" w:rsidRDefault="000231F5" w:rsidP="000231F5">
      <w:pPr>
        <w:bidi/>
        <w:rPr>
          <w:rStyle w:val="Style1Char"/>
          <w:color w:val="auto"/>
          <w:sz w:val="22"/>
          <w:szCs w:val="22"/>
          <w:rtl/>
        </w:rPr>
      </w:pPr>
      <w:r w:rsidRPr="004619E7">
        <w:rPr>
          <w:rStyle w:val="Style1Char"/>
          <w:color w:val="auto"/>
          <w:sz w:val="22"/>
          <w:szCs w:val="22"/>
          <w:rtl/>
        </w:rPr>
        <w:t xml:space="preserve">מתני'. כל זמן שהיא בבית אביה - גובה כתובתה לעולם, כל זמן שהיא בבית בעלה - גובה כתובתה עד עשרים וחמש שנים, שיש בכ"ה שנים שתעשה טובה כנגד כתובתה, דברי ר' מאיר שאמר משום רשב"ג; וחכ"א: </w:t>
      </w:r>
      <w:r w:rsidR="00C206BD">
        <w:rPr>
          <w:rStyle w:val="Style1Char"/>
          <w:rFonts w:hint="cs"/>
          <w:rtl/>
        </w:rPr>
        <w:t>(2)</w:t>
      </w:r>
      <w:r w:rsidRPr="004619E7">
        <w:rPr>
          <w:rStyle w:val="Style1Char"/>
          <w:color w:val="auto"/>
          <w:sz w:val="22"/>
          <w:szCs w:val="22"/>
          <w:rtl/>
        </w:rPr>
        <w:t xml:space="preserve">כל זמן שהיא בבית בעלה - גובה כתובתה לעולם, כל זמן שהיא בבית אביה - גובה כתובתה עד עשרים וחמש שנים. מתה, יורשיה מזכירין כתובתה עד עשרים וחמש שנים. </w:t>
      </w:r>
    </w:p>
    <w:p w14:paraId="300565C2" w14:textId="77777777" w:rsidR="000231F5" w:rsidRDefault="000231F5" w:rsidP="000231F5">
      <w:pPr>
        <w:bidi/>
        <w:rPr>
          <w:rFonts w:ascii="Arial" w:hAnsi="Arial" w:cs="Arial"/>
          <w:color w:val="4472C4" w:themeColor="accent1"/>
          <w:sz w:val="16"/>
          <w:szCs w:val="16"/>
          <w:rtl/>
        </w:rPr>
      </w:pPr>
      <w:r w:rsidRPr="00853299">
        <w:rPr>
          <w:rStyle w:val="Style1Char"/>
          <w:color w:val="00B050"/>
          <w:rtl/>
        </w:rPr>
        <w:t xml:space="preserve">גמ'. אמר ליה אביי לרב יוסף: ענייה שבישראל עד עשרים וחמש שנים, ומרתא בת בייתוס עד עשרים וחמש שנים? אמר ליה: לפום גמלא שיחנא. איבעיא להו: לרבי מאיר, מהו שתשלש? תיקו. וחכמים אומרים: כל זמן. </w:t>
      </w:r>
      <w:r w:rsidRPr="001D4FAE">
        <w:rPr>
          <w:rStyle w:val="Style1Char"/>
          <w:color w:val="auto"/>
          <w:sz w:val="22"/>
          <w:szCs w:val="22"/>
          <w:rtl/>
        </w:rPr>
        <w:t xml:space="preserve">אמר ליה אביי </w:t>
      </w:r>
      <w:r w:rsidRPr="001D4FAE">
        <w:rPr>
          <w:rStyle w:val="Style1Char"/>
          <w:color w:val="ED7D31" w:themeColor="accent2"/>
          <w:rtl/>
        </w:rPr>
        <w:t>לרב יוסף</w:t>
      </w:r>
      <w:r w:rsidRPr="001D4FAE">
        <w:rPr>
          <w:rFonts w:ascii="Arial" w:hAnsi="Arial" w:cs="Arial"/>
          <w:color w:val="ED7D31" w:themeColor="accent2"/>
          <w:sz w:val="16"/>
          <w:szCs w:val="16"/>
          <w:rtl/>
        </w:rPr>
        <w:t xml:space="preserve"> </w:t>
      </w:r>
      <w:r w:rsidRPr="00961596">
        <w:rPr>
          <w:rFonts w:ascii="Arial" w:hAnsi="Arial" w:cs="Arial"/>
          <w:color w:val="C00000"/>
          <w:rtl/>
        </w:rPr>
        <w:t>לרבא</w:t>
      </w:r>
      <w:r w:rsidRPr="001D4FAE">
        <w:rPr>
          <w:rStyle w:val="Style1Char"/>
          <w:color w:val="auto"/>
          <w:rtl/>
        </w:rPr>
        <w:t xml:space="preserve">: </w:t>
      </w:r>
      <w:r w:rsidRPr="001D4FAE">
        <w:rPr>
          <w:rStyle w:val="Style1Char"/>
          <w:color w:val="auto"/>
          <w:sz w:val="22"/>
          <w:szCs w:val="22"/>
          <w:rtl/>
        </w:rPr>
        <w:t>אתאי קודם שקיעת החמה - גובה כתובתה, לאחר שקיעת החמה</w:t>
      </w:r>
      <w:r w:rsidRPr="00853299">
        <w:rPr>
          <w:rStyle w:val="Style1Char"/>
          <w:color w:val="00B050"/>
          <w:rtl/>
        </w:rPr>
        <w:t xml:space="preserve"> </w:t>
      </w:r>
      <w:r w:rsidRPr="00C467F7">
        <w:rPr>
          <w:rStyle w:val="Style1Char"/>
          <w:color w:val="ED7D31" w:themeColor="accent2"/>
          <w:rtl/>
        </w:rPr>
        <w:t xml:space="preserve">- לא גביא, בההיא פורתא </w:t>
      </w:r>
      <w:r w:rsidRPr="00C467F7">
        <w:rPr>
          <w:rStyle w:val="Style1Char"/>
          <w:color w:val="auto"/>
          <w:sz w:val="22"/>
          <w:szCs w:val="22"/>
          <w:rtl/>
        </w:rPr>
        <w:t>אחילתא?</w:t>
      </w:r>
      <w:r w:rsidRPr="00C467F7">
        <w:rPr>
          <w:rStyle w:val="Style1Char"/>
          <w:color w:val="auto"/>
          <w:rtl/>
        </w:rPr>
        <w:t xml:space="preserve"> </w:t>
      </w:r>
      <w:r w:rsidRPr="00C467F7">
        <w:rPr>
          <w:rStyle w:val="Style1Char"/>
          <w:color w:val="auto"/>
          <w:sz w:val="22"/>
          <w:szCs w:val="22"/>
          <w:rtl/>
        </w:rPr>
        <w:t>אמר ליה: אין, כל מדת חכמים כן היא, בארבעים סאה - טובל, בארבעים סאה חסר קורטוב - אינו יכול לטבול בהן</w:t>
      </w:r>
      <w:r w:rsidRPr="00C467F7">
        <w:rPr>
          <w:rFonts w:ascii="Arial" w:hAnsi="Arial" w:cs="Arial"/>
          <w:sz w:val="16"/>
          <w:szCs w:val="16"/>
          <w:rtl/>
        </w:rPr>
        <w:t xml:space="preserve"> </w:t>
      </w:r>
      <w:r w:rsidRPr="00680FCE">
        <w:rPr>
          <w:rFonts w:ascii="Arial" w:hAnsi="Arial" w:cs="Arial"/>
          <w:color w:val="4472C4" w:themeColor="accent1"/>
          <w:rtl/>
        </w:rPr>
        <w:t>בכביצה מטמא טומאת אוכלים פחות משהו אינו מטמא טומאת אוכלין ג' על ג' מטמא טומאת מדרס חסר משהו אינו מטמא טומאת מדרס</w:t>
      </w:r>
      <w:r w:rsidRPr="00680FCE">
        <w:rPr>
          <w:rFonts w:ascii="Arial" w:hAnsi="Arial" w:cs="Arial"/>
          <w:color w:val="4472C4" w:themeColor="accent1"/>
        </w:rPr>
        <w:t>:</w:t>
      </w:r>
      <w:r w:rsidRPr="00680FCE">
        <w:rPr>
          <w:rFonts w:ascii="Arial" w:hAnsi="Arial" w:cs="Arial"/>
          <w:color w:val="806000" w:themeColor="accent4" w:themeShade="80"/>
          <w:rtl/>
        </w:rPr>
        <w:t>הא דקתני יורשיה מזכירין כתובתה עד כ"ה שנה אוקימנא בפרק כל הנשבעין שנשבעה ומתה</w:t>
      </w:r>
      <w:r w:rsidRPr="008241CD">
        <w:rPr>
          <w:rFonts w:ascii="Arial" w:hAnsi="Arial" w:cs="Arial"/>
          <w:color w:val="C00000"/>
          <w:sz w:val="16"/>
          <w:szCs w:val="16"/>
          <w:rtl/>
        </w:rPr>
        <w:t>:</w:t>
      </w:r>
      <w:r w:rsidRPr="00680FCE">
        <w:rPr>
          <w:rFonts w:ascii="Arial" w:hAnsi="Arial" w:cs="Arial"/>
          <w:color w:val="4472C4" w:themeColor="accent1"/>
          <w:sz w:val="16"/>
          <w:szCs w:val="16"/>
          <w:rtl/>
        </w:rPr>
        <w:t xml:space="preserve"> </w:t>
      </w:r>
      <w:r w:rsidRPr="0087756C">
        <w:rPr>
          <w:rFonts w:ascii="Arial" w:hAnsi="Arial" w:cs="Arial"/>
          <w:color w:val="4472C4" w:themeColor="accent1"/>
          <w:sz w:val="16"/>
          <w:szCs w:val="16"/>
          <w:rtl/>
        </w:rPr>
        <w:t>דאין אדם מוריש שבועה לבניו</w:t>
      </w:r>
    </w:p>
    <w:p w14:paraId="5A1D97C5" w14:textId="56AF70D4" w:rsidR="000231F5" w:rsidRDefault="000231F5" w:rsidP="000231F5">
      <w:pPr>
        <w:bidi/>
        <w:rPr>
          <w:rStyle w:val="Style1Char"/>
          <w:color w:val="ED7D31" w:themeColor="accent2"/>
          <w:sz w:val="22"/>
          <w:szCs w:val="22"/>
          <w:rtl/>
        </w:rPr>
      </w:pPr>
      <w:r w:rsidRPr="00853299">
        <w:rPr>
          <w:rStyle w:val="Style1Char"/>
          <w:color w:val="00B050"/>
          <w:rtl/>
        </w:rPr>
        <w:t xml:space="preserve"> אמר רב יהודה אמר רב: העיד רבי ישמעאל ברבי יוסי לפני רבי, שאמר משום אביו:</w:t>
      </w:r>
      <w:r w:rsidR="00DD3B05" w:rsidRPr="00DD3B05">
        <w:rPr>
          <w:rFonts w:hint="cs"/>
          <w:rtl/>
        </w:rPr>
        <w:t xml:space="preserve"> </w:t>
      </w:r>
      <w:r w:rsidR="00DD3B05">
        <w:rPr>
          <w:rStyle w:val="Style1Char"/>
          <w:rFonts w:hint="cs"/>
          <w:rtl/>
        </w:rPr>
        <w:t>(</w:t>
      </w:r>
      <w:r w:rsidR="0087056C">
        <w:rPr>
          <w:rStyle w:val="Style1Char"/>
          <w:rFonts w:hint="cs"/>
          <w:rtl/>
        </w:rPr>
        <w:t>2</w:t>
      </w:r>
      <w:r w:rsidR="00DD3B05">
        <w:rPr>
          <w:rStyle w:val="Style1Char"/>
          <w:rFonts w:hint="cs"/>
          <w:rtl/>
        </w:rPr>
        <w:t>)</w:t>
      </w:r>
      <w:r w:rsidRPr="00853299">
        <w:rPr>
          <w:rStyle w:val="Style1Char"/>
          <w:color w:val="00B050"/>
          <w:rtl/>
        </w:rPr>
        <w:t xml:space="preserve"> לא שנו אלא שאין שטר כתובה יוצא מתחת ידיה, אבל שטר כתובה יוצא מתחת ידיה - גובה כתובתה לעולם; ורבי אלעזר אמר: אפילו שטר כתובה יוצא מתחת ידיה - אינה גובה אלא עד עשרים וחמש שנים. מתיב רב ששת: </w:t>
      </w:r>
      <w:r w:rsidR="0087056C">
        <w:rPr>
          <w:rStyle w:val="Style1Char"/>
          <w:rFonts w:hint="cs"/>
          <w:rtl/>
        </w:rPr>
        <w:t>(3)</w:t>
      </w:r>
      <w:r w:rsidRPr="00853299">
        <w:rPr>
          <w:rStyle w:val="Style1Char"/>
          <w:color w:val="00B050"/>
          <w:rtl/>
        </w:rPr>
        <w:t xml:space="preserve">ב"ח גובה שלא בהזכרה; היכי דמי? אי דלא נקט שטרא, במאי גבי? אלא דנקיט שטרא, וב"ח הוא דלאו בר אחולי הוא, הא אלמנה אחילתא! הוא מותיב לה, והוא מפרק לה: </w:t>
      </w:r>
      <w:r w:rsidR="006E2C10">
        <w:rPr>
          <w:rStyle w:val="Style1Char"/>
          <w:rFonts w:hint="cs"/>
          <w:rtl/>
        </w:rPr>
        <w:t>(3)</w:t>
      </w:r>
      <w:r w:rsidRPr="00853299">
        <w:rPr>
          <w:rStyle w:val="Style1Char"/>
          <w:color w:val="00B050"/>
          <w:rtl/>
        </w:rPr>
        <w:t xml:space="preserve">לעולם דלא נקיט שטרא, והכא במאי עסקינן - כשחייב מודה. והאמר ר' אלעא, שונין: </w:t>
      </w:r>
      <w:r w:rsidR="005A36E7">
        <w:rPr>
          <w:rStyle w:val="Style1Char"/>
          <w:rFonts w:hint="cs"/>
          <w:rtl/>
        </w:rPr>
        <w:t>(4)</w:t>
      </w:r>
      <w:r w:rsidRPr="00853299">
        <w:rPr>
          <w:rStyle w:val="Style1Char"/>
          <w:color w:val="00B050"/>
          <w:rtl/>
        </w:rPr>
        <w:t xml:space="preserve">גרושה - הרי היא כבעל חוב; היכי דמי? אי דלא נקיטא כתובה, במאי גביא? אלא לאו דנקיטא כתובה, וגרושה היא דלאו בת אחולי היא, הא אלמנה אחילתא! הכא נמי כשחייב מודה. </w:t>
      </w:r>
      <w:r w:rsidRPr="00091FE6">
        <w:rPr>
          <w:rFonts w:ascii="Arial" w:hAnsi="Arial" w:cs="Arial"/>
          <w:color w:val="4472C4" w:themeColor="accent1"/>
          <w:rtl/>
        </w:rPr>
        <w:t xml:space="preserve">א"ר אילעא לא שנו אלא אלמנה אבל גרושה הרי היא כבעל חוב ובעל חוב גובה שלא בהזכרה </w:t>
      </w:r>
      <w:r w:rsidR="00A52FA9">
        <w:rPr>
          <w:rStyle w:val="Style1Char"/>
          <w:rFonts w:hint="cs"/>
          <w:rtl/>
        </w:rPr>
        <w:t>(</w:t>
      </w:r>
      <w:r w:rsidR="00091051">
        <w:rPr>
          <w:rStyle w:val="Style1Char"/>
          <w:rFonts w:hint="cs"/>
          <w:rtl/>
        </w:rPr>
        <w:t>2.2, 4.1</w:t>
      </w:r>
      <w:r w:rsidR="00A52FA9">
        <w:rPr>
          <w:rStyle w:val="Style1Char"/>
          <w:rFonts w:hint="cs"/>
          <w:rtl/>
        </w:rPr>
        <w:t>)</w:t>
      </w:r>
      <w:r w:rsidRPr="00091FE6">
        <w:rPr>
          <w:rStyle w:val="Style1Char"/>
          <w:color w:val="ED7D31" w:themeColor="accent2"/>
          <w:sz w:val="22"/>
          <w:szCs w:val="22"/>
          <w:rtl/>
        </w:rPr>
        <w:t xml:space="preserve">אמר רב נחמן בר יצחק, תני רב יהודה בר קזא במתניתא דבי בר קזא: תבעה כתובתה – </w:t>
      </w:r>
    </w:p>
    <w:p w14:paraId="4B98FFC7" w14:textId="12102EEF" w:rsidR="00674967" w:rsidRDefault="00674967" w:rsidP="00674967">
      <w:pPr>
        <w:pStyle w:val="Style1"/>
        <w:rPr>
          <w:rStyle w:val="Style1Char"/>
          <w:rtl/>
        </w:rPr>
      </w:pPr>
      <w:r>
        <w:rPr>
          <w:rStyle w:val="Style1Char"/>
          <w:rFonts w:hint="cs"/>
          <w:rtl/>
        </w:rPr>
        <w:t>1)[</w:t>
      </w:r>
      <w:r w:rsidRPr="00674967">
        <w:rPr>
          <w:rStyle w:val="Style1Char"/>
          <w:rtl/>
        </w:rPr>
        <w:t>שולחן ערוך יורה דעה הלכות אבילות סימן תג סעיף י</w:t>
      </w:r>
      <w:r>
        <w:rPr>
          <w:rStyle w:val="Style1Char"/>
          <w:rFonts w:hint="cs"/>
          <w:rtl/>
        </w:rPr>
        <w:t xml:space="preserve">] </w:t>
      </w:r>
      <w:r w:rsidRPr="00674967">
        <w:rPr>
          <w:rStyle w:val="Style1Char"/>
          <w:rtl/>
        </w:rPr>
        <w:t>המוליך עצמות ממקום למקום, הרי זה לא יתנם בשק או בדסקיא ויניחם על החמור וירכב עליהם, מפני שנוהג בהם מנהג בזיון; אבל אם מפשילו לאחוריו על החמור, שפיר דמי. ואם היה מתירא מפני הגנבים והלסטים, מותר. הגה: והחי יתן אל לבו דברים של מיתה; דיספד, יספדוניה; דיקבר, יקברוניה; דיטעון, יטעיניה; דידל, ידלוניה; וגדול השלום שניתן לצדיק, שבשעה שהצדיק נפטר ג' כתות של מלאכים נותנים לו שלום. (הכל בטור והרא"ש וכל בו) ואומרים: יבא שלום (כל הכתוב לחיים קדוש יאמר לו). בלע המות לנצח ומחה ה' אלהים דמעה מעל כל פנים. (ישעיה כה, ח').</w:t>
      </w:r>
    </w:p>
    <w:p w14:paraId="11E54F5C" w14:textId="14F936DC" w:rsidR="008C16C1" w:rsidRDefault="008C16C1" w:rsidP="008C16C1">
      <w:pPr>
        <w:pStyle w:val="Style1"/>
        <w:rPr>
          <w:rStyle w:val="Style1Char"/>
          <w:rtl/>
        </w:rPr>
      </w:pPr>
      <w:r>
        <w:rPr>
          <w:rStyle w:val="Style1Char"/>
          <w:rFonts w:hint="cs"/>
          <w:rtl/>
        </w:rPr>
        <w:t>2)[</w:t>
      </w:r>
      <w:r w:rsidRPr="008C16C1">
        <w:rPr>
          <w:rStyle w:val="Style1Char"/>
          <w:rtl/>
        </w:rPr>
        <w:t>רמב</w:t>
      </w:r>
      <w:r w:rsidR="00213DA1">
        <w:rPr>
          <w:rStyle w:val="Style1Char"/>
          <w:rtl/>
        </w:rPr>
        <w:t>”ם \נשים\</w:t>
      </w:r>
      <w:r w:rsidRPr="008C16C1">
        <w:rPr>
          <w:rStyle w:val="Style1Char"/>
          <w:rtl/>
        </w:rPr>
        <w:t xml:space="preserve"> הלכות אישות פרק טז הלכה כג</w:t>
      </w:r>
      <w:r>
        <w:rPr>
          <w:rStyle w:val="Style1Char"/>
          <w:rFonts w:hint="cs"/>
          <w:rtl/>
        </w:rPr>
        <w:t xml:space="preserve">] </w:t>
      </w:r>
      <w:r w:rsidRPr="008C16C1">
        <w:rPr>
          <w:rStyle w:val="Style1Char"/>
          <w:rtl/>
        </w:rPr>
        <w:t>ועד כמה תגבה האלמנה העיקר במקום שאין כותבין כתובה, אם היתה בבית בעלה גובה לעולם, ואם היתה בבית אביה עד עשרים וחמש שנה, ואם באה לתבוע אחר עשרים וחמש שנה אין לה כלום, שאילו לא מחלה לא שתקה כל זמן זה, והרי אינה עם היורשים כדי שתאמר נכלמתי מלתבען והן עמי בבית.</w:t>
      </w:r>
    </w:p>
    <w:p w14:paraId="76987EAF" w14:textId="507D9717" w:rsidR="00323302" w:rsidRPr="00323302" w:rsidRDefault="006E70D1" w:rsidP="00323302">
      <w:pPr>
        <w:pStyle w:val="Style1"/>
      </w:pPr>
      <w:r>
        <w:rPr>
          <w:rStyle w:val="Style1Char"/>
          <w:rFonts w:hint="cs"/>
          <w:rtl/>
        </w:rPr>
        <w:t>2)[</w:t>
      </w:r>
      <w:r w:rsidRPr="006E70D1">
        <w:rPr>
          <w:rStyle w:val="Style1Char"/>
          <w:rtl/>
        </w:rPr>
        <w:t>שולחן ערוך אבן העזר הלכות כתובות סימן קא סעיף א</w:t>
      </w:r>
      <w:r>
        <w:rPr>
          <w:rStyle w:val="Style1Char"/>
          <w:rFonts w:hint="cs"/>
          <w:rtl/>
        </w:rPr>
        <w:t>]</w:t>
      </w:r>
      <w:r w:rsidR="00323302">
        <w:rPr>
          <w:rStyle w:val="Style1Char"/>
          <w:rFonts w:hint="cs"/>
          <w:rtl/>
        </w:rPr>
        <w:t xml:space="preserve"> </w:t>
      </w:r>
      <w:r w:rsidR="00323302" w:rsidRPr="00323302">
        <w:rPr>
          <w:rtl/>
        </w:rPr>
        <w:t>אלמנה, כל זמן ששטר כתובה בידה, גובה לעולם, בין אם נותנים לה מזונות בבית אביה או בבית בעלה, ונשבעת אפלו לאחר שנשאת. אפילו עברה עליה שמיטה, אינה נשמטת, אלא אם כן פגמה אותה, שגבתה מקצת או שזקפה במלוה. ואם אין כתובתה בידה ובאה לגבות בתנאי בית דין במקום שאין כותבים, אם נותנים לה מזונות בבית אביה </w:t>
      </w:r>
      <w:r w:rsidR="00323302" w:rsidRPr="00323302">
        <w:rPr>
          <w:rFonts w:hint="cs"/>
          <w:rtl/>
        </w:rPr>
        <w:t>או שנשאת לאחר (מרדכי סוף פרק הנושא)</w:t>
      </w:r>
      <w:r w:rsidR="00323302" w:rsidRPr="00323302">
        <w:t xml:space="preserve">, </w:t>
      </w:r>
      <w:r w:rsidR="00323302" w:rsidRPr="00323302">
        <w:rPr>
          <w:rtl/>
        </w:rPr>
        <w:t>אינה גובה אלא עד סוף עשרים וחמש שנה. אבל שתקה עשרים וחמש שנה ולא תבעה, מחלה. ואם תבעה תוך עשרים וחמש שנים, מונין לה עשרים וחמש שנים מיום שתבעה. וכן יורשיה צריכים לתבע תוך עשרים וחמש שנים למיתתה, ואם שתקו יותר מעשרים וחמש שנה, מחלו</w:t>
      </w:r>
      <w:r w:rsidR="00323302" w:rsidRPr="00323302">
        <w:t>.</w:t>
      </w:r>
    </w:p>
    <w:p w14:paraId="534100C0" w14:textId="3FE4B13C" w:rsidR="00323302" w:rsidRDefault="00323302" w:rsidP="00323302">
      <w:pPr>
        <w:pStyle w:val="Style1"/>
        <w:rPr>
          <w:rtl/>
        </w:rPr>
      </w:pPr>
      <w:r w:rsidRPr="00323302">
        <w:rPr>
          <w:rFonts w:hint="cs"/>
          <w:rtl/>
        </w:rPr>
        <w:t>וכל שזכרה ואמרה שמה ששותקת לאו משום מחילה, הוי כתבעה (הר"ן פרק הנושא)</w:t>
      </w:r>
      <w:r w:rsidRPr="00323302">
        <w:t>:</w:t>
      </w:r>
    </w:p>
    <w:p w14:paraId="4D6C22E4" w14:textId="4DCD6AD8" w:rsidR="00323302" w:rsidRDefault="00E14D9A" w:rsidP="00932854">
      <w:pPr>
        <w:pStyle w:val="Style1"/>
        <w:rPr>
          <w:rStyle w:val="Style1Char"/>
          <w:rtl/>
        </w:rPr>
      </w:pPr>
      <w:r>
        <w:rPr>
          <w:rFonts w:hint="cs"/>
          <w:rtl/>
        </w:rPr>
        <w:t>3)[</w:t>
      </w:r>
      <w:r>
        <w:rPr>
          <w:rtl/>
        </w:rPr>
        <w:t>שולחן ערוך חושן משפט הלכות גביית מלוה סימן צח סעיף א</w:t>
      </w:r>
      <w:r>
        <w:rPr>
          <w:rFonts w:hint="cs"/>
          <w:rtl/>
        </w:rPr>
        <w:t>]</w:t>
      </w:r>
      <w:r w:rsidR="00932854">
        <w:rPr>
          <w:rFonts w:hint="cs"/>
          <w:rtl/>
        </w:rPr>
        <w:t xml:space="preserve"> </w:t>
      </w:r>
      <w:r w:rsidR="00932854" w:rsidRPr="00932854">
        <w:rPr>
          <w:rtl/>
        </w:rPr>
        <w:t>סדר גביית החוב כך הוא כשהמלוה מוציא שטר חוב מקוים אומרים ללוה שלם אפי' שהה כמה שנים ולא תבעו אין אומרים מחל לו כיון ששהה כל כך שנים ולא תבעו ואפי' שמענו שנתייאש</w:t>
      </w:r>
      <w:r w:rsidR="00932854" w:rsidRPr="00932854">
        <w:t xml:space="preserve"> (</w:t>
      </w:r>
      <w:r w:rsidR="00932854" w:rsidRPr="00932854">
        <w:rPr>
          <w:rtl/>
        </w:rPr>
        <w:t>פי' תרגום ונואש ממני שאול וזה כי מי שלבו הומה על דבר מה ואח"כ נח ואינו חושב עוד בדבר ההוא יאמר עליו ל' יאוש</w:t>
      </w:r>
      <w:r w:rsidR="00932854" w:rsidRPr="00932854">
        <w:t xml:space="preserve">) </w:t>
      </w:r>
      <w:r w:rsidR="00932854" w:rsidRPr="00932854">
        <w:rPr>
          <w:rtl/>
        </w:rPr>
        <w:t>מהחוב לגמרי ואמר וי לחסרון כיס אינו יאוש </w:t>
      </w:r>
      <w:r w:rsidR="00932854" w:rsidRPr="00932854">
        <w:rPr>
          <w:rFonts w:hint="cs"/>
          <w:rtl/>
        </w:rPr>
        <w:t>(ואפילו ראה המלוה שכתב כל נכסיו לבניו ולא כתב למלוה רק קרקע כל שהוא ושתק אפ"ה לא אמרי' דמחל) (טור)</w:t>
      </w:r>
      <w:r w:rsidR="00932854" w:rsidRPr="00932854">
        <w:rPr>
          <w:rtl/>
        </w:rPr>
        <w:t> ואפי' אין שטר חובו יוצא מתחת ידו אם החייב מודה</w:t>
      </w:r>
      <w:r w:rsidR="00932854" w:rsidRPr="00932854">
        <w:t>:</w:t>
      </w:r>
      <w:r w:rsidR="00323302" w:rsidRPr="00932854">
        <w:rPr>
          <w:rStyle w:val="Style1Char"/>
          <w:rFonts w:hint="cs"/>
          <w:rtl/>
        </w:rPr>
        <w:t xml:space="preserve"> </w:t>
      </w:r>
    </w:p>
    <w:p w14:paraId="5C88C698" w14:textId="7FE6A800" w:rsidR="007E1413" w:rsidRDefault="007E1413" w:rsidP="007E1413">
      <w:pPr>
        <w:pStyle w:val="Style1"/>
        <w:rPr>
          <w:rStyle w:val="Style1Char"/>
          <w:rtl/>
        </w:rPr>
      </w:pPr>
      <w:r>
        <w:rPr>
          <w:rStyle w:val="Style1Char"/>
          <w:rFonts w:hint="cs"/>
          <w:rtl/>
        </w:rPr>
        <w:t>4)[</w:t>
      </w:r>
      <w:r w:rsidRPr="007E1413">
        <w:rPr>
          <w:rStyle w:val="Style1Char"/>
          <w:rtl/>
        </w:rPr>
        <w:t>רמב</w:t>
      </w:r>
      <w:r w:rsidR="00213DA1">
        <w:rPr>
          <w:rStyle w:val="Style1Char"/>
          <w:rtl/>
        </w:rPr>
        <w:t>”ם \נשים\</w:t>
      </w:r>
      <w:r w:rsidRPr="007E1413">
        <w:rPr>
          <w:rStyle w:val="Style1Char"/>
          <w:rtl/>
        </w:rPr>
        <w:t xml:space="preserve"> הלכות אישות פרק טז הלכה כא</w:t>
      </w:r>
      <w:r>
        <w:rPr>
          <w:rStyle w:val="Style1Char"/>
          <w:rFonts w:hint="cs"/>
          <w:rtl/>
        </w:rPr>
        <w:t xml:space="preserve">] </w:t>
      </w:r>
      <w:r w:rsidRPr="007E1413">
        <w:rPr>
          <w:rStyle w:val="Style1Char"/>
          <w:rtl/>
        </w:rPr>
        <w:t>אלמנה שהיה שטר כתובה יוצא מתחת ידה נשבעת וגובה כתובתה לעולם אפילו אחר מאה שנה, בין שהיתה בבית בעלה בין שהיתה בבית אביה, ואם אין שטר כתובה יוצא מתחת ידה אין לה כלום ואפילו עיקר כתובה ואפילו תבעה ביום מיתת בעלה, וכן הגרושה אפילו עיקר כתובה אין לה עד שתוציא שטר כתובה.</w:t>
      </w:r>
    </w:p>
    <w:p w14:paraId="4F8411CC" w14:textId="27724841" w:rsidR="00E45375" w:rsidRPr="00932854" w:rsidRDefault="00E45375" w:rsidP="00E45375">
      <w:pPr>
        <w:pStyle w:val="Style1"/>
        <w:rPr>
          <w:rStyle w:val="Style1Char"/>
        </w:rPr>
      </w:pPr>
      <w:r>
        <w:rPr>
          <w:rStyle w:val="Style1Char"/>
          <w:rFonts w:hint="cs"/>
          <w:rtl/>
        </w:rPr>
        <w:t>4)[</w:t>
      </w:r>
      <w:r w:rsidRPr="00E45375">
        <w:rPr>
          <w:rStyle w:val="Style1Char"/>
          <w:rtl/>
        </w:rPr>
        <w:t>שולחן ערוך אבן העזר הלכות כתובות סימן קא סעיף ד</w:t>
      </w:r>
      <w:r>
        <w:rPr>
          <w:rStyle w:val="Style1Char"/>
          <w:rFonts w:hint="cs"/>
          <w:rtl/>
        </w:rPr>
        <w:t xml:space="preserve">] </w:t>
      </w:r>
      <w:r w:rsidRPr="00E45375">
        <w:rPr>
          <w:rStyle w:val="Style1Char"/>
          <w:rtl/>
        </w:rPr>
        <w:t>גרושה, לעולם אינה מוחלת, אפילו שהתה כמה שנים.</w:t>
      </w:r>
    </w:p>
    <w:p w14:paraId="142019B7" w14:textId="0C86CAB8" w:rsidR="006E70D1" w:rsidRPr="00674967" w:rsidRDefault="006E70D1" w:rsidP="006E70D1">
      <w:pPr>
        <w:pStyle w:val="Style1"/>
        <w:rPr>
          <w:rStyle w:val="Style1Char"/>
          <w:rtl/>
        </w:rPr>
      </w:pPr>
    </w:p>
    <w:p w14:paraId="3C5447AB" w14:textId="77777777" w:rsidR="000231F5" w:rsidRPr="00A47322" w:rsidRDefault="000231F5" w:rsidP="000231F5">
      <w:pPr>
        <w:bidi/>
        <w:rPr>
          <w:rStyle w:val="Style1Char"/>
          <w:color w:val="00B050"/>
          <w:rtl/>
        </w:rPr>
      </w:pPr>
    </w:p>
    <w:p w14:paraId="084E4291" w14:textId="77777777" w:rsidR="000231F5" w:rsidRDefault="000231F5" w:rsidP="000231F5">
      <w:pPr>
        <w:rPr>
          <w:rStyle w:val="Style1Char"/>
          <w:color w:val="00B050"/>
          <w:rtl/>
        </w:rPr>
      </w:pPr>
      <w:r>
        <w:rPr>
          <w:rStyle w:val="Style1Char"/>
          <w:color w:val="00B050"/>
          <w:rtl/>
        </w:rPr>
        <w:br w:type="page"/>
      </w:r>
    </w:p>
    <w:p w14:paraId="3D5C672E" w14:textId="77777777" w:rsidR="000231F5" w:rsidRDefault="000231F5" w:rsidP="000231F5">
      <w:pPr>
        <w:bidi/>
        <w:rPr>
          <w:rStyle w:val="Style1Char"/>
          <w:color w:val="00B050"/>
          <w:rtl/>
        </w:rPr>
      </w:pPr>
      <w:r w:rsidRPr="00091FE6">
        <w:rPr>
          <w:rStyle w:val="Style1Char"/>
          <w:color w:val="ED7D31" w:themeColor="accent2"/>
          <w:sz w:val="22"/>
          <w:szCs w:val="22"/>
          <w:highlight w:val="yellow"/>
          <w:rtl/>
        </w:rPr>
        <w:lastRenderedPageBreak/>
        <w:t>[דף קד עמוד ב]</w:t>
      </w:r>
      <w:r w:rsidRPr="00091FE6">
        <w:rPr>
          <w:rStyle w:val="Style1Char"/>
          <w:color w:val="ED7D31" w:themeColor="accent2"/>
          <w:sz w:val="22"/>
          <w:szCs w:val="22"/>
          <w:rtl/>
        </w:rPr>
        <w:t xml:space="preserve"> הרי היא כבתחלה</w:t>
      </w:r>
      <w:r w:rsidRPr="00853299">
        <w:rPr>
          <w:rStyle w:val="Style1Char"/>
          <w:color w:val="00B050"/>
          <w:rtl/>
        </w:rPr>
        <w:t xml:space="preserve">, </w:t>
      </w:r>
      <w:r w:rsidRPr="00091FE6">
        <w:rPr>
          <w:rStyle w:val="Style1Char"/>
          <w:color w:val="ED7D31" w:themeColor="accent2"/>
          <w:sz w:val="22"/>
          <w:szCs w:val="22"/>
          <w:rtl/>
        </w:rPr>
        <w:t>ואם היה שטר כתובה יוצא מתחת ידיה - גובה כתובתה לעולם</w:t>
      </w:r>
      <w:r w:rsidRPr="00091FE6">
        <w:rPr>
          <w:rStyle w:val="Style1Char"/>
          <w:color w:val="auto"/>
          <w:rtl/>
        </w:rPr>
        <w:t xml:space="preserve">. </w:t>
      </w:r>
      <w:r w:rsidRPr="00091FE6">
        <w:rPr>
          <w:rStyle w:val="Style1Char"/>
          <w:color w:val="auto"/>
          <w:sz w:val="22"/>
          <w:szCs w:val="22"/>
          <w:rtl/>
        </w:rPr>
        <w:t xml:space="preserve">שלח ליה רב נחמן בר רב חסדא לרב נחמן בר יעקב: ילמדנו רבינו, כששטר כתובה יוצא מתחת ידה </w:t>
      </w:r>
      <w:r w:rsidRPr="0087756C">
        <w:rPr>
          <w:rFonts w:ascii="Arial" w:hAnsi="Arial" w:cs="Arial"/>
          <w:color w:val="4472C4" w:themeColor="accent1"/>
          <w:sz w:val="16"/>
          <w:szCs w:val="16"/>
          <w:rtl/>
        </w:rPr>
        <w:t xml:space="preserve">פליגי </w:t>
      </w:r>
      <w:r w:rsidRPr="00853299">
        <w:rPr>
          <w:rStyle w:val="Style1Char"/>
          <w:color w:val="00B050"/>
          <w:rtl/>
        </w:rPr>
        <w:t xml:space="preserve">מחלוקת, </w:t>
      </w:r>
      <w:r w:rsidRPr="0001008E">
        <w:rPr>
          <w:rStyle w:val="Style1Char"/>
          <w:color w:val="auto"/>
          <w:sz w:val="22"/>
          <w:szCs w:val="22"/>
          <w:rtl/>
        </w:rPr>
        <w:t xml:space="preserve">או כשאין שטר כתובה יוצא מתחת ידה? והלכה כדברי מי? שלח ליה: בשאין שטר כתובה יוצא מתחת ידה </w:t>
      </w:r>
      <w:r w:rsidRPr="0087756C">
        <w:rPr>
          <w:rFonts w:ascii="Arial" w:hAnsi="Arial" w:cs="Arial"/>
          <w:color w:val="4472C4" w:themeColor="accent1"/>
          <w:sz w:val="16"/>
          <w:szCs w:val="16"/>
          <w:rtl/>
        </w:rPr>
        <w:t xml:space="preserve">פליגי </w:t>
      </w:r>
      <w:r w:rsidRPr="00853299">
        <w:rPr>
          <w:rStyle w:val="Style1Char"/>
          <w:color w:val="00B050"/>
          <w:rtl/>
        </w:rPr>
        <w:t xml:space="preserve">מחלוקת, </w:t>
      </w:r>
      <w:r w:rsidRPr="0001008E">
        <w:rPr>
          <w:rStyle w:val="Style1Char"/>
          <w:color w:val="ED7D31" w:themeColor="accent2"/>
          <w:sz w:val="22"/>
          <w:szCs w:val="22"/>
          <w:rtl/>
        </w:rPr>
        <w:t>אבל שטר כתובה יוצא מתחת ידה - גובה כתובתה לעולם</w:t>
      </w:r>
      <w:r w:rsidRPr="00853299">
        <w:rPr>
          <w:rStyle w:val="Style1Char"/>
          <w:color w:val="00B050"/>
          <w:rtl/>
        </w:rPr>
        <w:t xml:space="preserve">, </w:t>
      </w:r>
      <w:r w:rsidRPr="0001008E">
        <w:rPr>
          <w:rStyle w:val="Style1Char"/>
          <w:color w:val="auto"/>
          <w:sz w:val="22"/>
          <w:szCs w:val="22"/>
          <w:rtl/>
        </w:rPr>
        <w:t>והלכה כדברי חכמים</w:t>
      </w:r>
      <w:r w:rsidRPr="0001008E">
        <w:rPr>
          <w:rStyle w:val="Style1Char"/>
          <w:rFonts w:hint="cs"/>
          <w:color w:val="auto"/>
          <w:sz w:val="22"/>
          <w:szCs w:val="22"/>
          <w:rtl/>
        </w:rPr>
        <w:t xml:space="preserve"> </w:t>
      </w:r>
      <w:r w:rsidRPr="00B137AF">
        <w:rPr>
          <w:rFonts w:ascii="Arial" w:hAnsi="Arial" w:cs="Arial"/>
          <w:color w:val="C00000"/>
          <w:rtl/>
        </w:rPr>
        <w:t>אבל שטר כתובה יוצא מתחת ידה גובה כתובתה לעולם</w:t>
      </w:r>
      <w:r w:rsidRPr="00853299">
        <w:rPr>
          <w:rStyle w:val="Style1Char"/>
          <w:color w:val="00B050"/>
          <w:rtl/>
        </w:rPr>
        <w:t xml:space="preserve">. </w:t>
      </w:r>
      <w:r w:rsidRPr="0001008E">
        <w:rPr>
          <w:rStyle w:val="Style1Char"/>
          <w:color w:val="auto"/>
          <w:sz w:val="22"/>
          <w:szCs w:val="22"/>
          <w:rtl/>
        </w:rPr>
        <w:t xml:space="preserve">כי אתא רב דימי, א"ר שמעון בן פזי א"ר יהושע בן לוי </w:t>
      </w:r>
      <w:r w:rsidRPr="009D68A7">
        <w:rPr>
          <w:rStyle w:val="Style1Char"/>
          <w:sz w:val="22"/>
          <w:szCs w:val="22"/>
          <w:rtl/>
        </w:rPr>
        <w:t>משום בר קפרא</w:t>
      </w:r>
      <w:r w:rsidRPr="0001008E">
        <w:rPr>
          <w:rStyle w:val="Style1Char"/>
          <w:color w:val="auto"/>
          <w:sz w:val="22"/>
          <w:szCs w:val="22"/>
          <w:rtl/>
        </w:rPr>
        <w:t>: לא שנו אלא מנה מאתים, אבל תוספת</w:t>
      </w:r>
      <w:r w:rsidRPr="006B054B">
        <w:rPr>
          <w:rStyle w:val="Style1Char"/>
          <w:sz w:val="22"/>
          <w:szCs w:val="22"/>
          <w:rtl/>
        </w:rPr>
        <w:t xml:space="preserve"> </w:t>
      </w:r>
      <w:r w:rsidRPr="00853299">
        <w:rPr>
          <w:rStyle w:val="Style1Char"/>
          <w:color w:val="00B050"/>
          <w:rtl/>
        </w:rPr>
        <w:t xml:space="preserve">יש </w:t>
      </w:r>
      <w:r>
        <w:rPr>
          <w:rStyle w:val="Style1Char"/>
          <w:rFonts w:hint="cs"/>
          <w:color w:val="00B050"/>
          <w:rtl/>
        </w:rPr>
        <w:t xml:space="preserve"> </w:t>
      </w:r>
      <w:r w:rsidRPr="00E835A0">
        <w:rPr>
          <w:rStyle w:val="Style1Char"/>
          <w:rFonts w:hint="cs"/>
          <w:color w:val="C00000"/>
          <w:sz w:val="22"/>
          <w:szCs w:val="22"/>
          <w:rtl/>
        </w:rPr>
        <w:t xml:space="preserve">אין </w:t>
      </w:r>
      <w:r w:rsidRPr="00E835A0">
        <w:rPr>
          <w:rStyle w:val="Style1Char"/>
          <w:color w:val="auto"/>
          <w:sz w:val="22"/>
          <w:szCs w:val="22"/>
          <w:rtl/>
        </w:rPr>
        <w:t>לה</w:t>
      </w:r>
      <w:r w:rsidRPr="009D68A7">
        <w:rPr>
          <w:rStyle w:val="Style1Char"/>
          <w:color w:val="ED7D31" w:themeColor="accent2"/>
          <w:sz w:val="22"/>
          <w:szCs w:val="22"/>
          <w:rtl/>
        </w:rPr>
        <w:t>; ורבי אבהו א"ר יוחנן: אפילו תוספת אין לה</w:t>
      </w:r>
      <w:r w:rsidRPr="006B054B">
        <w:rPr>
          <w:rStyle w:val="Style1Char"/>
          <w:sz w:val="22"/>
          <w:szCs w:val="22"/>
          <w:rtl/>
        </w:rPr>
        <w:t xml:space="preserve">, </w:t>
      </w:r>
      <w:r w:rsidRPr="00CD7CAA">
        <w:rPr>
          <w:rFonts w:ascii="Arial" w:hAnsi="Arial" w:cs="Arial"/>
          <w:color w:val="C00000"/>
          <w:rtl/>
        </w:rPr>
        <w:t>ורבי אבהו א"ר ינאי אפילו תוספת יש לה</w:t>
      </w:r>
      <w:r w:rsidRPr="00CD7CAA">
        <w:rPr>
          <w:rStyle w:val="Style1Char"/>
          <w:color w:val="00B050"/>
          <w:sz w:val="22"/>
          <w:szCs w:val="22"/>
          <w:rtl/>
        </w:rPr>
        <w:t xml:space="preserve"> </w:t>
      </w:r>
      <w:r w:rsidRPr="00E835A0">
        <w:rPr>
          <w:rStyle w:val="Style1Char"/>
          <w:color w:val="auto"/>
          <w:sz w:val="22"/>
          <w:szCs w:val="22"/>
          <w:rtl/>
        </w:rPr>
        <w:t>דאמר רבי אייבו אמר רבי ינאי: תנאי כתובה ככתובה דמי</w:t>
      </w:r>
      <w:r w:rsidRPr="00E835A0">
        <w:rPr>
          <w:rFonts w:ascii="Arial" w:hAnsi="Arial" w:cs="Arial"/>
          <w:sz w:val="16"/>
          <w:szCs w:val="16"/>
          <w:rtl/>
        </w:rPr>
        <w:t xml:space="preserve"> </w:t>
      </w:r>
      <w:r w:rsidRPr="00CD7CAA">
        <w:rPr>
          <w:rFonts w:ascii="Arial" w:hAnsi="Arial" w:cs="Arial"/>
          <w:color w:val="C00000"/>
          <w:rtl/>
        </w:rPr>
        <w:t>וכן הלכתא</w:t>
      </w:r>
      <w:r w:rsidRPr="00853299">
        <w:rPr>
          <w:rStyle w:val="Style1Char"/>
          <w:color w:val="00B050"/>
          <w:rtl/>
        </w:rPr>
        <w:t>.</w:t>
      </w:r>
    </w:p>
    <w:p w14:paraId="1CEF1386" w14:textId="77777777" w:rsidR="000231F5" w:rsidRPr="0087756C" w:rsidRDefault="000231F5" w:rsidP="000231F5">
      <w:pPr>
        <w:bidi/>
        <w:rPr>
          <w:rFonts w:ascii="Arial" w:hAnsi="Arial" w:cs="Arial"/>
          <w:color w:val="4472C4" w:themeColor="accent1"/>
          <w:sz w:val="16"/>
          <w:szCs w:val="16"/>
        </w:rPr>
      </w:pPr>
      <w:r w:rsidRPr="0087756C">
        <w:rPr>
          <w:rFonts w:ascii="Arial" w:hAnsi="Arial" w:cs="Arial"/>
          <w:color w:val="4472C4" w:themeColor="accent1"/>
          <w:sz w:val="16"/>
          <w:szCs w:val="16"/>
          <w:rtl/>
        </w:rPr>
        <w:t>וקי"ל כרבי יוחנן דתנאי כתובה ככתובה דמי ודוקא תוספת אבל נדוניא מסתבר שהיא כחוב</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והא דאמרינן עניה בת ישראל עשרים וחמש ומרתא בת בייתוס עשרים וחמש משום תוספת כתובה קאמר שהיא גדולה</w:t>
      </w:r>
      <w:r>
        <w:rPr>
          <w:rFonts w:ascii="Arial" w:hAnsi="Arial" w:cs="Arial" w:hint="cs"/>
          <w:color w:val="4472C4" w:themeColor="accent1"/>
          <w:sz w:val="16"/>
          <w:szCs w:val="16"/>
        </w:rPr>
        <w:t>‍</w:t>
      </w:r>
      <w:r w:rsidRPr="0087756C">
        <w:rPr>
          <w:rFonts w:ascii="Arial" w:hAnsi="Arial" w:cs="Arial"/>
          <w:color w:val="4472C4" w:themeColor="accent1"/>
          <w:sz w:val="16"/>
          <w:szCs w:val="16"/>
          <w:rtl/>
        </w:rPr>
        <w:t xml:space="preserve"> זו היא גירסת רש"י ועיקר</w:t>
      </w:r>
      <w:r w:rsidRPr="0087756C">
        <w:rPr>
          <w:rFonts w:ascii="Arial" w:hAnsi="Arial" w:cs="Arial"/>
          <w:color w:val="4472C4" w:themeColor="accent1"/>
          <w:sz w:val="16"/>
          <w:szCs w:val="16"/>
        </w:rPr>
        <w:t xml:space="preserve">: </w:t>
      </w:r>
    </w:p>
    <w:p w14:paraId="1ACCBDEB" w14:textId="5CBB514E" w:rsidR="000231F5" w:rsidRDefault="000231F5" w:rsidP="000231F5">
      <w:pPr>
        <w:bidi/>
        <w:rPr>
          <w:rStyle w:val="Style1Char"/>
          <w:sz w:val="32"/>
          <w:szCs w:val="32"/>
          <w:rtl/>
        </w:rPr>
      </w:pPr>
      <w:r w:rsidRPr="00853299">
        <w:rPr>
          <w:rStyle w:val="Style1Char"/>
          <w:color w:val="00B050"/>
          <w:rtl/>
        </w:rPr>
        <w:t xml:space="preserve">אתמר נמי, א"ר אבא אמר רב הונא אמר רב: לא שנו אלא מנה מאתים, אבל תוספת יש לה. אמר ליה רבי אבא לרב הונא: אמר רב הכי? אמר ליה: אישתיקן קאמרת, או אשקיין קאמרת? אמר ליה: אישתיקן קאמינא. </w:t>
      </w:r>
      <w:r w:rsidRPr="0062545D">
        <w:rPr>
          <w:rStyle w:val="Style1Char"/>
          <w:color w:val="auto"/>
          <w:sz w:val="22"/>
          <w:szCs w:val="22"/>
          <w:rtl/>
        </w:rPr>
        <w:t xml:space="preserve">חמתיה דרב חייא אריכא </w:t>
      </w:r>
      <w:r w:rsidRPr="0062545D">
        <w:rPr>
          <w:rFonts w:ascii="Arial" w:hAnsi="Arial" w:cs="Arial"/>
          <w:color w:val="806000" w:themeColor="accent4" w:themeShade="80"/>
          <w:rtl/>
        </w:rPr>
        <w:t xml:space="preserve">מדפתי </w:t>
      </w:r>
      <w:r w:rsidRPr="0062545D">
        <w:rPr>
          <w:rStyle w:val="Style1Char"/>
          <w:color w:val="auto"/>
          <w:sz w:val="22"/>
          <w:szCs w:val="22"/>
          <w:rtl/>
        </w:rPr>
        <w:t>אינתת אחוה הואי</w:t>
      </w:r>
      <w:r w:rsidRPr="00853299">
        <w:rPr>
          <w:rStyle w:val="Style1Char"/>
          <w:color w:val="00B050"/>
          <w:rtl/>
        </w:rPr>
        <w:t xml:space="preserve">, ואלמנה בבית אביה הואי, </w:t>
      </w:r>
      <w:r w:rsidRPr="0062545D">
        <w:rPr>
          <w:rStyle w:val="Style1Char"/>
          <w:color w:val="auto"/>
          <w:sz w:val="22"/>
          <w:szCs w:val="22"/>
          <w:rtl/>
        </w:rPr>
        <w:t xml:space="preserve">וזנה עשרים וחמש שנין בבי נשא. לסוף אמרה ליה: הב לי מזוני, אמר לה: לית לך מזוני. הב לי כתובה, אמר לה: לא מזוני אית לך ולא כתובה אית לך, תבעתיה לדינא קמיה דרבה בר שילא. אמר ליה: אימא לי איזי גופא דעובדא היכי הוה, אמר ליה: זניתה עשרים וחמש שנים בבי נשא, בחיי דמר, דבכתפאי אמטאי לה. </w:t>
      </w:r>
      <w:r w:rsidR="00454090">
        <w:rPr>
          <w:rStyle w:val="Style1Char"/>
          <w:rFonts w:hint="cs"/>
          <w:rtl/>
        </w:rPr>
        <w:t>(</w:t>
      </w:r>
      <w:r w:rsidR="002E6428">
        <w:rPr>
          <w:rStyle w:val="Style1Char"/>
          <w:rFonts w:hint="cs"/>
          <w:rtl/>
        </w:rPr>
        <w:t>1.1, 2</w:t>
      </w:r>
      <w:r w:rsidR="00454090">
        <w:rPr>
          <w:rStyle w:val="Style1Char"/>
          <w:rFonts w:hint="cs"/>
          <w:rtl/>
        </w:rPr>
        <w:t>)</w:t>
      </w:r>
      <w:r w:rsidRPr="0062545D">
        <w:rPr>
          <w:rStyle w:val="Style1Char"/>
          <w:color w:val="auto"/>
          <w:sz w:val="22"/>
          <w:szCs w:val="22"/>
          <w:rtl/>
        </w:rPr>
        <w:t>אמר ליה: טעמא מאי אמור רבנן כל זמן שהיא בבית בעלה גובה כתובתה לעולם, דאמרינן משום כיסופא הוא דלא תבעה, הכא נמי משום כיסופא הוא דלא תבעה, זיל הב לה. לא אשגח, כתב לה אדרכתא אניכסיה. אתא לקמיה דרבא, א"ל: חזי מר היכי דנן! א"ל: שפיר דנך</w:t>
      </w:r>
      <w:r w:rsidRPr="008C30BA">
        <w:rPr>
          <w:rFonts w:ascii="Arial" w:hAnsi="Arial" w:cs="Arial"/>
          <w:color w:val="4472C4" w:themeColor="accent1"/>
          <w:sz w:val="16"/>
          <w:szCs w:val="16"/>
          <w:rtl/>
        </w:rPr>
        <w:t xml:space="preserve"> </w:t>
      </w:r>
      <w:r w:rsidRPr="008C30BA">
        <w:rPr>
          <w:rFonts w:ascii="Arial" w:hAnsi="Arial" w:cs="Arial"/>
          <w:color w:val="4472C4" w:themeColor="accent1"/>
          <w:rtl/>
        </w:rPr>
        <w:t>זיל הב לה</w:t>
      </w:r>
      <w:r w:rsidRPr="0062545D">
        <w:rPr>
          <w:rStyle w:val="Style1Char"/>
          <w:color w:val="auto"/>
          <w:sz w:val="22"/>
          <w:szCs w:val="22"/>
          <w:rtl/>
        </w:rPr>
        <w:t>.</w:t>
      </w:r>
      <w:r w:rsidRPr="0062545D">
        <w:rPr>
          <w:rStyle w:val="Style1Char"/>
          <w:color w:val="auto"/>
          <w:rtl/>
        </w:rPr>
        <w:t xml:space="preserve"> </w:t>
      </w:r>
      <w:r w:rsidRPr="0062545D">
        <w:rPr>
          <w:rStyle w:val="Style1Char"/>
          <w:color w:val="auto"/>
          <w:sz w:val="22"/>
          <w:szCs w:val="22"/>
          <w:rtl/>
        </w:rPr>
        <w:t>אמרה ליה</w:t>
      </w:r>
      <w:r w:rsidRPr="00354DA6">
        <w:rPr>
          <w:rStyle w:val="Style1Char"/>
          <w:sz w:val="22"/>
          <w:szCs w:val="22"/>
          <w:rtl/>
        </w:rPr>
        <w:t xml:space="preserve">: </w:t>
      </w:r>
      <w:r w:rsidRPr="00853299">
        <w:rPr>
          <w:rStyle w:val="Style1Char"/>
          <w:color w:val="00B050"/>
          <w:rtl/>
        </w:rPr>
        <w:t xml:space="preserve">אי הכי, </w:t>
      </w:r>
      <w:r w:rsidRPr="0062545D">
        <w:rPr>
          <w:rStyle w:val="Style1Char"/>
          <w:color w:val="auto"/>
          <w:sz w:val="22"/>
          <w:szCs w:val="22"/>
          <w:rtl/>
        </w:rPr>
        <w:t xml:space="preserve">ליזיל להדר לי פירי </w:t>
      </w:r>
      <w:r w:rsidRPr="0087756C">
        <w:rPr>
          <w:rFonts w:ascii="Arial" w:hAnsi="Arial" w:cs="Arial"/>
          <w:color w:val="4472C4" w:themeColor="accent1"/>
          <w:sz w:val="16"/>
          <w:szCs w:val="16"/>
          <w:rtl/>
        </w:rPr>
        <w:t xml:space="preserve">דאכל </w:t>
      </w:r>
      <w:r w:rsidRPr="0062545D">
        <w:rPr>
          <w:rStyle w:val="Style1Char"/>
          <w:color w:val="auto"/>
          <w:sz w:val="22"/>
          <w:szCs w:val="22"/>
          <w:rtl/>
        </w:rPr>
        <w:t xml:space="preserve">דמן ההוא יומא </w:t>
      </w:r>
      <w:r w:rsidRPr="00C706F4">
        <w:rPr>
          <w:rFonts w:ascii="Arial" w:hAnsi="Arial" w:cs="Arial"/>
          <w:color w:val="4472C4" w:themeColor="accent1"/>
          <w:sz w:val="16"/>
          <w:szCs w:val="16"/>
          <w:rtl/>
        </w:rPr>
        <w:t xml:space="preserve">דאדרכתא </w:t>
      </w:r>
      <w:r w:rsidRPr="0062545D">
        <w:rPr>
          <w:rStyle w:val="Style1Char"/>
          <w:color w:val="auto"/>
          <w:sz w:val="22"/>
          <w:szCs w:val="22"/>
          <w:rtl/>
        </w:rPr>
        <w:t xml:space="preserve">עד האידנא! </w:t>
      </w:r>
      <w:r w:rsidRPr="00E15A01">
        <w:rPr>
          <w:rStyle w:val="Style1Char"/>
          <w:sz w:val="22"/>
          <w:szCs w:val="22"/>
          <w:rtl/>
        </w:rPr>
        <w:t>אמר לה: אחוי לי אדרכתיך</w:t>
      </w:r>
      <w:r w:rsidRPr="0062545D">
        <w:rPr>
          <w:rStyle w:val="Style1Char"/>
          <w:color w:val="auto"/>
          <w:sz w:val="22"/>
          <w:szCs w:val="22"/>
          <w:rtl/>
        </w:rPr>
        <w:t xml:space="preserve">, חזייה דלא הוה כתוב בה ואישתמודענא דנכסים אלו דמיתנא אינון, </w:t>
      </w:r>
      <w:r w:rsidR="001778AD">
        <w:rPr>
          <w:rStyle w:val="Style1Char"/>
          <w:rFonts w:hint="cs"/>
          <w:rtl/>
        </w:rPr>
        <w:t>(3)</w:t>
      </w:r>
      <w:r w:rsidRPr="0062545D">
        <w:rPr>
          <w:rStyle w:val="Style1Char"/>
          <w:color w:val="auto"/>
          <w:sz w:val="22"/>
          <w:szCs w:val="22"/>
          <w:rtl/>
        </w:rPr>
        <w:t xml:space="preserve">אמר לה: אדרכתא לאו שפיר כתיבא. אמרה ליה: תיזיל אדרכתא, </w:t>
      </w:r>
      <w:r w:rsidR="00F71396">
        <w:rPr>
          <w:rStyle w:val="Style1Char"/>
          <w:rFonts w:hint="cs"/>
          <w:rtl/>
        </w:rPr>
        <w:t>(4)</w:t>
      </w:r>
      <w:r w:rsidRPr="0062545D">
        <w:rPr>
          <w:rStyle w:val="Style1Char"/>
          <w:color w:val="auto"/>
          <w:sz w:val="22"/>
          <w:szCs w:val="22"/>
          <w:rtl/>
        </w:rPr>
        <w:t xml:space="preserve">אישקול מיומא דשלימי יומא אכרזתא </w:t>
      </w:r>
      <w:r w:rsidRPr="00E15A01">
        <w:rPr>
          <w:rStyle w:val="Style1Char"/>
          <w:sz w:val="22"/>
          <w:szCs w:val="22"/>
          <w:rtl/>
        </w:rPr>
        <w:t>עד השתא</w:t>
      </w:r>
      <w:r w:rsidRPr="0062545D">
        <w:rPr>
          <w:rStyle w:val="Style1Char"/>
          <w:color w:val="auto"/>
          <w:sz w:val="22"/>
          <w:szCs w:val="22"/>
          <w:rtl/>
        </w:rPr>
        <w:t xml:space="preserve">, אמר לה: הני מילי </w:t>
      </w:r>
      <w:r w:rsidR="008E1D5A">
        <w:rPr>
          <w:rStyle w:val="Style1Char"/>
          <w:rFonts w:hint="cs"/>
          <w:rtl/>
        </w:rPr>
        <w:t>(3, 4.2)</w:t>
      </w:r>
      <w:r w:rsidRPr="0062545D">
        <w:rPr>
          <w:rStyle w:val="Style1Char"/>
          <w:color w:val="auto"/>
          <w:sz w:val="22"/>
          <w:szCs w:val="22"/>
          <w:rtl/>
        </w:rPr>
        <w:t>היכא דלא כתיב טעותא באדרכתא, אבל היכא דכתיב טעותא באדרכתא לית לן בה. אמרה ליה: והא מר הוא דאמר אחריות טעות סופר הוא! אמר לה</w:t>
      </w:r>
      <w:r w:rsidRPr="0062545D">
        <w:rPr>
          <w:rStyle w:val="Style1Char"/>
          <w:color w:val="auto"/>
          <w:rtl/>
        </w:rPr>
        <w:t xml:space="preserve"> </w:t>
      </w:r>
      <w:r w:rsidRPr="00853299">
        <w:rPr>
          <w:rStyle w:val="Style1Char"/>
          <w:color w:val="00B050"/>
          <w:rtl/>
        </w:rPr>
        <w:t>רבא: בהא ליכא למימר טעות סופר הוא, ד</w:t>
      </w:r>
      <w:r w:rsidRPr="0062545D">
        <w:rPr>
          <w:rStyle w:val="Style1Char"/>
          <w:color w:val="auto"/>
          <w:sz w:val="22"/>
          <w:szCs w:val="22"/>
          <w:rtl/>
        </w:rPr>
        <w:t>בהא</w:t>
      </w:r>
      <w:r w:rsidRPr="0062545D">
        <w:rPr>
          <w:rStyle w:val="Style1Char"/>
          <w:color w:val="auto"/>
          <w:rtl/>
        </w:rPr>
        <w:t xml:space="preserve"> </w:t>
      </w:r>
      <w:r w:rsidRPr="00314E6A">
        <w:rPr>
          <w:rStyle w:val="Style1Char"/>
          <w:sz w:val="22"/>
          <w:szCs w:val="22"/>
          <w:rtl/>
        </w:rPr>
        <w:t xml:space="preserve">אפי' </w:t>
      </w:r>
      <w:r w:rsidRPr="0062545D">
        <w:rPr>
          <w:rStyle w:val="Style1Char"/>
          <w:color w:val="auto"/>
          <w:sz w:val="22"/>
          <w:szCs w:val="22"/>
          <w:rtl/>
        </w:rPr>
        <w:t>רבה בר שילא טעי</w:t>
      </w:r>
      <w:r w:rsidRPr="0062545D">
        <w:rPr>
          <w:rStyle w:val="Style1Char"/>
          <w:color w:val="auto"/>
          <w:rtl/>
        </w:rPr>
        <w:t>,</w:t>
      </w:r>
      <w:r w:rsidRPr="00853299">
        <w:rPr>
          <w:rStyle w:val="Style1Char"/>
          <w:color w:val="00B050"/>
          <w:rtl/>
        </w:rPr>
        <w:t xml:space="preserve"> מעיקרא </w:t>
      </w:r>
      <w:r w:rsidRPr="0062545D">
        <w:rPr>
          <w:rStyle w:val="Style1Char"/>
          <w:color w:val="auto"/>
          <w:sz w:val="22"/>
          <w:szCs w:val="22"/>
          <w:rtl/>
        </w:rPr>
        <w:t>הוא סבור: הני והני דידיה</w:t>
      </w:r>
      <w:r w:rsidRPr="0062545D">
        <w:rPr>
          <w:rFonts w:ascii="Arial" w:hAnsi="Arial" w:cs="Arial"/>
          <w:sz w:val="16"/>
          <w:szCs w:val="16"/>
          <w:rtl/>
        </w:rPr>
        <w:t xml:space="preserve"> </w:t>
      </w:r>
      <w:r w:rsidRPr="00AA3A55">
        <w:rPr>
          <w:rFonts w:ascii="Arial" w:hAnsi="Arial" w:cs="Arial"/>
          <w:color w:val="806000" w:themeColor="accent4" w:themeShade="80"/>
          <w:rtl/>
        </w:rPr>
        <w:t>נינהו</w:t>
      </w:r>
      <w:r w:rsidRPr="00853299">
        <w:rPr>
          <w:rStyle w:val="Style1Char"/>
          <w:color w:val="00B050"/>
          <w:rtl/>
        </w:rPr>
        <w:t xml:space="preserve">, מה לי מהני מה לי מהני, </w:t>
      </w:r>
      <w:r w:rsidRPr="0062545D">
        <w:rPr>
          <w:rStyle w:val="Style1Char"/>
          <w:color w:val="auto"/>
          <w:sz w:val="22"/>
          <w:szCs w:val="22"/>
          <w:rtl/>
        </w:rPr>
        <w:t xml:space="preserve">ולא היא, זימנין </w:t>
      </w:r>
      <w:r w:rsidRPr="00AA3A55">
        <w:rPr>
          <w:rFonts w:ascii="Arial" w:hAnsi="Arial" w:cs="Arial"/>
          <w:color w:val="806000" w:themeColor="accent4" w:themeShade="80"/>
          <w:rtl/>
        </w:rPr>
        <w:t xml:space="preserve">דמיגבו לה </w:t>
      </w:r>
      <w:r w:rsidRPr="0062545D">
        <w:rPr>
          <w:rStyle w:val="Style1Char"/>
          <w:color w:val="auto"/>
          <w:sz w:val="22"/>
          <w:szCs w:val="22"/>
          <w:rtl/>
        </w:rPr>
        <w:t>אזלה ומשבחה להו</w:t>
      </w:r>
      <w:r w:rsidRPr="00196113">
        <w:rPr>
          <w:rStyle w:val="Style1Char"/>
          <w:sz w:val="22"/>
          <w:szCs w:val="22"/>
          <w:rtl/>
        </w:rPr>
        <w:t>,</w:t>
      </w:r>
      <w:r w:rsidRPr="00853299">
        <w:rPr>
          <w:rStyle w:val="Style1Char"/>
          <w:color w:val="00B050"/>
          <w:rtl/>
        </w:rPr>
        <w:t xml:space="preserve"> </w:t>
      </w:r>
      <w:r w:rsidRPr="00AA3A55">
        <w:rPr>
          <w:rStyle w:val="Style1Char"/>
          <w:color w:val="ED7D31" w:themeColor="accent2"/>
          <w:rtl/>
        </w:rPr>
        <w:t>ודבעלה מכספי</w:t>
      </w:r>
      <w:r w:rsidRPr="0062545D">
        <w:rPr>
          <w:rStyle w:val="Style1Char"/>
          <w:color w:val="auto"/>
          <w:rtl/>
        </w:rPr>
        <w:t xml:space="preserve">, </w:t>
      </w:r>
      <w:r w:rsidRPr="0062545D">
        <w:rPr>
          <w:rStyle w:val="Style1Char"/>
          <w:color w:val="auto"/>
          <w:sz w:val="22"/>
          <w:szCs w:val="22"/>
          <w:rtl/>
        </w:rPr>
        <w:t>ואמר לה שקיל דידך והב לי דידי</w:t>
      </w:r>
      <w:r w:rsidRPr="0062545D">
        <w:rPr>
          <w:rStyle w:val="Style1Char"/>
          <w:color w:val="auto"/>
          <w:rtl/>
        </w:rPr>
        <w:t xml:space="preserve">, </w:t>
      </w:r>
      <w:r w:rsidRPr="0062545D">
        <w:rPr>
          <w:rStyle w:val="Style1Char"/>
          <w:color w:val="auto"/>
          <w:sz w:val="22"/>
          <w:szCs w:val="22"/>
          <w:rtl/>
        </w:rPr>
        <w:t>ואתי לאפוקי לעז על בי דינא</w:t>
      </w:r>
      <w:r w:rsidRPr="00196113">
        <w:rPr>
          <w:rStyle w:val="Style1Char"/>
          <w:sz w:val="22"/>
          <w:szCs w:val="22"/>
          <w:rtl/>
        </w:rPr>
        <w:t>.</w:t>
      </w:r>
      <w:r w:rsidRPr="00196113">
        <w:rPr>
          <w:rStyle w:val="Style1Char"/>
          <w:sz w:val="32"/>
          <w:szCs w:val="32"/>
          <w:rtl/>
        </w:rPr>
        <w:t xml:space="preserve"> </w:t>
      </w:r>
    </w:p>
    <w:p w14:paraId="499C839E" w14:textId="6A264DB0" w:rsidR="0083707F" w:rsidRDefault="0083707F" w:rsidP="0083707F">
      <w:pPr>
        <w:pStyle w:val="Style1"/>
        <w:rPr>
          <w:rStyle w:val="Style1Char"/>
          <w:sz w:val="32"/>
          <w:szCs w:val="32"/>
          <w:rtl/>
        </w:rPr>
      </w:pPr>
      <w:r>
        <w:rPr>
          <w:rStyle w:val="Style1Char"/>
          <w:rFonts w:hint="cs"/>
          <w:rtl/>
        </w:rPr>
        <w:t>1)[</w:t>
      </w:r>
      <w:r w:rsidRPr="0083707F">
        <w:rPr>
          <w:rStyle w:val="Style1Char"/>
          <w:rtl/>
        </w:rPr>
        <w:t>רמב</w:t>
      </w:r>
      <w:r w:rsidR="00213DA1">
        <w:rPr>
          <w:rStyle w:val="Style1Char"/>
          <w:rtl/>
        </w:rPr>
        <w:t>”ם \נשים\</w:t>
      </w:r>
      <w:r w:rsidRPr="0083707F">
        <w:rPr>
          <w:rStyle w:val="Style1Char"/>
          <w:rtl/>
        </w:rPr>
        <w:t xml:space="preserve"> הלכות אישות פרק טז הלכה כג</w:t>
      </w:r>
      <w:r>
        <w:rPr>
          <w:rStyle w:val="Style1Char"/>
          <w:rFonts w:hint="cs"/>
          <w:rtl/>
        </w:rPr>
        <w:t xml:space="preserve">] </w:t>
      </w:r>
      <w:r w:rsidRPr="0083707F">
        <w:rPr>
          <w:rStyle w:val="Style1Char"/>
          <w:rtl/>
        </w:rPr>
        <w:t>ועד כמה תגבה האלמנה העיקר במקום שאין כותבין כתובה, אם היתה בבית בעלה גובה לעולם, ואם היתה בבית אביה עד עשרים וחמש שנה, ואם באה לתבוע אחר עשרים וחמש שנה אין לה כלום, שאילו לא מחלה לא שתקה כל זמן זה, והרי אינה עם היורשים כדי שתאמר נכלמתי מלתבען והן עמי בבית</w:t>
      </w:r>
      <w:r w:rsidRPr="0083707F">
        <w:rPr>
          <w:rStyle w:val="Style1Char"/>
          <w:sz w:val="32"/>
          <w:szCs w:val="32"/>
          <w:rtl/>
        </w:rPr>
        <w:t>.</w:t>
      </w:r>
    </w:p>
    <w:p w14:paraId="0C2D616C" w14:textId="606D3DA7" w:rsidR="00D86F5E" w:rsidRDefault="00D86F5E" w:rsidP="00D86F5E">
      <w:pPr>
        <w:pStyle w:val="Style1"/>
        <w:rPr>
          <w:rStyle w:val="Style1Char"/>
          <w:rtl/>
        </w:rPr>
      </w:pPr>
      <w:r>
        <w:rPr>
          <w:rStyle w:val="Style1Char"/>
          <w:rFonts w:hint="cs"/>
          <w:rtl/>
        </w:rPr>
        <w:t>1)[</w:t>
      </w:r>
      <w:r w:rsidRPr="00D86F5E">
        <w:rPr>
          <w:rStyle w:val="Style1Char"/>
          <w:rtl/>
        </w:rPr>
        <w:t>שולחן ערוך אבן העזר הלכות כתובות סימן קא סעיף ג</w:t>
      </w:r>
      <w:r>
        <w:rPr>
          <w:rStyle w:val="Style1Char"/>
          <w:rFonts w:hint="cs"/>
          <w:rtl/>
        </w:rPr>
        <w:t xml:space="preserve">] </w:t>
      </w:r>
      <w:r w:rsidRPr="00D86F5E">
        <w:rPr>
          <w:rStyle w:val="Style1Char"/>
          <w:rtl/>
        </w:rPr>
        <w:t>נדוניא לעולם אינה מוחלת, אפילו שהתה כמה שנים.</w:t>
      </w:r>
    </w:p>
    <w:p w14:paraId="59E31412" w14:textId="4FACC951" w:rsidR="002E6428" w:rsidRDefault="002E6428" w:rsidP="002E6428">
      <w:pPr>
        <w:pStyle w:val="Style1"/>
        <w:rPr>
          <w:rStyle w:val="Style1Char"/>
          <w:rtl/>
        </w:rPr>
      </w:pPr>
      <w:r>
        <w:rPr>
          <w:rStyle w:val="Style1Char"/>
          <w:rFonts w:hint="cs"/>
          <w:rtl/>
        </w:rPr>
        <w:t>2)[</w:t>
      </w:r>
      <w:r w:rsidRPr="002E6428">
        <w:rPr>
          <w:rStyle w:val="Style1Char"/>
          <w:rtl/>
        </w:rPr>
        <w:t>שולחן ערוך אבן העזר הלכות כתובות סימן קא סעיף ב</w:t>
      </w:r>
      <w:r>
        <w:rPr>
          <w:rStyle w:val="Style1Char"/>
          <w:rFonts w:hint="cs"/>
          <w:rtl/>
        </w:rPr>
        <w:t xml:space="preserve">] </w:t>
      </w:r>
      <w:r w:rsidRPr="002E6428">
        <w:rPr>
          <w:rStyle w:val="Style1Char"/>
          <w:rtl/>
        </w:rPr>
        <w:t>אפילו אם ניזונית בבית אביה, אם היורשים מכבדים אותה שמוליכים לה מזונותיה בעצמם, אין שתיקתה מחילה, שמפני הבושה שתקה ולא מפני שמחלה.</w:t>
      </w:r>
    </w:p>
    <w:p w14:paraId="32B414C6" w14:textId="68FEE6AD" w:rsidR="00BA5D58" w:rsidRDefault="00BA5D58" w:rsidP="00BA5D58">
      <w:pPr>
        <w:pStyle w:val="Style1"/>
        <w:rPr>
          <w:rStyle w:val="Style1Char"/>
          <w:rtl/>
        </w:rPr>
      </w:pPr>
      <w:r>
        <w:rPr>
          <w:rStyle w:val="Style1Char"/>
          <w:rFonts w:hint="cs"/>
          <w:rtl/>
        </w:rPr>
        <w:t>3)[</w:t>
      </w:r>
      <w:r w:rsidRPr="00BA5D58">
        <w:rPr>
          <w:rStyle w:val="Style1Char"/>
          <w:rtl/>
        </w:rPr>
        <w:t>רמב</w:t>
      </w:r>
      <w:r w:rsidR="0057095E">
        <w:rPr>
          <w:rStyle w:val="Style1Char"/>
          <w:rtl/>
        </w:rPr>
        <w:t>”ם \משפטים\</w:t>
      </w:r>
      <w:r w:rsidRPr="00BA5D58">
        <w:rPr>
          <w:rStyle w:val="Style1Char"/>
          <w:rtl/>
        </w:rPr>
        <w:t xml:space="preserve"> הלכות מלוה ולוה פרק יב הלכה ט</w:t>
      </w:r>
      <w:r>
        <w:rPr>
          <w:rStyle w:val="Style1Char"/>
          <w:rFonts w:hint="cs"/>
          <w:rtl/>
        </w:rPr>
        <w:t xml:space="preserve">] </w:t>
      </w:r>
      <w:r w:rsidRPr="00BA5D58">
        <w:rPr>
          <w:rStyle w:val="Style1Char"/>
          <w:rtl/>
        </w:rPr>
        <w:t>וכשכותבין האדרכתא על נכסי יתומים בין גדולים בין קטנים כותבין בה והכרנו שהנכסים האלו הן של פלוני המת, ואם לא כתבו כך הרי אדרכתא זו פסולה ואין אוכלין בה פירות אפילו לאחר ששלמו ההכרזות.</w:t>
      </w:r>
    </w:p>
    <w:p w14:paraId="07C1642B" w14:textId="53D2D5E5" w:rsidR="00BA5D58" w:rsidRDefault="00BA5D58" w:rsidP="00BA5D58">
      <w:pPr>
        <w:pStyle w:val="Style1"/>
        <w:rPr>
          <w:rStyle w:val="Style1Char"/>
          <w:rtl/>
        </w:rPr>
      </w:pPr>
      <w:r>
        <w:rPr>
          <w:rStyle w:val="Style1Char"/>
          <w:rFonts w:hint="cs"/>
          <w:rtl/>
        </w:rPr>
        <w:t>3)[</w:t>
      </w:r>
      <w:r w:rsidRPr="00BA5D58">
        <w:rPr>
          <w:rStyle w:val="Style1Char"/>
          <w:rtl/>
        </w:rPr>
        <w:t>שולחן ערוך חושן משפט הלכות גביית חוב מהיתומים סימן קט סעיף ב</w:t>
      </w:r>
      <w:r>
        <w:rPr>
          <w:rStyle w:val="Style1Char"/>
          <w:rFonts w:hint="cs"/>
          <w:rtl/>
        </w:rPr>
        <w:t xml:space="preserve">] </w:t>
      </w:r>
      <w:r w:rsidRPr="00BA5D58">
        <w:rPr>
          <w:rStyle w:val="Style1Char"/>
          <w:rtl/>
        </w:rPr>
        <w:t>כשכותבים האדרכתא על נכסי יתומים, בין גדולים בין קטנים, כותבים בה: והכרנו שהנכסים האלו הם של פלוני המת. ואם לא כתבו כך, הרי האדרכתא זו פסולה, ואין אוכלים בה פירות, אפילו אחר שישלימו ימי ההכרזה.</w:t>
      </w:r>
    </w:p>
    <w:p w14:paraId="5A649146" w14:textId="78B91A3F" w:rsidR="008268B2" w:rsidRDefault="008268B2" w:rsidP="008268B2">
      <w:pPr>
        <w:pStyle w:val="Style1"/>
        <w:rPr>
          <w:rStyle w:val="Style1Char"/>
          <w:rtl/>
        </w:rPr>
      </w:pPr>
      <w:r>
        <w:rPr>
          <w:rStyle w:val="Style1Char"/>
          <w:rFonts w:hint="cs"/>
          <w:rtl/>
        </w:rPr>
        <w:t>4)[</w:t>
      </w:r>
      <w:r w:rsidRPr="008268B2">
        <w:rPr>
          <w:rStyle w:val="Style1Char"/>
          <w:rtl/>
        </w:rPr>
        <w:t>רמב</w:t>
      </w:r>
      <w:r w:rsidR="0057095E">
        <w:rPr>
          <w:rStyle w:val="Style1Char"/>
          <w:rtl/>
        </w:rPr>
        <w:t>”ם \משפטים\</w:t>
      </w:r>
      <w:r w:rsidRPr="008268B2">
        <w:rPr>
          <w:rStyle w:val="Style1Char"/>
          <w:rtl/>
        </w:rPr>
        <w:t xml:space="preserve"> הלכות מלוה ולוה פרק כב הלכה יב</w:t>
      </w:r>
      <w:r>
        <w:rPr>
          <w:rStyle w:val="Style1Char"/>
          <w:rFonts w:hint="cs"/>
          <w:rtl/>
        </w:rPr>
        <w:t xml:space="preserve">] </w:t>
      </w:r>
      <w:r w:rsidRPr="008268B2">
        <w:rPr>
          <w:rStyle w:val="Style1Char"/>
          <w:rtl/>
        </w:rPr>
        <w:t>ומאימתי אוכל הטורף פירות שדה זו משיפסקו ימי ההכרזה.</w:t>
      </w:r>
    </w:p>
    <w:p w14:paraId="79A1B885" w14:textId="45EAD7AD" w:rsidR="00510B3C" w:rsidRPr="00510B3C" w:rsidRDefault="003B32FB" w:rsidP="00510B3C">
      <w:pPr>
        <w:pStyle w:val="Style1"/>
        <w:rPr>
          <w:rStyle w:val="Style1Char"/>
        </w:rPr>
      </w:pPr>
      <w:r>
        <w:rPr>
          <w:rStyle w:val="Style1Char"/>
          <w:rFonts w:hint="cs"/>
          <w:rtl/>
        </w:rPr>
        <w:t>4)[</w:t>
      </w:r>
      <w:r w:rsidRPr="003B32FB">
        <w:rPr>
          <w:rStyle w:val="Style1Char"/>
          <w:rtl/>
        </w:rPr>
        <w:t>שולחן ערוך חושן משפט הלכות גביית מלוה סימן צח סעיף ט</w:t>
      </w:r>
      <w:r>
        <w:rPr>
          <w:rStyle w:val="Style1Char"/>
          <w:rFonts w:hint="cs"/>
          <w:rtl/>
        </w:rPr>
        <w:t>]</w:t>
      </w:r>
      <w:r w:rsidR="00510B3C">
        <w:rPr>
          <w:rStyle w:val="Style1Char"/>
          <w:rFonts w:hint="cs"/>
          <w:rtl/>
        </w:rPr>
        <w:t xml:space="preserve"> </w:t>
      </w:r>
      <w:r w:rsidR="00510B3C" w:rsidRPr="00510B3C">
        <w:rPr>
          <w:rtl/>
        </w:rPr>
        <w:t>כיצד כותבים האדרכתא אם לנכסים בני חורין הורידוהו כותבים איש פלו' נתחייב לפלו' בדין כך וכך ולא נתן לו מעצמו וכתבנו לו אדרכתא זו על שדה פלונית שלו ואח"כ שמין לו שלשה באותו שדה כנגד חובו ומכריזין עליהם כפי מה שיראה </w:t>
      </w:r>
      <w:r w:rsidR="00510B3C" w:rsidRPr="00510B3C">
        <w:rPr>
          <w:rFonts w:hint="cs"/>
        </w:rPr>
        <w:t>(</w:t>
      </w:r>
      <w:r w:rsidR="00510B3C" w:rsidRPr="00510B3C">
        <w:rPr>
          <w:rFonts w:hint="cs"/>
          <w:rtl/>
        </w:rPr>
        <w:t>ובטור </w:t>
      </w:r>
      <w:hyperlink r:id="rId277" w:tooltip="טור חושן משפט קב" w:history="1">
        <w:r w:rsidR="00510B3C" w:rsidRPr="00510B3C">
          <w:rPr>
            <w:rStyle w:val="Hyperlink"/>
            <w:rFonts w:hint="cs"/>
            <w:color w:val="7030A0"/>
            <w:u w:val="none"/>
            <w:rtl/>
          </w:rPr>
          <w:t>סי' ק"ב</w:t>
        </w:r>
      </w:hyperlink>
      <w:r w:rsidR="00510B3C" w:rsidRPr="00510B3C">
        <w:rPr>
          <w:rFonts w:hint="cs"/>
        </w:rPr>
        <w:t> </w:t>
      </w:r>
      <w:r w:rsidR="00510B3C" w:rsidRPr="00510B3C">
        <w:rPr>
          <w:rFonts w:hint="cs"/>
          <w:rtl/>
        </w:rPr>
        <w:t>ס"ב הביא זה ג"כ</w:t>
      </w:r>
      <w:r w:rsidR="00510B3C" w:rsidRPr="00510B3C">
        <w:rPr>
          <w:rFonts w:hint="cs"/>
        </w:rPr>
        <w:t>)</w:t>
      </w:r>
      <w:r w:rsidR="00510B3C" w:rsidRPr="00510B3C">
        <w:t> </w:t>
      </w:r>
      <w:r w:rsidR="00510B3C" w:rsidRPr="00510B3C">
        <w:rPr>
          <w:rtl/>
        </w:rPr>
        <w:t>עד שיפסקו המוסיפים ומורידין אותו בחובו לחלק ששמו אותו וקורעין שטר החוב אם היה שם שטר ואם לא היו לו נכסים בני חורין כותבין האדרכתא כך איש פלו' נתחייב לפלו' כך בשטר חוב שבידו ולא נתן לו חובו ולא מצינו לו נכסים בני חורין וכבר קרענו לשטר שיש לו עליו ונתננו לפלו' רשות לדרוש ולחקור ולהיות ידו נטויה על כל הנכסים שימצאו לו וכל הקרקעות שמכר מזמן פלו' והלאה יש לו רשות לגבות חובו מהכל ואחר שכותבין אדרכתא זו הולך המלוה ומחפש אם מצא לו נכסים בני חורין שמין לו מהם מצא לו נכסים משועבדים מאחר זמן שטרו טורף מהם וקורעים שטר האדרכתא וכותבין לו שטר הטרפא כיצד כותבין איש פלו' בן פלו' זכה בדין לטרוף בדין בחוב שפלו' חייב לו שהוא כו"כ בשדה פלונית שלקחה פלונ' בכך וכך מזמן פלו' וכבר קרענו האדרכתא שהיתה בידו והרשינוהו לטרוף מזה בכך וכך ואחר שכותבים הטירפא לטרוף מורידין ג' בקיאים לאותה שדה ושמין לו ממנה כשיעור חובו מהקרן וחצי השבח ומכריזין עליה שלשים יום כדרך שמכריזין על נכסי יתומים ואח"כ משביעין את הלוה שאין לו כלום אם היה הלוה עמנו במדינה ומשביעין את הטורף בנק"ח שלא נפרע חוב זה ולא מחלו ולא מכרו לאחר ואח"כ מורידים אותו לנכסי הלוקח בשומא שלו וכותבין הורדה וכיצד כותבין אחר ששמנו לפלו' בשומא שהיתה בידו והכרזנו ל' יום כראוי והשבענו את זה הטורף ואת הבעל חוב הורדנוהו לשדה פלונית להיות משתמש בה כדרך שאדם משתמש בקניינו ומאימתי אוכל הטורף פירות שדה זו משיפסקו ימי ההכרזה (שם בפ' הנושא) ואם יש טעות באדרכתא אינו אוכל פירות אפי' מיום ששלמו ימי ההכרזה</w:t>
      </w:r>
      <w:r w:rsidR="00510B3C" w:rsidRPr="00510B3C">
        <w:t>:</w:t>
      </w:r>
    </w:p>
    <w:p w14:paraId="1ECAF975" w14:textId="31F83518" w:rsidR="003B32FB" w:rsidRPr="00D86F5E" w:rsidRDefault="003B32FB" w:rsidP="003B32FB">
      <w:pPr>
        <w:pStyle w:val="Style1"/>
        <w:rPr>
          <w:rStyle w:val="Style1Char"/>
          <w:rtl/>
        </w:rPr>
      </w:pPr>
    </w:p>
    <w:p w14:paraId="3B9EA9BA" w14:textId="77777777" w:rsidR="000231F5" w:rsidRPr="00FC3E81" w:rsidRDefault="000231F5" w:rsidP="000231F5">
      <w:pPr>
        <w:bidi/>
        <w:rPr>
          <w:rStyle w:val="Style1Char"/>
          <w:color w:val="auto"/>
          <w:sz w:val="22"/>
          <w:szCs w:val="22"/>
          <w:rtl/>
        </w:rPr>
      </w:pPr>
    </w:p>
    <w:p w14:paraId="50E217BD" w14:textId="77777777" w:rsidR="000231F5" w:rsidRPr="00D2614D" w:rsidRDefault="000231F5" w:rsidP="000231F5">
      <w:pPr>
        <w:bidi/>
        <w:rPr>
          <w:color w:val="00B050"/>
          <w:sz w:val="52"/>
          <w:szCs w:val="52"/>
        </w:rPr>
      </w:pPr>
      <w:r w:rsidRPr="002F6959">
        <w:rPr>
          <w:rStyle w:val="Style1Char"/>
          <w:color w:val="auto"/>
          <w:sz w:val="28"/>
          <w:szCs w:val="28"/>
          <w:rtl/>
        </w:rPr>
        <w:lastRenderedPageBreak/>
        <w:t>הדרן עלך הנושא.</w:t>
      </w:r>
    </w:p>
    <w:p w14:paraId="6F319986" w14:textId="77777777" w:rsidR="000C5939" w:rsidRPr="00115293" w:rsidRDefault="000C5939" w:rsidP="000C5939">
      <w:pPr>
        <w:bidi/>
        <w:rPr>
          <w:rStyle w:val="Style1Char"/>
          <w:color w:val="auto"/>
          <w:sz w:val="28"/>
          <w:szCs w:val="28"/>
        </w:rPr>
      </w:pPr>
      <w:r w:rsidRPr="00EF64BD">
        <w:rPr>
          <w:rStyle w:val="Style1Char"/>
          <w:rFonts w:hint="cs"/>
          <w:rtl/>
        </w:rPr>
        <w:t>(1)</w:t>
      </w:r>
      <w:r w:rsidRPr="00604F64">
        <w:rPr>
          <w:rFonts w:cs="Arial"/>
          <w:color w:val="00B050"/>
          <w:sz w:val="16"/>
          <w:szCs w:val="16"/>
          <w:rtl/>
        </w:rPr>
        <w:t>תלמוד בבלי</w:t>
      </w:r>
      <w:r w:rsidRPr="00604F64">
        <w:rPr>
          <w:rFonts w:cs="Arial" w:hint="cs"/>
          <w:color w:val="00B050"/>
          <w:sz w:val="16"/>
          <w:szCs w:val="16"/>
          <w:rtl/>
        </w:rPr>
        <w:t xml:space="preserve"> </w:t>
      </w:r>
      <w:r w:rsidRPr="00604F64">
        <w:rPr>
          <w:rFonts w:cs="Arial"/>
          <w:color w:val="C00000"/>
          <w:sz w:val="16"/>
          <w:szCs w:val="16"/>
          <w:rtl/>
        </w:rPr>
        <w:t xml:space="preserve">רי"ף </w:t>
      </w:r>
      <w:r w:rsidRPr="00604F64">
        <w:rPr>
          <w:rFonts w:cs="Arial" w:hint="cs"/>
          <w:color w:val="4472C4" w:themeColor="accent1"/>
          <w:sz w:val="16"/>
          <w:szCs w:val="16"/>
          <w:rtl/>
        </w:rPr>
        <w:t xml:space="preserve">רא"ש </w:t>
      </w:r>
      <w:r w:rsidRPr="00604F64">
        <w:rPr>
          <w:rFonts w:cs="Arial" w:hint="cs"/>
          <w:color w:val="7030A0"/>
          <w:sz w:val="16"/>
          <w:szCs w:val="16"/>
          <w:rtl/>
        </w:rPr>
        <w:t xml:space="preserve">רי"ף\בבלי  </w:t>
      </w:r>
      <w:r w:rsidRPr="00604F64">
        <w:rPr>
          <w:rFonts w:cs="Arial" w:hint="cs"/>
          <w:color w:val="ED7D31" w:themeColor="accent2"/>
          <w:sz w:val="16"/>
          <w:szCs w:val="16"/>
          <w:rtl/>
        </w:rPr>
        <w:t xml:space="preserve">ראש\בבלי </w:t>
      </w:r>
      <w:r w:rsidRPr="00604F64">
        <w:rPr>
          <w:rFonts w:cs="Arial" w:hint="cs"/>
          <w:color w:val="806000" w:themeColor="accent4" w:themeShade="80"/>
          <w:sz w:val="16"/>
          <w:szCs w:val="16"/>
          <w:rtl/>
        </w:rPr>
        <w:t>רי"ף\רא"ש</w:t>
      </w:r>
      <w:r>
        <w:rPr>
          <w:rFonts w:cs="Arial" w:hint="cs"/>
          <w:color w:val="806000" w:themeColor="accent4" w:themeShade="80"/>
          <w:sz w:val="16"/>
          <w:szCs w:val="16"/>
          <w:rtl/>
        </w:rPr>
        <w:t xml:space="preserve"> </w:t>
      </w:r>
      <w:r w:rsidRPr="00076C33">
        <w:rPr>
          <w:rFonts w:cs="Arial" w:hint="cs"/>
          <w:sz w:val="16"/>
          <w:szCs w:val="16"/>
          <w:rtl/>
        </w:rPr>
        <w:t>בבלי\ריף\ראש</w:t>
      </w:r>
      <w:r>
        <w:rPr>
          <w:rFonts w:cs="Arial" w:hint="cs"/>
          <w:sz w:val="16"/>
          <w:szCs w:val="16"/>
          <w:rtl/>
        </w:rPr>
        <w:t xml:space="preserve"> </w:t>
      </w:r>
      <w:r w:rsidRPr="00F450C8">
        <w:rPr>
          <w:rStyle w:val="Style1Char"/>
          <w:color w:val="auto"/>
          <w:sz w:val="24"/>
          <w:szCs w:val="24"/>
          <w:rtl/>
        </w:rPr>
        <w:t xml:space="preserve">מסכת כתובות </w:t>
      </w:r>
      <w:r w:rsidRPr="00657C31">
        <w:rPr>
          <w:rStyle w:val="Style1Char"/>
          <w:color w:val="auto"/>
          <w:sz w:val="24"/>
          <w:szCs w:val="24"/>
          <w:rtl/>
        </w:rPr>
        <w:t xml:space="preserve">פרק </w:t>
      </w:r>
      <w:r w:rsidRPr="001C3C1D">
        <w:rPr>
          <w:rStyle w:val="Style1Char"/>
          <w:color w:val="auto"/>
          <w:sz w:val="24"/>
          <w:szCs w:val="24"/>
          <w:rtl/>
        </w:rPr>
        <w:t>יג - שני דייני</w:t>
      </w:r>
    </w:p>
    <w:p w14:paraId="5CDB94AD" w14:textId="77777777" w:rsidR="000C5939" w:rsidRPr="00283E62" w:rsidRDefault="000C5939" w:rsidP="000C5939">
      <w:pPr>
        <w:bidi/>
        <w:rPr>
          <w:rStyle w:val="Style1Char"/>
          <w:color w:val="auto"/>
          <w:sz w:val="22"/>
          <w:szCs w:val="22"/>
          <w:rtl/>
        </w:rPr>
      </w:pPr>
      <w:r w:rsidRPr="00283E62">
        <w:rPr>
          <w:rStyle w:val="Style1Char"/>
          <w:color w:val="auto"/>
          <w:sz w:val="22"/>
          <w:szCs w:val="22"/>
          <w:rtl/>
        </w:rPr>
        <w:t xml:space="preserve">/מתני'/. שני דייני גזירות היו בירושלים: אדמון וחנן בן אבישלום, חנן אומר שני דברים, אדמון אומר שבעה. מי שהלך למדינת הים ואשתו תובעת מזונות, חנן אומר: </w:t>
      </w:r>
    </w:p>
    <w:p w14:paraId="6EE3995F" w14:textId="77777777" w:rsidR="000C5939" w:rsidRDefault="000C5939" w:rsidP="000C5939">
      <w:pPr>
        <w:rPr>
          <w:rStyle w:val="Style1Char"/>
          <w:color w:val="00B050"/>
          <w:rtl/>
        </w:rPr>
      </w:pPr>
      <w:r>
        <w:rPr>
          <w:rStyle w:val="Style1Char"/>
          <w:color w:val="00B050"/>
          <w:rtl/>
        </w:rPr>
        <w:br w:type="page"/>
      </w:r>
    </w:p>
    <w:p w14:paraId="2C7FBA43" w14:textId="77777777" w:rsidR="000C5939" w:rsidRPr="00283E62" w:rsidRDefault="000C5939" w:rsidP="000C5939">
      <w:pPr>
        <w:bidi/>
        <w:rPr>
          <w:rStyle w:val="Style1Char"/>
          <w:color w:val="auto"/>
        </w:rPr>
      </w:pPr>
      <w:r w:rsidRPr="00283E62">
        <w:rPr>
          <w:rStyle w:val="Style1Char"/>
          <w:color w:val="auto"/>
          <w:sz w:val="22"/>
          <w:szCs w:val="22"/>
          <w:highlight w:val="yellow"/>
          <w:rtl/>
        </w:rPr>
        <w:lastRenderedPageBreak/>
        <w:t>[דף קה עמוד א]</w:t>
      </w:r>
      <w:r w:rsidRPr="00283E62">
        <w:rPr>
          <w:rStyle w:val="Style1Char"/>
          <w:color w:val="auto"/>
          <w:sz w:val="22"/>
          <w:szCs w:val="22"/>
          <w:rtl/>
        </w:rPr>
        <w:t xml:space="preserve"> תשבע בסוף ולא תשבע בתחלה, נחלקו עליו בני כהנים גדולים ואמרו: תשבע בתחלה ובסוף. אמר רבי דוסא בן הרכינס: כדבריהם. אמר רבן יוחנן בן זכאי: יפה אמר חנן לא תשבע אלא בסוף</w:t>
      </w:r>
      <w:r w:rsidRPr="00283E62">
        <w:rPr>
          <w:rStyle w:val="Style1Char"/>
          <w:color w:val="auto"/>
          <w:rtl/>
        </w:rPr>
        <w:t xml:space="preserve">. </w:t>
      </w:r>
    </w:p>
    <w:p w14:paraId="3B1973C8" w14:textId="47298746" w:rsidR="000C5939" w:rsidRDefault="000C5939" w:rsidP="000C5939">
      <w:pPr>
        <w:bidi/>
        <w:rPr>
          <w:rStyle w:val="Style1Char"/>
          <w:color w:val="00B050"/>
          <w:rtl/>
        </w:rPr>
      </w:pPr>
      <w:r w:rsidRPr="001C3C1D">
        <w:rPr>
          <w:rStyle w:val="Style1Char"/>
          <w:color w:val="00B050"/>
          <w:rtl/>
        </w:rPr>
        <w:t xml:space="preserve">גמ'. ורמינהי, שלשה דייני גזילות היו בירושלים: אדמון בן גדאי, וחנן המצרי, וחנן בן אבישלום; קשיא תלת אתרין! קשיא גזירות אגזילות! בשלמא תלת אתרין לא קשיא, דחשיב ליה קתני, דלא חשיב ליה לא קתני, אלא גזירות אגזילות קשיא! אמר רב נחמן בר יצחק: שהיו גוזרין גזירות על גזילות; כדתניא: קיטמה נטיעה - ר' יוסי אומר: גוזרי גזירות שבירושלים אומרים: נטיעה בת שנתה - שתי כסף, בת שתי שנים - ארבע כסף. ורמינהי, שלשה דייני גזירות היו בירושלים: אדמון, וחנן, ונחום! א"ר פפא: מאן תנא נחום? ר' נתן היא; דתניא, רבי נתן אומר: אף נחום המדי מגוזרי גזירות שבירושלים היה, ולא הודו לו חכמים. ותו ליכא? והאמר ר' פנחס אמר רבי אושעיא: שלש מאות ותשעים וארבעה בתי דינין היו בירושלים, כנגדן בתי כנסיות, וכנגדן בתי מדרשות, וכנגדן בתי סופרים! דיינין טובא הוו, וכי קאמרינן - אגוזרי גזירות קאמרינן. אמר רב יהודה אמר רב אסי: </w:t>
      </w:r>
      <w:r w:rsidR="008D7A57" w:rsidRPr="00EF64BD">
        <w:rPr>
          <w:rStyle w:val="Style1Char"/>
          <w:rFonts w:hint="cs"/>
          <w:rtl/>
        </w:rPr>
        <w:t>(1)</w:t>
      </w:r>
      <w:r w:rsidRPr="001C3C1D">
        <w:rPr>
          <w:rStyle w:val="Style1Char"/>
          <w:color w:val="00B050"/>
          <w:rtl/>
        </w:rPr>
        <w:t xml:space="preserve">גוזרי גזירות שבירושלים, היו נוטלין שכרן תשעים ותשע מנה מתרומת הלשכה, לא רצו - מוסיפין להם. לא רצו, אטו ברשיעי עסקינן? אלא </w:t>
      </w:r>
      <w:r w:rsidR="00C4538B" w:rsidRPr="00EF64BD">
        <w:rPr>
          <w:rStyle w:val="Style1Char"/>
          <w:rFonts w:hint="cs"/>
          <w:rtl/>
        </w:rPr>
        <w:t>(1)</w:t>
      </w:r>
      <w:r w:rsidRPr="001C3C1D">
        <w:rPr>
          <w:rStyle w:val="Style1Char"/>
          <w:color w:val="00B050"/>
          <w:rtl/>
        </w:rPr>
        <w:t xml:space="preserve">לא ספקו, אף על פי שלא רצו - מוסיפין עליהן. קרנא הוה שקיל איסתירא מזכאי ואיסתירא מחייב, ודאין להו דינא. והיכי עביד הכי? והכתי': ושוחד לא תקח! וכ"ת, ה"מ היכא דלא שקיל מתרוייהו, דלמא אתי לאצלויי דינא, קרנא כיון דשקיל מתרוייהו לא אתי לאצלויי דינא, וכי לא אתי לאצלויי דינא מי שרי? והתניא: </w:t>
      </w:r>
      <w:r w:rsidR="005D1704">
        <w:rPr>
          <w:rStyle w:val="Style1Char"/>
          <w:rFonts w:hint="cs"/>
          <w:rtl/>
        </w:rPr>
        <w:t>(</w:t>
      </w:r>
      <w:r w:rsidR="00B84F45">
        <w:rPr>
          <w:rStyle w:val="Style1Char"/>
          <w:rFonts w:hint="cs"/>
          <w:rtl/>
        </w:rPr>
        <w:t>2</w:t>
      </w:r>
      <w:r w:rsidR="005D1704">
        <w:rPr>
          <w:rStyle w:val="Style1Char"/>
          <w:rFonts w:hint="cs"/>
          <w:rtl/>
        </w:rPr>
        <w:t>)</w:t>
      </w:r>
      <w:r w:rsidRPr="001C3C1D">
        <w:rPr>
          <w:rStyle w:val="Style1Char"/>
          <w:color w:val="00B050"/>
          <w:rtl/>
        </w:rPr>
        <w:t xml:space="preserve">ושוחד לא תקח מה ת"ל? אם ללמד שלא לזכות את החייב ושלא לחייב את הזכאי, הרי כבר נאמר: לא תטה משפט! אלא אפי' לזכות את הזכאי ולחייב את החייב, אמרה תורה: ושוחד לא תקח! הני מילי היכא דשקיל בתורת שוחד, קרנא בתורת אגרא הוה שקיל. ובתורת אגרא מי שרי? והתנן: </w:t>
      </w:r>
      <w:r w:rsidR="00B84F45">
        <w:rPr>
          <w:rStyle w:val="Style1Char"/>
          <w:rFonts w:hint="cs"/>
          <w:rtl/>
        </w:rPr>
        <w:t>(3)</w:t>
      </w:r>
      <w:r w:rsidRPr="001C3C1D">
        <w:rPr>
          <w:rStyle w:val="Style1Char"/>
          <w:color w:val="00B050"/>
          <w:rtl/>
        </w:rPr>
        <w:t xml:space="preserve">הנוטל שכר לדון - דיניו בטלין! הנ"מ אגר דינא, קרנא אגר בטילא הוה שקיל. ואגר בטילא מי שרי? והתניא: מכוער הדיין שנוטל שכר לדון, אלא שדינו דין; ה"ד? אילימא אגר דינא, דינו דין? והתניא: הנוטל שכר לדון - דיניו בטילין! אלא אגר בטילא, וקתני: מכוער הדיין! </w:t>
      </w:r>
      <w:r w:rsidR="00CB6628">
        <w:rPr>
          <w:rStyle w:val="Style1Char"/>
          <w:rFonts w:hint="cs"/>
          <w:rtl/>
        </w:rPr>
        <w:t>(3)</w:t>
      </w:r>
      <w:r w:rsidRPr="001C3C1D">
        <w:rPr>
          <w:rStyle w:val="Style1Char"/>
          <w:color w:val="00B050"/>
          <w:rtl/>
        </w:rPr>
        <w:t xml:space="preserve">הני מילי בטילא דלא מוכחא, קרנא בטילא דמוכחא הוה שקיל, דהוה תהי באמברא דחמרא ויהבי ליה זוזא. כי הא דרב הונא, כי הוה אתי דינא לקמיה, </w:t>
      </w:r>
      <w:r w:rsidR="008452AF">
        <w:rPr>
          <w:rStyle w:val="Style1Char"/>
          <w:rFonts w:hint="cs"/>
          <w:rtl/>
        </w:rPr>
        <w:t>(3)</w:t>
      </w:r>
      <w:r w:rsidRPr="001C3C1D">
        <w:rPr>
          <w:rStyle w:val="Style1Char"/>
          <w:color w:val="00B050"/>
          <w:rtl/>
        </w:rPr>
        <w:t xml:space="preserve">אמר להו: הבו לי גברא דדלי לי בחריקאי, ואידון לכו דינא. אמר רבי אבהו: בא וראה כמה סמויות עיניהן של מקבלי שוחד, אדם חש בעיניו נותן ממון לרופא, ספק מתרפא ספק אינו מתרפא, והן נוטלין שוה פרוטה ומסמין עיניהן, שנאמר: כי השוחד יעור פקחים. תנו רבנן: כי השוחד יעור עיני חכמים - קל וחומר לטפשין, ויסלף דברי צדיקים - קל וחומר לרשעים. מידי טפשים ורשעים בני דינא נינהו? אלא הכי קאמר: כי השוחד יעור עיני חכמים - אפילו חכם גדול ולוקח שוחד, אינו נפטר מן העולם בלא סמיות הלב; ויסלף דברי צדיקים </w:t>
      </w:r>
      <w:r>
        <w:rPr>
          <w:rStyle w:val="Style1Char"/>
          <w:color w:val="00B050"/>
          <w:rtl/>
        </w:rPr>
        <w:t>–</w:t>
      </w:r>
      <w:r w:rsidRPr="001C3C1D">
        <w:rPr>
          <w:rStyle w:val="Style1Char"/>
          <w:color w:val="00B050"/>
          <w:rtl/>
        </w:rPr>
        <w:t xml:space="preserve"> </w:t>
      </w:r>
    </w:p>
    <w:p w14:paraId="1F37675E" w14:textId="4CD280D7" w:rsidR="001334B8" w:rsidRDefault="001334B8" w:rsidP="001334B8">
      <w:pPr>
        <w:pStyle w:val="Style1"/>
        <w:rPr>
          <w:rStyle w:val="Style1Char"/>
          <w:rtl/>
        </w:rPr>
      </w:pPr>
      <w:r>
        <w:rPr>
          <w:rStyle w:val="Style1Char"/>
          <w:rFonts w:hint="cs"/>
          <w:rtl/>
        </w:rPr>
        <w:t>1)[</w:t>
      </w:r>
      <w:r w:rsidRPr="001334B8">
        <w:rPr>
          <w:rStyle w:val="Style1Char"/>
          <w:rtl/>
        </w:rPr>
        <w:t>רמב</w:t>
      </w:r>
      <w:r w:rsidR="0080135A">
        <w:rPr>
          <w:rStyle w:val="Style1Char"/>
          <w:rtl/>
        </w:rPr>
        <w:t>”ם \זמנים\</w:t>
      </w:r>
      <w:r w:rsidRPr="001334B8">
        <w:rPr>
          <w:rStyle w:val="Style1Char"/>
          <w:rtl/>
        </w:rPr>
        <w:t xml:space="preserve"> הלכות שקלים פרק ד הלכה ז</w:t>
      </w:r>
      <w:r>
        <w:rPr>
          <w:rStyle w:val="Style1Char"/>
          <w:rFonts w:hint="cs"/>
          <w:rtl/>
        </w:rPr>
        <w:t xml:space="preserve">] </w:t>
      </w:r>
      <w:r w:rsidRPr="001334B8">
        <w:rPr>
          <w:rStyle w:val="Style1Char"/>
          <w:rtl/>
        </w:rPr>
        <w:t>מגיהי ספרים שבירושלם נוטלין שכרן מתרומת הלשכה, דיינין שדנין את הגזלנין בירושלם נוטלין שכרן מתרומת הלשכה, וכמה היו נוטלים תשעים מנה בכל שנה ואם לא הספיקו להן מוסיפין להן, אף על פי שלא רצו מוסיפין להן כדי צרכן והם ונשיהם ובניהם ובני ביתן.</w:t>
      </w:r>
    </w:p>
    <w:p w14:paraId="0D3080AE" w14:textId="36245572" w:rsidR="00D31360" w:rsidRPr="00D31360" w:rsidRDefault="00B05D7F" w:rsidP="00D31360">
      <w:pPr>
        <w:pStyle w:val="Style1"/>
      </w:pPr>
      <w:r>
        <w:rPr>
          <w:rStyle w:val="Style1Char"/>
          <w:rFonts w:hint="cs"/>
          <w:rtl/>
        </w:rPr>
        <w:t>1)[</w:t>
      </w:r>
      <w:r w:rsidRPr="00B05D7F">
        <w:rPr>
          <w:rStyle w:val="Style1Char"/>
          <w:rtl/>
        </w:rPr>
        <w:t>שולחן ערוך חושן משפט הלכות דיינים סימן ט סעיף ג</w:t>
      </w:r>
      <w:r>
        <w:rPr>
          <w:rStyle w:val="Style1Char"/>
          <w:rFonts w:hint="cs"/>
          <w:rtl/>
        </w:rPr>
        <w:t>]</w:t>
      </w:r>
      <w:r w:rsidR="00D31360">
        <w:rPr>
          <w:rStyle w:val="Style1Char"/>
          <w:rFonts w:hint="cs"/>
          <w:rtl/>
        </w:rPr>
        <w:t xml:space="preserve"> </w:t>
      </w:r>
      <w:r w:rsidR="00D31360" w:rsidRPr="00D31360">
        <w:rPr>
          <w:rtl/>
        </w:rPr>
        <w:t>נהגו לעשות לב"ד קופה שפוסקין ממון לפרנסת ב"ד ומגבין אותה בתחלת השנה או בסופה ואין בו משום תורת שוחד ותורת אגרא כי חובה על ישראל לפרנס דייניהם וחכמיהם וגם אם יש נדבות או הקדישות סתם לוקחים מהם</w:t>
      </w:r>
      <w:r w:rsidR="00D31360" w:rsidRPr="00D31360">
        <w:t>:</w:t>
      </w:r>
    </w:p>
    <w:p w14:paraId="18C55467" w14:textId="59687B3D" w:rsidR="00D31360" w:rsidRDefault="00D31360" w:rsidP="00D31360">
      <w:pPr>
        <w:pStyle w:val="Style1"/>
        <w:rPr>
          <w:rtl/>
        </w:rPr>
      </w:pPr>
      <w:r w:rsidRPr="00D31360">
        <w:rPr>
          <w:rFonts w:hint="cs"/>
          <w:rtl/>
        </w:rPr>
        <w:t>הגה: ויותר טוב לגבות מתחלת השנה שיהא מוכן להם כדי שלא יצטרכו להחניף או להחזיק טובה לשום אדם (טור)</w:t>
      </w:r>
      <w:r w:rsidRPr="00D31360">
        <w:t>:</w:t>
      </w:r>
    </w:p>
    <w:p w14:paraId="184CB40C" w14:textId="79F97A4D" w:rsidR="008C73C3" w:rsidRDefault="008C73C3" w:rsidP="008C73C3">
      <w:pPr>
        <w:pStyle w:val="Style1"/>
        <w:rPr>
          <w:rtl/>
        </w:rPr>
      </w:pPr>
      <w:r>
        <w:rPr>
          <w:rFonts w:hint="cs"/>
          <w:rtl/>
        </w:rPr>
        <w:t>2)[</w:t>
      </w:r>
      <w:r>
        <w:rPr>
          <w:rtl/>
        </w:rPr>
        <w:t>רמב</w:t>
      </w:r>
      <w:r w:rsidR="005258D6">
        <w:rPr>
          <w:rtl/>
        </w:rPr>
        <w:t>”</w:t>
      </w:r>
      <w:r>
        <w:rPr>
          <w:rtl/>
        </w:rPr>
        <w:t>ם</w:t>
      </w:r>
      <w:r w:rsidR="005258D6">
        <w:rPr>
          <w:rtl/>
        </w:rPr>
        <w:t xml:space="preserve">\שופטים\ </w:t>
      </w:r>
      <w:r>
        <w:rPr>
          <w:rtl/>
        </w:rPr>
        <w:t xml:space="preserve"> הלכות סנהדרין פרק כג הלכה א</w:t>
      </w:r>
      <w:r>
        <w:rPr>
          <w:rFonts w:hint="cs"/>
          <w:rtl/>
        </w:rPr>
        <w:t xml:space="preserve">] </w:t>
      </w:r>
      <w:r>
        <w:rPr>
          <w:rtl/>
        </w:rPr>
        <w:t>לא תקח שוחד אין צריך לומר לעות את הדין אלא אפילו לזכות את הזכאי ולחייב את החייב אסור ועובר בלא תעשה, והרי הוא בכלל ארור לוקח שוחד, וחייב להחזיר השוחד כשיתבענו הנותן.</w:t>
      </w:r>
    </w:p>
    <w:p w14:paraId="47223F8F" w14:textId="5F6F94BF" w:rsidR="00531C89" w:rsidRPr="00531C89" w:rsidRDefault="0052456E" w:rsidP="00531C89">
      <w:pPr>
        <w:pStyle w:val="Style1"/>
      </w:pPr>
      <w:r>
        <w:rPr>
          <w:rFonts w:hint="cs"/>
          <w:rtl/>
        </w:rPr>
        <w:t>2)[</w:t>
      </w:r>
      <w:r>
        <w:rPr>
          <w:rtl/>
        </w:rPr>
        <w:t>שולחן ערוך חושן משפט הלכות דיינים סימן ט סעיף א</w:t>
      </w:r>
      <w:r>
        <w:rPr>
          <w:rFonts w:hint="cs"/>
          <w:rtl/>
        </w:rPr>
        <w:t>]</w:t>
      </w:r>
      <w:r w:rsidR="00531C89">
        <w:rPr>
          <w:rFonts w:hint="cs"/>
          <w:rtl/>
        </w:rPr>
        <w:t xml:space="preserve"> </w:t>
      </w:r>
      <w:r w:rsidR="00531C89" w:rsidRPr="00531C89">
        <w:rPr>
          <w:rtl/>
        </w:rPr>
        <w:t>מאוד מאוד צריך הדיין ליזהר שלא ליקח שוחד אפי' לזכות את הזכאי ואם לקחו צריך להחזירו כשיתבענו הנותן וכשם שהלוקחו עובר בלא תעשה כך הנותנו עובר בלפני עור לא תתן מכשול ולא שוחד ממון בלבד אלא אפי' שוחד דברים וכל דיין ששאל שאלה פסול לדון לזה שהשאילו במה דברים כשלא היה לו לדיין להשאיל אבל היה לו להשאיל כשר שהרי גם זה שואל ממנו</w:t>
      </w:r>
      <w:r w:rsidR="00531C89" w:rsidRPr="00531C89">
        <w:t>:</w:t>
      </w:r>
    </w:p>
    <w:p w14:paraId="07ED21E0" w14:textId="1C6C377D" w:rsidR="00531C89" w:rsidRDefault="00531C89" w:rsidP="00531C89">
      <w:pPr>
        <w:pStyle w:val="Style1"/>
        <w:rPr>
          <w:rtl/>
        </w:rPr>
      </w:pPr>
      <w:r w:rsidRPr="00531C89">
        <w:rPr>
          <w:rFonts w:hint="cs"/>
          <w:rtl/>
        </w:rPr>
        <w:t>הגה: ודוקא ברגיל לשאול ממנו אבל באקראי בעלמא ולא מוכח שעושה משום הדין לא (מהרי"ק שורש י"ז)</w:t>
      </w:r>
      <w:r w:rsidRPr="00531C89">
        <w:t>:</w:t>
      </w:r>
    </w:p>
    <w:p w14:paraId="2817D816" w14:textId="56BD491B" w:rsidR="00E07CC4" w:rsidRPr="00771E6A" w:rsidRDefault="00324AE3" w:rsidP="00CD4623">
      <w:pPr>
        <w:pStyle w:val="Style1"/>
      </w:pPr>
      <w:r>
        <w:rPr>
          <w:rFonts w:hint="cs"/>
          <w:rtl/>
        </w:rPr>
        <w:t>2)[</w:t>
      </w:r>
      <w:r>
        <w:rPr>
          <w:rtl/>
        </w:rPr>
        <w:t>שולחן ערוך חושן משפט הלכות עדות סימן לד סעיף יח</w:t>
      </w:r>
      <w:r>
        <w:rPr>
          <w:rFonts w:hint="cs"/>
          <w:rtl/>
        </w:rPr>
        <w:t>]</w:t>
      </w:r>
      <w:r w:rsidR="00CD4623">
        <w:rPr>
          <w:rFonts w:hint="cs"/>
          <w:rtl/>
        </w:rPr>
        <w:t xml:space="preserve">  </w:t>
      </w:r>
      <w:r w:rsidR="00E07CC4" w:rsidRPr="00771E6A">
        <w:rPr>
          <w:rtl/>
        </w:rPr>
        <w:t>הבזויים פסולים לעדות מדבריהם והם האנשים שהולכים ואוכלים בשוק מפני כל העם וכגון אלו שהולכים ערומים בשוק בעת שהם עסוקים במלאכה מנוולת וכיוצא באלו שאין מקפידים על הבושת שכל אלו חשובי' ככלב ואין מקפידי' על עדות שקר ומכלל אלו המקבלי' צדקה מן העכו"ם בפרהסיא אע"פ שאפשר להם שיזונו בצנעא מבזים עצמם ואינם חוששים כל אלו פסולים מדבריהם</w:t>
      </w:r>
      <w:r w:rsidR="00E07CC4" w:rsidRPr="00771E6A">
        <w:t>:</w:t>
      </w:r>
    </w:p>
    <w:p w14:paraId="35C997C3" w14:textId="374696A2" w:rsidR="00E07CC4" w:rsidRDefault="00E07CC4" w:rsidP="00771E6A">
      <w:pPr>
        <w:pStyle w:val="Style1"/>
        <w:rPr>
          <w:rtl/>
        </w:rPr>
      </w:pPr>
      <w:r w:rsidRPr="00771E6A">
        <w:rPr>
          <w:rFonts w:hint="cs"/>
          <w:rtl/>
        </w:rPr>
        <w:t>הגה: כל מי שנוטל שכר להעיד עדותו בטל כמו הנוטל שכר לדון כמו שנתבאר לעיל סי' ט' ס"ה (רמב"ן) ואינן צריכים הכרזה אלא הדין והעדות בטל מעצמו ואם החזיר הממון דינו ועדותיו קיימים שאין זה כשאר פסולים שצריכין הכרזה ותשובה אלא קנס קנסוהו חכמים שיתבטלו מעשיו כל זמן שנוטל שכר (ר"ן ס"פ האיש מקדש) וכל זה בעדים שכבר ראו המעשה ומחוייבים להעיד כמו שאדם מחוייב לדון בין אדם לחבירו אבל מי שאינו מחויב להעיד ונוטל שכר לילך ולראות הענין שיהיה עד מותר</w:t>
      </w:r>
      <w:r w:rsidRPr="00771E6A">
        <w:rPr>
          <w:rFonts w:hint="cs"/>
        </w:rPr>
        <w:t xml:space="preserve"> (</w:t>
      </w:r>
      <w:hyperlink r:id="rId278" w:tooltip="טור חושן משפט כח" w:history="1">
        <w:r w:rsidRPr="00771E6A">
          <w:rPr>
            <w:rStyle w:val="Hyperlink"/>
            <w:rFonts w:hint="cs"/>
            <w:color w:val="7030A0"/>
            <w:u w:val="none"/>
            <w:rtl/>
          </w:rPr>
          <w:t>ב"י סי' כ"ח</w:t>
        </w:r>
      </w:hyperlink>
      <w:r w:rsidRPr="00771E6A">
        <w:rPr>
          <w:rFonts w:hint="cs"/>
        </w:rPr>
        <w:t> </w:t>
      </w:r>
      <w:r w:rsidRPr="00771E6A">
        <w:rPr>
          <w:rFonts w:hint="cs"/>
          <w:rtl/>
        </w:rPr>
        <w:t>בשם רשב"א) דיין שדן כבר ובא הבע"ד ליתן לו מתנה על שהפך בזכותו אסור לו לקבלו (כן משמע מאשיר"י ס"פ ז"ב) כל מה שאדם מעיד לסיבת יסורין ויראה אין בו ממש (מהרי"ק שורש ס"ח</w:t>
      </w:r>
      <w:r w:rsidRPr="00771E6A">
        <w:rPr>
          <w:rFonts w:hint="cs"/>
        </w:rPr>
        <w:t>)</w:t>
      </w:r>
      <w:r w:rsidRPr="00771E6A">
        <w:t>:</w:t>
      </w:r>
    </w:p>
    <w:p w14:paraId="2A0D86F1" w14:textId="11DC9721" w:rsidR="00990894" w:rsidRDefault="00990894" w:rsidP="00990894">
      <w:pPr>
        <w:pStyle w:val="Style1"/>
        <w:rPr>
          <w:rtl/>
        </w:rPr>
      </w:pPr>
      <w:r>
        <w:rPr>
          <w:rFonts w:hint="cs"/>
          <w:rtl/>
        </w:rPr>
        <w:t>3)[</w:t>
      </w:r>
      <w:r>
        <w:rPr>
          <w:rtl/>
        </w:rPr>
        <w:t>רמב</w:t>
      </w:r>
      <w:r w:rsidR="005258D6">
        <w:rPr>
          <w:rtl/>
        </w:rPr>
        <w:t>”</w:t>
      </w:r>
      <w:r>
        <w:rPr>
          <w:rtl/>
        </w:rPr>
        <w:t>ם</w:t>
      </w:r>
      <w:r w:rsidR="005258D6">
        <w:rPr>
          <w:rtl/>
        </w:rPr>
        <w:t xml:space="preserve">\שופטים\ </w:t>
      </w:r>
      <w:r>
        <w:rPr>
          <w:rtl/>
        </w:rPr>
        <w:t xml:space="preserve"> הלכות סנהדרין פרק כג הלכה ה</w:t>
      </w:r>
      <w:r>
        <w:rPr>
          <w:rFonts w:hint="cs"/>
          <w:rtl/>
        </w:rPr>
        <w:t xml:space="preserve">] </w:t>
      </w:r>
      <w:r>
        <w:rPr>
          <w:rtl/>
        </w:rPr>
        <w:t>כל דיין שנוטל שכרו לדון דיניו בטלים, והוא שלא יהיה שכר הניכר, אבל אם היה עוסק במלאכתו ובאו לפניו שנים לדין ואמר להן תנו לי מי שיעשה תחתי עד שאדון לכם או תנו לי שכר בטלתי הרי זה מותר, והוא שיהיה הדבר ניכר שהוא שכר הבטלה בלבד ולא יותר, ויטול משניהם בשוה זה בפני זה כגון זה מותר.</w:t>
      </w:r>
    </w:p>
    <w:p w14:paraId="51FECDC8" w14:textId="32A91D61" w:rsidR="007711F1" w:rsidRPr="00CC5E79" w:rsidRDefault="007711F1" w:rsidP="007711F1">
      <w:pPr>
        <w:pStyle w:val="Style1"/>
      </w:pPr>
      <w:r>
        <w:rPr>
          <w:rFonts w:hint="cs"/>
          <w:rtl/>
        </w:rPr>
        <w:t>3)[</w:t>
      </w:r>
      <w:r>
        <w:rPr>
          <w:rtl/>
        </w:rPr>
        <w:t>שולחן ערוך חושן משפט הלכות דיינים סימן ט סעיף ה</w:t>
      </w:r>
      <w:r>
        <w:rPr>
          <w:rFonts w:hint="cs"/>
          <w:rtl/>
        </w:rPr>
        <w:t>]</w:t>
      </w:r>
      <w:r w:rsidR="00CC5E79">
        <w:rPr>
          <w:rFonts w:hint="cs"/>
          <w:rtl/>
        </w:rPr>
        <w:t xml:space="preserve"> </w:t>
      </w:r>
      <w:r w:rsidR="00CC5E79" w:rsidRPr="00CC5E79">
        <w:rPr>
          <w:rtl/>
        </w:rPr>
        <w:t>הנוטל שכר לדון כל דיניו שדן בטלים אלא א"כ ידוע שלא נטל בהם שכר ואם אינו נוטל אלא שכר בטילתו מותר והוא שיהיה ניכר לכל שאינו נוטל אלא שכר בטלתו כגון שיש לו מלאכה ידועה לעשות בשעה שיש לו לדון אומר לבעלי הדין תנו לי שכר פעולה של אותה מלאכה שאתבטל ממנה והוא שיקבל משניהם בשוה אבל אם אינו ניכר כגון </w:t>
      </w:r>
      <w:r w:rsidR="00CC5E79" w:rsidRPr="00CC5E79">
        <w:rPr>
          <w:rFonts w:hint="cs"/>
        </w:rPr>
        <w:t>(</w:t>
      </w:r>
      <w:r w:rsidR="00CC5E79" w:rsidRPr="00CC5E79">
        <w:rPr>
          <w:rFonts w:hint="cs"/>
          <w:rtl/>
        </w:rPr>
        <w:t>שאין לו מלאכה ידועה אלא</w:t>
      </w:r>
      <w:r w:rsidR="00CC5E79" w:rsidRPr="00CC5E79">
        <w:rPr>
          <w:rFonts w:hint="cs"/>
        </w:rPr>
        <w:t>)</w:t>
      </w:r>
      <w:r w:rsidR="00CC5E79" w:rsidRPr="00CC5E79">
        <w:t> </w:t>
      </w:r>
      <w:r w:rsidR="00CC5E79" w:rsidRPr="00CC5E79">
        <w:rPr>
          <w:rtl/>
        </w:rPr>
        <w:t>שאומר שמא יזדמן לי שכר בקניית סחורה וסרסרות ובשביל זה מבקש שכר אסור</w:t>
      </w:r>
      <w:r w:rsidR="00CC5E79" w:rsidRPr="00CC5E79">
        <w:t>. </w:t>
      </w:r>
      <w:r w:rsidR="00CC5E79" w:rsidRPr="00CC5E79">
        <w:rPr>
          <w:rFonts w:hint="cs"/>
        </w:rPr>
        <w:t>(</w:t>
      </w:r>
      <w:r w:rsidR="00CC5E79" w:rsidRPr="00CC5E79">
        <w:rPr>
          <w:rFonts w:hint="cs"/>
          <w:rtl/>
        </w:rPr>
        <w:t>עיין לקמן </w:t>
      </w:r>
      <w:hyperlink r:id="rId279" w:anchor="%D7%A1%D7%A2%D7%99%D7%A3_%D7%99%D7%97" w:tooltip="שולחן ערוך חושן משפט לד" w:history="1">
        <w:r w:rsidR="00CC5E79" w:rsidRPr="00CC5E79">
          <w:rPr>
            <w:rFonts w:hint="cs"/>
            <w:rtl/>
          </w:rPr>
          <w:t>סי' ל"ד סעי' י"ח</w:t>
        </w:r>
      </w:hyperlink>
      <w:r w:rsidR="00CC5E79" w:rsidRPr="00CC5E79">
        <w:rPr>
          <w:rFonts w:hint="cs"/>
        </w:rPr>
        <w:t>)</w:t>
      </w:r>
      <w:r w:rsidR="00CC5E79" w:rsidRPr="00CC5E79">
        <w:t>:</w:t>
      </w:r>
    </w:p>
    <w:p w14:paraId="6473497F" w14:textId="4910B87A" w:rsidR="007711F1" w:rsidRPr="00771E6A" w:rsidRDefault="007711F1" w:rsidP="007711F1">
      <w:pPr>
        <w:pStyle w:val="Style1"/>
      </w:pPr>
    </w:p>
    <w:p w14:paraId="1811F0B0" w14:textId="77777777" w:rsidR="00E07CC4" w:rsidRPr="00771E6A" w:rsidRDefault="00E07CC4" w:rsidP="00771E6A">
      <w:pPr>
        <w:pStyle w:val="Style1"/>
      </w:pPr>
    </w:p>
    <w:p w14:paraId="7E997546" w14:textId="59C00A57" w:rsidR="00324AE3" w:rsidRPr="00531C89" w:rsidRDefault="00324AE3" w:rsidP="00324AE3">
      <w:pPr>
        <w:pStyle w:val="Style1"/>
      </w:pPr>
    </w:p>
    <w:p w14:paraId="6DA338AE" w14:textId="77777777" w:rsidR="00531C89" w:rsidRPr="00531C89" w:rsidRDefault="00531C89" w:rsidP="00531C89">
      <w:pPr>
        <w:pStyle w:val="Style1"/>
      </w:pPr>
    </w:p>
    <w:p w14:paraId="55740075" w14:textId="53237733" w:rsidR="0052456E" w:rsidRPr="00D31360" w:rsidRDefault="0052456E" w:rsidP="0052456E">
      <w:pPr>
        <w:pStyle w:val="Style1"/>
      </w:pPr>
    </w:p>
    <w:p w14:paraId="4BAC63A9" w14:textId="77777777" w:rsidR="00D31360" w:rsidRPr="00D31360" w:rsidRDefault="00D31360" w:rsidP="00D31360">
      <w:pPr>
        <w:pStyle w:val="Style1"/>
        <w:rPr>
          <w:rStyle w:val="Style1Char"/>
        </w:rPr>
      </w:pPr>
    </w:p>
    <w:p w14:paraId="5297107D" w14:textId="77777777" w:rsidR="000C5939" w:rsidRDefault="000C5939" w:rsidP="000C5939">
      <w:pPr>
        <w:rPr>
          <w:rStyle w:val="Style1Char"/>
          <w:color w:val="00B050"/>
          <w:rtl/>
        </w:rPr>
      </w:pPr>
      <w:r>
        <w:rPr>
          <w:rStyle w:val="Style1Char"/>
          <w:color w:val="00B050"/>
          <w:rtl/>
        </w:rPr>
        <w:br w:type="page"/>
      </w:r>
    </w:p>
    <w:p w14:paraId="08607404" w14:textId="40B1D0E5" w:rsidR="000C5939" w:rsidRDefault="000C5939" w:rsidP="000C5939">
      <w:pPr>
        <w:bidi/>
        <w:rPr>
          <w:rStyle w:val="Style1Char"/>
          <w:color w:val="00B050"/>
          <w:rtl/>
        </w:rPr>
      </w:pPr>
      <w:r w:rsidRPr="001C3C1D">
        <w:rPr>
          <w:rStyle w:val="Style1Char"/>
          <w:color w:val="00B050"/>
          <w:sz w:val="22"/>
          <w:szCs w:val="22"/>
          <w:highlight w:val="yellow"/>
          <w:rtl/>
        </w:rPr>
        <w:lastRenderedPageBreak/>
        <w:t>[דף קה עמוד ב]</w:t>
      </w:r>
      <w:r w:rsidRPr="001C3C1D">
        <w:rPr>
          <w:rStyle w:val="Style1Char"/>
          <w:color w:val="00B050"/>
          <w:sz w:val="22"/>
          <w:szCs w:val="22"/>
          <w:rtl/>
        </w:rPr>
        <w:t xml:space="preserve"> </w:t>
      </w:r>
      <w:r w:rsidRPr="001C3C1D">
        <w:rPr>
          <w:rStyle w:val="Style1Char"/>
          <w:color w:val="00B050"/>
          <w:rtl/>
        </w:rPr>
        <w:t xml:space="preserve">אפילו צדיק גמור ולוקח שוחד, אינו נפטר מן העולם בלא טירוף דעת. כי אתא רב דימי אמר: דרש רב נחמן בר כהן, מאי דכתיב: מלך במשפט יעמיד ארץ ואיש תרומות יהרסנה? אם דומה דיין למלך שאינו צריך לכלום - יעמיד ארץ, ואם דומה לכהן שמחזר על הגרנות - יהרסנה. אמר רבה בר רב שילא: </w:t>
      </w:r>
      <w:r w:rsidR="006A6178">
        <w:rPr>
          <w:rStyle w:val="Style1Char"/>
          <w:rFonts w:hint="cs"/>
          <w:rtl/>
        </w:rPr>
        <w:t>(1)</w:t>
      </w:r>
      <w:r w:rsidRPr="001C3C1D">
        <w:rPr>
          <w:rStyle w:val="Style1Char"/>
          <w:color w:val="00B050"/>
          <w:rtl/>
        </w:rPr>
        <w:t xml:space="preserve">האי דיינא דשאיל שאילתא - פסול למידן דינא. ולא אמרן </w:t>
      </w:r>
      <w:r w:rsidR="00C4241F">
        <w:rPr>
          <w:rStyle w:val="Style1Char"/>
          <w:rFonts w:hint="cs"/>
          <w:rtl/>
        </w:rPr>
        <w:t>(1)</w:t>
      </w:r>
      <w:r w:rsidRPr="001C3C1D">
        <w:rPr>
          <w:rStyle w:val="Style1Char"/>
          <w:color w:val="00B050"/>
          <w:rtl/>
        </w:rPr>
        <w:t xml:space="preserve">אלא דלית ליה לאושולי, אבל אית ליה לאושולי לית לן בה. איני? והא רבא שאיל שאילתא מדבי בר מריון, אף על גב דלא שיילי מיניה! </w:t>
      </w:r>
      <w:r w:rsidR="00C4241F">
        <w:rPr>
          <w:rStyle w:val="Style1Char"/>
          <w:rFonts w:hint="cs"/>
          <w:rtl/>
        </w:rPr>
        <w:t>(2)</w:t>
      </w:r>
      <w:r w:rsidRPr="001C3C1D">
        <w:rPr>
          <w:rStyle w:val="Style1Char"/>
          <w:color w:val="00B050"/>
          <w:rtl/>
        </w:rPr>
        <w:t xml:space="preserve">התם לאחשובינהו הוא דבעי. אמר רבא: מאי טעמא דשוחדא? כיון דקביל ליה שוחדא מיניה, איקרבא ליה דעתיה לגביה והוי כגופיה, ואין אדם רואה חובה לעצמו. מאי שוחד? שהוא חד. </w:t>
      </w:r>
      <w:r w:rsidR="002802F2">
        <w:rPr>
          <w:rStyle w:val="Style1Char"/>
          <w:rFonts w:hint="cs"/>
          <w:rtl/>
        </w:rPr>
        <w:t>(3)</w:t>
      </w:r>
      <w:r w:rsidRPr="001C3C1D">
        <w:rPr>
          <w:rStyle w:val="Style1Char"/>
          <w:color w:val="00B050"/>
          <w:rtl/>
        </w:rPr>
        <w:t xml:space="preserve">א"ר פפא: לא לידון איניש דינא למאן דרחים ליה ולא למאן דסני ליה, דרחים ליה - לא חזי ליה חובה, דסני ליה - לא חזי ליה זכותא. אמר אביי: האי צורבא מרבנן דמרחמין ליה בני מתא, לאו משום דמעלי טפי, אלא משום דלא מוכח להו במילי דשמיא. אמר רבא, מריש הוה אמינא: הני בני מחוזא כולהו רחמו לי, כיון דהואי דיינא, אמינא: מינייהו סנו לי ומינייהו רחמו לי, כיון דחזאי דמאן דמיחייב ליה האידנא קא זכי למחר, אמינא: אם מרחם - כולהו רחמו לי, אי מסנו - כולהו סנו לי. ת"ר: ושוחד לא תקח - אינו צריך לומר שוחד ממון, אלא </w:t>
      </w:r>
      <w:r w:rsidR="00654E83">
        <w:rPr>
          <w:rStyle w:val="Style1Char"/>
          <w:rFonts w:hint="cs"/>
          <w:rtl/>
        </w:rPr>
        <w:t>(</w:t>
      </w:r>
      <w:r w:rsidR="00434DF4">
        <w:rPr>
          <w:rStyle w:val="Style1Char"/>
          <w:rFonts w:hint="cs"/>
          <w:rtl/>
        </w:rPr>
        <w:t>1.2, 4</w:t>
      </w:r>
      <w:r w:rsidR="00654E83">
        <w:rPr>
          <w:rStyle w:val="Style1Char"/>
          <w:rFonts w:hint="cs"/>
          <w:rtl/>
        </w:rPr>
        <w:t>)</w:t>
      </w:r>
      <w:r w:rsidRPr="001C3C1D">
        <w:rPr>
          <w:rStyle w:val="Style1Char"/>
          <w:color w:val="00B050"/>
          <w:rtl/>
        </w:rPr>
        <w:t xml:space="preserve">אפילו שוחד דברים נמי אסור, מדלא כתיב בצע לא תקח. היכי דמי שוחד דברים? כי הא דשמואל הוה עבר במברא, אתא ההוא גברא יהיב ליה ידיה, אמר ליה: מאי עבידתיך? אמר ליה: דינא אית לי, א"ל: פסילנא לך לדינא. </w:t>
      </w:r>
      <w:r w:rsidR="003830CC">
        <w:rPr>
          <w:rStyle w:val="Style1Char"/>
          <w:rFonts w:hint="cs"/>
          <w:rtl/>
        </w:rPr>
        <w:t>(</w:t>
      </w:r>
      <w:r w:rsidR="00434DF4">
        <w:rPr>
          <w:rStyle w:val="Style1Char"/>
          <w:rFonts w:hint="cs"/>
          <w:rtl/>
        </w:rPr>
        <w:t>1.2, 4</w:t>
      </w:r>
      <w:r w:rsidR="003830CC">
        <w:rPr>
          <w:rStyle w:val="Style1Char"/>
          <w:rFonts w:hint="cs"/>
          <w:rtl/>
        </w:rPr>
        <w:t>)</w:t>
      </w:r>
      <w:r w:rsidRPr="001C3C1D">
        <w:rPr>
          <w:rStyle w:val="Style1Char"/>
          <w:color w:val="00B050"/>
          <w:rtl/>
        </w:rPr>
        <w:t xml:space="preserve">אמימר הוה יתיב וקא דאין דינא, פרח גדפא ארישיה, אתא ההוא גברא שקליה, א"ל: מאי עבידתיך? א"ל: דינא אית לי, אמר ליה: פסילנא לך לדינא. </w:t>
      </w:r>
      <w:r w:rsidR="00220F60">
        <w:rPr>
          <w:rStyle w:val="Style1Char"/>
          <w:rFonts w:hint="cs"/>
          <w:rtl/>
        </w:rPr>
        <w:t xml:space="preserve">(4.1, </w:t>
      </w:r>
      <w:r w:rsidR="00310FCB">
        <w:rPr>
          <w:rStyle w:val="Style1Char"/>
          <w:rFonts w:hint="cs"/>
          <w:rtl/>
        </w:rPr>
        <w:t>2</w:t>
      </w:r>
      <w:r w:rsidR="00220F60">
        <w:rPr>
          <w:rStyle w:val="Style1Char"/>
          <w:rFonts w:hint="cs"/>
          <w:rtl/>
        </w:rPr>
        <w:t>)</w:t>
      </w:r>
      <w:r w:rsidRPr="001C3C1D">
        <w:rPr>
          <w:rStyle w:val="Style1Char"/>
          <w:color w:val="00B050"/>
          <w:rtl/>
        </w:rPr>
        <w:t xml:space="preserve">מר עוקבא הוה שדי רוקא קמיה, אתא ההוא גברא כסייה, א"ל: מאי עבידתיך? א"ל: דינא אית לי, א"ל: פסילנא לך לדינא. </w:t>
      </w:r>
      <w:r w:rsidR="00F14021">
        <w:rPr>
          <w:rStyle w:val="Style1Char"/>
          <w:rFonts w:hint="cs"/>
          <w:rtl/>
        </w:rPr>
        <w:t xml:space="preserve">(4.1, </w:t>
      </w:r>
      <w:r w:rsidR="00310FCB">
        <w:rPr>
          <w:rStyle w:val="Style1Char"/>
          <w:rFonts w:hint="cs"/>
          <w:rtl/>
        </w:rPr>
        <w:t>2</w:t>
      </w:r>
      <w:r w:rsidR="00F14021">
        <w:rPr>
          <w:rStyle w:val="Style1Char"/>
          <w:rFonts w:hint="cs"/>
          <w:rtl/>
        </w:rPr>
        <w:t>)</w:t>
      </w:r>
      <w:r w:rsidRPr="001C3C1D">
        <w:rPr>
          <w:rStyle w:val="Style1Char"/>
          <w:color w:val="00B050"/>
          <w:rtl/>
        </w:rPr>
        <w:t xml:space="preserve">ר' ישמעאל בר' יוסי, הוה רגיל אריסיה דהוה מייתי ליה כל מעלי שבתא כנתא דפירי, יומא חד אייתי ליה בה' בשבתא, א"ל: מאי שנא האידנא? א"ל: דינא אית לי, ואמינא, אגב אורחי אייתי ליה למר. לא קביל מיניה, א"ל: פסילנא לך לדינא. אותיב זוזא דרבנן וקדיינין ליה. בהדי דקאזיל ואתי, אמר: אי בעי טעין הכי, ואי בעי טעין הכי, אמר: תיפח נפשם של מקבלי שוחד, ומה אני שלא נטלתי, ואם נטלתי שלי נטלתי - כך, מקבלי שוחד על אחת כמה וכמה. </w:t>
      </w:r>
      <w:r w:rsidR="000D6536">
        <w:rPr>
          <w:rStyle w:val="Style1Char"/>
          <w:rFonts w:hint="cs"/>
          <w:rtl/>
        </w:rPr>
        <w:t xml:space="preserve">(4.1, </w:t>
      </w:r>
      <w:r w:rsidR="00310FCB">
        <w:rPr>
          <w:rStyle w:val="Style1Char"/>
          <w:rFonts w:hint="cs"/>
          <w:rtl/>
        </w:rPr>
        <w:t>2</w:t>
      </w:r>
      <w:r w:rsidR="000D6536">
        <w:rPr>
          <w:rStyle w:val="Style1Char"/>
          <w:rFonts w:hint="cs"/>
          <w:rtl/>
        </w:rPr>
        <w:t>)</w:t>
      </w:r>
      <w:r w:rsidRPr="001C3C1D">
        <w:rPr>
          <w:rStyle w:val="Style1Char"/>
          <w:color w:val="00B050"/>
          <w:rtl/>
        </w:rPr>
        <w:t xml:space="preserve">ר' ישמעאל בר אלישע אייתי ליה ההוא גברא ראשית הגז, אמר ליה: מהיכא את? א"ל: מדוך פלן. ומהתם להכא לא הוה כהן למיתבא ליה? א"ל: דינא אית לי, ואמינא, אגב אורחאי אייתי ליה למר. א"ל: פסילנא לך לדינא. לא קביל מיניה. אותיב ליה זוגא דרבנן וקדייני ליה. בהדי דקאזיל ואתי, אמר: אי בעי טעין הכי, ואי בעי טעין הכי, אמר: תיפח נפשם של מקבלי שוחד, ומה אני שלא נטלתי, ואם נטלתי שלי נטלתי - כך, מקבלי שוחד על אחת כמה וכמה. רב ענן אייתי ליה ההוא גברא כנתא דגילדני דבי גילי, א"ל: מאי עבידתיך? א"ל: דינא אית לי, לא קביל מיניה, א"ל: פסילנא לך לדינא. אמר ליה: דינא דמר לא בעינא, קבולי לקביל מר, דלא למנען מר מאקרובי בכורים, דתניא: ואיש בא מבעל שלישה ויבא לאיש האלהים לחם בכורים עשרים לחם שעורים וכרמל בצקלונו - וכי אלישע אוכל בכורים הוה? אלא לומר לך: כל המביא דורון לתלמיד חכם - כאילו מקריב בכורים. אמר ליה: קבולי לא בעינן דאיקביל, השתא דאמרת לי טעמא מקבילנא. </w:t>
      </w:r>
      <w:r w:rsidR="000D6536">
        <w:rPr>
          <w:rStyle w:val="Style1Char"/>
          <w:rFonts w:hint="cs"/>
          <w:rtl/>
        </w:rPr>
        <w:t>(</w:t>
      </w:r>
      <w:r w:rsidR="00081BB7">
        <w:rPr>
          <w:rStyle w:val="Style1Char"/>
          <w:rFonts w:hint="cs"/>
          <w:rtl/>
        </w:rPr>
        <w:t>3.2</w:t>
      </w:r>
      <w:r w:rsidR="000D6536">
        <w:rPr>
          <w:rStyle w:val="Style1Char"/>
          <w:rFonts w:hint="cs"/>
          <w:rtl/>
        </w:rPr>
        <w:t>)</w:t>
      </w:r>
      <w:r w:rsidRPr="001C3C1D">
        <w:rPr>
          <w:rStyle w:val="Style1Char"/>
          <w:color w:val="00B050"/>
          <w:rtl/>
        </w:rPr>
        <w:t>שדריה לקמיה דרב נחמן, שלח ליה: נידייניה מר להאי גברא, דאנא ענן פסילנא ליה לדינא. אמר: מדשלח לי הכי, שמע מינה קריביה הוא. הוה קאים דינא דיתמי קמיה, אמר:</w:t>
      </w:r>
    </w:p>
    <w:p w14:paraId="482B23E9" w14:textId="1AA49C0B" w:rsidR="007E2268" w:rsidRDefault="007E2268" w:rsidP="007E2268">
      <w:pPr>
        <w:pStyle w:val="Style1"/>
        <w:rPr>
          <w:rStyle w:val="Style1Char"/>
          <w:rtl/>
        </w:rPr>
      </w:pPr>
      <w:r>
        <w:rPr>
          <w:rStyle w:val="Style1Char"/>
          <w:rFonts w:hint="cs"/>
          <w:rtl/>
        </w:rPr>
        <w:t>1)[</w:t>
      </w:r>
      <w:r w:rsidRPr="007E2268">
        <w:rPr>
          <w:rStyle w:val="Style1Char"/>
          <w:rtl/>
        </w:rPr>
        <w:t>רמב</w:t>
      </w:r>
      <w:r w:rsidR="005258D6">
        <w:rPr>
          <w:rStyle w:val="Style1Char"/>
          <w:rtl/>
        </w:rPr>
        <w:t>”</w:t>
      </w:r>
      <w:r w:rsidRPr="007E2268">
        <w:rPr>
          <w:rStyle w:val="Style1Char"/>
          <w:rtl/>
        </w:rPr>
        <w:t>ם</w:t>
      </w:r>
      <w:r w:rsidR="005258D6">
        <w:rPr>
          <w:rStyle w:val="Style1Char"/>
          <w:rtl/>
        </w:rPr>
        <w:t xml:space="preserve">\שופטים\ </w:t>
      </w:r>
      <w:r w:rsidRPr="007E2268">
        <w:rPr>
          <w:rStyle w:val="Style1Char"/>
          <w:rtl/>
        </w:rPr>
        <w:t xml:space="preserve"> הלכות סנהדרין פרק כג הלכה ד</w:t>
      </w:r>
      <w:r>
        <w:rPr>
          <w:rStyle w:val="Style1Char"/>
          <w:rFonts w:hint="cs"/>
          <w:rtl/>
        </w:rPr>
        <w:t xml:space="preserve">] </w:t>
      </w:r>
      <w:r w:rsidRPr="007E2268">
        <w:rPr>
          <w:rStyle w:val="Style1Char"/>
          <w:rtl/>
        </w:rPr>
        <w:t>כל דיין ששאל שאלה פסול לדין לזה שהשאילו, במה דברים אמורים בשלא היה לו לדיין להשאיל אבל היה לו להשאיל כשר שהרי גם זה שואל ממנו.</w:t>
      </w:r>
    </w:p>
    <w:p w14:paraId="6D07FF4D" w14:textId="2EA627D5" w:rsidR="00B72740" w:rsidRPr="00531C89" w:rsidRDefault="00B72740" w:rsidP="00B72740">
      <w:pPr>
        <w:pStyle w:val="Style1"/>
      </w:pPr>
      <w:r>
        <w:rPr>
          <w:rFonts w:hint="cs"/>
          <w:rtl/>
        </w:rPr>
        <w:t>1)[</w:t>
      </w:r>
      <w:r>
        <w:rPr>
          <w:rtl/>
        </w:rPr>
        <w:t>שולחן ערוך חושן משפט הלכות דיינים סימן ט סעיף א</w:t>
      </w:r>
      <w:r>
        <w:rPr>
          <w:rFonts w:hint="cs"/>
          <w:rtl/>
        </w:rPr>
        <w:t xml:space="preserve">] </w:t>
      </w:r>
      <w:r w:rsidRPr="00531C89">
        <w:rPr>
          <w:rtl/>
        </w:rPr>
        <w:t>מאוד מאוד צריך הדיין ליזהר שלא ליקח שוחד אפי' לזכות את הזכאי ואם לקחו צריך להחזירו כשיתבענו הנותן וכשם שהלוקחו עובר בלא תעשה כך הנותנו עובר בלפני עור לא תתן מכשול ולא שוחד ממון בלבד אלא אפי' שוחד דברים וכל דיין ששאל שאלה פסול לדון לזה שהשאילו במה דברים כשלא היה לו לדיין להשאיל אבל היה לו להשאיל כשר שהרי גם זה שואל ממנו</w:t>
      </w:r>
      <w:r w:rsidRPr="00531C89">
        <w:t>:</w:t>
      </w:r>
    </w:p>
    <w:p w14:paraId="66DA2C46" w14:textId="405E30D5" w:rsidR="00B72740" w:rsidRDefault="00B72740" w:rsidP="00B72740">
      <w:pPr>
        <w:pStyle w:val="Style1"/>
        <w:rPr>
          <w:rtl/>
        </w:rPr>
      </w:pPr>
      <w:r w:rsidRPr="00531C89">
        <w:rPr>
          <w:rFonts w:hint="cs"/>
          <w:rtl/>
        </w:rPr>
        <w:t>הגה: ודוקא ברגיל לשאול ממנו אבל באקראי בעלמא ולא מוכח שעושה משום הדין לא (מהרי"ק שורש י"ז)</w:t>
      </w:r>
      <w:r w:rsidRPr="00531C89">
        <w:t>:</w:t>
      </w:r>
    </w:p>
    <w:p w14:paraId="47579B13" w14:textId="77777777" w:rsidR="00155071" w:rsidRDefault="00155071" w:rsidP="00155071">
      <w:pPr>
        <w:pStyle w:val="Style1"/>
        <w:rPr>
          <w:rtl/>
        </w:rPr>
      </w:pPr>
      <w:r>
        <w:rPr>
          <w:rFonts w:hint="cs"/>
          <w:rtl/>
        </w:rPr>
        <w:t>2)[</w:t>
      </w:r>
      <w:r>
        <w:rPr>
          <w:rtl/>
        </w:rPr>
        <w:t>טור חושן משפט הלכות דיינים סימן ט</w:t>
      </w:r>
      <w:r>
        <w:rPr>
          <w:rFonts w:hint="cs"/>
          <w:rtl/>
        </w:rPr>
        <w:t xml:space="preserve">] </w:t>
      </w:r>
    </w:p>
    <w:p w14:paraId="57CE7A9D" w14:textId="6E517DE5" w:rsidR="00155071" w:rsidRDefault="00155071" w:rsidP="00155071">
      <w:pPr>
        <w:pStyle w:val="Style1"/>
      </w:pPr>
      <w:r>
        <w:rPr>
          <w:rtl/>
        </w:rPr>
        <w:t>א מאד מאד צריך הדיין ליזהר שלא ליקח שוחד אפילו לזכות הזכאי:</w:t>
      </w:r>
    </w:p>
    <w:p w14:paraId="2742C30F" w14:textId="77777777" w:rsidR="00155071" w:rsidRDefault="00155071" w:rsidP="00155071">
      <w:pPr>
        <w:pStyle w:val="Style1"/>
      </w:pPr>
      <w:r>
        <w:rPr>
          <w:rtl/>
        </w:rPr>
        <w:t>ב ואם לקח צריך להחזירו כשיתבענו הנותן:</w:t>
      </w:r>
    </w:p>
    <w:p w14:paraId="4741F11D" w14:textId="77777777" w:rsidR="00155071" w:rsidRDefault="00155071" w:rsidP="00155071">
      <w:pPr>
        <w:pStyle w:val="Style1"/>
      </w:pPr>
      <w:r>
        <w:rPr>
          <w:rtl/>
        </w:rPr>
        <w:t>ג וכשם שהלוקח עובר בלא תעשה כך הנותנו עובר בלפני עור לא תתן מכשול:</w:t>
      </w:r>
    </w:p>
    <w:p w14:paraId="47CBB722" w14:textId="77777777" w:rsidR="00155071" w:rsidRDefault="00155071" w:rsidP="00155071">
      <w:pPr>
        <w:pStyle w:val="Style1"/>
      </w:pPr>
      <w:r>
        <w:rPr>
          <w:rtl/>
        </w:rPr>
        <w:t>ד ולא שוחד ממון לבד אלא אפילו שוחד דברים כההוא עובדא דאמימר דהוה יתיב ודן דינא פרח גדפא ויתיב ליה ארישיה אתא ההוא גברא ושקיל א"ל מאי עבידתך א"ל דינא אית לי א"ל פסילנא לך לדינא ותו מר עוקבא הוה יתיב שדי רוקא קמיה אתא ההוא גברא וכסייה אמר ליה פסילנא לך לדינא וכל כיוצא בזה על כן צריך כל דיין להרחיק מזה:</w:t>
      </w:r>
    </w:p>
    <w:p w14:paraId="6D3D65C5" w14:textId="77777777" w:rsidR="00155071" w:rsidRDefault="00155071" w:rsidP="00155071">
      <w:pPr>
        <w:pStyle w:val="Style1"/>
      </w:pPr>
      <w:r>
        <w:rPr>
          <w:rtl/>
        </w:rPr>
        <w:t>ה לכן כל דיין שצריך לשאול כלים משכניו פסול להם לדין אבל אם גם הוא משאילם כשר שאינו אלא פרעון על שמשאילם:</w:t>
      </w:r>
    </w:p>
    <w:p w14:paraId="67762F46" w14:textId="77777777" w:rsidR="00155071" w:rsidRDefault="00155071" w:rsidP="00155071">
      <w:pPr>
        <w:pStyle w:val="Style1"/>
      </w:pPr>
      <w:r>
        <w:rPr>
          <w:rtl/>
        </w:rPr>
        <w:t>ו תשובה לגאון היכא דמפרסמא תביעותא דאיניש גבי חבריה ובעי לאזמוניה לדינא וקדם תובע ושדר ליה מנחה אי אית ליה לנתבע למיפסל לדינא בהאי מילתא או לא מדת חסידות היא זו דאי חזי ביה דיינא דאיקרב דעתיה לגביה תובע לממנע הוא מדעתו מן ההוא דינא עד שמתרחק אבל מדינא לית ליה לנתבע למיפסליה ואי דמי לרבא דהוה שאיל מדבי בר מוריון ולא הוה משאיל להו והוי מכוין לאחשבינהו אפילו מדת חסידות ליכא:</w:t>
      </w:r>
    </w:p>
    <w:p w14:paraId="3C00823F" w14:textId="77777777" w:rsidR="00155071" w:rsidRDefault="00155071" w:rsidP="00155071">
      <w:pPr>
        <w:pStyle w:val="Style1"/>
      </w:pPr>
      <w:r>
        <w:rPr>
          <w:rtl/>
        </w:rPr>
        <w:t>ז וכתב הר"י ברצלוני נהגו ברוב מקומות לעשות לב"ד קופה שפוסקין מזון ב"ד ופרנסתם לכמה עולה בשנה ומגבין אותו בתחילת השנה או בסופה ואין בזו משום תורת שוחד ותורת אגרא כי חובה הוא על כל ישראל לפרנס דייניהם וחכמיהם וגם אם יש נדבות או הקדשות סתם לוקחין מהן ומיהו במקום שמגבין אותו בתחילה אין צריכין הדיינין לטרוח לכך ולא לבקש משום אדם כלום כדי שלא יהא צריך לשום אדם ולא להחניפו ולא להחזיק לו טובה אלא דבר קצוב הוא על הצבור ומגבין אותה בעונתו כמו ארנונות כדי שיהא מקובץ ומוכן לו ולא יהא צריך הדיין להחזיק טובה מגבויו לשום אדם:</w:t>
      </w:r>
    </w:p>
    <w:p w14:paraId="7A91815A" w14:textId="77777777" w:rsidR="00155071" w:rsidRDefault="00155071" w:rsidP="00155071">
      <w:pPr>
        <w:pStyle w:val="Style1"/>
      </w:pPr>
      <w:r>
        <w:rPr>
          <w:rtl/>
        </w:rPr>
        <w:t>ח כתב הרמב"ם כל דיין שיושב ומגדל שכר לחזנים ולסופרים הרי זה בכלל הנוטים אחר הבצע וכך עשו בני שמואל ונאמר בהם ויטו אחרי הבצע ויקחו שוחד:</w:t>
      </w:r>
    </w:p>
    <w:p w14:paraId="3B1C4B10" w14:textId="77777777" w:rsidR="00155071" w:rsidRDefault="00155071" w:rsidP="00155071">
      <w:pPr>
        <w:pStyle w:val="Style1"/>
      </w:pPr>
      <w:r>
        <w:rPr>
          <w:rtl/>
        </w:rPr>
        <w:t>ט הנוטל שכר לדון דיניו בטלים:</w:t>
      </w:r>
    </w:p>
    <w:p w14:paraId="477877E8" w14:textId="77777777" w:rsidR="00155071" w:rsidRDefault="00155071" w:rsidP="00155071">
      <w:pPr>
        <w:pStyle w:val="Style1"/>
      </w:pPr>
      <w:r>
        <w:rPr>
          <w:rtl/>
        </w:rPr>
        <w:t>י ואם אינו נוטל אלא שכר בטלתו מותר בד"א שניכר לכל שאינו נוטל אלא שכר בטלתו כגון שיש לו מלאכה ידועה לעשותה בשעה שיש לו לדון ואמר לבעלי הדין תנו לי מי שיעשה מלאכתי במקומי או תנו לי שכר פעולה של אותה מלאכה שאתבטל ממנה אז הוא מותר וכגון שיקבל משניהם בשוה אבל אם אינו ניכר כגון שאין לו מלאכה ידועה אלא שאמר שמא יזדמן לו שכר בקניית סחורה ובסרסרות ובשביל זה מבקש שכר אסור:</w:t>
      </w:r>
    </w:p>
    <w:p w14:paraId="739CE9FA" w14:textId="77777777" w:rsidR="00155071" w:rsidRDefault="00155071" w:rsidP="00155071">
      <w:pPr>
        <w:pStyle w:val="Style1"/>
      </w:pPr>
      <w:r>
        <w:rPr>
          <w:rtl/>
        </w:rPr>
        <w:t>יא אין לדיין להניח לתלמיד בור לישב לפניו שלא ישא ויתן עמו ויטהו מדרך האמת מתוך בורתו:</w:t>
      </w:r>
    </w:p>
    <w:p w14:paraId="65C90ED5" w14:textId="77777777" w:rsidR="00155071" w:rsidRDefault="00155071" w:rsidP="00155071">
      <w:pPr>
        <w:pStyle w:val="Style1"/>
      </w:pPr>
      <w:r>
        <w:rPr>
          <w:rtl/>
        </w:rPr>
        <w:t>יב ותלמיד היושב לפני רבו ורואה זכות לעני והרב רוצה לחייב צריך ללמד עליו זכות ואם שותק עובר משום מדבר שקר תרחק:</w:t>
      </w:r>
    </w:p>
    <w:p w14:paraId="78842EFF" w14:textId="5709FAAB" w:rsidR="00155071" w:rsidRDefault="00155071" w:rsidP="00155071">
      <w:pPr>
        <w:pStyle w:val="Style1"/>
        <w:rPr>
          <w:rtl/>
        </w:rPr>
      </w:pPr>
      <w:r>
        <w:rPr>
          <w:rtl/>
        </w:rPr>
        <w:t>יג תלמיד היושב לפני רבו ורואה שטועה רבו בדין אל יאמר אשתוק עד שיגמור הדין ואסתרנו ואחזור ואבננו כדי שיקרא על שמי אלא יאמר לו דרך כבוד רבי כך וכך למדתני:</w:t>
      </w:r>
    </w:p>
    <w:p w14:paraId="34E256D3" w14:textId="66C206F4" w:rsidR="00BF6887" w:rsidRDefault="00BF6887" w:rsidP="00BF6887">
      <w:pPr>
        <w:pStyle w:val="Style1"/>
        <w:rPr>
          <w:rtl/>
        </w:rPr>
      </w:pPr>
      <w:r>
        <w:rPr>
          <w:rFonts w:hint="cs"/>
          <w:rtl/>
        </w:rPr>
        <w:lastRenderedPageBreak/>
        <w:t>3)[</w:t>
      </w:r>
      <w:r>
        <w:rPr>
          <w:rtl/>
        </w:rPr>
        <w:t>רמב</w:t>
      </w:r>
      <w:r w:rsidR="005258D6">
        <w:rPr>
          <w:rtl/>
        </w:rPr>
        <w:t>”</w:t>
      </w:r>
      <w:r>
        <w:rPr>
          <w:rtl/>
        </w:rPr>
        <w:t>ם</w:t>
      </w:r>
      <w:r w:rsidR="005258D6">
        <w:rPr>
          <w:rtl/>
        </w:rPr>
        <w:t xml:space="preserve">\שופטים\ </w:t>
      </w:r>
      <w:r>
        <w:rPr>
          <w:rtl/>
        </w:rPr>
        <w:t xml:space="preserve"> הלכות סנהדרין פרק כג הלכה ו</w:t>
      </w:r>
      <w:r>
        <w:rPr>
          <w:rFonts w:hint="cs"/>
          <w:rtl/>
        </w:rPr>
        <w:t xml:space="preserve">] </w:t>
      </w:r>
      <w:r>
        <w:rPr>
          <w:rtl/>
        </w:rPr>
        <w:t>אסור לדיין לדון למי שהוא אוהבו אף על פי שאינו שושבינו ולא ריעו אשר כנפשו ולא למי ששונאו אף על פי שאינו אויב לו ולא מבקש רעתו אלא צריך שיהיו שני בעלי דינים שוין בעיני הדיינים ובלבם, ואם לא היה מכיר את אחד מהם ולא מעשיו אין לך דיין צדק כמוהו.</w:t>
      </w:r>
    </w:p>
    <w:p w14:paraId="27BE738B" w14:textId="69F9D3E9" w:rsidR="00171156" w:rsidRPr="00171156" w:rsidRDefault="00D80BF2" w:rsidP="00171156">
      <w:pPr>
        <w:pStyle w:val="Style1"/>
      </w:pPr>
      <w:r>
        <w:rPr>
          <w:rFonts w:hint="cs"/>
          <w:rtl/>
        </w:rPr>
        <w:t>3)[</w:t>
      </w:r>
      <w:r>
        <w:rPr>
          <w:rtl/>
        </w:rPr>
        <w:t>שולחן ערוך חושן משפט הלכות דיינים סימן ז סעיף ז</w:t>
      </w:r>
      <w:r>
        <w:rPr>
          <w:rFonts w:hint="cs"/>
          <w:rtl/>
        </w:rPr>
        <w:t>]</w:t>
      </w:r>
      <w:r w:rsidR="00171156">
        <w:rPr>
          <w:rFonts w:hint="cs"/>
          <w:rtl/>
        </w:rPr>
        <w:t xml:space="preserve"> </w:t>
      </w:r>
      <w:r w:rsidR="00171156" w:rsidRPr="00171156">
        <w:rPr>
          <w:rtl/>
        </w:rPr>
        <w:t>אסור לאדם לדון למי שהוא אוהבו אע"פ שאינו שושבינו ולא ריעו אשר כנפשו ולא למי ששונאו אע"פ שאינו אויב לו ולא מבקש רעתו אלא צריך שיהיו השני בעלי הדינים שוים בעיני הדיינים ובלבם ואם לא היה מכיר את שום אחד מהם ולא את מעשיו אין לך דיין צדיק כמוהו</w:t>
      </w:r>
      <w:r w:rsidR="00171156" w:rsidRPr="00171156">
        <w:t>:</w:t>
      </w:r>
    </w:p>
    <w:p w14:paraId="50636CA5" w14:textId="77777777" w:rsidR="00171156" w:rsidRPr="00171156" w:rsidRDefault="00171156" w:rsidP="00171156">
      <w:pPr>
        <w:pStyle w:val="Style1"/>
      </w:pPr>
      <w:r w:rsidRPr="00171156">
        <w:rPr>
          <w:rFonts w:hint="cs"/>
          <w:rtl/>
        </w:rPr>
        <w:t>הגה: ומיהו אם דנו דיניהם דין (הגהות אשר"י ריש סנהדרין) וי"א דבשונאו ממש דהיינו שלא דבר עמו שלשה ימים מתוך איבה או אוהבו ממש דהיינו שושבינו וריעו באלו אין דיניהם דין (טור) וי"א דכל שאינו אוהבו או שונאו ממש מותר לדונו ואינו אלא מדת חסידות להחמיר שלא לדונו ולכן מותר להיות דיין כשזה בורר לו א' וזה בורר לו א' (עיין לקמן ריש </w:t>
      </w:r>
      <w:hyperlink r:id="rId280" w:tooltip="שולחן ערוך חושן משפט יג" w:history="1">
        <w:r w:rsidRPr="00171156">
          <w:rPr>
            <w:rStyle w:val="Hyperlink"/>
            <w:rFonts w:hint="cs"/>
            <w:color w:val="7030A0"/>
            <w:u w:val="none"/>
            <w:rtl/>
          </w:rPr>
          <w:t>סימן י"ג</w:t>
        </w:r>
      </w:hyperlink>
      <w:r w:rsidRPr="00171156">
        <w:rPr>
          <w:rFonts w:hint="cs"/>
        </w:rPr>
        <w:t xml:space="preserve">), </w:t>
      </w:r>
      <w:r w:rsidRPr="00171156">
        <w:rPr>
          <w:rFonts w:hint="cs"/>
          <w:rtl/>
        </w:rPr>
        <w:t>כי כל א' בורר לו אוהבו</w:t>
      </w:r>
      <w:r w:rsidRPr="00171156">
        <w:rPr>
          <w:rFonts w:hint="cs"/>
        </w:rPr>
        <w:t>.</w:t>
      </w:r>
    </w:p>
    <w:p w14:paraId="114BC4EB" w14:textId="554F35D6" w:rsidR="00171156" w:rsidRDefault="00171156" w:rsidP="00171156">
      <w:pPr>
        <w:pStyle w:val="Style1"/>
        <w:rPr>
          <w:rtl/>
        </w:rPr>
      </w:pPr>
      <w:r w:rsidRPr="00171156">
        <w:rPr>
          <w:rFonts w:hint="cs"/>
          <w:rtl/>
        </w:rPr>
        <w:t>וכ"ש שהרב יכול להיות דיין לתלמידו (מהרי"ק שורש ט"ז) ואפ' ב"ד הפסול לדון משום אהבה ושנאה יכול להושיב דיינים אחרים כשרים שידונו (פסקי מהר"י סי' רנ"ח ומהרי"ק שורש כ"א) מי שאומר על הדיין שהוא שונאו או אוהב בעל דינו אינו נאמן וצריך ראיה לדבריו (טור) המנדה חבירו משום שזלזל בכבודו יכול לדונו אח"כ מאחר שאינו שונאו וע' לקמן </w:t>
      </w:r>
      <w:hyperlink r:id="rId281" w:anchor="%D7%A1%D7%A2%D7%99%D7%A3_%D7%95" w:tooltip="שולחן ערוך חושן משפט לג" w:history="1">
        <w:r w:rsidRPr="00171156">
          <w:rPr>
            <w:rStyle w:val="Hyperlink"/>
            <w:rFonts w:hint="cs"/>
            <w:color w:val="7030A0"/>
            <w:u w:val="none"/>
            <w:rtl/>
          </w:rPr>
          <w:t>סי' ל"ג סעיף ו</w:t>
        </w:r>
        <w:r w:rsidRPr="00171156">
          <w:rPr>
            <w:rStyle w:val="Hyperlink"/>
            <w:rFonts w:hint="cs"/>
            <w:color w:val="7030A0"/>
            <w:u w:val="none"/>
          </w:rPr>
          <w:t>'</w:t>
        </w:r>
      </w:hyperlink>
      <w:r w:rsidRPr="00171156">
        <w:t>:</w:t>
      </w:r>
    </w:p>
    <w:p w14:paraId="5AD141DC" w14:textId="3DE03B50" w:rsidR="000B6B44" w:rsidRDefault="000B6B44" w:rsidP="000B6B44">
      <w:pPr>
        <w:pStyle w:val="Style1"/>
        <w:rPr>
          <w:rtl/>
        </w:rPr>
      </w:pPr>
      <w:r>
        <w:rPr>
          <w:rFonts w:hint="cs"/>
          <w:rtl/>
        </w:rPr>
        <w:t>4)[</w:t>
      </w:r>
      <w:r>
        <w:rPr>
          <w:rtl/>
        </w:rPr>
        <w:t>רמב</w:t>
      </w:r>
      <w:r w:rsidR="005258D6">
        <w:rPr>
          <w:rtl/>
        </w:rPr>
        <w:t>”</w:t>
      </w:r>
      <w:r>
        <w:rPr>
          <w:rtl/>
        </w:rPr>
        <w:t>ם</w:t>
      </w:r>
      <w:r w:rsidR="005258D6">
        <w:rPr>
          <w:rtl/>
        </w:rPr>
        <w:t xml:space="preserve">\שופטים\ </w:t>
      </w:r>
      <w:r>
        <w:rPr>
          <w:rtl/>
        </w:rPr>
        <w:t xml:space="preserve"> הלכות סנהדרין פרק כג הלכה ג</w:t>
      </w:r>
      <w:r>
        <w:rPr>
          <w:rFonts w:hint="cs"/>
          <w:rtl/>
        </w:rPr>
        <w:t xml:space="preserve">] </w:t>
      </w:r>
      <w:r>
        <w:rPr>
          <w:rtl/>
        </w:rPr>
        <w:t>כל דיין שיושב ומגדל מעלתו כדי להרבות שכר לחזניו ולסופריו הרי הוא בכלל הנוטים אחרי הבצע, וכן עשו בני שמואל ולכך נאמר להם ויטו אחרי הבצע ויקחו שחד, ולא שחד ממון בלבד אלא אפילו שחד דברים, ומעשה בדיין אחד שהיה עולה בדוגית קטנה לעבור בנהר ופשט אחד ידו וסייעו בעלייתו והיה לו דין ואמר לו הדיין הריני פסול לך לדין, ומעשה באחד שהעביר אברה נוצה של עוף מעל רדיד הדיין ואחר כסה רוק מלפני הדיין ואמר לו הריני פסול לך לדין, ומעשה באחד שהביא מתנה אחת ממתנות כהונה לדיין כהן ואמר לו פסול אני לך לדין, ומעשה באריס אחד של דיין שהיה מביא לו תאנים מתוך שדהו מערב שבת לערב שבת פעם אחת הקדים והביא בחמישי בשבת מפני שהיה לו דין ואמר לו הדיין הריני פסול לך לדין אף על פי שהתאנים משל דיין הואיל והביאן שלא בזמנם נפסל לו לדין.</w:t>
      </w:r>
    </w:p>
    <w:p w14:paraId="733239E6" w14:textId="46E99720" w:rsidR="007C2E6A" w:rsidRDefault="007C2E6A" w:rsidP="007C2E6A">
      <w:pPr>
        <w:pStyle w:val="Style1"/>
      </w:pPr>
      <w:r>
        <w:rPr>
          <w:rFonts w:hint="cs"/>
          <w:rtl/>
        </w:rPr>
        <w:t>5)[</w:t>
      </w:r>
      <w:r>
        <w:rPr>
          <w:rtl/>
        </w:rPr>
        <w:t>שולחן ערוך חושן משפט הלכות דיינים סימן ז סעיף ז</w:t>
      </w:r>
      <w:r>
        <w:rPr>
          <w:rFonts w:hint="cs"/>
          <w:rtl/>
        </w:rPr>
        <w:t>]</w:t>
      </w:r>
    </w:p>
    <w:p w14:paraId="00AB448D" w14:textId="266F6940" w:rsidR="00D80BF2" w:rsidRDefault="00D80BF2" w:rsidP="00D80BF2">
      <w:pPr>
        <w:pStyle w:val="Style1"/>
        <w:rPr>
          <w:rtl/>
        </w:rPr>
      </w:pPr>
    </w:p>
    <w:p w14:paraId="774F6071" w14:textId="77777777" w:rsidR="000C5939" w:rsidRDefault="000C5939" w:rsidP="000C5939">
      <w:pPr>
        <w:rPr>
          <w:rStyle w:val="Style1Char"/>
          <w:color w:val="00B050"/>
          <w:rtl/>
        </w:rPr>
      </w:pPr>
      <w:r>
        <w:rPr>
          <w:rStyle w:val="Style1Char"/>
          <w:color w:val="00B050"/>
          <w:rtl/>
        </w:rPr>
        <w:br w:type="page"/>
      </w:r>
    </w:p>
    <w:p w14:paraId="3B33C896" w14:textId="4C625235" w:rsidR="000C5939" w:rsidRDefault="000C5939" w:rsidP="000C5939">
      <w:pPr>
        <w:bidi/>
        <w:rPr>
          <w:rStyle w:val="Style1Char"/>
          <w:color w:val="00B050"/>
          <w:rtl/>
        </w:rPr>
      </w:pPr>
      <w:r w:rsidRPr="001C3C1D">
        <w:rPr>
          <w:rStyle w:val="Style1Char"/>
          <w:color w:val="00B050"/>
          <w:rtl/>
        </w:rPr>
        <w:lastRenderedPageBreak/>
        <w:t xml:space="preserve"> </w:t>
      </w:r>
      <w:r w:rsidRPr="001C3C1D">
        <w:rPr>
          <w:rStyle w:val="Style1Char"/>
          <w:color w:val="00B050"/>
          <w:sz w:val="22"/>
          <w:szCs w:val="22"/>
          <w:highlight w:val="yellow"/>
          <w:rtl/>
        </w:rPr>
        <w:t>[דף קו עמוד א]</w:t>
      </w:r>
      <w:r w:rsidRPr="001C3C1D">
        <w:rPr>
          <w:rStyle w:val="Style1Char"/>
          <w:color w:val="00B050"/>
          <w:sz w:val="22"/>
          <w:szCs w:val="22"/>
          <w:rtl/>
        </w:rPr>
        <w:t xml:space="preserve"> </w:t>
      </w:r>
      <w:r w:rsidRPr="001C3C1D">
        <w:rPr>
          <w:rStyle w:val="Style1Char"/>
          <w:color w:val="00B050"/>
          <w:rtl/>
        </w:rPr>
        <w:t xml:space="preserve">האי עשה והאי עשה, </w:t>
      </w:r>
      <w:r w:rsidR="00825733">
        <w:rPr>
          <w:rStyle w:val="Style1Char"/>
          <w:rFonts w:hint="cs"/>
          <w:rtl/>
        </w:rPr>
        <w:t>(1)</w:t>
      </w:r>
      <w:r w:rsidRPr="001C3C1D">
        <w:rPr>
          <w:rStyle w:val="Style1Char"/>
          <w:color w:val="00B050"/>
          <w:rtl/>
        </w:rPr>
        <w:t xml:space="preserve">עשה דכבוד תורה עדיף, סלקיה לדינא דיתמי ואחתיה לדיניה. כיון דחזא בעל דיניה יקרא דקא עביד ליה, איסתתם טענתיה. רב ענן, הוה רגיל אליהו דאתי גביה, דהוה מתני ליה סדר דאליהו, כיון דעבד הכי איסתלק. יתיב בתעניתא ובעא רחמי ואתא. כי אתא הוה מבעית ליה בעותי, ועבד תיבותא ויתיב קמיה, עד דאפיק ליה סידריה. והיינו דאמרי: סדר דאליהו רבה, סדר אליהו זוטא. בשני דרב יוסף הוה ריתחא, אמרי ליה רבנן לרב יוסף: ליבעי מר רחמי, אמר להו: השתא ומה אלישע, דכי הוו רבנן מיפטרי מקמיה הוו פיישי תרי אלפן ומאתן רבנן, בעידן ריתחא לא הוה בעי רחמי, אנא איבעי רחמי? וממאי דפיישי הכי? דכתיב: ויאמר משרתו מה אתן זה לפני מאה איש, מאי לפני מאה איש? אילימא דכולהו לפני מאה איש, בשני בצורת טובא הוו! אלא, דכל חד וחד קמי מאה איש. כי הוו מיפטרי רבנן מבי רב - הוו פיישי אלפא ומאתן רבנן, מבי רב הונא - הוו פיישי תמני מאה רבנן. רב הונא הוה דריש בתליסר אמוראי. כי הוו קיימי רבנן ממתיבתא דרב הונא ונפצי גלימייהו, הוה סליק אבקא וכסי ליה ליומא, ואמרי במערבא: קמו ליה ממתיבתא דרב הונא בבלאה. כי מיפטרי רבנן מבי רבה ורב יוסף - הוו פיישי ארבע מאה רבנן, וקרו לנפשייהו יתמי. כי הוו מיפטרי רבנן מבי אביי, ואמרי לה מבי רב פפא, ואמרי לה מבי רב אשי - הוו פיישי מאתן רבנן וקרו נפשייהו יתמי דיתמי. א"ר יצחק בר רדיפא א"ר אמי: </w:t>
      </w:r>
      <w:r w:rsidR="00FA6810">
        <w:rPr>
          <w:rStyle w:val="Style1Char"/>
          <w:rFonts w:hint="cs"/>
          <w:rtl/>
        </w:rPr>
        <w:t>(2)</w:t>
      </w:r>
      <w:r w:rsidRPr="001C3C1D">
        <w:rPr>
          <w:rStyle w:val="Style1Char"/>
          <w:color w:val="00B050"/>
          <w:rtl/>
        </w:rPr>
        <w:t xml:space="preserve">מבקרי מומין שבירושלים, היו נוטלין שכרן מתרומת הלשכה. אמר רב יהודה אמר שמואל: </w:t>
      </w:r>
      <w:r w:rsidR="00151EE3">
        <w:rPr>
          <w:rStyle w:val="Style1Char"/>
          <w:rFonts w:hint="cs"/>
          <w:rtl/>
        </w:rPr>
        <w:t>(2)</w:t>
      </w:r>
      <w:r w:rsidRPr="001C3C1D">
        <w:rPr>
          <w:rStyle w:val="Style1Char"/>
          <w:color w:val="00B050"/>
          <w:rtl/>
        </w:rPr>
        <w:t xml:space="preserve">ת"ח המלמדין הלכות שחיטה לכהנים, היו נוטלין שכרן מתרומת הלשכה. אמר רב גידל אמר רב: </w:t>
      </w:r>
      <w:r w:rsidR="00151EE3">
        <w:rPr>
          <w:rStyle w:val="Style1Char"/>
          <w:rFonts w:hint="cs"/>
          <w:rtl/>
        </w:rPr>
        <w:t>(2)</w:t>
      </w:r>
      <w:r w:rsidRPr="001C3C1D">
        <w:rPr>
          <w:rStyle w:val="Style1Char"/>
          <w:color w:val="00B050"/>
          <w:rtl/>
        </w:rPr>
        <w:t xml:space="preserve">ת"ח המלמדים הלכות קמיצה לכהנים, נוטלין שכרן מתרומת הלשכה. אמר רבה בר בר חנה אמר ר' יוחנן: </w:t>
      </w:r>
      <w:r w:rsidR="008C1707">
        <w:rPr>
          <w:rStyle w:val="Style1Char"/>
          <w:rFonts w:hint="cs"/>
          <w:rtl/>
        </w:rPr>
        <w:t>(3)</w:t>
      </w:r>
      <w:r w:rsidRPr="001C3C1D">
        <w:rPr>
          <w:rStyle w:val="Style1Char"/>
          <w:color w:val="00B050"/>
          <w:rtl/>
        </w:rPr>
        <w:t xml:space="preserve">מגיהי ספרים שבירושלים, היו נוטלין שכרן מתרומת הלשכה. אמר רב נחמן אמר רב: נשים האורגות בפרכות, נוטלות שכרן מתרומת הלשכה, </w:t>
      </w:r>
      <w:r w:rsidR="00BE6443">
        <w:rPr>
          <w:rStyle w:val="Style1Char"/>
          <w:rFonts w:hint="cs"/>
          <w:rtl/>
        </w:rPr>
        <w:t>(4)</w:t>
      </w:r>
      <w:r w:rsidRPr="001C3C1D">
        <w:rPr>
          <w:rStyle w:val="Style1Char"/>
          <w:color w:val="00B050"/>
          <w:rtl/>
        </w:rPr>
        <w:t xml:space="preserve">ואני אומר: מקדשי בדק הבית, הואיל ופרכות תחת בנין עשויות. מיתיבי: נשים האורגות בפרכות, ובית גרמו על מעשה לחם הפנים, ובית אבטינס על מעשה הקטרת, כולן היו נוטלות שכרן מתרומת הלשכה! </w:t>
      </w:r>
      <w:r w:rsidR="005F6298">
        <w:rPr>
          <w:rStyle w:val="Style1Char"/>
          <w:rFonts w:hint="cs"/>
          <w:rtl/>
        </w:rPr>
        <w:t>(4)</w:t>
      </w:r>
      <w:r w:rsidRPr="001C3C1D">
        <w:rPr>
          <w:rStyle w:val="Style1Char"/>
          <w:color w:val="00B050"/>
          <w:rtl/>
        </w:rPr>
        <w:t xml:space="preserve">התם בדבבי, דאמר רבי זירא אמר רב, שלשה עשר פרכות היו במקדש שני: שבעה כנגד שבעה שערים, אחד לפתחו של היכל, ואחד לפתחו של אולם, ב' בדביר, ב' כנגדן בעליה. ת"ר: </w:t>
      </w:r>
      <w:r w:rsidR="009934EA">
        <w:rPr>
          <w:rStyle w:val="Style1Char"/>
          <w:rFonts w:hint="cs"/>
          <w:rtl/>
        </w:rPr>
        <w:t>(2)</w:t>
      </w:r>
      <w:r w:rsidRPr="001C3C1D">
        <w:rPr>
          <w:rStyle w:val="Style1Char"/>
          <w:color w:val="00B050"/>
          <w:rtl/>
        </w:rPr>
        <w:t xml:space="preserve">נשים המגדלות בניהן לפרה, היו נוטלות שכרן מתרומת הלשכה; אבא שאול אומר: נשים יקרות שבירושלים היו זנות אותן ומפרנסות אותן. בעא מיניה רב הונא מרב: </w:t>
      </w:r>
    </w:p>
    <w:p w14:paraId="5431E450" w14:textId="4A3A2DB5" w:rsidR="00825733" w:rsidRDefault="00825733" w:rsidP="00825733">
      <w:pPr>
        <w:pStyle w:val="Style1"/>
        <w:rPr>
          <w:rStyle w:val="Style1Char"/>
          <w:rtl/>
        </w:rPr>
      </w:pPr>
      <w:r>
        <w:rPr>
          <w:rStyle w:val="Style1Char"/>
          <w:rFonts w:hint="cs"/>
          <w:rtl/>
        </w:rPr>
        <w:t>1)[</w:t>
      </w:r>
      <w:r w:rsidRPr="00825733">
        <w:rPr>
          <w:rStyle w:val="Style1Char"/>
          <w:rtl/>
        </w:rPr>
        <w:t>רמב</w:t>
      </w:r>
      <w:r w:rsidR="005258D6">
        <w:rPr>
          <w:rStyle w:val="Style1Char"/>
          <w:rtl/>
        </w:rPr>
        <w:t>”</w:t>
      </w:r>
      <w:r w:rsidRPr="00825733">
        <w:rPr>
          <w:rStyle w:val="Style1Char"/>
          <w:rtl/>
        </w:rPr>
        <w:t>ם</w:t>
      </w:r>
      <w:r w:rsidR="005258D6">
        <w:rPr>
          <w:rStyle w:val="Style1Char"/>
          <w:rtl/>
        </w:rPr>
        <w:t xml:space="preserve">\שופטים\ </w:t>
      </w:r>
      <w:r w:rsidRPr="00825733">
        <w:rPr>
          <w:rStyle w:val="Style1Char"/>
          <w:rtl/>
        </w:rPr>
        <w:t xml:space="preserve"> הלכות סנהדרין פרק כא הלכה ו</w:t>
      </w:r>
      <w:r>
        <w:rPr>
          <w:rStyle w:val="Style1Char"/>
          <w:rFonts w:hint="cs"/>
          <w:rtl/>
        </w:rPr>
        <w:t xml:space="preserve">] </w:t>
      </w:r>
      <w:r w:rsidRPr="00825733">
        <w:rPr>
          <w:rStyle w:val="Style1Char"/>
          <w:rtl/>
        </w:rPr>
        <w:t>היו לפני הדיינים בעלי דין הרבה מקדימין את דין היתום לדין האלמנה שנאמר שפטו יתום ריבו אלמנה, ודין אלמנה קודם לדין תלמיד חכם, ודין תלמיד חכם קודם לדין עם הארץ, ודין האשה קודם לדין האיש שבשת האשה מרובה.</w:t>
      </w:r>
    </w:p>
    <w:p w14:paraId="38134795" w14:textId="1462A663" w:rsidR="00285617" w:rsidRDefault="00285617" w:rsidP="00285617">
      <w:pPr>
        <w:pStyle w:val="Style1"/>
        <w:rPr>
          <w:rStyle w:val="Style1Char"/>
          <w:rtl/>
        </w:rPr>
      </w:pPr>
      <w:r>
        <w:rPr>
          <w:rStyle w:val="Style1Char"/>
          <w:rFonts w:hint="cs"/>
          <w:rtl/>
        </w:rPr>
        <w:t>1)[</w:t>
      </w:r>
      <w:r w:rsidRPr="00285617">
        <w:rPr>
          <w:rStyle w:val="Style1Char"/>
          <w:rtl/>
        </w:rPr>
        <w:t>רמב</w:t>
      </w:r>
      <w:r w:rsidR="0057095E">
        <w:rPr>
          <w:rStyle w:val="Style1Char"/>
          <w:rtl/>
        </w:rPr>
        <w:t>”ם \מדע\</w:t>
      </w:r>
      <w:r w:rsidRPr="00285617">
        <w:rPr>
          <w:rStyle w:val="Style1Char"/>
          <w:rtl/>
        </w:rPr>
        <w:t xml:space="preserve"> הלכות תלמוד תורה פרק ו הלכה י</w:t>
      </w:r>
      <w:r>
        <w:rPr>
          <w:rStyle w:val="Style1Char"/>
          <w:rFonts w:hint="cs"/>
          <w:rtl/>
        </w:rPr>
        <w:t xml:space="preserve">] </w:t>
      </w:r>
      <w:r w:rsidRPr="00285617">
        <w:rPr>
          <w:rStyle w:val="Style1Char"/>
          <w:rtl/>
        </w:rPr>
        <w:t>תלמידי חכמים אינם יוצאין בעצמן לעשות עם כל הקהל בבנין וחפירה של מדינה וכיוצא בהן כדי שלא יתבזו בפני עמי הארץ, ואין גובין מהן לבנין החומה ותיקון השערים ושכר השומרים וכיוצא בהן ולא לתשורת המלך, ואין מחייבים אותן ליתן המס בין מס שהוא קצוב על בני העיר בין מס שהוא קצוב על כל איש ואיש שנאמר גם כי יתנו בגוים עתה אקבצם ויחלו מעט ממשא מלך ושרים, וכן אם היתה סחורה לתלמיד חכם מניחים אותו למכור תחלה ואין מניחים אחד מבני השוק למכור עד שימכור הוא, וכן אם היה לו דין והיה עומד בכלל בעלי דינים הרבה מקדימין אותו ומושיבין אותו.</w:t>
      </w:r>
    </w:p>
    <w:p w14:paraId="41BFCCEF" w14:textId="77777777" w:rsidR="003B57F8" w:rsidRPr="003B57F8" w:rsidRDefault="00BD0DB8" w:rsidP="003B57F8">
      <w:pPr>
        <w:pStyle w:val="Style1"/>
      </w:pPr>
      <w:r>
        <w:rPr>
          <w:rStyle w:val="Style1Char"/>
          <w:rFonts w:hint="cs"/>
          <w:rtl/>
        </w:rPr>
        <w:t>1)[</w:t>
      </w:r>
      <w:r w:rsidRPr="00BD0DB8">
        <w:rPr>
          <w:rStyle w:val="Style1Char"/>
          <w:rtl/>
        </w:rPr>
        <w:t>שולחן ערוך חושן משפט הלכות דיינים סימן טו סעיף א</w:t>
      </w:r>
      <w:r>
        <w:rPr>
          <w:rStyle w:val="Style1Char"/>
          <w:rFonts w:hint="cs"/>
          <w:rtl/>
        </w:rPr>
        <w:t>]</w:t>
      </w:r>
      <w:r w:rsidR="003B57F8">
        <w:rPr>
          <w:rStyle w:val="Style1Char"/>
          <w:rFonts w:hint="cs"/>
          <w:rtl/>
        </w:rPr>
        <w:t xml:space="preserve"> </w:t>
      </w:r>
      <w:r w:rsidR="003B57F8" w:rsidRPr="003B57F8">
        <w:rPr>
          <w:rtl/>
        </w:rPr>
        <w:t>צריך הדיין שיקדים לדון הדין שבא לפניו תחלה אבל צריך להקדים דין של תלמיד חכם אפילו בא לבסוף וכן מצוה עליו להפך בזכותו מה שיכול</w:t>
      </w:r>
      <w:r w:rsidR="003B57F8" w:rsidRPr="003B57F8">
        <w:t>:</w:t>
      </w:r>
    </w:p>
    <w:p w14:paraId="7625B37B" w14:textId="0D56C47D" w:rsidR="003B57F8" w:rsidRDefault="003B57F8" w:rsidP="003B57F8">
      <w:pPr>
        <w:pStyle w:val="Style1"/>
        <w:rPr>
          <w:rFonts w:eastAsia="Times New Roman"/>
          <w:rtl/>
        </w:rPr>
      </w:pPr>
      <w:r w:rsidRPr="003B57F8">
        <w:rPr>
          <w:rFonts w:hint="cs"/>
          <w:rtl/>
        </w:rPr>
        <w:t>הגה: ואם התלמיד חכם בעצמו לפני הדיינים אפי' פתחו כבר בדין אחר דנין אותו תחלה שלא יתבטל מלמודו אבל אם קרובו בא לדין אם פתחו בדין אחר אין צריכין לפסוק ואם לאו צריכין לדון אותו תחלה משום כבוד החכם (ב"י בשם הריטב"א)</w:t>
      </w:r>
      <w:r w:rsidRPr="003B57F8">
        <w:rPr>
          <w:rFonts w:eastAsia="Times New Roman"/>
        </w:rPr>
        <w:t>:</w:t>
      </w:r>
    </w:p>
    <w:p w14:paraId="746F20D4" w14:textId="41ACA491" w:rsidR="008A008F" w:rsidRDefault="008A008F" w:rsidP="008A008F">
      <w:pPr>
        <w:pStyle w:val="Style1"/>
        <w:rPr>
          <w:rtl/>
        </w:rPr>
      </w:pPr>
      <w:r>
        <w:rPr>
          <w:rFonts w:eastAsia="Times New Roman" w:hint="cs"/>
          <w:rtl/>
        </w:rPr>
        <w:t>1)[</w:t>
      </w:r>
      <w:r w:rsidRPr="008A008F">
        <w:rPr>
          <w:rFonts w:eastAsia="Times New Roman"/>
          <w:rtl/>
        </w:rPr>
        <w:t>שולחן ערוך חושן משפט הלכות דיינים סימן טו סעיף ב</w:t>
      </w:r>
      <w:r>
        <w:rPr>
          <w:rFonts w:eastAsia="Times New Roman" w:hint="cs"/>
          <w:rtl/>
        </w:rPr>
        <w:t>]</w:t>
      </w:r>
      <w:r w:rsidR="00295C9E">
        <w:rPr>
          <w:rFonts w:eastAsia="Times New Roman" w:hint="cs"/>
          <w:rtl/>
        </w:rPr>
        <w:t xml:space="preserve"> </w:t>
      </w:r>
      <w:r w:rsidR="00295C9E" w:rsidRPr="00295C9E">
        <w:rPr>
          <w:rtl/>
        </w:rPr>
        <w:t>היו לפניו דינים הרבה מקדימין דין היתום לדין האלמנה ודין האלמנה קודם לדין תלמיד חכם ודין תלמיד חכם קודם לדין עם הארץ ודין האשה קודם לדין האיש</w:t>
      </w:r>
      <w:r w:rsidR="00295C9E" w:rsidRPr="00295C9E">
        <w:t>:</w:t>
      </w:r>
    </w:p>
    <w:p w14:paraId="17323568" w14:textId="66D3CBF4" w:rsidR="001D7D72" w:rsidRDefault="001D7D72" w:rsidP="001D7D72">
      <w:pPr>
        <w:pStyle w:val="Style1"/>
        <w:rPr>
          <w:rtl/>
        </w:rPr>
      </w:pPr>
      <w:r>
        <w:rPr>
          <w:rFonts w:hint="cs"/>
          <w:rtl/>
        </w:rPr>
        <w:t>2)[</w:t>
      </w:r>
      <w:r>
        <w:rPr>
          <w:rtl/>
        </w:rPr>
        <w:t>רמב</w:t>
      </w:r>
      <w:r w:rsidR="0080135A">
        <w:rPr>
          <w:rtl/>
        </w:rPr>
        <w:t>”ם \זמנים\</w:t>
      </w:r>
      <w:r>
        <w:rPr>
          <w:rtl/>
        </w:rPr>
        <w:t xml:space="preserve"> הלכות שקלים פרק ד הלכה ד</w:t>
      </w:r>
      <w:r>
        <w:rPr>
          <w:rFonts w:hint="cs"/>
          <w:rtl/>
        </w:rPr>
        <w:t xml:space="preserve">] </w:t>
      </w:r>
      <w:r>
        <w:rPr>
          <w:rtl/>
        </w:rPr>
        <w:t>גר שמת והניח זבחים אם יש לו נסכים קרבין משלו ואם לאו באין מתרומת הלשכה, כהן גדול שמת ולא מנו אחר תחתיו מקריבין את החבתין מתרומת הלשכה. מבקרי מומים שבירושלם ותלמידי חכמים המלמדים הלכות שחיטה לכהנים והמלמדים להם הלכות קמיצה ונשים המגדלות בניהן לפרה אדומה כולן נוטלין שכרן מתרומת הלשכה, וכמה הוא שכרן כמו שיפסקו להן בית דין.</w:t>
      </w:r>
    </w:p>
    <w:p w14:paraId="0D5F4B8C" w14:textId="610EF8CF" w:rsidR="00607D19" w:rsidRDefault="00607D19" w:rsidP="00607D19">
      <w:pPr>
        <w:pStyle w:val="Style1"/>
        <w:rPr>
          <w:rtl/>
        </w:rPr>
      </w:pPr>
      <w:r>
        <w:rPr>
          <w:rFonts w:hint="cs"/>
          <w:rtl/>
        </w:rPr>
        <w:t>3)[</w:t>
      </w:r>
      <w:r>
        <w:rPr>
          <w:rtl/>
        </w:rPr>
        <w:t>רמב</w:t>
      </w:r>
      <w:r w:rsidR="0080135A">
        <w:rPr>
          <w:rtl/>
        </w:rPr>
        <w:t>”ם \זמנים\</w:t>
      </w:r>
      <w:r>
        <w:rPr>
          <w:rtl/>
        </w:rPr>
        <w:t xml:space="preserve"> הלכות שקלים פרק ד הלכה ז</w:t>
      </w:r>
      <w:r>
        <w:rPr>
          <w:rFonts w:hint="cs"/>
          <w:rtl/>
        </w:rPr>
        <w:t xml:space="preserve">] </w:t>
      </w:r>
      <w:r>
        <w:rPr>
          <w:rtl/>
        </w:rPr>
        <w:t>מגיהי ספרים שבירושלם נוטלין שכרן מתרומת הלשכה, דיינין שדנין את הגזלנין בירושלם נוטלין שכרן מתרומת הלשכה, וכמה היו נוטלים תשעים מנה בכל שנה ואם לא הספיקו להן מוסיפין להן, אף על פי שלא רצו מוסיפין להן כדי צרכן והם ונשיהם ובניהם ובני ביתן.</w:t>
      </w:r>
    </w:p>
    <w:p w14:paraId="598B7854" w14:textId="4A3586AC" w:rsidR="007D5C2E" w:rsidRDefault="007D5C2E" w:rsidP="007D5C2E">
      <w:pPr>
        <w:pStyle w:val="Style1"/>
        <w:rPr>
          <w:rtl/>
        </w:rPr>
      </w:pPr>
      <w:r>
        <w:rPr>
          <w:rFonts w:hint="cs"/>
          <w:rtl/>
        </w:rPr>
        <w:t>4)[</w:t>
      </w:r>
      <w:r>
        <w:rPr>
          <w:rtl/>
        </w:rPr>
        <w:t>רמב</w:t>
      </w:r>
      <w:r w:rsidR="0080135A">
        <w:rPr>
          <w:rtl/>
        </w:rPr>
        <w:t>”ם \זמנים\</w:t>
      </w:r>
      <w:r>
        <w:rPr>
          <w:rtl/>
        </w:rPr>
        <w:t xml:space="preserve"> הלכות שקלים פרק ד הלכה א</w:t>
      </w:r>
      <w:r>
        <w:rPr>
          <w:rFonts w:hint="cs"/>
          <w:rtl/>
        </w:rPr>
        <w:t xml:space="preserve">] </w:t>
      </w:r>
      <w:r>
        <w:rPr>
          <w:rtl/>
        </w:rPr>
        <w:t>תרומת הלשכה מה יעשה בה, לוקחין ממנה תמידין של כל יום והמוספין וכל קרבנות הצבור ונסכיהם והמלח שמולחין בו כל הקרבנות, וכן העצים אם לא הביאו עצים ולא מצאו אלא בדמים, והקטרת ושכר עושיה, ולחם הפנים ושכר עושה לחם הפנים, והעומר ושתי הלחם ופרה אדומה ושעיר המשתלח ולשון של זהורית שקושרין בין קרניו כל אלו באין מתרומת הלשכה.</w:t>
      </w:r>
    </w:p>
    <w:p w14:paraId="4E6083B9" w14:textId="744609CC" w:rsidR="00687E16" w:rsidRPr="00295C9E" w:rsidRDefault="00687E16" w:rsidP="00687E16">
      <w:pPr>
        <w:pStyle w:val="Style1"/>
      </w:pPr>
      <w:r>
        <w:rPr>
          <w:rFonts w:hint="cs"/>
          <w:rtl/>
        </w:rPr>
        <w:t>4)[</w:t>
      </w:r>
      <w:r>
        <w:rPr>
          <w:rtl/>
        </w:rPr>
        <w:t>רמב</w:t>
      </w:r>
      <w:r w:rsidR="0080135A">
        <w:rPr>
          <w:rtl/>
        </w:rPr>
        <w:t>”ם \זמנים\</w:t>
      </w:r>
      <w:r>
        <w:rPr>
          <w:rtl/>
        </w:rPr>
        <w:t xml:space="preserve"> הלכות שקלים פרק ד הלכה ב</w:t>
      </w:r>
      <w:r>
        <w:rPr>
          <w:rFonts w:hint="cs"/>
          <w:rtl/>
        </w:rPr>
        <w:t xml:space="preserve">] </w:t>
      </w:r>
      <w:r>
        <w:rPr>
          <w:rtl/>
        </w:rPr>
        <w:t>אבל פר העלם דבר של צבור ושעירי ע"ז בתחלה גובין להן ואינן באין מתרומת הלשכה, פרוכות של היכל תחת בנין עשויות ואינן באין מתרומת הלשכה אלא מקדשי בדק הבית, אבל פרוכות של שערים באין מתרומת הלשכה, המנורה וכלי שרת מצותן שיבואו ממותר הנסכים, ובהלכות כלי המקדש והעובדים בו יתבאר מה הוא מותר הנסכים, ואם לא היה להן מותר נסכים יבואו מתרומת הלשכה, בגדי כהונה בין בגדי כהן גדול בין שאר בגדי כל הכהנים שעובדין בהן במקדש הכל מתרומת הלשכה.</w:t>
      </w:r>
    </w:p>
    <w:p w14:paraId="54BCAEF3" w14:textId="7451B447" w:rsidR="008A008F" w:rsidRPr="003B57F8" w:rsidRDefault="008A008F" w:rsidP="008A008F">
      <w:pPr>
        <w:pStyle w:val="Style1"/>
        <w:rPr>
          <w:rFonts w:eastAsia="Times New Roman"/>
        </w:rPr>
      </w:pPr>
    </w:p>
    <w:p w14:paraId="71AD0BC9" w14:textId="1F635A8A" w:rsidR="00BD0DB8" w:rsidRPr="003B57F8" w:rsidRDefault="00BD0DB8" w:rsidP="00BD0DB8">
      <w:pPr>
        <w:pStyle w:val="Style1"/>
        <w:rPr>
          <w:rStyle w:val="Style1Char"/>
        </w:rPr>
      </w:pPr>
    </w:p>
    <w:p w14:paraId="68DBA13E" w14:textId="12C736F7" w:rsidR="00BD0DB8" w:rsidRPr="00825733" w:rsidRDefault="00BD0DB8" w:rsidP="00BD0DB8">
      <w:pPr>
        <w:pStyle w:val="Style1"/>
        <w:rPr>
          <w:rStyle w:val="Style1Char"/>
          <w:rtl/>
        </w:rPr>
      </w:pPr>
    </w:p>
    <w:p w14:paraId="4CA2EDF2" w14:textId="77777777" w:rsidR="000C5939" w:rsidRDefault="000C5939" w:rsidP="000C5939">
      <w:pPr>
        <w:rPr>
          <w:rStyle w:val="Style1Char"/>
          <w:color w:val="00B050"/>
          <w:rtl/>
        </w:rPr>
      </w:pPr>
      <w:r>
        <w:rPr>
          <w:rStyle w:val="Style1Char"/>
          <w:color w:val="00B050"/>
          <w:rtl/>
        </w:rPr>
        <w:br w:type="page"/>
      </w:r>
    </w:p>
    <w:p w14:paraId="218F3362" w14:textId="0FE9F240" w:rsidR="000C5939" w:rsidRPr="001C3C1D" w:rsidRDefault="000C5939" w:rsidP="000C5939">
      <w:pPr>
        <w:bidi/>
        <w:rPr>
          <w:rStyle w:val="Style1Char"/>
          <w:color w:val="00B050"/>
        </w:rPr>
      </w:pPr>
      <w:r w:rsidRPr="001C3C1D">
        <w:rPr>
          <w:rStyle w:val="Style1Char"/>
          <w:color w:val="00B050"/>
          <w:sz w:val="22"/>
          <w:szCs w:val="22"/>
          <w:highlight w:val="yellow"/>
          <w:rtl/>
        </w:rPr>
        <w:lastRenderedPageBreak/>
        <w:t>[דף קו עמוד ב]</w:t>
      </w:r>
      <w:r w:rsidRPr="001C3C1D">
        <w:rPr>
          <w:rStyle w:val="Style1Char"/>
          <w:color w:val="00B050"/>
          <w:sz w:val="22"/>
          <w:szCs w:val="22"/>
          <w:rtl/>
        </w:rPr>
        <w:t xml:space="preserve"> </w:t>
      </w:r>
      <w:r w:rsidRPr="001C3C1D">
        <w:rPr>
          <w:rStyle w:val="Style1Char"/>
          <w:color w:val="00B050"/>
          <w:rtl/>
        </w:rPr>
        <w:t xml:space="preserve">כלי שרת, מהו שיעשו מקדשי בדק הבית? צורך מזבח נינהו, ומקדשי בדק הבית אתו, או צורך קרבן נינהו, ומתרומת הלשכה היו עושין אותן? א"ל: אין נעשין אלא מתרומת הלשכה. איתיביה: וככלותם הביאו לפני המלך ויהוידע (הכהן) את שאר הכסף ויעשהו כלים לבית ה' כלי שרת וגו'! א"ל, דאקרייך כתובי לא אקרייך נביאי: אך לא יעשה בית ה' ספות וגו' כי לעושי המלאכה יתנוהו. אי הכי, קשו קראי אהדדי! לא קשיא: כאן שגבו והותירו, כאן שגבו ולא הותירו. וכי גבו והותירו מאי הוי? א"ר אבהו: לב ב"ד מתנה עליהן, אם הוצרכו - הוצרכו, ואם לאו - יהו לכלי שרת. תנא דבי רבי ישמעאל: כלי שרת באין מתרומת הלשכה, שנאמר: את שאר הכסף, איזהו כסף שיש לו שיריים? הוי אומר: זה תרומת הלשכה. ואימא: שיריים גופייהו! כדאמר רבא: העולה - עולה ראשונה, ה"נ הכסף - כסף ראשון. מיתיבי: </w:t>
      </w:r>
      <w:r w:rsidR="004E64DE">
        <w:rPr>
          <w:rStyle w:val="Style1Char"/>
          <w:rFonts w:hint="cs"/>
          <w:rtl/>
        </w:rPr>
        <w:t>(1)</w:t>
      </w:r>
      <w:r w:rsidRPr="001C3C1D">
        <w:rPr>
          <w:rStyle w:val="Style1Char"/>
          <w:color w:val="00B050"/>
          <w:rtl/>
        </w:rPr>
        <w:t xml:space="preserve">הקטורת וכל קרבנות צבור - באין מתרומת הלשכה, מזבח הזהב ולבונה וכלי שרת - באין ממותר נסכים - מזבח העולה הלשכות והעזרות - באין מקדשי בדק הבית, חוץ לחומת העזרה - באין משירי הלשכות, זו היא ששנינו: חומת העיר ומגדלותיה וכל צרכי העיר - באין משירי הלשכה! תנאי היא; דתנן: מותר תרומה מה היו עושין בה? ריקועי זהב ציפוי לבית קדשי הקדשים; ר' ישמעאל אומר: מותר פירות - לקיץ המזבח, מותר תרומה - לכלי שרת; ר"ע אומר: </w:t>
      </w:r>
      <w:r w:rsidR="007858E0">
        <w:rPr>
          <w:rStyle w:val="Style1Char"/>
          <w:rFonts w:hint="cs"/>
          <w:rtl/>
        </w:rPr>
        <w:t>(2)</w:t>
      </w:r>
      <w:r w:rsidRPr="001C3C1D">
        <w:rPr>
          <w:rStyle w:val="Style1Char"/>
          <w:color w:val="00B050"/>
          <w:rtl/>
        </w:rPr>
        <w:t xml:space="preserve">מותר תרומה - לקיץ המזבח, מותר נסכים - לכלי שרת; רבי חנינא סגן הכהנים אומר: מותר נסכים - לקיץ המזבח, מותר תרומה - לכלי שרת; וזה וזה לא היו מודים בפירות. פירות מאי היא? דתניא: מותר תרומה מה היו עושין בה? לוקחין פירות בזול ומוכרין אותם ביוקר, והשכר מקיצין בו את המזבח, וזו היא ששנינו: מותר פירות - לקיץ המזבח. מאי זה וזה לא היו מודין בפירות? דתנן: מותר שירי לשכה מה היו עושין בהן? לוקחין בהן יינות שמנים וסלתות, והשכר להקדש, דברי ר' ישמעאל; רבי עקיבא אומר: אין משתכרין בשל הקדש, אף לא בשל עניים. בשל הקדש מאי טעמא לא? אין עניות במקום עשירות. בשל עניים מאי טעמא לא? דלמא מתרמי להו עניא, וליכא למיתבא ליה. </w:t>
      </w:r>
    </w:p>
    <w:p w14:paraId="0DB3019C" w14:textId="441B1F9A" w:rsidR="000C5939" w:rsidRDefault="000C5939" w:rsidP="000C5939">
      <w:pPr>
        <w:bidi/>
        <w:rPr>
          <w:rStyle w:val="Style1Char"/>
          <w:color w:val="auto"/>
          <w:sz w:val="22"/>
          <w:szCs w:val="22"/>
          <w:rtl/>
        </w:rPr>
      </w:pPr>
      <w:r w:rsidRPr="00E9032B">
        <w:rPr>
          <w:rStyle w:val="Style1Char"/>
          <w:color w:val="auto"/>
          <w:sz w:val="22"/>
          <w:szCs w:val="22"/>
          <w:rtl/>
        </w:rPr>
        <w:t xml:space="preserve">מי שהלך למדינת הים. איתמר, רב אמר: </w:t>
      </w:r>
    </w:p>
    <w:p w14:paraId="5F983A00" w14:textId="27C5261E" w:rsidR="009E0447" w:rsidRDefault="009E0447" w:rsidP="009E0447">
      <w:pPr>
        <w:pStyle w:val="Style1"/>
        <w:rPr>
          <w:rStyle w:val="Style1Char"/>
          <w:rtl/>
        </w:rPr>
      </w:pPr>
      <w:r>
        <w:rPr>
          <w:rStyle w:val="Style1Char"/>
          <w:rFonts w:hint="cs"/>
          <w:rtl/>
        </w:rPr>
        <w:t>1)[</w:t>
      </w:r>
      <w:r w:rsidRPr="009E0447">
        <w:rPr>
          <w:rStyle w:val="Style1Char"/>
          <w:rtl/>
        </w:rPr>
        <w:t>רמב</w:t>
      </w:r>
      <w:r w:rsidR="0080135A">
        <w:rPr>
          <w:rStyle w:val="Style1Char"/>
          <w:rtl/>
        </w:rPr>
        <w:t>”ם \זמנים\</w:t>
      </w:r>
      <w:r w:rsidRPr="009E0447">
        <w:rPr>
          <w:rStyle w:val="Style1Char"/>
          <w:rtl/>
        </w:rPr>
        <w:t xml:space="preserve"> הלכות שקלים פרק ד הלכה א</w:t>
      </w:r>
      <w:r>
        <w:rPr>
          <w:rStyle w:val="Style1Char"/>
          <w:rFonts w:hint="cs"/>
          <w:rtl/>
        </w:rPr>
        <w:t xml:space="preserve">] </w:t>
      </w:r>
      <w:r w:rsidRPr="009E0447">
        <w:rPr>
          <w:rStyle w:val="Style1Char"/>
          <w:rtl/>
        </w:rPr>
        <w:t>תרומת הלשכה מה יעשה בה, לוקחין ממנה תמידין של כל יום והמוספין וכל קרבנות הצבור ונסכיהם והמלח שמולחין בו כל הקרבנות, וכן העצים אם לא הביאו עצים ולא מצאו אלא בדמים, והקטרת ושכר עושיה, ולחם הפנים ושכר עושה לחם הפנים, והעומר ושתי הלחם ופרה אדומה ושעיר המשתלח ולשון של זהורית שקושרין בין קרניו כל אלו באין מתרומת הלשכה.</w:t>
      </w:r>
    </w:p>
    <w:p w14:paraId="0953CA2E" w14:textId="20907E2D" w:rsidR="007858E0" w:rsidRDefault="007858E0" w:rsidP="007858E0">
      <w:pPr>
        <w:pStyle w:val="Style1"/>
        <w:rPr>
          <w:rStyle w:val="Style1Char"/>
          <w:rtl/>
        </w:rPr>
      </w:pPr>
      <w:r>
        <w:rPr>
          <w:rStyle w:val="Style1Char"/>
          <w:rFonts w:hint="cs"/>
          <w:rtl/>
        </w:rPr>
        <w:t>2)[</w:t>
      </w:r>
      <w:r w:rsidRPr="007858E0">
        <w:rPr>
          <w:rStyle w:val="Style1Char"/>
          <w:rtl/>
        </w:rPr>
        <w:t>רמב</w:t>
      </w:r>
      <w:r w:rsidR="0080135A">
        <w:rPr>
          <w:rStyle w:val="Style1Char"/>
          <w:rtl/>
        </w:rPr>
        <w:t>”ם \זמנים\</w:t>
      </w:r>
      <w:r w:rsidRPr="007858E0">
        <w:rPr>
          <w:rStyle w:val="Style1Char"/>
          <w:rtl/>
        </w:rPr>
        <w:t xml:space="preserve"> הלכות שקלים פרק ד הלכה ט</w:t>
      </w:r>
      <w:r>
        <w:rPr>
          <w:rStyle w:val="Style1Char"/>
          <w:rFonts w:hint="cs"/>
          <w:rtl/>
        </w:rPr>
        <w:t xml:space="preserve">] </w:t>
      </w:r>
      <w:r w:rsidRPr="007858E0">
        <w:rPr>
          <w:rStyle w:val="Style1Char"/>
          <w:rtl/>
        </w:rPr>
        <w:t>מותר תרומת הלשכה וכן מותר שירי הלשכה לוקחין בו זכרים ויקרבו כולן עולות שתנאי בית דין הוא על כל המותרות שיקרבו עולת בהמה, אבל לא עולת העוף שאין בקרבנות הצבור עוף, ואלו העולות הבאין ממותר השקלים הם הנקראים קיץ למזבח.</w:t>
      </w:r>
    </w:p>
    <w:p w14:paraId="3FC47E31" w14:textId="16CE708E" w:rsidR="00B46243" w:rsidRPr="009E0447" w:rsidRDefault="00B46243" w:rsidP="00B46243">
      <w:pPr>
        <w:pStyle w:val="Style1"/>
        <w:rPr>
          <w:rStyle w:val="Style1Char"/>
          <w:rtl/>
        </w:rPr>
      </w:pPr>
      <w:r>
        <w:rPr>
          <w:rStyle w:val="Style1Char"/>
          <w:rFonts w:hint="cs"/>
          <w:rtl/>
        </w:rPr>
        <w:t>2)[</w:t>
      </w:r>
      <w:r w:rsidRPr="00B46243">
        <w:rPr>
          <w:rStyle w:val="Style1Char"/>
          <w:rtl/>
        </w:rPr>
        <w:t>רמב</w:t>
      </w:r>
      <w:r w:rsidR="0080135A">
        <w:rPr>
          <w:rStyle w:val="Style1Char"/>
          <w:rtl/>
        </w:rPr>
        <w:t>”ם \זמנים\</w:t>
      </w:r>
      <w:r w:rsidRPr="00B46243">
        <w:rPr>
          <w:rStyle w:val="Style1Char"/>
          <w:rtl/>
        </w:rPr>
        <w:t xml:space="preserve"> הלכות שקלים פרק ד הלכה יא</w:t>
      </w:r>
      <w:r>
        <w:rPr>
          <w:rStyle w:val="Style1Char"/>
          <w:rFonts w:hint="cs"/>
          <w:rtl/>
        </w:rPr>
        <w:t xml:space="preserve">] </w:t>
      </w:r>
      <w:r w:rsidRPr="00B46243">
        <w:rPr>
          <w:rStyle w:val="Style1Char"/>
          <w:rtl/>
        </w:rPr>
        <w:t>משיגיע ראש חדש ניסן אין מקריבין קרבנות הצבור אלא מתרומה חדשה ואם לא באה החדשה לוקחין מן הישנה, לפיכך אם הגיע ראש חדש ניסן ויש עמהן בהמות לתמידים מתרומה ישנה פודין אותן ויוצאין לחולין אף על פי שהן תמימין ויפלו דמיהן לתרומה ישנה שמקיצין בה את המזבח, שתנאי בית דין הוא על כל הבהמות שלוקחין לתמידין שאם לא יהיו צריכין להן יצאו לחולין.</w:t>
      </w:r>
    </w:p>
    <w:p w14:paraId="27516A55" w14:textId="77777777" w:rsidR="000C5939" w:rsidRDefault="000C5939" w:rsidP="000C5939">
      <w:pPr>
        <w:rPr>
          <w:rStyle w:val="Style1Char"/>
          <w:color w:val="00B050"/>
          <w:rtl/>
        </w:rPr>
      </w:pPr>
      <w:r>
        <w:rPr>
          <w:rStyle w:val="Style1Char"/>
          <w:color w:val="00B050"/>
          <w:rtl/>
        </w:rPr>
        <w:br w:type="page"/>
      </w:r>
    </w:p>
    <w:p w14:paraId="7968FC3E" w14:textId="795D73D4" w:rsidR="000C5939" w:rsidRDefault="000C5939" w:rsidP="000C5939">
      <w:pPr>
        <w:bidi/>
        <w:rPr>
          <w:rStyle w:val="Style1Char"/>
          <w:color w:val="00B050"/>
          <w:rtl/>
        </w:rPr>
      </w:pPr>
      <w:r w:rsidRPr="00E9032B">
        <w:rPr>
          <w:rStyle w:val="Style1Char"/>
          <w:color w:val="auto"/>
          <w:sz w:val="22"/>
          <w:szCs w:val="22"/>
          <w:highlight w:val="yellow"/>
          <w:rtl/>
        </w:rPr>
        <w:lastRenderedPageBreak/>
        <w:t>[דף קז עמוד א]</w:t>
      </w:r>
      <w:r w:rsidRPr="00E9032B">
        <w:rPr>
          <w:rStyle w:val="Style1Char"/>
          <w:color w:val="auto"/>
          <w:sz w:val="22"/>
          <w:szCs w:val="22"/>
          <w:rtl/>
        </w:rPr>
        <w:t xml:space="preserve"> </w:t>
      </w:r>
      <w:r w:rsidR="00E706C2">
        <w:rPr>
          <w:rStyle w:val="Style1Char"/>
          <w:rFonts w:hint="cs"/>
          <w:rtl/>
        </w:rPr>
        <w:t>(1)</w:t>
      </w:r>
      <w:r w:rsidRPr="00E9032B">
        <w:rPr>
          <w:rStyle w:val="Style1Char"/>
          <w:color w:val="auto"/>
          <w:sz w:val="22"/>
          <w:szCs w:val="22"/>
          <w:rtl/>
        </w:rPr>
        <w:t xml:space="preserve">פוסקין מזונות לאשת איש, ושמואל אמר: אין פוסקין מזונות לאשת איש. אמר שמואל: מודה לי אבא, </w:t>
      </w:r>
      <w:r w:rsidR="00912ADB">
        <w:rPr>
          <w:rStyle w:val="Style1Char"/>
          <w:rFonts w:hint="cs"/>
          <w:rtl/>
        </w:rPr>
        <w:t>(1.1, 2)</w:t>
      </w:r>
      <w:r w:rsidRPr="00E9032B">
        <w:rPr>
          <w:rStyle w:val="Style1Char"/>
          <w:color w:val="auto"/>
          <w:sz w:val="22"/>
          <w:szCs w:val="22"/>
          <w:rtl/>
        </w:rPr>
        <w:t>בשלשה חדשים הראשונים</w:t>
      </w:r>
      <w:r w:rsidRPr="003E3532">
        <w:rPr>
          <w:rFonts w:ascii="Arial" w:hAnsi="Arial" w:cs="Arial"/>
          <w:color w:val="4472C4" w:themeColor="accent1"/>
          <w:sz w:val="16"/>
          <w:szCs w:val="16"/>
          <w:rtl/>
        </w:rPr>
        <w:t xml:space="preserve"> </w:t>
      </w:r>
      <w:r w:rsidRPr="003E3532">
        <w:rPr>
          <w:rFonts w:ascii="Arial" w:hAnsi="Arial" w:cs="Arial"/>
          <w:color w:val="4472C4" w:themeColor="accent1"/>
          <w:rtl/>
        </w:rPr>
        <w:t>שאין פוסקין</w:t>
      </w:r>
      <w:r w:rsidRPr="0069244D">
        <w:rPr>
          <w:rStyle w:val="Style1Char"/>
          <w:sz w:val="22"/>
          <w:szCs w:val="22"/>
          <w:rtl/>
        </w:rPr>
        <w:t xml:space="preserve">, </w:t>
      </w:r>
      <w:r w:rsidRPr="0069244D">
        <w:rPr>
          <w:rFonts w:ascii="Arial" w:hAnsi="Arial" w:cs="Arial"/>
          <w:color w:val="C00000"/>
          <w:rtl/>
        </w:rPr>
        <w:t>מה טעם</w:t>
      </w:r>
      <w:r>
        <w:rPr>
          <w:rStyle w:val="Style1Char"/>
          <w:rFonts w:hint="cs"/>
          <w:sz w:val="22"/>
          <w:szCs w:val="22"/>
          <w:rtl/>
        </w:rPr>
        <w:t>?</w:t>
      </w:r>
      <w:r w:rsidRPr="0069244D">
        <w:rPr>
          <w:rStyle w:val="Style1Char"/>
          <w:sz w:val="22"/>
          <w:szCs w:val="22"/>
          <w:rtl/>
        </w:rPr>
        <w:t xml:space="preserve"> לפי </w:t>
      </w:r>
      <w:r w:rsidRPr="003E3532">
        <w:rPr>
          <w:rStyle w:val="Style1Char"/>
          <w:color w:val="auto"/>
          <w:sz w:val="22"/>
          <w:szCs w:val="22"/>
          <w:rtl/>
        </w:rPr>
        <w:t>שאין אדם מניח ביתו ריקן</w:t>
      </w:r>
      <w:r w:rsidRPr="003E3532">
        <w:rPr>
          <w:rFonts w:ascii="Arial" w:hAnsi="Arial" w:cs="Arial"/>
          <w:sz w:val="16"/>
          <w:szCs w:val="16"/>
          <w:rtl/>
        </w:rPr>
        <w:t xml:space="preserve"> </w:t>
      </w:r>
      <w:r w:rsidRPr="008D39F1">
        <w:rPr>
          <w:rFonts w:ascii="Arial" w:hAnsi="Arial" w:cs="Arial"/>
          <w:color w:val="806000" w:themeColor="accent4" w:themeShade="80"/>
          <w:rtl/>
        </w:rPr>
        <w:t>והלכתא פוסקין מזונות לאשת איש</w:t>
      </w:r>
      <w:r w:rsidRPr="0069244D">
        <w:rPr>
          <w:rStyle w:val="Style1Char"/>
          <w:sz w:val="22"/>
          <w:szCs w:val="22"/>
          <w:rtl/>
        </w:rPr>
        <w:t>.</w:t>
      </w:r>
      <w:r w:rsidRPr="001C3C1D">
        <w:rPr>
          <w:rStyle w:val="Style1Char"/>
          <w:color w:val="00B050"/>
          <w:rtl/>
        </w:rPr>
        <w:t xml:space="preserve"> </w:t>
      </w:r>
      <w:r w:rsidR="00501ED2">
        <w:rPr>
          <w:rStyle w:val="Style1Char"/>
          <w:rFonts w:hint="cs"/>
          <w:rtl/>
        </w:rPr>
        <w:t>(3)</w:t>
      </w:r>
      <w:r w:rsidRPr="001C3C1D">
        <w:rPr>
          <w:rStyle w:val="Style1Char"/>
          <w:color w:val="00B050"/>
          <w:rtl/>
        </w:rPr>
        <w:t xml:space="preserve">בששמעו בו שמת כולי עלמא לא פליגי, כי פליגי - בשלא שמעו בו שמת, רב אמר: פוסקין, דהא משועבד לה, ושמואל אמר: אין פוסקין. מ"ט? רב זביד אמר: אימא צררי אתפסה, רב פפא אמר: חיישינן שמא אמר לה צאי מעשה ידיך במזונותיך. מאי בינייהו? איכא בינייהו: גדולה ולא ספקה; אי נמי, קטנה וספקה. תנן: מי שהלך למדינת הים ואשתו תובעת מזונות, חנן אמר: </w:t>
      </w:r>
      <w:r w:rsidR="00EF1CBA">
        <w:rPr>
          <w:rStyle w:val="Style1Char"/>
          <w:rFonts w:hint="cs"/>
          <w:rtl/>
        </w:rPr>
        <w:t>(1)</w:t>
      </w:r>
      <w:r w:rsidRPr="001C3C1D">
        <w:rPr>
          <w:rStyle w:val="Style1Char"/>
          <w:color w:val="00B050"/>
          <w:rtl/>
        </w:rPr>
        <w:t xml:space="preserve">תשבע בסוף ולא תשבע בתחלה, נחלקו עליו בני כהנים גדולים ואמרו: תשבע בתחלה ובסוף; עד כאן לא פליגי אלא לענין שבועה, אבל מזוני יהבינן לה! תרגמה שמואל: בששמעו בו שמת. תא שמע: </w:t>
      </w:r>
      <w:r w:rsidRPr="008D39F1">
        <w:rPr>
          <w:rFonts w:ascii="Arial" w:hAnsi="Arial" w:cs="Arial"/>
          <w:color w:val="806000" w:themeColor="accent4" w:themeShade="80"/>
          <w:rtl/>
        </w:rPr>
        <w:t xml:space="preserve">תניא </w:t>
      </w:r>
      <w:r w:rsidRPr="008D39F1">
        <w:rPr>
          <w:rStyle w:val="Style1Char"/>
          <w:color w:val="auto"/>
          <w:sz w:val="22"/>
          <w:szCs w:val="22"/>
          <w:rtl/>
        </w:rPr>
        <w:t xml:space="preserve">מי שהלך למדינת הים ואשתו תובעת מזונות, בני כהנים גדולים אומרים: תשבע, חנן אומר: לא תשבע, </w:t>
      </w:r>
      <w:r w:rsidR="004C4965">
        <w:rPr>
          <w:rStyle w:val="Style1Char"/>
          <w:rFonts w:hint="cs"/>
          <w:rtl/>
        </w:rPr>
        <w:t>(2, 4)</w:t>
      </w:r>
      <w:r w:rsidRPr="008D39F1">
        <w:rPr>
          <w:rStyle w:val="Style1Char"/>
          <w:color w:val="auto"/>
          <w:sz w:val="22"/>
          <w:szCs w:val="22"/>
          <w:rtl/>
        </w:rPr>
        <w:t xml:space="preserve">ואם בא </w:t>
      </w:r>
      <w:r w:rsidRPr="00E24DA9">
        <w:rPr>
          <w:rFonts w:ascii="Arial" w:hAnsi="Arial" w:cs="Arial"/>
          <w:color w:val="806000" w:themeColor="accent4" w:themeShade="80"/>
          <w:rtl/>
        </w:rPr>
        <w:t xml:space="preserve">בעל </w:t>
      </w:r>
      <w:r w:rsidRPr="00E24DA9">
        <w:rPr>
          <w:rStyle w:val="Style1Char"/>
          <w:color w:val="auto"/>
          <w:sz w:val="22"/>
          <w:szCs w:val="22"/>
          <w:rtl/>
        </w:rPr>
        <w:t xml:space="preserve">ואמר פסקתי לה מזונות - נאמן! </w:t>
      </w:r>
      <w:r w:rsidRPr="00DA7C0D">
        <w:rPr>
          <w:rFonts w:ascii="Arial" w:hAnsi="Arial" w:cs="Arial"/>
          <w:color w:val="C00000"/>
          <w:rtl/>
        </w:rPr>
        <w:t xml:space="preserve">פירוש ובשבועה </w:t>
      </w:r>
      <w:r w:rsidRPr="00B94F6A">
        <w:rPr>
          <w:rFonts w:ascii="Arial" w:hAnsi="Arial" w:cs="Arial"/>
          <w:color w:val="4472C4" w:themeColor="accent1"/>
          <w:sz w:val="16"/>
          <w:szCs w:val="16"/>
          <w:rtl/>
        </w:rPr>
        <w:t>פירש רש"י נאמן אף להוציא מידה מה שנתנו לה בית דין ובשבועה משמע דאף אבני כהנים גדולים קאי דאמרי תשבע והיינו טעמא דאורחא דמילתא הוא להתפיסה צררי הלכך מוציא מידה בשבועה ולא נהירא דא"כ לא תמצא לעולם מי שילוה לה שאם ישבע הבעל שנתן לה יפסיד מה שהלוה לה הלכך נראה לפרש דנאמן להצריכה שבועה וקאי [אדחנן] דאמר לא תשבע</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ואם בא הבעל גובה בשבועה מה שלותה ואכלה ועכשיו אין יראים להלוות לה שסומכין עליה שתשבע ולא נהירא לי האי פירושא</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דמלתא דפשיטא היא מאחר שהוא מוחזק וטוען ברי שתהא צריכה שבועה ומאי קא משמע לן ועוד לישנא דנאמן לא משמע הכי ועוד מאחר שהוא מוחזק וטוען ברי למה מוציאין ממנו ממון וכי משום תקנתא דידה שתמצא ללות נוציא ממון מחזקתו הלכך נראה כפירוש רש"י וכן פירש רב אלפס זכרונו לברכה נאמן ובשבועה</w:t>
      </w:r>
      <w:r w:rsidRPr="00B94F6A">
        <w:rPr>
          <w:rFonts w:ascii="Arial" w:hAnsi="Arial" w:cs="Arial"/>
          <w:color w:val="4472C4" w:themeColor="accent1"/>
          <w:sz w:val="16"/>
          <w:szCs w:val="16"/>
        </w:rPr>
        <w:t xml:space="preserve">: </w:t>
      </w:r>
      <w:r w:rsidRPr="001C3C1D">
        <w:rPr>
          <w:rStyle w:val="Style1Char"/>
          <w:color w:val="00B050"/>
          <w:rtl/>
        </w:rPr>
        <w:t>הכא נמי בששמעו בו שמת. והא אם בא ואמר קאמר! אם בא לאחר שמועה. ת"ש</w:t>
      </w:r>
      <w:r w:rsidRPr="00DA7C0D">
        <w:rPr>
          <w:rFonts w:ascii="Arial" w:hAnsi="Arial" w:cs="Arial"/>
          <w:color w:val="C00000"/>
          <w:sz w:val="16"/>
          <w:szCs w:val="16"/>
          <w:rtl/>
        </w:rPr>
        <w:t xml:space="preserve"> </w:t>
      </w:r>
      <w:r w:rsidRPr="00F63B8F">
        <w:rPr>
          <w:rFonts w:ascii="Arial" w:hAnsi="Arial" w:cs="Arial"/>
          <w:color w:val="806000" w:themeColor="accent4" w:themeShade="80"/>
          <w:rtl/>
        </w:rPr>
        <w:t>תניא אידך</w:t>
      </w:r>
      <w:r w:rsidRPr="001C3C1D">
        <w:rPr>
          <w:rStyle w:val="Style1Char"/>
          <w:color w:val="00B050"/>
          <w:rtl/>
        </w:rPr>
        <w:t xml:space="preserve">: </w:t>
      </w:r>
      <w:r w:rsidR="00C67D7D">
        <w:rPr>
          <w:rStyle w:val="Style1Char"/>
          <w:rFonts w:hint="cs"/>
          <w:rtl/>
        </w:rPr>
        <w:t>(2, 4, 5)</w:t>
      </w:r>
      <w:r w:rsidRPr="00F63B8F">
        <w:rPr>
          <w:rStyle w:val="Style1Char"/>
          <w:color w:val="auto"/>
          <w:sz w:val="22"/>
          <w:szCs w:val="22"/>
          <w:rtl/>
        </w:rPr>
        <w:t>מי שהלך למדינת הים ואשתו תובעת מזונות</w:t>
      </w:r>
      <w:r w:rsidRPr="001C3C1D">
        <w:rPr>
          <w:rStyle w:val="Style1Char"/>
          <w:color w:val="00B050"/>
          <w:rtl/>
        </w:rPr>
        <w:t xml:space="preserve">, </w:t>
      </w:r>
      <w:r w:rsidRPr="00F63B8F">
        <w:rPr>
          <w:rStyle w:val="Style1Char"/>
          <w:color w:val="auto"/>
          <w:rtl/>
        </w:rPr>
        <w:t>ו</w:t>
      </w:r>
      <w:r w:rsidRPr="00F63B8F">
        <w:rPr>
          <w:rStyle w:val="Style1Char"/>
          <w:color w:val="auto"/>
          <w:sz w:val="22"/>
          <w:szCs w:val="22"/>
          <w:rtl/>
        </w:rPr>
        <w:t>אם</w:t>
      </w:r>
      <w:r w:rsidRPr="00F63B8F">
        <w:rPr>
          <w:rStyle w:val="Style1Char"/>
          <w:color w:val="auto"/>
          <w:rtl/>
        </w:rPr>
        <w:t xml:space="preserve"> </w:t>
      </w:r>
      <w:r w:rsidRPr="00F63B8F">
        <w:rPr>
          <w:rStyle w:val="Style1Char"/>
          <w:color w:val="ED7D31" w:themeColor="accent2"/>
          <w:rtl/>
        </w:rPr>
        <w:t xml:space="preserve">בא </w:t>
      </w:r>
      <w:r w:rsidRPr="00F63B8F">
        <w:rPr>
          <w:rStyle w:val="Style1Char"/>
          <w:color w:val="auto"/>
          <w:rtl/>
        </w:rPr>
        <w:t>ו</w:t>
      </w:r>
      <w:r w:rsidRPr="00F63B8F">
        <w:rPr>
          <w:rStyle w:val="Style1Char"/>
          <w:color w:val="auto"/>
          <w:sz w:val="22"/>
          <w:szCs w:val="22"/>
          <w:rtl/>
        </w:rPr>
        <w:t>אמר</w:t>
      </w:r>
      <w:r w:rsidRPr="00F63B8F">
        <w:rPr>
          <w:rStyle w:val="Style1Char"/>
          <w:color w:val="auto"/>
          <w:rtl/>
        </w:rPr>
        <w:t xml:space="preserve"> </w:t>
      </w:r>
      <w:r w:rsidRPr="00331068">
        <w:rPr>
          <w:rFonts w:ascii="Arial" w:hAnsi="Arial" w:cs="Arial"/>
          <w:color w:val="C00000"/>
          <w:rtl/>
        </w:rPr>
        <w:t xml:space="preserve">לה </w:t>
      </w:r>
      <w:r w:rsidRPr="00F63B8F">
        <w:rPr>
          <w:rStyle w:val="Style1Char"/>
          <w:color w:val="auto"/>
          <w:sz w:val="22"/>
          <w:szCs w:val="22"/>
          <w:rtl/>
        </w:rPr>
        <w:t>צאי מעשה ידיך במזונותיך - רשאי</w:t>
      </w:r>
      <w:r w:rsidRPr="001C3C1D">
        <w:rPr>
          <w:rStyle w:val="Style1Char"/>
          <w:color w:val="00B050"/>
          <w:rtl/>
        </w:rPr>
        <w:t xml:space="preserve">, </w:t>
      </w:r>
      <w:r w:rsidRPr="006347C2">
        <w:rPr>
          <w:rFonts w:ascii="Arial" w:hAnsi="Arial" w:cs="Arial"/>
          <w:color w:val="C00000"/>
          <w:rtl/>
        </w:rPr>
        <w:t xml:space="preserve">ואם </w:t>
      </w:r>
      <w:r w:rsidRPr="006347C2">
        <w:rPr>
          <w:rStyle w:val="Style1Char"/>
          <w:sz w:val="22"/>
          <w:szCs w:val="22"/>
          <w:rtl/>
        </w:rPr>
        <w:t xml:space="preserve">קדמו בית דין ופסקו - מה שפסקו פסקו! </w:t>
      </w:r>
      <w:r>
        <w:rPr>
          <w:rFonts w:ascii="Arial" w:hAnsi="Arial" w:cs="Arial" w:hint="cs"/>
          <w:color w:val="4472C4" w:themeColor="accent1"/>
          <w:sz w:val="16"/>
          <w:szCs w:val="16"/>
        </w:rPr>
        <w:t>‍</w:t>
      </w:r>
      <w:r w:rsidRPr="00B94F6A">
        <w:rPr>
          <w:rFonts w:ascii="Arial" w:hAnsi="Arial" w:cs="Arial"/>
          <w:color w:val="4472C4" w:themeColor="accent1"/>
          <w:sz w:val="16"/>
          <w:szCs w:val="16"/>
          <w:rtl/>
        </w:rPr>
        <w:t>פירוש ואשתו תובעת מזונות שלותה ואכלה קודם שבא ואמר צאי מעשה ידיך במזונותיך כלומר לא אפרע כי היה לך להתפרנס ממעשה ידיך ואף על פי שאינה מספקת דאם לא היו מלוים לה היתה דוחקת עצמה ומצמצמת</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ואין לפרש דהכי קאמר אני אמרתי לה קודם שהלכתי צאי מעשה ידיך במזונותיך ונתרצית דא"כ הוה ליה למימר נאמן אלא רשאי משמע דהשתא הוא רשאי לומר כן כדי שלא יפרע מה שלוותה והא דאמרינן לקמן לוותה ואכלה ועמדה ומיאנה ודייקינן טעמא דמיאנה הא לא מיאנה אית לה התם</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מיירי שפסקו לה ב"ד ואח"כ לוותה</w:t>
      </w:r>
      <w:r>
        <w:rPr>
          <w:rFonts w:ascii="Arial" w:hAnsi="Arial" w:cs="Arial" w:hint="cs"/>
          <w:color w:val="4472C4" w:themeColor="accent1"/>
          <w:sz w:val="16"/>
          <w:szCs w:val="16"/>
        </w:rPr>
        <w:t>‍‍</w:t>
      </w:r>
      <w:r w:rsidRPr="00B94F6A">
        <w:rPr>
          <w:rFonts w:ascii="Arial" w:hAnsi="Arial" w:cs="Arial"/>
          <w:color w:val="4472C4" w:themeColor="accent1"/>
          <w:sz w:val="16"/>
          <w:szCs w:val="16"/>
        </w:rPr>
        <w:t xml:space="preserve">: </w:t>
      </w:r>
      <w:r w:rsidRPr="001C3C1D">
        <w:rPr>
          <w:rStyle w:val="Style1Char"/>
          <w:color w:val="00B050"/>
          <w:rtl/>
        </w:rPr>
        <w:t xml:space="preserve">הכא נמי בששמעו בו שמת. ת"ש מי שהלך למדינת הים ואשתו תובעת מזונות, ב"ד יורדים לנכסיו וזנין ומפרנסין לאשתו, אבל לא בניו ובנותיו ולא דבר אחר! אמר רב ששת: במשרה את אשתו ע"י שליש. אי הכי, בניו ובנותיו נמי! כשהשרה לזו ולא השרה לזו. מאי פסקא? אלא אמר רב פפא: כששמעה בו שמת בעד אחד, היא דאי בעית אינסובי בעד אחד מצי מינסבא - מזוני נמי יהבינן לה, בניו ובנותיו דאי בעו למיחת לנכסיו בעד אחד לא מצו נחתי - מזוני נמי לא יהבינן להו. מאי דבר אחר? רב חסדא אמר: תכשיט, רב יוסף אמר: צדקה. מ"ד תכשיט, כל שכן </w:t>
      </w:r>
    </w:p>
    <w:p w14:paraId="12ED87DE" w14:textId="60C28050" w:rsidR="00004AF2" w:rsidRDefault="00004AF2" w:rsidP="00004AF2">
      <w:pPr>
        <w:pStyle w:val="Style1"/>
        <w:rPr>
          <w:rtl/>
        </w:rPr>
      </w:pPr>
      <w:r>
        <w:rPr>
          <w:rFonts w:hint="cs"/>
          <w:rtl/>
        </w:rPr>
        <w:t>1)[</w:t>
      </w:r>
      <w:r>
        <w:rPr>
          <w:rtl/>
        </w:rPr>
        <w:t>רמב</w:t>
      </w:r>
      <w:r w:rsidR="00213DA1">
        <w:rPr>
          <w:rtl/>
        </w:rPr>
        <w:t>”ם \נשים\</w:t>
      </w:r>
      <w:r>
        <w:rPr>
          <w:rtl/>
        </w:rPr>
        <w:t xml:space="preserve"> הלכות אישות פרק יב הלכה טז</w:t>
      </w:r>
      <w:r>
        <w:rPr>
          <w:rFonts w:hint="cs"/>
          <w:rtl/>
        </w:rPr>
        <w:t xml:space="preserve">] </w:t>
      </w:r>
      <w:r>
        <w:rPr>
          <w:rtl/>
        </w:rPr>
        <w:t>מי שהלך למדינה אחרת ובאה אשתו לבית דין לתבוע מזונות, שלשה חדשים הראשונים מיום הליכתו אין פוסקין לה בהן מזונות, חזקה היא שאין אדם מניח ביתו ריקן, מכאן ואילך פוסקין לה מזונות, ואם היו לו נכסים בית דין יורדין לנכסיו ומוכרין למזונותיה, ואין  מחשבין עמה על מעשה ידיה עד שיבוא בעלה אם מצא שעשת הרי אלו שלו. וכן אם לא עמדה בדין אלא מכרה לעצמה למזונות מכרה קיים ואינה צריכה הכרזה ולא שבועה עד שיבוא בעלה ויטעון או עד שתבוא לגבות כתובתה אחר מותו מגלגלין עליה שלא מכרה אלא למזונות שהיא צריכה להן.</w:t>
      </w:r>
    </w:p>
    <w:p w14:paraId="52E7B13A" w14:textId="7C7F94AB" w:rsidR="005A7E2D" w:rsidRPr="007C21DD" w:rsidRDefault="005A7E2D" w:rsidP="005A7E2D">
      <w:pPr>
        <w:pStyle w:val="Style1"/>
      </w:pPr>
      <w:r>
        <w:rPr>
          <w:rFonts w:hint="cs"/>
          <w:rtl/>
        </w:rPr>
        <w:t>1)[</w:t>
      </w:r>
      <w:r>
        <w:rPr>
          <w:rtl/>
        </w:rPr>
        <w:t>שולחן ערוך אבן העזר הלכות כתובות סימן ע סעיף ה</w:t>
      </w:r>
      <w:r>
        <w:rPr>
          <w:rFonts w:hint="cs"/>
          <w:rtl/>
        </w:rPr>
        <w:t xml:space="preserve">] </w:t>
      </w:r>
      <w:r w:rsidRPr="007C21DD">
        <w:rPr>
          <w:rtl/>
        </w:rPr>
        <w:t>מי שהלך למדינת הים ובאה אשתו לבית דין לתבוע מזונות, שלשה חדשים הראשונים מיום הליכתו אין פוסקים לה בהם מזונות, שחזקה אין אדם מניח ביתו ריקן</w:t>
      </w:r>
      <w:r w:rsidRPr="007C21DD">
        <w:t>.</w:t>
      </w:r>
    </w:p>
    <w:p w14:paraId="1D86E22D" w14:textId="77777777" w:rsidR="005A7E2D" w:rsidRPr="007C21DD" w:rsidRDefault="005A7E2D" w:rsidP="005A7E2D">
      <w:pPr>
        <w:pStyle w:val="Style1"/>
      </w:pPr>
      <w:r w:rsidRPr="007C21DD">
        <w:rPr>
          <w:rFonts w:hint="cs"/>
          <w:rtl/>
        </w:rPr>
        <w:t>הגה: אבל אם שתקה יותר, ותבעה אחר כך, אין פוסקין לה למפרע, רק מיום התביעה אפילו החמיצו הבית דין את הדין (הר"ן פרק שני דיני גזרות). ויש אומרים דאם נפרד ממנה בקטטה, ורוצה לעגנה, פוסקין לה לאלתר, דודאי הניח ביתו ריקן (מרדכי ריש דיני גזרות)</w:t>
      </w:r>
      <w:r w:rsidRPr="007C21DD">
        <w:t>.</w:t>
      </w:r>
    </w:p>
    <w:p w14:paraId="5A9FA599" w14:textId="503F2B64" w:rsidR="005A7E2D" w:rsidRDefault="005A7E2D" w:rsidP="005A7E2D">
      <w:pPr>
        <w:pStyle w:val="Style1"/>
        <w:rPr>
          <w:rtl/>
        </w:rPr>
      </w:pPr>
      <w:r w:rsidRPr="007C21DD">
        <w:rPr>
          <w:rtl/>
        </w:rPr>
        <w:t>מכאן ואילך, אפילו אין כתובתה בידה פוסקים לה מזונות, אבל אין נותנים לה במה שתתקשט. ואם היו לו נכסים, בית דין יורדים לנכסיו ומוכרים למזונותיה, אפילו לא שמעו בו שמת. ואין מחשבים עמה על מעשה ידיה, עד שיבוא בעלה, אם מצא שעשתה הרי אלו שלו. וכן אם לא עמדה בדין, אלא מכרה לעצמה למזונות, מכרה קיים, ואינה צריכה הכרזה ולא שבועה, עד שיבוא בעלה ויטען, או עד שתבוא לגבות כתובתה אחר מותו, מגלגלין עליה שלא מכרה אלא למזונות שהיא צריכה להם</w:t>
      </w:r>
      <w:r w:rsidRPr="007C21DD">
        <w:t>:</w:t>
      </w:r>
    </w:p>
    <w:p w14:paraId="3FAC4A93" w14:textId="46B071F5" w:rsidR="00E73AC0" w:rsidRPr="00E73AC0" w:rsidRDefault="00D11A3A" w:rsidP="00E73AC0">
      <w:pPr>
        <w:pStyle w:val="Style1"/>
      </w:pPr>
      <w:r>
        <w:rPr>
          <w:rFonts w:hint="cs"/>
          <w:rtl/>
        </w:rPr>
        <w:t>2)[</w:t>
      </w:r>
      <w:r>
        <w:rPr>
          <w:rtl/>
        </w:rPr>
        <w:t>שולחן ערוך אבן העזר הלכות כתובות סימן ע סעיף י</w:t>
      </w:r>
      <w:r>
        <w:rPr>
          <w:rFonts w:hint="cs"/>
          <w:rtl/>
        </w:rPr>
        <w:t>]</w:t>
      </w:r>
      <w:r w:rsidR="00E73AC0">
        <w:rPr>
          <w:rFonts w:hint="cs"/>
          <w:rtl/>
        </w:rPr>
        <w:t xml:space="preserve"> </w:t>
      </w:r>
      <w:r w:rsidR="00E73AC0" w:rsidRPr="00E73AC0">
        <w:rPr>
          <w:rtl/>
        </w:rPr>
        <w:t>הרי שעמדה בדין ופסקו לה מזונות, ומכרו בית דין ונתנו לה, או שמכרה היא לעצמה, ובא הבעל ואמר: הנחתי לה מזונות, הרי זו נשבעת בנקיטת חפץ שלא הניח לה. ואם לא תבעה ולא מכרה, אלא </w:t>
      </w:r>
      <w:r w:rsidR="00E73AC0" w:rsidRPr="00E73AC0">
        <w:rPr>
          <w:rFonts w:hint="cs"/>
          <w:rtl/>
        </w:rPr>
        <w:t>לותה או</w:t>
      </w:r>
      <w:r w:rsidR="00E73AC0" w:rsidRPr="00E73AC0">
        <w:rPr>
          <w:rtl/>
        </w:rPr>
        <w:t> שהתה, עד שבא הוא ואמר: הנחתי לך מזונות, והיא אומרת: לא הנחת אלא לויתי מזה ונתפרנסתי, נשבע שבועת הסת שהניח לה, ונפטר, וישאר החוב עליה</w:t>
      </w:r>
      <w:r w:rsidR="00E73AC0" w:rsidRPr="00E73AC0">
        <w:t>. </w:t>
      </w:r>
      <w:r w:rsidR="00E73AC0" w:rsidRPr="00E73AC0">
        <w:rPr>
          <w:rFonts w:hint="cs"/>
          <w:rtl/>
        </w:rPr>
        <w:t>אבל אין האיש נאמן לומר שנתן לה על העתיד (הר"ן ריש אלמנה נזונית)</w:t>
      </w:r>
      <w:r w:rsidR="00E73AC0" w:rsidRPr="00E73AC0">
        <w:t>.</w:t>
      </w:r>
    </w:p>
    <w:p w14:paraId="4FB5CA22" w14:textId="77777777" w:rsidR="00E73AC0" w:rsidRPr="00E73AC0" w:rsidRDefault="00E73AC0" w:rsidP="00E73AC0">
      <w:pPr>
        <w:pStyle w:val="Style1"/>
      </w:pPr>
      <w:r w:rsidRPr="00E73AC0">
        <w:rPr>
          <w:rtl/>
        </w:rPr>
        <w:t>ואם מכרה מטלטלין ואמרה: למזונות מכרתי, והוא טוען ואומר: מזונותיך הנחתי, נשבעת שבועת היסת שלא הניח</w:t>
      </w:r>
      <w:r w:rsidRPr="00E73AC0">
        <w:t>.</w:t>
      </w:r>
    </w:p>
    <w:p w14:paraId="0C18674D" w14:textId="07A14169" w:rsidR="00E73AC0" w:rsidRDefault="00E73AC0" w:rsidP="00E73AC0">
      <w:pPr>
        <w:pStyle w:val="Style1"/>
        <w:rPr>
          <w:rtl/>
        </w:rPr>
      </w:pPr>
      <w:r w:rsidRPr="00E73AC0">
        <w:rPr>
          <w:rFonts w:hint="cs"/>
          <w:rtl/>
        </w:rPr>
        <w:t>הגה: טען ואמר היה לה להוציא מעשה ידיה במזונותיה, אם לותה בלא בית דין, והיא בעלת מלאכה שמעשה ידיה מספיקין לה לדברים גדולים, אף על פי שאינן מספיקין לדברים קטנים, טענתו טענה; אבל אם פסקו לה בית דין, צריכין שיספיקו מעשה ידיה לכל דבר (הכל בטור)</w:t>
      </w:r>
      <w:r w:rsidRPr="00E73AC0">
        <w:rPr>
          <w:rFonts w:hint="cs"/>
        </w:rPr>
        <w:t>:</w:t>
      </w:r>
    </w:p>
    <w:p w14:paraId="5056FC49" w14:textId="34944910" w:rsidR="001A74D9" w:rsidRDefault="001A74D9" w:rsidP="001A74D9">
      <w:pPr>
        <w:pStyle w:val="Style1"/>
        <w:rPr>
          <w:rtl/>
        </w:rPr>
      </w:pPr>
      <w:r>
        <w:rPr>
          <w:rFonts w:hint="cs"/>
          <w:rtl/>
        </w:rPr>
        <w:t>3)[</w:t>
      </w:r>
      <w:r>
        <w:rPr>
          <w:rtl/>
        </w:rPr>
        <w:t>רמב</w:t>
      </w:r>
      <w:r w:rsidR="00213DA1">
        <w:rPr>
          <w:rtl/>
        </w:rPr>
        <w:t>”ם \נשים\</w:t>
      </w:r>
      <w:r>
        <w:rPr>
          <w:rtl/>
        </w:rPr>
        <w:t xml:space="preserve"> הלכות אישות פרק יח הלכה יט</w:t>
      </w:r>
      <w:r>
        <w:rPr>
          <w:rFonts w:hint="cs"/>
          <w:rtl/>
        </w:rPr>
        <w:t xml:space="preserve">] </w:t>
      </w:r>
      <w:r>
        <w:rPr>
          <w:rtl/>
        </w:rPr>
        <w:t>אלמנה שבאת לבית דין לתבוע מזונות יש מי שהורה שפוסקין לה מזונות ואין משביעין אותה, ואין ראוי לסמוך על הוראה זו מפני שנתחלף לו הדבר באשה שהלך בעלה למדינת הים, ורבותי הורו שאין לה מזונות מבית דין עד שתשבע שהרי זו באה להפרע מנכסי יתומים וכל הנפרע מנכסי יתומים לא יפרע אלא בשבועה, ולזה דעתי נוטה ובו ראוי לדון. /השגת הראב"ד/ ורבותי הורו שאין לה מזונות מב"ד עד שתשבע. א"א והלא מה שאמ' חנן תשבע לבסוף ולא תשבע בתחילה העמידוה בששמעו בו שמת והיינו אלמנה.</w:t>
      </w:r>
    </w:p>
    <w:p w14:paraId="143A9FE8" w14:textId="78BD4F03" w:rsidR="00F0128C" w:rsidRDefault="00F0128C" w:rsidP="00F0128C">
      <w:pPr>
        <w:pStyle w:val="Style1"/>
        <w:rPr>
          <w:rtl/>
        </w:rPr>
      </w:pPr>
      <w:r>
        <w:rPr>
          <w:rFonts w:hint="cs"/>
          <w:rtl/>
        </w:rPr>
        <w:t>3)[</w:t>
      </w:r>
      <w:r>
        <w:rPr>
          <w:rtl/>
        </w:rPr>
        <w:t>שולחן ערוך אבן העזר הלכות כתובות סימן צה סעיף ו</w:t>
      </w:r>
      <w:r>
        <w:rPr>
          <w:rFonts w:hint="cs"/>
          <w:rtl/>
        </w:rPr>
        <w:t xml:space="preserve">] </w:t>
      </w:r>
      <w:r>
        <w:rPr>
          <w:rtl/>
        </w:rPr>
        <w:t>כשבאה האלמנה לב"ד לתבוע מזונותיה אין מחשבין עמה על מעשה ידיה, עד שיבואו היורשים ויתבעוה, אם ימצאו לה מעשה ידיה נוטלין אותו, ואם לאו ילכו לדרכם. ואם היורשים קטנים, ב"ד מחשבין עמה ופוסקין לה מעשה ידיה כדרך שפוסקין לה מזונות.</w:t>
      </w:r>
    </w:p>
    <w:p w14:paraId="118D1C41" w14:textId="6DAC5D35" w:rsidR="00CF237C" w:rsidRDefault="00CF237C" w:rsidP="00CF237C">
      <w:pPr>
        <w:pStyle w:val="Style1"/>
        <w:rPr>
          <w:rtl/>
        </w:rPr>
      </w:pPr>
      <w:r>
        <w:rPr>
          <w:rFonts w:hint="cs"/>
          <w:rtl/>
        </w:rPr>
        <w:t>4)[</w:t>
      </w:r>
      <w:r>
        <w:rPr>
          <w:rtl/>
        </w:rPr>
        <w:t>רמב</w:t>
      </w:r>
      <w:r w:rsidR="00213DA1">
        <w:rPr>
          <w:rtl/>
        </w:rPr>
        <w:t>”ם \נשים\</w:t>
      </w:r>
      <w:r>
        <w:rPr>
          <w:rtl/>
        </w:rPr>
        <w:t xml:space="preserve"> הלכות אישות פרק יב הלכה כא</w:t>
      </w:r>
      <w:r>
        <w:rPr>
          <w:rFonts w:hint="cs"/>
          <w:rtl/>
        </w:rPr>
        <w:t xml:space="preserve">] </w:t>
      </w:r>
      <w:r>
        <w:rPr>
          <w:rtl/>
        </w:rPr>
        <w:t>הרי שעמדה בדין ופסקו לה מזונות ומכרו בית דין ונתנו לה או שמכרה היא לעצמה ובא הבעל ואמר הנחתי לה מזונות הרי זו נשבעת בנקיטת חפץ שלא הניח לה, לא תבעה ולא מכרה אלא שהתה עד שבא, הוא אומר הנחתי והיא אומרת לא הנחת אלא לויתי מזה ונתפרנסתי, נשבע שבועת הסת שהניח לה ונפטר וישאר החוב עליה.</w:t>
      </w:r>
    </w:p>
    <w:p w14:paraId="576F0E15" w14:textId="3E3D495C" w:rsidR="00A6683C" w:rsidRDefault="00A6683C" w:rsidP="00A6683C">
      <w:pPr>
        <w:pStyle w:val="Style1"/>
        <w:rPr>
          <w:rtl/>
        </w:rPr>
      </w:pPr>
      <w:r>
        <w:rPr>
          <w:rFonts w:hint="cs"/>
          <w:rtl/>
        </w:rPr>
        <w:t>5)[</w:t>
      </w:r>
      <w:r>
        <w:rPr>
          <w:rtl/>
        </w:rPr>
        <w:t>שולחן ערוך אבן העזר הלכות כתובות סימן ע סעיף ט</w:t>
      </w:r>
      <w:r>
        <w:rPr>
          <w:rFonts w:hint="cs"/>
          <w:rtl/>
        </w:rPr>
        <w:t xml:space="preserve">] </w:t>
      </w:r>
      <w:r>
        <w:rPr>
          <w:rtl/>
        </w:rPr>
        <w:t>הבעל שאמר לאשתו בשעה שהלך: טלי מעשה ידיך למזונותיך, ושתקה,  אין לה מזונות.</w:t>
      </w:r>
    </w:p>
    <w:p w14:paraId="50342E8E" w14:textId="1DB57C45" w:rsidR="00687FF9" w:rsidRPr="00E73AC0" w:rsidRDefault="00687FF9" w:rsidP="00687FF9">
      <w:pPr>
        <w:pStyle w:val="Style1"/>
      </w:pPr>
      <w:r>
        <w:rPr>
          <w:rFonts w:hint="cs"/>
          <w:rtl/>
        </w:rPr>
        <w:t>5)[</w:t>
      </w:r>
      <w:r>
        <w:rPr>
          <w:rtl/>
        </w:rPr>
        <w:t>שולחן ערוך אבן העזר הלכות כתובות סימן ע סעיף יא</w:t>
      </w:r>
      <w:r>
        <w:rPr>
          <w:rFonts w:hint="cs"/>
          <w:rtl/>
        </w:rPr>
        <w:t xml:space="preserve">] </w:t>
      </w:r>
      <w:r>
        <w:rPr>
          <w:rtl/>
        </w:rPr>
        <w:t>הרי שלא תבעה ולא לותה ולא מכרה אלא דחקה עצמה ביום ובלילה ועשתה ואכלה, אין לה כלום, ואם עשתה והותירה, הכל שלה.</w:t>
      </w:r>
    </w:p>
    <w:p w14:paraId="6AF129E2" w14:textId="77777777" w:rsidR="000C5939" w:rsidRPr="00E73AC0" w:rsidRDefault="000C5939" w:rsidP="00E73AC0">
      <w:pPr>
        <w:pStyle w:val="Style1"/>
        <w:rPr>
          <w:rStyle w:val="Style1Char"/>
          <w:rtl/>
        </w:rPr>
      </w:pPr>
      <w:r w:rsidRPr="00E73AC0">
        <w:rPr>
          <w:rStyle w:val="Style1Char"/>
          <w:rtl/>
        </w:rPr>
        <w:br w:type="page"/>
      </w:r>
    </w:p>
    <w:p w14:paraId="40E0A87B" w14:textId="16852AF7" w:rsidR="000C5939" w:rsidRPr="00B94F6A" w:rsidRDefault="000C5939" w:rsidP="000C5939">
      <w:pPr>
        <w:bidi/>
        <w:rPr>
          <w:rFonts w:ascii="Arial" w:hAnsi="Arial" w:cs="Arial"/>
          <w:color w:val="4472C4" w:themeColor="accent1"/>
          <w:sz w:val="16"/>
          <w:szCs w:val="16"/>
        </w:rPr>
      </w:pPr>
      <w:r w:rsidRPr="001C3C1D">
        <w:rPr>
          <w:rStyle w:val="Style1Char"/>
          <w:color w:val="00B050"/>
          <w:sz w:val="22"/>
          <w:szCs w:val="22"/>
          <w:highlight w:val="yellow"/>
          <w:rtl/>
        </w:rPr>
        <w:lastRenderedPageBreak/>
        <w:t>[דף קז עמוד ב]</w:t>
      </w:r>
      <w:r w:rsidRPr="001C3C1D">
        <w:rPr>
          <w:rStyle w:val="Style1Char"/>
          <w:color w:val="00B050"/>
          <w:sz w:val="22"/>
          <w:szCs w:val="22"/>
          <w:rtl/>
        </w:rPr>
        <w:t xml:space="preserve"> </w:t>
      </w:r>
      <w:r w:rsidRPr="001C3C1D">
        <w:rPr>
          <w:rStyle w:val="Style1Char"/>
          <w:color w:val="00B050"/>
          <w:rtl/>
        </w:rPr>
        <w:t xml:space="preserve">צדקה; מ"ד צדקה, אבל תכשיט יהבינן לה, דלא ניחא ליה דתינוול. תא שמע: </w:t>
      </w:r>
      <w:r w:rsidR="0070649B">
        <w:rPr>
          <w:rStyle w:val="Style1Char"/>
          <w:rFonts w:hint="cs"/>
          <w:rtl/>
        </w:rPr>
        <w:t>(1)</w:t>
      </w:r>
      <w:r w:rsidRPr="001C3C1D">
        <w:rPr>
          <w:rStyle w:val="Style1Char"/>
          <w:color w:val="00B050"/>
          <w:rtl/>
        </w:rPr>
        <w:t>היבמה - ג' חדשים הראשונים ניזונת משל בעלה, מיכן ואילך אינה ניזונת לא משל בעלה ולא משל יבם, עמד בדין וברח - ניזונת משל יבם! אמר לך שמואל: למאי ניחוש לה להאי? אי משום צררי - לא מיקרבא דעתיה לגבה, אי משום מעשה ידיה - לא משתעבדא ליה. תא שמע</w:t>
      </w:r>
      <w:r w:rsidRPr="00836E20">
        <w:rPr>
          <w:rFonts w:ascii="Arial" w:hAnsi="Arial" w:cs="Arial"/>
          <w:color w:val="4472C4" w:themeColor="accent1"/>
          <w:sz w:val="16"/>
          <w:szCs w:val="16"/>
          <w:rtl/>
        </w:rPr>
        <w:t xml:space="preserve"> </w:t>
      </w:r>
      <w:r w:rsidRPr="00E21168">
        <w:rPr>
          <w:rFonts w:ascii="Arial" w:hAnsi="Arial" w:cs="Arial"/>
          <w:color w:val="806000" w:themeColor="accent4" w:themeShade="80"/>
          <w:rtl/>
        </w:rPr>
        <w:t>תניא</w:t>
      </w:r>
      <w:r w:rsidRPr="001C3C1D">
        <w:rPr>
          <w:rStyle w:val="Style1Char"/>
          <w:color w:val="00B050"/>
          <w:rtl/>
        </w:rPr>
        <w:t xml:space="preserve">: </w:t>
      </w:r>
      <w:r w:rsidR="000C7178">
        <w:rPr>
          <w:rStyle w:val="Style1Char"/>
          <w:rFonts w:hint="cs"/>
          <w:rtl/>
        </w:rPr>
        <w:t>(2)</w:t>
      </w:r>
      <w:r w:rsidRPr="00E21168">
        <w:rPr>
          <w:rStyle w:val="Style1Char"/>
          <w:color w:val="auto"/>
          <w:sz w:val="22"/>
          <w:szCs w:val="22"/>
          <w:rtl/>
        </w:rPr>
        <w:t xml:space="preserve">האשה שהלכה היא ובעלה למדינת הים, ובאת ואמרה מת בעלי, רצתה - ניזונת, רצתה - גובה כתובתה; גירשני בעלי, מתפרנסת והולכת עד כדי כתובתה! </w:t>
      </w:r>
      <w:r w:rsidRPr="00B94F6A">
        <w:rPr>
          <w:rFonts w:ascii="Arial" w:hAnsi="Arial" w:cs="Arial"/>
          <w:color w:val="4472C4" w:themeColor="accent1"/>
          <w:sz w:val="16"/>
          <w:szCs w:val="16"/>
          <w:rtl/>
        </w:rPr>
        <w:t xml:space="preserve">כתב רב אלפס </w:t>
      </w:r>
      <w:r w:rsidRPr="00A76670">
        <w:rPr>
          <w:rFonts w:ascii="Arial" w:hAnsi="Arial" w:cs="Arial"/>
          <w:color w:val="C00000"/>
          <w:sz w:val="16"/>
          <w:szCs w:val="16"/>
          <w:rtl/>
        </w:rPr>
        <w:t xml:space="preserve">דייקינן מינה עד </w:t>
      </w:r>
      <w:r w:rsidRPr="00CF6F93">
        <w:rPr>
          <w:rFonts w:ascii="Arial" w:hAnsi="Arial" w:cs="Arial"/>
          <w:color w:val="806000" w:themeColor="accent4" w:themeShade="80"/>
          <w:sz w:val="16"/>
          <w:szCs w:val="16"/>
          <w:rtl/>
        </w:rPr>
        <w:t>כדי כתובתה אין יתר מכדי כתובתה לא ושמעת מינה דליתא להא דגרסי' בגמרא דבני מערבא אדם שגירש אשתו ולא נתן כתובתה חייב במזונותיה עד שיפרענה עד פרוטה אחרונה דאי איתא להאי מימרא הוה ליה למתני ניזונת והולכת עד שתפרע כל כתובה ומדקתני עד כדי כתובתה שמעינן דכי מטו מזונותיה עד כדי כתובתה פקעה כתובתה במזונותיה ולא שקלה בתר הכי כלום ואף על גב דאוקמא שמואל להא מתניתא כששמעו בו שמת ההוא שינויא בעלמא הוא דהא לית הלכתא כוותיה</w:t>
      </w:r>
      <w:r w:rsidRPr="00A76670">
        <w:rPr>
          <w:rFonts w:ascii="Arial" w:hAnsi="Arial" w:cs="Arial"/>
          <w:color w:val="C00000"/>
          <w:sz w:val="16"/>
          <w:szCs w:val="16"/>
        </w:rPr>
        <w:t>:</w:t>
      </w:r>
      <w:r>
        <w:rPr>
          <w:rFonts w:ascii="Arial" w:hAnsi="Arial" w:cs="Arial" w:hint="cs"/>
          <w:color w:val="C00000"/>
          <w:sz w:val="16"/>
          <w:szCs w:val="16"/>
          <w:rtl/>
        </w:rPr>
        <w:t xml:space="preserve"> </w:t>
      </w:r>
      <w:r w:rsidRPr="00B94F6A">
        <w:rPr>
          <w:rFonts w:ascii="Arial" w:hAnsi="Arial" w:cs="Arial"/>
          <w:color w:val="4472C4" w:themeColor="accent1"/>
          <w:sz w:val="16"/>
          <w:szCs w:val="16"/>
          <w:rtl/>
        </w:rPr>
        <w:t>בפרק קמא דבבא מציעא (סי' לד) על מציאת האשה שגרשה כתבתי דלא קשה מהכא מידי לגמרא דבני מערבא</w:t>
      </w:r>
      <w:r w:rsidRPr="00B94F6A">
        <w:rPr>
          <w:rFonts w:ascii="Arial" w:hAnsi="Arial" w:cs="Arial"/>
          <w:color w:val="4472C4" w:themeColor="accent1"/>
          <w:sz w:val="16"/>
          <w:szCs w:val="16"/>
        </w:rPr>
        <w:t xml:space="preserve">: </w:t>
      </w:r>
    </w:p>
    <w:p w14:paraId="05AC4763" w14:textId="69AA49F4" w:rsidR="000C5939" w:rsidRDefault="000C5939" w:rsidP="000C5939">
      <w:pPr>
        <w:bidi/>
        <w:rPr>
          <w:rFonts w:ascii="Arial" w:hAnsi="Arial" w:cs="Arial"/>
          <w:color w:val="4472C4" w:themeColor="accent1"/>
          <w:sz w:val="16"/>
          <w:szCs w:val="16"/>
          <w:rtl/>
        </w:rPr>
      </w:pPr>
      <w:r w:rsidRPr="001C3C1D">
        <w:rPr>
          <w:rStyle w:val="Style1Char"/>
          <w:color w:val="00B050"/>
          <w:rtl/>
        </w:rPr>
        <w:t>הכא נמי כששמעו בו שמת. ומאי שנא עד כדי כתובתה? דאיהי היא דאפסידה אנפשה. תא שמע</w:t>
      </w:r>
      <w:r w:rsidRPr="00562212">
        <w:rPr>
          <w:rFonts w:ascii="Arial" w:hAnsi="Arial" w:cs="Arial"/>
          <w:color w:val="C00000"/>
          <w:sz w:val="16"/>
          <w:szCs w:val="16"/>
          <w:rtl/>
        </w:rPr>
        <w:t xml:space="preserve"> </w:t>
      </w:r>
      <w:r w:rsidRPr="00BF7878">
        <w:rPr>
          <w:rFonts w:ascii="Arial" w:hAnsi="Arial" w:cs="Arial"/>
          <w:color w:val="806000" w:themeColor="accent4" w:themeShade="80"/>
          <w:rtl/>
        </w:rPr>
        <w:t>תניא</w:t>
      </w:r>
      <w:r w:rsidRPr="001C3C1D">
        <w:rPr>
          <w:rStyle w:val="Style1Char"/>
          <w:color w:val="00B050"/>
          <w:rtl/>
        </w:rPr>
        <w:t xml:space="preserve">: </w:t>
      </w:r>
      <w:r w:rsidR="00F97D3A">
        <w:rPr>
          <w:rStyle w:val="Style1Char"/>
          <w:rFonts w:hint="cs"/>
          <w:rtl/>
        </w:rPr>
        <w:t>(3)</w:t>
      </w:r>
      <w:r w:rsidRPr="00BF7878">
        <w:rPr>
          <w:rStyle w:val="Style1Char"/>
          <w:color w:val="auto"/>
          <w:sz w:val="22"/>
          <w:szCs w:val="22"/>
          <w:rtl/>
        </w:rPr>
        <w:t xml:space="preserve">כיצד אמרו ממאנת אין לה מזונות? אי אתה יכול לומר ביושבת תחת בעלה, שהרי בעלה חייב במזונות, אלא כגון שהלך בעלה למדינת הים, לותה ואכלה עמדה ומיאנה; </w:t>
      </w:r>
      <w:r w:rsidR="00205867">
        <w:rPr>
          <w:rStyle w:val="Style1Char"/>
          <w:rFonts w:hint="cs"/>
          <w:rtl/>
        </w:rPr>
        <w:t>(4)</w:t>
      </w:r>
      <w:r w:rsidRPr="00BF7878">
        <w:rPr>
          <w:rStyle w:val="Style1Char"/>
          <w:color w:val="auto"/>
          <w:sz w:val="22"/>
          <w:szCs w:val="22"/>
          <w:rtl/>
        </w:rPr>
        <w:t xml:space="preserve">טעמא דמיאנה, הא לא מיאנה יהבינן לה! </w:t>
      </w:r>
      <w:r w:rsidRPr="00BD3630">
        <w:rPr>
          <w:rFonts w:ascii="Arial" w:hAnsi="Arial" w:cs="Arial"/>
          <w:color w:val="806000" w:themeColor="accent4" w:themeShade="80"/>
          <w:sz w:val="16"/>
          <w:szCs w:val="16"/>
          <w:rtl/>
        </w:rPr>
        <w:t>ושמעינן מהא דאפילו חנן דאמר הניח מעותיו על קרן הצבי הני מילי פרנס אבל לותה ואכלה מוציאין ממנו ותו גרסינן בפרק יש מותרות לבעליהן [יבמות פ"ה ע"א] בעא מיניה ר"א מרבי יוחנן אלמנה לכהן גדול גרושה וחלוצה לכהן הדיוט יש להן מזונות או לא ואמרינן היכי דמי אילימא ביושבת תחתיו בעמוד והוצא קאי מזוני אית לה לא צריכא כגון שהלך בעלה למדינת הים ולותה ואכלה מאי מזוני תנאי כתובה נינהו ומדאית לה כתובה אית לה מזוני וכו' שמעינן מהא דכל אשה שהלך בעלה למדינת הים ולותה ואכלה שהבעל חייב לפרוע וכן הלכתא:</w:t>
      </w:r>
      <w:r w:rsidRPr="00BD3630">
        <w:rPr>
          <w:rFonts w:ascii="Arial" w:hAnsi="Arial" w:cs="Arial"/>
          <w:color w:val="4472C4" w:themeColor="accent1"/>
          <w:sz w:val="16"/>
          <w:szCs w:val="16"/>
          <w:rtl/>
        </w:rPr>
        <w:t xml:space="preserve"> </w:t>
      </w:r>
      <w:r w:rsidRPr="00B94F6A">
        <w:rPr>
          <w:rFonts w:ascii="Arial" w:hAnsi="Arial" w:cs="Arial"/>
          <w:color w:val="4472C4" w:themeColor="accent1"/>
          <w:sz w:val="16"/>
          <w:szCs w:val="16"/>
          <w:rtl/>
        </w:rPr>
        <w:t>והתוספות כתבו דווקא אם לוותה אחר שפסקו לה ב"ד מזונות משום דקשיא להו ההיא דלעיל ואם אמר צאי מעשה ידיך במזונותיך רשאי כדפרישית לעיל (סי' ב) ומפרשי' דמתניתין דחנן דאמר אבד מעותיו משום דפרנס מעצמו הא אם לותה משלם מיירי כשפסקו לה בית דין תחלה ופשטא דמתני' לא משמע הכי דאיירי דוקא כשפסקו לה ב"ד ועוד ההיא דאלמנה לכ"ג דאיירי בלוותה בלא פסק דין דמסתמא אין פוסקין לה בית דין מזונות כל זמן שהיא יושבת תחתיו משום דבעמוד והוצא קאי ואין לומר דבעוד שהוא אצלה במדינה אינו חייב לזונה משום דבעמוד והוצא קאי אבל כשהוא במדינת הים ואינו יכול עתה לגרשה והיא מעוגנת מחמתו ב"ד פוסקין לה מזונות כיון דכתובה אית לה ואם היה כאן היו כופין אותו לגרש וליתן כתובה השתא דליתיה הכא מזוני אית לה וב"ד פוסקין לה מזונות דא"כ אמאי נקט לוותה ואכלה הכי איבעי ליה למיתני לא צריכא כגון שהלך למדינת הים ואשתו תובעת מזונות אם יורדין ב"ד לנכסיו לזונה או לא אלא ודאי אין בית דין נזקקין כלל לעסקי מזונותיה בעוד שהיא יושבת תחתיו הלכך לא בעי אלא בלותה ואכלה אם מחייבים אותו לפרוע כשהוא מגרשה הלכך נראה דאם לוותה בעדים אף בלא פסק דין חייב לפרוע ומוציאין מן הבעל מה שהלוה לה מדרבי נתן ואם אמר כשבא צאי מעשה ידיך במזונותיך רשאי ולא יפרע מה שלוותה ואף על פי שאינה מספקת לכל צרכיה ממעשה ידיה כיון שמספקת לדברים גדולים היתה דוחקת ומצמצמת עצמה קודם שתתבייש לבא לפני ב"ד על עסקי מזונותיה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w:t>
      </w:r>
      <w:r>
        <w:rPr>
          <w:rFonts w:ascii="Arial" w:hAnsi="Arial" w:cs="Arial" w:hint="cs"/>
          <w:color w:val="4472C4" w:themeColor="accent1"/>
          <w:sz w:val="16"/>
          <w:szCs w:val="16"/>
        </w:rPr>
        <w:t>‍‍‍‍</w:t>
      </w:r>
      <w:r w:rsidRPr="00B94F6A">
        <w:rPr>
          <w:rFonts w:ascii="Arial" w:hAnsi="Arial" w:cs="Arial"/>
          <w:color w:val="4472C4" w:themeColor="accent1"/>
          <w:sz w:val="16"/>
          <w:szCs w:val="16"/>
          <w:rtl/>
        </w:rPr>
        <w:t>אבל ב"ד אין פותחין לו בטענה זו אלא אומרים לו צא ופרע מה שלותה ואם מעצמו יטעון רשאי אם ידוע שהיתה מספקת לדברים גדולים אבל אם אינה בת מלאכה לאו כל כמיניה לטעון כן ואם קדמו ב"ד ופסקו כיון שכבר באת לפני ב"ד גלתה דעתה שאינה רוצה להתפרנס בדוחק אין לו טענה עוד על מעשה ידיה כי מסתמא כשפסקו לה מזונות דקדקו מה שצריכה יותר על מעשה ידיה שהיא רגילה לעשות ודלא כהרמב"ם ז"ל שכתב (פי"ב מהל' אישות הלט"ז) שמי שהלך למדינת הים ואשתו תובעת מזונות שאין ב"ד אומרים לה שתעשה ותאכל אלא פוסקין לה מזונות דלא מסתבר כלל שהדבר ראוי כשנפרעים מנכסי אדם שלא בפניו שיש להפך בזכותו הואיל ובגרמא דידיה מפסידו</w:t>
      </w:r>
      <w:r w:rsidRPr="00B94F6A">
        <w:rPr>
          <w:rFonts w:ascii="Arial" w:hAnsi="Arial" w:cs="Arial"/>
          <w:color w:val="4472C4" w:themeColor="accent1"/>
          <w:sz w:val="16"/>
          <w:szCs w:val="16"/>
        </w:rPr>
        <w:t xml:space="preserve">: </w:t>
      </w:r>
    </w:p>
    <w:p w14:paraId="3D3B4621" w14:textId="77777777" w:rsidR="000C5939" w:rsidRPr="00B94F6A" w:rsidRDefault="000C5939" w:rsidP="000C5939">
      <w:pPr>
        <w:bidi/>
        <w:rPr>
          <w:rFonts w:ascii="Arial" w:hAnsi="Arial" w:cs="Arial"/>
          <w:color w:val="4472C4" w:themeColor="accent1"/>
          <w:sz w:val="16"/>
          <w:szCs w:val="16"/>
        </w:rPr>
      </w:pPr>
      <w:r w:rsidRPr="00B94F6A">
        <w:rPr>
          <w:rFonts w:ascii="Arial" w:hAnsi="Arial" w:cs="Arial"/>
          <w:color w:val="4472C4" w:themeColor="accent1"/>
          <w:sz w:val="16"/>
          <w:szCs w:val="16"/>
          <w:rtl/>
        </w:rPr>
        <w:t>כתב עוד הרמב"ם ז"ל (פי"ב וי"ח שם) יש מן הגאונים שהורו שאין פוסקין מזונות לאשה שהלך בעלה למדינת הים עד שיהיה שטר כתובתה יוצאה מתחת ידה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ואם לא תוציא שטר כתובה אין לה מזונות שמא נטלה כתובתה מבעלה או מחלה לו שאין לה מזונות ויש מי שהורה שפוסקין לה בחזקת שלא נטלה ולא מחלה ואין מצריכין אותה להביא כתובה ודעתי נוטה לזה במי שהלך בעלה למדינת הים הואיל ויש לה מזונות מן התורה אבל מת בעלה אין לה מזונות עד שתביא כתובתה הואיל והיא אוכלת בתקנת חכמים ועוד מפני שניזונת מנכסי יורשין ולעולם טוענין ליורש ודבריו תמוהין דהא שמואל מוקי מלתא דחנן כששמעו בו שמת והיא ניזונת בלא שבועה ובהלך בעלה אפי' בשבועה אינה ניזונת ואף על גב דליתא לדשמואל</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מ"מ בסברא זו לא מצינו חולק עליו דסברא מרווחת היא להצריכה יותר שבועה בחייו מבמותו דבמותו מסתמא עומדת לגבות כתובתה ותשבע בסוף אבל בחייו לא נתנה כתובתה לגבות בחייו ושמא תמות בחייו ולא תבוא לידי שבועה לעולם ומה שכתב מפני שניזונת מנכסי יורשים וטוענין ליורש אמרי נואש הן</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דכמו שטוענין ליורש ולוקח יותר ראוי לטעון למי שיורדין ליפרע מנכסיו שלא בפניו דאין לו מי יטעון בשבילו וכגון זה פתח פיך לאלם. ומה שכתב שבחייו ניזונת מן התורה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הא ליתא דכל אמוראי סברי (לעיל מז ב נח ב נט א) דמזונות האשה דרבנן אלא דפליגי אי מזוני עיקר התקנה ותקנו מעשה ידיה תחת מזונות או מעשה ידיה עיקר ותקנו מזונות תחת מעשה ידיה ועוד דקיימא לן דגובה כתובתה בעידי מיתה אף על פי שאין</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שטר כתובתה בידה דהטוען אחר מעשה בית דין לא אמר כלום וכל שכן דיש לה מזונות דנכסים בחזקתה הן לעניין מזונות כדתני לוי (לעיל דף צו ב) אלמנה כל זמן שלא נשאת על היתומים להביא ראיה</w:t>
      </w:r>
      <w:r w:rsidRPr="00B94F6A">
        <w:rPr>
          <w:rFonts w:ascii="Arial" w:hAnsi="Arial" w:cs="Arial"/>
          <w:color w:val="4472C4" w:themeColor="accent1"/>
          <w:sz w:val="16"/>
          <w:szCs w:val="16"/>
        </w:rPr>
        <w:t xml:space="preserve">: </w:t>
      </w:r>
    </w:p>
    <w:p w14:paraId="25FE3D6D" w14:textId="77777777" w:rsidR="000C5939" w:rsidRPr="00B94F6A" w:rsidRDefault="000C5939" w:rsidP="000C5939">
      <w:pPr>
        <w:bidi/>
        <w:rPr>
          <w:rFonts w:ascii="Arial" w:hAnsi="Arial" w:cs="Arial"/>
          <w:color w:val="4472C4" w:themeColor="accent1"/>
          <w:sz w:val="16"/>
          <w:szCs w:val="16"/>
        </w:rPr>
      </w:pPr>
      <w:r w:rsidRPr="00B94F6A">
        <w:rPr>
          <w:rFonts w:ascii="Arial" w:hAnsi="Arial" w:cs="Arial"/>
          <w:color w:val="4472C4" w:themeColor="accent1"/>
          <w:sz w:val="16"/>
          <w:szCs w:val="16"/>
          <w:rtl/>
        </w:rPr>
        <w:t>כתב ה"ר מאיר הלוי ז"ל ממה שחייב הבעל לשלם מה שלותה אשתו קטנה שמעי' דקטן שלוה בקטנותו משיגדיל חייב לשלם דאי ס"ד דקטן שלוה פטור אמאי משלם הבעל מה שלוותה דכל היכא דאיהי פטורה בעל נמי לא מיחייב דקיימא לן כחנן דאמר הניח מעותיו על קרן הצבי אלא הכא היינו טעמא דמיחייב משום דשקלא להו בתורת הלואה וכיון דאיהי מיחייבה למלוה בעלה נמי מיחייב ובשם ה"ר יונה ז"ל כתבו שנחלק עליו דלא מסתבר שהקטן יקח הלואות בעודו קטן ויבזבז ממונו וכישגדיל נחייבנו לפרוע ומה שהביא ראיה מממאנת אינה ראיה דשאני הכא שהוא חייב וידוע לבעל הלכך מוציא המלוה מידה או מיד הבעל. אבל קטן שאין חייב אם אתה אומר שחייב לפרוע כשיגדיל נמצא מבזבז כל ממונו ונראה לי אם הוא ידוע שלוה לצורך מזונותיו נפרעין ממנו אפי' כשהוא קטן כמו שאמרו חכמים (גיטין נט א) דפעוטות מקחן מקח וממכרן ממכר במטלטלין משום כדי חייו.</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גם הלואתו הלואה כדי שימצא לו מלוה בשעת דוחקו אבל אם אין ידוע שהלוה לצורך מזונותיו אין נתינת קטן כלום ואין נפרעין ממנו לכשיגדיל</w:t>
      </w:r>
      <w:r w:rsidRPr="00B94F6A">
        <w:rPr>
          <w:rFonts w:ascii="Arial" w:hAnsi="Arial" w:cs="Arial"/>
          <w:color w:val="4472C4" w:themeColor="accent1"/>
          <w:sz w:val="16"/>
          <w:szCs w:val="16"/>
        </w:rPr>
        <w:t xml:space="preserve">: </w:t>
      </w:r>
    </w:p>
    <w:p w14:paraId="2587457B" w14:textId="4308AF5C" w:rsidR="000C5939" w:rsidRDefault="000C5939" w:rsidP="000C5939">
      <w:pPr>
        <w:bidi/>
        <w:rPr>
          <w:rStyle w:val="Style1Char"/>
          <w:color w:val="00B050"/>
          <w:rtl/>
        </w:rPr>
      </w:pPr>
      <w:r w:rsidRPr="00BD3630">
        <w:rPr>
          <w:rFonts w:ascii="Arial" w:hAnsi="Arial" w:cs="Arial"/>
          <w:color w:val="806000" w:themeColor="accent4" w:themeShade="80"/>
          <w:sz w:val="16"/>
          <w:szCs w:val="16"/>
          <w:rtl/>
        </w:rPr>
        <w:t xml:space="preserve"> </w:t>
      </w:r>
      <w:r w:rsidRPr="001C3C1D">
        <w:rPr>
          <w:rStyle w:val="Style1Char"/>
          <w:color w:val="00B050"/>
          <w:rtl/>
        </w:rPr>
        <w:t xml:space="preserve">אמר לך שמואל: הכא למאי ניחוש לה? אי משום צררי - צררי לקטנה לא מתפיס, ואי משום מעשה ידיה - קטנה לא ספקה. מאי הוה עלה? כי אתא רב דימי אמר: מעשה בא לפני רבי בבית שערים, ופסק לה מזונות, לפני רבי ישמעאל בצפורי, ולא פסק לה מזונות; תהי בה רבי יוחנן, וכי מה ראה רבי ישמעאל שלא פסק לה מזונות? הא לא נחלקו בני כהנים גדולים וחנן אלא לענין שבועה, אבל מזוני יהבינן לה! א"ל רב שמן בר אבא, כבר תרגמה רבינו שמואל בבבל: כששמעו בו שמת, א"ל: פתריתו בה כולי האי. כי אתא רבין אמר: מעשה בא לפני רבי בבית שערים, ולא פסק לה מזונות, לפני רבי ישמעאל בציפורי, ופסק לה מזונות; א"ר יוחנן: מה ראה רבי שלא פסק לה? דהא לא נחלקו חנן ובני כהנים גדולים אלא לענין שבועה, אבל מזונות יהבינן לה! אמר ליה רב שמן בר אבא, כבר תרגמה שמואל בבבל: כששמעו בו שמת, אמר ליה: פתריתו בה כולי האי. והלכתא כותיה דרב, ופוסקין מזונות לאשת איש. והלכתא כותיה דרב הונא אמר רב, דאמר רב הונא אמר רב: יכולה אשה שתאמר לבעלה איני ניזונת ואיני עושה. והלכתא כותיה דרב זביד בקוניא, דאמר רב זביד: </w:t>
      </w:r>
      <w:r w:rsidR="00362390">
        <w:rPr>
          <w:rStyle w:val="Style1Char"/>
          <w:rFonts w:hint="cs"/>
          <w:rtl/>
        </w:rPr>
        <w:t>(</w:t>
      </w:r>
      <w:r w:rsidR="000B4FEE">
        <w:rPr>
          <w:rStyle w:val="Style1Char"/>
          <w:rFonts w:hint="cs"/>
          <w:rtl/>
        </w:rPr>
        <w:t>5</w:t>
      </w:r>
      <w:r w:rsidR="00362390">
        <w:rPr>
          <w:rStyle w:val="Style1Char"/>
          <w:rFonts w:hint="cs"/>
          <w:rtl/>
        </w:rPr>
        <w:t>)</w:t>
      </w:r>
      <w:r w:rsidRPr="001C3C1D">
        <w:rPr>
          <w:rStyle w:val="Style1Char"/>
          <w:color w:val="00B050"/>
          <w:rtl/>
        </w:rPr>
        <w:t xml:space="preserve">הני מאני דקוניא, </w:t>
      </w:r>
      <w:r w:rsidR="00DB7EEF">
        <w:rPr>
          <w:rStyle w:val="Style1Char"/>
          <w:rFonts w:hint="cs"/>
          <w:rtl/>
        </w:rPr>
        <w:t>(</w:t>
      </w:r>
      <w:r w:rsidR="000B4FEE">
        <w:rPr>
          <w:rStyle w:val="Style1Char"/>
          <w:rFonts w:hint="cs"/>
          <w:rtl/>
        </w:rPr>
        <w:t>6</w:t>
      </w:r>
      <w:r w:rsidR="00DB7EEF">
        <w:rPr>
          <w:rStyle w:val="Style1Char"/>
          <w:rFonts w:hint="cs"/>
          <w:rtl/>
        </w:rPr>
        <w:t>)</w:t>
      </w:r>
      <w:r w:rsidRPr="001C3C1D">
        <w:rPr>
          <w:rStyle w:val="Style1Char"/>
          <w:color w:val="00B050"/>
          <w:rtl/>
        </w:rPr>
        <w:t xml:space="preserve">חיורי ואוכמי - שרו, ירוקין - אסירי. ולא אמרן </w:t>
      </w:r>
      <w:r w:rsidR="00CC1DA6">
        <w:rPr>
          <w:rStyle w:val="Style1Char"/>
          <w:rFonts w:hint="cs"/>
          <w:rtl/>
        </w:rPr>
        <w:t>(</w:t>
      </w:r>
      <w:r w:rsidR="000B4FEE">
        <w:rPr>
          <w:rStyle w:val="Style1Char"/>
          <w:rFonts w:hint="cs"/>
          <w:rtl/>
        </w:rPr>
        <w:t>6</w:t>
      </w:r>
      <w:r w:rsidR="00CC1DA6">
        <w:rPr>
          <w:rStyle w:val="Style1Char"/>
          <w:rFonts w:hint="cs"/>
          <w:rtl/>
        </w:rPr>
        <w:t>)</w:t>
      </w:r>
      <w:r w:rsidRPr="001C3C1D">
        <w:rPr>
          <w:rStyle w:val="Style1Char"/>
          <w:color w:val="00B050"/>
          <w:rtl/>
        </w:rPr>
        <w:t xml:space="preserve">אלא דלית בהו קרטופני, אבל אית בהו קרטופני - אסירי. </w:t>
      </w:r>
    </w:p>
    <w:p w14:paraId="51815314" w14:textId="71F7F4AA" w:rsidR="000C5939" w:rsidRPr="00B94F6A" w:rsidRDefault="000C5939" w:rsidP="000C5939">
      <w:pPr>
        <w:bidi/>
        <w:rPr>
          <w:rFonts w:ascii="Arial" w:hAnsi="Arial" w:cs="Arial"/>
          <w:color w:val="4472C4" w:themeColor="accent1"/>
          <w:sz w:val="16"/>
          <w:szCs w:val="16"/>
        </w:rPr>
      </w:pPr>
      <w:r w:rsidRPr="00F21DAA">
        <w:rPr>
          <w:rStyle w:val="Style1Char"/>
          <w:color w:val="auto"/>
          <w:sz w:val="22"/>
          <w:szCs w:val="22"/>
          <w:rtl/>
        </w:rPr>
        <w:t xml:space="preserve">מתני'. מי שהלך למדינת הים, ועמד אחד ופירנס את אשתו, חנן אומר: איבד את מעותיו, נחלקו עליו בני כהנים גדולים ואמרו: ישבע כמה הוציא ויטול. א"ר דוסא בן הרכינס: כדבריהם. א"ר יוחנן בן זכאי: </w:t>
      </w:r>
      <w:r w:rsidR="00B370D5">
        <w:rPr>
          <w:rStyle w:val="Style1Char"/>
          <w:rFonts w:hint="cs"/>
          <w:rtl/>
        </w:rPr>
        <w:t>(4)</w:t>
      </w:r>
      <w:r w:rsidRPr="00F21DAA">
        <w:rPr>
          <w:rStyle w:val="Style1Char"/>
          <w:color w:val="auto"/>
          <w:sz w:val="22"/>
          <w:szCs w:val="22"/>
          <w:rtl/>
        </w:rPr>
        <w:t xml:space="preserve">יפה אמר חנן הניח מעותיו על קרן הצבי. </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ולא דמי להא דאמרי' (ב"מ דף קא א) היורד לתוך שדה חבירו ונטעה שלא ברשות שמין לו כאריס ולבונה חורבתו של חבירו </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דנותן לו מה שמהנהו דהתם השבח שהשביח הנכסים הוא בעין ודין הוא שיטלנו אבל הכא לא השביח לו שבח אלא שהצילו מגביית בעל חובו </w:t>
      </w:r>
      <w:r w:rsidRPr="00B94F6A">
        <w:rPr>
          <w:rFonts w:ascii="Arial" w:hAnsi="Arial" w:cs="Arial"/>
          <w:color w:val="4472C4" w:themeColor="accent1"/>
          <w:sz w:val="16"/>
          <w:szCs w:val="16"/>
          <w:rtl/>
        </w:rPr>
        <w:lastRenderedPageBreak/>
        <w:t>ולאו מידי קא יהיב ליה ודמי למבריח ארי מנכסי חבירו דאע"ג דמהנהו לא יהיב ליה מידי כדאיתא בנדרים פרק אין בין המודר (דף לג א) ודין מבריח ארי כתבתי בפ' הכונס צאן לדיר (סי' ו)</w:t>
      </w:r>
      <w:r w:rsidRPr="00B94F6A">
        <w:rPr>
          <w:rFonts w:ascii="Arial" w:hAnsi="Arial" w:cs="Arial"/>
          <w:color w:val="4472C4" w:themeColor="accent1"/>
          <w:sz w:val="16"/>
          <w:szCs w:val="16"/>
        </w:rPr>
        <w:t>:</w:t>
      </w:r>
    </w:p>
    <w:p w14:paraId="695D0679" w14:textId="7B11398A" w:rsidR="000C5939" w:rsidRDefault="000C5939" w:rsidP="000C5939">
      <w:pPr>
        <w:bidi/>
        <w:rPr>
          <w:rStyle w:val="Style1Char"/>
          <w:color w:val="auto"/>
          <w:sz w:val="22"/>
          <w:szCs w:val="22"/>
          <w:rtl/>
        </w:rPr>
      </w:pPr>
      <w:r w:rsidRPr="00034A0F">
        <w:rPr>
          <w:rStyle w:val="Style1Char"/>
          <w:color w:val="auto"/>
          <w:sz w:val="22"/>
          <w:szCs w:val="22"/>
          <w:rtl/>
        </w:rPr>
        <w:t xml:space="preserve">גמ'. תנן התם: המודר הנאה מחבירו – </w:t>
      </w:r>
    </w:p>
    <w:p w14:paraId="5ED963B5" w14:textId="4A2832BC" w:rsidR="0070649B" w:rsidRDefault="0070649B" w:rsidP="0070649B">
      <w:pPr>
        <w:pStyle w:val="Style1"/>
        <w:rPr>
          <w:rStyle w:val="Style1Char"/>
          <w:rtl/>
        </w:rPr>
      </w:pPr>
      <w:r>
        <w:rPr>
          <w:rStyle w:val="Style1Char"/>
          <w:rFonts w:hint="cs"/>
          <w:rtl/>
        </w:rPr>
        <w:t>1)[</w:t>
      </w:r>
      <w:r w:rsidRPr="0070649B">
        <w:rPr>
          <w:rStyle w:val="Style1Char"/>
          <w:rtl/>
        </w:rPr>
        <w:t>רמב</w:t>
      </w:r>
      <w:r w:rsidR="00213DA1">
        <w:rPr>
          <w:rStyle w:val="Style1Char"/>
          <w:rtl/>
        </w:rPr>
        <w:t>”ם \נשים\</w:t>
      </w:r>
      <w:r w:rsidRPr="0070649B">
        <w:rPr>
          <w:rStyle w:val="Style1Char"/>
          <w:rtl/>
        </w:rPr>
        <w:t xml:space="preserve"> הלכות אישות פרק יח הלכה טו</w:t>
      </w:r>
      <w:r>
        <w:rPr>
          <w:rStyle w:val="Style1Char"/>
          <w:rFonts w:hint="cs"/>
          <w:rtl/>
        </w:rPr>
        <w:t xml:space="preserve">] </w:t>
      </w:r>
      <w:r w:rsidRPr="0070649B">
        <w:rPr>
          <w:rStyle w:val="Style1Char"/>
          <w:rtl/>
        </w:rPr>
        <w:t>אלמנה שנפלה לפני יבם בשלשה חדשים הראשונים ניזונת משל בעל, ואם הוכר העובר וכן אם הניחה מעוברת ניזונת והולכת עד שתלד, ילדה בן של קיימא ניזונת והולכת כל ימי אלמנותה כשאר הנשים, לא נמצאת מעוברת אחר השלשה חדשים או שהפילה אינה ניזונת לא משל בעל ולא משל יבם אלא תובעת יבמה לכנוס או לחלוץ.</w:t>
      </w:r>
    </w:p>
    <w:p w14:paraId="68173400" w14:textId="7356C25B" w:rsidR="00E745EC" w:rsidRDefault="00C911EF" w:rsidP="00E745EC">
      <w:pPr>
        <w:pStyle w:val="Style1"/>
        <w:rPr>
          <w:rtl/>
        </w:rPr>
      </w:pPr>
      <w:r>
        <w:rPr>
          <w:rStyle w:val="Style1Char"/>
          <w:rFonts w:hint="cs"/>
          <w:rtl/>
        </w:rPr>
        <w:t>1)[</w:t>
      </w:r>
      <w:r w:rsidRPr="00C911EF">
        <w:rPr>
          <w:rStyle w:val="Style1Char"/>
          <w:rtl/>
        </w:rPr>
        <w:t>שולחן ערוך אבן העזר הלכות יבום סימן קס סעיף א</w:t>
      </w:r>
      <w:r>
        <w:rPr>
          <w:rStyle w:val="Style1Char"/>
          <w:rFonts w:hint="cs"/>
          <w:rtl/>
        </w:rPr>
        <w:t>]</w:t>
      </w:r>
      <w:r w:rsidR="00E745EC">
        <w:rPr>
          <w:rStyle w:val="Style1Char"/>
          <w:rFonts w:hint="cs"/>
          <w:rtl/>
        </w:rPr>
        <w:t xml:space="preserve"> </w:t>
      </w:r>
      <w:r w:rsidR="00E745EC" w:rsidRPr="00E745EC">
        <w:rPr>
          <w:rtl/>
        </w:rPr>
        <w:t>יבמה, שלשה חדשים </w:t>
      </w:r>
      <w:r w:rsidR="00E745EC" w:rsidRPr="00E745EC">
        <w:rPr>
          <w:rFonts w:hint="cs"/>
        </w:rPr>
        <w:t>(</w:t>
      </w:r>
      <w:r w:rsidR="00E745EC" w:rsidRPr="00E745EC">
        <w:rPr>
          <w:rFonts w:hint="cs"/>
          <w:rtl/>
        </w:rPr>
        <w:t>הראשונים</w:t>
      </w:r>
      <w:r w:rsidR="00E745EC" w:rsidRPr="00E745EC">
        <w:rPr>
          <w:rFonts w:hint="cs"/>
        </w:rPr>
        <w:t>)</w:t>
      </w:r>
      <w:r w:rsidR="00E745EC" w:rsidRPr="00E745EC">
        <w:t xml:space="preserve">, </w:t>
      </w:r>
      <w:r w:rsidR="00E745EC" w:rsidRPr="00E745EC">
        <w:rPr>
          <w:rtl/>
        </w:rPr>
        <w:t>נזונת משל בעלה ומעשה ידיה ליבם; מכאן ואילך אינה נזונת לא משל בעל ולא משל יבם. עמד בדין </w:t>
      </w:r>
      <w:r w:rsidR="00E745EC" w:rsidRPr="00E745EC">
        <w:rPr>
          <w:rFonts w:hint="cs"/>
          <w:rtl/>
        </w:rPr>
        <w:t>לאחר שלשה חדשים</w:t>
      </w:r>
      <w:r w:rsidR="00E745EC" w:rsidRPr="00E745EC">
        <w:rPr>
          <w:rFonts w:hint="cs"/>
        </w:rPr>
        <w:t xml:space="preserve"> (</w:t>
      </w:r>
      <w:hyperlink r:id="rId282" w:tooltip="תשובות ריב&quot;ש/קד" w:history="1">
        <w:r w:rsidR="00E745EC" w:rsidRPr="00E745EC">
          <w:rPr>
            <w:rStyle w:val="Hyperlink"/>
            <w:rFonts w:hint="cs"/>
            <w:color w:val="7030A0"/>
            <w:u w:val="none"/>
            <w:rtl/>
          </w:rPr>
          <w:t>ריב"ש סימן ק"ד</w:t>
        </w:r>
      </w:hyperlink>
      <w:r w:rsidR="00E745EC" w:rsidRPr="00E745EC">
        <w:rPr>
          <w:rFonts w:hint="cs"/>
        </w:rPr>
        <w:t>)</w:t>
      </w:r>
      <w:r w:rsidR="00E745EC" w:rsidRPr="00E745EC">
        <w:t> </w:t>
      </w:r>
      <w:r w:rsidR="00E745EC" w:rsidRPr="00E745EC">
        <w:rPr>
          <w:rtl/>
        </w:rPr>
        <w:t>ותבעתו ליבם או לחלץ </w:t>
      </w:r>
      <w:r w:rsidR="00E745EC" w:rsidRPr="00E745EC">
        <w:rPr>
          <w:rFonts w:hint="cs"/>
          <w:rtl/>
        </w:rPr>
        <w:t>לפני בית דין</w:t>
      </w:r>
      <w:r w:rsidR="00E745EC" w:rsidRPr="00E745EC">
        <w:t xml:space="preserve">, </w:t>
      </w:r>
      <w:r w:rsidR="00E745EC" w:rsidRPr="00E745EC">
        <w:rPr>
          <w:rtl/>
        </w:rPr>
        <w:t>ונתרצה ליבם וארעו אנס, שחלה או שהצרך לברח מחמת ממון או מחמת מרדין, חיב במזונותיה בלא שבועה</w:t>
      </w:r>
      <w:r w:rsidR="00E745EC" w:rsidRPr="00E745EC">
        <w:t>:</w:t>
      </w:r>
    </w:p>
    <w:p w14:paraId="626B0E80" w14:textId="45CF0F72" w:rsidR="001B31F0" w:rsidRDefault="001B31F0" w:rsidP="001B31F0">
      <w:pPr>
        <w:pStyle w:val="Style1"/>
        <w:rPr>
          <w:rStyle w:val="Style1Char"/>
          <w:rtl/>
        </w:rPr>
      </w:pPr>
      <w:r>
        <w:rPr>
          <w:rStyle w:val="Style1Char"/>
          <w:rFonts w:hint="cs"/>
          <w:rtl/>
        </w:rPr>
        <w:t>2)[</w:t>
      </w:r>
      <w:r w:rsidRPr="001B31F0">
        <w:rPr>
          <w:rStyle w:val="Style1Char"/>
          <w:rtl/>
        </w:rPr>
        <w:t>רמב</w:t>
      </w:r>
      <w:r w:rsidR="00213DA1">
        <w:rPr>
          <w:rStyle w:val="Style1Char"/>
          <w:rtl/>
        </w:rPr>
        <w:t>”ם \נשים\</w:t>
      </w:r>
      <w:r w:rsidRPr="001B31F0">
        <w:rPr>
          <w:rStyle w:val="Style1Char"/>
          <w:rtl/>
        </w:rPr>
        <w:t xml:space="preserve"> הלכות אישות פרק יח הלכה כד</w:t>
      </w:r>
      <w:r>
        <w:rPr>
          <w:rStyle w:val="Style1Char"/>
          <w:rFonts w:hint="cs"/>
          <w:rtl/>
        </w:rPr>
        <w:t xml:space="preserve">] </w:t>
      </w:r>
      <w:r w:rsidRPr="001B31F0">
        <w:rPr>
          <w:rStyle w:val="Style1Char"/>
          <w:rtl/>
        </w:rPr>
        <w:t>האשה שהלכה היא ובעלה למדינת הים ובאה ואמרה מת בעלי רצת ניזונת כדין כל האלמנות רצת נוטלת כתובתה, אמרה גרשני בעלי אינה נאמנת וניזונת מנכסיו עד כדי כתובתה מכל פנים, שאם עדיין היא אשתו יש לה מזונות ואם גרשה כמו שאמרה יש לה כתובה שהרי כתובתה בידה, לפיכך נוטלת מזונות עד כדי כתובתה והולכת לה.</w:t>
      </w:r>
    </w:p>
    <w:p w14:paraId="4415672D" w14:textId="5EE602B8" w:rsidR="009742A9" w:rsidRDefault="009742A9" w:rsidP="009742A9">
      <w:pPr>
        <w:pStyle w:val="Style1"/>
        <w:rPr>
          <w:rStyle w:val="Style1Char"/>
          <w:rtl/>
        </w:rPr>
      </w:pPr>
      <w:r>
        <w:rPr>
          <w:rStyle w:val="Style1Char"/>
          <w:rFonts w:hint="cs"/>
          <w:rtl/>
        </w:rPr>
        <w:t>2)[</w:t>
      </w:r>
      <w:r w:rsidRPr="009742A9">
        <w:rPr>
          <w:rStyle w:val="Style1Char"/>
          <w:rtl/>
        </w:rPr>
        <w:t>שולחן ערוך אבן העזר הלכות כתובות סימן צג סעיף יז</w:t>
      </w:r>
      <w:r>
        <w:rPr>
          <w:rStyle w:val="Style1Char"/>
          <w:rFonts w:hint="cs"/>
          <w:rtl/>
        </w:rPr>
        <w:t xml:space="preserve">] </w:t>
      </w:r>
      <w:r w:rsidRPr="009742A9">
        <w:rPr>
          <w:rStyle w:val="Style1Char"/>
          <w:rtl/>
        </w:rPr>
        <w:t>אשה שהלכה היא ובעלה למדינת הים, ובאה ואמרה: מת בעלי, רצתה ניזונת, רצתה נוטלת כתובה. אבל אם אמרה: גרשני בעלי, אינה נאמנת, וניזונת מנכסיו עד כדי כתובתה.</w:t>
      </w:r>
    </w:p>
    <w:p w14:paraId="39033D3D" w14:textId="449AA5D9" w:rsidR="0027190B" w:rsidRDefault="0027190B" w:rsidP="0027190B">
      <w:pPr>
        <w:pStyle w:val="Style1"/>
        <w:rPr>
          <w:rStyle w:val="Style1Char"/>
          <w:rtl/>
        </w:rPr>
      </w:pPr>
      <w:r>
        <w:rPr>
          <w:rStyle w:val="Style1Char"/>
          <w:rFonts w:hint="cs"/>
          <w:rtl/>
        </w:rPr>
        <w:t>3)[</w:t>
      </w:r>
      <w:r w:rsidRPr="0027190B">
        <w:rPr>
          <w:rStyle w:val="Style1Char"/>
          <w:rtl/>
        </w:rPr>
        <w:t>רמב</w:t>
      </w:r>
      <w:r w:rsidR="00213DA1">
        <w:rPr>
          <w:rStyle w:val="Style1Char"/>
          <w:rtl/>
        </w:rPr>
        <w:t>”ם \נשים\</w:t>
      </w:r>
      <w:r w:rsidRPr="0027190B">
        <w:rPr>
          <w:rStyle w:val="Style1Char"/>
          <w:rtl/>
        </w:rPr>
        <w:t xml:space="preserve"> הלכות אישות פרק כד הלכה ה</w:t>
      </w:r>
      <w:r>
        <w:rPr>
          <w:rStyle w:val="Style1Char"/>
          <w:rFonts w:hint="cs"/>
          <w:rtl/>
        </w:rPr>
        <w:t xml:space="preserve">] </w:t>
      </w:r>
      <w:r w:rsidRPr="0027190B">
        <w:rPr>
          <w:rStyle w:val="Style1Char"/>
          <w:rtl/>
        </w:rPr>
        <w:t>הממאנת אין לה עיקר כתובה אבל תוספת יש לה, ואין מוציאין מן הבעל פירות שאכל, ואם לותה כשהיתה תחתיו ואכלה ואחר כך מיאנה אין מוציאין אותן מזונות מן הבעל.</w:t>
      </w:r>
    </w:p>
    <w:p w14:paraId="2E447386" w14:textId="6222C7B7" w:rsidR="00346793" w:rsidRDefault="00346793" w:rsidP="00346793">
      <w:pPr>
        <w:pStyle w:val="Style1"/>
        <w:rPr>
          <w:rtl/>
        </w:rPr>
      </w:pPr>
      <w:r>
        <w:rPr>
          <w:rFonts w:hint="cs"/>
          <w:rtl/>
        </w:rPr>
        <w:t>3)[</w:t>
      </w:r>
      <w:r>
        <w:rPr>
          <w:rtl/>
        </w:rPr>
        <w:t>שולחן ערוך אבן העזר הלכות כתובות סימן קטז סעיף ה</w:t>
      </w:r>
      <w:r>
        <w:rPr>
          <w:rFonts w:hint="cs"/>
          <w:rtl/>
        </w:rPr>
        <w:t xml:space="preserve">] </w:t>
      </w:r>
      <w:r w:rsidRPr="00203438">
        <w:rPr>
          <w:rtl/>
        </w:rPr>
        <w:t>הממאנת, אין לה מנה ומאתים אבל יש לה תוספות; וחייב לזונה ולפדותה כל זמן שהיא תחתיו, ואוכל פירותיה, אבל אם הלך למדינת הים ולוותה למזונותיה או לפדיונה ואחר כך מיאנה, אינו חייב לשלם אף על פי שאכל פירותיה, ואפילו הם בעין</w:t>
      </w:r>
      <w:r w:rsidRPr="00203438">
        <w:t>:</w:t>
      </w:r>
    </w:p>
    <w:p w14:paraId="6B5494B0" w14:textId="5CF47295" w:rsidR="00A94F71" w:rsidRDefault="00A94F71" w:rsidP="00A94F71">
      <w:pPr>
        <w:pStyle w:val="Style1"/>
        <w:rPr>
          <w:rtl/>
        </w:rPr>
      </w:pPr>
      <w:r>
        <w:rPr>
          <w:rFonts w:hint="cs"/>
          <w:rtl/>
        </w:rPr>
        <w:t>4)[</w:t>
      </w:r>
      <w:r>
        <w:rPr>
          <w:rtl/>
        </w:rPr>
        <w:t>רמב</w:t>
      </w:r>
      <w:r w:rsidR="00213DA1">
        <w:rPr>
          <w:rtl/>
        </w:rPr>
        <w:t>”ם \נשים\</w:t>
      </w:r>
      <w:r>
        <w:rPr>
          <w:rtl/>
        </w:rPr>
        <w:t xml:space="preserve"> הלכות אישות פרק יב הלכה יט</w:t>
      </w:r>
      <w:r>
        <w:rPr>
          <w:rFonts w:hint="cs"/>
          <w:rtl/>
        </w:rPr>
        <w:t xml:space="preserve">] </w:t>
      </w:r>
      <w:r>
        <w:rPr>
          <w:rtl/>
        </w:rPr>
        <w:t>הלך בעלה ולותה ואכלה כשיבוא חייב לשלם, עמד אחד מדעת עצמו וזנה משלו אם יבוא הבעל אינו חייב לשלם לו והרי זה איבד את מעותיו מפני שלא צוהו לזונה והיא לא לותה ממנו.</w:t>
      </w:r>
    </w:p>
    <w:p w14:paraId="2FBF0B51" w14:textId="6DC21E5C" w:rsidR="00584B06" w:rsidRPr="00584B06" w:rsidRDefault="00C81C13" w:rsidP="00584B06">
      <w:pPr>
        <w:pStyle w:val="Style1"/>
      </w:pPr>
      <w:r>
        <w:rPr>
          <w:rFonts w:hint="cs"/>
          <w:rtl/>
        </w:rPr>
        <w:t>4)[</w:t>
      </w:r>
      <w:r>
        <w:rPr>
          <w:rtl/>
        </w:rPr>
        <w:t>שולחן ערוך אבן העזר הלכות כתובות סימן ע סעיף ח</w:t>
      </w:r>
      <w:r>
        <w:rPr>
          <w:rFonts w:hint="cs"/>
          <w:rtl/>
        </w:rPr>
        <w:t>]</w:t>
      </w:r>
      <w:r w:rsidR="00584B06">
        <w:rPr>
          <w:rFonts w:hint="cs"/>
          <w:rtl/>
        </w:rPr>
        <w:t xml:space="preserve"> </w:t>
      </w:r>
      <w:r w:rsidR="00584B06" w:rsidRPr="00584B06">
        <w:rPr>
          <w:rtl/>
        </w:rPr>
        <w:t>הלך בעלה, ולוותה ואכלה, חייב לשלם</w:t>
      </w:r>
      <w:r w:rsidR="00584B06" w:rsidRPr="00584B06">
        <w:t>.</w:t>
      </w:r>
    </w:p>
    <w:p w14:paraId="4F21F560" w14:textId="77777777" w:rsidR="00584B06" w:rsidRPr="00584B06" w:rsidRDefault="00584B06" w:rsidP="00584B06">
      <w:pPr>
        <w:pStyle w:val="Style1"/>
      </w:pPr>
      <w:r w:rsidRPr="00584B06">
        <w:rPr>
          <w:rFonts w:hint="cs"/>
          <w:rtl/>
        </w:rPr>
        <w:t>הגה: המלוה תובע לאשה, והיא תובעת לבעלה. ואם אין האשה כאן, תובע לבעל (הר"ן פרק שני דיני גזרות). מיהו, אם מחלה האשה לבעלה, אין למלוה כלום (מרדכי פרק יש נוחלין). פסקו לה הבית דין מזונות וצוו לאחד לפרנסה ולגבות מנכסי בעלה, אם מת הבעל אין לו עליה כלום. אבל אם אמרו סתם להלוות לה, אם מת הבעל או אין לו לשלם, ונפל לה ירושה ממקום אחר, צריכה היא לשלם (כן משמע מתשובת הרשב"א הביאה הבית יוסף)</w:t>
      </w:r>
      <w:r w:rsidRPr="00584B06">
        <w:t>.</w:t>
      </w:r>
    </w:p>
    <w:p w14:paraId="64CF3146" w14:textId="77777777" w:rsidR="00584B06" w:rsidRPr="00584B06" w:rsidRDefault="00584B06" w:rsidP="00584B06">
      <w:pPr>
        <w:pStyle w:val="Style1"/>
      </w:pPr>
      <w:r w:rsidRPr="00584B06">
        <w:rPr>
          <w:rtl/>
        </w:rPr>
        <w:t>עמד אחד מדעת עצמו וזנה משלו, אין הבעל חייב לשלם לו והרי זה אבד מעותיו</w:t>
      </w:r>
      <w:r w:rsidRPr="00584B06">
        <w:t>.</w:t>
      </w:r>
    </w:p>
    <w:p w14:paraId="7BA23C9E" w14:textId="6C702614" w:rsidR="00584B06" w:rsidRDefault="00584B06" w:rsidP="00584B06">
      <w:pPr>
        <w:pStyle w:val="Style1"/>
        <w:rPr>
          <w:rtl/>
        </w:rPr>
      </w:pPr>
      <w:r w:rsidRPr="00584B06">
        <w:rPr>
          <w:rFonts w:hint="cs"/>
          <w:rtl/>
        </w:rPr>
        <w:t>הגה: ואין חילוק בין אביה לאחר שפרנסה. מיהו, אם היו חייבים לבעל ופרנסו אשתו, מנכין לו מחובו (כל זה בהגהות מרדכי דכתבות). ואם אביה עמד ופרנס בתו עם חתנו, אפילו הכי אין צריך לשלם לו רק מזונות שלו, ולא של בתו</w:t>
      </w:r>
      <w:r w:rsidRPr="00584B06">
        <w:rPr>
          <w:rFonts w:hint="cs"/>
        </w:rPr>
        <w:t xml:space="preserve"> (</w:t>
      </w:r>
      <w:hyperlink r:id="rId283" w:tooltip="תרומת הדשן/א/שיז" w:history="1">
        <w:r w:rsidRPr="00584B06">
          <w:rPr>
            <w:rStyle w:val="Hyperlink"/>
            <w:rFonts w:hint="cs"/>
            <w:color w:val="7030A0"/>
            <w:u w:val="none"/>
            <w:rtl/>
          </w:rPr>
          <w:t>תרומת הדשן סימן שי"ז</w:t>
        </w:r>
      </w:hyperlink>
      <w:r w:rsidRPr="00584B06">
        <w:rPr>
          <w:rFonts w:hint="cs"/>
        </w:rPr>
        <w:t xml:space="preserve">). </w:t>
      </w:r>
      <w:r w:rsidRPr="00584B06">
        <w:rPr>
          <w:rFonts w:hint="cs"/>
          <w:rtl/>
        </w:rPr>
        <w:t>לא לוותה, רק מכרה נכסיה ופרנסה עצמה, אין לה עליו כלום ומעשה ידיה שלה (הר"ן ריש דיני גזרות</w:t>
      </w:r>
      <w:r w:rsidRPr="00584B06">
        <w:rPr>
          <w:rFonts w:hint="cs"/>
        </w:rPr>
        <w:t>)</w:t>
      </w:r>
      <w:r w:rsidRPr="00584B06">
        <w:t>:</w:t>
      </w:r>
    </w:p>
    <w:p w14:paraId="2571BCC3" w14:textId="58AADF2A" w:rsidR="00A610AA" w:rsidRDefault="00A610AA" w:rsidP="00A610AA">
      <w:pPr>
        <w:pStyle w:val="Style1"/>
        <w:rPr>
          <w:rtl/>
        </w:rPr>
      </w:pPr>
      <w:r>
        <w:rPr>
          <w:rFonts w:hint="cs"/>
          <w:rtl/>
        </w:rPr>
        <w:t>5)[</w:t>
      </w:r>
      <w:r>
        <w:rPr>
          <w:rtl/>
        </w:rPr>
        <w:t>רמב</w:t>
      </w:r>
      <w:r w:rsidR="00736FB6">
        <w:rPr>
          <w:rtl/>
        </w:rPr>
        <w:t>”ם \זמנים\</w:t>
      </w:r>
      <w:r>
        <w:rPr>
          <w:rtl/>
        </w:rPr>
        <w:t xml:space="preserve"> הלכות חמץ ומצה פרק ה הלכה כה</w:t>
      </w:r>
      <w:r>
        <w:rPr>
          <w:rFonts w:hint="cs"/>
          <w:rtl/>
        </w:rPr>
        <w:t xml:space="preserve">] </w:t>
      </w:r>
      <w:r>
        <w:rPr>
          <w:rtl/>
        </w:rPr>
        <w:t>כל כלי חרש שנשתמש בהן חמץ בחמין בין בכלי ראשון כגון קדרות, בין בכלי שני כגון קערות, בין שהיו משוחין ושועין באבר שעושין אותן כעין זכוכית, בין שהיו חרס כמה שהן, אין משתמשין בהן במצה אלא מניחן לאחר הפסח ומבשל בהן.</w:t>
      </w:r>
    </w:p>
    <w:p w14:paraId="4B345CF1" w14:textId="713D0547" w:rsidR="00C76E18" w:rsidRDefault="00C76E18" w:rsidP="00C76E18">
      <w:pPr>
        <w:pStyle w:val="Style1"/>
        <w:rPr>
          <w:rtl/>
        </w:rPr>
      </w:pPr>
      <w:r>
        <w:rPr>
          <w:rFonts w:hint="cs"/>
          <w:rtl/>
        </w:rPr>
        <w:t>5)[</w:t>
      </w:r>
      <w:r>
        <w:rPr>
          <w:rtl/>
        </w:rPr>
        <w:t>רמב</w:t>
      </w:r>
      <w:r w:rsidR="0057095E">
        <w:rPr>
          <w:rtl/>
        </w:rPr>
        <w:t>”ם \קדושה\</w:t>
      </w:r>
      <w:r>
        <w:rPr>
          <w:rtl/>
        </w:rPr>
        <w:t xml:space="preserve"> הלכות מאכלות אסורות פרק יז הלכה ב</w:t>
      </w:r>
      <w:r>
        <w:rPr>
          <w:rFonts w:hint="cs"/>
          <w:rtl/>
        </w:rPr>
        <w:t xml:space="preserve">] </w:t>
      </w:r>
      <w:r>
        <w:rPr>
          <w:rtl/>
        </w:rPr>
        <w:t>ולא אסרה תורה אלא קדרה בת יומה בלבד הואיל ועדיין לא נפגם השומן שנבלע בקדרה ומדברי סופרים לא יבשל בה לעולם, לפיכך אין לוקחין כלי חרס ישנים מן העכו"ם שנשתמשו בהן בחמין כגון קדרות וקערות לעולם, ואפילו היו שועין באבר, ואם לקח ובישל בהן מיום שני והלאה התבשיל מותר.</w:t>
      </w:r>
    </w:p>
    <w:p w14:paraId="2656A26C" w14:textId="3A5EEF2F" w:rsidR="003167D4" w:rsidRPr="003167D4" w:rsidRDefault="0019524D" w:rsidP="003167D4">
      <w:pPr>
        <w:pStyle w:val="Style1"/>
      </w:pPr>
      <w:r>
        <w:rPr>
          <w:rFonts w:hint="cs"/>
          <w:rtl/>
        </w:rPr>
        <w:t>5)[</w:t>
      </w:r>
      <w:r>
        <w:rPr>
          <w:rtl/>
        </w:rPr>
        <w:t>שולחן ערוך אורח חיים הלכות פסח סימן תנא סעיף כג</w:t>
      </w:r>
      <w:r>
        <w:rPr>
          <w:rFonts w:hint="cs"/>
          <w:rtl/>
        </w:rPr>
        <w:t>]</w:t>
      </w:r>
      <w:r w:rsidR="003167D4">
        <w:rPr>
          <w:rFonts w:hint="cs"/>
          <w:rtl/>
        </w:rPr>
        <w:t xml:space="preserve"> </w:t>
      </w:r>
      <w:r w:rsidR="003167D4" w:rsidRPr="003167D4">
        <w:rPr>
          <w:rtl/>
        </w:rPr>
        <w:t>כלי חרס המצופין בהתוך זכוכית דינם ככלי חרס</w:t>
      </w:r>
      <w:r w:rsidR="003167D4" w:rsidRPr="003167D4">
        <w:t>:</w:t>
      </w:r>
    </w:p>
    <w:p w14:paraId="64A1DD74" w14:textId="24B14B74" w:rsidR="003167D4" w:rsidRDefault="003167D4" w:rsidP="003167D4">
      <w:pPr>
        <w:pStyle w:val="Style1"/>
        <w:rPr>
          <w:rtl/>
        </w:rPr>
      </w:pPr>
      <w:r w:rsidRPr="003167D4">
        <w:rPr>
          <w:rFonts w:hint="cs"/>
          <w:rtl/>
        </w:rPr>
        <w:t>הגה: ויש מקומות שנהגו שלא להשתמש בכלי חרס גליזאר"ט אפילו חדשים (מהרי"ל) ואין להחמיר רק במקום המנהג (תשובת מהרי"ל)</w:t>
      </w:r>
      <w:r w:rsidRPr="003167D4">
        <w:t>:</w:t>
      </w:r>
    </w:p>
    <w:p w14:paraId="6E3CE98F" w14:textId="51DF96A7" w:rsidR="006426A9" w:rsidRPr="006426A9" w:rsidRDefault="00E32950" w:rsidP="006426A9">
      <w:pPr>
        <w:pStyle w:val="Style1"/>
      </w:pPr>
      <w:r>
        <w:rPr>
          <w:rFonts w:hint="cs"/>
          <w:rtl/>
        </w:rPr>
        <w:t>5)[</w:t>
      </w:r>
      <w:r>
        <w:rPr>
          <w:rtl/>
        </w:rPr>
        <w:t>שולחן ערוך יורה דעה הלכות הכשר וטבילת כלים סימן קכ סעיף א</w:t>
      </w:r>
      <w:r>
        <w:rPr>
          <w:rFonts w:hint="cs"/>
          <w:rtl/>
        </w:rPr>
        <w:t>]</w:t>
      </w:r>
      <w:r w:rsidR="006426A9">
        <w:rPr>
          <w:rFonts w:hint="cs"/>
          <w:rtl/>
        </w:rPr>
        <w:t xml:space="preserve"> </w:t>
      </w:r>
      <w:r w:rsidR="006426A9" w:rsidRPr="006426A9">
        <w:rPr>
          <w:rtl/>
        </w:rPr>
        <w:t>הקונה מהגוי כלי סעודה של מתכות או של זכוכית או כלים המצופים באבר מבפנים אף על פי שהם חדשים צריך להטבילם במקווה או מעיין של ארבעים סאה (טור בשם סה"מ ועב"י)</w:t>
      </w:r>
      <w:r w:rsidR="006426A9" w:rsidRPr="006426A9">
        <w:t>.</w:t>
      </w:r>
    </w:p>
    <w:p w14:paraId="0EEBB08A" w14:textId="269E6D32" w:rsidR="0019524D" w:rsidRDefault="006426A9" w:rsidP="006426A9">
      <w:pPr>
        <w:pStyle w:val="Style1"/>
        <w:rPr>
          <w:rtl/>
        </w:rPr>
      </w:pPr>
      <w:r w:rsidRPr="006426A9">
        <w:rPr>
          <w:rFonts w:hint="cs"/>
          <w:rtl/>
        </w:rPr>
        <w:t>הגה</w:t>
      </w:r>
      <w:r w:rsidRPr="006426A9">
        <w:rPr>
          <w:rFonts w:hint="cs"/>
        </w:rPr>
        <w:t>: </w:t>
      </w:r>
      <w:r w:rsidRPr="006426A9">
        <w:rPr>
          <w:rFonts w:hint="cs"/>
          <w:rtl/>
        </w:rPr>
        <w:t>י"א דכלים המצופים אבר אפילו בפנים יטבול בלא ברכה (ב"י בשם סמ"ק וארוך) וכן נוהגין</w:t>
      </w:r>
      <w:r w:rsidRPr="006426A9">
        <w:rPr>
          <w:rFonts w:hint="cs"/>
        </w:rPr>
        <w:t>.</w:t>
      </w:r>
    </w:p>
    <w:p w14:paraId="3929AC13" w14:textId="25A4FBB6" w:rsidR="00683AD7" w:rsidRDefault="00A610AA" w:rsidP="00683AD7">
      <w:pPr>
        <w:pStyle w:val="Style1"/>
        <w:rPr>
          <w:rtl/>
        </w:rPr>
      </w:pPr>
      <w:r>
        <w:rPr>
          <w:rFonts w:hint="cs"/>
          <w:rtl/>
        </w:rPr>
        <w:t>6</w:t>
      </w:r>
      <w:r w:rsidR="00683AD7">
        <w:rPr>
          <w:rFonts w:hint="cs"/>
          <w:rtl/>
        </w:rPr>
        <w:t>)[</w:t>
      </w:r>
      <w:r w:rsidR="00683AD7">
        <w:rPr>
          <w:rtl/>
        </w:rPr>
        <w:t>רמב</w:t>
      </w:r>
      <w:r w:rsidR="0057095E">
        <w:rPr>
          <w:rtl/>
        </w:rPr>
        <w:t>”ם \קדושה\</w:t>
      </w:r>
      <w:r w:rsidR="00683AD7">
        <w:rPr>
          <w:rtl/>
        </w:rPr>
        <w:t xml:space="preserve"> הלכות מאכלות אסורות פרק יא הלכה יט</w:t>
      </w:r>
      <w:r w:rsidR="00683AD7">
        <w:rPr>
          <w:rFonts w:hint="cs"/>
          <w:rtl/>
        </w:rPr>
        <w:t xml:space="preserve">] </w:t>
      </w:r>
      <w:r w:rsidR="00683AD7">
        <w:rPr>
          <w:rtl/>
        </w:rPr>
        <w:t>כלי חרס השועים באבר שנשתמשו בהן ביין נסך אם היו לבנים או אדומים או שחורים מותרין, ואם היו ירוקין אסורין מפני שהן בולעים, ואם יש בהם מקום מגולה של חרס בין לבנים בין ירוקים אסורים מפני שהם בולעין, ויראה לי שאין הדבר אלא בשכנסו בהם לקיום אבל לא כנסו בהם לקיום מדיחן ומותרין ואפילו הם של חרס.</w:t>
      </w:r>
    </w:p>
    <w:p w14:paraId="1C9DFAE4" w14:textId="3DC6100D" w:rsidR="00C54DFE" w:rsidRPr="00C54DFE" w:rsidRDefault="00A610AA" w:rsidP="00C54DFE">
      <w:pPr>
        <w:pStyle w:val="Style1"/>
      </w:pPr>
      <w:r>
        <w:rPr>
          <w:rFonts w:hint="cs"/>
          <w:rtl/>
        </w:rPr>
        <w:t>6</w:t>
      </w:r>
      <w:r w:rsidR="00082B5A">
        <w:rPr>
          <w:rFonts w:hint="cs"/>
          <w:rtl/>
        </w:rPr>
        <w:t>)[</w:t>
      </w:r>
      <w:r w:rsidR="00082B5A">
        <w:rPr>
          <w:rtl/>
        </w:rPr>
        <w:t>שולחן ערוך יורה דעה הלכות יין נסך סימן קלה סעיף ו</w:t>
      </w:r>
      <w:r w:rsidR="00082B5A">
        <w:rPr>
          <w:rFonts w:hint="cs"/>
          <w:rtl/>
        </w:rPr>
        <w:t>]</w:t>
      </w:r>
      <w:r w:rsidR="00C54DFE">
        <w:rPr>
          <w:rFonts w:hint="cs"/>
          <w:rtl/>
        </w:rPr>
        <w:t xml:space="preserve"> </w:t>
      </w:r>
      <w:r w:rsidR="00C54DFE" w:rsidRPr="00C54DFE">
        <w:rPr>
          <w:rtl/>
        </w:rPr>
        <w:t>כלי חרס המצופים באבר או ברתוכי זכוכית</w:t>
      </w:r>
      <w:r w:rsidR="00C54DFE" w:rsidRPr="00C54DFE">
        <w:t xml:space="preserve"> (</w:t>
      </w:r>
      <w:r w:rsidR="00C54DFE" w:rsidRPr="00C54DFE">
        <w:rPr>
          <w:rtl/>
        </w:rPr>
        <w:t>פירוש ממין כלי זכוכית שלא נתבשל כל צרכו והוא מן החול. תוספות</w:t>
      </w:r>
      <w:r w:rsidR="00C54DFE" w:rsidRPr="00C54DFE">
        <w:t xml:space="preserve">) </w:t>
      </w:r>
      <w:r w:rsidR="00C54DFE" w:rsidRPr="00C54DFE">
        <w:rPr>
          <w:rtl/>
        </w:rPr>
        <w:t>אם הם ירוקים דינם ככלי נתר מפני שיש בו קרקע מחפירת צריף אבל לבנים או שחורים אם הם חלקים שאין בהם בקעים דינם ככלי מתכות ואם יש בהם בקעים דינם כשאר כלי חרס שאינם שועים</w:t>
      </w:r>
      <w:r w:rsidR="00C54DFE" w:rsidRPr="00C54DFE">
        <w:t>:</w:t>
      </w:r>
    </w:p>
    <w:p w14:paraId="73AECDBF" w14:textId="77777777" w:rsidR="00C54DFE" w:rsidRPr="00C54DFE" w:rsidRDefault="00C54DFE" w:rsidP="00C54DFE">
      <w:pPr>
        <w:pStyle w:val="Style1"/>
      </w:pPr>
      <w:r w:rsidRPr="00C54DFE">
        <w:rPr>
          <w:rFonts w:hint="cs"/>
          <w:rtl/>
        </w:rPr>
        <w:t>הגה: והא דכלי חרס מהני ליה עירוי היינו בדלא נשתמשו בו יין נסך רק בצונן אבל אם השתמשו בו בחמין כלי חרס אין לו תקנה ובשאר כלים צריכים הגעלה כמו בשאר איסורים (מרדכי פרק ב' דעבודת כוכבים בשם ראבי"ה)</w:t>
      </w:r>
      <w:r w:rsidRPr="00C54DFE">
        <w:t>:</w:t>
      </w:r>
    </w:p>
    <w:p w14:paraId="1E19CBD3" w14:textId="77777777" w:rsidR="00C54DFE" w:rsidRPr="00C54DFE" w:rsidRDefault="00C54DFE" w:rsidP="00C54DFE">
      <w:pPr>
        <w:pStyle w:val="Style1"/>
      </w:pPr>
    </w:p>
    <w:p w14:paraId="7173B9C7" w14:textId="77777777" w:rsidR="000C5939" w:rsidRDefault="000C5939" w:rsidP="000C5939">
      <w:pPr>
        <w:rPr>
          <w:rStyle w:val="Style1Char"/>
          <w:color w:val="00B050"/>
          <w:rtl/>
        </w:rPr>
      </w:pPr>
      <w:r>
        <w:rPr>
          <w:rStyle w:val="Style1Char"/>
          <w:color w:val="00B050"/>
          <w:rtl/>
        </w:rPr>
        <w:br w:type="page"/>
      </w:r>
    </w:p>
    <w:p w14:paraId="7FAAF55C" w14:textId="6C85B39B" w:rsidR="000C5939" w:rsidRDefault="000C5939" w:rsidP="000C5939">
      <w:pPr>
        <w:bidi/>
        <w:rPr>
          <w:rFonts w:ascii="Arial" w:hAnsi="Arial" w:cs="Arial"/>
          <w:color w:val="C00000"/>
          <w:sz w:val="16"/>
          <w:szCs w:val="16"/>
          <w:rtl/>
        </w:rPr>
      </w:pPr>
      <w:r w:rsidRPr="00C17255">
        <w:rPr>
          <w:rStyle w:val="Style1Char"/>
          <w:color w:val="auto"/>
          <w:sz w:val="22"/>
          <w:szCs w:val="22"/>
          <w:highlight w:val="yellow"/>
          <w:rtl/>
        </w:rPr>
        <w:lastRenderedPageBreak/>
        <w:t>[דף קח עמוד א]</w:t>
      </w:r>
      <w:r w:rsidRPr="00C17255">
        <w:rPr>
          <w:rStyle w:val="Style1Char"/>
          <w:color w:val="auto"/>
          <w:sz w:val="22"/>
          <w:szCs w:val="22"/>
          <w:rtl/>
        </w:rPr>
        <w:t xml:space="preserve"> </w:t>
      </w:r>
      <w:r w:rsidR="007B5CBE">
        <w:rPr>
          <w:rStyle w:val="Style1Char"/>
          <w:rFonts w:hint="cs"/>
          <w:rtl/>
        </w:rPr>
        <w:t>(1)</w:t>
      </w:r>
      <w:r w:rsidRPr="00C17255">
        <w:rPr>
          <w:rStyle w:val="Style1Char"/>
          <w:color w:val="auto"/>
          <w:sz w:val="22"/>
          <w:szCs w:val="22"/>
          <w:rtl/>
        </w:rPr>
        <w:t xml:space="preserve">שוקל לו את שקלו, </w:t>
      </w:r>
      <w:r w:rsidR="00A92CB8">
        <w:rPr>
          <w:rStyle w:val="Style1Char"/>
          <w:rFonts w:hint="cs"/>
          <w:rtl/>
        </w:rPr>
        <w:t>(</w:t>
      </w:r>
      <w:r w:rsidR="00A92CB8">
        <w:rPr>
          <w:rStyle w:val="Style1Char"/>
        </w:rPr>
        <w:t>1</w:t>
      </w:r>
      <w:r w:rsidR="00A92CB8">
        <w:rPr>
          <w:rStyle w:val="Style1Char"/>
          <w:rFonts w:hint="cs"/>
          <w:rtl/>
        </w:rPr>
        <w:t>, 2)</w:t>
      </w:r>
      <w:r w:rsidRPr="00C17255">
        <w:rPr>
          <w:rStyle w:val="Style1Char"/>
          <w:color w:val="auto"/>
          <w:sz w:val="22"/>
          <w:szCs w:val="22"/>
          <w:rtl/>
        </w:rPr>
        <w:t xml:space="preserve">ופורע את חובו, </w:t>
      </w:r>
      <w:r w:rsidR="003A52B5">
        <w:rPr>
          <w:rStyle w:val="Style1Char"/>
          <w:rFonts w:hint="cs"/>
          <w:rtl/>
        </w:rPr>
        <w:t>(3)</w:t>
      </w:r>
      <w:r w:rsidRPr="00C17255">
        <w:rPr>
          <w:rStyle w:val="Style1Char"/>
          <w:color w:val="auto"/>
          <w:sz w:val="22"/>
          <w:szCs w:val="22"/>
          <w:rtl/>
        </w:rPr>
        <w:t xml:space="preserve">ומחזיר לו אבידתו, ובמקום שנוטלין שכר - תפול הנאה להקדש; בשלמא שוקל לו את שקלו - מצוה קעביד, דתנן: </w:t>
      </w:r>
      <w:r w:rsidR="003A52B5">
        <w:rPr>
          <w:rStyle w:val="Style1Char"/>
          <w:rFonts w:hint="cs"/>
          <w:rtl/>
        </w:rPr>
        <w:t>(4)</w:t>
      </w:r>
      <w:r w:rsidRPr="00C17255">
        <w:rPr>
          <w:rStyle w:val="Style1Char"/>
          <w:color w:val="auto"/>
          <w:sz w:val="22"/>
          <w:szCs w:val="22"/>
          <w:rtl/>
        </w:rPr>
        <w:t>תורמין על האבוד ועל הגבוי ועל העתיד לגבות, ומחזיר לו אבידתו - נמי מצוה קעביד, אלא פורע לו את חובו - הא קמשתרשי ליה! אמר רב אושעיא: הא מני? חנן היא, דאמר</w:t>
      </w:r>
      <w:r w:rsidRPr="00A40D40">
        <w:rPr>
          <w:rStyle w:val="Style1Char"/>
          <w:sz w:val="22"/>
          <w:szCs w:val="22"/>
          <w:rtl/>
        </w:rPr>
        <w:t xml:space="preserve">: </w:t>
      </w:r>
      <w:r w:rsidR="00E757D9">
        <w:rPr>
          <w:rStyle w:val="Style1Char"/>
          <w:rFonts w:hint="cs"/>
          <w:rtl/>
        </w:rPr>
        <w:t>(5)</w:t>
      </w:r>
      <w:r w:rsidRPr="00C17255">
        <w:rPr>
          <w:rStyle w:val="Style1Char"/>
          <w:color w:val="ED7D31" w:themeColor="accent2"/>
          <w:rtl/>
        </w:rPr>
        <w:t>איבד את מעותיו</w:t>
      </w:r>
      <w:r w:rsidRPr="00C17255">
        <w:rPr>
          <w:rFonts w:ascii="Arial" w:hAnsi="Arial" w:cs="Arial"/>
          <w:color w:val="ED7D31" w:themeColor="accent2"/>
          <w:sz w:val="16"/>
          <w:szCs w:val="16"/>
          <w:rtl/>
        </w:rPr>
        <w:t xml:space="preserve"> </w:t>
      </w:r>
      <w:r w:rsidRPr="00A40D40">
        <w:rPr>
          <w:rFonts w:ascii="Arial" w:hAnsi="Arial" w:cs="Arial"/>
          <w:color w:val="C00000"/>
          <w:rtl/>
        </w:rPr>
        <w:t>הניח מעותיו על קרן הצבי</w:t>
      </w:r>
      <w:r>
        <w:rPr>
          <w:rFonts w:ascii="Arial" w:hAnsi="Arial" w:cs="Arial" w:hint="cs"/>
          <w:color w:val="C00000"/>
          <w:rtl/>
        </w:rPr>
        <w:t xml:space="preserve"> </w:t>
      </w:r>
      <w:r w:rsidRPr="00B94F6A">
        <w:rPr>
          <w:rFonts w:ascii="Arial" w:hAnsi="Arial" w:cs="Arial"/>
          <w:color w:val="4472C4" w:themeColor="accent1"/>
          <w:sz w:val="16"/>
          <w:szCs w:val="16"/>
          <w:rtl/>
        </w:rPr>
        <w:t>וכיון שאינו יכול להוציא ממנו בדין מה שפרע לבעל חובו משום הנאה נמי לא מיתסר דגרמא בעלמא הוא דע"י שפרע לבעל חובו מיפטר ודמיא להא דאמרי' בנדרים בפרק אין בין המודר (דף מג א) המודר הנאה מחבירו ואין לו מה יאכל הולך אצל חנוני הרגיל אצלו ואומר פלוני מודר הנאה ממני ואין לו מה יאכל ונותן לו וחוזר ונוטל הימנו אף על גב דעל ידו קא משתרשי ליה מזוני שרי הואיל ולא נתן לו מידו אלא גרמא בעלמא ע"י חנוני</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ולא דמי לעושה לו שום מלאכה דאסור דאע"ג דלא מצי קא תבע מיניה דהתם מדידיה לדידיה קא מיתהני ואין אחר באמצע ור"ת פי' דהאי פורע חובו איירי דווקא במזון אשתו כההיא דחנן דאין חיובו כל כך ברור דאע"פ שחייב במזונות אשתו אפשר שאם לא היה מפרנסה לא היה בעלה מתחייב לפי שהיתה מצמצמת מזונותיה אם לא מצאתה מפרנס</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ואף על גב דבפסקו לה ב"ד איירי מ"מ היתה מצמצמת כי היכי דלא ליקריוה רעבתנותא אבל בשטר חוב אפילו חנן מודה דלא איבד מעותיו דהנאה גמורה היא הואיל ולא היה יכול ליפטר בשום עניין והכי פירושא הא מני חנן היא כלומר</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האי פורע חובו איירי באותו חוב דאיירי ביה חנן דהיינו במזון האשה דווקא וחנן היא וכן פי' רבינו חננאל ז"ל</w:t>
      </w:r>
      <w:r w:rsidRPr="00A40D40">
        <w:rPr>
          <w:rFonts w:ascii="Arial" w:hAnsi="Arial" w:cs="Arial"/>
          <w:color w:val="C00000"/>
          <w:rtl/>
        </w:rPr>
        <w:t xml:space="preserve">: </w:t>
      </w:r>
      <w:r w:rsidRPr="00A76670">
        <w:rPr>
          <w:rFonts w:ascii="Arial" w:hAnsi="Arial" w:cs="Arial"/>
          <w:color w:val="C00000"/>
          <w:sz w:val="16"/>
          <w:szCs w:val="16"/>
          <w:rtl/>
        </w:rPr>
        <w:t xml:space="preserve">ירושלמי </w:t>
      </w:r>
      <w:r w:rsidRPr="00B94F6A">
        <w:rPr>
          <w:rFonts w:ascii="Arial" w:hAnsi="Arial" w:cs="Arial"/>
          <w:color w:val="4472C4" w:themeColor="accent1"/>
          <w:sz w:val="16"/>
          <w:szCs w:val="16"/>
          <w:rtl/>
        </w:rPr>
        <w:t xml:space="preserve">א"ר אבא </w:t>
      </w:r>
      <w:r w:rsidRPr="00653F7F">
        <w:rPr>
          <w:rFonts w:ascii="Arial" w:hAnsi="Arial" w:cs="Arial"/>
          <w:color w:val="806000" w:themeColor="accent4" w:themeShade="80"/>
          <w:rtl/>
        </w:rPr>
        <w:t xml:space="preserve">רבה בר ממל הפורע שטר חוב לחברו שלא מדעתו פלוגתא דחנן ובני כהנים גדולים א"ר יוסי טעמא דבני כהנים גדולים התם לא עלתה בדעתו שתמות אשתו ברעב </w:t>
      </w:r>
      <w:r w:rsidRPr="00B94F6A">
        <w:rPr>
          <w:rFonts w:ascii="Arial" w:hAnsi="Arial" w:cs="Arial"/>
          <w:color w:val="4472C4" w:themeColor="accent1"/>
          <w:sz w:val="16"/>
          <w:szCs w:val="16"/>
          <w:rtl/>
        </w:rPr>
        <w:t xml:space="preserve">הכא </w:t>
      </w:r>
      <w:r w:rsidRPr="00A76670">
        <w:rPr>
          <w:rFonts w:ascii="Arial" w:hAnsi="Arial" w:cs="Arial"/>
          <w:color w:val="C00000"/>
          <w:sz w:val="16"/>
          <w:szCs w:val="16"/>
          <w:rtl/>
        </w:rPr>
        <w:t xml:space="preserve">ברם הכי מצי אמר ליה </w:t>
      </w:r>
      <w:r w:rsidRPr="00575B6A">
        <w:rPr>
          <w:rFonts w:ascii="Arial" w:hAnsi="Arial" w:cs="Arial"/>
          <w:color w:val="806000" w:themeColor="accent4" w:themeShade="80"/>
          <w:rtl/>
        </w:rPr>
        <w:t xml:space="preserve">מפייס הוינא ליה ומחיל </w:t>
      </w:r>
      <w:r w:rsidRPr="00C302C2">
        <w:rPr>
          <w:rFonts w:ascii="Arial" w:hAnsi="Arial" w:cs="Arial"/>
          <w:color w:val="C00000"/>
          <w:rtl/>
        </w:rPr>
        <w:t xml:space="preserve">לי </w:t>
      </w:r>
      <w:r w:rsidRPr="00A76670">
        <w:rPr>
          <w:rFonts w:ascii="Arial" w:hAnsi="Arial" w:cs="Arial"/>
          <w:color w:val="C00000"/>
          <w:sz w:val="16"/>
          <w:szCs w:val="16"/>
          <w:rtl/>
        </w:rPr>
        <w:t>דהוה משכון</w:t>
      </w:r>
      <w:r w:rsidRPr="00C302C2">
        <w:rPr>
          <w:rFonts w:ascii="Arial" w:hAnsi="Arial" w:cs="Arial"/>
          <w:color w:val="4472C4" w:themeColor="accent1"/>
          <w:sz w:val="16"/>
          <w:szCs w:val="16"/>
          <w:rtl/>
        </w:rPr>
        <w:t xml:space="preserve"> </w:t>
      </w:r>
      <w:r w:rsidRPr="00B94F6A">
        <w:rPr>
          <w:rFonts w:ascii="Arial" w:hAnsi="Arial" w:cs="Arial"/>
          <w:color w:val="4472C4" w:themeColor="accent1"/>
          <w:sz w:val="16"/>
          <w:szCs w:val="16"/>
          <w:rtl/>
        </w:rPr>
        <w:t xml:space="preserve">הגע עצמך </w:t>
      </w:r>
      <w:r w:rsidRPr="000E458F">
        <w:rPr>
          <w:rFonts w:ascii="Arial" w:hAnsi="Arial" w:cs="Arial"/>
          <w:color w:val="C00000"/>
          <w:rtl/>
        </w:rPr>
        <w:t xml:space="preserve">ואף על גב </w:t>
      </w:r>
      <w:r w:rsidRPr="000E458F">
        <w:rPr>
          <w:rFonts w:ascii="Arial" w:hAnsi="Arial" w:cs="Arial"/>
          <w:color w:val="806000" w:themeColor="accent4" w:themeShade="80"/>
          <w:rtl/>
        </w:rPr>
        <w:t xml:space="preserve">דהוי </w:t>
      </w:r>
      <w:r w:rsidRPr="00B94F6A">
        <w:rPr>
          <w:rFonts w:ascii="Arial" w:hAnsi="Arial" w:cs="Arial"/>
          <w:color w:val="4472C4" w:themeColor="accent1"/>
          <w:sz w:val="16"/>
          <w:szCs w:val="16"/>
          <w:rtl/>
        </w:rPr>
        <w:t xml:space="preserve">גביה </w:t>
      </w:r>
      <w:r w:rsidRPr="000E458F">
        <w:rPr>
          <w:rFonts w:ascii="Arial" w:hAnsi="Arial" w:cs="Arial"/>
          <w:color w:val="806000" w:themeColor="accent4" w:themeShade="80"/>
          <w:rtl/>
        </w:rPr>
        <w:t xml:space="preserve">משכון </w:t>
      </w:r>
      <w:r w:rsidRPr="00B94F6A">
        <w:rPr>
          <w:rFonts w:ascii="Arial" w:hAnsi="Arial" w:cs="Arial"/>
          <w:color w:val="4472C4" w:themeColor="accent1"/>
          <w:sz w:val="16"/>
          <w:szCs w:val="16"/>
          <w:rtl/>
        </w:rPr>
        <w:t>מפייס הוינא ליה עד דיהיב לי משכוני עד כדון בב"ח שאינו דוחק ואפי' בב"ח דוחק</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שמעינן מן הדא שוקל לו את שקלו ואם לאו ממשכנין הדא אמרה אפילו בבעל חוב דוחק. ואומר רבינו תם דעל כרחיך פליג הירושלמי אגמרא דידן דמוקי לההוא פורע חובו אף כבני כהנים גדולים</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ורב הושעיא מוקי לה כחנן וגם ההיא דשוקל לו את שקלו מוקי בכל ענין</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וגמרא דידן לא מוקי לה אלא באבוד וגבוי</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ופליג נמי בהא דלית ליה הך סברא דמפרשין אליבא דגמרא דידן דלא פליגי אלא במזון האשה</w:t>
      </w:r>
      <w:r w:rsidRPr="00B94F6A">
        <w:rPr>
          <w:rFonts w:ascii="Arial" w:hAnsi="Arial" w:cs="Arial"/>
          <w:color w:val="4472C4" w:themeColor="accent1"/>
          <w:sz w:val="16"/>
          <w:szCs w:val="16"/>
        </w:rPr>
        <w:t>:</w:t>
      </w:r>
    </w:p>
    <w:p w14:paraId="5C93C42E" w14:textId="77777777" w:rsidR="000C5939" w:rsidRPr="00855B28" w:rsidRDefault="000C5939" w:rsidP="000C5939">
      <w:pPr>
        <w:bidi/>
        <w:rPr>
          <w:rStyle w:val="Style1Char"/>
          <w:color w:val="806000" w:themeColor="accent4" w:themeShade="80"/>
          <w:sz w:val="22"/>
          <w:szCs w:val="22"/>
          <w:rtl/>
        </w:rPr>
      </w:pPr>
      <w:r w:rsidRPr="00A76670">
        <w:rPr>
          <w:rFonts w:ascii="Arial" w:hAnsi="Arial" w:cs="Arial"/>
          <w:color w:val="C00000"/>
          <w:sz w:val="16"/>
          <w:szCs w:val="16"/>
          <w:rtl/>
        </w:rPr>
        <w:t xml:space="preserve"> </w:t>
      </w:r>
      <w:r w:rsidRPr="00855B28">
        <w:rPr>
          <w:rFonts w:ascii="Arial" w:hAnsi="Arial" w:cs="Arial"/>
          <w:color w:val="806000" w:themeColor="accent4" w:themeShade="80"/>
          <w:rtl/>
        </w:rPr>
        <w:t>רבי יהושע בן לוי אמר אין לך נתפס על חבירו וחייב ליתן לו אלא בארנון או בגולגולת רב אמר כל הנתפס על חבירו חייב ליתן לו חיליה דרב מהדא הגוזל שדה ומכרה לחבירו ונטלוה מסיקין כופין להחזיר את מעותיו ולא שמע דרבי יוחנן דאמר רבי יוחנן קנס קנסו בגזלן</w:t>
      </w:r>
      <w:r w:rsidRPr="00855B28">
        <w:rPr>
          <w:rFonts w:ascii="Arial" w:hAnsi="Arial" w:cs="Arial"/>
          <w:color w:val="806000" w:themeColor="accent4" w:themeShade="80"/>
        </w:rPr>
        <w:t>:</w:t>
      </w:r>
      <w:r w:rsidRPr="00855B28">
        <w:rPr>
          <w:rStyle w:val="Style1Char"/>
          <w:color w:val="806000" w:themeColor="accent4" w:themeShade="80"/>
          <w:sz w:val="22"/>
          <w:szCs w:val="22"/>
          <w:rtl/>
        </w:rPr>
        <w:t xml:space="preserve"> </w:t>
      </w:r>
      <w:r w:rsidRPr="00B94F6A">
        <w:rPr>
          <w:rFonts w:ascii="Arial" w:hAnsi="Arial" w:cs="Arial"/>
          <w:color w:val="4472C4" w:themeColor="accent1"/>
          <w:sz w:val="16"/>
          <w:szCs w:val="16"/>
          <w:rtl/>
        </w:rPr>
        <w:t>ארנון וגולגולת דינא דמלכותא הוא כדאמרי' בהגוזל (דף קיג א) בר מתא אבר מתא מיעבט ורב אמר אף בכל דבר שנתפס על חבירו חייב ליתן לו ומייתי ראיה דנטלוה מסיקין מחמת הגזלן דאע"ג דקרקע אינה נגזלת כיון שהיו סבורין האנסין שהיא של הגזלן ומחמת כן לקחוה חייב להעמיד לו שדה אחר ה"נ כיון שנתפס בעבורו חייב ליתן לו ולית הלכתא כרב אלא כריב"ל וכר' יוחנן רבא אמר אפי' תימא דברי הכל כגון שלוה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ע"מ שלא לפרוע</w:t>
      </w:r>
      <w:r w:rsidRPr="00B94F6A">
        <w:rPr>
          <w:rFonts w:ascii="Arial" w:hAnsi="Arial" w:cs="Arial"/>
          <w:color w:val="4472C4" w:themeColor="accent1"/>
          <w:sz w:val="16"/>
          <w:szCs w:val="16"/>
        </w:rPr>
        <w:t>:</w:t>
      </w:r>
    </w:p>
    <w:p w14:paraId="2BD9F8FF" w14:textId="60482B41" w:rsidR="000C5939" w:rsidRDefault="000C5939" w:rsidP="000C5939">
      <w:pPr>
        <w:bidi/>
        <w:rPr>
          <w:rStyle w:val="Style1Char"/>
          <w:color w:val="00B050"/>
          <w:rtl/>
        </w:rPr>
      </w:pPr>
      <w:r w:rsidRPr="001C3C1D">
        <w:rPr>
          <w:rStyle w:val="Style1Char"/>
          <w:color w:val="00B050"/>
          <w:rtl/>
        </w:rPr>
        <w:t xml:space="preserve">ורבא אמר: אפי' תימא רבנן, הכא במאי עסקינן - שלוה על מנת שלא לפרוע. בשלמא רבא לא אמר כרב אושעיא, דמוקים לה כרבנן, אלא רב אושעיא מ"ט לא אמר כרבא? אמר לך רב אושעיא: נהי דהנאה לית ליה, </w:t>
      </w:r>
    </w:p>
    <w:p w14:paraId="4BB056D2" w14:textId="3B612C42" w:rsidR="00E757D9" w:rsidRDefault="00E757D9" w:rsidP="00E757D9">
      <w:pPr>
        <w:pStyle w:val="Style1"/>
        <w:rPr>
          <w:rStyle w:val="Style1Char"/>
          <w:rtl/>
        </w:rPr>
      </w:pPr>
      <w:r>
        <w:rPr>
          <w:rStyle w:val="Style1Char"/>
          <w:rFonts w:hint="cs"/>
          <w:rtl/>
        </w:rPr>
        <w:t>1)[</w:t>
      </w:r>
      <w:r w:rsidRPr="00E757D9">
        <w:rPr>
          <w:rStyle w:val="Style1Char"/>
          <w:rtl/>
        </w:rPr>
        <w:t>רמב</w:t>
      </w:r>
      <w:r w:rsidR="00EC109D">
        <w:rPr>
          <w:rStyle w:val="Style1Char"/>
          <w:rtl/>
        </w:rPr>
        <w:t>”ם \הפלאה\</w:t>
      </w:r>
      <w:r w:rsidRPr="00E757D9">
        <w:rPr>
          <w:rStyle w:val="Style1Char"/>
          <w:rtl/>
        </w:rPr>
        <w:t xml:space="preserve"> הלכות נדרים פרק ו הלכה ד</w:t>
      </w:r>
      <w:r>
        <w:rPr>
          <w:rStyle w:val="Style1Char"/>
          <w:rFonts w:hint="cs"/>
          <w:rtl/>
        </w:rPr>
        <w:t xml:space="preserve">] </w:t>
      </w:r>
      <w:r w:rsidRPr="00E757D9">
        <w:rPr>
          <w:rStyle w:val="Style1Char"/>
          <w:rtl/>
        </w:rPr>
        <w:t>ראובן שנאסרה עליו הניית שמעון בין בנדר בין בשבועה מותר לו שיתן שמעון על ידו מחצית השקל שראובן חייב בה, וכן פורע חוב שעליו שהרי לא הגיע ליד ראובן כלום אלא מנע ממנו התביעה, ומניעת התביעה אינה בכלל אסור הנייה, לפיכך מותר לו לזון את אשתו ואת בניו ועבדיו אפילו הכנענים, אף על פי שהוא חייב במזונותם, אבל לא יזון את בהמתו בין טמאה בין טהורה שכל שמוסיף בבשרה היא הנייה שהגיע ליד ראובן.</w:t>
      </w:r>
    </w:p>
    <w:p w14:paraId="3145EE17" w14:textId="5838FDF6" w:rsidR="00D01D97" w:rsidRPr="00D01D97" w:rsidRDefault="00712315" w:rsidP="00D01D97">
      <w:pPr>
        <w:pStyle w:val="Style1"/>
      </w:pPr>
      <w:r>
        <w:rPr>
          <w:rStyle w:val="Style1Char"/>
          <w:rFonts w:hint="cs"/>
          <w:rtl/>
        </w:rPr>
        <w:t>2)[</w:t>
      </w:r>
      <w:r w:rsidRPr="00712315">
        <w:rPr>
          <w:rStyle w:val="Style1Char"/>
          <w:rtl/>
        </w:rPr>
        <w:t>שולחן ערוך יורה דעה הלכות נדרים סימן רכא סעיף ב</w:t>
      </w:r>
      <w:r>
        <w:rPr>
          <w:rStyle w:val="Style1Char"/>
          <w:rFonts w:hint="cs"/>
          <w:rtl/>
        </w:rPr>
        <w:t>]</w:t>
      </w:r>
      <w:r w:rsidR="00D01D97">
        <w:rPr>
          <w:rStyle w:val="Style1Char"/>
          <w:rFonts w:hint="cs"/>
          <w:rtl/>
        </w:rPr>
        <w:t xml:space="preserve"> </w:t>
      </w:r>
      <w:r w:rsidR="00D01D97" w:rsidRPr="00D01D97">
        <w:rPr>
          <w:rtl/>
        </w:rPr>
        <w:t>המודר הנאה מחבירו יכול לפרוע חובו ואפילו אם היה לו משכון ביד המלוה ופרע זה בשבילו ונטל המשכון צריך להחזירו ללוה הנאסר (דעת רש"י וריב"ש ורמב"ם) ויכול לזון את אשתו ובניו ועבדיו ואפי' הכנענים אבל אסור לזון בהמתו בין טמאה בין טהורה ואסור ללמדו מקרא כיון שמותר ליטול שכר עליה והוא מלמדו חנם נמצא שמהנהו אבל מלמדו מדרש הלכות ואגדות והוא שלא יאמר הנאסר לאוסר שילמדנו והאידנא שמותר ליטול שכר אף על המדרש הכל אסור אבל ללמד את בנו אפי' מקרא מותר ומותר לשמשו בכוס של בית האבל ובכוס של בית המרחץ</w:t>
      </w:r>
      <w:r w:rsidR="00D01D97" w:rsidRPr="00D01D97">
        <w:t>:</w:t>
      </w:r>
    </w:p>
    <w:p w14:paraId="62CBBDFF" w14:textId="0469E428" w:rsidR="00D01D97" w:rsidRDefault="00D01D97" w:rsidP="00D01D97">
      <w:pPr>
        <w:pStyle w:val="Style1"/>
        <w:rPr>
          <w:rtl/>
        </w:rPr>
      </w:pPr>
      <w:r w:rsidRPr="00D01D97">
        <w:rPr>
          <w:rFonts w:hint="cs"/>
          <w:rtl/>
        </w:rPr>
        <w:t>הגה: ויש חולקין ומתירין אפילו אמר לו שילמדנו (הרא"ש והטור) וה"ה בכל דבר מצוה ובלבד בדבר הצריך שליחות כגון לתרום תרומתו אסור להיות שלוחו. (ב"י בשם הרא"ש ורבינו ירוחם)</w:t>
      </w:r>
      <w:r w:rsidRPr="00D01D97">
        <w:t>:</w:t>
      </w:r>
    </w:p>
    <w:p w14:paraId="6D627512" w14:textId="00CED4ED" w:rsidR="004172EB" w:rsidRDefault="004172EB" w:rsidP="004172EB">
      <w:pPr>
        <w:pStyle w:val="Style1"/>
        <w:rPr>
          <w:rtl/>
        </w:rPr>
      </w:pPr>
      <w:r>
        <w:rPr>
          <w:rFonts w:hint="cs"/>
          <w:rtl/>
        </w:rPr>
        <w:t>3)[</w:t>
      </w:r>
      <w:r>
        <w:rPr>
          <w:rtl/>
        </w:rPr>
        <w:t>רמב</w:t>
      </w:r>
      <w:r w:rsidR="00EC109D">
        <w:rPr>
          <w:rtl/>
        </w:rPr>
        <w:t>”ם \הפלאה\</w:t>
      </w:r>
      <w:r>
        <w:rPr>
          <w:rtl/>
        </w:rPr>
        <w:t xml:space="preserve"> הלכות נדרים פרק ז הלכה א</w:t>
      </w:r>
      <w:r>
        <w:rPr>
          <w:rFonts w:hint="cs"/>
          <w:rtl/>
        </w:rPr>
        <w:t xml:space="preserve">] </w:t>
      </w:r>
      <w:r>
        <w:rPr>
          <w:rtl/>
        </w:rPr>
        <w:t>שנים שנאסרה הנאת כל אחד מהן על חבירו בין בנדר בין בשבועה הרי אלו מותרין להחזיר אבידה זה לזה מפני שהוא מצוה, ובמקום שדרכן שנוטל שכר המחזיר את האבידה יפול השכר להקדש, שאם יטול שכר נמצא נהנה ואם לא יטול נמצא מהנה.</w:t>
      </w:r>
    </w:p>
    <w:p w14:paraId="513ECF01" w14:textId="54E2DEEF" w:rsidR="00D01D97" w:rsidRDefault="0091658F" w:rsidP="00051726">
      <w:pPr>
        <w:pStyle w:val="Style1"/>
        <w:rPr>
          <w:rtl/>
        </w:rPr>
      </w:pPr>
      <w:r>
        <w:rPr>
          <w:rFonts w:hint="cs"/>
          <w:rtl/>
        </w:rPr>
        <w:t>3)[</w:t>
      </w:r>
      <w:r>
        <w:rPr>
          <w:rtl/>
        </w:rPr>
        <w:t>שולחן ערוך יורה דעה הלכות נדרים סימן רכא סעיף ג</w:t>
      </w:r>
      <w:r>
        <w:rPr>
          <w:rFonts w:hint="cs"/>
          <w:rtl/>
        </w:rPr>
        <w:t>]</w:t>
      </w:r>
      <w:r w:rsidR="00051726">
        <w:rPr>
          <w:rFonts w:hint="cs"/>
          <w:rtl/>
        </w:rPr>
        <w:t xml:space="preserve"> </w:t>
      </w:r>
      <w:r w:rsidR="00051726" w:rsidRPr="00051726">
        <w:rPr>
          <w:rtl/>
        </w:rPr>
        <w:t>ראובן שאסר נכסיו על שמעון אסור להשיאו בתו קטנה או נערה לפי שעדיין היא ברשותו והרי מוסר לו שפחה לשמשו ואם נכסי שמעון אסורין עליו מותר לישא בתו אע"פ שפטרו מחיוב מזונותיה ומחזיר לו אבידתו בין שנכסי בעל אבידה אסורין למחזיר בין שנכסי מחזיר אסורין לבעל אבידה ובמקום שנוטלין שכר על החזרת אבידה אם נכסי בעל אבידה אסורין למחזיר אסור לו לקבלו אלא מחזיר לו בחנם ואם נכסי מחזיר אסורין על בעל אבידה אינו רשאי להחזיר לו בחנם ואם נכסי שניהם אסורין זה על זה אינו יכול לקבל השכר שאם כן הוא נהנה ולא להניחו שא"כ הוא מהנה אלא יפול השכר להקדש</w:t>
      </w:r>
      <w:r w:rsidR="00051726" w:rsidRPr="00051726">
        <w:t>:</w:t>
      </w:r>
    </w:p>
    <w:p w14:paraId="1E8F68F1" w14:textId="66C204B1" w:rsidR="00355840" w:rsidRDefault="00733F71" w:rsidP="00733F71">
      <w:pPr>
        <w:pStyle w:val="Style1"/>
        <w:rPr>
          <w:rStyle w:val="Style1Char"/>
          <w:rtl/>
        </w:rPr>
      </w:pPr>
      <w:r>
        <w:rPr>
          <w:rStyle w:val="Style1Char"/>
          <w:rFonts w:hint="cs"/>
          <w:rtl/>
        </w:rPr>
        <w:t>4)[</w:t>
      </w:r>
      <w:r w:rsidR="00355840" w:rsidRPr="00355840">
        <w:rPr>
          <w:rStyle w:val="Style1Char"/>
          <w:rtl/>
        </w:rPr>
        <w:t>רמב</w:t>
      </w:r>
      <w:r w:rsidR="0080135A">
        <w:rPr>
          <w:rStyle w:val="Style1Char"/>
          <w:rtl/>
        </w:rPr>
        <w:t>”ם \זמנים\</w:t>
      </w:r>
      <w:r w:rsidR="00355840" w:rsidRPr="00355840">
        <w:rPr>
          <w:rStyle w:val="Style1Char"/>
          <w:rtl/>
        </w:rPr>
        <w:t xml:space="preserve"> הלכות שקלים פרק ג הלכה ט</w:t>
      </w:r>
      <w:r>
        <w:rPr>
          <w:rStyle w:val="Style1Char"/>
          <w:rFonts w:hint="cs"/>
          <w:rtl/>
        </w:rPr>
        <w:t xml:space="preserve">] </w:t>
      </w:r>
      <w:r w:rsidR="00355840" w:rsidRPr="00355840">
        <w:rPr>
          <w:rStyle w:val="Style1Char"/>
          <w:rtl/>
        </w:rPr>
        <w:t>שלחו את שקליהם ביד שומר שכר שהרי הוא חייב בגניבה ואבידה ואבדו ממנו באונס, כגון שלקחום לסטים מזויינים שהוא פטור, רואין אם אחר שנתרמה התרומה נאנס נשבע השליח לגזברים ובני העיר פטורין, שהתורם תורם על הגבוי ועל העתיד לגבות וברשות הקדש הן ובני העיר מה היה להן לעשות הרי לא מסרום אלא לשומר שכר שהוא חייב בגניבה ואבידה, אבל האונס אינו מצוי, ואם אבדו קודם שנתרמה התרומה עדיין ברשות בני העיר הם והשליח נשבע לפני אנשי העיר והן משלמין, נשבע וגבו שקלים שנית ואחר כך החזירום הליסטים אלו ואלו שקלים ואין עולין להן לשנה אחרת והשניים יפלו לשקלי שנה שעברה. יש מי שאומר שהשקלים הראשונים שיפלו לשקלי השנה הם השקלים שנגבו בתחלה ואבדו או נאנסו וחזרו, ויש מי שאומר שהשקלים הראשונים הן שהגיעו ליד הגזבר תחלה. /השגת הראב"ד/ יש מי שאומר שהשקלים הראשונים שיפלו לשקלי השנה. א"א בירושלמי (פ"ב סה"א) מחלוקת אמוראים.</w:t>
      </w:r>
    </w:p>
    <w:p w14:paraId="51B7F47C" w14:textId="1CB0301C" w:rsidR="00DD34D6" w:rsidRDefault="00DD34D6" w:rsidP="00DD34D6">
      <w:pPr>
        <w:pStyle w:val="Style1"/>
        <w:rPr>
          <w:rStyle w:val="Style1Char"/>
          <w:rtl/>
        </w:rPr>
      </w:pPr>
      <w:r>
        <w:rPr>
          <w:rStyle w:val="Style1Char"/>
          <w:rFonts w:hint="cs"/>
          <w:rtl/>
        </w:rPr>
        <w:t>5)[</w:t>
      </w:r>
      <w:r w:rsidRPr="00DD34D6">
        <w:rPr>
          <w:rStyle w:val="Style1Char"/>
          <w:rtl/>
        </w:rPr>
        <w:t>רמב</w:t>
      </w:r>
      <w:r w:rsidR="0057095E">
        <w:rPr>
          <w:rStyle w:val="Style1Char"/>
          <w:rtl/>
        </w:rPr>
        <w:t>”ם \משפטים\</w:t>
      </w:r>
      <w:r w:rsidRPr="00DD34D6">
        <w:rPr>
          <w:rStyle w:val="Style1Char"/>
          <w:rtl/>
        </w:rPr>
        <w:t xml:space="preserve"> הלכות מלוה ולוה פרק כו הלכה ו</w:t>
      </w:r>
      <w:r>
        <w:rPr>
          <w:rStyle w:val="Style1Char"/>
          <w:rFonts w:hint="cs"/>
          <w:rtl/>
        </w:rPr>
        <w:t xml:space="preserve">] </w:t>
      </w:r>
      <w:r w:rsidRPr="00DD34D6">
        <w:rPr>
          <w:rStyle w:val="Style1Char"/>
          <w:rtl/>
        </w:rPr>
        <w:t>ערב שקידם ונתן לבעל חוב את חובו הרי זה חוזר וגובה מן הלוה כל מה שפרע על ידו אף על פי שהיתה מלוה על פה או בלא עדים כלל, בד"א כשאמר לו הלוה בעת שנעשה לו ערב ערבני ושלם, אבל אם עמד ברשות עצמו ונעשה לו ערב או קבלן או שאמר לו הלוה ערבני ולא הרשהו שיתן ויפרע החוב אין הלוה חייב לשלם לו כלום, וכן הפורע שטר חובו של חבירו שלא מדעתו אפילו היה החוב על המשכון אין הלוה חייב כלום ונוטל משכונו בחנם והרי אבד זה הנותן את מעותיו שמא היה הלוה מפייס את המלוה ומוחל לו, מת הלוה וקידם הערב ופרע החוב קודם שיודיע את היורשים אם נודע לנו שלא פרע הלוה שטר חובו קודם שימות כגון שהודה בו קודם או שנדוהו ומת בנדויו או שלא הגיע זמן המלוה להגבות ה"ז חוזר וגובה מן היורשין כל מה שפרע, היה המלוה עכו"ם אין היורשין חייבין לשלם שמא אביהן נתן ליד הערב כל החוב שהיה עליו מפני שהעכו"ם תובע את הערב תחילה ולפיכך פרע זה מדעתו קודם שיודיע היתומים, אבל אם הודיען שהעכו"ם תובע אותו והרי הוא נותן חייבין לשלם. /השגת הראב"ד/ בד"א וכו' עד חייב לשלם לו כלום. א"א אלו דברים שאין הדעת מקבלתן ואין השכל סובלן עכ"ל.</w:t>
      </w:r>
    </w:p>
    <w:p w14:paraId="080BFD31" w14:textId="1163F0DA" w:rsidR="00E80705" w:rsidRPr="00E80705" w:rsidRDefault="006A4D6E" w:rsidP="00E80705">
      <w:pPr>
        <w:pStyle w:val="Style1"/>
      </w:pPr>
      <w:r>
        <w:rPr>
          <w:rStyle w:val="Style1Char"/>
          <w:rFonts w:hint="cs"/>
          <w:rtl/>
        </w:rPr>
        <w:lastRenderedPageBreak/>
        <w:t>5)[</w:t>
      </w:r>
      <w:r w:rsidRPr="006A4D6E">
        <w:rPr>
          <w:rStyle w:val="Style1Char"/>
          <w:rtl/>
        </w:rPr>
        <w:t>שולחן ערוך חושן משפט הלכות הרשאה סימן קכח סעיף א</w:t>
      </w:r>
      <w:r>
        <w:rPr>
          <w:rStyle w:val="Style1Char"/>
          <w:rFonts w:hint="cs"/>
          <w:rtl/>
        </w:rPr>
        <w:t>]</w:t>
      </w:r>
      <w:r w:rsidR="00E80705">
        <w:rPr>
          <w:rStyle w:val="Style1Char"/>
          <w:rFonts w:hint="cs"/>
          <w:rtl/>
        </w:rPr>
        <w:t xml:space="preserve"> </w:t>
      </w:r>
      <w:r w:rsidR="00E80705" w:rsidRPr="00E80705">
        <w:rPr>
          <w:rtl/>
        </w:rPr>
        <w:t>הפורע חובו של חבירו שלא מדעתו אפי' היה בשטר ואפי' היה עליו משכון ונטלו זה שפרע אין הלוה חייב לשלם לו ונוטל משכונו בחנם והרי אבד זה הנותן מעותיו ואפי' אם היה המלוה דוחקו לפרוע (שמא) היה הלוה מפייס את המלוה ומוחל לו</w:t>
      </w:r>
      <w:r w:rsidR="00E80705" w:rsidRPr="00E80705">
        <w:t>:</w:t>
      </w:r>
    </w:p>
    <w:p w14:paraId="4EFD0210" w14:textId="77777777" w:rsidR="00E80705" w:rsidRPr="00E80705" w:rsidRDefault="00E80705" w:rsidP="00E80705">
      <w:pPr>
        <w:pStyle w:val="Style1"/>
      </w:pPr>
      <w:r w:rsidRPr="00E80705">
        <w:rPr>
          <w:rFonts w:hint="cs"/>
          <w:rtl/>
        </w:rPr>
        <w:t>הגה: וכן נ"ל עיקר ודלא כיש חולקין ואומרים דחייב לשלם (טור בשם ר"ת והרא"ש) ויש אומרים דוקא כשפורע לישראל אבל אם פרע לעכו"ם חייב לכו"ע וכ"ש אם פדה משכונו מן העכו"ם דחייב לשלם לו (תשובת מהרי"ל סי' פ"ב) וכן ראוי להורות וע' ביו"ד סוף </w:t>
      </w:r>
      <w:hyperlink r:id="rId284" w:tooltip="שולחן ערוך יורה דעה רנב" w:history="1">
        <w:r w:rsidRPr="00E80705">
          <w:rPr>
            <w:rStyle w:val="Hyperlink"/>
            <w:rFonts w:hint="cs"/>
            <w:color w:val="7030A0"/>
            <w:u w:val="none"/>
            <w:rtl/>
          </w:rPr>
          <w:t>סימן רנ"ב</w:t>
        </w:r>
      </w:hyperlink>
      <w:r w:rsidRPr="00E80705">
        <w:rPr>
          <w:rFonts w:hint="cs"/>
        </w:rPr>
        <w:t> </w:t>
      </w:r>
      <w:r w:rsidRPr="00E80705">
        <w:rPr>
          <w:rFonts w:hint="cs"/>
          <w:rtl/>
        </w:rPr>
        <w:t>הפודה חבירו מן השביה אם חייב לשלם יש מי שאומר שכל זה שלא היה לו משל חבירו בידו אבל אם היה בידו משל חבירו ופרע חובו מה שעשה עשה (מהרי"ו סי' קס"ו) וי"א דאפי' נתן משכון שלו בשביל חבירו הואיל ואם רצה היה יכול לתת של חבירו אע"פ שלא נתנו חייב לשלם לו (הגהות מרדכי פ"ג דבתרא)</w:t>
      </w:r>
      <w:r w:rsidRPr="00E80705">
        <w:t>:</w:t>
      </w:r>
    </w:p>
    <w:p w14:paraId="7788BE30" w14:textId="77777777" w:rsidR="00E80705" w:rsidRPr="00E80705" w:rsidRDefault="00E80705" w:rsidP="00E80705">
      <w:pPr>
        <w:pStyle w:val="Style1"/>
        <w:rPr>
          <w:rStyle w:val="Style1Char"/>
        </w:rPr>
      </w:pPr>
    </w:p>
    <w:p w14:paraId="7620A300" w14:textId="64C6D7B0" w:rsidR="006A4D6E" w:rsidRPr="00051726" w:rsidRDefault="006A4D6E" w:rsidP="006A4D6E">
      <w:pPr>
        <w:pStyle w:val="Style1"/>
        <w:rPr>
          <w:rStyle w:val="Style1Char"/>
        </w:rPr>
      </w:pPr>
    </w:p>
    <w:p w14:paraId="5835D0EB" w14:textId="0C8DDD54" w:rsidR="00712315" w:rsidRPr="00E757D9" w:rsidRDefault="00712315" w:rsidP="00712315">
      <w:pPr>
        <w:pStyle w:val="Style1"/>
        <w:rPr>
          <w:rStyle w:val="Style1Char"/>
          <w:rtl/>
        </w:rPr>
      </w:pPr>
    </w:p>
    <w:p w14:paraId="643211C5" w14:textId="77777777" w:rsidR="000C5939" w:rsidRPr="00034A0F" w:rsidRDefault="000C5939" w:rsidP="000C5939">
      <w:pPr>
        <w:bidi/>
        <w:rPr>
          <w:rStyle w:val="Style1Char"/>
          <w:color w:val="00B050"/>
          <w:rtl/>
        </w:rPr>
      </w:pPr>
    </w:p>
    <w:p w14:paraId="6FE0A92D" w14:textId="77777777" w:rsidR="000C5939" w:rsidRPr="00A40D40" w:rsidRDefault="000C5939" w:rsidP="000C5939">
      <w:pPr>
        <w:bidi/>
        <w:rPr>
          <w:rStyle w:val="Style1Char"/>
          <w:color w:val="00B050"/>
          <w:rtl/>
        </w:rPr>
      </w:pPr>
    </w:p>
    <w:p w14:paraId="18C711CB" w14:textId="77777777" w:rsidR="000C5939" w:rsidRPr="000C7062" w:rsidRDefault="000C5939" w:rsidP="000C5939">
      <w:pPr>
        <w:bidi/>
        <w:rPr>
          <w:rStyle w:val="Style1Char"/>
          <w:color w:val="00B050"/>
          <w:rtl/>
        </w:rPr>
      </w:pPr>
    </w:p>
    <w:p w14:paraId="280268B2" w14:textId="77777777" w:rsidR="000C5939" w:rsidRDefault="000C5939" w:rsidP="000C5939">
      <w:pPr>
        <w:rPr>
          <w:rStyle w:val="Style1Char"/>
          <w:color w:val="00B050"/>
          <w:rtl/>
        </w:rPr>
      </w:pPr>
      <w:r>
        <w:rPr>
          <w:rStyle w:val="Style1Char"/>
          <w:color w:val="00B050"/>
          <w:rtl/>
        </w:rPr>
        <w:br w:type="page"/>
      </w:r>
    </w:p>
    <w:p w14:paraId="7F77473B" w14:textId="77777777" w:rsidR="000C5939" w:rsidRPr="001C3C1D" w:rsidRDefault="000C5939" w:rsidP="000C5939">
      <w:pPr>
        <w:bidi/>
        <w:rPr>
          <w:rStyle w:val="Style1Char"/>
          <w:color w:val="00B050"/>
        </w:rPr>
      </w:pPr>
      <w:r w:rsidRPr="002625A4">
        <w:rPr>
          <w:rStyle w:val="Style1Char"/>
          <w:color w:val="00B050"/>
          <w:sz w:val="22"/>
          <w:szCs w:val="22"/>
          <w:highlight w:val="yellow"/>
          <w:rtl/>
        </w:rPr>
        <w:lastRenderedPageBreak/>
        <w:t>[דף קח עמוד ב]</w:t>
      </w:r>
      <w:r w:rsidRPr="002625A4">
        <w:rPr>
          <w:rStyle w:val="Style1Char"/>
          <w:color w:val="00B050"/>
          <w:sz w:val="22"/>
          <w:szCs w:val="22"/>
          <w:rtl/>
        </w:rPr>
        <w:t xml:space="preserve"> </w:t>
      </w:r>
      <w:r w:rsidRPr="001C3C1D">
        <w:rPr>
          <w:rStyle w:val="Style1Char"/>
          <w:color w:val="00B050"/>
          <w:rtl/>
        </w:rPr>
        <w:t xml:space="preserve">כיסופא מי לית ליה? התם נמי אית ליה הנאה, בההיא הנאה דמיכסיף מיניה. </w:t>
      </w:r>
    </w:p>
    <w:p w14:paraId="1DF4A915" w14:textId="4776A352" w:rsidR="000C5939" w:rsidRPr="00B94F6A" w:rsidRDefault="000C5939" w:rsidP="000C5939">
      <w:pPr>
        <w:bidi/>
        <w:rPr>
          <w:rFonts w:ascii="Arial" w:hAnsi="Arial" w:cs="Arial"/>
          <w:color w:val="4472C4" w:themeColor="accent1"/>
          <w:sz w:val="16"/>
          <w:szCs w:val="16"/>
        </w:rPr>
      </w:pPr>
      <w:r w:rsidRPr="00A1217D">
        <w:rPr>
          <w:rStyle w:val="Style1Char"/>
          <w:color w:val="auto"/>
          <w:sz w:val="22"/>
          <w:szCs w:val="22"/>
          <w:rtl/>
        </w:rPr>
        <w:t xml:space="preserve">מתני'. אדמון אומר שבעה. מי שמת והניח בנים ובנות, </w:t>
      </w:r>
      <w:r w:rsidR="00C65985">
        <w:rPr>
          <w:rStyle w:val="Style1Char"/>
          <w:rFonts w:hint="cs"/>
          <w:rtl/>
        </w:rPr>
        <w:t>(1)</w:t>
      </w:r>
      <w:r w:rsidRPr="00A1217D">
        <w:rPr>
          <w:rStyle w:val="Style1Char"/>
          <w:color w:val="auto"/>
          <w:sz w:val="22"/>
          <w:szCs w:val="22"/>
          <w:rtl/>
        </w:rPr>
        <w:t xml:space="preserve">בזמן שהנכסים מרובין - הבנים יורשים והבנות נזונות, ובנכסים מועטים - הבנות יזונו והבנים יחזרו על הפתחים; אדמון אומר: בשביל שאני זכר הפסדתי? אמר רבן גמליאל: רואה אני את דברי אדמון. </w:t>
      </w:r>
      <w:r w:rsidRPr="00B94F6A">
        <w:rPr>
          <w:rFonts w:ascii="Arial" w:hAnsi="Arial" w:cs="Arial"/>
          <w:color w:val="4472C4" w:themeColor="accent1"/>
          <w:sz w:val="16"/>
          <w:szCs w:val="16"/>
          <w:rtl/>
        </w:rPr>
        <w:t>ואף על גב דפסקינן לקמן (סי' י') כל מקום שאמר ר"ג רואה אני את דברי אדמון הלכה כמותו ומההיא פיסקא פריך הש"ס לקמן אלמא הוי עיקר מ"מ ר"ח ורב אלפס ור"ת ז"ל פסקו דלית הלכתא בהך כוותיה דסוגיין דהש"ס דלא כוותיה לעיל בפ' נערה (דף מג א) א"ר יוסי א"ר עשו אלמנה אצל הבת כבת אצל האחים בנכסים מועטין ולעיל בפרק הנושא (דף ג א) א"ר אסי א"ר יוחנן יתומים שקדמו ומכרו בנכסים מועטין מה שמכרו מכור וכן בפרק מי שמת (דף קמ א) אלמנתו מהו שתמעט בנכסים והיה אומר ר"ת ז"ל דאדמון לאו לפלוגי אחכמים הוא דאתא אלא אתמוהי בעלמא קא מתמה וקאמר ר"ג יפה אמר אדמון שהיה מתמיה על דברי חכמים</w:t>
      </w:r>
      <w:r w:rsidRPr="00B94F6A">
        <w:rPr>
          <w:rFonts w:ascii="Arial" w:hAnsi="Arial" w:cs="Arial"/>
          <w:color w:val="4472C4" w:themeColor="accent1"/>
          <w:sz w:val="16"/>
          <w:szCs w:val="16"/>
        </w:rPr>
        <w:t xml:space="preserve">: </w:t>
      </w:r>
    </w:p>
    <w:p w14:paraId="4E074DD7" w14:textId="77777777" w:rsidR="000C5939" w:rsidRPr="001C3C1D" w:rsidRDefault="000C5939" w:rsidP="000C5939">
      <w:pPr>
        <w:bidi/>
        <w:rPr>
          <w:rStyle w:val="Style1Char"/>
          <w:color w:val="00B050"/>
        </w:rPr>
      </w:pPr>
      <w:r w:rsidRPr="001C3C1D">
        <w:rPr>
          <w:rStyle w:val="Style1Char"/>
          <w:color w:val="00B050"/>
          <w:rtl/>
        </w:rPr>
        <w:t xml:space="preserve">גמ'. מאי קאמר? אמר אביי, ה"ק: בשביל שאני זכר וראוי לעסוק בתורה הפסדתי? אמר ליה רבא: מאן דעסיק בתורה הוא דירית, מאן דלא עסיק בתורה לא ירית? אלא אמר רבא, הכי קאמר: בשביל שאני זכר וראוי לירש בנכסים מרובין, הפסדתי בנכסים מועטין? </w:t>
      </w:r>
    </w:p>
    <w:p w14:paraId="09420853" w14:textId="77777777" w:rsidR="000C5939" w:rsidRPr="00A5242A" w:rsidRDefault="000C5939" w:rsidP="000C5939">
      <w:pPr>
        <w:bidi/>
        <w:rPr>
          <w:rStyle w:val="Style1Char"/>
          <w:color w:val="auto"/>
          <w:sz w:val="22"/>
          <w:szCs w:val="22"/>
          <w:rtl/>
        </w:rPr>
      </w:pPr>
      <w:r w:rsidRPr="00A5242A">
        <w:rPr>
          <w:rStyle w:val="Style1Char"/>
          <w:color w:val="auto"/>
          <w:sz w:val="22"/>
          <w:szCs w:val="22"/>
          <w:rtl/>
        </w:rPr>
        <w:t xml:space="preserve">מתני'. הטוען את חבירו כדי שמן והודה בקנקנים, אדמון אומר: הואיל והודה במקצת הטענה ישבע, וחכ"א: אין הודאת מקצת ממין הטענה. אמר רבן גמליאל: רואה אני את דברי אדמון. </w:t>
      </w:r>
    </w:p>
    <w:p w14:paraId="45461C1D" w14:textId="24A032F0" w:rsidR="000C5939" w:rsidRDefault="000C5939" w:rsidP="000C5939">
      <w:pPr>
        <w:bidi/>
        <w:rPr>
          <w:rStyle w:val="Style1Char"/>
          <w:color w:val="00B050"/>
          <w:rtl/>
        </w:rPr>
      </w:pPr>
      <w:r w:rsidRPr="001C3C1D">
        <w:rPr>
          <w:rStyle w:val="Style1Char"/>
          <w:color w:val="00B050"/>
          <w:rtl/>
        </w:rPr>
        <w:t xml:space="preserve">גמ'. שמע מינה לרבנן, טענו חטין ושעורין והודה בשעורין - פטור; לימא, תהוי תיובתא דרב נחמן אמר שמואל, דא"ר נחמן אמר שמואל: </w:t>
      </w:r>
      <w:r w:rsidR="00426AEE">
        <w:rPr>
          <w:rStyle w:val="Style1Char"/>
          <w:rFonts w:hint="cs"/>
          <w:rtl/>
        </w:rPr>
        <w:t>(2)</w:t>
      </w:r>
      <w:r w:rsidRPr="001C3C1D">
        <w:rPr>
          <w:rStyle w:val="Style1Char"/>
          <w:color w:val="00B050"/>
          <w:rtl/>
        </w:rPr>
        <w:t xml:space="preserve">טענו חטין ושעורים והודה לו באחד מהן - חייב! אמר רב יהודה אמר רב: בטוענו מדה. אי הכי, מ"ט דאדמון? אלא אמר רבא: דכולי עלמא </w:t>
      </w:r>
      <w:r w:rsidR="00184C19">
        <w:rPr>
          <w:rStyle w:val="Style1Char"/>
          <w:rFonts w:hint="cs"/>
          <w:rtl/>
        </w:rPr>
        <w:t>(3)</w:t>
      </w:r>
      <w:r w:rsidRPr="001B1DFD">
        <w:rPr>
          <w:rStyle w:val="Style1Char"/>
          <w:color w:val="auto"/>
          <w:sz w:val="22"/>
          <w:szCs w:val="22"/>
          <w:rtl/>
        </w:rPr>
        <w:t>היכא דאמר ליה מלא עשרה כדי שמן יש לי בבורך - שמן קטעין ליה, קנקנים לא קטעין ליה, עשרה כדי שמן מלאים יש לי אצלך - שמן וקנקנים קטעין ליה, כי פליגי - היכא דאמר ליה עשרה כדי שמן יש לי אצלך, אדמון אומר: יש בלשון הזה לשון קנקנים</w:t>
      </w:r>
      <w:r w:rsidRPr="001B1DFD">
        <w:rPr>
          <w:rFonts w:ascii="Arial" w:hAnsi="Arial" w:cs="Arial"/>
          <w:sz w:val="16"/>
          <w:szCs w:val="16"/>
          <w:rtl/>
        </w:rPr>
        <w:t xml:space="preserve"> </w:t>
      </w:r>
      <w:r w:rsidRPr="00FC4E89">
        <w:rPr>
          <w:rFonts w:ascii="Arial" w:hAnsi="Arial" w:cs="Arial"/>
          <w:color w:val="806000" w:themeColor="accent4" w:themeShade="80"/>
          <w:rtl/>
        </w:rPr>
        <w:t>והוה ליה מודה מקצת הטענה וישבע</w:t>
      </w:r>
      <w:r w:rsidRPr="00821225">
        <w:rPr>
          <w:rStyle w:val="Style1Char"/>
          <w:sz w:val="22"/>
          <w:szCs w:val="22"/>
          <w:rtl/>
        </w:rPr>
        <w:t xml:space="preserve">, </w:t>
      </w:r>
      <w:r w:rsidRPr="00FC4E89">
        <w:rPr>
          <w:rStyle w:val="Style1Char"/>
          <w:color w:val="auto"/>
          <w:sz w:val="22"/>
          <w:szCs w:val="22"/>
          <w:rtl/>
        </w:rPr>
        <w:t xml:space="preserve">ורבנן סברי: </w:t>
      </w:r>
      <w:r w:rsidR="00D13891">
        <w:rPr>
          <w:rStyle w:val="Style1Char"/>
          <w:rFonts w:hint="cs"/>
          <w:rtl/>
        </w:rPr>
        <w:t>(3)</w:t>
      </w:r>
      <w:r w:rsidRPr="00FC4E89">
        <w:rPr>
          <w:rStyle w:val="Style1Char"/>
          <w:color w:val="auto"/>
          <w:sz w:val="22"/>
          <w:szCs w:val="22"/>
          <w:rtl/>
        </w:rPr>
        <w:t>אין בלשון הזה לשון קנקנים</w:t>
      </w:r>
      <w:r w:rsidRPr="00FC4E89">
        <w:rPr>
          <w:rFonts w:ascii="Arial" w:hAnsi="Arial" w:cs="Arial"/>
          <w:sz w:val="16"/>
          <w:szCs w:val="16"/>
          <w:rtl/>
        </w:rPr>
        <w:t xml:space="preserve"> </w:t>
      </w:r>
      <w:r w:rsidRPr="00FC4E89">
        <w:rPr>
          <w:rFonts w:ascii="Arial" w:hAnsi="Arial" w:cs="Arial"/>
          <w:color w:val="806000" w:themeColor="accent4" w:themeShade="80"/>
          <w:rtl/>
        </w:rPr>
        <w:t xml:space="preserve">ואין כאן הודאה </w:t>
      </w:r>
      <w:r w:rsidRPr="00B94F6A">
        <w:rPr>
          <w:rFonts w:ascii="Arial" w:hAnsi="Arial" w:cs="Arial"/>
          <w:color w:val="4472C4" w:themeColor="accent1"/>
          <w:sz w:val="16"/>
          <w:szCs w:val="16"/>
          <w:rtl/>
        </w:rPr>
        <w:t xml:space="preserve">במקצת </w:t>
      </w:r>
      <w:r w:rsidRPr="003409F2">
        <w:rPr>
          <w:rFonts w:ascii="Arial" w:hAnsi="Arial" w:cs="Arial"/>
          <w:color w:val="7030A0"/>
          <w:rtl/>
        </w:rPr>
        <w:t xml:space="preserve">ממין הטענה </w:t>
      </w:r>
      <w:r w:rsidRPr="00FC4E89">
        <w:rPr>
          <w:rFonts w:ascii="Arial" w:hAnsi="Arial" w:cs="Arial"/>
          <w:color w:val="806000" w:themeColor="accent4" w:themeShade="80"/>
          <w:rtl/>
        </w:rPr>
        <w:t>אלא מה שטענו לא הודה לו ומה שהודה לו לא טענו דהוה ליה כמו שטענו חטים והודה לו בשעורים דפטור וקי"ל כאדמון דאמר יש בלשון הזה לשון קנקנים והוה ליה מודה מקצת הטענה דאמרינן</w:t>
      </w:r>
      <w:r>
        <w:rPr>
          <w:rFonts w:ascii="Arial" w:hAnsi="Arial" w:cs="Arial" w:hint="cs"/>
          <w:color w:val="806000" w:themeColor="accent4" w:themeShade="80"/>
          <w:rtl/>
        </w:rPr>
        <w:t xml:space="preserve"> </w:t>
      </w:r>
      <w:r w:rsidRPr="003E0B53">
        <w:rPr>
          <w:rStyle w:val="Style1Char"/>
          <w:color w:val="806000" w:themeColor="accent4" w:themeShade="80"/>
          <w:sz w:val="22"/>
          <w:szCs w:val="22"/>
          <w:rtl/>
        </w:rPr>
        <w:t>אמר ר' זירא אמר רבה בר ירמיה</w:t>
      </w:r>
      <w:r w:rsidRPr="003E0B53">
        <w:rPr>
          <w:rStyle w:val="Style1Char"/>
          <w:rFonts w:hint="cs"/>
          <w:color w:val="806000" w:themeColor="accent4" w:themeShade="80"/>
          <w:sz w:val="22"/>
          <w:szCs w:val="22"/>
          <w:rtl/>
        </w:rPr>
        <w:t xml:space="preserve"> וכ"ו</w:t>
      </w:r>
      <w:r w:rsidRPr="003E0B53">
        <w:rPr>
          <w:rStyle w:val="Style1Char"/>
          <w:color w:val="806000" w:themeColor="accent4" w:themeShade="80"/>
          <w:sz w:val="22"/>
          <w:szCs w:val="22"/>
          <w:rtl/>
        </w:rPr>
        <w:t>:.</w:t>
      </w:r>
      <w:r w:rsidRPr="003E0B53">
        <w:rPr>
          <w:rStyle w:val="Style1Char"/>
          <w:color w:val="806000" w:themeColor="accent4" w:themeShade="80"/>
          <w:rtl/>
        </w:rPr>
        <w:t xml:space="preserve"> </w:t>
      </w:r>
      <w:r w:rsidRPr="001C3C1D">
        <w:rPr>
          <w:rStyle w:val="Style1Char"/>
          <w:color w:val="00B050"/>
          <w:rtl/>
        </w:rPr>
        <w:t xml:space="preserve">אלא טעמא דאין בלשון הזה לשון קנקנים, הא יש בלשון הזה לשון קנקנים - חייב, לימא, תיהוי תיובתא דר' חייא בר אבא, דא"ר חייא בר אבא: טענו חטין ושעורים והודה לו באחד מהם - פטור! אמר רב שימי בר אשי: נעשה כמי שטענו רימון בקליפתו. מתקיף לה רבינא: רימון בלא קליפתו לא מינטר, שמן מינטר בלא קנקנים! אלא הכא במאי עסקינן - דאמר ליה: עשרה כדי שמן יש לי אצלך, ואמר ליה אידך: שמן לא היו דברים מעולם, קנקנים נמי חמשה אית לך וחמשה לית לך, אדמון אומר: יש בלשון הזה לשון קנקנים, ומגו דקמשתבע אקנקנים, משתבע נמי אשמן על ידי גלגול; ורבנן סברי: אין בלשון הזה לשון קנקנים, מה שטענו לא הודה לו, ומה שהודה לו לא טענו. </w:t>
      </w:r>
    </w:p>
    <w:p w14:paraId="2DB154B6" w14:textId="616F8D65" w:rsidR="000C5939" w:rsidRDefault="000C5939" w:rsidP="000C5939">
      <w:pPr>
        <w:bidi/>
        <w:rPr>
          <w:rStyle w:val="Style1Char"/>
          <w:color w:val="auto"/>
          <w:sz w:val="22"/>
          <w:szCs w:val="22"/>
          <w:rtl/>
        </w:rPr>
      </w:pPr>
      <w:r w:rsidRPr="00A37F2E">
        <w:rPr>
          <w:rStyle w:val="Style1Char"/>
          <w:color w:val="auto"/>
          <w:sz w:val="22"/>
          <w:szCs w:val="22"/>
          <w:rtl/>
        </w:rPr>
        <w:t xml:space="preserve">מתני'. הפוסק מעות לחתנו ופשט לו את הרגל, </w:t>
      </w:r>
    </w:p>
    <w:p w14:paraId="0F90559A" w14:textId="3511B07C" w:rsidR="00F62E3F" w:rsidRDefault="00F62E3F" w:rsidP="00F62E3F">
      <w:pPr>
        <w:pStyle w:val="Style1"/>
        <w:rPr>
          <w:rStyle w:val="Style1Char"/>
          <w:rtl/>
        </w:rPr>
      </w:pPr>
      <w:r>
        <w:rPr>
          <w:rStyle w:val="Style1Char"/>
          <w:rFonts w:hint="cs"/>
          <w:rtl/>
        </w:rPr>
        <w:t>1)[</w:t>
      </w:r>
      <w:r w:rsidRPr="00F62E3F">
        <w:rPr>
          <w:rStyle w:val="Style1Char"/>
          <w:rtl/>
        </w:rPr>
        <w:t>רמב</w:t>
      </w:r>
      <w:r w:rsidR="00213DA1">
        <w:rPr>
          <w:rStyle w:val="Style1Char"/>
          <w:rtl/>
        </w:rPr>
        <w:t>”ם \נשים\</w:t>
      </w:r>
      <w:r w:rsidRPr="00F62E3F">
        <w:rPr>
          <w:rStyle w:val="Style1Char"/>
          <w:rtl/>
        </w:rPr>
        <w:t xml:space="preserve"> הלכות אישות פרק יט הלכה יז</w:t>
      </w:r>
      <w:r>
        <w:rPr>
          <w:rStyle w:val="Style1Char"/>
          <w:rFonts w:hint="cs"/>
          <w:rtl/>
        </w:rPr>
        <w:t xml:space="preserve">] </w:t>
      </w:r>
      <w:r w:rsidRPr="00F62E3F">
        <w:rPr>
          <w:rStyle w:val="Style1Char"/>
          <w:rtl/>
        </w:rPr>
        <w:t>מי שמת והניח בנים ובנות יירשו הבנים כל הנכסים והם זנין את אחיותיהם עד שיבגורו או עד שיתארסו, במה דברים אמורים בשהניח נכסים שאפשר שיזונו מהם הבנים והבנות כאחד עד שיבגורו הבנות ואלו הן הנקראין נכסים מרובין, אבל אם אין בנכסים שהניח אלא פחות מזה מוציאין מהם מזונות לבנות עד שיבגורו ונותנין השאר לבנים, ואם אין שם אלא כדי מזון הבנות בלבד הבנות ניזונות מהן עד שיבגורו או עד שיתארסו והבנים ישאלו על הפתחים.</w:t>
      </w:r>
    </w:p>
    <w:p w14:paraId="265CD5C2" w14:textId="6488B509" w:rsidR="000F0690" w:rsidRPr="000F0690" w:rsidRDefault="00EE3D50" w:rsidP="000F0690">
      <w:pPr>
        <w:pStyle w:val="Style1"/>
      </w:pPr>
      <w:r>
        <w:rPr>
          <w:rStyle w:val="Style1Char"/>
          <w:rFonts w:hint="cs"/>
          <w:rtl/>
        </w:rPr>
        <w:t>1)[</w:t>
      </w:r>
      <w:r w:rsidRPr="00EE3D50">
        <w:rPr>
          <w:rStyle w:val="Style1Char"/>
          <w:rtl/>
        </w:rPr>
        <w:t>שולחן ערוך אבן העזר הלכות כתובות סימן קיב סעיף יא</w:t>
      </w:r>
      <w:r>
        <w:rPr>
          <w:rStyle w:val="Style1Char"/>
          <w:rFonts w:hint="cs"/>
          <w:rtl/>
        </w:rPr>
        <w:t>]</w:t>
      </w:r>
      <w:r w:rsidR="000F0690">
        <w:rPr>
          <w:rStyle w:val="Style1Char"/>
          <w:rFonts w:hint="cs"/>
          <w:rtl/>
        </w:rPr>
        <w:t xml:space="preserve"> </w:t>
      </w:r>
      <w:r w:rsidR="000F0690" w:rsidRPr="000F0690">
        <w:rPr>
          <w:rtl/>
        </w:rPr>
        <w:t>מי שמת והניח בנים ובנות, יירשו הבנים כל הנכסים והם זנים אחיותיהם עד שיבגרו או עד שיתארסו</w:t>
      </w:r>
      <w:r w:rsidR="000F0690" w:rsidRPr="000F0690">
        <w:t>.</w:t>
      </w:r>
    </w:p>
    <w:p w14:paraId="52813A48" w14:textId="77777777" w:rsidR="000F0690" w:rsidRPr="000F0690" w:rsidRDefault="000F0690" w:rsidP="000F0690">
      <w:pPr>
        <w:pStyle w:val="Style1"/>
      </w:pPr>
      <w:r w:rsidRPr="000F0690">
        <w:rPr>
          <w:rFonts w:hint="cs"/>
          <w:rtl/>
        </w:rPr>
        <w:t>הגה: ואין מחייבים הבנים לצמצם במזונות, אלא אם ירצו יותירו במזונות. ומכל מקום אם רואים בית דין שהבנים מכלין הממון ואין משגיחין בישוב העולם, חייבין בית דין להשגיח בתיקון הבנות ולהפריש להן חלקן (טור)</w:t>
      </w:r>
      <w:r w:rsidRPr="000F0690">
        <w:t>:</w:t>
      </w:r>
    </w:p>
    <w:p w14:paraId="42A5CEF2" w14:textId="77777777" w:rsidR="000F0690" w:rsidRPr="000F0690" w:rsidRDefault="000F0690" w:rsidP="000F0690">
      <w:pPr>
        <w:pStyle w:val="Style1"/>
      </w:pPr>
      <w:r w:rsidRPr="000F0690">
        <w:rPr>
          <w:rtl/>
        </w:rPr>
        <w:t>במה דברים אמורים, כשהניח נכסים שאפשר שיזונו מהם הבנים והבנות כאחד עד שיבגרו הבנות, ואלו הם הנקראים נכסים מרובים. אבל אם אין בנכסים שהניח אלא פחות מזה, מוציאים מהם מזונות לבנות עד שיבגרו, ונותנים השאר לבנים. ואם אין שם אלא כדי מזון הבנות בלבד, נזונים מהם עד שיבגרו או עד שיתארסו, והבנים ישאלו על הפתחים</w:t>
      </w:r>
      <w:r w:rsidRPr="000F0690">
        <w:t>.</w:t>
      </w:r>
    </w:p>
    <w:p w14:paraId="6E00FE3E" w14:textId="3FE8C34E" w:rsidR="000F0690" w:rsidRDefault="000F0690" w:rsidP="000F0690">
      <w:pPr>
        <w:pStyle w:val="Style1"/>
        <w:rPr>
          <w:rtl/>
        </w:rPr>
      </w:pPr>
      <w:r w:rsidRPr="000F0690">
        <w:rPr>
          <w:rFonts w:hint="cs"/>
          <w:rtl/>
        </w:rPr>
        <w:t>הגה: ויש אומרים דאסור לבנים למכור אפילו נכסים מרובים, אם לא שהוא לצורך פדיון שבויים וכיוצא בזה; אבל בנכסים מועטים, אפילו בכהאי גוונא אסור (מרדכי פרק מי שמת). ואם עברו ומכרו, יתבאר לקמן </w:t>
      </w:r>
      <w:hyperlink r:id="rId285" w:anchor="%D7%A1%D7%A2%D7%99%D7%A3_%D7%99%D7%93" w:history="1">
        <w:r w:rsidRPr="000F0690">
          <w:rPr>
            <w:rStyle w:val="Hyperlink"/>
            <w:rFonts w:hint="cs"/>
            <w:color w:val="7030A0"/>
            <w:u w:val="none"/>
            <w:rtl/>
          </w:rPr>
          <w:t>סעיף י"ד</w:t>
        </w:r>
      </w:hyperlink>
      <w:r w:rsidRPr="000F0690">
        <w:t>:</w:t>
      </w:r>
    </w:p>
    <w:p w14:paraId="5F9954BC" w14:textId="4089578A" w:rsidR="009F1142" w:rsidRDefault="009F1142" w:rsidP="009F1142">
      <w:pPr>
        <w:pStyle w:val="Style1"/>
        <w:rPr>
          <w:rtl/>
        </w:rPr>
      </w:pPr>
      <w:r>
        <w:rPr>
          <w:rFonts w:hint="cs"/>
          <w:rtl/>
        </w:rPr>
        <w:t>2)[</w:t>
      </w:r>
      <w:r>
        <w:rPr>
          <w:rtl/>
        </w:rPr>
        <w:t>רמב</w:t>
      </w:r>
      <w:r w:rsidR="0057095E">
        <w:rPr>
          <w:rtl/>
        </w:rPr>
        <w:t>”ם \משפטים\</w:t>
      </w:r>
      <w:r>
        <w:rPr>
          <w:rtl/>
        </w:rPr>
        <w:t xml:space="preserve"> הלכות טוען ונטען פרק ג הלכה יא</w:t>
      </w:r>
      <w:r>
        <w:rPr>
          <w:rFonts w:hint="cs"/>
          <w:rtl/>
        </w:rPr>
        <w:t xml:space="preserve">] </w:t>
      </w:r>
      <w:r>
        <w:rPr>
          <w:rtl/>
        </w:rPr>
        <w:t>הטוען את חבירו שני מינין והודה באחד מהן הרי ההודיה ממין הטענה ונשבע, כיצד כגון כור חטין וכור שעורין יש לי בידך אין לך בידי אלא כור חטין חייב, התחיל הטוען ואמר כור חטין יש לי בידך וקודם שישלים דבריו ואמר כור שעורים יש לי בידך אמר לו הנטען אין לך בידי אלא כור שעורים, אם נראה לדיינין שהנטען הערים חייב שבועה, ואם לפי תומו פטור.</w:t>
      </w:r>
    </w:p>
    <w:p w14:paraId="4C19A4A7" w14:textId="0C6E8A12" w:rsidR="00095066" w:rsidRPr="00095066" w:rsidRDefault="006136F8" w:rsidP="00095066">
      <w:pPr>
        <w:pStyle w:val="Style1"/>
      </w:pPr>
      <w:r>
        <w:rPr>
          <w:rFonts w:hint="cs"/>
          <w:rtl/>
        </w:rPr>
        <w:t>2)[</w:t>
      </w:r>
      <w:r>
        <w:rPr>
          <w:rtl/>
        </w:rPr>
        <w:t>שולחן ערוך חושן משפט הלכות טוען ונטען סימן פח סעיף יב</w:t>
      </w:r>
      <w:r>
        <w:rPr>
          <w:rFonts w:hint="cs"/>
          <w:rtl/>
        </w:rPr>
        <w:t>]</w:t>
      </w:r>
      <w:r w:rsidR="00095066">
        <w:rPr>
          <w:rFonts w:hint="cs"/>
          <w:rtl/>
        </w:rPr>
        <w:t xml:space="preserve"> </w:t>
      </w:r>
      <w:r w:rsidR="00095066" w:rsidRPr="00095066">
        <w:rPr>
          <w:rtl/>
        </w:rPr>
        <w:t>תבעו ב' דברים כגון חטים ושעורים והודה לו באחד מהם חייב ליתן לו מה שהודה לו ונשבע על השאר אבל תבעו חטים והודה לו בשעורים פטור אף מדמי שעורים ויש מי שאומר שהטעם משום דחשיב כאלו הודה התובע שאינו חייב לו שעורים ולפיכך אפי' יש עדים על השעורים פטור דהודאת בעל דין כמאה עדים דמי</w:t>
      </w:r>
      <w:r w:rsidR="00095066" w:rsidRPr="00095066">
        <w:t>:</w:t>
      </w:r>
    </w:p>
    <w:p w14:paraId="0ECE673F" w14:textId="77777777" w:rsidR="00095066" w:rsidRPr="00095066" w:rsidRDefault="00095066" w:rsidP="00095066">
      <w:pPr>
        <w:pStyle w:val="Style1"/>
      </w:pPr>
      <w:r w:rsidRPr="00095066">
        <w:rPr>
          <w:rFonts w:hint="cs"/>
          <w:rtl/>
        </w:rPr>
        <w:t>הגה: (מהר"מ) ואפי' יודע הנתבע שחייב לו השעורים פטור לשלם דהוי כאלו מחל לו התובע וכמו שנתבאר לעיל סי' ע"ה סעיף י"א כן נ"ל דלא כיש מי שחולק</w:t>
      </w:r>
      <w:r w:rsidRPr="00095066">
        <w:t>:</w:t>
      </w:r>
    </w:p>
    <w:p w14:paraId="1F5BA7CB" w14:textId="77777777" w:rsidR="00095066" w:rsidRPr="00095066" w:rsidRDefault="00095066" w:rsidP="00095066">
      <w:pPr>
        <w:pStyle w:val="Style1"/>
      </w:pPr>
      <w:r w:rsidRPr="00095066">
        <w:rPr>
          <w:rtl/>
        </w:rPr>
        <w:t>ויש מי שאומר דדוקא כשא"ל חטים הלויתיך ביום פלו' ובשעה פלוני' והלה אומר שעורים היו דאם איתא שהלוהו שניהם הי' טוען על שניהם כיון דבבת אחת הלוהו אלא ודאי הודה שלא הלוה לו שעורים </w:t>
      </w:r>
      <w:r w:rsidRPr="00095066">
        <w:rPr>
          <w:rFonts w:hint="cs"/>
          <w:rtl/>
        </w:rPr>
        <w:t>(אבל בלאו הכי ודאי חייב דאין אדם מוחל על שתי תביעות אם לא תבע אלא אחת) (טור)</w:t>
      </w:r>
      <w:r w:rsidRPr="00095066">
        <w:rPr>
          <w:rtl/>
        </w:rPr>
        <w:t> ואם תפס התובע דמי השעורים אין מוציאין מידו</w:t>
      </w:r>
      <w:r w:rsidRPr="00095066">
        <w:t>:</w:t>
      </w:r>
    </w:p>
    <w:p w14:paraId="1A40CA4D" w14:textId="0A5C2A9E" w:rsidR="00095066" w:rsidRDefault="00095066" w:rsidP="00095066">
      <w:pPr>
        <w:pStyle w:val="Style1"/>
        <w:rPr>
          <w:rtl/>
        </w:rPr>
      </w:pPr>
      <w:r w:rsidRPr="00095066">
        <w:rPr>
          <w:rFonts w:hint="cs"/>
          <w:rtl/>
        </w:rPr>
        <w:t>הגה: וי"א דוקא אם תפס קודם שתבעו בדין אבל אם תפס לאחר שעמדו בדין מפקינן מיניה (טור) וכן נ"ל עיקר</w:t>
      </w:r>
      <w:r w:rsidRPr="00095066">
        <w:t>:</w:t>
      </w:r>
    </w:p>
    <w:p w14:paraId="0CDBA99F" w14:textId="6BAB2E6B" w:rsidR="00FB0543" w:rsidRDefault="00FB0543" w:rsidP="00FB0543">
      <w:pPr>
        <w:pStyle w:val="Style1"/>
        <w:rPr>
          <w:rtl/>
        </w:rPr>
      </w:pPr>
      <w:r>
        <w:rPr>
          <w:rFonts w:hint="cs"/>
          <w:rtl/>
        </w:rPr>
        <w:t>3)[</w:t>
      </w:r>
      <w:r>
        <w:rPr>
          <w:rtl/>
        </w:rPr>
        <w:t>רמב</w:t>
      </w:r>
      <w:r w:rsidR="0057095E">
        <w:rPr>
          <w:rtl/>
        </w:rPr>
        <w:t>”ם \משפטים\</w:t>
      </w:r>
      <w:r>
        <w:rPr>
          <w:rtl/>
        </w:rPr>
        <w:t xml:space="preserve"> הלכות טוען ונטען פרק ג הלכה יג</w:t>
      </w:r>
      <w:r>
        <w:rPr>
          <w:rFonts w:hint="cs"/>
          <w:rtl/>
        </w:rPr>
        <w:t xml:space="preserve">] </w:t>
      </w:r>
      <w:r>
        <w:rPr>
          <w:rtl/>
        </w:rPr>
        <w:t>מלא עשרה כדין שמן יש לי בידך אין לך בידי אלא עשרה כדין בלא שמן פטור, שהרי טענו שמן והודה לו בחרסים, עשרה כדין שמן יש לי בידך אין לך בידי אלא עשרה כדין ריקנין חייב שבועה שהרי טענו הכדין והשמן והודה לו בכדין וכן כל כיוצא בזה.</w:t>
      </w:r>
    </w:p>
    <w:p w14:paraId="1A063DB3" w14:textId="4FA6E894" w:rsidR="005C585E" w:rsidRPr="005C585E" w:rsidRDefault="00C33E0D" w:rsidP="005C585E">
      <w:pPr>
        <w:pStyle w:val="Style1"/>
      </w:pPr>
      <w:r>
        <w:rPr>
          <w:rFonts w:hint="cs"/>
          <w:rtl/>
        </w:rPr>
        <w:lastRenderedPageBreak/>
        <w:t>3)[</w:t>
      </w:r>
      <w:r>
        <w:rPr>
          <w:rtl/>
        </w:rPr>
        <w:t>שולחן ערוך חושן משפט הלכות טוען ונטען סימן פח סעיף יח</w:t>
      </w:r>
      <w:r>
        <w:rPr>
          <w:rFonts w:hint="cs"/>
          <w:rtl/>
        </w:rPr>
        <w:t>]</w:t>
      </w:r>
      <w:r w:rsidR="005C585E">
        <w:rPr>
          <w:rFonts w:hint="cs"/>
          <w:rtl/>
        </w:rPr>
        <w:t xml:space="preserve"> </w:t>
      </w:r>
      <w:r w:rsidR="005C585E" w:rsidRPr="005C585E">
        <w:rPr>
          <w:rtl/>
        </w:rPr>
        <w:t>מלא עשר כדים שמן יש לי בידך אין לך בידי אלא עשר כדים בלא שמן פטור שהרי טענו </w:t>
      </w:r>
      <w:r w:rsidR="005C585E" w:rsidRPr="005C585E">
        <w:rPr>
          <w:rFonts w:hint="cs"/>
        </w:rPr>
        <w:t>(</w:t>
      </w:r>
      <w:r w:rsidR="005C585E" w:rsidRPr="005C585E">
        <w:rPr>
          <w:rFonts w:hint="cs"/>
          <w:rtl/>
        </w:rPr>
        <w:t>בשמן</w:t>
      </w:r>
      <w:r w:rsidR="005C585E" w:rsidRPr="005C585E">
        <w:rPr>
          <w:rFonts w:hint="cs"/>
        </w:rPr>
        <w:t>)</w:t>
      </w:r>
      <w:r w:rsidR="005C585E" w:rsidRPr="005C585E">
        <w:t> </w:t>
      </w:r>
      <w:r w:rsidR="005C585E" w:rsidRPr="005C585E">
        <w:rPr>
          <w:rtl/>
        </w:rPr>
        <w:t>והודה לו בחרסים עשר כדים שמן יש לי בידך </w:t>
      </w:r>
      <w:r w:rsidR="005C585E" w:rsidRPr="005C585E">
        <w:rPr>
          <w:rFonts w:hint="cs"/>
          <w:rtl/>
        </w:rPr>
        <w:t>(או שאמר לו י' כדים מלאים שמן יש לי בידך) (טור)</w:t>
      </w:r>
      <w:r w:rsidR="005C585E" w:rsidRPr="005C585E">
        <w:rPr>
          <w:rtl/>
        </w:rPr>
        <w:t> אין לך בידי אלא עשר כדים ריקנים </w:t>
      </w:r>
      <w:r w:rsidR="005C585E" w:rsidRPr="005C585E">
        <w:rPr>
          <w:rFonts w:hint="cs"/>
          <w:rtl/>
        </w:rPr>
        <w:t>(או שהודה לו בשמן לחוד) (טור)</w:t>
      </w:r>
      <w:r w:rsidR="005C585E" w:rsidRPr="005C585E">
        <w:rPr>
          <w:rtl/>
        </w:rPr>
        <w:t> חייב שבועת התורה שהדי טענו הכדים והשמן</w:t>
      </w:r>
      <w:r w:rsidR="005C585E" w:rsidRPr="005C585E">
        <w:t>:</w:t>
      </w:r>
    </w:p>
    <w:p w14:paraId="7C79B4AB" w14:textId="77777777" w:rsidR="005C585E" w:rsidRPr="005C585E" w:rsidRDefault="005C585E" w:rsidP="005C585E">
      <w:pPr>
        <w:pStyle w:val="Style1"/>
      </w:pPr>
      <w:r w:rsidRPr="005C585E">
        <w:rPr>
          <w:rFonts w:hint="cs"/>
          <w:rtl/>
        </w:rPr>
        <w:t>הגה: אבל אם אמר לו י' כדי שמן יש לי בידך לא טענו אלא הכדים ואם הודה לו בשמן לא הוי ממין הטענה (טור)</w:t>
      </w:r>
      <w:r w:rsidRPr="005C585E">
        <w:t>:</w:t>
      </w:r>
    </w:p>
    <w:p w14:paraId="44DE6E0E" w14:textId="77777777" w:rsidR="005C585E" w:rsidRPr="005C585E" w:rsidRDefault="005C585E" w:rsidP="005C585E">
      <w:pPr>
        <w:pStyle w:val="Style1"/>
      </w:pPr>
    </w:p>
    <w:p w14:paraId="26CE8804" w14:textId="73C4308C" w:rsidR="00C33E0D" w:rsidRPr="00095066" w:rsidRDefault="00C33E0D" w:rsidP="00C33E0D">
      <w:pPr>
        <w:pStyle w:val="Style1"/>
      </w:pPr>
    </w:p>
    <w:p w14:paraId="3171FD57" w14:textId="77777777" w:rsidR="00095066" w:rsidRPr="00095066" w:rsidRDefault="00095066" w:rsidP="00095066">
      <w:pPr>
        <w:pStyle w:val="Style1"/>
      </w:pPr>
    </w:p>
    <w:p w14:paraId="1FCCFA16" w14:textId="5F1C28F9" w:rsidR="006136F8" w:rsidRPr="00095066" w:rsidRDefault="006136F8" w:rsidP="00095066">
      <w:pPr>
        <w:pStyle w:val="Style1"/>
      </w:pPr>
    </w:p>
    <w:p w14:paraId="58F6AA9D" w14:textId="77777777" w:rsidR="000F0690" w:rsidRPr="000F0690" w:rsidRDefault="000F0690" w:rsidP="000F0690">
      <w:pPr>
        <w:pStyle w:val="Style1"/>
        <w:rPr>
          <w:rStyle w:val="Style1Char"/>
        </w:rPr>
      </w:pPr>
    </w:p>
    <w:p w14:paraId="4A0F53E4" w14:textId="55FCD2F8" w:rsidR="00EE3D50" w:rsidRPr="00F62E3F" w:rsidRDefault="00EE3D50" w:rsidP="00EE3D50">
      <w:pPr>
        <w:pStyle w:val="Style1"/>
        <w:rPr>
          <w:rStyle w:val="Style1Char"/>
          <w:rtl/>
        </w:rPr>
      </w:pPr>
    </w:p>
    <w:p w14:paraId="070B8B3C" w14:textId="77777777" w:rsidR="000C5939" w:rsidRDefault="000C5939" w:rsidP="000C5939">
      <w:pPr>
        <w:rPr>
          <w:rStyle w:val="Style1Char"/>
          <w:color w:val="00B050"/>
          <w:rtl/>
        </w:rPr>
      </w:pPr>
      <w:r>
        <w:rPr>
          <w:rStyle w:val="Style1Char"/>
          <w:color w:val="00B050"/>
          <w:rtl/>
        </w:rPr>
        <w:br w:type="page"/>
      </w:r>
    </w:p>
    <w:p w14:paraId="60E92A5A" w14:textId="156BA61E" w:rsidR="000C5939" w:rsidRPr="00A37F2E" w:rsidRDefault="000C5939" w:rsidP="000C5939">
      <w:pPr>
        <w:bidi/>
        <w:rPr>
          <w:rStyle w:val="Style1Char"/>
          <w:color w:val="auto"/>
          <w:sz w:val="22"/>
          <w:szCs w:val="22"/>
        </w:rPr>
      </w:pPr>
      <w:r w:rsidRPr="00A37F2E">
        <w:rPr>
          <w:rStyle w:val="Style1Char"/>
          <w:color w:val="auto"/>
          <w:sz w:val="22"/>
          <w:szCs w:val="22"/>
          <w:highlight w:val="yellow"/>
          <w:rtl/>
        </w:rPr>
        <w:lastRenderedPageBreak/>
        <w:t>[דף קט עמוד א]</w:t>
      </w:r>
      <w:r w:rsidRPr="00A37F2E">
        <w:rPr>
          <w:rStyle w:val="Style1Char"/>
          <w:color w:val="auto"/>
          <w:sz w:val="22"/>
          <w:szCs w:val="22"/>
          <w:rtl/>
        </w:rPr>
        <w:t xml:space="preserve"> תשב עד שתלבין ראשה; </w:t>
      </w:r>
      <w:r w:rsidR="001058ED">
        <w:rPr>
          <w:rStyle w:val="Style1Char"/>
          <w:rFonts w:hint="cs"/>
          <w:rtl/>
        </w:rPr>
        <w:t>(1)</w:t>
      </w:r>
      <w:r w:rsidRPr="00A37F2E">
        <w:rPr>
          <w:rStyle w:val="Style1Char"/>
          <w:color w:val="auto"/>
          <w:sz w:val="22"/>
          <w:szCs w:val="22"/>
          <w:rtl/>
        </w:rPr>
        <w:t xml:space="preserve">אדמון אומר: יכולה היא שתאמר אילו אני פסקתי לעצמי אשב עד שתלבין ראשי, עכשיו שאבא פסק מה אני יכולה לעשות, או כנוס או פטור. אמר רבן גמליאל: רואה אני את דברי אדמון. </w:t>
      </w:r>
    </w:p>
    <w:p w14:paraId="6C0AA951" w14:textId="77777777" w:rsidR="000C5939" w:rsidRPr="00B94F6A" w:rsidRDefault="000C5939" w:rsidP="000C5939">
      <w:pPr>
        <w:bidi/>
        <w:rPr>
          <w:rFonts w:ascii="Arial" w:hAnsi="Arial" w:cs="Arial"/>
          <w:color w:val="4472C4" w:themeColor="accent1"/>
          <w:sz w:val="16"/>
          <w:szCs w:val="16"/>
        </w:rPr>
      </w:pPr>
      <w:r w:rsidRPr="00A37F2E">
        <w:rPr>
          <w:rStyle w:val="Style1Char"/>
          <w:color w:val="auto"/>
          <w:sz w:val="22"/>
          <w:szCs w:val="22"/>
          <w:rtl/>
        </w:rPr>
        <w:t>גמ'. מתני' דלא כי האי תנא; דתניא, אמר רבי יוסי ברבי יהודה: לא נחלקו אדמון וחכמים על הפוסק מעות לחתנו ופשט לו את הרגל, שיכולה היא שתאמר אבא פסק עלי מה אני יכולה לעשות, על מה נחלקו? על שפסקה היא על עצמה, שחכמים אומרים: תשב עד שתלבין ראשה, אדמון אומר: יכולה היא שתאמר כסבורה אני שאבא נותן עלי, ועכשיו שאין אבא נותן עלי מה אני יכולה לעשות, או כנוס או פטור, אמר רבן גמליאל: רואה אני את דברי אדמון</w:t>
      </w:r>
      <w:r w:rsidRPr="00A37F2E">
        <w:rPr>
          <w:rFonts w:ascii="Arial" w:hAnsi="Arial" w:cs="Arial"/>
          <w:sz w:val="16"/>
          <w:szCs w:val="16"/>
          <w:rtl/>
        </w:rPr>
        <w:t xml:space="preserve"> </w:t>
      </w:r>
      <w:r w:rsidRPr="00F6625B">
        <w:rPr>
          <w:rFonts w:ascii="Arial" w:hAnsi="Arial" w:cs="Arial"/>
          <w:color w:val="806000" w:themeColor="accent4" w:themeShade="80"/>
          <w:rtl/>
        </w:rPr>
        <w:t xml:space="preserve">וקי"ל כתנא דידן </w:t>
      </w:r>
      <w:r w:rsidRPr="00B94F6A">
        <w:rPr>
          <w:rFonts w:ascii="Arial" w:hAnsi="Arial" w:cs="Arial"/>
          <w:color w:val="4472C4" w:themeColor="accent1"/>
          <w:sz w:val="16"/>
          <w:szCs w:val="16"/>
          <w:rtl/>
        </w:rPr>
        <w:t>וי"א כיון ששאל רבא לרב נחמן אפי' בברייתא נמי והשיב לו רב נחמן דבכל מקום קאמר אלמא דס"ל כתנא דברייתא</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והלכתא כוותייהו</w:t>
      </w:r>
      <w:r w:rsidRPr="00B94F6A">
        <w:rPr>
          <w:rFonts w:ascii="Arial" w:hAnsi="Arial" w:cs="Arial"/>
          <w:color w:val="4472C4" w:themeColor="accent1"/>
          <w:sz w:val="16"/>
          <w:szCs w:val="16"/>
        </w:rPr>
        <w:t xml:space="preserve">: </w:t>
      </w:r>
    </w:p>
    <w:p w14:paraId="700E7478" w14:textId="77777777" w:rsidR="000C5939" w:rsidRDefault="000C5939" w:rsidP="000C5939">
      <w:pPr>
        <w:bidi/>
        <w:rPr>
          <w:rFonts w:ascii="Arial" w:hAnsi="Arial" w:cs="Arial"/>
          <w:color w:val="C00000"/>
          <w:sz w:val="16"/>
          <w:szCs w:val="16"/>
          <w:rtl/>
        </w:rPr>
      </w:pPr>
      <w:r w:rsidRPr="00A76670">
        <w:rPr>
          <w:rFonts w:ascii="Arial" w:hAnsi="Arial" w:cs="Arial"/>
          <w:color w:val="C00000"/>
          <w:sz w:val="16"/>
          <w:szCs w:val="16"/>
          <w:rtl/>
        </w:rPr>
        <w:t>והשתא דתקינו רבנן למורדת למיתב לה (לאלתר) [גיטא] ל"ש פסק עליה אביה ול"ש פסקה איהי כד אמרה ליה או כנוס או פטור כייפינן ליה ויהיב לה גיטא בעל כרחיה</w:t>
      </w:r>
      <w:r w:rsidRPr="00A76670">
        <w:rPr>
          <w:rFonts w:ascii="Arial" w:hAnsi="Arial" w:cs="Arial"/>
          <w:color w:val="C00000"/>
          <w:sz w:val="16"/>
          <w:szCs w:val="16"/>
        </w:rPr>
        <w:t>:</w:t>
      </w:r>
    </w:p>
    <w:p w14:paraId="75971D18" w14:textId="7C743D77" w:rsidR="000C5939" w:rsidRDefault="000C5939" w:rsidP="000C5939">
      <w:pPr>
        <w:bidi/>
        <w:rPr>
          <w:rStyle w:val="Style1Char"/>
          <w:color w:val="00B050"/>
          <w:rtl/>
        </w:rPr>
      </w:pPr>
      <w:r w:rsidRPr="001C3C1D">
        <w:rPr>
          <w:rStyle w:val="Style1Char"/>
          <w:color w:val="00B050"/>
          <w:rtl/>
        </w:rPr>
        <w:t xml:space="preserve">תנא: </w:t>
      </w:r>
      <w:r w:rsidR="008F4525">
        <w:rPr>
          <w:rStyle w:val="Style1Char"/>
          <w:rFonts w:hint="cs"/>
          <w:rtl/>
        </w:rPr>
        <w:t>(1)</w:t>
      </w:r>
      <w:r w:rsidRPr="001C3C1D">
        <w:rPr>
          <w:rStyle w:val="Style1Char"/>
          <w:color w:val="00B050"/>
          <w:rtl/>
        </w:rPr>
        <w:t xml:space="preserve">במה דברים אמורים - בגדולה, אבל בקטנה - כופין. כופין למאן? אילימא לאב, איפכא מיבעי ליה! אלא אמר רבא: </w:t>
      </w:r>
      <w:r w:rsidR="003E7C54">
        <w:rPr>
          <w:rStyle w:val="Style1Char"/>
          <w:rFonts w:hint="cs"/>
          <w:rtl/>
        </w:rPr>
        <w:t>(1)</w:t>
      </w:r>
      <w:r w:rsidRPr="001C3C1D">
        <w:rPr>
          <w:rStyle w:val="Style1Char"/>
          <w:color w:val="00B050"/>
          <w:rtl/>
        </w:rPr>
        <w:t xml:space="preserve">כופין לבעל ליתן גט. אמר ר' יצחק בן אלעזר משמיה דחזקיה: כל מקום שאמר רבן גמליאל רואה אני את דברי אדמון - הלכה כמותו. אמר ליה רבא לרב נחמן: אפי' בברייתא? א"ל: מי קאמרינן במשנה? בכל מקום שאמר רבן גמליאל קאמרינן. </w:t>
      </w:r>
    </w:p>
    <w:p w14:paraId="41442B83" w14:textId="77777777" w:rsidR="000C5939" w:rsidRPr="00B94F6A" w:rsidRDefault="000C5939" w:rsidP="000C5939">
      <w:pPr>
        <w:bidi/>
        <w:rPr>
          <w:rFonts w:ascii="Arial" w:hAnsi="Arial" w:cs="Arial"/>
          <w:color w:val="4472C4" w:themeColor="accent1"/>
          <w:sz w:val="16"/>
          <w:szCs w:val="16"/>
        </w:rPr>
      </w:pPr>
      <w:r w:rsidRPr="003E0B53">
        <w:rPr>
          <w:rStyle w:val="Style1Char"/>
          <w:color w:val="auto"/>
          <w:sz w:val="22"/>
          <w:szCs w:val="22"/>
          <w:rtl/>
        </w:rPr>
        <w:t xml:space="preserve">אמר ר' זירא אמר רבה בר ירמיה: </w:t>
      </w:r>
      <w:r w:rsidRPr="001C3C1D">
        <w:rPr>
          <w:rStyle w:val="Style1Char"/>
          <w:color w:val="00B050"/>
          <w:rtl/>
        </w:rPr>
        <w:t xml:space="preserve">ב' דברים שאמר חנן - הלכה כיוצא בו, שבעה דברים שאמר אדמון - אין הלכה כיוצא בו. מאי קאמר? אילימא הכי קאמר: שני דברים שאמר חנן - הלכה כמותו וכיוצא בו, ושבעה דברים שאמר אדמון - אין הלכה כמותו ולא כיוצא בו, והאמר רבי יצחק בן אלעזר משמיה דחזקיה: כל מקום שאמר רבן גמליאל רואה אני את דברי אדמון - הלכה כמותו! אלא ה"ק: שני דברים שאמר חנן - הלכה כמותו וכיוצא בו, שבעה דברים שאמר אדמון - אין הלכה כיוצא בו, הא כמותו - הלכה בכולהו. והאמר רבי יצחק בן אלעזר משמיה דחזקיה: כ"מ שאמר רבן גמליאל רואה אני את דברי אדמון - הלכה כמותו, אמר - אין, לא אמר - לא! אלא ה"ק: </w:t>
      </w:r>
      <w:r w:rsidRPr="003E0B53">
        <w:rPr>
          <w:rStyle w:val="Style1Char"/>
          <w:color w:val="auto"/>
          <w:sz w:val="22"/>
          <w:szCs w:val="22"/>
          <w:rtl/>
        </w:rPr>
        <w:t xml:space="preserve">שני דברי' שאמר חנן - הלכה כמותו וכיוצא בו, שבעה דברים שאמר אדמון - יש מהן שהלכה כמותו וכיוצא בו, ויש מהן שאין הלכה כמותו </w:t>
      </w:r>
      <w:r w:rsidRPr="003E0B53">
        <w:rPr>
          <w:rStyle w:val="Style1Char"/>
          <w:color w:val="ED7D31" w:themeColor="accent2"/>
          <w:rtl/>
        </w:rPr>
        <w:t xml:space="preserve">אלא </w:t>
      </w:r>
      <w:r w:rsidRPr="0000030C">
        <w:rPr>
          <w:rFonts w:ascii="Arial" w:hAnsi="Arial" w:cs="Arial"/>
          <w:color w:val="C00000"/>
          <w:rtl/>
        </w:rPr>
        <w:t>ולא</w:t>
      </w:r>
      <w:r w:rsidRPr="0000030C">
        <w:rPr>
          <w:rStyle w:val="Style1Char"/>
          <w:sz w:val="32"/>
          <w:szCs w:val="32"/>
          <w:rtl/>
        </w:rPr>
        <w:t xml:space="preserve"> </w:t>
      </w:r>
      <w:r w:rsidRPr="003E0B53">
        <w:rPr>
          <w:rStyle w:val="Style1Char"/>
          <w:color w:val="auto"/>
          <w:sz w:val="22"/>
          <w:szCs w:val="22"/>
          <w:rtl/>
        </w:rPr>
        <w:t>כיוצא בו, בכ"מ שאמר רבן גמליאל רואה אני את דברי אדמון - הלכה כמותו, אינך לא</w:t>
      </w:r>
      <w:r w:rsidRPr="003E0B53">
        <w:rPr>
          <w:rStyle w:val="Style1Char"/>
          <w:color w:val="806000" w:themeColor="accent4" w:themeShade="80"/>
          <w:sz w:val="22"/>
          <w:szCs w:val="22"/>
          <w:rtl/>
        </w:rPr>
        <w:t xml:space="preserve">. </w:t>
      </w:r>
      <w:r w:rsidRPr="003E0B53">
        <w:rPr>
          <w:rFonts w:ascii="Arial" w:hAnsi="Arial" w:cs="Arial"/>
          <w:color w:val="806000" w:themeColor="accent4" w:themeShade="80"/>
          <w:sz w:val="16"/>
          <w:szCs w:val="16"/>
          <w:rtl/>
        </w:rPr>
        <w:t xml:space="preserve">ודאמר רבן גמליאל רואה אני את דברי אדמון תלתא אינון מי שמת והניח בנים ובנות והטוען את חבירו כדי שמן והפוסק מעות לחתנו </w:t>
      </w:r>
      <w:r w:rsidRPr="00B94F6A">
        <w:rPr>
          <w:rFonts w:ascii="Arial" w:hAnsi="Arial" w:cs="Arial"/>
          <w:color w:val="4472C4" w:themeColor="accent1"/>
          <w:sz w:val="16"/>
          <w:szCs w:val="16"/>
          <w:rtl/>
        </w:rPr>
        <w:t>ופשט לו את הרגל.</w:t>
      </w:r>
      <w:r>
        <w:rPr>
          <w:rFonts w:ascii="Arial" w:hAnsi="Arial" w:cs="Arial" w:hint="cs"/>
          <w:color w:val="4472C4" w:themeColor="accent1"/>
          <w:sz w:val="16"/>
          <w:szCs w:val="16"/>
          <w:rtl/>
        </w:rPr>
        <w:t xml:space="preserve"> </w:t>
      </w:r>
      <w:r w:rsidRPr="003E0B53">
        <w:rPr>
          <w:rFonts w:ascii="Arial" w:hAnsi="Arial" w:cs="Arial"/>
          <w:color w:val="806000" w:themeColor="accent4" w:themeShade="80"/>
          <w:sz w:val="16"/>
          <w:szCs w:val="16"/>
          <w:rtl/>
        </w:rPr>
        <w:t>מי שמת</w:t>
      </w:r>
      <w:r w:rsidRPr="00A76670">
        <w:rPr>
          <w:rFonts w:ascii="Arial" w:hAnsi="Arial" w:cs="Arial"/>
          <w:color w:val="C00000"/>
          <w:sz w:val="16"/>
          <w:szCs w:val="16"/>
          <w:rtl/>
        </w:rPr>
        <w:t xml:space="preserve"> </w:t>
      </w:r>
      <w:r w:rsidRPr="003E0B53">
        <w:rPr>
          <w:rFonts w:ascii="Arial" w:hAnsi="Arial" w:cs="Arial"/>
          <w:color w:val="806000" w:themeColor="accent4" w:themeShade="80"/>
          <w:sz w:val="16"/>
          <w:szCs w:val="16"/>
          <w:rtl/>
        </w:rPr>
        <w:t xml:space="preserve">והניח בנים ובנות נפקא ליה מהלכתא וקיימא לן כרבנן דאמרי </w:t>
      </w:r>
      <w:r w:rsidRPr="00AB7541">
        <w:rPr>
          <w:rFonts w:ascii="Arial" w:hAnsi="Arial" w:cs="Arial"/>
          <w:color w:val="C00000"/>
          <w:sz w:val="16"/>
          <w:szCs w:val="16"/>
          <w:rtl/>
        </w:rPr>
        <w:t xml:space="preserve">בנכסים מועטין </w:t>
      </w:r>
      <w:r w:rsidRPr="003E0B53">
        <w:rPr>
          <w:rFonts w:ascii="Arial" w:hAnsi="Arial" w:cs="Arial"/>
          <w:color w:val="806000" w:themeColor="accent4" w:themeShade="80"/>
          <w:sz w:val="16"/>
          <w:szCs w:val="16"/>
          <w:rtl/>
        </w:rPr>
        <w:t xml:space="preserve">הבנות יזונו והבנים ישאלו על הפתחים </w:t>
      </w:r>
      <w:r w:rsidRPr="00AB7541">
        <w:rPr>
          <w:rFonts w:ascii="Arial" w:hAnsi="Arial" w:cs="Arial"/>
          <w:color w:val="806000" w:themeColor="accent4" w:themeShade="80"/>
          <w:sz w:val="16"/>
          <w:szCs w:val="16"/>
          <w:rtl/>
        </w:rPr>
        <w:t xml:space="preserve">פשו להו תרתי דהלכתא </w:t>
      </w:r>
      <w:r w:rsidRPr="00A76670">
        <w:rPr>
          <w:rFonts w:ascii="Arial" w:hAnsi="Arial" w:cs="Arial"/>
          <w:color w:val="C00000"/>
          <w:sz w:val="16"/>
          <w:szCs w:val="16"/>
          <w:rtl/>
        </w:rPr>
        <w:t xml:space="preserve">בה כאדמון </w:t>
      </w:r>
      <w:r w:rsidRPr="00311FE8">
        <w:rPr>
          <w:rFonts w:ascii="Arial" w:hAnsi="Arial" w:cs="Arial"/>
          <w:color w:val="806000" w:themeColor="accent4" w:themeShade="80"/>
          <w:sz w:val="16"/>
          <w:szCs w:val="16"/>
          <w:rtl/>
        </w:rPr>
        <w:t>כיוצא בו ד</w:t>
      </w:r>
      <w:r w:rsidRPr="00311FE8">
        <w:rPr>
          <w:rFonts w:ascii="Arial" w:hAnsi="Arial" w:cs="Arial" w:hint="cs"/>
          <w:color w:val="806000" w:themeColor="accent4" w:themeShade="80"/>
          <w:sz w:val="16"/>
          <w:szCs w:val="16"/>
          <w:rtl/>
        </w:rPr>
        <w:t>ח</w:t>
      </w:r>
      <w:r w:rsidRPr="00311FE8">
        <w:rPr>
          <w:rFonts w:ascii="Arial" w:hAnsi="Arial" w:cs="Arial"/>
          <w:color w:val="806000" w:themeColor="accent4" w:themeShade="80"/>
          <w:sz w:val="16"/>
          <w:szCs w:val="16"/>
          <w:rtl/>
        </w:rPr>
        <w:t xml:space="preserve">נן </w:t>
      </w:r>
      <w:r w:rsidRPr="00A76670">
        <w:rPr>
          <w:rFonts w:ascii="Arial" w:hAnsi="Arial" w:cs="Arial"/>
          <w:color w:val="C00000"/>
          <w:sz w:val="16"/>
          <w:szCs w:val="16"/>
          <w:rtl/>
        </w:rPr>
        <w:t xml:space="preserve">הא </w:t>
      </w:r>
      <w:r w:rsidRPr="00311FE8">
        <w:rPr>
          <w:rFonts w:ascii="Arial" w:hAnsi="Arial" w:cs="Arial"/>
          <w:color w:val="806000" w:themeColor="accent4" w:themeShade="80"/>
          <w:sz w:val="16"/>
          <w:szCs w:val="16"/>
          <w:rtl/>
        </w:rPr>
        <w:t>דאמרינן לעיל</w:t>
      </w:r>
      <w:r w:rsidRPr="00A76670">
        <w:rPr>
          <w:rFonts w:ascii="Arial" w:hAnsi="Arial" w:cs="Arial"/>
          <w:color w:val="C00000"/>
          <w:sz w:val="16"/>
          <w:szCs w:val="16"/>
          <w:rtl/>
        </w:rPr>
        <w:t xml:space="preserve"> </w:t>
      </w:r>
      <w:r w:rsidRPr="00154370">
        <w:rPr>
          <w:rFonts w:ascii="Arial" w:hAnsi="Arial" w:cs="Arial"/>
          <w:color w:val="806000" w:themeColor="accent4" w:themeShade="80"/>
          <w:sz w:val="16"/>
          <w:szCs w:val="16"/>
          <w:rtl/>
        </w:rPr>
        <w:t xml:space="preserve">[דף ק"ח ע"א] אמר רב </w:t>
      </w:r>
      <w:r w:rsidRPr="004C231F">
        <w:rPr>
          <w:rFonts w:ascii="Arial" w:hAnsi="Arial" w:cs="Arial"/>
          <w:color w:val="806000" w:themeColor="accent4" w:themeShade="80"/>
          <w:sz w:val="16"/>
          <w:szCs w:val="16"/>
          <w:rtl/>
        </w:rPr>
        <w:t xml:space="preserve">הושעיא הא מני חנן היא דאמר </w:t>
      </w:r>
      <w:r w:rsidRPr="00B94F6A">
        <w:rPr>
          <w:rFonts w:ascii="Arial" w:hAnsi="Arial" w:cs="Arial"/>
          <w:color w:val="4472C4" w:themeColor="accent1"/>
          <w:sz w:val="16"/>
          <w:szCs w:val="16"/>
          <w:rtl/>
        </w:rPr>
        <w:t xml:space="preserve">איבד </w:t>
      </w:r>
      <w:r w:rsidRPr="00A76670">
        <w:rPr>
          <w:rFonts w:ascii="Arial" w:hAnsi="Arial" w:cs="Arial"/>
          <w:color w:val="C00000"/>
          <w:sz w:val="16"/>
          <w:szCs w:val="16"/>
          <w:rtl/>
        </w:rPr>
        <w:t xml:space="preserve">הניח </w:t>
      </w:r>
      <w:r w:rsidRPr="004C231F">
        <w:rPr>
          <w:rFonts w:ascii="Arial" w:hAnsi="Arial" w:cs="Arial"/>
          <w:color w:val="806000" w:themeColor="accent4" w:themeShade="80"/>
          <w:sz w:val="16"/>
          <w:szCs w:val="16"/>
          <w:rtl/>
        </w:rPr>
        <w:t>מעותיו</w:t>
      </w:r>
      <w:r w:rsidRPr="00A76670">
        <w:rPr>
          <w:rFonts w:ascii="Arial" w:hAnsi="Arial" w:cs="Arial"/>
          <w:color w:val="C00000"/>
          <w:sz w:val="16"/>
          <w:szCs w:val="16"/>
          <w:rtl/>
        </w:rPr>
        <w:t xml:space="preserve"> על קרן הצבי </w:t>
      </w:r>
      <w:r w:rsidRPr="0060303D">
        <w:rPr>
          <w:rFonts w:ascii="Arial" w:hAnsi="Arial" w:cs="Arial"/>
          <w:color w:val="806000" w:themeColor="accent4" w:themeShade="80"/>
          <w:sz w:val="16"/>
          <w:szCs w:val="16"/>
          <w:rtl/>
        </w:rPr>
        <w:t>כיוצא בו דאדמון הא דאמרינן בשבועות [שבועות מ' ע"ב] טענו שור ושה וחמור והודה לו באחד מהן חייב ואמר רבי חייא בר אבא תלמוד ערוך הוא בפי' ר' יוחנן הא מני אדמון</w:t>
      </w:r>
      <w:r w:rsidRPr="00154370">
        <w:rPr>
          <w:rFonts w:ascii="Arial" w:hAnsi="Arial" w:cs="Arial"/>
          <w:color w:val="806000" w:themeColor="accent4" w:themeShade="80"/>
          <w:sz w:val="16"/>
          <w:szCs w:val="16"/>
          <w:rtl/>
        </w:rPr>
        <w:t xml:space="preserve"> היא </w:t>
      </w:r>
      <w:r w:rsidRPr="00A76670">
        <w:rPr>
          <w:rFonts w:ascii="Arial" w:hAnsi="Arial" w:cs="Arial"/>
          <w:color w:val="C00000"/>
          <w:sz w:val="16"/>
          <w:szCs w:val="16"/>
          <w:rtl/>
        </w:rPr>
        <w:t>וכבר ברירנא בשבועות שהלכה היא טענו שור שה וחמור והודה לו באחד מהן חייב</w:t>
      </w:r>
      <w:r w:rsidRPr="00A76670">
        <w:rPr>
          <w:rFonts w:ascii="Arial" w:hAnsi="Arial" w:cs="Arial"/>
          <w:color w:val="C00000"/>
          <w:sz w:val="16"/>
          <w:szCs w:val="16"/>
        </w:rPr>
        <w:t>:</w:t>
      </w:r>
      <w:r w:rsidRPr="00B94F6A">
        <w:rPr>
          <w:rFonts w:ascii="Arial" w:hAnsi="Arial" w:cs="Arial"/>
          <w:color w:val="4472C4" w:themeColor="accent1"/>
          <w:sz w:val="16"/>
          <w:szCs w:val="16"/>
          <w:rtl/>
        </w:rPr>
        <w:t xml:space="preserve"> והא דאצטריך הכא למיפסק הלכה כיוצא בו טפי מכל שאר פסקי הלכה שבהש"ס דממילא מדמינן מילתא למלתא ההיא דחנן אצטריך דלא תימא דווקא בפורע מזון אשתו שאינו חיוב גמור כל כך הוא דפטור קא משמע לן</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דאף כיוצא בו בשארי חובות נמי הלכה כמותו וכיוצא בו דאדמון אצטריך דלא תימא שאני הכא דהוי כמו רמון בקליפתו</w:t>
      </w:r>
      <w:r w:rsidRPr="00B94F6A">
        <w:rPr>
          <w:rFonts w:ascii="Arial" w:hAnsi="Arial" w:cs="Arial"/>
          <w:color w:val="4472C4" w:themeColor="accent1"/>
          <w:sz w:val="16"/>
          <w:szCs w:val="16"/>
        </w:rPr>
        <w:t xml:space="preserve">: </w:t>
      </w:r>
    </w:p>
    <w:p w14:paraId="6F461BED" w14:textId="372AB929" w:rsidR="000C5939" w:rsidRPr="001760C2" w:rsidRDefault="000C5939" w:rsidP="000C5939">
      <w:pPr>
        <w:bidi/>
        <w:rPr>
          <w:rStyle w:val="Style1Char"/>
          <w:color w:val="auto"/>
          <w:sz w:val="22"/>
          <w:szCs w:val="22"/>
        </w:rPr>
      </w:pPr>
      <w:r w:rsidRPr="001760C2">
        <w:rPr>
          <w:rStyle w:val="Style1Char"/>
          <w:color w:val="auto"/>
          <w:sz w:val="22"/>
          <w:szCs w:val="22"/>
          <w:rtl/>
        </w:rPr>
        <w:t xml:space="preserve">מתני'. העורר על השדה והוא חתום עליה בעד, אדמון אומר: השני נוח לי והראשון קשה הימנו, וחכמים אומרים: </w:t>
      </w:r>
      <w:r w:rsidR="003E7C54">
        <w:rPr>
          <w:rStyle w:val="Style1Char"/>
          <w:rFonts w:hint="cs"/>
          <w:rtl/>
        </w:rPr>
        <w:t>(2)</w:t>
      </w:r>
      <w:r w:rsidRPr="001760C2">
        <w:rPr>
          <w:rStyle w:val="Style1Char"/>
          <w:color w:val="auto"/>
          <w:sz w:val="22"/>
          <w:szCs w:val="22"/>
          <w:rtl/>
        </w:rPr>
        <w:t xml:space="preserve">איבד את זכותו. </w:t>
      </w:r>
      <w:r w:rsidR="00FE720E">
        <w:rPr>
          <w:rStyle w:val="Style1Char"/>
          <w:rFonts w:hint="cs"/>
          <w:rtl/>
        </w:rPr>
        <w:t>(2.1, 3)</w:t>
      </w:r>
      <w:r w:rsidRPr="001760C2">
        <w:rPr>
          <w:rStyle w:val="Style1Char"/>
          <w:color w:val="auto"/>
          <w:sz w:val="22"/>
          <w:szCs w:val="22"/>
          <w:rtl/>
        </w:rPr>
        <w:t xml:space="preserve">עשאה סימן לאחר - איבד את זכותו. </w:t>
      </w:r>
    </w:p>
    <w:p w14:paraId="6FAA3D0B" w14:textId="28CEA5A1" w:rsidR="000C5939" w:rsidRPr="00123B58" w:rsidRDefault="000C5939" w:rsidP="000C5939">
      <w:pPr>
        <w:bidi/>
        <w:rPr>
          <w:rStyle w:val="Style1Char"/>
          <w:color w:val="auto"/>
          <w:sz w:val="22"/>
          <w:szCs w:val="22"/>
          <w:rtl/>
        </w:rPr>
      </w:pPr>
      <w:r w:rsidRPr="00123B58">
        <w:rPr>
          <w:rStyle w:val="Style1Char"/>
          <w:color w:val="auto"/>
          <w:sz w:val="22"/>
          <w:szCs w:val="22"/>
          <w:rtl/>
        </w:rPr>
        <w:t xml:space="preserve">גמ'. אמר אביי: </w:t>
      </w:r>
      <w:r w:rsidR="00EB3D39">
        <w:rPr>
          <w:rStyle w:val="Style1Char"/>
          <w:rFonts w:hint="cs"/>
          <w:rtl/>
        </w:rPr>
        <w:t>(4)</w:t>
      </w:r>
      <w:r w:rsidRPr="00123B58">
        <w:rPr>
          <w:rStyle w:val="Style1Char"/>
          <w:color w:val="auto"/>
          <w:sz w:val="22"/>
          <w:szCs w:val="22"/>
          <w:rtl/>
        </w:rPr>
        <w:t xml:space="preserve">לא שנו אלא עד, אבל דיין - לא איבד את זכותו, דתני ר' חייא: </w:t>
      </w:r>
      <w:r w:rsidR="001C62DB">
        <w:rPr>
          <w:rStyle w:val="Style1Char"/>
          <w:rFonts w:hint="cs"/>
          <w:rtl/>
        </w:rPr>
        <w:t>(4.1, 5)</w:t>
      </w:r>
      <w:r w:rsidRPr="00123B58">
        <w:rPr>
          <w:rStyle w:val="Style1Char"/>
          <w:color w:val="auto"/>
          <w:sz w:val="22"/>
          <w:szCs w:val="22"/>
          <w:rtl/>
        </w:rPr>
        <w:t xml:space="preserve">אין העדים חותמין על השטר אלא א"כ קראוהו, </w:t>
      </w:r>
    </w:p>
    <w:p w14:paraId="1AB4D0E1" w14:textId="2ADAAF77" w:rsidR="001C62DB" w:rsidRDefault="001C62DB" w:rsidP="001C62DB">
      <w:pPr>
        <w:pStyle w:val="Style1"/>
        <w:rPr>
          <w:rStyle w:val="Style1Char"/>
          <w:rtl/>
        </w:rPr>
      </w:pPr>
      <w:r>
        <w:rPr>
          <w:rStyle w:val="Style1Char"/>
          <w:rFonts w:hint="cs"/>
          <w:rtl/>
        </w:rPr>
        <w:t>1)[</w:t>
      </w:r>
      <w:r w:rsidR="00213DA1">
        <w:rPr>
          <w:rStyle w:val="Style1Char"/>
          <w:rtl/>
        </w:rPr>
        <w:t xml:space="preserve">רמב”ם \נשים\ הלכות אישות </w:t>
      </w:r>
      <w:r w:rsidRPr="001C62DB">
        <w:rPr>
          <w:rStyle w:val="Style1Char"/>
          <w:rtl/>
        </w:rPr>
        <w:t>פרק כג הלכה טז</w:t>
      </w:r>
      <w:r>
        <w:rPr>
          <w:rStyle w:val="Style1Char"/>
          <w:rFonts w:hint="cs"/>
          <w:rtl/>
        </w:rPr>
        <w:t xml:space="preserve">] </w:t>
      </w:r>
      <w:r w:rsidRPr="001C62DB">
        <w:rPr>
          <w:rStyle w:val="Style1Char"/>
          <w:rtl/>
        </w:rPr>
        <w:t>הפוסק מעות לחתנו והלך האב למדינה אחרת יכולה היא לומר לבעל אני לא פסקתי על עצמי מה אני יכולה לעשות או כנוס בלא נדוניא או פטרני בגט, אבל אם פסקה היא על עצמה ולא הגיעה ידה הרי זו יושבת עד שתמצא מה שפסקה או עד שתמות. ולמה לא תפטור עצמה במרדות, שהמורדת כשהיא ארוסה הבעל רוצה לכנסה והיא אינה רוצה אבל זו אין הבעל רוצה בה עד שתתן הנדוניא שפסקה והיא רוצה בו שהרי היא אומרת לו או כנוס או פטור, במה דברים אמורים בגדולה אבל קטנה שפסקה על עצמה כופין אותו ליתן גט או יכנוס בלא נדוניא.</w:t>
      </w:r>
    </w:p>
    <w:p w14:paraId="70F23135" w14:textId="47B8023E" w:rsidR="001C62DB" w:rsidRPr="001C62DB" w:rsidRDefault="001C62DB" w:rsidP="001C62DB">
      <w:pPr>
        <w:pStyle w:val="Style1"/>
      </w:pPr>
      <w:r>
        <w:rPr>
          <w:rStyle w:val="Style1Char"/>
          <w:rFonts w:hint="cs"/>
          <w:rtl/>
        </w:rPr>
        <w:t>1)[</w:t>
      </w:r>
      <w:r w:rsidRPr="001C62DB">
        <w:rPr>
          <w:rStyle w:val="Style1Char"/>
          <w:rtl/>
        </w:rPr>
        <w:t>שולחן ערוך אבן העזר הלכות קידושין סימן נב</w:t>
      </w:r>
      <w:r>
        <w:rPr>
          <w:rStyle w:val="Style1Char"/>
          <w:rFonts w:hint="cs"/>
          <w:rtl/>
        </w:rPr>
        <w:t xml:space="preserve">] </w:t>
      </w:r>
      <w:r w:rsidRPr="001C62DB">
        <w:rPr>
          <w:rtl/>
        </w:rPr>
        <w:t>הפוסק מעות לחתנו והלך האב למדינה אחרת, או שאין לו, יכולה היא לומר לבעל: אני לא פסקתי על עצמי, או כנס בלא נדוניא או פטרני בגט. אבל אם פסקה היא על עצמה, ולא הגיע ידה -- הרי זו יושבת עד שתמצא מה שפסקה או עד שתמות</w:t>
      </w:r>
      <w:r w:rsidRPr="001C62DB">
        <w:t>.</w:t>
      </w:r>
    </w:p>
    <w:p w14:paraId="1656A655" w14:textId="77777777" w:rsidR="001C62DB" w:rsidRPr="001C62DB" w:rsidRDefault="001C62DB" w:rsidP="001C62DB">
      <w:pPr>
        <w:pStyle w:val="Style1"/>
      </w:pPr>
      <w:r w:rsidRPr="001C62DB">
        <w:rPr>
          <w:rtl/>
        </w:rPr>
        <w:t>במה דברים אמורים? בגדולה; אבל בקטנה שפסקה על עצמה -- כופין אותו ליתן גט, או יכנס בלא נדוניא</w:t>
      </w:r>
      <w:r w:rsidRPr="001C62DB">
        <w:t>.</w:t>
      </w:r>
    </w:p>
    <w:p w14:paraId="1537C9E6" w14:textId="77777777" w:rsidR="001C62DB" w:rsidRPr="001C62DB" w:rsidRDefault="001C62DB" w:rsidP="001C62DB">
      <w:pPr>
        <w:pStyle w:val="Style1"/>
      </w:pPr>
      <w:r w:rsidRPr="001C62DB">
        <w:rPr>
          <w:rFonts w:hint="cs"/>
          <w:rtl/>
        </w:rPr>
        <w:t>הגה: וכל זה כשאין יד האשה משגת ליתן מה שפסק אביה, אבל אם ידה משגת -- צריכה ליתן מה שפסק אביה, ואינה יכולה לומר: כנס או פטר (הגהות אלפסי פרק שנו דיני גזרות ותשובת מימוני סוף הלכות אשות)</w:t>
      </w:r>
      <w:r w:rsidRPr="001C62DB">
        <w:rPr>
          <w:rFonts w:hint="cs"/>
        </w:rPr>
        <w:t>.</w:t>
      </w:r>
    </w:p>
    <w:p w14:paraId="184926D1" w14:textId="77777777" w:rsidR="001C62DB" w:rsidRPr="001C62DB" w:rsidRDefault="001C62DB" w:rsidP="001C62DB">
      <w:pPr>
        <w:pStyle w:val="Style1"/>
      </w:pPr>
      <w:r w:rsidRPr="001C62DB">
        <w:rPr>
          <w:rtl/>
        </w:rPr>
        <w:t>וכל זה לא מיירי אלא קודם שנשאה, אבל לאחר שנשאה ודאי לא יוכל לבגוד באשתו משום שאין נותנין לו מה שפסקו לו, אלא חייב בכל דבר שאיש חייב לאשתו (הגהות מרדכי פרק שני דיני גזרות)</w:t>
      </w:r>
      <w:r w:rsidRPr="001C62DB">
        <w:t>.</w:t>
      </w:r>
    </w:p>
    <w:p w14:paraId="4962E47C" w14:textId="793AF0F1" w:rsidR="001C62DB" w:rsidRDefault="001C62DB" w:rsidP="001C62DB">
      <w:pPr>
        <w:pStyle w:val="Style1"/>
        <w:rPr>
          <w:rtl/>
        </w:rPr>
      </w:pPr>
      <w:r w:rsidRPr="001C62DB">
        <w:rPr>
          <w:rtl/>
        </w:rPr>
        <w:t>מי שפסק לתת לבתו, ואחר כך אומר שנתן לבתו -- לא מהני, אלא צריך לתת לזוג (מהרי"ל סימן קל"ו). ועיין לעיל </w:t>
      </w:r>
      <w:hyperlink r:id="rId286" w:tooltip="שולחן ערוך אבן העזר ב" w:history="1">
        <w:r w:rsidRPr="001C62DB">
          <w:rPr>
            <w:rStyle w:val="Hyperlink"/>
            <w:color w:val="7030A0"/>
            <w:u w:val="none"/>
            <w:rtl/>
          </w:rPr>
          <w:t>סימן ב</w:t>
        </w:r>
        <w:r w:rsidRPr="001C62DB">
          <w:rPr>
            <w:rStyle w:val="Hyperlink"/>
            <w:color w:val="7030A0"/>
            <w:u w:val="none"/>
          </w:rPr>
          <w:t>'</w:t>
        </w:r>
      </w:hyperlink>
      <w:r w:rsidRPr="001C62DB">
        <w:t> </w:t>
      </w:r>
      <w:r w:rsidRPr="001C62DB">
        <w:rPr>
          <w:rtl/>
        </w:rPr>
        <w:t>שלא יתקוטט אדם בעבור נדוניא אף על פי שפסקו לו</w:t>
      </w:r>
      <w:r w:rsidRPr="001C62DB">
        <w:t>:</w:t>
      </w:r>
    </w:p>
    <w:p w14:paraId="653A4762" w14:textId="7E04A807" w:rsidR="001C62DB" w:rsidRDefault="001C62DB" w:rsidP="001C62DB">
      <w:pPr>
        <w:pStyle w:val="Style1"/>
        <w:rPr>
          <w:rtl/>
        </w:rPr>
      </w:pPr>
      <w:r>
        <w:rPr>
          <w:rFonts w:hint="cs"/>
          <w:rtl/>
        </w:rPr>
        <w:t>2)[</w:t>
      </w:r>
      <w:r w:rsidR="0057095E">
        <w:rPr>
          <w:rtl/>
        </w:rPr>
        <w:t xml:space="preserve">רמב”ם \משפטים\ הלכות טוען </w:t>
      </w:r>
      <w:r>
        <w:rPr>
          <w:rtl/>
        </w:rPr>
        <w:t>ונטען פרק טז הלכה א</w:t>
      </w:r>
      <w:r>
        <w:rPr>
          <w:rFonts w:hint="cs"/>
          <w:rtl/>
        </w:rPr>
        <w:t xml:space="preserve">] </w:t>
      </w:r>
      <w:r>
        <w:rPr>
          <w:rtl/>
        </w:rPr>
        <w:t>ראובן שמכר לשמעון שדה והיה לוי מעדי השטר ובא לוי לערער על השדה ולטעון שראובן גזל אותה ממנו, אין שומעין לו ואין משגיחין על ראיות שיביא על אותה שדה והרי אבד כל זכותו שאומר לו היאך תעיד על המכר ותבא ותערער, וכן אם העיד לוי בשטר שכתוב בו השדה פלוני של ראובן מצד מזרח או מערב הואיל ועשה השדה סימן לאחר והעיד בשטר אבד את זכותו ואינו יכול לחזור ולערער שאומרים לו היאך תעיד בשטר זה שכתוב בו השדה הזאת מצד פלוני ותחזור ותערער עליה.</w:t>
      </w:r>
    </w:p>
    <w:p w14:paraId="4FE91574" w14:textId="28EC7554" w:rsidR="00315E9D" w:rsidRPr="00315E9D" w:rsidRDefault="001C62DB" w:rsidP="00315E9D">
      <w:pPr>
        <w:pStyle w:val="Style1"/>
      </w:pPr>
      <w:r>
        <w:rPr>
          <w:rFonts w:hint="cs"/>
          <w:rtl/>
        </w:rPr>
        <w:t>2)[</w:t>
      </w:r>
      <w:r>
        <w:rPr>
          <w:rtl/>
        </w:rPr>
        <w:t>שולחן ערוך חושן משפט הלכות חזקת קרקעות סימן קמז סעיף א</w:t>
      </w:r>
      <w:r>
        <w:rPr>
          <w:rFonts w:hint="cs"/>
          <w:rtl/>
        </w:rPr>
        <w:t>]</w:t>
      </w:r>
      <w:r w:rsidR="00315E9D">
        <w:rPr>
          <w:rFonts w:hint="cs"/>
          <w:rtl/>
        </w:rPr>
        <w:t xml:space="preserve"> </w:t>
      </w:r>
      <w:r w:rsidR="00315E9D" w:rsidRPr="00315E9D">
        <w:rPr>
          <w:rtl/>
        </w:rPr>
        <w:t>ראובן שמכר לשמעון שדה והיה לוי מעדי השטר ובא לוי לערער על השדה ולטעון שראובן גזל אותה ממנו אין שומעין לו ואין משגיחין על ראיות שיביא על אותה שדה והרי איבד כל זכותו שאומרים לו היאך תעיד על המכר ותבא ותערער</w:t>
      </w:r>
      <w:r w:rsidR="00315E9D" w:rsidRPr="00315E9D">
        <w:t>:</w:t>
      </w:r>
    </w:p>
    <w:p w14:paraId="3BE8F58F" w14:textId="336143FA" w:rsidR="00315E9D" w:rsidRDefault="00315E9D" w:rsidP="00315E9D">
      <w:pPr>
        <w:pStyle w:val="Style1"/>
        <w:rPr>
          <w:rtl/>
        </w:rPr>
      </w:pPr>
      <w:r w:rsidRPr="00315E9D">
        <w:rPr>
          <w:rFonts w:hint="cs"/>
          <w:rtl/>
        </w:rPr>
        <w:t>הגה: ודוקא שחתם עם עד אחר אבל אם חתם לבד לא אבד זכותו די"ל מה שחתם כי היה יודע שאין חתימת עד אחד כלום (ב"י בשם הריטב"א) וכן אם לא חתם בעד רק לכבוד בעלמא לא אבד זכותו (ריב"ש סרנ"ב)</w:t>
      </w:r>
      <w:r w:rsidRPr="00315E9D">
        <w:t>:</w:t>
      </w:r>
    </w:p>
    <w:p w14:paraId="04239BBF" w14:textId="78EBA45F" w:rsidR="001C1D74" w:rsidRPr="001C1D74" w:rsidRDefault="00315E9D" w:rsidP="001C1D74">
      <w:pPr>
        <w:pStyle w:val="Style1"/>
      </w:pPr>
      <w:r>
        <w:rPr>
          <w:rFonts w:hint="cs"/>
          <w:rtl/>
        </w:rPr>
        <w:t>3)[</w:t>
      </w:r>
      <w:r>
        <w:rPr>
          <w:rtl/>
        </w:rPr>
        <w:t>שולחן ערוך חושן משפט הלכות חזקת קרקעות סימן קמז סעיף ב</w:t>
      </w:r>
      <w:r>
        <w:rPr>
          <w:rFonts w:hint="cs"/>
          <w:rtl/>
        </w:rPr>
        <w:t>]</w:t>
      </w:r>
      <w:r w:rsidR="001C1D74">
        <w:rPr>
          <w:rFonts w:hint="cs"/>
          <w:rtl/>
        </w:rPr>
        <w:t xml:space="preserve"> </w:t>
      </w:r>
      <w:r w:rsidR="001C1D74" w:rsidRPr="001C1D74">
        <w:rPr>
          <w:rtl/>
        </w:rPr>
        <w:t>וכן אם העיד לוי בשטר שכתוב בו השדה פלוני של ראובן מצד מזרח או מערב הואיל ועשה השדה סימן לאחר והעיד בשטר איבד זכותו ואינו יכול לחזור ולערער</w:t>
      </w:r>
      <w:r w:rsidR="001C1D74" w:rsidRPr="001C1D74">
        <w:t>:</w:t>
      </w:r>
    </w:p>
    <w:p w14:paraId="651A9606" w14:textId="030DC627" w:rsidR="001C1D74" w:rsidRDefault="001C1D74" w:rsidP="001C1D74">
      <w:pPr>
        <w:pStyle w:val="Style1"/>
        <w:rPr>
          <w:rtl/>
        </w:rPr>
      </w:pPr>
      <w:r w:rsidRPr="001C1D74">
        <w:rPr>
          <w:rFonts w:hint="cs"/>
          <w:rtl/>
        </w:rPr>
        <w:t>הגה: אפוטרופוס או בית דין דזבנו של יתומים בכה"ג לא אבדו זכותם [שיש] להם על השדה (ריב"ש סי' רמ"ד וע"ל </w:t>
      </w:r>
      <w:hyperlink r:id="rId287" w:tooltip="שולחן ערוך חושן משפט קיא" w:history="1">
        <w:r w:rsidRPr="001C1D74">
          <w:rPr>
            <w:rStyle w:val="Hyperlink"/>
            <w:rFonts w:hint="cs"/>
            <w:color w:val="7030A0"/>
            <w:u w:val="none"/>
            <w:rtl/>
          </w:rPr>
          <w:t>סי' קי"א</w:t>
        </w:r>
      </w:hyperlink>
      <w:r w:rsidRPr="001C1D74">
        <w:rPr>
          <w:rFonts w:hint="cs"/>
        </w:rPr>
        <w:t> </w:t>
      </w:r>
      <w:hyperlink r:id="rId288" w:anchor="%D7%A1%D7%A2%D7%99%D7%A3_%D7%93" w:tooltip="שולחן ערוך חושן משפט רכו" w:history="1">
        <w:r w:rsidRPr="001C1D74">
          <w:rPr>
            <w:rStyle w:val="Hyperlink"/>
            <w:rFonts w:hint="cs"/>
            <w:color w:val="7030A0"/>
            <w:u w:val="none"/>
            <w:rtl/>
          </w:rPr>
          <w:t>רכ"ו ס"ד</w:t>
        </w:r>
      </w:hyperlink>
      <w:r w:rsidRPr="001C1D74">
        <w:rPr>
          <w:rFonts w:hint="cs"/>
        </w:rPr>
        <w:t xml:space="preserve">) </w:t>
      </w:r>
      <w:r w:rsidRPr="001C1D74">
        <w:rPr>
          <w:rFonts w:hint="cs"/>
          <w:rtl/>
        </w:rPr>
        <w:t>אם המערער שכר הקרקע מן המחזיק הוי כחתום עליה בעד ואבד זכותו [הרא"ש כלל ע' סי' ג'] ועיין לעיל ריש </w:t>
      </w:r>
      <w:hyperlink r:id="rId289" w:tooltip="שולחן ערוך חושן משפט קמב" w:history="1">
        <w:r w:rsidRPr="001C1D74">
          <w:rPr>
            <w:rStyle w:val="Hyperlink"/>
            <w:rFonts w:hint="cs"/>
            <w:color w:val="7030A0"/>
            <w:u w:val="none"/>
            <w:rtl/>
          </w:rPr>
          <w:t>סי' קמ"ב</w:t>
        </w:r>
      </w:hyperlink>
      <w:r w:rsidRPr="001C1D74">
        <w:t>:</w:t>
      </w:r>
    </w:p>
    <w:p w14:paraId="4277808A" w14:textId="3F374FA6" w:rsidR="001C1D74" w:rsidRDefault="001C1D74" w:rsidP="001C1D74">
      <w:pPr>
        <w:pStyle w:val="Style1"/>
        <w:rPr>
          <w:rtl/>
        </w:rPr>
      </w:pPr>
      <w:r>
        <w:rPr>
          <w:rFonts w:hint="cs"/>
          <w:rtl/>
        </w:rPr>
        <w:t>4)[</w:t>
      </w:r>
      <w:r w:rsidR="0057095E">
        <w:rPr>
          <w:rtl/>
        </w:rPr>
        <w:t xml:space="preserve">רמב”ם \משפטים\ הלכות טוען </w:t>
      </w:r>
      <w:r>
        <w:rPr>
          <w:rtl/>
        </w:rPr>
        <w:t>ונטען פרק טז הלכה ב</w:t>
      </w:r>
      <w:r>
        <w:rPr>
          <w:rFonts w:hint="cs"/>
          <w:rtl/>
        </w:rPr>
        <w:t xml:space="preserve">] </w:t>
      </w:r>
      <w:r>
        <w:rPr>
          <w:rtl/>
        </w:rPr>
        <w:t>טען העד ואמר תלם אחד הוא שעשיתי סימן ולא כל השדה ואותו התלם הסמוך למצר בלבד הוא של ראובן הרי זה טענה הנשמעת ויש לו לערער על כל השדה חוץ מאותו התלם, ואין כל הדברים אמורים אלא באחד מעדי השטר שבא לערער, אבל הדיין שקיים השטר יש לו לערער מפני שיכול לטעון ולומר לא ידעתי מה היה כתוב בשטר מפני שיש לדיינין לקיים השטר אף על פי שלא קראוהו, אבל העדים אין חותמין על השטר אלא אם כן קראוהו כולו ודקדקו בו.</w:t>
      </w:r>
    </w:p>
    <w:p w14:paraId="76481F34" w14:textId="5FB62E60" w:rsidR="001C1D74" w:rsidRDefault="001C1D74" w:rsidP="001C1D74">
      <w:pPr>
        <w:pStyle w:val="Style1"/>
        <w:rPr>
          <w:rtl/>
        </w:rPr>
      </w:pPr>
      <w:r>
        <w:rPr>
          <w:rFonts w:hint="cs"/>
          <w:rtl/>
        </w:rPr>
        <w:t>4)[</w:t>
      </w:r>
      <w:r>
        <w:rPr>
          <w:rtl/>
        </w:rPr>
        <w:t>שולחן ערוך חושן משפט הלכות חזקת קרקעות סימן קמז סעיף ד</w:t>
      </w:r>
      <w:r>
        <w:rPr>
          <w:rFonts w:hint="cs"/>
          <w:rtl/>
        </w:rPr>
        <w:t xml:space="preserve">] </w:t>
      </w:r>
      <w:r>
        <w:rPr>
          <w:rtl/>
        </w:rPr>
        <w:t>דיין החתום בקיום השטר יכול לערער, מפני שיכול לומר: לא ידעתי מה היה כתוב בשטר, מפני שהדיינים יכולים לקיים השטר אף על פי שלא קראוהו. (אבל אם היה דיין והגבה לזה הקרקע, אבד זכותו) (ריב"ש סימן רנ"ב).</w:t>
      </w:r>
    </w:p>
    <w:p w14:paraId="6B1E0EF6" w14:textId="5EEC71DE" w:rsidR="001C1D74" w:rsidRDefault="001C1D74" w:rsidP="001C1D74">
      <w:pPr>
        <w:pStyle w:val="Style1"/>
        <w:rPr>
          <w:rtl/>
        </w:rPr>
      </w:pPr>
      <w:r>
        <w:rPr>
          <w:rFonts w:hint="cs"/>
          <w:rtl/>
        </w:rPr>
        <w:t>5)[</w:t>
      </w:r>
      <w:r w:rsidR="0057095E">
        <w:rPr>
          <w:rtl/>
        </w:rPr>
        <w:t xml:space="preserve">רמב”ם \משפטים\ הלכות מלוה </w:t>
      </w:r>
      <w:r>
        <w:rPr>
          <w:rtl/>
        </w:rPr>
        <w:t>ולוה פרק כד הלכה ו</w:t>
      </w:r>
      <w:r>
        <w:rPr>
          <w:rFonts w:hint="cs"/>
          <w:rtl/>
        </w:rPr>
        <w:t xml:space="preserve">] </w:t>
      </w:r>
      <w:r>
        <w:rPr>
          <w:rtl/>
        </w:rPr>
        <w:t>עדים שאין יודעין לחתום וקרעו להן נייר חלק וחתמו על הרשום מכין אותן מכת מרדות והשטר פסול.</w:t>
      </w:r>
    </w:p>
    <w:p w14:paraId="7517EB97" w14:textId="3C34CBC0" w:rsidR="001C1D74" w:rsidRDefault="001C1D74" w:rsidP="001C1D74">
      <w:pPr>
        <w:pStyle w:val="Style1"/>
        <w:rPr>
          <w:rtl/>
        </w:rPr>
      </w:pPr>
      <w:r>
        <w:rPr>
          <w:rFonts w:hint="cs"/>
          <w:rtl/>
        </w:rPr>
        <w:t>5)[</w:t>
      </w:r>
      <w:r w:rsidR="0057095E">
        <w:rPr>
          <w:rtl/>
        </w:rPr>
        <w:t xml:space="preserve">רמב”ם \משפטים\ הלכות מלוה </w:t>
      </w:r>
      <w:r>
        <w:rPr>
          <w:rtl/>
        </w:rPr>
        <w:t>ולוה פרק כז הלכה א</w:t>
      </w:r>
      <w:r>
        <w:rPr>
          <w:rFonts w:hint="cs"/>
          <w:rtl/>
        </w:rPr>
        <w:t xml:space="preserve">] </w:t>
      </w:r>
      <w:r>
        <w:rPr>
          <w:rtl/>
        </w:rPr>
        <w:t>שטר שכתוב בכל לשון ובכל כתב אם היה עשוי כתיקון שטרי ישראל שאינן יכולין להזדייף ולא להוסיף ולא לגרוע והיו עדיו ישראל ויודעין לקרותו הרי הוא כשר וגובין בו מן המשועבדין, אבל כל השטרות שחותמיהן עכו"ם הרי אלו פסולין חוץ משטרי מקח וממכר ושטרי חוב והוא שיתן המעות בפניהם ויכתבו בשטר לפנינו מנה פלוני לפלוני כך וכך דמי המכר או מעות החוב, והוא שיהיו עשויין בערכאות שלהם, אבל במקום קבוץ פליליהן בלא קיום השופט שלהם לא יועילו כלום, וכן צריכין עדי ישראל שיעידו על אלו העכו"ם שהן עדי שטר ועל זה השופט שלהן שקיים עדותן שאינן ידועין בקבלנות שוחד, ואם חסרו שטרי העכו"ם דבר מכל אלו הרי הן כחרס, וכן שטרי [חוב] והודאות ומתנות ופשרות ומחילות שהן בעדים שלהן אף על פי שיש בהן כל הדברים שמנינו הרי הן כחרסים, והורו רבותי שאפילו שטרי חוב שלהן שנתנו המעות בפניהם פסולין ולא הכשירו אלא שטרי מקח וממכר שנתנו המעות בפניהם ואין אני מודה בזה, אם לא ידעו דייני ישראל לקרות שטר זה הנעשה בערכאות של עכו"ם נותנו לשני עכו"ם זה שלא בפני זה וקורין לו שנמצא כל אחד מהן כמסיח לפי תומו וגובה בו מבני חורין אבל אין טורפין בו מפני שאין לו קול שהרי לא ידעו הלקוחות במה שנעשה בעכו"ם. /השגת הראב"ד/ והורו רבותי וכו' עד איני מודה בזה. א"א יפה הורו רבותיו שאפילו היה שט"ח שלהן וכו' שהשטר העולה בערכאות שלהן וחותמיהן עכו"ם אינו גובה ממשועבדים דלית להו קלא הילכך אפשר שנפרע ולא תבעו עכ"ל.</w:t>
      </w:r>
    </w:p>
    <w:p w14:paraId="1BA54C67" w14:textId="4F38C127" w:rsidR="00953B9D" w:rsidRPr="00953B9D" w:rsidRDefault="00953B9D" w:rsidP="00953B9D">
      <w:pPr>
        <w:pStyle w:val="Style1"/>
      </w:pPr>
      <w:r>
        <w:rPr>
          <w:rFonts w:hint="cs"/>
          <w:rtl/>
        </w:rPr>
        <w:t>5)[</w:t>
      </w:r>
      <w:r>
        <w:rPr>
          <w:rtl/>
        </w:rPr>
        <w:t>שולחן ערוך חושן משפט הלכות הלואה סימן מה סעיף ב</w:t>
      </w:r>
      <w:r>
        <w:rPr>
          <w:rFonts w:hint="cs"/>
          <w:rtl/>
        </w:rPr>
        <w:t xml:space="preserve">] </w:t>
      </w:r>
      <w:r w:rsidRPr="00953B9D">
        <w:rPr>
          <w:rtl/>
        </w:rPr>
        <w:t>ראש ב"ד שהיה יודע ענין השטר וקרא לפניו הסופר שלו הואיל והוא מאמין אותו ואימתו עליו ה"ז חותם השטר אע"פ שלא קראו הוא בעצמו ואין שאר העם </w:t>
      </w:r>
      <w:r w:rsidRPr="00953B9D">
        <w:rPr>
          <w:rFonts w:hint="cs"/>
        </w:rPr>
        <w:t>(</w:t>
      </w:r>
      <w:r w:rsidRPr="00953B9D">
        <w:rPr>
          <w:rFonts w:hint="cs"/>
          <w:rtl/>
        </w:rPr>
        <w:t>או ראש ב"ד וסופר אחר - טור</w:t>
      </w:r>
      <w:r w:rsidRPr="00953B9D">
        <w:rPr>
          <w:rFonts w:hint="cs"/>
        </w:rPr>
        <w:t>)</w:t>
      </w:r>
      <w:r w:rsidRPr="00953B9D">
        <w:t> </w:t>
      </w:r>
      <w:r w:rsidRPr="00953B9D">
        <w:rPr>
          <w:rtl/>
        </w:rPr>
        <w:t>רשאים לעשות כן עד שיקרא העד השטר מלה במלה</w:t>
      </w:r>
      <w:r w:rsidRPr="00953B9D">
        <w:t>:</w:t>
      </w:r>
    </w:p>
    <w:p w14:paraId="2F70CF61" w14:textId="4F56D8AC" w:rsidR="00953B9D" w:rsidRDefault="00953B9D" w:rsidP="00953B9D">
      <w:pPr>
        <w:pStyle w:val="Style1"/>
        <w:rPr>
          <w:rtl/>
        </w:rPr>
      </w:pPr>
      <w:r w:rsidRPr="00953B9D">
        <w:rPr>
          <w:rFonts w:hint="cs"/>
          <w:rtl/>
        </w:rPr>
        <w:t>הגה: וי"א דשנים יקראו לפניהם והן חותמין (טור והרא"ש והגהות מיימוני פרק כ"ד מה' מלוה) ואם אינן מבינין לשון השטר יתרגמו להן הקוראין והם חותמין (ב"י ע' סק"ג) וכנ"ל עיקר י"א דקורין לפני צבור וחותמין דיראים לשקר לפני צבור והוי כראש ב"ד וסופר שלו (הגהות מרדכי ואשירי פ"ב דגיטין)</w:t>
      </w:r>
      <w:r w:rsidRPr="00953B9D">
        <w:t>:</w:t>
      </w:r>
    </w:p>
    <w:p w14:paraId="39913596" w14:textId="544C629A" w:rsidR="00953B9D" w:rsidRPr="00953B9D" w:rsidRDefault="00953B9D" w:rsidP="00953B9D">
      <w:pPr>
        <w:pStyle w:val="Style1"/>
      </w:pPr>
      <w:r>
        <w:rPr>
          <w:rFonts w:hint="cs"/>
          <w:rtl/>
        </w:rPr>
        <w:t>5)[</w:t>
      </w:r>
      <w:r>
        <w:rPr>
          <w:rtl/>
        </w:rPr>
        <w:t>שולחן ערוך חושן משפט הלכות הלואה סימן מה סעיף ה</w:t>
      </w:r>
      <w:r>
        <w:rPr>
          <w:rFonts w:hint="cs"/>
          <w:rtl/>
        </w:rPr>
        <w:t xml:space="preserve">] </w:t>
      </w:r>
      <w:r w:rsidRPr="00953B9D">
        <w:rPr>
          <w:rtl/>
        </w:rPr>
        <w:t>מקום שנהגו שהסופר חותם ע"פ העד שכותב פב"פ חתם במסירת קולמוס או שכתוב בו פב"פ צוה לחתום אם קבלו בני העיר עליהם לעשות עדותו כעדות העד כשר ואם לא קבלו עליהם אינו כלום כל שטר הבא לפנינו שעדים מעידים על חתימת העדים מקיימים אותו שחזקה אין העדים חותמים על השטר אא"כ קראוהו ויודעים לחתום ואי איתנהו לסהדי קמן וקים לן בהו דלא ידעי למקרי אי אמרי אקרינן למאן דידע למיקרא סמכינן עלייהו</w:t>
      </w:r>
    </w:p>
    <w:p w14:paraId="12C19DF3" w14:textId="116F7E59" w:rsidR="00953B9D" w:rsidRDefault="00953B9D" w:rsidP="00953B9D">
      <w:pPr>
        <w:pStyle w:val="Style1"/>
        <w:rPr>
          <w:rtl/>
        </w:rPr>
      </w:pPr>
      <w:r w:rsidRPr="00953B9D">
        <w:rPr>
          <w:rFonts w:hint="cs"/>
          <w:rtl/>
        </w:rPr>
        <w:t>( (ואי לא אמרי הכי דייקינן בסהדותייהו ע"פ אי מכווני השטר מקיימינן להו) ) (טור)</w:t>
      </w:r>
      <w:r w:rsidRPr="00953B9D">
        <w:t>:</w:t>
      </w:r>
    </w:p>
    <w:p w14:paraId="55551694" w14:textId="485D8F01" w:rsidR="00F82E05" w:rsidRPr="00F82E05" w:rsidRDefault="00953B9D" w:rsidP="00F82E05">
      <w:pPr>
        <w:pStyle w:val="Style1"/>
      </w:pPr>
      <w:r>
        <w:rPr>
          <w:rFonts w:hint="cs"/>
          <w:rtl/>
        </w:rPr>
        <w:t>5)[</w:t>
      </w:r>
      <w:r>
        <w:rPr>
          <w:rtl/>
        </w:rPr>
        <w:t>שולחן ערוך חושן משפט הלכות הלואה סימן סח סעיף ב</w:t>
      </w:r>
      <w:r>
        <w:rPr>
          <w:rFonts w:hint="cs"/>
          <w:rtl/>
        </w:rPr>
        <w:t>]</w:t>
      </w:r>
      <w:r w:rsidR="00F82E05">
        <w:rPr>
          <w:rFonts w:hint="cs"/>
          <w:rtl/>
        </w:rPr>
        <w:t xml:space="preserve"> </w:t>
      </w:r>
      <w:r w:rsidR="00F82E05" w:rsidRPr="00F82E05">
        <w:rPr>
          <w:rtl/>
        </w:rPr>
        <w:t>אם לא ידעו דייני ישראל לקרות שטר זה הנעשה בערכאות של עכו"ם נותנים לשני עכו"ם זה שלא בפני זה וקורים אותו שנמצא כל א' כמסיח לפי תומו וגובה בו מבני חורין שטר שעידיו עכו"ם שמסרו הלוה ליד המלוה או המוכר ליד הלוקח בפני שני עדים מישראל אע"פ שאינו עשוי בערכאות של עכו"ם ואין בו כל הדברים שמנינו הרי זה גובה מבני חורין והוא שיהיו העדים שמסר בפניהם יודעים לקרותו וקראוהו כשמסרו בפניהם (הרא"ש) ויהיו כתיקון שטר ישראל שאינו יכול להזדייף לא להוסיף ולא לגרוע ויש מי שאומר דה"מ ששמות העדים החתומים בו שמות מובהקים בעכו"ם שאין דרך ישראל לקרות באותן שמות או במקום שאין ישראל רגילים לחתום בשטרות כלל</w:t>
      </w:r>
      <w:r w:rsidR="00F82E05" w:rsidRPr="00F82E05">
        <w:t>:</w:t>
      </w:r>
    </w:p>
    <w:p w14:paraId="3C501E2F" w14:textId="77777777" w:rsidR="00F82E05" w:rsidRPr="00F82E05" w:rsidRDefault="00F82E05" w:rsidP="00F82E05">
      <w:pPr>
        <w:pStyle w:val="Style1"/>
      </w:pPr>
      <w:r w:rsidRPr="00F82E05">
        <w:rPr>
          <w:rFonts w:hint="cs"/>
          <w:rtl/>
        </w:rPr>
        <w:t>הגה: שטר העשוי בערכאות והלוה כופר בו נאמן הסופר להעיד שהוא כתבו (תשו' רמב"ן סי' ע"ח ותשו' רשב"א סי' תתקפ"ו) שטר העשוי לפני עכו"ם והלוה בעצמו חתום עליו אע"פ שאינו יודע לקרות חייב בכל מ"ש בו דהרי גמר בדעתו להתחייב ולכן חתם עצמו ובודאי קראוהו לפניו והאמין לקורא ההוא: (תשו' רשב"א סימן תתקפ"ה) וע' לעיל </w:t>
      </w:r>
      <w:hyperlink r:id="rId290" w:anchor="%D7%A1%D7%A2%D7%99%D7%A3_%D7%92" w:tooltip="שולחן ערוך חושן משפט מה" w:history="1">
        <w:r w:rsidRPr="00F82E05">
          <w:rPr>
            <w:rStyle w:val="Hyperlink"/>
            <w:rFonts w:hint="cs"/>
            <w:color w:val="7030A0"/>
            <w:u w:val="none"/>
            <w:rtl/>
          </w:rPr>
          <w:t>סי' מ"ה סעיף ג</w:t>
        </w:r>
        <w:r w:rsidRPr="00F82E05">
          <w:rPr>
            <w:rStyle w:val="Hyperlink"/>
            <w:rFonts w:hint="cs"/>
            <w:color w:val="7030A0"/>
            <w:u w:val="none"/>
          </w:rPr>
          <w:t>'</w:t>
        </w:r>
      </w:hyperlink>
      <w:r w:rsidRPr="00F82E05">
        <w:t>:</w:t>
      </w:r>
    </w:p>
    <w:p w14:paraId="50A3B072" w14:textId="77777777" w:rsidR="00F82E05" w:rsidRPr="00F82E05" w:rsidRDefault="00F82E05" w:rsidP="00F82E05">
      <w:pPr>
        <w:pStyle w:val="Style1"/>
      </w:pPr>
    </w:p>
    <w:p w14:paraId="7D4ECBFC" w14:textId="248D579E" w:rsidR="00953B9D" w:rsidRPr="00953B9D" w:rsidRDefault="00953B9D" w:rsidP="00953B9D">
      <w:pPr>
        <w:pStyle w:val="Style1"/>
      </w:pPr>
    </w:p>
    <w:p w14:paraId="369BE3E2" w14:textId="77777777" w:rsidR="00953B9D" w:rsidRPr="00953B9D" w:rsidRDefault="00953B9D" w:rsidP="00953B9D">
      <w:pPr>
        <w:pStyle w:val="Style1"/>
      </w:pPr>
    </w:p>
    <w:p w14:paraId="51C320B7" w14:textId="1CFDB35E" w:rsidR="00953B9D" w:rsidRPr="00953B9D" w:rsidRDefault="00953B9D" w:rsidP="00953B9D">
      <w:pPr>
        <w:pStyle w:val="Style1"/>
      </w:pPr>
    </w:p>
    <w:p w14:paraId="4727949D" w14:textId="77777777" w:rsidR="00953B9D" w:rsidRPr="00953B9D" w:rsidRDefault="00953B9D" w:rsidP="00953B9D">
      <w:pPr>
        <w:pStyle w:val="Style1"/>
      </w:pPr>
    </w:p>
    <w:p w14:paraId="55F54587" w14:textId="02421DAD" w:rsidR="00953B9D" w:rsidRPr="001C1D74" w:rsidRDefault="00953B9D" w:rsidP="00953B9D">
      <w:pPr>
        <w:pStyle w:val="Style1"/>
      </w:pPr>
    </w:p>
    <w:p w14:paraId="61150918" w14:textId="77777777" w:rsidR="001C1D74" w:rsidRPr="001C1D74" w:rsidRDefault="001C1D74" w:rsidP="001C1D74">
      <w:pPr>
        <w:pStyle w:val="Style1"/>
      </w:pPr>
    </w:p>
    <w:p w14:paraId="3579AAA8" w14:textId="3EF8BDEE" w:rsidR="00315E9D" w:rsidRPr="00315E9D" w:rsidRDefault="00315E9D" w:rsidP="00315E9D">
      <w:pPr>
        <w:pStyle w:val="Style1"/>
      </w:pPr>
    </w:p>
    <w:p w14:paraId="00890D52" w14:textId="77777777" w:rsidR="000C5939" w:rsidRPr="00315E9D" w:rsidRDefault="000C5939" w:rsidP="00315E9D">
      <w:pPr>
        <w:pStyle w:val="Style1"/>
        <w:rPr>
          <w:rtl/>
        </w:rPr>
      </w:pPr>
    </w:p>
    <w:p w14:paraId="79D7B39E" w14:textId="77777777" w:rsidR="000C5939" w:rsidRDefault="000C5939" w:rsidP="000C5939">
      <w:pPr>
        <w:rPr>
          <w:rStyle w:val="Style1Char"/>
          <w:color w:val="00B050"/>
          <w:rtl/>
        </w:rPr>
      </w:pPr>
      <w:r>
        <w:rPr>
          <w:rStyle w:val="Style1Char"/>
          <w:color w:val="00B050"/>
          <w:rtl/>
        </w:rPr>
        <w:br w:type="page"/>
      </w:r>
    </w:p>
    <w:p w14:paraId="6312AB9C" w14:textId="5D80750F" w:rsidR="000C5939" w:rsidRPr="00123B58" w:rsidRDefault="000C5939" w:rsidP="000C5939">
      <w:pPr>
        <w:bidi/>
        <w:rPr>
          <w:rStyle w:val="Style1Char"/>
          <w:color w:val="auto"/>
          <w:sz w:val="22"/>
          <w:szCs w:val="22"/>
        </w:rPr>
      </w:pPr>
      <w:r w:rsidRPr="00123B58">
        <w:rPr>
          <w:rStyle w:val="Style1Char"/>
          <w:color w:val="auto"/>
          <w:sz w:val="22"/>
          <w:szCs w:val="22"/>
          <w:highlight w:val="yellow"/>
          <w:rtl/>
        </w:rPr>
        <w:lastRenderedPageBreak/>
        <w:t>[דף קט עמוד ב]</w:t>
      </w:r>
      <w:r w:rsidRPr="00123B58">
        <w:rPr>
          <w:rStyle w:val="Style1Char"/>
          <w:color w:val="auto"/>
          <w:sz w:val="22"/>
          <w:szCs w:val="22"/>
          <w:rtl/>
        </w:rPr>
        <w:t xml:space="preserve"> </w:t>
      </w:r>
      <w:r w:rsidR="00F82E05">
        <w:rPr>
          <w:rStyle w:val="Style1Char"/>
          <w:rFonts w:hint="cs"/>
          <w:rtl/>
        </w:rPr>
        <w:t>(1)</w:t>
      </w:r>
      <w:r w:rsidRPr="00123B58">
        <w:rPr>
          <w:rStyle w:val="Style1Char"/>
          <w:color w:val="auto"/>
          <w:sz w:val="22"/>
          <w:szCs w:val="22"/>
          <w:rtl/>
        </w:rPr>
        <w:t xml:space="preserve">אבל הדיינין חותמים אף על פי שלא קראוהו. </w:t>
      </w:r>
    </w:p>
    <w:p w14:paraId="5E4E5936" w14:textId="3D638D82" w:rsidR="000C5939" w:rsidRPr="005B6663" w:rsidRDefault="000C5939" w:rsidP="000C5939">
      <w:pPr>
        <w:bidi/>
        <w:rPr>
          <w:rFonts w:ascii="Arial" w:hAnsi="Arial" w:cs="Arial"/>
          <w:color w:val="806000" w:themeColor="accent4" w:themeShade="80"/>
          <w:sz w:val="16"/>
          <w:szCs w:val="16"/>
        </w:rPr>
      </w:pPr>
      <w:r w:rsidRPr="00D35059">
        <w:rPr>
          <w:rStyle w:val="Style1Char"/>
          <w:color w:val="auto"/>
          <w:sz w:val="22"/>
          <w:szCs w:val="22"/>
          <w:rtl/>
        </w:rPr>
        <w:t>עשאה סימן לאחר</w:t>
      </w:r>
      <w:r w:rsidRPr="00D35059">
        <w:rPr>
          <w:rFonts w:ascii="Arial" w:hAnsi="Arial" w:cs="Arial"/>
          <w:sz w:val="16"/>
          <w:szCs w:val="16"/>
          <w:rtl/>
        </w:rPr>
        <w:t xml:space="preserve"> </w:t>
      </w:r>
      <w:r w:rsidRPr="00D35059">
        <w:rPr>
          <w:rFonts w:ascii="Arial" w:hAnsi="Arial" w:cs="Arial"/>
          <w:color w:val="806000" w:themeColor="accent4" w:themeShade="80"/>
          <w:rtl/>
        </w:rPr>
        <w:t>איבד זכותו</w:t>
      </w:r>
      <w:r w:rsidRPr="008B7EB9">
        <w:rPr>
          <w:rStyle w:val="Style1Char"/>
          <w:sz w:val="22"/>
          <w:szCs w:val="22"/>
          <w:rtl/>
        </w:rPr>
        <w:t xml:space="preserve">. </w:t>
      </w:r>
      <w:r w:rsidRPr="00D35059">
        <w:rPr>
          <w:rStyle w:val="Style1Char"/>
          <w:color w:val="auto"/>
          <w:sz w:val="22"/>
          <w:szCs w:val="22"/>
          <w:rtl/>
        </w:rPr>
        <w:t xml:space="preserve">אמר אביי: </w:t>
      </w:r>
      <w:r w:rsidR="002F1D60">
        <w:rPr>
          <w:rStyle w:val="Style1Char"/>
          <w:rFonts w:hint="cs"/>
          <w:rtl/>
        </w:rPr>
        <w:t>(2)</w:t>
      </w:r>
      <w:r w:rsidRPr="00D35059">
        <w:rPr>
          <w:rStyle w:val="Style1Char"/>
          <w:color w:val="auto"/>
          <w:sz w:val="22"/>
          <w:szCs w:val="22"/>
          <w:rtl/>
        </w:rPr>
        <w:t>לא שנו אלא לאחר, אבל לעצמו - לא איבד את זכותו</w:t>
      </w:r>
      <w:r w:rsidRPr="001C3C1D">
        <w:rPr>
          <w:rStyle w:val="Style1Char"/>
          <w:color w:val="00B050"/>
          <w:rtl/>
        </w:rPr>
        <w:t xml:space="preserve">, </w:t>
      </w:r>
      <w:r w:rsidRPr="00120C99">
        <w:rPr>
          <w:rStyle w:val="Style1Char"/>
          <w:color w:val="ED7D31" w:themeColor="accent2"/>
          <w:rtl/>
        </w:rPr>
        <w:t>דאמר</w:t>
      </w:r>
      <w:r w:rsidRPr="001C3C1D">
        <w:rPr>
          <w:rStyle w:val="Style1Char"/>
          <w:color w:val="00B050"/>
          <w:rtl/>
        </w:rPr>
        <w:t xml:space="preserve">: </w:t>
      </w:r>
      <w:r w:rsidRPr="00500DE7">
        <w:rPr>
          <w:rStyle w:val="Style1Char"/>
          <w:rFonts w:hint="cs"/>
          <w:color w:val="C00000"/>
          <w:sz w:val="22"/>
          <w:szCs w:val="22"/>
          <w:rtl/>
        </w:rPr>
        <w:t>ד</w:t>
      </w:r>
      <w:r w:rsidRPr="00120C99">
        <w:rPr>
          <w:rStyle w:val="Style1Char"/>
          <w:color w:val="auto"/>
          <w:sz w:val="22"/>
          <w:szCs w:val="22"/>
          <w:rtl/>
        </w:rPr>
        <w:t>אי</w:t>
      </w:r>
      <w:r w:rsidRPr="00500DE7">
        <w:rPr>
          <w:rStyle w:val="Style1Char"/>
          <w:sz w:val="22"/>
          <w:szCs w:val="22"/>
          <w:rtl/>
        </w:rPr>
        <w:t xml:space="preserve"> </w:t>
      </w:r>
      <w:r w:rsidRPr="00120C99">
        <w:rPr>
          <w:rStyle w:val="Style1Char"/>
          <w:color w:val="auto"/>
          <w:sz w:val="22"/>
          <w:szCs w:val="22"/>
          <w:rtl/>
        </w:rPr>
        <w:t>דלא עבדי ליה הכי לא הוה מזבין לה</w:t>
      </w:r>
      <w:r w:rsidRPr="001C3C1D">
        <w:rPr>
          <w:rStyle w:val="Style1Char"/>
          <w:color w:val="00B050"/>
          <w:rtl/>
        </w:rPr>
        <w:t xml:space="preserve"> </w:t>
      </w:r>
      <w:r w:rsidRPr="00120C99">
        <w:rPr>
          <w:rStyle w:val="Style1Char"/>
          <w:color w:val="ED7D31" w:themeColor="accent2"/>
          <w:sz w:val="22"/>
          <w:szCs w:val="22"/>
          <w:rtl/>
        </w:rPr>
        <w:t>ניהלי</w:t>
      </w:r>
      <w:r w:rsidRPr="00120C99">
        <w:rPr>
          <w:rFonts w:ascii="Arial" w:hAnsi="Arial" w:cs="Arial"/>
          <w:color w:val="ED7D31" w:themeColor="accent2"/>
          <w:rtl/>
        </w:rPr>
        <w:t xml:space="preserve"> </w:t>
      </w:r>
      <w:r w:rsidRPr="005B6663">
        <w:rPr>
          <w:rFonts w:ascii="Arial" w:hAnsi="Arial" w:cs="Arial"/>
          <w:color w:val="806000" w:themeColor="accent4" w:themeShade="80"/>
          <w:sz w:val="16"/>
          <w:szCs w:val="16"/>
          <w:rtl/>
        </w:rPr>
        <w:t xml:space="preserve">ירושלמי לא סוף דבר שעשאה העורר סימן לאחר אלא אפילו עשאה אחר לאחר והעורר חתום עליה בעד איבד זכותו: </w:t>
      </w:r>
    </w:p>
    <w:p w14:paraId="7EC148C7" w14:textId="05D64100" w:rsidR="000C5939" w:rsidRPr="00D35059" w:rsidRDefault="000C5939" w:rsidP="000C5939">
      <w:pPr>
        <w:bidi/>
        <w:rPr>
          <w:rStyle w:val="Style1Char"/>
          <w:sz w:val="22"/>
          <w:szCs w:val="22"/>
          <w:rtl/>
        </w:rPr>
      </w:pPr>
      <w:r w:rsidRPr="001C3C1D">
        <w:rPr>
          <w:rStyle w:val="Style1Char"/>
          <w:color w:val="00B050"/>
          <w:rtl/>
        </w:rPr>
        <w:t xml:space="preserve">, מאי אית לך למימר? איבעי לי למימסר מודעא, חברך חברא אית ליה, וחברא דחברך חברא אית ליה. </w:t>
      </w:r>
      <w:r w:rsidRPr="005B6663">
        <w:rPr>
          <w:rStyle w:val="Style1Char"/>
          <w:color w:val="auto"/>
          <w:sz w:val="22"/>
          <w:szCs w:val="22"/>
          <w:rtl/>
        </w:rPr>
        <w:t>ההוא דעשאה סימן לאחר</w:t>
      </w:r>
      <w:r w:rsidRPr="001C3C1D">
        <w:rPr>
          <w:rStyle w:val="Style1Char"/>
          <w:color w:val="00B050"/>
          <w:rtl/>
        </w:rPr>
        <w:t xml:space="preserve">, </w:t>
      </w:r>
      <w:r w:rsidRPr="005B6663">
        <w:rPr>
          <w:rStyle w:val="Style1Char"/>
          <w:color w:val="ED7D31" w:themeColor="accent2"/>
          <w:rtl/>
        </w:rPr>
        <w:t xml:space="preserve">ערער </w:t>
      </w:r>
      <w:r w:rsidRPr="005B6663">
        <w:rPr>
          <w:rStyle w:val="Style1Char"/>
          <w:color w:val="auto"/>
          <w:sz w:val="22"/>
          <w:szCs w:val="22"/>
          <w:rtl/>
        </w:rPr>
        <w:t>ושכיב</w:t>
      </w:r>
      <w:r w:rsidRPr="005B6663">
        <w:rPr>
          <w:rStyle w:val="Style1Char"/>
          <w:color w:val="auto"/>
          <w:rtl/>
        </w:rPr>
        <w:t xml:space="preserve"> </w:t>
      </w:r>
      <w:r w:rsidRPr="005B6663">
        <w:rPr>
          <w:rStyle w:val="Style1Char"/>
          <w:color w:val="ED7D31" w:themeColor="accent2"/>
          <w:rtl/>
        </w:rPr>
        <w:t xml:space="preserve">ואוקים </w:t>
      </w:r>
      <w:r w:rsidRPr="00DB01A1">
        <w:rPr>
          <w:rFonts w:ascii="Arial" w:hAnsi="Arial" w:cs="Arial"/>
          <w:color w:val="C00000"/>
          <w:rtl/>
        </w:rPr>
        <w:t xml:space="preserve">ושביק </w:t>
      </w:r>
      <w:r w:rsidRPr="005B6663">
        <w:rPr>
          <w:rStyle w:val="Style1Char"/>
          <w:color w:val="auto"/>
          <w:sz w:val="22"/>
          <w:szCs w:val="22"/>
          <w:rtl/>
        </w:rPr>
        <w:t xml:space="preserve">אפוטרופא, אתא </w:t>
      </w:r>
      <w:r w:rsidRPr="001C3C1D">
        <w:rPr>
          <w:rStyle w:val="Style1Char"/>
          <w:color w:val="00B050"/>
          <w:rtl/>
        </w:rPr>
        <w:t xml:space="preserve">אפוטרופוס </w:t>
      </w:r>
      <w:r w:rsidRPr="005B6663">
        <w:rPr>
          <w:rStyle w:val="Style1Char"/>
          <w:color w:val="auto"/>
          <w:sz w:val="22"/>
          <w:szCs w:val="22"/>
          <w:rtl/>
        </w:rPr>
        <w:t>לקמיה דאביי, א"ל: עשאה סימן לאחר - איבד את זכותו. אמר</w:t>
      </w:r>
      <w:r w:rsidRPr="005B6663">
        <w:rPr>
          <w:rFonts w:ascii="Arial" w:hAnsi="Arial" w:cs="Arial"/>
          <w:sz w:val="16"/>
          <w:szCs w:val="16"/>
          <w:rtl/>
        </w:rPr>
        <w:t xml:space="preserve"> </w:t>
      </w:r>
      <w:r w:rsidRPr="00DB01A1">
        <w:rPr>
          <w:rFonts w:ascii="Arial" w:hAnsi="Arial" w:cs="Arial"/>
          <w:color w:val="C00000"/>
          <w:rtl/>
        </w:rPr>
        <w:t>ליה</w:t>
      </w:r>
      <w:r w:rsidRPr="00DB01A1">
        <w:rPr>
          <w:rStyle w:val="Style1Char"/>
          <w:sz w:val="22"/>
          <w:szCs w:val="22"/>
          <w:rtl/>
        </w:rPr>
        <w:t xml:space="preserve">: </w:t>
      </w:r>
      <w:r w:rsidRPr="00DB01A1">
        <w:rPr>
          <w:rFonts w:ascii="Arial" w:hAnsi="Arial" w:cs="Arial"/>
          <w:color w:val="C00000"/>
          <w:rtl/>
        </w:rPr>
        <w:t xml:space="preserve">ודילמא </w:t>
      </w:r>
      <w:r w:rsidRPr="005B6663">
        <w:rPr>
          <w:rStyle w:val="Style1Char"/>
          <w:color w:val="auto"/>
          <w:sz w:val="22"/>
          <w:szCs w:val="22"/>
          <w:rtl/>
        </w:rPr>
        <w:t xml:space="preserve">אי הוה אבוהון דיתמי קיים, הוה טעין ואמר תלם אחד עשיתי לך! א"ל: שפיר קאמרת, דאמר ר' יוחנן: </w:t>
      </w:r>
      <w:r w:rsidR="006A57B2">
        <w:rPr>
          <w:rStyle w:val="Style1Char"/>
          <w:rFonts w:hint="cs"/>
          <w:rtl/>
        </w:rPr>
        <w:t>(1.1, 3)</w:t>
      </w:r>
      <w:r w:rsidRPr="005B6663">
        <w:rPr>
          <w:rStyle w:val="Style1Char"/>
          <w:color w:val="auto"/>
          <w:sz w:val="22"/>
          <w:szCs w:val="22"/>
          <w:rtl/>
        </w:rPr>
        <w:t xml:space="preserve">אם טען ואמר תלם אחד עשיתי לך </w:t>
      </w:r>
      <w:r>
        <w:rPr>
          <w:rStyle w:val="Style1Char"/>
          <w:color w:val="auto"/>
          <w:sz w:val="22"/>
          <w:szCs w:val="22"/>
          <w:rtl/>
        </w:rPr>
        <w:t>–</w:t>
      </w:r>
      <w:r w:rsidRPr="005B6663">
        <w:rPr>
          <w:rStyle w:val="Style1Char"/>
          <w:color w:val="auto"/>
          <w:sz w:val="22"/>
          <w:szCs w:val="22"/>
          <w:rtl/>
        </w:rPr>
        <w:t xml:space="preserve"> נאמן</w:t>
      </w:r>
      <w:r>
        <w:rPr>
          <w:rStyle w:val="Style1Char"/>
          <w:rFonts w:hint="cs"/>
          <w:color w:val="auto"/>
          <w:sz w:val="22"/>
          <w:szCs w:val="22"/>
          <w:rtl/>
        </w:rPr>
        <w:t xml:space="preserve"> </w:t>
      </w:r>
      <w:r w:rsidRPr="00B94F6A">
        <w:rPr>
          <w:rFonts w:ascii="Arial" w:hAnsi="Arial" w:cs="Arial"/>
          <w:color w:val="4472C4" w:themeColor="accent1"/>
          <w:sz w:val="16"/>
          <w:szCs w:val="16"/>
          <w:rtl/>
        </w:rPr>
        <w:t>וה"ר יונה ז"ל כתב ואותו תלם צריך שיהא בו בית תשעה קבין שכך כותבין מצר מזרח שדה פלוני' ופחות מתשעה קבין אין שם שדה עליו הלכך צריך שיהא בתלם תשעה קבין</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ומה שלא טען אביי ליורש בלא דברי האפוטרופוס י"ל דלא נזכר דברי ר' יוחנן ומתוך דברי האפוטרופוס נזכר לדברי ר' יוחנן אי נמי אף על פי שטוענין ליורש היכא דאית ליה אפוטרופוס</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ראוי הוא שהדיין ימתין עד שיטעון האפוטרופוס ולכך אמר אביי איבד זכותו כדי שישיב האפוטרופוס אם יודע להשיב ואם לא היה האפוטרופוס יודע להשיב היה אביי טוען ליתומים כדברי רבי יוחנן</w:t>
      </w:r>
      <w:r w:rsidRPr="005B6663">
        <w:rPr>
          <w:rStyle w:val="Style1Char"/>
          <w:color w:val="auto"/>
          <w:sz w:val="22"/>
          <w:szCs w:val="22"/>
          <w:rtl/>
        </w:rPr>
        <w:t>, זיל הב ליה מיהת תלם אחד</w:t>
      </w:r>
      <w:r w:rsidRPr="00DB01A1">
        <w:rPr>
          <w:rStyle w:val="Style1Char"/>
          <w:sz w:val="22"/>
          <w:szCs w:val="22"/>
          <w:rtl/>
        </w:rPr>
        <w:t xml:space="preserve">. </w:t>
      </w:r>
      <w:r w:rsidRPr="000824C5">
        <w:rPr>
          <w:rStyle w:val="Style1Char"/>
          <w:color w:val="ED7D31" w:themeColor="accent2"/>
          <w:rtl/>
        </w:rPr>
        <w:t>הוה עלה ריכבא דדיקלי</w:t>
      </w:r>
      <w:r w:rsidRPr="001C3C1D">
        <w:rPr>
          <w:rStyle w:val="Style1Char"/>
          <w:color w:val="00B050"/>
          <w:rtl/>
        </w:rPr>
        <w:t xml:space="preserve">, </w:t>
      </w:r>
      <w:r w:rsidRPr="000824C5">
        <w:rPr>
          <w:rFonts w:ascii="Arial" w:hAnsi="Arial" w:cs="Arial"/>
          <w:color w:val="806000" w:themeColor="accent4" w:themeShade="80"/>
          <w:rtl/>
        </w:rPr>
        <w:t xml:space="preserve">אמר ליה ניתב ליה ריכבא דדיקלא דקאים עילויה תלם אמר ליה זיל הב ליה מיהא תלם אחד דאיכא עליה ריכבא דדיקלא </w:t>
      </w:r>
      <w:r w:rsidRPr="000824C5">
        <w:rPr>
          <w:rStyle w:val="Style1Char"/>
          <w:color w:val="auto"/>
          <w:sz w:val="22"/>
          <w:szCs w:val="22"/>
          <w:rtl/>
        </w:rPr>
        <w:t xml:space="preserve">אמר ליה: אי הוה אבוהון דיתמי קיים, הוה טעין ואמר חזרתי ולקחתי ממנו! א"ל: שפיר קאמרת, דא"ר יוחנן: </w:t>
      </w:r>
      <w:r w:rsidR="006A57B2">
        <w:rPr>
          <w:rStyle w:val="Style1Char"/>
          <w:rFonts w:hint="cs"/>
          <w:rtl/>
        </w:rPr>
        <w:t>(3)</w:t>
      </w:r>
      <w:r w:rsidRPr="000824C5">
        <w:rPr>
          <w:rStyle w:val="Style1Char"/>
          <w:color w:val="auto"/>
          <w:sz w:val="22"/>
          <w:szCs w:val="22"/>
          <w:rtl/>
        </w:rPr>
        <w:t>אם טען ואמר חזרתי ולקחתיו ממנו - נאמן</w:t>
      </w:r>
      <w:r w:rsidRPr="001404EA">
        <w:rPr>
          <w:rFonts w:ascii="Arial" w:hAnsi="Arial" w:cs="Arial"/>
          <w:color w:val="4472C4" w:themeColor="accent1"/>
          <w:sz w:val="16"/>
          <w:szCs w:val="16"/>
          <w:rtl/>
        </w:rPr>
        <w:t xml:space="preserve"> </w:t>
      </w:r>
      <w:r w:rsidRPr="00B94F6A">
        <w:rPr>
          <w:rFonts w:ascii="Arial" w:hAnsi="Arial" w:cs="Arial"/>
          <w:color w:val="4472C4" w:themeColor="accent1"/>
          <w:sz w:val="16"/>
          <w:szCs w:val="16"/>
          <w:rtl/>
        </w:rPr>
        <w:t>תימה כיון שהודה שלא היתה שלו</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היאך יכול לטעון שלקחה ממנו וכי תימא מיגו דאי הוה בעי</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לא חתים מעיקרא הא ליתא דכיון דהודה מיגו למפרע לא אמרי' כדאמרי' בפ' זה בורר (דף לא ב) כיון דאיתחזק בבי דינא אי בעי קלתה לא אמרי' וי"ל דמיירי הכא כשאין כתב יד העד יוצא ממק"א להכי מהימן למימר חזרתי ולקחתיו ממנו</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במיגו דלא חתמתי מעולם והאי דלא קאמר אי אבוהון היה קיים הוה טעין מזוייף</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משום דטענת מזוייף לאו טענה מעלייתא היא הכא כיון שהלוקח והמוכר מכחישין אותו ולא שכיחא שהיה אבוהון טוען מזוייף ומלתא דלא שכיחא לא טענינן ליתמי. אבל חזרתי ולקחתיו ממנו טענינן להו כיון דאבוהון הוה מהימן בהך טענה במיגו דאי הוה בעי אמר מזוייף הוא כדאמרי' בפ' המוכר את הבית (דף ע ב) גבי שטר כיס היוצא על היתומים דלא טענינן להו ליתמי נאנסו משום דלא שכיח אבל החזרתיו לך במיגו דנאסו טענינן להו והראב"ד ז"ל פירש</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דמיירי הכא כשהוציאה העורר מיד המחזיק בחייו ועכשיו בא זה בטענת הודאתו שעשאה סימן לאחר להוציאה מיד היתומים והחזיק בה שלשה שנים בחייו אחר שהוציאה מידו ומשום הכי אמר אביי שפיר קאמר דאילו היה אבוהון קיים היה יכול לטעון חזרתי ולקחתיו ממנו אחר ההודאה כיון שהחזיק בה שלשה שנים וכן כתב רב אלפס ז"</w:t>
      </w:r>
      <w:r w:rsidRPr="000C0FCF">
        <w:rPr>
          <w:rStyle w:val="Style1Char"/>
          <w:sz w:val="22"/>
          <w:szCs w:val="22"/>
          <w:rtl/>
        </w:rPr>
        <w:t xml:space="preserve">. </w:t>
      </w:r>
      <w:r w:rsidRPr="00A76670">
        <w:rPr>
          <w:rFonts w:ascii="Arial" w:hAnsi="Arial" w:cs="Arial"/>
          <w:color w:val="C00000"/>
          <w:sz w:val="16"/>
          <w:szCs w:val="16"/>
          <w:rtl/>
        </w:rPr>
        <w:t xml:space="preserve">פירוש </w:t>
      </w:r>
      <w:r w:rsidRPr="001404EA">
        <w:rPr>
          <w:rFonts w:ascii="Arial" w:hAnsi="Arial" w:cs="Arial"/>
          <w:color w:val="806000" w:themeColor="accent4" w:themeShade="80"/>
          <w:rtl/>
        </w:rPr>
        <w:t xml:space="preserve">והוא דהוה ארעא בידיה אבל ליתא בידיה אינו נאמן דיקא נמי דקאמר ליה זיל הב ליה שמע מינה </w:t>
      </w:r>
      <w:r w:rsidRPr="00B94F6A">
        <w:rPr>
          <w:rFonts w:ascii="Arial" w:hAnsi="Arial" w:cs="Arial"/>
          <w:color w:val="4472C4" w:themeColor="accent1"/>
          <w:sz w:val="16"/>
          <w:szCs w:val="16"/>
          <w:rtl/>
        </w:rPr>
        <w:t>ולא נהירא לי האי פירושא דמילתיה דרבי יוחנן לאו אעובדא כי האי איתמר אלא אמתני' אמרה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הלכך האי עובדא מיתרץ שפיר בהאי שינוייא אבל מלתיה דר' יוחנן דמיתאמר אמתני' צריכינן</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לפרושי כשינוייא קמא ובהא מיתרץ נמי האי עובדא וזיל הב ליה פי' טול אתה כל השדה והב ליה תלם אחד </w:t>
      </w:r>
    </w:p>
    <w:p w14:paraId="5811E42A" w14:textId="38CDA693" w:rsidR="000C5939" w:rsidRDefault="006A57B2" w:rsidP="000C5939">
      <w:pPr>
        <w:bidi/>
        <w:rPr>
          <w:rStyle w:val="Style1Char"/>
          <w:sz w:val="22"/>
          <w:szCs w:val="22"/>
          <w:rtl/>
        </w:rPr>
      </w:pPr>
      <w:r>
        <w:rPr>
          <w:rStyle w:val="Style1Char"/>
          <w:rFonts w:hint="cs"/>
          <w:rtl/>
        </w:rPr>
        <w:t>(4)</w:t>
      </w:r>
      <w:r w:rsidR="000C5939" w:rsidRPr="00A36983">
        <w:rPr>
          <w:rStyle w:val="Style1Char"/>
          <w:color w:val="auto"/>
          <w:sz w:val="22"/>
          <w:szCs w:val="22"/>
          <w:rtl/>
        </w:rPr>
        <w:t>אמר אביי: האי מאן דמוקים אפוטרופא, נוקים כי האי דידע לאפוכי בזכותא דיתמי</w:t>
      </w:r>
      <w:r w:rsidR="000C5939" w:rsidRPr="000C0FCF">
        <w:rPr>
          <w:rStyle w:val="Style1Char"/>
          <w:sz w:val="22"/>
          <w:szCs w:val="22"/>
          <w:rtl/>
        </w:rPr>
        <w:t xml:space="preserve">. </w:t>
      </w:r>
    </w:p>
    <w:p w14:paraId="416B126C" w14:textId="77777777" w:rsidR="000C5939" w:rsidRPr="0011456C" w:rsidRDefault="000C5939" w:rsidP="000C5939">
      <w:pPr>
        <w:bidi/>
        <w:rPr>
          <w:rStyle w:val="Style1Char"/>
          <w:color w:val="auto"/>
          <w:sz w:val="22"/>
          <w:szCs w:val="22"/>
        </w:rPr>
      </w:pPr>
      <w:r w:rsidRPr="0011456C">
        <w:rPr>
          <w:rStyle w:val="Style1Char"/>
          <w:color w:val="auto"/>
          <w:sz w:val="22"/>
          <w:szCs w:val="22"/>
          <w:rtl/>
        </w:rPr>
        <w:t xml:space="preserve">מתני'. מי שהלך למדינת הים ואבדה דרך שדהו, אדמון אומר: ילך לו בקצרה, וחכמים אומרים: יקנה לו דרך במאה מנה או יפרח באויר. </w:t>
      </w:r>
    </w:p>
    <w:p w14:paraId="43AE9A0B" w14:textId="38B90022" w:rsidR="000C5939" w:rsidRDefault="000C5939" w:rsidP="000C5939">
      <w:pPr>
        <w:bidi/>
        <w:rPr>
          <w:rFonts w:ascii="Arial" w:hAnsi="Arial" w:cs="Arial"/>
          <w:color w:val="4472C4" w:themeColor="accent1"/>
          <w:sz w:val="16"/>
          <w:szCs w:val="16"/>
          <w:rtl/>
        </w:rPr>
      </w:pPr>
      <w:r w:rsidRPr="00653D49">
        <w:rPr>
          <w:rStyle w:val="Style1Char"/>
          <w:color w:val="auto"/>
          <w:sz w:val="22"/>
          <w:szCs w:val="22"/>
          <w:rtl/>
        </w:rPr>
        <w:t>גמ'.</w:t>
      </w:r>
      <w:r w:rsidRPr="00B7673F">
        <w:rPr>
          <w:rStyle w:val="Style1Char"/>
          <w:sz w:val="22"/>
          <w:szCs w:val="22"/>
          <w:rtl/>
        </w:rPr>
        <w:t xml:space="preserve"> </w:t>
      </w:r>
      <w:r w:rsidRPr="001C3C1D">
        <w:rPr>
          <w:rStyle w:val="Style1Char"/>
          <w:color w:val="00B050"/>
          <w:rtl/>
        </w:rPr>
        <w:t xml:space="preserve">מ"ט דרבנן? </w:t>
      </w:r>
      <w:r w:rsidR="00F75E9A">
        <w:rPr>
          <w:rStyle w:val="Style1Char"/>
          <w:rFonts w:hint="cs"/>
          <w:rtl/>
        </w:rPr>
        <w:t>(5)</w:t>
      </w:r>
      <w:r w:rsidRPr="00653D49">
        <w:rPr>
          <w:rStyle w:val="Style1Char"/>
          <w:color w:val="auto"/>
          <w:sz w:val="22"/>
          <w:szCs w:val="22"/>
          <w:rtl/>
        </w:rPr>
        <w:t xml:space="preserve">שפיר קאמר אדמון! אמר רב יהודה אמר רב: </w:t>
      </w:r>
      <w:r w:rsidR="00F75E9A">
        <w:rPr>
          <w:rStyle w:val="Style1Char"/>
          <w:rFonts w:hint="cs"/>
          <w:rtl/>
        </w:rPr>
        <w:t>(5, 6)</w:t>
      </w:r>
      <w:r w:rsidRPr="00653D49">
        <w:rPr>
          <w:rStyle w:val="Style1Char"/>
          <w:color w:val="auto"/>
          <w:sz w:val="22"/>
          <w:szCs w:val="22"/>
          <w:rtl/>
        </w:rPr>
        <w:t xml:space="preserve">כגון שהקיפוה ארבעה בני אדם מארבע רוחותיה. אי הכי, מאי טעמא דאדמון? אמר רבא: </w:t>
      </w:r>
      <w:r w:rsidR="00F75E9A">
        <w:rPr>
          <w:rStyle w:val="Style1Char"/>
          <w:rFonts w:hint="cs"/>
          <w:rtl/>
        </w:rPr>
        <w:t>(5, 6)</w:t>
      </w:r>
      <w:r w:rsidRPr="00653D49">
        <w:rPr>
          <w:rStyle w:val="Style1Char"/>
          <w:color w:val="auto"/>
          <w:sz w:val="22"/>
          <w:szCs w:val="22"/>
          <w:rtl/>
        </w:rPr>
        <w:t>בארבעה דאתו מכח ארבעה, וארבעה דאתו מכח חד - כולי עלמא לא פליגי דמצי מדחי ליה, כי פליגי - בחד דאתי מכח ארבעה, אדמון סבר</w:t>
      </w:r>
      <w:r w:rsidRPr="00653D49">
        <w:rPr>
          <w:rStyle w:val="Style1Char"/>
          <w:color w:val="auto"/>
          <w:rtl/>
        </w:rPr>
        <w:t xml:space="preserve">: </w:t>
      </w:r>
      <w:r w:rsidRPr="00653D49">
        <w:rPr>
          <w:rStyle w:val="Style1Char"/>
          <w:color w:val="auto"/>
          <w:sz w:val="22"/>
          <w:szCs w:val="22"/>
          <w:rtl/>
        </w:rPr>
        <w:t>מכל מקום דרכא</w:t>
      </w:r>
      <w:r w:rsidRPr="00653D49">
        <w:rPr>
          <w:rStyle w:val="Style1Char"/>
          <w:color w:val="auto"/>
          <w:rtl/>
        </w:rPr>
        <w:t xml:space="preserve"> </w:t>
      </w:r>
      <w:r w:rsidRPr="001C3C1D">
        <w:rPr>
          <w:rStyle w:val="Style1Char"/>
          <w:color w:val="00B050"/>
          <w:rtl/>
        </w:rPr>
        <w:t xml:space="preserve">אית לי </w:t>
      </w:r>
      <w:r w:rsidRPr="00653D49">
        <w:rPr>
          <w:rStyle w:val="Style1Char"/>
          <w:color w:val="auto"/>
          <w:sz w:val="22"/>
          <w:szCs w:val="22"/>
          <w:rtl/>
        </w:rPr>
        <w:t>גבך</w:t>
      </w:r>
      <w:r w:rsidRPr="00653D49">
        <w:rPr>
          <w:rStyle w:val="Style1Char"/>
          <w:color w:val="auto"/>
          <w:rtl/>
        </w:rPr>
        <w:t xml:space="preserve">, </w:t>
      </w:r>
      <w:r w:rsidRPr="00653D49">
        <w:rPr>
          <w:rStyle w:val="Style1Char"/>
          <w:color w:val="auto"/>
          <w:sz w:val="22"/>
          <w:szCs w:val="22"/>
          <w:rtl/>
        </w:rPr>
        <w:t xml:space="preserve">ורבנן סברי: </w:t>
      </w:r>
      <w:r w:rsidR="00F75E9A">
        <w:rPr>
          <w:rStyle w:val="Style1Char"/>
          <w:rFonts w:hint="cs"/>
          <w:rtl/>
        </w:rPr>
        <w:t>(5, 6)</w:t>
      </w:r>
      <w:r w:rsidRPr="00653D49">
        <w:rPr>
          <w:rStyle w:val="Style1Char"/>
          <w:color w:val="auto"/>
          <w:sz w:val="22"/>
          <w:szCs w:val="22"/>
          <w:rtl/>
        </w:rPr>
        <w:t>אי שתקת - שתקת, ואי לא - מהדרנא שטרא למרייהו ולא מצית לאשתעויי דינא בהדייהו</w:t>
      </w:r>
      <w:r w:rsidRPr="00B75097">
        <w:rPr>
          <w:rStyle w:val="Style1Char"/>
          <w:sz w:val="22"/>
          <w:szCs w:val="22"/>
          <w:rtl/>
        </w:rPr>
        <w:t xml:space="preserve">. </w:t>
      </w:r>
      <w:r w:rsidRPr="00B34066">
        <w:rPr>
          <w:rStyle w:val="Style1Char"/>
          <w:color w:val="auto"/>
          <w:sz w:val="22"/>
          <w:szCs w:val="22"/>
          <w:rtl/>
        </w:rPr>
        <w:t>ההוא דאמר להו דיקלא לברת</w:t>
      </w:r>
      <w:r w:rsidRPr="00B34066">
        <w:rPr>
          <w:rStyle w:val="Style1Char"/>
          <w:color w:val="auto"/>
          <w:rtl/>
        </w:rPr>
        <w:t xml:space="preserve">, </w:t>
      </w:r>
      <w:r w:rsidRPr="00B34066">
        <w:rPr>
          <w:rStyle w:val="Style1Char"/>
          <w:color w:val="auto"/>
          <w:sz w:val="22"/>
          <w:szCs w:val="22"/>
          <w:rtl/>
        </w:rPr>
        <w:t xml:space="preserve">אזול יתמי פלוג לנכסי, לא יהבו לה דיקלא: סבר רב יוסף למימר: היינו מתניתין, א"ל אביי: מי דמי? התם כל חד וחד מצי מדחי ליה, הכא דיקלא גבייהו הוא. </w:t>
      </w:r>
      <w:r w:rsidR="00F75E9A">
        <w:rPr>
          <w:rStyle w:val="Style1Char"/>
          <w:rFonts w:hint="cs"/>
          <w:rtl/>
        </w:rPr>
        <w:t>(7)</w:t>
      </w:r>
      <w:r w:rsidRPr="00B34066">
        <w:rPr>
          <w:rStyle w:val="Style1Char"/>
          <w:color w:val="auto"/>
          <w:sz w:val="22"/>
          <w:szCs w:val="22"/>
          <w:rtl/>
        </w:rPr>
        <w:t>מאי תקנתייהו? ליתבו לה דיקלא, וליהדרו וליפלגו מרישא</w:t>
      </w:r>
      <w:r w:rsidRPr="00B34066">
        <w:rPr>
          <w:rFonts w:ascii="Arial" w:hAnsi="Arial" w:cs="Arial"/>
          <w:color w:val="4472C4" w:themeColor="accent1"/>
          <w:sz w:val="16"/>
          <w:szCs w:val="16"/>
          <w:rtl/>
        </w:rPr>
        <w:t xml:space="preserve"> </w:t>
      </w:r>
      <w:r w:rsidRPr="00B94F6A">
        <w:rPr>
          <w:rFonts w:ascii="Arial" w:hAnsi="Arial" w:cs="Arial"/>
          <w:color w:val="4472C4" w:themeColor="accent1"/>
          <w:sz w:val="16"/>
          <w:szCs w:val="16"/>
          <w:rtl/>
        </w:rPr>
        <w:t xml:space="preserve">אם אין אחד מהן רוצה ליתן אחד מדקליו בשביל מעותיו. </w:t>
      </w:r>
    </w:p>
    <w:p w14:paraId="1C58658D" w14:textId="621892D4" w:rsidR="000C5939" w:rsidRPr="00B94F6A" w:rsidRDefault="00F75E9A" w:rsidP="000C5939">
      <w:pPr>
        <w:bidi/>
        <w:rPr>
          <w:rFonts w:ascii="Arial" w:hAnsi="Arial" w:cs="Arial"/>
          <w:color w:val="4472C4" w:themeColor="accent1"/>
          <w:sz w:val="16"/>
          <w:szCs w:val="16"/>
        </w:rPr>
      </w:pPr>
      <w:r>
        <w:rPr>
          <w:rStyle w:val="Style1Char"/>
          <w:rFonts w:hint="cs"/>
          <w:rtl/>
        </w:rPr>
        <w:t>(8)</w:t>
      </w:r>
      <w:r w:rsidR="000C5939" w:rsidRPr="00B34066">
        <w:rPr>
          <w:rStyle w:val="Style1Char"/>
          <w:color w:val="ED7D31" w:themeColor="accent2"/>
          <w:sz w:val="22"/>
          <w:szCs w:val="22"/>
          <w:rtl/>
        </w:rPr>
        <w:t xml:space="preserve">ההוא דאמר להו דיקלא לברת, שכיב ושביק תרי פלגי דדיקלא, יתיב רב אשי וקא קשיא ליה: מי קרו אינשי לתרי פלגי דיקלי דיקלא, או לא? </w:t>
      </w:r>
      <w:r w:rsidR="000C5939" w:rsidRPr="00B94F6A">
        <w:rPr>
          <w:rFonts w:ascii="Arial" w:hAnsi="Arial" w:cs="Arial"/>
          <w:color w:val="4472C4" w:themeColor="accent1"/>
          <w:sz w:val="16"/>
          <w:szCs w:val="16"/>
          <w:rtl/>
        </w:rPr>
        <w:t>פי' רש"י ויתנו לה שני חצאי דקל אף על פי שיש להם דקלים הרבה דיד בעל השטר על התחתונה ויש מפרשים דאי אית להו דיקלי אחריני פשיטא דבעו למיתב לה דקל שלם דבמקום דקלים שלימים פשיטא דלא קרו אינשי לתרי פלגי דיקלי דיקלא ולא שייך הכא למימר יד בעל השטר על התחתונה ומיירי הכא בשאין לו שום דקל אלא שני חצאי דקל ומיבעי ליה מי קרו אינשי לתרי פלגי דיקלי דיקלא ואית לה תרי פלגי דיקלי או לא קרי ולית לה ולא מידי ודמי דקלא לא אמר למיתב לה ופי' רש"י נראה עיקר דאי לית ליה אלא הני תרי פלגי דיקלי פשיטא דהוה דעתיה אהני</w:t>
      </w:r>
      <w:r w:rsidR="000C5939" w:rsidRPr="00B94F6A">
        <w:rPr>
          <w:rFonts w:ascii="Arial" w:hAnsi="Arial" w:cs="Arial"/>
          <w:color w:val="4472C4" w:themeColor="accent1"/>
          <w:sz w:val="16"/>
          <w:szCs w:val="16"/>
        </w:rPr>
        <w:t xml:space="preserve">: </w:t>
      </w:r>
    </w:p>
    <w:p w14:paraId="063C85A1" w14:textId="432D8191" w:rsidR="000C5939" w:rsidRDefault="000C5939" w:rsidP="000C5939">
      <w:pPr>
        <w:bidi/>
        <w:rPr>
          <w:rStyle w:val="Style1Char"/>
          <w:color w:val="00B050"/>
          <w:rtl/>
        </w:rPr>
      </w:pPr>
      <w:r w:rsidRPr="001C3C1D">
        <w:rPr>
          <w:rStyle w:val="Style1Char"/>
          <w:color w:val="00B050"/>
          <w:rtl/>
        </w:rPr>
        <w:t xml:space="preserve">אמר ליה רב מרדכי לרב אשי, הכי אמר אבימי מהגרוניא משמיה דרבא: </w:t>
      </w:r>
      <w:r w:rsidR="00F75E9A">
        <w:rPr>
          <w:rStyle w:val="Style1Char"/>
          <w:rFonts w:hint="cs"/>
          <w:rtl/>
        </w:rPr>
        <w:t>(8)</w:t>
      </w:r>
      <w:r w:rsidRPr="001C3C1D">
        <w:rPr>
          <w:rStyle w:val="Style1Char"/>
          <w:color w:val="00B050"/>
          <w:rtl/>
        </w:rPr>
        <w:t xml:space="preserve">קרו אינשי לתרי פלגי דיקלי דיקלא. </w:t>
      </w:r>
    </w:p>
    <w:p w14:paraId="34DD268C" w14:textId="789927D4" w:rsidR="00F82E05" w:rsidRDefault="00F82E05" w:rsidP="00F82E05">
      <w:pPr>
        <w:pStyle w:val="Style1"/>
        <w:rPr>
          <w:rtl/>
        </w:rPr>
      </w:pPr>
      <w:r>
        <w:rPr>
          <w:rFonts w:hint="cs"/>
          <w:rtl/>
        </w:rPr>
        <w:t>1)[</w:t>
      </w:r>
      <w:r w:rsidR="0057095E">
        <w:rPr>
          <w:rtl/>
        </w:rPr>
        <w:t xml:space="preserve">רמב”ם \משפטים\ הלכות טוען </w:t>
      </w:r>
      <w:r>
        <w:rPr>
          <w:rtl/>
        </w:rPr>
        <w:t>ונטען פרק טז הלכה ב</w:t>
      </w:r>
      <w:r>
        <w:rPr>
          <w:rFonts w:hint="cs"/>
          <w:rtl/>
        </w:rPr>
        <w:t xml:space="preserve">] </w:t>
      </w:r>
      <w:r>
        <w:rPr>
          <w:rtl/>
        </w:rPr>
        <w:t>טען העד ואמר תלם אחד הוא שעשיתי סימן ולא כל השדה ואותו התלם הסמוך למצר בלבד הוא של ראובן הרי זה טענה הנשמעת ויש לו לערער על כל השדה חוץ מאותו התלם, ואין כל הדברים אמורים אלא באחד מעדי השטר שבא לערער, אבל הדיין שקיים השטר יש לו לערער מפני שיכול לטעון ולומר לא ידעתי מה היה כתוב בשטר מפני שיש לדיינין לקיים השטר אף על פי שלא קראוהו, אבל העדים אין חותמין על השטר אלא אם כן קראוהו כולו ודקדקו בו.</w:t>
      </w:r>
    </w:p>
    <w:p w14:paraId="407DF36A" w14:textId="5347C1D5" w:rsidR="00F82E05" w:rsidRDefault="00F82E05" w:rsidP="00F82E05">
      <w:pPr>
        <w:pStyle w:val="Style1"/>
        <w:rPr>
          <w:rtl/>
        </w:rPr>
      </w:pPr>
      <w:r>
        <w:rPr>
          <w:rFonts w:hint="cs"/>
          <w:rtl/>
        </w:rPr>
        <w:t>1)[</w:t>
      </w:r>
      <w:r w:rsidR="0057095E">
        <w:rPr>
          <w:rtl/>
        </w:rPr>
        <w:t xml:space="preserve">רמב”ם \שופטים\ הלכות עדות </w:t>
      </w:r>
      <w:r>
        <w:rPr>
          <w:rtl/>
        </w:rPr>
        <w:t>פרק ו הלכה ח</w:t>
      </w:r>
      <w:r>
        <w:rPr>
          <w:rFonts w:hint="cs"/>
          <w:rtl/>
        </w:rPr>
        <w:t xml:space="preserve">] </w:t>
      </w:r>
      <w:r>
        <w:rPr>
          <w:rtl/>
        </w:rPr>
        <w:t>מותר לכתוב הקיום בשטר קודם שיתקיים השטר שאין הכתיבה עיקר אלא החתימה, ואין הדיינים צריכין לקרות השטר שמקיימין אותו אלא מקיימין אותו מעדיו אף על פי שלא ידעו מה כתוב בו.</w:t>
      </w:r>
    </w:p>
    <w:p w14:paraId="3AF65E29" w14:textId="067814B5" w:rsidR="00F82E05" w:rsidRDefault="00F82E05" w:rsidP="00F82E05">
      <w:pPr>
        <w:pStyle w:val="Style1"/>
        <w:rPr>
          <w:rtl/>
        </w:rPr>
      </w:pPr>
      <w:r>
        <w:rPr>
          <w:rFonts w:hint="cs"/>
          <w:rtl/>
        </w:rPr>
        <w:t>1)[</w:t>
      </w:r>
      <w:r>
        <w:rPr>
          <w:rtl/>
        </w:rPr>
        <w:t>שולחן ערוך חושן משפט הלכות הלואה סימן מו סעיף כ</w:t>
      </w:r>
      <w:r>
        <w:rPr>
          <w:rFonts w:hint="cs"/>
          <w:rtl/>
        </w:rPr>
        <w:t xml:space="preserve">] </w:t>
      </w:r>
      <w:r>
        <w:rPr>
          <w:rtl/>
        </w:rPr>
        <w:t>(ר"נ שם) דיינים החותמים לקיים השטר, חותמים, אעפ"י שלא קראוהו. ודוקא מה שיש בגוף השטר אין צריכים לקרות, אבל מ"מ צריכים הם לראות מי הם המלוה והלוה, כדי שלא יהיו קרובים לדיינים ולא לעדים המעידים בפניהם. ויש אומרים שאין צריך לקרותו כלל. (ובלבד שיכתבו מי הם עידי הקיום, שאם יהיו פסולים למלוה ולוה, יכולים להכיר אח"כ) (נ"י בשם ריטב"א).</w:t>
      </w:r>
    </w:p>
    <w:p w14:paraId="47BF2877" w14:textId="65057204" w:rsidR="00F82E05" w:rsidRDefault="00F82E05" w:rsidP="00F82E05">
      <w:pPr>
        <w:pStyle w:val="Style1"/>
        <w:rPr>
          <w:rtl/>
        </w:rPr>
      </w:pPr>
      <w:r>
        <w:rPr>
          <w:rFonts w:hint="cs"/>
          <w:rtl/>
        </w:rPr>
        <w:t>1)[</w:t>
      </w:r>
      <w:r>
        <w:rPr>
          <w:rtl/>
        </w:rPr>
        <w:t>שולחן ערוך חושן משפט הלכות חזקת קרקעות סימן קמז סעיף ד</w:t>
      </w:r>
      <w:r>
        <w:rPr>
          <w:rFonts w:hint="cs"/>
          <w:rtl/>
        </w:rPr>
        <w:t xml:space="preserve">] </w:t>
      </w:r>
      <w:r>
        <w:rPr>
          <w:rtl/>
        </w:rPr>
        <w:t>דיין החתום בקיום השטר יכול לערער, מפני שיכול לומר: לא ידעתי מה היה כתוב בשטר, מפני שהדיינים יכולים לקיים השטר אף על פי שלא קראוהו. (אבל אם היה דיין  והגבה לזה הקרקע, אבד זכותו) (ריב"ש סימן רנ"ב).</w:t>
      </w:r>
    </w:p>
    <w:p w14:paraId="1CF3DD5F" w14:textId="78EF598A" w:rsidR="002F1D60" w:rsidRDefault="002F1D60" w:rsidP="002F1D60">
      <w:pPr>
        <w:pStyle w:val="Style1"/>
        <w:rPr>
          <w:rtl/>
        </w:rPr>
      </w:pPr>
      <w:r>
        <w:rPr>
          <w:rFonts w:hint="cs"/>
          <w:rtl/>
        </w:rPr>
        <w:t>2)[</w:t>
      </w:r>
      <w:r w:rsidR="0057095E">
        <w:rPr>
          <w:rtl/>
        </w:rPr>
        <w:t xml:space="preserve">רמב”ם \משפטים\ הלכות טוען </w:t>
      </w:r>
      <w:r>
        <w:rPr>
          <w:rtl/>
        </w:rPr>
        <w:t>ונטען פרק טז הלכה א</w:t>
      </w:r>
      <w:r>
        <w:rPr>
          <w:rFonts w:hint="cs"/>
          <w:rtl/>
        </w:rPr>
        <w:t xml:space="preserve">] </w:t>
      </w:r>
      <w:r>
        <w:rPr>
          <w:rtl/>
        </w:rPr>
        <w:t>ראובן שמכר לשמעון שדה והיה לוי מעדי השטר ובא לוי לערער על השדה ולטעון שראובן גזל אותה ממנו, אין שומעין לו ואין משגיחין על ראיות שיביא על אותה שדה והרי אבד כל זכותו שאומר לו היאך תעיד על המכר ותבא ותערער, וכן אם העיד לוי בשטר שכתוב בו השדה פלוני של ראובן מצד מזרח או מערב הואיל ועשה השדה סימן לאחר והעיד בשטר אבד את זכותו ואינו יכול לחזור ולערער שאומרים לו היאך תעיד בשטר זה שכתוב בו השדה הזאת מצד פלוני ותחזור ותערער עליה.</w:t>
      </w:r>
    </w:p>
    <w:p w14:paraId="602CB92A" w14:textId="474FBC72" w:rsidR="002F1D60" w:rsidRPr="002F1D60" w:rsidRDefault="002F1D60" w:rsidP="002F1D60">
      <w:pPr>
        <w:pStyle w:val="Style1"/>
      </w:pPr>
      <w:r>
        <w:rPr>
          <w:rFonts w:hint="cs"/>
          <w:rtl/>
        </w:rPr>
        <w:t>3)[</w:t>
      </w:r>
      <w:r>
        <w:rPr>
          <w:rtl/>
        </w:rPr>
        <w:t>שולחן ערוך חושן משפט הלכות חזקת קרקעות סימן קמז סעיף ג</w:t>
      </w:r>
      <w:r>
        <w:rPr>
          <w:rFonts w:hint="cs"/>
          <w:rtl/>
        </w:rPr>
        <w:t xml:space="preserve">] </w:t>
      </w:r>
      <w:r w:rsidRPr="002F1D60">
        <w:rPr>
          <w:rtl/>
        </w:rPr>
        <w:t>טען העד ואמר תלם אחד הוא שעשיתי סימן ולא כל השדה ואותו תלם הסמוך למצר בלבד הוא של ראובן ה"ז טענה הנשמעת ויש לו לערער על כל השדה חוץ מאותו תלם והוא שיש בתלם ט' קבין שהוא שיעור שדה אם כתוב שדה ואם אין כתוב שדה אלא קרקע אין לו אלא תלם קטן</w:t>
      </w:r>
      <w:r w:rsidRPr="002F1D60">
        <w:t>:</w:t>
      </w:r>
    </w:p>
    <w:p w14:paraId="2EC858E6" w14:textId="447C1FA8" w:rsidR="002F1D60" w:rsidRDefault="002F1D60" w:rsidP="002F1D60">
      <w:pPr>
        <w:pStyle w:val="Style1"/>
        <w:rPr>
          <w:rtl/>
        </w:rPr>
      </w:pPr>
      <w:r w:rsidRPr="002F1D60">
        <w:rPr>
          <w:rFonts w:hint="cs"/>
          <w:rtl/>
        </w:rPr>
        <w:t>הגה: חזר וטען חזרתי ולקחתי ממנו תלם שהודיתי בו אם אין כתב ידו יוצא ממקום אחר או שהתלם בידו והחזיק בו אח"כ נאמן (טור) טען מה שעשאו סימן לאחר לאו משום שהוא שלו רק שהנכסים נקראים כך שהיו שלו תחלה טענתיה טענה אא"כ פי' בהדיא שהם שלו (ב"י בשם הריטב"א בשם הרמ"ה)</w:t>
      </w:r>
      <w:r w:rsidRPr="002F1D60">
        <w:t>:</w:t>
      </w:r>
    </w:p>
    <w:p w14:paraId="68D74A18" w14:textId="0E9A5D62" w:rsidR="006A57B2" w:rsidRDefault="006A57B2" w:rsidP="006A57B2">
      <w:pPr>
        <w:pStyle w:val="Style1"/>
        <w:rPr>
          <w:rtl/>
        </w:rPr>
      </w:pPr>
      <w:r>
        <w:rPr>
          <w:rFonts w:hint="cs"/>
          <w:rtl/>
        </w:rPr>
        <w:t>4)[</w:t>
      </w:r>
      <w:r w:rsidR="00EC109D">
        <w:rPr>
          <w:rtl/>
        </w:rPr>
        <w:t xml:space="preserve">רמב”ם \משפטים\ הלכות נחלות </w:t>
      </w:r>
      <w:r>
        <w:rPr>
          <w:rtl/>
        </w:rPr>
        <w:t>פרק י הלכה ו</w:t>
      </w:r>
      <w:r>
        <w:rPr>
          <w:rFonts w:hint="cs"/>
          <w:rtl/>
        </w:rPr>
        <w:t xml:space="preserve">] </w:t>
      </w:r>
      <w:r>
        <w:rPr>
          <w:rtl/>
        </w:rPr>
        <w:t>צוה המוריש ואמר ינתן חלק הקטן לקטן ומה שירצה יעשה בה הרשות בידו, וכן אם מנה המוריש אפוטרופוס על הקטנים קטן או אשה או עבד הרשות בידו, אבל אין בית דין ממנין אפוטרופוס לא אשה ולא עבד ולא קטן ולא עם הארץ, שהוא בחזקת חשוד על העבירות, אלא בודקין על אדם נאמן ואיש חיל ויודע להפך בזכות היתומים וטוען טענתם ושיש לו כח בעסקי העולם כדי לשמור נכסים ולהרויח בהן ומעמידין אותו על הקטנים, בין שיהיה רחוק בין שיהיה קרוב לקטן אלא שאם היה קרוב לא ירד לקרקעות.</w:t>
      </w:r>
    </w:p>
    <w:p w14:paraId="28F6C35D" w14:textId="6725B22F" w:rsidR="000408AA" w:rsidRPr="000408AA" w:rsidRDefault="006A57B2" w:rsidP="000408AA">
      <w:pPr>
        <w:pStyle w:val="Style1"/>
      </w:pPr>
      <w:r>
        <w:rPr>
          <w:rFonts w:hint="cs"/>
          <w:rtl/>
        </w:rPr>
        <w:t>4)[</w:t>
      </w:r>
      <w:r>
        <w:rPr>
          <w:rtl/>
        </w:rPr>
        <w:t>שולחן ערוך חושן משפט הלכות אפוטרופוס סימן רצ סעיף כ</w:t>
      </w:r>
      <w:r>
        <w:rPr>
          <w:rFonts w:hint="cs"/>
          <w:rtl/>
        </w:rPr>
        <w:t>]</w:t>
      </w:r>
      <w:r w:rsidR="000408AA">
        <w:rPr>
          <w:rFonts w:hint="cs"/>
          <w:rtl/>
        </w:rPr>
        <w:t xml:space="preserve"> </w:t>
      </w:r>
      <w:r w:rsidR="000408AA" w:rsidRPr="000408AA">
        <w:rPr>
          <w:rtl/>
        </w:rPr>
        <w:t>אפוטרופוס בין מינוהו ב"ד בין מינהו אבי יתומים פטור מגניבה ואבידה וחייב בפשיעה</w:t>
      </w:r>
    </w:p>
    <w:p w14:paraId="1DB18D38" w14:textId="2C3199C8" w:rsidR="000408AA" w:rsidRDefault="000408AA" w:rsidP="000408AA">
      <w:pPr>
        <w:pStyle w:val="Style1"/>
        <w:rPr>
          <w:rtl/>
        </w:rPr>
      </w:pPr>
      <w:r w:rsidRPr="000408AA">
        <w:rPr>
          <w:rFonts w:hint="cs"/>
          <w:rtl/>
        </w:rPr>
        <w:t>(אפוטרופוס שטען בב"ד מה שלא היה לו לטעון ועי"ז בא לזה שלכנגד היתומים השבועה ואילו טען כהוגן היה מגיע ליתומים השבועה לא מקרי פשיעה דמי יימר דמשתבע ולא מקרי פשיעה אלא אם נוטל זה בלא שבועה ואנו טען כהוגן היו נוטלים היתומים בלא שבועה) (מרדכי פ' המפקיד ותשובת רשב"א סי' אלף ק"ו)</w:t>
      </w:r>
      <w:r w:rsidRPr="000408AA">
        <w:t>:</w:t>
      </w:r>
    </w:p>
    <w:p w14:paraId="05E545EE" w14:textId="06FF5E3B" w:rsidR="000408AA" w:rsidRDefault="000408AA" w:rsidP="000408AA">
      <w:pPr>
        <w:pStyle w:val="Style1"/>
        <w:rPr>
          <w:rtl/>
        </w:rPr>
      </w:pPr>
      <w:r>
        <w:rPr>
          <w:rFonts w:hint="cs"/>
          <w:rtl/>
        </w:rPr>
        <w:t>5)[</w:t>
      </w:r>
      <w:r w:rsidR="0057095E">
        <w:rPr>
          <w:rtl/>
        </w:rPr>
        <w:t xml:space="preserve">רמב”ם \משפטים\ הלכות טוען </w:t>
      </w:r>
      <w:r>
        <w:rPr>
          <w:rtl/>
        </w:rPr>
        <w:t>ונטען פרק טו הלכה יא</w:t>
      </w:r>
      <w:r>
        <w:rPr>
          <w:rFonts w:hint="cs"/>
          <w:rtl/>
        </w:rPr>
        <w:t xml:space="preserve">] </w:t>
      </w:r>
      <w:r>
        <w:rPr>
          <w:rtl/>
        </w:rPr>
        <w:t>מי שהלך למדינת הים ואבדה דרך שדהו בין שהיו ארבע השדות המקיפות אותה לארבעה אנשים בין שהיו הארבע שדות קנויות מאחד הרי כל אחד מהן דוחהו ואומר שמא דרך שלך על חברי הוא, לפיכך יקנה לו דרך במאה מנה או יפרח באויר, וכן אם היו ארבע השדות לאיש אחד שקנה אותן מארבעה אין לו עליו דרך שהרי אומר לו עתה אם אחזיר לכל אחד שטרו אין אתה יכול לעבור על אחד מהן ואני קניתי מכל אחד מהן כל זכות שיש לו, אבל אם היה בעל ארבע שדות המקיפו איש אחד והוא בעל המצר שלה מתחלה ועד סוף הרי זה אומר לו מכל מקום דרכי עליך וילך לו בקצרה באי זו שדה שירצה בעל השדה וכן כל כיוצא בזה, ואם החזיק בדרך ואומר זו היא דרכי אין מסלקין אותו ממנה אלא בראיה ברורה.</w:t>
      </w:r>
    </w:p>
    <w:p w14:paraId="3A733944" w14:textId="77E8493F" w:rsidR="000408AA" w:rsidRDefault="000408AA" w:rsidP="000408AA">
      <w:pPr>
        <w:pStyle w:val="Style1"/>
        <w:rPr>
          <w:rtl/>
        </w:rPr>
      </w:pPr>
      <w:r>
        <w:rPr>
          <w:rFonts w:hint="cs"/>
          <w:rtl/>
        </w:rPr>
        <w:t>5)[</w:t>
      </w:r>
      <w:r>
        <w:rPr>
          <w:rtl/>
        </w:rPr>
        <w:t>שולחן ערוך חושן משפט הלכות חזקת קרקעות סימן קמח סעיף ב</w:t>
      </w:r>
      <w:r>
        <w:rPr>
          <w:rFonts w:hint="cs"/>
          <w:rtl/>
        </w:rPr>
        <w:t xml:space="preserve">] </w:t>
      </w:r>
      <w:r w:rsidRPr="000408AA">
        <w:rPr>
          <w:rtl/>
        </w:rPr>
        <w:t>וכן אם היו ד' השדות לאיש אחד שקנה אותן מארבעה אין לו עליו דרך שהרי אומר לו עתה אם אחזיר לכל אחד שטרו אין אתה יכול לעבור על אחד מהם ואני קניתי מכל אחד מהם כל זכות שיש לו אבל אם היה בעל ד' השדות המקיפות איש אחד והוא בעל המצר מתחלה ועד סוף ה"ז אומר מכל מקום דרכי עליך וילך לו בקצרה באי זו שדה שירצה בעל השדה ואם החזיק בדרך </w:t>
      </w:r>
      <w:r w:rsidRPr="000408AA">
        <w:rPr>
          <w:rFonts w:hint="cs"/>
          <w:rtl/>
        </w:rPr>
        <w:t>[בדין חזקה] [המגיד פט"ו דטוען]</w:t>
      </w:r>
      <w:r w:rsidRPr="000408AA">
        <w:rPr>
          <w:rtl/>
        </w:rPr>
        <w:t> ואומר היא דרכי אין מסלקין אותו ממנה אלא בראיה ברורה</w:t>
      </w:r>
      <w:r w:rsidRPr="000408AA">
        <w:t>:</w:t>
      </w:r>
    </w:p>
    <w:p w14:paraId="254EEEAC" w14:textId="43D06E38" w:rsidR="000408AA" w:rsidRDefault="000408AA" w:rsidP="000408AA">
      <w:pPr>
        <w:pStyle w:val="Style1"/>
        <w:rPr>
          <w:rtl/>
        </w:rPr>
      </w:pPr>
      <w:r>
        <w:rPr>
          <w:rFonts w:hint="cs"/>
          <w:rtl/>
        </w:rPr>
        <w:t>6)[</w:t>
      </w:r>
      <w:r>
        <w:rPr>
          <w:rtl/>
        </w:rPr>
        <w:t>שולחן ערוך חושן משפט הלכות חזקת קרקעות סימן קמח סעיף א</w:t>
      </w:r>
      <w:r>
        <w:rPr>
          <w:rFonts w:hint="cs"/>
          <w:rtl/>
        </w:rPr>
        <w:t xml:space="preserve">] </w:t>
      </w:r>
      <w:r>
        <w:rPr>
          <w:rtl/>
        </w:rPr>
        <w:t>מי שהלך למדינת הים ואבד דרך שדהו,  בין שהיו ארבע השדות המקיפים אותה לארבעה אנשים, בין שהיו ארבעה שקנו מאחד, הרי כל אחד מהם דוחהו ואומר: שמא דרך שלך על חבירו הוא, לפיכך יקנה לו דרך במאה מנה, או יפרח באויר.</w:t>
      </w:r>
    </w:p>
    <w:p w14:paraId="2E212C51" w14:textId="3E710793" w:rsidR="00F75E9A" w:rsidRDefault="00F75E9A" w:rsidP="00F75E9A">
      <w:pPr>
        <w:pStyle w:val="Style1"/>
        <w:rPr>
          <w:rtl/>
        </w:rPr>
      </w:pPr>
      <w:r>
        <w:rPr>
          <w:rFonts w:hint="cs"/>
          <w:rtl/>
        </w:rPr>
        <w:t>7)[</w:t>
      </w:r>
      <w:r w:rsidR="00EC109D">
        <w:rPr>
          <w:rtl/>
        </w:rPr>
        <w:t xml:space="preserve">רמב”ם \משפטים\ הלכות נחלות </w:t>
      </w:r>
      <w:r>
        <w:rPr>
          <w:rtl/>
        </w:rPr>
        <w:t>פרק י הלכה ב</w:t>
      </w:r>
      <w:r>
        <w:rPr>
          <w:rFonts w:hint="cs"/>
          <w:rtl/>
        </w:rPr>
        <w:t xml:space="preserve">] </w:t>
      </w:r>
      <w:r>
        <w:rPr>
          <w:rtl/>
        </w:rPr>
        <w:t>מי שצוה בשעת מיתתו שיתנו לפלוני דקל או שדה מנכסיו וחלקו האחין ולא נתנו לפלוני כלום, הרי המחלוקת בטלה, וכיצד עושין נותנין מה שצוה מורישן ואחר כך חוזרין וחולקין כתחלה.</w:t>
      </w:r>
    </w:p>
    <w:p w14:paraId="69C73158" w14:textId="644EC34B" w:rsidR="003551E7" w:rsidRPr="003551E7" w:rsidRDefault="003551E7" w:rsidP="003551E7">
      <w:pPr>
        <w:pStyle w:val="Style1"/>
      </w:pPr>
      <w:r>
        <w:rPr>
          <w:rFonts w:hint="cs"/>
          <w:rtl/>
        </w:rPr>
        <w:t>7)[</w:t>
      </w:r>
      <w:r>
        <w:rPr>
          <w:rtl/>
        </w:rPr>
        <w:t>שולחן ערוך חושן משפט הלכות נחלות סימן רפח סעיף ב</w:t>
      </w:r>
      <w:r>
        <w:rPr>
          <w:rFonts w:hint="cs"/>
          <w:rtl/>
        </w:rPr>
        <w:t xml:space="preserve">] </w:t>
      </w:r>
      <w:r w:rsidRPr="003551E7">
        <w:rPr>
          <w:rtl/>
        </w:rPr>
        <w:t>מי שצוה בשעת מיתתו שיתנו לפלוני דקל או שדה מנכסיו וחלקו האחים ולא נתנו לו כלום החלוקה בטלה ויתנו לזה מה שצוה מורישן ואח"כ חוזרים וחולקים בתחלה</w:t>
      </w:r>
      <w:r w:rsidRPr="003551E7">
        <w:t>:</w:t>
      </w:r>
    </w:p>
    <w:p w14:paraId="19BCE5F2" w14:textId="3CA70A2F" w:rsidR="003551E7" w:rsidRDefault="003551E7" w:rsidP="003551E7">
      <w:pPr>
        <w:pStyle w:val="Style1"/>
        <w:rPr>
          <w:rtl/>
        </w:rPr>
      </w:pPr>
      <w:r w:rsidRPr="003551E7">
        <w:rPr>
          <w:rFonts w:hint="cs"/>
          <w:rtl/>
        </w:rPr>
        <w:t>הגה: ואם ירצה אחד לקיים החלוקה וליתן לו משלו וחבירו יתן לו מעות הרשות בידו (טור בשם הרא"ש)</w:t>
      </w:r>
      <w:r w:rsidRPr="003551E7">
        <w:t>:</w:t>
      </w:r>
    </w:p>
    <w:p w14:paraId="6F3E832A" w14:textId="14C7711D" w:rsidR="003551E7" w:rsidRDefault="003551E7" w:rsidP="003551E7">
      <w:pPr>
        <w:pStyle w:val="Style1"/>
        <w:rPr>
          <w:rtl/>
        </w:rPr>
      </w:pPr>
      <w:r>
        <w:rPr>
          <w:rFonts w:hint="cs"/>
          <w:rtl/>
        </w:rPr>
        <w:t>8)[</w:t>
      </w:r>
      <w:r w:rsidR="00C764B2">
        <w:rPr>
          <w:rtl/>
        </w:rPr>
        <w:t xml:space="preserve">רמב”ם \קנין\ הלכות זכיה </w:t>
      </w:r>
      <w:r>
        <w:rPr>
          <w:rtl/>
        </w:rPr>
        <w:t>ומתנה פרק יא הלכה כב</w:t>
      </w:r>
      <w:r>
        <w:rPr>
          <w:rFonts w:hint="cs"/>
          <w:rtl/>
        </w:rPr>
        <w:t xml:space="preserve">] </w:t>
      </w:r>
      <w:r>
        <w:rPr>
          <w:rtl/>
        </w:rPr>
        <w:t>אמר תנו נדוניא לבתי כך וכך בגדים כך וכך כלים הוזלו הבגדים והכלים אחר כן, הריוח ליתומים ונותנין לה כשער הזול, וכן אם אמר תנו ארבע מאות זוז דמי היין לבתי והוקר היין הריוח ליתומים ונותנין לה ארבע מאות זוז, מעשה באחד שהיה יוצא בקולר ואמר תנו לפלוני ארבע מאות זוז מהיין של מקום פלוני, ואמרו חכמים יטול ארבע מאות זוז מדמי אותו היין שלא נתכוון זה ליתן לו מן היין משקל ארבע מאות זוז ולא נתכוון אלא לדמים וזה שייחדן כדי ליפות את כחו, ושוב מעשה באחד שאמר הדקל לבתי והניח שני חצאי דקל אמרו חכמים תטול השני חצאים שלזה נתכוון והם שקרא דקל, ושוב מעשה באחד שאמר תנו לפלוני בית המחזיק מאה כורין ונמצא הבית שיש לזה המצוה מחזיק מאה ועשרים, ואמרו חכמים זכה בבית זה שהדברים מראין שכוונתו לזה היתה שכל הנותן בעין יפה נותן, וכן כל כיוצא בדברים אלו.</w:t>
      </w:r>
    </w:p>
    <w:p w14:paraId="58B9A78F" w14:textId="483869B3" w:rsidR="003551E7" w:rsidRPr="003551E7" w:rsidRDefault="003551E7" w:rsidP="003551E7">
      <w:pPr>
        <w:pStyle w:val="Style1"/>
      </w:pPr>
      <w:r>
        <w:rPr>
          <w:rFonts w:hint="cs"/>
          <w:rtl/>
        </w:rPr>
        <w:t>8)[</w:t>
      </w:r>
      <w:r>
        <w:rPr>
          <w:rtl/>
        </w:rPr>
        <w:t>שולחן ערוך חושן משפט הלכות מתנת שכיב מרע סימן רנג סעיף כב</w:t>
      </w:r>
      <w:r>
        <w:rPr>
          <w:rFonts w:hint="cs"/>
          <w:rtl/>
        </w:rPr>
        <w:t xml:space="preserve">] </w:t>
      </w:r>
      <w:r w:rsidRPr="003551E7">
        <w:rPr>
          <w:rtl/>
        </w:rPr>
        <w:t>צוה שיתנו דקל לפלוני, והניח שני חצאי דקל -- יטלם, שלזה נתכוון והם שקרא דקל</w:t>
      </w:r>
      <w:r w:rsidRPr="003551E7">
        <w:t>.</w:t>
      </w:r>
    </w:p>
    <w:p w14:paraId="655DF21D" w14:textId="77777777" w:rsidR="003551E7" w:rsidRPr="003551E7" w:rsidRDefault="003551E7" w:rsidP="003551E7">
      <w:pPr>
        <w:pStyle w:val="Style1"/>
      </w:pPr>
      <w:r w:rsidRPr="003551E7">
        <w:rPr>
          <w:rFonts w:hint="cs"/>
          <w:rtl/>
        </w:rPr>
        <w:t>(ואפילו יש לו דקלים שלמים, יכולין יורשין לומר שלזה נתכוון) (טור)</w:t>
      </w:r>
      <w:r w:rsidRPr="003551E7">
        <w:t>.</w:t>
      </w:r>
    </w:p>
    <w:p w14:paraId="15CFBB88" w14:textId="77777777" w:rsidR="003551E7" w:rsidRPr="003551E7" w:rsidRDefault="003551E7" w:rsidP="003551E7">
      <w:pPr>
        <w:pStyle w:val="Style1"/>
      </w:pPr>
    </w:p>
    <w:p w14:paraId="51CA1CC9" w14:textId="5BC6985A" w:rsidR="003551E7" w:rsidRPr="003551E7" w:rsidRDefault="003551E7" w:rsidP="003551E7">
      <w:pPr>
        <w:pStyle w:val="Style1"/>
      </w:pPr>
    </w:p>
    <w:p w14:paraId="59641672" w14:textId="77777777" w:rsidR="003551E7" w:rsidRPr="003551E7" w:rsidRDefault="003551E7" w:rsidP="003551E7">
      <w:pPr>
        <w:pStyle w:val="Style1"/>
      </w:pPr>
    </w:p>
    <w:p w14:paraId="41663502" w14:textId="7C47C6BB" w:rsidR="003551E7" w:rsidRPr="000408AA" w:rsidRDefault="003551E7" w:rsidP="003551E7">
      <w:pPr>
        <w:pStyle w:val="Style1"/>
      </w:pPr>
    </w:p>
    <w:p w14:paraId="50F81504" w14:textId="2BAB77BA" w:rsidR="000408AA" w:rsidRPr="000408AA" w:rsidRDefault="000408AA" w:rsidP="000408AA">
      <w:pPr>
        <w:pStyle w:val="Style1"/>
      </w:pPr>
    </w:p>
    <w:p w14:paraId="62C7A377" w14:textId="5604E7DF" w:rsidR="000C5939" w:rsidRPr="00087F84" w:rsidRDefault="000C5939" w:rsidP="000C5939">
      <w:pPr>
        <w:rPr>
          <w:rStyle w:val="Style1Char"/>
          <w:color w:val="00B050"/>
          <w:sz w:val="22"/>
          <w:szCs w:val="22"/>
          <w:rtl/>
        </w:rPr>
      </w:pPr>
    </w:p>
    <w:p w14:paraId="1FD6ECD1" w14:textId="77777777" w:rsidR="000C5939" w:rsidRPr="00B94F6A" w:rsidRDefault="000C5939" w:rsidP="000C5939">
      <w:pPr>
        <w:bidi/>
        <w:rPr>
          <w:rFonts w:ascii="Arial" w:hAnsi="Arial" w:cs="Arial"/>
          <w:color w:val="4472C4" w:themeColor="accent1"/>
          <w:sz w:val="16"/>
          <w:szCs w:val="16"/>
        </w:rPr>
      </w:pPr>
      <w:r w:rsidRPr="00C44FEF">
        <w:rPr>
          <w:rStyle w:val="Style1Char"/>
          <w:color w:val="auto"/>
          <w:sz w:val="22"/>
          <w:szCs w:val="22"/>
          <w:highlight w:val="yellow"/>
          <w:rtl/>
        </w:rPr>
        <w:lastRenderedPageBreak/>
        <w:t>[דף קי עמוד א]</w:t>
      </w:r>
      <w:r w:rsidRPr="00C44FEF">
        <w:rPr>
          <w:rStyle w:val="Style1Char"/>
          <w:color w:val="auto"/>
          <w:sz w:val="22"/>
          <w:szCs w:val="22"/>
          <w:rtl/>
        </w:rPr>
        <w:t xml:space="preserve"> מתני'. המוציא שטר חוב על חברו, והלה הוציא שמכר לו את השדה, אדמון אומר: יכול הוא שיאמר אילו הייתי חייב לך, היה לך להפרע את שלך כשמכרת לי את השדה</w:t>
      </w:r>
      <w:r>
        <w:rPr>
          <w:rStyle w:val="Style1Char"/>
          <w:rFonts w:hint="cs"/>
          <w:sz w:val="22"/>
          <w:szCs w:val="22"/>
          <w:rtl/>
        </w:rPr>
        <w:t xml:space="preserve"> </w:t>
      </w:r>
      <w:r>
        <w:rPr>
          <w:rFonts w:ascii="Arial" w:hAnsi="Arial" w:cs="Arial" w:hint="cs"/>
          <w:color w:val="4472C4" w:themeColor="accent1"/>
          <w:sz w:val="16"/>
          <w:szCs w:val="16"/>
        </w:rPr>
        <w:t>‍</w:t>
      </w:r>
      <w:r w:rsidRPr="00B94F6A">
        <w:rPr>
          <w:rFonts w:ascii="Arial" w:hAnsi="Arial" w:cs="Arial"/>
          <w:color w:val="4472C4" w:themeColor="accent1"/>
          <w:sz w:val="16"/>
          <w:szCs w:val="16"/>
          <w:rtl/>
        </w:rPr>
        <w:t>הלכך מהימן למימר פרוע הוא ושובר היה לי ואבד או החזרת לי את השטר ונפל ממני ומצאתיו</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אבל מזוייף לא מהימן דאי מקויים הוא לא מצי למימר מזוייף הוא </w:t>
      </w:r>
    </w:p>
    <w:p w14:paraId="1347C693" w14:textId="77777777" w:rsidR="000C5939" w:rsidRPr="00FF6977" w:rsidRDefault="000C5939" w:rsidP="000C5939">
      <w:pPr>
        <w:bidi/>
        <w:rPr>
          <w:rStyle w:val="Style1Char"/>
          <w:color w:val="auto"/>
          <w:sz w:val="22"/>
          <w:szCs w:val="22"/>
          <w:rtl/>
        </w:rPr>
      </w:pPr>
      <w:r w:rsidRPr="00FF6977">
        <w:rPr>
          <w:rStyle w:val="Style1Char"/>
          <w:color w:val="auto"/>
          <w:sz w:val="22"/>
          <w:szCs w:val="22"/>
          <w:rtl/>
        </w:rPr>
        <w:t xml:space="preserve">וחכ"א: זה היה פקח שמכר לו את </w:t>
      </w:r>
      <w:r w:rsidRPr="00B94F6A">
        <w:rPr>
          <w:rFonts w:ascii="Arial" w:hAnsi="Arial" w:cs="Arial"/>
          <w:color w:val="4472C4" w:themeColor="accent1"/>
          <w:sz w:val="16"/>
          <w:szCs w:val="16"/>
          <w:rtl/>
        </w:rPr>
        <w:t xml:space="preserve">השדה </w:t>
      </w:r>
      <w:r w:rsidRPr="00FF6977">
        <w:rPr>
          <w:rStyle w:val="Style1Char"/>
          <w:sz w:val="22"/>
          <w:szCs w:val="22"/>
          <w:rtl/>
        </w:rPr>
        <w:t>הקרקע</w:t>
      </w:r>
      <w:r w:rsidRPr="00FF6977">
        <w:rPr>
          <w:rStyle w:val="Style1Char"/>
          <w:color w:val="auto"/>
          <w:sz w:val="22"/>
          <w:szCs w:val="22"/>
          <w:rtl/>
        </w:rPr>
        <w:t xml:space="preserve">, מפני שהוא יכול למשכנו. </w:t>
      </w:r>
    </w:p>
    <w:p w14:paraId="4399B52B" w14:textId="77777777" w:rsidR="000C5939" w:rsidRPr="00B94F6A" w:rsidRDefault="000C5939" w:rsidP="000C5939">
      <w:pPr>
        <w:bidi/>
        <w:rPr>
          <w:rFonts w:ascii="Arial" w:hAnsi="Arial" w:cs="Arial"/>
          <w:color w:val="4472C4" w:themeColor="accent1"/>
          <w:sz w:val="16"/>
          <w:szCs w:val="16"/>
        </w:rPr>
      </w:pPr>
      <w:r w:rsidRPr="00B94F6A">
        <w:rPr>
          <w:rFonts w:ascii="Arial" w:hAnsi="Arial" w:cs="Arial"/>
          <w:color w:val="4472C4" w:themeColor="accent1"/>
          <w:sz w:val="16"/>
          <w:szCs w:val="16"/>
          <w:rtl/>
        </w:rPr>
        <w:t>ומיירי בשלא היה לו שדה אי נמי אפילו היה לו נכסים אחרים יכול לומר הייתי ירא שמא היו עליך חובות מוקדמין לכך מכרתי לך זה השדה שאם יש עליך חובות מוקדמין אקח אני חלקי משדה זה שמכרתי לך</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דלוה ולוה ואח"כ קנה משועבד לשניהם ה"ר יונה ז"ל</w:t>
      </w:r>
      <w:r w:rsidRPr="00B94F6A">
        <w:rPr>
          <w:rFonts w:ascii="Arial" w:hAnsi="Arial" w:cs="Arial"/>
          <w:color w:val="4472C4" w:themeColor="accent1"/>
          <w:sz w:val="16"/>
          <w:szCs w:val="16"/>
        </w:rPr>
        <w:t>:</w:t>
      </w:r>
    </w:p>
    <w:p w14:paraId="7AC7FC33" w14:textId="05525C9B" w:rsidR="000C5939" w:rsidRPr="003909F4" w:rsidRDefault="000C5939" w:rsidP="000C5939">
      <w:pPr>
        <w:bidi/>
        <w:rPr>
          <w:rStyle w:val="Style1Char"/>
          <w:color w:val="auto"/>
          <w:sz w:val="22"/>
          <w:szCs w:val="22"/>
          <w:rtl/>
        </w:rPr>
      </w:pPr>
      <w:r w:rsidRPr="008A423E">
        <w:rPr>
          <w:rStyle w:val="Style1Char"/>
          <w:sz w:val="22"/>
          <w:szCs w:val="22"/>
          <w:rtl/>
        </w:rPr>
        <w:t>גמ'.</w:t>
      </w:r>
      <w:r w:rsidRPr="001C3C1D">
        <w:rPr>
          <w:rStyle w:val="Style1Char"/>
          <w:color w:val="00B050"/>
          <w:rtl/>
        </w:rPr>
        <w:t xml:space="preserve"> מ"ט דרבנן? שפיר קאמר אדמון! </w:t>
      </w:r>
      <w:r w:rsidR="003551E7">
        <w:rPr>
          <w:rStyle w:val="Style1Char"/>
          <w:rFonts w:hint="cs"/>
          <w:rtl/>
        </w:rPr>
        <w:t>(1)</w:t>
      </w:r>
      <w:r w:rsidRPr="007D6C37">
        <w:rPr>
          <w:rStyle w:val="Style1Char"/>
          <w:color w:val="auto"/>
          <w:sz w:val="22"/>
          <w:szCs w:val="22"/>
          <w:rtl/>
        </w:rPr>
        <w:t xml:space="preserve">באתרא דיהבי זוזי והדר כתבי שטרא - כ"ע לא פליגי דמצי א"ל היה לך לפרוע את שלך </w:t>
      </w:r>
      <w:r w:rsidRPr="001C3C1D">
        <w:rPr>
          <w:rStyle w:val="Style1Char"/>
          <w:color w:val="00B050"/>
          <w:rtl/>
        </w:rPr>
        <w:t>כשמכרת לי את השדה</w:t>
      </w:r>
      <w:r w:rsidRPr="006A7AB9">
        <w:rPr>
          <w:rStyle w:val="Style1Char"/>
          <w:sz w:val="22"/>
          <w:szCs w:val="22"/>
          <w:rtl/>
        </w:rPr>
        <w:t xml:space="preserve">, </w:t>
      </w:r>
      <w:r w:rsidRPr="003909F4">
        <w:rPr>
          <w:rStyle w:val="Style1Char"/>
          <w:color w:val="auto"/>
          <w:sz w:val="22"/>
          <w:szCs w:val="22"/>
          <w:rtl/>
        </w:rPr>
        <w:t>כי פליגי - באתרא דכתבי שטרא והדר יהבי זוזי, אדמון סבר: איבעי ליה למימסר מודעא</w:t>
      </w:r>
      <w:r w:rsidRPr="006A7AB9">
        <w:rPr>
          <w:rFonts w:ascii="Arial" w:hAnsi="Arial" w:cs="Arial"/>
          <w:color w:val="C00000"/>
          <w:sz w:val="16"/>
          <w:szCs w:val="16"/>
          <w:rtl/>
        </w:rPr>
        <w:t xml:space="preserve"> </w:t>
      </w:r>
      <w:r w:rsidRPr="006A7AB9">
        <w:rPr>
          <w:rFonts w:ascii="Arial" w:hAnsi="Arial" w:cs="Arial"/>
          <w:color w:val="C00000"/>
          <w:rtl/>
        </w:rPr>
        <w:t>אשטרא</w:t>
      </w:r>
      <w:r w:rsidRPr="006A7AB9">
        <w:rPr>
          <w:rStyle w:val="Style1Char"/>
          <w:sz w:val="22"/>
          <w:szCs w:val="22"/>
          <w:rtl/>
        </w:rPr>
        <w:t xml:space="preserve">, </w:t>
      </w:r>
      <w:r w:rsidRPr="003909F4">
        <w:rPr>
          <w:rStyle w:val="Style1Char"/>
          <w:color w:val="auto"/>
          <w:sz w:val="22"/>
          <w:szCs w:val="22"/>
          <w:rtl/>
        </w:rPr>
        <w:t xml:space="preserve">ורבנן סברי: </w:t>
      </w:r>
      <w:r w:rsidR="003551E7">
        <w:rPr>
          <w:rStyle w:val="Style1Char"/>
          <w:rFonts w:hint="cs"/>
          <w:rtl/>
        </w:rPr>
        <w:t>(1)</w:t>
      </w:r>
      <w:r w:rsidRPr="003909F4">
        <w:rPr>
          <w:rStyle w:val="Style1Char"/>
          <w:color w:val="auto"/>
          <w:sz w:val="22"/>
          <w:szCs w:val="22"/>
          <w:rtl/>
        </w:rPr>
        <w:t>חברך חברא אית ליה, וחברא דחברך חברא אית ליה.</w:t>
      </w:r>
    </w:p>
    <w:p w14:paraId="6523189A" w14:textId="10E58F81" w:rsidR="000C5939" w:rsidRPr="006E484B" w:rsidRDefault="000C5939" w:rsidP="000C5939">
      <w:pPr>
        <w:bidi/>
        <w:rPr>
          <w:rStyle w:val="Style1Char"/>
          <w:color w:val="auto"/>
          <w:sz w:val="22"/>
          <w:szCs w:val="22"/>
        </w:rPr>
      </w:pPr>
      <w:r w:rsidRPr="006E484B">
        <w:rPr>
          <w:rFonts w:ascii="Arial" w:hAnsi="Arial" w:cs="Arial" w:hint="cs"/>
          <w:sz w:val="16"/>
          <w:szCs w:val="16"/>
        </w:rPr>
        <w:t>‍</w:t>
      </w:r>
      <w:r w:rsidRPr="006E484B">
        <w:rPr>
          <w:rStyle w:val="Style1Char"/>
          <w:color w:val="auto"/>
          <w:sz w:val="22"/>
          <w:szCs w:val="22"/>
          <w:rtl/>
        </w:rPr>
        <w:t xml:space="preserve">מתני'. שנים שהוציאו שטר חוב זה על זה, אדמון אומר: אילו הייתי חייב לך כיצד אתה לוה ממני? וחכ"א: </w:t>
      </w:r>
      <w:r w:rsidR="00707D39">
        <w:rPr>
          <w:rStyle w:val="Style1Char"/>
          <w:rFonts w:hint="cs"/>
          <w:rtl/>
        </w:rPr>
        <w:t>(2)</w:t>
      </w:r>
      <w:r w:rsidRPr="006E484B">
        <w:rPr>
          <w:rStyle w:val="Style1Char"/>
          <w:color w:val="auto"/>
          <w:sz w:val="22"/>
          <w:szCs w:val="22"/>
          <w:rtl/>
        </w:rPr>
        <w:t xml:space="preserve">זה גובה שטר חובו, וזה גובה שטר חובו. </w:t>
      </w:r>
    </w:p>
    <w:p w14:paraId="0E73B154" w14:textId="1DD6D25D" w:rsidR="000C5939" w:rsidRPr="0094012B" w:rsidRDefault="000C5939" w:rsidP="000C5939">
      <w:pPr>
        <w:bidi/>
        <w:rPr>
          <w:rStyle w:val="Style1Char"/>
          <w:color w:val="806000" w:themeColor="accent4" w:themeShade="80"/>
          <w:sz w:val="22"/>
          <w:szCs w:val="22"/>
          <w:rtl/>
        </w:rPr>
      </w:pPr>
      <w:r w:rsidRPr="000C6FD3">
        <w:rPr>
          <w:rStyle w:val="Style1Char"/>
          <w:color w:val="auto"/>
          <w:sz w:val="22"/>
          <w:szCs w:val="22"/>
          <w:rtl/>
        </w:rPr>
        <w:t xml:space="preserve">גמ'. אתמר: שנים שהוציאו שטר חוב זה על זה, רב נחמן אמר: זה גובה וזה גובה; רב ששת אמר: הפוכי מטרתא למה לי? אלא זה עומד בשלו וזה עומד בשלו. </w:t>
      </w:r>
      <w:r w:rsidR="00707D39">
        <w:rPr>
          <w:rStyle w:val="Style1Char"/>
          <w:rFonts w:hint="cs"/>
          <w:rtl/>
        </w:rPr>
        <w:t>(2)</w:t>
      </w:r>
      <w:r w:rsidRPr="000C6FD3">
        <w:rPr>
          <w:rStyle w:val="Style1Char"/>
          <w:color w:val="auto"/>
          <w:sz w:val="22"/>
          <w:szCs w:val="22"/>
          <w:rtl/>
        </w:rPr>
        <w:t>דכולי עלמא - עידית ועידית, בינונית ובינונית, זיבורית וזיבורית</w:t>
      </w:r>
      <w:r w:rsidRPr="001C3C1D">
        <w:rPr>
          <w:rStyle w:val="Style1Char"/>
          <w:color w:val="00B050"/>
          <w:rtl/>
        </w:rPr>
        <w:t xml:space="preserve">, </w:t>
      </w:r>
      <w:r w:rsidRPr="007176F7">
        <w:rPr>
          <w:rStyle w:val="Style1Char"/>
          <w:color w:val="ED7D31" w:themeColor="accent2"/>
          <w:rtl/>
        </w:rPr>
        <w:t xml:space="preserve">ודאי </w:t>
      </w:r>
      <w:r w:rsidRPr="000C6FD3">
        <w:rPr>
          <w:rStyle w:val="Style1Char"/>
          <w:color w:val="auto"/>
          <w:sz w:val="22"/>
          <w:szCs w:val="22"/>
          <w:rtl/>
        </w:rPr>
        <w:t xml:space="preserve">הפוכי מטרתא הוא, כי פליגי </w:t>
      </w:r>
      <w:r w:rsidRPr="003F51E5">
        <w:rPr>
          <w:rStyle w:val="Style1Char"/>
          <w:sz w:val="22"/>
          <w:szCs w:val="22"/>
          <w:rtl/>
        </w:rPr>
        <w:t xml:space="preserve">- </w:t>
      </w:r>
      <w:r w:rsidRPr="00F3412D">
        <w:rPr>
          <w:rStyle w:val="Style1Char"/>
          <w:color w:val="00B050"/>
          <w:rtl/>
        </w:rPr>
        <w:t xml:space="preserve">דאית ליה לחד בינונית ולחד זיבורית, רב נחמן סבר </w:t>
      </w:r>
      <w:r w:rsidRPr="001C3C1D">
        <w:rPr>
          <w:rStyle w:val="Style1Char"/>
          <w:color w:val="00B050"/>
          <w:rtl/>
        </w:rPr>
        <w:t xml:space="preserve">זה גובה וזה גובה, קסבר: בשלו הן שמין, אתי בעל זיבורית וגבי ליה לבינונית דהוה גביה עידית, ואתא ההוא ושקיל זיבורית; ורב ששת אמר הפוכי מטרתא למה לי, </w:t>
      </w:r>
      <w:r w:rsidRPr="0094012B">
        <w:rPr>
          <w:rStyle w:val="Style1Char"/>
          <w:color w:val="00B050"/>
          <w:rtl/>
        </w:rPr>
        <w:t>קסבר: בשל</w:t>
      </w:r>
      <w:r w:rsidRPr="007F7535">
        <w:rPr>
          <w:rStyle w:val="Style1Char"/>
          <w:color w:val="C00000"/>
          <w:sz w:val="22"/>
          <w:szCs w:val="22"/>
          <w:rtl/>
        </w:rPr>
        <w:t xml:space="preserve"> </w:t>
      </w:r>
      <w:r w:rsidRPr="001C3C1D">
        <w:rPr>
          <w:rStyle w:val="Style1Char"/>
          <w:color w:val="00B050"/>
          <w:rtl/>
        </w:rPr>
        <w:t xml:space="preserve">כל אדם </w:t>
      </w:r>
      <w:r w:rsidRPr="0094012B">
        <w:rPr>
          <w:rStyle w:val="Style1Char"/>
          <w:color w:val="00B050"/>
          <w:rtl/>
        </w:rPr>
        <w:t>הן שמין</w:t>
      </w:r>
      <w:r w:rsidRPr="001C3C1D">
        <w:rPr>
          <w:rStyle w:val="Style1Char"/>
          <w:color w:val="00B050"/>
          <w:rtl/>
        </w:rPr>
        <w:t xml:space="preserve">, סוף סוף כי אתי ההוא - בינונית דנפשיה קשקיל. ולרב נחמן, מאי חזית דאתי בעל זיבורית ברישא? ליתי בעל בינונית ברישא וליגבי זיבורית, וליהדר וליגבי ניהליה! לא צריכא, דקדים תבעיה. סוף סוף כי אתו למגבי - בהדי הדדי קאתו! אלא לא צריכא, </w:t>
      </w:r>
      <w:r w:rsidRPr="0094012B">
        <w:rPr>
          <w:rStyle w:val="Style1Char"/>
          <w:color w:val="auto"/>
          <w:sz w:val="22"/>
          <w:szCs w:val="22"/>
          <w:rtl/>
        </w:rPr>
        <w:t>דאית ליה לחד עידית ובינונית ואית ליה לחד זיבורית</w:t>
      </w:r>
      <w:r w:rsidRPr="00416F37">
        <w:rPr>
          <w:rStyle w:val="Style1Char"/>
          <w:sz w:val="22"/>
          <w:szCs w:val="22"/>
          <w:rtl/>
        </w:rPr>
        <w:t xml:space="preserve">, </w:t>
      </w:r>
      <w:r w:rsidRPr="00F3412D">
        <w:rPr>
          <w:rStyle w:val="Style1Char"/>
          <w:color w:val="00B050"/>
          <w:rtl/>
        </w:rPr>
        <w:t xml:space="preserve">מר </w:t>
      </w:r>
      <w:r w:rsidRPr="0094012B">
        <w:rPr>
          <w:rFonts w:ascii="Arial" w:hAnsi="Arial" w:cs="Arial"/>
          <w:color w:val="806000" w:themeColor="accent4" w:themeShade="80"/>
          <w:rtl/>
        </w:rPr>
        <w:t xml:space="preserve">רב נחמן </w:t>
      </w:r>
      <w:r w:rsidRPr="0094012B">
        <w:rPr>
          <w:rStyle w:val="Style1Char"/>
          <w:color w:val="auto"/>
          <w:sz w:val="22"/>
          <w:szCs w:val="22"/>
          <w:rtl/>
        </w:rPr>
        <w:t>סבר: בשלו הן שמין</w:t>
      </w:r>
      <w:r w:rsidRPr="00416F37">
        <w:rPr>
          <w:rStyle w:val="Style1Char"/>
          <w:sz w:val="22"/>
          <w:szCs w:val="22"/>
          <w:rtl/>
        </w:rPr>
        <w:t xml:space="preserve">, </w:t>
      </w:r>
      <w:r w:rsidRPr="00F3412D">
        <w:rPr>
          <w:rStyle w:val="Style1Char"/>
          <w:color w:val="00B050"/>
          <w:rtl/>
        </w:rPr>
        <w:t xml:space="preserve">ומר </w:t>
      </w:r>
      <w:r w:rsidRPr="0094012B">
        <w:rPr>
          <w:rFonts w:ascii="Arial" w:hAnsi="Arial" w:cs="Arial"/>
          <w:color w:val="806000" w:themeColor="accent4" w:themeShade="80"/>
          <w:rtl/>
        </w:rPr>
        <w:t xml:space="preserve">ורב ששת </w:t>
      </w:r>
      <w:r w:rsidRPr="0094012B">
        <w:rPr>
          <w:rStyle w:val="Style1Char"/>
          <w:color w:val="auto"/>
          <w:sz w:val="22"/>
          <w:szCs w:val="22"/>
          <w:rtl/>
        </w:rPr>
        <w:t xml:space="preserve">סבר: בשל כל אדם הן </w:t>
      </w:r>
      <w:r w:rsidRPr="0094012B">
        <w:rPr>
          <w:rStyle w:val="Style1Char"/>
          <w:color w:val="806000" w:themeColor="accent4" w:themeShade="80"/>
          <w:sz w:val="22"/>
          <w:szCs w:val="22"/>
          <w:rtl/>
        </w:rPr>
        <w:t>שמין</w:t>
      </w:r>
      <w:r w:rsidRPr="0094012B">
        <w:rPr>
          <w:rFonts w:ascii="Arial" w:hAnsi="Arial" w:cs="Arial"/>
          <w:color w:val="806000" w:themeColor="accent4" w:themeShade="80"/>
          <w:sz w:val="16"/>
          <w:szCs w:val="16"/>
          <w:rtl/>
        </w:rPr>
        <w:t xml:space="preserve"> </w:t>
      </w:r>
      <w:r w:rsidRPr="0094012B">
        <w:rPr>
          <w:rFonts w:ascii="Arial" w:hAnsi="Arial" w:cs="Arial"/>
          <w:color w:val="806000" w:themeColor="accent4" w:themeShade="80"/>
          <w:rtl/>
        </w:rPr>
        <w:t>וקי"ל הלכתא כרב נחמן בדיני</w:t>
      </w:r>
      <w:r w:rsidRPr="0094012B">
        <w:rPr>
          <w:rFonts w:ascii="Arial" w:hAnsi="Arial" w:cs="Arial"/>
          <w:color w:val="806000" w:themeColor="accent4" w:themeShade="80"/>
        </w:rPr>
        <w:t>:</w:t>
      </w:r>
      <w:r w:rsidRPr="0094012B">
        <w:rPr>
          <w:rStyle w:val="Style1Char"/>
          <w:color w:val="806000" w:themeColor="accent4" w:themeShade="80"/>
          <w:sz w:val="22"/>
          <w:szCs w:val="22"/>
          <w:rtl/>
        </w:rPr>
        <w:t>.</w:t>
      </w:r>
    </w:p>
    <w:p w14:paraId="07668DC7" w14:textId="39B8155D" w:rsidR="000C5939" w:rsidRDefault="000C5939" w:rsidP="000C5939">
      <w:pPr>
        <w:bidi/>
        <w:rPr>
          <w:rStyle w:val="Style1Char"/>
          <w:color w:val="00B050"/>
          <w:rtl/>
        </w:rPr>
      </w:pPr>
      <w:r w:rsidRPr="001C3C1D">
        <w:rPr>
          <w:rStyle w:val="Style1Char"/>
          <w:color w:val="00B050"/>
          <w:rtl/>
        </w:rPr>
        <w:t xml:space="preserve">תנן, וחכ"א: זה גובה וזה גובה! תרגמה רב נחמן אליבא דרב ששת: </w:t>
      </w:r>
      <w:r w:rsidR="00707D39">
        <w:rPr>
          <w:rStyle w:val="Style1Char"/>
          <w:rFonts w:hint="cs"/>
          <w:rtl/>
        </w:rPr>
        <w:t>(2)</w:t>
      </w:r>
      <w:r w:rsidRPr="001C3C1D">
        <w:rPr>
          <w:rStyle w:val="Style1Char"/>
          <w:color w:val="00B050"/>
          <w:rtl/>
        </w:rPr>
        <w:t xml:space="preserve">כגון שלוה זה לעשר וזה לחמש. ה"ד? אילימא ראשון לעשר ושני לחמש, בהא לימא אדמון אילו הייתי חייב לך כיצד אתה לוה ממני? הא לא מטא זמניה! אלא ראשון לחמש ושני לעשר, ה"ד? אי דמטא זמניה, מ"ט דרבנן? ואי דלא מטא זמניה, הא לא מטא זמניה, ומ"ט דאדמון? לא צריכא, דאתא בההוא יומא דמשלם חמש, מר סבר: </w:t>
      </w:r>
      <w:r w:rsidR="00707D39">
        <w:rPr>
          <w:rStyle w:val="Style1Char"/>
          <w:rFonts w:hint="cs"/>
          <w:rtl/>
        </w:rPr>
        <w:t>(2)</w:t>
      </w:r>
      <w:r w:rsidRPr="001C3C1D">
        <w:rPr>
          <w:rStyle w:val="Style1Char"/>
          <w:color w:val="00B050"/>
          <w:rtl/>
        </w:rPr>
        <w:t xml:space="preserve">עביד איניש דיזיף ליומיה, ומ"ס: לא עביד איניש דיזיף ליומיה. רמי בר חמא אמר: הכא ביתמי עסקינן, דיתמי מיגבא גבי, אגבויי לא מגבינן מינייהו. והא זה גובה וזה גובה קתני! זה גובה, וזה ראוי לגבות ואין לו. אמר רבא, שתי תשובות בדבר: חדא, דזה גובה וזה גובה קתני! ועוד, לגבינהו ארעא ליתמי וליהדר וליגבינהו מינייהו, כדרב נחמן, דאמר ר"נ אמר רבה בר אבוה: יתומים שגבו קרקע בחובת אביהן, בעל חוב חוזר וגובה אותן מהן! קשיא. ולוקמה דאית להו ליתמי זיבורית, ואית ליה לדידיה עידית ובינונית, דאזלי יתמי גבו בינונית ומגבו ליה זיבורית, דאי נמי בשל כל אדם הן שמין, הא אין נפרעין מנכסי יתומים אלא מזיבורית! </w:t>
      </w:r>
      <w:r w:rsidR="005E67AE">
        <w:rPr>
          <w:rStyle w:val="Style1Char"/>
          <w:rFonts w:hint="cs"/>
          <w:rtl/>
        </w:rPr>
        <w:t>(3)</w:t>
      </w:r>
      <w:r w:rsidRPr="001C3C1D">
        <w:rPr>
          <w:rStyle w:val="Style1Char"/>
          <w:color w:val="00B050"/>
          <w:rtl/>
        </w:rPr>
        <w:t xml:space="preserve">הני מילי היכא דלא תפס, אבל היכא דתפס - תפס. </w:t>
      </w:r>
    </w:p>
    <w:p w14:paraId="0459CFDB" w14:textId="52ED2037" w:rsidR="000C5939" w:rsidRPr="001155FB" w:rsidRDefault="000C5939" w:rsidP="000C5939">
      <w:pPr>
        <w:bidi/>
        <w:rPr>
          <w:rStyle w:val="Style1Char"/>
          <w:color w:val="auto"/>
          <w:sz w:val="22"/>
          <w:szCs w:val="22"/>
          <w:rtl/>
        </w:rPr>
      </w:pPr>
      <w:r w:rsidRPr="001155FB">
        <w:rPr>
          <w:rStyle w:val="Style1Char"/>
          <w:color w:val="auto"/>
          <w:sz w:val="22"/>
          <w:szCs w:val="22"/>
          <w:rtl/>
        </w:rPr>
        <w:t xml:space="preserve">מתני'. </w:t>
      </w:r>
      <w:r w:rsidR="00707D39">
        <w:rPr>
          <w:rStyle w:val="Style1Char"/>
          <w:rFonts w:hint="cs"/>
          <w:rtl/>
        </w:rPr>
        <w:t>(</w:t>
      </w:r>
      <w:r w:rsidR="005E67AE">
        <w:rPr>
          <w:rStyle w:val="Style1Char"/>
          <w:rFonts w:hint="cs"/>
          <w:rtl/>
        </w:rPr>
        <w:t>4</w:t>
      </w:r>
      <w:r w:rsidR="00707D39">
        <w:rPr>
          <w:rStyle w:val="Style1Char"/>
          <w:rFonts w:hint="cs"/>
          <w:rtl/>
        </w:rPr>
        <w:t>)</w:t>
      </w:r>
      <w:r w:rsidRPr="001155FB">
        <w:rPr>
          <w:rStyle w:val="Style1Char"/>
          <w:color w:val="auto"/>
          <w:sz w:val="22"/>
          <w:szCs w:val="22"/>
          <w:rtl/>
        </w:rPr>
        <w:t xml:space="preserve">שלש ארצות לנשואין: יהודה, ועבר הירדן, והגליל; אין מוציאין מעיר לעיר ומכרך לכרך, אבל באותה הארץ מוציאין מעיר לעיר ומכרך לכרך, </w:t>
      </w:r>
    </w:p>
    <w:p w14:paraId="7FBCB299" w14:textId="5BF20FBB" w:rsidR="00707D39" w:rsidRDefault="00707D39" w:rsidP="00707D39">
      <w:pPr>
        <w:pStyle w:val="Style1"/>
        <w:rPr>
          <w:rStyle w:val="Style1Char"/>
          <w:rtl/>
        </w:rPr>
      </w:pPr>
      <w:r>
        <w:rPr>
          <w:rStyle w:val="Style1Char"/>
          <w:rFonts w:hint="cs"/>
          <w:rtl/>
        </w:rPr>
        <w:t>1)[</w:t>
      </w:r>
      <w:r w:rsidR="0057095E">
        <w:rPr>
          <w:rStyle w:val="Style1Char"/>
          <w:rtl/>
        </w:rPr>
        <w:t xml:space="preserve">רמב”ם \משפטים\ הלכות מלוה </w:t>
      </w:r>
      <w:r w:rsidRPr="00707D39">
        <w:rPr>
          <w:rStyle w:val="Style1Char"/>
          <w:rtl/>
        </w:rPr>
        <w:t>ולוה פרק כד הלכה יא</w:t>
      </w:r>
      <w:r>
        <w:rPr>
          <w:rStyle w:val="Style1Char"/>
          <w:rFonts w:hint="cs"/>
          <w:rtl/>
        </w:rPr>
        <w:t xml:space="preserve">] </w:t>
      </w:r>
      <w:r w:rsidRPr="00707D39">
        <w:rPr>
          <w:rStyle w:val="Style1Char"/>
          <w:rtl/>
        </w:rPr>
        <w:t>הוציא שטר חוב על חבירו והלה מוציא שטר שמכר לו השדה אם היו במקום שנותן הלוקח המעות ואח"כ כותב לו המוכר את השטר הרי שטר חובו של זה בטל שהרי אומר לו אילו הייתי חייב לך היה לך לפרוע חובך, אבל במקום שכותבין ואחר כך נותנין הרי שטר החוב קיים שהרי זה אומר מכרתי לך את השדה כדי שיהיה לך נכסים ידועים שאגבה מהן חוב שלי.</w:t>
      </w:r>
    </w:p>
    <w:p w14:paraId="61226283" w14:textId="6D64B262" w:rsidR="000E588F" w:rsidRDefault="00707D39" w:rsidP="000E588F">
      <w:pPr>
        <w:pStyle w:val="Style1"/>
        <w:rPr>
          <w:rtl/>
        </w:rPr>
      </w:pPr>
      <w:r>
        <w:rPr>
          <w:rStyle w:val="Style1Char"/>
          <w:rFonts w:hint="cs"/>
          <w:rtl/>
        </w:rPr>
        <w:t>1)[</w:t>
      </w:r>
      <w:r w:rsidRPr="00707D39">
        <w:rPr>
          <w:rStyle w:val="Style1Char"/>
          <w:rtl/>
        </w:rPr>
        <w:t>שולחן ערוך חושן משפט הלכות טוען ונטען סימן פה סעיף א</w:t>
      </w:r>
      <w:r>
        <w:rPr>
          <w:rStyle w:val="Style1Char"/>
          <w:rFonts w:hint="cs"/>
          <w:rtl/>
        </w:rPr>
        <w:t>]</w:t>
      </w:r>
      <w:r w:rsidR="000E588F">
        <w:rPr>
          <w:rStyle w:val="Style1Char"/>
          <w:rFonts w:hint="cs"/>
          <w:rtl/>
        </w:rPr>
        <w:t xml:space="preserve"> </w:t>
      </w:r>
      <w:r w:rsidR="000E588F" w:rsidRPr="000E588F">
        <w:rPr>
          <w:rtl/>
        </w:rPr>
        <w:t>ראובן שהוציא שטר חוב על שמעון ושמעון הוציא שטר שראובן מכר לו שדהו אחר שהגיע זמן שטרו ואומר אלו חייב הייתי לך היה לך ליפרע ממני ולא למכור לי שדך אם הוא במקום שנוהגין שמי שקונה שדה נותן מעות ואח"כ כותבין לו שטר טענתו טענה שלא היה לו לכתוב שטר המכירה אחר שקבל המעות ונאמן הלוה לומר פרעתי ושובר היה לי ואבד ואפילו שיש בו נאמנות ואם אומר מזוייף הוא יש מי שאומר שאינו נאמן כיון שהוא מקויים וי"א שהוא נאמן ואם עדיין לא הגיע זמן שטרו אין טענתו טענה ואם הוא במקום שכותבין שטר ואח"כ נותנים מעות אע"פ שהגיע זמנו אין טענתו טענה שזה יאמר לא מכרתי לך השדה אלא כדי שיהיה לי ממה לגבות חובי</w:t>
      </w:r>
      <w:r w:rsidR="000E588F" w:rsidRPr="000E588F">
        <w:t>:</w:t>
      </w:r>
    </w:p>
    <w:p w14:paraId="4B1C5CA7" w14:textId="252C5A57" w:rsidR="000E588F" w:rsidRDefault="000E588F" w:rsidP="000E588F">
      <w:pPr>
        <w:pStyle w:val="Style1"/>
        <w:rPr>
          <w:rStyle w:val="Style1Char"/>
          <w:rtl/>
        </w:rPr>
      </w:pPr>
      <w:r>
        <w:rPr>
          <w:rStyle w:val="Style1Char"/>
          <w:rFonts w:hint="cs"/>
          <w:rtl/>
        </w:rPr>
        <w:t>2)[</w:t>
      </w:r>
      <w:r w:rsidR="0057095E">
        <w:rPr>
          <w:rStyle w:val="Style1Char"/>
          <w:rtl/>
        </w:rPr>
        <w:t xml:space="preserve">רמב”ם \משפטים\ הלכות מלוה </w:t>
      </w:r>
      <w:r w:rsidRPr="000E588F">
        <w:rPr>
          <w:rStyle w:val="Style1Char"/>
          <w:rtl/>
        </w:rPr>
        <w:t>ולוה פרק כד הלכה י</w:t>
      </w:r>
      <w:r>
        <w:rPr>
          <w:rStyle w:val="Style1Char"/>
          <w:rFonts w:hint="cs"/>
          <w:rtl/>
        </w:rPr>
        <w:t xml:space="preserve">] </w:t>
      </w:r>
      <w:r w:rsidRPr="000E588F">
        <w:rPr>
          <w:rStyle w:val="Style1Char"/>
          <w:rtl/>
        </w:rPr>
        <w:t>שנים שהוציאו כל אחד משניהם שטר חוב על חבירו אין האחרון יכול לומר לראשון אילו הייתי חייב לך היאך אתה לוה ממני אלא זה גובה חובו וזה גובה חובו, היה זה במאה וזה במאה ויש לזה עידית ולזה עידית או לזה בינונית ולזה בינונית לזה זיבורית ולזה זיבורית אין נזקקין להן אלא כל אחד ואחד עומד בשלו, היה לזה עידית ובינונית ולזה זיבורית זה גובה מן הבינונית וזה גובה מן הזיבורית.</w:t>
      </w:r>
    </w:p>
    <w:p w14:paraId="6BA9E54A" w14:textId="1434F9DC" w:rsidR="000E588F" w:rsidRPr="000E588F" w:rsidRDefault="000E588F" w:rsidP="000E588F">
      <w:pPr>
        <w:pStyle w:val="Style1"/>
      </w:pPr>
      <w:r>
        <w:rPr>
          <w:rStyle w:val="Style1Char"/>
          <w:rFonts w:hint="cs"/>
          <w:rtl/>
        </w:rPr>
        <w:t>2)[</w:t>
      </w:r>
      <w:r w:rsidRPr="000E588F">
        <w:rPr>
          <w:rStyle w:val="Style1Char"/>
          <w:rtl/>
        </w:rPr>
        <w:t>שולחן ערוך חושן משפט הלכות טוען ונטען סימן פה סעיף ג</w:t>
      </w:r>
      <w:r>
        <w:rPr>
          <w:rStyle w:val="Style1Char"/>
          <w:rFonts w:hint="cs"/>
          <w:rtl/>
        </w:rPr>
        <w:t xml:space="preserve">] </w:t>
      </w:r>
      <w:r w:rsidRPr="000E588F">
        <w:rPr>
          <w:rtl/>
        </w:rPr>
        <w:t>ראובן הוציא שטר על שמעון ושמעון על ראובן מאוחר לשטרו של ראובן והגיע זמן הפרעון של ראובן קודם שלוה משמעון יכול שמעון לומר לראובן אלו הייתי חייב לך לא היה לך ללות ממני אלא היה לך ליפרע מחובך</w:t>
      </w:r>
    </w:p>
    <w:p w14:paraId="6FCE2730" w14:textId="77777777" w:rsidR="000E588F" w:rsidRPr="000E588F" w:rsidRDefault="000E588F" w:rsidP="000E588F">
      <w:pPr>
        <w:pStyle w:val="Style1"/>
      </w:pPr>
      <w:r w:rsidRPr="000E588F">
        <w:rPr>
          <w:rFonts w:hint="cs"/>
          <w:rtl/>
        </w:rPr>
        <w:t>הגה: ודוקא שהשטר ברור אבל אם יש טענה על השטר כגון שיש בו חשש אסמכתא או כדומה יכול לומר הייתי מתיירא שא"א לי לגבות בשטרי מכח אסמכתא על כן הוצרכתי ללות כי לא היה לי פנאי לדון לנגוש אותך (תשו' הרא"ש כלל מ"ב סי' ב')</w:t>
      </w:r>
    </w:p>
    <w:p w14:paraId="7B5FCC78" w14:textId="77777777" w:rsidR="00833979" w:rsidRDefault="000E588F" w:rsidP="000E588F">
      <w:pPr>
        <w:pStyle w:val="Style1"/>
        <w:rPr>
          <w:rtl/>
        </w:rPr>
      </w:pPr>
      <w:r w:rsidRPr="000E588F">
        <w:rPr>
          <w:rtl/>
        </w:rPr>
        <w:t xml:space="preserve">ויש מי שאומר דלא שנא באתרא דיהבי זוזי והדר כתבי שטרא ול"ש באתרא דכתבי שטרא והדר יהבי זוזי וי"א דה"מ באתרא דיהבי זוזי והדר כתבי שטרא ואפילו אם יש לראובן זבורית ולשמעון עידית אינו יכול לומר לויתי ממך כדי שאגבה ממך עידית ואגבה אותך הזבורית ואם הוא באתרא דכתבי שטרא והדר יהבי זוזי אינו יכול לומר לו היה לך ליפרע מחובך אלא כל אחד גובה חובו ומיהו אם יש לשניהם עידית או בינונית או זיבורית או שיש לאחד עידית או בינונית ולשני זיבורית עומד כל אחד בשלו וכן אם יש לזה בינונית וזיבורית ולזה זיבורית עומד כל אחד בשלו אבל אם יש לזה עידית ובינונית ולזה זבורית זה גובה וזה גובה ואם זמן השטר שמוציא שמעון על ראובן היה קודם שהגיע זמנו של שטר של ראובן אז בכל ענין יעמוד כל אחד בשלו שאין יכול לומר היה לך ליפרע מחובך שהרי עדיין לא הגיע זמנו אפילו היה ביום אחרון כגון שראובן הלוה לשמעון בשטר לחמשה שנים וביום שנשלמו </w:t>
      </w:r>
    </w:p>
    <w:p w14:paraId="52C25E70" w14:textId="12DB1FCE" w:rsidR="000E588F" w:rsidRPr="000E588F" w:rsidRDefault="000E588F" w:rsidP="00833979">
      <w:pPr>
        <w:pStyle w:val="Style1"/>
      </w:pPr>
      <w:r w:rsidRPr="000E588F">
        <w:rPr>
          <w:rtl/>
        </w:rPr>
        <w:t>הה' שנים בא ראובן ולוה משמעון לעשר שנים אין שמעון יכול לומר לראובן אלו חייב הייתי לך למה שעבדת עצמך בשביל יום אחד וגובה זה שלו לסוף חמש שנים וזה שלו לסוף י' שנים</w:t>
      </w:r>
      <w:r w:rsidRPr="000E588F">
        <w:t>:</w:t>
      </w:r>
    </w:p>
    <w:p w14:paraId="05ADCE3A" w14:textId="19A2DCF1" w:rsidR="000E588F" w:rsidRDefault="000E588F" w:rsidP="000E588F">
      <w:pPr>
        <w:pStyle w:val="Style1"/>
        <w:rPr>
          <w:rtl/>
        </w:rPr>
      </w:pPr>
      <w:r w:rsidRPr="000E588F">
        <w:rPr>
          <w:rFonts w:hint="cs"/>
          <w:rtl/>
        </w:rPr>
        <w:t>הגה: ראובן שתובע משמעון לשלם לו והשיב לו שמעון הלא אתה פרעת לי זה השבוע ולמה לא עכבת בחובך וראובן אומר האמנתיך נאמן במיגו דיוכל לומר לא פרעתיך או עדיין לא הגיע זמני אז שתפרעני (מרדכי פ' ב' דייני גזירות) אשה שהקדישה נכסיה וצותה שידורו בנותיה בבתים ויתנו שכירות ואח"כ הביאה בת אחת שטר מתנה מוקדם לשטר מתנה של הקדש ושאר היורשים אומרים אילו היה שטרך אמת למה נתת שכירות אם הבת נותנת אמתלא על השכירות הדין עמה ואם לאו הדין עם היורשין (תשו' הרא"ש כלל ע' סי' ב')</w:t>
      </w:r>
      <w:r w:rsidRPr="000E588F">
        <w:t>:</w:t>
      </w:r>
    </w:p>
    <w:p w14:paraId="1802BB88" w14:textId="5112A210" w:rsidR="00833979" w:rsidRDefault="00833979" w:rsidP="00833979">
      <w:pPr>
        <w:pStyle w:val="Style1"/>
        <w:rPr>
          <w:rtl/>
        </w:rPr>
      </w:pPr>
      <w:r>
        <w:rPr>
          <w:rFonts w:hint="cs"/>
          <w:rtl/>
        </w:rPr>
        <w:t>3)[</w:t>
      </w:r>
      <w:r>
        <w:rPr>
          <w:rtl/>
        </w:rPr>
        <w:t>שולחן ערוך חושן משפט הלכות טוען ונטען סימן פה סעיף ה</w:t>
      </w:r>
      <w:r>
        <w:rPr>
          <w:rFonts w:hint="cs"/>
          <w:rtl/>
        </w:rPr>
        <w:t xml:space="preserve">] </w:t>
      </w:r>
      <w:r>
        <w:rPr>
          <w:rtl/>
        </w:rPr>
        <w:t>אפילו היתומים קטנים, אין אומרים שהם יגבו מיד ולא יגבה מהם עד שיגדלו, כיון שתפס בחיי אביהם.</w:t>
      </w:r>
    </w:p>
    <w:p w14:paraId="52E01D52" w14:textId="29FC38E9" w:rsidR="00833979" w:rsidRDefault="00833979" w:rsidP="00833979">
      <w:pPr>
        <w:pStyle w:val="Style1"/>
        <w:rPr>
          <w:rtl/>
        </w:rPr>
      </w:pPr>
      <w:r>
        <w:rPr>
          <w:rFonts w:hint="cs"/>
          <w:rtl/>
        </w:rPr>
        <w:t>4)[</w:t>
      </w:r>
      <w:r w:rsidR="00213DA1">
        <w:rPr>
          <w:rtl/>
        </w:rPr>
        <w:t xml:space="preserve">רמב”ם \נשים\ הלכות אישות </w:t>
      </w:r>
      <w:r>
        <w:rPr>
          <w:rtl/>
        </w:rPr>
        <w:t>פרק יג הלכה יז</w:t>
      </w:r>
      <w:r>
        <w:rPr>
          <w:rFonts w:hint="cs"/>
          <w:rtl/>
        </w:rPr>
        <w:t xml:space="preserve">] </w:t>
      </w:r>
      <w:r>
        <w:rPr>
          <w:rtl/>
        </w:rPr>
        <w:t>איש שהיה מארץ מן הארצות ונשא אשה בארץ אחרת כופין אותה ויוצאה עמו לארצו או תצא בלא כתובה שעל מנת כן נשאה אף על פי שלא פירש, אבל הנושא אשה באחת מן הארצות והוא מאנשי אותה הארץ אינו יכול להוציאה  לארץ אחרת, אבל מוציאה ממדינה למדינה ומכפר לכפר באותה הארץ. ואינו יכול להוציאה ממדינה לכפר ולא מכפר למדינה שיש דברים שישיבת המדינה טובה להם ויש דברים שישיבת הכפרים טובה להם.</w:t>
      </w:r>
    </w:p>
    <w:p w14:paraId="20ADFDF1" w14:textId="50466E08" w:rsidR="00833979" w:rsidRPr="00833979" w:rsidRDefault="00833979" w:rsidP="00833979">
      <w:pPr>
        <w:pStyle w:val="Style1"/>
      </w:pPr>
      <w:r>
        <w:rPr>
          <w:rFonts w:hint="cs"/>
          <w:rtl/>
        </w:rPr>
        <w:t>4)[</w:t>
      </w:r>
      <w:r>
        <w:rPr>
          <w:rtl/>
        </w:rPr>
        <w:t>שולחן ערוך אבן העזר הלכות כתובות סימן עה סעיף א</w:t>
      </w:r>
      <w:r>
        <w:rPr>
          <w:rFonts w:hint="cs"/>
          <w:rtl/>
        </w:rPr>
        <w:t xml:space="preserve">] </w:t>
      </w:r>
      <w:r w:rsidRPr="00833979">
        <w:rPr>
          <w:rtl/>
        </w:rPr>
        <w:t>שלש ארצות בארץ ישראל חלוקות זו מזו לענין נשואין, יהודה ועבר הירדן והגליל. וכל הישוב הוא ארצות, כגון ארץ כנען וארץ מצרים וארץ תימן </w:t>
      </w:r>
      <w:r w:rsidRPr="00833979">
        <w:rPr>
          <w:rFonts w:hint="cs"/>
          <w:rtl/>
        </w:rPr>
        <w:t>שחלוקים בלשונם (מוהר"ם סימן קי"ז)</w:t>
      </w:r>
      <w:r w:rsidRPr="00833979">
        <w:t xml:space="preserve">. </w:t>
      </w:r>
      <w:r w:rsidRPr="00833979">
        <w:rPr>
          <w:rtl/>
        </w:rPr>
        <w:t>שמי שהוא מארץ מהארצות ונשא אשה בארץ אחרת, כופין אותה ויוצאה עמו לארצו, או תצא בלא כתובה ובלא תוספת, שעל מנת כן נשאה, אף על פי שלא פירש</w:t>
      </w:r>
      <w:r w:rsidRPr="00833979">
        <w:t>.</w:t>
      </w:r>
    </w:p>
    <w:p w14:paraId="4DF3C57D" w14:textId="77777777" w:rsidR="00833979" w:rsidRPr="00833979" w:rsidRDefault="00833979" w:rsidP="00833979">
      <w:pPr>
        <w:pStyle w:val="Style1"/>
      </w:pPr>
      <w:r w:rsidRPr="00833979">
        <w:rPr>
          <w:rFonts w:hint="cs"/>
          <w:rtl/>
        </w:rPr>
        <w:t>אבל אינו יכול להוציאה מעיר לכרך או להפך, בגליל (אחד), אף על פי שהתנה עמה להוציאה מגליל ליהודה (הר"ן פרק שני דייני גזרות, וכן כל כיוצא בזה)</w:t>
      </w:r>
      <w:r w:rsidRPr="00833979">
        <w:t>.</w:t>
      </w:r>
    </w:p>
    <w:p w14:paraId="1BEC3C6E" w14:textId="77777777" w:rsidR="00833979" w:rsidRPr="00833979" w:rsidRDefault="00833979" w:rsidP="00833979">
      <w:pPr>
        <w:pStyle w:val="Style1"/>
      </w:pPr>
      <w:r w:rsidRPr="00833979">
        <w:rPr>
          <w:rtl/>
        </w:rPr>
        <w:t>אבל הנושא אשה באחת מהארצות, והוא מאנשי אותה הארץ, אינו יכול להוציאה לארץ אחרת, אבל מוציאה ממדינה למדינה ומכפר לכפר באותם הארצות, ואינו יכול להוציאה ממדינה לכפר ומכפר למדינה</w:t>
      </w:r>
      <w:r w:rsidRPr="00833979">
        <w:t>.</w:t>
      </w:r>
    </w:p>
    <w:p w14:paraId="50D710A4" w14:textId="77777777" w:rsidR="00833979" w:rsidRPr="00833979" w:rsidRDefault="00833979" w:rsidP="00833979">
      <w:pPr>
        <w:pStyle w:val="Style1"/>
      </w:pPr>
      <w:r w:rsidRPr="00833979">
        <w:rPr>
          <w:rFonts w:hint="cs"/>
          <w:rtl/>
        </w:rPr>
        <w:t>הגה: ויש אומרים דאם היו שניהם מארץ אחת, ונשאה בארץ אחרת, היא יכולה לכוף אותו לילך עמה לארצה, אפילו מכפר למדינה או להפך (טור בשם רבנו תם). אבל אם שניהם מארץ אחת ונשאה באותה הארץ, אין אחד מהם כופה לשני להוציאו ממדינה לכפר או להפך; אבל ממדינה למדינה או מכפר לכפר, האשה יכולה להכריחו שילך עמה למקומה, הואיל והם שוים (גם זה שם)</w:t>
      </w:r>
      <w:r w:rsidRPr="00833979">
        <w:rPr>
          <w:rFonts w:hint="cs"/>
        </w:rPr>
        <w:t>.</w:t>
      </w:r>
    </w:p>
    <w:p w14:paraId="65A644C2" w14:textId="77777777" w:rsidR="00833979" w:rsidRPr="00833979" w:rsidRDefault="00833979" w:rsidP="00833979">
      <w:pPr>
        <w:pStyle w:val="Style1"/>
      </w:pPr>
      <w:r w:rsidRPr="00833979">
        <w:rPr>
          <w:rFonts w:hint="cs"/>
          <w:rtl/>
        </w:rPr>
        <w:t>היה דר עמה בעירו ולא מתדר שם, ונסע עמה לעירה דרך מקרה, ולא אתדר ליה, יכול לחזור ולהוציאה</w:t>
      </w:r>
      <w:r w:rsidRPr="00833979">
        <w:rPr>
          <w:rFonts w:hint="cs"/>
        </w:rPr>
        <w:t xml:space="preserve"> (</w:t>
      </w:r>
      <w:hyperlink r:id="rId291" w:tooltip="תשובות ריב&quot;ש/פח" w:history="1">
        <w:r w:rsidRPr="00833979">
          <w:rPr>
            <w:rStyle w:val="Hyperlink"/>
            <w:rFonts w:hint="cs"/>
            <w:color w:val="7030A0"/>
            <w:u w:val="none"/>
            <w:rtl/>
          </w:rPr>
          <w:t>ריב"ש סימן פ"ח</w:t>
        </w:r>
      </w:hyperlink>
      <w:r w:rsidRPr="00833979">
        <w:rPr>
          <w:rFonts w:hint="cs"/>
        </w:rPr>
        <w:t xml:space="preserve">). </w:t>
      </w:r>
      <w:r w:rsidRPr="00833979">
        <w:rPr>
          <w:rFonts w:hint="cs"/>
          <w:rtl/>
        </w:rPr>
        <w:t>יש אומרים אם לא יוכל להחיות ולפרנס עצמו, כופין אשתו שתלך עמו למקום שירצה</w:t>
      </w:r>
      <w:r w:rsidRPr="00833979">
        <w:rPr>
          <w:rFonts w:hint="cs"/>
        </w:rPr>
        <w:t xml:space="preserve"> (</w:t>
      </w:r>
      <w:hyperlink r:id="rId292" w:tooltip="תרומת הדשן/א/רטו" w:history="1">
        <w:r w:rsidRPr="00833979">
          <w:rPr>
            <w:rStyle w:val="Hyperlink"/>
            <w:rFonts w:hint="cs"/>
            <w:color w:val="7030A0"/>
            <w:u w:val="none"/>
            <w:rtl/>
          </w:rPr>
          <w:t>תרומת הדשן סימן רט"ו</w:t>
        </w:r>
      </w:hyperlink>
      <w:r w:rsidRPr="00833979">
        <w:rPr>
          <w:rFonts w:hint="cs"/>
        </w:rPr>
        <w:t xml:space="preserve">), </w:t>
      </w:r>
      <w:r w:rsidRPr="00833979">
        <w:rPr>
          <w:rFonts w:hint="cs"/>
          <w:rtl/>
        </w:rPr>
        <w:t>ויש חולקין (בית יוסף וכן משמע </w:t>
      </w:r>
      <w:hyperlink r:id="rId293" w:tooltip="תשובות ריב&quot;ש/פא" w:history="1">
        <w:r w:rsidRPr="00833979">
          <w:rPr>
            <w:rStyle w:val="Hyperlink"/>
            <w:rFonts w:hint="cs"/>
            <w:color w:val="7030A0"/>
            <w:u w:val="none"/>
            <w:rtl/>
          </w:rPr>
          <w:t>בריב"ש סימן פ"א</w:t>
        </w:r>
      </w:hyperlink>
      <w:r w:rsidRPr="00833979">
        <w:rPr>
          <w:rFonts w:hint="cs"/>
        </w:rPr>
        <w:t>).</w:t>
      </w:r>
    </w:p>
    <w:p w14:paraId="36A8B6DF" w14:textId="77777777" w:rsidR="00833979" w:rsidRPr="00833979" w:rsidRDefault="00833979" w:rsidP="00833979">
      <w:pPr>
        <w:pStyle w:val="Style1"/>
      </w:pPr>
      <w:r w:rsidRPr="00833979">
        <w:rPr>
          <w:rFonts w:hint="cs"/>
          <w:rtl/>
        </w:rPr>
        <w:t>מי שהוא ממדינה אחת ויש לו שם אשה, ונשא אחרת במדינה אחרת, צריכה לילך עמו לעירו, דודאי נשאה לשוב לביתו (בית יוסף בשם הרשב"ץ). ועין לקמן </w:t>
      </w:r>
      <w:hyperlink r:id="rId294" w:tooltip="שולחן ערוך אבן העזר קנד ט" w:history="1">
        <w:r w:rsidRPr="00833979">
          <w:rPr>
            <w:rStyle w:val="Hyperlink"/>
            <w:rFonts w:hint="cs"/>
            <w:color w:val="7030A0"/>
            <w:u w:val="none"/>
            <w:rtl/>
          </w:rPr>
          <w:t>סימן קנ"ד סעיף ט</w:t>
        </w:r>
        <w:r w:rsidRPr="00833979">
          <w:rPr>
            <w:rStyle w:val="Hyperlink"/>
            <w:rFonts w:hint="cs"/>
            <w:color w:val="7030A0"/>
            <w:u w:val="none"/>
          </w:rPr>
          <w:t>'</w:t>
        </w:r>
      </w:hyperlink>
      <w:r w:rsidRPr="00833979">
        <w:rPr>
          <w:rFonts w:hint="cs"/>
        </w:rPr>
        <w:t xml:space="preserve">, </w:t>
      </w:r>
      <w:r w:rsidRPr="00833979">
        <w:rPr>
          <w:rFonts w:hint="cs"/>
          <w:rtl/>
        </w:rPr>
        <w:t>עוד מדינים אלו</w:t>
      </w:r>
      <w:r w:rsidRPr="00833979">
        <w:t>:</w:t>
      </w:r>
    </w:p>
    <w:p w14:paraId="7FCF8C21" w14:textId="77777777" w:rsidR="00833979" w:rsidRPr="00833979" w:rsidRDefault="00833979" w:rsidP="00833979">
      <w:pPr>
        <w:pStyle w:val="Style1"/>
      </w:pPr>
    </w:p>
    <w:p w14:paraId="63173216" w14:textId="70FBDFA1" w:rsidR="00833979" w:rsidRPr="000E588F" w:rsidRDefault="00833979" w:rsidP="00833979">
      <w:pPr>
        <w:pStyle w:val="Style1"/>
      </w:pPr>
    </w:p>
    <w:p w14:paraId="6F930936" w14:textId="77777777" w:rsidR="000E588F" w:rsidRPr="000E588F" w:rsidRDefault="000E588F" w:rsidP="000E588F">
      <w:pPr>
        <w:pStyle w:val="Style1"/>
        <w:rPr>
          <w:rStyle w:val="Style1Char"/>
        </w:rPr>
      </w:pPr>
    </w:p>
    <w:p w14:paraId="4105066C" w14:textId="56B91D5E" w:rsidR="000E588F" w:rsidRPr="000E588F" w:rsidRDefault="000E588F" w:rsidP="000E588F">
      <w:pPr>
        <w:pStyle w:val="Style1"/>
        <w:rPr>
          <w:rStyle w:val="Style1Char"/>
        </w:rPr>
      </w:pPr>
    </w:p>
    <w:p w14:paraId="3C7DDD39" w14:textId="5589C3C2" w:rsidR="00707D39" w:rsidRPr="000E588F" w:rsidRDefault="00707D39" w:rsidP="000E588F">
      <w:pPr>
        <w:pStyle w:val="Style1"/>
        <w:rPr>
          <w:rStyle w:val="Style1Char"/>
          <w:rtl/>
        </w:rPr>
      </w:pPr>
    </w:p>
    <w:p w14:paraId="0487BFC2" w14:textId="77777777" w:rsidR="000C5939" w:rsidRPr="000E588F" w:rsidRDefault="000C5939" w:rsidP="000E588F">
      <w:pPr>
        <w:pStyle w:val="Style1"/>
        <w:rPr>
          <w:rStyle w:val="Style1Char"/>
          <w:rtl/>
        </w:rPr>
      </w:pPr>
      <w:r w:rsidRPr="000E588F">
        <w:rPr>
          <w:rStyle w:val="Style1Char"/>
          <w:rtl/>
        </w:rPr>
        <w:br w:type="page"/>
      </w:r>
    </w:p>
    <w:p w14:paraId="66D4159E" w14:textId="33B7EB31" w:rsidR="000C5939" w:rsidRPr="001F48EA" w:rsidRDefault="000C5939" w:rsidP="000C5939">
      <w:pPr>
        <w:bidi/>
        <w:rPr>
          <w:rStyle w:val="Style1Char"/>
          <w:color w:val="auto"/>
          <w:sz w:val="22"/>
          <w:szCs w:val="22"/>
        </w:rPr>
      </w:pPr>
      <w:r w:rsidRPr="001F48EA">
        <w:rPr>
          <w:rStyle w:val="Style1Char"/>
          <w:color w:val="auto"/>
          <w:sz w:val="22"/>
          <w:szCs w:val="22"/>
          <w:highlight w:val="yellow"/>
          <w:rtl/>
        </w:rPr>
        <w:lastRenderedPageBreak/>
        <w:t>[דף קי עמוד ב]</w:t>
      </w:r>
      <w:r w:rsidRPr="001F48EA">
        <w:rPr>
          <w:rStyle w:val="Style1Char"/>
          <w:color w:val="auto"/>
          <w:sz w:val="22"/>
          <w:szCs w:val="22"/>
          <w:rtl/>
        </w:rPr>
        <w:t xml:space="preserve"> אבל לא מעיר לכרך ולא מכרך לעיר. מוציאין מנוה הרעה לנוה היפה, אבל לא מנוה היפה לנוה הרעה; </w:t>
      </w:r>
      <w:r w:rsidR="005E67AE">
        <w:rPr>
          <w:rStyle w:val="Style1Char"/>
          <w:rFonts w:hint="cs"/>
          <w:rtl/>
        </w:rPr>
        <w:t>(1)</w:t>
      </w:r>
      <w:r w:rsidRPr="001F48EA">
        <w:rPr>
          <w:rStyle w:val="Style1Char"/>
          <w:color w:val="auto"/>
          <w:sz w:val="22"/>
          <w:szCs w:val="22"/>
          <w:rtl/>
        </w:rPr>
        <w:t xml:space="preserve">רשב"ג אומר: אף לא מנוה רעה לנוה יפה, מפני שהנוה היפה בודק. </w:t>
      </w:r>
    </w:p>
    <w:p w14:paraId="714E4BAD" w14:textId="755121B3" w:rsidR="000C5939" w:rsidRDefault="000C5939" w:rsidP="000C5939">
      <w:pPr>
        <w:bidi/>
        <w:rPr>
          <w:rFonts w:ascii="Arial" w:hAnsi="Arial" w:cs="Arial"/>
          <w:color w:val="806000" w:themeColor="accent4" w:themeShade="80"/>
          <w:sz w:val="16"/>
          <w:szCs w:val="16"/>
          <w:rtl/>
        </w:rPr>
      </w:pPr>
      <w:r w:rsidRPr="000A30AD">
        <w:rPr>
          <w:rStyle w:val="Style1Char"/>
          <w:color w:val="auto"/>
          <w:sz w:val="22"/>
          <w:szCs w:val="22"/>
          <w:rtl/>
        </w:rPr>
        <w:t xml:space="preserve">גמ'. בשלמא מכרך לעיר </w:t>
      </w:r>
      <w:r w:rsidRPr="000A30AD">
        <w:rPr>
          <w:rFonts w:ascii="Arial" w:hAnsi="Arial" w:cs="Arial"/>
          <w:color w:val="806000" w:themeColor="accent4" w:themeShade="80"/>
          <w:rtl/>
        </w:rPr>
        <w:t xml:space="preserve">לא </w:t>
      </w:r>
      <w:r w:rsidRPr="00610DBD">
        <w:rPr>
          <w:rStyle w:val="Style1Char"/>
          <w:sz w:val="22"/>
          <w:szCs w:val="22"/>
          <w:rtl/>
        </w:rPr>
        <w:t xml:space="preserve">- </w:t>
      </w:r>
      <w:r w:rsidRPr="000A30AD">
        <w:rPr>
          <w:rStyle w:val="Style1Char"/>
          <w:color w:val="auto"/>
          <w:sz w:val="22"/>
          <w:szCs w:val="22"/>
          <w:rtl/>
        </w:rPr>
        <w:t xml:space="preserve">דבכרך שכיחי כל מילי, בעיר לא שכיחי </w:t>
      </w:r>
      <w:r w:rsidRPr="001C3C1D">
        <w:rPr>
          <w:rStyle w:val="Style1Char"/>
          <w:color w:val="00B050"/>
          <w:rtl/>
        </w:rPr>
        <w:t xml:space="preserve">כל מילי, </w:t>
      </w:r>
      <w:r w:rsidRPr="001201CC">
        <w:rPr>
          <w:rStyle w:val="Style1Char"/>
          <w:color w:val="ED7D31" w:themeColor="accent2"/>
          <w:rtl/>
        </w:rPr>
        <w:t xml:space="preserve">אלא </w:t>
      </w:r>
      <w:r w:rsidRPr="002A22E7">
        <w:rPr>
          <w:rFonts w:ascii="Arial" w:hAnsi="Arial" w:cs="Arial"/>
          <w:color w:val="C00000"/>
          <w:rtl/>
        </w:rPr>
        <w:t xml:space="preserve">אבל </w:t>
      </w:r>
      <w:r w:rsidRPr="001201CC">
        <w:rPr>
          <w:rStyle w:val="Style1Char"/>
          <w:color w:val="auto"/>
          <w:sz w:val="22"/>
          <w:szCs w:val="22"/>
          <w:rtl/>
        </w:rPr>
        <w:t xml:space="preserve">מעיר לכרך מ"ט? </w:t>
      </w:r>
      <w:r w:rsidRPr="00956950">
        <w:rPr>
          <w:rFonts w:ascii="Arial" w:hAnsi="Arial" w:cs="Arial"/>
          <w:color w:val="806000" w:themeColor="accent4" w:themeShade="80"/>
          <w:rtl/>
        </w:rPr>
        <w:t xml:space="preserve">מפני שישיבת כרכין קשה </w:t>
      </w:r>
      <w:r w:rsidRPr="001C3C1D">
        <w:rPr>
          <w:rStyle w:val="Style1Char"/>
          <w:color w:val="00B050"/>
          <w:rtl/>
        </w:rPr>
        <w:t xml:space="preserve">מסייע ליה לרבי יוסי בר חנינא, </w:t>
      </w:r>
      <w:r w:rsidRPr="001B2A7D">
        <w:rPr>
          <w:rStyle w:val="Style1Char"/>
          <w:sz w:val="22"/>
          <w:szCs w:val="22"/>
          <w:rtl/>
        </w:rPr>
        <w:t xml:space="preserve">דא"ר יוסי בר חנינא: </w:t>
      </w:r>
      <w:r w:rsidR="004D4285">
        <w:rPr>
          <w:rStyle w:val="Style1Char"/>
          <w:rFonts w:hint="cs"/>
          <w:rtl/>
        </w:rPr>
        <w:t>(2)</w:t>
      </w:r>
      <w:r w:rsidRPr="001B2A7D">
        <w:rPr>
          <w:rStyle w:val="Style1Char"/>
          <w:sz w:val="22"/>
          <w:szCs w:val="22"/>
          <w:rtl/>
        </w:rPr>
        <w:t xml:space="preserve">מנין שישיבת כרכים קשה? </w:t>
      </w:r>
      <w:r w:rsidRPr="00AE21C4">
        <w:rPr>
          <w:rStyle w:val="Style1Char"/>
          <w:color w:val="auto"/>
          <w:sz w:val="22"/>
          <w:szCs w:val="22"/>
          <w:rtl/>
        </w:rPr>
        <w:t>שנאמר: ויברכו העם לכל האנשים המתנדבים לשבת בירושלים</w:t>
      </w:r>
      <w:r w:rsidRPr="00AE21C4">
        <w:rPr>
          <w:rStyle w:val="Style1Char"/>
          <w:color w:val="806000" w:themeColor="accent4" w:themeShade="80"/>
          <w:sz w:val="22"/>
          <w:szCs w:val="22"/>
          <w:rtl/>
        </w:rPr>
        <w:t xml:space="preserve">. </w:t>
      </w:r>
      <w:r w:rsidRPr="00AE21C4">
        <w:rPr>
          <w:rFonts w:ascii="Arial" w:hAnsi="Arial" w:cs="Arial"/>
          <w:color w:val="806000" w:themeColor="accent4" w:themeShade="80"/>
          <w:sz w:val="16"/>
          <w:szCs w:val="16"/>
          <w:rtl/>
        </w:rPr>
        <w:t>תוספתא ג' ארצות לנישואין יהודה ועבר הירדן והגליל בד"א בזמן שהיה בן יהודה ואירס אשה ביהודה או בן גליל שאירס אשה בגליל אבל בן יהודה שאירס אשה בגליל כופין אותה לצאת שע"מ כן נשאה מוציאין מעיר שרובה עובדי כוכבי' לעיר שרובה ישראל ולא מעיר שרובה ישראל לעיר שרובה עובדי כוכבים</w:t>
      </w:r>
      <w:r w:rsidRPr="00AE21C4">
        <w:rPr>
          <w:rFonts w:ascii="Arial" w:hAnsi="Arial" w:cs="Arial"/>
          <w:color w:val="806000" w:themeColor="accent4" w:themeShade="80"/>
          <w:sz w:val="16"/>
          <w:szCs w:val="16"/>
        </w:rPr>
        <w:t>:</w:t>
      </w:r>
    </w:p>
    <w:p w14:paraId="63BA20A9" w14:textId="77777777" w:rsidR="000C5939" w:rsidRPr="00B94F6A" w:rsidRDefault="000C5939" w:rsidP="000C5939">
      <w:pPr>
        <w:bidi/>
        <w:rPr>
          <w:rFonts w:ascii="Arial" w:hAnsi="Arial" w:cs="Arial"/>
          <w:color w:val="4472C4" w:themeColor="accent1"/>
          <w:sz w:val="16"/>
          <w:szCs w:val="16"/>
        </w:rPr>
      </w:pPr>
      <w:r w:rsidRPr="00B94F6A">
        <w:rPr>
          <w:rFonts w:ascii="Arial" w:hAnsi="Arial" w:cs="Arial"/>
          <w:color w:val="4472C4" w:themeColor="accent1"/>
          <w:sz w:val="16"/>
          <w:szCs w:val="16"/>
          <w:rtl/>
        </w:rPr>
        <w:t>ירושל' (הל"י) מתני' כשהיה מיהודה ונשא אשה מגליל מגליל ונשא אשה מיהודה אבל אם היה מיהודה ונשא אשה מיהודה מגליל</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ונשא אשה מגליל כופין אותו לצאת אני פלוני שמיהודה נשאתי אשה מיהודה כופין אותה לצאת מגליל אין כופין אותה לצאת אני פלוני שמגליל ונשאתי אשה מגליל כופין אותה לצאת מיהודה אין כופין אותה לצאת ולכאורה התוספתא והירושלמי סותרין זה את זה ור"ת ז"ל פי' בס' הישר דמתני' דשלש ארצות לנישואין איירי בכפיית האיש שאם נשאה באחת מהארצות האלה והוא מקום מולדתו ודירתו אין כופין אותו לצאת משם וכ"ש אם נשאה באחת מן הארצות האלה במקום מולדתה ודירתה שיפה כח האשה יותר ואין יכול להוציאה משם ומפרש מתני' ותוספתא הכי שלש ארצות לנישואין וכו'</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אם האיש מיהודה והאשה מגליל ונשאה ביהודה שהוא מקומו אין מוציאין האיש ממקומו לילך אחריה לגליל כיון דיהודה וגליל הן שתי מדינות ואין שיירות מצויות מזו לזו ואין יכול לחקור ולידע תמיד מנהג אנשי מולדתו אין כופין אותו להניח מקומו כיון דשם נשאה אבל נשאה בגליל כופין אותו לצאת וגרסי' בתוספתא כופין אותו לצאת שעל מנת כן נשאה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ואם האיש והאשה ממקום אחד ביהודה אף על פי שנשאה בגליל כופין אותו לצאת מגליל אפילו מעיר לכרך ומכרך לעיר ואם האשה מכרך והאיש מעיר או להפך ושניהם ביהודה ונשאה בעירו אין האשה יכולה לכופו להניח מקומו כיון דאין שני המקומות שוין והוא נשאה בעירו וכ"ש אם נשאה בעירה שאין האיש יכול לכופה להניח מקומה כיון דאין שני המקומות שוין ונשאה בעירה אבל אם מקומותיהן שוין שניהם כרכין או שניהם עיירות כופין את האיש לעזוב מקומו ואף על פי שבמקומו נשאה שנאמר והיא בעולת בעל בעלייתו של בעל עולה עמו ואין יורדת עמו ודרכו לחזור אחר אבידתו ועוד האיש יכול לילך לראות אוהביו משא"כ באשה כל כבודה</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בת מלך פנימה וההיא דירושלמי מפרש ר"ת מתני' כשהיה מיהודה ונשא אשה מגליל מגליל ונשא אשה מיהודה פירוש שהיה מיהודה ונשא אשה מגליל ביהודה אין כופין אותו לילך אחריה לגליל או מגליל ונשא אשה מיהודה בגליל אין כופין אותו לילך אחריה ליהודה אבל הוא מיהודה ונשא אשה מיהודה מגליל ונשא אשה מגליל אני פלוני מיהודה נשאתי אשה מיהודה פירוש מיהודה מעיר לעיר או מכרך לכרך כדמפרש לעיל (אין) כופין אותו לצאת אחריה כך פי' ר"ת ז"ל בספר הישר דבכפיית האיש איירי. ורבינו מאיר ז"ל הקשה עליו מן הירושלמי דמשמע התם דיפה כח הבעל מכח האשה דגרסי' התם הוא רוצה לעלות לא"י והיא אינה רוצה לעלות כופין אותה לעלות היא רוצה לעלות והוא אינו רוצה אין כופין אותו לעלות היא רוצה לעלות לירושלים והוא אינו רוצה לעלות לירושלים אין כופין אותו הוא רוצה והיא אינה רוצה לעלות לירושלים כופין אותה לעלות ופירש הוא דאיירי בכפיית האשה ופירש התוספתא בד"א שהיה מיהודה ואירס אשה ביהודה אין יכול להוציאה למדינה אחרת אף על פי שהאשה מגליל אינו יכול להוציאה מיהודה ולא מצי למימר לה והלא אין זה מקום מולדתך מאי איכפת לך אם אדור כאן או במדינה אחרת דכיון דאירסה ביהודה מציא למימר אדעתא דהכי נתקדשתי לך לדור ביהודה כי שם יש לי נחת רוח יותר כי הורגלתי שם</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אבל אם היה מיהודה ואירס אשה בגליל וכו' אפילו הלך לגליל וקדשה בסתם כופין אותה לצאת ליהודה והא דקתני שע"מ כן נשאה ולא קתני שע"מ כן קדשה כיון דבקידושין איירי י"ל דאשמועינן רבותא דאפי' אם אח"כ נשאה באחת משאר ארצות כגון בעבר הירדן כופין אותה לצאת ליהודה מתי שירצה שע"מ כן נשאה על דעת קידושין הראשונים וכיון דבשעת קידושין היה דר ביהודה הוי כאילו התנה שתלך אחריו ליהודה והירושלמי הכי פירושא מתני' כשהיה מיהודה ונשא בגליל פירוש שהלך שם ונשאה כיון דהנישואין היו בגליל אין כופין אותה לילך אחריו ליהודה אבל אם היה מיהודה ונשא אשה ביהודה שהיא מגליל ושוב מרדה ושבה אל בית אביה לגליל כופין אותה לצאת משם ליהודה כיון שנשאת לו ביהודה אני פלוני שמיהודה וכו'</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וכך היו רגילין לכתוב ולחתום בשעת נשואין לפי שיש מקומות שאין כותבין כתובה וישתכח הדבר באיזה מקום נשאה ואפילו במקום שכותבין כתובה שמא תטמין הכתובה ותאמר שנשאה בגליל לפיכך היו כותבין כן לידע באיזה מקום נשאה כופין אותה לצאת ליהודה מגליל אין כופין אותה לצאת פירוש אבל אם כתבו אני פלוני מיהודה ונשא אשה בגליל אין כופין אותה לצאת מגליל וההיא דירושלמי דפליג אגמרא דידן דקאמר אין כופין האיש לעלות אחר האשה לארץ ישראל ולירושלים פירש רבינו מאיר</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דאיירי בזמן הזה ומשנתינו נישנית בזמן הבית</w:t>
      </w:r>
      <w:r w:rsidRPr="00B94F6A">
        <w:rPr>
          <w:rFonts w:ascii="Arial" w:hAnsi="Arial" w:cs="Arial"/>
          <w:color w:val="4472C4" w:themeColor="accent1"/>
          <w:sz w:val="16"/>
          <w:szCs w:val="16"/>
        </w:rPr>
        <w:t>:</w:t>
      </w:r>
    </w:p>
    <w:p w14:paraId="7683D420" w14:textId="630613BB" w:rsidR="000C5939" w:rsidRPr="00B94F6A" w:rsidRDefault="000C5939" w:rsidP="000C5939">
      <w:pPr>
        <w:bidi/>
        <w:rPr>
          <w:rFonts w:ascii="Arial" w:hAnsi="Arial" w:cs="Arial"/>
          <w:color w:val="4472C4" w:themeColor="accent1"/>
          <w:sz w:val="16"/>
          <w:szCs w:val="16"/>
        </w:rPr>
      </w:pPr>
      <w:r w:rsidRPr="00E93355">
        <w:rPr>
          <w:rStyle w:val="Style1Char"/>
          <w:color w:val="ED7D31" w:themeColor="accent2"/>
          <w:sz w:val="22"/>
          <w:szCs w:val="22"/>
          <w:rtl/>
        </w:rPr>
        <w:t xml:space="preserve">רשב"ג אומר </w:t>
      </w:r>
      <w:r w:rsidRPr="00E93355">
        <w:rPr>
          <w:rFonts w:ascii="Arial" w:hAnsi="Arial" w:cs="Arial"/>
          <w:color w:val="4472C4" w:themeColor="accent1"/>
          <w:rtl/>
        </w:rPr>
        <w:t xml:space="preserve">אף לא מנוה הרע לנוה היפה </w:t>
      </w:r>
      <w:r w:rsidRPr="00E93355">
        <w:rPr>
          <w:rStyle w:val="Style1Char"/>
          <w:color w:val="ED7D31" w:themeColor="accent2"/>
          <w:sz w:val="22"/>
          <w:szCs w:val="22"/>
          <w:rtl/>
        </w:rPr>
        <w:t xml:space="preserve">כו'. מאי בודק? כדשמואל, דאמר שמואל: </w:t>
      </w:r>
      <w:r w:rsidR="004D4285">
        <w:rPr>
          <w:rStyle w:val="Style1Char"/>
          <w:rFonts w:hint="cs"/>
          <w:rtl/>
        </w:rPr>
        <w:t>(3)</w:t>
      </w:r>
      <w:r w:rsidRPr="00E93355">
        <w:rPr>
          <w:rStyle w:val="Style1Char"/>
          <w:color w:val="ED7D31" w:themeColor="accent2"/>
          <w:sz w:val="22"/>
          <w:szCs w:val="22"/>
          <w:rtl/>
        </w:rPr>
        <w:t>שינוי וסת תחלת חולי מעים</w:t>
      </w:r>
      <w:r w:rsidRPr="00EC6E94">
        <w:rPr>
          <w:rFonts w:ascii="Arial" w:hAnsi="Arial" w:cs="Arial"/>
          <w:color w:val="4472C4" w:themeColor="accent1"/>
          <w:sz w:val="16"/>
          <w:szCs w:val="16"/>
          <w:rtl/>
        </w:rPr>
        <w:t xml:space="preserve"> </w:t>
      </w:r>
      <w:r w:rsidRPr="00B94F6A">
        <w:rPr>
          <w:rFonts w:ascii="Arial" w:hAnsi="Arial" w:cs="Arial"/>
          <w:color w:val="4472C4" w:themeColor="accent1"/>
          <w:sz w:val="16"/>
          <w:szCs w:val="16"/>
          <w:rtl/>
        </w:rPr>
        <w:t>רב אלפס ז"ל לא הביא מילתא דרבן שמעון בן גמליאל אומר</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לפי שסובר שאין הלכה כרשב"ג אבל ר"ת ור"י ז"ל סברי דהלכה כר' יוחנן דאמר כל מקום ששנה רשב"ג במשנתינו הלכה כמותו חוץ מערב וכו' ועוד י"א דבכאן הלכה כרשב"ג משום דמייתי עלה הך דשינוי וסת דשמואל</w:t>
      </w:r>
      <w:r w:rsidRPr="00B94F6A">
        <w:rPr>
          <w:rFonts w:ascii="Arial" w:hAnsi="Arial" w:cs="Arial"/>
          <w:color w:val="4472C4" w:themeColor="accent1"/>
          <w:sz w:val="16"/>
          <w:szCs w:val="16"/>
        </w:rPr>
        <w:t xml:space="preserve">: </w:t>
      </w:r>
    </w:p>
    <w:p w14:paraId="3A6DBC92" w14:textId="77777777" w:rsidR="000C5939" w:rsidRDefault="000C5939" w:rsidP="000C5939">
      <w:pPr>
        <w:bidi/>
        <w:rPr>
          <w:rStyle w:val="Style1Char"/>
          <w:color w:val="00B050"/>
          <w:rtl/>
        </w:rPr>
      </w:pPr>
      <w:r w:rsidRPr="001C3C1D">
        <w:rPr>
          <w:rStyle w:val="Style1Char"/>
          <w:color w:val="00B050"/>
          <w:rtl/>
        </w:rPr>
        <w:t xml:space="preserve">. כתוב בספר בן סירא: כל ימי עני רעים, והאיכא שבתות וימים טובים! כדשמואל, דאמר שמואל: שינוי וסת תחלת חולי מעים. בן סירא אומר: אף לילות; בשפל גגים גגו ובמרום הרים כרמו - ממטר גגים לגגו, ומעפר כרמו לכרמים. </w:t>
      </w:r>
    </w:p>
    <w:p w14:paraId="1EE80B14" w14:textId="7908E39E" w:rsidR="000C5939" w:rsidRPr="00741DD8" w:rsidRDefault="000C5939" w:rsidP="000C5939">
      <w:pPr>
        <w:bidi/>
        <w:rPr>
          <w:rStyle w:val="Style1Char"/>
          <w:color w:val="auto"/>
          <w:sz w:val="22"/>
          <w:szCs w:val="22"/>
        </w:rPr>
      </w:pPr>
      <w:r w:rsidRPr="00877DC6">
        <w:rPr>
          <w:rStyle w:val="Style1Char"/>
          <w:color w:val="auto"/>
          <w:sz w:val="22"/>
          <w:szCs w:val="22"/>
          <w:rtl/>
        </w:rPr>
        <w:t xml:space="preserve">מתני'. </w:t>
      </w:r>
      <w:r w:rsidR="004D4285">
        <w:rPr>
          <w:rStyle w:val="Style1Char"/>
          <w:rFonts w:hint="cs"/>
          <w:rtl/>
        </w:rPr>
        <w:t>(4)</w:t>
      </w:r>
      <w:r w:rsidRPr="00877DC6">
        <w:rPr>
          <w:rStyle w:val="Style1Char"/>
          <w:color w:val="auto"/>
          <w:sz w:val="22"/>
          <w:szCs w:val="22"/>
          <w:rtl/>
        </w:rPr>
        <w:t>הכל מעלין לארץ ישראל ואין הכל מוציאין, הכל מעלין לירושלים ואין הכל מוציאין, אחד האנשים ואחד הנשים</w:t>
      </w:r>
      <w:r w:rsidRPr="00197860">
        <w:rPr>
          <w:rStyle w:val="Style1Char"/>
          <w:sz w:val="22"/>
          <w:szCs w:val="22"/>
          <w:rtl/>
        </w:rPr>
        <w:t xml:space="preserve">. </w:t>
      </w:r>
      <w:r w:rsidRPr="00741DD8">
        <w:rPr>
          <w:rStyle w:val="Style1Char"/>
          <w:color w:val="auto"/>
          <w:sz w:val="22"/>
          <w:szCs w:val="22"/>
          <w:rtl/>
        </w:rPr>
        <w:t xml:space="preserve">נשא אשה בא"י וגרשה בארץ ישראל - נותן לה ממעות ארץ ישראל. נשא אשה בא"י וגרשה בקפוטקיא - נותן לה ממעות ארץ ישראל. נשא אשה בקפוטקיא וגרשה בארץ ישראל - נותן לה ממעות ארץ ישראל, רבן שמעון בן גמליאל אומר: נותן לה ממעות קפוטקיא. נשא אשה בקפוטקיא וגרשה בקפוטקיא - נותן לה ממעות קפוטקיא. </w:t>
      </w:r>
    </w:p>
    <w:p w14:paraId="46FDB02B" w14:textId="4B40ADE7" w:rsidR="000C5939" w:rsidRPr="008B6EC7" w:rsidRDefault="000C5939" w:rsidP="000C5939">
      <w:pPr>
        <w:bidi/>
        <w:rPr>
          <w:rStyle w:val="Style1Char"/>
          <w:sz w:val="22"/>
          <w:szCs w:val="22"/>
        </w:rPr>
      </w:pPr>
      <w:r w:rsidRPr="00235B7E">
        <w:rPr>
          <w:rStyle w:val="Style1Char"/>
          <w:color w:val="auto"/>
          <w:sz w:val="22"/>
          <w:szCs w:val="22"/>
          <w:rtl/>
        </w:rPr>
        <w:t xml:space="preserve">גמ'. הכל מעלין </w:t>
      </w:r>
      <w:r w:rsidRPr="00235B7E">
        <w:rPr>
          <w:rFonts w:ascii="Arial" w:hAnsi="Arial" w:cs="Arial"/>
          <w:color w:val="806000" w:themeColor="accent4" w:themeShade="80"/>
          <w:rtl/>
        </w:rPr>
        <w:t>לא"י</w:t>
      </w:r>
      <w:r w:rsidRPr="00235B7E">
        <w:rPr>
          <w:rStyle w:val="Style1Char"/>
          <w:color w:val="806000" w:themeColor="accent4" w:themeShade="80"/>
          <w:sz w:val="32"/>
          <w:szCs w:val="32"/>
          <w:rtl/>
        </w:rPr>
        <w:t xml:space="preserve"> </w:t>
      </w:r>
      <w:r w:rsidRPr="00F92BB2">
        <w:rPr>
          <w:rStyle w:val="Style1Char"/>
          <w:sz w:val="22"/>
          <w:szCs w:val="22"/>
          <w:rtl/>
        </w:rPr>
        <w:t xml:space="preserve">לאתויי מאי? </w:t>
      </w:r>
      <w:r w:rsidR="00696EFB">
        <w:rPr>
          <w:rStyle w:val="Style1Char"/>
          <w:rFonts w:hint="cs"/>
          <w:rtl/>
        </w:rPr>
        <w:t>(5)</w:t>
      </w:r>
      <w:r w:rsidRPr="00235B7E">
        <w:rPr>
          <w:rStyle w:val="Style1Char"/>
          <w:color w:val="auto"/>
          <w:sz w:val="22"/>
          <w:szCs w:val="22"/>
          <w:rtl/>
        </w:rPr>
        <w:t xml:space="preserve">לאתויי עבדים. ולמאן דתני עבדים </w:t>
      </w:r>
      <w:r w:rsidRPr="001C3C1D">
        <w:rPr>
          <w:rStyle w:val="Style1Char"/>
          <w:color w:val="00B050"/>
          <w:rtl/>
        </w:rPr>
        <w:t xml:space="preserve">בהדיא, </w:t>
      </w:r>
      <w:r w:rsidRPr="00F92BB2">
        <w:rPr>
          <w:rStyle w:val="Style1Char"/>
          <w:sz w:val="22"/>
          <w:szCs w:val="22"/>
          <w:rtl/>
        </w:rPr>
        <w:t xml:space="preserve">לאתויי מאי? </w:t>
      </w:r>
      <w:r w:rsidRPr="00235B7E">
        <w:rPr>
          <w:rStyle w:val="Style1Char"/>
          <w:color w:val="auto"/>
          <w:sz w:val="22"/>
          <w:szCs w:val="22"/>
          <w:rtl/>
        </w:rPr>
        <w:t xml:space="preserve">לאתויי </w:t>
      </w:r>
      <w:r w:rsidR="00696EFB">
        <w:rPr>
          <w:rStyle w:val="Style1Char"/>
          <w:rFonts w:hint="cs"/>
          <w:rtl/>
        </w:rPr>
        <w:t>(4.1, 4.2)</w:t>
      </w:r>
      <w:r w:rsidRPr="00235B7E">
        <w:rPr>
          <w:rStyle w:val="Style1Char"/>
          <w:color w:val="auto"/>
          <w:sz w:val="22"/>
          <w:szCs w:val="22"/>
          <w:rtl/>
        </w:rPr>
        <w:t xml:space="preserve">מנוה היפה לנוה הרעה. ואין הכל מוציאין </w:t>
      </w:r>
      <w:r w:rsidRPr="00F92BB2">
        <w:rPr>
          <w:rStyle w:val="Style1Char"/>
          <w:sz w:val="22"/>
          <w:szCs w:val="22"/>
          <w:rtl/>
        </w:rPr>
        <w:t xml:space="preserve">לאתויי מאי? </w:t>
      </w:r>
      <w:r w:rsidRPr="00235B7E">
        <w:rPr>
          <w:rStyle w:val="Style1Char"/>
          <w:color w:val="auto"/>
          <w:sz w:val="22"/>
          <w:szCs w:val="22"/>
          <w:rtl/>
        </w:rPr>
        <w:t xml:space="preserve">לאתויי </w:t>
      </w:r>
      <w:r w:rsidR="00696EFB">
        <w:rPr>
          <w:rStyle w:val="Style1Char"/>
          <w:rFonts w:hint="cs"/>
          <w:rtl/>
        </w:rPr>
        <w:t>(6)</w:t>
      </w:r>
      <w:r w:rsidRPr="00235B7E">
        <w:rPr>
          <w:rStyle w:val="Style1Char"/>
          <w:color w:val="auto"/>
          <w:sz w:val="22"/>
          <w:szCs w:val="22"/>
          <w:rtl/>
        </w:rPr>
        <w:t>עבד שברח מחוצה לארץ לארץ</w:t>
      </w:r>
      <w:r w:rsidRPr="001C3C1D">
        <w:rPr>
          <w:rStyle w:val="Style1Char"/>
          <w:color w:val="00B050"/>
          <w:rtl/>
        </w:rPr>
        <w:t xml:space="preserve">, דאמרינן ליה: זבניה הכא וזיל, משום ישיבת ארץ ישראל. </w:t>
      </w:r>
      <w:r w:rsidRPr="00235B7E">
        <w:rPr>
          <w:rStyle w:val="Style1Char"/>
          <w:color w:val="auto"/>
          <w:sz w:val="22"/>
          <w:szCs w:val="22"/>
          <w:rtl/>
        </w:rPr>
        <w:t xml:space="preserve">הכל מעלין לירושלים </w:t>
      </w:r>
      <w:r w:rsidRPr="00FD0816">
        <w:rPr>
          <w:rStyle w:val="Style1Char"/>
          <w:sz w:val="22"/>
          <w:szCs w:val="22"/>
          <w:rtl/>
        </w:rPr>
        <w:t xml:space="preserve">לאתויי מאי? </w:t>
      </w:r>
      <w:r w:rsidRPr="00235B7E">
        <w:rPr>
          <w:rStyle w:val="Style1Char"/>
          <w:color w:val="auto"/>
          <w:sz w:val="22"/>
          <w:szCs w:val="22"/>
          <w:rtl/>
        </w:rPr>
        <w:t>לאתויי מנוה היפה לנוה הרעה</w:t>
      </w:r>
      <w:r w:rsidRPr="00FD0816">
        <w:rPr>
          <w:rStyle w:val="Style1Char"/>
          <w:sz w:val="22"/>
          <w:szCs w:val="22"/>
          <w:rtl/>
        </w:rPr>
        <w:t xml:space="preserve">. </w:t>
      </w:r>
      <w:r w:rsidRPr="00235B7E">
        <w:rPr>
          <w:rStyle w:val="Style1Char"/>
          <w:color w:val="auto"/>
          <w:sz w:val="22"/>
          <w:szCs w:val="22"/>
          <w:rtl/>
        </w:rPr>
        <w:t xml:space="preserve">ואין הכל מוציאין </w:t>
      </w:r>
      <w:r w:rsidRPr="00FD0816">
        <w:rPr>
          <w:rStyle w:val="Style1Char"/>
          <w:sz w:val="22"/>
          <w:szCs w:val="22"/>
          <w:rtl/>
        </w:rPr>
        <w:t xml:space="preserve">לאתויי מאי? </w:t>
      </w:r>
      <w:r w:rsidRPr="00235B7E">
        <w:rPr>
          <w:rStyle w:val="Style1Char"/>
          <w:color w:val="auto"/>
          <w:sz w:val="22"/>
          <w:szCs w:val="22"/>
          <w:rtl/>
        </w:rPr>
        <w:t>לאתויי אפי' מנוה הרעה לנוה היפה</w:t>
      </w:r>
      <w:r w:rsidRPr="001C3C1D">
        <w:rPr>
          <w:rStyle w:val="Style1Char"/>
          <w:color w:val="00B050"/>
          <w:rtl/>
        </w:rPr>
        <w:t xml:space="preserve">, ואיידי דתנא רישא אין מוציאין, תנא סיפא נמי אין מוציאין. </w:t>
      </w:r>
      <w:r w:rsidRPr="008B6EC7">
        <w:rPr>
          <w:rStyle w:val="Style1Char"/>
          <w:sz w:val="22"/>
          <w:szCs w:val="22"/>
          <w:rtl/>
        </w:rPr>
        <w:t>ת</w:t>
      </w:r>
      <w:r w:rsidRPr="00EC2D08">
        <w:rPr>
          <w:rStyle w:val="Style1Char"/>
          <w:color w:val="auto"/>
          <w:sz w:val="22"/>
          <w:szCs w:val="22"/>
          <w:rtl/>
        </w:rPr>
        <w:t xml:space="preserve">"ר: </w:t>
      </w:r>
      <w:r w:rsidR="008C45A3">
        <w:rPr>
          <w:rStyle w:val="Style1Char"/>
          <w:rFonts w:hint="cs"/>
          <w:rtl/>
        </w:rPr>
        <w:t>(7)</w:t>
      </w:r>
      <w:r w:rsidRPr="00EC2D08">
        <w:rPr>
          <w:rStyle w:val="Style1Char"/>
          <w:color w:val="auto"/>
          <w:sz w:val="22"/>
          <w:szCs w:val="22"/>
          <w:rtl/>
        </w:rPr>
        <w:t xml:space="preserve">הוא אומר לעלות, והיא אומרת שלא לעלות - כופין אותה לעלות, ואם לאו - תצא בלא כתובה, </w:t>
      </w:r>
      <w:r w:rsidR="008C45A3">
        <w:rPr>
          <w:rStyle w:val="Style1Char"/>
          <w:rFonts w:hint="cs"/>
          <w:rtl/>
        </w:rPr>
        <w:t>(7)</w:t>
      </w:r>
      <w:r w:rsidRPr="00EC2D08">
        <w:rPr>
          <w:rStyle w:val="Style1Char"/>
          <w:color w:val="auto"/>
          <w:sz w:val="22"/>
          <w:szCs w:val="22"/>
          <w:rtl/>
        </w:rPr>
        <w:t xml:space="preserve">היא אומרת לעלות, והוא אומר שלא לעלות - כופין אותו לעלות, ואם לאו - יוציא ויתן כתובה. היא אומרת לצאת, והוא אומר שלא לצאת - כופין אותה שלא לצאת, ואם לאו - תצא בלא כתובה; הוא אומר לצאת, והיא אומרת שלא לצאת - כופין אותו שלא לצאת, ואם לאו - יוציא ויתן כתובה. </w:t>
      </w:r>
      <w:r w:rsidRPr="00B94F6A">
        <w:rPr>
          <w:rFonts w:ascii="Arial" w:hAnsi="Arial" w:cs="Arial"/>
          <w:color w:val="4472C4" w:themeColor="accent1"/>
          <w:sz w:val="16"/>
          <w:szCs w:val="16"/>
          <w:rtl/>
        </w:rPr>
        <w:t>והא דקאמר תצא בלא כתובה כתב רבינו מאיר</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דדינה כדין איילונית שכתבתי לעיל</w:t>
      </w:r>
    </w:p>
    <w:p w14:paraId="0D5C3A6A" w14:textId="4A8D20BA" w:rsidR="000C5939" w:rsidRDefault="008C45A3" w:rsidP="000C5939">
      <w:pPr>
        <w:bidi/>
        <w:rPr>
          <w:rStyle w:val="Style1Char"/>
          <w:color w:val="00B050"/>
          <w:rtl/>
        </w:rPr>
      </w:pPr>
      <w:r>
        <w:rPr>
          <w:rStyle w:val="Style1Char"/>
          <w:rFonts w:hint="cs"/>
          <w:rtl/>
        </w:rPr>
        <w:lastRenderedPageBreak/>
        <w:t>(8)</w:t>
      </w:r>
      <w:r w:rsidR="000C5939" w:rsidRPr="008B6EC7">
        <w:rPr>
          <w:rStyle w:val="Style1Char"/>
          <w:sz w:val="22"/>
          <w:szCs w:val="22"/>
          <w:rtl/>
        </w:rPr>
        <w:t xml:space="preserve">נשא אשה </w:t>
      </w:r>
      <w:r w:rsidR="000C5939" w:rsidRPr="008B6EC7">
        <w:rPr>
          <w:rFonts w:ascii="Arial" w:hAnsi="Arial" w:cs="Arial"/>
          <w:color w:val="C00000"/>
          <w:rtl/>
        </w:rPr>
        <w:t xml:space="preserve">בא"י </w:t>
      </w:r>
      <w:r w:rsidR="000C5939" w:rsidRPr="008B6EC7">
        <w:rPr>
          <w:rStyle w:val="Style1Char"/>
          <w:sz w:val="22"/>
          <w:szCs w:val="22"/>
          <w:rtl/>
        </w:rPr>
        <w:t xml:space="preserve">כו'. </w:t>
      </w:r>
      <w:r w:rsidR="000C5939" w:rsidRPr="00E37140">
        <w:rPr>
          <w:rStyle w:val="Style1Char"/>
          <w:color w:val="auto"/>
          <w:sz w:val="22"/>
          <w:szCs w:val="22"/>
          <w:rtl/>
        </w:rPr>
        <w:t>הא גופא קשיא, קתני: נשא אשה בארץ ישראל וגרשה בקפוטקיא - נותן לה ממעות ארץ ישראל, אלמא בתר שיעבודא אזלינן</w:t>
      </w:r>
      <w:r w:rsidR="000C5939" w:rsidRPr="008B6EC7">
        <w:rPr>
          <w:rStyle w:val="Style1Char"/>
          <w:sz w:val="22"/>
          <w:szCs w:val="22"/>
          <w:rtl/>
        </w:rPr>
        <w:t xml:space="preserve">; </w:t>
      </w:r>
      <w:r w:rsidR="000C5939" w:rsidRPr="001C3C1D">
        <w:rPr>
          <w:rStyle w:val="Style1Char"/>
          <w:color w:val="00B050"/>
          <w:rtl/>
        </w:rPr>
        <w:t>אימא סיפא</w:t>
      </w:r>
      <w:r w:rsidR="000C5939" w:rsidRPr="008B6EC7">
        <w:rPr>
          <w:rFonts w:ascii="Arial" w:hAnsi="Arial" w:cs="Arial"/>
          <w:color w:val="C00000"/>
          <w:sz w:val="16"/>
          <w:szCs w:val="16"/>
          <w:rtl/>
        </w:rPr>
        <w:t xml:space="preserve"> </w:t>
      </w:r>
      <w:r w:rsidR="000C5939" w:rsidRPr="00E37140">
        <w:rPr>
          <w:rFonts w:ascii="Arial" w:hAnsi="Arial" w:cs="Arial"/>
          <w:color w:val="806000" w:themeColor="accent4" w:themeShade="80"/>
          <w:rtl/>
        </w:rPr>
        <w:t>והדר תני</w:t>
      </w:r>
      <w:r w:rsidR="000C5939" w:rsidRPr="001C3C1D">
        <w:rPr>
          <w:rStyle w:val="Style1Char"/>
          <w:color w:val="00B050"/>
          <w:rtl/>
        </w:rPr>
        <w:t xml:space="preserve">: </w:t>
      </w:r>
      <w:r w:rsidR="000C5939" w:rsidRPr="00E37140">
        <w:rPr>
          <w:rStyle w:val="Style1Char"/>
          <w:color w:val="auto"/>
          <w:sz w:val="22"/>
          <w:szCs w:val="22"/>
          <w:rtl/>
        </w:rPr>
        <w:t>נשא אשה בקפוטקיא וגרשה בארץ ישראל - נותן לה ממעות ארץ ישראל, אלמא בתר גוביינא אזלינן! אמר</w:t>
      </w:r>
      <w:r w:rsidR="000C5939" w:rsidRPr="008B6EC7">
        <w:rPr>
          <w:rStyle w:val="Style1Char"/>
          <w:sz w:val="22"/>
          <w:szCs w:val="22"/>
          <w:rtl/>
        </w:rPr>
        <w:t xml:space="preserve"> </w:t>
      </w:r>
      <w:r w:rsidR="000C5939" w:rsidRPr="001C3C1D">
        <w:rPr>
          <w:rStyle w:val="Style1Char"/>
          <w:color w:val="00B050"/>
          <w:rtl/>
        </w:rPr>
        <w:t>רבה</w:t>
      </w:r>
      <w:r w:rsidR="000C5939">
        <w:rPr>
          <w:rStyle w:val="Style1Char"/>
          <w:rFonts w:hint="cs"/>
          <w:color w:val="00B050"/>
          <w:rtl/>
        </w:rPr>
        <w:t xml:space="preserve"> </w:t>
      </w:r>
      <w:r w:rsidR="000C5939" w:rsidRPr="00AC0692">
        <w:rPr>
          <w:rStyle w:val="Style1Char"/>
          <w:rFonts w:hint="cs"/>
          <w:color w:val="806000" w:themeColor="accent4" w:themeShade="80"/>
          <w:sz w:val="22"/>
          <w:szCs w:val="22"/>
          <w:rtl/>
        </w:rPr>
        <w:t>רב</w:t>
      </w:r>
      <w:r w:rsidR="000C5939">
        <w:rPr>
          <w:rStyle w:val="Style1Char"/>
          <w:rFonts w:hint="cs"/>
          <w:color w:val="806000" w:themeColor="accent4" w:themeShade="80"/>
          <w:sz w:val="22"/>
          <w:szCs w:val="22"/>
          <w:rtl/>
        </w:rPr>
        <w:t>י</w:t>
      </w:r>
      <w:r w:rsidR="000C5939" w:rsidRPr="00AC0692">
        <w:rPr>
          <w:rStyle w:val="Style1Char"/>
          <w:rFonts w:hint="cs"/>
          <w:color w:val="806000" w:themeColor="accent4" w:themeShade="80"/>
          <w:sz w:val="22"/>
          <w:szCs w:val="22"/>
          <w:rtl/>
        </w:rPr>
        <w:t xml:space="preserve"> אבא</w:t>
      </w:r>
      <w:r w:rsidR="000C5939" w:rsidRPr="00501F94">
        <w:rPr>
          <w:rStyle w:val="Style1Char"/>
          <w:sz w:val="22"/>
          <w:szCs w:val="22"/>
          <w:rtl/>
        </w:rPr>
        <w:t xml:space="preserve">: </w:t>
      </w:r>
      <w:r>
        <w:rPr>
          <w:rStyle w:val="Style1Char"/>
          <w:rFonts w:hint="cs"/>
          <w:rtl/>
        </w:rPr>
        <w:t>(8)</w:t>
      </w:r>
      <w:r w:rsidR="000C5939" w:rsidRPr="00AC0692">
        <w:rPr>
          <w:rStyle w:val="Style1Char"/>
          <w:color w:val="auto"/>
          <w:sz w:val="22"/>
          <w:szCs w:val="22"/>
          <w:rtl/>
        </w:rPr>
        <w:t>מקולי כתובה שנו כאן</w:t>
      </w:r>
      <w:r w:rsidR="000C5939" w:rsidRPr="00501F94">
        <w:rPr>
          <w:rStyle w:val="Style1Char"/>
          <w:sz w:val="22"/>
          <w:szCs w:val="22"/>
          <w:rtl/>
        </w:rPr>
        <w:t xml:space="preserve">, </w:t>
      </w:r>
      <w:r w:rsidR="000C5939" w:rsidRPr="001C3C1D">
        <w:rPr>
          <w:rStyle w:val="Style1Char"/>
          <w:color w:val="00B050"/>
          <w:rtl/>
        </w:rPr>
        <w:t xml:space="preserve">קסבר: כתובה דרבנן. </w:t>
      </w:r>
    </w:p>
    <w:p w14:paraId="2639B15A" w14:textId="3F6F0329" w:rsidR="000C5939" w:rsidRPr="00B94F6A" w:rsidRDefault="000C5939" w:rsidP="000C5939">
      <w:pPr>
        <w:bidi/>
        <w:rPr>
          <w:rFonts w:ascii="Arial" w:hAnsi="Arial" w:cs="Arial"/>
          <w:color w:val="4472C4" w:themeColor="accent1"/>
          <w:sz w:val="16"/>
          <w:szCs w:val="16"/>
        </w:rPr>
      </w:pPr>
      <w:r w:rsidRPr="00AC0692">
        <w:rPr>
          <w:rStyle w:val="Style1Char"/>
          <w:color w:val="auto"/>
          <w:sz w:val="22"/>
          <w:szCs w:val="22"/>
          <w:rtl/>
        </w:rPr>
        <w:t xml:space="preserve">רבן שמעון בן גמליאל אומר: נותן לה ממעות קפוטקיא. קסבר: כתובה דאורייתא. תנו רבנן: </w:t>
      </w:r>
      <w:r w:rsidR="00852FEA">
        <w:rPr>
          <w:rStyle w:val="Style1Char"/>
          <w:rFonts w:hint="cs"/>
          <w:rtl/>
        </w:rPr>
        <w:t>(9)</w:t>
      </w:r>
      <w:r w:rsidRPr="00AC0692">
        <w:rPr>
          <w:rStyle w:val="Style1Char"/>
          <w:color w:val="auto"/>
          <w:sz w:val="22"/>
          <w:szCs w:val="22"/>
          <w:rtl/>
        </w:rPr>
        <w:t xml:space="preserve">המוציא שטר חוב על חבירו, כתוב בו בבל - מגבהו ממעות בבל, כתוב בו ארץ ישראל - מגבהו ממעות ארץ ישראל; </w:t>
      </w:r>
      <w:r w:rsidR="00852FEA">
        <w:rPr>
          <w:rStyle w:val="Style1Char"/>
          <w:rFonts w:hint="cs"/>
          <w:rtl/>
        </w:rPr>
        <w:t>(9)</w:t>
      </w:r>
      <w:r w:rsidRPr="00AC0692">
        <w:rPr>
          <w:rStyle w:val="Style1Char"/>
          <w:color w:val="auto"/>
          <w:sz w:val="22"/>
          <w:szCs w:val="22"/>
          <w:rtl/>
        </w:rPr>
        <w:t>כתוב בו סתם, הוציאו בבבל - מגבהו ממעות בבל, הוציאו בארץ ישראל - מגבהו ממעות ארץ ישראל; כתוב בו כסף סתם - מה שירצה לוה מגבהו; מה שאין כן בכתובה. אהייא? אמר רב משרשיא: ארישא, לאפוקי מדרשב"ג, דאמר: כתובה דאורייתא</w:t>
      </w:r>
      <w:r w:rsidRPr="00AC0692">
        <w:rPr>
          <w:rFonts w:ascii="Arial" w:hAnsi="Arial" w:cs="Arial"/>
          <w:sz w:val="16"/>
          <w:szCs w:val="16"/>
          <w:rtl/>
        </w:rPr>
        <w:t xml:space="preserve"> </w:t>
      </w:r>
      <w:r w:rsidRPr="00501F94">
        <w:rPr>
          <w:rFonts w:ascii="Arial" w:hAnsi="Arial" w:cs="Arial"/>
          <w:color w:val="C00000"/>
          <w:rtl/>
        </w:rPr>
        <w:t>קמ"ל דרבנן וכן הלכתא</w:t>
      </w:r>
      <w:r w:rsidRPr="00501F94">
        <w:rPr>
          <w:rFonts w:ascii="Arial" w:hAnsi="Arial" w:cs="Arial"/>
          <w:color w:val="C00000"/>
        </w:rPr>
        <w:t>:</w:t>
      </w:r>
      <w:r w:rsidRPr="00501F94">
        <w:rPr>
          <w:rStyle w:val="Style1Char"/>
          <w:sz w:val="22"/>
          <w:szCs w:val="22"/>
          <w:rtl/>
        </w:rPr>
        <w:t>.</w:t>
      </w:r>
      <w:r w:rsidRPr="00B94F6A">
        <w:rPr>
          <w:rFonts w:ascii="Arial" w:hAnsi="Arial" w:cs="Arial"/>
          <w:color w:val="4472C4" w:themeColor="accent1"/>
          <w:sz w:val="16"/>
          <w:szCs w:val="16"/>
          <w:rtl/>
        </w:rPr>
        <w:t>ולעיל</w:t>
      </w:r>
      <w:r>
        <w:rPr>
          <w:rFonts w:ascii="Arial" w:hAnsi="Arial" w:cs="Arial" w:hint="cs"/>
          <w:color w:val="4472C4" w:themeColor="accent1"/>
          <w:sz w:val="16"/>
          <w:szCs w:val="16"/>
        </w:rPr>
        <w:t>‍</w:t>
      </w:r>
      <w:r w:rsidRPr="00B94F6A">
        <w:rPr>
          <w:rFonts w:ascii="Arial" w:hAnsi="Arial" w:cs="Arial"/>
          <w:color w:val="4472C4" w:themeColor="accent1"/>
          <w:sz w:val="16"/>
          <w:szCs w:val="16"/>
          <w:rtl/>
        </w:rPr>
        <w:t xml:space="preserve"> בפ"ק (סי' יט) כתבתי דברי ר"ת ז"ל שפסק דכתובה דאורייתא</w:t>
      </w:r>
      <w:r w:rsidRPr="00B94F6A">
        <w:rPr>
          <w:rFonts w:ascii="Arial" w:hAnsi="Arial" w:cs="Arial"/>
          <w:color w:val="4472C4" w:themeColor="accent1"/>
          <w:sz w:val="16"/>
          <w:szCs w:val="16"/>
        </w:rPr>
        <w:t>:</w:t>
      </w:r>
    </w:p>
    <w:p w14:paraId="0E55900E" w14:textId="2DB76980" w:rsidR="000C5939" w:rsidRDefault="000C5939" w:rsidP="000C5939">
      <w:pPr>
        <w:bidi/>
        <w:rPr>
          <w:rStyle w:val="Style1Char"/>
          <w:color w:val="00B050"/>
          <w:rtl/>
        </w:rPr>
      </w:pPr>
      <w:r w:rsidRPr="00501F94">
        <w:rPr>
          <w:rStyle w:val="Style1Char"/>
          <w:sz w:val="22"/>
          <w:szCs w:val="22"/>
          <w:rtl/>
        </w:rPr>
        <w:t xml:space="preserve"> </w:t>
      </w:r>
      <w:r w:rsidRPr="001C3C1D">
        <w:rPr>
          <w:rStyle w:val="Style1Char"/>
          <w:color w:val="00B050"/>
          <w:rtl/>
        </w:rPr>
        <w:t xml:space="preserve">כתוב בו כסף סתם - מה שירצה לוה מגבהו. </w:t>
      </w:r>
      <w:r w:rsidR="0048079D">
        <w:rPr>
          <w:rStyle w:val="Style1Char"/>
          <w:rFonts w:hint="cs"/>
          <w:rtl/>
        </w:rPr>
        <w:t>(9.1, 10)</w:t>
      </w:r>
      <w:r w:rsidRPr="001C3C1D">
        <w:rPr>
          <w:rStyle w:val="Style1Char"/>
          <w:color w:val="00B050"/>
          <w:rtl/>
        </w:rPr>
        <w:t xml:space="preserve">ואימא: נסכא! א"ר אלעזר: דכתיב ביה מטבע. ואימא: פריטי! אמר רב פפא: פריטי דכספא לא עבדי אינשי. ת"ר: </w:t>
      </w:r>
      <w:r w:rsidR="0048079D">
        <w:rPr>
          <w:rStyle w:val="Style1Char"/>
          <w:rFonts w:hint="cs"/>
          <w:rtl/>
        </w:rPr>
        <w:t>(4.1, 4.2, 11)</w:t>
      </w:r>
      <w:r w:rsidRPr="001C3C1D">
        <w:rPr>
          <w:rStyle w:val="Style1Char"/>
          <w:color w:val="00B050"/>
          <w:rtl/>
        </w:rPr>
        <w:t xml:space="preserve">לעולם ידור אדם בא"י אפי' בעיר שרובה עובדי כוכבים, ואל ידור בחו"ל ואפילו בעיר שרובה ישראל, </w:t>
      </w:r>
      <w:r w:rsidR="00DE413E">
        <w:rPr>
          <w:rStyle w:val="Style1Char"/>
          <w:rFonts w:hint="cs"/>
          <w:rtl/>
        </w:rPr>
        <w:t>(4.1, 4.2, 11)</w:t>
      </w:r>
      <w:r w:rsidRPr="001C3C1D">
        <w:rPr>
          <w:rStyle w:val="Style1Char"/>
          <w:color w:val="00B050"/>
          <w:rtl/>
        </w:rPr>
        <w:t xml:space="preserve">שכל הדר בארץ ישראל - דומה כמי שיש לו אלוה, וכל הדר בחוצה לארץ - דומה כמי שאין לו אלוה, שנא': לתת לכם את ארץ כנען להיות לכם לאלהים, וכל שאינו דר בארץ אין לו אלוה? אלא לומר לך: כל הדר בחו"ל - כאילו עובד עבודת כוכבים; וכן בדוד הוא אומר: כי גרשוני היום מהסתפח בנחלת ה' לאמר לך עבוד אלהים אחרים, וכי מי אמר לו לדוד לך עבוד אלהים אחרים? אלא לומר לך: כל הדר בחו"ל - כאילו עובד עבודת כוכבים. ר' זירא הוה קמשתמיט מיניה דרב יהודה, דבעא למיסק לארץ ישראל, דאמר רב יהודה: </w:t>
      </w:r>
      <w:r w:rsidR="00DE413E">
        <w:rPr>
          <w:rStyle w:val="Style1Char"/>
          <w:rFonts w:hint="cs"/>
          <w:rtl/>
        </w:rPr>
        <w:t>(11)</w:t>
      </w:r>
      <w:r w:rsidRPr="001C3C1D">
        <w:rPr>
          <w:rStyle w:val="Style1Char"/>
          <w:color w:val="00B050"/>
          <w:rtl/>
        </w:rPr>
        <w:t xml:space="preserve">כל העולה מבבל לארץ ישראל עובר בעשה, שנאמר: </w:t>
      </w:r>
    </w:p>
    <w:p w14:paraId="2A186837" w14:textId="037F1A6D" w:rsidR="005E67AE" w:rsidRDefault="005E67AE" w:rsidP="005E67AE">
      <w:pPr>
        <w:pStyle w:val="Style1"/>
        <w:rPr>
          <w:rStyle w:val="Style1Char"/>
          <w:rtl/>
        </w:rPr>
      </w:pPr>
      <w:r>
        <w:rPr>
          <w:rStyle w:val="Style1Char"/>
          <w:rFonts w:hint="cs"/>
          <w:rtl/>
        </w:rPr>
        <w:t>1)[</w:t>
      </w:r>
      <w:r w:rsidR="00213DA1">
        <w:rPr>
          <w:rStyle w:val="Style1Char"/>
          <w:rtl/>
        </w:rPr>
        <w:t xml:space="preserve">רמב”ם \נשים\ הלכות אישות </w:t>
      </w:r>
      <w:r w:rsidRPr="005E67AE">
        <w:rPr>
          <w:rStyle w:val="Style1Char"/>
          <w:rtl/>
        </w:rPr>
        <w:t>פרק יג הלכה יח</w:t>
      </w:r>
      <w:r>
        <w:rPr>
          <w:rStyle w:val="Style1Char"/>
          <w:rFonts w:hint="cs"/>
          <w:rtl/>
        </w:rPr>
        <w:t xml:space="preserve">] </w:t>
      </w:r>
      <w:r w:rsidRPr="005E67AE">
        <w:rPr>
          <w:rStyle w:val="Style1Char"/>
          <w:rtl/>
        </w:rPr>
        <w:t>וכשמוציאה ממדינה למדינה או מכפר לכפר באותה הארץ אינו מוציאה מנוה היפה לנוה הרע ולא מרע ליפה מפני שהיא צריכה להטפל ולבדוק עצמה יפה בנוה היפה כדי שלא תהיה בו קלה וכעורה. וכן לא יוציאה ממקום שרובו ישראל למקום שרובו גוים, ובכל מקום מוציאין ממקום שרובו גוים למקום שרובו ישראל.</w:t>
      </w:r>
    </w:p>
    <w:p w14:paraId="53605D4A" w14:textId="4F419324" w:rsidR="005E67AE" w:rsidRPr="005E67AE" w:rsidRDefault="005E67AE" w:rsidP="005E67AE">
      <w:pPr>
        <w:pStyle w:val="Style1"/>
      </w:pPr>
      <w:r>
        <w:rPr>
          <w:rStyle w:val="Style1Char"/>
          <w:rFonts w:hint="cs"/>
          <w:rtl/>
        </w:rPr>
        <w:t>1)[</w:t>
      </w:r>
      <w:r w:rsidRPr="005E67AE">
        <w:rPr>
          <w:rStyle w:val="Style1Char"/>
          <w:rtl/>
        </w:rPr>
        <w:t>שולחן ערוך אבן העזר הלכות כתובות סימן עה סעיף ב</w:t>
      </w:r>
      <w:r>
        <w:rPr>
          <w:rStyle w:val="Style1Char"/>
          <w:rFonts w:hint="cs"/>
          <w:rtl/>
        </w:rPr>
        <w:t xml:space="preserve">] </w:t>
      </w:r>
      <w:r w:rsidRPr="005E67AE">
        <w:rPr>
          <w:rtl/>
        </w:rPr>
        <w:t>כשמוציאה ממדינה למדינה ומכפר לכפר באותה הארץ, אינו יכול להוציאה, מנָוֶה יפה לנָוֶה הרע, ולא מרע ליפה; וכן לא יוציאנה ממקום שרובן ישראל למקום שרובו עכו"ם. ובכל מקום מוציאין ממקום שרובו כותים למקום שרובו ישראל</w:t>
      </w:r>
      <w:r w:rsidRPr="005E67AE">
        <w:t>.</w:t>
      </w:r>
    </w:p>
    <w:p w14:paraId="32E7CF87" w14:textId="77777777" w:rsidR="005E67AE" w:rsidRPr="005E67AE" w:rsidRDefault="005E67AE" w:rsidP="005E67AE">
      <w:pPr>
        <w:pStyle w:val="Style1"/>
      </w:pPr>
      <w:r w:rsidRPr="005E67AE">
        <w:rPr>
          <w:rFonts w:hint="cs"/>
          <w:rtl/>
        </w:rPr>
        <w:t>הגה: ואינו יכול להוציאה ממקום שהמושל טוב למקום שהמושל רע (הגהות מיימוני פרק י"ג דאשות)</w:t>
      </w:r>
      <w:r w:rsidRPr="005E67AE">
        <w:rPr>
          <w:rFonts w:hint="cs"/>
        </w:rPr>
        <w:t>.</w:t>
      </w:r>
    </w:p>
    <w:p w14:paraId="02113A40" w14:textId="1A957544" w:rsidR="005E67AE" w:rsidRDefault="005E67AE" w:rsidP="005E67AE">
      <w:pPr>
        <w:pStyle w:val="Style1"/>
        <w:rPr>
          <w:rtl/>
        </w:rPr>
      </w:pPr>
      <w:r w:rsidRPr="005E67AE">
        <w:rPr>
          <w:rFonts w:hint="cs"/>
          <w:rtl/>
        </w:rPr>
        <w:t>כל מקום שיכול להוציאה ממקומה -- היינו לאחר שכנסה ונשאה; אבל קודם נשואין לא יכול להוציאה וצריך לכנסה במקומה, אם לא התנה בפירוש עם האשה; אבל אם התנה עם אמה - לאו כלום הוא</w:t>
      </w:r>
      <w:r w:rsidRPr="005E67AE">
        <w:rPr>
          <w:rFonts w:hint="cs"/>
        </w:rPr>
        <w:t>. (</w:t>
      </w:r>
      <w:hyperlink r:id="rId295" w:tooltip="תשובות ריב&quot;ש/קעז" w:history="1">
        <w:r w:rsidRPr="005E67AE">
          <w:rPr>
            <w:rStyle w:val="Hyperlink"/>
            <w:rFonts w:hint="cs"/>
            <w:color w:val="7030A0"/>
            <w:u w:val="none"/>
            <w:rtl/>
          </w:rPr>
          <w:t>ריב"ש סימן קע"ז</w:t>
        </w:r>
      </w:hyperlink>
      <w:r w:rsidRPr="005E67AE">
        <w:rPr>
          <w:rFonts w:hint="cs"/>
        </w:rPr>
        <w:t xml:space="preserve">) </w:t>
      </w:r>
      <w:r w:rsidRPr="005E67AE">
        <w:rPr>
          <w:rFonts w:hint="cs"/>
          <w:rtl/>
        </w:rPr>
        <w:t>מיהו, אם יש אמתלאות וטעמים לדבריו, האשה צריכה לילך אחריו (תשובת מימוני לנשים סימן כ"ח</w:t>
      </w:r>
      <w:r w:rsidRPr="005E67AE">
        <w:rPr>
          <w:rFonts w:hint="cs"/>
        </w:rPr>
        <w:t>)</w:t>
      </w:r>
      <w:r w:rsidRPr="005E67AE">
        <w:t>:</w:t>
      </w:r>
    </w:p>
    <w:p w14:paraId="5C26EE2A" w14:textId="3EBE7BC6" w:rsidR="005E67AE" w:rsidRDefault="005E67AE" w:rsidP="005E67AE">
      <w:pPr>
        <w:pStyle w:val="Style1"/>
        <w:rPr>
          <w:rtl/>
        </w:rPr>
      </w:pPr>
      <w:r>
        <w:rPr>
          <w:rFonts w:hint="cs"/>
          <w:rtl/>
        </w:rPr>
        <w:t>2)[</w:t>
      </w:r>
      <w:r w:rsidR="00213DA1">
        <w:rPr>
          <w:rtl/>
        </w:rPr>
        <w:t xml:space="preserve">רמב”ם \נשים\ הלכות אישות </w:t>
      </w:r>
      <w:r>
        <w:rPr>
          <w:rtl/>
        </w:rPr>
        <w:t>פרק יג הלכה יז</w:t>
      </w:r>
      <w:r>
        <w:rPr>
          <w:rFonts w:hint="cs"/>
          <w:rtl/>
        </w:rPr>
        <w:t xml:space="preserve">] </w:t>
      </w:r>
      <w:r>
        <w:rPr>
          <w:rtl/>
        </w:rPr>
        <w:t>איש שהיה מארץ מן הארצות ונשא אשה בארץ אחרת כופין אותה ויוצאה עמו לארצו או תצא בלא כתובה שעל מנת כן נשאה אף על פי שלא פירש, אבל הנושא אשה באחת מן הארצות והוא מאנשי אותה הארץ אינו יכול להוציאה  לארץ אחרת, אבל מוציאה ממדינה למדינה ומכפר לכפר באותה הארץ. ואינו יכול להוציאה ממדינה לכפר ולא מכפר למדינה שיש דברים שישיבת המדינה טובה להם ויש דברים שישיבת הכפרים טובה להם.</w:t>
      </w:r>
    </w:p>
    <w:p w14:paraId="5C8B9CBE" w14:textId="35FE279C" w:rsidR="005E67AE" w:rsidRPr="00833979" w:rsidRDefault="005E67AE" w:rsidP="005E67AE">
      <w:pPr>
        <w:pStyle w:val="Style1"/>
      </w:pPr>
      <w:r>
        <w:rPr>
          <w:rFonts w:hint="cs"/>
          <w:rtl/>
        </w:rPr>
        <w:t>2)[</w:t>
      </w:r>
      <w:r>
        <w:rPr>
          <w:rtl/>
        </w:rPr>
        <w:t>שולחן ערוך אבן העזר הלכות כתובות סימן עה סעיף א</w:t>
      </w:r>
      <w:r>
        <w:rPr>
          <w:rFonts w:hint="cs"/>
          <w:rtl/>
        </w:rPr>
        <w:t xml:space="preserve">] </w:t>
      </w:r>
      <w:r w:rsidRPr="00833979">
        <w:rPr>
          <w:rtl/>
        </w:rPr>
        <w:t>שלש ארצות בארץ ישראל חלוקות זו מזו לענין נשואין, יהודה ועבר הירדן והגליל. וכל הישוב הוא ארצות, כגון ארץ כנען וארץ מצרים וארץ תימן </w:t>
      </w:r>
      <w:r w:rsidRPr="00833979">
        <w:rPr>
          <w:rFonts w:hint="cs"/>
          <w:rtl/>
        </w:rPr>
        <w:t>שחלוקים בלשונם (מוהר"ם סימן קי"ז)</w:t>
      </w:r>
      <w:r w:rsidRPr="00833979">
        <w:t xml:space="preserve">. </w:t>
      </w:r>
      <w:r w:rsidRPr="00833979">
        <w:rPr>
          <w:rtl/>
        </w:rPr>
        <w:t>שמי שהוא מארץ מהארצות ונשא אשה בארץ אחרת, כופין אותה ויוצאה עמו לארצו, או תצא בלא כתובה ובלא תוספת, שעל מנת כן נשאה, אף על פי שלא פירש</w:t>
      </w:r>
      <w:r w:rsidRPr="00833979">
        <w:t>.</w:t>
      </w:r>
    </w:p>
    <w:p w14:paraId="73091CE8" w14:textId="77777777" w:rsidR="005E67AE" w:rsidRPr="00833979" w:rsidRDefault="005E67AE" w:rsidP="005E67AE">
      <w:pPr>
        <w:pStyle w:val="Style1"/>
      </w:pPr>
      <w:r w:rsidRPr="00833979">
        <w:rPr>
          <w:rFonts w:hint="cs"/>
          <w:rtl/>
        </w:rPr>
        <w:t>אבל אינו יכול להוציאה מעיר לכרך או להפך, בגליל (אחד), אף על פי שהתנה עמה להוציאה מגליל ליהודה (הר"ן פרק שני דייני גזרות, וכן כל כיוצא בזה)</w:t>
      </w:r>
      <w:r w:rsidRPr="00833979">
        <w:t>.</w:t>
      </w:r>
    </w:p>
    <w:p w14:paraId="3FA6E219" w14:textId="77777777" w:rsidR="005E67AE" w:rsidRPr="00833979" w:rsidRDefault="005E67AE" w:rsidP="005E67AE">
      <w:pPr>
        <w:pStyle w:val="Style1"/>
      </w:pPr>
      <w:r w:rsidRPr="00833979">
        <w:rPr>
          <w:rtl/>
        </w:rPr>
        <w:t>אבל הנושא אשה באחת מהארצות, והוא מאנשי אותה הארץ, אינו יכול להוציאה לארץ אחרת, אבל מוציאה ממדינה למדינה ומכפר לכפר באותם הארצות, ואינו יכול להוציאה ממדינה לכפר ומכפר למדינה</w:t>
      </w:r>
      <w:r w:rsidRPr="00833979">
        <w:t>.</w:t>
      </w:r>
    </w:p>
    <w:p w14:paraId="003CAFA1" w14:textId="77777777" w:rsidR="005E67AE" w:rsidRPr="00833979" w:rsidRDefault="005E67AE" w:rsidP="005E67AE">
      <w:pPr>
        <w:pStyle w:val="Style1"/>
      </w:pPr>
      <w:r w:rsidRPr="00833979">
        <w:rPr>
          <w:rFonts w:hint="cs"/>
          <w:rtl/>
        </w:rPr>
        <w:t>הגה: ויש אומרים דאם היו שניהם מארץ אחת, ונשאה בארץ אחרת, היא יכולה לכוף אותו לילך עמה לארצה, אפילו מכפר למדינה או להפך (טור בשם רבנו תם). אבל אם שניהם מארץ אחת ונשאה באותה הארץ, אין אחד מהם כופה לשני להוציאו ממדינה לכפר או להפך; אבל ממדינה למדינה או מכפר לכפר, האשה יכולה להכריחו שילך עמה למקומה, הואיל והם שוים (גם זה שם)</w:t>
      </w:r>
      <w:r w:rsidRPr="00833979">
        <w:rPr>
          <w:rFonts w:hint="cs"/>
        </w:rPr>
        <w:t>.</w:t>
      </w:r>
    </w:p>
    <w:p w14:paraId="332A5F19" w14:textId="77777777" w:rsidR="005E67AE" w:rsidRPr="00833979" w:rsidRDefault="005E67AE" w:rsidP="005E67AE">
      <w:pPr>
        <w:pStyle w:val="Style1"/>
      </w:pPr>
      <w:r w:rsidRPr="00833979">
        <w:rPr>
          <w:rFonts w:hint="cs"/>
          <w:rtl/>
        </w:rPr>
        <w:t>היה דר עמה בעירו ולא מתדר שם, ונסע עמה לעירה דרך מקרה, ולא אתדר ליה, יכול לחזור ולהוציאה</w:t>
      </w:r>
      <w:r w:rsidRPr="00833979">
        <w:rPr>
          <w:rFonts w:hint="cs"/>
        </w:rPr>
        <w:t xml:space="preserve"> (</w:t>
      </w:r>
      <w:hyperlink r:id="rId296" w:tooltip="תשובות ריב&quot;ש/פח" w:history="1">
        <w:r w:rsidRPr="00833979">
          <w:rPr>
            <w:rStyle w:val="Hyperlink"/>
            <w:rFonts w:hint="cs"/>
            <w:color w:val="7030A0"/>
            <w:u w:val="none"/>
            <w:rtl/>
          </w:rPr>
          <w:t>ריב"ש סימן פ"ח</w:t>
        </w:r>
      </w:hyperlink>
      <w:r w:rsidRPr="00833979">
        <w:rPr>
          <w:rFonts w:hint="cs"/>
        </w:rPr>
        <w:t xml:space="preserve">). </w:t>
      </w:r>
      <w:r w:rsidRPr="00833979">
        <w:rPr>
          <w:rFonts w:hint="cs"/>
          <w:rtl/>
        </w:rPr>
        <w:t>יש אומרים אם לא יוכל להחיות ולפרנס עצמו, כופין אשתו שתלך עמו למקום שירצה</w:t>
      </w:r>
      <w:r w:rsidRPr="00833979">
        <w:rPr>
          <w:rFonts w:hint="cs"/>
        </w:rPr>
        <w:t xml:space="preserve"> (</w:t>
      </w:r>
      <w:hyperlink r:id="rId297" w:tooltip="תרומת הדשן/א/רטו" w:history="1">
        <w:r w:rsidRPr="00833979">
          <w:rPr>
            <w:rStyle w:val="Hyperlink"/>
            <w:rFonts w:hint="cs"/>
            <w:color w:val="7030A0"/>
            <w:u w:val="none"/>
            <w:rtl/>
          </w:rPr>
          <w:t>תרומת הדשן סימן רט"ו</w:t>
        </w:r>
      </w:hyperlink>
      <w:r w:rsidRPr="00833979">
        <w:rPr>
          <w:rFonts w:hint="cs"/>
        </w:rPr>
        <w:t xml:space="preserve">), </w:t>
      </w:r>
      <w:r w:rsidRPr="00833979">
        <w:rPr>
          <w:rFonts w:hint="cs"/>
          <w:rtl/>
        </w:rPr>
        <w:t>ויש חולקין (בית יוסף וכן משמע </w:t>
      </w:r>
      <w:hyperlink r:id="rId298" w:tooltip="תשובות ריב&quot;ש/פא" w:history="1">
        <w:r w:rsidRPr="00833979">
          <w:rPr>
            <w:rStyle w:val="Hyperlink"/>
            <w:rFonts w:hint="cs"/>
            <w:color w:val="7030A0"/>
            <w:u w:val="none"/>
            <w:rtl/>
          </w:rPr>
          <w:t>בריב"ש סימן פ"א</w:t>
        </w:r>
      </w:hyperlink>
      <w:r w:rsidRPr="00833979">
        <w:rPr>
          <w:rFonts w:hint="cs"/>
        </w:rPr>
        <w:t>).</w:t>
      </w:r>
    </w:p>
    <w:p w14:paraId="7B8F10FB" w14:textId="7B2FE185" w:rsidR="005E67AE" w:rsidRDefault="005E67AE" w:rsidP="005E67AE">
      <w:pPr>
        <w:pStyle w:val="Style1"/>
        <w:rPr>
          <w:rtl/>
        </w:rPr>
      </w:pPr>
      <w:r w:rsidRPr="00833979">
        <w:rPr>
          <w:rFonts w:hint="cs"/>
          <w:rtl/>
        </w:rPr>
        <w:t>מי שהוא ממדינה אחת ויש לו שם אשה, ונשא אחרת במדינה אחרת, צריכה לילך עמו לעירו, דודאי נשאה לשוב לביתו (בית יוסף בשם הרשב"ץ). ועין לקמן </w:t>
      </w:r>
      <w:hyperlink r:id="rId299" w:tooltip="שולחן ערוך אבן העזר קנד ט" w:history="1">
        <w:r w:rsidRPr="00833979">
          <w:rPr>
            <w:rStyle w:val="Hyperlink"/>
            <w:rFonts w:hint="cs"/>
            <w:color w:val="7030A0"/>
            <w:u w:val="none"/>
            <w:rtl/>
          </w:rPr>
          <w:t>סימן קנ"ד סעיף ט</w:t>
        </w:r>
        <w:r w:rsidRPr="00833979">
          <w:rPr>
            <w:rStyle w:val="Hyperlink"/>
            <w:rFonts w:hint="cs"/>
            <w:color w:val="7030A0"/>
            <w:u w:val="none"/>
          </w:rPr>
          <w:t>'</w:t>
        </w:r>
      </w:hyperlink>
      <w:r w:rsidRPr="00833979">
        <w:rPr>
          <w:rFonts w:hint="cs"/>
        </w:rPr>
        <w:t xml:space="preserve">, </w:t>
      </w:r>
      <w:r w:rsidRPr="00833979">
        <w:rPr>
          <w:rFonts w:hint="cs"/>
          <w:rtl/>
        </w:rPr>
        <w:t>עוד מדינים אלו</w:t>
      </w:r>
      <w:r w:rsidRPr="00833979">
        <w:t>:</w:t>
      </w:r>
    </w:p>
    <w:p w14:paraId="76EB9D6E" w14:textId="3ADA3368" w:rsidR="004D4285" w:rsidRDefault="004D4285" w:rsidP="004D4285">
      <w:pPr>
        <w:pStyle w:val="Style1"/>
        <w:rPr>
          <w:rtl/>
        </w:rPr>
      </w:pPr>
      <w:r>
        <w:rPr>
          <w:rFonts w:hint="cs"/>
          <w:rtl/>
        </w:rPr>
        <w:t>3)[</w:t>
      </w:r>
      <w:r w:rsidR="0057095E">
        <w:rPr>
          <w:rtl/>
        </w:rPr>
        <w:t xml:space="preserve">רמב”ם \מדע\ הלכות דעות </w:t>
      </w:r>
      <w:r>
        <w:rPr>
          <w:rtl/>
        </w:rPr>
        <w:t>פרק ד הלכה כא</w:t>
      </w:r>
      <w:r>
        <w:rPr>
          <w:rFonts w:hint="cs"/>
          <w:rtl/>
        </w:rPr>
        <w:t xml:space="preserve">] </w:t>
      </w:r>
      <w:r>
        <w:rPr>
          <w:rtl/>
        </w:rPr>
        <w:t>וכל המנהגות הטובים האלו שאמרנו אין ראוי לנהוג בהן אלא הבריא, אבל החולה או מי שאחד מאיבריו חולה או מי שנהג מנהג רע שנים רבות, יש לכל אחד מהם דרכים אחרים והנהגות כפי חליו כמו שיתבאר בספר הרפואות ושינוי וסת תחילת חולי.</w:t>
      </w:r>
    </w:p>
    <w:p w14:paraId="5C5FE901" w14:textId="71A72786" w:rsidR="004D4285" w:rsidRDefault="004D4285" w:rsidP="004D4285">
      <w:pPr>
        <w:pStyle w:val="Style1"/>
        <w:rPr>
          <w:rtl/>
        </w:rPr>
      </w:pPr>
      <w:r>
        <w:rPr>
          <w:rFonts w:hint="cs"/>
          <w:rtl/>
        </w:rPr>
        <w:t>4)[</w:t>
      </w:r>
      <w:r w:rsidR="00213DA1">
        <w:rPr>
          <w:rtl/>
        </w:rPr>
        <w:t xml:space="preserve">רמב”ם \נשים\ הלכות אישות </w:t>
      </w:r>
      <w:r>
        <w:rPr>
          <w:rtl/>
        </w:rPr>
        <w:t>פרק יג הלכה יט</w:t>
      </w:r>
      <w:r>
        <w:rPr>
          <w:rFonts w:hint="cs"/>
          <w:rtl/>
        </w:rPr>
        <w:t xml:space="preserve">] </w:t>
      </w:r>
      <w:r>
        <w:rPr>
          <w:rtl/>
        </w:rPr>
        <w:t>במה דברים אמורים מחוצה לארץ לחוצה לארץ או מארץ ישראל לארץ ישראל אבל מחוצה לארץ לארץ ישראל כופין לעלות אפילו מנוה היפה לנוה הרע ואפילו ממקום שרובו ישראל למקום שרובו גוים מעלין, ואין מוציאין מארץ ישראל לחוצה לארץ ואפילו מנוה הרע שרובו גוים לנוה היפה שרובו ישראל.</w:t>
      </w:r>
    </w:p>
    <w:p w14:paraId="1B47A256" w14:textId="6428D500" w:rsidR="004D4285" w:rsidRDefault="004D4285" w:rsidP="004D4285">
      <w:pPr>
        <w:pStyle w:val="Style1"/>
        <w:rPr>
          <w:rtl/>
        </w:rPr>
      </w:pPr>
      <w:r>
        <w:rPr>
          <w:rFonts w:hint="cs"/>
          <w:rtl/>
        </w:rPr>
        <w:t>4)[</w:t>
      </w:r>
      <w:r>
        <w:rPr>
          <w:rtl/>
        </w:rPr>
        <w:t>שולחן ערוך אבן העזר הלכות כתובות סימן עה סעיף ג</w:t>
      </w:r>
      <w:r>
        <w:rPr>
          <w:rFonts w:hint="cs"/>
          <w:rtl/>
        </w:rPr>
        <w:t xml:space="preserve">] </w:t>
      </w:r>
      <w:r w:rsidRPr="004D4285">
        <w:rPr>
          <w:rtl/>
        </w:rPr>
        <w:t>במה דברים אמורים, מחוצה לארץ לחוצה לארץ, או מארץ ישראל לארץ ישראל; אבל מחוצה לארץ לארץ ישראל, כופין אותה לעלות אפילו מנוה יפה לנוה הרע, ואפילו ממקום שרובו ישראל למקום שרובו כותים. ואין מוציאין מארץ ישראל לחוצה לארץ, ואפילו מנוה הרע לנוה הטוב, ואפילו ממקום שרובו כותים למקום שרובו ישראל</w:t>
      </w:r>
      <w:r w:rsidRPr="004D4285">
        <w:t>:</w:t>
      </w:r>
    </w:p>
    <w:p w14:paraId="08A2F196" w14:textId="24CC7829" w:rsidR="00696EFB" w:rsidRPr="00696EFB" w:rsidRDefault="004D4285" w:rsidP="00696EFB">
      <w:pPr>
        <w:pStyle w:val="Style1"/>
      </w:pPr>
      <w:r>
        <w:rPr>
          <w:rFonts w:hint="cs"/>
          <w:rtl/>
        </w:rPr>
        <w:t>4)[</w:t>
      </w:r>
      <w:r>
        <w:rPr>
          <w:rtl/>
        </w:rPr>
        <w:t>שולחן ערוך אבן העזר הלכות כתובות סימן עה סעיף ד</w:t>
      </w:r>
      <w:r>
        <w:rPr>
          <w:rFonts w:hint="cs"/>
          <w:rtl/>
        </w:rPr>
        <w:t>]</w:t>
      </w:r>
      <w:r w:rsidR="00696EFB">
        <w:rPr>
          <w:rFonts w:hint="cs"/>
          <w:rtl/>
        </w:rPr>
        <w:t xml:space="preserve"> </w:t>
      </w:r>
      <w:r w:rsidR="00696EFB" w:rsidRPr="00696EFB">
        <w:rPr>
          <w:rtl/>
        </w:rPr>
        <w:t>אמר האיש לעלות לארץ ישראל, והיא אינה רוצה, תצא בלא כתובה</w:t>
      </w:r>
      <w:r w:rsidR="00696EFB" w:rsidRPr="00696EFB">
        <w:t>.</w:t>
      </w:r>
    </w:p>
    <w:p w14:paraId="6E1AC348" w14:textId="24CC7829" w:rsidR="00696EFB" w:rsidRPr="00696EFB" w:rsidRDefault="00696EFB" w:rsidP="00696EFB">
      <w:pPr>
        <w:pStyle w:val="Style1"/>
      </w:pPr>
      <w:r w:rsidRPr="00696EFB">
        <w:rPr>
          <w:rFonts w:hint="cs"/>
          <w:rtl/>
        </w:rPr>
        <w:t>הגה: אבל נכסי מלוג שלה, ונכסי צאן ברזל הקיימים, נוטלת; ואם אינם קיימים, אם הוא הפסידן -- נכסי צאן ברזל אין צריך לשלם, ונכסי מלוג צריך לשלם. ואם נגנבו או נאבדו -- נכסי מלוג לית לה, ונכסי צאן ברזל צריך לשלם (במרדכי סוף כתובות בשם מוהר"ם). והא דכתובה אין לה, דוקא שנשאר בארץ ישראל, אבל אם הוא חוזר לסוף כמה שנים להתישב בחוצה לארץ, צריך לשלם לה או ליורשיה אף הכתובה (גם זה שם)</w:t>
      </w:r>
      <w:r w:rsidRPr="00696EFB">
        <w:t>.</w:t>
      </w:r>
    </w:p>
    <w:p w14:paraId="13C29F6A" w14:textId="6FB510E9" w:rsidR="00696EFB" w:rsidRDefault="00696EFB" w:rsidP="00696EFB">
      <w:pPr>
        <w:pStyle w:val="Style1"/>
        <w:rPr>
          <w:rtl/>
        </w:rPr>
      </w:pPr>
      <w:r w:rsidRPr="00696EFB">
        <w:rPr>
          <w:rtl/>
        </w:rPr>
        <w:t>אמרה היא לעלות, והוא אינו רוצה, יוציא ויתן כתובה. והוא הדין לכל מקום מארץ ישראל לירושלים. שהכל מעלין לארץ ישראל, ואין הכל מוציאין משם; הכל מעלין לירושלים, ואין הכל מוציאין משם</w:t>
      </w:r>
      <w:r w:rsidRPr="00696EFB">
        <w:t>:</w:t>
      </w:r>
    </w:p>
    <w:p w14:paraId="6A7606B6" w14:textId="0C7F1627" w:rsidR="00696EFB" w:rsidRDefault="00696EFB" w:rsidP="00696EFB">
      <w:pPr>
        <w:pStyle w:val="Style1"/>
        <w:rPr>
          <w:rtl/>
        </w:rPr>
      </w:pPr>
      <w:r>
        <w:rPr>
          <w:rFonts w:hint="cs"/>
          <w:rtl/>
        </w:rPr>
        <w:t>5)[</w:t>
      </w:r>
      <w:r w:rsidR="005258D6">
        <w:rPr>
          <w:rtl/>
        </w:rPr>
        <w:t xml:space="preserve">רמב”ם \קניין\ הלכות עבדים </w:t>
      </w:r>
      <w:r>
        <w:rPr>
          <w:rtl/>
        </w:rPr>
        <w:t>פרק ח הלכה ט</w:t>
      </w:r>
      <w:r>
        <w:rPr>
          <w:rFonts w:hint="cs"/>
          <w:rtl/>
        </w:rPr>
        <w:t xml:space="preserve">] </w:t>
      </w:r>
      <w:r>
        <w:rPr>
          <w:rtl/>
        </w:rPr>
        <w:t>עבד שאמר לעלות לארץ ישראל כופין את רבו לעלות עמו או ימכור אותו למי שיעלוהו לשם, רצה האדון לצאת לחוצה לארץ אינו יכול להוציא את עבדו עד שירצה, ודין זה בכל זמן אפילו בזמן הזה שהארץ ביד עכו"ם.</w:t>
      </w:r>
    </w:p>
    <w:p w14:paraId="4EECECA7" w14:textId="39CD096B" w:rsidR="00696EFB" w:rsidRDefault="00696EFB" w:rsidP="00696EFB">
      <w:pPr>
        <w:pStyle w:val="Style1"/>
        <w:rPr>
          <w:rtl/>
        </w:rPr>
      </w:pPr>
      <w:r>
        <w:rPr>
          <w:rFonts w:hint="cs"/>
          <w:rtl/>
        </w:rPr>
        <w:t>5)[</w:t>
      </w:r>
      <w:r>
        <w:rPr>
          <w:rtl/>
        </w:rPr>
        <w:t>שולחן ערוך יורה דעה הלכות עבדים סימן רסז סעיף פד</w:t>
      </w:r>
      <w:r>
        <w:rPr>
          <w:rFonts w:hint="cs"/>
          <w:rtl/>
        </w:rPr>
        <w:t xml:space="preserve">] </w:t>
      </w:r>
      <w:r>
        <w:rPr>
          <w:rtl/>
        </w:rPr>
        <w:t>עבד שאמר לעלות לארץ ישראל, כופין את רבו לעלות עמו או ימכור אותו למי שיעלהו שם. רצה האדון לצאת לחוצה לארץ, אינו יכול להוציא את עבדו עד שירצה. ודין זה בכל זמן, אפילו בזמן הזה שהארץ ביד עובדי כוכבים.</w:t>
      </w:r>
    </w:p>
    <w:p w14:paraId="09EF3221" w14:textId="420288A7" w:rsidR="00696EFB" w:rsidRDefault="00696EFB" w:rsidP="00696EFB">
      <w:pPr>
        <w:pStyle w:val="Style1"/>
        <w:rPr>
          <w:rtl/>
        </w:rPr>
      </w:pPr>
      <w:r>
        <w:rPr>
          <w:rFonts w:hint="cs"/>
          <w:rtl/>
        </w:rPr>
        <w:t>6)[</w:t>
      </w:r>
      <w:r w:rsidR="005258D6">
        <w:rPr>
          <w:rtl/>
        </w:rPr>
        <w:t xml:space="preserve">רמב”ם \קניין\ הלכות עבדים </w:t>
      </w:r>
      <w:r>
        <w:rPr>
          <w:rtl/>
        </w:rPr>
        <w:t>פרק ח הלכה י</w:t>
      </w:r>
      <w:r>
        <w:rPr>
          <w:rFonts w:hint="cs"/>
          <w:rtl/>
        </w:rPr>
        <w:t xml:space="preserve">] </w:t>
      </w:r>
      <w:r>
        <w:rPr>
          <w:rtl/>
        </w:rPr>
        <w:t>עבד שברח מחוצה לארץ לארץ אין מחזירין לו לעבדות ועליו נאמר לא תסגיר עבד אל אדוניו ואומר לרבו שיכתוב לו גט שחרור ויכתוב לו שטר חוב בדמיו עד שתשיג ידו ויתן לו, ואם לא רצה האדון לשחררו מפקיעין ב"ד שיעבודו מעליו וילך לו.</w:t>
      </w:r>
    </w:p>
    <w:p w14:paraId="71F35F59" w14:textId="4C218D49" w:rsidR="00696EFB" w:rsidRDefault="00696EFB" w:rsidP="00696EFB">
      <w:pPr>
        <w:pStyle w:val="Style1"/>
        <w:rPr>
          <w:rtl/>
        </w:rPr>
      </w:pPr>
      <w:r>
        <w:rPr>
          <w:rFonts w:hint="cs"/>
          <w:rtl/>
        </w:rPr>
        <w:t>6)[</w:t>
      </w:r>
      <w:r>
        <w:rPr>
          <w:rtl/>
        </w:rPr>
        <w:t>שולחן ערוך יורה דעה הלכות עבדים סימן רסז סעיף פה</w:t>
      </w:r>
      <w:r>
        <w:rPr>
          <w:rFonts w:hint="cs"/>
          <w:rtl/>
        </w:rPr>
        <w:t xml:space="preserve">] </w:t>
      </w:r>
      <w:r>
        <w:rPr>
          <w:rtl/>
        </w:rPr>
        <w:t>עבד שברח מחוצה לארץ לארץ, אין מחזירין אותו לעבדות, ועליו נאמר: לא תסגיר עבד אל אדוניו (דברים כג, טז), ואומרים לרבו שיכתוב לו גט שחרור ויכתוב לו שטר חוב בדמיו עד שתשיג ידו ויתן לו. ואם לא רצה האדון לשחררו, מפקיעים בית דין שעבודו מעליו וילך לו.</w:t>
      </w:r>
    </w:p>
    <w:p w14:paraId="061F67D0" w14:textId="17906856" w:rsidR="00696EFB" w:rsidRDefault="008C45A3" w:rsidP="008C45A3">
      <w:pPr>
        <w:pStyle w:val="Style1"/>
        <w:rPr>
          <w:rtl/>
        </w:rPr>
      </w:pPr>
      <w:r>
        <w:rPr>
          <w:rFonts w:hint="cs"/>
          <w:rtl/>
        </w:rPr>
        <w:t>7)[</w:t>
      </w:r>
      <w:r w:rsidR="00213DA1">
        <w:rPr>
          <w:rtl/>
        </w:rPr>
        <w:t xml:space="preserve">רמב”ם \נשים\ הלכות אישות </w:t>
      </w:r>
      <w:r>
        <w:rPr>
          <w:rtl/>
        </w:rPr>
        <w:t>פרק יג הלכה כ</w:t>
      </w:r>
      <w:r>
        <w:rPr>
          <w:rFonts w:hint="cs"/>
          <w:rtl/>
        </w:rPr>
        <w:t xml:space="preserve">] </w:t>
      </w:r>
      <w:r>
        <w:rPr>
          <w:rtl/>
        </w:rPr>
        <w:t>אמר האיש לעלות לארץ ישראל והיא אינה רוצה תצא בלא כתובה, אמרה היא לעלות והוא אינו רוצה יוציא ויתן כתובה, והוא הדין לכל מקום מארץ ישראל עם ירושלם, שהכל מעלין לארץ ישראל ואין הכל מוציאין משם והכל מעלין לירושלם ואין הכל מוציאין משם.</w:t>
      </w:r>
    </w:p>
    <w:p w14:paraId="31A9E7C5" w14:textId="614AA1CA" w:rsidR="008C45A3" w:rsidRPr="00696EFB" w:rsidRDefault="008C45A3" w:rsidP="008C45A3">
      <w:pPr>
        <w:pStyle w:val="Style1"/>
      </w:pPr>
      <w:r>
        <w:rPr>
          <w:rFonts w:hint="cs"/>
          <w:rtl/>
        </w:rPr>
        <w:t>7)[</w:t>
      </w:r>
      <w:r>
        <w:rPr>
          <w:rtl/>
        </w:rPr>
        <w:t>שולחן ערוך אבן העזר הלכות כתובות סימן עה סעיף ד</w:t>
      </w:r>
      <w:r>
        <w:rPr>
          <w:rFonts w:hint="cs"/>
          <w:rtl/>
        </w:rPr>
        <w:t xml:space="preserve">] </w:t>
      </w:r>
      <w:r w:rsidRPr="00696EFB">
        <w:rPr>
          <w:rtl/>
        </w:rPr>
        <w:t>אמר האיש לעלות לארץ ישראל, והיא אינה רוצה, תצא בלא כתובה</w:t>
      </w:r>
      <w:r w:rsidRPr="00696EFB">
        <w:t>.</w:t>
      </w:r>
    </w:p>
    <w:p w14:paraId="5E2D441C" w14:textId="77777777" w:rsidR="008C45A3" w:rsidRPr="00696EFB" w:rsidRDefault="008C45A3" w:rsidP="008C45A3">
      <w:pPr>
        <w:pStyle w:val="Style1"/>
      </w:pPr>
      <w:r w:rsidRPr="00696EFB">
        <w:rPr>
          <w:rFonts w:hint="cs"/>
          <w:rtl/>
        </w:rPr>
        <w:t>הגה: אבל נכסי מלוג שלה, ונכסי צאן ברזל הקיימים, נוטלת; ואם אינם קיימים, אם הוא הפסידן -- נכסי צאן ברזל אין צריך לשלם, ונכסי מלוג צריך לשלם. ואם נגנבו או נאבדו -- נכסי מלוג לית לה, ונכסי צאן ברזל צריך לשלם (במרדכי סוף כתובות בשם מוהר"ם). והא דכתובה אין לה, דוקא שנשאר בארץ ישראל, אבל אם הוא חוזר לסוף כמה שנים להתישב בחוצה לארץ, צריך לשלם לה או ליורשיה אף הכתובה (גם זה שם)</w:t>
      </w:r>
      <w:r w:rsidRPr="00696EFB">
        <w:t>.</w:t>
      </w:r>
    </w:p>
    <w:p w14:paraId="099AD452" w14:textId="232D5930" w:rsidR="008C45A3" w:rsidRDefault="008C45A3" w:rsidP="008C45A3">
      <w:pPr>
        <w:pStyle w:val="Style1"/>
        <w:rPr>
          <w:rtl/>
        </w:rPr>
      </w:pPr>
      <w:r w:rsidRPr="00696EFB">
        <w:rPr>
          <w:rtl/>
        </w:rPr>
        <w:t>אמרה היא לעלות, והוא אינו רוצה, יוציא ויתן כתובה. והוא הדין לכל מקום מארץ ישראל לירושלים. שהכל מעלין לארץ ישראל, ואין הכל מוציאין משם; הכל מעלין לירושלים, ואין הכל מוציאין משם</w:t>
      </w:r>
      <w:r w:rsidRPr="00696EFB">
        <w:t>:</w:t>
      </w:r>
    </w:p>
    <w:p w14:paraId="1DC34335" w14:textId="79007B0D" w:rsidR="008C45A3" w:rsidRDefault="008C45A3" w:rsidP="008C45A3">
      <w:pPr>
        <w:pStyle w:val="Style1"/>
        <w:rPr>
          <w:rtl/>
        </w:rPr>
      </w:pPr>
      <w:r>
        <w:rPr>
          <w:rFonts w:hint="cs"/>
          <w:rtl/>
        </w:rPr>
        <w:t>8)[</w:t>
      </w:r>
      <w:r w:rsidR="00213DA1">
        <w:rPr>
          <w:rtl/>
        </w:rPr>
        <w:t xml:space="preserve">רמב”ם \נשים\ הלכות אישות </w:t>
      </w:r>
      <w:r>
        <w:rPr>
          <w:rtl/>
        </w:rPr>
        <w:t>פרק טו הלכה ו</w:t>
      </w:r>
      <w:r>
        <w:rPr>
          <w:rFonts w:hint="cs"/>
          <w:rtl/>
        </w:rPr>
        <w:t xml:space="preserve">] </w:t>
      </w:r>
      <w:r>
        <w:rPr>
          <w:rtl/>
        </w:rPr>
        <w:t>היו לו בנים בגיותו ונתגייר הוא והם הרי זה קיים מצוה זו, היו לו בנים והוא עבד ונשתחרר הוא והם לא קיים מצות פריה ורביה עד שיוליד אחר שנשתחרר, שהעבד אין לו יחוס.</w:t>
      </w:r>
    </w:p>
    <w:p w14:paraId="1DE2D46B" w14:textId="01A51309" w:rsidR="00852FEA" w:rsidRPr="00852FEA" w:rsidRDefault="008C45A3" w:rsidP="00852FEA">
      <w:pPr>
        <w:pStyle w:val="Style1"/>
      </w:pPr>
      <w:r>
        <w:rPr>
          <w:rFonts w:hint="cs"/>
          <w:rtl/>
        </w:rPr>
        <w:t>8)[</w:t>
      </w:r>
      <w:r>
        <w:rPr>
          <w:rtl/>
        </w:rPr>
        <w:t>שולחן ערוך אבן העזר הלכות כתובות סימן ק סעיף ה</w:t>
      </w:r>
      <w:r>
        <w:rPr>
          <w:rFonts w:hint="cs"/>
          <w:rtl/>
        </w:rPr>
        <w:t>]</w:t>
      </w:r>
      <w:r w:rsidR="00852FEA">
        <w:rPr>
          <w:rFonts w:hint="cs"/>
          <w:rtl/>
        </w:rPr>
        <w:t xml:space="preserve"> </w:t>
      </w:r>
      <w:r w:rsidR="00852FEA" w:rsidRPr="00852FEA">
        <w:rPr>
          <w:rtl/>
        </w:rPr>
        <w:t>אם כתב בכתובתה, בעיקר כתובה ותוספת, מעות סתם, אינה גובה אלא בפחות שבמטבעות. כיצד, נשא אשה במקום אחד וגרשה במקום אחר</w:t>
      </w:r>
      <w:r w:rsidR="00852FEA" w:rsidRPr="00852FEA">
        <w:t>, </w:t>
      </w:r>
      <w:r w:rsidR="00852FEA" w:rsidRPr="00852FEA">
        <w:rPr>
          <w:rFonts w:hint="cs"/>
          <w:rtl/>
        </w:rPr>
        <w:t>והאשה שם עמו, אבל שלח לה גט למקום הנשואין, הולכין אחר מקום הנשואין (בית יוסף בשם תשובת הרשב"א)</w:t>
      </w:r>
      <w:r w:rsidR="00852FEA" w:rsidRPr="00852FEA">
        <w:t xml:space="preserve">, </w:t>
      </w:r>
      <w:r w:rsidR="00852FEA" w:rsidRPr="00852FEA">
        <w:rPr>
          <w:rtl/>
        </w:rPr>
        <w:t>אם היה מעות מקום הנשואין טובים ממעות מקום הגרושין, נותן לה ממעות מקום הגרושין. ואם היו מעות מקום הגרושין טובים ממעות מקום הנשואין, נותן לה ממעות מקום הנשואין. ודוקא בשווי המטבע שהוא מגבה לה מאתים ומנה, אבל לפחות מכאן אי אפשר. ואם פרש בכתובתה מטבע ידוע, בין בעיקר בין בתוספת, גובה ממנו כמו שכתוב בכתובה</w:t>
      </w:r>
      <w:r w:rsidR="00852FEA" w:rsidRPr="00852FEA">
        <w:t>.</w:t>
      </w:r>
    </w:p>
    <w:p w14:paraId="21FBD0E8" w14:textId="34D7FBEA" w:rsidR="00852FEA" w:rsidRDefault="00852FEA" w:rsidP="00852FEA">
      <w:pPr>
        <w:pStyle w:val="Style1"/>
        <w:rPr>
          <w:rtl/>
        </w:rPr>
      </w:pPr>
      <w:r w:rsidRPr="00852FEA">
        <w:rPr>
          <w:rFonts w:hint="cs"/>
          <w:rtl/>
        </w:rPr>
        <w:t>הגה: ונכסי צאן ברזל הולכין תמיד אחר מקום שנשתעבד שם, כמו בחוב דעלמא (כן כתב המגיד משנה פרק י"ו וכן כתב הרשב"א). ובמקום שמוסיפים שליש על מה שנותנת לו, כמו שנתבאר לעיל </w:t>
      </w:r>
      <w:hyperlink r:id="rId300" w:tooltip="שולחן ערוך אבן העזר סו" w:history="1">
        <w:r w:rsidRPr="00852FEA">
          <w:rPr>
            <w:rStyle w:val="Hyperlink"/>
            <w:rFonts w:hint="cs"/>
            <w:color w:val="7030A0"/>
            <w:u w:val="none"/>
            <w:rtl/>
          </w:rPr>
          <w:t>סימן ס"ו</w:t>
        </w:r>
      </w:hyperlink>
      <w:r w:rsidRPr="00852FEA">
        <w:rPr>
          <w:rFonts w:hint="cs"/>
        </w:rPr>
        <w:t xml:space="preserve">, </w:t>
      </w:r>
      <w:r w:rsidRPr="00852FEA">
        <w:rPr>
          <w:rFonts w:hint="cs"/>
          <w:rtl/>
        </w:rPr>
        <w:t>יש לו דין צאן ברזל ולא דין תוספת (מהרי"ק שרש פ"א)</w:t>
      </w:r>
      <w:r w:rsidRPr="00852FEA">
        <w:t>:</w:t>
      </w:r>
    </w:p>
    <w:p w14:paraId="5CE809F6" w14:textId="5BFB306F" w:rsidR="00852FEA" w:rsidRDefault="00852FEA" w:rsidP="00852FEA">
      <w:pPr>
        <w:pStyle w:val="Style1"/>
        <w:rPr>
          <w:rtl/>
        </w:rPr>
      </w:pPr>
      <w:r>
        <w:rPr>
          <w:rFonts w:hint="cs"/>
          <w:rtl/>
        </w:rPr>
        <w:t>9)[</w:t>
      </w:r>
      <w:r w:rsidR="0057095E">
        <w:rPr>
          <w:rtl/>
        </w:rPr>
        <w:t xml:space="preserve">רמב”ם \משפטים\ הלכות מלוה </w:t>
      </w:r>
      <w:r>
        <w:rPr>
          <w:rtl/>
        </w:rPr>
        <w:t>ולוה פרק יז הלכה ט</w:t>
      </w:r>
      <w:r>
        <w:rPr>
          <w:rFonts w:hint="cs"/>
          <w:rtl/>
        </w:rPr>
        <w:t xml:space="preserve">] </w:t>
      </w:r>
      <w:r>
        <w:rPr>
          <w:rtl/>
        </w:rPr>
        <w:t>המוציא שטר חוב על חבירו והיה כתוב בבבל מגבהו ממעות בבל, היה</w:t>
      </w:r>
      <w:r>
        <w:rPr>
          <w:rFonts w:hint="cs"/>
          <w:rtl/>
        </w:rPr>
        <w:t xml:space="preserve"> </w:t>
      </w:r>
      <w:r>
        <w:rPr>
          <w:rtl/>
        </w:rPr>
        <w:t>כתוב בארץ ישראל מגבהו ממעות ארץ ישראל מה שאין כן בכתובה, לא היה בשטר שם מקום והוציאו בבבל מגבהו ממעות בבל הוציאו בארץ ישראל מגבהו ממעות א"י, בא לגבות ממעות המקום שיצא בו השטר וטען הלוה שהמעות שאני חייב לו מכסף שהוא פחות מזה המטבע ישבע המלוה ויטול, היה בו כסף סתם מה שירצה לוה מגבהו, מכאן אתה למד ששטר שאין בו שם מקום שנכתב בו כשר לכל דבר, והוא הדין לשטר שאין בו זמן כלל שהוא כשר אף על פי שעדות זו אי אתה יכול להזימה שאין מדקדקין בדיני ממונות בדרישה וחקירה כמו שיתבאר כדי שלא תנעול דלת בפני לווין, ולפיכך שטרי חוב המאוחרין כשרין אף על פי שאין אתה יכול להזימן כמו שיתבאר במקומו.</w:t>
      </w:r>
    </w:p>
    <w:p w14:paraId="6B24E3AE" w14:textId="23103921" w:rsidR="00852FEA" w:rsidRPr="00852FEA" w:rsidRDefault="00852FEA" w:rsidP="00852FEA">
      <w:pPr>
        <w:pStyle w:val="Style1"/>
      </w:pPr>
      <w:r>
        <w:rPr>
          <w:rFonts w:hint="cs"/>
          <w:rtl/>
        </w:rPr>
        <w:t>9)[</w:t>
      </w:r>
      <w:r>
        <w:rPr>
          <w:rtl/>
        </w:rPr>
        <w:t>שולחן ערוך חושן משפט הלכות הלואה סימן מב סעיף יד</w:t>
      </w:r>
      <w:r>
        <w:rPr>
          <w:rFonts w:hint="cs"/>
          <w:rtl/>
        </w:rPr>
        <w:t xml:space="preserve">] </w:t>
      </w:r>
      <w:r w:rsidRPr="00852FEA">
        <w:rPr>
          <w:rtl/>
        </w:rPr>
        <w:t>המוציא שטר חוב על חבירו בסך מאה דינרים או סלעים </w:t>
      </w:r>
      <w:r w:rsidRPr="00852FEA">
        <w:rPr>
          <w:rFonts w:hint="cs"/>
          <w:rtl/>
        </w:rPr>
        <w:t>(ולא מתפרש איזה מטבע) (טור)</w:t>
      </w:r>
      <w:r w:rsidRPr="00852FEA">
        <w:rPr>
          <w:rtl/>
        </w:rPr>
        <w:t> אם היה כתוב בו בבבל מגבהו ממעות בבל ואם היה כתוב בא"י מגבהו ממעות א"י לא היה כתוב בשטר שם מקום והוציאו בבבל מגבהו ממעות בבל הוציאו בא"י מגבהו ממעות א"י בא לגבות ממעות המקום שיצא בו השטר וטען הלוה שהמעות שאני חייב לו מכסף שהוא פחות מזה המטבע ישבע המלוה ויטול</w:t>
      </w:r>
      <w:r w:rsidRPr="00852FEA">
        <w:t>:</w:t>
      </w:r>
    </w:p>
    <w:p w14:paraId="013F6BD9" w14:textId="77777777" w:rsidR="00852FEA" w:rsidRPr="00852FEA" w:rsidRDefault="00852FEA" w:rsidP="00852FEA">
      <w:pPr>
        <w:pStyle w:val="Style1"/>
      </w:pPr>
      <w:r w:rsidRPr="00852FEA">
        <w:rPr>
          <w:rFonts w:hint="cs"/>
          <w:rtl/>
        </w:rPr>
        <w:t>הגה: מיהו אם הביא הלוה ראיה שהיו דרין תחילה במקום שהמטבע פחות מזו נותן לו פחות (ר"ן סוף כתובות)</w:t>
      </w:r>
    </w:p>
    <w:p w14:paraId="79190B04" w14:textId="17C4CF90" w:rsidR="00852FEA" w:rsidRDefault="00852FEA" w:rsidP="00852FEA">
      <w:pPr>
        <w:pStyle w:val="Style1"/>
        <w:rPr>
          <w:rtl/>
        </w:rPr>
      </w:pPr>
      <w:r w:rsidRPr="00852FEA">
        <w:rPr>
          <w:rtl/>
        </w:rPr>
        <w:t>ואם היה כתוב בו מאה כסף ולא פירש אם סלעים אם פונדיונים מה שירצה לוה מגבהו</w:t>
      </w:r>
      <w:r w:rsidRPr="00852FEA">
        <w:t>:</w:t>
      </w:r>
    </w:p>
    <w:p w14:paraId="1F2FF5DE" w14:textId="4623F9BD" w:rsidR="0048079D" w:rsidRPr="0048079D" w:rsidRDefault="0048079D" w:rsidP="0048079D">
      <w:pPr>
        <w:pStyle w:val="Style1"/>
      </w:pPr>
      <w:r>
        <w:rPr>
          <w:rFonts w:hint="cs"/>
          <w:rtl/>
        </w:rPr>
        <w:t>10)[</w:t>
      </w:r>
      <w:r>
        <w:rPr>
          <w:rtl/>
        </w:rPr>
        <w:t>שולחן ערוך חושן משפט הלכות הלואה סימן מב סעיף יג</w:t>
      </w:r>
      <w:r>
        <w:rPr>
          <w:rFonts w:hint="cs"/>
          <w:rtl/>
        </w:rPr>
        <w:t xml:space="preserve">] </w:t>
      </w:r>
      <w:r w:rsidRPr="0048079D">
        <w:rPr>
          <w:rtl/>
        </w:rPr>
        <w:t>כתוב בשטר פלוני לוה מפלוני כסף נותן לו חתיכה של כסף כל דהו פחות שבמשקלות כתוב בו מטבע של כסף אם פרוטות של כסף יוצאות באותו מקום נותן לו פרוטה ואם אין פרוטות של כסף יוצאות בו נותן לו מטבע של כסף הקטן שיוצא שם ואם כתוב בו דינרי כסף או כסף דינרי נותן לו ב' דינרין של כסף ואם כתוב בו כסף בדינרי נותן לו כסף ששוה שני דינרין של זהב ואם כתוב בו זהב בדינרי נותן לו דהבא פריכא שוה שני דינרי זהב ואם כתוב בו כסף בדינרים נותן לו שברי כסף ששוה שני דינרים של כסף ואם כתוב בו זהב נותן לו חתיכה של זהב פחות שבמשקלות ואם כתוב בו מטבע של זהב נותן לו מטבע קטן היוצא של זהב כתוב בו זהב דינרים או דינרי זהב נותן לו שני דינרי זהב ואם כתוב בו זהב בדינרים נותן לו זהב שוה שני דינרין של כסף</w:t>
      </w:r>
      <w:r w:rsidRPr="0048079D">
        <w:t>.</w:t>
      </w:r>
    </w:p>
    <w:p w14:paraId="0DF7FC93" w14:textId="32D7F140" w:rsidR="0048079D" w:rsidRDefault="0048079D" w:rsidP="0048079D">
      <w:pPr>
        <w:pStyle w:val="Style1"/>
        <w:rPr>
          <w:rtl/>
        </w:rPr>
      </w:pPr>
      <w:r w:rsidRPr="0048079D">
        <w:rPr>
          <w:rFonts w:hint="cs"/>
          <w:rtl/>
        </w:rPr>
        <w:t>(ועכשיו בזה"ז אין חילוק בין אמר דינרין לדינרי) (מגיד סוף ה' מלוה) (ונ"ל דנותן לו הפחות)</w:t>
      </w:r>
      <w:r w:rsidRPr="0048079D">
        <w:t>:</w:t>
      </w:r>
    </w:p>
    <w:p w14:paraId="03843212" w14:textId="04DE9530" w:rsidR="000C5939" w:rsidRDefault="0048079D" w:rsidP="00DE413E">
      <w:pPr>
        <w:pStyle w:val="Style1"/>
        <w:rPr>
          <w:rStyle w:val="Style1Char"/>
          <w:color w:val="00B050"/>
          <w:rtl/>
        </w:rPr>
      </w:pPr>
      <w:r>
        <w:rPr>
          <w:rFonts w:hint="cs"/>
          <w:rtl/>
        </w:rPr>
        <w:t>11)[</w:t>
      </w:r>
      <w:r w:rsidR="00C764B2">
        <w:rPr>
          <w:rtl/>
        </w:rPr>
        <w:t xml:space="preserve">רמב”ם \שופטים\ הלכות מלכים </w:t>
      </w:r>
      <w:r w:rsidRPr="0048079D">
        <w:rPr>
          <w:rtl/>
        </w:rPr>
        <w:t>פרק ה הלכה יב</w:t>
      </w:r>
      <w:r>
        <w:rPr>
          <w:rFonts w:hint="cs"/>
          <w:rtl/>
        </w:rPr>
        <w:t xml:space="preserve">] </w:t>
      </w:r>
      <w:r w:rsidRPr="0048079D">
        <w:rPr>
          <w:rtl/>
        </w:rPr>
        <w:t>לעולם ידור אדם בארץ ישראל אפילו בעיר שרובה עכו"ם ואל ידור בחוצה לארץ ואפילו בעיר שרובה ישראל, שכל היוצא לחוצה לארץ כאילו עובד ע"ז, שנאמר כי גרשוני היום מהסתפח בנחלת ה' לאמר לך עבוד אלהים אחרים, ובפורעניות הוא אומר ואל אדמת ישראל לא יבאו, כשם שאסור לצאת מהארץ לחוצה לארץ כך אסור לצאת מבבל לשאר הארצות, שנאמר בבלה יובאו ושמה יהיו.</w:t>
      </w:r>
      <w:r w:rsidR="000C5939">
        <w:rPr>
          <w:rStyle w:val="Style1Char"/>
          <w:color w:val="00B050"/>
          <w:rtl/>
        </w:rPr>
        <w:br w:type="page"/>
      </w:r>
    </w:p>
    <w:p w14:paraId="01818CDF" w14:textId="6F66515A" w:rsidR="000C5939" w:rsidRDefault="000C5939" w:rsidP="000C5939">
      <w:pPr>
        <w:bidi/>
        <w:rPr>
          <w:rStyle w:val="Style1Char"/>
          <w:color w:val="00B050"/>
          <w:rtl/>
        </w:rPr>
      </w:pPr>
      <w:r w:rsidRPr="002625A4">
        <w:rPr>
          <w:rStyle w:val="Style1Char"/>
          <w:color w:val="00B050"/>
          <w:sz w:val="22"/>
          <w:szCs w:val="22"/>
          <w:highlight w:val="yellow"/>
          <w:rtl/>
        </w:rPr>
        <w:lastRenderedPageBreak/>
        <w:t>[דף קיא עמוד א]</w:t>
      </w:r>
      <w:r w:rsidRPr="002625A4">
        <w:rPr>
          <w:rStyle w:val="Style1Char"/>
          <w:color w:val="00B050"/>
          <w:sz w:val="22"/>
          <w:szCs w:val="22"/>
          <w:rtl/>
        </w:rPr>
        <w:t xml:space="preserve"> </w:t>
      </w:r>
      <w:r w:rsidRPr="001C3C1D">
        <w:rPr>
          <w:rStyle w:val="Style1Char"/>
          <w:color w:val="00B050"/>
          <w:rtl/>
        </w:rPr>
        <w:t xml:space="preserve">בבלה יובאו ושמה יהיו עד יום פקדי אותם נאם ה'. ורבי זירא? ההוא בכלי שרת כתיב. ורב יהודה? כתיב קרא אחרינא: השבעתי אתכם בנות ירושלים בצבאות או באילות השדה וגו'. ורבי זירא? ההוא שלא יעלו ישראל בחומה. ורב יהודה? השבעתי אחרינא כתיב. ורבי זירא? ההוא מיבעי ליה לכדרבי יוסי ברבי חנינא, דאמר: ג' שבועות הללו למה? אחת, שלא יעלו ישראל בחומה; ואחת, שהשביע הקדוש ברוך הוא את ישראל שלא ימרדו באומות העולם; ואחת, שהשביע הקדוש ברוך הוא את העובדי כוכבים שלא ישתעבדו בהן בישראל יותר מדאי. ורב יהודה? אם תעירו ואם תעוררו כתיב. ורבי זירא? מיבעי ליה לכדרבי לוי, דאמר: שש שבועות הללו למה? תלתא - הני דאמרן, אינך - שלא יגלו את הקץ, ושלא ירחקו את הקץ, ושלא יגלו הסוד לעובדי כוכבים. בצבאות או באילות השדה - אמר רבי אלעזר, אמר להם הקדוש ברוך הוא לישראל: אם אתם מקיימין את השבועה מוטב, ואם לאו - אני מתיר את בשרכם כצבאות וכאילות השדה. אמר רבי אלעזר: </w:t>
      </w:r>
      <w:r w:rsidR="00DE413E">
        <w:rPr>
          <w:rStyle w:val="Style1Char"/>
          <w:rFonts w:hint="cs"/>
          <w:rtl/>
        </w:rPr>
        <w:t>(1)</w:t>
      </w:r>
      <w:r w:rsidRPr="001C3C1D">
        <w:rPr>
          <w:rStyle w:val="Style1Char"/>
          <w:color w:val="00B050"/>
          <w:rtl/>
        </w:rPr>
        <w:t xml:space="preserve">כל הדר בארץ ישראל שרוי בלא עון, שנאמר: ובל יאמר שכן חליתי העם היושב בה נשוא עון. א"ל רבא לרב אשי: אנן בסובלי חלאים מתנינן לה. אמר רב ענן: </w:t>
      </w:r>
      <w:r w:rsidR="00DE413E">
        <w:rPr>
          <w:rStyle w:val="Style1Char"/>
          <w:rFonts w:hint="cs"/>
          <w:rtl/>
        </w:rPr>
        <w:t>(1)</w:t>
      </w:r>
      <w:r w:rsidRPr="001C3C1D">
        <w:rPr>
          <w:rStyle w:val="Style1Char"/>
          <w:color w:val="00B050"/>
          <w:rtl/>
        </w:rPr>
        <w:t xml:space="preserve">כל הקבור בארץ ישראל - כאילו קבור תחת המזבח, כתיב הכא: מזבח אדמה תעשה לי, וכתיב התם: וכפר אדמתו עמו. עולא הוה רגיל דהוה סליק לארץ ישראל, נח נפשיה בחוץ לארץ, אתו אמרו ליה לרבי אלעזר, אמר: אנת עולא על אדמה טמאה תמות! אמרו לו: ארונו בא, אמר להם: </w:t>
      </w:r>
      <w:r w:rsidR="00DE413E">
        <w:rPr>
          <w:rStyle w:val="Style1Char"/>
          <w:rFonts w:hint="cs"/>
          <w:rtl/>
        </w:rPr>
        <w:t>(1)</w:t>
      </w:r>
      <w:r w:rsidRPr="001C3C1D">
        <w:rPr>
          <w:rStyle w:val="Style1Char"/>
          <w:color w:val="00B050"/>
          <w:rtl/>
        </w:rPr>
        <w:t xml:space="preserve">אינו דומה קולטתו מחיים לקולטתו לאחר מיתה. ההוא גברא דנפלה ליה יבמה בי חוזאה, אתא לקמיה דר' חנינא, א"ל: מהו למיחת וליבמה? </w:t>
      </w:r>
      <w:r w:rsidR="00DE413E">
        <w:rPr>
          <w:rStyle w:val="Style1Char"/>
          <w:rFonts w:hint="cs"/>
          <w:rtl/>
        </w:rPr>
        <w:t>(2)</w:t>
      </w:r>
      <w:r w:rsidRPr="001C3C1D">
        <w:rPr>
          <w:rStyle w:val="Style1Char"/>
          <w:color w:val="00B050"/>
          <w:rtl/>
        </w:rPr>
        <w:t xml:space="preserve">א"ל: אחיו נשא כותית ומת, ברוך המקום שהרגו, והוא ירד אחריו? אמר רב יהודה אמר שמואל: </w:t>
      </w:r>
      <w:r w:rsidR="00DE413E">
        <w:rPr>
          <w:rStyle w:val="Style1Char"/>
          <w:rFonts w:hint="cs"/>
          <w:rtl/>
        </w:rPr>
        <w:t>(3)</w:t>
      </w:r>
      <w:r w:rsidRPr="001C3C1D">
        <w:rPr>
          <w:rStyle w:val="Style1Char"/>
          <w:color w:val="00B050"/>
          <w:rtl/>
        </w:rPr>
        <w:t xml:space="preserve">כשם שאסור לצאת מארץ ישראל לבבל, כך אסור לצאת מבבל לשאר ארצות. רבה ורב יוסף דאמרי תרוייהו: אפילו מפומבדיתא לבי כובי. ההוא דנפק מפומבדיתא לבי כובי, שמתיה רב יוסף. ההוא דנפק מפומבדיתא לאסתוניא, שכיב, אמר אביי: אי בעי האי צורבא מרבנן הוה חיי. רבה ורב יוסף דאמרי תרוייהו: כשרין שבבבל - א"י קולטתן, כשרין שבשאר ארצות - בבל קולטתן. למאי? אילימא ליוחסין, והאמר מר: כל הארצות עיסה לארץ ישראל, וארץ ישראל עיסה לבבל! אלא לענין קבורה. אמר רב יהודה: כל הדר בבבל - כאילו דר בארץ ישראל, שנאמר: הוי ציון המלטי יושבת בת בבל. אמר אביי, נקטינן: בבל לא חזיא חבלי דמשיח, תרגמה: אהוצל דבנימין, וקרו ליה קרנא דשיזבתא. א"ר אלעזר: מתים שבחוץ לארץ אינם חיים, שנאמר: ונתתי צבי בארץ חיים, ארץ שצביוני בה - מתיה חיים, שאין צביוני בה - אין מתיה חיים. מתיב ר' אבא בר ממל: יחיו מתיך נבלתי יקומון, מאי לאו יחיו מתיך - מתים שבא"י, נבלתי יקומון - מתים שבחוץ לארץ, ומאי ונתתי צבי בארץ חיים? אנבוכד נצר הוא דכתיב, דאמר רחמנא: מייתינא עלייהו מלכא דקליל כי טביא! א"ל: רבי, מקרא אחר אני דורש: נותן נשמה לעם עליה ורוח להולכים בה. ואלא הכתיב נבלתי יקומון! ההוא בנפלים הוא דכתיב. ורבי אבא בר ממל, האי נותן נשמה לעם עליה מאי עביד ליה? מיבעי ליה לכדרבי אבהו, דאמר ר' אבהו: אפילו שפחה כנענית שבא"י - מובטח לה שהיא בת העולם הבא, כתיב הכא: לעם עליה, וכתיב התם: שבו לכם פה עם החמור - עם הדומה לחמור. ורוח להולכים בה - א"ר ירמיה בר אבא א"ר יוחנן: </w:t>
      </w:r>
      <w:r w:rsidR="00125A07">
        <w:rPr>
          <w:rStyle w:val="Style1Char"/>
          <w:rFonts w:hint="cs"/>
          <w:rtl/>
        </w:rPr>
        <w:t>(1)</w:t>
      </w:r>
      <w:r w:rsidRPr="001C3C1D">
        <w:rPr>
          <w:rStyle w:val="Style1Char"/>
          <w:color w:val="00B050"/>
          <w:rtl/>
        </w:rPr>
        <w:t xml:space="preserve">כל המהלך ארבע אמות בארץ ישראל - מובטח לו שהוא בן העולם הבא. ולר' אלעזר, צדיקים שבחוץ לארץ אינם חיים? אמר רבי אילעא: ע"י גלגול. מתקיף לה ר' אבא סלא רבא: גלגול לצדיקים צער הוא! אמר אביי: מחילות נעשות להם בקרקע. ונשאתני ממצרים וקברתני בקבורתם - אמר קרנא: דברים בגו, יודע היה יעקב אבינו שצדיק גמור היה, ואם מתים שבחוצה לארץ חיים, למה הטריח את בניו? שמא לא יזכה למחילות. כיוצא בדבר אתה אומר: וישבע יוסף את בני ישראל וגו', א"ר חנינא: דברים בגו, יודע היה יוסף בעצמו שצדיק גמור היה, ואם מתים שבחוצה לארץ חיים, למה הטריח את אחיו ארבע מאות פרסה? שמא לא יזכה למחילות. שלחו ליה אחוהי לרבה: יודע היה יעקב שצדיק גמור היה וכו', אילפא מוסיף בה דברים: מעשה באחד שהיה מצטער על אשה אחת וביקש לירד, כיון ששמע כזאת גלגל בעצמו עד יום מותו, אף על פי שחכם גדול אתה, אינו דומה לומד מעצמו ללומד מרבו; וא"ת, אין לך רב! יש לך רב, ומנו? רבי יוחנן; ואם אין אתה עולה, הזהר בשלשה דברים: אל תרבה בישיבה - שישיבה קשה לתחתוניות, ואל תרבה בעמידה - שעמידה קשה ללב, ואל תרבה בהליכה - שהליכה קשה לעינים, אלא שליש בישיבה, שליש בעמידה, שליש בהילוך, כל ישיבה שאין עמה סמיכה - עמידה נוחה הימנה. עמידה ס"ד? והאמרת: עמידה קשה ללב! אלא, ישיבה </w:t>
      </w:r>
    </w:p>
    <w:p w14:paraId="0B05BEFE" w14:textId="3941B9F2" w:rsidR="00DE413E" w:rsidRDefault="00DE413E" w:rsidP="00DE413E">
      <w:pPr>
        <w:pStyle w:val="Style1"/>
        <w:rPr>
          <w:rStyle w:val="Style1Char"/>
          <w:rtl/>
        </w:rPr>
      </w:pPr>
      <w:r>
        <w:rPr>
          <w:rStyle w:val="Style1Char"/>
          <w:rFonts w:hint="cs"/>
          <w:rtl/>
        </w:rPr>
        <w:t>1)[</w:t>
      </w:r>
      <w:r w:rsidR="00C764B2">
        <w:rPr>
          <w:rStyle w:val="Style1Char"/>
          <w:rtl/>
        </w:rPr>
        <w:t xml:space="preserve">רמב”ם \שופטים\ הלכות מלכים </w:t>
      </w:r>
      <w:r w:rsidRPr="00DE413E">
        <w:rPr>
          <w:rStyle w:val="Style1Char"/>
          <w:rtl/>
        </w:rPr>
        <w:t>פרק ה הלכה יא</w:t>
      </w:r>
      <w:r>
        <w:rPr>
          <w:rStyle w:val="Style1Char"/>
          <w:rFonts w:hint="cs"/>
          <w:rtl/>
        </w:rPr>
        <w:t xml:space="preserve">] </w:t>
      </w:r>
      <w:r w:rsidRPr="00DE413E">
        <w:rPr>
          <w:rStyle w:val="Style1Char"/>
          <w:rtl/>
        </w:rPr>
        <w:t>אמרו חכמים כל השוכן בארץ ישראל עונותיו מחולין, שנאמר ובל יאמר שכן חליתי העם היושב בה נשוא עון, אפילו הלך בה ארבע אמות זוכה לחיי העולם הבא, וכן הקבור בה נתכפר לו, וכאילו המקום שהוא בו מזבח כפרה, שנאמר וכפר אדמתו עמו, ובפורענות הוא אומר על אדמה טמאה תמות, ואינו דומה קולטתו מחיים לקולטתו אחר מותו, ואעפ"כ גדולי החכמים היו מוליכים מתיהם לשם, צא ולמד מיעקב אבינו ויוסף הצדיק.</w:t>
      </w:r>
    </w:p>
    <w:p w14:paraId="1378BDAE" w14:textId="45428185" w:rsidR="00DE413E" w:rsidRDefault="00DE413E" w:rsidP="00DE413E">
      <w:pPr>
        <w:pStyle w:val="Style1"/>
        <w:rPr>
          <w:rStyle w:val="Style1Char"/>
          <w:rtl/>
        </w:rPr>
      </w:pPr>
      <w:r>
        <w:rPr>
          <w:rStyle w:val="Style1Char"/>
          <w:rFonts w:hint="cs"/>
          <w:rtl/>
        </w:rPr>
        <w:t>2)[</w:t>
      </w:r>
      <w:r w:rsidR="00C764B2">
        <w:rPr>
          <w:rStyle w:val="Style1Char"/>
          <w:rtl/>
        </w:rPr>
        <w:t xml:space="preserve">רמב”ם \שופטים\ הלכות מלכים </w:t>
      </w:r>
      <w:r w:rsidRPr="00DE413E">
        <w:rPr>
          <w:rStyle w:val="Style1Char"/>
          <w:rtl/>
        </w:rPr>
        <w:t>פרק ה הלכה ט</w:t>
      </w:r>
      <w:r>
        <w:rPr>
          <w:rStyle w:val="Style1Char"/>
          <w:rFonts w:hint="cs"/>
          <w:rtl/>
        </w:rPr>
        <w:t xml:space="preserve">] </w:t>
      </w:r>
      <w:r w:rsidRPr="00DE413E">
        <w:rPr>
          <w:rStyle w:val="Style1Char"/>
          <w:rtl/>
        </w:rPr>
        <w:t>אסור לצאת מארץ ישראל לחוצה לארץ לעולם, אלא ללמוד תורה או לישא אשה או להציל מן העכו"ם ויחזור לארץ, וכן יוצא הוא לסחורה, אבל לשכון בחוצה לארץ אסור אלא אם כן חזק שם הרעב עד שנעשה שוה דינר חטין בשני דינרין, במה דברים אמורים כשהיו המעות מצויות והפירות ביוקר, אבל אם הפירות בזול ולא ימצא מעות ולא במה ישתכר ואבדה פרוטה מן הכיס, יצא לכל מקום שימצא בו ריוח, ואף על פי שמותר לצאת אינה מדת חסידות שהרי מחלון וכליון שני גדולי הדור היו ומפני צרה גדולה יצאו ונתחייבו כלייה למקום.</w:t>
      </w:r>
    </w:p>
    <w:p w14:paraId="6684CBD9" w14:textId="0F394906" w:rsidR="00125A07" w:rsidRPr="00DE413E" w:rsidRDefault="00125A07" w:rsidP="00125A07">
      <w:pPr>
        <w:pStyle w:val="Style1"/>
        <w:rPr>
          <w:rStyle w:val="Style1Char"/>
          <w:rtl/>
        </w:rPr>
      </w:pPr>
      <w:r>
        <w:rPr>
          <w:rStyle w:val="Style1Char"/>
          <w:rFonts w:hint="cs"/>
          <w:rtl/>
        </w:rPr>
        <w:t>3)[</w:t>
      </w:r>
      <w:r w:rsidR="00C764B2">
        <w:rPr>
          <w:rStyle w:val="Style1Char"/>
          <w:rtl/>
        </w:rPr>
        <w:t xml:space="preserve">רמב”ם \שופטים\ הלכות מלכים </w:t>
      </w:r>
      <w:r w:rsidRPr="00125A07">
        <w:rPr>
          <w:rStyle w:val="Style1Char"/>
          <w:rtl/>
        </w:rPr>
        <w:t>פרק ה הלכה יב</w:t>
      </w:r>
      <w:r>
        <w:rPr>
          <w:rStyle w:val="Style1Char"/>
          <w:rFonts w:hint="cs"/>
          <w:rtl/>
        </w:rPr>
        <w:t xml:space="preserve">] </w:t>
      </w:r>
      <w:r w:rsidRPr="00125A07">
        <w:rPr>
          <w:rStyle w:val="Style1Char"/>
          <w:rtl/>
        </w:rPr>
        <w:t>לעולם ידור אדם בארץ ישראל אפילו בעיר שרובה עכו"ם ואל ידור בחוצה לארץ ואפילו בעיר שרובה ישראל, שכל היוצא לחוצה לארץ כאילו עובד ע"ז, שנאמר כי גרשוני היום מהסתפח בנחלת ה' לאמר לך עבוד אלהים אחרים, ובפורעניות הוא אומר ואל אדמת ישראל לא יבאו, כשם שאסור לצאת מהארץ לחוצה לארץ כך אסור לצאת מבבל לשאר הארצות, שנאמר בבלה יובאו ושמה יהיו.</w:t>
      </w:r>
    </w:p>
    <w:p w14:paraId="6206008E" w14:textId="77777777" w:rsidR="000C5939" w:rsidRDefault="000C5939" w:rsidP="00DE413E">
      <w:pPr>
        <w:pStyle w:val="Style1"/>
        <w:bidi w:val="0"/>
        <w:rPr>
          <w:rStyle w:val="Style1Char"/>
          <w:color w:val="00B050"/>
          <w:rtl/>
        </w:rPr>
      </w:pPr>
      <w:r w:rsidRPr="00DE413E">
        <w:rPr>
          <w:rStyle w:val="Style1Char"/>
          <w:rtl/>
        </w:rPr>
        <w:br w:type="page"/>
      </w:r>
    </w:p>
    <w:p w14:paraId="1B50349C" w14:textId="292A52F7" w:rsidR="000C5939" w:rsidRDefault="000C5939" w:rsidP="000C5939">
      <w:pPr>
        <w:bidi/>
        <w:rPr>
          <w:rStyle w:val="Style1Char"/>
          <w:color w:val="00B050"/>
          <w:rtl/>
        </w:rPr>
      </w:pPr>
      <w:r w:rsidRPr="002625A4">
        <w:rPr>
          <w:rStyle w:val="Style1Char"/>
          <w:color w:val="00B050"/>
          <w:sz w:val="22"/>
          <w:szCs w:val="22"/>
          <w:highlight w:val="yellow"/>
          <w:rtl/>
        </w:rPr>
        <w:lastRenderedPageBreak/>
        <w:t>[דף קיא עמוד ב]</w:t>
      </w:r>
      <w:r w:rsidRPr="002625A4">
        <w:rPr>
          <w:rStyle w:val="Style1Char"/>
          <w:color w:val="00B050"/>
          <w:sz w:val="22"/>
          <w:szCs w:val="22"/>
          <w:rtl/>
        </w:rPr>
        <w:t xml:space="preserve"> </w:t>
      </w:r>
      <w:r w:rsidRPr="001C3C1D">
        <w:rPr>
          <w:rStyle w:val="Style1Char"/>
          <w:color w:val="00B050"/>
          <w:rtl/>
        </w:rPr>
        <w:t xml:space="preserve">שאין בה סמיכה - עמידה שיש בה סמיכה נוחה הימנה. וכן אמרו, יצחק ושמעון ואושעיא אמרו דבר אחד: הלכה כר' יהודה בפרדות; דתניא, רבי יהודה אומר: </w:t>
      </w:r>
      <w:r w:rsidR="00125A07">
        <w:rPr>
          <w:rStyle w:val="Style1Char"/>
          <w:rFonts w:hint="cs"/>
          <w:rtl/>
        </w:rPr>
        <w:t>(1)</w:t>
      </w:r>
      <w:r w:rsidRPr="001C3C1D">
        <w:rPr>
          <w:rStyle w:val="Style1Char"/>
          <w:color w:val="00B050"/>
          <w:rtl/>
        </w:rPr>
        <w:t xml:space="preserve">פרדה שתבעה, אין מרביעין עליה לא סוס ולא חמור אלא מינה. אמר רב נחמן בר יצחק: יצחק - זה רבי יצחק נפחא, שמעון - זה ר"ש בן פזי, ואמרי לה ר"ל, אושעיא - זה רבי אושעיא ברבי. אמר ר' אלעזר: עמי הארצות אינן חיים, שנאמר: מתים בל יחיו וגו'. תניא נמי הכי: מתים בל יחיו - יכול לכל? ת"ל: רפאים בל יקומו, במרפה עצמו מדברי תורה הכתוב מדבר. א"ל ר' יוחנן: לא ניחא למרייהו דאמרת להו הכי, ההוא במרפה עצמו לעבודת כוכבים הוא דכתיב! א"ל: מקרא אחר אני דורש, דכתיב: כי טל אורות טליך וארץ רפאים תפיל, כל המשתמש באור תורה - אור תורה מחייהו, וכל שאין משתמש באור תורה - אין אור תורה מחייהו. כיון דחזייה דקמצטער, א"ל: רבי, מצאתי להן תקנה מן התורה, ואתם הדבקים בה' אלהיכם חיים כולכם היום - וכי אפשר לדבוקי בשכינה? והכתיב: כי ה' אלהיך אש אוכלה! אלא, כל המשיא בתו לתלמיד חכם, והעושה פרקמטיא לתלמידי חכמים, והמהנה תלמידי חכמים מנכסיו, מעלה עליו הכתוב כאילו מדבק בשכינה. כיוצא בדבר אתה אומר: לאהבה את ה' אלהיך ולדבקה בו - וכי אפשר לאדם לידבק בשכינה? אלא, כל המשיא בתו לתלמיד חכם, והעושה פרקמטיא לתלמידי חכמים, והמהנה תלמידי חכמים מנכסיו, מעלה עליו הכתוב כאילו מדבק בשכינה. א"ר חייא בר יוסף: עתידין צדיקים שמבצבצין ועולין בירושלים, שנאמר: ויציצו מעיר כעשב הארץ, ואין עיר אלא ירושלים, שנאמר: וגנותי אל העיר הזאת. וא"ר חייא בר יוסף: עתידים צדיקים שיעמדו במלבושיהן, ק"ו מחטה: מה חטה שנקברה ערומה יוצאה בכמה לבושין, צדיקים שנקברו בלבושיהן על אחת כמה וכמה. וא"ר חייא בר יוסף: עתידה א"י שתוציא גלוסקאות וכלי מילת, שנאמר: יהי פסת בר בארץ. ת"ר: יהי פסת בר בארץ בראש הרים - אמרו: עתידה חטה שתתמר כדקל ועולה בראש הרים; ושמא תאמר, יש צער לקוצרה? תלמוד לומר: ירעש כלבנון פריו, הקדוש ברוך הוא מביא רוח מבית גנזיו ומנשבה עליה ומשרה את סלתה, ואדם יוצא לשדה ומביא מלא פיסת ידו, וממנה פרנסתו ופרנסת אנשי ביתו. עם חלב כליות חטה - אמרו: עתידה חטה שתהא כשתי כליות של שור הגדול; ואל תתמה, שהרי שועל קינן בלפת, ושקלוהו ומצאו בו ששים ליטרין בליטרא של צפורי. תניא, אמר רב יוסף: מעשה בשיחין באחד שהניח לו אביו שלשה בדי חרדל, ונפשח אחד מהן ונמצאו בו תשעה קבין חרדל, ועציו סיככו בו סוכת יוצרין. אמר ר"ש בן תחליפא: קלח של כרוב הניח לנו אבא, והיינו עולים ויורדים בו בסולם. ודם ענב תשתה חמר - אמרו: לא כעולם הזה העולם הבא, העולם הזה - יש בו צער לבצור ולדרוך, העולם הבא - מביא ענוה אחת בקרון או בספינה ומניחה בזוית ביתו, ומספק הימנה כפטוס גדול, ועציו מסיקין תחת התבשיל, ואין לך כל ענבה וענבה שאין בה שלשים גרבי יין, שנא': ודם ענב תשתה חמר, אל תקרי חמר אלא חומר. כי אתא רב דימי אמר, מאי דכתיב: אוסרי לגפן עירה? אין לך כל גפן וגפן שבא"י שאין צריך עיר אחת לבצור, ולשורקה בני אתונו - אין לך כל אילן סרק שבא"י שאינו מוציא משוי שתי אתונות; ושמא תאמר, אין בו יין? ת"ל: כבס ביין לבושו; ושמא תאמר, אינו אדום? ת"ל: ודם ענב תשתה חמר; ושמא תאמר, אינו מרוה? ת"ל: סותה; ושמא תאמר, אין בו טעם? ת"ל: חכלילי עינים מיין, כל חיך שטועמו אומר לי, לי; ושמא תאמר, לנערים יפה ולזקנים אינו יפה? ת"ל: ולבן שנים מחלב, אל תיקרי לבן שינים אלא לבן שנים. פשטיה דקרא במאי כתיב? כי אתא רב דימי אמר, אמרה כנסת ישראל לפני הקדוש ברוך הוא: רבונו של עולם, רמוז בעיניך דבסים מחמרא, ואחוי לי שיניך דבסים מחלבא. מסייע ליה לר' יוחנן, דאמר ר' יוחנן: טוב המלבין שינים לחבירו יותר ממשקהו חלב, שנאמר: ולבן שנים מחלב, אל תקרי לבן שינים אלא לבון שינים. רב חייא בר אדא מקרי דרדקי דר"ל הוה, איפגר תלתא יומי ולא אתא. כי אתא, א"ל: אמאי איפגרת? א"ל: דלית אחת הניח לי אבא, ובצרתי ממנה יום ראשון ג' מאות אשכולות אשכול לגרב, יום שני בצרתי ג' מאות אשכולות שתי אשכולות לגרב, יום שלישי בצרתי ממנה ג' מאות אשכולות שלש אשכולות לגרב, והפקרתי יותר מחציה. א"ל: אי לאו דאיפגרת הוה עבדא טפי. רמי בר יחזקאל איקלע לבני ברק, חזנהו להנהו עיזי דקאכלן תותי תאיני, וקנטיף דובשא מתאיני וחלבא טייף מנייהו ומיערב בהדי הדדי, אמר: היינו זבת חלב ודבש. א"ר יעקב בן דוסתאי: מלוד לאונו שלשה מילין, פעם אחת קדמתי בנשף, והלכתי עד קרסולי בדבש של תאינים. אמר ר"ל: לדידי חזי לי זבת חלב ודבש של צפורי, והוי שיתסר מילין אשיתסר מילין. אמר רבה בר בר חנה: לדידי חזי לי זבת חלב ודבש של כל ארץ ישראל, </w:t>
      </w:r>
    </w:p>
    <w:p w14:paraId="57BD90CA" w14:textId="5A738E1A" w:rsidR="00125A07" w:rsidRDefault="00125A07" w:rsidP="00125A07">
      <w:pPr>
        <w:pStyle w:val="Style1"/>
        <w:rPr>
          <w:rStyle w:val="Style1Char"/>
          <w:rtl/>
        </w:rPr>
      </w:pPr>
      <w:r>
        <w:rPr>
          <w:rStyle w:val="Style1Char"/>
          <w:rFonts w:hint="cs"/>
          <w:rtl/>
        </w:rPr>
        <w:t>1)[</w:t>
      </w:r>
      <w:r w:rsidR="0080135A">
        <w:rPr>
          <w:rStyle w:val="Style1Char"/>
          <w:rtl/>
        </w:rPr>
        <w:t xml:space="preserve">רמב”ם \זרעים\ הלכות כלאים </w:t>
      </w:r>
      <w:r w:rsidRPr="00125A07">
        <w:rPr>
          <w:rStyle w:val="Style1Char"/>
          <w:rtl/>
        </w:rPr>
        <w:t>פרק ט הלכה ד</w:t>
      </w:r>
      <w:r>
        <w:rPr>
          <w:rStyle w:val="Style1Char"/>
          <w:rFonts w:hint="cs"/>
          <w:rtl/>
        </w:rPr>
        <w:t xml:space="preserve">] </w:t>
      </w:r>
      <w:r w:rsidRPr="00125A07">
        <w:rPr>
          <w:rStyle w:val="Style1Char"/>
          <w:rtl/>
        </w:rPr>
        <w:t>שני מיני בהמה או חיה שדומין זה לזה אף על פי שמתעברין זה מזה ודומין זה לזה הואיל והם שני מינין הרי הם כלאים ואסור להרכיבן, כיצד הזאב עם הכלב והכלב הכופרי עם השועל והצבאים עם העזים והיעלים עם הרחלים והסוס עם הפרד והפרד עם החמור והחמור עם הערוד אף על פי שדומין זה לזה הרי הן כלאים זה בזה.</w:t>
      </w:r>
    </w:p>
    <w:p w14:paraId="6BBBFDB8" w14:textId="5A60C420" w:rsidR="00125A07" w:rsidRDefault="00125A07" w:rsidP="00125A07">
      <w:pPr>
        <w:pStyle w:val="Style1"/>
        <w:rPr>
          <w:rStyle w:val="Style1Char"/>
          <w:rtl/>
        </w:rPr>
      </w:pPr>
      <w:r>
        <w:rPr>
          <w:rStyle w:val="Style1Char"/>
          <w:rFonts w:hint="cs"/>
          <w:rtl/>
        </w:rPr>
        <w:t>1)[</w:t>
      </w:r>
      <w:r w:rsidRPr="00125A07">
        <w:rPr>
          <w:rStyle w:val="Style1Char"/>
          <w:rtl/>
        </w:rPr>
        <w:t>שולחן ערוך יורה דעה הלכות כלאי זרעים וכלאי בהמה סימן רצז סעיף ז</w:t>
      </w:r>
      <w:r>
        <w:rPr>
          <w:rStyle w:val="Style1Char"/>
          <w:rFonts w:hint="cs"/>
          <w:rtl/>
        </w:rPr>
        <w:t xml:space="preserve">] </w:t>
      </w:r>
      <w:r w:rsidRPr="00125A07">
        <w:rPr>
          <w:rStyle w:val="Style1Char"/>
          <w:rtl/>
        </w:rPr>
        <w:t>בד"א כשלא נתכוין לערב וכשלא נתכוין לזרוע הב' מינים שנתערבו, אבל אם נתכוין לערב זרע בזרע אחר, או [לזרוע] הב' מינים, אפילו היתה חטה אחת בתוך כרי של שעורים אסור לזרעה, וכן כל כיוצא בזה.</w:t>
      </w:r>
    </w:p>
    <w:p w14:paraId="4D50F4BD" w14:textId="1190B7AF" w:rsidR="00125A07" w:rsidRPr="00125A07" w:rsidRDefault="00125A07" w:rsidP="00125A07">
      <w:pPr>
        <w:pStyle w:val="Style1"/>
        <w:rPr>
          <w:rStyle w:val="Style1Char"/>
          <w:rtl/>
        </w:rPr>
      </w:pPr>
      <w:r>
        <w:rPr>
          <w:rStyle w:val="Style1Char"/>
          <w:rFonts w:hint="cs"/>
          <w:rtl/>
        </w:rPr>
        <w:t>1)[</w:t>
      </w:r>
      <w:r w:rsidRPr="00125A07">
        <w:rPr>
          <w:rStyle w:val="Style1Char"/>
          <w:rtl/>
        </w:rPr>
        <w:t>שולחן ערוך יורה דעה הלכות כלאי זרעים וכלאי בהמה סימן רצז סעיף ט</w:t>
      </w:r>
      <w:r>
        <w:rPr>
          <w:rStyle w:val="Style1Char"/>
          <w:rFonts w:hint="cs"/>
          <w:rtl/>
        </w:rPr>
        <w:t xml:space="preserve">] </w:t>
      </w:r>
      <w:r w:rsidRPr="00125A07">
        <w:rPr>
          <w:rStyle w:val="Style1Char"/>
          <w:rtl/>
        </w:rPr>
        <w:t>במה דברים אמורים, בזמן שיש מקום לחשד. אבל בזמן שהדברים מראים שאין זה מדעתו של בעל השדה, אלא מאליהם עלו, אין מחייבים אותו למעט. כיצד, כגון תבואה שעלו בה ספיחי אסטיס (פירוש מין זרע שצובעין), ותלתן שזרעם למאכל אדם, שעלו בה מיני עשבים, שזה מפסיד הוא. וכן כל כיוצא בזה. ובמה יודע שהתלתן זרועה למאכל אדם, כשהיתה זרועה ערוגות ערוגות ולה גבול סביב, וכן מקום הגרנות שעלו בה מינים הרבה, אין מחייבין אותן לעקור, שהרי הדבר ידוע שאינו רוצה שיצמח צמח במקום הגרנות. ואם הסיר מקצתן, אומרים לו: עקור הכל חוץ ממין אחד, שהרי גילה דעתו שרוצה בקיום השאר.</w:t>
      </w:r>
    </w:p>
    <w:p w14:paraId="6EFF0EA0" w14:textId="77777777" w:rsidR="000C5939" w:rsidRDefault="000C5939" w:rsidP="000C5939">
      <w:pPr>
        <w:rPr>
          <w:rStyle w:val="Style1Char"/>
          <w:color w:val="00B050"/>
          <w:rtl/>
        </w:rPr>
      </w:pPr>
      <w:r>
        <w:rPr>
          <w:rStyle w:val="Style1Char"/>
          <w:color w:val="00B050"/>
          <w:rtl/>
        </w:rPr>
        <w:br w:type="page"/>
      </w:r>
    </w:p>
    <w:p w14:paraId="49E0F4AE" w14:textId="73F9BED6" w:rsidR="000C5939" w:rsidRDefault="000C5939" w:rsidP="000C5939">
      <w:pPr>
        <w:bidi/>
        <w:rPr>
          <w:rStyle w:val="Style1Char"/>
          <w:color w:val="00B050"/>
          <w:rtl/>
        </w:rPr>
      </w:pPr>
      <w:r w:rsidRPr="00BA0E95">
        <w:rPr>
          <w:rStyle w:val="Style1Char"/>
          <w:color w:val="00B050"/>
          <w:sz w:val="22"/>
          <w:szCs w:val="22"/>
          <w:highlight w:val="yellow"/>
          <w:rtl/>
        </w:rPr>
        <w:lastRenderedPageBreak/>
        <w:t>[דף קיב עמוד א]</w:t>
      </w:r>
      <w:r w:rsidRPr="00BA0E95">
        <w:rPr>
          <w:rStyle w:val="Style1Char"/>
          <w:color w:val="00B050"/>
          <w:sz w:val="22"/>
          <w:szCs w:val="22"/>
          <w:rtl/>
        </w:rPr>
        <w:t xml:space="preserve"> </w:t>
      </w:r>
      <w:r w:rsidRPr="001C3C1D">
        <w:rPr>
          <w:rStyle w:val="Style1Char"/>
          <w:color w:val="00B050"/>
          <w:rtl/>
        </w:rPr>
        <w:t xml:space="preserve">והויא כמבי מיכסי עד אקרא דתולבנקי, כ"ב פרסי אורכא ופותיא שיתא פרסי. רבי חלבו ור' עוירא ור' יוסי בר חנינא איקלעו לההוא אתרא, אייתו קמייהו אפרסקא דהוה כאילפס כפר הינו, ואילפס כפר הינו כמה הוי? ה' סאין, אכלו שליש והפקירו שליש ונתנו לפני בהמתן שליש. לשנה איקלע ר' אלעזר להתם ואייתו לקמיה, נקטו בידיה ואמר: ארץ פרי למלחה מרעת יושבי בה. רבי יהושע בן לוי איקלע לגבלא, חזנהו להנהו קטופי דהוו קיימי כי עיגלי, אמר: עגלים בין הגפנים? אמרו ליה: קטופי נינהו, אמר: ארץ, ארץ, הכניסי פירותייך, למי את מוציאה פירותייך, לערביים הללו שעמדו עלינו בחטאתינו? לשנה איקלע ר' חייא להתם, חזנהו דהוו קיימי כעיזי, אמר: עזים בין הגפנים? אמרו ליה: זיל, לא תעביד לן כי חברך. תנו רבנן! בברכותיה של ארץ ישראל - בית סאה עושה חמשת ריבוא כורין, בישיבתה של צוען - בית סאה עושה שבעים כורין; דתניא, אמר רבי מאיר: אני ראיתי בבקעת בית שאן בית סאה עושה שבעים כורין, ואין לך מעולה בכל ארצות יותר מארץ מצרים, שנאמר: כגן ה' כארץ מצרים, ואין לך מעולה בכל ארץ מצרים יותר מצוען, דהוו מרבו בה מלכים, דכתיב: כי היו בצוען שריו, ואין לך טרשים בכל א"י יותר מחברון, דהוו קברי בה שיכבי, ואפילו הכי חברון מבונה על אחת משבעה בצוען, דכתיב: וחברון שבע שנים נבנתה לפני צוען מצרים, מאי נבנתה? אילימא נבנתה ממש, אפשר אדם בונה בית לבנו קטן קודם שיבנה לבנו גדול? שנאמר: ובני חם כוש ומצרים ופוט וכנען! אלא שמבונה על אחת משבעה בצוען. והני מילי בטרשים, אבל שלא בטרשים - חמש מאה. והני מילי שלא בברכותיה, אבל בברכותיה - כתיב: ויזרע יצחק בארץ ההיא וגו'. תניא, אמר רבי יוסי: סאה ביהודה היתה עושה חמש סאין, סאה קמח, סאה סלת, סאה סובין, סאה מורסין, וסאה קיבוריא. א"ל ההוא צדוקי לר' חנינא: יאה משבחיתו בה בארעכון, בית סאה אחת הניח לי אבא, ממנה משח, ממנה חמר, ממנה עיבור, ממנה קיטניות, ממנה רועות מקנתי. א"ל ההוא בר אמוראה לבר ארעא דישראל: האי [תאלתא] דקיימא אגודא דירדנא, כמה גדריתו מינה? אמר ליה: שיתין כורי. א"ל: אכתי לא עייליתו בה אחריבתוה, אנן מאה ועשרים כורי הוה גזרינן מינה! אמר ליה: אנא נמי מחד גיסא קאמינא לך. אמר רב חסדא, מאי דכתיב: ואתן לך ארץ חמדה נחלת צבי? למה ארץ ישראל נמשלה לצבי? לומר לך: מה צבי זה אין עורו מחזיק בשרו, אף ארץ ישראל אינה מחזקת פירותיה. דבר אחר: מה צבי זה קל מכל החיות, אף ארץ ישראל קלה מכל הארצות לבשל את פירותיה. אי מה צבי זה קל ואין בשרו שמן, אף ארץ ישראל קלה לבשל ואין פירותיה שמנים? תלמוד לומר: זבת חלב ודבש, שמנים מחלב ומתוקים מדבש. </w:t>
      </w:r>
      <w:r w:rsidR="00213DA1">
        <w:rPr>
          <w:rStyle w:val="Style1Char"/>
          <w:rFonts w:hint="cs"/>
          <w:rtl/>
        </w:rPr>
        <w:t>(1)</w:t>
      </w:r>
      <w:r w:rsidRPr="001C3C1D">
        <w:rPr>
          <w:rStyle w:val="Style1Char"/>
          <w:color w:val="00B050"/>
          <w:rtl/>
        </w:rPr>
        <w:t xml:space="preserve">רבי אלעזר כי הוה סליק לארץ ישראל, אמר: פלטי לי מחדא; כי סמכוהו, אמר: פלטי לי מתרתי; כי אותבוהו בסוד העיבור, אמר: פלטי לי מתלת, שנאמר: והיתה ידי אל הנביאים החוזים שוא וגו', בסוד עמי לא יהיו - זה סוד עיבור, ובכתב בית ישראל לא יכתבו - זה סמיכה, ואל אדמת ישראל לא יבואו - כמשמעו. רבי זירא כי הוה סליק לא"י, לא אשכח מברא למעבר, נקט במצרא וקעבר. אמר ליה ההוא צדוקי: עמא פזיזא דקדמיתו פומייכו לאודנייכו, אכתי בפזיזותייכו קיימיתו! אמר ליה: דוכתא דמשה ואהרן לא זכו לה, אנא מי יימר דזכינא לה! </w:t>
      </w:r>
      <w:r w:rsidR="00213DA1">
        <w:rPr>
          <w:rStyle w:val="Style1Char"/>
          <w:rFonts w:hint="cs"/>
          <w:rtl/>
        </w:rPr>
        <w:t>(2)</w:t>
      </w:r>
      <w:r w:rsidRPr="001C3C1D">
        <w:rPr>
          <w:rStyle w:val="Style1Char"/>
          <w:color w:val="00B050"/>
          <w:rtl/>
        </w:rPr>
        <w:t xml:space="preserve">ר' אבא מנשק כיפי דעכו. ר' חנינא מתקן מתקליה. ר' אמי ורבי אסי </w:t>
      </w:r>
    </w:p>
    <w:p w14:paraId="334986A6" w14:textId="29194B4D" w:rsidR="00213DA1" w:rsidRDefault="00213DA1" w:rsidP="00213DA1">
      <w:pPr>
        <w:pStyle w:val="Style1"/>
        <w:rPr>
          <w:rStyle w:val="Style1Char"/>
          <w:rtl/>
        </w:rPr>
      </w:pPr>
      <w:r>
        <w:rPr>
          <w:rStyle w:val="Style1Char"/>
          <w:rFonts w:hint="cs"/>
          <w:rtl/>
        </w:rPr>
        <w:t>1)[</w:t>
      </w:r>
      <w:r w:rsidR="00C764B2">
        <w:rPr>
          <w:rStyle w:val="Style1Char"/>
          <w:rtl/>
        </w:rPr>
        <w:t xml:space="preserve">רמב”ם \שופטים\ הלכות מלכים </w:t>
      </w:r>
      <w:r w:rsidRPr="00213DA1">
        <w:rPr>
          <w:rStyle w:val="Style1Char"/>
          <w:rtl/>
        </w:rPr>
        <w:t>פרק ה הלכה יא</w:t>
      </w:r>
      <w:r>
        <w:rPr>
          <w:rStyle w:val="Style1Char"/>
          <w:rFonts w:hint="cs"/>
          <w:rtl/>
        </w:rPr>
        <w:t xml:space="preserve">] </w:t>
      </w:r>
      <w:r w:rsidRPr="00213DA1">
        <w:rPr>
          <w:rStyle w:val="Style1Char"/>
          <w:rtl/>
        </w:rPr>
        <w:t xml:space="preserve">אמרו חכמים כל השוכן בארץ ישראל עונותיו מחולין, שנאמר ובל יאמר שכן חליתי העם היושב בה נשוא עון, אפילו הלך בה ארבע אמות זוכה לחיי העולם הבא, וכן הקבור בה נתכפר לו, וכאילו המקום שהוא בו מזבח כפרה, שנאמר וכפר אדמתו עמו, ובפורענות הוא אומר על אדמה טמאה תמות, ואינו דומה קולטתו </w:t>
      </w:r>
      <w:r>
        <w:rPr>
          <w:rStyle w:val="Style1Char"/>
          <w:rFonts w:hint="cs"/>
          <w:rtl/>
        </w:rPr>
        <w:t xml:space="preserve"> </w:t>
      </w:r>
      <w:r w:rsidRPr="00213DA1">
        <w:rPr>
          <w:rStyle w:val="Style1Char"/>
          <w:rtl/>
        </w:rPr>
        <w:t>מחיים לקולטתו אחר מותו, ואעפ"כ גדולי החכמים היו מוליכים מתיהם לשם, צא ולמד מיעקב אבינו ויוסף הצדיק.</w:t>
      </w:r>
    </w:p>
    <w:p w14:paraId="5D4FF236" w14:textId="74E41A8A" w:rsidR="00213DA1" w:rsidRPr="00213DA1" w:rsidRDefault="00213DA1" w:rsidP="00213DA1">
      <w:pPr>
        <w:pStyle w:val="Style1"/>
        <w:rPr>
          <w:rStyle w:val="Style1Char"/>
          <w:rtl/>
        </w:rPr>
      </w:pPr>
      <w:r>
        <w:rPr>
          <w:rStyle w:val="Style1Char"/>
          <w:rFonts w:hint="cs"/>
          <w:rtl/>
        </w:rPr>
        <w:t>2)[</w:t>
      </w:r>
      <w:r w:rsidR="00C764B2">
        <w:rPr>
          <w:rStyle w:val="Style1Char"/>
          <w:rtl/>
        </w:rPr>
        <w:t xml:space="preserve">רמב”ם \שופטים\ הלכות מלכים </w:t>
      </w:r>
      <w:r w:rsidRPr="00213DA1">
        <w:rPr>
          <w:rStyle w:val="Style1Char"/>
          <w:rtl/>
        </w:rPr>
        <w:t>פרק ה הלכה י</w:t>
      </w:r>
      <w:r>
        <w:rPr>
          <w:rStyle w:val="Style1Char"/>
          <w:rFonts w:hint="cs"/>
          <w:rtl/>
        </w:rPr>
        <w:t xml:space="preserve">] </w:t>
      </w:r>
      <w:r w:rsidRPr="00213DA1">
        <w:rPr>
          <w:rStyle w:val="Style1Char"/>
          <w:rtl/>
        </w:rPr>
        <w:t>גדולי החכמים היו מנשקין על תחומי ארץ ישראל ומנשקין אבניה ומתגלגלין על עפרה, וכן הוא אומר כי רצו עבדיך את אבניה ואת עפרה יחוננו.</w:t>
      </w:r>
    </w:p>
    <w:p w14:paraId="5617880F" w14:textId="77777777" w:rsidR="000C5939" w:rsidRDefault="000C5939" w:rsidP="000C5939">
      <w:pPr>
        <w:rPr>
          <w:rStyle w:val="Style1Char"/>
          <w:color w:val="00B050"/>
          <w:rtl/>
        </w:rPr>
      </w:pPr>
      <w:r>
        <w:rPr>
          <w:rStyle w:val="Style1Char"/>
          <w:color w:val="00B050"/>
          <w:rtl/>
        </w:rPr>
        <w:br w:type="page"/>
      </w:r>
    </w:p>
    <w:p w14:paraId="5FCB80E9" w14:textId="77777777" w:rsidR="000C5939" w:rsidRDefault="000C5939" w:rsidP="000C5939">
      <w:pPr>
        <w:bidi/>
        <w:rPr>
          <w:rStyle w:val="Style1Char"/>
          <w:color w:val="00B050"/>
          <w:rtl/>
        </w:rPr>
      </w:pPr>
      <w:r w:rsidRPr="00BA0E95">
        <w:rPr>
          <w:rStyle w:val="Style1Char"/>
          <w:color w:val="00B050"/>
          <w:sz w:val="22"/>
          <w:szCs w:val="22"/>
          <w:highlight w:val="yellow"/>
          <w:rtl/>
        </w:rPr>
        <w:lastRenderedPageBreak/>
        <w:t>[דף קיב עמוד ב]</w:t>
      </w:r>
      <w:r w:rsidRPr="00BA0E95">
        <w:rPr>
          <w:rStyle w:val="Style1Char"/>
          <w:color w:val="00B050"/>
          <w:sz w:val="22"/>
          <w:szCs w:val="22"/>
          <w:rtl/>
        </w:rPr>
        <w:t xml:space="preserve"> </w:t>
      </w:r>
      <w:r w:rsidRPr="001C3C1D">
        <w:rPr>
          <w:rStyle w:val="Style1Char"/>
          <w:color w:val="00B050"/>
          <w:rtl/>
        </w:rPr>
        <w:t xml:space="preserve">קיימי משמשא לטולא ומטולא לשמשא. ר' חייא בר גמדא מיגנדר בעפרה, שנאמר: כי רצו עבדיך את אבניה ואת עפרה יחוננו. אמר רבי זירא אמר רבי ירמיה בר אבא: דור שבן דוד בא, קטיגוריא בתלמידי חכמים. כי אמריתה קמיה דשמואל, אמר: צירוף אחר צירוף, שנאמר: ועוד בה עשיריה ושבה והיתה לבער. תני רב יוסף: בזוזי ובזוזי דבזוזי. אמר רב חייא בר אשי אמר רב: עתידין כל אילני סרק שבארץ ישראל שיטענו פירות, שנאמר: כי עץ נשא פריו תאנה וגפן נתנו חילם. </w:t>
      </w:r>
    </w:p>
    <w:p w14:paraId="1D1D6634" w14:textId="77777777" w:rsidR="000C5939" w:rsidRPr="00D2614D" w:rsidRDefault="000C5939" w:rsidP="000C5939">
      <w:pPr>
        <w:bidi/>
        <w:rPr>
          <w:color w:val="00B050"/>
          <w:sz w:val="52"/>
          <w:szCs w:val="52"/>
        </w:rPr>
      </w:pPr>
      <w:r w:rsidRPr="001C3C1D">
        <w:rPr>
          <w:rStyle w:val="Style1Char"/>
          <w:color w:val="auto"/>
          <w:sz w:val="22"/>
          <w:szCs w:val="22"/>
          <w:rtl/>
        </w:rPr>
        <w:t>הדרן עלך שני דייני גזירות וסליקא לה מסכת כתובות.</w:t>
      </w:r>
    </w:p>
    <w:p w14:paraId="4E5E61F4" w14:textId="77777777" w:rsidR="00DA1858" w:rsidRPr="00975D78" w:rsidRDefault="00DA1858" w:rsidP="00DA1858">
      <w:pPr>
        <w:bidi/>
        <w:rPr>
          <w:sz w:val="36"/>
          <w:szCs w:val="36"/>
        </w:rPr>
      </w:pPr>
    </w:p>
    <w:sectPr w:rsidR="00DA1858" w:rsidRPr="00975D78">
      <w:headerReference w:type="default" r:id="rId3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B4630" w14:textId="77777777" w:rsidR="00237676" w:rsidRDefault="00237676">
      <w:pPr>
        <w:spacing w:after="0" w:line="240" w:lineRule="auto"/>
      </w:pPr>
      <w:r>
        <w:separator/>
      </w:r>
    </w:p>
  </w:endnote>
  <w:endnote w:type="continuationSeparator" w:id="0">
    <w:p w14:paraId="1A10AFE6" w14:textId="77777777" w:rsidR="00237676" w:rsidRDefault="00237676">
      <w:pPr>
        <w:spacing w:after="0" w:line="240" w:lineRule="auto"/>
      </w:pPr>
      <w:r>
        <w:continuationSeparator/>
      </w:r>
    </w:p>
  </w:endnote>
  <w:endnote w:type="continuationNotice" w:id="1">
    <w:p w14:paraId="57BEE978" w14:textId="77777777" w:rsidR="00237676" w:rsidRDefault="00237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ef">
    <w:altName w:val="Alef"/>
    <w:charset w:val="B1"/>
    <w:family w:val="auto"/>
    <w:pitch w:val="variable"/>
    <w:sig w:usb0="00000807" w:usb1="40000000" w:usb2="00000000" w:usb3="00000000" w:csb0="000000B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E637" w14:textId="77777777" w:rsidR="00237676" w:rsidRDefault="00237676">
      <w:pPr>
        <w:spacing w:after="0" w:line="240" w:lineRule="auto"/>
      </w:pPr>
      <w:r>
        <w:separator/>
      </w:r>
    </w:p>
  </w:footnote>
  <w:footnote w:type="continuationSeparator" w:id="0">
    <w:p w14:paraId="2ECC3E2E" w14:textId="77777777" w:rsidR="00237676" w:rsidRDefault="00237676">
      <w:pPr>
        <w:spacing w:after="0" w:line="240" w:lineRule="auto"/>
      </w:pPr>
      <w:r>
        <w:continuationSeparator/>
      </w:r>
    </w:p>
  </w:footnote>
  <w:footnote w:type="continuationNotice" w:id="1">
    <w:p w14:paraId="26C4C801" w14:textId="77777777" w:rsidR="00237676" w:rsidRDefault="002376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350667"/>
      <w:docPartObj>
        <w:docPartGallery w:val="Page Numbers (Top of Page)"/>
        <w:docPartUnique/>
      </w:docPartObj>
    </w:sdtPr>
    <w:sdtEndPr>
      <w:rPr>
        <w:noProof/>
      </w:rPr>
    </w:sdtEndPr>
    <w:sdtContent>
      <w:p w14:paraId="18E7A2C7" w14:textId="77777777" w:rsidR="002D1452" w:rsidRDefault="008404FE">
        <w:pPr>
          <w:pStyle w:val="Header"/>
        </w:pPr>
        <w:r>
          <w:fldChar w:fldCharType="begin"/>
        </w:r>
        <w:r>
          <w:instrText xml:space="preserve"> PAGE   \* MERGEFORMAT </w:instrText>
        </w:r>
        <w:r>
          <w:fldChar w:fldCharType="separate"/>
        </w:r>
        <w:r>
          <w:rPr>
            <w:noProof/>
          </w:rPr>
          <w:t>2</w:t>
        </w:r>
        <w:r>
          <w:rPr>
            <w:noProof/>
          </w:rPr>
          <w:fldChar w:fldCharType="end"/>
        </w:r>
      </w:p>
    </w:sdtContent>
  </w:sdt>
  <w:p w14:paraId="095C7E31" w14:textId="77777777" w:rsidR="00F82383" w:rsidRDefault="00237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A70"/>
    <w:multiLevelType w:val="multilevel"/>
    <w:tmpl w:val="04D0FA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823EF"/>
    <w:multiLevelType w:val="multilevel"/>
    <w:tmpl w:val="64CE9B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951AC"/>
    <w:multiLevelType w:val="multilevel"/>
    <w:tmpl w:val="FDF8C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976FF"/>
    <w:multiLevelType w:val="multilevel"/>
    <w:tmpl w:val="E5BA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71D54"/>
    <w:multiLevelType w:val="multilevel"/>
    <w:tmpl w:val="BE8A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FD7B08"/>
    <w:multiLevelType w:val="multilevel"/>
    <w:tmpl w:val="79F8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17B5C"/>
    <w:multiLevelType w:val="multilevel"/>
    <w:tmpl w:val="B63214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9633B6"/>
    <w:multiLevelType w:val="multilevel"/>
    <w:tmpl w:val="1B5E25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C7C83"/>
    <w:multiLevelType w:val="multilevel"/>
    <w:tmpl w:val="FFD068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61EFE"/>
    <w:multiLevelType w:val="multilevel"/>
    <w:tmpl w:val="702245B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4F13E7E"/>
    <w:multiLevelType w:val="multilevel"/>
    <w:tmpl w:val="70ACF6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A44B6"/>
    <w:multiLevelType w:val="multilevel"/>
    <w:tmpl w:val="5D2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A67D3"/>
    <w:multiLevelType w:val="multilevel"/>
    <w:tmpl w:val="C7F6AD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F099F"/>
    <w:multiLevelType w:val="multilevel"/>
    <w:tmpl w:val="7608AB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204273"/>
    <w:multiLevelType w:val="multilevel"/>
    <w:tmpl w:val="EBC6B3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8D4164"/>
    <w:multiLevelType w:val="multilevel"/>
    <w:tmpl w:val="A29E10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A3B4D"/>
    <w:multiLevelType w:val="multilevel"/>
    <w:tmpl w:val="5E98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B1CCB"/>
    <w:multiLevelType w:val="multilevel"/>
    <w:tmpl w:val="C23649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E5209D"/>
    <w:multiLevelType w:val="multilevel"/>
    <w:tmpl w:val="B95A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A2E08"/>
    <w:multiLevelType w:val="multilevel"/>
    <w:tmpl w:val="6D84F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A45B50"/>
    <w:multiLevelType w:val="multilevel"/>
    <w:tmpl w:val="885488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5E5068C8"/>
    <w:multiLevelType w:val="multilevel"/>
    <w:tmpl w:val="0B5626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95209"/>
    <w:multiLevelType w:val="multilevel"/>
    <w:tmpl w:val="AED0DC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71215FAA"/>
    <w:multiLevelType w:val="multilevel"/>
    <w:tmpl w:val="80B4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592556"/>
    <w:multiLevelType w:val="multilevel"/>
    <w:tmpl w:val="3D2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B056D1"/>
    <w:multiLevelType w:val="multilevel"/>
    <w:tmpl w:val="9388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0F0CA3"/>
    <w:multiLevelType w:val="multilevel"/>
    <w:tmpl w:val="F944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F20D7"/>
    <w:multiLevelType w:val="multilevel"/>
    <w:tmpl w:val="360A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30B92"/>
    <w:multiLevelType w:val="multilevel"/>
    <w:tmpl w:val="3EA847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C62DD3"/>
    <w:multiLevelType w:val="multilevel"/>
    <w:tmpl w:val="72DA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893730">
    <w:abstractNumId w:val="26"/>
  </w:num>
  <w:num w:numId="2" w16cid:durableId="4789332">
    <w:abstractNumId w:val="25"/>
  </w:num>
  <w:num w:numId="3" w16cid:durableId="1605267859">
    <w:abstractNumId w:val="2"/>
  </w:num>
  <w:num w:numId="4" w16cid:durableId="814949352">
    <w:abstractNumId w:val="18"/>
  </w:num>
  <w:num w:numId="5" w16cid:durableId="490564853">
    <w:abstractNumId w:val="19"/>
  </w:num>
  <w:num w:numId="6" w16cid:durableId="992299425">
    <w:abstractNumId w:val="24"/>
  </w:num>
  <w:num w:numId="7" w16cid:durableId="2059351813">
    <w:abstractNumId w:val="3"/>
  </w:num>
  <w:num w:numId="8" w16cid:durableId="1647471662">
    <w:abstractNumId w:val="5"/>
  </w:num>
  <w:num w:numId="9" w16cid:durableId="1812214831">
    <w:abstractNumId w:val="11"/>
  </w:num>
  <w:num w:numId="10" w16cid:durableId="1133332257">
    <w:abstractNumId w:val="4"/>
  </w:num>
  <w:num w:numId="11" w16cid:durableId="1913659978">
    <w:abstractNumId w:val="16"/>
  </w:num>
  <w:num w:numId="12" w16cid:durableId="2113738525">
    <w:abstractNumId w:val="29"/>
  </w:num>
  <w:num w:numId="13" w16cid:durableId="123667659">
    <w:abstractNumId w:val="23"/>
  </w:num>
  <w:num w:numId="14" w16cid:durableId="291138547">
    <w:abstractNumId w:val="27"/>
  </w:num>
  <w:num w:numId="15" w16cid:durableId="2119566925">
    <w:abstractNumId w:val="22"/>
  </w:num>
  <w:num w:numId="16" w16cid:durableId="1775245084">
    <w:abstractNumId w:val="8"/>
  </w:num>
  <w:num w:numId="17" w16cid:durableId="1545410333">
    <w:abstractNumId w:val="20"/>
  </w:num>
  <w:num w:numId="18" w16cid:durableId="1818647092">
    <w:abstractNumId w:val="9"/>
  </w:num>
  <w:num w:numId="19" w16cid:durableId="1378313428">
    <w:abstractNumId w:val="6"/>
  </w:num>
  <w:num w:numId="20" w16cid:durableId="834957563">
    <w:abstractNumId w:val="17"/>
  </w:num>
  <w:num w:numId="21" w16cid:durableId="703210931">
    <w:abstractNumId w:val="1"/>
  </w:num>
  <w:num w:numId="22" w16cid:durableId="519779364">
    <w:abstractNumId w:val="13"/>
  </w:num>
  <w:num w:numId="23" w16cid:durableId="48772016">
    <w:abstractNumId w:val="12"/>
  </w:num>
  <w:num w:numId="24" w16cid:durableId="675379338">
    <w:abstractNumId w:val="7"/>
  </w:num>
  <w:num w:numId="25" w16cid:durableId="379745973">
    <w:abstractNumId w:val="0"/>
  </w:num>
  <w:num w:numId="26" w16cid:durableId="1977710703">
    <w:abstractNumId w:val="15"/>
  </w:num>
  <w:num w:numId="27" w16cid:durableId="1148087234">
    <w:abstractNumId w:val="28"/>
  </w:num>
  <w:num w:numId="28" w16cid:durableId="44960236">
    <w:abstractNumId w:val="14"/>
  </w:num>
  <w:num w:numId="29" w16cid:durableId="891620345">
    <w:abstractNumId w:val="10"/>
  </w:num>
  <w:num w:numId="30" w16cid:durableId="13107455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1E"/>
    <w:rsid w:val="000001C9"/>
    <w:rsid w:val="000001F9"/>
    <w:rsid w:val="000002D7"/>
    <w:rsid w:val="000005C2"/>
    <w:rsid w:val="00000649"/>
    <w:rsid w:val="000006E9"/>
    <w:rsid w:val="000006FD"/>
    <w:rsid w:val="0000083D"/>
    <w:rsid w:val="00000991"/>
    <w:rsid w:val="00000A5F"/>
    <w:rsid w:val="00000C54"/>
    <w:rsid w:val="00000DA8"/>
    <w:rsid w:val="00000E67"/>
    <w:rsid w:val="00001058"/>
    <w:rsid w:val="0000180D"/>
    <w:rsid w:val="000019A5"/>
    <w:rsid w:val="000019CE"/>
    <w:rsid w:val="00001A7B"/>
    <w:rsid w:val="00001AD6"/>
    <w:rsid w:val="00001B2D"/>
    <w:rsid w:val="00001B57"/>
    <w:rsid w:val="00001BB7"/>
    <w:rsid w:val="00001BEB"/>
    <w:rsid w:val="00001F3E"/>
    <w:rsid w:val="00001FD3"/>
    <w:rsid w:val="00001FFB"/>
    <w:rsid w:val="0000220F"/>
    <w:rsid w:val="00002283"/>
    <w:rsid w:val="000022DE"/>
    <w:rsid w:val="00002343"/>
    <w:rsid w:val="0000239F"/>
    <w:rsid w:val="000026BF"/>
    <w:rsid w:val="000026ED"/>
    <w:rsid w:val="000028BC"/>
    <w:rsid w:val="000028CD"/>
    <w:rsid w:val="0000292E"/>
    <w:rsid w:val="00002AA2"/>
    <w:rsid w:val="00002B30"/>
    <w:rsid w:val="00002C31"/>
    <w:rsid w:val="00002D38"/>
    <w:rsid w:val="00002DBB"/>
    <w:rsid w:val="00002E7A"/>
    <w:rsid w:val="00002EA1"/>
    <w:rsid w:val="00002ED2"/>
    <w:rsid w:val="00002F52"/>
    <w:rsid w:val="000031E2"/>
    <w:rsid w:val="00003202"/>
    <w:rsid w:val="00003217"/>
    <w:rsid w:val="000033BC"/>
    <w:rsid w:val="000036CA"/>
    <w:rsid w:val="00003711"/>
    <w:rsid w:val="00003755"/>
    <w:rsid w:val="00003908"/>
    <w:rsid w:val="000039E5"/>
    <w:rsid w:val="00003D03"/>
    <w:rsid w:val="00003F58"/>
    <w:rsid w:val="00004120"/>
    <w:rsid w:val="0000422E"/>
    <w:rsid w:val="00004366"/>
    <w:rsid w:val="00004532"/>
    <w:rsid w:val="00004535"/>
    <w:rsid w:val="000047A2"/>
    <w:rsid w:val="00004AD3"/>
    <w:rsid w:val="00004AF2"/>
    <w:rsid w:val="00004B41"/>
    <w:rsid w:val="00004BAD"/>
    <w:rsid w:val="00004E27"/>
    <w:rsid w:val="00004E67"/>
    <w:rsid w:val="00004FA8"/>
    <w:rsid w:val="0000501F"/>
    <w:rsid w:val="00005118"/>
    <w:rsid w:val="0000511C"/>
    <w:rsid w:val="00005143"/>
    <w:rsid w:val="000052B8"/>
    <w:rsid w:val="00005379"/>
    <w:rsid w:val="00005623"/>
    <w:rsid w:val="000056AA"/>
    <w:rsid w:val="00005951"/>
    <w:rsid w:val="00005959"/>
    <w:rsid w:val="00005AED"/>
    <w:rsid w:val="00005BCE"/>
    <w:rsid w:val="00005C28"/>
    <w:rsid w:val="00005C46"/>
    <w:rsid w:val="00005DE3"/>
    <w:rsid w:val="00005E62"/>
    <w:rsid w:val="00005F04"/>
    <w:rsid w:val="00005F17"/>
    <w:rsid w:val="00006082"/>
    <w:rsid w:val="000060A5"/>
    <w:rsid w:val="000062F8"/>
    <w:rsid w:val="0000635C"/>
    <w:rsid w:val="000063AF"/>
    <w:rsid w:val="000065CB"/>
    <w:rsid w:val="0000668D"/>
    <w:rsid w:val="0000683C"/>
    <w:rsid w:val="0000686E"/>
    <w:rsid w:val="000069DC"/>
    <w:rsid w:val="000069F9"/>
    <w:rsid w:val="00006AEF"/>
    <w:rsid w:val="00006E96"/>
    <w:rsid w:val="00006F50"/>
    <w:rsid w:val="00006FD7"/>
    <w:rsid w:val="00007120"/>
    <w:rsid w:val="000071FA"/>
    <w:rsid w:val="00007203"/>
    <w:rsid w:val="000072ED"/>
    <w:rsid w:val="0000735D"/>
    <w:rsid w:val="000073D5"/>
    <w:rsid w:val="00007470"/>
    <w:rsid w:val="000074FD"/>
    <w:rsid w:val="00007693"/>
    <w:rsid w:val="000076A4"/>
    <w:rsid w:val="0000777D"/>
    <w:rsid w:val="000079DE"/>
    <w:rsid w:val="000079EF"/>
    <w:rsid w:val="00007B05"/>
    <w:rsid w:val="00007B3B"/>
    <w:rsid w:val="00007C99"/>
    <w:rsid w:val="00007CEE"/>
    <w:rsid w:val="00007D09"/>
    <w:rsid w:val="00007DAA"/>
    <w:rsid w:val="00007DDC"/>
    <w:rsid w:val="00007E65"/>
    <w:rsid w:val="00007FE0"/>
    <w:rsid w:val="00010010"/>
    <w:rsid w:val="00010065"/>
    <w:rsid w:val="00010073"/>
    <w:rsid w:val="000100D5"/>
    <w:rsid w:val="0001014C"/>
    <w:rsid w:val="0001022C"/>
    <w:rsid w:val="000102A4"/>
    <w:rsid w:val="000102B2"/>
    <w:rsid w:val="00010321"/>
    <w:rsid w:val="00010634"/>
    <w:rsid w:val="0001074A"/>
    <w:rsid w:val="000107E9"/>
    <w:rsid w:val="0001083A"/>
    <w:rsid w:val="0001083D"/>
    <w:rsid w:val="000109B3"/>
    <w:rsid w:val="00010A68"/>
    <w:rsid w:val="00010AEE"/>
    <w:rsid w:val="00010C4F"/>
    <w:rsid w:val="00010EC8"/>
    <w:rsid w:val="00010FBA"/>
    <w:rsid w:val="00010FF0"/>
    <w:rsid w:val="00010FFA"/>
    <w:rsid w:val="000111C0"/>
    <w:rsid w:val="00011280"/>
    <w:rsid w:val="00011459"/>
    <w:rsid w:val="00011600"/>
    <w:rsid w:val="000116C3"/>
    <w:rsid w:val="000116F3"/>
    <w:rsid w:val="00011818"/>
    <w:rsid w:val="000118BD"/>
    <w:rsid w:val="00011B6A"/>
    <w:rsid w:val="00011E08"/>
    <w:rsid w:val="00011F13"/>
    <w:rsid w:val="00012036"/>
    <w:rsid w:val="00012131"/>
    <w:rsid w:val="0001253F"/>
    <w:rsid w:val="0001269F"/>
    <w:rsid w:val="000127E7"/>
    <w:rsid w:val="00012834"/>
    <w:rsid w:val="00012A79"/>
    <w:rsid w:val="00012DB8"/>
    <w:rsid w:val="00012F70"/>
    <w:rsid w:val="0001320C"/>
    <w:rsid w:val="000134B0"/>
    <w:rsid w:val="000135C8"/>
    <w:rsid w:val="0001371A"/>
    <w:rsid w:val="000138E8"/>
    <w:rsid w:val="000139CE"/>
    <w:rsid w:val="000139FA"/>
    <w:rsid w:val="00013A7E"/>
    <w:rsid w:val="00013A93"/>
    <w:rsid w:val="00013DC8"/>
    <w:rsid w:val="00014229"/>
    <w:rsid w:val="00014391"/>
    <w:rsid w:val="000146E9"/>
    <w:rsid w:val="000147B4"/>
    <w:rsid w:val="00014972"/>
    <w:rsid w:val="0001499D"/>
    <w:rsid w:val="00014AF7"/>
    <w:rsid w:val="00014B23"/>
    <w:rsid w:val="00014C29"/>
    <w:rsid w:val="00014DE1"/>
    <w:rsid w:val="00014F00"/>
    <w:rsid w:val="0001520D"/>
    <w:rsid w:val="0001525B"/>
    <w:rsid w:val="000152B3"/>
    <w:rsid w:val="0001534C"/>
    <w:rsid w:val="000157A5"/>
    <w:rsid w:val="00015840"/>
    <w:rsid w:val="000158C4"/>
    <w:rsid w:val="0001591A"/>
    <w:rsid w:val="000159C1"/>
    <w:rsid w:val="00015A12"/>
    <w:rsid w:val="00015A3D"/>
    <w:rsid w:val="00015A8C"/>
    <w:rsid w:val="00015ABA"/>
    <w:rsid w:val="00015AE7"/>
    <w:rsid w:val="00015C4C"/>
    <w:rsid w:val="00015C86"/>
    <w:rsid w:val="00015E21"/>
    <w:rsid w:val="00015E73"/>
    <w:rsid w:val="00016145"/>
    <w:rsid w:val="0001615C"/>
    <w:rsid w:val="0001621D"/>
    <w:rsid w:val="00016343"/>
    <w:rsid w:val="000163A0"/>
    <w:rsid w:val="000163AF"/>
    <w:rsid w:val="000163BA"/>
    <w:rsid w:val="00016619"/>
    <w:rsid w:val="000168E1"/>
    <w:rsid w:val="000169CA"/>
    <w:rsid w:val="00016C12"/>
    <w:rsid w:val="00016D86"/>
    <w:rsid w:val="00016F57"/>
    <w:rsid w:val="00016FE4"/>
    <w:rsid w:val="00017041"/>
    <w:rsid w:val="000170F4"/>
    <w:rsid w:val="00017204"/>
    <w:rsid w:val="0001720A"/>
    <w:rsid w:val="000173A0"/>
    <w:rsid w:val="000174E6"/>
    <w:rsid w:val="0001781C"/>
    <w:rsid w:val="00017872"/>
    <w:rsid w:val="000178E1"/>
    <w:rsid w:val="0001798F"/>
    <w:rsid w:val="000200B7"/>
    <w:rsid w:val="00020160"/>
    <w:rsid w:val="0002034E"/>
    <w:rsid w:val="00020469"/>
    <w:rsid w:val="0002062A"/>
    <w:rsid w:val="00020649"/>
    <w:rsid w:val="00020725"/>
    <w:rsid w:val="000207B6"/>
    <w:rsid w:val="00020AF3"/>
    <w:rsid w:val="00020B25"/>
    <w:rsid w:val="00020B46"/>
    <w:rsid w:val="00020BFB"/>
    <w:rsid w:val="00020DAA"/>
    <w:rsid w:val="00020E06"/>
    <w:rsid w:val="00020E48"/>
    <w:rsid w:val="00020F2F"/>
    <w:rsid w:val="00020F33"/>
    <w:rsid w:val="00020F3A"/>
    <w:rsid w:val="00021038"/>
    <w:rsid w:val="00021041"/>
    <w:rsid w:val="000212C8"/>
    <w:rsid w:val="0002156C"/>
    <w:rsid w:val="000215E1"/>
    <w:rsid w:val="0002180D"/>
    <w:rsid w:val="00021847"/>
    <w:rsid w:val="0002185B"/>
    <w:rsid w:val="00021863"/>
    <w:rsid w:val="0002188A"/>
    <w:rsid w:val="00021DBB"/>
    <w:rsid w:val="00021E31"/>
    <w:rsid w:val="00021F83"/>
    <w:rsid w:val="00021FDD"/>
    <w:rsid w:val="0002214B"/>
    <w:rsid w:val="000221B4"/>
    <w:rsid w:val="000221BF"/>
    <w:rsid w:val="0002221C"/>
    <w:rsid w:val="00022487"/>
    <w:rsid w:val="00022648"/>
    <w:rsid w:val="000226E7"/>
    <w:rsid w:val="00022951"/>
    <w:rsid w:val="00022A9C"/>
    <w:rsid w:val="00022B98"/>
    <w:rsid w:val="00022D8F"/>
    <w:rsid w:val="00022D93"/>
    <w:rsid w:val="00022D9E"/>
    <w:rsid w:val="00022E40"/>
    <w:rsid w:val="0002312D"/>
    <w:rsid w:val="00023195"/>
    <w:rsid w:val="000231F5"/>
    <w:rsid w:val="0002321C"/>
    <w:rsid w:val="00023280"/>
    <w:rsid w:val="00023287"/>
    <w:rsid w:val="00023917"/>
    <w:rsid w:val="00023955"/>
    <w:rsid w:val="000239E0"/>
    <w:rsid w:val="00023BA8"/>
    <w:rsid w:val="00023CF6"/>
    <w:rsid w:val="00024188"/>
    <w:rsid w:val="0002443C"/>
    <w:rsid w:val="00024463"/>
    <w:rsid w:val="000245A6"/>
    <w:rsid w:val="000245BB"/>
    <w:rsid w:val="000245F5"/>
    <w:rsid w:val="00024631"/>
    <w:rsid w:val="00024694"/>
    <w:rsid w:val="00024C80"/>
    <w:rsid w:val="00024CD1"/>
    <w:rsid w:val="000252F6"/>
    <w:rsid w:val="0002534E"/>
    <w:rsid w:val="000256CE"/>
    <w:rsid w:val="000258B9"/>
    <w:rsid w:val="00025AA3"/>
    <w:rsid w:val="00025BE8"/>
    <w:rsid w:val="00025CFF"/>
    <w:rsid w:val="00025D00"/>
    <w:rsid w:val="00025DBE"/>
    <w:rsid w:val="00025F2E"/>
    <w:rsid w:val="00025F81"/>
    <w:rsid w:val="000261F1"/>
    <w:rsid w:val="00026389"/>
    <w:rsid w:val="000263BD"/>
    <w:rsid w:val="00026417"/>
    <w:rsid w:val="00026432"/>
    <w:rsid w:val="000264F0"/>
    <w:rsid w:val="000264FE"/>
    <w:rsid w:val="00026646"/>
    <w:rsid w:val="0002671B"/>
    <w:rsid w:val="000267D8"/>
    <w:rsid w:val="00026989"/>
    <w:rsid w:val="000269E4"/>
    <w:rsid w:val="00026A0C"/>
    <w:rsid w:val="00026CE4"/>
    <w:rsid w:val="00026D30"/>
    <w:rsid w:val="00026D99"/>
    <w:rsid w:val="00026E87"/>
    <w:rsid w:val="0002707C"/>
    <w:rsid w:val="000270D8"/>
    <w:rsid w:val="0002714A"/>
    <w:rsid w:val="0002718C"/>
    <w:rsid w:val="000271C7"/>
    <w:rsid w:val="000272FE"/>
    <w:rsid w:val="00027379"/>
    <w:rsid w:val="00027399"/>
    <w:rsid w:val="00027427"/>
    <w:rsid w:val="0002744D"/>
    <w:rsid w:val="0002771D"/>
    <w:rsid w:val="00027739"/>
    <w:rsid w:val="000277B8"/>
    <w:rsid w:val="00027828"/>
    <w:rsid w:val="0002784B"/>
    <w:rsid w:val="00027984"/>
    <w:rsid w:val="00027A27"/>
    <w:rsid w:val="00027A2B"/>
    <w:rsid w:val="00027A34"/>
    <w:rsid w:val="00027B70"/>
    <w:rsid w:val="00027D8C"/>
    <w:rsid w:val="00027E24"/>
    <w:rsid w:val="00027E3A"/>
    <w:rsid w:val="00027F19"/>
    <w:rsid w:val="0003023B"/>
    <w:rsid w:val="0003034B"/>
    <w:rsid w:val="00030595"/>
    <w:rsid w:val="00030609"/>
    <w:rsid w:val="00030627"/>
    <w:rsid w:val="000306C6"/>
    <w:rsid w:val="000309A5"/>
    <w:rsid w:val="00030AF8"/>
    <w:rsid w:val="00030B92"/>
    <w:rsid w:val="00030CDB"/>
    <w:rsid w:val="00030D73"/>
    <w:rsid w:val="00030DDE"/>
    <w:rsid w:val="00030E8C"/>
    <w:rsid w:val="00030F4C"/>
    <w:rsid w:val="00030F86"/>
    <w:rsid w:val="00031022"/>
    <w:rsid w:val="00031121"/>
    <w:rsid w:val="00031214"/>
    <w:rsid w:val="000312F7"/>
    <w:rsid w:val="00031449"/>
    <w:rsid w:val="000314EC"/>
    <w:rsid w:val="00031828"/>
    <w:rsid w:val="000318A6"/>
    <w:rsid w:val="00031981"/>
    <w:rsid w:val="00031BAC"/>
    <w:rsid w:val="00031D05"/>
    <w:rsid w:val="00031D44"/>
    <w:rsid w:val="00031D5B"/>
    <w:rsid w:val="000320D8"/>
    <w:rsid w:val="00032262"/>
    <w:rsid w:val="000323EF"/>
    <w:rsid w:val="000324B3"/>
    <w:rsid w:val="000324FA"/>
    <w:rsid w:val="00032607"/>
    <w:rsid w:val="0003266A"/>
    <w:rsid w:val="00032682"/>
    <w:rsid w:val="000329F1"/>
    <w:rsid w:val="00032DA1"/>
    <w:rsid w:val="00032E78"/>
    <w:rsid w:val="00033181"/>
    <w:rsid w:val="00033244"/>
    <w:rsid w:val="00033560"/>
    <w:rsid w:val="0003379C"/>
    <w:rsid w:val="000337C0"/>
    <w:rsid w:val="00033815"/>
    <w:rsid w:val="00033898"/>
    <w:rsid w:val="000339A0"/>
    <w:rsid w:val="00033ACF"/>
    <w:rsid w:val="00033B1A"/>
    <w:rsid w:val="00033BCF"/>
    <w:rsid w:val="00033C03"/>
    <w:rsid w:val="00033CD8"/>
    <w:rsid w:val="00033D0C"/>
    <w:rsid w:val="00033EB1"/>
    <w:rsid w:val="00033F75"/>
    <w:rsid w:val="00034409"/>
    <w:rsid w:val="000344AA"/>
    <w:rsid w:val="000346A0"/>
    <w:rsid w:val="000346B3"/>
    <w:rsid w:val="00034797"/>
    <w:rsid w:val="000347B0"/>
    <w:rsid w:val="000347E6"/>
    <w:rsid w:val="0003495D"/>
    <w:rsid w:val="00034A03"/>
    <w:rsid w:val="00034AC0"/>
    <w:rsid w:val="00034EEC"/>
    <w:rsid w:val="00034FAC"/>
    <w:rsid w:val="00035058"/>
    <w:rsid w:val="0003505C"/>
    <w:rsid w:val="00035501"/>
    <w:rsid w:val="00035535"/>
    <w:rsid w:val="00035624"/>
    <w:rsid w:val="0003565E"/>
    <w:rsid w:val="0003569E"/>
    <w:rsid w:val="000356B8"/>
    <w:rsid w:val="000357F0"/>
    <w:rsid w:val="000357F9"/>
    <w:rsid w:val="0003581F"/>
    <w:rsid w:val="00035874"/>
    <w:rsid w:val="00035932"/>
    <w:rsid w:val="00035933"/>
    <w:rsid w:val="00035BB7"/>
    <w:rsid w:val="00035BC4"/>
    <w:rsid w:val="00035C4C"/>
    <w:rsid w:val="00035F6B"/>
    <w:rsid w:val="00036022"/>
    <w:rsid w:val="000361BE"/>
    <w:rsid w:val="00036207"/>
    <w:rsid w:val="000362B4"/>
    <w:rsid w:val="00036359"/>
    <w:rsid w:val="000363AF"/>
    <w:rsid w:val="000368A3"/>
    <w:rsid w:val="00036976"/>
    <w:rsid w:val="00036ED7"/>
    <w:rsid w:val="00037007"/>
    <w:rsid w:val="0003707E"/>
    <w:rsid w:val="000370A1"/>
    <w:rsid w:val="0003716A"/>
    <w:rsid w:val="0003735A"/>
    <w:rsid w:val="00037361"/>
    <w:rsid w:val="000373B1"/>
    <w:rsid w:val="0003741B"/>
    <w:rsid w:val="00037578"/>
    <w:rsid w:val="00037657"/>
    <w:rsid w:val="00037836"/>
    <w:rsid w:val="000379A6"/>
    <w:rsid w:val="00037A06"/>
    <w:rsid w:val="00037A39"/>
    <w:rsid w:val="00037BD2"/>
    <w:rsid w:val="00037D56"/>
    <w:rsid w:val="00037D93"/>
    <w:rsid w:val="00037E16"/>
    <w:rsid w:val="00037E74"/>
    <w:rsid w:val="0004001E"/>
    <w:rsid w:val="0004020F"/>
    <w:rsid w:val="0004027A"/>
    <w:rsid w:val="0004032F"/>
    <w:rsid w:val="00040540"/>
    <w:rsid w:val="00040554"/>
    <w:rsid w:val="00040749"/>
    <w:rsid w:val="000408AA"/>
    <w:rsid w:val="00040930"/>
    <w:rsid w:val="00040C25"/>
    <w:rsid w:val="00040C72"/>
    <w:rsid w:val="00040D00"/>
    <w:rsid w:val="000410B9"/>
    <w:rsid w:val="00041148"/>
    <w:rsid w:val="00041524"/>
    <w:rsid w:val="00041545"/>
    <w:rsid w:val="000415D7"/>
    <w:rsid w:val="00041728"/>
    <w:rsid w:val="000419C8"/>
    <w:rsid w:val="000419C9"/>
    <w:rsid w:val="00041DAD"/>
    <w:rsid w:val="00042396"/>
    <w:rsid w:val="000423F8"/>
    <w:rsid w:val="00042823"/>
    <w:rsid w:val="00042989"/>
    <w:rsid w:val="00042A63"/>
    <w:rsid w:val="00042A75"/>
    <w:rsid w:val="00042D99"/>
    <w:rsid w:val="00042E16"/>
    <w:rsid w:val="00042E2D"/>
    <w:rsid w:val="0004300F"/>
    <w:rsid w:val="000432C9"/>
    <w:rsid w:val="000436CE"/>
    <w:rsid w:val="00043711"/>
    <w:rsid w:val="00043A70"/>
    <w:rsid w:val="00043ADA"/>
    <w:rsid w:val="00043B84"/>
    <w:rsid w:val="00043F00"/>
    <w:rsid w:val="00043F30"/>
    <w:rsid w:val="0004401D"/>
    <w:rsid w:val="0004419F"/>
    <w:rsid w:val="00044566"/>
    <w:rsid w:val="00044613"/>
    <w:rsid w:val="000449D0"/>
    <w:rsid w:val="00044A93"/>
    <w:rsid w:val="00044AB9"/>
    <w:rsid w:val="00044CDD"/>
    <w:rsid w:val="00044DC4"/>
    <w:rsid w:val="00044F8D"/>
    <w:rsid w:val="00045065"/>
    <w:rsid w:val="000451A4"/>
    <w:rsid w:val="000451BD"/>
    <w:rsid w:val="000452EF"/>
    <w:rsid w:val="0004540C"/>
    <w:rsid w:val="00045415"/>
    <w:rsid w:val="0004562E"/>
    <w:rsid w:val="00045657"/>
    <w:rsid w:val="00045666"/>
    <w:rsid w:val="0004599E"/>
    <w:rsid w:val="00045AFB"/>
    <w:rsid w:val="00045C0E"/>
    <w:rsid w:val="00046022"/>
    <w:rsid w:val="00046207"/>
    <w:rsid w:val="00046243"/>
    <w:rsid w:val="00046256"/>
    <w:rsid w:val="00046305"/>
    <w:rsid w:val="000464E5"/>
    <w:rsid w:val="00046624"/>
    <w:rsid w:val="0004679D"/>
    <w:rsid w:val="0004681A"/>
    <w:rsid w:val="000468B0"/>
    <w:rsid w:val="000468B8"/>
    <w:rsid w:val="00046966"/>
    <w:rsid w:val="0004699D"/>
    <w:rsid w:val="00046DF0"/>
    <w:rsid w:val="00046FD4"/>
    <w:rsid w:val="00047201"/>
    <w:rsid w:val="0004734D"/>
    <w:rsid w:val="00047365"/>
    <w:rsid w:val="000477A4"/>
    <w:rsid w:val="000477DF"/>
    <w:rsid w:val="00047A37"/>
    <w:rsid w:val="00047A81"/>
    <w:rsid w:val="00047BDD"/>
    <w:rsid w:val="00047C21"/>
    <w:rsid w:val="00047C35"/>
    <w:rsid w:val="0005005A"/>
    <w:rsid w:val="000502F4"/>
    <w:rsid w:val="0005036E"/>
    <w:rsid w:val="0005040E"/>
    <w:rsid w:val="000504EE"/>
    <w:rsid w:val="000507F5"/>
    <w:rsid w:val="000508E2"/>
    <w:rsid w:val="000509E1"/>
    <w:rsid w:val="00050A4B"/>
    <w:rsid w:val="00050A58"/>
    <w:rsid w:val="00050D07"/>
    <w:rsid w:val="00050D18"/>
    <w:rsid w:val="00050DA0"/>
    <w:rsid w:val="00050F1D"/>
    <w:rsid w:val="00050F7F"/>
    <w:rsid w:val="00050FE2"/>
    <w:rsid w:val="00051037"/>
    <w:rsid w:val="00051222"/>
    <w:rsid w:val="00051240"/>
    <w:rsid w:val="00051421"/>
    <w:rsid w:val="000515EC"/>
    <w:rsid w:val="00051726"/>
    <w:rsid w:val="00051742"/>
    <w:rsid w:val="00051783"/>
    <w:rsid w:val="000517E1"/>
    <w:rsid w:val="000518F8"/>
    <w:rsid w:val="00051998"/>
    <w:rsid w:val="00051C72"/>
    <w:rsid w:val="00051C98"/>
    <w:rsid w:val="00051D83"/>
    <w:rsid w:val="00051FA9"/>
    <w:rsid w:val="000521F4"/>
    <w:rsid w:val="000522A2"/>
    <w:rsid w:val="000522F0"/>
    <w:rsid w:val="00052495"/>
    <w:rsid w:val="000524EE"/>
    <w:rsid w:val="0005260F"/>
    <w:rsid w:val="000526BA"/>
    <w:rsid w:val="000526E7"/>
    <w:rsid w:val="0005292F"/>
    <w:rsid w:val="00052A30"/>
    <w:rsid w:val="00052BFD"/>
    <w:rsid w:val="00052D19"/>
    <w:rsid w:val="00052FEA"/>
    <w:rsid w:val="000530FF"/>
    <w:rsid w:val="000531BD"/>
    <w:rsid w:val="0005346E"/>
    <w:rsid w:val="000534BE"/>
    <w:rsid w:val="0005362B"/>
    <w:rsid w:val="00053711"/>
    <w:rsid w:val="0005373D"/>
    <w:rsid w:val="0005379E"/>
    <w:rsid w:val="00053941"/>
    <w:rsid w:val="00053BE4"/>
    <w:rsid w:val="00053F85"/>
    <w:rsid w:val="0005403F"/>
    <w:rsid w:val="0005407E"/>
    <w:rsid w:val="0005408C"/>
    <w:rsid w:val="00054230"/>
    <w:rsid w:val="00054253"/>
    <w:rsid w:val="00054516"/>
    <w:rsid w:val="000546B0"/>
    <w:rsid w:val="00054735"/>
    <w:rsid w:val="000548A1"/>
    <w:rsid w:val="000548C2"/>
    <w:rsid w:val="000549B1"/>
    <w:rsid w:val="000549D1"/>
    <w:rsid w:val="00054C0F"/>
    <w:rsid w:val="00054F27"/>
    <w:rsid w:val="00055052"/>
    <w:rsid w:val="000551E3"/>
    <w:rsid w:val="00055225"/>
    <w:rsid w:val="00055350"/>
    <w:rsid w:val="000553EB"/>
    <w:rsid w:val="0005554E"/>
    <w:rsid w:val="0005563C"/>
    <w:rsid w:val="000559C3"/>
    <w:rsid w:val="00055ADB"/>
    <w:rsid w:val="00055BED"/>
    <w:rsid w:val="00055E55"/>
    <w:rsid w:val="00055EC9"/>
    <w:rsid w:val="00056049"/>
    <w:rsid w:val="000562A8"/>
    <w:rsid w:val="0005630B"/>
    <w:rsid w:val="0005657A"/>
    <w:rsid w:val="00056676"/>
    <w:rsid w:val="00056954"/>
    <w:rsid w:val="00056964"/>
    <w:rsid w:val="000569F9"/>
    <w:rsid w:val="00056B9E"/>
    <w:rsid w:val="00056DB5"/>
    <w:rsid w:val="000570D3"/>
    <w:rsid w:val="00057182"/>
    <w:rsid w:val="0005722D"/>
    <w:rsid w:val="00057255"/>
    <w:rsid w:val="000573F5"/>
    <w:rsid w:val="0005743C"/>
    <w:rsid w:val="0005776F"/>
    <w:rsid w:val="00057B3C"/>
    <w:rsid w:val="00057B8B"/>
    <w:rsid w:val="00057BE4"/>
    <w:rsid w:val="00057C69"/>
    <w:rsid w:val="00057D1C"/>
    <w:rsid w:val="00057DA9"/>
    <w:rsid w:val="000600BA"/>
    <w:rsid w:val="000603D3"/>
    <w:rsid w:val="000603FA"/>
    <w:rsid w:val="0006053E"/>
    <w:rsid w:val="00060551"/>
    <w:rsid w:val="0006065C"/>
    <w:rsid w:val="0006096A"/>
    <w:rsid w:val="00060D88"/>
    <w:rsid w:val="00060DAF"/>
    <w:rsid w:val="00060E93"/>
    <w:rsid w:val="00060F28"/>
    <w:rsid w:val="00060F9E"/>
    <w:rsid w:val="00060FC8"/>
    <w:rsid w:val="00061075"/>
    <w:rsid w:val="00061149"/>
    <w:rsid w:val="00061186"/>
    <w:rsid w:val="000611E6"/>
    <w:rsid w:val="000612BB"/>
    <w:rsid w:val="000616E6"/>
    <w:rsid w:val="00061A31"/>
    <w:rsid w:val="00061BB1"/>
    <w:rsid w:val="00061D38"/>
    <w:rsid w:val="00061D97"/>
    <w:rsid w:val="00061E8B"/>
    <w:rsid w:val="00062004"/>
    <w:rsid w:val="000620FB"/>
    <w:rsid w:val="0006230A"/>
    <w:rsid w:val="00062371"/>
    <w:rsid w:val="000623E1"/>
    <w:rsid w:val="000625AB"/>
    <w:rsid w:val="00062644"/>
    <w:rsid w:val="0006264E"/>
    <w:rsid w:val="00062650"/>
    <w:rsid w:val="000626DE"/>
    <w:rsid w:val="00062748"/>
    <w:rsid w:val="00062BD1"/>
    <w:rsid w:val="00062CFB"/>
    <w:rsid w:val="00062D36"/>
    <w:rsid w:val="00062E99"/>
    <w:rsid w:val="00063200"/>
    <w:rsid w:val="0006342E"/>
    <w:rsid w:val="000634F6"/>
    <w:rsid w:val="0006398D"/>
    <w:rsid w:val="000639AE"/>
    <w:rsid w:val="00063A81"/>
    <w:rsid w:val="00063AC8"/>
    <w:rsid w:val="00063B1D"/>
    <w:rsid w:val="00063CC7"/>
    <w:rsid w:val="000640A3"/>
    <w:rsid w:val="00064113"/>
    <w:rsid w:val="0006429D"/>
    <w:rsid w:val="000642EC"/>
    <w:rsid w:val="0006437C"/>
    <w:rsid w:val="00064441"/>
    <w:rsid w:val="00064499"/>
    <w:rsid w:val="000645D8"/>
    <w:rsid w:val="0006460F"/>
    <w:rsid w:val="00064754"/>
    <w:rsid w:val="00064812"/>
    <w:rsid w:val="00064813"/>
    <w:rsid w:val="00064953"/>
    <w:rsid w:val="00064A74"/>
    <w:rsid w:val="00064A8F"/>
    <w:rsid w:val="00064B4C"/>
    <w:rsid w:val="00064C6F"/>
    <w:rsid w:val="00064FAF"/>
    <w:rsid w:val="00065274"/>
    <w:rsid w:val="00065297"/>
    <w:rsid w:val="000652A1"/>
    <w:rsid w:val="000653CD"/>
    <w:rsid w:val="000653F0"/>
    <w:rsid w:val="00065444"/>
    <w:rsid w:val="00065496"/>
    <w:rsid w:val="0006557C"/>
    <w:rsid w:val="0006559E"/>
    <w:rsid w:val="000656ED"/>
    <w:rsid w:val="00065963"/>
    <w:rsid w:val="000659CD"/>
    <w:rsid w:val="00065F0F"/>
    <w:rsid w:val="00065FA8"/>
    <w:rsid w:val="00066356"/>
    <w:rsid w:val="0006655C"/>
    <w:rsid w:val="00066A60"/>
    <w:rsid w:val="00066B7B"/>
    <w:rsid w:val="00066C21"/>
    <w:rsid w:val="00066C8C"/>
    <w:rsid w:val="00066D12"/>
    <w:rsid w:val="00066DC9"/>
    <w:rsid w:val="00066E04"/>
    <w:rsid w:val="00066F60"/>
    <w:rsid w:val="00067019"/>
    <w:rsid w:val="00067112"/>
    <w:rsid w:val="0006718F"/>
    <w:rsid w:val="00067219"/>
    <w:rsid w:val="000672CD"/>
    <w:rsid w:val="000672FC"/>
    <w:rsid w:val="0006743D"/>
    <w:rsid w:val="00067910"/>
    <w:rsid w:val="0006798B"/>
    <w:rsid w:val="00067A2B"/>
    <w:rsid w:val="00067BFB"/>
    <w:rsid w:val="00067C96"/>
    <w:rsid w:val="00067F62"/>
    <w:rsid w:val="0007009B"/>
    <w:rsid w:val="0007018A"/>
    <w:rsid w:val="000701B0"/>
    <w:rsid w:val="000701FA"/>
    <w:rsid w:val="00070408"/>
    <w:rsid w:val="0007060E"/>
    <w:rsid w:val="0007064A"/>
    <w:rsid w:val="000708E3"/>
    <w:rsid w:val="0007094A"/>
    <w:rsid w:val="00070A64"/>
    <w:rsid w:val="00071225"/>
    <w:rsid w:val="000712F3"/>
    <w:rsid w:val="00071319"/>
    <w:rsid w:val="0007134D"/>
    <w:rsid w:val="0007160B"/>
    <w:rsid w:val="00071BD3"/>
    <w:rsid w:val="00071C01"/>
    <w:rsid w:val="00071C18"/>
    <w:rsid w:val="00071ED8"/>
    <w:rsid w:val="00071EFF"/>
    <w:rsid w:val="00072072"/>
    <w:rsid w:val="000720E3"/>
    <w:rsid w:val="000722A7"/>
    <w:rsid w:val="0007240E"/>
    <w:rsid w:val="00072750"/>
    <w:rsid w:val="000728D5"/>
    <w:rsid w:val="00072A08"/>
    <w:rsid w:val="00072B1A"/>
    <w:rsid w:val="00072C1A"/>
    <w:rsid w:val="00072C3C"/>
    <w:rsid w:val="00072CBB"/>
    <w:rsid w:val="00072CFA"/>
    <w:rsid w:val="00072DD2"/>
    <w:rsid w:val="00072DE4"/>
    <w:rsid w:val="00072FB8"/>
    <w:rsid w:val="00073164"/>
    <w:rsid w:val="000732BB"/>
    <w:rsid w:val="000732FE"/>
    <w:rsid w:val="00073634"/>
    <w:rsid w:val="000736E3"/>
    <w:rsid w:val="000736F8"/>
    <w:rsid w:val="00073717"/>
    <w:rsid w:val="000737E6"/>
    <w:rsid w:val="0007388E"/>
    <w:rsid w:val="00073916"/>
    <w:rsid w:val="0007392A"/>
    <w:rsid w:val="00073960"/>
    <w:rsid w:val="00073A88"/>
    <w:rsid w:val="00073B38"/>
    <w:rsid w:val="00073B3A"/>
    <w:rsid w:val="00073C4A"/>
    <w:rsid w:val="00073C90"/>
    <w:rsid w:val="00073CC1"/>
    <w:rsid w:val="00073E3F"/>
    <w:rsid w:val="00073FAA"/>
    <w:rsid w:val="00074013"/>
    <w:rsid w:val="0007418D"/>
    <w:rsid w:val="00074295"/>
    <w:rsid w:val="00074360"/>
    <w:rsid w:val="00074453"/>
    <w:rsid w:val="000745A7"/>
    <w:rsid w:val="00074781"/>
    <w:rsid w:val="00074970"/>
    <w:rsid w:val="00074BE0"/>
    <w:rsid w:val="00074E3D"/>
    <w:rsid w:val="00074ED6"/>
    <w:rsid w:val="00075209"/>
    <w:rsid w:val="00075419"/>
    <w:rsid w:val="00075437"/>
    <w:rsid w:val="000756D6"/>
    <w:rsid w:val="00075950"/>
    <w:rsid w:val="00075A98"/>
    <w:rsid w:val="00075DC4"/>
    <w:rsid w:val="00075E82"/>
    <w:rsid w:val="00075E91"/>
    <w:rsid w:val="00075FAC"/>
    <w:rsid w:val="00075FD0"/>
    <w:rsid w:val="00076228"/>
    <w:rsid w:val="000762C1"/>
    <w:rsid w:val="000766A1"/>
    <w:rsid w:val="00076879"/>
    <w:rsid w:val="000768F8"/>
    <w:rsid w:val="00076AA5"/>
    <w:rsid w:val="00076AC1"/>
    <w:rsid w:val="00076AD2"/>
    <w:rsid w:val="00076D89"/>
    <w:rsid w:val="00077355"/>
    <w:rsid w:val="000773E0"/>
    <w:rsid w:val="00077466"/>
    <w:rsid w:val="00077623"/>
    <w:rsid w:val="00077752"/>
    <w:rsid w:val="00077769"/>
    <w:rsid w:val="000779A8"/>
    <w:rsid w:val="00077AC2"/>
    <w:rsid w:val="00077C9B"/>
    <w:rsid w:val="00077CD1"/>
    <w:rsid w:val="00077D66"/>
    <w:rsid w:val="000801B4"/>
    <w:rsid w:val="00080237"/>
    <w:rsid w:val="000804AC"/>
    <w:rsid w:val="000804F6"/>
    <w:rsid w:val="0008060D"/>
    <w:rsid w:val="00080671"/>
    <w:rsid w:val="00080785"/>
    <w:rsid w:val="0008089F"/>
    <w:rsid w:val="00080943"/>
    <w:rsid w:val="00080A5B"/>
    <w:rsid w:val="00080AC6"/>
    <w:rsid w:val="00080B37"/>
    <w:rsid w:val="00080BEF"/>
    <w:rsid w:val="00080D7C"/>
    <w:rsid w:val="00080EC8"/>
    <w:rsid w:val="00080FDA"/>
    <w:rsid w:val="00081006"/>
    <w:rsid w:val="00081224"/>
    <w:rsid w:val="00081378"/>
    <w:rsid w:val="000813AC"/>
    <w:rsid w:val="00081529"/>
    <w:rsid w:val="0008166C"/>
    <w:rsid w:val="000816E9"/>
    <w:rsid w:val="0008172E"/>
    <w:rsid w:val="00081793"/>
    <w:rsid w:val="00081835"/>
    <w:rsid w:val="0008186C"/>
    <w:rsid w:val="000819DC"/>
    <w:rsid w:val="00081A79"/>
    <w:rsid w:val="00081B9C"/>
    <w:rsid w:val="00081BB7"/>
    <w:rsid w:val="00081F47"/>
    <w:rsid w:val="00082126"/>
    <w:rsid w:val="000821A9"/>
    <w:rsid w:val="000821BB"/>
    <w:rsid w:val="00082245"/>
    <w:rsid w:val="00082470"/>
    <w:rsid w:val="0008247B"/>
    <w:rsid w:val="0008274A"/>
    <w:rsid w:val="0008295D"/>
    <w:rsid w:val="000829D6"/>
    <w:rsid w:val="00082A09"/>
    <w:rsid w:val="00082A49"/>
    <w:rsid w:val="00082AD2"/>
    <w:rsid w:val="00082B5A"/>
    <w:rsid w:val="00082B7F"/>
    <w:rsid w:val="00082BBF"/>
    <w:rsid w:val="00082CF4"/>
    <w:rsid w:val="00082DA2"/>
    <w:rsid w:val="00082E2F"/>
    <w:rsid w:val="00082F08"/>
    <w:rsid w:val="00082F75"/>
    <w:rsid w:val="00082F99"/>
    <w:rsid w:val="0008312A"/>
    <w:rsid w:val="000832C5"/>
    <w:rsid w:val="0008330E"/>
    <w:rsid w:val="00083389"/>
    <w:rsid w:val="000839AF"/>
    <w:rsid w:val="00083C34"/>
    <w:rsid w:val="00083CF5"/>
    <w:rsid w:val="00083F4B"/>
    <w:rsid w:val="0008406A"/>
    <w:rsid w:val="00084095"/>
    <w:rsid w:val="00084146"/>
    <w:rsid w:val="00084188"/>
    <w:rsid w:val="00084300"/>
    <w:rsid w:val="0008437C"/>
    <w:rsid w:val="00084411"/>
    <w:rsid w:val="000844A0"/>
    <w:rsid w:val="000844CD"/>
    <w:rsid w:val="00084933"/>
    <w:rsid w:val="000849E4"/>
    <w:rsid w:val="00084CB2"/>
    <w:rsid w:val="00084D76"/>
    <w:rsid w:val="00084EE5"/>
    <w:rsid w:val="00084F11"/>
    <w:rsid w:val="000850A9"/>
    <w:rsid w:val="00085177"/>
    <w:rsid w:val="000854CB"/>
    <w:rsid w:val="000855B3"/>
    <w:rsid w:val="000856B6"/>
    <w:rsid w:val="000857D3"/>
    <w:rsid w:val="000858AF"/>
    <w:rsid w:val="0008594F"/>
    <w:rsid w:val="000859CA"/>
    <w:rsid w:val="00085A3D"/>
    <w:rsid w:val="00085ACF"/>
    <w:rsid w:val="00085E20"/>
    <w:rsid w:val="00085E4A"/>
    <w:rsid w:val="00085F5B"/>
    <w:rsid w:val="00085FF5"/>
    <w:rsid w:val="00086073"/>
    <w:rsid w:val="000860C5"/>
    <w:rsid w:val="000860EB"/>
    <w:rsid w:val="00086174"/>
    <w:rsid w:val="00086283"/>
    <w:rsid w:val="0008666E"/>
    <w:rsid w:val="0008673A"/>
    <w:rsid w:val="0008674D"/>
    <w:rsid w:val="00086816"/>
    <w:rsid w:val="000868BF"/>
    <w:rsid w:val="00086A7F"/>
    <w:rsid w:val="00086C07"/>
    <w:rsid w:val="00086D67"/>
    <w:rsid w:val="00086F1A"/>
    <w:rsid w:val="0008713D"/>
    <w:rsid w:val="00087382"/>
    <w:rsid w:val="00087484"/>
    <w:rsid w:val="00087499"/>
    <w:rsid w:val="000874F7"/>
    <w:rsid w:val="0008751A"/>
    <w:rsid w:val="000875C0"/>
    <w:rsid w:val="000875C4"/>
    <w:rsid w:val="000878B5"/>
    <w:rsid w:val="00087C82"/>
    <w:rsid w:val="00087D47"/>
    <w:rsid w:val="00087F2C"/>
    <w:rsid w:val="0009000E"/>
    <w:rsid w:val="0009009C"/>
    <w:rsid w:val="00090170"/>
    <w:rsid w:val="00090210"/>
    <w:rsid w:val="0009042B"/>
    <w:rsid w:val="00090473"/>
    <w:rsid w:val="00090541"/>
    <w:rsid w:val="0009055A"/>
    <w:rsid w:val="000905BD"/>
    <w:rsid w:val="00090652"/>
    <w:rsid w:val="00090A4E"/>
    <w:rsid w:val="00090A5C"/>
    <w:rsid w:val="00090AB5"/>
    <w:rsid w:val="00090C61"/>
    <w:rsid w:val="00090CC6"/>
    <w:rsid w:val="00090CDC"/>
    <w:rsid w:val="00091051"/>
    <w:rsid w:val="00091090"/>
    <w:rsid w:val="000911FD"/>
    <w:rsid w:val="00091221"/>
    <w:rsid w:val="0009128C"/>
    <w:rsid w:val="000912C4"/>
    <w:rsid w:val="000912F6"/>
    <w:rsid w:val="00091562"/>
    <w:rsid w:val="00091625"/>
    <w:rsid w:val="00091715"/>
    <w:rsid w:val="00091755"/>
    <w:rsid w:val="00091830"/>
    <w:rsid w:val="000918CC"/>
    <w:rsid w:val="00091A7B"/>
    <w:rsid w:val="00091C59"/>
    <w:rsid w:val="00091CF8"/>
    <w:rsid w:val="00091EA2"/>
    <w:rsid w:val="00091EEF"/>
    <w:rsid w:val="00092066"/>
    <w:rsid w:val="00092067"/>
    <w:rsid w:val="00092276"/>
    <w:rsid w:val="000924DE"/>
    <w:rsid w:val="000926F5"/>
    <w:rsid w:val="00092749"/>
    <w:rsid w:val="0009295E"/>
    <w:rsid w:val="00092D31"/>
    <w:rsid w:val="00092F39"/>
    <w:rsid w:val="0009318A"/>
    <w:rsid w:val="0009339A"/>
    <w:rsid w:val="0009341C"/>
    <w:rsid w:val="00093563"/>
    <w:rsid w:val="000935FA"/>
    <w:rsid w:val="00093603"/>
    <w:rsid w:val="0009384E"/>
    <w:rsid w:val="00093BBD"/>
    <w:rsid w:val="00093C40"/>
    <w:rsid w:val="00093EDF"/>
    <w:rsid w:val="00094181"/>
    <w:rsid w:val="000941E9"/>
    <w:rsid w:val="000942C8"/>
    <w:rsid w:val="000942FD"/>
    <w:rsid w:val="0009439C"/>
    <w:rsid w:val="00094708"/>
    <w:rsid w:val="0009478D"/>
    <w:rsid w:val="000949AF"/>
    <w:rsid w:val="00094D58"/>
    <w:rsid w:val="00094D9F"/>
    <w:rsid w:val="00094EBD"/>
    <w:rsid w:val="00095034"/>
    <w:rsid w:val="00095066"/>
    <w:rsid w:val="00095149"/>
    <w:rsid w:val="0009517A"/>
    <w:rsid w:val="000951EE"/>
    <w:rsid w:val="00095224"/>
    <w:rsid w:val="0009523B"/>
    <w:rsid w:val="00095354"/>
    <w:rsid w:val="0009537F"/>
    <w:rsid w:val="0009552B"/>
    <w:rsid w:val="000955D9"/>
    <w:rsid w:val="0009563B"/>
    <w:rsid w:val="00095B79"/>
    <w:rsid w:val="00095E18"/>
    <w:rsid w:val="00096187"/>
    <w:rsid w:val="000961BE"/>
    <w:rsid w:val="00096A01"/>
    <w:rsid w:val="00096AF3"/>
    <w:rsid w:val="00096B17"/>
    <w:rsid w:val="00096B1B"/>
    <w:rsid w:val="00096B7D"/>
    <w:rsid w:val="00096CD1"/>
    <w:rsid w:val="00096CE9"/>
    <w:rsid w:val="00096E05"/>
    <w:rsid w:val="00096F9B"/>
    <w:rsid w:val="000975EF"/>
    <w:rsid w:val="000976A3"/>
    <w:rsid w:val="000976CB"/>
    <w:rsid w:val="0009773D"/>
    <w:rsid w:val="00097917"/>
    <w:rsid w:val="00097CBC"/>
    <w:rsid w:val="00097D36"/>
    <w:rsid w:val="00097DEF"/>
    <w:rsid w:val="000A00C0"/>
    <w:rsid w:val="000A0334"/>
    <w:rsid w:val="000A03AF"/>
    <w:rsid w:val="000A087F"/>
    <w:rsid w:val="000A09EC"/>
    <w:rsid w:val="000A0BB9"/>
    <w:rsid w:val="000A0DD4"/>
    <w:rsid w:val="000A0DEE"/>
    <w:rsid w:val="000A0FED"/>
    <w:rsid w:val="000A111E"/>
    <w:rsid w:val="000A121D"/>
    <w:rsid w:val="000A12EB"/>
    <w:rsid w:val="000A13A3"/>
    <w:rsid w:val="000A1766"/>
    <w:rsid w:val="000A186D"/>
    <w:rsid w:val="000A1878"/>
    <w:rsid w:val="000A18A7"/>
    <w:rsid w:val="000A197E"/>
    <w:rsid w:val="000A1A1F"/>
    <w:rsid w:val="000A1A38"/>
    <w:rsid w:val="000A1ADC"/>
    <w:rsid w:val="000A1B13"/>
    <w:rsid w:val="000A1BB8"/>
    <w:rsid w:val="000A1C1E"/>
    <w:rsid w:val="000A1CCE"/>
    <w:rsid w:val="000A1E80"/>
    <w:rsid w:val="000A1EAD"/>
    <w:rsid w:val="000A1ECB"/>
    <w:rsid w:val="000A20D5"/>
    <w:rsid w:val="000A23A7"/>
    <w:rsid w:val="000A2415"/>
    <w:rsid w:val="000A2443"/>
    <w:rsid w:val="000A244B"/>
    <w:rsid w:val="000A28F5"/>
    <w:rsid w:val="000A28F6"/>
    <w:rsid w:val="000A2936"/>
    <w:rsid w:val="000A29C4"/>
    <w:rsid w:val="000A2AF2"/>
    <w:rsid w:val="000A2D9B"/>
    <w:rsid w:val="000A2E35"/>
    <w:rsid w:val="000A2EAC"/>
    <w:rsid w:val="000A30EE"/>
    <w:rsid w:val="000A30F8"/>
    <w:rsid w:val="000A3323"/>
    <w:rsid w:val="000A3344"/>
    <w:rsid w:val="000A33AD"/>
    <w:rsid w:val="000A34A8"/>
    <w:rsid w:val="000A3679"/>
    <w:rsid w:val="000A3843"/>
    <w:rsid w:val="000A3858"/>
    <w:rsid w:val="000A3C36"/>
    <w:rsid w:val="000A3E76"/>
    <w:rsid w:val="000A3EC1"/>
    <w:rsid w:val="000A3EF5"/>
    <w:rsid w:val="000A3F09"/>
    <w:rsid w:val="000A4034"/>
    <w:rsid w:val="000A40B3"/>
    <w:rsid w:val="000A41DC"/>
    <w:rsid w:val="000A42B3"/>
    <w:rsid w:val="000A444A"/>
    <w:rsid w:val="000A4633"/>
    <w:rsid w:val="000A46AB"/>
    <w:rsid w:val="000A46C1"/>
    <w:rsid w:val="000A4768"/>
    <w:rsid w:val="000A4773"/>
    <w:rsid w:val="000A49AE"/>
    <w:rsid w:val="000A4AD2"/>
    <w:rsid w:val="000A4D84"/>
    <w:rsid w:val="000A4F1A"/>
    <w:rsid w:val="000A5011"/>
    <w:rsid w:val="000A5075"/>
    <w:rsid w:val="000A5238"/>
    <w:rsid w:val="000A524A"/>
    <w:rsid w:val="000A556F"/>
    <w:rsid w:val="000A5700"/>
    <w:rsid w:val="000A5A00"/>
    <w:rsid w:val="000A61C6"/>
    <w:rsid w:val="000A623A"/>
    <w:rsid w:val="000A6284"/>
    <w:rsid w:val="000A62CA"/>
    <w:rsid w:val="000A64EB"/>
    <w:rsid w:val="000A65B9"/>
    <w:rsid w:val="000A664A"/>
    <w:rsid w:val="000A679A"/>
    <w:rsid w:val="000A67EB"/>
    <w:rsid w:val="000A686B"/>
    <w:rsid w:val="000A6AC6"/>
    <w:rsid w:val="000A6C72"/>
    <w:rsid w:val="000A6CCD"/>
    <w:rsid w:val="000A6D20"/>
    <w:rsid w:val="000A6D21"/>
    <w:rsid w:val="000A7202"/>
    <w:rsid w:val="000A72A2"/>
    <w:rsid w:val="000A72E1"/>
    <w:rsid w:val="000A72FB"/>
    <w:rsid w:val="000A73BF"/>
    <w:rsid w:val="000A7492"/>
    <w:rsid w:val="000A7609"/>
    <w:rsid w:val="000A7705"/>
    <w:rsid w:val="000A772B"/>
    <w:rsid w:val="000A77E7"/>
    <w:rsid w:val="000A78BF"/>
    <w:rsid w:val="000A7960"/>
    <w:rsid w:val="000A79D2"/>
    <w:rsid w:val="000A7A98"/>
    <w:rsid w:val="000A7AD8"/>
    <w:rsid w:val="000A7D69"/>
    <w:rsid w:val="000A7F65"/>
    <w:rsid w:val="000A7FC6"/>
    <w:rsid w:val="000B02AC"/>
    <w:rsid w:val="000B041C"/>
    <w:rsid w:val="000B0569"/>
    <w:rsid w:val="000B06A2"/>
    <w:rsid w:val="000B0929"/>
    <w:rsid w:val="000B0AA1"/>
    <w:rsid w:val="000B0BC9"/>
    <w:rsid w:val="000B0ED6"/>
    <w:rsid w:val="000B0F06"/>
    <w:rsid w:val="000B10C4"/>
    <w:rsid w:val="000B1128"/>
    <w:rsid w:val="000B1232"/>
    <w:rsid w:val="000B129C"/>
    <w:rsid w:val="000B12A7"/>
    <w:rsid w:val="000B1456"/>
    <w:rsid w:val="000B1457"/>
    <w:rsid w:val="000B14FF"/>
    <w:rsid w:val="000B1758"/>
    <w:rsid w:val="000B1861"/>
    <w:rsid w:val="000B1B13"/>
    <w:rsid w:val="000B1CB5"/>
    <w:rsid w:val="000B1DAD"/>
    <w:rsid w:val="000B1FF2"/>
    <w:rsid w:val="000B2182"/>
    <w:rsid w:val="000B2692"/>
    <w:rsid w:val="000B26D6"/>
    <w:rsid w:val="000B2837"/>
    <w:rsid w:val="000B284B"/>
    <w:rsid w:val="000B288B"/>
    <w:rsid w:val="000B2976"/>
    <w:rsid w:val="000B2C00"/>
    <w:rsid w:val="000B2C24"/>
    <w:rsid w:val="000B2F0B"/>
    <w:rsid w:val="000B334E"/>
    <w:rsid w:val="000B335E"/>
    <w:rsid w:val="000B33C8"/>
    <w:rsid w:val="000B3655"/>
    <w:rsid w:val="000B3778"/>
    <w:rsid w:val="000B37A0"/>
    <w:rsid w:val="000B38F2"/>
    <w:rsid w:val="000B38F6"/>
    <w:rsid w:val="000B39FF"/>
    <w:rsid w:val="000B3A52"/>
    <w:rsid w:val="000B3C7F"/>
    <w:rsid w:val="000B3C95"/>
    <w:rsid w:val="000B3D3C"/>
    <w:rsid w:val="000B3DC2"/>
    <w:rsid w:val="000B3DD4"/>
    <w:rsid w:val="000B3E8A"/>
    <w:rsid w:val="000B3F36"/>
    <w:rsid w:val="000B4166"/>
    <w:rsid w:val="000B41C3"/>
    <w:rsid w:val="000B421A"/>
    <w:rsid w:val="000B4489"/>
    <w:rsid w:val="000B450F"/>
    <w:rsid w:val="000B4622"/>
    <w:rsid w:val="000B48BC"/>
    <w:rsid w:val="000B4A27"/>
    <w:rsid w:val="000B4D57"/>
    <w:rsid w:val="000B4D96"/>
    <w:rsid w:val="000B4E00"/>
    <w:rsid w:val="000B4E10"/>
    <w:rsid w:val="000B4ED4"/>
    <w:rsid w:val="000B4FEE"/>
    <w:rsid w:val="000B5035"/>
    <w:rsid w:val="000B51D3"/>
    <w:rsid w:val="000B5261"/>
    <w:rsid w:val="000B5449"/>
    <w:rsid w:val="000B547D"/>
    <w:rsid w:val="000B5629"/>
    <w:rsid w:val="000B5769"/>
    <w:rsid w:val="000B580F"/>
    <w:rsid w:val="000B5A2B"/>
    <w:rsid w:val="000B5B45"/>
    <w:rsid w:val="000B5C74"/>
    <w:rsid w:val="000B5EDB"/>
    <w:rsid w:val="000B5EDF"/>
    <w:rsid w:val="000B5F21"/>
    <w:rsid w:val="000B5F82"/>
    <w:rsid w:val="000B5FDA"/>
    <w:rsid w:val="000B61A9"/>
    <w:rsid w:val="000B632B"/>
    <w:rsid w:val="000B6371"/>
    <w:rsid w:val="000B63FD"/>
    <w:rsid w:val="000B65A2"/>
    <w:rsid w:val="000B6646"/>
    <w:rsid w:val="000B6664"/>
    <w:rsid w:val="000B6742"/>
    <w:rsid w:val="000B6A93"/>
    <w:rsid w:val="000B6B44"/>
    <w:rsid w:val="000B6BD8"/>
    <w:rsid w:val="000B6F6C"/>
    <w:rsid w:val="000B7053"/>
    <w:rsid w:val="000B713E"/>
    <w:rsid w:val="000B738C"/>
    <w:rsid w:val="000B7551"/>
    <w:rsid w:val="000B76DF"/>
    <w:rsid w:val="000B77CC"/>
    <w:rsid w:val="000B77EF"/>
    <w:rsid w:val="000B7848"/>
    <w:rsid w:val="000B78DE"/>
    <w:rsid w:val="000B78EC"/>
    <w:rsid w:val="000B7933"/>
    <w:rsid w:val="000B7A39"/>
    <w:rsid w:val="000B7A4F"/>
    <w:rsid w:val="000B7A8B"/>
    <w:rsid w:val="000B7BE6"/>
    <w:rsid w:val="000B7DE0"/>
    <w:rsid w:val="000C00F1"/>
    <w:rsid w:val="000C0165"/>
    <w:rsid w:val="000C02ED"/>
    <w:rsid w:val="000C03F6"/>
    <w:rsid w:val="000C0450"/>
    <w:rsid w:val="000C04AC"/>
    <w:rsid w:val="000C0572"/>
    <w:rsid w:val="000C070C"/>
    <w:rsid w:val="000C0820"/>
    <w:rsid w:val="000C0A08"/>
    <w:rsid w:val="000C0A62"/>
    <w:rsid w:val="000C0C29"/>
    <w:rsid w:val="000C1032"/>
    <w:rsid w:val="000C107C"/>
    <w:rsid w:val="000C10C0"/>
    <w:rsid w:val="000C1371"/>
    <w:rsid w:val="000C1611"/>
    <w:rsid w:val="000C162F"/>
    <w:rsid w:val="000C184F"/>
    <w:rsid w:val="000C1E3F"/>
    <w:rsid w:val="000C24B9"/>
    <w:rsid w:val="000C2541"/>
    <w:rsid w:val="000C27D2"/>
    <w:rsid w:val="000C289F"/>
    <w:rsid w:val="000C2BA1"/>
    <w:rsid w:val="000C2D47"/>
    <w:rsid w:val="000C2D66"/>
    <w:rsid w:val="000C2EA2"/>
    <w:rsid w:val="000C2FD9"/>
    <w:rsid w:val="000C3074"/>
    <w:rsid w:val="000C317A"/>
    <w:rsid w:val="000C318D"/>
    <w:rsid w:val="000C35EB"/>
    <w:rsid w:val="000C3669"/>
    <w:rsid w:val="000C3918"/>
    <w:rsid w:val="000C393F"/>
    <w:rsid w:val="000C39B4"/>
    <w:rsid w:val="000C3B4B"/>
    <w:rsid w:val="000C3BB0"/>
    <w:rsid w:val="000C3ECB"/>
    <w:rsid w:val="000C40B9"/>
    <w:rsid w:val="000C4155"/>
    <w:rsid w:val="000C41A8"/>
    <w:rsid w:val="000C41B5"/>
    <w:rsid w:val="000C46D7"/>
    <w:rsid w:val="000C472C"/>
    <w:rsid w:val="000C47CA"/>
    <w:rsid w:val="000C4824"/>
    <w:rsid w:val="000C484A"/>
    <w:rsid w:val="000C48B8"/>
    <w:rsid w:val="000C4932"/>
    <w:rsid w:val="000C4965"/>
    <w:rsid w:val="000C4A4F"/>
    <w:rsid w:val="000C4B96"/>
    <w:rsid w:val="000C4E08"/>
    <w:rsid w:val="000C4EE4"/>
    <w:rsid w:val="000C4F6E"/>
    <w:rsid w:val="000C53B7"/>
    <w:rsid w:val="000C5939"/>
    <w:rsid w:val="000C5AA9"/>
    <w:rsid w:val="000C5B73"/>
    <w:rsid w:val="000C5CAE"/>
    <w:rsid w:val="000C60DA"/>
    <w:rsid w:val="000C6114"/>
    <w:rsid w:val="000C615E"/>
    <w:rsid w:val="000C6190"/>
    <w:rsid w:val="000C62BC"/>
    <w:rsid w:val="000C6444"/>
    <w:rsid w:val="000C65C5"/>
    <w:rsid w:val="000C6708"/>
    <w:rsid w:val="000C67AC"/>
    <w:rsid w:val="000C67D1"/>
    <w:rsid w:val="000C6A40"/>
    <w:rsid w:val="000C6E59"/>
    <w:rsid w:val="000C6E83"/>
    <w:rsid w:val="000C6EE6"/>
    <w:rsid w:val="000C7178"/>
    <w:rsid w:val="000C7389"/>
    <w:rsid w:val="000C74FF"/>
    <w:rsid w:val="000C752B"/>
    <w:rsid w:val="000C768F"/>
    <w:rsid w:val="000C76B4"/>
    <w:rsid w:val="000C76B6"/>
    <w:rsid w:val="000C771F"/>
    <w:rsid w:val="000C7767"/>
    <w:rsid w:val="000C78B8"/>
    <w:rsid w:val="000C7A7E"/>
    <w:rsid w:val="000C7AA8"/>
    <w:rsid w:val="000C7AC0"/>
    <w:rsid w:val="000C7D1A"/>
    <w:rsid w:val="000C7D71"/>
    <w:rsid w:val="000C7E14"/>
    <w:rsid w:val="000C7E15"/>
    <w:rsid w:val="000D0021"/>
    <w:rsid w:val="000D009F"/>
    <w:rsid w:val="000D00FA"/>
    <w:rsid w:val="000D0121"/>
    <w:rsid w:val="000D01EA"/>
    <w:rsid w:val="000D03C4"/>
    <w:rsid w:val="000D04F1"/>
    <w:rsid w:val="000D0912"/>
    <w:rsid w:val="000D0B22"/>
    <w:rsid w:val="000D0C0D"/>
    <w:rsid w:val="000D0DA4"/>
    <w:rsid w:val="000D0E0F"/>
    <w:rsid w:val="000D0E27"/>
    <w:rsid w:val="000D0EC9"/>
    <w:rsid w:val="000D0F2D"/>
    <w:rsid w:val="000D0FB3"/>
    <w:rsid w:val="000D0FD1"/>
    <w:rsid w:val="000D1009"/>
    <w:rsid w:val="000D100A"/>
    <w:rsid w:val="000D11E8"/>
    <w:rsid w:val="000D120C"/>
    <w:rsid w:val="000D12C9"/>
    <w:rsid w:val="000D1382"/>
    <w:rsid w:val="000D1637"/>
    <w:rsid w:val="000D1655"/>
    <w:rsid w:val="000D165D"/>
    <w:rsid w:val="000D1692"/>
    <w:rsid w:val="000D1698"/>
    <w:rsid w:val="000D1826"/>
    <w:rsid w:val="000D1A3C"/>
    <w:rsid w:val="000D1A60"/>
    <w:rsid w:val="000D1B5A"/>
    <w:rsid w:val="000D1BAC"/>
    <w:rsid w:val="000D1BD8"/>
    <w:rsid w:val="000D1E54"/>
    <w:rsid w:val="000D1FDD"/>
    <w:rsid w:val="000D1FEF"/>
    <w:rsid w:val="000D2010"/>
    <w:rsid w:val="000D203F"/>
    <w:rsid w:val="000D20D8"/>
    <w:rsid w:val="000D2151"/>
    <w:rsid w:val="000D2205"/>
    <w:rsid w:val="000D244B"/>
    <w:rsid w:val="000D2520"/>
    <w:rsid w:val="000D28BC"/>
    <w:rsid w:val="000D28E2"/>
    <w:rsid w:val="000D28F7"/>
    <w:rsid w:val="000D2935"/>
    <w:rsid w:val="000D2A53"/>
    <w:rsid w:val="000D2E12"/>
    <w:rsid w:val="000D2EEF"/>
    <w:rsid w:val="000D2F9D"/>
    <w:rsid w:val="000D305A"/>
    <w:rsid w:val="000D3110"/>
    <w:rsid w:val="000D31F7"/>
    <w:rsid w:val="000D3351"/>
    <w:rsid w:val="000D343B"/>
    <w:rsid w:val="000D367D"/>
    <w:rsid w:val="000D371C"/>
    <w:rsid w:val="000D385F"/>
    <w:rsid w:val="000D38F5"/>
    <w:rsid w:val="000D3ACC"/>
    <w:rsid w:val="000D3B4E"/>
    <w:rsid w:val="000D3B73"/>
    <w:rsid w:val="000D3BEF"/>
    <w:rsid w:val="000D3CEE"/>
    <w:rsid w:val="000D3EF7"/>
    <w:rsid w:val="000D404D"/>
    <w:rsid w:val="000D407A"/>
    <w:rsid w:val="000D40A1"/>
    <w:rsid w:val="000D4343"/>
    <w:rsid w:val="000D4622"/>
    <w:rsid w:val="000D49DB"/>
    <w:rsid w:val="000D4AD6"/>
    <w:rsid w:val="000D4C55"/>
    <w:rsid w:val="000D4F5A"/>
    <w:rsid w:val="000D5059"/>
    <w:rsid w:val="000D5124"/>
    <w:rsid w:val="000D51A8"/>
    <w:rsid w:val="000D543F"/>
    <w:rsid w:val="000D551B"/>
    <w:rsid w:val="000D5772"/>
    <w:rsid w:val="000D60BF"/>
    <w:rsid w:val="000D6365"/>
    <w:rsid w:val="000D636F"/>
    <w:rsid w:val="000D6536"/>
    <w:rsid w:val="000D6541"/>
    <w:rsid w:val="000D65EE"/>
    <w:rsid w:val="000D68BC"/>
    <w:rsid w:val="000D6927"/>
    <w:rsid w:val="000D695E"/>
    <w:rsid w:val="000D6BB1"/>
    <w:rsid w:val="000D6D3B"/>
    <w:rsid w:val="000D6E15"/>
    <w:rsid w:val="000D6E5E"/>
    <w:rsid w:val="000D6E79"/>
    <w:rsid w:val="000D70B5"/>
    <w:rsid w:val="000D7171"/>
    <w:rsid w:val="000D71B4"/>
    <w:rsid w:val="000D71EA"/>
    <w:rsid w:val="000D7237"/>
    <w:rsid w:val="000D72A4"/>
    <w:rsid w:val="000D73A5"/>
    <w:rsid w:val="000D73AB"/>
    <w:rsid w:val="000D7427"/>
    <w:rsid w:val="000D75BB"/>
    <w:rsid w:val="000D786E"/>
    <w:rsid w:val="000D7BCD"/>
    <w:rsid w:val="000D7BF8"/>
    <w:rsid w:val="000D7C29"/>
    <w:rsid w:val="000E0063"/>
    <w:rsid w:val="000E0192"/>
    <w:rsid w:val="000E0289"/>
    <w:rsid w:val="000E03AE"/>
    <w:rsid w:val="000E04E4"/>
    <w:rsid w:val="000E058A"/>
    <w:rsid w:val="000E07F6"/>
    <w:rsid w:val="000E0873"/>
    <w:rsid w:val="000E0998"/>
    <w:rsid w:val="000E0D94"/>
    <w:rsid w:val="000E1255"/>
    <w:rsid w:val="000E1267"/>
    <w:rsid w:val="000E12C3"/>
    <w:rsid w:val="000E1577"/>
    <w:rsid w:val="000E1588"/>
    <w:rsid w:val="000E15D3"/>
    <w:rsid w:val="000E1766"/>
    <w:rsid w:val="000E18AE"/>
    <w:rsid w:val="000E18BC"/>
    <w:rsid w:val="000E190A"/>
    <w:rsid w:val="000E1A36"/>
    <w:rsid w:val="000E1A5C"/>
    <w:rsid w:val="000E1B7F"/>
    <w:rsid w:val="000E1CC8"/>
    <w:rsid w:val="000E1F04"/>
    <w:rsid w:val="000E2017"/>
    <w:rsid w:val="000E203B"/>
    <w:rsid w:val="000E2453"/>
    <w:rsid w:val="000E2688"/>
    <w:rsid w:val="000E27F3"/>
    <w:rsid w:val="000E292A"/>
    <w:rsid w:val="000E29AA"/>
    <w:rsid w:val="000E2B1C"/>
    <w:rsid w:val="000E2BC2"/>
    <w:rsid w:val="000E2DEE"/>
    <w:rsid w:val="000E2E94"/>
    <w:rsid w:val="000E2F5C"/>
    <w:rsid w:val="000E33FD"/>
    <w:rsid w:val="000E3498"/>
    <w:rsid w:val="000E354B"/>
    <w:rsid w:val="000E3635"/>
    <w:rsid w:val="000E3739"/>
    <w:rsid w:val="000E380C"/>
    <w:rsid w:val="000E3C89"/>
    <w:rsid w:val="000E3CAE"/>
    <w:rsid w:val="000E3EB8"/>
    <w:rsid w:val="000E3EEE"/>
    <w:rsid w:val="000E3FDA"/>
    <w:rsid w:val="000E40D3"/>
    <w:rsid w:val="000E448F"/>
    <w:rsid w:val="000E4631"/>
    <w:rsid w:val="000E4636"/>
    <w:rsid w:val="000E469D"/>
    <w:rsid w:val="000E48DC"/>
    <w:rsid w:val="000E4971"/>
    <w:rsid w:val="000E4AAE"/>
    <w:rsid w:val="000E4DB4"/>
    <w:rsid w:val="000E4F65"/>
    <w:rsid w:val="000E50E7"/>
    <w:rsid w:val="000E510D"/>
    <w:rsid w:val="000E5146"/>
    <w:rsid w:val="000E538A"/>
    <w:rsid w:val="000E540E"/>
    <w:rsid w:val="000E5436"/>
    <w:rsid w:val="000E543A"/>
    <w:rsid w:val="000E588F"/>
    <w:rsid w:val="000E58A3"/>
    <w:rsid w:val="000E5901"/>
    <w:rsid w:val="000E594F"/>
    <w:rsid w:val="000E5A2A"/>
    <w:rsid w:val="000E5B0B"/>
    <w:rsid w:val="000E5CF7"/>
    <w:rsid w:val="000E5EA6"/>
    <w:rsid w:val="000E6158"/>
    <w:rsid w:val="000E6270"/>
    <w:rsid w:val="000E63C6"/>
    <w:rsid w:val="000E65DB"/>
    <w:rsid w:val="000E67C4"/>
    <w:rsid w:val="000E67EB"/>
    <w:rsid w:val="000E6A56"/>
    <w:rsid w:val="000E6AF6"/>
    <w:rsid w:val="000E6B89"/>
    <w:rsid w:val="000E6C5D"/>
    <w:rsid w:val="000E6CF9"/>
    <w:rsid w:val="000E6D5C"/>
    <w:rsid w:val="000E7169"/>
    <w:rsid w:val="000E72AE"/>
    <w:rsid w:val="000E73D4"/>
    <w:rsid w:val="000E746E"/>
    <w:rsid w:val="000E763F"/>
    <w:rsid w:val="000E7882"/>
    <w:rsid w:val="000E79BA"/>
    <w:rsid w:val="000E79F6"/>
    <w:rsid w:val="000E7A22"/>
    <w:rsid w:val="000E7A59"/>
    <w:rsid w:val="000E7B03"/>
    <w:rsid w:val="000E7D7C"/>
    <w:rsid w:val="000E7D97"/>
    <w:rsid w:val="000F0075"/>
    <w:rsid w:val="000F02D5"/>
    <w:rsid w:val="000F0528"/>
    <w:rsid w:val="000F0563"/>
    <w:rsid w:val="000F0690"/>
    <w:rsid w:val="000F0842"/>
    <w:rsid w:val="000F0919"/>
    <w:rsid w:val="000F0B47"/>
    <w:rsid w:val="000F0BBE"/>
    <w:rsid w:val="000F0BE2"/>
    <w:rsid w:val="000F0C26"/>
    <w:rsid w:val="000F0D82"/>
    <w:rsid w:val="000F0DAA"/>
    <w:rsid w:val="000F0F06"/>
    <w:rsid w:val="000F0F9A"/>
    <w:rsid w:val="000F10B8"/>
    <w:rsid w:val="000F120C"/>
    <w:rsid w:val="000F1289"/>
    <w:rsid w:val="000F13A1"/>
    <w:rsid w:val="000F144B"/>
    <w:rsid w:val="000F144C"/>
    <w:rsid w:val="000F149D"/>
    <w:rsid w:val="000F1530"/>
    <w:rsid w:val="000F1538"/>
    <w:rsid w:val="000F163B"/>
    <w:rsid w:val="000F16E7"/>
    <w:rsid w:val="000F1942"/>
    <w:rsid w:val="000F1B0F"/>
    <w:rsid w:val="000F1B6F"/>
    <w:rsid w:val="000F1D41"/>
    <w:rsid w:val="000F1DFC"/>
    <w:rsid w:val="000F2113"/>
    <w:rsid w:val="000F2135"/>
    <w:rsid w:val="000F21C9"/>
    <w:rsid w:val="000F2239"/>
    <w:rsid w:val="000F22AE"/>
    <w:rsid w:val="000F22B2"/>
    <w:rsid w:val="000F22B5"/>
    <w:rsid w:val="000F23E5"/>
    <w:rsid w:val="000F25DF"/>
    <w:rsid w:val="000F286D"/>
    <w:rsid w:val="000F2870"/>
    <w:rsid w:val="000F2CC1"/>
    <w:rsid w:val="000F2D0E"/>
    <w:rsid w:val="000F2D44"/>
    <w:rsid w:val="000F2DA0"/>
    <w:rsid w:val="000F301C"/>
    <w:rsid w:val="000F314C"/>
    <w:rsid w:val="000F3217"/>
    <w:rsid w:val="000F3271"/>
    <w:rsid w:val="000F32F2"/>
    <w:rsid w:val="000F3341"/>
    <w:rsid w:val="000F3497"/>
    <w:rsid w:val="000F3639"/>
    <w:rsid w:val="000F3652"/>
    <w:rsid w:val="000F36A5"/>
    <w:rsid w:val="000F3940"/>
    <w:rsid w:val="000F3A0E"/>
    <w:rsid w:val="000F3A44"/>
    <w:rsid w:val="000F3AA3"/>
    <w:rsid w:val="000F3AA4"/>
    <w:rsid w:val="000F3C8B"/>
    <w:rsid w:val="000F3CCA"/>
    <w:rsid w:val="000F3D4E"/>
    <w:rsid w:val="000F3ED8"/>
    <w:rsid w:val="000F3FCD"/>
    <w:rsid w:val="000F413B"/>
    <w:rsid w:val="000F41A7"/>
    <w:rsid w:val="000F424B"/>
    <w:rsid w:val="000F4318"/>
    <w:rsid w:val="000F4625"/>
    <w:rsid w:val="000F46A7"/>
    <w:rsid w:val="000F4B04"/>
    <w:rsid w:val="000F4BD6"/>
    <w:rsid w:val="000F4E05"/>
    <w:rsid w:val="000F50DA"/>
    <w:rsid w:val="000F51E2"/>
    <w:rsid w:val="000F53E9"/>
    <w:rsid w:val="000F5935"/>
    <w:rsid w:val="000F5AAB"/>
    <w:rsid w:val="000F5B76"/>
    <w:rsid w:val="000F5BD1"/>
    <w:rsid w:val="000F5C0D"/>
    <w:rsid w:val="000F5C2E"/>
    <w:rsid w:val="000F5E8F"/>
    <w:rsid w:val="000F6226"/>
    <w:rsid w:val="000F6253"/>
    <w:rsid w:val="000F6329"/>
    <w:rsid w:val="000F6457"/>
    <w:rsid w:val="000F6663"/>
    <w:rsid w:val="000F6747"/>
    <w:rsid w:val="000F674B"/>
    <w:rsid w:val="000F67CA"/>
    <w:rsid w:val="000F67F5"/>
    <w:rsid w:val="000F6ADE"/>
    <w:rsid w:val="000F6B1D"/>
    <w:rsid w:val="000F6B67"/>
    <w:rsid w:val="000F6DFA"/>
    <w:rsid w:val="000F7053"/>
    <w:rsid w:val="000F72A9"/>
    <w:rsid w:val="000F73BE"/>
    <w:rsid w:val="000F7643"/>
    <w:rsid w:val="000F76A8"/>
    <w:rsid w:val="000F7902"/>
    <w:rsid w:val="000F79D9"/>
    <w:rsid w:val="000F7C46"/>
    <w:rsid w:val="000F7CA2"/>
    <w:rsid w:val="001002B3"/>
    <w:rsid w:val="001002FF"/>
    <w:rsid w:val="001003E2"/>
    <w:rsid w:val="001004B7"/>
    <w:rsid w:val="0010050C"/>
    <w:rsid w:val="0010050E"/>
    <w:rsid w:val="00100629"/>
    <w:rsid w:val="00100693"/>
    <w:rsid w:val="001006F9"/>
    <w:rsid w:val="00100993"/>
    <w:rsid w:val="00100A21"/>
    <w:rsid w:val="00100BFE"/>
    <w:rsid w:val="00100C1F"/>
    <w:rsid w:val="00100CD7"/>
    <w:rsid w:val="00100E9B"/>
    <w:rsid w:val="00100F0D"/>
    <w:rsid w:val="001010BD"/>
    <w:rsid w:val="001010EC"/>
    <w:rsid w:val="00101101"/>
    <w:rsid w:val="001014CE"/>
    <w:rsid w:val="00101690"/>
    <w:rsid w:val="001016F5"/>
    <w:rsid w:val="00101845"/>
    <w:rsid w:val="00101980"/>
    <w:rsid w:val="00101BDA"/>
    <w:rsid w:val="00101C98"/>
    <w:rsid w:val="00101EE1"/>
    <w:rsid w:val="00101FC4"/>
    <w:rsid w:val="0010206C"/>
    <w:rsid w:val="00102292"/>
    <w:rsid w:val="00102794"/>
    <w:rsid w:val="001027B1"/>
    <w:rsid w:val="001027EA"/>
    <w:rsid w:val="00102B18"/>
    <w:rsid w:val="00102BD4"/>
    <w:rsid w:val="00102C50"/>
    <w:rsid w:val="00102C79"/>
    <w:rsid w:val="00102C95"/>
    <w:rsid w:val="00102E41"/>
    <w:rsid w:val="00102E43"/>
    <w:rsid w:val="00102EC9"/>
    <w:rsid w:val="00102F34"/>
    <w:rsid w:val="00102F69"/>
    <w:rsid w:val="00103257"/>
    <w:rsid w:val="0010327B"/>
    <w:rsid w:val="00103294"/>
    <w:rsid w:val="0010332C"/>
    <w:rsid w:val="00103463"/>
    <w:rsid w:val="00103486"/>
    <w:rsid w:val="0010357E"/>
    <w:rsid w:val="001035AE"/>
    <w:rsid w:val="00103628"/>
    <w:rsid w:val="0010365B"/>
    <w:rsid w:val="0010370C"/>
    <w:rsid w:val="001037BE"/>
    <w:rsid w:val="00103804"/>
    <w:rsid w:val="00103AB0"/>
    <w:rsid w:val="00103C14"/>
    <w:rsid w:val="00103C34"/>
    <w:rsid w:val="00103D4B"/>
    <w:rsid w:val="0010433A"/>
    <w:rsid w:val="001044AC"/>
    <w:rsid w:val="00104729"/>
    <w:rsid w:val="00104838"/>
    <w:rsid w:val="0010490E"/>
    <w:rsid w:val="00104E7B"/>
    <w:rsid w:val="0010505B"/>
    <w:rsid w:val="0010511E"/>
    <w:rsid w:val="00105188"/>
    <w:rsid w:val="00105349"/>
    <w:rsid w:val="00105394"/>
    <w:rsid w:val="001053FE"/>
    <w:rsid w:val="00105677"/>
    <w:rsid w:val="0010568E"/>
    <w:rsid w:val="001058C5"/>
    <w:rsid w:val="001058ED"/>
    <w:rsid w:val="00105ACF"/>
    <w:rsid w:val="00105C60"/>
    <w:rsid w:val="00105E08"/>
    <w:rsid w:val="00105F3D"/>
    <w:rsid w:val="00105FD4"/>
    <w:rsid w:val="0010601F"/>
    <w:rsid w:val="0010604C"/>
    <w:rsid w:val="00106246"/>
    <w:rsid w:val="00106270"/>
    <w:rsid w:val="00106271"/>
    <w:rsid w:val="001062C7"/>
    <w:rsid w:val="001063C1"/>
    <w:rsid w:val="001064C9"/>
    <w:rsid w:val="00106589"/>
    <w:rsid w:val="00106A7E"/>
    <w:rsid w:val="00106C8F"/>
    <w:rsid w:val="00106E32"/>
    <w:rsid w:val="001070C7"/>
    <w:rsid w:val="001071AD"/>
    <w:rsid w:val="001071E5"/>
    <w:rsid w:val="00107270"/>
    <w:rsid w:val="0010736A"/>
    <w:rsid w:val="00107509"/>
    <w:rsid w:val="001075B9"/>
    <w:rsid w:val="0010771A"/>
    <w:rsid w:val="001079AC"/>
    <w:rsid w:val="00107A4D"/>
    <w:rsid w:val="00107D18"/>
    <w:rsid w:val="00107F00"/>
    <w:rsid w:val="00110132"/>
    <w:rsid w:val="00110456"/>
    <w:rsid w:val="00110711"/>
    <w:rsid w:val="00110839"/>
    <w:rsid w:val="00110851"/>
    <w:rsid w:val="00110967"/>
    <w:rsid w:val="00110B49"/>
    <w:rsid w:val="00110C3B"/>
    <w:rsid w:val="00110C51"/>
    <w:rsid w:val="00110CEE"/>
    <w:rsid w:val="00110D2F"/>
    <w:rsid w:val="00110E8A"/>
    <w:rsid w:val="00110ECD"/>
    <w:rsid w:val="00111194"/>
    <w:rsid w:val="001111D9"/>
    <w:rsid w:val="001112E4"/>
    <w:rsid w:val="00111378"/>
    <w:rsid w:val="0011165F"/>
    <w:rsid w:val="00111909"/>
    <w:rsid w:val="00111A7E"/>
    <w:rsid w:val="00111C6A"/>
    <w:rsid w:val="00111E2A"/>
    <w:rsid w:val="00111E36"/>
    <w:rsid w:val="00111F50"/>
    <w:rsid w:val="00111FD4"/>
    <w:rsid w:val="001122BB"/>
    <w:rsid w:val="00112481"/>
    <w:rsid w:val="001126E5"/>
    <w:rsid w:val="00112822"/>
    <w:rsid w:val="0011291C"/>
    <w:rsid w:val="00112BE2"/>
    <w:rsid w:val="00112D6C"/>
    <w:rsid w:val="00112E68"/>
    <w:rsid w:val="0011301E"/>
    <w:rsid w:val="0011310D"/>
    <w:rsid w:val="00113455"/>
    <w:rsid w:val="00113514"/>
    <w:rsid w:val="001135B1"/>
    <w:rsid w:val="001136AC"/>
    <w:rsid w:val="00113702"/>
    <w:rsid w:val="00113736"/>
    <w:rsid w:val="00113795"/>
    <w:rsid w:val="00113AC1"/>
    <w:rsid w:val="00113AFF"/>
    <w:rsid w:val="00113D07"/>
    <w:rsid w:val="00113E4C"/>
    <w:rsid w:val="0011406C"/>
    <w:rsid w:val="00114109"/>
    <w:rsid w:val="0011411A"/>
    <w:rsid w:val="0011417D"/>
    <w:rsid w:val="001141BD"/>
    <w:rsid w:val="00114278"/>
    <w:rsid w:val="00114546"/>
    <w:rsid w:val="0011463A"/>
    <w:rsid w:val="0011481E"/>
    <w:rsid w:val="0011484C"/>
    <w:rsid w:val="00114999"/>
    <w:rsid w:val="0011499E"/>
    <w:rsid w:val="00115113"/>
    <w:rsid w:val="0011512D"/>
    <w:rsid w:val="001151BB"/>
    <w:rsid w:val="00115283"/>
    <w:rsid w:val="00115293"/>
    <w:rsid w:val="00115404"/>
    <w:rsid w:val="001154F0"/>
    <w:rsid w:val="00115520"/>
    <w:rsid w:val="0011570B"/>
    <w:rsid w:val="00115A2F"/>
    <w:rsid w:val="00115A76"/>
    <w:rsid w:val="00115B88"/>
    <w:rsid w:val="00115BFA"/>
    <w:rsid w:val="00115CE7"/>
    <w:rsid w:val="00115F15"/>
    <w:rsid w:val="00116056"/>
    <w:rsid w:val="0011633E"/>
    <w:rsid w:val="001164B9"/>
    <w:rsid w:val="00116679"/>
    <w:rsid w:val="00116682"/>
    <w:rsid w:val="001168BE"/>
    <w:rsid w:val="0011691A"/>
    <w:rsid w:val="0011697D"/>
    <w:rsid w:val="001169A8"/>
    <w:rsid w:val="00116AF4"/>
    <w:rsid w:val="00116B52"/>
    <w:rsid w:val="00116E5F"/>
    <w:rsid w:val="00116EF5"/>
    <w:rsid w:val="00116F92"/>
    <w:rsid w:val="00117147"/>
    <w:rsid w:val="0011728F"/>
    <w:rsid w:val="0011755A"/>
    <w:rsid w:val="0011765D"/>
    <w:rsid w:val="00117823"/>
    <w:rsid w:val="00117966"/>
    <w:rsid w:val="00117987"/>
    <w:rsid w:val="001179E1"/>
    <w:rsid w:val="00117B07"/>
    <w:rsid w:val="00117C6D"/>
    <w:rsid w:val="00117D6A"/>
    <w:rsid w:val="00117DDC"/>
    <w:rsid w:val="00117ED7"/>
    <w:rsid w:val="00117EEE"/>
    <w:rsid w:val="00117FBD"/>
    <w:rsid w:val="00120393"/>
    <w:rsid w:val="001203A4"/>
    <w:rsid w:val="001205D9"/>
    <w:rsid w:val="00120608"/>
    <w:rsid w:val="00120611"/>
    <w:rsid w:val="001206A9"/>
    <w:rsid w:val="001207BF"/>
    <w:rsid w:val="0012088B"/>
    <w:rsid w:val="00120A4E"/>
    <w:rsid w:val="00120C1C"/>
    <w:rsid w:val="00120C80"/>
    <w:rsid w:val="00120DDF"/>
    <w:rsid w:val="00120F6E"/>
    <w:rsid w:val="00120F76"/>
    <w:rsid w:val="00121136"/>
    <w:rsid w:val="00121154"/>
    <w:rsid w:val="0012126B"/>
    <w:rsid w:val="0012129E"/>
    <w:rsid w:val="001212F2"/>
    <w:rsid w:val="00121466"/>
    <w:rsid w:val="001214A2"/>
    <w:rsid w:val="001215BC"/>
    <w:rsid w:val="001215C7"/>
    <w:rsid w:val="001215CA"/>
    <w:rsid w:val="00121642"/>
    <w:rsid w:val="00121738"/>
    <w:rsid w:val="00121836"/>
    <w:rsid w:val="00121997"/>
    <w:rsid w:val="001219AF"/>
    <w:rsid w:val="001219EE"/>
    <w:rsid w:val="00121BC8"/>
    <w:rsid w:val="00121DD4"/>
    <w:rsid w:val="00121DE3"/>
    <w:rsid w:val="00121E74"/>
    <w:rsid w:val="00122228"/>
    <w:rsid w:val="00122298"/>
    <w:rsid w:val="0012270B"/>
    <w:rsid w:val="00122981"/>
    <w:rsid w:val="001229BE"/>
    <w:rsid w:val="00122CC8"/>
    <w:rsid w:val="00122F8A"/>
    <w:rsid w:val="00123027"/>
    <w:rsid w:val="00123139"/>
    <w:rsid w:val="00123198"/>
    <w:rsid w:val="00123228"/>
    <w:rsid w:val="00123268"/>
    <w:rsid w:val="0012326C"/>
    <w:rsid w:val="001233F1"/>
    <w:rsid w:val="00123542"/>
    <w:rsid w:val="00123571"/>
    <w:rsid w:val="001236BB"/>
    <w:rsid w:val="001238B7"/>
    <w:rsid w:val="00123A68"/>
    <w:rsid w:val="00123AF3"/>
    <w:rsid w:val="00123B72"/>
    <w:rsid w:val="00123C15"/>
    <w:rsid w:val="00123CC6"/>
    <w:rsid w:val="00123D58"/>
    <w:rsid w:val="00123D84"/>
    <w:rsid w:val="00123D85"/>
    <w:rsid w:val="00123E5E"/>
    <w:rsid w:val="00123EE9"/>
    <w:rsid w:val="00123F84"/>
    <w:rsid w:val="0012405E"/>
    <w:rsid w:val="001241A7"/>
    <w:rsid w:val="00124215"/>
    <w:rsid w:val="0012429E"/>
    <w:rsid w:val="001242D4"/>
    <w:rsid w:val="001243EE"/>
    <w:rsid w:val="0012440F"/>
    <w:rsid w:val="00124412"/>
    <w:rsid w:val="0012446E"/>
    <w:rsid w:val="00124555"/>
    <w:rsid w:val="00124649"/>
    <w:rsid w:val="0012479B"/>
    <w:rsid w:val="00124847"/>
    <w:rsid w:val="001248B7"/>
    <w:rsid w:val="001248C9"/>
    <w:rsid w:val="00124973"/>
    <w:rsid w:val="00124994"/>
    <w:rsid w:val="00124A4A"/>
    <w:rsid w:val="00124ABB"/>
    <w:rsid w:val="00124AE9"/>
    <w:rsid w:val="00124CA7"/>
    <w:rsid w:val="00124D42"/>
    <w:rsid w:val="00124FF5"/>
    <w:rsid w:val="00125081"/>
    <w:rsid w:val="001252FD"/>
    <w:rsid w:val="00125614"/>
    <w:rsid w:val="00125653"/>
    <w:rsid w:val="00125691"/>
    <w:rsid w:val="001258A2"/>
    <w:rsid w:val="00125A07"/>
    <w:rsid w:val="00125C0D"/>
    <w:rsid w:val="00125C34"/>
    <w:rsid w:val="00125EF3"/>
    <w:rsid w:val="00126263"/>
    <w:rsid w:val="001263FF"/>
    <w:rsid w:val="001264DE"/>
    <w:rsid w:val="00126640"/>
    <w:rsid w:val="001266B7"/>
    <w:rsid w:val="001266F1"/>
    <w:rsid w:val="001267D5"/>
    <w:rsid w:val="00126814"/>
    <w:rsid w:val="0012689F"/>
    <w:rsid w:val="0012695C"/>
    <w:rsid w:val="001269BC"/>
    <w:rsid w:val="00126A85"/>
    <w:rsid w:val="00126CD9"/>
    <w:rsid w:val="00126CE8"/>
    <w:rsid w:val="00126DD9"/>
    <w:rsid w:val="00126E39"/>
    <w:rsid w:val="00127056"/>
    <w:rsid w:val="00127179"/>
    <w:rsid w:val="00127263"/>
    <w:rsid w:val="0012732A"/>
    <w:rsid w:val="001273F9"/>
    <w:rsid w:val="0012745B"/>
    <w:rsid w:val="0012758F"/>
    <w:rsid w:val="00127796"/>
    <w:rsid w:val="001277F5"/>
    <w:rsid w:val="0012783A"/>
    <w:rsid w:val="001278C3"/>
    <w:rsid w:val="00127973"/>
    <w:rsid w:val="00127999"/>
    <w:rsid w:val="001279B6"/>
    <w:rsid w:val="00127A34"/>
    <w:rsid w:val="00127B68"/>
    <w:rsid w:val="00127B78"/>
    <w:rsid w:val="00127C0A"/>
    <w:rsid w:val="00127C8C"/>
    <w:rsid w:val="00127CA8"/>
    <w:rsid w:val="00127D79"/>
    <w:rsid w:val="00127ED1"/>
    <w:rsid w:val="00127F17"/>
    <w:rsid w:val="00127F2A"/>
    <w:rsid w:val="0013001A"/>
    <w:rsid w:val="001301C1"/>
    <w:rsid w:val="00130237"/>
    <w:rsid w:val="0013036B"/>
    <w:rsid w:val="00130382"/>
    <w:rsid w:val="0013046F"/>
    <w:rsid w:val="001306FC"/>
    <w:rsid w:val="00130706"/>
    <w:rsid w:val="00130836"/>
    <w:rsid w:val="001308AB"/>
    <w:rsid w:val="001308AE"/>
    <w:rsid w:val="001308B2"/>
    <w:rsid w:val="00130932"/>
    <w:rsid w:val="00130C7F"/>
    <w:rsid w:val="00130D10"/>
    <w:rsid w:val="00130D5E"/>
    <w:rsid w:val="00130E02"/>
    <w:rsid w:val="00131057"/>
    <w:rsid w:val="001311D3"/>
    <w:rsid w:val="00131378"/>
    <w:rsid w:val="00131757"/>
    <w:rsid w:val="00131773"/>
    <w:rsid w:val="00131808"/>
    <w:rsid w:val="0013185E"/>
    <w:rsid w:val="00131A64"/>
    <w:rsid w:val="00131AA7"/>
    <w:rsid w:val="00131B9B"/>
    <w:rsid w:val="00131C27"/>
    <w:rsid w:val="00131C86"/>
    <w:rsid w:val="00131D61"/>
    <w:rsid w:val="00131FAB"/>
    <w:rsid w:val="00132102"/>
    <w:rsid w:val="00132319"/>
    <w:rsid w:val="0013233D"/>
    <w:rsid w:val="0013245A"/>
    <w:rsid w:val="00132475"/>
    <w:rsid w:val="0013281D"/>
    <w:rsid w:val="0013294B"/>
    <w:rsid w:val="00132AF7"/>
    <w:rsid w:val="00132BAF"/>
    <w:rsid w:val="00133198"/>
    <w:rsid w:val="001331FE"/>
    <w:rsid w:val="001332E6"/>
    <w:rsid w:val="0013344F"/>
    <w:rsid w:val="001334B8"/>
    <w:rsid w:val="00133505"/>
    <w:rsid w:val="00133563"/>
    <w:rsid w:val="001336C1"/>
    <w:rsid w:val="00133702"/>
    <w:rsid w:val="001337CB"/>
    <w:rsid w:val="0013384A"/>
    <w:rsid w:val="001339AA"/>
    <w:rsid w:val="001339C5"/>
    <w:rsid w:val="00133A23"/>
    <w:rsid w:val="00133A81"/>
    <w:rsid w:val="00133DB8"/>
    <w:rsid w:val="00133E4C"/>
    <w:rsid w:val="001341A2"/>
    <w:rsid w:val="001341D3"/>
    <w:rsid w:val="00134339"/>
    <w:rsid w:val="001343C6"/>
    <w:rsid w:val="0013442C"/>
    <w:rsid w:val="00134493"/>
    <w:rsid w:val="001344E3"/>
    <w:rsid w:val="001344F1"/>
    <w:rsid w:val="001346AC"/>
    <w:rsid w:val="00134759"/>
    <w:rsid w:val="00134791"/>
    <w:rsid w:val="0013483B"/>
    <w:rsid w:val="001348A4"/>
    <w:rsid w:val="00134B26"/>
    <w:rsid w:val="00134C8B"/>
    <w:rsid w:val="00134EAA"/>
    <w:rsid w:val="00134F8D"/>
    <w:rsid w:val="001351FF"/>
    <w:rsid w:val="0013563A"/>
    <w:rsid w:val="001356E7"/>
    <w:rsid w:val="00135715"/>
    <w:rsid w:val="00135A61"/>
    <w:rsid w:val="00135CD9"/>
    <w:rsid w:val="00135EEA"/>
    <w:rsid w:val="00135FEA"/>
    <w:rsid w:val="00136000"/>
    <w:rsid w:val="001360E8"/>
    <w:rsid w:val="00136317"/>
    <w:rsid w:val="0013638F"/>
    <w:rsid w:val="001365C8"/>
    <w:rsid w:val="00136614"/>
    <w:rsid w:val="001366E7"/>
    <w:rsid w:val="001367BB"/>
    <w:rsid w:val="0013683E"/>
    <w:rsid w:val="001368EF"/>
    <w:rsid w:val="00136B96"/>
    <w:rsid w:val="00136CB4"/>
    <w:rsid w:val="00136CC2"/>
    <w:rsid w:val="00136E52"/>
    <w:rsid w:val="00136ED8"/>
    <w:rsid w:val="00137398"/>
    <w:rsid w:val="00137637"/>
    <w:rsid w:val="00137644"/>
    <w:rsid w:val="001376D0"/>
    <w:rsid w:val="0013784B"/>
    <w:rsid w:val="00137940"/>
    <w:rsid w:val="00137B87"/>
    <w:rsid w:val="00137CCE"/>
    <w:rsid w:val="00137D07"/>
    <w:rsid w:val="00137E61"/>
    <w:rsid w:val="00137E9F"/>
    <w:rsid w:val="00137F17"/>
    <w:rsid w:val="00140035"/>
    <w:rsid w:val="00140230"/>
    <w:rsid w:val="00140486"/>
    <w:rsid w:val="001406D5"/>
    <w:rsid w:val="001408A3"/>
    <w:rsid w:val="0014098B"/>
    <w:rsid w:val="001409E1"/>
    <w:rsid w:val="00140A6D"/>
    <w:rsid w:val="00140AA0"/>
    <w:rsid w:val="00140CD5"/>
    <w:rsid w:val="00140D41"/>
    <w:rsid w:val="00140EEB"/>
    <w:rsid w:val="0014102A"/>
    <w:rsid w:val="001410CF"/>
    <w:rsid w:val="00141498"/>
    <w:rsid w:val="001415A7"/>
    <w:rsid w:val="00141697"/>
    <w:rsid w:val="001417FD"/>
    <w:rsid w:val="00141933"/>
    <w:rsid w:val="00141C58"/>
    <w:rsid w:val="00141D0E"/>
    <w:rsid w:val="00141D4D"/>
    <w:rsid w:val="00141D58"/>
    <w:rsid w:val="00141FC5"/>
    <w:rsid w:val="0014204B"/>
    <w:rsid w:val="00142131"/>
    <w:rsid w:val="0014226E"/>
    <w:rsid w:val="00142373"/>
    <w:rsid w:val="001423B1"/>
    <w:rsid w:val="001423DB"/>
    <w:rsid w:val="00142665"/>
    <w:rsid w:val="00142767"/>
    <w:rsid w:val="001427B0"/>
    <w:rsid w:val="0014292A"/>
    <w:rsid w:val="001429E0"/>
    <w:rsid w:val="00142DA3"/>
    <w:rsid w:val="00142DC9"/>
    <w:rsid w:val="00142EED"/>
    <w:rsid w:val="00143145"/>
    <w:rsid w:val="00143152"/>
    <w:rsid w:val="00143184"/>
    <w:rsid w:val="00143504"/>
    <w:rsid w:val="001439E6"/>
    <w:rsid w:val="0014438F"/>
    <w:rsid w:val="001443DD"/>
    <w:rsid w:val="001448A2"/>
    <w:rsid w:val="00144A79"/>
    <w:rsid w:val="00144AEF"/>
    <w:rsid w:val="00144B1D"/>
    <w:rsid w:val="00144C29"/>
    <w:rsid w:val="00144EC2"/>
    <w:rsid w:val="00144F16"/>
    <w:rsid w:val="001450AC"/>
    <w:rsid w:val="001450F7"/>
    <w:rsid w:val="001452F3"/>
    <w:rsid w:val="00145308"/>
    <w:rsid w:val="001454DA"/>
    <w:rsid w:val="001457CA"/>
    <w:rsid w:val="001458FD"/>
    <w:rsid w:val="001459B0"/>
    <w:rsid w:val="00145C68"/>
    <w:rsid w:val="00145D54"/>
    <w:rsid w:val="00145E0F"/>
    <w:rsid w:val="00145E9F"/>
    <w:rsid w:val="00145F07"/>
    <w:rsid w:val="00145FC0"/>
    <w:rsid w:val="0014602F"/>
    <w:rsid w:val="0014607B"/>
    <w:rsid w:val="00146108"/>
    <w:rsid w:val="00146140"/>
    <w:rsid w:val="0014645F"/>
    <w:rsid w:val="00146496"/>
    <w:rsid w:val="001466CF"/>
    <w:rsid w:val="001466F5"/>
    <w:rsid w:val="00146704"/>
    <w:rsid w:val="00146859"/>
    <w:rsid w:val="00146904"/>
    <w:rsid w:val="00146E09"/>
    <w:rsid w:val="00146EE9"/>
    <w:rsid w:val="00147102"/>
    <w:rsid w:val="00147521"/>
    <w:rsid w:val="0014779C"/>
    <w:rsid w:val="00147804"/>
    <w:rsid w:val="00147A06"/>
    <w:rsid w:val="00147B26"/>
    <w:rsid w:val="00147C40"/>
    <w:rsid w:val="00147E51"/>
    <w:rsid w:val="0015004C"/>
    <w:rsid w:val="0015006C"/>
    <w:rsid w:val="00150481"/>
    <w:rsid w:val="00150742"/>
    <w:rsid w:val="00150935"/>
    <w:rsid w:val="00150CBD"/>
    <w:rsid w:val="00150F45"/>
    <w:rsid w:val="001511B3"/>
    <w:rsid w:val="00151339"/>
    <w:rsid w:val="0015158D"/>
    <w:rsid w:val="0015168A"/>
    <w:rsid w:val="001519CF"/>
    <w:rsid w:val="00151AE4"/>
    <w:rsid w:val="00151B39"/>
    <w:rsid w:val="00151BBE"/>
    <w:rsid w:val="00151E49"/>
    <w:rsid w:val="00151EE3"/>
    <w:rsid w:val="00151F48"/>
    <w:rsid w:val="00151FFD"/>
    <w:rsid w:val="00152010"/>
    <w:rsid w:val="00152034"/>
    <w:rsid w:val="001521D1"/>
    <w:rsid w:val="00152455"/>
    <w:rsid w:val="00152615"/>
    <w:rsid w:val="00152668"/>
    <w:rsid w:val="001526A3"/>
    <w:rsid w:val="00152855"/>
    <w:rsid w:val="0015298C"/>
    <w:rsid w:val="00152E81"/>
    <w:rsid w:val="00152EA5"/>
    <w:rsid w:val="00152F67"/>
    <w:rsid w:val="00153051"/>
    <w:rsid w:val="00153058"/>
    <w:rsid w:val="0015314C"/>
    <w:rsid w:val="0015324D"/>
    <w:rsid w:val="0015326B"/>
    <w:rsid w:val="00153335"/>
    <w:rsid w:val="00153396"/>
    <w:rsid w:val="00153463"/>
    <w:rsid w:val="00153522"/>
    <w:rsid w:val="0015380E"/>
    <w:rsid w:val="001538D8"/>
    <w:rsid w:val="001539AC"/>
    <w:rsid w:val="00153B69"/>
    <w:rsid w:val="00153D8E"/>
    <w:rsid w:val="00153DC2"/>
    <w:rsid w:val="00153EC4"/>
    <w:rsid w:val="00154063"/>
    <w:rsid w:val="001542DE"/>
    <w:rsid w:val="001543D8"/>
    <w:rsid w:val="001543DA"/>
    <w:rsid w:val="00154428"/>
    <w:rsid w:val="0015458C"/>
    <w:rsid w:val="0015466D"/>
    <w:rsid w:val="001547A5"/>
    <w:rsid w:val="001548A2"/>
    <w:rsid w:val="0015494D"/>
    <w:rsid w:val="001549D2"/>
    <w:rsid w:val="00154DBD"/>
    <w:rsid w:val="00155071"/>
    <w:rsid w:val="0015507D"/>
    <w:rsid w:val="00155460"/>
    <w:rsid w:val="0015549E"/>
    <w:rsid w:val="0015557D"/>
    <w:rsid w:val="001558E4"/>
    <w:rsid w:val="00155C57"/>
    <w:rsid w:val="00155C7B"/>
    <w:rsid w:val="00155C9A"/>
    <w:rsid w:val="00155CCA"/>
    <w:rsid w:val="00155DAC"/>
    <w:rsid w:val="00156069"/>
    <w:rsid w:val="0015606B"/>
    <w:rsid w:val="001560AD"/>
    <w:rsid w:val="0015622F"/>
    <w:rsid w:val="00156272"/>
    <w:rsid w:val="001562E4"/>
    <w:rsid w:val="00156457"/>
    <w:rsid w:val="001564D8"/>
    <w:rsid w:val="00156A84"/>
    <w:rsid w:val="00156B20"/>
    <w:rsid w:val="00156D7B"/>
    <w:rsid w:val="00156DC0"/>
    <w:rsid w:val="00156FBB"/>
    <w:rsid w:val="00157241"/>
    <w:rsid w:val="001572AD"/>
    <w:rsid w:val="001573F5"/>
    <w:rsid w:val="00157724"/>
    <w:rsid w:val="0015776F"/>
    <w:rsid w:val="0015779A"/>
    <w:rsid w:val="001579DB"/>
    <w:rsid w:val="001579E4"/>
    <w:rsid w:val="00157B48"/>
    <w:rsid w:val="00157C66"/>
    <w:rsid w:val="00157C8C"/>
    <w:rsid w:val="00157D47"/>
    <w:rsid w:val="00157E8D"/>
    <w:rsid w:val="00157F47"/>
    <w:rsid w:val="00157F4F"/>
    <w:rsid w:val="0016008A"/>
    <w:rsid w:val="0016017D"/>
    <w:rsid w:val="0016019E"/>
    <w:rsid w:val="0016023C"/>
    <w:rsid w:val="00160337"/>
    <w:rsid w:val="00160353"/>
    <w:rsid w:val="001603CF"/>
    <w:rsid w:val="00160494"/>
    <w:rsid w:val="001609A7"/>
    <w:rsid w:val="00160A22"/>
    <w:rsid w:val="00160B76"/>
    <w:rsid w:val="00160B7D"/>
    <w:rsid w:val="00160B8C"/>
    <w:rsid w:val="00160E36"/>
    <w:rsid w:val="00161144"/>
    <w:rsid w:val="00161276"/>
    <w:rsid w:val="00161531"/>
    <w:rsid w:val="001616B7"/>
    <w:rsid w:val="00161961"/>
    <w:rsid w:val="001619EB"/>
    <w:rsid w:val="00161A30"/>
    <w:rsid w:val="00161C39"/>
    <w:rsid w:val="00161EE2"/>
    <w:rsid w:val="00162095"/>
    <w:rsid w:val="00162603"/>
    <w:rsid w:val="001627AA"/>
    <w:rsid w:val="001627EF"/>
    <w:rsid w:val="00162892"/>
    <w:rsid w:val="0016290E"/>
    <w:rsid w:val="00162A6B"/>
    <w:rsid w:val="00162AE1"/>
    <w:rsid w:val="00162C84"/>
    <w:rsid w:val="00162FB2"/>
    <w:rsid w:val="00163073"/>
    <w:rsid w:val="00163095"/>
    <w:rsid w:val="001630C3"/>
    <w:rsid w:val="00163352"/>
    <w:rsid w:val="00163586"/>
    <w:rsid w:val="0016367B"/>
    <w:rsid w:val="001636A6"/>
    <w:rsid w:val="00163AFD"/>
    <w:rsid w:val="00163B88"/>
    <w:rsid w:val="00163C91"/>
    <w:rsid w:val="00163DB6"/>
    <w:rsid w:val="00163DF0"/>
    <w:rsid w:val="00163E00"/>
    <w:rsid w:val="00163E6C"/>
    <w:rsid w:val="00163F97"/>
    <w:rsid w:val="001640A7"/>
    <w:rsid w:val="00164231"/>
    <w:rsid w:val="00164526"/>
    <w:rsid w:val="0016469E"/>
    <w:rsid w:val="001647C4"/>
    <w:rsid w:val="0016486D"/>
    <w:rsid w:val="00164913"/>
    <w:rsid w:val="001649AD"/>
    <w:rsid w:val="00164B87"/>
    <w:rsid w:val="00164CD0"/>
    <w:rsid w:val="00164D5D"/>
    <w:rsid w:val="00164ED7"/>
    <w:rsid w:val="00164F5B"/>
    <w:rsid w:val="00164FA9"/>
    <w:rsid w:val="00165296"/>
    <w:rsid w:val="001652CD"/>
    <w:rsid w:val="0016532F"/>
    <w:rsid w:val="00165509"/>
    <w:rsid w:val="00165896"/>
    <w:rsid w:val="00165993"/>
    <w:rsid w:val="001659DD"/>
    <w:rsid w:val="00165A89"/>
    <w:rsid w:val="00165F42"/>
    <w:rsid w:val="001660CE"/>
    <w:rsid w:val="00166227"/>
    <w:rsid w:val="0016623D"/>
    <w:rsid w:val="0016626E"/>
    <w:rsid w:val="001663FA"/>
    <w:rsid w:val="001665D9"/>
    <w:rsid w:val="001665E8"/>
    <w:rsid w:val="001667E1"/>
    <w:rsid w:val="00166840"/>
    <w:rsid w:val="0016686F"/>
    <w:rsid w:val="00166B0D"/>
    <w:rsid w:val="00166CCE"/>
    <w:rsid w:val="00166D99"/>
    <w:rsid w:val="00166E37"/>
    <w:rsid w:val="00166F1C"/>
    <w:rsid w:val="0016706B"/>
    <w:rsid w:val="0016741E"/>
    <w:rsid w:val="0016747C"/>
    <w:rsid w:val="0016749C"/>
    <w:rsid w:val="001674A7"/>
    <w:rsid w:val="0016753D"/>
    <w:rsid w:val="00167551"/>
    <w:rsid w:val="00167553"/>
    <w:rsid w:val="001677DB"/>
    <w:rsid w:val="00167890"/>
    <w:rsid w:val="0016794F"/>
    <w:rsid w:val="00167A54"/>
    <w:rsid w:val="00167C41"/>
    <w:rsid w:val="00167C80"/>
    <w:rsid w:val="00167CFD"/>
    <w:rsid w:val="00167E88"/>
    <w:rsid w:val="0017002E"/>
    <w:rsid w:val="00170113"/>
    <w:rsid w:val="001703D1"/>
    <w:rsid w:val="001703E8"/>
    <w:rsid w:val="00170548"/>
    <w:rsid w:val="00170734"/>
    <w:rsid w:val="00170798"/>
    <w:rsid w:val="00170A05"/>
    <w:rsid w:val="00170A3B"/>
    <w:rsid w:val="00170B33"/>
    <w:rsid w:val="00170D71"/>
    <w:rsid w:val="00170E85"/>
    <w:rsid w:val="0017109D"/>
    <w:rsid w:val="001710CE"/>
    <w:rsid w:val="00171156"/>
    <w:rsid w:val="00171203"/>
    <w:rsid w:val="0017121F"/>
    <w:rsid w:val="001712EF"/>
    <w:rsid w:val="00171453"/>
    <w:rsid w:val="00171628"/>
    <w:rsid w:val="0017174B"/>
    <w:rsid w:val="0017182C"/>
    <w:rsid w:val="00171A6C"/>
    <w:rsid w:val="00171A81"/>
    <w:rsid w:val="00171A82"/>
    <w:rsid w:val="00171D82"/>
    <w:rsid w:val="00171DF2"/>
    <w:rsid w:val="00171E83"/>
    <w:rsid w:val="00171EA8"/>
    <w:rsid w:val="00171EBC"/>
    <w:rsid w:val="00171F00"/>
    <w:rsid w:val="0017241E"/>
    <w:rsid w:val="001724A7"/>
    <w:rsid w:val="00172605"/>
    <w:rsid w:val="00172837"/>
    <w:rsid w:val="00172A55"/>
    <w:rsid w:val="00172A8F"/>
    <w:rsid w:val="00172ED6"/>
    <w:rsid w:val="0017306F"/>
    <w:rsid w:val="001730C9"/>
    <w:rsid w:val="0017323E"/>
    <w:rsid w:val="001732C7"/>
    <w:rsid w:val="00173652"/>
    <w:rsid w:val="00173796"/>
    <w:rsid w:val="00173927"/>
    <w:rsid w:val="00173CBA"/>
    <w:rsid w:val="00174015"/>
    <w:rsid w:val="001741AF"/>
    <w:rsid w:val="00174624"/>
    <w:rsid w:val="00174732"/>
    <w:rsid w:val="0017476E"/>
    <w:rsid w:val="0017478C"/>
    <w:rsid w:val="00174B5A"/>
    <w:rsid w:val="00174CA0"/>
    <w:rsid w:val="00174D4F"/>
    <w:rsid w:val="00174DE2"/>
    <w:rsid w:val="00175098"/>
    <w:rsid w:val="001751DD"/>
    <w:rsid w:val="00175757"/>
    <w:rsid w:val="0017588B"/>
    <w:rsid w:val="001758C9"/>
    <w:rsid w:val="00175964"/>
    <w:rsid w:val="00175CA9"/>
    <w:rsid w:val="00175E83"/>
    <w:rsid w:val="0017612E"/>
    <w:rsid w:val="001761CF"/>
    <w:rsid w:val="001762EF"/>
    <w:rsid w:val="001764DE"/>
    <w:rsid w:val="001765C2"/>
    <w:rsid w:val="00176787"/>
    <w:rsid w:val="001768B1"/>
    <w:rsid w:val="001768D7"/>
    <w:rsid w:val="001769E2"/>
    <w:rsid w:val="001769EE"/>
    <w:rsid w:val="00176A81"/>
    <w:rsid w:val="00176B7D"/>
    <w:rsid w:val="00176BF5"/>
    <w:rsid w:val="00176E38"/>
    <w:rsid w:val="00176E6B"/>
    <w:rsid w:val="00176FEB"/>
    <w:rsid w:val="00177129"/>
    <w:rsid w:val="001772DE"/>
    <w:rsid w:val="001773FE"/>
    <w:rsid w:val="001775F7"/>
    <w:rsid w:val="00177667"/>
    <w:rsid w:val="0017768D"/>
    <w:rsid w:val="001776AE"/>
    <w:rsid w:val="001777E9"/>
    <w:rsid w:val="001778AD"/>
    <w:rsid w:val="001779CD"/>
    <w:rsid w:val="001779F2"/>
    <w:rsid w:val="00177B11"/>
    <w:rsid w:val="00177C31"/>
    <w:rsid w:val="00177C32"/>
    <w:rsid w:val="00177CBB"/>
    <w:rsid w:val="00177ECD"/>
    <w:rsid w:val="0018005D"/>
    <w:rsid w:val="00180061"/>
    <w:rsid w:val="00180227"/>
    <w:rsid w:val="001802EB"/>
    <w:rsid w:val="001802FF"/>
    <w:rsid w:val="00180381"/>
    <w:rsid w:val="001803D1"/>
    <w:rsid w:val="00180527"/>
    <w:rsid w:val="0018057B"/>
    <w:rsid w:val="0018059B"/>
    <w:rsid w:val="001806D9"/>
    <w:rsid w:val="00180765"/>
    <w:rsid w:val="001807D5"/>
    <w:rsid w:val="001807E8"/>
    <w:rsid w:val="00180906"/>
    <w:rsid w:val="00180995"/>
    <w:rsid w:val="00180D16"/>
    <w:rsid w:val="001810FF"/>
    <w:rsid w:val="0018117C"/>
    <w:rsid w:val="00181473"/>
    <w:rsid w:val="001815F9"/>
    <w:rsid w:val="001816A2"/>
    <w:rsid w:val="00181927"/>
    <w:rsid w:val="001819E7"/>
    <w:rsid w:val="00181B20"/>
    <w:rsid w:val="00181B25"/>
    <w:rsid w:val="00181B85"/>
    <w:rsid w:val="001820DD"/>
    <w:rsid w:val="00182148"/>
    <w:rsid w:val="0018219B"/>
    <w:rsid w:val="0018223B"/>
    <w:rsid w:val="00182315"/>
    <w:rsid w:val="00182386"/>
    <w:rsid w:val="001823BB"/>
    <w:rsid w:val="001823CD"/>
    <w:rsid w:val="00182435"/>
    <w:rsid w:val="0018263B"/>
    <w:rsid w:val="001826D2"/>
    <w:rsid w:val="00182C23"/>
    <w:rsid w:val="00182C61"/>
    <w:rsid w:val="00182D2E"/>
    <w:rsid w:val="00182EC2"/>
    <w:rsid w:val="00182F22"/>
    <w:rsid w:val="00182FB4"/>
    <w:rsid w:val="00182FBC"/>
    <w:rsid w:val="00182FE9"/>
    <w:rsid w:val="001830C2"/>
    <w:rsid w:val="00183185"/>
    <w:rsid w:val="0018319B"/>
    <w:rsid w:val="001831E4"/>
    <w:rsid w:val="00183234"/>
    <w:rsid w:val="00183463"/>
    <w:rsid w:val="0018385C"/>
    <w:rsid w:val="001838FE"/>
    <w:rsid w:val="00183B7E"/>
    <w:rsid w:val="00183BAA"/>
    <w:rsid w:val="00183BB8"/>
    <w:rsid w:val="00183DEC"/>
    <w:rsid w:val="00183E04"/>
    <w:rsid w:val="001840B4"/>
    <w:rsid w:val="001844B7"/>
    <w:rsid w:val="001845BB"/>
    <w:rsid w:val="00184621"/>
    <w:rsid w:val="001848A9"/>
    <w:rsid w:val="00184C19"/>
    <w:rsid w:val="00184D86"/>
    <w:rsid w:val="00184ED7"/>
    <w:rsid w:val="00184F91"/>
    <w:rsid w:val="00184FFA"/>
    <w:rsid w:val="00185185"/>
    <w:rsid w:val="001852D9"/>
    <w:rsid w:val="0018536A"/>
    <w:rsid w:val="001853DA"/>
    <w:rsid w:val="00185625"/>
    <w:rsid w:val="00185765"/>
    <w:rsid w:val="0018598D"/>
    <w:rsid w:val="00185B7D"/>
    <w:rsid w:val="00185C39"/>
    <w:rsid w:val="00185CA3"/>
    <w:rsid w:val="00185DAC"/>
    <w:rsid w:val="00185EB6"/>
    <w:rsid w:val="0018627B"/>
    <w:rsid w:val="001863F7"/>
    <w:rsid w:val="00186463"/>
    <w:rsid w:val="0018658C"/>
    <w:rsid w:val="001868BF"/>
    <w:rsid w:val="00186C6B"/>
    <w:rsid w:val="00186D30"/>
    <w:rsid w:val="00186D41"/>
    <w:rsid w:val="00187030"/>
    <w:rsid w:val="00187247"/>
    <w:rsid w:val="0018732D"/>
    <w:rsid w:val="00187412"/>
    <w:rsid w:val="00187663"/>
    <w:rsid w:val="00187815"/>
    <w:rsid w:val="00187C63"/>
    <w:rsid w:val="00187D29"/>
    <w:rsid w:val="00187D7C"/>
    <w:rsid w:val="00187FF3"/>
    <w:rsid w:val="001901AC"/>
    <w:rsid w:val="0019024E"/>
    <w:rsid w:val="001902C2"/>
    <w:rsid w:val="001903AC"/>
    <w:rsid w:val="001906BA"/>
    <w:rsid w:val="001907AE"/>
    <w:rsid w:val="00190812"/>
    <w:rsid w:val="00190857"/>
    <w:rsid w:val="00190D28"/>
    <w:rsid w:val="00190E43"/>
    <w:rsid w:val="00190F05"/>
    <w:rsid w:val="00190F64"/>
    <w:rsid w:val="00190FA2"/>
    <w:rsid w:val="00190FEF"/>
    <w:rsid w:val="0019112F"/>
    <w:rsid w:val="001913C8"/>
    <w:rsid w:val="00191467"/>
    <w:rsid w:val="001919C6"/>
    <w:rsid w:val="00191B1D"/>
    <w:rsid w:val="00191B2C"/>
    <w:rsid w:val="00191CF6"/>
    <w:rsid w:val="00191D33"/>
    <w:rsid w:val="00191FBA"/>
    <w:rsid w:val="0019200E"/>
    <w:rsid w:val="00192030"/>
    <w:rsid w:val="0019205D"/>
    <w:rsid w:val="0019212F"/>
    <w:rsid w:val="001923AC"/>
    <w:rsid w:val="00192508"/>
    <w:rsid w:val="0019252F"/>
    <w:rsid w:val="001927C4"/>
    <w:rsid w:val="001928E9"/>
    <w:rsid w:val="00192962"/>
    <w:rsid w:val="00192985"/>
    <w:rsid w:val="00192AA3"/>
    <w:rsid w:val="00192B25"/>
    <w:rsid w:val="00192D8E"/>
    <w:rsid w:val="00192E59"/>
    <w:rsid w:val="00192E82"/>
    <w:rsid w:val="00192EB7"/>
    <w:rsid w:val="001930A5"/>
    <w:rsid w:val="0019312E"/>
    <w:rsid w:val="0019315B"/>
    <w:rsid w:val="0019328E"/>
    <w:rsid w:val="0019340F"/>
    <w:rsid w:val="00193745"/>
    <w:rsid w:val="0019374C"/>
    <w:rsid w:val="00193895"/>
    <w:rsid w:val="001938E9"/>
    <w:rsid w:val="001939BE"/>
    <w:rsid w:val="00193C8D"/>
    <w:rsid w:val="00193D25"/>
    <w:rsid w:val="00193E23"/>
    <w:rsid w:val="0019400B"/>
    <w:rsid w:val="00194027"/>
    <w:rsid w:val="00194081"/>
    <w:rsid w:val="00194094"/>
    <w:rsid w:val="00194660"/>
    <w:rsid w:val="0019478B"/>
    <w:rsid w:val="001948C9"/>
    <w:rsid w:val="00194A7B"/>
    <w:rsid w:val="00194AC0"/>
    <w:rsid w:val="00194B31"/>
    <w:rsid w:val="00194E12"/>
    <w:rsid w:val="00194E1E"/>
    <w:rsid w:val="00195026"/>
    <w:rsid w:val="0019505D"/>
    <w:rsid w:val="0019524D"/>
    <w:rsid w:val="001952F9"/>
    <w:rsid w:val="001955E2"/>
    <w:rsid w:val="001956D2"/>
    <w:rsid w:val="00195769"/>
    <w:rsid w:val="001957E9"/>
    <w:rsid w:val="0019592E"/>
    <w:rsid w:val="001959E8"/>
    <w:rsid w:val="00195C26"/>
    <w:rsid w:val="00195DCE"/>
    <w:rsid w:val="00195DE2"/>
    <w:rsid w:val="00195F1F"/>
    <w:rsid w:val="00195F6F"/>
    <w:rsid w:val="00195FAA"/>
    <w:rsid w:val="00196094"/>
    <w:rsid w:val="00196172"/>
    <w:rsid w:val="0019623E"/>
    <w:rsid w:val="00196274"/>
    <w:rsid w:val="001965D9"/>
    <w:rsid w:val="00196748"/>
    <w:rsid w:val="0019675D"/>
    <w:rsid w:val="001969E2"/>
    <w:rsid w:val="00196A19"/>
    <w:rsid w:val="00196B65"/>
    <w:rsid w:val="00196CFF"/>
    <w:rsid w:val="00197159"/>
    <w:rsid w:val="0019739B"/>
    <w:rsid w:val="001973D2"/>
    <w:rsid w:val="0019759C"/>
    <w:rsid w:val="001975E1"/>
    <w:rsid w:val="001976A4"/>
    <w:rsid w:val="001978A4"/>
    <w:rsid w:val="00197F1E"/>
    <w:rsid w:val="00197F27"/>
    <w:rsid w:val="001A0333"/>
    <w:rsid w:val="001A0346"/>
    <w:rsid w:val="001A0565"/>
    <w:rsid w:val="001A09C1"/>
    <w:rsid w:val="001A0B9D"/>
    <w:rsid w:val="001A0BE3"/>
    <w:rsid w:val="001A0BF5"/>
    <w:rsid w:val="001A0E0E"/>
    <w:rsid w:val="001A0E46"/>
    <w:rsid w:val="001A0F88"/>
    <w:rsid w:val="001A1209"/>
    <w:rsid w:val="001A13C4"/>
    <w:rsid w:val="001A16FE"/>
    <w:rsid w:val="001A18FC"/>
    <w:rsid w:val="001A1ACB"/>
    <w:rsid w:val="001A1AF4"/>
    <w:rsid w:val="001A1C09"/>
    <w:rsid w:val="001A1C24"/>
    <w:rsid w:val="001A1C93"/>
    <w:rsid w:val="001A1F54"/>
    <w:rsid w:val="001A1FD8"/>
    <w:rsid w:val="001A2103"/>
    <w:rsid w:val="001A22C7"/>
    <w:rsid w:val="001A2418"/>
    <w:rsid w:val="001A2580"/>
    <w:rsid w:val="001A262F"/>
    <w:rsid w:val="001A285B"/>
    <w:rsid w:val="001A29E1"/>
    <w:rsid w:val="001A2BF1"/>
    <w:rsid w:val="001A2C21"/>
    <w:rsid w:val="001A2EC5"/>
    <w:rsid w:val="001A2F5A"/>
    <w:rsid w:val="001A3082"/>
    <w:rsid w:val="001A3236"/>
    <w:rsid w:val="001A3295"/>
    <w:rsid w:val="001A3324"/>
    <w:rsid w:val="001A339C"/>
    <w:rsid w:val="001A35C9"/>
    <w:rsid w:val="001A37D4"/>
    <w:rsid w:val="001A3894"/>
    <w:rsid w:val="001A3AF0"/>
    <w:rsid w:val="001A3DBA"/>
    <w:rsid w:val="001A3DE1"/>
    <w:rsid w:val="001A3DFB"/>
    <w:rsid w:val="001A4133"/>
    <w:rsid w:val="001A4296"/>
    <w:rsid w:val="001A4443"/>
    <w:rsid w:val="001A44C0"/>
    <w:rsid w:val="001A4726"/>
    <w:rsid w:val="001A474A"/>
    <w:rsid w:val="001A47B1"/>
    <w:rsid w:val="001A49DD"/>
    <w:rsid w:val="001A4AA7"/>
    <w:rsid w:val="001A4BC2"/>
    <w:rsid w:val="001A4C24"/>
    <w:rsid w:val="001A4C4F"/>
    <w:rsid w:val="001A4EA4"/>
    <w:rsid w:val="001A5268"/>
    <w:rsid w:val="001A5420"/>
    <w:rsid w:val="001A56A6"/>
    <w:rsid w:val="001A5884"/>
    <w:rsid w:val="001A5885"/>
    <w:rsid w:val="001A58CD"/>
    <w:rsid w:val="001A58CF"/>
    <w:rsid w:val="001A5CEB"/>
    <w:rsid w:val="001A5D67"/>
    <w:rsid w:val="001A5DC1"/>
    <w:rsid w:val="001A5EE4"/>
    <w:rsid w:val="001A5FB0"/>
    <w:rsid w:val="001A6078"/>
    <w:rsid w:val="001A6417"/>
    <w:rsid w:val="001A66E9"/>
    <w:rsid w:val="001A68C5"/>
    <w:rsid w:val="001A6A97"/>
    <w:rsid w:val="001A6AF0"/>
    <w:rsid w:val="001A6B21"/>
    <w:rsid w:val="001A6BDE"/>
    <w:rsid w:val="001A6D3D"/>
    <w:rsid w:val="001A6FF2"/>
    <w:rsid w:val="001A7040"/>
    <w:rsid w:val="001A7061"/>
    <w:rsid w:val="001A71EE"/>
    <w:rsid w:val="001A73EC"/>
    <w:rsid w:val="001A74B8"/>
    <w:rsid w:val="001A74D9"/>
    <w:rsid w:val="001A756F"/>
    <w:rsid w:val="001A7745"/>
    <w:rsid w:val="001A7802"/>
    <w:rsid w:val="001A7A81"/>
    <w:rsid w:val="001A7CA7"/>
    <w:rsid w:val="001A7DAF"/>
    <w:rsid w:val="001A7DE0"/>
    <w:rsid w:val="001A7DE7"/>
    <w:rsid w:val="001B0017"/>
    <w:rsid w:val="001B001D"/>
    <w:rsid w:val="001B018E"/>
    <w:rsid w:val="001B01F7"/>
    <w:rsid w:val="001B03A8"/>
    <w:rsid w:val="001B03B7"/>
    <w:rsid w:val="001B03DC"/>
    <w:rsid w:val="001B0525"/>
    <w:rsid w:val="001B0560"/>
    <w:rsid w:val="001B0623"/>
    <w:rsid w:val="001B072E"/>
    <w:rsid w:val="001B0747"/>
    <w:rsid w:val="001B0E7D"/>
    <w:rsid w:val="001B0F0F"/>
    <w:rsid w:val="001B0F1D"/>
    <w:rsid w:val="001B106D"/>
    <w:rsid w:val="001B10C6"/>
    <w:rsid w:val="001B14FF"/>
    <w:rsid w:val="001B16FE"/>
    <w:rsid w:val="001B194E"/>
    <w:rsid w:val="001B19BA"/>
    <w:rsid w:val="001B19D9"/>
    <w:rsid w:val="001B1BAB"/>
    <w:rsid w:val="001B1BC4"/>
    <w:rsid w:val="001B1BC6"/>
    <w:rsid w:val="001B1C6F"/>
    <w:rsid w:val="001B1E8D"/>
    <w:rsid w:val="001B1F91"/>
    <w:rsid w:val="001B1FE5"/>
    <w:rsid w:val="001B22B3"/>
    <w:rsid w:val="001B247E"/>
    <w:rsid w:val="001B251D"/>
    <w:rsid w:val="001B2539"/>
    <w:rsid w:val="001B260A"/>
    <w:rsid w:val="001B282E"/>
    <w:rsid w:val="001B2864"/>
    <w:rsid w:val="001B2A20"/>
    <w:rsid w:val="001B2B8F"/>
    <w:rsid w:val="001B2C12"/>
    <w:rsid w:val="001B2CCC"/>
    <w:rsid w:val="001B2D18"/>
    <w:rsid w:val="001B2DB6"/>
    <w:rsid w:val="001B2EFA"/>
    <w:rsid w:val="001B306C"/>
    <w:rsid w:val="001B30F5"/>
    <w:rsid w:val="001B31DD"/>
    <w:rsid w:val="001B31F0"/>
    <w:rsid w:val="001B3225"/>
    <w:rsid w:val="001B3549"/>
    <w:rsid w:val="001B3A82"/>
    <w:rsid w:val="001B4069"/>
    <w:rsid w:val="001B40EC"/>
    <w:rsid w:val="001B41F1"/>
    <w:rsid w:val="001B4271"/>
    <w:rsid w:val="001B4283"/>
    <w:rsid w:val="001B42A2"/>
    <w:rsid w:val="001B42F7"/>
    <w:rsid w:val="001B4515"/>
    <w:rsid w:val="001B4635"/>
    <w:rsid w:val="001B47EA"/>
    <w:rsid w:val="001B4807"/>
    <w:rsid w:val="001B49A5"/>
    <w:rsid w:val="001B4E5E"/>
    <w:rsid w:val="001B5027"/>
    <w:rsid w:val="001B529A"/>
    <w:rsid w:val="001B54CA"/>
    <w:rsid w:val="001B562E"/>
    <w:rsid w:val="001B5773"/>
    <w:rsid w:val="001B57BA"/>
    <w:rsid w:val="001B59C9"/>
    <w:rsid w:val="001B5A0A"/>
    <w:rsid w:val="001B5AD2"/>
    <w:rsid w:val="001B5B9F"/>
    <w:rsid w:val="001B5D76"/>
    <w:rsid w:val="001B5DBC"/>
    <w:rsid w:val="001B5E13"/>
    <w:rsid w:val="001B6048"/>
    <w:rsid w:val="001B606C"/>
    <w:rsid w:val="001B617A"/>
    <w:rsid w:val="001B6188"/>
    <w:rsid w:val="001B619E"/>
    <w:rsid w:val="001B62A1"/>
    <w:rsid w:val="001B62A7"/>
    <w:rsid w:val="001B6510"/>
    <w:rsid w:val="001B66DE"/>
    <w:rsid w:val="001B680C"/>
    <w:rsid w:val="001B6870"/>
    <w:rsid w:val="001B6BB0"/>
    <w:rsid w:val="001B6C64"/>
    <w:rsid w:val="001B70F1"/>
    <w:rsid w:val="001B7119"/>
    <w:rsid w:val="001B734F"/>
    <w:rsid w:val="001B7589"/>
    <w:rsid w:val="001B75A0"/>
    <w:rsid w:val="001B7608"/>
    <w:rsid w:val="001B760E"/>
    <w:rsid w:val="001B789E"/>
    <w:rsid w:val="001B78F8"/>
    <w:rsid w:val="001B7968"/>
    <w:rsid w:val="001B7A9A"/>
    <w:rsid w:val="001B7BA1"/>
    <w:rsid w:val="001B7CC5"/>
    <w:rsid w:val="001B7DDB"/>
    <w:rsid w:val="001C01C1"/>
    <w:rsid w:val="001C03D7"/>
    <w:rsid w:val="001C052F"/>
    <w:rsid w:val="001C05F3"/>
    <w:rsid w:val="001C0636"/>
    <w:rsid w:val="001C0716"/>
    <w:rsid w:val="001C075B"/>
    <w:rsid w:val="001C0772"/>
    <w:rsid w:val="001C088F"/>
    <w:rsid w:val="001C08FF"/>
    <w:rsid w:val="001C0A78"/>
    <w:rsid w:val="001C0AC7"/>
    <w:rsid w:val="001C0D03"/>
    <w:rsid w:val="001C0E0C"/>
    <w:rsid w:val="001C1007"/>
    <w:rsid w:val="001C108E"/>
    <w:rsid w:val="001C10BD"/>
    <w:rsid w:val="001C11E4"/>
    <w:rsid w:val="001C13E1"/>
    <w:rsid w:val="001C1413"/>
    <w:rsid w:val="001C15DE"/>
    <w:rsid w:val="001C17A3"/>
    <w:rsid w:val="001C17B3"/>
    <w:rsid w:val="001C1923"/>
    <w:rsid w:val="001C198B"/>
    <w:rsid w:val="001C1D74"/>
    <w:rsid w:val="001C1E1C"/>
    <w:rsid w:val="001C20CB"/>
    <w:rsid w:val="001C21A5"/>
    <w:rsid w:val="001C22D8"/>
    <w:rsid w:val="001C2494"/>
    <w:rsid w:val="001C2496"/>
    <w:rsid w:val="001C24A1"/>
    <w:rsid w:val="001C26F5"/>
    <w:rsid w:val="001C2869"/>
    <w:rsid w:val="001C2A0C"/>
    <w:rsid w:val="001C2C04"/>
    <w:rsid w:val="001C2C54"/>
    <w:rsid w:val="001C2D9D"/>
    <w:rsid w:val="001C2E43"/>
    <w:rsid w:val="001C2E74"/>
    <w:rsid w:val="001C2EDB"/>
    <w:rsid w:val="001C313A"/>
    <w:rsid w:val="001C3364"/>
    <w:rsid w:val="001C395E"/>
    <w:rsid w:val="001C39AD"/>
    <w:rsid w:val="001C39C3"/>
    <w:rsid w:val="001C3B6A"/>
    <w:rsid w:val="001C3C09"/>
    <w:rsid w:val="001C3DB6"/>
    <w:rsid w:val="001C3FF1"/>
    <w:rsid w:val="001C40DF"/>
    <w:rsid w:val="001C41E3"/>
    <w:rsid w:val="001C449D"/>
    <w:rsid w:val="001C4575"/>
    <w:rsid w:val="001C4734"/>
    <w:rsid w:val="001C4A25"/>
    <w:rsid w:val="001C4AB0"/>
    <w:rsid w:val="001C4B7D"/>
    <w:rsid w:val="001C4BAF"/>
    <w:rsid w:val="001C4E6F"/>
    <w:rsid w:val="001C4F5A"/>
    <w:rsid w:val="001C53F4"/>
    <w:rsid w:val="001C5486"/>
    <w:rsid w:val="001C54D4"/>
    <w:rsid w:val="001C57F2"/>
    <w:rsid w:val="001C589C"/>
    <w:rsid w:val="001C5A4B"/>
    <w:rsid w:val="001C5E40"/>
    <w:rsid w:val="001C5FA0"/>
    <w:rsid w:val="001C5FB8"/>
    <w:rsid w:val="001C625F"/>
    <w:rsid w:val="001C62A7"/>
    <w:rsid w:val="001C62DB"/>
    <w:rsid w:val="001C6368"/>
    <w:rsid w:val="001C6490"/>
    <w:rsid w:val="001C653E"/>
    <w:rsid w:val="001C6547"/>
    <w:rsid w:val="001C664A"/>
    <w:rsid w:val="001C668A"/>
    <w:rsid w:val="001C6933"/>
    <w:rsid w:val="001C694F"/>
    <w:rsid w:val="001C6B24"/>
    <w:rsid w:val="001C6BDB"/>
    <w:rsid w:val="001C6CD1"/>
    <w:rsid w:val="001C6D6E"/>
    <w:rsid w:val="001C6E4D"/>
    <w:rsid w:val="001C6E76"/>
    <w:rsid w:val="001C6EC6"/>
    <w:rsid w:val="001C6F7B"/>
    <w:rsid w:val="001C7087"/>
    <w:rsid w:val="001C708A"/>
    <w:rsid w:val="001C7198"/>
    <w:rsid w:val="001C71EB"/>
    <w:rsid w:val="001C72E0"/>
    <w:rsid w:val="001C72E5"/>
    <w:rsid w:val="001C7541"/>
    <w:rsid w:val="001C774B"/>
    <w:rsid w:val="001C79B9"/>
    <w:rsid w:val="001C7B6F"/>
    <w:rsid w:val="001C7F2D"/>
    <w:rsid w:val="001D0083"/>
    <w:rsid w:val="001D011C"/>
    <w:rsid w:val="001D0132"/>
    <w:rsid w:val="001D04BD"/>
    <w:rsid w:val="001D0746"/>
    <w:rsid w:val="001D07BB"/>
    <w:rsid w:val="001D082A"/>
    <w:rsid w:val="001D092A"/>
    <w:rsid w:val="001D0955"/>
    <w:rsid w:val="001D096C"/>
    <w:rsid w:val="001D0CBC"/>
    <w:rsid w:val="001D0CE2"/>
    <w:rsid w:val="001D0FE9"/>
    <w:rsid w:val="001D14B0"/>
    <w:rsid w:val="001D154C"/>
    <w:rsid w:val="001D17D1"/>
    <w:rsid w:val="001D17D4"/>
    <w:rsid w:val="001D191B"/>
    <w:rsid w:val="001D19AB"/>
    <w:rsid w:val="001D19FC"/>
    <w:rsid w:val="001D1C0F"/>
    <w:rsid w:val="001D1CFB"/>
    <w:rsid w:val="001D1D7B"/>
    <w:rsid w:val="001D217C"/>
    <w:rsid w:val="001D21B4"/>
    <w:rsid w:val="001D22E9"/>
    <w:rsid w:val="001D22FA"/>
    <w:rsid w:val="001D2363"/>
    <w:rsid w:val="001D2415"/>
    <w:rsid w:val="001D253C"/>
    <w:rsid w:val="001D2567"/>
    <w:rsid w:val="001D25B7"/>
    <w:rsid w:val="001D2611"/>
    <w:rsid w:val="001D262D"/>
    <w:rsid w:val="001D26B3"/>
    <w:rsid w:val="001D26DC"/>
    <w:rsid w:val="001D270D"/>
    <w:rsid w:val="001D2B28"/>
    <w:rsid w:val="001D2BFB"/>
    <w:rsid w:val="001D2C09"/>
    <w:rsid w:val="001D2CC9"/>
    <w:rsid w:val="001D300A"/>
    <w:rsid w:val="001D303C"/>
    <w:rsid w:val="001D30C1"/>
    <w:rsid w:val="001D311F"/>
    <w:rsid w:val="001D32E8"/>
    <w:rsid w:val="001D33A1"/>
    <w:rsid w:val="001D33E4"/>
    <w:rsid w:val="001D3739"/>
    <w:rsid w:val="001D3C96"/>
    <w:rsid w:val="001D3DBF"/>
    <w:rsid w:val="001D3E0F"/>
    <w:rsid w:val="001D3EAE"/>
    <w:rsid w:val="001D3F02"/>
    <w:rsid w:val="001D3F10"/>
    <w:rsid w:val="001D41D3"/>
    <w:rsid w:val="001D4297"/>
    <w:rsid w:val="001D43D2"/>
    <w:rsid w:val="001D4431"/>
    <w:rsid w:val="001D46C3"/>
    <w:rsid w:val="001D474E"/>
    <w:rsid w:val="001D4785"/>
    <w:rsid w:val="001D4B30"/>
    <w:rsid w:val="001D4B4B"/>
    <w:rsid w:val="001D4CA6"/>
    <w:rsid w:val="001D4DD9"/>
    <w:rsid w:val="001D4E81"/>
    <w:rsid w:val="001D4E88"/>
    <w:rsid w:val="001D513F"/>
    <w:rsid w:val="001D54C6"/>
    <w:rsid w:val="001D55F6"/>
    <w:rsid w:val="001D5803"/>
    <w:rsid w:val="001D59E4"/>
    <w:rsid w:val="001D5AC4"/>
    <w:rsid w:val="001D5B69"/>
    <w:rsid w:val="001D5BF8"/>
    <w:rsid w:val="001D5D88"/>
    <w:rsid w:val="001D5F2A"/>
    <w:rsid w:val="001D606C"/>
    <w:rsid w:val="001D60D9"/>
    <w:rsid w:val="001D6221"/>
    <w:rsid w:val="001D6292"/>
    <w:rsid w:val="001D64C2"/>
    <w:rsid w:val="001D650A"/>
    <w:rsid w:val="001D6B53"/>
    <w:rsid w:val="001D6B7F"/>
    <w:rsid w:val="001D6BBB"/>
    <w:rsid w:val="001D6DE3"/>
    <w:rsid w:val="001D6E2E"/>
    <w:rsid w:val="001D6E9F"/>
    <w:rsid w:val="001D6EAC"/>
    <w:rsid w:val="001D710E"/>
    <w:rsid w:val="001D7116"/>
    <w:rsid w:val="001D7286"/>
    <w:rsid w:val="001D74AB"/>
    <w:rsid w:val="001D74C9"/>
    <w:rsid w:val="001D7572"/>
    <w:rsid w:val="001D7B31"/>
    <w:rsid w:val="001D7BE8"/>
    <w:rsid w:val="001D7D72"/>
    <w:rsid w:val="001D7E24"/>
    <w:rsid w:val="001D7E3E"/>
    <w:rsid w:val="001E02A4"/>
    <w:rsid w:val="001E031E"/>
    <w:rsid w:val="001E0360"/>
    <w:rsid w:val="001E059A"/>
    <w:rsid w:val="001E06CD"/>
    <w:rsid w:val="001E0808"/>
    <w:rsid w:val="001E0A7E"/>
    <w:rsid w:val="001E0ADD"/>
    <w:rsid w:val="001E0D6B"/>
    <w:rsid w:val="001E0E69"/>
    <w:rsid w:val="001E0FE4"/>
    <w:rsid w:val="001E100C"/>
    <w:rsid w:val="001E10F4"/>
    <w:rsid w:val="001E11C2"/>
    <w:rsid w:val="001E1267"/>
    <w:rsid w:val="001E1284"/>
    <w:rsid w:val="001E1391"/>
    <w:rsid w:val="001E1585"/>
    <w:rsid w:val="001E15ED"/>
    <w:rsid w:val="001E1605"/>
    <w:rsid w:val="001E17DD"/>
    <w:rsid w:val="001E184F"/>
    <w:rsid w:val="001E1D71"/>
    <w:rsid w:val="001E1FCD"/>
    <w:rsid w:val="001E21AB"/>
    <w:rsid w:val="001E2202"/>
    <w:rsid w:val="001E232F"/>
    <w:rsid w:val="001E241A"/>
    <w:rsid w:val="001E2512"/>
    <w:rsid w:val="001E2622"/>
    <w:rsid w:val="001E2633"/>
    <w:rsid w:val="001E27AD"/>
    <w:rsid w:val="001E2892"/>
    <w:rsid w:val="001E28C0"/>
    <w:rsid w:val="001E2947"/>
    <w:rsid w:val="001E2B78"/>
    <w:rsid w:val="001E3075"/>
    <w:rsid w:val="001E3121"/>
    <w:rsid w:val="001E32C9"/>
    <w:rsid w:val="001E32FE"/>
    <w:rsid w:val="001E33CD"/>
    <w:rsid w:val="001E3694"/>
    <w:rsid w:val="001E3697"/>
    <w:rsid w:val="001E38EB"/>
    <w:rsid w:val="001E3A32"/>
    <w:rsid w:val="001E3AA0"/>
    <w:rsid w:val="001E3AA4"/>
    <w:rsid w:val="001E3C36"/>
    <w:rsid w:val="001E3CF3"/>
    <w:rsid w:val="001E3DEC"/>
    <w:rsid w:val="001E3EEB"/>
    <w:rsid w:val="001E3F82"/>
    <w:rsid w:val="001E3FB7"/>
    <w:rsid w:val="001E400E"/>
    <w:rsid w:val="001E41A5"/>
    <w:rsid w:val="001E4253"/>
    <w:rsid w:val="001E45AA"/>
    <w:rsid w:val="001E470E"/>
    <w:rsid w:val="001E474A"/>
    <w:rsid w:val="001E47BF"/>
    <w:rsid w:val="001E483B"/>
    <w:rsid w:val="001E49AA"/>
    <w:rsid w:val="001E4AAA"/>
    <w:rsid w:val="001E4B34"/>
    <w:rsid w:val="001E4C23"/>
    <w:rsid w:val="001E4D21"/>
    <w:rsid w:val="001E50B8"/>
    <w:rsid w:val="001E512D"/>
    <w:rsid w:val="001E54C6"/>
    <w:rsid w:val="001E54F5"/>
    <w:rsid w:val="001E551C"/>
    <w:rsid w:val="001E5715"/>
    <w:rsid w:val="001E58EC"/>
    <w:rsid w:val="001E5966"/>
    <w:rsid w:val="001E5A2A"/>
    <w:rsid w:val="001E5A42"/>
    <w:rsid w:val="001E5B94"/>
    <w:rsid w:val="001E5C58"/>
    <w:rsid w:val="001E5F12"/>
    <w:rsid w:val="001E6014"/>
    <w:rsid w:val="001E6472"/>
    <w:rsid w:val="001E6587"/>
    <w:rsid w:val="001E6641"/>
    <w:rsid w:val="001E67B0"/>
    <w:rsid w:val="001E6852"/>
    <w:rsid w:val="001E6A65"/>
    <w:rsid w:val="001E6C3F"/>
    <w:rsid w:val="001E6CE6"/>
    <w:rsid w:val="001E70EB"/>
    <w:rsid w:val="001E72F0"/>
    <w:rsid w:val="001E7472"/>
    <w:rsid w:val="001E753E"/>
    <w:rsid w:val="001E7735"/>
    <w:rsid w:val="001E783F"/>
    <w:rsid w:val="001E79AA"/>
    <w:rsid w:val="001E7BD3"/>
    <w:rsid w:val="001E7CB7"/>
    <w:rsid w:val="001E7CD5"/>
    <w:rsid w:val="001E7DB4"/>
    <w:rsid w:val="001E7E0B"/>
    <w:rsid w:val="001E7E28"/>
    <w:rsid w:val="001E7F1D"/>
    <w:rsid w:val="001E7FBF"/>
    <w:rsid w:val="001F0029"/>
    <w:rsid w:val="001F005C"/>
    <w:rsid w:val="001F03FC"/>
    <w:rsid w:val="001F04EF"/>
    <w:rsid w:val="001F0568"/>
    <w:rsid w:val="001F058F"/>
    <w:rsid w:val="001F0604"/>
    <w:rsid w:val="001F060A"/>
    <w:rsid w:val="001F08C1"/>
    <w:rsid w:val="001F0907"/>
    <w:rsid w:val="001F0B7D"/>
    <w:rsid w:val="001F0B80"/>
    <w:rsid w:val="001F0DBA"/>
    <w:rsid w:val="001F0EF4"/>
    <w:rsid w:val="001F1019"/>
    <w:rsid w:val="001F1022"/>
    <w:rsid w:val="001F108A"/>
    <w:rsid w:val="001F1090"/>
    <w:rsid w:val="001F1126"/>
    <w:rsid w:val="001F1240"/>
    <w:rsid w:val="001F13F8"/>
    <w:rsid w:val="001F16CE"/>
    <w:rsid w:val="001F17FD"/>
    <w:rsid w:val="001F1830"/>
    <w:rsid w:val="001F1B08"/>
    <w:rsid w:val="001F1E8F"/>
    <w:rsid w:val="001F1F88"/>
    <w:rsid w:val="001F1FFA"/>
    <w:rsid w:val="001F214E"/>
    <w:rsid w:val="001F2165"/>
    <w:rsid w:val="001F217A"/>
    <w:rsid w:val="001F2330"/>
    <w:rsid w:val="001F24FD"/>
    <w:rsid w:val="001F2560"/>
    <w:rsid w:val="001F2667"/>
    <w:rsid w:val="001F267B"/>
    <w:rsid w:val="001F2B13"/>
    <w:rsid w:val="001F2B2C"/>
    <w:rsid w:val="001F2C8D"/>
    <w:rsid w:val="001F2CB6"/>
    <w:rsid w:val="001F2DAA"/>
    <w:rsid w:val="001F2F13"/>
    <w:rsid w:val="001F2F7F"/>
    <w:rsid w:val="001F2F94"/>
    <w:rsid w:val="001F3179"/>
    <w:rsid w:val="001F31EF"/>
    <w:rsid w:val="001F3256"/>
    <w:rsid w:val="001F3491"/>
    <w:rsid w:val="001F3631"/>
    <w:rsid w:val="001F3A07"/>
    <w:rsid w:val="001F3A0B"/>
    <w:rsid w:val="001F3BF7"/>
    <w:rsid w:val="001F3FEF"/>
    <w:rsid w:val="001F4057"/>
    <w:rsid w:val="001F42BC"/>
    <w:rsid w:val="001F4329"/>
    <w:rsid w:val="001F433A"/>
    <w:rsid w:val="001F4676"/>
    <w:rsid w:val="001F470D"/>
    <w:rsid w:val="001F4830"/>
    <w:rsid w:val="001F49DE"/>
    <w:rsid w:val="001F4BB2"/>
    <w:rsid w:val="001F4C58"/>
    <w:rsid w:val="001F4DF3"/>
    <w:rsid w:val="001F4E8F"/>
    <w:rsid w:val="001F5013"/>
    <w:rsid w:val="001F51EA"/>
    <w:rsid w:val="001F537F"/>
    <w:rsid w:val="001F5394"/>
    <w:rsid w:val="001F55D2"/>
    <w:rsid w:val="001F579F"/>
    <w:rsid w:val="001F57B6"/>
    <w:rsid w:val="001F58CB"/>
    <w:rsid w:val="001F59E5"/>
    <w:rsid w:val="001F5CBC"/>
    <w:rsid w:val="001F5CC2"/>
    <w:rsid w:val="001F5D40"/>
    <w:rsid w:val="001F5DC2"/>
    <w:rsid w:val="001F61B3"/>
    <w:rsid w:val="001F6695"/>
    <w:rsid w:val="001F6697"/>
    <w:rsid w:val="001F69A1"/>
    <w:rsid w:val="001F69F6"/>
    <w:rsid w:val="001F6A8E"/>
    <w:rsid w:val="001F6C43"/>
    <w:rsid w:val="001F6C57"/>
    <w:rsid w:val="001F6C81"/>
    <w:rsid w:val="001F6CB5"/>
    <w:rsid w:val="001F6D24"/>
    <w:rsid w:val="001F7242"/>
    <w:rsid w:val="001F7249"/>
    <w:rsid w:val="001F758D"/>
    <w:rsid w:val="001F78EB"/>
    <w:rsid w:val="001F7A81"/>
    <w:rsid w:val="001F7A91"/>
    <w:rsid w:val="001F7DA3"/>
    <w:rsid w:val="001F7F5C"/>
    <w:rsid w:val="00200001"/>
    <w:rsid w:val="00200050"/>
    <w:rsid w:val="0020005F"/>
    <w:rsid w:val="00200068"/>
    <w:rsid w:val="002001B6"/>
    <w:rsid w:val="002003C3"/>
    <w:rsid w:val="002005A6"/>
    <w:rsid w:val="002005B2"/>
    <w:rsid w:val="002006E6"/>
    <w:rsid w:val="0020094D"/>
    <w:rsid w:val="002009FA"/>
    <w:rsid w:val="00200BB2"/>
    <w:rsid w:val="00200D90"/>
    <w:rsid w:val="00200E7D"/>
    <w:rsid w:val="002010DA"/>
    <w:rsid w:val="0020112E"/>
    <w:rsid w:val="002013E2"/>
    <w:rsid w:val="00201752"/>
    <w:rsid w:val="00201916"/>
    <w:rsid w:val="00201ADA"/>
    <w:rsid w:val="00201B39"/>
    <w:rsid w:val="00201D99"/>
    <w:rsid w:val="00201DF0"/>
    <w:rsid w:val="00201E85"/>
    <w:rsid w:val="00201ED5"/>
    <w:rsid w:val="00201F54"/>
    <w:rsid w:val="00201FD3"/>
    <w:rsid w:val="00202007"/>
    <w:rsid w:val="002020A9"/>
    <w:rsid w:val="002021C0"/>
    <w:rsid w:val="00202282"/>
    <w:rsid w:val="00202370"/>
    <w:rsid w:val="00202480"/>
    <w:rsid w:val="002024D2"/>
    <w:rsid w:val="002024F8"/>
    <w:rsid w:val="002024FF"/>
    <w:rsid w:val="00202707"/>
    <w:rsid w:val="00202758"/>
    <w:rsid w:val="00202886"/>
    <w:rsid w:val="00202DDB"/>
    <w:rsid w:val="00202F76"/>
    <w:rsid w:val="00202FB5"/>
    <w:rsid w:val="00203007"/>
    <w:rsid w:val="002033CF"/>
    <w:rsid w:val="00203438"/>
    <w:rsid w:val="002034B6"/>
    <w:rsid w:val="002038AB"/>
    <w:rsid w:val="0020394B"/>
    <w:rsid w:val="00203AD4"/>
    <w:rsid w:val="00203C2B"/>
    <w:rsid w:val="00203C58"/>
    <w:rsid w:val="00203C65"/>
    <w:rsid w:val="00203CBD"/>
    <w:rsid w:val="00203E0B"/>
    <w:rsid w:val="00203E0E"/>
    <w:rsid w:val="00204232"/>
    <w:rsid w:val="00204266"/>
    <w:rsid w:val="002042F8"/>
    <w:rsid w:val="0020446D"/>
    <w:rsid w:val="002045A7"/>
    <w:rsid w:val="002045B7"/>
    <w:rsid w:val="0020469A"/>
    <w:rsid w:val="00204711"/>
    <w:rsid w:val="00204735"/>
    <w:rsid w:val="00204766"/>
    <w:rsid w:val="0020479C"/>
    <w:rsid w:val="00204839"/>
    <w:rsid w:val="0020494D"/>
    <w:rsid w:val="00204A48"/>
    <w:rsid w:val="00204AB7"/>
    <w:rsid w:val="00204AE9"/>
    <w:rsid w:val="00204B48"/>
    <w:rsid w:val="00204E11"/>
    <w:rsid w:val="00205113"/>
    <w:rsid w:val="00205322"/>
    <w:rsid w:val="0020533D"/>
    <w:rsid w:val="00205507"/>
    <w:rsid w:val="0020559A"/>
    <w:rsid w:val="002055A7"/>
    <w:rsid w:val="0020562D"/>
    <w:rsid w:val="00205694"/>
    <w:rsid w:val="0020573D"/>
    <w:rsid w:val="002057A8"/>
    <w:rsid w:val="00205867"/>
    <w:rsid w:val="002058B2"/>
    <w:rsid w:val="00205A8E"/>
    <w:rsid w:val="00205B5E"/>
    <w:rsid w:val="00205CD7"/>
    <w:rsid w:val="00205CE7"/>
    <w:rsid w:val="00205ECE"/>
    <w:rsid w:val="00205F73"/>
    <w:rsid w:val="00205F7E"/>
    <w:rsid w:val="00206126"/>
    <w:rsid w:val="002063D2"/>
    <w:rsid w:val="0020654F"/>
    <w:rsid w:val="00206562"/>
    <w:rsid w:val="00206643"/>
    <w:rsid w:val="00206720"/>
    <w:rsid w:val="002069A4"/>
    <w:rsid w:val="00206AB7"/>
    <w:rsid w:val="00206AC8"/>
    <w:rsid w:val="00206EDF"/>
    <w:rsid w:val="00206F14"/>
    <w:rsid w:val="00206F8C"/>
    <w:rsid w:val="002072E0"/>
    <w:rsid w:val="002073C4"/>
    <w:rsid w:val="0020741C"/>
    <w:rsid w:val="002074A3"/>
    <w:rsid w:val="002077E1"/>
    <w:rsid w:val="00207865"/>
    <w:rsid w:val="002078BB"/>
    <w:rsid w:val="002078C5"/>
    <w:rsid w:val="00207962"/>
    <w:rsid w:val="002079BF"/>
    <w:rsid w:val="00207CAF"/>
    <w:rsid w:val="00207F67"/>
    <w:rsid w:val="0021008F"/>
    <w:rsid w:val="002100C7"/>
    <w:rsid w:val="0021024C"/>
    <w:rsid w:val="00210463"/>
    <w:rsid w:val="00210474"/>
    <w:rsid w:val="00210567"/>
    <w:rsid w:val="0021065B"/>
    <w:rsid w:val="0021070F"/>
    <w:rsid w:val="0021084F"/>
    <w:rsid w:val="0021091A"/>
    <w:rsid w:val="00210979"/>
    <w:rsid w:val="00210B02"/>
    <w:rsid w:val="00210B49"/>
    <w:rsid w:val="00210C81"/>
    <w:rsid w:val="00210D12"/>
    <w:rsid w:val="00210DA1"/>
    <w:rsid w:val="00210DB8"/>
    <w:rsid w:val="002111D9"/>
    <w:rsid w:val="002112A1"/>
    <w:rsid w:val="00211489"/>
    <w:rsid w:val="002116FB"/>
    <w:rsid w:val="00211AF9"/>
    <w:rsid w:val="00211D13"/>
    <w:rsid w:val="00211EB3"/>
    <w:rsid w:val="002120C5"/>
    <w:rsid w:val="00212383"/>
    <w:rsid w:val="002123C8"/>
    <w:rsid w:val="002123DC"/>
    <w:rsid w:val="002123EE"/>
    <w:rsid w:val="002124E5"/>
    <w:rsid w:val="00212579"/>
    <w:rsid w:val="00212586"/>
    <w:rsid w:val="00212869"/>
    <w:rsid w:val="002128F3"/>
    <w:rsid w:val="00212AEB"/>
    <w:rsid w:val="00212BB2"/>
    <w:rsid w:val="00212CBE"/>
    <w:rsid w:val="00212CF2"/>
    <w:rsid w:val="00212F3E"/>
    <w:rsid w:val="00212F67"/>
    <w:rsid w:val="0021302D"/>
    <w:rsid w:val="002130BC"/>
    <w:rsid w:val="00213103"/>
    <w:rsid w:val="00213528"/>
    <w:rsid w:val="00213574"/>
    <w:rsid w:val="00213583"/>
    <w:rsid w:val="0021359F"/>
    <w:rsid w:val="00213B6D"/>
    <w:rsid w:val="00213BD8"/>
    <w:rsid w:val="00213D60"/>
    <w:rsid w:val="00213DA1"/>
    <w:rsid w:val="00213DD9"/>
    <w:rsid w:val="00213FE5"/>
    <w:rsid w:val="00214327"/>
    <w:rsid w:val="0021436A"/>
    <w:rsid w:val="00214475"/>
    <w:rsid w:val="00214725"/>
    <w:rsid w:val="0021472F"/>
    <w:rsid w:val="002147B8"/>
    <w:rsid w:val="002147C3"/>
    <w:rsid w:val="002148F7"/>
    <w:rsid w:val="0021498E"/>
    <w:rsid w:val="00214C31"/>
    <w:rsid w:val="00214D4B"/>
    <w:rsid w:val="00214E95"/>
    <w:rsid w:val="00214F5F"/>
    <w:rsid w:val="00215000"/>
    <w:rsid w:val="00215023"/>
    <w:rsid w:val="00215068"/>
    <w:rsid w:val="002150CC"/>
    <w:rsid w:val="002151F3"/>
    <w:rsid w:val="002152B6"/>
    <w:rsid w:val="00215336"/>
    <w:rsid w:val="00215417"/>
    <w:rsid w:val="002154C3"/>
    <w:rsid w:val="002154EA"/>
    <w:rsid w:val="002155DD"/>
    <w:rsid w:val="0021566C"/>
    <w:rsid w:val="002159B0"/>
    <w:rsid w:val="002159EC"/>
    <w:rsid w:val="00215E06"/>
    <w:rsid w:val="00215E50"/>
    <w:rsid w:val="00215EC3"/>
    <w:rsid w:val="00215EE8"/>
    <w:rsid w:val="0021614D"/>
    <w:rsid w:val="00216343"/>
    <w:rsid w:val="002164E8"/>
    <w:rsid w:val="00216514"/>
    <w:rsid w:val="002165BA"/>
    <w:rsid w:val="0021668F"/>
    <w:rsid w:val="002167E0"/>
    <w:rsid w:val="00216946"/>
    <w:rsid w:val="002169FB"/>
    <w:rsid w:val="00216A1F"/>
    <w:rsid w:val="00216A81"/>
    <w:rsid w:val="00216CB8"/>
    <w:rsid w:val="00216CF9"/>
    <w:rsid w:val="00216DD7"/>
    <w:rsid w:val="00216DF9"/>
    <w:rsid w:val="00216F31"/>
    <w:rsid w:val="00217043"/>
    <w:rsid w:val="00217375"/>
    <w:rsid w:val="002174ED"/>
    <w:rsid w:val="002174F5"/>
    <w:rsid w:val="00217663"/>
    <w:rsid w:val="00217728"/>
    <w:rsid w:val="002177EF"/>
    <w:rsid w:val="002177FD"/>
    <w:rsid w:val="00217912"/>
    <w:rsid w:val="00217976"/>
    <w:rsid w:val="002179BF"/>
    <w:rsid w:val="00217D47"/>
    <w:rsid w:val="00217DC7"/>
    <w:rsid w:val="00220135"/>
    <w:rsid w:val="00220198"/>
    <w:rsid w:val="002204C6"/>
    <w:rsid w:val="0022053A"/>
    <w:rsid w:val="002205C3"/>
    <w:rsid w:val="00220844"/>
    <w:rsid w:val="00220914"/>
    <w:rsid w:val="00220A89"/>
    <w:rsid w:val="00220A9D"/>
    <w:rsid w:val="00220BB1"/>
    <w:rsid w:val="00220E37"/>
    <w:rsid w:val="00220F60"/>
    <w:rsid w:val="00221200"/>
    <w:rsid w:val="00221253"/>
    <w:rsid w:val="002212DA"/>
    <w:rsid w:val="00221324"/>
    <w:rsid w:val="0022132D"/>
    <w:rsid w:val="00221365"/>
    <w:rsid w:val="0022144F"/>
    <w:rsid w:val="00221479"/>
    <w:rsid w:val="002215DD"/>
    <w:rsid w:val="002216B7"/>
    <w:rsid w:val="00221751"/>
    <w:rsid w:val="0022180F"/>
    <w:rsid w:val="002218BA"/>
    <w:rsid w:val="002218E5"/>
    <w:rsid w:val="002218F1"/>
    <w:rsid w:val="0022192E"/>
    <w:rsid w:val="00221B95"/>
    <w:rsid w:val="00221C0E"/>
    <w:rsid w:val="00221EF0"/>
    <w:rsid w:val="00222101"/>
    <w:rsid w:val="002223BB"/>
    <w:rsid w:val="002223EB"/>
    <w:rsid w:val="0022241A"/>
    <w:rsid w:val="002224A0"/>
    <w:rsid w:val="00222590"/>
    <w:rsid w:val="002225B2"/>
    <w:rsid w:val="002227D7"/>
    <w:rsid w:val="00222868"/>
    <w:rsid w:val="00222951"/>
    <w:rsid w:val="00222980"/>
    <w:rsid w:val="002229A6"/>
    <w:rsid w:val="00222A45"/>
    <w:rsid w:val="00222B46"/>
    <w:rsid w:val="00222C43"/>
    <w:rsid w:val="00222E10"/>
    <w:rsid w:val="00222E8C"/>
    <w:rsid w:val="00222EC7"/>
    <w:rsid w:val="00222ECD"/>
    <w:rsid w:val="00222ED4"/>
    <w:rsid w:val="00223040"/>
    <w:rsid w:val="0022306F"/>
    <w:rsid w:val="002230E4"/>
    <w:rsid w:val="002231CD"/>
    <w:rsid w:val="0022332F"/>
    <w:rsid w:val="0022342C"/>
    <w:rsid w:val="002235CC"/>
    <w:rsid w:val="002237D3"/>
    <w:rsid w:val="00223928"/>
    <w:rsid w:val="00223A87"/>
    <w:rsid w:val="00223FBD"/>
    <w:rsid w:val="00224028"/>
    <w:rsid w:val="00224276"/>
    <w:rsid w:val="00224323"/>
    <w:rsid w:val="0022447D"/>
    <w:rsid w:val="0022455F"/>
    <w:rsid w:val="00224623"/>
    <w:rsid w:val="002247A5"/>
    <w:rsid w:val="00224A8D"/>
    <w:rsid w:val="00224C0D"/>
    <w:rsid w:val="00224E76"/>
    <w:rsid w:val="00224E8D"/>
    <w:rsid w:val="00224F43"/>
    <w:rsid w:val="0022509A"/>
    <w:rsid w:val="002250F0"/>
    <w:rsid w:val="0022536D"/>
    <w:rsid w:val="00225567"/>
    <w:rsid w:val="00225621"/>
    <w:rsid w:val="00225797"/>
    <w:rsid w:val="00225AAD"/>
    <w:rsid w:val="00225B64"/>
    <w:rsid w:val="00225BBA"/>
    <w:rsid w:val="00225C4E"/>
    <w:rsid w:val="00225C76"/>
    <w:rsid w:val="002260E2"/>
    <w:rsid w:val="0022633D"/>
    <w:rsid w:val="00226415"/>
    <w:rsid w:val="002264F8"/>
    <w:rsid w:val="0022661A"/>
    <w:rsid w:val="00226751"/>
    <w:rsid w:val="002267AD"/>
    <w:rsid w:val="002267DF"/>
    <w:rsid w:val="00226918"/>
    <w:rsid w:val="00226A88"/>
    <w:rsid w:val="00226B8F"/>
    <w:rsid w:val="00226D26"/>
    <w:rsid w:val="00226D3C"/>
    <w:rsid w:val="00226D83"/>
    <w:rsid w:val="00226E9B"/>
    <w:rsid w:val="00226F62"/>
    <w:rsid w:val="00227350"/>
    <w:rsid w:val="00227776"/>
    <w:rsid w:val="00227A52"/>
    <w:rsid w:val="00227AC8"/>
    <w:rsid w:val="00227B7E"/>
    <w:rsid w:val="00227D10"/>
    <w:rsid w:val="00227D3C"/>
    <w:rsid w:val="00227EAF"/>
    <w:rsid w:val="00230063"/>
    <w:rsid w:val="002303A1"/>
    <w:rsid w:val="0023061B"/>
    <w:rsid w:val="002306ED"/>
    <w:rsid w:val="0023070E"/>
    <w:rsid w:val="002308C8"/>
    <w:rsid w:val="00230B90"/>
    <w:rsid w:val="00230CB0"/>
    <w:rsid w:val="00230D9A"/>
    <w:rsid w:val="00230DC1"/>
    <w:rsid w:val="00230EEB"/>
    <w:rsid w:val="00230F7A"/>
    <w:rsid w:val="00231034"/>
    <w:rsid w:val="0023110B"/>
    <w:rsid w:val="00231136"/>
    <w:rsid w:val="002311A2"/>
    <w:rsid w:val="002311C3"/>
    <w:rsid w:val="00231289"/>
    <w:rsid w:val="00231431"/>
    <w:rsid w:val="00231537"/>
    <w:rsid w:val="002316BF"/>
    <w:rsid w:val="002317AA"/>
    <w:rsid w:val="002318B8"/>
    <w:rsid w:val="002318E4"/>
    <w:rsid w:val="00231938"/>
    <w:rsid w:val="00231CA9"/>
    <w:rsid w:val="00232053"/>
    <w:rsid w:val="00232156"/>
    <w:rsid w:val="002321AC"/>
    <w:rsid w:val="002321D9"/>
    <w:rsid w:val="00232355"/>
    <w:rsid w:val="00232589"/>
    <w:rsid w:val="00232676"/>
    <w:rsid w:val="002326EE"/>
    <w:rsid w:val="0023298B"/>
    <w:rsid w:val="00232D44"/>
    <w:rsid w:val="00232DCA"/>
    <w:rsid w:val="00232EBE"/>
    <w:rsid w:val="00232F2D"/>
    <w:rsid w:val="00232FF7"/>
    <w:rsid w:val="002330AD"/>
    <w:rsid w:val="00233115"/>
    <w:rsid w:val="0023384C"/>
    <w:rsid w:val="00233891"/>
    <w:rsid w:val="00233988"/>
    <w:rsid w:val="00233B4C"/>
    <w:rsid w:val="00233B81"/>
    <w:rsid w:val="00234147"/>
    <w:rsid w:val="002343A8"/>
    <w:rsid w:val="002347BC"/>
    <w:rsid w:val="0023484A"/>
    <w:rsid w:val="00234989"/>
    <w:rsid w:val="00234AD5"/>
    <w:rsid w:val="00234BF8"/>
    <w:rsid w:val="00234C51"/>
    <w:rsid w:val="00234F15"/>
    <w:rsid w:val="00234FA6"/>
    <w:rsid w:val="00235074"/>
    <w:rsid w:val="00235456"/>
    <w:rsid w:val="00235478"/>
    <w:rsid w:val="0023568C"/>
    <w:rsid w:val="002356C0"/>
    <w:rsid w:val="0023577B"/>
    <w:rsid w:val="00235800"/>
    <w:rsid w:val="00235895"/>
    <w:rsid w:val="00235A8D"/>
    <w:rsid w:val="00235AC1"/>
    <w:rsid w:val="00235C7A"/>
    <w:rsid w:val="00235E5F"/>
    <w:rsid w:val="00235E8C"/>
    <w:rsid w:val="0023607F"/>
    <w:rsid w:val="0023620E"/>
    <w:rsid w:val="002362C5"/>
    <w:rsid w:val="002364F9"/>
    <w:rsid w:val="0023683F"/>
    <w:rsid w:val="00236B35"/>
    <w:rsid w:val="00236B71"/>
    <w:rsid w:val="00236C99"/>
    <w:rsid w:val="00236D8B"/>
    <w:rsid w:val="00236DBD"/>
    <w:rsid w:val="00236E0C"/>
    <w:rsid w:val="00236E22"/>
    <w:rsid w:val="00236E7F"/>
    <w:rsid w:val="0023713B"/>
    <w:rsid w:val="0023720A"/>
    <w:rsid w:val="0023730E"/>
    <w:rsid w:val="0023737A"/>
    <w:rsid w:val="00237582"/>
    <w:rsid w:val="00237584"/>
    <w:rsid w:val="00237676"/>
    <w:rsid w:val="0023798F"/>
    <w:rsid w:val="00237A40"/>
    <w:rsid w:val="00237B85"/>
    <w:rsid w:val="00237F46"/>
    <w:rsid w:val="0024017F"/>
    <w:rsid w:val="002402A6"/>
    <w:rsid w:val="002402CD"/>
    <w:rsid w:val="0024031C"/>
    <w:rsid w:val="00240359"/>
    <w:rsid w:val="002405A8"/>
    <w:rsid w:val="0024076E"/>
    <w:rsid w:val="00240799"/>
    <w:rsid w:val="00240AC6"/>
    <w:rsid w:val="00240E37"/>
    <w:rsid w:val="00241071"/>
    <w:rsid w:val="00241312"/>
    <w:rsid w:val="002413D3"/>
    <w:rsid w:val="002413F0"/>
    <w:rsid w:val="0024144C"/>
    <w:rsid w:val="002419B6"/>
    <w:rsid w:val="00241A21"/>
    <w:rsid w:val="00241DE7"/>
    <w:rsid w:val="00241F05"/>
    <w:rsid w:val="002420FD"/>
    <w:rsid w:val="002421F6"/>
    <w:rsid w:val="00242360"/>
    <w:rsid w:val="00242409"/>
    <w:rsid w:val="002425F2"/>
    <w:rsid w:val="002428DB"/>
    <w:rsid w:val="00242921"/>
    <w:rsid w:val="00242A0A"/>
    <w:rsid w:val="00242A0D"/>
    <w:rsid w:val="00242A35"/>
    <w:rsid w:val="00242BAB"/>
    <w:rsid w:val="00242C98"/>
    <w:rsid w:val="00242EEB"/>
    <w:rsid w:val="00243021"/>
    <w:rsid w:val="0024334B"/>
    <w:rsid w:val="002433D8"/>
    <w:rsid w:val="002434BB"/>
    <w:rsid w:val="0024374D"/>
    <w:rsid w:val="0024391A"/>
    <w:rsid w:val="00243921"/>
    <w:rsid w:val="00243A05"/>
    <w:rsid w:val="00243B40"/>
    <w:rsid w:val="00243F34"/>
    <w:rsid w:val="00243F7F"/>
    <w:rsid w:val="00244068"/>
    <w:rsid w:val="00244072"/>
    <w:rsid w:val="002441DB"/>
    <w:rsid w:val="0024421D"/>
    <w:rsid w:val="00244381"/>
    <w:rsid w:val="002443F5"/>
    <w:rsid w:val="002444FB"/>
    <w:rsid w:val="00244532"/>
    <w:rsid w:val="0024490A"/>
    <w:rsid w:val="00244ADD"/>
    <w:rsid w:val="00244B6E"/>
    <w:rsid w:val="00244E64"/>
    <w:rsid w:val="00244E6D"/>
    <w:rsid w:val="00244E87"/>
    <w:rsid w:val="00244FCD"/>
    <w:rsid w:val="00244FEC"/>
    <w:rsid w:val="00245104"/>
    <w:rsid w:val="002451DE"/>
    <w:rsid w:val="002451E7"/>
    <w:rsid w:val="00245301"/>
    <w:rsid w:val="0024538F"/>
    <w:rsid w:val="002453B6"/>
    <w:rsid w:val="002454AB"/>
    <w:rsid w:val="00245505"/>
    <w:rsid w:val="0024550D"/>
    <w:rsid w:val="002455D5"/>
    <w:rsid w:val="0024563B"/>
    <w:rsid w:val="002456E1"/>
    <w:rsid w:val="002456E2"/>
    <w:rsid w:val="002457B5"/>
    <w:rsid w:val="00245896"/>
    <w:rsid w:val="00245C3C"/>
    <w:rsid w:val="00245D71"/>
    <w:rsid w:val="00245E18"/>
    <w:rsid w:val="00245E38"/>
    <w:rsid w:val="00245E6A"/>
    <w:rsid w:val="00245EDD"/>
    <w:rsid w:val="00245F99"/>
    <w:rsid w:val="0024622F"/>
    <w:rsid w:val="00246274"/>
    <w:rsid w:val="002462F5"/>
    <w:rsid w:val="002464B2"/>
    <w:rsid w:val="002464B9"/>
    <w:rsid w:val="002464F1"/>
    <w:rsid w:val="002465A6"/>
    <w:rsid w:val="002468DA"/>
    <w:rsid w:val="00246985"/>
    <w:rsid w:val="00246A49"/>
    <w:rsid w:val="00246B58"/>
    <w:rsid w:val="00246DD3"/>
    <w:rsid w:val="00246E16"/>
    <w:rsid w:val="00247019"/>
    <w:rsid w:val="002472F8"/>
    <w:rsid w:val="002473F7"/>
    <w:rsid w:val="00247488"/>
    <w:rsid w:val="002474DC"/>
    <w:rsid w:val="00247594"/>
    <w:rsid w:val="00247ACE"/>
    <w:rsid w:val="00247C90"/>
    <w:rsid w:val="00247CDD"/>
    <w:rsid w:val="00247D11"/>
    <w:rsid w:val="00247D33"/>
    <w:rsid w:val="00247F22"/>
    <w:rsid w:val="00247F96"/>
    <w:rsid w:val="00250006"/>
    <w:rsid w:val="002502BD"/>
    <w:rsid w:val="00250300"/>
    <w:rsid w:val="00250340"/>
    <w:rsid w:val="00250373"/>
    <w:rsid w:val="00250413"/>
    <w:rsid w:val="002505F1"/>
    <w:rsid w:val="002506F7"/>
    <w:rsid w:val="00250743"/>
    <w:rsid w:val="0025091F"/>
    <w:rsid w:val="00250A6F"/>
    <w:rsid w:val="00250E1C"/>
    <w:rsid w:val="00250EC8"/>
    <w:rsid w:val="00250F35"/>
    <w:rsid w:val="00250FF0"/>
    <w:rsid w:val="002511AA"/>
    <w:rsid w:val="002511C6"/>
    <w:rsid w:val="002511E1"/>
    <w:rsid w:val="00251299"/>
    <w:rsid w:val="002512EF"/>
    <w:rsid w:val="002515AE"/>
    <w:rsid w:val="002515D5"/>
    <w:rsid w:val="00251681"/>
    <w:rsid w:val="00251749"/>
    <w:rsid w:val="00251828"/>
    <w:rsid w:val="002519B4"/>
    <w:rsid w:val="00251A00"/>
    <w:rsid w:val="00251B85"/>
    <w:rsid w:val="00251C0E"/>
    <w:rsid w:val="00251C50"/>
    <w:rsid w:val="00251CC1"/>
    <w:rsid w:val="002521F7"/>
    <w:rsid w:val="002522CE"/>
    <w:rsid w:val="00252367"/>
    <w:rsid w:val="00252389"/>
    <w:rsid w:val="00252406"/>
    <w:rsid w:val="002524B7"/>
    <w:rsid w:val="0025281C"/>
    <w:rsid w:val="00252901"/>
    <w:rsid w:val="002529CE"/>
    <w:rsid w:val="002529ED"/>
    <w:rsid w:val="00252B97"/>
    <w:rsid w:val="00252BCC"/>
    <w:rsid w:val="00252BED"/>
    <w:rsid w:val="00252DC3"/>
    <w:rsid w:val="00252DEA"/>
    <w:rsid w:val="00252EA5"/>
    <w:rsid w:val="00252F2D"/>
    <w:rsid w:val="0025303E"/>
    <w:rsid w:val="0025330F"/>
    <w:rsid w:val="00253310"/>
    <w:rsid w:val="002536A0"/>
    <w:rsid w:val="002536FE"/>
    <w:rsid w:val="0025379B"/>
    <w:rsid w:val="00253890"/>
    <w:rsid w:val="00253929"/>
    <w:rsid w:val="002539B4"/>
    <w:rsid w:val="002539BC"/>
    <w:rsid w:val="00253A38"/>
    <w:rsid w:val="00253A64"/>
    <w:rsid w:val="00253A94"/>
    <w:rsid w:val="00253BBB"/>
    <w:rsid w:val="00253D83"/>
    <w:rsid w:val="00253D94"/>
    <w:rsid w:val="00253E6D"/>
    <w:rsid w:val="00253F7E"/>
    <w:rsid w:val="00253FBD"/>
    <w:rsid w:val="00254354"/>
    <w:rsid w:val="002544CB"/>
    <w:rsid w:val="00254566"/>
    <w:rsid w:val="00254573"/>
    <w:rsid w:val="0025461C"/>
    <w:rsid w:val="002546D7"/>
    <w:rsid w:val="002546E9"/>
    <w:rsid w:val="00254A46"/>
    <w:rsid w:val="00254F5D"/>
    <w:rsid w:val="002550CC"/>
    <w:rsid w:val="00255199"/>
    <w:rsid w:val="002552E0"/>
    <w:rsid w:val="00255344"/>
    <w:rsid w:val="00255461"/>
    <w:rsid w:val="002556D8"/>
    <w:rsid w:val="00255709"/>
    <w:rsid w:val="00255A90"/>
    <w:rsid w:val="00255B3E"/>
    <w:rsid w:val="00255BDB"/>
    <w:rsid w:val="00255E30"/>
    <w:rsid w:val="00256354"/>
    <w:rsid w:val="0025657C"/>
    <w:rsid w:val="002567F2"/>
    <w:rsid w:val="002568B2"/>
    <w:rsid w:val="002568D2"/>
    <w:rsid w:val="0025690A"/>
    <w:rsid w:val="00256A2C"/>
    <w:rsid w:val="00256AAB"/>
    <w:rsid w:val="00256D2A"/>
    <w:rsid w:val="00256DC3"/>
    <w:rsid w:val="00256E1C"/>
    <w:rsid w:val="002570CA"/>
    <w:rsid w:val="00257137"/>
    <w:rsid w:val="00257331"/>
    <w:rsid w:val="002573C6"/>
    <w:rsid w:val="002573CC"/>
    <w:rsid w:val="0025763E"/>
    <w:rsid w:val="002578BF"/>
    <w:rsid w:val="0025791B"/>
    <w:rsid w:val="00257B95"/>
    <w:rsid w:val="00257BE0"/>
    <w:rsid w:val="00257CF4"/>
    <w:rsid w:val="00257F38"/>
    <w:rsid w:val="00257FC0"/>
    <w:rsid w:val="00260287"/>
    <w:rsid w:val="00260368"/>
    <w:rsid w:val="0026045A"/>
    <w:rsid w:val="002606E8"/>
    <w:rsid w:val="0026074E"/>
    <w:rsid w:val="002608D8"/>
    <w:rsid w:val="00260B67"/>
    <w:rsid w:val="00260CCB"/>
    <w:rsid w:val="00260FEA"/>
    <w:rsid w:val="00261021"/>
    <w:rsid w:val="00261380"/>
    <w:rsid w:val="002613A2"/>
    <w:rsid w:val="00261535"/>
    <w:rsid w:val="002618C5"/>
    <w:rsid w:val="00261975"/>
    <w:rsid w:val="00261CE0"/>
    <w:rsid w:val="00261F09"/>
    <w:rsid w:val="00261FE0"/>
    <w:rsid w:val="00262189"/>
    <w:rsid w:val="002622DE"/>
    <w:rsid w:val="002623AF"/>
    <w:rsid w:val="002623B0"/>
    <w:rsid w:val="00262406"/>
    <w:rsid w:val="00262453"/>
    <w:rsid w:val="002624AD"/>
    <w:rsid w:val="00262601"/>
    <w:rsid w:val="00262747"/>
    <w:rsid w:val="002629D0"/>
    <w:rsid w:val="00262B33"/>
    <w:rsid w:val="00262B36"/>
    <w:rsid w:val="00262B62"/>
    <w:rsid w:val="00262DBD"/>
    <w:rsid w:val="00262DE3"/>
    <w:rsid w:val="00262E14"/>
    <w:rsid w:val="00262E18"/>
    <w:rsid w:val="00263027"/>
    <w:rsid w:val="00263116"/>
    <w:rsid w:val="002632FC"/>
    <w:rsid w:val="00263563"/>
    <w:rsid w:val="002637F2"/>
    <w:rsid w:val="00263878"/>
    <w:rsid w:val="00263940"/>
    <w:rsid w:val="00263CF9"/>
    <w:rsid w:val="00263DA0"/>
    <w:rsid w:val="00263F4A"/>
    <w:rsid w:val="00263F4D"/>
    <w:rsid w:val="00264168"/>
    <w:rsid w:val="00264245"/>
    <w:rsid w:val="002642F9"/>
    <w:rsid w:val="0026446E"/>
    <w:rsid w:val="00264774"/>
    <w:rsid w:val="002647B9"/>
    <w:rsid w:val="00264985"/>
    <w:rsid w:val="002649FF"/>
    <w:rsid w:val="00264C21"/>
    <w:rsid w:val="00264CBB"/>
    <w:rsid w:val="00264CFD"/>
    <w:rsid w:val="00265461"/>
    <w:rsid w:val="00265462"/>
    <w:rsid w:val="0026558F"/>
    <w:rsid w:val="00265669"/>
    <w:rsid w:val="002656C9"/>
    <w:rsid w:val="00265A18"/>
    <w:rsid w:val="00265A4E"/>
    <w:rsid w:val="00265CBA"/>
    <w:rsid w:val="00265DBF"/>
    <w:rsid w:val="00265E7B"/>
    <w:rsid w:val="00265EB5"/>
    <w:rsid w:val="00265EBB"/>
    <w:rsid w:val="002662D4"/>
    <w:rsid w:val="0026633D"/>
    <w:rsid w:val="002663B7"/>
    <w:rsid w:val="0026645A"/>
    <w:rsid w:val="00266703"/>
    <w:rsid w:val="002669CF"/>
    <w:rsid w:val="00266B73"/>
    <w:rsid w:val="00266BEE"/>
    <w:rsid w:val="00266FB7"/>
    <w:rsid w:val="002670A7"/>
    <w:rsid w:val="00267304"/>
    <w:rsid w:val="00267485"/>
    <w:rsid w:val="0026771A"/>
    <w:rsid w:val="0026787F"/>
    <w:rsid w:val="002678F0"/>
    <w:rsid w:val="00267965"/>
    <w:rsid w:val="002679B8"/>
    <w:rsid w:val="00267A62"/>
    <w:rsid w:val="00267C2D"/>
    <w:rsid w:val="00267D2B"/>
    <w:rsid w:val="00267EA1"/>
    <w:rsid w:val="0027013A"/>
    <w:rsid w:val="00270150"/>
    <w:rsid w:val="00270216"/>
    <w:rsid w:val="00270268"/>
    <w:rsid w:val="0027032D"/>
    <w:rsid w:val="00270363"/>
    <w:rsid w:val="002703B7"/>
    <w:rsid w:val="0027051A"/>
    <w:rsid w:val="00270646"/>
    <w:rsid w:val="00270C0D"/>
    <w:rsid w:val="00270C75"/>
    <w:rsid w:val="00270DDE"/>
    <w:rsid w:val="00270E79"/>
    <w:rsid w:val="00270E92"/>
    <w:rsid w:val="00270EDC"/>
    <w:rsid w:val="002710AA"/>
    <w:rsid w:val="00271180"/>
    <w:rsid w:val="00271451"/>
    <w:rsid w:val="002714F6"/>
    <w:rsid w:val="0027166D"/>
    <w:rsid w:val="002716EB"/>
    <w:rsid w:val="002717E3"/>
    <w:rsid w:val="00271886"/>
    <w:rsid w:val="0027190B"/>
    <w:rsid w:val="0027199E"/>
    <w:rsid w:val="002719E3"/>
    <w:rsid w:val="00271A82"/>
    <w:rsid w:val="00271CA3"/>
    <w:rsid w:val="00271CAE"/>
    <w:rsid w:val="00271CCD"/>
    <w:rsid w:val="00271FFF"/>
    <w:rsid w:val="00272055"/>
    <w:rsid w:val="00272130"/>
    <w:rsid w:val="00272184"/>
    <w:rsid w:val="0027227A"/>
    <w:rsid w:val="00272384"/>
    <w:rsid w:val="00272394"/>
    <w:rsid w:val="002723A7"/>
    <w:rsid w:val="002724D1"/>
    <w:rsid w:val="00272688"/>
    <w:rsid w:val="00272889"/>
    <w:rsid w:val="00272A06"/>
    <w:rsid w:val="00272A26"/>
    <w:rsid w:val="00272B6A"/>
    <w:rsid w:val="00272CA3"/>
    <w:rsid w:val="00272CCC"/>
    <w:rsid w:val="00272EA8"/>
    <w:rsid w:val="00272EAC"/>
    <w:rsid w:val="0027300A"/>
    <w:rsid w:val="0027319E"/>
    <w:rsid w:val="002732B6"/>
    <w:rsid w:val="00273320"/>
    <w:rsid w:val="002733BF"/>
    <w:rsid w:val="0027343B"/>
    <w:rsid w:val="00273586"/>
    <w:rsid w:val="002736C7"/>
    <w:rsid w:val="002738A4"/>
    <w:rsid w:val="00273B60"/>
    <w:rsid w:val="00273BF3"/>
    <w:rsid w:val="00273BF7"/>
    <w:rsid w:val="00273CB2"/>
    <w:rsid w:val="00273CFD"/>
    <w:rsid w:val="00273E35"/>
    <w:rsid w:val="00273EF8"/>
    <w:rsid w:val="0027406F"/>
    <w:rsid w:val="002741EB"/>
    <w:rsid w:val="0027420B"/>
    <w:rsid w:val="0027434E"/>
    <w:rsid w:val="002743EA"/>
    <w:rsid w:val="0027466D"/>
    <w:rsid w:val="002746C0"/>
    <w:rsid w:val="002746E7"/>
    <w:rsid w:val="00274911"/>
    <w:rsid w:val="00274A74"/>
    <w:rsid w:val="00274E75"/>
    <w:rsid w:val="00274F4A"/>
    <w:rsid w:val="00274F5D"/>
    <w:rsid w:val="00274FBD"/>
    <w:rsid w:val="00275030"/>
    <w:rsid w:val="0027514C"/>
    <w:rsid w:val="00275224"/>
    <w:rsid w:val="0027559B"/>
    <w:rsid w:val="002756AE"/>
    <w:rsid w:val="0027598B"/>
    <w:rsid w:val="00275A75"/>
    <w:rsid w:val="00275BF8"/>
    <w:rsid w:val="00275F73"/>
    <w:rsid w:val="002761C4"/>
    <w:rsid w:val="0027634A"/>
    <w:rsid w:val="0027635E"/>
    <w:rsid w:val="0027650B"/>
    <w:rsid w:val="0027661B"/>
    <w:rsid w:val="002766B6"/>
    <w:rsid w:val="002767A1"/>
    <w:rsid w:val="002767DA"/>
    <w:rsid w:val="0027687B"/>
    <w:rsid w:val="002768CC"/>
    <w:rsid w:val="002768E9"/>
    <w:rsid w:val="00276902"/>
    <w:rsid w:val="002769AA"/>
    <w:rsid w:val="00276DB6"/>
    <w:rsid w:val="00276EC1"/>
    <w:rsid w:val="0027706D"/>
    <w:rsid w:val="0027719B"/>
    <w:rsid w:val="002771C4"/>
    <w:rsid w:val="002772EF"/>
    <w:rsid w:val="002775D0"/>
    <w:rsid w:val="002775F5"/>
    <w:rsid w:val="00277726"/>
    <w:rsid w:val="002777B8"/>
    <w:rsid w:val="00277968"/>
    <w:rsid w:val="002779DE"/>
    <w:rsid w:val="00277C9E"/>
    <w:rsid w:val="00277CA9"/>
    <w:rsid w:val="00277DA1"/>
    <w:rsid w:val="00277E93"/>
    <w:rsid w:val="00277E97"/>
    <w:rsid w:val="00277F9E"/>
    <w:rsid w:val="00277FCB"/>
    <w:rsid w:val="00277FD2"/>
    <w:rsid w:val="00280229"/>
    <w:rsid w:val="00280291"/>
    <w:rsid w:val="002802F2"/>
    <w:rsid w:val="0028042F"/>
    <w:rsid w:val="0028044D"/>
    <w:rsid w:val="00280475"/>
    <w:rsid w:val="00280504"/>
    <w:rsid w:val="00280509"/>
    <w:rsid w:val="0028052B"/>
    <w:rsid w:val="00280572"/>
    <w:rsid w:val="00280721"/>
    <w:rsid w:val="00280847"/>
    <w:rsid w:val="0028098E"/>
    <w:rsid w:val="00280AFC"/>
    <w:rsid w:val="00280E82"/>
    <w:rsid w:val="00280FA5"/>
    <w:rsid w:val="00280FAA"/>
    <w:rsid w:val="0028130C"/>
    <w:rsid w:val="002813A4"/>
    <w:rsid w:val="00281470"/>
    <w:rsid w:val="00281497"/>
    <w:rsid w:val="002815A9"/>
    <w:rsid w:val="00281824"/>
    <w:rsid w:val="002818BA"/>
    <w:rsid w:val="002819DC"/>
    <w:rsid w:val="00281BF9"/>
    <w:rsid w:val="00281D24"/>
    <w:rsid w:val="00281D4B"/>
    <w:rsid w:val="00281F94"/>
    <w:rsid w:val="002820C4"/>
    <w:rsid w:val="002821FA"/>
    <w:rsid w:val="00282493"/>
    <w:rsid w:val="002824D5"/>
    <w:rsid w:val="002827A3"/>
    <w:rsid w:val="0028283C"/>
    <w:rsid w:val="00282A5B"/>
    <w:rsid w:val="00282AB4"/>
    <w:rsid w:val="00282BCF"/>
    <w:rsid w:val="00282C1E"/>
    <w:rsid w:val="00282C48"/>
    <w:rsid w:val="00282C6A"/>
    <w:rsid w:val="00282E6F"/>
    <w:rsid w:val="00282EBA"/>
    <w:rsid w:val="00282F3C"/>
    <w:rsid w:val="00282F3F"/>
    <w:rsid w:val="002830BD"/>
    <w:rsid w:val="0028330B"/>
    <w:rsid w:val="00283441"/>
    <w:rsid w:val="00283810"/>
    <w:rsid w:val="00283873"/>
    <w:rsid w:val="00283ADE"/>
    <w:rsid w:val="00283B3A"/>
    <w:rsid w:val="00283B7E"/>
    <w:rsid w:val="00283E13"/>
    <w:rsid w:val="00283E99"/>
    <w:rsid w:val="00284275"/>
    <w:rsid w:val="002842D8"/>
    <w:rsid w:val="002845B3"/>
    <w:rsid w:val="00284659"/>
    <w:rsid w:val="002848CC"/>
    <w:rsid w:val="00284A36"/>
    <w:rsid w:val="00284E43"/>
    <w:rsid w:val="00284EDC"/>
    <w:rsid w:val="00284F6E"/>
    <w:rsid w:val="00284FFB"/>
    <w:rsid w:val="0028523B"/>
    <w:rsid w:val="0028525A"/>
    <w:rsid w:val="00285281"/>
    <w:rsid w:val="00285371"/>
    <w:rsid w:val="0028560F"/>
    <w:rsid w:val="00285617"/>
    <w:rsid w:val="00285A30"/>
    <w:rsid w:val="00285BA6"/>
    <w:rsid w:val="00285DAF"/>
    <w:rsid w:val="00285F55"/>
    <w:rsid w:val="00285FEC"/>
    <w:rsid w:val="002861A2"/>
    <w:rsid w:val="00286227"/>
    <w:rsid w:val="00286447"/>
    <w:rsid w:val="002864D3"/>
    <w:rsid w:val="00286540"/>
    <w:rsid w:val="00286573"/>
    <w:rsid w:val="002866EB"/>
    <w:rsid w:val="00286AA1"/>
    <w:rsid w:val="00286AEE"/>
    <w:rsid w:val="00286AEF"/>
    <w:rsid w:val="00286AF5"/>
    <w:rsid w:val="00286C97"/>
    <w:rsid w:val="00286C9D"/>
    <w:rsid w:val="00286DDB"/>
    <w:rsid w:val="00286EC7"/>
    <w:rsid w:val="00286F05"/>
    <w:rsid w:val="00286F2B"/>
    <w:rsid w:val="00287051"/>
    <w:rsid w:val="002870C8"/>
    <w:rsid w:val="00287242"/>
    <w:rsid w:val="00287292"/>
    <w:rsid w:val="00287409"/>
    <w:rsid w:val="00287431"/>
    <w:rsid w:val="002875BE"/>
    <w:rsid w:val="0028763E"/>
    <w:rsid w:val="002876F8"/>
    <w:rsid w:val="00287746"/>
    <w:rsid w:val="00287818"/>
    <w:rsid w:val="002879BC"/>
    <w:rsid w:val="00287A1F"/>
    <w:rsid w:val="00287AE1"/>
    <w:rsid w:val="00287CA1"/>
    <w:rsid w:val="00287CCD"/>
    <w:rsid w:val="00287DC0"/>
    <w:rsid w:val="0029005B"/>
    <w:rsid w:val="00290096"/>
    <w:rsid w:val="002900D6"/>
    <w:rsid w:val="0029040B"/>
    <w:rsid w:val="002905A7"/>
    <w:rsid w:val="00290788"/>
    <w:rsid w:val="002907B7"/>
    <w:rsid w:val="002907DF"/>
    <w:rsid w:val="0029082B"/>
    <w:rsid w:val="0029085B"/>
    <w:rsid w:val="0029097D"/>
    <w:rsid w:val="0029098C"/>
    <w:rsid w:val="00290A36"/>
    <w:rsid w:val="00290AB6"/>
    <w:rsid w:val="00290AF5"/>
    <w:rsid w:val="00290B81"/>
    <w:rsid w:val="00290D32"/>
    <w:rsid w:val="00290D36"/>
    <w:rsid w:val="00290D51"/>
    <w:rsid w:val="00290DD4"/>
    <w:rsid w:val="00290EFE"/>
    <w:rsid w:val="0029105B"/>
    <w:rsid w:val="0029116D"/>
    <w:rsid w:val="0029146A"/>
    <w:rsid w:val="00291516"/>
    <w:rsid w:val="002915FC"/>
    <w:rsid w:val="00291B04"/>
    <w:rsid w:val="00291CFE"/>
    <w:rsid w:val="00291D0C"/>
    <w:rsid w:val="00291D8F"/>
    <w:rsid w:val="00291ED4"/>
    <w:rsid w:val="00291F56"/>
    <w:rsid w:val="0029222E"/>
    <w:rsid w:val="00292277"/>
    <w:rsid w:val="002922C7"/>
    <w:rsid w:val="00292721"/>
    <w:rsid w:val="002929AF"/>
    <w:rsid w:val="00292D20"/>
    <w:rsid w:val="00292E26"/>
    <w:rsid w:val="00292EFD"/>
    <w:rsid w:val="00293047"/>
    <w:rsid w:val="002930E8"/>
    <w:rsid w:val="0029319F"/>
    <w:rsid w:val="0029322A"/>
    <w:rsid w:val="0029360E"/>
    <w:rsid w:val="002936C1"/>
    <w:rsid w:val="002938DF"/>
    <w:rsid w:val="00293CC1"/>
    <w:rsid w:val="00293F6D"/>
    <w:rsid w:val="00293FCD"/>
    <w:rsid w:val="002940CC"/>
    <w:rsid w:val="002941D6"/>
    <w:rsid w:val="0029471F"/>
    <w:rsid w:val="00294761"/>
    <w:rsid w:val="00294932"/>
    <w:rsid w:val="0029497E"/>
    <w:rsid w:val="00294A7E"/>
    <w:rsid w:val="00294CCB"/>
    <w:rsid w:val="00294D90"/>
    <w:rsid w:val="00294DC5"/>
    <w:rsid w:val="00294E99"/>
    <w:rsid w:val="00294F3F"/>
    <w:rsid w:val="00294FA7"/>
    <w:rsid w:val="00295186"/>
    <w:rsid w:val="00295227"/>
    <w:rsid w:val="002952F1"/>
    <w:rsid w:val="00295325"/>
    <w:rsid w:val="00295366"/>
    <w:rsid w:val="002955FB"/>
    <w:rsid w:val="0029561F"/>
    <w:rsid w:val="00295648"/>
    <w:rsid w:val="00295773"/>
    <w:rsid w:val="0029581D"/>
    <w:rsid w:val="0029583D"/>
    <w:rsid w:val="00295987"/>
    <w:rsid w:val="002959A9"/>
    <w:rsid w:val="00295C4D"/>
    <w:rsid w:val="00295C9E"/>
    <w:rsid w:val="00295E1C"/>
    <w:rsid w:val="00295F3A"/>
    <w:rsid w:val="00295F47"/>
    <w:rsid w:val="00295FD1"/>
    <w:rsid w:val="00296054"/>
    <w:rsid w:val="00296296"/>
    <w:rsid w:val="00296376"/>
    <w:rsid w:val="002966AB"/>
    <w:rsid w:val="002967A5"/>
    <w:rsid w:val="00296A13"/>
    <w:rsid w:val="00296E0F"/>
    <w:rsid w:val="002971B1"/>
    <w:rsid w:val="002971EA"/>
    <w:rsid w:val="002973B1"/>
    <w:rsid w:val="002975BA"/>
    <w:rsid w:val="00297665"/>
    <w:rsid w:val="00297789"/>
    <w:rsid w:val="002977C2"/>
    <w:rsid w:val="002978B0"/>
    <w:rsid w:val="00297A6E"/>
    <w:rsid w:val="00297CA3"/>
    <w:rsid w:val="00297D64"/>
    <w:rsid w:val="00297DBF"/>
    <w:rsid w:val="00297ECB"/>
    <w:rsid w:val="00297FC5"/>
    <w:rsid w:val="002A003F"/>
    <w:rsid w:val="002A00E4"/>
    <w:rsid w:val="002A020F"/>
    <w:rsid w:val="002A03B6"/>
    <w:rsid w:val="002A0421"/>
    <w:rsid w:val="002A043D"/>
    <w:rsid w:val="002A0457"/>
    <w:rsid w:val="002A04BC"/>
    <w:rsid w:val="002A0547"/>
    <w:rsid w:val="002A0659"/>
    <w:rsid w:val="002A0A14"/>
    <w:rsid w:val="002A0A97"/>
    <w:rsid w:val="002A0DEC"/>
    <w:rsid w:val="002A11D3"/>
    <w:rsid w:val="002A122D"/>
    <w:rsid w:val="002A128E"/>
    <w:rsid w:val="002A159A"/>
    <w:rsid w:val="002A19D6"/>
    <w:rsid w:val="002A1A22"/>
    <w:rsid w:val="002A1A6C"/>
    <w:rsid w:val="002A2153"/>
    <w:rsid w:val="002A21F4"/>
    <w:rsid w:val="002A2355"/>
    <w:rsid w:val="002A23D6"/>
    <w:rsid w:val="002A2526"/>
    <w:rsid w:val="002A25AC"/>
    <w:rsid w:val="002A2634"/>
    <w:rsid w:val="002A26CB"/>
    <w:rsid w:val="002A26E4"/>
    <w:rsid w:val="002A28D8"/>
    <w:rsid w:val="002A29B0"/>
    <w:rsid w:val="002A2B09"/>
    <w:rsid w:val="002A2B8D"/>
    <w:rsid w:val="002A2BEE"/>
    <w:rsid w:val="002A2C9B"/>
    <w:rsid w:val="002A2E5B"/>
    <w:rsid w:val="002A3175"/>
    <w:rsid w:val="002A335B"/>
    <w:rsid w:val="002A386A"/>
    <w:rsid w:val="002A38FA"/>
    <w:rsid w:val="002A39A0"/>
    <w:rsid w:val="002A3A78"/>
    <w:rsid w:val="002A3B90"/>
    <w:rsid w:val="002A3C3B"/>
    <w:rsid w:val="002A3E39"/>
    <w:rsid w:val="002A3EBF"/>
    <w:rsid w:val="002A404D"/>
    <w:rsid w:val="002A40E5"/>
    <w:rsid w:val="002A456A"/>
    <w:rsid w:val="002A4670"/>
    <w:rsid w:val="002A46B8"/>
    <w:rsid w:val="002A4773"/>
    <w:rsid w:val="002A47AF"/>
    <w:rsid w:val="002A484D"/>
    <w:rsid w:val="002A4860"/>
    <w:rsid w:val="002A4B01"/>
    <w:rsid w:val="002A4B2B"/>
    <w:rsid w:val="002A4B36"/>
    <w:rsid w:val="002A4DFA"/>
    <w:rsid w:val="002A4F5E"/>
    <w:rsid w:val="002A4F68"/>
    <w:rsid w:val="002A501B"/>
    <w:rsid w:val="002A50F1"/>
    <w:rsid w:val="002A52FD"/>
    <w:rsid w:val="002A54F5"/>
    <w:rsid w:val="002A5878"/>
    <w:rsid w:val="002A599B"/>
    <w:rsid w:val="002A5BC2"/>
    <w:rsid w:val="002A5C6C"/>
    <w:rsid w:val="002A5CD2"/>
    <w:rsid w:val="002A5D17"/>
    <w:rsid w:val="002A5ED8"/>
    <w:rsid w:val="002A6393"/>
    <w:rsid w:val="002A6578"/>
    <w:rsid w:val="002A67DE"/>
    <w:rsid w:val="002A6926"/>
    <w:rsid w:val="002A6AE3"/>
    <w:rsid w:val="002A6DFA"/>
    <w:rsid w:val="002A6E2D"/>
    <w:rsid w:val="002A6E88"/>
    <w:rsid w:val="002A6ECD"/>
    <w:rsid w:val="002A6F66"/>
    <w:rsid w:val="002A733A"/>
    <w:rsid w:val="002A75EB"/>
    <w:rsid w:val="002A7628"/>
    <w:rsid w:val="002A78B6"/>
    <w:rsid w:val="002A78C7"/>
    <w:rsid w:val="002A7ACC"/>
    <w:rsid w:val="002A7B47"/>
    <w:rsid w:val="002A7B60"/>
    <w:rsid w:val="002A7BEA"/>
    <w:rsid w:val="002A7CE8"/>
    <w:rsid w:val="002A7D19"/>
    <w:rsid w:val="002B0034"/>
    <w:rsid w:val="002B007A"/>
    <w:rsid w:val="002B016B"/>
    <w:rsid w:val="002B0620"/>
    <w:rsid w:val="002B0C4F"/>
    <w:rsid w:val="002B0CA0"/>
    <w:rsid w:val="002B0CB3"/>
    <w:rsid w:val="002B0E04"/>
    <w:rsid w:val="002B0E78"/>
    <w:rsid w:val="002B1070"/>
    <w:rsid w:val="002B10B9"/>
    <w:rsid w:val="002B1354"/>
    <w:rsid w:val="002B1440"/>
    <w:rsid w:val="002B147E"/>
    <w:rsid w:val="002B14F4"/>
    <w:rsid w:val="002B14FF"/>
    <w:rsid w:val="002B15EA"/>
    <w:rsid w:val="002B1650"/>
    <w:rsid w:val="002B17F4"/>
    <w:rsid w:val="002B1A0A"/>
    <w:rsid w:val="002B1BF4"/>
    <w:rsid w:val="002B1D0C"/>
    <w:rsid w:val="002B1D46"/>
    <w:rsid w:val="002B1F10"/>
    <w:rsid w:val="002B1F7F"/>
    <w:rsid w:val="002B1F9B"/>
    <w:rsid w:val="002B2147"/>
    <w:rsid w:val="002B214D"/>
    <w:rsid w:val="002B215A"/>
    <w:rsid w:val="002B21D3"/>
    <w:rsid w:val="002B225D"/>
    <w:rsid w:val="002B229D"/>
    <w:rsid w:val="002B234C"/>
    <w:rsid w:val="002B23A3"/>
    <w:rsid w:val="002B24A4"/>
    <w:rsid w:val="002B25CC"/>
    <w:rsid w:val="002B2771"/>
    <w:rsid w:val="002B296B"/>
    <w:rsid w:val="002B2F5A"/>
    <w:rsid w:val="002B2F64"/>
    <w:rsid w:val="002B2F68"/>
    <w:rsid w:val="002B307C"/>
    <w:rsid w:val="002B3393"/>
    <w:rsid w:val="002B3767"/>
    <w:rsid w:val="002B383B"/>
    <w:rsid w:val="002B387F"/>
    <w:rsid w:val="002B3AD8"/>
    <w:rsid w:val="002B3C99"/>
    <w:rsid w:val="002B3D68"/>
    <w:rsid w:val="002B3F68"/>
    <w:rsid w:val="002B401E"/>
    <w:rsid w:val="002B422F"/>
    <w:rsid w:val="002B437D"/>
    <w:rsid w:val="002B4574"/>
    <w:rsid w:val="002B4774"/>
    <w:rsid w:val="002B47EB"/>
    <w:rsid w:val="002B48A8"/>
    <w:rsid w:val="002B48BC"/>
    <w:rsid w:val="002B4916"/>
    <w:rsid w:val="002B4937"/>
    <w:rsid w:val="002B49D2"/>
    <w:rsid w:val="002B4F04"/>
    <w:rsid w:val="002B4FAB"/>
    <w:rsid w:val="002B56F4"/>
    <w:rsid w:val="002B5878"/>
    <w:rsid w:val="002B58C4"/>
    <w:rsid w:val="002B58FE"/>
    <w:rsid w:val="002B596B"/>
    <w:rsid w:val="002B59F1"/>
    <w:rsid w:val="002B5A91"/>
    <w:rsid w:val="002B5D12"/>
    <w:rsid w:val="002B5D5E"/>
    <w:rsid w:val="002B5E64"/>
    <w:rsid w:val="002B5E92"/>
    <w:rsid w:val="002B5EA6"/>
    <w:rsid w:val="002B5EB8"/>
    <w:rsid w:val="002B603C"/>
    <w:rsid w:val="002B6199"/>
    <w:rsid w:val="002B6389"/>
    <w:rsid w:val="002B63BE"/>
    <w:rsid w:val="002B646D"/>
    <w:rsid w:val="002B6503"/>
    <w:rsid w:val="002B650A"/>
    <w:rsid w:val="002B6585"/>
    <w:rsid w:val="002B6623"/>
    <w:rsid w:val="002B67F5"/>
    <w:rsid w:val="002B69C1"/>
    <w:rsid w:val="002B6B7A"/>
    <w:rsid w:val="002B6BC2"/>
    <w:rsid w:val="002B6C34"/>
    <w:rsid w:val="002B6EE2"/>
    <w:rsid w:val="002B6FD4"/>
    <w:rsid w:val="002B7093"/>
    <w:rsid w:val="002B7211"/>
    <w:rsid w:val="002B7359"/>
    <w:rsid w:val="002B73E9"/>
    <w:rsid w:val="002B7424"/>
    <w:rsid w:val="002B768D"/>
    <w:rsid w:val="002B774B"/>
    <w:rsid w:val="002B7899"/>
    <w:rsid w:val="002B7C0A"/>
    <w:rsid w:val="002B7C1A"/>
    <w:rsid w:val="002B7C95"/>
    <w:rsid w:val="002B7EDB"/>
    <w:rsid w:val="002C00EE"/>
    <w:rsid w:val="002C03D2"/>
    <w:rsid w:val="002C0406"/>
    <w:rsid w:val="002C057F"/>
    <w:rsid w:val="002C05EE"/>
    <w:rsid w:val="002C0871"/>
    <w:rsid w:val="002C09A2"/>
    <w:rsid w:val="002C0A19"/>
    <w:rsid w:val="002C0A45"/>
    <w:rsid w:val="002C0AAA"/>
    <w:rsid w:val="002C0AFB"/>
    <w:rsid w:val="002C0B5E"/>
    <w:rsid w:val="002C0C1F"/>
    <w:rsid w:val="002C104F"/>
    <w:rsid w:val="002C106E"/>
    <w:rsid w:val="002C11BF"/>
    <w:rsid w:val="002C1255"/>
    <w:rsid w:val="002C12A8"/>
    <w:rsid w:val="002C15C8"/>
    <w:rsid w:val="002C18DF"/>
    <w:rsid w:val="002C1B82"/>
    <w:rsid w:val="002C1C3A"/>
    <w:rsid w:val="002C1D39"/>
    <w:rsid w:val="002C2046"/>
    <w:rsid w:val="002C22F1"/>
    <w:rsid w:val="002C2380"/>
    <w:rsid w:val="002C2419"/>
    <w:rsid w:val="002C24E8"/>
    <w:rsid w:val="002C2630"/>
    <w:rsid w:val="002C2870"/>
    <w:rsid w:val="002C2919"/>
    <w:rsid w:val="002C2C86"/>
    <w:rsid w:val="002C2CDE"/>
    <w:rsid w:val="002C2E8A"/>
    <w:rsid w:val="002C2FAF"/>
    <w:rsid w:val="002C31EC"/>
    <w:rsid w:val="002C31F2"/>
    <w:rsid w:val="002C32E0"/>
    <w:rsid w:val="002C331B"/>
    <w:rsid w:val="002C3595"/>
    <w:rsid w:val="002C3621"/>
    <w:rsid w:val="002C36F4"/>
    <w:rsid w:val="002C3812"/>
    <w:rsid w:val="002C3903"/>
    <w:rsid w:val="002C3ACD"/>
    <w:rsid w:val="002C3BBB"/>
    <w:rsid w:val="002C3D50"/>
    <w:rsid w:val="002C3D67"/>
    <w:rsid w:val="002C3EDF"/>
    <w:rsid w:val="002C3F43"/>
    <w:rsid w:val="002C3FE8"/>
    <w:rsid w:val="002C4026"/>
    <w:rsid w:val="002C4150"/>
    <w:rsid w:val="002C429C"/>
    <w:rsid w:val="002C42DF"/>
    <w:rsid w:val="002C4464"/>
    <w:rsid w:val="002C44CF"/>
    <w:rsid w:val="002C4635"/>
    <w:rsid w:val="002C484B"/>
    <w:rsid w:val="002C4C30"/>
    <w:rsid w:val="002C4C4D"/>
    <w:rsid w:val="002C4C76"/>
    <w:rsid w:val="002C4CC4"/>
    <w:rsid w:val="002C4D17"/>
    <w:rsid w:val="002C4D44"/>
    <w:rsid w:val="002C4E03"/>
    <w:rsid w:val="002C5179"/>
    <w:rsid w:val="002C54C7"/>
    <w:rsid w:val="002C556F"/>
    <w:rsid w:val="002C5951"/>
    <w:rsid w:val="002C5A8C"/>
    <w:rsid w:val="002C5B5B"/>
    <w:rsid w:val="002C5C57"/>
    <w:rsid w:val="002C5D1C"/>
    <w:rsid w:val="002C5F06"/>
    <w:rsid w:val="002C5F9D"/>
    <w:rsid w:val="002C62B2"/>
    <w:rsid w:val="002C62B3"/>
    <w:rsid w:val="002C693B"/>
    <w:rsid w:val="002C6BC7"/>
    <w:rsid w:val="002C6C53"/>
    <w:rsid w:val="002C6D5A"/>
    <w:rsid w:val="002C6DD6"/>
    <w:rsid w:val="002C6E70"/>
    <w:rsid w:val="002C6FE2"/>
    <w:rsid w:val="002C732C"/>
    <w:rsid w:val="002C7498"/>
    <w:rsid w:val="002C76FE"/>
    <w:rsid w:val="002C7AAF"/>
    <w:rsid w:val="002C7AD4"/>
    <w:rsid w:val="002C7BCF"/>
    <w:rsid w:val="002C7C1D"/>
    <w:rsid w:val="002C7C3E"/>
    <w:rsid w:val="002C7C3F"/>
    <w:rsid w:val="002C7D0F"/>
    <w:rsid w:val="002C7D7D"/>
    <w:rsid w:val="002C7DFF"/>
    <w:rsid w:val="002C7E33"/>
    <w:rsid w:val="002C7F3F"/>
    <w:rsid w:val="002C7FA3"/>
    <w:rsid w:val="002D0172"/>
    <w:rsid w:val="002D0220"/>
    <w:rsid w:val="002D028D"/>
    <w:rsid w:val="002D03C2"/>
    <w:rsid w:val="002D0568"/>
    <w:rsid w:val="002D08C3"/>
    <w:rsid w:val="002D0E15"/>
    <w:rsid w:val="002D0ED8"/>
    <w:rsid w:val="002D0FC8"/>
    <w:rsid w:val="002D107C"/>
    <w:rsid w:val="002D111C"/>
    <w:rsid w:val="002D1219"/>
    <w:rsid w:val="002D123C"/>
    <w:rsid w:val="002D1340"/>
    <w:rsid w:val="002D140F"/>
    <w:rsid w:val="002D1530"/>
    <w:rsid w:val="002D1532"/>
    <w:rsid w:val="002D1CD9"/>
    <w:rsid w:val="002D1E4F"/>
    <w:rsid w:val="002D1FCC"/>
    <w:rsid w:val="002D21A3"/>
    <w:rsid w:val="002D21ED"/>
    <w:rsid w:val="002D237B"/>
    <w:rsid w:val="002D27C7"/>
    <w:rsid w:val="002D2829"/>
    <w:rsid w:val="002D28D3"/>
    <w:rsid w:val="002D2989"/>
    <w:rsid w:val="002D2B20"/>
    <w:rsid w:val="002D2D8F"/>
    <w:rsid w:val="002D2DD9"/>
    <w:rsid w:val="002D2EF9"/>
    <w:rsid w:val="002D31B1"/>
    <w:rsid w:val="002D3354"/>
    <w:rsid w:val="002D35A7"/>
    <w:rsid w:val="002D367C"/>
    <w:rsid w:val="002D3694"/>
    <w:rsid w:val="002D374E"/>
    <w:rsid w:val="002D39F6"/>
    <w:rsid w:val="002D3AE0"/>
    <w:rsid w:val="002D3AE1"/>
    <w:rsid w:val="002D3B7C"/>
    <w:rsid w:val="002D3D76"/>
    <w:rsid w:val="002D3E0B"/>
    <w:rsid w:val="002D3E55"/>
    <w:rsid w:val="002D3FC5"/>
    <w:rsid w:val="002D432F"/>
    <w:rsid w:val="002D44EF"/>
    <w:rsid w:val="002D459D"/>
    <w:rsid w:val="002D45DA"/>
    <w:rsid w:val="002D4610"/>
    <w:rsid w:val="002D480B"/>
    <w:rsid w:val="002D484B"/>
    <w:rsid w:val="002D484F"/>
    <w:rsid w:val="002D49CD"/>
    <w:rsid w:val="002D4B2A"/>
    <w:rsid w:val="002D4D16"/>
    <w:rsid w:val="002D4EE7"/>
    <w:rsid w:val="002D5041"/>
    <w:rsid w:val="002D5093"/>
    <w:rsid w:val="002D5230"/>
    <w:rsid w:val="002D52BA"/>
    <w:rsid w:val="002D531B"/>
    <w:rsid w:val="002D552B"/>
    <w:rsid w:val="002D554D"/>
    <w:rsid w:val="002D5607"/>
    <w:rsid w:val="002D585C"/>
    <w:rsid w:val="002D58A5"/>
    <w:rsid w:val="002D5A62"/>
    <w:rsid w:val="002D5A89"/>
    <w:rsid w:val="002D5AA8"/>
    <w:rsid w:val="002D5AF3"/>
    <w:rsid w:val="002D5DAB"/>
    <w:rsid w:val="002D601B"/>
    <w:rsid w:val="002D61C8"/>
    <w:rsid w:val="002D62A0"/>
    <w:rsid w:val="002D6389"/>
    <w:rsid w:val="002D6414"/>
    <w:rsid w:val="002D64F6"/>
    <w:rsid w:val="002D6881"/>
    <w:rsid w:val="002D6904"/>
    <w:rsid w:val="002D69DC"/>
    <w:rsid w:val="002D6B09"/>
    <w:rsid w:val="002D6B3C"/>
    <w:rsid w:val="002D6D46"/>
    <w:rsid w:val="002D6E0E"/>
    <w:rsid w:val="002D6F02"/>
    <w:rsid w:val="002D6F26"/>
    <w:rsid w:val="002D6FBC"/>
    <w:rsid w:val="002D6FFC"/>
    <w:rsid w:val="002D7112"/>
    <w:rsid w:val="002D7145"/>
    <w:rsid w:val="002D71D5"/>
    <w:rsid w:val="002D7263"/>
    <w:rsid w:val="002D73A9"/>
    <w:rsid w:val="002D744C"/>
    <w:rsid w:val="002D7681"/>
    <w:rsid w:val="002D76CD"/>
    <w:rsid w:val="002D7854"/>
    <w:rsid w:val="002D7ADE"/>
    <w:rsid w:val="002D7DDF"/>
    <w:rsid w:val="002D7E04"/>
    <w:rsid w:val="002D7E54"/>
    <w:rsid w:val="002D7F02"/>
    <w:rsid w:val="002D7F4F"/>
    <w:rsid w:val="002E00DC"/>
    <w:rsid w:val="002E032D"/>
    <w:rsid w:val="002E0483"/>
    <w:rsid w:val="002E0620"/>
    <w:rsid w:val="002E07B6"/>
    <w:rsid w:val="002E0AD7"/>
    <w:rsid w:val="002E0BB3"/>
    <w:rsid w:val="002E0C41"/>
    <w:rsid w:val="002E0C8C"/>
    <w:rsid w:val="002E0D0E"/>
    <w:rsid w:val="002E0EB1"/>
    <w:rsid w:val="002E10D5"/>
    <w:rsid w:val="002E1258"/>
    <w:rsid w:val="002E136D"/>
    <w:rsid w:val="002E15A5"/>
    <w:rsid w:val="002E166D"/>
    <w:rsid w:val="002E1819"/>
    <w:rsid w:val="002E18D5"/>
    <w:rsid w:val="002E1A35"/>
    <w:rsid w:val="002E1AD5"/>
    <w:rsid w:val="002E1B24"/>
    <w:rsid w:val="002E1B52"/>
    <w:rsid w:val="002E1D42"/>
    <w:rsid w:val="002E1D61"/>
    <w:rsid w:val="002E1DB2"/>
    <w:rsid w:val="002E1FA9"/>
    <w:rsid w:val="002E1FD5"/>
    <w:rsid w:val="002E1FFA"/>
    <w:rsid w:val="002E20FC"/>
    <w:rsid w:val="002E21C6"/>
    <w:rsid w:val="002E2207"/>
    <w:rsid w:val="002E223B"/>
    <w:rsid w:val="002E2293"/>
    <w:rsid w:val="002E24B6"/>
    <w:rsid w:val="002E2580"/>
    <w:rsid w:val="002E261F"/>
    <w:rsid w:val="002E2625"/>
    <w:rsid w:val="002E2833"/>
    <w:rsid w:val="002E2848"/>
    <w:rsid w:val="002E29BE"/>
    <w:rsid w:val="002E2A24"/>
    <w:rsid w:val="002E2BC3"/>
    <w:rsid w:val="002E2D2C"/>
    <w:rsid w:val="002E2D4F"/>
    <w:rsid w:val="002E2E61"/>
    <w:rsid w:val="002E2EEB"/>
    <w:rsid w:val="002E2F18"/>
    <w:rsid w:val="002E3016"/>
    <w:rsid w:val="002E310C"/>
    <w:rsid w:val="002E31B3"/>
    <w:rsid w:val="002E3408"/>
    <w:rsid w:val="002E343E"/>
    <w:rsid w:val="002E3463"/>
    <w:rsid w:val="002E3476"/>
    <w:rsid w:val="002E34A0"/>
    <w:rsid w:val="002E3543"/>
    <w:rsid w:val="002E3705"/>
    <w:rsid w:val="002E37D7"/>
    <w:rsid w:val="002E3830"/>
    <w:rsid w:val="002E38BE"/>
    <w:rsid w:val="002E38E9"/>
    <w:rsid w:val="002E3946"/>
    <w:rsid w:val="002E39B3"/>
    <w:rsid w:val="002E39C4"/>
    <w:rsid w:val="002E3B9C"/>
    <w:rsid w:val="002E3C10"/>
    <w:rsid w:val="002E3D18"/>
    <w:rsid w:val="002E3FEF"/>
    <w:rsid w:val="002E4134"/>
    <w:rsid w:val="002E4309"/>
    <w:rsid w:val="002E45C3"/>
    <w:rsid w:val="002E477D"/>
    <w:rsid w:val="002E47B2"/>
    <w:rsid w:val="002E4842"/>
    <w:rsid w:val="002E4975"/>
    <w:rsid w:val="002E4AFC"/>
    <w:rsid w:val="002E4BDD"/>
    <w:rsid w:val="002E4BF5"/>
    <w:rsid w:val="002E4C91"/>
    <w:rsid w:val="002E5001"/>
    <w:rsid w:val="002E518D"/>
    <w:rsid w:val="002E5197"/>
    <w:rsid w:val="002E51D9"/>
    <w:rsid w:val="002E5354"/>
    <w:rsid w:val="002E5377"/>
    <w:rsid w:val="002E5440"/>
    <w:rsid w:val="002E5453"/>
    <w:rsid w:val="002E5511"/>
    <w:rsid w:val="002E576E"/>
    <w:rsid w:val="002E59F4"/>
    <w:rsid w:val="002E5A95"/>
    <w:rsid w:val="002E5C04"/>
    <w:rsid w:val="002E5E96"/>
    <w:rsid w:val="002E5EAD"/>
    <w:rsid w:val="002E6007"/>
    <w:rsid w:val="002E6094"/>
    <w:rsid w:val="002E6171"/>
    <w:rsid w:val="002E6276"/>
    <w:rsid w:val="002E62CF"/>
    <w:rsid w:val="002E62E9"/>
    <w:rsid w:val="002E63EA"/>
    <w:rsid w:val="002E6428"/>
    <w:rsid w:val="002E64A5"/>
    <w:rsid w:val="002E6548"/>
    <w:rsid w:val="002E6691"/>
    <w:rsid w:val="002E6838"/>
    <w:rsid w:val="002E6A3D"/>
    <w:rsid w:val="002E6D22"/>
    <w:rsid w:val="002E728C"/>
    <w:rsid w:val="002E738F"/>
    <w:rsid w:val="002E74FA"/>
    <w:rsid w:val="002E75E9"/>
    <w:rsid w:val="002E760A"/>
    <w:rsid w:val="002E77D9"/>
    <w:rsid w:val="002E793C"/>
    <w:rsid w:val="002E794B"/>
    <w:rsid w:val="002E79B0"/>
    <w:rsid w:val="002E7A68"/>
    <w:rsid w:val="002E7B83"/>
    <w:rsid w:val="002E7CD7"/>
    <w:rsid w:val="002E7D04"/>
    <w:rsid w:val="002E7F68"/>
    <w:rsid w:val="002F02BC"/>
    <w:rsid w:val="002F036D"/>
    <w:rsid w:val="002F039A"/>
    <w:rsid w:val="002F046B"/>
    <w:rsid w:val="002F0485"/>
    <w:rsid w:val="002F0602"/>
    <w:rsid w:val="002F064A"/>
    <w:rsid w:val="002F065D"/>
    <w:rsid w:val="002F06CB"/>
    <w:rsid w:val="002F07A4"/>
    <w:rsid w:val="002F09BF"/>
    <w:rsid w:val="002F0A0B"/>
    <w:rsid w:val="002F0ACD"/>
    <w:rsid w:val="002F0B35"/>
    <w:rsid w:val="002F0B7F"/>
    <w:rsid w:val="002F0C6C"/>
    <w:rsid w:val="002F0D27"/>
    <w:rsid w:val="002F0DE8"/>
    <w:rsid w:val="002F0E48"/>
    <w:rsid w:val="002F0F76"/>
    <w:rsid w:val="002F1142"/>
    <w:rsid w:val="002F119D"/>
    <w:rsid w:val="002F11DD"/>
    <w:rsid w:val="002F1743"/>
    <w:rsid w:val="002F1772"/>
    <w:rsid w:val="002F1B6A"/>
    <w:rsid w:val="002F1BC1"/>
    <w:rsid w:val="002F1BD4"/>
    <w:rsid w:val="002F1D60"/>
    <w:rsid w:val="002F1DAE"/>
    <w:rsid w:val="002F1E3C"/>
    <w:rsid w:val="002F1FA3"/>
    <w:rsid w:val="002F2265"/>
    <w:rsid w:val="002F233B"/>
    <w:rsid w:val="002F25FA"/>
    <w:rsid w:val="002F27EE"/>
    <w:rsid w:val="002F283F"/>
    <w:rsid w:val="002F28FD"/>
    <w:rsid w:val="002F2D0F"/>
    <w:rsid w:val="002F2D29"/>
    <w:rsid w:val="002F2E9A"/>
    <w:rsid w:val="002F2F75"/>
    <w:rsid w:val="002F2F99"/>
    <w:rsid w:val="002F2FA0"/>
    <w:rsid w:val="002F3085"/>
    <w:rsid w:val="002F31E2"/>
    <w:rsid w:val="002F3231"/>
    <w:rsid w:val="002F329A"/>
    <w:rsid w:val="002F32C4"/>
    <w:rsid w:val="002F33AC"/>
    <w:rsid w:val="002F341F"/>
    <w:rsid w:val="002F34C5"/>
    <w:rsid w:val="002F35D9"/>
    <w:rsid w:val="002F35F9"/>
    <w:rsid w:val="002F3722"/>
    <w:rsid w:val="002F3769"/>
    <w:rsid w:val="002F37E0"/>
    <w:rsid w:val="002F388D"/>
    <w:rsid w:val="002F38BB"/>
    <w:rsid w:val="002F3A10"/>
    <w:rsid w:val="002F3B78"/>
    <w:rsid w:val="002F3CA5"/>
    <w:rsid w:val="002F3CDF"/>
    <w:rsid w:val="002F3D25"/>
    <w:rsid w:val="002F3D88"/>
    <w:rsid w:val="002F3DC0"/>
    <w:rsid w:val="002F3E30"/>
    <w:rsid w:val="002F405A"/>
    <w:rsid w:val="002F4097"/>
    <w:rsid w:val="002F40D1"/>
    <w:rsid w:val="002F4144"/>
    <w:rsid w:val="002F428A"/>
    <w:rsid w:val="002F4403"/>
    <w:rsid w:val="002F44F5"/>
    <w:rsid w:val="002F464D"/>
    <w:rsid w:val="002F46E0"/>
    <w:rsid w:val="002F4843"/>
    <w:rsid w:val="002F48FF"/>
    <w:rsid w:val="002F4D38"/>
    <w:rsid w:val="002F4D6B"/>
    <w:rsid w:val="002F4D8F"/>
    <w:rsid w:val="002F4DCA"/>
    <w:rsid w:val="002F5059"/>
    <w:rsid w:val="002F51D6"/>
    <w:rsid w:val="002F5212"/>
    <w:rsid w:val="002F5278"/>
    <w:rsid w:val="002F52CD"/>
    <w:rsid w:val="002F53D3"/>
    <w:rsid w:val="002F54F2"/>
    <w:rsid w:val="002F57F1"/>
    <w:rsid w:val="002F5A42"/>
    <w:rsid w:val="002F5C6A"/>
    <w:rsid w:val="002F5F27"/>
    <w:rsid w:val="002F5F54"/>
    <w:rsid w:val="002F5FA0"/>
    <w:rsid w:val="002F6280"/>
    <w:rsid w:val="002F62C4"/>
    <w:rsid w:val="002F62D4"/>
    <w:rsid w:val="002F6350"/>
    <w:rsid w:val="002F65FD"/>
    <w:rsid w:val="002F676C"/>
    <w:rsid w:val="002F68B7"/>
    <w:rsid w:val="002F69C5"/>
    <w:rsid w:val="002F6A38"/>
    <w:rsid w:val="002F6A63"/>
    <w:rsid w:val="002F6A65"/>
    <w:rsid w:val="002F6AF6"/>
    <w:rsid w:val="002F6E6A"/>
    <w:rsid w:val="002F6F69"/>
    <w:rsid w:val="002F6F97"/>
    <w:rsid w:val="002F70E0"/>
    <w:rsid w:val="002F711A"/>
    <w:rsid w:val="002F7454"/>
    <w:rsid w:val="002F74AE"/>
    <w:rsid w:val="002F74D1"/>
    <w:rsid w:val="002F7555"/>
    <w:rsid w:val="002F75DC"/>
    <w:rsid w:val="002F773D"/>
    <w:rsid w:val="002F788C"/>
    <w:rsid w:val="002F78A7"/>
    <w:rsid w:val="002F7A23"/>
    <w:rsid w:val="002F7A81"/>
    <w:rsid w:val="002F7AFC"/>
    <w:rsid w:val="002F7CF5"/>
    <w:rsid w:val="002F7D6C"/>
    <w:rsid w:val="002F7DA8"/>
    <w:rsid w:val="002F7EF8"/>
    <w:rsid w:val="002F7FFE"/>
    <w:rsid w:val="003001CB"/>
    <w:rsid w:val="00300275"/>
    <w:rsid w:val="00300541"/>
    <w:rsid w:val="003005A6"/>
    <w:rsid w:val="003005AA"/>
    <w:rsid w:val="003009A0"/>
    <w:rsid w:val="00300B21"/>
    <w:rsid w:val="00300C60"/>
    <w:rsid w:val="00300DF1"/>
    <w:rsid w:val="00300E9E"/>
    <w:rsid w:val="00300EE6"/>
    <w:rsid w:val="00300FE0"/>
    <w:rsid w:val="00301089"/>
    <w:rsid w:val="00301224"/>
    <w:rsid w:val="003015CE"/>
    <w:rsid w:val="0030162A"/>
    <w:rsid w:val="00301946"/>
    <w:rsid w:val="00301A29"/>
    <w:rsid w:val="00301AFB"/>
    <w:rsid w:val="00301C55"/>
    <w:rsid w:val="00301EE1"/>
    <w:rsid w:val="00302082"/>
    <w:rsid w:val="00302312"/>
    <w:rsid w:val="0030232F"/>
    <w:rsid w:val="0030269C"/>
    <w:rsid w:val="003027D4"/>
    <w:rsid w:val="003028A5"/>
    <w:rsid w:val="00302AD4"/>
    <w:rsid w:val="00302B21"/>
    <w:rsid w:val="00302B2A"/>
    <w:rsid w:val="00302BA0"/>
    <w:rsid w:val="00302BCD"/>
    <w:rsid w:val="00302DBA"/>
    <w:rsid w:val="00302DFE"/>
    <w:rsid w:val="00302ED8"/>
    <w:rsid w:val="00303100"/>
    <w:rsid w:val="0030320A"/>
    <w:rsid w:val="003032CC"/>
    <w:rsid w:val="00303328"/>
    <w:rsid w:val="003034D4"/>
    <w:rsid w:val="003035A0"/>
    <w:rsid w:val="003035D1"/>
    <w:rsid w:val="003035E1"/>
    <w:rsid w:val="003036B9"/>
    <w:rsid w:val="00303710"/>
    <w:rsid w:val="003037FE"/>
    <w:rsid w:val="0030382D"/>
    <w:rsid w:val="00303B29"/>
    <w:rsid w:val="00303DC6"/>
    <w:rsid w:val="00303E7C"/>
    <w:rsid w:val="00303F12"/>
    <w:rsid w:val="0030402D"/>
    <w:rsid w:val="003041E0"/>
    <w:rsid w:val="0030423A"/>
    <w:rsid w:val="0030427B"/>
    <w:rsid w:val="0030429D"/>
    <w:rsid w:val="003042D4"/>
    <w:rsid w:val="0030483B"/>
    <w:rsid w:val="003049C8"/>
    <w:rsid w:val="00304AAE"/>
    <w:rsid w:val="00304ADC"/>
    <w:rsid w:val="00304BA7"/>
    <w:rsid w:val="00304DD0"/>
    <w:rsid w:val="00304E37"/>
    <w:rsid w:val="00304E93"/>
    <w:rsid w:val="00305134"/>
    <w:rsid w:val="003052DB"/>
    <w:rsid w:val="00305302"/>
    <w:rsid w:val="00305370"/>
    <w:rsid w:val="003054D3"/>
    <w:rsid w:val="0030570A"/>
    <w:rsid w:val="003057E0"/>
    <w:rsid w:val="00305884"/>
    <w:rsid w:val="0030593D"/>
    <w:rsid w:val="00305A0A"/>
    <w:rsid w:val="00305A0E"/>
    <w:rsid w:val="00305AAE"/>
    <w:rsid w:val="00305AD0"/>
    <w:rsid w:val="00305C91"/>
    <w:rsid w:val="00305F25"/>
    <w:rsid w:val="00306019"/>
    <w:rsid w:val="00306106"/>
    <w:rsid w:val="00306299"/>
    <w:rsid w:val="00306360"/>
    <w:rsid w:val="0030651F"/>
    <w:rsid w:val="0030666C"/>
    <w:rsid w:val="003066B3"/>
    <w:rsid w:val="00306823"/>
    <w:rsid w:val="0030690F"/>
    <w:rsid w:val="00306A24"/>
    <w:rsid w:val="00306A54"/>
    <w:rsid w:val="00306A9D"/>
    <w:rsid w:val="00306B5B"/>
    <w:rsid w:val="00306C24"/>
    <w:rsid w:val="00306D75"/>
    <w:rsid w:val="00306E2D"/>
    <w:rsid w:val="00306FC4"/>
    <w:rsid w:val="00307010"/>
    <w:rsid w:val="0030710E"/>
    <w:rsid w:val="003071D2"/>
    <w:rsid w:val="0030731B"/>
    <w:rsid w:val="003073F1"/>
    <w:rsid w:val="003074D7"/>
    <w:rsid w:val="00307553"/>
    <w:rsid w:val="003075C3"/>
    <w:rsid w:val="0030769B"/>
    <w:rsid w:val="00307801"/>
    <w:rsid w:val="00307BF2"/>
    <w:rsid w:val="00307CF4"/>
    <w:rsid w:val="00307E27"/>
    <w:rsid w:val="00307FE9"/>
    <w:rsid w:val="003100F6"/>
    <w:rsid w:val="0031045F"/>
    <w:rsid w:val="003104DE"/>
    <w:rsid w:val="003105DE"/>
    <w:rsid w:val="00310647"/>
    <w:rsid w:val="003106FE"/>
    <w:rsid w:val="00310987"/>
    <w:rsid w:val="00310ACF"/>
    <w:rsid w:val="00310E3E"/>
    <w:rsid w:val="00310E7A"/>
    <w:rsid w:val="00310E86"/>
    <w:rsid w:val="00310FCB"/>
    <w:rsid w:val="003111A3"/>
    <w:rsid w:val="003112E2"/>
    <w:rsid w:val="0031151F"/>
    <w:rsid w:val="00311831"/>
    <w:rsid w:val="0031186E"/>
    <w:rsid w:val="00311904"/>
    <w:rsid w:val="00311CB2"/>
    <w:rsid w:val="00311DFC"/>
    <w:rsid w:val="00311E2D"/>
    <w:rsid w:val="00311F17"/>
    <w:rsid w:val="00311F7E"/>
    <w:rsid w:val="00311FCB"/>
    <w:rsid w:val="0031226F"/>
    <w:rsid w:val="003124F8"/>
    <w:rsid w:val="003125D7"/>
    <w:rsid w:val="0031264B"/>
    <w:rsid w:val="0031270B"/>
    <w:rsid w:val="00312D99"/>
    <w:rsid w:val="00312E6D"/>
    <w:rsid w:val="00312ECC"/>
    <w:rsid w:val="00313137"/>
    <w:rsid w:val="00313297"/>
    <w:rsid w:val="003135CC"/>
    <w:rsid w:val="0031379A"/>
    <w:rsid w:val="00313901"/>
    <w:rsid w:val="0031392B"/>
    <w:rsid w:val="003139B2"/>
    <w:rsid w:val="00313AD5"/>
    <w:rsid w:val="00313C73"/>
    <w:rsid w:val="00313CAB"/>
    <w:rsid w:val="00313DC2"/>
    <w:rsid w:val="00313EA6"/>
    <w:rsid w:val="00314001"/>
    <w:rsid w:val="0031414E"/>
    <w:rsid w:val="0031459F"/>
    <w:rsid w:val="003145AC"/>
    <w:rsid w:val="00314659"/>
    <w:rsid w:val="0031476E"/>
    <w:rsid w:val="003148B1"/>
    <w:rsid w:val="003149F7"/>
    <w:rsid w:val="00314BBE"/>
    <w:rsid w:val="00314CD6"/>
    <w:rsid w:val="00314CE1"/>
    <w:rsid w:val="00314EE3"/>
    <w:rsid w:val="00314FB5"/>
    <w:rsid w:val="00314FED"/>
    <w:rsid w:val="0031500A"/>
    <w:rsid w:val="00315284"/>
    <w:rsid w:val="0031528F"/>
    <w:rsid w:val="003152D3"/>
    <w:rsid w:val="0031536E"/>
    <w:rsid w:val="003153AB"/>
    <w:rsid w:val="003155C6"/>
    <w:rsid w:val="00315688"/>
    <w:rsid w:val="0031569C"/>
    <w:rsid w:val="00315799"/>
    <w:rsid w:val="00315819"/>
    <w:rsid w:val="00315B47"/>
    <w:rsid w:val="00315E8D"/>
    <w:rsid w:val="00315E9D"/>
    <w:rsid w:val="00315EA2"/>
    <w:rsid w:val="00315FBB"/>
    <w:rsid w:val="00316079"/>
    <w:rsid w:val="003160E8"/>
    <w:rsid w:val="003160F4"/>
    <w:rsid w:val="00316210"/>
    <w:rsid w:val="0031631A"/>
    <w:rsid w:val="0031638D"/>
    <w:rsid w:val="003163A7"/>
    <w:rsid w:val="003164BF"/>
    <w:rsid w:val="003165C8"/>
    <w:rsid w:val="003166AA"/>
    <w:rsid w:val="003167D4"/>
    <w:rsid w:val="00316AB6"/>
    <w:rsid w:val="00316AB7"/>
    <w:rsid w:val="00316B2D"/>
    <w:rsid w:val="00316D7E"/>
    <w:rsid w:val="00316E53"/>
    <w:rsid w:val="00316ED8"/>
    <w:rsid w:val="0031718B"/>
    <w:rsid w:val="003172F1"/>
    <w:rsid w:val="0031737A"/>
    <w:rsid w:val="003176A8"/>
    <w:rsid w:val="00317976"/>
    <w:rsid w:val="003179C1"/>
    <w:rsid w:val="00317A9C"/>
    <w:rsid w:val="00317AC3"/>
    <w:rsid w:val="00317CB6"/>
    <w:rsid w:val="00317DAB"/>
    <w:rsid w:val="00317E22"/>
    <w:rsid w:val="00317E35"/>
    <w:rsid w:val="0032033C"/>
    <w:rsid w:val="00320525"/>
    <w:rsid w:val="00320660"/>
    <w:rsid w:val="00320792"/>
    <w:rsid w:val="0032089F"/>
    <w:rsid w:val="00320A1C"/>
    <w:rsid w:val="00320AC7"/>
    <w:rsid w:val="00320CB3"/>
    <w:rsid w:val="00320DC0"/>
    <w:rsid w:val="00320ECE"/>
    <w:rsid w:val="00320EFA"/>
    <w:rsid w:val="00320F60"/>
    <w:rsid w:val="00321024"/>
    <w:rsid w:val="00321087"/>
    <w:rsid w:val="00321192"/>
    <w:rsid w:val="003211F2"/>
    <w:rsid w:val="00321556"/>
    <w:rsid w:val="003215E5"/>
    <w:rsid w:val="003216FF"/>
    <w:rsid w:val="0032184A"/>
    <w:rsid w:val="003218A7"/>
    <w:rsid w:val="0032194D"/>
    <w:rsid w:val="00321B10"/>
    <w:rsid w:val="00321BAB"/>
    <w:rsid w:val="00321BB8"/>
    <w:rsid w:val="00321C5B"/>
    <w:rsid w:val="00321C8D"/>
    <w:rsid w:val="00321CCC"/>
    <w:rsid w:val="00321E1B"/>
    <w:rsid w:val="00321E81"/>
    <w:rsid w:val="00321E82"/>
    <w:rsid w:val="003221E2"/>
    <w:rsid w:val="0032223D"/>
    <w:rsid w:val="003222B8"/>
    <w:rsid w:val="0032233F"/>
    <w:rsid w:val="00322513"/>
    <w:rsid w:val="0032260B"/>
    <w:rsid w:val="0032274E"/>
    <w:rsid w:val="00322967"/>
    <w:rsid w:val="00322976"/>
    <w:rsid w:val="00322986"/>
    <w:rsid w:val="003229DE"/>
    <w:rsid w:val="00322CB5"/>
    <w:rsid w:val="00322D68"/>
    <w:rsid w:val="00322E0F"/>
    <w:rsid w:val="00322E49"/>
    <w:rsid w:val="00322ECA"/>
    <w:rsid w:val="00322ECC"/>
    <w:rsid w:val="00323066"/>
    <w:rsid w:val="00323085"/>
    <w:rsid w:val="00323302"/>
    <w:rsid w:val="0032341A"/>
    <w:rsid w:val="00323476"/>
    <w:rsid w:val="003234CE"/>
    <w:rsid w:val="00323575"/>
    <w:rsid w:val="00323772"/>
    <w:rsid w:val="003239BC"/>
    <w:rsid w:val="003239E7"/>
    <w:rsid w:val="00323A8E"/>
    <w:rsid w:val="00323C06"/>
    <w:rsid w:val="00323C4D"/>
    <w:rsid w:val="00323D0B"/>
    <w:rsid w:val="00323E3E"/>
    <w:rsid w:val="00323E9F"/>
    <w:rsid w:val="00324163"/>
    <w:rsid w:val="003241CA"/>
    <w:rsid w:val="0032424E"/>
    <w:rsid w:val="003242FB"/>
    <w:rsid w:val="003244C5"/>
    <w:rsid w:val="00324565"/>
    <w:rsid w:val="00324588"/>
    <w:rsid w:val="00324799"/>
    <w:rsid w:val="00324AE3"/>
    <w:rsid w:val="00324B5A"/>
    <w:rsid w:val="00324C8C"/>
    <w:rsid w:val="0032508E"/>
    <w:rsid w:val="003250EB"/>
    <w:rsid w:val="00325707"/>
    <w:rsid w:val="0032572A"/>
    <w:rsid w:val="0032586E"/>
    <w:rsid w:val="0032588B"/>
    <w:rsid w:val="00325943"/>
    <w:rsid w:val="0032596E"/>
    <w:rsid w:val="00325993"/>
    <w:rsid w:val="00325A37"/>
    <w:rsid w:val="00325A38"/>
    <w:rsid w:val="00325BB9"/>
    <w:rsid w:val="00325D61"/>
    <w:rsid w:val="00325E53"/>
    <w:rsid w:val="00325F3C"/>
    <w:rsid w:val="003260EE"/>
    <w:rsid w:val="003261A8"/>
    <w:rsid w:val="00326209"/>
    <w:rsid w:val="0032648F"/>
    <w:rsid w:val="00326682"/>
    <w:rsid w:val="003266D2"/>
    <w:rsid w:val="0032681F"/>
    <w:rsid w:val="00326A3B"/>
    <w:rsid w:val="00326AFF"/>
    <w:rsid w:val="00326F93"/>
    <w:rsid w:val="003270F1"/>
    <w:rsid w:val="003271AA"/>
    <w:rsid w:val="003271F4"/>
    <w:rsid w:val="0032741D"/>
    <w:rsid w:val="00327421"/>
    <w:rsid w:val="003275A8"/>
    <w:rsid w:val="003276B0"/>
    <w:rsid w:val="00327703"/>
    <w:rsid w:val="0032776E"/>
    <w:rsid w:val="00327833"/>
    <w:rsid w:val="00327848"/>
    <w:rsid w:val="00327988"/>
    <w:rsid w:val="00327A86"/>
    <w:rsid w:val="00330093"/>
    <w:rsid w:val="0033022A"/>
    <w:rsid w:val="00330CB1"/>
    <w:rsid w:val="00330E5C"/>
    <w:rsid w:val="00330F55"/>
    <w:rsid w:val="00331048"/>
    <w:rsid w:val="00331119"/>
    <w:rsid w:val="00331145"/>
    <w:rsid w:val="003312C9"/>
    <w:rsid w:val="003312E4"/>
    <w:rsid w:val="0033137F"/>
    <w:rsid w:val="0033145A"/>
    <w:rsid w:val="00331559"/>
    <w:rsid w:val="00331624"/>
    <w:rsid w:val="003316DE"/>
    <w:rsid w:val="003317E2"/>
    <w:rsid w:val="003318D9"/>
    <w:rsid w:val="00331A5E"/>
    <w:rsid w:val="00331B68"/>
    <w:rsid w:val="00331E0D"/>
    <w:rsid w:val="00331E90"/>
    <w:rsid w:val="00331F66"/>
    <w:rsid w:val="0033203C"/>
    <w:rsid w:val="003323F2"/>
    <w:rsid w:val="00332479"/>
    <w:rsid w:val="00332A7F"/>
    <w:rsid w:val="00332A8A"/>
    <w:rsid w:val="00332B0E"/>
    <w:rsid w:val="00332BAE"/>
    <w:rsid w:val="00332BCB"/>
    <w:rsid w:val="00332E56"/>
    <w:rsid w:val="00332E73"/>
    <w:rsid w:val="00332F26"/>
    <w:rsid w:val="00333218"/>
    <w:rsid w:val="003332C9"/>
    <w:rsid w:val="003332EF"/>
    <w:rsid w:val="00333476"/>
    <w:rsid w:val="003335CD"/>
    <w:rsid w:val="00333684"/>
    <w:rsid w:val="003336DD"/>
    <w:rsid w:val="003337D2"/>
    <w:rsid w:val="00333839"/>
    <w:rsid w:val="00333A25"/>
    <w:rsid w:val="00333A3D"/>
    <w:rsid w:val="00333A54"/>
    <w:rsid w:val="00333DCC"/>
    <w:rsid w:val="00333EE1"/>
    <w:rsid w:val="003340A2"/>
    <w:rsid w:val="003340E0"/>
    <w:rsid w:val="0033415F"/>
    <w:rsid w:val="003341E3"/>
    <w:rsid w:val="003341F7"/>
    <w:rsid w:val="00334303"/>
    <w:rsid w:val="00334370"/>
    <w:rsid w:val="003344A6"/>
    <w:rsid w:val="00334607"/>
    <w:rsid w:val="0033473F"/>
    <w:rsid w:val="0033489B"/>
    <w:rsid w:val="00334919"/>
    <w:rsid w:val="00334B21"/>
    <w:rsid w:val="00334B7B"/>
    <w:rsid w:val="00334BF0"/>
    <w:rsid w:val="00334E4F"/>
    <w:rsid w:val="00334EAB"/>
    <w:rsid w:val="00335073"/>
    <w:rsid w:val="003350AF"/>
    <w:rsid w:val="003351DE"/>
    <w:rsid w:val="0033540B"/>
    <w:rsid w:val="0033556F"/>
    <w:rsid w:val="003355B2"/>
    <w:rsid w:val="00335845"/>
    <w:rsid w:val="003358A3"/>
    <w:rsid w:val="00335C13"/>
    <w:rsid w:val="00335C71"/>
    <w:rsid w:val="00335D07"/>
    <w:rsid w:val="00335F22"/>
    <w:rsid w:val="00336051"/>
    <w:rsid w:val="00336192"/>
    <w:rsid w:val="0033624A"/>
    <w:rsid w:val="003362E1"/>
    <w:rsid w:val="003363A5"/>
    <w:rsid w:val="003365E0"/>
    <w:rsid w:val="00336633"/>
    <w:rsid w:val="003366C7"/>
    <w:rsid w:val="003366D7"/>
    <w:rsid w:val="003366DB"/>
    <w:rsid w:val="00336A09"/>
    <w:rsid w:val="00336B23"/>
    <w:rsid w:val="00336D97"/>
    <w:rsid w:val="00336D9B"/>
    <w:rsid w:val="00337038"/>
    <w:rsid w:val="00337112"/>
    <w:rsid w:val="003371A1"/>
    <w:rsid w:val="003371A7"/>
    <w:rsid w:val="00337228"/>
    <w:rsid w:val="00337571"/>
    <w:rsid w:val="00337677"/>
    <w:rsid w:val="0033767F"/>
    <w:rsid w:val="0033768E"/>
    <w:rsid w:val="003376A8"/>
    <w:rsid w:val="0033796E"/>
    <w:rsid w:val="00337A57"/>
    <w:rsid w:val="00337B6A"/>
    <w:rsid w:val="00337BB3"/>
    <w:rsid w:val="00337C93"/>
    <w:rsid w:val="00337CDB"/>
    <w:rsid w:val="00337D25"/>
    <w:rsid w:val="0034015C"/>
    <w:rsid w:val="00340245"/>
    <w:rsid w:val="00340324"/>
    <w:rsid w:val="00340447"/>
    <w:rsid w:val="00340573"/>
    <w:rsid w:val="0034081C"/>
    <w:rsid w:val="00340A86"/>
    <w:rsid w:val="00340AE9"/>
    <w:rsid w:val="00340BA8"/>
    <w:rsid w:val="00340D3F"/>
    <w:rsid w:val="00340D8D"/>
    <w:rsid w:val="00340E76"/>
    <w:rsid w:val="00340ED7"/>
    <w:rsid w:val="00340F60"/>
    <w:rsid w:val="00340FF3"/>
    <w:rsid w:val="0034100C"/>
    <w:rsid w:val="00341181"/>
    <w:rsid w:val="00341239"/>
    <w:rsid w:val="00341398"/>
    <w:rsid w:val="00341405"/>
    <w:rsid w:val="00341583"/>
    <w:rsid w:val="0034160C"/>
    <w:rsid w:val="00341681"/>
    <w:rsid w:val="003416C9"/>
    <w:rsid w:val="003418B4"/>
    <w:rsid w:val="00341A40"/>
    <w:rsid w:val="00341AB7"/>
    <w:rsid w:val="00341B7E"/>
    <w:rsid w:val="00341DB4"/>
    <w:rsid w:val="00341DC9"/>
    <w:rsid w:val="00341E86"/>
    <w:rsid w:val="00341F1D"/>
    <w:rsid w:val="00341FB0"/>
    <w:rsid w:val="00342042"/>
    <w:rsid w:val="003421EF"/>
    <w:rsid w:val="003422ED"/>
    <w:rsid w:val="003427AB"/>
    <w:rsid w:val="00342936"/>
    <w:rsid w:val="00342954"/>
    <w:rsid w:val="00342960"/>
    <w:rsid w:val="00342A39"/>
    <w:rsid w:val="00342A40"/>
    <w:rsid w:val="00342D25"/>
    <w:rsid w:val="00342D48"/>
    <w:rsid w:val="00342D86"/>
    <w:rsid w:val="00342DC4"/>
    <w:rsid w:val="00342F29"/>
    <w:rsid w:val="00342FC8"/>
    <w:rsid w:val="00343148"/>
    <w:rsid w:val="0034338B"/>
    <w:rsid w:val="003433F9"/>
    <w:rsid w:val="0034345C"/>
    <w:rsid w:val="003435BE"/>
    <w:rsid w:val="00343610"/>
    <w:rsid w:val="0034361F"/>
    <w:rsid w:val="00343AFA"/>
    <w:rsid w:val="00343BAB"/>
    <w:rsid w:val="00343BE4"/>
    <w:rsid w:val="00343D1D"/>
    <w:rsid w:val="00343EC7"/>
    <w:rsid w:val="00344419"/>
    <w:rsid w:val="0034466A"/>
    <w:rsid w:val="00344756"/>
    <w:rsid w:val="00344875"/>
    <w:rsid w:val="003449CB"/>
    <w:rsid w:val="00344C15"/>
    <w:rsid w:val="00344C39"/>
    <w:rsid w:val="003450C4"/>
    <w:rsid w:val="003452A8"/>
    <w:rsid w:val="003454EE"/>
    <w:rsid w:val="00345545"/>
    <w:rsid w:val="003455DA"/>
    <w:rsid w:val="00345653"/>
    <w:rsid w:val="003458EF"/>
    <w:rsid w:val="003459B0"/>
    <w:rsid w:val="00345A17"/>
    <w:rsid w:val="00345A7E"/>
    <w:rsid w:val="00345AAE"/>
    <w:rsid w:val="00345BD1"/>
    <w:rsid w:val="00345D31"/>
    <w:rsid w:val="00345DD6"/>
    <w:rsid w:val="00345F54"/>
    <w:rsid w:val="00345FB8"/>
    <w:rsid w:val="00346075"/>
    <w:rsid w:val="00346112"/>
    <w:rsid w:val="00346188"/>
    <w:rsid w:val="003462EB"/>
    <w:rsid w:val="00346380"/>
    <w:rsid w:val="003464B3"/>
    <w:rsid w:val="0034675C"/>
    <w:rsid w:val="00346793"/>
    <w:rsid w:val="00346821"/>
    <w:rsid w:val="00346A4C"/>
    <w:rsid w:val="00346C8B"/>
    <w:rsid w:val="00346DA5"/>
    <w:rsid w:val="00347151"/>
    <w:rsid w:val="00347498"/>
    <w:rsid w:val="0034754E"/>
    <w:rsid w:val="0034755F"/>
    <w:rsid w:val="00347565"/>
    <w:rsid w:val="00347570"/>
    <w:rsid w:val="00347841"/>
    <w:rsid w:val="00347A12"/>
    <w:rsid w:val="00347E55"/>
    <w:rsid w:val="0035004D"/>
    <w:rsid w:val="0035008B"/>
    <w:rsid w:val="003500C7"/>
    <w:rsid w:val="00350168"/>
    <w:rsid w:val="003501F3"/>
    <w:rsid w:val="00350247"/>
    <w:rsid w:val="0035025B"/>
    <w:rsid w:val="003503CD"/>
    <w:rsid w:val="00350481"/>
    <w:rsid w:val="00350513"/>
    <w:rsid w:val="003505A7"/>
    <w:rsid w:val="003505ED"/>
    <w:rsid w:val="0035060E"/>
    <w:rsid w:val="003507FC"/>
    <w:rsid w:val="00350A2A"/>
    <w:rsid w:val="00350C6D"/>
    <w:rsid w:val="00351122"/>
    <w:rsid w:val="0035115C"/>
    <w:rsid w:val="003512DC"/>
    <w:rsid w:val="003513C2"/>
    <w:rsid w:val="003513E9"/>
    <w:rsid w:val="00351403"/>
    <w:rsid w:val="00351427"/>
    <w:rsid w:val="003516C0"/>
    <w:rsid w:val="003517F0"/>
    <w:rsid w:val="0035189B"/>
    <w:rsid w:val="0035193C"/>
    <w:rsid w:val="003519D2"/>
    <w:rsid w:val="003519F5"/>
    <w:rsid w:val="00351C74"/>
    <w:rsid w:val="00351D12"/>
    <w:rsid w:val="00351DA5"/>
    <w:rsid w:val="00351FDA"/>
    <w:rsid w:val="00352262"/>
    <w:rsid w:val="00352506"/>
    <w:rsid w:val="00352A1D"/>
    <w:rsid w:val="00352D7E"/>
    <w:rsid w:val="0035319E"/>
    <w:rsid w:val="0035330C"/>
    <w:rsid w:val="00353321"/>
    <w:rsid w:val="00353327"/>
    <w:rsid w:val="0035343B"/>
    <w:rsid w:val="003535E6"/>
    <w:rsid w:val="00353729"/>
    <w:rsid w:val="003538BE"/>
    <w:rsid w:val="003539C6"/>
    <w:rsid w:val="00353A5E"/>
    <w:rsid w:val="00353D25"/>
    <w:rsid w:val="00353F63"/>
    <w:rsid w:val="0035401B"/>
    <w:rsid w:val="00354037"/>
    <w:rsid w:val="00354478"/>
    <w:rsid w:val="00354615"/>
    <w:rsid w:val="003547D8"/>
    <w:rsid w:val="00354889"/>
    <w:rsid w:val="003548B0"/>
    <w:rsid w:val="00354951"/>
    <w:rsid w:val="00354C7B"/>
    <w:rsid w:val="00354DCD"/>
    <w:rsid w:val="0035508F"/>
    <w:rsid w:val="003550ED"/>
    <w:rsid w:val="003550F4"/>
    <w:rsid w:val="003551E7"/>
    <w:rsid w:val="0035548C"/>
    <w:rsid w:val="00355816"/>
    <w:rsid w:val="00355840"/>
    <w:rsid w:val="003558C3"/>
    <w:rsid w:val="00355A96"/>
    <w:rsid w:val="00355B15"/>
    <w:rsid w:val="00355BBC"/>
    <w:rsid w:val="00355D15"/>
    <w:rsid w:val="00355E2F"/>
    <w:rsid w:val="00355E34"/>
    <w:rsid w:val="00355ED0"/>
    <w:rsid w:val="00356161"/>
    <w:rsid w:val="003561D7"/>
    <w:rsid w:val="0035624C"/>
    <w:rsid w:val="0035629A"/>
    <w:rsid w:val="00356466"/>
    <w:rsid w:val="0035664C"/>
    <w:rsid w:val="003566AA"/>
    <w:rsid w:val="00356815"/>
    <w:rsid w:val="00356A66"/>
    <w:rsid w:val="00356AED"/>
    <w:rsid w:val="00356B1D"/>
    <w:rsid w:val="00356CD9"/>
    <w:rsid w:val="00356DCA"/>
    <w:rsid w:val="00356E2B"/>
    <w:rsid w:val="00356F06"/>
    <w:rsid w:val="00357088"/>
    <w:rsid w:val="003570F1"/>
    <w:rsid w:val="003573DB"/>
    <w:rsid w:val="003574C2"/>
    <w:rsid w:val="003574DA"/>
    <w:rsid w:val="0035762E"/>
    <w:rsid w:val="00357781"/>
    <w:rsid w:val="00357793"/>
    <w:rsid w:val="003579E9"/>
    <w:rsid w:val="00357D86"/>
    <w:rsid w:val="00357DF3"/>
    <w:rsid w:val="00357EA6"/>
    <w:rsid w:val="00357F05"/>
    <w:rsid w:val="003600A0"/>
    <w:rsid w:val="0036057A"/>
    <w:rsid w:val="00360594"/>
    <w:rsid w:val="003605DA"/>
    <w:rsid w:val="003605F9"/>
    <w:rsid w:val="00360685"/>
    <w:rsid w:val="00360729"/>
    <w:rsid w:val="0036089A"/>
    <w:rsid w:val="00360BD1"/>
    <w:rsid w:val="00360C0A"/>
    <w:rsid w:val="00360E69"/>
    <w:rsid w:val="00360EAA"/>
    <w:rsid w:val="00360FD2"/>
    <w:rsid w:val="00361119"/>
    <w:rsid w:val="0036120F"/>
    <w:rsid w:val="003614E3"/>
    <w:rsid w:val="003616BA"/>
    <w:rsid w:val="00361A25"/>
    <w:rsid w:val="00361A2B"/>
    <w:rsid w:val="00361AC5"/>
    <w:rsid w:val="00361AFE"/>
    <w:rsid w:val="00361D62"/>
    <w:rsid w:val="003620DD"/>
    <w:rsid w:val="0036238F"/>
    <w:rsid w:val="00362390"/>
    <w:rsid w:val="00362466"/>
    <w:rsid w:val="003625DD"/>
    <w:rsid w:val="00362774"/>
    <w:rsid w:val="0036278C"/>
    <w:rsid w:val="003627E7"/>
    <w:rsid w:val="00362AC0"/>
    <w:rsid w:val="00362DB4"/>
    <w:rsid w:val="00362F1B"/>
    <w:rsid w:val="00362F21"/>
    <w:rsid w:val="00362F30"/>
    <w:rsid w:val="00362F8F"/>
    <w:rsid w:val="00363025"/>
    <w:rsid w:val="0036320E"/>
    <w:rsid w:val="00363393"/>
    <w:rsid w:val="003635DD"/>
    <w:rsid w:val="00363BE4"/>
    <w:rsid w:val="00363C36"/>
    <w:rsid w:val="00363C86"/>
    <w:rsid w:val="00363CC8"/>
    <w:rsid w:val="00363DE1"/>
    <w:rsid w:val="00363E0B"/>
    <w:rsid w:val="00363EE6"/>
    <w:rsid w:val="00363F10"/>
    <w:rsid w:val="003641EC"/>
    <w:rsid w:val="003641F7"/>
    <w:rsid w:val="00364401"/>
    <w:rsid w:val="003644D8"/>
    <w:rsid w:val="003644ED"/>
    <w:rsid w:val="003644F8"/>
    <w:rsid w:val="00364790"/>
    <w:rsid w:val="0036486E"/>
    <w:rsid w:val="003648D8"/>
    <w:rsid w:val="0036496F"/>
    <w:rsid w:val="00364A3D"/>
    <w:rsid w:val="00364B77"/>
    <w:rsid w:val="00364D1E"/>
    <w:rsid w:val="00364DD9"/>
    <w:rsid w:val="00364E3B"/>
    <w:rsid w:val="00364EFA"/>
    <w:rsid w:val="00364FAB"/>
    <w:rsid w:val="00365162"/>
    <w:rsid w:val="00365201"/>
    <w:rsid w:val="00365590"/>
    <w:rsid w:val="0036561E"/>
    <w:rsid w:val="00365658"/>
    <w:rsid w:val="003656FE"/>
    <w:rsid w:val="00365704"/>
    <w:rsid w:val="003658CA"/>
    <w:rsid w:val="00365B9C"/>
    <w:rsid w:val="00365F85"/>
    <w:rsid w:val="00365FCA"/>
    <w:rsid w:val="00366108"/>
    <w:rsid w:val="003661A5"/>
    <w:rsid w:val="00366413"/>
    <w:rsid w:val="00366492"/>
    <w:rsid w:val="0036680C"/>
    <w:rsid w:val="00366890"/>
    <w:rsid w:val="003669F4"/>
    <w:rsid w:val="00366A0D"/>
    <w:rsid w:val="00366A51"/>
    <w:rsid w:val="00366AEA"/>
    <w:rsid w:val="00366CCE"/>
    <w:rsid w:val="00366D51"/>
    <w:rsid w:val="00366D7A"/>
    <w:rsid w:val="00366FB0"/>
    <w:rsid w:val="003670A7"/>
    <w:rsid w:val="0036726D"/>
    <w:rsid w:val="003672B0"/>
    <w:rsid w:val="003674F0"/>
    <w:rsid w:val="003675C0"/>
    <w:rsid w:val="0036763E"/>
    <w:rsid w:val="00367690"/>
    <w:rsid w:val="00367788"/>
    <w:rsid w:val="00367951"/>
    <w:rsid w:val="00367997"/>
    <w:rsid w:val="00367A04"/>
    <w:rsid w:val="00367AA4"/>
    <w:rsid w:val="00367E59"/>
    <w:rsid w:val="00367E5C"/>
    <w:rsid w:val="00367E6C"/>
    <w:rsid w:val="00370195"/>
    <w:rsid w:val="00370201"/>
    <w:rsid w:val="003704E0"/>
    <w:rsid w:val="00370748"/>
    <w:rsid w:val="003707A4"/>
    <w:rsid w:val="003708FD"/>
    <w:rsid w:val="00370A2D"/>
    <w:rsid w:val="00370BC4"/>
    <w:rsid w:val="00370BE0"/>
    <w:rsid w:val="00370C4B"/>
    <w:rsid w:val="00370C8F"/>
    <w:rsid w:val="00370CCF"/>
    <w:rsid w:val="00370D1F"/>
    <w:rsid w:val="00370E70"/>
    <w:rsid w:val="0037128E"/>
    <w:rsid w:val="0037131D"/>
    <w:rsid w:val="00371321"/>
    <w:rsid w:val="00371365"/>
    <w:rsid w:val="0037137D"/>
    <w:rsid w:val="003714DB"/>
    <w:rsid w:val="003714EC"/>
    <w:rsid w:val="003717E9"/>
    <w:rsid w:val="0037186F"/>
    <w:rsid w:val="00371A05"/>
    <w:rsid w:val="00371B81"/>
    <w:rsid w:val="00371BFE"/>
    <w:rsid w:val="00371CE8"/>
    <w:rsid w:val="00371DCF"/>
    <w:rsid w:val="00371F8B"/>
    <w:rsid w:val="00372030"/>
    <w:rsid w:val="003720E2"/>
    <w:rsid w:val="0037210D"/>
    <w:rsid w:val="00372186"/>
    <w:rsid w:val="00372566"/>
    <w:rsid w:val="00372746"/>
    <w:rsid w:val="003727D7"/>
    <w:rsid w:val="00372968"/>
    <w:rsid w:val="00372976"/>
    <w:rsid w:val="00372986"/>
    <w:rsid w:val="00372A84"/>
    <w:rsid w:val="00372AD3"/>
    <w:rsid w:val="00372AD6"/>
    <w:rsid w:val="00372B16"/>
    <w:rsid w:val="00372B66"/>
    <w:rsid w:val="00372BC3"/>
    <w:rsid w:val="00372D71"/>
    <w:rsid w:val="00372DFF"/>
    <w:rsid w:val="00372F5E"/>
    <w:rsid w:val="00372FDD"/>
    <w:rsid w:val="00373074"/>
    <w:rsid w:val="0037309F"/>
    <w:rsid w:val="00373122"/>
    <w:rsid w:val="00373490"/>
    <w:rsid w:val="00373560"/>
    <w:rsid w:val="003735B0"/>
    <w:rsid w:val="0037367E"/>
    <w:rsid w:val="0037374C"/>
    <w:rsid w:val="0037380F"/>
    <w:rsid w:val="00373873"/>
    <w:rsid w:val="003739BD"/>
    <w:rsid w:val="00373A53"/>
    <w:rsid w:val="00373E0C"/>
    <w:rsid w:val="003740A6"/>
    <w:rsid w:val="00374148"/>
    <w:rsid w:val="003741FA"/>
    <w:rsid w:val="0037424E"/>
    <w:rsid w:val="00374251"/>
    <w:rsid w:val="00374254"/>
    <w:rsid w:val="0037439A"/>
    <w:rsid w:val="00374480"/>
    <w:rsid w:val="003745ED"/>
    <w:rsid w:val="0037478E"/>
    <w:rsid w:val="003747BC"/>
    <w:rsid w:val="00374949"/>
    <w:rsid w:val="003749CF"/>
    <w:rsid w:val="00374AC6"/>
    <w:rsid w:val="00374C75"/>
    <w:rsid w:val="00374E86"/>
    <w:rsid w:val="00374EBB"/>
    <w:rsid w:val="00374EF9"/>
    <w:rsid w:val="00374F72"/>
    <w:rsid w:val="003750C3"/>
    <w:rsid w:val="00375135"/>
    <w:rsid w:val="00375404"/>
    <w:rsid w:val="0037576B"/>
    <w:rsid w:val="00375816"/>
    <w:rsid w:val="003758C1"/>
    <w:rsid w:val="003759E4"/>
    <w:rsid w:val="003759ED"/>
    <w:rsid w:val="00375DCD"/>
    <w:rsid w:val="00375F22"/>
    <w:rsid w:val="00375F25"/>
    <w:rsid w:val="00376016"/>
    <w:rsid w:val="00376131"/>
    <w:rsid w:val="003761E4"/>
    <w:rsid w:val="00376440"/>
    <w:rsid w:val="0037646B"/>
    <w:rsid w:val="003764FB"/>
    <w:rsid w:val="003766EA"/>
    <w:rsid w:val="00376842"/>
    <w:rsid w:val="0037697E"/>
    <w:rsid w:val="00376B0E"/>
    <w:rsid w:val="00377037"/>
    <w:rsid w:val="0037706A"/>
    <w:rsid w:val="003770B1"/>
    <w:rsid w:val="003771DA"/>
    <w:rsid w:val="0037728C"/>
    <w:rsid w:val="003772EA"/>
    <w:rsid w:val="0037743F"/>
    <w:rsid w:val="0037760D"/>
    <w:rsid w:val="003776DD"/>
    <w:rsid w:val="00377831"/>
    <w:rsid w:val="00377A24"/>
    <w:rsid w:val="00377B7F"/>
    <w:rsid w:val="00377C33"/>
    <w:rsid w:val="00377D33"/>
    <w:rsid w:val="00380061"/>
    <w:rsid w:val="0038010E"/>
    <w:rsid w:val="0038023E"/>
    <w:rsid w:val="0038027C"/>
    <w:rsid w:val="00380479"/>
    <w:rsid w:val="00380498"/>
    <w:rsid w:val="003804E6"/>
    <w:rsid w:val="0038058C"/>
    <w:rsid w:val="003806F6"/>
    <w:rsid w:val="003806FC"/>
    <w:rsid w:val="0038089B"/>
    <w:rsid w:val="00380B05"/>
    <w:rsid w:val="00380B65"/>
    <w:rsid w:val="00380D7B"/>
    <w:rsid w:val="00380DC2"/>
    <w:rsid w:val="00380E55"/>
    <w:rsid w:val="00380FF5"/>
    <w:rsid w:val="003810D2"/>
    <w:rsid w:val="003811E2"/>
    <w:rsid w:val="0038151C"/>
    <w:rsid w:val="00381654"/>
    <w:rsid w:val="00381773"/>
    <w:rsid w:val="00381833"/>
    <w:rsid w:val="0038197B"/>
    <w:rsid w:val="00381A48"/>
    <w:rsid w:val="00381A72"/>
    <w:rsid w:val="00381B8A"/>
    <w:rsid w:val="00381F2E"/>
    <w:rsid w:val="00382078"/>
    <w:rsid w:val="003820D7"/>
    <w:rsid w:val="0038222D"/>
    <w:rsid w:val="00382314"/>
    <w:rsid w:val="003823B3"/>
    <w:rsid w:val="00382847"/>
    <w:rsid w:val="00382BF1"/>
    <w:rsid w:val="00382CC9"/>
    <w:rsid w:val="00382E98"/>
    <w:rsid w:val="00382ECB"/>
    <w:rsid w:val="0038304A"/>
    <w:rsid w:val="003830CC"/>
    <w:rsid w:val="003831C1"/>
    <w:rsid w:val="003832BD"/>
    <w:rsid w:val="00383374"/>
    <w:rsid w:val="00383406"/>
    <w:rsid w:val="0038357A"/>
    <w:rsid w:val="003836BD"/>
    <w:rsid w:val="00383748"/>
    <w:rsid w:val="00383756"/>
    <w:rsid w:val="00383921"/>
    <w:rsid w:val="00383987"/>
    <w:rsid w:val="00383C76"/>
    <w:rsid w:val="00383D21"/>
    <w:rsid w:val="00383F14"/>
    <w:rsid w:val="00383F2A"/>
    <w:rsid w:val="00384032"/>
    <w:rsid w:val="00384204"/>
    <w:rsid w:val="00384245"/>
    <w:rsid w:val="00384369"/>
    <w:rsid w:val="00384440"/>
    <w:rsid w:val="003845CA"/>
    <w:rsid w:val="0038465E"/>
    <w:rsid w:val="0038487D"/>
    <w:rsid w:val="00384B01"/>
    <w:rsid w:val="00384B29"/>
    <w:rsid w:val="00384B6C"/>
    <w:rsid w:val="00384CBE"/>
    <w:rsid w:val="00384E5C"/>
    <w:rsid w:val="00384E8D"/>
    <w:rsid w:val="00384E94"/>
    <w:rsid w:val="00384FB2"/>
    <w:rsid w:val="0038504E"/>
    <w:rsid w:val="00385181"/>
    <w:rsid w:val="0038524E"/>
    <w:rsid w:val="00385407"/>
    <w:rsid w:val="003854F3"/>
    <w:rsid w:val="00385751"/>
    <w:rsid w:val="003857E5"/>
    <w:rsid w:val="00385A39"/>
    <w:rsid w:val="00385B17"/>
    <w:rsid w:val="00385D54"/>
    <w:rsid w:val="00385DB4"/>
    <w:rsid w:val="00385DF6"/>
    <w:rsid w:val="00385ED2"/>
    <w:rsid w:val="00385F6F"/>
    <w:rsid w:val="003860BB"/>
    <w:rsid w:val="0038616D"/>
    <w:rsid w:val="0038633C"/>
    <w:rsid w:val="003863C1"/>
    <w:rsid w:val="00386452"/>
    <w:rsid w:val="003864D5"/>
    <w:rsid w:val="003864FB"/>
    <w:rsid w:val="00386532"/>
    <w:rsid w:val="0038659B"/>
    <w:rsid w:val="00386723"/>
    <w:rsid w:val="00386A56"/>
    <w:rsid w:val="00386ADA"/>
    <w:rsid w:val="00386B2B"/>
    <w:rsid w:val="00386D47"/>
    <w:rsid w:val="00386D63"/>
    <w:rsid w:val="00386EB6"/>
    <w:rsid w:val="00386F05"/>
    <w:rsid w:val="00386F38"/>
    <w:rsid w:val="0038714D"/>
    <w:rsid w:val="003871A9"/>
    <w:rsid w:val="00387290"/>
    <w:rsid w:val="00387313"/>
    <w:rsid w:val="003873EA"/>
    <w:rsid w:val="00387499"/>
    <w:rsid w:val="00387582"/>
    <w:rsid w:val="00387637"/>
    <w:rsid w:val="003876C0"/>
    <w:rsid w:val="00387A28"/>
    <w:rsid w:val="00387B88"/>
    <w:rsid w:val="00387CE3"/>
    <w:rsid w:val="00387CE6"/>
    <w:rsid w:val="003900A2"/>
    <w:rsid w:val="003900D2"/>
    <w:rsid w:val="00390410"/>
    <w:rsid w:val="003904E4"/>
    <w:rsid w:val="0039054C"/>
    <w:rsid w:val="00390751"/>
    <w:rsid w:val="00390961"/>
    <w:rsid w:val="003909ED"/>
    <w:rsid w:val="00390BC1"/>
    <w:rsid w:val="00390C5B"/>
    <w:rsid w:val="00390F79"/>
    <w:rsid w:val="0039111B"/>
    <w:rsid w:val="0039124D"/>
    <w:rsid w:val="00391825"/>
    <w:rsid w:val="00391AB6"/>
    <w:rsid w:val="00391B20"/>
    <w:rsid w:val="00391B40"/>
    <w:rsid w:val="00391CB2"/>
    <w:rsid w:val="00391D17"/>
    <w:rsid w:val="00391D31"/>
    <w:rsid w:val="00391D6B"/>
    <w:rsid w:val="00391F22"/>
    <w:rsid w:val="00391F55"/>
    <w:rsid w:val="003920BA"/>
    <w:rsid w:val="00392108"/>
    <w:rsid w:val="00392539"/>
    <w:rsid w:val="00392715"/>
    <w:rsid w:val="0039278F"/>
    <w:rsid w:val="0039286A"/>
    <w:rsid w:val="003928C3"/>
    <w:rsid w:val="003928E4"/>
    <w:rsid w:val="0039299C"/>
    <w:rsid w:val="003929FF"/>
    <w:rsid w:val="00392A88"/>
    <w:rsid w:val="00392D15"/>
    <w:rsid w:val="00392D8C"/>
    <w:rsid w:val="00392E52"/>
    <w:rsid w:val="0039324D"/>
    <w:rsid w:val="003932D5"/>
    <w:rsid w:val="00393353"/>
    <w:rsid w:val="003934C0"/>
    <w:rsid w:val="00393564"/>
    <w:rsid w:val="00393648"/>
    <w:rsid w:val="0039365B"/>
    <w:rsid w:val="00393680"/>
    <w:rsid w:val="00393783"/>
    <w:rsid w:val="0039385B"/>
    <w:rsid w:val="003939DF"/>
    <w:rsid w:val="00393A0B"/>
    <w:rsid w:val="00393AD9"/>
    <w:rsid w:val="00393B16"/>
    <w:rsid w:val="00393C79"/>
    <w:rsid w:val="00393E9D"/>
    <w:rsid w:val="003941B7"/>
    <w:rsid w:val="003944AC"/>
    <w:rsid w:val="003944CB"/>
    <w:rsid w:val="00394658"/>
    <w:rsid w:val="00394915"/>
    <w:rsid w:val="00394999"/>
    <w:rsid w:val="00394B4E"/>
    <w:rsid w:val="00394C0B"/>
    <w:rsid w:val="00394CFF"/>
    <w:rsid w:val="00394EA3"/>
    <w:rsid w:val="00394EB2"/>
    <w:rsid w:val="00394EEE"/>
    <w:rsid w:val="00394F23"/>
    <w:rsid w:val="00394F8B"/>
    <w:rsid w:val="0039518F"/>
    <w:rsid w:val="003953B4"/>
    <w:rsid w:val="00395603"/>
    <w:rsid w:val="00395622"/>
    <w:rsid w:val="00395632"/>
    <w:rsid w:val="00395760"/>
    <w:rsid w:val="0039578A"/>
    <w:rsid w:val="003959BF"/>
    <w:rsid w:val="00395D94"/>
    <w:rsid w:val="00395EFA"/>
    <w:rsid w:val="00395F2E"/>
    <w:rsid w:val="00395F30"/>
    <w:rsid w:val="003960E2"/>
    <w:rsid w:val="003963B0"/>
    <w:rsid w:val="00396836"/>
    <w:rsid w:val="00396D33"/>
    <w:rsid w:val="00396EFB"/>
    <w:rsid w:val="00396FD8"/>
    <w:rsid w:val="003971B5"/>
    <w:rsid w:val="003972E7"/>
    <w:rsid w:val="003973DB"/>
    <w:rsid w:val="00397602"/>
    <w:rsid w:val="00397657"/>
    <w:rsid w:val="0039773A"/>
    <w:rsid w:val="00397A04"/>
    <w:rsid w:val="00397C66"/>
    <w:rsid w:val="00397D69"/>
    <w:rsid w:val="00397E0E"/>
    <w:rsid w:val="00397EC3"/>
    <w:rsid w:val="003A0136"/>
    <w:rsid w:val="003A046D"/>
    <w:rsid w:val="003A0608"/>
    <w:rsid w:val="003A062B"/>
    <w:rsid w:val="003A06E4"/>
    <w:rsid w:val="003A06E9"/>
    <w:rsid w:val="003A08F3"/>
    <w:rsid w:val="003A08FF"/>
    <w:rsid w:val="003A0AC2"/>
    <w:rsid w:val="003A0CA1"/>
    <w:rsid w:val="003A0E5E"/>
    <w:rsid w:val="003A0F12"/>
    <w:rsid w:val="003A0F61"/>
    <w:rsid w:val="003A0FC1"/>
    <w:rsid w:val="003A119F"/>
    <w:rsid w:val="003A1235"/>
    <w:rsid w:val="003A127F"/>
    <w:rsid w:val="003A13C6"/>
    <w:rsid w:val="003A141F"/>
    <w:rsid w:val="003A1432"/>
    <w:rsid w:val="003A1478"/>
    <w:rsid w:val="003A14F7"/>
    <w:rsid w:val="003A14FF"/>
    <w:rsid w:val="003A157F"/>
    <w:rsid w:val="003A15F2"/>
    <w:rsid w:val="003A164E"/>
    <w:rsid w:val="003A166B"/>
    <w:rsid w:val="003A182E"/>
    <w:rsid w:val="003A18E0"/>
    <w:rsid w:val="003A1967"/>
    <w:rsid w:val="003A19C4"/>
    <w:rsid w:val="003A1BD9"/>
    <w:rsid w:val="003A1C79"/>
    <w:rsid w:val="003A1CBF"/>
    <w:rsid w:val="003A1E33"/>
    <w:rsid w:val="003A1F1F"/>
    <w:rsid w:val="003A1FFB"/>
    <w:rsid w:val="003A223A"/>
    <w:rsid w:val="003A2281"/>
    <w:rsid w:val="003A2852"/>
    <w:rsid w:val="003A289B"/>
    <w:rsid w:val="003A2B18"/>
    <w:rsid w:val="003A2BC0"/>
    <w:rsid w:val="003A2DAB"/>
    <w:rsid w:val="003A2EF1"/>
    <w:rsid w:val="003A2F7C"/>
    <w:rsid w:val="003A2FB6"/>
    <w:rsid w:val="003A30C6"/>
    <w:rsid w:val="003A30FD"/>
    <w:rsid w:val="003A316B"/>
    <w:rsid w:val="003A3195"/>
    <w:rsid w:val="003A3331"/>
    <w:rsid w:val="003A340D"/>
    <w:rsid w:val="003A360C"/>
    <w:rsid w:val="003A377E"/>
    <w:rsid w:val="003A3798"/>
    <w:rsid w:val="003A37C8"/>
    <w:rsid w:val="003A394B"/>
    <w:rsid w:val="003A39F9"/>
    <w:rsid w:val="003A3C0F"/>
    <w:rsid w:val="003A3C7E"/>
    <w:rsid w:val="003A3F35"/>
    <w:rsid w:val="003A409D"/>
    <w:rsid w:val="003A40F2"/>
    <w:rsid w:val="003A4193"/>
    <w:rsid w:val="003A41F2"/>
    <w:rsid w:val="003A4419"/>
    <w:rsid w:val="003A4455"/>
    <w:rsid w:val="003A464E"/>
    <w:rsid w:val="003A4707"/>
    <w:rsid w:val="003A47CF"/>
    <w:rsid w:val="003A4819"/>
    <w:rsid w:val="003A483A"/>
    <w:rsid w:val="003A4866"/>
    <w:rsid w:val="003A48BA"/>
    <w:rsid w:val="003A4A97"/>
    <w:rsid w:val="003A4B0F"/>
    <w:rsid w:val="003A4EB2"/>
    <w:rsid w:val="003A4F34"/>
    <w:rsid w:val="003A514B"/>
    <w:rsid w:val="003A5258"/>
    <w:rsid w:val="003A52B5"/>
    <w:rsid w:val="003A53DE"/>
    <w:rsid w:val="003A54D0"/>
    <w:rsid w:val="003A563A"/>
    <w:rsid w:val="003A566F"/>
    <w:rsid w:val="003A5749"/>
    <w:rsid w:val="003A5777"/>
    <w:rsid w:val="003A57DC"/>
    <w:rsid w:val="003A588F"/>
    <w:rsid w:val="003A5E63"/>
    <w:rsid w:val="003A5F2E"/>
    <w:rsid w:val="003A5FA0"/>
    <w:rsid w:val="003A6166"/>
    <w:rsid w:val="003A6529"/>
    <w:rsid w:val="003A65BB"/>
    <w:rsid w:val="003A65DD"/>
    <w:rsid w:val="003A669F"/>
    <w:rsid w:val="003A68CD"/>
    <w:rsid w:val="003A68F0"/>
    <w:rsid w:val="003A69C0"/>
    <w:rsid w:val="003A6AFC"/>
    <w:rsid w:val="003A6BFE"/>
    <w:rsid w:val="003A6F81"/>
    <w:rsid w:val="003A6FA3"/>
    <w:rsid w:val="003A70BD"/>
    <w:rsid w:val="003A7144"/>
    <w:rsid w:val="003A718B"/>
    <w:rsid w:val="003A7296"/>
    <w:rsid w:val="003A72D4"/>
    <w:rsid w:val="003A74BA"/>
    <w:rsid w:val="003A7512"/>
    <w:rsid w:val="003A75A1"/>
    <w:rsid w:val="003A75F5"/>
    <w:rsid w:val="003A771A"/>
    <w:rsid w:val="003A78F7"/>
    <w:rsid w:val="003A7980"/>
    <w:rsid w:val="003A799D"/>
    <w:rsid w:val="003A7B47"/>
    <w:rsid w:val="003A7B77"/>
    <w:rsid w:val="003A7BF5"/>
    <w:rsid w:val="003A7F12"/>
    <w:rsid w:val="003B0158"/>
    <w:rsid w:val="003B032E"/>
    <w:rsid w:val="003B0504"/>
    <w:rsid w:val="003B056F"/>
    <w:rsid w:val="003B05D6"/>
    <w:rsid w:val="003B05F3"/>
    <w:rsid w:val="003B0903"/>
    <w:rsid w:val="003B091F"/>
    <w:rsid w:val="003B099F"/>
    <w:rsid w:val="003B0A3D"/>
    <w:rsid w:val="003B0A3F"/>
    <w:rsid w:val="003B0AC5"/>
    <w:rsid w:val="003B0B7B"/>
    <w:rsid w:val="003B0C4F"/>
    <w:rsid w:val="003B1128"/>
    <w:rsid w:val="003B1240"/>
    <w:rsid w:val="003B1288"/>
    <w:rsid w:val="003B12BB"/>
    <w:rsid w:val="003B134B"/>
    <w:rsid w:val="003B1C32"/>
    <w:rsid w:val="003B1D49"/>
    <w:rsid w:val="003B1F6A"/>
    <w:rsid w:val="003B20AC"/>
    <w:rsid w:val="003B2260"/>
    <w:rsid w:val="003B23B5"/>
    <w:rsid w:val="003B2493"/>
    <w:rsid w:val="003B259A"/>
    <w:rsid w:val="003B2B3B"/>
    <w:rsid w:val="003B2BA6"/>
    <w:rsid w:val="003B2D99"/>
    <w:rsid w:val="003B2E68"/>
    <w:rsid w:val="003B2E70"/>
    <w:rsid w:val="003B2F5B"/>
    <w:rsid w:val="003B2F7B"/>
    <w:rsid w:val="003B2FCA"/>
    <w:rsid w:val="003B3028"/>
    <w:rsid w:val="003B3060"/>
    <w:rsid w:val="003B306A"/>
    <w:rsid w:val="003B306F"/>
    <w:rsid w:val="003B32C2"/>
    <w:rsid w:val="003B32FB"/>
    <w:rsid w:val="003B34AE"/>
    <w:rsid w:val="003B35B9"/>
    <w:rsid w:val="003B35C4"/>
    <w:rsid w:val="003B3865"/>
    <w:rsid w:val="003B389D"/>
    <w:rsid w:val="003B3A8B"/>
    <w:rsid w:val="003B3D0F"/>
    <w:rsid w:val="003B3D38"/>
    <w:rsid w:val="003B3D77"/>
    <w:rsid w:val="003B3D8B"/>
    <w:rsid w:val="003B3D99"/>
    <w:rsid w:val="003B3DDF"/>
    <w:rsid w:val="003B3E49"/>
    <w:rsid w:val="003B3E4A"/>
    <w:rsid w:val="003B3F26"/>
    <w:rsid w:val="003B40CC"/>
    <w:rsid w:val="003B413A"/>
    <w:rsid w:val="003B426C"/>
    <w:rsid w:val="003B485A"/>
    <w:rsid w:val="003B49BC"/>
    <w:rsid w:val="003B4B97"/>
    <w:rsid w:val="003B4BFB"/>
    <w:rsid w:val="003B4CC9"/>
    <w:rsid w:val="003B4DB2"/>
    <w:rsid w:val="003B4FC2"/>
    <w:rsid w:val="003B5090"/>
    <w:rsid w:val="003B523C"/>
    <w:rsid w:val="003B53EC"/>
    <w:rsid w:val="003B549B"/>
    <w:rsid w:val="003B5772"/>
    <w:rsid w:val="003B57F8"/>
    <w:rsid w:val="003B590A"/>
    <w:rsid w:val="003B595B"/>
    <w:rsid w:val="003B59ED"/>
    <w:rsid w:val="003B5A9C"/>
    <w:rsid w:val="003B5C8B"/>
    <w:rsid w:val="003B5CF4"/>
    <w:rsid w:val="003B5D3D"/>
    <w:rsid w:val="003B5DA6"/>
    <w:rsid w:val="003B5E7A"/>
    <w:rsid w:val="003B612F"/>
    <w:rsid w:val="003B61F7"/>
    <w:rsid w:val="003B6226"/>
    <w:rsid w:val="003B6238"/>
    <w:rsid w:val="003B6257"/>
    <w:rsid w:val="003B6298"/>
    <w:rsid w:val="003B64DA"/>
    <w:rsid w:val="003B64F1"/>
    <w:rsid w:val="003B6633"/>
    <w:rsid w:val="003B670C"/>
    <w:rsid w:val="003B672D"/>
    <w:rsid w:val="003B68E6"/>
    <w:rsid w:val="003B68E7"/>
    <w:rsid w:val="003B6B91"/>
    <w:rsid w:val="003B6C17"/>
    <w:rsid w:val="003B6C64"/>
    <w:rsid w:val="003B6F21"/>
    <w:rsid w:val="003B7081"/>
    <w:rsid w:val="003B7475"/>
    <w:rsid w:val="003B751E"/>
    <w:rsid w:val="003B7556"/>
    <w:rsid w:val="003B7740"/>
    <w:rsid w:val="003B784A"/>
    <w:rsid w:val="003B7884"/>
    <w:rsid w:val="003B78A3"/>
    <w:rsid w:val="003B78CF"/>
    <w:rsid w:val="003B7913"/>
    <w:rsid w:val="003B7995"/>
    <w:rsid w:val="003B7A40"/>
    <w:rsid w:val="003B7CA0"/>
    <w:rsid w:val="003B7DC9"/>
    <w:rsid w:val="003B7F18"/>
    <w:rsid w:val="003B7FED"/>
    <w:rsid w:val="003C0111"/>
    <w:rsid w:val="003C0458"/>
    <w:rsid w:val="003C07A4"/>
    <w:rsid w:val="003C09FA"/>
    <w:rsid w:val="003C0C58"/>
    <w:rsid w:val="003C0DB4"/>
    <w:rsid w:val="003C0FF8"/>
    <w:rsid w:val="003C1044"/>
    <w:rsid w:val="003C114A"/>
    <w:rsid w:val="003C1223"/>
    <w:rsid w:val="003C13BE"/>
    <w:rsid w:val="003C13EF"/>
    <w:rsid w:val="003C1658"/>
    <w:rsid w:val="003C16E5"/>
    <w:rsid w:val="003C17B2"/>
    <w:rsid w:val="003C18B7"/>
    <w:rsid w:val="003C18F4"/>
    <w:rsid w:val="003C1CB1"/>
    <w:rsid w:val="003C1CFF"/>
    <w:rsid w:val="003C1F5E"/>
    <w:rsid w:val="003C2169"/>
    <w:rsid w:val="003C223A"/>
    <w:rsid w:val="003C2620"/>
    <w:rsid w:val="003C26B7"/>
    <w:rsid w:val="003C2733"/>
    <w:rsid w:val="003C29A9"/>
    <w:rsid w:val="003C29E4"/>
    <w:rsid w:val="003C2B10"/>
    <w:rsid w:val="003C2B36"/>
    <w:rsid w:val="003C2D56"/>
    <w:rsid w:val="003C2D6D"/>
    <w:rsid w:val="003C2DD7"/>
    <w:rsid w:val="003C2E3F"/>
    <w:rsid w:val="003C2F62"/>
    <w:rsid w:val="003C3027"/>
    <w:rsid w:val="003C305F"/>
    <w:rsid w:val="003C30EE"/>
    <w:rsid w:val="003C312A"/>
    <w:rsid w:val="003C3361"/>
    <w:rsid w:val="003C3562"/>
    <w:rsid w:val="003C358A"/>
    <w:rsid w:val="003C361A"/>
    <w:rsid w:val="003C3684"/>
    <w:rsid w:val="003C36DE"/>
    <w:rsid w:val="003C3903"/>
    <w:rsid w:val="003C397F"/>
    <w:rsid w:val="003C3983"/>
    <w:rsid w:val="003C3A2D"/>
    <w:rsid w:val="003C3B7D"/>
    <w:rsid w:val="003C3BFF"/>
    <w:rsid w:val="003C3D10"/>
    <w:rsid w:val="003C3EF4"/>
    <w:rsid w:val="003C3EFE"/>
    <w:rsid w:val="003C3F2F"/>
    <w:rsid w:val="003C40EF"/>
    <w:rsid w:val="003C42FC"/>
    <w:rsid w:val="003C44F1"/>
    <w:rsid w:val="003C4658"/>
    <w:rsid w:val="003C4B3D"/>
    <w:rsid w:val="003C4DC3"/>
    <w:rsid w:val="003C4E09"/>
    <w:rsid w:val="003C4E3B"/>
    <w:rsid w:val="003C4F5F"/>
    <w:rsid w:val="003C4FBE"/>
    <w:rsid w:val="003C509A"/>
    <w:rsid w:val="003C5197"/>
    <w:rsid w:val="003C521B"/>
    <w:rsid w:val="003C523D"/>
    <w:rsid w:val="003C531F"/>
    <w:rsid w:val="003C5437"/>
    <w:rsid w:val="003C5651"/>
    <w:rsid w:val="003C56BC"/>
    <w:rsid w:val="003C5735"/>
    <w:rsid w:val="003C5774"/>
    <w:rsid w:val="003C5882"/>
    <w:rsid w:val="003C58DC"/>
    <w:rsid w:val="003C5AD5"/>
    <w:rsid w:val="003C5CF7"/>
    <w:rsid w:val="003C5E7E"/>
    <w:rsid w:val="003C5E94"/>
    <w:rsid w:val="003C5F6E"/>
    <w:rsid w:val="003C60C6"/>
    <w:rsid w:val="003C6277"/>
    <w:rsid w:val="003C64D8"/>
    <w:rsid w:val="003C66E3"/>
    <w:rsid w:val="003C66F3"/>
    <w:rsid w:val="003C675D"/>
    <w:rsid w:val="003C6788"/>
    <w:rsid w:val="003C68C0"/>
    <w:rsid w:val="003C68D2"/>
    <w:rsid w:val="003C6D39"/>
    <w:rsid w:val="003C6EE1"/>
    <w:rsid w:val="003C6F20"/>
    <w:rsid w:val="003C6F9E"/>
    <w:rsid w:val="003C7140"/>
    <w:rsid w:val="003C71A0"/>
    <w:rsid w:val="003C751B"/>
    <w:rsid w:val="003C752D"/>
    <w:rsid w:val="003C757E"/>
    <w:rsid w:val="003C7640"/>
    <w:rsid w:val="003C77C3"/>
    <w:rsid w:val="003C77F3"/>
    <w:rsid w:val="003C7821"/>
    <w:rsid w:val="003C79C4"/>
    <w:rsid w:val="003C7B9D"/>
    <w:rsid w:val="003C7BB9"/>
    <w:rsid w:val="003C7C30"/>
    <w:rsid w:val="003C7CBA"/>
    <w:rsid w:val="003C7F12"/>
    <w:rsid w:val="003D0199"/>
    <w:rsid w:val="003D01A8"/>
    <w:rsid w:val="003D0282"/>
    <w:rsid w:val="003D02B9"/>
    <w:rsid w:val="003D0374"/>
    <w:rsid w:val="003D04BD"/>
    <w:rsid w:val="003D057C"/>
    <w:rsid w:val="003D0605"/>
    <w:rsid w:val="003D0611"/>
    <w:rsid w:val="003D077F"/>
    <w:rsid w:val="003D07A4"/>
    <w:rsid w:val="003D090D"/>
    <w:rsid w:val="003D09A2"/>
    <w:rsid w:val="003D0A11"/>
    <w:rsid w:val="003D0C73"/>
    <w:rsid w:val="003D0F18"/>
    <w:rsid w:val="003D12B7"/>
    <w:rsid w:val="003D1543"/>
    <w:rsid w:val="003D159B"/>
    <w:rsid w:val="003D16CA"/>
    <w:rsid w:val="003D18B3"/>
    <w:rsid w:val="003D1B23"/>
    <w:rsid w:val="003D1E9B"/>
    <w:rsid w:val="003D1FCD"/>
    <w:rsid w:val="003D1FED"/>
    <w:rsid w:val="003D20DF"/>
    <w:rsid w:val="003D22EB"/>
    <w:rsid w:val="003D2316"/>
    <w:rsid w:val="003D2355"/>
    <w:rsid w:val="003D241C"/>
    <w:rsid w:val="003D2575"/>
    <w:rsid w:val="003D284F"/>
    <w:rsid w:val="003D2A07"/>
    <w:rsid w:val="003D2C54"/>
    <w:rsid w:val="003D2E32"/>
    <w:rsid w:val="003D2E93"/>
    <w:rsid w:val="003D2F05"/>
    <w:rsid w:val="003D2FEE"/>
    <w:rsid w:val="003D2FFE"/>
    <w:rsid w:val="003D303C"/>
    <w:rsid w:val="003D3078"/>
    <w:rsid w:val="003D316A"/>
    <w:rsid w:val="003D31DF"/>
    <w:rsid w:val="003D3368"/>
    <w:rsid w:val="003D3527"/>
    <w:rsid w:val="003D35D3"/>
    <w:rsid w:val="003D3643"/>
    <w:rsid w:val="003D37C3"/>
    <w:rsid w:val="003D3ECE"/>
    <w:rsid w:val="003D4111"/>
    <w:rsid w:val="003D4231"/>
    <w:rsid w:val="003D423C"/>
    <w:rsid w:val="003D431B"/>
    <w:rsid w:val="003D4420"/>
    <w:rsid w:val="003D4448"/>
    <w:rsid w:val="003D4517"/>
    <w:rsid w:val="003D48D0"/>
    <w:rsid w:val="003D48E1"/>
    <w:rsid w:val="003D4B22"/>
    <w:rsid w:val="003D4BE9"/>
    <w:rsid w:val="003D4DA6"/>
    <w:rsid w:val="003D503C"/>
    <w:rsid w:val="003D50E9"/>
    <w:rsid w:val="003D515A"/>
    <w:rsid w:val="003D519F"/>
    <w:rsid w:val="003D521D"/>
    <w:rsid w:val="003D5509"/>
    <w:rsid w:val="003D58B5"/>
    <w:rsid w:val="003D5B52"/>
    <w:rsid w:val="003D5C09"/>
    <w:rsid w:val="003D5E84"/>
    <w:rsid w:val="003D5F3B"/>
    <w:rsid w:val="003D62C8"/>
    <w:rsid w:val="003D62FC"/>
    <w:rsid w:val="003D6453"/>
    <w:rsid w:val="003D66C2"/>
    <w:rsid w:val="003D6714"/>
    <w:rsid w:val="003D6798"/>
    <w:rsid w:val="003D687B"/>
    <w:rsid w:val="003D68D5"/>
    <w:rsid w:val="003D6911"/>
    <w:rsid w:val="003D6A3E"/>
    <w:rsid w:val="003D6BFD"/>
    <w:rsid w:val="003D6C5D"/>
    <w:rsid w:val="003D6C91"/>
    <w:rsid w:val="003D6D3F"/>
    <w:rsid w:val="003D6D8B"/>
    <w:rsid w:val="003D6E22"/>
    <w:rsid w:val="003D6E2E"/>
    <w:rsid w:val="003D6E7F"/>
    <w:rsid w:val="003D6FBE"/>
    <w:rsid w:val="003D7076"/>
    <w:rsid w:val="003D7095"/>
    <w:rsid w:val="003D71F5"/>
    <w:rsid w:val="003D76AE"/>
    <w:rsid w:val="003D7793"/>
    <w:rsid w:val="003D78B1"/>
    <w:rsid w:val="003D7A18"/>
    <w:rsid w:val="003D7B19"/>
    <w:rsid w:val="003D7C08"/>
    <w:rsid w:val="003D7CB7"/>
    <w:rsid w:val="003D7CF9"/>
    <w:rsid w:val="003D7EBA"/>
    <w:rsid w:val="003D7EBB"/>
    <w:rsid w:val="003D7EFE"/>
    <w:rsid w:val="003E0022"/>
    <w:rsid w:val="003E0031"/>
    <w:rsid w:val="003E00DE"/>
    <w:rsid w:val="003E0137"/>
    <w:rsid w:val="003E0519"/>
    <w:rsid w:val="003E0711"/>
    <w:rsid w:val="003E080C"/>
    <w:rsid w:val="003E084D"/>
    <w:rsid w:val="003E08B2"/>
    <w:rsid w:val="003E0975"/>
    <w:rsid w:val="003E0980"/>
    <w:rsid w:val="003E09CE"/>
    <w:rsid w:val="003E0A86"/>
    <w:rsid w:val="003E0AC7"/>
    <w:rsid w:val="003E0B47"/>
    <w:rsid w:val="003E0BB1"/>
    <w:rsid w:val="003E0CBE"/>
    <w:rsid w:val="003E0CDE"/>
    <w:rsid w:val="003E0E1E"/>
    <w:rsid w:val="003E0F03"/>
    <w:rsid w:val="003E0F8C"/>
    <w:rsid w:val="003E109E"/>
    <w:rsid w:val="003E10D1"/>
    <w:rsid w:val="003E1364"/>
    <w:rsid w:val="003E158A"/>
    <w:rsid w:val="003E19A2"/>
    <w:rsid w:val="003E1B6E"/>
    <w:rsid w:val="003E1CBF"/>
    <w:rsid w:val="003E1F6D"/>
    <w:rsid w:val="003E1F7A"/>
    <w:rsid w:val="003E20F5"/>
    <w:rsid w:val="003E225F"/>
    <w:rsid w:val="003E249E"/>
    <w:rsid w:val="003E25CB"/>
    <w:rsid w:val="003E2903"/>
    <w:rsid w:val="003E2905"/>
    <w:rsid w:val="003E29ED"/>
    <w:rsid w:val="003E2A32"/>
    <w:rsid w:val="003E2B66"/>
    <w:rsid w:val="003E2C90"/>
    <w:rsid w:val="003E2E65"/>
    <w:rsid w:val="003E2EA3"/>
    <w:rsid w:val="003E3009"/>
    <w:rsid w:val="003E30F4"/>
    <w:rsid w:val="003E31B0"/>
    <w:rsid w:val="003E33F8"/>
    <w:rsid w:val="003E3627"/>
    <w:rsid w:val="003E369B"/>
    <w:rsid w:val="003E373A"/>
    <w:rsid w:val="003E3775"/>
    <w:rsid w:val="003E3B20"/>
    <w:rsid w:val="003E3B5F"/>
    <w:rsid w:val="003E3BB6"/>
    <w:rsid w:val="003E3BD5"/>
    <w:rsid w:val="003E3F10"/>
    <w:rsid w:val="003E3FFB"/>
    <w:rsid w:val="003E47E1"/>
    <w:rsid w:val="003E4937"/>
    <w:rsid w:val="003E49DB"/>
    <w:rsid w:val="003E49F7"/>
    <w:rsid w:val="003E4B5B"/>
    <w:rsid w:val="003E4BCD"/>
    <w:rsid w:val="003E4EE0"/>
    <w:rsid w:val="003E4EFF"/>
    <w:rsid w:val="003E4FEB"/>
    <w:rsid w:val="003E54D3"/>
    <w:rsid w:val="003E5512"/>
    <w:rsid w:val="003E5663"/>
    <w:rsid w:val="003E5725"/>
    <w:rsid w:val="003E5C4C"/>
    <w:rsid w:val="003E5CEF"/>
    <w:rsid w:val="003E5D9A"/>
    <w:rsid w:val="003E5F2F"/>
    <w:rsid w:val="003E6086"/>
    <w:rsid w:val="003E61EE"/>
    <w:rsid w:val="003E63F3"/>
    <w:rsid w:val="003E64D1"/>
    <w:rsid w:val="003E667A"/>
    <w:rsid w:val="003E6776"/>
    <w:rsid w:val="003E68AD"/>
    <w:rsid w:val="003E68B5"/>
    <w:rsid w:val="003E69C7"/>
    <w:rsid w:val="003E6A0F"/>
    <w:rsid w:val="003E6AB2"/>
    <w:rsid w:val="003E6B0C"/>
    <w:rsid w:val="003E6B2E"/>
    <w:rsid w:val="003E6BEA"/>
    <w:rsid w:val="003E6CC1"/>
    <w:rsid w:val="003E6CC3"/>
    <w:rsid w:val="003E6D5C"/>
    <w:rsid w:val="003E6DC5"/>
    <w:rsid w:val="003E6E0A"/>
    <w:rsid w:val="003E6F22"/>
    <w:rsid w:val="003E6F67"/>
    <w:rsid w:val="003E7404"/>
    <w:rsid w:val="003E74CA"/>
    <w:rsid w:val="003E74D0"/>
    <w:rsid w:val="003E7515"/>
    <w:rsid w:val="003E766C"/>
    <w:rsid w:val="003E7C3C"/>
    <w:rsid w:val="003E7C54"/>
    <w:rsid w:val="003E7C73"/>
    <w:rsid w:val="003E7CE6"/>
    <w:rsid w:val="003E7DFA"/>
    <w:rsid w:val="003E7DFD"/>
    <w:rsid w:val="003E7E2B"/>
    <w:rsid w:val="003F009E"/>
    <w:rsid w:val="003F01E1"/>
    <w:rsid w:val="003F022E"/>
    <w:rsid w:val="003F07F0"/>
    <w:rsid w:val="003F08B0"/>
    <w:rsid w:val="003F08B4"/>
    <w:rsid w:val="003F0B33"/>
    <w:rsid w:val="003F0B52"/>
    <w:rsid w:val="003F0DB7"/>
    <w:rsid w:val="003F0DE8"/>
    <w:rsid w:val="003F0EA4"/>
    <w:rsid w:val="003F12E4"/>
    <w:rsid w:val="003F13DD"/>
    <w:rsid w:val="003F13F3"/>
    <w:rsid w:val="003F19D7"/>
    <w:rsid w:val="003F19FB"/>
    <w:rsid w:val="003F1A1B"/>
    <w:rsid w:val="003F1B24"/>
    <w:rsid w:val="003F1DCC"/>
    <w:rsid w:val="003F1EF9"/>
    <w:rsid w:val="003F22DB"/>
    <w:rsid w:val="003F22E1"/>
    <w:rsid w:val="003F22E3"/>
    <w:rsid w:val="003F22EE"/>
    <w:rsid w:val="003F2328"/>
    <w:rsid w:val="003F23C4"/>
    <w:rsid w:val="003F24D8"/>
    <w:rsid w:val="003F2672"/>
    <w:rsid w:val="003F26B2"/>
    <w:rsid w:val="003F26C7"/>
    <w:rsid w:val="003F27D4"/>
    <w:rsid w:val="003F28FC"/>
    <w:rsid w:val="003F2930"/>
    <w:rsid w:val="003F2955"/>
    <w:rsid w:val="003F29D1"/>
    <w:rsid w:val="003F2A0C"/>
    <w:rsid w:val="003F2BBA"/>
    <w:rsid w:val="003F2E48"/>
    <w:rsid w:val="003F2E9B"/>
    <w:rsid w:val="003F2EF8"/>
    <w:rsid w:val="003F3045"/>
    <w:rsid w:val="003F3143"/>
    <w:rsid w:val="003F3253"/>
    <w:rsid w:val="003F3484"/>
    <w:rsid w:val="003F3561"/>
    <w:rsid w:val="003F36B9"/>
    <w:rsid w:val="003F378F"/>
    <w:rsid w:val="003F38C6"/>
    <w:rsid w:val="003F38E2"/>
    <w:rsid w:val="003F38FF"/>
    <w:rsid w:val="003F3972"/>
    <w:rsid w:val="003F3A65"/>
    <w:rsid w:val="003F3B29"/>
    <w:rsid w:val="003F3D0A"/>
    <w:rsid w:val="003F3D0D"/>
    <w:rsid w:val="003F3DBB"/>
    <w:rsid w:val="003F3E1E"/>
    <w:rsid w:val="003F407D"/>
    <w:rsid w:val="003F4097"/>
    <w:rsid w:val="003F4147"/>
    <w:rsid w:val="003F42B1"/>
    <w:rsid w:val="003F435D"/>
    <w:rsid w:val="003F4371"/>
    <w:rsid w:val="003F4393"/>
    <w:rsid w:val="003F4676"/>
    <w:rsid w:val="003F4686"/>
    <w:rsid w:val="003F4768"/>
    <w:rsid w:val="003F476D"/>
    <w:rsid w:val="003F4DBD"/>
    <w:rsid w:val="003F541D"/>
    <w:rsid w:val="003F5560"/>
    <w:rsid w:val="003F56AD"/>
    <w:rsid w:val="003F58CA"/>
    <w:rsid w:val="003F5959"/>
    <w:rsid w:val="003F5D5F"/>
    <w:rsid w:val="003F60D7"/>
    <w:rsid w:val="003F652E"/>
    <w:rsid w:val="003F654E"/>
    <w:rsid w:val="003F658D"/>
    <w:rsid w:val="003F6916"/>
    <w:rsid w:val="003F6931"/>
    <w:rsid w:val="003F6936"/>
    <w:rsid w:val="003F6977"/>
    <w:rsid w:val="003F6B2C"/>
    <w:rsid w:val="003F6C03"/>
    <w:rsid w:val="003F6EB8"/>
    <w:rsid w:val="003F6EC1"/>
    <w:rsid w:val="003F6F61"/>
    <w:rsid w:val="003F70B6"/>
    <w:rsid w:val="003F70E7"/>
    <w:rsid w:val="003F7189"/>
    <w:rsid w:val="003F726D"/>
    <w:rsid w:val="003F7520"/>
    <w:rsid w:val="003F75E9"/>
    <w:rsid w:val="003F7639"/>
    <w:rsid w:val="003F7876"/>
    <w:rsid w:val="003F79B9"/>
    <w:rsid w:val="003F79FD"/>
    <w:rsid w:val="003F7C2A"/>
    <w:rsid w:val="003F7D05"/>
    <w:rsid w:val="003F7D6A"/>
    <w:rsid w:val="003F7E40"/>
    <w:rsid w:val="003F7EE4"/>
    <w:rsid w:val="003F7F5B"/>
    <w:rsid w:val="00400103"/>
    <w:rsid w:val="00400109"/>
    <w:rsid w:val="00400132"/>
    <w:rsid w:val="004001A1"/>
    <w:rsid w:val="00400325"/>
    <w:rsid w:val="004003B2"/>
    <w:rsid w:val="00400404"/>
    <w:rsid w:val="00400731"/>
    <w:rsid w:val="0040077E"/>
    <w:rsid w:val="004008C9"/>
    <w:rsid w:val="0040092A"/>
    <w:rsid w:val="00400E3D"/>
    <w:rsid w:val="00400E7F"/>
    <w:rsid w:val="00400ED8"/>
    <w:rsid w:val="00400FCA"/>
    <w:rsid w:val="00400FE2"/>
    <w:rsid w:val="004010C6"/>
    <w:rsid w:val="004011F3"/>
    <w:rsid w:val="00401255"/>
    <w:rsid w:val="0040126E"/>
    <w:rsid w:val="004014AD"/>
    <w:rsid w:val="004014DB"/>
    <w:rsid w:val="00401548"/>
    <w:rsid w:val="00401664"/>
    <w:rsid w:val="004017A5"/>
    <w:rsid w:val="004019BF"/>
    <w:rsid w:val="00401A9E"/>
    <w:rsid w:val="00401AAB"/>
    <w:rsid w:val="00401B22"/>
    <w:rsid w:val="00401B91"/>
    <w:rsid w:val="004021DE"/>
    <w:rsid w:val="0040224B"/>
    <w:rsid w:val="00402283"/>
    <w:rsid w:val="0040238A"/>
    <w:rsid w:val="004023E3"/>
    <w:rsid w:val="0040240C"/>
    <w:rsid w:val="00402543"/>
    <w:rsid w:val="00402660"/>
    <w:rsid w:val="0040269C"/>
    <w:rsid w:val="004027B8"/>
    <w:rsid w:val="00402B3D"/>
    <w:rsid w:val="00402B48"/>
    <w:rsid w:val="00402D75"/>
    <w:rsid w:val="00402EF9"/>
    <w:rsid w:val="00403342"/>
    <w:rsid w:val="00403404"/>
    <w:rsid w:val="00403444"/>
    <w:rsid w:val="004034DC"/>
    <w:rsid w:val="0040392C"/>
    <w:rsid w:val="00403A10"/>
    <w:rsid w:val="00403BF0"/>
    <w:rsid w:val="00403C37"/>
    <w:rsid w:val="00403D38"/>
    <w:rsid w:val="00403E20"/>
    <w:rsid w:val="00404399"/>
    <w:rsid w:val="0040439B"/>
    <w:rsid w:val="00404546"/>
    <w:rsid w:val="00404594"/>
    <w:rsid w:val="00404701"/>
    <w:rsid w:val="0040472B"/>
    <w:rsid w:val="00404778"/>
    <w:rsid w:val="004047DF"/>
    <w:rsid w:val="004049C6"/>
    <w:rsid w:val="00404C56"/>
    <w:rsid w:val="00404C87"/>
    <w:rsid w:val="00404D7C"/>
    <w:rsid w:val="00404DE1"/>
    <w:rsid w:val="00404FE3"/>
    <w:rsid w:val="004051F5"/>
    <w:rsid w:val="00405301"/>
    <w:rsid w:val="00405310"/>
    <w:rsid w:val="00405320"/>
    <w:rsid w:val="0040544B"/>
    <w:rsid w:val="004054F2"/>
    <w:rsid w:val="004056FC"/>
    <w:rsid w:val="0040578D"/>
    <w:rsid w:val="00405A20"/>
    <w:rsid w:val="00405A61"/>
    <w:rsid w:val="00405B77"/>
    <w:rsid w:val="00405BED"/>
    <w:rsid w:val="00405C34"/>
    <w:rsid w:val="00405D1E"/>
    <w:rsid w:val="00405EBB"/>
    <w:rsid w:val="004060E3"/>
    <w:rsid w:val="00406205"/>
    <w:rsid w:val="00406320"/>
    <w:rsid w:val="00406400"/>
    <w:rsid w:val="0040670C"/>
    <w:rsid w:val="00406A3A"/>
    <w:rsid w:val="00406B17"/>
    <w:rsid w:val="00406CDE"/>
    <w:rsid w:val="00406D75"/>
    <w:rsid w:val="00406E28"/>
    <w:rsid w:val="00406E75"/>
    <w:rsid w:val="0040711A"/>
    <w:rsid w:val="004071B4"/>
    <w:rsid w:val="0040725B"/>
    <w:rsid w:val="004073C0"/>
    <w:rsid w:val="004073C2"/>
    <w:rsid w:val="0040756F"/>
    <w:rsid w:val="00407629"/>
    <w:rsid w:val="00407682"/>
    <w:rsid w:val="0040779D"/>
    <w:rsid w:val="00407E84"/>
    <w:rsid w:val="00407F63"/>
    <w:rsid w:val="00407FB2"/>
    <w:rsid w:val="00410111"/>
    <w:rsid w:val="00410268"/>
    <w:rsid w:val="004102F2"/>
    <w:rsid w:val="004103B4"/>
    <w:rsid w:val="004103FB"/>
    <w:rsid w:val="0041091E"/>
    <w:rsid w:val="004109D3"/>
    <w:rsid w:val="00410A27"/>
    <w:rsid w:val="00410CC5"/>
    <w:rsid w:val="00410E83"/>
    <w:rsid w:val="00410F18"/>
    <w:rsid w:val="00410FD8"/>
    <w:rsid w:val="004111EE"/>
    <w:rsid w:val="00411335"/>
    <w:rsid w:val="0041136D"/>
    <w:rsid w:val="0041169D"/>
    <w:rsid w:val="004116BB"/>
    <w:rsid w:val="0041196D"/>
    <w:rsid w:val="00411B07"/>
    <w:rsid w:val="00411BC3"/>
    <w:rsid w:val="00411C4B"/>
    <w:rsid w:val="00411FEA"/>
    <w:rsid w:val="004121DF"/>
    <w:rsid w:val="004125FF"/>
    <w:rsid w:val="00412601"/>
    <w:rsid w:val="00412812"/>
    <w:rsid w:val="0041281B"/>
    <w:rsid w:val="0041287C"/>
    <w:rsid w:val="004128A9"/>
    <w:rsid w:val="00412A26"/>
    <w:rsid w:val="00412B64"/>
    <w:rsid w:val="00412D60"/>
    <w:rsid w:val="00412DC2"/>
    <w:rsid w:val="00412E45"/>
    <w:rsid w:val="00412FD9"/>
    <w:rsid w:val="00413011"/>
    <w:rsid w:val="00413020"/>
    <w:rsid w:val="0041303C"/>
    <w:rsid w:val="00413097"/>
    <w:rsid w:val="004131DA"/>
    <w:rsid w:val="0041328B"/>
    <w:rsid w:val="0041334C"/>
    <w:rsid w:val="00413356"/>
    <w:rsid w:val="00413390"/>
    <w:rsid w:val="004134B0"/>
    <w:rsid w:val="004134EF"/>
    <w:rsid w:val="00413573"/>
    <w:rsid w:val="00413653"/>
    <w:rsid w:val="004138FD"/>
    <w:rsid w:val="004139B7"/>
    <w:rsid w:val="00413B65"/>
    <w:rsid w:val="00413C7E"/>
    <w:rsid w:val="00413C88"/>
    <w:rsid w:val="00413D95"/>
    <w:rsid w:val="00413EC2"/>
    <w:rsid w:val="004140BC"/>
    <w:rsid w:val="004140BD"/>
    <w:rsid w:val="00414584"/>
    <w:rsid w:val="004145F0"/>
    <w:rsid w:val="004146DF"/>
    <w:rsid w:val="004147F4"/>
    <w:rsid w:val="00414873"/>
    <w:rsid w:val="00414912"/>
    <w:rsid w:val="00414941"/>
    <w:rsid w:val="00414A25"/>
    <w:rsid w:val="00414A5C"/>
    <w:rsid w:val="00414B9B"/>
    <w:rsid w:val="00414C0B"/>
    <w:rsid w:val="00414C14"/>
    <w:rsid w:val="00414C86"/>
    <w:rsid w:val="00414CF9"/>
    <w:rsid w:val="00414D3D"/>
    <w:rsid w:val="00414D48"/>
    <w:rsid w:val="00414FBC"/>
    <w:rsid w:val="00414FD0"/>
    <w:rsid w:val="00415143"/>
    <w:rsid w:val="004151FE"/>
    <w:rsid w:val="00415415"/>
    <w:rsid w:val="00415520"/>
    <w:rsid w:val="0041560B"/>
    <w:rsid w:val="004157EB"/>
    <w:rsid w:val="004158F1"/>
    <w:rsid w:val="00415952"/>
    <w:rsid w:val="00415A1E"/>
    <w:rsid w:val="00415B6F"/>
    <w:rsid w:val="00415DD6"/>
    <w:rsid w:val="00415FBC"/>
    <w:rsid w:val="004160F2"/>
    <w:rsid w:val="004161C7"/>
    <w:rsid w:val="00416474"/>
    <w:rsid w:val="0041655D"/>
    <w:rsid w:val="004167AB"/>
    <w:rsid w:val="00416CAB"/>
    <w:rsid w:val="00416E63"/>
    <w:rsid w:val="00417004"/>
    <w:rsid w:val="004170A1"/>
    <w:rsid w:val="004170FC"/>
    <w:rsid w:val="004171E0"/>
    <w:rsid w:val="004172BA"/>
    <w:rsid w:val="004172EB"/>
    <w:rsid w:val="0041731F"/>
    <w:rsid w:val="004173E5"/>
    <w:rsid w:val="00417401"/>
    <w:rsid w:val="00417542"/>
    <w:rsid w:val="0041758A"/>
    <w:rsid w:val="0041785B"/>
    <w:rsid w:val="004179CD"/>
    <w:rsid w:val="00417A01"/>
    <w:rsid w:val="00417C0F"/>
    <w:rsid w:val="00417C57"/>
    <w:rsid w:val="00417E00"/>
    <w:rsid w:val="00417F98"/>
    <w:rsid w:val="00420062"/>
    <w:rsid w:val="004200E3"/>
    <w:rsid w:val="004200EE"/>
    <w:rsid w:val="0042016A"/>
    <w:rsid w:val="00420216"/>
    <w:rsid w:val="00420237"/>
    <w:rsid w:val="004202F0"/>
    <w:rsid w:val="00420321"/>
    <w:rsid w:val="00420373"/>
    <w:rsid w:val="004205D5"/>
    <w:rsid w:val="00420C0E"/>
    <w:rsid w:val="00420EAC"/>
    <w:rsid w:val="00420ECE"/>
    <w:rsid w:val="00420FA4"/>
    <w:rsid w:val="0042113D"/>
    <w:rsid w:val="00421155"/>
    <w:rsid w:val="004211A2"/>
    <w:rsid w:val="004211D3"/>
    <w:rsid w:val="00421604"/>
    <w:rsid w:val="004216A3"/>
    <w:rsid w:val="00421914"/>
    <w:rsid w:val="00421B32"/>
    <w:rsid w:val="00421B74"/>
    <w:rsid w:val="00421BB2"/>
    <w:rsid w:val="00421D1A"/>
    <w:rsid w:val="00421DDD"/>
    <w:rsid w:val="00421ED2"/>
    <w:rsid w:val="00421F0E"/>
    <w:rsid w:val="00421F78"/>
    <w:rsid w:val="00421FDB"/>
    <w:rsid w:val="00422060"/>
    <w:rsid w:val="004220D1"/>
    <w:rsid w:val="00422148"/>
    <w:rsid w:val="00422295"/>
    <w:rsid w:val="004222B0"/>
    <w:rsid w:val="004225D9"/>
    <w:rsid w:val="0042264D"/>
    <w:rsid w:val="00422698"/>
    <w:rsid w:val="0042269A"/>
    <w:rsid w:val="00422762"/>
    <w:rsid w:val="00422790"/>
    <w:rsid w:val="0042291A"/>
    <w:rsid w:val="00422C39"/>
    <w:rsid w:val="00422C62"/>
    <w:rsid w:val="00422D8F"/>
    <w:rsid w:val="00422FCC"/>
    <w:rsid w:val="00422FF9"/>
    <w:rsid w:val="00423214"/>
    <w:rsid w:val="004233C3"/>
    <w:rsid w:val="00423455"/>
    <w:rsid w:val="0042352E"/>
    <w:rsid w:val="004235BF"/>
    <w:rsid w:val="004235E0"/>
    <w:rsid w:val="0042363A"/>
    <w:rsid w:val="0042381C"/>
    <w:rsid w:val="0042386E"/>
    <w:rsid w:val="0042392B"/>
    <w:rsid w:val="00423A3C"/>
    <w:rsid w:val="00423D99"/>
    <w:rsid w:val="00423F6A"/>
    <w:rsid w:val="00424579"/>
    <w:rsid w:val="00424704"/>
    <w:rsid w:val="00424719"/>
    <w:rsid w:val="004248B5"/>
    <w:rsid w:val="004248BA"/>
    <w:rsid w:val="004248DA"/>
    <w:rsid w:val="00424906"/>
    <w:rsid w:val="004249A4"/>
    <w:rsid w:val="00424AAC"/>
    <w:rsid w:val="00424D95"/>
    <w:rsid w:val="00424EAE"/>
    <w:rsid w:val="00425037"/>
    <w:rsid w:val="004251FA"/>
    <w:rsid w:val="00425253"/>
    <w:rsid w:val="0042528C"/>
    <w:rsid w:val="00425618"/>
    <w:rsid w:val="00425622"/>
    <w:rsid w:val="0042572B"/>
    <w:rsid w:val="00425742"/>
    <w:rsid w:val="00425775"/>
    <w:rsid w:val="00425989"/>
    <w:rsid w:val="00425B4D"/>
    <w:rsid w:val="00425B6B"/>
    <w:rsid w:val="00425C14"/>
    <w:rsid w:val="00425C81"/>
    <w:rsid w:val="00425E31"/>
    <w:rsid w:val="004260B1"/>
    <w:rsid w:val="0042617B"/>
    <w:rsid w:val="0042629A"/>
    <w:rsid w:val="00426760"/>
    <w:rsid w:val="004269C5"/>
    <w:rsid w:val="00426A4D"/>
    <w:rsid w:val="00426AE7"/>
    <w:rsid w:val="00426AEE"/>
    <w:rsid w:val="00426B7B"/>
    <w:rsid w:val="00426CE6"/>
    <w:rsid w:val="00426F1F"/>
    <w:rsid w:val="00426F28"/>
    <w:rsid w:val="00426FB1"/>
    <w:rsid w:val="0042709A"/>
    <w:rsid w:val="0042727D"/>
    <w:rsid w:val="004273E3"/>
    <w:rsid w:val="004274FC"/>
    <w:rsid w:val="0042754A"/>
    <w:rsid w:val="00427688"/>
    <w:rsid w:val="004277F8"/>
    <w:rsid w:val="00427C59"/>
    <w:rsid w:val="00427C91"/>
    <w:rsid w:val="00427CBB"/>
    <w:rsid w:val="00427CFD"/>
    <w:rsid w:val="00427E9A"/>
    <w:rsid w:val="00427FB5"/>
    <w:rsid w:val="004302AC"/>
    <w:rsid w:val="004302E0"/>
    <w:rsid w:val="00430366"/>
    <w:rsid w:val="004303AC"/>
    <w:rsid w:val="00430525"/>
    <w:rsid w:val="004305D0"/>
    <w:rsid w:val="00430A97"/>
    <w:rsid w:val="00430BE0"/>
    <w:rsid w:val="00430E46"/>
    <w:rsid w:val="00430E75"/>
    <w:rsid w:val="00430E95"/>
    <w:rsid w:val="00430EB4"/>
    <w:rsid w:val="00431112"/>
    <w:rsid w:val="0043129B"/>
    <w:rsid w:val="00431306"/>
    <w:rsid w:val="00431606"/>
    <w:rsid w:val="0043187A"/>
    <w:rsid w:val="0043195D"/>
    <w:rsid w:val="004319A0"/>
    <w:rsid w:val="00431A72"/>
    <w:rsid w:val="00431B50"/>
    <w:rsid w:val="00431D8F"/>
    <w:rsid w:val="00431E75"/>
    <w:rsid w:val="00431E8A"/>
    <w:rsid w:val="00431ED5"/>
    <w:rsid w:val="00431F46"/>
    <w:rsid w:val="00432043"/>
    <w:rsid w:val="0043218D"/>
    <w:rsid w:val="00432256"/>
    <w:rsid w:val="00432A19"/>
    <w:rsid w:val="00432A58"/>
    <w:rsid w:val="00432B4C"/>
    <w:rsid w:val="00432CA8"/>
    <w:rsid w:val="00432D7F"/>
    <w:rsid w:val="00432FAC"/>
    <w:rsid w:val="00433042"/>
    <w:rsid w:val="004332FB"/>
    <w:rsid w:val="004333F2"/>
    <w:rsid w:val="00433701"/>
    <w:rsid w:val="00433733"/>
    <w:rsid w:val="004337B8"/>
    <w:rsid w:val="004338AE"/>
    <w:rsid w:val="00433A6F"/>
    <w:rsid w:val="00433BA5"/>
    <w:rsid w:val="00433BD1"/>
    <w:rsid w:val="00433E33"/>
    <w:rsid w:val="00433FDB"/>
    <w:rsid w:val="004341A5"/>
    <w:rsid w:val="00434382"/>
    <w:rsid w:val="00434438"/>
    <w:rsid w:val="004345F1"/>
    <w:rsid w:val="00434692"/>
    <w:rsid w:val="004346F4"/>
    <w:rsid w:val="00434951"/>
    <w:rsid w:val="0043496B"/>
    <w:rsid w:val="004349C2"/>
    <w:rsid w:val="004349D5"/>
    <w:rsid w:val="004349E7"/>
    <w:rsid w:val="00434AFD"/>
    <w:rsid w:val="00434B30"/>
    <w:rsid w:val="00434BCA"/>
    <w:rsid w:val="00434C1A"/>
    <w:rsid w:val="00434DB6"/>
    <w:rsid w:val="00434DF4"/>
    <w:rsid w:val="00434E0A"/>
    <w:rsid w:val="00434FE7"/>
    <w:rsid w:val="00435034"/>
    <w:rsid w:val="004351C4"/>
    <w:rsid w:val="00435259"/>
    <w:rsid w:val="004354F7"/>
    <w:rsid w:val="00435568"/>
    <w:rsid w:val="00435655"/>
    <w:rsid w:val="0043572E"/>
    <w:rsid w:val="004357C5"/>
    <w:rsid w:val="004357CD"/>
    <w:rsid w:val="004358B0"/>
    <w:rsid w:val="004358CE"/>
    <w:rsid w:val="004359CC"/>
    <w:rsid w:val="00435A18"/>
    <w:rsid w:val="00435B43"/>
    <w:rsid w:val="00435B7D"/>
    <w:rsid w:val="00435B9C"/>
    <w:rsid w:val="00435EFE"/>
    <w:rsid w:val="004360E0"/>
    <w:rsid w:val="00436624"/>
    <w:rsid w:val="0043666A"/>
    <w:rsid w:val="004369C4"/>
    <w:rsid w:val="00436ACD"/>
    <w:rsid w:val="00436AEC"/>
    <w:rsid w:val="00436C53"/>
    <w:rsid w:val="00436D0C"/>
    <w:rsid w:val="00436DA8"/>
    <w:rsid w:val="00436F02"/>
    <w:rsid w:val="0043709F"/>
    <w:rsid w:val="004370BD"/>
    <w:rsid w:val="0043713A"/>
    <w:rsid w:val="004371DB"/>
    <w:rsid w:val="0043737D"/>
    <w:rsid w:val="00437386"/>
    <w:rsid w:val="00437468"/>
    <w:rsid w:val="00437863"/>
    <w:rsid w:val="004379A2"/>
    <w:rsid w:val="00437B61"/>
    <w:rsid w:val="00437C9F"/>
    <w:rsid w:val="00437CD1"/>
    <w:rsid w:val="00437E8D"/>
    <w:rsid w:val="00437EA0"/>
    <w:rsid w:val="00437F8A"/>
    <w:rsid w:val="004402BB"/>
    <w:rsid w:val="0044038D"/>
    <w:rsid w:val="00440436"/>
    <w:rsid w:val="0044048A"/>
    <w:rsid w:val="004404BE"/>
    <w:rsid w:val="00440560"/>
    <w:rsid w:val="0044062B"/>
    <w:rsid w:val="004406CC"/>
    <w:rsid w:val="00440990"/>
    <w:rsid w:val="00440A10"/>
    <w:rsid w:val="00440A4C"/>
    <w:rsid w:val="00440C29"/>
    <w:rsid w:val="00440C88"/>
    <w:rsid w:val="00440C97"/>
    <w:rsid w:val="00440CA3"/>
    <w:rsid w:val="00440CC5"/>
    <w:rsid w:val="00440CF7"/>
    <w:rsid w:val="00440DC1"/>
    <w:rsid w:val="00440FFB"/>
    <w:rsid w:val="004411E5"/>
    <w:rsid w:val="004412C9"/>
    <w:rsid w:val="0044134E"/>
    <w:rsid w:val="004415CC"/>
    <w:rsid w:val="004415FC"/>
    <w:rsid w:val="00441764"/>
    <w:rsid w:val="004417A7"/>
    <w:rsid w:val="004417F0"/>
    <w:rsid w:val="00441820"/>
    <w:rsid w:val="0044190F"/>
    <w:rsid w:val="0044192E"/>
    <w:rsid w:val="00441986"/>
    <w:rsid w:val="00441ADF"/>
    <w:rsid w:val="00441B8B"/>
    <w:rsid w:val="00441C49"/>
    <w:rsid w:val="00441EB6"/>
    <w:rsid w:val="00441FB7"/>
    <w:rsid w:val="00442096"/>
    <w:rsid w:val="004420BC"/>
    <w:rsid w:val="004421E2"/>
    <w:rsid w:val="004421F1"/>
    <w:rsid w:val="0044233A"/>
    <w:rsid w:val="00442387"/>
    <w:rsid w:val="00442430"/>
    <w:rsid w:val="0044247E"/>
    <w:rsid w:val="00442619"/>
    <w:rsid w:val="004426FF"/>
    <w:rsid w:val="00442982"/>
    <w:rsid w:val="004429C0"/>
    <w:rsid w:val="00442C02"/>
    <w:rsid w:val="00442D5B"/>
    <w:rsid w:val="00442DD3"/>
    <w:rsid w:val="00442E13"/>
    <w:rsid w:val="00442E14"/>
    <w:rsid w:val="00442E1C"/>
    <w:rsid w:val="00442ED3"/>
    <w:rsid w:val="00442FEB"/>
    <w:rsid w:val="00443447"/>
    <w:rsid w:val="0044344B"/>
    <w:rsid w:val="0044355C"/>
    <w:rsid w:val="004436CA"/>
    <w:rsid w:val="00443711"/>
    <w:rsid w:val="004438C0"/>
    <w:rsid w:val="00443ADA"/>
    <w:rsid w:val="00443B3E"/>
    <w:rsid w:val="00443B75"/>
    <w:rsid w:val="00443BCD"/>
    <w:rsid w:val="00443C0F"/>
    <w:rsid w:val="00443CD3"/>
    <w:rsid w:val="00443D06"/>
    <w:rsid w:val="00443DCD"/>
    <w:rsid w:val="00443DD8"/>
    <w:rsid w:val="00443F46"/>
    <w:rsid w:val="0044402E"/>
    <w:rsid w:val="004440CD"/>
    <w:rsid w:val="00444189"/>
    <w:rsid w:val="004441F3"/>
    <w:rsid w:val="004442B5"/>
    <w:rsid w:val="00444467"/>
    <w:rsid w:val="004445D4"/>
    <w:rsid w:val="004445DC"/>
    <w:rsid w:val="0044473C"/>
    <w:rsid w:val="00444875"/>
    <w:rsid w:val="00444AFA"/>
    <w:rsid w:val="00444B52"/>
    <w:rsid w:val="00444B71"/>
    <w:rsid w:val="00444CD9"/>
    <w:rsid w:val="00444D71"/>
    <w:rsid w:val="00444E1A"/>
    <w:rsid w:val="00444E31"/>
    <w:rsid w:val="00444E65"/>
    <w:rsid w:val="00445006"/>
    <w:rsid w:val="0044518E"/>
    <w:rsid w:val="00445195"/>
    <w:rsid w:val="004451FE"/>
    <w:rsid w:val="0044543F"/>
    <w:rsid w:val="004454A1"/>
    <w:rsid w:val="004456B5"/>
    <w:rsid w:val="004456BD"/>
    <w:rsid w:val="004457D1"/>
    <w:rsid w:val="004458F7"/>
    <w:rsid w:val="0044590E"/>
    <w:rsid w:val="00445AF0"/>
    <w:rsid w:val="00445B07"/>
    <w:rsid w:val="00445D48"/>
    <w:rsid w:val="00445D7B"/>
    <w:rsid w:val="00445FFC"/>
    <w:rsid w:val="00446091"/>
    <w:rsid w:val="00446156"/>
    <w:rsid w:val="00446278"/>
    <w:rsid w:val="00446318"/>
    <w:rsid w:val="00446347"/>
    <w:rsid w:val="0044636F"/>
    <w:rsid w:val="00446550"/>
    <w:rsid w:val="0044677C"/>
    <w:rsid w:val="00446921"/>
    <w:rsid w:val="00446C88"/>
    <w:rsid w:val="00446EE2"/>
    <w:rsid w:val="00446F0A"/>
    <w:rsid w:val="00447133"/>
    <w:rsid w:val="0044718C"/>
    <w:rsid w:val="004471B3"/>
    <w:rsid w:val="0044725F"/>
    <w:rsid w:val="004472A0"/>
    <w:rsid w:val="0044737D"/>
    <w:rsid w:val="004476F4"/>
    <w:rsid w:val="004476F8"/>
    <w:rsid w:val="004477DE"/>
    <w:rsid w:val="00447860"/>
    <w:rsid w:val="0044797D"/>
    <w:rsid w:val="00447AA3"/>
    <w:rsid w:val="00447ABD"/>
    <w:rsid w:val="00447B7B"/>
    <w:rsid w:val="00447D5A"/>
    <w:rsid w:val="00447FEC"/>
    <w:rsid w:val="0045001D"/>
    <w:rsid w:val="0045008E"/>
    <w:rsid w:val="004501A1"/>
    <w:rsid w:val="004501A8"/>
    <w:rsid w:val="00450221"/>
    <w:rsid w:val="004503F8"/>
    <w:rsid w:val="00450521"/>
    <w:rsid w:val="00450549"/>
    <w:rsid w:val="00450563"/>
    <w:rsid w:val="00450572"/>
    <w:rsid w:val="004506F7"/>
    <w:rsid w:val="004508A6"/>
    <w:rsid w:val="00450997"/>
    <w:rsid w:val="00450999"/>
    <w:rsid w:val="004509C3"/>
    <w:rsid w:val="00450A5D"/>
    <w:rsid w:val="00450EB9"/>
    <w:rsid w:val="00451064"/>
    <w:rsid w:val="0045114E"/>
    <w:rsid w:val="004511D5"/>
    <w:rsid w:val="004513F8"/>
    <w:rsid w:val="00451450"/>
    <w:rsid w:val="00451636"/>
    <w:rsid w:val="0045177A"/>
    <w:rsid w:val="00451AC9"/>
    <w:rsid w:val="00451BEF"/>
    <w:rsid w:val="00451CCE"/>
    <w:rsid w:val="00451D1D"/>
    <w:rsid w:val="00451E8E"/>
    <w:rsid w:val="00451EA1"/>
    <w:rsid w:val="004521CF"/>
    <w:rsid w:val="00452287"/>
    <w:rsid w:val="004523A4"/>
    <w:rsid w:val="0045246C"/>
    <w:rsid w:val="0045257B"/>
    <w:rsid w:val="004525D3"/>
    <w:rsid w:val="00452678"/>
    <w:rsid w:val="00452699"/>
    <w:rsid w:val="00452750"/>
    <w:rsid w:val="004528DA"/>
    <w:rsid w:val="00452C42"/>
    <w:rsid w:val="00452C78"/>
    <w:rsid w:val="00452D22"/>
    <w:rsid w:val="00452D5E"/>
    <w:rsid w:val="00452D7B"/>
    <w:rsid w:val="00452D9A"/>
    <w:rsid w:val="004530B9"/>
    <w:rsid w:val="0045319D"/>
    <w:rsid w:val="004531DD"/>
    <w:rsid w:val="004538A4"/>
    <w:rsid w:val="004538A8"/>
    <w:rsid w:val="004538E3"/>
    <w:rsid w:val="00453A01"/>
    <w:rsid w:val="00453BB5"/>
    <w:rsid w:val="00453DAC"/>
    <w:rsid w:val="00453E64"/>
    <w:rsid w:val="00454080"/>
    <w:rsid w:val="00454090"/>
    <w:rsid w:val="004542B6"/>
    <w:rsid w:val="004542C3"/>
    <w:rsid w:val="004542C9"/>
    <w:rsid w:val="004547BE"/>
    <w:rsid w:val="004547D2"/>
    <w:rsid w:val="00454A28"/>
    <w:rsid w:val="00454BA3"/>
    <w:rsid w:val="00454C63"/>
    <w:rsid w:val="00455023"/>
    <w:rsid w:val="00455038"/>
    <w:rsid w:val="00455221"/>
    <w:rsid w:val="00455254"/>
    <w:rsid w:val="0045536E"/>
    <w:rsid w:val="0045537D"/>
    <w:rsid w:val="00455740"/>
    <w:rsid w:val="00455931"/>
    <w:rsid w:val="00455B60"/>
    <w:rsid w:val="00455EBE"/>
    <w:rsid w:val="00456034"/>
    <w:rsid w:val="004560CD"/>
    <w:rsid w:val="004560D4"/>
    <w:rsid w:val="004560E2"/>
    <w:rsid w:val="004562B4"/>
    <w:rsid w:val="00456734"/>
    <w:rsid w:val="00456737"/>
    <w:rsid w:val="00456892"/>
    <w:rsid w:val="004569B3"/>
    <w:rsid w:val="004569C9"/>
    <w:rsid w:val="00456A15"/>
    <w:rsid w:val="00456A89"/>
    <w:rsid w:val="00456ADC"/>
    <w:rsid w:val="00456CCD"/>
    <w:rsid w:val="00456E02"/>
    <w:rsid w:val="00456F38"/>
    <w:rsid w:val="00456F9C"/>
    <w:rsid w:val="00457104"/>
    <w:rsid w:val="00457133"/>
    <w:rsid w:val="00457271"/>
    <w:rsid w:val="00457444"/>
    <w:rsid w:val="0045745E"/>
    <w:rsid w:val="00457465"/>
    <w:rsid w:val="004577D9"/>
    <w:rsid w:val="0045782F"/>
    <w:rsid w:val="00457934"/>
    <w:rsid w:val="0045799C"/>
    <w:rsid w:val="00457B65"/>
    <w:rsid w:val="00457E33"/>
    <w:rsid w:val="00457E69"/>
    <w:rsid w:val="00457F0C"/>
    <w:rsid w:val="00457F68"/>
    <w:rsid w:val="00457F8D"/>
    <w:rsid w:val="0046002B"/>
    <w:rsid w:val="0046018D"/>
    <w:rsid w:val="004601BD"/>
    <w:rsid w:val="004601CC"/>
    <w:rsid w:val="0046021B"/>
    <w:rsid w:val="0046031A"/>
    <w:rsid w:val="00460363"/>
    <w:rsid w:val="00460427"/>
    <w:rsid w:val="0046042C"/>
    <w:rsid w:val="004604B2"/>
    <w:rsid w:val="0046057B"/>
    <w:rsid w:val="00460ABD"/>
    <w:rsid w:val="00460B82"/>
    <w:rsid w:val="00460BBE"/>
    <w:rsid w:val="00460E5B"/>
    <w:rsid w:val="00460F89"/>
    <w:rsid w:val="00461115"/>
    <w:rsid w:val="0046117A"/>
    <w:rsid w:val="00461348"/>
    <w:rsid w:val="0046139E"/>
    <w:rsid w:val="0046171C"/>
    <w:rsid w:val="0046182C"/>
    <w:rsid w:val="00461838"/>
    <w:rsid w:val="00461992"/>
    <w:rsid w:val="004619AF"/>
    <w:rsid w:val="004619C4"/>
    <w:rsid w:val="00461B42"/>
    <w:rsid w:val="00461B83"/>
    <w:rsid w:val="00461C5F"/>
    <w:rsid w:val="00461CF1"/>
    <w:rsid w:val="00462002"/>
    <w:rsid w:val="004622AC"/>
    <w:rsid w:val="00462688"/>
    <w:rsid w:val="00462816"/>
    <w:rsid w:val="004628F1"/>
    <w:rsid w:val="00462920"/>
    <w:rsid w:val="00462D4F"/>
    <w:rsid w:val="00462D80"/>
    <w:rsid w:val="00462DA9"/>
    <w:rsid w:val="00462DB6"/>
    <w:rsid w:val="00462FD1"/>
    <w:rsid w:val="0046310B"/>
    <w:rsid w:val="0046311D"/>
    <w:rsid w:val="00463140"/>
    <w:rsid w:val="00463157"/>
    <w:rsid w:val="00463164"/>
    <w:rsid w:val="004631D0"/>
    <w:rsid w:val="0046321D"/>
    <w:rsid w:val="00463468"/>
    <w:rsid w:val="0046375A"/>
    <w:rsid w:val="004637CF"/>
    <w:rsid w:val="004638AB"/>
    <w:rsid w:val="004639D8"/>
    <w:rsid w:val="00463ABA"/>
    <w:rsid w:val="00463B24"/>
    <w:rsid w:val="00463B40"/>
    <w:rsid w:val="00463BA0"/>
    <w:rsid w:val="00463CFB"/>
    <w:rsid w:val="00463D79"/>
    <w:rsid w:val="00463D83"/>
    <w:rsid w:val="00463FED"/>
    <w:rsid w:val="004640AB"/>
    <w:rsid w:val="004641C5"/>
    <w:rsid w:val="00464404"/>
    <w:rsid w:val="00464627"/>
    <w:rsid w:val="00464680"/>
    <w:rsid w:val="004646E1"/>
    <w:rsid w:val="00464823"/>
    <w:rsid w:val="004648DB"/>
    <w:rsid w:val="00464968"/>
    <w:rsid w:val="004649E1"/>
    <w:rsid w:val="00464A57"/>
    <w:rsid w:val="00464EBB"/>
    <w:rsid w:val="00464EF1"/>
    <w:rsid w:val="0046511E"/>
    <w:rsid w:val="004651A8"/>
    <w:rsid w:val="00465212"/>
    <w:rsid w:val="00465310"/>
    <w:rsid w:val="0046564D"/>
    <w:rsid w:val="004656EB"/>
    <w:rsid w:val="004659D0"/>
    <w:rsid w:val="00465A5F"/>
    <w:rsid w:val="00465BCE"/>
    <w:rsid w:val="00465CBD"/>
    <w:rsid w:val="00465D61"/>
    <w:rsid w:val="00466127"/>
    <w:rsid w:val="0046618C"/>
    <w:rsid w:val="004661DA"/>
    <w:rsid w:val="00466396"/>
    <w:rsid w:val="0046648C"/>
    <w:rsid w:val="004665E9"/>
    <w:rsid w:val="0046684D"/>
    <w:rsid w:val="0046685F"/>
    <w:rsid w:val="0046687B"/>
    <w:rsid w:val="0046690C"/>
    <w:rsid w:val="00466ABE"/>
    <w:rsid w:val="00466C42"/>
    <w:rsid w:val="00466E5A"/>
    <w:rsid w:val="004673EA"/>
    <w:rsid w:val="0046756E"/>
    <w:rsid w:val="0046759D"/>
    <w:rsid w:val="00467746"/>
    <w:rsid w:val="00467797"/>
    <w:rsid w:val="00467C50"/>
    <w:rsid w:val="00467EEB"/>
    <w:rsid w:val="00470029"/>
    <w:rsid w:val="004701E9"/>
    <w:rsid w:val="0047026F"/>
    <w:rsid w:val="0047053F"/>
    <w:rsid w:val="0047065E"/>
    <w:rsid w:val="004707AA"/>
    <w:rsid w:val="0047086D"/>
    <w:rsid w:val="0047093B"/>
    <w:rsid w:val="00470BB1"/>
    <w:rsid w:val="00470BB7"/>
    <w:rsid w:val="00470C58"/>
    <w:rsid w:val="00470CB4"/>
    <w:rsid w:val="00470DD3"/>
    <w:rsid w:val="00470FCB"/>
    <w:rsid w:val="00471119"/>
    <w:rsid w:val="00471284"/>
    <w:rsid w:val="00471480"/>
    <w:rsid w:val="004714FF"/>
    <w:rsid w:val="00471577"/>
    <w:rsid w:val="0047158F"/>
    <w:rsid w:val="00471663"/>
    <w:rsid w:val="004718C8"/>
    <w:rsid w:val="004718EF"/>
    <w:rsid w:val="00471A12"/>
    <w:rsid w:val="00471A8F"/>
    <w:rsid w:val="00471AFA"/>
    <w:rsid w:val="00471E23"/>
    <w:rsid w:val="00471F48"/>
    <w:rsid w:val="00471F7E"/>
    <w:rsid w:val="00471FA5"/>
    <w:rsid w:val="00472161"/>
    <w:rsid w:val="0047216B"/>
    <w:rsid w:val="00472321"/>
    <w:rsid w:val="004723E4"/>
    <w:rsid w:val="00472711"/>
    <w:rsid w:val="004728FC"/>
    <w:rsid w:val="00472907"/>
    <w:rsid w:val="00472979"/>
    <w:rsid w:val="00472B87"/>
    <w:rsid w:val="00472CDD"/>
    <w:rsid w:val="00472DBA"/>
    <w:rsid w:val="00472F18"/>
    <w:rsid w:val="004730A7"/>
    <w:rsid w:val="004732F6"/>
    <w:rsid w:val="0047342B"/>
    <w:rsid w:val="004734A2"/>
    <w:rsid w:val="00473520"/>
    <w:rsid w:val="00473AC9"/>
    <w:rsid w:val="00473B66"/>
    <w:rsid w:val="00473BB8"/>
    <w:rsid w:val="00473C29"/>
    <w:rsid w:val="00473D26"/>
    <w:rsid w:val="00473EAE"/>
    <w:rsid w:val="00473F6F"/>
    <w:rsid w:val="004741E1"/>
    <w:rsid w:val="00474342"/>
    <w:rsid w:val="00474424"/>
    <w:rsid w:val="0047448B"/>
    <w:rsid w:val="0047448C"/>
    <w:rsid w:val="004744EC"/>
    <w:rsid w:val="0047469C"/>
    <w:rsid w:val="004749EA"/>
    <w:rsid w:val="00474A47"/>
    <w:rsid w:val="00474BD6"/>
    <w:rsid w:val="00474ED3"/>
    <w:rsid w:val="00475214"/>
    <w:rsid w:val="00475242"/>
    <w:rsid w:val="0047527B"/>
    <w:rsid w:val="004753AA"/>
    <w:rsid w:val="004753C5"/>
    <w:rsid w:val="00475741"/>
    <w:rsid w:val="0047579C"/>
    <w:rsid w:val="004758E9"/>
    <w:rsid w:val="0047597F"/>
    <w:rsid w:val="004759ED"/>
    <w:rsid w:val="00475A82"/>
    <w:rsid w:val="00475BEB"/>
    <w:rsid w:val="00475C5B"/>
    <w:rsid w:val="00475D02"/>
    <w:rsid w:val="00475D2D"/>
    <w:rsid w:val="00475E88"/>
    <w:rsid w:val="00475EB8"/>
    <w:rsid w:val="00475F4B"/>
    <w:rsid w:val="00475F61"/>
    <w:rsid w:val="0047614F"/>
    <w:rsid w:val="00476315"/>
    <w:rsid w:val="00476547"/>
    <w:rsid w:val="00476611"/>
    <w:rsid w:val="00476735"/>
    <w:rsid w:val="00476764"/>
    <w:rsid w:val="004768B0"/>
    <w:rsid w:val="00476C14"/>
    <w:rsid w:val="00476CD4"/>
    <w:rsid w:val="00476CE2"/>
    <w:rsid w:val="00476E3C"/>
    <w:rsid w:val="00476E7A"/>
    <w:rsid w:val="00477014"/>
    <w:rsid w:val="004771F6"/>
    <w:rsid w:val="0047754B"/>
    <w:rsid w:val="004777C1"/>
    <w:rsid w:val="0047785F"/>
    <w:rsid w:val="0047789D"/>
    <w:rsid w:val="004778A2"/>
    <w:rsid w:val="0047791D"/>
    <w:rsid w:val="004779A1"/>
    <w:rsid w:val="004779C0"/>
    <w:rsid w:val="00477BAA"/>
    <w:rsid w:val="00477CD0"/>
    <w:rsid w:val="00477D63"/>
    <w:rsid w:val="00477DFF"/>
    <w:rsid w:val="00477EC1"/>
    <w:rsid w:val="0048010C"/>
    <w:rsid w:val="0048025D"/>
    <w:rsid w:val="00480439"/>
    <w:rsid w:val="0048065D"/>
    <w:rsid w:val="0048079D"/>
    <w:rsid w:val="004808C2"/>
    <w:rsid w:val="00480AB7"/>
    <w:rsid w:val="00480D3E"/>
    <w:rsid w:val="00480D48"/>
    <w:rsid w:val="00480D8E"/>
    <w:rsid w:val="00480FA7"/>
    <w:rsid w:val="00481359"/>
    <w:rsid w:val="00481471"/>
    <w:rsid w:val="004814BB"/>
    <w:rsid w:val="0048151C"/>
    <w:rsid w:val="004815D9"/>
    <w:rsid w:val="00481735"/>
    <w:rsid w:val="00481848"/>
    <w:rsid w:val="004818C1"/>
    <w:rsid w:val="004819E2"/>
    <w:rsid w:val="00481AB0"/>
    <w:rsid w:val="00481AB3"/>
    <w:rsid w:val="00481BF9"/>
    <w:rsid w:val="0048203E"/>
    <w:rsid w:val="004820DC"/>
    <w:rsid w:val="0048216F"/>
    <w:rsid w:val="004821BD"/>
    <w:rsid w:val="0048222C"/>
    <w:rsid w:val="00482382"/>
    <w:rsid w:val="00482593"/>
    <w:rsid w:val="0048273B"/>
    <w:rsid w:val="004828FE"/>
    <w:rsid w:val="00482978"/>
    <w:rsid w:val="00482AC4"/>
    <w:rsid w:val="00482B96"/>
    <w:rsid w:val="00482DE2"/>
    <w:rsid w:val="00482E03"/>
    <w:rsid w:val="00482E04"/>
    <w:rsid w:val="00482E0A"/>
    <w:rsid w:val="00482EC3"/>
    <w:rsid w:val="00482F0F"/>
    <w:rsid w:val="00482F1E"/>
    <w:rsid w:val="00482F84"/>
    <w:rsid w:val="00483001"/>
    <w:rsid w:val="0048301E"/>
    <w:rsid w:val="004830F0"/>
    <w:rsid w:val="00483199"/>
    <w:rsid w:val="0048319D"/>
    <w:rsid w:val="004832A5"/>
    <w:rsid w:val="00483466"/>
    <w:rsid w:val="004836FA"/>
    <w:rsid w:val="004837C6"/>
    <w:rsid w:val="00483822"/>
    <w:rsid w:val="00483939"/>
    <w:rsid w:val="00483A4A"/>
    <w:rsid w:val="00483BBC"/>
    <w:rsid w:val="00483BFA"/>
    <w:rsid w:val="00483E01"/>
    <w:rsid w:val="00483E69"/>
    <w:rsid w:val="00483EF6"/>
    <w:rsid w:val="00483FFA"/>
    <w:rsid w:val="004840E9"/>
    <w:rsid w:val="004841CA"/>
    <w:rsid w:val="004841E1"/>
    <w:rsid w:val="0048428D"/>
    <w:rsid w:val="00484614"/>
    <w:rsid w:val="00484632"/>
    <w:rsid w:val="00484679"/>
    <w:rsid w:val="0048486A"/>
    <w:rsid w:val="00484C6C"/>
    <w:rsid w:val="00484CC7"/>
    <w:rsid w:val="00484E6D"/>
    <w:rsid w:val="00484F9E"/>
    <w:rsid w:val="00484FB1"/>
    <w:rsid w:val="004852AB"/>
    <w:rsid w:val="0048532B"/>
    <w:rsid w:val="0048532D"/>
    <w:rsid w:val="00485559"/>
    <w:rsid w:val="00485620"/>
    <w:rsid w:val="00485652"/>
    <w:rsid w:val="00485806"/>
    <w:rsid w:val="00485BCE"/>
    <w:rsid w:val="00485CCF"/>
    <w:rsid w:val="00485F92"/>
    <w:rsid w:val="00486099"/>
    <w:rsid w:val="004860DC"/>
    <w:rsid w:val="0048648E"/>
    <w:rsid w:val="004864A3"/>
    <w:rsid w:val="004864BB"/>
    <w:rsid w:val="00486511"/>
    <w:rsid w:val="0048655A"/>
    <w:rsid w:val="00486593"/>
    <w:rsid w:val="004866FD"/>
    <w:rsid w:val="0048682B"/>
    <w:rsid w:val="0048686C"/>
    <w:rsid w:val="004868C5"/>
    <w:rsid w:val="00486A52"/>
    <w:rsid w:val="00486A6C"/>
    <w:rsid w:val="00486C6C"/>
    <w:rsid w:val="00486EAA"/>
    <w:rsid w:val="00486F31"/>
    <w:rsid w:val="00487045"/>
    <w:rsid w:val="0048716F"/>
    <w:rsid w:val="00487292"/>
    <w:rsid w:val="0048742A"/>
    <w:rsid w:val="004875A1"/>
    <w:rsid w:val="00487677"/>
    <w:rsid w:val="0048779A"/>
    <w:rsid w:val="004877B1"/>
    <w:rsid w:val="00487D4C"/>
    <w:rsid w:val="00487DC9"/>
    <w:rsid w:val="00487F2D"/>
    <w:rsid w:val="00487F47"/>
    <w:rsid w:val="0049045F"/>
    <w:rsid w:val="00490465"/>
    <w:rsid w:val="0049048E"/>
    <w:rsid w:val="00490676"/>
    <w:rsid w:val="0049080D"/>
    <w:rsid w:val="004908A0"/>
    <w:rsid w:val="004909F1"/>
    <w:rsid w:val="00490A28"/>
    <w:rsid w:val="00490A43"/>
    <w:rsid w:val="00490A60"/>
    <w:rsid w:val="00491274"/>
    <w:rsid w:val="00491334"/>
    <w:rsid w:val="004913E0"/>
    <w:rsid w:val="00491615"/>
    <w:rsid w:val="00491677"/>
    <w:rsid w:val="0049193B"/>
    <w:rsid w:val="004919E7"/>
    <w:rsid w:val="004919E9"/>
    <w:rsid w:val="00491A93"/>
    <w:rsid w:val="00491B02"/>
    <w:rsid w:val="00491BB9"/>
    <w:rsid w:val="00491D7B"/>
    <w:rsid w:val="00491E4F"/>
    <w:rsid w:val="004920FE"/>
    <w:rsid w:val="0049217B"/>
    <w:rsid w:val="00492345"/>
    <w:rsid w:val="00492377"/>
    <w:rsid w:val="0049249F"/>
    <w:rsid w:val="0049262B"/>
    <w:rsid w:val="004926ED"/>
    <w:rsid w:val="00492779"/>
    <w:rsid w:val="004927BE"/>
    <w:rsid w:val="004928D6"/>
    <w:rsid w:val="004929CA"/>
    <w:rsid w:val="00492A56"/>
    <w:rsid w:val="00492A57"/>
    <w:rsid w:val="00492B84"/>
    <w:rsid w:val="00492BE7"/>
    <w:rsid w:val="00492D85"/>
    <w:rsid w:val="00492E87"/>
    <w:rsid w:val="0049304B"/>
    <w:rsid w:val="004930E0"/>
    <w:rsid w:val="00493116"/>
    <w:rsid w:val="004931C3"/>
    <w:rsid w:val="004931EC"/>
    <w:rsid w:val="00493229"/>
    <w:rsid w:val="00493256"/>
    <w:rsid w:val="0049348F"/>
    <w:rsid w:val="00493606"/>
    <w:rsid w:val="0049373E"/>
    <w:rsid w:val="00493902"/>
    <w:rsid w:val="00493BD4"/>
    <w:rsid w:val="00493E93"/>
    <w:rsid w:val="00494086"/>
    <w:rsid w:val="00494139"/>
    <w:rsid w:val="004942B8"/>
    <w:rsid w:val="0049441E"/>
    <w:rsid w:val="004946D2"/>
    <w:rsid w:val="004948F5"/>
    <w:rsid w:val="004949CA"/>
    <w:rsid w:val="00494AF2"/>
    <w:rsid w:val="00494B15"/>
    <w:rsid w:val="00494D44"/>
    <w:rsid w:val="00495288"/>
    <w:rsid w:val="0049535A"/>
    <w:rsid w:val="0049549B"/>
    <w:rsid w:val="004955D7"/>
    <w:rsid w:val="004955DE"/>
    <w:rsid w:val="00495767"/>
    <w:rsid w:val="0049594C"/>
    <w:rsid w:val="00495B39"/>
    <w:rsid w:val="00495BEC"/>
    <w:rsid w:val="00495CC6"/>
    <w:rsid w:val="00495D30"/>
    <w:rsid w:val="00495D8C"/>
    <w:rsid w:val="00495F12"/>
    <w:rsid w:val="00495FAB"/>
    <w:rsid w:val="0049602B"/>
    <w:rsid w:val="0049611C"/>
    <w:rsid w:val="00496225"/>
    <w:rsid w:val="0049634E"/>
    <w:rsid w:val="00496532"/>
    <w:rsid w:val="004967E5"/>
    <w:rsid w:val="0049694E"/>
    <w:rsid w:val="00496A6E"/>
    <w:rsid w:val="00496B1C"/>
    <w:rsid w:val="00496BA4"/>
    <w:rsid w:val="00496C08"/>
    <w:rsid w:val="00496CFB"/>
    <w:rsid w:val="00496DD6"/>
    <w:rsid w:val="00496E6A"/>
    <w:rsid w:val="00496F80"/>
    <w:rsid w:val="00496FB8"/>
    <w:rsid w:val="004973DD"/>
    <w:rsid w:val="004974B3"/>
    <w:rsid w:val="0049750C"/>
    <w:rsid w:val="004975FC"/>
    <w:rsid w:val="00497661"/>
    <w:rsid w:val="004976C0"/>
    <w:rsid w:val="0049774B"/>
    <w:rsid w:val="0049780D"/>
    <w:rsid w:val="0049786E"/>
    <w:rsid w:val="00497893"/>
    <w:rsid w:val="00497A35"/>
    <w:rsid w:val="00497B18"/>
    <w:rsid w:val="00497DC3"/>
    <w:rsid w:val="00497E94"/>
    <w:rsid w:val="00497EE6"/>
    <w:rsid w:val="004A003B"/>
    <w:rsid w:val="004A00EC"/>
    <w:rsid w:val="004A00FF"/>
    <w:rsid w:val="004A0162"/>
    <w:rsid w:val="004A01A2"/>
    <w:rsid w:val="004A02D8"/>
    <w:rsid w:val="004A06B7"/>
    <w:rsid w:val="004A070B"/>
    <w:rsid w:val="004A075E"/>
    <w:rsid w:val="004A07D5"/>
    <w:rsid w:val="004A0A78"/>
    <w:rsid w:val="004A0CD0"/>
    <w:rsid w:val="004A0CD8"/>
    <w:rsid w:val="004A0D85"/>
    <w:rsid w:val="004A0E69"/>
    <w:rsid w:val="004A0F11"/>
    <w:rsid w:val="004A0FC1"/>
    <w:rsid w:val="004A10F9"/>
    <w:rsid w:val="004A11B2"/>
    <w:rsid w:val="004A13BB"/>
    <w:rsid w:val="004A165C"/>
    <w:rsid w:val="004A194A"/>
    <w:rsid w:val="004A1A8A"/>
    <w:rsid w:val="004A1AD0"/>
    <w:rsid w:val="004A1B16"/>
    <w:rsid w:val="004A1C7E"/>
    <w:rsid w:val="004A1DE5"/>
    <w:rsid w:val="004A1E13"/>
    <w:rsid w:val="004A1FF8"/>
    <w:rsid w:val="004A22D8"/>
    <w:rsid w:val="004A2544"/>
    <w:rsid w:val="004A26B5"/>
    <w:rsid w:val="004A276E"/>
    <w:rsid w:val="004A2803"/>
    <w:rsid w:val="004A2A54"/>
    <w:rsid w:val="004A2AA9"/>
    <w:rsid w:val="004A2BC2"/>
    <w:rsid w:val="004A2C61"/>
    <w:rsid w:val="004A2DA8"/>
    <w:rsid w:val="004A2E59"/>
    <w:rsid w:val="004A2E8B"/>
    <w:rsid w:val="004A2EA7"/>
    <w:rsid w:val="004A2EAD"/>
    <w:rsid w:val="004A2FB7"/>
    <w:rsid w:val="004A32A4"/>
    <w:rsid w:val="004A3382"/>
    <w:rsid w:val="004A34F2"/>
    <w:rsid w:val="004A3654"/>
    <w:rsid w:val="004A365A"/>
    <w:rsid w:val="004A3673"/>
    <w:rsid w:val="004A371C"/>
    <w:rsid w:val="004A380F"/>
    <w:rsid w:val="004A3879"/>
    <w:rsid w:val="004A3A50"/>
    <w:rsid w:val="004A3E78"/>
    <w:rsid w:val="004A3F35"/>
    <w:rsid w:val="004A3F4B"/>
    <w:rsid w:val="004A3F8F"/>
    <w:rsid w:val="004A41AF"/>
    <w:rsid w:val="004A426F"/>
    <w:rsid w:val="004A4271"/>
    <w:rsid w:val="004A4339"/>
    <w:rsid w:val="004A447E"/>
    <w:rsid w:val="004A4573"/>
    <w:rsid w:val="004A47B2"/>
    <w:rsid w:val="004A487B"/>
    <w:rsid w:val="004A48AD"/>
    <w:rsid w:val="004A4945"/>
    <w:rsid w:val="004A4960"/>
    <w:rsid w:val="004A4971"/>
    <w:rsid w:val="004A49CE"/>
    <w:rsid w:val="004A4DD0"/>
    <w:rsid w:val="004A4E93"/>
    <w:rsid w:val="004A4F88"/>
    <w:rsid w:val="004A50E4"/>
    <w:rsid w:val="004A527C"/>
    <w:rsid w:val="004A52D1"/>
    <w:rsid w:val="004A5506"/>
    <w:rsid w:val="004A5822"/>
    <w:rsid w:val="004A5840"/>
    <w:rsid w:val="004A59E2"/>
    <w:rsid w:val="004A5B1D"/>
    <w:rsid w:val="004A5BE7"/>
    <w:rsid w:val="004A5CB4"/>
    <w:rsid w:val="004A5D19"/>
    <w:rsid w:val="004A5E27"/>
    <w:rsid w:val="004A5E3B"/>
    <w:rsid w:val="004A5E98"/>
    <w:rsid w:val="004A5F5B"/>
    <w:rsid w:val="004A606B"/>
    <w:rsid w:val="004A60CE"/>
    <w:rsid w:val="004A6352"/>
    <w:rsid w:val="004A63EF"/>
    <w:rsid w:val="004A65D8"/>
    <w:rsid w:val="004A6690"/>
    <w:rsid w:val="004A6788"/>
    <w:rsid w:val="004A683B"/>
    <w:rsid w:val="004A69A7"/>
    <w:rsid w:val="004A69BF"/>
    <w:rsid w:val="004A6C43"/>
    <w:rsid w:val="004A6FE6"/>
    <w:rsid w:val="004A7011"/>
    <w:rsid w:val="004A704D"/>
    <w:rsid w:val="004A70E2"/>
    <w:rsid w:val="004A7216"/>
    <w:rsid w:val="004A73C5"/>
    <w:rsid w:val="004A73E5"/>
    <w:rsid w:val="004A7440"/>
    <w:rsid w:val="004A74D9"/>
    <w:rsid w:val="004A74FC"/>
    <w:rsid w:val="004A76AF"/>
    <w:rsid w:val="004A77BB"/>
    <w:rsid w:val="004A7805"/>
    <w:rsid w:val="004A7A3B"/>
    <w:rsid w:val="004A7B0E"/>
    <w:rsid w:val="004A7B38"/>
    <w:rsid w:val="004A7B62"/>
    <w:rsid w:val="004A7C78"/>
    <w:rsid w:val="004A7CB1"/>
    <w:rsid w:val="004A7D9A"/>
    <w:rsid w:val="004A7DC9"/>
    <w:rsid w:val="004A7EAA"/>
    <w:rsid w:val="004B008B"/>
    <w:rsid w:val="004B00FB"/>
    <w:rsid w:val="004B0254"/>
    <w:rsid w:val="004B02D1"/>
    <w:rsid w:val="004B071B"/>
    <w:rsid w:val="004B07F1"/>
    <w:rsid w:val="004B07F2"/>
    <w:rsid w:val="004B09F1"/>
    <w:rsid w:val="004B0A1E"/>
    <w:rsid w:val="004B0BF6"/>
    <w:rsid w:val="004B0CA3"/>
    <w:rsid w:val="004B0E79"/>
    <w:rsid w:val="004B0E96"/>
    <w:rsid w:val="004B0F02"/>
    <w:rsid w:val="004B0F44"/>
    <w:rsid w:val="004B0F85"/>
    <w:rsid w:val="004B100A"/>
    <w:rsid w:val="004B115A"/>
    <w:rsid w:val="004B11A4"/>
    <w:rsid w:val="004B1328"/>
    <w:rsid w:val="004B1580"/>
    <w:rsid w:val="004B159E"/>
    <w:rsid w:val="004B15EA"/>
    <w:rsid w:val="004B168C"/>
    <w:rsid w:val="004B1945"/>
    <w:rsid w:val="004B1956"/>
    <w:rsid w:val="004B1AD3"/>
    <w:rsid w:val="004B1B88"/>
    <w:rsid w:val="004B1C29"/>
    <w:rsid w:val="004B1CDB"/>
    <w:rsid w:val="004B1DC1"/>
    <w:rsid w:val="004B20F5"/>
    <w:rsid w:val="004B215B"/>
    <w:rsid w:val="004B246C"/>
    <w:rsid w:val="004B2697"/>
    <w:rsid w:val="004B26BB"/>
    <w:rsid w:val="004B29A4"/>
    <w:rsid w:val="004B2A34"/>
    <w:rsid w:val="004B2CEB"/>
    <w:rsid w:val="004B2DA9"/>
    <w:rsid w:val="004B2DAB"/>
    <w:rsid w:val="004B2E12"/>
    <w:rsid w:val="004B2FB5"/>
    <w:rsid w:val="004B30BA"/>
    <w:rsid w:val="004B32EB"/>
    <w:rsid w:val="004B331B"/>
    <w:rsid w:val="004B33DB"/>
    <w:rsid w:val="004B35E0"/>
    <w:rsid w:val="004B37FB"/>
    <w:rsid w:val="004B3D8F"/>
    <w:rsid w:val="004B3E36"/>
    <w:rsid w:val="004B3F48"/>
    <w:rsid w:val="004B3FF9"/>
    <w:rsid w:val="004B4197"/>
    <w:rsid w:val="004B42DC"/>
    <w:rsid w:val="004B44E9"/>
    <w:rsid w:val="004B457A"/>
    <w:rsid w:val="004B4649"/>
    <w:rsid w:val="004B466E"/>
    <w:rsid w:val="004B46A3"/>
    <w:rsid w:val="004B47B0"/>
    <w:rsid w:val="004B4865"/>
    <w:rsid w:val="004B48B2"/>
    <w:rsid w:val="004B49CB"/>
    <w:rsid w:val="004B4D14"/>
    <w:rsid w:val="004B4E18"/>
    <w:rsid w:val="004B4F62"/>
    <w:rsid w:val="004B5093"/>
    <w:rsid w:val="004B51C6"/>
    <w:rsid w:val="004B51CF"/>
    <w:rsid w:val="004B521F"/>
    <w:rsid w:val="004B52AC"/>
    <w:rsid w:val="004B539D"/>
    <w:rsid w:val="004B5503"/>
    <w:rsid w:val="004B5509"/>
    <w:rsid w:val="004B561E"/>
    <w:rsid w:val="004B56E6"/>
    <w:rsid w:val="004B570D"/>
    <w:rsid w:val="004B5BD4"/>
    <w:rsid w:val="004B5CF2"/>
    <w:rsid w:val="004B5D0D"/>
    <w:rsid w:val="004B5F0D"/>
    <w:rsid w:val="004B5F4C"/>
    <w:rsid w:val="004B5F55"/>
    <w:rsid w:val="004B605A"/>
    <w:rsid w:val="004B6068"/>
    <w:rsid w:val="004B606E"/>
    <w:rsid w:val="004B60BD"/>
    <w:rsid w:val="004B61A5"/>
    <w:rsid w:val="004B6262"/>
    <w:rsid w:val="004B659D"/>
    <w:rsid w:val="004B65F0"/>
    <w:rsid w:val="004B663E"/>
    <w:rsid w:val="004B679E"/>
    <w:rsid w:val="004B6831"/>
    <w:rsid w:val="004B6983"/>
    <w:rsid w:val="004B69E1"/>
    <w:rsid w:val="004B69EF"/>
    <w:rsid w:val="004B6CD9"/>
    <w:rsid w:val="004B6D97"/>
    <w:rsid w:val="004B6DEA"/>
    <w:rsid w:val="004B6E08"/>
    <w:rsid w:val="004B6F49"/>
    <w:rsid w:val="004B73D8"/>
    <w:rsid w:val="004B760F"/>
    <w:rsid w:val="004B7632"/>
    <w:rsid w:val="004B766D"/>
    <w:rsid w:val="004B7783"/>
    <w:rsid w:val="004B78AC"/>
    <w:rsid w:val="004B7A65"/>
    <w:rsid w:val="004B7C30"/>
    <w:rsid w:val="004B7C38"/>
    <w:rsid w:val="004B7D08"/>
    <w:rsid w:val="004B7D65"/>
    <w:rsid w:val="004B7D9F"/>
    <w:rsid w:val="004B7FEE"/>
    <w:rsid w:val="004C0129"/>
    <w:rsid w:val="004C028C"/>
    <w:rsid w:val="004C0381"/>
    <w:rsid w:val="004C041E"/>
    <w:rsid w:val="004C0491"/>
    <w:rsid w:val="004C0820"/>
    <w:rsid w:val="004C08B5"/>
    <w:rsid w:val="004C0906"/>
    <w:rsid w:val="004C09EB"/>
    <w:rsid w:val="004C0D7C"/>
    <w:rsid w:val="004C0E97"/>
    <w:rsid w:val="004C0F35"/>
    <w:rsid w:val="004C0FCE"/>
    <w:rsid w:val="004C1182"/>
    <w:rsid w:val="004C1353"/>
    <w:rsid w:val="004C192C"/>
    <w:rsid w:val="004C1987"/>
    <w:rsid w:val="004C1B2C"/>
    <w:rsid w:val="004C1BCE"/>
    <w:rsid w:val="004C1CB9"/>
    <w:rsid w:val="004C2126"/>
    <w:rsid w:val="004C21BD"/>
    <w:rsid w:val="004C22E9"/>
    <w:rsid w:val="004C23EF"/>
    <w:rsid w:val="004C2497"/>
    <w:rsid w:val="004C24D5"/>
    <w:rsid w:val="004C2762"/>
    <w:rsid w:val="004C28FF"/>
    <w:rsid w:val="004C2B94"/>
    <w:rsid w:val="004C2BBB"/>
    <w:rsid w:val="004C2C68"/>
    <w:rsid w:val="004C2EFC"/>
    <w:rsid w:val="004C2FC9"/>
    <w:rsid w:val="004C2FF1"/>
    <w:rsid w:val="004C328C"/>
    <w:rsid w:val="004C32DE"/>
    <w:rsid w:val="004C3680"/>
    <w:rsid w:val="004C36E0"/>
    <w:rsid w:val="004C38DB"/>
    <w:rsid w:val="004C3966"/>
    <w:rsid w:val="004C3B3C"/>
    <w:rsid w:val="004C3C11"/>
    <w:rsid w:val="004C3F55"/>
    <w:rsid w:val="004C3FBD"/>
    <w:rsid w:val="004C3FCD"/>
    <w:rsid w:val="004C447E"/>
    <w:rsid w:val="004C4596"/>
    <w:rsid w:val="004C4659"/>
    <w:rsid w:val="004C471A"/>
    <w:rsid w:val="004C481B"/>
    <w:rsid w:val="004C4905"/>
    <w:rsid w:val="004C4965"/>
    <w:rsid w:val="004C497F"/>
    <w:rsid w:val="004C4985"/>
    <w:rsid w:val="004C4A25"/>
    <w:rsid w:val="004C4A86"/>
    <w:rsid w:val="004C4B6F"/>
    <w:rsid w:val="004C4B85"/>
    <w:rsid w:val="004C4B89"/>
    <w:rsid w:val="004C4B8D"/>
    <w:rsid w:val="004C4BE2"/>
    <w:rsid w:val="004C4C5A"/>
    <w:rsid w:val="004C507E"/>
    <w:rsid w:val="004C5618"/>
    <w:rsid w:val="004C581A"/>
    <w:rsid w:val="004C5BD0"/>
    <w:rsid w:val="004C5CB2"/>
    <w:rsid w:val="004C5CFE"/>
    <w:rsid w:val="004C5DE7"/>
    <w:rsid w:val="004C5FB3"/>
    <w:rsid w:val="004C5FFF"/>
    <w:rsid w:val="004C60D6"/>
    <w:rsid w:val="004C613A"/>
    <w:rsid w:val="004C6140"/>
    <w:rsid w:val="004C619F"/>
    <w:rsid w:val="004C64FC"/>
    <w:rsid w:val="004C68C8"/>
    <w:rsid w:val="004C699E"/>
    <w:rsid w:val="004C6A05"/>
    <w:rsid w:val="004C6BE0"/>
    <w:rsid w:val="004C6C02"/>
    <w:rsid w:val="004C6D2D"/>
    <w:rsid w:val="004C6D5C"/>
    <w:rsid w:val="004C6E96"/>
    <w:rsid w:val="004C71E9"/>
    <w:rsid w:val="004C73AE"/>
    <w:rsid w:val="004C769B"/>
    <w:rsid w:val="004C76A3"/>
    <w:rsid w:val="004C7735"/>
    <w:rsid w:val="004C793A"/>
    <w:rsid w:val="004C7954"/>
    <w:rsid w:val="004C799B"/>
    <w:rsid w:val="004C7C71"/>
    <w:rsid w:val="004C7D04"/>
    <w:rsid w:val="004C7D93"/>
    <w:rsid w:val="004C7F0D"/>
    <w:rsid w:val="004C7F38"/>
    <w:rsid w:val="004C7F39"/>
    <w:rsid w:val="004D00AD"/>
    <w:rsid w:val="004D0182"/>
    <w:rsid w:val="004D03A0"/>
    <w:rsid w:val="004D03AE"/>
    <w:rsid w:val="004D04E3"/>
    <w:rsid w:val="004D0579"/>
    <w:rsid w:val="004D05E7"/>
    <w:rsid w:val="004D0698"/>
    <w:rsid w:val="004D0B44"/>
    <w:rsid w:val="004D0BC8"/>
    <w:rsid w:val="004D0C00"/>
    <w:rsid w:val="004D0C6A"/>
    <w:rsid w:val="004D0CD8"/>
    <w:rsid w:val="004D0F25"/>
    <w:rsid w:val="004D1120"/>
    <w:rsid w:val="004D12F7"/>
    <w:rsid w:val="004D12FD"/>
    <w:rsid w:val="004D134D"/>
    <w:rsid w:val="004D1365"/>
    <w:rsid w:val="004D136F"/>
    <w:rsid w:val="004D1448"/>
    <w:rsid w:val="004D146C"/>
    <w:rsid w:val="004D15C3"/>
    <w:rsid w:val="004D169F"/>
    <w:rsid w:val="004D16F4"/>
    <w:rsid w:val="004D195F"/>
    <w:rsid w:val="004D1B43"/>
    <w:rsid w:val="004D1C89"/>
    <w:rsid w:val="004D1D0F"/>
    <w:rsid w:val="004D1D4D"/>
    <w:rsid w:val="004D1F1F"/>
    <w:rsid w:val="004D203C"/>
    <w:rsid w:val="004D2118"/>
    <w:rsid w:val="004D2535"/>
    <w:rsid w:val="004D270E"/>
    <w:rsid w:val="004D2770"/>
    <w:rsid w:val="004D2C48"/>
    <w:rsid w:val="004D2D00"/>
    <w:rsid w:val="004D2E9B"/>
    <w:rsid w:val="004D2F45"/>
    <w:rsid w:val="004D3046"/>
    <w:rsid w:val="004D32BA"/>
    <w:rsid w:val="004D352F"/>
    <w:rsid w:val="004D370B"/>
    <w:rsid w:val="004D3797"/>
    <w:rsid w:val="004D39FD"/>
    <w:rsid w:val="004D3AD4"/>
    <w:rsid w:val="004D3B17"/>
    <w:rsid w:val="004D3B41"/>
    <w:rsid w:val="004D3CF4"/>
    <w:rsid w:val="004D4285"/>
    <w:rsid w:val="004D431E"/>
    <w:rsid w:val="004D434C"/>
    <w:rsid w:val="004D462C"/>
    <w:rsid w:val="004D4A0A"/>
    <w:rsid w:val="004D4A19"/>
    <w:rsid w:val="004D4B23"/>
    <w:rsid w:val="004D4C17"/>
    <w:rsid w:val="004D4E7B"/>
    <w:rsid w:val="004D4EB8"/>
    <w:rsid w:val="004D4F0D"/>
    <w:rsid w:val="004D51E9"/>
    <w:rsid w:val="004D5332"/>
    <w:rsid w:val="004D54A3"/>
    <w:rsid w:val="004D5512"/>
    <w:rsid w:val="004D55A3"/>
    <w:rsid w:val="004D55BF"/>
    <w:rsid w:val="004D5997"/>
    <w:rsid w:val="004D59FB"/>
    <w:rsid w:val="004D5A18"/>
    <w:rsid w:val="004D5AB6"/>
    <w:rsid w:val="004D5D08"/>
    <w:rsid w:val="004D5D46"/>
    <w:rsid w:val="004D5E1E"/>
    <w:rsid w:val="004D5FBB"/>
    <w:rsid w:val="004D6048"/>
    <w:rsid w:val="004D6088"/>
    <w:rsid w:val="004D61F7"/>
    <w:rsid w:val="004D63DB"/>
    <w:rsid w:val="004D646B"/>
    <w:rsid w:val="004D6545"/>
    <w:rsid w:val="004D67A0"/>
    <w:rsid w:val="004D67EB"/>
    <w:rsid w:val="004D6934"/>
    <w:rsid w:val="004D69EA"/>
    <w:rsid w:val="004D6A99"/>
    <w:rsid w:val="004D6CC3"/>
    <w:rsid w:val="004D6D31"/>
    <w:rsid w:val="004D6E1B"/>
    <w:rsid w:val="004D706C"/>
    <w:rsid w:val="004D70F0"/>
    <w:rsid w:val="004D7366"/>
    <w:rsid w:val="004D7472"/>
    <w:rsid w:val="004D7541"/>
    <w:rsid w:val="004D754B"/>
    <w:rsid w:val="004D7675"/>
    <w:rsid w:val="004D76EF"/>
    <w:rsid w:val="004D7730"/>
    <w:rsid w:val="004D7B33"/>
    <w:rsid w:val="004D7CB2"/>
    <w:rsid w:val="004D7DA5"/>
    <w:rsid w:val="004D7DF7"/>
    <w:rsid w:val="004D7E1E"/>
    <w:rsid w:val="004D7EC6"/>
    <w:rsid w:val="004E022A"/>
    <w:rsid w:val="004E04E6"/>
    <w:rsid w:val="004E0600"/>
    <w:rsid w:val="004E099C"/>
    <w:rsid w:val="004E0C41"/>
    <w:rsid w:val="004E0E71"/>
    <w:rsid w:val="004E1244"/>
    <w:rsid w:val="004E128E"/>
    <w:rsid w:val="004E1295"/>
    <w:rsid w:val="004E1394"/>
    <w:rsid w:val="004E1602"/>
    <w:rsid w:val="004E162B"/>
    <w:rsid w:val="004E16F3"/>
    <w:rsid w:val="004E1724"/>
    <w:rsid w:val="004E1735"/>
    <w:rsid w:val="004E1779"/>
    <w:rsid w:val="004E1830"/>
    <w:rsid w:val="004E18FF"/>
    <w:rsid w:val="004E1A18"/>
    <w:rsid w:val="004E1A79"/>
    <w:rsid w:val="004E1AEF"/>
    <w:rsid w:val="004E1B27"/>
    <w:rsid w:val="004E1CF6"/>
    <w:rsid w:val="004E1DA1"/>
    <w:rsid w:val="004E1E3F"/>
    <w:rsid w:val="004E20C6"/>
    <w:rsid w:val="004E211A"/>
    <w:rsid w:val="004E2450"/>
    <w:rsid w:val="004E24A4"/>
    <w:rsid w:val="004E25E5"/>
    <w:rsid w:val="004E26AB"/>
    <w:rsid w:val="004E2826"/>
    <w:rsid w:val="004E28EF"/>
    <w:rsid w:val="004E299B"/>
    <w:rsid w:val="004E2B22"/>
    <w:rsid w:val="004E2F89"/>
    <w:rsid w:val="004E2FE5"/>
    <w:rsid w:val="004E302B"/>
    <w:rsid w:val="004E30AD"/>
    <w:rsid w:val="004E314D"/>
    <w:rsid w:val="004E316C"/>
    <w:rsid w:val="004E3325"/>
    <w:rsid w:val="004E33A8"/>
    <w:rsid w:val="004E33DD"/>
    <w:rsid w:val="004E3509"/>
    <w:rsid w:val="004E35E7"/>
    <w:rsid w:val="004E394D"/>
    <w:rsid w:val="004E3C1D"/>
    <w:rsid w:val="004E3C8A"/>
    <w:rsid w:val="004E3D09"/>
    <w:rsid w:val="004E3D0C"/>
    <w:rsid w:val="004E3E69"/>
    <w:rsid w:val="004E40FC"/>
    <w:rsid w:val="004E4117"/>
    <w:rsid w:val="004E42A9"/>
    <w:rsid w:val="004E438C"/>
    <w:rsid w:val="004E43CF"/>
    <w:rsid w:val="004E4735"/>
    <w:rsid w:val="004E4783"/>
    <w:rsid w:val="004E4827"/>
    <w:rsid w:val="004E4831"/>
    <w:rsid w:val="004E4878"/>
    <w:rsid w:val="004E499D"/>
    <w:rsid w:val="004E4A7B"/>
    <w:rsid w:val="004E4A89"/>
    <w:rsid w:val="004E4BDD"/>
    <w:rsid w:val="004E4E34"/>
    <w:rsid w:val="004E4F73"/>
    <w:rsid w:val="004E50FF"/>
    <w:rsid w:val="004E5124"/>
    <w:rsid w:val="004E51C0"/>
    <w:rsid w:val="004E51F8"/>
    <w:rsid w:val="004E5236"/>
    <w:rsid w:val="004E536A"/>
    <w:rsid w:val="004E5404"/>
    <w:rsid w:val="004E54B8"/>
    <w:rsid w:val="004E54E9"/>
    <w:rsid w:val="004E5541"/>
    <w:rsid w:val="004E5621"/>
    <w:rsid w:val="004E5636"/>
    <w:rsid w:val="004E570E"/>
    <w:rsid w:val="004E5727"/>
    <w:rsid w:val="004E57AB"/>
    <w:rsid w:val="004E57DB"/>
    <w:rsid w:val="004E57DD"/>
    <w:rsid w:val="004E58C7"/>
    <w:rsid w:val="004E58EA"/>
    <w:rsid w:val="004E5A0E"/>
    <w:rsid w:val="004E5B34"/>
    <w:rsid w:val="004E5DBC"/>
    <w:rsid w:val="004E5E4D"/>
    <w:rsid w:val="004E5EEC"/>
    <w:rsid w:val="004E6054"/>
    <w:rsid w:val="004E605C"/>
    <w:rsid w:val="004E6093"/>
    <w:rsid w:val="004E60C5"/>
    <w:rsid w:val="004E61F4"/>
    <w:rsid w:val="004E6290"/>
    <w:rsid w:val="004E62F5"/>
    <w:rsid w:val="004E6332"/>
    <w:rsid w:val="004E633A"/>
    <w:rsid w:val="004E649E"/>
    <w:rsid w:val="004E64DE"/>
    <w:rsid w:val="004E6650"/>
    <w:rsid w:val="004E6712"/>
    <w:rsid w:val="004E67B7"/>
    <w:rsid w:val="004E6E51"/>
    <w:rsid w:val="004E6E5F"/>
    <w:rsid w:val="004E6E7F"/>
    <w:rsid w:val="004E6F37"/>
    <w:rsid w:val="004E71BB"/>
    <w:rsid w:val="004E7398"/>
    <w:rsid w:val="004E777E"/>
    <w:rsid w:val="004E78B7"/>
    <w:rsid w:val="004E78BE"/>
    <w:rsid w:val="004E79E2"/>
    <w:rsid w:val="004E79EF"/>
    <w:rsid w:val="004E7A94"/>
    <w:rsid w:val="004E7BC7"/>
    <w:rsid w:val="004E7C15"/>
    <w:rsid w:val="004E7C98"/>
    <w:rsid w:val="004E7CB6"/>
    <w:rsid w:val="004E7CE0"/>
    <w:rsid w:val="004E7CEB"/>
    <w:rsid w:val="004E7F11"/>
    <w:rsid w:val="004E7FAF"/>
    <w:rsid w:val="004F0106"/>
    <w:rsid w:val="004F030B"/>
    <w:rsid w:val="004F0372"/>
    <w:rsid w:val="004F03BD"/>
    <w:rsid w:val="004F0623"/>
    <w:rsid w:val="004F06CA"/>
    <w:rsid w:val="004F077F"/>
    <w:rsid w:val="004F07CC"/>
    <w:rsid w:val="004F095B"/>
    <w:rsid w:val="004F0A15"/>
    <w:rsid w:val="004F0A5F"/>
    <w:rsid w:val="004F0B4E"/>
    <w:rsid w:val="004F1059"/>
    <w:rsid w:val="004F1184"/>
    <w:rsid w:val="004F12F2"/>
    <w:rsid w:val="004F13C8"/>
    <w:rsid w:val="004F1469"/>
    <w:rsid w:val="004F147F"/>
    <w:rsid w:val="004F1529"/>
    <w:rsid w:val="004F1745"/>
    <w:rsid w:val="004F17FD"/>
    <w:rsid w:val="004F1822"/>
    <w:rsid w:val="004F1A1B"/>
    <w:rsid w:val="004F1B37"/>
    <w:rsid w:val="004F1B5A"/>
    <w:rsid w:val="004F1B5E"/>
    <w:rsid w:val="004F1E75"/>
    <w:rsid w:val="004F1EB1"/>
    <w:rsid w:val="004F1FB0"/>
    <w:rsid w:val="004F225E"/>
    <w:rsid w:val="004F23F9"/>
    <w:rsid w:val="004F2606"/>
    <w:rsid w:val="004F2826"/>
    <w:rsid w:val="004F2A80"/>
    <w:rsid w:val="004F2B51"/>
    <w:rsid w:val="004F30DE"/>
    <w:rsid w:val="004F331D"/>
    <w:rsid w:val="004F336C"/>
    <w:rsid w:val="004F3572"/>
    <w:rsid w:val="004F35CF"/>
    <w:rsid w:val="004F3634"/>
    <w:rsid w:val="004F369F"/>
    <w:rsid w:val="004F38CA"/>
    <w:rsid w:val="004F3AC3"/>
    <w:rsid w:val="004F3B16"/>
    <w:rsid w:val="004F3B5F"/>
    <w:rsid w:val="004F3C5D"/>
    <w:rsid w:val="004F3CD8"/>
    <w:rsid w:val="004F3DBF"/>
    <w:rsid w:val="004F3DDD"/>
    <w:rsid w:val="004F3F7F"/>
    <w:rsid w:val="004F3FCB"/>
    <w:rsid w:val="004F4031"/>
    <w:rsid w:val="004F41FA"/>
    <w:rsid w:val="004F4357"/>
    <w:rsid w:val="004F4370"/>
    <w:rsid w:val="004F43AE"/>
    <w:rsid w:val="004F451A"/>
    <w:rsid w:val="004F479D"/>
    <w:rsid w:val="004F4889"/>
    <w:rsid w:val="004F4900"/>
    <w:rsid w:val="004F4AD3"/>
    <w:rsid w:val="004F4B0C"/>
    <w:rsid w:val="004F4D3C"/>
    <w:rsid w:val="004F4DE9"/>
    <w:rsid w:val="004F4E54"/>
    <w:rsid w:val="004F5161"/>
    <w:rsid w:val="004F52F5"/>
    <w:rsid w:val="004F57A0"/>
    <w:rsid w:val="004F57D4"/>
    <w:rsid w:val="004F5A12"/>
    <w:rsid w:val="004F5A48"/>
    <w:rsid w:val="004F5A81"/>
    <w:rsid w:val="004F5B5E"/>
    <w:rsid w:val="004F5C7B"/>
    <w:rsid w:val="004F6187"/>
    <w:rsid w:val="004F61FF"/>
    <w:rsid w:val="004F625A"/>
    <w:rsid w:val="004F62ED"/>
    <w:rsid w:val="004F63E3"/>
    <w:rsid w:val="004F6432"/>
    <w:rsid w:val="004F6489"/>
    <w:rsid w:val="004F64F9"/>
    <w:rsid w:val="004F6700"/>
    <w:rsid w:val="004F6770"/>
    <w:rsid w:val="004F691C"/>
    <w:rsid w:val="004F6B20"/>
    <w:rsid w:val="004F6B62"/>
    <w:rsid w:val="004F6D97"/>
    <w:rsid w:val="004F6DB3"/>
    <w:rsid w:val="004F6E24"/>
    <w:rsid w:val="004F6EAA"/>
    <w:rsid w:val="004F6F51"/>
    <w:rsid w:val="004F6F74"/>
    <w:rsid w:val="004F70AD"/>
    <w:rsid w:val="004F70AF"/>
    <w:rsid w:val="004F7143"/>
    <w:rsid w:val="004F72A7"/>
    <w:rsid w:val="004F75D5"/>
    <w:rsid w:val="004F7733"/>
    <w:rsid w:val="004F7850"/>
    <w:rsid w:val="004F792A"/>
    <w:rsid w:val="004F795B"/>
    <w:rsid w:val="004F7B19"/>
    <w:rsid w:val="00500262"/>
    <w:rsid w:val="00500328"/>
    <w:rsid w:val="005003CA"/>
    <w:rsid w:val="00500444"/>
    <w:rsid w:val="0050059C"/>
    <w:rsid w:val="00500635"/>
    <w:rsid w:val="0050063B"/>
    <w:rsid w:val="005008C2"/>
    <w:rsid w:val="00500986"/>
    <w:rsid w:val="00500C92"/>
    <w:rsid w:val="00500DEC"/>
    <w:rsid w:val="00500EE5"/>
    <w:rsid w:val="0050100A"/>
    <w:rsid w:val="0050113F"/>
    <w:rsid w:val="0050118E"/>
    <w:rsid w:val="00501210"/>
    <w:rsid w:val="00501407"/>
    <w:rsid w:val="00501416"/>
    <w:rsid w:val="0050141E"/>
    <w:rsid w:val="005014A4"/>
    <w:rsid w:val="00501659"/>
    <w:rsid w:val="00501A8C"/>
    <w:rsid w:val="00501E25"/>
    <w:rsid w:val="00501E52"/>
    <w:rsid w:val="00501ED2"/>
    <w:rsid w:val="0050209D"/>
    <w:rsid w:val="0050224D"/>
    <w:rsid w:val="00502258"/>
    <w:rsid w:val="0050246A"/>
    <w:rsid w:val="0050264A"/>
    <w:rsid w:val="0050273D"/>
    <w:rsid w:val="0050276E"/>
    <w:rsid w:val="00502926"/>
    <w:rsid w:val="0050298D"/>
    <w:rsid w:val="00502A4F"/>
    <w:rsid w:val="00502BAD"/>
    <w:rsid w:val="00502C6F"/>
    <w:rsid w:val="00502CA2"/>
    <w:rsid w:val="00502D18"/>
    <w:rsid w:val="00502D9A"/>
    <w:rsid w:val="00503406"/>
    <w:rsid w:val="0050347E"/>
    <w:rsid w:val="005036B0"/>
    <w:rsid w:val="005037BB"/>
    <w:rsid w:val="0050382E"/>
    <w:rsid w:val="00503840"/>
    <w:rsid w:val="00503909"/>
    <w:rsid w:val="00503CF9"/>
    <w:rsid w:val="00503D8A"/>
    <w:rsid w:val="00503E6E"/>
    <w:rsid w:val="00503E74"/>
    <w:rsid w:val="00503F42"/>
    <w:rsid w:val="00503F8E"/>
    <w:rsid w:val="00503FE8"/>
    <w:rsid w:val="0050433E"/>
    <w:rsid w:val="00504556"/>
    <w:rsid w:val="00504A88"/>
    <w:rsid w:val="00504CB2"/>
    <w:rsid w:val="0050508D"/>
    <w:rsid w:val="0050514D"/>
    <w:rsid w:val="0050526E"/>
    <w:rsid w:val="00505281"/>
    <w:rsid w:val="0050539B"/>
    <w:rsid w:val="00505794"/>
    <w:rsid w:val="00505ACF"/>
    <w:rsid w:val="00505BC5"/>
    <w:rsid w:val="00505D09"/>
    <w:rsid w:val="00505DBA"/>
    <w:rsid w:val="00505E1F"/>
    <w:rsid w:val="00506075"/>
    <w:rsid w:val="0050618C"/>
    <w:rsid w:val="00506191"/>
    <w:rsid w:val="0050621A"/>
    <w:rsid w:val="005062FA"/>
    <w:rsid w:val="00506418"/>
    <w:rsid w:val="00506486"/>
    <w:rsid w:val="005064CD"/>
    <w:rsid w:val="005065C3"/>
    <w:rsid w:val="005065F1"/>
    <w:rsid w:val="0050682B"/>
    <w:rsid w:val="005068D8"/>
    <w:rsid w:val="00506941"/>
    <w:rsid w:val="00506A60"/>
    <w:rsid w:val="00506AF3"/>
    <w:rsid w:val="00506B48"/>
    <w:rsid w:val="00506BA3"/>
    <w:rsid w:val="00506C53"/>
    <w:rsid w:val="00506C69"/>
    <w:rsid w:val="00506D62"/>
    <w:rsid w:val="00506EDC"/>
    <w:rsid w:val="00506FCE"/>
    <w:rsid w:val="00506FF5"/>
    <w:rsid w:val="0050702A"/>
    <w:rsid w:val="00507145"/>
    <w:rsid w:val="005071C5"/>
    <w:rsid w:val="005072FE"/>
    <w:rsid w:val="005073A1"/>
    <w:rsid w:val="0050798D"/>
    <w:rsid w:val="00507A82"/>
    <w:rsid w:val="00507B0C"/>
    <w:rsid w:val="00507C8F"/>
    <w:rsid w:val="00507D81"/>
    <w:rsid w:val="00507DB5"/>
    <w:rsid w:val="00507E13"/>
    <w:rsid w:val="00507E64"/>
    <w:rsid w:val="0051007F"/>
    <w:rsid w:val="005104EF"/>
    <w:rsid w:val="005105A7"/>
    <w:rsid w:val="00510760"/>
    <w:rsid w:val="00510817"/>
    <w:rsid w:val="005108F9"/>
    <w:rsid w:val="00510919"/>
    <w:rsid w:val="00510B3C"/>
    <w:rsid w:val="00510ECF"/>
    <w:rsid w:val="00510F21"/>
    <w:rsid w:val="00510F4D"/>
    <w:rsid w:val="00510F6B"/>
    <w:rsid w:val="00510F95"/>
    <w:rsid w:val="00511056"/>
    <w:rsid w:val="005111A8"/>
    <w:rsid w:val="0051122D"/>
    <w:rsid w:val="00511256"/>
    <w:rsid w:val="005112D7"/>
    <w:rsid w:val="00511598"/>
    <w:rsid w:val="005115A9"/>
    <w:rsid w:val="005115FE"/>
    <w:rsid w:val="005116DA"/>
    <w:rsid w:val="00511702"/>
    <w:rsid w:val="00511748"/>
    <w:rsid w:val="005117E9"/>
    <w:rsid w:val="005117EA"/>
    <w:rsid w:val="005119A8"/>
    <w:rsid w:val="005119AB"/>
    <w:rsid w:val="00511A06"/>
    <w:rsid w:val="00511ACB"/>
    <w:rsid w:val="00511BC1"/>
    <w:rsid w:val="00511D27"/>
    <w:rsid w:val="00511D6F"/>
    <w:rsid w:val="00511DB1"/>
    <w:rsid w:val="00511FC7"/>
    <w:rsid w:val="00512169"/>
    <w:rsid w:val="00512367"/>
    <w:rsid w:val="005123C8"/>
    <w:rsid w:val="005123E7"/>
    <w:rsid w:val="00512542"/>
    <w:rsid w:val="005125E0"/>
    <w:rsid w:val="00512B02"/>
    <w:rsid w:val="00512B3D"/>
    <w:rsid w:val="00512C0D"/>
    <w:rsid w:val="00512E19"/>
    <w:rsid w:val="0051303A"/>
    <w:rsid w:val="0051304D"/>
    <w:rsid w:val="00513311"/>
    <w:rsid w:val="005135EC"/>
    <w:rsid w:val="00513625"/>
    <w:rsid w:val="00513644"/>
    <w:rsid w:val="005136C2"/>
    <w:rsid w:val="00513707"/>
    <w:rsid w:val="00513708"/>
    <w:rsid w:val="00513889"/>
    <w:rsid w:val="005139FC"/>
    <w:rsid w:val="00513AD0"/>
    <w:rsid w:val="00513B5E"/>
    <w:rsid w:val="0051401F"/>
    <w:rsid w:val="0051404B"/>
    <w:rsid w:val="005141C8"/>
    <w:rsid w:val="00514297"/>
    <w:rsid w:val="00514426"/>
    <w:rsid w:val="005144B7"/>
    <w:rsid w:val="005146F9"/>
    <w:rsid w:val="005147A3"/>
    <w:rsid w:val="005148DB"/>
    <w:rsid w:val="00514971"/>
    <w:rsid w:val="005149A3"/>
    <w:rsid w:val="00514A1C"/>
    <w:rsid w:val="00514A78"/>
    <w:rsid w:val="00514AFA"/>
    <w:rsid w:val="00514BF1"/>
    <w:rsid w:val="00515150"/>
    <w:rsid w:val="005152E4"/>
    <w:rsid w:val="00515443"/>
    <w:rsid w:val="005154DD"/>
    <w:rsid w:val="0051552F"/>
    <w:rsid w:val="005156B3"/>
    <w:rsid w:val="005159C3"/>
    <w:rsid w:val="00515A05"/>
    <w:rsid w:val="00515A0B"/>
    <w:rsid w:val="00515B40"/>
    <w:rsid w:val="00515BAD"/>
    <w:rsid w:val="00515CE8"/>
    <w:rsid w:val="00515D87"/>
    <w:rsid w:val="00515DBA"/>
    <w:rsid w:val="00515DE8"/>
    <w:rsid w:val="00515E6C"/>
    <w:rsid w:val="00515FCB"/>
    <w:rsid w:val="005161AE"/>
    <w:rsid w:val="0051621C"/>
    <w:rsid w:val="005162C0"/>
    <w:rsid w:val="0051630B"/>
    <w:rsid w:val="005163AA"/>
    <w:rsid w:val="005163C1"/>
    <w:rsid w:val="0051661B"/>
    <w:rsid w:val="00516651"/>
    <w:rsid w:val="00516750"/>
    <w:rsid w:val="00516997"/>
    <w:rsid w:val="00516B12"/>
    <w:rsid w:val="00516BBB"/>
    <w:rsid w:val="00516BC9"/>
    <w:rsid w:val="00516DEE"/>
    <w:rsid w:val="00516DFC"/>
    <w:rsid w:val="00516E6C"/>
    <w:rsid w:val="0051708F"/>
    <w:rsid w:val="00517097"/>
    <w:rsid w:val="00517104"/>
    <w:rsid w:val="00517337"/>
    <w:rsid w:val="00517420"/>
    <w:rsid w:val="0051785A"/>
    <w:rsid w:val="0051786A"/>
    <w:rsid w:val="005178D6"/>
    <w:rsid w:val="00517B82"/>
    <w:rsid w:val="00517C7E"/>
    <w:rsid w:val="00517ED5"/>
    <w:rsid w:val="00517F0D"/>
    <w:rsid w:val="00517F65"/>
    <w:rsid w:val="00520016"/>
    <w:rsid w:val="00520217"/>
    <w:rsid w:val="00520251"/>
    <w:rsid w:val="00520258"/>
    <w:rsid w:val="005203D9"/>
    <w:rsid w:val="00520441"/>
    <w:rsid w:val="00520500"/>
    <w:rsid w:val="00520661"/>
    <w:rsid w:val="005208F5"/>
    <w:rsid w:val="0052090B"/>
    <w:rsid w:val="00520A1A"/>
    <w:rsid w:val="00520B3E"/>
    <w:rsid w:val="00520C4B"/>
    <w:rsid w:val="00520C9D"/>
    <w:rsid w:val="00520EB5"/>
    <w:rsid w:val="0052106C"/>
    <w:rsid w:val="0052129B"/>
    <w:rsid w:val="005212AD"/>
    <w:rsid w:val="005213D1"/>
    <w:rsid w:val="00521446"/>
    <w:rsid w:val="00521519"/>
    <w:rsid w:val="00521526"/>
    <w:rsid w:val="00521618"/>
    <w:rsid w:val="005217E2"/>
    <w:rsid w:val="0052181C"/>
    <w:rsid w:val="00521944"/>
    <w:rsid w:val="00521AAF"/>
    <w:rsid w:val="00521B8C"/>
    <w:rsid w:val="00521E44"/>
    <w:rsid w:val="00521EB5"/>
    <w:rsid w:val="00522018"/>
    <w:rsid w:val="005222A7"/>
    <w:rsid w:val="005223C4"/>
    <w:rsid w:val="00522421"/>
    <w:rsid w:val="00522673"/>
    <w:rsid w:val="00522709"/>
    <w:rsid w:val="005227A8"/>
    <w:rsid w:val="00522988"/>
    <w:rsid w:val="00522E7F"/>
    <w:rsid w:val="00522EC5"/>
    <w:rsid w:val="00522FA0"/>
    <w:rsid w:val="005231E9"/>
    <w:rsid w:val="005232C5"/>
    <w:rsid w:val="0052339E"/>
    <w:rsid w:val="0052349A"/>
    <w:rsid w:val="005234F5"/>
    <w:rsid w:val="0052350B"/>
    <w:rsid w:val="0052375C"/>
    <w:rsid w:val="0052376C"/>
    <w:rsid w:val="00523953"/>
    <w:rsid w:val="00523B46"/>
    <w:rsid w:val="00523B97"/>
    <w:rsid w:val="00523C21"/>
    <w:rsid w:val="00523C29"/>
    <w:rsid w:val="00523CD4"/>
    <w:rsid w:val="00523DFC"/>
    <w:rsid w:val="00523E2D"/>
    <w:rsid w:val="00524039"/>
    <w:rsid w:val="005240F5"/>
    <w:rsid w:val="00524123"/>
    <w:rsid w:val="005241BB"/>
    <w:rsid w:val="00524257"/>
    <w:rsid w:val="005242A6"/>
    <w:rsid w:val="005243C6"/>
    <w:rsid w:val="005243FA"/>
    <w:rsid w:val="0052442B"/>
    <w:rsid w:val="005244D3"/>
    <w:rsid w:val="0052455F"/>
    <w:rsid w:val="0052456E"/>
    <w:rsid w:val="0052468B"/>
    <w:rsid w:val="005248E5"/>
    <w:rsid w:val="005249C0"/>
    <w:rsid w:val="00524A09"/>
    <w:rsid w:val="00524B9F"/>
    <w:rsid w:val="00524C64"/>
    <w:rsid w:val="00524D78"/>
    <w:rsid w:val="00524DB2"/>
    <w:rsid w:val="00524DD9"/>
    <w:rsid w:val="00524E17"/>
    <w:rsid w:val="00524F79"/>
    <w:rsid w:val="00524FA2"/>
    <w:rsid w:val="00525135"/>
    <w:rsid w:val="00525170"/>
    <w:rsid w:val="00525190"/>
    <w:rsid w:val="005251B8"/>
    <w:rsid w:val="005251D9"/>
    <w:rsid w:val="005251E5"/>
    <w:rsid w:val="005253FC"/>
    <w:rsid w:val="0052549E"/>
    <w:rsid w:val="00525545"/>
    <w:rsid w:val="005258D6"/>
    <w:rsid w:val="00525DCE"/>
    <w:rsid w:val="00525F6F"/>
    <w:rsid w:val="00526131"/>
    <w:rsid w:val="00526198"/>
    <w:rsid w:val="005262A8"/>
    <w:rsid w:val="005264B6"/>
    <w:rsid w:val="005266A6"/>
    <w:rsid w:val="00526761"/>
    <w:rsid w:val="0052683F"/>
    <w:rsid w:val="005268F8"/>
    <w:rsid w:val="005269FA"/>
    <w:rsid w:val="00526A6A"/>
    <w:rsid w:val="00526A71"/>
    <w:rsid w:val="00526B6E"/>
    <w:rsid w:val="00527022"/>
    <w:rsid w:val="005270D2"/>
    <w:rsid w:val="00527139"/>
    <w:rsid w:val="005271BA"/>
    <w:rsid w:val="00527247"/>
    <w:rsid w:val="0052729E"/>
    <w:rsid w:val="0052750B"/>
    <w:rsid w:val="0052760B"/>
    <w:rsid w:val="005276DB"/>
    <w:rsid w:val="00527923"/>
    <w:rsid w:val="005279A9"/>
    <w:rsid w:val="00527AC3"/>
    <w:rsid w:val="00527AF9"/>
    <w:rsid w:val="00527B09"/>
    <w:rsid w:val="00527C41"/>
    <w:rsid w:val="00527C55"/>
    <w:rsid w:val="00527DF3"/>
    <w:rsid w:val="0053001D"/>
    <w:rsid w:val="005302E3"/>
    <w:rsid w:val="0053044B"/>
    <w:rsid w:val="005304B9"/>
    <w:rsid w:val="0053059A"/>
    <w:rsid w:val="005305FF"/>
    <w:rsid w:val="0053065F"/>
    <w:rsid w:val="00530799"/>
    <w:rsid w:val="0053079A"/>
    <w:rsid w:val="00530860"/>
    <w:rsid w:val="005308B6"/>
    <w:rsid w:val="00530987"/>
    <w:rsid w:val="00530A6F"/>
    <w:rsid w:val="00530AF5"/>
    <w:rsid w:val="00530CE3"/>
    <w:rsid w:val="00530E90"/>
    <w:rsid w:val="00530F86"/>
    <w:rsid w:val="005310CC"/>
    <w:rsid w:val="005310EA"/>
    <w:rsid w:val="00531166"/>
    <w:rsid w:val="00531205"/>
    <w:rsid w:val="00531284"/>
    <w:rsid w:val="00531469"/>
    <w:rsid w:val="0053187B"/>
    <w:rsid w:val="0053191C"/>
    <w:rsid w:val="00531938"/>
    <w:rsid w:val="00531952"/>
    <w:rsid w:val="00531A35"/>
    <w:rsid w:val="00531B49"/>
    <w:rsid w:val="00531C89"/>
    <w:rsid w:val="00531D69"/>
    <w:rsid w:val="0053223A"/>
    <w:rsid w:val="00532302"/>
    <w:rsid w:val="0053238A"/>
    <w:rsid w:val="005323B0"/>
    <w:rsid w:val="0053241B"/>
    <w:rsid w:val="005324F3"/>
    <w:rsid w:val="0053265E"/>
    <w:rsid w:val="00532782"/>
    <w:rsid w:val="0053294B"/>
    <w:rsid w:val="00532A09"/>
    <w:rsid w:val="00532B1F"/>
    <w:rsid w:val="00532C37"/>
    <w:rsid w:val="00532D97"/>
    <w:rsid w:val="00532DB0"/>
    <w:rsid w:val="00532EA7"/>
    <w:rsid w:val="00532EAD"/>
    <w:rsid w:val="00533051"/>
    <w:rsid w:val="00533274"/>
    <w:rsid w:val="005333F9"/>
    <w:rsid w:val="005334A4"/>
    <w:rsid w:val="005336CD"/>
    <w:rsid w:val="005336FA"/>
    <w:rsid w:val="00533A09"/>
    <w:rsid w:val="00533CEB"/>
    <w:rsid w:val="00533D71"/>
    <w:rsid w:val="00533D75"/>
    <w:rsid w:val="00533E60"/>
    <w:rsid w:val="005340D4"/>
    <w:rsid w:val="0053419A"/>
    <w:rsid w:val="0053436F"/>
    <w:rsid w:val="00534375"/>
    <w:rsid w:val="00534413"/>
    <w:rsid w:val="00534425"/>
    <w:rsid w:val="005344BE"/>
    <w:rsid w:val="0053463C"/>
    <w:rsid w:val="00534683"/>
    <w:rsid w:val="00534690"/>
    <w:rsid w:val="005347C2"/>
    <w:rsid w:val="005347E4"/>
    <w:rsid w:val="00534858"/>
    <w:rsid w:val="00534885"/>
    <w:rsid w:val="00534A85"/>
    <w:rsid w:val="00534CEA"/>
    <w:rsid w:val="00534DBD"/>
    <w:rsid w:val="00534E2F"/>
    <w:rsid w:val="00534F32"/>
    <w:rsid w:val="00534FA3"/>
    <w:rsid w:val="0053500C"/>
    <w:rsid w:val="00535011"/>
    <w:rsid w:val="005350C4"/>
    <w:rsid w:val="00535340"/>
    <w:rsid w:val="0053540B"/>
    <w:rsid w:val="00535476"/>
    <w:rsid w:val="00535832"/>
    <w:rsid w:val="0053587A"/>
    <w:rsid w:val="00535942"/>
    <w:rsid w:val="00535B41"/>
    <w:rsid w:val="00535C6A"/>
    <w:rsid w:val="00535D8E"/>
    <w:rsid w:val="00535E72"/>
    <w:rsid w:val="00535EAC"/>
    <w:rsid w:val="0053611C"/>
    <w:rsid w:val="00536226"/>
    <w:rsid w:val="0053631F"/>
    <w:rsid w:val="00536616"/>
    <w:rsid w:val="005366D9"/>
    <w:rsid w:val="005368E7"/>
    <w:rsid w:val="00536982"/>
    <w:rsid w:val="00536A6F"/>
    <w:rsid w:val="00536DC1"/>
    <w:rsid w:val="00536F89"/>
    <w:rsid w:val="00537051"/>
    <w:rsid w:val="00537243"/>
    <w:rsid w:val="00537312"/>
    <w:rsid w:val="0053738C"/>
    <w:rsid w:val="0053739B"/>
    <w:rsid w:val="00537422"/>
    <w:rsid w:val="00537575"/>
    <w:rsid w:val="005376F3"/>
    <w:rsid w:val="00537D40"/>
    <w:rsid w:val="00537DDD"/>
    <w:rsid w:val="00537F4F"/>
    <w:rsid w:val="0054015A"/>
    <w:rsid w:val="00540220"/>
    <w:rsid w:val="00540343"/>
    <w:rsid w:val="0054038E"/>
    <w:rsid w:val="00540707"/>
    <w:rsid w:val="00540815"/>
    <w:rsid w:val="00540832"/>
    <w:rsid w:val="00540866"/>
    <w:rsid w:val="0054099F"/>
    <w:rsid w:val="005409FA"/>
    <w:rsid w:val="00540B8C"/>
    <w:rsid w:val="00540BE7"/>
    <w:rsid w:val="00540CEA"/>
    <w:rsid w:val="00540CF9"/>
    <w:rsid w:val="00540D4A"/>
    <w:rsid w:val="00540E81"/>
    <w:rsid w:val="00540EC8"/>
    <w:rsid w:val="00540F8E"/>
    <w:rsid w:val="00541007"/>
    <w:rsid w:val="00541168"/>
    <w:rsid w:val="00541190"/>
    <w:rsid w:val="005411A1"/>
    <w:rsid w:val="00541216"/>
    <w:rsid w:val="005412BF"/>
    <w:rsid w:val="00541394"/>
    <w:rsid w:val="005413DB"/>
    <w:rsid w:val="0054141D"/>
    <w:rsid w:val="00541477"/>
    <w:rsid w:val="0054154F"/>
    <w:rsid w:val="005415CD"/>
    <w:rsid w:val="005415D3"/>
    <w:rsid w:val="00541904"/>
    <w:rsid w:val="00541931"/>
    <w:rsid w:val="00541B6B"/>
    <w:rsid w:val="00541C88"/>
    <w:rsid w:val="00541CD4"/>
    <w:rsid w:val="00542507"/>
    <w:rsid w:val="005426EC"/>
    <w:rsid w:val="005427F8"/>
    <w:rsid w:val="005428A1"/>
    <w:rsid w:val="00542AAE"/>
    <w:rsid w:val="00542B6C"/>
    <w:rsid w:val="00542C9F"/>
    <w:rsid w:val="00542DA9"/>
    <w:rsid w:val="00542E75"/>
    <w:rsid w:val="0054304B"/>
    <w:rsid w:val="00543050"/>
    <w:rsid w:val="005432C7"/>
    <w:rsid w:val="005432F1"/>
    <w:rsid w:val="00543467"/>
    <w:rsid w:val="00543559"/>
    <w:rsid w:val="005435A0"/>
    <w:rsid w:val="00543667"/>
    <w:rsid w:val="00543BBD"/>
    <w:rsid w:val="00543CD0"/>
    <w:rsid w:val="00543DFE"/>
    <w:rsid w:val="00543E78"/>
    <w:rsid w:val="00543F18"/>
    <w:rsid w:val="00543FC0"/>
    <w:rsid w:val="005440F3"/>
    <w:rsid w:val="00544229"/>
    <w:rsid w:val="005442CF"/>
    <w:rsid w:val="005442EA"/>
    <w:rsid w:val="00544B91"/>
    <w:rsid w:val="00544DB5"/>
    <w:rsid w:val="00544E8D"/>
    <w:rsid w:val="0054512C"/>
    <w:rsid w:val="00545448"/>
    <w:rsid w:val="00545656"/>
    <w:rsid w:val="005456A5"/>
    <w:rsid w:val="00545775"/>
    <w:rsid w:val="005457A5"/>
    <w:rsid w:val="005457C5"/>
    <w:rsid w:val="0054595E"/>
    <w:rsid w:val="00545A5C"/>
    <w:rsid w:val="00545E58"/>
    <w:rsid w:val="00545E5B"/>
    <w:rsid w:val="00545EBA"/>
    <w:rsid w:val="00545EEA"/>
    <w:rsid w:val="00545FB1"/>
    <w:rsid w:val="0054627C"/>
    <w:rsid w:val="0054648D"/>
    <w:rsid w:val="0054652B"/>
    <w:rsid w:val="00546530"/>
    <w:rsid w:val="00546567"/>
    <w:rsid w:val="00546663"/>
    <w:rsid w:val="005468A7"/>
    <w:rsid w:val="005469AA"/>
    <w:rsid w:val="00546A56"/>
    <w:rsid w:val="00546B1C"/>
    <w:rsid w:val="00546D6F"/>
    <w:rsid w:val="00546DE4"/>
    <w:rsid w:val="00546E81"/>
    <w:rsid w:val="00546EBB"/>
    <w:rsid w:val="00547038"/>
    <w:rsid w:val="00547141"/>
    <w:rsid w:val="0054715E"/>
    <w:rsid w:val="00547241"/>
    <w:rsid w:val="00547320"/>
    <w:rsid w:val="00547581"/>
    <w:rsid w:val="005475B9"/>
    <w:rsid w:val="00547834"/>
    <w:rsid w:val="00547874"/>
    <w:rsid w:val="00547893"/>
    <w:rsid w:val="00547D2A"/>
    <w:rsid w:val="00547DE8"/>
    <w:rsid w:val="00547DEC"/>
    <w:rsid w:val="00547FAD"/>
    <w:rsid w:val="005500E6"/>
    <w:rsid w:val="00550173"/>
    <w:rsid w:val="00550200"/>
    <w:rsid w:val="00550481"/>
    <w:rsid w:val="00550506"/>
    <w:rsid w:val="005506AD"/>
    <w:rsid w:val="005506F8"/>
    <w:rsid w:val="005508B2"/>
    <w:rsid w:val="00550B4E"/>
    <w:rsid w:val="005512CF"/>
    <w:rsid w:val="005512FA"/>
    <w:rsid w:val="005513A1"/>
    <w:rsid w:val="0055150E"/>
    <w:rsid w:val="005515A4"/>
    <w:rsid w:val="005515C5"/>
    <w:rsid w:val="0055170A"/>
    <w:rsid w:val="0055174D"/>
    <w:rsid w:val="005517EA"/>
    <w:rsid w:val="005518EB"/>
    <w:rsid w:val="005519DC"/>
    <w:rsid w:val="005519E6"/>
    <w:rsid w:val="00551A28"/>
    <w:rsid w:val="00551A62"/>
    <w:rsid w:val="00551C01"/>
    <w:rsid w:val="00551CAB"/>
    <w:rsid w:val="00551F68"/>
    <w:rsid w:val="005521B7"/>
    <w:rsid w:val="00552201"/>
    <w:rsid w:val="0055231F"/>
    <w:rsid w:val="00552442"/>
    <w:rsid w:val="005525A4"/>
    <w:rsid w:val="005525BA"/>
    <w:rsid w:val="005525BF"/>
    <w:rsid w:val="005526B2"/>
    <w:rsid w:val="005526EF"/>
    <w:rsid w:val="00552753"/>
    <w:rsid w:val="00552762"/>
    <w:rsid w:val="00552810"/>
    <w:rsid w:val="005529AC"/>
    <w:rsid w:val="00552C56"/>
    <w:rsid w:val="00552D88"/>
    <w:rsid w:val="005531FB"/>
    <w:rsid w:val="0055325F"/>
    <w:rsid w:val="00553302"/>
    <w:rsid w:val="00553386"/>
    <w:rsid w:val="0055366B"/>
    <w:rsid w:val="0055368D"/>
    <w:rsid w:val="005536C4"/>
    <w:rsid w:val="00553702"/>
    <w:rsid w:val="0055379B"/>
    <w:rsid w:val="005537A2"/>
    <w:rsid w:val="0055387E"/>
    <w:rsid w:val="005538C8"/>
    <w:rsid w:val="00553A35"/>
    <w:rsid w:val="00553AF5"/>
    <w:rsid w:val="00553DE6"/>
    <w:rsid w:val="00553E29"/>
    <w:rsid w:val="005540BD"/>
    <w:rsid w:val="005542A5"/>
    <w:rsid w:val="00554523"/>
    <w:rsid w:val="00554660"/>
    <w:rsid w:val="0055467E"/>
    <w:rsid w:val="005547BC"/>
    <w:rsid w:val="00554829"/>
    <w:rsid w:val="0055486E"/>
    <w:rsid w:val="00554896"/>
    <w:rsid w:val="00554AD4"/>
    <w:rsid w:val="00554B28"/>
    <w:rsid w:val="00554B39"/>
    <w:rsid w:val="00554CAF"/>
    <w:rsid w:val="00554DA5"/>
    <w:rsid w:val="00554DE1"/>
    <w:rsid w:val="00554E1F"/>
    <w:rsid w:val="00554EB4"/>
    <w:rsid w:val="00554F44"/>
    <w:rsid w:val="00555033"/>
    <w:rsid w:val="005550C6"/>
    <w:rsid w:val="00555104"/>
    <w:rsid w:val="005551F9"/>
    <w:rsid w:val="0055543B"/>
    <w:rsid w:val="00555662"/>
    <w:rsid w:val="0055574B"/>
    <w:rsid w:val="00555A86"/>
    <w:rsid w:val="00555C5D"/>
    <w:rsid w:val="00555C64"/>
    <w:rsid w:val="00555E43"/>
    <w:rsid w:val="00555E60"/>
    <w:rsid w:val="00555ED1"/>
    <w:rsid w:val="00555F83"/>
    <w:rsid w:val="00556005"/>
    <w:rsid w:val="005560A1"/>
    <w:rsid w:val="005560E8"/>
    <w:rsid w:val="005563CD"/>
    <w:rsid w:val="0055657E"/>
    <w:rsid w:val="0055662E"/>
    <w:rsid w:val="00556705"/>
    <w:rsid w:val="0055674D"/>
    <w:rsid w:val="00556A01"/>
    <w:rsid w:val="00556A67"/>
    <w:rsid w:val="00556AE4"/>
    <w:rsid w:val="00556D1E"/>
    <w:rsid w:val="005570AA"/>
    <w:rsid w:val="005570D3"/>
    <w:rsid w:val="00557108"/>
    <w:rsid w:val="00557180"/>
    <w:rsid w:val="0055725C"/>
    <w:rsid w:val="0055734C"/>
    <w:rsid w:val="00557387"/>
    <w:rsid w:val="005573D1"/>
    <w:rsid w:val="00557408"/>
    <w:rsid w:val="005574CA"/>
    <w:rsid w:val="0055751B"/>
    <w:rsid w:val="0055762F"/>
    <w:rsid w:val="0055784B"/>
    <w:rsid w:val="00557952"/>
    <w:rsid w:val="00557EB3"/>
    <w:rsid w:val="00557F06"/>
    <w:rsid w:val="00557F17"/>
    <w:rsid w:val="00560471"/>
    <w:rsid w:val="0056061C"/>
    <w:rsid w:val="0056064C"/>
    <w:rsid w:val="0056074D"/>
    <w:rsid w:val="005608D4"/>
    <w:rsid w:val="0056099D"/>
    <w:rsid w:val="00560A24"/>
    <w:rsid w:val="00560A7C"/>
    <w:rsid w:val="00560CF9"/>
    <w:rsid w:val="00560E19"/>
    <w:rsid w:val="005610ED"/>
    <w:rsid w:val="00561468"/>
    <w:rsid w:val="005614EA"/>
    <w:rsid w:val="0056154A"/>
    <w:rsid w:val="00561572"/>
    <w:rsid w:val="00561793"/>
    <w:rsid w:val="005617EE"/>
    <w:rsid w:val="005619B2"/>
    <w:rsid w:val="005619B6"/>
    <w:rsid w:val="00561B13"/>
    <w:rsid w:val="00561C7D"/>
    <w:rsid w:val="00561F83"/>
    <w:rsid w:val="00561FB0"/>
    <w:rsid w:val="00562338"/>
    <w:rsid w:val="005623CC"/>
    <w:rsid w:val="0056243F"/>
    <w:rsid w:val="00562601"/>
    <w:rsid w:val="00562911"/>
    <w:rsid w:val="0056293A"/>
    <w:rsid w:val="00562A2F"/>
    <w:rsid w:val="00562E39"/>
    <w:rsid w:val="00562F41"/>
    <w:rsid w:val="0056304B"/>
    <w:rsid w:val="00563072"/>
    <w:rsid w:val="00563092"/>
    <w:rsid w:val="005631F6"/>
    <w:rsid w:val="005632E3"/>
    <w:rsid w:val="00563637"/>
    <w:rsid w:val="0056395F"/>
    <w:rsid w:val="00563A41"/>
    <w:rsid w:val="00563B3B"/>
    <w:rsid w:val="00563B7D"/>
    <w:rsid w:val="00563BB6"/>
    <w:rsid w:val="00563F2E"/>
    <w:rsid w:val="00563F37"/>
    <w:rsid w:val="00563F3E"/>
    <w:rsid w:val="0056413F"/>
    <w:rsid w:val="00564171"/>
    <w:rsid w:val="00564180"/>
    <w:rsid w:val="005641F4"/>
    <w:rsid w:val="0056425E"/>
    <w:rsid w:val="005642BA"/>
    <w:rsid w:val="0056453B"/>
    <w:rsid w:val="00564624"/>
    <w:rsid w:val="0056478E"/>
    <w:rsid w:val="00564A94"/>
    <w:rsid w:val="00564DD3"/>
    <w:rsid w:val="00564DDF"/>
    <w:rsid w:val="00564E2A"/>
    <w:rsid w:val="0056506B"/>
    <w:rsid w:val="005650C2"/>
    <w:rsid w:val="005650DB"/>
    <w:rsid w:val="005650FD"/>
    <w:rsid w:val="00565149"/>
    <w:rsid w:val="005652B0"/>
    <w:rsid w:val="00565373"/>
    <w:rsid w:val="00565662"/>
    <w:rsid w:val="0056578F"/>
    <w:rsid w:val="005659E1"/>
    <w:rsid w:val="00565ABB"/>
    <w:rsid w:val="00565B21"/>
    <w:rsid w:val="00565BA2"/>
    <w:rsid w:val="00565D92"/>
    <w:rsid w:val="00565F16"/>
    <w:rsid w:val="00565FEE"/>
    <w:rsid w:val="0056605A"/>
    <w:rsid w:val="0056640D"/>
    <w:rsid w:val="0056653B"/>
    <w:rsid w:val="005665BC"/>
    <w:rsid w:val="005665E1"/>
    <w:rsid w:val="00566669"/>
    <w:rsid w:val="00566810"/>
    <w:rsid w:val="005668FC"/>
    <w:rsid w:val="00566A09"/>
    <w:rsid w:val="00566A0B"/>
    <w:rsid w:val="00566BC7"/>
    <w:rsid w:val="00566CBD"/>
    <w:rsid w:val="00566DCD"/>
    <w:rsid w:val="00566DE2"/>
    <w:rsid w:val="00566F57"/>
    <w:rsid w:val="00566F6E"/>
    <w:rsid w:val="0056702F"/>
    <w:rsid w:val="0056724D"/>
    <w:rsid w:val="0056728B"/>
    <w:rsid w:val="00567510"/>
    <w:rsid w:val="005677C7"/>
    <w:rsid w:val="0056780D"/>
    <w:rsid w:val="00567869"/>
    <w:rsid w:val="005679CA"/>
    <w:rsid w:val="00567B16"/>
    <w:rsid w:val="00567B69"/>
    <w:rsid w:val="00567DBA"/>
    <w:rsid w:val="00567DBF"/>
    <w:rsid w:val="00567DFB"/>
    <w:rsid w:val="00567E04"/>
    <w:rsid w:val="00567FE7"/>
    <w:rsid w:val="00570045"/>
    <w:rsid w:val="005700C3"/>
    <w:rsid w:val="0057010A"/>
    <w:rsid w:val="00570195"/>
    <w:rsid w:val="005702CF"/>
    <w:rsid w:val="00570321"/>
    <w:rsid w:val="005703DC"/>
    <w:rsid w:val="005703E9"/>
    <w:rsid w:val="00570530"/>
    <w:rsid w:val="0057056B"/>
    <w:rsid w:val="00570744"/>
    <w:rsid w:val="0057091F"/>
    <w:rsid w:val="0057095E"/>
    <w:rsid w:val="00570A28"/>
    <w:rsid w:val="00570AD0"/>
    <w:rsid w:val="00570B1F"/>
    <w:rsid w:val="00570E0E"/>
    <w:rsid w:val="00571153"/>
    <w:rsid w:val="0057129C"/>
    <w:rsid w:val="00571440"/>
    <w:rsid w:val="005715D9"/>
    <w:rsid w:val="00571646"/>
    <w:rsid w:val="00571673"/>
    <w:rsid w:val="00571697"/>
    <w:rsid w:val="005716AD"/>
    <w:rsid w:val="00571745"/>
    <w:rsid w:val="00571A38"/>
    <w:rsid w:val="00571D96"/>
    <w:rsid w:val="00571E4D"/>
    <w:rsid w:val="00571EDE"/>
    <w:rsid w:val="0057212E"/>
    <w:rsid w:val="005725FD"/>
    <w:rsid w:val="0057265F"/>
    <w:rsid w:val="005727BA"/>
    <w:rsid w:val="0057280C"/>
    <w:rsid w:val="0057280D"/>
    <w:rsid w:val="00572981"/>
    <w:rsid w:val="00572A00"/>
    <w:rsid w:val="00572B55"/>
    <w:rsid w:val="00572BD0"/>
    <w:rsid w:val="00572C35"/>
    <w:rsid w:val="00572FA7"/>
    <w:rsid w:val="00573092"/>
    <w:rsid w:val="0057326B"/>
    <w:rsid w:val="005732A3"/>
    <w:rsid w:val="005732AE"/>
    <w:rsid w:val="005733E3"/>
    <w:rsid w:val="005736A7"/>
    <w:rsid w:val="00573877"/>
    <w:rsid w:val="0057391B"/>
    <w:rsid w:val="0057396D"/>
    <w:rsid w:val="00573A12"/>
    <w:rsid w:val="00573A8C"/>
    <w:rsid w:val="00573A93"/>
    <w:rsid w:val="00573BA7"/>
    <w:rsid w:val="00573BAD"/>
    <w:rsid w:val="00573BE8"/>
    <w:rsid w:val="00574105"/>
    <w:rsid w:val="0057438B"/>
    <w:rsid w:val="005745C0"/>
    <w:rsid w:val="00574632"/>
    <w:rsid w:val="00574883"/>
    <w:rsid w:val="005749A0"/>
    <w:rsid w:val="005749A2"/>
    <w:rsid w:val="00574A48"/>
    <w:rsid w:val="00574AF7"/>
    <w:rsid w:val="00574B02"/>
    <w:rsid w:val="00574E40"/>
    <w:rsid w:val="00574E76"/>
    <w:rsid w:val="00574ED1"/>
    <w:rsid w:val="00575015"/>
    <w:rsid w:val="005750BA"/>
    <w:rsid w:val="00575514"/>
    <w:rsid w:val="005755CA"/>
    <w:rsid w:val="00575671"/>
    <w:rsid w:val="0057569F"/>
    <w:rsid w:val="005759A6"/>
    <w:rsid w:val="00575A09"/>
    <w:rsid w:val="00575C64"/>
    <w:rsid w:val="00575CC2"/>
    <w:rsid w:val="00575CE8"/>
    <w:rsid w:val="00575F0D"/>
    <w:rsid w:val="005760AF"/>
    <w:rsid w:val="0057614D"/>
    <w:rsid w:val="0057617C"/>
    <w:rsid w:val="00576206"/>
    <w:rsid w:val="00576239"/>
    <w:rsid w:val="005765CB"/>
    <w:rsid w:val="005765CE"/>
    <w:rsid w:val="005767D1"/>
    <w:rsid w:val="00576819"/>
    <w:rsid w:val="0057687D"/>
    <w:rsid w:val="00576B37"/>
    <w:rsid w:val="00576BDE"/>
    <w:rsid w:val="00576D1B"/>
    <w:rsid w:val="00576DD7"/>
    <w:rsid w:val="00576E29"/>
    <w:rsid w:val="00577078"/>
    <w:rsid w:val="0057722F"/>
    <w:rsid w:val="0057729D"/>
    <w:rsid w:val="00577530"/>
    <w:rsid w:val="0057758A"/>
    <w:rsid w:val="0057760C"/>
    <w:rsid w:val="00577635"/>
    <w:rsid w:val="0057765C"/>
    <w:rsid w:val="00577789"/>
    <w:rsid w:val="00577950"/>
    <w:rsid w:val="005779FD"/>
    <w:rsid w:val="00577A47"/>
    <w:rsid w:val="00577B2D"/>
    <w:rsid w:val="00577C9E"/>
    <w:rsid w:val="00577D36"/>
    <w:rsid w:val="00577E86"/>
    <w:rsid w:val="00580062"/>
    <w:rsid w:val="005801B5"/>
    <w:rsid w:val="005801FF"/>
    <w:rsid w:val="0058027E"/>
    <w:rsid w:val="0058027F"/>
    <w:rsid w:val="0058039F"/>
    <w:rsid w:val="005803E6"/>
    <w:rsid w:val="00580472"/>
    <w:rsid w:val="005804BD"/>
    <w:rsid w:val="00580607"/>
    <w:rsid w:val="00580700"/>
    <w:rsid w:val="0058072B"/>
    <w:rsid w:val="005808D2"/>
    <w:rsid w:val="00580A17"/>
    <w:rsid w:val="00580A38"/>
    <w:rsid w:val="00580BD9"/>
    <w:rsid w:val="00580C49"/>
    <w:rsid w:val="00580C5C"/>
    <w:rsid w:val="00580EF6"/>
    <w:rsid w:val="00580FA9"/>
    <w:rsid w:val="00580FD5"/>
    <w:rsid w:val="00580FFD"/>
    <w:rsid w:val="00581075"/>
    <w:rsid w:val="0058127E"/>
    <w:rsid w:val="00581540"/>
    <w:rsid w:val="005815CB"/>
    <w:rsid w:val="005817A8"/>
    <w:rsid w:val="00581881"/>
    <w:rsid w:val="005818A0"/>
    <w:rsid w:val="00581923"/>
    <w:rsid w:val="00581AF9"/>
    <w:rsid w:val="00581B4D"/>
    <w:rsid w:val="00581C8A"/>
    <w:rsid w:val="00581CB9"/>
    <w:rsid w:val="00581D11"/>
    <w:rsid w:val="00582021"/>
    <w:rsid w:val="005820D7"/>
    <w:rsid w:val="00582100"/>
    <w:rsid w:val="00582381"/>
    <w:rsid w:val="00582398"/>
    <w:rsid w:val="005825A0"/>
    <w:rsid w:val="00582634"/>
    <w:rsid w:val="00582A7C"/>
    <w:rsid w:val="00582A9F"/>
    <w:rsid w:val="00582D20"/>
    <w:rsid w:val="00582DA9"/>
    <w:rsid w:val="00582EB9"/>
    <w:rsid w:val="0058318C"/>
    <w:rsid w:val="005831AA"/>
    <w:rsid w:val="0058327D"/>
    <w:rsid w:val="00583294"/>
    <w:rsid w:val="0058373F"/>
    <w:rsid w:val="005837EE"/>
    <w:rsid w:val="005838B5"/>
    <w:rsid w:val="005838CB"/>
    <w:rsid w:val="005839CD"/>
    <w:rsid w:val="00583A3D"/>
    <w:rsid w:val="00583B99"/>
    <w:rsid w:val="00583BDC"/>
    <w:rsid w:val="00583BEB"/>
    <w:rsid w:val="00583C36"/>
    <w:rsid w:val="00583D8B"/>
    <w:rsid w:val="00583E62"/>
    <w:rsid w:val="00583F36"/>
    <w:rsid w:val="00584158"/>
    <w:rsid w:val="0058427C"/>
    <w:rsid w:val="0058446C"/>
    <w:rsid w:val="005844E2"/>
    <w:rsid w:val="00584688"/>
    <w:rsid w:val="0058472E"/>
    <w:rsid w:val="00584762"/>
    <w:rsid w:val="00584789"/>
    <w:rsid w:val="00584883"/>
    <w:rsid w:val="00584B06"/>
    <w:rsid w:val="00584B48"/>
    <w:rsid w:val="00584B60"/>
    <w:rsid w:val="00584DAF"/>
    <w:rsid w:val="00584DBE"/>
    <w:rsid w:val="00584E32"/>
    <w:rsid w:val="00584E41"/>
    <w:rsid w:val="00585065"/>
    <w:rsid w:val="005850E8"/>
    <w:rsid w:val="0058513B"/>
    <w:rsid w:val="00585188"/>
    <w:rsid w:val="00585404"/>
    <w:rsid w:val="005856F5"/>
    <w:rsid w:val="0058574F"/>
    <w:rsid w:val="00585CDB"/>
    <w:rsid w:val="00585D33"/>
    <w:rsid w:val="00585D7A"/>
    <w:rsid w:val="00585DCD"/>
    <w:rsid w:val="00585E30"/>
    <w:rsid w:val="0058604A"/>
    <w:rsid w:val="005860FA"/>
    <w:rsid w:val="00586126"/>
    <w:rsid w:val="005861C5"/>
    <w:rsid w:val="005861CA"/>
    <w:rsid w:val="0058638A"/>
    <w:rsid w:val="005864E7"/>
    <w:rsid w:val="00586585"/>
    <w:rsid w:val="0058666A"/>
    <w:rsid w:val="005869CA"/>
    <w:rsid w:val="00586C94"/>
    <w:rsid w:val="00586EF6"/>
    <w:rsid w:val="00586F5C"/>
    <w:rsid w:val="00586F76"/>
    <w:rsid w:val="005870C3"/>
    <w:rsid w:val="005870CF"/>
    <w:rsid w:val="0058738E"/>
    <w:rsid w:val="00587517"/>
    <w:rsid w:val="00587583"/>
    <w:rsid w:val="00587788"/>
    <w:rsid w:val="005878A5"/>
    <w:rsid w:val="0058794B"/>
    <w:rsid w:val="005879D2"/>
    <w:rsid w:val="00587B06"/>
    <w:rsid w:val="00587E51"/>
    <w:rsid w:val="00587EA3"/>
    <w:rsid w:val="00587FBC"/>
    <w:rsid w:val="00590048"/>
    <w:rsid w:val="00590178"/>
    <w:rsid w:val="005901C1"/>
    <w:rsid w:val="00590716"/>
    <w:rsid w:val="00590812"/>
    <w:rsid w:val="005908C4"/>
    <w:rsid w:val="00590B76"/>
    <w:rsid w:val="00590DCC"/>
    <w:rsid w:val="00590F67"/>
    <w:rsid w:val="00591251"/>
    <w:rsid w:val="00591305"/>
    <w:rsid w:val="00591341"/>
    <w:rsid w:val="005914BE"/>
    <w:rsid w:val="005915DB"/>
    <w:rsid w:val="005915DC"/>
    <w:rsid w:val="00591605"/>
    <w:rsid w:val="005916FE"/>
    <w:rsid w:val="00591766"/>
    <w:rsid w:val="0059185B"/>
    <w:rsid w:val="00591923"/>
    <w:rsid w:val="00591CE8"/>
    <w:rsid w:val="00591E0C"/>
    <w:rsid w:val="005920B2"/>
    <w:rsid w:val="00592161"/>
    <w:rsid w:val="00592173"/>
    <w:rsid w:val="005921E4"/>
    <w:rsid w:val="00592318"/>
    <w:rsid w:val="00592382"/>
    <w:rsid w:val="0059253B"/>
    <w:rsid w:val="00592677"/>
    <w:rsid w:val="00592777"/>
    <w:rsid w:val="005927E3"/>
    <w:rsid w:val="005927EB"/>
    <w:rsid w:val="00592880"/>
    <w:rsid w:val="005928C3"/>
    <w:rsid w:val="005928D7"/>
    <w:rsid w:val="00592A21"/>
    <w:rsid w:val="00592C35"/>
    <w:rsid w:val="00592C86"/>
    <w:rsid w:val="00592D27"/>
    <w:rsid w:val="00592DA9"/>
    <w:rsid w:val="00592DDD"/>
    <w:rsid w:val="00592F89"/>
    <w:rsid w:val="0059309C"/>
    <w:rsid w:val="0059309F"/>
    <w:rsid w:val="0059319E"/>
    <w:rsid w:val="00593508"/>
    <w:rsid w:val="00593520"/>
    <w:rsid w:val="005938C3"/>
    <w:rsid w:val="005939F7"/>
    <w:rsid w:val="00593A90"/>
    <w:rsid w:val="00593AFF"/>
    <w:rsid w:val="00593BEA"/>
    <w:rsid w:val="00593C18"/>
    <w:rsid w:val="00593C8E"/>
    <w:rsid w:val="00593CBA"/>
    <w:rsid w:val="005945AE"/>
    <w:rsid w:val="005945CB"/>
    <w:rsid w:val="005945D2"/>
    <w:rsid w:val="0059474E"/>
    <w:rsid w:val="005948C9"/>
    <w:rsid w:val="00594980"/>
    <w:rsid w:val="005949C7"/>
    <w:rsid w:val="00594AC5"/>
    <w:rsid w:val="00594B57"/>
    <w:rsid w:val="00594C4C"/>
    <w:rsid w:val="00594D4F"/>
    <w:rsid w:val="00594DC1"/>
    <w:rsid w:val="00595051"/>
    <w:rsid w:val="0059546E"/>
    <w:rsid w:val="005955E8"/>
    <w:rsid w:val="00595613"/>
    <w:rsid w:val="00595624"/>
    <w:rsid w:val="00595661"/>
    <w:rsid w:val="005956D6"/>
    <w:rsid w:val="00595719"/>
    <w:rsid w:val="00595833"/>
    <w:rsid w:val="005959EE"/>
    <w:rsid w:val="00595A41"/>
    <w:rsid w:val="00595ADB"/>
    <w:rsid w:val="00595C5A"/>
    <w:rsid w:val="00595E7F"/>
    <w:rsid w:val="00595ED8"/>
    <w:rsid w:val="00595EF1"/>
    <w:rsid w:val="00595EF4"/>
    <w:rsid w:val="00596072"/>
    <w:rsid w:val="00596074"/>
    <w:rsid w:val="00596211"/>
    <w:rsid w:val="0059629B"/>
    <w:rsid w:val="00596470"/>
    <w:rsid w:val="005966FB"/>
    <w:rsid w:val="00596781"/>
    <w:rsid w:val="005967AD"/>
    <w:rsid w:val="0059685C"/>
    <w:rsid w:val="00596876"/>
    <w:rsid w:val="00596A37"/>
    <w:rsid w:val="00596A49"/>
    <w:rsid w:val="00596E34"/>
    <w:rsid w:val="00596ED1"/>
    <w:rsid w:val="00597189"/>
    <w:rsid w:val="005972DF"/>
    <w:rsid w:val="0059731A"/>
    <w:rsid w:val="0059731D"/>
    <w:rsid w:val="00597414"/>
    <w:rsid w:val="00597625"/>
    <w:rsid w:val="0059779B"/>
    <w:rsid w:val="00597ACC"/>
    <w:rsid w:val="00597AE7"/>
    <w:rsid w:val="00597B21"/>
    <w:rsid w:val="00597E02"/>
    <w:rsid w:val="00597F12"/>
    <w:rsid w:val="00597F43"/>
    <w:rsid w:val="005A0122"/>
    <w:rsid w:val="005A05BD"/>
    <w:rsid w:val="005A06B8"/>
    <w:rsid w:val="005A0906"/>
    <w:rsid w:val="005A0AF7"/>
    <w:rsid w:val="005A0BD0"/>
    <w:rsid w:val="005A0C3E"/>
    <w:rsid w:val="005A0C8B"/>
    <w:rsid w:val="005A0DAF"/>
    <w:rsid w:val="005A1716"/>
    <w:rsid w:val="005A1B73"/>
    <w:rsid w:val="005A1C6C"/>
    <w:rsid w:val="005A1CFC"/>
    <w:rsid w:val="005A1DB9"/>
    <w:rsid w:val="005A1E40"/>
    <w:rsid w:val="005A1EEC"/>
    <w:rsid w:val="005A22D5"/>
    <w:rsid w:val="005A264A"/>
    <w:rsid w:val="005A286D"/>
    <w:rsid w:val="005A28EB"/>
    <w:rsid w:val="005A2BF9"/>
    <w:rsid w:val="005A3510"/>
    <w:rsid w:val="005A3649"/>
    <w:rsid w:val="005A36E7"/>
    <w:rsid w:val="005A38D8"/>
    <w:rsid w:val="005A3995"/>
    <w:rsid w:val="005A3C36"/>
    <w:rsid w:val="005A3CDE"/>
    <w:rsid w:val="005A3CEF"/>
    <w:rsid w:val="005A3E97"/>
    <w:rsid w:val="005A3F0C"/>
    <w:rsid w:val="005A3F66"/>
    <w:rsid w:val="005A4049"/>
    <w:rsid w:val="005A4063"/>
    <w:rsid w:val="005A4065"/>
    <w:rsid w:val="005A4106"/>
    <w:rsid w:val="005A413A"/>
    <w:rsid w:val="005A41BD"/>
    <w:rsid w:val="005A41D0"/>
    <w:rsid w:val="005A455F"/>
    <w:rsid w:val="005A49CD"/>
    <w:rsid w:val="005A4A59"/>
    <w:rsid w:val="005A4B04"/>
    <w:rsid w:val="005A4E58"/>
    <w:rsid w:val="005A4FBD"/>
    <w:rsid w:val="005A5148"/>
    <w:rsid w:val="005A51C5"/>
    <w:rsid w:val="005A5296"/>
    <w:rsid w:val="005A5320"/>
    <w:rsid w:val="005A55A2"/>
    <w:rsid w:val="005A57C4"/>
    <w:rsid w:val="005A5823"/>
    <w:rsid w:val="005A5937"/>
    <w:rsid w:val="005A59A2"/>
    <w:rsid w:val="005A5A4A"/>
    <w:rsid w:val="005A5B14"/>
    <w:rsid w:val="005A5D45"/>
    <w:rsid w:val="005A5DF3"/>
    <w:rsid w:val="005A5F4A"/>
    <w:rsid w:val="005A6056"/>
    <w:rsid w:val="005A668D"/>
    <w:rsid w:val="005A675D"/>
    <w:rsid w:val="005A6769"/>
    <w:rsid w:val="005A67C1"/>
    <w:rsid w:val="005A6872"/>
    <w:rsid w:val="005A6A8E"/>
    <w:rsid w:val="005A6BC9"/>
    <w:rsid w:val="005A6C4C"/>
    <w:rsid w:val="005A6C7E"/>
    <w:rsid w:val="005A6D18"/>
    <w:rsid w:val="005A6D94"/>
    <w:rsid w:val="005A6DBE"/>
    <w:rsid w:val="005A6EEF"/>
    <w:rsid w:val="005A6F2B"/>
    <w:rsid w:val="005A7118"/>
    <w:rsid w:val="005A7254"/>
    <w:rsid w:val="005A7491"/>
    <w:rsid w:val="005A75AB"/>
    <w:rsid w:val="005A7BB1"/>
    <w:rsid w:val="005A7BF4"/>
    <w:rsid w:val="005A7C63"/>
    <w:rsid w:val="005A7E2D"/>
    <w:rsid w:val="005A7FA9"/>
    <w:rsid w:val="005B0265"/>
    <w:rsid w:val="005B02E9"/>
    <w:rsid w:val="005B0387"/>
    <w:rsid w:val="005B0467"/>
    <w:rsid w:val="005B04DB"/>
    <w:rsid w:val="005B0758"/>
    <w:rsid w:val="005B07A2"/>
    <w:rsid w:val="005B0942"/>
    <w:rsid w:val="005B09FB"/>
    <w:rsid w:val="005B0AF8"/>
    <w:rsid w:val="005B0DF2"/>
    <w:rsid w:val="005B0E01"/>
    <w:rsid w:val="005B0E1F"/>
    <w:rsid w:val="005B13E9"/>
    <w:rsid w:val="005B1419"/>
    <w:rsid w:val="005B141F"/>
    <w:rsid w:val="005B1505"/>
    <w:rsid w:val="005B15C3"/>
    <w:rsid w:val="005B1B27"/>
    <w:rsid w:val="005B1B9F"/>
    <w:rsid w:val="005B1F00"/>
    <w:rsid w:val="005B2256"/>
    <w:rsid w:val="005B2351"/>
    <w:rsid w:val="005B23C8"/>
    <w:rsid w:val="005B2509"/>
    <w:rsid w:val="005B28A8"/>
    <w:rsid w:val="005B28D9"/>
    <w:rsid w:val="005B2AEF"/>
    <w:rsid w:val="005B2BCC"/>
    <w:rsid w:val="005B2CB0"/>
    <w:rsid w:val="005B2CF5"/>
    <w:rsid w:val="005B2D31"/>
    <w:rsid w:val="005B2EF2"/>
    <w:rsid w:val="005B2F53"/>
    <w:rsid w:val="005B300A"/>
    <w:rsid w:val="005B306E"/>
    <w:rsid w:val="005B309F"/>
    <w:rsid w:val="005B3288"/>
    <w:rsid w:val="005B350C"/>
    <w:rsid w:val="005B35F3"/>
    <w:rsid w:val="005B37BB"/>
    <w:rsid w:val="005B39BA"/>
    <w:rsid w:val="005B3A8F"/>
    <w:rsid w:val="005B3C1F"/>
    <w:rsid w:val="005B3C2E"/>
    <w:rsid w:val="005B3D05"/>
    <w:rsid w:val="005B3D26"/>
    <w:rsid w:val="005B3D85"/>
    <w:rsid w:val="005B3DDB"/>
    <w:rsid w:val="005B3FF8"/>
    <w:rsid w:val="005B3FF9"/>
    <w:rsid w:val="005B40B9"/>
    <w:rsid w:val="005B419A"/>
    <w:rsid w:val="005B45B1"/>
    <w:rsid w:val="005B46AC"/>
    <w:rsid w:val="005B46E6"/>
    <w:rsid w:val="005B4721"/>
    <w:rsid w:val="005B48A7"/>
    <w:rsid w:val="005B4908"/>
    <w:rsid w:val="005B4958"/>
    <w:rsid w:val="005B4966"/>
    <w:rsid w:val="005B49F8"/>
    <w:rsid w:val="005B4BBA"/>
    <w:rsid w:val="005B4C14"/>
    <w:rsid w:val="005B4CE1"/>
    <w:rsid w:val="005B4F0A"/>
    <w:rsid w:val="005B4F2A"/>
    <w:rsid w:val="005B4FD7"/>
    <w:rsid w:val="005B5007"/>
    <w:rsid w:val="005B5254"/>
    <w:rsid w:val="005B534B"/>
    <w:rsid w:val="005B542E"/>
    <w:rsid w:val="005B57D0"/>
    <w:rsid w:val="005B5932"/>
    <w:rsid w:val="005B5934"/>
    <w:rsid w:val="005B5B5F"/>
    <w:rsid w:val="005B5CBD"/>
    <w:rsid w:val="005B5FF8"/>
    <w:rsid w:val="005B60E8"/>
    <w:rsid w:val="005B62D2"/>
    <w:rsid w:val="005B657F"/>
    <w:rsid w:val="005B6586"/>
    <w:rsid w:val="005B6980"/>
    <w:rsid w:val="005B69FD"/>
    <w:rsid w:val="005B6A1A"/>
    <w:rsid w:val="005B6A57"/>
    <w:rsid w:val="005B6B14"/>
    <w:rsid w:val="005B6B1A"/>
    <w:rsid w:val="005B6B3A"/>
    <w:rsid w:val="005B6C6E"/>
    <w:rsid w:val="005B6CB3"/>
    <w:rsid w:val="005B6E49"/>
    <w:rsid w:val="005B6E8F"/>
    <w:rsid w:val="005B6EA7"/>
    <w:rsid w:val="005B6FA5"/>
    <w:rsid w:val="005B7021"/>
    <w:rsid w:val="005B72C4"/>
    <w:rsid w:val="005B7557"/>
    <w:rsid w:val="005B7659"/>
    <w:rsid w:val="005B7A35"/>
    <w:rsid w:val="005B7A8E"/>
    <w:rsid w:val="005B7BB3"/>
    <w:rsid w:val="005B7FD7"/>
    <w:rsid w:val="005C0161"/>
    <w:rsid w:val="005C025A"/>
    <w:rsid w:val="005C0334"/>
    <w:rsid w:val="005C033F"/>
    <w:rsid w:val="005C0372"/>
    <w:rsid w:val="005C0377"/>
    <w:rsid w:val="005C0589"/>
    <w:rsid w:val="005C05F5"/>
    <w:rsid w:val="005C0720"/>
    <w:rsid w:val="005C0A09"/>
    <w:rsid w:val="005C0A1B"/>
    <w:rsid w:val="005C0A2F"/>
    <w:rsid w:val="005C0B3F"/>
    <w:rsid w:val="005C0BF7"/>
    <w:rsid w:val="005C0DB7"/>
    <w:rsid w:val="005C0E83"/>
    <w:rsid w:val="005C1087"/>
    <w:rsid w:val="005C1246"/>
    <w:rsid w:val="005C141C"/>
    <w:rsid w:val="005C14CF"/>
    <w:rsid w:val="005C14D1"/>
    <w:rsid w:val="005C1528"/>
    <w:rsid w:val="005C1621"/>
    <w:rsid w:val="005C1671"/>
    <w:rsid w:val="005C1896"/>
    <w:rsid w:val="005C19A8"/>
    <w:rsid w:val="005C19DE"/>
    <w:rsid w:val="005C1C54"/>
    <w:rsid w:val="005C1D1E"/>
    <w:rsid w:val="005C1D81"/>
    <w:rsid w:val="005C1E40"/>
    <w:rsid w:val="005C1E75"/>
    <w:rsid w:val="005C1EF7"/>
    <w:rsid w:val="005C1F95"/>
    <w:rsid w:val="005C2042"/>
    <w:rsid w:val="005C2071"/>
    <w:rsid w:val="005C20C1"/>
    <w:rsid w:val="005C20DB"/>
    <w:rsid w:val="005C2156"/>
    <w:rsid w:val="005C225B"/>
    <w:rsid w:val="005C22F3"/>
    <w:rsid w:val="005C2333"/>
    <w:rsid w:val="005C237A"/>
    <w:rsid w:val="005C23FA"/>
    <w:rsid w:val="005C24C5"/>
    <w:rsid w:val="005C2550"/>
    <w:rsid w:val="005C2590"/>
    <w:rsid w:val="005C269B"/>
    <w:rsid w:val="005C27C6"/>
    <w:rsid w:val="005C27F4"/>
    <w:rsid w:val="005C2890"/>
    <w:rsid w:val="005C2ABC"/>
    <w:rsid w:val="005C2DFC"/>
    <w:rsid w:val="005C2EDB"/>
    <w:rsid w:val="005C3009"/>
    <w:rsid w:val="005C3113"/>
    <w:rsid w:val="005C337E"/>
    <w:rsid w:val="005C35D9"/>
    <w:rsid w:val="005C37D1"/>
    <w:rsid w:val="005C3853"/>
    <w:rsid w:val="005C3870"/>
    <w:rsid w:val="005C38E0"/>
    <w:rsid w:val="005C38FB"/>
    <w:rsid w:val="005C3C7E"/>
    <w:rsid w:val="005C3D75"/>
    <w:rsid w:val="005C3DA4"/>
    <w:rsid w:val="005C3F0F"/>
    <w:rsid w:val="005C4032"/>
    <w:rsid w:val="005C40D3"/>
    <w:rsid w:val="005C4113"/>
    <w:rsid w:val="005C443C"/>
    <w:rsid w:val="005C45C9"/>
    <w:rsid w:val="005C4928"/>
    <w:rsid w:val="005C4AA7"/>
    <w:rsid w:val="005C4B1B"/>
    <w:rsid w:val="005C4CE1"/>
    <w:rsid w:val="005C4E1C"/>
    <w:rsid w:val="005C4E43"/>
    <w:rsid w:val="005C4EDB"/>
    <w:rsid w:val="005C4F81"/>
    <w:rsid w:val="005C4FBB"/>
    <w:rsid w:val="005C500E"/>
    <w:rsid w:val="005C50C9"/>
    <w:rsid w:val="005C50E4"/>
    <w:rsid w:val="005C51CD"/>
    <w:rsid w:val="005C5216"/>
    <w:rsid w:val="005C550E"/>
    <w:rsid w:val="005C55AD"/>
    <w:rsid w:val="005C5843"/>
    <w:rsid w:val="005C585E"/>
    <w:rsid w:val="005C58AF"/>
    <w:rsid w:val="005C5AF0"/>
    <w:rsid w:val="005C5B79"/>
    <w:rsid w:val="005C5BBA"/>
    <w:rsid w:val="005C5ECA"/>
    <w:rsid w:val="005C60E6"/>
    <w:rsid w:val="005C61CA"/>
    <w:rsid w:val="005C6284"/>
    <w:rsid w:val="005C643B"/>
    <w:rsid w:val="005C65F5"/>
    <w:rsid w:val="005C669D"/>
    <w:rsid w:val="005C671D"/>
    <w:rsid w:val="005C673B"/>
    <w:rsid w:val="005C6758"/>
    <w:rsid w:val="005C6A06"/>
    <w:rsid w:val="005C6A52"/>
    <w:rsid w:val="005C6B2C"/>
    <w:rsid w:val="005C6B79"/>
    <w:rsid w:val="005C6B92"/>
    <w:rsid w:val="005C6F32"/>
    <w:rsid w:val="005C707C"/>
    <w:rsid w:val="005C70FC"/>
    <w:rsid w:val="005C7184"/>
    <w:rsid w:val="005C7198"/>
    <w:rsid w:val="005C7397"/>
    <w:rsid w:val="005C7470"/>
    <w:rsid w:val="005C7701"/>
    <w:rsid w:val="005C78FC"/>
    <w:rsid w:val="005C7ABD"/>
    <w:rsid w:val="005C7C05"/>
    <w:rsid w:val="005C7C5B"/>
    <w:rsid w:val="005C7CA3"/>
    <w:rsid w:val="005C7CDA"/>
    <w:rsid w:val="005C7D66"/>
    <w:rsid w:val="005C7DC7"/>
    <w:rsid w:val="005D0122"/>
    <w:rsid w:val="005D026D"/>
    <w:rsid w:val="005D02AE"/>
    <w:rsid w:val="005D0476"/>
    <w:rsid w:val="005D0481"/>
    <w:rsid w:val="005D056F"/>
    <w:rsid w:val="005D07F7"/>
    <w:rsid w:val="005D0927"/>
    <w:rsid w:val="005D0AB6"/>
    <w:rsid w:val="005D0B47"/>
    <w:rsid w:val="005D0EFF"/>
    <w:rsid w:val="005D0FC7"/>
    <w:rsid w:val="005D1007"/>
    <w:rsid w:val="005D1150"/>
    <w:rsid w:val="005D1420"/>
    <w:rsid w:val="005D151F"/>
    <w:rsid w:val="005D1704"/>
    <w:rsid w:val="005D1763"/>
    <w:rsid w:val="005D1964"/>
    <w:rsid w:val="005D19DD"/>
    <w:rsid w:val="005D1A01"/>
    <w:rsid w:val="005D1B77"/>
    <w:rsid w:val="005D1D72"/>
    <w:rsid w:val="005D1D73"/>
    <w:rsid w:val="005D1E86"/>
    <w:rsid w:val="005D1F82"/>
    <w:rsid w:val="005D2082"/>
    <w:rsid w:val="005D22EF"/>
    <w:rsid w:val="005D2515"/>
    <w:rsid w:val="005D2670"/>
    <w:rsid w:val="005D27CE"/>
    <w:rsid w:val="005D27DA"/>
    <w:rsid w:val="005D281D"/>
    <w:rsid w:val="005D29CD"/>
    <w:rsid w:val="005D2B61"/>
    <w:rsid w:val="005D2CE3"/>
    <w:rsid w:val="005D2D7F"/>
    <w:rsid w:val="005D3138"/>
    <w:rsid w:val="005D33B0"/>
    <w:rsid w:val="005D34E9"/>
    <w:rsid w:val="005D35FE"/>
    <w:rsid w:val="005D3792"/>
    <w:rsid w:val="005D37CD"/>
    <w:rsid w:val="005D3892"/>
    <w:rsid w:val="005D3925"/>
    <w:rsid w:val="005D394E"/>
    <w:rsid w:val="005D39F3"/>
    <w:rsid w:val="005D3F5B"/>
    <w:rsid w:val="005D3FF4"/>
    <w:rsid w:val="005D4051"/>
    <w:rsid w:val="005D4103"/>
    <w:rsid w:val="005D4275"/>
    <w:rsid w:val="005D4473"/>
    <w:rsid w:val="005D49EC"/>
    <w:rsid w:val="005D4A09"/>
    <w:rsid w:val="005D4B53"/>
    <w:rsid w:val="005D4E57"/>
    <w:rsid w:val="005D4E5D"/>
    <w:rsid w:val="005D4F36"/>
    <w:rsid w:val="005D4F91"/>
    <w:rsid w:val="005D4F95"/>
    <w:rsid w:val="005D4FA5"/>
    <w:rsid w:val="005D50F1"/>
    <w:rsid w:val="005D5279"/>
    <w:rsid w:val="005D532D"/>
    <w:rsid w:val="005D53A8"/>
    <w:rsid w:val="005D54B4"/>
    <w:rsid w:val="005D57FC"/>
    <w:rsid w:val="005D599C"/>
    <w:rsid w:val="005D5AE0"/>
    <w:rsid w:val="005D5B0D"/>
    <w:rsid w:val="005D5B55"/>
    <w:rsid w:val="005D5B61"/>
    <w:rsid w:val="005D5B85"/>
    <w:rsid w:val="005D5B9B"/>
    <w:rsid w:val="005D608B"/>
    <w:rsid w:val="005D60F7"/>
    <w:rsid w:val="005D6195"/>
    <w:rsid w:val="005D6244"/>
    <w:rsid w:val="005D627E"/>
    <w:rsid w:val="005D6289"/>
    <w:rsid w:val="005D63BD"/>
    <w:rsid w:val="005D63D1"/>
    <w:rsid w:val="005D6499"/>
    <w:rsid w:val="005D64E6"/>
    <w:rsid w:val="005D6542"/>
    <w:rsid w:val="005D6559"/>
    <w:rsid w:val="005D6604"/>
    <w:rsid w:val="005D669C"/>
    <w:rsid w:val="005D6781"/>
    <w:rsid w:val="005D6852"/>
    <w:rsid w:val="005D68A8"/>
    <w:rsid w:val="005D68F0"/>
    <w:rsid w:val="005D6A0B"/>
    <w:rsid w:val="005D6A69"/>
    <w:rsid w:val="005D6B17"/>
    <w:rsid w:val="005D6B81"/>
    <w:rsid w:val="005D6D79"/>
    <w:rsid w:val="005D6DB1"/>
    <w:rsid w:val="005D6E3E"/>
    <w:rsid w:val="005D6F77"/>
    <w:rsid w:val="005D703B"/>
    <w:rsid w:val="005D7044"/>
    <w:rsid w:val="005D72B5"/>
    <w:rsid w:val="005D74AE"/>
    <w:rsid w:val="005D7720"/>
    <w:rsid w:val="005D777A"/>
    <w:rsid w:val="005D77A2"/>
    <w:rsid w:val="005D79B6"/>
    <w:rsid w:val="005D7A09"/>
    <w:rsid w:val="005D7BB2"/>
    <w:rsid w:val="005D7C45"/>
    <w:rsid w:val="005D7D9D"/>
    <w:rsid w:val="005D7E14"/>
    <w:rsid w:val="005D7F78"/>
    <w:rsid w:val="005E0015"/>
    <w:rsid w:val="005E0041"/>
    <w:rsid w:val="005E037C"/>
    <w:rsid w:val="005E03B7"/>
    <w:rsid w:val="005E04EF"/>
    <w:rsid w:val="005E0566"/>
    <w:rsid w:val="005E0587"/>
    <w:rsid w:val="005E0629"/>
    <w:rsid w:val="005E0639"/>
    <w:rsid w:val="005E06A6"/>
    <w:rsid w:val="005E06DD"/>
    <w:rsid w:val="005E0996"/>
    <w:rsid w:val="005E0A7D"/>
    <w:rsid w:val="005E0B3B"/>
    <w:rsid w:val="005E0C58"/>
    <w:rsid w:val="005E0E38"/>
    <w:rsid w:val="005E0FB4"/>
    <w:rsid w:val="005E0FC2"/>
    <w:rsid w:val="005E10B1"/>
    <w:rsid w:val="005E10E5"/>
    <w:rsid w:val="005E11E0"/>
    <w:rsid w:val="005E11F7"/>
    <w:rsid w:val="005E12F1"/>
    <w:rsid w:val="005E12F7"/>
    <w:rsid w:val="005E147A"/>
    <w:rsid w:val="005E1543"/>
    <w:rsid w:val="005E1596"/>
    <w:rsid w:val="005E16F4"/>
    <w:rsid w:val="005E1A10"/>
    <w:rsid w:val="005E1B7E"/>
    <w:rsid w:val="005E1DA6"/>
    <w:rsid w:val="005E1F53"/>
    <w:rsid w:val="005E202F"/>
    <w:rsid w:val="005E2077"/>
    <w:rsid w:val="005E21A7"/>
    <w:rsid w:val="005E21B0"/>
    <w:rsid w:val="005E21F4"/>
    <w:rsid w:val="005E21F6"/>
    <w:rsid w:val="005E224E"/>
    <w:rsid w:val="005E2260"/>
    <w:rsid w:val="005E243B"/>
    <w:rsid w:val="005E2573"/>
    <w:rsid w:val="005E25A8"/>
    <w:rsid w:val="005E2660"/>
    <w:rsid w:val="005E26A2"/>
    <w:rsid w:val="005E272C"/>
    <w:rsid w:val="005E27E8"/>
    <w:rsid w:val="005E29F8"/>
    <w:rsid w:val="005E2A25"/>
    <w:rsid w:val="005E2A29"/>
    <w:rsid w:val="005E2C31"/>
    <w:rsid w:val="005E2D17"/>
    <w:rsid w:val="005E2ECE"/>
    <w:rsid w:val="005E3211"/>
    <w:rsid w:val="005E3246"/>
    <w:rsid w:val="005E33AA"/>
    <w:rsid w:val="005E341B"/>
    <w:rsid w:val="005E3991"/>
    <w:rsid w:val="005E3ABF"/>
    <w:rsid w:val="005E3BC3"/>
    <w:rsid w:val="005E3BFC"/>
    <w:rsid w:val="005E3C9E"/>
    <w:rsid w:val="005E3DA7"/>
    <w:rsid w:val="005E4198"/>
    <w:rsid w:val="005E424D"/>
    <w:rsid w:val="005E4676"/>
    <w:rsid w:val="005E473B"/>
    <w:rsid w:val="005E48D4"/>
    <w:rsid w:val="005E48DB"/>
    <w:rsid w:val="005E4941"/>
    <w:rsid w:val="005E4A43"/>
    <w:rsid w:val="005E4A93"/>
    <w:rsid w:val="005E4AC9"/>
    <w:rsid w:val="005E4C83"/>
    <w:rsid w:val="005E4CBC"/>
    <w:rsid w:val="005E5083"/>
    <w:rsid w:val="005E5114"/>
    <w:rsid w:val="005E5210"/>
    <w:rsid w:val="005E530B"/>
    <w:rsid w:val="005E5338"/>
    <w:rsid w:val="005E5373"/>
    <w:rsid w:val="005E554B"/>
    <w:rsid w:val="005E5762"/>
    <w:rsid w:val="005E57FC"/>
    <w:rsid w:val="005E58D9"/>
    <w:rsid w:val="005E5B4B"/>
    <w:rsid w:val="005E5BEB"/>
    <w:rsid w:val="005E5C00"/>
    <w:rsid w:val="005E5C79"/>
    <w:rsid w:val="005E5E00"/>
    <w:rsid w:val="005E5E14"/>
    <w:rsid w:val="005E60F1"/>
    <w:rsid w:val="005E610D"/>
    <w:rsid w:val="005E61CB"/>
    <w:rsid w:val="005E6408"/>
    <w:rsid w:val="005E6460"/>
    <w:rsid w:val="005E6613"/>
    <w:rsid w:val="005E6662"/>
    <w:rsid w:val="005E67AE"/>
    <w:rsid w:val="005E680E"/>
    <w:rsid w:val="005E697C"/>
    <w:rsid w:val="005E6ABA"/>
    <w:rsid w:val="005E6B11"/>
    <w:rsid w:val="005E6D58"/>
    <w:rsid w:val="005E6E4A"/>
    <w:rsid w:val="005E6E50"/>
    <w:rsid w:val="005E6E87"/>
    <w:rsid w:val="005E6EE5"/>
    <w:rsid w:val="005E6F05"/>
    <w:rsid w:val="005E6F85"/>
    <w:rsid w:val="005E71D5"/>
    <w:rsid w:val="005E7218"/>
    <w:rsid w:val="005E73E3"/>
    <w:rsid w:val="005E77E9"/>
    <w:rsid w:val="005E78FD"/>
    <w:rsid w:val="005E795D"/>
    <w:rsid w:val="005E79D2"/>
    <w:rsid w:val="005E79E7"/>
    <w:rsid w:val="005E79E8"/>
    <w:rsid w:val="005E7A0A"/>
    <w:rsid w:val="005E7A2D"/>
    <w:rsid w:val="005E7D82"/>
    <w:rsid w:val="005E7E2E"/>
    <w:rsid w:val="005E7E82"/>
    <w:rsid w:val="005E7EA0"/>
    <w:rsid w:val="005E7F8F"/>
    <w:rsid w:val="005F0117"/>
    <w:rsid w:val="005F0164"/>
    <w:rsid w:val="005F01BA"/>
    <w:rsid w:val="005F0401"/>
    <w:rsid w:val="005F0569"/>
    <w:rsid w:val="005F06A8"/>
    <w:rsid w:val="005F0808"/>
    <w:rsid w:val="005F08E0"/>
    <w:rsid w:val="005F0909"/>
    <w:rsid w:val="005F0A1E"/>
    <w:rsid w:val="005F0A35"/>
    <w:rsid w:val="005F0B52"/>
    <w:rsid w:val="005F0B69"/>
    <w:rsid w:val="005F0D9E"/>
    <w:rsid w:val="005F0F17"/>
    <w:rsid w:val="005F1337"/>
    <w:rsid w:val="005F1574"/>
    <w:rsid w:val="005F160A"/>
    <w:rsid w:val="005F168C"/>
    <w:rsid w:val="005F16AD"/>
    <w:rsid w:val="005F1772"/>
    <w:rsid w:val="005F179C"/>
    <w:rsid w:val="005F17C5"/>
    <w:rsid w:val="005F1878"/>
    <w:rsid w:val="005F19B2"/>
    <w:rsid w:val="005F1BD5"/>
    <w:rsid w:val="005F1D2D"/>
    <w:rsid w:val="005F1DA9"/>
    <w:rsid w:val="005F1DB3"/>
    <w:rsid w:val="005F1E51"/>
    <w:rsid w:val="005F1F42"/>
    <w:rsid w:val="005F1F7A"/>
    <w:rsid w:val="005F1FF9"/>
    <w:rsid w:val="005F2207"/>
    <w:rsid w:val="005F220D"/>
    <w:rsid w:val="005F24FC"/>
    <w:rsid w:val="005F26E1"/>
    <w:rsid w:val="005F2717"/>
    <w:rsid w:val="005F273B"/>
    <w:rsid w:val="005F27AA"/>
    <w:rsid w:val="005F283A"/>
    <w:rsid w:val="005F28D8"/>
    <w:rsid w:val="005F2914"/>
    <w:rsid w:val="005F2A9A"/>
    <w:rsid w:val="005F2B1B"/>
    <w:rsid w:val="005F2C68"/>
    <w:rsid w:val="005F2C6A"/>
    <w:rsid w:val="005F2ED1"/>
    <w:rsid w:val="005F3089"/>
    <w:rsid w:val="005F30D6"/>
    <w:rsid w:val="005F3103"/>
    <w:rsid w:val="005F316E"/>
    <w:rsid w:val="005F32A0"/>
    <w:rsid w:val="005F3356"/>
    <w:rsid w:val="005F34DE"/>
    <w:rsid w:val="005F361E"/>
    <w:rsid w:val="005F3672"/>
    <w:rsid w:val="005F37D6"/>
    <w:rsid w:val="005F3935"/>
    <w:rsid w:val="005F3B07"/>
    <w:rsid w:val="005F3BDB"/>
    <w:rsid w:val="005F3C2F"/>
    <w:rsid w:val="005F3C72"/>
    <w:rsid w:val="005F3E19"/>
    <w:rsid w:val="005F3E77"/>
    <w:rsid w:val="005F3F77"/>
    <w:rsid w:val="005F4089"/>
    <w:rsid w:val="005F40CB"/>
    <w:rsid w:val="005F410E"/>
    <w:rsid w:val="005F4129"/>
    <w:rsid w:val="005F41BD"/>
    <w:rsid w:val="005F4368"/>
    <w:rsid w:val="005F44FE"/>
    <w:rsid w:val="005F44FF"/>
    <w:rsid w:val="005F45A9"/>
    <w:rsid w:val="005F46C8"/>
    <w:rsid w:val="005F4721"/>
    <w:rsid w:val="005F484B"/>
    <w:rsid w:val="005F4B20"/>
    <w:rsid w:val="005F4C2C"/>
    <w:rsid w:val="005F4FF2"/>
    <w:rsid w:val="005F513B"/>
    <w:rsid w:val="005F51A2"/>
    <w:rsid w:val="005F539F"/>
    <w:rsid w:val="005F53E2"/>
    <w:rsid w:val="005F5A79"/>
    <w:rsid w:val="005F5ACA"/>
    <w:rsid w:val="005F5B67"/>
    <w:rsid w:val="005F5C31"/>
    <w:rsid w:val="005F5D32"/>
    <w:rsid w:val="005F5D6A"/>
    <w:rsid w:val="005F611E"/>
    <w:rsid w:val="005F6290"/>
    <w:rsid w:val="005F6298"/>
    <w:rsid w:val="005F63A8"/>
    <w:rsid w:val="005F640C"/>
    <w:rsid w:val="005F670A"/>
    <w:rsid w:val="005F6795"/>
    <w:rsid w:val="005F67A5"/>
    <w:rsid w:val="005F67B7"/>
    <w:rsid w:val="005F680C"/>
    <w:rsid w:val="005F68B4"/>
    <w:rsid w:val="005F69DA"/>
    <w:rsid w:val="005F6A85"/>
    <w:rsid w:val="005F6B16"/>
    <w:rsid w:val="005F6C6F"/>
    <w:rsid w:val="005F6CDB"/>
    <w:rsid w:val="005F71C3"/>
    <w:rsid w:val="005F71E2"/>
    <w:rsid w:val="005F741B"/>
    <w:rsid w:val="005F7455"/>
    <w:rsid w:val="005F773F"/>
    <w:rsid w:val="005F77C1"/>
    <w:rsid w:val="005F7A44"/>
    <w:rsid w:val="005F7B10"/>
    <w:rsid w:val="005F7BD6"/>
    <w:rsid w:val="005F7BED"/>
    <w:rsid w:val="005F7C62"/>
    <w:rsid w:val="005F7C8A"/>
    <w:rsid w:val="005F7DEE"/>
    <w:rsid w:val="0060003B"/>
    <w:rsid w:val="0060009F"/>
    <w:rsid w:val="0060061E"/>
    <w:rsid w:val="00600670"/>
    <w:rsid w:val="006006E8"/>
    <w:rsid w:val="00600812"/>
    <w:rsid w:val="0060085D"/>
    <w:rsid w:val="00600AD5"/>
    <w:rsid w:val="00600AE9"/>
    <w:rsid w:val="00600C55"/>
    <w:rsid w:val="00600CD9"/>
    <w:rsid w:val="00600DE7"/>
    <w:rsid w:val="00600F8E"/>
    <w:rsid w:val="00600FA8"/>
    <w:rsid w:val="006012BF"/>
    <w:rsid w:val="00601568"/>
    <w:rsid w:val="006015DB"/>
    <w:rsid w:val="00601640"/>
    <w:rsid w:val="006016D1"/>
    <w:rsid w:val="006016DC"/>
    <w:rsid w:val="00601A42"/>
    <w:rsid w:val="00601C11"/>
    <w:rsid w:val="00601D51"/>
    <w:rsid w:val="00601EC4"/>
    <w:rsid w:val="00601F89"/>
    <w:rsid w:val="0060227D"/>
    <w:rsid w:val="0060242F"/>
    <w:rsid w:val="0060261C"/>
    <w:rsid w:val="00602651"/>
    <w:rsid w:val="00602798"/>
    <w:rsid w:val="0060291D"/>
    <w:rsid w:val="00602A5D"/>
    <w:rsid w:val="00602C7D"/>
    <w:rsid w:val="00602C87"/>
    <w:rsid w:val="00602E32"/>
    <w:rsid w:val="00602EAF"/>
    <w:rsid w:val="00602FC9"/>
    <w:rsid w:val="00602FE2"/>
    <w:rsid w:val="00602FFD"/>
    <w:rsid w:val="00603014"/>
    <w:rsid w:val="0060303A"/>
    <w:rsid w:val="0060303E"/>
    <w:rsid w:val="006030F9"/>
    <w:rsid w:val="0060323F"/>
    <w:rsid w:val="0060327C"/>
    <w:rsid w:val="006032FD"/>
    <w:rsid w:val="00603436"/>
    <w:rsid w:val="0060378F"/>
    <w:rsid w:val="006038C0"/>
    <w:rsid w:val="00603FA8"/>
    <w:rsid w:val="00604234"/>
    <w:rsid w:val="006042A8"/>
    <w:rsid w:val="00604484"/>
    <w:rsid w:val="0060451E"/>
    <w:rsid w:val="00604589"/>
    <w:rsid w:val="0060461F"/>
    <w:rsid w:val="0060468C"/>
    <w:rsid w:val="006047DE"/>
    <w:rsid w:val="00604939"/>
    <w:rsid w:val="0060496E"/>
    <w:rsid w:val="00604B34"/>
    <w:rsid w:val="00604B4E"/>
    <w:rsid w:val="00604B59"/>
    <w:rsid w:val="00604B72"/>
    <w:rsid w:val="00604BFA"/>
    <w:rsid w:val="00604D5E"/>
    <w:rsid w:val="00604DA2"/>
    <w:rsid w:val="00604EC5"/>
    <w:rsid w:val="006051A8"/>
    <w:rsid w:val="00605280"/>
    <w:rsid w:val="006053FC"/>
    <w:rsid w:val="00605487"/>
    <w:rsid w:val="006055E8"/>
    <w:rsid w:val="0060578F"/>
    <w:rsid w:val="00605790"/>
    <w:rsid w:val="006058C5"/>
    <w:rsid w:val="006059E8"/>
    <w:rsid w:val="006059FD"/>
    <w:rsid w:val="00605B8D"/>
    <w:rsid w:val="00605C4F"/>
    <w:rsid w:val="00605DA7"/>
    <w:rsid w:val="00605E1A"/>
    <w:rsid w:val="006062DB"/>
    <w:rsid w:val="00606502"/>
    <w:rsid w:val="00606561"/>
    <w:rsid w:val="006065CF"/>
    <w:rsid w:val="00606661"/>
    <w:rsid w:val="00606663"/>
    <w:rsid w:val="0060669A"/>
    <w:rsid w:val="00606769"/>
    <w:rsid w:val="00606994"/>
    <w:rsid w:val="00606999"/>
    <w:rsid w:val="00606A10"/>
    <w:rsid w:val="00606AD6"/>
    <w:rsid w:val="00606AF4"/>
    <w:rsid w:val="00606C1E"/>
    <w:rsid w:val="00606C24"/>
    <w:rsid w:val="00606CA8"/>
    <w:rsid w:val="00606E3D"/>
    <w:rsid w:val="00606EC4"/>
    <w:rsid w:val="00607350"/>
    <w:rsid w:val="0060751F"/>
    <w:rsid w:val="00607561"/>
    <w:rsid w:val="0060759C"/>
    <w:rsid w:val="006075EF"/>
    <w:rsid w:val="00607633"/>
    <w:rsid w:val="00607767"/>
    <w:rsid w:val="00607777"/>
    <w:rsid w:val="006077F1"/>
    <w:rsid w:val="00607942"/>
    <w:rsid w:val="0060794C"/>
    <w:rsid w:val="00607993"/>
    <w:rsid w:val="00607A10"/>
    <w:rsid w:val="00607C83"/>
    <w:rsid w:val="00607D19"/>
    <w:rsid w:val="00610170"/>
    <w:rsid w:val="006103CA"/>
    <w:rsid w:val="006103E4"/>
    <w:rsid w:val="00610427"/>
    <w:rsid w:val="006105D8"/>
    <w:rsid w:val="00610808"/>
    <w:rsid w:val="00610EA7"/>
    <w:rsid w:val="00610F59"/>
    <w:rsid w:val="00610FC4"/>
    <w:rsid w:val="00611208"/>
    <w:rsid w:val="006114F9"/>
    <w:rsid w:val="00611569"/>
    <w:rsid w:val="0061166F"/>
    <w:rsid w:val="006116B3"/>
    <w:rsid w:val="00611812"/>
    <w:rsid w:val="0061199F"/>
    <w:rsid w:val="006119A8"/>
    <w:rsid w:val="00611A32"/>
    <w:rsid w:val="00611AB8"/>
    <w:rsid w:val="00611B8A"/>
    <w:rsid w:val="00611C05"/>
    <w:rsid w:val="00611DC9"/>
    <w:rsid w:val="00611DFF"/>
    <w:rsid w:val="00611E85"/>
    <w:rsid w:val="006121D1"/>
    <w:rsid w:val="006124C8"/>
    <w:rsid w:val="006125D8"/>
    <w:rsid w:val="0061276E"/>
    <w:rsid w:val="006128C9"/>
    <w:rsid w:val="0061308A"/>
    <w:rsid w:val="00613246"/>
    <w:rsid w:val="006132A0"/>
    <w:rsid w:val="00613306"/>
    <w:rsid w:val="00613383"/>
    <w:rsid w:val="00613448"/>
    <w:rsid w:val="0061353B"/>
    <w:rsid w:val="006135FC"/>
    <w:rsid w:val="00613627"/>
    <w:rsid w:val="00613672"/>
    <w:rsid w:val="006136E2"/>
    <w:rsid w:val="006136EB"/>
    <w:rsid w:val="006136F8"/>
    <w:rsid w:val="006137A3"/>
    <w:rsid w:val="0061387F"/>
    <w:rsid w:val="006138AF"/>
    <w:rsid w:val="00613924"/>
    <w:rsid w:val="00613978"/>
    <w:rsid w:val="006139D0"/>
    <w:rsid w:val="00613A06"/>
    <w:rsid w:val="00613D62"/>
    <w:rsid w:val="00613D77"/>
    <w:rsid w:val="00613D79"/>
    <w:rsid w:val="00613F3A"/>
    <w:rsid w:val="00614275"/>
    <w:rsid w:val="0061433B"/>
    <w:rsid w:val="00614343"/>
    <w:rsid w:val="006145E1"/>
    <w:rsid w:val="0061462C"/>
    <w:rsid w:val="00614881"/>
    <w:rsid w:val="006148AD"/>
    <w:rsid w:val="006149D2"/>
    <w:rsid w:val="00614BC9"/>
    <w:rsid w:val="00614C39"/>
    <w:rsid w:val="00614D17"/>
    <w:rsid w:val="00614D37"/>
    <w:rsid w:val="00614EF5"/>
    <w:rsid w:val="00614F5B"/>
    <w:rsid w:val="00614FF8"/>
    <w:rsid w:val="00615083"/>
    <w:rsid w:val="006150AF"/>
    <w:rsid w:val="006152AC"/>
    <w:rsid w:val="00615380"/>
    <w:rsid w:val="0061539E"/>
    <w:rsid w:val="006153A3"/>
    <w:rsid w:val="006154F7"/>
    <w:rsid w:val="006155EA"/>
    <w:rsid w:val="00615605"/>
    <w:rsid w:val="00615631"/>
    <w:rsid w:val="006156D3"/>
    <w:rsid w:val="00615705"/>
    <w:rsid w:val="0061579E"/>
    <w:rsid w:val="0061589E"/>
    <w:rsid w:val="00615BDE"/>
    <w:rsid w:val="00615D64"/>
    <w:rsid w:val="00615D94"/>
    <w:rsid w:val="00615DB6"/>
    <w:rsid w:val="00615F0B"/>
    <w:rsid w:val="0061607B"/>
    <w:rsid w:val="006160D1"/>
    <w:rsid w:val="006163F5"/>
    <w:rsid w:val="0061656C"/>
    <w:rsid w:val="00616748"/>
    <w:rsid w:val="0061690F"/>
    <w:rsid w:val="006169A1"/>
    <w:rsid w:val="006169E4"/>
    <w:rsid w:val="00616B57"/>
    <w:rsid w:val="00616F8E"/>
    <w:rsid w:val="0061701B"/>
    <w:rsid w:val="006170A4"/>
    <w:rsid w:val="00617117"/>
    <w:rsid w:val="006171DE"/>
    <w:rsid w:val="006171F6"/>
    <w:rsid w:val="0061724A"/>
    <w:rsid w:val="00617253"/>
    <w:rsid w:val="0061728A"/>
    <w:rsid w:val="006173D5"/>
    <w:rsid w:val="00617473"/>
    <w:rsid w:val="0061748F"/>
    <w:rsid w:val="00617597"/>
    <w:rsid w:val="00617605"/>
    <w:rsid w:val="006177A9"/>
    <w:rsid w:val="006179F8"/>
    <w:rsid w:val="00617A84"/>
    <w:rsid w:val="00617DE6"/>
    <w:rsid w:val="00617EA6"/>
    <w:rsid w:val="00617ED9"/>
    <w:rsid w:val="00617FFC"/>
    <w:rsid w:val="006201A2"/>
    <w:rsid w:val="006204E6"/>
    <w:rsid w:val="0062067C"/>
    <w:rsid w:val="006206AB"/>
    <w:rsid w:val="00620720"/>
    <w:rsid w:val="0062072C"/>
    <w:rsid w:val="0062075A"/>
    <w:rsid w:val="00620892"/>
    <w:rsid w:val="006208F4"/>
    <w:rsid w:val="0062092A"/>
    <w:rsid w:val="00620A58"/>
    <w:rsid w:val="00620D70"/>
    <w:rsid w:val="00620E00"/>
    <w:rsid w:val="00620EE5"/>
    <w:rsid w:val="00620F2A"/>
    <w:rsid w:val="006210FB"/>
    <w:rsid w:val="0062132F"/>
    <w:rsid w:val="00621390"/>
    <w:rsid w:val="006216FA"/>
    <w:rsid w:val="00621745"/>
    <w:rsid w:val="00621A8E"/>
    <w:rsid w:val="00621B96"/>
    <w:rsid w:val="00621BE1"/>
    <w:rsid w:val="00621C68"/>
    <w:rsid w:val="00621FEC"/>
    <w:rsid w:val="00622007"/>
    <w:rsid w:val="00622272"/>
    <w:rsid w:val="006222EB"/>
    <w:rsid w:val="00622468"/>
    <w:rsid w:val="00622537"/>
    <w:rsid w:val="006225F5"/>
    <w:rsid w:val="00622705"/>
    <w:rsid w:val="00622767"/>
    <w:rsid w:val="00622BD2"/>
    <w:rsid w:val="00622C97"/>
    <w:rsid w:val="00622C98"/>
    <w:rsid w:val="00622CC6"/>
    <w:rsid w:val="00622EE3"/>
    <w:rsid w:val="00622FC3"/>
    <w:rsid w:val="0062303A"/>
    <w:rsid w:val="0062311C"/>
    <w:rsid w:val="0062319D"/>
    <w:rsid w:val="0062320A"/>
    <w:rsid w:val="00623294"/>
    <w:rsid w:val="006233AF"/>
    <w:rsid w:val="006233C3"/>
    <w:rsid w:val="006234E0"/>
    <w:rsid w:val="0062354D"/>
    <w:rsid w:val="006235C4"/>
    <w:rsid w:val="00623616"/>
    <w:rsid w:val="0062368C"/>
    <w:rsid w:val="00623705"/>
    <w:rsid w:val="00623888"/>
    <w:rsid w:val="00623E69"/>
    <w:rsid w:val="00623F7D"/>
    <w:rsid w:val="00624156"/>
    <w:rsid w:val="006241AB"/>
    <w:rsid w:val="006242C4"/>
    <w:rsid w:val="0062432D"/>
    <w:rsid w:val="006248E1"/>
    <w:rsid w:val="006249BA"/>
    <w:rsid w:val="00624AEC"/>
    <w:rsid w:val="00624BE4"/>
    <w:rsid w:val="00624CE7"/>
    <w:rsid w:val="00624E4F"/>
    <w:rsid w:val="00624F00"/>
    <w:rsid w:val="00624F09"/>
    <w:rsid w:val="00624F18"/>
    <w:rsid w:val="00625071"/>
    <w:rsid w:val="00625089"/>
    <w:rsid w:val="00625113"/>
    <w:rsid w:val="0062536E"/>
    <w:rsid w:val="006254FB"/>
    <w:rsid w:val="006257D2"/>
    <w:rsid w:val="0062591B"/>
    <w:rsid w:val="00625923"/>
    <w:rsid w:val="00625A42"/>
    <w:rsid w:val="00625A7B"/>
    <w:rsid w:val="00625BAB"/>
    <w:rsid w:val="00625BDD"/>
    <w:rsid w:val="00625CE5"/>
    <w:rsid w:val="00625DD5"/>
    <w:rsid w:val="00625EA1"/>
    <w:rsid w:val="00625EC2"/>
    <w:rsid w:val="00625ECD"/>
    <w:rsid w:val="006261CC"/>
    <w:rsid w:val="006263F8"/>
    <w:rsid w:val="006266D1"/>
    <w:rsid w:val="00626713"/>
    <w:rsid w:val="00626807"/>
    <w:rsid w:val="00626E62"/>
    <w:rsid w:val="00626E8E"/>
    <w:rsid w:val="00626E92"/>
    <w:rsid w:val="00626E97"/>
    <w:rsid w:val="006270A8"/>
    <w:rsid w:val="006272F6"/>
    <w:rsid w:val="0062755A"/>
    <w:rsid w:val="00627605"/>
    <w:rsid w:val="0062768C"/>
    <w:rsid w:val="00627703"/>
    <w:rsid w:val="006277E1"/>
    <w:rsid w:val="00627AE0"/>
    <w:rsid w:val="00627B66"/>
    <w:rsid w:val="00627BFA"/>
    <w:rsid w:val="00627C3E"/>
    <w:rsid w:val="00627D1D"/>
    <w:rsid w:val="00627DA0"/>
    <w:rsid w:val="0063010B"/>
    <w:rsid w:val="0063011A"/>
    <w:rsid w:val="00630183"/>
    <w:rsid w:val="0063032A"/>
    <w:rsid w:val="00630404"/>
    <w:rsid w:val="00630419"/>
    <w:rsid w:val="0063041E"/>
    <w:rsid w:val="00630754"/>
    <w:rsid w:val="006307BA"/>
    <w:rsid w:val="00630834"/>
    <w:rsid w:val="006308C9"/>
    <w:rsid w:val="00630DB0"/>
    <w:rsid w:val="00630DE2"/>
    <w:rsid w:val="006310B2"/>
    <w:rsid w:val="006313A8"/>
    <w:rsid w:val="006313C4"/>
    <w:rsid w:val="0063144C"/>
    <w:rsid w:val="0063148E"/>
    <w:rsid w:val="0063179E"/>
    <w:rsid w:val="0063192B"/>
    <w:rsid w:val="00631996"/>
    <w:rsid w:val="00631A5F"/>
    <w:rsid w:val="00631C63"/>
    <w:rsid w:val="00631CB3"/>
    <w:rsid w:val="00631F12"/>
    <w:rsid w:val="00631F20"/>
    <w:rsid w:val="00631F57"/>
    <w:rsid w:val="00632031"/>
    <w:rsid w:val="006322C0"/>
    <w:rsid w:val="006323B1"/>
    <w:rsid w:val="00632417"/>
    <w:rsid w:val="006324EB"/>
    <w:rsid w:val="00632619"/>
    <w:rsid w:val="00632A82"/>
    <w:rsid w:val="00632B85"/>
    <w:rsid w:val="00632B9C"/>
    <w:rsid w:val="00632C5A"/>
    <w:rsid w:val="00632CFA"/>
    <w:rsid w:val="00632D39"/>
    <w:rsid w:val="00632FE2"/>
    <w:rsid w:val="006331E9"/>
    <w:rsid w:val="0063324A"/>
    <w:rsid w:val="00633499"/>
    <w:rsid w:val="006336D1"/>
    <w:rsid w:val="00633B33"/>
    <w:rsid w:val="00633C5E"/>
    <w:rsid w:val="00633D00"/>
    <w:rsid w:val="00633E49"/>
    <w:rsid w:val="00633E5C"/>
    <w:rsid w:val="00633F81"/>
    <w:rsid w:val="006340F7"/>
    <w:rsid w:val="0063418D"/>
    <w:rsid w:val="00634864"/>
    <w:rsid w:val="00634929"/>
    <w:rsid w:val="006349B4"/>
    <w:rsid w:val="00634AA7"/>
    <w:rsid w:val="00634AAB"/>
    <w:rsid w:val="00634C2B"/>
    <w:rsid w:val="00634E1E"/>
    <w:rsid w:val="00634F24"/>
    <w:rsid w:val="00634F8B"/>
    <w:rsid w:val="0063506E"/>
    <w:rsid w:val="00635198"/>
    <w:rsid w:val="00635285"/>
    <w:rsid w:val="006354E7"/>
    <w:rsid w:val="006356A9"/>
    <w:rsid w:val="006357CA"/>
    <w:rsid w:val="00635919"/>
    <w:rsid w:val="0063599B"/>
    <w:rsid w:val="00635ADB"/>
    <w:rsid w:val="00635B10"/>
    <w:rsid w:val="00635E74"/>
    <w:rsid w:val="00635E7B"/>
    <w:rsid w:val="00635EFD"/>
    <w:rsid w:val="00635F7D"/>
    <w:rsid w:val="0063607B"/>
    <w:rsid w:val="006360E2"/>
    <w:rsid w:val="00636185"/>
    <w:rsid w:val="00636190"/>
    <w:rsid w:val="006362C6"/>
    <w:rsid w:val="0063665B"/>
    <w:rsid w:val="006366BE"/>
    <w:rsid w:val="006366DD"/>
    <w:rsid w:val="006367F5"/>
    <w:rsid w:val="006369D7"/>
    <w:rsid w:val="00636F7F"/>
    <w:rsid w:val="00637576"/>
    <w:rsid w:val="00637584"/>
    <w:rsid w:val="006377BD"/>
    <w:rsid w:val="00637805"/>
    <w:rsid w:val="00637AC9"/>
    <w:rsid w:val="00637AF9"/>
    <w:rsid w:val="00637D3D"/>
    <w:rsid w:val="00637EB7"/>
    <w:rsid w:val="00637F82"/>
    <w:rsid w:val="00640114"/>
    <w:rsid w:val="006403D4"/>
    <w:rsid w:val="00640518"/>
    <w:rsid w:val="006406D0"/>
    <w:rsid w:val="00640738"/>
    <w:rsid w:val="006408E0"/>
    <w:rsid w:val="00640BC3"/>
    <w:rsid w:val="00640E19"/>
    <w:rsid w:val="00640E3D"/>
    <w:rsid w:val="00640E9B"/>
    <w:rsid w:val="00641457"/>
    <w:rsid w:val="006414B8"/>
    <w:rsid w:val="0064171E"/>
    <w:rsid w:val="00641720"/>
    <w:rsid w:val="006417EA"/>
    <w:rsid w:val="00641A5F"/>
    <w:rsid w:val="00641B29"/>
    <w:rsid w:val="00641C5A"/>
    <w:rsid w:val="00641DAF"/>
    <w:rsid w:val="00641F0D"/>
    <w:rsid w:val="0064212E"/>
    <w:rsid w:val="006421E2"/>
    <w:rsid w:val="00642286"/>
    <w:rsid w:val="0064231C"/>
    <w:rsid w:val="00642331"/>
    <w:rsid w:val="006423EA"/>
    <w:rsid w:val="00642658"/>
    <w:rsid w:val="006426A9"/>
    <w:rsid w:val="006427DC"/>
    <w:rsid w:val="0064284C"/>
    <w:rsid w:val="0064299B"/>
    <w:rsid w:val="00642B45"/>
    <w:rsid w:val="00642C08"/>
    <w:rsid w:val="00642C7D"/>
    <w:rsid w:val="00642FB9"/>
    <w:rsid w:val="00643099"/>
    <w:rsid w:val="006430C9"/>
    <w:rsid w:val="00643204"/>
    <w:rsid w:val="00643466"/>
    <w:rsid w:val="006434AC"/>
    <w:rsid w:val="00643653"/>
    <w:rsid w:val="0064366F"/>
    <w:rsid w:val="0064368C"/>
    <w:rsid w:val="0064368F"/>
    <w:rsid w:val="006436E2"/>
    <w:rsid w:val="00643807"/>
    <w:rsid w:val="00643987"/>
    <w:rsid w:val="006439FE"/>
    <w:rsid w:val="00643A01"/>
    <w:rsid w:val="00643B74"/>
    <w:rsid w:val="00643D08"/>
    <w:rsid w:val="00643D55"/>
    <w:rsid w:val="00643DD6"/>
    <w:rsid w:val="00643E85"/>
    <w:rsid w:val="00643FCD"/>
    <w:rsid w:val="00644011"/>
    <w:rsid w:val="0064405F"/>
    <w:rsid w:val="006441FD"/>
    <w:rsid w:val="006444E9"/>
    <w:rsid w:val="0064466C"/>
    <w:rsid w:val="0064472F"/>
    <w:rsid w:val="006449DD"/>
    <w:rsid w:val="006449E9"/>
    <w:rsid w:val="00644ABD"/>
    <w:rsid w:val="00644B25"/>
    <w:rsid w:val="00644B2F"/>
    <w:rsid w:val="00644B45"/>
    <w:rsid w:val="00644CC9"/>
    <w:rsid w:val="00644DE6"/>
    <w:rsid w:val="00644E4C"/>
    <w:rsid w:val="00644EC8"/>
    <w:rsid w:val="00644F8A"/>
    <w:rsid w:val="00644F9E"/>
    <w:rsid w:val="0064500A"/>
    <w:rsid w:val="006451EC"/>
    <w:rsid w:val="0064524C"/>
    <w:rsid w:val="00645293"/>
    <w:rsid w:val="00645307"/>
    <w:rsid w:val="00645330"/>
    <w:rsid w:val="006455AF"/>
    <w:rsid w:val="006455C3"/>
    <w:rsid w:val="00645651"/>
    <w:rsid w:val="006456DE"/>
    <w:rsid w:val="006457C1"/>
    <w:rsid w:val="00645B2D"/>
    <w:rsid w:val="00645EE9"/>
    <w:rsid w:val="00645F69"/>
    <w:rsid w:val="00646132"/>
    <w:rsid w:val="00646189"/>
    <w:rsid w:val="006461FE"/>
    <w:rsid w:val="006462CA"/>
    <w:rsid w:val="00646323"/>
    <w:rsid w:val="00646485"/>
    <w:rsid w:val="00646575"/>
    <w:rsid w:val="00646613"/>
    <w:rsid w:val="00646685"/>
    <w:rsid w:val="0064671C"/>
    <w:rsid w:val="006467EE"/>
    <w:rsid w:val="00646956"/>
    <w:rsid w:val="00646DA8"/>
    <w:rsid w:val="00646F72"/>
    <w:rsid w:val="00646FE5"/>
    <w:rsid w:val="00647002"/>
    <w:rsid w:val="00647264"/>
    <w:rsid w:val="0064733A"/>
    <w:rsid w:val="006473AC"/>
    <w:rsid w:val="006474E2"/>
    <w:rsid w:val="00647573"/>
    <w:rsid w:val="006478F2"/>
    <w:rsid w:val="00647931"/>
    <w:rsid w:val="006479B4"/>
    <w:rsid w:val="00647BB9"/>
    <w:rsid w:val="00647CD7"/>
    <w:rsid w:val="00647D12"/>
    <w:rsid w:val="00647E02"/>
    <w:rsid w:val="00647F79"/>
    <w:rsid w:val="006500C1"/>
    <w:rsid w:val="006503F9"/>
    <w:rsid w:val="0065066D"/>
    <w:rsid w:val="0065068B"/>
    <w:rsid w:val="006507DD"/>
    <w:rsid w:val="0065086F"/>
    <w:rsid w:val="006508A9"/>
    <w:rsid w:val="00650A2D"/>
    <w:rsid w:val="00650AD8"/>
    <w:rsid w:val="00651320"/>
    <w:rsid w:val="00651353"/>
    <w:rsid w:val="00651355"/>
    <w:rsid w:val="006514DF"/>
    <w:rsid w:val="00651725"/>
    <w:rsid w:val="006518C5"/>
    <w:rsid w:val="00651A01"/>
    <w:rsid w:val="00651B18"/>
    <w:rsid w:val="00651C24"/>
    <w:rsid w:val="00651C27"/>
    <w:rsid w:val="00651CB8"/>
    <w:rsid w:val="00651E4C"/>
    <w:rsid w:val="00651E53"/>
    <w:rsid w:val="00651E5C"/>
    <w:rsid w:val="00652310"/>
    <w:rsid w:val="00652520"/>
    <w:rsid w:val="006525CF"/>
    <w:rsid w:val="00652888"/>
    <w:rsid w:val="00652920"/>
    <w:rsid w:val="00652955"/>
    <w:rsid w:val="00652971"/>
    <w:rsid w:val="006529E8"/>
    <w:rsid w:val="00652A78"/>
    <w:rsid w:val="00652B36"/>
    <w:rsid w:val="00652BB5"/>
    <w:rsid w:val="00652C68"/>
    <w:rsid w:val="00652D35"/>
    <w:rsid w:val="00652D38"/>
    <w:rsid w:val="00652E59"/>
    <w:rsid w:val="00652EFA"/>
    <w:rsid w:val="00653144"/>
    <w:rsid w:val="0065340B"/>
    <w:rsid w:val="00653484"/>
    <w:rsid w:val="00653569"/>
    <w:rsid w:val="00653578"/>
    <w:rsid w:val="00653708"/>
    <w:rsid w:val="00653998"/>
    <w:rsid w:val="006539DD"/>
    <w:rsid w:val="00653A80"/>
    <w:rsid w:val="00653AFD"/>
    <w:rsid w:val="00653D2E"/>
    <w:rsid w:val="00653DB6"/>
    <w:rsid w:val="00653F5F"/>
    <w:rsid w:val="00653F9D"/>
    <w:rsid w:val="0065409B"/>
    <w:rsid w:val="00654197"/>
    <w:rsid w:val="0065419E"/>
    <w:rsid w:val="00654283"/>
    <w:rsid w:val="00654355"/>
    <w:rsid w:val="00654391"/>
    <w:rsid w:val="0065466A"/>
    <w:rsid w:val="00654A21"/>
    <w:rsid w:val="00654BAF"/>
    <w:rsid w:val="00654C30"/>
    <w:rsid w:val="00654C7C"/>
    <w:rsid w:val="00654D64"/>
    <w:rsid w:val="00654D95"/>
    <w:rsid w:val="00654DC1"/>
    <w:rsid w:val="00654E83"/>
    <w:rsid w:val="00654F3A"/>
    <w:rsid w:val="00655020"/>
    <w:rsid w:val="00655047"/>
    <w:rsid w:val="00655094"/>
    <w:rsid w:val="00655217"/>
    <w:rsid w:val="0065535C"/>
    <w:rsid w:val="00655538"/>
    <w:rsid w:val="00655910"/>
    <w:rsid w:val="00655A21"/>
    <w:rsid w:val="00655D02"/>
    <w:rsid w:val="00655E1E"/>
    <w:rsid w:val="00656119"/>
    <w:rsid w:val="00656167"/>
    <w:rsid w:val="00656214"/>
    <w:rsid w:val="006562FB"/>
    <w:rsid w:val="00656318"/>
    <w:rsid w:val="0065643B"/>
    <w:rsid w:val="00656587"/>
    <w:rsid w:val="00656596"/>
    <w:rsid w:val="0065663E"/>
    <w:rsid w:val="0065694C"/>
    <w:rsid w:val="00656A95"/>
    <w:rsid w:val="00656AAB"/>
    <w:rsid w:val="00656B83"/>
    <w:rsid w:val="00656BC1"/>
    <w:rsid w:val="00656C18"/>
    <w:rsid w:val="00657129"/>
    <w:rsid w:val="0065722E"/>
    <w:rsid w:val="006572BF"/>
    <w:rsid w:val="0065736F"/>
    <w:rsid w:val="006574A1"/>
    <w:rsid w:val="00657596"/>
    <w:rsid w:val="006575DC"/>
    <w:rsid w:val="00657656"/>
    <w:rsid w:val="00657D0E"/>
    <w:rsid w:val="00657E65"/>
    <w:rsid w:val="0066053E"/>
    <w:rsid w:val="006605EF"/>
    <w:rsid w:val="006609BF"/>
    <w:rsid w:val="006609DB"/>
    <w:rsid w:val="00660BCF"/>
    <w:rsid w:val="00660FAD"/>
    <w:rsid w:val="00661147"/>
    <w:rsid w:val="0066126E"/>
    <w:rsid w:val="0066137D"/>
    <w:rsid w:val="006614C3"/>
    <w:rsid w:val="0066160A"/>
    <w:rsid w:val="0066161A"/>
    <w:rsid w:val="006616A4"/>
    <w:rsid w:val="006616EC"/>
    <w:rsid w:val="006618BE"/>
    <w:rsid w:val="006618DE"/>
    <w:rsid w:val="006619E0"/>
    <w:rsid w:val="00661A82"/>
    <w:rsid w:val="00661AD8"/>
    <w:rsid w:val="00661BB6"/>
    <w:rsid w:val="00661BB8"/>
    <w:rsid w:val="00661CEF"/>
    <w:rsid w:val="006620D0"/>
    <w:rsid w:val="006621B7"/>
    <w:rsid w:val="0066241C"/>
    <w:rsid w:val="006624CE"/>
    <w:rsid w:val="0066252D"/>
    <w:rsid w:val="006627D3"/>
    <w:rsid w:val="006627FF"/>
    <w:rsid w:val="0066286E"/>
    <w:rsid w:val="00662942"/>
    <w:rsid w:val="006629FD"/>
    <w:rsid w:val="00662A2F"/>
    <w:rsid w:val="00662C4F"/>
    <w:rsid w:val="00662EB3"/>
    <w:rsid w:val="00662F3A"/>
    <w:rsid w:val="006633C6"/>
    <w:rsid w:val="0066349A"/>
    <w:rsid w:val="00663633"/>
    <w:rsid w:val="006638E3"/>
    <w:rsid w:val="00663A39"/>
    <w:rsid w:val="00663C5F"/>
    <w:rsid w:val="00663D4B"/>
    <w:rsid w:val="00663D64"/>
    <w:rsid w:val="00663DDE"/>
    <w:rsid w:val="00663DE9"/>
    <w:rsid w:val="00664040"/>
    <w:rsid w:val="006640B3"/>
    <w:rsid w:val="00664392"/>
    <w:rsid w:val="0066469E"/>
    <w:rsid w:val="0066478B"/>
    <w:rsid w:val="00664BD4"/>
    <w:rsid w:val="00664E21"/>
    <w:rsid w:val="0066527B"/>
    <w:rsid w:val="006654F0"/>
    <w:rsid w:val="0066552D"/>
    <w:rsid w:val="006655AA"/>
    <w:rsid w:val="00665C24"/>
    <w:rsid w:val="00665C36"/>
    <w:rsid w:val="00665C49"/>
    <w:rsid w:val="00665E5C"/>
    <w:rsid w:val="00665F0F"/>
    <w:rsid w:val="0066622D"/>
    <w:rsid w:val="00666284"/>
    <w:rsid w:val="006662AE"/>
    <w:rsid w:val="00666546"/>
    <w:rsid w:val="00666586"/>
    <w:rsid w:val="006665CB"/>
    <w:rsid w:val="00666612"/>
    <w:rsid w:val="006666E8"/>
    <w:rsid w:val="00666839"/>
    <w:rsid w:val="00666E7F"/>
    <w:rsid w:val="00666ECD"/>
    <w:rsid w:val="00667019"/>
    <w:rsid w:val="00667022"/>
    <w:rsid w:val="00667089"/>
    <w:rsid w:val="006671E6"/>
    <w:rsid w:val="006672C3"/>
    <w:rsid w:val="0066756B"/>
    <w:rsid w:val="006679D9"/>
    <w:rsid w:val="00667F2D"/>
    <w:rsid w:val="006702DE"/>
    <w:rsid w:val="0067033A"/>
    <w:rsid w:val="00670615"/>
    <w:rsid w:val="0067075B"/>
    <w:rsid w:val="006707C0"/>
    <w:rsid w:val="0067099C"/>
    <w:rsid w:val="006709CC"/>
    <w:rsid w:val="00670B2F"/>
    <w:rsid w:val="00670D23"/>
    <w:rsid w:val="00670D8C"/>
    <w:rsid w:val="00670DED"/>
    <w:rsid w:val="00670F38"/>
    <w:rsid w:val="00670FB3"/>
    <w:rsid w:val="0067116A"/>
    <w:rsid w:val="006713AF"/>
    <w:rsid w:val="006713C1"/>
    <w:rsid w:val="00671444"/>
    <w:rsid w:val="0067146B"/>
    <w:rsid w:val="0067153D"/>
    <w:rsid w:val="00671804"/>
    <w:rsid w:val="00671B1D"/>
    <w:rsid w:val="00671C4F"/>
    <w:rsid w:val="006721B3"/>
    <w:rsid w:val="00672364"/>
    <w:rsid w:val="00672467"/>
    <w:rsid w:val="006724F9"/>
    <w:rsid w:val="0067254E"/>
    <w:rsid w:val="006728B0"/>
    <w:rsid w:val="00672A9A"/>
    <w:rsid w:val="00672ABF"/>
    <w:rsid w:val="00672AC1"/>
    <w:rsid w:val="00672BC1"/>
    <w:rsid w:val="00672BF5"/>
    <w:rsid w:val="00672C75"/>
    <w:rsid w:val="00672D11"/>
    <w:rsid w:val="00672DE8"/>
    <w:rsid w:val="00672FEF"/>
    <w:rsid w:val="006730F4"/>
    <w:rsid w:val="006733BB"/>
    <w:rsid w:val="006734AA"/>
    <w:rsid w:val="00673515"/>
    <w:rsid w:val="0067356D"/>
    <w:rsid w:val="006735A4"/>
    <w:rsid w:val="0067379A"/>
    <w:rsid w:val="00673801"/>
    <w:rsid w:val="0067383F"/>
    <w:rsid w:val="00673994"/>
    <w:rsid w:val="006739F5"/>
    <w:rsid w:val="00673CED"/>
    <w:rsid w:val="00673E34"/>
    <w:rsid w:val="0067412C"/>
    <w:rsid w:val="00674160"/>
    <w:rsid w:val="00674378"/>
    <w:rsid w:val="006746AF"/>
    <w:rsid w:val="006747ED"/>
    <w:rsid w:val="00674891"/>
    <w:rsid w:val="00674967"/>
    <w:rsid w:val="00674C18"/>
    <w:rsid w:val="00674D82"/>
    <w:rsid w:val="00674DF1"/>
    <w:rsid w:val="00674EAA"/>
    <w:rsid w:val="006752DE"/>
    <w:rsid w:val="00675408"/>
    <w:rsid w:val="0067561E"/>
    <w:rsid w:val="00675742"/>
    <w:rsid w:val="006758AE"/>
    <w:rsid w:val="006758B6"/>
    <w:rsid w:val="00675ABE"/>
    <w:rsid w:val="00675AEB"/>
    <w:rsid w:val="00675C98"/>
    <w:rsid w:val="00675D85"/>
    <w:rsid w:val="00675E55"/>
    <w:rsid w:val="00676043"/>
    <w:rsid w:val="00676095"/>
    <w:rsid w:val="006762B3"/>
    <w:rsid w:val="00676398"/>
    <w:rsid w:val="006765DB"/>
    <w:rsid w:val="0067692B"/>
    <w:rsid w:val="00676AD0"/>
    <w:rsid w:val="00676BF7"/>
    <w:rsid w:val="00676E27"/>
    <w:rsid w:val="00676E65"/>
    <w:rsid w:val="00676E70"/>
    <w:rsid w:val="0067715D"/>
    <w:rsid w:val="006774A9"/>
    <w:rsid w:val="006775D8"/>
    <w:rsid w:val="00677666"/>
    <w:rsid w:val="00677936"/>
    <w:rsid w:val="00677B7E"/>
    <w:rsid w:val="00677B84"/>
    <w:rsid w:val="00677D2C"/>
    <w:rsid w:val="00680003"/>
    <w:rsid w:val="00680277"/>
    <w:rsid w:val="006802A7"/>
    <w:rsid w:val="006802E8"/>
    <w:rsid w:val="0068032A"/>
    <w:rsid w:val="0068036D"/>
    <w:rsid w:val="00680490"/>
    <w:rsid w:val="00680536"/>
    <w:rsid w:val="0068056D"/>
    <w:rsid w:val="006806FC"/>
    <w:rsid w:val="00680958"/>
    <w:rsid w:val="006809E2"/>
    <w:rsid w:val="00680A74"/>
    <w:rsid w:val="00680B3A"/>
    <w:rsid w:val="00680C9A"/>
    <w:rsid w:val="00680D3A"/>
    <w:rsid w:val="00680D49"/>
    <w:rsid w:val="00681104"/>
    <w:rsid w:val="006817B6"/>
    <w:rsid w:val="0068196A"/>
    <w:rsid w:val="00681ADE"/>
    <w:rsid w:val="00681BFF"/>
    <w:rsid w:val="006824C6"/>
    <w:rsid w:val="00682638"/>
    <w:rsid w:val="00682643"/>
    <w:rsid w:val="00682659"/>
    <w:rsid w:val="00682732"/>
    <w:rsid w:val="006827D3"/>
    <w:rsid w:val="00682803"/>
    <w:rsid w:val="00682BDC"/>
    <w:rsid w:val="00682DA9"/>
    <w:rsid w:val="00682DC0"/>
    <w:rsid w:val="00682E7F"/>
    <w:rsid w:val="00682EF5"/>
    <w:rsid w:val="00682F75"/>
    <w:rsid w:val="00682FD8"/>
    <w:rsid w:val="00683059"/>
    <w:rsid w:val="00683079"/>
    <w:rsid w:val="0068308B"/>
    <w:rsid w:val="00683155"/>
    <w:rsid w:val="00683474"/>
    <w:rsid w:val="00683822"/>
    <w:rsid w:val="006838FF"/>
    <w:rsid w:val="006839A7"/>
    <w:rsid w:val="00683A56"/>
    <w:rsid w:val="00683A85"/>
    <w:rsid w:val="00683A9A"/>
    <w:rsid w:val="00683AD7"/>
    <w:rsid w:val="00683C0A"/>
    <w:rsid w:val="00683D4E"/>
    <w:rsid w:val="00683D86"/>
    <w:rsid w:val="00683E32"/>
    <w:rsid w:val="00683E8B"/>
    <w:rsid w:val="00683FF4"/>
    <w:rsid w:val="0068406C"/>
    <w:rsid w:val="00684155"/>
    <w:rsid w:val="006843E5"/>
    <w:rsid w:val="00684494"/>
    <w:rsid w:val="00684530"/>
    <w:rsid w:val="00684808"/>
    <w:rsid w:val="006848EF"/>
    <w:rsid w:val="006849EA"/>
    <w:rsid w:val="00684A29"/>
    <w:rsid w:val="00684B36"/>
    <w:rsid w:val="00684E09"/>
    <w:rsid w:val="00684E2B"/>
    <w:rsid w:val="00685204"/>
    <w:rsid w:val="00685268"/>
    <w:rsid w:val="006852FA"/>
    <w:rsid w:val="0068543B"/>
    <w:rsid w:val="0068547D"/>
    <w:rsid w:val="006855CB"/>
    <w:rsid w:val="0068565A"/>
    <w:rsid w:val="0068575C"/>
    <w:rsid w:val="006857AF"/>
    <w:rsid w:val="00685927"/>
    <w:rsid w:val="00685C8F"/>
    <w:rsid w:val="0068600D"/>
    <w:rsid w:val="00686024"/>
    <w:rsid w:val="006860A0"/>
    <w:rsid w:val="006868BA"/>
    <w:rsid w:val="006868CF"/>
    <w:rsid w:val="0068694D"/>
    <w:rsid w:val="00686AC1"/>
    <w:rsid w:val="00686AD5"/>
    <w:rsid w:val="00686B8C"/>
    <w:rsid w:val="00686C7D"/>
    <w:rsid w:val="00686D2B"/>
    <w:rsid w:val="00686F17"/>
    <w:rsid w:val="00686F88"/>
    <w:rsid w:val="00687105"/>
    <w:rsid w:val="006873CE"/>
    <w:rsid w:val="006875EB"/>
    <w:rsid w:val="00687746"/>
    <w:rsid w:val="006879FC"/>
    <w:rsid w:val="00687BCD"/>
    <w:rsid w:val="00687C27"/>
    <w:rsid w:val="00687C41"/>
    <w:rsid w:val="00687C83"/>
    <w:rsid w:val="00687CA5"/>
    <w:rsid w:val="00687E16"/>
    <w:rsid w:val="00687E58"/>
    <w:rsid w:val="00687E73"/>
    <w:rsid w:val="00687EDF"/>
    <w:rsid w:val="00687F87"/>
    <w:rsid w:val="00687F9A"/>
    <w:rsid w:val="00687FF9"/>
    <w:rsid w:val="00690073"/>
    <w:rsid w:val="0069013C"/>
    <w:rsid w:val="00690327"/>
    <w:rsid w:val="00690330"/>
    <w:rsid w:val="00690486"/>
    <w:rsid w:val="006906B6"/>
    <w:rsid w:val="0069079B"/>
    <w:rsid w:val="0069083D"/>
    <w:rsid w:val="00690A10"/>
    <w:rsid w:val="00690A47"/>
    <w:rsid w:val="00690D40"/>
    <w:rsid w:val="00691387"/>
    <w:rsid w:val="006914B4"/>
    <w:rsid w:val="00691679"/>
    <w:rsid w:val="0069179C"/>
    <w:rsid w:val="006917DA"/>
    <w:rsid w:val="00691AAB"/>
    <w:rsid w:val="00691B18"/>
    <w:rsid w:val="00691ECA"/>
    <w:rsid w:val="006920DE"/>
    <w:rsid w:val="00692179"/>
    <w:rsid w:val="0069247E"/>
    <w:rsid w:val="00692700"/>
    <w:rsid w:val="00692A47"/>
    <w:rsid w:val="00692C2C"/>
    <w:rsid w:val="00692E73"/>
    <w:rsid w:val="00692F1F"/>
    <w:rsid w:val="00692FA3"/>
    <w:rsid w:val="0069313C"/>
    <w:rsid w:val="006935C0"/>
    <w:rsid w:val="00693708"/>
    <w:rsid w:val="00693C32"/>
    <w:rsid w:val="00693C3B"/>
    <w:rsid w:val="0069405D"/>
    <w:rsid w:val="006941F2"/>
    <w:rsid w:val="00694397"/>
    <w:rsid w:val="00694427"/>
    <w:rsid w:val="0069444C"/>
    <w:rsid w:val="006945A3"/>
    <w:rsid w:val="006947EC"/>
    <w:rsid w:val="0069485A"/>
    <w:rsid w:val="00694972"/>
    <w:rsid w:val="00694F42"/>
    <w:rsid w:val="00695055"/>
    <w:rsid w:val="0069512B"/>
    <w:rsid w:val="0069548A"/>
    <w:rsid w:val="0069553A"/>
    <w:rsid w:val="00695542"/>
    <w:rsid w:val="00695603"/>
    <w:rsid w:val="00695622"/>
    <w:rsid w:val="00695634"/>
    <w:rsid w:val="006957C4"/>
    <w:rsid w:val="006957D9"/>
    <w:rsid w:val="0069584E"/>
    <w:rsid w:val="0069587E"/>
    <w:rsid w:val="006959F5"/>
    <w:rsid w:val="00695BC0"/>
    <w:rsid w:val="00695C7E"/>
    <w:rsid w:val="00695DA8"/>
    <w:rsid w:val="00695DBB"/>
    <w:rsid w:val="00695DD5"/>
    <w:rsid w:val="00695E24"/>
    <w:rsid w:val="00695E84"/>
    <w:rsid w:val="00695E89"/>
    <w:rsid w:val="00695EA5"/>
    <w:rsid w:val="00695F2B"/>
    <w:rsid w:val="00695FC3"/>
    <w:rsid w:val="0069601E"/>
    <w:rsid w:val="006960F6"/>
    <w:rsid w:val="0069632C"/>
    <w:rsid w:val="006963EB"/>
    <w:rsid w:val="00696789"/>
    <w:rsid w:val="00696826"/>
    <w:rsid w:val="006968DD"/>
    <w:rsid w:val="00696B92"/>
    <w:rsid w:val="00696C1E"/>
    <w:rsid w:val="00696CDD"/>
    <w:rsid w:val="00696E1D"/>
    <w:rsid w:val="00696EFB"/>
    <w:rsid w:val="0069727B"/>
    <w:rsid w:val="006972B7"/>
    <w:rsid w:val="00697342"/>
    <w:rsid w:val="006973B9"/>
    <w:rsid w:val="0069740D"/>
    <w:rsid w:val="0069751E"/>
    <w:rsid w:val="0069765A"/>
    <w:rsid w:val="0069798F"/>
    <w:rsid w:val="006979C4"/>
    <w:rsid w:val="00697A81"/>
    <w:rsid w:val="00697AB1"/>
    <w:rsid w:val="00697ADC"/>
    <w:rsid w:val="00697B4F"/>
    <w:rsid w:val="00697D04"/>
    <w:rsid w:val="00697E0A"/>
    <w:rsid w:val="00697F11"/>
    <w:rsid w:val="00697F3E"/>
    <w:rsid w:val="006A0023"/>
    <w:rsid w:val="006A0092"/>
    <w:rsid w:val="006A01BE"/>
    <w:rsid w:val="006A03A8"/>
    <w:rsid w:val="006A03EE"/>
    <w:rsid w:val="006A05B6"/>
    <w:rsid w:val="006A065D"/>
    <w:rsid w:val="006A0745"/>
    <w:rsid w:val="006A08B7"/>
    <w:rsid w:val="006A09CB"/>
    <w:rsid w:val="006A0AE0"/>
    <w:rsid w:val="006A0B24"/>
    <w:rsid w:val="006A0B89"/>
    <w:rsid w:val="006A0D3E"/>
    <w:rsid w:val="006A0F9A"/>
    <w:rsid w:val="006A0FB4"/>
    <w:rsid w:val="006A0FCE"/>
    <w:rsid w:val="006A1066"/>
    <w:rsid w:val="006A10FF"/>
    <w:rsid w:val="006A134E"/>
    <w:rsid w:val="006A1A31"/>
    <w:rsid w:val="006A1ABA"/>
    <w:rsid w:val="006A1BB2"/>
    <w:rsid w:val="006A1DCD"/>
    <w:rsid w:val="006A1EA3"/>
    <w:rsid w:val="006A2020"/>
    <w:rsid w:val="006A25CA"/>
    <w:rsid w:val="006A2A56"/>
    <w:rsid w:val="006A2F06"/>
    <w:rsid w:val="006A2F43"/>
    <w:rsid w:val="006A3004"/>
    <w:rsid w:val="006A30CE"/>
    <w:rsid w:val="006A30E4"/>
    <w:rsid w:val="006A3263"/>
    <w:rsid w:val="006A329E"/>
    <w:rsid w:val="006A32E3"/>
    <w:rsid w:val="006A336B"/>
    <w:rsid w:val="006A338A"/>
    <w:rsid w:val="006A33F0"/>
    <w:rsid w:val="006A343D"/>
    <w:rsid w:val="006A3550"/>
    <w:rsid w:val="006A35FC"/>
    <w:rsid w:val="006A3645"/>
    <w:rsid w:val="006A3740"/>
    <w:rsid w:val="006A378E"/>
    <w:rsid w:val="006A38CA"/>
    <w:rsid w:val="006A3AEC"/>
    <w:rsid w:val="006A3BA8"/>
    <w:rsid w:val="006A3D11"/>
    <w:rsid w:val="006A3DEC"/>
    <w:rsid w:val="006A3EBD"/>
    <w:rsid w:val="006A3FBC"/>
    <w:rsid w:val="006A404D"/>
    <w:rsid w:val="006A4094"/>
    <w:rsid w:val="006A429C"/>
    <w:rsid w:val="006A45E4"/>
    <w:rsid w:val="006A467A"/>
    <w:rsid w:val="006A4815"/>
    <w:rsid w:val="006A48F6"/>
    <w:rsid w:val="006A4A67"/>
    <w:rsid w:val="006A4D6E"/>
    <w:rsid w:val="006A4E04"/>
    <w:rsid w:val="006A4F7B"/>
    <w:rsid w:val="006A4FEB"/>
    <w:rsid w:val="006A516D"/>
    <w:rsid w:val="006A51A9"/>
    <w:rsid w:val="006A51FB"/>
    <w:rsid w:val="006A5203"/>
    <w:rsid w:val="006A545C"/>
    <w:rsid w:val="006A5562"/>
    <w:rsid w:val="006A566B"/>
    <w:rsid w:val="006A577F"/>
    <w:rsid w:val="006A57B2"/>
    <w:rsid w:val="006A58B7"/>
    <w:rsid w:val="006A591A"/>
    <w:rsid w:val="006A5921"/>
    <w:rsid w:val="006A5BA1"/>
    <w:rsid w:val="006A5C1A"/>
    <w:rsid w:val="006A5F24"/>
    <w:rsid w:val="006A5FFC"/>
    <w:rsid w:val="006A6006"/>
    <w:rsid w:val="006A6046"/>
    <w:rsid w:val="006A6098"/>
    <w:rsid w:val="006A612D"/>
    <w:rsid w:val="006A6178"/>
    <w:rsid w:val="006A6274"/>
    <w:rsid w:val="006A6316"/>
    <w:rsid w:val="006A640A"/>
    <w:rsid w:val="006A643E"/>
    <w:rsid w:val="006A6470"/>
    <w:rsid w:val="006A651D"/>
    <w:rsid w:val="006A6555"/>
    <w:rsid w:val="006A65F5"/>
    <w:rsid w:val="006A6940"/>
    <w:rsid w:val="006A6AFE"/>
    <w:rsid w:val="006A6B44"/>
    <w:rsid w:val="006A6CC3"/>
    <w:rsid w:val="006A6D05"/>
    <w:rsid w:val="006A6DF1"/>
    <w:rsid w:val="006A70BF"/>
    <w:rsid w:val="006A723B"/>
    <w:rsid w:val="006A7241"/>
    <w:rsid w:val="006A72BE"/>
    <w:rsid w:val="006A738D"/>
    <w:rsid w:val="006A75F7"/>
    <w:rsid w:val="006A78B3"/>
    <w:rsid w:val="006A7986"/>
    <w:rsid w:val="006A79B8"/>
    <w:rsid w:val="006A7B4C"/>
    <w:rsid w:val="006A7BE0"/>
    <w:rsid w:val="006A7CB4"/>
    <w:rsid w:val="006A7D22"/>
    <w:rsid w:val="006A7DB7"/>
    <w:rsid w:val="006B0072"/>
    <w:rsid w:val="006B00F3"/>
    <w:rsid w:val="006B01EF"/>
    <w:rsid w:val="006B02BB"/>
    <w:rsid w:val="006B050A"/>
    <w:rsid w:val="006B0600"/>
    <w:rsid w:val="006B060C"/>
    <w:rsid w:val="006B0662"/>
    <w:rsid w:val="006B06BB"/>
    <w:rsid w:val="006B0748"/>
    <w:rsid w:val="006B07BC"/>
    <w:rsid w:val="006B09B9"/>
    <w:rsid w:val="006B0A93"/>
    <w:rsid w:val="006B0B29"/>
    <w:rsid w:val="006B0E1D"/>
    <w:rsid w:val="006B0E3C"/>
    <w:rsid w:val="006B1077"/>
    <w:rsid w:val="006B10C8"/>
    <w:rsid w:val="006B180B"/>
    <w:rsid w:val="006B187A"/>
    <w:rsid w:val="006B1A49"/>
    <w:rsid w:val="006B1B25"/>
    <w:rsid w:val="006B1B65"/>
    <w:rsid w:val="006B1B8D"/>
    <w:rsid w:val="006B1C0E"/>
    <w:rsid w:val="006B1DA9"/>
    <w:rsid w:val="006B1F8B"/>
    <w:rsid w:val="006B1FC7"/>
    <w:rsid w:val="006B234B"/>
    <w:rsid w:val="006B234C"/>
    <w:rsid w:val="006B248A"/>
    <w:rsid w:val="006B25E7"/>
    <w:rsid w:val="006B2602"/>
    <w:rsid w:val="006B262E"/>
    <w:rsid w:val="006B26EC"/>
    <w:rsid w:val="006B26ED"/>
    <w:rsid w:val="006B2B50"/>
    <w:rsid w:val="006B2CB2"/>
    <w:rsid w:val="006B2CC1"/>
    <w:rsid w:val="006B2D70"/>
    <w:rsid w:val="006B2EEF"/>
    <w:rsid w:val="006B2F82"/>
    <w:rsid w:val="006B3305"/>
    <w:rsid w:val="006B3320"/>
    <w:rsid w:val="006B3880"/>
    <w:rsid w:val="006B389E"/>
    <w:rsid w:val="006B39FF"/>
    <w:rsid w:val="006B3B77"/>
    <w:rsid w:val="006B3EA9"/>
    <w:rsid w:val="006B411D"/>
    <w:rsid w:val="006B42EE"/>
    <w:rsid w:val="006B43DD"/>
    <w:rsid w:val="006B486D"/>
    <w:rsid w:val="006B49A9"/>
    <w:rsid w:val="006B4A75"/>
    <w:rsid w:val="006B4C14"/>
    <w:rsid w:val="006B4D03"/>
    <w:rsid w:val="006B4E3C"/>
    <w:rsid w:val="006B4E62"/>
    <w:rsid w:val="006B4EDF"/>
    <w:rsid w:val="006B4FD4"/>
    <w:rsid w:val="006B5069"/>
    <w:rsid w:val="006B534B"/>
    <w:rsid w:val="006B5410"/>
    <w:rsid w:val="006B5489"/>
    <w:rsid w:val="006B56F8"/>
    <w:rsid w:val="006B5865"/>
    <w:rsid w:val="006B5AF7"/>
    <w:rsid w:val="006B5B0B"/>
    <w:rsid w:val="006B5B6C"/>
    <w:rsid w:val="006B5DDD"/>
    <w:rsid w:val="006B5E61"/>
    <w:rsid w:val="006B5EEC"/>
    <w:rsid w:val="006B60F3"/>
    <w:rsid w:val="006B613C"/>
    <w:rsid w:val="006B634A"/>
    <w:rsid w:val="006B65B9"/>
    <w:rsid w:val="006B6603"/>
    <w:rsid w:val="006B670F"/>
    <w:rsid w:val="006B6B43"/>
    <w:rsid w:val="006B6C6E"/>
    <w:rsid w:val="006B6EAA"/>
    <w:rsid w:val="006B6F20"/>
    <w:rsid w:val="006B6F41"/>
    <w:rsid w:val="006B74D9"/>
    <w:rsid w:val="006B757D"/>
    <w:rsid w:val="006B75AF"/>
    <w:rsid w:val="006B7808"/>
    <w:rsid w:val="006B78A3"/>
    <w:rsid w:val="006B7910"/>
    <w:rsid w:val="006B79BB"/>
    <w:rsid w:val="006B7B6F"/>
    <w:rsid w:val="006B7B7E"/>
    <w:rsid w:val="006B7C2B"/>
    <w:rsid w:val="006B7C79"/>
    <w:rsid w:val="006B7CDF"/>
    <w:rsid w:val="006B7E1E"/>
    <w:rsid w:val="006B7E3A"/>
    <w:rsid w:val="006C0074"/>
    <w:rsid w:val="006C0480"/>
    <w:rsid w:val="006C049F"/>
    <w:rsid w:val="006C05F1"/>
    <w:rsid w:val="006C066E"/>
    <w:rsid w:val="006C06F6"/>
    <w:rsid w:val="006C0761"/>
    <w:rsid w:val="006C08E7"/>
    <w:rsid w:val="006C08FA"/>
    <w:rsid w:val="006C09F1"/>
    <w:rsid w:val="006C0AA6"/>
    <w:rsid w:val="006C0BBF"/>
    <w:rsid w:val="006C0BDC"/>
    <w:rsid w:val="006C0E09"/>
    <w:rsid w:val="006C0E68"/>
    <w:rsid w:val="006C1069"/>
    <w:rsid w:val="006C1101"/>
    <w:rsid w:val="006C1119"/>
    <w:rsid w:val="006C1141"/>
    <w:rsid w:val="006C122D"/>
    <w:rsid w:val="006C1445"/>
    <w:rsid w:val="006C160D"/>
    <w:rsid w:val="006C188A"/>
    <w:rsid w:val="006C1A50"/>
    <w:rsid w:val="006C1B57"/>
    <w:rsid w:val="006C1BF2"/>
    <w:rsid w:val="006C1C1F"/>
    <w:rsid w:val="006C1C7D"/>
    <w:rsid w:val="006C21F7"/>
    <w:rsid w:val="006C2219"/>
    <w:rsid w:val="006C228C"/>
    <w:rsid w:val="006C23CE"/>
    <w:rsid w:val="006C24A6"/>
    <w:rsid w:val="006C24F9"/>
    <w:rsid w:val="006C27C0"/>
    <w:rsid w:val="006C29B6"/>
    <w:rsid w:val="006C2A31"/>
    <w:rsid w:val="006C2C47"/>
    <w:rsid w:val="006C30AB"/>
    <w:rsid w:val="006C3313"/>
    <w:rsid w:val="006C33AB"/>
    <w:rsid w:val="006C33EB"/>
    <w:rsid w:val="006C35E1"/>
    <w:rsid w:val="006C35E2"/>
    <w:rsid w:val="006C3789"/>
    <w:rsid w:val="006C381A"/>
    <w:rsid w:val="006C387F"/>
    <w:rsid w:val="006C38BD"/>
    <w:rsid w:val="006C3AAF"/>
    <w:rsid w:val="006C3BEF"/>
    <w:rsid w:val="006C3C50"/>
    <w:rsid w:val="006C3F23"/>
    <w:rsid w:val="006C3FAE"/>
    <w:rsid w:val="006C4117"/>
    <w:rsid w:val="006C411A"/>
    <w:rsid w:val="006C42B3"/>
    <w:rsid w:val="006C42D3"/>
    <w:rsid w:val="006C42DB"/>
    <w:rsid w:val="006C42DF"/>
    <w:rsid w:val="006C43D9"/>
    <w:rsid w:val="006C44E6"/>
    <w:rsid w:val="006C45C4"/>
    <w:rsid w:val="006C45FB"/>
    <w:rsid w:val="006C4BE9"/>
    <w:rsid w:val="006C4D66"/>
    <w:rsid w:val="006C4EDB"/>
    <w:rsid w:val="006C4F8A"/>
    <w:rsid w:val="006C52FA"/>
    <w:rsid w:val="006C5383"/>
    <w:rsid w:val="006C5582"/>
    <w:rsid w:val="006C58DB"/>
    <w:rsid w:val="006C5A97"/>
    <w:rsid w:val="006C5B6F"/>
    <w:rsid w:val="006C5BE0"/>
    <w:rsid w:val="006C5BFB"/>
    <w:rsid w:val="006C5D6C"/>
    <w:rsid w:val="006C5E07"/>
    <w:rsid w:val="006C5E31"/>
    <w:rsid w:val="006C635C"/>
    <w:rsid w:val="006C643D"/>
    <w:rsid w:val="006C644F"/>
    <w:rsid w:val="006C679B"/>
    <w:rsid w:val="006C6838"/>
    <w:rsid w:val="006C69AA"/>
    <w:rsid w:val="006C69BA"/>
    <w:rsid w:val="006C69FC"/>
    <w:rsid w:val="006C6F8F"/>
    <w:rsid w:val="006C7053"/>
    <w:rsid w:val="006C705D"/>
    <w:rsid w:val="006C7145"/>
    <w:rsid w:val="006C71C2"/>
    <w:rsid w:val="006C7240"/>
    <w:rsid w:val="006C727C"/>
    <w:rsid w:val="006C7422"/>
    <w:rsid w:val="006C742F"/>
    <w:rsid w:val="006C7453"/>
    <w:rsid w:val="006C76A1"/>
    <w:rsid w:val="006C79E6"/>
    <w:rsid w:val="006C7B99"/>
    <w:rsid w:val="006C7E88"/>
    <w:rsid w:val="006C7F3F"/>
    <w:rsid w:val="006C7FE6"/>
    <w:rsid w:val="006D0108"/>
    <w:rsid w:val="006D01B0"/>
    <w:rsid w:val="006D054A"/>
    <w:rsid w:val="006D05CF"/>
    <w:rsid w:val="006D063C"/>
    <w:rsid w:val="006D0722"/>
    <w:rsid w:val="006D0769"/>
    <w:rsid w:val="006D085A"/>
    <w:rsid w:val="006D0B42"/>
    <w:rsid w:val="006D0BA0"/>
    <w:rsid w:val="006D0CF9"/>
    <w:rsid w:val="006D0DE3"/>
    <w:rsid w:val="006D0E6B"/>
    <w:rsid w:val="006D1177"/>
    <w:rsid w:val="006D1385"/>
    <w:rsid w:val="006D14E6"/>
    <w:rsid w:val="006D1797"/>
    <w:rsid w:val="006D1D6D"/>
    <w:rsid w:val="006D1D79"/>
    <w:rsid w:val="006D1E66"/>
    <w:rsid w:val="006D1F08"/>
    <w:rsid w:val="006D2142"/>
    <w:rsid w:val="006D2165"/>
    <w:rsid w:val="006D2207"/>
    <w:rsid w:val="006D2268"/>
    <w:rsid w:val="006D232C"/>
    <w:rsid w:val="006D236D"/>
    <w:rsid w:val="006D25AC"/>
    <w:rsid w:val="006D28BC"/>
    <w:rsid w:val="006D2C02"/>
    <w:rsid w:val="006D2CC5"/>
    <w:rsid w:val="006D2E62"/>
    <w:rsid w:val="006D310F"/>
    <w:rsid w:val="006D32FA"/>
    <w:rsid w:val="006D3576"/>
    <w:rsid w:val="006D3699"/>
    <w:rsid w:val="006D3787"/>
    <w:rsid w:val="006D3790"/>
    <w:rsid w:val="006D3907"/>
    <w:rsid w:val="006D3A49"/>
    <w:rsid w:val="006D3B70"/>
    <w:rsid w:val="006D3C1D"/>
    <w:rsid w:val="006D3DDC"/>
    <w:rsid w:val="006D3E03"/>
    <w:rsid w:val="006D402E"/>
    <w:rsid w:val="006D465F"/>
    <w:rsid w:val="006D46AA"/>
    <w:rsid w:val="006D46F2"/>
    <w:rsid w:val="006D4930"/>
    <w:rsid w:val="006D4B10"/>
    <w:rsid w:val="006D4BAC"/>
    <w:rsid w:val="006D4D06"/>
    <w:rsid w:val="006D4DAF"/>
    <w:rsid w:val="006D5048"/>
    <w:rsid w:val="006D5082"/>
    <w:rsid w:val="006D5115"/>
    <w:rsid w:val="006D54A4"/>
    <w:rsid w:val="006D55F2"/>
    <w:rsid w:val="006D564F"/>
    <w:rsid w:val="006D56C8"/>
    <w:rsid w:val="006D56EA"/>
    <w:rsid w:val="006D5747"/>
    <w:rsid w:val="006D5770"/>
    <w:rsid w:val="006D5A6E"/>
    <w:rsid w:val="006D5A87"/>
    <w:rsid w:val="006D5CE3"/>
    <w:rsid w:val="006D5DEA"/>
    <w:rsid w:val="006D5F57"/>
    <w:rsid w:val="006D6351"/>
    <w:rsid w:val="006D64C7"/>
    <w:rsid w:val="006D651B"/>
    <w:rsid w:val="006D65A6"/>
    <w:rsid w:val="006D6613"/>
    <w:rsid w:val="006D6631"/>
    <w:rsid w:val="006D6730"/>
    <w:rsid w:val="006D685F"/>
    <w:rsid w:val="006D6BEF"/>
    <w:rsid w:val="006D6D6C"/>
    <w:rsid w:val="006D6F87"/>
    <w:rsid w:val="006D6FA1"/>
    <w:rsid w:val="006D701A"/>
    <w:rsid w:val="006D7061"/>
    <w:rsid w:val="006D7147"/>
    <w:rsid w:val="006D7185"/>
    <w:rsid w:val="006D72E6"/>
    <w:rsid w:val="006D73CC"/>
    <w:rsid w:val="006D7694"/>
    <w:rsid w:val="006D76CF"/>
    <w:rsid w:val="006D76D9"/>
    <w:rsid w:val="006D76EA"/>
    <w:rsid w:val="006D76F5"/>
    <w:rsid w:val="006D7756"/>
    <w:rsid w:val="006D7D29"/>
    <w:rsid w:val="006D7EE2"/>
    <w:rsid w:val="006E0123"/>
    <w:rsid w:val="006E01CA"/>
    <w:rsid w:val="006E0269"/>
    <w:rsid w:val="006E03D5"/>
    <w:rsid w:val="006E03D9"/>
    <w:rsid w:val="006E03F0"/>
    <w:rsid w:val="006E040E"/>
    <w:rsid w:val="006E05A7"/>
    <w:rsid w:val="006E05AC"/>
    <w:rsid w:val="006E05C6"/>
    <w:rsid w:val="006E081B"/>
    <w:rsid w:val="006E08CD"/>
    <w:rsid w:val="006E0A06"/>
    <w:rsid w:val="006E0BAC"/>
    <w:rsid w:val="006E0C7E"/>
    <w:rsid w:val="006E0D6C"/>
    <w:rsid w:val="006E1020"/>
    <w:rsid w:val="006E12BD"/>
    <w:rsid w:val="006E1329"/>
    <w:rsid w:val="006E1367"/>
    <w:rsid w:val="006E1424"/>
    <w:rsid w:val="006E1545"/>
    <w:rsid w:val="006E1558"/>
    <w:rsid w:val="006E1605"/>
    <w:rsid w:val="006E17A8"/>
    <w:rsid w:val="006E18C4"/>
    <w:rsid w:val="006E1A3E"/>
    <w:rsid w:val="006E1A83"/>
    <w:rsid w:val="006E1B2B"/>
    <w:rsid w:val="006E1B7E"/>
    <w:rsid w:val="006E1D3A"/>
    <w:rsid w:val="006E1E8C"/>
    <w:rsid w:val="006E1E9E"/>
    <w:rsid w:val="006E1ED4"/>
    <w:rsid w:val="006E1F23"/>
    <w:rsid w:val="006E2201"/>
    <w:rsid w:val="006E2249"/>
    <w:rsid w:val="006E2830"/>
    <w:rsid w:val="006E28DE"/>
    <w:rsid w:val="006E28FA"/>
    <w:rsid w:val="006E2A04"/>
    <w:rsid w:val="006E2C10"/>
    <w:rsid w:val="006E2F3C"/>
    <w:rsid w:val="006E2F4B"/>
    <w:rsid w:val="006E2FCB"/>
    <w:rsid w:val="006E2FCE"/>
    <w:rsid w:val="006E30A9"/>
    <w:rsid w:val="006E331F"/>
    <w:rsid w:val="006E336B"/>
    <w:rsid w:val="006E34B9"/>
    <w:rsid w:val="006E375E"/>
    <w:rsid w:val="006E37E6"/>
    <w:rsid w:val="006E38FA"/>
    <w:rsid w:val="006E3A43"/>
    <w:rsid w:val="006E3A7C"/>
    <w:rsid w:val="006E3ABE"/>
    <w:rsid w:val="006E3B12"/>
    <w:rsid w:val="006E3D8D"/>
    <w:rsid w:val="006E3F64"/>
    <w:rsid w:val="006E40F8"/>
    <w:rsid w:val="006E415F"/>
    <w:rsid w:val="006E44FE"/>
    <w:rsid w:val="006E4572"/>
    <w:rsid w:val="006E46A2"/>
    <w:rsid w:val="006E4758"/>
    <w:rsid w:val="006E48AC"/>
    <w:rsid w:val="006E48C0"/>
    <w:rsid w:val="006E4988"/>
    <w:rsid w:val="006E4A26"/>
    <w:rsid w:val="006E4B18"/>
    <w:rsid w:val="006E4C6A"/>
    <w:rsid w:val="006E4E82"/>
    <w:rsid w:val="006E53ED"/>
    <w:rsid w:val="006E54D1"/>
    <w:rsid w:val="006E551F"/>
    <w:rsid w:val="006E55E3"/>
    <w:rsid w:val="006E58BE"/>
    <w:rsid w:val="006E5B89"/>
    <w:rsid w:val="006E5CD5"/>
    <w:rsid w:val="006E5E55"/>
    <w:rsid w:val="006E6306"/>
    <w:rsid w:val="006E64E9"/>
    <w:rsid w:val="006E6BAB"/>
    <w:rsid w:val="006E6C37"/>
    <w:rsid w:val="006E6CE4"/>
    <w:rsid w:val="006E70D1"/>
    <w:rsid w:val="006E711C"/>
    <w:rsid w:val="006E7131"/>
    <w:rsid w:val="006E727A"/>
    <w:rsid w:val="006E73B1"/>
    <w:rsid w:val="006E758F"/>
    <w:rsid w:val="006E762D"/>
    <w:rsid w:val="006E7A2C"/>
    <w:rsid w:val="006E7AEE"/>
    <w:rsid w:val="006E7B47"/>
    <w:rsid w:val="006E7C94"/>
    <w:rsid w:val="006E7CF7"/>
    <w:rsid w:val="006E7D4D"/>
    <w:rsid w:val="006E7D7F"/>
    <w:rsid w:val="006E7DB2"/>
    <w:rsid w:val="006E7E19"/>
    <w:rsid w:val="006E7F70"/>
    <w:rsid w:val="006E7FAA"/>
    <w:rsid w:val="006F051E"/>
    <w:rsid w:val="006F05C8"/>
    <w:rsid w:val="006F06B0"/>
    <w:rsid w:val="006F0716"/>
    <w:rsid w:val="006F0719"/>
    <w:rsid w:val="006F07B7"/>
    <w:rsid w:val="006F07B8"/>
    <w:rsid w:val="006F098E"/>
    <w:rsid w:val="006F099E"/>
    <w:rsid w:val="006F0B24"/>
    <w:rsid w:val="006F0C28"/>
    <w:rsid w:val="006F0EED"/>
    <w:rsid w:val="006F1083"/>
    <w:rsid w:val="006F126E"/>
    <w:rsid w:val="006F1273"/>
    <w:rsid w:val="006F1446"/>
    <w:rsid w:val="006F1491"/>
    <w:rsid w:val="006F1514"/>
    <w:rsid w:val="006F189F"/>
    <w:rsid w:val="006F1C43"/>
    <w:rsid w:val="006F1D03"/>
    <w:rsid w:val="006F1D19"/>
    <w:rsid w:val="006F1E43"/>
    <w:rsid w:val="006F1F67"/>
    <w:rsid w:val="006F222D"/>
    <w:rsid w:val="006F23E9"/>
    <w:rsid w:val="006F2482"/>
    <w:rsid w:val="006F24F9"/>
    <w:rsid w:val="006F2708"/>
    <w:rsid w:val="006F2756"/>
    <w:rsid w:val="006F27B8"/>
    <w:rsid w:val="006F27BD"/>
    <w:rsid w:val="006F2867"/>
    <w:rsid w:val="006F28C0"/>
    <w:rsid w:val="006F2955"/>
    <w:rsid w:val="006F2D54"/>
    <w:rsid w:val="006F2DB9"/>
    <w:rsid w:val="006F2E3B"/>
    <w:rsid w:val="006F2E60"/>
    <w:rsid w:val="006F2F15"/>
    <w:rsid w:val="006F3085"/>
    <w:rsid w:val="006F3292"/>
    <w:rsid w:val="006F333A"/>
    <w:rsid w:val="006F3431"/>
    <w:rsid w:val="006F34FA"/>
    <w:rsid w:val="006F352C"/>
    <w:rsid w:val="006F35DC"/>
    <w:rsid w:val="006F377F"/>
    <w:rsid w:val="006F384A"/>
    <w:rsid w:val="006F3A1B"/>
    <w:rsid w:val="006F3A83"/>
    <w:rsid w:val="006F3BF6"/>
    <w:rsid w:val="006F3CBF"/>
    <w:rsid w:val="006F3DA7"/>
    <w:rsid w:val="006F3DF9"/>
    <w:rsid w:val="006F4211"/>
    <w:rsid w:val="006F42B3"/>
    <w:rsid w:val="006F4322"/>
    <w:rsid w:val="006F43E9"/>
    <w:rsid w:val="006F43F7"/>
    <w:rsid w:val="006F45BC"/>
    <w:rsid w:val="006F47C6"/>
    <w:rsid w:val="006F496A"/>
    <w:rsid w:val="006F4A21"/>
    <w:rsid w:val="006F4B06"/>
    <w:rsid w:val="006F4B27"/>
    <w:rsid w:val="006F4E78"/>
    <w:rsid w:val="006F4FEB"/>
    <w:rsid w:val="006F50DF"/>
    <w:rsid w:val="006F50F6"/>
    <w:rsid w:val="006F50FF"/>
    <w:rsid w:val="006F5277"/>
    <w:rsid w:val="006F52E2"/>
    <w:rsid w:val="006F5359"/>
    <w:rsid w:val="006F53E6"/>
    <w:rsid w:val="006F5412"/>
    <w:rsid w:val="006F550A"/>
    <w:rsid w:val="006F5609"/>
    <w:rsid w:val="006F5A64"/>
    <w:rsid w:val="006F5B2C"/>
    <w:rsid w:val="006F5EEF"/>
    <w:rsid w:val="006F5F28"/>
    <w:rsid w:val="006F5F72"/>
    <w:rsid w:val="006F5FC9"/>
    <w:rsid w:val="006F5FE0"/>
    <w:rsid w:val="006F602B"/>
    <w:rsid w:val="006F6174"/>
    <w:rsid w:val="006F61A1"/>
    <w:rsid w:val="006F6256"/>
    <w:rsid w:val="006F638E"/>
    <w:rsid w:val="006F639D"/>
    <w:rsid w:val="006F646B"/>
    <w:rsid w:val="006F647C"/>
    <w:rsid w:val="006F667F"/>
    <w:rsid w:val="006F66AC"/>
    <w:rsid w:val="006F671C"/>
    <w:rsid w:val="006F683B"/>
    <w:rsid w:val="006F6B46"/>
    <w:rsid w:val="006F6BFE"/>
    <w:rsid w:val="006F6CE6"/>
    <w:rsid w:val="006F6D3A"/>
    <w:rsid w:val="006F71F7"/>
    <w:rsid w:val="006F724B"/>
    <w:rsid w:val="006F7293"/>
    <w:rsid w:val="006F734B"/>
    <w:rsid w:val="006F73C1"/>
    <w:rsid w:val="006F7540"/>
    <w:rsid w:val="006F75B8"/>
    <w:rsid w:val="006F7724"/>
    <w:rsid w:val="006F7777"/>
    <w:rsid w:val="006F777C"/>
    <w:rsid w:val="006F77B9"/>
    <w:rsid w:val="006F7844"/>
    <w:rsid w:val="006F78B4"/>
    <w:rsid w:val="006F7A64"/>
    <w:rsid w:val="006F7FCE"/>
    <w:rsid w:val="0070005C"/>
    <w:rsid w:val="00700281"/>
    <w:rsid w:val="00700312"/>
    <w:rsid w:val="00700419"/>
    <w:rsid w:val="00700611"/>
    <w:rsid w:val="007008B8"/>
    <w:rsid w:val="00700909"/>
    <w:rsid w:val="0070095B"/>
    <w:rsid w:val="0070095E"/>
    <w:rsid w:val="00700A6B"/>
    <w:rsid w:val="00700AE4"/>
    <w:rsid w:val="00700BF5"/>
    <w:rsid w:val="00700C37"/>
    <w:rsid w:val="00700C3E"/>
    <w:rsid w:val="00700C8B"/>
    <w:rsid w:val="00700D4F"/>
    <w:rsid w:val="00700FE4"/>
    <w:rsid w:val="0070100E"/>
    <w:rsid w:val="007010AA"/>
    <w:rsid w:val="00701318"/>
    <w:rsid w:val="00701364"/>
    <w:rsid w:val="00701509"/>
    <w:rsid w:val="007015C5"/>
    <w:rsid w:val="00701679"/>
    <w:rsid w:val="007017F1"/>
    <w:rsid w:val="007018D4"/>
    <w:rsid w:val="00701A97"/>
    <w:rsid w:val="00701BEC"/>
    <w:rsid w:val="00701C27"/>
    <w:rsid w:val="00701E8D"/>
    <w:rsid w:val="00701F84"/>
    <w:rsid w:val="00702193"/>
    <w:rsid w:val="007021F2"/>
    <w:rsid w:val="0070234E"/>
    <w:rsid w:val="00702664"/>
    <w:rsid w:val="007027C0"/>
    <w:rsid w:val="007027E7"/>
    <w:rsid w:val="00702CB5"/>
    <w:rsid w:val="00702F4A"/>
    <w:rsid w:val="00703004"/>
    <w:rsid w:val="007033DC"/>
    <w:rsid w:val="00703558"/>
    <w:rsid w:val="007036BB"/>
    <w:rsid w:val="007036DD"/>
    <w:rsid w:val="00703883"/>
    <w:rsid w:val="0070396A"/>
    <w:rsid w:val="00703BB6"/>
    <w:rsid w:val="00703C2C"/>
    <w:rsid w:val="00703CC4"/>
    <w:rsid w:val="00703D8B"/>
    <w:rsid w:val="00703DEB"/>
    <w:rsid w:val="00703E27"/>
    <w:rsid w:val="00703E7D"/>
    <w:rsid w:val="0070415B"/>
    <w:rsid w:val="007041BC"/>
    <w:rsid w:val="007041D6"/>
    <w:rsid w:val="0070426B"/>
    <w:rsid w:val="00704348"/>
    <w:rsid w:val="007043E3"/>
    <w:rsid w:val="007044D4"/>
    <w:rsid w:val="00704576"/>
    <w:rsid w:val="007047E8"/>
    <w:rsid w:val="0070481D"/>
    <w:rsid w:val="00704934"/>
    <w:rsid w:val="007049C0"/>
    <w:rsid w:val="00704B6E"/>
    <w:rsid w:val="00704C7A"/>
    <w:rsid w:val="00704C93"/>
    <w:rsid w:val="0070506E"/>
    <w:rsid w:val="0070528C"/>
    <w:rsid w:val="007053C5"/>
    <w:rsid w:val="007055DD"/>
    <w:rsid w:val="007055E2"/>
    <w:rsid w:val="00705861"/>
    <w:rsid w:val="0070590D"/>
    <w:rsid w:val="0070597E"/>
    <w:rsid w:val="00705B44"/>
    <w:rsid w:val="00705B75"/>
    <w:rsid w:val="00705C64"/>
    <w:rsid w:val="00705C88"/>
    <w:rsid w:val="00705CFE"/>
    <w:rsid w:val="00705D0E"/>
    <w:rsid w:val="00705E28"/>
    <w:rsid w:val="00705E3C"/>
    <w:rsid w:val="00705F2A"/>
    <w:rsid w:val="00706088"/>
    <w:rsid w:val="00706287"/>
    <w:rsid w:val="0070636F"/>
    <w:rsid w:val="0070649B"/>
    <w:rsid w:val="007065AE"/>
    <w:rsid w:val="00706867"/>
    <w:rsid w:val="0070686C"/>
    <w:rsid w:val="00706972"/>
    <w:rsid w:val="00706BCA"/>
    <w:rsid w:val="00706BFC"/>
    <w:rsid w:val="00706C7B"/>
    <w:rsid w:val="00706EA1"/>
    <w:rsid w:val="00706EE2"/>
    <w:rsid w:val="007072F4"/>
    <w:rsid w:val="007075EB"/>
    <w:rsid w:val="007078B7"/>
    <w:rsid w:val="00707A3F"/>
    <w:rsid w:val="00707B09"/>
    <w:rsid w:val="00707D39"/>
    <w:rsid w:val="00707E83"/>
    <w:rsid w:val="00707EC0"/>
    <w:rsid w:val="00707EFA"/>
    <w:rsid w:val="00707F21"/>
    <w:rsid w:val="00707FB4"/>
    <w:rsid w:val="00707FD8"/>
    <w:rsid w:val="007100AD"/>
    <w:rsid w:val="00710202"/>
    <w:rsid w:val="007102E5"/>
    <w:rsid w:val="0071064E"/>
    <w:rsid w:val="00710919"/>
    <w:rsid w:val="007109AE"/>
    <w:rsid w:val="00710A71"/>
    <w:rsid w:val="00710AFF"/>
    <w:rsid w:val="00710B4F"/>
    <w:rsid w:val="00710BDC"/>
    <w:rsid w:val="00710BE7"/>
    <w:rsid w:val="00710D79"/>
    <w:rsid w:val="00710DDD"/>
    <w:rsid w:val="00710EF2"/>
    <w:rsid w:val="00710F55"/>
    <w:rsid w:val="00710FA1"/>
    <w:rsid w:val="00711009"/>
    <w:rsid w:val="00711153"/>
    <w:rsid w:val="007111B4"/>
    <w:rsid w:val="007111E6"/>
    <w:rsid w:val="007112A0"/>
    <w:rsid w:val="007113E8"/>
    <w:rsid w:val="0071141D"/>
    <w:rsid w:val="0071149A"/>
    <w:rsid w:val="007114D2"/>
    <w:rsid w:val="007114E9"/>
    <w:rsid w:val="00711615"/>
    <w:rsid w:val="007116A2"/>
    <w:rsid w:val="00711773"/>
    <w:rsid w:val="00711809"/>
    <w:rsid w:val="0071190F"/>
    <w:rsid w:val="00711920"/>
    <w:rsid w:val="00711930"/>
    <w:rsid w:val="007119D5"/>
    <w:rsid w:val="00711A5A"/>
    <w:rsid w:val="00711E96"/>
    <w:rsid w:val="0071208B"/>
    <w:rsid w:val="0071229C"/>
    <w:rsid w:val="007122D4"/>
    <w:rsid w:val="00712315"/>
    <w:rsid w:val="00712385"/>
    <w:rsid w:val="007123BD"/>
    <w:rsid w:val="00712697"/>
    <w:rsid w:val="00712999"/>
    <w:rsid w:val="00712A22"/>
    <w:rsid w:val="00712D67"/>
    <w:rsid w:val="00712F03"/>
    <w:rsid w:val="007130EA"/>
    <w:rsid w:val="00713145"/>
    <w:rsid w:val="00713302"/>
    <w:rsid w:val="007133B6"/>
    <w:rsid w:val="00713493"/>
    <w:rsid w:val="0071363F"/>
    <w:rsid w:val="007136BE"/>
    <w:rsid w:val="0071375B"/>
    <w:rsid w:val="007138CA"/>
    <w:rsid w:val="00713BC5"/>
    <w:rsid w:val="00713C76"/>
    <w:rsid w:val="00713C90"/>
    <w:rsid w:val="00713D66"/>
    <w:rsid w:val="00713EE3"/>
    <w:rsid w:val="0071403A"/>
    <w:rsid w:val="00714257"/>
    <w:rsid w:val="0071425E"/>
    <w:rsid w:val="007142E4"/>
    <w:rsid w:val="00714411"/>
    <w:rsid w:val="00714523"/>
    <w:rsid w:val="00714696"/>
    <w:rsid w:val="007146AC"/>
    <w:rsid w:val="00714718"/>
    <w:rsid w:val="007147B9"/>
    <w:rsid w:val="00714865"/>
    <w:rsid w:val="00714893"/>
    <w:rsid w:val="007148E9"/>
    <w:rsid w:val="00714959"/>
    <w:rsid w:val="00714A19"/>
    <w:rsid w:val="00714AF3"/>
    <w:rsid w:val="00714F5E"/>
    <w:rsid w:val="00715127"/>
    <w:rsid w:val="007152EC"/>
    <w:rsid w:val="007152FE"/>
    <w:rsid w:val="00715464"/>
    <w:rsid w:val="007154D9"/>
    <w:rsid w:val="007155DE"/>
    <w:rsid w:val="00715615"/>
    <w:rsid w:val="00715650"/>
    <w:rsid w:val="00715688"/>
    <w:rsid w:val="0071568D"/>
    <w:rsid w:val="0071570A"/>
    <w:rsid w:val="007159CC"/>
    <w:rsid w:val="007159E4"/>
    <w:rsid w:val="00715A92"/>
    <w:rsid w:val="00715B48"/>
    <w:rsid w:val="00715BDB"/>
    <w:rsid w:val="00715DCC"/>
    <w:rsid w:val="00716166"/>
    <w:rsid w:val="007161D2"/>
    <w:rsid w:val="00716578"/>
    <w:rsid w:val="007165EC"/>
    <w:rsid w:val="00716631"/>
    <w:rsid w:val="007169D5"/>
    <w:rsid w:val="00716A34"/>
    <w:rsid w:val="00716BDC"/>
    <w:rsid w:val="00716BFA"/>
    <w:rsid w:val="00716C12"/>
    <w:rsid w:val="00716D29"/>
    <w:rsid w:val="00716DCF"/>
    <w:rsid w:val="00716E9D"/>
    <w:rsid w:val="00716FBC"/>
    <w:rsid w:val="007170CF"/>
    <w:rsid w:val="00717596"/>
    <w:rsid w:val="00717BD9"/>
    <w:rsid w:val="00717CAB"/>
    <w:rsid w:val="00720081"/>
    <w:rsid w:val="0072013C"/>
    <w:rsid w:val="00720323"/>
    <w:rsid w:val="0072052E"/>
    <w:rsid w:val="00720752"/>
    <w:rsid w:val="007207A6"/>
    <w:rsid w:val="00720800"/>
    <w:rsid w:val="0072087B"/>
    <w:rsid w:val="007209A4"/>
    <w:rsid w:val="00720D16"/>
    <w:rsid w:val="00720E23"/>
    <w:rsid w:val="00720ECF"/>
    <w:rsid w:val="007212BD"/>
    <w:rsid w:val="0072167D"/>
    <w:rsid w:val="00721913"/>
    <w:rsid w:val="00721A7A"/>
    <w:rsid w:val="00721BA2"/>
    <w:rsid w:val="00721BBF"/>
    <w:rsid w:val="00721E62"/>
    <w:rsid w:val="00721EE2"/>
    <w:rsid w:val="00721F76"/>
    <w:rsid w:val="0072200E"/>
    <w:rsid w:val="007223DF"/>
    <w:rsid w:val="00722673"/>
    <w:rsid w:val="007227D9"/>
    <w:rsid w:val="00722821"/>
    <w:rsid w:val="007228D1"/>
    <w:rsid w:val="00722B01"/>
    <w:rsid w:val="00722C22"/>
    <w:rsid w:val="00722D26"/>
    <w:rsid w:val="00722DE0"/>
    <w:rsid w:val="00722E32"/>
    <w:rsid w:val="00722E95"/>
    <w:rsid w:val="00722FA0"/>
    <w:rsid w:val="007231A5"/>
    <w:rsid w:val="00723207"/>
    <w:rsid w:val="00723267"/>
    <w:rsid w:val="00723337"/>
    <w:rsid w:val="00723649"/>
    <w:rsid w:val="007237B1"/>
    <w:rsid w:val="00723802"/>
    <w:rsid w:val="00723845"/>
    <w:rsid w:val="00723E0B"/>
    <w:rsid w:val="00723F6A"/>
    <w:rsid w:val="007240E9"/>
    <w:rsid w:val="0072411B"/>
    <w:rsid w:val="007241A9"/>
    <w:rsid w:val="00724448"/>
    <w:rsid w:val="00724459"/>
    <w:rsid w:val="007245C1"/>
    <w:rsid w:val="00724938"/>
    <w:rsid w:val="00724C40"/>
    <w:rsid w:val="00724CB1"/>
    <w:rsid w:val="00724D04"/>
    <w:rsid w:val="00724D47"/>
    <w:rsid w:val="00724D7A"/>
    <w:rsid w:val="00724D92"/>
    <w:rsid w:val="0072500A"/>
    <w:rsid w:val="007250AA"/>
    <w:rsid w:val="00725212"/>
    <w:rsid w:val="0072544A"/>
    <w:rsid w:val="007254C3"/>
    <w:rsid w:val="0072558F"/>
    <w:rsid w:val="00725596"/>
    <w:rsid w:val="007255C5"/>
    <w:rsid w:val="007256A6"/>
    <w:rsid w:val="007258B2"/>
    <w:rsid w:val="007258D9"/>
    <w:rsid w:val="00725930"/>
    <w:rsid w:val="00725A8D"/>
    <w:rsid w:val="00725D7F"/>
    <w:rsid w:val="00725E59"/>
    <w:rsid w:val="00725E89"/>
    <w:rsid w:val="00726049"/>
    <w:rsid w:val="0072627D"/>
    <w:rsid w:val="007262AC"/>
    <w:rsid w:val="00726349"/>
    <w:rsid w:val="007264A2"/>
    <w:rsid w:val="00726620"/>
    <w:rsid w:val="007268E3"/>
    <w:rsid w:val="0072696B"/>
    <w:rsid w:val="00726992"/>
    <w:rsid w:val="00726ABD"/>
    <w:rsid w:val="00726B8F"/>
    <w:rsid w:val="00726C10"/>
    <w:rsid w:val="00726E21"/>
    <w:rsid w:val="00726E63"/>
    <w:rsid w:val="00727045"/>
    <w:rsid w:val="007277C2"/>
    <w:rsid w:val="00727866"/>
    <w:rsid w:val="0072796E"/>
    <w:rsid w:val="00727DDA"/>
    <w:rsid w:val="00727E35"/>
    <w:rsid w:val="00727EFD"/>
    <w:rsid w:val="00727FE3"/>
    <w:rsid w:val="007300D1"/>
    <w:rsid w:val="00730402"/>
    <w:rsid w:val="0073044D"/>
    <w:rsid w:val="007304FE"/>
    <w:rsid w:val="0073053E"/>
    <w:rsid w:val="0073059A"/>
    <w:rsid w:val="007306D2"/>
    <w:rsid w:val="00730704"/>
    <w:rsid w:val="00730765"/>
    <w:rsid w:val="007307F9"/>
    <w:rsid w:val="00730881"/>
    <w:rsid w:val="00730927"/>
    <w:rsid w:val="00730AA4"/>
    <w:rsid w:val="00730B80"/>
    <w:rsid w:val="00730BE2"/>
    <w:rsid w:val="00730E62"/>
    <w:rsid w:val="00730E90"/>
    <w:rsid w:val="00730EB2"/>
    <w:rsid w:val="00730EC4"/>
    <w:rsid w:val="0073105F"/>
    <w:rsid w:val="00731228"/>
    <w:rsid w:val="0073141C"/>
    <w:rsid w:val="0073166E"/>
    <w:rsid w:val="00731682"/>
    <w:rsid w:val="00731710"/>
    <w:rsid w:val="0073179D"/>
    <w:rsid w:val="007319AF"/>
    <w:rsid w:val="00731E0D"/>
    <w:rsid w:val="00731FE8"/>
    <w:rsid w:val="00732077"/>
    <w:rsid w:val="007322B7"/>
    <w:rsid w:val="007322C0"/>
    <w:rsid w:val="00732386"/>
    <w:rsid w:val="0073243D"/>
    <w:rsid w:val="0073246E"/>
    <w:rsid w:val="007324A9"/>
    <w:rsid w:val="007324F6"/>
    <w:rsid w:val="007326A4"/>
    <w:rsid w:val="007326FC"/>
    <w:rsid w:val="00732764"/>
    <w:rsid w:val="0073292B"/>
    <w:rsid w:val="007329A4"/>
    <w:rsid w:val="007329BC"/>
    <w:rsid w:val="00732AC2"/>
    <w:rsid w:val="00732CD1"/>
    <w:rsid w:val="00732D68"/>
    <w:rsid w:val="00732F7C"/>
    <w:rsid w:val="0073325C"/>
    <w:rsid w:val="00733392"/>
    <w:rsid w:val="00733499"/>
    <w:rsid w:val="007334B0"/>
    <w:rsid w:val="00733502"/>
    <w:rsid w:val="00733607"/>
    <w:rsid w:val="0073371D"/>
    <w:rsid w:val="00733974"/>
    <w:rsid w:val="00733B38"/>
    <w:rsid w:val="00733B6B"/>
    <w:rsid w:val="00733D40"/>
    <w:rsid w:val="00733F04"/>
    <w:rsid w:val="00733F71"/>
    <w:rsid w:val="0073406E"/>
    <w:rsid w:val="007345C0"/>
    <w:rsid w:val="0073463B"/>
    <w:rsid w:val="0073498F"/>
    <w:rsid w:val="00734992"/>
    <w:rsid w:val="007349BB"/>
    <w:rsid w:val="007349ED"/>
    <w:rsid w:val="00734B2C"/>
    <w:rsid w:val="00734BA8"/>
    <w:rsid w:val="00734D67"/>
    <w:rsid w:val="00734E9F"/>
    <w:rsid w:val="00734EC7"/>
    <w:rsid w:val="00734FE1"/>
    <w:rsid w:val="00735018"/>
    <w:rsid w:val="0073510B"/>
    <w:rsid w:val="00735206"/>
    <w:rsid w:val="007352CE"/>
    <w:rsid w:val="00735332"/>
    <w:rsid w:val="00735425"/>
    <w:rsid w:val="0073546A"/>
    <w:rsid w:val="007354DA"/>
    <w:rsid w:val="0073569F"/>
    <w:rsid w:val="007356BB"/>
    <w:rsid w:val="007356BE"/>
    <w:rsid w:val="0073594C"/>
    <w:rsid w:val="0073597C"/>
    <w:rsid w:val="00735AA5"/>
    <w:rsid w:val="00735B05"/>
    <w:rsid w:val="00735B8E"/>
    <w:rsid w:val="00735CE9"/>
    <w:rsid w:val="00735FB1"/>
    <w:rsid w:val="0073615C"/>
    <w:rsid w:val="0073635E"/>
    <w:rsid w:val="00736476"/>
    <w:rsid w:val="00736672"/>
    <w:rsid w:val="0073667D"/>
    <w:rsid w:val="007369A2"/>
    <w:rsid w:val="007369EE"/>
    <w:rsid w:val="00736CA2"/>
    <w:rsid w:val="00736D1C"/>
    <w:rsid w:val="00736DE8"/>
    <w:rsid w:val="00736E2B"/>
    <w:rsid w:val="00736EEA"/>
    <w:rsid w:val="00736FB6"/>
    <w:rsid w:val="0073731A"/>
    <w:rsid w:val="007375B1"/>
    <w:rsid w:val="007375BC"/>
    <w:rsid w:val="0073763D"/>
    <w:rsid w:val="00737BE5"/>
    <w:rsid w:val="00737D95"/>
    <w:rsid w:val="00740341"/>
    <w:rsid w:val="007404DC"/>
    <w:rsid w:val="007406E6"/>
    <w:rsid w:val="00740820"/>
    <w:rsid w:val="0074089C"/>
    <w:rsid w:val="007408C8"/>
    <w:rsid w:val="00740958"/>
    <w:rsid w:val="00740B4E"/>
    <w:rsid w:val="00740BA7"/>
    <w:rsid w:val="00740F6D"/>
    <w:rsid w:val="00740FCA"/>
    <w:rsid w:val="007412BC"/>
    <w:rsid w:val="00741675"/>
    <w:rsid w:val="00741685"/>
    <w:rsid w:val="0074175B"/>
    <w:rsid w:val="00741838"/>
    <w:rsid w:val="00741885"/>
    <w:rsid w:val="00741A03"/>
    <w:rsid w:val="00741A2B"/>
    <w:rsid w:val="00741A2F"/>
    <w:rsid w:val="00741A34"/>
    <w:rsid w:val="00741BD9"/>
    <w:rsid w:val="00741E6E"/>
    <w:rsid w:val="007420EA"/>
    <w:rsid w:val="00742233"/>
    <w:rsid w:val="00742304"/>
    <w:rsid w:val="0074245C"/>
    <w:rsid w:val="00742657"/>
    <w:rsid w:val="00742682"/>
    <w:rsid w:val="007426C3"/>
    <w:rsid w:val="007428B8"/>
    <w:rsid w:val="00742C24"/>
    <w:rsid w:val="00742CB1"/>
    <w:rsid w:val="00742FE5"/>
    <w:rsid w:val="00742FF7"/>
    <w:rsid w:val="00743001"/>
    <w:rsid w:val="0074330A"/>
    <w:rsid w:val="007433BA"/>
    <w:rsid w:val="0074340B"/>
    <w:rsid w:val="0074348E"/>
    <w:rsid w:val="0074353A"/>
    <w:rsid w:val="00743743"/>
    <w:rsid w:val="00743935"/>
    <w:rsid w:val="007439E3"/>
    <w:rsid w:val="00743B10"/>
    <w:rsid w:val="00743CD9"/>
    <w:rsid w:val="00743DDC"/>
    <w:rsid w:val="00743E0F"/>
    <w:rsid w:val="00743E3E"/>
    <w:rsid w:val="00743ED3"/>
    <w:rsid w:val="00743F1C"/>
    <w:rsid w:val="00744134"/>
    <w:rsid w:val="00744384"/>
    <w:rsid w:val="0074443E"/>
    <w:rsid w:val="00744444"/>
    <w:rsid w:val="007444A0"/>
    <w:rsid w:val="007445BA"/>
    <w:rsid w:val="00744646"/>
    <w:rsid w:val="00744729"/>
    <w:rsid w:val="007448E3"/>
    <w:rsid w:val="00744927"/>
    <w:rsid w:val="00744A01"/>
    <w:rsid w:val="00744ADD"/>
    <w:rsid w:val="00744BA3"/>
    <w:rsid w:val="007451C1"/>
    <w:rsid w:val="00745729"/>
    <w:rsid w:val="00745838"/>
    <w:rsid w:val="0074583C"/>
    <w:rsid w:val="007458B7"/>
    <w:rsid w:val="00745908"/>
    <w:rsid w:val="0074591F"/>
    <w:rsid w:val="007459CA"/>
    <w:rsid w:val="00745C75"/>
    <w:rsid w:val="00745CAB"/>
    <w:rsid w:val="00745DF0"/>
    <w:rsid w:val="00745E5E"/>
    <w:rsid w:val="00745F63"/>
    <w:rsid w:val="007462A1"/>
    <w:rsid w:val="00746397"/>
    <w:rsid w:val="0074639E"/>
    <w:rsid w:val="007465CB"/>
    <w:rsid w:val="007466F8"/>
    <w:rsid w:val="007467B8"/>
    <w:rsid w:val="007467D1"/>
    <w:rsid w:val="007467F4"/>
    <w:rsid w:val="00746821"/>
    <w:rsid w:val="00746A4C"/>
    <w:rsid w:val="00746A60"/>
    <w:rsid w:val="00746CD1"/>
    <w:rsid w:val="00746DD2"/>
    <w:rsid w:val="007471DD"/>
    <w:rsid w:val="0074726F"/>
    <w:rsid w:val="007472E3"/>
    <w:rsid w:val="00747423"/>
    <w:rsid w:val="007477F0"/>
    <w:rsid w:val="007479D8"/>
    <w:rsid w:val="00747A4B"/>
    <w:rsid w:val="00747B41"/>
    <w:rsid w:val="00747CF8"/>
    <w:rsid w:val="00747DDD"/>
    <w:rsid w:val="00750435"/>
    <w:rsid w:val="007505A0"/>
    <w:rsid w:val="007506B3"/>
    <w:rsid w:val="007507A4"/>
    <w:rsid w:val="007508BB"/>
    <w:rsid w:val="007508F3"/>
    <w:rsid w:val="0075096D"/>
    <w:rsid w:val="007509BD"/>
    <w:rsid w:val="007509F5"/>
    <w:rsid w:val="00750B43"/>
    <w:rsid w:val="00750BDB"/>
    <w:rsid w:val="00750C86"/>
    <w:rsid w:val="00750CDC"/>
    <w:rsid w:val="00750D26"/>
    <w:rsid w:val="00750D31"/>
    <w:rsid w:val="00750D63"/>
    <w:rsid w:val="00750DD0"/>
    <w:rsid w:val="00751051"/>
    <w:rsid w:val="007511E0"/>
    <w:rsid w:val="0075124C"/>
    <w:rsid w:val="00751526"/>
    <w:rsid w:val="007515ED"/>
    <w:rsid w:val="00751670"/>
    <w:rsid w:val="0075174D"/>
    <w:rsid w:val="00751759"/>
    <w:rsid w:val="007518E5"/>
    <w:rsid w:val="007518FD"/>
    <w:rsid w:val="0075199E"/>
    <w:rsid w:val="00751AD1"/>
    <w:rsid w:val="00751B9F"/>
    <w:rsid w:val="00752387"/>
    <w:rsid w:val="007523C8"/>
    <w:rsid w:val="007523E7"/>
    <w:rsid w:val="00752491"/>
    <w:rsid w:val="007526E4"/>
    <w:rsid w:val="007527D8"/>
    <w:rsid w:val="0075284F"/>
    <w:rsid w:val="007528CC"/>
    <w:rsid w:val="007528DB"/>
    <w:rsid w:val="00752A71"/>
    <w:rsid w:val="00752A78"/>
    <w:rsid w:val="00752AD0"/>
    <w:rsid w:val="00752AF1"/>
    <w:rsid w:val="00752D26"/>
    <w:rsid w:val="00752DA1"/>
    <w:rsid w:val="00752FBC"/>
    <w:rsid w:val="00753058"/>
    <w:rsid w:val="0075324B"/>
    <w:rsid w:val="0075329C"/>
    <w:rsid w:val="00753728"/>
    <w:rsid w:val="0075390F"/>
    <w:rsid w:val="0075392E"/>
    <w:rsid w:val="007539A3"/>
    <w:rsid w:val="00753AA1"/>
    <w:rsid w:val="00753AFF"/>
    <w:rsid w:val="00753CCD"/>
    <w:rsid w:val="00753CD7"/>
    <w:rsid w:val="00753CE3"/>
    <w:rsid w:val="00753D33"/>
    <w:rsid w:val="00753DB0"/>
    <w:rsid w:val="00753E17"/>
    <w:rsid w:val="00753FC6"/>
    <w:rsid w:val="007541D4"/>
    <w:rsid w:val="0075422D"/>
    <w:rsid w:val="007544CB"/>
    <w:rsid w:val="007545B1"/>
    <w:rsid w:val="0075464B"/>
    <w:rsid w:val="0075469B"/>
    <w:rsid w:val="007547BA"/>
    <w:rsid w:val="007547C2"/>
    <w:rsid w:val="007548CB"/>
    <w:rsid w:val="00754A34"/>
    <w:rsid w:val="00754C59"/>
    <w:rsid w:val="00754D4A"/>
    <w:rsid w:val="00754D72"/>
    <w:rsid w:val="00754E8D"/>
    <w:rsid w:val="00754EF4"/>
    <w:rsid w:val="00755076"/>
    <w:rsid w:val="007551BB"/>
    <w:rsid w:val="007553A3"/>
    <w:rsid w:val="0075541E"/>
    <w:rsid w:val="00755528"/>
    <w:rsid w:val="007556FB"/>
    <w:rsid w:val="00755728"/>
    <w:rsid w:val="00755A2E"/>
    <w:rsid w:val="00755A5E"/>
    <w:rsid w:val="00755C87"/>
    <w:rsid w:val="00755C8E"/>
    <w:rsid w:val="00755CE3"/>
    <w:rsid w:val="00755D6C"/>
    <w:rsid w:val="00755E4E"/>
    <w:rsid w:val="00755EBC"/>
    <w:rsid w:val="00755F33"/>
    <w:rsid w:val="007560BF"/>
    <w:rsid w:val="00756136"/>
    <w:rsid w:val="00756272"/>
    <w:rsid w:val="007562A8"/>
    <w:rsid w:val="00756338"/>
    <w:rsid w:val="00756711"/>
    <w:rsid w:val="00756962"/>
    <w:rsid w:val="007569A9"/>
    <w:rsid w:val="00756BC1"/>
    <w:rsid w:val="00756BCA"/>
    <w:rsid w:val="00756C6B"/>
    <w:rsid w:val="00756CC7"/>
    <w:rsid w:val="00756E67"/>
    <w:rsid w:val="00756FA8"/>
    <w:rsid w:val="00757061"/>
    <w:rsid w:val="00757321"/>
    <w:rsid w:val="007573EB"/>
    <w:rsid w:val="007576D2"/>
    <w:rsid w:val="007576E3"/>
    <w:rsid w:val="00757914"/>
    <w:rsid w:val="00757B98"/>
    <w:rsid w:val="00757CD1"/>
    <w:rsid w:val="00757CF7"/>
    <w:rsid w:val="00757E47"/>
    <w:rsid w:val="00757ECA"/>
    <w:rsid w:val="00757F9A"/>
    <w:rsid w:val="00760009"/>
    <w:rsid w:val="00760753"/>
    <w:rsid w:val="007607A1"/>
    <w:rsid w:val="00760816"/>
    <w:rsid w:val="007608A5"/>
    <w:rsid w:val="007609E6"/>
    <w:rsid w:val="00760FE3"/>
    <w:rsid w:val="00761356"/>
    <w:rsid w:val="00761577"/>
    <w:rsid w:val="007616CC"/>
    <w:rsid w:val="00761700"/>
    <w:rsid w:val="0076183F"/>
    <w:rsid w:val="007619A7"/>
    <w:rsid w:val="007619A9"/>
    <w:rsid w:val="00761BF6"/>
    <w:rsid w:val="00761C18"/>
    <w:rsid w:val="00761C4B"/>
    <w:rsid w:val="00761CC4"/>
    <w:rsid w:val="00761E46"/>
    <w:rsid w:val="00761E56"/>
    <w:rsid w:val="00761EA8"/>
    <w:rsid w:val="0076209A"/>
    <w:rsid w:val="007620F0"/>
    <w:rsid w:val="007621E8"/>
    <w:rsid w:val="007621EE"/>
    <w:rsid w:val="0076229E"/>
    <w:rsid w:val="007624CE"/>
    <w:rsid w:val="007624E9"/>
    <w:rsid w:val="00762680"/>
    <w:rsid w:val="00762699"/>
    <w:rsid w:val="00762853"/>
    <w:rsid w:val="007628B4"/>
    <w:rsid w:val="00762A5B"/>
    <w:rsid w:val="00762C53"/>
    <w:rsid w:val="00762D03"/>
    <w:rsid w:val="00762FDE"/>
    <w:rsid w:val="00762FF2"/>
    <w:rsid w:val="007630EF"/>
    <w:rsid w:val="007631D0"/>
    <w:rsid w:val="0076335F"/>
    <w:rsid w:val="00763547"/>
    <w:rsid w:val="007635E6"/>
    <w:rsid w:val="00763751"/>
    <w:rsid w:val="007637FA"/>
    <w:rsid w:val="00763A4F"/>
    <w:rsid w:val="00763BDB"/>
    <w:rsid w:val="00763CDA"/>
    <w:rsid w:val="00763D3C"/>
    <w:rsid w:val="00763DEE"/>
    <w:rsid w:val="00763E1A"/>
    <w:rsid w:val="0076401E"/>
    <w:rsid w:val="00764056"/>
    <w:rsid w:val="00764064"/>
    <w:rsid w:val="00764128"/>
    <w:rsid w:val="00764199"/>
    <w:rsid w:val="0076426E"/>
    <w:rsid w:val="007642BC"/>
    <w:rsid w:val="007643BE"/>
    <w:rsid w:val="007644ED"/>
    <w:rsid w:val="0076472D"/>
    <w:rsid w:val="0076491E"/>
    <w:rsid w:val="00764A92"/>
    <w:rsid w:val="00764B24"/>
    <w:rsid w:val="00764B5D"/>
    <w:rsid w:val="00764CA1"/>
    <w:rsid w:val="00764D02"/>
    <w:rsid w:val="00764EE9"/>
    <w:rsid w:val="00764EEA"/>
    <w:rsid w:val="00764F0F"/>
    <w:rsid w:val="00764F81"/>
    <w:rsid w:val="00764FB6"/>
    <w:rsid w:val="0076501C"/>
    <w:rsid w:val="007650B5"/>
    <w:rsid w:val="00765129"/>
    <w:rsid w:val="007651A0"/>
    <w:rsid w:val="00765217"/>
    <w:rsid w:val="00765360"/>
    <w:rsid w:val="007653DA"/>
    <w:rsid w:val="00765402"/>
    <w:rsid w:val="00765452"/>
    <w:rsid w:val="0076556D"/>
    <w:rsid w:val="00765906"/>
    <w:rsid w:val="00765945"/>
    <w:rsid w:val="00765B4B"/>
    <w:rsid w:val="00765C35"/>
    <w:rsid w:val="00765C57"/>
    <w:rsid w:val="00765CAF"/>
    <w:rsid w:val="00765F6E"/>
    <w:rsid w:val="0076625D"/>
    <w:rsid w:val="00766375"/>
    <w:rsid w:val="00766390"/>
    <w:rsid w:val="007663EE"/>
    <w:rsid w:val="00766517"/>
    <w:rsid w:val="0076655A"/>
    <w:rsid w:val="0076657C"/>
    <w:rsid w:val="00766694"/>
    <w:rsid w:val="007666AB"/>
    <w:rsid w:val="007669C7"/>
    <w:rsid w:val="00766C47"/>
    <w:rsid w:val="00766C6C"/>
    <w:rsid w:val="00766D53"/>
    <w:rsid w:val="00766D59"/>
    <w:rsid w:val="00767029"/>
    <w:rsid w:val="007670D1"/>
    <w:rsid w:val="00767217"/>
    <w:rsid w:val="007672D3"/>
    <w:rsid w:val="00767346"/>
    <w:rsid w:val="007674BB"/>
    <w:rsid w:val="0076753F"/>
    <w:rsid w:val="007675A2"/>
    <w:rsid w:val="00767781"/>
    <w:rsid w:val="007678AA"/>
    <w:rsid w:val="00767905"/>
    <w:rsid w:val="00767A07"/>
    <w:rsid w:val="00767A6A"/>
    <w:rsid w:val="00767A85"/>
    <w:rsid w:val="00767AC1"/>
    <w:rsid w:val="00767CB4"/>
    <w:rsid w:val="00767DA9"/>
    <w:rsid w:val="00767DBA"/>
    <w:rsid w:val="00767F38"/>
    <w:rsid w:val="00767FC9"/>
    <w:rsid w:val="00770128"/>
    <w:rsid w:val="007701A5"/>
    <w:rsid w:val="007701DE"/>
    <w:rsid w:val="007704D4"/>
    <w:rsid w:val="0077051B"/>
    <w:rsid w:val="00770525"/>
    <w:rsid w:val="007705B5"/>
    <w:rsid w:val="00770624"/>
    <w:rsid w:val="0077063D"/>
    <w:rsid w:val="007709E5"/>
    <w:rsid w:val="00770ADF"/>
    <w:rsid w:val="00770B95"/>
    <w:rsid w:val="00770FBF"/>
    <w:rsid w:val="007711F1"/>
    <w:rsid w:val="0077128C"/>
    <w:rsid w:val="007713E2"/>
    <w:rsid w:val="00771500"/>
    <w:rsid w:val="00771AA3"/>
    <w:rsid w:val="00771DFB"/>
    <w:rsid w:val="00771E6A"/>
    <w:rsid w:val="00771F42"/>
    <w:rsid w:val="007721FD"/>
    <w:rsid w:val="0077229A"/>
    <w:rsid w:val="00772436"/>
    <w:rsid w:val="007724AA"/>
    <w:rsid w:val="007724CC"/>
    <w:rsid w:val="00772519"/>
    <w:rsid w:val="007726BC"/>
    <w:rsid w:val="00772B46"/>
    <w:rsid w:val="00772B63"/>
    <w:rsid w:val="00772CCB"/>
    <w:rsid w:val="00772CEC"/>
    <w:rsid w:val="00772F48"/>
    <w:rsid w:val="00772FA6"/>
    <w:rsid w:val="007730F1"/>
    <w:rsid w:val="0077316A"/>
    <w:rsid w:val="007731C4"/>
    <w:rsid w:val="00773282"/>
    <w:rsid w:val="00773295"/>
    <w:rsid w:val="00773464"/>
    <w:rsid w:val="0077349D"/>
    <w:rsid w:val="007734F5"/>
    <w:rsid w:val="0077350A"/>
    <w:rsid w:val="007735EC"/>
    <w:rsid w:val="007737BA"/>
    <w:rsid w:val="00773846"/>
    <w:rsid w:val="00773B5F"/>
    <w:rsid w:val="00773C3E"/>
    <w:rsid w:val="00773CFE"/>
    <w:rsid w:val="00773F86"/>
    <w:rsid w:val="00774111"/>
    <w:rsid w:val="007743A6"/>
    <w:rsid w:val="007743B7"/>
    <w:rsid w:val="007743D1"/>
    <w:rsid w:val="007743E6"/>
    <w:rsid w:val="00774507"/>
    <w:rsid w:val="00774559"/>
    <w:rsid w:val="0077460C"/>
    <w:rsid w:val="00774A02"/>
    <w:rsid w:val="00774B5B"/>
    <w:rsid w:val="00774E88"/>
    <w:rsid w:val="00775028"/>
    <w:rsid w:val="00775054"/>
    <w:rsid w:val="00775297"/>
    <w:rsid w:val="00775735"/>
    <w:rsid w:val="0077584D"/>
    <w:rsid w:val="007758F3"/>
    <w:rsid w:val="00775A8C"/>
    <w:rsid w:val="00775B32"/>
    <w:rsid w:val="00775E16"/>
    <w:rsid w:val="007760F4"/>
    <w:rsid w:val="00776120"/>
    <w:rsid w:val="00776209"/>
    <w:rsid w:val="007763C1"/>
    <w:rsid w:val="0077646F"/>
    <w:rsid w:val="00776480"/>
    <w:rsid w:val="00776554"/>
    <w:rsid w:val="00776703"/>
    <w:rsid w:val="007767EF"/>
    <w:rsid w:val="00776A41"/>
    <w:rsid w:val="00776CE7"/>
    <w:rsid w:val="00776D22"/>
    <w:rsid w:val="00776EF2"/>
    <w:rsid w:val="00776F7A"/>
    <w:rsid w:val="007772CB"/>
    <w:rsid w:val="00777469"/>
    <w:rsid w:val="0077784F"/>
    <w:rsid w:val="00777893"/>
    <w:rsid w:val="00777914"/>
    <w:rsid w:val="00777C67"/>
    <w:rsid w:val="00777D74"/>
    <w:rsid w:val="00777FC1"/>
    <w:rsid w:val="00777FC2"/>
    <w:rsid w:val="00780053"/>
    <w:rsid w:val="007800C0"/>
    <w:rsid w:val="00780394"/>
    <w:rsid w:val="00780477"/>
    <w:rsid w:val="00780505"/>
    <w:rsid w:val="007805C5"/>
    <w:rsid w:val="007805DC"/>
    <w:rsid w:val="007806CE"/>
    <w:rsid w:val="007806D7"/>
    <w:rsid w:val="00780956"/>
    <w:rsid w:val="0078098A"/>
    <w:rsid w:val="00780ADD"/>
    <w:rsid w:val="00780B26"/>
    <w:rsid w:val="00780B3E"/>
    <w:rsid w:val="00780B9D"/>
    <w:rsid w:val="00780BE3"/>
    <w:rsid w:val="00780BED"/>
    <w:rsid w:val="00780D73"/>
    <w:rsid w:val="00780D81"/>
    <w:rsid w:val="00780D9A"/>
    <w:rsid w:val="00780DF0"/>
    <w:rsid w:val="00780E03"/>
    <w:rsid w:val="00780E45"/>
    <w:rsid w:val="0078102B"/>
    <w:rsid w:val="007814C3"/>
    <w:rsid w:val="00781501"/>
    <w:rsid w:val="0078151E"/>
    <w:rsid w:val="00781653"/>
    <w:rsid w:val="007816BB"/>
    <w:rsid w:val="00781702"/>
    <w:rsid w:val="0078189E"/>
    <w:rsid w:val="00781923"/>
    <w:rsid w:val="00781990"/>
    <w:rsid w:val="00781A2D"/>
    <w:rsid w:val="00781BA0"/>
    <w:rsid w:val="00781BBA"/>
    <w:rsid w:val="00781C0C"/>
    <w:rsid w:val="00781C46"/>
    <w:rsid w:val="00781D78"/>
    <w:rsid w:val="00781D95"/>
    <w:rsid w:val="00781F65"/>
    <w:rsid w:val="00782087"/>
    <w:rsid w:val="007820A0"/>
    <w:rsid w:val="007821B4"/>
    <w:rsid w:val="0078221D"/>
    <w:rsid w:val="00782227"/>
    <w:rsid w:val="0078224F"/>
    <w:rsid w:val="00782292"/>
    <w:rsid w:val="0078230B"/>
    <w:rsid w:val="0078231F"/>
    <w:rsid w:val="007827A8"/>
    <w:rsid w:val="0078288F"/>
    <w:rsid w:val="00782AD2"/>
    <w:rsid w:val="00782D46"/>
    <w:rsid w:val="00782DA0"/>
    <w:rsid w:val="0078301F"/>
    <w:rsid w:val="007830C2"/>
    <w:rsid w:val="007831A4"/>
    <w:rsid w:val="00783389"/>
    <w:rsid w:val="0078347F"/>
    <w:rsid w:val="007834E8"/>
    <w:rsid w:val="007835B8"/>
    <w:rsid w:val="0078378E"/>
    <w:rsid w:val="007837C1"/>
    <w:rsid w:val="0078383C"/>
    <w:rsid w:val="007838C8"/>
    <w:rsid w:val="0078391A"/>
    <w:rsid w:val="00783938"/>
    <w:rsid w:val="007839F4"/>
    <w:rsid w:val="00783BCF"/>
    <w:rsid w:val="00783FE8"/>
    <w:rsid w:val="00784033"/>
    <w:rsid w:val="0078426F"/>
    <w:rsid w:val="00784408"/>
    <w:rsid w:val="007848BC"/>
    <w:rsid w:val="00784A01"/>
    <w:rsid w:val="00784A4B"/>
    <w:rsid w:val="00784B43"/>
    <w:rsid w:val="00784D67"/>
    <w:rsid w:val="0078506B"/>
    <w:rsid w:val="0078529F"/>
    <w:rsid w:val="0078534D"/>
    <w:rsid w:val="007853C1"/>
    <w:rsid w:val="007853C3"/>
    <w:rsid w:val="007855E3"/>
    <w:rsid w:val="0078561A"/>
    <w:rsid w:val="0078582D"/>
    <w:rsid w:val="007858E0"/>
    <w:rsid w:val="007858E3"/>
    <w:rsid w:val="007859E5"/>
    <w:rsid w:val="007859EE"/>
    <w:rsid w:val="00785B97"/>
    <w:rsid w:val="00785BF9"/>
    <w:rsid w:val="00785C4E"/>
    <w:rsid w:val="00785D74"/>
    <w:rsid w:val="00785EA3"/>
    <w:rsid w:val="00785EAC"/>
    <w:rsid w:val="007860DF"/>
    <w:rsid w:val="0078618A"/>
    <w:rsid w:val="00786216"/>
    <w:rsid w:val="00786274"/>
    <w:rsid w:val="0078644D"/>
    <w:rsid w:val="00786563"/>
    <w:rsid w:val="00786652"/>
    <w:rsid w:val="00786665"/>
    <w:rsid w:val="00786800"/>
    <w:rsid w:val="00786A4E"/>
    <w:rsid w:val="00786BC9"/>
    <w:rsid w:val="00786F23"/>
    <w:rsid w:val="00786FEA"/>
    <w:rsid w:val="00787026"/>
    <w:rsid w:val="007871BC"/>
    <w:rsid w:val="00787390"/>
    <w:rsid w:val="00787397"/>
    <w:rsid w:val="007874E0"/>
    <w:rsid w:val="0078769A"/>
    <w:rsid w:val="00787747"/>
    <w:rsid w:val="00787785"/>
    <w:rsid w:val="007878C8"/>
    <w:rsid w:val="007878FF"/>
    <w:rsid w:val="0078795A"/>
    <w:rsid w:val="00787A57"/>
    <w:rsid w:val="00787AFD"/>
    <w:rsid w:val="00787C21"/>
    <w:rsid w:val="00787C6B"/>
    <w:rsid w:val="00787D0C"/>
    <w:rsid w:val="00790002"/>
    <w:rsid w:val="00790078"/>
    <w:rsid w:val="0079014D"/>
    <w:rsid w:val="0079022E"/>
    <w:rsid w:val="0079023F"/>
    <w:rsid w:val="0079052B"/>
    <w:rsid w:val="00790689"/>
    <w:rsid w:val="007907BB"/>
    <w:rsid w:val="00790816"/>
    <w:rsid w:val="0079087F"/>
    <w:rsid w:val="00790E93"/>
    <w:rsid w:val="00790F72"/>
    <w:rsid w:val="00790FD5"/>
    <w:rsid w:val="00791118"/>
    <w:rsid w:val="0079112A"/>
    <w:rsid w:val="007912C0"/>
    <w:rsid w:val="00791330"/>
    <w:rsid w:val="007913FC"/>
    <w:rsid w:val="007915AC"/>
    <w:rsid w:val="007916FA"/>
    <w:rsid w:val="0079178C"/>
    <w:rsid w:val="00791818"/>
    <w:rsid w:val="007918C9"/>
    <w:rsid w:val="007919DE"/>
    <w:rsid w:val="00791A55"/>
    <w:rsid w:val="00791B6F"/>
    <w:rsid w:val="00791CF0"/>
    <w:rsid w:val="00791DB2"/>
    <w:rsid w:val="00792050"/>
    <w:rsid w:val="0079215B"/>
    <w:rsid w:val="00792205"/>
    <w:rsid w:val="007922A5"/>
    <w:rsid w:val="007922E5"/>
    <w:rsid w:val="00792471"/>
    <w:rsid w:val="0079254B"/>
    <w:rsid w:val="00792766"/>
    <w:rsid w:val="0079288F"/>
    <w:rsid w:val="00792A09"/>
    <w:rsid w:val="00792A2E"/>
    <w:rsid w:val="00792AA7"/>
    <w:rsid w:val="00792B99"/>
    <w:rsid w:val="00792BDF"/>
    <w:rsid w:val="00792C80"/>
    <w:rsid w:val="00792CD5"/>
    <w:rsid w:val="00792DED"/>
    <w:rsid w:val="00792E96"/>
    <w:rsid w:val="00793223"/>
    <w:rsid w:val="007932B4"/>
    <w:rsid w:val="00793665"/>
    <w:rsid w:val="00793675"/>
    <w:rsid w:val="00793837"/>
    <w:rsid w:val="00793964"/>
    <w:rsid w:val="007939B5"/>
    <w:rsid w:val="00793A62"/>
    <w:rsid w:val="00793D74"/>
    <w:rsid w:val="00793FB4"/>
    <w:rsid w:val="0079408A"/>
    <w:rsid w:val="0079417F"/>
    <w:rsid w:val="0079425A"/>
    <w:rsid w:val="007942BF"/>
    <w:rsid w:val="0079434E"/>
    <w:rsid w:val="00794443"/>
    <w:rsid w:val="0079456D"/>
    <w:rsid w:val="007945A1"/>
    <w:rsid w:val="0079478C"/>
    <w:rsid w:val="007947AC"/>
    <w:rsid w:val="0079498D"/>
    <w:rsid w:val="00794C63"/>
    <w:rsid w:val="00794E92"/>
    <w:rsid w:val="00794FAD"/>
    <w:rsid w:val="00795084"/>
    <w:rsid w:val="007951C9"/>
    <w:rsid w:val="007952FE"/>
    <w:rsid w:val="007953CB"/>
    <w:rsid w:val="00795419"/>
    <w:rsid w:val="007955ED"/>
    <w:rsid w:val="0079563E"/>
    <w:rsid w:val="007956FC"/>
    <w:rsid w:val="00795722"/>
    <w:rsid w:val="0079588F"/>
    <w:rsid w:val="00795AA6"/>
    <w:rsid w:val="00795B51"/>
    <w:rsid w:val="00795C2E"/>
    <w:rsid w:val="00795CED"/>
    <w:rsid w:val="00795DAB"/>
    <w:rsid w:val="00795DEC"/>
    <w:rsid w:val="00795E31"/>
    <w:rsid w:val="00795E5F"/>
    <w:rsid w:val="00795E7E"/>
    <w:rsid w:val="00795EBD"/>
    <w:rsid w:val="00795ED7"/>
    <w:rsid w:val="00795F85"/>
    <w:rsid w:val="0079616D"/>
    <w:rsid w:val="007965B1"/>
    <w:rsid w:val="00796681"/>
    <w:rsid w:val="00796688"/>
    <w:rsid w:val="007968D6"/>
    <w:rsid w:val="0079697C"/>
    <w:rsid w:val="00796C4C"/>
    <w:rsid w:val="00796E3B"/>
    <w:rsid w:val="00796E72"/>
    <w:rsid w:val="00797036"/>
    <w:rsid w:val="007971ED"/>
    <w:rsid w:val="00797221"/>
    <w:rsid w:val="007972FA"/>
    <w:rsid w:val="007973F6"/>
    <w:rsid w:val="007974DC"/>
    <w:rsid w:val="0079750F"/>
    <w:rsid w:val="00797753"/>
    <w:rsid w:val="007977C8"/>
    <w:rsid w:val="007979B9"/>
    <w:rsid w:val="00797A7C"/>
    <w:rsid w:val="00797DA8"/>
    <w:rsid w:val="00797EDC"/>
    <w:rsid w:val="00797F5E"/>
    <w:rsid w:val="00797FBA"/>
    <w:rsid w:val="007A008E"/>
    <w:rsid w:val="007A00D2"/>
    <w:rsid w:val="007A03AB"/>
    <w:rsid w:val="007A06EF"/>
    <w:rsid w:val="007A07A7"/>
    <w:rsid w:val="007A0980"/>
    <w:rsid w:val="007A09BC"/>
    <w:rsid w:val="007A09CB"/>
    <w:rsid w:val="007A09D1"/>
    <w:rsid w:val="007A0B5B"/>
    <w:rsid w:val="007A0CCC"/>
    <w:rsid w:val="007A0FF3"/>
    <w:rsid w:val="007A11E3"/>
    <w:rsid w:val="007A1428"/>
    <w:rsid w:val="007A1527"/>
    <w:rsid w:val="007A16AC"/>
    <w:rsid w:val="007A177D"/>
    <w:rsid w:val="007A189F"/>
    <w:rsid w:val="007A1B44"/>
    <w:rsid w:val="007A1E72"/>
    <w:rsid w:val="007A1FE3"/>
    <w:rsid w:val="007A206D"/>
    <w:rsid w:val="007A20FF"/>
    <w:rsid w:val="007A217F"/>
    <w:rsid w:val="007A2275"/>
    <w:rsid w:val="007A23B7"/>
    <w:rsid w:val="007A24FE"/>
    <w:rsid w:val="007A2529"/>
    <w:rsid w:val="007A25C4"/>
    <w:rsid w:val="007A269D"/>
    <w:rsid w:val="007A284F"/>
    <w:rsid w:val="007A296E"/>
    <w:rsid w:val="007A2AF5"/>
    <w:rsid w:val="007A2F3A"/>
    <w:rsid w:val="007A3166"/>
    <w:rsid w:val="007A3237"/>
    <w:rsid w:val="007A33E2"/>
    <w:rsid w:val="007A3419"/>
    <w:rsid w:val="007A36D3"/>
    <w:rsid w:val="007A373C"/>
    <w:rsid w:val="007A37E3"/>
    <w:rsid w:val="007A3968"/>
    <w:rsid w:val="007A3C3B"/>
    <w:rsid w:val="007A3CA2"/>
    <w:rsid w:val="007A3DDE"/>
    <w:rsid w:val="007A40CF"/>
    <w:rsid w:val="007A410A"/>
    <w:rsid w:val="007A4227"/>
    <w:rsid w:val="007A43F3"/>
    <w:rsid w:val="007A463B"/>
    <w:rsid w:val="007A4917"/>
    <w:rsid w:val="007A4AF9"/>
    <w:rsid w:val="007A4C6D"/>
    <w:rsid w:val="007A4DE2"/>
    <w:rsid w:val="007A4DF9"/>
    <w:rsid w:val="007A5076"/>
    <w:rsid w:val="007A50DC"/>
    <w:rsid w:val="007A51F8"/>
    <w:rsid w:val="007A522C"/>
    <w:rsid w:val="007A528C"/>
    <w:rsid w:val="007A52A7"/>
    <w:rsid w:val="007A552F"/>
    <w:rsid w:val="007A5747"/>
    <w:rsid w:val="007A5977"/>
    <w:rsid w:val="007A5A4A"/>
    <w:rsid w:val="007A5F2B"/>
    <w:rsid w:val="007A60D1"/>
    <w:rsid w:val="007A6571"/>
    <w:rsid w:val="007A65CF"/>
    <w:rsid w:val="007A6647"/>
    <w:rsid w:val="007A6A99"/>
    <w:rsid w:val="007A6AC7"/>
    <w:rsid w:val="007A6B55"/>
    <w:rsid w:val="007A6BF5"/>
    <w:rsid w:val="007A6CAD"/>
    <w:rsid w:val="007A6CF3"/>
    <w:rsid w:val="007A6D9F"/>
    <w:rsid w:val="007A72DE"/>
    <w:rsid w:val="007A735F"/>
    <w:rsid w:val="007A7545"/>
    <w:rsid w:val="007A775C"/>
    <w:rsid w:val="007A784F"/>
    <w:rsid w:val="007A78B5"/>
    <w:rsid w:val="007A7A4F"/>
    <w:rsid w:val="007A7AA2"/>
    <w:rsid w:val="007A7C5B"/>
    <w:rsid w:val="007A7D00"/>
    <w:rsid w:val="007A7D6E"/>
    <w:rsid w:val="007A7DE0"/>
    <w:rsid w:val="007B02A2"/>
    <w:rsid w:val="007B0454"/>
    <w:rsid w:val="007B0457"/>
    <w:rsid w:val="007B04CB"/>
    <w:rsid w:val="007B0568"/>
    <w:rsid w:val="007B0858"/>
    <w:rsid w:val="007B09EE"/>
    <w:rsid w:val="007B0E01"/>
    <w:rsid w:val="007B0ECD"/>
    <w:rsid w:val="007B107F"/>
    <w:rsid w:val="007B1276"/>
    <w:rsid w:val="007B142C"/>
    <w:rsid w:val="007B147E"/>
    <w:rsid w:val="007B14BC"/>
    <w:rsid w:val="007B1640"/>
    <w:rsid w:val="007B16C1"/>
    <w:rsid w:val="007B17A0"/>
    <w:rsid w:val="007B1D87"/>
    <w:rsid w:val="007B207B"/>
    <w:rsid w:val="007B21FB"/>
    <w:rsid w:val="007B22D2"/>
    <w:rsid w:val="007B23D1"/>
    <w:rsid w:val="007B25DD"/>
    <w:rsid w:val="007B280E"/>
    <w:rsid w:val="007B28C6"/>
    <w:rsid w:val="007B2989"/>
    <w:rsid w:val="007B299A"/>
    <w:rsid w:val="007B29B9"/>
    <w:rsid w:val="007B2B45"/>
    <w:rsid w:val="007B2BBA"/>
    <w:rsid w:val="007B2DFD"/>
    <w:rsid w:val="007B2F33"/>
    <w:rsid w:val="007B2FFC"/>
    <w:rsid w:val="007B3090"/>
    <w:rsid w:val="007B30B2"/>
    <w:rsid w:val="007B30EB"/>
    <w:rsid w:val="007B31FB"/>
    <w:rsid w:val="007B348A"/>
    <w:rsid w:val="007B3721"/>
    <w:rsid w:val="007B37EB"/>
    <w:rsid w:val="007B396E"/>
    <w:rsid w:val="007B3A20"/>
    <w:rsid w:val="007B3BD4"/>
    <w:rsid w:val="007B3F04"/>
    <w:rsid w:val="007B4163"/>
    <w:rsid w:val="007B4281"/>
    <w:rsid w:val="007B43D4"/>
    <w:rsid w:val="007B453E"/>
    <w:rsid w:val="007B46AA"/>
    <w:rsid w:val="007B475D"/>
    <w:rsid w:val="007B4807"/>
    <w:rsid w:val="007B4936"/>
    <w:rsid w:val="007B4B80"/>
    <w:rsid w:val="007B4F08"/>
    <w:rsid w:val="007B4F72"/>
    <w:rsid w:val="007B4F73"/>
    <w:rsid w:val="007B4FF9"/>
    <w:rsid w:val="007B513F"/>
    <w:rsid w:val="007B532B"/>
    <w:rsid w:val="007B54BA"/>
    <w:rsid w:val="007B5503"/>
    <w:rsid w:val="007B559F"/>
    <w:rsid w:val="007B56DF"/>
    <w:rsid w:val="007B56F6"/>
    <w:rsid w:val="007B5933"/>
    <w:rsid w:val="007B5992"/>
    <w:rsid w:val="007B599B"/>
    <w:rsid w:val="007B5A01"/>
    <w:rsid w:val="007B5B99"/>
    <w:rsid w:val="007B5C75"/>
    <w:rsid w:val="007B5CBE"/>
    <w:rsid w:val="007B5D84"/>
    <w:rsid w:val="007B6153"/>
    <w:rsid w:val="007B6309"/>
    <w:rsid w:val="007B6435"/>
    <w:rsid w:val="007B64B2"/>
    <w:rsid w:val="007B6916"/>
    <w:rsid w:val="007B6B36"/>
    <w:rsid w:val="007B6BCE"/>
    <w:rsid w:val="007B6C86"/>
    <w:rsid w:val="007B6D78"/>
    <w:rsid w:val="007B6DC2"/>
    <w:rsid w:val="007B6F69"/>
    <w:rsid w:val="007B704E"/>
    <w:rsid w:val="007B7110"/>
    <w:rsid w:val="007B7297"/>
    <w:rsid w:val="007B7533"/>
    <w:rsid w:val="007B764A"/>
    <w:rsid w:val="007B76C4"/>
    <w:rsid w:val="007B7A26"/>
    <w:rsid w:val="007B7ADD"/>
    <w:rsid w:val="007B7AE8"/>
    <w:rsid w:val="007B7C8F"/>
    <w:rsid w:val="007B7CA7"/>
    <w:rsid w:val="007B7EC3"/>
    <w:rsid w:val="007B7EDB"/>
    <w:rsid w:val="007C042F"/>
    <w:rsid w:val="007C08DE"/>
    <w:rsid w:val="007C0B72"/>
    <w:rsid w:val="007C0CCE"/>
    <w:rsid w:val="007C0EFB"/>
    <w:rsid w:val="007C159B"/>
    <w:rsid w:val="007C1718"/>
    <w:rsid w:val="007C19EC"/>
    <w:rsid w:val="007C1B5C"/>
    <w:rsid w:val="007C1C49"/>
    <w:rsid w:val="007C1DD2"/>
    <w:rsid w:val="007C1DD4"/>
    <w:rsid w:val="007C1FE1"/>
    <w:rsid w:val="007C205F"/>
    <w:rsid w:val="007C211C"/>
    <w:rsid w:val="007C21B0"/>
    <w:rsid w:val="007C21DD"/>
    <w:rsid w:val="007C2218"/>
    <w:rsid w:val="007C2435"/>
    <w:rsid w:val="007C2486"/>
    <w:rsid w:val="007C26D7"/>
    <w:rsid w:val="007C287A"/>
    <w:rsid w:val="007C295B"/>
    <w:rsid w:val="007C2AD2"/>
    <w:rsid w:val="007C2BE4"/>
    <w:rsid w:val="007C2C5A"/>
    <w:rsid w:val="007C2D6E"/>
    <w:rsid w:val="007C2E6A"/>
    <w:rsid w:val="007C2F0C"/>
    <w:rsid w:val="007C3048"/>
    <w:rsid w:val="007C30C2"/>
    <w:rsid w:val="007C32E9"/>
    <w:rsid w:val="007C3315"/>
    <w:rsid w:val="007C347B"/>
    <w:rsid w:val="007C364F"/>
    <w:rsid w:val="007C380C"/>
    <w:rsid w:val="007C38C8"/>
    <w:rsid w:val="007C3993"/>
    <w:rsid w:val="007C39D0"/>
    <w:rsid w:val="007C3B13"/>
    <w:rsid w:val="007C3CE6"/>
    <w:rsid w:val="007C3D07"/>
    <w:rsid w:val="007C3F1D"/>
    <w:rsid w:val="007C400C"/>
    <w:rsid w:val="007C4187"/>
    <w:rsid w:val="007C4A6F"/>
    <w:rsid w:val="007C4AE2"/>
    <w:rsid w:val="007C4B9E"/>
    <w:rsid w:val="007C4CA0"/>
    <w:rsid w:val="007C4DB5"/>
    <w:rsid w:val="007C4DE6"/>
    <w:rsid w:val="007C4EA0"/>
    <w:rsid w:val="007C4EF7"/>
    <w:rsid w:val="007C504E"/>
    <w:rsid w:val="007C5396"/>
    <w:rsid w:val="007C5504"/>
    <w:rsid w:val="007C5994"/>
    <w:rsid w:val="007C59DB"/>
    <w:rsid w:val="007C5BBE"/>
    <w:rsid w:val="007C5BCB"/>
    <w:rsid w:val="007C5D33"/>
    <w:rsid w:val="007C5D60"/>
    <w:rsid w:val="007C5F25"/>
    <w:rsid w:val="007C6059"/>
    <w:rsid w:val="007C614A"/>
    <w:rsid w:val="007C622C"/>
    <w:rsid w:val="007C626E"/>
    <w:rsid w:val="007C648D"/>
    <w:rsid w:val="007C64F6"/>
    <w:rsid w:val="007C6779"/>
    <w:rsid w:val="007C6803"/>
    <w:rsid w:val="007C6887"/>
    <w:rsid w:val="007C6C5C"/>
    <w:rsid w:val="007C6C8D"/>
    <w:rsid w:val="007C6CAA"/>
    <w:rsid w:val="007C6EB6"/>
    <w:rsid w:val="007C6ED1"/>
    <w:rsid w:val="007C6F43"/>
    <w:rsid w:val="007C7103"/>
    <w:rsid w:val="007C718F"/>
    <w:rsid w:val="007C72E5"/>
    <w:rsid w:val="007C73DF"/>
    <w:rsid w:val="007C73F6"/>
    <w:rsid w:val="007C76DF"/>
    <w:rsid w:val="007C79D9"/>
    <w:rsid w:val="007C7B3D"/>
    <w:rsid w:val="007C7F69"/>
    <w:rsid w:val="007D00A9"/>
    <w:rsid w:val="007D0301"/>
    <w:rsid w:val="007D0395"/>
    <w:rsid w:val="007D0722"/>
    <w:rsid w:val="007D07B6"/>
    <w:rsid w:val="007D07D7"/>
    <w:rsid w:val="007D08BF"/>
    <w:rsid w:val="007D0A04"/>
    <w:rsid w:val="007D0B2E"/>
    <w:rsid w:val="007D0BF4"/>
    <w:rsid w:val="007D0D18"/>
    <w:rsid w:val="007D0D59"/>
    <w:rsid w:val="007D0DC7"/>
    <w:rsid w:val="007D0E50"/>
    <w:rsid w:val="007D0F25"/>
    <w:rsid w:val="007D12B1"/>
    <w:rsid w:val="007D131C"/>
    <w:rsid w:val="007D154E"/>
    <w:rsid w:val="007D17E9"/>
    <w:rsid w:val="007D1A16"/>
    <w:rsid w:val="007D1AB1"/>
    <w:rsid w:val="007D1ABD"/>
    <w:rsid w:val="007D1AEA"/>
    <w:rsid w:val="007D1E30"/>
    <w:rsid w:val="007D1F82"/>
    <w:rsid w:val="007D2068"/>
    <w:rsid w:val="007D2084"/>
    <w:rsid w:val="007D2119"/>
    <w:rsid w:val="007D22B8"/>
    <w:rsid w:val="007D2385"/>
    <w:rsid w:val="007D25F9"/>
    <w:rsid w:val="007D28AF"/>
    <w:rsid w:val="007D2920"/>
    <w:rsid w:val="007D2A95"/>
    <w:rsid w:val="007D2C30"/>
    <w:rsid w:val="007D2DDD"/>
    <w:rsid w:val="007D2ED8"/>
    <w:rsid w:val="007D3281"/>
    <w:rsid w:val="007D33E2"/>
    <w:rsid w:val="007D33F1"/>
    <w:rsid w:val="007D34C7"/>
    <w:rsid w:val="007D3688"/>
    <w:rsid w:val="007D3810"/>
    <w:rsid w:val="007D3827"/>
    <w:rsid w:val="007D387C"/>
    <w:rsid w:val="007D389C"/>
    <w:rsid w:val="007D3914"/>
    <w:rsid w:val="007D396F"/>
    <w:rsid w:val="007D3CDC"/>
    <w:rsid w:val="007D3D40"/>
    <w:rsid w:val="007D3D86"/>
    <w:rsid w:val="007D3D97"/>
    <w:rsid w:val="007D3DEC"/>
    <w:rsid w:val="007D3E3C"/>
    <w:rsid w:val="007D3E5F"/>
    <w:rsid w:val="007D4041"/>
    <w:rsid w:val="007D4042"/>
    <w:rsid w:val="007D4079"/>
    <w:rsid w:val="007D40F6"/>
    <w:rsid w:val="007D424F"/>
    <w:rsid w:val="007D42DF"/>
    <w:rsid w:val="007D43C6"/>
    <w:rsid w:val="007D44E6"/>
    <w:rsid w:val="007D4568"/>
    <w:rsid w:val="007D458B"/>
    <w:rsid w:val="007D45B6"/>
    <w:rsid w:val="007D45F7"/>
    <w:rsid w:val="007D47E3"/>
    <w:rsid w:val="007D48DC"/>
    <w:rsid w:val="007D499D"/>
    <w:rsid w:val="007D4AFB"/>
    <w:rsid w:val="007D4D46"/>
    <w:rsid w:val="007D4D88"/>
    <w:rsid w:val="007D4F3E"/>
    <w:rsid w:val="007D530C"/>
    <w:rsid w:val="007D5342"/>
    <w:rsid w:val="007D54F3"/>
    <w:rsid w:val="007D5582"/>
    <w:rsid w:val="007D57DA"/>
    <w:rsid w:val="007D591D"/>
    <w:rsid w:val="007D5B34"/>
    <w:rsid w:val="007D5C2E"/>
    <w:rsid w:val="007D5CA7"/>
    <w:rsid w:val="007D5D14"/>
    <w:rsid w:val="007D5EAF"/>
    <w:rsid w:val="007D5F90"/>
    <w:rsid w:val="007D5FE4"/>
    <w:rsid w:val="007D605F"/>
    <w:rsid w:val="007D6144"/>
    <w:rsid w:val="007D625B"/>
    <w:rsid w:val="007D65C1"/>
    <w:rsid w:val="007D66B1"/>
    <w:rsid w:val="007D68B8"/>
    <w:rsid w:val="007D6B26"/>
    <w:rsid w:val="007D6B98"/>
    <w:rsid w:val="007D6C0D"/>
    <w:rsid w:val="007D6D25"/>
    <w:rsid w:val="007D6EBD"/>
    <w:rsid w:val="007D6EFC"/>
    <w:rsid w:val="007D6FE4"/>
    <w:rsid w:val="007D70E7"/>
    <w:rsid w:val="007D71B6"/>
    <w:rsid w:val="007D71D3"/>
    <w:rsid w:val="007D7228"/>
    <w:rsid w:val="007D7327"/>
    <w:rsid w:val="007D732C"/>
    <w:rsid w:val="007D74BD"/>
    <w:rsid w:val="007D7509"/>
    <w:rsid w:val="007D7549"/>
    <w:rsid w:val="007D75E8"/>
    <w:rsid w:val="007D76FC"/>
    <w:rsid w:val="007D7AC5"/>
    <w:rsid w:val="007D7ADB"/>
    <w:rsid w:val="007D7F75"/>
    <w:rsid w:val="007D7FCD"/>
    <w:rsid w:val="007E004E"/>
    <w:rsid w:val="007E0073"/>
    <w:rsid w:val="007E012B"/>
    <w:rsid w:val="007E019A"/>
    <w:rsid w:val="007E021A"/>
    <w:rsid w:val="007E0417"/>
    <w:rsid w:val="007E059E"/>
    <w:rsid w:val="007E0630"/>
    <w:rsid w:val="007E0640"/>
    <w:rsid w:val="007E0683"/>
    <w:rsid w:val="007E075C"/>
    <w:rsid w:val="007E0780"/>
    <w:rsid w:val="007E078A"/>
    <w:rsid w:val="007E0B35"/>
    <w:rsid w:val="007E0DE5"/>
    <w:rsid w:val="007E0DF7"/>
    <w:rsid w:val="007E0F34"/>
    <w:rsid w:val="007E0F61"/>
    <w:rsid w:val="007E11A0"/>
    <w:rsid w:val="007E120C"/>
    <w:rsid w:val="007E13F4"/>
    <w:rsid w:val="007E1413"/>
    <w:rsid w:val="007E147F"/>
    <w:rsid w:val="007E14F2"/>
    <w:rsid w:val="007E1544"/>
    <w:rsid w:val="007E1549"/>
    <w:rsid w:val="007E1779"/>
    <w:rsid w:val="007E18C3"/>
    <w:rsid w:val="007E1A76"/>
    <w:rsid w:val="007E1D14"/>
    <w:rsid w:val="007E1D2E"/>
    <w:rsid w:val="007E1D38"/>
    <w:rsid w:val="007E1DB3"/>
    <w:rsid w:val="007E200A"/>
    <w:rsid w:val="007E2268"/>
    <w:rsid w:val="007E228C"/>
    <w:rsid w:val="007E22A9"/>
    <w:rsid w:val="007E23DA"/>
    <w:rsid w:val="007E2416"/>
    <w:rsid w:val="007E2554"/>
    <w:rsid w:val="007E27BB"/>
    <w:rsid w:val="007E2833"/>
    <w:rsid w:val="007E286C"/>
    <w:rsid w:val="007E29F5"/>
    <w:rsid w:val="007E2B41"/>
    <w:rsid w:val="007E2E4D"/>
    <w:rsid w:val="007E2E8A"/>
    <w:rsid w:val="007E30A5"/>
    <w:rsid w:val="007E30EB"/>
    <w:rsid w:val="007E3258"/>
    <w:rsid w:val="007E351D"/>
    <w:rsid w:val="007E356F"/>
    <w:rsid w:val="007E3615"/>
    <w:rsid w:val="007E3706"/>
    <w:rsid w:val="007E39CE"/>
    <w:rsid w:val="007E39F7"/>
    <w:rsid w:val="007E3B4B"/>
    <w:rsid w:val="007E3BC1"/>
    <w:rsid w:val="007E3C9B"/>
    <w:rsid w:val="007E3E24"/>
    <w:rsid w:val="007E3E2A"/>
    <w:rsid w:val="007E3FA9"/>
    <w:rsid w:val="007E424A"/>
    <w:rsid w:val="007E4277"/>
    <w:rsid w:val="007E42A7"/>
    <w:rsid w:val="007E42AB"/>
    <w:rsid w:val="007E43CB"/>
    <w:rsid w:val="007E4583"/>
    <w:rsid w:val="007E486E"/>
    <w:rsid w:val="007E4880"/>
    <w:rsid w:val="007E49A6"/>
    <w:rsid w:val="007E49B8"/>
    <w:rsid w:val="007E4BF9"/>
    <w:rsid w:val="007E5159"/>
    <w:rsid w:val="007E539E"/>
    <w:rsid w:val="007E545E"/>
    <w:rsid w:val="007E559A"/>
    <w:rsid w:val="007E57DE"/>
    <w:rsid w:val="007E58F2"/>
    <w:rsid w:val="007E594E"/>
    <w:rsid w:val="007E5A6B"/>
    <w:rsid w:val="007E5AD8"/>
    <w:rsid w:val="007E5CA7"/>
    <w:rsid w:val="007E5DF9"/>
    <w:rsid w:val="007E5EB2"/>
    <w:rsid w:val="007E6152"/>
    <w:rsid w:val="007E63E1"/>
    <w:rsid w:val="007E6620"/>
    <w:rsid w:val="007E68B6"/>
    <w:rsid w:val="007E6BB2"/>
    <w:rsid w:val="007E6D1C"/>
    <w:rsid w:val="007E6D9C"/>
    <w:rsid w:val="007E6DB4"/>
    <w:rsid w:val="007E6DE8"/>
    <w:rsid w:val="007E6F08"/>
    <w:rsid w:val="007E6F49"/>
    <w:rsid w:val="007E70B7"/>
    <w:rsid w:val="007E7181"/>
    <w:rsid w:val="007E71D8"/>
    <w:rsid w:val="007E7216"/>
    <w:rsid w:val="007E7517"/>
    <w:rsid w:val="007E752F"/>
    <w:rsid w:val="007E75B6"/>
    <w:rsid w:val="007E7654"/>
    <w:rsid w:val="007E76A1"/>
    <w:rsid w:val="007E76ED"/>
    <w:rsid w:val="007E76FA"/>
    <w:rsid w:val="007E76FD"/>
    <w:rsid w:val="007E79B5"/>
    <w:rsid w:val="007E7D5A"/>
    <w:rsid w:val="007E7D67"/>
    <w:rsid w:val="007E7DE6"/>
    <w:rsid w:val="007E7E21"/>
    <w:rsid w:val="007E7EFF"/>
    <w:rsid w:val="007E7F45"/>
    <w:rsid w:val="007E7FDD"/>
    <w:rsid w:val="007F0024"/>
    <w:rsid w:val="007F0334"/>
    <w:rsid w:val="007F03F0"/>
    <w:rsid w:val="007F057F"/>
    <w:rsid w:val="007F05F0"/>
    <w:rsid w:val="007F08C2"/>
    <w:rsid w:val="007F0919"/>
    <w:rsid w:val="007F0A16"/>
    <w:rsid w:val="007F0AC7"/>
    <w:rsid w:val="007F0AEC"/>
    <w:rsid w:val="007F0B06"/>
    <w:rsid w:val="007F0B2E"/>
    <w:rsid w:val="007F0B87"/>
    <w:rsid w:val="007F0DBE"/>
    <w:rsid w:val="007F0DE5"/>
    <w:rsid w:val="007F0E4B"/>
    <w:rsid w:val="007F1191"/>
    <w:rsid w:val="007F130E"/>
    <w:rsid w:val="007F13D5"/>
    <w:rsid w:val="007F1493"/>
    <w:rsid w:val="007F162E"/>
    <w:rsid w:val="007F166A"/>
    <w:rsid w:val="007F19F2"/>
    <w:rsid w:val="007F1A77"/>
    <w:rsid w:val="007F1B85"/>
    <w:rsid w:val="007F1BC0"/>
    <w:rsid w:val="007F1C47"/>
    <w:rsid w:val="007F1C48"/>
    <w:rsid w:val="007F1DE4"/>
    <w:rsid w:val="007F1E64"/>
    <w:rsid w:val="007F2133"/>
    <w:rsid w:val="007F21E9"/>
    <w:rsid w:val="007F2207"/>
    <w:rsid w:val="007F22A9"/>
    <w:rsid w:val="007F256C"/>
    <w:rsid w:val="007F26EA"/>
    <w:rsid w:val="007F2A96"/>
    <w:rsid w:val="007F2E26"/>
    <w:rsid w:val="007F2F2E"/>
    <w:rsid w:val="007F31F5"/>
    <w:rsid w:val="007F3279"/>
    <w:rsid w:val="007F327E"/>
    <w:rsid w:val="007F32A9"/>
    <w:rsid w:val="007F3616"/>
    <w:rsid w:val="007F37AE"/>
    <w:rsid w:val="007F389D"/>
    <w:rsid w:val="007F3A3C"/>
    <w:rsid w:val="007F3A62"/>
    <w:rsid w:val="007F3ACD"/>
    <w:rsid w:val="007F3D9B"/>
    <w:rsid w:val="007F3EE2"/>
    <w:rsid w:val="007F3FCE"/>
    <w:rsid w:val="007F4002"/>
    <w:rsid w:val="007F4021"/>
    <w:rsid w:val="007F4034"/>
    <w:rsid w:val="007F439C"/>
    <w:rsid w:val="007F4501"/>
    <w:rsid w:val="007F4552"/>
    <w:rsid w:val="007F4656"/>
    <w:rsid w:val="007F4751"/>
    <w:rsid w:val="007F479E"/>
    <w:rsid w:val="007F48A8"/>
    <w:rsid w:val="007F4979"/>
    <w:rsid w:val="007F4AD0"/>
    <w:rsid w:val="007F4B65"/>
    <w:rsid w:val="007F4C30"/>
    <w:rsid w:val="007F5351"/>
    <w:rsid w:val="007F5539"/>
    <w:rsid w:val="007F5578"/>
    <w:rsid w:val="007F55BC"/>
    <w:rsid w:val="007F56BC"/>
    <w:rsid w:val="007F5775"/>
    <w:rsid w:val="007F5888"/>
    <w:rsid w:val="007F5B1D"/>
    <w:rsid w:val="007F5BC4"/>
    <w:rsid w:val="007F5CA6"/>
    <w:rsid w:val="007F5DC1"/>
    <w:rsid w:val="007F5DDC"/>
    <w:rsid w:val="007F5EE2"/>
    <w:rsid w:val="007F5F98"/>
    <w:rsid w:val="007F621D"/>
    <w:rsid w:val="007F622C"/>
    <w:rsid w:val="007F649F"/>
    <w:rsid w:val="007F6580"/>
    <w:rsid w:val="007F66D7"/>
    <w:rsid w:val="007F67C8"/>
    <w:rsid w:val="007F682E"/>
    <w:rsid w:val="007F6899"/>
    <w:rsid w:val="007F694E"/>
    <w:rsid w:val="007F6C52"/>
    <w:rsid w:val="007F6E5E"/>
    <w:rsid w:val="007F6E9C"/>
    <w:rsid w:val="007F6ED0"/>
    <w:rsid w:val="007F6F9D"/>
    <w:rsid w:val="007F7278"/>
    <w:rsid w:val="007F72CD"/>
    <w:rsid w:val="007F7327"/>
    <w:rsid w:val="007F736F"/>
    <w:rsid w:val="007F752F"/>
    <w:rsid w:val="007F7536"/>
    <w:rsid w:val="007F75C0"/>
    <w:rsid w:val="007F7655"/>
    <w:rsid w:val="007F76B0"/>
    <w:rsid w:val="007F787C"/>
    <w:rsid w:val="007F79C5"/>
    <w:rsid w:val="007F7A33"/>
    <w:rsid w:val="007F7A41"/>
    <w:rsid w:val="007F7AF1"/>
    <w:rsid w:val="007F7B1F"/>
    <w:rsid w:val="007F7CD8"/>
    <w:rsid w:val="007F7CE6"/>
    <w:rsid w:val="007F7D5B"/>
    <w:rsid w:val="007F7EF1"/>
    <w:rsid w:val="007F7F2B"/>
    <w:rsid w:val="007F7FDE"/>
    <w:rsid w:val="008000BD"/>
    <w:rsid w:val="008002BD"/>
    <w:rsid w:val="00800445"/>
    <w:rsid w:val="0080056B"/>
    <w:rsid w:val="0080094E"/>
    <w:rsid w:val="00800B57"/>
    <w:rsid w:val="00800B90"/>
    <w:rsid w:val="00800C64"/>
    <w:rsid w:val="00800D98"/>
    <w:rsid w:val="00801335"/>
    <w:rsid w:val="0080135A"/>
    <w:rsid w:val="00801465"/>
    <w:rsid w:val="008014B9"/>
    <w:rsid w:val="008014F9"/>
    <w:rsid w:val="008016A4"/>
    <w:rsid w:val="008017C9"/>
    <w:rsid w:val="00801819"/>
    <w:rsid w:val="0080193A"/>
    <w:rsid w:val="00801BC6"/>
    <w:rsid w:val="00801BE1"/>
    <w:rsid w:val="00801CC8"/>
    <w:rsid w:val="00801D9E"/>
    <w:rsid w:val="00801DB7"/>
    <w:rsid w:val="00801E52"/>
    <w:rsid w:val="00801EEE"/>
    <w:rsid w:val="008020DE"/>
    <w:rsid w:val="008020FC"/>
    <w:rsid w:val="008024F2"/>
    <w:rsid w:val="00802654"/>
    <w:rsid w:val="008026C8"/>
    <w:rsid w:val="008028BA"/>
    <w:rsid w:val="00802901"/>
    <w:rsid w:val="00802B39"/>
    <w:rsid w:val="00802CB2"/>
    <w:rsid w:val="00802DB5"/>
    <w:rsid w:val="00802E53"/>
    <w:rsid w:val="00802F4C"/>
    <w:rsid w:val="008033A1"/>
    <w:rsid w:val="00803404"/>
    <w:rsid w:val="008034FD"/>
    <w:rsid w:val="00803513"/>
    <w:rsid w:val="0080358C"/>
    <w:rsid w:val="0080366F"/>
    <w:rsid w:val="008036BA"/>
    <w:rsid w:val="00803703"/>
    <w:rsid w:val="008038C5"/>
    <w:rsid w:val="008038F8"/>
    <w:rsid w:val="0080396A"/>
    <w:rsid w:val="00803A4A"/>
    <w:rsid w:val="00803C7B"/>
    <w:rsid w:val="00803DA0"/>
    <w:rsid w:val="00803DFC"/>
    <w:rsid w:val="00803FA1"/>
    <w:rsid w:val="00804101"/>
    <w:rsid w:val="008044EC"/>
    <w:rsid w:val="00804536"/>
    <w:rsid w:val="00804553"/>
    <w:rsid w:val="0080483F"/>
    <w:rsid w:val="00804CF4"/>
    <w:rsid w:val="00804D4E"/>
    <w:rsid w:val="00804D5C"/>
    <w:rsid w:val="00804E10"/>
    <w:rsid w:val="00804EA5"/>
    <w:rsid w:val="00804F5B"/>
    <w:rsid w:val="008050F7"/>
    <w:rsid w:val="008051A7"/>
    <w:rsid w:val="00805208"/>
    <w:rsid w:val="00805389"/>
    <w:rsid w:val="0080539E"/>
    <w:rsid w:val="008053EF"/>
    <w:rsid w:val="00805506"/>
    <w:rsid w:val="0080554E"/>
    <w:rsid w:val="0080567C"/>
    <w:rsid w:val="0080569F"/>
    <w:rsid w:val="008056C0"/>
    <w:rsid w:val="00805718"/>
    <w:rsid w:val="008057EF"/>
    <w:rsid w:val="0080590D"/>
    <w:rsid w:val="00805B87"/>
    <w:rsid w:val="00805BFD"/>
    <w:rsid w:val="00805C0A"/>
    <w:rsid w:val="00805C14"/>
    <w:rsid w:val="00805CAF"/>
    <w:rsid w:val="00805E05"/>
    <w:rsid w:val="00805E12"/>
    <w:rsid w:val="00805F27"/>
    <w:rsid w:val="00806060"/>
    <w:rsid w:val="00806161"/>
    <w:rsid w:val="008061D8"/>
    <w:rsid w:val="00806229"/>
    <w:rsid w:val="008062AD"/>
    <w:rsid w:val="008062B3"/>
    <w:rsid w:val="008063E6"/>
    <w:rsid w:val="0080676D"/>
    <w:rsid w:val="0080683E"/>
    <w:rsid w:val="00806A58"/>
    <w:rsid w:val="00806F98"/>
    <w:rsid w:val="0080704F"/>
    <w:rsid w:val="00807059"/>
    <w:rsid w:val="00807262"/>
    <w:rsid w:val="0080742E"/>
    <w:rsid w:val="0080757B"/>
    <w:rsid w:val="008077C8"/>
    <w:rsid w:val="00807891"/>
    <w:rsid w:val="008079C3"/>
    <w:rsid w:val="00807A50"/>
    <w:rsid w:val="00807B08"/>
    <w:rsid w:val="00807B0D"/>
    <w:rsid w:val="00807D18"/>
    <w:rsid w:val="00807D99"/>
    <w:rsid w:val="00807DF0"/>
    <w:rsid w:val="00807F37"/>
    <w:rsid w:val="008100BD"/>
    <w:rsid w:val="00810108"/>
    <w:rsid w:val="008101A3"/>
    <w:rsid w:val="008101B4"/>
    <w:rsid w:val="008102C5"/>
    <w:rsid w:val="00810451"/>
    <w:rsid w:val="008104A8"/>
    <w:rsid w:val="0081074A"/>
    <w:rsid w:val="00810A7D"/>
    <w:rsid w:val="00810ABF"/>
    <w:rsid w:val="00810B63"/>
    <w:rsid w:val="00810BE7"/>
    <w:rsid w:val="00810C57"/>
    <w:rsid w:val="00810D5B"/>
    <w:rsid w:val="00810E1B"/>
    <w:rsid w:val="00810E83"/>
    <w:rsid w:val="00810F24"/>
    <w:rsid w:val="008110A5"/>
    <w:rsid w:val="008110FC"/>
    <w:rsid w:val="00811294"/>
    <w:rsid w:val="0081146C"/>
    <w:rsid w:val="008114E2"/>
    <w:rsid w:val="008116A3"/>
    <w:rsid w:val="0081173F"/>
    <w:rsid w:val="00811806"/>
    <w:rsid w:val="008118FE"/>
    <w:rsid w:val="00811A62"/>
    <w:rsid w:val="00811D8D"/>
    <w:rsid w:val="0081202A"/>
    <w:rsid w:val="00812034"/>
    <w:rsid w:val="0081255C"/>
    <w:rsid w:val="008125CB"/>
    <w:rsid w:val="00812862"/>
    <w:rsid w:val="00812925"/>
    <w:rsid w:val="00812A6E"/>
    <w:rsid w:val="00812BB5"/>
    <w:rsid w:val="00812DAE"/>
    <w:rsid w:val="00812E3D"/>
    <w:rsid w:val="00812E7E"/>
    <w:rsid w:val="008130B2"/>
    <w:rsid w:val="00813159"/>
    <w:rsid w:val="0081317B"/>
    <w:rsid w:val="00813612"/>
    <w:rsid w:val="00813678"/>
    <w:rsid w:val="0081369D"/>
    <w:rsid w:val="00813701"/>
    <w:rsid w:val="00813951"/>
    <w:rsid w:val="00813A8C"/>
    <w:rsid w:val="00813A96"/>
    <w:rsid w:val="00813B80"/>
    <w:rsid w:val="00813C26"/>
    <w:rsid w:val="00813CE5"/>
    <w:rsid w:val="00813D2A"/>
    <w:rsid w:val="00813D92"/>
    <w:rsid w:val="00813E09"/>
    <w:rsid w:val="00813F36"/>
    <w:rsid w:val="00814068"/>
    <w:rsid w:val="00814171"/>
    <w:rsid w:val="008141E0"/>
    <w:rsid w:val="008142CB"/>
    <w:rsid w:val="008143C5"/>
    <w:rsid w:val="008144A7"/>
    <w:rsid w:val="008147A7"/>
    <w:rsid w:val="008147E4"/>
    <w:rsid w:val="00814878"/>
    <w:rsid w:val="008148EE"/>
    <w:rsid w:val="00814AD9"/>
    <w:rsid w:val="00814B79"/>
    <w:rsid w:val="00814B7D"/>
    <w:rsid w:val="00814B88"/>
    <w:rsid w:val="00814B96"/>
    <w:rsid w:val="00814C99"/>
    <w:rsid w:val="00814D1F"/>
    <w:rsid w:val="00814DD4"/>
    <w:rsid w:val="00814E16"/>
    <w:rsid w:val="00814F6A"/>
    <w:rsid w:val="00815136"/>
    <w:rsid w:val="0081521B"/>
    <w:rsid w:val="00815245"/>
    <w:rsid w:val="008153CA"/>
    <w:rsid w:val="00815522"/>
    <w:rsid w:val="008155C1"/>
    <w:rsid w:val="00815743"/>
    <w:rsid w:val="00815860"/>
    <w:rsid w:val="00815887"/>
    <w:rsid w:val="008159BC"/>
    <w:rsid w:val="00815A1F"/>
    <w:rsid w:val="00815B4A"/>
    <w:rsid w:val="00815CB9"/>
    <w:rsid w:val="00815F17"/>
    <w:rsid w:val="00816112"/>
    <w:rsid w:val="00816333"/>
    <w:rsid w:val="008164CE"/>
    <w:rsid w:val="00816569"/>
    <w:rsid w:val="0081677B"/>
    <w:rsid w:val="008167ED"/>
    <w:rsid w:val="00816BA9"/>
    <w:rsid w:val="00816DB9"/>
    <w:rsid w:val="00816EA7"/>
    <w:rsid w:val="00816EF7"/>
    <w:rsid w:val="008170A0"/>
    <w:rsid w:val="008170B0"/>
    <w:rsid w:val="008170F3"/>
    <w:rsid w:val="008171FC"/>
    <w:rsid w:val="0081735D"/>
    <w:rsid w:val="00817406"/>
    <w:rsid w:val="00817479"/>
    <w:rsid w:val="008174AF"/>
    <w:rsid w:val="0081779E"/>
    <w:rsid w:val="008178B7"/>
    <w:rsid w:val="008178CA"/>
    <w:rsid w:val="0081795E"/>
    <w:rsid w:val="00817ADC"/>
    <w:rsid w:val="00817AE2"/>
    <w:rsid w:val="00817B09"/>
    <w:rsid w:val="00817C4C"/>
    <w:rsid w:val="00817DF7"/>
    <w:rsid w:val="00817EAB"/>
    <w:rsid w:val="00817EB0"/>
    <w:rsid w:val="00820077"/>
    <w:rsid w:val="00820197"/>
    <w:rsid w:val="008202BB"/>
    <w:rsid w:val="008203DF"/>
    <w:rsid w:val="00820543"/>
    <w:rsid w:val="0082095E"/>
    <w:rsid w:val="008209A1"/>
    <w:rsid w:val="00820A29"/>
    <w:rsid w:val="00820D29"/>
    <w:rsid w:val="00820D46"/>
    <w:rsid w:val="00820E2F"/>
    <w:rsid w:val="00821001"/>
    <w:rsid w:val="008213D1"/>
    <w:rsid w:val="0082152F"/>
    <w:rsid w:val="00821596"/>
    <w:rsid w:val="008215AB"/>
    <w:rsid w:val="008215B8"/>
    <w:rsid w:val="008218F6"/>
    <w:rsid w:val="00821A58"/>
    <w:rsid w:val="00821D62"/>
    <w:rsid w:val="00821D81"/>
    <w:rsid w:val="00822207"/>
    <w:rsid w:val="008222F2"/>
    <w:rsid w:val="00822391"/>
    <w:rsid w:val="00822650"/>
    <w:rsid w:val="008226C3"/>
    <w:rsid w:val="008227B4"/>
    <w:rsid w:val="00822809"/>
    <w:rsid w:val="00822818"/>
    <w:rsid w:val="00822879"/>
    <w:rsid w:val="00822B2C"/>
    <w:rsid w:val="00822D1F"/>
    <w:rsid w:val="00822D3E"/>
    <w:rsid w:val="00822E68"/>
    <w:rsid w:val="00822ED9"/>
    <w:rsid w:val="00822FD0"/>
    <w:rsid w:val="00823118"/>
    <w:rsid w:val="008231C8"/>
    <w:rsid w:val="0082320C"/>
    <w:rsid w:val="008232A8"/>
    <w:rsid w:val="0082353C"/>
    <w:rsid w:val="008235BE"/>
    <w:rsid w:val="008236E8"/>
    <w:rsid w:val="008237B5"/>
    <w:rsid w:val="00823870"/>
    <w:rsid w:val="0082388A"/>
    <w:rsid w:val="00823A4B"/>
    <w:rsid w:val="00823B5D"/>
    <w:rsid w:val="00823BC8"/>
    <w:rsid w:val="00823D45"/>
    <w:rsid w:val="00823E7C"/>
    <w:rsid w:val="00824074"/>
    <w:rsid w:val="0082412D"/>
    <w:rsid w:val="008241A2"/>
    <w:rsid w:val="008241AA"/>
    <w:rsid w:val="008241D4"/>
    <w:rsid w:val="00824281"/>
    <w:rsid w:val="008242EB"/>
    <w:rsid w:val="00824528"/>
    <w:rsid w:val="0082453E"/>
    <w:rsid w:val="0082465C"/>
    <w:rsid w:val="0082465E"/>
    <w:rsid w:val="00824781"/>
    <w:rsid w:val="0082481F"/>
    <w:rsid w:val="00824834"/>
    <w:rsid w:val="00824926"/>
    <w:rsid w:val="00824C79"/>
    <w:rsid w:val="00824F2D"/>
    <w:rsid w:val="00825049"/>
    <w:rsid w:val="008250E6"/>
    <w:rsid w:val="0082514E"/>
    <w:rsid w:val="008251C3"/>
    <w:rsid w:val="00825590"/>
    <w:rsid w:val="008255CC"/>
    <w:rsid w:val="008256E3"/>
    <w:rsid w:val="00825733"/>
    <w:rsid w:val="00825942"/>
    <w:rsid w:val="00825A2F"/>
    <w:rsid w:val="00825BA1"/>
    <w:rsid w:val="00825EAF"/>
    <w:rsid w:val="0082612D"/>
    <w:rsid w:val="008261D4"/>
    <w:rsid w:val="008263D1"/>
    <w:rsid w:val="0082640E"/>
    <w:rsid w:val="00826607"/>
    <w:rsid w:val="00826689"/>
    <w:rsid w:val="008268B2"/>
    <w:rsid w:val="008268F3"/>
    <w:rsid w:val="008269CF"/>
    <w:rsid w:val="00826BAC"/>
    <w:rsid w:val="00826C74"/>
    <w:rsid w:val="00826CF5"/>
    <w:rsid w:val="00826D7A"/>
    <w:rsid w:val="00826E05"/>
    <w:rsid w:val="00826E7B"/>
    <w:rsid w:val="00826ECE"/>
    <w:rsid w:val="00826F4C"/>
    <w:rsid w:val="00826FB5"/>
    <w:rsid w:val="00827115"/>
    <w:rsid w:val="00827139"/>
    <w:rsid w:val="00827209"/>
    <w:rsid w:val="008274F8"/>
    <w:rsid w:val="008275E7"/>
    <w:rsid w:val="008276BC"/>
    <w:rsid w:val="008276EC"/>
    <w:rsid w:val="0082772E"/>
    <w:rsid w:val="0082777B"/>
    <w:rsid w:val="00827789"/>
    <w:rsid w:val="00827863"/>
    <w:rsid w:val="008278AE"/>
    <w:rsid w:val="00827ACD"/>
    <w:rsid w:val="00827B16"/>
    <w:rsid w:val="00827BEE"/>
    <w:rsid w:val="00827C66"/>
    <w:rsid w:val="00827EF0"/>
    <w:rsid w:val="00827FF8"/>
    <w:rsid w:val="008300EE"/>
    <w:rsid w:val="0083027E"/>
    <w:rsid w:val="008302ED"/>
    <w:rsid w:val="008303F6"/>
    <w:rsid w:val="008304E8"/>
    <w:rsid w:val="008306B5"/>
    <w:rsid w:val="00830A2F"/>
    <w:rsid w:val="00830C8E"/>
    <w:rsid w:val="00830D6B"/>
    <w:rsid w:val="00830E80"/>
    <w:rsid w:val="00831173"/>
    <w:rsid w:val="00831174"/>
    <w:rsid w:val="008311AF"/>
    <w:rsid w:val="008311B2"/>
    <w:rsid w:val="008311C3"/>
    <w:rsid w:val="00831229"/>
    <w:rsid w:val="008314B7"/>
    <w:rsid w:val="008315DB"/>
    <w:rsid w:val="008316D2"/>
    <w:rsid w:val="00831788"/>
    <w:rsid w:val="0083180C"/>
    <w:rsid w:val="008318A6"/>
    <w:rsid w:val="008318F1"/>
    <w:rsid w:val="008318F6"/>
    <w:rsid w:val="00831B75"/>
    <w:rsid w:val="00831BE4"/>
    <w:rsid w:val="00831CD0"/>
    <w:rsid w:val="00831D22"/>
    <w:rsid w:val="00831EC5"/>
    <w:rsid w:val="00831EEB"/>
    <w:rsid w:val="008322C8"/>
    <w:rsid w:val="008323FF"/>
    <w:rsid w:val="008324CB"/>
    <w:rsid w:val="00832847"/>
    <w:rsid w:val="00832C38"/>
    <w:rsid w:val="00832ECA"/>
    <w:rsid w:val="008332DF"/>
    <w:rsid w:val="0083337E"/>
    <w:rsid w:val="00833809"/>
    <w:rsid w:val="00833914"/>
    <w:rsid w:val="00833966"/>
    <w:rsid w:val="00833979"/>
    <w:rsid w:val="008339A4"/>
    <w:rsid w:val="00833C43"/>
    <w:rsid w:val="00833D07"/>
    <w:rsid w:val="00833DA2"/>
    <w:rsid w:val="00833E29"/>
    <w:rsid w:val="00833FF8"/>
    <w:rsid w:val="00834097"/>
    <w:rsid w:val="00834106"/>
    <w:rsid w:val="0083414F"/>
    <w:rsid w:val="00834278"/>
    <w:rsid w:val="00834549"/>
    <w:rsid w:val="00834585"/>
    <w:rsid w:val="008346BF"/>
    <w:rsid w:val="0083493F"/>
    <w:rsid w:val="0083499C"/>
    <w:rsid w:val="00834C65"/>
    <w:rsid w:val="00835134"/>
    <w:rsid w:val="008352CC"/>
    <w:rsid w:val="008353D4"/>
    <w:rsid w:val="00835488"/>
    <w:rsid w:val="008356CB"/>
    <w:rsid w:val="0083573B"/>
    <w:rsid w:val="0083584A"/>
    <w:rsid w:val="008359B1"/>
    <w:rsid w:val="00835A9D"/>
    <w:rsid w:val="00835B55"/>
    <w:rsid w:val="00835B69"/>
    <w:rsid w:val="00835B84"/>
    <w:rsid w:val="00835BFB"/>
    <w:rsid w:val="00835C53"/>
    <w:rsid w:val="00835F4C"/>
    <w:rsid w:val="00836054"/>
    <w:rsid w:val="00836332"/>
    <w:rsid w:val="00836555"/>
    <w:rsid w:val="008365A1"/>
    <w:rsid w:val="008365E2"/>
    <w:rsid w:val="0083671B"/>
    <w:rsid w:val="0083698C"/>
    <w:rsid w:val="00836BBF"/>
    <w:rsid w:val="00836C2C"/>
    <w:rsid w:val="00836C7D"/>
    <w:rsid w:val="00836E4F"/>
    <w:rsid w:val="00836E8D"/>
    <w:rsid w:val="00836ED1"/>
    <w:rsid w:val="0083707F"/>
    <w:rsid w:val="00837176"/>
    <w:rsid w:val="00837A5C"/>
    <w:rsid w:val="00837D29"/>
    <w:rsid w:val="00837DA4"/>
    <w:rsid w:val="00837E7B"/>
    <w:rsid w:val="00840190"/>
    <w:rsid w:val="0084019D"/>
    <w:rsid w:val="00840223"/>
    <w:rsid w:val="00840382"/>
    <w:rsid w:val="008403D2"/>
    <w:rsid w:val="008403E5"/>
    <w:rsid w:val="008403F5"/>
    <w:rsid w:val="00840464"/>
    <w:rsid w:val="008404B6"/>
    <w:rsid w:val="008404FE"/>
    <w:rsid w:val="0084064A"/>
    <w:rsid w:val="008406D7"/>
    <w:rsid w:val="00840710"/>
    <w:rsid w:val="00840844"/>
    <w:rsid w:val="00840C06"/>
    <w:rsid w:val="00840C2D"/>
    <w:rsid w:val="00840CE8"/>
    <w:rsid w:val="00840CED"/>
    <w:rsid w:val="00840DB5"/>
    <w:rsid w:val="00840EEF"/>
    <w:rsid w:val="00840F1F"/>
    <w:rsid w:val="0084102B"/>
    <w:rsid w:val="0084109C"/>
    <w:rsid w:val="008410CD"/>
    <w:rsid w:val="00841199"/>
    <w:rsid w:val="0084145C"/>
    <w:rsid w:val="00841503"/>
    <w:rsid w:val="008416FD"/>
    <w:rsid w:val="0084177D"/>
    <w:rsid w:val="0084195A"/>
    <w:rsid w:val="008419FF"/>
    <w:rsid w:val="00841A45"/>
    <w:rsid w:val="00841AFD"/>
    <w:rsid w:val="00841DD5"/>
    <w:rsid w:val="00841F33"/>
    <w:rsid w:val="00842069"/>
    <w:rsid w:val="008420B3"/>
    <w:rsid w:val="00842122"/>
    <w:rsid w:val="0084239B"/>
    <w:rsid w:val="00842528"/>
    <w:rsid w:val="0084260E"/>
    <w:rsid w:val="00842801"/>
    <w:rsid w:val="00842985"/>
    <w:rsid w:val="00842BA3"/>
    <w:rsid w:val="00842C04"/>
    <w:rsid w:val="00842C30"/>
    <w:rsid w:val="00842D09"/>
    <w:rsid w:val="00842D5D"/>
    <w:rsid w:val="00842EE3"/>
    <w:rsid w:val="00843092"/>
    <w:rsid w:val="008430BD"/>
    <w:rsid w:val="008433B3"/>
    <w:rsid w:val="00843436"/>
    <w:rsid w:val="008435E0"/>
    <w:rsid w:val="00843620"/>
    <w:rsid w:val="00843633"/>
    <w:rsid w:val="0084364A"/>
    <w:rsid w:val="008436D0"/>
    <w:rsid w:val="00843707"/>
    <w:rsid w:val="0084378A"/>
    <w:rsid w:val="00843872"/>
    <w:rsid w:val="008438AE"/>
    <w:rsid w:val="00843E96"/>
    <w:rsid w:val="008441FB"/>
    <w:rsid w:val="00844223"/>
    <w:rsid w:val="008442B0"/>
    <w:rsid w:val="008442B6"/>
    <w:rsid w:val="0084449F"/>
    <w:rsid w:val="00844688"/>
    <w:rsid w:val="00844A3C"/>
    <w:rsid w:val="00844A89"/>
    <w:rsid w:val="00844A9B"/>
    <w:rsid w:val="00844A9D"/>
    <w:rsid w:val="00844AB1"/>
    <w:rsid w:val="00844B66"/>
    <w:rsid w:val="00844CE7"/>
    <w:rsid w:val="00844D07"/>
    <w:rsid w:val="00844D3D"/>
    <w:rsid w:val="00844E45"/>
    <w:rsid w:val="00845030"/>
    <w:rsid w:val="008450A9"/>
    <w:rsid w:val="00845117"/>
    <w:rsid w:val="008451E2"/>
    <w:rsid w:val="00845262"/>
    <w:rsid w:val="008452AF"/>
    <w:rsid w:val="0084557D"/>
    <w:rsid w:val="008455DC"/>
    <w:rsid w:val="0084585E"/>
    <w:rsid w:val="00845BA4"/>
    <w:rsid w:val="00845DC3"/>
    <w:rsid w:val="00845EAA"/>
    <w:rsid w:val="00845FA7"/>
    <w:rsid w:val="00846083"/>
    <w:rsid w:val="008462A8"/>
    <w:rsid w:val="0084652C"/>
    <w:rsid w:val="00846575"/>
    <w:rsid w:val="00846892"/>
    <w:rsid w:val="008468B7"/>
    <w:rsid w:val="00846918"/>
    <w:rsid w:val="00846B86"/>
    <w:rsid w:val="00846C18"/>
    <w:rsid w:val="00846CB1"/>
    <w:rsid w:val="00846E6D"/>
    <w:rsid w:val="00846F66"/>
    <w:rsid w:val="0084710A"/>
    <w:rsid w:val="00847208"/>
    <w:rsid w:val="0084727D"/>
    <w:rsid w:val="00847431"/>
    <w:rsid w:val="00847462"/>
    <w:rsid w:val="008474B0"/>
    <w:rsid w:val="00847728"/>
    <w:rsid w:val="008477E5"/>
    <w:rsid w:val="00847A71"/>
    <w:rsid w:val="00847ABF"/>
    <w:rsid w:val="00847C44"/>
    <w:rsid w:val="00847C92"/>
    <w:rsid w:val="00847D28"/>
    <w:rsid w:val="00847DE5"/>
    <w:rsid w:val="00847EEC"/>
    <w:rsid w:val="00847FEE"/>
    <w:rsid w:val="008500C5"/>
    <w:rsid w:val="008503F7"/>
    <w:rsid w:val="0085056A"/>
    <w:rsid w:val="00850594"/>
    <w:rsid w:val="00850664"/>
    <w:rsid w:val="008508BF"/>
    <w:rsid w:val="00850C48"/>
    <w:rsid w:val="00850C70"/>
    <w:rsid w:val="00850DF7"/>
    <w:rsid w:val="008511CB"/>
    <w:rsid w:val="008512F4"/>
    <w:rsid w:val="00851607"/>
    <w:rsid w:val="0085160D"/>
    <w:rsid w:val="0085161D"/>
    <w:rsid w:val="0085165B"/>
    <w:rsid w:val="00851674"/>
    <w:rsid w:val="008517AD"/>
    <w:rsid w:val="00851C64"/>
    <w:rsid w:val="00851EA1"/>
    <w:rsid w:val="00851F69"/>
    <w:rsid w:val="00851FFB"/>
    <w:rsid w:val="0085206A"/>
    <w:rsid w:val="0085207E"/>
    <w:rsid w:val="008524BD"/>
    <w:rsid w:val="00852599"/>
    <w:rsid w:val="008525D9"/>
    <w:rsid w:val="00852926"/>
    <w:rsid w:val="00852BFB"/>
    <w:rsid w:val="00852C51"/>
    <w:rsid w:val="00852CDD"/>
    <w:rsid w:val="00852DD3"/>
    <w:rsid w:val="00852FEA"/>
    <w:rsid w:val="008530CC"/>
    <w:rsid w:val="008532BC"/>
    <w:rsid w:val="0085339E"/>
    <w:rsid w:val="00853627"/>
    <w:rsid w:val="0085364D"/>
    <w:rsid w:val="0085389C"/>
    <w:rsid w:val="008538CC"/>
    <w:rsid w:val="008538CF"/>
    <w:rsid w:val="0085390A"/>
    <w:rsid w:val="00853AF4"/>
    <w:rsid w:val="00853C25"/>
    <w:rsid w:val="00853C42"/>
    <w:rsid w:val="00853D4C"/>
    <w:rsid w:val="00853DD8"/>
    <w:rsid w:val="0085401D"/>
    <w:rsid w:val="0085407B"/>
    <w:rsid w:val="008542D6"/>
    <w:rsid w:val="00854362"/>
    <w:rsid w:val="00854464"/>
    <w:rsid w:val="008546F1"/>
    <w:rsid w:val="0085484F"/>
    <w:rsid w:val="00854B5F"/>
    <w:rsid w:val="00854C5C"/>
    <w:rsid w:val="00854CBB"/>
    <w:rsid w:val="00854D53"/>
    <w:rsid w:val="00854DAD"/>
    <w:rsid w:val="00854E45"/>
    <w:rsid w:val="00854EA0"/>
    <w:rsid w:val="00854FEA"/>
    <w:rsid w:val="00855057"/>
    <w:rsid w:val="008552C0"/>
    <w:rsid w:val="0085530B"/>
    <w:rsid w:val="00855526"/>
    <w:rsid w:val="00855616"/>
    <w:rsid w:val="00855680"/>
    <w:rsid w:val="0085579D"/>
    <w:rsid w:val="008559A9"/>
    <w:rsid w:val="00855A7C"/>
    <w:rsid w:val="00855B3A"/>
    <w:rsid w:val="00855DB8"/>
    <w:rsid w:val="00855DE8"/>
    <w:rsid w:val="00855E4D"/>
    <w:rsid w:val="00855EB8"/>
    <w:rsid w:val="00855EF5"/>
    <w:rsid w:val="00855FC1"/>
    <w:rsid w:val="008564DF"/>
    <w:rsid w:val="008566DB"/>
    <w:rsid w:val="00856B79"/>
    <w:rsid w:val="00856C6A"/>
    <w:rsid w:val="00856CA1"/>
    <w:rsid w:val="00856DA1"/>
    <w:rsid w:val="0085714D"/>
    <w:rsid w:val="008572D7"/>
    <w:rsid w:val="00857340"/>
    <w:rsid w:val="008573EE"/>
    <w:rsid w:val="00857525"/>
    <w:rsid w:val="00857553"/>
    <w:rsid w:val="0085767C"/>
    <w:rsid w:val="008576F3"/>
    <w:rsid w:val="00857701"/>
    <w:rsid w:val="008577CF"/>
    <w:rsid w:val="008577FD"/>
    <w:rsid w:val="00857814"/>
    <w:rsid w:val="00857823"/>
    <w:rsid w:val="00857B81"/>
    <w:rsid w:val="00857B8E"/>
    <w:rsid w:val="00857BAB"/>
    <w:rsid w:val="00857D3E"/>
    <w:rsid w:val="00857F5A"/>
    <w:rsid w:val="00860127"/>
    <w:rsid w:val="00860253"/>
    <w:rsid w:val="00860278"/>
    <w:rsid w:val="008602BD"/>
    <w:rsid w:val="008602E5"/>
    <w:rsid w:val="008602EC"/>
    <w:rsid w:val="00860666"/>
    <w:rsid w:val="00860709"/>
    <w:rsid w:val="00860716"/>
    <w:rsid w:val="00860767"/>
    <w:rsid w:val="00860B26"/>
    <w:rsid w:val="00860D75"/>
    <w:rsid w:val="00860F12"/>
    <w:rsid w:val="00860F2D"/>
    <w:rsid w:val="0086100D"/>
    <w:rsid w:val="00861144"/>
    <w:rsid w:val="00861258"/>
    <w:rsid w:val="00861478"/>
    <w:rsid w:val="008615B5"/>
    <w:rsid w:val="0086194D"/>
    <w:rsid w:val="00861BC3"/>
    <w:rsid w:val="00861C53"/>
    <w:rsid w:val="00861C91"/>
    <w:rsid w:val="00861FC3"/>
    <w:rsid w:val="0086202D"/>
    <w:rsid w:val="008620D7"/>
    <w:rsid w:val="0086223B"/>
    <w:rsid w:val="00862652"/>
    <w:rsid w:val="00862738"/>
    <w:rsid w:val="008627E4"/>
    <w:rsid w:val="008627EF"/>
    <w:rsid w:val="008628B0"/>
    <w:rsid w:val="0086291B"/>
    <w:rsid w:val="008629A5"/>
    <w:rsid w:val="008629E9"/>
    <w:rsid w:val="00862A4B"/>
    <w:rsid w:val="00862ABF"/>
    <w:rsid w:val="00862CC0"/>
    <w:rsid w:val="00862D75"/>
    <w:rsid w:val="00862E95"/>
    <w:rsid w:val="00862EF6"/>
    <w:rsid w:val="008631D8"/>
    <w:rsid w:val="00863225"/>
    <w:rsid w:val="0086322F"/>
    <w:rsid w:val="00863364"/>
    <w:rsid w:val="0086354B"/>
    <w:rsid w:val="0086395D"/>
    <w:rsid w:val="008639A6"/>
    <w:rsid w:val="00863A94"/>
    <w:rsid w:val="00863AA3"/>
    <w:rsid w:val="00863C13"/>
    <w:rsid w:val="00864050"/>
    <w:rsid w:val="00864259"/>
    <w:rsid w:val="0086446F"/>
    <w:rsid w:val="00864484"/>
    <w:rsid w:val="0086454D"/>
    <w:rsid w:val="00864575"/>
    <w:rsid w:val="00864724"/>
    <w:rsid w:val="0086493E"/>
    <w:rsid w:val="008649D2"/>
    <w:rsid w:val="00864B01"/>
    <w:rsid w:val="00864B3D"/>
    <w:rsid w:val="00864CD9"/>
    <w:rsid w:val="00864CE7"/>
    <w:rsid w:val="00864CF4"/>
    <w:rsid w:val="00864DAC"/>
    <w:rsid w:val="00864EEC"/>
    <w:rsid w:val="00864F27"/>
    <w:rsid w:val="0086501F"/>
    <w:rsid w:val="0086509E"/>
    <w:rsid w:val="008652FE"/>
    <w:rsid w:val="008655C3"/>
    <w:rsid w:val="00865B0B"/>
    <w:rsid w:val="00865B2B"/>
    <w:rsid w:val="00865D6E"/>
    <w:rsid w:val="008662C8"/>
    <w:rsid w:val="0086648C"/>
    <w:rsid w:val="00866497"/>
    <w:rsid w:val="00866506"/>
    <w:rsid w:val="008665D0"/>
    <w:rsid w:val="00866A21"/>
    <w:rsid w:val="00866D08"/>
    <w:rsid w:val="00867012"/>
    <w:rsid w:val="0086704E"/>
    <w:rsid w:val="008670DF"/>
    <w:rsid w:val="008671AF"/>
    <w:rsid w:val="00867396"/>
    <w:rsid w:val="008673BE"/>
    <w:rsid w:val="0086756B"/>
    <w:rsid w:val="0086757D"/>
    <w:rsid w:val="008675EC"/>
    <w:rsid w:val="008677DB"/>
    <w:rsid w:val="00867A20"/>
    <w:rsid w:val="00867A34"/>
    <w:rsid w:val="00867E61"/>
    <w:rsid w:val="00867EC9"/>
    <w:rsid w:val="0087056C"/>
    <w:rsid w:val="00870845"/>
    <w:rsid w:val="008708AF"/>
    <w:rsid w:val="00870973"/>
    <w:rsid w:val="00870D45"/>
    <w:rsid w:val="00871241"/>
    <w:rsid w:val="00871300"/>
    <w:rsid w:val="0087136C"/>
    <w:rsid w:val="008713CC"/>
    <w:rsid w:val="00871549"/>
    <w:rsid w:val="008716C3"/>
    <w:rsid w:val="008716F2"/>
    <w:rsid w:val="00871CBE"/>
    <w:rsid w:val="00871D74"/>
    <w:rsid w:val="00871EF1"/>
    <w:rsid w:val="00871F12"/>
    <w:rsid w:val="00872075"/>
    <w:rsid w:val="0087208B"/>
    <w:rsid w:val="00872222"/>
    <w:rsid w:val="0087252A"/>
    <w:rsid w:val="00872688"/>
    <w:rsid w:val="008726C2"/>
    <w:rsid w:val="00872A92"/>
    <w:rsid w:val="00872AAE"/>
    <w:rsid w:val="00872C28"/>
    <w:rsid w:val="00872C3C"/>
    <w:rsid w:val="00872C48"/>
    <w:rsid w:val="00872D16"/>
    <w:rsid w:val="00872E88"/>
    <w:rsid w:val="008730E6"/>
    <w:rsid w:val="00873261"/>
    <w:rsid w:val="0087328F"/>
    <w:rsid w:val="008733BF"/>
    <w:rsid w:val="008734CD"/>
    <w:rsid w:val="00873513"/>
    <w:rsid w:val="00873842"/>
    <w:rsid w:val="00873A63"/>
    <w:rsid w:val="00873B27"/>
    <w:rsid w:val="00873B3D"/>
    <w:rsid w:val="00873C21"/>
    <w:rsid w:val="00873C2A"/>
    <w:rsid w:val="00873D3C"/>
    <w:rsid w:val="00873F33"/>
    <w:rsid w:val="00873F57"/>
    <w:rsid w:val="00873FF4"/>
    <w:rsid w:val="008742E1"/>
    <w:rsid w:val="008743C5"/>
    <w:rsid w:val="0087446F"/>
    <w:rsid w:val="00874494"/>
    <w:rsid w:val="008744DE"/>
    <w:rsid w:val="00874787"/>
    <w:rsid w:val="00874835"/>
    <w:rsid w:val="00874BC3"/>
    <w:rsid w:val="00874D04"/>
    <w:rsid w:val="00874E70"/>
    <w:rsid w:val="00874EE4"/>
    <w:rsid w:val="00874F70"/>
    <w:rsid w:val="00874FD2"/>
    <w:rsid w:val="00875123"/>
    <w:rsid w:val="00875156"/>
    <w:rsid w:val="00875229"/>
    <w:rsid w:val="008752A6"/>
    <w:rsid w:val="00875350"/>
    <w:rsid w:val="0087538E"/>
    <w:rsid w:val="0087543E"/>
    <w:rsid w:val="0087567A"/>
    <w:rsid w:val="008756B5"/>
    <w:rsid w:val="00875720"/>
    <w:rsid w:val="00875B03"/>
    <w:rsid w:val="00875B1C"/>
    <w:rsid w:val="00875B90"/>
    <w:rsid w:val="00875FC8"/>
    <w:rsid w:val="00875FD1"/>
    <w:rsid w:val="00876016"/>
    <w:rsid w:val="00876574"/>
    <w:rsid w:val="008766EE"/>
    <w:rsid w:val="00876786"/>
    <w:rsid w:val="0087686A"/>
    <w:rsid w:val="008769AE"/>
    <w:rsid w:val="00876D07"/>
    <w:rsid w:val="00876DC9"/>
    <w:rsid w:val="00876E22"/>
    <w:rsid w:val="0087725B"/>
    <w:rsid w:val="008772A5"/>
    <w:rsid w:val="008775AE"/>
    <w:rsid w:val="00877637"/>
    <w:rsid w:val="00877A32"/>
    <w:rsid w:val="00877BF1"/>
    <w:rsid w:val="0088006D"/>
    <w:rsid w:val="008800AD"/>
    <w:rsid w:val="008800F9"/>
    <w:rsid w:val="008801BA"/>
    <w:rsid w:val="00880305"/>
    <w:rsid w:val="008803F9"/>
    <w:rsid w:val="00880518"/>
    <w:rsid w:val="00880867"/>
    <w:rsid w:val="008808E8"/>
    <w:rsid w:val="00880999"/>
    <w:rsid w:val="00880AA1"/>
    <w:rsid w:val="00880C4E"/>
    <w:rsid w:val="00880DBE"/>
    <w:rsid w:val="00880FC4"/>
    <w:rsid w:val="008810F9"/>
    <w:rsid w:val="008812E3"/>
    <w:rsid w:val="008816AE"/>
    <w:rsid w:val="008816C4"/>
    <w:rsid w:val="008817E1"/>
    <w:rsid w:val="008817FD"/>
    <w:rsid w:val="008819CE"/>
    <w:rsid w:val="00881A39"/>
    <w:rsid w:val="00881B51"/>
    <w:rsid w:val="00881CA5"/>
    <w:rsid w:val="00881D5B"/>
    <w:rsid w:val="00881F3E"/>
    <w:rsid w:val="008822AE"/>
    <w:rsid w:val="008822D7"/>
    <w:rsid w:val="0088236B"/>
    <w:rsid w:val="008823DF"/>
    <w:rsid w:val="00882449"/>
    <w:rsid w:val="008825A0"/>
    <w:rsid w:val="008825B8"/>
    <w:rsid w:val="0088272F"/>
    <w:rsid w:val="00882AB9"/>
    <w:rsid w:val="00882CA2"/>
    <w:rsid w:val="00882D96"/>
    <w:rsid w:val="00882F2C"/>
    <w:rsid w:val="00882FDA"/>
    <w:rsid w:val="0088306D"/>
    <w:rsid w:val="008831C9"/>
    <w:rsid w:val="008835E5"/>
    <w:rsid w:val="0088366B"/>
    <w:rsid w:val="0088388F"/>
    <w:rsid w:val="00883D1B"/>
    <w:rsid w:val="008840B3"/>
    <w:rsid w:val="00884133"/>
    <w:rsid w:val="008841A1"/>
    <w:rsid w:val="00884253"/>
    <w:rsid w:val="0088439A"/>
    <w:rsid w:val="00884458"/>
    <w:rsid w:val="00884463"/>
    <w:rsid w:val="00884881"/>
    <w:rsid w:val="00884CC3"/>
    <w:rsid w:val="00884D53"/>
    <w:rsid w:val="00884DBC"/>
    <w:rsid w:val="00884EBE"/>
    <w:rsid w:val="00884F13"/>
    <w:rsid w:val="00885068"/>
    <w:rsid w:val="0088507A"/>
    <w:rsid w:val="008850D1"/>
    <w:rsid w:val="008854E4"/>
    <w:rsid w:val="00885798"/>
    <w:rsid w:val="008857BB"/>
    <w:rsid w:val="008858BC"/>
    <w:rsid w:val="00885924"/>
    <w:rsid w:val="0088597F"/>
    <w:rsid w:val="00885AB8"/>
    <w:rsid w:val="00885B91"/>
    <w:rsid w:val="00885CCE"/>
    <w:rsid w:val="00885D88"/>
    <w:rsid w:val="00885DE0"/>
    <w:rsid w:val="00885FE6"/>
    <w:rsid w:val="00886037"/>
    <w:rsid w:val="00886332"/>
    <w:rsid w:val="008863F1"/>
    <w:rsid w:val="0088648F"/>
    <w:rsid w:val="00886554"/>
    <w:rsid w:val="008865BC"/>
    <w:rsid w:val="0088662B"/>
    <w:rsid w:val="00886855"/>
    <w:rsid w:val="0088685E"/>
    <w:rsid w:val="0088686F"/>
    <w:rsid w:val="00886920"/>
    <w:rsid w:val="00886C2D"/>
    <w:rsid w:val="00886FE7"/>
    <w:rsid w:val="0088703C"/>
    <w:rsid w:val="008870C2"/>
    <w:rsid w:val="00887137"/>
    <w:rsid w:val="00887429"/>
    <w:rsid w:val="008874F7"/>
    <w:rsid w:val="008876F2"/>
    <w:rsid w:val="0088796F"/>
    <w:rsid w:val="00887A58"/>
    <w:rsid w:val="00887B11"/>
    <w:rsid w:val="00887BB4"/>
    <w:rsid w:val="00887BFA"/>
    <w:rsid w:val="00887CB3"/>
    <w:rsid w:val="00887E68"/>
    <w:rsid w:val="00887E7F"/>
    <w:rsid w:val="00887EA6"/>
    <w:rsid w:val="00887EFC"/>
    <w:rsid w:val="008900BC"/>
    <w:rsid w:val="008900E7"/>
    <w:rsid w:val="0089020C"/>
    <w:rsid w:val="008902CC"/>
    <w:rsid w:val="0089030F"/>
    <w:rsid w:val="008903B5"/>
    <w:rsid w:val="008904DB"/>
    <w:rsid w:val="0089078A"/>
    <w:rsid w:val="008908A9"/>
    <w:rsid w:val="008908ED"/>
    <w:rsid w:val="008909F7"/>
    <w:rsid w:val="00890A66"/>
    <w:rsid w:val="00890A7F"/>
    <w:rsid w:val="00890B2D"/>
    <w:rsid w:val="00890B53"/>
    <w:rsid w:val="00890B89"/>
    <w:rsid w:val="00890B99"/>
    <w:rsid w:val="00890C86"/>
    <w:rsid w:val="00891174"/>
    <w:rsid w:val="008911CE"/>
    <w:rsid w:val="0089151A"/>
    <w:rsid w:val="00891550"/>
    <w:rsid w:val="0089177E"/>
    <w:rsid w:val="00891781"/>
    <w:rsid w:val="0089196C"/>
    <w:rsid w:val="00891C25"/>
    <w:rsid w:val="00891C84"/>
    <w:rsid w:val="00891CC0"/>
    <w:rsid w:val="00891F0C"/>
    <w:rsid w:val="00891F21"/>
    <w:rsid w:val="00891F38"/>
    <w:rsid w:val="00891F66"/>
    <w:rsid w:val="00892090"/>
    <w:rsid w:val="008920E9"/>
    <w:rsid w:val="0089235F"/>
    <w:rsid w:val="00892870"/>
    <w:rsid w:val="00892C43"/>
    <w:rsid w:val="00892DE9"/>
    <w:rsid w:val="00892E82"/>
    <w:rsid w:val="00892EC2"/>
    <w:rsid w:val="0089338F"/>
    <w:rsid w:val="008936B0"/>
    <w:rsid w:val="0089377D"/>
    <w:rsid w:val="00893798"/>
    <w:rsid w:val="008938EF"/>
    <w:rsid w:val="008939C3"/>
    <w:rsid w:val="00893C19"/>
    <w:rsid w:val="00893C35"/>
    <w:rsid w:val="00893C72"/>
    <w:rsid w:val="00893E0C"/>
    <w:rsid w:val="00893E9C"/>
    <w:rsid w:val="00893F34"/>
    <w:rsid w:val="00894063"/>
    <w:rsid w:val="0089406F"/>
    <w:rsid w:val="008945A9"/>
    <w:rsid w:val="008947A3"/>
    <w:rsid w:val="00894923"/>
    <w:rsid w:val="008949B0"/>
    <w:rsid w:val="00894A93"/>
    <w:rsid w:val="00894B15"/>
    <w:rsid w:val="00894B4E"/>
    <w:rsid w:val="00894D20"/>
    <w:rsid w:val="00894D50"/>
    <w:rsid w:val="00895110"/>
    <w:rsid w:val="00895370"/>
    <w:rsid w:val="00895519"/>
    <w:rsid w:val="008956ED"/>
    <w:rsid w:val="00895770"/>
    <w:rsid w:val="00895786"/>
    <w:rsid w:val="0089579F"/>
    <w:rsid w:val="008958F7"/>
    <w:rsid w:val="008959E6"/>
    <w:rsid w:val="00895D08"/>
    <w:rsid w:val="00895D70"/>
    <w:rsid w:val="008960E2"/>
    <w:rsid w:val="00896103"/>
    <w:rsid w:val="008961FA"/>
    <w:rsid w:val="008963F7"/>
    <w:rsid w:val="008964E2"/>
    <w:rsid w:val="00896588"/>
    <w:rsid w:val="008966DD"/>
    <w:rsid w:val="0089671D"/>
    <w:rsid w:val="008967BB"/>
    <w:rsid w:val="00896926"/>
    <w:rsid w:val="00896A1E"/>
    <w:rsid w:val="00896A95"/>
    <w:rsid w:val="00896AFF"/>
    <w:rsid w:val="00896C5F"/>
    <w:rsid w:val="00896DD2"/>
    <w:rsid w:val="00896E88"/>
    <w:rsid w:val="00896F36"/>
    <w:rsid w:val="00896F9D"/>
    <w:rsid w:val="00896FAE"/>
    <w:rsid w:val="0089715C"/>
    <w:rsid w:val="00897356"/>
    <w:rsid w:val="008977B7"/>
    <w:rsid w:val="00897A09"/>
    <w:rsid w:val="00897B29"/>
    <w:rsid w:val="00897BB6"/>
    <w:rsid w:val="00897BE9"/>
    <w:rsid w:val="00897C84"/>
    <w:rsid w:val="00897CDB"/>
    <w:rsid w:val="00897DC1"/>
    <w:rsid w:val="00897F4D"/>
    <w:rsid w:val="008A008F"/>
    <w:rsid w:val="008A01AF"/>
    <w:rsid w:val="008A05C2"/>
    <w:rsid w:val="008A062D"/>
    <w:rsid w:val="008A0858"/>
    <w:rsid w:val="008A09D2"/>
    <w:rsid w:val="008A0CE4"/>
    <w:rsid w:val="008A0DE4"/>
    <w:rsid w:val="008A0DFE"/>
    <w:rsid w:val="008A0FA4"/>
    <w:rsid w:val="008A1006"/>
    <w:rsid w:val="008A1193"/>
    <w:rsid w:val="008A125B"/>
    <w:rsid w:val="008A13D3"/>
    <w:rsid w:val="008A157E"/>
    <w:rsid w:val="008A1766"/>
    <w:rsid w:val="008A1888"/>
    <w:rsid w:val="008A1929"/>
    <w:rsid w:val="008A195B"/>
    <w:rsid w:val="008A1A2D"/>
    <w:rsid w:val="008A1C13"/>
    <w:rsid w:val="008A1D8A"/>
    <w:rsid w:val="008A1E44"/>
    <w:rsid w:val="008A1FC6"/>
    <w:rsid w:val="008A2486"/>
    <w:rsid w:val="008A27CE"/>
    <w:rsid w:val="008A2800"/>
    <w:rsid w:val="008A2822"/>
    <w:rsid w:val="008A2829"/>
    <w:rsid w:val="008A2918"/>
    <w:rsid w:val="008A2C23"/>
    <w:rsid w:val="008A2D3F"/>
    <w:rsid w:val="008A2DAC"/>
    <w:rsid w:val="008A2EE3"/>
    <w:rsid w:val="008A30C1"/>
    <w:rsid w:val="008A316E"/>
    <w:rsid w:val="008A3242"/>
    <w:rsid w:val="008A33D4"/>
    <w:rsid w:val="008A3553"/>
    <w:rsid w:val="008A366C"/>
    <w:rsid w:val="008A3678"/>
    <w:rsid w:val="008A3782"/>
    <w:rsid w:val="008A3827"/>
    <w:rsid w:val="008A3892"/>
    <w:rsid w:val="008A3A44"/>
    <w:rsid w:val="008A3CE9"/>
    <w:rsid w:val="008A3DD6"/>
    <w:rsid w:val="008A3FFB"/>
    <w:rsid w:val="008A403D"/>
    <w:rsid w:val="008A40FA"/>
    <w:rsid w:val="008A4113"/>
    <w:rsid w:val="008A41CE"/>
    <w:rsid w:val="008A428E"/>
    <w:rsid w:val="008A43D6"/>
    <w:rsid w:val="008A4657"/>
    <w:rsid w:val="008A4665"/>
    <w:rsid w:val="008A47FE"/>
    <w:rsid w:val="008A481C"/>
    <w:rsid w:val="008A4893"/>
    <w:rsid w:val="008A49EE"/>
    <w:rsid w:val="008A4A01"/>
    <w:rsid w:val="008A4A6F"/>
    <w:rsid w:val="008A4A9E"/>
    <w:rsid w:val="008A4BA7"/>
    <w:rsid w:val="008A4E2C"/>
    <w:rsid w:val="008A4E7E"/>
    <w:rsid w:val="008A4F64"/>
    <w:rsid w:val="008A50BB"/>
    <w:rsid w:val="008A522E"/>
    <w:rsid w:val="008A5548"/>
    <w:rsid w:val="008A56DE"/>
    <w:rsid w:val="008A57A9"/>
    <w:rsid w:val="008A5B8B"/>
    <w:rsid w:val="008A5CCB"/>
    <w:rsid w:val="008A5CE5"/>
    <w:rsid w:val="008A617F"/>
    <w:rsid w:val="008A63B4"/>
    <w:rsid w:val="008A63F0"/>
    <w:rsid w:val="008A6691"/>
    <w:rsid w:val="008A66CF"/>
    <w:rsid w:val="008A66F2"/>
    <w:rsid w:val="008A68F5"/>
    <w:rsid w:val="008A695F"/>
    <w:rsid w:val="008A6990"/>
    <w:rsid w:val="008A6A06"/>
    <w:rsid w:val="008A6A60"/>
    <w:rsid w:val="008A6DAF"/>
    <w:rsid w:val="008A6DDA"/>
    <w:rsid w:val="008A6E54"/>
    <w:rsid w:val="008A6E8F"/>
    <w:rsid w:val="008A6F51"/>
    <w:rsid w:val="008A6F91"/>
    <w:rsid w:val="008A7005"/>
    <w:rsid w:val="008A7034"/>
    <w:rsid w:val="008A72E4"/>
    <w:rsid w:val="008A743B"/>
    <w:rsid w:val="008A74BB"/>
    <w:rsid w:val="008A7792"/>
    <w:rsid w:val="008A77FE"/>
    <w:rsid w:val="008A7899"/>
    <w:rsid w:val="008A7A30"/>
    <w:rsid w:val="008A7AC9"/>
    <w:rsid w:val="008A7B74"/>
    <w:rsid w:val="008A7B7C"/>
    <w:rsid w:val="008A7E26"/>
    <w:rsid w:val="008A7E37"/>
    <w:rsid w:val="008A7F4F"/>
    <w:rsid w:val="008B012B"/>
    <w:rsid w:val="008B015B"/>
    <w:rsid w:val="008B021E"/>
    <w:rsid w:val="008B0307"/>
    <w:rsid w:val="008B03A1"/>
    <w:rsid w:val="008B047D"/>
    <w:rsid w:val="008B05B3"/>
    <w:rsid w:val="008B069B"/>
    <w:rsid w:val="008B09C6"/>
    <w:rsid w:val="008B0B46"/>
    <w:rsid w:val="008B0F74"/>
    <w:rsid w:val="008B1082"/>
    <w:rsid w:val="008B10BA"/>
    <w:rsid w:val="008B12D0"/>
    <w:rsid w:val="008B1422"/>
    <w:rsid w:val="008B1577"/>
    <w:rsid w:val="008B19F2"/>
    <w:rsid w:val="008B1AC7"/>
    <w:rsid w:val="008B1B2D"/>
    <w:rsid w:val="008B1BAE"/>
    <w:rsid w:val="008B1D52"/>
    <w:rsid w:val="008B1E18"/>
    <w:rsid w:val="008B1F8B"/>
    <w:rsid w:val="008B1FDA"/>
    <w:rsid w:val="008B2003"/>
    <w:rsid w:val="008B2029"/>
    <w:rsid w:val="008B21CC"/>
    <w:rsid w:val="008B2235"/>
    <w:rsid w:val="008B22E6"/>
    <w:rsid w:val="008B2320"/>
    <w:rsid w:val="008B2364"/>
    <w:rsid w:val="008B2599"/>
    <w:rsid w:val="008B25D0"/>
    <w:rsid w:val="008B277D"/>
    <w:rsid w:val="008B28D9"/>
    <w:rsid w:val="008B2936"/>
    <w:rsid w:val="008B294A"/>
    <w:rsid w:val="008B2A69"/>
    <w:rsid w:val="008B2B60"/>
    <w:rsid w:val="008B2D12"/>
    <w:rsid w:val="008B30FA"/>
    <w:rsid w:val="008B32A9"/>
    <w:rsid w:val="008B32E5"/>
    <w:rsid w:val="008B34C2"/>
    <w:rsid w:val="008B35C4"/>
    <w:rsid w:val="008B3976"/>
    <w:rsid w:val="008B3A26"/>
    <w:rsid w:val="008B3A6D"/>
    <w:rsid w:val="008B3B2D"/>
    <w:rsid w:val="008B3F98"/>
    <w:rsid w:val="008B41D5"/>
    <w:rsid w:val="008B447E"/>
    <w:rsid w:val="008B44D8"/>
    <w:rsid w:val="008B45D7"/>
    <w:rsid w:val="008B461A"/>
    <w:rsid w:val="008B468F"/>
    <w:rsid w:val="008B4702"/>
    <w:rsid w:val="008B47D7"/>
    <w:rsid w:val="008B47DF"/>
    <w:rsid w:val="008B4973"/>
    <w:rsid w:val="008B4A44"/>
    <w:rsid w:val="008B4A74"/>
    <w:rsid w:val="008B4AD2"/>
    <w:rsid w:val="008B4EF1"/>
    <w:rsid w:val="008B50EC"/>
    <w:rsid w:val="008B516A"/>
    <w:rsid w:val="008B520D"/>
    <w:rsid w:val="008B5541"/>
    <w:rsid w:val="008B55B9"/>
    <w:rsid w:val="008B55E8"/>
    <w:rsid w:val="008B56CE"/>
    <w:rsid w:val="008B57F0"/>
    <w:rsid w:val="008B57FD"/>
    <w:rsid w:val="008B58CA"/>
    <w:rsid w:val="008B5967"/>
    <w:rsid w:val="008B5A9F"/>
    <w:rsid w:val="008B5ACB"/>
    <w:rsid w:val="008B5BF0"/>
    <w:rsid w:val="008B5C09"/>
    <w:rsid w:val="008B5C12"/>
    <w:rsid w:val="008B5CE6"/>
    <w:rsid w:val="008B5DCB"/>
    <w:rsid w:val="008B5FDB"/>
    <w:rsid w:val="008B61D0"/>
    <w:rsid w:val="008B646E"/>
    <w:rsid w:val="008B650E"/>
    <w:rsid w:val="008B65BB"/>
    <w:rsid w:val="008B66F6"/>
    <w:rsid w:val="008B6745"/>
    <w:rsid w:val="008B676B"/>
    <w:rsid w:val="008B6DF0"/>
    <w:rsid w:val="008B6E01"/>
    <w:rsid w:val="008B6FAD"/>
    <w:rsid w:val="008B70C8"/>
    <w:rsid w:val="008B716F"/>
    <w:rsid w:val="008B71CB"/>
    <w:rsid w:val="008B72FD"/>
    <w:rsid w:val="008B7454"/>
    <w:rsid w:val="008B754B"/>
    <w:rsid w:val="008B7668"/>
    <w:rsid w:val="008B77B5"/>
    <w:rsid w:val="008B784E"/>
    <w:rsid w:val="008B78A3"/>
    <w:rsid w:val="008B7BEE"/>
    <w:rsid w:val="008B7C23"/>
    <w:rsid w:val="008B7CFE"/>
    <w:rsid w:val="008B7E66"/>
    <w:rsid w:val="008B7FB2"/>
    <w:rsid w:val="008C019F"/>
    <w:rsid w:val="008C01FD"/>
    <w:rsid w:val="008C02B0"/>
    <w:rsid w:val="008C02C9"/>
    <w:rsid w:val="008C02CE"/>
    <w:rsid w:val="008C04CF"/>
    <w:rsid w:val="008C06F0"/>
    <w:rsid w:val="008C07A2"/>
    <w:rsid w:val="008C08BA"/>
    <w:rsid w:val="008C093C"/>
    <w:rsid w:val="008C0A60"/>
    <w:rsid w:val="008C0B20"/>
    <w:rsid w:val="008C0B3D"/>
    <w:rsid w:val="008C0F62"/>
    <w:rsid w:val="008C1027"/>
    <w:rsid w:val="008C1163"/>
    <w:rsid w:val="008C148C"/>
    <w:rsid w:val="008C14CE"/>
    <w:rsid w:val="008C15BA"/>
    <w:rsid w:val="008C1639"/>
    <w:rsid w:val="008C16AE"/>
    <w:rsid w:val="008C16C1"/>
    <w:rsid w:val="008C1707"/>
    <w:rsid w:val="008C1AE7"/>
    <w:rsid w:val="008C1C5D"/>
    <w:rsid w:val="008C1C8F"/>
    <w:rsid w:val="008C1C97"/>
    <w:rsid w:val="008C1DF0"/>
    <w:rsid w:val="008C1FF7"/>
    <w:rsid w:val="008C2346"/>
    <w:rsid w:val="008C25D0"/>
    <w:rsid w:val="008C2600"/>
    <w:rsid w:val="008C26AD"/>
    <w:rsid w:val="008C2820"/>
    <w:rsid w:val="008C2AF3"/>
    <w:rsid w:val="008C2BC3"/>
    <w:rsid w:val="008C2C38"/>
    <w:rsid w:val="008C2C74"/>
    <w:rsid w:val="008C2DFC"/>
    <w:rsid w:val="008C300D"/>
    <w:rsid w:val="008C3020"/>
    <w:rsid w:val="008C318B"/>
    <w:rsid w:val="008C319B"/>
    <w:rsid w:val="008C323F"/>
    <w:rsid w:val="008C32A5"/>
    <w:rsid w:val="008C33B3"/>
    <w:rsid w:val="008C3456"/>
    <w:rsid w:val="008C3462"/>
    <w:rsid w:val="008C3598"/>
    <w:rsid w:val="008C3685"/>
    <w:rsid w:val="008C36E0"/>
    <w:rsid w:val="008C391A"/>
    <w:rsid w:val="008C39AC"/>
    <w:rsid w:val="008C3AF1"/>
    <w:rsid w:val="008C3D09"/>
    <w:rsid w:val="008C3F39"/>
    <w:rsid w:val="008C3F9D"/>
    <w:rsid w:val="008C4070"/>
    <w:rsid w:val="008C426A"/>
    <w:rsid w:val="008C43DF"/>
    <w:rsid w:val="008C4506"/>
    <w:rsid w:val="008C45A3"/>
    <w:rsid w:val="008C45B0"/>
    <w:rsid w:val="008C475E"/>
    <w:rsid w:val="008C4784"/>
    <w:rsid w:val="008C4793"/>
    <w:rsid w:val="008C47B9"/>
    <w:rsid w:val="008C47BF"/>
    <w:rsid w:val="008C4894"/>
    <w:rsid w:val="008C49BB"/>
    <w:rsid w:val="008C49E1"/>
    <w:rsid w:val="008C4B27"/>
    <w:rsid w:val="008C4BB6"/>
    <w:rsid w:val="008C4D91"/>
    <w:rsid w:val="008C4E06"/>
    <w:rsid w:val="008C4FAA"/>
    <w:rsid w:val="008C4FE9"/>
    <w:rsid w:val="008C5086"/>
    <w:rsid w:val="008C50AF"/>
    <w:rsid w:val="008C5374"/>
    <w:rsid w:val="008C543B"/>
    <w:rsid w:val="008C5527"/>
    <w:rsid w:val="008C55B9"/>
    <w:rsid w:val="008C5647"/>
    <w:rsid w:val="008C5744"/>
    <w:rsid w:val="008C5757"/>
    <w:rsid w:val="008C5790"/>
    <w:rsid w:val="008C57A7"/>
    <w:rsid w:val="008C59C6"/>
    <w:rsid w:val="008C59F7"/>
    <w:rsid w:val="008C5A0F"/>
    <w:rsid w:val="008C5A6D"/>
    <w:rsid w:val="008C5B86"/>
    <w:rsid w:val="008C5BF2"/>
    <w:rsid w:val="008C5C8C"/>
    <w:rsid w:val="008C5CF4"/>
    <w:rsid w:val="008C5D23"/>
    <w:rsid w:val="008C5D30"/>
    <w:rsid w:val="008C5D46"/>
    <w:rsid w:val="008C5F52"/>
    <w:rsid w:val="008C60A4"/>
    <w:rsid w:val="008C6199"/>
    <w:rsid w:val="008C62A6"/>
    <w:rsid w:val="008C6381"/>
    <w:rsid w:val="008C64C0"/>
    <w:rsid w:val="008C652F"/>
    <w:rsid w:val="008C684C"/>
    <w:rsid w:val="008C6867"/>
    <w:rsid w:val="008C68E8"/>
    <w:rsid w:val="008C6B92"/>
    <w:rsid w:val="008C6BEC"/>
    <w:rsid w:val="008C6D5A"/>
    <w:rsid w:val="008C6E3A"/>
    <w:rsid w:val="008C6F35"/>
    <w:rsid w:val="008C718A"/>
    <w:rsid w:val="008C7318"/>
    <w:rsid w:val="008C73C3"/>
    <w:rsid w:val="008C7419"/>
    <w:rsid w:val="008C7620"/>
    <w:rsid w:val="008C7869"/>
    <w:rsid w:val="008C7A50"/>
    <w:rsid w:val="008C7B17"/>
    <w:rsid w:val="008C7BBC"/>
    <w:rsid w:val="008C7D69"/>
    <w:rsid w:val="008C7E96"/>
    <w:rsid w:val="008D007C"/>
    <w:rsid w:val="008D023D"/>
    <w:rsid w:val="008D0263"/>
    <w:rsid w:val="008D02DE"/>
    <w:rsid w:val="008D035F"/>
    <w:rsid w:val="008D0459"/>
    <w:rsid w:val="008D0648"/>
    <w:rsid w:val="008D0728"/>
    <w:rsid w:val="008D08C5"/>
    <w:rsid w:val="008D0989"/>
    <w:rsid w:val="008D0B54"/>
    <w:rsid w:val="008D0EAC"/>
    <w:rsid w:val="008D14B4"/>
    <w:rsid w:val="008D1537"/>
    <w:rsid w:val="008D1642"/>
    <w:rsid w:val="008D1834"/>
    <w:rsid w:val="008D1CFE"/>
    <w:rsid w:val="008D1FAF"/>
    <w:rsid w:val="008D1FE5"/>
    <w:rsid w:val="008D2129"/>
    <w:rsid w:val="008D21C0"/>
    <w:rsid w:val="008D241F"/>
    <w:rsid w:val="008D25BD"/>
    <w:rsid w:val="008D2615"/>
    <w:rsid w:val="008D2913"/>
    <w:rsid w:val="008D29BC"/>
    <w:rsid w:val="008D2B64"/>
    <w:rsid w:val="008D2C3E"/>
    <w:rsid w:val="008D2C5F"/>
    <w:rsid w:val="008D314A"/>
    <w:rsid w:val="008D37C3"/>
    <w:rsid w:val="008D3825"/>
    <w:rsid w:val="008D385E"/>
    <w:rsid w:val="008D38AF"/>
    <w:rsid w:val="008D396D"/>
    <w:rsid w:val="008D3A6E"/>
    <w:rsid w:val="008D3B10"/>
    <w:rsid w:val="008D3B6F"/>
    <w:rsid w:val="008D3CDC"/>
    <w:rsid w:val="008D3DA7"/>
    <w:rsid w:val="008D3E4D"/>
    <w:rsid w:val="008D3E64"/>
    <w:rsid w:val="008D41AC"/>
    <w:rsid w:val="008D4203"/>
    <w:rsid w:val="008D423A"/>
    <w:rsid w:val="008D4368"/>
    <w:rsid w:val="008D43A1"/>
    <w:rsid w:val="008D43D1"/>
    <w:rsid w:val="008D46A5"/>
    <w:rsid w:val="008D470E"/>
    <w:rsid w:val="008D476D"/>
    <w:rsid w:val="008D4829"/>
    <w:rsid w:val="008D486E"/>
    <w:rsid w:val="008D48C0"/>
    <w:rsid w:val="008D48D0"/>
    <w:rsid w:val="008D48E0"/>
    <w:rsid w:val="008D4954"/>
    <w:rsid w:val="008D49E0"/>
    <w:rsid w:val="008D49F8"/>
    <w:rsid w:val="008D4A76"/>
    <w:rsid w:val="008D4B49"/>
    <w:rsid w:val="008D4B79"/>
    <w:rsid w:val="008D4C5A"/>
    <w:rsid w:val="008D4DCC"/>
    <w:rsid w:val="008D4F9A"/>
    <w:rsid w:val="008D503A"/>
    <w:rsid w:val="008D51B1"/>
    <w:rsid w:val="008D5660"/>
    <w:rsid w:val="008D577F"/>
    <w:rsid w:val="008D585B"/>
    <w:rsid w:val="008D5A67"/>
    <w:rsid w:val="008D5B4F"/>
    <w:rsid w:val="008D5E57"/>
    <w:rsid w:val="008D5EA8"/>
    <w:rsid w:val="008D5EB3"/>
    <w:rsid w:val="008D5F83"/>
    <w:rsid w:val="008D5FE9"/>
    <w:rsid w:val="008D60F5"/>
    <w:rsid w:val="008D617A"/>
    <w:rsid w:val="008D62DF"/>
    <w:rsid w:val="008D6307"/>
    <w:rsid w:val="008D641E"/>
    <w:rsid w:val="008D6481"/>
    <w:rsid w:val="008D65BC"/>
    <w:rsid w:val="008D65E0"/>
    <w:rsid w:val="008D67FE"/>
    <w:rsid w:val="008D6820"/>
    <w:rsid w:val="008D682F"/>
    <w:rsid w:val="008D690B"/>
    <w:rsid w:val="008D693B"/>
    <w:rsid w:val="008D6A8D"/>
    <w:rsid w:val="008D6C2F"/>
    <w:rsid w:val="008D6C78"/>
    <w:rsid w:val="008D6CEF"/>
    <w:rsid w:val="008D73D7"/>
    <w:rsid w:val="008D73D9"/>
    <w:rsid w:val="008D7A57"/>
    <w:rsid w:val="008D7C30"/>
    <w:rsid w:val="008D7C6E"/>
    <w:rsid w:val="008D7C77"/>
    <w:rsid w:val="008D7D99"/>
    <w:rsid w:val="008D7DEA"/>
    <w:rsid w:val="008D7E0F"/>
    <w:rsid w:val="008D7EFB"/>
    <w:rsid w:val="008D7F31"/>
    <w:rsid w:val="008E0111"/>
    <w:rsid w:val="008E031A"/>
    <w:rsid w:val="008E058D"/>
    <w:rsid w:val="008E078B"/>
    <w:rsid w:val="008E09BC"/>
    <w:rsid w:val="008E0B60"/>
    <w:rsid w:val="008E0E46"/>
    <w:rsid w:val="008E0EEE"/>
    <w:rsid w:val="008E0F1D"/>
    <w:rsid w:val="008E0FE7"/>
    <w:rsid w:val="008E114C"/>
    <w:rsid w:val="008E1153"/>
    <w:rsid w:val="008E117F"/>
    <w:rsid w:val="008E11B1"/>
    <w:rsid w:val="008E11F8"/>
    <w:rsid w:val="008E1211"/>
    <w:rsid w:val="008E123B"/>
    <w:rsid w:val="008E16F0"/>
    <w:rsid w:val="008E173D"/>
    <w:rsid w:val="008E17AA"/>
    <w:rsid w:val="008E17E7"/>
    <w:rsid w:val="008E1909"/>
    <w:rsid w:val="008E1993"/>
    <w:rsid w:val="008E1A57"/>
    <w:rsid w:val="008E1AA4"/>
    <w:rsid w:val="008E1CA4"/>
    <w:rsid w:val="008E1D5A"/>
    <w:rsid w:val="008E1E12"/>
    <w:rsid w:val="008E1E1D"/>
    <w:rsid w:val="008E1EBE"/>
    <w:rsid w:val="008E1F28"/>
    <w:rsid w:val="008E2713"/>
    <w:rsid w:val="008E2736"/>
    <w:rsid w:val="008E2795"/>
    <w:rsid w:val="008E27B6"/>
    <w:rsid w:val="008E27D9"/>
    <w:rsid w:val="008E2972"/>
    <w:rsid w:val="008E2A62"/>
    <w:rsid w:val="008E2D56"/>
    <w:rsid w:val="008E2F77"/>
    <w:rsid w:val="008E302F"/>
    <w:rsid w:val="008E34D9"/>
    <w:rsid w:val="008E34EE"/>
    <w:rsid w:val="008E3B0D"/>
    <w:rsid w:val="008E3EE8"/>
    <w:rsid w:val="008E3F89"/>
    <w:rsid w:val="008E42D2"/>
    <w:rsid w:val="008E433C"/>
    <w:rsid w:val="008E44CD"/>
    <w:rsid w:val="008E453E"/>
    <w:rsid w:val="008E4643"/>
    <w:rsid w:val="008E488C"/>
    <w:rsid w:val="008E4C3F"/>
    <w:rsid w:val="008E4CE5"/>
    <w:rsid w:val="008E4CF9"/>
    <w:rsid w:val="008E4D15"/>
    <w:rsid w:val="008E4EA6"/>
    <w:rsid w:val="008E4EFA"/>
    <w:rsid w:val="008E5037"/>
    <w:rsid w:val="008E51D6"/>
    <w:rsid w:val="008E5336"/>
    <w:rsid w:val="008E5337"/>
    <w:rsid w:val="008E5385"/>
    <w:rsid w:val="008E5458"/>
    <w:rsid w:val="008E55D1"/>
    <w:rsid w:val="008E5752"/>
    <w:rsid w:val="008E5814"/>
    <w:rsid w:val="008E58B7"/>
    <w:rsid w:val="008E596F"/>
    <w:rsid w:val="008E59E9"/>
    <w:rsid w:val="008E5AF9"/>
    <w:rsid w:val="008E5C72"/>
    <w:rsid w:val="008E5DB7"/>
    <w:rsid w:val="008E5DCC"/>
    <w:rsid w:val="008E5F51"/>
    <w:rsid w:val="008E619D"/>
    <w:rsid w:val="008E62B7"/>
    <w:rsid w:val="008E6363"/>
    <w:rsid w:val="008E63E1"/>
    <w:rsid w:val="008E651B"/>
    <w:rsid w:val="008E654C"/>
    <w:rsid w:val="008E6636"/>
    <w:rsid w:val="008E6AB7"/>
    <w:rsid w:val="008E6DD2"/>
    <w:rsid w:val="008E6F41"/>
    <w:rsid w:val="008E7156"/>
    <w:rsid w:val="008E723E"/>
    <w:rsid w:val="008E7262"/>
    <w:rsid w:val="008E7364"/>
    <w:rsid w:val="008E767A"/>
    <w:rsid w:val="008E7776"/>
    <w:rsid w:val="008E787E"/>
    <w:rsid w:val="008E79FA"/>
    <w:rsid w:val="008E7B2F"/>
    <w:rsid w:val="008E7D69"/>
    <w:rsid w:val="008E7EC1"/>
    <w:rsid w:val="008E7FD3"/>
    <w:rsid w:val="008F00E5"/>
    <w:rsid w:val="008F00FA"/>
    <w:rsid w:val="008F0215"/>
    <w:rsid w:val="008F032C"/>
    <w:rsid w:val="008F03B9"/>
    <w:rsid w:val="008F03CC"/>
    <w:rsid w:val="008F04A0"/>
    <w:rsid w:val="008F05EA"/>
    <w:rsid w:val="008F0734"/>
    <w:rsid w:val="008F08E1"/>
    <w:rsid w:val="008F08EF"/>
    <w:rsid w:val="008F0969"/>
    <w:rsid w:val="008F0C39"/>
    <w:rsid w:val="008F0DD5"/>
    <w:rsid w:val="008F0FBC"/>
    <w:rsid w:val="008F0FC3"/>
    <w:rsid w:val="008F101C"/>
    <w:rsid w:val="008F10DB"/>
    <w:rsid w:val="008F140B"/>
    <w:rsid w:val="008F1572"/>
    <w:rsid w:val="008F15B0"/>
    <w:rsid w:val="008F16D5"/>
    <w:rsid w:val="008F1C24"/>
    <w:rsid w:val="008F1D23"/>
    <w:rsid w:val="008F1D93"/>
    <w:rsid w:val="008F1EC5"/>
    <w:rsid w:val="008F210B"/>
    <w:rsid w:val="008F212D"/>
    <w:rsid w:val="008F219B"/>
    <w:rsid w:val="008F2570"/>
    <w:rsid w:val="008F2685"/>
    <w:rsid w:val="008F26B2"/>
    <w:rsid w:val="008F2826"/>
    <w:rsid w:val="008F28E4"/>
    <w:rsid w:val="008F2A4D"/>
    <w:rsid w:val="008F2A84"/>
    <w:rsid w:val="008F2AAF"/>
    <w:rsid w:val="008F2B6E"/>
    <w:rsid w:val="008F2EED"/>
    <w:rsid w:val="008F2F1B"/>
    <w:rsid w:val="008F2FC3"/>
    <w:rsid w:val="008F3144"/>
    <w:rsid w:val="008F31A9"/>
    <w:rsid w:val="008F327C"/>
    <w:rsid w:val="008F34CE"/>
    <w:rsid w:val="008F3651"/>
    <w:rsid w:val="008F38E5"/>
    <w:rsid w:val="008F39C9"/>
    <w:rsid w:val="008F39FA"/>
    <w:rsid w:val="008F3AD9"/>
    <w:rsid w:val="008F3D49"/>
    <w:rsid w:val="008F3D8F"/>
    <w:rsid w:val="008F3F3B"/>
    <w:rsid w:val="008F40D6"/>
    <w:rsid w:val="008F41AD"/>
    <w:rsid w:val="008F41C4"/>
    <w:rsid w:val="008F42FE"/>
    <w:rsid w:val="008F43FC"/>
    <w:rsid w:val="008F442C"/>
    <w:rsid w:val="008F44B2"/>
    <w:rsid w:val="008F4525"/>
    <w:rsid w:val="008F45A8"/>
    <w:rsid w:val="008F4815"/>
    <w:rsid w:val="008F4912"/>
    <w:rsid w:val="008F4D0B"/>
    <w:rsid w:val="008F4D10"/>
    <w:rsid w:val="008F4E11"/>
    <w:rsid w:val="008F4E53"/>
    <w:rsid w:val="008F4E72"/>
    <w:rsid w:val="008F5040"/>
    <w:rsid w:val="008F50E3"/>
    <w:rsid w:val="008F546F"/>
    <w:rsid w:val="008F55B2"/>
    <w:rsid w:val="008F5646"/>
    <w:rsid w:val="008F565A"/>
    <w:rsid w:val="008F5727"/>
    <w:rsid w:val="008F5765"/>
    <w:rsid w:val="008F57CD"/>
    <w:rsid w:val="008F5A2E"/>
    <w:rsid w:val="008F5B8E"/>
    <w:rsid w:val="008F5C39"/>
    <w:rsid w:val="008F5C9A"/>
    <w:rsid w:val="008F5CB3"/>
    <w:rsid w:val="008F5CB4"/>
    <w:rsid w:val="008F5CC5"/>
    <w:rsid w:val="008F5E1C"/>
    <w:rsid w:val="008F5E1E"/>
    <w:rsid w:val="008F61BB"/>
    <w:rsid w:val="008F62DD"/>
    <w:rsid w:val="008F641D"/>
    <w:rsid w:val="008F656B"/>
    <w:rsid w:val="008F6590"/>
    <w:rsid w:val="008F66FC"/>
    <w:rsid w:val="008F69C8"/>
    <w:rsid w:val="008F69FB"/>
    <w:rsid w:val="008F6D75"/>
    <w:rsid w:val="008F6EB0"/>
    <w:rsid w:val="008F6F16"/>
    <w:rsid w:val="008F715D"/>
    <w:rsid w:val="008F74B1"/>
    <w:rsid w:val="008F762A"/>
    <w:rsid w:val="008F7721"/>
    <w:rsid w:val="008F792A"/>
    <w:rsid w:val="008F795A"/>
    <w:rsid w:val="008F79A1"/>
    <w:rsid w:val="008F7B42"/>
    <w:rsid w:val="008F7B63"/>
    <w:rsid w:val="008F7CFD"/>
    <w:rsid w:val="008F7FF2"/>
    <w:rsid w:val="00900080"/>
    <w:rsid w:val="0090045A"/>
    <w:rsid w:val="00900546"/>
    <w:rsid w:val="0090057E"/>
    <w:rsid w:val="0090068A"/>
    <w:rsid w:val="009006FC"/>
    <w:rsid w:val="00900716"/>
    <w:rsid w:val="00900900"/>
    <w:rsid w:val="00900EEB"/>
    <w:rsid w:val="00900F29"/>
    <w:rsid w:val="0090121D"/>
    <w:rsid w:val="00901309"/>
    <w:rsid w:val="0090153B"/>
    <w:rsid w:val="009015B9"/>
    <w:rsid w:val="009017AA"/>
    <w:rsid w:val="009017C7"/>
    <w:rsid w:val="00901A14"/>
    <w:rsid w:val="00901A23"/>
    <w:rsid w:val="00901AAF"/>
    <w:rsid w:val="00901C0F"/>
    <w:rsid w:val="00901D56"/>
    <w:rsid w:val="00901DD2"/>
    <w:rsid w:val="00901EB1"/>
    <w:rsid w:val="00901F0E"/>
    <w:rsid w:val="00901F83"/>
    <w:rsid w:val="0090201C"/>
    <w:rsid w:val="0090203A"/>
    <w:rsid w:val="0090229F"/>
    <w:rsid w:val="00902312"/>
    <w:rsid w:val="0090239F"/>
    <w:rsid w:val="00902418"/>
    <w:rsid w:val="009028AB"/>
    <w:rsid w:val="009028D1"/>
    <w:rsid w:val="00902A4E"/>
    <w:rsid w:val="00902CD2"/>
    <w:rsid w:val="00902D19"/>
    <w:rsid w:val="00902D86"/>
    <w:rsid w:val="00902E8A"/>
    <w:rsid w:val="00902E97"/>
    <w:rsid w:val="00902EA6"/>
    <w:rsid w:val="009031BF"/>
    <w:rsid w:val="0090322D"/>
    <w:rsid w:val="00903238"/>
    <w:rsid w:val="0090329F"/>
    <w:rsid w:val="009032B8"/>
    <w:rsid w:val="00903373"/>
    <w:rsid w:val="009037D3"/>
    <w:rsid w:val="009039EC"/>
    <w:rsid w:val="00903A86"/>
    <w:rsid w:val="00903B45"/>
    <w:rsid w:val="00903CE6"/>
    <w:rsid w:val="00903F3D"/>
    <w:rsid w:val="00904066"/>
    <w:rsid w:val="0090407F"/>
    <w:rsid w:val="0090433E"/>
    <w:rsid w:val="00904543"/>
    <w:rsid w:val="00904558"/>
    <w:rsid w:val="009046B5"/>
    <w:rsid w:val="00904791"/>
    <w:rsid w:val="00904A3A"/>
    <w:rsid w:val="00904AC3"/>
    <w:rsid w:val="00904E2C"/>
    <w:rsid w:val="0090506D"/>
    <w:rsid w:val="00905088"/>
    <w:rsid w:val="00905196"/>
    <w:rsid w:val="009054CB"/>
    <w:rsid w:val="009054D7"/>
    <w:rsid w:val="00905516"/>
    <w:rsid w:val="00905601"/>
    <w:rsid w:val="00905815"/>
    <w:rsid w:val="0090598A"/>
    <w:rsid w:val="00905A45"/>
    <w:rsid w:val="00905AA8"/>
    <w:rsid w:val="00905AB8"/>
    <w:rsid w:val="00905EA8"/>
    <w:rsid w:val="00906172"/>
    <w:rsid w:val="00906177"/>
    <w:rsid w:val="009063CC"/>
    <w:rsid w:val="0090649F"/>
    <w:rsid w:val="009064CD"/>
    <w:rsid w:val="00906524"/>
    <w:rsid w:val="009065FB"/>
    <w:rsid w:val="0090662D"/>
    <w:rsid w:val="00906971"/>
    <w:rsid w:val="009069EA"/>
    <w:rsid w:val="00906AE2"/>
    <w:rsid w:val="00906CA8"/>
    <w:rsid w:val="00906E30"/>
    <w:rsid w:val="00906F69"/>
    <w:rsid w:val="009072E3"/>
    <w:rsid w:val="009073B1"/>
    <w:rsid w:val="0090761E"/>
    <w:rsid w:val="009076C5"/>
    <w:rsid w:val="0090778F"/>
    <w:rsid w:val="009079B7"/>
    <w:rsid w:val="00907B1D"/>
    <w:rsid w:val="00907B55"/>
    <w:rsid w:val="00907B90"/>
    <w:rsid w:val="00907C4F"/>
    <w:rsid w:val="00907D81"/>
    <w:rsid w:val="00907DC3"/>
    <w:rsid w:val="0091013A"/>
    <w:rsid w:val="00910370"/>
    <w:rsid w:val="00910441"/>
    <w:rsid w:val="00910523"/>
    <w:rsid w:val="0091089B"/>
    <w:rsid w:val="00910992"/>
    <w:rsid w:val="009109E4"/>
    <w:rsid w:val="00910AA2"/>
    <w:rsid w:val="00910AD0"/>
    <w:rsid w:val="00910C66"/>
    <w:rsid w:val="00910CAE"/>
    <w:rsid w:val="009110AE"/>
    <w:rsid w:val="00911328"/>
    <w:rsid w:val="00911334"/>
    <w:rsid w:val="009113A0"/>
    <w:rsid w:val="0091164F"/>
    <w:rsid w:val="009117E0"/>
    <w:rsid w:val="009117EF"/>
    <w:rsid w:val="00911C3C"/>
    <w:rsid w:val="00911CC7"/>
    <w:rsid w:val="00911D0F"/>
    <w:rsid w:val="00911DB5"/>
    <w:rsid w:val="00911E44"/>
    <w:rsid w:val="00911F76"/>
    <w:rsid w:val="00911FE1"/>
    <w:rsid w:val="00912023"/>
    <w:rsid w:val="009120EA"/>
    <w:rsid w:val="009121DF"/>
    <w:rsid w:val="00912235"/>
    <w:rsid w:val="009123D9"/>
    <w:rsid w:val="00912513"/>
    <w:rsid w:val="009126AC"/>
    <w:rsid w:val="0091271A"/>
    <w:rsid w:val="009127B7"/>
    <w:rsid w:val="00912813"/>
    <w:rsid w:val="0091287C"/>
    <w:rsid w:val="0091295C"/>
    <w:rsid w:val="009129CE"/>
    <w:rsid w:val="00912ADB"/>
    <w:rsid w:val="00912D87"/>
    <w:rsid w:val="00912E21"/>
    <w:rsid w:val="00912FF2"/>
    <w:rsid w:val="0091302F"/>
    <w:rsid w:val="009130DD"/>
    <w:rsid w:val="00913121"/>
    <w:rsid w:val="00913199"/>
    <w:rsid w:val="009133D3"/>
    <w:rsid w:val="00913450"/>
    <w:rsid w:val="0091349B"/>
    <w:rsid w:val="009135F5"/>
    <w:rsid w:val="0091367D"/>
    <w:rsid w:val="009137BA"/>
    <w:rsid w:val="0091391F"/>
    <w:rsid w:val="00913986"/>
    <w:rsid w:val="00913E1D"/>
    <w:rsid w:val="00913FC2"/>
    <w:rsid w:val="0091429B"/>
    <w:rsid w:val="009142FA"/>
    <w:rsid w:val="00914373"/>
    <w:rsid w:val="009143D9"/>
    <w:rsid w:val="00914977"/>
    <w:rsid w:val="00914ABB"/>
    <w:rsid w:val="00914AD3"/>
    <w:rsid w:val="00914AE9"/>
    <w:rsid w:val="00914B2E"/>
    <w:rsid w:val="00914C3F"/>
    <w:rsid w:val="00914C84"/>
    <w:rsid w:val="00914D91"/>
    <w:rsid w:val="00914DDF"/>
    <w:rsid w:val="00914F86"/>
    <w:rsid w:val="00914FF1"/>
    <w:rsid w:val="00915067"/>
    <w:rsid w:val="00915114"/>
    <w:rsid w:val="009151A9"/>
    <w:rsid w:val="00915264"/>
    <w:rsid w:val="009152B8"/>
    <w:rsid w:val="00915359"/>
    <w:rsid w:val="0091585B"/>
    <w:rsid w:val="00915D5E"/>
    <w:rsid w:val="00916098"/>
    <w:rsid w:val="009161D0"/>
    <w:rsid w:val="009161F3"/>
    <w:rsid w:val="00916270"/>
    <w:rsid w:val="00916451"/>
    <w:rsid w:val="0091658F"/>
    <w:rsid w:val="00916802"/>
    <w:rsid w:val="009168D4"/>
    <w:rsid w:val="00916930"/>
    <w:rsid w:val="0091694D"/>
    <w:rsid w:val="009169F2"/>
    <w:rsid w:val="00916A39"/>
    <w:rsid w:val="00916BF8"/>
    <w:rsid w:val="00916CD6"/>
    <w:rsid w:val="00916DBF"/>
    <w:rsid w:val="00916E8D"/>
    <w:rsid w:val="0091757D"/>
    <w:rsid w:val="009177F9"/>
    <w:rsid w:val="00917818"/>
    <w:rsid w:val="009178A9"/>
    <w:rsid w:val="009179E3"/>
    <w:rsid w:val="00917A83"/>
    <w:rsid w:val="00917CAD"/>
    <w:rsid w:val="00917F6A"/>
    <w:rsid w:val="009200E1"/>
    <w:rsid w:val="00920133"/>
    <w:rsid w:val="00920222"/>
    <w:rsid w:val="009202CA"/>
    <w:rsid w:val="00920389"/>
    <w:rsid w:val="00920435"/>
    <w:rsid w:val="0092054C"/>
    <w:rsid w:val="009205BC"/>
    <w:rsid w:val="0092079C"/>
    <w:rsid w:val="009208AC"/>
    <w:rsid w:val="00920BA9"/>
    <w:rsid w:val="00920C72"/>
    <w:rsid w:val="00920E0E"/>
    <w:rsid w:val="00920ED1"/>
    <w:rsid w:val="00920F45"/>
    <w:rsid w:val="00921280"/>
    <w:rsid w:val="009212CE"/>
    <w:rsid w:val="009214D9"/>
    <w:rsid w:val="0092151E"/>
    <w:rsid w:val="009215AB"/>
    <w:rsid w:val="009216B7"/>
    <w:rsid w:val="0092170B"/>
    <w:rsid w:val="009217DE"/>
    <w:rsid w:val="00921CE2"/>
    <w:rsid w:val="00921D27"/>
    <w:rsid w:val="00921F09"/>
    <w:rsid w:val="00921F11"/>
    <w:rsid w:val="00921F12"/>
    <w:rsid w:val="0092204B"/>
    <w:rsid w:val="009222C1"/>
    <w:rsid w:val="00922317"/>
    <w:rsid w:val="00922390"/>
    <w:rsid w:val="0092246D"/>
    <w:rsid w:val="00922550"/>
    <w:rsid w:val="00922AC9"/>
    <w:rsid w:val="00922FA6"/>
    <w:rsid w:val="00923087"/>
    <w:rsid w:val="009230AC"/>
    <w:rsid w:val="009230D2"/>
    <w:rsid w:val="00923230"/>
    <w:rsid w:val="0092399B"/>
    <w:rsid w:val="00923A71"/>
    <w:rsid w:val="00923ABE"/>
    <w:rsid w:val="00923AF0"/>
    <w:rsid w:val="00923BA0"/>
    <w:rsid w:val="00923CC7"/>
    <w:rsid w:val="00923DB9"/>
    <w:rsid w:val="00923E93"/>
    <w:rsid w:val="00923F6B"/>
    <w:rsid w:val="00923FD7"/>
    <w:rsid w:val="009240BB"/>
    <w:rsid w:val="00924365"/>
    <w:rsid w:val="00924444"/>
    <w:rsid w:val="009246A7"/>
    <w:rsid w:val="0092470D"/>
    <w:rsid w:val="00924BF4"/>
    <w:rsid w:val="00924D34"/>
    <w:rsid w:val="00924DE5"/>
    <w:rsid w:val="00925298"/>
    <w:rsid w:val="009252EF"/>
    <w:rsid w:val="009253C3"/>
    <w:rsid w:val="0092542F"/>
    <w:rsid w:val="009254A5"/>
    <w:rsid w:val="0092565E"/>
    <w:rsid w:val="009256A9"/>
    <w:rsid w:val="009256D4"/>
    <w:rsid w:val="009256EC"/>
    <w:rsid w:val="009258B0"/>
    <w:rsid w:val="00925A49"/>
    <w:rsid w:val="00925A4E"/>
    <w:rsid w:val="00925C7E"/>
    <w:rsid w:val="00925E57"/>
    <w:rsid w:val="00925FA1"/>
    <w:rsid w:val="00926008"/>
    <w:rsid w:val="0092622C"/>
    <w:rsid w:val="009262A8"/>
    <w:rsid w:val="00926304"/>
    <w:rsid w:val="00926485"/>
    <w:rsid w:val="009266FC"/>
    <w:rsid w:val="009267C4"/>
    <w:rsid w:val="009267D6"/>
    <w:rsid w:val="009267F5"/>
    <w:rsid w:val="009268CF"/>
    <w:rsid w:val="00926A40"/>
    <w:rsid w:val="00926D3C"/>
    <w:rsid w:val="00926D87"/>
    <w:rsid w:val="00926DF6"/>
    <w:rsid w:val="00926E92"/>
    <w:rsid w:val="00926F4D"/>
    <w:rsid w:val="00926F95"/>
    <w:rsid w:val="00926FD2"/>
    <w:rsid w:val="00927044"/>
    <w:rsid w:val="009271EF"/>
    <w:rsid w:val="009271FC"/>
    <w:rsid w:val="0092726A"/>
    <w:rsid w:val="0092730F"/>
    <w:rsid w:val="0092757E"/>
    <w:rsid w:val="00927921"/>
    <w:rsid w:val="00927B62"/>
    <w:rsid w:val="00927B98"/>
    <w:rsid w:val="00927C7F"/>
    <w:rsid w:val="00927C81"/>
    <w:rsid w:val="00927CDB"/>
    <w:rsid w:val="00927E92"/>
    <w:rsid w:val="00930070"/>
    <w:rsid w:val="0093016B"/>
    <w:rsid w:val="00930199"/>
    <w:rsid w:val="0093022E"/>
    <w:rsid w:val="00930300"/>
    <w:rsid w:val="00930593"/>
    <w:rsid w:val="00930785"/>
    <w:rsid w:val="0093078F"/>
    <w:rsid w:val="009307E5"/>
    <w:rsid w:val="0093085F"/>
    <w:rsid w:val="0093089E"/>
    <w:rsid w:val="009308C7"/>
    <w:rsid w:val="00930B2C"/>
    <w:rsid w:val="00930CCB"/>
    <w:rsid w:val="00930D30"/>
    <w:rsid w:val="00930DB4"/>
    <w:rsid w:val="00930E8B"/>
    <w:rsid w:val="00931391"/>
    <w:rsid w:val="00931401"/>
    <w:rsid w:val="00931589"/>
    <w:rsid w:val="009317E9"/>
    <w:rsid w:val="00931844"/>
    <w:rsid w:val="00931851"/>
    <w:rsid w:val="009318B0"/>
    <w:rsid w:val="00931999"/>
    <w:rsid w:val="00931AAB"/>
    <w:rsid w:val="00931CA5"/>
    <w:rsid w:val="00931DF4"/>
    <w:rsid w:val="00931F10"/>
    <w:rsid w:val="00931F17"/>
    <w:rsid w:val="00932097"/>
    <w:rsid w:val="0093267B"/>
    <w:rsid w:val="00932693"/>
    <w:rsid w:val="009327F1"/>
    <w:rsid w:val="00932854"/>
    <w:rsid w:val="0093286F"/>
    <w:rsid w:val="00932A69"/>
    <w:rsid w:val="00933056"/>
    <w:rsid w:val="0093346A"/>
    <w:rsid w:val="009334C4"/>
    <w:rsid w:val="009335A3"/>
    <w:rsid w:val="00933640"/>
    <w:rsid w:val="00933707"/>
    <w:rsid w:val="00933773"/>
    <w:rsid w:val="00933B01"/>
    <w:rsid w:val="00933C96"/>
    <w:rsid w:val="00933E73"/>
    <w:rsid w:val="0093410C"/>
    <w:rsid w:val="009341E4"/>
    <w:rsid w:val="0093435A"/>
    <w:rsid w:val="009345B2"/>
    <w:rsid w:val="0093492B"/>
    <w:rsid w:val="00934A21"/>
    <w:rsid w:val="00934A68"/>
    <w:rsid w:val="00934A7E"/>
    <w:rsid w:val="00934CDC"/>
    <w:rsid w:val="00934F7D"/>
    <w:rsid w:val="009350CA"/>
    <w:rsid w:val="009351C1"/>
    <w:rsid w:val="009352EF"/>
    <w:rsid w:val="00935535"/>
    <w:rsid w:val="009358B7"/>
    <w:rsid w:val="009358F9"/>
    <w:rsid w:val="00935950"/>
    <w:rsid w:val="009359F0"/>
    <w:rsid w:val="00935C1D"/>
    <w:rsid w:val="00935C2F"/>
    <w:rsid w:val="00935E6B"/>
    <w:rsid w:val="00935F63"/>
    <w:rsid w:val="0093602C"/>
    <w:rsid w:val="00936053"/>
    <w:rsid w:val="0093605B"/>
    <w:rsid w:val="009360F8"/>
    <w:rsid w:val="00936C0E"/>
    <w:rsid w:val="00936C53"/>
    <w:rsid w:val="00936D6D"/>
    <w:rsid w:val="00936DAC"/>
    <w:rsid w:val="00936E6D"/>
    <w:rsid w:val="00936E80"/>
    <w:rsid w:val="00936FBA"/>
    <w:rsid w:val="00936FF3"/>
    <w:rsid w:val="00937122"/>
    <w:rsid w:val="00937208"/>
    <w:rsid w:val="00937299"/>
    <w:rsid w:val="009372C3"/>
    <w:rsid w:val="00937496"/>
    <w:rsid w:val="009374C9"/>
    <w:rsid w:val="0093757E"/>
    <w:rsid w:val="009375B8"/>
    <w:rsid w:val="00937769"/>
    <w:rsid w:val="0093779C"/>
    <w:rsid w:val="00937AB2"/>
    <w:rsid w:val="00937AB5"/>
    <w:rsid w:val="00937B57"/>
    <w:rsid w:val="00937C0B"/>
    <w:rsid w:val="009401F7"/>
    <w:rsid w:val="009401FD"/>
    <w:rsid w:val="009402AF"/>
    <w:rsid w:val="0094030F"/>
    <w:rsid w:val="009403C1"/>
    <w:rsid w:val="009403D4"/>
    <w:rsid w:val="009403F1"/>
    <w:rsid w:val="00940790"/>
    <w:rsid w:val="00940794"/>
    <w:rsid w:val="009407E7"/>
    <w:rsid w:val="00940BB3"/>
    <w:rsid w:val="00940BF8"/>
    <w:rsid w:val="00940DCD"/>
    <w:rsid w:val="00940F1E"/>
    <w:rsid w:val="00940FA2"/>
    <w:rsid w:val="009414D3"/>
    <w:rsid w:val="009415F2"/>
    <w:rsid w:val="009416E3"/>
    <w:rsid w:val="00941878"/>
    <w:rsid w:val="00941A7D"/>
    <w:rsid w:val="00941D54"/>
    <w:rsid w:val="00941EFB"/>
    <w:rsid w:val="00942026"/>
    <w:rsid w:val="009420F0"/>
    <w:rsid w:val="00942176"/>
    <w:rsid w:val="009421DB"/>
    <w:rsid w:val="009421FB"/>
    <w:rsid w:val="00942209"/>
    <w:rsid w:val="00942806"/>
    <w:rsid w:val="009428D0"/>
    <w:rsid w:val="00942B46"/>
    <w:rsid w:val="00942C0E"/>
    <w:rsid w:val="00942EC4"/>
    <w:rsid w:val="00943164"/>
    <w:rsid w:val="00943260"/>
    <w:rsid w:val="009432F5"/>
    <w:rsid w:val="00943407"/>
    <w:rsid w:val="0094340B"/>
    <w:rsid w:val="009434DA"/>
    <w:rsid w:val="00943531"/>
    <w:rsid w:val="00943594"/>
    <w:rsid w:val="00943772"/>
    <w:rsid w:val="00943790"/>
    <w:rsid w:val="0094398A"/>
    <w:rsid w:val="00943BB7"/>
    <w:rsid w:val="00943C6A"/>
    <w:rsid w:val="00943E07"/>
    <w:rsid w:val="00943EA2"/>
    <w:rsid w:val="00943F37"/>
    <w:rsid w:val="009440D3"/>
    <w:rsid w:val="009443D1"/>
    <w:rsid w:val="0094455D"/>
    <w:rsid w:val="009445E7"/>
    <w:rsid w:val="0094480C"/>
    <w:rsid w:val="00944903"/>
    <w:rsid w:val="0094493B"/>
    <w:rsid w:val="009449C3"/>
    <w:rsid w:val="00944B1C"/>
    <w:rsid w:val="00944C62"/>
    <w:rsid w:val="00944D8C"/>
    <w:rsid w:val="009451DA"/>
    <w:rsid w:val="00945328"/>
    <w:rsid w:val="0094537A"/>
    <w:rsid w:val="00945579"/>
    <w:rsid w:val="009455F5"/>
    <w:rsid w:val="00945796"/>
    <w:rsid w:val="00945900"/>
    <w:rsid w:val="00945A2F"/>
    <w:rsid w:val="00945BE1"/>
    <w:rsid w:val="00945CC9"/>
    <w:rsid w:val="00945D4E"/>
    <w:rsid w:val="00945EA5"/>
    <w:rsid w:val="00945ED1"/>
    <w:rsid w:val="00945F76"/>
    <w:rsid w:val="0094621D"/>
    <w:rsid w:val="00946303"/>
    <w:rsid w:val="0094633B"/>
    <w:rsid w:val="00946399"/>
    <w:rsid w:val="00946429"/>
    <w:rsid w:val="009466D8"/>
    <w:rsid w:val="00946737"/>
    <w:rsid w:val="0094680F"/>
    <w:rsid w:val="009468CB"/>
    <w:rsid w:val="00946AD5"/>
    <w:rsid w:val="00946B94"/>
    <w:rsid w:val="00946ED2"/>
    <w:rsid w:val="00947126"/>
    <w:rsid w:val="0094713F"/>
    <w:rsid w:val="009471A9"/>
    <w:rsid w:val="009473F3"/>
    <w:rsid w:val="009476BE"/>
    <w:rsid w:val="009478BC"/>
    <w:rsid w:val="00947992"/>
    <w:rsid w:val="009479F3"/>
    <w:rsid w:val="00947A38"/>
    <w:rsid w:val="00947A64"/>
    <w:rsid w:val="00947ACF"/>
    <w:rsid w:val="00947D28"/>
    <w:rsid w:val="00947D91"/>
    <w:rsid w:val="00947E1E"/>
    <w:rsid w:val="00947F3A"/>
    <w:rsid w:val="00947F54"/>
    <w:rsid w:val="0095024F"/>
    <w:rsid w:val="009503A7"/>
    <w:rsid w:val="0095059A"/>
    <w:rsid w:val="0095061D"/>
    <w:rsid w:val="009507CD"/>
    <w:rsid w:val="009507D3"/>
    <w:rsid w:val="009509CC"/>
    <w:rsid w:val="00950AEF"/>
    <w:rsid w:val="00950B07"/>
    <w:rsid w:val="00950C87"/>
    <w:rsid w:val="00951011"/>
    <w:rsid w:val="00951191"/>
    <w:rsid w:val="0095135C"/>
    <w:rsid w:val="00951518"/>
    <w:rsid w:val="00951562"/>
    <w:rsid w:val="009515B2"/>
    <w:rsid w:val="00951605"/>
    <w:rsid w:val="0095163F"/>
    <w:rsid w:val="00951646"/>
    <w:rsid w:val="00951A57"/>
    <w:rsid w:val="00951B47"/>
    <w:rsid w:val="00951B92"/>
    <w:rsid w:val="00951C48"/>
    <w:rsid w:val="00951E56"/>
    <w:rsid w:val="00951EE5"/>
    <w:rsid w:val="00951FB6"/>
    <w:rsid w:val="00951FF7"/>
    <w:rsid w:val="009521F3"/>
    <w:rsid w:val="00952217"/>
    <w:rsid w:val="009522B1"/>
    <w:rsid w:val="00952331"/>
    <w:rsid w:val="009523FB"/>
    <w:rsid w:val="0095255D"/>
    <w:rsid w:val="00952718"/>
    <w:rsid w:val="009528A5"/>
    <w:rsid w:val="00952924"/>
    <w:rsid w:val="009529FC"/>
    <w:rsid w:val="00952B93"/>
    <w:rsid w:val="00952C63"/>
    <w:rsid w:val="00952C8B"/>
    <w:rsid w:val="00952E6B"/>
    <w:rsid w:val="00952F14"/>
    <w:rsid w:val="00953075"/>
    <w:rsid w:val="00953380"/>
    <w:rsid w:val="00953560"/>
    <w:rsid w:val="00953641"/>
    <w:rsid w:val="0095372C"/>
    <w:rsid w:val="00953824"/>
    <w:rsid w:val="009539CC"/>
    <w:rsid w:val="00953ABE"/>
    <w:rsid w:val="00953B9D"/>
    <w:rsid w:val="00953BB4"/>
    <w:rsid w:val="00953BBA"/>
    <w:rsid w:val="00953CCA"/>
    <w:rsid w:val="00953D4F"/>
    <w:rsid w:val="00953E16"/>
    <w:rsid w:val="00953E1D"/>
    <w:rsid w:val="00953F35"/>
    <w:rsid w:val="00953F6C"/>
    <w:rsid w:val="0095411B"/>
    <w:rsid w:val="0095445B"/>
    <w:rsid w:val="00954666"/>
    <w:rsid w:val="00954668"/>
    <w:rsid w:val="00954674"/>
    <w:rsid w:val="009547C8"/>
    <w:rsid w:val="00954C28"/>
    <w:rsid w:val="00954DB2"/>
    <w:rsid w:val="00954EC8"/>
    <w:rsid w:val="00954F7E"/>
    <w:rsid w:val="009550DE"/>
    <w:rsid w:val="009551D6"/>
    <w:rsid w:val="009552BE"/>
    <w:rsid w:val="00955339"/>
    <w:rsid w:val="0095536E"/>
    <w:rsid w:val="0095554C"/>
    <w:rsid w:val="009555A9"/>
    <w:rsid w:val="009555D3"/>
    <w:rsid w:val="00955631"/>
    <w:rsid w:val="00955703"/>
    <w:rsid w:val="00955AB4"/>
    <w:rsid w:val="00955ABF"/>
    <w:rsid w:val="00955C0D"/>
    <w:rsid w:val="00955C2C"/>
    <w:rsid w:val="00955CA3"/>
    <w:rsid w:val="00955E95"/>
    <w:rsid w:val="009560B0"/>
    <w:rsid w:val="00956111"/>
    <w:rsid w:val="00956112"/>
    <w:rsid w:val="00956122"/>
    <w:rsid w:val="009562F1"/>
    <w:rsid w:val="00956422"/>
    <w:rsid w:val="009564FA"/>
    <w:rsid w:val="009566C1"/>
    <w:rsid w:val="0095688C"/>
    <w:rsid w:val="00956A9F"/>
    <w:rsid w:val="00956C25"/>
    <w:rsid w:val="00956C86"/>
    <w:rsid w:val="00956DF8"/>
    <w:rsid w:val="00956E72"/>
    <w:rsid w:val="00956F28"/>
    <w:rsid w:val="00957233"/>
    <w:rsid w:val="00957470"/>
    <w:rsid w:val="00957522"/>
    <w:rsid w:val="00957530"/>
    <w:rsid w:val="00957635"/>
    <w:rsid w:val="00957AC6"/>
    <w:rsid w:val="00957B4D"/>
    <w:rsid w:val="00957D5A"/>
    <w:rsid w:val="00957DBA"/>
    <w:rsid w:val="00957F84"/>
    <w:rsid w:val="009603B6"/>
    <w:rsid w:val="009603D8"/>
    <w:rsid w:val="00960577"/>
    <w:rsid w:val="00960746"/>
    <w:rsid w:val="009607BC"/>
    <w:rsid w:val="009607D1"/>
    <w:rsid w:val="0096088A"/>
    <w:rsid w:val="0096097D"/>
    <w:rsid w:val="00960B24"/>
    <w:rsid w:val="00960C40"/>
    <w:rsid w:val="00960DC6"/>
    <w:rsid w:val="00960F7B"/>
    <w:rsid w:val="00960F89"/>
    <w:rsid w:val="00960FB6"/>
    <w:rsid w:val="009611FA"/>
    <w:rsid w:val="00961225"/>
    <w:rsid w:val="00961258"/>
    <w:rsid w:val="009612BB"/>
    <w:rsid w:val="00961328"/>
    <w:rsid w:val="00961346"/>
    <w:rsid w:val="00961469"/>
    <w:rsid w:val="00961629"/>
    <w:rsid w:val="009619C7"/>
    <w:rsid w:val="00961DC3"/>
    <w:rsid w:val="00962080"/>
    <w:rsid w:val="00962187"/>
    <w:rsid w:val="0096219C"/>
    <w:rsid w:val="009621F5"/>
    <w:rsid w:val="009625AC"/>
    <w:rsid w:val="00962609"/>
    <w:rsid w:val="00962624"/>
    <w:rsid w:val="00962694"/>
    <w:rsid w:val="0096277E"/>
    <w:rsid w:val="00962812"/>
    <w:rsid w:val="00962854"/>
    <w:rsid w:val="009628D9"/>
    <w:rsid w:val="00962AF4"/>
    <w:rsid w:val="00962B6F"/>
    <w:rsid w:val="00963044"/>
    <w:rsid w:val="00963190"/>
    <w:rsid w:val="0096326D"/>
    <w:rsid w:val="0096396D"/>
    <w:rsid w:val="0096398D"/>
    <w:rsid w:val="00963A1D"/>
    <w:rsid w:val="00963A39"/>
    <w:rsid w:val="00963B7F"/>
    <w:rsid w:val="00963BD3"/>
    <w:rsid w:val="00964013"/>
    <w:rsid w:val="00964071"/>
    <w:rsid w:val="00964164"/>
    <w:rsid w:val="00964197"/>
    <w:rsid w:val="009641CB"/>
    <w:rsid w:val="0096431F"/>
    <w:rsid w:val="009643E2"/>
    <w:rsid w:val="009645B6"/>
    <w:rsid w:val="00964665"/>
    <w:rsid w:val="00964752"/>
    <w:rsid w:val="00964853"/>
    <w:rsid w:val="009649A8"/>
    <w:rsid w:val="00964AD9"/>
    <w:rsid w:val="00964AE2"/>
    <w:rsid w:val="00964D62"/>
    <w:rsid w:val="00964F6E"/>
    <w:rsid w:val="00964F70"/>
    <w:rsid w:val="0096515D"/>
    <w:rsid w:val="009651A1"/>
    <w:rsid w:val="00965234"/>
    <w:rsid w:val="00965388"/>
    <w:rsid w:val="009653E1"/>
    <w:rsid w:val="009653E4"/>
    <w:rsid w:val="009654B5"/>
    <w:rsid w:val="0096558D"/>
    <w:rsid w:val="00965850"/>
    <w:rsid w:val="009658C0"/>
    <w:rsid w:val="00965BD4"/>
    <w:rsid w:val="00965C35"/>
    <w:rsid w:val="00965C5C"/>
    <w:rsid w:val="00965F85"/>
    <w:rsid w:val="00966513"/>
    <w:rsid w:val="009665CD"/>
    <w:rsid w:val="009666BB"/>
    <w:rsid w:val="009667E4"/>
    <w:rsid w:val="00966963"/>
    <w:rsid w:val="00966A42"/>
    <w:rsid w:val="00966AA4"/>
    <w:rsid w:val="00966C98"/>
    <w:rsid w:val="00966CCA"/>
    <w:rsid w:val="00966DE5"/>
    <w:rsid w:val="00966F44"/>
    <w:rsid w:val="0096748A"/>
    <w:rsid w:val="00967523"/>
    <w:rsid w:val="00967591"/>
    <w:rsid w:val="0096765B"/>
    <w:rsid w:val="009677C2"/>
    <w:rsid w:val="009678CD"/>
    <w:rsid w:val="00967A9C"/>
    <w:rsid w:val="00967BAB"/>
    <w:rsid w:val="00967C65"/>
    <w:rsid w:val="00967C70"/>
    <w:rsid w:val="00967C71"/>
    <w:rsid w:val="00967D5A"/>
    <w:rsid w:val="00970045"/>
    <w:rsid w:val="0097019C"/>
    <w:rsid w:val="0097044C"/>
    <w:rsid w:val="00970843"/>
    <w:rsid w:val="00970844"/>
    <w:rsid w:val="009708C4"/>
    <w:rsid w:val="0097090E"/>
    <w:rsid w:val="00970A49"/>
    <w:rsid w:val="00970A7E"/>
    <w:rsid w:val="00970B4E"/>
    <w:rsid w:val="00970C95"/>
    <w:rsid w:val="00970E08"/>
    <w:rsid w:val="00970F36"/>
    <w:rsid w:val="00970F5C"/>
    <w:rsid w:val="00971000"/>
    <w:rsid w:val="0097108B"/>
    <w:rsid w:val="009710D4"/>
    <w:rsid w:val="0097124D"/>
    <w:rsid w:val="009713A4"/>
    <w:rsid w:val="009713F1"/>
    <w:rsid w:val="00971768"/>
    <w:rsid w:val="00971814"/>
    <w:rsid w:val="00971CD2"/>
    <w:rsid w:val="00971EE5"/>
    <w:rsid w:val="00971F2B"/>
    <w:rsid w:val="00971FBF"/>
    <w:rsid w:val="00971FCE"/>
    <w:rsid w:val="00971FFC"/>
    <w:rsid w:val="0097205E"/>
    <w:rsid w:val="009722A2"/>
    <w:rsid w:val="00972322"/>
    <w:rsid w:val="009723B3"/>
    <w:rsid w:val="009724E7"/>
    <w:rsid w:val="009725A3"/>
    <w:rsid w:val="009727F9"/>
    <w:rsid w:val="00972839"/>
    <w:rsid w:val="00972A83"/>
    <w:rsid w:val="00972D66"/>
    <w:rsid w:val="00972E0B"/>
    <w:rsid w:val="00972F3E"/>
    <w:rsid w:val="00973226"/>
    <w:rsid w:val="00973365"/>
    <w:rsid w:val="00973418"/>
    <w:rsid w:val="009734C3"/>
    <w:rsid w:val="00973699"/>
    <w:rsid w:val="009737C4"/>
    <w:rsid w:val="00973A12"/>
    <w:rsid w:val="00973A2B"/>
    <w:rsid w:val="00973AF1"/>
    <w:rsid w:val="00973D7A"/>
    <w:rsid w:val="00973DAB"/>
    <w:rsid w:val="00973E3D"/>
    <w:rsid w:val="00973E77"/>
    <w:rsid w:val="00974052"/>
    <w:rsid w:val="009742A9"/>
    <w:rsid w:val="00974664"/>
    <w:rsid w:val="0097474B"/>
    <w:rsid w:val="00974AC6"/>
    <w:rsid w:val="00974AD5"/>
    <w:rsid w:val="00974BDB"/>
    <w:rsid w:val="00974C74"/>
    <w:rsid w:val="00974C79"/>
    <w:rsid w:val="00974E1E"/>
    <w:rsid w:val="00974F0E"/>
    <w:rsid w:val="00975279"/>
    <w:rsid w:val="00975394"/>
    <w:rsid w:val="0097546B"/>
    <w:rsid w:val="009754D8"/>
    <w:rsid w:val="0097554E"/>
    <w:rsid w:val="00975873"/>
    <w:rsid w:val="00975A9E"/>
    <w:rsid w:val="00975B62"/>
    <w:rsid w:val="00975CCE"/>
    <w:rsid w:val="00975D2F"/>
    <w:rsid w:val="00975D6B"/>
    <w:rsid w:val="00975D78"/>
    <w:rsid w:val="00975E96"/>
    <w:rsid w:val="00975F63"/>
    <w:rsid w:val="00976032"/>
    <w:rsid w:val="0097607F"/>
    <w:rsid w:val="0097611F"/>
    <w:rsid w:val="00976275"/>
    <w:rsid w:val="00976276"/>
    <w:rsid w:val="0097627D"/>
    <w:rsid w:val="0097631C"/>
    <w:rsid w:val="00976385"/>
    <w:rsid w:val="009763EA"/>
    <w:rsid w:val="009763FD"/>
    <w:rsid w:val="0097648D"/>
    <w:rsid w:val="009764ED"/>
    <w:rsid w:val="00976550"/>
    <w:rsid w:val="00976604"/>
    <w:rsid w:val="00976650"/>
    <w:rsid w:val="00976668"/>
    <w:rsid w:val="00976A52"/>
    <w:rsid w:val="00976C49"/>
    <w:rsid w:val="00976FE8"/>
    <w:rsid w:val="009771D5"/>
    <w:rsid w:val="00977326"/>
    <w:rsid w:val="0097748F"/>
    <w:rsid w:val="009774A5"/>
    <w:rsid w:val="00977542"/>
    <w:rsid w:val="009777B4"/>
    <w:rsid w:val="00977A8B"/>
    <w:rsid w:val="00977BDF"/>
    <w:rsid w:val="00977E14"/>
    <w:rsid w:val="00977E24"/>
    <w:rsid w:val="00977F27"/>
    <w:rsid w:val="00977F83"/>
    <w:rsid w:val="009800BC"/>
    <w:rsid w:val="00980404"/>
    <w:rsid w:val="009805B9"/>
    <w:rsid w:val="00980688"/>
    <w:rsid w:val="009806D4"/>
    <w:rsid w:val="009808E8"/>
    <w:rsid w:val="00980A2B"/>
    <w:rsid w:val="00980A83"/>
    <w:rsid w:val="00980CB1"/>
    <w:rsid w:val="00980CC1"/>
    <w:rsid w:val="009810B1"/>
    <w:rsid w:val="009811A3"/>
    <w:rsid w:val="0098123B"/>
    <w:rsid w:val="009813BE"/>
    <w:rsid w:val="00981471"/>
    <w:rsid w:val="0098169F"/>
    <w:rsid w:val="009816C7"/>
    <w:rsid w:val="009817E3"/>
    <w:rsid w:val="009817EA"/>
    <w:rsid w:val="0098195D"/>
    <w:rsid w:val="00981AB4"/>
    <w:rsid w:val="00981ACD"/>
    <w:rsid w:val="00981B7F"/>
    <w:rsid w:val="00981E23"/>
    <w:rsid w:val="00982028"/>
    <w:rsid w:val="0098206D"/>
    <w:rsid w:val="00982212"/>
    <w:rsid w:val="009823EE"/>
    <w:rsid w:val="00982870"/>
    <w:rsid w:val="00982872"/>
    <w:rsid w:val="00982985"/>
    <w:rsid w:val="00982AC0"/>
    <w:rsid w:val="00982B63"/>
    <w:rsid w:val="00982B73"/>
    <w:rsid w:val="00982BCF"/>
    <w:rsid w:val="00982C37"/>
    <w:rsid w:val="00982D3A"/>
    <w:rsid w:val="00982D7A"/>
    <w:rsid w:val="00982EFE"/>
    <w:rsid w:val="00982F3C"/>
    <w:rsid w:val="00982FA8"/>
    <w:rsid w:val="00983188"/>
    <w:rsid w:val="009831BF"/>
    <w:rsid w:val="00983306"/>
    <w:rsid w:val="009834C4"/>
    <w:rsid w:val="0098376B"/>
    <w:rsid w:val="00983B31"/>
    <w:rsid w:val="00983BF9"/>
    <w:rsid w:val="00983C1D"/>
    <w:rsid w:val="00983C80"/>
    <w:rsid w:val="00983CAF"/>
    <w:rsid w:val="00983D5D"/>
    <w:rsid w:val="00983DD0"/>
    <w:rsid w:val="009842AA"/>
    <w:rsid w:val="009842DE"/>
    <w:rsid w:val="00984340"/>
    <w:rsid w:val="009845EF"/>
    <w:rsid w:val="009846BE"/>
    <w:rsid w:val="009847A3"/>
    <w:rsid w:val="0098489C"/>
    <w:rsid w:val="00984A28"/>
    <w:rsid w:val="00984A9D"/>
    <w:rsid w:val="00984AF1"/>
    <w:rsid w:val="0098508D"/>
    <w:rsid w:val="009850ED"/>
    <w:rsid w:val="00985517"/>
    <w:rsid w:val="009855BD"/>
    <w:rsid w:val="009856D2"/>
    <w:rsid w:val="009856D7"/>
    <w:rsid w:val="00985772"/>
    <w:rsid w:val="00985C3D"/>
    <w:rsid w:val="00985C53"/>
    <w:rsid w:val="00985CB8"/>
    <w:rsid w:val="00985DA7"/>
    <w:rsid w:val="00986015"/>
    <w:rsid w:val="00986100"/>
    <w:rsid w:val="0098611F"/>
    <w:rsid w:val="00986154"/>
    <w:rsid w:val="0098618A"/>
    <w:rsid w:val="009862ED"/>
    <w:rsid w:val="0098672F"/>
    <w:rsid w:val="00986757"/>
    <w:rsid w:val="00986B2D"/>
    <w:rsid w:val="00986BBD"/>
    <w:rsid w:val="00986EEE"/>
    <w:rsid w:val="00986FC3"/>
    <w:rsid w:val="00987112"/>
    <w:rsid w:val="009871F5"/>
    <w:rsid w:val="0098725D"/>
    <w:rsid w:val="00987288"/>
    <w:rsid w:val="009873BA"/>
    <w:rsid w:val="00987435"/>
    <w:rsid w:val="0098751F"/>
    <w:rsid w:val="00987757"/>
    <w:rsid w:val="009878B8"/>
    <w:rsid w:val="009878EA"/>
    <w:rsid w:val="00987977"/>
    <w:rsid w:val="00987D24"/>
    <w:rsid w:val="00987DD5"/>
    <w:rsid w:val="009900ED"/>
    <w:rsid w:val="00990138"/>
    <w:rsid w:val="00990281"/>
    <w:rsid w:val="009902A4"/>
    <w:rsid w:val="009903A6"/>
    <w:rsid w:val="00990469"/>
    <w:rsid w:val="00990541"/>
    <w:rsid w:val="00990776"/>
    <w:rsid w:val="009907E0"/>
    <w:rsid w:val="00990894"/>
    <w:rsid w:val="0099097D"/>
    <w:rsid w:val="00990A0E"/>
    <w:rsid w:val="00990A31"/>
    <w:rsid w:val="00990A37"/>
    <w:rsid w:val="00990AED"/>
    <w:rsid w:val="00990C18"/>
    <w:rsid w:val="00990FC7"/>
    <w:rsid w:val="009912E1"/>
    <w:rsid w:val="00991303"/>
    <w:rsid w:val="0099133F"/>
    <w:rsid w:val="00991398"/>
    <w:rsid w:val="009913BF"/>
    <w:rsid w:val="00991458"/>
    <w:rsid w:val="00991565"/>
    <w:rsid w:val="0099158B"/>
    <w:rsid w:val="009915DB"/>
    <w:rsid w:val="00991657"/>
    <w:rsid w:val="009916F7"/>
    <w:rsid w:val="0099179D"/>
    <w:rsid w:val="00991AB1"/>
    <w:rsid w:val="00991C69"/>
    <w:rsid w:val="00991D89"/>
    <w:rsid w:val="00991D8E"/>
    <w:rsid w:val="009921BF"/>
    <w:rsid w:val="0099227A"/>
    <w:rsid w:val="00992386"/>
    <w:rsid w:val="0099268B"/>
    <w:rsid w:val="00992690"/>
    <w:rsid w:val="00992909"/>
    <w:rsid w:val="00992A49"/>
    <w:rsid w:val="00992C9A"/>
    <w:rsid w:val="00992E4A"/>
    <w:rsid w:val="00992F54"/>
    <w:rsid w:val="00992FA1"/>
    <w:rsid w:val="0099330B"/>
    <w:rsid w:val="009934EA"/>
    <w:rsid w:val="00993681"/>
    <w:rsid w:val="00993701"/>
    <w:rsid w:val="0099388A"/>
    <w:rsid w:val="00993907"/>
    <w:rsid w:val="00993AC5"/>
    <w:rsid w:val="00993C6E"/>
    <w:rsid w:val="00993DA6"/>
    <w:rsid w:val="00993E4E"/>
    <w:rsid w:val="00993ECE"/>
    <w:rsid w:val="00993F3C"/>
    <w:rsid w:val="00993F81"/>
    <w:rsid w:val="00994228"/>
    <w:rsid w:val="009942A2"/>
    <w:rsid w:val="0099438C"/>
    <w:rsid w:val="009945BD"/>
    <w:rsid w:val="00994616"/>
    <w:rsid w:val="00994638"/>
    <w:rsid w:val="00994A30"/>
    <w:rsid w:val="00994DB8"/>
    <w:rsid w:val="00994DE2"/>
    <w:rsid w:val="009951E8"/>
    <w:rsid w:val="009951F9"/>
    <w:rsid w:val="009952D8"/>
    <w:rsid w:val="0099536E"/>
    <w:rsid w:val="009954D5"/>
    <w:rsid w:val="0099558D"/>
    <w:rsid w:val="009955EF"/>
    <w:rsid w:val="009955F7"/>
    <w:rsid w:val="009957D0"/>
    <w:rsid w:val="00995880"/>
    <w:rsid w:val="009958A6"/>
    <w:rsid w:val="00995943"/>
    <w:rsid w:val="00995A8A"/>
    <w:rsid w:val="00995AE1"/>
    <w:rsid w:val="00995D15"/>
    <w:rsid w:val="00995F17"/>
    <w:rsid w:val="00996026"/>
    <w:rsid w:val="009960F7"/>
    <w:rsid w:val="00996107"/>
    <w:rsid w:val="00996156"/>
    <w:rsid w:val="00996269"/>
    <w:rsid w:val="00996596"/>
    <w:rsid w:val="009968EB"/>
    <w:rsid w:val="00996A25"/>
    <w:rsid w:val="00996A68"/>
    <w:rsid w:val="00996B83"/>
    <w:rsid w:val="00996CEB"/>
    <w:rsid w:val="00996DD0"/>
    <w:rsid w:val="00996DE5"/>
    <w:rsid w:val="00996E40"/>
    <w:rsid w:val="00996E58"/>
    <w:rsid w:val="00996F7B"/>
    <w:rsid w:val="00997168"/>
    <w:rsid w:val="00997177"/>
    <w:rsid w:val="00997308"/>
    <w:rsid w:val="009973AE"/>
    <w:rsid w:val="009973B4"/>
    <w:rsid w:val="009975E9"/>
    <w:rsid w:val="009977EB"/>
    <w:rsid w:val="0099791E"/>
    <w:rsid w:val="009979C4"/>
    <w:rsid w:val="00997AE2"/>
    <w:rsid w:val="00997D54"/>
    <w:rsid w:val="00997E0C"/>
    <w:rsid w:val="00997E1F"/>
    <w:rsid w:val="00997E84"/>
    <w:rsid w:val="009A003B"/>
    <w:rsid w:val="009A0055"/>
    <w:rsid w:val="009A0086"/>
    <w:rsid w:val="009A00D5"/>
    <w:rsid w:val="009A0171"/>
    <w:rsid w:val="009A017B"/>
    <w:rsid w:val="009A0210"/>
    <w:rsid w:val="009A0284"/>
    <w:rsid w:val="009A02A4"/>
    <w:rsid w:val="009A031C"/>
    <w:rsid w:val="009A0484"/>
    <w:rsid w:val="009A054F"/>
    <w:rsid w:val="009A06A3"/>
    <w:rsid w:val="009A07F4"/>
    <w:rsid w:val="009A08EF"/>
    <w:rsid w:val="009A090B"/>
    <w:rsid w:val="009A0A08"/>
    <w:rsid w:val="009A0AC3"/>
    <w:rsid w:val="009A0B9F"/>
    <w:rsid w:val="009A0BCC"/>
    <w:rsid w:val="009A0BDF"/>
    <w:rsid w:val="009A0D37"/>
    <w:rsid w:val="009A0DED"/>
    <w:rsid w:val="009A0E18"/>
    <w:rsid w:val="009A0F5B"/>
    <w:rsid w:val="009A0FFD"/>
    <w:rsid w:val="009A1162"/>
    <w:rsid w:val="009A1184"/>
    <w:rsid w:val="009A1296"/>
    <w:rsid w:val="009A13A1"/>
    <w:rsid w:val="009A1424"/>
    <w:rsid w:val="009A146B"/>
    <w:rsid w:val="009A1503"/>
    <w:rsid w:val="009A1567"/>
    <w:rsid w:val="009A1693"/>
    <w:rsid w:val="009A17A4"/>
    <w:rsid w:val="009A18B4"/>
    <w:rsid w:val="009A18B5"/>
    <w:rsid w:val="009A19F2"/>
    <w:rsid w:val="009A1A5F"/>
    <w:rsid w:val="009A1C5B"/>
    <w:rsid w:val="009A1D08"/>
    <w:rsid w:val="009A1D81"/>
    <w:rsid w:val="009A1E79"/>
    <w:rsid w:val="009A201A"/>
    <w:rsid w:val="009A2128"/>
    <w:rsid w:val="009A21B7"/>
    <w:rsid w:val="009A23AA"/>
    <w:rsid w:val="009A247F"/>
    <w:rsid w:val="009A2551"/>
    <w:rsid w:val="009A27CB"/>
    <w:rsid w:val="009A282A"/>
    <w:rsid w:val="009A283A"/>
    <w:rsid w:val="009A290A"/>
    <w:rsid w:val="009A2916"/>
    <w:rsid w:val="009A2A53"/>
    <w:rsid w:val="009A2E39"/>
    <w:rsid w:val="009A30E6"/>
    <w:rsid w:val="009A32C2"/>
    <w:rsid w:val="009A3401"/>
    <w:rsid w:val="009A34A6"/>
    <w:rsid w:val="009A3849"/>
    <w:rsid w:val="009A3988"/>
    <w:rsid w:val="009A3A66"/>
    <w:rsid w:val="009A3A92"/>
    <w:rsid w:val="009A3B9D"/>
    <w:rsid w:val="009A3C88"/>
    <w:rsid w:val="009A3E0E"/>
    <w:rsid w:val="009A40C8"/>
    <w:rsid w:val="009A41B4"/>
    <w:rsid w:val="009A43F2"/>
    <w:rsid w:val="009A443E"/>
    <w:rsid w:val="009A4592"/>
    <w:rsid w:val="009A45D1"/>
    <w:rsid w:val="009A4697"/>
    <w:rsid w:val="009A4815"/>
    <w:rsid w:val="009A485A"/>
    <w:rsid w:val="009A4BC7"/>
    <w:rsid w:val="009A4C71"/>
    <w:rsid w:val="009A4CF2"/>
    <w:rsid w:val="009A4E07"/>
    <w:rsid w:val="009A4EDC"/>
    <w:rsid w:val="009A5130"/>
    <w:rsid w:val="009A5265"/>
    <w:rsid w:val="009A5356"/>
    <w:rsid w:val="009A5372"/>
    <w:rsid w:val="009A54C4"/>
    <w:rsid w:val="009A5542"/>
    <w:rsid w:val="009A5563"/>
    <w:rsid w:val="009A55A3"/>
    <w:rsid w:val="009A57C5"/>
    <w:rsid w:val="009A5A76"/>
    <w:rsid w:val="009A5A9B"/>
    <w:rsid w:val="009A5C5F"/>
    <w:rsid w:val="009A5CA4"/>
    <w:rsid w:val="009A5DC2"/>
    <w:rsid w:val="009A60BA"/>
    <w:rsid w:val="009A60DE"/>
    <w:rsid w:val="009A60F6"/>
    <w:rsid w:val="009A6132"/>
    <w:rsid w:val="009A62F9"/>
    <w:rsid w:val="009A6310"/>
    <w:rsid w:val="009A64E0"/>
    <w:rsid w:val="009A6616"/>
    <w:rsid w:val="009A6AA3"/>
    <w:rsid w:val="009A6BE3"/>
    <w:rsid w:val="009A6C2B"/>
    <w:rsid w:val="009A6D3F"/>
    <w:rsid w:val="009A6FE3"/>
    <w:rsid w:val="009A7264"/>
    <w:rsid w:val="009A7351"/>
    <w:rsid w:val="009A76F4"/>
    <w:rsid w:val="009A777E"/>
    <w:rsid w:val="009A795F"/>
    <w:rsid w:val="009A79A0"/>
    <w:rsid w:val="009A79AC"/>
    <w:rsid w:val="009A7A3E"/>
    <w:rsid w:val="009A7A5D"/>
    <w:rsid w:val="009A7B07"/>
    <w:rsid w:val="009A7C5F"/>
    <w:rsid w:val="009A7EE7"/>
    <w:rsid w:val="009A7F46"/>
    <w:rsid w:val="009B009F"/>
    <w:rsid w:val="009B01B7"/>
    <w:rsid w:val="009B0259"/>
    <w:rsid w:val="009B0501"/>
    <w:rsid w:val="009B06A6"/>
    <w:rsid w:val="009B06BF"/>
    <w:rsid w:val="009B0771"/>
    <w:rsid w:val="009B0844"/>
    <w:rsid w:val="009B08D3"/>
    <w:rsid w:val="009B0A9E"/>
    <w:rsid w:val="009B0AE0"/>
    <w:rsid w:val="009B0AE8"/>
    <w:rsid w:val="009B0D52"/>
    <w:rsid w:val="009B0DA4"/>
    <w:rsid w:val="009B0EC9"/>
    <w:rsid w:val="009B0F70"/>
    <w:rsid w:val="009B11EC"/>
    <w:rsid w:val="009B15F8"/>
    <w:rsid w:val="009B169A"/>
    <w:rsid w:val="009B171C"/>
    <w:rsid w:val="009B1936"/>
    <w:rsid w:val="009B1C27"/>
    <w:rsid w:val="009B1D3B"/>
    <w:rsid w:val="009B1D6A"/>
    <w:rsid w:val="009B2031"/>
    <w:rsid w:val="009B2434"/>
    <w:rsid w:val="009B25AA"/>
    <w:rsid w:val="009B26CB"/>
    <w:rsid w:val="009B27B6"/>
    <w:rsid w:val="009B27BE"/>
    <w:rsid w:val="009B2A14"/>
    <w:rsid w:val="009B2BC0"/>
    <w:rsid w:val="009B2D10"/>
    <w:rsid w:val="009B2D40"/>
    <w:rsid w:val="009B2D51"/>
    <w:rsid w:val="009B2DCC"/>
    <w:rsid w:val="009B2DED"/>
    <w:rsid w:val="009B2DFA"/>
    <w:rsid w:val="009B2ED6"/>
    <w:rsid w:val="009B32B0"/>
    <w:rsid w:val="009B33A4"/>
    <w:rsid w:val="009B345E"/>
    <w:rsid w:val="009B34DE"/>
    <w:rsid w:val="009B372F"/>
    <w:rsid w:val="009B3823"/>
    <w:rsid w:val="009B3884"/>
    <w:rsid w:val="009B3A1D"/>
    <w:rsid w:val="009B3AAE"/>
    <w:rsid w:val="009B3B70"/>
    <w:rsid w:val="009B3D83"/>
    <w:rsid w:val="009B3E77"/>
    <w:rsid w:val="009B3ED0"/>
    <w:rsid w:val="009B402A"/>
    <w:rsid w:val="009B4107"/>
    <w:rsid w:val="009B428A"/>
    <w:rsid w:val="009B434F"/>
    <w:rsid w:val="009B436D"/>
    <w:rsid w:val="009B4609"/>
    <w:rsid w:val="009B460F"/>
    <w:rsid w:val="009B467D"/>
    <w:rsid w:val="009B48AD"/>
    <w:rsid w:val="009B494B"/>
    <w:rsid w:val="009B4976"/>
    <w:rsid w:val="009B4AA9"/>
    <w:rsid w:val="009B4C0C"/>
    <w:rsid w:val="009B4D6E"/>
    <w:rsid w:val="009B4E6F"/>
    <w:rsid w:val="009B4F98"/>
    <w:rsid w:val="009B4FE2"/>
    <w:rsid w:val="009B51FE"/>
    <w:rsid w:val="009B53C1"/>
    <w:rsid w:val="009B5590"/>
    <w:rsid w:val="009B561B"/>
    <w:rsid w:val="009B58EC"/>
    <w:rsid w:val="009B5980"/>
    <w:rsid w:val="009B5AED"/>
    <w:rsid w:val="009B5B0E"/>
    <w:rsid w:val="009B5B70"/>
    <w:rsid w:val="009B5BA0"/>
    <w:rsid w:val="009B5BCE"/>
    <w:rsid w:val="009B5DD8"/>
    <w:rsid w:val="009B5FCC"/>
    <w:rsid w:val="009B6030"/>
    <w:rsid w:val="009B6033"/>
    <w:rsid w:val="009B605E"/>
    <w:rsid w:val="009B6190"/>
    <w:rsid w:val="009B625B"/>
    <w:rsid w:val="009B6365"/>
    <w:rsid w:val="009B63AA"/>
    <w:rsid w:val="009B6557"/>
    <w:rsid w:val="009B65FD"/>
    <w:rsid w:val="009B6600"/>
    <w:rsid w:val="009B6713"/>
    <w:rsid w:val="009B6761"/>
    <w:rsid w:val="009B6831"/>
    <w:rsid w:val="009B68C8"/>
    <w:rsid w:val="009B6B08"/>
    <w:rsid w:val="009B6D96"/>
    <w:rsid w:val="009B7119"/>
    <w:rsid w:val="009B7156"/>
    <w:rsid w:val="009B725E"/>
    <w:rsid w:val="009B72C7"/>
    <w:rsid w:val="009B737C"/>
    <w:rsid w:val="009B752B"/>
    <w:rsid w:val="009B75EC"/>
    <w:rsid w:val="009B7789"/>
    <w:rsid w:val="009B77CC"/>
    <w:rsid w:val="009B79F8"/>
    <w:rsid w:val="009B7AE5"/>
    <w:rsid w:val="009B7B8A"/>
    <w:rsid w:val="009B7D1E"/>
    <w:rsid w:val="009B7E85"/>
    <w:rsid w:val="009B7F3D"/>
    <w:rsid w:val="009B7F94"/>
    <w:rsid w:val="009C001A"/>
    <w:rsid w:val="009C01F3"/>
    <w:rsid w:val="009C025C"/>
    <w:rsid w:val="009C03B5"/>
    <w:rsid w:val="009C0454"/>
    <w:rsid w:val="009C0565"/>
    <w:rsid w:val="009C0574"/>
    <w:rsid w:val="009C0922"/>
    <w:rsid w:val="009C0AE3"/>
    <w:rsid w:val="009C0B30"/>
    <w:rsid w:val="009C0C56"/>
    <w:rsid w:val="009C0DA6"/>
    <w:rsid w:val="009C0EBB"/>
    <w:rsid w:val="009C0F7C"/>
    <w:rsid w:val="009C0F9C"/>
    <w:rsid w:val="009C0FA9"/>
    <w:rsid w:val="009C15FD"/>
    <w:rsid w:val="009C1628"/>
    <w:rsid w:val="009C179B"/>
    <w:rsid w:val="009C1A2F"/>
    <w:rsid w:val="009C1ACE"/>
    <w:rsid w:val="009C1C0F"/>
    <w:rsid w:val="009C1D79"/>
    <w:rsid w:val="009C1D90"/>
    <w:rsid w:val="009C1E9A"/>
    <w:rsid w:val="009C1FE6"/>
    <w:rsid w:val="009C2228"/>
    <w:rsid w:val="009C2626"/>
    <w:rsid w:val="009C2AFE"/>
    <w:rsid w:val="009C2BF9"/>
    <w:rsid w:val="009C2C05"/>
    <w:rsid w:val="009C2D0E"/>
    <w:rsid w:val="009C2EAB"/>
    <w:rsid w:val="009C3151"/>
    <w:rsid w:val="009C3209"/>
    <w:rsid w:val="009C332B"/>
    <w:rsid w:val="009C372D"/>
    <w:rsid w:val="009C38F5"/>
    <w:rsid w:val="009C3AE5"/>
    <w:rsid w:val="009C3E14"/>
    <w:rsid w:val="009C3E8D"/>
    <w:rsid w:val="009C3FC4"/>
    <w:rsid w:val="009C4002"/>
    <w:rsid w:val="009C4136"/>
    <w:rsid w:val="009C4238"/>
    <w:rsid w:val="009C4375"/>
    <w:rsid w:val="009C4380"/>
    <w:rsid w:val="009C483B"/>
    <w:rsid w:val="009C4892"/>
    <w:rsid w:val="009C49DB"/>
    <w:rsid w:val="009C4A06"/>
    <w:rsid w:val="009C4B82"/>
    <w:rsid w:val="009C4D8A"/>
    <w:rsid w:val="009C4DE6"/>
    <w:rsid w:val="009C4DF7"/>
    <w:rsid w:val="009C4E5E"/>
    <w:rsid w:val="009C4E67"/>
    <w:rsid w:val="009C4FC3"/>
    <w:rsid w:val="009C505C"/>
    <w:rsid w:val="009C53A0"/>
    <w:rsid w:val="009C5427"/>
    <w:rsid w:val="009C554B"/>
    <w:rsid w:val="009C559A"/>
    <w:rsid w:val="009C5696"/>
    <w:rsid w:val="009C5AA8"/>
    <w:rsid w:val="009C5C79"/>
    <w:rsid w:val="009C5EE5"/>
    <w:rsid w:val="009C6033"/>
    <w:rsid w:val="009C60E5"/>
    <w:rsid w:val="009C6102"/>
    <w:rsid w:val="009C6267"/>
    <w:rsid w:val="009C63C1"/>
    <w:rsid w:val="009C6466"/>
    <w:rsid w:val="009C6494"/>
    <w:rsid w:val="009C64A3"/>
    <w:rsid w:val="009C65AC"/>
    <w:rsid w:val="009C68A0"/>
    <w:rsid w:val="009C6960"/>
    <w:rsid w:val="009C6BC2"/>
    <w:rsid w:val="009C6C86"/>
    <w:rsid w:val="009C6CF6"/>
    <w:rsid w:val="009C7044"/>
    <w:rsid w:val="009C707B"/>
    <w:rsid w:val="009C7334"/>
    <w:rsid w:val="009C741D"/>
    <w:rsid w:val="009C74AB"/>
    <w:rsid w:val="009C75BD"/>
    <w:rsid w:val="009C75D3"/>
    <w:rsid w:val="009C7664"/>
    <w:rsid w:val="009C768F"/>
    <w:rsid w:val="009C771A"/>
    <w:rsid w:val="009C790A"/>
    <w:rsid w:val="009C7A74"/>
    <w:rsid w:val="009C7C35"/>
    <w:rsid w:val="009C7DA2"/>
    <w:rsid w:val="009C7E7B"/>
    <w:rsid w:val="009D01CF"/>
    <w:rsid w:val="009D0292"/>
    <w:rsid w:val="009D03DB"/>
    <w:rsid w:val="009D045D"/>
    <w:rsid w:val="009D051E"/>
    <w:rsid w:val="009D068F"/>
    <w:rsid w:val="009D0A28"/>
    <w:rsid w:val="009D0CCA"/>
    <w:rsid w:val="009D0CCC"/>
    <w:rsid w:val="009D0EFA"/>
    <w:rsid w:val="009D110D"/>
    <w:rsid w:val="009D13AB"/>
    <w:rsid w:val="009D1508"/>
    <w:rsid w:val="009D15F1"/>
    <w:rsid w:val="009D1728"/>
    <w:rsid w:val="009D1795"/>
    <w:rsid w:val="009D183D"/>
    <w:rsid w:val="009D1867"/>
    <w:rsid w:val="009D1A3D"/>
    <w:rsid w:val="009D1DDA"/>
    <w:rsid w:val="009D1E46"/>
    <w:rsid w:val="009D200F"/>
    <w:rsid w:val="009D2522"/>
    <w:rsid w:val="009D252E"/>
    <w:rsid w:val="009D2787"/>
    <w:rsid w:val="009D280D"/>
    <w:rsid w:val="009D298D"/>
    <w:rsid w:val="009D2C35"/>
    <w:rsid w:val="009D2C80"/>
    <w:rsid w:val="009D3011"/>
    <w:rsid w:val="009D334A"/>
    <w:rsid w:val="009D33A6"/>
    <w:rsid w:val="009D33A8"/>
    <w:rsid w:val="009D33BD"/>
    <w:rsid w:val="009D34D2"/>
    <w:rsid w:val="009D3517"/>
    <w:rsid w:val="009D36B7"/>
    <w:rsid w:val="009D3845"/>
    <w:rsid w:val="009D3874"/>
    <w:rsid w:val="009D388A"/>
    <w:rsid w:val="009D3CF4"/>
    <w:rsid w:val="009D3D3C"/>
    <w:rsid w:val="009D3DD6"/>
    <w:rsid w:val="009D4079"/>
    <w:rsid w:val="009D41B1"/>
    <w:rsid w:val="009D4209"/>
    <w:rsid w:val="009D4396"/>
    <w:rsid w:val="009D43A9"/>
    <w:rsid w:val="009D446F"/>
    <w:rsid w:val="009D4490"/>
    <w:rsid w:val="009D44AE"/>
    <w:rsid w:val="009D452E"/>
    <w:rsid w:val="009D4562"/>
    <w:rsid w:val="009D4982"/>
    <w:rsid w:val="009D4B8A"/>
    <w:rsid w:val="009D4D83"/>
    <w:rsid w:val="009D4EDE"/>
    <w:rsid w:val="009D5019"/>
    <w:rsid w:val="009D501C"/>
    <w:rsid w:val="009D534F"/>
    <w:rsid w:val="009D53C8"/>
    <w:rsid w:val="009D5402"/>
    <w:rsid w:val="009D54AB"/>
    <w:rsid w:val="009D54AF"/>
    <w:rsid w:val="009D582D"/>
    <w:rsid w:val="009D5AAE"/>
    <w:rsid w:val="009D5AFC"/>
    <w:rsid w:val="009D5BBD"/>
    <w:rsid w:val="009D5C06"/>
    <w:rsid w:val="009D5F21"/>
    <w:rsid w:val="009D6124"/>
    <w:rsid w:val="009D6140"/>
    <w:rsid w:val="009D6354"/>
    <w:rsid w:val="009D680B"/>
    <w:rsid w:val="009D68DF"/>
    <w:rsid w:val="009D690D"/>
    <w:rsid w:val="009D6AE3"/>
    <w:rsid w:val="009D702D"/>
    <w:rsid w:val="009D72DF"/>
    <w:rsid w:val="009D7387"/>
    <w:rsid w:val="009D7601"/>
    <w:rsid w:val="009D760D"/>
    <w:rsid w:val="009D799D"/>
    <w:rsid w:val="009D7B1C"/>
    <w:rsid w:val="009D7E58"/>
    <w:rsid w:val="009E0025"/>
    <w:rsid w:val="009E0075"/>
    <w:rsid w:val="009E00A0"/>
    <w:rsid w:val="009E0124"/>
    <w:rsid w:val="009E0184"/>
    <w:rsid w:val="009E01A1"/>
    <w:rsid w:val="009E0311"/>
    <w:rsid w:val="009E036A"/>
    <w:rsid w:val="009E0447"/>
    <w:rsid w:val="009E0816"/>
    <w:rsid w:val="009E08E8"/>
    <w:rsid w:val="009E096A"/>
    <w:rsid w:val="009E09EE"/>
    <w:rsid w:val="009E0ACF"/>
    <w:rsid w:val="009E0B51"/>
    <w:rsid w:val="009E0B63"/>
    <w:rsid w:val="009E0C75"/>
    <w:rsid w:val="009E0D32"/>
    <w:rsid w:val="009E0DE4"/>
    <w:rsid w:val="009E0E32"/>
    <w:rsid w:val="009E0F69"/>
    <w:rsid w:val="009E1126"/>
    <w:rsid w:val="009E1425"/>
    <w:rsid w:val="009E143F"/>
    <w:rsid w:val="009E1472"/>
    <w:rsid w:val="009E1F62"/>
    <w:rsid w:val="009E20F0"/>
    <w:rsid w:val="009E2140"/>
    <w:rsid w:val="009E23CC"/>
    <w:rsid w:val="009E25C1"/>
    <w:rsid w:val="009E25E4"/>
    <w:rsid w:val="009E266C"/>
    <w:rsid w:val="009E270D"/>
    <w:rsid w:val="009E28AC"/>
    <w:rsid w:val="009E291B"/>
    <w:rsid w:val="009E2A9D"/>
    <w:rsid w:val="009E2B02"/>
    <w:rsid w:val="009E2D43"/>
    <w:rsid w:val="009E303C"/>
    <w:rsid w:val="009E3531"/>
    <w:rsid w:val="009E3679"/>
    <w:rsid w:val="009E36E2"/>
    <w:rsid w:val="009E3813"/>
    <w:rsid w:val="009E3903"/>
    <w:rsid w:val="009E3922"/>
    <w:rsid w:val="009E39E7"/>
    <w:rsid w:val="009E3A0C"/>
    <w:rsid w:val="009E3AC5"/>
    <w:rsid w:val="009E3B78"/>
    <w:rsid w:val="009E3C3B"/>
    <w:rsid w:val="009E3D36"/>
    <w:rsid w:val="009E40B6"/>
    <w:rsid w:val="009E4225"/>
    <w:rsid w:val="009E4250"/>
    <w:rsid w:val="009E441D"/>
    <w:rsid w:val="009E44E2"/>
    <w:rsid w:val="009E45B0"/>
    <w:rsid w:val="009E47B7"/>
    <w:rsid w:val="009E48FF"/>
    <w:rsid w:val="009E4963"/>
    <w:rsid w:val="009E4ADF"/>
    <w:rsid w:val="009E4AEE"/>
    <w:rsid w:val="009E4BE0"/>
    <w:rsid w:val="009E4C48"/>
    <w:rsid w:val="009E4D0F"/>
    <w:rsid w:val="009E5112"/>
    <w:rsid w:val="009E5298"/>
    <w:rsid w:val="009E5596"/>
    <w:rsid w:val="009E5897"/>
    <w:rsid w:val="009E5910"/>
    <w:rsid w:val="009E5963"/>
    <w:rsid w:val="009E5AAE"/>
    <w:rsid w:val="009E5AE9"/>
    <w:rsid w:val="009E5B70"/>
    <w:rsid w:val="009E5C3B"/>
    <w:rsid w:val="009E5DFD"/>
    <w:rsid w:val="009E606B"/>
    <w:rsid w:val="009E60E1"/>
    <w:rsid w:val="009E62A1"/>
    <w:rsid w:val="009E62F7"/>
    <w:rsid w:val="009E6702"/>
    <w:rsid w:val="009E6718"/>
    <w:rsid w:val="009E6727"/>
    <w:rsid w:val="009E67BD"/>
    <w:rsid w:val="009E6947"/>
    <w:rsid w:val="009E69FC"/>
    <w:rsid w:val="009E6A9F"/>
    <w:rsid w:val="009E6DF5"/>
    <w:rsid w:val="009E6EAA"/>
    <w:rsid w:val="009E6EBE"/>
    <w:rsid w:val="009E6F7E"/>
    <w:rsid w:val="009E7031"/>
    <w:rsid w:val="009E7046"/>
    <w:rsid w:val="009E7099"/>
    <w:rsid w:val="009E7179"/>
    <w:rsid w:val="009E7360"/>
    <w:rsid w:val="009E74C4"/>
    <w:rsid w:val="009E74D9"/>
    <w:rsid w:val="009E766C"/>
    <w:rsid w:val="009E7861"/>
    <w:rsid w:val="009E79EF"/>
    <w:rsid w:val="009E7A83"/>
    <w:rsid w:val="009E7B1D"/>
    <w:rsid w:val="009E7B2F"/>
    <w:rsid w:val="009E7DD8"/>
    <w:rsid w:val="009E7EC1"/>
    <w:rsid w:val="009E7F92"/>
    <w:rsid w:val="009F0028"/>
    <w:rsid w:val="009F0367"/>
    <w:rsid w:val="009F04E7"/>
    <w:rsid w:val="009F0820"/>
    <w:rsid w:val="009F0822"/>
    <w:rsid w:val="009F0869"/>
    <w:rsid w:val="009F08B8"/>
    <w:rsid w:val="009F0951"/>
    <w:rsid w:val="009F0A35"/>
    <w:rsid w:val="009F0CBD"/>
    <w:rsid w:val="009F0FC0"/>
    <w:rsid w:val="009F1065"/>
    <w:rsid w:val="009F1089"/>
    <w:rsid w:val="009F111D"/>
    <w:rsid w:val="009F1142"/>
    <w:rsid w:val="009F1307"/>
    <w:rsid w:val="009F13EE"/>
    <w:rsid w:val="009F15A9"/>
    <w:rsid w:val="009F164B"/>
    <w:rsid w:val="009F165C"/>
    <w:rsid w:val="009F172C"/>
    <w:rsid w:val="009F1990"/>
    <w:rsid w:val="009F1A2B"/>
    <w:rsid w:val="009F1B02"/>
    <w:rsid w:val="009F1CE4"/>
    <w:rsid w:val="009F1CE5"/>
    <w:rsid w:val="009F1D9F"/>
    <w:rsid w:val="009F1DB9"/>
    <w:rsid w:val="009F1E75"/>
    <w:rsid w:val="009F201C"/>
    <w:rsid w:val="009F20AF"/>
    <w:rsid w:val="009F2249"/>
    <w:rsid w:val="009F22CC"/>
    <w:rsid w:val="009F2309"/>
    <w:rsid w:val="009F24AF"/>
    <w:rsid w:val="009F24C4"/>
    <w:rsid w:val="009F24D7"/>
    <w:rsid w:val="009F2663"/>
    <w:rsid w:val="009F26B2"/>
    <w:rsid w:val="009F294D"/>
    <w:rsid w:val="009F2A4F"/>
    <w:rsid w:val="009F2A76"/>
    <w:rsid w:val="009F2BD0"/>
    <w:rsid w:val="009F2CCC"/>
    <w:rsid w:val="009F2F67"/>
    <w:rsid w:val="009F3136"/>
    <w:rsid w:val="009F33C7"/>
    <w:rsid w:val="009F3743"/>
    <w:rsid w:val="009F382E"/>
    <w:rsid w:val="009F38F7"/>
    <w:rsid w:val="009F3A3B"/>
    <w:rsid w:val="009F3DB2"/>
    <w:rsid w:val="009F3E34"/>
    <w:rsid w:val="009F3E59"/>
    <w:rsid w:val="009F3F89"/>
    <w:rsid w:val="009F4047"/>
    <w:rsid w:val="009F407D"/>
    <w:rsid w:val="009F44E8"/>
    <w:rsid w:val="009F44F2"/>
    <w:rsid w:val="009F44FA"/>
    <w:rsid w:val="009F4550"/>
    <w:rsid w:val="009F4758"/>
    <w:rsid w:val="009F4AAA"/>
    <w:rsid w:val="009F4ACD"/>
    <w:rsid w:val="009F4BBF"/>
    <w:rsid w:val="009F4C6C"/>
    <w:rsid w:val="009F4D28"/>
    <w:rsid w:val="009F4F58"/>
    <w:rsid w:val="009F4FAB"/>
    <w:rsid w:val="009F4FEF"/>
    <w:rsid w:val="009F522D"/>
    <w:rsid w:val="009F52D4"/>
    <w:rsid w:val="009F539F"/>
    <w:rsid w:val="009F545E"/>
    <w:rsid w:val="009F54B8"/>
    <w:rsid w:val="009F5539"/>
    <w:rsid w:val="009F5686"/>
    <w:rsid w:val="009F57B3"/>
    <w:rsid w:val="009F5998"/>
    <w:rsid w:val="009F5AD9"/>
    <w:rsid w:val="009F5B6C"/>
    <w:rsid w:val="009F5B91"/>
    <w:rsid w:val="009F5C5B"/>
    <w:rsid w:val="009F5D84"/>
    <w:rsid w:val="009F5D9D"/>
    <w:rsid w:val="009F5E12"/>
    <w:rsid w:val="009F5E70"/>
    <w:rsid w:val="009F6046"/>
    <w:rsid w:val="009F6222"/>
    <w:rsid w:val="009F6383"/>
    <w:rsid w:val="009F63D5"/>
    <w:rsid w:val="009F650D"/>
    <w:rsid w:val="009F65F6"/>
    <w:rsid w:val="009F6667"/>
    <w:rsid w:val="009F6764"/>
    <w:rsid w:val="009F683B"/>
    <w:rsid w:val="009F687D"/>
    <w:rsid w:val="009F691E"/>
    <w:rsid w:val="009F6A3A"/>
    <w:rsid w:val="009F6B9C"/>
    <w:rsid w:val="009F6C55"/>
    <w:rsid w:val="009F6D2B"/>
    <w:rsid w:val="009F6DCA"/>
    <w:rsid w:val="009F73E4"/>
    <w:rsid w:val="009F7442"/>
    <w:rsid w:val="009F7593"/>
    <w:rsid w:val="009F7787"/>
    <w:rsid w:val="009F7821"/>
    <w:rsid w:val="009F7858"/>
    <w:rsid w:val="009F79B3"/>
    <w:rsid w:val="009F7A98"/>
    <w:rsid w:val="009F7ACE"/>
    <w:rsid w:val="009F7B80"/>
    <w:rsid w:val="009F7BE7"/>
    <w:rsid w:val="009F7C85"/>
    <w:rsid w:val="009F7DD3"/>
    <w:rsid w:val="009F7FD8"/>
    <w:rsid w:val="009F7FE2"/>
    <w:rsid w:val="00A0011C"/>
    <w:rsid w:val="00A00140"/>
    <w:rsid w:val="00A003CC"/>
    <w:rsid w:val="00A00428"/>
    <w:rsid w:val="00A00700"/>
    <w:rsid w:val="00A0085F"/>
    <w:rsid w:val="00A008D1"/>
    <w:rsid w:val="00A008F3"/>
    <w:rsid w:val="00A00905"/>
    <w:rsid w:val="00A00A3E"/>
    <w:rsid w:val="00A00B81"/>
    <w:rsid w:val="00A0120B"/>
    <w:rsid w:val="00A0154C"/>
    <w:rsid w:val="00A01630"/>
    <w:rsid w:val="00A016E4"/>
    <w:rsid w:val="00A016F6"/>
    <w:rsid w:val="00A0170B"/>
    <w:rsid w:val="00A019E9"/>
    <w:rsid w:val="00A01AB8"/>
    <w:rsid w:val="00A01E33"/>
    <w:rsid w:val="00A01E56"/>
    <w:rsid w:val="00A01EC8"/>
    <w:rsid w:val="00A01F69"/>
    <w:rsid w:val="00A0213C"/>
    <w:rsid w:val="00A022FE"/>
    <w:rsid w:val="00A024FF"/>
    <w:rsid w:val="00A0258D"/>
    <w:rsid w:val="00A027A2"/>
    <w:rsid w:val="00A02838"/>
    <w:rsid w:val="00A02ACE"/>
    <w:rsid w:val="00A02C19"/>
    <w:rsid w:val="00A02C8F"/>
    <w:rsid w:val="00A02CB7"/>
    <w:rsid w:val="00A0306E"/>
    <w:rsid w:val="00A03143"/>
    <w:rsid w:val="00A031C2"/>
    <w:rsid w:val="00A033A6"/>
    <w:rsid w:val="00A03437"/>
    <w:rsid w:val="00A03566"/>
    <w:rsid w:val="00A03639"/>
    <w:rsid w:val="00A036EA"/>
    <w:rsid w:val="00A038B2"/>
    <w:rsid w:val="00A0393A"/>
    <w:rsid w:val="00A03980"/>
    <w:rsid w:val="00A039CE"/>
    <w:rsid w:val="00A03A9F"/>
    <w:rsid w:val="00A03E52"/>
    <w:rsid w:val="00A04036"/>
    <w:rsid w:val="00A04088"/>
    <w:rsid w:val="00A0456B"/>
    <w:rsid w:val="00A0457A"/>
    <w:rsid w:val="00A046B1"/>
    <w:rsid w:val="00A0471B"/>
    <w:rsid w:val="00A04766"/>
    <w:rsid w:val="00A048A3"/>
    <w:rsid w:val="00A04917"/>
    <w:rsid w:val="00A04A36"/>
    <w:rsid w:val="00A04A39"/>
    <w:rsid w:val="00A04ABB"/>
    <w:rsid w:val="00A04BBF"/>
    <w:rsid w:val="00A04BCB"/>
    <w:rsid w:val="00A04BCE"/>
    <w:rsid w:val="00A04D98"/>
    <w:rsid w:val="00A05022"/>
    <w:rsid w:val="00A05036"/>
    <w:rsid w:val="00A0506A"/>
    <w:rsid w:val="00A05096"/>
    <w:rsid w:val="00A05128"/>
    <w:rsid w:val="00A051AD"/>
    <w:rsid w:val="00A0527D"/>
    <w:rsid w:val="00A054B0"/>
    <w:rsid w:val="00A0551C"/>
    <w:rsid w:val="00A0554D"/>
    <w:rsid w:val="00A055E4"/>
    <w:rsid w:val="00A05B0A"/>
    <w:rsid w:val="00A05E00"/>
    <w:rsid w:val="00A05E1C"/>
    <w:rsid w:val="00A060E3"/>
    <w:rsid w:val="00A0625D"/>
    <w:rsid w:val="00A06302"/>
    <w:rsid w:val="00A06316"/>
    <w:rsid w:val="00A06332"/>
    <w:rsid w:val="00A064E3"/>
    <w:rsid w:val="00A066E8"/>
    <w:rsid w:val="00A06761"/>
    <w:rsid w:val="00A06963"/>
    <w:rsid w:val="00A069E1"/>
    <w:rsid w:val="00A06AB8"/>
    <w:rsid w:val="00A06B54"/>
    <w:rsid w:val="00A07032"/>
    <w:rsid w:val="00A07193"/>
    <w:rsid w:val="00A071D7"/>
    <w:rsid w:val="00A073BE"/>
    <w:rsid w:val="00A074E1"/>
    <w:rsid w:val="00A0783F"/>
    <w:rsid w:val="00A078D8"/>
    <w:rsid w:val="00A079E3"/>
    <w:rsid w:val="00A07A67"/>
    <w:rsid w:val="00A07BFA"/>
    <w:rsid w:val="00A07C44"/>
    <w:rsid w:val="00A07CD4"/>
    <w:rsid w:val="00A07EEC"/>
    <w:rsid w:val="00A1013C"/>
    <w:rsid w:val="00A101F9"/>
    <w:rsid w:val="00A10217"/>
    <w:rsid w:val="00A1024A"/>
    <w:rsid w:val="00A10639"/>
    <w:rsid w:val="00A106F5"/>
    <w:rsid w:val="00A10796"/>
    <w:rsid w:val="00A109AD"/>
    <w:rsid w:val="00A10A42"/>
    <w:rsid w:val="00A10AEF"/>
    <w:rsid w:val="00A10B92"/>
    <w:rsid w:val="00A10C04"/>
    <w:rsid w:val="00A10C18"/>
    <w:rsid w:val="00A10C95"/>
    <w:rsid w:val="00A10DC2"/>
    <w:rsid w:val="00A10E7F"/>
    <w:rsid w:val="00A10F8B"/>
    <w:rsid w:val="00A10FAC"/>
    <w:rsid w:val="00A10FD7"/>
    <w:rsid w:val="00A11046"/>
    <w:rsid w:val="00A11059"/>
    <w:rsid w:val="00A110B3"/>
    <w:rsid w:val="00A1116F"/>
    <w:rsid w:val="00A111CD"/>
    <w:rsid w:val="00A112B9"/>
    <w:rsid w:val="00A11669"/>
    <w:rsid w:val="00A11735"/>
    <w:rsid w:val="00A11763"/>
    <w:rsid w:val="00A11768"/>
    <w:rsid w:val="00A11817"/>
    <w:rsid w:val="00A11866"/>
    <w:rsid w:val="00A11B75"/>
    <w:rsid w:val="00A11BE5"/>
    <w:rsid w:val="00A11BF3"/>
    <w:rsid w:val="00A11C8C"/>
    <w:rsid w:val="00A11CBF"/>
    <w:rsid w:val="00A11E99"/>
    <w:rsid w:val="00A11FE0"/>
    <w:rsid w:val="00A121A8"/>
    <w:rsid w:val="00A12200"/>
    <w:rsid w:val="00A12299"/>
    <w:rsid w:val="00A12460"/>
    <w:rsid w:val="00A126A5"/>
    <w:rsid w:val="00A129DA"/>
    <w:rsid w:val="00A12B69"/>
    <w:rsid w:val="00A12CE8"/>
    <w:rsid w:val="00A12F86"/>
    <w:rsid w:val="00A13467"/>
    <w:rsid w:val="00A136EA"/>
    <w:rsid w:val="00A138D1"/>
    <w:rsid w:val="00A13920"/>
    <w:rsid w:val="00A139D2"/>
    <w:rsid w:val="00A139EC"/>
    <w:rsid w:val="00A13A1A"/>
    <w:rsid w:val="00A13B1B"/>
    <w:rsid w:val="00A13DBD"/>
    <w:rsid w:val="00A13E1A"/>
    <w:rsid w:val="00A13ECA"/>
    <w:rsid w:val="00A14318"/>
    <w:rsid w:val="00A14626"/>
    <w:rsid w:val="00A14673"/>
    <w:rsid w:val="00A1478E"/>
    <w:rsid w:val="00A14B31"/>
    <w:rsid w:val="00A14B7C"/>
    <w:rsid w:val="00A14BAD"/>
    <w:rsid w:val="00A14D86"/>
    <w:rsid w:val="00A14F2F"/>
    <w:rsid w:val="00A14F6E"/>
    <w:rsid w:val="00A15022"/>
    <w:rsid w:val="00A15093"/>
    <w:rsid w:val="00A151CA"/>
    <w:rsid w:val="00A151F4"/>
    <w:rsid w:val="00A152E8"/>
    <w:rsid w:val="00A153C1"/>
    <w:rsid w:val="00A15576"/>
    <w:rsid w:val="00A156DC"/>
    <w:rsid w:val="00A15920"/>
    <w:rsid w:val="00A159B2"/>
    <w:rsid w:val="00A159D6"/>
    <w:rsid w:val="00A15CE2"/>
    <w:rsid w:val="00A15CE6"/>
    <w:rsid w:val="00A15D2D"/>
    <w:rsid w:val="00A15D68"/>
    <w:rsid w:val="00A15D73"/>
    <w:rsid w:val="00A15E3E"/>
    <w:rsid w:val="00A1604E"/>
    <w:rsid w:val="00A16059"/>
    <w:rsid w:val="00A1610D"/>
    <w:rsid w:val="00A1632A"/>
    <w:rsid w:val="00A163C4"/>
    <w:rsid w:val="00A16611"/>
    <w:rsid w:val="00A16613"/>
    <w:rsid w:val="00A16626"/>
    <w:rsid w:val="00A1675B"/>
    <w:rsid w:val="00A168E5"/>
    <w:rsid w:val="00A16CB1"/>
    <w:rsid w:val="00A16D57"/>
    <w:rsid w:val="00A16E22"/>
    <w:rsid w:val="00A16F50"/>
    <w:rsid w:val="00A16F63"/>
    <w:rsid w:val="00A17053"/>
    <w:rsid w:val="00A170DD"/>
    <w:rsid w:val="00A1741A"/>
    <w:rsid w:val="00A174FC"/>
    <w:rsid w:val="00A1758C"/>
    <w:rsid w:val="00A177B2"/>
    <w:rsid w:val="00A177F1"/>
    <w:rsid w:val="00A178AF"/>
    <w:rsid w:val="00A17A0E"/>
    <w:rsid w:val="00A17AE3"/>
    <w:rsid w:val="00A17C24"/>
    <w:rsid w:val="00A17C6B"/>
    <w:rsid w:val="00A17ED9"/>
    <w:rsid w:val="00A20275"/>
    <w:rsid w:val="00A20360"/>
    <w:rsid w:val="00A203B1"/>
    <w:rsid w:val="00A20433"/>
    <w:rsid w:val="00A20436"/>
    <w:rsid w:val="00A20608"/>
    <w:rsid w:val="00A2070C"/>
    <w:rsid w:val="00A2084D"/>
    <w:rsid w:val="00A2096E"/>
    <w:rsid w:val="00A20A0E"/>
    <w:rsid w:val="00A20A97"/>
    <w:rsid w:val="00A20B12"/>
    <w:rsid w:val="00A20B53"/>
    <w:rsid w:val="00A20D08"/>
    <w:rsid w:val="00A210DF"/>
    <w:rsid w:val="00A21149"/>
    <w:rsid w:val="00A21185"/>
    <w:rsid w:val="00A211B6"/>
    <w:rsid w:val="00A212A8"/>
    <w:rsid w:val="00A21400"/>
    <w:rsid w:val="00A2142B"/>
    <w:rsid w:val="00A215C2"/>
    <w:rsid w:val="00A215E0"/>
    <w:rsid w:val="00A21739"/>
    <w:rsid w:val="00A2173C"/>
    <w:rsid w:val="00A21A41"/>
    <w:rsid w:val="00A21A4B"/>
    <w:rsid w:val="00A21A76"/>
    <w:rsid w:val="00A21BD7"/>
    <w:rsid w:val="00A21C12"/>
    <w:rsid w:val="00A21C3E"/>
    <w:rsid w:val="00A21E19"/>
    <w:rsid w:val="00A21F93"/>
    <w:rsid w:val="00A220C7"/>
    <w:rsid w:val="00A225DF"/>
    <w:rsid w:val="00A225EF"/>
    <w:rsid w:val="00A226A9"/>
    <w:rsid w:val="00A226F9"/>
    <w:rsid w:val="00A2274A"/>
    <w:rsid w:val="00A2277D"/>
    <w:rsid w:val="00A22942"/>
    <w:rsid w:val="00A22AAF"/>
    <w:rsid w:val="00A22BDF"/>
    <w:rsid w:val="00A22C30"/>
    <w:rsid w:val="00A22DB2"/>
    <w:rsid w:val="00A22F61"/>
    <w:rsid w:val="00A22F8F"/>
    <w:rsid w:val="00A2308A"/>
    <w:rsid w:val="00A23158"/>
    <w:rsid w:val="00A232B8"/>
    <w:rsid w:val="00A235F3"/>
    <w:rsid w:val="00A2365B"/>
    <w:rsid w:val="00A23D97"/>
    <w:rsid w:val="00A24254"/>
    <w:rsid w:val="00A2428C"/>
    <w:rsid w:val="00A243E4"/>
    <w:rsid w:val="00A2448E"/>
    <w:rsid w:val="00A244AA"/>
    <w:rsid w:val="00A246E4"/>
    <w:rsid w:val="00A247EB"/>
    <w:rsid w:val="00A248C7"/>
    <w:rsid w:val="00A24AF2"/>
    <w:rsid w:val="00A24B10"/>
    <w:rsid w:val="00A24BF7"/>
    <w:rsid w:val="00A24BFF"/>
    <w:rsid w:val="00A24C58"/>
    <w:rsid w:val="00A24CEC"/>
    <w:rsid w:val="00A24DF2"/>
    <w:rsid w:val="00A24E0A"/>
    <w:rsid w:val="00A24E4E"/>
    <w:rsid w:val="00A24E89"/>
    <w:rsid w:val="00A2516D"/>
    <w:rsid w:val="00A25527"/>
    <w:rsid w:val="00A256E3"/>
    <w:rsid w:val="00A256F1"/>
    <w:rsid w:val="00A25744"/>
    <w:rsid w:val="00A257D9"/>
    <w:rsid w:val="00A25945"/>
    <w:rsid w:val="00A25A4C"/>
    <w:rsid w:val="00A25A88"/>
    <w:rsid w:val="00A25D42"/>
    <w:rsid w:val="00A25DA1"/>
    <w:rsid w:val="00A25F59"/>
    <w:rsid w:val="00A26218"/>
    <w:rsid w:val="00A26253"/>
    <w:rsid w:val="00A2631F"/>
    <w:rsid w:val="00A2637B"/>
    <w:rsid w:val="00A263AE"/>
    <w:rsid w:val="00A263CC"/>
    <w:rsid w:val="00A2666E"/>
    <w:rsid w:val="00A266F0"/>
    <w:rsid w:val="00A26723"/>
    <w:rsid w:val="00A26734"/>
    <w:rsid w:val="00A26901"/>
    <w:rsid w:val="00A269AD"/>
    <w:rsid w:val="00A26B28"/>
    <w:rsid w:val="00A26C2D"/>
    <w:rsid w:val="00A26FF3"/>
    <w:rsid w:val="00A27041"/>
    <w:rsid w:val="00A27174"/>
    <w:rsid w:val="00A2729E"/>
    <w:rsid w:val="00A273AD"/>
    <w:rsid w:val="00A27437"/>
    <w:rsid w:val="00A27450"/>
    <w:rsid w:val="00A275CF"/>
    <w:rsid w:val="00A27994"/>
    <w:rsid w:val="00A279C0"/>
    <w:rsid w:val="00A27B9E"/>
    <w:rsid w:val="00A27DC6"/>
    <w:rsid w:val="00A27E78"/>
    <w:rsid w:val="00A27F3D"/>
    <w:rsid w:val="00A301F9"/>
    <w:rsid w:val="00A3032E"/>
    <w:rsid w:val="00A3069B"/>
    <w:rsid w:val="00A3069E"/>
    <w:rsid w:val="00A3079F"/>
    <w:rsid w:val="00A308E8"/>
    <w:rsid w:val="00A309B1"/>
    <w:rsid w:val="00A30A86"/>
    <w:rsid w:val="00A30B13"/>
    <w:rsid w:val="00A30B42"/>
    <w:rsid w:val="00A30B9A"/>
    <w:rsid w:val="00A30C6E"/>
    <w:rsid w:val="00A30D05"/>
    <w:rsid w:val="00A30D76"/>
    <w:rsid w:val="00A30E68"/>
    <w:rsid w:val="00A30F4A"/>
    <w:rsid w:val="00A31094"/>
    <w:rsid w:val="00A310C6"/>
    <w:rsid w:val="00A31201"/>
    <w:rsid w:val="00A31266"/>
    <w:rsid w:val="00A31279"/>
    <w:rsid w:val="00A3144D"/>
    <w:rsid w:val="00A3152A"/>
    <w:rsid w:val="00A31A66"/>
    <w:rsid w:val="00A31ADA"/>
    <w:rsid w:val="00A31B10"/>
    <w:rsid w:val="00A31CF1"/>
    <w:rsid w:val="00A31F40"/>
    <w:rsid w:val="00A32010"/>
    <w:rsid w:val="00A32061"/>
    <w:rsid w:val="00A320ED"/>
    <w:rsid w:val="00A32223"/>
    <w:rsid w:val="00A323B8"/>
    <w:rsid w:val="00A32431"/>
    <w:rsid w:val="00A32435"/>
    <w:rsid w:val="00A32592"/>
    <w:rsid w:val="00A328EC"/>
    <w:rsid w:val="00A32994"/>
    <w:rsid w:val="00A32A89"/>
    <w:rsid w:val="00A32C64"/>
    <w:rsid w:val="00A32DEC"/>
    <w:rsid w:val="00A32FBD"/>
    <w:rsid w:val="00A3300C"/>
    <w:rsid w:val="00A332B8"/>
    <w:rsid w:val="00A33304"/>
    <w:rsid w:val="00A33355"/>
    <w:rsid w:val="00A333C0"/>
    <w:rsid w:val="00A3340E"/>
    <w:rsid w:val="00A33434"/>
    <w:rsid w:val="00A3371C"/>
    <w:rsid w:val="00A33B7F"/>
    <w:rsid w:val="00A33BE9"/>
    <w:rsid w:val="00A33C95"/>
    <w:rsid w:val="00A33DAB"/>
    <w:rsid w:val="00A33F89"/>
    <w:rsid w:val="00A33F9D"/>
    <w:rsid w:val="00A33FDC"/>
    <w:rsid w:val="00A3403A"/>
    <w:rsid w:val="00A34071"/>
    <w:rsid w:val="00A341D0"/>
    <w:rsid w:val="00A34324"/>
    <w:rsid w:val="00A34340"/>
    <w:rsid w:val="00A343FB"/>
    <w:rsid w:val="00A34806"/>
    <w:rsid w:val="00A34D8B"/>
    <w:rsid w:val="00A34E5D"/>
    <w:rsid w:val="00A34E8C"/>
    <w:rsid w:val="00A352BE"/>
    <w:rsid w:val="00A3531F"/>
    <w:rsid w:val="00A3536A"/>
    <w:rsid w:val="00A35416"/>
    <w:rsid w:val="00A355ED"/>
    <w:rsid w:val="00A3584E"/>
    <w:rsid w:val="00A358F4"/>
    <w:rsid w:val="00A35BCE"/>
    <w:rsid w:val="00A35C0A"/>
    <w:rsid w:val="00A35CB3"/>
    <w:rsid w:val="00A35F40"/>
    <w:rsid w:val="00A35FFC"/>
    <w:rsid w:val="00A360BA"/>
    <w:rsid w:val="00A360E8"/>
    <w:rsid w:val="00A3616B"/>
    <w:rsid w:val="00A362C7"/>
    <w:rsid w:val="00A3659D"/>
    <w:rsid w:val="00A36741"/>
    <w:rsid w:val="00A3674B"/>
    <w:rsid w:val="00A3690B"/>
    <w:rsid w:val="00A369E3"/>
    <w:rsid w:val="00A36B8A"/>
    <w:rsid w:val="00A36BE6"/>
    <w:rsid w:val="00A36C56"/>
    <w:rsid w:val="00A36C8D"/>
    <w:rsid w:val="00A36DD0"/>
    <w:rsid w:val="00A36ECD"/>
    <w:rsid w:val="00A36EE0"/>
    <w:rsid w:val="00A36F31"/>
    <w:rsid w:val="00A36FAB"/>
    <w:rsid w:val="00A371DE"/>
    <w:rsid w:val="00A372B2"/>
    <w:rsid w:val="00A3748C"/>
    <w:rsid w:val="00A3759A"/>
    <w:rsid w:val="00A3769D"/>
    <w:rsid w:val="00A37A5A"/>
    <w:rsid w:val="00A37B6E"/>
    <w:rsid w:val="00A37C77"/>
    <w:rsid w:val="00A37C81"/>
    <w:rsid w:val="00A400DB"/>
    <w:rsid w:val="00A4010C"/>
    <w:rsid w:val="00A4027E"/>
    <w:rsid w:val="00A403E4"/>
    <w:rsid w:val="00A405E1"/>
    <w:rsid w:val="00A407B8"/>
    <w:rsid w:val="00A40BA8"/>
    <w:rsid w:val="00A40C45"/>
    <w:rsid w:val="00A40C49"/>
    <w:rsid w:val="00A40CAD"/>
    <w:rsid w:val="00A40E81"/>
    <w:rsid w:val="00A410BD"/>
    <w:rsid w:val="00A410EB"/>
    <w:rsid w:val="00A411A7"/>
    <w:rsid w:val="00A411F7"/>
    <w:rsid w:val="00A414DC"/>
    <w:rsid w:val="00A415F3"/>
    <w:rsid w:val="00A416D5"/>
    <w:rsid w:val="00A41723"/>
    <w:rsid w:val="00A417DD"/>
    <w:rsid w:val="00A418AC"/>
    <w:rsid w:val="00A41918"/>
    <w:rsid w:val="00A41F38"/>
    <w:rsid w:val="00A41F62"/>
    <w:rsid w:val="00A41FAD"/>
    <w:rsid w:val="00A4216E"/>
    <w:rsid w:val="00A421F7"/>
    <w:rsid w:val="00A4222F"/>
    <w:rsid w:val="00A42470"/>
    <w:rsid w:val="00A425A4"/>
    <w:rsid w:val="00A425D8"/>
    <w:rsid w:val="00A42607"/>
    <w:rsid w:val="00A42720"/>
    <w:rsid w:val="00A427DA"/>
    <w:rsid w:val="00A4296E"/>
    <w:rsid w:val="00A429C9"/>
    <w:rsid w:val="00A429D7"/>
    <w:rsid w:val="00A42A05"/>
    <w:rsid w:val="00A42AA0"/>
    <w:rsid w:val="00A42C38"/>
    <w:rsid w:val="00A42CF9"/>
    <w:rsid w:val="00A42DCD"/>
    <w:rsid w:val="00A42DD9"/>
    <w:rsid w:val="00A42FD1"/>
    <w:rsid w:val="00A4305C"/>
    <w:rsid w:val="00A43321"/>
    <w:rsid w:val="00A43394"/>
    <w:rsid w:val="00A433A8"/>
    <w:rsid w:val="00A433D3"/>
    <w:rsid w:val="00A435A8"/>
    <w:rsid w:val="00A43639"/>
    <w:rsid w:val="00A438AD"/>
    <w:rsid w:val="00A4395B"/>
    <w:rsid w:val="00A43AD2"/>
    <w:rsid w:val="00A43B7C"/>
    <w:rsid w:val="00A43B89"/>
    <w:rsid w:val="00A43BC4"/>
    <w:rsid w:val="00A43C24"/>
    <w:rsid w:val="00A43C60"/>
    <w:rsid w:val="00A43F51"/>
    <w:rsid w:val="00A440D1"/>
    <w:rsid w:val="00A440F9"/>
    <w:rsid w:val="00A44122"/>
    <w:rsid w:val="00A44273"/>
    <w:rsid w:val="00A44281"/>
    <w:rsid w:val="00A442FC"/>
    <w:rsid w:val="00A44309"/>
    <w:rsid w:val="00A44373"/>
    <w:rsid w:val="00A44414"/>
    <w:rsid w:val="00A4443A"/>
    <w:rsid w:val="00A44517"/>
    <w:rsid w:val="00A44605"/>
    <w:rsid w:val="00A4473E"/>
    <w:rsid w:val="00A447D6"/>
    <w:rsid w:val="00A447E0"/>
    <w:rsid w:val="00A44B83"/>
    <w:rsid w:val="00A44E5B"/>
    <w:rsid w:val="00A44E92"/>
    <w:rsid w:val="00A44F93"/>
    <w:rsid w:val="00A44F9D"/>
    <w:rsid w:val="00A44FA9"/>
    <w:rsid w:val="00A450B9"/>
    <w:rsid w:val="00A451DF"/>
    <w:rsid w:val="00A45317"/>
    <w:rsid w:val="00A453DD"/>
    <w:rsid w:val="00A45480"/>
    <w:rsid w:val="00A454E6"/>
    <w:rsid w:val="00A45922"/>
    <w:rsid w:val="00A45B57"/>
    <w:rsid w:val="00A45BE4"/>
    <w:rsid w:val="00A45C46"/>
    <w:rsid w:val="00A46208"/>
    <w:rsid w:val="00A46269"/>
    <w:rsid w:val="00A4628C"/>
    <w:rsid w:val="00A4631F"/>
    <w:rsid w:val="00A4634E"/>
    <w:rsid w:val="00A46359"/>
    <w:rsid w:val="00A465FD"/>
    <w:rsid w:val="00A466EE"/>
    <w:rsid w:val="00A4696A"/>
    <w:rsid w:val="00A46D3E"/>
    <w:rsid w:val="00A46D46"/>
    <w:rsid w:val="00A46D7D"/>
    <w:rsid w:val="00A46DF7"/>
    <w:rsid w:val="00A470BC"/>
    <w:rsid w:val="00A472B6"/>
    <w:rsid w:val="00A4744B"/>
    <w:rsid w:val="00A47475"/>
    <w:rsid w:val="00A47481"/>
    <w:rsid w:val="00A474A7"/>
    <w:rsid w:val="00A47523"/>
    <w:rsid w:val="00A47715"/>
    <w:rsid w:val="00A47738"/>
    <w:rsid w:val="00A479EF"/>
    <w:rsid w:val="00A47B02"/>
    <w:rsid w:val="00A47C3D"/>
    <w:rsid w:val="00A47C50"/>
    <w:rsid w:val="00A47CF4"/>
    <w:rsid w:val="00A47CFE"/>
    <w:rsid w:val="00A47E86"/>
    <w:rsid w:val="00A47F7F"/>
    <w:rsid w:val="00A500DE"/>
    <w:rsid w:val="00A50221"/>
    <w:rsid w:val="00A50253"/>
    <w:rsid w:val="00A50280"/>
    <w:rsid w:val="00A502C5"/>
    <w:rsid w:val="00A504B0"/>
    <w:rsid w:val="00A5068B"/>
    <w:rsid w:val="00A50792"/>
    <w:rsid w:val="00A507B2"/>
    <w:rsid w:val="00A50A07"/>
    <w:rsid w:val="00A50A2D"/>
    <w:rsid w:val="00A50B94"/>
    <w:rsid w:val="00A50C6B"/>
    <w:rsid w:val="00A50DC7"/>
    <w:rsid w:val="00A50EB4"/>
    <w:rsid w:val="00A50FCB"/>
    <w:rsid w:val="00A510BE"/>
    <w:rsid w:val="00A51297"/>
    <w:rsid w:val="00A515CC"/>
    <w:rsid w:val="00A516BF"/>
    <w:rsid w:val="00A516C8"/>
    <w:rsid w:val="00A51785"/>
    <w:rsid w:val="00A5178A"/>
    <w:rsid w:val="00A51950"/>
    <w:rsid w:val="00A51A2E"/>
    <w:rsid w:val="00A51C04"/>
    <w:rsid w:val="00A51C66"/>
    <w:rsid w:val="00A51D1C"/>
    <w:rsid w:val="00A51F07"/>
    <w:rsid w:val="00A51F19"/>
    <w:rsid w:val="00A51F28"/>
    <w:rsid w:val="00A51F2F"/>
    <w:rsid w:val="00A51FAA"/>
    <w:rsid w:val="00A52124"/>
    <w:rsid w:val="00A522B5"/>
    <w:rsid w:val="00A522F1"/>
    <w:rsid w:val="00A52692"/>
    <w:rsid w:val="00A52730"/>
    <w:rsid w:val="00A52811"/>
    <w:rsid w:val="00A529E3"/>
    <w:rsid w:val="00A52A76"/>
    <w:rsid w:val="00A52AF4"/>
    <w:rsid w:val="00A52B17"/>
    <w:rsid w:val="00A52D1D"/>
    <w:rsid w:val="00A52D71"/>
    <w:rsid w:val="00A52E2F"/>
    <w:rsid w:val="00A52FA9"/>
    <w:rsid w:val="00A52FFF"/>
    <w:rsid w:val="00A5304B"/>
    <w:rsid w:val="00A530EB"/>
    <w:rsid w:val="00A534E5"/>
    <w:rsid w:val="00A535FC"/>
    <w:rsid w:val="00A536F6"/>
    <w:rsid w:val="00A53A1C"/>
    <w:rsid w:val="00A53CA3"/>
    <w:rsid w:val="00A53DAD"/>
    <w:rsid w:val="00A53F28"/>
    <w:rsid w:val="00A53FAF"/>
    <w:rsid w:val="00A5409F"/>
    <w:rsid w:val="00A541DF"/>
    <w:rsid w:val="00A54343"/>
    <w:rsid w:val="00A544EE"/>
    <w:rsid w:val="00A54683"/>
    <w:rsid w:val="00A546DD"/>
    <w:rsid w:val="00A547DD"/>
    <w:rsid w:val="00A5489D"/>
    <w:rsid w:val="00A54A71"/>
    <w:rsid w:val="00A54D21"/>
    <w:rsid w:val="00A54D36"/>
    <w:rsid w:val="00A54E05"/>
    <w:rsid w:val="00A54EBA"/>
    <w:rsid w:val="00A54FA7"/>
    <w:rsid w:val="00A54FD2"/>
    <w:rsid w:val="00A550E2"/>
    <w:rsid w:val="00A55122"/>
    <w:rsid w:val="00A55186"/>
    <w:rsid w:val="00A55450"/>
    <w:rsid w:val="00A5568D"/>
    <w:rsid w:val="00A55C4C"/>
    <w:rsid w:val="00A55EC6"/>
    <w:rsid w:val="00A55FB5"/>
    <w:rsid w:val="00A55FD2"/>
    <w:rsid w:val="00A56184"/>
    <w:rsid w:val="00A5626B"/>
    <w:rsid w:val="00A5631B"/>
    <w:rsid w:val="00A5631C"/>
    <w:rsid w:val="00A56336"/>
    <w:rsid w:val="00A5650D"/>
    <w:rsid w:val="00A5665D"/>
    <w:rsid w:val="00A5678A"/>
    <w:rsid w:val="00A5686A"/>
    <w:rsid w:val="00A568B0"/>
    <w:rsid w:val="00A568D4"/>
    <w:rsid w:val="00A56AB9"/>
    <w:rsid w:val="00A56AF8"/>
    <w:rsid w:val="00A56CDC"/>
    <w:rsid w:val="00A56D0A"/>
    <w:rsid w:val="00A56D0C"/>
    <w:rsid w:val="00A56F89"/>
    <w:rsid w:val="00A5708F"/>
    <w:rsid w:val="00A57174"/>
    <w:rsid w:val="00A574BF"/>
    <w:rsid w:val="00A5751A"/>
    <w:rsid w:val="00A5757D"/>
    <w:rsid w:val="00A57798"/>
    <w:rsid w:val="00A5798F"/>
    <w:rsid w:val="00A57A07"/>
    <w:rsid w:val="00A57AA7"/>
    <w:rsid w:val="00A57D90"/>
    <w:rsid w:val="00A6011D"/>
    <w:rsid w:val="00A60286"/>
    <w:rsid w:val="00A6058C"/>
    <w:rsid w:val="00A606C6"/>
    <w:rsid w:val="00A608BB"/>
    <w:rsid w:val="00A60906"/>
    <w:rsid w:val="00A60A13"/>
    <w:rsid w:val="00A60B39"/>
    <w:rsid w:val="00A60C0D"/>
    <w:rsid w:val="00A60CA0"/>
    <w:rsid w:val="00A60CBF"/>
    <w:rsid w:val="00A60F13"/>
    <w:rsid w:val="00A60F31"/>
    <w:rsid w:val="00A60F5E"/>
    <w:rsid w:val="00A60FCA"/>
    <w:rsid w:val="00A6107D"/>
    <w:rsid w:val="00A6108A"/>
    <w:rsid w:val="00A610AA"/>
    <w:rsid w:val="00A610B8"/>
    <w:rsid w:val="00A6127F"/>
    <w:rsid w:val="00A612CB"/>
    <w:rsid w:val="00A6138C"/>
    <w:rsid w:val="00A614BC"/>
    <w:rsid w:val="00A614F9"/>
    <w:rsid w:val="00A616B2"/>
    <w:rsid w:val="00A61877"/>
    <w:rsid w:val="00A61A9A"/>
    <w:rsid w:val="00A61AF6"/>
    <w:rsid w:val="00A61C92"/>
    <w:rsid w:val="00A61CF4"/>
    <w:rsid w:val="00A61D85"/>
    <w:rsid w:val="00A61EE1"/>
    <w:rsid w:val="00A61EE8"/>
    <w:rsid w:val="00A6203D"/>
    <w:rsid w:val="00A622CB"/>
    <w:rsid w:val="00A622E8"/>
    <w:rsid w:val="00A62387"/>
    <w:rsid w:val="00A62427"/>
    <w:rsid w:val="00A6253A"/>
    <w:rsid w:val="00A62601"/>
    <w:rsid w:val="00A6276E"/>
    <w:rsid w:val="00A6289E"/>
    <w:rsid w:val="00A6295A"/>
    <w:rsid w:val="00A62AD1"/>
    <w:rsid w:val="00A62ADC"/>
    <w:rsid w:val="00A62BEA"/>
    <w:rsid w:val="00A62FCC"/>
    <w:rsid w:val="00A63175"/>
    <w:rsid w:val="00A63270"/>
    <w:rsid w:val="00A6376B"/>
    <w:rsid w:val="00A63B89"/>
    <w:rsid w:val="00A63E7B"/>
    <w:rsid w:val="00A63F1E"/>
    <w:rsid w:val="00A6410C"/>
    <w:rsid w:val="00A641BF"/>
    <w:rsid w:val="00A6434E"/>
    <w:rsid w:val="00A643CD"/>
    <w:rsid w:val="00A6443D"/>
    <w:rsid w:val="00A64526"/>
    <w:rsid w:val="00A64556"/>
    <w:rsid w:val="00A64601"/>
    <w:rsid w:val="00A6487F"/>
    <w:rsid w:val="00A648E4"/>
    <w:rsid w:val="00A648E7"/>
    <w:rsid w:val="00A64AD6"/>
    <w:rsid w:val="00A64BD6"/>
    <w:rsid w:val="00A64D9E"/>
    <w:rsid w:val="00A65018"/>
    <w:rsid w:val="00A6508B"/>
    <w:rsid w:val="00A650D6"/>
    <w:rsid w:val="00A6519B"/>
    <w:rsid w:val="00A65205"/>
    <w:rsid w:val="00A653EC"/>
    <w:rsid w:val="00A65464"/>
    <w:rsid w:val="00A654D5"/>
    <w:rsid w:val="00A65586"/>
    <w:rsid w:val="00A655F2"/>
    <w:rsid w:val="00A656DF"/>
    <w:rsid w:val="00A656F7"/>
    <w:rsid w:val="00A65A26"/>
    <w:rsid w:val="00A65A39"/>
    <w:rsid w:val="00A65C4B"/>
    <w:rsid w:val="00A65D9C"/>
    <w:rsid w:val="00A65DEB"/>
    <w:rsid w:val="00A65F71"/>
    <w:rsid w:val="00A65FBB"/>
    <w:rsid w:val="00A665A7"/>
    <w:rsid w:val="00A6660A"/>
    <w:rsid w:val="00A666C6"/>
    <w:rsid w:val="00A6683C"/>
    <w:rsid w:val="00A668E9"/>
    <w:rsid w:val="00A66900"/>
    <w:rsid w:val="00A669CF"/>
    <w:rsid w:val="00A66AFD"/>
    <w:rsid w:val="00A66B1C"/>
    <w:rsid w:val="00A66C4E"/>
    <w:rsid w:val="00A67040"/>
    <w:rsid w:val="00A67263"/>
    <w:rsid w:val="00A67333"/>
    <w:rsid w:val="00A67396"/>
    <w:rsid w:val="00A673ED"/>
    <w:rsid w:val="00A675CD"/>
    <w:rsid w:val="00A67856"/>
    <w:rsid w:val="00A679E6"/>
    <w:rsid w:val="00A67ABA"/>
    <w:rsid w:val="00A67D73"/>
    <w:rsid w:val="00A67E78"/>
    <w:rsid w:val="00A67E84"/>
    <w:rsid w:val="00A67F49"/>
    <w:rsid w:val="00A701D3"/>
    <w:rsid w:val="00A702F5"/>
    <w:rsid w:val="00A70378"/>
    <w:rsid w:val="00A703AD"/>
    <w:rsid w:val="00A70525"/>
    <w:rsid w:val="00A7070C"/>
    <w:rsid w:val="00A70ABF"/>
    <w:rsid w:val="00A70B42"/>
    <w:rsid w:val="00A70E12"/>
    <w:rsid w:val="00A70E8F"/>
    <w:rsid w:val="00A70F5A"/>
    <w:rsid w:val="00A711E1"/>
    <w:rsid w:val="00A71263"/>
    <w:rsid w:val="00A7132F"/>
    <w:rsid w:val="00A713BF"/>
    <w:rsid w:val="00A71536"/>
    <w:rsid w:val="00A71739"/>
    <w:rsid w:val="00A718B7"/>
    <w:rsid w:val="00A718FE"/>
    <w:rsid w:val="00A71AF8"/>
    <w:rsid w:val="00A71DD6"/>
    <w:rsid w:val="00A71E06"/>
    <w:rsid w:val="00A71E85"/>
    <w:rsid w:val="00A720CB"/>
    <w:rsid w:val="00A72140"/>
    <w:rsid w:val="00A72609"/>
    <w:rsid w:val="00A727E2"/>
    <w:rsid w:val="00A727E3"/>
    <w:rsid w:val="00A7292B"/>
    <w:rsid w:val="00A72C88"/>
    <w:rsid w:val="00A72CCD"/>
    <w:rsid w:val="00A72D62"/>
    <w:rsid w:val="00A72DF1"/>
    <w:rsid w:val="00A73075"/>
    <w:rsid w:val="00A73355"/>
    <w:rsid w:val="00A736A1"/>
    <w:rsid w:val="00A736E2"/>
    <w:rsid w:val="00A73706"/>
    <w:rsid w:val="00A7377C"/>
    <w:rsid w:val="00A73AD2"/>
    <w:rsid w:val="00A73B15"/>
    <w:rsid w:val="00A73BCD"/>
    <w:rsid w:val="00A73CC0"/>
    <w:rsid w:val="00A73CDC"/>
    <w:rsid w:val="00A73E7E"/>
    <w:rsid w:val="00A73FEF"/>
    <w:rsid w:val="00A741DC"/>
    <w:rsid w:val="00A74245"/>
    <w:rsid w:val="00A74824"/>
    <w:rsid w:val="00A749C3"/>
    <w:rsid w:val="00A749EE"/>
    <w:rsid w:val="00A74AF3"/>
    <w:rsid w:val="00A74BC1"/>
    <w:rsid w:val="00A74C36"/>
    <w:rsid w:val="00A74C9C"/>
    <w:rsid w:val="00A74CB4"/>
    <w:rsid w:val="00A74CDD"/>
    <w:rsid w:val="00A74F93"/>
    <w:rsid w:val="00A74FB9"/>
    <w:rsid w:val="00A7517F"/>
    <w:rsid w:val="00A7576A"/>
    <w:rsid w:val="00A758C5"/>
    <w:rsid w:val="00A75BE2"/>
    <w:rsid w:val="00A75F86"/>
    <w:rsid w:val="00A76054"/>
    <w:rsid w:val="00A760C8"/>
    <w:rsid w:val="00A76285"/>
    <w:rsid w:val="00A7631E"/>
    <w:rsid w:val="00A7647D"/>
    <w:rsid w:val="00A7676D"/>
    <w:rsid w:val="00A76DB9"/>
    <w:rsid w:val="00A76E47"/>
    <w:rsid w:val="00A77001"/>
    <w:rsid w:val="00A77007"/>
    <w:rsid w:val="00A770C8"/>
    <w:rsid w:val="00A770E3"/>
    <w:rsid w:val="00A77280"/>
    <w:rsid w:val="00A774E6"/>
    <w:rsid w:val="00A775A8"/>
    <w:rsid w:val="00A775BB"/>
    <w:rsid w:val="00A77A19"/>
    <w:rsid w:val="00A77B1D"/>
    <w:rsid w:val="00A77BE6"/>
    <w:rsid w:val="00A77CC6"/>
    <w:rsid w:val="00A77CCC"/>
    <w:rsid w:val="00A77E01"/>
    <w:rsid w:val="00A77E98"/>
    <w:rsid w:val="00A77EA0"/>
    <w:rsid w:val="00A77EB4"/>
    <w:rsid w:val="00A77FD9"/>
    <w:rsid w:val="00A801B4"/>
    <w:rsid w:val="00A803F6"/>
    <w:rsid w:val="00A80450"/>
    <w:rsid w:val="00A8073E"/>
    <w:rsid w:val="00A80A2F"/>
    <w:rsid w:val="00A80C34"/>
    <w:rsid w:val="00A80CC3"/>
    <w:rsid w:val="00A81103"/>
    <w:rsid w:val="00A81155"/>
    <w:rsid w:val="00A811DE"/>
    <w:rsid w:val="00A81556"/>
    <w:rsid w:val="00A81997"/>
    <w:rsid w:val="00A819A6"/>
    <w:rsid w:val="00A81AB1"/>
    <w:rsid w:val="00A81EE8"/>
    <w:rsid w:val="00A81EFF"/>
    <w:rsid w:val="00A81F62"/>
    <w:rsid w:val="00A820B8"/>
    <w:rsid w:val="00A820C0"/>
    <w:rsid w:val="00A82173"/>
    <w:rsid w:val="00A8229D"/>
    <w:rsid w:val="00A822C6"/>
    <w:rsid w:val="00A822D8"/>
    <w:rsid w:val="00A82486"/>
    <w:rsid w:val="00A825F2"/>
    <w:rsid w:val="00A82667"/>
    <w:rsid w:val="00A82880"/>
    <w:rsid w:val="00A82943"/>
    <w:rsid w:val="00A829CF"/>
    <w:rsid w:val="00A82A39"/>
    <w:rsid w:val="00A82C66"/>
    <w:rsid w:val="00A82CB8"/>
    <w:rsid w:val="00A82F15"/>
    <w:rsid w:val="00A83011"/>
    <w:rsid w:val="00A831B6"/>
    <w:rsid w:val="00A8357D"/>
    <w:rsid w:val="00A83653"/>
    <w:rsid w:val="00A83866"/>
    <w:rsid w:val="00A838AB"/>
    <w:rsid w:val="00A83908"/>
    <w:rsid w:val="00A83A8C"/>
    <w:rsid w:val="00A83A9D"/>
    <w:rsid w:val="00A84226"/>
    <w:rsid w:val="00A842B6"/>
    <w:rsid w:val="00A8471E"/>
    <w:rsid w:val="00A8477F"/>
    <w:rsid w:val="00A848AD"/>
    <w:rsid w:val="00A84948"/>
    <w:rsid w:val="00A84956"/>
    <w:rsid w:val="00A849F6"/>
    <w:rsid w:val="00A84FFD"/>
    <w:rsid w:val="00A8520B"/>
    <w:rsid w:val="00A85343"/>
    <w:rsid w:val="00A85403"/>
    <w:rsid w:val="00A857FF"/>
    <w:rsid w:val="00A858CC"/>
    <w:rsid w:val="00A85A39"/>
    <w:rsid w:val="00A85A3C"/>
    <w:rsid w:val="00A85BCF"/>
    <w:rsid w:val="00A85C9E"/>
    <w:rsid w:val="00A86164"/>
    <w:rsid w:val="00A862A7"/>
    <w:rsid w:val="00A862A9"/>
    <w:rsid w:val="00A864B0"/>
    <w:rsid w:val="00A8660B"/>
    <w:rsid w:val="00A86657"/>
    <w:rsid w:val="00A86660"/>
    <w:rsid w:val="00A86B69"/>
    <w:rsid w:val="00A871A9"/>
    <w:rsid w:val="00A87251"/>
    <w:rsid w:val="00A8726B"/>
    <w:rsid w:val="00A873BF"/>
    <w:rsid w:val="00A873C0"/>
    <w:rsid w:val="00A87460"/>
    <w:rsid w:val="00A87662"/>
    <w:rsid w:val="00A87686"/>
    <w:rsid w:val="00A87A8F"/>
    <w:rsid w:val="00A87BDE"/>
    <w:rsid w:val="00A903C6"/>
    <w:rsid w:val="00A90546"/>
    <w:rsid w:val="00A905BE"/>
    <w:rsid w:val="00A906E5"/>
    <w:rsid w:val="00A90858"/>
    <w:rsid w:val="00A908EC"/>
    <w:rsid w:val="00A90913"/>
    <w:rsid w:val="00A9092B"/>
    <w:rsid w:val="00A9093B"/>
    <w:rsid w:val="00A90BCF"/>
    <w:rsid w:val="00A90BFF"/>
    <w:rsid w:val="00A90CA7"/>
    <w:rsid w:val="00A90CBE"/>
    <w:rsid w:val="00A90D30"/>
    <w:rsid w:val="00A90D3E"/>
    <w:rsid w:val="00A90F78"/>
    <w:rsid w:val="00A911CD"/>
    <w:rsid w:val="00A912D0"/>
    <w:rsid w:val="00A913E0"/>
    <w:rsid w:val="00A91496"/>
    <w:rsid w:val="00A918F0"/>
    <w:rsid w:val="00A91974"/>
    <w:rsid w:val="00A91B43"/>
    <w:rsid w:val="00A91CBC"/>
    <w:rsid w:val="00A91CBD"/>
    <w:rsid w:val="00A91F93"/>
    <w:rsid w:val="00A91FA1"/>
    <w:rsid w:val="00A9204E"/>
    <w:rsid w:val="00A92119"/>
    <w:rsid w:val="00A92165"/>
    <w:rsid w:val="00A924F5"/>
    <w:rsid w:val="00A925B6"/>
    <w:rsid w:val="00A92636"/>
    <w:rsid w:val="00A92643"/>
    <w:rsid w:val="00A928C2"/>
    <w:rsid w:val="00A929F6"/>
    <w:rsid w:val="00A92A16"/>
    <w:rsid w:val="00A92A83"/>
    <w:rsid w:val="00A92B27"/>
    <w:rsid w:val="00A92C1A"/>
    <w:rsid w:val="00A92CB8"/>
    <w:rsid w:val="00A92CDA"/>
    <w:rsid w:val="00A92F98"/>
    <w:rsid w:val="00A92FFD"/>
    <w:rsid w:val="00A930E7"/>
    <w:rsid w:val="00A931BB"/>
    <w:rsid w:val="00A9324C"/>
    <w:rsid w:val="00A93554"/>
    <w:rsid w:val="00A935D4"/>
    <w:rsid w:val="00A93708"/>
    <w:rsid w:val="00A9372D"/>
    <w:rsid w:val="00A93805"/>
    <w:rsid w:val="00A93A22"/>
    <w:rsid w:val="00A93C23"/>
    <w:rsid w:val="00A93C2F"/>
    <w:rsid w:val="00A93C43"/>
    <w:rsid w:val="00A93C9A"/>
    <w:rsid w:val="00A940B4"/>
    <w:rsid w:val="00A94105"/>
    <w:rsid w:val="00A94160"/>
    <w:rsid w:val="00A9419D"/>
    <w:rsid w:val="00A94344"/>
    <w:rsid w:val="00A943C6"/>
    <w:rsid w:val="00A943FA"/>
    <w:rsid w:val="00A94696"/>
    <w:rsid w:val="00A94702"/>
    <w:rsid w:val="00A948FC"/>
    <w:rsid w:val="00A94946"/>
    <w:rsid w:val="00A94AC1"/>
    <w:rsid w:val="00A94AD8"/>
    <w:rsid w:val="00A94BE8"/>
    <w:rsid w:val="00A94C16"/>
    <w:rsid w:val="00A94C5E"/>
    <w:rsid w:val="00A94D1E"/>
    <w:rsid w:val="00A94DE2"/>
    <w:rsid w:val="00A94E9F"/>
    <w:rsid w:val="00A94F71"/>
    <w:rsid w:val="00A94F7D"/>
    <w:rsid w:val="00A95050"/>
    <w:rsid w:val="00A950B8"/>
    <w:rsid w:val="00A95126"/>
    <w:rsid w:val="00A95441"/>
    <w:rsid w:val="00A954ED"/>
    <w:rsid w:val="00A95882"/>
    <w:rsid w:val="00A959AA"/>
    <w:rsid w:val="00A95EFD"/>
    <w:rsid w:val="00A95F89"/>
    <w:rsid w:val="00A96296"/>
    <w:rsid w:val="00A96552"/>
    <w:rsid w:val="00A96600"/>
    <w:rsid w:val="00A966C0"/>
    <w:rsid w:val="00A96890"/>
    <w:rsid w:val="00A968ED"/>
    <w:rsid w:val="00A96E1A"/>
    <w:rsid w:val="00A96F5B"/>
    <w:rsid w:val="00A970B4"/>
    <w:rsid w:val="00A970D6"/>
    <w:rsid w:val="00A97121"/>
    <w:rsid w:val="00A97137"/>
    <w:rsid w:val="00A97211"/>
    <w:rsid w:val="00A9724B"/>
    <w:rsid w:val="00A97271"/>
    <w:rsid w:val="00A97315"/>
    <w:rsid w:val="00A97465"/>
    <w:rsid w:val="00A97505"/>
    <w:rsid w:val="00A97662"/>
    <w:rsid w:val="00A97694"/>
    <w:rsid w:val="00A97ADB"/>
    <w:rsid w:val="00A97BFD"/>
    <w:rsid w:val="00A97D3E"/>
    <w:rsid w:val="00A97DFF"/>
    <w:rsid w:val="00A97FE9"/>
    <w:rsid w:val="00AA00FC"/>
    <w:rsid w:val="00AA0170"/>
    <w:rsid w:val="00AA01E8"/>
    <w:rsid w:val="00AA01F6"/>
    <w:rsid w:val="00AA0426"/>
    <w:rsid w:val="00AA05DD"/>
    <w:rsid w:val="00AA06EB"/>
    <w:rsid w:val="00AA075D"/>
    <w:rsid w:val="00AA08C6"/>
    <w:rsid w:val="00AA098D"/>
    <w:rsid w:val="00AA0CD7"/>
    <w:rsid w:val="00AA0DB4"/>
    <w:rsid w:val="00AA0DEF"/>
    <w:rsid w:val="00AA0E0F"/>
    <w:rsid w:val="00AA0EA0"/>
    <w:rsid w:val="00AA0F0F"/>
    <w:rsid w:val="00AA1141"/>
    <w:rsid w:val="00AA12D6"/>
    <w:rsid w:val="00AA1330"/>
    <w:rsid w:val="00AA13B3"/>
    <w:rsid w:val="00AA13E0"/>
    <w:rsid w:val="00AA13FC"/>
    <w:rsid w:val="00AA159A"/>
    <w:rsid w:val="00AA1676"/>
    <w:rsid w:val="00AA171F"/>
    <w:rsid w:val="00AA175C"/>
    <w:rsid w:val="00AA18E1"/>
    <w:rsid w:val="00AA19F7"/>
    <w:rsid w:val="00AA1BE3"/>
    <w:rsid w:val="00AA1DFC"/>
    <w:rsid w:val="00AA2129"/>
    <w:rsid w:val="00AA21B0"/>
    <w:rsid w:val="00AA21D2"/>
    <w:rsid w:val="00AA226A"/>
    <w:rsid w:val="00AA2597"/>
    <w:rsid w:val="00AA275B"/>
    <w:rsid w:val="00AA27B7"/>
    <w:rsid w:val="00AA285E"/>
    <w:rsid w:val="00AA2ADE"/>
    <w:rsid w:val="00AA2B0F"/>
    <w:rsid w:val="00AA2B38"/>
    <w:rsid w:val="00AA2E18"/>
    <w:rsid w:val="00AA2EF2"/>
    <w:rsid w:val="00AA2FDE"/>
    <w:rsid w:val="00AA309F"/>
    <w:rsid w:val="00AA30F4"/>
    <w:rsid w:val="00AA3122"/>
    <w:rsid w:val="00AA3130"/>
    <w:rsid w:val="00AA320F"/>
    <w:rsid w:val="00AA3457"/>
    <w:rsid w:val="00AA3506"/>
    <w:rsid w:val="00AA3681"/>
    <w:rsid w:val="00AA398F"/>
    <w:rsid w:val="00AA39B6"/>
    <w:rsid w:val="00AA3A31"/>
    <w:rsid w:val="00AA3AE9"/>
    <w:rsid w:val="00AA3B1E"/>
    <w:rsid w:val="00AA3BF9"/>
    <w:rsid w:val="00AA3C07"/>
    <w:rsid w:val="00AA3DDC"/>
    <w:rsid w:val="00AA42FC"/>
    <w:rsid w:val="00AA4486"/>
    <w:rsid w:val="00AA4594"/>
    <w:rsid w:val="00AA4750"/>
    <w:rsid w:val="00AA51DC"/>
    <w:rsid w:val="00AA5261"/>
    <w:rsid w:val="00AA5302"/>
    <w:rsid w:val="00AA5437"/>
    <w:rsid w:val="00AA54D2"/>
    <w:rsid w:val="00AA560A"/>
    <w:rsid w:val="00AA56D1"/>
    <w:rsid w:val="00AA5990"/>
    <w:rsid w:val="00AA5C74"/>
    <w:rsid w:val="00AA5C9E"/>
    <w:rsid w:val="00AA5D61"/>
    <w:rsid w:val="00AA5EA1"/>
    <w:rsid w:val="00AA5EAD"/>
    <w:rsid w:val="00AA5EB6"/>
    <w:rsid w:val="00AA60A4"/>
    <w:rsid w:val="00AA60AB"/>
    <w:rsid w:val="00AA630C"/>
    <w:rsid w:val="00AA6454"/>
    <w:rsid w:val="00AA6529"/>
    <w:rsid w:val="00AA6631"/>
    <w:rsid w:val="00AA677D"/>
    <w:rsid w:val="00AA67DB"/>
    <w:rsid w:val="00AA6821"/>
    <w:rsid w:val="00AA6A33"/>
    <w:rsid w:val="00AA6B7C"/>
    <w:rsid w:val="00AA6BAC"/>
    <w:rsid w:val="00AA6C95"/>
    <w:rsid w:val="00AA6DBD"/>
    <w:rsid w:val="00AA6F0B"/>
    <w:rsid w:val="00AA6FDD"/>
    <w:rsid w:val="00AA70E9"/>
    <w:rsid w:val="00AA719E"/>
    <w:rsid w:val="00AA744A"/>
    <w:rsid w:val="00AA7528"/>
    <w:rsid w:val="00AA7958"/>
    <w:rsid w:val="00AA7CA8"/>
    <w:rsid w:val="00AA7DF1"/>
    <w:rsid w:val="00AA7DFB"/>
    <w:rsid w:val="00AA7F12"/>
    <w:rsid w:val="00AA7F4A"/>
    <w:rsid w:val="00AA7FF6"/>
    <w:rsid w:val="00AB0050"/>
    <w:rsid w:val="00AB0085"/>
    <w:rsid w:val="00AB01A4"/>
    <w:rsid w:val="00AB01EB"/>
    <w:rsid w:val="00AB0365"/>
    <w:rsid w:val="00AB0380"/>
    <w:rsid w:val="00AB047D"/>
    <w:rsid w:val="00AB04B9"/>
    <w:rsid w:val="00AB05F6"/>
    <w:rsid w:val="00AB0A46"/>
    <w:rsid w:val="00AB0A8C"/>
    <w:rsid w:val="00AB0A8F"/>
    <w:rsid w:val="00AB0B4C"/>
    <w:rsid w:val="00AB0D39"/>
    <w:rsid w:val="00AB0D8C"/>
    <w:rsid w:val="00AB0DF4"/>
    <w:rsid w:val="00AB138F"/>
    <w:rsid w:val="00AB15A1"/>
    <w:rsid w:val="00AB168B"/>
    <w:rsid w:val="00AB16E1"/>
    <w:rsid w:val="00AB175B"/>
    <w:rsid w:val="00AB177B"/>
    <w:rsid w:val="00AB1AD6"/>
    <w:rsid w:val="00AB1B26"/>
    <w:rsid w:val="00AB1FA5"/>
    <w:rsid w:val="00AB22CA"/>
    <w:rsid w:val="00AB2450"/>
    <w:rsid w:val="00AB2496"/>
    <w:rsid w:val="00AB25EB"/>
    <w:rsid w:val="00AB265F"/>
    <w:rsid w:val="00AB2683"/>
    <w:rsid w:val="00AB27EF"/>
    <w:rsid w:val="00AB281C"/>
    <w:rsid w:val="00AB287B"/>
    <w:rsid w:val="00AB29B4"/>
    <w:rsid w:val="00AB2A12"/>
    <w:rsid w:val="00AB2B66"/>
    <w:rsid w:val="00AB2CA6"/>
    <w:rsid w:val="00AB2E2D"/>
    <w:rsid w:val="00AB2FDA"/>
    <w:rsid w:val="00AB33AF"/>
    <w:rsid w:val="00AB3742"/>
    <w:rsid w:val="00AB3792"/>
    <w:rsid w:val="00AB3878"/>
    <w:rsid w:val="00AB3ABB"/>
    <w:rsid w:val="00AB3C03"/>
    <w:rsid w:val="00AB3C46"/>
    <w:rsid w:val="00AB3C81"/>
    <w:rsid w:val="00AB3F7B"/>
    <w:rsid w:val="00AB40BF"/>
    <w:rsid w:val="00AB4140"/>
    <w:rsid w:val="00AB415B"/>
    <w:rsid w:val="00AB41B1"/>
    <w:rsid w:val="00AB41D4"/>
    <w:rsid w:val="00AB44E0"/>
    <w:rsid w:val="00AB4590"/>
    <w:rsid w:val="00AB4667"/>
    <w:rsid w:val="00AB46EA"/>
    <w:rsid w:val="00AB49B8"/>
    <w:rsid w:val="00AB4DC0"/>
    <w:rsid w:val="00AB5004"/>
    <w:rsid w:val="00AB52C8"/>
    <w:rsid w:val="00AB559E"/>
    <w:rsid w:val="00AB5942"/>
    <w:rsid w:val="00AB59BA"/>
    <w:rsid w:val="00AB59C2"/>
    <w:rsid w:val="00AB59F3"/>
    <w:rsid w:val="00AB5BF6"/>
    <w:rsid w:val="00AB5D15"/>
    <w:rsid w:val="00AB5DFA"/>
    <w:rsid w:val="00AB5EBF"/>
    <w:rsid w:val="00AB6182"/>
    <w:rsid w:val="00AB62C7"/>
    <w:rsid w:val="00AB6315"/>
    <w:rsid w:val="00AB63E2"/>
    <w:rsid w:val="00AB64A9"/>
    <w:rsid w:val="00AB6529"/>
    <w:rsid w:val="00AB681F"/>
    <w:rsid w:val="00AB69B5"/>
    <w:rsid w:val="00AB6CC9"/>
    <w:rsid w:val="00AB6D80"/>
    <w:rsid w:val="00AB6DB0"/>
    <w:rsid w:val="00AB6EE2"/>
    <w:rsid w:val="00AB70F6"/>
    <w:rsid w:val="00AB710C"/>
    <w:rsid w:val="00AB7118"/>
    <w:rsid w:val="00AB7122"/>
    <w:rsid w:val="00AB725F"/>
    <w:rsid w:val="00AB746D"/>
    <w:rsid w:val="00AB76CD"/>
    <w:rsid w:val="00AB7812"/>
    <w:rsid w:val="00AB78FC"/>
    <w:rsid w:val="00AB7B52"/>
    <w:rsid w:val="00AB7C2E"/>
    <w:rsid w:val="00AB7D0B"/>
    <w:rsid w:val="00AB7D15"/>
    <w:rsid w:val="00AB7D84"/>
    <w:rsid w:val="00AB7FE4"/>
    <w:rsid w:val="00AC000D"/>
    <w:rsid w:val="00AC001B"/>
    <w:rsid w:val="00AC0055"/>
    <w:rsid w:val="00AC04B3"/>
    <w:rsid w:val="00AC0926"/>
    <w:rsid w:val="00AC0A0D"/>
    <w:rsid w:val="00AC0A86"/>
    <w:rsid w:val="00AC0B5E"/>
    <w:rsid w:val="00AC0B6E"/>
    <w:rsid w:val="00AC0C44"/>
    <w:rsid w:val="00AC0DEB"/>
    <w:rsid w:val="00AC11EC"/>
    <w:rsid w:val="00AC1204"/>
    <w:rsid w:val="00AC12A2"/>
    <w:rsid w:val="00AC12FA"/>
    <w:rsid w:val="00AC1352"/>
    <w:rsid w:val="00AC1400"/>
    <w:rsid w:val="00AC14C8"/>
    <w:rsid w:val="00AC153B"/>
    <w:rsid w:val="00AC1709"/>
    <w:rsid w:val="00AC177D"/>
    <w:rsid w:val="00AC1A24"/>
    <w:rsid w:val="00AC1AA1"/>
    <w:rsid w:val="00AC20BE"/>
    <w:rsid w:val="00AC21D8"/>
    <w:rsid w:val="00AC2289"/>
    <w:rsid w:val="00AC23EB"/>
    <w:rsid w:val="00AC23FB"/>
    <w:rsid w:val="00AC249C"/>
    <w:rsid w:val="00AC24B6"/>
    <w:rsid w:val="00AC25BD"/>
    <w:rsid w:val="00AC25C1"/>
    <w:rsid w:val="00AC2754"/>
    <w:rsid w:val="00AC27FD"/>
    <w:rsid w:val="00AC284C"/>
    <w:rsid w:val="00AC28EC"/>
    <w:rsid w:val="00AC297E"/>
    <w:rsid w:val="00AC29E8"/>
    <w:rsid w:val="00AC2A01"/>
    <w:rsid w:val="00AC2A5C"/>
    <w:rsid w:val="00AC2ACF"/>
    <w:rsid w:val="00AC2B3A"/>
    <w:rsid w:val="00AC2BE7"/>
    <w:rsid w:val="00AC2C8C"/>
    <w:rsid w:val="00AC2DC1"/>
    <w:rsid w:val="00AC2FC2"/>
    <w:rsid w:val="00AC3109"/>
    <w:rsid w:val="00AC32CF"/>
    <w:rsid w:val="00AC332C"/>
    <w:rsid w:val="00AC34FC"/>
    <w:rsid w:val="00AC3592"/>
    <w:rsid w:val="00AC37B6"/>
    <w:rsid w:val="00AC3835"/>
    <w:rsid w:val="00AC3849"/>
    <w:rsid w:val="00AC385F"/>
    <w:rsid w:val="00AC3956"/>
    <w:rsid w:val="00AC3C32"/>
    <w:rsid w:val="00AC3ED8"/>
    <w:rsid w:val="00AC3F71"/>
    <w:rsid w:val="00AC4019"/>
    <w:rsid w:val="00AC4136"/>
    <w:rsid w:val="00AC4159"/>
    <w:rsid w:val="00AC423A"/>
    <w:rsid w:val="00AC4430"/>
    <w:rsid w:val="00AC4781"/>
    <w:rsid w:val="00AC47B9"/>
    <w:rsid w:val="00AC486B"/>
    <w:rsid w:val="00AC48DF"/>
    <w:rsid w:val="00AC4B19"/>
    <w:rsid w:val="00AC4BE8"/>
    <w:rsid w:val="00AC4C5B"/>
    <w:rsid w:val="00AC4D3F"/>
    <w:rsid w:val="00AC4D6A"/>
    <w:rsid w:val="00AC4DD8"/>
    <w:rsid w:val="00AC50DE"/>
    <w:rsid w:val="00AC5278"/>
    <w:rsid w:val="00AC5531"/>
    <w:rsid w:val="00AC557C"/>
    <w:rsid w:val="00AC56AC"/>
    <w:rsid w:val="00AC5751"/>
    <w:rsid w:val="00AC5A8A"/>
    <w:rsid w:val="00AC5C8D"/>
    <w:rsid w:val="00AC6037"/>
    <w:rsid w:val="00AC6138"/>
    <w:rsid w:val="00AC61C3"/>
    <w:rsid w:val="00AC62DE"/>
    <w:rsid w:val="00AC6361"/>
    <w:rsid w:val="00AC63FE"/>
    <w:rsid w:val="00AC6563"/>
    <w:rsid w:val="00AC6592"/>
    <w:rsid w:val="00AC65BF"/>
    <w:rsid w:val="00AC6677"/>
    <w:rsid w:val="00AC69B4"/>
    <w:rsid w:val="00AC6BFF"/>
    <w:rsid w:val="00AC6DED"/>
    <w:rsid w:val="00AC6FBC"/>
    <w:rsid w:val="00AC70D0"/>
    <w:rsid w:val="00AC70FE"/>
    <w:rsid w:val="00AC74D1"/>
    <w:rsid w:val="00AC75F1"/>
    <w:rsid w:val="00AC76E5"/>
    <w:rsid w:val="00AC7762"/>
    <w:rsid w:val="00AC7921"/>
    <w:rsid w:val="00AC79E9"/>
    <w:rsid w:val="00AC7B1B"/>
    <w:rsid w:val="00AC7B4D"/>
    <w:rsid w:val="00AD01FA"/>
    <w:rsid w:val="00AD028D"/>
    <w:rsid w:val="00AD0394"/>
    <w:rsid w:val="00AD0436"/>
    <w:rsid w:val="00AD0450"/>
    <w:rsid w:val="00AD0516"/>
    <w:rsid w:val="00AD055A"/>
    <w:rsid w:val="00AD0B17"/>
    <w:rsid w:val="00AD0B97"/>
    <w:rsid w:val="00AD0C2B"/>
    <w:rsid w:val="00AD0D25"/>
    <w:rsid w:val="00AD0E49"/>
    <w:rsid w:val="00AD0E50"/>
    <w:rsid w:val="00AD0EA5"/>
    <w:rsid w:val="00AD0EB6"/>
    <w:rsid w:val="00AD0EF0"/>
    <w:rsid w:val="00AD1016"/>
    <w:rsid w:val="00AD1212"/>
    <w:rsid w:val="00AD124C"/>
    <w:rsid w:val="00AD12C9"/>
    <w:rsid w:val="00AD137C"/>
    <w:rsid w:val="00AD14CA"/>
    <w:rsid w:val="00AD154C"/>
    <w:rsid w:val="00AD16E2"/>
    <w:rsid w:val="00AD194A"/>
    <w:rsid w:val="00AD1BB9"/>
    <w:rsid w:val="00AD1DC7"/>
    <w:rsid w:val="00AD1E68"/>
    <w:rsid w:val="00AD1FA3"/>
    <w:rsid w:val="00AD2015"/>
    <w:rsid w:val="00AD2034"/>
    <w:rsid w:val="00AD20B0"/>
    <w:rsid w:val="00AD2246"/>
    <w:rsid w:val="00AD2252"/>
    <w:rsid w:val="00AD241C"/>
    <w:rsid w:val="00AD2586"/>
    <w:rsid w:val="00AD2954"/>
    <w:rsid w:val="00AD295E"/>
    <w:rsid w:val="00AD2B71"/>
    <w:rsid w:val="00AD2D05"/>
    <w:rsid w:val="00AD2FA4"/>
    <w:rsid w:val="00AD2FF0"/>
    <w:rsid w:val="00AD3055"/>
    <w:rsid w:val="00AD338F"/>
    <w:rsid w:val="00AD34AF"/>
    <w:rsid w:val="00AD34E0"/>
    <w:rsid w:val="00AD359B"/>
    <w:rsid w:val="00AD377C"/>
    <w:rsid w:val="00AD37F7"/>
    <w:rsid w:val="00AD3826"/>
    <w:rsid w:val="00AD3847"/>
    <w:rsid w:val="00AD387B"/>
    <w:rsid w:val="00AD396B"/>
    <w:rsid w:val="00AD3A92"/>
    <w:rsid w:val="00AD3BCC"/>
    <w:rsid w:val="00AD3D24"/>
    <w:rsid w:val="00AD3D65"/>
    <w:rsid w:val="00AD3DFA"/>
    <w:rsid w:val="00AD3E10"/>
    <w:rsid w:val="00AD3EFB"/>
    <w:rsid w:val="00AD3F74"/>
    <w:rsid w:val="00AD4284"/>
    <w:rsid w:val="00AD46A0"/>
    <w:rsid w:val="00AD46C3"/>
    <w:rsid w:val="00AD4C7F"/>
    <w:rsid w:val="00AD4D7A"/>
    <w:rsid w:val="00AD4F9E"/>
    <w:rsid w:val="00AD5012"/>
    <w:rsid w:val="00AD511C"/>
    <w:rsid w:val="00AD5142"/>
    <w:rsid w:val="00AD5231"/>
    <w:rsid w:val="00AD52D3"/>
    <w:rsid w:val="00AD52F7"/>
    <w:rsid w:val="00AD53A9"/>
    <w:rsid w:val="00AD5512"/>
    <w:rsid w:val="00AD554E"/>
    <w:rsid w:val="00AD57D0"/>
    <w:rsid w:val="00AD5D35"/>
    <w:rsid w:val="00AD5E10"/>
    <w:rsid w:val="00AD5E1A"/>
    <w:rsid w:val="00AD5EC2"/>
    <w:rsid w:val="00AD5EFD"/>
    <w:rsid w:val="00AD60ED"/>
    <w:rsid w:val="00AD611A"/>
    <w:rsid w:val="00AD6374"/>
    <w:rsid w:val="00AD6433"/>
    <w:rsid w:val="00AD6554"/>
    <w:rsid w:val="00AD65A9"/>
    <w:rsid w:val="00AD664E"/>
    <w:rsid w:val="00AD673E"/>
    <w:rsid w:val="00AD67EC"/>
    <w:rsid w:val="00AD68B9"/>
    <w:rsid w:val="00AD68D7"/>
    <w:rsid w:val="00AD6AF2"/>
    <w:rsid w:val="00AD6C00"/>
    <w:rsid w:val="00AD6D51"/>
    <w:rsid w:val="00AD6F6B"/>
    <w:rsid w:val="00AD7049"/>
    <w:rsid w:val="00AD737F"/>
    <w:rsid w:val="00AD7481"/>
    <w:rsid w:val="00AD783D"/>
    <w:rsid w:val="00AD7D14"/>
    <w:rsid w:val="00AD7D9C"/>
    <w:rsid w:val="00AD7E86"/>
    <w:rsid w:val="00AD7F97"/>
    <w:rsid w:val="00AD7FBF"/>
    <w:rsid w:val="00AE002B"/>
    <w:rsid w:val="00AE00A7"/>
    <w:rsid w:val="00AE00C5"/>
    <w:rsid w:val="00AE011F"/>
    <w:rsid w:val="00AE01EF"/>
    <w:rsid w:val="00AE030A"/>
    <w:rsid w:val="00AE04C7"/>
    <w:rsid w:val="00AE0545"/>
    <w:rsid w:val="00AE05C9"/>
    <w:rsid w:val="00AE068D"/>
    <w:rsid w:val="00AE076E"/>
    <w:rsid w:val="00AE0888"/>
    <w:rsid w:val="00AE0918"/>
    <w:rsid w:val="00AE0A70"/>
    <w:rsid w:val="00AE0B50"/>
    <w:rsid w:val="00AE0BF9"/>
    <w:rsid w:val="00AE0D63"/>
    <w:rsid w:val="00AE1119"/>
    <w:rsid w:val="00AE120B"/>
    <w:rsid w:val="00AE144F"/>
    <w:rsid w:val="00AE1471"/>
    <w:rsid w:val="00AE150D"/>
    <w:rsid w:val="00AE1581"/>
    <w:rsid w:val="00AE1960"/>
    <w:rsid w:val="00AE1A30"/>
    <w:rsid w:val="00AE1C62"/>
    <w:rsid w:val="00AE1E14"/>
    <w:rsid w:val="00AE1EA0"/>
    <w:rsid w:val="00AE220B"/>
    <w:rsid w:val="00AE2266"/>
    <w:rsid w:val="00AE226D"/>
    <w:rsid w:val="00AE2321"/>
    <w:rsid w:val="00AE23F4"/>
    <w:rsid w:val="00AE257E"/>
    <w:rsid w:val="00AE25C6"/>
    <w:rsid w:val="00AE2722"/>
    <w:rsid w:val="00AE27C2"/>
    <w:rsid w:val="00AE286C"/>
    <w:rsid w:val="00AE28CB"/>
    <w:rsid w:val="00AE2C0D"/>
    <w:rsid w:val="00AE2DC4"/>
    <w:rsid w:val="00AE2E43"/>
    <w:rsid w:val="00AE30B7"/>
    <w:rsid w:val="00AE3235"/>
    <w:rsid w:val="00AE32BC"/>
    <w:rsid w:val="00AE32E3"/>
    <w:rsid w:val="00AE36BA"/>
    <w:rsid w:val="00AE37AA"/>
    <w:rsid w:val="00AE3880"/>
    <w:rsid w:val="00AE393D"/>
    <w:rsid w:val="00AE3A78"/>
    <w:rsid w:val="00AE3C56"/>
    <w:rsid w:val="00AE3C72"/>
    <w:rsid w:val="00AE3CB5"/>
    <w:rsid w:val="00AE3CE1"/>
    <w:rsid w:val="00AE3DC9"/>
    <w:rsid w:val="00AE3E5C"/>
    <w:rsid w:val="00AE3F22"/>
    <w:rsid w:val="00AE4099"/>
    <w:rsid w:val="00AE40C1"/>
    <w:rsid w:val="00AE42AD"/>
    <w:rsid w:val="00AE433A"/>
    <w:rsid w:val="00AE457C"/>
    <w:rsid w:val="00AE45AE"/>
    <w:rsid w:val="00AE45C3"/>
    <w:rsid w:val="00AE48B6"/>
    <w:rsid w:val="00AE49BE"/>
    <w:rsid w:val="00AE49D5"/>
    <w:rsid w:val="00AE4B26"/>
    <w:rsid w:val="00AE4C34"/>
    <w:rsid w:val="00AE4C4B"/>
    <w:rsid w:val="00AE4C64"/>
    <w:rsid w:val="00AE4C7C"/>
    <w:rsid w:val="00AE4CE2"/>
    <w:rsid w:val="00AE4FCB"/>
    <w:rsid w:val="00AE53A2"/>
    <w:rsid w:val="00AE5626"/>
    <w:rsid w:val="00AE5627"/>
    <w:rsid w:val="00AE56D0"/>
    <w:rsid w:val="00AE5759"/>
    <w:rsid w:val="00AE5847"/>
    <w:rsid w:val="00AE5BCF"/>
    <w:rsid w:val="00AE60DB"/>
    <w:rsid w:val="00AE6198"/>
    <w:rsid w:val="00AE6199"/>
    <w:rsid w:val="00AE638B"/>
    <w:rsid w:val="00AE63C2"/>
    <w:rsid w:val="00AE6661"/>
    <w:rsid w:val="00AE6702"/>
    <w:rsid w:val="00AE6839"/>
    <w:rsid w:val="00AE6AF2"/>
    <w:rsid w:val="00AE6B47"/>
    <w:rsid w:val="00AE6BDE"/>
    <w:rsid w:val="00AE6D8D"/>
    <w:rsid w:val="00AE6E1D"/>
    <w:rsid w:val="00AE7074"/>
    <w:rsid w:val="00AE71A9"/>
    <w:rsid w:val="00AE71DF"/>
    <w:rsid w:val="00AE76D8"/>
    <w:rsid w:val="00AE7707"/>
    <w:rsid w:val="00AE7819"/>
    <w:rsid w:val="00AE7D3C"/>
    <w:rsid w:val="00AE7E8C"/>
    <w:rsid w:val="00AE7F9A"/>
    <w:rsid w:val="00AF00B1"/>
    <w:rsid w:val="00AF0152"/>
    <w:rsid w:val="00AF0158"/>
    <w:rsid w:val="00AF0193"/>
    <w:rsid w:val="00AF01EC"/>
    <w:rsid w:val="00AF0381"/>
    <w:rsid w:val="00AF03E4"/>
    <w:rsid w:val="00AF0727"/>
    <w:rsid w:val="00AF07D0"/>
    <w:rsid w:val="00AF088C"/>
    <w:rsid w:val="00AF0AEA"/>
    <w:rsid w:val="00AF0B0B"/>
    <w:rsid w:val="00AF0CA1"/>
    <w:rsid w:val="00AF0CBF"/>
    <w:rsid w:val="00AF0EA9"/>
    <w:rsid w:val="00AF0F80"/>
    <w:rsid w:val="00AF10A4"/>
    <w:rsid w:val="00AF12CE"/>
    <w:rsid w:val="00AF13BB"/>
    <w:rsid w:val="00AF151E"/>
    <w:rsid w:val="00AF1593"/>
    <w:rsid w:val="00AF180F"/>
    <w:rsid w:val="00AF1940"/>
    <w:rsid w:val="00AF1946"/>
    <w:rsid w:val="00AF19E9"/>
    <w:rsid w:val="00AF1D09"/>
    <w:rsid w:val="00AF1D7C"/>
    <w:rsid w:val="00AF1D9C"/>
    <w:rsid w:val="00AF1F3A"/>
    <w:rsid w:val="00AF1FE3"/>
    <w:rsid w:val="00AF2148"/>
    <w:rsid w:val="00AF2372"/>
    <w:rsid w:val="00AF26D7"/>
    <w:rsid w:val="00AF287F"/>
    <w:rsid w:val="00AF2AC9"/>
    <w:rsid w:val="00AF2B04"/>
    <w:rsid w:val="00AF2ECD"/>
    <w:rsid w:val="00AF2F0D"/>
    <w:rsid w:val="00AF2F20"/>
    <w:rsid w:val="00AF3080"/>
    <w:rsid w:val="00AF30A1"/>
    <w:rsid w:val="00AF3274"/>
    <w:rsid w:val="00AF32DC"/>
    <w:rsid w:val="00AF335B"/>
    <w:rsid w:val="00AF3516"/>
    <w:rsid w:val="00AF354D"/>
    <w:rsid w:val="00AF3793"/>
    <w:rsid w:val="00AF3A12"/>
    <w:rsid w:val="00AF3A69"/>
    <w:rsid w:val="00AF3A76"/>
    <w:rsid w:val="00AF3B76"/>
    <w:rsid w:val="00AF3C1F"/>
    <w:rsid w:val="00AF3D28"/>
    <w:rsid w:val="00AF3E07"/>
    <w:rsid w:val="00AF3E0E"/>
    <w:rsid w:val="00AF3E49"/>
    <w:rsid w:val="00AF3F54"/>
    <w:rsid w:val="00AF4060"/>
    <w:rsid w:val="00AF429A"/>
    <w:rsid w:val="00AF4426"/>
    <w:rsid w:val="00AF458F"/>
    <w:rsid w:val="00AF4748"/>
    <w:rsid w:val="00AF47FA"/>
    <w:rsid w:val="00AF48AC"/>
    <w:rsid w:val="00AF5094"/>
    <w:rsid w:val="00AF529B"/>
    <w:rsid w:val="00AF55D4"/>
    <w:rsid w:val="00AF5CBE"/>
    <w:rsid w:val="00AF5D20"/>
    <w:rsid w:val="00AF5E81"/>
    <w:rsid w:val="00AF5F18"/>
    <w:rsid w:val="00AF62A2"/>
    <w:rsid w:val="00AF6394"/>
    <w:rsid w:val="00AF65D7"/>
    <w:rsid w:val="00AF6667"/>
    <w:rsid w:val="00AF6748"/>
    <w:rsid w:val="00AF686C"/>
    <w:rsid w:val="00AF69D4"/>
    <w:rsid w:val="00AF6B40"/>
    <w:rsid w:val="00AF6B8F"/>
    <w:rsid w:val="00AF6CBD"/>
    <w:rsid w:val="00AF6CD0"/>
    <w:rsid w:val="00AF6D3F"/>
    <w:rsid w:val="00AF6DEA"/>
    <w:rsid w:val="00AF6EB2"/>
    <w:rsid w:val="00AF6EEE"/>
    <w:rsid w:val="00AF6FD1"/>
    <w:rsid w:val="00AF7098"/>
    <w:rsid w:val="00AF74BF"/>
    <w:rsid w:val="00AF7540"/>
    <w:rsid w:val="00AF7619"/>
    <w:rsid w:val="00AF7874"/>
    <w:rsid w:val="00AF7988"/>
    <w:rsid w:val="00AF7A82"/>
    <w:rsid w:val="00AF7A86"/>
    <w:rsid w:val="00AF7D1B"/>
    <w:rsid w:val="00AF7DFD"/>
    <w:rsid w:val="00B000B9"/>
    <w:rsid w:val="00B00159"/>
    <w:rsid w:val="00B005DB"/>
    <w:rsid w:val="00B005E9"/>
    <w:rsid w:val="00B00661"/>
    <w:rsid w:val="00B00744"/>
    <w:rsid w:val="00B0089D"/>
    <w:rsid w:val="00B009D7"/>
    <w:rsid w:val="00B00AB0"/>
    <w:rsid w:val="00B00B41"/>
    <w:rsid w:val="00B00D65"/>
    <w:rsid w:val="00B01187"/>
    <w:rsid w:val="00B012C3"/>
    <w:rsid w:val="00B01361"/>
    <w:rsid w:val="00B014D7"/>
    <w:rsid w:val="00B015F8"/>
    <w:rsid w:val="00B016D5"/>
    <w:rsid w:val="00B018C8"/>
    <w:rsid w:val="00B01AB4"/>
    <w:rsid w:val="00B01ADC"/>
    <w:rsid w:val="00B01AE2"/>
    <w:rsid w:val="00B01C8A"/>
    <w:rsid w:val="00B01CCF"/>
    <w:rsid w:val="00B01FA2"/>
    <w:rsid w:val="00B01FB1"/>
    <w:rsid w:val="00B01FE0"/>
    <w:rsid w:val="00B02126"/>
    <w:rsid w:val="00B02195"/>
    <w:rsid w:val="00B0220E"/>
    <w:rsid w:val="00B02446"/>
    <w:rsid w:val="00B02474"/>
    <w:rsid w:val="00B02500"/>
    <w:rsid w:val="00B02740"/>
    <w:rsid w:val="00B028A0"/>
    <w:rsid w:val="00B02926"/>
    <w:rsid w:val="00B02AB4"/>
    <w:rsid w:val="00B02B03"/>
    <w:rsid w:val="00B02D8F"/>
    <w:rsid w:val="00B02F54"/>
    <w:rsid w:val="00B030C0"/>
    <w:rsid w:val="00B03108"/>
    <w:rsid w:val="00B032B0"/>
    <w:rsid w:val="00B034AD"/>
    <w:rsid w:val="00B03691"/>
    <w:rsid w:val="00B036CF"/>
    <w:rsid w:val="00B038E3"/>
    <w:rsid w:val="00B038F1"/>
    <w:rsid w:val="00B03BC7"/>
    <w:rsid w:val="00B03BE6"/>
    <w:rsid w:val="00B03CD0"/>
    <w:rsid w:val="00B03D7C"/>
    <w:rsid w:val="00B03DC5"/>
    <w:rsid w:val="00B03EAE"/>
    <w:rsid w:val="00B04297"/>
    <w:rsid w:val="00B042F6"/>
    <w:rsid w:val="00B043F6"/>
    <w:rsid w:val="00B0452A"/>
    <w:rsid w:val="00B04577"/>
    <w:rsid w:val="00B04704"/>
    <w:rsid w:val="00B04A67"/>
    <w:rsid w:val="00B04AF7"/>
    <w:rsid w:val="00B04BAA"/>
    <w:rsid w:val="00B04D05"/>
    <w:rsid w:val="00B05022"/>
    <w:rsid w:val="00B05039"/>
    <w:rsid w:val="00B05093"/>
    <w:rsid w:val="00B05202"/>
    <w:rsid w:val="00B0526A"/>
    <w:rsid w:val="00B05573"/>
    <w:rsid w:val="00B056E3"/>
    <w:rsid w:val="00B058EA"/>
    <w:rsid w:val="00B05AE3"/>
    <w:rsid w:val="00B05B45"/>
    <w:rsid w:val="00B05CD9"/>
    <w:rsid w:val="00B05D7F"/>
    <w:rsid w:val="00B05E4D"/>
    <w:rsid w:val="00B06028"/>
    <w:rsid w:val="00B060B7"/>
    <w:rsid w:val="00B062E6"/>
    <w:rsid w:val="00B06493"/>
    <w:rsid w:val="00B0659A"/>
    <w:rsid w:val="00B06684"/>
    <w:rsid w:val="00B06A9C"/>
    <w:rsid w:val="00B06C08"/>
    <w:rsid w:val="00B06D21"/>
    <w:rsid w:val="00B06D62"/>
    <w:rsid w:val="00B06DCB"/>
    <w:rsid w:val="00B071CB"/>
    <w:rsid w:val="00B071DF"/>
    <w:rsid w:val="00B07331"/>
    <w:rsid w:val="00B0762D"/>
    <w:rsid w:val="00B077B1"/>
    <w:rsid w:val="00B0790D"/>
    <w:rsid w:val="00B0791D"/>
    <w:rsid w:val="00B07D0A"/>
    <w:rsid w:val="00B07E76"/>
    <w:rsid w:val="00B07FE8"/>
    <w:rsid w:val="00B10082"/>
    <w:rsid w:val="00B101F5"/>
    <w:rsid w:val="00B1022E"/>
    <w:rsid w:val="00B1023D"/>
    <w:rsid w:val="00B102E3"/>
    <w:rsid w:val="00B104A8"/>
    <w:rsid w:val="00B105F8"/>
    <w:rsid w:val="00B105FC"/>
    <w:rsid w:val="00B105FF"/>
    <w:rsid w:val="00B106DD"/>
    <w:rsid w:val="00B10738"/>
    <w:rsid w:val="00B107EA"/>
    <w:rsid w:val="00B10800"/>
    <w:rsid w:val="00B10935"/>
    <w:rsid w:val="00B10AE4"/>
    <w:rsid w:val="00B110BF"/>
    <w:rsid w:val="00B1117C"/>
    <w:rsid w:val="00B111F8"/>
    <w:rsid w:val="00B11394"/>
    <w:rsid w:val="00B11415"/>
    <w:rsid w:val="00B1154D"/>
    <w:rsid w:val="00B11756"/>
    <w:rsid w:val="00B11770"/>
    <w:rsid w:val="00B11892"/>
    <w:rsid w:val="00B118BD"/>
    <w:rsid w:val="00B11DB7"/>
    <w:rsid w:val="00B11F7B"/>
    <w:rsid w:val="00B12058"/>
    <w:rsid w:val="00B1222C"/>
    <w:rsid w:val="00B12398"/>
    <w:rsid w:val="00B124B4"/>
    <w:rsid w:val="00B12562"/>
    <w:rsid w:val="00B12602"/>
    <w:rsid w:val="00B12641"/>
    <w:rsid w:val="00B12880"/>
    <w:rsid w:val="00B128C7"/>
    <w:rsid w:val="00B12971"/>
    <w:rsid w:val="00B129CC"/>
    <w:rsid w:val="00B12CF5"/>
    <w:rsid w:val="00B12D0A"/>
    <w:rsid w:val="00B12F73"/>
    <w:rsid w:val="00B12FFB"/>
    <w:rsid w:val="00B13096"/>
    <w:rsid w:val="00B13271"/>
    <w:rsid w:val="00B13544"/>
    <w:rsid w:val="00B1364E"/>
    <w:rsid w:val="00B139C5"/>
    <w:rsid w:val="00B139EE"/>
    <w:rsid w:val="00B13A5E"/>
    <w:rsid w:val="00B13B1C"/>
    <w:rsid w:val="00B13B57"/>
    <w:rsid w:val="00B13BB6"/>
    <w:rsid w:val="00B13BF8"/>
    <w:rsid w:val="00B13D7D"/>
    <w:rsid w:val="00B13E54"/>
    <w:rsid w:val="00B13F37"/>
    <w:rsid w:val="00B140A9"/>
    <w:rsid w:val="00B1422A"/>
    <w:rsid w:val="00B143C1"/>
    <w:rsid w:val="00B144A0"/>
    <w:rsid w:val="00B14615"/>
    <w:rsid w:val="00B148E7"/>
    <w:rsid w:val="00B14B4A"/>
    <w:rsid w:val="00B14B85"/>
    <w:rsid w:val="00B14BA1"/>
    <w:rsid w:val="00B14CB8"/>
    <w:rsid w:val="00B14DDD"/>
    <w:rsid w:val="00B14E86"/>
    <w:rsid w:val="00B14F18"/>
    <w:rsid w:val="00B14FBE"/>
    <w:rsid w:val="00B15163"/>
    <w:rsid w:val="00B151FF"/>
    <w:rsid w:val="00B1523D"/>
    <w:rsid w:val="00B152EB"/>
    <w:rsid w:val="00B15336"/>
    <w:rsid w:val="00B155DD"/>
    <w:rsid w:val="00B1568D"/>
    <w:rsid w:val="00B156F7"/>
    <w:rsid w:val="00B1579A"/>
    <w:rsid w:val="00B15BEE"/>
    <w:rsid w:val="00B15C72"/>
    <w:rsid w:val="00B15D1C"/>
    <w:rsid w:val="00B15F14"/>
    <w:rsid w:val="00B16181"/>
    <w:rsid w:val="00B1623B"/>
    <w:rsid w:val="00B163B4"/>
    <w:rsid w:val="00B163FF"/>
    <w:rsid w:val="00B1641C"/>
    <w:rsid w:val="00B16498"/>
    <w:rsid w:val="00B164C1"/>
    <w:rsid w:val="00B1655B"/>
    <w:rsid w:val="00B1660E"/>
    <w:rsid w:val="00B16613"/>
    <w:rsid w:val="00B166A8"/>
    <w:rsid w:val="00B16980"/>
    <w:rsid w:val="00B169EA"/>
    <w:rsid w:val="00B16B33"/>
    <w:rsid w:val="00B16C6E"/>
    <w:rsid w:val="00B16CF3"/>
    <w:rsid w:val="00B16D0B"/>
    <w:rsid w:val="00B16DC9"/>
    <w:rsid w:val="00B1703A"/>
    <w:rsid w:val="00B17241"/>
    <w:rsid w:val="00B1727F"/>
    <w:rsid w:val="00B17304"/>
    <w:rsid w:val="00B173C2"/>
    <w:rsid w:val="00B17480"/>
    <w:rsid w:val="00B17636"/>
    <w:rsid w:val="00B179E3"/>
    <w:rsid w:val="00B17A92"/>
    <w:rsid w:val="00B17E4F"/>
    <w:rsid w:val="00B17FB5"/>
    <w:rsid w:val="00B2034E"/>
    <w:rsid w:val="00B20555"/>
    <w:rsid w:val="00B205D1"/>
    <w:rsid w:val="00B20961"/>
    <w:rsid w:val="00B20AAF"/>
    <w:rsid w:val="00B20BC9"/>
    <w:rsid w:val="00B20BE9"/>
    <w:rsid w:val="00B20DAB"/>
    <w:rsid w:val="00B20F0D"/>
    <w:rsid w:val="00B20F70"/>
    <w:rsid w:val="00B210EB"/>
    <w:rsid w:val="00B2112C"/>
    <w:rsid w:val="00B2125F"/>
    <w:rsid w:val="00B2137C"/>
    <w:rsid w:val="00B2158E"/>
    <w:rsid w:val="00B21789"/>
    <w:rsid w:val="00B21888"/>
    <w:rsid w:val="00B218E1"/>
    <w:rsid w:val="00B218EC"/>
    <w:rsid w:val="00B21955"/>
    <w:rsid w:val="00B21AD5"/>
    <w:rsid w:val="00B21BD4"/>
    <w:rsid w:val="00B21E2C"/>
    <w:rsid w:val="00B21F3D"/>
    <w:rsid w:val="00B21FF8"/>
    <w:rsid w:val="00B2213A"/>
    <w:rsid w:val="00B22163"/>
    <w:rsid w:val="00B2216C"/>
    <w:rsid w:val="00B2225F"/>
    <w:rsid w:val="00B22271"/>
    <w:rsid w:val="00B223A8"/>
    <w:rsid w:val="00B224A6"/>
    <w:rsid w:val="00B22896"/>
    <w:rsid w:val="00B22C29"/>
    <w:rsid w:val="00B22E13"/>
    <w:rsid w:val="00B22E8F"/>
    <w:rsid w:val="00B22E9F"/>
    <w:rsid w:val="00B23102"/>
    <w:rsid w:val="00B231CD"/>
    <w:rsid w:val="00B23376"/>
    <w:rsid w:val="00B23551"/>
    <w:rsid w:val="00B23635"/>
    <w:rsid w:val="00B236BF"/>
    <w:rsid w:val="00B238C8"/>
    <w:rsid w:val="00B23928"/>
    <w:rsid w:val="00B23A64"/>
    <w:rsid w:val="00B23AB3"/>
    <w:rsid w:val="00B23AC6"/>
    <w:rsid w:val="00B23B1A"/>
    <w:rsid w:val="00B23C24"/>
    <w:rsid w:val="00B23C94"/>
    <w:rsid w:val="00B23D5D"/>
    <w:rsid w:val="00B23DAC"/>
    <w:rsid w:val="00B23E93"/>
    <w:rsid w:val="00B24581"/>
    <w:rsid w:val="00B2458D"/>
    <w:rsid w:val="00B24714"/>
    <w:rsid w:val="00B2473D"/>
    <w:rsid w:val="00B24865"/>
    <w:rsid w:val="00B24898"/>
    <w:rsid w:val="00B248B6"/>
    <w:rsid w:val="00B24956"/>
    <w:rsid w:val="00B24CAF"/>
    <w:rsid w:val="00B24E5D"/>
    <w:rsid w:val="00B24F84"/>
    <w:rsid w:val="00B24FC2"/>
    <w:rsid w:val="00B25107"/>
    <w:rsid w:val="00B2520C"/>
    <w:rsid w:val="00B2545C"/>
    <w:rsid w:val="00B254AB"/>
    <w:rsid w:val="00B2569C"/>
    <w:rsid w:val="00B25789"/>
    <w:rsid w:val="00B257EA"/>
    <w:rsid w:val="00B257F1"/>
    <w:rsid w:val="00B258DA"/>
    <w:rsid w:val="00B2594C"/>
    <w:rsid w:val="00B25A57"/>
    <w:rsid w:val="00B25C07"/>
    <w:rsid w:val="00B25DD1"/>
    <w:rsid w:val="00B26116"/>
    <w:rsid w:val="00B2619A"/>
    <w:rsid w:val="00B265EC"/>
    <w:rsid w:val="00B267AF"/>
    <w:rsid w:val="00B26937"/>
    <w:rsid w:val="00B26AB2"/>
    <w:rsid w:val="00B26B1D"/>
    <w:rsid w:val="00B26C00"/>
    <w:rsid w:val="00B26CAA"/>
    <w:rsid w:val="00B270A2"/>
    <w:rsid w:val="00B271E4"/>
    <w:rsid w:val="00B2725D"/>
    <w:rsid w:val="00B272B9"/>
    <w:rsid w:val="00B27334"/>
    <w:rsid w:val="00B273CF"/>
    <w:rsid w:val="00B273DD"/>
    <w:rsid w:val="00B275AC"/>
    <w:rsid w:val="00B275B4"/>
    <w:rsid w:val="00B27621"/>
    <w:rsid w:val="00B27786"/>
    <w:rsid w:val="00B27861"/>
    <w:rsid w:val="00B27B56"/>
    <w:rsid w:val="00B27C0C"/>
    <w:rsid w:val="00B27C39"/>
    <w:rsid w:val="00B27DC4"/>
    <w:rsid w:val="00B27E6C"/>
    <w:rsid w:val="00B27FE2"/>
    <w:rsid w:val="00B301BF"/>
    <w:rsid w:val="00B30390"/>
    <w:rsid w:val="00B303AF"/>
    <w:rsid w:val="00B3059A"/>
    <w:rsid w:val="00B307C4"/>
    <w:rsid w:val="00B308BC"/>
    <w:rsid w:val="00B30ABE"/>
    <w:rsid w:val="00B30DFF"/>
    <w:rsid w:val="00B30E87"/>
    <w:rsid w:val="00B30F0F"/>
    <w:rsid w:val="00B30FE4"/>
    <w:rsid w:val="00B31052"/>
    <w:rsid w:val="00B31100"/>
    <w:rsid w:val="00B313FB"/>
    <w:rsid w:val="00B31482"/>
    <w:rsid w:val="00B31603"/>
    <w:rsid w:val="00B3179F"/>
    <w:rsid w:val="00B317B0"/>
    <w:rsid w:val="00B31AC8"/>
    <w:rsid w:val="00B31CD8"/>
    <w:rsid w:val="00B31CF0"/>
    <w:rsid w:val="00B31E15"/>
    <w:rsid w:val="00B31E4E"/>
    <w:rsid w:val="00B31E55"/>
    <w:rsid w:val="00B31FA6"/>
    <w:rsid w:val="00B31FCE"/>
    <w:rsid w:val="00B32227"/>
    <w:rsid w:val="00B3227F"/>
    <w:rsid w:val="00B32488"/>
    <w:rsid w:val="00B324D9"/>
    <w:rsid w:val="00B32516"/>
    <w:rsid w:val="00B3272A"/>
    <w:rsid w:val="00B328CD"/>
    <w:rsid w:val="00B32A5D"/>
    <w:rsid w:val="00B32BE4"/>
    <w:rsid w:val="00B32C32"/>
    <w:rsid w:val="00B3318A"/>
    <w:rsid w:val="00B331CB"/>
    <w:rsid w:val="00B33274"/>
    <w:rsid w:val="00B333C3"/>
    <w:rsid w:val="00B3349E"/>
    <w:rsid w:val="00B335FB"/>
    <w:rsid w:val="00B33791"/>
    <w:rsid w:val="00B339E0"/>
    <w:rsid w:val="00B33A46"/>
    <w:rsid w:val="00B33A93"/>
    <w:rsid w:val="00B33C40"/>
    <w:rsid w:val="00B33CAA"/>
    <w:rsid w:val="00B33CEB"/>
    <w:rsid w:val="00B340DE"/>
    <w:rsid w:val="00B341F5"/>
    <w:rsid w:val="00B34307"/>
    <w:rsid w:val="00B345B5"/>
    <w:rsid w:val="00B3463A"/>
    <w:rsid w:val="00B34648"/>
    <w:rsid w:val="00B348F1"/>
    <w:rsid w:val="00B34AF9"/>
    <w:rsid w:val="00B34B36"/>
    <w:rsid w:val="00B34C51"/>
    <w:rsid w:val="00B34F07"/>
    <w:rsid w:val="00B350AD"/>
    <w:rsid w:val="00B3525F"/>
    <w:rsid w:val="00B35298"/>
    <w:rsid w:val="00B352C1"/>
    <w:rsid w:val="00B3534F"/>
    <w:rsid w:val="00B35482"/>
    <w:rsid w:val="00B35554"/>
    <w:rsid w:val="00B355DA"/>
    <w:rsid w:val="00B35886"/>
    <w:rsid w:val="00B3592C"/>
    <w:rsid w:val="00B35A40"/>
    <w:rsid w:val="00B35A8F"/>
    <w:rsid w:val="00B35B06"/>
    <w:rsid w:val="00B35CDA"/>
    <w:rsid w:val="00B35D1F"/>
    <w:rsid w:val="00B35E61"/>
    <w:rsid w:val="00B35EB0"/>
    <w:rsid w:val="00B36120"/>
    <w:rsid w:val="00B3630A"/>
    <w:rsid w:val="00B36311"/>
    <w:rsid w:val="00B36408"/>
    <w:rsid w:val="00B36417"/>
    <w:rsid w:val="00B3669D"/>
    <w:rsid w:val="00B36737"/>
    <w:rsid w:val="00B36A18"/>
    <w:rsid w:val="00B36A50"/>
    <w:rsid w:val="00B36C04"/>
    <w:rsid w:val="00B36EB9"/>
    <w:rsid w:val="00B36ED1"/>
    <w:rsid w:val="00B370D5"/>
    <w:rsid w:val="00B3719C"/>
    <w:rsid w:val="00B372FE"/>
    <w:rsid w:val="00B374B1"/>
    <w:rsid w:val="00B37588"/>
    <w:rsid w:val="00B377EC"/>
    <w:rsid w:val="00B379E8"/>
    <w:rsid w:val="00B37B6E"/>
    <w:rsid w:val="00B37BC4"/>
    <w:rsid w:val="00B37BE8"/>
    <w:rsid w:val="00B37C61"/>
    <w:rsid w:val="00B37D5E"/>
    <w:rsid w:val="00B37E6A"/>
    <w:rsid w:val="00B37E78"/>
    <w:rsid w:val="00B37EA6"/>
    <w:rsid w:val="00B37EBA"/>
    <w:rsid w:val="00B37FF4"/>
    <w:rsid w:val="00B40003"/>
    <w:rsid w:val="00B4007F"/>
    <w:rsid w:val="00B400A9"/>
    <w:rsid w:val="00B4010A"/>
    <w:rsid w:val="00B40115"/>
    <w:rsid w:val="00B4020E"/>
    <w:rsid w:val="00B40582"/>
    <w:rsid w:val="00B4076D"/>
    <w:rsid w:val="00B40772"/>
    <w:rsid w:val="00B40793"/>
    <w:rsid w:val="00B40980"/>
    <w:rsid w:val="00B40982"/>
    <w:rsid w:val="00B40A84"/>
    <w:rsid w:val="00B40B4A"/>
    <w:rsid w:val="00B4111E"/>
    <w:rsid w:val="00B411E5"/>
    <w:rsid w:val="00B412DD"/>
    <w:rsid w:val="00B41360"/>
    <w:rsid w:val="00B41415"/>
    <w:rsid w:val="00B41576"/>
    <w:rsid w:val="00B41BD0"/>
    <w:rsid w:val="00B41D34"/>
    <w:rsid w:val="00B4208C"/>
    <w:rsid w:val="00B420A1"/>
    <w:rsid w:val="00B421B3"/>
    <w:rsid w:val="00B42374"/>
    <w:rsid w:val="00B4246B"/>
    <w:rsid w:val="00B424EE"/>
    <w:rsid w:val="00B4275B"/>
    <w:rsid w:val="00B42889"/>
    <w:rsid w:val="00B42A30"/>
    <w:rsid w:val="00B42A4E"/>
    <w:rsid w:val="00B42BCE"/>
    <w:rsid w:val="00B42DA4"/>
    <w:rsid w:val="00B433CF"/>
    <w:rsid w:val="00B435D3"/>
    <w:rsid w:val="00B436C0"/>
    <w:rsid w:val="00B436C5"/>
    <w:rsid w:val="00B439BA"/>
    <w:rsid w:val="00B439F8"/>
    <w:rsid w:val="00B43A4B"/>
    <w:rsid w:val="00B43B32"/>
    <w:rsid w:val="00B43EEA"/>
    <w:rsid w:val="00B43F8B"/>
    <w:rsid w:val="00B441DD"/>
    <w:rsid w:val="00B44482"/>
    <w:rsid w:val="00B444E8"/>
    <w:rsid w:val="00B44542"/>
    <w:rsid w:val="00B445EE"/>
    <w:rsid w:val="00B4467D"/>
    <w:rsid w:val="00B4471F"/>
    <w:rsid w:val="00B44971"/>
    <w:rsid w:val="00B44A59"/>
    <w:rsid w:val="00B44A6E"/>
    <w:rsid w:val="00B44A83"/>
    <w:rsid w:val="00B44A9B"/>
    <w:rsid w:val="00B44B88"/>
    <w:rsid w:val="00B44C45"/>
    <w:rsid w:val="00B44CF9"/>
    <w:rsid w:val="00B44D06"/>
    <w:rsid w:val="00B44D7D"/>
    <w:rsid w:val="00B44D87"/>
    <w:rsid w:val="00B44F2C"/>
    <w:rsid w:val="00B44FE1"/>
    <w:rsid w:val="00B450B6"/>
    <w:rsid w:val="00B4518B"/>
    <w:rsid w:val="00B4539C"/>
    <w:rsid w:val="00B4543B"/>
    <w:rsid w:val="00B45486"/>
    <w:rsid w:val="00B454D7"/>
    <w:rsid w:val="00B4556D"/>
    <w:rsid w:val="00B45635"/>
    <w:rsid w:val="00B4565B"/>
    <w:rsid w:val="00B4568E"/>
    <w:rsid w:val="00B45A7F"/>
    <w:rsid w:val="00B45B68"/>
    <w:rsid w:val="00B45D3C"/>
    <w:rsid w:val="00B45DFB"/>
    <w:rsid w:val="00B46046"/>
    <w:rsid w:val="00B46094"/>
    <w:rsid w:val="00B461CB"/>
    <w:rsid w:val="00B46243"/>
    <w:rsid w:val="00B463C3"/>
    <w:rsid w:val="00B4661F"/>
    <w:rsid w:val="00B4666B"/>
    <w:rsid w:val="00B46AD8"/>
    <w:rsid w:val="00B46B06"/>
    <w:rsid w:val="00B46B8C"/>
    <w:rsid w:val="00B46F8F"/>
    <w:rsid w:val="00B470D3"/>
    <w:rsid w:val="00B47253"/>
    <w:rsid w:val="00B472C8"/>
    <w:rsid w:val="00B473BB"/>
    <w:rsid w:val="00B47628"/>
    <w:rsid w:val="00B47749"/>
    <w:rsid w:val="00B47779"/>
    <w:rsid w:val="00B47825"/>
    <w:rsid w:val="00B4787F"/>
    <w:rsid w:val="00B47AFE"/>
    <w:rsid w:val="00B47B25"/>
    <w:rsid w:val="00B47B9B"/>
    <w:rsid w:val="00B47F89"/>
    <w:rsid w:val="00B47FF3"/>
    <w:rsid w:val="00B50003"/>
    <w:rsid w:val="00B50099"/>
    <w:rsid w:val="00B500CB"/>
    <w:rsid w:val="00B5064D"/>
    <w:rsid w:val="00B50715"/>
    <w:rsid w:val="00B5075A"/>
    <w:rsid w:val="00B508A9"/>
    <w:rsid w:val="00B50931"/>
    <w:rsid w:val="00B50AA3"/>
    <w:rsid w:val="00B50B1E"/>
    <w:rsid w:val="00B50BDF"/>
    <w:rsid w:val="00B50CE2"/>
    <w:rsid w:val="00B50F15"/>
    <w:rsid w:val="00B5114E"/>
    <w:rsid w:val="00B51199"/>
    <w:rsid w:val="00B5119A"/>
    <w:rsid w:val="00B512A4"/>
    <w:rsid w:val="00B512B4"/>
    <w:rsid w:val="00B513D9"/>
    <w:rsid w:val="00B514CE"/>
    <w:rsid w:val="00B519C3"/>
    <w:rsid w:val="00B51A3D"/>
    <w:rsid w:val="00B51BA6"/>
    <w:rsid w:val="00B51C2E"/>
    <w:rsid w:val="00B51CCE"/>
    <w:rsid w:val="00B51DB5"/>
    <w:rsid w:val="00B51DC6"/>
    <w:rsid w:val="00B52114"/>
    <w:rsid w:val="00B52121"/>
    <w:rsid w:val="00B521BB"/>
    <w:rsid w:val="00B5226A"/>
    <w:rsid w:val="00B523AB"/>
    <w:rsid w:val="00B5247E"/>
    <w:rsid w:val="00B52670"/>
    <w:rsid w:val="00B52685"/>
    <w:rsid w:val="00B52701"/>
    <w:rsid w:val="00B527D3"/>
    <w:rsid w:val="00B5283F"/>
    <w:rsid w:val="00B528C5"/>
    <w:rsid w:val="00B528DB"/>
    <w:rsid w:val="00B5294E"/>
    <w:rsid w:val="00B52CA5"/>
    <w:rsid w:val="00B52D3F"/>
    <w:rsid w:val="00B52E14"/>
    <w:rsid w:val="00B52FE3"/>
    <w:rsid w:val="00B530B3"/>
    <w:rsid w:val="00B531D6"/>
    <w:rsid w:val="00B53210"/>
    <w:rsid w:val="00B53275"/>
    <w:rsid w:val="00B534F7"/>
    <w:rsid w:val="00B5352F"/>
    <w:rsid w:val="00B53633"/>
    <w:rsid w:val="00B536E8"/>
    <w:rsid w:val="00B5373E"/>
    <w:rsid w:val="00B53968"/>
    <w:rsid w:val="00B53A90"/>
    <w:rsid w:val="00B53AFE"/>
    <w:rsid w:val="00B53B7A"/>
    <w:rsid w:val="00B53CDD"/>
    <w:rsid w:val="00B53F16"/>
    <w:rsid w:val="00B53F19"/>
    <w:rsid w:val="00B53F80"/>
    <w:rsid w:val="00B543C0"/>
    <w:rsid w:val="00B54452"/>
    <w:rsid w:val="00B5482B"/>
    <w:rsid w:val="00B54840"/>
    <w:rsid w:val="00B54946"/>
    <w:rsid w:val="00B5494E"/>
    <w:rsid w:val="00B54A3D"/>
    <w:rsid w:val="00B54A50"/>
    <w:rsid w:val="00B54A61"/>
    <w:rsid w:val="00B54E49"/>
    <w:rsid w:val="00B5530B"/>
    <w:rsid w:val="00B55346"/>
    <w:rsid w:val="00B5538C"/>
    <w:rsid w:val="00B55475"/>
    <w:rsid w:val="00B554C4"/>
    <w:rsid w:val="00B554F7"/>
    <w:rsid w:val="00B5553E"/>
    <w:rsid w:val="00B5560F"/>
    <w:rsid w:val="00B55659"/>
    <w:rsid w:val="00B5578A"/>
    <w:rsid w:val="00B557B4"/>
    <w:rsid w:val="00B557C4"/>
    <w:rsid w:val="00B5580C"/>
    <w:rsid w:val="00B5586D"/>
    <w:rsid w:val="00B55916"/>
    <w:rsid w:val="00B55C78"/>
    <w:rsid w:val="00B55DC1"/>
    <w:rsid w:val="00B55E71"/>
    <w:rsid w:val="00B55EF1"/>
    <w:rsid w:val="00B5630A"/>
    <w:rsid w:val="00B5633B"/>
    <w:rsid w:val="00B56350"/>
    <w:rsid w:val="00B56397"/>
    <w:rsid w:val="00B564F5"/>
    <w:rsid w:val="00B56507"/>
    <w:rsid w:val="00B5658A"/>
    <w:rsid w:val="00B565BF"/>
    <w:rsid w:val="00B566D5"/>
    <w:rsid w:val="00B567EF"/>
    <w:rsid w:val="00B5684B"/>
    <w:rsid w:val="00B56884"/>
    <w:rsid w:val="00B5690F"/>
    <w:rsid w:val="00B56AA4"/>
    <w:rsid w:val="00B56DA9"/>
    <w:rsid w:val="00B56E69"/>
    <w:rsid w:val="00B56FE9"/>
    <w:rsid w:val="00B57070"/>
    <w:rsid w:val="00B57079"/>
    <w:rsid w:val="00B5713A"/>
    <w:rsid w:val="00B57226"/>
    <w:rsid w:val="00B57325"/>
    <w:rsid w:val="00B5732B"/>
    <w:rsid w:val="00B57399"/>
    <w:rsid w:val="00B5747A"/>
    <w:rsid w:val="00B574A7"/>
    <w:rsid w:val="00B57574"/>
    <w:rsid w:val="00B577B7"/>
    <w:rsid w:val="00B57896"/>
    <w:rsid w:val="00B57E51"/>
    <w:rsid w:val="00B57EFB"/>
    <w:rsid w:val="00B600B2"/>
    <w:rsid w:val="00B60128"/>
    <w:rsid w:val="00B601AA"/>
    <w:rsid w:val="00B6024B"/>
    <w:rsid w:val="00B60376"/>
    <w:rsid w:val="00B6044E"/>
    <w:rsid w:val="00B6053F"/>
    <w:rsid w:val="00B6064D"/>
    <w:rsid w:val="00B60903"/>
    <w:rsid w:val="00B60922"/>
    <w:rsid w:val="00B60B5E"/>
    <w:rsid w:val="00B60B64"/>
    <w:rsid w:val="00B60F4D"/>
    <w:rsid w:val="00B61502"/>
    <w:rsid w:val="00B61861"/>
    <w:rsid w:val="00B619E2"/>
    <w:rsid w:val="00B61A7C"/>
    <w:rsid w:val="00B61BD3"/>
    <w:rsid w:val="00B61E9B"/>
    <w:rsid w:val="00B61FF2"/>
    <w:rsid w:val="00B61FFA"/>
    <w:rsid w:val="00B62083"/>
    <w:rsid w:val="00B621FC"/>
    <w:rsid w:val="00B62355"/>
    <w:rsid w:val="00B62527"/>
    <w:rsid w:val="00B62680"/>
    <w:rsid w:val="00B62792"/>
    <w:rsid w:val="00B627AB"/>
    <w:rsid w:val="00B6282A"/>
    <w:rsid w:val="00B6284D"/>
    <w:rsid w:val="00B62862"/>
    <w:rsid w:val="00B6288C"/>
    <w:rsid w:val="00B62A02"/>
    <w:rsid w:val="00B62B76"/>
    <w:rsid w:val="00B62B92"/>
    <w:rsid w:val="00B62C33"/>
    <w:rsid w:val="00B62FD4"/>
    <w:rsid w:val="00B62FE5"/>
    <w:rsid w:val="00B6301F"/>
    <w:rsid w:val="00B63276"/>
    <w:rsid w:val="00B633D6"/>
    <w:rsid w:val="00B6361C"/>
    <w:rsid w:val="00B63636"/>
    <w:rsid w:val="00B636F3"/>
    <w:rsid w:val="00B6381C"/>
    <w:rsid w:val="00B639F8"/>
    <w:rsid w:val="00B63A2F"/>
    <w:rsid w:val="00B63AF4"/>
    <w:rsid w:val="00B63B69"/>
    <w:rsid w:val="00B63DA0"/>
    <w:rsid w:val="00B63DDE"/>
    <w:rsid w:val="00B63DEB"/>
    <w:rsid w:val="00B63F96"/>
    <w:rsid w:val="00B6408A"/>
    <w:rsid w:val="00B640CC"/>
    <w:rsid w:val="00B64129"/>
    <w:rsid w:val="00B644EB"/>
    <w:rsid w:val="00B64547"/>
    <w:rsid w:val="00B64642"/>
    <w:rsid w:val="00B648CD"/>
    <w:rsid w:val="00B64B61"/>
    <w:rsid w:val="00B64C1C"/>
    <w:rsid w:val="00B64C86"/>
    <w:rsid w:val="00B64D74"/>
    <w:rsid w:val="00B64E16"/>
    <w:rsid w:val="00B64F07"/>
    <w:rsid w:val="00B64FA7"/>
    <w:rsid w:val="00B6513A"/>
    <w:rsid w:val="00B651CC"/>
    <w:rsid w:val="00B65251"/>
    <w:rsid w:val="00B65258"/>
    <w:rsid w:val="00B653B6"/>
    <w:rsid w:val="00B65628"/>
    <w:rsid w:val="00B656C1"/>
    <w:rsid w:val="00B65827"/>
    <w:rsid w:val="00B65A2D"/>
    <w:rsid w:val="00B65DC2"/>
    <w:rsid w:val="00B65FEC"/>
    <w:rsid w:val="00B6606D"/>
    <w:rsid w:val="00B66084"/>
    <w:rsid w:val="00B66280"/>
    <w:rsid w:val="00B662F7"/>
    <w:rsid w:val="00B6655D"/>
    <w:rsid w:val="00B6689D"/>
    <w:rsid w:val="00B669B8"/>
    <w:rsid w:val="00B669CC"/>
    <w:rsid w:val="00B66A89"/>
    <w:rsid w:val="00B66B3A"/>
    <w:rsid w:val="00B66B86"/>
    <w:rsid w:val="00B66BF8"/>
    <w:rsid w:val="00B66C9F"/>
    <w:rsid w:val="00B66CC5"/>
    <w:rsid w:val="00B66F6F"/>
    <w:rsid w:val="00B67078"/>
    <w:rsid w:val="00B6709F"/>
    <w:rsid w:val="00B6719F"/>
    <w:rsid w:val="00B671F0"/>
    <w:rsid w:val="00B67292"/>
    <w:rsid w:val="00B672A4"/>
    <w:rsid w:val="00B678FF"/>
    <w:rsid w:val="00B679A0"/>
    <w:rsid w:val="00B679F5"/>
    <w:rsid w:val="00B67BE0"/>
    <w:rsid w:val="00B67C94"/>
    <w:rsid w:val="00B70232"/>
    <w:rsid w:val="00B70323"/>
    <w:rsid w:val="00B70388"/>
    <w:rsid w:val="00B70390"/>
    <w:rsid w:val="00B703F5"/>
    <w:rsid w:val="00B70478"/>
    <w:rsid w:val="00B70516"/>
    <w:rsid w:val="00B7058F"/>
    <w:rsid w:val="00B7061D"/>
    <w:rsid w:val="00B70782"/>
    <w:rsid w:val="00B7080B"/>
    <w:rsid w:val="00B70903"/>
    <w:rsid w:val="00B70A6D"/>
    <w:rsid w:val="00B70E45"/>
    <w:rsid w:val="00B710BD"/>
    <w:rsid w:val="00B71163"/>
    <w:rsid w:val="00B71186"/>
    <w:rsid w:val="00B712B8"/>
    <w:rsid w:val="00B71338"/>
    <w:rsid w:val="00B71378"/>
    <w:rsid w:val="00B713B8"/>
    <w:rsid w:val="00B713E1"/>
    <w:rsid w:val="00B714AA"/>
    <w:rsid w:val="00B71568"/>
    <w:rsid w:val="00B7165D"/>
    <w:rsid w:val="00B71666"/>
    <w:rsid w:val="00B7168D"/>
    <w:rsid w:val="00B7173F"/>
    <w:rsid w:val="00B71813"/>
    <w:rsid w:val="00B71884"/>
    <w:rsid w:val="00B718BE"/>
    <w:rsid w:val="00B719C9"/>
    <w:rsid w:val="00B71A3A"/>
    <w:rsid w:val="00B71B94"/>
    <w:rsid w:val="00B71BEE"/>
    <w:rsid w:val="00B71D44"/>
    <w:rsid w:val="00B71EF6"/>
    <w:rsid w:val="00B71FC2"/>
    <w:rsid w:val="00B72365"/>
    <w:rsid w:val="00B72436"/>
    <w:rsid w:val="00B724AC"/>
    <w:rsid w:val="00B7251D"/>
    <w:rsid w:val="00B7259A"/>
    <w:rsid w:val="00B725FD"/>
    <w:rsid w:val="00B72740"/>
    <w:rsid w:val="00B7291D"/>
    <w:rsid w:val="00B72925"/>
    <w:rsid w:val="00B72948"/>
    <w:rsid w:val="00B72978"/>
    <w:rsid w:val="00B72982"/>
    <w:rsid w:val="00B72987"/>
    <w:rsid w:val="00B72A28"/>
    <w:rsid w:val="00B72A61"/>
    <w:rsid w:val="00B72B00"/>
    <w:rsid w:val="00B72B8F"/>
    <w:rsid w:val="00B72C1B"/>
    <w:rsid w:val="00B72E33"/>
    <w:rsid w:val="00B72FBD"/>
    <w:rsid w:val="00B73023"/>
    <w:rsid w:val="00B73320"/>
    <w:rsid w:val="00B733CA"/>
    <w:rsid w:val="00B73478"/>
    <w:rsid w:val="00B73577"/>
    <w:rsid w:val="00B73586"/>
    <w:rsid w:val="00B735CA"/>
    <w:rsid w:val="00B73614"/>
    <w:rsid w:val="00B7379A"/>
    <w:rsid w:val="00B737CA"/>
    <w:rsid w:val="00B738CC"/>
    <w:rsid w:val="00B73921"/>
    <w:rsid w:val="00B73A44"/>
    <w:rsid w:val="00B73D5B"/>
    <w:rsid w:val="00B73EDA"/>
    <w:rsid w:val="00B741F8"/>
    <w:rsid w:val="00B74243"/>
    <w:rsid w:val="00B7428C"/>
    <w:rsid w:val="00B742F3"/>
    <w:rsid w:val="00B7431C"/>
    <w:rsid w:val="00B7441C"/>
    <w:rsid w:val="00B7441E"/>
    <w:rsid w:val="00B747F8"/>
    <w:rsid w:val="00B748BA"/>
    <w:rsid w:val="00B74B23"/>
    <w:rsid w:val="00B74DEC"/>
    <w:rsid w:val="00B74E1F"/>
    <w:rsid w:val="00B74E2E"/>
    <w:rsid w:val="00B7529C"/>
    <w:rsid w:val="00B75383"/>
    <w:rsid w:val="00B753CA"/>
    <w:rsid w:val="00B753E3"/>
    <w:rsid w:val="00B75404"/>
    <w:rsid w:val="00B7565C"/>
    <w:rsid w:val="00B758B8"/>
    <w:rsid w:val="00B75998"/>
    <w:rsid w:val="00B75AC7"/>
    <w:rsid w:val="00B75D8B"/>
    <w:rsid w:val="00B75E69"/>
    <w:rsid w:val="00B75E7F"/>
    <w:rsid w:val="00B7601C"/>
    <w:rsid w:val="00B7604A"/>
    <w:rsid w:val="00B76078"/>
    <w:rsid w:val="00B76102"/>
    <w:rsid w:val="00B76125"/>
    <w:rsid w:val="00B7626E"/>
    <w:rsid w:val="00B7627C"/>
    <w:rsid w:val="00B762B4"/>
    <w:rsid w:val="00B763F4"/>
    <w:rsid w:val="00B764CA"/>
    <w:rsid w:val="00B76777"/>
    <w:rsid w:val="00B7685D"/>
    <w:rsid w:val="00B7699A"/>
    <w:rsid w:val="00B76B4B"/>
    <w:rsid w:val="00B76B61"/>
    <w:rsid w:val="00B76DAC"/>
    <w:rsid w:val="00B7701C"/>
    <w:rsid w:val="00B7709C"/>
    <w:rsid w:val="00B770AF"/>
    <w:rsid w:val="00B77125"/>
    <w:rsid w:val="00B77150"/>
    <w:rsid w:val="00B771B6"/>
    <w:rsid w:val="00B775EA"/>
    <w:rsid w:val="00B77635"/>
    <w:rsid w:val="00B77882"/>
    <w:rsid w:val="00B779D9"/>
    <w:rsid w:val="00B77A38"/>
    <w:rsid w:val="00B77AE9"/>
    <w:rsid w:val="00B77D6F"/>
    <w:rsid w:val="00B77E2D"/>
    <w:rsid w:val="00B77EF1"/>
    <w:rsid w:val="00B801B2"/>
    <w:rsid w:val="00B80243"/>
    <w:rsid w:val="00B80320"/>
    <w:rsid w:val="00B80344"/>
    <w:rsid w:val="00B80385"/>
    <w:rsid w:val="00B80388"/>
    <w:rsid w:val="00B8038E"/>
    <w:rsid w:val="00B803A1"/>
    <w:rsid w:val="00B804B8"/>
    <w:rsid w:val="00B804D7"/>
    <w:rsid w:val="00B8099C"/>
    <w:rsid w:val="00B809D3"/>
    <w:rsid w:val="00B809D4"/>
    <w:rsid w:val="00B80AC6"/>
    <w:rsid w:val="00B80ACD"/>
    <w:rsid w:val="00B80BFC"/>
    <w:rsid w:val="00B80F4D"/>
    <w:rsid w:val="00B81156"/>
    <w:rsid w:val="00B81473"/>
    <w:rsid w:val="00B81488"/>
    <w:rsid w:val="00B81569"/>
    <w:rsid w:val="00B81686"/>
    <w:rsid w:val="00B81700"/>
    <w:rsid w:val="00B81724"/>
    <w:rsid w:val="00B81779"/>
    <w:rsid w:val="00B818A6"/>
    <w:rsid w:val="00B819C5"/>
    <w:rsid w:val="00B81A7F"/>
    <w:rsid w:val="00B81BDB"/>
    <w:rsid w:val="00B81C42"/>
    <w:rsid w:val="00B81F0C"/>
    <w:rsid w:val="00B82006"/>
    <w:rsid w:val="00B8200E"/>
    <w:rsid w:val="00B8210B"/>
    <w:rsid w:val="00B82390"/>
    <w:rsid w:val="00B824A6"/>
    <w:rsid w:val="00B824B0"/>
    <w:rsid w:val="00B82851"/>
    <w:rsid w:val="00B828DB"/>
    <w:rsid w:val="00B82984"/>
    <w:rsid w:val="00B829CF"/>
    <w:rsid w:val="00B829E8"/>
    <w:rsid w:val="00B82C4C"/>
    <w:rsid w:val="00B82D95"/>
    <w:rsid w:val="00B82FC1"/>
    <w:rsid w:val="00B83085"/>
    <w:rsid w:val="00B83646"/>
    <w:rsid w:val="00B836D2"/>
    <w:rsid w:val="00B83758"/>
    <w:rsid w:val="00B83789"/>
    <w:rsid w:val="00B83900"/>
    <w:rsid w:val="00B83A96"/>
    <w:rsid w:val="00B83AF9"/>
    <w:rsid w:val="00B83E60"/>
    <w:rsid w:val="00B84014"/>
    <w:rsid w:val="00B84017"/>
    <w:rsid w:val="00B840E8"/>
    <w:rsid w:val="00B841E9"/>
    <w:rsid w:val="00B843FF"/>
    <w:rsid w:val="00B8440C"/>
    <w:rsid w:val="00B844BD"/>
    <w:rsid w:val="00B8459F"/>
    <w:rsid w:val="00B846FA"/>
    <w:rsid w:val="00B8484F"/>
    <w:rsid w:val="00B849CF"/>
    <w:rsid w:val="00B84A87"/>
    <w:rsid w:val="00B84F45"/>
    <w:rsid w:val="00B85208"/>
    <w:rsid w:val="00B85225"/>
    <w:rsid w:val="00B852B4"/>
    <w:rsid w:val="00B8553B"/>
    <w:rsid w:val="00B8556C"/>
    <w:rsid w:val="00B8567D"/>
    <w:rsid w:val="00B856A9"/>
    <w:rsid w:val="00B85899"/>
    <w:rsid w:val="00B85A69"/>
    <w:rsid w:val="00B85A86"/>
    <w:rsid w:val="00B85A9A"/>
    <w:rsid w:val="00B85AA5"/>
    <w:rsid w:val="00B85AA7"/>
    <w:rsid w:val="00B85B53"/>
    <w:rsid w:val="00B85BB3"/>
    <w:rsid w:val="00B863BF"/>
    <w:rsid w:val="00B86791"/>
    <w:rsid w:val="00B86971"/>
    <w:rsid w:val="00B86AE0"/>
    <w:rsid w:val="00B86B67"/>
    <w:rsid w:val="00B86E44"/>
    <w:rsid w:val="00B873DC"/>
    <w:rsid w:val="00B87559"/>
    <w:rsid w:val="00B8776C"/>
    <w:rsid w:val="00B877F8"/>
    <w:rsid w:val="00B878BE"/>
    <w:rsid w:val="00B878C8"/>
    <w:rsid w:val="00B8797C"/>
    <w:rsid w:val="00B87BEF"/>
    <w:rsid w:val="00B87CDF"/>
    <w:rsid w:val="00B87DF0"/>
    <w:rsid w:val="00B87F2B"/>
    <w:rsid w:val="00B90044"/>
    <w:rsid w:val="00B90352"/>
    <w:rsid w:val="00B90463"/>
    <w:rsid w:val="00B907CB"/>
    <w:rsid w:val="00B909FF"/>
    <w:rsid w:val="00B90ACF"/>
    <w:rsid w:val="00B90B2C"/>
    <w:rsid w:val="00B90CFC"/>
    <w:rsid w:val="00B90D88"/>
    <w:rsid w:val="00B910CE"/>
    <w:rsid w:val="00B91602"/>
    <w:rsid w:val="00B91622"/>
    <w:rsid w:val="00B91745"/>
    <w:rsid w:val="00B91E68"/>
    <w:rsid w:val="00B91E82"/>
    <w:rsid w:val="00B92061"/>
    <w:rsid w:val="00B920CF"/>
    <w:rsid w:val="00B9232D"/>
    <w:rsid w:val="00B926BE"/>
    <w:rsid w:val="00B92736"/>
    <w:rsid w:val="00B92834"/>
    <w:rsid w:val="00B929C2"/>
    <w:rsid w:val="00B92B09"/>
    <w:rsid w:val="00B92E17"/>
    <w:rsid w:val="00B92F4E"/>
    <w:rsid w:val="00B92F6B"/>
    <w:rsid w:val="00B930A7"/>
    <w:rsid w:val="00B930B7"/>
    <w:rsid w:val="00B9310B"/>
    <w:rsid w:val="00B93142"/>
    <w:rsid w:val="00B93165"/>
    <w:rsid w:val="00B931F3"/>
    <w:rsid w:val="00B933D4"/>
    <w:rsid w:val="00B9355B"/>
    <w:rsid w:val="00B93780"/>
    <w:rsid w:val="00B93837"/>
    <w:rsid w:val="00B9385C"/>
    <w:rsid w:val="00B938EC"/>
    <w:rsid w:val="00B939E2"/>
    <w:rsid w:val="00B93A9F"/>
    <w:rsid w:val="00B93E15"/>
    <w:rsid w:val="00B94070"/>
    <w:rsid w:val="00B940B3"/>
    <w:rsid w:val="00B942A6"/>
    <w:rsid w:val="00B94452"/>
    <w:rsid w:val="00B946C3"/>
    <w:rsid w:val="00B947ED"/>
    <w:rsid w:val="00B94866"/>
    <w:rsid w:val="00B9490A"/>
    <w:rsid w:val="00B9495F"/>
    <w:rsid w:val="00B94BF8"/>
    <w:rsid w:val="00B94DCD"/>
    <w:rsid w:val="00B95014"/>
    <w:rsid w:val="00B951E4"/>
    <w:rsid w:val="00B956B3"/>
    <w:rsid w:val="00B958BF"/>
    <w:rsid w:val="00B95A12"/>
    <w:rsid w:val="00B95A39"/>
    <w:rsid w:val="00B95B8D"/>
    <w:rsid w:val="00B95CF0"/>
    <w:rsid w:val="00B95D94"/>
    <w:rsid w:val="00B95E6E"/>
    <w:rsid w:val="00B95F6D"/>
    <w:rsid w:val="00B961F0"/>
    <w:rsid w:val="00B96310"/>
    <w:rsid w:val="00B96311"/>
    <w:rsid w:val="00B9656E"/>
    <w:rsid w:val="00B965E8"/>
    <w:rsid w:val="00B96632"/>
    <w:rsid w:val="00B9667A"/>
    <w:rsid w:val="00B9669E"/>
    <w:rsid w:val="00B967DA"/>
    <w:rsid w:val="00B96925"/>
    <w:rsid w:val="00B96A68"/>
    <w:rsid w:val="00B96BD7"/>
    <w:rsid w:val="00B96C7D"/>
    <w:rsid w:val="00B96D4D"/>
    <w:rsid w:val="00B96F52"/>
    <w:rsid w:val="00B97021"/>
    <w:rsid w:val="00B97249"/>
    <w:rsid w:val="00B972F9"/>
    <w:rsid w:val="00B9742B"/>
    <w:rsid w:val="00B974C5"/>
    <w:rsid w:val="00B974CF"/>
    <w:rsid w:val="00B97551"/>
    <w:rsid w:val="00B9764C"/>
    <w:rsid w:val="00B97804"/>
    <w:rsid w:val="00B9794B"/>
    <w:rsid w:val="00B97989"/>
    <w:rsid w:val="00B97AC8"/>
    <w:rsid w:val="00B97E02"/>
    <w:rsid w:val="00B97E34"/>
    <w:rsid w:val="00B97E3A"/>
    <w:rsid w:val="00BA013E"/>
    <w:rsid w:val="00BA015B"/>
    <w:rsid w:val="00BA01CA"/>
    <w:rsid w:val="00BA04C1"/>
    <w:rsid w:val="00BA0509"/>
    <w:rsid w:val="00BA058C"/>
    <w:rsid w:val="00BA08A8"/>
    <w:rsid w:val="00BA08BE"/>
    <w:rsid w:val="00BA0C06"/>
    <w:rsid w:val="00BA0C3D"/>
    <w:rsid w:val="00BA0CAC"/>
    <w:rsid w:val="00BA0D6E"/>
    <w:rsid w:val="00BA0E2F"/>
    <w:rsid w:val="00BA1088"/>
    <w:rsid w:val="00BA11FE"/>
    <w:rsid w:val="00BA12C7"/>
    <w:rsid w:val="00BA1703"/>
    <w:rsid w:val="00BA176E"/>
    <w:rsid w:val="00BA18C8"/>
    <w:rsid w:val="00BA1A7D"/>
    <w:rsid w:val="00BA1EB8"/>
    <w:rsid w:val="00BA1F8D"/>
    <w:rsid w:val="00BA2042"/>
    <w:rsid w:val="00BA206B"/>
    <w:rsid w:val="00BA2080"/>
    <w:rsid w:val="00BA20AF"/>
    <w:rsid w:val="00BA216C"/>
    <w:rsid w:val="00BA21CE"/>
    <w:rsid w:val="00BA23E6"/>
    <w:rsid w:val="00BA2610"/>
    <w:rsid w:val="00BA275C"/>
    <w:rsid w:val="00BA27BC"/>
    <w:rsid w:val="00BA2818"/>
    <w:rsid w:val="00BA288B"/>
    <w:rsid w:val="00BA289B"/>
    <w:rsid w:val="00BA28F6"/>
    <w:rsid w:val="00BA29D7"/>
    <w:rsid w:val="00BA2A01"/>
    <w:rsid w:val="00BA2B62"/>
    <w:rsid w:val="00BA2CC0"/>
    <w:rsid w:val="00BA2D6F"/>
    <w:rsid w:val="00BA2DED"/>
    <w:rsid w:val="00BA2E88"/>
    <w:rsid w:val="00BA3075"/>
    <w:rsid w:val="00BA314E"/>
    <w:rsid w:val="00BA32B9"/>
    <w:rsid w:val="00BA3300"/>
    <w:rsid w:val="00BA34ED"/>
    <w:rsid w:val="00BA362D"/>
    <w:rsid w:val="00BA36E2"/>
    <w:rsid w:val="00BA3751"/>
    <w:rsid w:val="00BA38A7"/>
    <w:rsid w:val="00BA39C8"/>
    <w:rsid w:val="00BA3B0F"/>
    <w:rsid w:val="00BA3B22"/>
    <w:rsid w:val="00BA3B31"/>
    <w:rsid w:val="00BA3C75"/>
    <w:rsid w:val="00BA40B1"/>
    <w:rsid w:val="00BA436A"/>
    <w:rsid w:val="00BA43B2"/>
    <w:rsid w:val="00BA43F9"/>
    <w:rsid w:val="00BA443C"/>
    <w:rsid w:val="00BA455A"/>
    <w:rsid w:val="00BA4661"/>
    <w:rsid w:val="00BA49D2"/>
    <w:rsid w:val="00BA4A88"/>
    <w:rsid w:val="00BA4AF7"/>
    <w:rsid w:val="00BA4B0E"/>
    <w:rsid w:val="00BA4BC2"/>
    <w:rsid w:val="00BA4BD7"/>
    <w:rsid w:val="00BA4D07"/>
    <w:rsid w:val="00BA4E04"/>
    <w:rsid w:val="00BA4EC9"/>
    <w:rsid w:val="00BA4FEC"/>
    <w:rsid w:val="00BA522F"/>
    <w:rsid w:val="00BA52A5"/>
    <w:rsid w:val="00BA52DF"/>
    <w:rsid w:val="00BA57CB"/>
    <w:rsid w:val="00BA5915"/>
    <w:rsid w:val="00BA5CE1"/>
    <w:rsid w:val="00BA5D56"/>
    <w:rsid w:val="00BA5D58"/>
    <w:rsid w:val="00BA5EB0"/>
    <w:rsid w:val="00BA636B"/>
    <w:rsid w:val="00BA6677"/>
    <w:rsid w:val="00BA670A"/>
    <w:rsid w:val="00BA6711"/>
    <w:rsid w:val="00BA6748"/>
    <w:rsid w:val="00BA678D"/>
    <w:rsid w:val="00BA6823"/>
    <w:rsid w:val="00BA687E"/>
    <w:rsid w:val="00BA69AF"/>
    <w:rsid w:val="00BA6C8B"/>
    <w:rsid w:val="00BA6DF3"/>
    <w:rsid w:val="00BA6FE4"/>
    <w:rsid w:val="00BA6FE5"/>
    <w:rsid w:val="00BA712D"/>
    <w:rsid w:val="00BA746D"/>
    <w:rsid w:val="00BA775C"/>
    <w:rsid w:val="00BA7798"/>
    <w:rsid w:val="00BA77C5"/>
    <w:rsid w:val="00BA7A13"/>
    <w:rsid w:val="00BA7A90"/>
    <w:rsid w:val="00BA7B0C"/>
    <w:rsid w:val="00BA7C05"/>
    <w:rsid w:val="00BA7C06"/>
    <w:rsid w:val="00BA7D8D"/>
    <w:rsid w:val="00BA7E4E"/>
    <w:rsid w:val="00BA7EF7"/>
    <w:rsid w:val="00BB00DF"/>
    <w:rsid w:val="00BB01FB"/>
    <w:rsid w:val="00BB0258"/>
    <w:rsid w:val="00BB05EC"/>
    <w:rsid w:val="00BB0660"/>
    <w:rsid w:val="00BB08D6"/>
    <w:rsid w:val="00BB09B6"/>
    <w:rsid w:val="00BB09CB"/>
    <w:rsid w:val="00BB09E4"/>
    <w:rsid w:val="00BB0B47"/>
    <w:rsid w:val="00BB0BA7"/>
    <w:rsid w:val="00BB0D39"/>
    <w:rsid w:val="00BB0E01"/>
    <w:rsid w:val="00BB0E30"/>
    <w:rsid w:val="00BB0EB7"/>
    <w:rsid w:val="00BB0FD7"/>
    <w:rsid w:val="00BB11A9"/>
    <w:rsid w:val="00BB1280"/>
    <w:rsid w:val="00BB12BA"/>
    <w:rsid w:val="00BB12EF"/>
    <w:rsid w:val="00BB1490"/>
    <w:rsid w:val="00BB152C"/>
    <w:rsid w:val="00BB15AC"/>
    <w:rsid w:val="00BB188A"/>
    <w:rsid w:val="00BB1926"/>
    <w:rsid w:val="00BB1A8A"/>
    <w:rsid w:val="00BB1B61"/>
    <w:rsid w:val="00BB1C00"/>
    <w:rsid w:val="00BB1D3F"/>
    <w:rsid w:val="00BB1DB6"/>
    <w:rsid w:val="00BB1DCE"/>
    <w:rsid w:val="00BB1F94"/>
    <w:rsid w:val="00BB21D4"/>
    <w:rsid w:val="00BB239A"/>
    <w:rsid w:val="00BB23B3"/>
    <w:rsid w:val="00BB2437"/>
    <w:rsid w:val="00BB245F"/>
    <w:rsid w:val="00BB2635"/>
    <w:rsid w:val="00BB263D"/>
    <w:rsid w:val="00BB26CA"/>
    <w:rsid w:val="00BB26E3"/>
    <w:rsid w:val="00BB2858"/>
    <w:rsid w:val="00BB2CF7"/>
    <w:rsid w:val="00BB2F88"/>
    <w:rsid w:val="00BB3029"/>
    <w:rsid w:val="00BB30EC"/>
    <w:rsid w:val="00BB329B"/>
    <w:rsid w:val="00BB33F6"/>
    <w:rsid w:val="00BB347B"/>
    <w:rsid w:val="00BB35C4"/>
    <w:rsid w:val="00BB37EA"/>
    <w:rsid w:val="00BB3AA7"/>
    <w:rsid w:val="00BB3BBB"/>
    <w:rsid w:val="00BB3CBC"/>
    <w:rsid w:val="00BB3D74"/>
    <w:rsid w:val="00BB3DE5"/>
    <w:rsid w:val="00BB40FF"/>
    <w:rsid w:val="00BB43B7"/>
    <w:rsid w:val="00BB4637"/>
    <w:rsid w:val="00BB46C9"/>
    <w:rsid w:val="00BB4752"/>
    <w:rsid w:val="00BB4843"/>
    <w:rsid w:val="00BB48F2"/>
    <w:rsid w:val="00BB498D"/>
    <w:rsid w:val="00BB4A1B"/>
    <w:rsid w:val="00BB4B66"/>
    <w:rsid w:val="00BB4B6D"/>
    <w:rsid w:val="00BB5158"/>
    <w:rsid w:val="00BB544D"/>
    <w:rsid w:val="00BB55A3"/>
    <w:rsid w:val="00BB571B"/>
    <w:rsid w:val="00BB577E"/>
    <w:rsid w:val="00BB58A1"/>
    <w:rsid w:val="00BB5B61"/>
    <w:rsid w:val="00BB5C2B"/>
    <w:rsid w:val="00BB5CF3"/>
    <w:rsid w:val="00BB5FE3"/>
    <w:rsid w:val="00BB5FE4"/>
    <w:rsid w:val="00BB65B7"/>
    <w:rsid w:val="00BB6B3D"/>
    <w:rsid w:val="00BB6CCE"/>
    <w:rsid w:val="00BB6D9A"/>
    <w:rsid w:val="00BB6DC3"/>
    <w:rsid w:val="00BB6DD9"/>
    <w:rsid w:val="00BB6EA0"/>
    <w:rsid w:val="00BB7021"/>
    <w:rsid w:val="00BB71D6"/>
    <w:rsid w:val="00BB7223"/>
    <w:rsid w:val="00BB7262"/>
    <w:rsid w:val="00BB7347"/>
    <w:rsid w:val="00BB7376"/>
    <w:rsid w:val="00BB74E6"/>
    <w:rsid w:val="00BB74E7"/>
    <w:rsid w:val="00BB7539"/>
    <w:rsid w:val="00BB77DD"/>
    <w:rsid w:val="00BB7B0A"/>
    <w:rsid w:val="00BB7EEF"/>
    <w:rsid w:val="00BB7F44"/>
    <w:rsid w:val="00BB7F49"/>
    <w:rsid w:val="00BC0444"/>
    <w:rsid w:val="00BC05F2"/>
    <w:rsid w:val="00BC08C9"/>
    <w:rsid w:val="00BC0918"/>
    <w:rsid w:val="00BC0AF5"/>
    <w:rsid w:val="00BC0B02"/>
    <w:rsid w:val="00BC0C63"/>
    <w:rsid w:val="00BC0D9F"/>
    <w:rsid w:val="00BC0E72"/>
    <w:rsid w:val="00BC104E"/>
    <w:rsid w:val="00BC1060"/>
    <w:rsid w:val="00BC1293"/>
    <w:rsid w:val="00BC12E0"/>
    <w:rsid w:val="00BC13D9"/>
    <w:rsid w:val="00BC14CF"/>
    <w:rsid w:val="00BC158E"/>
    <w:rsid w:val="00BC166B"/>
    <w:rsid w:val="00BC1687"/>
    <w:rsid w:val="00BC1904"/>
    <w:rsid w:val="00BC19EF"/>
    <w:rsid w:val="00BC1A61"/>
    <w:rsid w:val="00BC1BCA"/>
    <w:rsid w:val="00BC1C3E"/>
    <w:rsid w:val="00BC1D04"/>
    <w:rsid w:val="00BC1E6E"/>
    <w:rsid w:val="00BC1F55"/>
    <w:rsid w:val="00BC2029"/>
    <w:rsid w:val="00BC2049"/>
    <w:rsid w:val="00BC229F"/>
    <w:rsid w:val="00BC24A3"/>
    <w:rsid w:val="00BC2548"/>
    <w:rsid w:val="00BC25D5"/>
    <w:rsid w:val="00BC2681"/>
    <w:rsid w:val="00BC27E8"/>
    <w:rsid w:val="00BC292F"/>
    <w:rsid w:val="00BC29E5"/>
    <w:rsid w:val="00BC2B13"/>
    <w:rsid w:val="00BC2D33"/>
    <w:rsid w:val="00BC2D4F"/>
    <w:rsid w:val="00BC3207"/>
    <w:rsid w:val="00BC3289"/>
    <w:rsid w:val="00BC3315"/>
    <w:rsid w:val="00BC33B3"/>
    <w:rsid w:val="00BC34E6"/>
    <w:rsid w:val="00BC352A"/>
    <w:rsid w:val="00BC35C0"/>
    <w:rsid w:val="00BC37CF"/>
    <w:rsid w:val="00BC3882"/>
    <w:rsid w:val="00BC391B"/>
    <w:rsid w:val="00BC3BC9"/>
    <w:rsid w:val="00BC3E98"/>
    <w:rsid w:val="00BC4069"/>
    <w:rsid w:val="00BC45B5"/>
    <w:rsid w:val="00BC4902"/>
    <w:rsid w:val="00BC4A51"/>
    <w:rsid w:val="00BC4A8D"/>
    <w:rsid w:val="00BC4D40"/>
    <w:rsid w:val="00BC4E54"/>
    <w:rsid w:val="00BC5134"/>
    <w:rsid w:val="00BC513B"/>
    <w:rsid w:val="00BC5291"/>
    <w:rsid w:val="00BC53A6"/>
    <w:rsid w:val="00BC585D"/>
    <w:rsid w:val="00BC5950"/>
    <w:rsid w:val="00BC5D2D"/>
    <w:rsid w:val="00BC5EF5"/>
    <w:rsid w:val="00BC62A0"/>
    <w:rsid w:val="00BC63DB"/>
    <w:rsid w:val="00BC64F0"/>
    <w:rsid w:val="00BC6511"/>
    <w:rsid w:val="00BC6615"/>
    <w:rsid w:val="00BC67D3"/>
    <w:rsid w:val="00BC6A64"/>
    <w:rsid w:val="00BC6C9F"/>
    <w:rsid w:val="00BC6CA4"/>
    <w:rsid w:val="00BC6CB7"/>
    <w:rsid w:val="00BC6F34"/>
    <w:rsid w:val="00BC7242"/>
    <w:rsid w:val="00BC732A"/>
    <w:rsid w:val="00BC73E5"/>
    <w:rsid w:val="00BC76C5"/>
    <w:rsid w:val="00BC796C"/>
    <w:rsid w:val="00BC7A51"/>
    <w:rsid w:val="00BC7B57"/>
    <w:rsid w:val="00BC7B82"/>
    <w:rsid w:val="00BC7C03"/>
    <w:rsid w:val="00BC7C49"/>
    <w:rsid w:val="00BD00A1"/>
    <w:rsid w:val="00BD01C7"/>
    <w:rsid w:val="00BD0459"/>
    <w:rsid w:val="00BD059F"/>
    <w:rsid w:val="00BD069D"/>
    <w:rsid w:val="00BD0772"/>
    <w:rsid w:val="00BD082D"/>
    <w:rsid w:val="00BD0A7C"/>
    <w:rsid w:val="00BD0C15"/>
    <w:rsid w:val="00BD0D0B"/>
    <w:rsid w:val="00BD0D56"/>
    <w:rsid w:val="00BD0DB8"/>
    <w:rsid w:val="00BD0EE5"/>
    <w:rsid w:val="00BD1193"/>
    <w:rsid w:val="00BD1333"/>
    <w:rsid w:val="00BD13BD"/>
    <w:rsid w:val="00BD1588"/>
    <w:rsid w:val="00BD158E"/>
    <w:rsid w:val="00BD16E8"/>
    <w:rsid w:val="00BD179C"/>
    <w:rsid w:val="00BD186F"/>
    <w:rsid w:val="00BD1952"/>
    <w:rsid w:val="00BD19D0"/>
    <w:rsid w:val="00BD1A68"/>
    <w:rsid w:val="00BD1B66"/>
    <w:rsid w:val="00BD1B96"/>
    <w:rsid w:val="00BD1BAA"/>
    <w:rsid w:val="00BD1BC9"/>
    <w:rsid w:val="00BD1DC0"/>
    <w:rsid w:val="00BD1DFE"/>
    <w:rsid w:val="00BD1E4D"/>
    <w:rsid w:val="00BD1FC3"/>
    <w:rsid w:val="00BD2134"/>
    <w:rsid w:val="00BD214B"/>
    <w:rsid w:val="00BD225F"/>
    <w:rsid w:val="00BD22C7"/>
    <w:rsid w:val="00BD241B"/>
    <w:rsid w:val="00BD2487"/>
    <w:rsid w:val="00BD2563"/>
    <w:rsid w:val="00BD25D0"/>
    <w:rsid w:val="00BD279A"/>
    <w:rsid w:val="00BD2820"/>
    <w:rsid w:val="00BD29E8"/>
    <w:rsid w:val="00BD2B1A"/>
    <w:rsid w:val="00BD2D23"/>
    <w:rsid w:val="00BD2DA0"/>
    <w:rsid w:val="00BD2E04"/>
    <w:rsid w:val="00BD2F78"/>
    <w:rsid w:val="00BD3053"/>
    <w:rsid w:val="00BD321F"/>
    <w:rsid w:val="00BD324D"/>
    <w:rsid w:val="00BD329D"/>
    <w:rsid w:val="00BD32EF"/>
    <w:rsid w:val="00BD3381"/>
    <w:rsid w:val="00BD3610"/>
    <w:rsid w:val="00BD365B"/>
    <w:rsid w:val="00BD36BE"/>
    <w:rsid w:val="00BD3742"/>
    <w:rsid w:val="00BD3916"/>
    <w:rsid w:val="00BD3B93"/>
    <w:rsid w:val="00BD3D0D"/>
    <w:rsid w:val="00BD3DB8"/>
    <w:rsid w:val="00BD3E34"/>
    <w:rsid w:val="00BD3EBC"/>
    <w:rsid w:val="00BD40C4"/>
    <w:rsid w:val="00BD4288"/>
    <w:rsid w:val="00BD4289"/>
    <w:rsid w:val="00BD44CA"/>
    <w:rsid w:val="00BD460E"/>
    <w:rsid w:val="00BD48AC"/>
    <w:rsid w:val="00BD49AC"/>
    <w:rsid w:val="00BD49E6"/>
    <w:rsid w:val="00BD4DFF"/>
    <w:rsid w:val="00BD4E94"/>
    <w:rsid w:val="00BD4EA5"/>
    <w:rsid w:val="00BD4FB4"/>
    <w:rsid w:val="00BD4FB5"/>
    <w:rsid w:val="00BD5058"/>
    <w:rsid w:val="00BD51AA"/>
    <w:rsid w:val="00BD5823"/>
    <w:rsid w:val="00BD59CC"/>
    <w:rsid w:val="00BD5A40"/>
    <w:rsid w:val="00BD5AA4"/>
    <w:rsid w:val="00BD5B8F"/>
    <w:rsid w:val="00BD5B98"/>
    <w:rsid w:val="00BD5BD8"/>
    <w:rsid w:val="00BD5C39"/>
    <w:rsid w:val="00BD5C9D"/>
    <w:rsid w:val="00BD5CD3"/>
    <w:rsid w:val="00BD5DD3"/>
    <w:rsid w:val="00BD5E03"/>
    <w:rsid w:val="00BD5E54"/>
    <w:rsid w:val="00BD5E98"/>
    <w:rsid w:val="00BD5F99"/>
    <w:rsid w:val="00BD5FDF"/>
    <w:rsid w:val="00BD620D"/>
    <w:rsid w:val="00BD624B"/>
    <w:rsid w:val="00BD6265"/>
    <w:rsid w:val="00BD633F"/>
    <w:rsid w:val="00BD6667"/>
    <w:rsid w:val="00BD668B"/>
    <w:rsid w:val="00BD674E"/>
    <w:rsid w:val="00BD68B0"/>
    <w:rsid w:val="00BD68D1"/>
    <w:rsid w:val="00BD6A4A"/>
    <w:rsid w:val="00BD6A75"/>
    <w:rsid w:val="00BD6DF1"/>
    <w:rsid w:val="00BD6E10"/>
    <w:rsid w:val="00BD6E5E"/>
    <w:rsid w:val="00BD70F6"/>
    <w:rsid w:val="00BD7100"/>
    <w:rsid w:val="00BD71FF"/>
    <w:rsid w:val="00BD7264"/>
    <w:rsid w:val="00BD7574"/>
    <w:rsid w:val="00BD762E"/>
    <w:rsid w:val="00BD787C"/>
    <w:rsid w:val="00BD7A26"/>
    <w:rsid w:val="00BE0412"/>
    <w:rsid w:val="00BE04F7"/>
    <w:rsid w:val="00BE0520"/>
    <w:rsid w:val="00BE0875"/>
    <w:rsid w:val="00BE092E"/>
    <w:rsid w:val="00BE0B45"/>
    <w:rsid w:val="00BE0C17"/>
    <w:rsid w:val="00BE0C47"/>
    <w:rsid w:val="00BE0DB2"/>
    <w:rsid w:val="00BE0ED2"/>
    <w:rsid w:val="00BE0F22"/>
    <w:rsid w:val="00BE12F4"/>
    <w:rsid w:val="00BE1379"/>
    <w:rsid w:val="00BE1381"/>
    <w:rsid w:val="00BE1590"/>
    <w:rsid w:val="00BE18B2"/>
    <w:rsid w:val="00BE1D00"/>
    <w:rsid w:val="00BE1D53"/>
    <w:rsid w:val="00BE2240"/>
    <w:rsid w:val="00BE2314"/>
    <w:rsid w:val="00BE2417"/>
    <w:rsid w:val="00BE255F"/>
    <w:rsid w:val="00BE2700"/>
    <w:rsid w:val="00BE2843"/>
    <w:rsid w:val="00BE2868"/>
    <w:rsid w:val="00BE28EA"/>
    <w:rsid w:val="00BE2CDA"/>
    <w:rsid w:val="00BE2D57"/>
    <w:rsid w:val="00BE2E5B"/>
    <w:rsid w:val="00BE2F2E"/>
    <w:rsid w:val="00BE2F6D"/>
    <w:rsid w:val="00BE30E5"/>
    <w:rsid w:val="00BE319A"/>
    <w:rsid w:val="00BE31DC"/>
    <w:rsid w:val="00BE329B"/>
    <w:rsid w:val="00BE3556"/>
    <w:rsid w:val="00BE3630"/>
    <w:rsid w:val="00BE36CC"/>
    <w:rsid w:val="00BE373A"/>
    <w:rsid w:val="00BE38F0"/>
    <w:rsid w:val="00BE3948"/>
    <w:rsid w:val="00BE3A1A"/>
    <w:rsid w:val="00BE3D29"/>
    <w:rsid w:val="00BE3D99"/>
    <w:rsid w:val="00BE3E70"/>
    <w:rsid w:val="00BE4020"/>
    <w:rsid w:val="00BE40A1"/>
    <w:rsid w:val="00BE40D0"/>
    <w:rsid w:val="00BE4124"/>
    <w:rsid w:val="00BE43E5"/>
    <w:rsid w:val="00BE4510"/>
    <w:rsid w:val="00BE454E"/>
    <w:rsid w:val="00BE4679"/>
    <w:rsid w:val="00BE4962"/>
    <w:rsid w:val="00BE49B2"/>
    <w:rsid w:val="00BE4A93"/>
    <w:rsid w:val="00BE4CAC"/>
    <w:rsid w:val="00BE4CCD"/>
    <w:rsid w:val="00BE4D6E"/>
    <w:rsid w:val="00BE50E2"/>
    <w:rsid w:val="00BE52E8"/>
    <w:rsid w:val="00BE52F1"/>
    <w:rsid w:val="00BE537E"/>
    <w:rsid w:val="00BE584F"/>
    <w:rsid w:val="00BE5B7D"/>
    <w:rsid w:val="00BE5C3E"/>
    <w:rsid w:val="00BE5D17"/>
    <w:rsid w:val="00BE5EDE"/>
    <w:rsid w:val="00BE5F01"/>
    <w:rsid w:val="00BE5F61"/>
    <w:rsid w:val="00BE621E"/>
    <w:rsid w:val="00BE6407"/>
    <w:rsid w:val="00BE6443"/>
    <w:rsid w:val="00BE6487"/>
    <w:rsid w:val="00BE6531"/>
    <w:rsid w:val="00BE65E7"/>
    <w:rsid w:val="00BE65FF"/>
    <w:rsid w:val="00BE666B"/>
    <w:rsid w:val="00BE6751"/>
    <w:rsid w:val="00BE6925"/>
    <w:rsid w:val="00BE6ABC"/>
    <w:rsid w:val="00BE6B68"/>
    <w:rsid w:val="00BE6B9A"/>
    <w:rsid w:val="00BE6BEF"/>
    <w:rsid w:val="00BE6C3C"/>
    <w:rsid w:val="00BE6C6C"/>
    <w:rsid w:val="00BE6CE6"/>
    <w:rsid w:val="00BE6D2A"/>
    <w:rsid w:val="00BE6D43"/>
    <w:rsid w:val="00BE710C"/>
    <w:rsid w:val="00BE71CD"/>
    <w:rsid w:val="00BE76E2"/>
    <w:rsid w:val="00BE76E3"/>
    <w:rsid w:val="00BE77C2"/>
    <w:rsid w:val="00BE782D"/>
    <w:rsid w:val="00BE7AD3"/>
    <w:rsid w:val="00BE7B56"/>
    <w:rsid w:val="00BE7E3C"/>
    <w:rsid w:val="00BE7FF3"/>
    <w:rsid w:val="00BF005B"/>
    <w:rsid w:val="00BF03D4"/>
    <w:rsid w:val="00BF0554"/>
    <w:rsid w:val="00BF07C8"/>
    <w:rsid w:val="00BF07D9"/>
    <w:rsid w:val="00BF0A00"/>
    <w:rsid w:val="00BF0BDC"/>
    <w:rsid w:val="00BF0C32"/>
    <w:rsid w:val="00BF0F42"/>
    <w:rsid w:val="00BF0F45"/>
    <w:rsid w:val="00BF1186"/>
    <w:rsid w:val="00BF1215"/>
    <w:rsid w:val="00BF1516"/>
    <w:rsid w:val="00BF16A2"/>
    <w:rsid w:val="00BF16CB"/>
    <w:rsid w:val="00BF17D2"/>
    <w:rsid w:val="00BF1839"/>
    <w:rsid w:val="00BF1867"/>
    <w:rsid w:val="00BF196A"/>
    <w:rsid w:val="00BF1A9B"/>
    <w:rsid w:val="00BF1DF4"/>
    <w:rsid w:val="00BF1F88"/>
    <w:rsid w:val="00BF1F96"/>
    <w:rsid w:val="00BF21E9"/>
    <w:rsid w:val="00BF22C8"/>
    <w:rsid w:val="00BF2395"/>
    <w:rsid w:val="00BF26FC"/>
    <w:rsid w:val="00BF2718"/>
    <w:rsid w:val="00BF29E0"/>
    <w:rsid w:val="00BF2A1F"/>
    <w:rsid w:val="00BF2CD5"/>
    <w:rsid w:val="00BF2F0F"/>
    <w:rsid w:val="00BF32D6"/>
    <w:rsid w:val="00BF3400"/>
    <w:rsid w:val="00BF3479"/>
    <w:rsid w:val="00BF3594"/>
    <w:rsid w:val="00BF3596"/>
    <w:rsid w:val="00BF3829"/>
    <w:rsid w:val="00BF38DF"/>
    <w:rsid w:val="00BF3B63"/>
    <w:rsid w:val="00BF3E9A"/>
    <w:rsid w:val="00BF3F3E"/>
    <w:rsid w:val="00BF43F8"/>
    <w:rsid w:val="00BF44CA"/>
    <w:rsid w:val="00BF4603"/>
    <w:rsid w:val="00BF4620"/>
    <w:rsid w:val="00BF4705"/>
    <w:rsid w:val="00BF4724"/>
    <w:rsid w:val="00BF47BE"/>
    <w:rsid w:val="00BF4803"/>
    <w:rsid w:val="00BF4ACF"/>
    <w:rsid w:val="00BF4BE7"/>
    <w:rsid w:val="00BF4C64"/>
    <w:rsid w:val="00BF4CC6"/>
    <w:rsid w:val="00BF4D31"/>
    <w:rsid w:val="00BF4DB9"/>
    <w:rsid w:val="00BF4DC8"/>
    <w:rsid w:val="00BF4E2D"/>
    <w:rsid w:val="00BF51A4"/>
    <w:rsid w:val="00BF51A7"/>
    <w:rsid w:val="00BF5257"/>
    <w:rsid w:val="00BF53E5"/>
    <w:rsid w:val="00BF53FC"/>
    <w:rsid w:val="00BF560E"/>
    <w:rsid w:val="00BF5700"/>
    <w:rsid w:val="00BF5751"/>
    <w:rsid w:val="00BF57DB"/>
    <w:rsid w:val="00BF585A"/>
    <w:rsid w:val="00BF59E5"/>
    <w:rsid w:val="00BF5D43"/>
    <w:rsid w:val="00BF5EA6"/>
    <w:rsid w:val="00BF5F2C"/>
    <w:rsid w:val="00BF614F"/>
    <w:rsid w:val="00BF622E"/>
    <w:rsid w:val="00BF626A"/>
    <w:rsid w:val="00BF63C3"/>
    <w:rsid w:val="00BF63C5"/>
    <w:rsid w:val="00BF6508"/>
    <w:rsid w:val="00BF6517"/>
    <w:rsid w:val="00BF6572"/>
    <w:rsid w:val="00BF6608"/>
    <w:rsid w:val="00BF6634"/>
    <w:rsid w:val="00BF67A8"/>
    <w:rsid w:val="00BF6886"/>
    <w:rsid w:val="00BF6887"/>
    <w:rsid w:val="00BF68FB"/>
    <w:rsid w:val="00BF690C"/>
    <w:rsid w:val="00BF6994"/>
    <w:rsid w:val="00BF6ACD"/>
    <w:rsid w:val="00BF6D07"/>
    <w:rsid w:val="00BF6FF3"/>
    <w:rsid w:val="00BF71EE"/>
    <w:rsid w:val="00BF728D"/>
    <w:rsid w:val="00BF73E2"/>
    <w:rsid w:val="00BF7485"/>
    <w:rsid w:val="00BF76BC"/>
    <w:rsid w:val="00BF76CB"/>
    <w:rsid w:val="00BF7BDE"/>
    <w:rsid w:val="00BF7E3B"/>
    <w:rsid w:val="00BF7E4D"/>
    <w:rsid w:val="00BF7E92"/>
    <w:rsid w:val="00BF7FD7"/>
    <w:rsid w:val="00C001E6"/>
    <w:rsid w:val="00C001FE"/>
    <w:rsid w:val="00C0035A"/>
    <w:rsid w:val="00C007DB"/>
    <w:rsid w:val="00C008E7"/>
    <w:rsid w:val="00C008FC"/>
    <w:rsid w:val="00C0098F"/>
    <w:rsid w:val="00C00B07"/>
    <w:rsid w:val="00C00B0E"/>
    <w:rsid w:val="00C00C32"/>
    <w:rsid w:val="00C00C67"/>
    <w:rsid w:val="00C00EF5"/>
    <w:rsid w:val="00C00F7B"/>
    <w:rsid w:val="00C01050"/>
    <w:rsid w:val="00C01095"/>
    <w:rsid w:val="00C015EC"/>
    <w:rsid w:val="00C01819"/>
    <w:rsid w:val="00C0198B"/>
    <w:rsid w:val="00C01AC7"/>
    <w:rsid w:val="00C01CE9"/>
    <w:rsid w:val="00C02069"/>
    <w:rsid w:val="00C02165"/>
    <w:rsid w:val="00C02450"/>
    <w:rsid w:val="00C0256A"/>
    <w:rsid w:val="00C027B9"/>
    <w:rsid w:val="00C027F8"/>
    <w:rsid w:val="00C02960"/>
    <w:rsid w:val="00C02B5D"/>
    <w:rsid w:val="00C02C8C"/>
    <w:rsid w:val="00C02C99"/>
    <w:rsid w:val="00C02D80"/>
    <w:rsid w:val="00C02DF3"/>
    <w:rsid w:val="00C02E7A"/>
    <w:rsid w:val="00C02E7C"/>
    <w:rsid w:val="00C02F09"/>
    <w:rsid w:val="00C02FA2"/>
    <w:rsid w:val="00C032EC"/>
    <w:rsid w:val="00C03397"/>
    <w:rsid w:val="00C0352F"/>
    <w:rsid w:val="00C03656"/>
    <w:rsid w:val="00C03901"/>
    <w:rsid w:val="00C03A61"/>
    <w:rsid w:val="00C03A97"/>
    <w:rsid w:val="00C03AF3"/>
    <w:rsid w:val="00C03B41"/>
    <w:rsid w:val="00C03E90"/>
    <w:rsid w:val="00C03F47"/>
    <w:rsid w:val="00C03F75"/>
    <w:rsid w:val="00C03FF0"/>
    <w:rsid w:val="00C04019"/>
    <w:rsid w:val="00C0401D"/>
    <w:rsid w:val="00C04026"/>
    <w:rsid w:val="00C04235"/>
    <w:rsid w:val="00C0424D"/>
    <w:rsid w:val="00C0427E"/>
    <w:rsid w:val="00C0431B"/>
    <w:rsid w:val="00C04538"/>
    <w:rsid w:val="00C04657"/>
    <w:rsid w:val="00C04661"/>
    <w:rsid w:val="00C0474D"/>
    <w:rsid w:val="00C047DF"/>
    <w:rsid w:val="00C049EA"/>
    <w:rsid w:val="00C04BFD"/>
    <w:rsid w:val="00C04C5E"/>
    <w:rsid w:val="00C04C9E"/>
    <w:rsid w:val="00C04D51"/>
    <w:rsid w:val="00C04E40"/>
    <w:rsid w:val="00C04EBE"/>
    <w:rsid w:val="00C0511C"/>
    <w:rsid w:val="00C053A4"/>
    <w:rsid w:val="00C05514"/>
    <w:rsid w:val="00C0578D"/>
    <w:rsid w:val="00C0582E"/>
    <w:rsid w:val="00C059BD"/>
    <w:rsid w:val="00C05A8D"/>
    <w:rsid w:val="00C05C3D"/>
    <w:rsid w:val="00C05D8C"/>
    <w:rsid w:val="00C05DB3"/>
    <w:rsid w:val="00C05FBB"/>
    <w:rsid w:val="00C06040"/>
    <w:rsid w:val="00C0633C"/>
    <w:rsid w:val="00C06527"/>
    <w:rsid w:val="00C065F2"/>
    <w:rsid w:val="00C067D9"/>
    <w:rsid w:val="00C06904"/>
    <w:rsid w:val="00C069E4"/>
    <w:rsid w:val="00C06E2E"/>
    <w:rsid w:val="00C06F36"/>
    <w:rsid w:val="00C06FF1"/>
    <w:rsid w:val="00C070D6"/>
    <w:rsid w:val="00C0735F"/>
    <w:rsid w:val="00C075EB"/>
    <w:rsid w:val="00C076B2"/>
    <w:rsid w:val="00C07828"/>
    <w:rsid w:val="00C07888"/>
    <w:rsid w:val="00C07A4C"/>
    <w:rsid w:val="00C07A4D"/>
    <w:rsid w:val="00C07AF4"/>
    <w:rsid w:val="00C07BFB"/>
    <w:rsid w:val="00C07C43"/>
    <w:rsid w:val="00C07C4A"/>
    <w:rsid w:val="00C07E1D"/>
    <w:rsid w:val="00C07E91"/>
    <w:rsid w:val="00C07F9C"/>
    <w:rsid w:val="00C07FA2"/>
    <w:rsid w:val="00C10016"/>
    <w:rsid w:val="00C1025C"/>
    <w:rsid w:val="00C103B3"/>
    <w:rsid w:val="00C104A2"/>
    <w:rsid w:val="00C105E0"/>
    <w:rsid w:val="00C1084C"/>
    <w:rsid w:val="00C10940"/>
    <w:rsid w:val="00C10B0A"/>
    <w:rsid w:val="00C10B5F"/>
    <w:rsid w:val="00C10C0C"/>
    <w:rsid w:val="00C10C7E"/>
    <w:rsid w:val="00C10DCF"/>
    <w:rsid w:val="00C11253"/>
    <w:rsid w:val="00C1149C"/>
    <w:rsid w:val="00C11501"/>
    <w:rsid w:val="00C11564"/>
    <w:rsid w:val="00C11590"/>
    <w:rsid w:val="00C1166A"/>
    <w:rsid w:val="00C11672"/>
    <w:rsid w:val="00C1184C"/>
    <w:rsid w:val="00C11A69"/>
    <w:rsid w:val="00C11C1F"/>
    <w:rsid w:val="00C11CEC"/>
    <w:rsid w:val="00C11D49"/>
    <w:rsid w:val="00C11E46"/>
    <w:rsid w:val="00C11F6B"/>
    <w:rsid w:val="00C12004"/>
    <w:rsid w:val="00C1225B"/>
    <w:rsid w:val="00C12485"/>
    <w:rsid w:val="00C124A6"/>
    <w:rsid w:val="00C12893"/>
    <w:rsid w:val="00C128B9"/>
    <w:rsid w:val="00C12AB1"/>
    <w:rsid w:val="00C12B1E"/>
    <w:rsid w:val="00C12B80"/>
    <w:rsid w:val="00C12BE0"/>
    <w:rsid w:val="00C12C01"/>
    <w:rsid w:val="00C12C09"/>
    <w:rsid w:val="00C12CB1"/>
    <w:rsid w:val="00C12CF3"/>
    <w:rsid w:val="00C12E04"/>
    <w:rsid w:val="00C12E68"/>
    <w:rsid w:val="00C13259"/>
    <w:rsid w:val="00C1325A"/>
    <w:rsid w:val="00C133DB"/>
    <w:rsid w:val="00C1369B"/>
    <w:rsid w:val="00C137B6"/>
    <w:rsid w:val="00C13844"/>
    <w:rsid w:val="00C1393A"/>
    <w:rsid w:val="00C139D6"/>
    <w:rsid w:val="00C13A18"/>
    <w:rsid w:val="00C13AF7"/>
    <w:rsid w:val="00C13BC4"/>
    <w:rsid w:val="00C13D86"/>
    <w:rsid w:val="00C13DA1"/>
    <w:rsid w:val="00C13DD9"/>
    <w:rsid w:val="00C14199"/>
    <w:rsid w:val="00C146B0"/>
    <w:rsid w:val="00C14702"/>
    <w:rsid w:val="00C14995"/>
    <w:rsid w:val="00C149DC"/>
    <w:rsid w:val="00C14AF0"/>
    <w:rsid w:val="00C14C6A"/>
    <w:rsid w:val="00C14C6B"/>
    <w:rsid w:val="00C14D7C"/>
    <w:rsid w:val="00C14DA2"/>
    <w:rsid w:val="00C14DF6"/>
    <w:rsid w:val="00C14FA3"/>
    <w:rsid w:val="00C1522C"/>
    <w:rsid w:val="00C1525C"/>
    <w:rsid w:val="00C15304"/>
    <w:rsid w:val="00C154FF"/>
    <w:rsid w:val="00C15580"/>
    <w:rsid w:val="00C156B4"/>
    <w:rsid w:val="00C158D0"/>
    <w:rsid w:val="00C15A03"/>
    <w:rsid w:val="00C15B4D"/>
    <w:rsid w:val="00C15C0F"/>
    <w:rsid w:val="00C15C3A"/>
    <w:rsid w:val="00C15C3C"/>
    <w:rsid w:val="00C15D58"/>
    <w:rsid w:val="00C15DAA"/>
    <w:rsid w:val="00C15EAB"/>
    <w:rsid w:val="00C160ED"/>
    <w:rsid w:val="00C16232"/>
    <w:rsid w:val="00C16288"/>
    <w:rsid w:val="00C16336"/>
    <w:rsid w:val="00C163EF"/>
    <w:rsid w:val="00C1668E"/>
    <w:rsid w:val="00C16B03"/>
    <w:rsid w:val="00C16C2D"/>
    <w:rsid w:val="00C16E7D"/>
    <w:rsid w:val="00C1708F"/>
    <w:rsid w:val="00C1727D"/>
    <w:rsid w:val="00C17388"/>
    <w:rsid w:val="00C17505"/>
    <w:rsid w:val="00C17540"/>
    <w:rsid w:val="00C176AD"/>
    <w:rsid w:val="00C17792"/>
    <w:rsid w:val="00C1787A"/>
    <w:rsid w:val="00C17B3A"/>
    <w:rsid w:val="00C17C68"/>
    <w:rsid w:val="00C17D4C"/>
    <w:rsid w:val="00C17F91"/>
    <w:rsid w:val="00C20142"/>
    <w:rsid w:val="00C201D7"/>
    <w:rsid w:val="00C2056C"/>
    <w:rsid w:val="00C206BD"/>
    <w:rsid w:val="00C207A1"/>
    <w:rsid w:val="00C2082B"/>
    <w:rsid w:val="00C208D0"/>
    <w:rsid w:val="00C20989"/>
    <w:rsid w:val="00C2099E"/>
    <w:rsid w:val="00C20B05"/>
    <w:rsid w:val="00C20B6A"/>
    <w:rsid w:val="00C20CA9"/>
    <w:rsid w:val="00C20CAF"/>
    <w:rsid w:val="00C20D69"/>
    <w:rsid w:val="00C20E45"/>
    <w:rsid w:val="00C2107B"/>
    <w:rsid w:val="00C21111"/>
    <w:rsid w:val="00C21127"/>
    <w:rsid w:val="00C21138"/>
    <w:rsid w:val="00C21140"/>
    <w:rsid w:val="00C2115D"/>
    <w:rsid w:val="00C2116B"/>
    <w:rsid w:val="00C211BD"/>
    <w:rsid w:val="00C212D2"/>
    <w:rsid w:val="00C21500"/>
    <w:rsid w:val="00C2156C"/>
    <w:rsid w:val="00C21848"/>
    <w:rsid w:val="00C21A5D"/>
    <w:rsid w:val="00C21CD2"/>
    <w:rsid w:val="00C21EA7"/>
    <w:rsid w:val="00C2205D"/>
    <w:rsid w:val="00C2271C"/>
    <w:rsid w:val="00C228BC"/>
    <w:rsid w:val="00C22B20"/>
    <w:rsid w:val="00C22C3E"/>
    <w:rsid w:val="00C22DC8"/>
    <w:rsid w:val="00C22E14"/>
    <w:rsid w:val="00C22FDB"/>
    <w:rsid w:val="00C23652"/>
    <w:rsid w:val="00C2385E"/>
    <w:rsid w:val="00C238B5"/>
    <w:rsid w:val="00C23A04"/>
    <w:rsid w:val="00C23BD4"/>
    <w:rsid w:val="00C23C45"/>
    <w:rsid w:val="00C23C91"/>
    <w:rsid w:val="00C23CC3"/>
    <w:rsid w:val="00C23DD6"/>
    <w:rsid w:val="00C23E70"/>
    <w:rsid w:val="00C23F24"/>
    <w:rsid w:val="00C23FE1"/>
    <w:rsid w:val="00C242A0"/>
    <w:rsid w:val="00C243C8"/>
    <w:rsid w:val="00C2458C"/>
    <w:rsid w:val="00C247DB"/>
    <w:rsid w:val="00C24A47"/>
    <w:rsid w:val="00C24A55"/>
    <w:rsid w:val="00C24B0E"/>
    <w:rsid w:val="00C24B88"/>
    <w:rsid w:val="00C24DEC"/>
    <w:rsid w:val="00C24E91"/>
    <w:rsid w:val="00C2503D"/>
    <w:rsid w:val="00C2519C"/>
    <w:rsid w:val="00C252C0"/>
    <w:rsid w:val="00C2542D"/>
    <w:rsid w:val="00C25459"/>
    <w:rsid w:val="00C25462"/>
    <w:rsid w:val="00C255B3"/>
    <w:rsid w:val="00C25605"/>
    <w:rsid w:val="00C256A3"/>
    <w:rsid w:val="00C25A5A"/>
    <w:rsid w:val="00C25E7D"/>
    <w:rsid w:val="00C25FB8"/>
    <w:rsid w:val="00C2611C"/>
    <w:rsid w:val="00C26137"/>
    <w:rsid w:val="00C261F8"/>
    <w:rsid w:val="00C264A3"/>
    <w:rsid w:val="00C264F3"/>
    <w:rsid w:val="00C2652C"/>
    <w:rsid w:val="00C266F5"/>
    <w:rsid w:val="00C2683D"/>
    <w:rsid w:val="00C26A38"/>
    <w:rsid w:val="00C26B6C"/>
    <w:rsid w:val="00C26E7E"/>
    <w:rsid w:val="00C27092"/>
    <w:rsid w:val="00C27512"/>
    <w:rsid w:val="00C275FA"/>
    <w:rsid w:val="00C27666"/>
    <w:rsid w:val="00C27724"/>
    <w:rsid w:val="00C27746"/>
    <w:rsid w:val="00C2788B"/>
    <w:rsid w:val="00C27950"/>
    <w:rsid w:val="00C279B7"/>
    <w:rsid w:val="00C279CD"/>
    <w:rsid w:val="00C27ABA"/>
    <w:rsid w:val="00C27B7F"/>
    <w:rsid w:val="00C27DD9"/>
    <w:rsid w:val="00C27FBA"/>
    <w:rsid w:val="00C30179"/>
    <w:rsid w:val="00C30206"/>
    <w:rsid w:val="00C3035B"/>
    <w:rsid w:val="00C30362"/>
    <w:rsid w:val="00C3041A"/>
    <w:rsid w:val="00C3065B"/>
    <w:rsid w:val="00C307A4"/>
    <w:rsid w:val="00C307B9"/>
    <w:rsid w:val="00C30819"/>
    <w:rsid w:val="00C30946"/>
    <w:rsid w:val="00C309E7"/>
    <w:rsid w:val="00C30A0F"/>
    <w:rsid w:val="00C30ABF"/>
    <w:rsid w:val="00C30B34"/>
    <w:rsid w:val="00C30B38"/>
    <w:rsid w:val="00C30BC5"/>
    <w:rsid w:val="00C30BC9"/>
    <w:rsid w:val="00C30D12"/>
    <w:rsid w:val="00C30D1B"/>
    <w:rsid w:val="00C30D42"/>
    <w:rsid w:val="00C30F1E"/>
    <w:rsid w:val="00C30F2B"/>
    <w:rsid w:val="00C31027"/>
    <w:rsid w:val="00C311AC"/>
    <w:rsid w:val="00C3135B"/>
    <w:rsid w:val="00C31430"/>
    <w:rsid w:val="00C3148D"/>
    <w:rsid w:val="00C31514"/>
    <w:rsid w:val="00C31560"/>
    <w:rsid w:val="00C31703"/>
    <w:rsid w:val="00C31B71"/>
    <w:rsid w:val="00C31E37"/>
    <w:rsid w:val="00C31E3A"/>
    <w:rsid w:val="00C31E77"/>
    <w:rsid w:val="00C31FCB"/>
    <w:rsid w:val="00C32057"/>
    <w:rsid w:val="00C32180"/>
    <w:rsid w:val="00C321B0"/>
    <w:rsid w:val="00C3238F"/>
    <w:rsid w:val="00C3240F"/>
    <w:rsid w:val="00C32492"/>
    <w:rsid w:val="00C325E7"/>
    <w:rsid w:val="00C326A0"/>
    <w:rsid w:val="00C326F1"/>
    <w:rsid w:val="00C327FC"/>
    <w:rsid w:val="00C32AAC"/>
    <w:rsid w:val="00C32ADA"/>
    <w:rsid w:val="00C32BB6"/>
    <w:rsid w:val="00C32D9A"/>
    <w:rsid w:val="00C330C1"/>
    <w:rsid w:val="00C33101"/>
    <w:rsid w:val="00C3314C"/>
    <w:rsid w:val="00C3353C"/>
    <w:rsid w:val="00C335CA"/>
    <w:rsid w:val="00C336F4"/>
    <w:rsid w:val="00C337EF"/>
    <w:rsid w:val="00C338F4"/>
    <w:rsid w:val="00C33989"/>
    <w:rsid w:val="00C33A1C"/>
    <w:rsid w:val="00C33AE9"/>
    <w:rsid w:val="00C33B85"/>
    <w:rsid w:val="00C33D0A"/>
    <w:rsid w:val="00C33E0D"/>
    <w:rsid w:val="00C33F0F"/>
    <w:rsid w:val="00C34035"/>
    <w:rsid w:val="00C34056"/>
    <w:rsid w:val="00C34098"/>
    <w:rsid w:val="00C340D4"/>
    <w:rsid w:val="00C341CD"/>
    <w:rsid w:val="00C34265"/>
    <w:rsid w:val="00C344D5"/>
    <w:rsid w:val="00C348D7"/>
    <w:rsid w:val="00C34926"/>
    <w:rsid w:val="00C34C7D"/>
    <w:rsid w:val="00C34E0A"/>
    <w:rsid w:val="00C34EDC"/>
    <w:rsid w:val="00C34F4F"/>
    <w:rsid w:val="00C34F68"/>
    <w:rsid w:val="00C35030"/>
    <w:rsid w:val="00C3529F"/>
    <w:rsid w:val="00C352F0"/>
    <w:rsid w:val="00C35483"/>
    <w:rsid w:val="00C3554F"/>
    <w:rsid w:val="00C355F7"/>
    <w:rsid w:val="00C35721"/>
    <w:rsid w:val="00C3572E"/>
    <w:rsid w:val="00C357E3"/>
    <w:rsid w:val="00C3587F"/>
    <w:rsid w:val="00C35A5D"/>
    <w:rsid w:val="00C35CB6"/>
    <w:rsid w:val="00C35D19"/>
    <w:rsid w:val="00C35D90"/>
    <w:rsid w:val="00C35E45"/>
    <w:rsid w:val="00C36037"/>
    <w:rsid w:val="00C361A2"/>
    <w:rsid w:val="00C361A3"/>
    <w:rsid w:val="00C36237"/>
    <w:rsid w:val="00C363E6"/>
    <w:rsid w:val="00C365F7"/>
    <w:rsid w:val="00C367BD"/>
    <w:rsid w:val="00C368A3"/>
    <w:rsid w:val="00C369CA"/>
    <w:rsid w:val="00C36B39"/>
    <w:rsid w:val="00C36C5C"/>
    <w:rsid w:val="00C36CE3"/>
    <w:rsid w:val="00C36D2A"/>
    <w:rsid w:val="00C37335"/>
    <w:rsid w:val="00C37469"/>
    <w:rsid w:val="00C3746F"/>
    <w:rsid w:val="00C37509"/>
    <w:rsid w:val="00C37521"/>
    <w:rsid w:val="00C37611"/>
    <w:rsid w:val="00C37788"/>
    <w:rsid w:val="00C3779E"/>
    <w:rsid w:val="00C377A3"/>
    <w:rsid w:val="00C37B6F"/>
    <w:rsid w:val="00C37CDD"/>
    <w:rsid w:val="00C37FEC"/>
    <w:rsid w:val="00C40093"/>
    <w:rsid w:val="00C400BF"/>
    <w:rsid w:val="00C40135"/>
    <w:rsid w:val="00C403E9"/>
    <w:rsid w:val="00C405E8"/>
    <w:rsid w:val="00C40907"/>
    <w:rsid w:val="00C40935"/>
    <w:rsid w:val="00C40953"/>
    <w:rsid w:val="00C40AAC"/>
    <w:rsid w:val="00C40B91"/>
    <w:rsid w:val="00C40C69"/>
    <w:rsid w:val="00C40C7C"/>
    <w:rsid w:val="00C40CAD"/>
    <w:rsid w:val="00C40D38"/>
    <w:rsid w:val="00C40E98"/>
    <w:rsid w:val="00C40F82"/>
    <w:rsid w:val="00C41105"/>
    <w:rsid w:val="00C4116D"/>
    <w:rsid w:val="00C41186"/>
    <w:rsid w:val="00C411BC"/>
    <w:rsid w:val="00C4121A"/>
    <w:rsid w:val="00C4123C"/>
    <w:rsid w:val="00C413B6"/>
    <w:rsid w:val="00C41418"/>
    <w:rsid w:val="00C41468"/>
    <w:rsid w:val="00C41536"/>
    <w:rsid w:val="00C41705"/>
    <w:rsid w:val="00C417A2"/>
    <w:rsid w:val="00C417BA"/>
    <w:rsid w:val="00C41876"/>
    <w:rsid w:val="00C4190E"/>
    <w:rsid w:val="00C419B3"/>
    <w:rsid w:val="00C41B06"/>
    <w:rsid w:val="00C41B70"/>
    <w:rsid w:val="00C41F01"/>
    <w:rsid w:val="00C42124"/>
    <w:rsid w:val="00C4226B"/>
    <w:rsid w:val="00C423DE"/>
    <w:rsid w:val="00C4241F"/>
    <w:rsid w:val="00C42484"/>
    <w:rsid w:val="00C42492"/>
    <w:rsid w:val="00C425D2"/>
    <w:rsid w:val="00C42729"/>
    <w:rsid w:val="00C4287F"/>
    <w:rsid w:val="00C4290B"/>
    <w:rsid w:val="00C42928"/>
    <w:rsid w:val="00C42963"/>
    <w:rsid w:val="00C42B0B"/>
    <w:rsid w:val="00C42BEB"/>
    <w:rsid w:val="00C42C07"/>
    <w:rsid w:val="00C42D00"/>
    <w:rsid w:val="00C430EE"/>
    <w:rsid w:val="00C431E5"/>
    <w:rsid w:val="00C43214"/>
    <w:rsid w:val="00C432DD"/>
    <w:rsid w:val="00C435BA"/>
    <w:rsid w:val="00C43608"/>
    <w:rsid w:val="00C4367A"/>
    <w:rsid w:val="00C4369D"/>
    <w:rsid w:val="00C43954"/>
    <w:rsid w:val="00C43BF6"/>
    <w:rsid w:val="00C43D17"/>
    <w:rsid w:val="00C43DE0"/>
    <w:rsid w:val="00C43F22"/>
    <w:rsid w:val="00C43F74"/>
    <w:rsid w:val="00C43FEC"/>
    <w:rsid w:val="00C4401E"/>
    <w:rsid w:val="00C44062"/>
    <w:rsid w:val="00C440D7"/>
    <w:rsid w:val="00C44261"/>
    <w:rsid w:val="00C44365"/>
    <w:rsid w:val="00C44516"/>
    <w:rsid w:val="00C445F9"/>
    <w:rsid w:val="00C447D1"/>
    <w:rsid w:val="00C448C7"/>
    <w:rsid w:val="00C44A02"/>
    <w:rsid w:val="00C44A93"/>
    <w:rsid w:val="00C44CE2"/>
    <w:rsid w:val="00C44D82"/>
    <w:rsid w:val="00C44FB2"/>
    <w:rsid w:val="00C4502E"/>
    <w:rsid w:val="00C4504C"/>
    <w:rsid w:val="00C450BE"/>
    <w:rsid w:val="00C4510C"/>
    <w:rsid w:val="00C4538B"/>
    <w:rsid w:val="00C453A4"/>
    <w:rsid w:val="00C45419"/>
    <w:rsid w:val="00C45698"/>
    <w:rsid w:val="00C4574A"/>
    <w:rsid w:val="00C459C8"/>
    <w:rsid w:val="00C45C14"/>
    <w:rsid w:val="00C45CDF"/>
    <w:rsid w:val="00C45DD2"/>
    <w:rsid w:val="00C460DD"/>
    <w:rsid w:val="00C46195"/>
    <w:rsid w:val="00C4626E"/>
    <w:rsid w:val="00C46417"/>
    <w:rsid w:val="00C466B3"/>
    <w:rsid w:val="00C46957"/>
    <w:rsid w:val="00C46A78"/>
    <w:rsid w:val="00C46B5E"/>
    <w:rsid w:val="00C46C64"/>
    <w:rsid w:val="00C46D8A"/>
    <w:rsid w:val="00C46E13"/>
    <w:rsid w:val="00C46F40"/>
    <w:rsid w:val="00C46F53"/>
    <w:rsid w:val="00C471F4"/>
    <w:rsid w:val="00C47343"/>
    <w:rsid w:val="00C47454"/>
    <w:rsid w:val="00C474C7"/>
    <w:rsid w:val="00C47555"/>
    <w:rsid w:val="00C475CF"/>
    <w:rsid w:val="00C4760B"/>
    <w:rsid w:val="00C4769C"/>
    <w:rsid w:val="00C47736"/>
    <w:rsid w:val="00C478EC"/>
    <w:rsid w:val="00C47A18"/>
    <w:rsid w:val="00C47E37"/>
    <w:rsid w:val="00C47FC0"/>
    <w:rsid w:val="00C50023"/>
    <w:rsid w:val="00C50093"/>
    <w:rsid w:val="00C50175"/>
    <w:rsid w:val="00C50202"/>
    <w:rsid w:val="00C502E2"/>
    <w:rsid w:val="00C502E9"/>
    <w:rsid w:val="00C504E8"/>
    <w:rsid w:val="00C5074F"/>
    <w:rsid w:val="00C50839"/>
    <w:rsid w:val="00C50926"/>
    <w:rsid w:val="00C50C10"/>
    <w:rsid w:val="00C50C33"/>
    <w:rsid w:val="00C50D59"/>
    <w:rsid w:val="00C50D5F"/>
    <w:rsid w:val="00C50E1A"/>
    <w:rsid w:val="00C50E2B"/>
    <w:rsid w:val="00C5103E"/>
    <w:rsid w:val="00C51182"/>
    <w:rsid w:val="00C511A8"/>
    <w:rsid w:val="00C511CC"/>
    <w:rsid w:val="00C51290"/>
    <w:rsid w:val="00C512DC"/>
    <w:rsid w:val="00C513CD"/>
    <w:rsid w:val="00C514DE"/>
    <w:rsid w:val="00C514EA"/>
    <w:rsid w:val="00C5159A"/>
    <w:rsid w:val="00C51634"/>
    <w:rsid w:val="00C517AE"/>
    <w:rsid w:val="00C51936"/>
    <w:rsid w:val="00C51A53"/>
    <w:rsid w:val="00C51AB1"/>
    <w:rsid w:val="00C51B14"/>
    <w:rsid w:val="00C51B2A"/>
    <w:rsid w:val="00C51B8E"/>
    <w:rsid w:val="00C51BB9"/>
    <w:rsid w:val="00C51CA3"/>
    <w:rsid w:val="00C51CA4"/>
    <w:rsid w:val="00C51D56"/>
    <w:rsid w:val="00C51FE2"/>
    <w:rsid w:val="00C52030"/>
    <w:rsid w:val="00C5253F"/>
    <w:rsid w:val="00C52806"/>
    <w:rsid w:val="00C5293D"/>
    <w:rsid w:val="00C52984"/>
    <w:rsid w:val="00C529E6"/>
    <w:rsid w:val="00C52BB5"/>
    <w:rsid w:val="00C52BF9"/>
    <w:rsid w:val="00C52F31"/>
    <w:rsid w:val="00C530D4"/>
    <w:rsid w:val="00C5317B"/>
    <w:rsid w:val="00C53373"/>
    <w:rsid w:val="00C5362D"/>
    <w:rsid w:val="00C53662"/>
    <w:rsid w:val="00C53682"/>
    <w:rsid w:val="00C53766"/>
    <w:rsid w:val="00C53A8E"/>
    <w:rsid w:val="00C53A8F"/>
    <w:rsid w:val="00C53AFC"/>
    <w:rsid w:val="00C53C0D"/>
    <w:rsid w:val="00C53C99"/>
    <w:rsid w:val="00C53C9A"/>
    <w:rsid w:val="00C53CC3"/>
    <w:rsid w:val="00C53CEB"/>
    <w:rsid w:val="00C53D43"/>
    <w:rsid w:val="00C53F45"/>
    <w:rsid w:val="00C53F62"/>
    <w:rsid w:val="00C53F6B"/>
    <w:rsid w:val="00C53FD4"/>
    <w:rsid w:val="00C5402C"/>
    <w:rsid w:val="00C54044"/>
    <w:rsid w:val="00C5408F"/>
    <w:rsid w:val="00C541BC"/>
    <w:rsid w:val="00C54216"/>
    <w:rsid w:val="00C54280"/>
    <w:rsid w:val="00C54330"/>
    <w:rsid w:val="00C54466"/>
    <w:rsid w:val="00C54469"/>
    <w:rsid w:val="00C5458F"/>
    <w:rsid w:val="00C5488A"/>
    <w:rsid w:val="00C54977"/>
    <w:rsid w:val="00C549C9"/>
    <w:rsid w:val="00C54B06"/>
    <w:rsid w:val="00C54C01"/>
    <w:rsid w:val="00C54D0E"/>
    <w:rsid w:val="00C54D4A"/>
    <w:rsid w:val="00C54DBA"/>
    <w:rsid w:val="00C54DFE"/>
    <w:rsid w:val="00C551CB"/>
    <w:rsid w:val="00C55251"/>
    <w:rsid w:val="00C55253"/>
    <w:rsid w:val="00C553B4"/>
    <w:rsid w:val="00C5540F"/>
    <w:rsid w:val="00C5545D"/>
    <w:rsid w:val="00C556D9"/>
    <w:rsid w:val="00C556FB"/>
    <w:rsid w:val="00C55AA6"/>
    <w:rsid w:val="00C55AB9"/>
    <w:rsid w:val="00C55C6F"/>
    <w:rsid w:val="00C55DED"/>
    <w:rsid w:val="00C55F02"/>
    <w:rsid w:val="00C55F48"/>
    <w:rsid w:val="00C561CB"/>
    <w:rsid w:val="00C56493"/>
    <w:rsid w:val="00C56698"/>
    <w:rsid w:val="00C566CE"/>
    <w:rsid w:val="00C567E7"/>
    <w:rsid w:val="00C56965"/>
    <w:rsid w:val="00C56BE0"/>
    <w:rsid w:val="00C56BE1"/>
    <w:rsid w:val="00C56C5A"/>
    <w:rsid w:val="00C56D4D"/>
    <w:rsid w:val="00C56D57"/>
    <w:rsid w:val="00C56DA3"/>
    <w:rsid w:val="00C570A4"/>
    <w:rsid w:val="00C57538"/>
    <w:rsid w:val="00C5766E"/>
    <w:rsid w:val="00C57896"/>
    <w:rsid w:val="00C579AA"/>
    <w:rsid w:val="00C57ACF"/>
    <w:rsid w:val="00C57BD9"/>
    <w:rsid w:val="00C57C5E"/>
    <w:rsid w:val="00C57CCF"/>
    <w:rsid w:val="00C57E73"/>
    <w:rsid w:val="00C57EB1"/>
    <w:rsid w:val="00C57ED0"/>
    <w:rsid w:val="00C57FFC"/>
    <w:rsid w:val="00C60033"/>
    <w:rsid w:val="00C6009F"/>
    <w:rsid w:val="00C602C2"/>
    <w:rsid w:val="00C60496"/>
    <w:rsid w:val="00C604BF"/>
    <w:rsid w:val="00C605B7"/>
    <w:rsid w:val="00C6070B"/>
    <w:rsid w:val="00C6088A"/>
    <w:rsid w:val="00C60A5B"/>
    <w:rsid w:val="00C60BB4"/>
    <w:rsid w:val="00C60CCA"/>
    <w:rsid w:val="00C60CD3"/>
    <w:rsid w:val="00C60ED6"/>
    <w:rsid w:val="00C60EEF"/>
    <w:rsid w:val="00C60F05"/>
    <w:rsid w:val="00C60F7C"/>
    <w:rsid w:val="00C61348"/>
    <w:rsid w:val="00C615A2"/>
    <w:rsid w:val="00C618CD"/>
    <w:rsid w:val="00C61920"/>
    <w:rsid w:val="00C61955"/>
    <w:rsid w:val="00C61A10"/>
    <w:rsid w:val="00C61A36"/>
    <w:rsid w:val="00C61AA0"/>
    <w:rsid w:val="00C61CCD"/>
    <w:rsid w:val="00C61DEE"/>
    <w:rsid w:val="00C61EEF"/>
    <w:rsid w:val="00C62076"/>
    <w:rsid w:val="00C62077"/>
    <w:rsid w:val="00C620BA"/>
    <w:rsid w:val="00C62264"/>
    <w:rsid w:val="00C62478"/>
    <w:rsid w:val="00C6248E"/>
    <w:rsid w:val="00C624C2"/>
    <w:rsid w:val="00C6259C"/>
    <w:rsid w:val="00C6269B"/>
    <w:rsid w:val="00C62817"/>
    <w:rsid w:val="00C628D4"/>
    <w:rsid w:val="00C62A4E"/>
    <w:rsid w:val="00C62BA0"/>
    <w:rsid w:val="00C62C0A"/>
    <w:rsid w:val="00C62DEB"/>
    <w:rsid w:val="00C62FE6"/>
    <w:rsid w:val="00C631C2"/>
    <w:rsid w:val="00C63290"/>
    <w:rsid w:val="00C6329F"/>
    <w:rsid w:val="00C632FD"/>
    <w:rsid w:val="00C63371"/>
    <w:rsid w:val="00C63629"/>
    <w:rsid w:val="00C6389F"/>
    <w:rsid w:val="00C638EB"/>
    <w:rsid w:val="00C6399F"/>
    <w:rsid w:val="00C63BC3"/>
    <w:rsid w:val="00C63D29"/>
    <w:rsid w:val="00C63F93"/>
    <w:rsid w:val="00C63FBD"/>
    <w:rsid w:val="00C6419C"/>
    <w:rsid w:val="00C642F2"/>
    <w:rsid w:val="00C645CE"/>
    <w:rsid w:val="00C64757"/>
    <w:rsid w:val="00C648A5"/>
    <w:rsid w:val="00C649D1"/>
    <w:rsid w:val="00C64EAD"/>
    <w:rsid w:val="00C64F7C"/>
    <w:rsid w:val="00C65076"/>
    <w:rsid w:val="00C65374"/>
    <w:rsid w:val="00C653A3"/>
    <w:rsid w:val="00C65455"/>
    <w:rsid w:val="00C6546C"/>
    <w:rsid w:val="00C654A2"/>
    <w:rsid w:val="00C655C2"/>
    <w:rsid w:val="00C65700"/>
    <w:rsid w:val="00C658B0"/>
    <w:rsid w:val="00C65934"/>
    <w:rsid w:val="00C65985"/>
    <w:rsid w:val="00C65A80"/>
    <w:rsid w:val="00C65C33"/>
    <w:rsid w:val="00C65C6F"/>
    <w:rsid w:val="00C65D0F"/>
    <w:rsid w:val="00C65DB5"/>
    <w:rsid w:val="00C66284"/>
    <w:rsid w:val="00C66286"/>
    <w:rsid w:val="00C663EE"/>
    <w:rsid w:val="00C66664"/>
    <w:rsid w:val="00C6666F"/>
    <w:rsid w:val="00C6696E"/>
    <w:rsid w:val="00C66CA9"/>
    <w:rsid w:val="00C66DBE"/>
    <w:rsid w:val="00C66DD3"/>
    <w:rsid w:val="00C66FBF"/>
    <w:rsid w:val="00C670F3"/>
    <w:rsid w:val="00C673A9"/>
    <w:rsid w:val="00C673DB"/>
    <w:rsid w:val="00C674A1"/>
    <w:rsid w:val="00C67859"/>
    <w:rsid w:val="00C6790B"/>
    <w:rsid w:val="00C67967"/>
    <w:rsid w:val="00C67BA1"/>
    <w:rsid w:val="00C67C19"/>
    <w:rsid w:val="00C67D4B"/>
    <w:rsid w:val="00C67D57"/>
    <w:rsid w:val="00C67D7D"/>
    <w:rsid w:val="00C67D89"/>
    <w:rsid w:val="00C67DAB"/>
    <w:rsid w:val="00C67E52"/>
    <w:rsid w:val="00C67F19"/>
    <w:rsid w:val="00C67FBE"/>
    <w:rsid w:val="00C700B5"/>
    <w:rsid w:val="00C70151"/>
    <w:rsid w:val="00C7020B"/>
    <w:rsid w:val="00C7020F"/>
    <w:rsid w:val="00C704EF"/>
    <w:rsid w:val="00C705A4"/>
    <w:rsid w:val="00C70677"/>
    <w:rsid w:val="00C70694"/>
    <w:rsid w:val="00C709DD"/>
    <w:rsid w:val="00C70A58"/>
    <w:rsid w:val="00C70E44"/>
    <w:rsid w:val="00C70E9E"/>
    <w:rsid w:val="00C712B4"/>
    <w:rsid w:val="00C7130E"/>
    <w:rsid w:val="00C7134A"/>
    <w:rsid w:val="00C7135C"/>
    <w:rsid w:val="00C71585"/>
    <w:rsid w:val="00C715CA"/>
    <w:rsid w:val="00C716C4"/>
    <w:rsid w:val="00C71AB2"/>
    <w:rsid w:val="00C71F75"/>
    <w:rsid w:val="00C721C2"/>
    <w:rsid w:val="00C72265"/>
    <w:rsid w:val="00C722A1"/>
    <w:rsid w:val="00C72364"/>
    <w:rsid w:val="00C724CB"/>
    <w:rsid w:val="00C724CF"/>
    <w:rsid w:val="00C7250C"/>
    <w:rsid w:val="00C725D9"/>
    <w:rsid w:val="00C7274A"/>
    <w:rsid w:val="00C7275E"/>
    <w:rsid w:val="00C7291D"/>
    <w:rsid w:val="00C72A50"/>
    <w:rsid w:val="00C72A73"/>
    <w:rsid w:val="00C72AE1"/>
    <w:rsid w:val="00C72D36"/>
    <w:rsid w:val="00C72E0B"/>
    <w:rsid w:val="00C72E20"/>
    <w:rsid w:val="00C72E45"/>
    <w:rsid w:val="00C72F02"/>
    <w:rsid w:val="00C72FB2"/>
    <w:rsid w:val="00C72FD2"/>
    <w:rsid w:val="00C731CB"/>
    <w:rsid w:val="00C7356D"/>
    <w:rsid w:val="00C73A54"/>
    <w:rsid w:val="00C73AFF"/>
    <w:rsid w:val="00C73D17"/>
    <w:rsid w:val="00C73D21"/>
    <w:rsid w:val="00C7492B"/>
    <w:rsid w:val="00C749AA"/>
    <w:rsid w:val="00C749E8"/>
    <w:rsid w:val="00C75001"/>
    <w:rsid w:val="00C750D1"/>
    <w:rsid w:val="00C75101"/>
    <w:rsid w:val="00C7515F"/>
    <w:rsid w:val="00C75265"/>
    <w:rsid w:val="00C7540B"/>
    <w:rsid w:val="00C754A1"/>
    <w:rsid w:val="00C755CC"/>
    <w:rsid w:val="00C75ADD"/>
    <w:rsid w:val="00C75AE5"/>
    <w:rsid w:val="00C75BBF"/>
    <w:rsid w:val="00C75C09"/>
    <w:rsid w:val="00C75DBF"/>
    <w:rsid w:val="00C75EB0"/>
    <w:rsid w:val="00C75F1E"/>
    <w:rsid w:val="00C762B7"/>
    <w:rsid w:val="00C762EA"/>
    <w:rsid w:val="00C764B2"/>
    <w:rsid w:val="00C76511"/>
    <w:rsid w:val="00C76527"/>
    <w:rsid w:val="00C7653D"/>
    <w:rsid w:val="00C7656F"/>
    <w:rsid w:val="00C766AF"/>
    <w:rsid w:val="00C769AB"/>
    <w:rsid w:val="00C76AA9"/>
    <w:rsid w:val="00C76C88"/>
    <w:rsid w:val="00C76DD1"/>
    <w:rsid w:val="00C76E18"/>
    <w:rsid w:val="00C770A3"/>
    <w:rsid w:val="00C770E6"/>
    <w:rsid w:val="00C773EA"/>
    <w:rsid w:val="00C77454"/>
    <w:rsid w:val="00C77481"/>
    <w:rsid w:val="00C779FC"/>
    <w:rsid w:val="00C77A47"/>
    <w:rsid w:val="00C77A57"/>
    <w:rsid w:val="00C77A90"/>
    <w:rsid w:val="00C77C81"/>
    <w:rsid w:val="00C77E33"/>
    <w:rsid w:val="00C77E71"/>
    <w:rsid w:val="00C800B6"/>
    <w:rsid w:val="00C80163"/>
    <w:rsid w:val="00C801CA"/>
    <w:rsid w:val="00C80248"/>
    <w:rsid w:val="00C802A6"/>
    <w:rsid w:val="00C80304"/>
    <w:rsid w:val="00C805B8"/>
    <w:rsid w:val="00C80658"/>
    <w:rsid w:val="00C8075A"/>
    <w:rsid w:val="00C808FE"/>
    <w:rsid w:val="00C80B12"/>
    <w:rsid w:val="00C80B38"/>
    <w:rsid w:val="00C80CB8"/>
    <w:rsid w:val="00C80D20"/>
    <w:rsid w:val="00C80D87"/>
    <w:rsid w:val="00C80E63"/>
    <w:rsid w:val="00C80EE8"/>
    <w:rsid w:val="00C80F33"/>
    <w:rsid w:val="00C81187"/>
    <w:rsid w:val="00C811B0"/>
    <w:rsid w:val="00C81360"/>
    <w:rsid w:val="00C81773"/>
    <w:rsid w:val="00C819A4"/>
    <w:rsid w:val="00C819EA"/>
    <w:rsid w:val="00C81B7B"/>
    <w:rsid w:val="00C81B8E"/>
    <w:rsid w:val="00C81C06"/>
    <w:rsid w:val="00C81C13"/>
    <w:rsid w:val="00C81C9E"/>
    <w:rsid w:val="00C81F50"/>
    <w:rsid w:val="00C81F6A"/>
    <w:rsid w:val="00C81F7A"/>
    <w:rsid w:val="00C81F93"/>
    <w:rsid w:val="00C82355"/>
    <w:rsid w:val="00C82403"/>
    <w:rsid w:val="00C82505"/>
    <w:rsid w:val="00C82631"/>
    <w:rsid w:val="00C82680"/>
    <w:rsid w:val="00C826BB"/>
    <w:rsid w:val="00C827BF"/>
    <w:rsid w:val="00C82803"/>
    <w:rsid w:val="00C82895"/>
    <w:rsid w:val="00C82C74"/>
    <w:rsid w:val="00C82D40"/>
    <w:rsid w:val="00C82DCA"/>
    <w:rsid w:val="00C82F1D"/>
    <w:rsid w:val="00C82FA4"/>
    <w:rsid w:val="00C83059"/>
    <w:rsid w:val="00C83098"/>
    <w:rsid w:val="00C83129"/>
    <w:rsid w:val="00C8315F"/>
    <w:rsid w:val="00C83223"/>
    <w:rsid w:val="00C8332F"/>
    <w:rsid w:val="00C833E1"/>
    <w:rsid w:val="00C835C3"/>
    <w:rsid w:val="00C835CB"/>
    <w:rsid w:val="00C836AD"/>
    <w:rsid w:val="00C836E6"/>
    <w:rsid w:val="00C837DC"/>
    <w:rsid w:val="00C83941"/>
    <w:rsid w:val="00C839B2"/>
    <w:rsid w:val="00C83AD0"/>
    <w:rsid w:val="00C83EDC"/>
    <w:rsid w:val="00C84277"/>
    <w:rsid w:val="00C84295"/>
    <w:rsid w:val="00C8430B"/>
    <w:rsid w:val="00C843D2"/>
    <w:rsid w:val="00C844B6"/>
    <w:rsid w:val="00C84577"/>
    <w:rsid w:val="00C84736"/>
    <w:rsid w:val="00C84A37"/>
    <w:rsid w:val="00C84BEF"/>
    <w:rsid w:val="00C84E5B"/>
    <w:rsid w:val="00C84F94"/>
    <w:rsid w:val="00C850EB"/>
    <w:rsid w:val="00C851DA"/>
    <w:rsid w:val="00C85263"/>
    <w:rsid w:val="00C85322"/>
    <w:rsid w:val="00C85343"/>
    <w:rsid w:val="00C854CA"/>
    <w:rsid w:val="00C8576C"/>
    <w:rsid w:val="00C85790"/>
    <w:rsid w:val="00C859C6"/>
    <w:rsid w:val="00C85A91"/>
    <w:rsid w:val="00C85B07"/>
    <w:rsid w:val="00C85BF8"/>
    <w:rsid w:val="00C85ED9"/>
    <w:rsid w:val="00C85FD9"/>
    <w:rsid w:val="00C86060"/>
    <w:rsid w:val="00C86245"/>
    <w:rsid w:val="00C86276"/>
    <w:rsid w:val="00C8628A"/>
    <w:rsid w:val="00C862D3"/>
    <w:rsid w:val="00C866B0"/>
    <w:rsid w:val="00C866DC"/>
    <w:rsid w:val="00C86720"/>
    <w:rsid w:val="00C8687E"/>
    <w:rsid w:val="00C8693D"/>
    <w:rsid w:val="00C8694C"/>
    <w:rsid w:val="00C86988"/>
    <w:rsid w:val="00C86A11"/>
    <w:rsid w:val="00C86AE9"/>
    <w:rsid w:val="00C86BDF"/>
    <w:rsid w:val="00C86DA7"/>
    <w:rsid w:val="00C8703D"/>
    <w:rsid w:val="00C87043"/>
    <w:rsid w:val="00C87048"/>
    <w:rsid w:val="00C8718D"/>
    <w:rsid w:val="00C872DE"/>
    <w:rsid w:val="00C87408"/>
    <w:rsid w:val="00C87544"/>
    <w:rsid w:val="00C876A0"/>
    <w:rsid w:val="00C876B6"/>
    <w:rsid w:val="00C876D6"/>
    <w:rsid w:val="00C878C1"/>
    <w:rsid w:val="00C87958"/>
    <w:rsid w:val="00C87989"/>
    <w:rsid w:val="00C879EF"/>
    <w:rsid w:val="00C87C5F"/>
    <w:rsid w:val="00C87DBF"/>
    <w:rsid w:val="00C87E40"/>
    <w:rsid w:val="00C87E7A"/>
    <w:rsid w:val="00C90169"/>
    <w:rsid w:val="00C90610"/>
    <w:rsid w:val="00C9077F"/>
    <w:rsid w:val="00C908C8"/>
    <w:rsid w:val="00C909F0"/>
    <w:rsid w:val="00C90C40"/>
    <w:rsid w:val="00C90D88"/>
    <w:rsid w:val="00C90DB9"/>
    <w:rsid w:val="00C90E6E"/>
    <w:rsid w:val="00C90F34"/>
    <w:rsid w:val="00C910B2"/>
    <w:rsid w:val="00C911EF"/>
    <w:rsid w:val="00C91301"/>
    <w:rsid w:val="00C91373"/>
    <w:rsid w:val="00C91575"/>
    <w:rsid w:val="00C91621"/>
    <w:rsid w:val="00C91B75"/>
    <w:rsid w:val="00C91CD9"/>
    <w:rsid w:val="00C91CE2"/>
    <w:rsid w:val="00C91D49"/>
    <w:rsid w:val="00C91D86"/>
    <w:rsid w:val="00C91F32"/>
    <w:rsid w:val="00C9200F"/>
    <w:rsid w:val="00C920BD"/>
    <w:rsid w:val="00C92464"/>
    <w:rsid w:val="00C924A6"/>
    <w:rsid w:val="00C92725"/>
    <w:rsid w:val="00C92769"/>
    <w:rsid w:val="00C92929"/>
    <w:rsid w:val="00C92947"/>
    <w:rsid w:val="00C92F4F"/>
    <w:rsid w:val="00C92FE4"/>
    <w:rsid w:val="00C932FF"/>
    <w:rsid w:val="00C934E3"/>
    <w:rsid w:val="00C93880"/>
    <w:rsid w:val="00C938F4"/>
    <w:rsid w:val="00C93C3B"/>
    <w:rsid w:val="00C93E45"/>
    <w:rsid w:val="00C93E58"/>
    <w:rsid w:val="00C93EDF"/>
    <w:rsid w:val="00C93F82"/>
    <w:rsid w:val="00C941EC"/>
    <w:rsid w:val="00C94213"/>
    <w:rsid w:val="00C9427C"/>
    <w:rsid w:val="00C943F2"/>
    <w:rsid w:val="00C9443C"/>
    <w:rsid w:val="00C94865"/>
    <w:rsid w:val="00C948DB"/>
    <w:rsid w:val="00C9491C"/>
    <w:rsid w:val="00C9493B"/>
    <w:rsid w:val="00C94ED1"/>
    <w:rsid w:val="00C952E2"/>
    <w:rsid w:val="00C95580"/>
    <w:rsid w:val="00C955EA"/>
    <w:rsid w:val="00C9582C"/>
    <w:rsid w:val="00C9594B"/>
    <w:rsid w:val="00C95970"/>
    <w:rsid w:val="00C95A43"/>
    <w:rsid w:val="00C95B82"/>
    <w:rsid w:val="00C95BCA"/>
    <w:rsid w:val="00C95CE8"/>
    <w:rsid w:val="00C95DB9"/>
    <w:rsid w:val="00C95E67"/>
    <w:rsid w:val="00C95E6A"/>
    <w:rsid w:val="00C95EBC"/>
    <w:rsid w:val="00C95FF1"/>
    <w:rsid w:val="00C960F8"/>
    <w:rsid w:val="00C9617E"/>
    <w:rsid w:val="00C96189"/>
    <w:rsid w:val="00C961E1"/>
    <w:rsid w:val="00C96540"/>
    <w:rsid w:val="00C965C8"/>
    <w:rsid w:val="00C965CE"/>
    <w:rsid w:val="00C966D4"/>
    <w:rsid w:val="00C96782"/>
    <w:rsid w:val="00C967FF"/>
    <w:rsid w:val="00C96883"/>
    <w:rsid w:val="00C969E7"/>
    <w:rsid w:val="00C96A37"/>
    <w:rsid w:val="00C96B76"/>
    <w:rsid w:val="00C96B88"/>
    <w:rsid w:val="00C96BD0"/>
    <w:rsid w:val="00C96E03"/>
    <w:rsid w:val="00C96EC6"/>
    <w:rsid w:val="00C96F79"/>
    <w:rsid w:val="00C970F7"/>
    <w:rsid w:val="00C97196"/>
    <w:rsid w:val="00C9728C"/>
    <w:rsid w:val="00C9739C"/>
    <w:rsid w:val="00C97520"/>
    <w:rsid w:val="00C9768B"/>
    <w:rsid w:val="00C97696"/>
    <w:rsid w:val="00C97778"/>
    <w:rsid w:val="00C97803"/>
    <w:rsid w:val="00C978C0"/>
    <w:rsid w:val="00C979A9"/>
    <w:rsid w:val="00C97BA4"/>
    <w:rsid w:val="00C97E61"/>
    <w:rsid w:val="00C97EE4"/>
    <w:rsid w:val="00CA0158"/>
    <w:rsid w:val="00CA0310"/>
    <w:rsid w:val="00CA03A1"/>
    <w:rsid w:val="00CA045D"/>
    <w:rsid w:val="00CA07FA"/>
    <w:rsid w:val="00CA0839"/>
    <w:rsid w:val="00CA0A1F"/>
    <w:rsid w:val="00CA0A3B"/>
    <w:rsid w:val="00CA0ADE"/>
    <w:rsid w:val="00CA0BBD"/>
    <w:rsid w:val="00CA0C69"/>
    <w:rsid w:val="00CA0CDF"/>
    <w:rsid w:val="00CA0EF6"/>
    <w:rsid w:val="00CA0FBC"/>
    <w:rsid w:val="00CA10E5"/>
    <w:rsid w:val="00CA116C"/>
    <w:rsid w:val="00CA11E4"/>
    <w:rsid w:val="00CA123D"/>
    <w:rsid w:val="00CA12E9"/>
    <w:rsid w:val="00CA133B"/>
    <w:rsid w:val="00CA140B"/>
    <w:rsid w:val="00CA1561"/>
    <w:rsid w:val="00CA1657"/>
    <w:rsid w:val="00CA16B9"/>
    <w:rsid w:val="00CA1890"/>
    <w:rsid w:val="00CA18FC"/>
    <w:rsid w:val="00CA1D7B"/>
    <w:rsid w:val="00CA1E16"/>
    <w:rsid w:val="00CA2084"/>
    <w:rsid w:val="00CA21C1"/>
    <w:rsid w:val="00CA21D6"/>
    <w:rsid w:val="00CA23AD"/>
    <w:rsid w:val="00CA26A4"/>
    <w:rsid w:val="00CA271E"/>
    <w:rsid w:val="00CA2992"/>
    <w:rsid w:val="00CA2A47"/>
    <w:rsid w:val="00CA2B43"/>
    <w:rsid w:val="00CA2BBA"/>
    <w:rsid w:val="00CA2BCA"/>
    <w:rsid w:val="00CA2C42"/>
    <w:rsid w:val="00CA2D6A"/>
    <w:rsid w:val="00CA2ECB"/>
    <w:rsid w:val="00CA3001"/>
    <w:rsid w:val="00CA3154"/>
    <w:rsid w:val="00CA33DD"/>
    <w:rsid w:val="00CA3557"/>
    <w:rsid w:val="00CA36EF"/>
    <w:rsid w:val="00CA377F"/>
    <w:rsid w:val="00CA3A18"/>
    <w:rsid w:val="00CA3CD2"/>
    <w:rsid w:val="00CA3F33"/>
    <w:rsid w:val="00CA3FA7"/>
    <w:rsid w:val="00CA4222"/>
    <w:rsid w:val="00CA4260"/>
    <w:rsid w:val="00CA45BC"/>
    <w:rsid w:val="00CA478D"/>
    <w:rsid w:val="00CA4AA5"/>
    <w:rsid w:val="00CA4E52"/>
    <w:rsid w:val="00CA4EF5"/>
    <w:rsid w:val="00CA506E"/>
    <w:rsid w:val="00CA5167"/>
    <w:rsid w:val="00CA53D9"/>
    <w:rsid w:val="00CA5407"/>
    <w:rsid w:val="00CA54DA"/>
    <w:rsid w:val="00CA5629"/>
    <w:rsid w:val="00CA59E4"/>
    <w:rsid w:val="00CA5BD3"/>
    <w:rsid w:val="00CA5F7F"/>
    <w:rsid w:val="00CA6066"/>
    <w:rsid w:val="00CA60F3"/>
    <w:rsid w:val="00CA6174"/>
    <w:rsid w:val="00CA624F"/>
    <w:rsid w:val="00CA6285"/>
    <w:rsid w:val="00CA6956"/>
    <w:rsid w:val="00CA699E"/>
    <w:rsid w:val="00CA6A8C"/>
    <w:rsid w:val="00CA6ABB"/>
    <w:rsid w:val="00CA6B9D"/>
    <w:rsid w:val="00CA6FB9"/>
    <w:rsid w:val="00CA6FE5"/>
    <w:rsid w:val="00CA70BB"/>
    <w:rsid w:val="00CA7119"/>
    <w:rsid w:val="00CA715E"/>
    <w:rsid w:val="00CA73B9"/>
    <w:rsid w:val="00CA7494"/>
    <w:rsid w:val="00CA7543"/>
    <w:rsid w:val="00CA754B"/>
    <w:rsid w:val="00CA768C"/>
    <w:rsid w:val="00CA7A3F"/>
    <w:rsid w:val="00CA7AA8"/>
    <w:rsid w:val="00CA7AD4"/>
    <w:rsid w:val="00CA7AF5"/>
    <w:rsid w:val="00CA7B0C"/>
    <w:rsid w:val="00CA7B77"/>
    <w:rsid w:val="00CA7C36"/>
    <w:rsid w:val="00CA7CB5"/>
    <w:rsid w:val="00CA7CD2"/>
    <w:rsid w:val="00CA7EA9"/>
    <w:rsid w:val="00CA7EB4"/>
    <w:rsid w:val="00CA7FDA"/>
    <w:rsid w:val="00CB02AB"/>
    <w:rsid w:val="00CB0511"/>
    <w:rsid w:val="00CB0866"/>
    <w:rsid w:val="00CB08F3"/>
    <w:rsid w:val="00CB09B4"/>
    <w:rsid w:val="00CB0A22"/>
    <w:rsid w:val="00CB0A3A"/>
    <w:rsid w:val="00CB0C9B"/>
    <w:rsid w:val="00CB0DEC"/>
    <w:rsid w:val="00CB0E20"/>
    <w:rsid w:val="00CB0F1D"/>
    <w:rsid w:val="00CB0FBC"/>
    <w:rsid w:val="00CB0FDA"/>
    <w:rsid w:val="00CB0FF5"/>
    <w:rsid w:val="00CB1190"/>
    <w:rsid w:val="00CB128A"/>
    <w:rsid w:val="00CB136B"/>
    <w:rsid w:val="00CB13A0"/>
    <w:rsid w:val="00CB1421"/>
    <w:rsid w:val="00CB14BA"/>
    <w:rsid w:val="00CB1578"/>
    <w:rsid w:val="00CB1646"/>
    <w:rsid w:val="00CB1895"/>
    <w:rsid w:val="00CB1B19"/>
    <w:rsid w:val="00CB1C52"/>
    <w:rsid w:val="00CB1D2A"/>
    <w:rsid w:val="00CB203F"/>
    <w:rsid w:val="00CB2413"/>
    <w:rsid w:val="00CB264D"/>
    <w:rsid w:val="00CB2923"/>
    <w:rsid w:val="00CB2BAA"/>
    <w:rsid w:val="00CB2C04"/>
    <w:rsid w:val="00CB2ECF"/>
    <w:rsid w:val="00CB2EF9"/>
    <w:rsid w:val="00CB30C6"/>
    <w:rsid w:val="00CB3124"/>
    <w:rsid w:val="00CB3187"/>
    <w:rsid w:val="00CB325D"/>
    <w:rsid w:val="00CB33C6"/>
    <w:rsid w:val="00CB3414"/>
    <w:rsid w:val="00CB3448"/>
    <w:rsid w:val="00CB348E"/>
    <w:rsid w:val="00CB373D"/>
    <w:rsid w:val="00CB383B"/>
    <w:rsid w:val="00CB3927"/>
    <w:rsid w:val="00CB398F"/>
    <w:rsid w:val="00CB3A15"/>
    <w:rsid w:val="00CB3AB8"/>
    <w:rsid w:val="00CB3B0A"/>
    <w:rsid w:val="00CB3B74"/>
    <w:rsid w:val="00CB3C0F"/>
    <w:rsid w:val="00CB3C67"/>
    <w:rsid w:val="00CB3E0D"/>
    <w:rsid w:val="00CB4073"/>
    <w:rsid w:val="00CB40BF"/>
    <w:rsid w:val="00CB421F"/>
    <w:rsid w:val="00CB42ED"/>
    <w:rsid w:val="00CB43E1"/>
    <w:rsid w:val="00CB4421"/>
    <w:rsid w:val="00CB47ED"/>
    <w:rsid w:val="00CB497F"/>
    <w:rsid w:val="00CB4C11"/>
    <w:rsid w:val="00CB4F27"/>
    <w:rsid w:val="00CB5232"/>
    <w:rsid w:val="00CB540E"/>
    <w:rsid w:val="00CB5434"/>
    <w:rsid w:val="00CB5488"/>
    <w:rsid w:val="00CB574D"/>
    <w:rsid w:val="00CB57E6"/>
    <w:rsid w:val="00CB5899"/>
    <w:rsid w:val="00CB58C8"/>
    <w:rsid w:val="00CB58F5"/>
    <w:rsid w:val="00CB5963"/>
    <w:rsid w:val="00CB5BA0"/>
    <w:rsid w:val="00CB5C3E"/>
    <w:rsid w:val="00CB5CF0"/>
    <w:rsid w:val="00CB5F44"/>
    <w:rsid w:val="00CB64F9"/>
    <w:rsid w:val="00CB6628"/>
    <w:rsid w:val="00CB680B"/>
    <w:rsid w:val="00CB68A9"/>
    <w:rsid w:val="00CB68B3"/>
    <w:rsid w:val="00CB695E"/>
    <w:rsid w:val="00CB6997"/>
    <w:rsid w:val="00CB6C6B"/>
    <w:rsid w:val="00CB6D8C"/>
    <w:rsid w:val="00CB6DF8"/>
    <w:rsid w:val="00CB6E25"/>
    <w:rsid w:val="00CB6F55"/>
    <w:rsid w:val="00CB70EF"/>
    <w:rsid w:val="00CB73A4"/>
    <w:rsid w:val="00CB7759"/>
    <w:rsid w:val="00CB77D3"/>
    <w:rsid w:val="00CB79CA"/>
    <w:rsid w:val="00CB7BA9"/>
    <w:rsid w:val="00CB7BAA"/>
    <w:rsid w:val="00CB7CF8"/>
    <w:rsid w:val="00CB7D49"/>
    <w:rsid w:val="00CB7D95"/>
    <w:rsid w:val="00CB7E68"/>
    <w:rsid w:val="00CC013E"/>
    <w:rsid w:val="00CC015D"/>
    <w:rsid w:val="00CC017A"/>
    <w:rsid w:val="00CC024E"/>
    <w:rsid w:val="00CC0541"/>
    <w:rsid w:val="00CC0593"/>
    <w:rsid w:val="00CC071E"/>
    <w:rsid w:val="00CC073B"/>
    <w:rsid w:val="00CC082E"/>
    <w:rsid w:val="00CC0950"/>
    <w:rsid w:val="00CC095E"/>
    <w:rsid w:val="00CC099F"/>
    <w:rsid w:val="00CC0BA6"/>
    <w:rsid w:val="00CC0C76"/>
    <w:rsid w:val="00CC0C9B"/>
    <w:rsid w:val="00CC0D92"/>
    <w:rsid w:val="00CC0E6E"/>
    <w:rsid w:val="00CC0FEE"/>
    <w:rsid w:val="00CC1592"/>
    <w:rsid w:val="00CC1696"/>
    <w:rsid w:val="00CC1A66"/>
    <w:rsid w:val="00CC1A85"/>
    <w:rsid w:val="00CC1AA2"/>
    <w:rsid w:val="00CC1B27"/>
    <w:rsid w:val="00CC1B97"/>
    <w:rsid w:val="00CC1DA6"/>
    <w:rsid w:val="00CC1EC0"/>
    <w:rsid w:val="00CC1F00"/>
    <w:rsid w:val="00CC20A9"/>
    <w:rsid w:val="00CC2138"/>
    <w:rsid w:val="00CC21D2"/>
    <w:rsid w:val="00CC248D"/>
    <w:rsid w:val="00CC293C"/>
    <w:rsid w:val="00CC29D2"/>
    <w:rsid w:val="00CC2C68"/>
    <w:rsid w:val="00CC2DE8"/>
    <w:rsid w:val="00CC2EC8"/>
    <w:rsid w:val="00CC2F94"/>
    <w:rsid w:val="00CC2FA5"/>
    <w:rsid w:val="00CC2FCF"/>
    <w:rsid w:val="00CC3082"/>
    <w:rsid w:val="00CC309F"/>
    <w:rsid w:val="00CC31AB"/>
    <w:rsid w:val="00CC3243"/>
    <w:rsid w:val="00CC3296"/>
    <w:rsid w:val="00CC32EE"/>
    <w:rsid w:val="00CC32F2"/>
    <w:rsid w:val="00CC336A"/>
    <w:rsid w:val="00CC338E"/>
    <w:rsid w:val="00CC33DD"/>
    <w:rsid w:val="00CC34C3"/>
    <w:rsid w:val="00CC3529"/>
    <w:rsid w:val="00CC389F"/>
    <w:rsid w:val="00CC38E7"/>
    <w:rsid w:val="00CC395D"/>
    <w:rsid w:val="00CC3B5F"/>
    <w:rsid w:val="00CC3BD5"/>
    <w:rsid w:val="00CC3C07"/>
    <w:rsid w:val="00CC3CC0"/>
    <w:rsid w:val="00CC3D28"/>
    <w:rsid w:val="00CC3DEF"/>
    <w:rsid w:val="00CC3EA2"/>
    <w:rsid w:val="00CC4200"/>
    <w:rsid w:val="00CC429D"/>
    <w:rsid w:val="00CC42C1"/>
    <w:rsid w:val="00CC4386"/>
    <w:rsid w:val="00CC43D9"/>
    <w:rsid w:val="00CC4815"/>
    <w:rsid w:val="00CC484A"/>
    <w:rsid w:val="00CC4997"/>
    <w:rsid w:val="00CC499F"/>
    <w:rsid w:val="00CC49CA"/>
    <w:rsid w:val="00CC4A22"/>
    <w:rsid w:val="00CC4A45"/>
    <w:rsid w:val="00CC4ABF"/>
    <w:rsid w:val="00CC4BF4"/>
    <w:rsid w:val="00CC51D6"/>
    <w:rsid w:val="00CC5530"/>
    <w:rsid w:val="00CC570B"/>
    <w:rsid w:val="00CC5744"/>
    <w:rsid w:val="00CC591C"/>
    <w:rsid w:val="00CC5AB9"/>
    <w:rsid w:val="00CC5BAF"/>
    <w:rsid w:val="00CC5CD9"/>
    <w:rsid w:val="00CC5E5B"/>
    <w:rsid w:val="00CC5E79"/>
    <w:rsid w:val="00CC5F84"/>
    <w:rsid w:val="00CC60FE"/>
    <w:rsid w:val="00CC61FC"/>
    <w:rsid w:val="00CC6392"/>
    <w:rsid w:val="00CC645B"/>
    <w:rsid w:val="00CC64C6"/>
    <w:rsid w:val="00CC6581"/>
    <w:rsid w:val="00CC681B"/>
    <w:rsid w:val="00CC6995"/>
    <w:rsid w:val="00CC69FF"/>
    <w:rsid w:val="00CC6AAC"/>
    <w:rsid w:val="00CC6BFB"/>
    <w:rsid w:val="00CC6D94"/>
    <w:rsid w:val="00CC73C7"/>
    <w:rsid w:val="00CC73E9"/>
    <w:rsid w:val="00CC7479"/>
    <w:rsid w:val="00CC75AC"/>
    <w:rsid w:val="00CC761A"/>
    <w:rsid w:val="00CC7911"/>
    <w:rsid w:val="00CC79AA"/>
    <w:rsid w:val="00CC7A3A"/>
    <w:rsid w:val="00CC7B96"/>
    <w:rsid w:val="00CC7D1E"/>
    <w:rsid w:val="00CC7D44"/>
    <w:rsid w:val="00CC7D8E"/>
    <w:rsid w:val="00CC7DAF"/>
    <w:rsid w:val="00CD019E"/>
    <w:rsid w:val="00CD02C3"/>
    <w:rsid w:val="00CD02D8"/>
    <w:rsid w:val="00CD09F7"/>
    <w:rsid w:val="00CD0BF2"/>
    <w:rsid w:val="00CD0C53"/>
    <w:rsid w:val="00CD0ECC"/>
    <w:rsid w:val="00CD0F27"/>
    <w:rsid w:val="00CD0FA6"/>
    <w:rsid w:val="00CD1202"/>
    <w:rsid w:val="00CD120A"/>
    <w:rsid w:val="00CD1238"/>
    <w:rsid w:val="00CD1284"/>
    <w:rsid w:val="00CD1289"/>
    <w:rsid w:val="00CD1366"/>
    <w:rsid w:val="00CD13D4"/>
    <w:rsid w:val="00CD13E5"/>
    <w:rsid w:val="00CD140E"/>
    <w:rsid w:val="00CD1624"/>
    <w:rsid w:val="00CD1715"/>
    <w:rsid w:val="00CD17FA"/>
    <w:rsid w:val="00CD19F5"/>
    <w:rsid w:val="00CD1AD4"/>
    <w:rsid w:val="00CD1BFC"/>
    <w:rsid w:val="00CD1D5E"/>
    <w:rsid w:val="00CD1EC9"/>
    <w:rsid w:val="00CD1EDF"/>
    <w:rsid w:val="00CD1FB1"/>
    <w:rsid w:val="00CD20C6"/>
    <w:rsid w:val="00CD20DE"/>
    <w:rsid w:val="00CD2245"/>
    <w:rsid w:val="00CD2487"/>
    <w:rsid w:val="00CD2500"/>
    <w:rsid w:val="00CD2614"/>
    <w:rsid w:val="00CD26C9"/>
    <w:rsid w:val="00CD2791"/>
    <w:rsid w:val="00CD2792"/>
    <w:rsid w:val="00CD2896"/>
    <w:rsid w:val="00CD2C15"/>
    <w:rsid w:val="00CD2C37"/>
    <w:rsid w:val="00CD2DD4"/>
    <w:rsid w:val="00CD31D6"/>
    <w:rsid w:val="00CD33BC"/>
    <w:rsid w:val="00CD3416"/>
    <w:rsid w:val="00CD34C6"/>
    <w:rsid w:val="00CD3696"/>
    <w:rsid w:val="00CD371D"/>
    <w:rsid w:val="00CD3789"/>
    <w:rsid w:val="00CD3888"/>
    <w:rsid w:val="00CD38AE"/>
    <w:rsid w:val="00CD3AB2"/>
    <w:rsid w:val="00CD3B26"/>
    <w:rsid w:val="00CD3E4B"/>
    <w:rsid w:val="00CD3F64"/>
    <w:rsid w:val="00CD422B"/>
    <w:rsid w:val="00CD4238"/>
    <w:rsid w:val="00CD427B"/>
    <w:rsid w:val="00CD45AE"/>
    <w:rsid w:val="00CD45C6"/>
    <w:rsid w:val="00CD4623"/>
    <w:rsid w:val="00CD470A"/>
    <w:rsid w:val="00CD481E"/>
    <w:rsid w:val="00CD4A1E"/>
    <w:rsid w:val="00CD4A70"/>
    <w:rsid w:val="00CD4C32"/>
    <w:rsid w:val="00CD4CC6"/>
    <w:rsid w:val="00CD4DE6"/>
    <w:rsid w:val="00CD4EBB"/>
    <w:rsid w:val="00CD4EE9"/>
    <w:rsid w:val="00CD4FA2"/>
    <w:rsid w:val="00CD533E"/>
    <w:rsid w:val="00CD5406"/>
    <w:rsid w:val="00CD544F"/>
    <w:rsid w:val="00CD54FC"/>
    <w:rsid w:val="00CD564C"/>
    <w:rsid w:val="00CD5848"/>
    <w:rsid w:val="00CD5939"/>
    <w:rsid w:val="00CD5DF2"/>
    <w:rsid w:val="00CD5DFD"/>
    <w:rsid w:val="00CD5E08"/>
    <w:rsid w:val="00CD5F5D"/>
    <w:rsid w:val="00CD6123"/>
    <w:rsid w:val="00CD61E0"/>
    <w:rsid w:val="00CD6201"/>
    <w:rsid w:val="00CD620B"/>
    <w:rsid w:val="00CD623D"/>
    <w:rsid w:val="00CD633E"/>
    <w:rsid w:val="00CD66F1"/>
    <w:rsid w:val="00CD676F"/>
    <w:rsid w:val="00CD6773"/>
    <w:rsid w:val="00CD67FF"/>
    <w:rsid w:val="00CD6A15"/>
    <w:rsid w:val="00CD6AA4"/>
    <w:rsid w:val="00CD6DB1"/>
    <w:rsid w:val="00CD6E57"/>
    <w:rsid w:val="00CD7069"/>
    <w:rsid w:val="00CD7092"/>
    <w:rsid w:val="00CD71E6"/>
    <w:rsid w:val="00CD7205"/>
    <w:rsid w:val="00CD74D4"/>
    <w:rsid w:val="00CD7585"/>
    <w:rsid w:val="00CD7710"/>
    <w:rsid w:val="00CD79C0"/>
    <w:rsid w:val="00CD7A2C"/>
    <w:rsid w:val="00CD7B21"/>
    <w:rsid w:val="00CD7BD5"/>
    <w:rsid w:val="00CD7BF4"/>
    <w:rsid w:val="00CD7C41"/>
    <w:rsid w:val="00CD7D73"/>
    <w:rsid w:val="00CD7DAE"/>
    <w:rsid w:val="00CD7DFA"/>
    <w:rsid w:val="00CD7E03"/>
    <w:rsid w:val="00CD7E9B"/>
    <w:rsid w:val="00CD7F16"/>
    <w:rsid w:val="00CE0034"/>
    <w:rsid w:val="00CE0040"/>
    <w:rsid w:val="00CE006E"/>
    <w:rsid w:val="00CE022C"/>
    <w:rsid w:val="00CE031B"/>
    <w:rsid w:val="00CE03A7"/>
    <w:rsid w:val="00CE048A"/>
    <w:rsid w:val="00CE0672"/>
    <w:rsid w:val="00CE06E4"/>
    <w:rsid w:val="00CE0806"/>
    <w:rsid w:val="00CE0ADC"/>
    <w:rsid w:val="00CE0C6F"/>
    <w:rsid w:val="00CE0D49"/>
    <w:rsid w:val="00CE0DCC"/>
    <w:rsid w:val="00CE10F7"/>
    <w:rsid w:val="00CE1129"/>
    <w:rsid w:val="00CE13FB"/>
    <w:rsid w:val="00CE156C"/>
    <w:rsid w:val="00CE1A2D"/>
    <w:rsid w:val="00CE1B08"/>
    <w:rsid w:val="00CE1B8C"/>
    <w:rsid w:val="00CE1BD9"/>
    <w:rsid w:val="00CE1DA3"/>
    <w:rsid w:val="00CE1E62"/>
    <w:rsid w:val="00CE2020"/>
    <w:rsid w:val="00CE20CC"/>
    <w:rsid w:val="00CE20DA"/>
    <w:rsid w:val="00CE2207"/>
    <w:rsid w:val="00CE2225"/>
    <w:rsid w:val="00CE236C"/>
    <w:rsid w:val="00CE2510"/>
    <w:rsid w:val="00CE257A"/>
    <w:rsid w:val="00CE269C"/>
    <w:rsid w:val="00CE281F"/>
    <w:rsid w:val="00CE2899"/>
    <w:rsid w:val="00CE28AF"/>
    <w:rsid w:val="00CE296B"/>
    <w:rsid w:val="00CE2A1A"/>
    <w:rsid w:val="00CE2A3B"/>
    <w:rsid w:val="00CE2A43"/>
    <w:rsid w:val="00CE2CB9"/>
    <w:rsid w:val="00CE2E02"/>
    <w:rsid w:val="00CE3075"/>
    <w:rsid w:val="00CE30BD"/>
    <w:rsid w:val="00CE3124"/>
    <w:rsid w:val="00CE337F"/>
    <w:rsid w:val="00CE375F"/>
    <w:rsid w:val="00CE3767"/>
    <w:rsid w:val="00CE37FC"/>
    <w:rsid w:val="00CE3868"/>
    <w:rsid w:val="00CE3A21"/>
    <w:rsid w:val="00CE3A7C"/>
    <w:rsid w:val="00CE3D66"/>
    <w:rsid w:val="00CE3D87"/>
    <w:rsid w:val="00CE4093"/>
    <w:rsid w:val="00CE41B8"/>
    <w:rsid w:val="00CE42C7"/>
    <w:rsid w:val="00CE4399"/>
    <w:rsid w:val="00CE4485"/>
    <w:rsid w:val="00CE4530"/>
    <w:rsid w:val="00CE45F1"/>
    <w:rsid w:val="00CE4701"/>
    <w:rsid w:val="00CE4821"/>
    <w:rsid w:val="00CE4891"/>
    <w:rsid w:val="00CE496F"/>
    <w:rsid w:val="00CE499F"/>
    <w:rsid w:val="00CE4A13"/>
    <w:rsid w:val="00CE4C27"/>
    <w:rsid w:val="00CE4C3A"/>
    <w:rsid w:val="00CE4CFD"/>
    <w:rsid w:val="00CE4E30"/>
    <w:rsid w:val="00CE4E39"/>
    <w:rsid w:val="00CE4E5B"/>
    <w:rsid w:val="00CE4F6B"/>
    <w:rsid w:val="00CE5033"/>
    <w:rsid w:val="00CE53B4"/>
    <w:rsid w:val="00CE5457"/>
    <w:rsid w:val="00CE54FA"/>
    <w:rsid w:val="00CE5779"/>
    <w:rsid w:val="00CE5877"/>
    <w:rsid w:val="00CE58A1"/>
    <w:rsid w:val="00CE5902"/>
    <w:rsid w:val="00CE591E"/>
    <w:rsid w:val="00CE59E4"/>
    <w:rsid w:val="00CE5B6D"/>
    <w:rsid w:val="00CE5EBE"/>
    <w:rsid w:val="00CE5FD2"/>
    <w:rsid w:val="00CE61C7"/>
    <w:rsid w:val="00CE62B0"/>
    <w:rsid w:val="00CE62B3"/>
    <w:rsid w:val="00CE6309"/>
    <w:rsid w:val="00CE635B"/>
    <w:rsid w:val="00CE65ED"/>
    <w:rsid w:val="00CE66B1"/>
    <w:rsid w:val="00CE673C"/>
    <w:rsid w:val="00CE6781"/>
    <w:rsid w:val="00CE68AE"/>
    <w:rsid w:val="00CE6926"/>
    <w:rsid w:val="00CE69E0"/>
    <w:rsid w:val="00CE6C27"/>
    <w:rsid w:val="00CE6C85"/>
    <w:rsid w:val="00CE6DD4"/>
    <w:rsid w:val="00CE6DED"/>
    <w:rsid w:val="00CE7050"/>
    <w:rsid w:val="00CE7134"/>
    <w:rsid w:val="00CE734F"/>
    <w:rsid w:val="00CE769B"/>
    <w:rsid w:val="00CE76A0"/>
    <w:rsid w:val="00CE76C9"/>
    <w:rsid w:val="00CE76FE"/>
    <w:rsid w:val="00CE773D"/>
    <w:rsid w:val="00CE7840"/>
    <w:rsid w:val="00CE7A1B"/>
    <w:rsid w:val="00CE7BAB"/>
    <w:rsid w:val="00CE7BBB"/>
    <w:rsid w:val="00CE7D30"/>
    <w:rsid w:val="00CE7EB1"/>
    <w:rsid w:val="00CE7FA3"/>
    <w:rsid w:val="00CF022F"/>
    <w:rsid w:val="00CF0283"/>
    <w:rsid w:val="00CF046D"/>
    <w:rsid w:val="00CF0634"/>
    <w:rsid w:val="00CF0747"/>
    <w:rsid w:val="00CF0A32"/>
    <w:rsid w:val="00CF0A4C"/>
    <w:rsid w:val="00CF0A73"/>
    <w:rsid w:val="00CF0C11"/>
    <w:rsid w:val="00CF0C23"/>
    <w:rsid w:val="00CF0D7C"/>
    <w:rsid w:val="00CF0E45"/>
    <w:rsid w:val="00CF0E57"/>
    <w:rsid w:val="00CF0FDE"/>
    <w:rsid w:val="00CF11FE"/>
    <w:rsid w:val="00CF128E"/>
    <w:rsid w:val="00CF1482"/>
    <w:rsid w:val="00CF14D7"/>
    <w:rsid w:val="00CF15C8"/>
    <w:rsid w:val="00CF15CD"/>
    <w:rsid w:val="00CF1747"/>
    <w:rsid w:val="00CF1960"/>
    <w:rsid w:val="00CF1986"/>
    <w:rsid w:val="00CF1AA0"/>
    <w:rsid w:val="00CF1B21"/>
    <w:rsid w:val="00CF1B97"/>
    <w:rsid w:val="00CF1C79"/>
    <w:rsid w:val="00CF1F93"/>
    <w:rsid w:val="00CF237C"/>
    <w:rsid w:val="00CF253A"/>
    <w:rsid w:val="00CF2570"/>
    <w:rsid w:val="00CF260F"/>
    <w:rsid w:val="00CF268F"/>
    <w:rsid w:val="00CF2974"/>
    <w:rsid w:val="00CF2992"/>
    <w:rsid w:val="00CF2A47"/>
    <w:rsid w:val="00CF2B53"/>
    <w:rsid w:val="00CF2C89"/>
    <w:rsid w:val="00CF2CB6"/>
    <w:rsid w:val="00CF2D47"/>
    <w:rsid w:val="00CF2D82"/>
    <w:rsid w:val="00CF2F13"/>
    <w:rsid w:val="00CF308D"/>
    <w:rsid w:val="00CF30BD"/>
    <w:rsid w:val="00CF31F3"/>
    <w:rsid w:val="00CF33E5"/>
    <w:rsid w:val="00CF355D"/>
    <w:rsid w:val="00CF3732"/>
    <w:rsid w:val="00CF3826"/>
    <w:rsid w:val="00CF3AAF"/>
    <w:rsid w:val="00CF3B57"/>
    <w:rsid w:val="00CF3F6D"/>
    <w:rsid w:val="00CF401E"/>
    <w:rsid w:val="00CF43DA"/>
    <w:rsid w:val="00CF44A1"/>
    <w:rsid w:val="00CF4784"/>
    <w:rsid w:val="00CF48AE"/>
    <w:rsid w:val="00CF496D"/>
    <w:rsid w:val="00CF4C52"/>
    <w:rsid w:val="00CF4CD0"/>
    <w:rsid w:val="00CF4E13"/>
    <w:rsid w:val="00CF4F47"/>
    <w:rsid w:val="00CF51CC"/>
    <w:rsid w:val="00CF5241"/>
    <w:rsid w:val="00CF5377"/>
    <w:rsid w:val="00CF53B4"/>
    <w:rsid w:val="00CF53E0"/>
    <w:rsid w:val="00CF5598"/>
    <w:rsid w:val="00CF569C"/>
    <w:rsid w:val="00CF574C"/>
    <w:rsid w:val="00CF579B"/>
    <w:rsid w:val="00CF57B3"/>
    <w:rsid w:val="00CF59A2"/>
    <w:rsid w:val="00CF5AC6"/>
    <w:rsid w:val="00CF5C58"/>
    <w:rsid w:val="00CF5DE6"/>
    <w:rsid w:val="00CF5DF7"/>
    <w:rsid w:val="00CF5F62"/>
    <w:rsid w:val="00CF6068"/>
    <w:rsid w:val="00CF6108"/>
    <w:rsid w:val="00CF632B"/>
    <w:rsid w:val="00CF6354"/>
    <w:rsid w:val="00CF6750"/>
    <w:rsid w:val="00CF6886"/>
    <w:rsid w:val="00CF68A0"/>
    <w:rsid w:val="00CF6D3B"/>
    <w:rsid w:val="00CF6DDC"/>
    <w:rsid w:val="00CF6E3A"/>
    <w:rsid w:val="00CF6F7F"/>
    <w:rsid w:val="00CF6F9D"/>
    <w:rsid w:val="00CF717C"/>
    <w:rsid w:val="00CF71BF"/>
    <w:rsid w:val="00CF722A"/>
    <w:rsid w:val="00CF72BF"/>
    <w:rsid w:val="00CF72D4"/>
    <w:rsid w:val="00CF7335"/>
    <w:rsid w:val="00CF73DA"/>
    <w:rsid w:val="00CF73E4"/>
    <w:rsid w:val="00CF7403"/>
    <w:rsid w:val="00CF74C2"/>
    <w:rsid w:val="00CF74F8"/>
    <w:rsid w:val="00CF7546"/>
    <w:rsid w:val="00CF75A2"/>
    <w:rsid w:val="00CF75B4"/>
    <w:rsid w:val="00CF76D8"/>
    <w:rsid w:val="00CF772C"/>
    <w:rsid w:val="00CF7A22"/>
    <w:rsid w:val="00CF7C9D"/>
    <w:rsid w:val="00CF7D0A"/>
    <w:rsid w:val="00CF7D98"/>
    <w:rsid w:val="00CF7F09"/>
    <w:rsid w:val="00D00160"/>
    <w:rsid w:val="00D00293"/>
    <w:rsid w:val="00D0039A"/>
    <w:rsid w:val="00D003AC"/>
    <w:rsid w:val="00D0079E"/>
    <w:rsid w:val="00D0088B"/>
    <w:rsid w:val="00D00B59"/>
    <w:rsid w:val="00D00CCD"/>
    <w:rsid w:val="00D00F43"/>
    <w:rsid w:val="00D01199"/>
    <w:rsid w:val="00D01258"/>
    <w:rsid w:val="00D01313"/>
    <w:rsid w:val="00D0149B"/>
    <w:rsid w:val="00D01771"/>
    <w:rsid w:val="00D01799"/>
    <w:rsid w:val="00D019E8"/>
    <w:rsid w:val="00D01A5E"/>
    <w:rsid w:val="00D01BA9"/>
    <w:rsid w:val="00D01CC5"/>
    <w:rsid w:val="00D01D49"/>
    <w:rsid w:val="00D01D97"/>
    <w:rsid w:val="00D01DF6"/>
    <w:rsid w:val="00D01E97"/>
    <w:rsid w:val="00D0202B"/>
    <w:rsid w:val="00D02030"/>
    <w:rsid w:val="00D02407"/>
    <w:rsid w:val="00D0241A"/>
    <w:rsid w:val="00D02485"/>
    <w:rsid w:val="00D02611"/>
    <w:rsid w:val="00D02621"/>
    <w:rsid w:val="00D02731"/>
    <w:rsid w:val="00D027EE"/>
    <w:rsid w:val="00D02832"/>
    <w:rsid w:val="00D02CFE"/>
    <w:rsid w:val="00D02DEE"/>
    <w:rsid w:val="00D02F4F"/>
    <w:rsid w:val="00D0303D"/>
    <w:rsid w:val="00D03663"/>
    <w:rsid w:val="00D036C4"/>
    <w:rsid w:val="00D037E8"/>
    <w:rsid w:val="00D038AD"/>
    <w:rsid w:val="00D0391C"/>
    <w:rsid w:val="00D03A79"/>
    <w:rsid w:val="00D03F8B"/>
    <w:rsid w:val="00D04071"/>
    <w:rsid w:val="00D042C7"/>
    <w:rsid w:val="00D04398"/>
    <w:rsid w:val="00D04546"/>
    <w:rsid w:val="00D047F3"/>
    <w:rsid w:val="00D04877"/>
    <w:rsid w:val="00D04959"/>
    <w:rsid w:val="00D04A88"/>
    <w:rsid w:val="00D04B6F"/>
    <w:rsid w:val="00D04C07"/>
    <w:rsid w:val="00D04CE3"/>
    <w:rsid w:val="00D04EB0"/>
    <w:rsid w:val="00D04EF9"/>
    <w:rsid w:val="00D05012"/>
    <w:rsid w:val="00D05314"/>
    <w:rsid w:val="00D053CE"/>
    <w:rsid w:val="00D055B0"/>
    <w:rsid w:val="00D055DD"/>
    <w:rsid w:val="00D055EA"/>
    <w:rsid w:val="00D0567C"/>
    <w:rsid w:val="00D056AE"/>
    <w:rsid w:val="00D057BB"/>
    <w:rsid w:val="00D057DF"/>
    <w:rsid w:val="00D05810"/>
    <w:rsid w:val="00D05935"/>
    <w:rsid w:val="00D05987"/>
    <w:rsid w:val="00D05C68"/>
    <w:rsid w:val="00D05DA4"/>
    <w:rsid w:val="00D05EF9"/>
    <w:rsid w:val="00D05FBA"/>
    <w:rsid w:val="00D06143"/>
    <w:rsid w:val="00D06144"/>
    <w:rsid w:val="00D0618E"/>
    <w:rsid w:val="00D06205"/>
    <w:rsid w:val="00D0621B"/>
    <w:rsid w:val="00D062C1"/>
    <w:rsid w:val="00D063C2"/>
    <w:rsid w:val="00D066F0"/>
    <w:rsid w:val="00D067E8"/>
    <w:rsid w:val="00D068FF"/>
    <w:rsid w:val="00D06AF1"/>
    <w:rsid w:val="00D06C46"/>
    <w:rsid w:val="00D06EF3"/>
    <w:rsid w:val="00D0702D"/>
    <w:rsid w:val="00D0707B"/>
    <w:rsid w:val="00D0711D"/>
    <w:rsid w:val="00D07187"/>
    <w:rsid w:val="00D0726F"/>
    <w:rsid w:val="00D07289"/>
    <w:rsid w:val="00D07671"/>
    <w:rsid w:val="00D07792"/>
    <w:rsid w:val="00D07A62"/>
    <w:rsid w:val="00D07A89"/>
    <w:rsid w:val="00D07E93"/>
    <w:rsid w:val="00D07FA7"/>
    <w:rsid w:val="00D1003E"/>
    <w:rsid w:val="00D10074"/>
    <w:rsid w:val="00D1011A"/>
    <w:rsid w:val="00D10456"/>
    <w:rsid w:val="00D10552"/>
    <w:rsid w:val="00D105BE"/>
    <w:rsid w:val="00D10A1A"/>
    <w:rsid w:val="00D10BF0"/>
    <w:rsid w:val="00D10C24"/>
    <w:rsid w:val="00D10C86"/>
    <w:rsid w:val="00D10DD6"/>
    <w:rsid w:val="00D10E04"/>
    <w:rsid w:val="00D111CE"/>
    <w:rsid w:val="00D111E6"/>
    <w:rsid w:val="00D1128E"/>
    <w:rsid w:val="00D112BD"/>
    <w:rsid w:val="00D11374"/>
    <w:rsid w:val="00D11653"/>
    <w:rsid w:val="00D11850"/>
    <w:rsid w:val="00D118A6"/>
    <w:rsid w:val="00D1193E"/>
    <w:rsid w:val="00D119F3"/>
    <w:rsid w:val="00D11A17"/>
    <w:rsid w:val="00D11A3A"/>
    <w:rsid w:val="00D11C0E"/>
    <w:rsid w:val="00D11CC5"/>
    <w:rsid w:val="00D11E8F"/>
    <w:rsid w:val="00D12158"/>
    <w:rsid w:val="00D12305"/>
    <w:rsid w:val="00D123AF"/>
    <w:rsid w:val="00D123F8"/>
    <w:rsid w:val="00D1242D"/>
    <w:rsid w:val="00D12497"/>
    <w:rsid w:val="00D1263A"/>
    <w:rsid w:val="00D12745"/>
    <w:rsid w:val="00D127D7"/>
    <w:rsid w:val="00D127D8"/>
    <w:rsid w:val="00D128AE"/>
    <w:rsid w:val="00D12944"/>
    <w:rsid w:val="00D12C41"/>
    <w:rsid w:val="00D12E4E"/>
    <w:rsid w:val="00D12EC5"/>
    <w:rsid w:val="00D12ED9"/>
    <w:rsid w:val="00D13048"/>
    <w:rsid w:val="00D131A8"/>
    <w:rsid w:val="00D13891"/>
    <w:rsid w:val="00D13B51"/>
    <w:rsid w:val="00D13B7C"/>
    <w:rsid w:val="00D13E21"/>
    <w:rsid w:val="00D13EB6"/>
    <w:rsid w:val="00D13FAF"/>
    <w:rsid w:val="00D140FB"/>
    <w:rsid w:val="00D141DD"/>
    <w:rsid w:val="00D143D2"/>
    <w:rsid w:val="00D14424"/>
    <w:rsid w:val="00D14445"/>
    <w:rsid w:val="00D144AF"/>
    <w:rsid w:val="00D14558"/>
    <w:rsid w:val="00D145E3"/>
    <w:rsid w:val="00D145F5"/>
    <w:rsid w:val="00D146E5"/>
    <w:rsid w:val="00D14842"/>
    <w:rsid w:val="00D14860"/>
    <w:rsid w:val="00D14886"/>
    <w:rsid w:val="00D149DB"/>
    <w:rsid w:val="00D14BBB"/>
    <w:rsid w:val="00D14C8D"/>
    <w:rsid w:val="00D14CE3"/>
    <w:rsid w:val="00D14DCD"/>
    <w:rsid w:val="00D14E86"/>
    <w:rsid w:val="00D14F75"/>
    <w:rsid w:val="00D150A3"/>
    <w:rsid w:val="00D150B6"/>
    <w:rsid w:val="00D15691"/>
    <w:rsid w:val="00D1569F"/>
    <w:rsid w:val="00D156F5"/>
    <w:rsid w:val="00D15700"/>
    <w:rsid w:val="00D1593F"/>
    <w:rsid w:val="00D15A4D"/>
    <w:rsid w:val="00D15A5C"/>
    <w:rsid w:val="00D15A88"/>
    <w:rsid w:val="00D15C35"/>
    <w:rsid w:val="00D15CA4"/>
    <w:rsid w:val="00D15CE7"/>
    <w:rsid w:val="00D15D71"/>
    <w:rsid w:val="00D15F98"/>
    <w:rsid w:val="00D1613D"/>
    <w:rsid w:val="00D16144"/>
    <w:rsid w:val="00D161BF"/>
    <w:rsid w:val="00D16276"/>
    <w:rsid w:val="00D16291"/>
    <w:rsid w:val="00D163A1"/>
    <w:rsid w:val="00D163E3"/>
    <w:rsid w:val="00D1641D"/>
    <w:rsid w:val="00D16471"/>
    <w:rsid w:val="00D166D3"/>
    <w:rsid w:val="00D16799"/>
    <w:rsid w:val="00D167ED"/>
    <w:rsid w:val="00D16B09"/>
    <w:rsid w:val="00D16BE2"/>
    <w:rsid w:val="00D16E02"/>
    <w:rsid w:val="00D16E21"/>
    <w:rsid w:val="00D16F46"/>
    <w:rsid w:val="00D16F70"/>
    <w:rsid w:val="00D17091"/>
    <w:rsid w:val="00D172BF"/>
    <w:rsid w:val="00D1745A"/>
    <w:rsid w:val="00D174DE"/>
    <w:rsid w:val="00D176BF"/>
    <w:rsid w:val="00D178B1"/>
    <w:rsid w:val="00D1795B"/>
    <w:rsid w:val="00D17AEE"/>
    <w:rsid w:val="00D17B74"/>
    <w:rsid w:val="00D17BA0"/>
    <w:rsid w:val="00D17EFF"/>
    <w:rsid w:val="00D17FA7"/>
    <w:rsid w:val="00D201D9"/>
    <w:rsid w:val="00D202F6"/>
    <w:rsid w:val="00D20351"/>
    <w:rsid w:val="00D203CB"/>
    <w:rsid w:val="00D20537"/>
    <w:rsid w:val="00D205CA"/>
    <w:rsid w:val="00D20651"/>
    <w:rsid w:val="00D206CA"/>
    <w:rsid w:val="00D209F0"/>
    <w:rsid w:val="00D20A36"/>
    <w:rsid w:val="00D20BD1"/>
    <w:rsid w:val="00D20D0E"/>
    <w:rsid w:val="00D20D5F"/>
    <w:rsid w:val="00D212D8"/>
    <w:rsid w:val="00D21382"/>
    <w:rsid w:val="00D2140F"/>
    <w:rsid w:val="00D214CE"/>
    <w:rsid w:val="00D216A2"/>
    <w:rsid w:val="00D2174C"/>
    <w:rsid w:val="00D21782"/>
    <w:rsid w:val="00D21940"/>
    <w:rsid w:val="00D21B46"/>
    <w:rsid w:val="00D21C74"/>
    <w:rsid w:val="00D21E2C"/>
    <w:rsid w:val="00D22027"/>
    <w:rsid w:val="00D22120"/>
    <w:rsid w:val="00D22334"/>
    <w:rsid w:val="00D22456"/>
    <w:rsid w:val="00D22647"/>
    <w:rsid w:val="00D229DC"/>
    <w:rsid w:val="00D229E5"/>
    <w:rsid w:val="00D229ED"/>
    <w:rsid w:val="00D22A93"/>
    <w:rsid w:val="00D22C94"/>
    <w:rsid w:val="00D22F47"/>
    <w:rsid w:val="00D22FF4"/>
    <w:rsid w:val="00D23055"/>
    <w:rsid w:val="00D23120"/>
    <w:rsid w:val="00D2314E"/>
    <w:rsid w:val="00D231E0"/>
    <w:rsid w:val="00D23328"/>
    <w:rsid w:val="00D2343E"/>
    <w:rsid w:val="00D238B0"/>
    <w:rsid w:val="00D2391E"/>
    <w:rsid w:val="00D239A8"/>
    <w:rsid w:val="00D23B9B"/>
    <w:rsid w:val="00D23BDA"/>
    <w:rsid w:val="00D23C5E"/>
    <w:rsid w:val="00D23C62"/>
    <w:rsid w:val="00D23E3C"/>
    <w:rsid w:val="00D23EE4"/>
    <w:rsid w:val="00D241FC"/>
    <w:rsid w:val="00D24239"/>
    <w:rsid w:val="00D24279"/>
    <w:rsid w:val="00D245AE"/>
    <w:rsid w:val="00D2461A"/>
    <w:rsid w:val="00D2465B"/>
    <w:rsid w:val="00D24862"/>
    <w:rsid w:val="00D24973"/>
    <w:rsid w:val="00D24B18"/>
    <w:rsid w:val="00D24BA5"/>
    <w:rsid w:val="00D24D0E"/>
    <w:rsid w:val="00D24D88"/>
    <w:rsid w:val="00D24DC4"/>
    <w:rsid w:val="00D24DD9"/>
    <w:rsid w:val="00D24F39"/>
    <w:rsid w:val="00D24FE9"/>
    <w:rsid w:val="00D2520E"/>
    <w:rsid w:val="00D2526C"/>
    <w:rsid w:val="00D2547B"/>
    <w:rsid w:val="00D254AB"/>
    <w:rsid w:val="00D255FA"/>
    <w:rsid w:val="00D25616"/>
    <w:rsid w:val="00D25651"/>
    <w:rsid w:val="00D25736"/>
    <w:rsid w:val="00D259E2"/>
    <w:rsid w:val="00D25C9D"/>
    <w:rsid w:val="00D25D72"/>
    <w:rsid w:val="00D25E4B"/>
    <w:rsid w:val="00D25E9B"/>
    <w:rsid w:val="00D25F5B"/>
    <w:rsid w:val="00D2602A"/>
    <w:rsid w:val="00D260DE"/>
    <w:rsid w:val="00D2614A"/>
    <w:rsid w:val="00D26152"/>
    <w:rsid w:val="00D261E0"/>
    <w:rsid w:val="00D26590"/>
    <w:rsid w:val="00D265C4"/>
    <w:rsid w:val="00D2671C"/>
    <w:rsid w:val="00D267FD"/>
    <w:rsid w:val="00D26874"/>
    <w:rsid w:val="00D269DA"/>
    <w:rsid w:val="00D269EB"/>
    <w:rsid w:val="00D26A08"/>
    <w:rsid w:val="00D26B01"/>
    <w:rsid w:val="00D26BCD"/>
    <w:rsid w:val="00D26C1A"/>
    <w:rsid w:val="00D26EFF"/>
    <w:rsid w:val="00D26FCC"/>
    <w:rsid w:val="00D2705E"/>
    <w:rsid w:val="00D271FB"/>
    <w:rsid w:val="00D273AE"/>
    <w:rsid w:val="00D273B1"/>
    <w:rsid w:val="00D273D2"/>
    <w:rsid w:val="00D273DE"/>
    <w:rsid w:val="00D27631"/>
    <w:rsid w:val="00D278D8"/>
    <w:rsid w:val="00D27C09"/>
    <w:rsid w:val="00D27C6C"/>
    <w:rsid w:val="00D27F50"/>
    <w:rsid w:val="00D27FC4"/>
    <w:rsid w:val="00D30022"/>
    <w:rsid w:val="00D30061"/>
    <w:rsid w:val="00D30309"/>
    <w:rsid w:val="00D30331"/>
    <w:rsid w:val="00D30453"/>
    <w:rsid w:val="00D3045D"/>
    <w:rsid w:val="00D30470"/>
    <w:rsid w:val="00D304C7"/>
    <w:rsid w:val="00D304FD"/>
    <w:rsid w:val="00D307F4"/>
    <w:rsid w:val="00D3092D"/>
    <w:rsid w:val="00D309A6"/>
    <w:rsid w:val="00D30AF3"/>
    <w:rsid w:val="00D30CA3"/>
    <w:rsid w:val="00D30CC5"/>
    <w:rsid w:val="00D30EF8"/>
    <w:rsid w:val="00D30FC2"/>
    <w:rsid w:val="00D30FE0"/>
    <w:rsid w:val="00D3101B"/>
    <w:rsid w:val="00D310BB"/>
    <w:rsid w:val="00D3133C"/>
    <w:rsid w:val="00D31360"/>
    <w:rsid w:val="00D315DA"/>
    <w:rsid w:val="00D31612"/>
    <w:rsid w:val="00D31952"/>
    <w:rsid w:val="00D31ACB"/>
    <w:rsid w:val="00D31C84"/>
    <w:rsid w:val="00D31CA3"/>
    <w:rsid w:val="00D31CB1"/>
    <w:rsid w:val="00D31F23"/>
    <w:rsid w:val="00D324B6"/>
    <w:rsid w:val="00D324DC"/>
    <w:rsid w:val="00D327EB"/>
    <w:rsid w:val="00D327F1"/>
    <w:rsid w:val="00D32972"/>
    <w:rsid w:val="00D32ABF"/>
    <w:rsid w:val="00D32B58"/>
    <w:rsid w:val="00D32BA4"/>
    <w:rsid w:val="00D32F55"/>
    <w:rsid w:val="00D33046"/>
    <w:rsid w:val="00D3308F"/>
    <w:rsid w:val="00D332BF"/>
    <w:rsid w:val="00D3337E"/>
    <w:rsid w:val="00D33395"/>
    <w:rsid w:val="00D3341F"/>
    <w:rsid w:val="00D33508"/>
    <w:rsid w:val="00D3354C"/>
    <w:rsid w:val="00D3380F"/>
    <w:rsid w:val="00D33841"/>
    <w:rsid w:val="00D33A9A"/>
    <w:rsid w:val="00D33B9D"/>
    <w:rsid w:val="00D33DCB"/>
    <w:rsid w:val="00D34075"/>
    <w:rsid w:val="00D343B7"/>
    <w:rsid w:val="00D3444E"/>
    <w:rsid w:val="00D3467D"/>
    <w:rsid w:val="00D3472E"/>
    <w:rsid w:val="00D34747"/>
    <w:rsid w:val="00D34853"/>
    <w:rsid w:val="00D348D4"/>
    <w:rsid w:val="00D34A7B"/>
    <w:rsid w:val="00D34B47"/>
    <w:rsid w:val="00D34D05"/>
    <w:rsid w:val="00D34DED"/>
    <w:rsid w:val="00D34F37"/>
    <w:rsid w:val="00D35045"/>
    <w:rsid w:val="00D35073"/>
    <w:rsid w:val="00D350F9"/>
    <w:rsid w:val="00D358D4"/>
    <w:rsid w:val="00D35963"/>
    <w:rsid w:val="00D35B8F"/>
    <w:rsid w:val="00D35BF4"/>
    <w:rsid w:val="00D35D19"/>
    <w:rsid w:val="00D35E5C"/>
    <w:rsid w:val="00D35E6B"/>
    <w:rsid w:val="00D35EEA"/>
    <w:rsid w:val="00D36060"/>
    <w:rsid w:val="00D360EF"/>
    <w:rsid w:val="00D362E6"/>
    <w:rsid w:val="00D3630C"/>
    <w:rsid w:val="00D3632A"/>
    <w:rsid w:val="00D363A2"/>
    <w:rsid w:val="00D363B1"/>
    <w:rsid w:val="00D363EC"/>
    <w:rsid w:val="00D36406"/>
    <w:rsid w:val="00D364D5"/>
    <w:rsid w:val="00D365D6"/>
    <w:rsid w:val="00D3669B"/>
    <w:rsid w:val="00D366C1"/>
    <w:rsid w:val="00D36888"/>
    <w:rsid w:val="00D36908"/>
    <w:rsid w:val="00D36C5C"/>
    <w:rsid w:val="00D36D06"/>
    <w:rsid w:val="00D36D9D"/>
    <w:rsid w:val="00D36DBE"/>
    <w:rsid w:val="00D36DE0"/>
    <w:rsid w:val="00D36F29"/>
    <w:rsid w:val="00D3710D"/>
    <w:rsid w:val="00D37189"/>
    <w:rsid w:val="00D37392"/>
    <w:rsid w:val="00D374A4"/>
    <w:rsid w:val="00D37593"/>
    <w:rsid w:val="00D37612"/>
    <w:rsid w:val="00D37636"/>
    <w:rsid w:val="00D37768"/>
    <w:rsid w:val="00D378E1"/>
    <w:rsid w:val="00D37914"/>
    <w:rsid w:val="00D37A51"/>
    <w:rsid w:val="00D37A76"/>
    <w:rsid w:val="00D37F8D"/>
    <w:rsid w:val="00D400A4"/>
    <w:rsid w:val="00D40219"/>
    <w:rsid w:val="00D402BE"/>
    <w:rsid w:val="00D403F5"/>
    <w:rsid w:val="00D40612"/>
    <w:rsid w:val="00D406D9"/>
    <w:rsid w:val="00D408B2"/>
    <w:rsid w:val="00D40AAB"/>
    <w:rsid w:val="00D40C55"/>
    <w:rsid w:val="00D40CA2"/>
    <w:rsid w:val="00D40E13"/>
    <w:rsid w:val="00D40EBC"/>
    <w:rsid w:val="00D40EDB"/>
    <w:rsid w:val="00D40F88"/>
    <w:rsid w:val="00D40FDA"/>
    <w:rsid w:val="00D41009"/>
    <w:rsid w:val="00D41019"/>
    <w:rsid w:val="00D410D3"/>
    <w:rsid w:val="00D410FA"/>
    <w:rsid w:val="00D4124B"/>
    <w:rsid w:val="00D415DD"/>
    <w:rsid w:val="00D41662"/>
    <w:rsid w:val="00D4167B"/>
    <w:rsid w:val="00D41690"/>
    <w:rsid w:val="00D416ED"/>
    <w:rsid w:val="00D41741"/>
    <w:rsid w:val="00D4185C"/>
    <w:rsid w:val="00D41918"/>
    <w:rsid w:val="00D41A5F"/>
    <w:rsid w:val="00D41B06"/>
    <w:rsid w:val="00D41D69"/>
    <w:rsid w:val="00D4205C"/>
    <w:rsid w:val="00D42187"/>
    <w:rsid w:val="00D425CE"/>
    <w:rsid w:val="00D42675"/>
    <w:rsid w:val="00D4277A"/>
    <w:rsid w:val="00D4289F"/>
    <w:rsid w:val="00D42B44"/>
    <w:rsid w:val="00D42C9A"/>
    <w:rsid w:val="00D42CBF"/>
    <w:rsid w:val="00D42CC7"/>
    <w:rsid w:val="00D42DE0"/>
    <w:rsid w:val="00D42E37"/>
    <w:rsid w:val="00D42E75"/>
    <w:rsid w:val="00D42FC2"/>
    <w:rsid w:val="00D4300E"/>
    <w:rsid w:val="00D43029"/>
    <w:rsid w:val="00D4314E"/>
    <w:rsid w:val="00D431E9"/>
    <w:rsid w:val="00D433F2"/>
    <w:rsid w:val="00D434C8"/>
    <w:rsid w:val="00D435F1"/>
    <w:rsid w:val="00D43639"/>
    <w:rsid w:val="00D436A6"/>
    <w:rsid w:val="00D436F8"/>
    <w:rsid w:val="00D4374C"/>
    <w:rsid w:val="00D43750"/>
    <w:rsid w:val="00D4382B"/>
    <w:rsid w:val="00D43965"/>
    <w:rsid w:val="00D43A92"/>
    <w:rsid w:val="00D43BDC"/>
    <w:rsid w:val="00D43D59"/>
    <w:rsid w:val="00D43E72"/>
    <w:rsid w:val="00D440B2"/>
    <w:rsid w:val="00D443B5"/>
    <w:rsid w:val="00D443E4"/>
    <w:rsid w:val="00D444A0"/>
    <w:rsid w:val="00D44737"/>
    <w:rsid w:val="00D447A3"/>
    <w:rsid w:val="00D44A32"/>
    <w:rsid w:val="00D44C27"/>
    <w:rsid w:val="00D44C7D"/>
    <w:rsid w:val="00D44D26"/>
    <w:rsid w:val="00D44DA2"/>
    <w:rsid w:val="00D44DBF"/>
    <w:rsid w:val="00D44E08"/>
    <w:rsid w:val="00D44E2D"/>
    <w:rsid w:val="00D44E72"/>
    <w:rsid w:val="00D44F9F"/>
    <w:rsid w:val="00D451DF"/>
    <w:rsid w:val="00D453BC"/>
    <w:rsid w:val="00D45452"/>
    <w:rsid w:val="00D45476"/>
    <w:rsid w:val="00D45492"/>
    <w:rsid w:val="00D454F9"/>
    <w:rsid w:val="00D45596"/>
    <w:rsid w:val="00D457B9"/>
    <w:rsid w:val="00D4584F"/>
    <w:rsid w:val="00D45A3B"/>
    <w:rsid w:val="00D45AE2"/>
    <w:rsid w:val="00D45B6F"/>
    <w:rsid w:val="00D45D59"/>
    <w:rsid w:val="00D45EAF"/>
    <w:rsid w:val="00D45F92"/>
    <w:rsid w:val="00D46044"/>
    <w:rsid w:val="00D46072"/>
    <w:rsid w:val="00D46117"/>
    <w:rsid w:val="00D46150"/>
    <w:rsid w:val="00D46297"/>
    <w:rsid w:val="00D462B4"/>
    <w:rsid w:val="00D46303"/>
    <w:rsid w:val="00D4632D"/>
    <w:rsid w:val="00D46341"/>
    <w:rsid w:val="00D463DB"/>
    <w:rsid w:val="00D463FB"/>
    <w:rsid w:val="00D464D6"/>
    <w:rsid w:val="00D46636"/>
    <w:rsid w:val="00D466B4"/>
    <w:rsid w:val="00D467F2"/>
    <w:rsid w:val="00D46842"/>
    <w:rsid w:val="00D46848"/>
    <w:rsid w:val="00D4694E"/>
    <w:rsid w:val="00D46AC2"/>
    <w:rsid w:val="00D46DF9"/>
    <w:rsid w:val="00D46E51"/>
    <w:rsid w:val="00D46F0D"/>
    <w:rsid w:val="00D46FA6"/>
    <w:rsid w:val="00D46FA8"/>
    <w:rsid w:val="00D4700C"/>
    <w:rsid w:val="00D47156"/>
    <w:rsid w:val="00D47740"/>
    <w:rsid w:val="00D47759"/>
    <w:rsid w:val="00D478D2"/>
    <w:rsid w:val="00D479B0"/>
    <w:rsid w:val="00D47AC9"/>
    <w:rsid w:val="00D47BA5"/>
    <w:rsid w:val="00D47D54"/>
    <w:rsid w:val="00D47DA8"/>
    <w:rsid w:val="00D50009"/>
    <w:rsid w:val="00D500A3"/>
    <w:rsid w:val="00D50174"/>
    <w:rsid w:val="00D502C0"/>
    <w:rsid w:val="00D502DE"/>
    <w:rsid w:val="00D5035D"/>
    <w:rsid w:val="00D5045E"/>
    <w:rsid w:val="00D504F2"/>
    <w:rsid w:val="00D5056A"/>
    <w:rsid w:val="00D507BB"/>
    <w:rsid w:val="00D50A4B"/>
    <w:rsid w:val="00D50AB0"/>
    <w:rsid w:val="00D50BF6"/>
    <w:rsid w:val="00D50D39"/>
    <w:rsid w:val="00D50D6B"/>
    <w:rsid w:val="00D50DB6"/>
    <w:rsid w:val="00D50E9E"/>
    <w:rsid w:val="00D50F67"/>
    <w:rsid w:val="00D50F86"/>
    <w:rsid w:val="00D50FC9"/>
    <w:rsid w:val="00D51339"/>
    <w:rsid w:val="00D513C6"/>
    <w:rsid w:val="00D51418"/>
    <w:rsid w:val="00D51453"/>
    <w:rsid w:val="00D515B2"/>
    <w:rsid w:val="00D516F5"/>
    <w:rsid w:val="00D516FC"/>
    <w:rsid w:val="00D51805"/>
    <w:rsid w:val="00D518A9"/>
    <w:rsid w:val="00D51908"/>
    <w:rsid w:val="00D51950"/>
    <w:rsid w:val="00D51B6D"/>
    <w:rsid w:val="00D51BD0"/>
    <w:rsid w:val="00D51C9A"/>
    <w:rsid w:val="00D51E1E"/>
    <w:rsid w:val="00D52064"/>
    <w:rsid w:val="00D52382"/>
    <w:rsid w:val="00D523DC"/>
    <w:rsid w:val="00D52454"/>
    <w:rsid w:val="00D52585"/>
    <w:rsid w:val="00D526B2"/>
    <w:rsid w:val="00D5273D"/>
    <w:rsid w:val="00D529D3"/>
    <w:rsid w:val="00D52C00"/>
    <w:rsid w:val="00D52F11"/>
    <w:rsid w:val="00D5300D"/>
    <w:rsid w:val="00D532E3"/>
    <w:rsid w:val="00D533B9"/>
    <w:rsid w:val="00D533EA"/>
    <w:rsid w:val="00D533F1"/>
    <w:rsid w:val="00D5342B"/>
    <w:rsid w:val="00D5352C"/>
    <w:rsid w:val="00D535C8"/>
    <w:rsid w:val="00D53742"/>
    <w:rsid w:val="00D53812"/>
    <w:rsid w:val="00D53B79"/>
    <w:rsid w:val="00D53DF2"/>
    <w:rsid w:val="00D53E82"/>
    <w:rsid w:val="00D53E94"/>
    <w:rsid w:val="00D53F25"/>
    <w:rsid w:val="00D53F45"/>
    <w:rsid w:val="00D54228"/>
    <w:rsid w:val="00D5430D"/>
    <w:rsid w:val="00D54421"/>
    <w:rsid w:val="00D54428"/>
    <w:rsid w:val="00D54745"/>
    <w:rsid w:val="00D54922"/>
    <w:rsid w:val="00D54AC6"/>
    <w:rsid w:val="00D54BBF"/>
    <w:rsid w:val="00D54BCB"/>
    <w:rsid w:val="00D54CB3"/>
    <w:rsid w:val="00D54E25"/>
    <w:rsid w:val="00D54ED0"/>
    <w:rsid w:val="00D550A5"/>
    <w:rsid w:val="00D551B8"/>
    <w:rsid w:val="00D552D8"/>
    <w:rsid w:val="00D552F5"/>
    <w:rsid w:val="00D55329"/>
    <w:rsid w:val="00D55527"/>
    <w:rsid w:val="00D5563E"/>
    <w:rsid w:val="00D5565A"/>
    <w:rsid w:val="00D557CB"/>
    <w:rsid w:val="00D558BA"/>
    <w:rsid w:val="00D5590C"/>
    <w:rsid w:val="00D55931"/>
    <w:rsid w:val="00D559D3"/>
    <w:rsid w:val="00D55BC8"/>
    <w:rsid w:val="00D55E3C"/>
    <w:rsid w:val="00D5611F"/>
    <w:rsid w:val="00D5612C"/>
    <w:rsid w:val="00D56287"/>
    <w:rsid w:val="00D5629B"/>
    <w:rsid w:val="00D56312"/>
    <w:rsid w:val="00D563D5"/>
    <w:rsid w:val="00D56895"/>
    <w:rsid w:val="00D56950"/>
    <w:rsid w:val="00D56AAE"/>
    <w:rsid w:val="00D56BB1"/>
    <w:rsid w:val="00D56C1C"/>
    <w:rsid w:val="00D56D92"/>
    <w:rsid w:val="00D56DA1"/>
    <w:rsid w:val="00D573EE"/>
    <w:rsid w:val="00D57442"/>
    <w:rsid w:val="00D579DB"/>
    <w:rsid w:val="00D57E4F"/>
    <w:rsid w:val="00D6000E"/>
    <w:rsid w:val="00D60103"/>
    <w:rsid w:val="00D60209"/>
    <w:rsid w:val="00D6031D"/>
    <w:rsid w:val="00D6033A"/>
    <w:rsid w:val="00D60490"/>
    <w:rsid w:val="00D604C7"/>
    <w:rsid w:val="00D606D4"/>
    <w:rsid w:val="00D606E7"/>
    <w:rsid w:val="00D60791"/>
    <w:rsid w:val="00D60796"/>
    <w:rsid w:val="00D6079F"/>
    <w:rsid w:val="00D60A4D"/>
    <w:rsid w:val="00D60ABB"/>
    <w:rsid w:val="00D60B2A"/>
    <w:rsid w:val="00D60BCB"/>
    <w:rsid w:val="00D60CA0"/>
    <w:rsid w:val="00D60D15"/>
    <w:rsid w:val="00D60D81"/>
    <w:rsid w:val="00D60E36"/>
    <w:rsid w:val="00D60E66"/>
    <w:rsid w:val="00D60EF3"/>
    <w:rsid w:val="00D60F9D"/>
    <w:rsid w:val="00D615AC"/>
    <w:rsid w:val="00D61640"/>
    <w:rsid w:val="00D6175D"/>
    <w:rsid w:val="00D61A3F"/>
    <w:rsid w:val="00D61C57"/>
    <w:rsid w:val="00D61C81"/>
    <w:rsid w:val="00D61DB9"/>
    <w:rsid w:val="00D61EA7"/>
    <w:rsid w:val="00D61F2A"/>
    <w:rsid w:val="00D620E6"/>
    <w:rsid w:val="00D6232A"/>
    <w:rsid w:val="00D62435"/>
    <w:rsid w:val="00D624C3"/>
    <w:rsid w:val="00D62629"/>
    <w:rsid w:val="00D62636"/>
    <w:rsid w:val="00D62AE3"/>
    <w:rsid w:val="00D6302E"/>
    <w:rsid w:val="00D63094"/>
    <w:rsid w:val="00D630BC"/>
    <w:rsid w:val="00D63327"/>
    <w:rsid w:val="00D63490"/>
    <w:rsid w:val="00D634E7"/>
    <w:rsid w:val="00D636F9"/>
    <w:rsid w:val="00D637F4"/>
    <w:rsid w:val="00D638B3"/>
    <w:rsid w:val="00D63AEE"/>
    <w:rsid w:val="00D63E3E"/>
    <w:rsid w:val="00D64031"/>
    <w:rsid w:val="00D64124"/>
    <w:rsid w:val="00D642C6"/>
    <w:rsid w:val="00D6450A"/>
    <w:rsid w:val="00D646FA"/>
    <w:rsid w:val="00D6474C"/>
    <w:rsid w:val="00D64827"/>
    <w:rsid w:val="00D64DBA"/>
    <w:rsid w:val="00D64F1D"/>
    <w:rsid w:val="00D64FBA"/>
    <w:rsid w:val="00D6519A"/>
    <w:rsid w:val="00D6524C"/>
    <w:rsid w:val="00D652BA"/>
    <w:rsid w:val="00D653A4"/>
    <w:rsid w:val="00D655DD"/>
    <w:rsid w:val="00D65782"/>
    <w:rsid w:val="00D65BF2"/>
    <w:rsid w:val="00D65E66"/>
    <w:rsid w:val="00D65FA0"/>
    <w:rsid w:val="00D660D6"/>
    <w:rsid w:val="00D66394"/>
    <w:rsid w:val="00D66401"/>
    <w:rsid w:val="00D665E5"/>
    <w:rsid w:val="00D665F1"/>
    <w:rsid w:val="00D666E9"/>
    <w:rsid w:val="00D668F1"/>
    <w:rsid w:val="00D6692B"/>
    <w:rsid w:val="00D66AC6"/>
    <w:rsid w:val="00D66AC8"/>
    <w:rsid w:val="00D66AD9"/>
    <w:rsid w:val="00D66B2C"/>
    <w:rsid w:val="00D66D35"/>
    <w:rsid w:val="00D66D37"/>
    <w:rsid w:val="00D66D44"/>
    <w:rsid w:val="00D66F24"/>
    <w:rsid w:val="00D6716F"/>
    <w:rsid w:val="00D673D0"/>
    <w:rsid w:val="00D675E4"/>
    <w:rsid w:val="00D675E6"/>
    <w:rsid w:val="00D6789A"/>
    <w:rsid w:val="00D679CE"/>
    <w:rsid w:val="00D67B2A"/>
    <w:rsid w:val="00D67B8D"/>
    <w:rsid w:val="00D67F0D"/>
    <w:rsid w:val="00D67FAF"/>
    <w:rsid w:val="00D70021"/>
    <w:rsid w:val="00D70054"/>
    <w:rsid w:val="00D701F1"/>
    <w:rsid w:val="00D702B5"/>
    <w:rsid w:val="00D7058B"/>
    <w:rsid w:val="00D707A7"/>
    <w:rsid w:val="00D708C6"/>
    <w:rsid w:val="00D70EA6"/>
    <w:rsid w:val="00D70EE8"/>
    <w:rsid w:val="00D70F34"/>
    <w:rsid w:val="00D7102F"/>
    <w:rsid w:val="00D7109F"/>
    <w:rsid w:val="00D711A0"/>
    <w:rsid w:val="00D7135F"/>
    <w:rsid w:val="00D713B3"/>
    <w:rsid w:val="00D71529"/>
    <w:rsid w:val="00D71726"/>
    <w:rsid w:val="00D7183A"/>
    <w:rsid w:val="00D71883"/>
    <w:rsid w:val="00D71911"/>
    <w:rsid w:val="00D7199E"/>
    <w:rsid w:val="00D71AE2"/>
    <w:rsid w:val="00D71BF0"/>
    <w:rsid w:val="00D71D9F"/>
    <w:rsid w:val="00D71ECA"/>
    <w:rsid w:val="00D7202B"/>
    <w:rsid w:val="00D72151"/>
    <w:rsid w:val="00D72398"/>
    <w:rsid w:val="00D723BD"/>
    <w:rsid w:val="00D7259F"/>
    <w:rsid w:val="00D726C8"/>
    <w:rsid w:val="00D727AB"/>
    <w:rsid w:val="00D72841"/>
    <w:rsid w:val="00D728DC"/>
    <w:rsid w:val="00D72B6D"/>
    <w:rsid w:val="00D72D7B"/>
    <w:rsid w:val="00D72DCE"/>
    <w:rsid w:val="00D72DEF"/>
    <w:rsid w:val="00D72E0F"/>
    <w:rsid w:val="00D72F3D"/>
    <w:rsid w:val="00D72F4D"/>
    <w:rsid w:val="00D73147"/>
    <w:rsid w:val="00D73248"/>
    <w:rsid w:val="00D7325F"/>
    <w:rsid w:val="00D73381"/>
    <w:rsid w:val="00D73744"/>
    <w:rsid w:val="00D7378F"/>
    <w:rsid w:val="00D73EC8"/>
    <w:rsid w:val="00D73F77"/>
    <w:rsid w:val="00D74041"/>
    <w:rsid w:val="00D741D1"/>
    <w:rsid w:val="00D742AB"/>
    <w:rsid w:val="00D742F3"/>
    <w:rsid w:val="00D744D9"/>
    <w:rsid w:val="00D74585"/>
    <w:rsid w:val="00D745D9"/>
    <w:rsid w:val="00D746A3"/>
    <w:rsid w:val="00D74755"/>
    <w:rsid w:val="00D748E0"/>
    <w:rsid w:val="00D74A81"/>
    <w:rsid w:val="00D74ACF"/>
    <w:rsid w:val="00D74AF3"/>
    <w:rsid w:val="00D74B30"/>
    <w:rsid w:val="00D74C3F"/>
    <w:rsid w:val="00D74DAE"/>
    <w:rsid w:val="00D74E1F"/>
    <w:rsid w:val="00D74FB8"/>
    <w:rsid w:val="00D75008"/>
    <w:rsid w:val="00D75303"/>
    <w:rsid w:val="00D75419"/>
    <w:rsid w:val="00D754E8"/>
    <w:rsid w:val="00D7558E"/>
    <w:rsid w:val="00D755B0"/>
    <w:rsid w:val="00D75637"/>
    <w:rsid w:val="00D7564B"/>
    <w:rsid w:val="00D75746"/>
    <w:rsid w:val="00D757E8"/>
    <w:rsid w:val="00D75A5F"/>
    <w:rsid w:val="00D75EC8"/>
    <w:rsid w:val="00D76196"/>
    <w:rsid w:val="00D761B7"/>
    <w:rsid w:val="00D7620E"/>
    <w:rsid w:val="00D76217"/>
    <w:rsid w:val="00D7627F"/>
    <w:rsid w:val="00D76304"/>
    <w:rsid w:val="00D7632A"/>
    <w:rsid w:val="00D7636B"/>
    <w:rsid w:val="00D7640B"/>
    <w:rsid w:val="00D7682E"/>
    <w:rsid w:val="00D768D6"/>
    <w:rsid w:val="00D76985"/>
    <w:rsid w:val="00D769EE"/>
    <w:rsid w:val="00D76BAB"/>
    <w:rsid w:val="00D76EE2"/>
    <w:rsid w:val="00D76F20"/>
    <w:rsid w:val="00D770C4"/>
    <w:rsid w:val="00D772E5"/>
    <w:rsid w:val="00D773C9"/>
    <w:rsid w:val="00D77951"/>
    <w:rsid w:val="00D77D4F"/>
    <w:rsid w:val="00D77DAA"/>
    <w:rsid w:val="00D77F9E"/>
    <w:rsid w:val="00D800B9"/>
    <w:rsid w:val="00D80247"/>
    <w:rsid w:val="00D805F9"/>
    <w:rsid w:val="00D80617"/>
    <w:rsid w:val="00D8081B"/>
    <w:rsid w:val="00D808C6"/>
    <w:rsid w:val="00D8093C"/>
    <w:rsid w:val="00D80958"/>
    <w:rsid w:val="00D80ABD"/>
    <w:rsid w:val="00D80BF2"/>
    <w:rsid w:val="00D80DCE"/>
    <w:rsid w:val="00D80E82"/>
    <w:rsid w:val="00D810AE"/>
    <w:rsid w:val="00D81478"/>
    <w:rsid w:val="00D8167E"/>
    <w:rsid w:val="00D8180F"/>
    <w:rsid w:val="00D818E8"/>
    <w:rsid w:val="00D81AF6"/>
    <w:rsid w:val="00D81BF4"/>
    <w:rsid w:val="00D81C74"/>
    <w:rsid w:val="00D81E7A"/>
    <w:rsid w:val="00D8207A"/>
    <w:rsid w:val="00D821EE"/>
    <w:rsid w:val="00D8223D"/>
    <w:rsid w:val="00D822CF"/>
    <w:rsid w:val="00D82489"/>
    <w:rsid w:val="00D825EA"/>
    <w:rsid w:val="00D8272B"/>
    <w:rsid w:val="00D8273D"/>
    <w:rsid w:val="00D827FD"/>
    <w:rsid w:val="00D82958"/>
    <w:rsid w:val="00D829E1"/>
    <w:rsid w:val="00D82AA7"/>
    <w:rsid w:val="00D82B7D"/>
    <w:rsid w:val="00D82C1A"/>
    <w:rsid w:val="00D82FE5"/>
    <w:rsid w:val="00D8300F"/>
    <w:rsid w:val="00D830B8"/>
    <w:rsid w:val="00D83107"/>
    <w:rsid w:val="00D83253"/>
    <w:rsid w:val="00D83741"/>
    <w:rsid w:val="00D83856"/>
    <w:rsid w:val="00D83920"/>
    <w:rsid w:val="00D83A19"/>
    <w:rsid w:val="00D83A7C"/>
    <w:rsid w:val="00D84060"/>
    <w:rsid w:val="00D8410C"/>
    <w:rsid w:val="00D84157"/>
    <w:rsid w:val="00D84196"/>
    <w:rsid w:val="00D842D0"/>
    <w:rsid w:val="00D8461B"/>
    <w:rsid w:val="00D847B9"/>
    <w:rsid w:val="00D84ABC"/>
    <w:rsid w:val="00D84B37"/>
    <w:rsid w:val="00D84B48"/>
    <w:rsid w:val="00D84CE6"/>
    <w:rsid w:val="00D84DD8"/>
    <w:rsid w:val="00D84E8E"/>
    <w:rsid w:val="00D84F01"/>
    <w:rsid w:val="00D8532D"/>
    <w:rsid w:val="00D8544A"/>
    <w:rsid w:val="00D8547F"/>
    <w:rsid w:val="00D8558A"/>
    <w:rsid w:val="00D8558C"/>
    <w:rsid w:val="00D85942"/>
    <w:rsid w:val="00D85A56"/>
    <w:rsid w:val="00D85C3F"/>
    <w:rsid w:val="00D85E48"/>
    <w:rsid w:val="00D85F5F"/>
    <w:rsid w:val="00D86117"/>
    <w:rsid w:val="00D8628D"/>
    <w:rsid w:val="00D86362"/>
    <w:rsid w:val="00D865D6"/>
    <w:rsid w:val="00D867B8"/>
    <w:rsid w:val="00D868C1"/>
    <w:rsid w:val="00D868D3"/>
    <w:rsid w:val="00D86913"/>
    <w:rsid w:val="00D8699D"/>
    <w:rsid w:val="00D86C50"/>
    <w:rsid w:val="00D86F5E"/>
    <w:rsid w:val="00D86F8F"/>
    <w:rsid w:val="00D86FA2"/>
    <w:rsid w:val="00D86FA9"/>
    <w:rsid w:val="00D8701A"/>
    <w:rsid w:val="00D870BD"/>
    <w:rsid w:val="00D871B4"/>
    <w:rsid w:val="00D87217"/>
    <w:rsid w:val="00D8721D"/>
    <w:rsid w:val="00D8741B"/>
    <w:rsid w:val="00D87553"/>
    <w:rsid w:val="00D875AD"/>
    <w:rsid w:val="00D87747"/>
    <w:rsid w:val="00D878AC"/>
    <w:rsid w:val="00D8790E"/>
    <w:rsid w:val="00D87A50"/>
    <w:rsid w:val="00D87DA8"/>
    <w:rsid w:val="00D87DCF"/>
    <w:rsid w:val="00D87E07"/>
    <w:rsid w:val="00D87ECD"/>
    <w:rsid w:val="00D900BC"/>
    <w:rsid w:val="00D9024A"/>
    <w:rsid w:val="00D90289"/>
    <w:rsid w:val="00D90392"/>
    <w:rsid w:val="00D90568"/>
    <w:rsid w:val="00D906BC"/>
    <w:rsid w:val="00D907A5"/>
    <w:rsid w:val="00D907F3"/>
    <w:rsid w:val="00D91114"/>
    <w:rsid w:val="00D91242"/>
    <w:rsid w:val="00D91287"/>
    <w:rsid w:val="00D914C3"/>
    <w:rsid w:val="00D91500"/>
    <w:rsid w:val="00D9180C"/>
    <w:rsid w:val="00D91A38"/>
    <w:rsid w:val="00D91A3B"/>
    <w:rsid w:val="00D91D3D"/>
    <w:rsid w:val="00D91FC0"/>
    <w:rsid w:val="00D91FE1"/>
    <w:rsid w:val="00D92191"/>
    <w:rsid w:val="00D921DB"/>
    <w:rsid w:val="00D92260"/>
    <w:rsid w:val="00D9229F"/>
    <w:rsid w:val="00D922D8"/>
    <w:rsid w:val="00D92321"/>
    <w:rsid w:val="00D9241F"/>
    <w:rsid w:val="00D92634"/>
    <w:rsid w:val="00D92683"/>
    <w:rsid w:val="00D9277A"/>
    <w:rsid w:val="00D92935"/>
    <w:rsid w:val="00D929DF"/>
    <w:rsid w:val="00D92A83"/>
    <w:rsid w:val="00D92C67"/>
    <w:rsid w:val="00D92CF3"/>
    <w:rsid w:val="00D92F04"/>
    <w:rsid w:val="00D92F21"/>
    <w:rsid w:val="00D92F3B"/>
    <w:rsid w:val="00D93039"/>
    <w:rsid w:val="00D93043"/>
    <w:rsid w:val="00D93229"/>
    <w:rsid w:val="00D932DE"/>
    <w:rsid w:val="00D93369"/>
    <w:rsid w:val="00D93373"/>
    <w:rsid w:val="00D933AB"/>
    <w:rsid w:val="00D93474"/>
    <w:rsid w:val="00D934B1"/>
    <w:rsid w:val="00D93699"/>
    <w:rsid w:val="00D938B9"/>
    <w:rsid w:val="00D93969"/>
    <w:rsid w:val="00D93A3E"/>
    <w:rsid w:val="00D93AB3"/>
    <w:rsid w:val="00D93E24"/>
    <w:rsid w:val="00D93F3F"/>
    <w:rsid w:val="00D94078"/>
    <w:rsid w:val="00D94305"/>
    <w:rsid w:val="00D9435F"/>
    <w:rsid w:val="00D9446F"/>
    <w:rsid w:val="00D94562"/>
    <w:rsid w:val="00D9458C"/>
    <w:rsid w:val="00D945AD"/>
    <w:rsid w:val="00D947A3"/>
    <w:rsid w:val="00D94850"/>
    <w:rsid w:val="00D94875"/>
    <w:rsid w:val="00D94892"/>
    <w:rsid w:val="00D949D1"/>
    <w:rsid w:val="00D94B0F"/>
    <w:rsid w:val="00D94B9C"/>
    <w:rsid w:val="00D94BD3"/>
    <w:rsid w:val="00D94C64"/>
    <w:rsid w:val="00D94D8A"/>
    <w:rsid w:val="00D94F26"/>
    <w:rsid w:val="00D94FCD"/>
    <w:rsid w:val="00D9508D"/>
    <w:rsid w:val="00D95090"/>
    <w:rsid w:val="00D952D6"/>
    <w:rsid w:val="00D9539A"/>
    <w:rsid w:val="00D955B8"/>
    <w:rsid w:val="00D95628"/>
    <w:rsid w:val="00D9573D"/>
    <w:rsid w:val="00D9575C"/>
    <w:rsid w:val="00D95A02"/>
    <w:rsid w:val="00D95C23"/>
    <w:rsid w:val="00D95CFC"/>
    <w:rsid w:val="00D95D1D"/>
    <w:rsid w:val="00D95FAA"/>
    <w:rsid w:val="00D9610A"/>
    <w:rsid w:val="00D96119"/>
    <w:rsid w:val="00D963C5"/>
    <w:rsid w:val="00D964DC"/>
    <w:rsid w:val="00D964FE"/>
    <w:rsid w:val="00D96628"/>
    <w:rsid w:val="00D9667E"/>
    <w:rsid w:val="00D9676D"/>
    <w:rsid w:val="00D96862"/>
    <w:rsid w:val="00D968C5"/>
    <w:rsid w:val="00D9690E"/>
    <w:rsid w:val="00D96A84"/>
    <w:rsid w:val="00D96BD2"/>
    <w:rsid w:val="00D96D38"/>
    <w:rsid w:val="00D96E19"/>
    <w:rsid w:val="00D96E45"/>
    <w:rsid w:val="00D970EA"/>
    <w:rsid w:val="00D97288"/>
    <w:rsid w:val="00D97371"/>
    <w:rsid w:val="00D97515"/>
    <w:rsid w:val="00D97742"/>
    <w:rsid w:val="00D978B2"/>
    <w:rsid w:val="00D97907"/>
    <w:rsid w:val="00D97A54"/>
    <w:rsid w:val="00D97BFA"/>
    <w:rsid w:val="00D97CDB"/>
    <w:rsid w:val="00D97D6E"/>
    <w:rsid w:val="00D97DC3"/>
    <w:rsid w:val="00DA0129"/>
    <w:rsid w:val="00DA012D"/>
    <w:rsid w:val="00DA01A9"/>
    <w:rsid w:val="00DA0280"/>
    <w:rsid w:val="00DA046B"/>
    <w:rsid w:val="00DA0694"/>
    <w:rsid w:val="00DA078A"/>
    <w:rsid w:val="00DA0889"/>
    <w:rsid w:val="00DA09CF"/>
    <w:rsid w:val="00DA0A67"/>
    <w:rsid w:val="00DA0D62"/>
    <w:rsid w:val="00DA0E4C"/>
    <w:rsid w:val="00DA0F49"/>
    <w:rsid w:val="00DA0FC0"/>
    <w:rsid w:val="00DA0FCB"/>
    <w:rsid w:val="00DA1032"/>
    <w:rsid w:val="00DA12EC"/>
    <w:rsid w:val="00DA13D3"/>
    <w:rsid w:val="00DA13F3"/>
    <w:rsid w:val="00DA16F9"/>
    <w:rsid w:val="00DA17F7"/>
    <w:rsid w:val="00DA1858"/>
    <w:rsid w:val="00DA1919"/>
    <w:rsid w:val="00DA19D1"/>
    <w:rsid w:val="00DA1C25"/>
    <w:rsid w:val="00DA1E70"/>
    <w:rsid w:val="00DA1F9F"/>
    <w:rsid w:val="00DA1FCC"/>
    <w:rsid w:val="00DA21FD"/>
    <w:rsid w:val="00DA2241"/>
    <w:rsid w:val="00DA24B3"/>
    <w:rsid w:val="00DA2519"/>
    <w:rsid w:val="00DA2627"/>
    <w:rsid w:val="00DA262B"/>
    <w:rsid w:val="00DA267D"/>
    <w:rsid w:val="00DA27AB"/>
    <w:rsid w:val="00DA29BD"/>
    <w:rsid w:val="00DA2AA4"/>
    <w:rsid w:val="00DA2BCC"/>
    <w:rsid w:val="00DA2CBC"/>
    <w:rsid w:val="00DA2DC1"/>
    <w:rsid w:val="00DA2E13"/>
    <w:rsid w:val="00DA2E56"/>
    <w:rsid w:val="00DA32CB"/>
    <w:rsid w:val="00DA34DC"/>
    <w:rsid w:val="00DA37E7"/>
    <w:rsid w:val="00DA38D8"/>
    <w:rsid w:val="00DA3912"/>
    <w:rsid w:val="00DA39DF"/>
    <w:rsid w:val="00DA3AE4"/>
    <w:rsid w:val="00DA3D61"/>
    <w:rsid w:val="00DA3F93"/>
    <w:rsid w:val="00DA411F"/>
    <w:rsid w:val="00DA41DA"/>
    <w:rsid w:val="00DA4531"/>
    <w:rsid w:val="00DA45C1"/>
    <w:rsid w:val="00DA47D0"/>
    <w:rsid w:val="00DA4959"/>
    <w:rsid w:val="00DA49CC"/>
    <w:rsid w:val="00DA4BAC"/>
    <w:rsid w:val="00DA4BFE"/>
    <w:rsid w:val="00DA4C01"/>
    <w:rsid w:val="00DA4C8D"/>
    <w:rsid w:val="00DA4C9C"/>
    <w:rsid w:val="00DA4CB9"/>
    <w:rsid w:val="00DA4F5F"/>
    <w:rsid w:val="00DA50FA"/>
    <w:rsid w:val="00DA5230"/>
    <w:rsid w:val="00DA52DD"/>
    <w:rsid w:val="00DA54B1"/>
    <w:rsid w:val="00DA55E0"/>
    <w:rsid w:val="00DA56C5"/>
    <w:rsid w:val="00DA5831"/>
    <w:rsid w:val="00DA584A"/>
    <w:rsid w:val="00DA5A25"/>
    <w:rsid w:val="00DA5B9D"/>
    <w:rsid w:val="00DA5C46"/>
    <w:rsid w:val="00DA5CAE"/>
    <w:rsid w:val="00DA5E2F"/>
    <w:rsid w:val="00DA5EF1"/>
    <w:rsid w:val="00DA5F38"/>
    <w:rsid w:val="00DA5FCC"/>
    <w:rsid w:val="00DA60CE"/>
    <w:rsid w:val="00DA6125"/>
    <w:rsid w:val="00DA61AE"/>
    <w:rsid w:val="00DA62E6"/>
    <w:rsid w:val="00DA62F1"/>
    <w:rsid w:val="00DA631B"/>
    <w:rsid w:val="00DA6420"/>
    <w:rsid w:val="00DA6472"/>
    <w:rsid w:val="00DA652B"/>
    <w:rsid w:val="00DA6616"/>
    <w:rsid w:val="00DA66FB"/>
    <w:rsid w:val="00DA672B"/>
    <w:rsid w:val="00DA67DB"/>
    <w:rsid w:val="00DA687F"/>
    <w:rsid w:val="00DA68A6"/>
    <w:rsid w:val="00DA6920"/>
    <w:rsid w:val="00DA6945"/>
    <w:rsid w:val="00DA6A21"/>
    <w:rsid w:val="00DA6A65"/>
    <w:rsid w:val="00DA6AAE"/>
    <w:rsid w:val="00DA6BF8"/>
    <w:rsid w:val="00DA6C1A"/>
    <w:rsid w:val="00DA6CBB"/>
    <w:rsid w:val="00DA6E5B"/>
    <w:rsid w:val="00DA6ED6"/>
    <w:rsid w:val="00DA6FE6"/>
    <w:rsid w:val="00DA6FF9"/>
    <w:rsid w:val="00DA709D"/>
    <w:rsid w:val="00DA70ED"/>
    <w:rsid w:val="00DA7168"/>
    <w:rsid w:val="00DA7358"/>
    <w:rsid w:val="00DA73B9"/>
    <w:rsid w:val="00DA73E2"/>
    <w:rsid w:val="00DA751F"/>
    <w:rsid w:val="00DA7A39"/>
    <w:rsid w:val="00DA7BBF"/>
    <w:rsid w:val="00DA7BC4"/>
    <w:rsid w:val="00DA7CCC"/>
    <w:rsid w:val="00DA7D56"/>
    <w:rsid w:val="00DB0135"/>
    <w:rsid w:val="00DB0209"/>
    <w:rsid w:val="00DB023A"/>
    <w:rsid w:val="00DB0258"/>
    <w:rsid w:val="00DB03C9"/>
    <w:rsid w:val="00DB0453"/>
    <w:rsid w:val="00DB0517"/>
    <w:rsid w:val="00DB05AF"/>
    <w:rsid w:val="00DB0634"/>
    <w:rsid w:val="00DB0A3E"/>
    <w:rsid w:val="00DB0AD8"/>
    <w:rsid w:val="00DB0CD7"/>
    <w:rsid w:val="00DB104C"/>
    <w:rsid w:val="00DB10A4"/>
    <w:rsid w:val="00DB1124"/>
    <w:rsid w:val="00DB1170"/>
    <w:rsid w:val="00DB1192"/>
    <w:rsid w:val="00DB1637"/>
    <w:rsid w:val="00DB1865"/>
    <w:rsid w:val="00DB1883"/>
    <w:rsid w:val="00DB1985"/>
    <w:rsid w:val="00DB1A5E"/>
    <w:rsid w:val="00DB1B8C"/>
    <w:rsid w:val="00DB1DD7"/>
    <w:rsid w:val="00DB1E3B"/>
    <w:rsid w:val="00DB206C"/>
    <w:rsid w:val="00DB2148"/>
    <w:rsid w:val="00DB236F"/>
    <w:rsid w:val="00DB28EA"/>
    <w:rsid w:val="00DB2A9B"/>
    <w:rsid w:val="00DB2AC1"/>
    <w:rsid w:val="00DB2AF3"/>
    <w:rsid w:val="00DB2B0E"/>
    <w:rsid w:val="00DB2C8E"/>
    <w:rsid w:val="00DB2CE9"/>
    <w:rsid w:val="00DB2D1E"/>
    <w:rsid w:val="00DB2E8A"/>
    <w:rsid w:val="00DB305F"/>
    <w:rsid w:val="00DB3262"/>
    <w:rsid w:val="00DB3446"/>
    <w:rsid w:val="00DB369D"/>
    <w:rsid w:val="00DB378F"/>
    <w:rsid w:val="00DB37A9"/>
    <w:rsid w:val="00DB383D"/>
    <w:rsid w:val="00DB3943"/>
    <w:rsid w:val="00DB39EC"/>
    <w:rsid w:val="00DB3BF1"/>
    <w:rsid w:val="00DB3DAF"/>
    <w:rsid w:val="00DB3F14"/>
    <w:rsid w:val="00DB3F20"/>
    <w:rsid w:val="00DB3FF8"/>
    <w:rsid w:val="00DB4424"/>
    <w:rsid w:val="00DB4541"/>
    <w:rsid w:val="00DB4585"/>
    <w:rsid w:val="00DB469C"/>
    <w:rsid w:val="00DB46FF"/>
    <w:rsid w:val="00DB48C6"/>
    <w:rsid w:val="00DB49AD"/>
    <w:rsid w:val="00DB4A38"/>
    <w:rsid w:val="00DB4B96"/>
    <w:rsid w:val="00DB5141"/>
    <w:rsid w:val="00DB516B"/>
    <w:rsid w:val="00DB52C2"/>
    <w:rsid w:val="00DB5312"/>
    <w:rsid w:val="00DB535A"/>
    <w:rsid w:val="00DB54CF"/>
    <w:rsid w:val="00DB56E0"/>
    <w:rsid w:val="00DB5900"/>
    <w:rsid w:val="00DB5908"/>
    <w:rsid w:val="00DB59BD"/>
    <w:rsid w:val="00DB5ADB"/>
    <w:rsid w:val="00DB5BC6"/>
    <w:rsid w:val="00DB5D65"/>
    <w:rsid w:val="00DB61E5"/>
    <w:rsid w:val="00DB6244"/>
    <w:rsid w:val="00DB6278"/>
    <w:rsid w:val="00DB6326"/>
    <w:rsid w:val="00DB6594"/>
    <w:rsid w:val="00DB65DC"/>
    <w:rsid w:val="00DB6621"/>
    <w:rsid w:val="00DB66E6"/>
    <w:rsid w:val="00DB6765"/>
    <w:rsid w:val="00DB6941"/>
    <w:rsid w:val="00DB6A88"/>
    <w:rsid w:val="00DB6ABA"/>
    <w:rsid w:val="00DB6BD6"/>
    <w:rsid w:val="00DB6D39"/>
    <w:rsid w:val="00DB6FFF"/>
    <w:rsid w:val="00DB70D7"/>
    <w:rsid w:val="00DB70F4"/>
    <w:rsid w:val="00DB72E2"/>
    <w:rsid w:val="00DB7339"/>
    <w:rsid w:val="00DB7453"/>
    <w:rsid w:val="00DB7787"/>
    <w:rsid w:val="00DB7963"/>
    <w:rsid w:val="00DB79A0"/>
    <w:rsid w:val="00DB7B42"/>
    <w:rsid w:val="00DB7C1B"/>
    <w:rsid w:val="00DB7CF3"/>
    <w:rsid w:val="00DB7E8C"/>
    <w:rsid w:val="00DB7EEF"/>
    <w:rsid w:val="00DC0201"/>
    <w:rsid w:val="00DC033E"/>
    <w:rsid w:val="00DC04E4"/>
    <w:rsid w:val="00DC05F8"/>
    <w:rsid w:val="00DC0639"/>
    <w:rsid w:val="00DC06DF"/>
    <w:rsid w:val="00DC074C"/>
    <w:rsid w:val="00DC07B4"/>
    <w:rsid w:val="00DC09A7"/>
    <w:rsid w:val="00DC0A25"/>
    <w:rsid w:val="00DC0A30"/>
    <w:rsid w:val="00DC0BA6"/>
    <w:rsid w:val="00DC0EA4"/>
    <w:rsid w:val="00DC1088"/>
    <w:rsid w:val="00DC10A9"/>
    <w:rsid w:val="00DC1175"/>
    <w:rsid w:val="00DC120D"/>
    <w:rsid w:val="00DC1270"/>
    <w:rsid w:val="00DC13FC"/>
    <w:rsid w:val="00DC1459"/>
    <w:rsid w:val="00DC1A58"/>
    <w:rsid w:val="00DC1A5F"/>
    <w:rsid w:val="00DC1A9C"/>
    <w:rsid w:val="00DC1C84"/>
    <w:rsid w:val="00DC1D9E"/>
    <w:rsid w:val="00DC1E7E"/>
    <w:rsid w:val="00DC1EAE"/>
    <w:rsid w:val="00DC1F7B"/>
    <w:rsid w:val="00DC1F86"/>
    <w:rsid w:val="00DC2148"/>
    <w:rsid w:val="00DC2171"/>
    <w:rsid w:val="00DC2350"/>
    <w:rsid w:val="00DC2366"/>
    <w:rsid w:val="00DC2453"/>
    <w:rsid w:val="00DC262B"/>
    <w:rsid w:val="00DC28DA"/>
    <w:rsid w:val="00DC2AB7"/>
    <w:rsid w:val="00DC2B22"/>
    <w:rsid w:val="00DC2C26"/>
    <w:rsid w:val="00DC2EC8"/>
    <w:rsid w:val="00DC300B"/>
    <w:rsid w:val="00DC30C3"/>
    <w:rsid w:val="00DC3156"/>
    <w:rsid w:val="00DC3204"/>
    <w:rsid w:val="00DC3325"/>
    <w:rsid w:val="00DC3451"/>
    <w:rsid w:val="00DC353D"/>
    <w:rsid w:val="00DC3597"/>
    <w:rsid w:val="00DC374B"/>
    <w:rsid w:val="00DC385A"/>
    <w:rsid w:val="00DC38B2"/>
    <w:rsid w:val="00DC3940"/>
    <w:rsid w:val="00DC3C85"/>
    <w:rsid w:val="00DC3DAE"/>
    <w:rsid w:val="00DC3DF7"/>
    <w:rsid w:val="00DC40C6"/>
    <w:rsid w:val="00DC421F"/>
    <w:rsid w:val="00DC44D5"/>
    <w:rsid w:val="00DC4567"/>
    <w:rsid w:val="00DC46F2"/>
    <w:rsid w:val="00DC4896"/>
    <w:rsid w:val="00DC494A"/>
    <w:rsid w:val="00DC4A62"/>
    <w:rsid w:val="00DC4AE5"/>
    <w:rsid w:val="00DC4D81"/>
    <w:rsid w:val="00DC50AF"/>
    <w:rsid w:val="00DC5184"/>
    <w:rsid w:val="00DC518F"/>
    <w:rsid w:val="00DC5453"/>
    <w:rsid w:val="00DC54CD"/>
    <w:rsid w:val="00DC553A"/>
    <w:rsid w:val="00DC55BA"/>
    <w:rsid w:val="00DC57A4"/>
    <w:rsid w:val="00DC57A8"/>
    <w:rsid w:val="00DC590E"/>
    <w:rsid w:val="00DC5A86"/>
    <w:rsid w:val="00DC5ABE"/>
    <w:rsid w:val="00DC5B9C"/>
    <w:rsid w:val="00DC5BB9"/>
    <w:rsid w:val="00DC5C92"/>
    <w:rsid w:val="00DC5D2A"/>
    <w:rsid w:val="00DC611A"/>
    <w:rsid w:val="00DC618B"/>
    <w:rsid w:val="00DC61BA"/>
    <w:rsid w:val="00DC639D"/>
    <w:rsid w:val="00DC63E4"/>
    <w:rsid w:val="00DC66DA"/>
    <w:rsid w:val="00DC6745"/>
    <w:rsid w:val="00DC686B"/>
    <w:rsid w:val="00DC6AFB"/>
    <w:rsid w:val="00DC6B07"/>
    <w:rsid w:val="00DC6C1F"/>
    <w:rsid w:val="00DC6CB5"/>
    <w:rsid w:val="00DC6CF8"/>
    <w:rsid w:val="00DC6D50"/>
    <w:rsid w:val="00DC6D65"/>
    <w:rsid w:val="00DC6E85"/>
    <w:rsid w:val="00DC6F2C"/>
    <w:rsid w:val="00DC6F5F"/>
    <w:rsid w:val="00DC6FAB"/>
    <w:rsid w:val="00DC700D"/>
    <w:rsid w:val="00DC7082"/>
    <w:rsid w:val="00DC713E"/>
    <w:rsid w:val="00DC71DD"/>
    <w:rsid w:val="00DC732B"/>
    <w:rsid w:val="00DC7395"/>
    <w:rsid w:val="00DC73CB"/>
    <w:rsid w:val="00DC75B7"/>
    <w:rsid w:val="00DC7606"/>
    <w:rsid w:val="00DC7A3E"/>
    <w:rsid w:val="00DC7D9E"/>
    <w:rsid w:val="00DC7E05"/>
    <w:rsid w:val="00DC7E75"/>
    <w:rsid w:val="00DC7E7B"/>
    <w:rsid w:val="00DC7F0A"/>
    <w:rsid w:val="00DC7F0E"/>
    <w:rsid w:val="00DC7F9B"/>
    <w:rsid w:val="00DC7FD2"/>
    <w:rsid w:val="00DC7FE2"/>
    <w:rsid w:val="00DD002F"/>
    <w:rsid w:val="00DD01D0"/>
    <w:rsid w:val="00DD0559"/>
    <w:rsid w:val="00DD077F"/>
    <w:rsid w:val="00DD07D1"/>
    <w:rsid w:val="00DD081C"/>
    <w:rsid w:val="00DD08CA"/>
    <w:rsid w:val="00DD0900"/>
    <w:rsid w:val="00DD0932"/>
    <w:rsid w:val="00DD0998"/>
    <w:rsid w:val="00DD0A06"/>
    <w:rsid w:val="00DD0BA2"/>
    <w:rsid w:val="00DD0BA3"/>
    <w:rsid w:val="00DD0CFF"/>
    <w:rsid w:val="00DD10B8"/>
    <w:rsid w:val="00DD1132"/>
    <w:rsid w:val="00DD1264"/>
    <w:rsid w:val="00DD1307"/>
    <w:rsid w:val="00DD1315"/>
    <w:rsid w:val="00DD1427"/>
    <w:rsid w:val="00DD14B8"/>
    <w:rsid w:val="00DD15E9"/>
    <w:rsid w:val="00DD19C8"/>
    <w:rsid w:val="00DD1C58"/>
    <w:rsid w:val="00DD1D5F"/>
    <w:rsid w:val="00DD200C"/>
    <w:rsid w:val="00DD2189"/>
    <w:rsid w:val="00DD21C6"/>
    <w:rsid w:val="00DD225A"/>
    <w:rsid w:val="00DD23CC"/>
    <w:rsid w:val="00DD267B"/>
    <w:rsid w:val="00DD27DA"/>
    <w:rsid w:val="00DD31C4"/>
    <w:rsid w:val="00DD3336"/>
    <w:rsid w:val="00DD33AE"/>
    <w:rsid w:val="00DD33E5"/>
    <w:rsid w:val="00DD3406"/>
    <w:rsid w:val="00DD347F"/>
    <w:rsid w:val="00DD34D6"/>
    <w:rsid w:val="00DD359F"/>
    <w:rsid w:val="00DD35B5"/>
    <w:rsid w:val="00DD3790"/>
    <w:rsid w:val="00DD3A40"/>
    <w:rsid w:val="00DD3A60"/>
    <w:rsid w:val="00DD3B05"/>
    <w:rsid w:val="00DD3B81"/>
    <w:rsid w:val="00DD3FCE"/>
    <w:rsid w:val="00DD3FD5"/>
    <w:rsid w:val="00DD402A"/>
    <w:rsid w:val="00DD414F"/>
    <w:rsid w:val="00DD4245"/>
    <w:rsid w:val="00DD4419"/>
    <w:rsid w:val="00DD44AE"/>
    <w:rsid w:val="00DD4673"/>
    <w:rsid w:val="00DD482A"/>
    <w:rsid w:val="00DD490C"/>
    <w:rsid w:val="00DD4ACC"/>
    <w:rsid w:val="00DD4D15"/>
    <w:rsid w:val="00DD4D49"/>
    <w:rsid w:val="00DD4E4B"/>
    <w:rsid w:val="00DD5157"/>
    <w:rsid w:val="00DD547D"/>
    <w:rsid w:val="00DD550E"/>
    <w:rsid w:val="00DD55D2"/>
    <w:rsid w:val="00DD55FE"/>
    <w:rsid w:val="00DD574B"/>
    <w:rsid w:val="00DD5888"/>
    <w:rsid w:val="00DD5989"/>
    <w:rsid w:val="00DD5DA4"/>
    <w:rsid w:val="00DD5E97"/>
    <w:rsid w:val="00DD5EAF"/>
    <w:rsid w:val="00DD5F88"/>
    <w:rsid w:val="00DD61A0"/>
    <w:rsid w:val="00DD622D"/>
    <w:rsid w:val="00DD6425"/>
    <w:rsid w:val="00DD6675"/>
    <w:rsid w:val="00DD67D4"/>
    <w:rsid w:val="00DD67F6"/>
    <w:rsid w:val="00DD6C1A"/>
    <w:rsid w:val="00DD6DBA"/>
    <w:rsid w:val="00DD6FFE"/>
    <w:rsid w:val="00DD7096"/>
    <w:rsid w:val="00DD711E"/>
    <w:rsid w:val="00DD738F"/>
    <w:rsid w:val="00DD7394"/>
    <w:rsid w:val="00DD74BA"/>
    <w:rsid w:val="00DD75A4"/>
    <w:rsid w:val="00DD75CB"/>
    <w:rsid w:val="00DD7865"/>
    <w:rsid w:val="00DD7868"/>
    <w:rsid w:val="00DD7876"/>
    <w:rsid w:val="00DD79D5"/>
    <w:rsid w:val="00DD7A50"/>
    <w:rsid w:val="00DD7DEA"/>
    <w:rsid w:val="00DD7E04"/>
    <w:rsid w:val="00DD7E76"/>
    <w:rsid w:val="00DD7EC2"/>
    <w:rsid w:val="00DE0192"/>
    <w:rsid w:val="00DE0500"/>
    <w:rsid w:val="00DE051A"/>
    <w:rsid w:val="00DE07FC"/>
    <w:rsid w:val="00DE081C"/>
    <w:rsid w:val="00DE09BF"/>
    <w:rsid w:val="00DE0D38"/>
    <w:rsid w:val="00DE0F35"/>
    <w:rsid w:val="00DE0F8F"/>
    <w:rsid w:val="00DE1085"/>
    <w:rsid w:val="00DE1201"/>
    <w:rsid w:val="00DE13FA"/>
    <w:rsid w:val="00DE168D"/>
    <w:rsid w:val="00DE1769"/>
    <w:rsid w:val="00DE1817"/>
    <w:rsid w:val="00DE1922"/>
    <w:rsid w:val="00DE19D7"/>
    <w:rsid w:val="00DE1BCD"/>
    <w:rsid w:val="00DE1C1C"/>
    <w:rsid w:val="00DE1CC5"/>
    <w:rsid w:val="00DE1E22"/>
    <w:rsid w:val="00DE1E35"/>
    <w:rsid w:val="00DE1E7D"/>
    <w:rsid w:val="00DE1EE1"/>
    <w:rsid w:val="00DE1FE3"/>
    <w:rsid w:val="00DE210D"/>
    <w:rsid w:val="00DE225C"/>
    <w:rsid w:val="00DE26F5"/>
    <w:rsid w:val="00DE28C9"/>
    <w:rsid w:val="00DE2AAA"/>
    <w:rsid w:val="00DE2E2C"/>
    <w:rsid w:val="00DE30D8"/>
    <w:rsid w:val="00DE31C3"/>
    <w:rsid w:val="00DE3349"/>
    <w:rsid w:val="00DE344A"/>
    <w:rsid w:val="00DE34BD"/>
    <w:rsid w:val="00DE3727"/>
    <w:rsid w:val="00DE3B04"/>
    <w:rsid w:val="00DE3C19"/>
    <w:rsid w:val="00DE3DAD"/>
    <w:rsid w:val="00DE413E"/>
    <w:rsid w:val="00DE434F"/>
    <w:rsid w:val="00DE44C9"/>
    <w:rsid w:val="00DE465C"/>
    <w:rsid w:val="00DE47F4"/>
    <w:rsid w:val="00DE48B0"/>
    <w:rsid w:val="00DE4988"/>
    <w:rsid w:val="00DE4A27"/>
    <w:rsid w:val="00DE4A33"/>
    <w:rsid w:val="00DE4A36"/>
    <w:rsid w:val="00DE4A4B"/>
    <w:rsid w:val="00DE4A65"/>
    <w:rsid w:val="00DE4AC7"/>
    <w:rsid w:val="00DE4B2E"/>
    <w:rsid w:val="00DE4B4B"/>
    <w:rsid w:val="00DE4D15"/>
    <w:rsid w:val="00DE4D1D"/>
    <w:rsid w:val="00DE4DBC"/>
    <w:rsid w:val="00DE5013"/>
    <w:rsid w:val="00DE5073"/>
    <w:rsid w:val="00DE5269"/>
    <w:rsid w:val="00DE526D"/>
    <w:rsid w:val="00DE52E0"/>
    <w:rsid w:val="00DE5409"/>
    <w:rsid w:val="00DE5618"/>
    <w:rsid w:val="00DE56F9"/>
    <w:rsid w:val="00DE5775"/>
    <w:rsid w:val="00DE59A8"/>
    <w:rsid w:val="00DE5C74"/>
    <w:rsid w:val="00DE5C8D"/>
    <w:rsid w:val="00DE5CE5"/>
    <w:rsid w:val="00DE5CF6"/>
    <w:rsid w:val="00DE5D89"/>
    <w:rsid w:val="00DE5DF6"/>
    <w:rsid w:val="00DE5E4C"/>
    <w:rsid w:val="00DE5F10"/>
    <w:rsid w:val="00DE5F38"/>
    <w:rsid w:val="00DE60A2"/>
    <w:rsid w:val="00DE60DC"/>
    <w:rsid w:val="00DE629B"/>
    <w:rsid w:val="00DE6323"/>
    <w:rsid w:val="00DE63FB"/>
    <w:rsid w:val="00DE646D"/>
    <w:rsid w:val="00DE6701"/>
    <w:rsid w:val="00DE6751"/>
    <w:rsid w:val="00DE697B"/>
    <w:rsid w:val="00DE6C53"/>
    <w:rsid w:val="00DE6CA9"/>
    <w:rsid w:val="00DE6EC9"/>
    <w:rsid w:val="00DE6F85"/>
    <w:rsid w:val="00DE7145"/>
    <w:rsid w:val="00DE7167"/>
    <w:rsid w:val="00DE73B1"/>
    <w:rsid w:val="00DE76F7"/>
    <w:rsid w:val="00DE77E0"/>
    <w:rsid w:val="00DE7A3F"/>
    <w:rsid w:val="00DE7DF1"/>
    <w:rsid w:val="00DF00CC"/>
    <w:rsid w:val="00DF027D"/>
    <w:rsid w:val="00DF0553"/>
    <w:rsid w:val="00DF060C"/>
    <w:rsid w:val="00DF0723"/>
    <w:rsid w:val="00DF072A"/>
    <w:rsid w:val="00DF07CF"/>
    <w:rsid w:val="00DF0909"/>
    <w:rsid w:val="00DF0A6A"/>
    <w:rsid w:val="00DF0AA0"/>
    <w:rsid w:val="00DF0AA2"/>
    <w:rsid w:val="00DF0BA5"/>
    <w:rsid w:val="00DF0D33"/>
    <w:rsid w:val="00DF0DDD"/>
    <w:rsid w:val="00DF0F2B"/>
    <w:rsid w:val="00DF0FE9"/>
    <w:rsid w:val="00DF100A"/>
    <w:rsid w:val="00DF1025"/>
    <w:rsid w:val="00DF13BD"/>
    <w:rsid w:val="00DF1453"/>
    <w:rsid w:val="00DF14A2"/>
    <w:rsid w:val="00DF17A1"/>
    <w:rsid w:val="00DF1A4B"/>
    <w:rsid w:val="00DF205C"/>
    <w:rsid w:val="00DF209F"/>
    <w:rsid w:val="00DF2215"/>
    <w:rsid w:val="00DF222C"/>
    <w:rsid w:val="00DF225D"/>
    <w:rsid w:val="00DF2264"/>
    <w:rsid w:val="00DF2579"/>
    <w:rsid w:val="00DF278C"/>
    <w:rsid w:val="00DF27AE"/>
    <w:rsid w:val="00DF27EE"/>
    <w:rsid w:val="00DF28E1"/>
    <w:rsid w:val="00DF2947"/>
    <w:rsid w:val="00DF296B"/>
    <w:rsid w:val="00DF2A09"/>
    <w:rsid w:val="00DF2C38"/>
    <w:rsid w:val="00DF2C93"/>
    <w:rsid w:val="00DF2F2B"/>
    <w:rsid w:val="00DF31BA"/>
    <w:rsid w:val="00DF324C"/>
    <w:rsid w:val="00DF3253"/>
    <w:rsid w:val="00DF3324"/>
    <w:rsid w:val="00DF3495"/>
    <w:rsid w:val="00DF356F"/>
    <w:rsid w:val="00DF3571"/>
    <w:rsid w:val="00DF399D"/>
    <w:rsid w:val="00DF3A0C"/>
    <w:rsid w:val="00DF3B84"/>
    <w:rsid w:val="00DF3C60"/>
    <w:rsid w:val="00DF3D13"/>
    <w:rsid w:val="00DF3EAC"/>
    <w:rsid w:val="00DF3FB4"/>
    <w:rsid w:val="00DF41FA"/>
    <w:rsid w:val="00DF42B9"/>
    <w:rsid w:val="00DF434A"/>
    <w:rsid w:val="00DF43ED"/>
    <w:rsid w:val="00DF45DA"/>
    <w:rsid w:val="00DF4883"/>
    <w:rsid w:val="00DF4B1A"/>
    <w:rsid w:val="00DF4C7E"/>
    <w:rsid w:val="00DF4DB9"/>
    <w:rsid w:val="00DF5221"/>
    <w:rsid w:val="00DF545A"/>
    <w:rsid w:val="00DF5463"/>
    <w:rsid w:val="00DF56BC"/>
    <w:rsid w:val="00DF571B"/>
    <w:rsid w:val="00DF58A8"/>
    <w:rsid w:val="00DF58F4"/>
    <w:rsid w:val="00DF5946"/>
    <w:rsid w:val="00DF59D7"/>
    <w:rsid w:val="00DF5B16"/>
    <w:rsid w:val="00DF5C52"/>
    <w:rsid w:val="00DF5DE0"/>
    <w:rsid w:val="00DF5E4C"/>
    <w:rsid w:val="00DF604E"/>
    <w:rsid w:val="00DF6153"/>
    <w:rsid w:val="00DF63E0"/>
    <w:rsid w:val="00DF647E"/>
    <w:rsid w:val="00DF653A"/>
    <w:rsid w:val="00DF65EE"/>
    <w:rsid w:val="00DF6670"/>
    <w:rsid w:val="00DF669C"/>
    <w:rsid w:val="00DF671B"/>
    <w:rsid w:val="00DF67EA"/>
    <w:rsid w:val="00DF6A21"/>
    <w:rsid w:val="00DF6C7A"/>
    <w:rsid w:val="00DF6DBC"/>
    <w:rsid w:val="00DF6E7B"/>
    <w:rsid w:val="00DF6ED2"/>
    <w:rsid w:val="00DF7044"/>
    <w:rsid w:val="00DF71C4"/>
    <w:rsid w:val="00DF71CE"/>
    <w:rsid w:val="00DF73BB"/>
    <w:rsid w:val="00DF74BE"/>
    <w:rsid w:val="00DF7684"/>
    <w:rsid w:val="00DF76A9"/>
    <w:rsid w:val="00DF7768"/>
    <w:rsid w:val="00DF7AAF"/>
    <w:rsid w:val="00DF7C01"/>
    <w:rsid w:val="00E00112"/>
    <w:rsid w:val="00E00226"/>
    <w:rsid w:val="00E0024A"/>
    <w:rsid w:val="00E002AD"/>
    <w:rsid w:val="00E002DF"/>
    <w:rsid w:val="00E004A9"/>
    <w:rsid w:val="00E006CC"/>
    <w:rsid w:val="00E006F0"/>
    <w:rsid w:val="00E00732"/>
    <w:rsid w:val="00E009D6"/>
    <w:rsid w:val="00E00BFE"/>
    <w:rsid w:val="00E00CA0"/>
    <w:rsid w:val="00E00E96"/>
    <w:rsid w:val="00E01002"/>
    <w:rsid w:val="00E01308"/>
    <w:rsid w:val="00E014CB"/>
    <w:rsid w:val="00E0150A"/>
    <w:rsid w:val="00E017B8"/>
    <w:rsid w:val="00E019E0"/>
    <w:rsid w:val="00E01B84"/>
    <w:rsid w:val="00E01BAE"/>
    <w:rsid w:val="00E01BF2"/>
    <w:rsid w:val="00E01C6B"/>
    <w:rsid w:val="00E01D86"/>
    <w:rsid w:val="00E01E39"/>
    <w:rsid w:val="00E01E9E"/>
    <w:rsid w:val="00E020DC"/>
    <w:rsid w:val="00E026F3"/>
    <w:rsid w:val="00E02732"/>
    <w:rsid w:val="00E02987"/>
    <w:rsid w:val="00E02B4E"/>
    <w:rsid w:val="00E02B93"/>
    <w:rsid w:val="00E02CFF"/>
    <w:rsid w:val="00E02D34"/>
    <w:rsid w:val="00E02E6F"/>
    <w:rsid w:val="00E02FB2"/>
    <w:rsid w:val="00E03006"/>
    <w:rsid w:val="00E03141"/>
    <w:rsid w:val="00E03343"/>
    <w:rsid w:val="00E03385"/>
    <w:rsid w:val="00E0338B"/>
    <w:rsid w:val="00E035E7"/>
    <w:rsid w:val="00E036C0"/>
    <w:rsid w:val="00E0379F"/>
    <w:rsid w:val="00E03B8F"/>
    <w:rsid w:val="00E03BAD"/>
    <w:rsid w:val="00E03C88"/>
    <w:rsid w:val="00E03DD0"/>
    <w:rsid w:val="00E03FFE"/>
    <w:rsid w:val="00E0407E"/>
    <w:rsid w:val="00E040DE"/>
    <w:rsid w:val="00E04257"/>
    <w:rsid w:val="00E042ED"/>
    <w:rsid w:val="00E043C0"/>
    <w:rsid w:val="00E0446C"/>
    <w:rsid w:val="00E04664"/>
    <w:rsid w:val="00E0476E"/>
    <w:rsid w:val="00E047A3"/>
    <w:rsid w:val="00E04ACD"/>
    <w:rsid w:val="00E04B76"/>
    <w:rsid w:val="00E04BC1"/>
    <w:rsid w:val="00E04E59"/>
    <w:rsid w:val="00E04F8C"/>
    <w:rsid w:val="00E05094"/>
    <w:rsid w:val="00E05189"/>
    <w:rsid w:val="00E0518F"/>
    <w:rsid w:val="00E05379"/>
    <w:rsid w:val="00E055F2"/>
    <w:rsid w:val="00E0577C"/>
    <w:rsid w:val="00E0578E"/>
    <w:rsid w:val="00E057FB"/>
    <w:rsid w:val="00E05857"/>
    <w:rsid w:val="00E05A61"/>
    <w:rsid w:val="00E05B31"/>
    <w:rsid w:val="00E05BC9"/>
    <w:rsid w:val="00E05C35"/>
    <w:rsid w:val="00E05C95"/>
    <w:rsid w:val="00E05F4D"/>
    <w:rsid w:val="00E06026"/>
    <w:rsid w:val="00E060D6"/>
    <w:rsid w:val="00E0683B"/>
    <w:rsid w:val="00E06932"/>
    <w:rsid w:val="00E06943"/>
    <w:rsid w:val="00E06978"/>
    <w:rsid w:val="00E069F9"/>
    <w:rsid w:val="00E06C89"/>
    <w:rsid w:val="00E06E26"/>
    <w:rsid w:val="00E06F13"/>
    <w:rsid w:val="00E06F30"/>
    <w:rsid w:val="00E06F61"/>
    <w:rsid w:val="00E06FF8"/>
    <w:rsid w:val="00E07063"/>
    <w:rsid w:val="00E071DC"/>
    <w:rsid w:val="00E0725F"/>
    <w:rsid w:val="00E07796"/>
    <w:rsid w:val="00E07919"/>
    <w:rsid w:val="00E079D3"/>
    <w:rsid w:val="00E07CC4"/>
    <w:rsid w:val="00E07E17"/>
    <w:rsid w:val="00E07E6C"/>
    <w:rsid w:val="00E100B5"/>
    <w:rsid w:val="00E101CE"/>
    <w:rsid w:val="00E102A4"/>
    <w:rsid w:val="00E10368"/>
    <w:rsid w:val="00E10582"/>
    <w:rsid w:val="00E10680"/>
    <w:rsid w:val="00E10745"/>
    <w:rsid w:val="00E10AF7"/>
    <w:rsid w:val="00E10E99"/>
    <w:rsid w:val="00E10FFD"/>
    <w:rsid w:val="00E10FFE"/>
    <w:rsid w:val="00E11227"/>
    <w:rsid w:val="00E113CC"/>
    <w:rsid w:val="00E113F3"/>
    <w:rsid w:val="00E1149B"/>
    <w:rsid w:val="00E117D2"/>
    <w:rsid w:val="00E11921"/>
    <w:rsid w:val="00E11AA7"/>
    <w:rsid w:val="00E11E68"/>
    <w:rsid w:val="00E12019"/>
    <w:rsid w:val="00E122E8"/>
    <w:rsid w:val="00E12352"/>
    <w:rsid w:val="00E12495"/>
    <w:rsid w:val="00E124CA"/>
    <w:rsid w:val="00E12517"/>
    <w:rsid w:val="00E125BD"/>
    <w:rsid w:val="00E1267D"/>
    <w:rsid w:val="00E12684"/>
    <w:rsid w:val="00E12694"/>
    <w:rsid w:val="00E126AC"/>
    <w:rsid w:val="00E126E2"/>
    <w:rsid w:val="00E12940"/>
    <w:rsid w:val="00E1299E"/>
    <w:rsid w:val="00E12A5C"/>
    <w:rsid w:val="00E12A86"/>
    <w:rsid w:val="00E12B38"/>
    <w:rsid w:val="00E12D57"/>
    <w:rsid w:val="00E12FA6"/>
    <w:rsid w:val="00E12FC0"/>
    <w:rsid w:val="00E13059"/>
    <w:rsid w:val="00E13115"/>
    <w:rsid w:val="00E134CA"/>
    <w:rsid w:val="00E1395B"/>
    <w:rsid w:val="00E13A40"/>
    <w:rsid w:val="00E13A67"/>
    <w:rsid w:val="00E13C91"/>
    <w:rsid w:val="00E13D2B"/>
    <w:rsid w:val="00E140BF"/>
    <w:rsid w:val="00E140D2"/>
    <w:rsid w:val="00E140D6"/>
    <w:rsid w:val="00E14213"/>
    <w:rsid w:val="00E14231"/>
    <w:rsid w:val="00E142D7"/>
    <w:rsid w:val="00E14442"/>
    <w:rsid w:val="00E144CD"/>
    <w:rsid w:val="00E146C4"/>
    <w:rsid w:val="00E148B8"/>
    <w:rsid w:val="00E14971"/>
    <w:rsid w:val="00E14C87"/>
    <w:rsid w:val="00E14D9A"/>
    <w:rsid w:val="00E14DB3"/>
    <w:rsid w:val="00E14DE2"/>
    <w:rsid w:val="00E14F6E"/>
    <w:rsid w:val="00E14F74"/>
    <w:rsid w:val="00E15062"/>
    <w:rsid w:val="00E1508B"/>
    <w:rsid w:val="00E1514D"/>
    <w:rsid w:val="00E15384"/>
    <w:rsid w:val="00E153DF"/>
    <w:rsid w:val="00E15445"/>
    <w:rsid w:val="00E1547A"/>
    <w:rsid w:val="00E1550A"/>
    <w:rsid w:val="00E155F1"/>
    <w:rsid w:val="00E15610"/>
    <w:rsid w:val="00E156C5"/>
    <w:rsid w:val="00E15722"/>
    <w:rsid w:val="00E1572E"/>
    <w:rsid w:val="00E15780"/>
    <w:rsid w:val="00E157E2"/>
    <w:rsid w:val="00E15B0E"/>
    <w:rsid w:val="00E15DDB"/>
    <w:rsid w:val="00E15E5A"/>
    <w:rsid w:val="00E15E5B"/>
    <w:rsid w:val="00E15F6E"/>
    <w:rsid w:val="00E16176"/>
    <w:rsid w:val="00E16333"/>
    <w:rsid w:val="00E16346"/>
    <w:rsid w:val="00E1634B"/>
    <w:rsid w:val="00E16388"/>
    <w:rsid w:val="00E163E8"/>
    <w:rsid w:val="00E16721"/>
    <w:rsid w:val="00E1696F"/>
    <w:rsid w:val="00E16A0C"/>
    <w:rsid w:val="00E16A7C"/>
    <w:rsid w:val="00E16AED"/>
    <w:rsid w:val="00E16B37"/>
    <w:rsid w:val="00E16B71"/>
    <w:rsid w:val="00E16BF3"/>
    <w:rsid w:val="00E16CD2"/>
    <w:rsid w:val="00E16CD4"/>
    <w:rsid w:val="00E16D01"/>
    <w:rsid w:val="00E16E14"/>
    <w:rsid w:val="00E16E89"/>
    <w:rsid w:val="00E16EFE"/>
    <w:rsid w:val="00E172CA"/>
    <w:rsid w:val="00E172F2"/>
    <w:rsid w:val="00E1743E"/>
    <w:rsid w:val="00E175A8"/>
    <w:rsid w:val="00E175C6"/>
    <w:rsid w:val="00E17607"/>
    <w:rsid w:val="00E17692"/>
    <w:rsid w:val="00E17721"/>
    <w:rsid w:val="00E17903"/>
    <w:rsid w:val="00E17C61"/>
    <w:rsid w:val="00E17E30"/>
    <w:rsid w:val="00E20152"/>
    <w:rsid w:val="00E20306"/>
    <w:rsid w:val="00E206FB"/>
    <w:rsid w:val="00E208E2"/>
    <w:rsid w:val="00E20955"/>
    <w:rsid w:val="00E20B97"/>
    <w:rsid w:val="00E20BD5"/>
    <w:rsid w:val="00E20BED"/>
    <w:rsid w:val="00E20CBE"/>
    <w:rsid w:val="00E20E75"/>
    <w:rsid w:val="00E20FAF"/>
    <w:rsid w:val="00E20FF9"/>
    <w:rsid w:val="00E21046"/>
    <w:rsid w:val="00E2109C"/>
    <w:rsid w:val="00E211E7"/>
    <w:rsid w:val="00E21405"/>
    <w:rsid w:val="00E2149A"/>
    <w:rsid w:val="00E2162B"/>
    <w:rsid w:val="00E21692"/>
    <w:rsid w:val="00E216C8"/>
    <w:rsid w:val="00E2183A"/>
    <w:rsid w:val="00E219C1"/>
    <w:rsid w:val="00E219E9"/>
    <w:rsid w:val="00E21B12"/>
    <w:rsid w:val="00E21DBD"/>
    <w:rsid w:val="00E21F64"/>
    <w:rsid w:val="00E222E9"/>
    <w:rsid w:val="00E223D2"/>
    <w:rsid w:val="00E2271C"/>
    <w:rsid w:val="00E22964"/>
    <w:rsid w:val="00E22A0A"/>
    <w:rsid w:val="00E22A44"/>
    <w:rsid w:val="00E22B03"/>
    <w:rsid w:val="00E22C9E"/>
    <w:rsid w:val="00E22CBF"/>
    <w:rsid w:val="00E22EAC"/>
    <w:rsid w:val="00E23071"/>
    <w:rsid w:val="00E230C9"/>
    <w:rsid w:val="00E230E5"/>
    <w:rsid w:val="00E230F7"/>
    <w:rsid w:val="00E23153"/>
    <w:rsid w:val="00E2338B"/>
    <w:rsid w:val="00E23486"/>
    <w:rsid w:val="00E2356B"/>
    <w:rsid w:val="00E236DB"/>
    <w:rsid w:val="00E238FF"/>
    <w:rsid w:val="00E23A92"/>
    <w:rsid w:val="00E23B0C"/>
    <w:rsid w:val="00E23B3B"/>
    <w:rsid w:val="00E24018"/>
    <w:rsid w:val="00E24202"/>
    <w:rsid w:val="00E24388"/>
    <w:rsid w:val="00E24398"/>
    <w:rsid w:val="00E24445"/>
    <w:rsid w:val="00E24478"/>
    <w:rsid w:val="00E245F5"/>
    <w:rsid w:val="00E245FC"/>
    <w:rsid w:val="00E246CA"/>
    <w:rsid w:val="00E248EF"/>
    <w:rsid w:val="00E24C01"/>
    <w:rsid w:val="00E24DBC"/>
    <w:rsid w:val="00E24F67"/>
    <w:rsid w:val="00E25203"/>
    <w:rsid w:val="00E25577"/>
    <w:rsid w:val="00E25579"/>
    <w:rsid w:val="00E25BAB"/>
    <w:rsid w:val="00E25D4B"/>
    <w:rsid w:val="00E25FE8"/>
    <w:rsid w:val="00E26116"/>
    <w:rsid w:val="00E2611E"/>
    <w:rsid w:val="00E26180"/>
    <w:rsid w:val="00E26291"/>
    <w:rsid w:val="00E264A1"/>
    <w:rsid w:val="00E2689F"/>
    <w:rsid w:val="00E269AB"/>
    <w:rsid w:val="00E269C8"/>
    <w:rsid w:val="00E26A7B"/>
    <w:rsid w:val="00E270BF"/>
    <w:rsid w:val="00E270F8"/>
    <w:rsid w:val="00E27130"/>
    <w:rsid w:val="00E272A0"/>
    <w:rsid w:val="00E272B8"/>
    <w:rsid w:val="00E273D9"/>
    <w:rsid w:val="00E27493"/>
    <w:rsid w:val="00E27524"/>
    <w:rsid w:val="00E27730"/>
    <w:rsid w:val="00E27815"/>
    <w:rsid w:val="00E27825"/>
    <w:rsid w:val="00E2782D"/>
    <w:rsid w:val="00E278EE"/>
    <w:rsid w:val="00E27B66"/>
    <w:rsid w:val="00E27CB6"/>
    <w:rsid w:val="00E27CB9"/>
    <w:rsid w:val="00E27E08"/>
    <w:rsid w:val="00E27EC9"/>
    <w:rsid w:val="00E301D7"/>
    <w:rsid w:val="00E302D2"/>
    <w:rsid w:val="00E3048B"/>
    <w:rsid w:val="00E304F0"/>
    <w:rsid w:val="00E3088C"/>
    <w:rsid w:val="00E30C16"/>
    <w:rsid w:val="00E30D29"/>
    <w:rsid w:val="00E30DA7"/>
    <w:rsid w:val="00E310B6"/>
    <w:rsid w:val="00E312FC"/>
    <w:rsid w:val="00E31314"/>
    <w:rsid w:val="00E31403"/>
    <w:rsid w:val="00E31D92"/>
    <w:rsid w:val="00E31E1A"/>
    <w:rsid w:val="00E32013"/>
    <w:rsid w:val="00E3209C"/>
    <w:rsid w:val="00E3210D"/>
    <w:rsid w:val="00E3210E"/>
    <w:rsid w:val="00E32113"/>
    <w:rsid w:val="00E32123"/>
    <w:rsid w:val="00E321C1"/>
    <w:rsid w:val="00E325C1"/>
    <w:rsid w:val="00E325C7"/>
    <w:rsid w:val="00E3266C"/>
    <w:rsid w:val="00E32680"/>
    <w:rsid w:val="00E32950"/>
    <w:rsid w:val="00E329BF"/>
    <w:rsid w:val="00E32A3B"/>
    <w:rsid w:val="00E32A6A"/>
    <w:rsid w:val="00E32B4C"/>
    <w:rsid w:val="00E32B8A"/>
    <w:rsid w:val="00E32BA8"/>
    <w:rsid w:val="00E32EB4"/>
    <w:rsid w:val="00E32F32"/>
    <w:rsid w:val="00E3309E"/>
    <w:rsid w:val="00E330C0"/>
    <w:rsid w:val="00E332AE"/>
    <w:rsid w:val="00E3344D"/>
    <w:rsid w:val="00E3344E"/>
    <w:rsid w:val="00E337DA"/>
    <w:rsid w:val="00E337FF"/>
    <w:rsid w:val="00E33818"/>
    <w:rsid w:val="00E339EC"/>
    <w:rsid w:val="00E33BB4"/>
    <w:rsid w:val="00E33C01"/>
    <w:rsid w:val="00E33C10"/>
    <w:rsid w:val="00E33C53"/>
    <w:rsid w:val="00E33C8F"/>
    <w:rsid w:val="00E33DDB"/>
    <w:rsid w:val="00E33EC3"/>
    <w:rsid w:val="00E33F4B"/>
    <w:rsid w:val="00E33FA4"/>
    <w:rsid w:val="00E341DF"/>
    <w:rsid w:val="00E346CF"/>
    <w:rsid w:val="00E34769"/>
    <w:rsid w:val="00E3497D"/>
    <w:rsid w:val="00E34A69"/>
    <w:rsid w:val="00E34AB2"/>
    <w:rsid w:val="00E34B1A"/>
    <w:rsid w:val="00E34B2B"/>
    <w:rsid w:val="00E34B34"/>
    <w:rsid w:val="00E34C34"/>
    <w:rsid w:val="00E34EB7"/>
    <w:rsid w:val="00E3517E"/>
    <w:rsid w:val="00E3524A"/>
    <w:rsid w:val="00E35534"/>
    <w:rsid w:val="00E356AC"/>
    <w:rsid w:val="00E356BF"/>
    <w:rsid w:val="00E358BB"/>
    <w:rsid w:val="00E35959"/>
    <w:rsid w:val="00E35C01"/>
    <w:rsid w:val="00E35D1F"/>
    <w:rsid w:val="00E35D4C"/>
    <w:rsid w:val="00E35D6B"/>
    <w:rsid w:val="00E35E0E"/>
    <w:rsid w:val="00E35E64"/>
    <w:rsid w:val="00E35F5A"/>
    <w:rsid w:val="00E360CB"/>
    <w:rsid w:val="00E36254"/>
    <w:rsid w:val="00E362FD"/>
    <w:rsid w:val="00E363CF"/>
    <w:rsid w:val="00E365CA"/>
    <w:rsid w:val="00E366AD"/>
    <w:rsid w:val="00E366D8"/>
    <w:rsid w:val="00E366E8"/>
    <w:rsid w:val="00E36745"/>
    <w:rsid w:val="00E3676B"/>
    <w:rsid w:val="00E368D8"/>
    <w:rsid w:val="00E36976"/>
    <w:rsid w:val="00E36B01"/>
    <w:rsid w:val="00E36B7F"/>
    <w:rsid w:val="00E36D0B"/>
    <w:rsid w:val="00E36D2F"/>
    <w:rsid w:val="00E36ED3"/>
    <w:rsid w:val="00E3715C"/>
    <w:rsid w:val="00E371C2"/>
    <w:rsid w:val="00E3726F"/>
    <w:rsid w:val="00E3727D"/>
    <w:rsid w:val="00E37303"/>
    <w:rsid w:val="00E37805"/>
    <w:rsid w:val="00E37806"/>
    <w:rsid w:val="00E37809"/>
    <w:rsid w:val="00E37953"/>
    <w:rsid w:val="00E37DC7"/>
    <w:rsid w:val="00E37DD9"/>
    <w:rsid w:val="00E37E46"/>
    <w:rsid w:val="00E401C0"/>
    <w:rsid w:val="00E40307"/>
    <w:rsid w:val="00E40397"/>
    <w:rsid w:val="00E403D5"/>
    <w:rsid w:val="00E4047C"/>
    <w:rsid w:val="00E406B0"/>
    <w:rsid w:val="00E406E4"/>
    <w:rsid w:val="00E40864"/>
    <w:rsid w:val="00E40968"/>
    <w:rsid w:val="00E409D5"/>
    <w:rsid w:val="00E40B7E"/>
    <w:rsid w:val="00E40C3A"/>
    <w:rsid w:val="00E40DE7"/>
    <w:rsid w:val="00E40E18"/>
    <w:rsid w:val="00E40EB8"/>
    <w:rsid w:val="00E40EE0"/>
    <w:rsid w:val="00E41016"/>
    <w:rsid w:val="00E410DA"/>
    <w:rsid w:val="00E41325"/>
    <w:rsid w:val="00E4143D"/>
    <w:rsid w:val="00E41657"/>
    <w:rsid w:val="00E4166B"/>
    <w:rsid w:val="00E417A4"/>
    <w:rsid w:val="00E417B6"/>
    <w:rsid w:val="00E4189E"/>
    <w:rsid w:val="00E41950"/>
    <w:rsid w:val="00E41A51"/>
    <w:rsid w:val="00E41AF8"/>
    <w:rsid w:val="00E41C88"/>
    <w:rsid w:val="00E41DB3"/>
    <w:rsid w:val="00E41F3C"/>
    <w:rsid w:val="00E420F3"/>
    <w:rsid w:val="00E420FA"/>
    <w:rsid w:val="00E42209"/>
    <w:rsid w:val="00E4234F"/>
    <w:rsid w:val="00E42454"/>
    <w:rsid w:val="00E42614"/>
    <w:rsid w:val="00E426DB"/>
    <w:rsid w:val="00E42859"/>
    <w:rsid w:val="00E42920"/>
    <w:rsid w:val="00E4295D"/>
    <w:rsid w:val="00E429DB"/>
    <w:rsid w:val="00E42A8F"/>
    <w:rsid w:val="00E42AD7"/>
    <w:rsid w:val="00E42B35"/>
    <w:rsid w:val="00E42C59"/>
    <w:rsid w:val="00E434F3"/>
    <w:rsid w:val="00E435CE"/>
    <w:rsid w:val="00E435DC"/>
    <w:rsid w:val="00E43633"/>
    <w:rsid w:val="00E4378C"/>
    <w:rsid w:val="00E4389A"/>
    <w:rsid w:val="00E439A8"/>
    <w:rsid w:val="00E43A71"/>
    <w:rsid w:val="00E43ACE"/>
    <w:rsid w:val="00E43B26"/>
    <w:rsid w:val="00E43BBA"/>
    <w:rsid w:val="00E43C31"/>
    <w:rsid w:val="00E43C3D"/>
    <w:rsid w:val="00E43CEE"/>
    <w:rsid w:val="00E43D0D"/>
    <w:rsid w:val="00E43E9B"/>
    <w:rsid w:val="00E43F39"/>
    <w:rsid w:val="00E44007"/>
    <w:rsid w:val="00E4409E"/>
    <w:rsid w:val="00E44103"/>
    <w:rsid w:val="00E4418C"/>
    <w:rsid w:val="00E443D7"/>
    <w:rsid w:val="00E444CD"/>
    <w:rsid w:val="00E44565"/>
    <w:rsid w:val="00E4470A"/>
    <w:rsid w:val="00E44938"/>
    <w:rsid w:val="00E44962"/>
    <w:rsid w:val="00E44A72"/>
    <w:rsid w:val="00E44B9F"/>
    <w:rsid w:val="00E44BA6"/>
    <w:rsid w:val="00E44BC3"/>
    <w:rsid w:val="00E44F2E"/>
    <w:rsid w:val="00E44FB9"/>
    <w:rsid w:val="00E450C6"/>
    <w:rsid w:val="00E45109"/>
    <w:rsid w:val="00E4518A"/>
    <w:rsid w:val="00E4518C"/>
    <w:rsid w:val="00E45193"/>
    <w:rsid w:val="00E451C9"/>
    <w:rsid w:val="00E45375"/>
    <w:rsid w:val="00E45549"/>
    <w:rsid w:val="00E456E1"/>
    <w:rsid w:val="00E45A2E"/>
    <w:rsid w:val="00E45AB3"/>
    <w:rsid w:val="00E45B22"/>
    <w:rsid w:val="00E45B45"/>
    <w:rsid w:val="00E45DDE"/>
    <w:rsid w:val="00E45E7A"/>
    <w:rsid w:val="00E45FC5"/>
    <w:rsid w:val="00E46008"/>
    <w:rsid w:val="00E46037"/>
    <w:rsid w:val="00E46050"/>
    <w:rsid w:val="00E46064"/>
    <w:rsid w:val="00E46070"/>
    <w:rsid w:val="00E464D3"/>
    <w:rsid w:val="00E464E0"/>
    <w:rsid w:val="00E4674C"/>
    <w:rsid w:val="00E467A7"/>
    <w:rsid w:val="00E467CF"/>
    <w:rsid w:val="00E4683F"/>
    <w:rsid w:val="00E46851"/>
    <w:rsid w:val="00E46A02"/>
    <w:rsid w:val="00E46AEF"/>
    <w:rsid w:val="00E46C85"/>
    <w:rsid w:val="00E46DC3"/>
    <w:rsid w:val="00E46E42"/>
    <w:rsid w:val="00E46F83"/>
    <w:rsid w:val="00E46FE1"/>
    <w:rsid w:val="00E47103"/>
    <w:rsid w:val="00E472D5"/>
    <w:rsid w:val="00E47561"/>
    <w:rsid w:val="00E47879"/>
    <w:rsid w:val="00E478AE"/>
    <w:rsid w:val="00E47A08"/>
    <w:rsid w:val="00E47B9C"/>
    <w:rsid w:val="00E47DA0"/>
    <w:rsid w:val="00E47DFB"/>
    <w:rsid w:val="00E50029"/>
    <w:rsid w:val="00E500B5"/>
    <w:rsid w:val="00E50227"/>
    <w:rsid w:val="00E50474"/>
    <w:rsid w:val="00E504B9"/>
    <w:rsid w:val="00E504F6"/>
    <w:rsid w:val="00E5083B"/>
    <w:rsid w:val="00E50C48"/>
    <w:rsid w:val="00E50DA7"/>
    <w:rsid w:val="00E50ED3"/>
    <w:rsid w:val="00E510B5"/>
    <w:rsid w:val="00E51175"/>
    <w:rsid w:val="00E512D1"/>
    <w:rsid w:val="00E51353"/>
    <w:rsid w:val="00E51592"/>
    <w:rsid w:val="00E5161B"/>
    <w:rsid w:val="00E51679"/>
    <w:rsid w:val="00E518EA"/>
    <w:rsid w:val="00E51B0C"/>
    <w:rsid w:val="00E51C76"/>
    <w:rsid w:val="00E51C96"/>
    <w:rsid w:val="00E51CFA"/>
    <w:rsid w:val="00E51F12"/>
    <w:rsid w:val="00E51F97"/>
    <w:rsid w:val="00E522AF"/>
    <w:rsid w:val="00E52485"/>
    <w:rsid w:val="00E5249B"/>
    <w:rsid w:val="00E52737"/>
    <w:rsid w:val="00E52944"/>
    <w:rsid w:val="00E52A5B"/>
    <w:rsid w:val="00E52A92"/>
    <w:rsid w:val="00E52B9C"/>
    <w:rsid w:val="00E52CF3"/>
    <w:rsid w:val="00E53038"/>
    <w:rsid w:val="00E530E1"/>
    <w:rsid w:val="00E5310F"/>
    <w:rsid w:val="00E5328F"/>
    <w:rsid w:val="00E53344"/>
    <w:rsid w:val="00E533DA"/>
    <w:rsid w:val="00E5340B"/>
    <w:rsid w:val="00E535A9"/>
    <w:rsid w:val="00E535BA"/>
    <w:rsid w:val="00E5380A"/>
    <w:rsid w:val="00E53B5E"/>
    <w:rsid w:val="00E53D03"/>
    <w:rsid w:val="00E53D30"/>
    <w:rsid w:val="00E53E37"/>
    <w:rsid w:val="00E53FAF"/>
    <w:rsid w:val="00E54096"/>
    <w:rsid w:val="00E54551"/>
    <w:rsid w:val="00E54A49"/>
    <w:rsid w:val="00E54AC6"/>
    <w:rsid w:val="00E54ADC"/>
    <w:rsid w:val="00E54C3B"/>
    <w:rsid w:val="00E54E57"/>
    <w:rsid w:val="00E54E88"/>
    <w:rsid w:val="00E5511A"/>
    <w:rsid w:val="00E55163"/>
    <w:rsid w:val="00E5530A"/>
    <w:rsid w:val="00E55742"/>
    <w:rsid w:val="00E5580C"/>
    <w:rsid w:val="00E5582B"/>
    <w:rsid w:val="00E55848"/>
    <w:rsid w:val="00E558F9"/>
    <w:rsid w:val="00E55B7E"/>
    <w:rsid w:val="00E55D55"/>
    <w:rsid w:val="00E55F24"/>
    <w:rsid w:val="00E55F8D"/>
    <w:rsid w:val="00E560A4"/>
    <w:rsid w:val="00E561AE"/>
    <w:rsid w:val="00E56421"/>
    <w:rsid w:val="00E564A5"/>
    <w:rsid w:val="00E5652F"/>
    <w:rsid w:val="00E5653A"/>
    <w:rsid w:val="00E56678"/>
    <w:rsid w:val="00E5685E"/>
    <w:rsid w:val="00E56D22"/>
    <w:rsid w:val="00E56ECB"/>
    <w:rsid w:val="00E56EFF"/>
    <w:rsid w:val="00E56FA0"/>
    <w:rsid w:val="00E570A0"/>
    <w:rsid w:val="00E570EC"/>
    <w:rsid w:val="00E5714D"/>
    <w:rsid w:val="00E57248"/>
    <w:rsid w:val="00E57252"/>
    <w:rsid w:val="00E5739E"/>
    <w:rsid w:val="00E574B3"/>
    <w:rsid w:val="00E575B8"/>
    <w:rsid w:val="00E578C2"/>
    <w:rsid w:val="00E579D5"/>
    <w:rsid w:val="00E57AE7"/>
    <w:rsid w:val="00E57B2D"/>
    <w:rsid w:val="00E57B61"/>
    <w:rsid w:val="00E57E06"/>
    <w:rsid w:val="00E57E45"/>
    <w:rsid w:val="00E6006A"/>
    <w:rsid w:val="00E60350"/>
    <w:rsid w:val="00E60436"/>
    <w:rsid w:val="00E60456"/>
    <w:rsid w:val="00E60713"/>
    <w:rsid w:val="00E60A8C"/>
    <w:rsid w:val="00E60BB8"/>
    <w:rsid w:val="00E61177"/>
    <w:rsid w:val="00E61444"/>
    <w:rsid w:val="00E617E0"/>
    <w:rsid w:val="00E6199B"/>
    <w:rsid w:val="00E61A11"/>
    <w:rsid w:val="00E61A57"/>
    <w:rsid w:val="00E61AB0"/>
    <w:rsid w:val="00E61C01"/>
    <w:rsid w:val="00E61C3E"/>
    <w:rsid w:val="00E61CA2"/>
    <w:rsid w:val="00E61CDD"/>
    <w:rsid w:val="00E61FA6"/>
    <w:rsid w:val="00E620F4"/>
    <w:rsid w:val="00E62290"/>
    <w:rsid w:val="00E6239D"/>
    <w:rsid w:val="00E6246D"/>
    <w:rsid w:val="00E6285D"/>
    <w:rsid w:val="00E6299C"/>
    <w:rsid w:val="00E62B7E"/>
    <w:rsid w:val="00E62B8F"/>
    <w:rsid w:val="00E62D63"/>
    <w:rsid w:val="00E62EE7"/>
    <w:rsid w:val="00E62EEF"/>
    <w:rsid w:val="00E62FA7"/>
    <w:rsid w:val="00E62FD8"/>
    <w:rsid w:val="00E630AB"/>
    <w:rsid w:val="00E631A1"/>
    <w:rsid w:val="00E631D1"/>
    <w:rsid w:val="00E631EB"/>
    <w:rsid w:val="00E632D3"/>
    <w:rsid w:val="00E6337C"/>
    <w:rsid w:val="00E633B5"/>
    <w:rsid w:val="00E634B2"/>
    <w:rsid w:val="00E63701"/>
    <w:rsid w:val="00E6379C"/>
    <w:rsid w:val="00E63925"/>
    <w:rsid w:val="00E63955"/>
    <w:rsid w:val="00E639B5"/>
    <w:rsid w:val="00E63B70"/>
    <w:rsid w:val="00E63BEA"/>
    <w:rsid w:val="00E63E4B"/>
    <w:rsid w:val="00E63EDB"/>
    <w:rsid w:val="00E64249"/>
    <w:rsid w:val="00E642DF"/>
    <w:rsid w:val="00E64568"/>
    <w:rsid w:val="00E646E8"/>
    <w:rsid w:val="00E64752"/>
    <w:rsid w:val="00E64823"/>
    <w:rsid w:val="00E649DE"/>
    <w:rsid w:val="00E649E4"/>
    <w:rsid w:val="00E64A3F"/>
    <w:rsid w:val="00E64BE4"/>
    <w:rsid w:val="00E64CBB"/>
    <w:rsid w:val="00E64F91"/>
    <w:rsid w:val="00E65089"/>
    <w:rsid w:val="00E6508D"/>
    <w:rsid w:val="00E6531D"/>
    <w:rsid w:val="00E65333"/>
    <w:rsid w:val="00E65361"/>
    <w:rsid w:val="00E657A1"/>
    <w:rsid w:val="00E658EF"/>
    <w:rsid w:val="00E6594F"/>
    <w:rsid w:val="00E65954"/>
    <w:rsid w:val="00E659A9"/>
    <w:rsid w:val="00E65A00"/>
    <w:rsid w:val="00E65A24"/>
    <w:rsid w:val="00E65A9A"/>
    <w:rsid w:val="00E65B1E"/>
    <w:rsid w:val="00E65C02"/>
    <w:rsid w:val="00E65C4B"/>
    <w:rsid w:val="00E65D80"/>
    <w:rsid w:val="00E65DD9"/>
    <w:rsid w:val="00E65EFD"/>
    <w:rsid w:val="00E66003"/>
    <w:rsid w:val="00E66076"/>
    <w:rsid w:val="00E660A9"/>
    <w:rsid w:val="00E661F7"/>
    <w:rsid w:val="00E6644D"/>
    <w:rsid w:val="00E6649E"/>
    <w:rsid w:val="00E665F2"/>
    <w:rsid w:val="00E6686C"/>
    <w:rsid w:val="00E668E8"/>
    <w:rsid w:val="00E66C41"/>
    <w:rsid w:val="00E66D5B"/>
    <w:rsid w:val="00E66E11"/>
    <w:rsid w:val="00E66E88"/>
    <w:rsid w:val="00E66F8E"/>
    <w:rsid w:val="00E670EC"/>
    <w:rsid w:val="00E67182"/>
    <w:rsid w:val="00E672AC"/>
    <w:rsid w:val="00E6753B"/>
    <w:rsid w:val="00E67565"/>
    <w:rsid w:val="00E6782F"/>
    <w:rsid w:val="00E6785C"/>
    <w:rsid w:val="00E67B98"/>
    <w:rsid w:val="00E70054"/>
    <w:rsid w:val="00E70098"/>
    <w:rsid w:val="00E700ED"/>
    <w:rsid w:val="00E70406"/>
    <w:rsid w:val="00E70437"/>
    <w:rsid w:val="00E70683"/>
    <w:rsid w:val="00E706B8"/>
    <w:rsid w:val="00E706C2"/>
    <w:rsid w:val="00E707EF"/>
    <w:rsid w:val="00E70894"/>
    <w:rsid w:val="00E7099C"/>
    <w:rsid w:val="00E70B87"/>
    <w:rsid w:val="00E70D74"/>
    <w:rsid w:val="00E71357"/>
    <w:rsid w:val="00E713E2"/>
    <w:rsid w:val="00E713EC"/>
    <w:rsid w:val="00E714F2"/>
    <w:rsid w:val="00E71605"/>
    <w:rsid w:val="00E71753"/>
    <w:rsid w:val="00E71872"/>
    <w:rsid w:val="00E7198E"/>
    <w:rsid w:val="00E719B1"/>
    <w:rsid w:val="00E719D2"/>
    <w:rsid w:val="00E71B04"/>
    <w:rsid w:val="00E71DF9"/>
    <w:rsid w:val="00E71E2B"/>
    <w:rsid w:val="00E71E94"/>
    <w:rsid w:val="00E71FCC"/>
    <w:rsid w:val="00E71FED"/>
    <w:rsid w:val="00E72141"/>
    <w:rsid w:val="00E72328"/>
    <w:rsid w:val="00E72469"/>
    <w:rsid w:val="00E72583"/>
    <w:rsid w:val="00E726EC"/>
    <w:rsid w:val="00E728B7"/>
    <w:rsid w:val="00E728BC"/>
    <w:rsid w:val="00E72904"/>
    <w:rsid w:val="00E7295B"/>
    <w:rsid w:val="00E72A91"/>
    <w:rsid w:val="00E72CD1"/>
    <w:rsid w:val="00E72E6A"/>
    <w:rsid w:val="00E72E96"/>
    <w:rsid w:val="00E73236"/>
    <w:rsid w:val="00E7326F"/>
    <w:rsid w:val="00E73372"/>
    <w:rsid w:val="00E734EF"/>
    <w:rsid w:val="00E73576"/>
    <w:rsid w:val="00E736CB"/>
    <w:rsid w:val="00E73800"/>
    <w:rsid w:val="00E738D0"/>
    <w:rsid w:val="00E73930"/>
    <w:rsid w:val="00E73AC0"/>
    <w:rsid w:val="00E73ACE"/>
    <w:rsid w:val="00E73B48"/>
    <w:rsid w:val="00E73C1C"/>
    <w:rsid w:val="00E73D6C"/>
    <w:rsid w:val="00E73E66"/>
    <w:rsid w:val="00E74105"/>
    <w:rsid w:val="00E74188"/>
    <w:rsid w:val="00E741C5"/>
    <w:rsid w:val="00E7431F"/>
    <w:rsid w:val="00E7450E"/>
    <w:rsid w:val="00E7452B"/>
    <w:rsid w:val="00E745EC"/>
    <w:rsid w:val="00E747D1"/>
    <w:rsid w:val="00E749A5"/>
    <w:rsid w:val="00E74AFD"/>
    <w:rsid w:val="00E74B3C"/>
    <w:rsid w:val="00E74E35"/>
    <w:rsid w:val="00E74F5C"/>
    <w:rsid w:val="00E75328"/>
    <w:rsid w:val="00E75428"/>
    <w:rsid w:val="00E754EC"/>
    <w:rsid w:val="00E75533"/>
    <w:rsid w:val="00E755DA"/>
    <w:rsid w:val="00E75647"/>
    <w:rsid w:val="00E7578C"/>
    <w:rsid w:val="00E757D9"/>
    <w:rsid w:val="00E7596A"/>
    <w:rsid w:val="00E75A06"/>
    <w:rsid w:val="00E75A6B"/>
    <w:rsid w:val="00E75C66"/>
    <w:rsid w:val="00E75E72"/>
    <w:rsid w:val="00E75F33"/>
    <w:rsid w:val="00E75FD4"/>
    <w:rsid w:val="00E76354"/>
    <w:rsid w:val="00E76382"/>
    <w:rsid w:val="00E763A7"/>
    <w:rsid w:val="00E7651F"/>
    <w:rsid w:val="00E76555"/>
    <w:rsid w:val="00E76702"/>
    <w:rsid w:val="00E76996"/>
    <w:rsid w:val="00E76A99"/>
    <w:rsid w:val="00E76B37"/>
    <w:rsid w:val="00E76B58"/>
    <w:rsid w:val="00E76EF1"/>
    <w:rsid w:val="00E76F80"/>
    <w:rsid w:val="00E77039"/>
    <w:rsid w:val="00E770FF"/>
    <w:rsid w:val="00E7727A"/>
    <w:rsid w:val="00E77331"/>
    <w:rsid w:val="00E77364"/>
    <w:rsid w:val="00E77397"/>
    <w:rsid w:val="00E77524"/>
    <w:rsid w:val="00E77723"/>
    <w:rsid w:val="00E77C75"/>
    <w:rsid w:val="00E77DCC"/>
    <w:rsid w:val="00E77E09"/>
    <w:rsid w:val="00E77E14"/>
    <w:rsid w:val="00E77F33"/>
    <w:rsid w:val="00E8001F"/>
    <w:rsid w:val="00E800CC"/>
    <w:rsid w:val="00E8032E"/>
    <w:rsid w:val="00E80399"/>
    <w:rsid w:val="00E8046E"/>
    <w:rsid w:val="00E8065D"/>
    <w:rsid w:val="00E80705"/>
    <w:rsid w:val="00E8073E"/>
    <w:rsid w:val="00E808A3"/>
    <w:rsid w:val="00E80AC4"/>
    <w:rsid w:val="00E80F03"/>
    <w:rsid w:val="00E8111B"/>
    <w:rsid w:val="00E81171"/>
    <w:rsid w:val="00E811C0"/>
    <w:rsid w:val="00E812D6"/>
    <w:rsid w:val="00E8130C"/>
    <w:rsid w:val="00E814FE"/>
    <w:rsid w:val="00E815FD"/>
    <w:rsid w:val="00E817DC"/>
    <w:rsid w:val="00E818C2"/>
    <w:rsid w:val="00E8194B"/>
    <w:rsid w:val="00E8197B"/>
    <w:rsid w:val="00E81A74"/>
    <w:rsid w:val="00E81A94"/>
    <w:rsid w:val="00E81AA2"/>
    <w:rsid w:val="00E81B3A"/>
    <w:rsid w:val="00E81B58"/>
    <w:rsid w:val="00E81D07"/>
    <w:rsid w:val="00E81D2A"/>
    <w:rsid w:val="00E81DC0"/>
    <w:rsid w:val="00E81E57"/>
    <w:rsid w:val="00E81FE3"/>
    <w:rsid w:val="00E82021"/>
    <w:rsid w:val="00E8202B"/>
    <w:rsid w:val="00E820E1"/>
    <w:rsid w:val="00E8215F"/>
    <w:rsid w:val="00E8240D"/>
    <w:rsid w:val="00E82418"/>
    <w:rsid w:val="00E82438"/>
    <w:rsid w:val="00E825DC"/>
    <w:rsid w:val="00E8261A"/>
    <w:rsid w:val="00E8265E"/>
    <w:rsid w:val="00E826CC"/>
    <w:rsid w:val="00E8277E"/>
    <w:rsid w:val="00E827B2"/>
    <w:rsid w:val="00E82918"/>
    <w:rsid w:val="00E82D05"/>
    <w:rsid w:val="00E82D5B"/>
    <w:rsid w:val="00E82E98"/>
    <w:rsid w:val="00E82F7B"/>
    <w:rsid w:val="00E82FBC"/>
    <w:rsid w:val="00E82FC4"/>
    <w:rsid w:val="00E83095"/>
    <w:rsid w:val="00E83173"/>
    <w:rsid w:val="00E83195"/>
    <w:rsid w:val="00E833A7"/>
    <w:rsid w:val="00E83413"/>
    <w:rsid w:val="00E83589"/>
    <w:rsid w:val="00E83792"/>
    <w:rsid w:val="00E83B85"/>
    <w:rsid w:val="00E83DA5"/>
    <w:rsid w:val="00E83DCC"/>
    <w:rsid w:val="00E83E19"/>
    <w:rsid w:val="00E83F4D"/>
    <w:rsid w:val="00E83FAD"/>
    <w:rsid w:val="00E84256"/>
    <w:rsid w:val="00E84266"/>
    <w:rsid w:val="00E84274"/>
    <w:rsid w:val="00E84365"/>
    <w:rsid w:val="00E84533"/>
    <w:rsid w:val="00E84542"/>
    <w:rsid w:val="00E84682"/>
    <w:rsid w:val="00E8476B"/>
    <w:rsid w:val="00E847C7"/>
    <w:rsid w:val="00E84817"/>
    <w:rsid w:val="00E84831"/>
    <w:rsid w:val="00E84915"/>
    <w:rsid w:val="00E84BD3"/>
    <w:rsid w:val="00E84CB1"/>
    <w:rsid w:val="00E84DD7"/>
    <w:rsid w:val="00E84E76"/>
    <w:rsid w:val="00E850F4"/>
    <w:rsid w:val="00E85226"/>
    <w:rsid w:val="00E8528D"/>
    <w:rsid w:val="00E85376"/>
    <w:rsid w:val="00E853A9"/>
    <w:rsid w:val="00E85634"/>
    <w:rsid w:val="00E8565C"/>
    <w:rsid w:val="00E856BA"/>
    <w:rsid w:val="00E856CB"/>
    <w:rsid w:val="00E857D8"/>
    <w:rsid w:val="00E85814"/>
    <w:rsid w:val="00E85963"/>
    <w:rsid w:val="00E859DC"/>
    <w:rsid w:val="00E85A43"/>
    <w:rsid w:val="00E85B48"/>
    <w:rsid w:val="00E85BB6"/>
    <w:rsid w:val="00E85C43"/>
    <w:rsid w:val="00E85E73"/>
    <w:rsid w:val="00E860DE"/>
    <w:rsid w:val="00E86214"/>
    <w:rsid w:val="00E862D4"/>
    <w:rsid w:val="00E86458"/>
    <w:rsid w:val="00E865E9"/>
    <w:rsid w:val="00E866A6"/>
    <w:rsid w:val="00E86A35"/>
    <w:rsid w:val="00E86C90"/>
    <w:rsid w:val="00E86EE9"/>
    <w:rsid w:val="00E87207"/>
    <w:rsid w:val="00E872B8"/>
    <w:rsid w:val="00E8738B"/>
    <w:rsid w:val="00E874C3"/>
    <w:rsid w:val="00E875E2"/>
    <w:rsid w:val="00E878A6"/>
    <w:rsid w:val="00E87942"/>
    <w:rsid w:val="00E87956"/>
    <w:rsid w:val="00E879B0"/>
    <w:rsid w:val="00E879FC"/>
    <w:rsid w:val="00E87A26"/>
    <w:rsid w:val="00E87C3C"/>
    <w:rsid w:val="00E87C8A"/>
    <w:rsid w:val="00E87D1D"/>
    <w:rsid w:val="00E87D24"/>
    <w:rsid w:val="00E87D60"/>
    <w:rsid w:val="00E87DD3"/>
    <w:rsid w:val="00E87DDC"/>
    <w:rsid w:val="00E87EEB"/>
    <w:rsid w:val="00E90065"/>
    <w:rsid w:val="00E901AE"/>
    <w:rsid w:val="00E90223"/>
    <w:rsid w:val="00E904FE"/>
    <w:rsid w:val="00E90534"/>
    <w:rsid w:val="00E9072B"/>
    <w:rsid w:val="00E90A70"/>
    <w:rsid w:val="00E90B76"/>
    <w:rsid w:val="00E90C30"/>
    <w:rsid w:val="00E90CDF"/>
    <w:rsid w:val="00E90DC1"/>
    <w:rsid w:val="00E90DF5"/>
    <w:rsid w:val="00E90F6E"/>
    <w:rsid w:val="00E91090"/>
    <w:rsid w:val="00E9124C"/>
    <w:rsid w:val="00E912E1"/>
    <w:rsid w:val="00E91553"/>
    <w:rsid w:val="00E91674"/>
    <w:rsid w:val="00E91702"/>
    <w:rsid w:val="00E9191D"/>
    <w:rsid w:val="00E91954"/>
    <w:rsid w:val="00E91CB4"/>
    <w:rsid w:val="00E91DF2"/>
    <w:rsid w:val="00E91EA4"/>
    <w:rsid w:val="00E920BA"/>
    <w:rsid w:val="00E920F3"/>
    <w:rsid w:val="00E924F1"/>
    <w:rsid w:val="00E9261E"/>
    <w:rsid w:val="00E9277A"/>
    <w:rsid w:val="00E92AE8"/>
    <w:rsid w:val="00E92D5C"/>
    <w:rsid w:val="00E92F0F"/>
    <w:rsid w:val="00E93625"/>
    <w:rsid w:val="00E9395D"/>
    <w:rsid w:val="00E93B4D"/>
    <w:rsid w:val="00E93B5B"/>
    <w:rsid w:val="00E93BBB"/>
    <w:rsid w:val="00E93BFB"/>
    <w:rsid w:val="00E93CFA"/>
    <w:rsid w:val="00E93D09"/>
    <w:rsid w:val="00E93EC2"/>
    <w:rsid w:val="00E93EC7"/>
    <w:rsid w:val="00E93ECB"/>
    <w:rsid w:val="00E9400F"/>
    <w:rsid w:val="00E9428F"/>
    <w:rsid w:val="00E94637"/>
    <w:rsid w:val="00E94762"/>
    <w:rsid w:val="00E94A75"/>
    <w:rsid w:val="00E94B7A"/>
    <w:rsid w:val="00E94BA8"/>
    <w:rsid w:val="00E94CD9"/>
    <w:rsid w:val="00E94DE6"/>
    <w:rsid w:val="00E94E3F"/>
    <w:rsid w:val="00E95116"/>
    <w:rsid w:val="00E95145"/>
    <w:rsid w:val="00E95206"/>
    <w:rsid w:val="00E9521F"/>
    <w:rsid w:val="00E9540C"/>
    <w:rsid w:val="00E9552B"/>
    <w:rsid w:val="00E9559D"/>
    <w:rsid w:val="00E95695"/>
    <w:rsid w:val="00E957B6"/>
    <w:rsid w:val="00E957F6"/>
    <w:rsid w:val="00E95892"/>
    <w:rsid w:val="00E95950"/>
    <w:rsid w:val="00E95C8A"/>
    <w:rsid w:val="00E95F10"/>
    <w:rsid w:val="00E95F21"/>
    <w:rsid w:val="00E96051"/>
    <w:rsid w:val="00E9618C"/>
    <w:rsid w:val="00E963EF"/>
    <w:rsid w:val="00E96559"/>
    <w:rsid w:val="00E96567"/>
    <w:rsid w:val="00E965B2"/>
    <w:rsid w:val="00E966F3"/>
    <w:rsid w:val="00E967F7"/>
    <w:rsid w:val="00E96924"/>
    <w:rsid w:val="00E96949"/>
    <w:rsid w:val="00E96A8A"/>
    <w:rsid w:val="00E96B5C"/>
    <w:rsid w:val="00E96CDF"/>
    <w:rsid w:val="00E970B8"/>
    <w:rsid w:val="00E9712A"/>
    <w:rsid w:val="00E971EF"/>
    <w:rsid w:val="00E9745F"/>
    <w:rsid w:val="00E974E0"/>
    <w:rsid w:val="00E976C3"/>
    <w:rsid w:val="00E9788F"/>
    <w:rsid w:val="00E978A3"/>
    <w:rsid w:val="00E97913"/>
    <w:rsid w:val="00E97A51"/>
    <w:rsid w:val="00E97DEC"/>
    <w:rsid w:val="00E97E33"/>
    <w:rsid w:val="00E97E5B"/>
    <w:rsid w:val="00E97F1F"/>
    <w:rsid w:val="00E97FEA"/>
    <w:rsid w:val="00EA003E"/>
    <w:rsid w:val="00EA0330"/>
    <w:rsid w:val="00EA04D9"/>
    <w:rsid w:val="00EA056F"/>
    <w:rsid w:val="00EA05FF"/>
    <w:rsid w:val="00EA082B"/>
    <w:rsid w:val="00EA0C61"/>
    <w:rsid w:val="00EA0D06"/>
    <w:rsid w:val="00EA0D4A"/>
    <w:rsid w:val="00EA1164"/>
    <w:rsid w:val="00EA121B"/>
    <w:rsid w:val="00EA12A8"/>
    <w:rsid w:val="00EA149A"/>
    <w:rsid w:val="00EA151C"/>
    <w:rsid w:val="00EA156F"/>
    <w:rsid w:val="00EA166A"/>
    <w:rsid w:val="00EA177E"/>
    <w:rsid w:val="00EA1899"/>
    <w:rsid w:val="00EA19F3"/>
    <w:rsid w:val="00EA1A4A"/>
    <w:rsid w:val="00EA1A90"/>
    <w:rsid w:val="00EA1B7E"/>
    <w:rsid w:val="00EA1B93"/>
    <w:rsid w:val="00EA1CEA"/>
    <w:rsid w:val="00EA1E0F"/>
    <w:rsid w:val="00EA1EFD"/>
    <w:rsid w:val="00EA20BA"/>
    <w:rsid w:val="00EA20D2"/>
    <w:rsid w:val="00EA2129"/>
    <w:rsid w:val="00EA2136"/>
    <w:rsid w:val="00EA2149"/>
    <w:rsid w:val="00EA2223"/>
    <w:rsid w:val="00EA2399"/>
    <w:rsid w:val="00EA249B"/>
    <w:rsid w:val="00EA25DD"/>
    <w:rsid w:val="00EA275C"/>
    <w:rsid w:val="00EA280D"/>
    <w:rsid w:val="00EA2853"/>
    <w:rsid w:val="00EA2877"/>
    <w:rsid w:val="00EA292F"/>
    <w:rsid w:val="00EA29C9"/>
    <w:rsid w:val="00EA2B02"/>
    <w:rsid w:val="00EA2B1E"/>
    <w:rsid w:val="00EA2C14"/>
    <w:rsid w:val="00EA2C4A"/>
    <w:rsid w:val="00EA2F79"/>
    <w:rsid w:val="00EA30B0"/>
    <w:rsid w:val="00EA31AA"/>
    <w:rsid w:val="00EA3210"/>
    <w:rsid w:val="00EA3220"/>
    <w:rsid w:val="00EA33F6"/>
    <w:rsid w:val="00EA341A"/>
    <w:rsid w:val="00EA3518"/>
    <w:rsid w:val="00EA3573"/>
    <w:rsid w:val="00EA3776"/>
    <w:rsid w:val="00EA3F7C"/>
    <w:rsid w:val="00EA408C"/>
    <w:rsid w:val="00EA43EF"/>
    <w:rsid w:val="00EA46FB"/>
    <w:rsid w:val="00EA49C1"/>
    <w:rsid w:val="00EA4AF3"/>
    <w:rsid w:val="00EA4EA5"/>
    <w:rsid w:val="00EA4F0D"/>
    <w:rsid w:val="00EA4FB3"/>
    <w:rsid w:val="00EA553B"/>
    <w:rsid w:val="00EA5ACB"/>
    <w:rsid w:val="00EA5AE0"/>
    <w:rsid w:val="00EA5AF0"/>
    <w:rsid w:val="00EA5B34"/>
    <w:rsid w:val="00EA5C81"/>
    <w:rsid w:val="00EA5D19"/>
    <w:rsid w:val="00EA5E52"/>
    <w:rsid w:val="00EA5E9B"/>
    <w:rsid w:val="00EA60C1"/>
    <w:rsid w:val="00EA60E8"/>
    <w:rsid w:val="00EA6140"/>
    <w:rsid w:val="00EA6234"/>
    <w:rsid w:val="00EA646D"/>
    <w:rsid w:val="00EA6528"/>
    <w:rsid w:val="00EA65D0"/>
    <w:rsid w:val="00EA6868"/>
    <w:rsid w:val="00EA6992"/>
    <w:rsid w:val="00EA6A13"/>
    <w:rsid w:val="00EA6A32"/>
    <w:rsid w:val="00EA6B03"/>
    <w:rsid w:val="00EA6B09"/>
    <w:rsid w:val="00EA6B50"/>
    <w:rsid w:val="00EA6BB4"/>
    <w:rsid w:val="00EA6C84"/>
    <w:rsid w:val="00EA6CAB"/>
    <w:rsid w:val="00EA6CD4"/>
    <w:rsid w:val="00EA6EEF"/>
    <w:rsid w:val="00EA6F72"/>
    <w:rsid w:val="00EA73A7"/>
    <w:rsid w:val="00EA73A8"/>
    <w:rsid w:val="00EA7562"/>
    <w:rsid w:val="00EA7683"/>
    <w:rsid w:val="00EA76AE"/>
    <w:rsid w:val="00EA7981"/>
    <w:rsid w:val="00EA79B0"/>
    <w:rsid w:val="00EA79F3"/>
    <w:rsid w:val="00EA7AE1"/>
    <w:rsid w:val="00EA7C26"/>
    <w:rsid w:val="00EA7C42"/>
    <w:rsid w:val="00EA7C49"/>
    <w:rsid w:val="00EA7C50"/>
    <w:rsid w:val="00EA7C62"/>
    <w:rsid w:val="00EA7CDE"/>
    <w:rsid w:val="00EA7D19"/>
    <w:rsid w:val="00EA7E53"/>
    <w:rsid w:val="00EA7E56"/>
    <w:rsid w:val="00EB0130"/>
    <w:rsid w:val="00EB01D4"/>
    <w:rsid w:val="00EB02B0"/>
    <w:rsid w:val="00EB02E6"/>
    <w:rsid w:val="00EB039F"/>
    <w:rsid w:val="00EB03FE"/>
    <w:rsid w:val="00EB051D"/>
    <w:rsid w:val="00EB0622"/>
    <w:rsid w:val="00EB09C4"/>
    <w:rsid w:val="00EB0C71"/>
    <w:rsid w:val="00EB0FE6"/>
    <w:rsid w:val="00EB1035"/>
    <w:rsid w:val="00EB106C"/>
    <w:rsid w:val="00EB10F6"/>
    <w:rsid w:val="00EB112B"/>
    <w:rsid w:val="00EB127F"/>
    <w:rsid w:val="00EB144B"/>
    <w:rsid w:val="00EB15BB"/>
    <w:rsid w:val="00EB1641"/>
    <w:rsid w:val="00EB1656"/>
    <w:rsid w:val="00EB16B3"/>
    <w:rsid w:val="00EB17A9"/>
    <w:rsid w:val="00EB17BF"/>
    <w:rsid w:val="00EB1A25"/>
    <w:rsid w:val="00EB1BBA"/>
    <w:rsid w:val="00EB1D1F"/>
    <w:rsid w:val="00EB1EE9"/>
    <w:rsid w:val="00EB1EEB"/>
    <w:rsid w:val="00EB1F05"/>
    <w:rsid w:val="00EB2047"/>
    <w:rsid w:val="00EB23CA"/>
    <w:rsid w:val="00EB24A8"/>
    <w:rsid w:val="00EB2514"/>
    <w:rsid w:val="00EB26B1"/>
    <w:rsid w:val="00EB2848"/>
    <w:rsid w:val="00EB28DF"/>
    <w:rsid w:val="00EB2927"/>
    <w:rsid w:val="00EB2B46"/>
    <w:rsid w:val="00EB2D7A"/>
    <w:rsid w:val="00EB2F36"/>
    <w:rsid w:val="00EB2FD2"/>
    <w:rsid w:val="00EB321B"/>
    <w:rsid w:val="00EB327E"/>
    <w:rsid w:val="00EB3300"/>
    <w:rsid w:val="00EB3354"/>
    <w:rsid w:val="00EB33FF"/>
    <w:rsid w:val="00EB35CA"/>
    <w:rsid w:val="00EB3644"/>
    <w:rsid w:val="00EB3867"/>
    <w:rsid w:val="00EB3BF0"/>
    <w:rsid w:val="00EB3CBF"/>
    <w:rsid w:val="00EB3D39"/>
    <w:rsid w:val="00EB3EDD"/>
    <w:rsid w:val="00EB3F0E"/>
    <w:rsid w:val="00EB3F8A"/>
    <w:rsid w:val="00EB3F8D"/>
    <w:rsid w:val="00EB404A"/>
    <w:rsid w:val="00EB40EC"/>
    <w:rsid w:val="00EB4115"/>
    <w:rsid w:val="00EB4131"/>
    <w:rsid w:val="00EB4133"/>
    <w:rsid w:val="00EB4241"/>
    <w:rsid w:val="00EB43D8"/>
    <w:rsid w:val="00EB454B"/>
    <w:rsid w:val="00EB4AA4"/>
    <w:rsid w:val="00EB4C06"/>
    <w:rsid w:val="00EB4C1D"/>
    <w:rsid w:val="00EB4E11"/>
    <w:rsid w:val="00EB4E85"/>
    <w:rsid w:val="00EB4E88"/>
    <w:rsid w:val="00EB4EED"/>
    <w:rsid w:val="00EB4FD1"/>
    <w:rsid w:val="00EB518B"/>
    <w:rsid w:val="00EB53BA"/>
    <w:rsid w:val="00EB5486"/>
    <w:rsid w:val="00EB5558"/>
    <w:rsid w:val="00EB5580"/>
    <w:rsid w:val="00EB5581"/>
    <w:rsid w:val="00EB563F"/>
    <w:rsid w:val="00EB569C"/>
    <w:rsid w:val="00EB5705"/>
    <w:rsid w:val="00EB570A"/>
    <w:rsid w:val="00EB5765"/>
    <w:rsid w:val="00EB57B6"/>
    <w:rsid w:val="00EB59D3"/>
    <w:rsid w:val="00EB59F8"/>
    <w:rsid w:val="00EB5A33"/>
    <w:rsid w:val="00EB5A6F"/>
    <w:rsid w:val="00EB5A9B"/>
    <w:rsid w:val="00EB5D25"/>
    <w:rsid w:val="00EB5E01"/>
    <w:rsid w:val="00EB5ECA"/>
    <w:rsid w:val="00EB6098"/>
    <w:rsid w:val="00EB6164"/>
    <w:rsid w:val="00EB61FB"/>
    <w:rsid w:val="00EB62B7"/>
    <w:rsid w:val="00EB63E3"/>
    <w:rsid w:val="00EB646E"/>
    <w:rsid w:val="00EB666C"/>
    <w:rsid w:val="00EB68FF"/>
    <w:rsid w:val="00EB69E7"/>
    <w:rsid w:val="00EB6B94"/>
    <w:rsid w:val="00EB6DE0"/>
    <w:rsid w:val="00EB6E2D"/>
    <w:rsid w:val="00EB6FB1"/>
    <w:rsid w:val="00EB7185"/>
    <w:rsid w:val="00EB7192"/>
    <w:rsid w:val="00EB71C9"/>
    <w:rsid w:val="00EB7372"/>
    <w:rsid w:val="00EB773F"/>
    <w:rsid w:val="00EB779B"/>
    <w:rsid w:val="00EB78EF"/>
    <w:rsid w:val="00EB7A8F"/>
    <w:rsid w:val="00EB7E0B"/>
    <w:rsid w:val="00EC00DF"/>
    <w:rsid w:val="00EC022C"/>
    <w:rsid w:val="00EC03DC"/>
    <w:rsid w:val="00EC0474"/>
    <w:rsid w:val="00EC04BA"/>
    <w:rsid w:val="00EC04C7"/>
    <w:rsid w:val="00EC0690"/>
    <w:rsid w:val="00EC07F4"/>
    <w:rsid w:val="00EC084E"/>
    <w:rsid w:val="00EC091A"/>
    <w:rsid w:val="00EC0A07"/>
    <w:rsid w:val="00EC0A34"/>
    <w:rsid w:val="00EC0B5D"/>
    <w:rsid w:val="00EC0C07"/>
    <w:rsid w:val="00EC0C3C"/>
    <w:rsid w:val="00EC0E93"/>
    <w:rsid w:val="00EC0EF5"/>
    <w:rsid w:val="00EC0FFB"/>
    <w:rsid w:val="00EC1071"/>
    <w:rsid w:val="00EC108A"/>
    <w:rsid w:val="00EC109D"/>
    <w:rsid w:val="00EC126B"/>
    <w:rsid w:val="00EC1281"/>
    <w:rsid w:val="00EC1366"/>
    <w:rsid w:val="00EC1653"/>
    <w:rsid w:val="00EC1691"/>
    <w:rsid w:val="00EC1749"/>
    <w:rsid w:val="00EC17F0"/>
    <w:rsid w:val="00EC1C24"/>
    <w:rsid w:val="00EC1EA0"/>
    <w:rsid w:val="00EC211E"/>
    <w:rsid w:val="00EC2214"/>
    <w:rsid w:val="00EC22D7"/>
    <w:rsid w:val="00EC2394"/>
    <w:rsid w:val="00EC2559"/>
    <w:rsid w:val="00EC25BA"/>
    <w:rsid w:val="00EC2700"/>
    <w:rsid w:val="00EC285D"/>
    <w:rsid w:val="00EC2977"/>
    <w:rsid w:val="00EC2999"/>
    <w:rsid w:val="00EC2ADA"/>
    <w:rsid w:val="00EC2B7D"/>
    <w:rsid w:val="00EC2BE4"/>
    <w:rsid w:val="00EC2E13"/>
    <w:rsid w:val="00EC2E68"/>
    <w:rsid w:val="00EC2F27"/>
    <w:rsid w:val="00EC2F73"/>
    <w:rsid w:val="00EC3044"/>
    <w:rsid w:val="00EC30C0"/>
    <w:rsid w:val="00EC30C1"/>
    <w:rsid w:val="00EC341A"/>
    <w:rsid w:val="00EC3968"/>
    <w:rsid w:val="00EC3A5F"/>
    <w:rsid w:val="00EC3B08"/>
    <w:rsid w:val="00EC3B90"/>
    <w:rsid w:val="00EC3DB5"/>
    <w:rsid w:val="00EC3EB6"/>
    <w:rsid w:val="00EC3EBC"/>
    <w:rsid w:val="00EC43A4"/>
    <w:rsid w:val="00EC45CA"/>
    <w:rsid w:val="00EC4630"/>
    <w:rsid w:val="00EC4645"/>
    <w:rsid w:val="00EC470D"/>
    <w:rsid w:val="00EC4768"/>
    <w:rsid w:val="00EC479D"/>
    <w:rsid w:val="00EC4800"/>
    <w:rsid w:val="00EC48B6"/>
    <w:rsid w:val="00EC48DB"/>
    <w:rsid w:val="00EC49DB"/>
    <w:rsid w:val="00EC4AEA"/>
    <w:rsid w:val="00EC4C20"/>
    <w:rsid w:val="00EC4C80"/>
    <w:rsid w:val="00EC4C8A"/>
    <w:rsid w:val="00EC4C99"/>
    <w:rsid w:val="00EC4E79"/>
    <w:rsid w:val="00EC5020"/>
    <w:rsid w:val="00EC51E2"/>
    <w:rsid w:val="00EC535A"/>
    <w:rsid w:val="00EC55C1"/>
    <w:rsid w:val="00EC5603"/>
    <w:rsid w:val="00EC588A"/>
    <w:rsid w:val="00EC5A41"/>
    <w:rsid w:val="00EC5ABC"/>
    <w:rsid w:val="00EC5B20"/>
    <w:rsid w:val="00EC5BDF"/>
    <w:rsid w:val="00EC5C9B"/>
    <w:rsid w:val="00EC5D58"/>
    <w:rsid w:val="00EC5D92"/>
    <w:rsid w:val="00EC5F77"/>
    <w:rsid w:val="00EC6074"/>
    <w:rsid w:val="00EC6129"/>
    <w:rsid w:val="00EC623E"/>
    <w:rsid w:val="00EC6723"/>
    <w:rsid w:val="00EC689E"/>
    <w:rsid w:val="00EC69AE"/>
    <w:rsid w:val="00EC69F4"/>
    <w:rsid w:val="00EC6A34"/>
    <w:rsid w:val="00EC6B93"/>
    <w:rsid w:val="00EC6C60"/>
    <w:rsid w:val="00EC6C7C"/>
    <w:rsid w:val="00EC6CED"/>
    <w:rsid w:val="00EC6CFA"/>
    <w:rsid w:val="00EC7039"/>
    <w:rsid w:val="00EC7146"/>
    <w:rsid w:val="00EC716D"/>
    <w:rsid w:val="00EC7178"/>
    <w:rsid w:val="00EC7208"/>
    <w:rsid w:val="00EC7254"/>
    <w:rsid w:val="00EC7317"/>
    <w:rsid w:val="00EC73AB"/>
    <w:rsid w:val="00EC7412"/>
    <w:rsid w:val="00EC7420"/>
    <w:rsid w:val="00EC7481"/>
    <w:rsid w:val="00EC7632"/>
    <w:rsid w:val="00EC7670"/>
    <w:rsid w:val="00EC7760"/>
    <w:rsid w:val="00EC7833"/>
    <w:rsid w:val="00EC789D"/>
    <w:rsid w:val="00EC78B1"/>
    <w:rsid w:val="00EC7A22"/>
    <w:rsid w:val="00EC7A3C"/>
    <w:rsid w:val="00EC7A56"/>
    <w:rsid w:val="00EC7B7F"/>
    <w:rsid w:val="00EC7BD2"/>
    <w:rsid w:val="00EC7C40"/>
    <w:rsid w:val="00EC7C5A"/>
    <w:rsid w:val="00ED012A"/>
    <w:rsid w:val="00ED04B3"/>
    <w:rsid w:val="00ED05D7"/>
    <w:rsid w:val="00ED05EC"/>
    <w:rsid w:val="00ED072E"/>
    <w:rsid w:val="00ED0864"/>
    <w:rsid w:val="00ED08F5"/>
    <w:rsid w:val="00ED09CA"/>
    <w:rsid w:val="00ED0A24"/>
    <w:rsid w:val="00ED0AC7"/>
    <w:rsid w:val="00ED0E98"/>
    <w:rsid w:val="00ED0E9B"/>
    <w:rsid w:val="00ED1015"/>
    <w:rsid w:val="00ED105C"/>
    <w:rsid w:val="00ED15A3"/>
    <w:rsid w:val="00ED15AE"/>
    <w:rsid w:val="00ED15C9"/>
    <w:rsid w:val="00ED164D"/>
    <w:rsid w:val="00ED1804"/>
    <w:rsid w:val="00ED18D3"/>
    <w:rsid w:val="00ED1935"/>
    <w:rsid w:val="00ED1B7E"/>
    <w:rsid w:val="00ED1C7C"/>
    <w:rsid w:val="00ED1D0B"/>
    <w:rsid w:val="00ED1D24"/>
    <w:rsid w:val="00ED1D91"/>
    <w:rsid w:val="00ED21B1"/>
    <w:rsid w:val="00ED2234"/>
    <w:rsid w:val="00ED226A"/>
    <w:rsid w:val="00ED2449"/>
    <w:rsid w:val="00ED2541"/>
    <w:rsid w:val="00ED26C4"/>
    <w:rsid w:val="00ED27B1"/>
    <w:rsid w:val="00ED27D5"/>
    <w:rsid w:val="00ED28DF"/>
    <w:rsid w:val="00ED2A96"/>
    <w:rsid w:val="00ED2B30"/>
    <w:rsid w:val="00ED302F"/>
    <w:rsid w:val="00ED311D"/>
    <w:rsid w:val="00ED3162"/>
    <w:rsid w:val="00ED32CD"/>
    <w:rsid w:val="00ED3384"/>
    <w:rsid w:val="00ED353F"/>
    <w:rsid w:val="00ED3854"/>
    <w:rsid w:val="00ED3902"/>
    <w:rsid w:val="00ED3909"/>
    <w:rsid w:val="00ED3AE2"/>
    <w:rsid w:val="00ED3C05"/>
    <w:rsid w:val="00ED3D2F"/>
    <w:rsid w:val="00ED41DF"/>
    <w:rsid w:val="00ED4221"/>
    <w:rsid w:val="00ED429C"/>
    <w:rsid w:val="00ED42C4"/>
    <w:rsid w:val="00ED42CD"/>
    <w:rsid w:val="00ED437C"/>
    <w:rsid w:val="00ED43A5"/>
    <w:rsid w:val="00ED444F"/>
    <w:rsid w:val="00ED452D"/>
    <w:rsid w:val="00ED4775"/>
    <w:rsid w:val="00ED4786"/>
    <w:rsid w:val="00ED4B9A"/>
    <w:rsid w:val="00ED4BA6"/>
    <w:rsid w:val="00ED4E00"/>
    <w:rsid w:val="00ED50E4"/>
    <w:rsid w:val="00ED51A5"/>
    <w:rsid w:val="00ED51BC"/>
    <w:rsid w:val="00ED53DB"/>
    <w:rsid w:val="00ED5760"/>
    <w:rsid w:val="00ED576E"/>
    <w:rsid w:val="00ED58F2"/>
    <w:rsid w:val="00ED5930"/>
    <w:rsid w:val="00ED5939"/>
    <w:rsid w:val="00ED5983"/>
    <w:rsid w:val="00ED5B8E"/>
    <w:rsid w:val="00ED5CF6"/>
    <w:rsid w:val="00ED5D74"/>
    <w:rsid w:val="00ED5EB7"/>
    <w:rsid w:val="00ED5EF8"/>
    <w:rsid w:val="00ED628C"/>
    <w:rsid w:val="00ED6372"/>
    <w:rsid w:val="00ED63CD"/>
    <w:rsid w:val="00ED6464"/>
    <w:rsid w:val="00ED646E"/>
    <w:rsid w:val="00ED6481"/>
    <w:rsid w:val="00ED65F5"/>
    <w:rsid w:val="00ED66E3"/>
    <w:rsid w:val="00ED66F8"/>
    <w:rsid w:val="00ED67A7"/>
    <w:rsid w:val="00ED6878"/>
    <w:rsid w:val="00ED6B16"/>
    <w:rsid w:val="00ED6BEE"/>
    <w:rsid w:val="00ED6D3E"/>
    <w:rsid w:val="00ED6E3D"/>
    <w:rsid w:val="00ED6E41"/>
    <w:rsid w:val="00ED6E6B"/>
    <w:rsid w:val="00ED6F6D"/>
    <w:rsid w:val="00ED7057"/>
    <w:rsid w:val="00ED7182"/>
    <w:rsid w:val="00ED734A"/>
    <w:rsid w:val="00ED74BC"/>
    <w:rsid w:val="00ED7539"/>
    <w:rsid w:val="00ED75F6"/>
    <w:rsid w:val="00ED772D"/>
    <w:rsid w:val="00ED773F"/>
    <w:rsid w:val="00ED77A0"/>
    <w:rsid w:val="00ED77BB"/>
    <w:rsid w:val="00ED77EB"/>
    <w:rsid w:val="00ED79BE"/>
    <w:rsid w:val="00ED79E0"/>
    <w:rsid w:val="00ED7E09"/>
    <w:rsid w:val="00ED7E7B"/>
    <w:rsid w:val="00EE0026"/>
    <w:rsid w:val="00EE0158"/>
    <w:rsid w:val="00EE04B3"/>
    <w:rsid w:val="00EE0663"/>
    <w:rsid w:val="00EE07D2"/>
    <w:rsid w:val="00EE0D01"/>
    <w:rsid w:val="00EE0DEA"/>
    <w:rsid w:val="00EE0FD9"/>
    <w:rsid w:val="00EE127F"/>
    <w:rsid w:val="00EE129A"/>
    <w:rsid w:val="00EE12B4"/>
    <w:rsid w:val="00EE1468"/>
    <w:rsid w:val="00EE1509"/>
    <w:rsid w:val="00EE153C"/>
    <w:rsid w:val="00EE15DA"/>
    <w:rsid w:val="00EE173A"/>
    <w:rsid w:val="00EE17D4"/>
    <w:rsid w:val="00EE1833"/>
    <w:rsid w:val="00EE183B"/>
    <w:rsid w:val="00EE187C"/>
    <w:rsid w:val="00EE1A3E"/>
    <w:rsid w:val="00EE1ADA"/>
    <w:rsid w:val="00EE1EBF"/>
    <w:rsid w:val="00EE2004"/>
    <w:rsid w:val="00EE2128"/>
    <w:rsid w:val="00EE2131"/>
    <w:rsid w:val="00EE2418"/>
    <w:rsid w:val="00EE242A"/>
    <w:rsid w:val="00EE24C1"/>
    <w:rsid w:val="00EE262A"/>
    <w:rsid w:val="00EE2681"/>
    <w:rsid w:val="00EE2772"/>
    <w:rsid w:val="00EE2CF5"/>
    <w:rsid w:val="00EE2D01"/>
    <w:rsid w:val="00EE2E27"/>
    <w:rsid w:val="00EE3002"/>
    <w:rsid w:val="00EE346F"/>
    <w:rsid w:val="00EE351A"/>
    <w:rsid w:val="00EE3520"/>
    <w:rsid w:val="00EE3547"/>
    <w:rsid w:val="00EE3636"/>
    <w:rsid w:val="00EE370D"/>
    <w:rsid w:val="00EE377B"/>
    <w:rsid w:val="00EE3832"/>
    <w:rsid w:val="00EE384C"/>
    <w:rsid w:val="00EE387F"/>
    <w:rsid w:val="00EE3A12"/>
    <w:rsid w:val="00EE3D50"/>
    <w:rsid w:val="00EE3FA1"/>
    <w:rsid w:val="00EE424B"/>
    <w:rsid w:val="00EE44B2"/>
    <w:rsid w:val="00EE452B"/>
    <w:rsid w:val="00EE4664"/>
    <w:rsid w:val="00EE471A"/>
    <w:rsid w:val="00EE4B1D"/>
    <w:rsid w:val="00EE4B41"/>
    <w:rsid w:val="00EE4CC6"/>
    <w:rsid w:val="00EE4D37"/>
    <w:rsid w:val="00EE4DC3"/>
    <w:rsid w:val="00EE4E33"/>
    <w:rsid w:val="00EE4EF5"/>
    <w:rsid w:val="00EE4EFE"/>
    <w:rsid w:val="00EE4F5C"/>
    <w:rsid w:val="00EE4F8A"/>
    <w:rsid w:val="00EE51C0"/>
    <w:rsid w:val="00EE544F"/>
    <w:rsid w:val="00EE54A3"/>
    <w:rsid w:val="00EE55A9"/>
    <w:rsid w:val="00EE567E"/>
    <w:rsid w:val="00EE5B0C"/>
    <w:rsid w:val="00EE5C9F"/>
    <w:rsid w:val="00EE5E2F"/>
    <w:rsid w:val="00EE5F45"/>
    <w:rsid w:val="00EE618A"/>
    <w:rsid w:val="00EE61D4"/>
    <w:rsid w:val="00EE62CA"/>
    <w:rsid w:val="00EE6375"/>
    <w:rsid w:val="00EE6444"/>
    <w:rsid w:val="00EE6489"/>
    <w:rsid w:val="00EE6A30"/>
    <w:rsid w:val="00EE6C56"/>
    <w:rsid w:val="00EE6F66"/>
    <w:rsid w:val="00EE6F8F"/>
    <w:rsid w:val="00EE6FC8"/>
    <w:rsid w:val="00EE6FE4"/>
    <w:rsid w:val="00EE6FEA"/>
    <w:rsid w:val="00EE7181"/>
    <w:rsid w:val="00EE718B"/>
    <w:rsid w:val="00EE73D3"/>
    <w:rsid w:val="00EE73FF"/>
    <w:rsid w:val="00EE74DC"/>
    <w:rsid w:val="00EE75BB"/>
    <w:rsid w:val="00EE76F0"/>
    <w:rsid w:val="00EE77A9"/>
    <w:rsid w:val="00EE7971"/>
    <w:rsid w:val="00EE7B76"/>
    <w:rsid w:val="00EE7D24"/>
    <w:rsid w:val="00EE7E06"/>
    <w:rsid w:val="00EE7E55"/>
    <w:rsid w:val="00EF00FA"/>
    <w:rsid w:val="00EF0174"/>
    <w:rsid w:val="00EF0205"/>
    <w:rsid w:val="00EF023B"/>
    <w:rsid w:val="00EF035B"/>
    <w:rsid w:val="00EF03F5"/>
    <w:rsid w:val="00EF04FE"/>
    <w:rsid w:val="00EF0554"/>
    <w:rsid w:val="00EF065D"/>
    <w:rsid w:val="00EF0B24"/>
    <w:rsid w:val="00EF0B2F"/>
    <w:rsid w:val="00EF0B44"/>
    <w:rsid w:val="00EF0C60"/>
    <w:rsid w:val="00EF0CDD"/>
    <w:rsid w:val="00EF0CFB"/>
    <w:rsid w:val="00EF0DEC"/>
    <w:rsid w:val="00EF0E92"/>
    <w:rsid w:val="00EF0FC0"/>
    <w:rsid w:val="00EF1079"/>
    <w:rsid w:val="00EF1436"/>
    <w:rsid w:val="00EF1BBB"/>
    <w:rsid w:val="00EF1CBA"/>
    <w:rsid w:val="00EF1D73"/>
    <w:rsid w:val="00EF1EEB"/>
    <w:rsid w:val="00EF205C"/>
    <w:rsid w:val="00EF21A2"/>
    <w:rsid w:val="00EF21A3"/>
    <w:rsid w:val="00EF22AF"/>
    <w:rsid w:val="00EF2333"/>
    <w:rsid w:val="00EF233B"/>
    <w:rsid w:val="00EF23C2"/>
    <w:rsid w:val="00EF2486"/>
    <w:rsid w:val="00EF24AD"/>
    <w:rsid w:val="00EF25DF"/>
    <w:rsid w:val="00EF2610"/>
    <w:rsid w:val="00EF2967"/>
    <w:rsid w:val="00EF2997"/>
    <w:rsid w:val="00EF29CA"/>
    <w:rsid w:val="00EF2A9A"/>
    <w:rsid w:val="00EF2AB9"/>
    <w:rsid w:val="00EF2AF5"/>
    <w:rsid w:val="00EF3141"/>
    <w:rsid w:val="00EF325D"/>
    <w:rsid w:val="00EF32D0"/>
    <w:rsid w:val="00EF338A"/>
    <w:rsid w:val="00EF35DD"/>
    <w:rsid w:val="00EF3607"/>
    <w:rsid w:val="00EF3635"/>
    <w:rsid w:val="00EF383D"/>
    <w:rsid w:val="00EF39D1"/>
    <w:rsid w:val="00EF3C6E"/>
    <w:rsid w:val="00EF3C73"/>
    <w:rsid w:val="00EF3D29"/>
    <w:rsid w:val="00EF3D61"/>
    <w:rsid w:val="00EF4096"/>
    <w:rsid w:val="00EF4185"/>
    <w:rsid w:val="00EF4235"/>
    <w:rsid w:val="00EF427F"/>
    <w:rsid w:val="00EF4331"/>
    <w:rsid w:val="00EF437D"/>
    <w:rsid w:val="00EF4633"/>
    <w:rsid w:val="00EF46A4"/>
    <w:rsid w:val="00EF47A8"/>
    <w:rsid w:val="00EF4977"/>
    <w:rsid w:val="00EF4FD4"/>
    <w:rsid w:val="00EF52A6"/>
    <w:rsid w:val="00EF561F"/>
    <w:rsid w:val="00EF5858"/>
    <w:rsid w:val="00EF5A3E"/>
    <w:rsid w:val="00EF5B1B"/>
    <w:rsid w:val="00EF5B65"/>
    <w:rsid w:val="00EF5FE5"/>
    <w:rsid w:val="00EF6153"/>
    <w:rsid w:val="00EF6183"/>
    <w:rsid w:val="00EF6195"/>
    <w:rsid w:val="00EF6199"/>
    <w:rsid w:val="00EF631B"/>
    <w:rsid w:val="00EF6445"/>
    <w:rsid w:val="00EF6547"/>
    <w:rsid w:val="00EF67BD"/>
    <w:rsid w:val="00EF699C"/>
    <w:rsid w:val="00EF69CD"/>
    <w:rsid w:val="00EF6B87"/>
    <w:rsid w:val="00EF6C69"/>
    <w:rsid w:val="00EF7239"/>
    <w:rsid w:val="00EF7351"/>
    <w:rsid w:val="00EF7486"/>
    <w:rsid w:val="00EF76C7"/>
    <w:rsid w:val="00EF7807"/>
    <w:rsid w:val="00EF7867"/>
    <w:rsid w:val="00EF7879"/>
    <w:rsid w:val="00EF7A30"/>
    <w:rsid w:val="00EF7A92"/>
    <w:rsid w:val="00EF7AA5"/>
    <w:rsid w:val="00EF7E13"/>
    <w:rsid w:val="00F00111"/>
    <w:rsid w:val="00F002DA"/>
    <w:rsid w:val="00F0036D"/>
    <w:rsid w:val="00F003D1"/>
    <w:rsid w:val="00F003D5"/>
    <w:rsid w:val="00F006AF"/>
    <w:rsid w:val="00F00703"/>
    <w:rsid w:val="00F00761"/>
    <w:rsid w:val="00F00832"/>
    <w:rsid w:val="00F00A2B"/>
    <w:rsid w:val="00F00D9F"/>
    <w:rsid w:val="00F00E19"/>
    <w:rsid w:val="00F00E5A"/>
    <w:rsid w:val="00F00F15"/>
    <w:rsid w:val="00F00F25"/>
    <w:rsid w:val="00F0128C"/>
    <w:rsid w:val="00F015D6"/>
    <w:rsid w:val="00F0183C"/>
    <w:rsid w:val="00F0199B"/>
    <w:rsid w:val="00F01A17"/>
    <w:rsid w:val="00F01ADB"/>
    <w:rsid w:val="00F01DA2"/>
    <w:rsid w:val="00F01F36"/>
    <w:rsid w:val="00F020B4"/>
    <w:rsid w:val="00F02122"/>
    <w:rsid w:val="00F02167"/>
    <w:rsid w:val="00F023F8"/>
    <w:rsid w:val="00F0258C"/>
    <w:rsid w:val="00F02642"/>
    <w:rsid w:val="00F0273C"/>
    <w:rsid w:val="00F02A83"/>
    <w:rsid w:val="00F02AB5"/>
    <w:rsid w:val="00F02B33"/>
    <w:rsid w:val="00F02B61"/>
    <w:rsid w:val="00F02E92"/>
    <w:rsid w:val="00F02EBF"/>
    <w:rsid w:val="00F0325F"/>
    <w:rsid w:val="00F03320"/>
    <w:rsid w:val="00F034CC"/>
    <w:rsid w:val="00F03530"/>
    <w:rsid w:val="00F035B6"/>
    <w:rsid w:val="00F037C9"/>
    <w:rsid w:val="00F03857"/>
    <w:rsid w:val="00F038CF"/>
    <w:rsid w:val="00F039A1"/>
    <w:rsid w:val="00F039F8"/>
    <w:rsid w:val="00F03A67"/>
    <w:rsid w:val="00F03BE6"/>
    <w:rsid w:val="00F03CC0"/>
    <w:rsid w:val="00F03CC8"/>
    <w:rsid w:val="00F03D7D"/>
    <w:rsid w:val="00F03DE1"/>
    <w:rsid w:val="00F03E7B"/>
    <w:rsid w:val="00F03EEF"/>
    <w:rsid w:val="00F03F3C"/>
    <w:rsid w:val="00F03FC5"/>
    <w:rsid w:val="00F04005"/>
    <w:rsid w:val="00F0428B"/>
    <w:rsid w:val="00F0431A"/>
    <w:rsid w:val="00F04461"/>
    <w:rsid w:val="00F04462"/>
    <w:rsid w:val="00F0462F"/>
    <w:rsid w:val="00F04685"/>
    <w:rsid w:val="00F047B0"/>
    <w:rsid w:val="00F048BF"/>
    <w:rsid w:val="00F0497E"/>
    <w:rsid w:val="00F04A4C"/>
    <w:rsid w:val="00F04C31"/>
    <w:rsid w:val="00F04DE2"/>
    <w:rsid w:val="00F04FD0"/>
    <w:rsid w:val="00F0524E"/>
    <w:rsid w:val="00F052D7"/>
    <w:rsid w:val="00F053CE"/>
    <w:rsid w:val="00F054A9"/>
    <w:rsid w:val="00F05509"/>
    <w:rsid w:val="00F05642"/>
    <w:rsid w:val="00F0569A"/>
    <w:rsid w:val="00F05916"/>
    <w:rsid w:val="00F059D9"/>
    <w:rsid w:val="00F05A7E"/>
    <w:rsid w:val="00F05B88"/>
    <w:rsid w:val="00F05C3D"/>
    <w:rsid w:val="00F05E34"/>
    <w:rsid w:val="00F062E9"/>
    <w:rsid w:val="00F0634A"/>
    <w:rsid w:val="00F0636B"/>
    <w:rsid w:val="00F064D6"/>
    <w:rsid w:val="00F065DA"/>
    <w:rsid w:val="00F06640"/>
    <w:rsid w:val="00F0676D"/>
    <w:rsid w:val="00F069BB"/>
    <w:rsid w:val="00F069BF"/>
    <w:rsid w:val="00F06B61"/>
    <w:rsid w:val="00F06B93"/>
    <w:rsid w:val="00F06C99"/>
    <w:rsid w:val="00F06CA5"/>
    <w:rsid w:val="00F06D99"/>
    <w:rsid w:val="00F06F4F"/>
    <w:rsid w:val="00F06F5A"/>
    <w:rsid w:val="00F071E8"/>
    <w:rsid w:val="00F07224"/>
    <w:rsid w:val="00F07413"/>
    <w:rsid w:val="00F07470"/>
    <w:rsid w:val="00F077F6"/>
    <w:rsid w:val="00F078A7"/>
    <w:rsid w:val="00F07928"/>
    <w:rsid w:val="00F07A56"/>
    <w:rsid w:val="00F07C97"/>
    <w:rsid w:val="00F07CB9"/>
    <w:rsid w:val="00F07D90"/>
    <w:rsid w:val="00F07DF1"/>
    <w:rsid w:val="00F07E36"/>
    <w:rsid w:val="00F10140"/>
    <w:rsid w:val="00F1029A"/>
    <w:rsid w:val="00F10387"/>
    <w:rsid w:val="00F104F8"/>
    <w:rsid w:val="00F10696"/>
    <w:rsid w:val="00F10768"/>
    <w:rsid w:val="00F107D7"/>
    <w:rsid w:val="00F107FC"/>
    <w:rsid w:val="00F10ADF"/>
    <w:rsid w:val="00F10B90"/>
    <w:rsid w:val="00F10BD8"/>
    <w:rsid w:val="00F10C3B"/>
    <w:rsid w:val="00F10EC1"/>
    <w:rsid w:val="00F11045"/>
    <w:rsid w:val="00F11112"/>
    <w:rsid w:val="00F111A7"/>
    <w:rsid w:val="00F1149B"/>
    <w:rsid w:val="00F114F9"/>
    <w:rsid w:val="00F116D4"/>
    <w:rsid w:val="00F11717"/>
    <w:rsid w:val="00F11773"/>
    <w:rsid w:val="00F117EC"/>
    <w:rsid w:val="00F117F7"/>
    <w:rsid w:val="00F11903"/>
    <w:rsid w:val="00F11A2B"/>
    <w:rsid w:val="00F11B12"/>
    <w:rsid w:val="00F11BF9"/>
    <w:rsid w:val="00F11D18"/>
    <w:rsid w:val="00F11D36"/>
    <w:rsid w:val="00F12187"/>
    <w:rsid w:val="00F12288"/>
    <w:rsid w:val="00F122D2"/>
    <w:rsid w:val="00F122E9"/>
    <w:rsid w:val="00F1230F"/>
    <w:rsid w:val="00F12359"/>
    <w:rsid w:val="00F123EC"/>
    <w:rsid w:val="00F1253C"/>
    <w:rsid w:val="00F12562"/>
    <w:rsid w:val="00F1275B"/>
    <w:rsid w:val="00F12873"/>
    <w:rsid w:val="00F12983"/>
    <w:rsid w:val="00F12B74"/>
    <w:rsid w:val="00F12B7B"/>
    <w:rsid w:val="00F12BD2"/>
    <w:rsid w:val="00F12C2F"/>
    <w:rsid w:val="00F12CE8"/>
    <w:rsid w:val="00F12F06"/>
    <w:rsid w:val="00F12FAB"/>
    <w:rsid w:val="00F13195"/>
    <w:rsid w:val="00F1325F"/>
    <w:rsid w:val="00F134D1"/>
    <w:rsid w:val="00F13703"/>
    <w:rsid w:val="00F13716"/>
    <w:rsid w:val="00F13ABE"/>
    <w:rsid w:val="00F13C3B"/>
    <w:rsid w:val="00F13D59"/>
    <w:rsid w:val="00F13DE7"/>
    <w:rsid w:val="00F13E19"/>
    <w:rsid w:val="00F13EFB"/>
    <w:rsid w:val="00F14006"/>
    <w:rsid w:val="00F14021"/>
    <w:rsid w:val="00F14123"/>
    <w:rsid w:val="00F1413D"/>
    <w:rsid w:val="00F14151"/>
    <w:rsid w:val="00F141AE"/>
    <w:rsid w:val="00F14319"/>
    <w:rsid w:val="00F14340"/>
    <w:rsid w:val="00F14371"/>
    <w:rsid w:val="00F143BB"/>
    <w:rsid w:val="00F14444"/>
    <w:rsid w:val="00F14711"/>
    <w:rsid w:val="00F147DA"/>
    <w:rsid w:val="00F1488F"/>
    <w:rsid w:val="00F14E73"/>
    <w:rsid w:val="00F14F54"/>
    <w:rsid w:val="00F15125"/>
    <w:rsid w:val="00F1517B"/>
    <w:rsid w:val="00F153A0"/>
    <w:rsid w:val="00F156B1"/>
    <w:rsid w:val="00F1571C"/>
    <w:rsid w:val="00F15B12"/>
    <w:rsid w:val="00F15B36"/>
    <w:rsid w:val="00F15CB6"/>
    <w:rsid w:val="00F15D56"/>
    <w:rsid w:val="00F15E5A"/>
    <w:rsid w:val="00F15FFF"/>
    <w:rsid w:val="00F16087"/>
    <w:rsid w:val="00F162E2"/>
    <w:rsid w:val="00F163F1"/>
    <w:rsid w:val="00F1647D"/>
    <w:rsid w:val="00F16498"/>
    <w:rsid w:val="00F1662A"/>
    <w:rsid w:val="00F16884"/>
    <w:rsid w:val="00F1688C"/>
    <w:rsid w:val="00F169B9"/>
    <w:rsid w:val="00F169BB"/>
    <w:rsid w:val="00F16B59"/>
    <w:rsid w:val="00F16EB5"/>
    <w:rsid w:val="00F16ED9"/>
    <w:rsid w:val="00F16F14"/>
    <w:rsid w:val="00F17041"/>
    <w:rsid w:val="00F170FB"/>
    <w:rsid w:val="00F17181"/>
    <w:rsid w:val="00F1759C"/>
    <w:rsid w:val="00F1785E"/>
    <w:rsid w:val="00F1792E"/>
    <w:rsid w:val="00F17948"/>
    <w:rsid w:val="00F17B09"/>
    <w:rsid w:val="00F17B43"/>
    <w:rsid w:val="00F17C5A"/>
    <w:rsid w:val="00F17C5D"/>
    <w:rsid w:val="00F17D2D"/>
    <w:rsid w:val="00F17FCA"/>
    <w:rsid w:val="00F2004C"/>
    <w:rsid w:val="00F200DB"/>
    <w:rsid w:val="00F20196"/>
    <w:rsid w:val="00F202B9"/>
    <w:rsid w:val="00F203D4"/>
    <w:rsid w:val="00F208C8"/>
    <w:rsid w:val="00F209E7"/>
    <w:rsid w:val="00F20A90"/>
    <w:rsid w:val="00F20B11"/>
    <w:rsid w:val="00F20B25"/>
    <w:rsid w:val="00F20BE1"/>
    <w:rsid w:val="00F20D5A"/>
    <w:rsid w:val="00F20EDF"/>
    <w:rsid w:val="00F2114C"/>
    <w:rsid w:val="00F212F0"/>
    <w:rsid w:val="00F2137A"/>
    <w:rsid w:val="00F21539"/>
    <w:rsid w:val="00F2170A"/>
    <w:rsid w:val="00F217D5"/>
    <w:rsid w:val="00F218DE"/>
    <w:rsid w:val="00F21C82"/>
    <w:rsid w:val="00F21CC1"/>
    <w:rsid w:val="00F21D4C"/>
    <w:rsid w:val="00F21F9E"/>
    <w:rsid w:val="00F220F9"/>
    <w:rsid w:val="00F223FE"/>
    <w:rsid w:val="00F2242C"/>
    <w:rsid w:val="00F2264E"/>
    <w:rsid w:val="00F22971"/>
    <w:rsid w:val="00F2298B"/>
    <w:rsid w:val="00F229BF"/>
    <w:rsid w:val="00F229ED"/>
    <w:rsid w:val="00F22AB1"/>
    <w:rsid w:val="00F22ADE"/>
    <w:rsid w:val="00F22B68"/>
    <w:rsid w:val="00F22C16"/>
    <w:rsid w:val="00F22CF2"/>
    <w:rsid w:val="00F22DB5"/>
    <w:rsid w:val="00F23022"/>
    <w:rsid w:val="00F23041"/>
    <w:rsid w:val="00F230EA"/>
    <w:rsid w:val="00F230F6"/>
    <w:rsid w:val="00F232EA"/>
    <w:rsid w:val="00F23335"/>
    <w:rsid w:val="00F2336D"/>
    <w:rsid w:val="00F233F0"/>
    <w:rsid w:val="00F23732"/>
    <w:rsid w:val="00F23753"/>
    <w:rsid w:val="00F237A0"/>
    <w:rsid w:val="00F239D9"/>
    <w:rsid w:val="00F23A4A"/>
    <w:rsid w:val="00F23AD3"/>
    <w:rsid w:val="00F23B0D"/>
    <w:rsid w:val="00F23BB9"/>
    <w:rsid w:val="00F23BFF"/>
    <w:rsid w:val="00F23D2B"/>
    <w:rsid w:val="00F23D35"/>
    <w:rsid w:val="00F23D3B"/>
    <w:rsid w:val="00F23DCA"/>
    <w:rsid w:val="00F23FC7"/>
    <w:rsid w:val="00F2422F"/>
    <w:rsid w:val="00F24425"/>
    <w:rsid w:val="00F245D0"/>
    <w:rsid w:val="00F248E2"/>
    <w:rsid w:val="00F2498F"/>
    <w:rsid w:val="00F24A41"/>
    <w:rsid w:val="00F24B21"/>
    <w:rsid w:val="00F24D0A"/>
    <w:rsid w:val="00F24DB0"/>
    <w:rsid w:val="00F24F9D"/>
    <w:rsid w:val="00F25178"/>
    <w:rsid w:val="00F2523A"/>
    <w:rsid w:val="00F25377"/>
    <w:rsid w:val="00F25482"/>
    <w:rsid w:val="00F25489"/>
    <w:rsid w:val="00F256CE"/>
    <w:rsid w:val="00F256CF"/>
    <w:rsid w:val="00F257C5"/>
    <w:rsid w:val="00F25847"/>
    <w:rsid w:val="00F25898"/>
    <w:rsid w:val="00F25913"/>
    <w:rsid w:val="00F25950"/>
    <w:rsid w:val="00F259D4"/>
    <w:rsid w:val="00F259FC"/>
    <w:rsid w:val="00F25A3C"/>
    <w:rsid w:val="00F25B76"/>
    <w:rsid w:val="00F25BCE"/>
    <w:rsid w:val="00F25F91"/>
    <w:rsid w:val="00F25F97"/>
    <w:rsid w:val="00F25FA6"/>
    <w:rsid w:val="00F2617A"/>
    <w:rsid w:val="00F26225"/>
    <w:rsid w:val="00F262A7"/>
    <w:rsid w:val="00F263C7"/>
    <w:rsid w:val="00F2658D"/>
    <w:rsid w:val="00F2659C"/>
    <w:rsid w:val="00F26608"/>
    <w:rsid w:val="00F2671B"/>
    <w:rsid w:val="00F26816"/>
    <w:rsid w:val="00F2689D"/>
    <w:rsid w:val="00F26BB7"/>
    <w:rsid w:val="00F26ECF"/>
    <w:rsid w:val="00F26EF2"/>
    <w:rsid w:val="00F26FC5"/>
    <w:rsid w:val="00F2715F"/>
    <w:rsid w:val="00F2727D"/>
    <w:rsid w:val="00F27385"/>
    <w:rsid w:val="00F2748A"/>
    <w:rsid w:val="00F27673"/>
    <w:rsid w:val="00F27810"/>
    <w:rsid w:val="00F27A21"/>
    <w:rsid w:val="00F27B79"/>
    <w:rsid w:val="00F27C7C"/>
    <w:rsid w:val="00F27CB3"/>
    <w:rsid w:val="00F27D40"/>
    <w:rsid w:val="00F300F9"/>
    <w:rsid w:val="00F3032E"/>
    <w:rsid w:val="00F30372"/>
    <w:rsid w:val="00F30382"/>
    <w:rsid w:val="00F30416"/>
    <w:rsid w:val="00F3048E"/>
    <w:rsid w:val="00F30667"/>
    <w:rsid w:val="00F3077B"/>
    <w:rsid w:val="00F30821"/>
    <w:rsid w:val="00F308AC"/>
    <w:rsid w:val="00F308FD"/>
    <w:rsid w:val="00F309C9"/>
    <w:rsid w:val="00F30AD0"/>
    <w:rsid w:val="00F30B48"/>
    <w:rsid w:val="00F30B57"/>
    <w:rsid w:val="00F30B86"/>
    <w:rsid w:val="00F30ED8"/>
    <w:rsid w:val="00F30F7E"/>
    <w:rsid w:val="00F30FD0"/>
    <w:rsid w:val="00F3101C"/>
    <w:rsid w:val="00F3103F"/>
    <w:rsid w:val="00F310AE"/>
    <w:rsid w:val="00F310C0"/>
    <w:rsid w:val="00F310D3"/>
    <w:rsid w:val="00F31134"/>
    <w:rsid w:val="00F312F0"/>
    <w:rsid w:val="00F3133E"/>
    <w:rsid w:val="00F31342"/>
    <w:rsid w:val="00F313E4"/>
    <w:rsid w:val="00F31500"/>
    <w:rsid w:val="00F31863"/>
    <w:rsid w:val="00F31A14"/>
    <w:rsid w:val="00F31A51"/>
    <w:rsid w:val="00F31B81"/>
    <w:rsid w:val="00F31BDB"/>
    <w:rsid w:val="00F31C10"/>
    <w:rsid w:val="00F31CA9"/>
    <w:rsid w:val="00F31D86"/>
    <w:rsid w:val="00F31DDF"/>
    <w:rsid w:val="00F3207C"/>
    <w:rsid w:val="00F321FD"/>
    <w:rsid w:val="00F32677"/>
    <w:rsid w:val="00F329BC"/>
    <w:rsid w:val="00F32B4B"/>
    <w:rsid w:val="00F32BC1"/>
    <w:rsid w:val="00F32C32"/>
    <w:rsid w:val="00F32FF5"/>
    <w:rsid w:val="00F3332F"/>
    <w:rsid w:val="00F33352"/>
    <w:rsid w:val="00F33480"/>
    <w:rsid w:val="00F335EF"/>
    <w:rsid w:val="00F336ED"/>
    <w:rsid w:val="00F33813"/>
    <w:rsid w:val="00F33ACC"/>
    <w:rsid w:val="00F33D52"/>
    <w:rsid w:val="00F33DF4"/>
    <w:rsid w:val="00F33E03"/>
    <w:rsid w:val="00F33E7D"/>
    <w:rsid w:val="00F33F39"/>
    <w:rsid w:val="00F340F8"/>
    <w:rsid w:val="00F34327"/>
    <w:rsid w:val="00F3433F"/>
    <w:rsid w:val="00F34517"/>
    <w:rsid w:val="00F34551"/>
    <w:rsid w:val="00F345D5"/>
    <w:rsid w:val="00F34697"/>
    <w:rsid w:val="00F3472B"/>
    <w:rsid w:val="00F34958"/>
    <w:rsid w:val="00F34B6E"/>
    <w:rsid w:val="00F34C03"/>
    <w:rsid w:val="00F34D25"/>
    <w:rsid w:val="00F34DBE"/>
    <w:rsid w:val="00F34DC6"/>
    <w:rsid w:val="00F35170"/>
    <w:rsid w:val="00F3520C"/>
    <w:rsid w:val="00F352FB"/>
    <w:rsid w:val="00F35317"/>
    <w:rsid w:val="00F35455"/>
    <w:rsid w:val="00F35468"/>
    <w:rsid w:val="00F35A58"/>
    <w:rsid w:val="00F35AB6"/>
    <w:rsid w:val="00F35D5C"/>
    <w:rsid w:val="00F35DC2"/>
    <w:rsid w:val="00F35F95"/>
    <w:rsid w:val="00F36057"/>
    <w:rsid w:val="00F360BD"/>
    <w:rsid w:val="00F361C3"/>
    <w:rsid w:val="00F3623F"/>
    <w:rsid w:val="00F3667E"/>
    <w:rsid w:val="00F366DC"/>
    <w:rsid w:val="00F368BD"/>
    <w:rsid w:val="00F368CB"/>
    <w:rsid w:val="00F36A8E"/>
    <w:rsid w:val="00F36D72"/>
    <w:rsid w:val="00F36D84"/>
    <w:rsid w:val="00F36DC4"/>
    <w:rsid w:val="00F36E83"/>
    <w:rsid w:val="00F36E8D"/>
    <w:rsid w:val="00F36EC9"/>
    <w:rsid w:val="00F36ED9"/>
    <w:rsid w:val="00F36F73"/>
    <w:rsid w:val="00F37060"/>
    <w:rsid w:val="00F373BF"/>
    <w:rsid w:val="00F373E7"/>
    <w:rsid w:val="00F375CC"/>
    <w:rsid w:val="00F375E0"/>
    <w:rsid w:val="00F376D4"/>
    <w:rsid w:val="00F377E0"/>
    <w:rsid w:val="00F377F8"/>
    <w:rsid w:val="00F378E6"/>
    <w:rsid w:val="00F37906"/>
    <w:rsid w:val="00F379C4"/>
    <w:rsid w:val="00F37AD5"/>
    <w:rsid w:val="00F37AE5"/>
    <w:rsid w:val="00F37BE8"/>
    <w:rsid w:val="00F37E3A"/>
    <w:rsid w:val="00F401AF"/>
    <w:rsid w:val="00F401FD"/>
    <w:rsid w:val="00F402A6"/>
    <w:rsid w:val="00F403EB"/>
    <w:rsid w:val="00F4077B"/>
    <w:rsid w:val="00F40B87"/>
    <w:rsid w:val="00F40BBC"/>
    <w:rsid w:val="00F40CEF"/>
    <w:rsid w:val="00F40EEB"/>
    <w:rsid w:val="00F40EF9"/>
    <w:rsid w:val="00F40F5C"/>
    <w:rsid w:val="00F41121"/>
    <w:rsid w:val="00F414BC"/>
    <w:rsid w:val="00F414EF"/>
    <w:rsid w:val="00F41AAA"/>
    <w:rsid w:val="00F41F29"/>
    <w:rsid w:val="00F41FEF"/>
    <w:rsid w:val="00F42041"/>
    <w:rsid w:val="00F420DB"/>
    <w:rsid w:val="00F42205"/>
    <w:rsid w:val="00F4223D"/>
    <w:rsid w:val="00F423CE"/>
    <w:rsid w:val="00F42420"/>
    <w:rsid w:val="00F4256A"/>
    <w:rsid w:val="00F42587"/>
    <w:rsid w:val="00F426A2"/>
    <w:rsid w:val="00F42796"/>
    <w:rsid w:val="00F42844"/>
    <w:rsid w:val="00F42958"/>
    <w:rsid w:val="00F42B2F"/>
    <w:rsid w:val="00F42BDB"/>
    <w:rsid w:val="00F42CAC"/>
    <w:rsid w:val="00F42DAD"/>
    <w:rsid w:val="00F42EC2"/>
    <w:rsid w:val="00F42F6E"/>
    <w:rsid w:val="00F431D2"/>
    <w:rsid w:val="00F431FA"/>
    <w:rsid w:val="00F43235"/>
    <w:rsid w:val="00F4327A"/>
    <w:rsid w:val="00F43346"/>
    <w:rsid w:val="00F433CE"/>
    <w:rsid w:val="00F4349E"/>
    <w:rsid w:val="00F434DB"/>
    <w:rsid w:val="00F43515"/>
    <w:rsid w:val="00F4383F"/>
    <w:rsid w:val="00F43840"/>
    <w:rsid w:val="00F43875"/>
    <w:rsid w:val="00F43A62"/>
    <w:rsid w:val="00F43DAA"/>
    <w:rsid w:val="00F43EF1"/>
    <w:rsid w:val="00F43F6A"/>
    <w:rsid w:val="00F43FE7"/>
    <w:rsid w:val="00F43FF1"/>
    <w:rsid w:val="00F44175"/>
    <w:rsid w:val="00F44591"/>
    <w:rsid w:val="00F445E3"/>
    <w:rsid w:val="00F44605"/>
    <w:rsid w:val="00F446FC"/>
    <w:rsid w:val="00F447C8"/>
    <w:rsid w:val="00F44976"/>
    <w:rsid w:val="00F44A19"/>
    <w:rsid w:val="00F44A90"/>
    <w:rsid w:val="00F44D1E"/>
    <w:rsid w:val="00F44EF8"/>
    <w:rsid w:val="00F45009"/>
    <w:rsid w:val="00F450C8"/>
    <w:rsid w:val="00F4527E"/>
    <w:rsid w:val="00F453CF"/>
    <w:rsid w:val="00F4549A"/>
    <w:rsid w:val="00F4554C"/>
    <w:rsid w:val="00F4575B"/>
    <w:rsid w:val="00F457A5"/>
    <w:rsid w:val="00F459A5"/>
    <w:rsid w:val="00F45A3F"/>
    <w:rsid w:val="00F45D50"/>
    <w:rsid w:val="00F45E6F"/>
    <w:rsid w:val="00F45ED8"/>
    <w:rsid w:val="00F45EDF"/>
    <w:rsid w:val="00F45F00"/>
    <w:rsid w:val="00F45F9B"/>
    <w:rsid w:val="00F45FF4"/>
    <w:rsid w:val="00F46094"/>
    <w:rsid w:val="00F461D6"/>
    <w:rsid w:val="00F46485"/>
    <w:rsid w:val="00F464C5"/>
    <w:rsid w:val="00F46969"/>
    <w:rsid w:val="00F46A29"/>
    <w:rsid w:val="00F46AE6"/>
    <w:rsid w:val="00F46B06"/>
    <w:rsid w:val="00F46B50"/>
    <w:rsid w:val="00F46D63"/>
    <w:rsid w:val="00F46F06"/>
    <w:rsid w:val="00F47026"/>
    <w:rsid w:val="00F47065"/>
    <w:rsid w:val="00F470CA"/>
    <w:rsid w:val="00F47111"/>
    <w:rsid w:val="00F4712A"/>
    <w:rsid w:val="00F47309"/>
    <w:rsid w:val="00F47407"/>
    <w:rsid w:val="00F4740C"/>
    <w:rsid w:val="00F474C2"/>
    <w:rsid w:val="00F4750D"/>
    <w:rsid w:val="00F475F4"/>
    <w:rsid w:val="00F47740"/>
    <w:rsid w:val="00F47795"/>
    <w:rsid w:val="00F47818"/>
    <w:rsid w:val="00F47C81"/>
    <w:rsid w:val="00F5052E"/>
    <w:rsid w:val="00F506E8"/>
    <w:rsid w:val="00F50AEB"/>
    <w:rsid w:val="00F50C32"/>
    <w:rsid w:val="00F50DB6"/>
    <w:rsid w:val="00F50E5F"/>
    <w:rsid w:val="00F50EF4"/>
    <w:rsid w:val="00F5116F"/>
    <w:rsid w:val="00F511BC"/>
    <w:rsid w:val="00F511F7"/>
    <w:rsid w:val="00F51540"/>
    <w:rsid w:val="00F5160A"/>
    <w:rsid w:val="00F5160F"/>
    <w:rsid w:val="00F51851"/>
    <w:rsid w:val="00F519EB"/>
    <w:rsid w:val="00F51A2C"/>
    <w:rsid w:val="00F51A36"/>
    <w:rsid w:val="00F51BA2"/>
    <w:rsid w:val="00F51E93"/>
    <w:rsid w:val="00F5225C"/>
    <w:rsid w:val="00F522E2"/>
    <w:rsid w:val="00F5248E"/>
    <w:rsid w:val="00F5265C"/>
    <w:rsid w:val="00F52681"/>
    <w:rsid w:val="00F52A8E"/>
    <w:rsid w:val="00F52B6D"/>
    <w:rsid w:val="00F52B72"/>
    <w:rsid w:val="00F52CBD"/>
    <w:rsid w:val="00F52D5A"/>
    <w:rsid w:val="00F52DD4"/>
    <w:rsid w:val="00F52F09"/>
    <w:rsid w:val="00F52FB9"/>
    <w:rsid w:val="00F52FC6"/>
    <w:rsid w:val="00F531EC"/>
    <w:rsid w:val="00F532D1"/>
    <w:rsid w:val="00F532F9"/>
    <w:rsid w:val="00F5331B"/>
    <w:rsid w:val="00F53393"/>
    <w:rsid w:val="00F53524"/>
    <w:rsid w:val="00F53634"/>
    <w:rsid w:val="00F5379A"/>
    <w:rsid w:val="00F53893"/>
    <w:rsid w:val="00F539AB"/>
    <w:rsid w:val="00F53C68"/>
    <w:rsid w:val="00F53CE9"/>
    <w:rsid w:val="00F53D09"/>
    <w:rsid w:val="00F53D44"/>
    <w:rsid w:val="00F53E2D"/>
    <w:rsid w:val="00F541BD"/>
    <w:rsid w:val="00F5420A"/>
    <w:rsid w:val="00F54579"/>
    <w:rsid w:val="00F54589"/>
    <w:rsid w:val="00F54778"/>
    <w:rsid w:val="00F54850"/>
    <w:rsid w:val="00F548FA"/>
    <w:rsid w:val="00F5496F"/>
    <w:rsid w:val="00F54A07"/>
    <w:rsid w:val="00F54C15"/>
    <w:rsid w:val="00F54CF6"/>
    <w:rsid w:val="00F54E29"/>
    <w:rsid w:val="00F54EFA"/>
    <w:rsid w:val="00F54F16"/>
    <w:rsid w:val="00F550E2"/>
    <w:rsid w:val="00F55313"/>
    <w:rsid w:val="00F55348"/>
    <w:rsid w:val="00F5538A"/>
    <w:rsid w:val="00F5538E"/>
    <w:rsid w:val="00F55658"/>
    <w:rsid w:val="00F556BF"/>
    <w:rsid w:val="00F5580A"/>
    <w:rsid w:val="00F55813"/>
    <w:rsid w:val="00F5591B"/>
    <w:rsid w:val="00F55C7C"/>
    <w:rsid w:val="00F56188"/>
    <w:rsid w:val="00F5641F"/>
    <w:rsid w:val="00F56515"/>
    <w:rsid w:val="00F56651"/>
    <w:rsid w:val="00F56810"/>
    <w:rsid w:val="00F56997"/>
    <w:rsid w:val="00F569D8"/>
    <w:rsid w:val="00F56A86"/>
    <w:rsid w:val="00F56AA8"/>
    <w:rsid w:val="00F56AFA"/>
    <w:rsid w:val="00F56C3F"/>
    <w:rsid w:val="00F56E0F"/>
    <w:rsid w:val="00F56E94"/>
    <w:rsid w:val="00F56F67"/>
    <w:rsid w:val="00F57265"/>
    <w:rsid w:val="00F57268"/>
    <w:rsid w:val="00F575EB"/>
    <w:rsid w:val="00F577B8"/>
    <w:rsid w:val="00F5785B"/>
    <w:rsid w:val="00F578B5"/>
    <w:rsid w:val="00F57A9D"/>
    <w:rsid w:val="00F57B22"/>
    <w:rsid w:val="00F57BA8"/>
    <w:rsid w:val="00F57D3D"/>
    <w:rsid w:val="00F57DA5"/>
    <w:rsid w:val="00F57FA2"/>
    <w:rsid w:val="00F601EB"/>
    <w:rsid w:val="00F60298"/>
    <w:rsid w:val="00F602A9"/>
    <w:rsid w:val="00F603C8"/>
    <w:rsid w:val="00F6057E"/>
    <w:rsid w:val="00F607C8"/>
    <w:rsid w:val="00F609E2"/>
    <w:rsid w:val="00F60BCE"/>
    <w:rsid w:val="00F60CFB"/>
    <w:rsid w:val="00F60E0A"/>
    <w:rsid w:val="00F60FE2"/>
    <w:rsid w:val="00F61016"/>
    <w:rsid w:val="00F610BB"/>
    <w:rsid w:val="00F610CF"/>
    <w:rsid w:val="00F610DC"/>
    <w:rsid w:val="00F613A5"/>
    <w:rsid w:val="00F6157D"/>
    <w:rsid w:val="00F615AE"/>
    <w:rsid w:val="00F616D7"/>
    <w:rsid w:val="00F618C3"/>
    <w:rsid w:val="00F61940"/>
    <w:rsid w:val="00F619FE"/>
    <w:rsid w:val="00F61A4A"/>
    <w:rsid w:val="00F61C9F"/>
    <w:rsid w:val="00F61CB8"/>
    <w:rsid w:val="00F61CF2"/>
    <w:rsid w:val="00F61E24"/>
    <w:rsid w:val="00F6215D"/>
    <w:rsid w:val="00F624BB"/>
    <w:rsid w:val="00F6258A"/>
    <w:rsid w:val="00F62827"/>
    <w:rsid w:val="00F629F1"/>
    <w:rsid w:val="00F62AA8"/>
    <w:rsid w:val="00F62D34"/>
    <w:rsid w:val="00F62E3F"/>
    <w:rsid w:val="00F62FEA"/>
    <w:rsid w:val="00F63059"/>
    <w:rsid w:val="00F63086"/>
    <w:rsid w:val="00F63170"/>
    <w:rsid w:val="00F632A0"/>
    <w:rsid w:val="00F6330F"/>
    <w:rsid w:val="00F6350C"/>
    <w:rsid w:val="00F63572"/>
    <w:rsid w:val="00F63674"/>
    <w:rsid w:val="00F63891"/>
    <w:rsid w:val="00F63AEC"/>
    <w:rsid w:val="00F63D9B"/>
    <w:rsid w:val="00F6405A"/>
    <w:rsid w:val="00F640BF"/>
    <w:rsid w:val="00F640C1"/>
    <w:rsid w:val="00F642CD"/>
    <w:rsid w:val="00F643D6"/>
    <w:rsid w:val="00F64519"/>
    <w:rsid w:val="00F64551"/>
    <w:rsid w:val="00F64946"/>
    <w:rsid w:val="00F64AB3"/>
    <w:rsid w:val="00F64C95"/>
    <w:rsid w:val="00F64CAA"/>
    <w:rsid w:val="00F64DCC"/>
    <w:rsid w:val="00F652D0"/>
    <w:rsid w:val="00F653F6"/>
    <w:rsid w:val="00F65474"/>
    <w:rsid w:val="00F65475"/>
    <w:rsid w:val="00F6547D"/>
    <w:rsid w:val="00F65539"/>
    <w:rsid w:val="00F655C1"/>
    <w:rsid w:val="00F6567F"/>
    <w:rsid w:val="00F6583C"/>
    <w:rsid w:val="00F65920"/>
    <w:rsid w:val="00F65988"/>
    <w:rsid w:val="00F65CB9"/>
    <w:rsid w:val="00F65E6C"/>
    <w:rsid w:val="00F65F85"/>
    <w:rsid w:val="00F65FB2"/>
    <w:rsid w:val="00F66025"/>
    <w:rsid w:val="00F663E3"/>
    <w:rsid w:val="00F6649F"/>
    <w:rsid w:val="00F66569"/>
    <w:rsid w:val="00F6676C"/>
    <w:rsid w:val="00F66845"/>
    <w:rsid w:val="00F66B5F"/>
    <w:rsid w:val="00F66C63"/>
    <w:rsid w:val="00F66C74"/>
    <w:rsid w:val="00F66CC2"/>
    <w:rsid w:val="00F66D3D"/>
    <w:rsid w:val="00F66D56"/>
    <w:rsid w:val="00F66E02"/>
    <w:rsid w:val="00F670DD"/>
    <w:rsid w:val="00F67358"/>
    <w:rsid w:val="00F673EB"/>
    <w:rsid w:val="00F67620"/>
    <w:rsid w:val="00F67811"/>
    <w:rsid w:val="00F679DB"/>
    <w:rsid w:val="00F67F75"/>
    <w:rsid w:val="00F700DF"/>
    <w:rsid w:val="00F70114"/>
    <w:rsid w:val="00F7034D"/>
    <w:rsid w:val="00F70350"/>
    <w:rsid w:val="00F704AE"/>
    <w:rsid w:val="00F70574"/>
    <w:rsid w:val="00F70614"/>
    <w:rsid w:val="00F70675"/>
    <w:rsid w:val="00F707F1"/>
    <w:rsid w:val="00F70937"/>
    <w:rsid w:val="00F70C66"/>
    <w:rsid w:val="00F70C8E"/>
    <w:rsid w:val="00F70D4E"/>
    <w:rsid w:val="00F70F99"/>
    <w:rsid w:val="00F70FDC"/>
    <w:rsid w:val="00F71306"/>
    <w:rsid w:val="00F7137D"/>
    <w:rsid w:val="00F71396"/>
    <w:rsid w:val="00F7161F"/>
    <w:rsid w:val="00F71633"/>
    <w:rsid w:val="00F71782"/>
    <w:rsid w:val="00F7196A"/>
    <w:rsid w:val="00F71AAC"/>
    <w:rsid w:val="00F71C25"/>
    <w:rsid w:val="00F71D03"/>
    <w:rsid w:val="00F72185"/>
    <w:rsid w:val="00F72287"/>
    <w:rsid w:val="00F722DC"/>
    <w:rsid w:val="00F7233B"/>
    <w:rsid w:val="00F7233D"/>
    <w:rsid w:val="00F723AB"/>
    <w:rsid w:val="00F723EF"/>
    <w:rsid w:val="00F72444"/>
    <w:rsid w:val="00F725A4"/>
    <w:rsid w:val="00F725B9"/>
    <w:rsid w:val="00F72733"/>
    <w:rsid w:val="00F7290D"/>
    <w:rsid w:val="00F7294B"/>
    <w:rsid w:val="00F72C20"/>
    <w:rsid w:val="00F72C25"/>
    <w:rsid w:val="00F72E04"/>
    <w:rsid w:val="00F72E12"/>
    <w:rsid w:val="00F730B6"/>
    <w:rsid w:val="00F730EA"/>
    <w:rsid w:val="00F730F9"/>
    <w:rsid w:val="00F732FA"/>
    <w:rsid w:val="00F7336E"/>
    <w:rsid w:val="00F7358B"/>
    <w:rsid w:val="00F735B3"/>
    <w:rsid w:val="00F736B1"/>
    <w:rsid w:val="00F736E8"/>
    <w:rsid w:val="00F7380E"/>
    <w:rsid w:val="00F73967"/>
    <w:rsid w:val="00F73A5E"/>
    <w:rsid w:val="00F73AB4"/>
    <w:rsid w:val="00F73B0A"/>
    <w:rsid w:val="00F73B5B"/>
    <w:rsid w:val="00F73E8D"/>
    <w:rsid w:val="00F73F55"/>
    <w:rsid w:val="00F7415B"/>
    <w:rsid w:val="00F741AD"/>
    <w:rsid w:val="00F742E1"/>
    <w:rsid w:val="00F744DE"/>
    <w:rsid w:val="00F7450C"/>
    <w:rsid w:val="00F745BA"/>
    <w:rsid w:val="00F748AC"/>
    <w:rsid w:val="00F74A69"/>
    <w:rsid w:val="00F74BA3"/>
    <w:rsid w:val="00F74C3A"/>
    <w:rsid w:val="00F74CF2"/>
    <w:rsid w:val="00F74E55"/>
    <w:rsid w:val="00F74EA3"/>
    <w:rsid w:val="00F74F3D"/>
    <w:rsid w:val="00F74F43"/>
    <w:rsid w:val="00F74FE6"/>
    <w:rsid w:val="00F750D9"/>
    <w:rsid w:val="00F750E0"/>
    <w:rsid w:val="00F752FD"/>
    <w:rsid w:val="00F754F9"/>
    <w:rsid w:val="00F755D9"/>
    <w:rsid w:val="00F7583E"/>
    <w:rsid w:val="00F75A42"/>
    <w:rsid w:val="00F75AB9"/>
    <w:rsid w:val="00F75C31"/>
    <w:rsid w:val="00F75D77"/>
    <w:rsid w:val="00F75E31"/>
    <w:rsid w:val="00F75E9A"/>
    <w:rsid w:val="00F763D0"/>
    <w:rsid w:val="00F76404"/>
    <w:rsid w:val="00F764FD"/>
    <w:rsid w:val="00F7676D"/>
    <w:rsid w:val="00F767CD"/>
    <w:rsid w:val="00F76835"/>
    <w:rsid w:val="00F769F6"/>
    <w:rsid w:val="00F76A36"/>
    <w:rsid w:val="00F76CAD"/>
    <w:rsid w:val="00F76CD8"/>
    <w:rsid w:val="00F76D9E"/>
    <w:rsid w:val="00F76FA9"/>
    <w:rsid w:val="00F7713D"/>
    <w:rsid w:val="00F771B3"/>
    <w:rsid w:val="00F77451"/>
    <w:rsid w:val="00F774FF"/>
    <w:rsid w:val="00F77666"/>
    <w:rsid w:val="00F77852"/>
    <w:rsid w:val="00F779D9"/>
    <w:rsid w:val="00F77C31"/>
    <w:rsid w:val="00F77CB6"/>
    <w:rsid w:val="00F77D21"/>
    <w:rsid w:val="00F77E28"/>
    <w:rsid w:val="00F800B0"/>
    <w:rsid w:val="00F800B2"/>
    <w:rsid w:val="00F800E2"/>
    <w:rsid w:val="00F80811"/>
    <w:rsid w:val="00F80912"/>
    <w:rsid w:val="00F80B26"/>
    <w:rsid w:val="00F80B28"/>
    <w:rsid w:val="00F80B3D"/>
    <w:rsid w:val="00F80B50"/>
    <w:rsid w:val="00F80B82"/>
    <w:rsid w:val="00F80C0B"/>
    <w:rsid w:val="00F80CEF"/>
    <w:rsid w:val="00F81073"/>
    <w:rsid w:val="00F810A9"/>
    <w:rsid w:val="00F811E0"/>
    <w:rsid w:val="00F81393"/>
    <w:rsid w:val="00F814CF"/>
    <w:rsid w:val="00F8150B"/>
    <w:rsid w:val="00F815EE"/>
    <w:rsid w:val="00F8162E"/>
    <w:rsid w:val="00F816D8"/>
    <w:rsid w:val="00F81740"/>
    <w:rsid w:val="00F81849"/>
    <w:rsid w:val="00F819AA"/>
    <w:rsid w:val="00F81A91"/>
    <w:rsid w:val="00F81BE1"/>
    <w:rsid w:val="00F81C4E"/>
    <w:rsid w:val="00F81C89"/>
    <w:rsid w:val="00F81D68"/>
    <w:rsid w:val="00F81F31"/>
    <w:rsid w:val="00F8215B"/>
    <w:rsid w:val="00F821C3"/>
    <w:rsid w:val="00F82CF2"/>
    <w:rsid w:val="00F82E05"/>
    <w:rsid w:val="00F8305F"/>
    <w:rsid w:val="00F83347"/>
    <w:rsid w:val="00F834B4"/>
    <w:rsid w:val="00F834E0"/>
    <w:rsid w:val="00F8359A"/>
    <w:rsid w:val="00F836EE"/>
    <w:rsid w:val="00F837BD"/>
    <w:rsid w:val="00F837FF"/>
    <w:rsid w:val="00F83AF1"/>
    <w:rsid w:val="00F83CC7"/>
    <w:rsid w:val="00F84229"/>
    <w:rsid w:val="00F8460F"/>
    <w:rsid w:val="00F84B64"/>
    <w:rsid w:val="00F84E2A"/>
    <w:rsid w:val="00F84E97"/>
    <w:rsid w:val="00F8511D"/>
    <w:rsid w:val="00F85214"/>
    <w:rsid w:val="00F852D3"/>
    <w:rsid w:val="00F85570"/>
    <w:rsid w:val="00F8562F"/>
    <w:rsid w:val="00F85708"/>
    <w:rsid w:val="00F85777"/>
    <w:rsid w:val="00F85801"/>
    <w:rsid w:val="00F859DB"/>
    <w:rsid w:val="00F85BD8"/>
    <w:rsid w:val="00F85C29"/>
    <w:rsid w:val="00F85C60"/>
    <w:rsid w:val="00F85C81"/>
    <w:rsid w:val="00F85D81"/>
    <w:rsid w:val="00F85E69"/>
    <w:rsid w:val="00F85EC1"/>
    <w:rsid w:val="00F86011"/>
    <w:rsid w:val="00F86115"/>
    <w:rsid w:val="00F86131"/>
    <w:rsid w:val="00F8628A"/>
    <w:rsid w:val="00F86348"/>
    <w:rsid w:val="00F867B1"/>
    <w:rsid w:val="00F867E5"/>
    <w:rsid w:val="00F868AC"/>
    <w:rsid w:val="00F8693D"/>
    <w:rsid w:val="00F86CFC"/>
    <w:rsid w:val="00F86EB4"/>
    <w:rsid w:val="00F86F39"/>
    <w:rsid w:val="00F87081"/>
    <w:rsid w:val="00F87156"/>
    <w:rsid w:val="00F876D5"/>
    <w:rsid w:val="00F8788F"/>
    <w:rsid w:val="00F87D88"/>
    <w:rsid w:val="00F87E0F"/>
    <w:rsid w:val="00F87F1B"/>
    <w:rsid w:val="00F87FD2"/>
    <w:rsid w:val="00F900F5"/>
    <w:rsid w:val="00F90652"/>
    <w:rsid w:val="00F908D4"/>
    <w:rsid w:val="00F909F7"/>
    <w:rsid w:val="00F90A77"/>
    <w:rsid w:val="00F90C1C"/>
    <w:rsid w:val="00F9117E"/>
    <w:rsid w:val="00F91266"/>
    <w:rsid w:val="00F91335"/>
    <w:rsid w:val="00F91349"/>
    <w:rsid w:val="00F913AB"/>
    <w:rsid w:val="00F91483"/>
    <w:rsid w:val="00F9162D"/>
    <w:rsid w:val="00F916F4"/>
    <w:rsid w:val="00F9170E"/>
    <w:rsid w:val="00F9172B"/>
    <w:rsid w:val="00F91D66"/>
    <w:rsid w:val="00F91E60"/>
    <w:rsid w:val="00F91E9C"/>
    <w:rsid w:val="00F91F2D"/>
    <w:rsid w:val="00F91F5F"/>
    <w:rsid w:val="00F91FB1"/>
    <w:rsid w:val="00F91FD0"/>
    <w:rsid w:val="00F921A5"/>
    <w:rsid w:val="00F92383"/>
    <w:rsid w:val="00F92475"/>
    <w:rsid w:val="00F924BE"/>
    <w:rsid w:val="00F925D2"/>
    <w:rsid w:val="00F9269F"/>
    <w:rsid w:val="00F9297A"/>
    <w:rsid w:val="00F92CD2"/>
    <w:rsid w:val="00F92DBD"/>
    <w:rsid w:val="00F92E46"/>
    <w:rsid w:val="00F92ECC"/>
    <w:rsid w:val="00F92F4B"/>
    <w:rsid w:val="00F92F74"/>
    <w:rsid w:val="00F92FC9"/>
    <w:rsid w:val="00F92FF9"/>
    <w:rsid w:val="00F93168"/>
    <w:rsid w:val="00F93287"/>
    <w:rsid w:val="00F93494"/>
    <w:rsid w:val="00F93558"/>
    <w:rsid w:val="00F9369E"/>
    <w:rsid w:val="00F93811"/>
    <w:rsid w:val="00F93844"/>
    <w:rsid w:val="00F938BB"/>
    <w:rsid w:val="00F93974"/>
    <w:rsid w:val="00F93CD8"/>
    <w:rsid w:val="00F93E22"/>
    <w:rsid w:val="00F93EC4"/>
    <w:rsid w:val="00F93FA1"/>
    <w:rsid w:val="00F93FD5"/>
    <w:rsid w:val="00F94110"/>
    <w:rsid w:val="00F941AA"/>
    <w:rsid w:val="00F94242"/>
    <w:rsid w:val="00F9433B"/>
    <w:rsid w:val="00F943D2"/>
    <w:rsid w:val="00F94482"/>
    <w:rsid w:val="00F945E8"/>
    <w:rsid w:val="00F94912"/>
    <w:rsid w:val="00F94942"/>
    <w:rsid w:val="00F94965"/>
    <w:rsid w:val="00F94A0C"/>
    <w:rsid w:val="00F94A33"/>
    <w:rsid w:val="00F94B78"/>
    <w:rsid w:val="00F94DAC"/>
    <w:rsid w:val="00F94DB5"/>
    <w:rsid w:val="00F94E3A"/>
    <w:rsid w:val="00F94EB6"/>
    <w:rsid w:val="00F9504F"/>
    <w:rsid w:val="00F95355"/>
    <w:rsid w:val="00F95698"/>
    <w:rsid w:val="00F95764"/>
    <w:rsid w:val="00F95834"/>
    <w:rsid w:val="00F958B8"/>
    <w:rsid w:val="00F958C4"/>
    <w:rsid w:val="00F95C0A"/>
    <w:rsid w:val="00F95C99"/>
    <w:rsid w:val="00F95FC3"/>
    <w:rsid w:val="00F9600E"/>
    <w:rsid w:val="00F960C8"/>
    <w:rsid w:val="00F960CD"/>
    <w:rsid w:val="00F961BF"/>
    <w:rsid w:val="00F96274"/>
    <w:rsid w:val="00F96291"/>
    <w:rsid w:val="00F963BE"/>
    <w:rsid w:val="00F96440"/>
    <w:rsid w:val="00F9666A"/>
    <w:rsid w:val="00F968F0"/>
    <w:rsid w:val="00F9692B"/>
    <w:rsid w:val="00F96A7B"/>
    <w:rsid w:val="00F96B14"/>
    <w:rsid w:val="00F96DD5"/>
    <w:rsid w:val="00F96E0E"/>
    <w:rsid w:val="00F96EC5"/>
    <w:rsid w:val="00F96F9E"/>
    <w:rsid w:val="00F96FC2"/>
    <w:rsid w:val="00F96FC5"/>
    <w:rsid w:val="00F96FEF"/>
    <w:rsid w:val="00F97191"/>
    <w:rsid w:val="00F971A9"/>
    <w:rsid w:val="00F9723A"/>
    <w:rsid w:val="00F9750D"/>
    <w:rsid w:val="00F975CB"/>
    <w:rsid w:val="00F979EB"/>
    <w:rsid w:val="00F97A72"/>
    <w:rsid w:val="00F97CAF"/>
    <w:rsid w:val="00F97D3A"/>
    <w:rsid w:val="00F97EBF"/>
    <w:rsid w:val="00FA00C3"/>
    <w:rsid w:val="00FA0114"/>
    <w:rsid w:val="00FA03B0"/>
    <w:rsid w:val="00FA0572"/>
    <w:rsid w:val="00FA05C1"/>
    <w:rsid w:val="00FA0623"/>
    <w:rsid w:val="00FA06A1"/>
    <w:rsid w:val="00FA07A4"/>
    <w:rsid w:val="00FA07AD"/>
    <w:rsid w:val="00FA08F5"/>
    <w:rsid w:val="00FA0A25"/>
    <w:rsid w:val="00FA0C78"/>
    <w:rsid w:val="00FA0CAE"/>
    <w:rsid w:val="00FA0F27"/>
    <w:rsid w:val="00FA0F7C"/>
    <w:rsid w:val="00FA10B5"/>
    <w:rsid w:val="00FA12EB"/>
    <w:rsid w:val="00FA138E"/>
    <w:rsid w:val="00FA1582"/>
    <w:rsid w:val="00FA15D5"/>
    <w:rsid w:val="00FA172A"/>
    <w:rsid w:val="00FA17D1"/>
    <w:rsid w:val="00FA181F"/>
    <w:rsid w:val="00FA19D8"/>
    <w:rsid w:val="00FA1B6D"/>
    <w:rsid w:val="00FA1DDA"/>
    <w:rsid w:val="00FA1E02"/>
    <w:rsid w:val="00FA1EB2"/>
    <w:rsid w:val="00FA224C"/>
    <w:rsid w:val="00FA2251"/>
    <w:rsid w:val="00FA255F"/>
    <w:rsid w:val="00FA2629"/>
    <w:rsid w:val="00FA33B8"/>
    <w:rsid w:val="00FA345C"/>
    <w:rsid w:val="00FA3713"/>
    <w:rsid w:val="00FA3786"/>
    <w:rsid w:val="00FA3882"/>
    <w:rsid w:val="00FA39E3"/>
    <w:rsid w:val="00FA3EB4"/>
    <w:rsid w:val="00FA3FD2"/>
    <w:rsid w:val="00FA4100"/>
    <w:rsid w:val="00FA4236"/>
    <w:rsid w:val="00FA43D6"/>
    <w:rsid w:val="00FA445F"/>
    <w:rsid w:val="00FA4A84"/>
    <w:rsid w:val="00FA4B15"/>
    <w:rsid w:val="00FA4B5C"/>
    <w:rsid w:val="00FA4BA3"/>
    <w:rsid w:val="00FA4E7F"/>
    <w:rsid w:val="00FA4FD6"/>
    <w:rsid w:val="00FA5218"/>
    <w:rsid w:val="00FA571C"/>
    <w:rsid w:val="00FA58D0"/>
    <w:rsid w:val="00FA58FD"/>
    <w:rsid w:val="00FA5956"/>
    <w:rsid w:val="00FA597F"/>
    <w:rsid w:val="00FA5DC8"/>
    <w:rsid w:val="00FA5F28"/>
    <w:rsid w:val="00FA60D0"/>
    <w:rsid w:val="00FA60E3"/>
    <w:rsid w:val="00FA6209"/>
    <w:rsid w:val="00FA6511"/>
    <w:rsid w:val="00FA66DE"/>
    <w:rsid w:val="00FA6810"/>
    <w:rsid w:val="00FA684C"/>
    <w:rsid w:val="00FA68B5"/>
    <w:rsid w:val="00FA6907"/>
    <w:rsid w:val="00FA6961"/>
    <w:rsid w:val="00FA69D7"/>
    <w:rsid w:val="00FA6C65"/>
    <w:rsid w:val="00FA6C87"/>
    <w:rsid w:val="00FA6DFD"/>
    <w:rsid w:val="00FA6E2B"/>
    <w:rsid w:val="00FA6E9C"/>
    <w:rsid w:val="00FA6F1E"/>
    <w:rsid w:val="00FA71A9"/>
    <w:rsid w:val="00FA7223"/>
    <w:rsid w:val="00FA72ED"/>
    <w:rsid w:val="00FA7366"/>
    <w:rsid w:val="00FA7520"/>
    <w:rsid w:val="00FA761D"/>
    <w:rsid w:val="00FA76FA"/>
    <w:rsid w:val="00FA799B"/>
    <w:rsid w:val="00FA79DA"/>
    <w:rsid w:val="00FA7A1F"/>
    <w:rsid w:val="00FA7A2D"/>
    <w:rsid w:val="00FA7B3C"/>
    <w:rsid w:val="00FA7BAD"/>
    <w:rsid w:val="00FA7BDD"/>
    <w:rsid w:val="00FA7C05"/>
    <w:rsid w:val="00FA7D20"/>
    <w:rsid w:val="00FA7EA8"/>
    <w:rsid w:val="00FA7EC9"/>
    <w:rsid w:val="00FA7FB6"/>
    <w:rsid w:val="00FB0107"/>
    <w:rsid w:val="00FB02C7"/>
    <w:rsid w:val="00FB04E1"/>
    <w:rsid w:val="00FB0543"/>
    <w:rsid w:val="00FB071C"/>
    <w:rsid w:val="00FB086B"/>
    <w:rsid w:val="00FB0898"/>
    <w:rsid w:val="00FB0C18"/>
    <w:rsid w:val="00FB0CB9"/>
    <w:rsid w:val="00FB0D0E"/>
    <w:rsid w:val="00FB0D2E"/>
    <w:rsid w:val="00FB0DDC"/>
    <w:rsid w:val="00FB1073"/>
    <w:rsid w:val="00FB10A7"/>
    <w:rsid w:val="00FB11B8"/>
    <w:rsid w:val="00FB120E"/>
    <w:rsid w:val="00FB1375"/>
    <w:rsid w:val="00FB145B"/>
    <w:rsid w:val="00FB14A8"/>
    <w:rsid w:val="00FB156A"/>
    <w:rsid w:val="00FB1A30"/>
    <w:rsid w:val="00FB1ADD"/>
    <w:rsid w:val="00FB1AF6"/>
    <w:rsid w:val="00FB1BD1"/>
    <w:rsid w:val="00FB1ED7"/>
    <w:rsid w:val="00FB1FB0"/>
    <w:rsid w:val="00FB222F"/>
    <w:rsid w:val="00FB2376"/>
    <w:rsid w:val="00FB2C36"/>
    <w:rsid w:val="00FB2D1D"/>
    <w:rsid w:val="00FB2D98"/>
    <w:rsid w:val="00FB2DAF"/>
    <w:rsid w:val="00FB2E77"/>
    <w:rsid w:val="00FB305E"/>
    <w:rsid w:val="00FB3134"/>
    <w:rsid w:val="00FB317B"/>
    <w:rsid w:val="00FB33CD"/>
    <w:rsid w:val="00FB364D"/>
    <w:rsid w:val="00FB377C"/>
    <w:rsid w:val="00FB379E"/>
    <w:rsid w:val="00FB39EC"/>
    <w:rsid w:val="00FB3A89"/>
    <w:rsid w:val="00FB3AA0"/>
    <w:rsid w:val="00FB3B8E"/>
    <w:rsid w:val="00FB3C5C"/>
    <w:rsid w:val="00FB3CA5"/>
    <w:rsid w:val="00FB3D6F"/>
    <w:rsid w:val="00FB3E30"/>
    <w:rsid w:val="00FB40AA"/>
    <w:rsid w:val="00FB4225"/>
    <w:rsid w:val="00FB42D6"/>
    <w:rsid w:val="00FB4404"/>
    <w:rsid w:val="00FB4502"/>
    <w:rsid w:val="00FB47FC"/>
    <w:rsid w:val="00FB4805"/>
    <w:rsid w:val="00FB4892"/>
    <w:rsid w:val="00FB48BF"/>
    <w:rsid w:val="00FB4B75"/>
    <w:rsid w:val="00FB4BAF"/>
    <w:rsid w:val="00FB4D7C"/>
    <w:rsid w:val="00FB4EC5"/>
    <w:rsid w:val="00FB5081"/>
    <w:rsid w:val="00FB51FC"/>
    <w:rsid w:val="00FB52D1"/>
    <w:rsid w:val="00FB52D5"/>
    <w:rsid w:val="00FB52EA"/>
    <w:rsid w:val="00FB5597"/>
    <w:rsid w:val="00FB5681"/>
    <w:rsid w:val="00FB5953"/>
    <w:rsid w:val="00FB59E3"/>
    <w:rsid w:val="00FB5D3A"/>
    <w:rsid w:val="00FB5E08"/>
    <w:rsid w:val="00FB5E88"/>
    <w:rsid w:val="00FB5F4C"/>
    <w:rsid w:val="00FB60C0"/>
    <w:rsid w:val="00FB6157"/>
    <w:rsid w:val="00FB62B7"/>
    <w:rsid w:val="00FB63C7"/>
    <w:rsid w:val="00FB63E0"/>
    <w:rsid w:val="00FB66F8"/>
    <w:rsid w:val="00FB676D"/>
    <w:rsid w:val="00FB68BB"/>
    <w:rsid w:val="00FB691F"/>
    <w:rsid w:val="00FB6943"/>
    <w:rsid w:val="00FB69C9"/>
    <w:rsid w:val="00FB6C3B"/>
    <w:rsid w:val="00FB6D05"/>
    <w:rsid w:val="00FB6D0E"/>
    <w:rsid w:val="00FB6D5B"/>
    <w:rsid w:val="00FB6DFF"/>
    <w:rsid w:val="00FB6E3D"/>
    <w:rsid w:val="00FB6E99"/>
    <w:rsid w:val="00FB6F12"/>
    <w:rsid w:val="00FB6FCF"/>
    <w:rsid w:val="00FB6FE3"/>
    <w:rsid w:val="00FB7286"/>
    <w:rsid w:val="00FB7499"/>
    <w:rsid w:val="00FB7564"/>
    <w:rsid w:val="00FB761B"/>
    <w:rsid w:val="00FB7666"/>
    <w:rsid w:val="00FB777F"/>
    <w:rsid w:val="00FB7848"/>
    <w:rsid w:val="00FB7893"/>
    <w:rsid w:val="00FB7A58"/>
    <w:rsid w:val="00FB7BAE"/>
    <w:rsid w:val="00FB7C1E"/>
    <w:rsid w:val="00FC0039"/>
    <w:rsid w:val="00FC00CB"/>
    <w:rsid w:val="00FC00F8"/>
    <w:rsid w:val="00FC012F"/>
    <w:rsid w:val="00FC0236"/>
    <w:rsid w:val="00FC04B1"/>
    <w:rsid w:val="00FC060D"/>
    <w:rsid w:val="00FC0769"/>
    <w:rsid w:val="00FC0853"/>
    <w:rsid w:val="00FC0906"/>
    <w:rsid w:val="00FC0943"/>
    <w:rsid w:val="00FC1164"/>
    <w:rsid w:val="00FC12C6"/>
    <w:rsid w:val="00FC13AF"/>
    <w:rsid w:val="00FC13F7"/>
    <w:rsid w:val="00FC1566"/>
    <w:rsid w:val="00FC17ED"/>
    <w:rsid w:val="00FC191B"/>
    <w:rsid w:val="00FC1972"/>
    <w:rsid w:val="00FC19ED"/>
    <w:rsid w:val="00FC1A91"/>
    <w:rsid w:val="00FC1B96"/>
    <w:rsid w:val="00FC1C59"/>
    <w:rsid w:val="00FC1D01"/>
    <w:rsid w:val="00FC1DE8"/>
    <w:rsid w:val="00FC1EF9"/>
    <w:rsid w:val="00FC1FCF"/>
    <w:rsid w:val="00FC2016"/>
    <w:rsid w:val="00FC201E"/>
    <w:rsid w:val="00FC242F"/>
    <w:rsid w:val="00FC255B"/>
    <w:rsid w:val="00FC2674"/>
    <w:rsid w:val="00FC26CA"/>
    <w:rsid w:val="00FC28C2"/>
    <w:rsid w:val="00FC2A8B"/>
    <w:rsid w:val="00FC2B29"/>
    <w:rsid w:val="00FC2D8B"/>
    <w:rsid w:val="00FC2EF4"/>
    <w:rsid w:val="00FC3001"/>
    <w:rsid w:val="00FC3094"/>
    <w:rsid w:val="00FC3096"/>
    <w:rsid w:val="00FC318F"/>
    <w:rsid w:val="00FC327D"/>
    <w:rsid w:val="00FC3329"/>
    <w:rsid w:val="00FC3536"/>
    <w:rsid w:val="00FC3661"/>
    <w:rsid w:val="00FC3C56"/>
    <w:rsid w:val="00FC3D35"/>
    <w:rsid w:val="00FC3E58"/>
    <w:rsid w:val="00FC3E7A"/>
    <w:rsid w:val="00FC3ECB"/>
    <w:rsid w:val="00FC41F6"/>
    <w:rsid w:val="00FC4341"/>
    <w:rsid w:val="00FC43FA"/>
    <w:rsid w:val="00FC4535"/>
    <w:rsid w:val="00FC45BD"/>
    <w:rsid w:val="00FC472B"/>
    <w:rsid w:val="00FC47F6"/>
    <w:rsid w:val="00FC4C35"/>
    <w:rsid w:val="00FC4D81"/>
    <w:rsid w:val="00FC4ECE"/>
    <w:rsid w:val="00FC503C"/>
    <w:rsid w:val="00FC54BC"/>
    <w:rsid w:val="00FC54E2"/>
    <w:rsid w:val="00FC596B"/>
    <w:rsid w:val="00FC5C24"/>
    <w:rsid w:val="00FC5C89"/>
    <w:rsid w:val="00FC5E92"/>
    <w:rsid w:val="00FC5EB9"/>
    <w:rsid w:val="00FC5F35"/>
    <w:rsid w:val="00FC605D"/>
    <w:rsid w:val="00FC614B"/>
    <w:rsid w:val="00FC615E"/>
    <w:rsid w:val="00FC6231"/>
    <w:rsid w:val="00FC632A"/>
    <w:rsid w:val="00FC6785"/>
    <w:rsid w:val="00FC67E3"/>
    <w:rsid w:val="00FC689C"/>
    <w:rsid w:val="00FC6A6B"/>
    <w:rsid w:val="00FC6B8D"/>
    <w:rsid w:val="00FC6CBC"/>
    <w:rsid w:val="00FC6DE9"/>
    <w:rsid w:val="00FC70FA"/>
    <w:rsid w:val="00FC71DD"/>
    <w:rsid w:val="00FC71F0"/>
    <w:rsid w:val="00FC723D"/>
    <w:rsid w:val="00FC7243"/>
    <w:rsid w:val="00FC7400"/>
    <w:rsid w:val="00FC75E0"/>
    <w:rsid w:val="00FC7975"/>
    <w:rsid w:val="00FC7C10"/>
    <w:rsid w:val="00FC7D10"/>
    <w:rsid w:val="00FD01F5"/>
    <w:rsid w:val="00FD0246"/>
    <w:rsid w:val="00FD0417"/>
    <w:rsid w:val="00FD044F"/>
    <w:rsid w:val="00FD09CE"/>
    <w:rsid w:val="00FD0BC9"/>
    <w:rsid w:val="00FD0C45"/>
    <w:rsid w:val="00FD0E35"/>
    <w:rsid w:val="00FD11F3"/>
    <w:rsid w:val="00FD1565"/>
    <w:rsid w:val="00FD193B"/>
    <w:rsid w:val="00FD198A"/>
    <w:rsid w:val="00FD1A96"/>
    <w:rsid w:val="00FD1D07"/>
    <w:rsid w:val="00FD1D33"/>
    <w:rsid w:val="00FD1DB8"/>
    <w:rsid w:val="00FD210D"/>
    <w:rsid w:val="00FD21E6"/>
    <w:rsid w:val="00FD2219"/>
    <w:rsid w:val="00FD2360"/>
    <w:rsid w:val="00FD237F"/>
    <w:rsid w:val="00FD2533"/>
    <w:rsid w:val="00FD2595"/>
    <w:rsid w:val="00FD28FD"/>
    <w:rsid w:val="00FD29C5"/>
    <w:rsid w:val="00FD2ABB"/>
    <w:rsid w:val="00FD2AF7"/>
    <w:rsid w:val="00FD2CFF"/>
    <w:rsid w:val="00FD2D60"/>
    <w:rsid w:val="00FD2E2B"/>
    <w:rsid w:val="00FD2E59"/>
    <w:rsid w:val="00FD2EE2"/>
    <w:rsid w:val="00FD3424"/>
    <w:rsid w:val="00FD34DE"/>
    <w:rsid w:val="00FD360C"/>
    <w:rsid w:val="00FD3679"/>
    <w:rsid w:val="00FD38BA"/>
    <w:rsid w:val="00FD3942"/>
    <w:rsid w:val="00FD39A1"/>
    <w:rsid w:val="00FD39A2"/>
    <w:rsid w:val="00FD39B2"/>
    <w:rsid w:val="00FD3A63"/>
    <w:rsid w:val="00FD3CAA"/>
    <w:rsid w:val="00FD3D14"/>
    <w:rsid w:val="00FD3D51"/>
    <w:rsid w:val="00FD3E46"/>
    <w:rsid w:val="00FD3F00"/>
    <w:rsid w:val="00FD3F32"/>
    <w:rsid w:val="00FD3FA4"/>
    <w:rsid w:val="00FD4126"/>
    <w:rsid w:val="00FD41A5"/>
    <w:rsid w:val="00FD4321"/>
    <w:rsid w:val="00FD4323"/>
    <w:rsid w:val="00FD45E6"/>
    <w:rsid w:val="00FD4888"/>
    <w:rsid w:val="00FD49C6"/>
    <w:rsid w:val="00FD4E9E"/>
    <w:rsid w:val="00FD5054"/>
    <w:rsid w:val="00FD5079"/>
    <w:rsid w:val="00FD511C"/>
    <w:rsid w:val="00FD537A"/>
    <w:rsid w:val="00FD5389"/>
    <w:rsid w:val="00FD5511"/>
    <w:rsid w:val="00FD555D"/>
    <w:rsid w:val="00FD55C9"/>
    <w:rsid w:val="00FD56FF"/>
    <w:rsid w:val="00FD57F5"/>
    <w:rsid w:val="00FD5900"/>
    <w:rsid w:val="00FD5E11"/>
    <w:rsid w:val="00FD6547"/>
    <w:rsid w:val="00FD6579"/>
    <w:rsid w:val="00FD65CB"/>
    <w:rsid w:val="00FD6774"/>
    <w:rsid w:val="00FD6846"/>
    <w:rsid w:val="00FD6857"/>
    <w:rsid w:val="00FD68CB"/>
    <w:rsid w:val="00FD6C8B"/>
    <w:rsid w:val="00FD6D92"/>
    <w:rsid w:val="00FD6DD4"/>
    <w:rsid w:val="00FD6E28"/>
    <w:rsid w:val="00FD6EE1"/>
    <w:rsid w:val="00FD6F60"/>
    <w:rsid w:val="00FD70D9"/>
    <w:rsid w:val="00FD7189"/>
    <w:rsid w:val="00FD735E"/>
    <w:rsid w:val="00FD7545"/>
    <w:rsid w:val="00FD7578"/>
    <w:rsid w:val="00FD773D"/>
    <w:rsid w:val="00FD77DB"/>
    <w:rsid w:val="00FD77FC"/>
    <w:rsid w:val="00FD79FD"/>
    <w:rsid w:val="00FD7BA7"/>
    <w:rsid w:val="00FD7E7D"/>
    <w:rsid w:val="00FD7EBF"/>
    <w:rsid w:val="00FE0012"/>
    <w:rsid w:val="00FE02FE"/>
    <w:rsid w:val="00FE03FD"/>
    <w:rsid w:val="00FE0624"/>
    <w:rsid w:val="00FE068B"/>
    <w:rsid w:val="00FE071B"/>
    <w:rsid w:val="00FE07AC"/>
    <w:rsid w:val="00FE085F"/>
    <w:rsid w:val="00FE08D0"/>
    <w:rsid w:val="00FE08F2"/>
    <w:rsid w:val="00FE09D4"/>
    <w:rsid w:val="00FE0DA7"/>
    <w:rsid w:val="00FE0E57"/>
    <w:rsid w:val="00FE0F52"/>
    <w:rsid w:val="00FE0FA6"/>
    <w:rsid w:val="00FE0FEB"/>
    <w:rsid w:val="00FE106A"/>
    <w:rsid w:val="00FE133F"/>
    <w:rsid w:val="00FE136B"/>
    <w:rsid w:val="00FE13D8"/>
    <w:rsid w:val="00FE15BC"/>
    <w:rsid w:val="00FE160A"/>
    <w:rsid w:val="00FE169C"/>
    <w:rsid w:val="00FE16A8"/>
    <w:rsid w:val="00FE16AD"/>
    <w:rsid w:val="00FE16B6"/>
    <w:rsid w:val="00FE182F"/>
    <w:rsid w:val="00FE18C7"/>
    <w:rsid w:val="00FE1A29"/>
    <w:rsid w:val="00FE1C91"/>
    <w:rsid w:val="00FE1CD3"/>
    <w:rsid w:val="00FE1F14"/>
    <w:rsid w:val="00FE1F54"/>
    <w:rsid w:val="00FE2015"/>
    <w:rsid w:val="00FE2308"/>
    <w:rsid w:val="00FE230F"/>
    <w:rsid w:val="00FE2311"/>
    <w:rsid w:val="00FE247C"/>
    <w:rsid w:val="00FE251A"/>
    <w:rsid w:val="00FE26BA"/>
    <w:rsid w:val="00FE27EF"/>
    <w:rsid w:val="00FE2992"/>
    <w:rsid w:val="00FE29B5"/>
    <w:rsid w:val="00FE2AA7"/>
    <w:rsid w:val="00FE2C97"/>
    <w:rsid w:val="00FE2DB1"/>
    <w:rsid w:val="00FE2E2F"/>
    <w:rsid w:val="00FE2E7B"/>
    <w:rsid w:val="00FE30BE"/>
    <w:rsid w:val="00FE31C9"/>
    <w:rsid w:val="00FE31CE"/>
    <w:rsid w:val="00FE350B"/>
    <w:rsid w:val="00FE3764"/>
    <w:rsid w:val="00FE3797"/>
    <w:rsid w:val="00FE38AC"/>
    <w:rsid w:val="00FE39D3"/>
    <w:rsid w:val="00FE3C25"/>
    <w:rsid w:val="00FE3E3A"/>
    <w:rsid w:val="00FE3FD3"/>
    <w:rsid w:val="00FE4134"/>
    <w:rsid w:val="00FE43CA"/>
    <w:rsid w:val="00FE43EA"/>
    <w:rsid w:val="00FE4559"/>
    <w:rsid w:val="00FE462F"/>
    <w:rsid w:val="00FE46B8"/>
    <w:rsid w:val="00FE471A"/>
    <w:rsid w:val="00FE4937"/>
    <w:rsid w:val="00FE4A3A"/>
    <w:rsid w:val="00FE4BA2"/>
    <w:rsid w:val="00FE4BBD"/>
    <w:rsid w:val="00FE4E86"/>
    <w:rsid w:val="00FE4F8B"/>
    <w:rsid w:val="00FE507A"/>
    <w:rsid w:val="00FE5352"/>
    <w:rsid w:val="00FE5355"/>
    <w:rsid w:val="00FE53CA"/>
    <w:rsid w:val="00FE54AF"/>
    <w:rsid w:val="00FE54F6"/>
    <w:rsid w:val="00FE5809"/>
    <w:rsid w:val="00FE5831"/>
    <w:rsid w:val="00FE588F"/>
    <w:rsid w:val="00FE58E6"/>
    <w:rsid w:val="00FE58F1"/>
    <w:rsid w:val="00FE636B"/>
    <w:rsid w:val="00FE65B3"/>
    <w:rsid w:val="00FE6734"/>
    <w:rsid w:val="00FE6951"/>
    <w:rsid w:val="00FE69F4"/>
    <w:rsid w:val="00FE6ABD"/>
    <w:rsid w:val="00FE6CFF"/>
    <w:rsid w:val="00FE7113"/>
    <w:rsid w:val="00FE720E"/>
    <w:rsid w:val="00FE735F"/>
    <w:rsid w:val="00FE7456"/>
    <w:rsid w:val="00FE74CE"/>
    <w:rsid w:val="00FE75CC"/>
    <w:rsid w:val="00FE75E8"/>
    <w:rsid w:val="00FE7668"/>
    <w:rsid w:val="00FE773E"/>
    <w:rsid w:val="00FE7783"/>
    <w:rsid w:val="00FE77C8"/>
    <w:rsid w:val="00FE782F"/>
    <w:rsid w:val="00FE7A3A"/>
    <w:rsid w:val="00FE7B32"/>
    <w:rsid w:val="00FE7B40"/>
    <w:rsid w:val="00FE7B54"/>
    <w:rsid w:val="00FE7BB7"/>
    <w:rsid w:val="00FE7C08"/>
    <w:rsid w:val="00FE7D0C"/>
    <w:rsid w:val="00FE7E6C"/>
    <w:rsid w:val="00FE7F74"/>
    <w:rsid w:val="00FF00ED"/>
    <w:rsid w:val="00FF030C"/>
    <w:rsid w:val="00FF032F"/>
    <w:rsid w:val="00FF039D"/>
    <w:rsid w:val="00FF048E"/>
    <w:rsid w:val="00FF04B8"/>
    <w:rsid w:val="00FF069F"/>
    <w:rsid w:val="00FF06BD"/>
    <w:rsid w:val="00FF06E1"/>
    <w:rsid w:val="00FF06FD"/>
    <w:rsid w:val="00FF0748"/>
    <w:rsid w:val="00FF07BF"/>
    <w:rsid w:val="00FF07D6"/>
    <w:rsid w:val="00FF0A1F"/>
    <w:rsid w:val="00FF0B62"/>
    <w:rsid w:val="00FF0C9E"/>
    <w:rsid w:val="00FF0DA0"/>
    <w:rsid w:val="00FF0E7E"/>
    <w:rsid w:val="00FF0EA9"/>
    <w:rsid w:val="00FF0FCA"/>
    <w:rsid w:val="00FF128D"/>
    <w:rsid w:val="00FF1471"/>
    <w:rsid w:val="00FF1533"/>
    <w:rsid w:val="00FF1718"/>
    <w:rsid w:val="00FF174E"/>
    <w:rsid w:val="00FF182D"/>
    <w:rsid w:val="00FF1957"/>
    <w:rsid w:val="00FF1961"/>
    <w:rsid w:val="00FF19BC"/>
    <w:rsid w:val="00FF1A72"/>
    <w:rsid w:val="00FF1AF6"/>
    <w:rsid w:val="00FF1BAF"/>
    <w:rsid w:val="00FF1D02"/>
    <w:rsid w:val="00FF1E4B"/>
    <w:rsid w:val="00FF2142"/>
    <w:rsid w:val="00FF247D"/>
    <w:rsid w:val="00FF24A6"/>
    <w:rsid w:val="00FF2A96"/>
    <w:rsid w:val="00FF2B8F"/>
    <w:rsid w:val="00FF2C9D"/>
    <w:rsid w:val="00FF2DCF"/>
    <w:rsid w:val="00FF2DE6"/>
    <w:rsid w:val="00FF2EB8"/>
    <w:rsid w:val="00FF2FF3"/>
    <w:rsid w:val="00FF3219"/>
    <w:rsid w:val="00FF33D6"/>
    <w:rsid w:val="00FF352B"/>
    <w:rsid w:val="00FF3611"/>
    <w:rsid w:val="00FF3662"/>
    <w:rsid w:val="00FF368D"/>
    <w:rsid w:val="00FF37D2"/>
    <w:rsid w:val="00FF39CB"/>
    <w:rsid w:val="00FF3B26"/>
    <w:rsid w:val="00FF3C77"/>
    <w:rsid w:val="00FF3C7D"/>
    <w:rsid w:val="00FF3DA1"/>
    <w:rsid w:val="00FF3E03"/>
    <w:rsid w:val="00FF3ECC"/>
    <w:rsid w:val="00FF3F6E"/>
    <w:rsid w:val="00FF42FE"/>
    <w:rsid w:val="00FF44EA"/>
    <w:rsid w:val="00FF4582"/>
    <w:rsid w:val="00FF46BB"/>
    <w:rsid w:val="00FF4781"/>
    <w:rsid w:val="00FF480E"/>
    <w:rsid w:val="00FF483A"/>
    <w:rsid w:val="00FF4D90"/>
    <w:rsid w:val="00FF4E08"/>
    <w:rsid w:val="00FF4E3B"/>
    <w:rsid w:val="00FF4F00"/>
    <w:rsid w:val="00FF4F39"/>
    <w:rsid w:val="00FF4FDE"/>
    <w:rsid w:val="00FF5321"/>
    <w:rsid w:val="00FF54B8"/>
    <w:rsid w:val="00FF54ED"/>
    <w:rsid w:val="00FF552C"/>
    <w:rsid w:val="00FF5713"/>
    <w:rsid w:val="00FF587B"/>
    <w:rsid w:val="00FF59B7"/>
    <w:rsid w:val="00FF5AC6"/>
    <w:rsid w:val="00FF5AFB"/>
    <w:rsid w:val="00FF5B27"/>
    <w:rsid w:val="00FF5B77"/>
    <w:rsid w:val="00FF5BF7"/>
    <w:rsid w:val="00FF5EC4"/>
    <w:rsid w:val="00FF5F51"/>
    <w:rsid w:val="00FF5F62"/>
    <w:rsid w:val="00FF6088"/>
    <w:rsid w:val="00FF60D7"/>
    <w:rsid w:val="00FF60DD"/>
    <w:rsid w:val="00FF60F3"/>
    <w:rsid w:val="00FF6133"/>
    <w:rsid w:val="00FF62BF"/>
    <w:rsid w:val="00FF63D8"/>
    <w:rsid w:val="00FF647E"/>
    <w:rsid w:val="00FF67BC"/>
    <w:rsid w:val="00FF6806"/>
    <w:rsid w:val="00FF688A"/>
    <w:rsid w:val="00FF694D"/>
    <w:rsid w:val="00FF69DE"/>
    <w:rsid w:val="00FF6A7D"/>
    <w:rsid w:val="00FF6B56"/>
    <w:rsid w:val="00FF6C29"/>
    <w:rsid w:val="00FF6C94"/>
    <w:rsid w:val="00FF6E9D"/>
    <w:rsid w:val="00FF7107"/>
    <w:rsid w:val="00FF744C"/>
    <w:rsid w:val="00FF747E"/>
    <w:rsid w:val="00FF7507"/>
    <w:rsid w:val="00FF75C0"/>
    <w:rsid w:val="00FF761A"/>
    <w:rsid w:val="00FF78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98079"/>
  <w15:chartTrackingRefBased/>
  <w15:docId w15:val="{0107B618-EB03-42E5-A27A-457CF19F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FB6"/>
    <w:rPr>
      <w:rFonts w:eastAsiaTheme="minorEastAsia"/>
    </w:rPr>
  </w:style>
  <w:style w:type="paragraph" w:styleId="Heading1">
    <w:name w:val="heading 1"/>
    <w:basedOn w:val="Normal"/>
    <w:next w:val="Normal"/>
    <w:link w:val="Heading1Char"/>
    <w:uiPriority w:val="9"/>
    <w:qFormat/>
    <w:rsid w:val="008404FE"/>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8404FE"/>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8404F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8404FE"/>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8404FE"/>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8404F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404F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404F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404F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34B"/>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B134B"/>
    <w:rPr>
      <w:rFonts w:ascii="Segoe UI" w:hAnsi="Segoe UI" w:cs="Segoe UI"/>
      <w:sz w:val="18"/>
      <w:szCs w:val="18"/>
    </w:rPr>
  </w:style>
  <w:style w:type="character" w:customStyle="1" w:styleId="Heading1Char">
    <w:name w:val="Heading 1 Char"/>
    <w:basedOn w:val="DefaultParagraphFont"/>
    <w:link w:val="Heading1"/>
    <w:uiPriority w:val="9"/>
    <w:rsid w:val="008404FE"/>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8404FE"/>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8404FE"/>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8404FE"/>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8404F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8404F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404F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404F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404F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404FE"/>
    <w:pPr>
      <w:spacing w:line="240" w:lineRule="auto"/>
    </w:pPr>
    <w:rPr>
      <w:b/>
      <w:bCs/>
      <w:smallCaps/>
      <w:color w:val="595959" w:themeColor="text1" w:themeTint="A6"/>
    </w:rPr>
  </w:style>
  <w:style w:type="paragraph" w:styleId="Title">
    <w:name w:val="Title"/>
    <w:basedOn w:val="Normal"/>
    <w:next w:val="Normal"/>
    <w:link w:val="TitleChar"/>
    <w:uiPriority w:val="10"/>
    <w:qFormat/>
    <w:rsid w:val="008404F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8404FE"/>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404F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8404FE"/>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8404FE"/>
    <w:rPr>
      <w:b/>
      <w:bCs/>
    </w:rPr>
  </w:style>
  <w:style w:type="character" w:styleId="Emphasis">
    <w:name w:val="Emphasis"/>
    <w:basedOn w:val="DefaultParagraphFont"/>
    <w:uiPriority w:val="20"/>
    <w:qFormat/>
    <w:rsid w:val="008404FE"/>
    <w:rPr>
      <w:i/>
      <w:iCs/>
    </w:rPr>
  </w:style>
  <w:style w:type="paragraph" w:styleId="NoSpacing">
    <w:name w:val="No Spacing"/>
    <w:uiPriority w:val="1"/>
    <w:qFormat/>
    <w:rsid w:val="008404FE"/>
    <w:pPr>
      <w:spacing w:after="0" w:line="240" w:lineRule="auto"/>
    </w:pPr>
    <w:rPr>
      <w:rFonts w:eastAsiaTheme="minorEastAsia"/>
    </w:rPr>
  </w:style>
  <w:style w:type="paragraph" w:styleId="Quote">
    <w:name w:val="Quote"/>
    <w:basedOn w:val="Normal"/>
    <w:next w:val="Normal"/>
    <w:link w:val="QuoteChar"/>
    <w:uiPriority w:val="29"/>
    <w:qFormat/>
    <w:rsid w:val="008404FE"/>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404F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404FE"/>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404FE"/>
    <w:rPr>
      <w:rFonts w:eastAsiaTheme="minorEastAsia"/>
      <w:color w:val="404040" w:themeColor="text1" w:themeTint="BF"/>
      <w:sz w:val="32"/>
      <w:szCs w:val="32"/>
    </w:rPr>
  </w:style>
  <w:style w:type="character" w:styleId="SubtleEmphasis">
    <w:name w:val="Subtle Emphasis"/>
    <w:basedOn w:val="DefaultParagraphFont"/>
    <w:uiPriority w:val="19"/>
    <w:qFormat/>
    <w:rsid w:val="008404FE"/>
    <w:rPr>
      <w:i/>
      <w:iCs/>
      <w:color w:val="595959" w:themeColor="text1" w:themeTint="A6"/>
    </w:rPr>
  </w:style>
  <w:style w:type="character" w:styleId="IntenseEmphasis">
    <w:name w:val="Intense Emphasis"/>
    <w:basedOn w:val="DefaultParagraphFont"/>
    <w:uiPriority w:val="21"/>
    <w:qFormat/>
    <w:rsid w:val="008404FE"/>
    <w:rPr>
      <w:b/>
      <w:bCs/>
      <w:i/>
      <w:iCs/>
    </w:rPr>
  </w:style>
  <w:style w:type="character" w:styleId="SubtleReference">
    <w:name w:val="Subtle Reference"/>
    <w:basedOn w:val="DefaultParagraphFont"/>
    <w:uiPriority w:val="31"/>
    <w:qFormat/>
    <w:rsid w:val="008404F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404FE"/>
    <w:rPr>
      <w:b/>
      <w:bCs/>
      <w:caps w:val="0"/>
      <w:smallCaps/>
      <w:color w:val="auto"/>
      <w:spacing w:val="3"/>
      <w:u w:val="single"/>
    </w:rPr>
  </w:style>
  <w:style w:type="character" w:styleId="BookTitle">
    <w:name w:val="Book Title"/>
    <w:basedOn w:val="DefaultParagraphFont"/>
    <w:uiPriority w:val="33"/>
    <w:qFormat/>
    <w:rsid w:val="008404FE"/>
    <w:rPr>
      <w:b/>
      <w:bCs/>
      <w:smallCaps/>
      <w:spacing w:val="7"/>
    </w:rPr>
  </w:style>
  <w:style w:type="paragraph" w:styleId="TOCHeading">
    <w:name w:val="TOC Heading"/>
    <w:basedOn w:val="Heading1"/>
    <w:next w:val="Normal"/>
    <w:uiPriority w:val="39"/>
    <w:semiHidden/>
    <w:unhideWhenUsed/>
    <w:qFormat/>
    <w:rsid w:val="008404FE"/>
    <w:pPr>
      <w:outlineLvl w:val="9"/>
    </w:pPr>
  </w:style>
  <w:style w:type="paragraph" w:styleId="Header">
    <w:name w:val="header"/>
    <w:basedOn w:val="Normal"/>
    <w:link w:val="HeaderChar"/>
    <w:uiPriority w:val="99"/>
    <w:unhideWhenUsed/>
    <w:rsid w:val="00840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4FE"/>
    <w:rPr>
      <w:rFonts w:eastAsiaTheme="minorEastAsia"/>
    </w:rPr>
  </w:style>
  <w:style w:type="paragraph" w:styleId="Footer">
    <w:name w:val="footer"/>
    <w:basedOn w:val="Normal"/>
    <w:link w:val="FooterChar"/>
    <w:uiPriority w:val="99"/>
    <w:unhideWhenUsed/>
    <w:rsid w:val="00840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4FE"/>
    <w:rPr>
      <w:rFonts w:eastAsiaTheme="minorEastAsia"/>
    </w:rPr>
  </w:style>
  <w:style w:type="paragraph" w:customStyle="1" w:styleId="Style1">
    <w:name w:val="Style1"/>
    <w:basedOn w:val="Normal"/>
    <w:link w:val="Style1Char"/>
    <w:qFormat/>
    <w:rsid w:val="008E5337"/>
    <w:pPr>
      <w:bidi/>
      <w:spacing w:line="256" w:lineRule="auto"/>
    </w:pPr>
    <w:rPr>
      <w:rFonts w:eastAsiaTheme="minorHAnsi" w:cs="Arial"/>
      <w:color w:val="7030A0"/>
      <w:sz w:val="16"/>
      <w:szCs w:val="16"/>
    </w:rPr>
  </w:style>
  <w:style w:type="character" w:customStyle="1" w:styleId="Style1Char">
    <w:name w:val="Style1 Char"/>
    <w:basedOn w:val="DefaultParagraphFont"/>
    <w:link w:val="Style1"/>
    <w:rsid w:val="008E5337"/>
    <w:rPr>
      <w:rFonts w:cs="Arial"/>
      <w:color w:val="7030A0"/>
      <w:sz w:val="16"/>
      <w:szCs w:val="16"/>
    </w:rPr>
  </w:style>
  <w:style w:type="paragraph" w:styleId="NormalWeb">
    <w:name w:val="Normal (Web)"/>
    <w:basedOn w:val="Normal"/>
    <w:uiPriority w:val="99"/>
    <w:unhideWhenUsed/>
    <w:rsid w:val="00DE26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B529A"/>
    <w:rPr>
      <w:color w:val="0000FF"/>
      <w:u w:val="single"/>
    </w:rPr>
  </w:style>
  <w:style w:type="character" w:styleId="CommentReference">
    <w:name w:val="annotation reference"/>
    <w:basedOn w:val="DefaultParagraphFont"/>
    <w:uiPriority w:val="99"/>
    <w:semiHidden/>
    <w:unhideWhenUsed/>
    <w:rsid w:val="00D464D6"/>
    <w:rPr>
      <w:sz w:val="16"/>
      <w:szCs w:val="16"/>
    </w:rPr>
  </w:style>
  <w:style w:type="paragraph" w:styleId="CommentText">
    <w:name w:val="annotation text"/>
    <w:basedOn w:val="Normal"/>
    <w:link w:val="CommentTextChar"/>
    <w:uiPriority w:val="99"/>
    <w:semiHidden/>
    <w:unhideWhenUsed/>
    <w:rsid w:val="00D464D6"/>
    <w:pPr>
      <w:spacing w:line="240" w:lineRule="auto"/>
    </w:pPr>
    <w:rPr>
      <w:sz w:val="20"/>
      <w:szCs w:val="20"/>
    </w:rPr>
  </w:style>
  <w:style w:type="character" w:customStyle="1" w:styleId="CommentTextChar">
    <w:name w:val="Comment Text Char"/>
    <w:basedOn w:val="DefaultParagraphFont"/>
    <w:link w:val="CommentText"/>
    <w:uiPriority w:val="99"/>
    <w:semiHidden/>
    <w:rsid w:val="00D464D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464D6"/>
    <w:rPr>
      <w:b/>
      <w:bCs/>
    </w:rPr>
  </w:style>
  <w:style w:type="character" w:customStyle="1" w:styleId="CommentSubjectChar">
    <w:name w:val="Comment Subject Char"/>
    <w:basedOn w:val="CommentTextChar"/>
    <w:link w:val="CommentSubject"/>
    <w:uiPriority w:val="99"/>
    <w:semiHidden/>
    <w:rsid w:val="00D464D6"/>
    <w:rPr>
      <w:rFonts w:eastAsiaTheme="minorEastAsia"/>
      <w:b/>
      <w:bCs/>
      <w:sz w:val="20"/>
      <w:szCs w:val="20"/>
    </w:rPr>
  </w:style>
  <w:style w:type="paragraph" w:styleId="Revision">
    <w:name w:val="Revision"/>
    <w:hidden/>
    <w:uiPriority w:val="99"/>
    <w:semiHidden/>
    <w:rsid w:val="00D464D6"/>
    <w:pPr>
      <w:spacing w:after="0" w:line="240" w:lineRule="auto"/>
    </w:pPr>
    <w:rPr>
      <w:rFonts w:eastAsiaTheme="minorEastAsia"/>
    </w:rPr>
  </w:style>
  <w:style w:type="paragraph" w:styleId="ListParagraph">
    <w:name w:val="List Paragraph"/>
    <w:basedOn w:val="Normal"/>
    <w:uiPriority w:val="34"/>
    <w:qFormat/>
    <w:rsid w:val="00383374"/>
    <w:pPr>
      <w:ind w:left="720"/>
      <w:contextualSpacing/>
    </w:pPr>
  </w:style>
  <w:style w:type="character" w:customStyle="1" w:styleId="mw-headline">
    <w:name w:val="mw-headline"/>
    <w:basedOn w:val="DefaultParagraphFont"/>
    <w:rsid w:val="00A024FF"/>
  </w:style>
  <w:style w:type="paragraph" w:customStyle="1" w:styleId="Style3">
    <w:name w:val="Style3"/>
    <w:basedOn w:val="Normal"/>
    <w:link w:val="Style3Char"/>
    <w:qFormat/>
    <w:rsid w:val="00E64249"/>
    <w:pPr>
      <w:bidi/>
      <w:spacing w:line="256" w:lineRule="auto"/>
    </w:pPr>
    <w:rPr>
      <w:rFonts w:eastAsiaTheme="minorHAnsi" w:cs="Arial"/>
      <w:b/>
      <w:bCs/>
      <w:color w:val="941C91"/>
      <w:sz w:val="16"/>
      <w:szCs w:val="16"/>
    </w:rPr>
  </w:style>
  <w:style w:type="character" w:customStyle="1" w:styleId="Style3Char">
    <w:name w:val="Style3 Char"/>
    <w:basedOn w:val="DefaultParagraphFont"/>
    <w:link w:val="Style3"/>
    <w:rsid w:val="00E64249"/>
    <w:rPr>
      <w:rFonts w:cs="Arial"/>
      <w:b/>
      <w:bCs/>
      <w:color w:val="941C91"/>
      <w:sz w:val="16"/>
      <w:szCs w:val="16"/>
    </w:rPr>
  </w:style>
  <w:style w:type="character" w:customStyle="1" w:styleId="gim-calc">
    <w:name w:val="gim-calc"/>
    <w:basedOn w:val="DefaultParagraphFont"/>
    <w:rsid w:val="00CF3AAF"/>
  </w:style>
  <w:style w:type="character" w:customStyle="1" w:styleId="mw-editsection">
    <w:name w:val="mw-editsection"/>
    <w:basedOn w:val="DefaultParagraphFont"/>
    <w:rsid w:val="005D394E"/>
  </w:style>
  <w:style w:type="character" w:customStyle="1" w:styleId="mw-editsection-bracket">
    <w:name w:val="mw-editsection-bracket"/>
    <w:basedOn w:val="DefaultParagraphFont"/>
    <w:rsid w:val="005D394E"/>
  </w:style>
  <w:style w:type="paragraph" w:customStyle="1" w:styleId="msonormal0">
    <w:name w:val="msonormal"/>
    <w:basedOn w:val="Normal"/>
    <w:rsid w:val="00EC716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716D"/>
    <w:rPr>
      <w:color w:val="800080"/>
      <w:u w:val="single"/>
    </w:rPr>
  </w:style>
  <w:style w:type="character" w:customStyle="1" w:styleId="wordwithexplain">
    <w:name w:val="word_with_explain"/>
    <w:basedOn w:val="DefaultParagraphFont"/>
    <w:rsid w:val="00EC716D"/>
  </w:style>
  <w:style w:type="character" w:customStyle="1" w:styleId="theexplain">
    <w:name w:val="the_explain"/>
    <w:basedOn w:val="DefaultParagraphFont"/>
    <w:rsid w:val="00EC716D"/>
  </w:style>
  <w:style w:type="paragraph" w:customStyle="1" w:styleId="Style2">
    <w:name w:val="Style2"/>
    <w:basedOn w:val="Style1"/>
    <w:link w:val="Style2Char"/>
    <w:qFormat/>
    <w:rsid w:val="00082BBF"/>
  </w:style>
  <w:style w:type="character" w:customStyle="1" w:styleId="Style2Char">
    <w:name w:val="Style2 Char"/>
    <w:basedOn w:val="Style1Char"/>
    <w:link w:val="Style2"/>
    <w:rsid w:val="00082BBF"/>
    <w:rPr>
      <w:rFonts w:cs="Arial"/>
      <w:color w:val="7030A0"/>
      <w:sz w:val="16"/>
      <w:szCs w:val="16"/>
    </w:rPr>
  </w:style>
  <w:style w:type="character" w:styleId="HTMLCite">
    <w:name w:val="HTML Cite"/>
    <w:basedOn w:val="DefaultParagraphFont"/>
    <w:uiPriority w:val="99"/>
    <w:semiHidden/>
    <w:unhideWhenUsed/>
    <w:rsid w:val="00CF59A2"/>
    <w:rPr>
      <w:i/>
      <w:iCs/>
    </w:rPr>
  </w:style>
  <w:style w:type="character" w:customStyle="1" w:styleId="mw-cite-backlink">
    <w:name w:val="mw-cite-backlink"/>
    <w:basedOn w:val="DefaultParagraphFont"/>
    <w:rsid w:val="00EC4C99"/>
  </w:style>
  <w:style w:type="character" w:customStyle="1" w:styleId="reference-text">
    <w:name w:val="reference-text"/>
    <w:basedOn w:val="DefaultParagraphFont"/>
    <w:rsid w:val="00EC4C99"/>
  </w:style>
  <w:style w:type="paragraph" w:styleId="FootnoteText">
    <w:name w:val="footnote text"/>
    <w:basedOn w:val="Normal"/>
    <w:link w:val="FootnoteTextChar"/>
    <w:uiPriority w:val="99"/>
    <w:semiHidden/>
    <w:unhideWhenUsed/>
    <w:rsid w:val="00BE32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329B"/>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164">
      <w:bodyDiv w:val="1"/>
      <w:marLeft w:val="0"/>
      <w:marRight w:val="0"/>
      <w:marTop w:val="0"/>
      <w:marBottom w:val="0"/>
      <w:divBdr>
        <w:top w:val="none" w:sz="0" w:space="0" w:color="auto"/>
        <w:left w:val="none" w:sz="0" w:space="0" w:color="auto"/>
        <w:bottom w:val="none" w:sz="0" w:space="0" w:color="auto"/>
        <w:right w:val="none" w:sz="0" w:space="0" w:color="auto"/>
      </w:divBdr>
    </w:div>
    <w:div w:id="2249880">
      <w:bodyDiv w:val="1"/>
      <w:marLeft w:val="0"/>
      <w:marRight w:val="0"/>
      <w:marTop w:val="0"/>
      <w:marBottom w:val="0"/>
      <w:divBdr>
        <w:top w:val="none" w:sz="0" w:space="0" w:color="auto"/>
        <w:left w:val="none" w:sz="0" w:space="0" w:color="auto"/>
        <w:bottom w:val="none" w:sz="0" w:space="0" w:color="auto"/>
        <w:right w:val="none" w:sz="0" w:space="0" w:color="auto"/>
      </w:divBdr>
    </w:div>
    <w:div w:id="2824260">
      <w:bodyDiv w:val="1"/>
      <w:marLeft w:val="0"/>
      <w:marRight w:val="0"/>
      <w:marTop w:val="0"/>
      <w:marBottom w:val="0"/>
      <w:divBdr>
        <w:top w:val="none" w:sz="0" w:space="0" w:color="auto"/>
        <w:left w:val="none" w:sz="0" w:space="0" w:color="auto"/>
        <w:bottom w:val="none" w:sz="0" w:space="0" w:color="auto"/>
        <w:right w:val="none" w:sz="0" w:space="0" w:color="auto"/>
      </w:divBdr>
    </w:div>
    <w:div w:id="3019648">
      <w:bodyDiv w:val="1"/>
      <w:marLeft w:val="0"/>
      <w:marRight w:val="0"/>
      <w:marTop w:val="0"/>
      <w:marBottom w:val="0"/>
      <w:divBdr>
        <w:top w:val="none" w:sz="0" w:space="0" w:color="auto"/>
        <w:left w:val="none" w:sz="0" w:space="0" w:color="auto"/>
        <w:bottom w:val="none" w:sz="0" w:space="0" w:color="auto"/>
        <w:right w:val="none" w:sz="0" w:space="0" w:color="auto"/>
      </w:divBdr>
    </w:div>
    <w:div w:id="3823718">
      <w:bodyDiv w:val="1"/>
      <w:marLeft w:val="0"/>
      <w:marRight w:val="0"/>
      <w:marTop w:val="0"/>
      <w:marBottom w:val="0"/>
      <w:divBdr>
        <w:top w:val="none" w:sz="0" w:space="0" w:color="auto"/>
        <w:left w:val="none" w:sz="0" w:space="0" w:color="auto"/>
        <w:bottom w:val="none" w:sz="0" w:space="0" w:color="auto"/>
        <w:right w:val="none" w:sz="0" w:space="0" w:color="auto"/>
      </w:divBdr>
    </w:div>
    <w:div w:id="5712755">
      <w:bodyDiv w:val="1"/>
      <w:marLeft w:val="0"/>
      <w:marRight w:val="0"/>
      <w:marTop w:val="0"/>
      <w:marBottom w:val="0"/>
      <w:divBdr>
        <w:top w:val="none" w:sz="0" w:space="0" w:color="auto"/>
        <w:left w:val="none" w:sz="0" w:space="0" w:color="auto"/>
        <w:bottom w:val="none" w:sz="0" w:space="0" w:color="auto"/>
        <w:right w:val="none" w:sz="0" w:space="0" w:color="auto"/>
      </w:divBdr>
    </w:div>
    <w:div w:id="8071486">
      <w:bodyDiv w:val="1"/>
      <w:marLeft w:val="0"/>
      <w:marRight w:val="0"/>
      <w:marTop w:val="0"/>
      <w:marBottom w:val="0"/>
      <w:divBdr>
        <w:top w:val="none" w:sz="0" w:space="0" w:color="auto"/>
        <w:left w:val="none" w:sz="0" w:space="0" w:color="auto"/>
        <w:bottom w:val="none" w:sz="0" w:space="0" w:color="auto"/>
        <w:right w:val="none" w:sz="0" w:space="0" w:color="auto"/>
      </w:divBdr>
    </w:div>
    <w:div w:id="10035866">
      <w:bodyDiv w:val="1"/>
      <w:marLeft w:val="0"/>
      <w:marRight w:val="0"/>
      <w:marTop w:val="0"/>
      <w:marBottom w:val="0"/>
      <w:divBdr>
        <w:top w:val="none" w:sz="0" w:space="0" w:color="auto"/>
        <w:left w:val="none" w:sz="0" w:space="0" w:color="auto"/>
        <w:bottom w:val="none" w:sz="0" w:space="0" w:color="auto"/>
        <w:right w:val="none" w:sz="0" w:space="0" w:color="auto"/>
      </w:divBdr>
    </w:div>
    <w:div w:id="10108512">
      <w:bodyDiv w:val="1"/>
      <w:marLeft w:val="0"/>
      <w:marRight w:val="0"/>
      <w:marTop w:val="0"/>
      <w:marBottom w:val="0"/>
      <w:divBdr>
        <w:top w:val="none" w:sz="0" w:space="0" w:color="auto"/>
        <w:left w:val="none" w:sz="0" w:space="0" w:color="auto"/>
        <w:bottom w:val="none" w:sz="0" w:space="0" w:color="auto"/>
        <w:right w:val="none" w:sz="0" w:space="0" w:color="auto"/>
      </w:divBdr>
    </w:div>
    <w:div w:id="10689285">
      <w:bodyDiv w:val="1"/>
      <w:marLeft w:val="0"/>
      <w:marRight w:val="0"/>
      <w:marTop w:val="0"/>
      <w:marBottom w:val="0"/>
      <w:divBdr>
        <w:top w:val="none" w:sz="0" w:space="0" w:color="auto"/>
        <w:left w:val="none" w:sz="0" w:space="0" w:color="auto"/>
        <w:bottom w:val="none" w:sz="0" w:space="0" w:color="auto"/>
        <w:right w:val="none" w:sz="0" w:space="0" w:color="auto"/>
      </w:divBdr>
    </w:div>
    <w:div w:id="10961943">
      <w:bodyDiv w:val="1"/>
      <w:marLeft w:val="0"/>
      <w:marRight w:val="0"/>
      <w:marTop w:val="0"/>
      <w:marBottom w:val="0"/>
      <w:divBdr>
        <w:top w:val="none" w:sz="0" w:space="0" w:color="auto"/>
        <w:left w:val="none" w:sz="0" w:space="0" w:color="auto"/>
        <w:bottom w:val="none" w:sz="0" w:space="0" w:color="auto"/>
        <w:right w:val="none" w:sz="0" w:space="0" w:color="auto"/>
      </w:divBdr>
    </w:div>
    <w:div w:id="11613455">
      <w:bodyDiv w:val="1"/>
      <w:marLeft w:val="0"/>
      <w:marRight w:val="0"/>
      <w:marTop w:val="0"/>
      <w:marBottom w:val="0"/>
      <w:divBdr>
        <w:top w:val="none" w:sz="0" w:space="0" w:color="auto"/>
        <w:left w:val="none" w:sz="0" w:space="0" w:color="auto"/>
        <w:bottom w:val="none" w:sz="0" w:space="0" w:color="auto"/>
        <w:right w:val="none" w:sz="0" w:space="0" w:color="auto"/>
      </w:divBdr>
    </w:div>
    <w:div w:id="13844685">
      <w:bodyDiv w:val="1"/>
      <w:marLeft w:val="0"/>
      <w:marRight w:val="0"/>
      <w:marTop w:val="0"/>
      <w:marBottom w:val="0"/>
      <w:divBdr>
        <w:top w:val="none" w:sz="0" w:space="0" w:color="auto"/>
        <w:left w:val="none" w:sz="0" w:space="0" w:color="auto"/>
        <w:bottom w:val="none" w:sz="0" w:space="0" w:color="auto"/>
        <w:right w:val="none" w:sz="0" w:space="0" w:color="auto"/>
      </w:divBdr>
    </w:div>
    <w:div w:id="15082141">
      <w:bodyDiv w:val="1"/>
      <w:marLeft w:val="0"/>
      <w:marRight w:val="0"/>
      <w:marTop w:val="0"/>
      <w:marBottom w:val="0"/>
      <w:divBdr>
        <w:top w:val="none" w:sz="0" w:space="0" w:color="auto"/>
        <w:left w:val="none" w:sz="0" w:space="0" w:color="auto"/>
        <w:bottom w:val="none" w:sz="0" w:space="0" w:color="auto"/>
        <w:right w:val="none" w:sz="0" w:space="0" w:color="auto"/>
      </w:divBdr>
    </w:div>
    <w:div w:id="15934793">
      <w:bodyDiv w:val="1"/>
      <w:marLeft w:val="0"/>
      <w:marRight w:val="0"/>
      <w:marTop w:val="0"/>
      <w:marBottom w:val="0"/>
      <w:divBdr>
        <w:top w:val="none" w:sz="0" w:space="0" w:color="auto"/>
        <w:left w:val="none" w:sz="0" w:space="0" w:color="auto"/>
        <w:bottom w:val="none" w:sz="0" w:space="0" w:color="auto"/>
        <w:right w:val="none" w:sz="0" w:space="0" w:color="auto"/>
      </w:divBdr>
    </w:div>
    <w:div w:id="16782987">
      <w:bodyDiv w:val="1"/>
      <w:marLeft w:val="0"/>
      <w:marRight w:val="0"/>
      <w:marTop w:val="0"/>
      <w:marBottom w:val="0"/>
      <w:divBdr>
        <w:top w:val="none" w:sz="0" w:space="0" w:color="auto"/>
        <w:left w:val="none" w:sz="0" w:space="0" w:color="auto"/>
        <w:bottom w:val="none" w:sz="0" w:space="0" w:color="auto"/>
        <w:right w:val="none" w:sz="0" w:space="0" w:color="auto"/>
      </w:divBdr>
    </w:div>
    <w:div w:id="17971117">
      <w:bodyDiv w:val="1"/>
      <w:marLeft w:val="0"/>
      <w:marRight w:val="0"/>
      <w:marTop w:val="0"/>
      <w:marBottom w:val="0"/>
      <w:divBdr>
        <w:top w:val="none" w:sz="0" w:space="0" w:color="auto"/>
        <w:left w:val="none" w:sz="0" w:space="0" w:color="auto"/>
        <w:bottom w:val="none" w:sz="0" w:space="0" w:color="auto"/>
        <w:right w:val="none" w:sz="0" w:space="0" w:color="auto"/>
      </w:divBdr>
    </w:div>
    <w:div w:id="18630778">
      <w:bodyDiv w:val="1"/>
      <w:marLeft w:val="0"/>
      <w:marRight w:val="0"/>
      <w:marTop w:val="0"/>
      <w:marBottom w:val="0"/>
      <w:divBdr>
        <w:top w:val="none" w:sz="0" w:space="0" w:color="auto"/>
        <w:left w:val="none" w:sz="0" w:space="0" w:color="auto"/>
        <w:bottom w:val="none" w:sz="0" w:space="0" w:color="auto"/>
        <w:right w:val="none" w:sz="0" w:space="0" w:color="auto"/>
      </w:divBdr>
    </w:div>
    <w:div w:id="19094317">
      <w:bodyDiv w:val="1"/>
      <w:marLeft w:val="0"/>
      <w:marRight w:val="0"/>
      <w:marTop w:val="0"/>
      <w:marBottom w:val="0"/>
      <w:divBdr>
        <w:top w:val="none" w:sz="0" w:space="0" w:color="auto"/>
        <w:left w:val="none" w:sz="0" w:space="0" w:color="auto"/>
        <w:bottom w:val="none" w:sz="0" w:space="0" w:color="auto"/>
        <w:right w:val="none" w:sz="0" w:space="0" w:color="auto"/>
      </w:divBdr>
    </w:div>
    <w:div w:id="19402246">
      <w:bodyDiv w:val="1"/>
      <w:marLeft w:val="0"/>
      <w:marRight w:val="0"/>
      <w:marTop w:val="0"/>
      <w:marBottom w:val="0"/>
      <w:divBdr>
        <w:top w:val="none" w:sz="0" w:space="0" w:color="auto"/>
        <w:left w:val="none" w:sz="0" w:space="0" w:color="auto"/>
        <w:bottom w:val="none" w:sz="0" w:space="0" w:color="auto"/>
        <w:right w:val="none" w:sz="0" w:space="0" w:color="auto"/>
      </w:divBdr>
    </w:div>
    <w:div w:id="22480498">
      <w:bodyDiv w:val="1"/>
      <w:marLeft w:val="0"/>
      <w:marRight w:val="0"/>
      <w:marTop w:val="0"/>
      <w:marBottom w:val="0"/>
      <w:divBdr>
        <w:top w:val="none" w:sz="0" w:space="0" w:color="auto"/>
        <w:left w:val="none" w:sz="0" w:space="0" w:color="auto"/>
        <w:bottom w:val="none" w:sz="0" w:space="0" w:color="auto"/>
        <w:right w:val="none" w:sz="0" w:space="0" w:color="auto"/>
      </w:divBdr>
    </w:div>
    <w:div w:id="26764667">
      <w:bodyDiv w:val="1"/>
      <w:marLeft w:val="0"/>
      <w:marRight w:val="0"/>
      <w:marTop w:val="0"/>
      <w:marBottom w:val="0"/>
      <w:divBdr>
        <w:top w:val="none" w:sz="0" w:space="0" w:color="auto"/>
        <w:left w:val="none" w:sz="0" w:space="0" w:color="auto"/>
        <w:bottom w:val="none" w:sz="0" w:space="0" w:color="auto"/>
        <w:right w:val="none" w:sz="0" w:space="0" w:color="auto"/>
      </w:divBdr>
    </w:div>
    <w:div w:id="27416590">
      <w:bodyDiv w:val="1"/>
      <w:marLeft w:val="0"/>
      <w:marRight w:val="0"/>
      <w:marTop w:val="0"/>
      <w:marBottom w:val="0"/>
      <w:divBdr>
        <w:top w:val="none" w:sz="0" w:space="0" w:color="auto"/>
        <w:left w:val="none" w:sz="0" w:space="0" w:color="auto"/>
        <w:bottom w:val="none" w:sz="0" w:space="0" w:color="auto"/>
        <w:right w:val="none" w:sz="0" w:space="0" w:color="auto"/>
      </w:divBdr>
    </w:div>
    <w:div w:id="29914758">
      <w:bodyDiv w:val="1"/>
      <w:marLeft w:val="0"/>
      <w:marRight w:val="0"/>
      <w:marTop w:val="0"/>
      <w:marBottom w:val="0"/>
      <w:divBdr>
        <w:top w:val="none" w:sz="0" w:space="0" w:color="auto"/>
        <w:left w:val="none" w:sz="0" w:space="0" w:color="auto"/>
        <w:bottom w:val="none" w:sz="0" w:space="0" w:color="auto"/>
        <w:right w:val="none" w:sz="0" w:space="0" w:color="auto"/>
      </w:divBdr>
    </w:div>
    <w:div w:id="34434450">
      <w:bodyDiv w:val="1"/>
      <w:marLeft w:val="0"/>
      <w:marRight w:val="0"/>
      <w:marTop w:val="0"/>
      <w:marBottom w:val="0"/>
      <w:divBdr>
        <w:top w:val="none" w:sz="0" w:space="0" w:color="auto"/>
        <w:left w:val="none" w:sz="0" w:space="0" w:color="auto"/>
        <w:bottom w:val="none" w:sz="0" w:space="0" w:color="auto"/>
        <w:right w:val="none" w:sz="0" w:space="0" w:color="auto"/>
      </w:divBdr>
    </w:div>
    <w:div w:id="35551976">
      <w:bodyDiv w:val="1"/>
      <w:marLeft w:val="0"/>
      <w:marRight w:val="0"/>
      <w:marTop w:val="0"/>
      <w:marBottom w:val="0"/>
      <w:divBdr>
        <w:top w:val="none" w:sz="0" w:space="0" w:color="auto"/>
        <w:left w:val="none" w:sz="0" w:space="0" w:color="auto"/>
        <w:bottom w:val="none" w:sz="0" w:space="0" w:color="auto"/>
        <w:right w:val="none" w:sz="0" w:space="0" w:color="auto"/>
      </w:divBdr>
    </w:div>
    <w:div w:id="37557637">
      <w:bodyDiv w:val="1"/>
      <w:marLeft w:val="0"/>
      <w:marRight w:val="0"/>
      <w:marTop w:val="0"/>
      <w:marBottom w:val="0"/>
      <w:divBdr>
        <w:top w:val="none" w:sz="0" w:space="0" w:color="auto"/>
        <w:left w:val="none" w:sz="0" w:space="0" w:color="auto"/>
        <w:bottom w:val="none" w:sz="0" w:space="0" w:color="auto"/>
        <w:right w:val="none" w:sz="0" w:space="0" w:color="auto"/>
      </w:divBdr>
    </w:div>
    <w:div w:id="38288792">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41641954">
      <w:bodyDiv w:val="1"/>
      <w:marLeft w:val="0"/>
      <w:marRight w:val="0"/>
      <w:marTop w:val="0"/>
      <w:marBottom w:val="0"/>
      <w:divBdr>
        <w:top w:val="none" w:sz="0" w:space="0" w:color="auto"/>
        <w:left w:val="none" w:sz="0" w:space="0" w:color="auto"/>
        <w:bottom w:val="none" w:sz="0" w:space="0" w:color="auto"/>
        <w:right w:val="none" w:sz="0" w:space="0" w:color="auto"/>
      </w:divBdr>
    </w:div>
    <w:div w:id="41682845">
      <w:bodyDiv w:val="1"/>
      <w:marLeft w:val="0"/>
      <w:marRight w:val="0"/>
      <w:marTop w:val="0"/>
      <w:marBottom w:val="0"/>
      <w:divBdr>
        <w:top w:val="none" w:sz="0" w:space="0" w:color="auto"/>
        <w:left w:val="none" w:sz="0" w:space="0" w:color="auto"/>
        <w:bottom w:val="none" w:sz="0" w:space="0" w:color="auto"/>
        <w:right w:val="none" w:sz="0" w:space="0" w:color="auto"/>
      </w:divBdr>
    </w:div>
    <w:div w:id="42488862">
      <w:bodyDiv w:val="1"/>
      <w:marLeft w:val="0"/>
      <w:marRight w:val="0"/>
      <w:marTop w:val="0"/>
      <w:marBottom w:val="0"/>
      <w:divBdr>
        <w:top w:val="none" w:sz="0" w:space="0" w:color="auto"/>
        <w:left w:val="none" w:sz="0" w:space="0" w:color="auto"/>
        <w:bottom w:val="none" w:sz="0" w:space="0" w:color="auto"/>
        <w:right w:val="none" w:sz="0" w:space="0" w:color="auto"/>
      </w:divBdr>
    </w:div>
    <w:div w:id="45957100">
      <w:bodyDiv w:val="1"/>
      <w:marLeft w:val="0"/>
      <w:marRight w:val="0"/>
      <w:marTop w:val="0"/>
      <w:marBottom w:val="0"/>
      <w:divBdr>
        <w:top w:val="none" w:sz="0" w:space="0" w:color="auto"/>
        <w:left w:val="none" w:sz="0" w:space="0" w:color="auto"/>
        <w:bottom w:val="none" w:sz="0" w:space="0" w:color="auto"/>
        <w:right w:val="none" w:sz="0" w:space="0" w:color="auto"/>
      </w:divBdr>
    </w:div>
    <w:div w:id="46030296">
      <w:bodyDiv w:val="1"/>
      <w:marLeft w:val="0"/>
      <w:marRight w:val="0"/>
      <w:marTop w:val="0"/>
      <w:marBottom w:val="0"/>
      <w:divBdr>
        <w:top w:val="none" w:sz="0" w:space="0" w:color="auto"/>
        <w:left w:val="none" w:sz="0" w:space="0" w:color="auto"/>
        <w:bottom w:val="none" w:sz="0" w:space="0" w:color="auto"/>
        <w:right w:val="none" w:sz="0" w:space="0" w:color="auto"/>
      </w:divBdr>
    </w:div>
    <w:div w:id="46926632">
      <w:bodyDiv w:val="1"/>
      <w:marLeft w:val="0"/>
      <w:marRight w:val="0"/>
      <w:marTop w:val="0"/>
      <w:marBottom w:val="0"/>
      <w:divBdr>
        <w:top w:val="none" w:sz="0" w:space="0" w:color="auto"/>
        <w:left w:val="none" w:sz="0" w:space="0" w:color="auto"/>
        <w:bottom w:val="none" w:sz="0" w:space="0" w:color="auto"/>
        <w:right w:val="none" w:sz="0" w:space="0" w:color="auto"/>
      </w:divBdr>
    </w:div>
    <w:div w:id="49498215">
      <w:bodyDiv w:val="1"/>
      <w:marLeft w:val="0"/>
      <w:marRight w:val="0"/>
      <w:marTop w:val="0"/>
      <w:marBottom w:val="0"/>
      <w:divBdr>
        <w:top w:val="none" w:sz="0" w:space="0" w:color="auto"/>
        <w:left w:val="none" w:sz="0" w:space="0" w:color="auto"/>
        <w:bottom w:val="none" w:sz="0" w:space="0" w:color="auto"/>
        <w:right w:val="none" w:sz="0" w:space="0" w:color="auto"/>
      </w:divBdr>
    </w:div>
    <w:div w:id="53621402">
      <w:bodyDiv w:val="1"/>
      <w:marLeft w:val="0"/>
      <w:marRight w:val="0"/>
      <w:marTop w:val="0"/>
      <w:marBottom w:val="0"/>
      <w:divBdr>
        <w:top w:val="none" w:sz="0" w:space="0" w:color="auto"/>
        <w:left w:val="none" w:sz="0" w:space="0" w:color="auto"/>
        <w:bottom w:val="none" w:sz="0" w:space="0" w:color="auto"/>
        <w:right w:val="none" w:sz="0" w:space="0" w:color="auto"/>
      </w:divBdr>
    </w:div>
    <w:div w:id="53627667">
      <w:bodyDiv w:val="1"/>
      <w:marLeft w:val="0"/>
      <w:marRight w:val="0"/>
      <w:marTop w:val="0"/>
      <w:marBottom w:val="0"/>
      <w:divBdr>
        <w:top w:val="none" w:sz="0" w:space="0" w:color="auto"/>
        <w:left w:val="none" w:sz="0" w:space="0" w:color="auto"/>
        <w:bottom w:val="none" w:sz="0" w:space="0" w:color="auto"/>
        <w:right w:val="none" w:sz="0" w:space="0" w:color="auto"/>
      </w:divBdr>
    </w:div>
    <w:div w:id="56516500">
      <w:bodyDiv w:val="1"/>
      <w:marLeft w:val="0"/>
      <w:marRight w:val="0"/>
      <w:marTop w:val="0"/>
      <w:marBottom w:val="0"/>
      <w:divBdr>
        <w:top w:val="none" w:sz="0" w:space="0" w:color="auto"/>
        <w:left w:val="none" w:sz="0" w:space="0" w:color="auto"/>
        <w:bottom w:val="none" w:sz="0" w:space="0" w:color="auto"/>
        <w:right w:val="none" w:sz="0" w:space="0" w:color="auto"/>
      </w:divBdr>
    </w:div>
    <w:div w:id="56824270">
      <w:bodyDiv w:val="1"/>
      <w:marLeft w:val="0"/>
      <w:marRight w:val="0"/>
      <w:marTop w:val="0"/>
      <w:marBottom w:val="0"/>
      <w:divBdr>
        <w:top w:val="none" w:sz="0" w:space="0" w:color="auto"/>
        <w:left w:val="none" w:sz="0" w:space="0" w:color="auto"/>
        <w:bottom w:val="none" w:sz="0" w:space="0" w:color="auto"/>
        <w:right w:val="none" w:sz="0" w:space="0" w:color="auto"/>
      </w:divBdr>
    </w:div>
    <w:div w:id="57831042">
      <w:bodyDiv w:val="1"/>
      <w:marLeft w:val="0"/>
      <w:marRight w:val="0"/>
      <w:marTop w:val="0"/>
      <w:marBottom w:val="0"/>
      <w:divBdr>
        <w:top w:val="none" w:sz="0" w:space="0" w:color="auto"/>
        <w:left w:val="none" w:sz="0" w:space="0" w:color="auto"/>
        <w:bottom w:val="none" w:sz="0" w:space="0" w:color="auto"/>
        <w:right w:val="none" w:sz="0" w:space="0" w:color="auto"/>
      </w:divBdr>
    </w:div>
    <w:div w:id="58136367">
      <w:bodyDiv w:val="1"/>
      <w:marLeft w:val="0"/>
      <w:marRight w:val="0"/>
      <w:marTop w:val="0"/>
      <w:marBottom w:val="0"/>
      <w:divBdr>
        <w:top w:val="none" w:sz="0" w:space="0" w:color="auto"/>
        <w:left w:val="none" w:sz="0" w:space="0" w:color="auto"/>
        <w:bottom w:val="none" w:sz="0" w:space="0" w:color="auto"/>
        <w:right w:val="none" w:sz="0" w:space="0" w:color="auto"/>
      </w:divBdr>
    </w:div>
    <w:div w:id="59058002">
      <w:bodyDiv w:val="1"/>
      <w:marLeft w:val="0"/>
      <w:marRight w:val="0"/>
      <w:marTop w:val="0"/>
      <w:marBottom w:val="0"/>
      <w:divBdr>
        <w:top w:val="none" w:sz="0" w:space="0" w:color="auto"/>
        <w:left w:val="none" w:sz="0" w:space="0" w:color="auto"/>
        <w:bottom w:val="none" w:sz="0" w:space="0" w:color="auto"/>
        <w:right w:val="none" w:sz="0" w:space="0" w:color="auto"/>
      </w:divBdr>
    </w:div>
    <w:div w:id="59402173">
      <w:bodyDiv w:val="1"/>
      <w:marLeft w:val="0"/>
      <w:marRight w:val="0"/>
      <w:marTop w:val="0"/>
      <w:marBottom w:val="0"/>
      <w:divBdr>
        <w:top w:val="none" w:sz="0" w:space="0" w:color="auto"/>
        <w:left w:val="none" w:sz="0" w:space="0" w:color="auto"/>
        <w:bottom w:val="none" w:sz="0" w:space="0" w:color="auto"/>
        <w:right w:val="none" w:sz="0" w:space="0" w:color="auto"/>
      </w:divBdr>
    </w:div>
    <w:div w:id="60763114">
      <w:bodyDiv w:val="1"/>
      <w:marLeft w:val="0"/>
      <w:marRight w:val="0"/>
      <w:marTop w:val="0"/>
      <w:marBottom w:val="0"/>
      <w:divBdr>
        <w:top w:val="none" w:sz="0" w:space="0" w:color="auto"/>
        <w:left w:val="none" w:sz="0" w:space="0" w:color="auto"/>
        <w:bottom w:val="none" w:sz="0" w:space="0" w:color="auto"/>
        <w:right w:val="none" w:sz="0" w:space="0" w:color="auto"/>
      </w:divBdr>
    </w:div>
    <w:div w:id="61829996">
      <w:bodyDiv w:val="1"/>
      <w:marLeft w:val="0"/>
      <w:marRight w:val="0"/>
      <w:marTop w:val="0"/>
      <w:marBottom w:val="0"/>
      <w:divBdr>
        <w:top w:val="none" w:sz="0" w:space="0" w:color="auto"/>
        <w:left w:val="none" w:sz="0" w:space="0" w:color="auto"/>
        <w:bottom w:val="none" w:sz="0" w:space="0" w:color="auto"/>
        <w:right w:val="none" w:sz="0" w:space="0" w:color="auto"/>
      </w:divBdr>
    </w:div>
    <w:div w:id="62260973">
      <w:bodyDiv w:val="1"/>
      <w:marLeft w:val="0"/>
      <w:marRight w:val="0"/>
      <w:marTop w:val="0"/>
      <w:marBottom w:val="0"/>
      <w:divBdr>
        <w:top w:val="none" w:sz="0" w:space="0" w:color="auto"/>
        <w:left w:val="none" w:sz="0" w:space="0" w:color="auto"/>
        <w:bottom w:val="none" w:sz="0" w:space="0" w:color="auto"/>
        <w:right w:val="none" w:sz="0" w:space="0" w:color="auto"/>
      </w:divBdr>
    </w:div>
    <w:div w:id="64425211">
      <w:bodyDiv w:val="1"/>
      <w:marLeft w:val="0"/>
      <w:marRight w:val="0"/>
      <w:marTop w:val="0"/>
      <w:marBottom w:val="0"/>
      <w:divBdr>
        <w:top w:val="none" w:sz="0" w:space="0" w:color="auto"/>
        <w:left w:val="none" w:sz="0" w:space="0" w:color="auto"/>
        <w:bottom w:val="none" w:sz="0" w:space="0" w:color="auto"/>
        <w:right w:val="none" w:sz="0" w:space="0" w:color="auto"/>
      </w:divBdr>
    </w:div>
    <w:div w:id="64764605">
      <w:bodyDiv w:val="1"/>
      <w:marLeft w:val="0"/>
      <w:marRight w:val="0"/>
      <w:marTop w:val="0"/>
      <w:marBottom w:val="0"/>
      <w:divBdr>
        <w:top w:val="none" w:sz="0" w:space="0" w:color="auto"/>
        <w:left w:val="none" w:sz="0" w:space="0" w:color="auto"/>
        <w:bottom w:val="none" w:sz="0" w:space="0" w:color="auto"/>
        <w:right w:val="none" w:sz="0" w:space="0" w:color="auto"/>
      </w:divBdr>
    </w:div>
    <w:div w:id="64766220">
      <w:bodyDiv w:val="1"/>
      <w:marLeft w:val="0"/>
      <w:marRight w:val="0"/>
      <w:marTop w:val="0"/>
      <w:marBottom w:val="0"/>
      <w:divBdr>
        <w:top w:val="none" w:sz="0" w:space="0" w:color="auto"/>
        <w:left w:val="none" w:sz="0" w:space="0" w:color="auto"/>
        <w:bottom w:val="none" w:sz="0" w:space="0" w:color="auto"/>
        <w:right w:val="none" w:sz="0" w:space="0" w:color="auto"/>
      </w:divBdr>
    </w:div>
    <w:div w:id="65038263">
      <w:bodyDiv w:val="1"/>
      <w:marLeft w:val="0"/>
      <w:marRight w:val="0"/>
      <w:marTop w:val="0"/>
      <w:marBottom w:val="0"/>
      <w:divBdr>
        <w:top w:val="none" w:sz="0" w:space="0" w:color="auto"/>
        <w:left w:val="none" w:sz="0" w:space="0" w:color="auto"/>
        <w:bottom w:val="none" w:sz="0" w:space="0" w:color="auto"/>
        <w:right w:val="none" w:sz="0" w:space="0" w:color="auto"/>
      </w:divBdr>
    </w:div>
    <w:div w:id="67846179">
      <w:bodyDiv w:val="1"/>
      <w:marLeft w:val="0"/>
      <w:marRight w:val="0"/>
      <w:marTop w:val="0"/>
      <w:marBottom w:val="0"/>
      <w:divBdr>
        <w:top w:val="none" w:sz="0" w:space="0" w:color="auto"/>
        <w:left w:val="none" w:sz="0" w:space="0" w:color="auto"/>
        <w:bottom w:val="none" w:sz="0" w:space="0" w:color="auto"/>
        <w:right w:val="none" w:sz="0" w:space="0" w:color="auto"/>
      </w:divBdr>
    </w:div>
    <w:div w:id="69889799">
      <w:bodyDiv w:val="1"/>
      <w:marLeft w:val="0"/>
      <w:marRight w:val="0"/>
      <w:marTop w:val="0"/>
      <w:marBottom w:val="0"/>
      <w:divBdr>
        <w:top w:val="none" w:sz="0" w:space="0" w:color="auto"/>
        <w:left w:val="none" w:sz="0" w:space="0" w:color="auto"/>
        <w:bottom w:val="none" w:sz="0" w:space="0" w:color="auto"/>
        <w:right w:val="none" w:sz="0" w:space="0" w:color="auto"/>
      </w:divBdr>
    </w:div>
    <w:div w:id="76557010">
      <w:bodyDiv w:val="1"/>
      <w:marLeft w:val="0"/>
      <w:marRight w:val="0"/>
      <w:marTop w:val="0"/>
      <w:marBottom w:val="0"/>
      <w:divBdr>
        <w:top w:val="none" w:sz="0" w:space="0" w:color="auto"/>
        <w:left w:val="none" w:sz="0" w:space="0" w:color="auto"/>
        <w:bottom w:val="none" w:sz="0" w:space="0" w:color="auto"/>
        <w:right w:val="none" w:sz="0" w:space="0" w:color="auto"/>
      </w:divBdr>
    </w:div>
    <w:div w:id="76632471">
      <w:bodyDiv w:val="1"/>
      <w:marLeft w:val="0"/>
      <w:marRight w:val="0"/>
      <w:marTop w:val="0"/>
      <w:marBottom w:val="0"/>
      <w:divBdr>
        <w:top w:val="none" w:sz="0" w:space="0" w:color="auto"/>
        <w:left w:val="none" w:sz="0" w:space="0" w:color="auto"/>
        <w:bottom w:val="none" w:sz="0" w:space="0" w:color="auto"/>
        <w:right w:val="none" w:sz="0" w:space="0" w:color="auto"/>
      </w:divBdr>
    </w:div>
    <w:div w:id="78331067">
      <w:bodyDiv w:val="1"/>
      <w:marLeft w:val="0"/>
      <w:marRight w:val="0"/>
      <w:marTop w:val="0"/>
      <w:marBottom w:val="0"/>
      <w:divBdr>
        <w:top w:val="none" w:sz="0" w:space="0" w:color="auto"/>
        <w:left w:val="none" w:sz="0" w:space="0" w:color="auto"/>
        <w:bottom w:val="none" w:sz="0" w:space="0" w:color="auto"/>
        <w:right w:val="none" w:sz="0" w:space="0" w:color="auto"/>
      </w:divBdr>
    </w:div>
    <w:div w:id="84497397">
      <w:bodyDiv w:val="1"/>
      <w:marLeft w:val="0"/>
      <w:marRight w:val="0"/>
      <w:marTop w:val="0"/>
      <w:marBottom w:val="0"/>
      <w:divBdr>
        <w:top w:val="none" w:sz="0" w:space="0" w:color="auto"/>
        <w:left w:val="none" w:sz="0" w:space="0" w:color="auto"/>
        <w:bottom w:val="none" w:sz="0" w:space="0" w:color="auto"/>
        <w:right w:val="none" w:sz="0" w:space="0" w:color="auto"/>
      </w:divBdr>
    </w:div>
    <w:div w:id="84498079">
      <w:bodyDiv w:val="1"/>
      <w:marLeft w:val="0"/>
      <w:marRight w:val="0"/>
      <w:marTop w:val="0"/>
      <w:marBottom w:val="0"/>
      <w:divBdr>
        <w:top w:val="none" w:sz="0" w:space="0" w:color="auto"/>
        <w:left w:val="none" w:sz="0" w:space="0" w:color="auto"/>
        <w:bottom w:val="none" w:sz="0" w:space="0" w:color="auto"/>
        <w:right w:val="none" w:sz="0" w:space="0" w:color="auto"/>
      </w:divBdr>
    </w:div>
    <w:div w:id="86735642">
      <w:bodyDiv w:val="1"/>
      <w:marLeft w:val="0"/>
      <w:marRight w:val="0"/>
      <w:marTop w:val="0"/>
      <w:marBottom w:val="0"/>
      <w:divBdr>
        <w:top w:val="none" w:sz="0" w:space="0" w:color="auto"/>
        <w:left w:val="none" w:sz="0" w:space="0" w:color="auto"/>
        <w:bottom w:val="none" w:sz="0" w:space="0" w:color="auto"/>
        <w:right w:val="none" w:sz="0" w:space="0" w:color="auto"/>
      </w:divBdr>
    </w:div>
    <w:div w:id="87317394">
      <w:bodyDiv w:val="1"/>
      <w:marLeft w:val="0"/>
      <w:marRight w:val="0"/>
      <w:marTop w:val="0"/>
      <w:marBottom w:val="0"/>
      <w:divBdr>
        <w:top w:val="none" w:sz="0" w:space="0" w:color="auto"/>
        <w:left w:val="none" w:sz="0" w:space="0" w:color="auto"/>
        <w:bottom w:val="none" w:sz="0" w:space="0" w:color="auto"/>
        <w:right w:val="none" w:sz="0" w:space="0" w:color="auto"/>
      </w:divBdr>
    </w:div>
    <w:div w:id="87383925">
      <w:bodyDiv w:val="1"/>
      <w:marLeft w:val="0"/>
      <w:marRight w:val="0"/>
      <w:marTop w:val="0"/>
      <w:marBottom w:val="0"/>
      <w:divBdr>
        <w:top w:val="none" w:sz="0" w:space="0" w:color="auto"/>
        <w:left w:val="none" w:sz="0" w:space="0" w:color="auto"/>
        <w:bottom w:val="none" w:sz="0" w:space="0" w:color="auto"/>
        <w:right w:val="none" w:sz="0" w:space="0" w:color="auto"/>
      </w:divBdr>
    </w:div>
    <w:div w:id="89861720">
      <w:bodyDiv w:val="1"/>
      <w:marLeft w:val="0"/>
      <w:marRight w:val="0"/>
      <w:marTop w:val="0"/>
      <w:marBottom w:val="0"/>
      <w:divBdr>
        <w:top w:val="none" w:sz="0" w:space="0" w:color="auto"/>
        <w:left w:val="none" w:sz="0" w:space="0" w:color="auto"/>
        <w:bottom w:val="none" w:sz="0" w:space="0" w:color="auto"/>
        <w:right w:val="none" w:sz="0" w:space="0" w:color="auto"/>
      </w:divBdr>
    </w:div>
    <w:div w:id="90859464">
      <w:bodyDiv w:val="1"/>
      <w:marLeft w:val="0"/>
      <w:marRight w:val="0"/>
      <w:marTop w:val="0"/>
      <w:marBottom w:val="0"/>
      <w:divBdr>
        <w:top w:val="none" w:sz="0" w:space="0" w:color="auto"/>
        <w:left w:val="none" w:sz="0" w:space="0" w:color="auto"/>
        <w:bottom w:val="none" w:sz="0" w:space="0" w:color="auto"/>
        <w:right w:val="none" w:sz="0" w:space="0" w:color="auto"/>
      </w:divBdr>
    </w:div>
    <w:div w:id="91898365">
      <w:bodyDiv w:val="1"/>
      <w:marLeft w:val="0"/>
      <w:marRight w:val="0"/>
      <w:marTop w:val="0"/>
      <w:marBottom w:val="0"/>
      <w:divBdr>
        <w:top w:val="none" w:sz="0" w:space="0" w:color="auto"/>
        <w:left w:val="none" w:sz="0" w:space="0" w:color="auto"/>
        <w:bottom w:val="none" w:sz="0" w:space="0" w:color="auto"/>
        <w:right w:val="none" w:sz="0" w:space="0" w:color="auto"/>
      </w:divBdr>
    </w:div>
    <w:div w:id="93670559">
      <w:bodyDiv w:val="1"/>
      <w:marLeft w:val="0"/>
      <w:marRight w:val="0"/>
      <w:marTop w:val="0"/>
      <w:marBottom w:val="0"/>
      <w:divBdr>
        <w:top w:val="none" w:sz="0" w:space="0" w:color="auto"/>
        <w:left w:val="none" w:sz="0" w:space="0" w:color="auto"/>
        <w:bottom w:val="none" w:sz="0" w:space="0" w:color="auto"/>
        <w:right w:val="none" w:sz="0" w:space="0" w:color="auto"/>
      </w:divBdr>
    </w:div>
    <w:div w:id="95445846">
      <w:bodyDiv w:val="1"/>
      <w:marLeft w:val="0"/>
      <w:marRight w:val="0"/>
      <w:marTop w:val="0"/>
      <w:marBottom w:val="0"/>
      <w:divBdr>
        <w:top w:val="none" w:sz="0" w:space="0" w:color="auto"/>
        <w:left w:val="none" w:sz="0" w:space="0" w:color="auto"/>
        <w:bottom w:val="none" w:sz="0" w:space="0" w:color="auto"/>
        <w:right w:val="none" w:sz="0" w:space="0" w:color="auto"/>
      </w:divBdr>
    </w:div>
    <w:div w:id="96296671">
      <w:bodyDiv w:val="1"/>
      <w:marLeft w:val="0"/>
      <w:marRight w:val="0"/>
      <w:marTop w:val="0"/>
      <w:marBottom w:val="0"/>
      <w:divBdr>
        <w:top w:val="none" w:sz="0" w:space="0" w:color="auto"/>
        <w:left w:val="none" w:sz="0" w:space="0" w:color="auto"/>
        <w:bottom w:val="none" w:sz="0" w:space="0" w:color="auto"/>
        <w:right w:val="none" w:sz="0" w:space="0" w:color="auto"/>
      </w:divBdr>
    </w:div>
    <w:div w:id="97533665">
      <w:bodyDiv w:val="1"/>
      <w:marLeft w:val="0"/>
      <w:marRight w:val="0"/>
      <w:marTop w:val="0"/>
      <w:marBottom w:val="0"/>
      <w:divBdr>
        <w:top w:val="none" w:sz="0" w:space="0" w:color="auto"/>
        <w:left w:val="none" w:sz="0" w:space="0" w:color="auto"/>
        <w:bottom w:val="none" w:sz="0" w:space="0" w:color="auto"/>
        <w:right w:val="none" w:sz="0" w:space="0" w:color="auto"/>
      </w:divBdr>
    </w:div>
    <w:div w:id="101389985">
      <w:bodyDiv w:val="1"/>
      <w:marLeft w:val="0"/>
      <w:marRight w:val="0"/>
      <w:marTop w:val="0"/>
      <w:marBottom w:val="0"/>
      <w:divBdr>
        <w:top w:val="none" w:sz="0" w:space="0" w:color="auto"/>
        <w:left w:val="none" w:sz="0" w:space="0" w:color="auto"/>
        <w:bottom w:val="none" w:sz="0" w:space="0" w:color="auto"/>
        <w:right w:val="none" w:sz="0" w:space="0" w:color="auto"/>
      </w:divBdr>
    </w:div>
    <w:div w:id="102386885">
      <w:bodyDiv w:val="1"/>
      <w:marLeft w:val="0"/>
      <w:marRight w:val="0"/>
      <w:marTop w:val="0"/>
      <w:marBottom w:val="0"/>
      <w:divBdr>
        <w:top w:val="none" w:sz="0" w:space="0" w:color="auto"/>
        <w:left w:val="none" w:sz="0" w:space="0" w:color="auto"/>
        <w:bottom w:val="none" w:sz="0" w:space="0" w:color="auto"/>
        <w:right w:val="none" w:sz="0" w:space="0" w:color="auto"/>
      </w:divBdr>
    </w:div>
    <w:div w:id="102726987">
      <w:bodyDiv w:val="1"/>
      <w:marLeft w:val="0"/>
      <w:marRight w:val="0"/>
      <w:marTop w:val="0"/>
      <w:marBottom w:val="0"/>
      <w:divBdr>
        <w:top w:val="none" w:sz="0" w:space="0" w:color="auto"/>
        <w:left w:val="none" w:sz="0" w:space="0" w:color="auto"/>
        <w:bottom w:val="none" w:sz="0" w:space="0" w:color="auto"/>
        <w:right w:val="none" w:sz="0" w:space="0" w:color="auto"/>
      </w:divBdr>
    </w:div>
    <w:div w:id="105590264">
      <w:bodyDiv w:val="1"/>
      <w:marLeft w:val="0"/>
      <w:marRight w:val="0"/>
      <w:marTop w:val="0"/>
      <w:marBottom w:val="0"/>
      <w:divBdr>
        <w:top w:val="none" w:sz="0" w:space="0" w:color="auto"/>
        <w:left w:val="none" w:sz="0" w:space="0" w:color="auto"/>
        <w:bottom w:val="none" w:sz="0" w:space="0" w:color="auto"/>
        <w:right w:val="none" w:sz="0" w:space="0" w:color="auto"/>
      </w:divBdr>
    </w:div>
    <w:div w:id="105971976">
      <w:bodyDiv w:val="1"/>
      <w:marLeft w:val="0"/>
      <w:marRight w:val="0"/>
      <w:marTop w:val="0"/>
      <w:marBottom w:val="0"/>
      <w:divBdr>
        <w:top w:val="none" w:sz="0" w:space="0" w:color="auto"/>
        <w:left w:val="none" w:sz="0" w:space="0" w:color="auto"/>
        <w:bottom w:val="none" w:sz="0" w:space="0" w:color="auto"/>
        <w:right w:val="none" w:sz="0" w:space="0" w:color="auto"/>
      </w:divBdr>
    </w:div>
    <w:div w:id="106434772">
      <w:bodyDiv w:val="1"/>
      <w:marLeft w:val="0"/>
      <w:marRight w:val="0"/>
      <w:marTop w:val="0"/>
      <w:marBottom w:val="0"/>
      <w:divBdr>
        <w:top w:val="none" w:sz="0" w:space="0" w:color="auto"/>
        <w:left w:val="none" w:sz="0" w:space="0" w:color="auto"/>
        <w:bottom w:val="none" w:sz="0" w:space="0" w:color="auto"/>
        <w:right w:val="none" w:sz="0" w:space="0" w:color="auto"/>
      </w:divBdr>
    </w:div>
    <w:div w:id="108747168">
      <w:bodyDiv w:val="1"/>
      <w:marLeft w:val="0"/>
      <w:marRight w:val="0"/>
      <w:marTop w:val="0"/>
      <w:marBottom w:val="0"/>
      <w:divBdr>
        <w:top w:val="none" w:sz="0" w:space="0" w:color="auto"/>
        <w:left w:val="none" w:sz="0" w:space="0" w:color="auto"/>
        <w:bottom w:val="none" w:sz="0" w:space="0" w:color="auto"/>
        <w:right w:val="none" w:sz="0" w:space="0" w:color="auto"/>
      </w:divBdr>
    </w:div>
    <w:div w:id="109204849">
      <w:bodyDiv w:val="1"/>
      <w:marLeft w:val="0"/>
      <w:marRight w:val="0"/>
      <w:marTop w:val="0"/>
      <w:marBottom w:val="0"/>
      <w:divBdr>
        <w:top w:val="none" w:sz="0" w:space="0" w:color="auto"/>
        <w:left w:val="none" w:sz="0" w:space="0" w:color="auto"/>
        <w:bottom w:val="none" w:sz="0" w:space="0" w:color="auto"/>
        <w:right w:val="none" w:sz="0" w:space="0" w:color="auto"/>
      </w:divBdr>
    </w:div>
    <w:div w:id="111173034">
      <w:bodyDiv w:val="1"/>
      <w:marLeft w:val="0"/>
      <w:marRight w:val="0"/>
      <w:marTop w:val="0"/>
      <w:marBottom w:val="0"/>
      <w:divBdr>
        <w:top w:val="none" w:sz="0" w:space="0" w:color="auto"/>
        <w:left w:val="none" w:sz="0" w:space="0" w:color="auto"/>
        <w:bottom w:val="none" w:sz="0" w:space="0" w:color="auto"/>
        <w:right w:val="none" w:sz="0" w:space="0" w:color="auto"/>
      </w:divBdr>
    </w:div>
    <w:div w:id="113211441">
      <w:bodyDiv w:val="1"/>
      <w:marLeft w:val="0"/>
      <w:marRight w:val="0"/>
      <w:marTop w:val="0"/>
      <w:marBottom w:val="0"/>
      <w:divBdr>
        <w:top w:val="none" w:sz="0" w:space="0" w:color="auto"/>
        <w:left w:val="none" w:sz="0" w:space="0" w:color="auto"/>
        <w:bottom w:val="none" w:sz="0" w:space="0" w:color="auto"/>
        <w:right w:val="none" w:sz="0" w:space="0" w:color="auto"/>
      </w:divBdr>
    </w:div>
    <w:div w:id="113254837">
      <w:bodyDiv w:val="1"/>
      <w:marLeft w:val="0"/>
      <w:marRight w:val="0"/>
      <w:marTop w:val="0"/>
      <w:marBottom w:val="0"/>
      <w:divBdr>
        <w:top w:val="none" w:sz="0" w:space="0" w:color="auto"/>
        <w:left w:val="none" w:sz="0" w:space="0" w:color="auto"/>
        <w:bottom w:val="none" w:sz="0" w:space="0" w:color="auto"/>
        <w:right w:val="none" w:sz="0" w:space="0" w:color="auto"/>
      </w:divBdr>
    </w:div>
    <w:div w:id="113444671">
      <w:bodyDiv w:val="1"/>
      <w:marLeft w:val="0"/>
      <w:marRight w:val="0"/>
      <w:marTop w:val="0"/>
      <w:marBottom w:val="0"/>
      <w:divBdr>
        <w:top w:val="none" w:sz="0" w:space="0" w:color="auto"/>
        <w:left w:val="none" w:sz="0" w:space="0" w:color="auto"/>
        <w:bottom w:val="none" w:sz="0" w:space="0" w:color="auto"/>
        <w:right w:val="none" w:sz="0" w:space="0" w:color="auto"/>
      </w:divBdr>
    </w:div>
    <w:div w:id="114714237">
      <w:bodyDiv w:val="1"/>
      <w:marLeft w:val="0"/>
      <w:marRight w:val="0"/>
      <w:marTop w:val="0"/>
      <w:marBottom w:val="0"/>
      <w:divBdr>
        <w:top w:val="none" w:sz="0" w:space="0" w:color="auto"/>
        <w:left w:val="none" w:sz="0" w:space="0" w:color="auto"/>
        <w:bottom w:val="none" w:sz="0" w:space="0" w:color="auto"/>
        <w:right w:val="none" w:sz="0" w:space="0" w:color="auto"/>
      </w:divBdr>
    </w:div>
    <w:div w:id="117067638">
      <w:bodyDiv w:val="1"/>
      <w:marLeft w:val="0"/>
      <w:marRight w:val="0"/>
      <w:marTop w:val="0"/>
      <w:marBottom w:val="0"/>
      <w:divBdr>
        <w:top w:val="none" w:sz="0" w:space="0" w:color="auto"/>
        <w:left w:val="none" w:sz="0" w:space="0" w:color="auto"/>
        <w:bottom w:val="none" w:sz="0" w:space="0" w:color="auto"/>
        <w:right w:val="none" w:sz="0" w:space="0" w:color="auto"/>
      </w:divBdr>
    </w:div>
    <w:div w:id="118424554">
      <w:bodyDiv w:val="1"/>
      <w:marLeft w:val="0"/>
      <w:marRight w:val="0"/>
      <w:marTop w:val="0"/>
      <w:marBottom w:val="0"/>
      <w:divBdr>
        <w:top w:val="none" w:sz="0" w:space="0" w:color="auto"/>
        <w:left w:val="none" w:sz="0" w:space="0" w:color="auto"/>
        <w:bottom w:val="none" w:sz="0" w:space="0" w:color="auto"/>
        <w:right w:val="none" w:sz="0" w:space="0" w:color="auto"/>
      </w:divBdr>
    </w:div>
    <w:div w:id="118767006">
      <w:bodyDiv w:val="1"/>
      <w:marLeft w:val="0"/>
      <w:marRight w:val="0"/>
      <w:marTop w:val="0"/>
      <w:marBottom w:val="0"/>
      <w:divBdr>
        <w:top w:val="none" w:sz="0" w:space="0" w:color="auto"/>
        <w:left w:val="none" w:sz="0" w:space="0" w:color="auto"/>
        <w:bottom w:val="none" w:sz="0" w:space="0" w:color="auto"/>
        <w:right w:val="none" w:sz="0" w:space="0" w:color="auto"/>
      </w:divBdr>
    </w:div>
    <w:div w:id="124278050">
      <w:bodyDiv w:val="1"/>
      <w:marLeft w:val="0"/>
      <w:marRight w:val="0"/>
      <w:marTop w:val="0"/>
      <w:marBottom w:val="0"/>
      <w:divBdr>
        <w:top w:val="none" w:sz="0" w:space="0" w:color="auto"/>
        <w:left w:val="none" w:sz="0" w:space="0" w:color="auto"/>
        <w:bottom w:val="none" w:sz="0" w:space="0" w:color="auto"/>
        <w:right w:val="none" w:sz="0" w:space="0" w:color="auto"/>
      </w:divBdr>
    </w:div>
    <w:div w:id="124978733">
      <w:bodyDiv w:val="1"/>
      <w:marLeft w:val="0"/>
      <w:marRight w:val="0"/>
      <w:marTop w:val="0"/>
      <w:marBottom w:val="0"/>
      <w:divBdr>
        <w:top w:val="none" w:sz="0" w:space="0" w:color="auto"/>
        <w:left w:val="none" w:sz="0" w:space="0" w:color="auto"/>
        <w:bottom w:val="none" w:sz="0" w:space="0" w:color="auto"/>
        <w:right w:val="none" w:sz="0" w:space="0" w:color="auto"/>
      </w:divBdr>
    </w:div>
    <w:div w:id="125583032">
      <w:bodyDiv w:val="1"/>
      <w:marLeft w:val="0"/>
      <w:marRight w:val="0"/>
      <w:marTop w:val="0"/>
      <w:marBottom w:val="0"/>
      <w:divBdr>
        <w:top w:val="none" w:sz="0" w:space="0" w:color="auto"/>
        <w:left w:val="none" w:sz="0" w:space="0" w:color="auto"/>
        <w:bottom w:val="none" w:sz="0" w:space="0" w:color="auto"/>
        <w:right w:val="none" w:sz="0" w:space="0" w:color="auto"/>
      </w:divBdr>
    </w:div>
    <w:div w:id="128671105">
      <w:bodyDiv w:val="1"/>
      <w:marLeft w:val="0"/>
      <w:marRight w:val="0"/>
      <w:marTop w:val="0"/>
      <w:marBottom w:val="0"/>
      <w:divBdr>
        <w:top w:val="none" w:sz="0" w:space="0" w:color="auto"/>
        <w:left w:val="none" w:sz="0" w:space="0" w:color="auto"/>
        <w:bottom w:val="none" w:sz="0" w:space="0" w:color="auto"/>
        <w:right w:val="none" w:sz="0" w:space="0" w:color="auto"/>
      </w:divBdr>
    </w:div>
    <w:div w:id="129326824">
      <w:bodyDiv w:val="1"/>
      <w:marLeft w:val="0"/>
      <w:marRight w:val="0"/>
      <w:marTop w:val="0"/>
      <w:marBottom w:val="0"/>
      <w:divBdr>
        <w:top w:val="none" w:sz="0" w:space="0" w:color="auto"/>
        <w:left w:val="none" w:sz="0" w:space="0" w:color="auto"/>
        <w:bottom w:val="none" w:sz="0" w:space="0" w:color="auto"/>
        <w:right w:val="none" w:sz="0" w:space="0" w:color="auto"/>
      </w:divBdr>
    </w:div>
    <w:div w:id="131218090">
      <w:bodyDiv w:val="1"/>
      <w:marLeft w:val="0"/>
      <w:marRight w:val="0"/>
      <w:marTop w:val="0"/>
      <w:marBottom w:val="0"/>
      <w:divBdr>
        <w:top w:val="none" w:sz="0" w:space="0" w:color="auto"/>
        <w:left w:val="none" w:sz="0" w:space="0" w:color="auto"/>
        <w:bottom w:val="none" w:sz="0" w:space="0" w:color="auto"/>
        <w:right w:val="none" w:sz="0" w:space="0" w:color="auto"/>
      </w:divBdr>
    </w:div>
    <w:div w:id="131798419">
      <w:bodyDiv w:val="1"/>
      <w:marLeft w:val="0"/>
      <w:marRight w:val="0"/>
      <w:marTop w:val="0"/>
      <w:marBottom w:val="0"/>
      <w:divBdr>
        <w:top w:val="none" w:sz="0" w:space="0" w:color="auto"/>
        <w:left w:val="none" w:sz="0" w:space="0" w:color="auto"/>
        <w:bottom w:val="none" w:sz="0" w:space="0" w:color="auto"/>
        <w:right w:val="none" w:sz="0" w:space="0" w:color="auto"/>
      </w:divBdr>
    </w:div>
    <w:div w:id="131945499">
      <w:bodyDiv w:val="1"/>
      <w:marLeft w:val="0"/>
      <w:marRight w:val="0"/>
      <w:marTop w:val="0"/>
      <w:marBottom w:val="0"/>
      <w:divBdr>
        <w:top w:val="none" w:sz="0" w:space="0" w:color="auto"/>
        <w:left w:val="none" w:sz="0" w:space="0" w:color="auto"/>
        <w:bottom w:val="none" w:sz="0" w:space="0" w:color="auto"/>
        <w:right w:val="none" w:sz="0" w:space="0" w:color="auto"/>
      </w:divBdr>
    </w:div>
    <w:div w:id="132719074">
      <w:bodyDiv w:val="1"/>
      <w:marLeft w:val="0"/>
      <w:marRight w:val="0"/>
      <w:marTop w:val="0"/>
      <w:marBottom w:val="0"/>
      <w:divBdr>
        <w:top w:val="none" w:sz="0" w:space="0" w:color="auto"/>
        <w:left w:val="none" w:sz="0" w:space="0" w:color="auto"/>
        <w:bottom w:val="none" w:sz="0" w:space="0" w:color="auto"/>
        <w:right w:val="none" w:sz="0" w:space="0" w:color="auto"/>
      </w:divBdr>
    </w:div>
    <w:div w:id="134639004">
      <w:bodyDiv w:val="1"/>
      <w:marLeft w:val="0"/>
      <w:marRight w:val="0"/>
      <w:marTop w:val="0"/>
      <w:marBottom w:val="0"/>
      <w:divBdr>
        <w:top w:val="none" w:sz="0" w:space="0" w:color="auto"/>
        <w:left w:val="none" w:sz="0" w:space="0" w:color="auto"/>
        <w:bottom w:val="none" w:sz="0" w:space="0" w:color="auto"/>
        <w:right w:val="none" w:sz="0" w:space="0" w:color="auto"/>
      </w:divBdr>
    </w:div>
    <w:div w:id="134687237">
      <w:bodyDiv w:val="1"/>
      <w:marLeft w:val="0"/>
      <w:marRight w:val="0"/>
      <w:marTop w:val="0"/>
      <w:marBottom w:val="0"/>
      <w:divBdr>
        <w:top w:val="none" w:sz="0" w:space="0" w:color="auto"/>
        <w:left w:val="none" w:sz="0" w:space="0" w:color="auto"/>
        <w:bottom w:val="none" w:sz="0" w:space="0" w:color="auto"/>
        <w:right w:val="none" w:sz="0" w:space="0" w:color="auto"/>
      </w:divBdr>
    </w:div>
    <w:div w:id="135295538">
      <w:bodyDiv w:val="1"/>
      <w:marLeft w:val="0"/>
      <w:marRight w:val="0"/>
      <w:marTop w:val="0"/>
      <w:marBottom w:val="0"/>
      <w:divBdr>
        <w:top w:val="none" w:sz="0" w:space="0" w:color="auto"/>
        <w:left w:val="none" w:sz="0" w:space="0" w:color="auto"/>
        <w:bottom w:val="none" w:sz="0" w:space="0" w:color="auto"/>
        <w:right w:val="none" w:sz="0" w:space="0" w:color="auto"/>
      </w:divBdr>
    </w:div>
    <w:div w:id="135951758">
      <w:bodyDiv w:val="1"/>
      <w:marLeft w:val="0"/>
      <w:marRight w:val="0"/>
      <w:marTop w:val="0"/>
      <w:marBottom w:val="0"/>
      <w:divBdr>
        <w:top w:val="none" w:sz="0" w:space="0" w:color="auto"/>
        <w:left w:val="none" w:sz="0" w:space="0" w:color="auto"/>
        <w:bottom w:val="none" w:sz="0" w:space="0" w:color="auto"/>
        <w:right w:val="none" w:sz="0" w:space="0" w:color="auto"/>
      </w:divBdr>
    </w:div>
    <w:div w:id="136919681">
      <w:bodyDiv w:val="1"/>
      <w:marLeft w:val="0"/>
      <w:marRight w:val="0"/>
      <w:marTop w:val="0"/>
      <w:marBottom w:val="0"/>
      <w:divBdr>
        <w:top w:val="none" w:sz="0" w:space="0" w:color="auto"/>
        <w:left w:val="none" w:sz="0" w:space="0" w:color="auto"/>
        <w:bottom w:val="none" w:sz="0" w:space="0" w:color="auto"/>
        <w:right w:val="none" w:sz="0" w:space="0" w:color="auto"/>
      </w:divBdr>
    </w:div>
    <w:div w:id="138688094">
      <w:bodyDiv w:val="1"/>
      <w:marLeft w:val="0"/>
      <w:marRight w:val="0"/>
      <w:marTop w:val="0"/>
      <w:marBottom w:val="0"/>
      <w:divBdr>
        <w:top w:val="none" w:sz="0" w:space="0" w:color="auto"/>
        <w:left w:val="none" w:sz="0" w:space="0" w:color="auto"/>
        <w:bottom w:val="none" w:sz="0" w:space="0" w:color="auto"/>
        <w:right w:val="none" w:sz="0" w:space="0" w:color="auto"/>
      </w:divBdr>
    </w:div>
    <w:div w:id="138766247">
      <w:bodyDiv w:val="1"/>
      <w:marLeft w:val="0"/>
      <w:marRight w:val="0"/>
      <w:marTop w:val="0"/>
      <w:marBottom w:val="0"/>
      <w:divBdr>
        <w:top w:val="none" w:sz="0" w:space="0" w:color="auto"/>
        <w:left w:val="none" w:sz="0" w:space="0" w:color="auto"/>
        <w:bottom w:val="none" w:sz="0" w:space="0" w:color="auto"/>
        <w:right w:val="none" w:sz="0" w:space="0" w:color="auto"/>
      </w:divBdr>
    </w:div>
    <w:div w:id="139881994">
      <w:bodyDiv w:val="1"/>
      <w:marLeft w:val="0"/>
      <w:marRight w:val="0"/>
      <w:marTop w:val="0"/>
      <w:marBottom w:val="0"/>
      <w:divBdr>
        <w:top w:val="none" w:sz="0" w:space="0" w:color="auto"/>
        <w:left w:val="none" w:sz="0" w:space="0" w:color="auto"/>
        <w:bottom w:val="none" w:sz="0" w:space="0" w:color="auto"/>
        <w:right w:val="none" w:sz="0" w:space="0" w:color="auto"/>
      </w:divBdr>
    </w:div>
    <w:div w:id="140274813">
      <w:bodyDiv w:val="1"/>
      <w:marLeft w:val="0"/>
      <w:marRight w:val="0"/>
      <w:marTop w:val="0"/>
      <w:marBottom w:val="0"/>
      <w:divBdr>
        <w:top w:val="none" w:sz="0" w:space="0" w:color="auto"/>
        <w:left w:val="none" w:sz="0" w:space="0" w:color="auto"/>
        <w:bottom w:val="none" w:sz="0" w:space="0" w:color="auto"/>
        <w:right w:val="none" w:sz="0" w:space="0" w:color="auto"/>
      </w:divBdr>
    </w:div>
    <w:div w:id="140318736">
      <w:bodyDiv w:val="1"/>
      <w:marLeft w:val="0"/>
      <w:marRight w:val="0"/>
      <w:marTop w:val="0"/>
      <w:marBottom w:val="0"/>
      <w:divBdr>
        <w:top w:val="none" w:sz="0" w:space="0" w:color="auto"/>
        <w:left w:val="none" w:sz="0" w:space="0" w:color="auto"/>
        <w:bottom w:val="none" w:sz="0" w:space="0" w:color="auto"/>
        <w:right w:val="none" w:sz="0" w:space="0" w:color="auto"/>
      </w:divBdr>
    </w:div>
    <w:div w:id="143011905">
      <w:bodyDiv w:val="1"/>
      <w:marLeft w:val="0"/>
      <w:marRight w:val="0"/>
      <w:marTop w:val="0"/>
      <w:marBottom w:val="0"/>
      <w:divBdr>
        <w:top w:val="none" w:sz="0" w:space="0" w:color="auto"/>
        <w:left w:val="none" w:sz="0" w:space="0" w:color="auto"/>
        <w:bottom w:val="none" w:sz="0" w:space="0" w:color="auto"/>
        <w:right w:val="none" w:sz="0" w:space="0" w:color="auto"/>
      </w:divBdr>
    </w:div>
    <w:div w:id="145441828">
      <w:bodyDiv w:val="1"/>
      <w:marLeft w:val="0"/>
      <w:marRight w:val="0"/>
      <w:marTop w:val="0"/>
      <w:marBottom w:val="0"/>
      <w:divBdr>
        <w:top w:val="none" w:sz="0" w:space="0" w:color="auto"/>
        <w:left w:val="none" w:sz="0" w:space="0" w:color="auto"/>
        <w:bottom w:val="none" w:sz="0" w:space="0" w:color="auto"/>
        <w:right w:val="none" w:sz="0" w:space="0" w:color="auto"/>
      </w:divBdr>
    </w:div>
    <w:div w:id="145442618">
      <w:bodyDiv w:val="1"/>
      <w:marLeft w:val="0"/>
      <w:marRight w:val="0"/>
      <w:marTop w:val="0"/>
      <w:marBottom w:val="0"/>
      <w:divBdr>
        <w:top w:val="none" w:sz="0" w:space="0" w:color="auto"/>
        <w:left w:val="none" w:sz="0" w:space="0" w:color="auto"/>
        <w:bottom w:val="none" w:sz="0" w:space="0" w:color="auto"/>
        <w:right w:val="none" w:sz="0" w:space="0" w:color="auto"/>
      </w:divBdr>
    </w:div>
    <w:div w:id="146635613">
      <w:bodyDiv w:val="1"/>
      <w:marLeft w:val="0"/>
      <w:marRight w:val="0"/>
      <w:marTop w:val="0"/>
      <w:marBottom w:val="0"/>
      <w:divBdr>
        <w:top w:val="none" w:sz="0" w:space="0" w:color="auto"/>
        <w:left w:val="none" w:sz="0" w:space="0" w:color="auto"/>
        <w:bottom w:val="none" w:sz="0" w:space="0" w:color="auto"/>
        <w:right w:val="none" w:sz="0" w:space="0" w:color="auto"/>
      </w:divBdr>
    </w:div>
    <w:div w:id="147484329">
      <w:bodyDiv w:val="1"/>
      <w:marLeft w:val="0"/>
      <w:marRight w:val="0"/>
      <w:marTop w:val="0"/>
      <w:marBottom w:val="0"/>
      <w:divBdr>
        <w:top w:val="none" w:sz="0" w:space="0" w:color="auto"/>
        <w:left w:val="none" w:sz="0" w:space="0" w:color="auto"/>
        <w:bottom w:val="none" w:sz="0" w:space="0" w:color="auto"/>
        <w:right w:val="none" w:sz="0" w:space="0" w:color="auto"/>
      </w:divBdr>
    </w:div>
    <w:div w:id="147526993">
      <w:bodyDiv w:val="1"/>
      <w:marLeft w:val="0"/>
      <w:marRight w:val="0"/>
      <w:marTop w:val="0"/>
      <w:marBottom w:val="0"/>
      <w:divBdr>
        <w:top w:val="none" w:sz="0" w:space="0" w:color="auto"/>
        <w:left w:val="none" w:sz="0" w:space="0" w:color="auto"/>
        <w:bottom w:val="none" w:sz="0" w:space="0" w:color="auto"/>
        <w:right w:val="none" w:sz="0" w:space="0" w:color="auto"/>
      </w:divBdr>
    </w:div>
    <w:div w:id="151525065">
      <w:bodyDiv w:val="1"/>
      <w:marLeft w:val="0"/>
      <w:marRight w:val="0"/>
      <w:marTop w:val="0"/>
      <w:marBottom w:val="0"/>
      <w:divBdr>
        <w:top w:val="none" w:sz="0" w:space="0" w:color="auto"/>
        <w:left w:val="none" w:sz="0" w:space="0" w:color="auto"/>
        <w:bottom w:val="none" w:sz="0" w:space="0" w:color="auto"/>
        <w:right w:val="none" w:sz="0" w:space="0" w:color="auto"/>
      </w:divBdr>
    </w:div>
    <w:div w:id="153180980">
      <w:bodyDiv w:val="1"/>
      <w:marLeft w:val="0"/>
      <w:marRight w:val="0"/>
      <w:marTop w:val="0"/>
      <w:marBottom w:val="0"/>
      <w:divBdr>
        <w:top w:val="none" w:sz="0" w:space="0" w:color="auto"/>
        <w:left w:val="none" w:sz="0" w:space="0" w:color="auto"/>
        <w:bottom w:val="none" w:sz="0" w:space="0" w:color="auto"/>
        <w:right w:val="none" w:sz="0" w:space="0" w:color="auto"/>
      </w:divBdr>
    </w:div>
    <w:div w:id="153380057">
      <w:bodyDiv w:val="1"/>
      <w:marLeft w:val="0"/>
      <w:marRight w:val="0"/>
      <w:marTop w:val="0"/>
      <w:marBottom w:val="0"/>
      <w:divBdr>
        <w:top w:val="none" w:sz="0" w:space="0" w:color="auto"/>
        <w:left w:val="none" w:sz="0" w:space="0" w:color="auto"/>
        <w:bottom w:val="none" w:sz="0" w:space="0" w:color="auto"/>
        <w:right w:val="none" w:sz="0" w:space="0" w:color="auto"/>
      </w:divBdr>
    </w:div>
    <w:div w:id="153880687">
      <w:bodyDiv w:val="1"/>
      <w:marLeft w:val="0"/>
      <w:marRight w:val="0"/>
      <w:marTop w:val="0"/>
      <w:marBottom w:val="0"/>
      <w:divBdr>
        <w:top w:val="none" w:sz="0" w:space="0" w:color="auto"/>
        <w:left w:val="none" w:sz="0" w:space="0" w:color="auto"/>
        <w:bottom w:val="none" w:sz="0" w:space="0" w:color="auto"/>
        <w:right w:val="none" w:sz="0" w:space="0" w:color="auto"/>
      </w:divBdr>
    </w:div>
    <w:div w:id="154610883">
      <w:bodyDiv w:val="1"/>
      <w:marLeft w:val="0"/>
      <w:marRight w:val="0"/>
      <w:marTop w:val="0"/>
      <w:marBottom w:val="0"/>
      <w:divBdr>
        <w:top w:val="none" w:sz="0" w:space="0" w:color="auto"/>
        <w:left w:val="none" w:sz="0" w:space="0" w:color="auto"/>
        <w:bottom w:val="none" w:sz="0" w:space="0" w:color="auto"/>
        <w:right w:val="none" w:sz="0" w:space="0" w:color="auto"/>
      </w:divBdr>
    </w:div>
    <w:div w:id="154996959">
      <w:bodyDiv w:val="1"/>
      <w:marLeft w:val="0"/>
      <w:marRight w:val="0"/>
      <w:marTop w:val="0"/>
      <w:marBottom w:val="0"/>
      <w:divBdr>
        <w:top w:val="none" w:sz="0" w:space="0" w:color="auto"/>
        <w:left w:val="none" w:sz="0" w:space="0" w:color="auto"/>
        <w:bottom w:val="none" w:sz="0" w:space="0" w:color="auto"/>
        <w:right w:val="none" w:sz="0" w:space="0" w:color="auto"/>
      </w:divBdr>
    </w:div>
    <w:div w:id="155537304">
      <w:bodyDiv w:val="1"/>
      <w:marLeft w:val="0"/>
      <w:marRight w:val="0"/>
      <w:marTop w:val="0"/>
      <w:marBottom w:val="0"/>
      <w:divBdr>
        <w:top w:val="none" w:sz="0" w:space="0" w:color="auto"/>
        <w:left w:val="none" w:sz="0" w:space="0" w:color="auto"/>
        <w:bottom w:val="none" w:sz="0" w:space="0" w:color="auto"/>
        <w:right w:val="none" w:sz="0" w:space="0" w:color="auto"/>
      </w:divBdr>
    </w:div>
    <w:div w:id="157430420">
      <w:bodyDiv w:val="1"/>
      <w:marLeft w:val="0"/>
      <w:marRight w:val="0"/>
      <w:marTop w:val="0"/>
      <w:marBottom w:val="0"/>
      <w:divBdr>
        <w:top w:val="none" w:sz="0" w:space="0" w:color="auto"/>
        <w:left w:val="none" w:sz="0" w:space="0" w:color="auto"/>
        <w:bottom w:val="none" w:sz="0" w:space="0" w:color="auto"/>
        <w:right w:val="none" w:sz="0" w:space="0" w:color="auto"/>
      </w:divBdr>
    </w:div>
    <w:div w:id="158623174">
      <w:bodyDiv w:val="1"/>
      <w:marLeft w:val="0"/>
      <w:marRight w:val="0"/>
      <w:marTop w:val="0"/>
      <w:marBottom w:val="0"/>
      <w:divBdr>
        <w:top w:val="none" w:sz="0" w:space="0" w:color="auto"/>
        <w:left w:val="none" w:sz="0" w:space="0" w:color="auto"/>
        <w:bottom w:val="none" w:sz="0" w:space="0" w:color="auto"/>
        <w:right w:val="none" w:sz="0" w:space="0" w:color="auto"/>
      </w:divBdr>
    </w:div>
    <w:div w:id="160512218">
      <w:bodyDiv w:val="1"/>
      <w:marLeft w:val="0"/>
      <w:marRight w:val="0"/>
      <w:marTop w:val="0"/>
      <w:marBottom w:val="0"/>
      <w:divBdr>
        <w:top w:val="none" w:sz="0" w:space="0" w:color="auto"/>
        <w:left w:val="none" w:sz="0" w:space="0" w:color="auto"/>
        <w:bottom w:val="none" w:sz="0" w:space="0" w:color="auto"/>
        <w:right w:val="none" w:sz="0" w:space="0" w:color="auto"/>
      </w:divBdr>
    </w:div>
    <w:div w:id="160657793">
      <w:bodyDiv w:val="1"/>
      <w:marLeft w:val="0"/>
      <w:marRight w:val="0"/>
      <w:marTop w:val="0"/>
      <w:marBottom w:val="0"/>
      <w:divBdr>
        <w:top w:val="none" w:sz="0" w:space="0" w:color="auto"/>
        <w:left w:val="none" w:sz="0" w:space="0" w:color="auto"/>
        <w:bottom w:val="none" w:sz="0" w:space="0" w:color="auto"/>
        <w:right w:val="none" w:sz="0" w:space="0" w:color="auto"/>
      </w:divBdr>
    </w:div>
    <w:div w:id="160780031">
      <w:bodyDiv w:val="1"/>
      <w:marLeft w:val="0"/>
      <w:marRight w:val="0"/>
      <w:marTop w:val="0"/>
      <w:marBottom w:val="0"/>
      <w:divBdr>
        <w:top w:val="none" w:sz="0" w:space="0" w:color="auto"/>
        <w:left w:val="none" w:sz="0" w:space="0" w:color="auto"/>
        <w:bottom w:val="none" w:sz="0" w:space="0" w:color="auto"/>
        <w:right w:val="none" w:sz="0" w:space="0" w:color="auto"/>
      </w:divBdr>
    </w:div>
    <w:div w:id="162094150">
      <w:bodyDiv w:val="1"/>
      <w:marLeft w:val="0"/>
      <w:marRight w:val="0"/>
      <w:marTop w:val="0"/>
      <w:marBottom w:val="0"/>
      <w:divBdr>
        <w:top w:val="none" w:sz="0" w:space="0" w:color="auto"/>
        <w:left w:val="none" w:sz="0" w:space="0" w:color="auto"/>
        <w:bottom w:val="none" w:sz="0" w:space="0" w:color="auto"/>
        <w:right w:val="none" w:sz="0" w:space="0" w:color="auto"/>
      </w:divBdr>
    </w:div>
    <w:div w:id="165218925">
      <w:bodyDiv w:val="1"/>
      <w:marLeft w:val="0"/>
      <w:marRight w:val="0"/>
      <w:marTop w:val="0"/>
      <w:marBottom w:val="0"/>
      <w:divBdr>
        <w:top w:val="none" w:sz="0" w:space="0" w:color="auto"/>
        <w:left w:val="none" w:sz="0" w:space="0" w:color="auto"/>
        <w:bottom w:val="none" w:sz="0" w:space="0" w:color="auto"/>
        <w:right w:val="none" w:sz="0" w:space="0" w:color="auto"/>
      </w:divBdr>
    </w:div>
    <w:div w:id="167332300">
      <w:bodyDiv w:val="1"/>
      <w:marLeft w:val="0"/>
      <w:marRight w:val="0"/>
      <w:marTop w:val="0"/>
      <w:marBottom w:val="0"/>
      <w:divBdr>
        <w:top w:val="none" w:sz="0" w:space="0" w:color="auto"/>
        <w:left w:val="none" w:sz="0" w:space="0" w:color="auto"/>
        <w:bottom w:val="none" w:sz="0" w:space="0" w:color="auto"/>
        <w:right w:val="none" w:sz="0" w:space="0" w:color="auto"/>
      </w:divBdr>
    </w:div>
    <w:div w:id="167644461">
      <w:bodyDiv w:val="1"/>
      <w:marLeft w:val="0"/>
      <w:marRight w:val="0"/>
      <w:marTop w:val="0"/>
      <w:marBottom w:val="0"/>
      <w:divBdr>
        <w:top w:val="none" w:sz="0" w:space="0" w:color="auto"/>
        <w:left w:val="none" w:sz="0" w:space="0" w:color="auto"/>
        <w:bottom w:val="none" w:sz="0" w:space="0" w:color="auto"/>
        <w:right w:val="none" w:sz="0" w:space="0" w:color="auto"/>
      </w:divBdr>
    </w:div>
    <w:div w:id="177087905">
      <w:bodyDiv w:val="1"/>
      <w:marLeft w:val="0"/>
      <w:marRight w:val="0"/>
      <w:marTop w:val="0"/>
      <w:marBottom w:val="0"/>
      <w:divBdr>
        <w:top w:val="none" w:sz="0" w:space="0" w:color="auto"/>
        <w:left w:val="none" w:sz="0" w:space="0" w:color="auto"/>
        <w:bottom w:val="none" w:sz="0" w:space="0" w:color="auto"/>
        <w:right w:val="none" w:sz="0" w:space="0" w:color="auto"/>
      </w:divBdr>
    </w:div>
    <w:div w:id="183134058">
      <w:bodyDiv w:val="1"/>
      <w:marLeft w:val="0"/>
      <w:marRight w:val="0"/>
      <w:marTop w:val="0"/>
      <w:marBottom w:val="0"/>
      <w:divBdr>
        <w:top w:val="none" w:sz="0" w:space="0" w:color="auto"/>
        <w:left w:val="none" w:sz="0" w:space="0" w:color="auto"/>
        <w:bottom w:val="none" w:sz="0" w:space="0" w:color="auto"/>
        <w:right w:val="none" w:sz="0" w:space="0" w:color="auto"/>
      </w:divBdr>
    </w:div>
    <w:div w:id="183597830">
      <w:bodyDiv w:val="1"/>
      <w:marLeft w:val="0"/>
      <w:marRight w:val="0"/>
      <w:marTop w:val="0"/>
      <w:marBottom w:val="0"/>
      <w:divBdr>
        <w:top w:val="none" w:sz="0" w:space="0" w:color="auto"/>
        <w:left w:val="none" w:sz="0" w:space="0" w:color="auto"/>
        <w:bottom w:val="none" w:sz="0" w:space="0" w:color="auto"/>
        <w:right w:val="none" w:sz="0" w:space="0" w:color="auto"/>
      </w:divBdr>
    </w:div>
    <w:div w:id="185486448">
      <w:bodyDiv w:val="1"/>
      <w:marLeft w:val="0"/>
      <w:marRight w:val="0"/>
      <w:marTop w:val="0"/>
      <w:marBottom w:val="0"/>
      <w:divBdr>
        <w:top w:val="none" w:sz="0" w:space="0" w:color="auto"/>
        <w:left w:val="none" w:sz="0" w:space="0" w:color="auto"/>
        <w:bottom w:val="none" w:sz="0" w:space="0" w:color="auto"/>
        <w:right w:val="none" w:sz="0" w:space="0" w:color="auto"/>
      </w:divBdr>
    </w:div>
    <w:div w:id="185559451">
      <w:bodyDiv w:val="1"/>
      <w:marLeft w:val="0"/>
      <w:marRight w:val="0"/>
      <w:marTop w:val="0"/>
      <w:marBottom w:val="0"/>
      <w:divBdr>
        <w:top w:val="none" w:sz="0" w:space="0" w:color="auto"/>
        <w:left w:val="none" w:sz="0" w:space="0" w:color="auto"/>
        <w:bottom w:val="none" w:sz="0" w:space="0" w:color="auto"/>
        <w:right w:val="none" w:sz="0" w:space="0" w:color="auto"/>
      </w:divBdr>
    </w:div>
    <w:div w:id="186137306">
      <w:bodyDiv w:val="1"/>
      <w:marLeft w:val="0"/>
      <w:marRight w:val="0"/>
      <w:marTop w:val="0"/>
      <w:marBottom w:val="0"/>
      <w:divBdr>
        <w:top w:val="none" w:sz="0" w:space="0" w:color="auto"/>
        <w:left w:val="none" w:sz="0" w:space="0" w:color="auto"/>
        <w:bottom w:val="none" w:sz="0" w:space="0" w:color="auto"/>
        <w:right w:val="none" w:sz="0" w:space="0" w:color="auto"/>
      </w:divBdr>
    </w:div>
    <w:div w:id="186409794">
      <w:bodyDiv w:val="1"/>
      <w:marLeft w:val="0"/>
      <w:marRight w:val="0"/>
      <w:marTop w:val="0"/>
      <w:marBottom w:val="0"/>
      <w:divBdr>
        <w:top w:val="none" w:sz="0" w:space="0" w:color="auto"/>
        <w:left w:val="none" w:sz="0" w:space="0" w:color="auto"/>
        <w:bottom w:val="none" w:sz="0" w:space="0" w:color="auto"/>
        <w:right w:val="none" w:sz="0" w:space="0" w:color="auto"/>
      </w:divBdr>
    </w:div>
    <w:div w:id="186909451">
      <w:bodyDiv w:val="1"/>
      <w:marLeft w:val="0"/>
      <w:marRight w:val="0"/>
      <w:marTop w:val="0"/>
      <w:marBottom w:val="0"/>
      <w:divBdr>
        <w:top w:val="none" w:sz="0" w:space="0" w:color="auto"/>
        <w:left w:val="none" w:sz="0" w:space="0" w:color="auto"/>
        <w:bottom w:val="none" w:sz="0" w:space="0" w:color="auto"/>
        <w:right w:val="none" w:sz="0" w:space="0" w:color="auto"/>
      </w:divBdr>
    </w:div>
    <w:div w:id="187376768">
      <w:bodyDiv w:val="1"/>
      <w:marLeft w:val="0"/>
      <w:marRight w:val="0"/>
      <w:marTop w:val="0"/>
      <w:marBottom w:val="0"/>
      <w:divBdr>
        <w:top w:val="none" w:sz="0" w:space="0" w:color="auto"/>
        <w:left w:val="none" w:sz="0" w:space="0" w:color="auto"/>
        <w:bottom w:val="none" w:sz="0" w:space="0" w:color="auto"/>
        <w:right w:val="none" w:sz="0" w:space="0" w:color="auto"/>
      </w:divBdr>
    </w:div>
    <w:div w:id="188761878">
      <w:bodyDiv w:val="1"/>
      <w:marLeft w:val="0"/>
      <w:marRight w:val="0"/>
      <w:marTop w:val="0"/>
      <w:marBottom w:val="0"/>
      <w:divBdr>
        <w:top w:val="none" w:sz="0" w:space="0" w:color="auto"/>
        <w:left w:val="none" w:sz="0" w:space="0" w:color="auto"/>
        <w:bottom w:val="none" w:sz="0" w:space="0" w:color="auto"/>
        <w:right w:val="none" w:sz="0" w:space="0" w:color="auto"/>
      </w:divBdr>
    </w:div>
    <w:div w:id="191579223">
      <w:bodyDiv w:val="1"/>
      <w:marLeft w:val="0"/>
      <w:marRight w:val="0"/>
      <w:marTop w:val="0"/>
      <w:marBottom w:val="0"/>
      <w:divBdr>
        <w:top w:val="none" w:sz="0" w:space="0" w:color="auto"/>
        <w:left w:val="none" w:sz="0" w:space="0" w:color="auto"/>
        <w:bottom w:val="none" w:sz="0" w:space="0" w:color="auto"/>
        <w:right w:val="none" w:sz="0" w:space="0" w:color="auto"/>
      </w:divBdr>
    </w:div>
    <w:div w:id="192429516">
      <w:bodyDiv w:val="1"/>
      <w:marLeft w:val="0"/>
      <w:marRight w:val="0"/>
      <w:marTop w:val="0"/>
      <w:marBottom w:val="0"/>
      <w:divBdr>
        <w:top w:val="none" w:sz="0" w:space="0" w:color="auto"/>
        <w:left w:val="none" w:sz="0" w:space="0" w:color="auto"/>
        <w:bottom w:val="none" w:sz="0" w:space="0" w:color="auto"/>
        <w:right w:val="none" w:sz="0" w:space="0" w:color="auto"/>
      </w:divBdr>
    </w:div>
    <w:div w:id="192886848">
      <w:bodyDiv w:val="1"/>
      <w:marLeft w:val="0"/>
      <w:marRight w:val="0"/>
      <w:marTop w:val="0"/>
      <w:marBottom w:val="0"/>
      <w:divBdr>
        <w:top w:val="none" w:sz="0" w:space="0" w:color="auto"/>
        <w:left w:val="none" w:sz="0" w:space="0" w:color="auto"/>
        <w:bottom w:val="none" w:sz="0" w:space="0" w:color="auto"/>
        <w:right w:val="none" w:sz="0" w:space="0" w:color="auto"/>
      </w:divBdr>
    </w:div>
    <w:div w:id="193465169">
      <w:bodyDiv w:val="1"/>
      <w:marLeft w:val="0"/>
      <w:marRight w:val="0"/>
      <w:marTop w:val="0"/>
      <w:marBottom w:val="0"/>
      <w:divBdr>
        <w:top w:val="none" w:sz="0" w:space="0" w:color="auto"/>
        <w:left w:val="none" w:sz="0" w:space="0" w:color="auto"/>
        <w:bottom w:val="none" w:sz="0" w:space="0" w:color="auto"/>
        <w:right w:val="none" w:sz="0" w:space="0" w:color="auto"/>
      </w:divBdr>
    </w:div>
    <w:div w:id="195511282">
      <w:bodyDiv w:val="1"/>
      <w:marLeft w:val="0"/>
      <w:marRight w:val="0"/>
      <w:marTop w:val="0"/>
      <w:marBottom w:val="0"/>
      <w:divBdr>
        <w:top w:val="none" w:sz="0" w:space="0" w:color="auto"/>
        <w:left w:val="none" w:sz="0" w:space="0" w:color="auto"/>
        <w:bottom w:val="none" w:sz="0" w:space="0" w:color="auto"/>
        <w:right w:val="none" w:sz="0" w:space="0" w:color="auto"/>
      </w:divBdr>
    </w:div>
    <w:div w:id="199053594">
      <w:bodyDiv w:val="1"/>
      <w:marLeft w:val="0"/>
      <w:marRight w:val="0"/>
      <w:marTop w:val="0"/>
      <w:marBottom w:val="0"/>
      <w:divBdr>
        <w:top w:val="none" w:sz="0" w:space="0" w:color="auto"/>
        <w:left w:val="none" w:sz="0" w:space="0" w:color="auto"/>
        <w:bottom w:val="none" w:sz="0" w:space="0" w:color="auto"/>
        <w:right w:val="none" w:sz="0" w:space="0" w:color="auto"/>
      </w:divBdr>
    </w:div>
    <w:div w:id="199361483">
      <w:bodyDiv w:val="1"/>
      <w:marLeft w:val="0"/>
      <w:marRight w:val="0"/>
      <w:marTop w:val="0"/>
      <w:marBottom w:val="0"/>
      <w:divBdr>
        <w:top w:val="none" w:sz="0" w:space="0" w:color="auto"/>
        <w:left w:val="none" w:sz="0" w:space="0" w:color="auto"/>
        <w:bottom w:val="none" w:sz="0" w:space="0" w:color="auto"/>
        <w:right w:val="none" w:sz="0" w:space="0" w:color="auto"/>
      </w:divBdr>
    </w:div>
    <w:div w:id="200097035">
      <w:bodyDiv w:val="1"/>
      <w:marLeft w:val="0"/>
      <w:marRight w:val="0"/>
      <w:marTop w:val="0"/>
      <w:marBottom w:val="0"/>
      <w:divBdr>
        <w:top w:val="none" w:sz="0" w:space="0" w:color="auto"/>
        <w:left w:val="none" w:sz="0" w:space="0" w:color="auto"/>
        <w:bottom w:val="none" w:sz="0" w:space="0" w:color="auto"/>
        <w:right w:val="none" w:sz="0" w:space="0" w:color="auto"/>
      </w:divBdr>
    </w:div>
    <w:div w:id="200438910">
      <w:bodyDiv w:val="1"/>
      <w:marLeft w:val="0"/>
      <w:marRight w:val="0"/>
      <w:marTop w:val="0"/>
      <w:marBottom w:val="0"/>
      <w:divBdr>
        <w:top w:val="none" w:sz="0" w:space="0" w:color="auto"/>
        <w:left w:val="none" w:sz="0" w:space="0" w:color="auto"/>
        <w:bottom w:val="none" w:sz="0" w:space="0" w:color="auto"/>
        <w:right w:val="none" w:sz="0" w:space="0" w:color="auto"/>
      </w:divBdr>
    </w:div>
    <w:div w:id="202522381">
      <w:bodyDiv w:val="1"/>
      <w:marLeft w:val="0"/>
      <w:marRight w:val="0"/>
      <w:marTop w:val="0"/>
      <w:marBottom w:val="0"/>
      <w:divBdr>
        <w:top w:val="none" w:sz="0" w:space="0" w:color="auto"/>
        <w:left w:val="none" w:sz="0" w:space="0" w:color="auto"/>
        <w:bottom w:val="none" w:sz="0" w:space="0" w:color="auto"/>
        <w:right w:val="none" w:sz="0" w:space="0" w:color="auto"/>
      </w:divBdr>
    </w:div>
    <w:div w:id="203561212">
      <w:bodyDiv w:val="1"/>
      <w:marLeft w:val="0"/>
      <w:marRight w:val="0"/>
      <w:marTop w:val="0"/>
      <w:marBottom w:val="0"/>
      <w:divBdr>
        <w:top w:val="none" w:sz="0" w:space="0" w:color="auto"/>
        <w:left w:val="none" w:sz="0" w:space="0" w:color="auto"/>
        <w:bottom w:val="none" w:sz="0" w:space="0" w:color="auto"/>
        <w:right w:val="none" w:sz="0" w:space="0" w:color="auto"/>
      </w:divBdr>
    </w:div>
    <w:div w:id="206376891">
      <w:bodyDiv w:val="1"/>
      <w:marLeft w:val="0"/>
      <w:marRight w:val="0"/>
      <w:marTop w:val="0"/>
      <w:marBottom w:val="0"/>
      <w:divBdr>
        <w:top w:val="none" w:sz="0" w:space="0" w:color="auto"/>
        <w:left w:val="none" w:sz="0" w:space="0" w:color="auto"/>
        <w:bottom w:val="none" w:sz="0" w:space="0" w:color="auto"/>
        <w:right w:val="none" w:sz="0" w:space="0" w:color="auto"/>
      </w:divBdr>
    </w:div>
    <w:div w:id="206381563">
      <w:bodyDiv w:val="1"/>
      <w:marLeft w:val="0"/>
      <w:marRight w:val="0"/>
      <w:marTop w:val="0"/>
      <w:marBottom w:val="0"/>
      <w:divBdr>
        <w:top w:val="none" w:sz="0" w:space="0" w:color="auto"/>
        <w:left w:val="none" w:sz="0" w:space="0" w:color="auto"/>
        <w:bottom w:val="none" w:sz="0" w:space="0" w:color="auto"/>
        <w:right w:val="none" w:sz="0" w:space="0" w:color="auto"/>
      </w:divBdr>
    </w:div>
    <w:div w:id="208106243">
      <w:bodyDiv w:val="1"/>
      <w:marLeft w:val="0"/>
      <w:marRight w:val="0"/>
      <w:marTop w:val="0"/>
      <w:marBottom w:val="0"/>
      <w:divBdr>
        <w:top w:val="none" w:sz="0" w:space="0" w:color="auto"/>
        <w:left w:val="none" w:sz="0" w:space="0" w:color="auto"/>
        <w:bottom w:val="none" w:sz="0" w:space="0" w:color="auto"/>
        <w:right w:val="none" w:sz="0" w:space="0" w:color="auto"/>
      </w:divBdr>
    </w:div>
    <w:div w:id="208420830">
      <w:bodyDiv w:val="1"/>
      <w:marLeft w:val="0"/>
      <w:marRight w:val="0"/>
      <w:marTop w:val="0"/>
      <w:marBottom w:val="0"/>
      <w:divBdr>
        <w:top w:val="none" w:sz="0" w:space="0" w:color="auto"/>
        <w:left w:val="none" w:sz="0" w:space="0" w:color="auto"/>
        <w:bottom w:val="none" w:sz="0" w:space="0" w:color="auto"/>
        <w:right w:val="none" w:sz="0" w:space="0" w:color="auto"/>
      </w:divBdr>
    </w:div>
    <w:div w:id="208686547">
      <w:bodyDiv w:val="1"/>
      <w:marLeft w:val="0"/>
      <w:marRight w:val="0"/>
      <w:marTop w:val="0"/>
      <w:marBottom w:val="0"/>
      <w:divBdr>
        <w:top w:val="none" w:sz="0" w:space="0" w:color="auto"/>
        <w:left w:val="none" w:sz="0" w:space="0" w:color="auto"/>
        <w:bottom w:val="none" w:sz="0" w:space="0" w:color="auto"/>
        <w:right w:val="none" w:sz="0" w:space="0" w:color="auto"/>
      </w:divBdr>
    </w:div>
    <w:div w:id="209417448">
      <w:bodyDiv w:val="1"/>
      <w:marLeft w:val="0"/>
      <w:marRight w:val="0"/>
      <w:marTop w:val="0"/>
      <w:marBottom w:val="0"/>
      <w:divBdr>
        <w:top w:val="none" w:sz="0" w:space="0" w:color="auto"/>
        <w:left w:val="none" w:sz="0" w:space="0" w:color="auto"/>
        <w:bottom w:val="none" w:sz="0" w:space="0" w:color="auto"/>
        <w:right w:val="none" w:sz="0" w:space="0" w:color="auto"/>
      </w:divBdr>
    </w:div>
    <w:div w:id="209927291">
      <w:bodyDiv w:val="1"/>
      <w:marLeft w:val="0"/>
      <w:marRight w:val="0"/>
      <w:marTop w:val="0"/>
      <w:marBottom w:val="0"/>
      <w:divBdr>
        <w:top w:val="none" w:sz="0" w:space="0" w:color="auto"/>
        <w:left w:val="none" w:sz="0" w:space="0" w:color="auto"/>
        <w:bottom w:val="none" w:sz="0" w:space="0" w:color="auto"/>
        <w:right w:val="none" w:sz="0" w:space="0" w:color="auto"/>
      </w:divBdr>
    </w:div>
    <w:div w:id="210072145">
      <w:bodyDiv w:val="1"/>
      <w:marLeft w:val="0"/>
      <w:marRight w:val="0"/>
      <w:marTop w:val="0"/>
      <w:marBottom w:val="0"/>
      <w:divBdr>
        <w:top w:val="none" w:sz="0" w:space="0" w:color="auto"/>
        <w:left w:val="none" w:sz="0" w:space="0" w:color="auto"/>
        <w:bottom w:val="none" w:sz="0" w:space="0" w:color="auto"/>
        <w:right w:val="none" w:sz="0" w:space="0" w:color="auto"/>
      </w:divBdr>
    </w:div>
    <w:div w:id="210845270">
      <w:bodyDiv w:val="1"/>
      <w:marLeft w:val="0"/>
      <w:marRight w:val="0"/>
      <w:marTop w:val="0"/>
      <w:marBottom w:val="0"/>
      <w:divBdr>
        <w:top w:val="none" w:sz="0" w:space="0" w:color="auto"/>
        <w:left w:val="none" w:sz="0" w:space="0" w:color="auto"/>
        <w:bottom w:val="none" w:sz="0" w:space="0" w:color="auto"/>
        <w:right w:val="none" w:sz="0" w:space="0" w:color="auto"/>
      </w:divBdr>
    </w:div>
    <w:div w:id="211162874">
      <w:bodyDiv w:val="1"/>
      <w:marLeft w:val="0"/>
      <w:marRight w:val="0"/>
      <w:marTop w:val="0"/>
      <w:marBottom w:val="0"/>
      <w:divBdr>
        <w:top w:val="none" w:sz="0" w:space="0" w:color="auto"/>
        <w:left w:val="none" w:sz="0" w:space="0" w:color="auto"/>
        <w:bottom w:val="none" w:sz="0" w:space="0" w:color="auto"/>
        <w:right w:val="none" w:sz="0" w:space="0" w:color="auto"/>
      </w:divBdr>
    </w:div>
    <w:div w:id="211813343">
      <w:bodyDiv w:val="1"/>
      <w:marLeft w:val="0"/>
      <w:marRight w:val="0"/>
      <w:marTop w:val="0"/>
      <w:marBottom w:val="0"/>
      <w:divBdr>
        <w:top w:val="none" w:sz="0" w:space="0" w:color="auto"/>
        <w:left w:val="none" w:sz="0" w:space="0" w:color="auto"/>
        <w:bottom w:val="none" w:sz="0" w:space="0" w:color="auto"/>
        <w:right w:val="none" w:sz="0" w:space="0" w:color="auto"/>
      </w:divBdr>
    </w:div>
    <w:div w:id="211889764">
      <w:bodyDiv w:val="1"/>
      <w:marLeft w:val="0"/>
      <w:marRight w:val="0"/>
      <w:marTop w:val="0"/>
      <w:marBottom w:val="0"/>
      <w:divBdr>
        <w:top w:val="none" w:sz="0" w:space="0" w:color="auto"/>
        <w:left w:val="none" w:sz="0" w:space="0" w:color="auto"/>
        <w:bottom w:val="none" w:sz="0" w:space="0" w:color="auto"/>
        <w:right w:val="none" w:sz="0" w:space="0" w:color="auto"/>
      </w:divBdr>
    </w:div>
    <w:div w:id="213080846">
      <w:bodyDiv w:val="1"/>
      <w:marLeft w:val="0"/>
      <w:marRight w:val="0"/>
      <w:marTop w:val="0"/>
      <w:marBottom w:val="0"/>
      <w:divBdr>
        <w:top w:val="none" w:sz="0" w:space="0" w:color="auto"/>
        <w:left w:val="none" w:sz="0" w:space="0" w:color="auto"/>
        <w:bottom w:val="none" w:sz="0" w:space="0" w:color="auto"/>
        <w:right w:val="none" w:sz="0" w:space="0" w:color="auto"/>
      </w:divBdr>
    </w:div>
    <w:div w:id="218175262">
      <w:bodyDiv w:val="1"/>
      <w:marLeft w:val="0"/>
      <w:marRight w:val="0"/>
      <w:marTop w:val="0"/>
      <w:marBottom w:val="0"/>
      <w:divBdr>
        <w:top w:val="none" w:sz="0" w:space="0" w:color="auto"/>
        <w:left w:val="none" w:sz="0" w:space="0" w:color="auto"/>
        <w:bottom w:val="none" w:sz="0" w:space="0" w:color="auto"/>
        <w:right w:val="none" w:sz="0" w:space="0" w:color="auto"/>
      </w:divBdr>
    </w:div>
    <w:div w:id="221912491">
      <w:bodyDiv w:val="1"/>
      <w:marLeft w:val="0"/>
      <w:marRight w:val="0"/>
      <w:marTop w:val="0"/>
      <w:marBottom w:val="0"/>
      <w:divBdr>
        <w:top w:val="none" w:sz="0" w:space="0" w:color="auto"/>
        <w:left w:val="none" w:sz="0" w:space="0" w:color="auto"/>
        <w:bottom w:val="none" w:sz="0" w:space="0" w:color="auto"/>
        <w:right w:val="none" w:sz="0" w:space="0" w:color="auto"/>
      </w:divBdr>
    </w:div>
    <w:div w:id="224026541">
      <w:bodyDiv w:val="1"/>
      <w:marLeft w:val="0"/>
      <w:marRight w:val="0"/>
      <w:marTop w:val="0"/>
      <w:marBottom w:val="0"/>
      <w:divBdr>
        <w:top w:val="none" w:sz="0" w:space="0" w:color="auto"/>
        <w:left w:val="none" w:sz="0" w:space="0" w:color="auto"/>
        <w:bottom w:val="none" w:sz="0" w:space="0" w:color="auto"/>
        <w:right w:val="none" w:sz="0" w:space="0" w:color="auto"/>
      </w:divBdr>
    </w:div>
    <w:div w:id="224921059">
      <w:bodyDiv w:val="1"/>
      <w:marLeft w:val="0"/>
      <w:marRight w:val="0"/>
      <w:marTop w:val="0"/>
      <w:marBottom w:val="0"/>
      <w:divBdr>
        <w:top w:val="none" w:sz="0" w:space="0" w:color="auto"/>
        <w:left w:val="none" w:sz="0" w:space="0" w:color="auto"/>
        <w:bottom w:val="none" w:sz="0" w:space="0" w:color="auto"/>
        <w:right w:val="none" w:sz="0" w:space="0" w:color="auto"/>
      </w:divBdr>
    </w:div>
    <w:div w:id="225650593">
      <w:bodyDiv w:val="1"/>
      <w:marLeft w:val="0"/>
      <w:marRight w:val="0"/>
      <w:marTop w:val="0"/>
      <w:marBottom w:val="0"/>
      <w:divBdr>
        <w:top w:val="none" w:sz="0" w:space="0" w:color="auto"/>
        <w:left w:val="none" w:sz="0" w:space="0" w:color="auto"/>
        <w:bottom w:val="none" w:sz="0" w:space="0" w:color="auto"/>
        <w:right w:val="none" w:sz="0" w:space="0" w:color="auto"/>
      </w:divBdr>
    </w:div>
    <w:div w:id="225799270">
      <w:bodyDiv w:val="1"/>
      <w:marLeft w:val="0"/>
      <w:marRight w:val="0"/>
      <w:marTop w:val="0"/>
      <w:marBottom w:val="0"/>
      <w:divBdr>
        <w:top w:val="none" w:sz="0" w:space="0" w:color="auto"/>
        <w:left w:val="none" w:sz="0" w:space="0" w:color="auto"/>
        <w:bottom w:val="none" w:sz="0" w:space="0" w:color="auto"/>
        <w:right w:val="none" w:sz="0" w:space="0" w:color="auto"/>
      </w:divBdr>
    </w:div>
    <w:div w:id="226378979">
      <w:bodyDiv w:val="1"/>
      <w:marLeft w:val="0"/>
      <w:marRight w:val="0"/>
      <w:marTop w:val="0"/>
      <w:marBottom w:val="0"/>
      <w:divBdr>
        <w:top w:val="none" w:sz="0" w:space="0" w:color="auto"/>
        <w:left w:val="none" w:sz="0" w:space="0" w:color="auto"/>
        <w:bottom w:val="none" w:sz="0" w:space="0" w:color="auto"/>
        <w:right w:val="none" w:sz="0" w:space="0" w:color="auto"/>
      </w:divBdr>
    </w:div>
    <w:div w:id="227153921">
      <w:bodyDiv w:val="1"/>
      <w:marLeft w:val="0"/>
      <w:marRight w:val="0"/>
      <w:marTop w:val="0"/>
      <w:marBottom w:val="0"/>
      <w:divBdr>
        <w:top w:val="none" w:sz="0" w:space="0" w:color="auto"/>
        <w:left w:val="none" w:sz="0" w:space="0" w:color="auto"/>
        <w:bottom w:val="none" w:sz="0" w:space="0" w:color="auto"/>
        <w:right w:val="none" w:sz="0" w:space="0" w:color="auto"/>
      </w:divBdr>
    </w:div>
    <w:div w:id="228346977">
      <w:bodyDiv w:val="1"/>
      <w:marLeft w:val="0"/>
      <w:marRight w:val="0"/>
      <w:marTop w:val="0"/>
      <w:marBottom w:val="0"/>
      <w:divBdr>
        <w:top w:val="none" w:sz="0" w:space="0" w:color="auto"/>
        <w:left w:val="none" w:sz="0" w:space="0" w:color="auto"/>
        <w:bottom w:val="none" w:sz="0" w:space="0" w:color="auto"/>
        <w:right w:val="none" w:sz="0" w:space="0" w:color="auto"/>
      </w:divBdr>
    </w:div>
    <w:div w:id="228393713">
      <w:bodyDiv w:val="1"/>
      <w:marLeft w:val="0"/>
      <w:marRight w:val="0"/>
      <w:marTop w:val="0"/>
      <w:marBottom w:val="0"/>
      <w:divBdr>
        <w:top w:val="none" w:sz="0" w:space="0" w:color="auto"/>
        <w:left w:val="none" w:sz="0" w:space="0" w:color="auto"/>
        <w:bottom w:val="none" w:sz="0" w:space="0" w:color="auto"/>
        <w:right w:val="none" w:sz="0" w:space="0" w:color="auto"/>
      </w:divBdr>
    </w:div>
    <w:div w:id="228732793">
      <w:bodyDiv w:val="1"/>
      <w:marLeft w:val="0"/>
      <w:marRight w:val="0"/>
      <w:marTop w:val="0"/>
      <w:marBottom w:val="0"/>
      <w:divBdr>
        <w:top w:val="none" w:sz="0" w:space="0" w:color="auto"/>
        <w:left w:val="none" w:sz="0" w:space="0" w:color="auto"/>
        <w:bottom w:val="none" w:sz="0" w:space="0" w:color="auto"/>
        <w:right w:val="none" w:sz="0" w:space="0" w:color="auto"/>
      </w:divBdr>
    </w:div>
    <w:div w:id="232352368">
      <w:bodyDiv w:val="1"/>
      <w:marLeft w:val="0"/>
      <w:marRight w:val="0"/>
      <w:marTop w:val="0"/>
      <w:marBottom w:val="0"/>
      <w:divBdr>
        <w:top w:val="none" w:sz="0" w:space="0" w:color="auto"/>
        <w:left w:val="none" w:sz="0" w:space="0" w:color="auto"/>
        <w:bottom w:val="none" w:sz="0" w:space="0" w:color="auto"/>
        <w:right w:val="none" w:sz="0" w:space="0" w:color="auto"/>
      </w:divBdr>
    </w:div>
    <w:div w:id="232787222">
      <w:bodyDiv w:val="1"/>
      <w:marLeft w:val="0"/>
      <w:marRight w:val="0"/>
      <w:marTop w:val="0"/>
      <w:marBottom w:val="0"/>
      <w:divBdr>
        <w:top w:val="none" w:sz="0" w:space="0" w:color="auto"/>
        <w:left w:val="none" w:sz="0" w:space="0" w:color="auto"/>
        <w:bottom w:val="none" w:sz="0" w:space="0" w:color="auto"/>
        <w:right w:val="none" w:sz="0" w:space="0" w:color="auto"/>
      </w:divBdr>
    </w:div>
    <w:div w:id="238440748">
      <w:bodyDiv w:val="1"/>
      <w:marLeft w:val="0"/>
      <w:marRight w:val="0"/>
      <w:marTop w:val="0"/>
      <w:marBottom w:val="0"/>
      <w:divBdr>
        <w:top w:val="none" w:sz="0" w:space="0" w:color="auto"/>
        <w:left w:val="none" w:sz="0" w:space="0" w:color="auto"/>
        <w:bottom w:val="none" w:sz="0" w:space="0" w:color="auto"/>
        <w:right w:val="none" w:sz="0" w:space="0" w:color="auto"/>
      </w:divBdr>
    </w:div>
    <w:div w:id="239565033">
      <w:bodyDiv w:val="1"/>
      <w:marLeft w:val="0"/>
      <w:marRight w:val="0"/>
      <w:marTop w:val="0"/>
      <w:marBottom w:val="0"/>
      <w:divBdr>
        <w:top w:val="none" w:sz="0" w:space="0" w:color="auto"/>
        <w:left w:val="none" w:sz="0" w:space="0" w:color="auto"/>
        <w:bottom w:val="none" w:sz="0" w:space="0" w:color="auto"/>
        <w:right w:val="none" w:sz="0" w:space="0" w:color="auto"/>
      </w:divBdr>
    </w:div>
    <w:div w:id="239874477">
      <w:bodyDiv w:val="1"/>
      <w:marLeft w:val="0"/>
      <w:marRight w:val="0"/>
      <w:marTop w:val="0"/>
      <w:marBottom w:val="0"/>
      <w:divBdr>
        <w:top w:val="none" w:sz="0" w:space="0" w:color="auto"/>
        <w:left w:val="none" w:sz="0" w:space="0" w:color="auto"/>
        <w:bottom w:val="none" w:sz="0" w:space="0" w:color="auto"/>
        <w:right w:val="none" w:sz="0" w:space="0" w:color="auto"/>
      </w:divBdr>
    </w:div>
    <w:div w:id="242689814">
      <w:bodyDiv w:val="1"/>
      <w:marLeft w:val="0"/>
      <w:marRight w:val="0"/>
      <w:marTop w:val="0"/>
      <w:marBottom w:val="0"/>
      <w:divBdr>
        <w:top w:val="none" w:sz="0" w:space="0" w:color="auto"/>
        <w:left w:val="none" w:sz="0" w:space="0" w:color="auto"/>
        <w:bottom w:val="none" w:sz="0" w:space="0" w:color="auto"/>
        <w:right w:val="none" w:sz="0" w:space="0" w:color="auto"/>
      </w:divBdr>
    </w:div>
    <w:div w:id="244189328">
      <w:bodyDiv w:val="1"/>
      <w:marLeft w:val="0"/>
      <w:marRight w:val="0"/>
      <w:marTop w:val="0"/>
      <w:marBottom w:val="0"/>
      <w:divBdr>
        <w:top w:val="none" w:sz="0" w:space="0" w:color="auto"/>
        <w:left w:val="none" w:sz="0" w:space="0" w:color="auto"/>
        <w:bottom w:val="none" w:sz="0" w:space="0" w:color="auto"/>
        <w:right w:val="none" w:sz="0" w:space="0" w:color="auto"/>
      </w:divBdr>
    </w:div>
    <w:div w:id="245651189">
      <w:bodyDiv w:val="1"/>
      <w:marLeft w:val="0"/>
      <w:marRight w:val="0"/>
      <w:marTop w:val="0"/>
      <w:marBottom w:val="0"/>
      <w:divBdr>
        <w:top w:val="none" w:sz="0" w:space="0" w:color="auto"/>
        <w:left w:val="none" w:sz="0" w:space="0" w:color="auto"/>
        <w:bottom w:val="none" w:sz="0" w:space="0" w:color="auto"/>
        <w:right w:val="none" w:sz="0" w:space="0" w:color="auto"/>
      </w:divBdr>
    </w:div>
    <w:div w:id="246500441">
      <w:bodyDiv w:val="1"/>
      <w:marLeft w:val="0"/>
      <w:marRight w:val="0"/>
      <w:marTop w:val="0"/>
      <w:marBottom w:val="0"/>
      <w:divBdr>
        <w:top w:val="none" w:sz="0" w:space="0" w:color="auto"/>
        <w:left w:val="none" w:sz="0" w:space="0" w:color="auto"/>
        <w:bottom w:val="none" w:sz="0" w:space="0" w:color="auto"/>
        <w:right w:val="none" w:sz="0" w:space="0" w:color="auto"/>
      </w:divBdr>
    </w:div>
    <w:div w:id="247079168">
      <w:bodyDiv w:val="1"/>
      <w:marLeft w:val="0"/>
      <w:marRight w:val="0"/>
      <w:marTop w:val="0"/>
      <w:marBottom w:val="0"/>
      <w:divBdr>
        <w:top w:val="none" w:sz="0" w:space="0" w:color="auto"/>
        <w:left w:val="none" w:sz="0" w:space="0" w:color="auto"/>
        <w:bottom w:val="none" w:sz="0" w:space="0" w:color="auto"/>
        <w:right w:val="none" w:sz="0" w:space="0" w:color="auto"/>
      </w:divBdr>
    </w:div>
    <w:div w:id="249313668">
      <w:bodyDiv w:val="1"/>
      <w:marLeft w:val="0"/>
      <w:marRight w:val="0"/>
      <w:marTop w:val="0"/>
      <w:marBottom w:val="0"/>
      <w:divBdr>
        <w:top w:val="none" w:sz="0" w:space="0" w:color="auto"/>
        <w:left w:val="none" w:sz="0" w:space="0" w:color="auto"/>
        <w:bottom w:val="none" w:sz="0" w:space="0" w:color="auto"/>
        <w:right w:val="none" w:sz="0" w:space="0" w:color="auto"/>
      </w:divBdr>
    </w:div>
    <w:div w:id="249775046">
      <w:bodyDiv w:val="1"/>
      <w:marLeft w:val="0"/>
      <w:marRight w:val="0"/>
      <w:marTop w:val="0"/>
      <w:marBottom w:val="0"/>
      <w:divBdr>
        <w:top w:val="none" w:sz="0" w:space="0" w:color="auto"/>
        <w:left w:val="none" w:sz="0" w:space="0" w:color="auto"/>
        <w:bottom w:val="none" w:sz="0" w:space="0" w:color="auto"/>
        <w:right w:val="none" w:sz="0" w:space="0" w:color="auto"/>
      </w:divBdr>
    </w:div>
    <w:div w:id="251743749">
      <w:bodyDiv w:val="1"/>
      <w:marLeft w:val="0"/>
      <w:marRight w:val="0"/>
      <w:marTop w:val="0"/>
      <w:marBottom w:val="0"/>
      <w:divBdr>
        <w:top w:val="none" w:sz="0" w:space="0" w:color="auto"/>
        <w:left w:val="none" w:sz="0" w:space="0" w:color="auto"/>
        <w:bottom w:val="none" w:sz="0" w:space="0" w:color="auto"/>
        <w:right w:val="none" w:sz="0" w:space="0" w:color="auto"/>
      </w:divBdr>
    </w:div>
    <w:div w:id="253510905">
      <w:bodyDiv w:val="1"/>
      <w:marLeft w:val="0"/>
      <w:marRight w:val="0"/>
      <w:marTop w:val="0"/>
      <w:marBottom w:val="0"/>
      <w:divBdr>
        <w:top w:val="none" w:sz="0" w:space="0" w:color="auto"/>
        <w:left w:val="none" w:sz="0" w:space="0" w:color="auto"/>
        <w:bottom w:val="none" w:sz="0" w:space="0" w:color="auto"/>
        <w:right w:val="none" w:sz="0" w:space="0" w:color="auto"/>
      </w:divBdr>
    </w:div>
    <w:div w:id="253979453">
      <w:bodyDiv w:val="1"/>
      <w:marLeft w:val="0"/>
      <w:marRight w:val="0"/>
      <w:marTop w:val="0"/>
      <w:marBottom w:val="0"/>
      <w:divBdr>
        <w:top w:val="none" w:sz="0" w:space="0" w:color="auto"/>
        <w:left w:val="none" w:sz="0" w:space="0" w:color="auto"/>
        <w:bottom w:val="none" w:sz="0" w:space="0" w:color="auto"/>
        <w:right w:val="none" w:sz="0" w:space="0" w:color="auto"/>
      </w:divBdr>
    </w:div>
    <w:div w:id="256251454">
      <w:bodyDiv w:val="1"/>
      <w:marLeft w:val="0"/>
      <w:marRight w:val="0"/>
      <w:marTop w:val="0"/>
      <w:marBottom w:val="0"/>
      <w:divBdr>
        <w:top w:val="none" w:sz="0" w:space="0" w:color="auto"/>
        <w:left w:val="none" w:sz="0" w:space="0" w:color="auto"/>
        <w:bottom w:val="none" w:sz="0" w:space="0" w:color="auto"/>
        <w:right w:val="none" w:sz="0" w:space="0" w:color="auto"/>
      </w:divBdr>
    </w:div>
    <w:div w:id="256643186">
      <w:bodyDiv w:val="1"/>
      <w:marLeft w:val="0"/>
      <w:marRight w:val="0"/>
      <w:marTop w:val="0"/>
      <w:marBottom w:val="0"/>
      <w:divBdr>
        <w:top w:val="none" w:sz="0" w:space="0" w:color="auto"/>
        <w:left w:val="none" w:sz="0" w:space="0" w:color="auto"/>
        <w:bottom w:val="none" w:sz="0" w:space="0" w:color="auto"/>
        <w:right w:val="none" w:sz="0" w:space="0" w:color="auto"/>
      </w:divBdr>
    </w:div>
    <w:div w:id="257256325">
      <w:bodyDiv w:val="1"/>
      <w:marLeft w:val="0"/>
      <w:marRight w:val="0"/>
      <w:marTop w:val="0"/>
      <w:marBottom w:val="0"/>
      <w:divBdr>
        <w:top w:val="none" w:sz="0" w:space="0" w:color="auto"/>
        <w:left w:val="none" w:sz="0" w:space="0" w:color="auto"/>
        <w:bottom w:val="none" w:sz="0" w:space="0" w:color="auto"/>
        <w:right w:val="none" w:sz="0" w:space="0" w:color="auto"/>
      </w:divBdr>
    </w:div>
    <w:div w:id="258611334">
      <w:bodyDiv w:val="1"/>
      <w:marLeft w:val="0"/>
      <w:marRight w:val="0"/>
      <w:marTop w:val="0"/>
      <w:marBottom w:val="0"/>
      <w:divBdr>
        <w:top w:val="none" w:sz="0" w:space="0" w:color="auto"/>
        <w:left w:val="none" w:sz="0" w:space="0" w:color="auto"/>
        <w:bottom w:val="none" w:sz="0" w:space="0" w:color="auto"/>
        <w:right w:val="none" w:sz="0" w:space="0" w:color="auto"/>
      </w:divBdr>
    </w:div>
    <w:div w:id="259412616">
      <w:bodyDiv w:val="1"/>
      <w:marLeft w:val="0"/>
      <w:marRight w:val="0"/>
      <w:marTop w:val="0"/>
      <w:marBottom w:val="0"/>
      <w:divBdr>
        <w:top w:val="none" w:sz="0" w:space="0" w:color="auto"/>
        <w:left w:val="none" w:sz="0" w:space="0" w:color="auto"/>
        <w:bottom w:val="none" w:sz="0" w:space="0" w:color="auto"/>
        <w:right w:val="none" w:sz="0" w:space="0" w:color="auto"/>
      </w:divBdr>
    </w:div>
    <w:div w:id="260721525">
      <w:bodyDiv w:val="1"/>
      <w:marLeft w:val="0"/>
      <w:marRight w:val="0"/>
      <w:marTop w:val="0"/>
      <w:marBottom w:val="0"/>
      <w:divBdr>
        <w:top w:val="none" w:sz="0" w:space="0" w:color="auto"/>
        <w:left w:val="none" w:sz="0" w:space="0" w:color="auto"/>
        <w:bottom w:val="none" w:sz="0" w:space="0" w:color="auto"/>
        <w:right w:val="none" w:sz="0" w:space="0" w:color="auto"/>
      </w:divBdr>
    </w:div>
    <w:div w:id="264076666">
      <w:bodyDiv w:val="1"/>
      <w:marLeft w:val="0"/>
      <w:marRight w:val="0"/>
      <w:marTop w:val="0"/>
      <w:marBottom w:val="0"/>
      <w:divBdr>
        <w:top w:val="none" w:sz="0" w:space="0" w:color="auto"/>
        <w:left w:val="none" w:sz="0" w:space="0" w:color="auto"/>
        <w:bottom w:val="none" w:sz="0" w:space="0" w:color="auto"/>
        <w:right w:val="none" w:sz="0" w:space="0" w:color="auto"/>
      </w:divBdr>
    </w:div>
    <w:div w:id="264963960">
      <w:bodyDiv w:val="1"/>
      <w:marLeft w:val="0"/>
      <w:marRight w:val="0"/>
      <w:marTop w:val="0"/>
      <w:marBottom w:val="0"/>
      <w:divBdr>
        <w:top w:val="none" w:sz="0" w:space="0" w:color="auto"/>
        <w:left w:val="none" w:sz="0" w:space="0" w:color="auto"/>
        <w:bottom w:val="none" w:sz="0" w:space="0" w:color="auto"/>
        <w:right w:val="none" w:sz="0" w:space="0" w:color="auto"/>
      </w:divBdr>
    </w:div>
    <w:div w:id="265121591">
      <w:bodyDiv w:val="1"/>
      <w:marLeft w:val="0"/>
      <w:marRight w:val="0"/>
      <w:marTop w:val="0"/>
      <w:marBottom w:val="0"/>
      <w:divBdr>
        <w:top w:val="none" w:sz="0" w:space="0" w:color="auto"/>
        <w:left w:val="none" w:sz="0" w:space="0" w:color="auto"/>
        <w:bottom w:val="none" w:sz="0" w:space="0" w:color="auto"/>
        <w:right w:val="none" w:sz="0" w:space="0" w:color="auto"/>
      </w:divBdr>
    </w:div>
    <w:div w:id="268509142">
      <w:bodyDiv w:val="1"/>
      <w:marLeft w:val="0"/>
      <w:marRight w:val="0"/>
      <w:marTop w:val="0"/>
      <w:marBottom w:val="0"/>
      <w:divBdr>
        <w:top w:val="none" w:sz="0" w:space="0" w:color="auto"/>
        <w:left w:val="none" w:sz="0" w:space="0" w:color="auto"/>
        <w:bottom w:val="none" w:sz="0" w:space="0" w:color="auto"/>
        <w:right w:val="none" w:sz="0" w:space="0" w:color="auto"/>
      </w:divBdr>
    </w:div>
    <w:div w:id="269053354">
      <w:bodyDiv w:val="1"/>
      <w:marLeft w:val="0"/>
      <w:marRight w:val="0"/>
      <w:marTop w:val="0"/>
      <w:marBottom w:val="0"/>
      <w:divBdr>
        <w:top w:val="none" w:sz="0" w:space="0" w:color="auto"/>
        <w:left w:val="none" w:sz="0" w:space="0" w:color="auto"/>
        <w:bottom w:val="none" w:sz="0" w:space="0" w:color="auto"/>
        <w:right w:val="none" w:sz="0" w:space="0" w:color="auto"/>
      </w:divBdr>
    </w:div>
    <w:div w:id="269514239">
      <w:bodyDiv w:val="1"/>
      <w:marLeft w:val="0"/>
      <w:marRight w:val="0"/>
      <w:marTop w:val="0"/>
      <w:marBottom w:val="0"/>
      <w:divBdr>
        <w:top w:val="none" w:sz="0" w:space="0" w:color="auto"/>
        <w:left w:val="none" w:sz="0" w:space="0" w:color="auto"/>
        <w:bottom w:val="none" w:sz="0" w:space="0" w:color="auto"/>
        <w:right w:val="none" w:sz="0" w:space="0" w:color="auto"/>
      </w:divBdr>
    </w:div>
    <w:div w:id="271401878">
      <w:bodyDiv w:val="1"/>
      <w:marLeft w:val="0"/>
      <w:marRight w:val="0"/>
      <w:marTop w:val="0"/>
      <w:marBottom w:val="0"/>
      <w:divBdr>
        <w:top w:val="none" w:sz="0" w:space="0" w:color="auto"/>
        <w:left w:val="none" w:sz="0" w:space="0" w:color="auto"/>
        <w:bottom w:val="none" w:sz="0" w:space="0" w:color="auto"/>
        <w:right w:val="none" w:sz="0" w:space="0" w:color="auto"/>
      </w:divBdr>
    </w:div>
    <w:div w:id="271474527">
      <w:bodyDiv w:val="1"/>
      <w:marLeft w:val="0"/>
      <w:marRight w:val="0"/>
      <w:marTop w:val="0"/>
      <w:marBottom w:val="0"/>
      <w:divBdr>
        <w:top w:val="none" w:sz="0" w:space="0" w:color="auto"/>
        <w:left w:val="none" w:sz="0" w:space="0" w:color="auto"/>
        <w:bottom w:val="none" w:sz="0" w:space="0" w:color="auto"/>
        <w:right w:val="none" w:sz="0" w:space="0" w:color="auto"/>
      </w:divBdr>
    </w:div>
    <w:div w:id="272443595">
      <w:bodyDiv w:val="1"/>
      <w:marLeft w:val="0"/>
      <w:marRight w:val="0"/>
      <w:marTop w:val="0"/>
      <w:marBottom w:val="0"/>
      <w:divBdr>
        <w:top w:val="none" w:sz="0" w:space="0" w:color="auto"/>
        <w:left w:val="none" w:sz="0" w:space="0" w:color="auto"/>
        <w:bottom w:val="none" w:sz="0" w:space="0" w:color="auto"/>
        <w:right w:val="none" w:sz="0" w:space="0" w:color="auto"/>
      </w:divBdr>
    </w:div>
    <w:div w:id="273443086">
      <w:bodyDiv w:val="1"/>
      <w:marLeft w:val="0"/>
      <w:marRight w:val="0"/>
      <w:marTop w:val="0"/>
      <w:marBottom w:val="0"/>
      <w:divBdr>
        <w:top w:val="none" w:sz="0" w:space="0" w:color="auto"/>
        <w:left w:val="none" w:sz="0" w:space="0" w:color="auto"/>
        <w:bottom w:val="none" w:sz="0" w:space="0" w:color="auto"/>
        <w:right w:val="none" w:sz="0" w:space="0" w:color="auto"/>
      </w:divBdr>
    </w:div>
    <w:div w:id="274680441">
      <w:bodyDiv w:val="1"/>
      <w:marLeft w:val="0"/>
      <w:marRight w:val="0"/>
      <w:marTop w:val="0"/>
      <w:marBottom w:val="0"/>
      <w:divBdr>
        <w:top w:val="none" w:sz="0" w:space="0" w:color="auto"/>
        <w:left w:val="none" w:sz="0" w:space="0" w:color="auto"/>
        <w:bottom w:val="none" w:sz="0" w:space="0" w:color="auto"/>
        <w:right w:val="none" w:sz="0" w:space="0" w:color="auto"/>
      </w:divBdr>
    </w:div>
    <w:div w:id="275142064">
      <w:bodyDiv w:val="1"/>
      <w:marLeft w:val="0"/>
      <w:marRight w:val="0"/>
      <w:marTop w:val="0"/>
      <w:marBottom w:val="0"/>
      <w:divBdr>
        <w:top w:val="none" w:sz="0" w:space="0" w:color="auto"/>
        <w:left w:val="none" w:sz="0" w:space="0" w:color="auto"/>
        <w:bottom w:val="none" w:sz="0" w:space="0" w:color="auto"/>
        <w:right w:val="none" w:sz="0" w:space="0" w:color="auto"/>
      </w:divBdr>
    </w:div>
    <w:div w:id="275797220">
      <w:bodyDiv w:val="1"/>
      <w:marLeft w:val="0"/>
      <w:marRight w:val="0"/>
      <w:marTop w:val="0"/>
      <w:marBottom w:val="0"/>
      <w:divBdr>
        <w:top w:val="none" w:sz="0" w:space="0" w:color="auto"/>
        <w:left w:val="none" w:sz="0" w:space="0" w:color="auto"/>
        <w:bottom w:val="none" w:sz="0" w:space="0" w:color="auto"/>
        <w:right w:val="none" w:sz="0" w:space="0" w:color="auto"/>
      </w:divBdr>
    </w:div>
    <w:div w:id="280263140">
      <w:bodyDiv w:val="1"/>
      <w:marLeft w:val="0"/>
      <w:marRight w:val="0"/>
      <w:marTop w:val="0"/>
      <w:marBottom w:val="0"/>
      <w:divBdr>
        <w:top w:val="none" w:sz="0" w:space="0" w:color="auto"/>
        <w:left w:val="none" w:sz="0" w:space="0" w:color="auto"/>
        <w:bottom w:val="none" w:sz="0" w:space="0" w:color="auto"/>
        <w:right w:val="none" w:sz="0" w:space="0" w:color="auto"/>
      </w:divBdr>
    </w:div>
    <w:div w:id="280504492">
      <w:bodyDiv w:val="1"/>
      <w:marLeft w:val="0"/>
      <w:marRight w:val="0"/>
      <w:marTop w:val="0"/>
      <w:marBottom w:val="0"/>
      <w:divBdr>
        <w:top w:val="none" w:sz="0" w:space="0" w:color="auto"/>
        <w:left w:val="none" w:sz="0" w:space="0" w:color="auto"/>
        <w:bottom w:val="none" w:sz="0" w:space="0" w:color="auto"/>
        <w:right w:val="none" w:sz="0" w:space="0" w:color="auto"/>
      </w:divBdr>
    </w:div>
    <w:div w:id="280847030">
      <w:bodyDiv w:val="1"/>
      <w:marLeft w:val="0"/>
      <w:marRight w:val="0"/>
      <w:marTop w:val="0"/>
      <w:marBottom w:val="0"/>
      <w:divBdr>
        <w:top w:val="none" w:sz="0" w:space="0" w:color="auto"/>
        <w:left w:val="none" w:sz="0" w:space="0" w:color="auto"/>
        <w:bottom w:val="none" w:sz="0" w:space="0" w:color="auto"/>
        <w:right w:val="none" w:sz="0" w:space="0" w:color="auto"/>
      </w:divBdr>
    </w:div>
    <w:div w:id="283123683">
      <w:bodyDiv w:val="1"/>
      <w:marLeft w:val="0"/>
      <w:marRight w:val="0"/>
      <w:marTop w:val="0"/>
      <w:marBottom w:val="0"/>
      <w:divBdr>
        <w:top w:val="none" w:sz="0" w:space="0" w:color="auto"/>
        <w:left w:val="none" w:sz="0" w:space="0" w:color="auto"/>
        <w:bottom w:val="none" w:sz="0" w:space="0" w:color="auto"/>
        <w:right w:val="none" w:sz="0" w:space="0" w:color="auto"/>
      </w:divBdr>
    </w:div>
    <w:div w:id="286161551">
      <w:bodyDiv w:val="1"/>
      <w:marLeft w:val="0"/>
      <w:marRight w:val="0"/>
      <w:marTop w:val="0"/>
      <w:marBottom w:val="0"/>
      <w:divBdr>
        <w:top w:val="none" w:sz="0" w:space="0" w:color="auto"/>
        <w:left w:val="none" w:sz="0" w:space="0" w:color="auto"/>
        <w:bottom w:val="none" w:sz="0" w:space="0" w:color="auto"/>
        <w:right w:val="none" w:sz="0" w:space="0" w:color="auto"/>
      </w:divBdr>
    </w:div>
    <w:div w:id="287517712">
      <w:bodyDiv w:val="1"/>
      <w:marLeft w:val="0"/>
      <w:marRight w:val="0"/>
      <w:marTop w:val="0"/>
      <w:marBottom w:val="0"/>
      <w:divBdr>
        <w:top w:val="none" w:sz="0" w:space="0" w:color="auto"/>
        <w:left w:val="none" w:sz="0" w:space="0" w:color="auto"/>
        <w:bottom w:val="none" w:sz="0" w:space="0" w:color="auto"/>
        <w:right w:val="none" w:sz="0" w:space="0" w:color="auto"/>
      </w:divBdr>
    </w:div>
    <w:div w:id="287703539">
      <w:bodyDiv w:val="1"/>
      <w:marLeft w:val="0"/>
      <w:marRight w:val="0"/>
      <w:marTop w:val="0"/>
      <w:marBottom w:val="0"/>
      <w:divBdr>
        <w:top w:val="none" w:sz="0" w:space="0" w:color="auto"/>
        <w:left w:val="none" w:sz="0" w:space="0" w:color="auto"/>
        <w:bottom w:val="none" w:sz="0" w:space="0" w:color="auto"/>
        <w:right w:val="none" w:sz="0" w:space="0" w:color="auto"/>
      </w:divBdr>
    </w:div>
    <w:div w:id="288629878">
      <w:bodyDiv w:val="1"/>
      <w:marLeft w:val="0"/>
      <w:marRight w:val="0"/>
      <w:marTop w:val="0"/>
      <w:marBottom w:val="0"/>
      <w:divBdr>
        <w:top w:val="none" w:sz="0" w:space="0" w:color="auto"/>
        <w:left w:val="none" w:sz="0" w:space="0" w:color="auto"/>
        <w:bottom w:val="none" w:sz="0" w:space="0" w:color="auto"/>
        <w:right w:val="none" w:sz="0" w:space="0" w:color="auto"/>
      </w:divBdr>
    </w:div>
    <w:div w:id="290282658">
      <w:bodyDiv w:val="1"/>
      <w:marLeft w:val="0"/>
      <w:marRight w:val="0"/>
      <w:marTop w:val="0"/>
      <w:marBottom w:val="0"/>
      <w:divBdr>
        <w:top w:val="none" w:sz="0" w:space="0" w:color="auto"/>
        <w:left w:val="none" w:sz="0" w:space="0" w:color="auto"/>
        <w:bottom w:val="none" w:sz="0" w:space="0" w:color="auto"/>
        <w:right w:val="none" w:sz="0" w:space="0" w:color="auto"/>
      </w:divBdr>
    </w:div>
    <w:div w:id="291400641">
      <w:bodyDiv w:val="1"/>
      <w:marLeft w:val="0"/>
      <w:marRight w:val="0"/>
      <w:marTop w:val="0"/>
      <w:marBottom w:val="0"/>
      <w:divBdr>
        <w:top w:val="none" w:sz="0" w:space="0" w:color="auto"/>
        <w:left w:val="none" w:sz="0" w:space="0" w:color="auto"/>
        <w:bottom w:val="none" w:sz="0" w:space="0" w:color="auto"/>
        <w:right w:val="none" w:sz="0" w:space="0" w:color="auto"/>
      </w:divBdr>
    </w:div>
    <w:div w:id="295574696">
      <w:bodyDiv w:val="1"/>
      <w:marLeft w:val="0"/>
      <w:marRight w:val="0"/>
      <w:marTop w:val="0"/>
      <w:marBottom w:val="0"/>
      <w:divBdr>
        <w:top w:val="none" w:sz="0" w:space="0" w:color="auto"/>
        <w:left w:val="none" w:sz="0" w:space="0" w:color="auto"/>
        <w:bottom w:val="none" w:sz="0" w:space="0" w:color="auto"/>
        <w:right w:val="none" w:sz="0" w:space="0" w:color="auto"/>
      </w:divBdr>
    </w:div>
    <w:div w:id="295993269">
      <w:bodyDiv w:val="1"/>
      <w:marLeft w:val="0"/>
      <w:marRight w:val="0"/>
      <w:marTop w:val="0"/>
      <w:marBottom w:val="0"/>
      <w:divBdr>
        <w:top w:val="none" w:sz="0" w:space="0" w:color="auto"/>
        <w:left w:val="none" w:sz="0" w:space="0" w:color="auto"/>
        <w:bottom w:val="none" w:sz="0" w:space="0" w:color="auto"/>
        <w:right w:val="none" w:sz="0" w:space="0" w:color="auto"/>
      </w:divBdr>
    </w:div>
    <w:div w:id="296573000">
      <w:bodyDiv w:val="1"/>
      <w:marLeft w:val="0"/>
      <w:marRight w:val="0"/>
      <w:marTop w:val="0"/>
      <w:marBottom w:val="0"/>
      <w:divBdr>
        <w:top w:val="none" w:sz="0" w:space="0" w:color="auto"/>
        <w:left w:val="none" w:sz="0" w:space="0" w:color="auto"/>
        <w:bottom w:val="none" w:sz="0" w:space="0" w:color="auto"/>
        <w:right w:val="none" w:sz="0" w:space="0" w:color="auto"/>
      </w:divBdr>
    </w:div>
    <w:div w:id="297800892">
      <w:bodyDiv w:val="1"/>
      <w:marLeft w:val="0"/>
      <w:marRight w:val="0"/>
      <w:marTop w:val="0"/>
      <w:marBottom w:val="0"/>
      <w:divBdr>
        <w:top w:val="none" w:sz="0" w:space="0" w:color="auto"/>
        <w:left w:val="none" w:sz="0" w:space="0" w:color="auto"/>
        <w:bottom w:val="none" w:sz="0" w:space="0" w:color="auto"/>
        <w:right w:val="none" w:sz="0" w:space="0" w:color="auto"/>
      </w:divBdr>
    </w:div>
    <w:div w:id="298389847">
      <w:bodyDiv w:val="1"/>
      <w:marLeft w:val="0"/>
      <w:marRight w:val="0"/>
      <w:marTop w:val="0"/>
      <w:marBottom w:val="0"/>
      <w:divBdr>
        <w:top w:val="none" w:sz="0" w:space="0" w:color="auto"/>
        <w:left w:val="none" w:sz="0" w:space="0" w:color="auto"/>
        <w:bottom w:val="none" w:sz="0" w:space="0" w:color="auto"/>
        <w:right w:val="none" w:sz="0" w:space="0" w:color="auto"/>
      </w:divBdr>
    </w:div>
    <w:div w:id="298611976">
      <w:bodyDiv w:val="1"/>
      <w:marLeft w:val="0"/>
      <w:marRight w:val="0"/>
      <w:marTop w:val="0"/>
      <w:marBottom w:val="0"/>
      <w:divBdr>
        <w:top w:val="none" w:sz="0" w:space="0" w:color="auto"/>
        <w:left w:val="none" w:sz="0" w:space="0" w:color="auto"/>
        <w:bottom w:val="none" w:sz="0" w:space="0" w:color="auto"/>
        <w:right w:val="none" w:sz="0" w:space="0" w:color="auto"/>
      </w:divBdr>
    </w:div>
    <w:div w:id="300697686">
      <w:bodyDiv w:val="1"/>
      <w:marLeft w:val="0"/>
      <w:marRight w:val="0"/>
      <w:marTop w:val="0"/>
      <w:marBottom w:val="0"/>
      <w:divBdr>
        <w:top w:val="none" w:sz="0" w:space="0" w:color="auto"/>
        <w:left w:val="none" w:sz="0" w:space="0" w:color="auto"/>
        <w:bottom w:val="none" w:sz="0" w:space="0" w:color="auto"/>
        <w:right w:val="none" w:sz="0" w:space="0" w:color="auto"/>
      </w:divBdr>
    </w:div>
    <w:div w:id="301691471">
      <w:bodyDiv w:val="1"/>
      <w:marLeft w:val="0"/>
      <w:marRight w:val="0"/>
      <w:marTop w:val="0"/>
      <w:marBottom w:val="0"/>
      <w:divBdr>
        <w:top w:val="none" w:sz="0" w:space="0" w:color="auto"/>
        <w:left w:val="none" w:sz="0" w:space="0" w:color="auto"/>
        <w:bottom w:val="none" w:sz="0" w:space="0" w:color="auto"/>
        <w:right w:val="none" w:sz="0" w:space="0" w:color="auto"/>
      </w:divBdr>
    </w:div>
    <w:div w:id="302850532">
      <w:bodyDiv w:val="1"/>
      <w:marLeft w:val="0"/>
      <w:marRight w:val="0"/>
      <w:marTop w:val="0"/>
      <w:marBottom w:val="0"/>
      <w:divBdr>
        <w:top w:val="none" w:sz="0" w:space="0" w:color="auto"/>
        <w:left w:val="none" w:sz="0" w:space="0" w:color="auto"/>
        <w:bottom w:val="none" w:sz="0" w:space="0" w:color="auto"/>
        <w:right w:val="none" w:sz="0" w:space="0" w:color="auto"/>
      </w:divBdr>
    </w:div>
    <w:div w:id="304047911">
      <w:bodyDiv w:val="1"/>
      <w:marLeft w:val="0"/>
      <w:marRight w:val="0"/>
      <w:marTop w:val="0"/>
      <w:marBottom w:val="0"/>
      <w:divBdr>
        <w:top w:val="none" w:sz="0" w:space="0" w:color="auto"/>
        <w:left w:val="none" w:sz="0" w:space="0" w:color="auto"/>
        <w:bottom w:val="none" w:sz="0" w:space="0" w:color="auto"/>
        <w:right w:val="none" w:sz="0" w:space="0" w:color="auto"/>
      </w:divBdr>
    </w:div>
    <w:div w:id="304970833">
      <w:bodyDiv w:val="1"/>
      <w:marLeft w:val="0"/>
      <w:marRight w:val="0"/>
      <w:marTop w:val="0"/>
      <w:marBottom w:val="0"/>
      <w:divBdr>
        <w:top w:val="none" w:sz="0" w:space="0" w:color="auto"/>
        <w:left w:val="none" w:sz="0" w:space="0" w:color="auto"/>
        <w:bottom w:val="none" w:sz="0" w:space="0" w:color="auto"/>
        <w:right w:val="none" w:sz="0" w:space="0" w:color="auto"/>
      </w:divBdr>
    </w:div>
    <w:div w:id="307830777">
      <w:bodyDiv w:val="1"/>
      <w:marLeft w:val="0"/>
      <w:marRight w:val="0"/>
      <w:marTop w:val="0"/>
      <w:marBottom w:val="0"/>
      <w:divBdr>
        <w:top w:val="none" w:sz="0" w:space="0" w:color="auto"/>
        <w:left w:val="none" w:sz="0" w:space="0" w:color="auto"/>
        <w:bottom w:val="none" w:sz="0" w:space="0" w:color="auto"/>
        <w:right w:val="none" w:sz="0" w:space="0" w:color="auto"/>
      </w:divBdr>
    </w:div>
    <w:div w:id="307900014">
      <w:bodyDiv w:val="1"/>
      <w:marLeft w:val="0"/>
      <w:marRight w:val="0"/>
      <w:marTop w:val="0"/>
      <w:marBottom w:val="0"/>
      <w:divBdr>
        <w:top w:val="none" w:sz="0" w:space="0" w:color="auto"/>
        <w:left w:val="none" w:sz="0" w:space="0" w:color="auto"/>
        <w:bottom w:val="none" w:sz="0" w:space="0" w:color="auto"/>
        <w:right w:val="none" w:sz="0" w:space="0" w:color="auto"/>
      </w:divBdr>
    </w:div>
    <w:div w:id="308289671">
      <w:bodyDiv w:val="1"/>
      <w:marLeft w:val="0"/>
      <w:marRight w:val="0"/>
      <w:marTop w:val="0"/>
      <w:marBottom w:val="0"/>
      <w:divBdr>
        <w:top w:val="none" w:sz="0" w:space="0" w:color="auto"/>
        <w:left w:val="none" w:sz="0" w:space="0" w:color="auto"/>
        <w:bottom w:val="none" w:sz="0" w:space="0" w:color="auto"/>
        <w:right w:val="none" w:sz="0" w:space="0" w:color="auto"/>
      </w:divBdr>
    </w:div>
    <w:div w:id="308485909">
      <w:bodyDiv w:val="1"/>
      <w:marLeft w:val="0"/>
      <w:marRight w:val="0"/>
      <w:marTop w:val="0"/>
      <w:marBottom w:val="0"/>
      <w:divBdr>
        <w:top w:val="none" w:sz="0" w:space="0" w:color="auto"/>
        <w:left w:val="none" w:sz="0" w:space="0" w:color="auto"/>
        <w:bottom w:val="none" w:sz="0" w:space="0" w:color="auto"/>
        <w:right w:val="none" w:sz="0" w:space="0" w:color="auto"/>
      </w:divBdr>
    </w:div>
    <w:div w:id="310407723">
      <w:bodyDiv w:val="1"/>
      <w:marLeft w:val="0"/>
      <w:marRight w:val="0"/>
      <w:marTop w:val="0"/>
      <w:marBottom w:val="0"/>
      <w:divBdr>
        <w:top w:val="none" w:sz="0" w:space="0" w:color="auto"/>
        <w:left w:val="none" w:sz="0" w:space="0" w:color="auto"/>
        <w:bottom w:val="none" w:sz="0" w:space="0" w:color="auto"/>
        <w:right w:val="none" w:sz="0" w:space="0" w:color="auto"/>
      </w:divBdr>
    </w:div>
    <w:div w:id="310793153">
      <w:bodyDiv w:val="1"/>
      <w:marLeft w:val="0"/>
      <w:marRight w:val="0"/>
      <w:marTop w:val="0"/>
      <w:marBottom w:val="0"/>
      <w:divBdr>
        <w:top w:val="none" w:sz="0" w:space="0" w:color="auto"/>
        <w:left w:val="none" w:sz="0" w:space="0" w:color="auto"/>
        <w:bottom w:val="none" w:sz="0" w:space="0" w:color="auto"/>
        <w:right w:val="none" w:sz="0" w:space="0" w:color="auto"/>
      </w:divBdr>
    </w:div>
    <w:div w:id="311254856">
      <w:bodyDiv w:val="1"/>
      <w:marLeft w:val="0"/>
      <w:marRight w:val="0"/>
      <w:marTop w:val="0"/>
      <w:marBottom w:val="0"/>
      <w:divBdr>
        <w:top w:val="none" w:sz="0" w:space="0" w:color="auto"/>
        <w:left w:val="none" w:sz="0" w:space="0" w:color="auto"/>
        <w:bottom w:val="none" w:sz="0" w:space="0" w:color="auto"/>
        <w:right w:val="none" w:sz="0" w:space="0" w:color="auto"/>
      </w:divBdr>
    </w:div>
    <w:div w:id="313413747">
      <w:bodyDiv w:val="1"/>
      <w:marLeft w:val="0"/>
      <w:marRight w:val="0"/>
      <w:marTop w:val="0"/>
      <w:marBottom w:val="0"/>
      <w:divBdr>
        <w:top w:val="none" w:sz="0" w:space="0" w:color="auto"/>
        <w:left w:val="none" w:sz="0" w:space="0" w:color="auto"/>
        <w:bottom w:val="none" w:sz="0" w:space="0" w:color="auto"/>
        <w:right w:val="none" w:sz="0" w:space="0" w:color="auto"/>
      </w:divBdr>
    </w:div>
    <w:div w:id="314723854">
      <w:bodyDiv w:val="1"/>
      <w:marLeft w:val="0"/>
      <w:marRight w:val="0"/>
      <w:marTop w:val="0"/>
      <w:marBottom w:val="0"/>
      <w:divBdr>
        <w:top w:val="none" w:sz="0" w:space="0" w:color="auto"/>
        <w:left w:val="none" w:sz="0" w:space="0" w:color="auto"/>
        <w:bottom w:val="none" w:sz="0" w:space="0" w:color="auto"/>
        <w:right w:val="none" w:sz="0" w:space="0" w:color="auto"/>
      </w:divBdr>
    </w:div>
    <w:div w:id="317534991">
      <w:bodyDiv w:val="1"/>
      <w:marLeft w:val="0"/>
      <w:marRight w:val="0"/>
      <w:marTop w:val="0"/>
      <w:marBottom w:val="0"/>
      <w:divBdr>
        <w:top w:val="none" w:sz="0" w:space="0" w:color="auto"/>
        <w:left w:val="none" w:sz="0" w:space="0" w:color="auto"/>
        <w:bottom w:val="none" w:sz="0" w:space="0" w:color="auto"/>
        <w:right w:val="none" w:sz="0" w:space="0" w:color="auto"/>
      </w:divBdr>
    </w:div>
    <w:div w:id="317997678">
      <w:bodyDiv w:val="1"/>
      <w:marLeft w:val="0"/>
      <w:marRight w:val="0"/>
      <w:marTop w:val="0"/>
      <w:marBottom w:val="0"/>
      <w:divBdr>
        <w:top w:val="none" w:sz="0" w:space="0" w:color="auto"/>
        <w:left w:val="none" w:sz="0" w:space="0" w:color="auto"/>
        <w:bottom w:val="none" w:sz="0" w:space="0" w:color="auto"/>
        <w:right w:val="none" w:sz="0" w:space="0" w:color="auto"/>
      </w:divBdr>
    </w:div>
    <w:div w:id="320277497">
      <w:bodyDiv w:val="1"/>
      <w:marLeft w:val="0"/>
      <w:marRight w:val="0"/>
      <w:marTop w:val="0"/>
      <w:marBottom w:val="0"/>
      <w:divBdr>
        <w:top w:val="none" w:sz="0" w:space="0" w:color="auto"/>
        <w:left w:val="none" w:sz="0" w:space="0" w:color="auto"/>
        <w:bottom w:val="none" w:sz="0" w:space="0" w:color="auto"/>
        <w:right w:val="none" w:sz="0" w:space="0" w:color="auto"/>
      </w:divBdr>
    </w:div>
    <w:div w:id="320931893">
      <w:bodyDiv w:val="1"/>
      <w:marLeft w:val="0"/>
      <w:marRight w:val="0"/>
      <w:marTop w:val="0"/>
      <w:marBottom w:val="0"/>
      <w:divBdr>
        <w:top w:val="none" w:sz="0" w:space="0" w:color="auto"/>
        <w:left w:val="none" w:sz="0" w:space="0" w:color="auto"/>
        <w:bottom w:val="none" w:sz="0" w:space="0" w:color="auto"/>
        <w:right w:val="none" w:sz="0" w:space="0" w:color="auto"/>
      </w:divBdr>
    </w:div>
    <w:div w:id="324549883">
      <w:bodyDiv w:val="1"/>
      <w:marLeft w:val="0"/>
      <w:marRight w:val="0"/>
      <w:marTop w:val="0"/>
      <w:marBottom w:val="0"/>
      <w:divBdr>
        <w:top w:val="none" w:sz="0" w:space="0" w:color="auto"/>
        <w:left w:val="none" w:sz="0" w:space="0" w:color="auto"/>
        <w:bottom w:val="none" w:sz="0" w:space="0" w:color="auto"/>
        <w:right w:val="none" w:sz="0" w:space="0" w:color="auto"/>
      </w:divBdr>
    </w:div>
    <w:div w:id="327100825">
      <w:bodyDiv w:val="1"/>
      <w:marLeft w:val="0"/>
      <w:marRight w:val="0"/>
      <w:marTop w:val="0"/>
      <w:marBottom w:val="0"/>
      <w:divBdr>
        <w:top w:val="none" w:sz="0" w:space="0" w:color="auto"/>
        <w:left w:val="none" w:sz="0" w:space="0" w:color="auto"/>
        <w:bottom w:val="none" w:sz="0" w:space="0" w:color="auto"/>
        <w:right w:val="none" w:sz="0" w:space="0" w:color="auto"/>
      </w:divBdr>
    </w:div>
    <w:div w:id="328018668">
      <w:bodyDiv w:val="1"/>
      <w:marLeft w:val="0"/>
      <w:marRight w:val="0"/>
      <w:marTop w:val="0"/>
      <w:marBottom w:val="0"/>
      <w:divBdr>
        <w:top w:val="none" w:sz="0" w:space="0" w:color="auto"/>
        <w:left w:val="none" w:sz="0" w:space="0" w:color="auto"/>
        <w:bottom w:val="none" w:sz="0" w:space="0" w:color="auto"/>
        <w:right w:val="none" w:sz="0" w:space="0" w:color="auto"/>
      </w:divBdr>
    </w:div>
    <w:div w:id="328336208">
      <w:bodyDiv w:val="1"/>
      <w:marLeft w:val="0"/>
      <w:marRight w:val="0"/>
      <w:marTop w:val="0"/>
      <w:marBottom w:val="0"/>
      <w:divBdr>
        <w:top w:val="none" w:sz="0" w:space="0" w:color="auto"/>
        <w:left w:val="none" w:sz="0" w:space="0" w:color="auto"/>
        <w:bottom w:val="none" w:sz="0" w:space="0" w:color="auto"/>
        <w:right w:val="none" w:sz="0" w:space="0" w:color="auto"/>
      </w:divBdr>
    </w:div>
    <w:div w:id="332102256">
      <w:bodyDiv w:val="1"/>
      <w:marLeft w:val="0"/>
      <w:marRight w:val="0"/>
      <w:marTop w:val="0"/>
      <w:marBottom w:val="0"/>
      <w:divBdr>
        <w:top w:val="none" w:sz="0" w:space="0" w:color="auto"/>
        <w:left w:val="none" w:sz="0" w:space="0" w:color="auto"/>
        <w:bottom w:val="none" w:sz="0" w:space="0" w:color="auto"/>
        <w:right w:val="none" w:sz="0" w:space="0" w:color="auto"/>
      </w:divBdr>
    </w:div>
    <w:div w:id="334310634">
      <w:bodyDiv w:val="1"/>
      <w:marLeft w:val="0"/>
      <w:marRight w:val="0"/>
      <w:marTop w:val="0"/>
      <w:marBottom w:val="0"/>
      <w:divBdr>
        <w:top w:val="none" w:sz="0" w:space="0" w:color="auto"/>
        <w:left w:val="none" w:sz="0" w:space="0" w:color="auto"/>
        <w:bottom w:val="none" w:sz="0" w:space="0" w:color="auto"/>
        <w:right w:val="none" w:sz="0" w:space="0" w:color="auto"/>
      </w:divBdr>
    </w:div>
    <w:div w:id="337316544">
      <w:bodyDiv w:val="1"/>
      <w:marLeft w:val="0"/>
      <w:marRight w:val="0"/>
      <w:marTop w:val="0"/>
      <w:marBottom w:val="0"/>
      <w:divBdr>
        <w:top w:val="none" w:sz="0" w:space="0" w:color="auto"/>
        <w:left w:val="none" w:sz="0" w:space="0" w:color="auto"/>
        <w:bottom w:val="none" w:sz="0" w:space="0" w:color="auto"/>
        <w:right w:val="none" w:sz="0" w:space="0" w:color="auto"/>
      </w:divBdr>
    </w:div>
    <w:div w:id="341858930">
      <w:bodyDiv w:val="1"/>
      <w:marLeft w:val="0"/>
      <w:marRight w:val="0"/>
      <w:marTop w:val="0"/>
      <w:marBottom w:val="0"/>
      <w:divBdr>
        <w:top w:val="none" w:sz="0" w:space="0" w:color="auto"/>
        <w:left w:val="none" w:sz="0" w:space="0" w:color="auto"/>
        <w:bottom w:val="none" w:sz="0" w:space="0" w:color="auto"/>
        <w:right w:val="none" w:sz="0" w:space="0" w:color="auto"/>
      </w:divBdr>
    </w:div>
    <w:div w:id="342442454">
      <w:bodyDiv w:val="1"/>
      <w:marLeft w:val="0"/>
      <w:marRight w:val="0"/>
      <w:marTop w:val="0"/>
      <w:marBottom w:val="0"/>
      <w:divBdr>
        <w:top w:val="none" w:sz="0" w:space="0" w:color="auto"/>
        <w:left w:val="none" w:sz="0" w:space="0" w:color="auto"/>
        <w:bottom w:val="none" w:sz="0" w:space="0" w:color="auto"/>
        <w:right w:val="none" w:sz="0" w:space="0" w:color="auto"/>
      </w:divBdr>
    </w:div>
    <w:div w:id="342972407">
      <w:bodyDiv w:val="1"/>
      <w:marLeft w:val="0"/>
      <w:marRight w:val="0"/>
      <w:marTop w:val="0"/>
      <w:marBottom w:val="0"/>
      <w:divBdr>
        <w:top w:val="none" w:sz="0" w:space="0" w:color="auto"/>
        <w:left w:val="none" w:sz="0" w:space="0" w:color="auto"/>
        <w:bottom w:val="none" w:sz="0" w:space="0" w:color="auto"/>
        <w:right w:val="none" w:sz="0" w:space="0" w:color="auto"/>
      </w:divBdr>
    </w:div>
    <w:div w:id="342974848">
      <w:bodyDiv w:val="1"/>
      <w:marLeft w:val="0"/>
      <w:marRight w:val="0"/>
      <w:marTop w:val="0"/>
      <w:marBottom w:val="0"/>
      <w:divBdr>
        <w:top w:val="none" w:sz="0" w:space="0" w:color="auto"/>
        <w:left w:val="none" w:sz="0" w:space="0" w:color="auto"/>
        <w:bottom w:val="none" w:sz="0" w:space="0" w:color="auto"/>
        <w:right w:val="none" w:sz="0" w:space="0" w:color="auto"/>
      </w:divBdr>
    </w:div>
    <w:div w:id="343366753">
      <w:bodyDiv w:val="1"/>
      <w:marLeft w:val="0"/>
      <w:marRight w:val="0"/>
      <w:marTop w:val="0"/>
      <w:marBottom w:val="0"/>
      <w:divBdr>
        <w:top w:val="none" w:sz="0" w:space="0" w:color="auto"/>
        <w:left w:val="none" w:sz="0" w:space="0" w:color="auto"/>
        <w:bottom w:val="none" w:sz="0" w:space="0" w:color="auto"/>
        <w:right w:val="none" w:sz="0" w:space="0" w:color="auto"/>
      </w:divBdr>
    </w:div>
    <w:div w:id="345133327">
      <w:bodyDiv w:val="1"/>
      <w:marLeft w:val="0"/>
      <w:marRight w:val="0"/>
      <w:marTop w:val="0"/>
      <w:marBottom w:val="0"/>
      <w:divBdr>
        <w:top w:val="none" w:sz="0" w:space="0" w:color="auto"/>
        <w:left w:val="none" w:sz="0" w:space="0" w:color="auto"/>
        <w:bottom w:val="none" w:sz="0" w:space="0" w:color="auto"/>
        <w:right w:val="none" w:sz="0" w:space="0" w:color="auto"/>
      </w:divBdr>
    </w:div>
    <w:div w:id="345518009">
      <w:bodyDiv w:val="1"/>
      <w:marLeft w:val="0"/>
      <w:marRight w:val="0"/>
      <w:marTop w:val="0"/>
      <w:marBottom w:val="0"/>
      <w:divBdr>
        <w:top w:val="none" w:sz="0" w:space="0" w:color="auto"/>
        <w:left w:val="none" w:sz="0" w:space="0" w:color="auto"/>
        <w:bottom w:val="none" w:sz="0" w:space="0" w:color="auto"/>
        <w:right w:val="none" w:sz="0" w:space="0" w:color="auto"/>
      </w:divBdr>
    </w:div>
    <w:div w:id="348025831">
      <w:bodyDiv w:val="1"/>
      <w:marLeft w:val="0"/>
      <w:marRight w:val="0"/>
      <w:marTop w:val="0"/>
      <w:marBottom w:val="0"/>
      <w:divBdr>
        <w:top w:val="none" w:sz="0" w:space="0" w:color="auto"/>
        <w:left w:val="none" w:sz="0" w:space="0" w:color="auto"/>
        <w:bottom w:val="none" w:sz="0" w:space="0" w:color="auto"/>
        <w:right w:val="none" w:sz="0" w:space="0" w:color="auto"/>
      </w:divBdr>
    </w:div>
    <w:div w:id="348527286">
      <w:bodyDiv w:val="1"/>
      <w:marLeft w:val="0"/>
      <w:marRight w:val="0"/>
      <w:marTop w:val="0"/>
      <w:marBottom w:val="0"/>
      <w:divBdr>
        <w:top w:val="none" w:sz="0" w:space="0" w:color="auto"/>
        <w:left w:val="none" w:sz="0" w:space="0" w:color="auto"/>
        <w:bottom w:val="none" w:sz="0" w:space="0" w:color="auto"/>
        <w:right w:val="none" w:sz="0" w:space="0" w:color="auto"/>
      </w:divBdr>
    </w:div>
    <w:div w:id="348726616">
      <w:bodyDiv w:val="1"/>
      <w:marLeft w:val="0"/>
      <w:marRight w:val="0"/>
      <w:marTop w:val="0"/>
      <w:marBottom w:val="0"/>
      <w:divBdr>
        <w:top w:val="none" w:sz="0" w:space="0" w:color="auto"/>
        <w:left w:val="none" w:sz="0" w:space="0" w:color="auto"/>
        <w:bottom w:val="none" w:sz="0" w:space="0" w:color="auto"/>
        <w:right w:val="none" w:sz="0" w:space="0" w:color="auto"/>
      </w:divBdr>
    </w:div>
    <w:div w:id="349259666">
      <w:bodyDiv w:val="1"/>
      <w:marLeft w:val="0"/>
      <w:marRight w:val="0"/>
      <w:marTop w:val="0"/>
      <w:marBottom w:val="0"/>
      <w:divBdr>
        <w:top w:val="none" w:sz="0" w:space="0" w:color="auto"/>
        <w:left w:val="none" w:sz="0" w:space="0" w:color="auto"/>
        <w:bottom w:val="none" w:sz="0" w:space="0" w:color="auto"/>
        <w:right w:val="none" w:sz="0" w:space="0" w:color="auto"/>
      </w:divBdr>
    </w:div>
    <w:div w:id="353575561">
      <w:bodyDiv w:val="1"/>
      <w:marLeft w:val="0"/>
      <w:marRight w:val="0"/>
      <w:marTop w:val="0"/>
      <w:marBottom w:val="0"/>
      <w:divBdr>
        <w:top w:val="none" w:sz="0" w:space="0" w:color="auto"/>
        <w:left w:val="none" w:sz="0" w:space="0" w:color="auto"/>
        <w:bottom w:val="none" w:sz="0" w:space="0" w:color="auto"/>
        <w:right w:val="none" w:sz="0" w:space="0" w:color="auto"/>
      </w:divBdr>
    </w:div>
    <w:div w:id="354305520">
      <w:bodyDiv w:val="1"/>
      <w:marLeft w:val="0"/>
      <w:marRight w:val="0"/>
      <w:marTop w:val="0"/>
      <w:marBottom w:val="0"/>
      <w:divBdr>
        <w:top w:val="none" w:sz="0" w:space="0" w:color="auto"/>
        <w:left w:val="none" w:sz="0" w:space="0" w:color="auto"/>
        <w:bottom w:val="none" w:sz="0" w:space="0" w:color="auto"/>
        <w:right w:val="none" w:sz="0" w:space="0" w:color="auto"/>
      </w:divBdr>
    </w:div>
    <w:div w:id="354504871">
      <w:bodyDiv w:val="1"/>
      <w:marLeft w:val="0"/>
      <w:marRight w:val="0"/>
      <w:marTop w:val="0"/>
      <w:marBottom w:val="0"/>
      <w:divBdr>
        <w:top w:val="none" w:sz="0" w:space="0" w:color="auto"/>
        <w:left w:val="none" w:sz="0" w:space="0" w:color="auto"/>
        <w:bottom w:val="none" w:sz="0" w:space="0" w:color="auto"/>
        <w:right w:val="none" w:sz="0" w:space="0" w:color="auto"/>
      </w:divBdr>
    </w:div>
    <w:div w:id="356663680">
      <w:bodyDiv w:val="1"/>
      <w:marLeft w:val="0"/>
      <w:marRight w:val="0"/>
      <w:marTop w:val="0"/>
      <w:marBottom w:val="0"/>
      <w:divBdr>
        <w:top w:val="none" w:sz="0" w:space="0" w:color="auto"/>
        <w:left w:val="none" w:sz="0" w:space="0" w:color="auto"/>
        <w:bottom w:val="none" w:sz="0" w:space="0" w:color="auto"/>
        <w:right w:val="none" w:sz="0" w:space="0" w:color="auto"/>
      </w:divBdr>
    </w:div>
    <w:div w:id="358285935">
      <w:bodyDiv w:val="1"/>
      <w:marLeft w:val="0"/>
      <w:marRight w:val="0"/>
      <w:marTop w:val="0"/>
      <w:marBottom w:val="0"/>
      <w:divBdr>
        <w:top w:val="none" w:sz="0" w:space="0" w:color="auto"/>
        <w:left w:val="none" w:sz="0" w:space="0" w:color="auto"/>
        <w:bottom w:val="none" w:sz="0" w:space="0" w:color="auto"/>
        <w:right w:val="none" w:sz="0" w:space="0" w:color="auto"/>
      </w:divBdr>
    </w:div>
    <w:div w:id="360592730">
      <w:bodyDiv w:val="1"/>
      <w:marLeft w:val="0"/>
      <w:marRight w:val="0"/>
      <w:marTop w:val="0"/>
      <w:marBottom w:val="0"/>
      <w:divBdr>
        <w:top w:val="none" w:sz="0" w:space="0" w:color="auto"/>
        <w:left w:val="none" w:sz="0" w:space="0" w:color="auto"/>
        <w:bottom w:val="none" w:sz="0" w:space="0" w:color="auto"/>
        <w:right w:val="none" w:sz="0" w:space="0" w:color="auto"/>
      </w:divBdr>
    </w:div>
    <w:div w:id="361050676">
      <w:bodyDiv w:val="1"/>
      <w:marLeft w:val="0"/>
      <w:marRight w:val="0"/>
      <w:marTop w:val="0"/>
      <w:marBottom w:val="0"/>
      <w:divBdr>
        <w:top w:val="none" w:sz="0" w:space="0" w:color="auto"/>
        <w:left w:val="none" w:sz="0" w:space="0" w:color="auto"/>
        <w:bottom w:val="none" w:sz="0" w:space="0" w:color="auto"/>
        <w:right w:val="none" w:sz="0" w:space="0" w:color="auto"/>
      </w:divBdr>
    </w:div>
    <w:div w:id="363022070">
      <w:bodyDiv w:val="1"/>
      <w:marLeft w:val="0"/>
      <w:marRight w:val="0"/>
      <w:marTop w:val="0"/>
      <w:marBottom w:val="0"/>
      <w:divBdr>
        <w:top w:val="none" w:sz="0" w:space="0" w:color="auto"/>
        <w:left w:val="none" w:sz="0" w:space="0" w:color="auto"/>
        <w:bottom w:val="none" w:sz="0" w:space="0" w:color="auto"/>
        <w:right w:val="none" w:sz="0" w:space="0" w:color="auto"/>
      </w:divBdr>
    </w:div>
    <w:div w:id="363873104">
      <w:bodyDiv w:val="1"/>
      <w:marLeft w:val="0"/>
      <w:marRight w:val="0"/>
      <w:marTop w:val="0"/>
      <w:marBottom w:val="0"/>
      <w:divBdr>
        <w:top w:val="none" w:sz="0" w:space="0" w:color="auto"/>
        <w:left w:val="none" w:sz="0" w:space="0" w:color="auto"/>
        <w:bottom w:val="none" w:sz="0" w:space="0" w:color="auto"/>
        <w:right w:val="none" w:sz="0" w:space="0" w:color="auto"/>
      </w:divBdr>
    </w:div>
    <w:div w:id="364671471">
      <w:bodyDiv w:val="1"/>
      <w:marLeft w:val="0"/>
      <w:marRight w:val="0"/>
      <w:marTop w:val="0"/>
      <w:marBottom w:val="0"/>
      <w:divBdr>
        <w:top w:val="none" w:sz="0" w:space="0" w:color="auto"/>
        <w:left w:val="none" w:sz="0" w:space="0" w:color="auto"/>
        <w:bottom w:val="none" w:sz="0" w:space="0" w:color="auto"/>
        <w:right w:val="none" w:sz="0" w:space="0" w:color="auto"/>
      </w:divBdr>
    </w:div>
    <w:div w:id="368605435">
      <w:bodyDiv w:val="1"/>
      <w:marLeft w:val="0"/>
      <w:marRight w:val="0"/>
      <w:marTop w:val="0"/>
      <w:marBottom w:val="0"/>
      <w:divBdr>
        <w:top w:val="none" w:sz="0" w:space="0" w:color="auto"/>
        <w:left w:val="none" w:sz="0" w:space="0" w:color="auto"/>
        <w:bottom w:val="none" w:sz="0" w:space="0" w:color="auto"/>
        <w:right w:val="none" w:sz="0" w:space="0" w:color="auto"/>
      </w:divBdr>
    </w:div>
    <w:div w:id="368993996">
      <w:bodyDiv w:val="1"/>
      <w:marLeft w:val="0"/>
      <w:marRight w:val="0"/>
      <w:marTop w:val="0"/>
      <w:marBottom w:val="0"/>
      <w:divBdr>
        <w:top w:val="none" w:sz="0" w:space="0" w:color="auto"/>
        <w:left w:val="none" w:sz="0" w:space="0" w:color="auto"/>
        <w:bottom w:val="none" w:sz="0" w:space="0" w:color="auto"/>
        <w:right w:val="none" w:sz="0" w:space="0" w:color="auto"/>
      </w:divBdr>
    </w:div>
    <w:div w:id="369112575">
      <w:bodyDiv w:val="1"/>
      <w:marLeft w:val="0"/>
      <w:marRight w:val="0"/>
      <w:marTop w:val="0"/>
      <w:marBottom w:val="0"/>
      <w:divBdr>
        <w:top w:val="none" w:sz="0" w:space="0" w:color="auto"/>
        <w:left w:val="none" w:sz="0" w:space="0" w:color="auto"/>
        <w:bottom w:val="none" w:sz="0" w:space="0" w:color="auto"/>
        <w:right w:val="none" w:sz="0" w:space="0" w:color="auto"/>
      </w:divBdr>
    </w:div>
    <w:div w:id="369186697">
      <w:bodyDiv w:val="1"/>
      <w:marLeft w:val="0"/>
      <w:marRight w:val="0"/>
      <w:marTop w:val="0"/>
      <w:marBottom w:val="0"/>
      <w:divBdr>
        <w:top w:val="none" w:sz="0" w:space="0" w:color="auto"/>
        <w:left w:val="none" w:sz="0" w:space="0" w:color="auto"/>
        <w:bottom w:val="none" w:sz="0" w:space="0" w:color="auto"/>
        <w:right w:val="none" w:sz="0" w:space="0" w:color="auto"/>
      </w:divBdr>
    </w:div>
    <w:div w:id="369767024">
      <w:bodyDiv w:val="1"/>
      <w:marLeft w:val="0"/>
      <w:marRight w:val="0"/>
      <w:marTop w:val="0"/>
      <w:marBottom w:val="0"/>
      <w:divBdr>
        <w:top w:val="none" w:sz="0" w:space="0" w:color="auto"/>
        <w:left w:val="none" w:sz="0" w:space="0" w:color="auto"/>
        <w:bottom w:val="none" w:sz="0" w:space="0" w:color="auto"/>
        <w:right w:val="none" w:sz="0" w:space="0" w:color="auto"/>
      </w:divBdr>
    </w:div>
    <w:div w:id="373971358">
      <w:bodyDiv w:val="1"/>
      <w:marLeft w:val="0"/>
      <w:marRight w:val="0"/>
      <w:marTop w:val="0"/>
      <w:marBottom w:val="0"/>
      <w:divBdr>
        <w:top w:val="none" w:sz="0" w:space="0" w:color="auto"/>
        <w:left w:val="none" w:sz="0" w:space="0" w:color="auto"/>
        <w:bottom w:val="none" w:sz="0" w:space="0" w:color="auto"/>
        <w:right w:val="none" w:sz="0" w:space="0" w:color="auto"/>
      </w:divBdr>
    </w:div>
    <w:div w:id="375469377">
      <w:bodyDiv w:val="1"/>
      <w:marLeft w:val="0"/>
      <w:marRight w:val="0"/>
      <w:marTop w:val="0"/>
      <w:marBottom w:val="0"/>
      <w:divBdr>
        <w:top w:val="none" w:sz="0" w:space="0" w:color="auto"/>
        <w:left w:val="none" w:sz="0" w:space="0" w:color="auto"/>
        <w:bottom w:val="none" w:sz="0" w:space="0" w:color="auto"/>
        <w:right w:val="none" w:sz="0" w:space="0" w:color="auto"/>
      </w:divBdr>
    </w:div>
    <w:div w:id="383721678">
      <w:bodyDiv w:val="1"/>
      <w:marLeft w:val="0"/>
      <w:marRight w:val="0"/>
      <w:marTop w:val="0"/>
      <w:marBottom w:val="0"/>
      <w:divBdr>
        <w:top w:val="none" w:sz="0" w:space="0" w:color="auto"/>
        <w:left w:val="none" w:sz="0" w:space="0" w:color="auto"/>
        <w:bottom w:val="none" w:sz="0" w:space="0" w:color="auto"/>
        <w:right w:val="none" w:sz="0" w:space="0" w:color="auto"/>
      </w:divBdr>
    </w:div>
    <w:div w:id="384530898">
      <w:bodyDiv w:val="1"/>
      <w:marLeft w:val="0"/>
      <w:marRight w:val="0"/>
      <w:marTop w:val="0"/>
      <w:marBottom w:val="0"/>
      <w:divBdr>
        <w:top w:val="none" w:sz="0" w:space="0" w:color="auto"/>
        <w:left w:val="none" w:sz="0" w:space="0" w:color="auto"/>
        <w:bottom w:val="none" w:sz="0" w:space="0" w:color="auto"/>
        <w:right w:val="none" w:sz="0" w:space="0" w:color="auto"/>
      </w:divBdr>
    </w:div>
    <w:div w:id="384913660">
      <w:bodyDiv w:val="1"/>
      <w:marLeft w:val="0"/>
      <w:marRight w:val="0"/>
      <w:marTop w:val="0"/>
      <w:marBottom w:val="0"/>
      <w:divBdr>
        <w:top w:val="none" w:sz="0" w:space="0" w:color="auto"/>
        <w:left w:val="none" w:sz="0" w:space="0" w:color="auto"/>
        <w:bottom w:val="none" w:sz="0" w:space="0" w:color="auto"/>
        <w:right w:val="none" w:sz="0" w:space="0" w:color="auto"/>
      </w:divBdr>
    </w:div>
    <w:div w:id="385880053">
      <w:bodyDiv w:val="1"/>
      <w:marLeft w:val="0"/>
      <w:marRight w:val="0"/>
      <w:marTop w:val="0"/>
      <w:marBottom w:val="0"/>
      <w:divBdr>
        <w:top w:val="none" w:sz="0" w:space="0" w:color="auto"/>
        <w:left w:val="none" w:sz="0" w:space="0" w:color="auto"/>
        <w:bottom w:val="none" w:sz="0" w:space="0" w:color="auto"/>
        <w:right w:val="none" w:sz="0" w:space="0" w:color="auto"/>
      </w:divBdr>
    </w:div>
    <w:div w:id="388071370">
      <w:bodyDiv w:val="1"/>
      <w:marLeft w:val="0"/>
      <w:marRight w:val="0"/>
      <w:marTop w:val="0"/>
      <w:marBottom w:val="0"/>
      <w:divBdr>
        <w:top w:val="none" w:sz="0" w:space="0" w:color="auto"/>
        <w:left w:val="none" w:sz="0" w:space="0" w:color="auto"/>
        <w:bottom w:val="none" w:sz="0" w:space="0" w:color="auto"/>
        <w:right w:val="none" w:sz="0" w:space="0" w:color="auto"/>
      </w:divBdr>
    </w:div>
    <w:div w:id="388922695">
      <w:bodyDiv w:val="1"/>
      <w:marLeft w:val="0"/>
      <w:marRight w:val="0"/>
      <w:marTop w:val="0"/>
      <w:marBottom w:val="0"/>
      <w:divBdr>
        <w:top w:val="none" w:sz="0" w:space="0" w:color="auto"/>
        <w:left w:val="none" w:sz="0" w:space="0" w:color="auto"/>
        <w:bottom w:val="none" w:sz="0" w:space="0" w:color="auto"/>
        <w:right w:val="none" w:sz="0" w:space="0" w:color="auto"/>
      </w:divBdr>
    </w:div>
    <w:div w:id="390077997">
      <w:bodyDiv w:val="1"/>
      <w:marLeft w:val="0"/>
      <w:marRight w:val="0"/>
      <w:marTop w:val="0"/>
      <w:marBottom w:val="0"/>
      <w:divBdr>
        <w:top w:val="none" w:sz="0" w:space="0" w:color="auto"/>
        <w:left w:val="none" w:sz="0" w:space="0" w:color="auto"/>
        <w:bottom w:val="none" w:sz="0" w:space="0" w:color="auto"/>
        <w:right w:val="none" w:sz="0" w:space="0" w:color="auto"/>
      </w:divBdr>
    </w:div>
    <w:div w:id="391320405">
      <w:bodyDiv w:val="1"/>
      <w:marLeft w:val="0"/>
      <w:marRight w:val="0"/>
      <w:marTop w:val="0"/>
      <w:marBottom w:val="0"/>
      <w:divBdr>
        <w:top w:val="none" w:sz="0" w:space="0" w:color="auto"/>
        <w:left w:val="none" w:sz="0" w:space="0" w:color="auto"/>
        <w:bottom w:val="none" w:sz="0" w:space="0" w:color="auto"/>
        <w:right w:val="none" w:sz="0" w:space="0" w:color="auto"/>
      </w:divBdr>
    </w:div>
    <w:div w:id="392584842">
      <w:bodyDiv w:val="1"/>
      <w:marLeft w:val="0"/>
      <w:marRight w:val="0"/>
      <w:marTop w:val="0"/>
      <w:marBottom w:val="0"/>
      <w:divBdr>
        <w:top w:val="none" w:sz="0" w:space="0" w:color="auto"/>
        <w:left w:val="none" w:sz="0" w:space="0" w:color="auto"/>
        <w:bottom w:val="none" w:sz="0" w:space="0" w:color="auto"/>
        <w:right w:val="none" w:sz="0" w:space="0" w:color="auto"/>
      </w:divBdr>
    </w:div>
    <w:div w:id="395207766">
      <w:bodyDiv w:val="1"/>
      <w:marLeft w:val="0"/>
      <w:marRight w:val="0"/>
      <w:marTop w:val="0"/>
      <w:marBottom w:val="0"/>
      <w:divBdr>
        <w:top w:val="none" w:sz="0" w:space="0" w:color="auto"/>
        <w:left w:val="none" w:sz="0" w:space="0" w:color="auto"/>
        <w:bottom w:val="none" w:sz="0" w:space="0" w:color="auto"/>
        <w:right w:val="none" w:sz="0" w:space="0" w:color="auto"/>
      </w:divBdr>
    </w:div>
    <w:div w:id="395319452">
      <w:bodyDiv w:val="1"/>
      <w:marLeft w:val="0"/>
      <w:marRight w:val="0"/>
      <w:marTop w:val="0"/>
      <w:marBottom w:val="0"/>
      <w:divBdr>
        <w:top w:val="none" w:sz="0" w:space="0" w:color="auto"/>
        <w:left w:val="none" w:sz="0" w:space="0" w:color="auto"/>
        <w:bottom w:val="none" w:sz="0" w:space="0" w:color="auto"/>
        <w:right w:val="none" w:sz="0" w:space="0" w:color="auto"/>
      </w:divBdr>
    </w:div>
    <w:div w:id="395712251">
      <w:bodyDiv w:val="1"/>
      <w:marLeft w:val="0"/>
      <w:marRight w:val="0"/>
      <w:marTop w:val="0"/>
      <w:marBottom w:val="0"/>
      <w:divBdr>
        <w:top w:val="none" w:sz="0" w:space="0" w:color="auto"/>
        <w:left w:val="none" w:sz="0" w:space="0" w:color="auto"/>
        <w:bottom w:val="none" w:sz="0" w:space="0" w:color="auto"/>
        <w:right w:val="none" w:sz="0" w:space="0" w:color="auto"/>
      </w:divBdr>
    </w:div>
    <w:div w:id="395860539">
      <w:bodyDiv w:val="1"/>
      <w:marLeft w:val="0"/>
      <w:marRight w:val="0"/>
      <w:marTop w:val="0"/>
      <w:marBottom w:val="0"/>
      <w:divBdr>
        <w:top w:val="none" w:sz="0" w:space="0" w:color="auto"/>
        <w:left w:val="none" w:sz="0" w:space="0" w:color="auto"/>
        <w:bottom w:val="none" w:sz="0" w:space="0" w:color="auto"/>
        <w:right w:val="none" w:sz="0" w:space="0" w:color="auto"/>
      </w:divBdr>
    </w:div>
    <w:div w:id="397167320">
      <w:bodyDiv w:val="1"/>
      <w:marLeft w:val="0"/>
      <w:marRight w:val="0"/>
      <w:marTop w:val="0"/>
      <w:marBottom w:val="0"/>
      <w:divBdr>
        <w:top w:val="none" w:sz="0" w:space="0" w:color="auto"/>
        <w:left w:val="none" w:sz="0" w:space="0" w:color="auto"/>
        <w:bottom w:val="none" w:sz="0" w:space="0" w:color="auto"/>
        <w:right w:val="none" w:sz="0" w:space="0" w:color="auto"/>
      </w:divBdr>
    </w:div>
    <w:div w:id="398403518">
      <w:bodyDiv w:val="1"/>
      <w:marLeft w:val="0"/>
      <w:marRight w:val="0"/>
      <w:marTop w:val="0"/>
      <w:marBottom w:val="0"/>
      <w:divBdr>
        <w:top w:val="none" w:sz="0" w:space="0" w:color="auto"/>
        <w:left w:val="none" w:sz="0" w:space="0" w:color="auto"/>
        <w:bottom w:val="none" w:sz="0" w:space="0" w:color="auto"/>
        <w:right w:val="none" w:sz="0" w:space="0" w:color="auto"/>
      </w:divBdr>
    </w:div>
    <w:div w:id="398556633">
      <w:bodyDiv w:val="1"/>
      <w:marLeft w:val="0"/>
      <w:marRight w:val="0"/>
      <w:marTop w:val="0"/>
      <w:marBottom w:val="0"/>
      <w:divBdr>
        <w:top w:val="none" w:sz="0" w:space="0" w:color="auto"/>
        <w:left w:val="none" w:sz="0" w:space="0" w:color="auto"/>
        <w:bottom w:val="none" w:sz="0" w:space="0" w:color="auto"/>
        <w:right w:val="none" w:sz="0" w:space="0" w:color="auto"/>
      </w:divBdr>
    </w:div>
    <w:div w:id="405347033">
      <w:bodyDiv w:val="1"/>
      <w:marLeft w:val="0"/>
      <w:marRight w:val="0"/>
      <w:marTop w:val="0"/>
      <w:marBottom w:val="0"/>
      <w:divBdr>
        <w:top w:val="none" w:sz="0" w:space="0" w:color="auto"/>
        <w:left w:val="none" w:sz="0" w:space="0" w:color="auto"/>
        <w:bottom w:val="none" w:sz="0" w:space="0" w:color="auto"/>
        <w:right w:val="none" w:sz="0" w:space="0" w:color="auto"/>
      </w:divBdr>
    </w:div>
    <w:div w:id="405498596">
      <w:bodyDiv w:val="1"/>
      <w:marLeft w:val="0"/>
      <w:marRight w:val="0"/>
      <w:marTop w:val="0"/>
      <w:marBottom w:val="0"/>
      <w:divBdr>
        <w:top w:val="none" w:sz="0" w:space="0" w:color="auto"/>
        <w:left w:val="none" w:sz="0" w:space="0" w:color="auto"/>
        <w:bottom w:val="none" w:sz="0" w:space="0" w:color="auto"/>
        <w:right w:val="none" w:sz="0" w:space="0" w:color="auto"/>
      </w:divBdr>
    </w:div>
    <w:div w:id="406271712">
      <w:bodyDiv w:val="1"/>
      <w:marLeft w:val="0"/>
      <w:marRight w:val="0"/>
      <w:marTop w:val="0"/>
      <w:marBottom w:val="0"/>
      <w:divBdr>
        <w:top w:val="none" w:sz="0" w:space="0" w:color="auto"/>
        <w:left w:val="none" w:sz="0" w:space="0" w:color="auto"/>
        <w:bottom w:val="none" w:sz="0" w:space="0" w:color="auto"/>
        <w:right w:val="none" w:sz="0" w:space="0" w:color="auto"/>
      </w:divBdr>
    </w:div>
    <w:div w:id="406347203">
      <w:bodyDiv w:val="1"/>
      <w:marLeft w:val="0"/>
      <w:marRight w:val="0"/>
      <w:marTop w:val="0"/>
      <w:marBottom w:val="0"/>
      <w:divBdr>
        <w:top w:val="none" w:sz="0" w:space="0" w:color="auto"/>
        <w:left w:val="none" w:sz="0" w:space="0" w:color="auto"/>
        <w:bottom w:val="none" w:sz="0" w:space="0" w:color="auto"/>
        <w:right w:val="none" w:sz="0" w:space="0" w:color="auto"/>
      </w:divBdr>
    </w:div>
    <w:div w:id="410934830">
      <w:bodyDiv w:val="1"/>
      <w:marLeft w:val="0"/>
      <w:marRight w:val="0"/>
      <w:marTop w:val="0"/>
      <w:marBottom w:val="0"/>
      <w:divBdr>
        <w:top w:val="none" w:sz="0" w:space="0" w:color="auto"/>
        <w:left w:val="none" w:sz="0" w:space="0" w:color="auto"/>
        <w:bottom w:val="none" w:sz="0" w:space="0" w:color="auto"/>
        <w:right w:val="none" w:sz="0" w:space="0" w:color="auto"/>
      </w:divBdr>
    </w:div>
    <w:div w:id="411047501">
      <w:bodyDiv w:val="1"/>
      <w:marLeft w:val="0"/>
      <w:marRight w:val="0"/>
      <w:marTop w:val="0"/>
      <w:marBottom w:val="0"/>
      <w:divBdr>
        <w:top w:val="none" w:sz="0" w:space="0" w:color="auto"/>
        <w:left w:val="none" w:sz="0" w:space="0" w:color="auto"/>
        <w:bottom w:val="none" w:sz="0" w:space="0" w:color="auto"/>
        <w:right w:val="none" w:sz="0" w:space="0" w:color="auto"/>
      </w:divBdr>
    </w:div>
    <w:div w:id="412246431">
      <w:bodyDiv w:val="1"/>
      <w:marLeft w:val="0"/>
      <w:marRight w:val="0"/>
      <w:marTop w:val="0"/>
      <w:marBottom w:val="0"/>
      <w:divBdr>
        <w:top w:val="none" w:sz="0" w:space="0" w:color="auto"/>
        <w:left w:val="none" w:sz="0" w:space="0" w:color="auto"/>
        <w:bottom w:val="none" w:sz="0" w:space="0" w:color="auto"/>
        <w:right w:val="none" w:sz="0" w:space="0" w:color="auto"/>
      </w:divBdr>
    </w:div>
    <w:div w:id="412776275">
      <w:bodyDiv w:val="1"/>
      <w:marLeft w:val="0"/>
      <w:marRight w:val="0"/>
      <w:marTop w:val="0"/>
      <w:marBottom w:val="0"/>
      <w:divBdr>
        <w:top w:val="none" w:sz="0" w:space="0" w:color="auto"/>
        <w:left w:val="none" w:sz="0" w:space="0" w:color="auto"/>
        <w:bottom w:val="none" w:sz="0" w:space="0" w:color="auto"/>
        <w:right w:val="none" w:sz="0" w:space="0" w:color="auto"/>
      </w:divBdr>
    </w:div>
    <w:div w:id="415251365">
      <w:bodyDiv w:val="1"/>
      <w:marLeft w:val="0"/>
      <w:marRight w:val="0"/>
      <w:marTop w:val="0"/>
      <w:marBottom w:val="0"/>
      <w:divBdr>
        <w:top w:val="none" w:sz="0" w:space="0" w:color="auto"/>
        <w:left w:val="none" w:sz="0" w:space="0" w:color="auto"/>
        <w:bottom w:val="none" w:sz="0" w:space="0" w:color="auto"/>
        <w:right w:val="none" w:sz="0" w:space="0" w:color="auto"/>
      </w:divBdr>
    </w:div>
    <w:div w:id="416488863">
      <w:bodyDiv w:val="1"/>
      <w:marLeft w:val="0"/>
      <w:marRight w:val="0"/>
      <w:marTop w:val="0"/>
      <w:marBottom w:val="0"/>
      <w:divBdr>
        <w:top w:val="none" w:sz="0" w:space="0" w:color="auto"/>
        <w:left w:val="none" w:sz="0" w:space="0" w:color="auto"/>
        <w:bottom w:val="none" w:sz="0" w:space="0" w:color="auto"/>
        <w:right w:val="none" w:sz="0" w:space="0" w:color="auto"/>
      </w:divBdr>
    </w:div>
    <w:div w:id="417143720">
      <w:bodyDiv w:val="1"/>
      <w:marLeft w:val="0"/>
      <w:marRight w:val="0"/>
      <w:marTop w:val="0"/>
      <w:marBottom w:val="0"/>
      <w:divBdr>
        <w:top w:val="none" w:sz="0" w:space="0" w:color="auto"/>
        <w:left w:val="none" w:sz="0" w:space="0" w:color="auto"/>
        <w:bottom w:val="none" w:sz="0" w:space="0" w:color="auto"/>
        <w:right w:val="none" w:sz="0" w:space="0" w:color="auto"/>
      </w:divBdr>
    </w:div>
    <w:div w:id="418599939">
      <w:bodyDiv w:val="1"/>
      <w:marLeft w:val="0"/>
      <w:marRight w:val="0"/>
      <w:marTop w:val="0"/>
      <w:marBottom w:val="0"/>
      <w:divBdr>
        <w:top w:val="none" w:sz="0" w:space="0" w:color="auto"/>
        <w:left w:val="none" w:sz="0" w:space="0" w:color="auto"/>
        <w:bottom w:val="none" w:sz="0" w:space="0" w:color="auto"/>
        <w:right w:val="none" w:sz="0" w:space="0" w:color="auto"/>
      </w:divBdr>
    </w:div>
    <w:div w:id="419254734">
      <w:bodyDiv w:val="1"/>
      <w:marLeft w:val="0"/>
      <w:marRight w:val="0"/>
      <w:marTop w:val="0"/>
      <w:marBottom w:val="0"/>
      <w:divBdr>
        <w:top w:val="none" w:sz="0" w:space="0" w:color="auto"/>
        <w:left w:val="none" w:sz="0" w:space="0" w:color="auto"/>
        <w:bottom w:val="none" w:sz="0" w:space="0" w:color="auto"/>
        <w:right w:val="none" w:sz="0" w:space="0" w:color="auto"/>
      </w:divBdr>
    </w:div>
    <w:div w:id="419986190">
      <w:bodyDiv w:val="1"/>
      <w:marLeft w:val="0"/>
      <w:marRight w:val="0"/>
      <w:marTop w:val="0"/>
      <w:marBottom w:val="0"/>
      <w:divBdr>
        <w:top w:val="none" w:sz="0" w:space="0" w:color="auto"/>
        <w:left w:val="none" w:sz="0" w:space="0" w:color="auto"/>
        <w:bottom w:val="none" w:sz="0" w:space="0" w:color="auto"/>
        <w:right w:val="none" w:sz="0" w:space="0" w:color="auto"/>
      </w:divBdr>
    </w:div>
    <w:div w:id="423452846">
      <w:bodyDiv w:val="1"/>
      <w:marLeft w:val="0"/>
      <w:marRight w:val="0"/>
      <w:marTop w:val="0"/>
      <w:marBottom w:val="0"/>
      <w:divBdr>
        <w:top w:val="none" w:sz="0" w:space="0" w:color="auto"/>
        <w:left w:val="none" w:sz="0" w:space="0" w:color="auto"/>
        <w:bottom w:val="none" w:sz="0" w:space="0" w:color="auto"/>
        <w:right w:val="none" w:sz="0" w:space="0" w:color="auto"/>
      </w:divBdr>
    </w:div>
    <w:div w:id="425274285">
      <w:bodyDiv w:val="1"/>
      <w:marLeft w:val="0"/>
      <w:marRight w:val="0"/>
      <w:marTop w:val="0"/>
      <w:marBottom w:val="0"/>
      <w:divBdr>
        <w:top w:val="none" w:sz="0" w:space="0" w:color="auto"/>
        <w:left w:val="none" w:sz="0" w:space="0" w:color="auto"/>
        <w:bottom w:val="none" w:sz="0" w:space="0" w:color="auto"/>
        <w:right w:val="none" w:sz="0" w:space="0" w:color="auto"/>
      </w:divBdr>
    </w:div>
    <w:div w:id="425881264">
      <w:bodyDiv w:val="1"/>
      <w:marLeft w:val="0"/>
      <w:marRight w:val="0"/>
      <w:marTop w:val="0"/>
      <w:marBottom w:val="0"/>
      <w:divBdr>
        <w:top w:val="none" w:sz="0" w:space="0" w:color="auto"/>
        <w:left w:val="none" w:sz="0" w:space="0" w:color="auto"/>
        <w:bottom w:val="none" w:sz="0" w:space="0" w:color="auto"/>
        <w:right w:val="none" w:sz="0" w:space="0" w:color="auto"/>
      </w:divBdr>
    </w:div>
    <w:div w:id="427508015">
      <w:bodyDiv w:val="1"/>
      <w:marLeft w:val="0"/>
      <w:marRight w:val="0"/>
      <w:marTop w:val="0"/>
      <w:marBottom w:val="0"/>
      <w:divBdr>
        <w:top w:val="none" w:sz="0" w:space="0" w:color="auto"/>
        <w:left w:val="none" w:sz="0" w:space="0" w:color="auto"/>
        <w:bottom w:val="none" w:sz="0" w:space="0" w:color="auto"/>
        <w:right w:val="none" w:sz="0" w:space="0" w:color="auto"/>
      </w:divBdr>
    </w:div>
    <w:div w:id="428699277">
      <w:bodyDiv w:val="1"/>
      <w:marLeft w:val="0"/>
      <w:marRight w:val="0"/>
      <w:marTop w:val="0"/>
      <w:marBottom w:val="0"/>
      <w:divBdr>
        <w:top w:val="none" w:sz="0" w:space="0" w:color="auto"/>
        <w:left w:val="none" w:sz="0" w:space="0" w:color="auto"/>
        <w:bottom w:val="none" w:sz="0" w:space="0" w:color="auto"/>
        <w:right w:val="none" w:sz="0" w:space="0" w:color="auto"/>
      </w:divBdr>
    </w:div>
    <w:div w:id="430706422">
      <w:bodyDiv w:val="1"/>
      <w:marLeft w:val="0"/>
      <w:marRight w:val="0"/>
      <w:marTop w:val="0"/>
      <w:marBottom w:val="0"/>
      <w:divBdr>
        <w:top w:val="none" w:sz="0" w:space="0" w:color="auto"/>
        <w:left w:val="none" w:sz="0" w:space="0" w:color="auto"/>
        <w:bottom w:val="none" w:sz="0" w:space="0" w:color="auto"/>
        <w:right w:val="none" w:sz="0" w:space="0" w:color="auto"/>
      </w:divBdr>
    </w:div>
    <w:div w:id="431978957">
      <w:bodyDiv w:val="1"/>
      <w:marLeft w:val="0"/>
      <w:marRight w:val="0"/>
      <w:marTop w:val="0"/>
      <w:marBottom w:val="0"/>
      <w:divBdr>
        <w:top w:val="none" w:sz="0" w:space="0" w:color="auto"/>
        <w:left w:val="none" w:sz="0" w:space="0" w:color="auto"/>
        <w:bottom w:val="none" w:sz="0" w:space="0" w:color="auto"/>
        <w:right w:val="none" w:sz="0" w:space="0" w:color="auto"/>
      </w:divBdr>
    </w:div>
    <w:div w:id="433135230">
      <w:bodyDiv w:val="1"/>
      <w:marLeft w:val="0"/>
      <w:marRight w:val="0"/>
      <w:marTop w:val="0"/>
      <w:marBottom w:val="0"/>
      <w:divBdr>
        <w:top w:val="none" w:sz="0" w:space="0" w:color="auto"/>
        <w:left w:val="none" w:sz="0" w:space="0" w:color="auto"/>
        <w:bottom w:val="none" w:sz="0" w:space="0" w:color="auto"/>
        <w:right w:val="none" w:sz="0" w:space="0" w:color="auto"/>
      </w:divBdr>
    </w:div>
    <w:div w:id="434181591">
      <w:bodyDiv w:val="1"/>
      <w:marLeft w:val="0"/>
      <w:marRight w:val="0"/>
      <w:marTop w:val="0"/>
      <w:marBottom w:val="0"/>
      <w:divBdr>
        <w:top w:val="none" w:sz="0" w:space="0" w:color="auto"/>
        <w:left w:val="none" w:sz="0" w:space="0" w:color="auto"/>
        <w:bottom w:val="none" w:sz="0" w:space="0" w:color="auto"/>
        <w:right w:val="none" w:sz="0" w:space="0" w:color="auto"/>
      </w:divBdr>
    </w:div>
    <w:div w:id="434249108">
      <w:bodyDiv w:val="1"/>
      <w:marLeft w:val="0"/>
      <w:marRight w:val="0"/>
      <w:marTop w:val="0"/>
      <w:marBottom w:val="0"/>
      <w:divBdr>
        <w:top w:val="none" w:sz="0" w:space="0" w:color="auto"/>
        <w:left w:val="none" w:sz="0" w:space="0" w:color="auto"/>
        <w:bottom w:val="none" w:sz="0" w:space="0" w:color="auto"/>
        <w:right w:val="none" w:sz="0" w:space="0" w:color="auto"/>
      </w:divBdr>
    </w:div>
    <w:div w:id="434328417">
      <w:bodyDiv w:val="1"/>
      <w:marLeft w:val="0"/>
      <w:marRight w:val="0"/>
      <w:marTop w:val="0"/>
      <w:marBottom w:val="0"/>
      <w:divBdr>
        <w:top w:val="none" w:sz="0" w:space="0" w:color="auto"/>
        <w:left w:val="none" w:sz="0" w:space="0" w:color="auto"/>
        <w:bottom w:val="none" w:sz="0" w:space="0" w:color="auto"/>
        <w:right w:val="none" w:sz="0" w:space="0" w:color="auto"/>
      </w:divBdr>
    </w:div>
    <w:div w:id="435297827">
      <w:bodyDiv w:val="1"/>
      <w:marLeft w:val="0"/>
      <w:marRight w:val="0"/>
      <w:marTop w:val="0"/>
      <w:marBottom w:val="0"/>
      <w:divBdr>
        <w:top w:val="none" w:sz="0" w:space="0" w:color="auto"/>
        <w:left w:val="none" w:sz="0" w:space="0" w:color="auto"/>
        <w:bottom w:val="none" w:sz="0" w:space="0" w:color="auto"/>
        <w:right w:val="none" w:sz="0" w:space="0" w:color="auto"/>
      </w:divBdr>
    </w:div>
    <w:div w:id="435566927">
      <w:bodyDiv w:val="1"/>
      <w:marLeft w:val="0"/>
      <w:marRight w:val="0"/>
      <w:marTop w:val="0"/>
      <w:marBottom w:val="0"/>
      <w:divBdr>
        <w:top w:val="none" w:sz="0" w:space="0" w:color="auto"/>
        <w:left w:val="none" w:sz="0" w:space="0" w:color="auto"/>
        <w:bottom w:val="none" w:sz="0" w:space="0" w:color="auto"/>
        <w:right w:val="none" w:sz="0" w:space="0" w:color="auto"/>
      </w:divBdr>
    </w:div>
    <w:div w:id="436945975">
      <w:bodyDiv w:val="1"/>
      <w:marLeft w:val="0"/>
      <w:marRight w:val="0"/>
      <w:marTop w:val="0"/>
      <w:marBottom w:val="0"/>
      <w:divBdr>
        <w:top w:val="none" w:sz="0" w:space="0" w:color="auto"/>
        <w:left w:val="none" w:sz="0" w:space="0" w:color="auto"/>
        <w:bottom w:val="none" w:sz="0" w:space="0" w:color="auto"/>
        <w:right w:val="none" w:sz="0" w:space="0" w:color="auto"/>
      </w:divBdr>
    </w:div>
    <w:div w:id="437674991">
      <w:bodyDiv w:val="1"/>
      <w:marLeft w:val="0"/>
      <w:marRight w:val="0"/>
      <w:marTop w:val="0"/>
      <w:marBottom w:val="0"/>
      <w:divBdr>
        <w:top w:val="none" w:sz="0" w:space="0" w:color="auto"/>
        <w:left w:val="none" w:sz="0" w:space="0" w:color="auto"/>
        <w:bottom w:val="none" w:sz="0" w:space="0" w:color="auto"/>
        <w:right w:val="none" w:sz="0" w:space="0" w:color="auto"/>
      </w:divBdr>
    </w:div>
    <w:div w:id="437801517">
      <w:bodyDiv w:val="1"/>
      <w:marLeft w:val="0"/>
      <w:marRight w:val="0"/>
      <w:marTop w:val="0"/>
      <w:marBottom w:val="0"/>
      <w:divBdr>
        <w:top w:val="none" w:sz="0" w:space="0" w:color="auto"/>
        <w:left w:val="none" w:sz="0" w:space="0" w:color="auto"/>
        <w:bottom w:val="none" w:sz="0" w:space="0" w:color="auto"/>
        <w:right w:val="none" w:sz="0" w:space="0" w:color="auto"/>
      </w:divBdr>
    </w:div>
    <w:div w:id="437987162">
      <w:bodyDiv w:val="1"/>
      <w:marLeft w:val="0"/>
      <w:marRight w:val="0"/>
      <w:marTop w:val="0"/>
      <w:marBottom w:val="0"/>
      <w:divBdr>
        <w:top w:val="none" w:sz="0" w:space="0" w:color="auto"/>
        <w:left w:val="none" w:sz="0" w:space="0" w:color="auto"/>
        <w:bottom w:val="none" w:sz="0" w:space="0" w:color="auto"/>
        <w:right w:val="none" w:sz="0" w:space="0" w:color="auto"/>
      </w:divBdr>
    </w:div>
    <w:div w:id="441999748">
      <w:bodyDiv w:val="1"/>
      <w:marLeft w:val="0"/>
      <w:marRight w:val="0"/>
      <w:marTop w:val="0"/>
      <w:marBottom w:val="0"/>
      <w:divBdr>
        <w:top w:val="none" w:sz="0" w:space="0" w:color="auto"/>
        <w:left w:val="none" w:sz="0" w:space="0" w:color="auto"/>
        <w:bottom w:val="none" w:sz="0" w:space="0" w:color="auto"/>
        <w:right w:val="none" w:sz="0" w:space="0" w:color="auto"/>
      </w:divBdr>
    </w:div>
    <w:div w:id="444428894">
      <w:bodyDiv w:val="1"/>
      <w:marLeft w:val="0"/>
      <w:marRight w:val="0"/>
      <w:marTop w:val="0"/>
      <w:marBottom w:val="0"/>
      <w:divBdr>
        <w:top w:val="none" w:sz="0" w:space="0" w:color="auto"/>
        <w:left w:val="none" w:sz="0" w:space="0" w:color="auto"/>
        <w:bottom w:val="none" w:sz="0" w:space="0" w:color="auto"/>
        <w:right w:val="none" w:sz="0" w:space="0" w:color="auto"/>
      </w:divBdr>
    </w:div>
    <w:div w:id="452215142">
      <w:bodyDiv w:val="1"/>
      <w:marLeft w:val="0"/>
      <w:marRight w:val="0"/>
      <w:marTop w:val="0"/>
      <w:marBottom w:val="0"/>
      <w:divBdr>
        <w:top w:val="none" w:sz="0" w:space="0" w:color="auto"/>
        <w:left w:val="none" w:sz="0" w:space="0" w:color="auto"/>
        <w:bottom w:val="none" w:sz="0" w:space="0" w:color="auto"/>
        <w:right w:val="none" w:sz="0" w:space="0" w:color="auto"/>
      </w:divBdr>
    </w:div>
    <w:div w:id="455610229">
      <w:bodyDiv w:val="1"/>
      <w:marLeft w:val="0"/>
      <w:marRight w:val="0"/>
      <w:marTop w:val="0"/>
      <w:marBottom w:val="0"/>
      <w:divBdr>
        <w:top w:val="none" w:sz="0" w:space="0" w:color="auto"/>
        <w:left w:val="none" w:sz="0" w:space="0" w:color="auto"/>
        <w:bottom w:val="none" w:sz="0" w:space="0" w:color="auto"/>
        <w:right w:val="none" w:sz="0" w:space="0" w:color="auto"/>
      </w:divBdr>
    </w:div>
    <w:div w:id="460733910">
      <w:bodyDiv w:val="1"/>
      <w:marLeft w:val="0"/>
      <w:marRight w:val="0"/>
      <w:marTop w:val="0"/>
      <w:marBottom w:val="0"/>
      <w:divBdr>
        <w:top w:val="none" w:sz="0" w:space="0" w:color="auto"/>
        <w:left w:val="none" w:sz="0" w:space="0" w:color="auto"/>
        <w:bottom w:val="none" w:sz="0" w:space="0" w:color="auto"/>
        <w:right w:val="none" w:sz="0" w:space="0" w:color="auto"/>
      </w:divBdr>
    </w:div>
    <w:div w:id="461466302">
      <w:bodyDiv w:val="1"/>
      <w:marLeft w:val="0"/>
      <w:marRight w:val="0"/>
      <w:marTop w:val="0"/>
      <w:marBottom w:val="0"/>
      <w:divBdr>
        <w:top w:val="none" w:sz="0" w:space="0" w:color="auto"/>
        <w:left w:val="none" w:sz="0" w:space="0" w:color="auto"/>
        <w:bottom w:val="none" w:sz="0" w:space="0" w:color="auto"/>
        <w:right w:val="none" w:sz="0" w:space="0" w:color="auto"/>
      </w:divBdr>
    </w:div>
    <w:div w:id="468130470">
      <w:bodyDiv w:val="1"/>
      <w:marLeft w:val="0"/>
      <w:marRight w:val="0"/>
      <w:marTop w:val="0"/>
      <w:marBottom w:val="0"/>
      <w:divBdr>
        <w:top w:val="none" w:sz="0" w:space="0" w:color="auto"/>
        <w:left w:val="none" w:sz="0" w:space="0" w:color="auto"/>
        <w:bottom w:val="none" w:sz="0" w:space="0" w:color="auto"/>
        <w:right w:val="none" w:sz="0" w:space="0" w:color="auto"/>
      </w:divBdr>
    </w:div>
    <w:div w:id="469327317">
      <w:bodyDiv w:val="1"/>
      <w:marLeft w:val="0"/>
      <w:marRight w:val="0"/>
      <w:marTop w:val="0"/>
      <w:marBottom w:val="0"/>
      <w:divBdr>
        <w:top w:val="none" w:sz="0" w:space="0" w:color="auto"/>
        <w:left w:val="none" w:sz="0" w:space="0" w:color="auto"/>
        <w:bottom w:val="none" w:sz="0" w:space="0" w:color="auto"/>
        <w:right w:val="none" w:sz="0" w:space="0" w:color="auto"/>
      </w:divBdr>
    </w:div>
    <w:div w:id="469904824">
      <w:bodyDiv w:val="1"/>
      <w:marLeft w:val="0"/>
      <w:marRight w:val="0"/>
      <w:marTop w:val="0"/>
      <w:marBottom w:val="0"/>
      <w:divBdr>
        <w:top w:val="none" w:sz="0" w:space="0" w:color="auto"/>
        <w:left w:val="none" w:sz="0" w:space="0" w:color="auto"/>
        <w:bottom w:val="none" w:sz="0" w:space="0" w:color="auto"/>
        <w:right w:val="none" w:sz="0" w:space="0" w:color="auto"/>
      </w:divBdr>
    </w:div>
    <w:div w:id="473715610">
      <w:bodyDiv w:val="1"/>
      <w:marLeft w:val="0"/>
      <w:marRight w:val="0"/>
      <w:marTop w:val="0"/>
      <w:marBottom w:val="0"/>
      <w:divBdr>
        <w:top w:val="none" w:sz="0" w:space="0" w:color="auto"/>
        <w:left w:val="none" w:sz="0" w:space="0" w:color="auto"/>
        <w:bottom w:val="none" w:sz="0" w:space="0" w:color="auto"/>
        <w:right w:val="none" w:sz="0" w:space="0" w:color="auto"/>
      </w:divBdr>
    </w:div>
    <w:div w:id="475342031">
      <w:bodyDiv w:val="1"/>
      <w:marLeft w:val="0"/>
      <w:marRight w:val="0"/>
      <w:marTop w:val="0"/>
      <w:marBottom w:val="0"/>
      <w:divBdr>
        <w:top w:val="none" w:sz="0" w:space="0" w:color="auto"/>
        <w:left w:val="none" w:sz="0" w:space="0" w:color="auto"/>
        <w:bottom w:val="none" w:sz="0" w:space="0" w:color="auto"/>
        <w:right w:val="none" w:sz="0" w:space="0" w:color="auto"/>
      </w:divBdr>
    </w:div>
    <w:div w:id="475684107">
      <w:bodyDiv w:val="1"/>
      <w:marLeft w:val="0"/>
      <w:marRight w:val="0"/>
      <w:marTop w:val="0"/>
      <w:marBottom w:val="0"/>
      <w:divBdr>
        <w:top w:val="none" w:sz="0" w:space="0" w:color="auto"/>
        <w:left w:val="none" w:sz="0" w:space="0" w:color="auto"/>
        <w:bottom w:val="none" w:sz="0" w:space="0" w:color="auto"/>
        <w:right w:val="none" w:sz="0" w:space="0" w:color="auto"/>
      </w:divBdr>
    </w:div>
    <w:div w:id="475731051">
      <w:bodyDiv w:val="1"/>
      <w:marLeft w:val="0"/>
      <w:marRight w:val="0"/>
      <w:marTop w:val="0"/>
      <w:marBottom w:val="0"/>
      <w:divBdr>
        <w:top w:val="none" w:sz="0" w:space="0" w:color="auto"/>
        <w:left w:val="none" w:sz="0" w:space="0" w:color="auto"/>
        <w:bottom w:val="none" w:sz="0" w:space="0" w:color="auto"/>
        <w:right w:val="none" w:sz="0" w:space="0" w:color="auto"/>
      </w:divBdr>
    </w:div>
    <w:div w:id="476531523">
      <w:bodyDiv w:val="1"/>
      <w:marLeft w:val="0"/>
      <w:marRight w:val="0"/>
      <w:marTop w:val="0"/>
      <w:marBottom w:val="0"/>
      <w:divBdr>
        <w:top w:val="none" w:sz="0" w:space="0" w:color="auto"/>
        <w:left w:val="none" w:sz="0" w:space="0" w:color="auto"/>
        <w:bottom w:val="none" w:sz="0" w:space="0" w:color="auto"/>
        <w:right w:val="none" w:sz="0" w:space="0" w:color="auto"/>
      </w:divBdr>
    </w:div>
    <w:div w:id="476604118">
      <w:bodyDiv w:val="1"/>
      <w:marLeft w:val="0"/>
      <w:marRight w:val="0"/>
      <w:marTop w:val="0"/>
      <w:marBottom w:val="0"/>
      <w:divBdr>
        <w:top w:val="none" w:sz="0" w:space="0" w:color="auto"/>
        <w:left w:val="none" w:sz="0" w:space="0" w:color="auto"/>
        <w:bottom w:val="none" w:sz="0" w:space="0" w:color="auto"/>
        <w:right w:val="none" w:sz="0" w:space="0" w:color="auto"/>
      </w:divBdr>
    </w:div>
    <w:div w:id="476726923">
      <w:bodyDiv w:val="1"/>
      <w:marLeft w:val="0"/>
      <w:marRight w:val="0"/>
      <w:marTop w:val="0"/>
      <w:marBottom w:val="0"/>
      <w:divBdr>
        <w:top w:val="none" w:sz="0" w:space="0" w:color="auto"/>
        <w:left w:val="none" w:sz="0" w:space="0" w:color="auto"/>
        <w:bottom w:val="none" w:sz="0" w:space="0" w:color="auto"/>
        <w:right w:val="none" w:sz="0" w:space="0" w:color="auto"/>
      </w:divBdr>
    </w:div>
    <w:div w:id="477259265">
      <w:bodyDiv w:val="1"/>
      <w:marLeft w:val="0"/>
      <w:marRight w:val="0"/>
      <w:marTop w:val="0"/>
      <w:marBottom w:val="0"/>
      <w:divBdr>
        <w:top w:val="none" w:sz="0" w:space="0" w:color="auto"/>
        <w:left w:val="none" w:sz="0" w:space="0" w:color="auto"/>
        <w:bottom w:val="none" w:sz="0" w:space="0" w:color="auto"/>
        <w:right w:val="none" w:sz="0" w:space="0" w:color="auto"/>
      </w:divBdr>
    </w:div>
    <w:div w:id="477577088">
      <w:bodyDiv w:val="1"/>
      <w:marLeft w:val="0"/>
      <w:marRight w:val="0"/>
      <w:marTop w:val="0"/>
      <w:marBottom w:val="0"/>
      <w:divBdr>
        <w:top w:val="none" w:sz="0" w:space="0" w:color="auto"/>
        <w:left w:val="none" w:sz="0" w:space="0" w:color="auto"/>
        <w:bottom w:val="none" w:sz="0" w:space="0" w:color="auto"/>
        <w:right w:val="none" w:sz="0" w:space="0" w:color="auto"/>
      </w:divBdr>
    </w:div>
    <w:div w:id="478232962">
      <w:bodyDiv w:val="1"/>
      <w:marLeft w:val="0"/>
      <w:marRight w:val="0"/>
      <w:marTop w:val="0"/>
      <w:marBottom w:val="0"/>
      <w:divBdr>
        <w:top w:val="none" w:sz="0" w:space="0" w:color="auto"/>
        <w:left w:val="none" w:sz="0" w:space="0" w:color="auto"/>
        <w:bottom w:val="none" w:sz="0" w:space="0" w:color="auto"/>
        <w:right w:val="none" w:sz="0" w:space="0" w:color="auto"/>
      </w:divBdr>
    </w:div>
    <w:div w:id="479812842">
      <w:bodyDiv w:val="1"/>
      <w:marLeft w:val="0"/>
      <w:marRight w:val="0"/>
      <w:marTop w:val="0"/>
      <w:marBottom w:val="0"/>
      <w:divBdr>
        <w:top w:val="none" w:sz="0" w:space="0" w:color="auto"/>
        <w:left w:val="none" w:sz="0" w:space="0" w:color="auto"/>
        <w:bottom w:val="none" w:sz="0" w:space="0" w:color="auto"/>
        <w:right w:val="none" w:sz="0" w:space="0" w:color="auto"/>
      </w:divBdr>
    </w:div>
    <w:div w:id="481847517">
      <w:bodyDiv w:val="1"/>
      <w:marLeft w:val="0"/>
      <w:marRight w:val="0"/>
      <w:marTop w:val="0"/>
      <w:marBottom w:val="0"/>
      <w:divBdr>
        <w:top w:val="none" w:sz="0" w:space="0" w:color="auto"/>
        <w:left w:val="none" w:sz="0" w:space="0" w:color="auto"/>
        <w:bottom w:val="none" w:sz="0" w:space="0" w:color="auto"/>
        <w:right w:val="none" w:sz="0" w:space="0" w:color="auto"/>
      </w:divBdr>
    </w:div>
    <w:div w:id="483397300">
      <w:bodyDiv w:val="1"/>
      <w:marLeft w:val="0"/>
      <w:marRight w:val="0"/>
      <w:marTop w:val="0"/>
      <w:marBottom w:val="0"/>
      <w:divBdr>
        <w:top w:val="none" w:sz="0" w:space="0" w:color="auto"/>
        <w:left w:val="none" w:sz="0" w:space="0" w:color="auto"/>
        <w:bottom w:val="none" w:sz="0" w:space="0" w:color="auto"/>
        <w:right w:val="none" w:sz="0" w:space="0" w:color="auto"/>
      </w:divBdr>
    </w:div>
    <w:div w:id="484005618">
      <w:bodyDiv w:val="1"/>
      <w:marLeft w:val="0"/>
      <w:marRight w:val="0"/>
      <w:marTop w:val="0"/>
      <w:marBottom w:val="0"/>
      <w:divBdr>
        <w:top w:val="none" w:sz="0" w:space="0" w:color="auto"/>
        <w:left w:val="none" w:sz="0" w:space="0" w:color="auto"/>
        <w:bottom w:val="none" w:sz="0" w:space="0" w:color="auto"/>
        <w:right w:val="none" w:sz="0" w:space="0" w:color="auto"/>
      </w:divBdr>
    </w:div>
    <w:div w:id="484978614">
      <w:bodyDiv w:val="1"/>
      <w:marLeft w:val="0"/>
      <w:marRight w:val="0"/>
      <w:marTop w:val="0"/>
      <w:marBottom w:val="0"/>
      <w:divBdr>
        <w:top w:val="none" w:sz="0" w:space="0" w:color="auto"/>
        <w:left w:val="none" w:sz="0" w:space="0" w:color="auto"/>
        <w:bottom w:val="none" w:sz="0" w:space="0" w:color="auto"/>
        <w:right w:val="none" w:sz="0" w:space="0" w:color="auto"/>
      </w:divBdr>
    </w:div>
    <w:div w:id="486629334">
      <w:bodyDiv w:val="1"/>
      <w:marLeft w:val="0"/>
      <w:marRight w:val="0"/>
      <w:marTop w:val="0"/>
      <w:marBottom w:val="0"/>
      <w:divBdr>
        <w:top w:val="none" w:sz="0" w:space="0" w:color="auto"/>
        <w:left w:val="none" w:sz="0" w:space="0" w:color="auto"/>
        <w:bottom w:val="none" w:sz="0" w:space="0" w:color="auto"/>
        <w:right w:val="none" w:sz="0" w:space="0" w:color="auto"/>
      </w:divBdr>
    </w:div>
    <w:div w:id="486827697">
      <w:bodyDiv w:val="1"/>
      <w:marLeft w:val="0"/>
      <w:marRight w:val="0"/>
      <w:marTop w:val="0"/>
      <w:marBottom w:val="0"/>
      <w:divBdr>
        <w:top w:val="none" w:sz="0" w:space="0" w:color="auto"/>
        <w:left w:val="none" w:sz="0" w:space="0" w:color="auto"/>
        <w:bottom w:val="none" w:sz="0" w:space="0" w:color="auto"/>
        <w:right w:val="none" w:sz="0" w:space="0" w:color="auto"/>
      </w:divBdr>
    </w:div>
    <w:div w:id="487673114">
      <w:bodyDiv w:val="1"/>
      <w:marLeft w:val="0"/>
      <w:marRight w:val="0"/>
      <w:marTop w:val="0"/>
      <w:marBottom w:val="0"/>
      <w:divBdr>
        <w:top w:val="none" w:sz="0" w:space="0" w:color="auto"/>
        <w:left w:val="none" w:sz="0" w:space="0" w:color="auto"/>
        <w:bottom w:val="none" w:sz="0" w:space="0" w:color="auto"/>
        <w:right w:val="none" w:sz="0" w:space="0" w:color="auto"/>
      </w:divBdr>
    </w:div>
    <w:div w:id="489905136">
      <w:bodyDiv w:val="1"/>
      <w:marLeft w:val="0"/>
      <w:marRight w:val="0"/>
      <w:marTop w:val="0"/>
      <w:marBottom w:val="0"/>
      <w:divBdr>
        <w:top w:val="none" w:sz="0" w:space="0" w:color="auto"/>
        <w:left w:val="none" w:sz="0" w:space="0" w:color="auto"/>
        <w:bottom w:val="none" w:sz="0" w:space="0" w:color="auto"/>
        <w:right w:val="none" w:sz="0" w:space="0" w:color="auto"/>
      </w:divBdr>
    </w:div>
    <w:div w:id="491067062">
      <w:bodyDiv w:val="1"/>
      <w:marLeft w:val="0"/>
      <w:marRight w:val="0"/>
      <w:marTop w:val="0"/>
      <w:marBottom w:val="0"/>
      <w:divBdr>
        <w:top w:val="none" w:sz="0" w:space="0" w:color="auto"/>
        <w:left w:val="none" w:sz="0" w:space="0" w:color="auto"/>
        <w:bottom w:val="none" w:sz="0" w:space="0" w:color="auto"/>
        <w:right w:val="none" w:sz="0" w:space="0" w:color="auto"/>
      </w:divBdr>
    </w:div>
    <w:div w:id="499275669">
      <w:bodyDiv w:val="1"/>
      <w:marLeft w:val="0"/>
      <w:marRight w:val="0"/>
      <w:marTop w:val="0"/>
      <w:marBottom w:val="0"/>
      <w:divBdr>
        <w:top w:val="none" w:sz="0" w:space="0" w:color="auto"/>
        <w:left w:val="none" w:sz="0" w:space="0" w:color="auto"/>
        <w:bottom w:val="none" w:sz="0" w:space="0" w:color="auto"/>
        <w:right w:val="none" w:sz="0" w:space="0" w:color="auto"/>
      </w:divBdr>
    </w:div>
    <w:div w:id="502163599">
      <w:bodyDiv w:val="1"/>
      <w:marLeft w:val="0"/>
      <w:marRight w:val="0"/>
      <w:marTop w:val="0"/>
      <w:marBottom w:val="0"/>
      <w:divBdr>
        <w:top w:val="none" w:sz="0" w:space="0" w:color="auto"/>
        <w:left w:val="none" w:sz="0" w:space="0" w:color="auto"/>
        <w:bottom w:val="none" w:sz="0" w:space="0" w:color="auto"/>
        <w:right w:val="none" w:sz="0" w:space="0" w:color="auto"/>
      </w:divBdr>
    </w:div>
    <w:div w:id="503056667">
      <w:bodyDiv w:val="1"/>
      <w:marLeft w:val="0"/>
      <w:marRight w:val="0"/>
      <w:marTop w:val="0"/>
      <w:marBottom w:val="0"/>
      <w:divBdr>
        <w:top w:val="none" w:sz="0" w:space="0" w:color="auto"/>
        <w:left w:val="none" w:sz="0" w:space="0" w:color="auto"/>
        <w:bottom w:val="none" w:sz="0" w:space="0" w:color="auto"/>
        <w:right w:val="none" w:sz="0" w:space="0" w:color="auto"/>
      </w:divBdr>
    </w:div>
    <w:div w:id="503521970">
      <w:bodyDiv w:val="1"/>
      <w:marLeft w:val="0"/>
      <w:marRight w:val="0"/>
      <w:marTop w:val="0"/>
      <w:marBottom w:val="0"/>
      <w:divBdr>
        <w:top w:val="none" w:sz="0" w:space="0" w:color="auto"/>
        <w:left w:val="none" w:sz="0" w:space="0" w:color="auto"/>
        <w:bottom w:val="none" w:sz="0" w:space="0" w:color="auto"/>
        <w:right w:val="none" w:sz="0" w:space="0" w:color="auto"/>
      </w:divBdr>
    </w:div>
    <w:div w:id="503669843">
      <w:bodyDiv w:val="1"/>
      <w:marLeft w:val="0"/>
      <w:marRight w:val="0"/>
      <w:marTop w:val="0"/>
      <w:marBottom w:val="0"/>
      <w:divBdr>
        <w:top w:val="none" w:sz="0" w:space="0" w:color="auto"/>
        <w:left w:val="none" w:sz="0" w:space="0" w:color="auto"/>
        <w:bottom w:val="none" w:sz="0" w:space="0" w:color="auto"/>
        <w:right w:val="none" w:sz="0" w:space="0" w:color="auto"/>
      </w:divBdr>
    </w:div>
    <w:div w:id="505289816">
      <w:bodyDiv w:val="1"/>
      <w:marLeft w:val="0"/>
      <w:marRight w:val="0"/>
      <w:marTop w:val="0"/>
      <w:marBottom w:val="0"/>
      <w:divBdr>
        <w:top w:val="none" w:sz="0" w:space="0" w:color="auto"/>
        <w:left w:val="none" w:sz="0" w:space="0" w:color="auto"/>
        <w:bottom w:val="none" w:sz="0" w:space="0" w:color="auto"/>
        <w:right w:val="none" w:sz="0" w:space="0" w:color="auto"/>
      </w:divBdr>
    </w:div>
    <w:div w:id="505555547">
      <w:bodyDiv w:val="1"/>
      <w:marLeft w:val="0"/>
      <w:marRight w:val="0"/>
      <w:marTop w:val="0"/>
      <w:marBottom w:val="0"/>
      <w:divBdr>
        <w:top w:val="none" w:sz="0" w:space="0" w:color="auto"/>
        <w:left w:val="none" w:sz="0" w:space="0" w:color="auto"/>
        <w:bottom w:val="none" w:sz="0" w:space="0" w:color="auto"/>
        <w:right w:val="none" w:sz="0" w:space="0" w:color="auto"/>
      </w:divBdr>
    </w:div>
    <w:div w:id="505899879">
      <w:bodyDiv w:val="1"/>
      <w:marLeft w:val="0"/>
      <w:marRight w:val="0"/>
      <w:marTop w:val="0"/>
      <w:marBottom w:val="0"/>
      <w:divBdr>
        <w:top w:val="none" w:sz="0" w:space="0" w:color="auto"/>
        <w:left w:val="none" w:sz="0" w:space="0" w:color="auto"/>
        <w:bottom w:val="none" w:sz="0" w:space="0" w:color="auto"/>
        <w:right w:val="none" w:sz="0" w:space="0" w:color="auto"/>
      </w:divBdr>
    </w:div>
    <w:div w:id="506022125">
      <w:bodyDiv w:val="1"/>
      <w:marLeft w:val="0"/>
      <w:marRight w:val="0"/>
      <w:marTop w:val="0"/>
      <w:marBottom w:val="0"/>
      <w:divBdr>
        <w:top w:val="none" w:sz="0" w:space="0" w:color="auto"/>
        <w:left w:val="none" w:sz="0" w:space="0" w:color="auto"/>
        <w:bottom w:val="none" w:sz="0" w:space="0" w:color="auto"/>
        <w:right w:val="none" w:sz="0" w:space="0" w:color="auto"/>
      </w:divBdr>
    </w:div>
    <w:div w:id="506867760">
      <w:bodyDiv w:val="1"/>
      <w:marLeft w:val="0"/>
      <w:marRight w:val="0"/>
      <w:marTop w:val="0"/>
      <w:marBottom w:val="0"/>
      <w:divBdr>
        <w:top w:val="none" w:sz="0" w:space="0" w:color="auto"/>
        <w:left w:val="none" w:sz="0" w:space="0" w:color="auto"/>
        <w:bottom w:val="none" w:sz="0" w:space="0" w:color="auto"/>
        <w:right w:val="none" w:sz="0" w:space="0" w:color="auto"/>
      </w:divBdr>
    </w:div>
    <w:div w:id="507718839">
      <w:bodyDiv w:val="1"/>
      <w:marLeft w:val="0"/>
      <w:marRight w:val="0"/>
      <w:marTop w:val="0"/>
      <w:marBottom w:val="0"/>
      <w:divBdr>
        <w:top w:val="none" w:sz="0" w:space="0" w:color="auto"/>
        <w:left w:val="none" w:sz="0" w:space="0" w:color="auto"/>
        <w:bottom w:val="none" w:sz="0" w:space="0" w:color="auto"/>
        <w:right w:val="none" w:sz="0" w:space="0" w:color="auto"/>
      </w:divBdr>
    </w:div>
    <w:div w:id="508255221">
      <w:bodyDiv w:val="1"/>
      <w:marLeft w:val="0"/>
      <w:marRight w:val="0"/>
      <w:marTop w:val="0"/>
      <w:marBottom w:val="0"/>
      <w:divBdr>
        <w:top w:val="none" w:sz="0" w:space="0" w:color="auto"/>
        <w:left w:val="none" w:sz="0" w:space="0" w:color="auto"/>
        <w:bottom w:val="none" w:sz="0" w:space="0" w:color="auto"/>
        <w:right w:val="none" w:sz="0" w:space="0" w:color="auto"/>
      </w:divBdr>
    </w:div>
    <w:div w:id="510147836">
      <w:bodyDiv w:val="1"/>
      <w:marLeft w:val="0"/>
      <w:marRight w:val="0"/>
      <w:marTop w:val="0"/>
      <w:marBottom w:val="0"/>
      <w:divBdr>
        <w:top w:val="none" w:sz="0" w:space="0" w:color="auto"/>
        <w:left w:val="none" w:sz="0" w:space="0" w:color="auto"/>
        <w:bottom w:val="none" w:sz="0" w:space="0" w:color="auto"/>
        <w:right w:val="none" w:sz="0" w:space="0" w:color="auto"/>
      </w:divBdr>
    </w:div>
    <w:div w:id="510990777">
      <w:bodyDiv w:val="1"/>
      <w:marLeft w:val="0"/>
      <w:marRight w:val="0"/>
      <w:marTop w:val="0"/>
      <w:marBottom w:val="0"/>
      <w:divBdr>
        <w:top w:val="none" w:sz="0" w:space="0" w:color="auto"/>
        <w:left w:val="none" w:sz="0" w:space="0" w:color="auto"/>
        <w:bottom w:val="none" w:sz="0" w:space="0" w:color="auto"/>
        <w:right w:val="none" w:sz="0" w:space="0" w:color="auto"/>
      </w:divBdr>
    </w:div>
    <w:div w:id="511336363">
      <w:bodyDiv w:val="1"/>
      <w:marLeft w:val="0"/>
      <w:marRight w:val="0"/>
      <w:marTop w:val="0"/>
      <w:marBottom w:val="0"/>
      <w:divBdr>
        <w:top w:val="none" w:sz="0" w:space="0" w:color="auto"/>
        <w:left w:val="none" w:sz="0" w:space="0" w:color="auto"/>
        <w:bottom w:val="none" w:sz="0" w:space="0" w:color="auto"/>
        <w:right w:val="none" w:sz="0" w:space="0" w:color="auto"/>
      </w:divBdr>
    </w:div>
    <w:div w:id="515464105">
      <w:bodyDiv w:val="1"/>
      <w:marLeft w:val="0"/>
      <w:marRight w:val="0"/>
      <w:marTop w:val="0"/>
      <w:marBottom w:val="0"/>
      <w:divBdr>
        <w:top w:val="none" w:sz="0" w:space="0" w:color="auto"/>
        <w:left w:val="none" w:sz="0" w:space="0" w:color="auto"/>
        <w:bottom w:val="none" w:sz="0" w:space="0" w:color="auto"/>
        <w:right w:val="none" w:sz="0" w:space="0" w:color="auto"/>
      </w:divBdr>
    </w:div>
    <w:div w:id="516504129">
      <w:bodyDiv w:val="1"/>
      <w:marLeft w:val="0"/>
      <w:marRight w:val="0"/>
      <w:marTop w:val="0"/>
      <w:marBottom w:val="0"/>
      <w:divBdr>
        <w:top w:val="none" w:sz="0" w:space="0" w:color="auto"/>
        <w:left w:val="none" w:sz="0" w:space="0" w:color="auto"/>
        <w:bottom w:val="none" w:sz="0" w:space="0" w:color="auto"/>
        <w:right w:val="none" w:sz="0" w:space="0" w:color="auto"/>
      </w:divBdr>
    </w:div>
    <w:div w:id="516582679">
      <w:bodyDiv w:val="1"/>
      <w:marLeft w:val="0"/>
      <w:marRight w:val="0"/>
      <w:marTop w:val="0"/>
      <w:marBottom w:val="0"/>
      <w:divBdr>
        <w:top w:val="none" w:sz="0" w:space="0" w:color="auto"/>
        <w:left w:val="none" w:sz="0" w:space="0" w:color="auto"/>
        <w:bottom w:val="none" w:sz="0" w:space="0" w:color="auto"/>
        <w:right w:val="none" w:sz="0" w:space="0" w:color="auto"/>
      </w:divBdr>
    </w:div>
    <w:div w:id="516776616">
      <w:bodyDiv w:val="1"/>
      <w:marLeft w:val="0"/>
      <w:marRight w:val="0"/>
      <w:marTop w:val="0"/>
      <w:marBottom w:val="0"/>
      <w:divBdr>
        <w:top w:val="none" w:sz="0" w:space="0" w:color="auto"/>
        <w:left w:val="none" w:sz="0" w:space="0" w:color="auto"/>
        <w:bottom w:val="none" w:sz="0" w:space="0" w:color="auto"/>
        <w:right w:val="none" w:sz="0" w:space="0" w:color="auto"/>
      </w:divBdr>
    </w:div>
    <w:div w:id="517085721">
      <w:bodyDiv w:val="1"/>
      <w:marLeft w:val="0"/>
      <w:marRight w:val="0"/>
      <w:marTop w:val="0"/>
      <w:marBottom w:val="0"/>
      <w:divBdr>
        <w:top w:val="none" w:sz="0" w:space="0" w:color="auto"/>
        <w:left w:val="none" w:sz="0" w:space="0" w:color="auto"/>
        <w:bottom w:val="none" w:sz="0" w:space="0" w:color="auto"/>
        <w:right w:val="none" w:sz="0" w:space="0" w:color="auto"/>
      </w:divBdr>
    </w:div>
    <w:div w:id="517739945">
      <w:bodyDiv w:val="1"/>
      <w:marLeft w:val="0"/>
      <w:marRight w:val="0"/>
      <w:marTop w:val="0"/>
      <w:marBottom w:val="0"/>
      <w:divBdr>
        <w:top w:val="none" w:sz="0" w:space="0" w:color="auto"/>
        <w:left w:val="none" w:sz="0" w:space="0" w:color="auto"/>
        <w:bottom w:val="none" w:sz="0" w:space="0" w:color="auto"/>
        <w:right w:val="none" w:sz="0" w:space="0" w:color="auto"/>
      </w:divBdr>
    </w:div>
    <w:div w:id="519588368">
      <w:bodyDiv w:val="1"/>
      <w:marLeft w:val="0"/>
      <w:marRight w:val="0"/>
      <w:marTop w:val="0"/>
      <w:marBottom w:val="0"/>
      <w:divBdr>
        <w:top w:val="none" w:sz="0" w:space="0" w:color="auto"/>
        <w:left w:val="none" w:sz="0" w:space="0" w:color="auto"/>
        <w:bottom w:val="none" w:sz="0" w:space="0" w:color="auto"/>
        <w:right w:val="none" w:sz="0" w:space="0" w:color="auto"/>
      </w:divBdr>
    </w:div>
    <w:div w:id="522280823">
      <w:bodyDiv w:val="1"/>
      <w:marLeft w:val="0"/>
      <w:marRight w:val="0"/>
      <w:marTop w:val="0"/>
      <w:marBottom w:val="0"/>
      <w:divBdr>
        <w:top w:val="none" w:sz="0" w:space="0" w:color="auto"/>
        <w:left w:val="none" w:sz="0" w:space="0" w:color="auto"/>
        <w:bottom w:val="none" w:sz="0" w:space="0" w:color="auto"/>
        <w:right w:val="none" w:sz="0" w:space="0" w:color="auto"/>
      </w:divBdr>
    </w:div>
    <w:div w:id="522406342">
      <w:bodyDiv w:val="1"/>
      <w:marLeft w:val="0"/>
      <w:marRight w:val="0"/>
      <w:marTop w:val="0"/>
      <w:marBottom w:val="0"/>
      <w:divBdr>
        <w:top w:val="none" w:sz="0" w:space="0" w:color="auto"/>
        <w:left w:val="none" w:sz="0" w:space="0" w:color="auto"/>
        <w:bottom w:val="none" w:sz="0" w:space="0" w:color="auto"/>
        <w:right w:val="none" w:sz="0" w:space="0" w:color="auto"/>
      </w:divBdr>
    </w:div>
    <w:div w:id="522983366">
      <w:bodyDiv w:val="1"/>
      <w:marLeft w:val="0"/>
      <w:marRight w:val="0"/>
      <w:marTop w:val="0"/>
      <w:marBottom w:val="0"/>
      <w:divBdr>
        <w:top w:val="none" w:sz="0" w:space="0" w:color="auto"/>
        <w:left w:val="none" w:sz="0" w:space="0" w:color="auto"/>
        <w:bottom w:val="none" w:sz="0" w:space="0" w:color="auto"/>
        <w:right w:val="none" w:sz="0" w:space="0" w:color="auto"/>
      </w:divBdr>
    </w:div>
    <w:div w:id="524169794">
      <w:bodyDiv w:val="1"/>
      <w:marLeft w:val="0"/>
      <w:marRight w:val="0"/>
      <w:marTop w:val="0"/>
      <w:marBottom w:val="0"/>
      <w:divBdr>
        <w:top w:val="none" w:sz="0" w:space="0" w:color="auto"/>
        <w:left w:val="none" w:sz="0" w:space="0" w:color="auto"/>
        <w:bottom w:val="none" w:sz="0" w:space="0" w:color="auto"/>
        <w:right w:val="none" w:sz="0" w:space="0" w:color="auto"/>
      </w:divBdr>
    </w:div>
    <w:div w:id="525489121">
      <w:bodyDiv w:val="1"/>
      <w:marLeft w:val="0"/>
      <w:marRight w:val="0"/>
      <w:marTop w:val="0"/>
      <w:marBottom w:val="0"/>
      <w:divBdr>
        <w:top w:val="none" w:sz="0" w:space="0" w:color="auto"/>
        <w:left w:val="none" w:sz="0" w:space="0" w:color="auto"/>
        <w:bottom w:val="none" w:sz="0" w:space="0" w:color="auto"/>
        <w:right w:val="none" w:sz="0" w:space="0" w:color="auto"/>
      </w:divBdr>
    </w:div>
    <w:div w:id="527064959">
      <w:bodyDiv w:val="1"/>
      <w:marLeft w:val="0"/>
      <w:marRight w:val="0"/>
      <w:marTop w:val="0"/>
      <w:marBottom w:val="0"/>
      <w:divBdr>
        <w:top w:val="none" w:sz="0" w:space="0" w:color="auto"/>
        <w:left w:val="none" w:sz="0" w:space="0" w:color="auto"/>
        <w:bottom w:val="none" w:sz="0" w:space="0" w:color="auto"/>
        <w:right w:val="none" w:sz="0" w:space="0" w:color="auto"/>
      </w:divBdr>
    </w:div>
    <w:div w:id="528027054">
      <w:bodyDiv w:val="1"/>
      <w:marLeft w:val="0"/>
      <w:marRight w:val="0"/>
      <w:marTop w:val="0"/>
      <w:marBottom w:val="0"/>
      <w:divBdr>
        <w:top w:val="none" w:sz="0" w:space="0" w:color="auto"/>
        <w:left w:val="none" w:sz="0" w:space="0" w:color="auto"/>
        <w:bottom w:val="none" w:sz="0" w:space="0" w:color="auto"/>
        <w:right w:val="none" w:sz="0" w:space="0" w:color="auto"/>
      </w:divBdr>
    </w:div>
    <w:div w:id="530611578">
      <w:bodyDiv w:val="1"/>
      <w:marLeft w:val="0"/>
      <w:marRight w:val="0"/>
      <w:marTop w:val="0"/>
      <w:marBottom w:val="0"/>
      <w:divBdr>
        <w:top w:val="none" w:sz="0" w:space="0" w:color="auto"/>
        <w:left w:val="none" w:sz="0" w:space="0" w:color="auto"/>
        <w:bottom w:val="none" w:sz="0" w:space="0" w:color="auto"/>
        <w:right w:val="none" w:sz="0" w:space="0" w:color="auto"/>
      </w:divBdr>
    </w:div>
    <w:div w:id="531040378">
      <w:bodyDiv w:val="1"/>
      <w:marLeft w:val="0"/>
      <w:marRight w:val="0"/>
      <w:marTop w:val="0"/>
      <w:marBottom w:val="0"/>
      <w:divBdr>
        <w:top w:val="none" w:sz="0" w:space="0" w:color="auto"/>
        <w:left w:val="none" w:sz="0" w:space="0" w:color="auto"/>
        <w:bottom w:val="none" w:sz="0" w:space="0" w:color="auto"/>
        <w:right w:val="none" w:sz="0" w:space="0" w:color="auto"/>
      </w:divBdr>
    </w:div>
    <w:div w:id="531845178">
      <w:bodyDiv w:val="1"/>
      <w:marLeft w:val="0"/>
      <w:marRight w:val="0"/>
      <w:marTop w:val="0"/>
      <w:marBottom w:val="0"/>
      <w:divBdr>
        <w:top w:val="none" w:sz="0" w:space="0" w:color="auto"/>
        <w:left w:val="none" w:sz="0" w:space="0" w:color="auto"/>
        <w:bottom w:val="none" w:sz="0" w:space="0" w:color="auto"/>
        <w:right w:val="none" w:sz="0" w:space="0" w:color="auto"/>
      </w:divBdr>
    </w:div>
    <w:div w:id="535238518">
      <w:bodyDiv w:val="1"/>
      <w:marLeft w:val="0"/>
      <w:marRight w:val="0"/>
      <w:marTop w:val="0"/>
      <w:marBottom w:val="0"/>
      <w:divBdr>
        <w:top w:val="none" w:sz="0" w:space="0" w:color="auto"/>
        <w:left w:val="none" w:sz="0" w:space="0" w:color="auto"/>
        <w:bottom w:val="none" w:sz="0" w:space="0" w:color="auto"/>
        <w:right w:val="none" w:sz="0" w:space="0" w:color="auto"/>
      </w:divBdr>
    </w:div>
    <w:div w:id="539250298">
      <w:bodyDiv w:val="1"/>
      <w:marLeft w:val="0"/>
      <w:marRight w:val="0"/>
      <w:marTop w:val="0"/>
      <w:marBottom w:val="0"/>
      <w:divBdr>
        <w:top w:val="none" w:sz="0" w:space="0" w:color="auto"/>
        <w:left w:val="none" w:sz="0" w:space="0" w:color="auto"/>
        <w:bottom w:val="none" w:sz="0" w:space="0" w:color="auto"/>
        <w:right w:val="none" w:sz="0" w:space="0" w:color="auto"/>
      </w:divBdr>
    </w:div>
    <w:div w:id="540636422">
      <w:bodyDiv w:val="1"/>
      <w:marLeft w:val="0"/>
      <w:marRight w:val="0"/>
      <w:marTop w:val="0"/>
      <w:marBottom w:val="0"/>
      <w:divBdr>
        <w:top w:val="none" w:sz="0" w:space="0" w:color="auto"/>
        <w:left w:val="none" w:sz="0" w:space="0" w:color="auto"/>
        <w:bottom w:val="none" w:sz="0" w:space="0" w:color="auto"/>
        <w:right w:val="none" w:sz="0" w:space="0" w:color="auto"/>
      </w:divBdr>
    </w:div>
    <w:div w:id="541476757">
      <w:bodyDiv w:val="1"/>
      <w:marLeft w:val="0"/>
      <w:marRight w:val="0"/>
      <w:marTop w:val="0"/>
      <w:marBottom w:val="0"/>
      <w:divBdr>
        <w:top w:val="none" w:sz="0" w:space="0" w:color="auto"/>
        <w:left w:val="none" w:sz="0" w:space="0" w:color="auto"/>
        <w:bottom w:val="none" w:sz="0" w:space="0" w:color="auto"/>
        <w:right w:val="none" w:sz="0" w:space="0" w:color="auto"/>
      </w:divBdr>
    </w:div>
    <w:div w:id="541747763">
      <w:bodyDiv w:val="1"/>
      <w:marLeft w:val="0"/>
      <w:marRight w:val="0"/>
      <w:marTop w:val="0"/>
      <w:marBottom w:val="0"/>
      <w:divBdr>
        <w:top w:val="none" w:sz="0" w:space="0" w:color="auto"/>
        <w:left w:val="none" w:sz="0" w:space="0" w:color="auto"/>
        <w:bottom w:val="none" w:sz="0" w:space="0" w:color="auto"/>
        <w:right w:val="none" w:sz="0" w:space="0" w:color="auto"/>
      </w:divBdr>
    </w:div>
    <w:div w:id="546571022">
      <w:bodyDiv w:val="1"/>
      <w:marLeft w:val="0"/>
      <w:marRight w:val="0"/>
      <w:marTop w:val="0"/>
      <w:marBottom w:val="0"/>
      <w:divBdr>
        <w:top w:val="none" w:sz="0" w:space="0" w:color="auto"/>
        <w:left w:val="none" w:sz="0" w:space="0" w:color="auto"/>
        <w:bottom w:val="none" w:sz="0" w:space="0" w:color="auto"/>
        <w:right w:val="none" w:sz="0" w:space="0" w:color="auto"/>
      </w:divBdr>
    </w:div>
    <w:div w:id="548226159">
      <w:bodyDiv w:val="1"/>
      <w:marLeft w:val="0"/>
      <w:marRight w:val="0"/>
      <w:marTop w:val="0"/>
      <w:marBottom w:val="0"/>
      <w:divBdr>
        <w:top w:val="none" w:sz="0" w:space="0" w:color="auto"/>
        <w:left w:val="none" w:sz="0" w:space="0" w:color="auto"/>
        <w:bottom w:val="none" w:sz="0" w:space="0" w:color="auto"/>
        <w:right w:val="none" w:sz="0" w:space="0" w:color="auto"/>
      </w:divBdr>
    </w:div>
    <w:div w:id="549342841">
      <w:bodyDiv w:val="1"/>
      <w:marLeft w:val="0"/>
      <w:marRight w:val="0"/>
      <w:marTop w:val="0"/>
      <w:marBottom w:val="0"/>
      <w:divBdr>
        <w:top w:val="none" w:sz="0" w:space="0" w:color="auto"/>
        <w:left w:val="none" w:sz="0" w:space="0" w:color="auto"/>
        <w:bottom w:val="none" w:sz="0" w:space="0" w:color="auto"/>
        <w:right w:val="none" w:sz="0" w:space="0" w:color="auto"/>
      </w:divBdr>
    </w:div>
    <w:div w:id="552886180">
      <w:bodyDiv w:val="1"/>
      <w:marLeft w:val="0"/>
      <w:marRight w:val="0"/>
      <w:marTop w:val="0"/>
      <w:marBottom w:val="0"/>
      <w:divBdr>
        <w:top w:val="none" w:sz="0" w:space="0" w:color="auto"/>
        <w:left w:val="none" w:sz="0" w:space="0" w:color="auto"/>
        <w:bottom w:val="none" w:sz="0" w:space="0" w:color="auto"/>
        <w:right w:val="none" w:sz="0" w:space="0" w:color="auto"/>
      </w:divBdr>
    </w:div>
    <w:div w:id="553390763">
      <w:bodyDiv w:val="1"/>
      <w:marLeft w:val="0"/>
      <w:marRight w:val="0"/>
      <w:marTop w:val="0"/>
      <w:marBottom w:val="0"/>
      <w:divBdr>
        <w:top w:val="none" w:sz="0" w:space="0" w:color="auto"/>
        <w:left w:val="none" w:sz="0" w:space="0" w:color="auto"/>
        <w:bottom w:val="none" w:sz="0" w:space="0" w:color="auto"/>
        <w:right w:val="none" w:sz="0" w:space="0" w:color="auto"/>
      </w:divBdr>
    </w:div>
    <w:div w:id="554006880">
      <w:bodyDiv w:val="1"/>
      <w:marLeft w:val="0"/>
      <w:marRight w:val="0"/>
      <w:marTop w:val="0"/>
      <w:marBottom w:val="0"/>
      <w:divBdr>
        <w:top w:val="none" w:sz="0" w:space="0" w:color="auto"/>
        <w:left w:val="none" w:sz="0" w:space="0" w:color="auto"/>
        <w:bottom w:val="none" w:sz="0" w:space="0" w:color="auto"/>
        <w:right w:val="none" w:sz="0" w:space="0" w:color="auto"/>
      </w:divBdr>
    </w:div>
    <w:div w:id="558711193">
      <w:bodyDiv w:val="1"/>
      <w:marLeft w:val="0"/>
      <w:marRight w:val="0"/>
      <w:marTop w:val="0"/>
      <w:marBottom w:val="0"/>
      <w:divBdr>
        <w:top w:val="none" w:sz="0" w:space="0" w:color="auto"/>
        <w:left w:val="none" w:sz="0" w:space="0" w:color="auto"/>
        <w:bottom w:val="none" w:sz="0" w:space="0" w:color="auto"/>
        <w:right w:val="none" w:sz="0" w:space="0" w:color="auto"/>
      </w:divBdr>
    </w:div>
    <w:div w:id="559101417">
      <w:bodyDiv w:val="1"/>
      <w:marLeft w:val="0"/>
      <w:marRight w:val="0"/>
      <w:marTop w:val="0"/>
      <w:marBottom w:val="0"/>
      <w:divBdr>
        <w:top w:val="none" w:sz="0" w:space="0" w:color="auto"/>
        <w:left w:val="none" w:sz="0" w:space="0" w:color="auto"/>
        <w:bottom w:val="none" w:sz="0" w:space="0" w:color="auto"/>
        <w:right w:val="none" w:sz="0" w:space="0" w:color="auto"/>
      </w:divBdr>
    </w:div>
    <w:div w:id="559368851">
      <w:bodyDiv w:val="1"/>
      <w:marLeft w:val="0"/>
      <w:marRight w:val="0"/>
      <w:marTop w:val="0"/>
      <w:marBottom w:val="0"/>
      <w:divBdr>
        <w:top w:val="none" w:sz="0" w:space="0" w:color="auto"/>
        <w:left w:val="none" w:sz="0" w:space="0" w:color="auto"/>
        <w:bottom w:val="none" w:sz="0" w:space="0" w:color="auto"/>
        <w:right w:val="none" w:sz="0" w:space="0" w:color="auto"/>
      </w:divBdr>
    </w:div>
    <w:div w:id="559560483">
      <w:bodyDiv w:val="1"/>
      <w:marLeft w:val="0"/>
      <w:marRight w:val="0"/>
      <w:marTop w:val="0"/>
      <w:marBottom w:val="0"/>
      <w:divBdr>
        <w:top w:val="none" w:sz="0" w:space="0" w:color="auto"/>
        <w:left w:val="none" w:sz="0" w:space="0" w:color="auto"/>
        <w:bottom w:val="none" w:sz="0" w:space="0" w:color="auto"/>
        <w:right w:val="none" w:sz="0" w:space="0" w:color="auto"/>
      </w:divBdr>
    </w:div>
    <w:div w:id="559561536">
      <w:bodyDiv w:val="1"/>
      <w:marLeft w:val="0"/>
      <w:marRight w:val="0"/>
      <w:marTop w:val="0"/>
      <w:marBottom w:val="0"/>
      <w:divBdr>
        <w:top w:val="none" w:sz="0" w:space="0" w:color="auto"/>
        <w:left w:val="none" w:sz="0" w:space="0" w:color="auto"/>
        <w:bottom w:val="none" w:sz="0" w:space="0" w:color="auto"/>
        <w:right w:val="none" w:sz="0" w:space="0" w:color="auto"/>
      </w:divBdr>
    </w:div>
    <w:div w:id="560479966">
      <w:bodyDiv w:val="1"/>
      <w:marLeft w:val="0"/>
      <w:marRight w:val="0"/>
      <w:marTop w:val="0"/>
      <w:marBottom w:val="0"/>
      <w:divBdr>
        <w:top w:val="none" w:sz="0" w:space="0" w:color="auto"/>
        <w:left w:val="none" w:sz="0" w:space="0" w:color="auto"/>
        <w:bottom w:val="none" w:sz="0" w:space="0" w:color="auto"/>
        <w:right w:val="none" w:sz="0" w:space="0" w:color="auto"/>
      </w:divBdr>
    </w:div>
    <w:div w:id="561598935">
      <w:bodyDiv w:val="1"/>
      <w:marLeft w:val="0"/>
      <w:marRight w:val="0"/>
      <w:marTop w:val="0"/>
      <w:marBottom w:val="0"/>
      <w:divBdr>
        <w:top w:val="none" w:sz="0" w:space="0" w:color="auto"/>
        <w:left w:val="none" w:sz="0" w:space="0" w:color="auto"/>
        <w:bottom w:val="none" w:sz="0" w:space="0" w:color="auto"/>
        <w:right w:val="none" w:sz="0" w:space="0" w:color="auto"/>
      </w:divBdr>
    </w:div>
    <w:div w:id="561646464">
      <w:bodyDiv w:val="1"/>
      <w:marLeft w:val="0"/>
      <w:marRight w:val="0"/>
      <w:marTop w:val="0"/>
      <w:marBottom w:val="0"/>
      <w:divBdr>
        <w:top w:val="none" w:sz="0" w:space="0" w:color="auto"/>
        <w:left w:val="none" w:sz="0" w:space="0" w:color="auto"/>
        <w:bottom w:val="none" w:sz="0" w:space="0" w:color="auto"/>
        <w:right w:val="none" w:sz="0" w:space="0" w:color="auto"/>
      </w:divBdr>
    </w:div>
    <w:div w:id="566065204">
      <w:bodyDiv w:val="1"/>
      <w:marLeft w:val="0"/>
      <w:marRight w:val="0"/>
      <w:marTop w:val="0"/>
      <w:marBottom w:val="0"/>
      <w:divBdr>
        <w:top w:val="none" w:sz="0" w:space="0" w:color="auto"/>
        <w:left w:val="none" w:sz="0" w:space="0" w:color="auto"/>
        <w:bottom w:val="none" w:sz="0" w:space="0" w:color="auto"/>
        <w:right w:val="none" w:sz="0" w:space="0" w:color="auto"/>
      </w:divBdr>
    </w:div>
    <w:div w:id="567152173">
      <w:bodyDiv w:val="1"/>
      <w:marLeft w:val="0"/>
      <w:marRight w:val="0"/>
      <w:marTop w:val="0"/>
      <w:marBottom w:val="0"/>
      <w:divBdr>
        <w:top w:val="none" w:sz="0" w:space="0" w:color="auto"/>
        <w:left w:val="none" w:sz="0" w:space="0" w:color="auto"/>
        <w:bottom w:val="none" w:sz="0" w:space="0" w:color="auto"/>
        <w:right w:val="none" w:sz="0" w:space="0" w:color="auto"/>
      </w:divBdr>
    </w:div>
    <w:div w:id="567964388">
      <w:bodyDiv w:val="1"/>
      <w:marLeft w:val="0"/>
      <w:marRight w:val="0"/>
      <w:marTop w:val="0"/>
      <w:marBottom w:val="0"/>
      <w:divBdr>
        <w:top w:val="none" w:sz="0" w:space="0" w:color="auto"/>
        <w:left w:val="none" w:sz="0" w:space="0" w:color="auto"/>
        <w:bottom w:val="none" w:sz="0" w:space="0" w:color="auto"/>
        <w:right w:val="none" w:sz="0" w:space="0" w:color="auto"/>
      </w:divBdr>
    </w:div>
    <w:div w:id="573973284">
      <w:bodyDiv w:val="1"/>
      <w:marLeft w:val="0"/>
      <w:marRight w:val="0"/>
      <w:marTop w:val="0"/>
      <w:marBottom w:val="0"/>
      <w:divBdr>
        <w:top w:val="none" w:sz="0" w:space="0" w:color="auto"/>
        <w:left w:val="none" w:sz="0" w:space="0" w:color="auto"/>
        <w:bottom w:val="none" w:sz="0" w:space="0" w:color="auto"/>
        <w:right w:val="none" w:sz="0" w:space="0" w:color="auto"/>
      </w:divBdr>
    </w:div>
    <w:div w:id="577328022">
      <w:bodyDiv w:val="1"/>
      <w:marLeft w:val="0"/>
      <w:marRight w:val="0"/>
      <w:marTop w:val="0"/>
      <w:marBottom w:val="0"/>
      <w:divBdr>
        <w:top w:val="none" w:sz="0" w:space="0" w:color="auto"/>
        <w:left w:val="none" w:sz="0" w:space="0" w:color="auto"/>
        <w:bottom w:val="none" w:sz="0" w:space="0" w:color="auto"/>
        <w:right w:val="none" w:sz="0" w:space="0" w:color="auto"/>
      </w:divBdr>
    </w:div>
    <w:div w:id="578638568">
      <w:bodyDiv w:val="1"/>
      <w:marLeft w:val="0"/>
      <w:marRight w:val="0"/>
      <w:marTop w:val="0"/>
      <w:marBottom w:val="0"/>
      <w:divBdr>
        <w:top w:val="none" w:sz="0" w:space="0" w:color="auto"/>
        <w:left w:val="none" w:sz="0" w:space="0" w:color="auto"/>
        <w:bottom w:val="none" w:sz="0" w:space="0" w:color="auto"/>
        <w:right w:val="none" w:sz="0" w:space="0" w:color="auto"/>
      </w:divBdr>
    </w:div>
    <w:div w:id="581109407">
      <w:bodyDiv w:val="1"/>
      <w:marLeft w:val="0"/>
      <w:marRight w:val="0"/>
      <w:marTop w:val="0"/>
      <w:marBottom w:val="0"/>
      <w:divBdr>
        <w:top w:val="none" w:sz="0" w:space="0" w:color="auto"/>
        <w:left w:val="none" w:sz="0" w:space="0" w:color="auto"/>
        <w:bottom w:val="none" w:sz="0" w:space="0" w:color="auto"/>
        <w:right w:val="none" w:sz="0" w:space="0" w:color="auto"/>
      </w:divBdr>
    </w:div>
    <w:div w:id="583144872">
      <w:bodyDiv w:val="1"/>
      <w:marLeft w:val="0"/>
      <w:marRight w:val="0"/>
      <w:marTop w:val="0"/>
      <w:marBottom w:val="0"/>
      <w:divBdr>
        <w:top w:val="none" w:sz="0" w:space="0" w:color="auto"/>
        <w:left w:val="none" w:sz="0" w:space="0" w:color="auto"/>
        <w:bottom w:val="none" w:sz="0" w:space="0" w:color="auto"/>
        <w:right w:val="none" w:sz="0" w:space="0" w:color="auto"/>
      </w:divBdr>
    </w:div>
    <w:div w:id="584069720">
      <w:bodyDiv w:val="1"/>
      <w:marLeft w:val="0"/>
      <w:marRight w:val="0"/>
      <w:marTop w:val="0"/>
      <w:marBottom w:val="0"/>
      <w:divBdr>
        <w:top w:val="none" w:sz="0" w:space="0" w:color="auto"/>
        <w:left w:val="none" w:sz="0" w:space="0" w:color="auto"/>
        <w:bottom w:val="none" w:sz="0" w:space="0" w:color="auto"/>
        <w:right w:val="none" w:sz="0" w:space="0" w:color="auto"/>
      </w:divBdr>
    </w:div>
    <w:div w:id="584267242">
      <w:bodyDiv w:val="1"/>
      <w:marLeft w:val="0"/>
      <w:marRight w:val="0"/>
      <w:marTop w:val="0"/>
      <w:marBottom w:val="0"/>
      <w:divBdr>
        <w:top w:val="none" w:sz="0" w:space="0" w:color="auto"/>
        <w:left w:val="none" w:sz="0" w:space="0" w:color="auto"/>
        <w:bottom w:val="none" w:sz="0" w:space="0" w:color="auto"/>
        <w:right w:val="none" w:sz="0" w:space="0" w:color="auto"/>
      </w:divBdr>
    </w:div>
    <w:div w:id="585042414">
      <w:bodyDiv w:val="1"/>
      <w:marLeft w:val="0"/>
      <w:marRight w:val="0"/>
      <w:marTop w:val="0"/>
      <w:marBottom w:val="0"/>
      <w:divBdr>
        <w:top w:val="none" w:sz="0" w:space="0" w:color="auto"/>
        <w:left w:val="none" w:sz="0" w:space="0" w:color="auto"/>
        <w:bottom w:val="none" w:sz="0" w:space="0" w:color="auto"/>
        <w:right w:val="none" w:sz="0" w:space="0" w:color="auto"/>
      </w:divBdr>
    </w:div>
    <w:div w:id="586381774">
      <w:bodyDiv w:val="1"/>
      <w:marLeft w:val="0"/>
      <w:marRight w:val="0"/>
      <w:marTop w:val="0"/>
      <w:marBottom w:val="0"/>
      <w:divBdr>
        <w:top w:val="none" w:sz="0" w:space="0" w:color="auto"/>
        <w:left w:val="none" w:sz="0" w:space="0" w:color="auto"/>
        <w:bottom w:val="none" w:sz="0" w:space="0" w:color="auto"/>
        <w:right w:val="none" w:sz="0" w:space="0" w:color="auto"/>
      </w:divBdr>
    </w:div>
    <w:div w:id="587732768">
      <w:bodyDiv w:val="1"/>
      <w:marLeft w:val="0"/>
      <w:marRight w:val="0"/>
      <w:marTop w:val="0"/>
      <w:marBottom w:val="0"/>
      <w:divBdr>
        <w:top w:val="none" w:sz="0" w:space="0" w:color="auto"/>
        <w:left w:val="none" w:sz="0" w:space="0" w:color="auto"/>
        <w:bottom w:val="none" w:sz="0" w:space="0" w:color="auto"/>
        <w:right w:val="none" w:sz="0" w:space="0" w:color="auto"/>
      </w:divBdr>
    </w:div>
    <w:div w:id="587737947">
      <w:bodyDiv w:val="1"/>
      <w:marLeft w:val="0"/>
      <w:marRight w:val="0"/>
      <w:marTop w:val="0"/>
      <w:marBottom w:val="0"/>
      <w:divBdr>
        <w:top w:val="none" w:sz="0" w:space="0" w:color="auto"/>
        <w:left w:val="none" w:sz="0" w:space="0" w:color="auto"/>
        <w:bottom w:val="none" w:sz="0" w:space="0" w:color="auto"/>
        <w:right w:val="none" w:sz="0" w:space="0" w:color="auto"/>
      </w:divBdr>
    </w:div>
    <w:div w:id="587882924">
      <w:bodyDiv w:val="1"/>
      <w:marLeft w:val="0"/>
      <w:marRight w:val="0"/>
      <w:marTop w:val="0"/>
      <w:marBottom w:val="0"/>
      <w:divBdr>
        <w:top w:val="none" w:sz="0" w:space="0" w:color="auto"/>
        <w:left w:val="none" w:sz="0" w:space="0" w:color="auto"/>
        <w:bottom w:val="none" w:sz="0" w:space="0" w:color="auto"/>
        <w:right w:val="none" w:sz="0" w:space="0" w:color="auto"/>
      </w:divBdr>
    </w:div>
    <w:div w:id="587890253">
      <w:bodyDiv w:val="1"/>
      <w:marLeft w:val="0"/>
      <w:marRight w:val="0"/>
      <w:marTop w:val="0"/>
      <w:marBottom w:val="0"/>
      <w:divBdr>
        <w:top w:val="none" w:sz="0" w:space="0" w:color="auto"/>
        <w:left w:val="none" w:sz="0" w:space="0" w:color="auto"/>
        <w:bottom w:val="none" w:sz="0" w:space="0" w:color="auto"/>
        <w:right w:val="none" w:sz="0" w:space="0" w:color="auto"/>
      </w:divBdr>
    </w:div>
    <w:div w:id="588544590">
      <w:bodyDiv w:val="1"/>
      <w:marLeft w:val="0"/>
      <w:marRight w:val="0"/>
      <w:marTop w:val="0"/>
      <w:marBottom w:val="0"/>
      <w:divBdr>
        <w:top w:val="none" w:sz="0" w:space="0" w:color="auto"/>
        <w:left w:val="none" w:sz="0" w:space="0" w:color="auto"/>
        <w:bottom w:val="none" w:sz="0" w:space="0" w:color="auto"/>
        <w:right w:val="none" w:sz="0" w:space="0" w:color="auto"/>
      </w:divBdr>
    </w:div>
    <w:div w:id="588927265">
      <w:bodyDiv w:val="1"/>
      <w:marLeft w:val="0"/>
      <w:marRight w:val="0"/>
      <w:marTop w:val="0"/>
      <w:marBottom w:val="0"/>
      <w:divBdr>
        <w:top w:val="none" w:sz="0" w:space="0" w:color="auto"/>
        <w:left w:val="none" w:sz="0" w:space="0" w:color="auto"/>
        <w:bottom w:val="none" w:sz="0" w:space="0" w:color="auto"/>
        <w:right w:val="none" w:sz="0" w:space="0" w:color="auto"/>
      </w:divBdr>
    </w:div>
    <w:div w:id="594897761">
      <w:bodyDiv w:val="1"/>
      <w:marLeft w:val="0"/>
      <w:marRight w:val="0"/>
      <w:marTop w:val="0"/>
      <w:marBottom w:val="0"/>
      <w:divBdr>
        <w:top w:val="none" w:sz="0" w:space="0" w:color="auto"/>
        <w:left w:val="none" w:sz="0" w:space="0" w:color="auto"/>
        <w:bottom w:val="none" w:sz="0" w:space="0" w:color="auto"/>
        <w:right w:val="none" w:sz="0" w:space="0" w:color="auto"/>
      </w:divBdr>
    </w:div>
    <w:div w:id="596717899">
      <w:bodyDiv w:val="1"/>
      <w:marLeft w:val="0"/>
      <w:marRight w:val="0"/>
      <w:marTop w:val="0"/>
      <w:marBottom w:val="0"/>
      <w:divBdr>
        <w:top w:val="none" w:sz="0" w:space="0" w:color="auto"/>
        <w:left w:val="none" w:sz="0" w:space="0" w:color="auto"/>
        <w:bottom w:val="none" w:sz="0" w:space="0" w:color="auto"/>
        <w:right w:val="none" w:sz="0" w:space="0" w:color="auto"/>
      </w:divBdr>
    </w:div>
    <w:div w:id="602304111">
      <w:bodyDiv w:val="1"/>
      <w:marLeft w:val="0"/>
      <w:marRight w:val="0"/>
      <w:marTop w:val="0"/>
      <w:marBottom w:val="0"/>
      <w:divBdr>
        <w:top w:val="none" w:sz="0" w:space="0" w:color="auto"/>
        <w:left w:val="none" w:sz="0" w:space="0" w:color="auto"/>
        <w:bottom w:val="none" w:sz="0" w:space="0" w:color="auto"/>
        <w:right w:val="none" w:sz="0" w:space="0" w:color="auto"/>
      </w:divBdr>
    </w:div>
    <w:div w:id="603344409">
      <w:bodyDiv w:val="1"/>
      <w:marLeft w:val="0"/>
      <w:marRight w:val="0"/>
      <w:marTop w:val="0"/>
      <w:marBottom w:val="0"/>
      <w:divBdr>
        <w:top w:val="none" w:sz="0" w:space="0" w:color="auto"/>
        <w:left w:val="none" w:sz="0" w:space="0" w:color="auto"/>
        <w:bottom w:val="none" w:sz="0" w:space="0" w:color="auto"/>
        <w:right w:val="none" w:sz="0" w:space="0" w:color="auto"/>
      </w:divBdr>
    </w:div>
    <w:div w:id="606350417">
      <w:bodyDiv w:val="1"/>
      <w:marLeft w:val="0"/>
      <w:marRight w:val="0"/>
      <w:marTop w:val="0"/>
      <w:marBottom w:val="0"/>
      <w:divBdr>
        <w:top w:val="none" w:sz="0" w:space="0" w:color="auto"/>
        <w:left w:val="none" w:sz="0" w:space="0" w:color="auto"/>
        <w:bottom w:val="none" w:sz="0" w:space="0" w:color="auto"/>
        <w:right w:val="none" w:sz="0" w:space="0" w:color="auto"/>
      </w:divBdr>
    </w:div>
    <w:div w:id="606931140">
      <w:bodyDiv w:val="1"/>
      <w:marLeft w:val="0"/>
      <w:marRight w:val="0"/>
      <w:marTop w:val="0"/>
      <w:marBottom w:val="0"/>
      <w:divBdr>
        <w:top w:val="none" w:sz="0" w:space="0" w:color="auto"/>
        <w:left w:val="none" w:sz="0" w:space="0" w:color="auto"/>
        <w:bottom w:val="none" w:sz="0" w:space="0" w:color="auto"/>
        <w:right w:val="none" w:sz="0" w:space="0" w:color="auto"/>
      </w:divBdr>
    </w:div>
    <w:div w:id="611782824">
      <w:bodyDiv w:val="1"/>
      <w:marLeft w:val="0"/>
      <w:marRight w:val="0"/>
      <w:marTop w:val="0"/>
      <w:marBottom w:val="0"/>
      <w:divBdr>
        <w:top w:val="none" w:sz="0" w:space="0" w:color="auto"/>
        <w:left w:val="none" w:sz="0" w:space="0" w:color="auto"/>
        <w:bottom w:val="none" w:sz="0" w:space="0" w:color="auto"/>
        <w:right w:val="none" w:sz="0" w:space="0" w:color="auto"/>
      </w:divBdr>
    </w:div>
    <w:div w:id="612246963">
      <w:bodyDiv w:val="1"/>
      <w:marLeft w:val="0"/>
      <w:marRight w:val="0"/>
      <w:marTop w:val="0"/>
      <w:marBottom w:val="0"/>
      <w:divBdr>
        <w:top w:val="none" w:sz="0" w:space="0" w:color="auto"/>
        <w:left w:val="none" w:sz="0" w:space="0" w:color="auto"/>
        <w:bottom w:val="none" w:sz="0" w:space="0" w:color="auto"/>
        <w:right w:val="none" w:sz="0" w:space="0" w:color="auto"/>
      </w:divBdr>
    </w:div>
    <w:div w:id="614093287">
      <w:bodyDiv w:val="1"/>
      <w:marLeft w:val="0"/>
      <w:marRight w:val="0"/>
      <w:marTop w:val="0"/>
      <w:marBottom w:val="0"/>
      <w:divBdr>
        <w:top w:val="none" w:sz="0" w:space="0" w:color="auto"/>
        <w:left w:val="none" w:sz="0" w:space="0" w:color="auto"/>
        <w:bottom w:val="none" w:sz="0" w:space="0" w:color="auto"/>
        <w:right w:val="none" w:sz="0" w:space="0" w:color="auto"/>
      </w:divBdr>
    </w:div>
    <w:div w:id="615209621">
      <w:bodyDiv w:val="1"/>
      <w:marLeft w:val="0"/>
      <w:marRight w:val="0"/>
      <w:marTop w:val="0"/>
      <w:marBottom w:val="0"/>
      <w:divBdr>
        <w:top w:val="none" w:sz="0" w:space="0" w:color="auto"/>
        <w:left w:val="none" w:sz="0" w:space="0" w:color="auto"/>
        <w:bottom w:val="none" w:sz="0" w:space="0" w:color="auto"/>
        <w:right w:val="none" w:sz="0" w:space="0" w:color="auto"/>
      </w:divBdr>
    </w:div>
    <w:div w:id="616834940">
      <w:bodyDiv w:val="1"/>
      <w:marLeft w:val="0"/>
      <w:marRight w:val="0"/>
      <w:marTop w:val="0"/>
      <w:marBottom w:val="0"/>
      <w:divBdr>
        <w:top w:val="none" w:sz="0" w:space="0" w:color="auto"/>
        <w:left w:val="none" w:sz="0" w:space="0" w:color="auto"/>
        <w:bottom w:val="none" w:sz="0" w:space="0" w:color="auto"/>
        <w:right w:val="none" w:sz="0" w:space="0" w:color="auto"/>
      </w:divBdr>
    </w:div>
    <w:div w:id="621226965">
      <w:bodyDiv w:val="1"/>
      <w:marLeft w:val="0"/>
      <w:marRight w:val="0"/>
      <w:marTop w:val="0"/>
      <w:marBottom w:val="0"/>
      <w:divBdr>
        <w:top w:val="none" w:sz="0" w:space="0" w:color="auto"/>
        <w:left w:val="none" w:sz="0" w:space="0" w:color="auto"/>
        <w:bottom w:val="none" w:sz="0" w:space="0" w:color="auto"/>
        <w:right w:val="none" w:sz="0" w:space="0" w:color="auto"/>
      </w:divBdr>
    </w:div>
    <w:div w:id="624428107">
      <w:bodyDiv w:val="1"/>
      <w:marLeft w:val="0"/>
      <w:marRight w:val="0"/>
      <w:marTop w:val="0"/>
      <w:marBottom w:val="0"/>
      <w:divBdr>
        <w:top w:val="none" w:sz="0" w:space="0" w:color="auto"/>
        <w:left w:val="none" w:sz="0" w:space="0" w:color="auto"/>
        <w:bottom w:val="none" w:sz="0" w:space="0" w:color="auto"/>
        <w:right w:val="none" w:sz="0" w:space="0" w:color="auto"/>
      </w:divBdr>
    </w:div>
    <w:div w:id="627710973">
      <w:bodyDiv w:val="1"/>
      <w:marLeft w:val="0"/>
      <w:marRight w:val="0"/>
      <w:marTop w:val="0"/>
      <w:marBottom w:val="0"/>
      <w:divBdr>
        <w:top w:val="none" w:sz="0" w:space="0" w:color="auto"/>
        <w:left w:val="none" w:sz="0" w:space="0" w:color="auto"/>
        <w:bottom w:val="none" w:sz="0" w:space="0" w:color="auto"/>
        <w:right w:val="none" w:sz="0" w:space="0" w:color="auto"/>
      </w:divBdr>
    </w:div>
    <w:div w:id="628630163">
      <w:bodyDiv w:val="1"/>
      <w:marLeft w:val="0"/>
      <w:marRight w:val="0"/>
      <w:marTop w:val="0"/>
      <w:marBottom w:val="0"/>
      <w:divBdr>
        <w:top w:val="none" w:sz="0" w:space="0" w:color="auto"/>
        <w:left w:val="none" w:sz="0" w:space="0" w:color="auto"/>
        <w:bottom w:val="none" w:sz="0" w:space="0" w:color="auto"/>
        <w:right w:val="none" w:sz="0" w:space="0" w:color="auto"/>
      </w:divBdr>
    </w:div>
    <w:div w:id="629940222">
      <w:bodyDiv w:val="1"/>
      <w:marLeft w:val="0"/>
      <w:marRight w:val="0"/>
      <w:marTop w:val="0"/>
      <w:marBottom w:val="0"/>
      <w:divBdr>
        <w:top w:val="none" w:sz="0" w:space="0" w:color="auto"/>
        <w:left w:val="none" w:sz="0" w:space="0" w:color="auto"/>
        <w:bottom w:val="none" w:sz="0" w:space="0" w:color="auto"/>
        <w:right w:val="none" w:sz="0" w:space="0" w:color="auto"/>
      </w:divBdr>
    </w:div>
    <w:div w:id="633874058">
      <w:bodyDiv w:val="1"/>
      <w:marLeft w:val="0"/>
      <w:marRight w:val="0"/>
      <w:marTop w:val="0"/>
      <w:marBottom w:val="0"/>
      <w:divBdr>
        <w:top w:val="none" w:sz="0" w:space="0" w:color="auto"/>
        <w:left w:val="none" w:sz="0" w:space="0" w:color="auto"/>
        <w:bottom w:val="none" w:sz="0" w:space="0" w:color="auto"/>
        <w:right w:val="none" w:sz="0" w:space="0" w:color="auto"/>
      </w:divBdr>
    </w:div>
    <w:div w:id="635835018">
      <w:bodyDiv w:val="1"/>
      <w:marLeft w:val="0"/>
      <w:marRight w:val="0"/>
      <w:marTop w:val="0"/>
      <w:marBottom w:val="0"/>
      <w:divBdr>
        <w:top w:val="none" w:sz="0" w:space="0" w:color="auto"/>
        <w:left w:val="none" w:sz="0" w:space="0" w:color="auto"/>
        <w:bottom w:val="none" w:sz="0" w:space="0" w:color="auto"/>
        <w:right w:val="none" w:sz="0" w:space="0" w:color="auto"/>
      </w:divBdr>
    </w:div>
    <w:div w:id="636490133">
      <w:bodyDiv w:val="1"/>
      <w:marLeft w:val="0"/>
      <w:marRight w:val="0"/>
      <w:marTop w:val="0"/>
      <w:marBottom w:val="0"/>
      <w:divBdr>
        <w:top w:val="none" w:sz="0" w:space="0" w:color="auto"/>
        <w:left w:val="none" w:sz="0" w:space="0" w:color="auto"/>
        <w:bottom w:val="none" w:sz="0" w:space="0" w:color="auto"/>
        <w:right w:val="none" w:sz="0" w:space="0" w:color="auto"/>
      </w:divBdr>
    </w:div>
    <w:div w:id="636649184">
      <w:bodyDiv w:val="1"/>
      <w:marLeft w:val="0"/>
      <w:marRight w:val="0"/>
      <w:marTop w:val="0"/>
      <w:marBottom w:val="0"/>
      <w:divBdr>
        <w:top w:val="none" w:sz="0" w:space="0" w:color="auto"/>
        <w:left w:val="none" w:sz="0" w:space="0" w:color="auto"/>
        <w:bottom w:val="none" w:sz="0" w:space="0" w:color="auto"/>
        <w:right w:val="none" w:sz="0" w:space="0" w:color="auto"/>
      </w:divBdr>
    </w:div>
    <w:div w:id="637106910">
      <w:bodyDiv w:val="1"/>
      <w:marLeft w:val="0"/>
      <w:marRight w:val="0"/>
      <w:marTop w:val="0"/>
      <w:marBottom w:val="0"/>
      <w:divBdr>
        <w:top w:val="none" w:sz="0" w:space="0" w:color="auto"/>
        <w:left w:val="none" w:sz="0" w:space="0" w:color="auto"/>
        <w:bottom w:val="none" w:sz="0" w:space="0" w:color="auto"/>
        <w:right w:val="none" w:sz="0" w:space="0" w:color="auto"/>
      </w:divBdr>
    </w:div>
    <w:div w:id="640885294">
      <w:bodyDiv w:val="1"/>
      <w:marLeft w:val="0"/>
      <w:marRight w:val="0"/>
      <w:marTop w:val="0"/>
      <w:marBottom w:val="0"/>
      <w:divBdr>
        <w:top w:val="none" w:sz="0" w:space="0" w:color="auto"/>
        <w:left w:val="none" w:sz="0" w:space="0" w:color="auto"/>
        <w:bottom w:val="none" w:sz="0" w:space="0" w:color="auto"/>
        <w:right w:val="none" w:sz="0" w:space="0" w:color="auto"/>
      </w:divBdr>
    </w:div>
    <w:div w:id="642581737">
      <w:bodyDiv w:val="1"/>
      <w:marLeft w:val="0"/>
      <w:marRight w:val="0"/>
      <w:marTop w:val="0"/>
      <w:marBottom w:val="0"/>
      <w:divBdr>
        <w:top w:val="none" w:sz="0" w:space="0" w:color="auto"/>
        <w:left w:val="none" w:sz="0" w:space="0" w:color="auto"/>
        <w:bottom w:val="none" w:sz="0" w:space="0" w:color="auto"/>
        <w:right w:val="none" w:sz="0" w:space="0" w:color="auto"/>
      </w:divBdr>
    </w:div>
    <w:div w:id="643657386">
      <w:bodyDiv w:val="1"/>
      <w:marLeft w:val="0"/>
      <w:marRight w:val="0"/>
      <w:marTop w:val="0"/>
      <w:marBottom w:val="0"/>
      <w:divBdr>
        <w:top w:val="none" w:sz="0" w:space="0" w:color="auto"/>
        <w:left w:val="none" w:sz="0" w:space="0" w:color="auto"/>
        <w:bottom w:val="none" w:sz="0" w:space="0" w:color="auto"/>
        <w:right w:val="none" w:sz="0" w:space="0" w:color="auto"/>
      </w:divBdr>
    </w:div>
    <w:div w:id="644700496">
      <w:bodyDiv w:val="1"/>
      <w:marLeft w:val="0"/>
      <w:marRight w:val="0"/>
      <w:marTop w:val="0"/>
      <w:marBottom w:val="0"/>
      <w:divBdr>
        <w:top w:val="none" w:sz="0" w:space="0" w:color="auto"/>
        <w:left w:val="none" w:sz="0" w:space="0" w:color="auto"/>
        <w:bottom w:val="none" w:sz="0" w:space="0" w:color="auto"/>
        <w:right w:val="none" w:sz="0" w:space="0" w:color="auto"/>
      </w:divBdr>
    </w:div>
    <w:div w:id="647055289">
      <w:bodyDiv w:val="1"/>
      <w:marLeft w:val="0"/>
      <w:marRight w:val="0"/>
      <w:marTop w:val="0"/>
      <w:marBottom w:val="0"/>
      <w:divBdr>
        <w:top w:val="none" w:sz="0" w:space="0" w:color="auto"/>
        <w:left w:val="none" w:sz="0" w:space="0" w:color="auto"/>
        <w:bottom w:val="none" w:sz="0" w:space="0" w:color="auto"/>
        <w:right w:val="none" w:sz="0" w:space="0" w:color="auto"/>
      </w:divBdr>
    </w:div>
    <w:div w:id="647174643">
      <w:bodyDiv w:val="1"/>
      <w:marLeft w:val="0"/>
      <w:marRight w:val="0"/>
      <w:marTop w:val="0"/>
      <w:marBottom w:val="0"/>
      <w:divBdr>
        <w:top w:val="none" w:sz="0" w:space="0" w:color="auto"/>
        <w:left w:val="none" w:sz="0" w:space="0" w:color="auto"/>
        <w:bottom w:val="none" w:sz="0" w:space="0" w:color="auto"/>
        <w:right w:val="none" w:sz="0" w:space="0" w:color="auto"/>
      </w:divBdr>
    </w:div>
    <w:div w:id="649293008">
      <w:bodyDiv w:val="1"/>
      <w:marLeft w:val="0"/>
      <w:marRight w:val="0"/>
      <w:marTop w:val="0"/>
      <w:marBottom w:val="0"/>
      <w:divBdr>
        <w:top w:val="none" w:sz="0" w:space="0" w:color="auto"/>
        <w:left w:val="none" w:sz="0" w:space="0" w:color="auto"/>
        <w:bottom w:val="none" w:sz="0" w:space="0" w:color="auto"/>
        <w:right w:val="none" w:sz="0" w:space="0" w:color="auto"/>
      </w:divBdr>
    </w:div>
    <w:div w:id="650598620">
      <w:bodyDiv w:val="1"/>
      <w:marLeft w:val="0"/>
      <w:marRight w:val="0"/>
      <w:marTop w:val="0"/>
      <w:marBottom w:val="0"/>
      <w:divBdr>
        <w:top w:val="none" w:sz="0" w:space="0" w:color="auto"/>
        <w:left w:val="none" w:sz="0" w:space="0" w:color="auto"/>
        <w:bottom w:val="none" w:sz="0" w:space="0" w:color="auto"/>
        <w:right w:val="none" w:sz="0" w:space="0" w:color="auto"/>
      </w:divBdr>
    </w:div>
    <w:div w:id="651175042">
      <w:bodyDiv w:val="1"/>
      <w:marLeft w:val="0"/>
      <w:marRight w:val="0"/>
      <w:marTop w:val="0"/>
      <w:marBottom w:val="0"/>
      <w:divBdr>
        <w:top w:val="none" w:sz="0" w:space="0" w:color="auto"/>
        <w:left w:val="none" w:sz="0" w:space="0" w:color="auto"/>
        <w:bottom w:val="none" w:sz="0" w:space="0" w:color="auto"/>
        <w:right w:val="none" w:sz="0" w:space="0" w:color="auto"/>
      </w:divBdr>
    </w:div>
    <w:div w:id="652415030">
      <w:bodyDiv w:val="1"/>
      <w:marLeft w:val="0"/>
      <w:marRight w:val="0"/>
      <w:marTop w:val="0"/>
      <w:marBottom w:val="0"/>
      <w:divBdr>
        <w:top w:val="none" w:sz="0" w:space="0" w:color="auto"/>
        <w:left w:val="none" w:sz="0" w:space="0" w:color="auto"/>
        <w:bottom w:val="none" w:sz="0" w:space="0" w:color="auto"/>
        <w:right w:val="none" w:sz="0" w:space="0" w:color="auto"/>
      </w:divBdr>
    </w:div>
    <w:div w:id="654725433">
      <w:bodyDiv w:val="1"/>
      <w:marLeft w:val="0"/>
      <w:marRight w:val="0"/>
      <w:marTop w:val="0"/>
      <w:marBottom w:val="0"/>
      <w:divBdr>
        <w:top w:val="none" w:sz="0" w:space="0" w:color="auto"/>
        <w:left w:val="none" w:sz="0" w:space="0" w:color="auto"/>
        <w:bottom w:val="none" w:sz="0" w:space="0" w:color="auto"/>
        <w:right w:val="none" w:sz="0" w:space="0" w:color="auto"/>
      </w:divBdr>
    </w:div>
    <w:div w:id="655764132">
      <w:bodyDiv w:val="1"/>
      <w:marLeft w:val="0"/>
      <w:marRight w:val="0"/>
      <w:marTop w:val="0"/>
      <w:marBottom w:val="0"/>
      <w:divBdr>
        <w:top w:val="none" w:sz="0" w:space="0" w:color="auto"/>
        <w:left w:val="none" w:sz="0" w:space="0" w:color="auto"/>
        <w:bottom w:val="none" w:sz="0" w:space="0" w:color="auto"/>
        <w:right w:val="none" w:sz="0" w:space="0" w:color="auto"/>
      </w:divBdr>
    </w:div>
    <w:div w:id="656300917">
      <w:bodyDiv w:val="1"/>
      <w:marLeft w:val="0"/>
      <w:marRight w:val="0"/>
      <w:marTop w:val="0"/>
      <w:marBottom w:val="0"/>
      <w:divBdr>
        <w:top w:val="none" w:sz="0" w:space="0" w:color="auto"/>
        <w:left w:val="none" w:sz="0" w:space="0" w:color="auto"/>
        <w:bottom w:val="none" w:sz="0" w:space="0" w:color="auto"/>
        <w:right w:val="none" w:sz="0" w:space="0" w:color="auto"/>
      </w:divBdr>
    </w:div>
    <w:div w:id="657150895">
      <w:bodyDiv w:val="1"/>
      <w:marLeft w:val="0"/>
      <w:marRight w:val="0"/>
      <w:marTop w:val="0"/>
      <w:marBottom w:val="0"/>
      <w:divBdr>
        <w:top w:val="none" w:sz="0" w:space="0" w:color="auto"/>
        <w:left w:val="none" w:sz="0" w:space="0" w:color="auto"/>
        <w:bottom w:val="none" w:sz="0" w:space="0" w:color="auto"/>
        <w:right w:val="none" w:sz="0" w:space="0" w:color="auto"/>
      </w:divBdr>
    </w:div>
    <w:div w:id="657349453">
      <w:bodyDiv w:val="1"/>
      <w:marLeft w:val="0"/>
      <w:marRight w:val="0"/>
      <w:marTop w:val="0"/>
      <w:marBottom w:val="0"/>
      <w:divBdr>
        <w:top w:val="none" w:sz="0" w:space="0" w:color="auto"/>
        <w:left w:val="none" w:sz="0" w:space="0" w:color="auto"/>
        <w:bottom w:val="none" w:sz="0" w:space="0" w:color="auto"/>
        <w:right w:val="none" w:sz="0" w:space="0" w:color="auto"/>
      </w:divBdr>
    </w:div>
    <w:div w:id="658000249">
      <w:bodyDiv w:val="1"/>
      <w:marLeft w:val="0"/>
      <w:marRight w:val="0"/>
      <w:marTop w:val="0"/>
      <w:marBottom w:val="0"/>
      <w:divBdr>
        <w:top w:val="none" w:sz="0" w:space="0" w:color="auto"/>
        <w:left w:val="none" w:sz="0" w:space="0" w:color="auto"/>
        <w:bottom w:val="none" w:sz="0" w:space="0" w:color="auto"/>
        <w:right w:val="none" w:sz="0" w:space="0" w:color="auto"/>
      </w:divBdr>
    </w:div>
    <w:div w:id="659649914">
      <w:bodyDiv w:val="1"/>
      <w:marLeft w:val="0"/>
      <w:marRight w:val="0"/>
      <w:marTop w:val="0"/>
      <w:marBottom w:val="0"/>
      <w:divBdr>
        <w:top w:val="none" w:sz="0" w:space="0" w:color="auto"/>
        <w:left w:val="none" w:sz="0" w:space="0" w:color="auto"/>
        <w:bottom w:val="none" w:sz="0" w:space="0" w:color="auto"/>
        <w:right w:val="none" w:sz="0" w:space="0" w:color="auto"/>
      </w:divBdr>
    </w:div>
    <w:div w:id="664481019">
      <w:bodyDiv w:val="1"/>
      <w:marLeft w:val="0"/>
      <w:marRight w:val="0"/>
      <w:marTop w:val="0"/>
      <w:marBottom w:val="0"/>
      <w:divBdr>
        <w:top w:val="none" w:sz="0" w:space="0" w:color="auto"/>
        <w:left w:val="none" w:sz="0" w:space="0" w:color="auto"/>
        <w:bottom w:val="none" w:sz="0" w:space="0" w:color="auto"/>
        <w:right w:val="none" w:sz="0" w:space="0" w:color="auto"/>
      </w:divBdr>
    </w:div>
    <w:div w:id="672269720">
      <w:bodyDiv w:val="1"/>
      <w:marLeft w:val="0"/>
      <w:marRight w:val="0"/>
      <w:marTop w:val="0"/>
      <w:marBottom w:val="0"/>
      <w:divBdr>
        <w:top w:val="none" w:sz="0" w:space="0" w:color="auto"/>
        <w:left w:val="none" w:sz="0" w:space="0" w:color="auto"/>
        <w:bottom w:val="none" w:sz="0" w:space="0" w:color="auto"/>
        <w:right w:val="none" w:sz="0" w:space="0" w:color="auto"/>
      </w:divBdr>
    </w:div>
    <w:div w:id="672299716">
      <w:bodyDiv w:val="1"/>
      <w:marLeft w:val="0"/>
      <w:marRight w:val="0"/>
      <w:marTop w:val="0"/>
      <w:marBottom w:val="0"/>
      <w:divBdr>
        <w:top w:val="none" w:sz="0" w:space="0" w:color="auto"/>
        <w:left w:val="none" w:sz="0" w:space="0" w:color="auto"/>
        <w:bottom w:val="none" w:sz="0" w:space="0" w:color="auto"/>
        <w:right w:val="none" w:sz="0" w:space="0" w:color="auto"/>
      </w:divBdr>
    </w:div>
    <w:div w:id="678048287">
      <w:bodyDiv w:val="1"/>
      <w:marLeft w:val="0"/>
      <w:marRight w:val="0"/>
      <w:marTop w:val="0"/>
      <w:marBottom w:val="0"/>
      <w:divBdr>
        <w:top w:val="none" w:sz="0" w:space="0" w:color="auto"/>
        <w:left w:val="none" w:sz="0" w:space="0" w:color="auto"/>
        <w:bottom w:val="none" w:sz="0" w:space="0" w:color="auto"/>
        <w:right w:val="none" w:sz="0" w:space="0" w:color="auto"/>
      </w:divBdr>
    </w:div>
    <w:div w:id="678434350">
      <w:bodyDiv w:val="1"/>
      <w:marLeft w:val="0"/>
      <w:marRight w:val="0"/>
      <w:marTop w:val="0"/>
      <w:marBottom w:val="0"/>
      <w:divBdr>
        <w:top w:val="none" w:sz="0" w:space="0" w:color="auto"/>
        <w:left w:val="none" w:sz="0" w:space="0" w:color="auto"/>
        <w:bottom w:val="none" w:sz="0" w:space="0" w:color="auto"/>
        <w:right w:val="none" w:sz="0" w:space="0" w:color="auto"/>
      </w:divBdr>
    </w:div>
    <w:div w:id="680086120">
      <w:bodyDiv w:val="1"/>
      <w:marLeft w:val="0"/>
      <w:marRight w:val="0"/>
      <w:marTop w:val="0"/>
      <w:marBottom w:val="0"/>
      <w:divBdr>
        <w:top w:val="none" w:sz="0" w:space="0" w:color="auto"/>
        <w:left w:val="none" w:sz="0" w:space="0" w:color="auto"/>
        <w:bottom w:val="none" w:sz="0" w:space="0" w:color="auto"/>
        <w:right w:val="none" w:sz="0" w:space="0" w:color="auto"/>
      </w:divBdr>
    </w:div>
    <w:div w:id="680204699">
      <w:bodyDiv w:val="1"/>
      <w:marLeft w:val="0"/>
      <w:marRight w:val="0"/>
      <w:marTop w:val="0"/>
      <w:marBottom w:val="0"/>
      <w:divBdr>
        <w:top w:val="none" w:sz="0" w:space="0" w:color="auto"/>
        <w:left w:val="none" w:sz="0" w:space="0" w:color="auto"/>
        <w:bottom w:val="none" w:sz="0" w:space="0" w:color="auto"/>
        <w:right w:val="none" w:sz="0" w:space="0" w:color="auto"/>
      </w:divBdr>
    </w:div>
    <w:div w:id="681009425">
      <w:bodyDiv w:val="1"/>
      <w:marLeft w:val="0"/>
      <w:marRight w:val="0"/>
      <w:marTop w:val="0"/>
      <w:marBottom w:val="0"/>
      <w:divBdr>
        <w:top w:val="none" w:sz="0" w:space="0" w:color="auto"/>
        <w:left w:val="none" w:sz="0" w:space="0" w:color="auto"/>
        <w:bottom w:val="none" w:sz="0" w:space="0" w:color="auto"/>
        <w:right w:val="none" w:sz="0" w:space="0" w:color="auto"/>
      </w:divBdr>
    </w:div>
    <w:div w:id="682509451">
      <w:bodyDiv w:val="1"/>
      <w:marLeft w:val="0"/>
      <w:marRight w:val="0"/>
      <w:marTop w:val="0"/>
      <w:marBottom w:val="0"/>
      <w:divBdr>
        <w:top w:val="none" w:sz="0" w:space="0" w:color="auto"/>
        <w:left w:val="none" w:sz="0" w:space="0" w:color="auto"/>
        <w:bottom w:val="none" w:sz="0" w:space="0" w:color="auto"/>
        <w:right w:val="none" w:sz="0" w:space="0" w:color="auto"/>
      </w:divBdr>
    </w:div>
    <w:div w:id="682707143">
      <w:bodyDiv w:val="1"/>
      <w:marLeft w:val="0"/>
      <w:marRight w:val="0"/>
      <w:marTop w:val="0"/>
      <w:marBottom w:val="0"/>
      <w:divBdr>
        <w:top w:val="none" w:sz="0" w:space="0" w:color="auto"/>
        <w:left w:val="none" w:sz="0" w:space="0" w:color="auto"/>
        <w:bottom w:val="none" w:sz="0" w:space="0" w:color="auto"/>
        <w:right w:val="none" w:sz="0" w:space="0" w:color="auto"/>
      </w:divBdr>
    </w:div>
    <w:div w:id="683284222">
      <w:bodyDiv w:val="1"/>
      <w:marLeft w:val="0"/>
      <w:marRight w:val="0"/>
      <w:marTop w:val="0"/>
      <w:marBottom w:val="0"/>
      <w:divBdr>
        <w:top w:val="none" w:sz="0" w:space="0" w:color="auto"/>
        <w:left w:val="none" w:sz="0" w:space="0" w:color="auto"/>
        <w:bottom w:val="none" w:sz="0" w:space="0" w:color="auto"/>
        <w:right w:val="none" w:sz="0" w:space="0" w:color="auto"/>
      </w:divBdr>
    </w:div>
    <w:div w:id="685592259">
      <w:bodyDiv w:val="1"/>
      <w:marLeft w:val="0"/>
      <w:marRight w:val="0"/>
      <w:marTop w:val="0"/>
      <w:marBottom w:val="0"/>
      <w:divBdr>
        <w:top w:val="none" w:sz="0" w:space="0" w:color="auto"/>
        <w:left w:val="none" w:sz="0" w:space="0" w:color="auto"/>
        <w:bottom w:val="none" w:sz="0" w:space="0" w:color="auto"/>
        <w:right w:val="none" w:sz="0" w:space="0" w:color="auto"/>
      </w:divBdr>
    </w:div>
    <w:div w:id="686297830">
      <w:bodyDiv w:val="1"/>
      <w:marLeft w:val="0"/>
      <w:marRight w:val="0"/>
      <w:marTop w:val="0"/>
      <w:marBottom w:val="0"/>
      <w:divBdr>
        <w:top w:val="none" w:sz="0" w:space="0" w:color="auto"/>
        <w:left w:val="none" w:sz="0" w:space="0" w:color="auto"/>
        <w:bottom w:val="none" w:sz="0" w:space="0" w:color="auto"/>
        <w:right w:val="none" w:sz="0" w:space="0" w:color="auto"/>
      </w:divBdr>
    </w:div>
    <w:div w:id="687218269">
      <w:bodyDiv w:val="1"/>
      <w:marLeft w:val="0"/>
      <w:marRight w:val="0"/>
      <w:marTop w:val="0"/>
      <w:marBottom w:val="0"/>
      <w:divBdr>
        <w:top w:val="none" w:sz="0" w:space="0" w:color="auto"/>
        <w:left w:val="none" w:sz="0" w:space="0" w:color="auto"/>
        <w:bottom w:val="none" w:sz="0" w:space="0" w:color="auto"/>
        <w:right w:val="none" w:sz="0" w:space="0" w:color="auto"/>
      </w:divBdr>
    </w:div>
    <w:div w:id="687485690">
      <w:bodyDiv w:val="1"/>
      <w:marLeft w:val="0"/>
      <w:marRight w:val="0"/>
      <w:marTop w:val="0"/>
      <w:marBottom w:val="0"/>
      <w:divBdr>
        <w:top w:val="none" w:sz="0" w:space="0" w:color="auto"/>
        <w:left w:val="none" w:sz="0" w:space="0" w:color="auto"/>
        <w:bottom w:val="none" w:sz="0" w:space="0" w:color="auto"/>
        <w:right w:val="none" w:sz="0" w:space="0" w:color="auto"/>
      </w:divBdr>
    </w:div>
    <w:div w:id="688990373">
      <w:bodyDiv w:val="1"/>
      <w:marLeft w:val="0"/>
      <w:marRight w:val="0"/>
      <w:marTop w:val="0"/>
      <w:marBottom w:val="0"/>
      <w:divBdr>
        <w:top w:val="none" w:sz="0" w:space="0" w:color="auto"/>
        <w:left w:val="none" w:sz="0" w:space="0" w:color="auto"/>
        <w:bottom w:val="none" w:sz="0" w:space="0" w:color="auto"/>
        <w:right w:val="none" w:sz="0" w:space="0" w:color="auto"/>
      </w:divBdr>
    </w:div>
    <w:div w:id="691734977">
      <w:bodyDiv w:val="1"/>
      <w:marLeft w:val="0"/>
      <w:marRight w:val="0"/>
      <w:marTop w:val="0"/>
      <w:marBottom w:val="0"/>
      <w:divBdr>
        <w:top w:val="none" w:sz="0" w:space="0" w:color="auto"/>
        <w:left w:val="none" w:sz="0" w:space="0" w:color="auto"/>
        <w:bottom w:val="none" w:sz="0" w:space="0" w:color="auto"/>
        <w:right w:val="none" w:sz="0" w:space="0" w:color="auto"/>
      </w:divBdr>
    </w:div>
    <w:div w:id="691954402">
      <w:bodyDiv w:val="1"/>
      <w:marLeft w:val="0"/>
      <w:marRight w:val="0"/>
      <w:marTop w:val="0"/>
      <w:marBottom w:val="0"/>
      <w:divBdr>
        <w:top w:val="none" w:sz="0" w:space="0" w:color="auto"/>
        <w:left w:val="none" w:sz="0" w:space="0" w:color="auto"/>
        <w:bottom w:val="none" w:sz="0" w:space="0" w:color="auto"/>
        <w:right w:val="none" w:sz="0" w:space="0" w:color="auto"/>
      </w:divBdr>
    </w:div>
    <w:div w:id="693507517">
      <w:bodyDiv w:val="1"/>
      <w:marLeft w:val="0"/>
      <w:marRight w:val="0"/>
      <w:marTop w:val="0"/>
      <w:marBottom w:val="0"/>
      <w:divBdr>
        <w:top w:val="none" w:sz="0" w:space="0" w:color="auto"/>
        <w:left w:val="none" w:sz="0" w:space="0" w:color="auto"/>
        <w:bottom w:val="none" w:sz="0" w:space="0" w:color="auto"/>
        <w:right w:val="none" w:sz="0" w:space="0" w:color="auto"/>
      </w:divBdr>
    </w:div>
    <w:div w:id="694698443">
      <w:bodyDiv w:val="1"/>
      <w:marLeft w:val="0"/>
      <w:marRight w:val="0"/>
      <w:marTop w:val="0"/>
      <w:marBottom w:val="0"/>
      <w:divBdr>
        <w:top w:val="none" w:sz="0" w:space="0" w:color="auto"/>
        <w:left w:val="none" w:sz="0" w:space="0" w:color="auto"/>
        <w:bottom w:val="none" w:sz="0" w:space="0" w:color="auto"/>
        <w:right w:val="none" w:sz="0" w:space="0" w:color="auto"/>
      </w:divBdr>
    </w:div>
    <w:div w:id="695544404">
      <w:bodyDiv w:val="1"/>
      <w:marLeft w:val="0"/>
      <w:marRight w:val="0"/>
      <w:marTop w:val="0"/>
      <w:marBottom w:val="0"/>
      <w:divBdr>
        <w:top w:val="none" w:sz="0" w:space="0" w:color="auto"/>
        <w:left w:val="none" w:sz="0" w:space="0" w:color="auto"/>
        <w:bottom w:val="none" w:sz="0" w:space="0" w:color="auto"/>
        <w:right w:val="none" w:sz="0" w:space="0" w:color="auto"/>
      </w:divBdr>
    </w:div>
    <w:div w:id="695616837">
      <w:bodyDiv w:val="1"/>
      <w:marLeft w:val="0"/>
      <w:marRight w:val="0"/>
      <w:marTop w:val="0"/>
      <w:marBottom w:val="0"/>
      <w:divBdr>
        <w:top w:val="none" w:sz="0" w:space="0" w:color="auto"/>
        <w:left w:val="none" w:sz="0" w:space="0" w:color="auto"/>
        <w:bottom w:val="none" w:sz="0" w:space="0" w:color="auto"/>
        <w:right w:val="none" w:sz="0" w:space="0" w:color="auto"/>
      </w:divBdr>
    </w:div>
    <w:div w:id="697897089">
      <w:bodyDiv w:val="1"/>
      <w:marLeft w:val="0"/>
      <w:marRight w:val="0"/>
      <w:marTop w:val="0"/>
      <w:marBottom w:val="0"/>
      <w:divBdr>
        <w:top w:val="none" w:sz="0" w:space="0" w:color="auto"/>
        <w:left w:val="none" w:sz="0" w:space="0" w:color="auto"/>
        <w:bottom w:val="none" w:sz="0" w:space="0" w:color="auto"/>
        <w:right w:val="none" w:sz="0" w:space="0" w:color="auto"/>
      </w:divBdr>
    </w:div>
    <w:div w:id="700058804">
      <w:bodyDiv w:val="1"/>
      <w:marLeft w:val="0"/>
      <w:marRight w:val="0"/>
      <w:marTop w:val="0"/>
      <w:marBottom w:val="0"/>
      <w:divBdr>
        <w:top w:val="none" w:sz="0" w:space="0" w:color="auto"/>
        <w:left w:val="none" w:sz="0" w:space="0" w:color="auto"/>
        <w:bottom w:val="none" w:sz="0" w:space="0" w:color="auto"/>
        <w:right w:val="none" w:sz="0" w:space="0" w:color="auto"/>
      </w:divBdr>
    </w:div>
    <w:div w:id="704139930">
      <w:bodyDiv w:val="1"/>
      <w:marLeft w:val="0"/>
      <w:marRight w:val="0"/>
      <w:marTop w:val="0"/>
      <w:marBottom w:val="0"/>
      <w:divBdr>
        <w:top w:val="none" w:sz="0" w:space="0" w:color="auto"/>
        <w:left w:val="none" w:sz="0" w:space="0" w:color="auto"/>
        <w:bottom w:val="none" w:sz="0" w:space="0" w:color="auto"/>
        <w:right w:val="none" w:sz="0" w:space="0" w:color="auto"/>
      </w:divBdr>
    </w:div>
    <w:div w:id="704645062">
      <w:bodyDiv w:val="1"/>
      <w:marLeft w:val="0"/>
      <w:marRight w:val="0"/>
      <w:marTop w:val="0"/>
      <w:marBottom w:val="0"/>
      <w:divBdr>
        <w:top w:val="none" w:sz="0" w:space="0" w:color="auto"/>
        <w:left w:val="none" w:sz="0" w:space="0" w:color="auto"/>
        <w:bottom w:val="none" w:sz="0" w:space="0" w:color="auto"/>
        <w:right w:val="none" w:sz="0" w:space="0" w:color="auto"/>
      </w:divBdr>
    </w:div>
    <w:div w:id="705905465">
      <w:bodyDiv w:val="1"/>
      <w:marLeft w:val="0"/>
      <w:marRight w:val="0"/>
      <w:marTop w:val="0"/>
      <w:marBottom w:val="0"/>
      <w:divBdr>
        <w:top w:val="none" w:sz="0" w:space="0" w:color="auto"/>
        <w:left w:val="none" w:sz="0" w:space="0" w:color="auto"/>
        <w:bottom w:val="none" w:sz="0" w:space="0" w:color="auto"/>
        <w:right w:val="none" w:sz="0" w:space="0" w:color="auto"/>
      </w:divBdr>
    </w:div>
    <w:div w:id="706178239">
      <w:bodyDiv w:val="1"/>
      <w:marLeft w:val="0"/>
      <w:marRight w:val="0"/>
      <w:marTop w:val="0"/>
      <w:marBottom w:val="0"/>
      <w:divBdr>
        <w:top w:val="none" w:sz="0" w:space="0" w:color="auto"/>
        <w:left w:val="none" w:sz="0" w:space="0" w:color="auto"/>
        <w:bottom w:val="none" w:sz="0" w:space="0" w:color="auto"/>
        <w:right w:val="none" w:sz="0" w:space="0" w:color="auto"/>
      </w:divBdr>
    </w:div>
    <w:div w:id="708992211">
      <w:bodyDiv w:val="1"/>
      <w:marLeft w:val="0"/>
      <w:marRight w:val="0"/>
      <w:marTop w:val="0"/>
      <w:marBottom w:val="0"/>
      <w:divBdr>
        <w:top w:val="none" w:sz="0" w:space="0" w:color="auto"/>
        <w:left w:val="none" w:sz="0" w:space="0" w:color="auto"/>
        <w:bottom w:val="none" w:sz="0" w:space="0" w:color="auto"/>
        <w:right w:val="none" w:sz="0" w:space="0" w:color="auto"/>
      </w:divBdr>
    </w:div>
    <w:div w:id="711610206">
      <w:bodyDiv w:val="1"/>
      <w:marLeft w:val="0"/>
      <w:marRight w:val="0"/>
      <w:marTop w:val="0"/>
      <w:marBottom w:val="0"/>
      <w:divBdr>
        <w:top w:val="none" w:sz="0" w:space="0" w:color="auto"/>
        <w:left w:val="none" w:sz="0" w:space="0" w:color="auto"/>
        <w:bottom w:val="none" w:sz="0" w:space="0" w:color="auto"/>
        <w:right w:val="none" w:sz="0" w:space="0" w:color="auto"/>
      </w:divBdr>
    </w:div>
    <w:div w:id="711806034">
      <w:bodyDiv w:val="1"/>
      <w:marLeft w:val="0"/>
      <w:marRight w:val="0"/>
      <w:marTop w:val="0"/>
      <w:marBottom w:val="0"/>
      <w:divBdr>
        <w:top w:val="none" w:sz="0" w:space="0" w:color="auto"/>
        <w:left w:val="none" w:sz="0" w:space="0" w:color="auto"/>
        <w:bottom w:val="none" w:sz="0" w:space="0" w:color="auto"/>
        <w:right w:val="none" w:sz="0" w:space="0" w:color="auto"/>
      </w:divBdr>
    </w:div>
    <w:div w:id="714890117">
      <w:bodyDiv w:val="1"/>
      <w:marLeft w:val="0"/>
      <w:marRight w:val="0"/>
      <w:marTop w:val="0"/>
      <w:marBottom w:val="0"/>
      <w:divBdr>
        <w:top w:val="none" w:sz="0" w:space="0" w:color="auto"/>
        <w:left w:val="none" w:sz="0" w:space="0" w:color="auto"/>
        <w:bottom w:val="none" w:sz="0" w:space="0" w:color="auto"/>
        <w:right w:val="none" w:sz="0" w:space="0" w:color="auto"/>
      </w:divBdr>
    </w:div>
    <w:div w:id="716706142">
      <w:bodyDiv w:val="1"/>
      <w:marLeft w:val="0"/>
      <w:marRight w:val="0"/>
      <w:marTop w:val="0"/>
      <w:marBottom w:val="0"/>
      <w:divBdr>
        <w:top w:val="none" w:sz="0" w:space="0" w:color="auto"/>
        <w:left w:val="none" w:sz="0" w:space="0" w:color="auto"/>
        <w:bottom w:val="none" w:sz="0" w:space="0" w:color="auto"/>
        <w:right w:val="none" w:sz="0" w:space="0" w:color="auto"/>
      </w:divBdr>
    </w:div>
    <w:div w:id="719135142">
      <w:bodyDiv w:val="1"/>
      <w:marLeft w:val="0"/>
      <w:marRight w:val="0"/>
      <w:marTop w:val="0"/>
      <w:marBottom w:val="0"/>
      <w:divBdr>
        <w:top w:val="none" w:sz="0" w:space="0" w:color="auto"/>
        <w:left w:val="none" w:sz="0" w:space="0" w:color="auto"/>
        <w:bottom w:val="none" w:sz="0" w:space="0" w:color="auto"/>
        <w:right w:val="none" w:sz="0" w:space="0" w:color="auto"/>
      </w:divBdr>
    </w:div>
    <w:div w:id="719867159">
      <w:bodyDiv w:val="1"/>
      <w:marLeft w:val="0"/>
      <w:marRight w:val="0"/>
      <w:marTop w:val="0"/>
      <w:marBottom w:val="0"/>
      <w:divBdr>
        <w:top w:val="none" w:sz="0" w:space="0" w:color="auto"/>
        <w:left w:val="none" w:sz="0" w:space="0" w:color="auto"/>
        <w:bottom w:val="none" w:sz="0" w:space="0" w:color="auto"/>
        <w:right w:val="none" w:sz="0" w:space="0" w:color="auto"/>
      </w:divBdr>
    </w:div>
    <w:div w:id="721903131">
      <w:bodyDiv w:val="1"/>
      <w:marLeft w:val="0"/>
      <w:marRight w:val="0"/>
      <w:marTop w:val="0"/>
      <w:marBottom w:val="0"/>
      <w:divBdr>
        <w:top w:val="none" w:sz="0" w:space="0" w:color="auto"/>
        <w:left w:val="none" w:sz="0" w:space="0" w:color="auto"/>
        <w:bottom w:val="none" w:sz="0" w:space="0" w:color="auto"/>
        <w:right w:val="none" w:sz="0" w:space="0" w:color="auto"/>
      </w:divBdr>
    </w:div>
    <w:div w:id="722093799">
      <w:bodyDiv w:val="1"/>
      <w:marLeft w:val="0"/>
      <w:marRight w:val="0"/>
      <w:marTop w:val="0"/>
      <w:marBottom w:val="0"/>
      <w:divBdr>
        <w:top w:val="none" w:sz="0" w:space="0" w:color="auto"/>
        <w:left w:val="none" w:sz="0" w:space="0" w:color="auto"/>
        <w:bottom w:val="none" w:sz="0" w:space="0" w:color="auto"/>
        <w:right w:val="none" w:sz="0" w:space="0" w:color="auto"/>
      </w:divBdr>
    </w:div>
    <w:div w:id="724716191">
      <w:bodyDiv w:val="1"/>
      <w:marLeft w:val="0"/>
      <w:marRight w:val="0"/>
      <w:marTop w:val="0"/>
      <w:marBottom w:val="0"/>
      <w:divBdr>
        <w:top w:val="none" w:sz="0" w:space="0" w:color="auto"/>
        <w:left w:val="none" w:sz="0" w:space="0" w:color="auto"/>
        <w:bottom w:val="none" w:sz="0" w:space="0" w:color="auto"/>
        <w:right w:val="none" w:sz="0" w:space="0" w:color="auto"/>
      </w:divBdr>
    </w:div>
    <w:div w:id="725297447">
      <w:bodyDiv w:val="1"/>
      <w:marLeft w:val="0"/>
      <w:marRight w:val="0"/>
      <w:marTop w:val="0"/>
      <w:marBottom w:val="0"/>
      <w:divBdr>
        <w:top w:val="none" w:sz="0" w:space="0" w:color="auto"/>
        <w:left w:val="none" w:sz="0" w:space="0" w:color="auto"/>
        <w:bottom w:val="none" w:sz="0" w:space="0" w:color="auto"/>
        <w:right w:val="none" w:sz="0" w:space="0" w:color="auto"/>
      </w:divBdr>
    </w:div>
    <w:div w:id="727613037">
      <w:bodyDiv w:val="1"/>
      <w:marLeft w:val="0"/>
      <w:marRight w:val="0"/>
      <w:marTop w:val="0"/>
      <w:marBottom w:val="0"/>
      <w:divBdr>
        <w:top w:val="none" w:sz="0" w:space="0" w:color="auto"/>
        <w:left w:val="none" w:sz="0" w:space="0" w:color="auto"/>
        <w:bottom w:val="none" w:sz="0" w:space="0" w:color="auto"/>
        <w:right w:val="none" w:sz="0" w:space="0" w:color="auto"/>
      </w:divBdr>
    </w:div>
    <w:div w:id="728261966">
      <w:bodyDiv w:val="1"/>
      <w:marLeft w:val="0"/>
      <w:marRight w:val="0"/>
      <w:marTop w:val="0"/>
      <w:marBottom w:val="0"/>
      <w:divBdr>
        <w:top w:val="none" w:sz="0" w:space="0" w:color="auto"/>
        <w:left w:val="none" w:sz="0" w:space="0" w:color="auto"/>
        <w:bottom w:val="none" w:sz="0" w:space="0" w:color="auto"/>
        <w:right w:val="none" w:sz="0" w:space="0" w:color="auto"/>
      </w:divBdr>
    </w:div>
    <w:div w:id="728767545">
      <w:bodyDiv w:val="1"/>
      <w:marLeft w:val="0"/>
      <w:marRight w:val="0"/>
      <w:marTop w:val="0"/>
      <w:marBottom w:val="0"/>
      <w:divBdr>
        <w:top w:val="none" w:sz="0" w:space="0" w:color="auto"/>
        <w:left w:val="none" w:sz="0" w:space="0" w:color="auto"/>
        <w:bottom w:val="none" w:sz="0" w:space="0" w:color="auto"/>
        <w:right w:val="none" w:sz="0" w:space="0" w:color="auto"/>
      </w:divBdr>
    </w:div>
    <w:div w:id="731270508">
      <w:bodyDiv w:val="1"/>
      <w:marLeft w:val="0"/>
      <w:marRight w:val="0"/>
      <w:marTop w:val="0"/>
      <w:marBottom w:val="0"/>
      <w:divBdr>
        <w:top w:val="none" w:sz="0" w:space="0" w:color="auto"/>
        <w:left w:val="none" w:sz="0" w:space="0" w:color="auto"/>
        <w:bottom w:val="none" w:sz="0" w:space="0" w:color="auto"/>
        <w:right w:val="none" w:sz="0" w:space="0" w:color="auto"/>
      </w:divBdr>
    </w:div>
    <w:div w:id="732656401">
      <w:bodyDiv w:val="1"/>
      <w:marLeft w:val="0"/>
      <w:marRight w:val="0"/>
      <w:marTop w:val="0"/>
      <w:marBottom w:val="0"/>
      <w:divBdr>
        <w:top w:val="none" w:sz="0" w:space="0" w:color="auto"/>
        <w:left w:val="none" w:sz="0" w:space="0" w:color="auto"/>
        <w:bottom w:val="none" w:sz="0" w:space="0" w:color="auto"/>
        <w:right w:val="none" w:sz="0" w:space="0" w:color="auto"/>
      </w:divBdr>
    </w:div>
    <w:div w:id="737484662">
      <w:bodyDiv w:val="1"/>
      <w:marLeft w:val="0"/>
      <w:marRight w:val="0"/>
      <w:marTop w:val="0"/>
      <w:marBottom w:val="0"/>
      <w:divBdr>
        <w:top w:val="none" w:sz="0" w:space="0" w:color="auto"/>
        <w:left w:val="none" w:sz="0" w:space="0" w:color="auto"/>
        <w:bottom w:val="none" w:sz="0" w:space="0" w:color="auto"/>
        <w:right w:val="none" w:sz="0" w:space="0" w:color="auto"/>
      </w:divBdr>
    </w:div>
    <w:div w:id="737553818">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40758428">
      <w:bodyDiv w:val="1"/>
      <w:marLeft w:val="0"/>
      <w:marRight w:val="0"/>
      <w:marTop w:val="0"/>
      <w:marBottom w:val="0"/>
      <w:divBdr>
        <w:top w:val="none" w:sz="0" w:space="0" w:color="auto"/>
        <w:left w:val="none" w:sz="0" w:space="0" w:color="auto"/>
        <w:bottom w:val="none" w:sz="0" w:space="0" w:color="auto"/>
        <w:right w:val="none" w:sz="0" w:space="0" w:color="auto"/>
      </w:divBdr>
    </w:div>
    <w:div w:id="741950213">
      <w:bodyDiv w:val="1"/>
      <w:marLeft w:val="0"/>
      <w:marRight w:val="0"/>
      <w:marTop w:val="0"/>
      <w:marBottom w:val="0"/>
      <w:divBdr>
        <w:top w:val="none" w:sz="0" w:space="0" w:color="auto"/>
        <w:left w:val="none" w:sz="0" w:space="0" w:color="auto"/>
        <w:bottom w:val="none" w:sz="0" w:space="0" w:color="auto"/>
        <w:right w:val="none" w:sz="0" w:space="0" w:color="auto"/>
      </w:divBdr>
    </w:div>
    <w:div w:id="742410256">
      <w:bodyDiv w:val="1"/>
      <w:marLeft w:val="0"/>
      <w:marRight w:val="0"/>
      <w:marTop w:val="0"/>
      <w:marBottom w:val="0"/>
      <w:divBdr>
        <w:top w:val="none" w:sz="0" w:space="0" w:color="auto"/>
        <w:left w:val="none" w:sz="0" w:space="0" w:color="auto"/>
        <w:bottom w:val="none" w:sz="0" w:space="0" w:color="auto"/>
        <w:right w:val="none" w:sz="0" w:space="0" w:color="auto"/>
      </w:divBdr>
    </w:div>
    <w:div w:id="746147478">
      <w:bodyDiv w:val="1"/>
      <w:marLeft w:val="0"/>
      <w:marRight w:val="0"/>
      <w:marTop w:val="0"/>
      <w:marBottom w:val="0"/>
      <w:divBdr>
        <w:top w:val="none" w:sz="0" w:space="0" w:color="auto"/>
        <w:left w:val="none" w:sz="0" w:space="0" w:color="auto"/>
        <w:bottom w:val="none" w:sz="0" w:space="0" w:color="auto"/>
        <w:right w:val="none" w:sz="0" w:space="0" w:color="auto"/>
      </w:divBdr>
    </w:div>
    <w:div w:id="746727500">
      <w:bodyDiv w:val="1"/>
      <w:marLeft w:val="0"/>
      <w:marRight w:val="0"/>
      <w:marTop w:val="0"/>
      <w:marBottom w:val="0"/>
      <w:divBdr>
        <w:top w:val="none" w:sz="0" w:space="0" w:color="auto"/>
        <w:left w:val="none" w:sz="0" w:space="0" w:color="auto"/>
        <w:bottom w:val="none" w:sz="0" w:space="0" w:color="auto"/>
        <w:right w:val="none" w:sz="0" w:space="0" w:color="auto"/>
      </w:divBdr>
    </w:div>
    <w:div w:id="748431976">
      <w:bodyDiv w:val="1"/>
      <w:marLeft w:val="0"/>
      <w:marRight w:val="0"/>
      <w:marTop w:val="0"/>
      <w:marBottom w:val="0"/>
      <w:divBdr>
        <w:top w:val="none" w:sz="0" w:space="0" w:color="auto"/>
        <w:left w:val="none" w:sz="0" w:space="0" w:color="auto"/>
        <w:bottom w:val="none" w:sz="0" w:space="0" w:color="auto"/>
        <w:right w:val="none" w:sz="0" w:space="0" w:color="auto"/>
      </w:divBdr>
    </w:div>
    <w:div w:id="748582577">
      <w:bodyDiv w:val="1"/>
      <w:marLeft w:val="0"/>
      <w:marRight w:val="0"/>
      <w:marTop w:val="0"/>
      <w:marBottom w:val="0"/>
      <w:divBdr>
        <w:top w:val="none" w:sz="0" w:space="0" w:color="auto"/>
        <w:left w:val="none" w:sz="0" w:space="0" w:color="auto"/>
        <w:bottom w:val="none" w:sz="0" w:space="0" w:color="auto"/>
        <w:right w:val="none" w:sz="0" w:space="0" w:color="auto"/>
      </w:divBdr>
    </w:div>
    <w:div w:id="748767132">
      <w:bodyDiv w:val="1"/>
      <w:marLeft w:val="0"/>
      <w:marRight w:val="0"/>
      <w:marTop w:val="0"/>
      <w:marBottom w:val="0"/>
      <w:divBdr>
        <w:top w:val="none" w:sz="0" w:space="0" w:color="auto"/>
        <w:left w:val="none" w:sz="0" w:space="0" w:color="auto"/>
        <w:bottom w:val="none" w:sz="0" w:space="0" w:color="auto"/>
        <w:right w:val="none" w:sz="0" w:space="0" w:color="auto"/>
      </w:divBdr>
    </w:div>
    <w:div w:id="749355474">
      <w:bodyDiv w:val="1"/>
      <w:marLeft w:val="0"/>
      <w:marRight w:val="0"/>
      <w:marTop w:val="0"/>
      <w:marBottom w:val="0"/>
      <w:divBdr>
        <w:top w:val="none" w:sz="0" w:space="0" w:color="auto"/>
        <w:left w:val="none" w:sz="0" w:space="0" w:color="auto"/>
        <w:bottom w:val="none" w:sz="0" w:space="0" w:color="auto"/>
        <w:right w:val="none" w:sz="0" w:space="0" w:color="auto"/>
      </w:divBdr>
    </w:div>
    <w:div w:id="749617705">
      <w:bodyDiv w:val="1"/>
      <w:marLeft w:val="0"/>
      <w:marRight w:val="0"/>
      <w:marTop w:val="0"/>
      <w:marBottom w:val="0"/>
      <w:divBdr>
        <w:top w:val="none" w:sz="0" w:space="0" w:color="auto"/>
        <w:left w:val="none" w:sz="0" w:space="0" w:color="auto"/>
        <w:bottom w:val="none" w:sz="0" w:space="0" w:color="auto"/>
        <w:right w:val="none" w:sz="0" w:space="0" w:color="auto"/>
      </w:divBdr>
    </w:div>
    <w:div w:id="752552883">
      <w:bodyDiv w:val="1"/>
      <w:marLeft w:val="0"/>
      <w:marRight w:val="0"/>
      <w:marTop w:val="0"/>
      <w:marBottom w:val="0"/>
      <w:divBdr>
        <w:top w:val="none" w:sz="0" w:space="0" w:color="auto"/>
        <w:left w:val="none" w:sz="0" w:space="0" w:color="auto"/>
        <w:bottom w:val="none" w:sz="0" w:space="0" w:color="auto"/>
        <w:right w:val="none" w:sz="0" w:space="0" w:color="auto"/>
      </w:divBdr>
    </w:div>
    <w:div w:id="752582261">
      <w:bodyDiv w:val="1"/>
      <w:marLeft w:val="0"/>
      <w:marRight w:val="0"/>
      <w:marTop w:val="0"/>
      <w:marBottom w:val="0"/>
      <w:divBdr>
        <w:top w:val="none" w:sz="0" w:space="0" w:color="auto"/>
        <w:left w:val="none" w:sz="0" w:space="0" w:color="auto"/>
        <w:bottom w:val="none" w:sz="0" w:space="0" w:color="auto"/>
        <w:right w:val="none" w:sz="0" w:space="0" w:color="auto"/>
      </w:divBdr>
    </w:div>
    <w:div w:id="754203392">
      <w:bodyDiv w:val="1"/>
      <w:marLeft w:val="0"/>
      <w:marRight w:val="0"/>
      <w:marTop w:val="0"/>
      <w:marBottom w:val="0"/>
      <w:divBdr>
        <w:top w:val="none" w:sz="0" w:space="0" w:color="auto"/>
        <w:left w:val="none" w:sz="0" w:space="0" w:color="auto"/>
        <w:bottom w:val="none" w:sz="0" w:space="0" w:color="auto"/>
        <w:right w:val="none" w:sz="0" w:space="0" w:color="auto"/>
      </w:divBdr>
    </w:div>
    <w:div w:id="756252110">
      <w:bodyDiv w:val="1"/>
      <w:marLeft w:val="0"/>
      <w:marRight w:val="0"/>
      <w:marTop w:val="0"/>
      <w:marBottom w:val="0"/>
      <w:divBdr>
        <w:top w:val="none" w:sz="0" w:space="0" w:color="auto"/>
        <w:left w:val="none" w:sz="0" w:space="0" w:color="auto"/>
        <w:bottom w:val="none" w:sz="0" w:space="0" w:color="auto"/>
        <w:right w:val="none" w:sz="0" w:space="0" w:color="auto"/>
      </w:divBdr>
    </w:div>
    <w:div w:id="756361170">
      <w:bodyDiv w:val="1"/>
      <w:marLeft w:val="0"/>
      <w:marRight w:val="0"/>
      <w:marTop w:val="0"/>
      <w:marBottom w:val="0"/>
      <w:divBdr>
        <w:top w:val="none" w:sz="0" w:space="0" w:color="auto"/>
        <w:left w:val="none" w:sz="0" w:space="0" w:color="auto"/>
        <w:bottom w:val="none" w:sz="0" w:space="0" w:color="auto"/>
        <w:right w:val="none" w:sz="0" w:space="0" w:color="auto"/>
      </w:divBdr>
    </w:div>
    <w:div w:id="756366830">
      <w:bodyDiv w:val="1"/>
      <w:marLeft w:val="0"/>
      <w:marRight w:val="0"/>
      <w:marTop w:val="0"/>
      <w:marBottom w:val="0"/>
      <w:divBdr>
        <w:top w:val="none" w:sz="0" w:space="0" w:color="auto"/>
        <w:left w:val="none" w:sz="0" w:space="0" w:color="auto"/>
        <w:bottom w:val="none" w:sz="0" w:space="0" w:color="auto"/>
        <w:right w:val="none" w:sz="0" w:space="0" w:color="auto"/>
      </w:divBdr>
    </w:div>
    <w:div w:id="756823930">
      <w:bodyDiv w:val="1"/>
      <w:marLeft w:val="0"/>
      <w:marRight w:val="0"/>
      <w:marTop w:val="0"/>
      <w:marBottom w:val="0"/>
      <w:divBdr>
        <w:top w:val="none" w:sz="0" w:space="0" w:color="auto"/>
        <w:left w:val="none" w:sz="0" w:space="0" w:color="auto"/>
        <w:bottom w:val="none" w:sz="0" w:space="0" w:color="auto"/>
        <w:right w:val="none" w:sz="0" w:space="0" w:color="auto"/>
      </w:divBdr>
    </w:div>
    <w:div w:id="757406013">
      <w:bodyDiv w:val="1"/>
      <w:marLeft w:val="0"/>
      <w:marRight w:val="0"/>
      <w:marTop w:val="0"/>
      <w:marBottom w:val="0"/>
      <w:divBdr>
        <w:top w:val="none" w:sz="0" w:space="0" w:color="auto"/>
        <w:left w:val="none" w:sz="0" w:space="0" w:color="auto"/>
        <w:bottom w:val="none" w:sz="0" w:space="0" w:color="auto"/>
        <w:right w:val="none" w:sz="0" w:space="0" w:color="auto"/>
      </w:divBdr>
    </w:div>
    <w:div w:id="757604400">
      <w:bodyDiv w:val="1"/>
      <w:marLeft w:val="0"/>
      <w:marRight w:val="0"/>
      <w:marTop w:val="0"/>
      <w:marBottom w:val="0"/>
      <w:divBdr>
        <w:top w:val="none" w:sz="0" w:space="0" w:color="auto"/>
        <w:left w:val="none" w:sz="0" w:space="0" w:color="auto"/>
        <w:bottom w:val="none" w:sz="0" w:space="0" w:color="auto"/>
        <w:right w:val="none" w:sz="0" w:space="0" w:color="auto"/>
      </w:divBdr>
    </w:div>
    <w:div w:id="759444403">
      <w:bodyDiv w:val="1"/>
      <w:marLeft w:val="0"/>
      <w:marRight w:val="0"/>
      <w:marTop w:val="0"/>
      <w:marBottom w:val="0"/>
      <w:divBdr>
        <w:top w:val="none" w:sz="0" w:space="0" w:color="auto"/>
        <w:left w:val="none" w:sz="0" w:space="0" w:color="auto"/>
        <w:bottom w:val="none" w:sz="0" w:space="0" w:color="auto"/>
        <w:right w:val="none" w:sz="0" w:space="0" w:color="auto"/>
      </w:divBdr>
    </w:div>
    <w:div w:id="763961476">
      <w:bodyDiv w:val="1"/>
      <w:marLeft w:val="0"/>
      <w:marRight w:val="0"/>
      <w:marTop w:val="0"/>
      <w:marBottom w:val="0"/>
      <w:divBdr>
        <w:top w:val="none" w:sz="0" w:space="0" w:color="auto"/>
        <w:left w:val="none" w:sz="0" w:space="0" w:color="auto"/>
        <w:bottom w:val="none" w:sz="0" w:space="0" w:color="auto"/>
        <w:right w:val="none" w:sz="0" w:space="0" w:color="auto"/>
      </w:divBdr>
    </w:div>
    <w:div w:id="764302208">
      <w:bodyDiv w:val="1"/>
      <w:marLeft w:val="0"/>
      <w:marRight w:val="0"/>
      <w:marTop w:val="0"/>
      <w:marBottom w:val="0"/>
      <w:divBdr>
        <w:top w:val="none" w:sz="0" w:space="0" w:color="auto"/>
        <w:left w:val="none" w:sz="0" w:space="0" w:color="auto"/>
        <w:bottom w:val="none" w:sz="0" w:space="0" w:color="auto"/>
        <w:right w:val="none" w:sz="0" w:space="0" w:color="auto"/>
      </w:divBdr>
    </w:div>
    <w:div w:id="766580931">
      <w:bodyDiv w:val="1"/>
      <w:marLeft w:val="0"/>
      <w:marRight w:val="0"/>
      <w:marTop w:val="0"/>
      <w:marBottom w:val="0"/>
      <w:divBdr>
        <w:top w:val="none" w:sz="0" w:space="0" w:color="auto"/>
        <w:left w:val="none" w:sz="0" w:space="0" w:color="auto"/>
        <w:bottom w:val="none" w:sz="0" w:space="0" w:color="auto"/>
        <w:right w:val="none" w:sz="0" w:space="0" w:color="auto"/>
      </w:divBdr>
    </w:div>
    <w:div w:id="766735494">
      <w:bodyDiv w:val="1"/>
      <w:marLeft w:val="0"/>
      <w:marRight w:val="0"/>
      <w:marTop w:val="0"/>
      <w:marBottom w:val="0"/>
      <w:divBdr>
        <w:top w:val="none" w:sz="0" w:space="0" w:color="auto"/>
        <w:left w:val="none" w:sz="0" w:space="0" w:color="auto"/>
        <w:bottom w:val="none" w:sz="0" w:space="0" w:color="auto"/>
        <w:right w:val="none" w:sz="0" w:space="0" w:color="auto"/>
      </w:divBdr>
    </w:div>
    <w:div w:id="766771326">
      <w:bodyDiv w:val="1"/>
      <w:marLeft w:val="0"/>
      <w:marRight w:val="0"/>
      <w:marTop w:val="0"/>
      <w:marBottom w:val="0"/>
      <w:divBdr>
        <w:top w:val="none" w:sz="0" w:space="0" w:color="auto"/>
        <w:left w:val="none" w:sz="0" w:space="0" w:color="auto"/>
        <w:bottom w:val="none" w:sz="0" w:space="0" w:color="auto"/>
        <w:right w:val="none" w:sz="0" w:space="0" w:color="auto"/>
      </w:divBdr>
    </w:div>
    <w:div w:id="767698720">
      <w:bodyDiv w:val="1"/>
      <w:marLeft w:val="0"/>
      <w:marRight w:val="0"/>
      <w:marTop w:val="0"/>
      <w:marBottom w:val="0"/>
      <w:divBdr>
        <w:top w:val="none" w:sz="0" w:space="0" w:color="auto"/>
        <w:left w:val="none" w:sz="0" w:space="0" w:color="auto"/>
        <w:bottom w:val="none" w:sz="0" w:space="0" w:color="auto"/>
        <w:right w:val="none" w:sz="0" w:space="0" w:color="auto"/>
      </w:divBdr>
    </w:div>
    <w:div w:id="767964080">
      <w:bodyDiv w:val="1"/>
      <w:marLeft w:val="0"/>
      <w:marRight w:val="0"/>
      <w:marTop w:val="0"/>
      <w:marBottom w:val="0"/>
      <w:divBdr>
        <w:top w:val="none" w:sz="0" w:space="0" w:color="auto"/>
        <w:left w:val="none" w:sz="0" w:space="0" w:color="auto"/>
        <w:bottom w:val="none" w:sz="0" w:space="0" w:color="auto"/>
        <w:right w:val="none" w:sz="0" w:space="0" w:color="auto"/>
      </w:divBdr>
    </w:div>
    <w:div w:id="770904369">
      <w:bodyDiv w:val="1"/>
      <w:marLeft w:val="0"/>
      <w:marRight w:val="0"/>
      <w:marTop w:val="0"/>
      <w:marBottom w:val="0"/>
      <w:divBdr>
        <w:top w:val="none" w:sz="0" w:space="0" w:color="auto"/>
        <w:left w:val="none" w:sz="0" w:space="0" w:color="auto"/>
        <w:bottom w:val="none" w:sz="0" w:space="0" w:color="auto"/>
        <w:right w:val="none" w:sz="0" w:space="0" w:color="auto"/>
      </w:divBdr>
    </w:div>
    <w:div w:id="771364102">
      <w:bodyDiv w:val="1"/>
      <w:marLeft w:val="0"/>
      <w:marRight w:val="0"/>
      <w:marTop w:val="0"/>
      <w:marBottom w:val="0"/>
      <w:divBdr>
        <w:top w:val="none" w:sz="0" w:space="0" w:color="auto"/>
        <w:left w:val="none" w:sz="0" w:space="0" w:color="auto"/>
        <w:bottom w:val="none" w:sz="0" w:space="0" w:color="auto"/>
        <w:right w:val="none" w:sz="0" w:space="0" w:color="auto"/>
      </w:divBdr>
    </w:div>
    <w:div w:id="775446882">
      <w:bodyDiv w:val="1"/>
      <w:marLeft w:val="0"/>
      <w:marRight w:val="0"/>
      <w:marTop w:val="0"/>
      <w:marBottom w:val="0"/>
      <w:divBdr>
        <w:top w:val="none" w:sz="0" w:space="0" w:color="auto"/>
        <w:left w:val="none" w:sz="0" w:space="0" w:color="auto"/>
        <w:bottom w:val="none" w:sz="0" w:space="0" w:color="auto"/>
        <w:right w:val="none" w:sz="0" w:space="0" w:color="auto"/>
      </w:divBdr>
    </w:div>
    <w:div w:id="775828907">
      <w:bodyDiv w:val="1"/>
      <w:marLeft w:val="0"/>
      <w:marRight w:val="0"/>
      <w:marTop w:val="0"/>
      <w:marBottom w:val="0"/>
      <w:divBdr>
        <w:top w:val="none" w:sz="0" w:space="0" w:color="auto"/>
        <w:left w:val="none" w:sz="0" w:space="0" w:color="auto"/>
        <w:bottom w:val="none" w:sz="0" w:space="0" w:color="auto"/>
        <w:right w:val="none" w:sz="0" w:space="0" w:color="auto"/>
      </w:divBdr>
    </w:div>
    <w:div w:id="777717612">
      <w:bodyDiv w:val="1"/>
      <w:marLeft w:val="0"/>
      <w:marRight w:val="0"/>
      <w:marTop w:val="0"/>
      <w:marBottom w:val="0"/>
      <w:divBdr>
        <w:top w:val="none" w:sz="0" w:space="0" w:color="auto"/>
        <w:left w:val="none" w:sz="0" w:space="0" w:color="auto"/>
        <w:bottom w:val="none" w:sz="0" w:space="0" w:color="auto"/>
        <w:right w:val="none" w:sz="0" w:space="0" w:color="auto"/>
      </w:divBdr>
    </w:div>
    <w:div w:id="778571196">
      <w:bodyDiv w:val="1"/>
      <w:marLeft w:val="0"/>
      <w:marRight w:val="0"/>
      <w:marTop w:val="0"/>
      <w:marBottom w:val="0"/>
      <w:divBdr>
        <w:top w:val="none" w:sz="0" w:space="0" w:color="auto"/>
        <w:left w:val="none" w:sz="0" w:space="0" w:color="auto"/>
        <w:bottom w:val="none" w:sz="0" w:space="0" w:color="auto"/>
        <w:right w:val="none" w:sz="0" w:space="0" w:color="auto"/>
      </w:divBdr>
    </w:div>
    <w:div w:id="779178337">
      <w:bodyDiv w:val="1"/>
      <w:marLeft w:val="0"/>
      <w:marRight w:val="0"/>
      <w:marTop w:val="0"/>
      <w:marBottom w:val="0"/>
      <w:divBdr>
        <w:top w:val="none" w:sz="0" w:space="0" w:color="auto"/>
        <w:left w:val="none" w:sz="0" w:space="0" w:color="auto"/>
        <w:bottom w:val="none" w:sz="0" w:space="0" w:color="auto"/>
        <w:right w:val="none" w:sz="0" w:space="0" w:color="auto"/>
      </w:divBdr>
    </w:div>
    <w:div w:id="779957457">
      <w:bodyDiv w:val="1"/>
      <w:marLeft w:val="0"/>
      <w:marRight w:val="0"/>
      <w:marTop w:val="0"/>
      <w:marBottom w:val="0"/>
      <w:divBdr>
        <w:top w:val="none" w:sz="0" w:space="0" w:color="auto"/>
        <w:left w:val="none" w:sz="0" w:space="0" w:color="auto"/>
        <w:bottom w:val="none" w:sz="0" w:space="0" w:color="auto"/>
        <w:right w:val="none" w:sz="0" w:space="0" w:color="auto"/>
      </w:divBdr>
    </w:div>
    <w:div w:id="780105752">
      <w:bodyDiv w:val="1"/>
      <w:marLeft w:val="0"/>
      <w:marRight w:val="0"/>
      <w:marTop w:val="0"/>
      <w:marBottom w:val="0"/>
      <w:divBdr>
        <w:top w:val="none" w:sz="0" w:space="0" w:color="auto"/>
        <w:left w:val="none" w:sz="0" w:space="0" w:color="auto"/>
        <w:bottom w:val="none" w:sz="0" w:space="0" w:color="auto"/>
        <w:right w:val="none" w:sz="0" w:space="0" w:color="auto"/>
      </w:divBdr>
    </w:div>
    <w:div w:id="780682491">
      <w:bodyDiv w:val="1"/>
      <w:marLeft w:val="0"/>
      <w:marRight w:val="0"/>
      <w:marTop w:val="0"/>
      <w:marBottom w:val="0"/>
      <w:divBdr>
        <w:top w:val="none" w:sz="0" w:space="0" w:color="auto"/>
        <w:left w:val="none" w:sz="0" w:space="0" w:color="auto"/>
        <w:bottom w:val="none" w:sz="0" w:space="0" w:color="auto"/>
        <w:right w:val="none" w:sz="0" w:space="0" w:color="auto"/>
      </w:divBdr>
    </w:div>
    <w:div w:id="781263895">
      <w:bodyDiv w:val="1"/>
      <w:marLeft w:val="0"/>
      <w:marRight w:val="0"/>
      <w:marTop w:val="0"/>
      <w:marBottom w:val="0"/>
      <w:divBdr>
        <w:top w:val="none" w:sz="0" w:space="0" w:color="auto"/>
        <w:left w:val="none" w:sz="0" w:space="0" w:color="auto"/>
        <w:bottom w:val="none" w:sz="0" w:space="0" w:color="auto"/>
        <w:right w:val="none" w:sz="0" w:space="0" w:color="auto"/>
      </w:divBdr>
    </w:div>
    <w:div w:id="782270220">
      <w:bodyDiv w:val="1"/>
      <w:marLeft w:val="0"/>
      <w:marRight w:val="0"/>
      <w:marTop w:val="0"/>
      <w:marBottom w:val="0"/>
      <w:divBdr>
        <w:top w:val="none" w:sz="0" w:space="0" w:color="auto"/>
        <w:left w:val="none" w:sz="0" w:space="0" w:color="auto"/>
        <w:bottom w:val="none" w:sz="0" w:space="0" w:color="auto"/>
        <w:right w:val="none" w:sz="0" w:space="0" w:color="auto"/>
      </w:divBdr>
    </w:div>
    <w:div w:id="783035353">
      <w:bodyDiv w:val="1"/>
      <w:marLeft w:val="0"/>
      <w:marRight w:val="0"/>
      <w:marTop w:val="0"/>
      <w:marBottom w:val="0"/>
      <w:divBdr>
        <w:top w:val="none" w:sz="0" w:space="0" w:color="auto"/>
        <w:left w:val="none" w:sz="0" w:space="0" w:color="auto"/>
        <w:bottom w:val="none" w:sz="0" w:space="0" w:color="auto"/>
        <w:right w:val="none" w:sz="0" w:space="0" w:color="auto"/>
      </w:divBdr>
    </w:div>
    <w:div w:id="783038389">
      <w:bodyDiv w:val="1"/>
      <w:marLeft w:val="0"/>
      <w:marRight w:val="0"/>
      <w:marTop w:val="0"/>
      <w:marBottom w:val="0"/>
      <w:divBdr>
        <w:top w:val="none" w:sz="0" w:space="0" w:color="auto"/>
        <w:left w:val="none" w:sz="0" w:space="0" w:color="auto"/>
        <w:bottom w:val="none" w:sz="0" w:space="0" w:color="auto"/>
        <w:right w:val="none" w:sz="0" w:space="0" w:color="auto"/>
      </w:divBdr>
    </w:div>
    <w:div w:id="784033078">
      <w:bodyDiv w:val="1"/>
      <w:marLeft w:val="0"/>
      <w:marRight w:val="0"/>
      <w:marTop w:val="0"/>
      <w:marBottom w:val="0"/>
      <w:divBdr>
        <w:top w:val="none" w:sz="0" w:space="0" w:color="auto"/>
        <w:left w:val="none" w:sz="0" w:space="0" w:color="auto"/>
        <w:bottom w:val="none" w:sz="0" w:space="0" w:color="auto"/>
        <w:right w:val="none" w:sz="0" w:space="0" w:color="auto"/>
      </w:divBdr>
    </w:div>
    <w:div w:id="784274010">
      <w:bodyDiv w:val="1"/>
      <w:marLeft w:val="0"/>
      <w:marRight w:val="0"/>
      <w:marTop w:val="0"/>
      <w:marBottom w:val="0"/>
      <w:divBdr>
        <w:top w:val="none" w:sz="0" w:space="0" w:color="auto"/>
        <w:left w:val="none" w:sz="0" w:space="0" w:color="auto"/>
        <w:bottom w:val="none" w:sz="0" w:space="0" w:color="auto"/>
        <w:right w:val="none" w:sz="0" w:space="0" w:color="auto"/>
      </w:divBdr>
    </w:div>
    <w:div w:id="785197211">
      <w:bodyDiv w:val="1"/>
      <w:marLeft w:val="0"/>
      <w:marRight w:val="0"/>
      <w:marTop w:val="0"/>
      <w:marBottom w:val="0"/>
      <w:divBdr>
        <w:top w:val="none" w:sz="0" w:space="0" w:color="auto"/>
        <w:left w:val="none" w:sz="0" w:space="0" w:color="auto"/>
        <w:bottom w:val="none" w:sz="0" w:space="0" w:color="auto"/>
        <w:right w:val="none" w:sz="0" w:space="0" w:color="auto"/>
      </w:divBdr>
    </w:div>
    <w:div w:id="786967661">
      <w:bodyDiv w:val="1"/>
      <w:marLeft w:val="0"/>
      <w:marRight w:val="0"/>
      <w:marTop w:val="0"/>
      <w:marBottom w:val="0"/>
      <w:divBdr>
        <w:top w:val="none" w:sz="0" w:space="0" w:color="auto"/>
        <w:left w:val="none" w:sz="0" w:space="0" w:color="auto"/>
        <w:bottom w:val="none" w:sz="0" w:space="0" w:color="auto"/>
        <w:right w:val="none" w:sz="0" w:space="0" w:color="auto"/>
      </w:divBdr>
    </w:div>
    <w:div w:id="787896449">
      <w:bodyDiv w:val="1"/>
      <w:marLeft w:val="0"/>
      <w:marRight w:val="0"/>
      <w:marTop w:val="0"/>
      <w:marBottom w:val="0"/>
      <w:divBdr>
        <w:top w:val="none" w:sz="0" w:space="0" w:color="auto"/>
        <w:left w:val="none" w:sz="0" w:space="0" w:color="auto"/>
        <w:bottom w:val="none" w:sz="0" w:space="0" w:color="auto"/>
        <w:right w:val="none" w:sz="0" w:space="0" w:color="auto"/>
      </w:divBdr>
    </w:div>
    <w:div w:id="787970594">
      <w:bodyDiv w:val="1"/>
      <w:marLeft w:val="0"/>
      <w:marRight w:val="0"/>
      <w:marTop w:val="0"/>
      <w:marBottom w:val="0"/>
      <w:divBdr>
        <w:top w:val="none" w:sz="0" w:space="0" w:color="auto"/>
        <w:left w:val="none" w:sz="0" w:space="0" w:color="auto"/>
        <w:bottom w:val="none" w:sz="0" w:space="0" w:color="auto"/>
        <w:right w:val="none" w:sz="0" w:space="0" w:color="auto"/>
      </w:divBdr>
    </w:div>
    <w:div w:id="788816425">
      <w:bodyDiv w:val="1"/>
      <w:marLeft w:val="0"/>
      <w:marRight w:val="0"/>
      <w:marTop w:val="0"/>
      <w:marBottom w:val="0"/>
      <w:divBdr>
        <w:top w:val="none" w:sz="0" w:space="0" w:color="auto"/>
        <w:left w:val="none" w:sz="0" w:space="0" w:color="auto"/>
        <w:bottom w:val="none" w:sz="0" w:space="0" w:color="auto"/>
        <w:right w:val="none" w:sz="0" w:space="0" w:color="auto"/>
      </w:divBdr>
    </w:div>
    <w:div w:id="794328258">
      <w:bodyDiv w:val="1"/>
      <w:marLeft w:val="0"/>
      <w:marRight w:val="0"/>
      <w:marTop w:val="0"/>
      <w:marBottom w:val="0"/>
      <w:divBdr>
        <w:top w:val="none" w:sz="0" w:space="0" w:color="auto"/>
        <w:left w:val="none" w:sz="0" w:space="0" w:color="auto"/>
        <w:bottom w:val="none" w:sz="0" w:space="0" w:color="auto"/>
        <w:right w:val="none" w:sz="0" w:space="0" w:color="auto"/>
      </w:divBdr>
    </w:div>
    <w:div w:id="795029853">
      <w:bodyDiv w:val="1"/>
      <w:marLeft w:val="0"/>
      <w:marRight w:val="0"/>
      <w:marTop w:val="0"/>
      <w:marBottom w:val="0"/>
      <w:divBdr>
        <w:top w:val="none" w:sz="0" w:space="0" w:color="auto"/>
        <w:left w:val="none" w:sz="0" w:space="0" w:color="auto"/>
        <w:bottom w:val="none" w:sz="0" w:space="0" w:color="auto"/>
        <w:right w:val="none" w:sz="0" w:space="0" w:color="auto"/>
      </w:divBdr>
    </w:div>
    <w:div w:id="798456458">
      <w:bodyDiv w:val="1"/>
      <w:marLeft w:val="0"/>
      <w:marRight w:val="0"/>
      <w:marTop w:val="0"/>
      <w:marBottom w:val="0"/>
      <w:divBdr>
        <w:top w:val="none" w:sz="0" w:space="0" w:color="auto"/>
        <w:left w:val="none" w:sz="0" w:space="0" w:color="auto"/>
        <w:bottom w:val="none" w:sz="0" w:space="0" w:color="auto"/>
        <w:right w:val="none" w:sz="0" w:space="0" w:color="auto"/>
      </w:divBdr>
    </w:div>
    <w:div w:id="800655631">
      <w:bodyDiv w:val="1"/>
      <w:marLeft w:val="0"/>
      <w:marRight w:val="0"/>
      <w:marTop w:val="0"/>
      <w:marBottom w:val="0"/>
      <w:divBdr>
        <w:top w:val="none" w:sz="0" w:space="0" w:color="auto"/>
        <w:left w:val="none" w:sz="0" w:space="0" w:color="auto"/>
        <w:bottom w:val="none" w:sz="0" w:space="0" w:color="auto"/>
        <w:right w:val="none" w:sz="0" w:space="0" w:color="auto"/>
      </w:divBdr>
    </w:div>
    <w:div w:id="803236760">
      <w:bodyDiv w:val="1"/>
      <w:marLeft w:val="0"/>
      <w:marRight w:val="0"/>
      <w:marTop w:val="0"/>
      <w:marBottom w:val="0"/>
      <w:divBdr>
        <w:top w:val="none" w:sz="0" w:space="0" w:color="auto"/>
        <w:left w:val="none" w:sz="0" w:space="0" w:color="auto"/>
        <w:bottom w:val="none" w:sz="0" w:space="0" w:color="auto"/>
        <w:right w:val="none" w:sz="0" w:space="0" w:color="auto"/>
      </w:divBdr>
    </w:div>
    <w:div w:id="805977376">
      <w:bodyDiv w:val="1"/>
      <w:marLeft w:val="0"/>
      <w:marRight w:val="0"/>
      <w:marTop w:val="0"/>
      <w:marBottom w:val="0"/>
      <w:divBdr>
        <w:top w:val="none" w:sz="0" w:space="0" w:color="auto"/>
        <w:left w:val="none" w:sz="0" w:space="0" w:color="auto"/>
        <w:bottom w:val="none" w:sz="0" w:space="0" w:color="auto"/>
        <w:right w:val="none" w:sz="0" w:space="0" w:color="auto"/>
      </w:divBdr>
    </w:div>
    <w:div w:id="806975063">
      <w:bodyDiv w:val="1"/>
      <w:marLeft w:val="0"/>
      <w:marRight w:val="0"/>
      <w:marTop w:val="0"/>
      <w:marBottom w:val="0"/>
      <w:divBdr>
        <w:top w:val="none" w:sz="0" w:space="0" w:color="auto"/>
        <w:left w:val="none" w:sz="0" w:space="0" w:color="auto"/>
        <w:bottom w:val="none" w:sz="0" w:space="0" w:color="auto"/>
        <w:right w:val="none" w:sz="0" w:space="0" w:color="auto"/>
      </w:divBdr>
    </w:div>
    <w:div w:id="809246596">
      <w:bodyDiv w:val="1"/>
      <w:marLeft w:val="0"/>
      <w:marRight w:val="0"/>
      <w:marTop w:val="0"/>
      <w:marBottom w:val="0"/>
      <w:divBdr>
        <w:top w:val="none" w:sz="0" w:space="0" w:color="auto"/>
        <w:left w:val="none" w:sz="0" w:space="0" w:color="auto"/>
        <w:bottom w:val="none" w:sz="0" w:space="0" w:color="auto"/>
        <w:right w:val="none" w:sz="0" w:space="0" w:color="auto"/>
      </w:divBdr>
    </w:div>
    <w:div w:id="810097422">
      <w:bodyDiv w:val="1"/>
      <w:marLeft w:val="0"/>
      <w:marRight w:val="0"/>
      <w:marTop w:val="0"/>
      <w:marBottom w:val="0"/>
      <w:divBdr>
        <w:top w:val="none" w:sz="0" w:space="0" w:color="auto"/>
        <w:left w:val="none" w:sz="0" w:space="0" w:color="auto"/>
        <w:bottom w:val="none" w:sz="0" w:space="0" w:color="auto"/>
        <w:right w:val="none" w:sz="0" w:space="0" w:color="auto"/>
      </w:divBdr>
    </w:div>
    <w:div w:id="813180804">
      <w:bodyDiv w:val="1"/>
      <w:marLeft w:val="0"/>
      <w:marRight w:val="0"/>
      <w:marTop w:val="0"/>
      <w:marBottom w:val="0"/>
      <w:divBdr>
        <w:top w:val="none" w:sz="0" w:space="0" w:color="auto"/>
        <w:left w:val="none" w:sz="0" w:space="0" w:color="auto"/>
        <w:bottom w:val="none" w:sz="0" w:space="0" w:color="auto"/>
        <w:right w:val="none" w:sz="0" w:space="0" w:color="auto"/>
      </w:divBdr>
    </w:div>
    <w:div w:id="814839415">
      <w:bodyDiv w:val="1"/>
      <w:marLeft w:val="0"/>
      <w:marRight w:val="0"/>
      <w:marTop w:val="0"/>
      <w:marBottom w:val="0"/>
      <w:divBdr>
        <w:top w:val="none" w:sz="0" w:space="0" w:color="auto"/>
        <w:left w:val="none" w:sz="0" w:space="0" w:color="auto"/>
        <w:bottom w:val="none" w:sz="0" w:space="0" w:color="auto"/>
        <w:right w:val="none" w:sz="0" w:space="0" w:color="auto"/>
      </w:divBdr>
    </w:div>
    <w:div w:id="815536655">
      <w:bodyDiv w:val="1"/>
      <w:marLeft w:val="0"/>
      <w:marRight w:val="0"/>
      <w:marTop w:val="0"/>
      <w:marBottom w:val="0"/>
      <w:divBdr>
        <w:top w:val="none" w:sz="0" w:space="0" w:color="auto"/>
        <w:left w:val="none" w:sz="0" w:space="0" w:color="auto"/>
        <w:bottom w:val="none" w:sz="0" w:space="0" w:color="auto"/>
        <w:right w:val="none" w:sz="0" w:space="0" w:color="auto"/>
      </w:divBdr>
    </w:div>
    <w:div w:id="820779020">
      <w:bodyDiv w:val="1"/>
      <w:marLeft w:val="0"/>
      <w:marRight w:val="0"/>
      <w:marTop w:val="0"/>
      <w:marBottom w:val="0"/>
      <w:divBdr>
        <w:top w:val="none" w:sz="0" w:space="0" w:color="auto"/>
        <w:left w:val="none" w:sz="0" w:space="0" w:color="auto"/>
        <w:bottom w:val="none" w:sz="0" w:space="0" w:color="auto"/>
        <w:right w:val="none" w:sz="0" w:space="0" w:color="auto"/>
      </w:divBdr>
    </w:div>
    <w:div w:id="821508237">
      <w:bodyDiv w:val="1"/>
      <w:marLeft w:val="0"/>
      <w:marRight w:val="0"/>
      <w:marTop w:val="0"/>
      <w:marBottom w:val="0"/>
      <w:divBdr>
        <w:top w:val="none" w:sz="0" w:space="0" w:color="auto"/>
        <w:left w:val="none" w:sz="0" w:space="0" w:color="auto"/>
        <w:bottom w:val="none" w:sz="0" w:space="0" w:color="auto"/>
        <w:right w:val="none" w:sz="0" w:space="0" w:color="auto"/>
      </w:divBdr>
    </w:div>
    <w:div w:id="821895874">
      <w:bodyDiv w:val="1"/>
      <w:marLeft w:val="0"/>
      <w:marRight w:val="0"/>
      <w:marTop w:val="0"/>
      <w:marBottom w:val="0"/>
      <w:divBdr>
        <w:top w:val="none" w:sz="0" w:space="0" w:color="auto"/>
        <w:left w:val="none" w:sz="0" w:space="0" w:color="auto"/>
        <w:bottom w:val="none" w:sz="0" w:space="0" w:color="auto"/>
        <w:right w:val="none" w:sz="0" w:space="0" w:color="auto"/>
      </w:divBdr>
    </w:div>
    <w:div w:id="822889697">
      <w:bodyDiv w:val="1"/>
      <w:marLeft w:val="0"/>
      <w:marRight w:val="0"/>
      <w:marTop w:val="0"/>
      <w:marBottom w:val="0"/>
      <w:divBdr>
        <w:top w:val="none" w:sz="0" w:space="0" w:color="auto"/>
        <w:left w:val="none" w:sz="0" w:space="0" w:color="auto"/>
        <w:bottom w:val="none" w:sz="0" w:space="0" w:color="auto"/>
        <w:right w:val="none" w:sz="0" w:space="0" w:color="auto"/>
      </w:divBdr>
    </w:div>
    <w:div w:id="824396429">
      <w:bodyDiv w:val="1"/>
      <w:marLeft w:val="0"/>
      <w:marRight w:val="0"/>
      <w:marTop w:val="0"/>
      <w:marBottom w:val="0"/>
      <w:divBdr>
        <w:top w:val="none" w:sz="0" w:space="0" w:color="auto"/>
        <w:left w:val="none" w:sz="0" w:space="0" w:color="auto"/>
        <w:bottom w:val="none" w:sz="0" w:space="0" w:color="auto"/>
        <w:right w:val="none" w:sz="0" w:space="0" w:color="auto"/>
      </w:divBdr>
    </w:div>
    <w:div w:id="824475465">
      <w:bodyDiv w:val="1"/>
      <w:marLeft w:val="0"/>
      <w:marRight w:val="0"/>
      <w:marTop w:val="0"/>
      <w:marBottom w:val="0"/>
      <w:divBdr>
        <w:top w:val="none" w:sz="0" w:space="0" w:color="auto"/>
        <w:left w:val="none" w:sz="0" w:space="0" w:color="auto"/>
        <w:bottom w:val="none" w:sz="0" w:space="0" w:color="auto"/>
        <w:right w:val="none" w:sz="0" w:space="0" w:color="auto"/>
      </w:divBdr>
    </w:div>
    <w:div w:id="831874118">
      <w:bodyDiv w:val="1"/>
      <w:marLeft w:val="0"/>
      <w:marRight w:val="0"/>
      <w:marTop w:val="0"/>
      <w:marBottom w:val="0"/>
      <w:divBdr>
        <w:top w:val="none" w:sz="0" w:space="0" w:color="auto"/>
        <w:left w:val="none" w:sz="0" w:space="0" w:color="auto"/>
        <w:bottom w:val="none" w:sz="0" w:space="0" w:color="auto"/>
        <w:right w:val="none" w:sz="0" w:space="0" w:color="auto"/>
      </w:divBdr>
    </w:div>
    <w:div w:id="832571937">
      <w:bodyDiv w:val="1"/>
      <w:marLeft w:val="0"/>
      <w:marRight w:val="0"/>
      <w:marTop w:val="0"/>
      <w:marBottom w:val="0"/>
      <w:divBdr>
        <w:top w:val="none" w:sz="0" w:space="0" w:color="auto"/>
        <w:left w:val="none" w:sz="0" w:space="0" w:color="auto"/>
        <w:bottom w:val="none" w:sz="0" w:space="0" w:color="auto"/>
        <w:right w:val="none" w:sz="0" w:space="0" w:color="auto"/>
      </w:divBdr>
    </w:div>
    <w:div w:id="835152035">
      <w:bodyDiv w:val="1"/>
      <w:marLeft w:val="0"/>
      <w:marRight w:val="0"/>
      <w:marTop w:val="0"/>
      <w:marBottom w:val="0"/>
      <w:divBdr>
        <w:top w:val="none" w:sz="0" w:space="0" w:color="auto"/>
        <w:left w:val="none" w:sz="0" w:space="0" w:color="auto"/>
        <w:bottom w:val="none" w:sz="0" w:space="0" w:color="auto"/>
        <w:right w:val="none" w:sz="0" w:space="0" w:color="auto"/>
      </w:divBdr>
    </w:div>
    <w:div w:id="836193830">
      <w:bodyDiv w:val="1"/>
      <w:marLeft w:val="0"/>
      <w:marRight w:val="0"/>
      <w:marTop w:val="0"/>
      <w:marBottom w:val="0"/>
      <w:divBdr>
        <w:top w:val="none" w:sz="0" w:space="0" w:color="auto"/>
        <w:left w:val="none" w:sz="0" w:space="0" w:color="auto"/>
        <w:bottom w:val="none" w:sz="0" w:space="0" w:color="auto"/>
        <w:right w:val="none" w:sz="0" w:space="0" w:color="auto"/>
      </w:divBdr>
    </w:div>
    <w:div w:id="836456588">
      <w:bodyDiv w:val="1"/>
      <w:marLeft w:val="0"/>
      <w:marRight w:val="0"/>
      <w:marTop w:val="0"/>
      <w:marBottom w:val="0"/>
      <w:divBdr>
        <w:top w:val="none" w:sz="0" w:space="0" w:color="auto"/>
        <w:left w:val="none" w:sz="0" w:space="0" w:color="auto"/>
        <w:bottom w:val="none" w:sz="0" w:space="0" w:color="auto"/>
        <w:right w:val="none" w:sz="0" w:space="0" w:color="auto"/>
      </w:divBdr>
    </w:div>
    <w:div w:id="836767995">
      <w:bodyDiv w:val="1"/>
      <w:marLeft w:val="0"/>
      <w:marRight w:val="0"/>
      <w:marTop w:val="0"/>
      <w:marBottom w:val="0"/>
      <w:divBdr>
        <w:top w:val="none" w:sz="0" w:space="0" w:color="auto"/>
        <w:left w:val="none" w:sz="0" w:space="0" w:color="auto"/>
        <w:bottom w:val="none" w:sz="0" w:space="0" w:color="auto"/>
        <w:right w:val="none" w:sz="0" w:space="0" w:color="auto"/>
      </w:divBdr>
    </w:div>
    <w:div w:id="837042285">
      <w:bodyDiv w:val="1"/>
      <w:marLeft w:val="0"/>
      <w:marRight w:val="0"/>
      <w:marTop w:val="0"/>
      <w:marBottom w:val="0"/>
      <w:divBdr>
        <w:top w:val="none" w:sz="0" w:space="0" w:color="auto"/>
        <w:left w:val="none" w:sz="0" w:space="0" w:color="auto"/>
        <w:bottom w:val="none" w:sz="0" w:space="0" w:color="auto"/>
        <w:right w:val="none" w:sz="0" w:space="0" w:color="auto"/>
      </w:divBdr>
    </w:div>
    <w:div w:id="838350134">
      <w:bodyDiv w:val="1"/>
      <w:marLeft w:val="0"/>
      <w:marRight w:val="0"/>
      <w:marTop w:val="0"/>
      <w:marBottom w:val="0"/>
      <w:divBdr>
        <w:top w:val="none" w:sz="0" w:space="0" w:color="auto"/>
        <w:left w:val="none" w:sz="0" w:space="0" w:color="auto"/>
        <w:bottom w:val="none" w:sz="0" w:space="0" w:color="auto"/>
        <w:right w:val="none" w:sz="0" w:space="0" w:color="auto"/>
      </w:divBdr>
    </w:div>
    <w:div w:id="840968891">
      <w:bodyDiv w:val="1"/>
      <w:marLeft w:val="0"/>
      <w:marRight w:val="0"/>
      <w:marTop w:val="0"/>
      <w:marBottom w:val="0"/>
      <w:divBdr>
        <w:top w:val="none" w:sz="0" w:space="0" w:color="auto"/>
        <w:left w:val="none" w:sz="0" w:space="0" w:color="auto"/>
        <w:bottom w:val="none" w:sz="0" w:space="0" w:color="auto"/>
        <w:right w:val="none" w:sz="0" w:space="0" w:color="auto"/>
      </w:divBdr>
    </w:div>
    <w:div w:id="841050734">
      <w:bodyDiv w:val="1"/>
      <w:marLeft w:val="0"/>
      <w:marRight w:val="0"/>
      <w:marTop w:val="0"/>
      <w:marBottom w:val="0"/>
      <w:divBdr>
        <w:top w:val="none" w:sz="0" w:space="0" w:color="auto"/>
        <w:left w:val="none" w:sz="0" w:space="0" w:color="auto"/>
        <w:bottom w:val="none" w:sz="0" w:space="0" w:color="auto"/>
        <w:right w:val="none" w:sz="0" w:space="0" w:color="auto"/>
      </w:divBdr>
    </w:div>
    <w:div w:id="842087289">
      <w:bodyDiv w:val="1"/>
      <w:marLeft w:val="0"/>
      <w:marRight w:val="0"/>
      <w:marTop w:val="0"/>
      <w:marBottom w:val="0"/>
      <w:divBdr>
        <w:top w:val="none" w:sz="0" w:space="0" w:color="auto"/>
        <w:left w:val="none" w:sz="0" w:space="0" w:color="auto"/>
        <w:bottom w:val="none" w:sz="0" w:space="0" w:color="auto"/>
        <w:right w:val="none" w:sz="0" w:space="0" w:color="auto"/>
      </w:divBdr>
    </w:div>
    <w:div w:id="845754901">
      <w:bodyDiv w:val="1"/>
      <w:marLeft w:val="0"/>
      <w:marRight w:val="0"/>
      <w:marTop w:val="0"/>
      <w:marBottom w:val="0"/>
      <w:divBdr>
        <w:top w:val="none" w:sz="0" w:space="0" w:color="auto"/>
        <w:left w:val="none" w:sz="0" w:space="0" w:color="auto"/>
        <w:bottom w:val="none" w:sz="0" w:space="0" w:color="auto"/>
        <w:right w:val="none" w:sz="0" w:space="0" w:color="auto"/>
      </w:divBdr>
    </w:div>
    <w:div w:id="846749627">
      <w:bodyDiv w:val="1"/>
      <w:marLeft w:val="0"/>
      <w:marRight w:val="0"/>
      <w:marTop w:val="0"/>
      <w:marBottom w:val="0"/>
      <w:divBdr>
        <w:top w:val="none" w:sz="0" w:space="0" w:color="auto"/>
        <w:left w:val="none" w:sz="0" w:space="0" w:color="auto"/>
        <w:bottom w:val="none" w:sz="0" w:space="0" w:color="auto"/>
        <w:right w:val="none" w:sz="0" w:space="0" w:color="auto"/>
      </w:divBdr>
    </w:div>
    <w:div w:id="847183944">
      <w:bodyDiv w:val="1"/>
      <w:marLeft w:val="0"/>
      <w:marRight w:val="0"/>
      <w:marTop w:val="0"/>
      <w:marBottom w:val="0"/>
      <w:divBdr>
        <w:top w:val="none" w:sz="0" w:space="0" w:color="auto"/>
        <w:left w:val="none" w:sz="0" w:space="0" w:color="auto"/>
        <w:bottom w:val="none" w:sz="0" w:space="0" w:color="auto"/>
        <w:right w:val="none" w:sz="0" w:space="0" w:color="auto"/>
      </w:divBdr>
    </w:div>
    <w:div w:id="848838842">
      <w:bodyDiv w:val="1"/>
      <w:marLeft w:val="0"/>
      <w:marRight w:val="0"/>
      <w:marTop w:val="0"/>
      <w:marBottom w:val="0"/>
      <w:divBdr>
        <w:top w:val="none" w:sz="0" w:space="0" w:color="auto"/>
        <w:left w:val="none" w:sz="0" w:space="0" w:color="auto"/>
        <w:bottom w:val="none" w:sz="0" w:space="0" w:color="auto"/>
        <w:right w:val="none" w:sz="0" w:space="0" w:color="auto"/>
      </w:divBdr>
    </w:div>
    <w:div w:id="850294237">
      <w:bodyDiv w:val="1"/>
      <w:marLeft w:val="0"/>
      <w:marRight w:val="0"/>
      <w:marTop w:val="0"/>
      <w:marBottom w:val="0"/>
      <w:divBdr>
        <w:top w:val="none" w:sz="0" w:space="0" w:color="auto"/>
        <w:left w:val="none" w:sz="0" w:space="0" w:color="auto"/>
        <w:bottom w:val="none" w:sz="0" w:space="0" w:color="auto"/>
        <w:right w:val="none" w:sz="0" w:space="0" w:color="auto"/>
      </w:divBdr>
    </w:div>
    <w:div w:id="851988394">
      <w:bodyDiv w:val="1"/>
      <w:marLeft w:val="0"/>
      <w:marRight w:val="0"/>
      <w:marTop w:val="0"/>
      <w:marBottom w:val="0"/>
      <w:divBdr>
        <w:top w:val="none" w:sz="0" w:space="0" w:color="auto"/>
        <w:left w:val="none" w:sz="0" w:space="0" w:color="auto"/>
        <w:bottom w:val="none" w:sz="0" w:space="0" w:color="auto"/>
        <w:right w:val="none" w:sz="0" w:space="0" w:color="auto"/>
      </w:divBdr>
    </w:div>
    <w:div w:id="852039317">
      <w:bodyDiv w:val="1"/>
      <w:marLeft w:val="0"/>
      <w:marRight w:val="0"/>
      <w:marTop w:val="0"/>
      <w:marBottom w:val="0"/>
      <w:divBdr>
        <w:top w:val="none" w:sz="0" w:space="0" w:color="auto"/>
        <w:left w:val="none" w:sz="0" w:space="0" w:color="auto"/>
        <w:bottom w:val="none" w:sz="0" w:space="0" w:color="auto"/>
        <w:right w:val="none" w:sz="0" w:space="0" w:color="auto"/>
      </w:divBdr>
    </w:div>
    <w:div w:id="852960184">
      <w:bodyDiv w:val="1"/>
      <w:marLeft w:val="0"/>
      <w:marRight w:val="0"/>
      <w:marTop w:val="0"/>
      <w:marBottom w:val="0"/>
      <w:divBdr>
        <w:top w:val="none" w:sz="0" w:space="0" w:color="auto"/>
        <w:left w:val="none" w:sz="0" w:space="0" w:color="auto"/>
        <w:bottom w:val="none" w:sz="0" w:space="0" w:color="auto"/>
        <w:right w:val="none" w:sz="0" w:space="0" w:color="auto"/>
      </w:divBdr>
    </w:div>
    <w:div w:id="853496243">
      <w:bodyDiv w:val="1"/>
      <w:marLeft w:val="0"/>
      <w:marRight w:val="0"/>
      <w:marTop w:val="0"/>
      <w:marBottom w:val="0"/>
      <w:divBdr>
        <w:top w:val="none" w:sz="0" w:space="0" w:color="auto"/>
        <w:left w:val="none" w:sz="0" w:space="0" w:color="auto"/>
        <w:bottom w:val="none" w:sz="0" w:space="0" w:color="auto"/>
        <w:right w:val="none" w:sz="0" w:space="0" w:color="auto"/>
      </w:divBdr>
    </w:div>
    <w:div w:id="856191508">
      <w:bodyDiv w:val="1"/>
      <w:marLeft w:val="0"/>
      <w:marRight w:val="0"/>
      <w:marTop w:val="0"/>
      <w:marBottom w:val="0"/>
      <w:divBdr>
        <w:top w:val="none" w:sz="0" w:space="0" w:color="auto"/>
        <w:left w:val="none" w:sz="0" w:space="0" w:color="auto"/>
        <w:bottom w:val="none" w:sz="0" w:space="0" w:color="auto"/>
        <w:right w:val="none" w:sz="0" w:space="0" w:color="auto"/>
      </w:divBdr>
    </w:div>
    <w:div w:id="856386787">
      <w:bodyDiv w:val="1"/>
      <w:marLeft w:val="0"/>
      <w:marRight w:val="0"/>
      <w:marTop w:val="0"/>
      <w:marBottom w:val="0"/>
      <w:divBdr>
        <w:top w:val="none" w:sz="0" w:space="0" w:color="auto"/>
        <w:left w:val="none" w:sz="0" w:space="0" w:color="auto"/>
        <w:bottom w:val="none" w:sz="0" w:space="0" w:color="auto"/>
        <w:right w:val="none" w:sz="0" w:space="0" w:color="auto"/>
      </w:divBdr>
    </w:div>
    <w:div w:id="857619132">
      <w:bodyDiv w:val="1"/>
      <w:marLeft w:val="0"/>
      <w:marRight w:val="0"/>
      <w:marTop w:val="0"/>
      <w:marBottom w:val="0"/>
      <w:divBdr>
        <w:top w:val="none" w:sz="0" w:space="0" w:color="auto"/>
        <w:left w:val="none" w:sz="0" w:space="0" w:color="auto"/>
        <w:bottom w:val="none" w:sz="0" w:space="0" w:color="auto"/>
        <w:right w:val="none" w:sz="0" w:space="0" w:color="auto"/>
      </w:divBdr>
    </w:div>
    <w:div w:id="858347505">
      <w:bodyDiv w:val="1"/>
      <w:marLeft w:val="0"/>
      <w:marRight w:val="0"/>
      <w:marTop w:val="0"/>
      <w:marBottom w:val="0"/>
      <w:divBdr>
        <w:top w:val="none" w:sz="0" w:space="0" w:color="auto"/>
        <w:left w:val="none" w:sz="0" w:space="0" w:color="auto"/>
        <w:bottom w:val="none" w:sz="0" w:space="0" w:color="auto"/>
        <w:right w:val="none" w:sz="0" w:space="0" w:color="auto"/>
      </w:divBdr>
    </w:div>
    <w:div w:id="860557341">
      <w:bodyDiv w:val="1"/>
      <w:marLeft w:val="0"/>
      <w:marRight w:val="0"/>
      <w:marTop w:val="0"/>
      <w:marBottom w:val="0"/>
      <w:divBdr>
        <w:top w:val="none" w:sz="0" w:space="0" w:color="auto"/>
        <w:left w:val="none" w:sz="0" w:space="0" w:color="auto"/>
        <w:bottom w:val="none" w:sz="0" w:space="0" w:color="auto"/>
        <w:right w:val="none" w:sz="0" w:space="0" w:color="auto"/>
      </w:divBdr>
    </w:div>
    <w:div w:id="864945239">
      <w:bodyDiv w:val="1"/>
      <w:marLeft w:val="0"/>
      <w:marRight w:val="0"/>
      <w:marTop w:val="0"/>
      <w:marBottom w:val="0"/>
      <w:divBdr>
        <w:top w:val="none" w:sz="0" w:space="0" w:color="auto"/>
        <w:left w:val="none" w:sz="0" w:space="0" w:color="auto"/>
        <w:bottom w:val="none" w:sz="0" w:space="0" w:color="auto"/>
        <w:right w:val="none" w:sz="0" w:space="0" w:color="auto"/>
      </w:divBdr>
    </w:div>
    <w:div w:id="865485920">
      <w:bodyDiv w:val="1"/>
      <w:marLeft w:val="0"/>
      <w:marRight w:val="0"/>
      <w:marTop w:val="0"/>
      <w:marBottom w:val="0"/>
      <w:divBdr>
        <w:top w:val="none" w:sz="0" w:space="0" w:color="auto"/>
        <w:left w:val="none" w:sz="0" w:space="0" w:color="auto"/>
        <w:bottom w:val="none" w:sz="0" w:space="0" w:color="auto"/>
        <w:right w:val="none" w:sz="0" w:space="0" w:color="auto"/>
      </w:divBdr>
    </w:div>
    <w:div w:id="865677833">
      <w:bodyDiv w:val="1"/>
      <w:marLeft w:val="0"/>
      <w:marRight w:val="0"/>
      <w:marTop w:val="0"/>
      <w:marBottom w:val="0"/>
      <w:divBdr>
        <w:top w:val="none" w:sz="0" w:space="0" w:color="auto"/>
        <w:left w:val="none" w:sz="0" w:space="0" w:color="auto"/>
        <w:bottom w:val="none" w:sz="0" w:space="0" w:color="auto"/>
        <w:right w:val="none" w:sz="0" w:space="0" w:color="auto"/>
      </w:divBdr>
    </w:div>
    <w:div w:id="868759239">
      <w:bodyDiv w:val="1"/>
      <w:marLeft w:val="0"/>
      <w:marRight w:val="0"/>
      <w:marTop w:val="0"/>
      <w:marBottom w:val="0"/>
      <w:divBdr>
        <w:top w:val="none" w:sz="0" w:space="0" w:color="auto"/>
        <w:left w:val="none" w:sz="0" w:space="0" w:color="auto"/>
        <w:bottom w:val="none" w:sz="0" w:space="0" w:color="auto"/>
        <w:right w:val="none" w:sz="0" w:space="0" w:color="auto"/>
      </w:divBdr>
    </w:div>
    <w:div w:id="870337866">
      <w:bodyDiv w:val="1"/>
      <w:marLeft w:val="0"/>
      <w:marRight w:val="0"/>
      <w:marTop w:val="0"/>
      <w:marBottom w:val="0"/>
      <w:divBdr>
        <w:top w:val="none" w:sz="0" w:space="0" w:color="auto"/>
        <w:left w:val="none" w:sz="0" w:space="0" w:color="auto"/>
        <w:bottom w:val="none" w:sz="0" w:space="0" w:color="auto"/>
        <w:right w:val="none" w:sz="0" w:space="0" w:color="auto"/>
      </w:divBdr>
    </w:div>
    <w:div w:id="871918136">
      <w:bodyDiv w:val="1"/>
      <w:marLeft w:val="0"/>
      <w:marRight w:val="0"/>
      <w:marTop w:val="0"/>
      <w:marBottom w:val="0"/>
      <w:divBdr>
        <w:top w:val="none" w:sz="0" w:space="0" w:color="auto"/>
        <w:left w:val="none" w:sz="0" w:space="0" w:color="auto"/>
        <w:bottom w:val="none" w:sz="0" w:space="0" w:color="auto"/>
        <w:right w:val="none" w:sz="0" w:space="0" w:color="auto"/>
      </w:divBdr>
    </w:div>
    <w:div w:id="874778157">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79781780">
      <w:bodyDiv w:val="1"/>
      <w:marLeft w:val="0"/>
      <w:marRight w:val="0"/>
      <w:marTop w:val="0"/>
      <w:marBottom w:val="0"/>
      <w:divBdr>
        <w:top w:val="none" w:sz="0" w:space="0" w:color="auto"/>
        <w:left w:val="none" w:sz="0" w:space="0" w:color="auto"/>
        <w:bottom w:val="none" w:sz="0" w:space="0" w:color="auto"/>
        <w:right w:val="none" w:sz="0" w:space="0" w:color="auto"/>
      </w:divBdr>
    </w:div>
    <w:div w:id="881132038">
      <w:bodyDiv w:val="1"/>
      <w:marLeft w:val="0"/>
      <w:marRight w:val="0"/>
      <w:marTop w:val="0"/>
      <w:marBottom w:val="0"/>
      <w:divBdr>
        <w:top w:val="none" w:sz="0" w:space="0" w:color="auto"/>
        <w:left w:val="none" w:sz="0" w:space="0" w:color="auto"/>
        <w:bottom w:val="none" w:sz="0" w:space="0" w:color="auto"/>
        <w:right w:val="none" w:sz="0" w:space="0" w:color="auto"/>
      </w:divBdr>
    </w:div>
    <w:div w:id="883951929">
      <w:bodyDiv w:val="1"/>
      <w:marLeft w:val="0"/>
      <w:marRight w:val="0"/>
      <w:marTop w:val="0"/>
      <w:marBottom w:val="0"/>
      <w:divBdr>
        <w:top w:val="none" w:sz="0" w:space="0" w:color="auto"/>
        <w:left w:val="none" w:sz="0" w:space="0" w:color="auto"/>
        <w:bottom w:val="none" w:sz="0" w:space="0" w:color="auto"/>
        <w:right w:val="none" w:sz="0" w:space="0" w:color="auto"/>
      </w:divBdr>
    </w:div>
    <w:div w:id="885872570">
      <w:bodyDiv w:val="1"/>
      <w:marLeft w:val="0"/>
      <w:marRight w:val="0"/>
      <w:marTop w:val="0"/>
      <w:marBottom w:val="0"/>
      <w:divBdr>
        <w:top w:val="none" w:sz="0" w:space="0" w:color="auto"/>
        <w:left w:val="none" w:sz="0" w:space="0" w:color="auto"/>
        <w:bottom w:val="none" w:sz="0" w:space="0" w:color="auto"/>
        <w:right w:val="none" w:sz="0" w:space="0" w:color="auto"/>
      </w:divBdr>
    </w:div>
    <w:div w:id="887186888">
      <w:bodyDiv w:val="1"/>
      <w:marLeft w:val="0"/>
      <w:marRight w:val="0"/>
      <w:marTop w:val="0"/>
      <w:marBottom w:val="0"/>
      <w:divBdr>
        <w:top w:val="none" w:sz="0" w:space="0" w:color="auto"/>
        <w:left w:val="none" w:sz="0" w:space="0" w:color="auto"/>
        <w:bottom w:val="none" w:sz="0" w:space="0" w:color="auto"/>
        <w:right w:val="none" w:sz="0" w:space="0" w:color="auto"/>
      </w:divBdr>
    </w:div>
    <w:div w:id="887453418">
      <w:bodyDiv w:val="1"/>
      <w:marLeft w:val="0"/>
      <w:marRight w:val="0"/>
      <w:marTop w:val="0"/>
      <w:marBottom w:val="0"/>
      <w:divBdr>
        <w:top w:val="none" w:sz="0" w:space="0" w:color="auto"/>
        <w:left w:val="none" w:sz="0" w:space="0" w:color="auto"/>
        <w:bottom w:val="none" w:sz="0" w:space="0" w:color="auto"/>
        <w:right w:val="none" w:sz="0" w:space="0" w:color="auto"/>
      </w:divBdr>
    </w:div>
    <w:div w:id="889456385">
      <w:bodyDiv w:val="1"/>
      <w:marLeft w:val="0"/>
      <w:marRight w:val="0"/>
      <w:marTop w:val="0"/>
      <w:marBottom w:val="0"/>
      <w:divBdr>
        <w:top w:val="none" w:sz="0" w:space="0" w:color="auto"/>
        <w:left w:val="none" w:sz="0" w:space="0" w:color="auto"/>
        <w:bottom w:val="none" w:sz="0" w:space="0" w:color="auto"/>
        <w:right w:val="none" w:sz="0" w:space="0" w:color="auto"/>
      </w:divBdr>
    </w:div>
    <w:div w:id="894580364">
      <w:bodyDiv w:val="1"/>
      <w:marLeft w:val="0"/>
      <w:marRight w:val="0"/>
      <w:marTop w:val="0"/>
      <w:marBottom w:val="0"/>
      <w:divBdr>
        <w:top w:val="none" w:sz="0" w:space="0" w:color="auto"/>
        <w:left w:val="none" w:sz="0" w:space="0" w:color="auto"/>
        <w:bottom w:val="none" w:sz="0" w:space="0" w:color="auto"/>
        <w:right w:val="none" w:sz="0" w:space="0" w:color="auto"/>
      </w:divBdr>
    </w:div>
    <w:div w:id="895049638">
      <w:bodyDiv w:val="1"/>
      <w:marLeft w:val="0"/>
      <w:marRight w:val="0"/>
      <w:marTop w:val="0"/>
      <w:marBottom w:val="0"/>
      <w:divBdr>
        <w:top w:val="none" w:sz="0" w:space="0" w:color="auto"/>
        <w:left w:val="none" w:sz="0" w:space="0" w:color="auto"/>
        <w:bottom w:val="none" w:sz="0" w:space="0" w:color="auto"/>
        <w:right w:val="none" w:sz="0" w:space="0" w:color="auto"/>
      </w:divBdr>
    </w:div>
    <w:div w:id="897934243">
      <w:bodyDiv w:val="1"/>
      <w:marLeft w:val="0"/>
      <w:marRight w:val="0"/>
      <w:marTop w:val="0"/>
      <w:marBottom w:val="0"/>
      <w:divBdr>
        <w:top w:val="none" w:sz="0" w:space="0" w:color="auto"/>
        <w:left w:val="none" w:sz="0" w:space="0" w:color="auto"/>
        <w:bottom w:val="none" w:sz="0" w:space="0" w:color="auto"/>
        <w:right w:val="none" w:sz="0" w:space="0" w:color="auto"/>
      </w:divBdr>
    </w:div>
    <w:div w:id="898445981">
      <w:bodyDiv w:val="1"/>
      <w:marLeft w:val="0"/>
      <w:marRight w:val="0"/>
      <w:marTop w:val="0"/>
      <w:marBottom w:val="0"/>
      <w:divBdr>
        <w:top w:val="none" w:sz="0" w:space="0" w:color="auto"/>
        <w:left w:val="none" w:sz="0" w:space="0" w:color="auto"/>
        <w:bottom w:val="none" w:sz="0" w:space="0" w:color="auto"/>
        <w:right w:val="none" w:sz="0" w:space="0" w:color="auto"/>
      </w:divBdr>
    </w:div>
    <w:div w:id="899513285">
      <w:bodyDiv w:val="1"/>
      <w:marLeft w:val="0"/>
      <w:marRight w:val="0"/>
      <w:marTop w:val="0"/>
      <w:marBottom w:val="0"/>
      <w:divBdr>
        <w:top w:val="none" w:sz="0" w:space="0" w:color="auto"/>
        <w:left w:val="none" w:sz="0" w:space="0" w:color="auto"/>
        <w:bottom w:val="none" w:sz="0" w:space="0" w:color="auto"/>
        <w:right w:val="none" w:sz="0" w:space="0" w:color="auto"/>
      </w:divBdr>
    </w:div>
    <w:div w:id="899554780">
      <w:bodyDiv w:val="1"/>
      <w:marLeft w:val="0"/>
      <w:marRight w:val="0"/>
      <w:marTop w:val="0"/>
      <w:marBottom w:val="0"/>
      <w:divBdr>
        <w:top w:val="none" w:sz="0" w:space="0" w:color="auto"/>
        <w:left w:val="none" w:sz="0" w:space="0" w:color="auto"/>
        <w:bottom w:val="none" w:sz="0" w:space="0" w:color="auto"/>
        <w:right w:val="none" w:sz="0" w:space="0" w:color="auto"/>
      </w:divBdr>
    </w:div>
    <w:div w:id="900333609">
      <w:bodyDiv w:val="1"/>
      <w:marLeft w:val="0"/>
      <w:marRight w:val="0"/>
      <w:marTop w:val="0"/>
      <w:marBottom w:val="0"/>
      <w:divBdr>
        <w:top w:val="none" w:sz="0" w:space="0" w:color="auto"/>
        <w:left w:val="none" w:sz="0" w:space="0" w:color="auto"/>
        <w:bottom w:val="none" w:sz="0" w:space="0" w:color="auto"/>
        <w:right w:val="none" w:sz="0" w:space="0" w:color="auto"/>
      </w:divBdr>
    </w:div>
    <w:div w:id="903367479">
      <w:bodyDiv w:val="1"/>
      <w:marLeft w:val="0"/>
      <w:marRight w:val="0"/>
      <w:marTop w:val="0"/>
      <w:marBottom w:val="0"/>
      <w:divBdr>
        <w:top w:val="none" w:sz="0" w:space="0" w:color="auto"/>
        <w:left w:val="none" w:sz="0" w:space="0" w:color="auto"/>
        <w:bottom w:val="none" w:sz="0" w:space="0" w:color="auto"/>
        <w:right w:val="none" w:sz="0" w:space="0" w:color="auto"/>
      </w:divBdr>
    </w:div>
    <w:div w:id="903373529">
      <w:bodyDiv w:val="1"/>
      <w:marLeft w:val="0"/>
      <w:marRight w:val="0"/>
      <w:marTop w:val="0"/>
      <w:marBottom w:val="0"/>
      <w:divBdr>
        <w:top w:val="none" w:sz="0" w:space="0" w:color="auto"/>
        <w:left w:val="none" w:sz="0" w:space="0" w:color="auto"/>
        <w:bottom w:val="none" w:sz="0" w:space="0" w:color="auto"/>
        <w:right w:val="none" w:sz="0" w:space="0" w:color="auto"/>
      </w:divBdr>
    </w:div>
    <w:div w:id="903493793">
      <w:bodyDiv w:val="1"/>
      <w:marLeft w:val="0"/>
      <w:marRight w:val="0"/>
      <w:marTop w:val="0"/>
      <w:marBottom w:val="0"/>
      <w:divBdr>
        <w:top w:val="none" w:sz="0" w:space="0" w:color="auto"/>
        <w:left w:val="none" w:sz="0" w:space="0" w:color="auto"/>
        <w:bottom w:val="none" w:sz="0" w:space="0" w:color="auto"/>
        <w:right w:val="none" w:sz="0" w:space="0" w:color="auto"/>
      </w:divBdr>
    </w:div>
    <w:div w:id="905381530">
      <w:bodyDiv w:val="1"/>
      <w:marLeft w:val="0"/>
      <w:marRight w:val="0"/>
      <w:marTop w:val="0"/>
      <w:marBottom w:val="0"/>
      <w:divBdr>
        <w:top w:val="none" w:sz="0" w:space="0" w:color="auto"/>
        <w:left w:val="none" w:sz="0" w:space="0" w:color="auto"/>
        <w:bottom w:val="none" w:sz="0" w:space="0" w:color="auto"/>
        <w:right w:val="none" w:sz="0" w:space="0" w:color="auto"/>
      </w:divBdr>
    </w:div>
    <w:div w:id="908155049">
      <w:bodyDiv w:val="1"/>
      <w:marLeft w:val="0"/>
      <w:marRight w:val="0"/>
      <w:marTop w:val="0"/>
      <w:marBottom w:val="0"/>
      <w:divBdr>
        <w:top w:val="none" w:sz="0" w:space="0" w:color="auto"/>
        <w:left w:val="none" w:sz="0" w:space="0" w:color="auto"/>
        <w:bottom w:val="none" w:sz="0" w:space="0" w:color="auto"/>
        <w:right w:val="none" w:sz="0" w:space="0" w:color="auto"/>
      </w:divBdr>
    </w:div>
    <w:div w:id="910965681">
      <w:bodyDiv w:val="1"/>
      <w:marLeft w:val="0"/>
      <w:marRight w:val="0"/>
      <w:marTop w:val="0"/>
      <w:marBottom w:val="0"/>
      <w:divBdr>
        <w:top w:val="none" w:sz="0" w:space="0" w:color="auto"/>
        <w:left w:val="none" w:sz="0" w:space="0" w:color="auto"/>
        <w:bottom w:val="none" w:sz="0" w:space="0" w:color="auto"/>
        <w:right w:val="none" w:sz="0" w:space="0" w:color="auto"/>
      </w:divBdr>
    </w:div>
    <w:div w:id="914778283">
      <w:bodyDiv w:val="1"/>
      <w:marLeft w:val="0"/>
      <w:marRight w:val="0"/>
      <w:marTop w:val="0"/>
      <w:marBottom w:val="0"/>
      <w:divBdr>
        <w:top w:val="none" w:sz="0" w:space="0" w:color="auto"/>
        <w:left w:val="none" w:sz="0" w:space="0" w:color="auto"/>
        <w:bottom w:val="none" w:sz="0" w:space="0" w:color="auto"/>
        <w:right w:val="none" w:sz="0" w:space="0" w:color="auto"/>
      </w:divBdr>
    </w:div>
    <w:div w:id="916288154">
      <w:bodyDiv w:val="1"/>
      <w:marLeft w:val="0"/>
      <w:marRight w:val="0"/>
      <w:marTop w:val="0"/>
      <w:marBottom w:val="0"/>
      <w:divBdr>
        <w:top w:val="none" w:sz="0" w:space="0" w:color="auto"/>
        <w:left w:val="none" w:sz="0" w:space="0" w:color="auto"/>
        <w:bottom w:val="none" w:sz="0" w:space="0" w:color="auto"/>
        <w:right w:val="none" w:sz="0" w:space="0" w:color="auto"/>
      </w:divBdr>
    </w:div>
    <w:div w:id="917399522">
      <w:bodyDiv w:val="1"/>
      <w:marLeft w:val="0"/>
      <w:marRight w:val="0"/>
      <w:marTop w:val="0"/>
      <w:marBottom w:val="0"/>
      <w:divBdr>
        <w:top w:val="none" w:sz="0" w:space="0" w:color="auto"/>
        <w:left w:val="none" w:sz="0" w:space="0" w:color="auto"/>
        <w:bottom w:val="none" w:sz="0" w:space="0" w:color="auto"/>
        <w:right w:val="none" w:sz="0" w:space="0" w:color="auto"/>
      </w:divBdr>
    </w:div>
    <w:div w:id="918367361">
      <w:bodyDiv w:val="1"/>
      <w:marLeft w:val="0"/>
      <w:marRight w:val="0"/>
      <w:marTop w:val="0"/>
      <w:marBottom w:val="0"/>
      <w:divBdr>
        <w:top w:val="none" w:sz="0" w:space="0" w:color="auto"/>
        <w:left w:val="none" w:sz="0" w:space="0" w:color="auto"/>
        <w:bottom w:val="none" w:sz="0" w:space="0" w:color="auto"/>
        <w:right w:val="none" w:sz="0" w:space="0" w:color="auto"/>
      </w:divBdr>
    </w:div>
    <w:div w:id="922109947">
      <w:bodyDiv w:val="1"/>
      <w:marLeft w:val="0"/>
      <w:marRight w:val="0"/>
      <w:marTop w:val="0"/>
      <w:marBottom w:val="0"/>
      <w:divBdr>
        <w:top w:val="none" w:sz="0" w:space="0" w:color="auto"/>
        <w:left w:val="none" w:sz="0" w:space="0" w:color="auto"/>
        <w:bottom w:val="none" w:sz="0" w:space="0" w:color="auto"/>
        <w:right w:val="none" w:sz="0" w:space="0" w:color="auto"/>
      </w:divBdr>
    </w:div>
    <w:div w:id="922758380">
      <w:bodyDiv w:val="1"/>
      <w:marLeft w:val="0"/>
      <w:marRight w:val="0"/>
      <w:marTop w:val="0"/>
      <w:marBottom w:val="0"/>
      <w:divBdr>
        <w:top w:val="none" w:sz="0" w:space="0" w:color="auto"/>
        <w:left w:val="none" w:sz="0" w:space="0" w:color="auto"/>
        <w:bottom w:val="none" w:sz="0" w:space="0" w:color="auto"/>
        <w:right w:val="none" w:sz="0" w:space="0" w:color="auto"/>
      </w:divBdr>
    </w:div>
    <w:div w:id="923615103">
      <w:bodyDiv w:val="1"/>
      <w:marLeft w:val="0"/>
      <w:marRight w:val="0"/>
      <w:marTop w:val="0"/>
      <w:marBottom w:val="0"/>
      <w:divBdr>
        <w:top w:val="none" w:sz="0" w:space="0" w:color="auto"/>
        <w:left w:val="none" w:sz="0" w:space="0" w:color="auto"/>
        <w:bottom w:val="none" w:sz="0" w:space="0" w:color="auto"/>
        <w:right w:val="none" w:sz="0" w:space="0" w:color="auto"/>
      </w:divBdr>
    </w:div>
    <w:div w:id="926694878">
      <w:bodyDiv w:val="1"/>
      <w:marLeft w:val="0"/>
      <w:marRight w:val="0"/>
      <w:marTop w:val="0"/>
      <w:marBottom w:val="0"/>
      <w:divBdr>
        <w:top w:val="none" w:sz="0" w:space="0" w:color="auto"/>
        <w:left w:val="none" w:sz="0" w:space="0" w:color="auto"/>
        <w:bottom w:val="none" w:sz="0" w:space="0" w:color="auto"/>
        <w:right w:val="none" w:sz="0" w:space="0" w:color="auto"/>
      </w:divBdr>
    </w:div>
    <w:div w:id="929317327">
      <w:bodyDiv w:val="1"/>
      <w:marLeft w:val="0"/>
      <w:marRight w:val="0"/>
      <w:marTop w:val="0"/>
      <w:marBottom w:val="0"/>
      <w:divBdr>
        <w:top w:val="none" w:sz="0" w:space="0" w:color="auto"/>
        <w:left w:val="none" w:sz="0" w:space="0" w:color="auto"/>
        <w:bottom w:val="none" w:sz="0" w:space="0" w:color="auto"/>
        <w:right w:val="none" w:sz="0" w:space="0" w:color="auto"/>
      </w:divBdr>
    </w:div>
    <w:div w:id="929509982">
      <w:bodyDiv w:val="1"/>
      <w:marLeft w:val="0"/>
      <w:marRight w:val="0"/>
      <w:marTop w:val="0"/>
      <w:marBottom w:val="0"/>
      <w:divBdr>
        <w:top w:val="none" w:sz="0" w:space="0" w:color="auto"/>
        <w:left w:val="none" w:sz="0" w:space="0" w:color="auto"/>
        <w:bottom w:val="none" w:sz="0" w:space="0" w:color="auto"/>
        <w:right w:val="none" w:sz="0" w:space="0" w:color="auto"/>
      </w:divBdr>
    </w:div>
    <w:div w:id="929891781">
      <w:bodyDiv w:val="1"/>
      <w:marLeft w:val="0"/>
      <w:marRight w:val="0"/>
      <w:marTop w:val="0"/>
      <w:marBottom w:val="0"/>
      <w:divBdr>
        <w:top w:val="none" w:sz="0" w:space="0" w:color="auto"/>
        <w:left w:val="none" w:sz="0" w:space="0" w:color="auto"/>
        <w:bottom w:val="none" w:sz="0" w:space="0" w:color="auto"/>
        <w:right w:val="none" w:sz="0" w:space="0" w:color="auto"/>
      </w:divBdr>
    </w:div>
    <w:div w:id="930045172">
      <w:bodyDiv w:val="1"/>
      <w:marLeft w:val="0"/>
      <w:marRight w:val="0"/>
      <w:marTop w:val="0"/>
      <w:marBottom w:val="0"/>
      <w:divBdr>
        <w:top w:val="none" w:sz="0" w:space="0" w:color="auto"/>
        <w:left w:val="none" w:sz="0" w:space="0" w:color="auto"/>
        <w:bottom w:val="none" w:sz="0" w:space="0" w:color="auto"/>
        <w:right w:val="none" w:sz="0" w:space="0" w:color="auto"/>
      </w:divBdr>
    </w:div>
    <w:div w:id="930045356">
      <w:bodyDiv w:val="1"/>
      <w:marLeft w:val="0"/>
      <w:marRight w:val="0"/>
      <w:marTop w:val="0"/>
      <w:marBottom w:val="0"/>
      <w:divBdr>
        <w:top w:val="none" w:sz="0" w:space="0" w:color="auto"/>
        <w:left w:val="none" w:sz="0" w:space="0" w:color="auto"/>
        <w:bottom w:val="none" w:sz="0" w:space="0" w:color="auto"/>
        <w:right w:val="none" w:sz="0" w:space="0" w:color="auto"/>
      </w:divBdr>
    </w:div>
    <w:div w:id="930820022">
      <w:bodyDiv w:val="1"/>
      <w:marLeft w:val="0"/>
      <w:marRight w:val="0"/>
      <w:marTop w:val="0"/>
      <w:marBottom w:val="0"/>
      <w:divBdr>
        <w:top w:val="none" w:sz="0" w:space="0" w:color="auto"/>
        <w:left w:val="none" w:sz="0" w:space="0" w:color="auto"/>
        <w:bottom w:val="none" w:sz="0" w:space="0" w:color="auto"/>
        <w:right w:val="none" w:sz="0" w:space="0" w:color="auto"/>
      </w:divBdr>
    </w:div>
    <w:div w:id="932784322">
      <w:bodyDiv w:val="1"/>
      <w:marLeft w:val="0"/>
      <w:marRight w:val="0"/>
      <w:marTop w:val="0"/>
      <w:marBottom w:val="0"/>
      <w:divBdr>
        <w:top w:val="none" w:sz="0" w:space="0" w:color="auto"/>
        <w:left w:val="none" w:sz="0" w:space="0" w:color="auto"/>
        <w:bottom w:val="none" w:sz="0" w:space="0" w:color="auto"/>
        <w:right w:val="none" w:sz="0" w:space="0" w:color="auto"/>
      </w:divBdr>
    </w:div>
    <w:div w:id="934169855">
      <w:bodyDiv w:val="1"/>
      <w:marLeft w:val="0"/>
      <w:marRight w:val="0"/>
      <w:marTop w:val="0"/>
      <w:marBottom w:val="0"/>
      <w:divBdr>
        <w:top w:val="none" w:sz="0" w:space="0" w:color="auto"/>
        <w:left w:val="none" w:sz="0" w:space="0" w:color="auto"/>
        <w:bottom w:val="none" w:sz="0" w:space="0" w:color="auto"/>
        <w:right w:val="none" w:sz="0" w:space="0" w:color="auto"/>
      </w:divBdr>
    </w:div>
    <w:div w:id="934439482">
      <w:bodyDiv w:val="1"/>
      <w:marLeft w:val="0"/>
      <w:marRight w:val="0"/>
      <w:marTop w:val="0"/>
      <w:marBottom w:val="0"/>
      <w:divBdr>
        <w:top w:val="none" w:sz="0" w:space="0" w:color="auto"/>
        <w:left w:val="none" w:sz="0" w:space="0" w:color="auto"/>
        <w:bottom w:val="none" w:sz="0" w:space="0" w:color="auto"/>
        <w:right w:val="none" w:sz="0" w:space="0" w:color="auto"/>
      </w:divBdr>
    </w:div>
    <w:div w:id="937324135">
      <w:bodyDiv w:val="1"/>
      <w:marLeft w:val="0"/>
      <w:marRight w:val="0"/>
      <w:marTop w:val="0"/>
      <w:marBottom w:val="0"/>
      <w:divBdr>
        <w:top w:val="none" w:sz="0" w:space="0" w:color="auto"/>
        <w:left w:val="none" w:sz="0" w:space="0" w:color="auto"/>
        <w:bottom w:val="none" w:sz="0" w:space="0" w:color="auto"/>
        <w:right w:val="none" w:sz="0" w:space="0" w:color="auto"/>
      </w:divBdr>
    </w:div>
    <w:div w:id="937442108">
      <w:bodyDiv w:val="1"/>
      <w:marLeft w:val="0"/>
      <w:marRight w:val="0"/>
      <w:marTop w:val="0"/>
      <w:marBottom w:val="0"/>
      <w:divBdr>
        <w:top w:val="none" w:sz="0" w:space="0" w:color="auto"/>
        <w:left w:val="none" w:sz="0" w:space="0" w:color="auto"/>
        <w:bottom w:val="none" w:sz="0" w:space="0" w:color="auto"/>
        <w:right w:val="none" w:sz="0" w:space="0" w:color="auto"/>
      </w:divBdr>
    </w:div>
    <w:div w:id="938761105">
      <w:bodyDiv w:val="1"/>
      <w:marLeft w:val="0"/>
      <w:marRight w:val="0"/>
      <w:marTop w:val="0"/>
      <w:marBottom w:val="0"/>
      <w:divBdr>
        <w:top w:val="none" w:sz="0" w:space="0" w:color="auto"/>
        <w:left w:val="none" w:sz="0" w:space="0" w:color="auto"/>
        <w:bottom w:val="none" w:sz="0" w:space="0" w:color="auto"/>
        <w:right w:val="none" w:sz="0" w:space="0" w:color="auto"/>
      </w:divBdr>
    </w:div>
    <w:div w:id="941768930">
      <w:bodyDiv w:val="1"/>
      <w:marLeft w:val="0"/>
      <w:marRight w:val="0"/>
      <w:marTop w:val="0"/>
      <w:marBottom w:val="0"/>
      <w:divBdr>
        <w:top w:val="none" w:sz="0" w:space="0" w:color="auto"/>
        <w:left w:val="none" w:sz="0" w:space="0" w:color="auto"/>
        <w:bottom w:val="none" w:sz="0" w:space="0" w:color="auto"/>
        <w:right w:val="none" w:sz="0" w:space="0" w:color="auto"/>
      </w:divBdr>
    </w:div>
    <w:div w:id="943683862">
      <w:bodyDiv w:val="1"/>
      <w:marLeft w:val="0"/>
      <w:marRight w:val="0"/>
      <w:marTop w:val="0"/>
      <w:marBottom w:val="0"/>
      <w:divBdr>
        <w:top w:val="none" w:sz="0" w:space="0" w:color="auto"/>
        <w:left w:val="none" w:sz="0" w:space="0" w:color="auto"/>
        <w:bottom w:val="none" w:sz="0" w:space="0" w:color="auto"/>
        <w:right w:val="none" w:sz="0" w:space="0" w:color="auto"/>
      </w:divBdr>
    </w:div>
    <w:div w:id="944308461">
      <w:bodyDiv w:val="1"/>
      <w:marLeft w:val="0"/>
      <w:marRight w:val="0"/>
      <w:marTop w:val="0"/>
      <w:marBottom w:val="0"/>
      <w:divBdr>
        <w:top w:val="none" w:sz="0" w:space="0" w:color="auto"/>
        <w:left w:val="none" w:sz="0" w:space="0" w:color="auto"/>
        <w:bottom w:val="none" w:sz="0" w:space="0" w:color="auto"/>
        <w:right w:val="none" w:sz="0" w:space="0" w:color="auto"/>
      </w:divBdr>
    </w:div>
    <w:div w:id="945044800">
      <w:bodyDiv w:val="1"/>
      <w:marLeft w:val="0"/>
      <w:marRight w:val="0"/>
      <w:marTop w:val="0"/>
      <w:marBottom w:val="0"/>
      <w:divBdr>
        <w:top w:val="none" w:sz="0" w:space="0" w:color="auto"/>
        <w:left w:val="none" w:sz="0" w:space="0" w:color="auto"/>
        <w:bottom w:val="none" w:sz="0" w:space="0" w:color="auto"/>
        <w:right w:val="none" w:sz="0" w:space="0" w:color="auto"/>
      </w:divBdr>
    </w:div>
    <w:div w:id="945238353">
      <w:bodyDiv w:val="1"/>
      <w:marLeft w:val="0"/>
      <w:marRight w:val="0"/>
      <w:marTop w:val="0"/>
      <w:marBottom w:val="0"/>
      <w:divBdr>
        <w:top w:val="none" w:sz="0" w:space="0" w:color="auto"/>
        <w:left w:val="none" w:sz="0" w:space="0" w:color="auto"/>
        <w:bottom w:val="none" w:sz="0" w:space="0" w:color="auto"/>
        <w:right w:val="none" w:sz="0" w:space="0" w:color="auto"/>
      </w:divBdr>
    </w:div>
    <w:div w:id="946737595">
      <w:bodyDiv w:val="1"/>
      <w:marLeft w:val="0"/>
      <w:marRight w:val="0"/>
      <w:marTop w:val="0"/>
      <w:marBottom w:val="0"/>
      <w:divBdr>
        <w:top w:val="none" w:sz="0" w:space="0" w:color="auto"/>
        <w:left w:val="none" w:sz="0" w:space="0" w:color="auto"/>
        <w:bottom w:val="none" w:sz="0" w:space="0" w:color="auto"/>
        <w:right w:val="none" w:sz="0" w:space="0" w:color="auto"/>
      </w:divBdr>
    </w:div>
    <w:div w:id="947614669">
      <w:bodyDiv w:val="1"/>
      <w:marLeft w:val="0"/>
      <w:marRight w:val="0"/>
      <w:marTop w:val="0"/>
      <w:marBottom w:val="0"/>
      <w:divBdr>
        <w:top w:val="none" w:sz="0" w:space="0" w:color="auto"/>
        <w:left w:val="none" w:sz="0" w:space="0" w:color="auto"/>
        <w:bottom w:val="none" w:sz="0" w:space="0" w:color="auto"/>
        <w:right w:val="none" w:sz="0" w:space="0" w:color="auto"/>
      </w:divBdr>
    </w:div>
    <w:div w:id="951588840">
      <w:bodyDiv w:val="1"/>
      <w:marLeft w:val="0"/>
      <w:marRight w:val="0"/>
      <w:marTop w:val="0"/>
      <w:marBottom w:val="0"/>
      <w:divBdr>
        <w:top w:val="none" w:sz="0" w:space="0" w:color="auto"/>
        <w:left w:val="none" w:sz="0" w:space="0" w:color="auto"/>
        <w:bottom w:val="none" w:sz="0" w:space="0" w:color="auto"/>
        <w:right w:val="none" w:sz="0" w:space="0" w:color="auto"/>
      </w:divBdr>
    </w:div>
    <w:div w:id="951789057">
      <w:bodyDiv w:val="1"/>
      <w:marLeft w:val="0"/>
      <w:marRight w:val="0"/>
      <w:marTop w:val="0"/>
      <w:marBottom w:val="0"/>
      <w:divBdr>
        <w:top w:val="none" w:sz="0" w:space="0" w:color="auto"/>
        <w:left w:val="none" w:sz="0" w:space="0" w:color="auto"/>
        <w:bottom w:val="none" w:sz="0" w:space="0" w:color="auto"/>
        <w:right w:val="none" w:sz="0" w:space="0" w:color="auto"/>
      </w:divBdr>
    </w:div>
    <w:div w:id="952905713">
      <w:bodyDiv w:val="1"/>
      <w:marLeft w:val="0"/>
      <w:marRight w:val="0"/>
      <w:marTop w:val="0"/>
      <w:marBottom w:val="0"/>
      <w:divBdr>
        <w:top w:val="none" w:sz="0" w:space="0" w:color="auto"/>
        <w:left w:val="none" w:sz="0" w:space="0" w:color="auto"/>
        <w:bottom w:val="none" w:sz="0" w:space="0" w:color="auto"/>
        <w:right w:val="none" w:sz="0" w:space="0" w:color="auto"/>
      </w:divBdr>
    </w:div>
    <w:div w:id="953247080">
      <w:bodyDiv w:val="1"/>
      <w:marLeft w:val="0"/>
      <w:marRight w:val="0"/>
      <w:marTop w:val="0"/>
      <w:marBottom w:val="0"/>
      <w:divBdr>
        <w:top w:val="none" w:sz="0" w:space="0" w:color="auto"/>
        <w:left w:val="none" w:sz="0" w:space="0" w:color="auto"/>
        <w:bottom w:val="none" w:sz="0" w:space="0" w:color="auto"/>
        <w:right w:val="none" w:sz="0" w:space="0" w:color="auto"/>
      </w:divBdr>
    </w:div>
    <w:div w:id="954169520">
      <w:bodyDiv w:val="1"/>
      <w:marLeft w:val="0"/>
      <w:marRight w:val="0"/>
      <w:marTop w:val="0"/>
      <w:marBottom w:val="0"/>
      <w:divBdr>
        <w:top w:val="none" w:sz="0" w:space="0" w:color="auto"/>
        <w:left w:val="none" w:sz="0" w:space="0" w:color="auto"/>
        <w:bottom w:val="none" w:sz="0" w:space="0" w:color="auto"/>
        <w:right w:val="none" w:sz="0" w:space="0" w:color="auto"/>
      </w:divBdr>
    </w:div>
    <w:div w:id="954756397">
      <w:bodyDiv w:val="1"/>
      <w:marLeft w:val="0"/>
      <w:marRight w:val="0"/>
      <w:marTop w:val="0"/>
      <w:marBottom w:val="0"/>
      <w:divBdr>
        <w:top w:val="none" w:sz="0" w:space="0" w:color="auto"/>
        <w:left w:val="none" w:sz="0" w:space="0" w:color="auto"/>
        <w:bottom w:val="none" w:sz="0" w:space="0" w:color="auto"/>
        <w:right w:val="none" w:sz="0" w:space="0" w:color="auto"/>
      </w:divBdr>
    </w:div>
    <w:div w:id="955677154">
      <w:bodyDiv w:val="1"/>
      <w:marLeft w:val="0"/>
      <w:marRight w:val="0"/>
      <w:marTop w:val="0"/>
      <w:marBottom w:val="0"/>
      <w:divBdr>
        <w:top w:val="none" w:sz="0" w:space="0" w:color="auto"/>
        <w:left w:val="none" w:sz="0" w:space="0" w:color="auto"/>
        <w:bottom w:val="none" w:sz="0" w:space="0" w:color="auto"/>
        <w:right w:val="none" w:sz="0" w:space="0" w:color="auto"/>
      </w:divBdr>
    </w:div>
    <w:div w:id="955870229">
      <w:bodyDiv w:val="1"/>
      <w:marLeft w:val="0"/>
      <w:marRight w:val="0"/>
      <w:marTop w:val="0"/>
      <w:marBottom w:val="0"/>
      <w:divBdr>
        <w:top w:val="none" w:sz="0" w:space="0" w:color="auto"/>
        <w:left w:val="none" w:sz="0" w:space="0" w:color="auto"/>
        <w:bottom w:val="none" w:sz="0" w:space="0" w:color="auto"/>
        <w:right w:val="none" w:sz="0" w:space="0" w:color="auto"/>
      </w:divBdr>
    </w:div>
    <w:div w:id="956790763">
      <w:bodyDiv w:val="1"/>
      <w:marLeft w:val="0"/>
      <w:marRight w:val="0"/>
      <w:marTop w:val="0"/>
      <w:marBottom w:val="0"/>
      <w:divBdr>
        <w:top w:val="none" w:sz="0" w:space="0" w:color="auto"/>
        <w:left w:val="none" w:sz="0" w:space="0" w:color="auto"/>
        <w:bottom w:val="none" w:sz="0" w:space="0" w:color="auto"/>
        <w:right w:val="none" w:sz="0" w:space="0" w:color="auto"/>
      </w:divBdr>
    </w:div>
    <w:div w:id="958678825">
      <w:bodyDiv w:val="1"/>
      <w:marLeft w:val="0"/>
      <w:marRight w:val="0"/>
      <w:marTop w:val="0"/>
      <w:marBottom w:val="0"/>
      <w:divBdr>
        <w:top w:val="none" w:sz="0" w:space="0" w:color="auto"/>
        <w:left w:val="none" w:sz="0" w:space="0" w:color="auto"/>
        <w:bottom w:val="none" w:sz="0" w:space="0" w:color="auto"/>
        <w:right w:val="none" w:sz="0" w:space="0" w:color="auto"/>
      </w:divBdr>
    </w:div>
    <w:div w:id="959609938">
      <w:bodyDiv w:val="1"/>
      <w:marLeft w:val="0"/>
      <w:marRight w:val="0"/>
      <w:marTop w:val="0"/>
      <w:marBottom w:val="0"/>
      <w:divBdr>
        <w:top w:val="none" w:sz="0" w:space="0" w:color="auto"/>
        <w:left w:val="none" w:sz="0" w:space="0" w:color="auto"/>
        <w:bottom w:val="none" w:sz="0" w:space="0" w:color="auto"/>
        <w:right w:val="none" w:sz="0" w:space="0" w:color="auto"/>
      </w:divBdr>
    </w:div>
    <w:div w:id="959648785">
      <w:bodyDiv w:val="1"/>
      <w:marLeft w:val="0"/>
      <w:marRight w:val="0"/>
      <w:marTop w:val="0"/>
      <w:marBottom w:val="0"/>
      <w:divBdr>
        <w:top w:val="none" w:sz="0" w:space="0" w:color="auto"/>
        <w:left w:val="none" w:sz="0" w:space="0" w:color="auto"/>
        <w:bottom w:val="none" w:sz="0" w:space="0" w:color="auto"/>
        <w:right w:val="none" w:sz="0" w:space="0" w:color="auto"/>
      </w:divBdr>
    </w:div>
    <w:div w:id="962927746">
      <w:bodyDiv w:val="1"/>
      <w:marLeft w:val="0"/>
      <w:marRight w:val="0"/>
      <w:marTop w:val="0"/>
      <w:marBottom w:val="0"/>
      <w:divBdr>
        <w:top w:val="none" w:sz="0" w:space="0" w:color="auto"/>
        <w:left w:val="none" w:sz="0" w:space="0" w:color="auto"/>
        <w:bottom w:val="none" w:sz="0" w:space="0" w:color="auto"/>
        <w:right w:val="none" w:sz="0" w:space="0" w:color="auto"/>
      </w:divBdr>
    </w:div>
    <w:div w:id="966398940">
      <w:bodyDiv w:val="1"/>
      <w:marLeft w:val="0"/>
      <w:marRight w:val="0"/>
      <w:marTop w:val="0"/>
      <w:marBottom w:val="0"/>
      <w:divBdr>
        <w:top w:val="none" w:sz="0" w:space="0" w:color="auto"/>
        <w:left w:val="none" w:sz="0" w:space="0" w:color="auto"/>
        <w:bottom w:val="none" w:sz="0" w:space="0" w:color="auto"/>
        <w:right w:val="none" w:sz="0" w:space="0" w:color="auto"/>
      </w:divBdr>
    </w:div>
    <w:div w:id="968584145">
      <w:bodyDiv w:val="1"/>
      <w:marLeft w:val="0"/>
      <w:marRight w:val="0"/>
      <w:marTop w:val="0"/>
      <w:marBottom w:val="0"/>
      <w:divBdr>
        <w:top w:val="none" w:sz="0" w:space="0" w:color="auto"/>
        <w:left w:val="none" w:sz="0" w:space="0" w:color="auto"/>
        <w:bottom w:val="none" w:sz="0" w:space="0" w:color="auto"/>
        <w:right w:val="none" w:sz="0" w:space="0" w:color="auto"/>
      </w:divBdr>
    </w:div>
    <w:div w:id="969170748">
      <w:bodyDiv w:val="1"/>
      <w:marLeft w:val="0"/>
      <w:marRight w:val="0"/>
      <w:marTop w:val="0"/>
      <w:marBottom w:val="0"/>
      <w:divBdr>
        <w:top w:val="none" w:sz="0" w:space="0" w:color="auto"/>
        <w:left w:val="none" w:sz="0" w:space="0" w:color="auto"/>
        <w:bottom w:val="none" w:sz="0" w:space="0" w:color="auto"/>
        <w:right w:val="none" w:sz="0" w:space="0" w:color="auto"/>
      </w:divBdr>
    </w:div>
    <w:div w:id="972559308">
      <w:bodyDiv w:val="1"/>
      <w:marLeft w:val="0"/>
      <w:marRight w:val="0"/>
      <w:marTop w:val="0"/>
      <w:marBottom w:val="0"/>
      <w:divBdr>
        <w:top w:val="none" w:sz="0" w:space="0" w:color="auto"/>
        <w:left w:val="none" w:sz="0" w:space="0" w:color="auto"/>
        <w:bottom w:val="none" w:sz="0" w:space="0" w:color="auto"/>
        <w:right w:val="none" w:sz="0" w:space="0" w:color="auto"/>
      </w:divBdr>
    </w:div>
    <w:div w:id="974915278">
      <w:bodyDiv w:val="1"/>
      <w:marLeft w:val="0"/>
      <w:marRight w:val="0"/>
      <w:marTop w:val="0"/>
      <w:marBottom w:val="0"/>
      <w:divBdr>
        <w:top w:val="none" w:sz="0" w:space="0" w:color="auto"/>
        <w:left w:val="none" w:sz="0" w:space="0" w:color="auto"/>
        <w:bottom w:val="none" w:sz="0" w:space="0" w:color="auto"/>
        <w:right w:val="none" w:sz="0" w:space="0" w:color="auto"/>
      </w:divBdr>
    </w:div>
    <w:div w:id="975717314">
      <w:bodyDiv w:val="1"/>
      <w:marLeft w:val="0"/>
      <w:marRight w:val="0"/>
      <w:marTop w:val="0"/>
      <w:marBottom w:val="0"/>
      <w:divBdr>
        <w:top w:val="none" w:sz="0" w:space="0" w:color="auto"/>
        <w:left w:val="none" w:sz="0" w:space="0" w:color="auto"/>
        <w:bottom w:val="none" w:sz="0" w:space="0" w:color="auto"/>
        <w:right w:val="none" w:sz="0" w:space="0" w:color="auto"/>
      </w:divBdr>
    </w:div>
    <w:div w:id="976762475">
      <w:bodyDiv w:val="1"/>
      <w:marLeft w:val="0"/>
      <w:marRight w:val="0"/>
      <w:marTop w:val="0"/>
      <w:marBottom w:val="0"/>
      <w:divBdr>
        <w:top w:val="none" w:sz="0" w:space="0" w:color="auto"/>
        <w:left w:val="none" w:sz="0" w:space="0" w:color="auto"/>
        <w:bottom w:val="none" w:sz="0" w:space="0" w:color="auto"/>
        <w:right w:val="none" w:sz="0" w:space="0" w:color="auto"/>
      </w:divBdr>
    </w:div>
    <w:div w:id="979381536">
      <w:bodyDiv w:val="1"/>
      <w:marLeft w:val="0"/>
      <w:marRight w:val="0"/>
      <w:marTop w:val="0"/>
      <w:marBottom w:val="0"/>
      <w:divBdr>
        <w:top w:val="none" w:sz="0" w:space="0" w:color="auto"/>
        <w:left w:val="none" w:sz="0" w:space="0" w:color="auto"/>
        <w:bottom w:val="none" w:sz="0" w:space="0" w:color="auto"/>
        <w:right w:val="none" w:sz="0" w:space="0" w:color="auto"/>
      </w:divBdr>
    </w:div>
    <w:div w:id="979724540">
      <w:bodyDiv w:val="1"/>
      <w:marLeft w:val="0"/>
      <w:marRight w:val="0"/>
      <w:marTop w:val="0"/>
      <w:marBottom w:val="0"/>
      <w:divBdr>
        <w:top w:val="none" w:sz="0" w:space="0" w:color="auto"/>
        <w:left w:val="none" w:sz="0" w:space="0" w:color="auto"/>
        <w:bottom w:val="none" w:sz="0" w:space="0" w:color="auto"/>
        <w:right w:val="none" w:sz="0" w:space="0" w:color="auto"/>
      </w:divBdr>
    </w:div>
    <w:div w:id="981616824">
      <w:bodyDiv w:val="1"/>
      <w:marLeft w:val="0"/>
      <w:marRight w:val="0"/>
      <w:marTop w:val="0"/>
      <w:marBottom w:val="0"/>
      <w:divBdr>
        <w:top w:val="none" w:sz="0" w:space="0" w:color="auto"/>
        <w:left w:val="none" w:sz="0" w:space="0" w:color="auto"/>
        <w:bottom w:val="none" w:sz="0" w:space="0" w:color="auto"/>
        <w:right w:val="none" w:sz="0" w:space="0" w:color="auto"/>
      </w:divBdr>
    </w:div>
    <w:div w:id="981738133">
      <w:bodyDiv w:val="1"/>
      <w:marLeft w:val="0"/>
      <w:marRight w:val="0"/>
      <w:marTop w:val="0"/>
      <w:marBottom w:val="0"/>
      <w:divBdr>
        <w:top w:val="none" w:sz="0" w:space="0" w:color="auto"/>
        <w:left w:val="none" w:sz="0" w:space="0" w:color="auto"/>
        <w:bottom w:val="none" w:sz="0" w:space="0" w:color="auto"/>
        <w:right w:val="none" w:sz="0" w:space="0" w:color="auto"/>
      </w:divBdr>
    </w:div>
    <w:div w:id="983318836">
      <w:bodyDiv w:val="1"/>
      <w:marLeft w:val="0"/>
      <w:marRight w:val="0"/>
      <w:marTop w:val="0"/>
      <w:marBottom w:val="0"/>
      <w:divBdr>
        <w:top w:val="none" w:sz="0" w:space="0" w:color="auto"/>
        <w:left w:val="none" w:sz="0" w:space="0" w:color="auto"/>
        <w:bottom w:val="none" w:sz="0" w:space="0" w:color="auto"/>
        <w:right w:val="none" w:sz="0" w:space="0" w:color="auto"/>
      </w:divBdr>
    </w:div>
    <w:div w:id="984317398">
      <w:bodyDiv w:val="1"/>
      <w:marLeft w:val="0"/>
      <w:marRight w:val="0"/>
      <w:marTop w:val="0"/>
      <w:marBottom w:val="0"/>
      <w:divBdr>
        <w:top w:val="none" w:sz="0" w:space="0" w:color="auto"/>
        <w:left w:val="none" w:sz="0" w:space="0" w:color="auto"/>
        <w:bottom w:val="none" w:sz="0" w:space="0" w:color="auto"/>
        <w:right w:val="none" w:sz="0" w:space="0" w:color="auto"/>
      </w:divBdr>
    </w:div>
    <w:div w:id="984503621">
      <w:bodyDiv w:val="1"/>
      <w:marLeft w:val="0"/>
      <w:marRight w:val="0"/>
      <w:marTop w:val="0"/>
      <w:marBottom w:val="0"/>
      <w:divBdr>
        <w:top w:val="none" w:sz="0" w:space="0" w:color="auto"/>
        <w:left w:val="none" w:sz="0" w:space="0" w:color="auto"/>
        <w:bottom w:val="none" w:sz="0" w:space="0" w:color="auto"/>
        <w:right w:val="none" w:sz="0" w:space="0" w:color="auto"/>
      </w:divBdr>
    </w:div>
    <w:div w:id="984895637">
      <w:bodyDiv w:val="1"/>
      <w:marLeft w:val="0"/>
      <w:marRight w:val="0"/>
      <w:marTop w:val="0"/>
      <w:marBottom w:val="0"/>
      <w:divBdr>
        <w:top w:val="none" w:sz="0" w:space="0" w:color="auto"/>
        <w:left w:val="none" w:sz="0" w:space="0" w:color="auto"/>
        <w:bottom w:val="none" w:sz="0" w:space="0" w:color="auto"/>
        <w:right w:val="none" w:sz="0" w:space="0" w:color="auto"/>
      </w:divBdr>
    </w:div>
    <w:div w:id="986782775">
      <w:bodyDiv w:val="1"/>
      <w:marLeft w:val="0"/>
      <w:marRight w:val="0"/>
      <w:marTop w:val="0"/>
      <w:marBottom w:val="0"/>
      <w:divBdr>
        <w:top w:val="none" w:sz="0" w:space="0" w:color="auto"/>
        <w:left w:val="none" w:sz="0" w:space="0" w:color="auto"/>
        <w:bottom w:val="none" w:sz="0" w:space="0" w:color="auto"/>
        <w:right w:val="none" w:sz="0" w:space="0" w:color="auto"/>
      </w:divBdr>
    </w:div>
    <w:div w:id="988898789">
      <w:bodyDiv w:val="1"/>
      <w:marLeft w:val="0"/>
      <w:marRight w:val="0"/>
      <w:marTop w:val="0"/>
      <w:marBottom w:val="0"/>
      <w:divBdr>
        <w:top w:val="none" w:sz="0" w:space="0" w:color="auto"/>
        <w:left w:val="none" w:sz="0" w:space="0" w:color="auto"/>
        <w:bottom w:val="none" w:sz="0" w:space="0" w:color="auto"/>
        <w:right w:val="none" w:sz="0" w:space="0" w:color="auto"/>
      </w:divBdr>
    </w:div>
    <w:div w:id="989595234">
      <w:bodyDiv w:val="1"/>
      <w:marLeft w:val="0"/>
      <w:marRight w:val="0"/>
      <w:marTop w:val="0"/>
      <w:marBottom w:val="0"/>
      <w:divBdr>
        <w:top w:val="none" w:sz="0" w:space="0" w:color="auto"/>
        <w:left w:val="none" w:sz="0" w:space="0" w:color="auto"/>
        <w:bottom w:val="none" w:sz="0" w:space="0" w:color="auto"/>
        <w:right w:val="none" w:sz="0" w:space="0" w:color="auto"/>
      </w:divBdr>
    </w:div>
    <w:div w:id="991256372">
      <w:bodyDiv w:val="1"/>
      <w:marLeft w:val="0"/>
      <w:marRight w:val="0"/>
      <w:marTop w:val="0"/>
      <w:marBottom w:val="0"/>
      <w:divBdr>
        <w:top w:val="none" w:sz="0" w:space="0" w:color="auto"/>
        <w:left w:val="none" w:sz="0" w:space="0" w:color="auto"/>
        <w:bottom w:val="none" w:sz="0" w:space="0" w:color="auto"/>
        <w:right w:val="none" w:sz="0" w:space="0" w:color="auto"/>
      </w:divBdr>
    </w:div>
    <w:div w:id="994526899">
      <w:bodyDiv w:val="1"/>
      <w:marLeft w:val="0"/>
      <w:marRight w:val="0"/>
      <w:marTop w:val="0"/>
      <w:marBottom w:val="0"/>
      <w:divBdr>
        <w:top w:val="none" w:sz="0" w:space="0" w:color="auto"/>
        <w:left w:val="none" w:sz="0" w:space="0" w:color="auto"/>
        <w:bottom w:val="none" w:sz="0" w:space="0" w:color="auto"/>
        <w:right w:val="none" w:sz="0" w:space="0" w:color="auto"/>
      </w:divBdr>
    </w:div>
    <w:div w:id="995453527">
      <w:bodyDiv w:val="1"/>
      <w:marLeft w:val="0"/>
      <w:marRight w:val="0"/>
      <w:marTop w:val="0"/>
      <w:marBottom w:val="0"/>
      <w:divBdr>
        <w:top w:val="none" w:sz="0" w:space="0" w:color="auto"/>
        <w:left w:val="none" w:sz="0" w:space="0" w:color="auto"/>
        <w:bottom w:val="none" w:sz="0" w:space="0" w:color="auto"/>
        <w:right w:val="none" w:sz="0" w:space="0" w:color="auto"/>
      </w:divBdr>
    </w:div>
    <w:div w:id="996419281">
      <w:bodyDiv w:val="1"/>
      <w:marLeft w:val="0"/>
      <w:marRight w:val="0"/>
      <w:marTop w:val="0"/>
      <w:marBottom w:val="0"/>
      <w:divBdr>
        <w:top w:val="none" w:sz="0" w:space="0" w:color="auto"/>
        <w:left w:val="none" w:sz="0" w:space="0" w:color="auto"/>
        <w:bottom w:val="none" w:sz="0" w:space="0" w:color="auto"/>
        <w:right w:val="none" w:sz="0" w:space="0" w:color="auto"/>
      </w:divBdr>
    </w:div>
    <w:div w:id="998843324">
      <w:bodyDiv w:val="1"/>
      <w:marLeft w:val="0"/>
      <w:marRight w:val="0"/>
      <w:marTop w:val="0"/>
      <w:marBottom w:val="0"/>
      <w:divBdr>
        <w:top w:val="none" w:sz="0" w:space="0" w:color="auto"/>
        <w:left w:val="none" w:sz="0" w:space="0" w:color="auto"/>
        <w:bottom w:val="none" w:sz="0" w:space="0" w:color="auto"/>
        <w:right w:val="none" w:sz="0" w:space="0" w:color="auto"/>
      </w:divBdr>
    </w:div>
    <w:div w:id="1007635325">
      <w:bodyDiv w:val="1"/>
      <w:marLeft w:val="0"/>
      <w:marRight w:val="0"/>
      <w:marTop w:val="0"/>
      <w:marBottom w:val="0"/>
      <w:divBdr>
        <w:top w:val="none" w:sz="0" w:space="0" w:color="auto"/>
        <w:left w:val="none" w:sz="0" w:space="0" w:color="auto"/>
        <w:bottom w:val="none" w:sz="0" w:space="0" w:color="auto"/>
        <w:right w:val="none" w:sz="0" w:space="0" w:color="auto"/>
      </w:divBdr>
    </w:div>
    <w:div w:id="1010067067">
      <w:bodyDiv w:val="1"/>
      <w:marLeft w:val="0"/>
      <w:marRight w:val="0"/>
      <w:marTop w:val="0"/>
      <w:marBottom w:val="0"/>
      <w:divBdr>
        <w:top w:val="none" w:sz="0" w:space="0" w:color="auto"/>
        <w:left w:val="none" w:sz="0" w:space="0" w:color="auto"/>
        <w:bottom w:val="none" w:sz="0" w:space="0" w:color="auto"/>
        <w:right w:val="none" w:sz="0" w:space="0" w:color="auto"/>
      </w:divBdr>
    </w:div>
    <w:div w:id="1010566217">
      <w:bodyDiv w:val="1"/>
      <w:marLeft w:val="0"/>
      <w:marRight w:val="0"/>
      <w:marTop w:val="0"/>
      <w:marBottom w:val="0"/>
      <w:divBdr>
        <w:top w:val="none" w:sz="0" w:space="0" w:color="auto"/>
        <w:left w:val="none" w:sz="0" w:space="0" w:color="auto"/>
        <w:bottom w:val="none" w:sz="0" w:space="0" w:color="auto"/>
        <w:right w:val="none" w:sz="0" w:space="0" w:color="auto"/>
      </w:divBdr>
    </w:div>
    <w:div w:id="1013796795">
      <w:bodyDiv w:val="1"/>
      <w:marLeft w:val="0"/>
      <w:marRight w:val="0"/>
      <w:marTop w:val="0"/>
      <w:marBottom w:val="0"/>
      <w:divBdr>
        <w:top w:val="none" w:sz="0" w:space="0" w:color="auto"/>
        <w:left w:val="none" w:sz="0" w:space="0" w:color="auto"/>
        <w:bottom w:val="none" w:sz="0" w:space="0" w:color="auto"/>
        <w:right w:val="none" w:sz="0" w:space="0" w:color="auto"/>
      </w:divBdr>
    </w:div>
    <w:div w:id="1014958297">
      <w:bodyDiv w:val="1"/>
      <w:marLeft w:val="0"/>
      <w:marRight w:val="0"/>
      <w:marTop w:val="0"/>
      <w:marBottom w:val="0"/>
      <w:divBdr>
        <w:top w:val="none" w:sz="0" w:space="0" w:color="auto"/>
        <w:left w:val="none" w:sz="0" w:space="0" w:color="auto"/>
        <w:bottom w:val="none" w:sz="0" w:space="0" w:color="auto"/>
        <w:right w:val="none" w:sz="0" w:space="0" w:color="auto"/>
      </w:divBdr>
    </w:div>
    <w:div w:id="1017080427">
      <w:bodyDiv w:val="1"/>
      <w:marLeft w:val="0"/>
      <w:marRight w:val="0"/>
      <w:marTop w:val="0"/>
      <w:marBottom w:val="0"/>
      <w:divBdr>
        <w:top w:val="none" w:sz="0" w:space="0" w:color="auto"/>
        <w:left w:val="none" w:sz="0" w:space="0" w:color="auto"/>
        <w:bottom w:val="none" w:sz="0" w:space="0" w:color="auto"/>
        <w:right w:val="none" w:sz="0" w:space="0" w:color="auto"/>
      </w:divBdr>
    </w:div>
    <w:div w:id="1018240797">
      <w:bodyDiv w:val="1"/>
      <w:marLeft w:val="0"/>
      <w:marRight w:val="0"/>
      <w:marTop w:val="0"/>
      <w:marBottom w:val="0"/>
      <w:divBdr>
        <w:top w:val="none" w:sz="0" w:space="0" w:color="auto"/>
        <w:left w:val="none" w:sz="0" w:space="0" w:color="auto"/>
        <w:bottom w:val="none" w:sz="0" w:space="0" w:color="auto"/>
        <w:right w:val="none" w:sz="0" w:space="0" w:color="auto"/>
      </w:divBdr>
    </w:div>
    <w:div w:id="1020275102">
      <w:bodyDiv w:val="1"/>
      <w:marLeft w:val="0"/>
      <w:marRight w:val="0"/>
      <w:marTop w:val="0"/>
      <w:marBottom w:val="0"/>
      <w:divBdr>
        <w:top w:val="none" w:sz="0" w:space="0" w:color="auto"/>
        <w:left w:val="none" w:sz="0" w:space="0" w:color="auto"/>
        <w:bottom w:val="none" w:sz="0" w:space="0" w:color="auto"/>
        <w:right w:val="none" w:sz="0" w:space="0" w:color="auto"/>
      </w:divBdr>
    </w:div>
    <w:div w:id="1025522147">
      <w:bodyDiv w:val="1"/>
      <w:marLeft w:val="0"/>
      <w:marRight w:val="0"/>
      <w:marTop w:val="0"/>
      <w:marBottom w:val="0"/>
      <w:divBdr>
        <w:top w:val="none" w:sz="0" w:space="0" w:color="auto"/>
        <w:left w:val="none" w:sz="0" w:space="0" w:color="auto"/>
        <w:bottom w:val="none" w:sz="0" w:space="0" w:color="auto"/>
        <w:right w:val="none" w:sz="0" w:space="0" w:color="auto"/>
      </w:divBdr>
    </w:div>
    <w:div w:id="1029718064">
      <w:bodyDiv w:val="1"/>
      <w:marLeft w:val="0"/>
      <w:marRight w:val="0"/>
      <w:marTop w:val="0"/>
      <w:marBottom w:val="0"/>
      <w:divBdr>
        <w:top w:val="none" w:sz="0" w:space="0" w:color="auto"/>
        <w:left w:val="none" w:sz="0" w:space="0" w:color="auto"/>
        <w:bottom w:val="none" w:sz="0" w:space="0" w:color="auto"/>
        <w:right w:val="none" w:sz="0" w:space="0" w:color="auto"/>
      </w:divBdr>
    </w:div>
    <w:div w:id="1031684257">
      <w:bodyDiv w:val="1"/>
      <w:marLeft w:val="0"/>
      <w:marRight w:val="0"/>
      <w:marTop w:val="0"/>
      <w:marBottom w:val="0"/>
      <w:divBdr>
        <w:top w:val="none" w:sz="0" w:space="0" w:color="auto"/>
        <w:left w:val="none" w:sz="0" w:space="0" w:color="auto"/>
        <w:bottom w:val="none" w:sz="0" w:space="0" w:color="auto"/>
        <w:right w:val="none" w:sz="0" w:space="0" w:color="auto"/>
      </w:divBdr>
    </w:div>
    <w:div w:id="1032416173">
      <w:bodyDiv w:val="1"/>
      <w:marLeft w:val="0"/>
      <w:marRight w:val="0"/>
      <w:marTop w:val="0"/>
      <w:marBottom w:val="0"/>
      <w:divBdr>
        <w:top w:val="none" w:sz="0" w:space="0" w:color="auto"/>
        <w:left w:val="none" w:sz="0" w:space="0" w:color="auto"/>
        <w:bottom w:val="none" w:sz="0" w:space="0" w:color="auto"/>
        <w:right w:val="none" w:sz="0" w:space="0" w:color="auto"/>
      </w:divBdr>
    </w:div>
    <w:div w:id="1032924876">
      <w:bodyDiv w:val="1"/>
      <w:marLeft w:val="0"/>
      <w:marRight w:val="0"/>
      <w:marTop w:val="0"/>
      <w:marBottom w:val="0"/>
      <w:divBdr>
        <w:top w:val="none" w:sz="0" w:space="0" w:color="auto"/>
        <w:left w:val="none" w:sz="0" w:space="0" w:color="auto"/>
        <w:bottom w:val="none" w:sz="0" w:space="0" w:color="auto"/>
        <w:right w:val="none" w:sz="0" w:space="0" w:color="auto"/>
      </w:divBdr>
    </w:div>
    <w:div w:id="1036733833">
      <w:bodyDiv w:val="1"/>
      <w:marLeft w:val="0"/>
      <w:marRight w:val="0"/>
      <w:marTop w:val="0"/>
      <w:marBottom w:val="0"/>
      <w:divBdr>
        <w:top w:val="none" w:sz="0" w:space="0" w:color="auto"/>
        <w:left w:val="none" w:sz="0" w:space="0" w:color="auto"/>
        <w:bottom w:val="none" w:sz="0" w:space="0" w:color="auto"/>
        <w:right w:val="none" w:sz="0" w:space="0" w:color="auto"/>
      </w:divBdr>
    </w:div>
    <w:div w:id="1039159926">
      <w:bodyDiv w:val="1"/>
      <w:marLeft w:val="0"/>
      <w:marRight w:val="0"/>
      <w:marTop w:val="0"/>
      <w:marBottom w:val="0"/>
      <w:divBdr>
        <w:top w:val="none" w:sz="0" w:space="0" w:color="auto"/>
        <w:left w:val="none" w:sz="0" w:space="0" w:color="auto"/>
        <w:bottom w:val="none" w:sz="0" w:space="0" w:color="auto"/>
        <w:right w:val="none" w:sz="0" w:space="0" w:color="auto"/>
      </w:divBdr>
    </w:div>
    <w:div w:id="1039429023">
      <w:bodyDiv w:val="1"/>
      <w:marLeft w:val="0"/>
      <w:marRight w:val="0"/>
      <w:marTop w:val="0"/>
      <w:marBottom w:val="0"/>
      <w:divBdr>
        <w:top w:val="none" w:sz="0" w:space="0" w:color="auto"/>
        <w:left w:val="none" w:sz="0" w:space="0" w:color="auto"/>
        <w:bottom w:val="none" w:sz="0" w:space="0" w:color="auto"/>
        <w:right w:val="none" w:sz="0" w:space="0" w:color="auto"/>
      </w:divBdr>
    </w:div>
    <w:div w:id="1039629408">
      <w:bodyDiv w:val="1"/>
      <w:marLeft w:val="0"/>
      <w:marRight w:val="0"/>
      <w:marTop w:val="0"/>
      <w:marBottom w:val="0"/>
      <w:divBdr>
        <w:top w:val="none" w:sz="0" w:space="0" w:color="auto"/>
        <w:left w:val="none" w:sz="0" w:space="0" w:color="auto"/>
        <w:bottom w:val="none" w:sz="0" w:space="0" w:color="auto"/>
        <w:right w:val="none" w:sz="0" w:space="0" w:color="auto"/>
      </w:divBdr>
    </w:div>
    <w:div w:id="1039818727">
      <w:bodyDiv w:val="1"/>
      <w:marLeft w:val="0"/>
      <w:marRight w:val="0"/>
      <w:marTop w:val="0"/>
      <w:marBottom w:val="0"/>
      <w:divBdr>
        <w:top w:val="none" w:sz="0" w:space="0" w:color="auto"/>
        <w:left w:val="none" w:sz="0" w:space="0" w:color="auto"/>
        <w:bottom w:val="none" w:sz="0" w:space="0" w:color="auto"/>
        <w:right w:val="none" w:sz="0" w:space="0" w:color="auto"/>
      </w:divBdr>
    </w:div>
    <w:div w:id="1043795826">
      <w:bodyDiv w:val="1"/>
      <w:marLeft w:val="0"/>
      <w:marRight w:val="0"/>
      <w:marTop w:val="0"/>
      <w:marBottom w:val="0"/>
      <w:divBdr>
        <w:top w:val="none" w:sz="0" w:space="0" w:color="auto"/>
        <w:left w:val="none" w:sz="0" w:space="0" w:color="auto"/>
        <w:bottom w:val="none" w:sz="0" w:space="0" w:color="auto"/>
        <w:right w:val="none" w:sz="0" w:space="0" w:color="auto"/>
      </w:divBdr>
    </w:div>
    <w:div w:id="1044909002">
      <w:bodyDiv w:val="1"/>
      <w:marLeft w:val="0"/>
      <w:marRight w:val="0"/>
      <w:marTop w:val="0"/>
      <w:marBottom w:val="0"/>
      <w:divBdr>
        <w:top w:val="none" w:sz="0" w:space="0" w:color="auto"/>
        <w:left w:val="none" w:sz="0" w:space="0" w:color="auto"/>
        <w:bottom w:val="none" w:sz="0" w:space="0" w:color="auto"/>
        <w:right w:val="none" w:sz="0" w:space="0" w:color="auto"/>
      </w:divBdr>
    </w:div>
    <w:div w:id="1047797656">
      <w:bodyDiv w:val="1"/>
      <w:marLeft w:val="0"/>
      <w:marRight w:val="0"/>
      <w:marTop w:val="0"/>
      <w:marBottom w:val="0"/>
      <w:divBdr>
        <w:top w:val="none" w:sz="0" w:space="0" w:color="auto"/>
        <w:left w:val="none" w:sz="0" w:space="0" w:color="auto"/>
        <w:bottom w:val="none" w:sz="0" w:space="0" w:color="auto"/>
        <w:right w:val="none" w:sz="0" w:space="0" w:color="auto"/>
      </w:divBdr>
    </w:div>
    <w:div w:id="1048070606">
      <w:bodyDiv w:val="1"/>
      <w:marLeft w:val="0"/>
      <w:marRight w:val="0"/>
      <w:marTop w:val="0"/>
      <w:marBottom w:val="0"/>
      <w:divBdr>
        <w:top w:val="none" w:sz="0" w:space="0" w:color="auto"/>
        <w:left w:val="none" w:sz="0" w:space="0" w:color="auto"/>
        <w:bottom w:val="none" w:sz="0" w:space="0" w:color="auto"/>
        <w:right w:val="none" w:sz="0" w:space="0" w:color="auto"/>
      </w:divBdr>
    </w:div>
    <w:div w:id="1051617747">
      <w:bodyDiv w:val="1"/>
      <w:marLeft w:val="0"/>
      <w:marRight w:val="0"/>
      <w:marTop w:val="0"/>
      <w:marBottom w:val="0"/>
      <w:divBdr>
        <w:top w:val="none" w:sz="0" w:space="0" w:color="auto"/>
        <w:left w:val="none" w:sz="0" w:space="0" w:color="auto"/>
        <w:bottom w:val="none" w:sz="0" w:space="0" w:color="auto"/>
        <w:right w:val="none" w:sz="0" w:space="0" w:color="auto"/>
      </w:divBdr>
    </w:div>
    <w:div w:id="1052388434">
      <w:bodyDiv w:val="1"/>
      <w:marLeft w:val="0"/>
      <w:marRight w:val="0"/>
      <w:marTop w:val="0"/>
      <w:marBottom w:val="0"/>
      <w:divBdr>
        <w:top w:val="none" w:sz="0" w:space="0" w:color="auto"/>
        <w:left w:val="none" w:sz="0" w:space="0" w:color="auto"/>
        <w:bottom w:val="none" w:sz="0" w:space="0" w:color="auto"/>
        <w:right w:val="none" w:sz="0" w:space="0" w:color="auto"/>
      </w:divBdr>
    </w:div>
    <w:div w:id="1053038405">
      <w:bodyDiv w:val="1"/>
      <w:marLeft w:val="0"/>
      <w:marRight w:val="0"/>
      <w:marTop w:val="0"/>
      <w:marBottom w:val="0"/>
      <w:divBdr>
        <w:top w:val="none" w:sz="0" w:space="0" w:color="auto"/>
        <w:left w:val="none" w:sz="0" w:space="0" w:color="auto"/>
        <w:bottom w:val="none" w:sz="0" w:space="0" w:color="auto"/>
        <w:right w:val="none" w:sz="0" w:space="0" w:color="auto"/>
      </w:divBdr>
    </w:div>
    <w:div w:id="1055011588">
      <w:bodyDiv w:val="1"/>
      <w:marLeft w:val="0"/>
      <w:marRight w:val="0"/>
      <w:marTop w:val="0"/>
      <w:marBottom w:val="0"/>
      <w:divBdr>
        <w:top w:val="none" w:sz="0" w:space="0" w:color="auto"/>
        <w:left w:val="none" w:sz="0" w:space="0" w:color="auto"/>
        <w:bottom w:val="none" w:sz="0" w:space="0" w:color="auto"/>
        <w:right w:val="none" w:sz="0" w:space="0" w:color="auto"/>
      </w:divBdr>
    </w:div>
    <w:div w:id="1055740058">
      <w:bodyDiv w:val="1"/>
      <w:marLeft w:val="0"/>
      <w:marRight w:val="0"/>
      <w:marTop w:val="0"/>
      <w:marBottom w:val="0"/>
      <w:divBdr>
        <w:top w:val="none" w:sz="0" w:space="0" w:color="auto"/>
        <w:left w:val="none" w:sz="0" w:space="0" w:color="auto"/>
        <w:bottom w:val="none" w:sz="0" w:space="0" w:color="auto"/>
        <w:right w:val="none" w:sz="0" w:space="0" w:color="auto"/>
      </w:divBdr>
    </w:div>
    <w:div w:id="1056513404">
      <w:bodyDiv w:val="1"/>
      <w:marLeft w:val="0"/>
      <w:marRight w:val="0"/>
      <w:marTop w:val="0"/>
      <w:marBottom w:val="0"/>
      <w:divBdr>
        <w:top w:val="none" w:sz="0" w:space="0" w:color="auto"/>
        <w:left w:val="none" w:sz="0" w:space="0" w:color="auto"/>
        <w:bottom w:val="none" w:sz="0" w:space="0" w:color="auto"/>
        <w:right w:val="none" w:sz="0" w:space="0" w:color="auto"/>
      </w:divBdr>
    </w:div>
    <w:div w:id="1056704811">
      <w:bodyDiv w:val="1"/>
      <w:marLeft w:val="0"/>
      <w:marRight w:val="0"/>
      <w:marTop w:val="0"/>
      <w:marBottom w:val="0"/>
      <w:divBdr>
        <w:top w:val="none" w:sz="0" w:space="0" w:color="auto"/>
        <w:left w:val="none" w:sz="0" w:space="0" w:color="auto"/>
        <w:bottom w:val="none" w:sz="0" w:space="0" w:color="auto"/>
        <w:right w:val="none" w:sz="0" w:space="0" w:color="auto"/>
      </w:divBdr>
    </w:div>
    <w:div w:id="1063410035">
      <w:bodyDiv w:val="1"/>
      <w:marLeft w:val="0"/>
      <w:marRight w:val="0"/>
      <w:marTop w:val="0"/>
      <w:marBottom w:val="0"/>
      <w:divBdr>
        <w:top w:val="none" w:sz="0" w:space="0" w:color="auto"/>
        <w:left w:val="none" w:sz="0" w:space="0" w:color="auto"/>
        <w:bottom w:val="none" w:sz="0" w:space="0" w:color="auto"/>
        <w:right w:val="none" w:sz="0" w:space="0" w:color="auto"/>
      </w:divBdr>
    </w:div>
    <w:div w:id="1064766297">
      <w:bodyDiv w:val="1"/>
      <w:marLeft w:val="0"/>
      <w:marRight w:val="0"/>
      <w:marTop w:val="0"/>
      <w:marBottom w:val="0"/>
      <w:divBdr>
        <w:top w:val="none" w:sz="0" w:space="0" w:color="auto"/>
        <w:left w:val="none" w:sz="0" w:space="0" w:color="auto"/>
        <w:bottom w:val="none" w:sz="0" w:space="0" w:color="auto"/>
        <w:right w:val="none" w:sz="0" w:space="0" w:color="auto"/>
      </w:divBdr>
    </w:div>
    <w:div w:id="1067143409">
      <w:bodyDiv w:val="1"/>
      <w:marLeft w:val="0"/>
      <w:marRight w:val="0"/>
      <w:marTop w:val="0"/>
      <w:marBottom w:val="0"/>
      <w:divBdr>
        <w:top w:val="none" w:sz="0" w:space="0" w:color="auto"/>
        <w:left w:val="none" w:sz="0" w:space="0" w:color="auto"/>
        <w:bottom w:val="none" w:sz="0" w:space="0" w:color="auto"/>
        <w:right w:val="none" w:sz="0" w:space="0" w:color="auto"/>
      </w:divBdr>
    </w:div>
    <w:div w:id="1069890703">
      <w:bodyDiv w:val="1"/>
      <w:marLeft w:val="0"/>
      <w:marRight w:val="0"/>
      <w:marTop w:val="0"/>
      <w:marBottom w:val="0"/>
      <w:divBdr>
        <w:top w:val="none" w:sz="0" w:space="0" w:color="auto"/>
        <w:left w:val="none" w:sz="0" w:space="0" w:color="auto"/>
        <w:bottom w:val="none" w:sz="0" w:space="0" w:color="auto"/>
        <w:right w:val="none" w:sz="0" w:space="0" w:color="auto"/>
      </w:divBdr>
    </w:div>
    <w:div w:id="1070544412">
      <w:bodyDiv w:val="1"/>
      <w:marLeft w:val="0"/>
      <w:marRight w:val="0"/>
      <w:marTop w:val="0"/>
      <w:marBottom w:val="0"/>
      <w:divBdr>
        <w:top w:val="none" w:sz="0" w:space="0" w:color="auto"/>
        <w:left w:val="none" w:sz="0" w:space="0" w:color="auto"/>
        <w:bottom w:val="none" w:sz="0" w:space="0" w:color="auto"/>
        <w:right w:val="none" w:sz="0" w:space="0" w:color="auto"/>
      </w:divBdr>
    </w:div>
    <w:div w:id="1071073636">
      <w:bodyDiv w:val="1"/>
      <w:marLeft w:val="0"/>
      <w:marRight w:val="0"/>
      <w:marTop w:val="0"/>
      <w:marBottom w:val="0"/>
      <w:divBdr>
        <w:top w:val="none" w:sz="0" w:space="0" w:color="auto"/>
        <w:left w:val="none" w:sz="0" w:space="0" w:color="auto"/>
        <w:bottom w:val="none" w:sz="0" w:space="0" w:color="auto"/>
        <w:right w:val="none" w:sz="0" w:space="0" w:color="auto"/>
      </w:divBdr>
    </w:div>
    <w:div w:id="1071583305">
      <w:bodyDiv w:val="1"/>
      <w:marLeft w:val="0"/>
      <w:marRight w:val="0"/>
      <w:marTop w:val="0"/>
      <w:marBottom w:val="0"/>
      <w:divBdr>
        <w:top w:val="none" w:sz="0" w:space="0" w:color="auto"/>
        <w:left w:val="none" w:sz="0" w:space="0" w:color="auto"/>
        <w:bottom w:val="none" w:sz="0" w:space="0" w:color="auto"/>
        <w:right w:val="none" w:sz="0" w:space="0" w:color="auto"/>
      </w:divBdr>
    </w:div>
    <w:div w:id="1071999337">
      <w:bodyDiv w:val="1"/>
      <w:marLeft w:val="0"/>
      <w:marRight w:val="0"/>
      <w:marTop w:val="0"/>
      <w:marBottom w:val="0"/>
      <w:divBdr>
        <w:top w:val="none" w:sz="0" w:space="0" w:color="auto"/>
        <w:left w:val="none" w:sz="0" w:space="0" w:color="auto"/>
        <w:bottom w:val="none" w:sz="0" w:space="0" w:color="auto"/>
        <w:right w:val="none" w:sz="0" w:space="0" w:color="auto"/>
      </w:divBdr>
    </w:div>
    <w:div w:id="1073116961">
      <w:bodyDiv w:val="1"/>
      <w:marLeft w:val="0"/>
      <w:marRight w:val="0"/>
      <w:marTop w:val="0"/>
      <w:marBottom w:val="0"/>
      <w:divBdr>
        <w:top w:val="none" w:sz="0" w:space="0" w:color="auto"/>
        <w:left w:val="none" w:sz="0" w:space="0" w:color="auto"/>
        <w:bottom w:val="none" w:sz="0" w:space="0" w:color="auto"/>
        <w:right w:val="none" w:sz="0" w:space="0" w:color="auto"/>
      </w:divBdr>
    </w:div>
    <w:div w:id="1073968003">
      <w:bodyDiv w:val="1"/>
      <w:marLeft w:val="0"/>
      <w:marRight w:val="0"/>
      <w:marTop w:val="0"/>
      <w:marBottom w:val="0"/>
      <w:divBdr>
        <w:top w:val="none" w:sz="0" w:space="0" w:color="auto"/>
        <w:left w:val="none" w:sz="0" w:space="0" w:color="auto"/>
        <w:bottom w:val="none" w:sz="0" w:space="0" w:color="auto"/>
        <w:right w:val="none" w:sz="0" w:space="0" w:color="auto"/>
      </w:divBdr>
    </w:div>
    <w:div w:id="1075519333">
      <w:bodyDiv w:val="1"/>
      <w:marLeft w:val="0"/>
      <w:marRight w:val="0"/>
      <w:marTop w:val="0"/>
      <w:marBottom w:val="0"/>
      <w:divBdr>
        <w:top w:val="none" w:sz="0" w:space="0" w:color="auto"/>
        <w:left w:val="none" w:sz="0" w:space="0" w:color="auto"/>
        <w:bottom w:val="none" w:sz="0" w:space="0" w:color="auto"/>
        <w:right w:val="none" w:sz="0" w:space="0" w:color="auto"/>
      </w:divBdr>
    </w:div>
    <w:div w:id="1075786202">
      <w:bodyDiv w:val="1"/>
      <w:marLeft w:val="0"/>
      <w:marRight w:val="0"/>
      <w:marTop w:val="0"/>
      <w:marBottom w:val="0"/>
      <w:divBdr>
        <w:top w:val="none" w:sz="0" w:space="0" w:color="auto"/>
        <w:left w:val="none" w:sz="0" w:space="0" w:color="auto"/>
        <w:bottom w:val="none" w:sz="0" w:space="0" w:color="auto"/>
        <w:right w:val="none" w:sz="0" w:space="0" w:color="auto"/>
      </w:divBdr>
    </w:div>
    <w:div w:id="1077442675">
      <w:bodyDiv w:val="1"/>
      <w:marLeft w:val="0"/>
      <w:marRight w:val="0"/>
      <w:marTop w:val="0"/>
      <w:marBottom w:val="0"/>
      <w:divBdr>
        <w:top w:val="none" w:sz="0" w:space="0" w:color="auto"/>
        <w:left w:val="none" w:sz="0" w:space="0" w:color="auto"/>
        <w:bottom w:val="none" w:sz="0" w:space="0" w:color="auto"/>
        <w:right w:val="none" w:sz="0" w:space="0" w:color="auto"/>
      </w:divBdr>
    </w:div>
    <w:div w:id="1079255550">
      <w:bodyDiv w:val="1"/>
      <w:marLeft w:val="0"/>
      <w:marRight w:val="0"/>
      <w:marTop w:val="0"/>
      <w:marBottom w:val="0"/>
      <w:divBdr>
        <w:top w:val="none" w:sz="0" w:space="0" w:color="auto"/>
        <w:left w:val="none" w:sz="0" w:space="0" w:color="auto"/>
        <w:bottom w:val="none" w:sz="0" w:space="0" w:color="auto"/>
        <w:right w:val="none" w:sz="0" w:space="0" w:color="auto"/>
      </w:divBdr>
    </w:div>
    <w:div w:id="1081411859">
      <w:bodyDiv w:val="1"/>
      <w:marLeft w:val="0"/>
      <w:marRight w:val="0"/>
      <w:marTop w:val="0"/>
      <w:marBottom w:val="0"/>
      <w:divBdr>
        <w:top w:val="none" w:sz="0" w:space="0" w:color="auto"/>
        <w:left w:val="none" w:sz="0" w:space="0" w:color="auto"/>
        <w:bottom w:val="none" w:sz="0" w:space="0" w:color="auto"/>
        <w:right w:val="none" w:sz="0" w:space="0" w:color="auto"/>
      </w:divBdr>
    </w:div>
    <w:div w:id="1081490357">
      <w:bodyDiv w:val="1"/>
      <w:marLeft w:val="0"/>
      <w:marRight w:val="0"/>
      <w:marTop w:val="0"/>
      <w:marBottom w:val="0"/>
      <w:divBdr>
        <w:top w:val="none" w:sz="0" w:space="0" w:color="auto"/>
        <w:left w:val="none" w:sz="0" w:space="0" w:color="auto"/>
        <w:bottom w:val="none" w:sz="0" w:space="0" w:color="auto"/>
        <w:right w:val="none" w:sz="0" w:space="0" w:color="auto"/>
      </w:divBdr>
    </w:div>
    <w:div w:id="1081678700">
      <w:bodyDiv w:val="1"/>
      <w:marLeft w:val="0"/>
      <w:marRight w:val="0"/>
      <w:marTop w:val="0"/>
      <w:marBottom w:val="0"/>
      <w:divBdr>
        <w:top w:val="none" w:sz="0" w:space="0" w:color="auto"/>
        <w:left w:val="none" w:sz="0" w:space="0" w:color="auto"/>
        <w:bottom w:val="none" w:sz="0" w:space="0" w:color="auto"/>
        <w:right w:val="none" w:sz="0" w:space="0" w:color="auto"/>
      </w:divBdr>
    </w:div>
    <w:div w:id="1082601507">
      <w:bodyDiv w:val="1"/>
      <w:marLeft w:val="0"/>
      <w:marRight w:val="0"/>
      <w:marTop w:val="0"/>
      <w:marBottom w:val="0"/>
      <w:divBdr>
        <w:top w:val="none" w:sz="0" w:space="0" w:color="auto"/>
        <w:left w:val="none" w:sz="0" w:space="0" w:color="auto"/>
        <w:bottom w:val="none" w:sz="0" w:space="0" w:color="auto"/>
        <w:right w:val="none" w:sz="0" w:space="0" w:color="auto"/>
      </w:divBdr>
    </w:div>
    <w:div w:id="1087774011">
      <w:bodyDiv w:val="1"/>
      <w:marLeft w:val="0"/>
      <w:marRight w:val="0"/>
      <w:marTop w:val="0"/>
      <w:marBottom w:val="0"/>
      <w:divBdr>
        <w:top w:val="none" w:sz="0" w:space="0" w:color="auto"/>
        <w:left w:val="none" w:sz="0" w:space="0" w:color="auto"/>
        <w:bottom w:val="none" w:sz="0" w:space="0" w:color="auto"/>
        <w:right w:val="none" w:sz="0" w:space="0" w:color="auto"/>
      </w:divBdr>
    </w:div>
    <w:div w:id="1087967831">
      <w:bodyDiv w:val="1"/>
      <w:marLeft w:val="0"/>
      <w:marRight w:val="0"/>
      <w:marTop w:val="0"/>
      <w:marBottom w:val="0"/>
      <w:divBdr>
        <w:top w:val="none" w:sz="0" w:space="0" w:color="auto"/>
        <w:left w:val="none" w:sz="0" w:space="0" w:color="auto"/>
        <w:bottom w:val="none" w:sz="0" w:space="0" w:color="auto"/>
        <w:right w:val="none" w:sz="0" w:space="0" w:color="auto"/>
      </w:divBdr>
    </w:div>
    <w:div w:id="1089813057">
      <w:bodyDiv w:val="1"/>
      <w:marLeft w:val="0"/>
      <w:marRight w:val="0"/>
      <w:marTop w:val="0"/>
      <w:marBottom w:val="0"/>
      <w:divBdr>
        <w:top w:val="none" w:sz="0" w:space="0" w:color="auto"/>
        <w:left w:val="none" w:sz="0" w:space="0" w:color="auto"/>
        <w:bottom w:val="none" w:sz="0" w:space="0" w:color="auto"/>
        <w:right w:val="none" w:sz="0" w:space="0" w:color="auto"/>
      </w:divBdr>
    </w:div>
    <w:div w:id="1090007151">
      <w:bodyDiv w:val="1"/>
      <w:marLeft w:val="0"/>
      <w:marRight w:val="0"/>
      <w:marTop w:val="0"/>
      <w:marBottom w:val="0"/>
      <w:divBdr>
        <w:top w:val="none" w:sz="0" w:space="0" w:color="auto"/>
        <w:left w:val="none" w:sz="0" w:space="0" w:color="auto"/>
        <w:bottom w:val="none" w:sz="0" w:space="0" w:color="auto"/>
        <w:right w:val="none" w:sz="0" w:space="0" w:color="auto"/>
      </w:divBdr>
    </w:div>
    <w:div w:id="1091314473">
      <w:bodyDiv w:val="1"/>
      <w:marLeft w:val="0"/>
      <w:marRight w:val="0"/>
      <w:marTop w:val="0"/>
      <w:marBottom w:val="0"/>
      <w:divBdr>
        <w:top w:val="none" w:sz="0" w:space="0" w:color="auto"/>
        <w:left w:val="none" w:sz="0" w:space="0" w:color="auto"/>
        <w:bottom w:val="none" w:sz="0" w:space="0" w:color="auto"/>
        <w:right w:val="none" w:sz="0" w:space="0" w:color="auto"/>
      </w:divBdr>
    </w:div>
    <w:div w:id="1093478799">
      <w:bodyDiv w:val="1"/>
      <w:marLeft w:val="0"/>
      <w:marRight w:val="0"/>
      <w:marTop w:val="0"/>
      <w:marBottom w:val="0"/>
      <w:divBdr>
        <w:top w:val="none" w:sz="0" w:space="0" w:color="auto"/>
        <w:left w:val="none" w:sz="0" w:space="0" w:color="auto"/>
        <w:bottom w:val="none" w:sz="0" w:space="0" w:color="auto"/>
        <w:right w:val="none" w:sz="0" w:space="0" w:color="auto"/>
      </w:divBdr>
    </w:div>
    <w:div w:id="1095172551">
      <w:bodyDiv w:val="1"/>
      <w:marLeft w:val="0"/>
      <w:marRight w:val="0"/>
      <w:marTop w:val="0"/>
      <w:marBottom w:val="0"/>
      <w:divBdr>
        <w:top w:val="none" w:sz="0" w:space="0" w:color="auto"/>
        <w:left w:val="none" w:sz="0" w:space="0" w:color="auto"/>
        <w:bottom w:val="none" w:sz="0" w:space="0" w:color="auto"/>
        <w:right w:val="none" w:sz="0" w:space="0" w:color="auto"/>
      </w:divBdr>
    </w:div>
    <w:div w:id="1097142318">
      <w:bodyDiv w:val="1"/>
      <w:marLeft w:val="0"/>
      <w:marRight w:val="0"/>
      <w:marTop w:val="0"/>
      <w:marBottom w:val="0"/>
      <w:divBdr>
        <w:top w:val="none" w:sz="0" w:space="0" w:color="auto"/>
        <w:left w:val="none" w:sz="0" w:space="0" w:color="auto"/>
        <w:bottom w:val="none" w:sz="0" w:space="0" w:color="auto"/>
        <w:right w:val="none" w:sz="0" w:space="0" w:color="auto"/>
      </w:divBdr>
    </w:div>
    <w:div w:id="1100640695">
      <w:bodyDiv w:val="1"/>
      <w:marLeft w:val="0"/>
      <w:marRight w:val="0"/>
      <w:marTop w:val="0"/>
      <w:marBottom w:val="0"/>
      <w:divBdr>
        <w:top w:val="none" w:sz="0" w:space="0" w:color="auto"/>
        <w:left w:val="none" w:sz="0" w:space="0" w:color="auto"/>
        <w:bottom w:val="none" w:sz="0" w:space="0" w:color="auto"/>
        <w:right w:val="none" w:sz="0" w:space="0" w:color="auto"/>
      </w:divBdr>
    </w:div>
    <w:div w:id="1101071269">
      <w:bodyDiv w:val="1"/>
      <w:marLeft w:val="0"/>
      <w:marRight w:val="0"/>
      <w:marTop w:val="0"/>
      <w:marBottom w:val="0"/>
      <w:divBdr>
        <w:top w:val="none" w:sz="0" w:space="0" w:color="auto"/>
        <w:left w:val="none" w:sz="0" w:space="0" w:color="auto"/>
        <w:bottom w:val="none" w:sz="0" w:space="0" w:color="auto"/>
        <w:right w:val="none" w:sz="0" w:space="0" w:color="auto"/>
      </w:divBdr>
    </w:div>
    <w:div w:id="1101294943">
      <w:bodyDiv w:val="1"/>
      <w:marLeft w:val="0"/>
      <w:marRight w:val="0"/>
      <w:marTop w:val="0"/>
      <w:marBottom w:val="0"/>
      <w:divBdr>
        <w:top w:val="none" w:sz="0" w:space="0" w:color="auto"/>
        <w:left w:val="none" w:sz="0" w:space="0" w:color="auto"/>
        <w:bottom w:val="none" w:sz="0" w:space="0" w:color="auto"/>
        <w:right w:val="none" w:sz="0" w:space="0" w:color="auto"/>
      </w:divBdr>
    </w:div>
    <w:div w:id="1101800248">
      <w:bodyDiv w:val="1"/>
      <w:marLeft w:val="0"/>
      <w:marRight w:val="0"/>
      <w:marTop w:val="0"/>
      <w:marBottom w:val="0"/>
      <w:divBdr>
        <w:top w:val="none" w:sz="0" w:space="0" w:color="auto"/>
        <w:left w:val="none" w:sz="0" w:space="0" w:color="auto"/>
        <w:bottom w:val="none" w:sz="0" w:space="0" w:color="auto"/>
        <w:right w:val="none" w:sz="0" w:space="0" w:color="auto"/>
      </w:divBdr>
    </w:div>
    <w:div w:id="1101947738">
      <w:bodyDiv w:val="1"/>
      <w:marLeft w:val="0"/>
      <w:marRight w:val="0"/>
      <w:marTop w:val="0"/>
      <w:marBottom w:val="0"/>
      <w:divBdr>
        <w:top w:val="none" w:sz="0" w:space="0" w:color="auto"/>
        <w:left w:val="none" w:sz="0" w:space="0" w:color="auto"/>
        <w:bottom w:val="none" w:sz="0" w:space="0" w:color="auto"/>
        <w:right w:val="none" w:sz="0" w:space="0" w:color="auto"/>
      </w:divBdr>
    </w:div>
    <w:div w:id="1103186785">
      <w:bodyDiv w:val="1"/>
      <w:marLeft w:val="0"/>
      <w:marRight w:val="0"/>
      <w:marTop w:val="0"/>
      <w:marBottom w:val="0"/>
      <w:divBdr>
        <w:top w:val="none" w:sz="0" w:space="0" w:color="auto"/>
        <w:left w:val="none" w:sz="0" w:space="0" w:color="auto"/>
        <w:bottom w:val="none" w:sz="0" w:space="0" w:color="auto"/>
        <w:right w:val="none" w:sz="0" w:space="0" w:color="auto"/>
      </w:divBdr>
    </w:div>
    <w:div w:id="1105226733">
      <w:bodyDiv w:val="1"/>
      <w:marLeft w:val="0"/>
      <w:marRight w:val="0"/>
      <w:marTop w:val="0"/>
      <w:marBottom w:val="0"/>
      <w:divBdr>
        <w:top w:val="none" w:sz="0" w:space="0" w:color="auto"/>
        <w:left w:val="none" w:sz="0" w:space="0" w:color="auto"/>
        <w:bottom w:val="none" w:sz="0" w:space="0" w:color="auto"/>
        <w:right w:val="none" w:sz="0" w:space="0" w:color="auto"/>
      </w:divBdr>
    </w:div>
    <w:div w:id="1109279219">
      <w:bodyDiv w:val="1"/>
      <w:marLeft w:val="0"/>
      <w:marRight w:val="0"/>
      <w:marTop w:val="0"/>
      <w:marBottom w:val="0"/>
      <w:divBdr>
        <w:top w:val="none" w:sz="0" w:space="0" w:color="auto"/>
        <w:left w:val="none" w:sz="0" w:space="0" w:color="auto"/>
        <w:bottom w:val="none" w:sz="0" w:space="0" w:color="auto"/>
        <w:right w:val="none" w:sz="0" w:space="0" w:color="auto"/>
      </w:divBdr>
    </w:div>
    <w:div w:id="1114209242">
      <w:bodyDiv w:val="1"/>
      <w:marLeft w:val="0"/>
      <w:marRight w:val="0"/>
      <w:marTop w:val="0"/>
      <w:marBottom w:val="0"/>
      <w:divBdr>
        <w:top w:val="none" w:sz="0" w:space="0" w:color="auto"/>
        <w:left w:val="none" w:sz="0" w:space="0" w:color="auto"/>
        <w:bottom w:val="none" w:sz="0" w:space="0" w:color="auto"/>
        <w:right w:val="none" w:sz="0" w:space="0" w:color="auto"/>
      </w:divBdr>
    </w:div>
    <w:div w:id="1114327797">
      <w:bodyDiv w:val="1"/>
      <w:marLeft w:val="0"/>
      <w:marRight w:val="0"/>
      <w:marTop w:val="0"/>
      <w:marBottom w:val="0"/>
      <w:divBdr>
        <w:top w:val="none" w:sz="0" w:space="0" w:color="auto"/>
        <w:left w:val="none" w:sz="0" w:space="0" w:color="auto"/>
        <w:bottom w:val="none" w:sz="0" w:space="0" w:color="auto"/>
        <w:right w:val="none" w:sz="0" w:space="0" w:color="auto"/>
      </w:divBdr>
    </w:div>
    <w:div w:id="1115101787">
      <w:bodyDiv w:val="1"/>
      <w:marLeft w:val="0"/>
      <w:marRight w:val="0"/>
      <w:marTop w:val="0"/>
      <w:marBottom w:val="0"/>
      <w:divBdr>
        <w:top w:val="none" w:sz="0" w:space="0" w:color="auto"/>
        <w:left w:val="none" w:sz="0" w:space="0" w:color="auto"/>
        <w:bottom w:val="none" w:sz="0" w:space="0" w:color="auto"/>
        <w:right w:val="none" w:sz="0" w:space="0" w:color="auto"/>
      </w:divBdr>
    </w:div>
    <w:div w:id="1117408313">
      <w:bodyDiv w:val="1"/>
      <w:marLeft w:val="0"/>
      <w:marRight w:val="0"/>
      <w:marTop w:val="0"/>
      <w:marBottom w:val="0"/>
      <w:divBdr>
        <w:top w:val="none" w:sz="0" w:space="0" w:color="auto"/>
        <w:left w:val="none" w:sz="0" w:space="0" w:color="auto"/>
        <w:bottom w:val="none" w:sz="0" w:space="0" w:color="auto"/>
        <w:right w:val="none" w:sz="0" w:space="0" w:color="auto"/>
      </w:divBdr>
    </w:div>
    <w:div w:id="1117993067">
      <w:bodyDiv w:val="1"/>
      <w:marLeft w:val="0"/>
      <w:marRight w:val="0"/>
      <w:marTop w:val="0"/>
      <w:marBottom w:val="0"/>
      <w:divBdr>
        <w:top w:val="none" w:sz="0" w:space="0" w:color="auto"/>
        <w:left w:val="none" w:sz="0" w:space="0" w:color="auto"/>
        <w:bottom w:val="none" w:sz="0" w:space="0" w:color="auto"/>
        <w:right w:val="none" w:sz="0" w:space="0" w:color="auto"/>
      </w:divBdr>
    </w:div>
    <w:div w:id="1118337932">
      <w:bodyDiv w:val="1"/>
      <w:marLeft w:val="0"/>
      <w:marRight w:val="0"/>
      <w:marTop w:val="0"/>
      <w:marBottom w:val="0"/>
      <w:divBdr>
        <w:top w:val="none" w:sz="0" w:space="0" w:color="auto"/>
        <w:left w:val="none" w:sz="0" w:space="0" w:color="auto"/>
        <w:bottom w:val="none" w:sz="0" w:space="0" w:color="auto"/>
        <w:right w:val="none" w:sz="0" w:space="0" w:color="auto"/>
      </w:divBdr>
    </w:div>
    <w:div w:id="1118916809">
      <w:bodyDiv w:val="1"/>
      <w:marLeft w:val="0"/>
      <w:marRight w:val="0"/>
      <w:marTop w:val="0"/>
      <w:marBottom w:val="0"/>
      <w:divBdr>
        <w:top w:val="none" w:sz="0" w:space="0" w:color="auto"/>
        <w:left w:val="none" w:sz="0" w:space="0" w:color="auto"/>
        <w:bottom w:val="none" w:sz="0" w:space="0" w:color="auto"/>
        <w:right w:val="none" w:sz="0" w:space="0" w:color="auto"/>
      </w:divBdr>
    </w:div>
    <w:div w:id="1119959834">
      <w:bodyDiv w:val="1"/>
      <w:marLeft w:val="0"/>
      <w:marRight w:val="0"/>
      <w:marTop w:val="0"/>
      <w:marBottom w:val="0"/>
      <w:divBdr>
        <w:top w:val="none" w:sz="0" w:space="0" w:color="auto"/>
        <w:left w:val="none" w:sz="0" w:space="0" w:color="auto"/>
        <w:bottom w:val="none" w:sz="0" w:space="0" w:color="auto"/>
        <w:right w:val="none" w:sz="0" w:space="0" w:color="auto"/>
      </w:divBdr>
    </w:div>
    <w:div w:id="1123110955">
      <w:bodyDiv w:val="1"/>
      <w:marLeft w:val="0"/>
      <w:marRight w:val="0"/>
      <w:marTop w:val="0"/>
      <w:marBottom w:val="0"/>
      <w:divBdr>
        <w:top w:val="none" w:sz="0" w:space="0" w:color="auto"/>
        <w:left w:val="none" w:sz="0" w:space="0" w:color="auto"/>
        <w:bottom w:val="none" w:sz="0" w:space="0" w:color="auto"/>
        <w:right w:val="none" w:sz="0" w:space="0" w:color="auto"/>
      </w:divBdr>
    </w:div>
    <w:div w:id="1123499916">
      <w:bodyDiv w:val="1"/>
      <w:marLeft w:val="0"/>
      <w:marRight w:val="0"/>
      <w:marTop w:val="0"/>
      <w:marBottom w:val="0"/>
      <w:divBdr>
        <w:top w:val="none" w:sz="0" w:space="0" w:color="auto"/>
        <w:left w:val="none" w:sz="0" w:space="0" w:color="auto"/>
        <w:bottom w:val="none" w:sz="0" w:space="0" w:color="auto"/>
        <w:right w:val="none" w:sz="0" w:space="0" w:color="auto"/>
      </w:divBdr>
    </w:div>
    <w:div w:id="1123615936">
      <w:bodyDiv w:val="1"/>
      <w:marLeft w:val="0"/>
      <w:marRight w:val="0"/>
      <w:marTop w:val="0"/>
      <w:marBottom w:val="0"/>
      <w:divBdr>
        <w:top w:val="none" w:sz="0" w:space="0" w:color="auto"/>
        <w:left w:val="none" w:sz="0" w:space="0" w:color="auto"/>
        <w:bottom w:val="none" w:sz="0" w:space="0" w:color="auto"/>
        <w:right w:val="none" w:sz="0" w:space="0" w:color="auto"/>
      </w:divBdr>
    </w:div>
    <w:div w:id="1124422970">
      <w:bodyDiv w:val="1"/>
      <w:marLeft w:val="0"/>
      <w:marRight w:val="0"/>
      <w:marTop w:val="0"/>
      <w:marBottom w:val="0"/>
      <w:divBdr>
        <w:top w:val="none" w:sz="0" w:space="0" w:color="auto"/>
        <w:left w:val="none" w:sz="0" w:space="0" w:color="auto"/>
        <w:bottom w:val="none" w:sz="0" w:space="0" w:color="auto"/>
        <w:right w:val="none" w:sz="0" w:space="0" w:color="auto"/>
      </w:divBdr>
    </w:div>
    <w:div w:id="1124690557">
      <w:bodyDiv w:val="1"/>
      <w:marLeft w:val="0"/>
      <w:marRight w:val="0"/>
      <w:marTop w:val="0"/>
      <w:marBottom w:val="0"/>
      <w:divBdr>
        <w:top w:val="none" w:sz="0" w:space="0" w:color="auto"/>
        <w:left w:val="none" w:sz="0" w:space="0" w:color="auto"/>
        <w:bottom w:val="none" w:sz="0" w:space="0" w:color="auto"/>
        <w:right w:val="none" w:sz="0" w:space="0" w:color="auto"/>
      </w:divBdr>
    </w:div>
    <w:div w:id="1124732532">
      <w:bodyDiv w:val="1"/>
      <w:marLeft w:val="0"/>
      <w:marRight w:val="0"/>
      <w:marTop w:val="0"/>
      <w:marBottom w:val="0"/>
      <w:divBdr>
        <w:top w:val="none" w:sz="0" w:space="0" w:color="auto"/>
        <w:left w:val="none" w:sz="0" w:space="0" w:color="auto"/>
        <w:bottom w:val="none" w:sz="0" w:space="0" w:color="auto"/>
        <w:right w:val="none" w:sz="0" w:space="0" w:color="auto"/>
      </w:divBdr>
    </w:div>
    <w:div w:id="1125077550">
      <w:bodyDiv w:val="1"/>
      <w:marLeft w:val="0"/>
      <w:marRight w:val="0"/>
      <w:marTop w:val="0"/>
      <w:marBottom w:val="0"/>
      <w:divBdr>
        <w:top w:val="none" w:sz="0" w:space="0" w:color="auto"/>
        <w:left w:val="none" w:sz="0" w:space="0" w:color="auto"/>
        <w:bottom w:val="none" w:sz="0" w:space="0" w:color="auto"/>
        <w:right w:val="none" w:sz="0" w:space="0" w:color="auto"/>
      </w:divBdr>
    </w:div>
    <w:div w:id="1125153894">
      <w:bodyDiv w:val="1"/>
      <w:marLeft w:val="0"/>
      <w:marRight w:val="0"/>
      <w:marTop w:val="0"/>
      <w:marBottom w:val="0"/>
      <w:divBdr>
        <w:top w:val="none" w:sz="0" w:space="0" w:color="auto"/>
        <w:left w:val="none" w:sz="0" w:space="0" w:color="auto"/>
        <w:bottom w:val="none" w:sz="0" w:space="0" w:color="auto"/>
        <w:right w:val="none" w:sz="0" w:space="0" w:color="auto"/>
      </w:divBdr>
    </w:div>
    <w:div w:id="1125275655">
      <w:bodyDiv w:val="1"/>
      <w:marLeft w:val="0"/>
      <w:marRight w:val="0"/>
      <w:marTop w:val="0"/>
      <w:marBottom w:val="0"/>
      <w:divBdr>
        <w:top w:val="none" w:sz="0" w:space="0" w:color="auto"/>
        <w:left w:val="none" w:sz="0" w:space="0" w:color="auto"/>
        <w:bottom w:val="none" w:sz="0" w:space="0" w:color="auto"/>
        <w:right w:val="none" w:sz="0" w:space="0" w:color="auto"/>
      </w:divBdr>
    </w:div>
    <w:div w:id="1127621332">
      <w:bodyDiv w:val="1"/>
      <w:marLeft w:val="0"/>
      <w:marRight w:val="0"/>
      <w:marTop w:val="0"/>
      <w:marBottom w:val="0"/>
      <w:divBdr>
        <w:top w:val="none" w:sz="0" w:space="0" w:color="auto"/>
        <w:left w:val="none" w:sz="0" w:space="0" w:color="auto"/>
        <w:bottom w:val="none" w:sz="0" w:space="0" w:color="auto"/>
        <w:right w:val="none" w:sz="0" w:space="0" w:color="auto"/>
      </w:divBdr>
    </w:div>
    <w:div w:id="1128282127">
      <w:bodyDiv w:val="1"/>
      <w:marLeft w:val="0"/>
      <w:marRight w:val="0"/>
      <w:marTop w:val="0"/>
      <w:marBottom w:val="0"/>
      <w:divBdr>
        <w:top w:val="none" w:sz="0" w:space="0" w:color="auto"/>
        <w:left w:val="none" w:sz="0" w:space="0" w:color="auto"/>
        <w:bottom w:val="none" w:sz="0" w:space="0" w:color="auto"/>
        <w:right w:val="none" w:sz="0" w:space="0" w:color="auto"/>
      </w:divBdr>
    </w:div>
    <w:div w:id="1128813294">
      <w:bodyDiv w:val="1"/>
      <w:marLeft w:val="0"/>
      <w:marRight w:val="0"/>
      <w:marTop w:val="0"/>
      <w:marBottom w:val="0"/>
      <w:divBdr>
        <w:top w:val="none" w:sz="0" w:space="0" w:color="auto"/>
        <w:left w:val="none" w:sz="0" w:space="0" w:color="auto"/>
        <w:bottom w:val="none" w:sz="0" w:space="0" w:color="auto"/>
        <w:right w:val="none" w:sz="0" w:space="0" w:color="auto"/>
      </w:divBdr>
    </w:div>
    <w:div w:id="1134056117">
      <w:bodyDiv w:val="1"/>
      <w:marLeft w:val="0"/>
      <w:marRight w:val="0"/>
      <w:marTop w:val="0"/>
      <w:marBottom w:val="0"/>
      <w:divBdr>
        <w:top w:val="none" w:sz="0" w:space="0" w:color="auto"/>
        <w:left w:val="none" w:sz="0" w:space="0" w:color="auto"/>
        <w:bottom w:val="none" w:sz="0" w:space="0" w:color="auto"/>
        <w:right w:val="none" w:sz="0" w:space="0" w:color="auto"/>
      </w:divBdr>
    </w:div>
    <w:div w:id="1134758198">
      <w:bodyDiv w:val="1"/>
      <w:marLeft w:val="0"/>
      <w:marRight w:val="0"/>
      <w:marTop w:val="0"/>
      <w:marBottom w:val="0"/>
      <w:divBdr>
        <w:top w:val="none" w:sz="0" w:space="0" w:color="auto"/>
        <w:left w:val="none" w:sz="0" w:space="0" w:color="auto"/>
        <w:bottom w:val="none" w:sz="0" w:space="0" w:color="auto"/>
        <w:right w:val="none" w:sz="0" w:space="0" w:color="auto"/>
      </w:divBdr>
    </w:div>
    <w:div w:id="1136947009">
      <w:bodyDiv w:val="1"/>
      <w:marLeft w:val="0"/>
      <w:marRight w:val="0"/>
      <w:marTop w:val="0"/>
      <w:marBottom w:val="0"/>
      <w:divBdr>
        <w:top w:val="none" w:sz="0" w:space="0" w:color="auto"/>
        <w:left w:val="none" w:sz="0" w:space="0" w:color="auto"/>
        <w:bottom w:val="none" w:sz="0" w:space="0" w:color="auto"/>
        <w:right w:val="none" w:sz="0" w:space="0" w:color="auto"/>
      </w:divBdr>
    </w:div>
    <w:div w:id="1140003748">
      <w:bodyDiv w:val="1"/>
      <w:marLeft w:val="0"/>
      <w:marRight w:val="0"/>
      <w:marTop w:val="0"/>
      <w:marBottom w:val="0"/>
      <w:divBdr>
        <w:top w:val="none" w:sz="0" w:space="0" w:color="auto"/>
        <w:left w:val="none" w:sz="0" w:space="0" w:color="auto"/>
        <w:bottom w:val="none" w:sz="0" w:space="0" w:color="auto"/>
        <w:right w:val="none" w:sz="0" w:space="0" w:color="auto"/>
      </w:divBdr>
    </w:div>
    <w:div w:id="1142304637">
      <w:bodyDiv w:val="1"/>
      <w:marLeft w:val="0"/>
      <w:marRight w:val="0"/>
      <w:marTop w:val="0"/>
      <w:marBottom w:val="0"/>
      <w:divBdr>
        <w:top w:val="none" w:sz="0" w:space="0" w:color="auto"/>
        <w:left w:val="none" w:sz="0" w:space="0" w:color="auto"/>
        <w:bottom w:val="none" w:sz="0" w:space="0" w:color="auto"/>
        <w:right w:val="none" w:sz="0" w:space="0" w:color="auto"/>
      </w:divBdr>
    </w:div>
    <w:div w:id="1143699008">
      <w:bodyDiv w:val="1"/>
      <w:marLeft w:val="0"/>
      <w:marRight w:val="0"/>
      <w:marTop w:val="0"/>
      <w:marBottom w:val="0"/>
      <w:divBdr>
        <w:top w:val="none" w:sz="0" w:space="0" w:color="auto"/>
        <w:left w:val="none" w:sz="0" w:space="0" w:color="auto"/>
        <w:bottom w:val="none" w:sz="0" w:space="0" w:color="auto"/>
        <w:right w:val="none" w:sz="0" w:space="0" w:color="auto"/>
      </w:divBdr>
    </w:div>
    <w:div w:id="1144927651">
      <w:bodyDiv w:val="1"/>
      <w:marLeft w:val="0"/>
      <w:marRight w:val="0"/>
      <w:marTop w:val="0"/>
      <w:marBottom w:val="0"/>
      <w:divBdr>
        <w:top w:val="none" w:sz="0" w:space="0" w:color="auto"/>
        <w:left w:val="none" w:sz="0" w:space="0" w:color="auto"/>
        <w:bottom w:val="none" w:sz="0" w:space="0" w:color="auto"/>
        <w:right w:val="none" w:sz="0" w:space="0" w:color="auto"/>
      </w:divBdr>
    </w:div>
    <w:div w:id="1152679260">
      <w:bodyDiv w:val="1"/>
      <w:marLeft w:val="0"/>
      <w:marRight w:val="0"/>
      <w:marTop w:val="0"/>
      <w:marBottom w:val="0"/>
      <w:divBdr>
        <w:top w:val="none" w:sz="0" w:space="0" w:color="auto"/>
        <w:left w:val="none" w:sz="0" w:space="0" w:color="auto"/>
        <w:bottom w:val="none" w:sz="0" w:space="0" w:color="auto"/>
        <w:right w:val="none" w:sz="0" w:space="0" w:color="auto"/>
      </w:divBdr>
    </w:div>
    <w:div w:id="1152716484">
      <w:bodyDiv w:val="1"/>
      <w:marLeft w:val="0"/>
      <w:marRight w:val="0"/>
      <w:marTop w:val="0"/>
      <w:marBottom w:val="0"/>
      <w:divBdr>
        <w:top w:val="none" w:sz="0" w:space="0" w:color="auto"/>
        <w:left w:val="none" w:sz="0" w:space="0" w:color="auto"/>
        <w:bottom w:val="none" w:sz="0" w:space="0" w:color="auto"/>
        <w:right w:val="none" w:sz="0" w:space="0" w:color="auto"/>
      </w:divBdr>
    </w:div>
    <w:div w:id="1154108286">
      <w:bodyDiv w:val="1"/>
      <w:marLeft w:val="0"/>
      <w:marRight w:val="0"/>
      <w:marTop w:val="0"/>
      <w:marBottom w:val="0"/>
      <w:divBdr>
        <w:top w:val="none" w:sz="0" w:space="0" w:color="auto"/>
        <w:left w:val="none" w:sz="0" w:space="0" w:color="auto"/>
        <w:bottom w:val="none" w:sz="0" w:space="0" w:color="auto"/>
        <w:right w:val="none" w:sz="0" w:space="0" w:color="auto"/>
      </w:divBdr>
    </w:div>
    <w:div w:id="1155951610">
      <w:bodyDiv w:val="1"/>
      <w:marLeft w:val="0"/>
      <w:marRight w:val="0"/>
      <w:marTop w:val="0"/>
      <w:marBottom w:val="0"/>
      <w:divBdr>
        <w:top w:val="none" w:sz="0" w:space="0" w:color="auto"/>
        <w:left w:val="none" w:sz="0" w:space="0" w:color="auto"/>
        <w:bottom w:val="none" w:sz="0" w:space="0" w:color="auto"/>
        <w:right w:val="none" w:sz="0" w:space="0" w:color="auto"/>
      </w:divBdr>
    </w:div>
    <w:div w:id="1157454297">
      <w:bodyDiv w:val="1"/>
      <w:marLeft w:val="0"/>
      <w:marRight w:val="0"/>
      <w:marTop w:val="0"/>
      <w:marBottom w:val="0"/>
      <w:divBdr>
        <w:top w:val="none" w:sz="0" w:space="0" w:color="auto"/>
        <w:left w:val="none" w:sz="0" w:space="0" w:color="auto"/>
        <w:bottom w:val="none" w:sz="0" w:space="0" w:color="auto"/>
        <w:right w:val="none" w:sz="0" w:space="0" w:color="auto"/>
      </w:divBdr>
    </w:div>
    <w:div w:id="1157719925">
      <w:bodyDiv w:val="1"/>
      <w:marLeft w:val="0"/>
      <w:marRight w:val="0"/>
      <w:marTop w:val="0"/>
      <w:marBottom w:val="0"/>
      <w:divBdr>
        <w:top w:val="none" w:sz="0" w:space="0" w:color="auto"/>
        <w:left w:val="none" w:sz="0" w:space="0" w:color="auto"/>
        <w:bottom w:val="none" w:sz="0" w:space="0" w:color="auto"/>
        <w:right w:val="none" w:sz="0" w:space="0" w:color="auto"/>
      </w:divBdr>
    </w:div>
    <w:div w:id="1158109586">
      <w:bodyDiv w:val="1"/>
      <w:marLeft w:val="0"/>
      <w:marRight w:val="0"/>
      <w:marTop w:val="0"/>
      <w:marBottom w:val="0"/>
      <w:divBdr>
        <w:top w:val="none" w:sz="0" w:space="0" w:color="auto"/>
        <w:left w:val="none" w:sz="0" w:space="0" w:color="auto"/>
        <w:bottom w:val="none" w:sz="0" w:space="0" w:color="auto"/>
        <w:right w:val="none" w:sz="0" w:space="0" w:color="auto"/>
      </w:divBdr>
    </w:div>
    <w:div w:id="1158375263">
      <w:bodyDiv w:val="1"/>
      <w:marLeft w:val="0"/>
      <w:marRight w:val="0"/>
      <w:marTop w:val="0"/>
      <w:marBottom w:val="0"/>
      <w:divBdr>
        <w:top w:val="none" w:sz="0" w:space="0" w:color="auto"/>
        <w:left w:val="none" w:sz="0" w:space="0" w:color="auto"/>
        <w:bottom w:val="none" w:sz="0" w:space="0" w:color="auto"/>
        <w:right w:val="none" w:sz="0" w:space="0" w:color="auto"/>
      </w:divBdr>
    </w:div>
    <w:div w:id="1161117447">
      <w:bodyDiv w:val="1"/>
      <w:marLeft w:val="0"/>
      <w:marRight w:val="0"/>
      <w:marTop w:val="0"/>
      <w:marBottom w:val="0"/>
      <w:divBdr>
        <w:top w:val="none" w:sz="0" w:space="0" w:color="auto"/>
        <w:left w:val="none" w:sz="0" w:space="0" w:color="auto"/>
        <w:bottom w:val="none" w:sz="0" w:space="0" w:color="auto"/>
        <w:right w:val="none" w:sz="0" w:space="0" w:color="auto"/>
      </w:divBdr>
    </w:div>
    <w:div w:id="1162235953">
      <w:bodyDiv w:val="1"/>
      <w:marLeft w:val="0"/>
      <w:marRight w:val="0"/>
      <w:marTop w:val="0"/>
      <w:marBottom w:val="0"/>
      <w:divBdr>
        <w:top w:val="none" w:sz="0" w:space="0" w:color="auto"/>
        <w:left w:val="none" w:sz="0" w:space="0" w:color="auto"/>
        <w:bottom w:val="none" w:sz="0" w:space="0" w:color="auto"/>
        <w:right w:val="none" w:sz="0" w:space="0" w:color="auto"/>
      </w:divBdr>
    </w:div>
    <w:div w:id="1164590704">
      <w:bodyDiv w:val="1"/>
      <w:marLeft w:val="0"/>
      <w:marRight w:val="0"/>
      <w:marTop w:val="0"/>
      <w:marBottom w:val="0"/>
      <w:divBdr>
        <w:top w:val="none" w:sz="0" w:space="0" w:color="auto"/>
        <w:left w:val="none" w:sz="0" w:space="0" w:color="auto"/>
        <w:bottom w:val="none" w:sz="0" w:space="0" w:color="auto"/>
        <w:right w:val="none" w:sz="0" w:space="0" w:color="auto"/>
      </w:divBdr>
    </w:div>
    <w:div w:id="1164857436">
      <w:bodyDiv w:val="1"/>
      <w:marLeft w:val="0"/>
      <w:marRight w:val="0"/>
      <w:marTop w:val="0"/>
      <w:marBottom w:val="0"/>
      <w:divBdr>
        <w:top w:val="none" w:sz="0" w:space="0" w:color="auto"/>
        <w:left w:val="none" w:sz="0" w:space="0" w:color="auto"/>
        <w:bottom w:val="none" w:sz="0" w:space="0" w:color="auto"/>
        <w:right w:val="none" w:sz="0" w:space="0" w:color="auto"/>
      </w:divBdr>
    </w:div>
    <w:div w:id="1165129045">
      <w:bodyDiv w:val="1"/>
      <w:marLeft w:val="0"/>
      <w:marRight w:val="0"/>
      <w:marTop w:val="0"/>
      <w:marBottom w:val="0"/>
      <w:divBdr>
        <w:top w:val="none" w:sz="0" w:space="0" w:color="auto"/>
        <w:left w:val="none" w:sz="0" w:space="0" w:color="auto"/>
        <w:bottom w:val="none" w:sz="0" w:space="0" w:color="auto"/>
        <w:right w:val="none" w:sz="0" w:space="0" w:color="auto"/>
      </w:divBdr>
    </w:div>
    <w:div w:id="1166630267">
      <w:bodyDiv w:val="1"/>
      <w:marLeft w:val="0"/>
      <w:marRight w:val="0"/>
      <w:marTop w:val="0"/>
      <w:marBottom w:val="0"/>
      <w:divBdr>
        <w:top w:val="none" w:sz="0" w:space="0" w:color="auto"/>
        <w:left w:val="none" w:sz="0" w:space="0" w:color="auto"/>
        <w:bottom w:val="none" w:sz="0" w:space="0" w:color="auto"/>
        <w:right w:val="none" w:sz="0" w:space="0" w:color="auto"/>
      </w:divBdr>
    </w:div>
    <w:div w:id="1168247944">
      <w:bodyDiv w:val="1"/>
      <w:marLeft w:val="0"/>
      <w:marRight w:val="0"/>
      <w:marTop w:val="0"/>
      <w:marBottom w:val="0"/>
      <w:divBdr>
        <w:top w:val="none" w:sz="0" w:space="0" w:color="auto"/>
        <w:left w:val="none" w:sz="0" w:space="0" w:color="auto"/>
        <w:bottom w:val="none" w:sz="0" w:space="0" w:color="auto"/>
        <w:right w:val="none" w:sz="0" w:space="0" w:color="auto"/>
      </w:divBdr>
    </w:div>
    <w:div w:id="1169561770">
      <w:bodyDiv w:val="1"/>
      <w:marLeft w:val="0"/>
      <w:marRight w:val="0"/>
      <w:marTop w:val="0"/>
      <w:marBottom w:val="0"/>
      <w:divBdr>
        <w:top w:val="none" w:sz="0" w:space="0" w:color="auto"/>
        <w:left w:val="none" w:sz="0" w:space="0" w:color="auto"/>
        <w:bottom w:val="none" w:sz="0" w:space="0" w:color="auto"/>
        <w:right w:val="none" w:sz="0" w:space="0" w:color="auto"/>
      </w:divBdr>
    </w:div>
    <w:div w:id="1169635239">
      <w:bodyDiv w:val="1"/>
      <w:marLeft w:val="0"/>
      <w:marRight w:val="0"/>
      <w:marTop w:val="0"/>
      <w:marBottom w:val="0"/>
      <w:divBdr>
        <w:top w:val="none" w:sz="0" w:space="0" w:color="auto"/>
        <w:left w:val="none" w:sz="0" w:space="0" w:color="auto"/>
        <w:bottom w:val="none" w:sz="0" w:space="0" w:color="auto"/>
        <w:right w:val="none" w:sz="0" w:space="0" w:color="auto"/>
      </w:divBdr>
    </w:div>
    <w:div w:id="1175726869">
      <w:bodyDiv w:val="1"/>
      <w:marLeft w:val="0"/>
      <w:marRight w:val="0"/>
      <w:marTop w:val="0"/>
      <w:marBottom w:val="0"/>
      <w:divBdr>
        <w:top w:val="none" w:sz="0" w:space="0" w:color="auto"/>
        <w:left w:val="none" w:sz="0" w:space="0" w:color="auto"/>
        <w:bottom w:val="none" w:sz="0" w:space="0" w:color="auto"/>
        <w:right w:val="none" w:sz="0" w:space="0" w:color="auto"/>
      </w:divBdr>
    </w:div>
    <w:div w:id="1180511840">
      <w:bodyDiv w:val="1"/>
      <w:marLeft w:val="0"/>
      <w:marRight w:val="0"/>
      <w:marTop w:val="0"/>
      <w:marBottom w:val="0"/>
      <w:divBdr>
        <w:top w:val="none" w:sz="0" w:space="0" w:color="auto"/>
        <w:left w:val="none" w:sz="0" w:space="0" w:color="auto"/>
        <w:bottom w:val="none" w:sz="0" w:space="0" w:color="auto"/>
        <w:right w:val="none" w:sz="0" w:space="0" w:color="auto"/>
      </w:divBdr>
    </w:div>
    <w:div w:id="1182746546">
      <w:bodyDiv w:val="1"/>
      <w:marLeft w:val="0"/>
      <w:marRight w:val="0"/>
      <w:marTop w:val="0"/>
      <w:marBottom w:val="0"/>
      <w:divBdr>
        <w:top w:val="none" w:sz="0" w:space="0" w:color="auto"/>
        <w:left w:val="none" w:sz="0" w:space="0" w:color="auto"/>
        <w:bottom w:val="none" w:sz="0" w:space="0" w:color="auto"/>
        <w:right w:val="none" w:sz="0" w:space="0" w:color="auto"/>
      </w:divBdr>
    </w:div>
    <w:div w:id="1184514559">
      <w:bodyDiv w:val="1"/>
      <w:marLeft w:val="0"/>
      <w:marRight w:val="0"/>
      <w:marTop w:val="0"/>
      <w:marBottom w:val="0"/>
      <w:divBdr>
        <w:top w:val="none" w:sz="0" w:space="0" w:color="auto"/>
        <w:left w:val="none" w:sz="0" w:space="0" w:color="auto"/>
        <w:bottom w:val="none" w:sz="0" w:space="0" w:color="auto"/>
        <w:right w:val="none" w:sz="0" w:space="0" w:color="auto"/>
      </w:divBdr>
    </w:div>
    <w:div w:id="1185364599">
      <w:bodyDiv w:val="1"/>
      <w:marLeft w:val="0"/>
      <w:marRight w:val="0"/>
      <w:marTop w:val="0"/>
      <w:marBottom w:val="0"/>
      <w:divBdr>
        <w:top w:val="none" w:sz="0" w:space="0" w:color="auto"/>
        <w:left w:val="none" w:sz="0" w:space="0" w:color="auto"/>
        <w:bottom w:val="none" w:sz="0" w:space="0" w:color="auto"/>
        <w:right w:val="none" w:sz="0" w:space="0" w:color="auto"/>
      </w:divBdr>
    </w:div>
    <w:div w:id="1187408527">
      <w:bodyDiv w:val="1"/>
      <w:marLeft w:val="0"/>
      <w:marRight w:val="0"/>
      <w:marTop w:val="0"/>
      <w:marBottom w:val="0"/>
      <w:divBdr>
        <w:top w:val="none" w:sz="0" w:space="0" w:color="auto"/>
        <w:left w:val="none" w:sz="0" w:space="0" w:color="auto"/>
        <w:bottom w:val="none" w:sz="0" w:space="0" w:color="auto"/>
        <w:right w:val="none" w:sz="0" w:space="0" w:color="auto"/>
      </w:divBdr>
    </w:div>
    <w:div w:id="1188176811">
      <w:bodyDiv w:val="1"/>
      <w:marLeft w:val="0"/>
      <w:marRight w:val="0"/>
      <w:marTop w:val="0"/>
      <w:marBottom w:val="0"/>
      <w:divBdr>
        <w:top w:val="none" w:sz="0" w:space="0" w:color="auto"/>
        <w:left w:val="none" w:sz="0" w:space="0" w:color="auto"/>
        <w:bottom w:val="none" w:sz="0" w:space="0" w:color="auto"/>
        <w:right w:val="none" w:sz="0" w:space="0" w:color="auto"/>
      </w:divBdr>
    </w:div>
    <w:div w:id="1189685721">
      <w:bodyDiv w:val="1"/>
      <w:marLeft w:val="0"/>
      <w:marRight w:val="0"/>
      <w:marTop w:val="0"/>
      <w:marBottom w:val="0"/>
      <w:divBdr>
        <w:top w:val="none" w:sz="0" w:space="0" w:color="auto"/>
        <w:left w:val="none" w:sz="0" w:space="0" w:color="auto"/>
        <w:bottom w:val="none" w:sz="0" w:space="0" w:color="auto"/>
        <w:right w:val="none" w:sz="0" w:space="0" w:color="auto"/>
      </w:divBdr>
    </w:div>
    <w:div w:id="1190920700">
      <w:bodyDiv w:val="1"/>
      <w:marLeft w:val="0"/>
      <w:marRight w:val="0"/>
      <w:marTop w:val="0"/>
      <w:marBottom w:val="0"/>
      <w:divBdr>
        <w:top w:val="none" w:sz="0" w:space="0" w:color="auto"/>
        <w:left w:val="none" w:sz="0" w:space="0" w:color="auto"/>
        <w:bottom w:val="none" w:sz="0" w:space="0" w:color="auto"/>
        <w:right w:val="none" w:sz="0" w:space="0" w:color="auto"/>
      </w:divBdr>
    </w:div>
    <w:div w:id="1191527397">
      <w:bodyDiv w:val="1"/>
      <w:marLeft w:val="0"/>
      <w:marRight w:val="0"/>
      <w:marTop w:val="0"/>
      <w:marBottom w:val="0"/>
      <w:divBdr>
        <w:top w:val="none" w:sz="0" w:space="0" w:color="auto"/>
        <w:left w:val="none" w:sz="0" w:space="0" w:color="auto"/>
        <w:bottom w:val="none" w:sz="0" w:space="0" w:color="auto"/>
        <w:right w:val="none" w:sz="0" w:space="0" w:color="auto"/>
      </w:divBdr>
    </w:div>
    <w:div w:id="1192066185">
      <w:bodyDiv w:val="1"/>
      <w:marLeft w:val="0"/>
      <w:marRight w:val="0"/>
      <w:marTop w:val="0"/>
      <w:marBottom w:val="0"/>
      <w:divBdr>
        <w:top w:val="none" w:sz="0" w:space="0" w:color="auto"/>
        <w:left w:val="none" w:sz="0" w:space="0" w:color="auto"/>
        <w:bottom w:val="none" w:sz="0" w:space="0" w:color="auto"/>
        <w:right w:val="none" w:sz="0" w:space="0" w:color="auto"/>
      </w:divBdr>
    </w:div>
    <w:div w:id="1195997708">
      <w:bodyDiv w:val="1"/>
      <w:marLeft w:val="0"/>
      <w:marRight w:val="0"/>
      <w:marTop w:val="0"/>
      <w:marBottom w:val="0"/>
      <w:divBdr>
        <w:top w:val="none" w:sz="0" w:space="0" w:color="auto"/>
        <w:left w:val="none" w:sz="0" w:space="0" w:color="auto"/>
        <w:bottom w:val="none" w:sz="0" w:space="0" w:color="auto"/>
        <w:right w:val="none" w:sz="0" w:space="0" w:color="auto"/>
      </w:divBdr>
    </w:div>
    <w:div w:id="1197086927">
      <w:bodyDiv w:val="1"/>
      <w:marLeft w:val="0"/>
      <w:marRight w:val="0"/>
      <w:marTop w:val="0"/>
      <w:marBottom w:val="0"/>
      <w:divBdr>
        <w:top w:val="none" w:sz="0" w:space="0" w:color="auto"/>
        <w:left w:val="none" w:sz="0" w:space="0" w:color="auto"/>
        <w:bottom w:val="none" w:sz="0" w:space="0" w:color="auto"/>
        <w:right w:val="none" w:sz="0" w:space="0" w:color="auto"/>
      </w:divBdr>
    </w:div>
    <w:div w:id="1197425163">
      <w:bodyDiv w:val="1"/>
      <w:marLeft w:val="0"/>
      <w:marRight w:val="0"/>
      <w:marTop w:val="0"/>
      <w:marBottom w:val="0"/>
      <w:divBdr>
        <w:top w:val="none" w:sz="0" w:space="0" w:color="auto"/>
        <w:left w:val="none" w:sz="0" w:space="0" w:color="auto"/>
        <w:bottom w:val="none" w:sz="0" w:space="0" w:color="auto"/>
        <w:right w:val="none" w:sz="0" w:space="0" w:color="auto"/>
      </w:divBdr>
    </w:div>
    <w:div w:id="1198738736">
      <w:bodyDiv w:val="1"/>
      <w:marLeft w:val="0"/>
      <w:marRight w:val="0"/>
      <w:marTop w:val="0"/>
      <w:marBottom w:val="0"/>
      <w:divBdr>
        <w:top w:val="none" w:sz="0" w:space="0" w:color="auto"/>
        <w:left w:val="none" w:sz="0" w:space="0" w:color="auto"/>
        <w:bottom w:val="none" w:sz="0" w:space="0" w:color="auto"/>
        <w:right w:val="none" w:sz="0" w:space="0" w:color="auto"/>
      </w:divBdr>
    </w:div>
    <w:div w:id="1201555596">
      <w:bodyDiv w:val="1"/>
      <w:marLeft w:val="0"/>
      <w:marRight w:val="0"/>
      <w:marTop w:val="0"/>
      <w:marBottom w:val="0"/>
      <w:divBdr>
        <w:top w:val="none" w:sz="0" w:space="0" w:color="auto"/>
        <w:left w:val="none" w:sz="0" w:space="0" w:color="auto"/>
        <w:bottom w:val="none" w:sz="0" w:space="0" w:color="auto"/>
        <w:right w:val="none" w:sz="0" w:space="0" w:color="auto"/>
      </w:divBdr>
    </w:div>
    <w:div w:id="1202279124">
      <w:bodyDiv w:val="1"/>
      <w:marLeft w:val="0"/>
      <w:marRight w:val="0"/>
      <w:marTop w:val="0"/>
      <w:marBottom w:val="0"/>
      <w:divBdr>
        <w:top w:val="none" w:sz="0" w:space="0" w:color="auto"/>
        <w:left w:val="none" w:sz="0" w:space="0" w:color="auto"/>
        <w:bottom w:val="none" w:sz="0" w:space="0" w:color="auto"/>
        <w:right w:val="none" w:sz="0" w:space="0" w:color="auto"/>
      </w:divBdr>
    </w:div>
    <w:div w:id="1202783066">
      <w:bodyDiv w:val="1"/>
      <w:marLeft w:val="0"/>
      <w:marRight w:val="0"/>
      <w:marTop w:val="0"/>
      <w:marBottom w:val="0"/>
      <w:divBdr>
        <w:top w:val="none" w:sz="0" w:space="0" w:color="auto"/>
        <w:left w:val="none" w:sz="0" w:space="0" w:color="auto"/>
        <w:bottom w:val="none" w:sz="0" w:space="0" w:color="auto"/>
        <w:right w:val="none" w:sz="0" w:space="0" w:color="auto"/>
      </w:divBdr>
    </w:div>
    <w:div w:id="1205220133">
      <w:bodyDiv w:val="1"/>
      <w:marLeft w:val="0"/>
      <w:marRight w:val="0"/>
      <w:marTop w:val="0"/>
      <w:marBottom w:val="0"/>
      <w:divBdr>
        <w:top w:val="none" w:sz="0" w:space="0" w:color="auto"/>
        <w:left w:val="none" w:sz="0" w:space="0" w:color="auto"/>
        <w:bottom w:val="none" w:sz="0" w:space="0" w:color="auto"/>
        <w:right w:val="none" w:sz="0" w:space="0" w:color="auto"/>
      </w:divBdr>
    </w:div>
    <w:div w:id="1206060652">
      <w:bodyDiv w:val="1"/>
      <w:marLeft w:val="0"/>
      <w:marRight w:val="0"/>
      <w:marTop w:val="0"/>
      <w:marBottom w:val="0"/>
      <w:divBdr>
        <w:top w:val="none" w:sz="0" w:space="0" w:color="auto"/>
        <w:left w:val="none" w:sz="0" w:space="0" w:color="auto"/>
        <w:bottom w:val="none" w:sz="0" w:space="0" w:color="auto"/>
        <w:right w:val="none" w:sz="0" w:space="0" w:color="auto"/>
      </w:divBdr>
    </w:div>
    <w:div w:id="1209106262">
      <w:bodyDiv w:val="1"/>
      <w:marLeft w:val="0"/>
      <w:marRight w:val="0"/>
      <w:marTop w:val="0"/>
      <w:marBottom w:val="0"/>
      <w:divBdr>
        <w:top w:val="none" w:sz="0" w:space="0" w:color="auto"/>
        <w:left w:val="none" w:sz="0" w:space="0" w:color="auto"/>
        <w:bottom w:val="none" w:sz="0" w:space="0" w:color="auto"/>
        <w:right w:val="none" w:sz="0" w:space="0" w:color="auto"/>
      </w:divBdr>
    </w:div>
    <w:div w:id="1209415763">
      <w:bodyDiv w:val="1"/>
      <w:marLeft w:val="0"/>
      <w:marRight w:val="0"/>
      <w:marTop w:val="0"/>
      <w:marBottom w:val="0"/>
      <w:divBdr>
        <w:top w:val="none" w:sz="0" w:space="0" w:color="auto"/>
        <w:left w:val="none" w:sz="0" w:space="0" w:color="auto"/>
        <w:bottom w:val="none" w:sz="0" w:space="0" w:color="auto"/>
        <w:right w:val="none" w:sz="0" w:space="0" w:color="auto"/>
      </w:divBdr>
    </w:div>
    <w:div w:id="1209609109">
      <w:bodyDiv w:val="1"/>
      <w:marLeft w:val="0"/>
      <w:marRight w:val="0"/>
      <w:marTop w:val="0"/>
      <w:marBottom w:val="0"/>
      <w:divBdr>
        <w:top w:val="none" w:sz="0" w:space="0" w:color="auto"/>
        <w:left w:val="none" w:sz="0" w:space="0" w:color="auto"/>
        <w:bottom w:val="none" w:sz="0" w:space="0" w:color="auto"/>
        <w:right w:val="none" w:sz="0" w:space="0" w:color="auto"/>
      </w:divBdr>
    </w:div>
    <w:div w:id="1210679270">
      <w:bodyDiv w:val="1"/>
      <w:marLeft w:val="0"/>
      <w:marRight w:val="0"/>
      <w:marTop w:val="0"/>
      <w:marBottom w:val="0"/>
      <w:divBdr>
        <w:top w:val="none" w:sz="0" w:space="0" w:color="auto"/>
        <w:left w:val="none" w:sz="0" w:space="0" w:color="auto"/>
        <w:bottom w:val="none" w:sz="0" w:space="0" w:color="auto"/>
        <w:right w:val="none" w:sz="0" w:space="0" w:color="auto"/>
      </w:divBdr>
    </w:div>
    <w:div w:id="1214997595">
      <w:bodyDiv w:val="1"/>
      <w:marLeft w:val="0"/>
      <w:marRight w:val="0"/>
      <w:marTop w:val="0"/>
      <w:marBottom w:val="0"/>
      <w:divBdr>
        <w:top w:val="none" w:sz="0" w:space="0" w:color="auto"/>
        <w:left w:val="none" w:sz="0" w:space="0" w:color="auto"/>
        <w:bottom w:val="none" w:sz="0" w:space="0" w:color="auto"/>
        <w:right w:val="none" w:sz="0" w:space="0" w:color="auto"/>
      </w:divBdr>
    </w:div>
    <w:div w:id="1215892397">
      <w:bodyDiv w:val="1"/>
      <w:marLeft w:val="0"/>
      <w:marRight w:val="0"/>
      <w:marTop w:val="0"/>
      <w:marBottom w:val="0"/>
      <w:divBdr>
        <w:top w:val="none" w:sz="0" w:space="0" w:color="auto"/>
        <w:left w:val="none" w:sz="0" w:space="0" w:color="auto"/>
        <w:bottom w:val="none" w:sz="0" w:space="0" w:color="auto"/>
        <w:right w:val="none" w:sz="0" w:space="0" w:color="auto"/>
      </w:divBdr>
    </w:div>
    <w:div w:id="1216118679">
      <w:bodyDiv w:val="1"/>
      <w:marLeft w:val="0"/>
      <w:marRight w:val="0"/>
      <w:marTop w:val="0"/>
      <w:marBottom w:val="0"/>
      <w:divBdr>
        <w:top w:val="none" w:sz="0" w:space="0" w:color="auto"/>
        <w:left w:val="none" w:sz="0" w:space="0" w:color="auto"/>
        <w:bottom w:val="none" w:sz="0" w:space="0" w:color="auto"/>
        <w:right w:val="none" w:sz="0" w:space="0" w:color="auto"/>
      </w:divBdr>
    </w:div>
    <w:div w:id="1217936841">
      <w:bodyDiv w:val="1"/>
      <w:marLeft w:val="0"/>
      <w:marRight w:val="0"/>
      <w:marTop w:val="0"/>
      <w:marBottom w:val="0"/>
      <w:divBdr>
        <w:top w:val="none" w:sz="0" w:space="0" w:color="auto"/>
        <w:left w:val="none" w:sz="0" w:space="0" w:color="auto"/>
        <w:bottom w:val="none" w:sz="0" w:space="0" w:color="auto"/>
        <w:right w:val="none" w:sz="0" w:space="0" w:color="auto"/>
      </w:divBdr>
    </w:div>
    <w:div w:id="1218934788">
      <w:bodyDiv w:val="1"/>
      <w:marLeft w:val="0"/>
      <w:marRight w:val="0"/>
      <w:marTop w:val="0"/>
      <w:marBottom w:val="0"/>
      <w:divBdr>
        <w:top w:val="none" w:sz="0" w:space="0" w:color="auto"/>
        <w:left w:val="none" w:sz="0" w:space="0" w:color="auto"/>
        <w:bottom w:val="none" w:sz="0" w:space="0" w:color="auto"/>
        <w:right w:val="none" w:sz="0" w:space="0" w:color="auto"/>
      </w:divBdr>
    </w:div>
    <w:div w:id="1219322660">
      <w:bodyDiv w:val="1"/>
      <w:marLeft w:val="0"/>
      <w:marRight w:val="0"/>
      <w:marTop w:val="0"/>
      <w:marBottom w:val="0"/>
      <w:divBdr>
        <w:top w:val="none" w:sz="0" w:space="0" w:color="auto"/>
        <w:left w:val="none" w:sz="0" w:space="0" w:color="auto"/>
        <w:bottom w:val="none" w:sz="0" w:space="0" w:color="auto"/>
        <w:right w:val="none" w:sz="0" w:space="0" w:color="auto"/>
      </w:divBdr>
    </w:div>
    <w:div w:id="1220167090">
      <w:bodyDiv w:val="1"/>
      <w:marLeft w:val="0"/>
      <w:marRight w:val="0"/>
      <w:marTop w:val="0"/>
      <w:marBottom w:val="0"/>
      <w:divBdr>
        <w:top w:val="none" w:sz="0" w:space="0" w:color="auto"/>
        <w:left w:val="none" w:sz="0" w:space="0" w:color="auto"/>
        <w:bottom w:val="none" w:sz="0" w:space="0" w:color="auto"/>
        <w:right w:val="none" w:sz="0" w:space="0" w:color="auto"/>
      </w:divBdr>
    </w:div>
    <w:div w:id="1220635433">
      <w:bodyDiv w:val="1"/>
      <w:marLeft w:val="0"/>
      <w:marRight w:val="0"/>
      <w:marTop w:val="0"/>
      <w:marBottom w:val="0"/>
      <w:divBdr>
        <w:top w:val="none" w:sz="0" w:space="0" w:color="auto"/>
        <w:left w:val="none" w:sz="0" w:space="0" w:color="auto"/>
        <w:bottom w:val="none" w:sz="0" w:space="0" w:color="auto"/>
        <w:right w:val="none" w:sz="0" w:space="0" w:color="auto"/>
      </w:divBdr>
    </w:div>
    <w:div w:id="1222525485">
      <w:bodyDiv w:val="1"/>
      <w:marLeft w:val="0"/>
      <w:marRight w:val="0"/>
      <w:marTop w:val="0"/>
      <w:marBottom w:val="0"/>
      <w:divBdr>
        <w:top w:val="none" w:sz="0" w:space="0" w:color="auto"/>
        <w:left w:val="none" w:sz="0" w:space="0" w:color="auto"/>
        <w:bottom w:val="none" w:sz="0" w:space="0" w:color="auto"/>
        <w:right w:val="none" w:sz="0" w:space="0" w:color="auto"/>
      </w:divBdr>
    </w:div>
    <w:div w:id="1222868739">
      <w:bodyDiv w:val="1"/>
      <w:marLeft w:val="0"/>
      <w:marRight w:val="0"/>
      <w:marTop w:val="0"/>
      <w:marBottom w:val="0"/>
      <w:divBdr>
        <w:top w:val="none" w:sz="0" w:space="0" w:color="auto"/>
        <w:left w:val="none" w:sz="0" w:space="0" w:color="auto"/>
        <w:bottom w:val="none" w:sz="0" w:space="0" w:color="auto"/>
        <w:right w:val="none" w:sz="0" w:space="0" w:color="auto"/>
      </w:divBdr>
    </w:div>
    <w:div w:id="1225332837">
      <w:bodyDiv w:val="1"/>
      <w:marLeft w:val="0"/>
      <w:marRight w:val="0"/>
      <w:marTop w:val="0"/>
      <w:marBottom w:val="0"/>
      <w:divBdr>
        <w:top w:val="none" w:sz="0" w:space="0" w:color="auto"/>
        <w:left w:val="none" w:sz="0" w:space="0" w:color="auto"/>
        <w:bottom w:val="none" w:sz="0" w:space="0" w:color="auto"/>
        <w:right w:val="none" w:sz="0" w:space="0" w:color="auto"/>
      </w:divBdr>
    </w:div>
    <w:div w:id="1227952115">
      <w:bodyDiv w:val="1"/>
      <w:marLeft w:val="0"/>
      <w:marRight w:val="0"/>
      <w:marTop w:val="0"/>
      <w:marBottom w:val="0"/>
      <w:divBdr>
        <w:top w:val="none" w:sz="0" w:space="0" w:color="auto"/>
        <w:left w:val="none" w:sz="0" w:space="0" w:color="auto"/>
        <w:bottom w:val="none" w:sz="0" w:space="0" w:color="auto"/>
        <w:right w:val="none" w:sz="0" w:space="0" w:color="auto"/>
      </w:divBdr>
    </w:div>
    <w:div w:id="1230506302">
      <w:bodyDiv w:val="1"/>
      <w:marLeft w:val="0"/>
      <w:marRight w:val="0"/>
      <w:marTop w:val="0"/>
      <w:marBottom w:val="0"/>
      <w:divBdr>
        <w:top w:val="none" w:sz="0" w:space="0" w:color="auto"/>
        <w:left w:val="none" w:sz="0" w:space="0" w:color="auto"/>
        <w:bottom w:val="none" w:sz="0" w:space="0" w:color="auto"/>
        <w:right w:val="none" w:sz="0" w:space="0" w:color="auto"/>
      </w:divBdr>
    </w:div>
    <w:div w:id="1231233311">
      <w:bodyDiv w:val="1"/>
      <w:marLeft w:val="0"/>
      <w:marRight w:val="0"/>
      <w:marTop w:val="0"/>
      <w:marBottom w:val="0"/>
      <w:divBdr>
        <w:top w:val="none" w:sz="0" w:space="0" w:color="auto"/>
        <w:left w:val="none" w:sz="0" w:space="0" w:color="auto"/>
        <w:bottom w:val="none" w:sz="0" w:space="0" w:color="auto"/>
        <w:right w:val="none" w:sz="0" w:space="0" w:color="auto"/>
      </w:divBdr>
    </w:div>
    <w:div w:id="1232229475">
      <w:bodyDiv w:val="1"/>
      <w:marLeft w:val="0"/>
      <w:marRight w:val="0"/>
      <w:marTop w:val="0"/>
      <w:marBottom w:val="0"/>
      <w:divBdr>
        <w:top w:val="none" w:sz="0" w:space="0" w:color="auto"/>
        <w:left w:val="none" w:sz="0" w:space="0" w:color="auto"/>
        <w:bottom w:val="none" w:sz="0" w:space="0" w:color="auto"/>
        <w:right w:val="none" w:sz="0" w:space="0" w:color="auto"/>
      </w:divBdr>
    </w:div>
    <w:div w:id="1234046013">
      <w:bodyDiv w:val="1"/>
      <w:marLeft w:val="0"/>
      <w:marRight w:val="0"/>
      <w:marTop w:val="0"/>
      <w:marBottom w:val="0"/>
      <w:divBdr>
        <w:top w:val="none" w:sz="0" w:space="0" w:color="auto"/>
        <w:left w:val="none" w:sz="0" w:space="0" w:color="auto"/>
        <w:bottom w:val="none" w:sz="0" w:space="0" w:color="auto"/>
        <w:right w:val="none" w:sz="0" w:space="0" w:color="auto"/>
      </w:divBdr>
    </w:div>
    <w:div w:id="1234660629">
      <w:bodyDiv w:val="1"/>
      <w:marLeft w:val="0"/>
      <w:marRight w:val="0"/>
      <w:marTop w:val="0"/>
      <w:marBottom w:val="0"/>
      <w:divBdr>
        <w:top w:val="none" w:sz="0" w:space="0" w:color="auto"/>
        <w:left w:val="none" w:sz="0" w:space="0" w:color="auto"/>
        <w:bottom w:val="none" w:sz="0" w:space="0" w:color="auto"/>
        <w:right w:val="none" w:sz="0" w:space="0" w:color="auto"/>
      </w:divBdr>
    </w:div>
    <w:div w:id="1234968587">
      <w:bodyDiv w:val="1"/>
      <w:marLeft w:val="0"/>
      <w:marRight w:val="0"/>
      <w:marTop w:val="0"/>
      <w:marBottom w:val="0"/>
      <w:divBdr>
        <w:top w:val="none" w:sz="0" w:space="0" w:color="auto"/>
        <w:left w:val="none" w:sz="0" w:space="0" w:color="auto"/>
        <w:bottom w:val="none" w:sz="0" w:space="0" w:color="auto"/>
        <w:right w:val="none" w:sz="0" w:space="0" w:color="auto"/>
      </w:divBdr>
    </w:div>
    <w:div w:id="1235244626">
      <w:bodyDiv w:val="1"/>
      <w:marLeft w:val="0"/>
      <w:marRight w:val="0"/>
      <w:marTop w:val="0"/>
      <w:marBottom w:val="0"/>
      <w:divBdr>
        <w:top w:val="none" w:sz="0" w:space="0" w:color="auto"/>
        <w:left w:val="none" w:sz="0" w:space="0" w:color="auto"/>
        <w:bottom w:val="none" w:sz="0" w:space="0" w:color="auto"/>
        <w:right w:val="none" w:sz="0" w:space="0" w:color="auto"/>
      </w:divBdr>
    </w:div>
    <w:div w:id="1235746960">
      <w:bodyDiv w:val="1"/>
      <w:marLeft w:val="0"/>
      <w:marRight w:val="0"/>
      <w:marTop w:val="0"/>
      <w:marBottom w:val="0"/>
      <w:divBdr>
        <w:top w:val="none" w:sz="0" w:space="0" w:color="auto"/>
        <w:left w:val="none" w:sz="0" w:space="0" w:color="auto"/>
        <w:bottom w:val="none" w:sz="0" w:space="0" w:color="auto"/>
        <w:right w:val="none" w:sz="0" w:space="0" w:color="auto"/>
      </w:divBdr>
    </w:div>
    <w:div w:id="1236672168">
      <w:bodyDiv w:val="1"/>
      <w:marLeft w:val="0"/>
      <w:marRight w:val="0"/>
      <w:marTop w:val="0"/>
      <w:marBottom w:val="0"/>
      <w:divBdr>
        <w:top w:val="none" w:sz="0" w:space="0" w:color="auto"/>
        <w:left w:val="none" w:sz="0" w:space="0" w:color="auto"/>
        <w:bottom w:val="none" w:sz="0" w:space="0" w:color="auto"/>
        <w:right w:val="none" w:sz="0" w:space="0" w:color="auto"/>
      </w:divBdr>
    </w:div>
    <w:div w:id="1238975533">
      <w:bodyDiv w:val="1"/>
      <w:marLeft w:val="0"/>
      <w:marRight w:val="0"/>
      <w:marTop w:val="0"/>
      <w:marBottom w:val="0"/>
      <w:divBdr>
        <w:top w:val="none" w:sz="0" w:space="0" w:color="auto"/>
        <w:left w:val="none" w:sz="0" w:space="0" w:color="auto"/>
        <w:bottom w:val="none" w:sz="0" w:space="0" w:color="auto"/>
        <w:right w:val="none" w:sz="0" w:space="0" w:color="auto"/>
      </w:divBdr>
    </w:div>
    <w:div w:id="1241670536">
      <w:bodyDiv w:val="1"/>
      <w:marLeft w:val="0"/>
      <w:marRight w:val="0"/>
      <w:marTop w:val="0"/>
      <w:marBottom w:val="0"/>
      <w:divBdr>
        <w:top w:val="none" w:sz="0" w:space="0" w:color="auto"/>
        <w:left w:val="none" w:sz="0" w:space="0" w:color="auto"/>
        <w:bottom w:val="none" w:sz="0" w:space="0" w:color="auto"/>
        <w:right w:val="none" w:sz="0" w:space="0" w:color="auto"/>
      </w:divBdr>
    </w:div>
    <w:div w:id="1242835514">
      <w:bodyDiv w:val="1"/>
      <w:marLeft w:val="0"/>
      <w:marRight w:val="0"/>
      <w:marTop w:val="0"/>
      <w:marBottom w:val="0"/>
      <w:divBdr>
        <w:top w:val="none" w:sz="0" w:space="0" w:color="auto"/>
        <w:left w:val="none" w:sz="0" w:space="0" w:color="auto"/>
        <w:bottom w:val="none" w:sz="0" w:space="0" w:color="auto"/>
        <w:right w:val="none" w:sz="0" w:space="0" w:color="auto"/>
      </w:divBdr>
    </w:div>
    <w:div w:id="1243876407">
      <w:bodyDiv w:val="1"/>
      <w:marLeft w:val="0"/>
      <w:marRight w:val="0"/>
      <w:marTop w:val="0"/>
      <w:marBottom w:val="0"/>
      <w:divBdr>
        <w:top w:val="none" w:sz="0" w:space="0" w:color="auto"/>
        <w:left w:val="none" w:sz="0" w:space="0" w:color="auto"/>
        <w:bottom w:val="none" w:sz="0" w:space="0" w:color="auto"/>
        <w:right w:val="none" w:sz="0" w:space="0" w:color="auto"/>
      </w:divBdr>
    </w:div>
    <w:div w:id="1244529012">
      <w:bodyDiv w:val="1"/>
      <w:marLeft w:val="0"/>
      <w:marRight w:val="0"/>
      <w:marTop w:val="0"/>
      <w:marBottom w:val="0"/>
      <w:divBdr>
        <w:top w:val="none" w:sz="0" w:space="0" w:color="auto"/>
        <w:left w:val="none" w:sz="0" w:space="0" w:color="auto"/>
        <w:bottom w:val="none" w:sz="0" w:space="0" w:color="auto"/>
        <w:right w:val="none" w:sz="0" w:space="0" w:color="auto"/>
      </w:divBdr>
    </w:div>
    <w:div w:id="1245917724">
      <w:bodyDiv w:val="1"/>
      <w:marLeft w:val="0"/>
      <w:marRight w:val="0"/>
      <w:marTop w:val="0"/>
      <w:marBottom w:val="0"/>
      <w:divBdr>
        <w:top w:val="none" w:sz="0" w:space="0" w:color="auto"/>
        <w:left w:val="none" w:sz="0" w:space="0" w:color="auto"/>
        <w:bottom w:val="none" w:sz="0" w:space="0" w:color="auto"/>
        <w:right w:val="none" w:sz="0" w:space="0" w:color="auto"/>
      </w:divBdr>
    </w:div>
    <w:div w:id="1246186555">
      <w:bodyDiv w:val="1"/>
      <w:marLeft w:val="0"/>
      <w:marRight w:val="0"/>
      <w:marTop w:val="0"/>
      <w:marBottom w:val="0"/>
      <w:divBdr>
        <w:top w:val="none" w:sz="0" w:space="0" w:color="auto"/>
        <w:left w:val="none" w:sz="0" w:space="0" w:color="auto"/>
        <w:bottom w:val="none" w:sz="0" w:space="0" w:color="auto"/>
        <w:right w:val="none" w:sz="0" w:space="0" w:color="auto"/>
      </w:divBdr>
    </w:div>
    <w:div w:id="1246256671">
      <w:bodyDiv w:val="1"/>
      <w:marLeft w:val="0"/>
      <w:marRight w:val="0"/>
      <w:marTop w:val="0"/>
      <w:marBottom w:val="0"/>
      <w:divBdr>
        <w:top w:val="none" w:sz="0" w:space="0" w:color="auto"/>
        <w:left w:val="none" w:sz="0" w:space="0" w:color="auto"/>
        <w:bottom w:val="none" w:sz="0" w:space="0" w:color="auto"/>
        <w:right w:val="none" w:sz="0" w:space="0" w:color="auto"/>
      </w:divBdr>
    </w:div>
    <w:div w:id="1246693130">
      <w:bodyDiv w:val="1"/>
      <w:marLeft w:val="0"/>
      <w:marRight w:val="0"/>
      <w:marTop w:val="0"/>
      <w:marBottom w:val="0"/>
      <w:divBdr>
        <w:top w:val="none" w:sz="0" w:space="0" w:color="auto"/>
        <w:left w:val="none" w:sz="0" w:space="0" w:color="auto"/>
        <w:bottom w:val="none" w:sz="0" w:space="0" w:color="auto"/>
        <w:right w:val="none" w:sz="0" w:space="0" w:color="auto"/>
      </w:divBdr>
    </w:div>
    <w:div w:id="1253973500">
      <w:bodyDiv w:val="1"/>
      <w:marLeft w:val="0"/>
      <w:marRight w:val="0"/>
      <w:marTop w:val="0"/>
      <w:marBottom w:val="0"/>
      <w:divBdr>
        <w:top w:val="none" w:sz="0" w:space="0" w:color="auto"/>
        <w:left w:val="none" w:sz="0" w:space="0" w:color="auto"/>
        <w:bottom w:val="none" w:sz="0" w:space="0" w:color="auto"/>
        <w:right w:val="none" w:sz="0" w:space="0" w:color="auto"/>
      </w:divBdr>
    </w:div>
    <w:div w:id="1254049285">
      <w:bodyDiv w:val="1"/>
      <w:marLeft w:val="0"/>
      <w:marRight w:val="0"/>
      <w:marTop w:val="0"/>
      <w:marBottom w:val="0"/>
      <w:divBdr>
        <w:top w:val="none" w:sz="0" w:space="0" w:color="auto"/>
        <w:left w:val="none" w:sz="0" w:space="0" w:color="auto"/>
        <w:bottom w:val="none" w:sz="0" w:space="0" w:color="auto"/>
        <w:right w:val="none" w:sz="0" w:space="0" w:color="auto"/>
      </w:divBdr>
    </w:div>
    <w:div w:id="1254969336">
      <w:bodyDiv w:val="1"/>
      <w:marLeft w:val="0"/>
      <w:marRight w:val="0"/>
      <w:marTop w:val="0"/>
      <w:marBottom w:val="0"/>
      <w:divBdr>
        <w:top w:val="none" w:sz="0" w:space="0" w:color="auto"/>
        <w:left w:val="none" w:sz="0" w:space="0" w:color="auto"/>
        <w:bottom w:val="none" w:sz="0" w:space="0" w:color="auto"/>
        <w:right w:val="none" w:sz="0" w:space="0" w:color="auto"/>
      </w:divBdr>
    </w:div>
    <w:div w:id="1256094563">
      <w:bodyDiv w:val="1"/>
      <w:marLeft w:val="0"/>
      <w:marRight w:val="0"/>
      <w:marTop w:val="0"/>
      <w:marBottom w:val="0"/>
      <w:divBdr>
        <w:top w:val="none" w:sz="0" w:space="0" w:color="auto"/>
        <w:left w:val="none" w:sz="0" w:space="0" w:color="auto"/>
        <w:bottom w:val="none" w:sz="0" w:space="0" w:color="auto"/>
        <w:right w:val="none" w:sz="0" w:space="0" w:color="auto"/>
      </w:divBdr>
    </w:div>
    <w:div w:id="1259944935">
      <w:bodyDiv w:val="1"/>
      <w:marLeft w:val="0"/>
      <w:marRight w:val="0"/>
      <w:marTop w:val="0"/>
      <w:marBottom w:val="0"/>
      <w:divBdr>
        <w:top w:val="none" w:sz="0" w:space="0" w:color="auto"/>
        <w:left w:val="none" w:sz="0" w:space="0" w:color="auto"/>
        <w:bottom w:val="none" w:sz="0" w:space="0" w:color="auto"/>
        <w:right w:val="none" w:sz="0" w:space="0" w:color="auto"/>
      </w:divBdr>
    </w:div>
    <w:div w:id="1260916510">
      <w:bodyDiv w:val="1"/>
      <w:marLeft w:val="0"/>
      <w:marRight w:val="0"/>
      <w:marTop w:val="0"/>
      <w:marBottom w:val="0"/>
      <w:divBdr>
        <w:top w:val="none" w:sz="0" w:space="0" w:color="auto"/>
        <w:left w:val="none" w:sz="0" w:space="0" w:color="auto"/>
        <w:bottom w:val="none" w:sz="0" w:space="0" w:color="auto"/>
        <w:right w:val="none" w:sz="0" w:space="0" w:color="auto"/>
      </w:divBdr>
    </w:div>
    <w:div w:id="1261908446">
      <w:bodyDiv w:val="1"/>
      <w:marLeft w:val="0"/>
      <w:marRight w:val="0"/>
      <w:marTop w:val="0"/>
      <w:marBottom w:val="0"/>
      <w:divBdr>
        <w:top w:val="none" w:sz="0" w:space="0" w:color="auto"/>
        <w:left w:val="none" w:sz="0" w:space="0" w:color="auto"/>
        <w:bottom w:val="none" w:sz="0" w:space="0" w:color="auto"/>
        <w:right w:val="none" w:sz="0" w:space="0" w:color="auto"/>
      </w:divBdr>
    </w:div>
    <w:div w:id="1262837866">
      <w:bodyDiv w:val="1"/>
      <w:marLeft w:val="0"/>
      <w:marRight w:val="0"/>
      <w:marTop w:val="0"/>
      <w:marBottom w:val="0"/>
      <w:divBdr>
        <w:top w:val="none" w:sz="0" w:space="0" w:color="auto"/>
        <w:left w:val="none" w:sz="0" w:space="0" w:color="auto"/>
        <w:bottom w:val="none" w:sz="0" w:space="0" w:color="auto"/>
        <w:right w:val="none" w:sz="0" w:space="0" w:color="auto"/>
      </w:divBdr>
    </w:div>
    <w:div w:id="1262908999">
      <w:bodyDiv w:val="1"/>
      <w:marLeft w:val="0"/>
      <w:marRight w:val="0"/>
      <w:marTop w:val="0"/>
      <w:marBottom w:val="0"/>
      <w:divBdr>
        <w:top w:val="none" w:sz="0" w:space="0" w:color="auto"/>
        <w:left w:val="none" w:sz="0" w:space="0" w:color="auto"/>
        <w:bottom w:val="none" w:sz="0" w:space="0" w:color="auto"/>
        <w:right w:val="none" w:sz="0" w:space="0" w:color="auto"/>
      </w:divBdr>
    </w:div>
    <w:div w:id="1263030675">
      <w:bodyDiv w:val="1"/>
      <w:marLeft w:val="0"/>
      <w:marRight w:val="0"/>
      <w:marTop w:val="0"/>
      <w:marBottom w:val="0"/>
      <w:divBdr>
        <w:top w:val="none" w:sz="0" w:space="0" w:color="auto"/>
        <w:left w:val="none" w:sz="0" w:space="0" w:color="auto"/>
        <w:bottom w:val="none" w:sz="0" w:space="0" w:color="auto"/>
        <w:right w:val="none" w:sz="0" w:space="0" w:color="auto"/>
      </w:divBdr>
    </w:div>
    <w:div w:id="1267232275">
      <w:bodyDiv w:val="1"/>
      <w:marLeft w:val="0"/>
      <w:marRight w:val="0"/>
      <w:marTop w:val="0"/>
      <w:marBottom w:val="0"/>
      <w:divBdr>
        <w:top w:val="none" w:sz="0" w:space="0" w:color="auto"/>
        <w:left w:val="none" w:sz="0" w:space="0" w:color="auto"/>
        <w:bottom w:val="none" w:sz="0" w:space="0" w:color="auto"/>
        <w:right w:val="none" w:sz="0" w:space="0" w:color="auto"/>
      </w:divBdr>
    </w:div>
    <w:div w:id="1268586323">
      <w:bodyDiv w:val="1"/>
      <w:marLeft w:val="0"/>
      <w:marRight w:val="0"/>
      <w:marTop w:val="0"/>
      <w:marBottom w:val="0"/>
      <w:divBdr>
        <w:top w:val="none" w:sz="0" w:space="0" w:color="auto"/>
        <w:left w:val="none" w:sz="0" w:space="0" w:color="auto"/>
        <w:bottom w:val="none" w:sz="0" w:space="0" w:color="auto"/>
        <w:right w:val="none" w:sz="0" w:space="0" w:color="auto"/>
      </w:divBdr>
    </w:div>
    <w:div w:id="1272130399">
      <w:bodyDiv w:val="1"/>
      <w:marLeft w:val="0"/>
      <w:marRight w:val="0"/>
      <w:marTop w:val="0"/>
      <w:marBottom w:val="0"/>
      <w:divBdr>
        <w:top w:val="none" w:sz="0" w:space="0" w:color="auto"/>
        <w:left w:val="none" w:sz="0" w:space="0" w:color="auto"/>
        <w:bottom w:val="none" w:sz="0" w:space="0" w:color="auto"/>
        <w:right w:val="none" w:sz="0" w:space="0" w:color="auto"/>
      </w:divBdr>
    </w:div>
    <w:div w:id="1273586233">
      <w:bodyDiv w:val="1"/>
      <w:marLeft w:val="0"/>
      <w:marRight w:val="0"/>
      <w:marTop w:val="0"/>
      <w:marBottom w:val="0"/>
      <w:divBdr>
        <w:top w:val="none" w:sz="0" w:space="0" w:color="auto"/>
        <w:left w:val="none" w:sz="0" w:space="0" w:color="auto"/>
        <w:bottom w:val="none" w:sz="0" w:space="0" w:color="auto"/>
        <w:right w:val="none" w:sz="0" w:space="0" w:color="auto"/>
      </w:divBdr>
    </w:div>
    <w:div w:id="1277255962">
      <w:bodyDiv w:val="1"/>
      <w:marLeft w:val="0"/>
      <w:marRight w:val="0"/>
      <w:marTop w:val="0"/>
      <w:marBottom w:val="0"/>
      <w:divBdr>
        <w:top w:val="none" w:sz="0" w:space="0" w:color="auto"/>
        <w:left w:val="none" w:sz="0" w:space="0" w:color="auto"/>
        <w:bottom w:val="none" w:sz="0" w:space="0" w:color="auto"/>
        <w:right w:val="none" w:sz="0" w:space="0" w:color="auto"/>
      </w:divBdr>
    </w:div>
    <w:div w:id="1277828567">
      <w:bodyDiv w:val="1"/>
      <w:marLeft w:val="0"/>
      <w:marRight w:val="0"/>
      <w:marTop w:val="0"/>
      <w:marBottom w:val="0"/>
      <w:divBdr>
        <w:top w:val="none" w:sz="0" w:space="0" w:color="auto"/>
        <w:left w:val="none" w:sz="0" w:space="0" w:color="auto"/>
        <w:bottom w:val="none" w:sz="0" w:space="0" w:color="auto"/>
        <w:right w:val="none" w:sz="0" w:space="0" w:color="auto"/>
      </w:divBdr>
    </w:div>
    <w:div w:id="1278677489">
      <w:bodyDiv w:val="1"/>
      <w:marLeft w:val="0"/>
      <w:marRight w:val="0"/>
      <w:marTop w:val="0"/>
      <w:marBottom w:val="0"/>
      <w:divBdr>
        <w:top w:val="none" w:sz="0" w:space="0" w:color="auto"/>
        <w:left w:val="none" w:sz="0" w:space="0" w:color="auto"/>
        <w:bottom w:val="none" w:sz="0" w:space="0" w:color="auto"/>
        <w:right w:val="none" w:sz="0" w:space="0" w:color="auto"/>
      </w:divBdr>
    </w:div>
    <w:div w:id="1279919270">
      <w:bodyDiv w:val="1"/>
      <w:marLeft w:val="0"/>
      <w:marRight w:val="0"/>
      <w:marTop w:val="0"/>
      <w:marBottom w:val="0"/>
      <w:divBdr>
        <w:top w:val="none" w:sz="0" w:space="0" w:color="auto"/>
        <w:left w:val="none" w:sz="0" w:space="0" w:color="auto"/>
        <w:bottom w:val="none" w:sz="0" w:space="0" w:color="auto"/>
        <w:right w:val="none" w:sz="0" w:space="0" w:color="auto"/>
      </w:divBdr>
    </w:div>
    <w:div w:id="1281916365">
      <w:bodyDiv w:val="1"/>
      <w:marLeft w:val="0"/>
      <w:marRight w:val="0"/>
      <w:marTop w:val="0"/>
      <w:marBottom w:val="0"/>
      <w:divBdr>
        <w:top w:val="none" w:sz="0" w:space="0" w:color="auto"/>
        <w:left w:val="none" w:sz="0" w:space="0" w:color="auto"/>
        <w:bottom w:val="none" w:sz="0" w:space="0" w:color="auto"/>
        <w:right w:val="none" w:sz="0" w:space="0" w:color="auto"/>
      </w:divBdr>
    </w:div>
    <w:div w:id="1282155349">
      <w:bodyDiv w:val="1"/>
      <w:marLeft w:val="0"/>
      <w:marRight w:val="0"/>
      <w:marTop w:val="0"/>
      <w:marBottom w:val="0"/>
      <w:divBdr>
        <w:top w:val="none" w:sz="0" w:space="0" w:color="auto"/>
        <w:left w:val="none" w:sz="0" w:space="0" w:color="auto"/>
        <w:bottom w:val="none" w:sz="0" w:space="0" w:color="auto"/>
        <w:right w:val="none" w:sz="0" w:space="0" w:color="auto"/>
      </w:divBdr>
    </w:div>
    <w:div w:id="1282225409">
      <w:bodyDiv w:val="1"/>
      <w:marLeft w:val="0"/>
      <w:marRight w:val="0"/>
      <w:marTop w:val="0"/>
      <w:marBottom w:val="0"/>
      <w:divBdr>
        <w:top w:val="none" w:sz="0" w:space="0" w:color="auto"/>
        <w:left w:val="none" w:sz="0" w:space="0" w:color="auto"/>
        <w:bottom w:val="none" w:sz="0" w:space="0" w:color="auto"/>
        <w:right w:val="none" w:sz="0" w:space="0" w:color="auto"/>
      </w:divBdr>
    </w:div>
    <w:div w:id="1282682910">
      <w:bodyDiv w:val="1"/>
      <w:marLeft w:val="0"/>
      <w:marRight w:val="0"/>
      <w:marTop w:val="0"/>
      <w:marBottom w:val="0"/>
      <w:divBdr>
        <w:top w:val="none" w:sz="0" w:space="0" w:color="auto"/>
        <w:left w:val="none" w:sz="0" w:space="0" w:color="auto"/>
        <w:bottom w:val="none" w:sz="0" w:space="0" w:color="auto"/>
        <w:right w:val="none" w:sz="0" w:space="0" w:color="auto"/>
      </w:divBdr>
    </w:div>
    <w:div w:id="1282764820">
      <w:bodyDiv w:val="1"/>
      <w:marLeft w:val="0"/>
      <w:marRight w:val="0"/>
      <w:marTop w:val="0"/>
      <w:marBottom w:val="0"/>
      <w:divBdr>
        <w:top w:val="none" w:sz="0" w:space="0" w:color="auto"/>
        <w:left w:val="none" w:sz="0" w:space="0" w:color="auto"/>
        <w:bottom w:val="none" w:sz="0" w:space="0" w:color="auto"/>
        <w:right w:val="none" w:sz="0" w:space="0" w:color="auto"/>
      </w:divBdr>
    </w:div>
    <w:div w:id="1284271242">
      <w:bodyDiv w:val="1"/>
      <w:marLeft w:val="0"/>
      <w:marRight w:val="0"/>
      <w:marTop w:val="0"/>
      <w:marBottom w:val="0"/>
      <w:divBdr>
        <w:top w:val="none" w:sz="0" w:space="0" w:color="auto"/>
        <w:left w:val="none" w:sz="0" w:space="0" w:color="auto"/>
        <w:bottom w:val="none" w:sz="0" w:space="0" w:color="auto"/>
        <w:right w:val="none" w:sz="0" w:space="0" w:color="auto"/>
      </w:divBdr>
    </w:div>
    <w:div w:id="1284384753">
      <w:bodyDiv w:val="1"/>
      <w:marLeft w:val="0"/>
      <w:marRight w:val="0"/>
      <w:marTop w:val="0"/>
      <w:marBottom w:val="0"/>
      <w:divBdr>
        <w:top w:val="none" w:sz="0" w:space="0" w:color="auto"/>
        <w:left w:val="none" w:sz="0" w:space="0" w:color="auto"/>
        <w:bottom w:val="none" w:sz="0" w:space="0" w:color="auto"/>
        <w:right w:val="none" w:sz="0" w:space="0" w:color="auto"/>
      </w:divBdr>
    </w:div>
    <w:div w:id="1289123510">
      <w:bodyDiv w:val="1"/>
      <w:marLeft w:val="0"/>
      <w:marRight w:val="0"/>
      <w:marTop w:val="0"/>
      <w:marBottom w:val="0"/>
      <w:divBdr>
        <w:top w:val="none" w:sz="0" w:space="0" w:color="auto"/>
        <w:left w:val="none" w:sz="0" w:space="0" w:color="auto"/>
        <w:bottom w:val="none" w:sz="0" w:space="0" w:color="auto"/>
        <w:right w:val="none" w:sz="0" w:space="0" w:color="auto"/>
      </w:divBdr>
    </w:div>
    <w:div w:id="1289974868">
      <w:bodyDiv w:val="1"/>
      <w:marLeft w:val="0"/>
      <w:marRight w:val="0"/>
      <w:marTop w:val="0"/>
      <w:marBottom w:val="0"/>
      <w:divBdr>
        <w:top w:val="none" w:sz="0" w:space="0" w:color="auto"/>
        <w:left w:val="none" w:sz="0" w:space="0" w:color="auto"/>
        <w:bottom w:val="none" w:sz="0" w:space="0" w:color="auto"/>
        <w:right w:val="none" w:sz="0" w:space="0" w:color="auto"/>
      </w:divBdr>
    </w:div>
    <w:div w:id="1290084238">
      <w:bodyDiv w:val="1"/>
      <w:marLeft w:val="0"/>
      <w:marRight w:val="0"/>
      <w:marTop w:val="0"/>
      <w:marBottom w:val="0"/>
      <w:divBdr>
        <w:top w:val="none" w:sz="0" w:space="0" w:color="auto"/>
        <w:left w:val="none" w:sz="0" w:space="0" w:color="auto"/>
        <w:bottom w:val="none" w:sz="0" w:space="0" w:color="auto"/>
        <w:right w:val="none" w:sz="0" w:space="0" w:color="auto"/>
      </w:divBdr>
    </w:div>
    <w:div w:id="1291328572">
      <w:bodyDiv w:val="1"/>
      <w:marLeft w:val="0"/>
      <w:marRight w:val="0"/>
      <w:marTop w:val="0"/>
      <w:marBottom w:val="0"/>
      <w:divBdr>
        <w:top w:val="none" w:sz="0" w:space="0" w:color="auto"/>
        <w:left w:val="none" w:sz="0" w:space="0" w:color="auto"/>
        <w:bottom w:val="none" w:sz="0" w:space="0" w:color="auto"/>
        <w:right w:val="none" w:sz="0" w:space="0" w:color="auto"/>
      </w:divBdr>
    </w:div>
    <w:div w:id="1292325125">
      <w:bodyDiv w:val="1"/>
      <w:marLeft w:val="0"/>
      <w:marRight w:val="0"/>
      <w:marTop w:val="0"/>
      <w:marBottom w:val="0"/>
      <w:divBdr>
        <w:top w:val="none" w:sz="0" w:space="0" w:color="auto"/>
        <w:left w:val="none" w:sz="0" w:space="0" w:color="auto"/>
        <w:bottom w:val="none" w:sz="0" w:space="0" w:color="auto"/>
        <w:right w:val="none" w:sz="0" w:space="0" w:color="auto"/>
      </w:divBdr>
    </w:div>
    <w:div w:id="1293554063">
      <w:bodyDiv w:val="1"/>
      <w:marLeft w:val="0"/>
      <w:marRight w:val="0"/>
      <w:marTop w:val="0"/>
      <w:marBottom w:val="0"/>
      <w:divBdr>
        <w:top w:val="none" w:sz="0" w:space="0" w:color="auto"/>
        <w:left w:val="none" w:sz="0" w:space="0" w:color="auto"/>
        <w:bottom w:val="none" w:sz="0" w:space="0" w:color="auto"/>
        <w:right w:val="none" w:sz="0" w:space="0" w:color="auto"/>
      </w:divBdr>
    </w:div>
    <w:div w:id="1296329946">
      <w:bodyDiv w:val="1"/>
      <w:marLeft w:val="0"/>
      <w:marRight w:val="0"/>
      <w:marTop w:val="0"/>
      <w:marBottom w:val="0"/>
      <w:divBdr>
        <w:top w:val="none" w:sz="0" w:space="0" w:color="auto"/>
        <w:left w:val="none" w:sz="0" w:space="0" w:color="auto"/>
        <w:bottom w:val="none" w:sz="0" w:space="0" w:color="auto"/>
        <w:right w:val="none" w:sz="0" w:space="0" w:color="auto"/>
      </w:divBdr>
    </w:div>
    <w:div w:id="1297645411">
      <w:bodyDiv w:val="1"/>
      <w:marLeft w:val="0"/>
      <w:marRight w:val="0"/>
      <w:marTop w:val="0"/>
      <w:marBottom w:val="0"/>
      <w:divBdr>
        <w:top w:val="none" w:sz="0" w:space="0" w:color="auto"/>
        <w:left w:val="none" w:sz="0" w:space="0" w:color="auto"/>
        <w:bottom w:val="none" w:sz="0" w:space="0" w:color="auto"/>
        <w:right w:val="none" w:sz="0" w:space="0" w:color="auto"/>
      </w:divBdr>
    </w:div>
    <w:div w:id="1301574191">
      <w:bodyDiv w:val="1"/>
      <w:marLeft w:val="0"/>
      <w:marRight w:val="0"/>
      <w:marTop w:val="0"/>
      <w:marBottom w:val="0"/>
      <w:divBdr>
        <w:top w:val="none" w:sz="0" w:space="0" w:color="auto"/>
        <w:left w:val="none" w:sz="0" w:space="0" w:color="auto"/>
        <w:bottom w:val="none" w:sz="0" w:space="0" w:color="auto"/>
        <w:right w:val="none" w:sz="0" w:space="0" w:color="auto"/>
      </w:divBdr>
    </w:div>
    <w:div w:id="1302077090">
      <w:bodyDiv w:val="1"/>
      <w:marLeft w:val="0"/>
      <w:marRight w:val="0"/>
      <w:marTop w:val="0"/>
      <w:marBottom w:val="0"/>
      <w:divBdr>
        <w:top w:val="none" w:sz="0" w:space="0" w:color="auto"/>
        <w:left w:val="none" w:sz="0" w:space="0" w:color="auto"/>
        <w:bottom w:val="none" w:sz="0" w:space="0" w:color="auto"/>
        <w:right w:val="none" w:sz="0" w:space="0" w:color="auto"/>
      </w:divBdr>
    </w:div>
    <w:div w:id="1302275036">
      <w:bodyDiv w:val="1"/>
      <w:marLeft w:val="0"/>
      <w:marRight w:val="0"/>
      <w:marTop w:val="0"/>
      <w:marBottom w:val="0"/>
      <w:divBdr>
        <w:top w:val="none" w:sz="0" w:space="0" w:color="auto"/>
        <w:left w:val="none" w:sz="0" w:space="0" w:color="auto"/>
        <w:bottom w:val="none" w:sz="0" w:space="0" w:color="auto"/>
        <w:right w:val="none" w:sz="0" w:space="0" w:color="auto"/>
      </w:divBdr>
    </w:div>
    <w:div w:id="1307125556">
      <w:bodyDiv w:val="1"/>
      <w:marLeft w:val="0"/>
      <w:marRight w:val="0"/>
      <w:marTop w:val="0"/>
      <w:marBottom w:val="0"/>
      <w:divBdr>
        <w:top w:val="none" w:sz="0" w:space="0" w:color="auto"/>
        <w:left w:val="none" w:sz="0" w:space="0" w:color="auto"/>
        <w:bottom w:val="none" w:sz="0" w:space="0" w:color="auto"/>
        <w:right w:val="none" w:sz="0" w:space="0" w:color="auto"/>
      </w:divBdr>
    </w:div>
    <w:div w:id="1308047042">
      <w:bodyDiv w:val="1"/>
      <w:marLeft w:val="0"/>
      <w:marRight w:val="0"/>
      <w:marTop w:val="0"/>
      <w:marBottom w:val="0"/>
      <w:divBdr>
        <w:top w:val="none" w:sz="0" w:space="0" w:color="auto"/>
        <w:left w:val="none" w:sz="0" w:space="0" w:color="auto"/>
        <w:bottom w:val="none" w:sz="0" w:space="0" w:color="auto"/>
        <w:right w:val="none" w:sz="0" w:space="0" w:color="auto"/>
      </w:divBdr>
    </w:div>
    <w:div w:id="1309826258">
      <w:bodyDiv w:val="1"/>
      <w:marLeft w:val="0"/>
      <w:marRight w:val="0"/>
      <w:marTop w:val="0"/>
      <w:marBottom w:val="0"/>
      <w:divBdr>
        <w:top w:val="none" w:sz="0" w:space="0" w:color="auto"/>
        <w:left w:val="none" w:sz="0" w:space="0" w:color="auto"/>
        <w:bottom w:val="none" w:sz="0" w:space="0" w:color="auto"/>
        <w:right w:val="none" w:sz="0" w:space="0" w:color="auto"/>
      </w:divBdr>
    </w:div>
    <w:div w:id="1312709860">
      <w:bodyDiv w:val="1"/>
      <w:marLeft w:val="0"/>
      <w:marRight w:val="0"/>
      <w:marTop w:val="0"/>
      <w:marBottom w:val="0"/>
      <w:divBdr>
        <w:top w:val="none" w:sz="0" w:space="0" w:color="auto"/>
        <w:left w:val="none" w:sz="0" w:space="0" w:color="auto"/>
        <w:bottom w:val="none" w:sz="0" w:space="0" w:color="auto"/>
        <w:right w:val="none" w:sz="0" w:space="0" w:color="auto"/>
      </w:divBdr>
    </w:div>
    <w:div w:id="1316912961">
      <w:bodyDiv w:val="1"/>
      <w:marLeft w:val="0"/>
      <w:marRight w:val="0"/>
      <w:marTop w:val="0"/>
      <w:marBottom w:val="0"/>
      <w:divBdr>
        <w:top w:val="none" w:sz="0" w:space="0" w:color="auto"/>
        <w:left w:val="none" w:sz="0" w:space="0" w:color="auto"/>
        <w:bottom w:val="none" w:sz="0" w:space="0" w:color="auto"/>
        <w:right w:val="none" w:sz="0" w:space="0" w:color="auto"/>
      </w:divBdr>
    </w:div>
    <w:div w:id="1319066894">
      <w:bodyDiv w:val="1"/>
      <w:marLeft w:val="0"/>
      <w:marRight w:val="0"/>
      <w:marTop w:val="0"/>
      <w:marBottom w:val="0"/>
      <w:divBdr>
        <w:top w:val="none" w:sz="0" w:space="0" w:color="auto"/>
        <w:left w:val="none" w:sz="0" w:space="0" w:color="auto"/>
        <w:bottom w:val="none" w:sz="0" w:space="0" w:color="auto"/>
        <w:right w:val="none" w:sz="0" w:space="0" w:color="auto"/>
      </w:divBdr>
    </w:div>
    <w:div w:id="1321884451">
      <w:bodyDiv w:val="1"/>
      <w:marLeft w:val="0"/>
      <w:marRight w:val="0"/>
      <w:marTop w:val="0"/>
      <w:marBottom w:val="0"/>
      <w:divBdr>
        <w:top w:val="none" w:sz="0" w:space="0" w:color="auto"/>
        <w:left w:val="none" w:sz="0" w:space="0" w:color="auto"/>
        <w:bottom w:val="none" w:sz="0" w:space="0" w:color="auto"/>
        <w:right w:val="none" w:sz="0" w:space="0" w:color="auto"/>
      </w:divBdr>
    </w:div>
    <w:div w:id="1323194547">
      <w:bodyDiv w:val="1"/>
      <w:marLeft w:val="0"/>
      <w:marRight w:val="0"/>
      <w:marTop w:val="0"/>
      <w:marBottom w:val="0"/>
      <w:divBdr>
        <w:top w:val="none" w:sz="0" w:space="0" w:color="auto"/>
        <w:left w:val="none" w:sz="0" w:space="0" w:color="auto"/>
        <w:bottom w:val="none" w:sz="0" w:space="0" w:color="auto"/>
        <w:right w:val="none" w:sz="0" w:space="0" w:color="auto"/>
      </w:divBdr>
    </w:div>
    <w:div w:id="1324624107">
      <w:bodyDiv w:val="1"/>
      <w:marLeft w:val="0"/>
      <w:marRight w:val="0"/>
      <w:marTop w:val="0"/>
      <w:marBottom w:val="0"/>
      <w:divBdr>
        <w:top w:val="none" w:sz="0" w:space="0" w:color="auto"/>
        <w:left w:val="none" w:sz="0" w:space="0" w:color="auto"/>
        <w:bottom w:val="none" w:sz="0" w:space="0" w:color="auto"/>
        <w:right w:val="none" w:sz="0" w:space="0" w:color="auto"/>
      </w:divBdr>
    </w:div>
    <w:div w:id="1335185787">
      <w:bodyDiv w:val="1"/>
      <w:marLeft w:val="0"/>
      <w:marRight w:val="0"/>
      <w:marTop w:val="0"/>
      <w:marBottom w:val="0"/>
      <w:divBdr>
        <w:top w:val="none" w:sz="0" w:space="0" w:color="auto"/>
        <w:left w:val="none" w:sz="0" w:space="0" w:color="auto"/>
        <w:bottom w:val="none" w:sz="0" w:space="0" w:color="auto"/>
        <w:right w:val="none" w:sz="0" w:space="0" w:color="auto"/>
      </w:divBdr>
    </w:div>
    <w:div w:id="1336684407">
      <w:bodyDiv w:val="1"/>
      <w:marLeft w:val="0"/>
      <w:marRight w:val="0"/>
      <w:marTop w:val="0"/>
      <w:marBottom w:val="0"/>
      <w:divBdr>
        <w:top w:val="none" w:sz="0" w:space="0" w:color="auto"/>
        <w:left w:val="none" w:sz="0" w:space="0" w:color="auto"/>
        <w:bottom w:val="none" w:sz="0" w:space="0" w:color="auto"/>
        <w:right w:val="none" w:sz="0" w:space="0" w:color="auto"/>
      </w:divBdr>
    </w:div>
    <w:div w:id="1337073403">
      <w:bodyDiv w:val="1"/>
      <w:marLeft w:val="0"/>
      <w:marRight w:val="0"/>
      <w:marTop w:val="0"/>
      <w:marBottom w:val="0"/>
      <w:divBdr>
        <w:top w:val="none" w:sz="0" w:space="0" w:color="auto"/>
        <w:left w:val="none" w:sz="0" w:space="0" w:color="auto"/>
        <w:bottom w:val="none" w:sz="0" w:space="0" w:color="auto"/>
        <w:right w:val="none" w:sz="0" w:space="0" w:color="auto"/>
      </w:divBdr>
    </w:div>
    <w:div w:id="1338076980">
      <w:bodyDiv w:val="1"/>
      <w:marLeft w:val="0"/>
      <w:marRight w:val="0"/>
      <w:marTop w:val="0"/>
      <w:marBottom w:val="0"/>
      <w:divBdr>
        <w:top w:val="none" w:sz="0" w:space="0" w:color="auto"/>
        <w:left w:val="none" w:sz="0" w:space="0" w:color="auto"/>
        <w:bottom w:val="none" w:sz="0" w:space="0" w:color="auto"/>
        <w:right w:val="none" w:sz="0" w:space="0" w:color="auto"/>
      </w:divBdr>
    </w:div>
    <w:div w:id="1338077954">
      <w:bodyDiv w:val="1"/>
      <w:marLeft w:val="0"/>
      <w:marRight w:val="0"/>
      <w:marTop w:val="0"/>
      <w:marBottom w:val="0"/>
      <w:divBdr>
        <w:top w:val="none" w:sz="0" w:space="0" w:color="auto"/>
        <w:left w:val="none" w:sz="0" w:space="0" w:color="auto"/>
        <w:bottom w:val="none" w:sz="0" w:space="0" w:color="auto"/>
        <w:right w:val="none" w:sz="0" w:space="0" w:color="auto"/>
      </w:divBdr>
    </w:div>
    <w:div w:id="1339889032">
      <w:bodyDiv w:val="1"/>
      <w:marLeft w:val="0"/>
      <w:marRight w:val="0"/>
      <w:marTop w:val="0"/>
      <w:marBottom w:val="0"/>
      <w:divBdr>
        <w:top w:val="none" w:sz="0" w:space="0" w:color="auto"/>
        <w:left w:val="none" w:sz="0" w:space="0" w:color="auto"/>
        <w:bottom w:val="none" w:sz="0" w:space="0" w:color="auto"/>
        <w:right w:val="none" w:sz="0" w:space="0" w:color="auto"/>
      </w:divBdr>
    </w:div>
    <w:div w:id="1340546028">
      <w:bodyDiv w:val="1"/>
      <w:marLeft w:val="0"/>
      <w:marRight w:val="0"/>
      <w:marTop w:val="0"/>
      <w:marBottom w:val="0"/>
      <w:divBdr>
        <w:top w:val="none" w:sz="0" w:space="0" w:color="auto"/>
        <w:left w:val="none" w:sz="0" w:space="0" w:color="auto"/>
        <w:bottom w:val="none" w:sz="0" w:space="0" w:color="auto"/>
        <w:right w:val="none" w:sz="0" w:space="0" w:color="auto"/>
      </w:divBdr>
    </w:div>
    <w:div w:id="1341004731">
      <w:bodyDiv w:val="1"/>
      <w:marLeft w:val="0"/>
      <w:marRight w:val="0"/>
      <w:marTop w:val="0"/>
      <w:marBottom w:val="0"/>
      <w:divBdr>
        <w:top w:val="none" w:sz="0" w:space="0" w:color="auto"/>
        <w:left w:val="none" w:sz="0" w:space="0" w:color="auto"/>
        <w:bottom w:val="none" w:sz="0" w:space="0" w:color="auto"/>
        <w:right w:val="none" w:sz="0" w:space="0" w:color="auto"/>
      </w:divBdr>
    </w:div>
    <w:div w:id="1341159373">
      <w:bodyDiv w:val="1"/>
      <w:marLeft w:val="0"/>
      <w:marRight w:val="0"/>
      <w:marTop w:val="0"/>
      <w:marBottom w:val="0"/>
      <w:divBdr>
        <w:top w:val="none" w:sz="0" w:space="0" w:color="auto"/>
        <w:left w:val="none" w:sz="0" w:space="0" w:color="auto"/>
        <w:bottom w:val="none" w:sz="0" w:space="0" w:color="auto"/>
        <w:right w:val="none" w:sz="0" w:space="0" w:color="auto"/>
      </w:divBdr>
    </w:div>
    <w:div w:id="1342009599">
      <w:bodyDiv w:val="1"/>
      <w:marLeft w:val="0"/>
      <w:marRight w:val="0"/>
      <w:marTop w:val="0"/>
      <w:marBottom w:val="0"/>
      <w:divBdr>
        <w:top w:val="none" w:sz="0" w:space="0" w:color="auto"/>
        <w:left w:val="none" w:sz="0" w:space="0" w:color="auto"/>
        <w:bottom w:val="none" w:sz="0" w:space="0" w:color="auto"/>
        <w:right w:val="none" w:sz="0" w:space="0" w:color="auto"/>
      </w:divBdr>
    </w:div>
    <w:div w:id="1342465912">
      <w:bodyDiv w:val="1"/>
      <w:marLeft w:val="0"/>
      <w:marRight w:val="0"/>
      <w:marTop w:val="0"/>
      <w:marBottom w:val="0"/>
      <w:divBdr>
        <w:top w:val="none" w:sz="0" w:space="0" w:color="auto"/>
        <w:left w:val="none" w:sz="0" w:space="0" w:color="auto"/>
        <w:bottom w:val="none" w:sz="0" w:space="0" w:color="auto"/>
        <w:right w:val="none" w:sz="0" w:space="0" w:color="auto"/>
      </w:divBdr>
    </w:div>
    <w:div w:id="1343433032">
      <w:bodyDiv w:val="1"/>
      <w:marLeft w:val="0"/>
      <w:marRight w:val="0"/>
      <w:marTop w:val="0"/>
      <w:marBottom w:val="0"/>
      <w:divBdr>
        <w:top w:val="none" w:sz="0" w:space="0" w:color="auto"/>
        <w:left w:val="none" w:sz="0" w:space="0" w:color="auto"/>
        <w:bottom w:val="none" w:sz="0" w:space="0" w:color="auto"/>
        <w:right w:val="none" w:sz="0" w:space="0" w:color="auto"/>
      </w:divBdr>
    </w:div>
    <w:div w:id="1344817240">
      <w:bodyDiv w:val="1"/>
      <w:marLeft w:val="0"/>
      <w:marRight w:val="0"/>
      <w:marTop w:val="0"/>
      <w:marBottom w:val="0"/>
      <w:divBdr>
        <w:top w:val="none" w:sz="0" w:space="0" w:color="auto"/>
        <w:left w:val="none" w:sz="0" w:space="0" w:color="auto"/>
        <w:bottom w:val="none" w:sz="0" w:space="0" w:color="auto"/>
        <w:right w:val="none" w:sz="0" w:space="0" w:color="auto"/>
      </w:divBdr>
    </w:div>
    <w:div w:id="1345550835">
      <w:bodyDiv w:val="1"/>
      <w:marLeft w:val="0"/>
      <w:marRight w:val="0"/>
      <w:marTop w:val="0"/>
      <w:marBottom w:val="0"/>
      <w:divBdr>
        <w:top w:val="none" w:sz="0" w:space="0" w:color="auto"/>
        <w:left w:val="none" w:sz="0" w:space="0" w:color="auto"/>
        <w:bottom w:val="none" w:sz="0" w:space="0" w:color="auto"/>
        <w:right w:val="none" w:sz="0" w:space="0" w:color="auto"/>
      </w:divBdr>
    </w:div>
    <w:div w:id="1346784769">
      <w:bodyDiv w:val="1"/>
      <w:marLeft w:val="0"/>
      <w:marRight w:val="0"/>
      <w:marTop w:val="0"/>
      <w:marBottom w:val="0"/>
      <w:divBdr>
        <w:top w:val="none" w:sz="0" w:space="0" w:color="auto"/>
        <w:left w:val="none" w:sz="0" w:space="0" w:color="auto"/>
        <w:bottom w:val="none" w:sz="0" w:space="0" w:color="auto"/>
        <w:right w:val="none" w:sz="0" w:space="0" w:color="auto"/>
      </w:divBdr>
    </w:div>
    <w:div w:id="1347513448">
      <w:bodyDiv w:val="1"/>
      <w:marLeft w:val="0"/>
      <w:marRight w:val="0"/>
      <w:marTop w:val="0"/>
      <w:marBottom w:val="0"/>
      <w:divBdr>
        <w:top w:val="none" w:sz="0" w:space="0" w:color="auto"/>
        <w:left w:val="none" w:sz="0" w:space="0" w:color="auto"/>
        <w:bottom w:val="none" w:sz="0" w:space="0" w:color="auto"/>
        <w:right w:val="none" w:sz="0" w:space="0" w:color="auto"/>
      </w:divBdr>
    </w:div>
    <w:div w:id="1348409237">
      <w:bodyDiv w:val="1"/>
      <w:marLeft w:val="0"/>
      <w:marRight w:val="0"/>
      <w:marTop w:val="0"/>
      <w:marBottom w:val="0"/>
      <w:divBdr>
        <w:top w:val="none" w:sz="0" w:space="0" w:color="auto"/>
        <w:left w:val="none" w:sz="0" w:space="0" w:color="auto"/>
        <w:bottom w:val="none" w:sz="0" w:space="0" w:color="auto"/>
        <w:right w:val="none" w:sz="0" w:space="0" w:color="auto"/>
      </w:divBdr>
    </w:div>
    <w:div w:id="1350570235">
      <w:bodyDiv w:val="1"/>
      <w:marLeft w:val="0"/>
      <w:marRight w:val="0"/>
      <w:marTop w:val="0"/>
      <w:marBottom w:val="0"/>
      <w:divBdr>
        <w:top w:val="none" w:sz="0" w:space="0" w:color="auto"/>
        <w:left w:val="none" w:sz="0" w:space="0" w:color="auto"/>
        <w:bottom w:val="none" w:sz="0" w:space="0" w:color="auto"/>
        <w:right w:val="none" w:sz="0" w:space="0" w:color="auto"/>
      </w:divBdr>
    </w:div>
    <w:div w:id="1351640107">
      <w:bodyDiv w:val="1"/>
      <w:marLeft w:val="0"/>
      <w:marRight w:val="0"/>
      <w:marTop w:val="0"/>
      <w:marBottom w:val="0"/>
      <w:divBdr>
        <w:top w:val="none" w:sz="0" w:space="0" w:color="auto"/>
        <w:left w:val="none" w:sz="0" w:space="0" w:color="auto"/>
        <w:bottom w:val="none" w:sz="0" w:space="0" w:color="auto"/>
        <w:right w:val="none" w:sz="0" w:space="0" w:color="auto"/>
      </w:divBdr>
    </w:div>
    <w:div w:id="1355224650">
      <w:bodyDiv w:val="1"/>
      <w:marLeft w:val="0"/>
      <w:marRight w:val="0"/>
      <w:marTop w:val="0"/>
      <w:marBottom w:val="0"/>
      <w:divBdr>
        <w:top w:val="none" w:sz="0" w:space="0" w:color="auto"/>
        <w:left w:val="none" w:sz="0" w:space="0" w:color="auto"/>
        <w:bottom w:val="none" w:sz="0" w:space="0" w:color="auto"/>
        <w:right w:val="none" w:sz="0" w:space="0" w:color="auto"/>
      </w:divBdr>
    </w:div>
    <w:div w:id="1357192573">
      <w:bodyDiv w:val="1"/>
      <w:marLeft w:val="0"/>
      <w:marRight w:val="0"/>
      <w:marTop w:val="0"/>
      <w:marBottom w:val="0"/>
      <w:divBdr>
        <w:top w:val="none" w:sz="0" w:space="0" w:color="auto"/>
        <w:left w:val="none" w:sz="0" w:space="0" w:color="auto"/>
        <w:bottom w:val="none" w:sz="0" w:space="0" w:color="auto"/>
        <w:right w:val="none" w:sz="0" w:space="0" w:color="auto"/>
      </w:divBdr>
    </w:div>
    <w:div w:id="1358964204">
      <w:bodyDiv w:val="1"/>
      <w:marLeft w:val="0"/>
      <w:marRight w:val="0"/>
      <w:marTop w:val="0"/>
      <w:marBottom w:val="0"/>
      <w:divBdr>
        <w:top w:val="none" w:sz="0" w:space="0" w:color="auto"/>
        <w:left w:val="none" w:sz="0" w:space="0" w:color="auto"/>
        <w:bottom w:val="none" w:sz="0" w:space="0" w:color="auto"/>
        <w:right w:val="none" w:sz="0" w:space="0" w:color="auto"/>
      </w:divBdr>
    </w:div>
    <w:div w:id="1360205658">
      <w:bodyDiv w:val="1"/>
      <w:marLeft w:val="0"/>
      <w:marRight w:val="0"/>
      <w:marTop w:val="0"/>
      <w:marBottom w:val="0"/>
      <w:divBdr>
        <w:top w:val="none" w:sz="0" w:space="0" w:color="auto"/>
        <w:left w:val="none" w:sz="0" w:space="0" w:color="auto"/>
        <w:bottom w:val="none" w:sz="0" w:space="0" w:color="auto"/>
        <w:right w:val="none" w:sz="0" w:space="0" w:color="auto"/>
      </w:divBdr>
    </w:div>
    <w:div w:id="1360815416">
      <w:bodyDiv w:val="1"/>
      <w:marLeft w:val="0"/>
      <w:marRight w:val="0"/>
      <w:marTop w:val="0"/>
      <w:marBottom w:val="0"/>
      <w:divBdr>
        <w:top w:val="none" w:sz="0" w:space="0" w:color="auto"/>
        <w:left w:val="none" w:sz="0" w:space="0" w:color="auto"/>
        <w:bottom w:val="none" w:sz="0" w:space="0" w:color="auto"/>
        <w:right w:val="none" w:sz="0" w:space="0" w:color="auto"/>
      </w:divBdr>
    </w:div>
    <w:div w:id="1363364959">
      <w:bodyDiv w:val="1"/>
      <w:marLeft w:val="0"/>
      <w:marRight w:val="0"/>
      <w:marTop w:val="0"/>
      <w:marBottom w:val="0"/>
      <w:divBdr>
        <w:top w:val="none" w:sz="0" w:space="0" w:color="auto"/>
        <w:left w:val="none" w:sz="0" w:space="0" w:color="auto"/>
        <w:bottom w:val="none" w:sz="0" w:space="0" w:color="auto"/>
        <w:right w:val="none" w:sz="0" w:space="0" w:color="auto"/>
      </w:divBdr>
    </w:div>
    <w:div w:id="1366980142">
      <w:bodyDiv w:val="1"/>
      <w:marLeft w:val="0"/>
      <w:marRight w:val="0"/>
      <w:marTop w:val="0"/>
      <w:marBottom w:val="0"/>
      <w:divBdr>
        <w:top w:val="none" w:sz="0" w:space="0" w:color="auto"/>
        <w:left w:val="none" w:sz="0" w:space="0" w:color="auto"/>
        <w:bottom w:val="none" w:sz="0" w:space="0" w:color="auto"/>
        <w:right w:val="none" w:sz="0" w:space="0" w:color="auto"/>
      </w:divBdr>
    </w:div>
    <w:div w:id="1370841608">
      <w:bodyDiv w:val="1"/>
      <w:marLeft w:val="0"/>
      <w:marRight w:val="0"/>
      <w:marTop w:val="0"/>
      <w:marBottom w:val="0"/>
      <w:divBdr>
        <w:top w:val="none" w:sz="0" w:space="0" w:color="auto"/>
        <w:left w:val="none" w:sz="0" w:space="0" w:color="auto"/>
        <w:bottom w:val="none" w:sz="0" w:space="0" w:color="auto"/>
        <w:right w:val="none" w:sz="0" w:space="0" w:color="auto"/>
      </w:divBdr>
    </w:div>
    <w:div w:id="1371153536">
      <w:bodyDiv w:val="1"/>
      <w:marLeft w:val="0"/>
      <w:marRight w:val="0"/>
      <w:marTop w:val="0"/>
      <w:marBottom w:val="0"/>
      <w:divBdr>
        <w:top w:val="none" w:sz="0" w:space="0" w:color="auto"/>
        <w:left w:val="none" w:sz="0" w:space="0" w:color="auto"/>
        <w:bottom w:val="none" w:sz="0" w:space="0" w:color="auto"/>
        <w:right w:val="none" w:sz="0" w:space="0" w:color="auto"/>
      </w:divBdr>
    </w:div>
    <w:div w:id="1372610397">
      <w:bodyDiv w:val="1"/>
      <w:marLeft w:val="0"/>
      <w:marRight w:val="0"/>
      <w:marTop w:val="0"/>
      <w:marBottom w:val="0"/>
      <w:divBdr>
        <w:top w:val="none" w:sz="0" w:space="0" w:color="auto"/>
        <w:left w:val="none" w:sz="0" w:space="0" w:color="auto"/>
        <w:bottom w:val="none" w:sz="0" w:space="0" w:color="auto"/>
        <w:right w:val="none" w:sz="0" w:space="0" w:color="auto"/>
      </w:divBdr>
    </w:div>
    <w:div w:id="1372924038">
      <w:bodyDiv w:val="1"/>
      <w:marLeft w:val="0"/>
      <w:marRight w:val="0"/>
      <w:marTop w:val="0"/>
      <w:marBottom w:val="0"/>
      <w:divBdr>
        <w:top w:val="none" w:sz="0" w:space="0" w:color="auto"/>
        <w:left w:val="none" w:sz="0" w:space="0" w:color="auto"/>
        <w:bottom w:val="none" w:sz="0" w:space="0" w:color="auto"/>
        <w:right w:val="none" w:sz="0" w:space="0" w:color="auto"/>
      </w:divBdr>
    </w:div>
    <w:div w:id="1374378108">
      <w:bodyDiv w:val="1"/>
      <w:marLeft w:val="0"/>
      <w:marRight w:val="0"/>
      <w:marTop w:val="0"/>
      <w:marBottom w:val="0"/>
      <w:divBdr>
        <w:top w:val="none" w:sz="0" w:space="0" w:color="auto"/>
        <w:left w:val="none" w:sz="0" w:space="0" w:color="auto"/>
        <w:bottom w:val="none" w:sz="0" w:space="0" w:color="auto"/>
        <w:right w:val="none" w:sz="0" w:space="0" w:color="auto"/>
      </w:divBdr>
    </w:div>
    <w:div w:id="1381630697">
      <w:bodyDiv w:val="1"/>
      <w:marLeft w:val="0"/>
      <w:marRight w:val="0"/>
      <w:marTop w:val="0"/>
      <w:marBottom w:val="0"/>
      <w:divBdr>
        <w:top w:val="none" w:sz="0" w:space="0" w:color="auto"/>
        <w:left w:val="none" w:sz="0" w:space="0" w:color="auto"/>
        <w:bottom w:val="none" w:sz="0" w:space="0" w:color="auto"/>
        <w:right w:val="none" w:sz="0" w:space="0" w:color="auto"/>
      </w:divBdr>
    </w:div>
    <w:div w:id="1387871922">
      <w:bodyDiv w:val="1"/>
      <w:marLeft w:val="0"/>
      <w:marRight w:val="0"/>
      <w:marTop w:val="0"/>
      <w:marBottom w:val="0"/>
      <w:divBdr>
        <w:top w:val="none" w:sz="0" w:space="0" w:color="auto"/>
        <w:left w:val="none" w:sz="0" w:space="0" w:color="auto"/>
        <w:bottom w:val="none" w:sz="0" w:space="0" w:color="auto"/>
        <w:right w:val="none" w:sz="0" w:space="0" w:color="auto"/>
      </w:divBdr>
    </w:div>
    <w:div w:id="1387951816">
      <w:bodyDiv w:val="1"/>
      <w:marLeft w:val="0"/>
      <w:marRight w:val="0"/>
      <w:marTop w:val="0"/>
      <w:marBottom w:val="0"/>
      <w:divBdr>
        <w:top w:val="none" w:sz="0" w:space="0" w:color="auto"/>
        <w:left w:val="none" w:sz="0" w:space="0" w:color="auto"/>
        <w:bottom w:val="none" w:sz="0" w:space="0" w:color="auto"/>
        <w:right w:val="none" w:sz="0" w:space="0" w:color="auto"/>
      </w:divBdr>
    </w:div>
    <w:div w:id="1390492303">
      <w:bodyDiv w:val="1"/>
      <w:marLeft w:val="0"/>
      <w:marRight w:val="0"/>
      <w:marTop w:val="0"/>
      <w:marBottom w:val="0"/>
      <w:divBdr>
        <w:top w:val="none" w:sz="0" w:space="0" w:color="auto"/>
        <w:left w:val="none" w:sz="0" w:space="0" w:color="auto"/>
        <w:bottom w:val="none" w:sz="0" w:space="0" w:color="auto"/>
        <w:right w:val="none" w:sz="0" w:space="0" w:color="auto"/>
      </w:divBdr>
    </w:div>
    <w:div w:id="1394428245">
      <w:bodyDiv w:val="1"/>
      <w:marLeft w:val="0"/>
      <w:marRight w:val="0"/>
      <w:marTop w:val="0"/>
      <w:marBottom w:val="0"/>
      <w:divBdr>
        <w:top w:val="none" w:sz="0" w:space="0" w:color="auto"/>
        <w:left w:val="none" w:sz="0" w:space="0" w:color="auto"/>
        <w:bottom w:val="none" w:sz="0" w:space="0" w:color="auto"/>
        <w:right w:val="none" w:sz="0" w:space="0" w:color="auto"/>
      </w:divBdr>
    </w:div>
    <w:div w:id="1400322121">
      <w:bodyDiv w:val="1"/>
      <w:marLeft w:val="0"/>
      <w:marRight w:val="0"/>
      <w:marTop w:val="0"/>
      <w:marBottom w:val="0"/>
      <w:divBdr>
        <w:top w:val="none" w:sz="0" w:space="0" w:color="auto"/>
        <w:left w:val="none" w:sz="0" w:space="0" w:color="auto"/>
        <w:bottom w:val="none" w:sz="0" w:space="0" w:color="auto"/>
        <w:right w:val="none" w:sz="0" w:space="0" w:color="auto"/>
      </w:divBdr>
    </w:div>
    <w:div w:id="1404528604">
      <w:bodyDiv w:val="1"/>
      <w:marLeft w:val="0"/>
      <w:marRight w:val="0"/>
      <w:marTop w:val="0"/>
      <w:marBottom w:val="0"/>
      <w:divBdr>
        <w:top w:val="none" w:sz="0" w:space="0" w:color="auto"/>
        <w:left w:val="none" w:sz="0" w:space="0" w:color="auto"/>
        <w:bottom w:val="none" w:sz="0" w:space="0" w:color="auto"/>
        <w:right w:val="none" w:sz="0" w:space="0" w:color="auto"/>
      </w:divBdr>
    </w:div>
    <w:div w:id="1404839322">
      <w:bodyDiv w:val="1"/>
      <w:marLeft w:val="0"/>
      <w:marRight w:val="0"/>
      <w:marTop w:val="0"/>
      <w:marBottom w:val="0"/>
      <w:divBdr>
        <w:top w:val="none" w:sz="0" w:space="0" w:color="auto"/>
        <w:left w:val="none" w:sz="0" w:space="0" w:color="auto"/>
        <w:bottom w:val="none" w:sz="0" w:space="0" w:color="auto"/>
        <w:right w:val="none" w:sz="0" w:space="0" w:color="auto"/>
      </w:divBdr>
    </w:div>
    <w:div w:id="1406685591">
      <w:bodyDiv w:val="1"/>
      <w:marLeft w:val="0"/>
      <w:marRight w:val="0"/>
      <w:marTop w:val="0"/>
      <w:marBottom w:val="0"/>
      <w:divBdr>
        <w:top w:val="none" w:sz="0" w:space="0" w:color="auto"/>
        <w:left w:val="none" w:sz="0" w:space="0" w:color="auto"/>
        <w:bottom w:val="none" w:sz="0" w:space="0" w:color="auto"/>
        <w:right w:val="none" w:sz="0" w:space="0" w:color="auto"/>
      </w:divBdr>
    </w:div>
    <w:div w:id="1406805749">
      <w:bodyDiv w:val="1"/>
      <w:marLeft w:val="0"/>
      <w:marRight w:val="0"/>
      <w:marTop w:val="0"/>
      <w:marBottom w:val="0"/>
      <w:divBdr>
        <w:top w:val="none" w:sz="0" w:space="0" w:color="auto"/>
        <w:left w:val="none" w:sz="0" w:space="0" w:color="auto"/>
        <w:bottom w:val="none" w:sz="0" w:space="0" w:color="auto"/>
        <w:right w:val="none" w:sz="0" w:space="0" w:color="auto"/>
      </w:divBdr>
    </w:div>
    <w:div w:id="1407726230">
      <w:bodyDiv w:val="1"/>
      <w:marLeft w:val="0"/>
      <w:marRight w:val="0"/>
      <w:marTop w:val="0"/>
      <w:marBottom w:val="0"/>
      <w:divBdr>
        <w:top w:val="none" w:sz="0" w:space="0" w:color="auto"/>
        <w:left w:val="none" w:sz="0" w:space="0" w:color="auto"/>
        <w:bottom w:val="none" w:sz="0" w:space="0" w:color="auto"/>
        <w:right w:val="none" w:sz="0" w:space="0" w:color="auto"/>
      </w:divBdr>
    </w:div>
    <w:div w:id="1408921898">
      <w:bodyDiv w:val="1"/>
      <w:marLeft w:val="0"/>
      <w:marRight w:val="0"/>
      <w:marTop w:val="0"/>
      <w:marBottom w:val="0"/>
      <w:divBdr>
        <w:top w:val="none" w:sz="0" w:space="0" w:color="auto"/>
        <w:left w:val="none" w:sz="0" w:space="0" w:color="auto"/>
        <w:bottom w:val="none" w:sz="0" w:space="0" w:color="auto"/>
        <w:right w:val="none" w:sz="0" w:space="0" w:color="auto"/>
      </w:divBdr>
    </w:div>
    <w:div w:id="1410495130">
      <w:bodyDiv w:val="1"/>
      <w:marLeft w:val="0"/>
      <w:marRight w:val="0"/>
      <w:marTop w:val="0"/>
      <w:marBottom w:val="0"/>
      <w:divBdr>
        <w:top w:val="none" w:sz="0" w:space="0" w:color="auto"/>
        <w:left w:val="none" w:sz="0" w:space="0" w:color="auto"/>
        <w:bottom w:val="none" w:sz="0" w:space="0" w:color="auto"/>
        <w:right w:val="none" w:sz="0" w:space="0" w:color="auto"/>
      </w:divBdr>
    </w:div>
    <w:div w:id="1410881467">
      <w:bodyDiv w:val="1"/>
      <w:marLeft w:val="0"/>
      <w:marRight w:val="0"/>
      <w:marTop w:val="0"/>
      <w:marBottom w:val="0"/>
      <w:divBdr>
        <w:top w:val="none" w:sz="0" w:space="0" w:color="auto"/>
        <w:left w:val="none" w:sz="0" w:space="0" w:color="auto"/>
        <w:bottom w:val="none" w:sz="0" w:space="0" w:color="auto"/>
        <w:right w:val="none" w:sz="0" w:space="0" w:color="auto"/>
      </w:divBdr>
    </w:div>
    <w:div w:id="1411001336">
      <w:bodyDiv w:val="1"/>
      <w:marLeft w:val="0"/>
      <w:marRight w:val="0"/>
      <w:marTop w:val="0"/>
      <w:marBottom w:val="0"/>
      <w:divBdr>
        <w:top w:val="none" w:sz="0" w:space="0" w:color="auto"/>
        <w:left w:val="none" w:sz="0" w:space="0" w:color="auto"/>
        <w:bottom w:val="none" w:sz="0" w:space="0" w:color="auto"/>
        <w:right w:val="none" w:sz="0" w:space="0" w:color="auto"/>
      </w:divBdr>
    </w:div>
    <w:div w:id="1414398444">
      <w:bodyDiv w:val="1"/>
      <w:marLeft w:val="0"/>
      <w:marRight w:val="0"/>
      <w:marTop w:val="0"/>
      <w:marBottom w:val="0"/>
      <w:divBdr>
        <w:top w:val="none" w:sz="0" w:space="0" w:color="auto"/>
        <w:left w:val="none" w:sz="0" w:space="0" w:color="auto"/>
        <w:bottom w:val="none" w:sz="0" w:space="0" w:color="auto"/>
        <w:right w:val="none" w:sz="0" w:space="0" w:color="auto"/>
      </w:divBdr>
    </w:div>
    <w:div w:id="1417171287">
      <w:bodyDiv w:val="1"/>
      <w:marLeft w:val="0"/>
      <w:marRight w:val="0"/>
      <w:marTop w:val="0"/>
      <w:marBottom w:val="0"/>
      <w:divBdr>
        <w:top w:val="none" w:sz="0" w:space="0" w:color="auto"/>
        <w:left w:val="none" w:sz="0" w:space="0" w:color="auto"/>
        <w:bottom w:val="none" w:sz="0" w:space="0" w:color="auto"/>
        <w:right w:val="none" w:sz="0" w:space="0" w:color="auto"/>
      </w:divBdr>
    </w:div>
    <w:div w:id="1417359337">
      <w:bodyDiv w:val="1"/>
      <w:marLeft w:val="0"/>
      <w:marRight w:val="0"/>
      <w:marTop w:val="0"/>
      <w:marBottom w:val="0"/>
      <w:divBdr>
        <w:top w:val="none" w:sz="0" w:space="0" w:color="auto"/>
        <w:left w:val="none" w:sz="0" w:space="0" w:color="auto"/>
        <w:bottom w:val="none" w:sz="0" w:space="0" w:color="auto"/>
        <w:right w:val="none" w:sz="0" w:space="0" w:color="auto"/>
      </w:divBdr>
    </w:div>
    <w:div w:id="1418210057">
      <w:bodyDiv w:val="1"/>
      <w:marLeft w:val="0"/>
      <w:marRight w:val="0"/>
      <w:marTop w:val="0"/>
      <w:marBottom w:val="0"/>
      <w:divBdr>
        <w:top w:val="none" w:sz="0" w:space="0" w:color="auto"/>
        <w:left w:val="none" w:sz="0" w:space="0" w:color="auto"/>
        <w:bottom w:val="none" w:sz="0" w:space="0" w:color="auto"/>
        <w:right w:val="none" w:sz="0" w:space="0" w:color="auto"/>
      </w:divBdr>
    </w:div>
    <w:div w:id="1420175167">
      <w:bodyDiv w:val="1"/>
      <w:marLeft w:val="0"/>
      <w:marRight w:val="0"/>
      <w:marTop w:val="0"/>
      <w:marBottom w:val="0"/>
      <w:divBdr>
        <w:top w:val="none" w:sz="0" w:space="0" w:color="auto"/>
        <w:left w:val="none" w:sz="0" w:space="0" w:color="auto"/>
        <w:bottom w:val="none" w:sz="0" w:space="0" w:color="auto"/>
        <w:right w:val="none" w:sz="0" w:space="0" w:color="auto"/>
      </w:divBdr>
    </w:div>
    <w:div w:id="1422290942">
      <w:bodyDiv w:val="1"/>
      <w:marLeft w:val="0"/>
      <w:marRight w:val="0"/>
      <w:marTop w:val="0"/>
      <w:marBottom w:val="0"/>
      <w:divBdr>
        <w:top w:val="none" w:sz="0" w:space="0" w:color="auto"/>
        <w:left w:val="none" w:sz="0" w:space="0" w:color="auto"/>
        <w:bottom w:val="none" w:sz="0" w:space="0" w:color="auto"/>
        <w:right w:val="none" w:sz="0" w:space="0" w:color="auto"/>
      </w:divBdr>
    </w:div>
    <w:div w:id="1422409076">
      <w:bodyDiv w:val="1"/>
      <w:marLeft w:val="0"/>
      <w:marRight w:val="0"/>
      <w:marTop w:val="0"/>
      <w:marBottom w:val="0"/>
      <w:divBdr>
        <w:top w:val="none" w:sz="0" w:space="0" w:color="auto"/>
        <w:left w:val="none" w:sz="0" w:space="0" w:color="auto"/>
        <w:bottom w:val="none" w:sz="0" w:space="0" w:color="auto"/>
        <w:right w:val="none" w:sz="0" w:space="0" w:color="auto"/>
      </w:divBdr>
    </w:div>
    <w:div w:id="1423643597">
      <w:bodyDiv w:val="1"/>
      <w:marLeft w:val="0"/>
      <w:marRight w:val="0"/>
      <w:marTop w:val="0"/>
      <w:marBottom w:val="0"/>
      <w:divBdr>
        <w:top w:val="none" w:sz="0" w:space="0" w:color="auto"/>
        <w:left w:val="none" w:sz="0" w:space="0" w:color="auto"/>
        <w:bottom w:val="none" w:sz="0" w:space="0" w:color="auto"/>
        <w:right w:val="none" w:sz="0" w:space="0" w:color="auto"/>
      </w:divBdr>
    </w:div>
    <w:div w:id="1426073411">
      <w:bodyDiv w:val="1"/>
      <w:marLeft w:val="0"/>
      <w:marRight w:val="0"/>
      <w:marTop w:val="0"/>
      <w:marBottom w:val="0"/>
      <w:divBdr>
        <w:top w:val="none" w:sz="0" w:space="0" w:color="auto"/>
        <w:left w:val="none" w:sz="0" w:space="0" w:color="auto"/>
        <w:bottom w:val="none" w:sz="0" w:space="0" w:color="auto"/>
        <w:right w:val="none" w:sz="0" w:space="0" w:color="auto"/>
      </w:divBdr>
    </w:div>
    <w:div w:id="1427073403">
      <w:bodyDiv w:val="1"/>
      <w:marLeft w:val="0"/>
      <w:marRight w:val="0"/>
      <w:marTop w:val="0"/>
      <w:marBottom w:val="0"/>
      <w:divBdr>
        <w:top w:val="none" w:sz="0" w:space="0" w:color="auto"/>
        <w:left w:val="none" w:sz="0" w:space="0" w:color="auto"/>
        <w:bottom w:val="none" w:sz="0" w:space="0" w:color="auto"/>
        <w:right w:val="none" w:sz="0" w:space="0" w:color="auto"/>
      </w:divBdr>
    </w:div>
    <w:div w:id="1429617747">
      <w:bodyDiv w:val="1"/>
      <w:marLeft w:val="0"/>
      <w:marRight w:val="0"/>
      <w:marTop w:val="0"/>
      <w:marBottom w:val="0"/>
      <w:divBdr>
        <w:top w:val="none" w:sz="0" w:space="0" w:color="auto"/>
        <w:left w:val="none" w:sz="0" w:space="0" w:color="auto"/>
        <w:bottom w:val="none" w:sz="0" w:space="0" w:color="auto"/>
        <w:right w:val="none" w:sz="0" w:space="0" w:color="auto"/>
      </w:divBdr>
    </w:div>
    <w:div w:id="1430814115">
      <w:bodyDiv w:val="1"/>
      <w:marLeft w:val="0"/>
      <w:marRight w:val="0"/>
      <w:marTop w:val="0"/>
      <w:marBottom w:val="0"/>
      <w:divBdr>
        <w:top w:val="none" w:sz="0" w:space="0" w:color="auto"/>
        <w:left w:val="none" w:sz="0" w:space="0" w:color="auto"/>
        <w:bottom w:val="none" w:sz="0" w:space="0" w:color="auto"/>
        <w:right w:val="none" w:sz="0" w:space="0" w:color="auto"/>
      </w:divBdr>
    </w:div>
    <w:div w:id="1432555527">
      <w:bodyDiv w:val="1"/>
      <w:marLeft w:val="0"/>
      <w:marRight w:val="0"/>
      <w:marTop w:val="0"/>
      <w:marBottom w:val="0"/>
      <w:divBdr>
        <w:top w:val="none" w:sz="0" w:space="0" w:color="auto"/>
        <w:left w:val="none" w:sz="0" w:space="0" w:color="auto"/>
        <w:bottom w:val="none" w:sz="0" w:space="0" w:color="auto"/>
        <w:right w:val="none" w:sz="0" w:space="0" w:color="auto"/>
      </w:divBdr>
    </w:div>
    <w:div w:id="1434401816">
      <w:bodyDiv w:val="1"/>
      <w:marLeft w:val="0"/>
      <w:marRight w:val="0"/>
      <w:marTop w:val="0"/>
      <w:marBottom w:val="0"/>
      <w:divBdr>
        <w:top w:val="none" w:sz="0" w:space="0" w:color="auto"/>
        <w:left w:val="none" w:sz="0" w:space="0" w:color="auto"/>
        <w:bottom w:val="none" w:sz="0" w:space="0" w:color="auto"/>
        <w:right w:val="none" w:sz="0" w:space="0" w:color="auto"/>
      </w:divBdr>
    </w:div>
    <w:div w:id="1436093227">
      <w:bodyDiv w:val="1"/>
      <w:marLeft w:val="0"/>
      <w:marRight w:val="0"/>
      <w:marTop w:val="0"/>
      <w:marBottom w:val="0"/>
      <w:divBdr>
        <w:top w:val="none" w:sz="0" w:space="0" w:color="auto"/>
        <w:left w:val="none" w:sz="0" w:space="0" w:color="auto"/>
        <w:bottom w:val="none" w:sz="0" w:space="0" w:color="auto"/>
        <w:right w:val="none" w:sz="0" w:space="0" w:color="auto"/>
      </w:divBdr>
    </w:div>
    <w:div w:id="1437024059">
      <w:bodyDiv w:val="1"/>
      <w:marLeft w:val="0"/>
      <w:marRight w:val="0"/>
      <w:marTop w:val="0"/>
      <w:marBottom w:val="0"/>
      <w:divBdr>
        <w:top w:val="none" w:sz="0" w:space="0" w:color="auto"/>
        <w:left w:val="none" w:sz="0" w:space="0" w:color="auto"/>
        <w:bottom w:val="none" w:sz="0" w:space="0" w:color="auto"/>
        <w:right w:val="none" w:sz="0" w:space="0" w:color="auto"/>
      </w:divBdr>
    </w:div>
    <w:div w:id="1437484105">
      <w:bodyDiv w:val="1"/>
      <w:marLeft w:val="0"/>
      <w:marRight w:val="0"/>
      <w:marTop w:val="0"/>
      <w:marBottom w:val="0"/>
      <w:divBdr>
        <w:top w:val="none" w:sz="0" w:space="0" w:color="auto"/>
        <w:left w:val="none" w:sz="0" w:space="0" w:color="auto"/>
        <w:bottom w:val="none" w:sz="0" w:space="0" w:color="auto"/>
        <w:right w:val="none" w:sz="0" w:space="0" w:color="auto"/>
      </w:divBdr>
    </w:div>
    <w:div w:id="1437752609">
      <w:bodyDiv w:val="1"/>
      <w:marLeft w:val="0"/>
      <w:marRight w:val="0"/>
      <w:marTop w:val="0"/>
      <w:marBottom w:val="0"/>
      <w:divBdr>
        <w:top w:val="none" w:sz="0" w:space="0" w:color="auto"/>
        <w:left w:val="none" w:sz="0" w:space="0" w:color="auto"/>
        <w:bottom w:val="none" w:sz="0" w:space="0" w:color="auto"/>
        <w:right w:val="none" w:sz="0" w:space="0" w:color="auto"/>
      </w:divBdr>
    </w:div>
    <w:div w:id="1440301262">
      <w:bodyDiv w:val="1"/>
      <w:marLeft w:val="0"/>
      <w:marRight w:val="0"/>
      <w:marTop w:val="0"/>
      <w:marBottom w:val="0"/>
      <w:divBdr>
        <w:top w:val="none" w:sz="0" w:space="0" w:color="auto"/>
        <w:left w:val="none" w:sz="0" w:space="0" w:color="auto"/>
        <w:bottom w:val="none" w:sz="0" w:space="0" w:color="auto"/>
        <w:right w:val="none" w:sz="0" w:space="0" w:color="auto"/>
      </w:divBdr>
    </w:div>
    <w:div w:id="1440877927">
      <w:bodyDiv w:val="1"/>
      <w:marLeft w:val="0"/>
      <w:marRight w:val="0"/>
      <w:marTop w:val="0"/>
      <w:marBottom w:val="0"/>
      <w:divBdr>
        <w:top w:val="none" w:sz="0" w:space="0" w:color="auto"/>
        <w:left w:val="none" w:sz="0" w:space="0" w:color="auto"/>
        <w:bottom w:val="none" w:sz="0" w:space="0" w:color="auto"/>
        <w:right w:val="none" w:sz="0" w:space="0" w:color="auto"/>
      </w:divBdr>
    </w:div>
    <w:div w:id="1441142119">
      <w:bodyDiv w:val="1"/>
      <w:marLeft w:val="0"/>
      <w:marRight w:val="0"/>
      <w:marTop w:val="0"/>
      <w:marBottom w:val="0"/>
      <w:divBdr>
        <w:top w:val="none" w:sz="0" w:space="0" w:color="auto"/>
        <w:left w:val="none" w:sz="0" w:space="0" w:color="auto"/>
        <w:bottom w:val="none" w:sz="0" w:space="0" w:color="auto"/>
        <w:right w:val="none" w:sz="0" w:space="0" w:color="auto"/>
      </w:divBdr>
    </w:div>
    <w:div w:id="1441683842">
      <w:bodyDiv w:val="1"/>
      <w:marLeft w:val="0"/>
      <w:marRight w:val="0"/>
      <w:marTop w:val="0"/>
      <w:marBottom w:val="0"/>
      <w:divBdr>
        <w:top w:val="none" w:sz="0" w:space="0" w:color="auto"/>
        <w:left w:val="none" w:sz="0" w:space="0" w:color="auto"/>
        <w:bottom w:val="none" w:sz="0" w:space="0" w:color="auto"/>
        <w:right w:val="none" w:sz="0" w:space="0" w:color="auto"/>
      </w:divBdr>
    </w:div>
    <w:div w:id="1443574963">
      <w:bodyDiv w:val="1"/>
      <w:marLeft w:val="0"/>
      <w:marRight w:val="0"/>
      <w:marTop w:val="0"/>
      <w:marBottom w:val="0"/>
      <w:divBdr>
        <w:top w:val="none" w:sz="0" w:space="0" w:color="auto"/>
        <w:left w:val="none" w:sz="0" w:space="0" w:color="auto"/>
        <w:bottom w:val="none" w:sz="0" w:space="0" w:color="auto"/>
        <w:right w:val="none" w:sz="0" w:space="0" w:color="auto"/>
      </w:divBdr>
    </w:div>
    <w:div w:id="1444114506">
      <w:bodyDiv w:val="1"/>
      <w:marLeft w:val="0"/>
      <w:marRight w:val="0"/>
      <w:marTop w:val="0"/>
      <w:marBottom w:val="0"/>
      <w:divBdr>
        <w:top w:val="none" w:sz="0" w:space="0" w:color="auto"/>
        <w:left w:val="none" w:sz="0" w:space="0" w:color="auto"/>
        <w:bottom w:val="none" w:sz="0" w:space="0" w:color="auto"/>
        <w:right w:val="none" w:sz="0" w:space="0" w:color="auto"/>
      </w:divBdr>
    </w:div>
    <w:div w:id="1444152185">
      <w:bodyDiv w:val="1"/>
      <w:marLeft w:val="0"/>
      <w:marRight w:val="0"/>
      <w:marTop w:val="0"/>
      <w:marBottom w:val="0"/>
      <w:divBdr>
        <w:top w:val="none" w:sz="0" w:space="0" w:color="auto"/>
        <w:left w:val="none" w:sz="0" w:space="0" w:color="auto"/>
        <w:bottom w:val="none" w:sz="0" w:space="0" w:color="auto"/>
        <w:right w:val="none" w:sz="0" w:space="0" w:color="auto"/>
      </w:divBdr>
    </w:div>
    <w:div w:id="1444688386">
      <w:bodyDiv w:val="1"/>
      <w:marLeft w:val="0"/>
      <w:marRight w:val="0"/>
      <w:marTop w:val="0"/>
      <w:marBottom w:val="0"/>
      <w:divBdr>
        <w:top w:val="none" w:sz="0" w:space="0" w:color="auto"/>
        <w:left w:val="none" w:sz="0" w:space="0" w:color="auto"/>
        <w:bottom w:val="none" w:sz="0" w:space="0" w:color="auto"/>
        <w:right w:val="none" w:sz="0" w:space="0" w:color="auto"/>
      </w:divBdr>
    </w:div>
    <w:div w:id="1444694160">
      <w:bodyDiv w:val="1"/>
      <w:marLeft w:val="0"/>
      <w:marRight w:val="0"/>
      <w:marTop w:val="0"/>
      <w:marBottom w:val="0"/>
      <w:divBdr>
        <w:top w:val="none" w:sz="0" w:space="0" w:color="auto"/>
        <w:left w:val="none" w:sz="0" w:space="0" w:color="auto"/>
        <w:bottom w:val="none" w:sz="0" w:space="0" w:color="auto"/>
        <w:right w:val="none" w:sz="0" w:space="0" w:color="auto"/>
      </w:divBdr>
    </w:div>
    <w:div w:id="1445228346">
      <w:bodyDiv w:val="1"/>
      <w:marLeft w:val="0"/>
      <w:marRight w:val="0"/>
      <w:marTop w:val="0"/>
      <w:marBottom w:val="0"/>
      <w:divBdr>
        <w:top w:val="none" w:sz="0" w:space="0" w:color="auto"/>
        <w:left w:val="none" w:sz="0" w:space="0" w:color="auto"/>
        <w:bottom w:val="none" w:sz="0" w:space="0" w:color="auto"/>
        <w:right w:val="none" w:sz="0" w:space="0" w:color="auto"/>
      </w:divBdr>
    </w:div>
    <w:div w:id="1447384845">
      <w:bodyDiv w:val="1"/>
      <w:marLeft w:val="0"/>
      <w:marRight w:val="0"/>
      <w:marTop w:val="0"/>
      <w:marBottom w:val="0"/>
      <w:divBdr>
        <w:top w:val="none" w:sz="0" w:space="0" w:color="auto"/>
        <w:left w:val="none" w:sz="0" w:space="0" w:color="auto"/>
        <w:bottom w:val="none" w:sz="0" w:space="0" w:color="auto"/>
        <w:right w:val="none" w:sz="0" w:space="0" w:color="auto"/>
      </w:divBdr>
    </w:div>
    <w:div w:id="1448115994">
      <w:bodyDiv w:val="1"/>
      <w:marLeft w:val="0"/>
      <w:marRight w:val="0"/>
      <w:marTop w:val="0"/>
      <w:marBottom w:val="0"/>
      <w:divBdr>
        <w:top w:val="none" w:sz="0" w:space="0" w:color="auto"/>
        <w:left w:val="none" w:sz="0" w:space="0" w:color="auto"/>
        <w:bottom w:val="none" w:sz="0" w:space="0" w:color="auto"/>
        <w:right w:val="none" w:sz="0" w:space="0" w:color="auto"/>
      </w:divBdr>
    </w:div>
    <w:div w:id="1451902314">
      <w:bodyDiv w:val="1"/>
      <w:marLeft w:val="0"/>
      <w:marRight w:val="0"/>
      <w:marTop w:val="0"/>
      <w:marBottom w:val="0"/>
      <w:divBdr>
        <w:top w:val="none" w:sz="0" w:space="0" w:color="auto"/>
        <w:left w:val="none" w:sz="0" w:space="0" w:color="auto"/>
        <w:bottom w:val="none" w:sz="0" w:space="0" w:color="auto"/>
        <w:right w:val="none" w:sz="0" w:space="0" w:color="auto"/>
      </w:divBdr>
    </w:div>
    <w:div w:id="1454708295">
      <w:bodyDiv w:val="1"/>
      <w:marLeft w:val="0"/>
      <w:marRight w:val="0"/>
      <w:marTop w:val="0"/>
      <w:marBottom w:val="0"/>
      <w:divBdr>
        <w:top w:val="none" w:sz="0" w:space="0" w:color="auto"/>
        <w:left w:val="none" w:sz="0" w:space="0" w:color="auto"/>
        <w:bottom w:val="none" w:sz="0" w:space="0" w:color="auto"/>
        <w:right w:val="none" w:sz="0" w:space="0" w:color="auto"/>
      </w:divBdr>
    </w:div>
    <w:div w:id="1454834428">
      <w:bodyDiv w:val="1"/>
      <w:marLeft w:val="0"/>
      <w:marRight w:val="0"/>
      <w:marTop w:val="0"/>
      <w:marBottom w:val="0"/>
      <w:divBdr>
        <w:top w:val="none" w:sz="0" w:space="0" w:color="auto"/>
        <w:left w:val="none" w:sz="0" w:space="0" w:color="auto"/>
        <w:bottom w:val="none" w:sz="0" w:space="0" w:color="auto"/>
        <w:right w:val="none" w:sz="0" w:space="0" w:color="auto"/>
      </w:divBdr>
    </w:div>
    <w:div w:id="1455176338">
      <w:bodyDiv w:val="1"/>
      <w:marLeft w:val="0"/>
      <w:marRight w:val="0"/>
      <w:marTop w:val="0"/>
      <w:marBottom w:val="0"/>
      <w:divBdr>
        <w:top w:val="none" w:sz="0" w:space="0" w:color="auto"/>
        <w:left w:val="none" w:sz="0" w:space="0" w:color="auto"/>
        <w:bottom w:val="none" w:sz="0" w:space="0" w:color="auto"/>
        <w:right w:val="none" w:sz="0" w:space="0" w:color="auto"/>
      </w:divBdr>
    </w:div>
    <w:div w:id="1455252647">
      <w:bodyDiv w:val="1"/>
      <w:marLeft w:val="0"/>
      <w:marRight w:val="0"/>
      <w:marTop w:val="0"/>
      <w:marBottom w:val="0"/>
      <w:divBdr>
        <w:top w:val="none" w:sz="0" w:space="0" w:color="auto"/>
        <w:left w:val="none" w:sz="0" w:space="0" w:color="auto"/>
        <w:bottom w:val="none" w:sz="0" w:space="0" w:color="auto"/>
        <w:right w:val="none" w:sz="0" w:space="0" w:color="auto"/>
      </w:divBdr>
    </w:div>
    <w:div w:id="1456412826">
      <w:bodyDiv w:val="1"/>
      <w:marLeft w:val="0"/>
      <w:marRight w:val="0"/>
      <w:marTop w:val="0"/>
      <w:marBottom w:val="0"/>
      <w:divBdr>
        <w:top w:val="none" w:sz="0" w:space="0" w:color="auto"/>
        <w:left w:val="none" w:sz="0" w:space="0" w:color="auto"/>
        <w:bottom w:val="none" w:sz="0" w:space="0" w:color="auto"/>
        <w:right w:val="none" w:sz="0" w:space="0" w:color="auto"/>
      </w:divBdr>
    </w:div>
    <w:div w:id="1457942366">
      <w:bodyDiv w:val="1"/>
      <w:marLeft w:val="0"/>
      <w:marRight w:val="0"/>
      <w:marTop w:val="0"/>
      <w:marBottom w:val="0"/>
      <w:divBdr>
        <w:top w:val="none" w:sz="0" w:space="0" w:color="auto"/>
        <w:left w:val="none" w:sz="0" w:space="0" w:color="auto"/>
        <w:bottom w:val="none" w:sz="0" w:space="0" w:color="auto"/>
        <w:right w:val="none" w:sz="0" w:space="0" w:color="auto"/>
      </w:divBdr>
    </w:div>
    <w:div w:id="1462071971">
      <w:bodyDiv w:val="1"/>
      <w:marLeft w:val="0"/>
      <w:marRight w:val="0"/>
      <w:marTop w:val="0"/>
      <w:marBottom w:val="0"/>
      <w:divBdr>
        <w:top w:val="none" w:sz="0" w:space="0" w:color="auto"/>
        <w:left w:val="none" w:sz="0" w:space="0" w:color="auto"/>
        <w:bottom w:val="none" w:sz="0" w:space="0" w:color="auto"/>
        <w:right w:val="none" w:sz="0" w:space="0" w:color="auto"/>
      </w:divBdr>
    </w:div>
    <w:div w:id="1462305578">
      <w:bodyDiv w:val="1"/>
      <w:marLeft w:val="0"/>
      <w:marRight w:val="0"/>
      <w:marTop w:val="0"/>
      <w:marBottom w:val="0"/>
      <w:divBdr>
        <w:top w:val="none" w:sz="0" w:space="0" w:color="auto"/>
        <w:left w:val="none" w:sz="0" w:space="0" w:color="auto"/>
        <w:bottom w:val="none" w:sz="0" w:space="0" w:color="auto"/>
        <w:right w:val="none" w:sz="0" w:space="0" w:color="auto"/>
      </w:divBdr>
    </w:div>
    <w:div w:id="1464077583">
      <w:bodyDiv w:val="1"/>
      <w:marLeft w:val="0"/>
      <w:marRight w:val="0"/>
      <w:marTop w:val="0"/>
      <w:marBottom w:val="0"/>
      <w:divBdr>
        <w:top w:val="none" w:sz="0" w:space="0" w:color="auto"/>
        <w:left w:val="none" w:sz="0" w:space="0" w:color="auto"/>
        <w:bottom w:val="none" w:sz="0" w:space="0" w:color="auto"/>
        <w:right w:val="none" w:sz="0" w:space="0" w:color="auto"/>
      </w:divBdr>
    </w:div>
    <w:div w:id="1464352308">
      <w:bodyDiv w:val="1"/>
      <w:marLeft w:val="0"/>
      <w:marRight w:val="0"/>
      <w:marTop w:val="0"/>
      <w:marBottom w:val="0"/>
      <w:divBdr>
        <w:top w:val="none" w:sz="0" w:space="0" w:color="auto"/>
        <w:left w:val="none" w:sz="0" w:space="0" w:color="auto"/>
        <w:bottom w:val="none" w:sz="0" w:space="0" w:color="auto"/>
        <w:right w:val="none" w:sz="0" w:space="0" w:color="auto"/>
      </w:divBdr>
    </w:div>
    <w:div w:id="1467043903">
      <w:bodyDiv w:val="1"/>
      <w:marLeft w:val="0"/>
      <w:marRight w:val="0"/>
      <w:marTop w:val="0"/>
      <w:marBottom w:val="0"/>
      <w:divBdr>
        <w:top w:val="none" w:sz="0" w:space="0" w:color="auto"/>
        <w:left w:val="none" w:sz="0" w:space="0" w:color="auto"/>
        <w:bottom w:val="none" w:sz="0" w:space="0" w:color="auto"/>
        <w:right w:val="none" w:sz="0" w:space="0" w:color="auto"/>
      </w:divBdr>
    </w:div>
    <w:div w:id="1467431991">
      <w:bodyDiv w:val="1"/>
      <w:marLeft w:val="0"/>
      <w:marRight w:val="0"/>
      <w:marTop w:val="0"/>
      <w:marBottom w:val="0"/>
      <w:divBdr>
        <w:top w:val="none" w:sz="0" w:space="0" w:color="auto"/>
        <w:left w:val="none" w:sz="0" w:space="0" w:color="auto"/>
        <w:bottom w:val="none" w:sz="0" w:space="0" w:color="auto"/>
        <w:right w:val="none" w:sz="0" w:space="0" w:color="auto"/>
      </w:divBdr>
    </w:div>
    <w:div w:id="1467548716">
      <w:bodyDiv w:val="1"/>
      <w:marLeft w:val="0"/>
      <w:marRight w:val="0"/>
      <w:marTop w:val="0"/>
      <w:marBottom w:val="0"/>
      <w:divBdr>
        <w:top w:val="none" w:sz="0" w:space="0" w:color="auto"/>
        <w:left w:val="none" w:sz="0" w:space="0" w:color="auto"/>
        <w:bottom w:val="none" w:sz="0" w:space="0" w:color="auto"/>
        <w:right w:val="none" w:sz="0" w:space="0" w:color="auto"/>
      </w:divBdr>
    </w:div>
    <w:div w:id="1467964482">
      <w:bodyDiv w:val="1"/>
      <w:marLeft w:val="0"/>
      <w:marRight w:val="0"/>
      <w:marTop w:val="0"/>
      <w:marBottom w:val="0"/>
      <w:divBdr>
        <w:top w:val="none" w:sz="0" w:space="0" w:color="auto"/>
        <w:left w:val="none" w:sz="0" w:space="0" w:color="auto"/>
        <w:bottom w:val="none" w:sz="0" w:space="0" w:color="auto"/>
        <w:right w:val="none" w:sz="0" w:space="0" w:color="auto"/>
      </w:divBdr>
    </w:div>
    <w:div w:id="1468010971">
      <w:bodyDiv w:val="1"/>
      <w:marLeft w:val="0"/>
      <w:marRight w:val="0"/>
      <w:marTop w:val="0"/>
      <w:marBottom w:val="0"/>
      <w:divBdr>
        <w:top w:val="none" w:sz="0" w:space="0" w:color="auto"/>
        <w:left w:val="none" w:sz="0" w:space="0" w:color="auto"/>
        <w:bottom w:val="none" w:sz="0" w:space="0" w:color="auto"/>
        <w:right w:val="none" w:sz="0" w:space="0" w:color="auto"/>
      </w:divBdr>
    </w:div>
    <w:div w:id="1468084013">
      <w:bodyDiv w:val="1"/>
      <w:marLeft w:val="0"/>
      <w:marRight w:val="0"/>
      <w:marTop w:val="0"/>
      <w:marBottom w:val="0"/>
      <w:divBdr>
        <w:top w:val="none" w:sz="0" w:space="0" w:color="auto"/>
        <w:left w:val="none" w:sz="0" w:space="0" w:color="auto"/>
        <w:bottom w:val="none" w:sz="0" w:space="0" w:color="auto"/>
        <w:right w:val="none" w:sz="0" w:space="0" w:color="auto"/>
      </w:divBdr>
    </w:div>
    <w:div w:id="1470435224">
      <w:bodyDiv w:val="1"/>
      <w:marLeft w:val="0"/>
      <w:marRight w:val="0"/>
      <w:marTop w:val="0"/>
      <w:marBottom w:val="0"/>
      <w:divBdr>
        <w:top w:val="none" w:sz="0" w:space="0" w:color="auto"/>
        <w:left w:val="none" w:sz="0" w:space="0" w:color="auto"/>
        <w:bottom w:val="none" w:sz="0" w:space="0" w:color="auto"/>
        <w:right w:val="none" w:sz="0" w:space="0" w:color="auto"/>
      </w:divBdr>
    </w:div>
    <w:div w:id="1471821013">
      <w:bodyDiv w:val="1"/>
      <w:marLeft w:val="0"/>
      <w:marRight w:val="0"/>
      <w:marTop w:val="0"/>
      <w:marBottom w:val="0"/>
      <w:divBdr>
        <w:top w:val="none" w:sz="0" w:space="0" w:color="auto"/>
        <w:left w:val="none" w:sz="0" w:space="0" w:color="auto"/>
        <w:bottom w:val="none" w:sz="0" w:space="0" w:color="auto"/>
        <w:right w:val="none" w:sz="0" w:space="0" w:color="auto"/>
      </w:divBdr>
    </w:div>
    <w:div w:id="1472599468">
      <w:bodyDiv w:val="1"/>
      <w:marLeft w:val="0"/>
      <w:marRight w:val="0"/>
      <w:marTop w:val="0"/>
      <w:marBottom w:val="0"/>
      <w:divBdr>
        <w:top w:val="none" w:sz="0" w:space="0" w:color="auto"/>
        <w:left w:val="none" w:sz="0" w:space="0" w:color="auto"/>
        <w:bottom w:val="none" w:sz="0" w:space="0" w:color="auto"/>
        <w:right w:val="none" w:sz="0" w:space="0" w:color="auto"/>
      </w:divBdr>
    </w:div>
    <w:div w:id="1476021699">
      <w:bodyDiv w:val="1"/>
      <w:marLeft w:val="0"/>
      <w:marRight w:val="0"/>
      <w:marTop w:val="0"/>
      <w:marBottom w:val="0"/>
      <w:divBdr>
        <w:top w:val="none" w:sz="0" w:space="0" w:color="auto"/>
        <w:left w:val="none" w:sz="0" w:space="0" w:color="auto"/>
        <w:bottom w:val="none" w:sz="0" w:space="0" w:color="auto"/>
        <w:right w:val="none" w:sz="0" w:space="0" w:color="auto"/>
      </w:divBdr>
    </w:div>
    <w:div w:id="1476339577">
      <w:bodyDiv w:val="1"/>
      <w:marLeft w:val="0"/>
      <w:marRight w:val="0"/>
      <w:marTop w:val="0"/>
      <w:marBottom w:val="0"/>
      <w:divBdr>
        <w:top w:val="none" w:sz="0" w:space="0" w:color="auto"/>
        <w:left w:val="none" w:sz="0" w:space="0" w:color="auto"/>
        <w:bottom w:val="none" w:sz="0" w:space="0" w:color="auto"/>
        <w:right w:val="none" w:sz="0" w:space="0" w:color="auto"/>
      </w:divBdr>
    </w:div>
    <w:div w:id="1477794913">
      <w:bodyDiv w:val="1"/>
      <w:marLeft w:val="0"/>
      <w:marRight w:val="0"/>
      <w:marTop w:val="0"/>
      <w:marBottom w:val="0"/>
      <w:divBdr>
        <w:top w:val="none" w:sz="0" w:space="0" w:color="auto"/>
        <w:left w:val="none" w:sz="0" w:space="0" w:color="auto"/>
        <w:bottom w:val="none" w:sz="0" w:space="0" w:color="auto"/>
        <w:right w:val="none" w:sz="0" w:space="0" w:color="auto"/>
      </w:divBdr>
    </w:div>
    <w:div w:id="1478180218">
      <w:bodyDiv w:val="1"/>
      <w:marLeft w:val="0"/>
      <w:marRight w:val="0"/>
      <w:marTop w:val="0"/>
      <w:marBottom w:val="0"/>
      <w:divBdr>
        <w:top w:val="none" w:sz="0" w:space="0" w:color="auto"/>
        <w:left w:val="none" w:sz="0" w:space="0" w:color="auto"/>
        <w:bottom w:val="none" w:sz="0" w:space="0" w:color="auto"/>
        <w:right w:val="none" w:sz="0" w:space="0" w:color="auto"/>
      </w:divBdr>
    </w:div>
    <w:div w:id="1480070728">
      <w:bodyDiv w:val="1"/>
      <w:marLeft w:val="0"/>
      <w:marRight w:val="0"/>
      <w:marTop w:val="0"/>
      <w:marBottom w:val="0"/>
      <w:divBdr>
        <w:top w:val="none" w:sz="0" w:space="0" w:color="auto"/>
        <w:left w:val="none" w:sz="0" w:space="0" w:color="auto"/>
        <w:bottom w:val="none" w:sz="0" w:space="0" w:color="auto"/>
        <w:right w:val="none" w:sz="0" w:space="0" w:color="auto"/>
      </w:divBdr>
    </w:div>
    <w:div w:id="1480927139">
      <w:bodyDiv w:val="1"/>
      <w:marLeft w:val="0"/>
      <w:marRight w:val="0"/>
      <w:marTop w:val="0"/>
      <w:marBottom w:val="0"/>
      <w:divBdr>
        <w:top w:val="none" w:sz="0" w:space="0" w:color="auto"/>
        <w:left w:val="none" w:sz="0" w:space="0" w:color="auto"/>
        <w:bottom w:val="none" w:sz="0" w:space="0" w:color="auto"/>
        <w:right w:val="none" w:sz="0" w:space="0" w:color="auto"/>
      </w:divBdr>
    </w:div>
    <w:div w:id="1482044458">
      <w:bodyDiv w:val="1"/>
      <w:marLeft w:val="0"/>
      <w:marRight w:val="0"/>
      <w:marTop w:val="0"/>
      <w:marBottom w:val="0"/>
      <w:divBdr>
        <w:top w:val="none" w:sz="0" w:space="0" w:color="auto"/>
        <w:left w:val="none" w:sz="0" w:space="0" w:color="auto"/>
        <w:bottom w:val="none" w:sz="0" w:space="0" w:color="auto"/>
        <w:right w:val="none" w:sz="0" w:space="0" w:color="auto"/>
      </w:divBdr>
    </w:div>
    <w:div w:id="1482578247">
      <w:bodyDiv w:val="1"/>
      <w:marLeft w:val="0"/>
      <w:marRight w:val="0"/>
      <w:marTop w:val="0"/>
      <w:marBottom w:val="0"/>
      <w:divBdr>
        <w:top w:val="none" w:sz="0" w:space="0" w:color="auto"/>
        <w:left w:val="none" w:sz="0" w:space="0" w:color="auto"/>
        <w:bottom w:val="none" w:sz="0" w:space="0" w:color="auto"/>
        <w:right w:val="none" w:sz="0" w:space="0" w:color="auto"/>
      </w:divBdr>
    </w:div>
    <w:div w:id="1483623703">
      <w:bodyDiv w:val="1"/>
      <w:marLeft w:val="0"/>
      <w:marRight w:val="0"/>
      <w:marTop w:val="0"/>
      <w:marBottom w:val="0"/>
      <w:divBdr>
        <w:top w:val="none" w:sz="0" w:space="0" w:color="auto"/>
        <w:left w:val="none" w:sz="0" w:space="0" w:color="auto"/>
        <w:bottom w:val="none" w:sz="0" w:space="0" w:color="auto"/>
        <w:right w:val="none" w:sz="0" w:space="0" w:color="auto"/>
      </w:divBdr>
    </w:div>
    <w:div w:id="1483767545">
      <w:bodyDiv w:val="1"/>
      <w:marLeft w:val="0"/>
      <w:marRight w:val="0"/>
      <w:marTop w:val="0"/>
      <w:marBottom w:val="0"/>
      <w:divBdr>
        <w:top w:val="none" w:sz="0" w:space="0" w:color="auto"/>
        <w:left w:val="none" w:sz="0" w:space="0" w:color="auto"/>
        <w:bottom w:val="none" w:sz="0" w:space="0" w:color="auto"/>
        <w:right w:val="none" w:sz="0" w:space="0" w:color="auto"/>
      </w:divBdr>
    </w:div>
    <w:div w:id="1485898380">
      <w:bodyDiv w:val="1"/>
      <w:marLeft w:val="0"/>
      <w:marRight w:val="0"/>
      <w:marTop w:val="0"/>
      <w:marBottom w:val="0"/>
      <w:divBdr>
        <w:top w:val="none" w:sz="0" w:space="0" w:color="auto"/>
        <w:left w:val="none" w:sz="0" w:space="0" w:color="auto"/>
        <w:bottom w:val="none" w:sz="0" w:space="0" w:color="auto"/>
        <w:right w:val="none" w:sz="0" w:space="0" w:color="auto"/>
      </w:divBdr>
    </w:div>
    <w:div w:id="1486360151">
      <w:bodyDiv w:val="1"/>
      <w:marLeft w:val="0"/>
      <w:marRight w:val="0"/>
      <w:marTop w:val="0"/>
      <w:marBottom w:val="0"/>
      <w:divBdr>
        <w:top w:val="none" w:sz="0" w:space="0" w:color="auto"/>
        <w:left w:val="none" w:sz="0" w:space="0" w:color="auto"/>
        <w:bottom w:val="none" w:sz="0" w:space="0" w:color="auto"/>
        <w:right w:val="none" w:sz="0" w:space="0" w:color="auto"/>
      </w:divBdr>
    </w:div>
    <w:div w:id="1487015105">
      <w:bodyDiv w:val="1"/>
      <w:marLeft w:val="0"/>
      <w:marRight w:val="0"/>
      <w:marTop w:val="0"/>
      <w:marBottom w:val="0"/>
      <w:divBdr>
        <w:top w:val="none" w:sz="0" w:space="0" w:color="auto"/>
        <w:left w:val="none" w:sz="0" w:space="0" w:color="auto"/>
        <w:bottom w:val="none" w:sz="0" w:space="0" w:color="auto"/>
        <w:right w:val="none" w:sz="0" w:space="0" w:color="auto"/>
      </w:divBdr>
    </w:div>
    <w:div w:id="1487554647">
      <w:bodyDiv w:val="1"/>
      <w:marLeft w:val="0"/>
      <w:marRight w:val="0"/>
      <w:marTop w:val="0"/>
      <w:marBottom w:val="0"/>
      <w:divBdr>
        <w:top w:val="none" w:sz="0" w:space="0" w:color="auto"/>
        <w:left w:val="none" w:sz="0" w:space="0" w:color="auto"/>
        <w:bottom w:val="none" w:sz="0" w:space="0" w:color="auto"/>
        <w:right w:val="none" w:sz="0" w:space="0" w:color="auto"/>
      </w:divBdr>
    </w:div>
    <w:div w:id="1488589904">
      <w:bodyDiv w:val="1"/>
      <w:marLeft w:val="0"/>
      <w:marRight w:val="0"/>
      <w:marTop w:val="0"/>
      <w:marBottom w:val="0"/>
      <w:divBdr>
        <w:top w:val="none" w:sz="0" w:space="0" w:color="auto"/>
        <w:left w:val="none" w:sz="0" w:space="0" w:color="auto"/>
        <w:bottom w:val="none" w:sz="0" w:space="0" w:color="auto"/>
        <w:right w:val="none" w:sz="0" w:space="0" w:color="auto"/>
      </w:divBdr>
    </w:div>
    <w:div w:id="1488785989">
      <w:bodyDiv w:val="1"/>
      <w:marLeft w:val="0"/>
      <w:marRight w:val="0"/>
      <w:marTop w:val="0"/>
      <w:marBottom w:val="0"/>
      <w:divBdr>
        <w:top w:val="none" w:sz="0" w:space="0" w:color="auto"/>
        <w:left w:val="none" w:sz="0" w:space="0" w:color="auto"/>
        <w:bottom w:val="none" w:sz="0" w:space="0" w:color="auto"/>
        <w:right w:val="none" w:sz="0" w:space="0" w:color="auto"/>
      </w:divBdr>
    </w:div>
    <w:div w:id="1489637336">
      <w:bodyDiv w:val="1"/>
      <w:marLeft w:val="0"/>
      <w:marRight w:val="0"/>
      <w:marTop w:val="0"/>
      <w:marBottom w:val="0"/>
      <w:divBdr>
        <w:top w:val="none" w:sz="0" w:space="0" w:color="auto"/>
        <w:left w:val="none" w:sz="0" w:space="0" w:color="auto"/>
        <w:bottom w:val="none" w:sz="0" w:space="0" w:color="auto"/>
        <w:right w:val="none" w:sz="0" w:space="0" w:color="auto"/>
      </w:divBdr>
    </w:div>
    <w:div w:id="1492868553">
      <w:bodyDiv w:val="1"/>
      <w:marLeft w:val="0"/>
      <w:marRight w:val="0"/>
      <w:marTop w:val="0"/>
      <w:marBottom w:val="0"/>
      <w:divBdr>
        <w:top w:val="none" w:sz="0" w:space="0" w:color="auto"/>
        <w:left w:val="none" w:sz="0" w:space="0" w:color="auto"/>
        <w:bottom w:val="none" w:sz="0" w:space="0" w:color="auto"/>
        <w:right w:val="none" w:sz="0" w:space="0" w:color="auto"/>
      </w:divBdr>
    </w:div>
    <w:div w:id="1493832805">
      <w:bodyDiv w:val="1"/>
      <w:marLeft w:val="0"/>
      <w:marRight w:val="0"/>
      <w:marTop w:val="0"/>
      <w:marBottom w:val="0"/>
      <w:divBdr>
        <w:top w:val="none" w:sz="0" w:space="0" w:color="auto"/>
        <w:left w:val="none" w:sz="0" w:space="0" w:color="auto"/>
        <w:bottom w:val="none" w:sz="0" w:space="0" w:color="auto"/>
        <w:right w:val="none" w:sz="0" w:space="0" w:color="auto"/>
      </w:divBdr>
    </w:div>
    <w:div w:id="1494030537">
      <w:bodyDiv w:val="1"/>
      <w:marLeft w:val="0"/>
      <w:marRight w:val="0"/>
      <w:marTop w:val="0"/>
      <w:marBottom w:val="0"/>
      <w:divBdr>
        <w:top w:val="none" w:sz="0" w:space="0" w:color="auto"/>
        <w:left w:val="none" w:sz="0" w:space="0" w:color="auto"/>
        <w:bottom w:val="none" w:sz="0" w:space="0" w:color="auto"/>
        <w:right w:val="none" w:sz="0" w:space="0" w:color="auto"/>
      </w:divBdr>
    </w:div>
    <w:div w:id="1494296918">
      <w:bodyDiv w:val="1"/>
      <w:marLeft w:val="0"/>
      <w:marRight w:val="0"/>
      <w:marTop w:val="0"/>
      <w:marBottom w:val="0"/>
      <w:divBdr>
        <w:top w:val="none" w:sz="0" w:space="0" w:color="auto"/>
        <w:left w:val="none" w:sz="0" w:space="0" w:color="auto"/>
        <w:bottom w:val="none" w:sz="0" w:space="0" w:color="auto"/>
        <w:right w:val="none" w:sz="0" w:space="0" w:color="auto"/>
      </w:divBdr>
    </w:div>
    <w:div w:id="1495803151">
      <w:bodyDiv w:val="1"/>
      <w:marLeft w:val="0"/>
      <w:marRight w:val="0"/>
      <w:marTop w:val="0"/>
      <w:marBottom w:val="0"/>
      <w:divBdr>
        <w:top w:val="none" w:sz="0" w:space="0" w:color="auto"/>
        <w:left w:val="none" w:sz="0" w:space="0" w:color="auto"/>
        <w:bottom w:val="none" w:sz="0" w:space="0" w:color="auto"/>
        <w:right w:val="none" w:sz="0" w:space="0" w:color="auto"/>
      </w:divBdr>
    </w:div>
    <w:div w:id="1497261140">
      <w:bodyDiv w:val="1"/>
      <w:marLeft w:val="0"/>
      <w:marRight w:val="0"/>
      <w:marTop w:val="0"/>
      <w:marBottom w:val="0"/>
      <w:divBdr>
        <w:top w:val="none" w:sz="0" w:space="0" w:color="auto"/>
        <w:left w:val="none" w:sz="0" w:space="0" w:color="auto"/>
        <w:bottom w:val="none" w:sz="0" w:space="0" w:color="auto"/>
        <w:right w:val="none" w:sz="0" w:space="0" w:color="auto"/>
      </w:divBdr>
    </w:div>
    <w:div w:id="1497382872">
      <w:bodyDiv w:val="1"/>
      <w:marLeft w:val="0"/>
      <w:marRight w:val="0"/>
      <w:marTop w:val="0"/>
      <w:marBottom w:val="0"/>
      <w:divBdr>
        <w:top w:val="none" w:sz="0" w:space="0" w:color="auto"/>
        <w:left w:val="none" w:sz="0" w:space="0" w:color="auto"/>
        <w:bottom w:val="none" w:sz="0" w:space="0" w:color="auto"/>
        <w:right w:val="none" w:sz="0" w:space="0" w:color="auto"/>
      </w:divBdr>
    </w:div>
    <w:div w:id="1499037471">
      <w:bodyDiv w:val="1"/>
      <w:marLeft w:val="0"/>
      <w:marRight w:val="0"/>
      <w:marTop w:val="0"/>
      <w:marBottom w:val="0"/>
      <w:divBdr>
        <w:top w:val="none" w:sz="0" w:space="0" w:color="auto"/>
        <w:left w:val="none" w:sz="0" w:space="0" w:color="auto"/>
        <w:bottom w:val="none" w:sz="0" w:space="0" w:color="auto"/>
        <w:right w:val="none" w:sz="0" w:space="0" w:color="auto"/>
      </w:divBdr>
    </w:div>
    <w:div w:id="1499147923">
      <w:bodyDiv w:val="1"/>
      <w:marLeft w:val="0"/>
      <w:marRight w:val="0"/>
      <w:marTop w:val="0"/>
      <w:marBottom w:val="0"/>
      <w:divBdr>
        <w:top w:val="none" w:sz="0" w:space="0" w:color="auto"/>
        <w:left w:val="none" w:sz="0" w:space="0" w:color="auto"/>
        <w:bottom w:val="none" w:sz="0" w:space="0" w:color="auto"/>
        <w:right w:val="none" w:sz="0" w:space="0" w:color="auto"/>
      </w:divBdr>
    </w:div>
    <w:div w:id="1499466586">
      <w:bodyDiv w:val="1"/>
      <w:marLeft w:val="0"/>
      <w:marRight w:val="0"/>
      <w:marTop w:val="0"/>
      <w:marBottom w:val="0"/>
      <w:divBdr>
        <w:top w:val="none" w:sz="0" w:space="0" w:color="auto"/>
        <w:left w:val="none" w:sz="0" w:space="0" w:color="auto"/>
        <w:bottom w:val="none" w:sz="0" w:space="0" w:color="auto"/>
        <w:right w:val="none" w:sz="0" w:space="0" w:color="auto"/>
      </w:divBdr>
    </w:div>
    <w:div w:id="1503819000">
      <w:bodyDiv w:val="1"/>
      <w:marLeft w:val="0"/>
      <w:marRight w:val="0"/>
      <w:marTop w:val="0"/>
      <w:marBottom w:val="0"/>
      <w:divBdr>
        <w:top w:val="none" w:sz="0" w:space="0" w:color="auto"/>
        <w:left w:val="none" w:sz="0" w:space="0" w:color="auto"/>
        <w:bottom w:val="none" w:sz="0" w:space="0" w:color="auto"/>
        <w:right w:val="none" w:sz="0" w:space="0" w:color="auto"/>
      </w:divBdr>
    </w:div>
    <w:div w:id="1505705205">
      <w:bodyDiv w:val="1"/>
      <w:marLeft w:val="0"/>
      <w:marRight w:val="0"/>
      <w:marTop w:val="0"/>
      <w:marBottom w:val="0"/>
      <w:divBdr>
        <w:top w:val="none" w:sz="0" w:space="0" w:color="auto"/>
        <w:left w:val="none" w:sz="0" w:space="0" w:color="auto"/>
        <w:bottom w:val="none" w:sz="0" w:space="0" w:color="auto"/>
        <w:right w:val="none" w:sz="0" w:space="0" w:color="auto"/>
      </w:divBdr>
    </w:div>
    <w:div w:id="1505705481">
      <w:bodyDiv w:val="1"/>
      <w:marLeft w:val="0"/>
      <w:marRight w:val="0"/>
      <w:marTop w:val="0"/>
      <w:marBottom w:val="0"/>
      <w:divBdr>
        <w:top w:val="none" w:sz="0" w:space="0" w:color="auto"/>
        <w:left w:val="none" w:sz="0" w:space="0" w:color="auto"/>
        <w:bottom w:val="none" w:sz="0" w:space="0" w:color="auto"/>
        <w:right w:val="none" w:sz="0" w:space="0" w:color="auto"/>
      </w:divBdr>
    </w:div>
    <w:div w:id="1505978580">
      <w:bodyDiv w:val="1"/>
      <w:marLeft w:val="0"/>
      <w:marRight w:val="0"/>
      <w:marTop w:val="0"/>
      <w:marBottom w:val="0"/>
      <w:divBdr>
        <w:top w:val="none" w:sz="0" w:space="0" w:color="auto"/>
        <w:left w:val="none" w:sz="0" w:space="0" w:color="auto"/>
        <w:bottom w:val="none" w:sz="0" w:space="0" w:color="auto"/>
        <w:right w:val="none" w:sz="0" w:space="0" w:color="auto"/>
      </w:divBdr>
    </w:div>
    <w:div w:id="1506282058">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941431">
      <w:bodyDiv w:val="1"/>
      <w:marLeft w:val="0"/>
      <w:marRight w:val="0"/>
      <w:marTop w:val="0"/>
      <w:marBottom w:val="0"/>
      <w:divBdr>
        <w:top w:val="none" w:sz="0" w:space="0" w:color="auto"/>
        <w:left w:val="none" w:sz="0" w:space="0" w:color="auto"/>
        <w:bottom w:val="none" w:sz="0" w:space="0" w:color="auto"/>
        <w:right w:val="none" w:sz="0" w:space="0" w:color="auto"/>
      </w:divBdr>
    </w:div>
    <w:div w:id="1508130641">
      <w:bodyDiv w:val="1"/>
      <w:marLeft w:val="0"/>
      <w:marRight w:val="0"/>
      <w:marTop w:val="0"/>
      <w:marBottom w:val="0"/>
      <w:divBdr>
        <w:top w:val="none" w:sz="0" w:space="0" w:color="auto"/>
        <w:left w:val="none" w:sz="0" w:space="0" w:color="auto"/>
        <w:bottom w:val="none" w:sz="0" w:space="0" w:color="auto"/>
        <w:right w:val="none" w:sz="0" w:space="0" w:color="auto"/>
      </w:divBdr>
    </w:div>
    <w:div w:id="1508986354">
      <w:bodyDiv w:val="1"/>
      <w:marLeft w:val="0"/>
      <w:marRight w:val="0"/>
      <w:marTop w:val="0"/>
      <w:marBottom w:val="0"/>
      <w:divBdr>
        <w:top w:val="none" w:sz="0" w:space="0" w:color="auto"/>
        <w:left w:val="none" w:sz="0" w:space="0" w:color="auto"/>
        <w:bottom w:val="none" w:sz="0" w:space="0" w:color="auto"/>
        <w:right w:val="none" w:sz="0" w:space="0" w:color="auto"/>
      </w:divBdr>
    </w:div>
    <w:div w:id="1510022949">
      <w:bodyDiv w:val="1"/>
      <w:marLeft w:val="0"/>
      <w:marRight w:val="0"/>
      <w:marTop w:val="0"/>
      <w:marBottom w:val="0"/>
      <w:divBdr>
        <w:top w:val="none" w:sz="0" w:space="0" w:color="auto"/>
        <w:left w:val="none" w:sz="0" w:space="0" w:color="auto"/>
        <w:bottom w:val="none" w:sz="0" w:space="0" w:color="auto"/>
        <w:right w:val="none" w:sz="0" w:space="0" w:color="auto"/>
      </w:divBdr>
    </w:div>
    <w:div w:id="1510028364">
      <w:bodyDiv w:val="1"/>
      <w:marLeft w:val="0"/>
      <w:marRight w:val="0"/>
      <w:marTop w:val="0"/>
      <w:marBottom w:val="0"/>
      <w:divBdr>
        <w:top w:val="none" w:sz="0" w:space="0" w:color="auto"/>
        <w:left w:val="none" w:sz="0" w:space="0" w:color="auto"/>
        <w:bottom w:val="none" w:sz="0" w:space="0" w:color="auto"/>
        <w:right w:val="none" w:sz="0" w:space="0" w:color="auto"/>
      </w:divBdr>
    </w:div>
    <w:div w:id="1513029901">
      <w:bodyDiv w:val="1"/>
      <w:marLeft w:val="0"/>
      <w:marRight w:val="0"/>
      <w:marTop w:val="0"/>
      <w:marBottom w:val="0"/>
      <w:divBdr>
        <w:top w:val="none" w:sz="0" w:space="0" w:color="auto"/>
        <w:left w:val="none" w:sz="0" w:space="0" w:color="auto"/>
        <w:bottom w:val="none" w:sz="0" w:space="0" w:color="auto"/>
        <w:right w:val="none" w:sz="0" w:space="0" w:color="auto"/>
      </w:divBdr>
    </w:div>
    <w:div w:id="1513452028">
      <w:bodyDiv w:val="1"/>
      <w:marLeft w:val="0"/>
      <w:marRight w:val="0"/>
      <w:marTop w:val="0"/>
      <w:marBottom w:val="0"/>
      <w:divBdr>
        <w:top w:val="none" w:sz="0" w:space="0" w:color="auto"/>
        <w:left w:val="none" w:sz="0" w:space="0" w:color="auto"/>
        <w:bottom w:val="none" w:sz="0" w:space="0" w:color="auto"/>
        <w:right w:val="none" w:sz="0" w:space="0" w:color="auto"/>
      </w:divBdr>
    </w:div>
    <w:div w:id="1514883846">
      <w:bodyDiv w:val="1"/>
      <w:marLeft w:val="0"/>
      <w:marRight w:val="0"/>
      <w:marTop w:val="0"/>
      <w:marBottom w:val="0"/>
      <w:divBdr>
        <w:top w:val="none" w:sz="0" w:space="0" w:color="auto"/>
        <w:left w:val="none" w:sz="0" w:space="0" w:color="auto"/>
        <w:bottom w:val="none" w:sz="0" w:space="0" w:color="auto"/>
        <w:right w:val="none" w:sz="0" w:space="0" w:color="auto"/>
      </w:divBdr>
    </w:div>
    <w:div w:id="1517034611">
      <w:bodyDiv w:val="1"/>
      <w:marLeft w:val="0"/>
      <w:marRight w:val="0"/>
      <w:marTop w:val="0"/>
      <w:marBottom w:val="0"/>
      <w:divBdr>
        <w:top w:val="none" w:sz="0" w:space="0" w:color="auto"/>
        <w:left w:val="none" w:sz="0" w:space="0" w:color="auto"/>
        <w:bottom w:val="none" w:sz="0" w:space="0" w:color="auto"/>
        <w:right w:val="none" w:sz="0" w:space="0" w:color="auto"/>
      </w:divBdr>
    </w:div>
    <w:div w:id="1517380726">
      <w:bodyDiv w:val="1"/>
      <w:marLeft w:val="0"/>
      <w:marRight w:val="0"/>
      <w:marTop w:val="0"/>
      <w:marBottom w:val="0"/>
      <w:divBdr>
        <w:top w:val="none" w:sz="0" w:space="0" w:color="auto"/>
        <w:left w:val="none" w:sz="0" w:space="0" w:color="auto"/>
        <w:bottom w:val="none" w:sz="0" w:space="0" w:color="auto"/>
        <w:right w:val="none" w:sz="0" w:space="0" w:color="auto"/>
      </w:divBdr>
    </w:div>
    <w:div w:id="1517884953">
      <w:bodyDiv w:val="1"/>
      <w:marLeft w:val="0"/>
      <w:marRight w:val="0"/>
      <w:marTop w:val="0"/>
      <w:marBottom w:val="0"/>
      <w:divBdr>
        <w:top w:val="none" w:sz="0" w:space="0" w:color="auto"/>
        <w:left w:val="none" w:sz="0" w:space="0" w:color="auto"/>
        <w:bottom w:val="none" w:sz="0" w:space="0" w:color="auto"/>
        <w:right w:val="none" w:sz="0" w:space="0" w:color="auto"/>
      </w:divBdr>
    </w:div>
    <w:div w:id="1519656793">
      <w:bodyDiv w:val="1"/>
      <w:marLeft w:val="0"/>
      <w:marRight w:val="0"/>
      <w:marTop w:val="0"/>
      <w:marBottom w:val="0"/>
      <w:divBdr>
        <w:top w:val="none" w:sz="0" w:space="0" w:color="auto"/>
        <w:left w:val="none" w:sz="0" w:space="0" w:color="auto"/>
        <w:bottom w:val="none" w:sz="0" w:space="0" w:color="auto"/>
        <w:right w:val="none" w:sz="0" w:space="0" w:color="auto"/>
      </w:divBdr>
    </w:div>
    <w:div w:id="1521165386">
      <w:bodyDiv w:val="1"/>
      <w:marLeft w:val="0"/>
      <w:marRight w:val="0"/>
      <w:marTop w:val="0"/>
      <w:marBottom w:val="0"/>
      <w:divBdr>
        <w:top w:val="none" w:sz="0" w:space="0" w:color="auto"/>
        <w:left w:val="none" w:sz="0" w:space="0" w:color="auto"/>
        <w:bottom w:val="none" w:sz="0" w:space="0" w:color="auto"/>
        <w:right w:val="none" w:sz="0" w:space="0" w:color="auto"/>
      </w:divBdr>
    </w:div>
    <w:div w:id="1521167895">
      <w:bodyDiv w:val="1"/>
      <w:marLeft w:val="0"/>
      <w:marRight w:val="0"/>
      <w:marTop w:val="0"/>
      <w:marBottom w:val="0"/>
      <w:divBdr>
        <w:top w:val="none" w:sz="0" w:space="0" w:color="auto"/>
        <w:left w:val="none" w:sz="0" w:space="0" w:color="auto"/>
        <w:bottom w:val="none" w:sz="0" w:space="0" w:color="auto"/>
        <w:right w:val="none" w:sz="0" w:space="0" w:color="auto"/>
      </w:divBdr>
    </w:div>
    <w:div w:id="1521353190">
      <w:bodyDiv w:val="1"/>
      <w:marLeft w:val="0"/>
      <w:marRight w:val="0"/>
      <w:marTop w:val="0"/>
      <w:marBottom w:val="0"/>
      <w:divBdr>
        <w:top w:val="none" w:sz="0" w:space="0" w:color="auto"/>
        <w:left w:val="none" w:sz="0" w:space="0" w:color="auto"/>
        <w:bottom w:val="none" w:sz="0" w:space="0" w:color="auto"/>
        <w:right w:val="none" w:sz="0" w:space="0" w:color="auto"/>
      </w:divBdr>
    </w:div>
    <w:div w:id="1522738219">
      <w:bodyDiv w:val="1"/>
      <w:marLeft w:val="0"/>
      <w:marRight w:val="0"/>
      <w:marTop w:val="0"/>
      <w:marBottom w:val="0"/>
      <w:divBdr>
        <w:top w:val="none" w:sz="0" w:space="0" w:color="auto"/>
        <w:left w:val="none" w:sz="0" w:space="0" w:color="auto"/>
        <w:bottom w:val="none" w:sz="0" w:space="0" w:color="auto"/>
        <w:right w:val="none" w:sz="0" w:space="0" w:color="auto"/>
      </w:divBdr>
    </w:div>
    <w:div w:id="1523935282">
      <w:bodyDiv w:val="1"/>
      <w:marLeft w:val="0"/>
      <w:marRight w:val="0"/>
      <w:marTop w:val="0"/>
      <w:marBottom w:val="0"/>
      <w:divBdr>
        <w:top w:val="none" w:sz="0" w:space="0" w:color="auto"/>
        <w:left w:val="none" w:sz="0" w:space="0" w:color="auto"/>
        <w:bottom w:val="none" w:sz="0" w:space="0" w:color="auto"/>
        <w:right w:val="none" w:sz="0" w:space="0" w:color="auto"/>
      </w:divBdr>
    </w:div>
    <w:div w:id="1527211307">
      <w:bodyDiv w:val="1"/>
      <w:marLeft w:val="0"/>
      <w:marRight w:val="0"/>
      <w:marTop w:val="0"/>
      <w:marBottom w:val="0"/>
      <w:divBdr>
        <w:top w:val="none" w:sz="0" w:space="0" w:color="auto"/>
        <w:left w:val="none" w:sz="0" w:space="0" w:color="auto"/>
        <w:bottom w:val="none" w:sz="0" w:space="0" w:color="auto"/>
        <w:right w:val="none" w:sz="0" w:space="0" w:color="auto"/>
      </w:divBdr>
    </w:div>
    <w:div w:id="1528371097">
      <w:bodyDiv w:val="1"/>
      <w:marLeft w:val="0"/>
      <w:marRight w:val="0"/>
      <w:marTop w:val="0"/>
      <w:marBottom w:val="0"/>
      <w:divBdr>
        <w:top w:val="none" w:sz="0" w:space="0" w:color="auto"/>
        <w:left w:val="none" w:sz="0" w:space="0" w:color="auto"/>
        <w:bottom w:val="none" w:sz="0" w:space="0" w:color="auto"/>
        <w:right w:val="none" w:sz="0" w:space="0" w:color="auto"/>
      </w:divBdr>
    </w:div>
    <w:div w:id="1529637825">
      <w:bodyDiv w:val="1"/>
      <w:marLeft w:val="0"/>
      <w:marRight w:val="0"/>
      <w:marTop w:val="0"/>
      <w:marBottom w:val="0"/>
      <w:divBdr>
        <w:top w:val="none" w:sz="0" w:space="0" w:color="auto"/>
        <w:left w:val="none" w:sz="0" w:space="0" w:color="auto"/>
        <w:bottom w:val="none" w:sz="0" w:space="0" w:color="auto"/>
        <w:right w:val="none" w:sz="0" w:space="0" w:color="auto"/>
      </w:divBdr>
    </w:div>
    <w:div w:id="1530678418">
      <w:bodyDiv w:val="1"/>
      <w:marLeft w:val="0"/>
      <w:marRight w:val="0"/>
      <w:marTop w:val="0"/>
      <w:marBottom w:val="0"/>
      <w:divBdr>
        <w:top w:val="none" w:sz="0" w:space="0" w:color="auto"/>
        <w:left w:val="none" w:sz="0" w:space="0" w:color="auto"/>
        <w:bottom w:val="none" w:sz="0" w:space="0" w:color="auto"/>
        <w:right w:val="none" w:sz="0" w:space="0" w:color="auto"/>
      </w:divBdr>
    </w:div>
    <w:div w:id="1532573088">
      <w:bodyDiv w:val="1"/>
      <w:marLeft w:val="0"/>
      <w:marRight w:val="0"/>
      <w:marTop w:val="0"/>
      <w:marBottom w:val="0"/>
      <w:divBdr>
        <w:top w:val="none" w:sz="0" w:space="0" w:color="auto"/>
        <w:left w:val="none" w:sz="0" w:space="0" w:color="auto"/>
        <w:bottom w:val="none" w:sz="0" w:space="0" w:color="auto"/>
        <w:right w:val="none" w:sz="0" w:space="0" w:color="auto"/>
      </w:divBdr>
    </w:div>
    <w:div w:id="1532642797">
      <w:bodyDiv w:val="1"/>
      <w:marLeft w:val="0"/>
      <w:marRight w:val="0"/>
      <w:marTop w:val="0"/>
      <w:marBottom w:val="0"/>
      <w:divBdr>
        <w:top w:val="none" w:sz="0" w:space="0" w:color="auto"/>
        <w:left w:val="none" w:sz="0" w:space="0" w:color="auto"/>
        <w:bottom w:val="none" w:sz="0" w:space="0" w:color="auto"/>
        <w:right w:val="none" w:sz="0" w:space="0" w:color="auto"/>
      </w:divBdr>
    </w:div>
    <w:div w:id="1533113390">
      <w:bodyDiv w:val="1"/>
      <w:marLeft w:val="0"/>
      <w:marRight w:val="0"/>
      <w:marTop w:val="0"/>
      <w:marBottom w:val="0"/>
      <w:divBdr>
        <w:top w:val="none" w:sz="0" w:space="0" w:color="auto"/>
        <w:left w:val="none" w:sz="0" w:space="0" w:color="auto"/>
        <w:bottom w:val="none" w:sz="0" w:space="0" w:color="auto"/>
        <w:right w:val="none" w:sz="0" w:space="0" w:color="auto"/>
      </w:divBdr>
    </w:div>
    <w:div w:id="1533762246">
      <w:bodyDiv w:val="1"/>
      <w:marLeft w:val="0"/>
      <w:marRight w:val="0"/>
      <w:marTop w:val="0"/>
      <w:marBottom w:val="0"/>
      <w:divBdr>
        <w:top w:val="none" w:sz="0" w:space="0" w:color="auto"/>
        <w:left w:val="none" w:sz="0" w:space="0" w:color="auto"/>
        <w:bottom w:val="none" w:sz="0" w:space="0" w:color="auto"/>
        <w:right w:val="none" w:sz="0" w:space="0" w:color="auto"/>
      </w:divBdr>
    </w:div>
    <w:div w:id="1534609482">
      <w:bodyDiv w:val="1"/>
      <w:marLeft w:val="0"/>
      <w:marRight w:val="0"/>
      <w:marTop w:val="0"/>
      <w:marBottom w:val="0"/>
      <w:divBdr>
        <w:top w:val="none" w:sz="0" w:space="0" w:color="auto"/>
        <w:left w:val="none" w:sz="0" w:space="0" w:color="auto"/>
        <w:bottom w:val="none" w:sz="0" w:space="0" w:color="auto"/>
        <w:right w:val="none" w:sz="0" w:space="0" w:color="auto"/>
      </w:divBdr>
    </w:div>
    <w:div w:id="1535312726">
      <w:bodyDiv w:val="1"/>
      <w:marLeft w:val="0"/>
      <w:marRight w:val="0"/>
      <w:marTop w:val="0"/>
      <w:marBottom w:val="0"/>
      <w:divBdr>
        <w:top w:val="none" w:sz="0" w:space="0" w:color="auto"/>
        <w:left w:val="none" w:sz="0" w:space="0" w:color="auto"/>
        <w:bottom w:val="none" w:sz="0" w:space="0" w:color="auto"/>
        <w:right w:val="none" w:sz="0" w:space="0" w:color="auto"/>
      </w:divBdr>
    </w:div>
    <w:div w:id="1535574524">
      <w:bodyDiv w:val="1"/>
      <w:marLeft w:val="0"/>
      <w:marRight w:val="0"/>
      <w:marTop w:val="0"/>
      <w:marBottom w:val="0"/>
      <w:divBdr>
        <w:top w:val="none" w:sz="0" w:space="0" w:color="auto"/>
        <w:left w:val="none" w:sz="0" w:space="0" w:color="auto"/>
        <w:bottom w:val="none" w:sz="0" w:space="0" w:color="auto"/>
        <w:right w:val="none" w:sz="0" w:space="0" w:color="auto"/>
      </w:divBdr>
    </w:div>
    <w:div w:id="1536192489">
      <w:bodyDiv w:val="1"/>
      <w:marLeft w:val="0"/>
      <w:marRight w:val="0"/>
      <w:marTop w:val="0"/>
      <w:marBottom w:val="0"/>
      <w:divBdr>
        <w:top w:val="none" w:sz="0" w:space="0" w:color="auto"/>
        <w:left w:val="none" w:sz="0" w:space="0" w:color="auto"/>
        <w:bottom w:val="none" w:sz="0" w:space="0" w:color="auto"/>
        <w:right w:val="none" w:sz="0" w:space="0" w:color="auto"/>
      </w:divBdr>
    </w:div>
    <w:div w:id="1537278039">
      <w:bodyDiv w:val="1"/>
      <w:marLeft w:val="0"/>
      <w:marRight w:val="0"/>
      <w:marTop w:val="0"/>
      <w:marBottom w:val="0"/>
      <w:divBdr>
        <w:top w:val="none" w:sz="0" w:space="0" w:color="auto"/>
        <w:left w:val="none" w:sz="0" w:space="0" w:color="auto"/>
        <w:bottom w:val="none" w:sz="0" w:space="0" w:color="auto"/>
        <w:right w:val="none" w:sz="0" w:space="0" w:color="auto"/>
      </w:divBdr>
    </w:div>
    <w:div w:id="1538810458">
      <w:bodyDiv w:val="1"/>
      <w:marLeft w:val="0"/>
      <w:marRight w:val="0"/>
      <w:marTop w:val="0"/>
      <w:marBottom w:val="0"/>
      <w:divBdr>
        <w:top w:val="none" w:sz="0" w:space="0" w:color="auto"/>
        <w:left w:val="none" w:sz="0" w:space="0" w:color="auto"/>
        <w:bottom w:val="none" w:sz="0" w:space="0" w:color="auto"/>
        <w:right w:val="none" w:sz="0" w:space="0" w:color="auto"/>
      </w:divBdr>
    </w:div>
    <w:div w:id="1539120359">
      <w:bodyDiv w:val="1"/>
      <w:marLeft w:val="0"/>
      <w:marRight w:val="0"/>
      <w:marTop w:val="0"/>
      <w:marBottom w:val="0"/>
      <w:divBdr>
        <w:top w:val="none" w:sz="0" w:space="0" w:color="auto"/>
        <w:left w:val="none" w:sz="0" w:space="0" w:color="auto"/>
        <w:bottom w:val="none" w:sz="0" w:space="0" w:color="auto"/>
        <w:right w:val="none" w:sz="0" w:space="0" w:color="auto"/>
      </w:divBdr>
    </w:div>
    <w:div w:id="1541897162">
      <w:bodyDiv w:val="1"/>
      <w:marLeft w:val="0"/>
      <w:marRight w:val="0"/>
      <w:marTop w:val="0"/>
      <w:marBottom w:val="0"/>
      <w:divBdr>
        <w:top w:val="none" w:sz="0" w:space="0" w:color="auto"/>
        <w:left w:val="none" w:sz="0" w:space="0" w:color="auto"/>
        <w:bottom w:val="none" w:sz="0" w:space="0" w:color="auto"/>
        <w:right w:val="none" w:sz="0" w:space="0" w:color="auto"/>
      </w:divBdr>
    </w:div>
    <w:div w:id="1546065733">
      <w:bodyDiv w:val="1"/>
      <w:marLeft w:val="0"/>
      <w:marRight w:val="0"/>
      <w:marTop w:val="0"/>
      <w:marBottom w:val="0"/>
      <w:divBdr>
        <w:top w:val="none" w:sz="0" w:space="0" w:color="auto"/>
        <w:left w:val="none" w:sz="0" w:space="0" w:color="auto"/>
        <w:bottom w:val="none" w:sz="0" w:space="0" w:color="auto"/>
        <w:right w:val="none" w:sz="0" w:space="0" w:color="auto"/>
      </w:divBdr>
    </w:div>
    <w:div w:id="1546335299">
      <w:bodyDiv w:val="1"/>
      <w:marLeft w:val="0"/>
      <w:marRight w:val="0"/>
      <w:marTop w:val="0"/>
      <w:marBottom w:val="0"/>
      <w:divBdr>
        <w:top w:val="none" w:sz="0" w:space="0" w:color="auto"/>
        <w:left w:val="none" w:sz="0" w:space="0" w:color="auto"/>
        <w:bottom w:val="none" w:sz="0" w:space="0" w:color="auto"/>
        <w:right w:val="none" w:sz="0" w:space="0" w:color="auto"/>
      </w:divBdr>
    </w:div>
    <w:div w:id="1546913797">
      <w:bodyDiv w:val="1"/>
      <w:marLeft w:val="0"/>
      <w:marRight w:val="0"/>
      <w:marTop w:val="0"/>
      <w:marBottom w:val="0"/>
      <w:divBdr>
        <w:top w:val="none" w:sz="0" w:space="0" w:color="auto"/>
        <w:left w:val="none" w:sz="0" w:space="0" w:color="auto"/>
        <w:bottom w:val="none" w:sz="0" w:space="0" w:color="auto"/>
        <w:right w:val="none" w:sz="0" w:space="0" w:color="auto"/>
      </w:divBdr>
    </w:div>
    <w:div w:id="1546992072">
      <w:bodyDiv w:val="1"/>
      <w:marLeft w:val="0"/>
      <w:marRight w:val="0"/>
      <w:marTop w:val="0"/>
      <w:marBottom w:val="0"/>
      <w:divBdr>
        <w:top w:val="none" w:sz="0" w:space="0" w:color="auto"/>
        <w:left w:val="none" w:sz="0" w:space="0" w:color="auto"/>
        <w:bottom w:val="none" w:sz="0" w:space="0" w:color="auto"/>
        <w:right w:val="none" w:sz="0" w:space="0" w:color="auto"/>
      </w:divBdr>
    </w:div>
    <w:div w:id="1548952310">
      <w:bodyDiv w:val="1"/>
      <w:marLeft w:val="0"/>
      <w:marRight w:val="0"/>
      <w:marTop w:val="0"/>
      <w:marBottom w:val="0"/>
      <w:divBdr>
        <w:top w:val="none" w:sz="0" w:space="0" w:color="auto"/>
        <w:left w:val="none" w:sz="0" w:space="0" w:color="auto"/>
        <w:bottom w:val="none" w:sz="0" w:space="0" w:color="auto"/>
        <w:right w:val="none" w:sz="0" w:space="0" w:color="auto"/>
      </w:divBdr>
    </w:div>
    <w:div w:id="1550651015">
      <w:bodyDiv w:val="1"/>
      <w:marLeft w:val="0"/>
      <w:marRight w:val="0"/>
      <w:marTop w:val="0"/>
      <w:marBottom w:val="0"/>
      <w:divBdr>
        <w:top w:val="none" w:sz="0" w:space="0" w:color="auto"/>
        <w:left w:val="none" w:sz="0" w:space="0" w:color="auto"/>
        <w:bottom w:val="none" w:sz="0" w:space="0" w:color="auto"/>
        <w:right w:val="none" w:sz="0" w:space="0" w:color="auto"/>
      </w:divBdr>
    </w:div>
    <w:div w:id="1550797737">
      <w:bodyDiv w:val="1"/>
      <w:marLeft w:val="0"/>
      <w:marRight w:val="0"/>
      <w:marTop w:val="0"/>
      <w:marBottom w:val="0"/>
      <w:divBdr>
        <w:top w:val="none" w:sz="0" w:space="0" w:color="auto"/>
        <w:left w:val="none" w:sz="0" w:space="0" w:color="auto"/>
        <w:bottom w:val="none" w:sz="0" w:space="0" w:color="auto"/>
        <w:right w:val="none" w:sz="0" w:space="0" w:color="auto"/>
      </w:divBdr>
    </w:div>
    <w:div w:id="1551768600">
      <w:bodyDiv w:val="1"/>
      <w:marLeft w:val="0"/>
      <w:marRight w:val="0"/>
      <w:marTop w:val="0"/>
      <w:marBottom w:val="0"/>
      <w:divBdr>
        <w:top w:val="none" w:sz="0" w:space="0" w:color="auto"/>
        <w:left w:val="none" w:sz="0" w:space="0" w:color="auto"/>
        <w:bottom w:val="none" w:sz="0" w:space="0" w:color="auto"/>
        <w:right w:val="none" w:sz="0" w:space="0" w:color="auto"/>
      </w:divBdr>
    </w:div>
    <w:div w:id="1551958444">
      <w:bodyDiv w:val="1"/>
      <w:marLeft w:val="0"/>
      <w:marRight w:val="0"/>
      <w:marTop w:val="0"/>
      <w:marBottom w:val="0"/>
      <w:divBdr>
        <w:top w:val="none" w:sz="0" w:space="0" w:color="auto"/>
        <w:left w:val="none" w:sz="0" w:space="0" w:color="auto"/>
        <w:bottom w:val="none" w:sz="0" w:space="0" w:color="auto"/>
        <w:right w:val="none" w:sz="0" w:space="0" w:color="auto"/>
      </w:divBdr>
    </w:div>
    <w:div w:id="1552182203">
      <w:bodyDiv w:val="1"/>
      <w:marLeft w:val="0"/>
      <w:marRight w:val="0"/>
      <w:marTop w:val="0"/>
      <w:marBottom w:val="0"/>
      <w:divBdr>
        <w:top w:val="none" w:sz="0" w:space="0" w:color="auto"/>
        <w:left w:val="none" w:sz="0" w:space="0" w:color="auto"/>
        <w:bottom w:val="none" w:sz="0" w:space="0" w:color="auto"/>
        <w:right w:val="none" w:sz="0" w:space="0" w:color="auto"/>
      </w:divBdr>
    </w:div>
    <w:div w:id="1552493377">
      <w:bodyDiv w:val="1"/>
      <w:marLeft w:val="0"/>
      <w:marRight w:val="0"/>
      <w:marTop w:val="0"/>
      <w:marBottom w:val="0"/>
      <w:divBdr>
        <w:top w:val="none" w:sz="0" w:space="0" w:color="auto"/>
        <w:left w:val="none" w:sz="0" w:space="0" w:color="auto"/>
        <w:bottom w:val="none" w:sz="0" w:space="0" w:color="auto"/>
        <w:right w:val="none" w:sz="0" w:space="0" w:color="auto"/>
      </w:divBdr>
    </w:div>
    <w:div w:id="1552620404">
      <w:bodyDiv w:val="1"/>
      <w:marLeft w:val="0"/>
      <w:marRight w:val="0"/>
      <w:marTop w:val="0"/>
      <w:marBottom w:val="0"/>
      <w:divBdr>
        <w:top w:val="none" w:sz="0" w:space="0" w:color="auto"/>
        <w:left w:val="none" w:sz="0" w:space="0" w:color="auto"/>
        <w:bottom w:val="none" w:sz="0" w:space="0" w:color="auto"/>
        <w:right w:val="none" w:sz="0" w:space="0" w:color="auto"/>
      </w:divBdr>
    </w:div>
    <w:div w:id="1552693211">
      <w:bodyDiv w:val="1"/>
      <w:marLeft w:val="0"/>
      <w:marRight w:val="0"/>
      <w:marTop w:val="0"/>
      <w:marBottom w:val="0"/>
      <w:divBdr>
        <w:top w:val="none" w:sz="0" w:space="0" w:color="auto"/>
        <w:left w:val="none" w:sz="0" w:space="0" w:color="auto"/>
        <w:bottom w:val="none" w:sz="0" w:space="0" w:color="auto"/>
        <w:right w:val="none" w:sz="0" w:space="0" w:color="auto"/>
      </w:divBdr>
    </w:div>
    <w:div w:id="1553073642">
      <w:bodyDiv w:val="1"/>
      <w:marLeft w:val="0"/>
      <w:marRight w:val="0"/>
      <w:marTop w:val="0"/>
      <w:marBottom w:val="0"/>
      <w:divBdr>
        <w:top w:val="none" w:sz="0" w:space="0" w:color="auto"/>
        <w:left w:val="none" w:sz="0" w:space="0" w:color="auto"/>
        <w:bottom w:val="none" w:sz="0" w:space="0" w:color="auto"/>
        <w:right w:val="none" w:sz="0" w:space="0" w:color="auto"/>
      </w:divBdr>
    </w:div>
    <w:div w:id="1553612027">
      <w:bodyDiv w:val="1"/>
      <w:marLeft w:val="0"/>
      <w:marRight w:val="0"/>
      <w:marTop w:val="0"/>
      <w:marBottom w:val="0"/>
      <w:divBdr>
        <w:top w:val="none" w:sz="0" w:space="0" w:color="auto"/>
        <w:left w:val="none" w:sz="0" w:space="0" w:color="auto"/>
        <w:bottom w:val="none" w:sz="0" w:space="0" w:color="auto"/>
        <w:right w:val="none" w:sz="0" w:space="0" w:color="auto"/>
      </w:divBdr>
    </w:div>
    <w:div w:id="1555240501">
      <w:bodyDiv w:val="1"/>
      <w:marLeft w:val="0"/>
      <w:marRight w:val="0"/>
      <w:marTop w:val="0"/>
      <w:marBottom w:val="0"/>
      <w:divBdr>
        <w:top w:val="none" w:sz="0" w:space="0" w:color="auto"/>
        <w:left w:val="none" w:sz="0" w:space="0" w:color="auto"/>
        <w:bottom w:val="none" w:sz="0" w:space="0" w:color="auto"/>
        <w:right w:val="none" w:sz="0" w:space="0" w:color="auto"/>
      </w:divBdr>
    </w:div>
    <w:div w:id="1555963576">
      <w:bodyDiv w:val="1"/>
      <w:marLeft w:val="0"/>
      <w:marRight w:val="0"/>
      <w:marTop w:val="0"/>
      <w:marBottom w:val="0"/>
      <w:divBdr>
        <w:top w:val="none" w:sz="0" w:space="0" w:color="auto"/>
        <w:left w:val="none" w:sz="0" w:space="0" w:color="auto"/>
        <w:bottom w:val="none" w:sz="0" w:space="0" w:color="auto"/>
        <w:right w:val="none" w:sz="0" w:space="0" w:color="auto"/>
      </w:divBdr>
    </w:div>
    <w:div w:id="1556118979">
      <w:bodyDiv w:val="1"/>
      <w:marLeft w:val="0"/>
      <w:marRight w:val="0"/>
      <w:marTop w:val="0"/>
      <w:marBottom w:val="0"/>
      <w:divBdr>
        <w:top w:val="none" w:sz="0" w:space="0" w:color="auto"/>
        <w:left w:val="none" w:sz="0" w:space="0" w:color="auto"/>
        <w:bottom w:val="none" w:sz="0" w:space="0" w:color="auto"/>
        <w:right w:val="none" w:sz="0" w:space="0" w:color="auto"/>
      </w:divBdr>
    </w:div>
    <w:div w:id="1557156227">
      <w:bodyDiv w:val="1"/>
      <w:marLeft w:val="0"/>
      <w:marRight w:val="0"/>
      <w:marTop w:val="0"/>
      <w:marBottom w:val="0"/>
      <w:divBdr>
        <w:top w:val="none" w:sz="0" w:space="0" w:color="auto"/>
        <w:left w:val="none" w:sz="0" w:space="0" w:color="auto"/>
        <w:bottom w:val="none" w:sz="0" w:space="0" w:color="auto"/>
        <w:right w:val="none" w:sz="0" w:space="0" w:color="auto"/>
      </w:divBdr>
    </w:div>
    <w:div w:id="1557660619">
      <w:bodyDiv w:val="1"/>
      <w:marLeft w:val="0"/>
      <w:marRight w:val="0"/>
      <w:marTop w:val="0"/>
      <w:marBottom w:val="0"/>
      <w:divBdr>
        <w:top w:val="none" w:sz="0" w:space="0" w:color="auto"/>
        <w:left w:val="none" w:sz="0" w:space="0" w:color="auto"/>
        <w:bottom w:val="none" w:sz="0" w:space="0" w:color="auto"/>
        <w:right w:val="none" w:sz="0" w:space="0" w:color="auto"/>
      </w:divBdr>
    </w:div>
    <w:div w:id="1559129660">
      <w:bodyDiv w:val="1"/>
      <w:marLeft w:val="0"/>
      <w:marRight w:val="0"/>
      <w:marTop w:val="0"/>
      <w:marBottom w:val="0"/>
      <w:divBdr>
        <w:top w:val="none" w:sz="0" w:space="0" w:color="auto"/>
        <w:left w:val="none" w:sz="0" w:space="0" w:color="auto"/>
        <w:bottom w:val="none" w:sz="0" w:space="0" w:color="auto"/>
        <w:right w:val="none" w:sz="0" w:space="0" w:color="auto"/>
      </w:divBdr>
    </w:div>
    <w:div w:id="1560437244">
      <w:bodyDiv w:val="1"/>
      <w:marLeft w:val="0"/>
      <w:marRight w:val="0"/>
      <w:marTop w:val="0"/>
      <w:marBottom w:val="0"/>
      <w:divBdr>
        <w:top w:val="none" w:sz="0" w:space="0" w:color="auto"/>
        <w:left w:val="none" w:sz="0" w:space="0" w:color="auto"/>
        <w:bottom w:val="none" w:sz="0" w:space="0" w:color="auto"/>
        <w:right w:val="none" w:sz="0" w:space="0" w:color="auto"/>
      </w:divBdr>
    </w:div>
    <w:div w:id="1561091271">
      <w:bodyDiv w:val="1"/>
      <w:marLeft w:val="0"/>
      <w:marRight w:val="0"/>
      <w:marTop w:val="0"/>
      <w:marBottom w:val="0"/>
      <w:divBdr>
        <w:top w:val="none" w:sz="0" w:space="0" w:color="auto"/>
        <w:left w:val="none" w:sz="0" w:space="0" w:color="auto"/>
        <w:bottom w:val="none" w:sz="0" w:space="0" w:color="auto"/>
        <w:right w:val="none" w:sz="0" w:space="0" w:color="auto"/>
      </w:divBdr>
    </w:div>
    <w:div w:id="1562865218">
      <w:bodyDiv w:val="1"/>
      <w:marLeft w:val="0"/>
      <w:marRight w:val="0"/>
      <w:marTop w:val="0"/>
      <w:marBottom w:val="0"/>
      <w:divBdr>
        <w:top w:val="none" w:sz="0" w:space="0" w:color="auto"/>
        <w:left w:val="none" w:sz="0" w:space="0" w:color="auto"/>
        <w:bottom w:val="none" w:sz="0" w:space="0" w:color="auto"/>
        <w:right w:val="none" w:sz="0" w:space="0" w:color="auto"/>
      </w:divBdr>
    </w:div>
    <w:div w:id="1563104208">
      <w:bodyDiv w:val="1"/>
      <w:marLeft w:val="0"/>
      <w:marRight w:val="0"/>
      <w:marTop w:val="0"/>
      <w:marBottom w:val="0"/>
      <w:divBdr>
        <w:top w:val="none" w:sz="0" w:space="0" w:color="auto"/>
        <w:left w:val="none" w:sz="0" w:space="0" w:color="auto"/>
        <w:bottom w:val="none" w:sz="0" w:space="0" w:color="auto"/>
        <w:right w:val="none" w:sz="0" w:space="0" w:color="auto"/>
      </w:divBdr>
    </w:div>
    <w:div w:id="1564753049">
      <w:bodyDiv w:val="1"/>
      <w:marLeft w:val="0"/>
      <w:marRight w:val="0"/>
      <w:marTop w:val="0"/>
      <w:marBottom w:val="0"/>
      <w:divBdr>
        <w:top w:val="none" w:sz="0" w:space="0" w:color="auto"/>
        <w:left w:val="none" w:sz="0" w:space="0" w:color="auto"/>
        <w:bottom w:val="none" w:sz="0" w:space="0" w:color="auto"/>
        <w:right w:val="none" w:sz="0" w:space="0" w:color="auto"/>
      </w:divBdr>
    </w:div>
    <w:div w:id="1565602179">
      <w:bodyDiv w:val="1"/>
      <w:marLeft w:val="0"/>
      <w:marRight w:val="0"/>
      <w:marTop w:val="0"/>
      <w:marBottom w:val="0"/>
      <w:divBdr>
        <w:top w:val="none" w:sz="0" w:space="0" w:color="auto"/>
        <w:left w:val="none" w:sz="0" w:space="0" w:color="auto"/>
        <w:bottom w:val="none" w:sz="0" w:space="0" w:color="auto"/>
        <w:right w:val="none" w:sz="0" w:space="0" w:color="auto"/>
      </w:divBdr>
    </w:div>
    <w:div w:id="1566184904">
      <w:bodyDiv w:val="1"/>
      <w:marLeft w:val="0"/>
      <w:marRight w:val="0"/>
      <w:marTop w:val="0"/>
      <w:marBottom w:val="0"/>
      <w:divBdr>
        <w:top w:val="none" w:sz="0" w:space="0" w:color="auto"/>
        <w:left w:val="none" w:sz="0" w:space="0" w:color="auto"/>
        <w:bottom w:val="none" w:sz="0" w:space="0" w:color="auto"/>
        <w:right w:val="none" w:sz="0" w:space="0" w:color="auto"/>
      </w:divBdr>
    </w:div>
    <w:div w:id="1566717643">
      <w:bodyDiv w:val="1"/>
      <w:marLeft w:val="0"/>
      <w:marRight w:val="0"/>
      <w:marTop w:val="0"/>
      <w:marBottom w:val="0"/>
      <w:divBdr>
        <w:top w:val="none" w:sz="0" w:space="0" w:color="auto"/>
        <w:left w:val="none" w:sz="0" w:space="0" w:color="auto"/>
        <w:bottom w:val="none" w:sz="0" w:space="0" w:color="auto"/>
        <w:right w:val="none" w:sz="0" w:space="0" w:color="auto"/>
      </w:divBdr>
    </w:div>
    <w:div w:id="1567375025">
      <w:bodyDiv w:val="1"/>
      <w:marLeft w:val="0"/>
      <w:marRight w:val="0"/>
      <w:marTop w:val="0"/>
      <w:marBottom w:val="0"/>
      <w:divBdr>
        <w:top w:val="none" w:sz="0" w:space="0" w:color="auto"/>
        <w:left w:val="none" w:sz="0" w:space="0" w:color="auto"/>
        <w:bottom w:val="none" w:sz="0" w:space="0" w:color="auto"/>
        <w:right w:val="none" w:sz="0" w:space="0" w:color="auto"/>
      </w:divBdr>
    </w:div>
    <w:div w:id="1568303514">
      <w:bodyDiv w:val="1"/>
      <w:marLeft w:val="0"/>
      <w:marRight w:val="0"/>
      <w:marTop w:val="0"/>
      <w:marBottom w:val="0"/>
      <w:divBdr>
        <w:top w:val="none" w:sz="0" w:space="0" w:color="auto"/>
        <w:left w:val="none" w:sz="0" w:space="0" w:color="auto"/>
        <w:bottom w:val="none" w:sz="0" w:space="0" w:color="auto"/>
        <w:right w:val="none" w:sz="0" w:space="0" w:color="auto"/>
      </w:divBdr>
    </w:div>
    <w:div w:id="1568950464">
      <w:bodyDiv w:val="1"/>
      <w:marLeft w:val="0"/>
      <w:marRight w:val="0"/>
      <w:marTop w:val="0"/>
      <w:marBottom w:val="0"/>
      <w:divBdr>
        <w:top w:val="none" w:sz="0" w:space="0" w:color="auto"/>
        <w:left w:val="none" w:sz="0" w:space="0" w:color="auto"/>
        <w:bottom w:val="none" w:sz="0" w:space="0" w:color="auto"/>
        <w:right w:val="none" w:sz="0" w:space="0" w:color="auto"/>
      </w:divBdr>
    </w:div>
    <w:div w:id="1570996115">
      <w:bodyDiv w:val="1"/>
      <w:marLeft w:val="0"/>
      <w:marRight w:val="0"/>
      <w:marTop w:val="0"/>
      <w:marBottom w:val="0"/>
      <w:divBdr>
        <w:top w:val="none" w:sz="0" w:space="0" w:color="auto"/>
        <w:left w:val="none" w:sz="0" w:space="0" w:color="auto"/>
        <w:bottom w:val="none" w:sz="0" w:space="0" w:color="auto"/>
        <w:right w:val="none" w:sz="0" w:space="0" w:color="auto"/>
      </w:divBdr>
    </w:div>
    <w:div w:id="1571310902">
      <w:bodyDiv w:val="1"/>
      <w:marLeft w:val="0"/>
      <w:marRight w:val="0"/>
      <w:marTop w:val="0"/>
      <w:marBottom w:val="0"/>
      <w:divBdr>
        <w:top w:val="none" w:sz="0" w:space="0" w:color="auto"/>
        <w:left w:val="none" w:sz="0" w:space="0" w:color="auto"/>
        <w:bottom w:val="none" w:sz="0" w:space="0" w:color="auto"/>
        <w:right w:val="none" w:sz="0" w:space="0" w:color="auto"/>
      </w:divBdr>
    </w:div>
    <w:div w:id="1571423029">
      <w:bodyDiv w:val="1"/>
      <w:marLeft w:val="0"/>
      <w:marRight w:val="0"/>
      <w:marTop w:val="0"/>
      <w:marBottom w:val="0"/>
      <w:divBdr>
        <w:top w:val="none" w:sz="0" w:space="0" w:color="auto"/>
        <w:left w:val="none" w:sz="0" w:space="0" w:color="auto"/>
        <w:bottom w:val="none" w:sz="0" w:space="0" w:color="auto"/>
        <w:right w:val="none" w:sz="0" w:space="0" w:color="auto"/>
      </w:divBdr>
    </w:div>
    <w:div w:id="1576892314">
      <w:bodyDiv w:val="1"/>
      <w:marLeft w:val="0"/>
      <w:marRight w:val="0"/>
      <w:marTop w:val="0"/>
      <w:marBottom w:val="0"/>
      <w:divBdr>
        <w:top w:val="none" w:sz="0" w:space="0" w:color="auto"/>
        <w:left w:val="none" w:sz="0" w:space="0" w:color="auto"/>
        <w:bottom w:val="none" w:sz="0" w:space="0" w:color="auto"/>
        <w:right w:val="none" w:sz="0" w:space="0" w:color="auto"/>
      </w:divBdr>
    </w:div>
    <w:div w:id="1577937448">
      <w:bodyDiv w:val="1"/>
      <w:marLeft w:val="0"/>
      <w:marRight w:val="0"/>
      <w:marTop w:val="0"/>
      <w:marBottom w:val="0"/>
      <w:divBdr>
        <w:top w:val="none" w:sz="0" w:space="0" w:color="auto"/>
        <w:left w:val="none" w:sz="0" w:space="0" w:color="auto"/>
        <w:bottom w:val="none" w:sz="0" w:space="0" w:color="auto"/>
        <w:right w:val="none" w:sz="0" w:space="0" w:color="auto"/>
      </w:divBdr>
    </w:div>
    <w:div w:id="1578395178">
      <w:bodyDiv w:val="1"/>
      <w:marLeft w:val="0"/>
      <w:marRight w:val="0"/>
      <w:marTop w:val="0"/>
      <w:marBottom w:val="0"/>
      <w:divBdr>
        <w:top w:val="none" w:sz="0" w:space="0" w:color="auto"/>
        <w:left w:val="none" w:sz="0" w:space="0" w:color="auto"/>
        <w:bottom w:val="none" w:sz="0" w:space="0" w:color="auto"/>
        <w:right w:val="none" w:sz="0" w:space="0" w:color="auto"/>
      </w:divBdr>
    </w:div>
    <w:div w:id="1585214975">
      <w:bodyDiv w:val="1"/>
      <w:marLeft w:val="0"/>
      <w:marRight w:val="0"/>
      <w:marTop w:val="0"/>
      <w:marBottom w:val="0"/>
      <w:divBdr>
        <w:top w:val="none" w:sz="0" w:space="0" w:color="auto"/>
        <w:left w:val="none" w:sz="0" w:space="0" w:color="auto"/>
        <w:bottom w:val="none" w:sz="0" w:space="0" w:color="auto"/>
        <w:right w:val="none" w:sz="0" w:space="0" w:color="auto"/>
      </w:divBdr>
    </w:div>
    <w:div w:id="1586567469">
      <w:bodyDiv w:val="1"/>
      <w:marLeft w:val="0"/>
      <w:marRight w:val="0"/>
      <w:marTop w:val="0"/>
      <w:marBottom w:val="0"/>
      <w:divBdr>
        <w:top w:val="none" w:sz="0" w:space="0" w:color="auto"/>
        <w:left w:val="none" w:sz="0" w:space="0" w:color="auto"/>
        <w:bottom w:val="none" w:sz="0" w:space="0" w:color="auto"/>
        <w:right w:val="none" w:sz="0" w:space="0" w:color="auto"/>
      </w:divBdr>
    </w:div>
    <w:div w:id="1587350184">
      <w:bodyDiv w:val="1"/>
      <w:marLeft w:val="0"/>
      <w:marRight w:val="0"/>
      <w:marTop w:val="0"/>
      <w:marBottom w:val="0"/>
      <w:divBdr>
        <w:top w:val="none" w:sz="0" w:space="0" w:color="auto"/>
        <w:left w:val="none" w:sz="0" w:space="0" w:color="auto"/>
        <w:bottom w:val="none" w:sz="0" w:space="0" w:color="auto"/>
        <w:right w:val="none" w:sz="0" w:space="0" w:color="auto"/>
      </w:divBdr>
    </w:div>
    <w:div w:id="1590891287">
      <w:bodyDiv w:val="1"/>
      <w:marLeft w:val="0"/>
      <w:marRight w:val="0"/>
      <w:marTop w:val="0"/>
      <w:marBottom w:val="0"/>
      <w:divBdr>
        <w:top w:val="none" w:sz="0" w:space="0" w:color="auto"/>
        <w:left w:val="none" w:sz="0" w:space="0" w:color="auto"/>
        <w:bottom w:val="none" w:sz="0" w:space="0" w:color="auto"/>
        <w:right w:val="none" w:sz="0" w:space="0" w:color="auto"/>
      </w:divBdr>
    </w:div>
    <w:div w:id="1594237604">
      <w:bodyDiv w:val="1"/>
      <w:marLeft w:val="0"/>
      <w:marRight w:val="0"/>
      <w:marTop w:val="0"/>
      <w:marBottom w:val="0"/>
      <w:divBdr>
        <w:top w:val="none" w:sz="0" w:space="0" w:color="auto"/>
        <w:left w:val="none" w:sz="0" w:space="0" w:color="auto"/>
        <w:bottom w:val="none" w:sz="0" w:space="0" w:color="auto"/>
        <w:right w:val="none" w:sz="0" w:space="0" w:color="auto"/>
      </w:divBdr>
    </w:div>
    <w:div w:id="1595241942">
      <w:bodyDiv w:val="1"/>
      <w:marLeft w:val="0"/>
      <w:marRight w:val="0"/>
      <w:marTop w:val="0"/>
      <w:marBottom w:val="0"/>
      <w:divBdr>
        <w:top w:val="none" w:sz="0" w:space="0" w:color="auto"/>
        <w:left w:val="none" w:sz="0" w:space="0" w:color="auto"/>
        <w:bottom w:val="none" w:sz="0" w:space="0" w:color="auto"/>
        <w:right w:val="none" w:sz="0" w:space="0" w:color="auto"/>
      </w:divBdr>
    </w:div>
    <w:div w:id="1595243469">
      <w:bodyDiv w:val="1"/>
      <w:marLeft w:val="0"/>
      <w:marRight w:val="0"/>
      <w:marTop w:val="0"/>
      <w:marBottom w:val="0"/>
      <w:divBdr>
        <w:top w:val="none" w:sz="0" w:space="0" w:color="auto"/>
        <w:left w:val="none" w:sz="0" w:space="0" w:color="auto"/>
        <w:bottom w:val="none" w:sz="0" w:space="0" w:color="auto"/>
        <w:right w:val="none" w:sz="0" w:space="0" w:color="auto"/>
      </w:divBdr>
    </w:div>
    <w:div w:id="1595285380">
      <w:bodyDiv w:val="1"/>
      <w:marLeft w:val="0"/>
      <w:marRight w:val="0"/>
      <w:marTop w:val="0"/>
      <w:marBottom w:val="0"/>
      <w:divBdr>
        <w:top w:val="none" w:sz="0" w:space="0" w:color="auto"/>
        <w:left w:val="none" w:sz="0" w:space="0" w:color="auto"/>
        <w:bottom w:val="none" w:sz="0" w:space="0" w:color="auto"/>
        <w:right w:val="none" w:sz="0" w:space="0" w:color="auto"/>
      </w:divBdr>
    </w:div>
    <w:div w:id="1597590016">
      <w:bodyDiv w:val="1"/>
      <w:marLeft w:val="0"/>
      <w:marRight w:val="0"/>
      <w:marTop w:val="0"/>
      <w:marBottom w:val="0"/>
      <w:divBdr>
        <w:top w:val="none" w:sz="0" w:space="0" w:color="auto"/>
        <w:left w:val="none" w:sz="0" w:space="0" w:color="auto"/>
        <w:bottom w:val="none" w:sz="0" w:space="0" w:color="auto"/>
        <w:right w:val="none" w:sz="0" w:space="0" w:color="auto"/>
      </w:divBdr>
    </w:div>
    <w:div w:id="1598441612">
      <w:bodyDiv w:val="1"/>
      <w:marLeft w:val="0"/>
      <w:marRight w:val="0"/>
      <w:marTop w:val="0"/>
      <w:marBottom w:val="0"/>
      <w:divBdr>
        <w:top w:val="none" w:sz="0" w:space="0" w:color="auto"/>
        <w:left w:val="none" w:sz="0" w:space="0" w:color="auto"/>
        <w:bottom w:val="none" w:sz="0" w:space="0" w:color="auto"/>
        <w:right w:val="none" w:sz="0" w:space="0" w:color="auto"/>
      </w:divBdr>
    </w:div>
    <w:div w:id="1599825215">
      <w:bodyDiv w:val="1"/>
      <w:marLeft w:val="0"/>
      <w:marRight w:val="0"/>
      <w:marTop w:val="0"/>
      <w:marBottom w:val="0"/>
      <w:divBdr>
        <w:top w:val="none" w:sz="0" w:space="0" w:color="auto"/>
        <w:left w:val="none" w:sz="0" w:space="0" w:color="auto"/>
        <w:bottom w:val="none" w:sz="0" w:space="0" w:color="auto"/>
        <w:right w:val="none" w:sz="0" w:space="0" w:color="auto"/>
      </w:divBdr>
    </w:div>
    <w:div w:id="1600598117">
      <w:bodyDiv w:val="1"/>
      <w:marLeft w:val="0"/>
      <w:marRight w:val="0"/>
      <w:marTop w:val="0"/>
      <w:marBottom w:val="0"/>
      <w:divBdr>
        <w:top w:val="none" w:sz="0" w:space="0" w:color="auto"/>
        <w:left w:val="none" w:sz="0" w:space="0" w:color="auto"/>
        <w:bottom w:val="none" w:sz="0" w:space="0" w:color="auto"/>
        <w:right w:val="none" w:sz="0" w:space="0" w:color="auto"/>
      </w:divBdr>
    </w:div>
    <w:div w:id="1600719720">
      <w:bodyDiv w:val="1"/>
      <w:marLeft w:val="0"/>
      <w:marRight w:val="0"/>
      <w:marTop w:val="0"/>
      <w:marBottom w:val="0"/>
      <w:divBdr>
        <w:top w:val="none" w:sz="0" w:space="0" w:color="auto"/>
        <w:left w:val="none" w:sz="0" w:space="0" w:color="auto"/>
        <w:bottom w:val="none" w:sz="0" w:space="0" w:color="auto"/>
        <w:right w:val="none" w:sz="0" w:space="0" w:color="auto"/>
      </w:divBdr>
    </w:div>
    <w:div w:id="1603606030">
      <w:bodyDiv w:val="1"/>
      <w:marLeft w:val="0"/>
      <w:marRight w:val="0"/>
      <w:marTop w:val="0"/>
      <w:marBottom w:val="0"/>
      <w:divBdr>
        <w:top w:val="none" w:sz="0" w:space="0" w:color="auto"/>
        <w:left w:val="none" w:sz="0" w:space="0" w:color="auto"/>
        <w:bottom w:val="none" w:sz="0" w:space="0" w:color="auto"/>
        <w:right w:val="none" w:sz="0" w:space="0" w:color="auto"/>
      </w:divBdr>
    </w:div>
    <w:div w:id="1605847508">
      <w:bodyDiv w:val="1"/>
      <w:marLeft w:val="0"/>
      <w:marRight w:val="0"/>
      <w:marTop w:val="0"/>
      <w:marBottom w:val="0"/>
      <w:divBdr>
        <w:top w:val="none" w:sz="0" w:space="0" w:color="auto"/>
        <w:left w:val="none" w:sz="0" w:space="0" w:color="auto"/>
        <w:bottom w:val="none" w:sz="0" w:space="0" w:color="auto"/>
        <w:right w:val="none" w:sz="0" w:space="0" w:color="auto"/>
      </w:divBdr>
    </w:div>
    <w:div w:id="1608391346">
      <w:bodyDiv w:val="1"/>
      <w:marLeft w:val="0"/>
      <w:marRight w:val="0"/>
      <w:marTop w:val="0"/>
      <w:marBottom w:val="0"/>
      <w:divBdr>
        <w:top w:val="none" w:sz="0" w:space="0" w:color="auto"/>
        <w:left w:val="none" w:sz="0" w:space="0" w:color="auto"/>
        <w:bottom w:val="none" w:sz="0" w:space="0" w:color="auto"/>
        <w:right w:val="none" w:sz="0" w:space="0" w:color="auto"/>
      </w:divBdr>
    </w:div>
    <w:div w:id="1610116925">
      <w:bodyDiv w:val="1"/>
      <w:marLeft w:val="0"/>
      <w:marRight w:val="0"/>
      <w:marTop w:val="0"/>
      <w:marBottom w:val="0"/>
      <w:divBdr>
        <w:top w:val="none" w:sz="0" w:space="0" w:color="auto"/>
        <w:left w:val="none" w:sz="0" w:space="0" w:color="auto"/>
        <w:bottom w:val="none" w:sz="0" w:space="0" w:color="auto"/>
        <w:right w:val="none" w:sz="0" w:space="0" w:color="auto"/>
      </w:divBdr>
    </w:div>
    <w:div w:id="1610119535">
      <w:bodyDiv w:val="1"/>
      <w:marLeft w:val="0"/>
      <w:marRight w:val="0"/>
      <w:marTop w:val="0"/>
      <w:marBottom w:val="0"/>
      <w:divBdr>
        <w:top w:val="none" w:sz="0" w:space="0" w:color="auto"/>
        <w:left w:val="none" w:sz="0" w:space="0" w:color="auto"/>
        <w:bottom w:val="none" w:sz="0" w:space="0" w:color="auto"/>
        <w:right w:val="none" w:sz="0" w:space="0" w:color="auto"/>
      </w:divBdr>
    </w:div>
    <w:div w:id="1613317292">
      <w:bodyDiv w:val="1"/>
      <w:marLeft w:val="0"/>
      <w:marRight w:val="0"/>
      <w:marTop w:val="0"/>
      <w:marBottom w:val="0"/>
      <w:divBdr>
        <w:top w:val="none" w:sz="0" w:space="0" w:color="auto"/>
        <w:left w:val="none" w:sz="0" w:space="0" w:color="auto"/>
        <w:bottom w:val="none" w:sz="0" w:space="0" w:color="auto"/>
        <w:right w:val="none" w:sz="0" w:space="0" w:color="auto"/>
      </w:divBdr>
    </w:div>
    <w:div w:id="1614089027">
      <w:bodyDiv w:val="1"/>
      <w:marLeft w:val="0"/>
      <w:marRight w:val="0"/>
      <w:marTop w:val="0"/>
      <w:marBottom w:val="0"/>
      <w:divBdr>
        <w:top w:val="none" w:sz="0" w:space="0" w:color="auto"/>
        <w:left w:val="none" w:sz="0" w:space="0" w:color="auto"/>
        <w:bottom w:val="none" w:sz="0" w:space="0" w:color="auto"/>
        <w:right w:val="none" w:sz="0" w:space="0" w:color="auto"/>
      </w:divBdr>
    </w:div>
    <w:div w:id="1616449129">
      <w:bodyDiv w:val="1"/>
      <w:marLeft w:val="0"/>
      <w:marRight w:val="0"/>
      <w:marTop w:val="0"/>
      <w:marBottom w:val="0"/>
      <w:divBdr>
        <w:top w:val="none" w:sz="0" w:space="0" w:color="auto"/>
        <w:left w:val="none" w:sz="0" w:space="0" w:color="auto"/>
        <w:bottom w:val="none" w:sz="0" w:space="0" w:color="auto"/>
        <w:right w:val="none" w:sz="0" w:space="0" w:color="auto"/>
      </w:divBdr>
    </w:div>
    <w:div w:id="1619214852">
      <w:bodyDiv w:val="1"/>
      <w:marLeft w:val="0"/>
      <w:marRight w:val="0"/>
      <w:marTop w:val="0"/>
      <w:marBottom w:val="0"/>
      <w:divBdr>
        <w:top w:val="none" w:sz="0" w:space="0" w:color="auto"/>
        <w:left w:val="none" w:sz="0" w:space="0" w:color="auto"/>
        <w:bottom w:val="none" w:sz="0" w:space="0" w:color="auto"/>
        <w:right w:val="none" w:sz="0" w:space="0" w:color="auto"/>
      </w:divBdr>
    </w:div>
    <w:div w:id="1620381701">
      <w:bodyDiv w:val="1"/>
      <w:marLeft w:val="0"/>
      <w:marRight w:val="0"/>
      <w:marTop w:val="0"/>
      <w:marBottom w:val="0"/>
      <w:divBdr>
        <w:top w:val="none" w:sz="0" w:space="0" w:color="auto"/>
        <w:left w:val="none" w:sz="0" w:space="0" w:color="auto"/>
        <w:bottom w:val="none" w:sz="0" w:space="0" w:color="auto"/>
        <w:right w:val="none" w:sz="0" w:space="0" w:color="auto"/>
      </w:divBdr>
    </w:div>
    <w:div w:id="1620600166">
      <w:bodyDiv w:val="1"/>
      <w:marLeft w:val="0"/>
      <w:marRight w:val="0"/>
      <w:marTop w:val="0"/>
      <w:marBottom w:val="0"/>
      <w:divBdr>
        <w:top w:val="none" w:sz="0" w:space="0" w:color="auto"/>
        <w:left w:val="none" w:sz="0" w:space="0" w:color="auto"/>
        <w:bottom w:val="none" w:sz="0" w:space="0" w:color="auto"/>
        <w:right w:val="none" w:sz="0" w:space="0" w:color="auto"/>
      </w:divBdr>
    </w:div>
    <w:div w:id="1620717957">
      <w:bodyDiv w:val="1"/>
      <w:marLeft w:val="0"/>
      <w:marRight w:val="0"/>
      <w:marTop w:val="0"/>
      <w:marBottom w:val="0"/>
      <w:divBdr>
        <w:top w:val="none" w:sz="0" w:space="0" w:color="auto"/>
        <w:left w:val="none" w:sz="0" w:space="0" w:color="auto"/>
        <w:bottom w:val="none" w:sz="0" w:space="0" w:color="auto"/>
        <w:right w:val="none" w:sz="0" w:space="0" w:color="auto"/>
      </w:divBdr>
    </w:div>
    <w:div w:id="1620840615">
      <w:bodyDiv w:val="1"/>
      <w:marLeft w:val="0"/>
      <w:marRight w:val="0"/>
      <w:marTop w:val="0"/>
      <w:marBottom w:val="0"/>
      <w:divBdr>
        <w:top w:val="none" w:sz="0" w:space="0" w:color="auto"/>
        <w:left w:val="none" w:sz="0" w:space="0" w:color="auto"/>
        <w:bottom w:val="none" w:sz="0" w:space="0" w:color="auto"/>
        <w:right w:val="none" w:sz="0" w:space="0" w:color="auto"/>
      </w:divBdr>
    </w:div>
    <w:div w:id="1623733908">
      <w:bodyDiv w:val="1"/>
      <w:marLeft w:val="0"/>
      <w:marRight w:val="0"/>
      <w:marTop w:val="0"/>
      <w:marBottom w:val="0"/>
      <w:divBdr>
        <w:top w:val="none" w:sz="0" w:space="0" w:color="auto"/>
        <w:left w:val="none" w:sz="0" w:space="0" w:color="auto"/>
        <w:bottom w:val="none" w:sz="0" w:space="0" w:color="auto"/>
        <w:right w:val="none" w:sz="0" w:space="0" w:color="auto"/>
      </w:divBdr>
    </w:div>
    <w:div w:id="1625769169">
      <w:bodyDiv w:val="1"/>
      <w:marLeft w:val="0"/>
      <w:marRight w:val="0"/>
      <w:marTop w:val="0"/>
      <w:marBottom w:val="0"/>
      <w:divBdr>
        <w:top w:val="none" w:sz="0" w:space="0" w:color="auto"/>
        <w:left w:val="none" w:sz="0" w:space="0" w:color="auto"/>
        <w:bottom w:val="none" w:sz="0" w:space="0" w:color="auto"/>
        <w:right w:val="none" w:sz="0" w:space="0" w:color="auto"/>
      </w:divBdr>
    </w:div>
    <w:div w:id="1630014104">
      <w:bodyDiv w:val="1"/>
      <w:marLeft w:val="0"/>
      <w:marRight w:val="0"/>
      <w:marTop w:val="0"/>
      <w:marBottom w:val="0"/>
      <w:divBdr>
        <w:top w:val="none" w:sz="0" w:space="0" w:color="auto"/>
        <w:left w:val="none" w:sz="0" w:space="0" w:color="auto"/>
        <w:bottom w:val="none" w:sz="0" w:space="0" w:color="auto"/>
        <w:right w:val="none" w:sz="0" w:space="0" w:color="auto"/>
      </w:divBdr>
    </w:div>
    <w:div w:id="1630159897">
      <w:bodyDiv w:val="1"/>
      <w:marLeft w:val="0"/>
      <w:marRight w:val="0"/>
      <w:marTop w:val="0"/>
      <w:marBottom w:val="0"/>
      <w:divBdr>
        <w:top w:val="none" w:sz="0" w:space="0" w:color="auto"/>
        <w:left w:val="none" w:sz="0" w:space="0" w:color="auto"/>
        <w:bottom w:val="none" w:sz="0" w:space="0" w:color="auto"/>
        <w:right w:val="none" w:sz="0" w:space="0" w:color="auto"/>
      </w:divBdr>
    </w:div>
    <w:div w:id="1633823369">
      <w:bodyDiv w:val="1"/>
      <w:marLeft w:val="0"/>
      <w:marRight w:val="0"/>
      <w:marTop w:val="0"/>
      <w:marBottom w:val="0"/>
      <w:divBdr>
        <w:top w:val="none" w:sz="0" w:space="0" w:color="auto"/>
        <w:left w:val="none" w:sz="0" w:space="0" w:color="auto"/>
        <w:bottom w:val="none" w:sz="0" w:space="0" w:color="auto"/>
        <w:right w:val="none" w:sz="0" w:space="0" w:color="auto"/>
      </w:divBdr>
    </w:div>
    <w:div w:id="1636987633">
      <w:bodyDiv w:val="1"/>
      <w:marLeft w:val="0"/>
      <w:marRight w:val="0"/>
      <w:marTop w:val="0"/>
      <w:marBottom w:val="0"/>
      <w:divBdr>
        <w:top w:val="none" w:sz="0" w:space="0" w:color="auto"/>
        <w:left w:val="none" w:sz="0" w:space="0" w:color="auto"/>
        <w:bottom w:val="none" w:sz="0" w:space="0" w:color="auto"/>
        <w:right w:val="none" w:sz="0" w:space="0" w:color="auto"/>
      </w:divBdr>
    </w:div>
    <w:div w:id="1637374613">
      <w:bodyDiv w:val="1"/>
      <w:marLeft w:val="0"/>
      <w:marRight w:val="0"/>
      <w:marTop w:val="0"/>
      <w:marBottom w:val="0"/>
      <w:divBdr>
        <w:top w:val="none" w:sz="0" w:space="0" w:color="auto"/>
        <w:left w:val="none" w:sz="0" w:space="0" w:color="auto"/>
        <w:bottom w:val="none" w:sz="0" w:space="0" w:color="auto"/>
        <w:right w:val="none" w:sz="0" w:space="0" w:color="auto"/>
      </w:divBdr>
    </w:div>
    <w:div w:id="1637756890">
      <w:bodyDiv w:val="1"/>
      <w:marLeft w:val="0"/>
      <w:marRight w:val="0"/>
      <w:marTop w:val="0"/>
      <w:marBottom w:val="0"/>
      <w:divBdr>
        <w:top w:val="none" w:sz="0" w:space="0" w:color="auto"/>
        <w:left w:val="none" w:sz="0" w:space="0" w:color="auto"/>
        <w:bottom w:val="none" w:sz="0" w:space="0" w:color="auto"/>
        <w:right w:val="none" w:sz="0" w:space="0" w:color="auto"/>
      </w:divBdr>
    </w:div>
    <w:div w:id="1638759610">
      <w:bodyDiv w:val="1"/>
      <w:marLeft w:val="0"/>
      <w:marRight w:val="0"/>
      <w:marTop w:val="0"/>
      <w:marBottom w:val="0"/>
      <w:divBdr>
        <w:top w:val="none" w:sz="0" w:space="0" w:color="auto"/>
        <w:left w:val="none" w:sz="0" w:space="0" w:color="auto"/>
        <w:bottom w:val="none" w:sz="0" w:space="0" w:color="auto"/>
        <w:right w:val="none" w:sz="0" w:space="0" w:color="auto"/>
      </w:divBdr>
      <w:divsChild>
        <w:div w:id="639505758">
          <w:marLeft w:val="0"/>
          <w:marRight w:val="0"/>
          <w:marTop w:val="0"/>
          <w:marBottom w:val="0"/>
          <w:divBdr>
            <w:top w:val="none" w:sz="0" w:space="0" w:color="auto"/>
            <w:left w:val="none" w:sz="0" w:space="0" w:color="auto"/>
            <w:bottom w:val="none" w:sz="0" w:space="0" w:color="auto"/>
            <w:right w:val="none" w:sz="0" w:space="0" w:color="auto"/>
          </w:divBdr>
          <w:divsChild>
            <w:div w:id="3084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49622">
      <w:bodyDiv w:val="1"/>
      <w:marLeft w:val="0"/>
      <w:marRight w:val="0"/>
      <w:marTop w:val="0"/>
      <w:marBottom w:val="0"/>
      <w:divBdr>
        <w:top w:val="none" w:sz="0" w:space="0" w:color="auto"/>
        <w:left w:val="none" w:sz="0" w:space="0" w:color="auto"/>
        <w:bottom w:val="none" w:sz="0" w:space="0" w:color="auto"/>
        <w:right w:val="none" w:sz="0" w:space="0" w:color="auto"/>
      </w:divBdr>
    </w:div>
    <w:div w:id="1639146399">
      <w:bodyDiv w:val="1"/>
      <w:marLeft w:val="0"/>
      <w:marRight w:val="0"/>
      <w:marTop w:val="0"/>
      <w:marBottom w:val="0"/>
      <w:divBdr>
        <w:top w:val="none" w:sz="0" w:space="0" w:color="auto"/>
        <w:left w:val="none" w:sz="0" w:space="0" w:color="auto"/>
        <w:bottom w:val="none" w:sz="0" w:space="0" w:color="auto"/>
        <w:right w:val="none" w:sz="0" w:space="0" w:color="auto"/>
      </w:divBdr>
    </w:div>
    <w:div w:id="1639845921">
      <w:bodyDiv w:val="1"/>
      <w:marLeft w:val="0"/>
      <w:marRight w:val="0"/>
      <w:marTop w:val="0"/>
      <w:marBottom w:val="0"/>
      <w:divBdr>
        <w:top w:val="none" w:sz="0" w:space="0" w:color="auto"/>
        <w:left w:val="none" w:sz="0" w:space="0" w:color="auto"/>
        <w:bottom w:val="none" w:sz="0" w:space="0" w:color="auto"/>
        <w:right w:val="none" w:sz="0" w:space="0" w:color="auto"/>
      </w:divBdr>
    </w:div>
    <w:div w:id="1643383436">
      <w:bodyDiv w:val="1"/>
      <w:marLeft w:val="0"/>
      <w:marRight w:val="0"/>
      <w:marTop w:val="0"/>
      <w:marBottom w:val="0"/>
      <w:divBdr>
        <w:top w:val="none" w:sz="0" w:space="0" w:color="auto"/>
        <w:left w:val="none" w:sz="0" w:space="0" w:color="auto"/>
        <w:bottom w:val="none" w:sz="0" w:space="0" w:color="auto"/>
        <w:right w:val="none" w:sz="0" w:space="0" w:color="auto"/>
      </w:divBdr>
    </w:div>
    <w:div w:id="1643735079">
      <w:bodyDiv w:val="1"/>
      <w:marLeft w:val="0"/>
      <w:marRight w:val="0"/>
      <w:marTop w:val="0"/>
      <w:marBottom w:val="0"/>
      <w:divBdr>
        <w:top w:val="none" w:sz="0" w:space="0" w:color="auto"/>
        <w:left w:val="none" w:sz="0" w:space="0" w:color="auto"/>
        <w:bottom w:val="none" w:sz="0" w:space="0" w:color="auto"/>
        <w:right w:val="none" w:sz="0" w:space="0" w:color="auto"/>
      </w:divBdr>
    </w:div>
    <w:div w:id="1644888878">
      <w:bodyDiv w:val="1"/>
      <w:marLeft w:val="0"/>
      <w:marRight w:val="0"/>
      <w:marTop w:val="0"/>
      <w:marBottom w:val="0"/>
      <w:divBdr>
        <w:top w:val="none" w:sz="0" w:space="0" w:color="auto"/>
        <w:left w:val="none" w:sz="0" w:space="0" w:color="auto"/>
        <w:bottom w:val="none" w:sz="0" w:space="0" w:color="auto"/>
        <w:right w:val="none" w:sz="0" w:space="0" w:color="auto"/>
      </w:divBdr>
    </w:div>
    <w:div w:id="1646004445">
      <w:bodyDiv w:val="1"/>
      <w:marLeft w:val="0"/>
      <w:marRight w:val="0"/>
      <w:marTop w:val="0"/>
      <w:marBottom w:val="0"/>
      <w:divBdr>
        <w:top w:val="none" w:sz="0" w:space="0" w:color="auto"/>
        <w:left w:val="none" w:sz="0" w:space="0" w:color="auto"/>
        <w:bottom w:val="none" w:sz="0" w:space="0" w:color="auto"/>
        <w:right w:val="none" w:sz="0" w:space="0" w:color="auto"/>
      </w:divBdr>
    </w:div>
    <w:div w:id="1646813873">
      <w:bodyDiv w:val="1"/>
      <w:marLeft w:val="0"/>
      <w:marRight w:val="0"/>
      <w:marTop w:val="0"/>
      <w:marBottom w:val="0"/>
      <w:divBdr>
        <w:top w:val="none" w:sz="0" w:space="0" w:color="auto"/>
        <w:left w:val="none" w:sz="0" w:space="0" w:color="auto"/>
        <w:bottom w:val="none" w:sz="0" w:space="0" w:color="auto"/>
        <w:right w:val="none" w:sz="0" w:space="0" w:color="auto"/>
      </w:divBdr>
    </w:div>
    <w:div w:id="1647541505">
      <w:bodyDiv w:val="1"/>
      <w:marLeft w:val="0"/>
      <w:marRight w:val="0"/>
      <w:marTop w:val="0"/>
      <w:marBottom w:val="0"/>
      <w:divBdr>
        <w:top w:val="none" w:sz="0" w:space="0" w:color="auto"/>
        <w:left w:val="none" w:sz="0" w:space="0" w:color="auto"/>
        <w:bottom w:val="none" w:sz="0" w:space="0" w:color="auto"/>
        <w:right w:val="none" w:sz="0" w:space="0" w:color="auto"/>
      </w:divBdr>
    </w:div>
    <w:div w:id="1648781734">
      <w:bodyDiv w:val="1"/>
      <w:marLeft w:val="0"/>
      <w:marRight w:val="0"/>
      <w:marTop w:val="0"/>
      <w:marBottom w:val="0"/>
      <w:divBdr>
        <w:top w:val="none" w:sz="0" w:space="0" w:color="auto"/>
        <w:left w:val="none" w:sz="0" w:space="0" w:color="auto"/>
        <w:bottom w:val="none" w:sz="0" w:space="0" w:color="auto"/>
        <w:right w:val="none" w:sz="0" w:space="0" w:color="auto"/>
      </w:divBdr>
    </w:div>
    <w:div w:id="1651012123">
      <w:bodyDiv w:val="1"/>
      <w:marLeft w:val="0"/>
      <w:marRight w:val="0"/>
      <w:marTop w:val="0"/>
      <w:marBottom w:val="0"/>
      <w:divBdr>
        <w:top w:val="none" w:sz="0" w:space="0" w:color="auto"/>
        <w:left w:val="none" w:sz="0" w:space="0" w:color="auto"/>
        <w:bottom w:val="none" w:sz="0" w:space="0" w:color="auto"/>
        <w:right w:val="none" w:sz="0" w:space="0" w:color="auto"/>
      </w:divBdr>
    </w:div>
    <w:div w:id="1651013903">
      <w:bodyDiv w:val="1"/>
      <w:marLeft w:val="0"/>
      <w:marRight w:val="0"/>
      <w:marTop w:val="0"/>
      <w:marBottom w:val="0"/>
      <w:divBdr>
        <w:top w:val="none" w:sz="0" w:space="0" w:color="auto"/>
        <w:left w:val="none" w:sz="0" w:space="0" w:color="auto"/>
        <w:bottom w:val="none" w:sz="0" w:space="0" w:color="auto"/>
        <w:right w:val="none" w:sz="0" w:space="0" w:color="auto"/>
      </w:divBdr>
    </w:div>
    <w:div w:id="1651328167">
      <w:bodyDiv w:val="1"/>
      <w:marLeft w:val="0"/>
      <w:marRight w:val="0"/>
      <w:marTop w:val="0"/>
      <w:marBottom w:val="0"/>
      <w:divBdr>
        <w:top w:val="none" w:sz="0" w:space="0" w:color="auto"/>
        <w:left w:val="none" w:sz="0" w:space="0" w:color="auto"/>
        <w:bottom w:val="none" w:sz="0" w:space="0" w:color="auto"/>
        <w:right w:val="none" w:sz="0" w:space="0" w:color="auto"/>
      </w:divBdr>
    </w:div>
    <w:div w:id="1651400769">
      <w:bodyDiv w:val="1"/>
      <w:marLeft w:val="0"/>
      <w:marRight w:val="0"/>
      <w:marTop w:val="0"/>
      <w:marBottom w:val="0"/>
      <w:divBdr>
        <w:top w:val="none" w:sz="0" w:space="0" w:color="auto"/>
        <w:left w:val="none" w:sz="0" w:space="0" w:color="auto"/>
        <w:bottom w:val="none" w:sz="0" w:space="0" w:color="auto"/>
        <w:right w:val="none" w:sz="0" w:space="0" w:color="auto"/>
      </w:divBdr>
    </w:div>
    <w:div w:id="1651518185">
      <w:bodyDiv w:val="1"/>
      <w:marLeft w:val="0"/>
      <w:marRight w:val="0"/>
      <w:marTop w:val="0"/>
      <w:marBottom w:val="0"/>
      <w:divBdr>
        <w:top w:val="none" w:sz="0" w:space="0" w:color="auto"/>
        <w:left w:val="none" w:sz="0" w:space="0" w:color="auto"/>
        <w:bottom w:val="none" w:sz="0" w:space="0" w:color="auto"/>
        <w:right w:val="none" w:sz="0" w:space="0" w:color="auto"/>
      </w:divBdr>
    </w:div>
    <w:div w:id="1655917321">
      <w:bodyDiv w:val="1"/>
      <w:marLeft w:val="0"/>
      <w:marRight w:val="0"/>
      <w:marTop w:val="0"/>
      <w:marBottom w:val="0"/>
      <w:divBdr>
        <w:top w:val="none" w:sz="0" w:space="0" w:color="auto"/>
        <w:left w:val="none" w:sz="0" w:space="0" w:color="auto"/>
        <w:bottom w:val="none" w:sz="0" w:space="0" w:color="auto"/>
        <w:right w:val="none" w:sz="0" w:space="0" w:color="auto"/>
      </w:divBdr>
    </w:div>
    <w:div w:id="1656102473">
      <w:bodyDiv w:val="1"/>
      <w:marLeft w:val="0"/>
      <w:marRight w:val="0"/>
      <w:marTop w:val="0"/>
      <w:marBottom w:val="0"/>
      <w:divBdr>
        <w:top w:val="none" w:sz="0" w:space="0" w:color="auto"/>
        <w:left w:val="none" w:sz="0" w:space="0" w:color="auto"/>
        <w:bottom w:val="none" w:sz="0" w:space="0" w:color="auto"/>
        <w:right w:val="none" w:sz="0" w:space="0" w:color="auto"/>
      </w:divBdr>
    </w:div>
    <w:div w:id="1658219371">
      <w:bodyDiv w:val="1"/>
      <w:marLeft w:val="0"/>
      <w:marRight w:val="0"/>
      <w:marTop w:val="0"/>
      <w:marBottom w:val="0"/>
      <w:divBdr>
        <w:top w:val="none" w:sz="0" w:space="0" w:color="auto"/>
        <w:left w:val="none" w:sz="0" w:space="0" w:color="auto"/>
        <w:bottom w:val="none" w:sz="0" w:space="0" w:color="auto"/>
        <w:right w:val="none" w:sz="0" w:space="0" w:color="auto"/>
      </w:divBdr>
    </w:div>
    <w:div w:id="1660113700">
      <w:bodyDiv w:val="1"/>
      <w:marLeft w:val="0"/>
      <w:marRight w:val="0"/>
      <w:marTop w:val="0"/>
      <w:marBottom w:val="0"/>
      <w:divBdr>
        <w:top w:val="none" w:sz="0" w:space="0" w:color="auto"/>
        <w:left w:val="none" w:sz="0" w:space="0" w:color="auto"/>
        <w:bottom w:val="none" w:sz="0" w:space="0" w:color="auto"/>
        <w:right w:val="none" w:sz="0" w:space="0" w:color="auto"/>
      </w:divBdr>
    </w:div>
    <w:div w:id="1664240346">
      <w:bodyDiv w:val="1"/>
      <w:marLeft w:val="0"/>
      <w:marRight w:val="0"/>
      <w:marTop w:val="0"/>
      <w:marBottom w:val="0"/>
      <w:divBdr>
        <w:top w:val="none" w:sz="0" w:space="0" w:color="auto"/>
        <w:left w:val="none" w:sz="0" w:space="0" w:color="auto"/>
        <w:bottom w:val="none" w:sz="0" w:space="0" w:color="auto"/>
        <w:right w:val="none" w:sz="0" w:space="0" w:color="auto"/>
      </w:divBdr>
    </w:div>
    <w:div w:id="1665814631">
      <w:bodyDiv w:val="1"/>
      <w:marLeft w:val="0"/>
      <w:marRight w:val="0"/>
      <w:marTop w:val="0"/>
      <w:marBottom w:val="0"/>
      <w:divBdr>
        <w:top w:val="none" w:sz="0" w:space="0" w:color="auto"/>
        <w:left w:val="none" w:sz="0" w:space="0" w:color="auto"/>
        <w:bottom w:val="none" w:sz="0" w:space="0" w:color="auto"/>
        <w:right w:val="none" w:sz="0" w:space="0" w:color="auto"/>
      </w:divBdr>
    </w:div>
    <w:div w:id="1667395306">
      <w:bodyDiv w:val="1"/>
      <w:marLeft w:val="0"/>
      <w:marRight w:val="0"/>
      <w:marTop w:val="0"/>
      <w:marBottom w:val="0"/>
      <w:divBdr>
        <w:top w:val="none" w:sz="0" w:space="0" w:color="auto"/>
        <w:left w:val="none" w:sz="0" w:space="0" w:color="auto"/>
        <w:bottom w:val="none" w:sz="0" w:space="0" w:color="auto"/>
        <w:right w:val="none" w:sz="0" w:space="0" w:color="auto"/>
      </w:divBdr>
    </w:div>
    <w:div w:id="1667399489">
      <w:bodyDiv w:val="1"/>
      <w:marLeft w:val="0"/>
      <w:marRight w:val="0"/>
      <w:marTop w:val="0"/>
      <w:marBottom w:val="0"/>
      <w:divBdr>
        <w:top w:val="none" w:sz="0" w:space="0" w:color="auto"/>
        <w:left w:val="none" w:sz="0" w:space="0" w:color="auto"/>
        <w:bottom w:val="none" w:sz="0" w:space="0" w:color="auto"/>
        <w:right w:val="none" w:sz="0" w:space="0" w:color="auto"/>
      </w:divBdr>
    </w:div>
    <w:div w:id="1669357370">
      <w:bodyDiv w:val="1"/>
      <w:marLeft w:val="0"/>
      <w:marRight w:val="0"/>
      <w:marTop w:val="0"/>
      <w:marBottom w:val="0"/>
      <w:divBdr>
        <w:top w:val="none" w:sz="0" w:space="0" w:color="auto"/>
        <w:left w:val="none" w:sz="0" w:space="0" w:color="auto"/>
        <w:bottom w:val="none" w:sz="0" w:space="0" w:color="auto"/>
        <w:right w:val="none" w:sz="0" w:space="0" w:color="auto"/>
      </w:divBdr>
    </w:div>
    <w:div w:id="1670130381">
      <w:bodyDiv w:val="1"/>
      <w:marLeft w:val="0"/>
      <w:marRight w:val="0"/>
      <w:marTop w:val="0"/>
      <w:marBottom w:val="0"/>
      <w:divBdr>
        <w:top w:val="none" w:sz="0" w:space="0" w:color="auto"/>
        <w:left w:val="none" w:sz="0" w:space="0" w:color="auto"/>
        <w:bottom w:val="none" w:sz="0" w:space="0" w:color="auto"/>
        <w:right w:val="none" w:sz="0" w:space="0" w:color="auto"/>
      </w:divBdr>
    </w:div>
    <w:div w:id="1670669330">
      <w:bodyDiv w:val="1"/>
      <w:marLeft w:val="0"/>
      <w:marRight w:val="0"/>
      <w:marTop w:val="0"/>
      <w:marBottom w:val="0"/>
      <w:divBdr>
        <w:top w:val="none" w:sz="0" w:space="0" w:color="auto"/>
        <w:left w:val="none" w:sz="0" w:space="0" w:color="auto"/>
        <w:bottom w:val="none" w:sz="0" w:space="0" w:color="auto"/>
        <w:right w:val="none" w:sz="0" w:space="0" w:color="auto"/>
      </w:divBdr>
    </w:div>
    <w:div w:id="1673332210">
      <w:bodyDiv w:val="1"/>
      <w:marLeft w:val="0"/>
      <w:marRight w:val="0"/>
      <w:marTop w:val="0"/>
      <w:marBottom w:val="0"/>
      <w:divBdr>
        <w:top w:val="none" w:sz="0" w:space="0" w:color="auto"/>
        <w:left w:val="none" w:sz="0" w:space="0" w:color="auto"/>
        <w:bottom w:val="none" w:sz="0" w:space="0" w:color="auto"/>
        <w:right w:val="none" w:sz="0" w:space="0" w:color="auto"/>
      </w:divBdr>
    </w:div>
    <w:div w:id="1673484158">
      <w:bodyDiv w:val="1"/>
      <w:marLeft w:val="0"/>
      <w:marRight w:val="0"/>
      <w:marTop w:val="0"/>
      <w:marBottom w:val="0"/>
      <w:divBdr>
        <w:top w:val="none" w:sz="0" w:space="0" w:color="auto"/>
        <w:left w:val="none" w:sz="0" w:space="0" w:color="auto"/>
        <w:bottom w:val="none" w:sz="0" w:space="0" w:color="auto"/>
        <w:right w:val="none" w:sz="0" w:space="0" w:color="auto"/>
      </w:divBdr>
    </w:div>
    <w:div w:id="1674069341">
      <w:bodyDiv w:val="1"/>
      <w:marLeft w:val="0"/>
      <w:marRight w:val="0"/>
      <w:marTop w:val="0"/>
      <w:marBottom w:val="0"/>
      <w:divBdr>
        <w:top w:val="none" w:sz="0" w:space="0" w:color="auto"/>
        <w:left w:val="none" w:sz="0" w:space="0" w:color="auto"/>
        <w:bottom w:val="none" w:sz="0" w:space="0" w:color="auto"/>
        <w:right w:val="none" w:sz="0" w:space="0" w:color="auto"/>
      </w:divBdr>
    </w:div>
    <w:div w:id="1674139293">
      <w:bodyDiv w:val="1"/>
      <w:marLeft w:val="0"/>
      <w:marRight w:val="0"/>
      <w:marTop w:val="0"/>
      <w:marBottom w:val="0"/>
      <w:divBdr>
        <w:top w:val="none" w:sz="0" w:space="0" w:color="auto"/>
        <w:left w:val="none" w:sz="0" w:space="0" w:color="auto"/>
        <w:bottom w:val="none" w:sz="0" w:space="0" w:color="auto"/>
        <w:right w:val="none" w:sz="0" w:space="0" w:color="auto"/>
      </w:divBdr>
    </w:div>
    <w:div w:id="1674185925">
      <w:bodyDiv w:val="1"/>
      <w:marLeft w:val="0"/>
      <w:marRight w:val="0"/>
      <w:marTop w:val="0"/>
      <w:marBottom w:val="0"/>
      <w:divBdr>
        <w:top w:val="none" w:sz="0" w:space="0" w:color="auto"/>
        <w:left w:val="none" w:sz="0" w:space="0" w:color="auto"/>
        <w:bottom w:val="none" w:sz="0" w:space="0" w:color="auto"/>
        <w:right w:val="none" w:sz="0" w:space="0" w:color="auto"/>
      </w:divBdr>
    </w:div>
    <w:div w:id="1680572150">
      <w:bodyDiv w:val="1"/>
      <w:marLeft w:val="0"/>
      <w:marRight w:val="0"/>
      <w:marTop w:val="0"/>
      <w:marBottom w:val="0"/>
      <w:divBdr>
        <w:top w:val="none" w:sz="0" w:space="0" w:color="auto"/>
        <w:left w:val="none" w:sz="0" w:space="0" w:color="auto"/>
        <w:bottom w:val="none" w:sz="0" w:space="0" w:color="auto"/>
        <w:right w:val="none" w:sz="0" w:space="0" w:color="auto"/>
      </w:divBdr>
    </w:div>
    <w:div w:id="1681394073">
      <w:bodyDiv w:val="1"/>
      <w:marLeft w:val="0"/>
      <w:marRight w:val="0"/>
      <w:marTop w:val="0"/>
      <w:marBottom w:val="0"/>
      <w:divBdr>
        <w:top w:val="none" w:sz="0" w:space="0" w:color="auto"/>
        <w:left w:val="none" w:sz="0" w:space="0" w:color="auto"/>
        <w:bottom w:val="none" w:sz="0" w:space="0" w:color="auto"/>
        <w:right w:val="none" w:sz="0" w:space="0" w:color="auto"/>
      </w:divBdr>
    </w:div>
    <w:div w:id="1681590344">
      <w:bodyDiv w:val="1"/>
      <w:marLeft w:val="0"/>
      <w:marRight w:val="0"/>
      <w:marTop w:val="0"/>
      <w:marBottom w:val="0"/>
      <w:divBdr>
        <w:top w:val="none" w:sz="0" w:space="0" w:color="auto"/>
        <w:left w:val="none" w:sz="0" w:space="0" w:color="auto"/>
        <w:bottom w:val="none" w:sz="0" w:space="0" w:color="auto"/>
        <w:right w:val="none" w:sz="0" w:space="0" w:color="auto"/>
      </w:divBdr>
    </w:div>
    <w:div w:id="1682582264">
      <w:bodyDiv w:val="1"/>
      <w:marLeft w:val="0"/>
      <w:marRight w:val="0"/>
      <w:marTop w:val="0"/>
      <w:marBottom w:val="0"/>
      <w:divBdr>
        <w:top w:val="none" w:sz="0" w:space="0" w:color="auto"/>
        <w:left w:val="none" w:sz="0" w:space="0" w:color="auto"/>
        <w:bottom w:val="none" w:sz="0" w:space="0" w:color="auto"/>
        <w:right w:val="none" w:sz="0" w:space="0" w:color="auto"/>
      </w:divBdr>
    </w:div>
    <w:div w:id="1685209685">
      <w:bodyDiv w:val="1"/>
      <w:marLeft w:val="0"/>
      <w:marRight w:val="0"/>
      <w:marTop w:val="0"/>
      <w:marBottom w:val="0"/>
      <w:divBdr>
        <w:top w:val="none" w:sz="0" w:space="0" w:color="auto"/>
        <w:left w:val="none" w:sz="0" w:space="0" w:color="auto"/>
        <w:bottom w:val="none" w:sz="0" w:space="0" w:color="auto"/>
        <w:right w:val="none" w:sz="0" w:space="0" w:color="auto"/>
      </w:divBdr>
    </w:div>
    <w:div w:id="1686443253">
      <w:bodyDiv w:val="1"/>
      <w:marLeft w:val="0"/>
      <w:marRight w:val="0"/>
      <w:marTop w:val="0"/>
      <w:marBottom w:val="0"/>
      <w:divBdr>
        <w:top w:val="none" w:sz="0" w:space="0" w:color="auto"/>
        <w:left w:val="none" w:sz="0" w:space="0" w:color="auto"/>
        <w:bottom w:val="none" w:sz="0" w:space="0" w:color="auto"/>
        <w:right w:val="none" w:sz="0" w:space="0" w:color="auto"/>
      </w:divBdr>
    </w:div>
    <w:div w:id="1688483298">
      <w:bodyDiv w:val="1"/>
      <w:marLeft w:val="0"/>
      <w:marRight w:val="0"/>
      <w:marTop w:val="0"/>
      <w:marBottom w:val="0"/>
      <w:divBdr>
        <w:top w:val="none" w:sz="0" w:space="0" w:color="auto"/>
        <w:left w:val="none" w:sz="0" w:space="0" w:color="auto"/>
        <w:bottom w:val="none" w:sz="0" w:space="0" w:color="auto"/>
        <w:right w:val="none" w:sz="0" w:space="0" w:color="auto"/>
      </w:divBdr>
    </w:div>
    <w:div w:id="1689788470">
      <w:bodyDiv w:val="1"/>
      <w:marLeft w:val="0"/>
      <w:marRight w:val="0"/>
      <w:marTop w:val="0"/>
      <w:marBottom w:val="0"/>
      <w:divBdr>
        <w:top w:val="none" w:sz="0" w:space="0" w:color="auto"/>
        <w:left w:val="none" w:sz="0" w:space="0" w:color="auto"/>
        <w:bottom w:val="none" w:sz="0" w:space="0" w:color="auto"/>
        <w:right w:val="none" w:sz="0" w:space="0" w:color="auto"/>
      </w:divBdr>
    </w:div>
    <w:div w:id="1690139805">
      <w:bodyDiv w:val="1"/>
      <w:marLeft w:val="0"/>
      <w:marRight w:val="0"/>
      <w:marTop w:val="0"/>
      <w:marBottom w:val="0"/>
      <w:divBdr>
        <w:top w:val="none" w:sz="0" w:space="0" w:color="auto"/>
        <w:left w:val="none" w:sz="0" w:space="0" w:color="auto"/>
        <w:bottom w:val="none" w:sz="0" w:space="0" w:color="auto"/>
        <w:right w:val="none" w:sz="0" w:space="0" w:color="auto"/>
      </w:divBdr>
    </w:div>
    <w:div w:id="1698504118">
      <w:bodyDiv w:val="1"/>
      <w:marLeft w:val="0"/>
      <w:marRight w:val="0"/>
      <w:marTop w:val="0"/>
      <w:marBottom w:val="0"/>
      <w:divBdr>
        <w:top w:val="none" w:sz="0" w:space="0" w:color="auto"/>
        <w:left w:val="none" w:sz="0" w:space="0" w:color="auto"/>
        <w:bottom w:val="none" w:sz="0" w:space="0" w:color="auto"/>
        <w:right w:val="none" w:sz="0" w:space="0" w:color="auto"/>
      </w:divBdr>
    </w:div>
    <w:div w:id="1700933834">
      <w:bodyDiv w:val="1"/>
      <w:marLeft w:val="0"/>
      <w:marRight w:val="0"/>
      <w:marTop w:val="0"/>
      <w:marBottom w:val="0"/>
      <w:divBdr>
        <w:top w:val="none" w:sz="0" w:space="0" w:color="auto"/>
        <w:left w:val="none" w:sz="0" w:space="0" w:color="auto"/>
        <w:bottom w:val="none" w:sz="0" w:space="0" w:color="auto"/>
        <w:right w:val="none" w:sz="0" w:space="0" w:color="auto"/>
      </w:divBdr>
    </w:div>
    <w:div w:id="1701011288">
      <w:bodyDiv w:val="1"/>
      <w:marLeft w:val="0"/>
      <w:marRight w:val="0"/>
      <w:marTop w:val="0"/>
      <w:marBottom w:val="0"/>
      <w:divBdr>
        <w:top w:val="none" w:sz="0" w:space="0" w:color="auto"/>
        <w:left w:val="none" w:sz="0" w:space="0" w:color="auto"/>
        <w:bottom w:val="none" w:sz="0" w:space="0" w:color="auto"/>
        <w:right w:val="none" w:sz="0" w:space="0" w:color="auto"/>
      </w:divBdr>
    </w:div>
    <w:div w:id="1701589304">
      <w:bodyDiv w:val="1"/>
      <w:marLeft w:val="0"/>
      <w:marRight w:val="0"/>
      <w:marTop w:val="0"/>
      <w:marBottom w:val="0"/>
      <w:divBdr>
        <w:top w:val="none" w:sz="0" w:space="0" w:color="auto"/>
        <w:left w:val="none" w:sz="0" w:space="0" w:color="auto"/>
        <w:bottom w:val="none" w:sz="0" w:space="0" w:color="auto"/>
        <w:right w:val="none" w:sz="0" w:space="0" w:color="auto"/>
      </w:divBdr>
    </w:div>
    <w:div w:id="1702322299">
      <w:bodyDiv w:val="1"/>
      <w:marLeft w:val="0"/>
      <w:marRight w:val="0"/>
      <w:marTop w:val="0"/>
      <w:marBottom w:val="0"/>
      <w:divBdr>
        <w:top w:val="none" w:sz="0" w:space="0" w:color="auto"/>
        <w:left w:val="none" w:sz="0" w:space="0" w:color="auto"/>
        <w:bottom w:val="none" w:sz="0" w:space="0" w:color="auto"/>
        <w:right w:val="none" w:sz="0" w:space="0" w:color="auto"/>
      </w:divBdr>
    </w:div>
    <w:div w:id="1702364446">
      <w:bodyDiv w:val="1"/>
      <w:marLeft w:val="0"/>
      <w:marRight w:val="0"/>
      <w:marTop w:val="0"/>
      <w:marBottom w:val="0"/>
      <w:divBdr>
        <w:top w:val="none" w:sz="0" w:space="0" w:color="auto"/>
        <w:left w:val="none" w:sz="0" w:space="0" w:color="auto"/>
        <w:bottom w:val="none" w:sz="0" w:space="0" w:color="auto"/>
        <w:right w:val="none" w:sz="0" w:space="0" w:color="auto"/>
      </w:divBdr>
    </w:div>
    <w:div w:id="1702631750">
      <w:bodyDiv w:val="1"/>
      <w:marLeft w:val="0"/>
      <w:marRight w:val="0"/>
      <w:marTop w:val="0"/>
      <w:marBottom w:val="0"/>
      <w:divBdr>
        <w:top w:val="none" w:sz="0" w:space="0" w:color="auto"/>
        <w:left w:val="none" w:sz="0" w:space="0" w:color="auto"/>
        <w:bottom w:val="none" w:sz="0" w:space="0" w:color="auto"/>
        <w:right w:val="none" w:sz="0" w:space="0" w:color="auto"/>
      </w:divBdr>
    </w:div>
    <w:div w:id="1703744889">
      <w:bodyDiv w:val="1"/>
      <w:marLeft w:val="0"/>
      <w:marRight w:val="0"/>
      <w:marTop w:val="0"/>
      <w:marBottom w:val="0"/>
      <w:divBdr>
        <w:top w:val="none" w:sz="0" w:space="0" w:color="auto"/>
        <w:left w:val="none" w:sz="0" w:space="0" w:color="auto"/>
        <w:bottom w:val="none" w:sz="0" w:space="0" w:color="auto"/>
        <w:right w:val="none" w:sz="0" w:space="0" w:color="auto"/>
      </w:divBdr>
    </w:div>
    <w:div w:id="1704667471">
      <w:bodyDiv w:val="1"/>
      <w:marLeft w:val="0"/>
      <w:marRight w:val="0"/>
      <w:marTop w:val="0"/>
      <w:marBottom w:val="0"/>
      <w:divBdr>
        <w:top w:val="none" w:sz="0" w:space="0" w:color="auto"/>
        <w:left w:val="none" w:sz="0" w:space="0" w:color="auto"/>
        <w:bottom w:val="none" w:sz="0" w:space="0" w:color="auto"/>
        <w:right w:val="none" w:sz="0" w:space="0" w:color="auto"/>
      </w:divBdr>
    </w:div>
    <w:div w:id="1707177177">
      <w:bodyDiv w:val="1"/>
      <w:marLeft w:val="0"/>
      <w:marRight w:val="0"/>
      <w:marTop w:val="0"/>
      <w:marBottom w:val="0"/>
      <w:divBdr>
        <w:top w:val="none" w:sz="0" w:space="0" w:color="auto"/>
        <w:left w:val="none" w:sz="0" w:space="0" w:color="auto"/>
        <w:bottom w:val="none" w:sz="0" w:space="0" w:color="auto"/>
        <w:right w:val="none" w:sz="0" w:space="0" w:color="auto"/>
      </w:divBdr>
    </w:div>
    <w:div w:id="1708607484">
      <w:bodyDiv w:val="1"/>
      <w:marLeft w:val="0"/>
      <w:marRight w:val="0"/>
      <w:marTop w:val="0"/>
      <w:marBottom w:val="0"/>
      <w:divBdr>
        <w:top w:val="none" w:sz="0" w:space="0" w:color="auto"/>
        <w:left w:val="none" w:sz="0" w:space="0" w:color="auto"/>
        <w:bottom w:val="none" w:sz="0" w:space="0" w:color="auto"/>
        <w:right w:val="none" w:sz="0" w:space="0" w:color="auto"/>
      </w:divBdr>
    </w:div>
    <w:div w:id="1713116290">
      <w:bodyDiv w:val="1"/>
      <w:marLeft w:val="0"/>
      <w:marRight w:val="0"/>
      <w:marTop w:val="0"/>
      <w:marBottom w:val="0"/>
      <w:divBdr>
        <w:top w:val="none" w:sz="0" w:space="0" w:color="auto"/>
        <w:left w:val="none" w:sz="0" w:space="0" w:color="auto"/>
        <w:bottom w:val="none" w:sz="0" w:space="0" w:color="auto"/>
        <w:right w:val="none" w:sz="0" w:space="0" w:color="auto"/>
      </w:divBdr>
    </w:div>
    <w:div w:id="1715080477">
      <w:bodyDiv w:val="1"/>
      <w:marLeft w:val="0"/>
      <w:marRight w:val="0"/>
      <w:marTop w:val="0"/>
      <w:marBottom w:val="0"/>
      <w:divBdr>
        <w:top w:val="none" w:sz="0" w:space="0" w:color="auto"/>
        <w:left w:val="none" w:sz="0" w:space="0" w:color="auto"/>
        <w:bottom w:val="none" w:sz="0" w:space="0" w:color="auto"/>
        <w:right w:val="none" w:sz="0" w:space="0" w:color="auto"/>
      </w:divBdr>
    </w:div>
    <w:div w:id="1716545183">
      <w:bodyDiv w:val="1"/>
      <w:marLeft w:val="0"/>
      <w:marRight w:val="0"/>
      <w:marTop w:val="0"/>
      <w:marBottom w:val="0"/>
      <w:divBdr>
        <w:top w:val="none" w:sz="0" w:space="0" w:color="auto"/>
        <w:left w:val="none" w:sz="0" w:space="0" w:color="auto"/>
        <w:bottom w:val="none" w:sz="0" w:space="0" w:color="auto"/>
        <w:right w:val="none" w:sz="0" w:space="0" w:color="auto"/>
      </w:divBdr>
    </w:div>
    <w:div w:id="1716925960">
      <w:bodyDiv w:val="1"/>
      <w:marLeft w:val="0"/>
      <w:marRight w:val="0"/>
      <w:marTop w:val="0"/>
      <w:marBottom w:val="0"/>
      <w:divBdr>
        <w:top w:val="none" w:sz="0" w:space="0" w:color="auto"/>
        <w:left w:val="none" w:sz="0" w:space="0" w:color="auto"/>
        <w:bottom w:val="none" w:sz="0" w:space="0" w:color="auto"/>
        <w:right w:val="none" w:sz="0" w:space="0" w:color="auto"/>
      </w:divBdr>
    </w:div>
    <w:div w:id="1717660275">
      <w:bodyDiv w:val="1"/>
      <w:marLeft w:val="0"/>
      <w:marRight w:val="0"/>
      <w:marTop w:val="0"/>
      <w:marBottom w:val="0"/>
      <w:divBdr>
        <w:top w:val="none" w:sz="0" w:space="0" w:color="auto"/>
        <w:left w:val="none" w:sz="0" w:space="0" w:color="auto"/>
        <w:bottom w:val="none" w:sz="0" w:space="0" w:color="auto"/>
        <w:right w:val="none" w:sz="0" w:space="0" w:color="auto"/>
      </w:divBdr>
    </w:div>
    <w:div w:id="1717855669">
      <w:bodyDiv w:val="1"/>
      <w:marLeft w:val="0"/>
      <w:marRight w:val="0"/>
      <w:marTop w:val="0"/>
      <w:marBottom w:val="0"/>
      <w:divBdr>
        <w:top w:val="none" w:sz="0" w:space="0" w:color="auto"/>
        <w:left w:val="none" w:sz="0" w:space="0" w:color="auto"/>
        <w:bottom w:val="none" w:sz="0" w:space="0" w:color="auto"/>
        <w:right w:val="none" w:sz="0" w:space="0" w:color="auto"/>
      </w:divBdr>
    </w:div>
    <w:div w:id="1717965096">
      <w:bodyDiv w:val="1"/>
      <w:marLeft w:val="0"/>
      <w:marRight w:val="0"/>
      <w:marTop w:val="0"/>
      <w:marBottom w:val="0"/>
      <w:divBdr>
        <w:top w:val="none" w:sz="0" w:space="0" w:color="auto"/>
        <w:left w:val="none" w:sz="0" w:space="0" w:color="auto"/>
        <w:bottom w:val="none" w:sz="0" w:space="0" w:color="auto"/>
        <w:right w:val="none" w:sz="0" w:space="0" w:color="auto"/>
      </w:divBdr>
    </w:div>
    <w:div w:id="1719207474">
      <w:bodyDiv w:val="1"/>
      <w:marLeft w:val="0"/>
      <w:marRight w:val="0"/>
      <w:marTop w:val="0"/>
      <w:marBottom w:val="0"/>
      <w:divBdr>
        <w:top w:val="none" w:sz="0" w:space="0" w:color="auto"/>
        <w:left w:val="none" w:sz="0" w:space="0" w:color="auto"/>
        <w:bottom w:val="none" w:sz="0" w:space="0" w:color="auto"/>
        <w:right w:val="none" w:sz="0" w:space="0" w:color="auto"/>
      </w:divBdr>
    </w:div>
    <w:div w:id="1722244113">
      <w:bodyDiv w:val="1"/>
      <w:marLeft w:val="0"/>
      <w:marRight w:val="0"/>
      <w:marTop w:val="0"/>
      <w:marBottom w:val="0"/>
      <w:divBdr>
        <w:top w:val="none" w:sz="0" w:space="0" w:color="auto"/>
        <w:left w:val="none" w:sz="0" w:space="0" w:color="auto"/>
        <w:bottom w:val="none" w:sz="0" w:space="0" w:color="auto"/>
        <w:right w:val="none" w:sz="0" w:space="0" w:color="auto"/>
      </w:divBdr>
    </w:div>
    <w:div w:id="1727299235">
      <w:bodyDiv w:val="1"/>
      <w:marLeft w:val="0"/>
      <w:marRight w:val="0"/>
      <w:marTop w:val="0"/>
      <w:marBottom w:val="0"/>
      <w:divBdr>
        <w:top w:val="none" w:sz="0" w:space="0" w:color="auto"/>
        <w:left w:val="none" w:sz="0" w:space="0" w:color="auto"/>
        <w:bottom w:val="none" w:sz="0" w:space="0" w:color="auto"/>
        <w:right w:val="none" w:sz="0" w:space="0" w:color="auto"/>
      </w:divBdr>
    </w:div>
    <w:div w:id="1732269060">
      <w:bodyDiv w:val="1"/>
      <w:marLeft w:val="0"/>
      <w:marRight w:val="0"/>
      <w:marTop w:val="0"/>
      <w:marBottom w:val="0"/>
      <w:divBdr>
        <w:top w:val="none" w:sz="0" w:space="0" w:color="auto"/>
        <w:left w:val="none" w:sz="0" w:space="0" w:color="auto"/>
        <w:bottom w:val="none" w:sz="0" w:space="0" w:color="auto"/>
        <w:right w:val="none" w:sz="0" w:space="0" w:color="auto"/>
      </w:divBdr>
    </w:div>
    <w:div w:id="1732733810">
      <w:bodyDiv w:val="1"/>
      <w:marLeft w:val="0"/>
      <w:marRight w:val="0"/>
      <w:marTop w:val="0"/>
      <w:marBottom w:val="0"/>
      <w:divBdr>
        <w:top w:val="none" w:sz="0" w:space="0" w:color="auto"/>
        <w:left w:val="none" w:sz="0" w:space="0" w:color="auto"/>
        <w:bottom w:val="none" w:sz="0" w:space="0" w:color="auto"/>
        <w:right w:val="none" w:sz="0" w:space="0" w:color="auto"/>
      </w:divBdr>
    </w:div>
    <w:div w:id="1734738086">
      <w:bodyDiv w:val="1"/>
      <w:marLeft w:val="0"/>
      <w:marRight w:val="0"/>
      <w:marTop w:val="0"/>
      <w:marBottom w:val="0"/>
      <w:divBdr>
        <w:top w:val="none" w:sz="0" w:space="0" w:color="auto"/>
        <w:left w:val="none" w:sz="0" w:space="0" w:color="auto"/>
        <w:bottom w:val="none" w:sz="0" w:space="0" w:color="auto"/>
        <w:right w:val="none" w:sz="0" w:space="0" w:color="auto"/>
      </w:divBdr>
    </w:div>
    <w:div w:id="1734892683">
      <w:bodyDiv w:val="1"/>
      <w:marLeft w:val="0"/>
      <w:marRight w:val="0"/>
      <w:marTop w:val="0"/>
      <w:marBottom w:val="0"/>
      <w:divBdr>
        <w:top w:val="none" w:sz="0" w:space="0" w:color="auto"/>
        <w:left w:val="none" w:sz="0" w:space="0" w:color="auto"/>
        <w:bottom w:val="none" w:sz="0" w:space="0" w:color="auto"/>
        <w:right w:val="none" w:sz="0" w:space="0" w:color="auto"/>
      </w:divBdr>
    </w:div>
    <w:div w:id="1741442479">
      <w:bodyDiv w:val="1"/>
      <w:marLeft w:val="0"/>
      <w:marRight w:val="0"/>
      <w:marTop w:val="0"/>
      <w:marBottom w:val="0"/>
      <w:divBdr>
        <w:top w:val="none" w:sz="0" w:space="0" w:color="auto"/>
        <w:left w:val="none" w:sz="0" w:space="0" w:color="auto"/>
        <w:bottom w:val="none" w:sz="0" w:space="0" w:color="auto"/>
        <w:right w:val="none" w:sz="0" w:space="0" w:color="auto"/>
      </w:divBdr>
    </w:div>
    <w:div w:id="1741559806">
      <w:bodyDiv w:val="1"/>
      <w:marLeft w:val="0"/>
      <w:marRight w:val="0"/>
      <w:marTop w:val="0"/>
      <w:marBottom w:val="0"/>
      <w:divBdr>
        <w:top w:val="none" w:sz="0" w:space="0" w:color="auto"/>
        <w:left w:val="none" w:sz="0" w:space="0" w:color="auto"/>
        <w:bottom w:val="none" w:sz="0" w:space="0" w:color="auto"/>
        <w:right w:val="none" w:sz="0" w:space="0" w:color="auto"/>
      </w:divBdr>
    </w:div>
    <w:div w:id="1742363788">
      <w:bodyDiv w:val="1"/>
      <w:marLeft w:val="0"/>
      <w:marRight w:val="0"/>
      <w:marTop w:val="0"/>
      <w:marBottom w:val="0"/>
      <w:divBdr>
        <w:top w:val="none" w:sz="0" w:space="0" w:color="auto"/>
        <w:left w:val="none" w:sz="0" w:space="0" w:color="auto"/>
        <w:bottom w:val="none" w:sz="0" w:space="0" w:color="auto"/>
        <w:right w:val="none" w:sz="0" w:space="0" w:color="auto"/>
      </w:divBdr>
    </w:div>
    <w:div w:id="1742875032">
      <w:bodyDiv w:val="1"/>
      <w:marLeft w:val="0"/>
      <w:marRight w:val="0"/>
      <w:marTop w:val="0"/>
      <w:marBottom w:val="0"/>
      <w:divBdr>
        <w:top w:val="none" w:sz="0" w:space="0" w:color="auto"/>
        <w:left w:val="none" w:sz="0" w:space="0" w:color="auto"/>
        <w:bottom w:val="none" w:sz="0" w:space="0" w:color="auto"/>
        <w:right w:val="none" w:sz="0" w:space="0" w:color="auto"/>
      </w:divBdr>
    </w:div>
    <w:div w:id="1743945409">
      <w:bodyDiv w:val="1"/>
      <w:marLeft w:val="0"/>
      <w:marRight w:val="0"/>
      <w:marTop w:val="0"/>
      <w:marBottom w:val="0"/>
      <w:divBdr>
        <w:top w:val="none" w:sz="0" w:space="0" w:color="auto"/>
        <w:left w:val="none" w:sz="0" w:space="0" w:color="auto"/>
        <w:bottom w:val="none" w:sz="0" w:space="0" w:color="auto"/>
        <w:right w:val="none" w:sz="0" w:space="0" w:color="auto"/>
      </w:divBdr>
    </w:div>
    <w:div w:id="1744528707">
      <w:bodyDiv w:val="1"/>
      <w:marLeft w:val="0"/>
      <w:marRight w:val="0"/>
      <w:marTop w:val="0"/>
      <w:marBottom w:val="0"/>
      <w:divBdr>
        <w:top w:val="none" w:sz="0" w:space="0" w:color="auto"/>
        <w:left w:val="none" w:sz="0" w:space="0" w:color="auto"/>
        <w:bottom w:val="none" w:sz="0" w:space="0" w:color="auto"/>
        <w:right w:val="none" w:sz="0" w:space="0" w:color="auto"/>
      </w:divBdr>
    </w:div>
    <w:div w:id="1746755561">
      <w:bodyDiv w:val="1"/>
      <w:marLeft w:val="0"/>
      <w:marRight w:val="0"/>
      <w:marTop w:val="0"/>
      <w:marBottom w:val="0"/>
      <w:divBdr>
        <w:top w:val="none" w:sz="0" w:space="0" w:color="auto"/>
        <w:left w:val="none" w:sz="0" w:space="0" w:color="auto"/>
        <w:bottom w:val="none" w:sz="0" w:space="0" w:color="auto"/>
        <w:right w:val="none" w:sz="0" w:space="0" w:color="auto"/>
      </w:divBdr>
    </w:div>
    <w:div w:id="1747220209">
      <w:bodyDiv w:val="1"/>
      <w:marLeft w:val="0"/>
      <w:marRight w:val="0"/>
      <w:marTop w:val="0"/>
      <w:marBottom w:val="0"/>
      <w:divBdr>
        <w:top w:val="none" w:sz="0" w:space="0" w:color="auto"/>
        <w:left w:val="none" w:sz="0" w:space="0" w:color="auto"/>
        <w:bottom w:val="none" w:sz="0" w:space="0" w:color="auto"/>
        <w:right w:val="none" w:sz="0" w:space="0" w:color="auto"/>
      </w:divBdr>
    </w:div>
    <w:div w:id="1747609084">
      <w:bodyDiv w:val="1"/>
      <w:marLeft w:val="0"/>
      <w:marRight w:val="0"/>
      <w:marTop w:val="0"/>
      <w:marBottom w:val="0"/>
      <w:divBdr>
        <w:top w:val="none" w:sz="0" w:space="0" w:color="auto"/>
        <w:left w:val="none" w:sz="0" w:space="0" w:color="auto"/>
        <w:bottom w:val="none" w:sz="0" w:space="0" w:color="auto"/>
        <w:right w:val="none" w:sz="0" w:space="0" w:color="auto"/>
      </w:divBdr>
    </w:div>
    <w:div w:id="1749838950">
      <w:bodyDiv w:val="1"/>
      <w:marLeft w:val="0"/>
      <w:marRight w:val="0"/>
      <w:marTop w:val="0"/>
      <w:marBottom w:val="0"/>
      <w:divBdr>
        <w:top w:val="none" w:sz="0" w:space="0" w:color="auto"/>
        <w:left w:val="none" w:sz="0" w:space="0" w:color="auto"/>
        <w:bottom w:val="none" w:sz="0" w:space="0" w:color="auto"/>
        <w:right w:val="none" w:sz="0" w:space="0" w:color="auto"/>
      </w:divBdr>
    </w:div>
    <w:div w:id="1754353041">
      <w:bodyDiv w:val="1"/>
      <w:marLeft w:val="0"/>
      <w:marRight w:val="0"/>
      <w:marTop w:val="0"/>
      <w:marBottom w:val="0"/>
      <w:divBdr>
        <w:top w:val="none" w:sz="0" w:space="0" w:color="auto"/>
        <w:left w:val="none" w:sz="0" w:space="0" w:color="auto"/>
        <w:bottom w:val="none" w:sz="0" w:space="0" w:color="auto"/>
        <w:right w:val="none" w:sz="0" w:space="0" w:color="auto"/>
      </w:divBdr>
    </w:div>
    <w:div w:id="1754355440">
      <w:bodyDiv w:val="1"/>
      <w:marLeft w:val="0"/>
      <w:marRight w:val="0"/>
      <w:marTop w:val="0"/>
      <w:marBottom w:val="0"/>
      <w:divBdr>
        <w:top w:val="none" w:sz="0" w:space="0" w:color="auto"/>
        <w:left w:val="none" w:sz="0" w:space="0" w:color="auto"/>
        <w:bottom w:val="none" w:sz="0" w:space="0" w:color="auto"/>
        <w:right w:val="none" w:sz="0" w:space="0" w:color="auto"/>
      </w:divBdr>
    </w:div>
    <w:div w:id="1756440427">
      <w:bodyDiv w:val="1"/>
      <w:marLeft w:val="0"/>
      <w:marRight w:val="0"/>
      <w:marTop w:val="0"/>
      <w:marBottom w:val="0"/>
      <w:divBdr>
        <w:top w:val="none" w:sz="0" w:space="0" w:color="auto"/>
        <w:left w:val="none" w:sz="0" w:space="0" w:color="auto"/>
        <w:bottom w:val="none" w:sz="0" w:space="0" w:color="auto"/>
        <w:right w:val="none" w:sz="0" w:space="0" w:color="auto"/>
      </w:divBdr>
    </w:div>
    <w:div w:id="1759331674">
      <w:bodyDiv w:val="1"/>
      <w:marLeft w:val="0"/>
      <w:marRight w:val="0"/>
      <w:marTop w:val="0"/>
      <w:marBottom w:val="0"/>
      <w:divBdr>
        <w:top w:val="none" w:sz="0" w:space="0" w:color="auto"/>
        <w:left w:val="none" w:sz="0" w:space="0" w:color="auto"/>
        <w:bottom w:val="none" w:sz="0" w:space="0" w:color="auto"/>
        <w:right w:val="none" w:sz="0" w:space="0" w:color="auto"/>
      </w:divBdr>
    </w:div>
    <w:div w:id="1760328435">
      <w:bodyDiv w:val="1"/>
      <w:marLeft w:val="0"/>
      <w:marRight w:val="0"/>
      <w:marTop w:val="0"/>
      <w:marBottom w:val="0"/>
      <w:divBdr>
        <w:top w:val="none" w:sz="0" w:space="0" w:color="auto"/>
        <w:left w:val="none" w:sz="0" w:space="0" w:color="auto"/>
        <w:bottom w:val="none" w:sz="0" w:space="0" w:color="auto"/>
        <w:right w:val="none" w:sz="0" w:space="0" w:color="auto"/>
      </w:divBdr>
    </w:div>
    <w:div w:id="1762754506">
      <w:bodyDiv w:val="1"/>
      <w:marLeft w:val="0"/>
      <w:marRight w:val="0"/>
      <w:marTop w:val="0"/>
      <w:marBottom w:val="0"/>
      <w:divBdr>
        <w:top w:val="none" w:sz="0" w:space="0" w:color="auto"/>
        <w:left w:val="none" w:sz="0" w:space="0" w:color="auto"/>
        <w:bottom w:val="none" w:sz="0" w:space="0" w:color="auto"/>
        <w:right w:val="none" w:sz="0" w:space="0" w:color="auto"/>
      </w:divBdr>
    </w:div>
    <w:div w:id="1765762064">
      <w:bodyDiv w:val="1"/>
      <w:marLeft w:val="0"/>
      <w:marRight w:val="0"/>
      <w:marTop w:val="0"/>
      <w:marBottom w:val="0"/>
      <w:divBdr>
        <w:top w:val="none" w:sz="0" w:space="0" w:color="auto"/>
        <w:left w:val="none" w:sz="0" w:space="0" w:color="auto"/>
        <w:bottom w:val="none" w:sz="0" w:space="0" w:color="auto"/>
        <w:right w:val="none" w:sz="0" w:space="0" w:color="auto"/>
      </w:divBdr>
    </w:div>
    <w:div w:id="1765957236">
      <w:bodyDiv w:val="1"/>
      <w:marLeft w:val="0"/>
      <w:marRight w:val="0"/>
      <w:marTop w:val="0"/>
      <w:marBottom w:val="0"/>
      <w:divBdr>
        <w:top w:val="none" w:sz="0" w:space="0" w:color="auto"/>
        <w:left w:val="none" w:sz="0" w:space="0" w:color="auto"/>
        <w:bottom w:val="none" w:sz="0" w:space="0" w:color="auto"/>
        <w:right w:val="none" w:sz="0" w:space="0" w:color="auto"/>
      </w:divBdr>
    </w:div>
    <w:div w:id="1766148592">
      <w:bodyDiv w:val="1"/>
      <w:marLeft w:val="0"/>
      <w:marRight w:val="0"/>
      <w:marTop w:val="0"/>
      <w:marBottom w:val="0"/>
      <w:divBdr>
        <w:top w:val="none" w:sz="0" w:space="0" w:color="auto"/>
        <w:left w:val="none" w:sz="0" w:space="0" w:color="auto"/>
        <w:bottom w:val="none" w:sz="0" w:space="0" w:color="auto"/>
        <w:right w:val="none" w:sz="0" w:space="0" w:color="auto"/>
      </w:divBdr>
    </w:div>
    <w:div w:id="1766612788">
      <w:bodyDiv w:val="1"/>
      <w:marLeft w:val="0"/>
      <w:marRight w:val="0"/>
      <w:marTop w:val="0"/>
      <w:marBottom w:val="0"/>
      <w:divBdr>
        <w:top w:val="none" w:sz="0" w:space="0" w:color="auto"/>
        <w:left w:val="none" w:sz="0" w:space="0" w:color="auto"/>
        <w:bottom w:val="none" w:sz="0" w:space="0" w:color="auto"/>
        <w:right w:val="none" w:sz="0" w:space="0" w:color="auto"/>
      </w:divBdr>
    </w:div>
    <w:div w:id="1776484489">
      <w:bodyDiv w:val="1"/>
      <w:marLeft w:val="0"/>
      <w:marRight w:val="0"/>
      <w:marTop w:val="0"/>
      <w:marBottom w:val="0"/>
      <w:divBdr>
        <w:top w:val="none" w:sz="0" w:space="0" w:color="auto"/>
        <w:left w:val="none" w:sz="0" w:space="0" w:color="auto"/>
        <w:bottom w:val="none" w:sz="0" w:space="0" w:color="auto"/>
        <w:right w:val="none" w:sz="0" w:space="0" w:color="auto"/>
      </w:divBdr>
    </w:div>
    <w:div w:id="1778593994">
      <w:bodyDiv w:val="1"/>
      <w:marLeft w:val="0"/>
      <w:marRight w:val="0"/>
      <w:marTop w:val="0"/>
      <w:marBottom w:val="0"/>
      <w:divBdr>
        <w:top w:val="none" w:sz="0" w:space="0" w:color="auto"/>
        <w:left w:val="none" w:sz="0" w:space="0" w:color="auto"/>
        <w:bottom w:val="none" w:sz="0" w:space="0" w:color="auto"/>
        <w:right w:val="none" w:sz="0" w:space="0" w:color="auto"/>
      </w:divBdr>
    </w:div>
    <w:div w:id="1778984829">
      <w:bodyDiv w:val="1"/>
      <w:marLeft w:val="0"/>
      <w:marRight w:val="0"/>
      <w:marTop w:val="0"/>
      <w:marBottom w:val="0"/>
      <w:divBdr>
        <w:top w:val="none" w:sz="0" w:space="0" w:color="auto"/>
        <w:left w:val="none" w:sz="0" w:space="0" w:color="auto"/>
        <w:bottom w:val="none" w:sz="0" w:space="0" w:color="auto"/>
        <w:right w:val="none" w:sz="0" w:space="0" w:color="auto"/>
      </w:divBdr>
    </w:div>
    <w:div w:id="1779593415">
      <w:bodyDiv w:val="1"/>
      <w:marLeft w:val="0"/>
      <w:marRight w:val="0"/>
      <w:marTop w:val="0"/>
      <w:marBottom w:val="0"/>
      <w:divBdr>
        <w:top w:val="none" w:sz="0" w:space="0" w:color="auto"/>
        <w:left w:val="none" w:sz="0" w:space="0" w:color="auto"/>
        <w:bottom w:val="none" w:sz="0" w:space="0" w:color="auto"/>
        <w:right w:val="none" w:sz="0" w:space="0" w:color="auto"/>
      </w:divBdr>
    </w:div>
    <w:div w:id="1783955690">
      <w:bodyDiv w:val="1"/>
      <w:marLeft w:val="0"/>
      <w:marRight w:val="0"/>
      <w:marTop w:val="0"/>
      <w:marBottom w:val="0"/>
      <w:divBdr>
        <w:top w:val="none" w:sz="0" w:space="0" w:color="auto"/>
        <w:left w:val="none" w:sz="0" w:space="0" w:color="auto"/>
        <w:bottom w:val="none" w:sz="0" w:space="0" w:color="auto"/>
        <w:right w:val="none" w:sz="0" w:space="0" w:color="auto"/>
      </w:divBdr>
    </w:div>
    <w:div w:id="1784835748">
      <w:bodyDiv w:val="1"/>
      <w:marLeft w:val="0"/>
      <w:marRight w:val="0"/>
      <w:marTop w:val="0"/>
      <w:marBottom w:val="0"/>
      <w:divBdr>
        <w:top w:val="none" w:sz="0" w:space="0" w:color="auto"/>
        <w:left w:val="none" w:sz="0" w:space="0" w:color="auto"/>
        <w:bottom w:val="none" w:sz="0" w:space="0" w:color="auto"/>
        <w:right w:val="none" w:sz="0" w:space="0" w:color="auto"/>
      </w:divBdr>
    </w:div>
    <w:div w:id="1785223459">
      <w:bodyDiv w:val="1"/>
      <w:marLeft w:val="0"/>
      <w:marRight w:val="0"/>
      <w:marTop w:val="0"/>
      <w:marBottom w:val="0"/>
      <w:divBdr>
        <w:top w:val="none" w:sz="0" w:space="0" w:color="auto"/>
        <w:left w:val="none" w:sz="0" w:space="0" w:color="auto"/>
        <w:bottom w:val="none" w:sz="0" w:space="0" w:color="auto"/>
        <w:right w:val="none" w:sz="0" w:space="0" w:color="auto"/>
      </w:divBdr>
    </w:div>
    <w:div w:id="1785884500">
      <w:bodyDiv w:val="1"/>
      <w:marLeft w:val="0"/>
      <w:marRight w:val="0"/>
      <w:marTop w:val="0"/>
      <w:marBottom w:val="0"/>
      <w:divBdr>
        <w:top w:val="none" w:sz="0" w:space="0" w:color="auto"/>
        <w:left w:val="none" w:sz="0" w:space="0" w:color="auto"/>
        <w:bottom w:val="none" w:sz="0" w:space="0" w:color="auto"/>
        <w:right w:val="none" w:sz="0" w:space="0" w:color="auto"/>
      </w:divBdr>
    </w:div>
    <w:div w:id="1789082468">
      <w:bodyDiv w:val="1"/>
      <w:marLeft w:val="0"/>
      <w:marRight w:val="0"/>
      <w:marTop w:val="0"/>
      <w:marBottom w:val="0"/>
      <w:divBdr>
        <w:top w:val="none" w:sz="0" w:space="0" w:color="auto"/>
        <w:left w:val="none" w:sz="0" w:space="0" w:color="auto"/>
        <w:bottom w:val="none" w:sz="0" w:space="0" w:color="auto"/>
        <w:right w:val="none" w:sz="0" w:space="0" w:color="auto"/>
      </w:divBdr>
    </w:div>
    <w:div w:id="1791775335">
      <w:bodyDiv w:val="1"/>
      <w:marLeft w:val="0"/>
      <w:marRight w:val="0"/>
      <w:marTop w:val="0"/>
      <w:marBottom w:val="0"/>
      <w:divBdr>
        <w:top w:val="none" w:sz="0" w:space="0" w:color="auto"/>
        <w:left w:val="none" w:sz="0" w:space="0" w:color="auto"/>
        <w:bottom w:val="none" w:sz="0" w:space="0" w:color="auto"/>
        <w:right w:val="none" w:sz="0" w:space="0" w:color="auto"/>
      </w:divBdr>
    </w:div>
    <w:div w:id="1792826148">
      <w:bodyDiv w:val="1"/>
      <w:marLeft w:val="0"/>
      <w:marRight w:val="0"/>
      <w:marTop w:val="0"/>
      <w:marBottom w:val="0"/>
      <w:divBdr>
        <w:top w:val="none" w:sz="0" w:space="0" w:color="auto"/>
        <w:left w:val="none" w:sz="0" w:space="0" w:color="auto"/>
        <w:bottom w:val="none" w:sz="0" w:space="0" w:color="auto"/>
        <w:right w:val="none" w:sz="0" w:space="0" w:color="auto"/>
      </w:divBdr>
    </w:div>
    <w:div w:id="1794665989">
      <w:bodyDiv w:val="1"/>
      <w:marLeft w:val="0"/>
      <w:marRight w:val="0"/>
      <w:marTop w:val="0"/>
      <w:marBottom w:val="0"/>
      <w:divBdr>
        <w:top w:val="none" w:sz="0" w:space="0" w:color="auto"/>
        <w:left w:val="none" w:sz="0" w:space="0" w:color="auto"/>
        <w:bottom w:val="none" w:sz="0" w:space="0" w:color="auto"/>
        <w:right w:val="none" w:sz="0" w:space="0" w:color="auto"/>
      </w:divBdr>
    </w:div>
    <w:div w:id="1795294714">
      <w:bodyDiv w:val="1"/>
      <w:marLeft w:val="0"/>
      <w:marRight w:val="0"/>
      <w:marTop w:val="0"/>
      <w:marBottom w:val="0"/>
      <w:divBdr>
        <w:top w:val="none" w:sz="0" w:space="0" w:color="auto"/>
        <w:left w:val="none" w:sz="0" w:space="0" w:color="auto"/>
        <w:bottom w:val="none" w:sz="0" w:space="0" w:color="auto"/>
        <w:right w:val="none" w:sz="0" w:space="0" w:color="auto"/>
      </w:divBdr>
    </w:div>
    <w:div w:id="1796020748">
      <w:bodyDiv w:val="1"/>
      <w:marLeft w:val="0"/>
      <w:marRight w:val="0"/>
      <w:marTop w:val="0"/>
      <w:marBottom w:val="0"/>
      <w:divBdr>
        <w:top w:val="none" w:sz="0" w:space="0" w:color="auto"/>
        <w:left w:val="none" w:sz="0" w:space="0" w:color="auto"/>
        <w:bottom w:val="none" w:sz="0" w:space="0" w:color="auto"/>
        <w:right w:val="none" w:sz="0" w:space="0" w:color="auto"/>
      </w:divBdr>
    </w:div>
    <w:div w:id="1797092933">
      <w:bodyDiv w:val="1"/>
      <w:marLeft w:val="0"/>
      <w:marRight w:val="0"/>
      <w:marTop w:val="0"/>
      <w:marBottom w:val="0"/>
      <w:divBdr>
        <w:top w:val="none" w:sz="0" w:space="0" w:color="auto"/>
        <w:left w:val="none" w:sz="0" w:space="0" w:color="auto"/>
        <w:bottom w:val="none" w:sz="0" w:space="0" w:color="auto"/>
        <w:right w:val="none" w:sz="0" w:space="0" w:color="auto"/>
      </w:divBdr>
    </w:div>
    <w:div w:id="1797991096">
      <w:bodyDiv w:val="1"/>
      <w:marLeft w:val="0"/>
      <w:marRight w:val="0"/>
      <w:marTop w:val="0"/>
      <w:marBottom w:val="0"/>
      <w:divBdr>
        <w:top w:val="none" w:sz="0" w:space="0" w:color="auto"/>
        <w:left w:val="none" w:sz="0" w:space="0" w:color="auto"/>
        <w:bottom w:val="none" w:sz="0" w:space="0" w:color="auto"/>
        <w:right w:val="none" w:sz="0" w:space="0" w:color="auto"/>
      </w:divBdr>
    </w:div>
    <w:div w:id="1798836592">
      <w:bodyDiv w:val="1"/>
      <w:marLeft w:val="0"/>
      <w:marRight w:val="0"/>
      <w:marTop w:val="0"/>
      <w:marBottom w:val="0"/>
      <w:divBdr>
        <w:top w:val="none" w:sz="0" w:space="0" w:color="auto"/>
        <w:left w:val="none" w:sz="0" w:space="0" w:color="auto"/>
        <w:bottom w:val="none" w:sz="0" w:space="0" w:color="auto"/>
        <w:right w:val="none" w:sz="0" w:space="0" w:color="auto"/>
      </w:divBdr>
    </w:div>
    <w:div w:id="1799832685">
      <w:bodyDiv w:val="1"/>
      <w:marLeft w:val="0"/>
      <w:marRight w:val="0"/>
      <w:marTop w:val="0"/>
      <w:marBottom w:val="0"/>
      <w:divBdr>
        <w:top w:val="none" w:sz="0" w:space="0" w:color="auto"/>
        <w:left w:val="none" w:sz="0" w:space="0" w:color="auto"/>
        <w:bottom w:val="none" w:sz="0" w:space="0" w:color="auto"/>
        <w:right w:val="none" w:sz="0" w:space="0" w:color="auto"/>
      </w:divBdr>
    </w:div>
    <w:div w:id="1805082254">
      <w:bodyDiv w:val="1"/>
      <w:marLeft w:val="0"/>
      <w:marRight w:val="0"/>
      <w:marTop w:val="0"/>
      <w:marBottom w:val="0"/>
      <w:divBdr>
        <w:top w:val="none" w:sz="0" w:space="0" w:color="auto"/>
        <w:left w:val="none" w:sz="0" w:space="0" w:color="auto"/>
        <w:bottom w:val="none" w:sz="0" w:space="0" w:color="auto"/>
        <w:right w:val="none" w:sz="0" w:space="0" w:color="auto"/>
      </w:divBdr>
    </w:div>
    <w:div w:id="1805586967">
      <w:bodyDiv w:val="1"/>
      <w:marLeft w:val="0"/>
      <w:marRight w:val="0"/>
      <w:marTop w:val="0"/>
      <w:marBottom w:val="0"/>
      <w:divBdr>
        <w:top w:val="none" w:sz="0" w:space="0" w:color="auto"/>
        <w:left w:val="none" w:sz="0" w:space="0" w:color="auto"/>
        <w:bottom w:val="none" w:sz="0" w:space="0" w:color="auto"/>
        <w:right w:val="none" w:sz="0" w:space="0" w:color="auto"/>
      </w:divBdr>
    </w:div>
    <w:div w:id="1806119183">
      <w:bodyDiv w:val="1"/>
      <w:marLeft w:val="0"/>
      <w:marRight w:val="0"/>
      <w:marTop w:val="0"/>
      <w:marBottom w:val="0"/>
      <w:divBdr>
        <w:top w:val="none" w:sz="0" w:space="0" w:color="auto"/>
        <w:left w:val="none" w:sz="0" w:space="0" w:color="auto"/>
        <w:bottom w:val="none" w:sz="0" w:space="0" w:color="auto"/>
        <w:right w:val="none" w:sz="0" w:space="0" w:color="auto"/>
      </w:divBdr>
    </w:div>
    <w:div w:id="1816146741">
      <w:bodyDiv w:val="1"/>
      <w:marLeft w:val="0"/>
      <w:marRight w:val="0"/>
      <w:marTop w:val="0"/>
      <w:marBottom w:val="0"/>
      <w:divBdr>
        <w:top w:val="none" w:sz="0" w:space="0" w:color="auto"/>
        <w:left w:val="none" w:sz="0" w:space="0" w:color="auto"/>
        <w:bottom w:val="none" w:sz="0" w:space="0" w:color="auto"/>
        <w:right w:val="none" w:sz="0" w:space="0" w:color="auto"/>
      </w:divBdr>
    </w:div>
    <w:div w:id="1817528053">
      <w:bodyDiv w:val="1"/>
      <w:marLeft w:val="0"/>
      <w:marRight w:val="0"/>
      <w:marTop w:val="0"/>
      <w:marBottom w:val="0"/>
      <w:divBdr>
        <w:top w:val="none" w:sz="0" w:space="0" w:color="auto"/>
        <w:left w:val="none" w:sz="0" w:space="0" w:color="auto"/>
        <w:bottom w:val="none" w:sz="0" w:space="0" w:color="auto"/>
        <w:right w:val="none" w:sz="0" w:space="0" w:color="auto"/>
      </w:divBdr>
    </w:div>
    <w:div w:id="1818107119">
      <w:bodyDiv w:val="1"/>
      <w:marLeft w:val="0"/>
      <w:marRight w:val="0"/>
      <w:marTop w:val="0"/>
      <w:marBottom w:val="0"/>
      <w:divBdr>
        <w:top w:val="none" w:sz="0" w:space="0" w:color="auto"/>
        <w:left w:val="none" w:sz="0" w:space="0" w:color="auto"/>
        <w:bottom w:val="none" w:sz="0" w:space="0" w:color="auto"/>
        <w:right w:val="none" w:sz="0" w:space="0" w:color="auto"/>
      </w:divBdr>
    </w:div>
    <w:div w:id="1818912077">
      <w:bodyDiv w:val="1"/>
      <w:marLeft w:val="0"/>
      <w:marRight w:val="0"/>
      <w:marTop w:val="0"/>
      <w:marBottom w:val="0"/>
      <w:divBdr>
        <w:top w:val="none" w:sz="0" w:space="0" w:color="auto"/>
        <w:left w:val="none" w:sz="0" w:space="0" w:color="auto"/>
        <w:bottom w:val="none" w:sz="0" w:space="0" w:color="auto"/>
        <w:right w:val="none" w:sz="0" w:space="0" w:color="auto"/>
      </w:divBdr>
    </w:div>
    <w:div w:id="1819834876">
      <w:bodyDiv w:val="1"/>
      <w:marLeft w:val="0"/>
      <w:marRight w:val="0"/>
      <w:marTop w:val="0"/>
      <w:marBottom w:val="0"/>
      <w:divBdr>
        <w:top w:val="none" w:sz="0" w:space="0" w:color="auto"/>
        <w:left w:val="none" w:sz="0" w:space="0" w:color="auto"/>
        <w:bottom w:val="none" w:sz="0" w:space="0" w:color="auto"/>
        <w:right w:val="none" w:sz="0" w:space="0" w:color="auto"/>
      </w:divBdr>
    </w:div>
    <w:div w:id="1820606992">
      <w:bodyDiv w:val="1"/>
      <w:marLeft w:val="0"/>
      <w:marRight w:val="0"/>
      <w:marTop w:val="0"/>
      <w:marBottom w:val="0"/>
      <w:divBdr>
        <w:top w:val="none" w:sz="0" w:space="0" w:color="auto"/>
        <w:left w:val="none" w:sz="0" w:space="0" w:color="auto"/>
        <w:bottom w:val="none" w:sz="0" w:space="0" w:color="auto"/>
        <w:right w:val="none" w:sz="0" w:space="0" w:color="auto"/>
      </w:divBdr>
    </w:div>
    <w:div w:id="1820922154">
      <w:bodyDiv w:val="1"/>
      <w:marLeft w:val="0"/>
      <w:marRight w:val="0"/>
      <w:marTop w:val="0"/>
      <w:marBottom w:val="0"/>
      <w:divBdr>
        <w:top w:val="none" w:sz="0" w:space="0" w:color="auto"/>
        <w:left w:val="none" w:sz="0" w:space="0" w:color="auto"/>
        <w:bottom w:val="none" w:sz="0" w:space="0" w:color="auto"/>
        <w:right w:val="none" w:sz="0" w:space="0" w:color="auto"/>
      </w:divBdr>
    </w:div>
    <w:div w:id="1821846730">
      <w:bodyDiv w:val="1"/>
      <w:marLeft w:val="0"/>
      <w:marRight w:val="0"/>
      <w:marTop w:val="0"/>
      <w:marBottom w:val="0"/>
      <w:divBdr>
        <w:top w:val="none" w:sz="0" w:space="0" w:color="auto"/>
        <w:left w:val="none" w:sz="0" w:space="0" w:color="auto"/>
        <w:bottom w:val="none" w:sz="0" w:space="0" w:color="auto"/>
        <w:right w:val="none" w:sz="0" w:space="0" w:color="auto"/>
      </w:divBdr>
    </w:div>
    <w:div w:id="1822189868">
      <w:bodyDiv w:val="1"/>
      <w:marLeft w:val="0"/>
      <w:marRight w:val="0"/>
      <w:marTop w:val="0"/>
      <w:marBottom w:val="0"/>
      <w:divBdr>
        <w:top w:val="none" w:sz="0" w:space="0" w:color="auto"/>
        <w:left w:val="none" w:sz="0" w:space="0" w:color="auto"/>
        <w:bottom w:val="none" w:sz="0" w:space="0" w:color="auto"/>
        <w:right w:val="none" w:sz="0" w:space="0" w:color="auto"/>
      </w:divBdr>
    </w:div>
    <w:div w:id="1824391480">
      <w:bodyDiv w:val="1"/>
      <w:marLeft w:val="0"/>
      <w:marRight w:val="0"/>
      <w:marTop w:val="0"/>
      <w:marBottom w:val="0"/>
      <w:divBdr>
        <w:top w:val="none" w:sz="0" w:space="0" w:color="auto"/>
        <w:left w:val="none" w:sz="0" w:space="0" w:color="auto"/>
        <w:bottom w:val="none" w:sz="0" w:space="0" w:color="auto"/>
        <w:right w:val="none" w:sz="0" w:space="0" w:color="auto"/>
      </w:divBdr>
    </w:div>
    <w:div w:id="1826126524">
      <w:bodyDiv w:val="1"/>
      <w:marLeft w:val="0"/>
      <w:marRight w:val="0"/>
      <w:marTop w:val="0"/>
      <w:marBottom w:val="0"/>
      <w:divBdr>
        <w:top w:val="none" w:sz="0" w:space="0" w:color="auto"/>
        <w:left w:val="none" w:sz="0" w:space="0" w:color="auto"/>
        <w:bottom w:val="none" w:sz="0" w:space="0" w:color="auto"/>
        <w:right w:val="none" w:sz="0" w:space="0" w:color="auto"/>
      </w:divBdr>
    </w:div>
    <w:div w:id="1831286584">
      <w:bodyDiv w:val="1"/>
      <w:marLeft w:val="0"/>
      <w:marRight w:val="0"/>
      <w:marTop w:val="0"/>
      <w:marBottom w:val="0"/>
      <w:divBdr>
        <w:top w:val="none" w:sz="0" w:space="0" w:color="auto"/>
        <w:left w:val="none" w:sz="0" w:space="0" w:color="auto"/>
        <w:bottom w:val="none" w:sz="0" w:space="0" w:color="auto"/>
        <w:right w:val="none" w:sz="0" w:space="0" w:color="auto"/>
      </w:divBdr>
    </w:div>
    <w:div w:id="1831360990">
      <w:bodyDiv w:val="1"/>
      <w:marLeft w:val="0"/>
      <w:marRight w:val="0"/>
      <w:marTop w:val="0"/>
      <w:marBottom w:val="0"/>
      <w:divBdr>
        <w:top w:val="none" w:sz="0" w:space="0" w:color="auto"/>
        <w:left w:val="none" w:sz="0" w:space="0" w:color="auto"/>
        <w:bottom w:val="none" w:sz="0" w:space="0" w:color="auto"/>
        <w:right w:val="none" w:sz="0" w:space="0" w:color="auto"/>
      </w:divBdr>
    </w:div>
    <w:div w:id="1832137443">
      <w:bodyDiv w:val="1"/>
      <w:marLeft w:val="0"/>
      <w:marRight w:val="0"/>
      <w:marTop w:val="0"/>
      <w:marBottom w:val="0"/>
      <w:divBdr>
        <w:top w:val="none" w:sz="0" w:space="0" w:color="auto"/>
        <w:left w:val="none" w:sz="0" w:space="0" w:color="auto"/>
        <w:bottom w:val="none" w:sz="0" w:space="0" w:color="auto"/>
        <w:right w:val="none" w:sz="0" w:space="0" w:color="auto"/>
      </w:divBdr>
    </w:div>
    <w:div w:id="1832795764">
      <w:bodyDiv w:val="1"/>
      <w:marLeft w:val="0"/>
      <w:marRight w:val="0"/>
      <w:marTop w:val="0"/>
      <w:marBottom w:val="0"/>
      <w:divBdr>
        <w:top w:val="none" w:sz="0" w:space="0" w:color="auto"/>
        <w:left w:val="none" w:sz="0" w:space="0" w:color="auto"/>
        <w:bottom w:val="none" w:sz="0" w:space="0" w:color="auto"/>
        <w:right w:val="none" w:sz="0" w:space="0" w:color="auto"/>
      </w:divBdr>
    </w:div>
    <w:div w:id="1834565050">
      <w:bodyDiv w:val="1"/>
      <w:marLeft w:val="0"/>
      <w:marRight w:val="0"/>
      <w:marTop w:val="0"/>
      <w:marBottom w:val="0"/>
      <w:divBdr>
        <w:top w:val="none" w:sz="0" w:space="0" w:color="auto"/>
        <w:left w:val="none" w:sz="0" w:space="0" w:color="auto"/>
        <w:bottom w:val="none" w:sz="0" w:space="0" w:color="auto"/>
        <w:right w:val="none" w:sz="0" w:space="0" w:color="auto"/>
      </w:divBdr>
    </w:div>
    <w:div w:id="1834947819">
      <w:bodyDiv w:val="1"/>
      <w:marLeft w:val="0"/>
      <w:marRight w:val="0"/>
      <w:marTop w:val="0"/>
      <w:marBottom w:val="0"/>
      <w:divBdr>
        <w:top w:val="none" w:sz="0" w:space="0" w:color="auto"/>
        <w:left w:val="none" w:sz="0" w:space="0" w:color="auto"/>
        <w:bottom w:val="none" w:sz="0" w:space="0" w:color="auto"/>
        <w:right w:val="none" w:sz="0" w:space="0" w:color="auto"/>
      </w:divBdr>
    </w:div>
    <w:div w:id="1835102776">
      <w:bodyDiv w:val="1"/>
      <w:marLeft w:val="0"/>
      <w:marRight w:val="0"/>
      <w:marTop w:val="0"/>
      <w:marBottom w:val="0"/>
      <w:divBdr>
        <w:top w:val="none" w:sz="0" w:space="0" w:color="auto"/>
        <w:left w:val="none" w:sz="0" w:space="0" w:color="auto"/>
        <w:bottom w:val="none" w:sz="0" w:space="0" w:color="auto"/>
        <w:right w:val="none" w:sz="0" w:space="0" w:color="auto"/>
      </w:divBdr>
    </w:div>
    <w:div w:id="1835760022">
      <w:bodyDiv w:val="1"/>
      <w:marLeft w:val="0"/>
      <w:marRight w:val="0"/>
      <w:marTop w:val="0"/>
      <w:marBottom w:val="0"/>
      <w:divBdr>
        <w:top w:val="none" w:sz="0" w:space="0" w:color="auto"/>
        <w:left w:val="none" w:sz="0" w:space="0" w:color="auto"/>
        <w:bottom w:val="none" w:sz="0" w:space="0" w:color="auto"/>
        <w:right w:val="none" w:sz="0" w:space="0" w:color="auto"/>
      </w:divBdr>
    </w:div>
    <w:div w:id="1835991460">
      <w:bodyDiv w:val="1"/>
      <w:marLeft w:val="0"/>
      <w:marRight w:val="0"/>
      <w:marTop w:val="0"/>
      <w:marBottom w:val="0"/>
      <w:divBdr>
        <w:top w:val="none" w:sz="0" w:space="0" w:color="auto"/>
        <w:left w:val="none" w:sz="0" w:space="0" w:color="auto"/>
        <w:bottom w:val="none" w:sz="0" w:space="0" w:color="auto"/>
        <w:right w:val="none" w:sz="0" w:space="0" w:color="auto"/>
      </w:divBdr>
    </w:div>
    <w:div w:id="1836526776">
      <w:bodyDiv w:val="1"/>
      <w:marLeft w:val="0"/>
      <w:marRight w:val="0"/>
      <w:marTop w:val="0"/>
      <w:marBottom w:val="0"/>
      <w:divBdr>
        <w:top w:val="none" w:sz="0" w:space="0" w:color="auto"/>
        <w:left w:val="none" w:sz="0" w:space="0" w:color="auto"/>
        <w:bottom w:val="none" w:sz="0" w:space="0" w:color="auto"/>
        <w:right w:val="none" w:sz="0" w:space="0" w:color="auto"/>
      </w:divBdr>
    </w:div>
    <w:div w:id="1837499931">
      <w:bodyDiv w:val="1"/>
      <w:marLeft w:val="0"/>
      <w:marRight w:val="0"/>
      <w:marTop w:val="0"/>
      <w:marBottom w:val="0"/>
      <w:divBdr>
        <w:top w:val="none" w:sz="0" w:space="0" w:color="auto"/>
        <w:left w:val="none" w:sz="0" w:space="0" w:color="auto"/>
        <w:bottom w:val="none" w:sz="0" w:space="0" w:color="auto"/>
        <w:right w:val="none" w:sz="0" w:space="0" w:color="auto"/>
      </w:divBdr>
    </w:div>
    <w:div w:id="1840004876">
      <w:bodyDiv w:val="1"/>
      <w:marLeft w:val="0"/>
      <w:marRight w:val="0"/>
      <w:marTop w:val="0"/>
      <w:marBottom w:val="0"/>
      <w:divBdr>
        <w:top w:val="none" w:sz="0" w:space="0" w:color="auto"/>
        <w:left w:val="none" w:sz="0" w:space="0" w:color="auto"/>
        <w:bottom w:val="none" w:sz="0" w:space="0" w:color="auto"/>
        <w:right w:val="none" w:sz="0" w:space="0" w:color="auto"/>
      </w:divBdr>
    </w:div>
    <w:div w:id="1841920906">
      <w:bodyDiv w:val="1"/>
      <w:marLeft w:val="0"/>
      <w:marRight w:val="0"/>
      <w:marTop w:val="0"/>
      <w:marBottom w:val="0"/>
      <w:divBdr>
        <w:top w:val="none" w:sz="0" w:space="0" w:color="auto"/>
        <w:left w:val="none" w:sz="0" w:space="0" w:color="auto"/>
        <w:bottom w:val="none" w:sz="0" w:space="0" w:color="auto"/>
        <w:right w:val="none" w:sz="0" w:space="0" w:color="auto"/>
      </w:divBdr>
    </w:div>
    <w:div w:id="1845976869">
      <w:bodyDiv w:val="1"/>
      <w:marLeft w:val="0"/>
      <w:marRight w:val="0"/>
      <w:marTop w:val="0"/>
      <w:marBottom w:val="0"/>
      <w:divBdr>
        <w:top w:val="none" w:sz="0" w:space="0" w:color="auto"/>
        <w:left w:val="none" w:sz="0" w:space="0" w:color="auto"/>
        <w:bottom w:val="none" w:sz="0" w:space="0" w:color="auto"/>
        <w:right w:val="none" w:sz="0" w:space="0" w:color="auto"/>
      </w:divBdr>
    </w:div>
    <w:div w:id="1848010460">
      <w:bodyDiv w:val="1"/>
      <w:marLeft w:val="0"/>
      <w:marRight w:val="0"/>
      <w:marTop w:val="0"/>
      <w:marBottom w:val="0"/>
      <w:divBdr>
        <w:top w:val="none" w:sz="0" w:space="0" w:color="auto"/>
        <w:left w:val="none" w:sz="0" w:space="0" w:color="auto"/>
        <w:bottom w:val="none" w:sz="0" w:space="0" w:color="auto"/>
        <w:right w:val="none" w:sz="0" w:space="0" w:color="auto"/>
      </w:divBdr>
    </w:div>
    <w:div w:id="1849441571">
      <w:bodyDiv w:val="1"/>
      <w:marLeft w:val="0"/>
      <w:marRight w:val="0"/>
      <w:marTop w:val="0"/>
      <w:marBottom w:val="0"/>
      <w:divBdr>
        <w:top w:val="none" w:sz="0" w:space="0" w:color="auto"/>
        <w:left w:val="none" w:sz="0" w:space="0" w:color="auto"/>
        <w:bottom w:val="none" w:sz="0" w:space="0" w:color="auto"/>
        <w:right w:val="none" w:sz="0" w:space="0" w:color="auto"/>
      </w:divBdr>
    </w:div>
    <w:div w:id="1852528176">
      <w:bodyDiv w:val="1"/>
      <w:marLeft w:val="0"/>
      <w:marRight w:val="0"/>
      <w:marTop w:val="0"/>
      <w:marBottom w:val="0"/>
      <w:divBdr>
        <w:top w:val="none" w:sz="0" w:space="0" w:color="auto"/>
        <w:left w:val="none" w:sz="0" w:space="0" w:color="auto"/>
        <w:bottom w:val="none" w:sz="0" w:space="0" w:color="auto"/>
        <w:right w:val="none" w:sz="0" w:space="0" w:color="auto"/>
      </w:divBdr>
    </w:div>
    <w:div w:id="1852790237">
      <w:bodyDiv w:val="1"/>
      <w:marLeft w:val="0"/>
      <w:marRight w:val="0"/>
      <w:marTop w:val="0"/>
      <w:marBottom w:val="0"/>
      <w:divBdr>
        <w:top w:val="none" w:sz="0" w:space="0" w:color="auto"/>
        <w:left w:val="none" w:sz="0" w:space="0" w:color="auto"/>
        <w:bottom w:val="none" w:sz="0" w:space="0" w:color="auto"/>
        <w:right w:val="none" w:sz="0" w:space="0" w:color="auto"/>
      </w:divBdr>
    </w:div>
    <w:div w:id="1853453616">
      <w:bodyDiv w:val="1"/>
      <w:marLeft w:val="0"/>
      <w:marRight w:val="0"/>
      <w:marTop w:val="0"/>
      <w:marBottom w:val="0"/>
      <w:divBdr>
        <w:top w:val="none" w:sz="0" w:space="0" w:color="auto"/>
        <w:left w:val="none" w:sz="0" w:space="0" w:color="auto"/>
        <w:bottom w:val="none" w:sz="0" w:space="0" w:color="auto"/>
        <w:right w:val="none" w:sz="0" w:space="0" w:color="auto"/>
      </w:divBdr>
    </w:div>
    <w:div w:id="1853639255">
      <w:bodyDiv w:val="1"/>
      <w:marLeft w:val="0"/>
      <w:marRight w:val="0"/>
      <w:marTop w:val="0"/>
      <w:marBottom w:val="0"/>
      <w:divBdr>
        <w:top w:val="none" w:sz="0" w:space="0" w:color="auto"/>
        <w:left w:val="none" w:sz="0" w:space="0" w:color="auto"/>
        <w:bottom w:val="none" w:sz="0" w:space="0" w:color="auto"/>
        <w:right w:val="none" w:sz="0" w:space="0" w:color="auto"/>
      </w:divBdr>
    </w:div>
    <w:div w:id="1854807151">
      <w:bodyDiv w:val="1"/>
      <w:marLeft w:val="0"/>
      <w:marRight w:val="0"/>
      <w:marTop w:val="0"/>
      <w:marBottom w:val="0"/>
      <w:divBdr>
        <w:top w:val="none" w:sz="0" w:space="0" w:color="auto"/>
        <w:left w:val="none" w:sz="0" w:space="0" w:color="auto"/>
        <w:bottom w:val="none" w:sz="0" w:space="0" w:color="auto"/>
        <w:right w:val="none" w:sz="0" w:space="0" w:color="auto"/>
      </w:divBdr>
    </w:div>
    <w:div w:id="1860459912">
      <w:bodyDiv w:val="1"/>
      <w:marLeft w:val="0"/>
      <w:marRight w:val="0"/>
      <w:marTop w:val="0"/>
      <w:marBottom w:val="0"/>
      <w:divBdr>
        <w:top w:val="none" w:sz="0" w:space="0" w:color="auto"/>
        <w:left w:val="none" w:sz="0" w:space="0" w:color="auto"/>
        <w:bottom w:val="none" w:sz="0" w:space="0" w:color="auto"/>
        <w:right w:val="none" w:sz="0" w:space="0" w:color="auto"/>
      </w:divBdr>
    </w:div>
    <w:div w:id="1862930944">
      <w:bodyDiv w:val="1"/>
      <w:marLeft w:val="0"/>
      <w:marRight w:val="0"/>
      <w:marTop w:val="0"/>
      <w:marBottom w:val="0"/>
      <w:divBdr>
        <w:top w:val="none" w:sz="0" w:space="0" w:color="auto"/>
        <w:left w:val="none" w:sz="0" w:space="0" w:color="auto"/>
        <w:bottom w:val="none" w:sz="0" w:space="0" w:color="auto"/>
        <w:right w:val="none" w:sz="0" w:space="0" w:color="auto"/>
      </w:divBdr>
    </w:div>
    <w:div w:id="1863281802">
      <w:bodyDiv w:val="1"/>
      <w:marLeft w:val="0"/>
      <w:marRight w:val="0"/>
      <w:marTop w:val="0"/>
      <w:marBottom w:val="0"/>
      <w:divBdr>
        <w:top w:val="none" w:sz="0" w:space="0" w:color="auto"/>
        <w:left w:val="none" w:sz="0" w:space="0" w:color="auto"/>
        <w:bottom w:val="none" w:sz="0" w:space="0" w:color="auto"/>
        <w:right w:val="none" w:sz="0" w:space="0" w:color="auto"/>
      </w:divBdr>
    </w:div>
    <w:div w:id="1863785326">
      <w:bodyDiv w:val="1"/>
      <w:marLeft w:val="0"/>
      <w:marRight w:val="0"/>
      <w:marTop w:val="0"/>
      <w:marBottom w:val="0"/>
      <w:divBdr>
        <w:top w:val="none" w:sz="0" w:space="0" w:color="auto"/>
        <w:left w:val="none" w:sz="0" w:space="0" w:color="auto"/>
        <w:bottom w:val="none" w:sz="0" w:space="0" w:color="auto"/>
        <w:right w:val="none" w:sz="0" w:space="0" w:color="auto"/>
      </w:divBdr>
    </w:div>
    <w:div w:id="1864055322">
      <w:bodyDiv w:val="1"/>
      <w:marLeft w:val="0"/>
      <w:marRight w:val="0"/>
      <w:marTop w:val="0"/>
      <w:marBottom w:val="0"/>
      <w:divBdr>
        <w:top w:val="none" w:sz="0" w:space="0" w:color="auto"/>
        <w:left w:val="none" w:sz="0" w:space="0" w:color="auto"/>
        <w:bottom w:val="none" w:sz="0" w:space="0" w:color="auto"/>
        <w:right w:val="none" w:sz="0" w:space="0" w:color="auto"/>
      </w:divBdr>
    </w:div>
    <w:div w:id="1866552448">
      <w:bodyDiv w:val="1"/>
      <w:marLeft w:val="0"/>
      <w:marRight w:val="0"/>
      <w:marTop w:val="0"/>
      <w:marBottom w:val="0"/>
      <w:divBdr>
        <w:top w:val="none" w:sz="0" w:space="0" w:color="auto"/>
        <w:left w:val="none" w:sz="0" w:space="0" w:color="auto"/>
        <w:bottom w:val="none" w:sz="0" w:space="0" w:color="auto"/>
        <w:right w:val="none" w:sz="0" w:space="0" w:color="auto"/>
      </w:divBdr>
    </w:div>
    <w:div w:id="1867324472">
      <w:bodyDiv w:val="1"/>
      <w:marLeft w:val="0"/>
      <w:marRight w:val="0"/>
      <w:marTop w:val="0"/>
      <w:marBottom w:val="0"/>
      <w:divBdr>
        <w:top w:val="none" w:sz="0" w:space="0" w:color="auto"/>
        <w:left w:val="none" w:sz="0" w:space="0" w:color="auto"/>
        <w:bottom w:val="none" w:sz="0" w:space="0" w:color="auto"/>
        <w:right w:val="none" w:sz="0" w:space="0" w:color="auto"/>
      </w:divBdr>
    </w:div>
    <w:div w:id="1867406628">
      <w:bodyDiv w:val="1"/>
      <w:marLeft w:val="0"/>
      <w:marRight w:val="0"/>
      <w:marTop w:val="0"/>
      <w:marBottom w:val="0"/>
      <w:divBdr>
        <w:top w:val="none" w:sz="0" w:space="0" w:color="auto"/>
        <w:left w:val="none" w:sz="0" w:space="0" w:color="auto"/>
        <w:bottom w:val="none" w:sz="0" w:space="0" w:color="auto"/>
        <w:right w:val="none" w:sz="0" w:space="0" w:color="auto"/>
      </w:divBdr>
    </w:div>
    <w:div w:id="1867937744">
      <w:bodyDiv w:val="1"/>
      <w:marLeft w:val="0"/>
      <w:marRight w:val="0"/>
      <w:marTop w:val="0"/>
      <w:marBottom w:val="0"/>
      <w:divBdr>
        <w:top w:val="none" w:sz="0" w:space="0" w:color="auto"/>
        <w:left w:val="none" w:sz="0" w:space="0" w:color="auto"/>
        <w:bottom w:val="none" w:sz="0" w:space="0" w:color="auto"/>
        <w:right w:val="none" w:sz="0" w:space="0" w:color="auto"/>
      </w:divBdr>
    </w:div>
    <w:div w:id="1868521317">
      <w:bodyDiv w:val="1"/>
      <w:marLeft w:val="0"/>
      <w:marRight w:val="0"/>
      <w:marTop w:val="0"/>
      <w:marBottom w:val="0"/>
      <w:divBdr>
        <w:top w:val="none" w:sz="0" w:space="0" w:color="auto"/>
        <w:left w:val="none" w:sz="0" w:space="0" w:color="auto"/>
        <w:bottom w:val="none" w:sz="0" w:space="0" w:color="auto"/>
        <w:right w:val="none" w:sz="0" w:space="0" w:color="auto"/>
      </w:divBdr>
    </w:div>
    <w:div w:id="1869559417">
      <w:bodyDiv w:val="1"/>
      <w:marLeft w:val="0"/>
      <w:marRight w:val="0"/>
      <w:marTop w:val="0"/>
      <w:marBottom w:val="0"/>
      <w:divBdr>
        <w:top w:val="none" w:sz="0" w:space="0" w:color="auto"/>
        <w:left w:val="none" w:sz="0" w:space="0" w:color="auto"/>
        <w:bottom w:val="none" w:sz="0" w:space="0" w:color="auto"/>
        <w:right w:val="none" w:sz="0" w:space="0" w:color="auto"/>
      </w:divBdr>
    </w:div>
    <w:div w:id="1870141111">
      <w:bodyDiv w:val="1"/>
      <w:marLeft w:val="0"/>
      <w:marRight w:val="0"/>
      <w:marTop w:val="0"/>
      <w:marBottom w:val="0"/>
      <w:divBdr>
        <w:top w:val="none" w:sz="0" w:space="0" w:color="auto"/>
        <w:left w:val="none" w:sz="0" w:space="0" w:color="auto"/>
        <w:bottom w:val="none" w:sz="0" w:space="0" w:color="auto"/>
        <w:right w:val="none" w:sz="0" w:space="0" w:color="auto"/>
      </w:divBdr>
    </w:div>
    <w:div w:id="1870144098">
      <w:bodyDiv w:val="1"/>
      <w:marLeft w:val="0"/>
      <w:marRight w:val="0"/>
      <w:marTop w:val="0"/>
      <w:marBottom w:val="0"/>
      <w:divBdr>
        <w:top w:val="none" w:sz="0" w:space="0" w:color="auto"/>
        <w:left w:val="none" w:sz="0" w:space="0" w:color="auto"/>
        <w:bottom w:val="none" w:sz="0" w:space="0" w:color="auto"/>
        <w:right w:val="none" w:sz="0" w:space="0" w:color="auto"/>
      </w:divBdr>
    </w:div>
    <w:div w:id="1870414077">
      <w:bodyDiv w:val="1"/>
      <w:marLeft w:val="0"/>
      <w:marRight w:val="0"/>
      <w:marTop w:val="0"/>
      <w:marBottom w:val="0"/>
      <w:divBdr>
        <w:top w:val="none" w:sz="0" w:space="0" w:color="auto"/>
        <w:left w:val="none" w:sz="0" w:space="0" w:color="auto"/>
        <w:bottom w:val="none" w:sz="0" w:space="0" w:color="auto"/>
        <w:right w:val="none" w:sz="0" w:space="0" w:color="auto"/>
      </w:divBdr>
    </w:div>
    <w:div w:id="1871070929">
      <w:bodyDiv w:val="1"/>
      <w:marLeft w:val="0"/>
      <w:marRight w:val="0"/>
      <w:marTop w:val="0"/>
      <w:marBottom w:val="0"/>
      <w:divBdr>
        <w:top w:val="none" w:sz="0" w:space="0" w:color="auto"/>
        <w:left w:val="none" w:sz="0" w:space="0" w:color="auto"/>
        <w:bottom w:val="none" w:sz="0" w:space="0" w:color="auto"/>
        <w:right w:val="none" w:sz="0" w:space="0" w:color="auto"/>
      </w:divBdr>
    </w:div>
    <w:div w:id="1871994889">
      <w:bodyDiv w:val="1"/>
      <w:marLeft w:val="0"/>
      <w:marRight w:val="0"/>
      <w:marTop w:val="0"/>
      <w:marBottom w:val="0"/>
      <w:divBdr>
        <w:top w:val="none" w:sz="0" w:space="0" w:color="auto"/>
        <w:left w:val="none" w:sz="0" w:space="0" w:color="auto"/>
        <w:bottom w:val="none" w:sz="0" w:space="0" w:color="auto"/>
        <w:right w:val="none" w:sz="0" w:space="0" w:color="auto"/>
      </w:divBdr>
    </w:div>
    <w:div w:id="1873878030">
      <w:bodyDiv w:val="1"/>
      <w:marLeft w:val="0"/>
      <w:marRight w:val="0"/>
      <w:marTop w:val="0"/>
      <w:marBottom w:val="0"/>
      <w:divBdr>
        <w:top w:val="none" w:sz="0" w:space="0" w:color="auto"/>
        <w:left w:val="none" w:sz="0" w:space="0" w:color="auto"/>
        <w:bottom w:val="none" w:sz="0" w:space="0" w:color="auto"/>
        <w:right w:val="none" w:sz="0" w:space="0" w:color="auto"/>
      </w:divBdr>
    </w:div>
    <w:div w:id="1874657811">
      <w:bodyDiv w:val="1"/>
      <w:marLeft w:val="0"/>
      <w:marRight w:val="0"/>
      <w:marTop w:val="0"/>
      <w:marBottom w:val="0"/>
      <w:divBdr>
        <w:top w:val="none" w:sz="0" w:space="0" w:color="auto"/>
        <w:left w:val="none" w:sz="0" w:space="0" w:color="auto"/>
        <w:bottom w:val="none" w:sz="0" w:space="0" w:color="auto"/>
        <w:right w:val="none" w:sz="0" w:space="0" w:color="auto"/>
      </w:divBdr>
    </w:div>
    <w:div w:id="1874881714">
      <w:bodyDiv w:val="1"/>
      <w:marLeft w:val="0"/>
      <w:marRight w:val="0"/>
      <w:marTop w:val="0"/>
      <w:marBottom w:val="0"/>
      <w:divBdr>
        <w:top w:val="none" w:sz="0" w:space="0" w:color="auto"/>
        <w:left w:val="none" w:sz="0" w:space="0" w:color="auto"/>
        <w:bottom w:val="none" w:sz="0" w:space="0" w:color="auto"/>
        <w:right w:val="none" w:sz="0" w:space="0" w:color="auto"/>
      </w:divBdr>
    </w:div>
    <w:div w:id="1875968813">
      <w:bodyDiv w:val="1"/>
      <w:marLeft w:val="0"/>
      <w:marRight w:val="0"/>
      <w:marTop w:val="0"/>
      <w:marBottom w:val="0"/>
      <w:divBdr>
        <w:top w:val="none" w:sz="0" w:space="0" w:color="auto"/>
        <w:left w:val="none" w:sz="0" w:space="0" w:color="auto"/>
        <w:bottom w:val="none" w:sz="0" w:space="0" w:color="auto"/>
        <w:right w:val="none" w:sz="0" w:space="0" w:color="auto"/>
      </w:divBdr>
    </w:div>
    <w:div w:id="1877237621">
      <w:bodyDiv w:val="1"/>
      <w:marLeft w:val="0"/>
      <w:marRight w:val="0"/>
      <w:marTop w:val="0"/>
      <w:marBottom w:val="0"/>
      <w:divBdr>
        <w:top w:val="none" w:sz="0" w:space="0" w:color="auto"/>
        <w:left w:val="none" w:sz="0" w:space="0" w:color="auto"/>
        <w:bottom w:val="none" w:sz="0" w:space="0" w:color="auto"/>
        <w:right w:val="none" w:sz="0" w:space="0" w:color="auto"/>
      </w:divBdr>
    </w:div>
    <w:div w:id="1877503523">
      <w:bodyDiv w:val="1"/>
      <w:marLeft w:val="0"/>
      <w:marRight w:val="0"/>
      <w:marTop w:val="0"/>
      <w:marBottom w:val="0"/>
      <w:divBdr>
        <w:top w:val="none" w:sz="0" w:space="0" w:color="auto"/>
        <w:left w:val="none" w:sz="0" w:space="0" w:color="auto"/>
        <w:bottom w:val="none" w:sz="0" w:space="0" w:color="auto"/>
        <w:right w:val="none" w:sz="0" w:space="0" w:color="auto"/>
      </w:divBdr>
    </w:div>
    <w:div w:id="1879780556">
      <w:bodyDiv w:val="1"/>
      <w:marLeft w:val="0"/>
      <w:marRight w:val="0"/>
      <w:marTop w:val="0"/>
      <w:marBottom w:val="0"/>
      <w:divBdr>
        <w:top w:val="none" w:sz="0" w:space="0" w:color="auto"/>
        <w:left w:val="none" w:sz="0" w:space="0" w:color="auto"/>
        <w:bottom w:val="none" w:sz="0" w:space="0" w:color="auto"/>
        <w:right w:val="none" w:sz="0" w:space="0" w:color="auto"/>
      </w:divBdr>
    </w:div>
    <w:div w:id="1880508581">
      <w:bodyDiv w:val="1"/>
      <w:marLeft w:val="0"/>
      <w:marRight w:val="0"/>
      <w:marTop w:val="0"/>
      <w:marBottom w:val="0"/>
      <w:divBdr>
        <w:top w:val="none" w:sz="0" w:space="0" w:color="auto"/>
        <w:left w:val="none" w:sz="0" w:space="0" w:color="auto"/>
        <w:bottom w:val="none" w:sz="0" w:space="0" w:color="auto"/>
        <w:right w:val="none" w:sz="0" w:space="0" w:color="auto"/>
      </w:divBdr>
    </w:div>
    <w:div w:id="1880586454">
      <w:bodyDiv w:val="1"/>
      <w:marLeft w:val="0"/>
      <w:marRight w:val="0"/>
      <w:marTop w:val="0"/>
      <w:marBottom w:val="0"/>
      <w:divBdr>
        <w:top w:val="none" w:sz="0" w:space="0" w:color="auto"/>
        <w:left w:val="none" w:sz="0" w:space="0" w:color="auto"/>
        <w:bottom w:val="none" w:sz="0" w:space="0" w:color="auto"/>
        <w:right w:val="none" w:sz="0" w:space="0" w:color="auto"/>
      </w:divBdr>
    </w:div>
    <w:div w:id="1881504005">
      <w:bodyDiv w:val="1"/>
      <w:marLeft w:val="0"/>
      <w:marRight w:val="0"/>
      <w:marTop w:val="0"/>
      <w:marBottom w:val="0"/>
      <w:divBdr>
        <w:top w:val="none" w:sz="0" w:space="0" w:color="auto"/>
        <w:left w:val="none" w:sz="0" w:space="0" w:color="auto"/>
        <w:bottom w:val="none" w:sz="0" w:space="0" w:color="auto"/>
        <w:right w:val="none" w:sz="0" w:space="0" w:color="auto"/>
      </w:divBdr>
    </w:div>
    <w:div w:id="1882551732">
      <w:bodyDiv w:val="1"/>
      <w:marLeft w:val="0"/>
      <w:marRight w:val="0"/>
      <w:marTop w:val="0"/>
      <w:marBottom w:val="0"/>
      <w:divBdr>
        <w:top w:val="none" w:sz="0" w:space="0" w:color="auto"/>
        <w:left w:val="none" w:sz="0" w:space="0" w:color="auto"/>
        <w:bottom w:val="none" w:sz="0" w:space="0" w:color="auto"/>
        <w:right w:val="none" w:sz="0" w:space="0" w:color="auto"/>
      </w:divBdr>
    </w:div>
    <w:div w:id="1883596625">
      <w:bodyDiv w:val="1"/>
      <w:marLeft w:val="0"/>
      <w:marRight w:val="0"/>
      <w:marTop w:val="0"/>
      <w:marBottom w:val="0"/>
      <w:divBdr>
        <w:top w:val="none" w:sz="0" w:space="0" w:color="auto"/>
        <w:left w:val="none" w:sz="0" w:space="0" w:color="auto"/>
        <w:bottom w:val="none" w:sz="0" w:space="0" w:color="auto"/>
        <w:right w:val="none" w:sz="0" w:space="0" w:color="auto"/>
      </w:divBdr>
    </w:div>
    <w:div w:id="1886872194">
      <w:bodyDiv w:val="1"/>
      <w:marLeft w:val="0"/>
      <w:marRight w:val="0"/>
      <w:marTop w:val="0"/>
      <w:marBottom w:val="0"/>
      <w:divBdr>
        <w:top w:val="none" w:sz="0" w:space="0" w:color="auto"/>
        <w:left w:val="none" w:sz="0" w:space="0" w:color="auto"/>
        <w:bottom w:val="none" w:sz="0" w:space="0" w:color="auto"/>
        <w:right w:val="none" w:sz="0" w:space="0" w:color="auto"/>
      </w:divBdr>
    </w:div>
    <w:div w:id="1889105656">
      <w:bodyDiv w:val="1"/>
      <w:marLeft w:val="0"/>
      <w:marRight w:val="0"/>
      <w:marTop w:val="0"/>
      <w:marBottom w:val="0"/>
      <w:divBdr>
        <w:top w:val="none" w:sz="0" w:space="0" w:color="auto"/>
        <w:left w:val="none" w:sz="0" w:space="0" w:color="auto"/>
        <w:bottom w:val="none" w:sz="0" w:space="0" w:color="auto"/>
        <w:right w:val="none" w:sz="0" w:space="0" w:color="auto"/>
      </w:divBdr>
    </w:div>
    <w:div w:id="1889760067">
      <w:bodyDiv w:val="1"/>
      <w:marLeft w:val="0"/>
      <w:marRight w:val="0"/>
      <w:marTop w:val="0"/>
      <w:marBottom w:val="0"/>
      <w:divBdr>
        <w:top w:val="none" w:sz="0" w:space="0" w:color="auto"/>
        <w:left w:val="none" w:sz="0" w:space="0" w:color="auto"/>
        <w:bottom w:val="none" w:sz="0" w:space="0" w:color="auto"/>
        <w:right w:val="none" w:sz="0" w:space="0" w:color="auto"/>
      </w:divBdr>
    </w:div>
    <w:div w:id="1890072614">
      <w:bodyDiv w:val="1"/>
      <w:marLeft w:val="0"/>
      <w:marRight w:val="0"/>
      <w:marTop w:val="0"/>
      <w:marBottom w:val="0"/>
      <w:divBdr>
        <w:top w:val="none" w:sz="0" w:space="0" w:color="auto"/>
        <w:left w:val="none" w:sz="0" w:space="0" w:color="auto"/>
        <w:bottom w:val="none" w:sz="0" w:space="0" w:color="auto"/>
        <w:right w:val="none" w:sz="0" w:space="0" w:color="auto"/>
      </w:divBdr>
    </w:div>
    <w:div w:id="1891458328">
      <w:bodyDiv w:val="1"/>
      <w:marLeft w:val="0"/>
      <w:marRight w:val="0"/>
      <w:marTop w:val="0"/>
      <w:marBottom w:val="0"/>
      <w:divBdr>
        <w:top w:val="none" w:sz="0" w:space="0" w:color="auto"/>
        <w:left w:val="none" w:sz="0" w:space="0" w:color="auto"/>
        <w:bottom w:val="none" w:sz="0" w:space="0" w:color="auto"/>
        <w:right w:val="none" w:sz="0" w:space="0" w:color="auto"/>
      </w:divBdr>
    </w:div>
    <w:div w:id="1892569150">
      <w:bodyDiv w:val="1"/>
      <w:marLeft w:val="0"/>
      <w:marRight w:val="0"/>
      <w:marTop w:val="0"/>
      <w:marBottom w:val="0"/>
      <w:divBdr>
        <w:top w:val="none" w:sz="0" w:space="0" w:color="auto"/>
        <w:left w:val="none" w:sz="0" w:space="0" w:color="auto"/>
        <w:bottom w:val="none" w:sz="0" w:space="0" w:color="auto"/>
        <w:right w:val="none" w:sz="0" w:space="0" w:color="auto"/>
      </w:divBdr>
    </w:div>
    <w:div w:id="1893081492">
      <w:bodyDiv w:val="1"/>
      <w:marLeft w:val="0"/>
      <w:marRight w:val="0"/>
      <w:marTop w:val="0"/>
      <w:marBottom w:val="0"/>
      <w:divBdr>
        <w:top w:val="none" w:sz="0" w:space="0" w:color="auto"/>
        <w:left w:val="none" w:sz="0" w:space="0" w:color="auto"/>
        <w:bottom w:val="none" w:sz="0" w:space="0" w:color="auto"/>
        <w:right w:val="none" w:sz="0" w:space="0" w:color="auto"/>
      </w:divBdr>
    </w:div>
    <w:div w:id="1897351859">
      <w:bodyDiv w:val="1"/>
      <w:marLeft w:val="0"/>
      <w:marRight w:val="0"/>
      <w:marTop w:val="0"/>
      <w:marBottom w:val="0"/>
      <w:divBdr>
        <w:top w:val="none" w:sz="0" w:space="0" w:color="auto"/>
        <w:left w:val="none" w:sz="0" w:space="0" w:color="auto"/>
        <w:bottom w:val="none" w:sz="0" w:space="0" w:color="auto"/>
        <w:right w:val="none" w:sz="0" w:space="0" w:color="auto"/>
      </w:divBdr>
    </w:div>
    <w:div w:id="1897617629">
      <w:bodyDiv w:val="1"/>
      <w:marLeft w:val="0"/>
      <w:marRight w:val="0"/>
      <w:marTop w:val="0"/>
      <w:marBottom w:val="0"/>
      <w:divBdr>
        <w:top w:val="none" w:sz="0" w:space="0" w:color="auto"/>
        <w:left w:val="none" w:sz="0" w:space="0" w:color="auto"/>
        <w:bottom w:val="none" w:sz="0" w:space="0" w:color="auto"/>
        <w:right w:val="none" w:sz="0" w:space="0" w:color="auto"/>
      </w:divBdr>
    </w:div>
    <w:div w:id="1899316587">
      <w:bodyDiv w:val="1"/>
      <w:marLeft w:val="0"/>
      <w:marRight w:val="0"/>
      <w:marTop w:val="0"/>
      <w:marBottom w:val="0"/>
      <w:divBdr>
        <w:top w:val="none" w:sz="0" w:space="0" w:color="auto"/>
        <w:left w:val="none" w:sz="0" w:space="0" w:color="auto"/>
        <w:bottom w:val="none" w:sz="0" w:space="0" w:color="auto"/>
        <w:right w:val="none" w:sz="0" w:space="0" w:color="auto"/>
      </w:divBdr>
    </w:div>
    <w:div w:id="1903711059">
      <w:bodyDiv w:val="1"/>
      <w:marLeft w:val="0"/>
      <w:marRight w:val="0"/>
      <w:marTop w:val="0"/>
      <w:marBottom w:val="0"/>
      <w:divBdr>
        <w:top w:val="none" w:sz="0" w:space="0" w:color="auto"/>
        <w:left w:val="none" w:sz="0" w:space="0" w:color="auto"/>
        <w:bottom w:val="none" w:sz="0" w:space="0" w:color="auto"/>
        <w:right w:val="none" w:sz="0" w:space="0" w:color="auto"/>
      </w:divBdr>
    </w:div>
    <w:div w:id="1904639667">
      <w:bodyDiv w:val="1"/>
      <w:marLeft w:val="0"/>
      <w:marRight w:val="0"/>
      <w:marTop w:val="0"/>
      <w:marBottom w:val="0"/>
      <w:divBdr>
        <w:top w:val="none" w:sz="0" w:space="0" w:color="auto"/>
        <w:left w:val="none" w:sz="0" w:space="0" w:color="auto"/>
        <w:bottom w:val="none" w:sz="0" w:space="0" w:color="auto"/>
        <w:right w:val="none" w:sz="0" w:space="0" w:color="auto"/>
      </w:divBdr>
    </w:div>
    <w:div w:id="1907182241">
      <w:bodyDiv w:val="1"/>
      <w:marLeft w:val="0"/>
      <w:marRight w:val="0"/>
      <w:marTop w:val="0"/>
      <w:marBottom w:val="0"/>
      <w:divBdr>
        <w:top w:val="none" w:sz="0" w:space="0" w:color="auto"/>
        <w:left w:val="none" w:sz="0" w:space="0" w:color="auto"/>
        <w:bottom w:val="none" w:sz="0" w:space="0" w:color="auto"/>
        <w:right w:val="none" w:sz="0" w:space="0" w:color="auto"/>
      </w:divBdr>
    </w:div>
    <w:div w:id="1908222317">
      <w:bodyDiv w:val="1"/>
      <w:marLeft w:val="0"/>
      <w:marRight w:val="0"/>
      <w:marTop w:val="0"/>
      <w:marBottom w:val="0"/>
      <w:divBdr>
        <w:top w:val="none" w:sz="0" w:space="0" w:color="auto"/>
        <w:left w:val="none" w:sz="0" w:space="0" w:color="auto"/>
        <w:bottom w:val="none" w:sz="0" w:space="0" w:color="auto"/>
        <w:right w:val="none" w:sz="0" w:space="0" w:color="auto"/>
      </w:divBdr>
    </w:div>
    <w:div w:id="1908225643">
      <w:bodyDiv w:val="1"/>
      <w:marLeft w:val="0"/>
      <w:marRight w:val="0"/>
      <w:marTop w:val="0"/>
      <w:marBottom w:val="0"/>
      <w:divBdr>
        <w:top w:val="none" w:sz="0" w:space="0" w:color="auto"/>
        <w:left w:val="none" w:sz="0" w:space="0" w:color="auto"/>
        <w:bottom w:val="none" w:sz="0" w:space="0" w:color="auto"/>
        <w:right w:val="none" w:sz="0" w:space="0" w:color="auto"/>
      </w:divBdr>
    </w:div>
    <w:div w:id="1913275485">
      <w:bodyDiv w:val="1"/>
      <w:marLeft w:val="0"/>
      <w:marRight w:val="0"/>
      <w:marTop w:val="0"/>
      <w:marBottom w:val="0"/>
      <w:divBdr>
        <w:top w:val="none" w:sz="0" w:space="0" w:color="auto"/>
        <w:left w:val="none" w:sz="0" w:space="0" w:color="auto"/>
        <w:bottom w:val="none" w:sz="0" w:space="0" w:color="auto"/>
        <w:right w:val="none" w:sz="0" w:space="0" w:color="auto"/>
      </w:divBdr>
    </w:div>
    <w:div w:id="1914119370">
      <w:bodyDiv w:val="1"/>
      <w:marLeft w:val="0"/>
      <w:marRight w:val="0"/>
      <w:marTop w:val="0"/>
      <w:marBottom w:val="0"/>
      <w:divBdr>
        <w:top w:val="none" w:sz="0" w:space="0" w:color="auto"/>
        <w:left w:val="none" w:sz="0" w:space="0" w:color="auto"/>
        <w:bottom w:val="none" w:sz="0" w:space="0" w:color="auto"/>
        <w:right w:val="none" w:sz="0" w:space="0" w:color="auto"/>
      </w:divBdr>
    </w:div>
    <w:div w:id="1915240442">
      <w:bodyDiv w:val="1"/>
      <w:marLeft w:val="0"/>
      <w:marRight w:val="0"/>
      <w:marTop w:val="0"/>
      <w:marBottom w:val="0"/>
      <w:divBdr>
        <w:top w:val="none" w:sz="0" w:space="0" w:color="auto"/>
        <w:left w:val="none" w:sz="0" w:space="0" w:color="auto"/>
        <w:bottom w:val="none" w:sz="0" w:space="0" w:color="auto"/>
        <w:right w:val="none" w:sz="0" w:space="0" w:color="auto"/>
      </w:divBdr>
    </w:div>
    <w:div w:id="1917324777">
      <w:bodyDiv w:val="1"/>
      <w:marLeft w:val="0"/>
      <w:marRight w:val="0"/>
      <w:marTop w:val="0"/>
      <w:marBottom w:val="0"/>
      <w:divBdr>
        <w:top w:val="none" w:sz="0" w:space="0" w:color="auto"/>
        <w:left w:val="none" w:sz="0" w:space="0" w:color="auto"/>
        <w:bottom w:val="none" w:sz="0" w:space="0" w:color="auto"/>
        <w:right w:val="none" w:sz="0" w:space="0" w:color="auto"/>
      </w:divBdr>
    </w:div>
    <w:div w:id="1920483626">
      <w:bodyDiv w:val="1"/>
      <w:marLeft w:val="0"/>
      <w:marRight w:val="0"/>
      <w:marTop w:val="0"/>
      <w:marBottom w:val="0"/>
      <w:divBdr>
        <w:top w:val="none" w:sz="0" w:space="0" w:color="auto"/>
        <w:left w:val="none" w:sz="0" w:space="0" w:color="auto"/>
        <w:bottom w:val="none" w:sz="0" w:space="0" w:color="auto"/>
        <w:right w:val="none" w:sz="0" w:space="0" w:color="auto"/>
      </w:divBdr>
    </w:div>
    <w:div w:id="1925063860">
      <w:bodyDiv w:val="1"/>
      <w:marLeft w:val="0"/>
      <w:marRight w:val="0"/>
      <w:marTop w:val="0"/>
      <w:marBottom w:val="0"/>
      <w:divBdr>
        <w:top w:val="none" w:sz="0" w:space="0" w:color="auto"/>
        <w:left w:val="none" w:sz="0" w:space="0" w:color="auto"/>
        <w:bottom w:val="none" w:sz="0" w:space="0" w:color="auto"/>
        <w:right w:val="none" w:sz="0" w:space="0" w:color="auto"/>
      </w:divBdr>
    </w:div>
    <w:div w:id="1926764082">
      <w:bodyDiv w:val="1"/>
      <w:marLeft w:val="0"/>
      <w:marRight w:val="0"/>
      <w:marTop w:val="0"/>
      <w:marBottom w:val="0"/>
      <w:divBdr>
        <w:top w:val="none" w:sz="0" w:space="0" w:color="auto"/>
        <w:left w:val="none" w:sz="0" w:space="0" w:color="auto"/>
        <w:bottom w:val="none" w:sz="0" w:space="0" w:color="auto"/>
        <w:right w:val="none" w:sz="0" w:space="0" w:color="auto"/>
      </w:divBdr>
    </w:div>
    <w:div w:id="1929073538">
      <w:bodyDiv w:val="1"/>
      <w:marLeft w:val="0"/>
      <w:marRight w:val="0"/>
      <w:marTop w:val="0"/>
      <w:marBottom w:val="0"/>
      <w:divBdr>
        <w:top w:val="none" w:sz="0" w:space="0" w:color="auto"/>
        <w:left w:val="none" w:sz="0" w:space="0" w:color="auto"/>
        <w:bottom w:val="none" w:sz="0" w:space="0" w:color="auto"/>
        <w:right w:val="none" w:sz="0" w:space="0" w:color="auto"/>
      </w:divBdr>
    </w:div>
    <w:div w:id="1932347966">
      <w:bodyDiv w:val="1"/>
      <w:marLeft w:val="0"/>
      <w:marRight w:val="0"/>
      <w:marTop w:val="0"/>
      <w:marBottom w:val="0"/>
      <w:divBdr>
        <w:top w:val="none" w:sz="0" w:space="0" w:color="auto"/>
        <w:left w:val="none" w:sz="0" w:space="0" w:color="auto"/>
        <w:bottom w:val="none" w:sz="0" w:space="0" w:color="auto"/>
        <w:right w:val="none" w:sz="0" w:space="0" w:color="auto"/>
      </w:divBdr>
    </w:div>
    <w:div w:id="1932545078">
      <w:bodyDiv w:val="1"/>
      <w:marLeft w:val="0"/>
      <w:marRight w:val="0"/>
      <w:marTop w:val="0"/>
      <w:marBottom w:val="0"/>
      <w:divBdr>
        <w:top w:val="none" w:sz="0" w:space="0" w:color="auto"/>
        <w:left w:val="none" w:sz="0" w:space="0" w:color="auto"/>
        <w:bottom w:val="none" w:sz="0" w:space="0" w:color="auto"/>
        <w:right w:val="none" w:sz="0" w:space="0" w:color="auto"/>
      </w:divBdr>
    </w:div>
    <w:div w:id="1932616867">
      <w:bodyDiv w:val="1"/>
      <w:marLeft w:val="0"/>
      <w:marRight w:val="0"/>
      <w:marTop w:val="0"/>
      <w:marBottom w:val="0"/>
      <w:divBdr>
        <w:top w:val="none" w:sz="0" w:space="0" w:color="auto"/>
        <w:left w:val="none" w:sz="0" w:space="0" w:color="auto"/>
        <w:bottom w:val="none" w:sz="0" w:space="0" w:color="auto"/>
        <w:right w:val="none" w:sz="0" w:space="0" w:color="auto"/>
      </w:divBdr>
    </w:div>
    <w:div w:id="1933778561">
      <w:bodyDiv w:val="1"/>
      <w:marLeft w:val="0"/>
      <w:marRight w:val="0"/>
      <w:marTop w:val="0"/>
      <w:marBottom w:val="0"/>
      <w:divBdr>
        <w:top w:val="none" w:sz="0" w:space="0" w:color="auto"/>
        <w:left w:val="none" w:sz="0" w:space="0" w:color="auto"/>
        <w:bottom w:val="none" w:sz="0" w:space="0" w:color="auto"/>
        <w:right w:val="none" w:sz="0" w:space="0" w:color="auto"/>
      </w:divBdr>
    </w:div>
    <w:div w:id="1934630771">
      <w:bodyDiv w:val="1"/>
      <w:marLeft w:val="0"/>
      <w:marRight w:val="0"/>
      <w:marTop w:val="0"/>
      <w:marBottom w:val="0"/>
      <w:divBdr>
        <w:top w:val="none" w:sz="0" w:space="0" w:color="auto"/>
        <w:left w:val="none" w:sz="0" w:space="0" w:color="auto"/>
        <w:bottom w:val="none" w:sz="0" w:space="0" w:color="auto"/>
        <w:right w:val="none" w:sz="0" w:space="0" w:color="auto"/>
      </w:divBdr>
    </w:div>
    <w:div w:id="1937444503">
      <w:bodyDiv w:val="1"/>
      <w:marLeft w:val="0"/>
      <w:marRight w:val="0"/>
      <w:marTop w:val="0"/>
      <w:marBottom w:val="0"/>
      <w:divBdr>
        <w:top w:val="none" w:sz="0" w:space="0" w:color="auto"/>
        <w:left w:val="none" w:sz="0" w:space="0" w:color="auto"/>
        <w:bottom w:val="none" w:sz="0" w:space="0" w:color="auto"/>
        <w:right w:val="none" w:sz="0" w:space="0" w:color="auto"/>
      </w:divBdr>
    </w:div>
    <w:div w:id="1939213488">
      <w:bodyDiv w:val="1"/>
      <w:marLeft w:val="0"/>
      <w:marRight w:val="0"/>
      <w:marTop w:val="0"/>
      <w:marBottom w:val="0"/>
      <w:divBdr>
        <w:top w:val="none" w:sz="0" w:space="0" w:color="auto"/>
        <w:left w:val="none" w:sz="0" w:space="0" w:color="auto"/>
        <w:bottom w:val="none" w:sz="0" w:space="0" w:color="auto"/>
        <w:right w:val="none" w:sz="0" w:space="0" w:color="auto"/>
      </w:divBdr>
    </w:div>
    <w:div w:id="1944149711">
      <w:bodyDiv w:val="1"/>
      <w:marLeft w:val="0"/>
      <w:marRight w:val="0"/>
      <w:marTop w:val="0"/>
      <w:marBottom w:val="0"/>
      <w:divBdr>
        <w:top w:val="none" w:sz="0" w:space="0" w:color="auto"/>
        <w:left w:val="none" w:sz="0" w:space="0" w:color="auto"/>
        <w:bottom w:val="none" w:sz="0" w:space="0" w:color="auto"/>
        <w:right w:val="none" w:sz="0" w:space="0" w:color="auto"/>
      </w:divBdr>
    </w:div>
    <w:div w:id="1944728717">
      <w:bodyDiv w:val="1"/>
      <w:marLeft w:val="0"/>
      <w:marRight w:val="0"/>
      <w:marTop w:val="0"/>
      <w:marBottom w:val="0"/>
      <w:divBdr>
        <w:top w:val="none" w:sz="0" w:space="0" w:color="auto"/>
        <w:left w:val="none" w:sz="0" w:space="0" w:color="auto"/>
        <w:bottom w:val="none" w:sz="0" w:space="0" w:color="auto"/>
        <w:right w:val="none" w:sz="0" w:space="0" w:color="auto"/>
      </w:divBdr>
    </w:div>
    <w:div w:id="1946500879">
      <w:bodyDiv w:val="1"/>
      <w:marLeft w:val="0"/>
      <w:marRight w:val="0"/>
      <w:marTop w:val="0"/>
      <w:marBottom w:val="0"/>
      <w:divBdr>
        <w:top w:val="none" w:sz="0" w:space="0" w:color="auto"/>
        <w:left w:val="none" w:sz="0" w:space="0" w:color="auto"/>
        <w:bottom w:val="none" w:sz="0" w:space="0" w:color="auto"/>
        <w:right w:val="none" w:sz="0" w:space="0" w:color="auto"/>
      </w:divBdr>
    </w:div>
    <w:div w:id="1947954848">
      <w:bodyDiv w:val="1"/>
      <w:marLeft w:val="0"/>
      <w:marRight w:val="0"/>
      <w:marTop w:val="0"/>
      <w:marBottom w:val="0"/>
      <w:divBdr>
        <w:top w:val="none" w:sz="0" w:space="0" w:color="auto"/>
        <w:left w:val="none" w:sz="0" w:space="0" w:color="auto"/>
        <w:bottom w:val="none" w:sz="0" w:space="0" w:color="auto"/>
        <w:right w:val="none" w:sz="0" w:space="0" w:color="auto"/>
      </w:divBdr>
    </w:div>
    <w:div w:id="1951427324">
      <w:bodyDiv w:val="1"/>
      <w:marLeft w:val="0"/>
      <w:marRight w:val="0"/>
      <w:marTop w:val="0"/>
      <w:marBottom w:val="0"/>
      <w:divBdr>
        <w:top w:val="none" w:sz="0" w:space="0" w:color="auto"/>
        <w:left w:val="none" w:sz="0" w:space="0" w:color="auto"/>
        <w:bottom w:val="none" w:sz="0" w:space="0" w:color="auto"/>
        <w:right w:val="none" w:sz="0" w:space="0" w:color="auto"/>
      </w:divBdr>
    </w:div>
    <w:div w:id="1955361090">
      <w:bodyDiv w:val="1"/>
      <w:marLeft w:val="0"/>
      <w:marRight w:val="0"/>
      <w:marTop w:val="0"/>
      <w:marBottom w:val="0"/>
      <w:divBdr>
        <w:top w:val="none" w:sz="0" w:space="0" w:color="auto"/>
        <w:left w:val="none" w:sz="0" w:space="0" w:color="auto"/>
        <w:bottom w:val="none" w:sz="0" w:space="0" w:color="auto"/>
        <w:right w:val="none" w:sz="0" w:space="0" w:color="auto"/>
      </w:divBdr>
    </w:div>
    <w:div w:id="1956054426">
      <w:bodyDiv w:val="1"/>
      <w:marLeft w:val="0"/>
      <w:marRight w:val="0"/>
      <w:marTop w:val="0"/>
      <w:marBottom w:val="0"/>
      <w:divBdr>
        <w:top w:val="none" w:sz="0" w:space="0" w:color="auto"/>
        <w:left w:val="none" w:sz="0" w:space="0" w:color="auto"/>
        <w:bottom w:val="none" w:sz="0" w:space="0" w:color="auto"/>
        <w:right w:val="none" w:sz="0" w:space="0" w:color="auto"/>
      </w:divBdr>
    </w:div>
    <w:div w:id="1957372630">
      <w:bodyDiv w:val="1"/>
      <w:marLeft w:val="0"/>
      <w:marRight w:val="0"/>
      <w:marTop w:val="0"/>
      <w:marBottom w:val="0"/>
      <w:divBdr>
        <w:top w:val="none" w:sz="0" w:space="0" w:color="auto"/>
        <w:left w:val="none" w:sz="0" w:space="0" w:color="auto"/>
        <w:bottom w:val="none" w:sz="0" w:space="0" w:color="auto"/>
        <w:right w:val="none" w:sz="0" w:space="0" w:color="auto"/>
      </w:divBdr>
    </w:div>
    <w:div w:id="1958682430">
      <w:bodyDiv w:val="1"/>
      <w:marLeft w:val="0"/>
      <w:marRight w:val="0"/>
      <w:marTop w:val="0"/>
      <w:marBottom w:val="0"/>
      <w:divBdr>
        <w:top w:val="none" w:sz="0" w:space="0" w:color="auto"/>
        <w:left w:val="none" w:sz="0" w:space="0" w:color="auto"/>
        <w:bottom w:val="none" w:sz="0" w:space="0" w:color="auto"/>
        <w:right w:val="none" w:sz="0" w:space="0" w:color="auto"/>
      </w:divBdr>
    </w:div>
    <w:div w:id="1960065330">
      <w:bodyDiv w:val="1"/>
      <w:marLeft w:val="0"/>
      <w:marRight w:val="0"/>
      <w:marTop w:val="0"/>
      <w:marBottom w:val="0"/>
      <w:divBdr>
        <w:top w:val="none" w:sz="0" w:space="0" w:color="auto"/>
        <w:left w:val="none" w:sz="0" w:space="0" w:color="auto"/>
        <w:bottom w:val="none" w:sz="0" w:space="0" w:color="auto"/>
        <w:right w:val="none" w:sz="0" w:space="0" w:color="auto"/>
      </w:divBdr>
    </w:div>
    <w:div w:id="1965381314">
      <w:bodyDiv w:val="1"/>
      <w:marLeft w:val="0"/>
      <w:marRight w:val="0"/>
      <w:marTop w:val="0"/>
      <w:marBottom w:val="0"/>
      <w:divBdr>
        <w:top w:val="none" w:sz="0" w:space="0" w:color="auto"/>
        <w:left w:val="none" w:sz="0" w:space="0" w:color="auto"/>
        <w:bottom w:val="none" w:sz="0" w:space="0" w:color="auto"/>
        <w:right w:val="none" w:sz="0" w:space="0" w:color="auto"/>
      </w:divBdr>
    </w:div>
    <w:div w:id="1966111691">
      <w:bodyDiv w:val="1"/>
      <w:marLeft w:val="0"/>
      <w:marRight w:val="0"/>
      <w:marTop w:val="0"/>
      <w:marBottom w:val="0"/>
      <w:divBdr>
        <w:top w:val="none" w:sz="0" w:space="0" w:color="auto"/>
        <w:left w:val="none" w:sz="0" w:space="0" w:color="auto"/>
        <w:bottom w:val="none" w:sz="0" w:space="0" w:color="auto"/>
        <w:right w:val="none" w:sz="0" w:space="0" w:color="auto"/>
      </w:divBdr>
    </w:div>
    <w:div w:id="1967078711">
      <w:bodyDiv w:val="1"/>
      <w:marLeft w:val="0"/>
      <w:marRight w:val="0"/>
      <w:marTop w:val="0"/>
      <w:marBottom w:val="0"/>
      <w:divBdr>
        <w:top w:val="none" w:sz="0" w:space="0" w:color="auto"/>
        <w:left w:val="none" w:sz="0" w:space="0" w:color="auto"/>
        <w:bottom w:val="none" w:sz="0" w:space="0" w:color="auto"/>
        <w:right w:val="none" w:sz="0" w:space="0" w:color="auto"/>
      </w:divBdr>
    </w:div>
    <w:div w:id="1968201575">
      <w:bodyDiv w:val="1"/>
      <w:marLeft w:val="0"/>
      <w:marRight w:val="0"/>
      <w:marTop w:val="0"/>
      <w:marBottom w:val="0"/>
      <w:divBdr>
        <w:top w:val="none" w:sz="0" w:space="0" w:color="auto"/>
        <w:left w:val="none" w:sz="0" w:space="0" w:color="auto"/>
        <w:bottom w:val="none" w:sz="0" w:space="0" w:color="auto"/>
        <w:right w:val="none" w:sz="0" w:space="0" w:color="auto"/>
      </w:divBdr>
    </w:div>
    <w:div w:id="1968201923">
      <w:bodyDiv w:val="1"/>
      <w:marLeft w:val="0"/>
      <w:marRight w:val="0"/>
      <w:marTop w:val="0"/>
      <w:marBottom w:val="0"/>
      <w:divBdr>
        <w:top w:val="none" w:sz="0" w:space="0" w:color="auto"/>
        <w:left w:val="none" w:sz="0" w:space="0" w:color="auto"/>
        <w:bottom w:val="none" w:sz="0" w:space="0" w:color="auto"/>
        <w:right w:val="none" w:sz="0" w:space="0" w:color="auto"/>
      </w:divBdr>
    </w:div>
    <w:div w:id="1969505936">
      <w:bodyDiv w:val="1"/>
      <w:marLeft w:val="0"/>
      <w:marRight w:val="0"/>
      <w:marTop w:val="0"/>
      <w:marBottom w:val="0"/>
      <w:divBdr>
        <w:top w:val="none" w:sz="0" w:space="0" w:color="auto"/>
        <w:left w:val="none" w:sz="0" w:space="0" w:color="auto"/>
        <w:bottom w:val="none" w:sz="0" w:space="0" w:color="auto"/>
        <w:right w:val="none" w:sz="0" w:space="0" w:color="auto"/>
      </w:divBdr>
    </w:div>
    <w:div w:id="1972247821">
      <w:bodyDiv w:val="1"/>
      <w:marLeft w:val="0"/>
      <w:marRight w:val="0"/>
      <w:marTop w:val="0"/>
      <w:marBottom w:val="0"/>
      <w:divBdr>
        <w:top w:val="none" w:sz="0" w:space="0" w:color="auto"/>
        <w:left w:val="none" w:sz="0" w:space="0" w:color="auto"/>
        <w:bottom w:val="none" w:sz="0" w:space="0" w:color="auto"/>
        <w:right w:val="none" w:sz="0" w:space="0" w:color="auto"/>
      </w:divBdr>
    </w:div>
    <w:div w:id="1982923624">
      <w:bodyDiv w:val="1"/>
      <w:marLeft w:val="0"/>
      <w:marRight w:val="0"/>
      <w:marTop w:val="0"/>
      <w:marBottom w:val="0"/>
      <w:divBdr>
        <w:top w:val="none" w:sz="0" w:space="0" w:color="auto"/>
        <w:left w:val="none" w:sz="0" w:space="0" w:color="auto"/>
        <w:bottom w:val="none" w:sz="0" w:space="0" w:color="auto"/>
        <w:right w:val="none" w:sz="0" w:space="0" w:color="auto"/>
      </w:divBdr>
    </w:div>
    <w:div w:id="1985503967">
      <w:bodyDiv w:val="1"/>
      <w:marLeft w:val="0"/>
      <w:marRight w:val="0"/>
      <w:marTop w:val="0"/>
      <w:marBottom w:val="0"/>
      <w:divBdr>
        <w:top w:val="none" w:sz="0" w:space="0" w:color="auto"/>
        <w:left w:val="none" w:sz="0" w:space="0" w:color="auto"/>
        <w:bottom w:val="none" w:sz="0" w:space="0" w:color="auto"/>
        <w:right w:val="none" w:sz="0" w:space="0" w:color="auto"/>
      </w:divBdr>
    </w:div>
    <w:div w:id="1986007445">
      <w:bodyDiv w:val="1"/>
      <w:marLeft w:val="0"/>
      <w:marRight w:val="0"/>
      <w:marTop w:val="0"/>
      <w:marBottom w:val="0"/>
      <w:divBdr>
        <w:top w:val="none" w:sz="0" w:space="0" w:color="auto"/>
        <w:left w:val="none" w:sz="0" w:space="0" w:color="auto"/>
        <w:bottom w:val="none" w:sz="0" w:space="0" w:color="auto"/>
        <w:right w:val="none" w:sz="0" w:space="0" w:color="auto"/>
      </w:divBdr>
    </w:div>
    <w:div w:id="1987271147">
      <w:bodyDiv w:val="1"/>
      <w:marLeft w:val="0"/>
      <w:marRight w:val="0"/>
      <w:marTop w:val="0"/>
      <w:marBottom w:val="0"/>
      <w:divBdr>
        <w:top w:val="none" w:sz="0" w:space="0" w:color="auto"/>
        <w:left w:val="none" w:sz="0" w:space="0" w:color="auto"/>
        <w:bottom w:val="none" w:sz="0" w:space="0" w:color="auto"/>
        <w:right w:val="none" w:sz="0" w:space="0" w:color="auto"/>
      </w:divBdr>
    </w:div>
    <w:div w:id="1988513168">
      <w:bodyDiv w:val="1"/>
      <w:marLeft w:val="0"/>
      <w:marRight w:val="0"/>
      <w:marTop w:val="0"/>
      <w:marBottom w:val="0"/>
      <w:divBdr>
        <w:top w:val="none" w:sz="0" w:space="0" w:color="auto"/>
        <w:left w:val="none" w:sz="0" w:space="0" w:color="auto"/>
        <w:bottom w:val="none" w:sz="0" w:space="0" w:color="auto"/>
        <w:right w:val="none" w:sz="0" w:space="0" w:color="auto"/>
      </w:divBdr>
    </w:div>
    <w:div w:id="1990940798">
      <w:bodyDiv w:val="1"/>
      <w:marLeft w:val="0"/>
      <w:marRight w:val="0"/>
      <w:marTop w:val="0"/>
      <w:marBottom w:val="0"/>
      <w:divBdr>
        <w:top w:val="none" w:sz="0" w:space="0" w:color="auto"/>
        <w:left w:val="none" w:sz="0" w:space="0" w:color="auto"/>
        <w:bottom w:val="none" w:sz="0" w:space="0" w:color="auto"/>
        <w:right w:val="none" w:sz="0" w:space="0" w:color="auto"/>
      </w:divBdr>
    </w:div>
    <w:div w:id="1994408132">
      <w:bodyDiv w:val="1"/>
      <w:marLeft w:val="0"/>
      <w:marRight w:val="0"/>
      <w:marTop w:val="0"/>
      <w:marBottom w:val="0"/>
      <w:divBdr>
        <w:top w:val="none" w:sz="0" w:space="0" w:color="auto"/>
        <w:left w:val="none" w:sz="0" w:space="0" w:color="auto"/>
        <w:bottom w:val="none" w:sz="0" w:space="0" w:color="auto"/>
        <w:right w:val="none" w:sz="0" w:space="0" w:color="auto"/>
      </w:divBdr>
    </w:div>
    <w:div w:id="1994409856">
      <w:bodyDiv w:val="1"/>
      <w:marLeft w:val="0"/>
      <w:marRight w:val="0"/>
      <w:marTop w:val="0"/>
      <w:marBottom w:val="0"/>
      <w:divBdr>
        <w:top w:val="none" w:sz="0" w:space="0" w:color="auto"/>
        <w:left w:val="none" w:sz="0" w:space="0" w:color="auto"/>
        <w:bottom w:val="none" w:sz="0" w:space="0" w:color="auto"/>
        <w:right w:val="none" w:sz="0" w:space="0" w:color="auto"/>
      </w:divBdr>
    </w:div>
    <w:div w:id="1994603253">
      <w:bodyDiv w:val="1"/>
      <w:marLeft w:val="0"/>
      <w:marRight w:val="0"/>
      <w:marTop w:val="0"/>
      <w:marBottom w:val="0"/>
      <w:divBdr>
        <w:top w:val="none" w:sz="0" w:space="0" w:color="auto"/>
        <w:left w:val="none" w:sz="0" w:space="0" w:color="auto"/>
        <w:bottom w:val="none" w:sz="0" w:space="0" w:color="auto"/>
        <w:right w:val="none" w:sz="0" w:space="0" w:color="auto"/>
      </w:divBdr>
    </w:div>
    <w:div w:id="1994983775">
      <w:bodyDiv w:val="1"/>
      <w:marLeft w:val="0"/>
      <w:marRight w:val="0"/>
      <w:marTop w:val="0"/>
      <w:marBottom w:val="0"/>
      <w:divBdr>
        <w:top w:val="none" w:sz="0" w:space="0" w:color="auto"/>
        <w:left w:val="none" w:sz="0" w:space="0" w:color="auto"/>
        <w:bottom w:val="none" w:sz="0" w:space="0" w:color="auto"/>
        <w:right w:val="none" w:sz="0" w:space="0" w:color="auto"/>
      </w:divBdr>
    </w:div>
    <w:div w:id="1995912337">
      <w:bodyDiv w:val="1"/>
      <w:marLeft w:val="0"/>
      <w:marRight w:val="0"/>
      <w:marTop w:val="0"/>
      <w:marBottom w:val="0"/>
      <w:divBdr>
        <w:top w:val="none" w:sz="0" w:space="0" w:color="auto"/>
        <w:left w:val="none" w:sz="0" w:space="0" w:color="auto"/>
        <w:bottom w:val="none" w:sz="0" w:space="0" w:color="auto"/>
        <w:right w:val="none" w:sz="0" w:space="0" w:color="auto"/>
      </w:divBdr>
    </w:div>
    <w:div w:id="1996254061">
      <w:bodyDiv w:val="1"/>
      <w:marLeft w:val="0"/>
      <w:marRight w:val="0"/>
      <w:marTop w:val="0"/>
      <w:marBottom w:val="0"/>
      <w:divBdr>
        <w:top w:val="none" w:sz="0" w:space="0" w:color="auto"/>
        <w:left w:val="none" w:sz="0" w:space="0" w:color="auto"/>
        <w:bottom w:val="none" w:sz="0" w:space="0" w:color="auto"/>
        <w:right w:val="none" w:sz="0" w:space="0" w:color="auto"/>
      </w:divBdr>
    </w:div>
    <w:div w:id="1996638131">
      <w:bodyDiv w:val="1"/>
      <w:marLeft w:val="0"/>
      <w:marRight w:val="0"/>
      <w:marTop w:val="0"/>
      <w:marBottom w:val="0"/>
      <w:divBdr>
        <w:top w:val="none" w:sz="0" w:space="0" w:color="auto"/>
        <w:left w:val="none" w:sz="0" w:space="0" w:color="auto"/>
        <w:bottom w:val="none" w:sz="0" w:space="0" w:color="auto"/>
        <w:right w:val="none" w:sz="0" w:space="0" w:color="auto"/>
      </w:divBdr>
    </w:div>
    <w:div w:id="1999573670">
      <w:bodyDiv w:val="1"/>
      <w:marLeft w:val="0"/>
      <w:marRight w:val="0"/>
      <w:marTop w:val="0"/>
      <w:marBottom w:val="0"/>
      <w:divBdr>
        <w:top w:val="none" w:sz="0" w:space="0" w:color="auto"/>
        <w:left w:val="none" w:sz="0" w:space="0" w:color="auto"/>
        <w:bottom w:val="none" w:sz="0" w:space="0" w:color="auto"/>
        <w:right w:val="none" w:sz="0" w:space="0" w:color="auto"/>
      </w:divBdr>
    </w:div>
    <w:div w:id="2001351556">
      <w:bodyDiv w:val="1"/>
      <w:marLeft w:val="0"/>
      <w:marRight w:val="0"/>
      <w:marTop w:val="0"/>
      <w:marBottom w:val="0"/>
      <w:divBdr>
        <w:top w:val="none" w:sz="0" w:space="0" w:color="auto"/>
        <w:left w:val="none" w:sz="0" w:space="0" w:color="auto"/>
        <w:bottom w:val="none" w:sz="0" w:space="0" w:color="auto"/>
        <w:right w:val="none" w:sz="0" w:space="0" w:color="auto"/>
      </w:divBdr>
    </w:div>
    <w:div w:id="2005428929">
      <w:bodyDiv w:val="1"/>
      <w:marLeft w:val="0"/>
      <w:marRight w:val="0"/>
      <w:marTop w:val="0"/>
      <w:marBottom w:val="0"/>
      <w:divBdr>
        <w:top w:val="none" w:sz="0" w:space="0" w:color="auto"/>
        <w:left w:val="none" w:sz="0" w:space="0" w:color="auto"/>
        <w:bottom w:val="none" w:sz="0" w:space="0" w:color="auto"/>
        <w:right w:val="none" w:sz="0" w:space="0" w:color="auto"/>
      </w:divBdr>
    </w:div>
    <w:div w:id="2005622919">
      <w:bodyDiv w:val="1"/>
      <w:marLeft w:val="0"/>
      <w:marRight w:val="0"/>
      <w:marTop w:val="0"/>
      <w:marBottom w:val="0"/>
      <w:divBdr>
        <w:top w:val="none" w:sz="0" w:space="0" w:color="auto"/>
        <w:left w:val="none" w:sz="0" w:space="0" w:color="auto"/>
        <w:bottom w:val="none" w:sz="0" w:space="0" w:color="auto"/>
        <w:right w:val="none" w:sz="0" w:space="0" w:color="auto"/>
      </w:divBdr>
    </w:div>
    <w:div w:id="2008047735">
      <w:bodyDiv w:val="1"/>
      <w:marLeft w:val="0"/>
      <w:marRight w:val="0"/>
      <w:marTop w:val="0"/>
      <w:marBottom w:val="0"/>
      <w:divBdr>
        <w:top w:val="none" w:sz="0" w:space="0" w:color="auto"/>
        <w:left w:val="none" w:sz="0" w:space="0" w:color="auto"/>
        <w:bottom w:val="none" w:sz="0" w:space="0" w:color="auto"/>
        <w:right w:val="none" w:sz="0" w:space="0" w:color="auto"/>
      </w:divBdr>
    </w:div>
    <w:div w:id="2009287097">
      <w:bodyDiv w:val="1"/>
      <w:marLeft w:val="0"/>
      <w:marRight w:val="0"/>
      <w:marTop w:val="0"/>
      <w:marBottom w:val="0"/>
      <w:divBdr>
        <w:top w:val="none" w:sz="0" w:space="0" w:color="auto"/>
        <w:left w:val="none" w:sz="0" w:space="0" w:color="auto"/>
        <w:bottom w:val="none" w:sz="0" w:space="0" w:color="auto"/>
        <w:right w:val="none" w:sz="0" w:space="0" w:color="auto"/>
      </w:divBdr>
    </w:div>
    <w:div w:id="2009557522">
      <w:bodyDiv w:val="1"/>
      <w:marLeft w:val="0"/>
      <w:marRight w:val="0"/>
      <w:marTop w:val="0"/>
      <w:marBottom w:val="0"/>
      <w:divBdr>
        <w:top w:val="none" w:sz="0" w:space="0" w:color="auto"/>
        <w:left w:val="none" w:sz="0" w:space="0" w:color="auto"/>
        <w:bottom w:val="none" w:sz="0" w:space="0" w:color="auto"/>
        <w:right w:val="none" w:sz="0" w:space="0" w:color="auto"/>
      </w:divBdr>
    </w:div>
    <w:div w:id="2011061006">
      <w:bodyDiv w:val="1"/>
      <w:marLeft w:val="0"/>
      <w:marRight w:val="0"/>
      <w:marTop w:val="0"/>
      <w:marBottom w:val="0"/>
      <w:divBdr>
        <w:top w:val="none" w:sz="0" w:space="0" w:color="auto"/>
        <w:left w:val="none" w:sz="0" w:space="0" w:color="auto"/>
        <w:bottom w:val="none" w:sz="0" w:space="0" w:color="auto"/>
        <w:right w:val="none" w:sz="0" w:space="0" w:color="auto"/>
      </w:divBdr>
    </w:div>
    <w:div w:id="2011911603">
      <w:bodyDiv w:val="1"/>
      <w:marLeft w:val="0"/>
      <w:marRight w:val="0"/>
      <w:marTop w:val="0"/>
      <w:marBottom w:val="0"/>
      <w:divBdr>
        <w:top w:val="none" w:sz="0" w:space="0" w:color="auto"/>
        <w:left w:val="none" w:sz="0" w:space="0" w:color="auto"/>
        <w:bottom w:val="none" w:sz="0" w:space="0" w:color="auto"/>
        <w:right w:val="none" w:sz="0" w:space="0" w:color="auto"/>
      </w:divBdr>
    </w:div>
    <w:div w:id="2013295637">
      <w:bodyDiv w:val="1"/>
      <w:marLeft w:val="0"/>
      <w:marRight w:val="0"/>
      <w:marTop w:val="0"/>
      <w:marBottom w:val="0"/>
      <w:divBdr>
        <w:top w:val="none" w:sz="0" w:space="0" w:color="auto"/>
        <w:left w:val="none" w:sz="0" w:space="0" w:color="auto"/>
        <w:bottom w:val="none" w:sz="0" w:space="0" w:color="auto"/>
        <w:right w:val="none" w:sz="0" w:space="0" w:color="auto"/>
      </w:divBdr>
    </w:div>
    <w:div w:id="2014411432">
      <w:bodyDiv w:val="1"/>
      <w:marLeft w:val="0"/>
      <w:marRight w:val="0"/>
      <w:marTop w:val="0"/>
      <w:marBottom w:val="0"/>
      <w:divBdr>
        <w:top w:val="none" w:sz="0" w:space="0" w:color="auto"/>
        <w:left w:val="none" w:sz="0" w:space="0" w:color="auto"/>
        <w:bottom w:val="none" w:sz="0" w:space="0" w:color="auto"/>
        <w:right w:val="none" w:sz="0" w:space="0" w:color="auto"/>
      </w:divBdr>
    </w:div>
    <w:div w:id="2017880548">
      <w:bodyDiv w:val="1"/>
      <w:marLeft w:val="0"/>
      <w:marRight w:val="0"/>
      <w:marTop w:val="0"/>
      <w:marBottom w:val="0"/>
      <w:divBdr>
        <w:top w:val="none" w:sz="0" w:space="0" w:color="auto"/>
        <w:left w:val="none" w:sz="0" w:space="0" w:color="auto"/>
        <w:bottom w:val="none" w:sz="0" w:space="0" w:color="auto"/>
        <w:right w:val="none" w:sz="0" w:space="0" w:color="auto"/>
      </w:divBdr>
    </w:div>
    <w:div w:id="2018537201">
      <w:bodyDiv w:val="1"/>
      <w:marLeft w:val="0"/>
      <w:marRight w:val="0"/>
      <w:marTop w:val="0"/>
      <w:marBottom w:val="0"/>
      <w:divBdr>
        <w:top w:val="none" w:sz="0" w:space="0" w:color="auto"/>
        <w:left w:val="none" w:sz="0" w:space="0" w:color="auto"/>
        <w:bottom w:val="none" w:sz="0" w:space="0" w:color="auto"/>
        <w:right w:val="none" w:sz="0" w:space="0" w:color="auto"/>
      </w:divBdr>
    </w:div>
    <w:div w:id="2019118131">
      <w:bodyDiv w:val="1"/>
      <w:marLeft w:val="0"/>
      <w:marRight w:val="0"/>
      <w:marTop w:val="0"/>
      <w:marBottom w:val="0"/>
      <w:divBdr>
        <w:top w:val="none" w:sz="0" w:space="0" w:color="auto"/>
        <w:left w:val="none" w:sz="0" w:space="0" w:color="auto"/>
        <w:bottom w:val="none" w:sz="0" w:space="0" w:color="auto"/>
        <w:right w:val="none" w:sz="0" w:space="0" w:color="auto"/>
      </w:divBdr>
    </w:div>
    <w:div w:id="2019653280">
      <w:bodyDiv w:val="1"/>
      <w:marLeft w:val="0"/>
      <w:marRight w:val="0"/>
      <w:marTop w:val="0"/>
      <w:marBottom w:val="0"/>
      <w:divBdr>
        <w:top w:val="none" w:sz="0" w:space="0" w:color="auto"/>
        <w:left w:val="none" w:sz="0" w:space="0" w:color="auto"/>
        <w:bottom w:val="none" w:sz="0" w:space="0" w:color="auto"/>
        <w:right w:val="none" w:sz="0" w:space="0" w:color="auto"/>
      </w:divBdr>
    </w:div>
    <w:div w:id="2021269660">
      <w:bodyDiv w:val="1"/>
      <w:marLeft w:val="0"/>
      <w:marRight w:val="0"/>
      <w:marTop w:val="0"/>
      <w:marBottom w:val="0"/>
      <w:divBdr>
        <w:top w:val="none" w:sz="0" w:space="0" w:color="auto"/>
        <w:left w:val="none" w:sz="0" w:space="0" w:color="auto"/>
        <w:bottom w:val="none" w:sz="0" w:space="0" w:color="auto"/>
        <w:right w:val="none" w:sz="0" w:space="0" w:color="auto"/>
      </w:divBdr>
    </w:div>
    <w:div w:id="2021469587">
      <w:bodyDiv w:val="1"/>
      <w:marLeft w:val="0"/>
      <w:marRight w:val="0"/>
      <w:marTop w:val="0"/>
      <w:marBottom w:val="0"/>
      <w:divBdr>
        <w:top w:val="none" w:sz="0" w:space="0" w:color="auto"/>
        <w:left w:val="none" w:sz="0" w:space="0" w:color="auto"/>
        <w:bottom w:val="none" w:sz="0" w:space="0" w:color="auto"/>
        <w:right w:val="none" w:sz="0" w:space="0" w:color="auto"/>
      </w:divBdr>
    </w:div>
    <w:div w:id="2021620864">
      <w:bodyDiv w:val="1"/>
      <w:marLeft w:val="0"/>
      <w:marRight w:val="0"/>
      <w:marTop w:val="0"/>
      <w:marBottom w:val="0"/>
      <w:divBdr>
        <w:top w:val="none" w:sz="0" w:space="0" w:color="auto"/>
        <w:left w:val="none" w:sz="0" w:space="0" w:color="auto"/>
        <w:bottom w:val="none" w:sz="0" w:space="0" w:color="auto"/>
        <w:right w:val="none" w:sz="0" w:space="0" w:color="auto"/>
      </w:divBdr>
    </w:div>
    <w:div w:id="2021658064">
      <w:bodyDiv w:val="1"/>
      <w:marLeft w:val="0"/>
      <w:marRight w:val="0"/>
      <w:marTop w:val="0"/>
      <w:marBottom w:val="0"/>
      <w:divBdr>
        <w:top w:val="none" w:sz="0" w:space="0" w:color="auto"/>
        <w:left w:val="none" w:sz="0" w:space="0" w:color="auto"/>
        <w:bottom w:val="none" w:sz="0" w:space="0" w:color="auto"/>
        <w:right w:val="none" w:sz="0" w:space="0" w:color="auto"/>
      </w:divBdr>
    </w:div>
    <w:div w:id="2023240778">
      <w:bodyDiv w:val="1"/>
      <w:marLeft w:val="0"/>
      <w:marRight w:val="0"/>
      <w:marTop w:val="0"/>
      <w:marBottom w:val="0"/>
      <w:divBdr>
        <w:top w:val="none" w:sz="0" w:space="0" w:color="auto"/>
        <w:left w:val="none" w:sz="0" w:space="0" w:color="auto"/>
        <w:bottom w:val="none" w:sz="0" w:space="0" w:color="auto"/>
        <w:right w:val="none" w:sz="0" w:space="0" w:color="auto"/>
      </w:divBdr>
    </w:div>
    <w:div w:id="2024474903">
      <w:bodyDiv w:val="1"/>
      <w:marLeft w:val="0"/>
      <w:marRight w:val="0"/>
      <w:marTop w:val="0"/>
      <w:marBottom w:val="0"/>
      <w:divBdr>
        <w:top w:val="none" w:sz="0" w:space="0" w:color="auto"/>
        <w:left w:val="none" w:sz="0" w:space="0" w:color="auto"/>
        <w:bottom w:val="none" w:sz="0" w:space="0" w:color="auto"/>
        <w:right w:val="none" w:sz="0" w:space="0" w:color="auto"/>
      </w:divBdr>
    </w:div>
    <w:div w:id="2027168791">
      <w:bodyDiv w:val="1"/>
      <w:marLeft w:val="0"/>
      <w:marRight w:val="0"/>
      <w:marTop w:val="0"/>
      <w:marBottom w:val="0"/>
      <w:divBdr>
        <w:top w:val="none" w:sz="0" w:space="0" w:color="auto"/>
        <w:left w:val="none" w:sz="0" w:space="0" w:color="auto"/>
        <w:bottom w:val="none" w:sz="0" w:space="0" w:color="auto"/>
        <w:right w:val="none" w:sz="0" w:space="0" w:color="auto"/>
      </w:divBdr>
    </w:div>
    <w:div w:id="2027635899">
      <w:bodyDiv w:val="1"/>
      <w:marLeft w:val="0"/>
      <w:marRight w:val="0"/>
      <w:marTop w:val="0"/>
      <w:marBottom w:val="0"/>
      <w:divBdr>
        <w:top w:val="none" w:sz="0" w:space="0" w:color="auto"/>
        <w:left w:val="none" w:sz="0" w:space="0" w:color="auto"/>
        <w:bottom w:val="none" w:sz="0" w:space="0" w:color="auto"/>
        <w:right w:val="none" w:sz="0" w:space="0" w:color="auto"/>
      </w:divBdr>
    </w:div>
    <w:div w:id="2028292853">
      <w:bodyDiv w:val="1"/>
      <w:marLeft w:val="0"/>
      <w:marRight w:val="0"/>
      <w:marTop w:val="0"/>
      <w:marBottom w:val="0"/>
      <w:divBdr>
        <w:top w:val="none" w:sz="0" w:space="0" w:color="auto"/>
        <w:left w:val="none" w:sz="0" w:space="0" w:color="auto"/>
        <w:bottom w:val="none" w:sz="0" w:space="0" w:color="auto"/>
        <w:right w:val="none" w:sz="0" w:space="0" w:color="auto"/>
      </w:divBdr>
    </w:div>
    <w:div w:id="2029602610">
      <w:bodyDiv w:val="1"/>
      <w:marLeft w:val="0"/>
      <w:marRight w:val="0"/>
      <w:marTop w:val="0"/>
      <w:marBottom w:val="0"/>
      <w:divBdr>
        <w:top w:val="none" w:sz="0" w:space="0" w:color="auto"/>
        <w:left w:val="none" w:sz="0" w:space="0" w:color="auto"/>
        <w:bottom w:val="none" w:sz="0" w:space="0" w:color="auto"/>
        <w:right w:val="none" w:sz="0" w:space="0" w:color="auto"/>
      </w:divBdr>
    </w:div>
    <w:div w:id="2030374231">
      <w:bodyDiv w:val="1"/>
      <w:marLeft w:val="0"/>
      <w:marRight w:val="0"/>
      <w:marTop w:val="0"/>
      <w:marBottom w:val="0"/>
      <w:divBdr>
        <w:top w:val="none" w:sz="0" w:space="0" w:color="auto"/>
        <w:left w:val="none" w:sz="0" w:space="0" w:color="auto"/>
        <w:bottom w:val="none" w:sz="0" w:space="0" w:color="auto"/>
        <w:right w:val="none" w:sz="0" w:space="0" w:color="auto"/>
      </w:divBdr>
    </w:div>
    <w:div w:id="2030787921">
      <w:bodyDiv w:val="1"/>
      <w:marLeft w:val="0"/>
      <w:marRight w:val="0"/>
      <w:marTop w:val="0"/>
      <w:marBottom w:val="0"/>
      <w:divBdr>
        <w:top w:val="none" w:sz="0" w:space="0" w:color="auto"/>
        <w:left w:val="none" w:sz="0" w:space="0" w:color="auto"/>
        <w:bottom w:val="none" w:sz="0" w:space="0" w:color="auto"/>
        <w:right w:val="none" w:sz="0" w:space="0" w:color="auto"/>
      </w:divBdr>
    </w:div>
    <w:div w:id="2032489983">
      <w:bodyDiv w:val="1"/>
      <w:marLeft w:val="0"/>
      <w:marRight w:val="0"/>
      <w:marTop w:val="0"/>
      <w:marBottom w:val="0"/>
      <w:divBdr>
        <w:top w:val="none" w:sz="0" w:space="0" w:color="auto"/>
        <w:left w:val="none" w:sz="0" w:space="0" w:color="auto"/>
        <w:bottom w:val="none" w:sz="0" w:space="0" w:color="auto"/>
        <w:right w:val="none" w:sz="0" w:space="0" w:color="auto"/>
      </w:divBdr>
    </w:div>
    <w:div w:id="2033649857">
      <w:bodyDiv w:val="1"/>
      <w:marLeft w:val="0"/>
      <w:marRight w:val="0"/>
      <w:marTop w:val="0"/>
      <w:marBottom w:val="0"/>
      <w:divBdr>
        <w:top w:val="none" w:sz="0" w:space="0" w:color="auto"/>
        <w:left w:val="none" w:sz="0" w:space="0" w:color="auto"/>
        <w:bottom w:val="none" w:sz="0" w:space="0" w:color="auto"/>
        <w:right w:val="none" w:sz="0" w:space="0" w:color="auto"/>
      </w:divBdr>
    </w:div>
    <w:div w:id="2033799446">
      <w:bodyDiv w:val="1"/>
      <w:marLeft w:val="0"/>
      <w:marRight w:val="0"/>
      <w:marTop w:val="0"/>
      <w:marBottom w:val="0"/>
      <w:divBdr>
        <w:top w:val="none" w:sz="0" w:space="0" w:color="auto"/>
        <w:left w:val="none" w:sz="0" w:space="0" w:color="auto"/>
        <w:bottom w:val="none" w:sz="0" w:space="0" w:color="auto"/>
        <w:right w:val="none" w:sz="0" w:space="0" w:color="auto"/>
      </w:divBdr>
    </w:div>
    <w:div w:id="2033919694">
      <w:bodyDiv w:val="1"/>
      <w:marLeft w:val="0"/>
      <w:marRight w:val="0"/>
      <w:marTop w:val="0"/>
      <w:marBottom w:val="0"/>
      <w:divBdr>
        <w:top w:val="none" w:sz="0" w:space="0" w:color="auto"/>
        <w:left w:val="none" w:sz="0" w:space="0" w:color="auto"/>
        <w:bottom w:val="none" w:sz="0" w:space="0" w:color="auto"/>
        <w:right w:val="none" w:sz="0" w:space="0" w:color="auto"/>
      </w:divBdr>
    </w:div>
    <w:div w:id="2034918818">
      <w:bodyDiv w:val="1"/>
      <w:marLeft w:val="0"/>
      <w:marRight w:val="0"/>
      <w:marTop w:val="0"/>
      <w:marBottom w:val="0"/>
      <w:divBdr>
        <w:top w:val="none" w:sz="0" w:space="0" w:color="auto"/>
        <w:left w:val="none" w:sz="0" w:space="0" w:color="auto"/>
        <w:bottom w:val="none" w:sz="0" w:space="0" w:color="auto"/>
        <w:right w:val="none" w:sz="0" w:space="0" w:color="auto"/>
      </w:divBdr>
    </w:div>
    <w:div w:id="2036036581">
      <w:bodyDiv w:val="1"/>
      <w:marLeft w:val="0"/>
      <w:marRight w:val="0"/>
      <w:marTop w:val="0"/>
      <w:marBottom w:val="0"/>
      <w:divBdr>
        <w:top w:val="none" w:sz="0" w:space="0" w:color="auto"/>
        <w:left w:val="none" w:sz="0" w:space="0" w:color="auto"/>
        <w:bottom w:val="none" w:sz="0" w:space="0" w:color="auto"/>
        <w:right w:val="none" w:sz="0" w:space="0" w:color="auto"/>
      </w:divBdr>
    </w:div>
    <w:div w:id="2039119554">
      <w:bodyDiv w:val="1"/>
      <w:marLeft w:val="0"/>
      <w:marRight w:val="0"/>
      <w:marTop w:val="0"/>
      <w:marBottom w:val="0"/>
      <w:divBdr>
        <w:top w:val="none" w:sz="0" w:space="0" w:color="auto"/>
        <w:left w:val="none" w:sz="0" w:space="0" w:color="auto"/>
        <w:bottom w:val="none" w:sz="0" w:space="0" w:color="auto"/>
        <w:right w:val="none" w:sz="0" w:space="0" w:color="auto"/>
      </w:divBdr>
    </w:div>
    <w:div w:id="2040036507">
      <w:bodyDiv w:val="1"/>
      <w:marLeft w:val="0"/>
      <w:marRight w:val="0"/>
      <w:marTop w:val="0"/>
      <w:marBottom w:val="0"/>
      <w:divBdr>
        <w:top w:val="none" w:sz="0" w:space="0" w:color="auto"/>
        <w:left w:val="none" w:sz="0" w:space="0" w:color="auto"/>
        <w:bottom w:val="none" w:sz="0" w:space="0" w:color="auto"/>
        <w:right w:val="none" w:sz="0" w:space="0" w:color="auto"/>
      </w:divBdr>
    </w:div>
    <w:div w:id="2040541947">
      <w:bodyDiv w:val="1"/>
      <w:marLeft w:val="0"/>
      <w:marRight w:val="0"/>
      <w:marTop w:val="0"/>
      <w:marBottom w:val="0"/>
      <w:divBdr>
        <w:top w:val="none" w:sz="0" w:space="0" w:color="auto"/>
        <w:left w:val="none" w:sz="0" w:space="0" w:color="auto"/>
        <w:bottom w:val="none" w:sz="0" w:space="0" w:color="auto"/>
        <w:right w:val="none" w:sz="0" w:space="0" w:color="auto"/>
      </w:divBdr>
    </w:div>
    <w:div w:id="2040545725">
      <w:bodyDiv w:val="1"/>
      <w:marLeft w:val="0"/>
      <w:marRight w:val="0"/>
      <w:marTop w:val="0"/>
      <w:marBottom w:val="0"/>
      <w:divBdr>
        <w:top w:val="none" w:sz="0" w:space="0" w:color="auto"/>
        <w:left w:val="none" w:sz="0" w:space="0" w:color="auto"/>
        <w:bottom w:val="none" w:sz="0" w:space="0" w:color="auto"/>
        <w:right w:val="none" w:sz="0" w:space="0" w:color="auto"/>
      </w:divBdr>
    </w:div>
    <w:div w:id="2043554397">
      <w:bodyDiv w:val="1"/>
      <w:marLeft w:val="0"/>
      <w:marRight w:val="0"/>
      <w:marTop w:val="0"/>
      <w:marBottom w:val="0"/>
      <w:divBdr>
        <w:top w:val="none" w:sz="0" w:space="0" w:color="auto"/>
        <w:left w:val="none" w:sz="0" w:space="0" w:color="auto"/>
        <w:bottom w:val="none" w:sz="0" w:space="0" w:color="auto"/>
        <w:right w:val="none" w:sz="0" w:space="0" w:color="auto"/>
      </w:divBdr>
    </w:div>
    <w:div w:id="2046253560">
      <w:bodyDiv w:val="1"/>
      <w:marLeft w:val="0"/>
      <w:marRight w:val="0"/>
      <w:marTop w:val="0"/>
      <w:marBottom w:val="0"/>
      <w:divBdr>
        <w:top w:val="none" w:sz="0" w:space="0" w:color="auto"/>
        <w:left w:val="none" w:sz="0" w:space="0" w:color="auto"/>
        <w:bottom w:val="none" w:sz="0" w:space="0" w:color="auto"/>
        <w:right w:val="none" w:sz="0" w:space="0" w:color="auto"/>
      </w:divBdr>
    </w:div>
    <w:div w:id="2047100617">
      <w:bodyDiv w:val="1"/>
      <w:marLeft w:val="0"/>
      <w:marRight w:val="0"/>
      <w:marTop w:val="0"/>
      <w:marBottom w:val="0"/>
      <w:divBdr>
        <w:top w:val="none" w:sz="0" w:space="0" w:color="auto"/>
        <w:left w:val="none" w:sz="0" w:space="0" w:color="auto"/>
        <w:bottom w:val="none" w:sz="0" w:space="0" w:color="auto"/>
        <w:right w:val="none" w:sz="0" w:space="0" w:color="auto"/>
      </w:divBdr>
    </w:div>
    <w:div w:id="2049839703">
      <w:bodyDiv w:val="1"/>
      <w:marLeft w:val="0"/>
      <w:marRight w:val="0"/>
      <w:marTop w:val="0"/>
      <w:marBottom w:val="0"/>
      <w:divBdr>
        <w:top w:val="none" w:sz="0" w:space="0" w:color="auto"/>
        <w:left w:val="none" w:sz="0" w:space="0" w:color="auto"/>
        <w:bottom w:val="none" w:sz="0" w:space="0" w:color="auto"/>
        <w:right w:val="none" w:sz="0" w:space="0" w:color="auto"/>
      </w:divBdr>
    </w:div>
    <w:div w:id="2051177482">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54230076">
      <w:bodyDiv w:val="1"/>
      <w:marLeft w:val="0"/>
      <w:marRight w:val="0"/>
      <w:marTop w:val="0"/>
      <w:marBottom w:val="0"/>
      <w:divBdr>
        <w:top w:val="none" w:sz="0" w:space="0" w:color="auto"/>
        <w:left w:val="none" w:sz="0" w:space="0" w:color="auto"/>
        <w:bottom w:val="none" w:sz="0" w:space="0" w:color="auto"/>
        <w:right w:val="none" w:sz="0" w:space="0" w:color="auto"/>
      </w:divBdr>
    </w:div>
    <w:div w:id="2054695625">
      <w:bodyDiv w:val="1"/>
      <w:marLeft w:val="0"/>
      <w:marRight w:val="0"/>
      <w:marTop w:val="0"/>
      <w:marBottom w:val="0"/>
      <w:divBdr>
        <w:top w:val="none" w:sz="0" w:space="0" w:color="auto"/>
        <w:left w:val="none" w:sz="0" w:space="0" w:color="auto"/>
        <w:bottom w:val="none" w:sz="0" w:space="0" w:color="auto"/>
        <w:right w:val="none" w:sz="0" w:space="0" w:color="auto"/>
      </w:divBdr>
    </w:div>
    <w:div w:id="2063017482">
      <w:bodyDiv w:val="1"/>
      <w:marLeft w:val="0"/>
      <w:marRight w:val="0"/>
      <w:marTop w:val="0"/>
      <w:marBottom w:val="0"/>
      <w:divBdr>
        <w:top w:val="none" w:sz="0" w:space="0" w:color="auto"/>
        <w:left w:val="none" w:sz="0" w:space="0" w:color="auto"/>
        <w:bottom w:val="none" w:sz="0" w:space="0" w:color="auto"/>
        <w:right w:val="none" w:sz="0" w:space="0" w:color="auto"/>
      </w:divBdr>
    </w:div>
    <w:div w:id="2065057637">
      <w:bodyDiv w:val="1"/>
      <w:marLeft w:val="0"/>
      <w:marRight w:val="0"/>
      <w:marTop w:val="0"/>
      <w:marBottom w:val="0"/>
      <w:divBdr>
        <w:top w:val="none" w:sz="0" w:space="0" w:color="auto"/>
        <w:left w:val="none" w:sz="0" w:space="0" w:color="auto"/>
        <w:bottom w:val="none" w:sz="0" w:space="0" w:color="auto"/>
        <w:right w:val="none" w:sz="0" w:space="0" w:color="auto"/>
      </w:divBdr>
    </w:div>
    <w:div w:id="2065329300">
      <w:bodyDiv w:val="1"/>
      <w:marLeft w:val="0"/>
      <w:marRight w:val="0"/>
      <w:marTop w:val="0"/>
      <w:marBottom w:val="0"/>
      <w:divBdr>
        <w:top w:val="none" w:sz="0" w:space="0" w:color="auto"/>
        <w:left w:val="none" w:sz="0" w:space="0" w:color="auto"/>
        <w:bottom w:val="none" w:sz="0" w:space="0" w:color="auto"/>
        <w:right w:val="none" w:sz="0" w:space="0" w:color="auto"/>
      </w:divBdr>
    </w:div>
    <w:div w:id="2067101384">
      <w:bodyDiv w:val="1"/>
      <w:marLeft w:val="0"/>
      <w:marRight w:val="0"/>
      <w:marTop w:val="0"/>
      <w:marBottom w:val="0"/>
      <w:divBdr>
        <w:top w:val="none" w:sz="0" w:space="0" w:color="auto"/>
        <w:left w:val="none" w:sz="0" w:space="0" w:color="auto"/>
        <w:bottom w:val="none" w:sz="0" w:space="0" w:color="auto"/>
        <w:right w:val="none" w:sz="0" w:space="0" w:color="auto"/>
      </w:divBdr>
    </w:div>
    <w:div w:id="2067562487">
      <w:bodyDiv w:val="1"/>
      <w:marLeft w:val="0"/>
      <w:marRight w:val="0"/>
      <w:marTop w:val="0"/>
      <w:marBottom w:val="0"/>
      <w:divBdr>
        <w:top w:val="none" w:sz="0" w:space="0" w:color="auto"/>
        <w:left w:val="none" w:sz="0" w:space="0" w:color="auto"/>
        <w:bottom w:val="none" w:sz="0" w:space="0" w:color="auto"/>
        <w:right w:val="none" w:sz="0" w:space="0" w:color="auto"/>
      </w:divBdr>
    </w:div>
    <w:div w:id="2071880571">
      <w:bodyDiv w:val="1"/>
      <w:marLeft w:val="0"/>
      <w:marRight w:val="0"/>
      <w:marTop w:val="0"/>
      <w:marBottom w:val="0"/>
      <w:divBdr>
        <w:top w:val="none" w:sz="0" w:space="0" w:color="auto"/>
        <w:left w:val="none" w:sz="0" w:space="0" w:color="auto"/>
        <w:bottom w:val="none" w:sz="0" w:space="0" w:color="auto"/>
        <w:right w:val="none" w:sz="0" w:space="0" w:color="auto"/>
      </w:divBdr>
    </w:div>
    <w:div w:id="2073772807">
      <w:bodyDiv w:val="1"/>
      <w:marLeft w:val="0"/>
      <w:marRight w:val="0"/>
      <w:marTop w:val="0"/>
      <w:marBottom w:val="0"/>
      <w:divBdr>
        <w:top w:val="none" w:sz="0" w:space="0" w:color="auto"/>
        <w:left w:val="none" w:sz="0" w:space="0" w:color="auto"/>
        <w:bottom w:val="none" w:sz="0" w:space="0" w:color="auto"/>
        <w:right w:val="none" w:sz="0" w:space="0" w:color="auto"/>
      </w:divBdr>
    </w:div>
    <w:div w:id="2074153476">
      <w:bodyDiv w:val="1"/>
      <w:marLeft w:val="0"/>
      <w:marRight w:val="0"/>
      <w:marTop w:val="0"/>
      <w:marBottom w:val="0"/>
      <w:divBdr>
        <w:top w:val="none" w:sz="0" w:space="0" w:color="auto"/>
        <w:left w:val="none" w:sz="0" w:space="0" w:color="auto"/>
        <w:bottom w:val="none" w:sz="0" w:space="0" w:color="auto"/>
        <w:right w:val="none" w:sz="0" w:space="0" w:color="auto"/>
      </w:divBdr>
    </w:div>
    <w:div w:id="2074811078">
      <w:bodyDiv w:val="1"/>
      <w:marLeft w:val="0"/>
      <w:marRight w:val="0"/>
      <w:marTop w:val="0"/>
      <w:marBottom w:val="0"/>
      <w:divBdr>
        <w:top w:val="none" w:sz="0" w:space="0" w:color="auto"/>
        <w:left w:val="none" w:sz="0" w:space="0" w:color="auto"/>
        <w:bottom w:val="none" w:sz="0" w:space="0" w:color="auto"/>
        <w:right w:val="none" w:sz="0" w:space="0" w:color="auto"/>
      </w:divBdr>
    </w:div>
    <w:div w:id="2075811339">
      <w:bodyDiv w:val="1"/>
      <w:marLeft w:val="0"/>
      <w:marRight w:val="0"/>
      <w:marTop w:val="0"/>
      <w:marBottom w:val="0"/>
      <w:divBdr>
        <w:top w:val="none" w:sz="0" w:space="0" w:color="auto"/>
        <w:left w:val="none" w:sz="0" w:space="0" w:color="auto"/>
        <w:bottom w:val="none" w:sz="0" w:space="0" w:color="auto"/>
        <w:right w:val="none" w:sz="0" w:space="0" w:color="auto"/>
      </w:divBdr>
    </w:div>
    <w:div w:id="2081515943">
      <w:bodyDiv w:val="1"/>
      <w:marLeft w:val="0"/>
      <w:marRight w:val="0"/>
      <w:marTop w:val="0"/>
      <w:marBottom w:val="0"/>
      <w:divBdr>
        <w:top w:val="none" w:sz="0" w:space="0" w:color="auto"/>
        <w:left w:val="none" w:sz="0" w:space="0" w:color="auto"/>
        <w:bottom w:val="none" w:sz="0" w:space="0" w:color="auto"/>
        <w:right w:val="none" w:sz="0" w:space="0" w:color="auto"/>
      </w:divBdr>
    </w:div>
    <w:div w:id="2084255427">
      <w:bodyDiv w:val="1"/>
      <w:marLeft w:val="0"/>
      <w:marRight w:val="0"/>
      <w:marTop w:val="0"/>
      <w:marBottom w:val="0"/>
      <w:divBdr>
        <w:top w:val="none" w:sz="0" w:space="0" w:color="auto"/>
        <w:left w:val="none" w:sz="0" w:space="0" w:color="auto"/>
        <w:bottom w:val="none" w:sz="0" w:space="0" w:color="auto"/>
        <w:right w:val="none" w:sz="0" w:space="0" w:color="auto"/>
      </w:divBdr>
    </w:div>
    <w:div w:id="2087069896">
      <w:bodyDiv w:val="1"/>
      <w:marLeft w:val="0"/>
      <w:marRight w:val="0"/>
      <w:marTop w:val="0"/>
      <w:marBottom w:val="0"/>
      <w:divBdr>
        <w:top w:val="none" w:sz="0" w:space="0" w:color="auto"/>
        <w:left w:val="none" w:sz="0" w:space="0" w:color="auto"/>
        <w:bottom w:val="none" w:sz="0" w:space="0" w:color="auto"/>
        <w:right w:val="none" w:sz="0" w:space="0" w:color="auto"/>
      </w:divBdr>
    </w:div>
    <w:div w:id="2089644101">
      <w:bodyDiv w:val="1"/>
      <w:marLeft w:val="0"/>
      <w:marRight w:val="0"/>
      <w:marTop w:val="0"/>
      <w:marBottom w:val="0"/>
      <w:divBdr>
        <w:top w:val="none" w:sz="0" w:space="0" w:color="auto"/>
        <w:left w:val="none" w:sz="0" w:space="0" w:color="auto"/>
        <w:bottom w:val="none" w:sz="0" w:space="0" w:color="auto"/>
        <w:right w:val="none" w:sz="0" w:space="0" w:color="auto"/>
      </w:divBdr>
    </w:div>
    <w:div w:id="2090343284">
      <w:bodyDiv w:val="1"/>
      <w:marLeft w:val="0"/>
      <w:marRight w:val="0"/>
      <w:marTop w:val="0"/>
      <w:marBottom w:val="0"/>
      <w:divBdr>
        <w:top w:val="none" w:sz="0" w:space="0" w:color="auto"/>
        <w:left w:val="none" w:sz="0" w:space="0" w:color="auto"/>
        <w:bottom w:val="none" w:sz="0" w:space="0" w:color="auto"/>
        <w:right w:val="none" w:sz="0" w:space="0" w:color="auto"/>
      </w:divBdr>
    </w:div>
    <w:div w:id="2090689124">
      <w:bodyDiv w:val="1"/>
      <w:marLeft w:val="0"/>
      <w:marRight w:val="0"/>
      <w:marTop w:val="0"/>
      <w:marBottom w:val="0"/>
      <w:divBdr>
        <w:top w:val="none" w:sz="0" w:space="0" w:color="auto"/>
        <w:left w:val="none" w:sz="0" w:space="0" w:color="auto"/>
        <w:bottom w:val="none" w:sz="0" w:space="0" w:color="auto"/>
        <w:right w:val="none" w:sz="0" w:space="0" w:color="auto"/>
      </w:divBdr>
    </w:div>
    <w:div w:id="2091267444">
      <w:bodyDiv w:val="1"/>
      <w:marLeft w:val="0"/>
      <w:marRight w:val="0"/>
      <w:marTop w:val="0"/>
      <w:marBottom w:val="0"/>
      <w:divBdr>
        <w:top w:val="none" w:sz="0" w:space="0" w:color="auto"/>
        <w:left w:val="none" w:sz="0" w:space="0" w:color="auto"/>
        <w:bottom w:val="none" w:sz="0" w:space="0" w:color="auto"/>
        <w:right w:val="none" w:sz="0" w:space="0" w:color="auto"/>
      </w:divBdr>
    </w:div>
    <w:div w:id="2091416005">
      <w:bodyDiv w:val="1"/>
      <w:marLeft w:val="0"/>
      <w:marRight w:val="0"/>
      <w:marTop w:val="0"/>
      <w:marBottom w:val="0"/>
      <w:divBdr>
        <w:top w:val="none" w:sz="0" w:space="0" w:color="auto"/>
        <w:left w:val="none" w:sz="0" w:space="0" w:color="auto"/>
        <w:bottom w:val="none" w:sz="0" w:space="0" w:color="auto"/>
        <w:right w:val="none" w:sz="0" w:space="0" w:color="auto"/>
      </w:divBdr>
    </w:div>
    <w:div w:id="2092123249">
      <w:bodyDiv w:val="1"/>
      <w:marLeft w:val="0"/>
      <w:marRight w:val="0"/>
      <w:marTop w:val="0"/>
      <w:marBottom w:val="0"/>
      <w:divBdr>
        <w:top w:val="none" w:sz="0" w:space="0" w:color="auto"/>
        <w:left w:val="none" w:sz="0" w:space="0" w:color="auto"/>
        <w:bottom w:val="none" w:sz="0" w:space="0" w:color="auto"/>
        <w:right w:val="none" w:sz="0" w:space="0" w:color="auto"/>
      </w:divBdr>
    </w:div>
    <w:div w:id="2092388194">
      <w:bodyDiv w:val="1"/>
      <w:marLeft w:val="0"/>
      <w:marRight w:val="0"/>
      <w:marTop w:val="0"/>
      <w:marBottom w:val="0"/>
      <w:divBdr>
        <w:top w:val="none" w:sz="0" w:space="0" w:color="auto"/>
        <w:left w:val="none" w:sz="0" w:space="0" w:color="auto"/>
        <w:bottom w:val="none" w:sz="0" w:space="0" w:color="auto"/>
        <w:right w:val="none" w:sz="0" w:space="0" w:color="auto"/>
      </w:divBdr>
    </w:div>
    <w:div w:id="2093351650">
      <w:bodyDiv w:val="1"/>
      <w:marLeft w:val="0"/>
      <w:marRight w:val="0"/>
      <w:marTop w:val="0"/>
      <w:marBottom w:val="0"/>
      <w:divBdr>
        <w:top w:val="none" w:sz="0" w:space="0" w:color="auto"/>
        <w:left w:val="none" w:sz="0" w:space="0" w:color="auto"/>
        <w:bottom w:val="none" w:sz="0" w:space="0" w:color="auto"/>
        <w:right w:val="none" w:sz="0" w:space="0" w:color="auto"/>
      </w:divBdr>
    </w:div>
    <w:div w:id="2094929014">
      <w:bodyDiv w:val="1"/>
      <w:marLeft w:val="0"/>
      <w:marRight w:val="0"/>
      <w:marTop w:val="0"/>
      <w:marBottom w:val="0"/>
      <w:divBdr>
        <w:top w:val="none" w:sz="0" w:space="0" w:color="auto"/>
        <w:left w:val="none" w:sz="0" w:space="0" w:color="auto"/>
        <w:bottom w:val="none" w:sz="0" w:space="0" w:color="auto"/>
        <w:right w:val="none" w:sz="0" w:space="0" w:color="auto"/>
      </w:divBdr>
    </w:div>
    <w:div w:id="2096590482">
      <w:bodyDiv w:val="1"/>
      <w:marLeft w:val="0"/>
      <w:marRight w:val="0"/>
      <w:marTop w:val="0"/>
      <w:marBottom w:val="0"/>
      <w:divBdr>
        <w:top w:val="none" w:sz="0" w:space="0" w:color="auto"/>
        <w:left w:val="none" w:sz="0" w:space="0" w:color="auto"/>
        <w:bottom w:val="none" w:sz="0" w:space="0" w:color="auto"/>
        <w:right w:val="none" w:sz="0" w:space="0" w:color="auto"/>
      </w:divBdr>
    </w:div>
    <w:div w:id="2099129449">
      <w:bodyDiv w:val="1"/>
      <w:marLeft w:val="0"/>
      <w:marRight w:val="0"/>
      <w:marTop w:val="0"/>
      <w:marBottom w:val="0"/>
      <w:divBdr>
        <w:top w:val="none" w:sz="0" w:space="0" w:color="auto"/>
        <w:left w:val="none" w:sz="0" w:space="0" w:color="auto"/>
        <w:bottom w:val="none" w:sz="0" w:space="0" w:color="auto"/>
        <w:right w:val="none" w:sz="0" w:space="0" w:color="auto"/>
      </w:divBdr>
    </w:div>
    <w:div w:id="2099667146">
      <w:bodyDiv w:val="1"/>
      <w:marLeft w:val="0"/>
      <w:marRight w:val="0"/>
      <w:marTop w:val="0"/>
      <w:marBottom w:val="0"/>
      <w:divBdr>
        <w:top w:val="none" w:sz="0" w:space="0" w:color="auto"/>
        <w:left w:val="none" w:sz="0" w:space="0" w:color="auto"/>
        <w:bottom w:val="none" w:sz="0" w:space="0" w:color="auto"/>
        <w:right w:val="none" w:sz="0" w:space="0" w:color="auto"/>
      </w:divBdr>
    </w:div>
    <w:div w:id="2100101984">
      <w:bodyDiv w:val="1"/>
      <w:marLeft w:val="0"/>
      <w:marRight w:val="0"/>
      <w:marTop w:val="0"/>
      <w:marBottom w:val="0"/>
      <w:divBdr>
        <w:top w:val="none" w:sz="0" w:space="0" w:color="auto"/>
        <w:left w:val="none" w:sz="0" w:space="0" w:color="auto"/>
        <w:bottom w:val="none" w:sz="0" w:space="0" w:color="auto"/>
        <w:right w:val="none" w:sz="0" w:space="0" w:color="auto"/>
      </w:divBdr>
    </w:div>
    <w:div w:id="2106730367">
      <w:bodyDiv w:val="1"/>
      <w:marLeft w:val="0"/>
      <w:marRight w:val="0"/>
      <w:marTop w:val="0"/>
      <w:marBottom w:val="0"/>
      <w:divBdr>
        <w:top w:val="none" w:sz="0" w:space="0" w:color="auto"/>
        <w:left w:val="none" w:sz="0" w:space="0" w:color="auto"/>
        <w:bottom w:val="none" w:sz="0" w:space="0" w:color="auto"/>
        <w:right w:val="none" w:sz="0" w:space="0" w:color="auto"/>
      </w:divBdr>
    </w:div>
    <w:div w:id="2108186519">
      <w:bodyDiv w:val="1"/>
      <w:marLeft w:val="0"/>
      <w:marRight w:val="0"/>
      <w:marTop w:val="0"/>
      <w:marBottom w:val="0"/>
      <w:divBdr>
        <w:top w:val="none" w:sz="0" w:space="0" w:color="auto"/>
        <w:left w:val="none" w:sz="0" w:space="0" w:color="auto"/>
        <w:bottom w:val="none" w:sz="0" w:space="0" w:color="auto"/>
        <w:right w:val="none" w:sz="0" w:space="0" w:color="auto"/>
      </w:divBdr>
    </w:div>
    <w:div w:id="2109235360">
      <w:bodyDiv w:val="1"/>
      <w:marLeft w:val="0"/>
      <w:marRight w:val="0"/>
      <w:marTop w:val="0"/>
      <w:marBottom w:val="0"/>
      <w:divBdr>
        <w:top w:val="none" w:sz="0" w:space="0" w:color="auto"/>
        <w:left w:val="none" w:sz="0" w:space="0" w:color="auto"/>
        <w:bottom w:val="none" w:sz="0" w:space="0" w:color="auto"/>
        <w:right w:val="none" w:sz="0" w:space="0" w:color="auto"/>
      </w:divBdr>
    </w:div>
    <w:div w:id="2109570688">
      <w:bodyDiv w:val="1"/>
      <w:marLeft w:val="0"/>
      <w:marRight w:val="0"/>
      <w:marTop w:val="0"/>
      <w:marBottom w:val="0"/>
      <w:divBdr>
        <w:top w:val="none" w:sz="0" w:space="0" w:color="auto"/>
        <w:left w:val="none" w:sz="0" w:space="0" w:color="auto"/>
        <w:bottom w:val="none" w:sz="0" w:space="0" w:color="auto"/>
        <w:right w:val="none" w:sz="0" w:space="0" w:color="auto"/>
      </w:divBdr>
    </w:div>
    <w:div w:id="2110656127">
      <w:bodyDiv w:val="1"/>
      <w:marLeft w:val="0"/>
      <w:marRight w:val="0"/>
      <w:marTop w:val="0"/>
      <w:marBottom w:val="0"/>
      <w:divBdr>
        <w:top w:val="none" w:sz="0" w:space="0" w:color="auto"/>
        <w:left w:val="none" w:sz="0" w:space="0" w:color="auto"/>
        <w:bottom w:val="none" w:sz="0" w:space="0" w:color="auto"/>
        <w:right w:val="none" w:sz="0" w:space="0" w:color="auto"/>
      </w:divBdr>
    </w:div>
    <w:div w:id="2110732636">
      <w:bodyDiv w:val="1"/>
      <w:marLeft w:val="0"/>
      <w:marRight w:val="0"/>
      <w:marTop w:val="0"/>
      <w:marBottom w:val="0"/>
      <w:divBdr>
        <w:top w:val="none" w:sz="0" w:space="0" w:color="auto"/>
        <w:left w:val="none" w:sz="0" w:space="0" w:color="auto"/>
        <w:bottom w:val="none" w:sz="0" w:space="0" w:color="auto"/>
        <w:right w:val="none" w:sz="0" w:space="0" w:color="auto"/>
      </w:divBdr>
    </w:div>
    <w:div w:id="2113208901">
      <w:bodyDiv w:val="1"/>
      <w:marLeft w:val="0"/>
      <w:marRight w:val="0"/>
      <w:marTop w:val="0"/>
      <w:marBottom w:val="0"/>
      <w:divBdr>
        <w:top w:val="none" w:sz="0" w:space="0" w:color="auto"/>
        <w:left w:val="none" w:sz="0" w:space="0" w:color="auto"/>
        <w:bottom w:val="none" w:sz="0" w:space="0" w:color="auto"/>
        <w:right w:val="none" w:sz="0" w:space="0" w:color="auto"/>
      </w:divBdr>
    </w:div>
    <w:div w:id="2115243594">
      <w:bodyDiv w:val="1"/>
      <w:marLeft w:val="0"/>
      <w:marRight w:val="0"/>
      <w:marTop w:val="0"/>
      <w:marBottom w:val="0"/>
      <w:divBdr>
        <w:top w:val="none" w:sz="0" w:space="0" w:color="auto"/>
        <w:left w:val="none" w:sz="0" w:space="0" w:color="auto"/>
        <w:bottom w:val="none" w:sz="0" w:space="0" w:color="auto"/>
        <w:right w:val="none" w:sz="0" w:space="0" w:color="auto"/>
      </w:divBdr>
    </w:div>
    <w:div w:id="2120098285">
      <w:bodyDiv w:val="1"/>
      <w:marLeft w:val="0"/>
      <w:marRight w:val="0"/>
      <w:marTop w:val="0"/>
      <w:marBottom w:val="0"/>
      <w:divBdr>
        <w:top w:val="none" w:sz="0" w:space="0" w:color="auto"/>
        <w:left w:val="none" w:sz="0" w:space="0" w:color="auto"/>
        <w:bottom w:val="none" w:sz="0" w:space="0" w:color="auto"/>
        <w:right w:val="none" w:sz="0" w:space="0" w:color="auto"/>
      </w:divBdr>
    </w:div>
    <w:div w:id="2120877776">
      <w:bodyDiv w:val="1"/>
      <w:marLeft w:val="0"/>
      <w:marRight w:val="0"/>
      <w:marTop w:val="0"/>
      <w:marBottom w:val="0"/>
      <w:divBdr>
        <w:top w:val="none" w:sz="0" w:space="0" w:color="auto"/>
        <w:left w:val="none" w:sz="0" w:space="0" w:color="auto"/>
        <w:bottom w:val="none" w:sz="0" w:space="0" w:color="auto"/>
        <w:right w:val="none" w:sz="0" w:space="0" w:color="auto"/>
      </w:divBdr>
    </w:div>
    <w:div w:id="2121414190">
      <w:bodyDiv w:val="1"/>
      <w:marLeft w:val="0"/>
      <w:marRight w:val="0"/>
      <w:marTop w:val="0"/>
      <w:marBottom w:val="0"/>
      <w:divBdr>
        <w:top w:val="none" w:sz="0" w:space="0" w:color="auto"/>
        <w:left w:val="none" w:sz="0" w:space="0" w:color="auto"/>
        <w:bottom w:val="none" w:sz="0" w:space="0" w:color="auto"/>
        <w:right w:val="none" w:sz="0" w:space="0" w:color="auto"/>
      </w:divBdr>
    </w:div>
    <w:div w:id="2121684923">
      <w:bodyDiv w:val="1"/>
      <w:marLeft w:val="0"/>
      <w:marRight w:val="0"/>
      <w:marTop w:val="0"/>
      <w:marBottom w:val="0"/>
      <w:divBdr>
        <w:top w:val="none" w:sz="0" w:space="0" w:color="auto"/>
        <w:left w:val="none" w:sz="0" w:space="0" w:color="auto"/>
        <w:bottom w:val="none" w:sz="0" w:space="0" w:color="auto"/>
        <w:right w:val="none" w:sz="0" w:space="0" w:color="auto"/>
      </w:divBdr>
    </w:div>
    <w:div w:id="2127309552">
      <w:bodyDiv w:val="1"/>
      <w:marLeft w:val="0"/>
      <w:marRight w:val="0"/>
      <w:marTop w:val="0"/>
      <w:marBottom w:val="0"/>
      <w:divBdr>
        <w:top w:val="none" w:sz="0" w:space="0" w:color="auto"/>
        <w:left w:val="none" w:sz="0" w:space="0" w:color="auto"/>
        <w:bottom w:val="none" w:sz="0" w:space="0" w:color="auto"/>
        <w:right w:val="none" w:sz="0" w:space="0" w:color="auto"/>
      </w:divBdr>
    </w:div>
    <w:div w:id="2130934803">
      <w:bodyDiv w:val="1"/>
      <w:marLeft w:val="0"/>
      <w:marRight w:val="0"/>
      <w:marTop w:val="0"/>
      <w:marBottom w:val="0"/>
      <w:divBdr>
        <w:top w:val="none" w:sz="0" w:space="0" w:color="auto"/>
        <w:left w:val="none" w:sz="0" w:space="0" w:color="auto"/>
        <w:bottom w:val="none" w:sz="0" w:space="0" w:color="auto"/>
        <w:right w:val="none" w:sz="0" w:space="0" w:color="auto"/>
      </w:divBdr>
    </w:div>
    <w:div w:id="2131313962">
      <w:bodyDiv w:val="1"/>
      <w:marLeft w:val="0"/>
      <w:marRight w:val="0"/>
      <w:marTop w:val="0"/>
      <w:marBottom w:val="0"/>
      <w:divBdr>
        <w:top w:val="none" w:sz="0" w:space="0" w:color="auto"/>
        <w:left w:val="none" w:sz="0" w:space="0" w:color="auto"/>
        <w:bottom w:val="none" w:sz="0" w:space="0" w:color="auto"/>
        <w:right w:val="none" w:sz="0" w:space="0" w:color="auto"/>
      </w:divBdr>
    </w:div>
    <w:div w:id="2131506443">
      <w:bodyDiv w:val="1"/>
      <w:marLeft w:val="0"/>
      <w:marRight w:val="0"/>
      <w:marTop w:val="0"/>
      <w:marBottom w:val="0"/>
      <w:divBdr>
        <w:top w:val="none" w:sz="0" w:space="0" w:color="auto"/>
        <w:left w:val="none" w:sz="0" w:space="0" w:color="auto"/>
        <w:bottom w:val="none" w:sz="0" w:space="0" w:color="auto"/>
        <w:right w:val="none" w:sz="0" w:space="0" w:color="auto"/>
      </w:divBdr>
    </w:div>
    <w:div w:id="2131775800">
      <w:bodyDiv w:val="1"/>
      <w:marLeft w:val="0"/>
      <w:marRight w:val="0"/>
      <w:marTop w:val="0"/>
      <w:marBottom w:val="0"/>
      <w:divBdr>
        <w:top w:val="none" w:sz="0" w:space="0" w:color="auto"/>
        <w:left w:val="none" w:sz="0" w:space="0" w:color="auto"/>
        <w:bottom w:val="none" w:sz="0" w:space="0" w:color="auto"/>
        <w:right w:val="none" w:sz="0" w:space="0" w:color="auto"/>
      </w:divBdr>
    </w:div>
    <w:div w:id="2137485616">
      <w:bodyDiv w:val="1"/>
      <w:marLeft w:val="0"/>
      <w:marRight w:val="0"/>
      <w:marTop w:val="0"/>
      <w:marBottom w:val="0"/>
      <w:divBdr>
        <w:top w:val="none" w:sz="0" w:space="0" w:color="auto"/>
        <w:left w:val="none" w:sz="0" w:space="0" w:color="auto"/>
        <w:bottom w:val="none" w:sz="0" w:space="0" w:color="auto"/>
        <w:right w:val="none" w:sz="0" w:space="0" w:color="auto"/>
      </w:divBdr>
    </w:div>
    <w:div w:id="2138647224">
      <w:bodyDiv w:val="1"/>
      <w:marLeft w:val="0"/>
      <w:marRight w:val="0"/>
      <w:marTop w:val="0"/>
      <w:marBottom w:val="0"/>
      <w:divBdr>
        <w:top w:val="none" w:sz="0" w:space="0" w:color="auto"/>
        <w:left w:val="none" w:sz="0" w:space="0" w:color="auto"/>
        <w:bottom w:val="none" w:sz="0" w:space="0" w:color="auto"/>
        <w:right w:val="none" w:sz="0" w:space="0" w:color="auto"/>
      </w:divBdr>
    </w:div>
    <w:div w:id="2138797470">
      <w:bodyDiv w:val="1"/>
      <w:marLeft w:val="0"/>
      <w:marRight w:val="0"/>
      <w:marTop w:val="0"/>
      <w:marBottom w:val="0"/>
      <w:divBdr>
        <w:top w:val="none" w:sz="0" w:space="0" w:color="auto"/>
        <w:left w:val="none" w:sz="0" w:space="0" w:color="auto"/>
        <w:bottom w:val="none" w:sz="0" w:space="0" w:color="auto"/>
        <w:right w:val="none" w:sz="0" w:space="0" w:color="auto"/>
      </w:divBdr>
    </w:div>
    <w:div w:id="2140099851">
      <w:bodyDiv w:val="1"/>
      <w:marLeft w:val="0"/>
      <w:marRight w:val="0"/>
      <w:marTop w:val="0"/>
      <w:marBottom w:val="0"/>
      <w:divBdr>
        <w:top w:val="none" w:sz="0" w:space="0" w:color="auto"/>
        <w:left w:val="none" w:sz="0" w:space="0" w:color="auto"/>
        <w:bottom w:val="none" w:sz="0" w:space="0" w:color="auto"/>
        <w:right w:val="none" w:sz="0" w:space="0" w:color="auto"/>
      </w:divBdr>
    </w:div>
    <w:div w:id="2141024555">
      <w:bodyDiv w:val="1"/>
      <w:marLeft w:val="0"/>
      <w:marRight w:val="0"/>
      <w:marTop w:val="0"/>
      <w:marBottom w:val="0"/>
      <w:divBdr>
        <w:top w:val="none" w:sz="0" w:space="0" w:color="auto"/>
        <w:left w:val="none" w:sz="0" w:space="0" w:color="auto"/>
        <w:bottom w:val="none" w:sz="0" w:space="0" w:color="auto"/>
        <w:right w:val="none" w:sz="0" w:space="0" w:color="auto"/>
      </w:divBdr>
    </w:div>
    <w:div w:id="2141460125">
      <w:bodyDiv w:val="1"/>
      <w:marLeft w:val="0"/>
      <w:marRight w:val="0"/>
      <w:marTop w:val="0"/>
      <w:marBottom w:val="0"/>
      <w:divBdr>
        <w:top w:val="none" w:sz="0" w:space="0" w:color="auto"/>
        <w:left w:val="none" w:sz="0" w:space="0" w:color="auto"/>
        <w:bottom w:val="none" w:sz="0" w:space="0" w:color="auto"/>
        <w:right w:val="none" w:sz="0" w:space="0" w:color="auto"/>
      </w:divBdr>
    </w:div>
    <w:div w:id="2141848375">
      <w:bodyDiv w:val="1"/>
      <w:marLeft w:val="0"/>
      <w:marRight w:val="0"/>
      <w:marTop w:val="0"/>
      <w:marBottom w:val="0"/>
      <w:divBdr>
        <w:top w:val="none" w:sz="0" w:space="0" w:color="auto"/>
        <w:left w:val="none" w:sz="0" w:space="0" w:color="auto"/>
        <w:bottom w:val="none" w:sz="0" w:space="0" w:color="auto"/>
        <w:right w:val="none" w:sz="0" w:space="0" w:color="auto"/>
      </w:divBdr>
    </w:div>
    <w:div w:id="2141991163">
      <w:bodyDiv w:val="1"/>
      <w:marLeft w:val="0"/>
      <w:marRight w:val="0"/>
      <w:marTop w:val="0"/>
      <w:marBottom w:val="0"/>
      <w:divBdr>
        <w:top w:val="none" w:sz="0" w:space="0" w:color="auto"/>
        <w:left w:val="none" w:sz="0" w:space="0" w:color="auto"/>
        <w:bottom w:val="none" w:sz="0" w:space="0" w:color="auto"/>
        <w:right w:val="none" w:sz="0" w:space="0" w:color="auto"/>
      </w:divBdr>
    </w:div>
    <w:div w:id="2142914926">
      <w:bodyDiv w:val="1"/>
      <w:marLeft w:val="0"/>
      <w:marRight w:val="0"/>
      <w:marTop w:val="0"/>
      <w:marBottom w:val="0"/>
      <w:divBdr>
        <w:top w:val="none" w:sz="0" w:space="0" w:color="auto"/>
        <w:left w:val="none" w:sz="0" w:space="0" w:color="auto"/>
        <w:bottom w:val="none" w:sz="0" w:space="0" w:color="auto"/>
        <w:right w:val="none" w:sz="0" w:space="0" w:color="auto"/>
      </w:divBdr>
    </w:div>
    <w:div w:id="2144888445">
      <w:bodyDiv w:val="1"/>
      <w:marLeft w:val="0"/>
      <w:marRight w:val="0"/>
      <w:marTop w:val="0"/>
      <w:marBottom w:val="0"/>
      <w:divBdr>
        <w:top w:val="none" w:sz="0" w:space="0" w:color="auto"/>
        <w:left w:val="none" w:sz="0" w:space="0" w:color="auto"/>
        <w:bottom w:val="none" w:sz="0" w:space="0" w:color="auto"/>
        <w:right w:val="none" w:sz="0" w:space="0" w:color="auto"/>
      </w:divBdr>
    </w:div>
    <w:div w:id="2145538112">
      <w:bodyDiv w:val="1"/>
      <w:marLeft w:val="0"/>
      <w:marRight w:val="0"/>
      <w:marTop w:val="0"/>
      <w:marBottom w:val="0"/>
      <w:divBdr>
        <w:top w:val="none" w:sz="0" w:space="0" w:color="auto"/>
        <w:left w:val="none" w:sz="0" w:space="0" w:color="auto"/>
        <w:bottom w:val="none" w:sz="0" w:space="0" w:color="auto"/>
        <w:right w:val="none" w:sz="0" w:space="0" w:color="auto"/>
      </w:divBdr>
    </w:div>
    <w:div w:id="214731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wikisource.org/wiki/%D7%A9%D7%95%D7%9C%D7%97%D7%9F_%D7%A2%D7%A8%D7%95%D7%9A_%D7%90%D7%91%D7%9F_%D7%94%D7%A2%D7%96%D7%A8_%D7%A0%D7%94" TargetMode="External"/><Relationship Id="rId299" Type="http://schemas.openxmlformats.org/officeDocument/2006/relationships/hyperlink" Target="https://he.wikisource.org/wiki/%D7%A9%D7%95%D7%9C%D7%97%D7%9F_%D7%A2%D7%A8%D7%95%D7%9A_%D7%90%D7%91%D7%9F_%D7%94%D7%A2%D7%96%D7%A8_%D7%A7%D7%A0%D7%93_%D7%98" TargetMode="External"/><Relationship Id="rId21" Type="http://schemas.openxmlformats.org/officeDocument/2006/relationships/hyperlink" Target="https://he.wikisource.org/wiki/%D7%A9%D7%95%D7%9C%D7%97%D7%9F_%D7%A2%D7%A8%D7%95%D7%9A_%D7%99%D7%95%D7%A8%D7%94_%D7%93%D7%A2%D7%94_%D7%A8%D7%A6%D7%93" TargetMode="External"/><Relationship Id="rId63" Type="http://schemas.openxmlformats.org/officeDocument/2006/relationships/hyperlink" Target="https://he.wikisource.org/wiki/%D7%AA%D7%A8%D7%95%D7%9E%D7%AA_%D7%94%D7%93%D7%A9%D7%9F/%D7%90/%D7%A8%D7%9E%D7%92" TargetMode="External"/><Relationship Id="rId159" Type="http://schemas.openxmlformats.org/officeDocument/2006/relationships/hyperlink" Target="https://he.wikisource.org/wiki/%D7%A9%D7%95%D7%9C%D7%97%D7%9F_%D7%A2%D7%A8%D7%95%D7%9A_%D7%99%D7%95%D7%A8%D7%94_%D7%93%D7%A2%D7%94_%D7%A8%D7%9E%D7%98" TargetMode="External"/><Relationship Id="rId170" Type="http://schemas.openxmlformats.org/officeDocument/2006/relationships/hyperlink" Target="https://he.wikisource.org/wiki/%D7%A9%D7%95%D7%9C%D7%97%D7%9F_%D7%A2%D7%A8%D7%95%D7%9A_%D7%97%D7%95%D7%A9%D7%9F_%D7%9E%D7%A9%D7%A4%D7%98_%D7%A8%D7%A6" TargetMode="External"/><Relationship Id="rId226" Type="http://schemas.openxmlformats.org/officeDocument/2006/relationships/hyperlink" Target="https://he.wikisource.org/wiki/%D7%AA%D7%A9%D7%95%D7%91%D7%95%D7%AA_%D7%A8%D7%99%D7%91%22%D7%A9/%D7%A8%D7%A6%D7%98" TargetMode="External"/><Relationship Id="rId268" Type="http://schemas.openxmlformats.org/officeDocument/2006/relationships/hyperlink" Target="https://he.wikisource.org/wiki/%D7%A9%D7%95%D7%9C%D7%97%D7%9F_%D7%A2%D7%A8%D7%95%D7%9A_%D7%99%D7%95%D7%A8%D7%94_%D7%93%D7%A2%D7%94_%D7%A8%D7%A1%D7%93" TargetMode="External"/><Relationship Id="rId32" Type="http://schemas.openxmlformats.org/officeDocument/2006/relationships/hyperlink" Target="https://he.wikisource.org/wiki/%D7%A9%D7%95%D7%9C%D7%97%D7%9F_%D7%A2%D7%A8%D7%95%D7%9A_%D7%90%D7%91%D7%9F_%D7%94%D7%A2%D7%96%D7%A8_%D7%A7" TargetMode="External"/><Relationship Id="rId74" Type="http://schemas.openxmlformats.org/officeDocument/2006/relationships/hyperlink" Target="https://he.wikisource.org/wiki/%D7%A9%D7%95%D7%9C%D7%97%D7%9F_%D7%A2%D7%A8%D7%95%D7%9A_%D7%97%D7%95%D7%A9%D7%9F_%D7%9E%D7%A9%D7%A4%D7%98_%D7%A8%D7%9C%D7%94" TargetMode="External"/><Relationship Id="rId128" Type="http://schemas.openxmlformats.org/officeDocument/2006/relationships/hyperlink" Target="https://he.wikisource.org/wiki/%D7%AA%D7%A8%D7%95%D7%9E%D7%AA_%D7%94%D7%93%D7%A9%D7%9F/%D7%90/%D7%A8%D7%98%D7%96" TargetMode="External"/><Relationship Id="rId5" Type="http://schemas.openxmlformats.org/officeDocument/2006/relationships/webSettings" Target="webSettings.xml"/><Relationship Id="rId181" Type="http://schemas.openxmlformats.org/officeDocument/2006/relationships/hyperlink" Target="https://he.wikisource.org/wiki/%D7%91%D7%A8%D7%90%D7%A9%D7%99%D7%AA_%D7%9E%D7%92_%D7%9C%D7%93" TargetMode="External"/><Relationship Id="rId237" Type="http://schemas.openxmlformats.org/officeDocument/2006/relationships/hyperlink" Target="https://he.wikisource.org/wiki/%D7%A9%D7%95%D7%9C%D7%97%D7%9F_%D7%A2%D7%A8%D7%95%D7%9A_%D7%97%D7%95%D7%A9%D7%9F_%D7%9E%D7%A9%D7%A4%D7%98_%D7%A4%D7%91" TargetMode="External"/><Relationship Id="rId279" Type="http://schemas.openxmlformats.org/officeDocument/2006/relationships/hyperlink" Target="https://he.wikisource.org/wiki/%D7%A9%D7%95%D7%9C%D7%97%D7%9F_%D7%A2%D7%A8%D7%95%D7%9A_%D7%97%D7%95%D7%A9%D7%9F_%D7%9E%D7%A9%D7%A4%D7%98_%D7%9C%D7%93" TargetMode="External"/><Relationship Id="rId43" Type="http://schemas.openxmlformats.org/officeDocument/2006/relationships/hyperlink" Target="https://he.wikisource.org/wiki/%D7%A9%D7%95%D7%9C%D7%97%D7%9F_%D7%A2%D7%A8%D7%95%D7%9A_%D7%97%D7%95%D7%A9%D7%9F_%D7%9E%D7%A9%D7%A4%D7%98_%D7%9E%D7%95" TargetMode="External"/><Relationship Id="rId139" Type="http://schemas.openxmlformats.org/officeDocument/2006/relationships/hyperlink" Target="https://he.wikisource.org/wiki/%D7%A9%D7%95%D7%9C%D7%97%D7%9F_%D7%A2%D7%A8%D7%95%D7%9A_%D7%90%D7%91%D7%9F_%D7%94%D7%A2%D7%96%D7%A8_%D7%A1%D7%98" TargetMode="External"/><Relationship Id="rId290" Type="http://schemas.openxmlformats.org/officeDocument/2006/relationships/hyperlink" Target="https://he.wikisource.org/wiki/%D7%A9%D7%95%D7%9C%D7%97%D7%9F_%D7%A2%D7%A8%D7%95%D7%9A_%D7%97%D7%95%D7%A9%D7%9F_%D7%9E%D7%A9%D7%A4%D7%98_%D7%9E%D7%94" TargetMode="External"/><Relationship Id="rId85" Type="http://schemas.openxmlformats.org/officeDocument/2006/relationships/hyperlink" Target="https://he.wikipedia.org/wiki/%D7%9E%D7%99%D7%99%D7%A0%D7%A5" TargetMode="External"/><Relationship Id="rId150" Type="http://schemas.openxmlformats.org/officeDocument/2006/relationships/hyperlink" Target="https://he.wikisource.org/wiki/%D7%A9%D7%95%D7%9C%D7%97%D7%9F_%D7%A2%D7%A8%D7%95%D7%9A_%D7%90%D7%91%D7%9F_%D7%94%D7%A2%D7%96%D7%A8_%D7%A7" TargetMode="External"/><Relationship Id="rId192" Type="http://schemas.openxmlformats.org/officeDocument/2006/relationships/hyperlink" Target="https://he.wikisource.org/wiki/%D7%A9%D7%95%D7%9C%D7%97%D7%9F_%D7%A2%D7%A8%D7%95%D7%9A_%D7%90%D7%91%D7%9F_%D7%94%D7%A2%D7%96%D7%A8_%D7%A2%D7%96" TargetMode="External"/><Relationship Id="rId206" Type="http://schemas.openxmlformats.org/officeDocument/2006/relationships/hyperlink" Target="https://he.wikisource.org/wiki/%D7%AA%D7%A9%D7%95%D7%91%D7%95%D7%AA_%D7%A8%D7%99%D7%91%22%D7%A9/%D7%A1%D7%93" TargetMode="External"/><Relationship Id="rId248" Type="http://schemas.openxmlformats.org/officeDocument/2006/relationships/hyperlink" Target="https://he.wikisource.org/wiki/%D7%A9%D7%95%D7%9C%D7%97%D7%9F_%D7%A2%D7%A8%D7%95%D7%9A_%D7%97%D7%95%D7%A9%D7%9F_%D7%9E%D7%A9%D7%A4%D7%98_%D7%A7%D7%99%D7%90" TargetMode="External"/><Relationship Id="rId12" Type="http://schemas.openxmlformats.org/officeDocument/2006/relationships/hyperlink" Target="https://he.wikisource.org/wiki/%D7%A9%D7%95%D7%9C%D7%97%D7%9F_%D7%A2%D7%A8%D7%95%D7%9A_%D7%99%D7%95%D7%A8%D7%94_%D7%93%D7%A2%D7%94_%D7%A7%D7%A6%D7%91" TargetMode="External"/><Relationship Id="rId108" Type="http://schemas.openxmlformats.org/officeDocument/2006/relationships/hyperlink" Target="https://he.wikisource.org/wiki/%D7%AA%D7%A8%D7%95%D7%9E%D7%AA_%D7%94%D7%93%D7%A9%D7%9F/%D7%90/%D7%A8%D7%9E%D7%91" TargetMode="External"/><Relationship Id="rId54" Type="http://schemas.openxmlformats.org/officeDocument/2006/relationships/hyperlink" Target="https://he.wikisource.org/wiki/%D7%AA%D7%A9%D7%95%D7%91%D7%95%D7%AA_%D7%A8%D7%99%D7%91%22%D7%A9/%D7%A7%D7%A0%D7%96" TargetMode="External"/><Relationship Id="rId96" Type="http://schemas.openxmlformats.org/officeDocument/2006/relationships/hyperlink" Target="https://he.wikisource.org/wiki/%D7%98%D7%95%D7%A8_%D7%90%D7%91%D7%9F_%D7%94%D7%A2%D7%96%D7%A8_%D7%A2%D7%97" TargetMode="External"/><Relationship Id="rId161" Type="http://schemas.openxmlformats.org/officeDocument/2006/relationships/hyperlink" Target="https://he.wikisource.org/wiki/%D7%A9%D7%95%D7%9C%D7%97%D7%9F_%D7%A2%D7%A8%D7%95%D7%9A_%D7%97%D7%95%D7%A9%D7%9F_%D7%9E%D7%A9%D7%A4%D7%98_%D7%A8%D7%A0%D7%91" TargetMode="External"/><Relationship Id="rId217" Type="http://schemas.openxmlformats.org/officeDocument/2006/relationships/hyperlink" Target="https://he.wikisource.org/wiki/%D7%98%D7%95%D7%A8_%D7%97%D7%95%D7%A9%D7%9F_%D7%9E%D7%A9%D7%A4%D7%98_%D7%A4%D7%93" TargetMode="External"/><Relationship Id="rId6" Type="http://schemas.openxmlformats.org/officeDocument/2006/relationships/footnotes" Target="footnotes.xml"/><Relationship Id="rId238" Type="http://schemas.openxmlformats.org/officeDocument/2006/relationships/hyperlink" Target="https://he.wikisource.org/wiki/%D7%A9%D7%95%D7%9C%D7%97%D7%9F_%D7%A2%D7%A8%D7%95%D7%9A_%D7%97%D7%95%D7%A9%D7%9F_%D7%9E%D7%A9%D7%A4%D7%98_%D7%A4%D7%96" TargetMode="External"/><Relationship Id="rId259" Type="http://schemas.openxmlformats.org/officeDocument/2006/relationships/hyperlink" Target="https://he.wikisource.org/wiki/%D7%AA%D7%A9%D7%95%D7%91%D7%95%D7%AA_%D7%A8%D7%99%D7%91%22%D7%A9/%D7%A7%D7%96" TargetMode="External"/><Relationship Id="rId23" Type="http://schemas.openxmlformats.org/officeDocument/2006/relationships/hyperlink" Target="https://he.wikisource.org/wiki/%D7%A9%D7%95%D7%9C%D7%97%D7%9F_%D7%A2%D7%A8%D7%95%D7%9A_%D7%99%D7%95%D7%A8%D7%94_%D7%93%D7%A2%D7%94_%D7%A8%D7%A6%D7%93" TargetMode="External"/><Relationship Id="rId119" Type="http://schemas.openxmlformats.org/officeDocument/2006/relationships/hyperlink" Target="https://he.wikisource.org/wiki/%D7%A9%D7%95%D7%9C%D7%97%D7%9F_%D7%A2%D7%A8%D7%95%D7%9A_%D7%90%D7%91%D7%9F_%D7%94%D7%A2%D7%96%D7%A8_%D7%A0%D7%94" TargetMode="External"/><Relationship Id="rId270" Type="http://schemas.openxmlformats.org/officeDocument/2006/relationships/hyperlink" Target="https://he.wikisource.org/wiki/%D7%AA%D7%A9%D7%95%D7%91%D7%95%D7%AA_%D7%A8%D7%99%D7%91%22%D7%A9/%D7%A9%D7%9E%D7%94" TargetMode="External"/><Relationship Id="rId291" Type="http://schemas.openxmlformats.org/officeDocument/2006/relationships/hyperlink" Target="https://he.wikisource.org/wiki/%D7%AA%D7%A9%D7%95%D7%91%D7%95%D7%AA_%D7%A8%D7%99%D7%91%22%D7%A9/%D7%A4%D7%97" TargetMode="External"/><Relationship Id="rId44" Type="http://schemas.openxmlformats.org/officeDocument/2006/relationships/hyperlink" Target="https://he.wikisource.org/wiki/%D7%A9%D7%95%D7%9C%D7%97%D7%9F_%D7%A2%D7%A8%D7%95%D7%9A_%D7%97%D7%95%D7%A9%D7%9F_%D7%9E%D7%A9%D7%A4%D7%98_%D7%9B%D7%97" TargetMode="External"/><Relationship Id="rId65" Type="http://schemas.openxmlformats.org/officeDocument/2006/relationships/hyperlink" Target="https://he.wikisource.org/wiki/%D7%A9%D7%95%D7%9C%D7%97%D7%9F_%D7%A2%D7%A8%D7%95%D7%9A_%D7%90%D7%91%D7%9F_%D7%94%D7%A2%D7%96%D7%A8_%D7%91" TargetMode="External"/><Relationship Id="rId86" Type="http://schemas.openxmlformats.org/officeDocument/2006/relationships/hyperlink" Target="https://he.wikisource.org/wiki/%D7%A9%D7%95%D7%9C%D7%97%D7%9F_%D7%A2%D7%A8%D7%95%D7%9A_%D7%90%D7%91%D7%9F_%D7%94%D7%A2%D7%96%D7%A8_%D7%A7%D7%99%D7%97" TargetMode="External"/><Relationship Id="rId130" Type="http://schemas.openxmlformats.org/officeDocument/2006/relationships/hyperlink" Target="https://he.wikisource.org/wiki/%D7%AA%D7%A9%D7%95%D7%91%D7%95%D7%AA_%D7%A8%D7%99%D7%91%22%D7%A9/%D7%A8%D7%A4%D7%90" TargetMode="External"/><Relationship Id="rId151" Type="http://schemas.openxmlformats.org/officeDocument/2006/relationships/hyperlink" Target="https://he.wikisource.org/wiki/%D7%A9%D7%95%D7%9C%D7%97%D7%9F_%D7%A2%D7%A8%D7%95%D7%9A_%D7%90%D7%91%D7%9F_%D7%94%D7%A2%D7%96%D7%A8_%D7%A6%D7%92" TargetMode="External"/><Relationship Id="rId172" Type="http://schemas.openxmlformats.org/officeDocument/2006/relationships/hyperlink" Target="https://he.wikisource.org/wiki/%D7%98%D7%95%D7%A8_%D7%99%D7%95%D7%A8%D7%94_%D7%93%D7%A2%D7%94_%D7%A7%D7%A4%D7%94" TargetMode="External"/><Relationship Id="rId193" Type="http://schemas.openxmlformats.org/officeDocument/2006/relationships/hyperlink" Target="https://he.wikisource.org/wiki/%D7%A9%D7%95%D7%9C%D7%97%D7%9F_%D7%A2%D7%A8%D7%95%D7%9A_%D7%90%D7%91%D7%9F_%D7%94%D7%A2%D7%96%D7%A8_%D7%A7%D7%98%D7%95" TargetMode="External"/><Relationship Id="rId207" Type="http://schemas.openxmlformats.org/officeDocument/2006/relationships/hyperlink" Target="https://he.wikisource.org/wiki/%D7%AA%D7%A9%D7%95%D7%91%D7%95%D7%AA_%D7%A8%D7%99%D7%91%22%D7%A9/%D7%A7%D7%91" TargetMode="External"/><Relationship Id="rId228" Type="http://schemas.openxmlformats.org/officeDocument/2006/relationships/hyperlink" Target="https://he.wikisource.org/wiki/%D7%A9%D7%95%D7%9C%D7%97%D7%9F_%D7%A2%D7%A8%D7%95%D7%9A_%D7%97%D7%95%D7%A9%D7%9F_%D7%9E%D7%A9%D7%A4%D7%98_%D7%A8%D7%A2%D7%97" TargetMode="External"/><Relationship Id="rId249" Type="http://schemas.openxmlformats.org/officeDocument/2006/relationships/hyperlink" Target="https://he.wikisource.org/wiki/%D7%A9%D7%95%D7%9C%D7%97%D7%9F_%D7%A2%D7%A8%D7%95%D7%9A_%D7%97%D7%95%D7%A9%D7%9F_%D7%9E%D7%A9%D7%A4%D7%98_%D7%A7%D7%99%D7%90" TargetMode="External"/><Relationship Id="rId13" Type="http://schemas.openxmlformats.org/officeDocument/2006/relationships/hyperlink" Target="https://he.wikisource.org/wiki/%D7%A9%D7%95%D7%9C%D7%97%D7%9F_%D7%A2%D7%A8%D7%95%D7%9A_%D7%99%D7%95%D7%A8%D7%94_%D7%93%D7%A2%D7%94_%D7%A7%D7%A2%D7%98" TargetMode="External"/><Relationship Id="rId109" Type="http://schemas.openxmlformats.org/officeDocument/2006/relationships/hyperlink" Target="https://he.wikisource.org/wiki/%D7%A9%D7%95%D7%9C%D7%97%D7%9F_%D7%A2%D7%A8%D7%95%D7%9A_%D7%90%D7%91%D7%9F_%D7%94%D7%A2%D7%96%D7%A8_%D7%A7" TargetMode="External"/><Relationship Id="rId260" Type="http://schemas.openxmlformats.org/officeDocument/2006/relationships/hyperlink" Target="https://he.wikisource.org/wiki/%D7%AA%D7%A9%D7%95%D7%91%D7%95%D7%AA_%D7%A8%D7%99%D7%91%22%D7%A9/%D7%A9%D7%A1%D7%93" TargetMode="External"/><Relationship Id="rId281" Type="http://schemas.openxmlformats.org/officeDocument/2006/relationships/hyperlink" Target="https://he.wikisource.org/wiki/%D7%A9%D7%95%D7%9C%D7%97%D7%9F_%D7%A2%D7%A8%D7%95%D7%9A_%D7%97%D7%95%D7%A9%D7%9F_%D7%9E%D7%A9%D7%A4%D7%98_%D7%9C%D7%92" TargetMode="External"/><Relationship Id="rId34" Type="http://schemas.openxmlformats.org/officeDocument/2006/relationships/hyperlink" Target="https://he.wikisource.org/wiki/%D7%A9%D7%95%D7%9C%D7%97%D7%9F_%D7%A2%D7%A8%D7%95%D7%9A_%D7%90%D7%91%D7%9F_%D7%94%D7%A2%D7%96%D7%A8_%D7%A7" TargetMode="External"/><Relationship Id="rId55" Type="http://schemas.openxmlformats.org/officeDocument/2006/relationships/hyperlink" Target="https://he.wikisource.org/wiki/%D7%AA%D7%A9%D7%95%D7%91%D7%95%D7%AA_%D7%A8%D7%99%D7%91%22%D7%A9/%D7%A7%D7%A0%D7%96" TargetMode="External"/><Relationship Id="rId76" Type="http://schemas.openxmlformats.org/officeDocument/2006/relationships/hyperlink" Target="https://he.wikisource.org/wiki/%D7%A9%D7%95%D7%9C%D7%97%D7%9F_%D7%A2%D7%A8%D7%95%D7%9A_%D7%97%D7%95%D7%A9%D7%9F_%D7%9E%D7%A9%D7%A4%D7%98_%D7%91" TargetMode="External"/><Relationship Id="rId97" Type="http://schemas.openxmlformats.org/officeDocument/2006/relationships/hyperlink" Target="https://he.wikisource.org/wiki/%D7%AA%D7%A9%D7%95%D7%91%D7%95%D7%AA_%D7%A8%D7%99%D7%91%22%D7%A9/%D7%A7%D7%9E%D7%98" TargetMode="External"/><Relationship Id="rId120" Type="http://schemas.openxmlformats.org/officeDocument/2006/relationships/hyperlink" Target="https://he.wikisource.org/wiki/%D7%A9%D7%95%D7%9C%D7%97%D7%9F_%D7%A2%D7%A8%D7%95%D7%9A_%D7%90%D7%95%D7%A8%D7%97_%D7%97%D7%99%D7%99%D7%9D_%D7%AA%D7%A7%D7%A2%D7%92" TargetMode="External"/><Relationship Id="rId141" Type="http://schemas.openxmlformats.org/officeDocument/2006/relationships/hyperlink" Target="https://he.wikisource.org/wiki/%D7%AA%D7%A8%D7%95%D7%9E%D7%AA_%D7%94%D7%93%D7%A9%D7%9F/%D7%90/%D7%A8%D7%9B" TargetMode="External"/><Relationship Id="rId7" Type="http://schemas.openxmlformats.org/officeDocument/2006/relationships/endnotes" Target="endnotes.xml"/><Relationship Id="rId162" Type="http://schemas.openxmlformats.org/officeDocument/2006/relationships/hyperlink" Target="https://he.wikisource.org/wiki/%D7%A9%D7%95%D7%9C%D7%97%D7%9F_%D7%A2%D7%A8%D7%95%D7%9A_%D7%97%D7%95%D7%A9%D7%9F_%D7%9E%D7%A9%D7%A4%D7%98_%D7%A8%D7%A0%D7%96" TargetMode="External"/><Relationship Id="rId183" Type="http://schemas.openxmlformats.org/officeDocument/2006/relationships/hyperlink" Target="https://he.wikisource.org/wiki/%D7%A9%D7%95%D7%9C%D7%97%D7%9F_%D7%A2%D7%A8%D7%95%D7%9A_%D7%90%D7%91%D7%9F_%D7%94%D7%A2%D7%96%D7%A8_%D7%9C%D7%90" TargetMode="External"/><Relationship Id="rId218" Type="http://schemas.openxmlformats.org/officeDocument/2006/relationships/hyperlink" Target="https://he.wikisource.org/wiki/%D7%A9%D7%95%D7%9C%D7%97%D7%9F_%D7%A2%D7%A8%D7%95%D7%9A_%D7%97%D7%95%D7%A9%D7%9F_%D7%9E%D7%A9%D7%A4%D7%98_%D7%A9%D7%A0%D7%97" TargetMode="External"/><Relationship Id="rId239" Type="http://schemas.openxmlformats.org/officeDocument/2006/relationships/hyperlink" Target="https://he.wikisource.org/wiki/%D7%A9%D7%95%D7%9C%D7%97%D7%9F_%D7%A2%D7%A8%D7%95%D7%9A_%D7%97%D7%95%D7%A9%D7%9F_%D7%9E%D7%A9%D7%A4%D7%98_%D7%A2%D7%92" TargetMode="External"/><Relationship Id="rId250" Type="http://schemas.openxmlformats.org/officeDocument/2006/relationships/hyperlink" Target="https://he.wikisource.org/wiki/%D7%A9%D7%95%D7%9C%D7%97%D7%9F_%D7%A2%D7%A8%D7%95%D7%9A_%D7%97%D7%95%D7%A9%D7%9F_%D7%9E%D7%A9%D7%A4%D7%98_%D7%A8%D7%A2%D7%97" TargetMode="External"/><Relationship Id="rId271" Type="http://schemas.openxmlformats.org/officeDocument/2006/relationships/hyperlink" Target="https://he.wikisource.org/wiki/%D7%AA%D7%A9%D7%95%D7%91%D7%95%D7%AA_%D7%A8%D7%99%D7%91%22%D7%A9/%D7%A7%D7%9B%D7%98" TargetMode="External"/><Relationship Id="rId292" Type="http://schemas.openxmlformats.org/officeDocument/2006/relationships/hyperlink" Target="https://he.wikisource.org/wiki/%D7%AA%D7%A8%D7%95%D7%9E%D7%AA_%D7%94%D7%93%D7%A9%D7%9F/%D7%90/%D7%A8%D7%98%D7%95" TargetMode="External"/><Relationship Id="rId24" Type="http://schemas.openxmlformats.org/officeDocument/2006/relationships/hyperlink" Target="https://he.wikisource.org/wiki/%D7%A9%D7%95%D7%9C%D7%97%D7%9F_%D7%A2%D7%A8%D7%95%D7%9A_%D7%99%D7%95%D7%A8%D7%94_%D7%93%D7%A2%D7%94_%D7%A9%D7%94" TargetMode="External"/><Relationship Id="rId45" Type="http://schemas.openxmlformats.org/officeDocument/2006/relationships/hyperlink" Target="https://he.wikisource.org/wiki/%D7%A9%D7%95%D7%9C%D7%97%D7%9F_%D7%A2%D7%A8%D7%95%D7%9A_%D7%97%D7%95%D7%A9%D7%9F_%D7%9E%D7%A9%D7%A4%D7%98_%D7%9C%D7%98" TargetMode="External"/><Relationship Id="rId66" Type="http://schemas.openxmlformats.org/officeDocument/2006/relationships/hyperlink" Target="https://he.wikisource.org/wiki/%D7%A9%D7%95%D7%9C%D7%97%D7%9F_%D7%A2%D7%A8%D7%95%D7%9A_%D7%90%D7%91%D7%9F_%D7%94%D7%A2%D7%96%D7%A8_%D7%A7" TargetMode="External"/><Relationship Id="rId87" Type="http://schemas.openxmlformats.org/officeDocument/2006/relationships/hyperlink" Target="https://he.wikisource.org/wiki/%D7%A9%D7%95%D7%9C%D7%97%D7%9F_%D7%A2%D7%A8%D7%95%D7%9A_%D7%90%D7%91%D7%9F_%D7%94%D7%A2%D7%96%D7%A8_%D7%A0%D7%92" TargetMode="External"/><Relationship Id="rId110" Type="http://schemas.openxmlformats.org/officeDocument/2006/relationships/hyperlink" Target="https://he.wikisource.org/wiki/%D7%A9%D7%95%D7%9C%D7%97%D7%9F_%D7%A2%D7%A8%D7%95%D7%9A_%D7%97%D7%95%D7%A9%D7%9F_%D7%9E%D7%A9%D7%A4%D7%98_%D7%A7%D7%97" TargetMode="External"/><Relationship Id="rId131" Type="http://schemas.openxmlformats.org/officeDocument/2006/relationships/hyperlink" Target="https://he.wikisource.org/wiki/%D7%A9%D7%95%D7%9C%D7%97%D7%9F_%D7%A2%D7%A8%D7%95%D7%9A_%D7%90%D7%91%D7%9F_%D7%94%D7%A2%D7%96%D7%A8_%D7%A2" TargetMode="External"/><Relationship Id="rId152" Type="http://schemas.openxmlformats.org/officeDocument/2006/relationships/hyperlink" Target="https://he.wikisource.org/wiki/%D7%A9%D7%95%D7%9C%D7%97%D7%9F_%D7%A2%D7%A8%D7%95%D7%9A_%D7%90%D7%91%D7%9F_%D7%94%D7%A2%D7%96%D7%A8_%D7%A7" TargetMode="External"/><Relationship Id="rId173" Type="http://schemas.openxmlformats.org/officeDocument/2006/relationships/hyperlink" Target="https://he.wikisource.org/wiki/%D7%A9%D7%95%D7%9C%D7%97%D7%9F_%D7%A2%D7%A8%D7%95%D7%9A_%D7%99%D7%95%D7%A8%D7%94_%D7%93%D7%A2%D7%94_%D7%A8%D7%9C%D7%93" TargetMode="External"/><Relationship Id="rId194" Type="http://schemas.openxmlformats.org/officeDocument/2006/relationships/hyperlink" Target="https://he.wikisource.org/wiki/%D7%A9%D7%95%D7%9C%D7%97%D7%9F_%D7%A2%D7%A8%D7%95%D7%9A_%D7%90%D7%91%D7%9F_%D7%94%D7%A2%D7%96%D7%A8_%D7%A2" TargetMode="External"/><Relationship Id="rId208" Type="http://schemas.openxmlformats.org/officeDocument/2006/relationships/hyperlink" Target="https://he.wikisource.org/wiki/%D7%A9%D7%95%D7%9C%D7%97%D7%9F_%D7%A2%D7%A8%D7%95%D7%9A_%D7%90%D7%91%D7%9F_%D7%94%D7%A2%D7%96%D7%A8_%D7%A7" TargetMode="External"/><Relationship Id="rId229" Type="http://schemas.openxmlformats.org/officeDocument/2006/relationships/hyperlink" Target="https://he.wikisource.org/wiki/%D7%A9%D7%95%D7%9C%D7%97%D7%9F_%D7%A2%D7%A8%D7%95%D7%9A_%D7%90%D7%91%D7%9F_%D7%94%D7%A2%D7%96%D7%A8_%D7%A7%D7%94" TargetMode="External"/><Relationship Id="rId240" Type="http://schemas.openxmlformats.org/officeDocument/2006/relationships/hyperlink" Target="https://he.wikisource.org/wiki/%D7%A9%D7%95%D7%9C%D7%97%D7%9F_%D7%A2%D7%A8%D7%95%D7%9A_%D7%97%D7%95%D7%A9%D7%9F_%D7%9E%D7%A9%D7%A4%D7%98_%D7%99%D7%93" TargetMode="External"/><Relationship Id="rId261" Type="http://schemas.openxmlformats.org/officeDocument/2006/relationships/hyperlink" Target="https://he.wikisource.org/wiki/%D7%AA%D7%A9%D7%95%D7%91%D7%95%D7%AA_%D7%A8%D7%99%D7%91%22%D7%A9/%D7%A9%D7%A1%D7%93" TargetMode="External"/><Relationship Id="rId14" Type="http://schemas.openxmlformats.org/officeDocument/2006/relationships/hyperlink" Target="https://he.wikisource.org/wiki/%D7%A9%D7%95%D7%9C%D7%97%D7%9F_%D7%A2%D7%A8%D7%95%D7%9A_%D7%99%D7%95%D7%A8%D7%94_%D7%93%D7%A2%D7%94_%D7%A7%D7%A2%D7%98" TargetMode="External"/><Relationship Id="rId35" Type="http://schemas.openxmlformats.org/officeDocument/2006/relationships/hyperlink" Target="https://he.wikisource.org/wiki/%D7%A9%D7%95%D7%9C%D7%97%D7%9F_%D7%A2%D7%A8%D7%95%D7%9A_%D7%97%D7%95%D7%A9%D7%9F_%D7%9E%D7%A9%D7%A4%D7%98_%D7%A6%D7%94" TargetMode="External"/><Relationship Id="rId56" Type="http://schemas.openxmlformats.org/officeDocument/2006/relationships/hyperlink" Target="https://he.wikisource.org/wiki/%D7%A9%D7%95%D7%9C%D7%97%D7%9F_%D7%A2%D7%A8%D7%95%D7%9A_%D7%90%D7%91%D7%9F_%D7%94%D7%A2%D7%96%D7%A8_%D7%9E%D7%91" TargetMode="External"/><Relationship Id="rId77" Type="http://schemas.openxmlformats.org/officeDocument/2006/relationships/hyperlink" Target="https://he.wikisource.org/wiki/%D7%A9%D7%95%D7%9C%D7%97%D7%9F_%D7%A2%D7%A8%D7%95%D7%9A_%D7%90%D7%91%D7%9F_%D7%94%D7%A2%D7%96%D7%A8_%D7%A7%D7%99%D7%91" TargetMode="External"/><Relationship Id="rId100" Type="http://schemas.openxmlformats.org/officeDocument/2006/relationships/hyperlink" Target="https://he.wikisource.org/wiki/%D7%A9%D7%95%D7%9C%D7%97%D7%9F_%D7%A2%D7%A8%D7%95%D7%9A_%D7%90%D7%91%D7%9F_%D7%94%D7%A2%D7%96%D7%A8_%D7%A0%D7%92" TargetMode="External"/><Relationship Id="rId282" Type="http://schemas.openxmlformats.org/officeDocument/2006/relationships/hyperlink" Target="https://he.wikisource.org/wiki/%D7%AA%D7%A9%D7%95%D7%91%D7%95%D7%AA_%D7%A8%D7%99%D7%91%22%D7%A9/%D7%A7%D7%93" TargetMode="External"/><Relationship Id="rId8" Type="http://schemas.openxmlformats.org/officeDocument/2006/relationships/hyperlink" Target="https://he.wikisource.org/wiki/%D7%A9%D7%95%D7%9C%D7%97%D7%9F_%D7%A2%D7%A8%D7%95%D7%9A_%D7%99%D7%95%D7%A8%D7%94_%D7%93%D7%A2%D7%94_%D7%A7%D7%A2%D7%98" TargetMode="External"/><Relationship Id="rId98" Type="http://schemas.openxmlformats.org/officeDocument/2006/relationships/hyperlink" Target="https://he.wikisource.org/wiki/%D7%A9%D7%95%D7%9C%D7%97%D7%9F_%D7%A2%D7%A8%D7%95%D7%9A_%D7%90%D7%91%D7%9F_%D7%94%D7%A2%D7%96%D7%A8_%D7%A0%D7%93" TargetMode="External"/><Relationship Id="rId121" Type="http://schemas.openxmlformats.org/officeDocument/2006/relationships/hyperlink" Target="https://he.wikisource.org/wiki/%D7%A9%D7%95%D7%9C%D7%97%D7%9F_%D7%A2%D7%A8%D7%95%D7%9A_%D7%90%D7%91%D7%9F_%D7%94%D7%A2%D7%96%D7%A8_%D7%A7%D7%A2%D7%96" TargetMode="External"/><Relationship Id="rId142" Type="http://schemas.openxmlformats.org/officeDocument/2006/relationships/hyperlink" Target="https://he.wikisource.org/wiki/%D7%A9%D7%95%D7%9C%D7%97%D7%9F_%D7%A2%D7%A8%D7%95%D7%9A_%D7%90%D7%91%D7%9F_%D7%94%D7%A2%D7%96%D7%A8_%D7%A7%D7%A1%D7%98" TargetMode="External"/><Relationship Id="rId163" Type="http://schemas.openxmlformats.org/officeDocument/2006/relationships/hyperlink" Target="https://he.wikisource.org/wiki/%D7%A9%D7%95%D7%9C%D7%97%D7%9F_%D7%A2%D7%A8%D7%95%D7%9A_%D7%97%D7%95%D7%A9%D7%9F_%D7%9E%D7%A9%D7%A4%D7%98_%D7%A7%D7%99%D7%92" TargetMode="External"/><Relationship Id="rId184" Type="http://schemas.openxmlformats.org/officeDocument/2006/relationships/hyperlink" Target="https://he.wikisource.org/wiki/%D7%A9%D7%95%D7%9C%D7%97%D7%9F_%D7%A2%D7%A8%D7%95%D7%9A_%D7%90%D7%91%D7%9F_%D7%94%D7%A2%D7%96%D7%A8_%D7%9C%D7%97" TargetMode="External"/><Relationship Id="rId219" Type="http://schemas.openxmlformats.org/officeDocument/2006/relationships/hyperlink" Target="https://he.wikisource.org/wiki/%D7%A9%D7%95%D7%9C%D7%97%D7%9F_%D7%A2%D7%A8%D7%95%D7%9A_%D7%97%D7%95%D7%A9%D7%9F_%D7%9E%D7%A9%D7%A4%D7%98_%D7%A0%D7%90" TargetMode="External"/><Relationship Id="rId230" Type="http://schemas.openxmlformats.org/officeDocument/2006/relationships/hyperlink" Target="https://he.wikisource.org/wiki/%D7%A9%D7%95%D7%9C%D7%97%D7%9F_%D7%A2%D7%A8%D7%95%D7%9A_%D7%97%D7%95%D7%A9%D7%9F_%D7%9E%D7%A9%D7%A4%D7%98_%D7%A1%D7%98" TargetMode="External"/><Relationship Id="rId251" Type="http://schemas.openxmlformats.org/officeDocument/2006/relationships/hyperlink" Target="https://he.wikisource.org/wiki/%D7%A9%D7%95%D7%9C%D7%97%D7%9F_%D7%A2%D7%A8%D7%95%D7%9A_%D7%97%D7%95%D7%A9%D7%9F_%D7%9E%D7%A9%D7%A4%D7%98_%D7%A4%D7%91" TargetMode="External"/><Relationship Id="rId25" Type="http://schemas.openxmlformats.org/officeDocument/2006/relationships/hyperlink" Target="https://he.wikisource.org/wiki/%D7%A9%D7%95%D7%9C%D7%97%D7%9F_%D7%A2%D7%A8%D7%95%D7%9A_%D7%97%D7%95%D7%A9%D7%9F_%D7%9E%D7%A9%D7%A4%D7%98_%D7%96" TargetMode="External"/><Relationship Id="rId46" Type="http://schemas.openxmlformats.org/officeDocument/2006/relationships/hyperlink" Target="https://he.wikisource.org/wiki/%D7%A9%D7%95%D7%9C%D7%97%D7%9F_%D7%A2%D7%A8%D7%95%D7%9A_%D7%97%D7%95%D7%A9%D7%9F_%D7%9E%D7%A9%D7%A4%D7%98_%D7%9E%D7%95" TargetMode="External"/><Relationship Id="rId67" Type="http://schemas.openxmlformats.org/officeDocument/2006/relationships/hyperlink" Target="https://he.wikisource.org/wiki/%D7%A9%D7%95%D7%9C%D7%97%D7%9F_%D7%A2%D7%A8%D7%95%D7%9A_%D7%90%D7%91%D7%9F_%D7%94%D7%A2%D7%96%D7%A8_%D7%91" TargetMode="External"/><Relationship Id="rId272" Type="http://schemas.openxmlformats.org/officeDocument/2006/relationships/hyperlink" Target="https://he.wikisource.org/wiki/%D7%A9%D7%95%D7%9C%D7%97%D7%9F_%D7%A2%D7%A8%D7%95%D7%9A_%D7%97%D7%95%D7%A9%D7%9F_%D7%9E%D7%A9%D7%A4%D7%98_%D7%A8%D7%9E%D7%94" TargetMode="External"/><Relationship Id="rId293" Type="http://schemas.openxmlformats.org/officeDocument/2006/relationships/hyperlink" Target="https://he.wikisource.org/wiki/%D7%AA%D7%A9%D7%95%D7%91%D7%95%D7%AA_%D7%A8%D7%99%D7%91%22%D7%A9/%D7%A4%D7%90" TargetMode="External"/><Relationship Id="rId88" Type="http://schemas.openxmlformats.org/officeDocument/2006/relationships/hyperlink" Target="https://he.wikisource.org/wiki/%D7%A9%D7%95%D7%9C%D7%97%D7%9F_%D7%A2%D7%A8%D7%95%D7%9A_%D7%90%D7%91%D7%9F_%D7%94%D7%A2%D7%96%D7%A8_%D7%A7%D7%99%D7%97" TargetMode="External"/><Relationship Id="rId111" Type="http://schemas.openxmlformats.org/officeDocument/2006/relationships/hyperlink" Target="https://he.wikisource.org/wiki/%D7%A9%D7%95%D7%9C%D7%97%D7%9F_%D7%A2%D7%A8%D7%95%D7%9A_%D7%97%D7%95%D7%A9%D7%9F_%D7%9E%D7%A9%D7%A4%D7%98_%D7%A7%D7%97" TargetMode="External"/><Relationship Id="rId132" Type="http://schemas.openxmlformats.org/officeDocument/2006/relationships/hyperlink" Target="https://he.wikisource.org/wiki/%D7%A9%D7%95%D7%9C%D7%97%D7%9F_%D7%A2%D7%A8%D7%95%D7%9A_%D7%90%D7%91%D7%9F_%D7%94%D7%A2%D7%96%D7%A8_%D7%A4" TargetMode="External"/><Relationship Id="rId153" Type="http://schemas.openxmlformats.org/officeDocument/2006/relationships/hyperlink" Target="https://he.wikisource.org/wiki/%D7%A9%D7%95%D7%9C%D7%97%D7%9F_%D7%A2%D7%A8%D7%95%D7%9A_%D7%90%D7%91%D7%9F_%D7%94%D7%A2%D7%96%D7%A8_%D7%A7" TargetMode="External"/><Relationship Id="rId174" Type="http://schemas.openxmlformats.org/officeDocument/2006/relationships/hyperlink" Target="https://he.wikisource.org/wiki/%D7%A9%D7%95%D7%9C%D7%97%D7%9F_%D7%A2%D7%A8%D7%95%D7%9A_%D7%99%D7%95%D7%A8%D7%94_%D7%93%D7%A2%D7%94_%D7%A8%D7%9C%D7%94" TargetMode="External"/><Relationship Id="rId195" Type="http://schemas.openxmlformats.org/officeDocument/2006/relationships/hyperlink" Target="https://he.wikisource.org/wiki/%D7%AA%D7%A8%D7%95%D7%9E%D7%AA_%D7%94%D7%93%D7%A9%D7%9F/%D7%90/%D7%A8%D7%A2%D7%91" TargetMode="External"/><Relationship Id="rId209" Type="http://schemas.openxmlformats.org/officeDocument/2006/relationships/hyperlink" Target="https://he.wikisource.org/wiki/%D7%A9%D7%95%D7%9C%D7%97%D7%9F_%D7%A2%D7%A8%D7%95%D7%9A_%D7%97%D7%95%D7%A9%D7%9F_%D7%9E%D7%A9%D7%A4%D7%98_%D7%A7%D7%99%D7%90" TargetMode="External"/><Relationship Id="rId220" Type="http://schemas.openxmlformats.org/officeDocument/2006/relationships/hyperlink" Target="https://he.wikisource.org/wiki/%D7%A9%D7%95%D7%9C%D7%97%D7%9F_%D7%A2%D7%A8%D7%95%D7%9A_%D7%97%D7%95%D7%A9%D7%9F_%D7%9E%D7%A9%D7%A4%D7%98_%D7%A9%D7%A0%D7%97" TargetMode="External"/><Relationship Id="rId241" Type="http://schemas.openxmlformats.org/officeDocument/2006/relationships/hyperlink" Target="https://he.wikisource.org/wiki/%D7%A9%D7%95%D7%9C%D7%97%D7%9F_%D7%A2%D7%A8%D7%95%D7%9A_%D7%97%D7%95%D7%A9%D7%9F_%D7%9E%D7%A9%D7%A4%D7%98_%D7%A2%D7%94" TargetMode="External"/><Relationship Id="rId15" Type="http://schemas.openxmlformats.org/officeDocument/2006/relationships/hyperlink" Target="https://he.wikisource.org/wiki/%D7%A9%D7%95%D7%9C%D7%97%D7%9F_%D7%A2%D7%A8%D7%95%D7%9A_%D7%90%D7%95%D7%A8%D7%97_%D7%97%D7%99%D7%99%D7%9D_%D7%A9%D7%90" TargetMode="External"/><Relationship Id="rId36" Type="http://schemas.openxmlformats.org/officeDocument/2006/relationships/hyperlink" Target="https://he.wikisource.org/wiki/%D7%A9%D7%95%D7%9C%D7%97%D7%9F_%D7%A2%D7%A8%D7%95%D7%9A_%D7%97%D7%95%D7%A9%D7%9F_%D7%9E%D7%A9%D7%A4%D7%98_%D7%9C%D7%98" TargetMode="External"/><Relationship Id="rId57" Type="http://schemas.openxmlformats.org/officeDocument/2006/relationships/hyperlink" Target="https://he.wikisource.org/wiki/%D7%AA%D7%A9%D7%95%D7%91%D7%95%D7%AA_%D7%A8%D7%99%D7%91%22%D7%A9/%D7%AA%D7%A7%D7%93" TargetMode="External"/><Relationship Id="rId262" Type="http://schemas.openxmlformats.org/officeDocument/2006/relationships/hyperlink" Target="https://he.wikisource.org/wiki/%D7%AA%D7%A9%D7%95%D7%91%D7%95%D7%AA_%D7%A8%D7%99%D7%91%22%D7%A9/%D7%A7%D7%96" TargetMode="External"/><Relationship Id="rId283" Type="http://schemas.openxmlformats.org/officeDocument/2006/relationships/hyperlink" Target="https://he.wikisource.org/wiki/%D7%AA%D7%A8%D7%95%D7%9E%D7%AA_%D7%94%D7%93%D7%A9%D7%9F/%D7%90/%D7%A9%D7%99%D7%96" TargetMode="External"/><Relationship Id="rId78" Type="http://schemas.openxmlformats.org/officeDocument/2006/relationships/hyperlink" Target="https://he.wikisource.org/wiki/%D7%A9%D7%95%D7%9C%D7%97%D7%9F_%D7%A2%D7%A8%D7%95%D7%9A_%D7%97%D7%95%D7%A9%D7%9F_%D7%9E%D7%A9%D7%A4%D7%98_%D7%9B%D7%97" TargetMode="External"/><Relationship Id="rId99" Type="http://schemas.openxmlformats.org/officeDocument/2006/relationships/hyperlink" Target="https://he.wikisource.org/wiki/%D7%A9%D7%95%D7%9C%D7%97%D7%9F_%D7%A2%D7%A8%D7%95%D7%9A_%D7%90%D7%91%D7%9F_%D7%94%D7%A2%D7%96%D7%A8_%D7%A1%D7%98" TargetMode="External"/><Relationship Id="rId101" Type="http://schemas.openxmlformats.org/officeDocument/2006/relationships/hyperlink" Target="https://he.wikisource.org/wiki/%D7%A9%D7%95%D7%9C%D7%97%D7%9F_%D7%A2%D7%A8%D7%95%D7%9A_%D7%90%D7%91%D7%9F_%D7%94%D7%A2%D7%96%D7%A8_%D7%A7%D7%99%D7%97" TargetMode="External"/><Relationship Id="rId122" Type="http://schemas.openxmlformats.org/officeDocument/2006/relationships/hyperlink" Target="https://he.wikisource.org/wiki/%D7%A9%D7%95%D7%9C%D7%97%D7%9F_%D7%A2%D7%A8%D7%95%D7%9A_%D7%90%D7%91%D7%9F_%D7%94%D7%A2%D7%96%D7%A8_%D7%A7%D7%99%D7%98" TargetMode="External"/><Relationship Id="rId143" Type="http://schemas.openxmlformats.org/officeDocument/2006/relationships/hyperlink" Target="https://he.wikisource.org/wiki/%D7%A9%D7%95%D7%9C%D7%97%D7%9F_%D7%A2%D7%A8%D7%95%D7%9A_%D7%90%D7%91%D7%9F_%D7%94%D7%A2%D7%96%D7%A8_%D7%A2%D7%96" TargetMode="External"/><Relationship Id="rId164" Type="http://schemas.openxmlformats.org/officeDocument/2006/relationships/hyperlink" Target="https://he.wikisource.org/wiki/%D7%A9%D7%95%D7%9C%D7%97%D7%9F_%D7%A2%D7%A8%D7%95%D7%9A_%D7%90%D7%91%D7%9F_%D7%94%D7%A2%D7%96%D7%A8_%D7%A7%D7%99%D7%97" TargetMode="External"/><Relationship Id="rId185" Type="http://schemas.openxmlformats.org/officeDocument/2006/relationships/hyperlink" Target="https://he.wikisource.org/wiki/%D7%A9%D7%95%D7%9C%D7%97%D7%9F_%D7%A2%D7%A8%D7%95%D7%9A_%D7%99%D7%95%D7%A8%D7%94_%D7%93%D7%A2%D7%94_%D7%A8%D7%9B%D7%97" TargetMode="External"/><Relationship Id="rId9" Type="http://schemas.openxmlformats.org/officeDocument/2006/relationships/hyperlink" Target="https://he.wikisource.org/wiki/%D7%A9%D7%95%D7%9C%D7%97%D7%9F_%D7%A2%D7%A8%D7%95%D7%9A_%D7%99%D7%95%D7%A8%D7%94_%D7%93%D7%A2%D7%94_%D7%A7%D7%A2%D7%98" TargetMode="External"/><Relationship Id="rId210" Type="http://schemas.openxmlformats.org/officeDocument/2006/relationships/hyperlink" Target="https://he.wikisource.org/wiki/%D7%A9%D7%95%D7%9C%D7%97%D7%9F_%D7%A2%D7%A8%D7%95%D7%9A_%D7%97%D7%95%D7%A9%D7%9F_%D7%9E%D7%A9%D7%A4%D7%98_%D7%A8%D7%A2%D7%97" TargetMode="External"/><Relationship Id="rId26" Type="http://schemas.openxmlformats.org/officeDocument/2006/relationships/hyperlink" Target="https://he.wikisource.org/wiki/%D7%AA%D7%A9%D7%95%D7%91%D7%95%D7%AA_%D7%A8%D7%99%D7%91%22%D7%A9/%D7%A1%D7%94" TargetMode="External"/><Relationship Id="rId231" Type="http://schemas.openxmlformats.org/officeDocument/2006/relationships/hyperlink" Target="https://he.wikisource.org/wiki/%D7%98%D7%95%D7%A8_%D7%97%D7%95%D7%A9%D7%9F_%D7%9E%D7%A9%D7%A4%D7%98_%D7%A7%D7%91" TargetMode="External"/><Relationship Id="rId252" Type="http://schemas.openxmlformats.org/officeDocument/2006/relationships/hyperlink" Target="https://he.wikisource.org/wiki/%D7%A9%D7%95%D7%9C%D7%97%D7%9F_%D7%A2%D7%A8%D7%95%D7%9A_%D7%97%D7%95%D7%A9%D7%9F_%D7%9E%D7%A9%D7%A4%D7%98_%D7%A4%D7%96" TargetMode="External"/><Relationship Id="rId273" Type="http://schemas.openxmlformats.org/officeDocument/2006/relationships/hyperlink" Target="https://he.wikisource.org/wiki/%D7%A9%D7%95%D7%9C%D7%97%D7%9F_%D7%A2%D7%A8%D7%95%D7%9A_%D7%97%D7%95%D7%A9%D7%9F_%D7%9E%D7%A9%D7%A4%D7%98_%D7%A8%D7%9E%D7%98" TargetMode="External"/><Relationship Id="rId294" Type="http://schemas.openxmlformats.org/officeDocument/2006/relationships/hyperlink" Target="https://he.wikisource.org/wiki/%D7%A9%D7%95%D7%9C%D7%97%D7%9F_%D7%A2%D7%A8%D7%95%D7%9A_%D7%90%D7%91%D7%9F_%D7%94%D7%A2%D7%96%D7%A8_%D7%A7%D7%A0%D7%93_%D7%98" TargetMode="External"/><Relationship Id="rId47" Type="http://schemas.openxmlformats.org/officeDocument/2006/relationships/hyperlink" Target="https://he.wikisource.org/wiki/%D7%A9%D7%95%D7%9C%D7%97%D7%9F_%D7%A2%D7%A8%D7%95%D7%9A_%D7%97%D7%95%D7%A9%D7%9F_%D7%9E%D7%A9%D7%A4%D7%98_%D7%A7%D7%9B%D7%95" TargetMode="External"/><Relationship Id="rId68" Type="http://schemas.openxmlformats.org/officeDocument/2006/relationships/hyperlink" Target="https://he.wikisource.org/wiki/%D7%AA%D7%A9%D7%95%D7%91%D7%95%D7%AA_%D7%A8%D7%99%D7%91%22%D7%A9/%D7%98%D7%95" TargetMode="External"/><Relationship Id="rId89" Type="http://schemas.openxmlformats.org/officeDocument/2006/relationships/hyperlink" Target="https://he.wikisource.org/wiki/%D7%AA%D7%A8%D7%95%D7%9E%D7%AA_%D7%94%D7%93%D7%A9%D7%9F/%D7%90/%D7%A8%D7%A2%D7%91" TargetMode="External"/><Relationship Id="rId112" Type="http://schemas.openxmlformats.org/officeDocument/2006/relationships/hyperlink" Target="https://he.wikisource.org/wiki/%D7%AA%D7%A9%D7%95%D7%91%D7%95%D7%AA_%D7%A8%D7%99%D7%91%22%D7%A9/%D7%A7%D7%A1%D7%98" TargetMode="External"/><Relationship Id="rId133" Type="http://schemas.openxmlformats.org/officeDocument/2006/relationships/hyperlink" Target="https://he.wikisource.org/wiki/%D7%A9%D7%95%D7%9C%D7%97%D7%9F_%D7%A2%D7%A8%D7%95%D7%9A_%D7%90%D7%91%D7%9F_%D7%94%D7%A2%D7%96%D7%A8_%D7%A2" TargetMode="External"/><Relationship Id="rId154" Type="http://schemas.openxmlformats.org/officeDocument/2006/relationships/hyperlink" Target="https://he.wikisource.org/wiki/%D7%A9%D7%95%D7%9C%D7%97%D7%9F_%D7%A2%D7%A8%D7%95%D7%9A_%D7%97%D7%95%D7%A9%D7%9F_%D7%9E%D7%A9%D7%A4%D7%98_%D7%A8%D7%A0%D7%90" TargetMode="External"/><Relationship Id="rId175" Type="http://schemas.openxmlformats.org/officeDocument/2006/relationships/hyperlink" Target="https://he.wikisource.org/wiki/%D7%A9%D7%95%D7%9C%D7%97%D7%9F_%D7%A2%D7%A8%D7%95%D7%9A_%D7%90%D7%91%D7%9F_%D7%94%D7%A2%D7%96%D7%A8_%D7%A7%D7%A0%D7%93" TargetMode="External"/><Relationship Id="rId196" Type="http://schemas.openxmlformats.org/officeDocument/2006/relationships/hyperlink" Target="https://he.wikisource.org/wiki/%D7%A9%D7%95%D7%9C%D7%97%D7%9F_%D7%A2%D7%A8%D7%95%D7%9A_%D7%97%D7%95%D7%A9%D7%9F_%D7%9E%D7%A9%D7%A4%D7%98_%D7%A7%D7%A2%D7%97" TargetMode="External"/><Relationship Id="rId200" Type="http://schemas.openxmlformats.org/officeDocument/2006/relationships/hyperlink" Target="https://he.wikisource.org/wiki/%D7%A9%D7%95%D7%9C%D7%97%D7%9F_%D7%A2%D7%A8%D7%95%D7%9A_%D7%90%D7%91%D7%9F_%D7%94%D7%A2%D7%96%D7%A8_%D7%A7%D7%A1%D7%94" TargetMode="External"/><Relationship Id="rId16" Type="http://schemas.openxmlformats.org/officeDocument/2006/relationships/hyperlink" Target="https://he.wikisource.org/wiki/%D7%A9%D7%95%D7%9C%D7%97%D7%9F_%D7%A2%D7%A8%D7%95%D7%9A_%D7%90%D7%95%D7%A8%D7%97_%D7%97%D7%99%D7%99%D7%9D_%D7%A6%D7%98" TargetMode="External"/><Relationship Id="rId221" Type="http://schemas.openxmlformats.org/officeDocument/2006/relationships/hyperlink" Target="https://he.wikisource.org/wiki/%D7%A9%D7%95%D7%9C%D7%97%D7%9F_%D7%A2%D7%A8%D7%95%D7%9A_%D7%97%D7%95%D7%A9%D7%9F_%D7%9E%D7%A9%D7%A4%D7%98_%D7%A1" TargetMode="External"/><Relationship Id="rId242" Type="http://schemas.openxmlformats.org/officeDocument/2006/relationships/hyperlink" Target="https://he.wikisource.org/wiki/%D7%A9%D7%95%D7%9C%D7%97%D7%9F_%D7%A2%D7%A8%D7%95%D7%9A_%D7%97%D7%95%D7%A9%D7%9F_%D7%9E%D7%A9%D7%A4%D7%98_%D7%A1%D7%95" TargetMode="External"/><Relationship Id="rId263" Type="http://schemas.openxmlformats.org/officeDocument/2006/relationships/hyperlink" Target="https://he.wikisource.org/wiki/%D7%AA%D7%A9%D7%95%D7%91%D7%95%D7%AA_%D7%A8%D7%99%D7%91%22%D7%A9/%D7%AA%D7%A4" TargetMode="External"/><Relationship Id="rId284" Type="http://schemas.openxmlformats.org/officeDocument/2006/relationships/hyperlink" Target="https://he.wikisource.org/wiki/%D7%A9%D7%95%D7%9C%D7%97%D7%9F_%D7%A2%D7%A8%D7%95%D7%9A_%D7%99%D7%95%D7%A8%D7%94_%D7%93%D7%A2%D7%94_%D7%A8%D7%A0%D7%91" TargetMode="External"/><Relationship Id="rId37" Type="http://schemas.openxmlformats.org/officeDocument/2006/relationships/hyperlink" Target="https://he.wikisource.org/wiki/%D7%A9%D7%95%D7%9C%D7%97%D7%9F_%D7%A2%D7%A8%D7%95%D7%9A_%D7%97%D7%95%D7%A9%D7%9F_%D7%9E%D7%A9%D7%A4%D7%98_%D7%A4%D7%91" TargetMode="External"/><Relationship Id="rId58" Type="http://schemas.openxmlformats.org/officeDocument/2006/relationships/hyperlink" Target="https://he.wikisource.org/wiki/%D7%A9%D7%95%D7%9C%D7%97%D7%9F_%D7%A2%D7%A8%D7%95%D7%9A_%D7%90%D7%91%D7%9F_%D7%94%D7%A2%D7%96%D7%A8_%D7%9E%D7%95" TargetMode="External"/><Relationship Id="rId79" Type="http://schemas.openxmlformats.org/officeDocument/2006/relationships/hyperlink" Target="https://he.wikisource.org/wiki/%D7%A9%D7%95%D7%9C%D7%97%D7%9F_%D7%A2%D7%A8%D7%95%D7%9A_%D7%99%D7%95%D7%A8%D7%94_%D7%93%D7%A2%D7%94_%D7%A8%D7%A0%D7%92" TargetMode="External"/><Relationship Id="rId102" Type="http://schemas.openxmlformats.org/officeDocument/2006/relationships/hyperlink" Target="https://he.wikisource.org/wiki/%D7%AA%D7%A9%D7%95%D7%91%D7%95%D7%AA_%D7%A8%D7%99%D7%91%22%D7%A9/%D7%A7%D7%96" TargetMode="External"/><Relationship Id="rId123" Type="http://schemas.openxmlformats.org/officeDocument/2006/relationships/hyperlink" Target="https://he.wikisource.org/wiki/%D7%A9%D7%95%D7%9C%D7%97%D7%9F_%D7%A2%D7%A8%D7%95%D7%9A_%D7%90%D7%91%D7%9F_%D7%94%D7%A2%D7%96%D7%A8_%D7%A4" TargetMode="External"/><Relationship Id="rId144" Type="http://schemas.openxmlformats.org/officeDocument/2006/relationships/hyperlink" Target="https://he.wikisource.org/wiki/%D7%A9%D7%95%D7%9C%D7%97%D7%9F_%D7%A2%D7%A8%D7%95%D7%9A_%D7%90%D7%95%D7%A8%D7%97_%D7%97%D7%99%D7%99%D7%9D_%D7%A9%D7%A1%D7%97" TargetMode="External"/><Relationship Id="rId90" Type="http://schemas.openxmlformats.org/officeDocument/2006/relationships/hyperlink" Target="https://he.wikisource.org/wiki/%D7%A9%D7%95%D7%9C%D7%97%D7%9F_%D7%A2%D7%A8%D7%95%D7%9A_%D7%97%D7%95%D7%A9%D7%9F_%D7%9E%D7%A9%D7%A4%D7%98_%D7%A8%D7%A0%D7%90" TargetMode="External"/><Relationship Id="rId165" Type="http://schemas.openxmlformats.org/officeDocument/2006/relationships/hyperlink" Target="https://he.wikisource.org/wiki/%D7%A9%D7%95%D7%9C%D7%97%D7%9F_%D7%A2%D7%A8%D7%95%D7%9A_%D7%97%D7%95%D7%A9%D7%9F_%D7%9E%D7%A9%D7%A4%D7%98_%D7%A8%D7%A6%D7%91" TargetMode="External"/><Relationship Id="rId186" Type="http://schemas.openxmlformats.org/officeDocument/2006/relationships/hyperlink" Target="https://he.wikisource.org/wiki/%D7%A9%D7%95%D7%9C%D7%97%D7%9F_%D7%A2%D7%A8%D7%95%D7%9A_%D7%90%D7%91%D7%9F_%D7%94%D7%A2%D7%96%D7%A8_%D7%A7%D7%99%D7%96" TargetMode="External"/><Relationship Id="rId211" Type="http://schemas.openxmlformats.org/officeDocument/2006/relationships/hyperlink" Target="https://he.wikisource.org/wiki/%D7%AA%D7%A9%D7%95%D7%91%D7%95%D7%AA_%D7%A8%D7%99%D7%91%22%D7%A9/%D7%A8%D7%A6%D7%98" TargetMode="External"/><Relationship Id="rId232" Type="http://schemas.openxmlformats.org/officeDocument/2006/relationships/hyperlink" Target="https://he.wikisource.org/wiki/%D7%A9%D7%95%D7%9C%D7%97%D7%9F_%D7%A2%D7%A8%D7%95%D7%9A_%D7%97%D7%95%D7%A9%D7%9F_%D7%9E%D7%A9%D7%A4%D7%98_%D7%A7%D7%92" TargetMode="External"/><Relationship Id="rId253" Type="http://schemas.openxmlformats.org/officeDocument/2006/relationships/hyperlink" Target="https://he.wikisource.org/wiki/%D7%A9%D7%95%D7%9C%D7%97%D7%9F_%D7%A2%D7%A8%D7%95%D7%9A_%D7%97%D7%95%D7%A9%D7%9F_%D7%9E%D7%A9%D7%A4%D7%98_%D7%A8%D7%A6%D7%98" TargetMode="External"/><Relationship Id="rId274" Type="http://schemas.openxmlformats.org/officeDocument/2006/relationships/hyperlink" Target="https://he.wikisource.org/wiki/%D7%A9%D7%95%D7%9C%D7%97%D7%9F_%D7%A2%D7%A8%D7%95%D7%9A_%D7%97%D7%95%D7%A9%D7%9F_%D7%9E%D7%A9%D7%A4%D7%98_%D7%A2%D7%92" TargetMode="External"/><Relationship Id="rId295" Type="http://schemas.openxmlformats.org/officeDocument/2006/relationships/hyperlink" Target="https://he.wikisource.org/wiki/%D7%AA%D7%A9%D7%95%D7%91%D7%95%D7%AA_%D7%A8%D7%99%D7%91%22%D7%A9/%D7%A7%D7%A2%D7%96" TargetMode="External"/><Relationship Id="rId27" Type="http://schemas.openxmlformats.org/officeDocument/2006/relationships/hyperlink" Target="https://he.wikisource.org/wiki/%D7%AA%D7%A9%D7%95%D7%91%D7%95%D7%AA_%D7%A8%D7%99%D7%91%22%D7%A9/%D7%A1%D7%94" TargetMode="External"/><Relationship Id="rId48" Type="http://schemas.openxmlformats.org/officeDocument/2006/relationships/hyperlink" Target="https://he.wikisource.org/wiki/%D7%A9%D7%95%D7%9C%D7%97%D7%9F_%D7%A2%D7%A8%D7%95%D7%9A_%D7%97%D7%95%D7%A9%D7%9F_%D7%9E%D7%A9%D7%A4%D7%98_%D7%A1%D7%90" TargetMode="External"/><Relationship Id="rId69" Type="http://schemas.openxmlformats.org/officeDocument/2006/relationships/hyperlink" Target="https://he.wikisource.org/wiki/%D7%A9%D7%95%D7%9C%D7%97%D7%9F_%D7%A2%D7%A8%D7%95%D7%9A_%D7%97%D7%95%D7%A9%D7%9F_%D7%9E%D7%A9%D7%A4%D7%98_%D7%90" TargetMode="External"/><Relationship Id="rId113" Type="http://schemas.openxmlformats.org/officeDocument/2006/relationships/hyperlink" Target="https://he.wikisource.org/wiki/%D7%A9%D7%95%D7%9C%D7%97%D7%9F_%D7%A2%D7%A8%D7%95%D7%9A_%D7%90%D7%91%D7%9F_%D7%94%D7%A2%D7%96%D7%A8_%D7%A7%D7%94" TargetMode="External"/><Relationship Id="rId134" Type="http://schemas.openxmlformats.org/officeDocument/2006/relationships/hyperlink" Target="https://he.wikisource.org/wiki/%D7%A9%D7%9E%D7%95%D7%AA_%D7%9B%D7%90_%D7%99" TargetMode="External"/><Relationship Id="rId80" Type="http://schemas.openxmlformats.org/officeDocument/2006/relationships/hyperlink" Target="https://he.wikisource.org/wiki/%D7%AA%D7%A8%D7%95%D7%9E%D7%AA_%D7%94%D7%93%D7%A9%D7%9F/%D7%90/%D7%A9%D7%9B%D7%90" TargetMode="External"/><Relationship Id="rId155" Type="http://schemas.openxmlformats.org/officeDocument/2006/relationships/hyperlink" Target="https://he.wikisource.org/wiki/%D7%A9%D7%95%D7%9C%D7%97%D7%9F_%D7%A2%D7%A8%D7%95%D7%9A_%D7%97%D7%95%D7%A9%D7%9F_%D7%9E%D7%A9%D7%A4%D7%98_%D7%A8%D7%A0%D7%91" TargetMode="External"/><Relationship Id="rId176" Type="http://schemas.openxmlformats.org/officeDocument/2006/relationships/hyperlink" Target="https://he.wikisource.org/wiki/%D7%AA%D7%A8%D7%95%D7%9E%D7%AA_%D7%94%D7%93%D7%A9%D7%9F/%D7%90/%D7%A8%D7%9E%D7%91" TargetMode="External"/><Relationship Id="rId197" Type="http://schemas.openxmlformats.org/officeDocument/2006/relationships/hyperlink" Target="https://he.wikisource.org/wiki/%D7%A9%D7%95%D7%9C%D7%97%D7%9F_%D7%A2%D7%A8%D7%95%D7%9A_%D7%97%D7%95%D7%A9%D7%9F_%D7%9E%D7%A9%D7%A4%D7%98_%D7%AA%D7%93" TargetMode="External"/><Relationship Id="rId201" Type="http://schemas.openxmlformats.org/officeDocument/2006/relationships/hyperlink" Target="https://he.wikisource.org/wiki/%D7%A9%D7%95%D7%9C%D7%97%D7%9F_%D7%A2%D7%A8%D7%95%D7%9A_%D7%90%D7%91%D7%9F_%D7%94%D7%A2%D7%96%D7%A8_%D7%A1%D7%95" TargetMode="External"/><Relationship Id="rId222" Type="http://schemas.openxmlformats.org/officeDocument/2006/relationships/hyperlink" Target="https://he.wikisource.org/wiki/%D7%A9%D7%95%D7%9C%D7%97%D7%9F_%D7%A2%D7%A8%D7%95%D7%9A_%D7%97%D7%95%D7%A9%D7%9F_%D7%9E%D7%A9%D7%A4%D7%98_%D7%A1%D7%97" TargetMode="External"/><Relationship Id="rId243" Type="http://schemas.openxmlformats.org/officeDocument/2006/relationships/hyperlink" Target="https://he.wikisource.org/wiki/%D7%A9%D7%95%D7%9C%D7%97%D7%9F_%D7%A2%D7%A8%D7%95%D7%9A_%D7%97%D7%95%D7%A9%D7%9F_%D7%9E%D7%A9%D7%A4%D7%98_%D7%A9%D7%90" TargetMode="External"/><Relationship Id="rId264" Type="http://schemas.openxmlformats.org/officeDocument/2006/relationships/hyperlink" Target="https://he.wikisource.org/wiki/%D7%A9%D7%95%D7%9C%D7%97%D7%9F_%D7%A2%D7%A8%D7%95%D7%9A_%D7%97%D7%95%D7%A9%D7%9F_%D7%9E%D7%A9%D7%A4%D7%98_%D7%A6%D7%90" TargetMode="External"/><Relationship Id="rId285" Type="http://schemas.openxmlformats.org/officeDocument/2006/relationships/hyperlink" Target="https://he.wikisource.org/wiki/%D7%A9%D7%95%D7%9C%D7%97%D7%9F_%D7%A2%D7%A8%D7%95%D7%9A_%D7%90%D7%91%D7%9F_%D7%94%D7%A2%D7%96%D7%A8_%D7%A7%D7%99%D7%91" TargetMode="External"/><Relationship Id="rId17" Type="http://schemas.openxmlformats.org/officeDocument/2006/relationships/hyperlink" Target="https://he.wikisource.org/wiki/%D7%A9%D7%95%D7%9C%D7%97%D7%9F_%D7%A2%D7%A8%D7%95%D7%9A_%D7%97%D7%95%D7%A9%D7%9F_%D7%9E%D7%A9%D7%A4%D7%98_%D7%A8%D7%9B%D7%91" TargetMode="External"/><Relationship Id="rId38" Type="http://schemas.openxmlformats.org/officeDocument/2006/relationships/hyperlink" Target="https://he.wikisource.org/wiki/%D7%AA%D7%A9%D7%95%D7%91%D7%95%D7%AA_%D7%A8%D7%99%D7%91%22%D7%A9/%D7%A7%D7%9B%D7%96" TargetMode="External"/><Relationship Id="rId59" Type="http://schemas.openxmlformats.org/officeDocument/2006/relationships/hyperlink" Target="https://he.wikisource.org/wiki/%D7%AA%D7%A9%D7%95%D7%91%D7%95%D7%AA_%D7%A8%D7%99%D7%91%22%D7%A9/%D7%A7%D7%A0%D7%96" TargetMode="External"/><Relationship Id="rId103" Type="http://schemas.openxmlformats.org/officeDocument/2006/relationships/hyperlink" Target="https://he.wikisource.org/wiki/%D7%AA%D7%A9%D7%95%D7%91%D7%95%D7%AA_%D7%A8%D7%99%D7%91%22%D7%A9/%D7%A9%D7%91" TargetMode="External"/><Relationship Id="rId124" Type="http://schemas.openxmlformats.org/officeDocument/2006/relationships/hyperlink" Target="https://he.wikisource.org/wiki/%D7%A9%D7%95%D7%9C%D7%97%D7%9F_%D7%A2%D7%A8%D7%95%D7%9A_%D7%90%D7%91%D7%9F_%D7%94%D7%A2%D7%96%D7%A8_%D7%A1%D7%98" TargetMode="External"/><Relationship Id="rId70" Type="http://schemas.openxmlformats.org/officeDocument/2006/relationships/hyperlink" Target="https://he.wikisource.org/wiki/%D7%A9%D7%95%D7%9C%D7%97%D7%9F_%D7%A2%D7%A8%D7%95%D7%9A_%D7%97%D7%95%D7%A9%D7%9F_%D7%9E%D7%A9%D7%A4%D7%98_%D7%9E%D7%90" TargetMode="External"/><Relationship Id="rId91" Type="http://schemas.openxmlformats.org/officeDocument/2006/relationships/hyperlink" Target="https://he.wikisource.org/wiki/%D7%A9%D7%95%D7%9C%D7%97%D7%9F_%D7%A2%D7%A8%D7%95%D7%9A_%D7%97%D7%95%D7%A9%D7%9F_%D7%9E%D7%A9%D7%A4%D7%98_%D7%A8%D7%A0%D7%91" TargetMode="External"/><Relationship Id="rId145" Type="http://schemas.openxmlformats.org/officeDocument/2006/relationships/hyperlink" Target="https://he.wikisource.org/wiki/%D7%A9%D7%95%D7%9C%D7%97%D7%9F_%D7%A2%D7%A8%D7%95%D7%9A_%D7%90%D7%91%D7%9F_%D7%94%D7%A2%D7%96%D7%A8_%D7%A2" TargetMode="External"/><Relationship Id="rId166" Type="http://schemas.openxmlformats.org/officeDocument/2006/relationships/hyperlink" Target="https://he.wikisource.org/wiki/%D7%A9%D7%95%D7%9C%D7%97%D7%9F_%D7%A2%D7%A8%D7%95%D7%9A_%D7%97%D7%95%D7%A9%D7%9F_%D7%9E%D7%A9%D7%A4%D7%98_%D7%A8%D7%99%D7%91" TargetMode="External"/><Relationship Id="rId187" Type="http://schemas.openxmlformats.org/officeDocument/2006/relationships/hyperlink" Target="https://he.wikisource.org/wiki/%D7%A9%D7%95%D7%9C%D7%97%D7%9F_%D7%A2%D7%A8%D7%95%D7%9A_%D7%90%D7%91%D7%9F_%D7%94%D7%A2%D7%96%D7%A8_%D7%A7%D7%99%D7%96" TargetMode="External"/><Relationship Id="rId1" Type="http://schemas.openxmlformats.org/officeDocument/2006/relationships/customXml" Target="../customXml/item1.xml"/><Relationship Id="rId212" Type="http://schemas.openxmlformats.org/officeDocument/2006/relationships/hyperlink" Target="https://he.wikisource.org/wiki/%D7%AA%D7%A8%D7%95%D7%9E%D7%AA_%D7%94%D7%93%D7%A9%D7%9F/%D7%91/%D7%A8%D7%9E%D7%90" TargetMode="External"/><Relationship Id="rId233" Type="http://schemas.openxmlformats.org/officeDocument/2006/relationships/hyperlink" Target="https://he.wikisource.org/wiki/%D7%A9%D7%95%D7%9C%D7%97%D7%9F_%D7%A2%D7%A8%D7%95%D7%9A_%D7%97%D7%95%D7%A9%D7%9F_%D7%9E%D7%A9%D7%A4%D7%98_%D7%A7%D7%97" TargetMode="External"/><Relationship Id="rId254" Type="http://schemas.openxmlformats.org/officeDocument/2006/relationships/hyperlink" Target="https://he.wikisource.org/wiki/%D7%98%D7%95%D7%A8_%D7%97%D7%95%D7%A9%D7%9F_%D7%9E%D7%A9%D7%A4%D7%98_%D7%A8%D7%A0%D7%92" TargetMode="External"/><Relationship Id="rId28" Type="http://schemas.openxmlformats.org/officeDocument/2006/relationships/hyperlink" Target="https://he.wikisource.org/wiki/%D7%AA%D7%A9%D7%95%D7%91%D7%95%D7%AA_%D7%A8%D7%99%D7%91%22%D7%A9/%D7%A8%D7%A4%D7%90" TargetMode="External"/><Relationship Id="rId49" Type="http://schemas.openxmlformats.org/officeDocument/2006/relationships/hyperlink" Target="https://he.wikisource.org/wiki/%D7%A9%D7%95%D7%9C%D7%97%D7%9F_%D7%A2%D7%A8%D7%95%D7%9A_%D7%97%D7%95%D7%A9%D7%9F_%D7%9E%D7%A9%D7%A4%D7%98_%D7%A8%D7%9B%D7%94" TargetMode="External"/><Relationship Id="rId114" Type="http://schemas.openxmlformats.org/officeDocument/2006/relationships/hyperlink" Target="https://he.wikisource.org/wiki/%D7%A9%D7%95%D7%9C%D7%97%D7%9F_%D7%A2%D7%A8%D7%95%D7%9A_%D7%97%D7%95%D7%A9%D7%9F_%D7%9E%D7%A9%D7%A4%D7%98_%D7%9E%D7%95" TargetMode="External"/><Relationship Id="rId275" Type="http://schemas.openxmlformats.org/officeDocument/2006/relationships/hyperlink" Target="https://he.wikisource.org/wiki/%D7%A9%D7%95%D7%9C%D7%97%D7%9F_%D7%A2%D7%A8%D7%95%D7%9A_%D7%97%D7%95%D7%A9%D7%9F_%D7%9E%D7%A9%D7%A4%D7%98_%D7%A7%D7%A6%D7%94" TargetMode="External"/><Relationship Id="rId296" Type="http://schemas.openxmlformats.org/officeDocument/2006/relationships/hyperlink" Target="https://he.wikisource.org/wiki/%D7%AA%D7%A9%D7%95%D7%91%D7%95%D7%AA_%D7%A8%D7%99%D7%91%22%D7%A9/%D7%A4%D7%97" TargetMode="External"/><Relationship Id="rId300" Type="http://schemas.openxmlformats.org/officeDocument/2006/relationships/hyperlink" Target="https://he.wikisource.org/wiki/%D7%A9%D7%95%D7%9C%D7%97%D7%9F_%D7%A2%D7%A8%D7%95%D7%9A_%D7%90%D7%91%D7%9F_%D7%94%D7%A2%D7%96%D7%A8_%D7%A1%D7%95" TargetMode="External"/><Relationship Id="rId60" Type="http://schemas.openxmlformats.org/officeDocument/2006/relationships/hyperlink" Target="https://he.wikisource.org/wiki/%D7%AA%D7%A9%D7%95%D7%91%D7%95%D7%AA_%D7%A8%D7%99%D7%91%22%D7%A9/%D7%A7%D7%A0%D7%96" TargetMode="External"/><Relationship Id="rId81" Type="http://schemas.openxmlformats.org/officeDocument/2006/relationships/hyperlink" Target="https://he.wikisource.org/wiki/%D7%AA%D7%A8%D7%95%D7%9E%D7%AA_%D7%94%D7%93%D7%A9%D7%9F/%D7%90/%D7%A9%D7%9B%D7%90" TargetMode="External"/><Relationship Id="rId135" Type="http://schemas.openxmlformats.org/officeDocument/2006/relationships/hyperlink" Target="https://he.wikisource.org/wiki/%D7%A9%D7%9E%D7%95%D7%AA_%D7%9B%D7%90_%D7%99" TargetMode="External"/><Relationship Id="rId156" Type="http://schemas.openxmlformats.org/officeDocument/2006/relationships/hyperlink" Target="https://he.wikisource.org/wiki/%D7%A9%D7%95%D7%9C%D7%97%D7%9F_%D7%A2%D7%A8%D7%95%D7%9A_%D7%97%D7%95%D7%A9%D7%9F_%D7%9E%D7%A9%D7%A4%D7%98_%D7%A8%D7%A0%D7%96" TargetMode="External"/><Relationship Id="rId177" Type="http://schemas.openxmlformats.org/officeDocument/2006/relationships/hyperlink" Target="https://he.wikisource.org/wiki/%D7%A9%D7%95%D7%9C%D7%97%D7%9F_%D7%A2%D7%A8%D7%95%D7%9A_%D7%90%D7%91%D7%9F_%D7%94%D7%A2%D7%96%D7%A8_%D7%A7%D7%99%D7%96" TargetMode="External"/><Relationship Id="rId198" Type="http://schemas.openxmlformats.org/officeDocument/2006/relationships/hyperlink" Target="https://he.wikisource.org/wiki/%D7%A9%D7%95%D7%9C%D7%97%D7%9F_%D7%A2%D7%A8%D7%95%D7%9A_%D7%97%D7%95%D7%A9%D7%9F_%D7%9E%D7%A9%D7%A4%D7%98_%D7%A6%D7%96" TargetMode="External"/><Relationship Id="rId202" Type="http://schemas.openxmlformats.org/officeDocument/2006/relationships/hyperlink" Target="https://he.wikisource.org/wiki/%D7%A9%D7%95%D7%9C%D7%97%D7%9F_%D7%A2%D7%A8%D7%95%D7%9A_%D7%97%D7%95%D7%A9%D7%9F_%D7%9E%D7%A9%D7%A4%D7%98_%D7%A6%D7%96" TargetMode="External"/><Relationship Id="rId223" Type="http://schemas.openxmlformats.org/officeDocument/2006/relationships/hyperlink" Target="https://he.wikisource.org/wiki/%D7%A9%D7%95%D7%9C%D7%97%D7%9F_%D7%A2%D7%A8%D7%95%D7%9A_%D7%97%D7%95%D7%A9%D7%9F_%D7%9E%D7%A9%D7%A4%D7%98_%D7%A1" TargetMode="External"/><Relationship Id="rId244" Type="http://schemas.openxmlformats.org/officeDocument/2006/relationships/hyperlink" Target="https://he.wikisource.org/wiki/%D7%A9%D7%95%D7%9C%D7%97%D7%9F_%D7%A2%D7%A8%D7%95%D7%9A_%D7%97%D7%95%D7%A9%D7%9F_%D7%9E%D7%A9%D7%A4%D7%98_%D7%9E%D7%96" TargetMode="External"/><Relationship Id="rId18" Type="http://schemas.openxmlformats.org/officeDocument/2006/relationships/hyperlink" Target="https://he.wikisource.org/wiki/%D7%A9%D7%95%D7%9C%D7%97%D7%9F_%D7%A2%D7%A8%D7%95%D7%9A_%D7%90%D7%91%D7%9F_%D7%94%D7%A2%D7%96%D7%A8_%D7%A1%D7%91" TargetMode="External"/><Relationship Id="rId39" Type="http://schemas.openxmlformats.org/officeDocument/2006/relationships/hyperlink" Target="https://he.wikisource.org/wiki/%D7%A9%D7%95%D7%9C%D7%97%D7%9F_%D7%A2%D7%A8%D7%95%D7%9A_%D7%99%D7%95%D7%A8%D7%94_%D7%93%D7%A2%D7%94_%D7%A7%D7%A0%D7%96" TargetMode="External"/><Relationship Id="rId265" Type="http://schemas.openxmlformats.org/officeDocument/2006/relationships/hyperlink" Target="https://he.wikisource.org/wiki/%D7%A9%D7%95%D7%9C%D7%97%D7%9F_%D7%A2%D7%A8%D7%95%D7%9A_%D7%97%D7%95%D7%A9%D7%9F_%D7%9E%D7%A9%D7%A4%D7%98_%D7%A6%D7%92" TargetMode="External"/><Relationship Id="rId286" Type="http://schemas.openxmlformats.org/officeDocument/2006/relationships/hyperlink" Target="https://he.wikisource.org/wiki/%D7%A9%D7%95%D7%9C%D7%97%D7%9F_%D7%A2%D7%A8%D7%95%D7%9A_%D7%90%D7%91%D7%9F_%D7%94%D7%A2%D7%96%D7%A8_%D7%91" TargetMode="External"/><Relationship Id="rId50" Type="http://schemas.openxmlformats.org/officeDocument/2006/relationships/hyperlink" Target="https://he.wikisource.org/wiki/%D7%A9%D7%95%D7%9C%D7%97%D7%9F_%D7%A2%D7%A8%D7%95%D7%9A_%D7%97%D7%95%D7%A9%D7%9F_%D7%9E%D7%A9%D7%A4%D7%98_%D7%92" TargetMode="External"/><Relationship Id="rId104" Type="http://schemas.openxmlformats.org/officeDocument/2006/relationships/hyperlink" Target="https://he.wikisource.org/wiki/%D7%A9%D7%95%D7%9C%D7%97%D7%9F_%D7%A2%D7%A8%D7%95%D7%9A_%D7%99%D7%95%D7%A8%D7%94_%D7%93%D7%A2%D7%94_%D7%A8%D7%A0%D7%92" TargetMode="External"/><Relationship Id="rId125" Type="http://schemas.openxmlformats.org/officeDocument/2006/relationships/hyperlink" Target="https://he.wikisource.org/wiki/%D7%A9%D7%95%D7%9C%D7%97%D7%9F_%D7%A2%D7%A8%D7%95%D7%9A_%D7%90%D7%91%D7%9F_%D7%94%D7%A2%D7%96%D7%A8_%D7%A4%D7%90" TargetMode="External"/><Relationship Id="rId146" Type="http://schemas.openxmlformats.org/officeDocument/2006/relationships/hyperlink" Target="https://he.wikisource.org/wiki/%D7%A9%D7%95%D7%9C%D7%97%D7%9F_%D7%A2%D7%A8%D7%95%D7%9A_%D7%97%D7%95%D7%A9%D7%9F_%D7%9E%D7%A9%D7%A4%D7%98_%D7%A4%D7%96" TargetMode="External"/><Relationship Id="rId167" Type="http://schemas.openxmlformats.org/officeDocument/2006/relationships/hyperlink" Target="https://he.wikisource.org/wiki/%D7%A9%D7%95%D7%9C%D7%97%D7%9F_%D7%A2%D7%A8%D7%95%D7%9A_%D7%97%D7%95%D7%A9%D7%9F_%D7%9E%D7%A9%D7%A4%D7%98_%D7%A8%D7%98" TargetMode="External"/><Relationship Id="rId188" Type="http://schemas.openxmlformats.org/officeDocument/2006/relationships/hyperlink" Target="https://he.wikisource.org/wiki/%D7%A9%D7%95%D7%9C%D7%97%D7%9F_%D7%A2%D7%A8%D7%95%D7%9A_%D7%90%D7%91%D7%9F_%D7%94%D7%A2%D7%96%D7%A8_%D7%A7%D7%99%D7%96" TargetMode="External"/><Relationship Id="rId71" Type="http://schemas.openxmlformats.org/officeDocument/2006/relationships/hyperlink" Target="https://he.wikisource.org/wiki/%D7%A9%D7%95%D7%9C%D7%97%D7%9F_%D7%A2%D7%A8%D7%95%D7%9A_%D7%97%D7%95%D7%A9%D7%9F_%D7%9E%D7%A9%D7%A4%D7%98_%D7%A8%D7%A6%D7%90" TargetMode="External"/><Relationship Id="rId92" Type="http://schemas.openxmlformats.org/officeDocument/2006/relationships/hyperlink" Target="https://he.wikisource.org/wiki/%D7%A9%D7%95%D7%9C%D7%97%D7%9F_%D7%A2%D7%A8%D7%95%D7%9A_%D7%97%D7%95%D7%A9%D7%9F_%D7%9E%D7%A9%D7%A4%D7%98_%D7%A8%D7%A0%D7%96" TargetMode="External"/><Relationship Id="rId213" Type="http://schemas.openxmlformats.org/officeDocument/2006/relationships/hyperlink" Target="https://he.wikisource.org/wiki/%D7%A9%D7%95%D7%9C%D7%97%D7%9F_%D7%A2%D7%A8%D7%95%D7%9A_%D7%99%D7%95%D7%A8%D7%94_%D7%93%D7%A2%D7%94_%D7%A8%D7%9E%D7%91" TargetMode="External"/><Relationship Id="rId234" Type="http://schemas.openxmlformats.org/officeDocument/2006/relationships/hyperlink" Target="https://he.wikisource.org/wiki/%D7%A9%D7%95%D7%9C%D7%97%D7%9F_%D7%A2%D7%A8%D7%95%D7%9A_%D7%97%D7%95%D7%A9%D7%9F_%D7%9E%D7%A9%D7%A4%D7%98_%D7%A7%D7%97" TargetMode="External"/><Relationship Id="rId2" Type="http://schemas.openxmlformats.org/officeDocument/2006/relationships/numbering" Target="numbering.xml"/><Relationship Id="rId29" Type="http://schemas.openxmlformats.org/officeDocument/2006/relationships/hyperlink" Target="https://he.wikisource.org/wiki/%D7%98%D7%95%D7%A8_%D7%90%D7%91%D7%9F_%D7%94%D7%A2%D7%96%D7%A8_%D7%A1%D7%96" TargetMode="External"/><Relationship Id="rId255" Type="http://schemas.openxmlformats.org/officeDocument/2006/relationships/hyperlink" Target="https://he.wikisource.org/wiki/%D7%A9%D7%95%D7%9C%D7%97%D7%9F_%D7%A2%D7%A8%D7%95%D7%9A_%D7%90%D7%91%D7%9F_%D7%94%D7%A2%D7%96%D7%A8_%D7%A7%D7%9C" TargetMode="External"/><Relationship Id="rId276" Type="http://schemas.openxmlformats.org/officeDocument/2006/relationships/hyperlink" Target="https://he.wikisource.org/wiki/%D7%A8%D7%9E%D7%91%22%D7%9D_%D7%94%D7%9C%D7%9B%D7%95%D7%AA_%D7%9E%D7%9C%D7%9B%D7%99%D7%9D_%D7%95%D7%9E%D7%9C%D7%97%D7%9E%D7%95%D7%AA_%D7%90" TargetMode="External"/><Relationship Id="rId297" Type="http://schemas.openxmlformats.org/officeDocument/2006/relationships/hyperlink" Target="https://he.wikisource.org/wiki/%D7%AA%D7%A8%D7%95%D7%9E%D7%AA_%D7%94%D7%93%D7%A9%D7%9F/%D7%90/%D7%A8%D7%98%D7%95" TargetMode="External"/><Relationship Id="rId40" Type="http://schemas.openxmlformats.org/officeDocument/2006/relationships/hyperlink" Target="https://he.wikisource.org/wiki/%D7%A9%D7%95%D7%9C%D7%97%D7%9F_%D7%A2%D7%A8%D7%95%D7%9A_%D7%97%D7%95%D7%A9%D7%9F_%D7%9E%D7%A9%D7%A4%D7%98_%D7%A4%D7%91" TargetMode="External"/><Relationship Id="rId115" Type="http://schemas.openxmlformats.org/officeDocument/2006/relationships/hyperlink" Target="https://he.wikisource.org/wiki/%D7%A9%D7%95%D7%9C%D7%97%D7%9F_%D7%A2%D7%A8%D7%95%D7%9A_%D7%97%D7%95%D7%A9%D7%9F_%D7%9E%D7%A9%D7%A4%D7%98_%D7%A4%D7%90" TargetMode="External"/><Relationship Id="rId136" Type="http://schemas.openxmlformats.org/officeDocument/2006/relationships/hyperlink" Target="https://he.wikisource.org/wiki/%D7%A9%D7%95%D7%9C%D7%97%D7%9F_%D7%A2%D7%A8%D7%95%D7%9A_%D7%90%D7%91%D7%9F_%D7%94%D7%A2%D7%96%D7%A8_%D7%A7%D7%A0%D7%93" TargetMode="External"/><Relationship Id="rId157" Type="http://schemas.openxmlformats.org/officeDocument/2006/relationships/hyperlink" Target="https://he.wikisource.org/wiki/%D7%A9%D7%95%D7%9C%D7%97%D7%9F_%D7%A2%D7%A8%D7%95%D7%9A_%D7%97%D7%95%D7%A9%D7%9F_%D7%9E%D7%A9%D7%A4%D7%98_%D7%A7%D7%99%D7%92" TargetMode="External"/><Relationship Id="rId178" Type="http://schemas.openxmlformats.org/officeDocument/2006/relationships/hyperlink" Target="https://he.wikisource.org/wiki/%D7%91%D7%A8%D7%90%D7%A9%D7%99%D7%AA_%D7%9E%D7%92_%D7%9C%D7%93" TargetMode="External"/><Relationship Id="rId301" Type="http://schemas.openxmlformats.org/officeDocument/2006/relationships/header" Target="header1.xml"/><Relationship Id="rId61" Type="http://schemas.openxmlformats.org/officeDocument/2006/relationships/hyperlink" Target="https://he.wikisource.org/wiki/%D7%A9%D7%95%D7%9C%D7%97%D7%9F_%D7%A2%D7%A8%D7%95%D7%9A_%D7%90%D7%91%D7%9F_%D7%94%D7%A2%D7%96%D7%A8_%D7%99%D7%90" TargetMode="External"/><Relationship Id="rId82" Type="http://schemas.openxmlformats.org/officeDocument/2006/relationships/hyperlink" Target="https://he.wikisource.org/wiki/%D7%AA%D7%A8%D7%95%D7%9E%D7%AA_%D7%94%D7%93%D7%A9%D7%9F/%D7%90/%D7%A9%D7%9B%D7%90" TargetMode="External"/><Relationship Id="rId199" Type="http://schemas.openxmlformats.org/officeDocument/2006/relationships/hyperlink" Target="https://he.wikisource.org/wiki/%D7%A9%D7%95%D7%9C%D7%97%D7%9F_%D7%A2%D7%A8%D7%95%D7%9A_%D7%90%D7%91%D7%9F_%D7%94%D7%A2%D7%96%D7%A8_%D7%A7%D7%A1%D7%94" TargetMode="External"/><Relationship Id="rId203" Type="http://schemas.openxmlformats.org/officeDocument/2006/relationships/hyperlink" Target="https://he.wikisource.org/wiki/%D7%A9%D7%95%D7%9C%D7%97%D7%9F_%D7%A2%D7%A8%D7%95%D7%9A_%D7%90%D7%91%D7%9F_%D7%94%D7%A2%D7%96%D7%A8_%D7%A0%D7%92" TargetMode="External"/><Relationship Id="rId19" Type="http://schemas.openxmlformats.org/officeDocument/2006/relationships/hyperlink" Target="https://he.wikisource.org/wiki/%D7%A9%D7%95%D7%9C%D7%97%D7%9F_%D7%A2%D7%A8%D7%95%D7%9A_%D7%90%D7%91%D7%9F_%D7%94%D7%A2%D7%96%D7%A8_%D7%A1%D7%90" TargetMode="External"/><Relationship Id="rId224" Type="http://schemas.openxmlformats.org/officeDocument/2006/relationships/hyperlink" Target="https://he.wikisource.org/wiki/%D7%A9%D7%95%D7%9C%D7%97%D7%9F_%D7%A2%D7%A8%D7%95%D7%9A_%D7%97%D7%95%D7%A9%D7%9F_%D7%9E%D7%A9%D7%A4%D7%98_%D7%A1%D7%97" TargetMode="External"/><Relationship Id="rId245" Type="http://schemas.openxmlformats.org/officeDocument/2006/relationships/hyperlink" Target="https://he.wikisource.org/wiki/%D7%A9%D7%95%D7%9C%D7%97%D7%9F_%D7%A2%D7%A8%D7%95%D7%9A_%D7%97%D7%95%D7%A9%D7%9F_%D7%9E%D7%A9%D7%A4%D7%98_%D7%A2%D7%92" TargetMode="External"/><Relationship Id="rId266" Type="http://schemas.openxmlformats.org/officeDocument/2006/relationships/hyperlink" Target="https://he.wikisource.org/wiki/%D7%AA%D7%A9%D7%95%D7%91%D7%95%D7%AA_%D7%A8%D7%99%D7%91%22%D7%A9/%D7%A7%D7%A2%D7%98" TargetMode="External"/><Relationship Id="rId287" Type="http://schemas.openxmlformats.org/officeDocument/2006/relationships/hyperlink" Target="https://he.wikisource.org/wiki/%D7%A9%D7%95%D7%9C%D7%97%D7%9F_%D7%A2%D7%A8%D7%95%D7%9A_%D7%97%D7%95%D7%A9%D7%9F_%D7%9E%D7%A9%D7%A4%D7%98_%D7%A7%D7%99%D7%90" TargetMode="External"/><Relationship Id="rId30" Type="http://schemas.openxmlformats.org/officeDocument/2006/relationships/hyperlink" Target="https://he.wikisource.org/wiki/%D7%A9%D7%95%D7%9C%D7%97%D7%9F_%D7%A2%D7%A8%D7%95%D7%9A_%D7%97%D7%95%D7%A9%D7%9F_%D7%9E%D7%A9%D7%A4%D7%98_%D7%9C%D7%94" TargetMode="External"/><Relationship Id="rId105" Type="http://schemas.openxmlformats.org/officeDocument/2006/relationships/hyperlink" Target="https://he.wikisource.org/wiki/%D7%AA%D7%A9%D7%95%D7%91%D7%95%D7%AA_%D7%A8%D7%99%D7%91%22%D7%A9/%D7%A1%D7%94" TargetMode="External"/><Relationship Id="rId126" Type="http://schemas.openxmlformats.org/officeDocument/2006/relationships/hyperlink" Target="https://he.wikisource.org/wiki/%D7%A9%D7%95%D7%9C%D7%97%D7%9F_%D7%A2%D7%A8%D7%95%D7%9A_%D7%90%D7%91%D7%9F_%D7%94%D7%A2%D7%96%D7%A8_%D7%A2" TargetMode="External"/><Relationship Id="rId147" Type="http://schemas.openxmlformats.org/officeDocument/2006/relationships/hyperlink" Target="https://he.wikisource.org/wiki/%D7%A9%D7%95%D7%9C%D7%97%D7%9F_%D7%A2%D7%A8%D7%95%D7%9A_%D7%97%D7%95%D7%A9%D7%9F_%D7%9E%D7%A9%D7%A4%D7%98_%D7%AA%D7%9B%D7%90" TargetMode="External"/><Relationship Id="rId168" Type="http://schemas.openxmlformats.org/officeDocument/2006/relationships/hyperlink" Target="https://he.wikisource.org/wiki/%D7%A9%D7%95%D7%9C%D7%97%D7%9F_%D7%A2%D7%A8%D7%95%D7%9A_%D7%97%D7%95%D7%A9%D7%9F_%D7%9E%D7%A9%D7%A4%D7%98_%D7%A8%D7%A4%D7%91" TargetMode="External"/><Relationship Id="rId51" Type="http://schemas.openxmlformats.org/officeDocument/2006/relationships/hyperlink" Target="https://he.wikisource.org/wiki/%D7%A9%D7%95%D7%9C%D7%97%D7%9F_%D7%A2%D7%A8%D7%95%D7%9A_%D7%97%D7%95%D7%A9%D7%9F_%D7%9E%D7%A9%D7%A4%D7%98_%D7%9B%D7%94" TargetMode="External"/><Relationship Id="rId72" Type="http://schemas.openxmlformats.org/officeDocument/2006/relationships/hyperlink" Target="https://he.wikisource.org/wiki/%D7%A9%D7%95%D7%9C%D7%97%D7%9F_%D7%A2%D7%A8%D7%95%D7%9A_%D7%97%D7%95%D7%A9%D7%9F_%D7%9E%D7%A9%D7%A4%D7%98_%D7%A9%D7%96" TargetMode="External"/><Relationship Id="rId93" Type="http://schemas.openxmlformats.org/officeDocument/2006/relationships/hyperlink" Target="https://he.wikisource.org/wiki/%D7%A9%D7%95%D7%9C%D7%97%D7%9F_%D7%A2%D7%A8%D7%95%D7%9A_%D7%97%D7%95%D7%A9%D7%9F_%D7%9E%D7%A9%D7%A4%D7%98_%D7%A7%D7%99%D7%92" TargetMode="External"/><Relationship Id="rId189" Type="http://schemas.openxmlformats.org/officeDocument/2006/relationships/hyperlink" Target="https://he.wikisource.org/wiki/%D7%98%D7%95%D7%A8_%D7%90%D7%91%D7%9F_%D7%94%D7%A2%D7%96%D7%A8_%D7%A7%D7%9C%D7%93" TargetMode="External"/><Relationship Id="rId3" Type="http://schemas.openxmlformats.org/officeDocument/2006/relationships/styles" Target="styles.xml"/><Relationship Id="rId214" Type="http://schemas.openxmlformats.org/officeDocument/2006/relationships/hyperlink" Target="https://he.wikisource.org/wiki/%D7%A9%D7%95%D7%9C%D7%97%D7%9F_%D7%A2%D7%A8%D7%95%D7%9A_%D7%97%D7%95%D7%A9%D7%9F_%D7%9E%D7%A9%D7%A4%D7%98_%D7%A2%D7%91" TargetMode="External"/><Relationship Id="rId235" Type="http://schemas.openxmlformats.org/officeDocument/2006/relationships/hyperlink" Target="https://he.wikisource.org/wiki/%D7%AA%D7%A9%D7%95%D7%91%D7%95%D7%AA_%D7%A8%D7%99%D7%91%22%D7%A9/%D7%A7%D7%A1%D7%98" TargetMode="External"/><Relationship Id="rId256" Type="http://schemas.openxmlformats.org/officeDocument/2006/relationships/hyperlink" Target="https://he.wikisource.org/wiki/%D7%98%D7%95%D7%A8_%D7%99%D7%95%D7%A8%D7%94_%D7%93%D7%A2%D7%94_%D7%A9%D7%9C%D7%93" TargetMode="External"/><Relationship Id="rId277" Type="http://schemas.openxmlformats.org/officeDocument/2006/relationships/hyperlink" Target="https://he.wikisource.org/wiki/%D7%98%D7%95%D7%A8_%D7%97%D7%95%D7%A9%D7%9F_%D7%9E%D7%A9%D7%A4%D7%98_%D7%A7%D7%91" TargetMode="External"/><Relationship Id="rId298" Type="http://schemas.openxmlformats.org/officeDocument/2006/relationships/hyperlink" Target="https://he.wikisource.org/wiki/%D7%AA%D7%A9%D7%95%D7%91%D7%95%D7%AA_%D7%A8%D7%99%D7%91%22%D7%A9/%D7%A4%D7%90" TargetMode="External"/><Relationship Id="rId116" Type="http://schemas.openxmlformats.org/officeDocument/2006/relationships/hyperlink" Target="https://he.wikisource.org/wiki/%D7%A9%D7%95%D7%9C%D7%97%D7%9F_%D7%A2%D7%A8%D7%95%D7%9A_%D7%90%D7%95%D7%A8%D7%97_%D7%97%D7%99%D7%99%D7%9D_%D7%A9%D7%98%D7%95" TargetMode="External"/><Relationship Id="rId137" Type="http://schemas.openxmlformats.org/officeDocument/2006/relationships/hyperlink" Target="https://he.wikisource.org/wiki/%D7%AA%D7%A8%D7%95%D7%9E%D7%AA_%D7%94%D7%93%D7%A9%D7%9F/%D7%90/%D7%A8%D7%9B" TargetMode="External"/><Relationship Id="rId158" Type="http://schemas.openxmlformats.org/officeDocument/2006/relationships/hyperlink" Target="https://he.wikisource.org/wiki/%D7%A9%D7%95%D7%9C%D7%97%D7%9F_%D7%A2%D7%A8%D7%95%D7%9A_%D7%90%D7%91%D7%9F_%D7%94%D7%A2%D7%96%D7%A8_%D7%A7%D7%99%D7%97" TargetMode="External"/><Relationship Id="rId302" Type="http://schemas.openxmlformats.org/officeDocument/2006/relationships/fontTable" Target="fontTable.xml"/><Relationship Id="rId20" Type="http://schemas.openxmlformats.org/officeDocument/2006/relationships/hyperlink" Target="https://he.wikisource.org/wiki/%D7%A9%D7%95%D7%9C%D7%97%D7%9F_%D7%A2%D7%A8%D7%95%D7%9A_%D7%90%D7%91%D7%9F_%D7%94%D7%A2%D7%96%D7%A8_%D7%A7%D7%A2%D7%97" TargetMode="External"/><Relationship Id="rId41" Type="http://schemas.openxmlformats.org/officeDocument/2006/relationships/hyperlink" Target="https://he.wikisource.org/wiki/%D7%98%D7%95%D7%A8_%D7%97%D7%95%D7%A9%D7%9F_%D7%9E%D7%A9%D7%A4%D7%98_%D7%A2%D7%93" TargetMode="External"/><Relationship Id="rId62" Type="http://schemas.openxmlformats.org/officeDocument/2006/relationships/hyperlink" Target="https://he.wikisource.org/wiki/%D7%A9%D7%95%D7%9C%D7%97%D7%9F_%D7%A2%D7%A8%D7%95%D7%9A_%D7%90%D7%91%D7%9F_%D7%94%D7%A2%D7%96%D7%A8_%D7%A7%D7%9E%D7%92" TargetMode="External"/><Relationship Id="rId83" Type="http://schemas.openxmlformats.org/officeDocument/2006/relationships/hyperlink" Target="https://he.wikipedia.org/wiki/%D7%A9%D7%A4%D7%99%D7%99%D7%A8" TargetMode="External"/><Relationship Id="rId179" Type="http://schemas.openxmlformats.org/officeDocument/2006/relationships/hyperlink" Target="https://he.wikisource.org/wiki/%D7%98%D7%95%D7%A8_%D7%90%D7%91%D7%9F_%D7%94%D7%A2%D7%96%D7%A8_%D7%9E%D7%92" TargetMode="External"/><Relationship Id="rId190" Type="http://schemas.openxmlformats.org/officeDocument/2006/relationships/hyperlink" Target="https://he.wikisource.org/wiki/%D7%AA%D7%A9%D7%95%D7%91%D7%95%D7%AA_%D7%A8%D7%99%D7%91%22%D7%A9/%D7%A9%D7%9B" TargetMode="External"/><Relationship Id="rId204" Type="http://schemas.openxmlformats.org/officeDocument/2006/relationships/hyperlink" Target="https://he.wikisource.org/wiki/%D7%98%D7%95%D7%A8_%D7%97%D7%95%D7%A9%D7%9F_%D7%9E%D7%A9%D7%A4%D7%98_%D7%A2%D7%93" TargetMode="External"/><Relationship Id="rId225" Type="http://schemas.openxmlformats.org/officeDocument/2006/relationships/hyperlink" Target="https://he.wikisource.org/wiki/%D7%A9%D7%95%D7%9C%D7%97%D7%9F_%D7%A2%D7%A8%D7%95%D7%9A_%D7%97%D7%95%D7%A9%D7%9F_%D7%9E%D7%A9%D7%A4%D7%98_%D7%A1%D7%95" TargetMode="External"/><Relationship Id="rId246" Type="http://schemas.openxmlformats.org/officeDocument/2006/relationships/hyperlink" Target="https://he.wikisource.org/wiki/%D7%A9%D7%95%D7%9C%D7%97%D7%9F_%D7%A2%D7%A8%D7%95%D7%9A_%D7%97%D7%95%D7%A9%D7%9F_%D7%9E%D7%A9%D7%A4%D7%98_%D7%99%D7%93" TargetMode="External"/><Relationship Id="rId267" Type="http://schemas.openxmlformats.org/officeDocument/2006/relationships/hyperlink" Target="https://he.wikisource.org/wiki/%D7%A8%D7%9E%D7%91%22%D7%9D_%D7%94%D7%9C%D7%9B%D7%95%D7%AA_%D7%9E%D7%9C%D7%95%D7%94_%D7%95%D7%9C%D7%95%D7%94_%D7%99%D7%92" TargetMode="External"/><Relationship Id="rId288" Type="http://schemas.openxmlformats.org/officeDocument/2006/relationships/hyperlink" Target="https://he.wikisource.org/wiki/%D7%A9%D7%95%D7%9C%D7%97%D7%9F_%D7%A2%D7%A8%D7%95%D7%9A_%D7%97%D7%95%D7%A9%D7%9F_%D7%9E%D7%A9%D7%A4%D7%98_%D7%A8%D7%9B%D7%95" TargetMode="External"/><Relationship Id="rId106" Type="http://schemas.openxmlformats.org/officeDocument/2006/relationships/hyperlink" Target="https://he.wikisource.org/wiki/%D7%AA%D7%A9%D7%95%D7%91%D7%95%D7%AA_%D7%A8%D7%99%D7%91%22%D7%A9/%D7%A1%D7%94" TargetMode="External"/><Relationship Id="rId127" Type="http://schemas.openxmlformats.org/officeDocument/2006/relationships/hyperlink" Target="https://he.wikisource.org/wiki/%D7%A9%D7%95%D7%9C%D7%97%D7%9F_%D7%A2%D7%A8%D7%95%D7%9A_%D7%99%D7%95%D7%A8%D7%94_%D7%93%D7%A2%D7%94_%D7%99%D7%92" TargetMode="External"/><Relationship Id="rId10" Type="http://schemas.openxmlformats.org/officeDocument/2006/relationships/hyperlink" Target="https://he.wikisource.org/wiki/%D7%A9%D7%95%D7%9C%D7%97%D7%9F_%D7%A2%D7%A8%D7%95%D7%9A_%D7%99%D7%95%D7%A8%D7%94_%D7%93%D7%A2%D7%94_%D7%A9%D7%A4%D7%92" TargetMode="External"/><Relationship Id="rId31" Type="http://schemas.openxmlformats.org/officeDocument/2006/relationships/hyperlink" Target="https://he.wikisource.org/wiki/%D7%A9%D7%95%D7%9C%D7%97%D7%9F_%D7%A2%D7%A8%D7%95%D7%9A_%D7%99%D7%95%D7%A8%D7%94_%D7%93%D7%A2%D7%94_%D7%A1%D7%92" TargetMode="External"/><Relationship Id="rId52" Type="http://schemas.openxmlformats.org/officeDocument/2006/relationships/hyperlink" Target="https://he.wikisource.org/wiki/%D7%AA%D7%A9%D7%95%D7%91%D7%95%D7%AA_%D7%A8%D7%99%D7%91%22%D7%A9/%D7%AA%D7%A7%D7%93" TargetMode="External"/><Relationship Id="rId73" Type="http://schemas.openxmlformats.org/officeDocument/2006/relationships/hyperlink" Target="https://he.wikisource.org/wiki/%D7%A9%D7%95%D7%9C%D7%97%D7%9F_%D7%A2%D7%A8%D7%95%D7%9A_%D7%97%D7%95%D7%A9%D7%9F_%D7%9E%D7%A9%D7%A4%D7%98_%D7%A2%D7%91" TargetMode="External"/><Relationship Id="rId94" Type="http://schemas.openxmlformats.org/officeDocument/2006/relationships/hyperlink" Target="https://he.wikisource.org/wiki/%D7%A9%D7%95%D7%9C%D7%97%D7%9F_%D7%A2%D7%A8%D7%95%D7%9A_%D7%90%D7%91%D7%9F_%D7%94%D7%A2%D7%96%D7%A8_%D7%A7%D7%99%D7%97" TargetMode="External"/><Relationship Id="rId148" Type="http://schemas.openxmlformats.org/officeDocument/2006/relationships/hyperlink" Target="https://he.wikisource.org/wiki/%D7%A9%D7%95%D7%9C%D7%97%D7%9F_%D7%A2%D7%A8%D7%95%D7%9A_%D7%90%D7%91%D7%9F_%D7%94%D7%A2%D7%96%D7%A8_%D7%A6%D7%92" TargetMode="External"/><Relationship Id="rId169" Type="http://schemas.openxmlformats.org/officeDocument/2006/relationships/hyperlink" Target="https://he.wikisource.org/wiki/%D7%A9%D7%95%D7%9C%D7%97%D7%9F_%D7%A2%D7%A8%D7%95%D7%9A_%D7%97%D7%95%D7%A9%D7%9F_%D7%9E%D7%A9%D7%A4%D7%98_%D7%A8%D7%A0%D7%92" TargetMode="External"/><Relationship Id="rId4" Type="http://schemas.openxmlformats.org/officeDocument/2006/relationships/settings" Target="settings.xml"/><Relationship Id="rId180" Type="http://schemas.openxmlformats.org/officeDocument/2006/relationships/hyperlink" Target="https://he.wikisource.org/wiki/%D7%A9%D7%95%D7%9C%D7%97%D7%9F_%D7%A2%D7%A8%D7%95%D7%9A_%D7%90%D7%91%D7%9F_%D7%94%D7%A2%D7%96%D7%A8_%D7%9C%D7%90" TargetMode="External"/><Relationship Id="rId215" Type="http://schemas.openxmlformats.org/officeDocument/2006/relationships/hyperlink" Target="https://he.wikisource.org/wiki/%D7%A9%D7%95%D7%9C%D7%97%D7%9F_%D7%A2%D7%A8%D7%95%D7%9A_%D7%97%D7%95%D7%A9%D7%9F_%D7%9E%D7%A9%D7%A4%D7%98_%D7%A7%D7%9C" TargetMode="External"/><Relationship Id="rId236" Type="http://schemas.openxmlformats.org/officeDocument/2006/relationships/hyperlink" Target="https://he.wikisource.org/wiki/%D7%A9%D7%95%D7%9C%D7%97%D7%9F_%D7%A2%D7%A8%D7%95%D7%9A_%D7%90%D7%91%D7%9F_%D7%94%D7%A2%D7%96%D7%A8_%D7%A7%D7%94" TargetMode="External"/><Relationship Id="rId257" Type="http://schemas.openxmlformats.org/officeDocument/2006/relationships/hyperlink" Target="https://he.wikisource.org/wiki/%D7%AA%D7%A9%D7%95%D7%91%D7%95%D7%AA_%D7%A8%D7%99%D7%91%22%D7%A9/%D7%A0%D7%91" TargetMode="External"/><Relationship Id="rId278" Type="http://schemas.openxmlformats.org/officeDocument/2006/relationships/hyperlink" Target="https://he.wikisource.org/wiki/%D7%98%D7%95%D7%A8_%D7%97%D7%95%D7%A9%D7%9F_%D7%9E%D7%A9%D7%A4%D7%98_%D7%9B%D7%97" TargetMode="External"/><Relationship Id="rId303" Type="http://schemas.openxmlformats.org/officeDocument/2006/relationships/theme" Target="theme/theme1.xml"/><Relationship Id="rId42" Type="http://schemas.openxmlformats.org/officeDocument/2006/relationships/hyperlink" Target="https://he.wikisource.org/wiki/%D7%A9%D7%95%D7%9C%D7%97%D7%9F_%D7%A2%D7%A8%D7%95%D7%9A_%D7%97%D7%95%D7%A9%D7%9F_%D7%9E%D7%A9%D7%A4%D7%98_%D7%9E%D7%95" TargetMode="External"/><Relationship Id="rId84" Type="http://schemas.openxmlformats.org/officeDocument/2006/relationships/hyperlink" Target="https://he.wikipedia.org/wiki/%D7%95%D7%95%D7%A8%D7%9E%D7%A1" TargetMode="External"/><Relationship Id="rId138" Type="http://schemas.openxmlformats.org/officeDocument/2006/relationships/hyperlink" Target="https://he.wikisource.org/wiki/%D7%A9%D7%95%D7%9C%D7%97%D7%9F_%D7%A2%D7%A8%D7%95%D7%9A_%D7%90%D7%91%D7%9F_%D7%94%D7%A2%D7%96%D7%A8_%D7%A7%D7%A1%D7%98" TargetMode="External"/><Relationship Id="rId191" Type="http://schemas.openxmlformats.org/officeDocument/2006/relationships/hyperlink" Target="https://he.wikisource.org/wiki/%D7%A9%D7%95%D7%9C%D7%97%D7%9F_%D7%A2%D7%A8%D7%95%D7%9A_%D7%90%D7%91%D7%9F_%D7%94%D7%A2%D7%96%D7%A8_%D7%A2" TargetMode="External"/><Relationship Id="rId205" Type="http://schemas.openxmlformats.org/officeDocument/2006/relationships/hyperlink" Target="https://he.wikisource.org/wiki/%D7%A9%D7%95%D7%9C%D7%97%D7%9F_%D7%A2%D7%A8%D7%95%D7%9A_%D7%90%D7%91%D7%9F_%D7%94%D7%A2%D7%96%D7%A8_%D7%A1%D7%98" TargetMode="External"/><Relationship Id="rId247" Type="http://schemas.openxmlformats.org/officeDocument/2006/relationships/hyperlink" Target="https://he.wikisource.org/wiki/%D7%A9%D7%95%D7%9C%D7%97%D7%9F_%D7%A2%D7%A8%D7%95%D7%9A_%D7%97%D7%95%D7%A9%D7%9F_%D7%9E%D7%A9%D7%A4%D7%98_%D7%A7%D7%92" TargetMode="External"/><Relationship Id="rId107" Type="http://schemas.openxmlformats.org/officeDocument/2006/relationships/hyperlink" Target="https://he.wikisource.org/wiki/%D7%A9%D7%95%D7%9C%D7%97%D7%9F_%D7%A2%D7%A8%D7%95%D7%9A_%D7%90%D7%91%D7%9F_%D7%94%D7%A2%D7%96%D7%A8_%D7%A7%D7%A0%D7%93" TargetMode="External"/><Relationship Id="rId289" Type="http://schemas.openxmlformats.org/officeDocument/2006/relationships/hyperlink" Target="https://he.wikisource.org/wiki/%D7%A9%D7%95%D7%9C%D7%97%D7%9F_%D7%A2%D7%A8%D7%95%D7%9A_%D7%97%D7%95%D7%A9%D7%9F_%D7%9E%D7%A9%D7%A4%D7%98_%D7%A7%D7%9E%D7%91" TargetMode="External"/><Relationship Id="rId11" Type="http://schemas.openxmlformats.org/officeDocument/2006/relationships/hyperlink" Target="https://he.wikisource.org/wiki/%D7%A9%D7%95%D7%9C%D7%97%D7%9F_%D7%A2%D7%A8%D7%95%D7%9A_%D7%90%D7%95%D7%A8%D7%97_%D7%97%D7%99%D7%99%D7%9D_%D7%AA%D7%A7%D7%9E%D7%97" TargetMode="External"/><Relationship Id="rId53" Type="http://schemas.openxmlformats.org/officeDocument/2006/relationships/hyperlink" Target="https://he.wikisource.org/wiki/%D7%A9%D7%95%D7%9C%D7%97%D7%9F_%D7%A2%D7%A8%D7%95%D7%9A_%D7%90%D7%91%D7%9F_%D7%94%D7%A2%D7%96%D7%A8_%D7%9E%D7%95" TargetMode="External"/><Relationship Id="rId149" Type="http://schemas.openxmlformats.org/officeDocument/2006/relationships/hyperlink" Target="https://he.wikisource.org/wiki/%D7%A9%D7%95%D7%9C%D7%97%D7%9F_%D7%A2%D7%A8%D7%95%D7%9A_%D7%90%D7%91%D7%9F_%D7%94%D7%A2%D7%96%D7%A8_%D7%A7" TargetMode="External"/><Relationship Id="rId95" Type="http://schemas.openxmlformats.org/officeDocument/2006/relationships/hyperlink" Target="https://he.wikisource.org/wiki/%D7%AA%D7%A9%D7%95%D7%91%D7%95%D7%AA_%D7%A8%D7%99%D7%91%22%D7%A9/%D7%A8%D7%A0" TargetMode="External"/><Relationship Id="rId160" Type="http://schemas.openxmlformats.org/officeDocument/2006/relationships/hyperlink" Target="https://he.wikisource.org/wiki/%D7%A9%D7%95%D7%9C%D7%97%D7%9F_%D7%A2%D7%A8%D7%95%D7%9A_%D7%97%D7%95%D7%A9%D7%9F_%D7%9E%D7%A9%D7%A4%D7%98_%D7%A8%D7%A0%D7%90" TargetMode="External"/><Relationship Id="rId216" Type="http://schemas.openxmlformats.org/officeDocument/2006/relationships/hyperlink" Target="https://he.wikisource.org/wiki/%D7%A9%D7%95%D7%9C%D7%97%D7%9F_%D7%A2%D7%A8%D7%95%D7%9A_%D7%97%D7%95%D7%A9%D7%9F_%D7%9E%D7%A9%D7%A4%D7%98_%D7%A7%D7%9C" TargetMode="External"/><Relationship Id="rId258" Type="http://schemas.openxmlformats.org/officeDocument/2006/relationships/hyperlink" Target="https://he.wikisource.org/wiki/%D7%AA%D7%A9%D7%95%D7%91%D7%95%D7%AA_%D7%A8%D7%99%D7%91%22%D7%A9/%D7%A7%D7%96" TargetMode="External"/><Relationship Id="rId22" Type="http://schemas.openxmlformats.org/officeDocument/2006/relationships/hyperlink" Target="https://he.wikisource.org/wiki/%D7%A9%D7%95%D7%9C%D7%97%D7%9F_%D7%A2%D7%A8%D7%95%D7%9A_%D7%99%D7%95%D7%A8%D7%94_%D7%93%D7%A2%D7%94_%D7%A9%D7%94" TargetMode="External"/><Relationship Id="rId64" Type="http://schemas.openxmlformats.org/officeDocument/2006/relationships/hyperlink" Target="https://he.wikisource.org/wiki/%D7%AA%D7%A8%D7%95%D7%9E%D7%AA_%D7%94%D7%93%D7%A9%D7%9F/%D7%90/%D7%A8%D7%9E%D7%92" TargetMode="External"/><Relationship Id="rId118" Type="http://schemas.openxmlformats.org/officeDocument/2006/relationships/hyperlink" Target="https://he.wikisource.org/wiki/%D7%A8%D7%9E%D7%91%22%D7%9D_%D7%94%D7%9C%D7%9B%D7%95%D7%AA_%D7%90%D7%99%D7%A9%D7%95%D7%AA_%D7%99" TargetMode="External"/><Relationship Id="rId171" Type="http://schemas.openxmlformats.org/officeDocument/2006/relationships/hyperlink" Target="https://he.wikisource.org/wiki/%D7%A9%D7%95%D7%9C%D7%97%D7%9F_%D7%A2%D7%A8%D7%95%D7%9A_%D7%99%D7%95%D7%A8%D7%94_%D7%93%D7%A2%D7%94_%D7%A8%D7%9C%D7%94" TargetMode="External"/><Relationship Id="rId227" Type="http://schemas.openxmlformats.org/officeDocument/2006/relationships/hyperlink" Target="https://he.wikisource.org/wiki/%D7%A9%D7%95%D7%9C%D7%97%D7%9F_%D7%A2%D7%A8%D7%95%D7%9A_%D7%97%D7%95%D7%A9%D7%9F_%D7%9E%D7%A9%D7%A4%D7%98_%D7%A7%D7%99%D7%90" TargetMode="External"/><Relationship Id="rId269" Type="http://schemas.openxmlformats.org/officeDocument/2006/relationships/hyperlink" Target="https://he.wikisource.org/wiki/%D7%AA%D7%A9%D7%95%D7%91%D7%95%D7%AA_%D7%A8%D7%99%D7%91%22%D7%A9/%D7%A9%D7%9E%D7%94" TargetMode="External"/><Relationship Id="rId33" Type="http://schemas.openxmlformats.org/officeDocument/2006/relationships/hyperlink" Target="https://he.wikisource.org/wiki/%D7%A9%D7%95%D7%9C%D7%97%D7%9F_%D7%A2%D7%A8%D7%95%D7%9A_%D7%90%D7%91%D7%9F_%D7%94%D7%A2%D7%96%D7%A8_%D7%A7" TargetMode="External"/><Relationship Id="rId129" Type="http://schemas.openxmlformats.org/officeDocument/2006/relationships/hyperlink" Target="https://he.wikisource.org/wiki/%D7%AA%D7%A9%D7%95%D7%91%D7%95%D7%AA_%D7%A8%D7%99%D7%91%22%D7%A9/%D7%A8%D7%A2%D7%90" TargetMode="External"/><Relationship Id="rId280" Type="http://schemas.openxmlformats.org/officeDocument/2006/relationships/hyperlink" Target="https://he.wikisource.org/wiki/%D7%A9%D7%95%D7%9C%D7%97%D7%9F_%D7%A2%D7%A8%D7%95%D7%9A_%D7%97%D7%95%D7%A9%D7%9F_%D7%9E%D7%A9%D7%A4%D7%98_%D7%99%D7%92" TargetMode="External"/><Relationship Id="rId75" Type="http://schemas.openxmlformats.org/officeDocument/2006/relationships/hyperlink" Target="https://he.wikisource.org/wiki/%D7%AA%D7%A9%D7%95%D7%91%D7%95%D7%AA_%D7%A8%D7%99%D7%91%22%D7%A9/%D7%A0%D7%93" TargetMode="External"/><Relationship Id="rId140" Type="http://schemas.openxmlformats.org/officeDocument/2006/relationships/hyperlink" Target="https://he.wikisource.org/wiki/%D7%A9%D7%95%D7%9C%D7%97%D7%9F_%D7%A2%D7%A8%D7%95%D7%9A_%D7%90%D7%91%D7%9F_%D7%94%D7%A2%D7%96%D7%A8_%D7%A7%D7%A0%D7%93" TargetMode="External"/><Relationship Id="rId182" Type="http://schemas.openxmlformats.org/officeDocument/2006/relationships/hyperlink" Target="https://he.wikisource.org/wiki/%D7%98%D7%95%D7%A8_%D7%90%D7%91%D7%9F_%D7%94%D7%A2%D7%96%D7%A8_%D7%9E%D7%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9E60D-FD07-45E9-96C4-19C233B9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18150</TotalTime>
  <Pages>395</Pages>
  <Words>279822</Words>
  <Characters>1594990</Characters>
  <Application>Microsoft Office Word</Application>
  <DocSecurity>0</DocSecurity>
  <Lines>13291</Lines>
  <Paragraphs>3742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Cohen</dc:creator>
  <cp:keywords/>
  <dc:description/>
  <cp:lastModifiedBy>Meir Cohen</cp:lastModifiedBy>
  <cp:revision>2919</cp:revision>
  <dcterms:created xsi:type="dcterms:W3CDTF">2022-05-15T18:52:00Z</dcterms:created>
  <dcterms:modified xsi:type="dcterms:W3CDTF">2022-06-13T16:23:00Z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05dca8-daac-40b2-85cb-c39a1eaa36df_Enabled">
    <vt:lpwstr>true</vt:lpwstr>
  </property>
  <property fmtid="{D5CDD505-2E9C-101B-9397-08002B2CF9AE}" pid="3" name="MSIP_Label_e305dca8-daac-40b2-85cb-c39a1eaa36df_SetDate">
    <vt:lpwstr>2020-06-18T04:00:41Z</vt:lpwstr>
  </property>
  <property fmtid="{D5CDD505-2E9C-101B-9397-08002B2CF9AE}" pid="4" name="MSIP_Label_e305dca8-daac-40b2-85cb-c39a1eaa36df_Method">
    <vt:lpwstr>Standard</vt:lpwstr>
  </property>
  <property fmtid="{D5CDD505-2E9C-101B-9397-08002B2CF9AE}" pid="5" name="MSIP_Label_e305dca8-daac-40b2-85cb-c39a1eaa36df_Name">
    <vt:lpwstr>e305dca8-daac-40b2-85cb-c39a1eaa36df</vt:lpwstr>
  </property>
  <property fmtid="{D5CDD505-2E9C-101B-9397-08002B2CF9AE}" pid="6" name="MSIP_Label_e305dca8-daac-40b2-85cb-c39a1eaa36df_SiteId">
    <vt:lpwstr>ecdd899a-33be-4c33-91e4-1f1144fc2f56</vt:lpwstr>
  </property>
  <property fmtid="{D5CDD505-2E9C-101B-9397-08002B2CF9AE}" pid="7" name="MSIP_Label_e305dca8-daac-40b2-85cb-c39a1eaa36df_ActionId">
    <vt:lpwstr>4f66187d-d7ce-4da7-ac43-00000fd2504e</vt:lpwstr>
  </property>
  <property fmtid="{D5CDD505-2E9C-101B-9397-08002B2CF9AE}" pid="8" name="MSIP_Label_e305dca8-daac-40b2-85cb-c39a1eaa36df_ContentBits">
    <vt:lpwstr>0</vt:lpwstr>
  </property>
</Properties>
</file>