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1C" w:rsidRDefault="0089731C" w:rsidP="0089731C">
      <w:pPr>
        <w:rPr>
          <w:rFonts w:hint="cs"/>
          <w:rtl/>
        </w:rPr>
      </w:pPr>
      <w:r w:rsidRPr="00FC3E85">
        <w:rPr>
          <w:rFonts w:hint="cs"/>
          <w:b/>
          <w:bCs/>
          <w:i/>
          <w:iCs/>
          <w:rtl/>
        </w:rPr>
        <w:t>ז.</w:t>
      </w:r>
      <w:r w:rsidRPr="00FC3E85">
        <w:rPr>
          <w:b/>
          <w:bCs/>
          <w:i/>
          <w:iCs/>
          <w:rtl/>
        </w:rPr>
        <w:br/>
      </w:r>
      <w:r>
        <w:rPr>
          <w:rFonts w:hint="cs"/>
          <w:b/>
          <w:bCs/>
          <w:rtl/>
        </w:rPr>
        <w:t>טומאת ידים ב</w:t>
      </w:r>
      <w:r w:rsidRPr="00FC3E85">
        <w:rPr>
          <w:rFonts w:hint="cs"/>
          <w:b/>
          <w:bCs/>
          <w:rtl/>
        </w:rPr>
        <w:t xml:space="preserve">מגילת אסתר </w:t>
      </w:r>
      <w:r>
        <w:rPr>
          <w:rFonts w:hint="cs"/>
          <w:b/>
          <w:bCs/>
          <w:rtl/>
        </w:rPr>
        <w:t>-</w:t>
      </w:r>
      <w:r w:rsidRPr="00FC3E85">
        <w:rPr>
          <w:b/>
          <w:bCs/>
          <w:rtl/>
        </w:rPr>
        <w:br/>
      </w:r>
      <w:r>
        <w:rPr>
          <w:rFonts w:hint="cs"/>
          <w:rtl/>
        </w:rPr>
        <w:t>לר' יהושע לא נרמזה בתורה, ושמואל סבר כמותו, ולשיטתם אינה מטמאה את הידים.</w:t>
      </w:r>
      <w:r>
        <w:rPr>
          <w:rStyle w:val="a5"/>
          <w:rtl/>
        </w:rPr>
        <w:footnoteReference w:id="1"/>
      </w:r>
      <w:r>
        <w:rPr>
          <w:rtl/>
        </w:rPr>
        <w:br/>
      </w:r>
      <w:r>
        <w:rPr>
          <w:rFonts w:hint="cs"/>
          <w:rtl/>
        </w:rPr>
        <w:t>לר"א המודעי נרמזה בתורה, וכן סבר ר"ש</w:t>
      </w:r>
      <w:r>
        <w:rPr>
          <w:rStyle w:val="a5"/>
          <w:rtl/>
        </w:rPr>
        <w:footnoteReference w:id="2"/>
      </w:r>
      <w:r>
        <w:rPr>
          <w:rFonts w:hint="cs"/>
          <w:rtl/>
        </w:rPr>
        <w:t xml:space="preserve">, ומטמאה את הידים. </w:t>
      </w:r>
      <w:r>
        <w:rPr>
          <w:rtl/>
        </w:rPr>
        <w:br/>
      </w:r>
      <w:r w:rsidRPr="00FC3E85">
        <w:rPr>
          <w:rFonts w:hint="cs"/>
          <w:b/>
          <w:bCs/>
          <w:rtl/>
        </w:rPr>
        <w:t xml:space="preserve">טומאת ידים </w:t>
      </w:r>
      <w:r>
        <w:rPr>
          <w:rtl/>
        </w:rPr>
        <w:t>–</w:t>
      </w:r>
      <w:r>
        <w:rPr>
          <w:rFonts w:hint="cs"/>
          <w:rtl/>
        </w:rPr>
        <w:t xml:space="preserve"> גזרו רבנן כל כתבי הקדש כדי שלא יניחו תרומה לידם.</w:t>
      </w:r>
      <w:r>
        <w:rPr>
          <w:rStyle w:val="a5"/>
          <w:rtl/>
        </w:rPr>
        <w:footnoteReference w:id="3"/>
      </w:r>
      <w:r>
        <w:rPr>
          <w:rtl/>
        </w:rPr>
        <w:br/>
      </w:r>
      <w:r w:rsidRPr="00FC3E85">
        <w:rPr>
          <w:rFonts w:hint="cs"/>
          <w:b/>
          <w:bCs/>
          <w:rtl/>
        </w:rPr>
        <w:t xml:space="preserve">קהלת </w:t>
      </w:r>
      <w:r>
        <w:rPr>
          <w:rtl/>
        </w:rPr>
        <w:t>–</w:t>
      </w:r>
      <w:r>
        <w:rPr>
          <w:rFonts w:hint="cs"/>
          <w:rtl/>
        </w:rPr>
        <w:t xml:space="preserve"> לר"מ ולרשב"מ אינו מטמא את הידים לר' יוסי ור"ש לב"ש אינו מטמא ולב"ה מטמא.</w:t>
      </w:r>
      <w:r>
        <w:rPr>
          <w:rStyle w:val="a5"/>
          <w:rtl/>
        </w:rPr>
        <w:footnoteReference w:id="4"/>
      </w:r>
      <w:r>
        <w:rPr>
          <w:rtl/>
        </w:rPr>
        <w:br/>
      </w:r>
      <w:r w:rsidRPr="00FC3E85">
        <w:rPr>
          <w:rFonts w:hint="cs"/>
          <w:b/>
          <w:bCs/>
          <w:rtl/>
        </w:rPr>
        <w:t xml:space="preserve">שיר השירים </w:t>
      </w:r>
      <w:r>
        <w:rPr>
          <w:rtl/>
        </w:rPr>
        <w:t>–</w:t>
      </w:r>
      <w:r>
        <w:rPr>
          <w:rFonts w:hint="cs"/>
          <w:rtl/>
        </w:rPr>
        <w:t xml:space="preserve"> לר"מ מחלוקת ב"ש וב"ה לר"י ור"ש מטמא.</w:t>
      </w:r>
      <w:r>
        <w:rPr>
          <w:rtl/>
        </w:rPr>
        <w:br/>
      </w:r>
      <w:r w:rsidRPr="00FC3E85">
        <w:rPr>
          <w:rFonts w:hint="cs"/>
          <w:b/>
          <w:bCs/>
          <w:rtl/>
        </w:rPr>
        <w:t>רות</w:t>
      </w:r>
      <w:r>
        <w:rPr>
          <w:rFonts w:hint="cs"/>
          <w:rtl/>
        </w:rPr>
        <w:t xml:space="preserve"> </w:t>
      </w:r>
      <w:r>
        <w:rPr>
          <w:rtl/>
        </w:rPr>
        <w:t>–</w:t>
      </w:r>
      <w:r>
        <w:rPr>
          <w:rFonts w:hint="cs"/>
          <w:rtl/>
        </w:rPr>
        <w:t xml:space="preserve"> לר"ש מטמא את הידים.</w:t>
      </w:r>
      <w:r>
        <w:rPr>
          <w:rStyle w:val="a5"/>
          <w:rtl/>
        </w:rPr>
        <w:footnoteReference w:id="5"/>
      </w:r>
    </w:p>
    <w:p w:rsidR="0089731C" w:rsidRDefault="0089731C" w:rsidP="0089731C">
      <w:pPr>
        <w:rPr>
          <w:rFonts w:hint="cs"/>
          <w:rtl/>
        </w:rPr>
      </w:pPr>
      <w:r>
        <w:rPr>
          <w:rFonts w:hint="cs"/>
          <w:rtl/>
        </w:rPr>
        <w:t>אסתר נאמרה ברוח הקדש.</w:t>
      </w:r>
      <w:r>
        <w:rPr>
          <w:rStyle w:val="a5"/>
          <w:rtl/>
        </w:rPr>
        <w:footnoteReference w:id="6"/>
      </w:r>
    </w:p>
    <w:p w:rsidR="0089731C" w:rsidRDefault="0089731C" w:rsidP="0089731C">
      <w:pPr>
        <w:rPr>
          <w:rFonts w:hint="cs"/>
          <w:rtl/>
        </w:rPr>
      </w:pPr>
      <w:r w:rsidRPr="00BB0C7C">
        <w:rPr>
          <w:rFonts w:hint="cs"/>
          <w:b/>
          <w:bCs/>
          <w:rtl/>
        </w:rPr>
        <w:t>משלוח מנות</w:t>
      </w:r>
      <w:r>
        <w:rPr>
          <w:rFonts w:hint="cs"/>
          <w:rtl/>
        </w:rPr>
        <w:t xml:space="preserve"> </w:t>
      </w:r>
      <w:r>
        <w:rPr>
          <w:rtl/>
        </w:rPr>
        <w:t>–</w:t>
      </w:r>
      <w:r>
        <w:rPr>
          <w:rFonts w:hint="cs"/>
          <w:rtl/>
        </w:rPr>
        <w:t xml:space="preserve"> שיעורם שתי מנות לאיש אחד.</w:t>
      </w:r>
      <w:r>
        <w:rPr>
          <w:rtl/>
        </w:rPr>
        <w:br/>
      </w:r>
      <w:r w:rsidRPr="00BB0C7C">
        <w:rPr>
          <w:rFonts w:hint="cs"/>
          <w:b/>
          <w:bCs/>
          <w:rtl/>
        </w:rPr>
        <w:t>מתנות לאביונים</w:t>
      </w:r>
      <w:r>
        <w:rPr>
          <w:rFonts w:hint="cs"/>
          <w:rtl/>
        </w:rPr>
        <w:t xml:space="preserve"> </w:t>
      </w:r>
      <w:r>
        <w:rPr>
          <w:rtl/>
        </w:rPr>
        <w:t>–</w:t>
      </w:r>
      <w:r>
        <w:rPr>
          <w:rFonts w:hint="cs"/>
          <w:rtl/>
        </w:rPr>
        <w:t xml:space="preserve"> שיעורם שתי מתנות לשני אביונים.</w:t>
      </w:r>
      <w:r>
        <w:rPr>
          <w:rStyle w:val="a5"/>
          <w:rtl/>
        </w:rPr>
        <w:footnoteReference w:id="7"/>
      </w:r>
    </w:p>
    <w:p w:rsidR="0089731C" w:rsidRDefault="0089731C" w:rsidP="0089731C">
      <w:pPr>
        <w:rPr>
          <w:rFonts w:hint="cs"/>
          <w:rtl/>
        </w:rPr>
      </w:pPr>
      <w:r w:rsidRPr="00BB0C7C">
        <w:rPr>
          <w:rFonts w:hint="cs"/>
          <w:b/>
          <w:bCs/>
          <w:i/>
          <w:iCs/>
          <w:rtl/>
        </w:rPr>
        <w:t>ז:</w:t>
      </w:r>
      <w:r w:rsidRPr="00BB0C7C">
        <w:rPr>
          <w:rFonts w:hint="cs"/>
          <w:i/>
          <w:iCs/>
          <w:rtl/>
        </w:rPr>
        <w:br/>
      </w:r>
      <w:r>
        <w:rPr>
          <w:rFonts w:hint="cs"/>
          <w:rtl/>
        </w:rPr>
        <w:t>אביי בר אבין ורחב"א החליפו סעודותיהם זה עם זה.</w:t>
      </w:r>
      <w:r>
        <w:rPr>
          <w:rStyle w:val="a5"/>
          <w:rtl/>
        </w:rPr>
        <w:footnoteReference w:id="8"/>
      </w:r>
    </w:p>
    <w:p w:rsidR="0089731C" w:rsidRDefault="0089731C" w:rsidP="0089731C">
      <w:pPr>
        <w:rPr>
          <w:rFonts w:hint="cs"/>
          <w:rtl/>
        </w:rPr>
      </w:pPr>
      <w:r w:rsidRPr="00BB0C7C">
        <w:rPr>
          <w:rFonts w:hint="cs"/>
          <w:b/>
          <w:bCs/>
          <w:rtl/>
        </w:rPr>
        <w:t>לבסומי בפוריא</w:t>
      </w:r>
      <w:r>
        <w:rPr>
          <w:rFonts w:hint="cs"/>
          <w:rtl/>
        </w:rPr>
        <w:t xml:space="preserve"> </w:t>
      </w:r>
      <w:r>
        <w:rPr>
          <w:rtl/>
        </w:rPr>
        <w:t>–</w:t>
      </w:r>
      <w:r>
        <w:rPr>
          <w:rFonts w:hint="cs"/>
          <w:rtl/>
        </w:rPr>
        <w:t xml:space="preserve"> מיחייב אינש עד דלא ידע בין ארור המן לברוך מרדכי.</w:t>
      </w:r>
      <w:r>
        <w:rPr>
          <w:rStyle w:val="a5"/>
          <w:rtl/>
        </w:rPr>
        <w:footnoteReference w:id="9"/>
      </w:r>
    </w:p>
    <w:p w:rsidR="0089731C" w:rsidRDefault="0089731C" w:rsidP="0089731C">
      <w:pPr>
        <w:rPr>
          <w:rFonts w:hint="cs"/>
          <w:rtl/>
        </w:rPr>
      </w:pPr>
      <w:r w:rsidRPr="00BB0C7C">
        <w:rPr>
          <w:rFonts w:hint="cs"/>
          <w:b/>
          <w:bCs/>
          <w:rtl/>
        </w:rPr>
        <w:t>סעודת פורים שאכלה בלילה</w:t>
      </w:r>
      <w:r>
        <w:rPr>
          <w:rFonts w:hint="cs"/>
          <w:rtl/>
        </w:rPr>
        <w:t xml:space="preserve"> </w:t>
      </w:r>
      <w:r>
        <w:rPr>
          <w:rtl/>
        </w:rPr>
        <w:t>–</w:t>
      </w:r>
      <w:r>
        <w:rPr>
          <w:rFonts w:hint="cs"/>
          <w:rtl/>
        </w:rPr>
        <w:t xml:space="preserve"> לא יצא ידי חובתו.</w:t>
      </w:r>
    </w:p>
    <w:p w:rsidR="0089731C" w:rsidRDefault="0089731C" w:rsidP="0089731C">
      <w:pPr>
        <w:rPr>
          <w:rFonts w:hint="cs"/>
          <w:rtl/>
        </w:rPr>
      </w:pPr>
      <w:r w:rsidRPr="00BB0C7C">
        <w:rPr>
          <w:rFonts w:hint="cs"/>
          <w:b/>
          <w:bCs/>
          <w:rtl/>
        </w:rPr>
        <w:t>יו"ט ושבת;</w:t>
      </w:r>
      <w:r w:rsidRPr="00BB0C7C">
        <w:rPr>
          <w:b/>
          <w:bCs/>
          <w:rtl/>
        </w:rPr>
        <w:br/>
      </w:r>
      <w:r w:rsidRPr="00BB0C7C">
        <w:rPr>
          <w:rFonts w:hint="cs"/>
          <w:b/>
          <w:bCs/>
          <w:rtl/>
        </w:rPr>
        <w:t xml:space="preserve">לעונשין </w:t>
      </w:r>
      <w:r>
        <w:rPr>
          <w:rtl/>
        </w:rPr>
        <w:t>–</w:t>
      </w:r>
      <w:r>
        <w:rPr>
          <w:rFonts w:hint="cs"/>
          <w:rtl/>
        </w:rPr>
        <w:t xml:space="preserve"> שבת בסקילה וכרת ויו"ט רק במלקות.</w:t>
      </w:r>
      <w:r>
        <w:rPr>
          <w:rtl/>
        </w:rPr>
        <w:br/>
      </w:r>
      <w:r w:rsidRPr="00BB0C7C">
        <w:rPr>
          <w:rFonts w:hint="cs"/>
          <w:b/>
          <w:bCs/>
          <w:rtl/>
        </w:rPr>
        <w:t>לאיסורים</w:t>
      </w:r>
      <w:r>
        <w:rPr>
          <w:rFonts w:hint="cs"/>
          <w:rtl/>
        </w:rPr>
        <w:t xml:space="preserve"> </w:t>
      </w:r>
      <w:r>
        <w:rPr>
          <w:rtl/>
        </w:rPr>
        <w:t>–</w:t>
      </w:r>
      <w:r>
        <w:rPr>
          <w:rFonts w:hint="cs"/>
          <w:rtl/>
        </w:rPr>
        <w:t xml:space="preserve"> יו"ט מותר במלאכת אוכל נפש</w:t>
      </w:r>
      <w:r>
        <w:rPr>
          <w:rStyle w:val="a5"/>
          <w:rtl/>
        </w:rPr>
        <w:footnoteReference w:id="10"/>
      </w:r>
      <w:r>
        <w:rPr>
          <w:rFonts w:hint="cs"/>
          <w:rtl/>
        </w:rPr>
        <w:t>, שבת אסורה גם בזה.</w:t>
      </w:r>
      <w:r>
        <w:rPr>
          <w:rtl/>
        </w:rPr>
        <w:br/>
      </w:r>
      <w:r w:rsidRPr="00BB0C7C">
        <w:rPr>
          <w:rFonts w:hint="cs"/>
          <w:b/>
          <w:bCs/>
          <w:rtl/>
        </w:rPr>
        <w:t>מכשירי אוכל נפש ביו"ט</w:t>
      </w:r>
      <w:r>
        <w:rPr>
          <w:rFonts w:hint="cs"/>
          <w:rtl/>
        </w:rPr>
        <w:t xml:space="preserve"> </w:t>
      </w:r>
      <w:r>
        <w:rPr>
          <w:rtl/>
        </w:rPr>
        <w:t>–</w:t>
      </w:r>
      <w:r>
        <w:rPr>
          <w:rFonts w:hint="cs"/>
          <w:rtl/>
        </w:rPr>
        <w:t xml:space="preserve"> לר"י כשא"א מערב יו"ט מותרין, לרבנן ולמתני' אסורין בכל גווני.</w:t>
      </w:r>
      <w:r>
        <w:rPr>
          <w:rStyle w:val="a5"/>
          <w:rtl/>
        </w:rPr>
        <w:footnoteReference w:id="11"/>
      </w:r>
    </w:p>
    <w:p w:rsidR="0089731C" w:rsidRDefault="0089731C" w:rsidP="0089731C">
      <w:pPr>
        <w:rPr>
          <w:rFonts w:hint="cs"/>
          <w:rtl/>
        </w:rPr>
      </w:pPr>
      <w:r w:rsidRPr="00BB0C7C">
        <w:rPr>
          <w:rFonts w:hint="cs"/>
          <w:b/>
          <w:bCs/>
          <w:rtl/>
        </w:rPr>
        <w:t>שבת</w:t>
      </w:r>
      <w:r>
        <w:rPr>
          <w:rFonts w:hint="cs"/>
          <w:rtl/>
        </w:rPr>
        <w:t xml:space="preserve"> </w:t>
      </w:r>
      <w:r>
        <w:rPr>
          <w:rtl/>
        </w:rPr>
        <w:t>–</w:t>
      </w:r>
      <w:r>
        <w:rPr>
          <w:rFonts w:hint="cs"/>
          <w:rtl/>
        </w:rPr>
        <w:t xml:space="preserve"> עונשה בזדון בידי אדם. ואם הזיק בשעת חילול שבת פטור מתשלומין.</w:t>
      </w:r>
      <w:r>
        <w:rPr>
          <w:rtl/>
        </w:rPr>
        <w:br/>
      </w:r>
      <w:r w:rsidRPr="00BB0C7C">
        <w:rPr>
          <w:rFonts w:hint="cs"/>
          <w:b/>
          <w:bCs/>
          <w:rtl/>
        </w:rPr>
        <w:t>יום הכיפורים</w:t>
      </w:r>
      <w:r>
        <w:rPr>
          <w:rFonts w:hint="cs"/>
          <w:rtl/>
        </w:rPr>
        <w:t xml:space="preserve"> </w:t>
      </w:r>
      <w:r>
        <w:rPr>
          <w:rtl/>
        </w:rPr>
        <w:t>–</w:t>
      </w:r>
      <w:r>
        <w:rPr>
          <w:rFonts w:hint="cs"/>
          <w:rtl/>
        </w:rPr>
        <w:t xml:space="preserve"> עונשה בזדון בכרת.</w:t>
      </w:r>
      <w:r>
        <w:rPr>
          <w:rtl/>
        </w:rPr>
        <w:br/>
      </w:r>
      <w:r>
        <w:rPr>
          <w:rFonts w:hint="cs"/>
          <w:rtl/>
        </w:rPr>
        <w:t>אם הזיק בשעת חילול יוהכ"פ, לר' נחוניא ב"ה ולמתני' פטור, לרבנן חייב.</w:t>
      </w:r>
    </w:p>
    <w:p w:rsidR="006129BE" w:rsidRDefault="0089731C" w:rsidP="0089731C">
      <w:r w:rsidRPr="00BB0C7C">
        <w:rPr>
          <w:rFonts w:hint="cs"/>
          <w:b/>
          <w:bCs/>
          <w:rtl/>
        </w:rPr>
        <w:t>חייבי כריתות שלקו</w:t>
      </w:r>
      <w:r>
        <w:rPr>
          <w:rFonts w:hint="cs"/>
          <w:rtl/>
        </w:rPr>
        <w:t xml:space="preserve"> </w:t>
      </w:r>
      <w:r>
        <w:rPr>
          <w:rtl/>
        </w:rPr>
        <w:t>–</w:t>
      </w:r>
      <w:r>
        <w:rPr>
          <w:rFonts w:hint="cs"/>
          <w:rtl/>
        </w:rPr>
        <w:t xml:space="preserve"> לרחב"ג נפטרו מכריתתן, לרבנן לא נפטרו.</w:t>
      </w:r>
      <w:r>
        <w:rPr>
          <w:rStyle w:val="a5"/>
          <w:rtl/>
        </w:rPr>
        <w:footnoteReference w:id="12"/>
      </w:r>
      <w:r>
        <w:rPr>
          <w:rtl/>
        </w:rPr>
        <w:br/>
      </w:r>
      <w:r w:rsidRPr="00BB0C7C">
        <w:rPr>
          <w:rFonts w:hint="cs"/>
          <w:b/>
          <w:bCs/>
          <w:rtl/>
        </w:rPr>
        <w:t>חייבי כריתות</w:t>
      </w:r>
      <w:r>
        <w:rPr>
          <w:rFonts w:hint="cs"/>
          <w:rtl/>
        </w:rPr>
        <w:t xml:space="preserve"> </w:t>
      </w:r>
      <w:r w:rsidRPr="00BB0C7C">
        <w:rPr>
          <w:rFonts w:hint="cs"/>
          <w:b/>
          <w:bCs/>
          <w:rtl/>
        </w:rPr>
        <w:t>להלקותן</w:t>
      </w:r>
      <w:r>
        <w:rPr>
          <w:rFonts w:hint="cs"/>
          <w:rtl/>
        </w:rPr>
        <w:t xml:space="preserve"> </w:t>
      </w:r>
      <w:r>
        <w:rPr>
          <w:rtl/>
        </w:rPr>
        <w:t>–</w:t>
      </w:r>
      <w:r>
        <w:rPr>
          <w:rFonts w:hint="cs"/>
          <w:rtl/>
        </w:rPr>
        <w:t xml:space="preserve"> לר' יצחק אין מלקות, לרחב"ג וחביריו הנ"ל לוקין.</w:t>
      </w:r>
      <w:r>
        <w:rPr>
          <w:rStyle w:val="a5"/>
          <w:rtl/>
        </w:rPr>
        <w:footnoteReference w:id="13"/>
      </w:r>
      <w:r>
        <w:rPr>
          <w:rtl/>
        </w:rPr>
        <w:br/>
      </w:r>
      <w:r>
        <w:rPr>
          <w:rFonts w:hint="cs"/>
          <w:rtl/>
        </w:rPr>
        <w:t>בשיטת מתני' בזה יש כמה דרכים.</w:t>
      </w:r>
      <w:r>
        <w:rPr>
          <w:rStyle w:val="a5"/>
          <w:rtl/>
        </w:rPr>
        <w:footnoteReference w:id="14"/>
      </w:r>
    </w:p>
    <w:sectPr w:rsidR="006129BE" w:rsidSect="001D13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57F" w:rsidRDefault="0091057F" w:rsidP="0089731C">
      <w:pPr>
        <w:spacing w:after="0" w:line="240" w:lineRule="auto"/>
      </w:pPr>
      <w:r>
        <w:separator/>
      </w:r>
    </w:p>
  </w:endnote>
  <w:endnote w:type="continuationSeparator" w:id="0">
    <w:p w:rsidR="0091057F" w:rsidRDefault="0091057F" w:rsidP="00897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57F" w:rsidRDefault="0091057F" w:rsidP="0089731C">
      <w:pPr>
        <w:spacing w:after="0" w:line="240" w:lineRule="auto"/>
      </w:pPr>
      <w:r>
        <w:separator/>
      </w:r>
    </w:p>
  </w:footnote>
  <w:footnote w:type="continuationSeparator" w:id="0">
    <w:p w:rsidR="0091057F" w:rsidRDefault="0091057F" w:rsidP="0089731C">
      <w:pPr>
        <w:spacing w:after="0" w:line="240" w:lineRule="auto"/>
      </w:pPr>
      <w:r>
        <w:continuationSeparator/>
      </w:r>
    </w:p>
  </w:footnote>
  <w:footnote w:id="1">
    <w:p w:rsidR="0089731C" w:rsidRPr="0089731C" w:rsidRDefault="0089731C" w:rsidP="0089731C">
      <w:pPr>
        <w:pStyle w:val="a3"/>
        <w:rPr>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מבואר בגמרא דגם לשיטה זו נאמרה ברוח הקדש אך לא ניתנה ברוה"ק להיכתב. ומ"מ מדרבנן תיקנוה בכתיבה ולכן הקוראה על פה לא יצא לכו"ע. ויש עוד דינים לתפירתה וכתיבתה. תוס'.</w:t>
      </w:r>
    </w:p>
  </w:footnote>
  <w:footnote w:id="2">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אפשר דכן ס"ל גם לר"מ ור' יוסי דל"פ עליו בזה.</w:t>
      </w:r>
    </w:p>
  </w:footnote>
  <w:footnote w:id="3">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שמביאה עכברין ומפסידים את כתבי הקדש. והנידון בסוגיין אי אסתר בכלל כתבי הקדש.</w:t>
      </w:r>
    </w:p>
  </w:footnote>
  <w:footnote w:id="4">
    <w:p w:rsidR="0089731C" w:rsidRPr="0089731C" w:rsidRDefault="0089731C" w:rsidP="0089731C">
      <w:pPr>
        <w:pStyle w:val="a3"/>
        <w:rPr>
          <w:rFonts w:hint="cs"/>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חבריו של רשב"מ אמרו לו דמטמא, ואפ' דמודים שהוא מח' ב"ש וב"ה אלא דנקטו ההלכה.</w:t>
      </w:r>
    </w:p>
  </w:footnote>
  <w:footnote w:id="5">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ודעת שאר תנאי לא נתפרשה בזה להדיא.</w:t>
      </w:r>
    </w:p>
  </w:footnote>
  <w:footnote w:id="6">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והביאו על זה שמונה מקורות, ועל חלק מהם יש פירכא.</w:t>
      </w:r>
    </w:p>
  </w:footnote>
  <w:footnote w:id="7">
    <w:p w:rsidR="0089731C" w:rsidRPr="0089731C" w:rsidRDefault="0089731C" w:rsidP="0089731C">
      <w:pPr>
        <w:pStyle w:val="a3"/>
        <w:rPr>
          <w:rFonts w:hint="cs"/>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לכל אביון מתנה אחת. רש"י. והנה לפי הגירסא שלפנינו משמע דאפשר לקיים בנתינה אחת גם משלוח מנות וגם מתנות לאביונים, אמנם הב"ח והגר"א מחקו מתנות לאביונים. ואלו שגורסים מתל"א היתה להם גירסה אחרת שחזר ושלח עוד הפעם ובזה קיים גם מתנות לאביונים.</w:t>
      </w:r>
    </w:p>
  </w:footnote>
  <w:footnote w:id="8">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לפי רש"י אולי יש ללמוד מכאן הידור לאכול עם חבירו כדי להרבות השמחה. אמנם לפי הר"ן נתחדשה כאן עצה לקיום משלוח מנות למי שאין לו.</w:t>
      </w:r>
    </w:p>
  </w:footnote>
  <w:footnote w:id="9">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ומשמע מתוס' שכוונתם לנוסח שאומרים אחר קריאת המגילה, ומביאים מירושלמי לומר גם ארורה זרש ברוכה אסתר ארורים וכו'.</w:t>
      </w:r>
    </w:p>
  </w:footnote>
  <w:footnote w:id="10">
    <w:p w:rsidR="0089731C" w:rsidRPr="0089731C" w:rsidRDefault="0089731C" w:rsidP="0089731C">
      <w:pPr>
        <w:pStyle w:val="a3"/>
        <w:rPr>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 xml:space="preserve">עי' תוס' דאוכל נפש המתקלקל אם יעשוהו מעיו"ט, מותר לכו"ע לעשותו ביו"ט לכתחילה. ואם עדיף לו מעיו"ט, אסור להכינו ביו"ט. </w:t>
      </w:r>
    </w:p>
  </w:footnote>
  <w:footnote w:id="11">
    <w:p w:rsidR="0089731C" w:rsidRPr="0089731C" w:rsidRDefault="0089731C" w:rsidP="0089731C">
      <w:pPr>
        <w:pStyle w:val="a3"/>
        <w:rPr>
          <w:rFonts w:hint="cs"/>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לכלבים ולגויים אסור אף אוכל נפש.</w:t>
      </w:r>
    </w:p>
  </w:footnote>
  <w:footnote w:id="12">
    <w:p w:rsidR="0089731C" w:rsidRPr="0089731C" w:rsidRDefault="0089731C" w:rsidP="0089731C">
      <w:pPr>
        <w:pStyle w:val="a3"/>
        <w:rPr>
          <w:rFonts w:hint="cs"/>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מלקין רק אם יש עדים והתראה. רש"י.</w:t>
      </w:r>
    </w:p>
  </w:footnote>
  <w:footnote w:id="13">
    <w:p w:rsidR="0089731C" w:rsidRPr="0089731C" w:rsidRDefault="0089731C" w:rsidP="0089731C">
      <w:pPr>
        <w:pStyle w:val="a3"/>
        <w:rPr>
          <w:rFonts w:hint="cs"/>
          <w:sz w:val="18"/>
          <w:szCs w:val="18"/>
          <w:rtl/>
        </w:rPr>
      </w:pPr>
      <w:r w:rsidRPr="0089731C">
        <w:rPr>
          <w:rStyle w:val="a5"/>
          <w:sz w:val="18"/>
          <w:szCs w:val="18"/>
        </w:rPr>
        <w:footnoteRef/>
      </w:r>
      <w:r w:rsidRPr="0089731C">
        <w:rPr>
          <w:sz w:val="18"/>
          <w:szCs w:val="18"/>
          <w:rtl/>
        </w:rPr>
        <w:t xml:space="preserve"> </w:t>
      </w:r>
      <w:r w:rsidRPr="0089731C">
        <w:rPr>
          <w:rFonts w:hint="cs"/>
          <w:sz w:val="18"/>
          <w:szCs w:val="18"/>
          <w:rtl/>
        </w:rPr>
        <w:t>אלא דנחלקו אם הלקאתן פוטרת מכרת.</w:t>
      </w:r>
    </w:p>
  </w:footnote>
  <w:footnote w:id="14">
    <w:p w:rsidR="0089731C" w:rsidRPr="0089731C" w:rsidRDefault="0089731C" w:rsidP="0089731C">
      <w:pPr>
        <w:pStyle w:val="a3"/>
        <w:rPr>
          <w:rFonts w:hint="cs"/>
          <w:sz w:val="18"/>
          <w:szCs w:val="18"/>
        </w:rPr>
      </w:pPr>
      <w:r w:rsidRPr="0089731C">
        <w:rPr>
          <w:rStyle w:val="a5"/>
          <w:sz w:val="18"/>
          <w:szCs w:val="18"/>
        </w:rPr>
        <w:footnoteRef/>
      </w:r>
      <w:r w:rsidRPr="0089731C">
        <w:rPr>
          <w:sz w:val="18"/>
          <w:szCs w:val="18"/>
          <w:rtl/>
        </w:rPr>
        <w:t xml:space="preserve"> </w:t>
      </w:r>
      <w:r w:rsidRPr="0089731C">
        <w:rPr>
          <w:rFonts w:hint="cs"/>
          <w:sz w:val="18"/>
          <w:szCs w:val="18"/>
          <w:rtl/>
        </w:rPr>
        <w:t>לרבא מוכח דסברה כרבנן דרחב"ג, לרנב"י יש לדחות ראיה זו אם תסבור כר' יצחק. ולר"א יש לדחות ראיה זו אף אי תסבור כרבנן דר' יצחק.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89731C"/>
    <w:rsid w:val="001D1307"/>
    <w:rsid w:val="005B4FBC"/>
    <w:rsid w:val="006129BE"/>
    <w:rsid w:val="0089731C"/>
    <w:rsid w:val="0091057F"/>
    <w:rsid w:val="00AA505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1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9731C"/>
    <w:pPr>
      <w:spacing w:after="0" w:line="240" w:lineRule="auto"/>
    </w:pPr>
    <w:rPr>
      <w:sz w:val="20"/>
      <w:szCs w:val="20"/>
    </w:rPr>
  </w:style>
  <w:style w:type="character" w:customStyle="1" w:styleId="a4">
    <w:name w:val="טקסט הערת שוליים תו"/>
    <w:basedOn w:val="a0"/>
    <w:link w:val="a3"/>
    <w:uiPriority w:val="99"/>
    <w:semiHidden/>
    <w:rsid w:val="0089731C"/>
    <w:rPr>
      <w:sz w:val="20"/>
      <w:szCs w:val="20"/>
    </w:rPr>
  </w:style>
  <w:style w:type="character" w:styleId="a5">
    <w:name w:val="footnote reference"/>
    <w:basedOn w:val="a0"/>
    <w:uiPriority w:val="99"/>
    <w:semiHidden/>
    <w:unhideWhenUsed/>
    <w:rsid w:val="0089731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982</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2014-07-19T23:56:00Z</dcterms:created>
  <dcterms:modified xsi:type="dcterms:W3CDTF">2014-07-19T23:58:00Z</dcterms:modified>
</cp:coreProperties>
</file>