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2C8" w:rsidRDefault="009842C8" w:rsidP="009842C8">
      <w:pPr>
        <w:rPr>
          <w:rFonts w:hint="cs"/>
          <w:b/>
          <w:bCs/>
          <w:sz w:val="24"/>
          <w:szCs w:val="24"/>
          <w:rtl/>
        </w:rPr>
      </w:pPr>
      <w:r>
        <w:rPr>
          <w:rFonts w:hint="cs"/>
          <w:b/>
          <w:bCs/>
          <w:sz w:val="24"/>
          <w:szCs w:val="24"/>
          <w:rtl/>
        </w:rPr>
        <w:t>פרק בני העיר</w:t>
      </w:r>
    </w:p>
    <w:p w:rsidR="009842C8" w:rsidRPr="009F2A15" w:rsidRDefault="009842C8" w:rsidP="009842C8">
      <w:pPr>
        <w:rPr>
          <w:rFonts w:hint="cs"/>
          <w:b/>
          <w:bCs/>
          <w:i/>
          <w:iCs/>
          <w:rtl/>
        </w:rPr>
      </w:pPr>
      <w:r w:rsidRPr="009F2A15">
        <w:rPr>
          <w:rFonts w:hint="cs"/>
          <w:b/>
          <w:bCs/>
          <w:i/>
          <w:iCs/>
          <w:rtl/>
        </w:rPr>
        <w:t>כו.</w:t>
      </w:r>
    </w:p>
    <w:p w:rsidR="009842C8" w:rsidRDefault="009842C8" w:rsidP="009842C8">
      <w:pPr>
        <w:rPr>
          <w:rtl/>
        </w:rPr>
      </w:pPr>
      <w:r>
        <w:rPr>
          <w:rFonts w:hint="cs"/>
          <w:rtl/>
        </w:rPr>
        <w:t>מעלין בקדש ואין מורידין.</w:t>
      </w:r>
      <w:r>
        <w:rPr>
          <w:rStyle w:val="a5"/>
          <w:rtl/>
        </w:rPr>
        <w:footnoteReference w:id="1"/>
      </w:r>
      <w:r>
        <w:rPr>
          <w:rtl/>
        </w:rPr>
        <w:br/>
      </w:r>
      <w:r w:rsidRPr="009F2A15">
        <w:rPr>
          <w:rFonts w:hint="cs"/>
          <w:b/>
          <w:bCs/>
          <w:rtl/>
        </w:rPr>
        <w:t>רחובה של העיר</w:t>
      </w:r>
      <w:r>
        <w:rPr>
          <w:rFonts w:hint="cs"/>
          <w:rtl/>
        </w:rPr>
        <w:t xml:space="preserve"> </w:t>
      </w:r>
      <w:r>
        <w:rPr>
          <w:rtl/>
        </w:rPr>
        <w:t>–</w:t>
      </w:r>
      <w:r>
        <w:rPr>
          <w:rFonts w:hint="cs"/>
          <w:rtl/>
        </w:rPr>
        <w:t xml:space="preserve"> למשנתינו יש בו קדושה. והוא שיטת רמב"י ולחכמים אין בו קדושה.</w:t>
      </w:r>
      <w:r>
        <w:rPr>
          <w:rStyle w:val="a5"/>
          <w:rtl/>
        </w:rPr>
        <w:footnoteReference w:id="2"/>
      </w:r>
      <w:r>
        <w:rPr>
          <w:rtl/>
        </w:rPr>
        <w:br/>
      </w:r>
      <w:r w:rsidRPr="009F2A15">
        <w:rPr>
          <w:rFonts w:hint="cs"/>
          <w:b/>
          <w:bCs/>
          <w:rtl/>
        </w:rPr>
        <w:t>בני העיר שמכרו רחובה של עיר</w:t>
      </w:r>
      <w:r>
        <w:rPr>
          <w:rFonts w:hint="cs"/>
          <w:rtl/>
        </w:rPr>
        <w:t xml:space="preserve"> (למ"ד דקדוש) </w:t>
      </w:r>
      <w:r>
        <w:rPr>
          <w:rtl/>
        </w:rPr>
        <w:t>–</w:t>
      </w:r>
      <w:r>
        <w:rPr>
          <w:rFonts w:hint="cs"/>
          <w:rtl/>
        </w:rPr>
        <w:t xml:space="preserve"> לוקחין בדמיו בית הכנסת.</w:t>
      </w:r>
      <w:r>
        <w:rPr>
          <w:rStyle w:val="a5"/>
          <w:rtl/>
        </w:rPr>
        <w:footnoteReference w:id="3"/>
      </w:r>
      <w:r>
        <w:rPr>
          <w:rtl/>
        </w:rPr>
        <w:br/>
      </w:r>
      <w:r w:rsidRPr="009F2A15">
        <w:rPr>
          <w:rFonts w:hint="cs"/>
          <w:b/>
          <w:bCs/>
          <w:rtl/>
        </w:rPr>
        <w:t>מכרו בית כנסת</w:t>
      </w:r>
      <w:r>
        <w:rPr>
          <w:rStyle w:val="a5"/>
          <w:rtl/>
        </w:rPr>
        <w:footnoteReference w:id="4"/>
      </w:r>
      <w:r>
        <w:rPr>
          <w:rFonts w:hint="cs"/>
          <w:rtl/>
        </w:rPr>
        <w:t xml:space="preserve"> </w:t>
      </w:r>
      <w:r>
        <w:rPr>
          <w:rtl/>
        </w:rPr>
        <w:t>–</w:t>
      </w:r>
      <w:r>
        <w:rPr>
          <w:rFonts w:hint="cs"/>
          <w:rtl/>
        </w:rPr>
        <w:t xml:space="preserve"> לוקחין תיבה. </w:t>
      </w:r>
      <w:r w:rsidRPr="009F2A15">
        <w:rPr>
          <w:rFonts w:hint="cs"/>
          <w:b/>
          <w:bCs/>
          <w:rtl/>
        </w:rPr>
        <w:t>מכרו תיבה</w:t>
      </w:r>
      <w:r>
        <w:rPr>
          <w:rFonts w:hint="cs"/>
          <w:rtl/>
        </w:rPr>
        <w:t xml:space="preserve"> </w:t>
      </w:r>
      <w:r>
        <w:rPr>
          <w:rtl/>
        </w:rPr>
        <w:t>–</w:t>
      </w:r>
      <w:r>
        <w:rPr>
          <w:rFonts w:hint="cs"/>
          <w:rtl/>
        </w:rPr>
        <w:t xml:space="preserve"> לוקחין מטפחות. </w:t>
      </w:r>
      <w:r w:rsidRPr="009F2A15">
        <w:rPr>
          <w:rFonts w:hint="cs"/>
          <w:b/>
          <w:bCs/>
          <w:rtl/>
        </w:rPr>
        <w:t>מכרו מטפחות</w:t>
      </w:r>
      <w:r>
        <w:rPr>
          <w:rFonts w:hint="cs"/>
          <w:rtl/>
        </w:rPr>
        <w:t xml:space="preserve"> </w:t>
      </w:r>
      <w:r>
        <w:rPr>
          <w:rtl/>
        </w:rPr>
        <w:t>–</w:t>
      </w:r>
      <w:r>
        <w:rPr>
          <w:rFonts w:hint="cs"/>
          <w:rtl/>
        </w:rPr>
        <w:t xml:space="preserve"> לוקחין נ"ך.</w:t>
      </w:r>
      <w:r>
        <w:rPr>
          <w:rtl/>
        </w:rPr>
        <w:br/>
      </w:r>
      <w:r w:rsidRPr="009F2A15">
        <w:rPr>
          <w:rFonts w:hint="cs"/>
          <w:b/>
          <w:bCs/>
          <w:rtl/>
        </w:rPr>
        <w:t xml:space="preserve">מכרו נ"ך </w:t>
      </w:r>
      <w:r>
        <w:rPr>
          <w:rtl/>
        </w:rPr>
        <w:t>–</w:t>
      </w:r>
      <w:r>
        <w:rPr>
          <w:rFonts w:hint="cs"/>
          <w:rtl/>
        </w:rPr>
        <w:t xml:space="preserve"> לוקחין תורה.</w:t>
      </w:r>
    </w:p>
    <w:p w:rsidR="009842C8" w:rsidRDefault="009842C8" w:rsidP="009842C8">
      <w:pPr>
        <w:rPr>
          <w:rFonts w:hint="cs"/>
          <w:rtl/>
        </w:rPr>
      </w:pPr>
      <w:r w:rsidRPr="009F2A15">
        <w:rPr>
          <w:rFonts w:hint="cs"/>
          <w:b/>
          <w:bCs/>
          <w:rtl/>
        </w:rPr>
        <w:t xml:space="preserve">מכרו תורה </w:t>
      </w:r>
      <w:r>
        <w:rPr>
          <w:rtl/>
        </w:rPr>
        <w:t>–</w:t>
      </w:r>
      <w:r>
        <w:rPr>
          <w:rFonts w:hint="cs"/>
          <w:rtl/>
        </w:rPr>
        <w:t xml:space="preserve"> לא יקחו נ"ך</w:t>
      </w:r>
      <w:r w:rsidRPr="009F2A15">
        <w:rPr>
          <w:rFonts w:hint="cs"/>
          <w:b/>
          <w:bCs/>
          <w:rtl/>
        </w:rPr>
        <w:t xml:space="preserve">. נ"ך </w:t>
      </w:r>
      <w:r>
        <w:rPr>
          <w:rtl/>
        </w:rPr>
        <w:t>–</w:t>
      </w:r>
      <w:r>
        <w:rPr>
          <w:rFonts w:hint="cs"/>
          <w:rtl/>
        </w:rPr>
        <w:t xml:space="preserve"> לא יקחו מטפחות. </w:t>
      </w:r>
      <w:r w:rsidRPr="009F2A15">
        <w:rPr>
          <w:rFonts w:hint="cs"/>
          <w:b/>
          <w:bCs/>
          <w:rtl/>
        </w:rPr>
        <w:t>מטפחות</w:t>
      </w:r>
      <w:r>
        <w:rPr>
          <w:rFonts w:hint="cs"/>
          <w:rtl/>
        </w:rPr>
        <w:t xml:space="preserve"> </w:t>
      </w:r>
      <w:r>
        <w:rPr>
          <w:rtl/>
        </w:rPr>
        <w:t>–</w:t>
      </w:r>
      <w:r>
        <w:rPr>
          <w:rFonts w:hint="cs"/>
          <w:rtl/>
        </w:rPr>
        <w:t xml:space="preserve"> לא יקחו תיבה.</w:t>
      </w:r>
      <w:r>
        <w:rPr>
          <w:rtl/>
        </w:rPr>
        <w:br/>
      </w:r>
      <w:r w:rsidRPr="009F2A15">
        <w:rPr>
          <w:rFonts w:hint="cs"/>
          <w:b/>
          <w:bCs/>
          <w:rtl/>
        </w:rPr>
        <w:t>תיבה</w:t>
      </w:r>
      <w:r>
        <w:rPr>
          <w:rFonts w:hint="cs"/>
          <w:rtl/>
        </w:rPr>
        <w:t xml:space="preserve"> </w:t>
      </w:r>
      <w:r>
        <w:rPr>
          <w:rtl/>
        </w:rPr>
        <w:t>–</w:t>
      </w:r>
      <w:r>
        <w:rPr>
          <w:rFonts w:hint="cs"/>
          <w:rtl/>
        </w:rPr>
        <w:t xml:space="preserve"> לא יקחו בית הכנסת. </w:t>
      </w:r>
      <w:r w:rsidRPr="009F2A15">
        <w:rPr>
          <w:rFonts w:hint="cs"/>
          <w:b/>
          <w:bCs/>
          <w:rtl/>
        </w:rPr>
        <w:t>בית הכנסת</w:t>
      </w:r>
      <w:r>
        <w:rPr>
          <w:rFonts w:hint="cs"/>
          <w:rtl/>
        </w:rPr>
        <w:t xml:space="preserve"> </w:t>
      </w:r>
      <w:r>
        <w:rPr>
          <w:rtl/>
        </w:rPr>
        <w:t>–</w:t>
      </w:r>
      <w:r>
        <w:rPr>
          <w:rFonts w:hint="cs"/>
          <w:rtl/>
        </w:rPr>
        <w:t xml:space="preserve"> לא יקחו רחוב.</w:t>
      </w:r>
      <w:r>
        <w:rPr>
          <w:rtl/>
        </w:rPr>
        <w:br/>
      </w:r>
      <w:r w:rsidRPr="009F2A15">
        <w:rPr>
          <w:rFonts w:hint="cs"/>
          <w:b/>
          <w:bCs/>
          <w:rtl/>
        </w:rPr>
        <w:t>מכרו והעלו בקדש ונותרו דמים</w:t>
      </w:r>
      <w:r>
        <w:rPr>
          <w:rFonts w:hint="cs"/>
          <w:rtl/>
        </w:rPr>
        <w:t xml:space="preserve"> </w:t>
      </w:r>
      <w:r>
        <w:rPr>
          <w:rtl/>
        </w:rPr>
        <w:t>–</w:t>
      </w:r>
      <w:r>
        <w:rPr>
          <w:rFonts w:hint="cs"/>
          <w:rtl/>
        </w:rPr>
        <w:t xml:space="preserve"> אף את המותר אין להוריד בקדש.</w:t>
      </w:r>
    </w:p>
    <w:p w:rsidR="009842C8" w:rsidRDefault="009842C8" w:rsidP="009842C8">
      <w:pPr>
        <w:rPr>
          <w:rFonts w:hint="cs"/>
          <w:rtl/>
        </w:rPr>
      </w:pPr>
      <w:r w:rsidRPr="009F2A15">
        <w:rPr>
          <w:rFonts w:hint="cs"/>
          <w:b/>
          <w:bCs/>
          <w:rtl/>
        </w:rPr>
        <w:t>מכירת בית כנסת;</w:t>
      </w:r>
      <w:r w:rsidRPr="009F2A15">
        <w:rPr>
          <w:b/>
          <w:bCs/>
          <w:rtl/>
        </w:rPr>
        <w:br/>
      </w:r>
      <w:r w:rsidRPr="009F2A15">
        <w:rPr>
          <w:rFonts w:hint="cs"/>
          <w:b/>
          <w:bCs/>
          <w:rtl/>
        </w:rPr>
        <w:t>של כפרים</w:t>
      </w:r>
      <w:r>
        <w:rPr>
          <w:rFonts w:hint="cs"/>
          <w:rtl/>
        </w:rPr>
        <w:t xml:space="preserve"> </w:t>
      </w:r>
      <w:r>
        <w:rPr>
          <w:rtl/>
        </w:rPr>
        <w:t>–</w:t>
      </w:r>
      <w:r>
        <w:rPr>
          <w:rFonts w:hint="cs"/>
          <w:rtl/>
        </w:rPr>
        <w:t xml:space="preserve"> מותר למכור וכנ"ל (אלא דבדמיו מעלין בקדש ולא מורידין).</w:t>
      </w:r>
      <w:r>
        <w:rPr>
          <w:rtl/>
        </w:rPr>
        <w:br/>
      </w:r>
      <w:r w:rsidRPr="009F2A15">
        <w:rPr>
          <w:rFonts w:hint="cs"/>
          <w:b/>
          <w:bCs/>
          <w:rtl/>
        </w:rPr>
        <w:t>של כרכים</w:t>
      </w:r>
      <w:r>
        <w:rPr>
          <w:rFonts w:hint="cs"/>
          <w:rtl/>
        </w:rPr>
        <w:t xml:space="preserve"> </w:t>
      </w:r>
      <w:r>
        <w:rPr>
          <w:rtl/>
        </w:rPr>
        <w:t>–</w:t>
      </w:r>
      <w:r>
        <w:rPr>
          <w:rFonts w:hint="cs"/>
          <w:rtl/>
        </w:rPr>
        <w:t xml:space="preserve"> אי אפשר למכור.</w:t>
      </w:r>
      <w:r>
        <w:rPr>
          <w:rStyle w:val="a5"/>
          <w:rtl/>
        </w:rPr>
        <w:footnoteReference w:id="5"/>
      </w:r>
      <w:r>
        <w:rPr>
          <w:rtl/>
        </w:rPr>
        <w:br/>
      </w:r>
      <w:r w:rsidRPr="009F2A15">
        <w:rPr>
          <w:rFonts w:hint="cs"/>
          <w:b/>
          <w:bCs/>
          <w:rtl/>
        </w:rPr>
        <w:t>בית הכנסת שנבנה על דעת חכם</w:t>
      </w:r>
      <w:r>
        <w:rPr>
          <w:rFonts w:hint="cs"/>
          <w:rtl/>
        </w:rPr>
        <w:t xml:space="preserve"> </w:t>
      </w:r>
      <w:r>
        <w:rPr>
          <w:rtl/>
        </w:rPr>
        <w:t>–</w:t>
      </w:r>
      <w:r>
        <w:rPr>
          <w:rFonts w:hint="cs"/>
          <w:rtl/>
        </w:rPr>
        <w:t xml:space="preserve"> מותר למוכרו בהסכמתו, </w:t>
      </w:r>
      <w:r>
        <w:rPr>
          <w:rtl/>
        </w:rPr>
        <w:br/>
      </w:r>
      <w:r>
        <w:rPr>
          <w:rFonts w:hint="cs"/>
          <w:rtl/>
        </w:rPr>
        <w:tab/>
        <w:t>כגון בי כנישתא דמתא מחסיא בדורו של רב אשי. ואפילו נמצא בכרך.</w:t>
      </w:r>
      <w:r>
        <w:rPr>
          <w:rtl/>
        </w:rPr>
        <w:br/>
      </w:r>
      <w:r w:rsidRPr="009F2A15">
        <w:rPr>
          <w:rFonts w:hint="cs"/>
          <w:b/>
          <w:bCs/>
          <w:rtl/>
        </w:rPr>
        <w:t>נבנה ע"י קבוצה קטנה לעצמם</w:t>
      </w:r>
      <w:r>
        <w:rPr>
          <w:rFonts w:hint="cs"/>
          <w:rtl/>
        </w:rPr>
        <w:t xml:space="preserve"> </w:t>
      </w:r>
      <w:r>
        <w:rPr>
          <w:rtl/>
        </w:rPr>
        <w:t>–</w:t>
      </w:r>
      <w:r>
        <w:rPr>
          <w:rFonts w:hint="cs"/>
          <w:rtl/>
        </w:rPr>
        <w:t xml:space="preserve"> מותר למוכרו על דעתם. אפילו נמצא בכרך.</w:t>
      </w:r>
      <w:r>
        <w:rPr>
          <w:rtl/>
        </w:rPr>
        <w:br/>
      </w:r>
      <w:r>
        <w:rPr>
          <w:rFonts w:hint="cs"/>
          <w:rtl/>
        </w:rPr>
        <w:tab/>
        <w:t>כגון ביהכנ"ס של טורסיים שהיה בירושלים.</w:t>
      </w:r>
      <w:r>
        <w:rPr>
          <w:rtl/>
        </w:rPr>
        <w:br/>
      </w:r>
      <w:r>
        <w:rPr>
          <w:rFonts w:hint="cs"/>
          <w:rtl/>
        </w:rPr>
        <w:t>ובמכירה כזו יוצא לחולין, כמו שנהג ר"א שקנה מהם ועשה בה כל צרכיו.</w:t>
      </w:r>
      <w:r>
        <w:rPr>
          <w:rtl/>
        </w:rPr>
        <w:br/>
      </w:r>
      <w:r w:rsidRPr="009F2A15">
        <w:rPr>
          <w:rFonts w:hint="cs"/>
          <w:b/>
          <w:bCs/>
          <w:rtl/>
        </w:rPr>
        <w:t>בית כנסת שנמכר בלא שבעה טובי העיר ומעמד אנשי העיר</w:t>
      </w:r>
      <w:r>
        <w:rPr>
          <w:rFonts w:hint="cs"/>
          <w:rtl/>
        </w:rPr>
        <w:t xml:space="preserve"> </w:t>
      </w:r>
      <w:r>
        <w:rPr>
          <w:rtl/>
        </w:rPr>
        <w:t>–</w:t>
      </w:r>
      <w:r>
        <w:rPr>
          <w:rFonts w:hint="cs"/>
          <w:rtl/>
        </w:rPr>
        <w:t xml:space="preserve"> ביהכנ"ס והדמים בקדושה.</w:t>
      </w:r>
      <w:r>
        <w:rPr>
          <w:rtl/>
        </w:rPr>
        <w:br/>
      </w:r>
      <w:r w:rsidRPr="009F2A15">
        <w:rPr>
          <w:rFonts w:hint="cs"/>
          <w:b/>
          <w:bCs/>
          <w:rtl/>
        </w:rPr>
        <w:t>נמכר ע"י טובי העיר במעמדם</w:t>
      </w:r>
      <w:r>
        <w:rPr>
          <w:rFonts w:hint="cs"/>
          <w:rtl/>
        </w:rPr>
        <w:t xml:space="preserve"> </w:t>
      </w:r>
      <w:r>
        <w:rPr>
          <w:rtl/>
        </w:rPr>
        <w:t>–</w:t>
      </w:r>
      <w:r>
        <w:rPr>
          <w:rFonts w:hint="cs"/>
          <w:rtl/>
        </w:rPr>
        <w:t xml:space="preserve"> בית הכנסת והדמים חולין גמורים.</w:t>
      </w:r>
      <w:r>
        <w:rPr>
          <w:rStyle w:val="a5"/>
          <w:rtl/>
        </w:rPr>
        <w:footnoteReference w:id="6"/>
      </w:r>
      <w:r>
        <w:rPr>
          <w:rtl/>
        </w:rPr>
        <w:br/>
      </w:r>
      <w:r>
        <w:rPr>
          <w:rFonts w:hint="cs"/>
          <w:rtl/>
        </w:rPr>
        <w:tab/>
        <w:t>אפילו לשתות שכר בו או בדמיו, או לזרוע בו.</w:t>
      </w:r>
      <w:r>
        <w:rPr>
          <w:rStyle w:val="a5"/>
          <w:rtl/>
        </w:rPr>
        <w:footnoteReference w:id="7"/>
      </w:r>
    </w:p>
    <w:p w:rsidR="009842C8" w:rsidRDefault="009842C8" w:rsidP="009842C8">
      <w:pPr>
        <w:rPr>
          <w:rFonts w:hint="cs"/>
          <w:rtl/>
        </w:rPr>
      </w:pPr>
      <w:r w:rsidRPr="009F2A15">
        <w:rPr>
          <w:rFonts w:hint="cs"/>
          <w:b/>
          <w:bCs/>
          <w:rtl/>
        </w:rPr>
        <w:t>ירושלים</w:t>
      </w:r>
      <w:r>
        <w:rPr>
          <w:rFonts w:hint="cs"/>
          <w:rtl/>
        </w:rPr>
        <w:t xml:space="preserve"> </w:t>
      </w:r>
      <w:r>
        <w:rPr>
          <w:rtl/>
        </w:rPr>
        <w:t>–</w:t>
      </w:r>
      <w:r>
        <w:rPr>
          <w:rFonts w:hint="cs"/>
          <w:rtl/>
        </w:rPr>
        <w:t xml:space="preserve"> לת"ק לא נתחלקה לשבטים</w:t>
      </w:r>
      <w:r>
        <w:rPr>
          <w:rStyle w:val="a5"/>
          <w:rtl/>
        </w:rPr>
        <w:footnoteReference w:id="8"/>
      </w:r>
      <w:r>
        <w:rPr>
          <w:rFonts w:hint="cs"/>
          <w:rtl/>
        </w:rPr>
        <w:t>, לר' יהודה נתחלקה ליהודה ובנימין.</w:t>
      </w:r>
      <w:r>
        <w:rPr>
          <w:rStyle w:val="a5"/>
          <w:rtl/>
        </w:rPr>
        <w:footnoteReference w:id="9"/>
      </w:r>
      <w:r>
        <w:rPr>
          <w:rFonts w:hint="cs"/>
          <w:rtl/>
        </w:rPr>
        <w:br/>
      </w:r>
      <w:r w:rsidRPr="009F2A15">
        <w:rPr>
          <w:rFonts w:hint="cs"/>
          <w:b/>
          <w:bCs/>
          <w:rtl/>
        </w:rPr>
        <w:t>טומאת נגעי בתים</w:t>
      </w:r>
      <w:r>
        <w:rPr>
          <w:rFonts w:hint="cs"/>
          <w:rtl/>
        </w:rPr>
        <w:t xml:space="preserve"> </w:t>
      </w:r>
      <w:r>
        <w:rPr>
          <w:rtl/>
        </w:rPr>
        <w:t>–</w:t>
      </w:r>
      <w:r>
        <w:rPr>
          <w:rFonts w:hint="cs"/>
          <w:rtl/>
        </w:rPr>
        <w:t xml:space="preserve"> לת"ק אין מטמאה, לר"י מטמאה.</w:t>
      </w:r>
      <w:r>
        <w:rPr>
          <w:rtl/>
        </w:rPr>
        <w:br/>
      </w:r>
      <w:r w:rsidRPr="009F2A15">
        <w:rPr>
          <w:rFonts w:hint="cs"/>
          <w:b/>
          <w:bCs/>
          <w:rtl/>
        </w:rPr>
        <w:t>מקום המקדש</w:t>
      </w:r>
      <w:r>
        <w:rPr>
          <w:rFonts w:hint="cs"/>
          <w:rtl/>
        </w:rPr>
        <w:t xml:space="preserve"> </w:t>
      </w:r>
      <w:r>
        <w:rPr>
          <w:rtl/>
        </w:rPr>
        <w:t>–</w:t>
      </w:r>
      <w:r>
        <w:rPr>
          <w:rFonts w:hint="cs"/>
          <w:rtl/>
        </w:rPr>
        <w:t xml:space="preserve"> לא מיטמא. </w:t>
      </w:r>
      <w:r>
        <w:rPr>
          <w:rtl/>
        </w:rPr>
        <w:br/>
      </w:r>
      <w:r w:rsidRPr="009F2A15">
        <w:rPr>
          <w:rFonts w:hint="cs"/>
          <w:b/>
          <w:bCs/>
          <w:rtl/>
        </w:rPr>
        <w:t>בתי כנסיות ומדרשות בירושלים</w:t>
      </w:r>
      <w:r>
        <w:rPr>
          <w:rFonts w:hint="cs"/>
          <w:rtl/>
        </w:rPr>
        <w:t xml:space="preserve"> </w:t>
      </w:r>
      <w:r>
        <w:rPr>
          <w:rtl/>
        </w:rPr>
        <w:t>–</w:t>
      </w:r>
      <w:r>
        <w:rPr>
          <w:rFonts w:hint="cs"/>
          <w:rtl/>
        </w:rPr>
        <w:t xml:space="preserve"> לכאורה לכו"ע לא מיטמאין.</w:t>
      </w:r>
      <w:r>
        <w:rPr>
          <w:rStyle w:val="a5"/>
          <w:rtl/>
        </w:rPr>
        <w:footnoteReference w:id="10"/>
      </w:r>
      <w:r>
        <w:rPr>
          <w:rtl/>
        </w:rPr>
        <w:br/>
      </w:r>
      <w:r w:rsidRPr="009F2A15">
        <w:rPr>
          <w:rFonts w:hint="cs"/>
          <w:b/>
          <w:bCs/>
          <w:rtl/>
        </w:rPr>
        <w:t>השכרת בתים בירושלים</w:t>
      </w:r>
      <w:r>
        <w:rPr>
          <w:rFonts w:hint="cs"/>
          <w:rtl/>
        </w:rPr>
        <w:t xml:space="preserve"> </w:t>
      </w:r>
      <w:r>
        <w:rPr>
          <w:rtl/>
        </w:rPr>
        <w:t>–</w:t>
      </w:r>
      <w:r>
        <w:rPr>
          <w:rFonts w:hint="cs"/>
          <w:rtl/>
        </w:rPr>
        <w:t xml:space="preserve"> לת"ק אין משכירין, לר"י משכירין.</w:t>
      </w:r>
      <w:r>
        <w:rPr>
          <w:rtl/>
        </w:rPr>
        <w:br/>
      </w:r>
      <w:r w:rsidRPr="009F2A15">
        <w:rPr>
          <w:rFonts w:hint="cs"/>
          <w:b/>
          <w:bCs/>
          <w:rtl/>
        </w:rPr>
        <w:t>השכרת מיטות</w:t>
      </w:r>
      <w:r>
        <w:rPr>
          <w:rFonts w:hint="cs"/>
          <w:rtl/>
        </w:rPr>
        <w:t xml:space="preserve"> </w:t>
      </w:r>
      <w:r>
        <w:rPr>
          <w:rtl/>
        </w:rPr>
        <w:t>–</w:t>
      </w:r>
      <w:r>
        <w:rPr>
          <w:rFonts w:hint="cs"/>
          <w:rtl/>
        </w:rPr>
        <w:t xml:space="preserve"> לראבר"צ אין משכירין לשיטת ת"ק.</w:t>
      </w:r>
      <w:r>
        <w:rPr>
          <w:rStyle w:val="a5"/>
          <w:rtl/>
        </w:rPr>
        <w:footnoteReference w:id="11"/>
      </w:r>
      <w:r>
        <w:rPr>
          <w:rFonts w:hint="cs"/>
          <w:rtl/>
        </w:rPr>
        <w:t xml:space="preserve"> </w:t>
      </w:r>
      <w:r>
        <w:rPr>
          <w:rtl/>
        </w:rPr>
        <w:br/>
      </w:r>
      <w:r w:rsidRPr="009F2A15">
        <w:rPr>
          <w:rFonts w:hint="cs"/>
          <w:b/>
          <w:bCs/>
          <w:rtl/>
        </w:rPr>
        <w:lastRenderedPageBreak/>
        <w:t>עורות קדשים של המתארחים בירושלים לת"ק</w:t>
      </w:r>
      <w:r>
        <w:rPr>
          <w:rFonts w:hint="cs"/>
          <w:rtl/>
        </w:rPr>
        <w:t xml:space="preserve"> </w:t>
      </w:r>
      <w:r>
        <w:rPr>
          <w:rtl/>
        </w:rPr>
        <w:t>–</w:t>
      </w:r>
      <w:r>
        <w:rPr>
          <w:rFonts w:hint="cs"/>
          <w:rtl/>
        </w:rPr>
        <w:t xml:space="preserve"> לבעלי האכסניה.</w:t>
      </w:r>
      <w:r>
        <w:rPr>
          <w:rStyle w:val="a5"/>
          <w:rtl/>
        </w:rPr>
        <w:footnoteReference w:id="12"/>
      </w:r>
      <w:r>
        <w:rPr>
          <w:rtl/>
        </w:rPr>
        <w:br/>
      </w:r>
      <w:r w:rsidRPr="009F2A15">
        <w:rPr>
          <w:rFonts w:hint="cs"/>
          <w:b/>
          <w:bCs/>
          <w:rtl/>
        </w:rPr>
        <w:t>אכסנאי שקנה קנקן יין או שחט בהמה</w:t>
      </w:r>
      <w:r>
        <w:rPr>
          <w:rFonts w:hint="cs"/>
          <w:rtl/>
        </w:rPr>
        <w:t xml:space="preserve"> </w:t>
      </w:r>
      <w:r>
        <w:rPr>
          <w:rtl/>
        </w:rPr>
        <w:t>–</w:t>
      </w:r>
      <w:r>
        <w:rPr>
          <w:rFonts w:hint="cs"/>
          <w:rtl/>
        </w:rPr>
        <w:t xml:space="preserve"> מדת דרך ארץ להשאיר הקנקן והעור לבעל הבית.</w:t>
      </w:r>
      <w:r>
        <w:rPr>
          <w:rStyle w:val="a5"/>
          <w:rtl/>
        </w:rPr>
        <w:footnoteReference w:id="13"/>
      </w:r>
    </w:p>
    <w:p w:rsidR="009842C8" w:rsidRDefault="009842C8" w:rsidP="009842C8">
      <w:pPr>
        <w:rPr>
          <w:rFonts w:hint="cs"/>
          <w:rtl/>
        </w:rPr>
      </w:pPr>
      <w:r w:rsidRPr="004723A7">
        <w:rPr>
          <w:rFonts w:hint="cs"/>
          <w:b/>
          <w:bCs/>
          <w:i/>
          <w:iCs/>
          <w:rtl/>
        </w:rPr>
        <w:t>כו:</w:t>
      </w:r>
      <w:r w:rsidRPr="004723A7">
        <w:rPr>
          <w:b/>
          <w:bCs/>
          <w:i/>
          <w:iCs/>
          <w:rtl/>
        </w:rPr>
        <w:br/>
      </w:r>
      <w:r w:rsidRPr="004723A7">
        <w:rPr>
          <w:rFonts w:hint="cs"/>
          <w:b/>
          <w:bCs/>
          <w:rtl/>
        </w:rPr>
        <w:t>סתירת בית הכנסת</w:t>
      </w:r>
      <w:r>
        <w:rPr>
          <w:rFonts w:hint="cs"/>
          <w:rtl/>
        </w:rPr>
        <w:t xml:space="preserve"> </w:t>
      </w:r>
      <w:r>
        <w:rPr>
          <w:rtl/>
        </w:rPr>
        <w:t>–</w:t>
      </w:r>
      <w:r>
        <w:rPr>
          <w:rFonts w:hint="cs"/>
          <w:rtl/>
        </w:rPr>
        <w:t xml:space="preserve"> אסורה עד שיבנה אחר, שמא יפשע.</w:t>
      </w:r>
      <w:r>
        <w:rPr>
          <w:rtl/>
        </w:rPr>
        <w:br/>
      </w:r>
      <w:r>
        <w:rPr>
          <w:rFonts w:hint="cs"/>
          <w:rtl/>
        </w:rPr>
        <w:tab/>
        <w:t>ואף לפרק קורות ולבנים מהישן לתתם מיד בחדש, אסור.</w:t>
      </w:r>
      <w:r>
        <w:rPr>
          <w:rtl/>
        </w:rPr>
        <w:br/>
      </w:r>
      <w:r w:rsidRPr="004723A7">
        <w:rPr>
          <w:rFonts w:hint="cs"/>
          <w:b/>
          <w:bCs/>
          <w:rtl/>
        </w:rPr>
        <w:t>מכירת והחלפת בית הכנסת</w:t>
      </w:r>
      <w:r>
        <w:rPr>
          <w:rFonts w:hint="cs"/>
          <w:rtl/>
        </w:rPr>
        <w:t xml:space="preserve"> </w:t>
      </w:r>
      <w:r>
        <w:rPr>
          <w:rtl/>
        </w:rPr>
        <w:t>–</w:t>
      </w:r>
      <w:r>
        <w:rPr>
          <w:rFonts w:hint="cs"/>
          <w:rtl/>
        </w:rPr>
        <w:t xml:space="preserve"> מותרת.</w:t>
      </w:r>
      <w:r>
        <w:rPr>
          <w:rStyle w:val="a5"/>
          <w:rtl/>
        </w:rPr>
        <w:footnoteReference w:id="14"/>
      </w:r>
      <w:r>
        <w:rPr>
          <w:rtl/>
        </w:rPr>
        <w:br/>
      </w:r>
      <w:r w:rsidRPr="004723A7">
        <w:rPr>
          <w:rFonts w:hint="cs"/>
          <w:b/>
          <w:bCs/>
          <w:rtl/>
        </w:rPr>
        <w:t>השכרת ומישכון בית הכנסת</w:t>
      </w:r>
      <w:r>
        <w:rPr>
          <w:rFonts w:hint="cs"/>
          <w:rtl/>
        </w:rPr>
        <w:t xml:space="preserve"> </w:t>
      </w:r>
      <w:r>
        <w:rPr>
          <w:rtl/>
        </w:rPr>
        <w:t>–</w:t>
      </w:r>
      <w:r>
        <w:rPr>
          <w:rFonts w:hint="cs"/>
          <w:rtl/>
        </w:rPr>
        <w:t xml:space="preserve"> אסור.</w:t>
      </w:r>
      <w:r>
        <w:rPr>
          <w:rtl/>
        </w:rPr>
        <w:br/>
      </w:r>
      <w:r w:rsidRPr="004723A7">
        <w:rPr>
          <w:rFonts w:hint="cs"/>
          <w:b/>
          <w:bCs/>
          <w:rtl/>
        </w:rPr>
        <w:t>לבנים שהיו בנויות בבית הכנסת</w:t>
      </w:r>
      <w:r>
        <w:rPr>
          <w:rFonts w:hint="cs"/>
          <w:rtl/>
        </w:rPr>
        <w:t xml:space="preserve"> </w:t>
      </w:r>
      <w:r>
        <w:rPr>
          <w:rtl/>
        </w:rPr>
        <w:t>–</w:t>
      </w:r>
      <w:r>
        <w:rPr>
          <w:rFonts w:hint="cs"/>
          <w:rtl/>
        </w:rPr>
        <w:t xml:space="preserve"> החלפתן ומכירתן מותרת, הלוואתם אסורה.</w:t>
      </w:r>
      <w:r>
        <w:rPr>
          <w:rFonts w:hint="cs"/>
          <w:rtl/>
        </w:rPr>
        <w:br/>
      </w:r>
      <w:r w:rsidRPr="004723A7">
        <w:rPr>
          <w:rFonts w:hint="cs"/>
          <w:b/>
          <w:bCs/>
          <w:rtl/>
        </w:rPr>
        <w:t>נתינתן במתנה</w:t>
      </w:r>
      <w:r>
        <w:rPr>
          <w:rFonts w:hint="cs"/>
          <w:rtl/>
        </w:rPr>
        <w:t xml:space="preserve"> </w:t>
      </w:r>
      <w:r>
        <w:rPr>
          <w:rtl/>
        </w:rPr>
        <w:t>–</w:t>
      </w:r>
      <w:r>
        <w:rPr>
          <w:rFonts w:hint="cs"/>
          <w:rtl/>
        </w:rPr>
        <w:t xml:space="preserve"> יש אוסרין ויש מתירין.</w:t>
      </w:r>
      <w:r>
        <w:rPr>
          <w:rtl/>
        </w:rPr>
        <w:br/>
      </w:r>
      <w:r w:rsidRPr="004723A7">
        <w:rPr>
          <w:rFonts w:hint="cs"/>
          <w:b/>
          <w:bCs/>
          <w:rtl/>
        </w:rPr>
        <w:t>לבנים שהוזמנו לבית הכנסת</w:t>
      </w:r>
      <w:r>
        <w:rPr>
          <w:rFonts w:hint="cs"/>
          <w:rtl/>
        </w:rPr>
        <w:t xml:space="preserve"> </w:t>
      </w:r>
      <w:r>
        <w:rPr>
          <w:rtl/>
        </w:rPr>
        <w:t>–</w:t>
      </w:r>
      <w:r>
        <w:rPr>
          <w:rFonts w:hint="cs"/>
          <w:rtl/>
        </w:rPr>
        <w:t xml:space="preserve"> אין בהן קדושה.</w:t>
      </w:r>
      <w:r>
        <w:rPr>
          <w:rStyle w:val="a5"/>
          <w:rtl/>
        </w:rPr>
        <w:footnoteReference w:id="15"/>
      </w:r>
      <w:r>
        <w:rPr>
          <w:rFonts w:hint="cs"/>
          <w:rtl/>
        </w:rPr>
        <w:br/>
      </w:r>
      <w:r w:rsidRPr="004723A7">
        <w:rPr>
          <w:rFonts w:hint="cs"/>
          <w:b/>
          <w:bCs/>
          <w:rtl/>
        </w:rPr>
        <w:t>תכריכי המת</w:t>
      </w:r>
      <w:r>
        <w:rPr>
          <w:rFonts w:hint="cs"/>
          <w:rtl/>
        </w:rPr>
        <w:t xml:space="preserve"> </w:t>
      </w:r>
      <w:r>
        <w:rPr>
          <w:rtl/>
        </w:rPr>
        <w:t>–</w:t>
      </w:r>
      <w:r>
        <w:rPr>
          <w:rFonts w:hint="cs"/>
          <w:rtl/>
        </w:rPr>
        <w:t xml:space="preserve"> אסורים בהנאה.</w:t>
      </w:r>
      <w:r>
        <w:rPr>
          <w:rtl/>
        </w:rPr>
        <w:br/>
      </w:r>
      <w:r w:rsidRPr="004723A7">
        <w:rPr>
          <w:rFonts w:hint="cs"/>
          <w:b/>
          <w:bCs/>
          <w:rtl/>
        </w:rPr>
        <w:t>האורג בגד למת</w:t>
      </w:r>
      <w:r>
        <w:rPr>
          <w:rFonts w:hint="cs"/>
          <w:rtl/>
        </w:rPr>
        <w:t xml:space="preserve"> </w:t>
      </w:r>
      <w:r>
        <w:rPr>
          <w:rtl/>
        </w:rPr>
        <w:t>–</w:t>
      </w:r>
      <w:r>
        <w:rPr>
          <w:rFonts w:hint="cs"/>
          <w:rtl/>
        </w:rPr>
        <w:t xml:space="preserve"> מחלוקת אם נאסר. </w:t>
      </w:r>
      <w:r w:rsidRPr="004723A7">
        <w:rPr>
          <w:rFonts w:hint="cs"/>
          <w:b/>
          <w:bCs/>
          <w:rtl/>
        </w:rPr>
        <w:t>הטווה חוטים למת</w:t>
      </w:r>
      <w:r>
        <w:rPr>
          <w:rFonts w:hint="cs"/>
          <w:rtl/>
        </w:rPr>
        <w:t xml:space="preserve"> </w:t>
      </w:r>
      <w:r>
        <w:rPr>
          <w:rtl/>
        </w:rPr>
        <w:t>–</w:t>
      </w:r>
      <w:r>
        <w:rPr>
          <w:rFonts w:hint="cs"/>
          <w:rtl/>
        </w:rPr>
        <w:t xml:space="preserve"> לא נאסר.</w:t>
      </w:r>
    </w:p>
    <w:p w:rsidR="009842C8" w:rsidRDefault="009842C8" w:rsidP="009842C8">
      <w:pPr>
        <w:rPr>
          <w:rFonts w:hint="cs"/>
          <w:rtl/>
        </w:rPr>
      </w:pPr>
      <w:r w:rsidRPr="004723A7">
        <w:rPr>
          <w:rFonts w:hint="cs"/>
          <w:b/>
          <w:bCs/>
          <w:rtl/>
        </w:rPr>
        <w:t>תשמישי מצוה</w:t>
      </w:r>
      <w:r>
        <w:rPr>
          <w:rFonts w:hint="cs"/>
          <w:rtl/>
        </w:rPr>
        <w:t xml:space="preserve"> </w:t>
      </w:r>
      <w:r>
        <w:rPr>
          <w:rtl/>
        </w:rPr>
        <w:t>–</w:t>
      </w:r>
      <w:r>
        <w:rPr>
          <w:rFonts w:hint="cs"/>
          <w:rtl/>
        </w:rPr>
        <w:t xml:space="preserve"> נזרקין ואינן טעונין גניזה.</w:t>
      </w:r>
      <w:r>
        <w:rPr>
          <w:rtl/>
        </w:rPr>
        <w:br/>
      </w:r>
      <w:r>
        <w:rPr>
          <w:rFonts w:hint="cs"/>
          <w:rtl/>
        </w:rPr>
        <w:tab/>
        <w:t>כגון; סוכה, לולב, שופר, ציצית.</w:t>
      </w:r>
      <w:r>
        <w:rPr>
          <w:rtl/>
        </w:rPr>
        <w:br/>
      </w:r>
      <w:r w:rsidRPr="004723A7">
        <w:rPr>
          <w:rFonts w:hint="cs"/>
          <w:b/>
          <w:bCs/>
          <w:rtl/>
        </w:rPr>
        <w:t>תשמישי קדושה</w:t>
      </w:r>
      <w:r>
        <w:rPr>
          <w:rFonts w:hint="cs"/>
          <w:rtl/>
        </w:rPr>
        <w:t xml:space="preserve"> </w:t>
      </w:r>
      <w:r>
        <w:rPr>
          <w:rtl/>
        </w:rPr>
        <w:t>–</w:t>
      </w:r>
      <w:r>
        <w:rPr>
          <w:rFonts w:hint="cs"/>
          <w:rtl/>
        </w:rPr>
        <w:t xml:space="preserve"> חייבין גניזה.</w:t>
      </w:r>
      <w:r>
        <w:rPr>
          <w:rtl/>
        </w:rPr>
        <w:br/>
      </w:r>
      <w:r>
        <w:rPr>
          <w:rFonts w:hint="cs"/>
          <w:rtl/>
        </w:rPr>
        <w:t>כגון; אמתחת סת"ם, תיק של ס"ת, נרתיק של תפילין, רצועות התפילין.</w:t>
      </w:r>
      <w:r>
        <w:rPr>
          <w:rStyle w:val="a5"/>
          <w:rtl/>
        </w:rPr>
        <w:footnoteReference w:id="16"/>
      </w:r>
      <w:r>
        <w:rPr>
          <w:rtl/>
        </w:rPr>
        <w:br/>
      </w:r>
      <w:r w:rsidRPr="004723A7">
        <w:rPr>
          <w:rFonts w:hint="cs"/>
          <w:b/>
          <w:bCs/>
          <w:rtl/>
        </w:rPr>
        <w:t>בימה</w:t>
      </w:r>
      <w:r>
        <w:rPr>
          <w:rFonts w:hint="cs"/>
          <w:rtl/>
        </w:rPr>
        <w:t xml:space="preserve"> </w:t>
      </w:r>
      <w:r>
        <w:rPr>
          <w:rtl/>
        </w:rPr>
        <w:t>–</w:t>
      </w:r>
      <w:r>
        <w:rPr>
          <w:rFonts w:hint="cs"/>
          <w:rtl/>
        </w:rPr>
        <w:t xml:space="preserve"> נגנזת.</w:t>
      </w:r>
      <w:r>
        <w:rPr>
          <w:rStyle w:val="a5"/>
          <w:rtl/>
        </w:rPr>
        <w:footnoteReference w:id="17"/>
      </w:r>
      <w:r>
        <w:rPr>
          <w:rtl/>
        </w:rPr>
        <w:br/>
      </w:r>
      <w:r w:rsidRPr="004723A7">
        <w:rPr>
          <w:rFonts w:hint="cs"/>
          <w:b/>
          <w:bCs/>
          <w:rtl/>
        </w:rPr>
        <w:t>יריעות של ארון הקדש</w:t>
      </w:r>
      <w:r>
        <w:rPr>
          <w:rFonts w:hint="cs"/>
          <w:rtl/>
        </w:rPr>
        <w:t xml:space="preserve"> </w:t>
      </w:r>
      <w:r>
        <w:rPr>
          <w:rtl/>
        </w:rPr>
        <w:t>–</w:t>
      </w:r>
      <w:r>
        <w:rPr>
          <w:rFonts w:hint="cs"/>
          <w:rtl/>
        </w:rPr>
        <w:t xml:space="preserve"> נגנזות.</w:t>
      </w:r>
      <w:r>
        <w:rPr>
          <w:rStyle w:val="a5"/>
          <w:rtl/>
        </w:rPr>
        <w:footnoteReference w:id="18"/>
      </w:r>
      <w:r>
        <w:rPr>
          <w:rtl/>
        </w:rPr>
        <w:br/>
      </w:r>
      <w:r w:rsidRPr="004723A7">
        <w:rPr>
          <w:rFonts w:hint="cs"/>
          <w:b/>
          <w:bCs/>
          <w:rtl/>
        </w:rPr>
        <w:t>תיבה מרופטת</w:t>
      </w:r>
      <w:r>
        <w:rPr>
          <w:rFonts w:hint="cs"/>
          <w:rtl/>
        </w:rPr>
        <w:t xml:space="preserve"> </w:t>
      </w:r>
      <w:r>
        <w:rPr>
          <w:rtl/>
        </w:rPr>
        <w:t>–</w:t>
      </w:r>
      <w:r>
        <w:rPr>
          <w:rFonts w:hint="cs"/>
          <w:rtl/>
        </w:rPr>
        <w:t xml:space="preserve"> מותר לעשות מנה תיבה קטנה, ולא בימה.</w:t>
      </w:r>
      <w:r>
        <w:rPr>
          <w:rtl/>
        </w:rPr>
        <w:br/>
      </w:r>
      <w:r w:rsidRPr="004723A7">
        <w:rPr>
          <w:rFonts w:hint="cs"/>
          <w:b/>
          <w:bCs/>
          <w:rtl/>
        </w:rPr>
        <w:t>יריעות הארון שבלו</w:t>
      </w:r>
      <w:r>
        <w:rPr>
          <w:rFonts w:hint="cs"/>
          <w:rtl/>
        </w:rPr>
        <w:t xml:space="preserve"> </w:t>
      </w:r>
      <w:r>
        <w:rPr>
          <w:rtl/>
        </w:rPr>
        <w:t>–</w:t>
      </w:r>
      <w:r>
        <w:rPr>
          <w:rFonts w:hint="cs"/>
          <w:rtl/>
        </w:rPr>
        <w:t xml:space="preserve"> מותר לעשות מהן מטפחות לספרים ולא לחומשים.</w:t>
      </w:r>
      <w:r>
        <w:rPr>
          <w:rtl/>
        </w:rPr>
        <w:br/>
      </w:r>
      <w:r w:rsidRPr="004723A7">
        <w:rPr>
          <w:rFonts w:hint="cs"/>
          <w:b/>
          <w:bCs/>
          <w:rtl/>
        </w:rPr>
        <w:t>אמתחת חומש</w:t>
      </w:r>
      <w:r>
        <w:rPr>
          <w:rFonts w:hint="cs"/>
          <w:b/>
          <w:bCs/>
          <w:rtl/>
        </w:rPr>
        <w:t>י</w:t>
      </w:r>
      <w:r w:rsidRPr="004723A7">
        <w:rPr>
          <w:rFonts w:hint="cs"/>
          <w:b/>
          <w:bCs/>
          <w:rtl/>
        </w:rPr>
        <w:t>ם וארגזי ספרי</w:t>
      </w:r>
      <w:r>
        <w:rPr>
          <w:rFonts w:hint="cs"/>
          <w:rtl/>
        </w:rPr>
        <w:t xml:space="preserve">ם </w:t>
      </w:r>
      <w:r>
        <w:rPr>
          <w:rtl/>
        </w:rPr>
        <w:t>–</w:t>
      </w:r>
      <w:r>
        <w:rPr>
          <w:rFonts w:hint="cs"/>
          <w:rtl/>
        </w:rPr>
        <w:t xml:space="preserve"> נגנזין.</w:t>
      </w:r>
      <w:r>
        <w:rPr>
          <w:rStyle w:val="a5"/>
          <w:rtl/>
        </w:rPr>
        <w:footnoteReference w:id="19"/>
      </w:r>
    </w:p>
    <w:p w:rsidR="009842C8" w:rsidRDefault="009842C8" w:rsidP="009842C8">
      <w:pPr>
        <w:rPr>
          <w:rFonts w:hint="cs"/>
          <w:rtl/>
        </w:rPr>
      </w:pPr>
      <w:r w:rsidRPr="00716A76">
        <w:rPr>
          <w:rFonts w:hint="cs"/>
          <w:b/>
          <w:bCs/>
          <w:rtl/>
        </w:rPr>
        <w:t>דבר שאינו מקבל טומאה</w:t>
      </w:r>
      <w:r>
        <w:rPr>
          <w:rFonts w:hint="cs"/>
          <w:rtl/>
        </w:rPr>
        <w:t xml:space="preserve"> </w:t>
      </w:r>
      <w:r>
        <w:rPr>
          <w:rtl/>
        </w:rPr>
        <w:t>–</w:t>
      </w:r>
      <w:r>
        <w:rPr>
          <w:rFonts w:hint="cs"/>
          <w:rtl/>
        </w:rPr>
        <w:t xml:space="preserve"> חוצץ בפני הטומאה.</w:t>
      </w:r>
      <w:r>
        <w:rPr>
          <w:rFonts w:hint="cs"/>
          <w:rtl/>
        </w:rPr>
        <w:br/>
      </w:r>
      <w:r w:rsidRPr="00716A76">
        <w:rPr>
          <w:rFonts w:hint="cs"/>
          <w:b/>
          <w:bCs/>
          <w:rtl/>
        </w:rPr>
        <w:t>כלי עץ, בגד , עור, שק</w:t>
      </w:r>
      <w:r>
        <w:rPr>
          <w:rFonts w:hint="cs"/>
          <w:rtl/>
        </w:rPr>
        <w:t xml:space="preserve"> </w:t>
      </w:r>
      <w:r>
        <w:rPr>
          <w:rtl/>
        </w:rPr>
        <w:t>–</w:t>
      </w:r>
      <w:r>
        <w:rPr>
          <w:rFonts w:hint="cs"/>
          <w:rtl/>
        </w:rPr>
        <w:t xml:space="preserve"> מקבלין טומאה רק אם מיטלטלין מלא וריקם.</w:t>
      </w:r>
      <w:r>
        <w:rPr>
          <w:rtl/>
        </w:rPr>
        <w:br/>
      </w:r>
      <w:r w:rsidRPr="00716A76">
        <w:rPr>
          <w:rFonts w:hint="cs"/>
          <w:b/>
          <w:bCs/>
          <w:rtl/>
        </w:rPr>
        <w:t>כלי עץ העשוי לנחת</w:t>
      </w:r>
      <w:r>
        <w:rPr>
          <w:rFonts w:hint="cs"/>
          <w:rtl/>
        </w:rPr>
        <w:t xml:space="preserve"> </w:t>
      </w:r>
      <w:r>
        <w:rPr>
          <w:rtl/>
        </w:rPr>
        <w:t>–</w:t>
      </w:r>
      <w:r>
        <w:rPr>
          <w:rFonts w:hint="cs"/>
          <w:rtl/>
        </w:rPr>
        <w:t xml:space="preserve"> אינו מקבל טומאה.</w:t>
      </w:r>
      <w:r>
        <w:rPr>
          <w:rtl/>
        </w:rPr>
        <w:br/>
      </w:r>
      <w:r w:rsidRPr="00716A76">
        <w:rPr>
          <w:rFonts w:hint="cs"/>
          <w:b/>
          <w:bCs/>
          <w:rtl/>
        </w:rPr>
        <w:t>בימה שאינה מיטלטלת</w:t>
      </w:r>
      <w:r>
        <w:rPr>
          <w:rFonts w:hint="cs"/>
          <w:rtl/>
        </w:rPr>
        <w:t xml:space="preserve"> </w:t>
      </w:r>
      <w:r>
        <w:rPr>
          <w:rtl/>
        </w:rPr>
        <w:t>–</w:t>
      </w:r>
      <w:r>
        <w:rPr>
          <w:rFonts w:hint="cs"/>
          <w:rtl/>
        </w:rPr>
        <w:t xml:space="preserve"> חוצצת. </w:t>
      </w:r>
      <w:r w:rsidRPr="00716A76">
        <w:rPr>
          <w:rFonts w:hint="cs"/>
          <w:b/>
          <w:bCs/>
          <w:rtl/>
        </w:rPr>
        <w:t>מיטלטלת עם הס"ת</w:t>
      </w:r>
      <w:r>
        <w:rPr>
          <w:rFonts w:hint="cs"/>
          <w:rtl/>
        </w:rPr>
        <w:t xml:space="preserve"> </w:t>
      </w:r>
      <w:r>
        <w:rPr>
          <w:rtl/>
        </w:rPr>
        <w:t>–</w:t>
      </w:r>
      <w:r>
        <w:rPr>
          <w:rFonts w:hint="cs"/>
          <w:rtl/>
        </w:rPr>
        <w:t xml:space="preserve"> אינה חוצצת.</w:t>
      </w:r>
      <w:r>
        <w:rPr>
          <w:rtl/>
        </w:rPr>
        <w:br/>
      </w:r>
      <w:r>
        <w:rPr>
          <w:rFonts w:hint="cs"/>
          <w:rtl/>
        </w:rPr>
        <w:t>(כהנים אסורים ליכנס באהל שיש בו מת).</w:t>
      </w:r>
    </w:p>
    <w:p w:rsidR="006129BE" w:rsidRDefault="009842C8" w:rsidP="009842C8">
      <w:r w:rsidRPr="00716A76">
        <w:rPr>
          <w:rFonts w:hint="cs"/>
          <w:b/>
          <w:bCs/>
          <w:rtl/>
        </w:rPr>
        <w:t>מטפחות ספרים שבלו</w:t>
      </w:r>
      <w:r>
        <w:rPr>
          <w:rFonts w:hint="cs"/>
          <w:rtl/>
        </w:rPr>
        <w:t xml:space="preserve"> </w:t>
      </w:r>
      <w:r>
        <w:rPr>
          <w:rtl/>
        </w:rPr>
        <w:t>–</w:t>
      </w:r>
      <w:r>
        <w:rPr>
          <w:rFonts w:hint="cs"/>
          <w:rtl/>
        </w:rPr>
        <w:t xml:space="preserve"> עושין אותן תכריכים למת מצוה, וזו גניזתן.</w:t>
      </w:r>
      <w:r>
        <w:rPr>
          <w:rtl/>
        </w:rPr>
        <w:br/>
      </w:r>
      <w:r w:rsidRPr="00716A76">
        <w:rPr>
          <w:rFonts w:hint="cs"/>
          <w:b/>
          <w:bCs/>
          <w:rtl/>
        </w:rPr>
        <w:t>ספר תורה שבלה</w:t>
      </w:r>
      <w:r>
        <w:rPr>
          <w:rFonts w:hint="cs"/>
          <w:rtl/>
        </w:rPr>
        <w:t xml:space="preserve"> </w:t>
      </w:r>
      <w:r>
        <w:rPr>
          <w:rtl/>
        </w:rPr>
        <w:t>–</w:t>
      </w:r>
      <w:r>
        <w:rPr>
          <w:rFonts w:hint="cs"/>
          <w:rtl/>
        </w:rPr>
        <w:t xml:space="preserve"> גונזין אותו בכלי חרס אצל ת"ח שונה הלכות.</w:t>
      </w:r>
      <w:r>
        <w:rPr>
          <w:rStyle w:val="a5"/>
          <w:rtl/>
        </w:rPr>
        <w:footnoteReference w:id="20"/>
      </w:r>
      <w:r>
        <w:rPr>
          <w:rFonts w:hint="cs"/>
          <w:rtl/>
        </w:rPr>
        <w:br/>
      </w:r>
    </w:p>
    <w:sectPr w:rsidR="006129BE" w:rsidSect="001D130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F99" w:rsidRDefault="002C4F99" w:rsidP="009842C8">
      <w:pPr>
        <w:spacing w:after="0" w:line="240" w:lineRule="auto"/>
      </w:pPr>
      <w:r>
        <w:separator/>
      </w:r>
    </w:p>
  </w:endnote>
  <w:endnote w:type="continuationSeparator" w:id="0">
    <w:p w:rsidR="002C4F99" w:rsidRDefault="002C4F99" w:rsidP="00984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F99" w:rsidRDefault="002C4F99" w:rsidP="009842C8">
      <w:pPr>
        <w:spacing w:after="0" w:line="240" w:lineRule="auto"/>
      </w:pPr>
      <w:r>
        <w:separator/>
      </w:r>
    </w:p>
  </w:footnote>
  <w:footnote w:type="continuationSeparator" w:id="0">
    <w:p w:rsidR="002C4F99" w:rsidRDefault="002C4F99" w:rsidP="009842C8">
      <w:pPr>
        <w:spacing w:after="0" w:line="240" w:lineRule="auto"/>
      </w:pPr>
      <w:r>
        <w:continuationSeparator/>
      </w:r>
    </w:p>
  </w:footnote>
  <w:footnote w:id="1">
    <w:p w:rsidR="009842C8" w:rsidRDefault="009842C8" w:rsidP="009842C8">
      <w:pPr>
        <w:pStyle w:val="a3"/>
        <w:rPr>
          <w:rFonts w:hint="cs"/>
        </w:rPr>
      </w:pPr>
      <w:r>
        <w:rPr>
          <w:rStyle w:val="a5"/>
        </w:rPr>
        <w:footnoteRef/>
      </w:r>
      <w:r>
        <w:rPr>
          <w:rtl/>
        </w:rPr>
        <w:t xml:space="preserve"> </w:t>
      </w:r>
      <w:r>
        <w:rPr>
          <w:rFonts w:hint="cs"/>
          <w:rtl/>
        </w:rPr>
        <w:t>רש"י הביא המקור דמעלין מהקמת המשכן, ושאין מורידין ממחתות עדת קרח. והעירו עליו מדוע הביא זאת מספרי ויש בזה גמרא ערוכה במנחות, ושבגמרא הראיה להיפך מהספרי ואכ"מ.</w:t>
      </w:r>
    </w:p>
  </w:footnote>
  <w:footnote w:id="2">
    <w:p w:rsidR="009842C8" w:rsidRDefault="009842C8" w:rsidP="009842C8">
      <w:pPr>
        <w:pStyle w:val="a3"/>
        <w:rPr>
          <w:rFonts w:hint="cs"/>
        </w:rPr>
      </w:pPr>
      <w:r>
        <w:rPr>
          <w:rStyle w:val="a5"/>
        </w:rPr>
        <w:footnoteRef/>
      </w:r>
      <w:r>
        <w:rPr>
          <w:rtl/>
        </w:rPr>
        <w:t xml:space="preserve"> </w:t>
      </w:r>
      <w:r>
        <w:rPr>
          <w:rFonts w:hint="cs"/>
          <w:rtl/>
        </w:rPr>
        <w:t>מבואר בסוגיא דלרמב"י יש בו קדושה משום שמתפללין בו בחלק מהתעניות (וי"ג גם מעמדות, ורש"י להלן נדחק בזה דלא מצינו כן להדיא, ומביא דיש שאין גורסין מעמדות וכ"כ תוס' כאן). ולחכמים אי"ז מקדש משום דהוי אקראי בעלמא.</w:t>
      </w:r>
    </w:p>
  </w:footnote>
  <w:footnote w:id="3">
    <w:p w:rsidR="009842C8" w:rsidRDefault="009842C8" w:rsidP="009842C8">
      <w:pPr>
        <w:pStyle w:val="a3"/>
        <w:rPr>
          <w:rFonts w:hint="cs"/>
          <w:rtl/>
        </w:rPr>
      </w:pPr>
      <w:r>
        <w:rPr>
          <w:rStyle w:val="a5"/>
        </w:rPr>
        <w:footnoteRef/>
      </w:r>
      <w:r>
        <w:rPr>
          <w:rtl/>
        </w:rPr>
        <w:t xml:space="preserve"> </w:t>
      </w:r>
      <w:r>
        <w:rPr>
          <w:rFonts w:hint="cs"/>
          <w:rtl/>
        </w:rPr>
        <w:t>ולמ"ד דאין קדוש לוקחין בדמיו מה שרוצים.</w:t>
      </w:r>
    </w:p>
  </w:footnote>
  <w:footnote w:id="4">
    <w:p w:rsidR="009842C8" w:rsidRDefault="009842C8" w:rsidP="009842C8">
      <w:pPr>
        <w:pStyle w:val="a3"/>
        <w:rPr>
          <w:rFonts w:hint="cs"/>
          <w:rtl/>
        </w:rPr>
      </w:pPr>
      <w:r>
        <w:rPr>
          <w:rStyle w:val="a5"/>
        </w:rPr>
        <w:footnoteRef/>
      </w:r>
      <w:r>
        <w:rPr>
          <w:rtl/>
        </w:rPr>
        <w:t xml:space="preserve"> </w:t>
      </w:r>
      <w:r>
        <w:rPr>
          <w:rFonts w:hint="cs"/>
          <w:rtl/>
        </w:rPr>
        <w:t>עי' להלן דלא בכל אופן מותר למכור בית כנסת.</w:t>
      </w:r>
    </w:p>
  </w:footnote>
  <w:footnote w:id="5">
    <w:p w:rsidR="009842C8" w:rsidRDefault="009842C8" w:rsidP="009842C8">
      <w:pPr>
        <w:pStyle w:val="a3"/>
        <w:rPr>
          <w:rFonts w:hint="cs"/>
          <w:rtl/>
        </w:rPr>
      </w:pPr>
      <w:r>
        <w:rPr>
          <w:rStyle w:val="a5"/>
        </w:rPr>
        <w:footnoteRef/>
      </w:r>
      <w:r>
        <w:rPr>
          <w:rtl/>
        </w:rPr>
        <w:t xml:space="preserve"> </w:t>
      </w:r>
      <w:r>
        <w:rPr>
          <w:rFonts w:hint="cs"/>
          <w:rtl/>
        </w:rPr>
        <w:t>דלא סגי דעת בני הכרך, כיון דכולי עלמא אתו לשם. ועי' תוס' אי משום דנבנה על דעת כולי עלמא או משום דגם הם משתתפים בהוצאותיו.</w:t>
      </w:r>
    </w:p>
  </w:footnote>
  <w:footnote w:id="6">
    <w:p w:rsidR="009842C8" w:rsidRDefault="009842C8" w:rsidP="009842C8">
      <w:pPr>
        <w:pStyle w:val="a3"/>
        <w:rPr>
          <w:rFonts w:hint="cs"/>
          <w:rtl/>
        </w:rPr>
      </w:pPr>
      <w:r>
        <w:rPr>
          <w:rStyle w:val="a5"/>
        </w:rPr>
        <w:footnoteRef/>
      </w:r>
      <w:r>
        <w:rPr>
          <w:rtl/>
        </w:rPr>
        <w:t xml:space="preserve"> </w:t>
      </w:r>
      <w:r>
        <w:rPr>
          <w:rFonts w:hint="cs"/>
          <w:rtl/>
        </w:rPr>
        <w:t xml:space="preserve">כן פירש"י, ועי' גה"ש לרעק"א, והאח' העירו עוד הערות חמורות בשיטה זו ואכמ"ל. </w:t>
      </w:r>
    </w:p>
  </w:footnote>
  <w:footnote w:id="7">
    <w:p w:rsidR="009842C8" w:rsidRDefault="009842C8" w:rsidP="009842C8">
      <w:pPr>
        <w:pStyle w:val="a3"/>
        <w:rPr>
          <w:rFonts w:hint="cs"/>
        </w:rPr>
      </w:pPr>
      <w:r>
        <w:rPr>
          <w:rStyle w:val="a5"/>
        </w:rPr>
        <w:footnoteRef/>
      </w:r>
      <w:r>
        <w:rPr>
          <w:rtl/>
        </w:rPr>
        <w:t xml:space="preserve"> </w:t>
      </w:r>
      <w:r>
        <w:rPr>
          <w:rFonts w:hint="cs"/>
          <w:rtl/>
        </w:rPr>
        <w:t>הב"ח מביא גירסא גם לשטוח בו פירות, וכ' לעיין בר"ן.</w:t>
      </w:r>
    </w:p>
  </w:footnote>
  <w:footnote w:id="8">
    <w:p w:rsidR="009842C8" w:rsidRDefault="009842C8" w:rsidP="009842C8">
      <w:pPr>
        <w:pStyle w:val="a3"/>
        <w:rPr>
          <w:rFonts w:hint="cs"/>
          <w:rtl/>
        </w:rPr>
      </w:pPr>
      <w:r>
        <w:rPr>
          <w:rStyle w:val="a5"/>
        </w:rPr>
        <w:footnoteRef/>
      </w:r>
      <w:r>
        <w:rPr>
          <w:rtl/>
        </w:rPr>
        <w:t xml:space="preserve"> </w:t>
      </w:r>
      <w:r>
        <w:rPr>
          <w:rFonts w:hint="cs"/>
          <w:rtl/>
        </w:rPr>
        <w:t>וכן לברייתא דאין משכירין להלן.</w:t>
      </w:r>
    </w:p>
  </w:footnote>
  <w:footnote w:id="9">
    <w:p w:rsidR="009842C8" w:rsidRDefault="009842C8" w:rsidP="009842C8">
      <w:pPr>
        <w:pStyle w:val="a3"/>
        <w:rPr>
          <w:rFonts w:hint="cs"/>
          <w:rtl/>
        </w:rPr>
      </w:pPr>
      <w:r>
        <w:rPr>
          <w:rStyle w:val="a5"/>
        </w:rPr>
        <w:footnoteRef/>
      </w:r>
      <w:r>
        <w:rPr>
          <w:rtl/>
        </w:rPr>
        <w:t xml:space="preserve"> </w:t>
      </w:r>
      <w:r>
        <w:rPr>
          <w:rFonts w:hint="cs"/>
          <w:rtl/>
        </w:rPr>
        <w:t>וכן לברייתא דחופף עליו, וראה פירוט בברייתא שם ובתוס' מה היה בחלקו של כל אחד מהם.</w:t>
      </w:r>
    </w:p>
  </w:footnote>
  <w:footnote w:id="10">
    <w:p w:rsidR="009842C8" w:rsidRDefault="009842C8" w:rsidP="009842C8">
      <w:pPr>
        <w:pStyle w:val="a3"/>
        <w:rPr>
          <w:rFonts w:hint="cs"/>
          <w:rtl/>
        </w:rPr>
      </w:pPr>
      <w:r>
        <w:rPr>
          <w:rStyle w:val="a5"/>
        </w:rPr>
        <w:footnoteRef/>
      </w:r>
      <w:r>
        <w:rPr>
          <w:rtl/>
        </w:rPr>
        <w:t xml:space="preserve"> </w:t>
      </w:r>
      <w:r>
        <w:rPr>
          <w:rFonts w:hint="cs"/>
          <w:rtl/>
        </w:rPr>
        <w:t>והיינו בתי כנסיות רגילים שאסור למוכרן, מודה בהו רבי יהודה. כך עולה מסוגיין. אמנם התוס' כ' דלפי הסוגיא ביומא אין קשר בין מכירת בית הכנסת לטומאת נגעים, ושפיר י"ל דלר"י באמת מיטמאין. ועי' תוס' שהביאו מסוגיא דיומא דיש מחלוקת בין ר"מ לר"י לגבי בתי כנסיות הן דכרכים והן דכפרים לגבי חיוב מזוזה וטומאת נגעים. ואכ"מ.</w:t>
      </w:r>
    </w:p>
  </w:footnote>
  <w:footnote w:id="11">
    <w:p w:rsidR="009842C8" w:rsidRDefault="009842C8" w:rsidP="009842C8">
      <w:pPr>
        <w:pStyle w:val="a3"/>
        <w:rPr>
          <w:rFonts w:hint="cs"/>
        </w:rPr>
      </w:pPr>
      <w:r>
        <w:rPr>
          <w:rStyle w:val="a5"/>
        </w:rPr>
        <w:footnoteRef/>
      </w:r>
      <w:r>
        <w:rPr>
          <w:rtl/>
        </w:rPr>
        <w:t xml:space="preserve"> </w:t>
      </w:r>
      <w:r>
        <w:rPr>
          <w:rFonts w:hint="cs"/>
          <w:rtl/>
        </w:rPr>
        <w:t>י"ג ראבר"ש. ויתכן דלת"ק דברייתא אליבא דמ"ד לא נתחלקה, מ"מ מטלטלין משכירין. וראבר"צ ס"ל דאין משכירין שכירות שלימה משום קרקע שתחתיה. תוס'.</w:t>
      </w:r>
    </w:p>
  </w:footnote>
  <w:footnote w:id="12">
    <w:p w:rsidR="009842C8" w:rsidRDefault="009842C8" w:rsidP="009842C8">
      <w:pPr>
        <w:pStyle w:val="a3"/>
        <w:rPr>
          <w:rFonts w:hint="cs"/>
        </w:rPr>
      </w:pPr>
      <w:r>
        <w:rPr>
          <w:rStyle w:val="a5"/>
        </w:rPr>
        <w:footnoteRef/>
      </w:r>
      <w:r>
        <w:rPr>
          <w:rtl/>
        </w:rPr>
        <w:t xml:space="preserve"> </w:t>
      </w:r>
      <w:r>
        <w:rPr>
          <w:rFonts w:hint="cs"/>
          <w:rtl/>
        </w:rPr>
        <w:t>והיינו עורות השייכים לבעלים כגון של תודה ושלמים. והיו נוטלין אף בזרוע. ומגמ' משמע דזה ממדת דרך ארץ. ומתוס' משמע דזה עבור השכרת המיטלטלין. וקצ"ב דלתוס' זה מדינא ואיך למדו מכאן מדת דרך ארץ בעלמא ואף לשוכרין.</w:t>
      </w:r>
    </w:p>
  </w:footnote>
  <w:footnote w:id="13">
    <w:p w:rsidR="009842C8" w:rsidRDefault="009842C8" w:rsidP="009842C8">
      <w:pPr>
        <w:pStyle w:val="a3"/>
        <w:rPr>
          <w:rFonts w:hint="cs"/>
        </w:rPr>
      </w:pPr>
      <w:r>
        <w:rPr>
          <w:rStyle w:val="a5"/>
        </w:rPr>
        <w:footnoteRef/>
      </w:r>
      <w:r>
        <w:rPr>
          <w:rtl/>
        </w:rPr>
        <w:t xml:space="preserve"> </w:t>
      </w:r>
      <w:r>
        <w:rPr>
          <w:rFonts w:hint="cs"/>
          <w:rtl/>
        </w:rPr>
        <w:t>יש לעיין אי דוקא כשמתארח בחינם, דומיא דירושלים בפשטות, או אף בשוכר.</w:t>
      </w:r>
    </w:p>
  </w:footnote>
  <w:footnote w:id="14">
    <w:p w:rsidR="009842C8" w:rsidRDefault="009842C8" w:rsidP="009842C8">
      <w:pPr>
        <w:pStyle w:val="a3"/>
        <w:rPr>
          <w:rFonts w:hint="cs"/>
        </w:rPr>
      </w:pPr>
      <w:r>
        <w:rPr>
          <w:rStyle w:val="a5"/>
        </w:rPr>
        <w:footnoteRef/>
      </w:r>
      <w:r>
        <w:rPr>
          <w:rtl/>
        </w:rPr>
        <w:t xml:space="preserve"> </w:t>
      </w:r>
      <w:r>
        <w:rPr>
          <w:rFonts w:hint="cs"/>
          <w:rtl/>
        </w:rPr>
        <w:t>פירש"י משום דהחילופין או הדמים ייכנסו במקומו. וכ"ז צ"ב, דהא לעיל כ' דבלי טובי העיר הוא לא יוצא מקדושה, וע"י טובי העיר גם הדמים יוצאין.</w:t>
      </w:r>
    </w:p>
  </w:footnote>
  <w:footnote w:id="15">
    <w:p w:rsidR="009842C8" w:rsidRDefault="009842C8" w:rsidP="009842C8">
      <w:pPr>
        <w:pStyle w:val="a3"/>
        <w:rPr>
          <w:rFonts w:hint="cs"/>
        </w:rPr>
      </w:pPr>
      <w:r>
        <w:rPr>
          <w:rStyle w:val="a5"/>
        </w:rPr>
        <w:footnoteRef/>
      </w:r>
      <w:r>
        <w:rPr>
          <w:rtl/>
        </w:rPr>
        <w:t xml:space="preserve"> </w:t>
      </w:r>
      <w:r>
        <w:rPr>
          <w:rFonts w:hint="cs"/>
          <w:rtl/>
        </w:rPr>
        <w:t>משום דמחוסרין מעשה ובכה"ג לכו"ע הזמנה לאו מילתא, דומיא דטווה למת דלהלן.</w:t>
      </w:r>
    </w:p>
  </w:footnote>
  <w:footnote w:id="16">
    <w:p w:rsidR="009842C8" w:rsidRDefault="009842C8" w:rsidP="009842C8">
      <w:pPr>
        <w:pStyle w:val="a3"/>
        <w:rPr>
          <w:rFonts w:hint="cs"/>
        </w:rPr>
      </w:pPr>
      <w:r>
        <w:rPr>
          <w:rStyle w:val="a5"/>
        </w:rPr>
        <w:footnoteRef/>
      </w:r>
      <w:r>
        <w:rPr>
          <w:rtl/>
        </w:rPr>
        <w:t xml:space="preserve"> </w:t>
      </w:r>
      <w:r>
        <w:rPr>
          <w:rFonts w:hint="cs"/>
          <w:rtl/>
        </w:rPr>
        <w:t>התוס' הוכיחו מכאן דרק ש של תפילין הלל"מ ולא ד' וי'.</w:t>
      </w:r>
    </w:p>
  </w:footnote>
  <w:footnote w:id="17">
    <w:p w:rsidR="009842C8" w:rsidRDefault="009842C8" w:rsidP="009842C8">
      <w:pPr>
        <w:pStyle w:val="a3"/>
        <w:rPr>
          <w:rFonts w:hint="cs"/>
        </w:rPr>
      </w:pPr>
      <w:r>
        <w:rPr>
          <w:rStyle w:val="a5"/>
        </w:rPr>
        <w:footnoteRef/>
      </w:r>
      <w:r>
        <w:rPr>
          <w:rtl/>
        </w:rPr>
        <w:t xml:space="preserve"> </w:t>
      </w:r>
      <w:r>
        <w:rPr>
          <w:rFonts w:hint="cs"/>
          <w:rtl/>
        </w:rPr>
        <w:t>שמושיבין עליה לפעמים ס"ת. אם ברור שהושיבו רק על מפה שעליה, נזרקת.</w:t>
      </w:r>
    </w:p>
  </w:footnote>
  <w:footnote w:id="18">
    <w:p w:rsidR="009842C8" w:rsidRDefault="009842C8" w:rsidP="009842C8">
      <w:pPr>
        <w:pStyle w:val="a3"/>
        <w:rPr>
          <w:rFonts w:hint="cs"/>
        </w:rPr>
      </w:pPr>
      <w:r>
        <w:rPr>
          <w:rStyle w:val="a5"/>
        </w:rPr>
        <w:footnoteRef/>
      </w:r>
      <w:r>
        <w:rPr>
          <w:rtl/>
        </w:rPr>
        <w:t xml:space="preserve"> </w:t>
      </w:r>
      <w:r>
        <w:rPr>
          <w:rFonts w:hint="cs"/>
          <w:rtl/>
        </w:rPr>
        <w:t>דלפעמים מניחים בתוכם הס"ת. רש"י פי' יריעות שבפנים הארון ותוס' פירשו שמבחוץ, יעוי"ש.</w:t>
      </w:r>
    </w:p>
  </w:footnote>
  <w:footnote w:id="19">
    <w:p w:rsidR="009842C8" w:rsidRDefault="009842C8" w:rsidP="009842C8">
      <w:pPr>
        <w:pStyle w:val="a3"/>
        <w:rPr>
          <w:rFonts w:hint="cs"/>
        </w:rPr>
      </w:pPr>
      <w:r>
        <w:rPr>
          <w:rStyle w:val="a5"/>
        </w:rPr>
        <w:footnoteRef/>
      </w:r>
      <w:r>
        <w:rPr>
          <w:rtl/>
        </w:rPr>
        <w:t xml:space="preserve"> </w:t>
      </w:r>
      <w:r>
        <w:rPr>
          <w:rFonts w:hint="cs"/>
          <w:rtl/>
        </w:rPr>
        <w:t>ס"ד דעשויין רק לשמירה. ויל"ע אי קמ"ל דהם גם לכבוד או דגם שמירה נחשב תשמיש.</w:t>
      </w:r>
    </w:p>
  </w:footnote>
  <w:footnote w:id="20">
    <w:p w:rsidR="009842C8" w:rsidRDefault="009842C8" w:rsidP="009842C8">
      <w:pPr>
        <w:pStyle w:val="a3"/>
        <w:rPr>
          <w:rFonts w:hint="cs"/>
        </w:rPr>
      </w:pPr>
      <w:r>
        <w:rPr>
          <w:rStyle w:val="a5"/>
        </w:rPr>
        <w:footnoteRef/>
      </w:r>
      <w:r>
        <w:rPr>
          <w:rtl/>
        </w:rPr>
        <w:t xml:space="preserve"> </w:t>
      </w:r>
      <w:r>
        <w:rPr>
          <w:rFonts w:hint="cs"/>
          <w:rtl/>
        </w:rPr>
        <w:t>כלומר די בכך שהוא שונה הלכות, משניות וברייתות, אע"פ שלא שימש ת"ח בגמרא.</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9842C8"/>
    <w:rsid w:val="001D1307"/>
    <w:rsid w:val="002C4F99"/>
    <w:rsid w:val="002F5BAC"/>
    <w:rsid w:val="006129BE"/>
    <w:rsid w:val="009842C8"/>
    <w:rsid w:val="00AA505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2C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842C8"/>
    <w:pPr>
      <w:spacing w:after="0" w:line="240" w:lineRule="auto"/>
    </w:pPr>
    <w:rPr>
      <w:sz w:val="20"/>
      <w:szCs w:val="20"/>
    </w:rPr>
  </w:style>
  <w:style w:type="character" w:customStyle="1" w:styleId="a4">
    <w:name w:val="טקסט הערת שוליים תו"/>
    <w:basedOn w:val="a0"/>
    <w:link w:val="a3"/>
    <w:uiPriority w:val="99"/>
    <w:semiHidden/>
    <w:rsid w:val="009842C8"/>
    <w:rPr>
      <w:sz w:val="20"/>
      <w:szCs w:val="20"/>
    </w:rPr>
  </w:style>
  <w:style w:type="character" w:styleId="a5">
    <w:name w:val="footnote reference"/>
    <w:basedOn w:val="a0"/>
    <w:uiPriority w:val="99"/>
    <w:semiHidden/>
    <w:unhideWhenUsed/>
    <w:rsid w:val="009842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2162</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יעקב</dc:creator>
  <cp:lastModifiedBy>יעקב</cp:lastModifiedBy>
  <cp:revision>1</cp:revision>
  <dcterms:created xsi:type="dcterms:W3CDTF">2014-08-07T13:15:00Z</dcterms:created>
  <dcterms:modified xsi:type="dcterms:W3CDTF">2014-08-07T13:16:00Z</dcterms:modified>
</cp:coreProperties>
</file>