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67" w:rsidRPr="005314F3" w:rsidRDefault="008E2C67" w:rsidP="008E2C67">
      <w:pPr>
        <w:tabs>
          <w:tab w:val="left" w:pos="425"/>
        </w:tabs>
        <w:rPr>
          <w:rFonts w:hint="cs"/>
          <w:b/>
          <w:bCs/>
          <w:i/>
          <w:iCs/>
          <w:rtl/>
        </w:rPr>
      </w:pPr>
      <w:r w:rsidRPr="005314F3">
        <w:rPr>
          <w:rFonts w:hint="cs"/>
          <w:b/>
          <w:bCs/>
          <w:i/>
          <w:iCs/>
          <w:rtl/>
        </w:rPr>
        <w:t>ז.</w:t>
      </w:r>
    </w:p>
    <w:p w:rsidR="008E2C67" w:rsidRDefault="008E2C67" w:rsidP="008E2C67">
      <w:pPr>
        <w:tabs>
          <w:tab w:val="left" w:pos="425"/>
        </w:tabs>
        <w:rPr>
          <w:rFonts w:hint="cs"/>
          <w:rtl/>
        </w:rPr>
      </w:pPr>
      <w:r w:rsidRPr="005314F3">
        <w:rPr>
          <w:rFonts w:hint="cs"/>
          <w:b/>
          <w:bCs/>
          <w:rtl/>
        </w:rPr>
        <w:t>צידת אישות ועכברים;</w:t>
      </w:r>
      <w:r w:rsidRPr="005314F3">
        <w:rPr>
          <w:b/>
          <w:bCs/>
          <w:rtl/>
        </w:rPr>
        <w:br/>
      </w:r>
      <w:r w:rsidRPr="005314F3">
        <w:rPr>
          <w:rFonts w:hint="cs"/>
          <w:b/>
          <w:bCs/>
          <w:rtl/>
        </w:rPr>
        <w:t>כדרכו</w:t>
      </w:r>
      <w:r>
        <w:rPr>
          <w:rFonts w:hint="cs"/>
          <w:rtl/>
        </w:rPr>
        <w:t xml:space="preserve"> </w:t>
      </w:r>
      <w:r>
        <w:rPr>
          <w:rtl/>
        </w:rPr>
        <w:t>–</w:t>
      </w:r>
      <w:r>
        <w:rPr>
          <w:rFonts w:hint="cs"/>
          <w:rtl/>
        </w:rPr>
        <w:t xml:space="preserve"> היינו חופר גומא ותולה בה מצודה. </w:t>
      </w:r>
      <w:r>
        <w:rPr>
          <w:b/>
          <w:bCs/>
          <w:rtl/>
        </w:rPr>
        <w:br/>
      </w:r>
      <w:r>
        <w:rPr>
          <w:rFonts w:hint="cs"/>
          <w:b/>
          <w:bCs/>
          <w:rtl/>
        </w:rPr>
        <w:tab/>
      </w:r>
      <w:r w:rsidRPr="005314F3">
        <w:rPr>
          <w:rFonts w:hint="cs"/>
          <w:b/>
          <w:bCs/>
          <w:rtl/>
        </w:rPr>
        <w:t>שלא כדרכו</w:t>
      </w:r>
      <w:r>
        <w:rPr>
          <w:rFonts w:hint="cs"/>
          <w:rtl/>
        </w:rPr>
        <w:t xml:space="preserve"> </w:t>
      </w:r>
      <w:r>
        <w:rPr>
          <w:rtl/>
        </w:rPr>
        <w:t>–</w:t>
      </w:r>
      <w:r>
        <w:rPr>
          <w:rFonts w:hint="cs"/>
          <w:rtl/>
        </w:rPr>
        <w:t xml:space="preserve"> נועץ שפוד ומכה בקרדום ומרדד האדמה.</w:t>
      </w:r>
      <w:r>
        <w:rPr>
          <w:rStyle w:val="a5"/>
          <w:rtl/>
        </w:rPr>
        <w:footnoteReference w:id="1"/>
      </w:r>
      <w:r>
        <w:rPr>
          <w:rFonts w:hint="cs"/>
          <w:rtl/>
        </w:rPr>
        <w:br/>
      </w:r>
      <w:r w:rsidRPr="005314F3">
        <w:rPr>
          <w:rFonts w:hint="cs"/>
          <w:b/>
          <w:bCs/>
          <w:rtl/>
        </w:rPr>
        <w:t>שדה לבן הסמוכה לעיר</w:t>
      </w:r>
      <w:r>
        <w:rPr>
          <w:rFonts w:hint="cs"/>
          <w:rtl/>
        </w:rPr>
        <w:t xml:space="preserve"> </w:t>
      </w:r>
      <w:r>
        <w:rPr>
          <w:rtl/>
        </w:rPr>
        <w:t>–</w:t>
      </w:r>
      <w:r>
        <w:rPr>
          <w:rFonts w:hint="cs"/>
          <w:rtl/>
        </w:rPr>
        <w:t xml:space="preserve"> נחלקו תנאים אם מותר לצוד שם כדרכו וכנ"ל.</w:t>
      </w:r>
      <w:r>
        <w:rPr>
          <w:rtl/>
        </w:rPr>
        <w:br/>
      </w:r>
      <w:r w:rsidRPr="005314F3">
        <w:rPr>
          <w:rFonts w:hint="cs"/>
          <w:b/>
          <w:bCs/>
          <w:rtl/>
        </w:rPr>
        <w:t>שדה לבן הסמוכה לשדה אילן</w:t>
      </w:r>
      <w:r>
        <w:rPr>
          <w:rFonts w:hint="cs"/>
          <w:rtl/>
        </w:rPr>
        <w:t xml:space="preserve"> </w:t>
      </w:r>
      <w:r>
        <w:rPr>
          <w:rtl/>
        </w:rPr>
        <w:t>–</w:t>
      </w:r>
      <w:r>
        <w:rPr>
          <w:rFonts w:hint="cs"/>
          <w:rtl/>
        </w:rPr>
        <w:t xml:space="preserve"> לכו"ע מותר לצוד כדרכו.</w:t>
      </w:r>
      <w:r>
        <w:rPr>
          <w:rStyle w:val="a5"/>
          <w:rtl/>
        </w:rPr>
        <w:footnoteReference w:id="2"/>
      </w:r>
    </w:p>
    <w:p w:rsidR="008E2C67" w:rsidRDefault="008E2C67" w:rsidP="008E2C67">
      <w:pPr>
        <w:tabs>
          <w:tab w:val="left" w:pos="425"/>
        </w:tabs>
        <w:rPr>
          <w:rFonts w:hint="cs"/>
          <w:rtl/>
        </w:rPr>
      </w:pPr>
      <w:r w:rsidRPr="005314F3">
        <w:rPr>
          <w:rFonts w:hint="cs"/>
          <w:b/>
          <w:bCs/>
          <w:rtl/>
        </w:rPr>
        <w:t>סתימת פירצה במועד;</w:t>
      </w:r>
      <w:r w:rsidRPr="005314F3">
        <w:rPr>
          <w:b/>
          <w:bCs/>
          <w:rtl/>
        </w:rPr>
        <w:br/>
      </w:r>
      <w:r w:rsidRPr="005314F3">
        <w:rPr>
          <w:rFonts w:hint="cs"/>
          <w:b/>
          <w:bCs/>
          <w:rtl/>
        </w:rPr>
        <w:t>בכותל גינה</w:t>
      </w:r>
      <w:r>
        <w:rPr>
          <w:rFonts w:hint="cs"/>
          <w:rtl/>
        </w:rPr>
        <w:t xml:space="preserve"> </w:t>
      </w:r>
      <w:r>
        <w:rPr>
          <w:rtl/>
        </w:rPr>
        <w:t>–</w:t>
      </w:r>
      <w:r>
        <w:rPr>
          <w:rFonts w:hint="cs"/>
          <w:rtl/>
        </w:rPr>
        <w:t xml:space="preserve"> רק מקרין, והיינו בהוצא ודפנא, או מניח אבנים ולא טח.</w:t>
      </w:r>
      <w:r>
        <w:rPr>
          <w:rtl/>
        </w:rPr>
        <w:br/>
      </w:r>
      <w:r w:rsidRPr="005314F3">
        <w:rPr>
          <w:rFonts w:hint="cs"/>
          <w:b/>
          <w:bCs/>
          <w:rtl/>
        </w:rPr>
        <w:t>בכותל חצר</w:t>
      </w:r>
      <w:r>
        <w:rPr>
          <w:rFonts w:hint="cs"/>
          <w:rtl/>
        </w:rPr>
        <w:t xml:space="preserve"> </w:t>
      </w:r>
      <w:r>
        <w:rPr>
          <w:rtl/>
        </w:rPr>
        <w:t>–</w:t>
      </w:r>
      <w:r>
        <w:rPr>
          <w:rFonts w:hint="cs"/>
          <w:rtl/>
        </w:rPr>
        <w:t xml:space="preserve"> בונה כדרכו.</w:t>
      </w:r>
      <w:r>
        <w:rPr>
          <w:rStyle w:val="a5"/>
          <w:rtl/>
        </w:rPr>
        <w:footnoteReference w:id="3"/>
      </w:r>
      <w:r>
        <w:rPr>
          <w:rFonts w:hint="cs"/>
          <w:rtl/>
        </w:rPr>
        <w:t xml:space="preserve"> והיינו כשנפל הכותל, אבל לסתור הישן ולבנות, אסור.</w:t>
      </w:r>
      <w:r>
        <w:rPr>
          <w:rStyle w:val="a5"/>
          <w:rtl/>
        </w:rPr>
        <w:footnoteReference w:id="4"/>
      </w:r>
      <w:r>
        <w:rPr>
          <w:rtl/>
        </w:rPr>
        <w:br/>
      </w:r>
      <w:r>
        <w:rPr>
          <w:rFonts w:hint="cs"/>
          <w:rtl/>
        </w:rPr>
        <w:tab/>
      </w:r>
      <w:r w:rsidRPr="005314F3">
        <w:rPr>
          <w:rFonts w:hint="cs"/>
          <w:b/>
          <w:bCs/>
          <w:rtl/>
        </w:rPr>
        <w:t>ואם הכותל שוחה ומסכן את בני רה"ר</w:t>
      </w:r>
      <w:r>
        <w:rPr>
          <w:rFonts w:hint="cs"/>
          <w:rtl/>
        </w:rPr>
        <w:t xml:space="preserve"> </w:t>
      </w:r>
      <w:r>
        <w:rPr>
          <w:rtl/>
        </w:rPr>
        <w:t>–</w:t>
      </w:r>
      <w:r>
        <w:rPr>
          <w:rFonts w:hint="cs"/>
          <w:rtl/>
        </w:rPr>
        <w:t xml:space="preserve"> מותר אף לסתור ולבנות. </w:t>
      </w:r>
    </w:p>
    <w:p w:rsidR="008E2C67" w:rsidRDefault="008E2C67" w:rsidP="008E2C67">
      <w:pPr>
        <w:tabs>
          <w:tab w:val="left" w:pos="425"/>
        </w:tabs>
        <w:rPr>
          <w:rFonts w:hint="cs"/>
          <w:rtl/>
        </w:rPr>
      </w:pPr>
      <w:r w:rsidRPr="005314F3">
        <w:rPr>
          <w:rFonts w:hint="cs"/>
          <w:b/>
          <w:bCs/>
          <w:rtl/>
        </w:rPr>
        <w:t>סתימת פירצה בשביעית;</w:t>
      </w:r>
      <w:r w:rsidRPr="005314F3">
        <w:rPr>
          <w:b/>
          <w:bCs/>
          <w:rtl/>
        </w:rPr>
        <w:br/>
      </w:r>
      <w:r w:rsidRPr="005314F3">
        <w:rPr>
          <w:rFonts w:hint="cs"/>
          <w:b/>
          <w:bCs/>
          <w:rtl/>
        </w:rPr>
        <w:t>בכותל חצר</w:t>
      </w:r>
      <w:r>
        <w:rPr>
          <w:rFonts w:hint="cs"/>
          <w:rtl/>
        </w:rPr>
        <w:t xml:space="preserve"> </w:t>
      </w:r>
      <w:r>
        <w:rPr>
          <w:rtl/>
        </w:rPr>
        <w:t>–</w:t>
      </w:r>
      <w:r>
        <w:rPr>
          <w:rFonts w:hint="cs"/>
          <w:rtl/>
        </w:rPr>
        <w:t xml:space="preserve"> פשיטא דמותר כדרכו.</w:t>
      </w:r>
      <w:r>
        <w:rPr>
          <w:rtl/>
        </w:rPr>
        <w:br/>
      </w:r>
      <w:r w:rsidRPr="005314F3">
        <w:rPr>
          <w:rFonts w:hint="cs"/>
          <w:b/>
          <w:bCs/>
          <w:rtl/>
        </w:rPr>
        <w:t>בכותל גינה</w:t>
      </w:r>
      <w:r>
        <w:rPr>
          <w:rFonts w:hint="cs"/>
          <w:rtl/>
        </w:rPr>
        <w:t xml:space="preserve"> </w:t>
      </w:r>
      <w:r>
        <w:rPr>
          <w:rtl/>
        </w:rPr>
        <w:t>–</w:t>
      </w:r>
      <w:r>
        <w:rPr>
          <w:rFonts w:hint="cs"/>
          <w:rtl/>
        </w:rPr>
        <w:t xml:space="preserve"> מותר כדרכו. וחידוש הוא דאע"פ דנראה כעושה שמירה לפירותיו.</w:t>
      </w:r>
    </w:p>
    <w:p w:rsidR="008E2C67" w:rsidRDefault="008E2C67" w:rsidP="008E2C67">
      <w:pPr>
        <w:tabs>
          <w:tab w:val="left" w:pos="425"/>
        </w:tabs>
        <w:rPr>
          <w:rFonts w:hint="cs"/>
          <w:rtl/>
        </w:rPr>
      </w:pPr>
      <w:r w:rsidRPr="005314F3">
        <w:rPr>
          <w:rFonts w:hint="cs"/>
          <w:b/>
          <w:bCs/>
          <w:rtl/>
        </w:rPr>
        <w:t>ראיית נגעים במועד;</w:t>
      </w:r>
      <w:r w:rsidRPr="005314F3">
        <w:rPr>
          <w:b/>
          <w:bCs/>
          <w:rtl/>
        </w:rPr>
        <w:br/>
      </w:r>
      <w:r w:rsidRPr="005314F3">
        <w:rPr>
          <w:rFonts w:hint="cs"/>
          <w:b/>
          <w:bCs/>
          <w:rtl/>
        </w:rPr>
        <w:t>בטהור</w:t>
      </w:r>
      <w:r>
        <w:rPr>
          <w:rFonts w:hint="cs"/>
          <w:rtl/>
        </w:rPr>
        <w:t xml:space="preserve"> </w:t>
      </w:r>
      <w:r>
        <w:rPr>
          <w:rtl/>
        </w:rPr>
        <w:t>–</w:t>
      </w:r>
      <w:r>
        <w:rPr>
          <w:rFonts w:hint="cs"/>
          <w:rtl/>
        </w:rPr>
        <w:t xml:space="preserve"> אין הכהן רואהו, ונשאר בטהרתו.</w:t>
      </w:r>
      <w:r>
        <w:rPr>
          <w:rtl/>
        </w:rPr>
        <w:br/>
      </w:r>
      <w:r w:rsidRPr="005314F3">
        <w:rPr>
          <w:rFonts w:hint="cs"/>
          <w:b/>
          <w:bCs/>
          <w:rtl/>
        </w:rPr>
        <w:t>בהסגר ראשון</w:t>
      </w:r>
      <w:r>
        <w:rPr>
          <w:rFonts w:hint="cs"/>
          <w:rtl/>
        </w:rPr>
        <w:t xml:space="preserve"> </w:t>
      </w:r>
      <w:r>
        <w:rPr>
          <w:rtl/>
        </w:rPr>
        <w:t>–</w:t>
      </w:r>
      <w:r>
        <w:rPr>
          <w:rFonts w:hint="cs"/>
          <w:rtl/>
        </w:rPr>
        <w:t xml:space="preserve"> לכו"ע רואהו.</w:t>
      </w:r>
      <w:r>
        <w:rPr>
          <w:rStyle w:val="a5"/>
          <w:rtl/>
        </w:rPr>
        <w:footnoteReference w:id="5"/>
      </w:r>
      <w:r>
        <w:rPr>
          <w:rFonts w:hint="cs"/>
          <w:rtl/>
        </w:rPr>
        <w:br/>
      </w:r>
      <w:r w:rsidRPr="005314F3">
        <w:rPr>
          <w:rFonts w:hint="cs"/>
          <w:b/>
          <w:bCs/>
          <w:rtl/>
        </w:rPr>
        <w:t>בהסגר שני</w:t>
      </w:r>
      <w:r>
        <w:rPr>
          <w:rFonts w:hint="cs"/>
          <w:rtl/>
        </w:rPr>
        <w:t xml:space="preserve"> </w:t>
      </w:r>
      <w:r>
        <w:rPr>
          <w:rtl/>
        </w:rPr>
        <w:t>–</w:t>
      </w:r>
      <w:r>
        <w:rPr>
          <w:rFonts w:hint="cs"/>
          <w:rtl/>
        </w:rPr>
        <w:t xml:space="preserve"> לר"מ רואה להקל ולא להחמיר</w:t>
      </w:r>
      <w:r>
        <w:rPr>
          <w:rStyle w:val="a5"/>
          <w:rtl/>
        </w:rPr>
        <w:footnoteReference w:id="6"/>
      </w:r>
      <w:r>
        <w:rPr>
          <w:rFonts w:hint="cs"/>
          <w:rtl/>
        </w:rPr>
        <w:t>, ולרבי יוסי אין רואהו.</w:t>
      </w:r>
      <w:r>
        <w:rPr>
          <w:rStyle w:val="a5"/>
        </w:rPr>
        <w:footnoteReference w:id="7"/>
      </w:r>
      <w:r>
        <w:rPr>
          <w:rFonts w:hint="cs"/>
          <w:rtl/>
        </w:rPr>
        <w:br/>
        <w:t>לרבי, לברייתא א' כר"מ,</w:t>
      </w:r>
      <w:r>
        <w:rPr>
          <w:rStyle w:val="a5"/>
          <w:rtl/>
        </w:rPr>
        <w:footnoteReference w:id="8"/>
      </w:r>
      <w:r>
        <w:rPr>
          <w:rFonts w:hint="cs"/>
          <w:rtl/>
        </w:rPr>
        <w:t xml:space="preserve"> לברייתא ב' כר' יוסי.</w:t>
      </w:r>
      <w:r>
        <w:rPr>
          <w:rStyle w:val="a5"/>
        </w:rPr>
        <w:footnoteReference w:id="9"/>
      </w:r>
      <w:r>
        <w:rPr>
          <w:rFonts w:hint="cs"/>
          <w:rtl/>
        </w:rPr>
        <w:br/>
      </w:r>
      <w:r w:rsidRPr="005314F3">
        <w:rPr>
          <w:rFonts w:hint="cs"/>
          <w:b/>
          <w:bCs/>
          <w:rtl/>
        </w:rPr>
        <w:t>במוחלט</w:t>
      </w:r>
      <w:r>
        <w:rPr>
          <w:rFonts w:hint="cs"/>
          <w:rtl/>
        </w:rPr>
        <w:t xml:space="preserve"> </w:t>
      </w:r>
      <w:r>
        <w:rPr>
          <w:rtl/>
        </w:rPr>
        <w:t>–</w:t>
      </w:r>
      <w:r>
        <w:rPr>
          <w:rFonts w:hint="cs"/>
          <w:rtl/>
        </w:rPr>
        <w:t xml:space="preserve"> לברייתא א' לרבי לא יראנו, ולברייתא ב' לרבי יראנו.</w:t>
      </w:r>
      <w:r>
        <w:rPr>
          <w:rStyle w:val="a5"/>
          <w:rtl/>
        </w:rPr>
        <w:footnoteReference w:id="10"/>
      </w:r>
    </w:p>
    <w:p w:rsidR="008E2C67" w:rsidRPr="005314F3" w:rsidRDefault="008E2C67" w:rsidP="008E2C67">
      <w:pPr>
        <w:tabs>
          <w:tab w:val="left" w:pos="425"/>
        </w:tabs>
        <w:rPr>
          <w:rFonts w:hint="cs"/>
          <w:b/>
          <w:bCs/>
          <w:i/>
          <w:iCs/>
          <w:rtl/>
        </w:rPr>
      </w:pPr>
      <w:r w:rsidRPr="005314F3">
        <w:rPr>
          <w:rFonts w:hint="cs"/>
          <w:b/>
          <w:bCs/>
          <w:i/>
          <w:iCs/>
          <w:rtl/>
        </w:rPr>
        <w:t>ז:</w:t>
      </w:r>
    </w:p>
    <w:p w:rsidR="008E2C67" w:rsidRDefault="008E2C67" w:rsidP="008E2C67">
      <w:pPr>
        <w:tabs>
          <w:tab w:val="left" w:pos="425"/>
        </w:tabs>
        <w:rPr>
          <w:rFonts w:hint="cs"/>
          <w:rtl/>
        </w:rPr>
      </w:pPr>
      <w:r w:rsidRPr="005314F3">
        <w:rPr>
          <w:rFonts w:hint="cs"/>
          <w:b/>
          <w:bCs/>
          <w:rtl/>
        </w:rPr>
        <w:t>מדיני מצורע;</w:t>
      </w:r>
      <w:r w:rsidRPr="005314F3">
        <w:rPr>
          <w:b/>
          <w:bCs/>
          <w:rtl/>
        </w:rPr>
        <w:br/>
      </w:r>
      <w:r w:rsidRPr="005314F3">
        <w:rPr>
          <w:rFonts w:hint="cs"/>
          <w:b/>
          <w:bCs/>
          <w:rtl/>
        </w:rPr>
        <w:t>מוסגר</w:t>
      </w:r>
      <w:r>
        <w:rPr>
          <w:rFonts w:hint="cs"/>
          <w:rtl/>
        </w:rPr>
        <w:t xml:space="preserve"> </w:t>
      </w:r>
      <w:r>
        <w:rPr>
          <w:rtl/>
        </w:rPr>
        <w:t>–</w:t>
      </w:r>
      <w:r>
        <w:rPr>
          <w:rFonts w:hint="cs"/>
          <w:rtl/>
        </w:rPr>
        <w:t xml:space="preserve"> יושב במחנה ואסור באשתו.</w:t>
      </w:r>
      <w:r>
        <w:rPr>
          <w:rStyle w:val="a5"/>
          <w:rtl/>
        </w:rPr>
        <w:footnoteReference w:id="11"/>
      </w:r>
      <w:r>
        <w:rPr>
          <w:rFonts w:hint="cs"/>
          <w:rtl/>
        </w:rPr>
        <w:t xml:space="preserve"> </w:t>
      </w:r>
      <w:r>
        <w:rPr>
          <w:rFonts w:hint="cs"/>
          <w:rtl/>
        </w:rPr>
        <w:br/>
      </w:r>
      <w:r w:rsidRPr="005314F3">
        <w:rPr>
          <w:rFonts w:hint="cs"/>
          <w:b/>
          <w:bCs/>
          <w:rtl/>
        </w:rPr>
        <w:t>מוחלט</w:t>
      </w:r>
      <w:r>
        <w:rPr>
          <w:rFonts w:hint="cs"/>
          <w:rtl/>
        </w:rPr>
        <w:t xml:space="preserve"> </w:t>
      </w:r>
      <w:r>
        <w:rPr>
          <w:rtl/>
        </w:rPr>
        <w:t>–</w:t>
      </w:r>
      <w:r>
        <w:rPr>
          <w:rFonts w:hint="cs"/>
          <w:rtl/>
        </w:rPr>
        <w:t xml:space="preserve"> יושב מחוץ למחנה.</w:t>
      </w:r>
      <w:r>
        <w:rPr>
          <w:rtl/>
        </w:rPr>
        <w:br/>
      </w:r>
      <w:r>
        <w:rPr>
          <w:rFonts w:hint="cs"/>
          <w:rtl/>
        </w:rPr>
        <w:tab/>
        <w:t>לר' יהודה ורבי ור"ח מותר באשתו, ולריבר"י אסור (מק"ו מימי ספירו).</w:t>
      </w:r>
      <w:r>
        <w:rPr>
          <w:rFonts w:hint="cs"/>
          <w:rtl/>
        </w:rPr>
        <w:br/>
      </w:r>
      <w:r w:rsidRPr="005314F3">
        <w:rPr>
          <w:rFonts w:hint="cs"/>
          <w:b/>
          <w:bCs/>
          <w:rtl/>
        </w:rPr>
        <w:t>בימי ספירו</w:t>
      </w:r>
      <w:r>
        <w:rPr>
          <w:rFonts w:hint="cs"/>
          <w:rtl/>
        </w:rPr>
        <w:t xml:space="preserve"> </w:t>
      </w:r>
      <w:r>
        <w:rPr>
          <w:rtl/>
        </w:rPr>
        <w:t>–</w:t>
      </w:r>
      <w:r>
        <w:rPr>
          <w:rFonts w:hint="cs"/>
          <w:rtl/>
        </w:rPr>
        <w:t xml:space="preserve"> יושב במחנה, ואסור באשתו.</w:t>
      </w:r>
    </w:p>
    <w:p w:rsidR="006129BE" w:rsidRDefault="008E2C67" w:rsidP="008E2C67">
      <w:r w:rsidRPr="005314F3">
        <w:rPr>
          <w:rFonts w:hint="cs"/>
          <w:b/>
          <w:bCs/>
          <w:rtl/>
        </w:rPr>
        <w:lastRenderedPageBreak/>
        <w:t>כל שלא טמאו הכהן</w:t>
      </w:r>
      <w:r>
        <w:rPr>
          <w:rFonts w:hint="cs"/>
          <w:rtl/>
        </w:rPr>
        <w:t xml:space="preserve"> </w:t>
      </w:r>
      <w:r>
        <w:rPr>
          <w:rtl/>
        </w:rPr>
        <w:t>–</w:t>
      </w:r>
      <w:r>
        <w:rPr>
          <w:rFonts w:hint="cs"/>
          <w:rtl/>
        </w:rPr>
        <w:t xml:space="preserve"> אינו טמא.</w:t>
      </w:r>
      <w:r>
        <w:rPr>
          <w:rtl/>
        </w:rPr>
        <w:br/>
      </w:r>
      <w:r w:rsidRPr="005314F3">
        <w:rPr>
          <w:rFonts w:hint="cs"/>
          <w:b/>
          <w:bCs/>
          <w:rtl/>
        </w:rPr>
        <w:t>במועד וחתן</w:t>
      </w:r>
      <w:r>
        <w:rPr>
          <w:rFonts w:hint="cs"/>
          <w:rtl/>
        </w:rPr>
        <w:t xml:space="preserve"> - רשאי הכהן שלא לראותו לכו"ע. וכן נגעי בתיו ובגדיו.</w:t>
      </w:r>
      <w:r>
        <w:rPr>
          <w:rtl/>
        </w:rPr>
        <w:br/>
      </w:r>
      <w:r w:rsidRPr="005314F3">
        <w:rPr>
          <w:rFonts w:hint="cs"/>
          <w:b/>
          <w:bCs/>
          <w:rtl/>
        </w:rPr>
        <w:t>ראה שראוי לטמא</w:t>
      </w:r>
      <w:r>
        <w:rPr>
          <w:rFonts w:hint="cs"/>
          <w:rtl/>
        </w:rPr>
        <w:t xml:space="preserve"> - לרבי רשאי לשתוק, ולר' יוסי אינו  רשאי וכנ"ל.</w:t>
      </w:r>
      <w:r>
        <w:rPr>
          <w:rtl/>
        </w:rPr>
        <w:br/>
      </w:r>
      <w:r w:rsidRPr="005314F3">
        <w:rPr>
          <w:rFonts w:hint="cs"/>
          <w:b/>
          <w:bCs/>
          <w:rtl/>
        </w:rPr>
        <w:t>לא לראות נגעים שבגופו לצורך רשות</w:t>
      </w:r>
      <w:r>
        <w:rPr>
          <w:rFonts w:hint="cs"/>
          <w:rtl/>
        </w:rPr>
        <w:t xml:space="preserve"> </w:t>
      </w:r>
      <w:r>
        <w:rPr>
          <w:rtl/>
        </w:rPr>
        <w:t>–</w:t>
      </w:r>
      <w:r>
        <w:rPr>
          <w:rFonts w:hint="cs"/>
          <w:rtl/>
        </w:rPr>
        <w:t xml:space="preserve"> לר' יהודה אסור לרבי מותר</w:t>
      </w:r>
      <w:r>
        <w:rPr>
          <w:rStyle w:val="a5"/>
          <w:rtl/>
        </w:rPr>
        <w:footnoteReference w:id="12"/>
      </w:r>
      <w:r>
        <w:rPr>
          <w:rFonts w:hint="cs"/>
          <w:rtl/>
        </w:rPr>
        <w:t>.</w:t>
      </w:r>
      <w:r>
        <w:rPr>
          <w:rtl/>
        </w:rPr>
        <w:br/>
      </w:r>
      <w:r w:rsidRPr="005314F3">
        <w:rPr>
          <w:rFonts w:hint="cs"/>
          <w:b/>
          <w:bCs/>
          <w:rtl/>
        </w:rPr>
        <w:t>נגעי בתים</w:t>
      </w:r>
      <w:r>
        <w:rPr>
          <w:rFonts w:hint="cs"/>
          <w:rtl/>
        </w:rPr>
        <w:t xml:space="preserve"> </w:t>
      </w:r>
      <w:r>
        <w:rPr>
          <w:rtl/>
        </w:rPr>
        <w:t>–</w:t>
      </w:r>
      <w:r>
        <w:rPr>
          <w:rFonts w:hint="cs"/>
          <w:rtl/>
        </w:rPr>
        <w:t xml:space="preserve"> מפורש בתורה שמעכבים הראייה כדי לפנות כלים, והיינו לצורך רשות.</w:t>
      </w:r>
      <w:r>
        <w:rPr>
          <w:rFonts w:hint="cs"/>
          <w:rtl/>
        </w:rPr>
        <w:br/>
      </w:r>
    </w:p>
    <w:sectPr w:rsidR="006129BE" w:rsidSect="001D13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C7D" w:rsidRDefault="007B5C7D" w:rsidP="008E2C67">
      <w:pPr>
        <w:spacing w:after="0" w:line="240" w:lineRule="auto"/>
      </w:pPr>
      <w:r>
        <w:separator/>
      </w:r>
    </w:p>
  </w:endnote>
  <w:endnote w:type="continuationSeparator" w:id="0">
    <w:p w:rsidR="007B5C7D" w:rsidRDefault="007B5C7D" w:rsidP="008E2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C7D" w:rsidRDefault="007B5C7D" w:rsidP="008E2C67">
      <w:pPr>
        <w:spacing w:after="0" w:line="240" w:lineRule="auto"/>
      </w:pPr>
      <w:r>
        <w:separator/>
      </w:r>
    </w:p>
  </w:footnote>
  <w:footnote w:type="continuationSeparator" w:id="0">
    <w:p w:rsidR="007B5C7D" w:rsidRDefault="007B5C7D" w:rsidP="008E2C67">
      <w:pPr>
        <w:spacing w:after="0" w:line="240" w:lineRule="auto"/>
      </w:pPr>
      <w:r>
        <w:continuationSeparator/>
      </w:r>
    </w:p>
  </w:footnote>
  <w:footnote w:id="1">
    <w:p w:rsidR="008E2C67" w:rsidRDefault="008E2C67" w:rsidP="008E2C67">
      <w:pPr>
        <w:pStyle w:val="a3"/>
        <w:rPr>
          <w:rFonts w:hint="cs"/>
        </w:rPr>
      </w:pPr>
      <w:r>
        <w:rPr>
          <w:rStyle w:val="a5"/>
        </w:rPr>
        <w:footnoteRef/>
      </w:r>
      <w:r>
        <w:rPr>
          <w:rtl/>
        </w:rPr>
        <w:t xml:space="preserve"> </w:t>
      </w:r>
      <w:r>
        <w:rPr>
          <w:rFonts w:hint="cs"/>
          <w:rtl/>
        </w:rPr>
        <w:t>וזה נפ"מ לשיטת חכמים דמתני' (וי"ג רבי יהודה) דבשדה לבן מותר רק שלא כדרכו.</w:t>
      </w:r>
    </w:p>
  </w:footnote>
  <w:footnote w:id="2">
    <w:p w:rsidR="008E2C67" w:rsidRDefault="008E2C67" w:rsidP="008E2C67">
      <w:pPr>
        <w:pStyle w:val="a3"/>
        <w:rPr>
          <w:rFonts w:hint="cs"/>
          <w:rtl/>
        </w:rPr>
      </w:pPr>
      <w:r>
        <w:rPr>
          <w:rStyle w:val="a5"/>
        </w:rPr>
        <w:footnoteRef/>
      </w:r>
      <w:r>
        <w:rPr>
          <w:rtl/>
        </w:rPr>
        <w:t xml:space="preserve"> </w:t>
      </w:r>
      <w:r>
        <w:rPr>
          <w:rFonts w:hint="cs"/>
          <w:rtl/>
        </w:rPr>
        <w:t>לגירסתינו מפורש שזה ביאור בדעת חכמים דמתני'. ועי' תוס' בזה.</w:t>
      </w:r>
    </w:p>
  </w:footnote>
  <w:footnote w:id="3">
    <w:p w:rsidR="008E2C67" w:rsidRDefault="008E2C67" w:rsidP="008E2C67">
      <w:pPr>
        <w:pStyle w:val="a3"/>
        <w:rPr>
          <w:rFonts w:hint="cs"/>
          <w:rtl/>
        </w:rPr>
      </w:pPr>
      <w:r>
        <w:rPr>
          <w:rStyle w:val="a5"/>
        </w:rPr>
        <w:footnoteRef/>
      </w:r>
      <w:r>
        <w:rPr>
          <w:rtl/>
        </w:rPr>
        <w:t xml:space="preserve"> </w:t>
      </w:r>
      <w:r>
        <w:rPr>
          <w:rFonts w:hint="cs"/>
          <w:rtl/>
        </w:rPr>
        <w:t>התוס' הביאו דדוקא בכותל שנפרץ לרה"ר ומשום גנבים, אבל באופן דאין חשש גנבים כגון בין חצר לחצר, אסור.</w:t>
      </w:r>
    </w:p>
  </w:footnote>
  <w:footnote w:id="4">
    <w:p w:rsidR="008E2C67" w:rsidRDefault="008E2C67" w:rsidP="008E2C67">
      <w:pPr>
        <w:pStyle w:val="a3"/>
        <w:rPr>
          <w:rFonts w:hint="cs"/>
          <w:rtl/>
        </w:rPr>
      </w:pPr>
      <w:r>
        <w:rPr>
          <w:rStyle w:val="a5"/>
        </w:rPr>
        <w:footnoteRef/>
      </w:r>
      <w:r>
        <w:rPr>
          <w:rtl/>
        </w:rPr>
        <w:t xml:space="preserve"> </w:t>
      </w:r>
      <w:r>
        <w:rPr>
          <w:rFonts w:hint="cs"/>
          <w:rtl/>
        </w:rPr>
        <w:t>כן מפורש בלישנא בתרא, ומסתברא דלישנא קמא מודה לזה.</w:t>
      </w:r>
    </w:p>
  </w:footnote>
  <w:footnote w:id="5">
    <w:p w:rsidR="008E2C67" w:rsidRDefault="008E2C67" w:rsidP="008E2C67">
      <w:pPr>
        <w:pStyle w:val="a3"/>
        <w:rPr>
          <w:rFonts w:hint="cs"/>
        </w:rPr>
      </w:pPr>
      <w:r>
        <w:rPr>
          <w:rStyle w:val="a5"/>
        </w:rPr>
        <w:footnoteRef/>
      </w:r>
      <w:r>
        <w:rPr>
          <w:rtl/>
        </w:rPr>
        <w:t xml:space="preserve"> </w:t>
      </w:r>
      <w:r>
        <w:rPr>
          <w:rFonts w:hint="cs"/>
          <w:rtl/>
        </w:rPr>
        <w:t>רש"י מפרש דהיינו סוף הסגר ראשון, אם יטהרו ישמחנו, ואם יסגירו שנית, הרי לא נגרע מצבו. ועי' תוס' דהרי יתכן שיטמאנו בהחלט, עי' בדבריהם בארוכה.</w:t>
      </w:r>
    </w:p>
  </w:footnote>
  <w:footnote w:id="6">
    <w:p w:rsidR="008E2C67" w:rsidRDefault="008E2C67" w:rsidP="008E2C67">
      <w:pPr>
        <w:pStyle w:val="a3"/>
        <w:rPr>
          <w:rFonts w:hint="cs"/>
        </w:rPr>
      </w:pPr>
      <w:r>
        <w:rPr>
          <w:rStyle w:val="a5"/>
        </w:rPr>
        <w:footnoteRef/>
      </w:r>
      <w:r>
        <w:rPr>
          <w:rtl/>
        </w:rPr>
        <w:t xml:space="preserve"> </w:t>
      </w:r>
      <w:r>
        <w:rPr>
          <w:rFonts w:hint="cs"/>
          <w:rtl/>
        </w:rPr>
        <w:t>כלומר אם יראה שטהור, יטהרנו וישמחנו. ואם יראה שראוי לטמאותו בהחלט, ישתוק וישאירנו כמות שהוא. ולר"מ מותר לכהן לשתוק.</w:t>
      </w:r>
    </w:p>
  </w:footnote>
  <w:footnote w:id="7">
    <w:p w:rsidR="008E2C67" w:rsidRDefault="008E2C67" w:rsidP="008E2C67">
      <w:pPr>
        <w:pStyle w:val="a3"/>
        <w:rPr>
          <w:rFonts w:hint="cs"/>
          <w:rtl/>
        </w:rPr>
      </w:pPr>
      <w:r>
        <w:rPr>
          <w:rStyle w:val="a5"/>
        </w:rPr>
        <w:footnoteRef/>
      </w:r>
      <w:r>
        <w:rPr>
          <w:rtl/>
        </w:rPr>
        <w:t xml:space="preserve"> </w:t>
      </w:r>
      <w:r>
        <w:rPr>
          <w:rFonts w:hint="cs"/>
          <w:rtl/>
        </w:rPr>
        <w:t>במתניתין מובאת דעה זו בשם חכמים. וטעמו דאם הכהן רואה, אסור לו לשתוק מלטמא. אבל רשאי שלא לראות.</w:t>
      </w:r>
    </w:p>
  </w:footnote>
  <w:footnote w:id="8">
    <w:p w:rsidR="008E2C67" w:rsidRDefault="008E2C67" w:rsidP="008E2C67">
      <w:pPr>
        <w:pStyle w:val="a3"/>
        <w:rPr>
          <w:rFonts w:hint="cs"/>
        </w:rPr>
      </w:pPr>
      <w:r>
        <w:rPr>
          <w:rStyle w:val="a5"/>
        </w:rPr>
        <w:footnoteRef/>
      </w:r>
      <w:r>
        <w:rPr>
          <w:rtl/>
        </w:rPr>
        <w:t xml:space="preserve"> </w:t>
      </w:r>
      <w:r>
        <w:rPr>
          <w:rFonts w:hint="cs"/>
          <w:rtl/>
        </w:rPr>
        <w:t>דס"ל צוותא דאשתו עדיפא ליה מדעלמא, ולכן רואהו, ואי מטהרו ישמחנו, ואי יחליטנו, אכתי משמחו, אף דיוצא מחוץ למחנה, מ"מ הותר באשתו. והיינו דבהסגר, מותר בחברת בני אדם, אבל אסור באשתו, ובהחלט להיפך. והיינו דרבי כר"מ אבל לאו מטעמיה דישתוק, דבזה ס"ל כר"י דאין לשתוק, אלא דאכתי טובה היא לו.</w:t>
      </w:r>
    </w:p>
  </w:footnote>
  <w:footnote w:id="9">
    <w:p w:rsidR="008E2C67" w:rsidRDefault="008E2C67" w:rsidP="008E2C67">
      <w:pPr>
        <w:pStyle w:val="a3"/>
        <w:rPr>
          <w:rFonts w:hint="cs"/>
          <w:rtl/>
        </w:rPr>
      </w:pPr>
      <w:r>
        <w:rPr>
          <w:rStyle w:val="a5"/>
        </w:rPr>
        <w:footnoteRef/>
      </w:r>
      <w:r>
        <w:rPr>
          <w:rtl/>
        </w:rPr>
        <w:t xml:space="preserve"> </w:t>
      </w:r>
      <w:r>
        <w:rPr>
          <w:rFonts w:hint="cs"/>
          <w:rtl/>
        </w:rPr>
        <w:t>דס"ל צוותא דעלמא עדיף ליה, ולכן לא יראנו, שאם יוצרך להחליט, ייצא מחוץ למחנה ויאבד צוותא דעלמא ומצערו, אף דלעומת זה יותר באשתו.</w:t>
      </w:r>
    </w:p>
  </w:footnote>
  <w:footnote w:id="10">
    <w:p w:rsidR="008E2C67" w:rsidRDefault="008E2C67" w:rsidP="008E2C67">
      <w:pPr>
        <w:pStyle w:val="a3"/>
        <w:rPr>
          <w:rFonts w:hint="cs"/>
        </w:rPr>
      </w:pPr>
      <w:r>
        <w:rPr>
          <w:rStyle w:val="a5"/>
        </w:rPr>
        <w:footnoteRef/>
      </w:r>
      <w:r>
        <w:rPr>
          <w:rtl/>
        </w:rPr>
        <w:t xml:space="preserve"> </w:t>
      </w:r>
      <w:r>
        <w:rPr>
          <w:rFonts w:hint="cs"/>
          <w:rtl/>
        </w:rPr>
        <w:t>דעת ר"מ ור"י לא נתפרשה. ויש מקומות שהגמרא מדייקת בכגון דא דאף הם פליגי בזה. וסברת רבי לב' הברייתות מובנת להנ"ל, דלברייתא א' אם יטהרנו ויתחילו ימי ספירו ייאסר באשתו וצער הוא לו אע"פ שחוזר למחנה, ולכן לא יראנו, ולברייתא ב' יראנו דאם יטמאנו הריהו במצבו, ואם יטהרנו ישמחנו בצוותא דעלמא דעדיפא ליה מצוותא דאשתו שנאסר בה.</w:t>
      </w:r>
    </w:p>
  </w:footnote>
  <w:footnote w:id="11">
    <w:p w:rsidR="008E2C67" w:rsidRDefault="008E2C67" w:rsidP="008E2C67">
      <w:pPr>
        <w:pStyle w:val="a3"/>
        <w:rPr>
          <w:rFonts w:hint="cs"/>
        </w:rPr>
      </w:pPr>
      <w:r>
        <w:rPr>
          <w:rStyle w:val="a5"/>
        </w:rPr>
        <w:footnoteRef/>
      </w:r>
      <w:r>
        <w:rPr>
          <w:rtl/>
        </w:rPr>
        <w:t xml:space="preserve"> </w:t>
      </w:r>
      <w:r>
        <w:rPr>
          <w:rFonts w:hint="cs"/>
          <w:rtl/>
        </w:rPr>
        <w:t>כן ביאר רש"י את כל הסוגיא, ועי' בעמ' א' תוד"ה אמר רבי שחולקים, ועי"ש כמה דיני מצורע.</w:t>
      </w:r>
    </w:p>
  </w:footnote>
  <w:footnote w:id="12">
    <w:p w:rsidR="008E2C67" w:rsidRDefault="008E2C67" w:rsidP="008E2C67">
      <w:pPr>
        <w:pStyle w:val="a3"/>
        <w:rPr>
          <w:rFonts w:hint="cs"/>
          <w:rtl/>
        </w:rPr>
      </w:pPr>
      <w:r>
        <w:rPr>
          <w:rStyle w:val="a5"/>
        </w:rPr>
        <w:footnoteRef/>
      </w:r>
      <w:r>
        <w:rPr>
          <w:rtl/>
        </w:rPr>
        <w:t xml:space="preserve"> </w:t>
      </w:r>
      <w:r>
        <w:rPr>
          <w:rFonts w:hint="cs"/>
          <w:rtl/>
        </w:rPr>
        <w:t>כן הוא לדעת רבא שהלכה כמותו לגבי אביי. לאביי הוי רק משמעות דורשין ושניהם הושוו, אבל לא נתפרש אי להיתר או לאיסור.</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8E2C67"/>
    <w:rsid w:val="001D1307"/>
    <w:rsid w:val="006129BE"/>
    <w:rsid w:val="007B5C7D"/>
    <w:rsid w:val="008E2C67"/>
    <w:rsid w:val="00AA505C"/>
    <w:rsid w:val="00F433C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C6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E2C67"/>
    <w:pPr>
      <w:spacing w:after="0" w:line="240" w:lineRule="auto"/>
    </w:pPr>
    <w:rPr>
      <w:sz w:val="20"/>
      <w:szCs w:val="20"/>
    </w:rPr>
  </w:style>
  <w:style w:type="character" w:customStyle="1" w:styleId="a4">
    <w:name w:val="טקסט הערת שוליים תו"/>
    <w:basedOn w:val="a0"/>
    <w:link w:val="a3"/>
    <w:uiPriority w:val="99"/>
    <w:semiHidden/>
    <w:rsid w:val="008E2C67"/>
    <w:rPr>
      <w:sz w:val="20"/>
      <w:szCs w:val="20"/>
    </w:rPr>
  </w:style>
  <w:style w:type="character" w:styleId="a5">
    <w:name w:val="footnote reference"/>
    <w:basedOn w:val="a0"/>
    <w:uiPriority w:val="99"/>
    <w:semiHidden/>
    <w:unhideWhenUsed/>
    <w:rsid w:val="008E2C6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1076</Characters>
  <Application>Microsoft Office Word</Application>
  <DocSecurity>0</DocSecurity>
  <Lines>8</Lines>
  <Paragraphs>2</Paragraphs>
  <ScaleCrop>false</ScaleCrop>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2014-08-18T23:29:00Z</dcterms:created>
  <dcterms:modified xsi:type="dcterms:W3CDTF">2014-08-18T23:29:00Z</dcterms:modified>
</cp:coreProperties>
</file>