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17D" w:rsidRPr="00F403CB" w:rsidRDefault="00BC617D" w:rsidP="00BC617D">
      <w:pPr>
        <w:rPr>
          <w:rFonts w:hint="cs"/>
          <w:b/>
          <w:bCs/>
          <w:i/>
          <w:iCs/>
          <w:rtl/>
        </w:rPr>
      </w:pPr>
      <w:r w:rsidRPr="00F403CB">
        <w:rPr>
          <w:rFonts w:hint="cs"/>
          <w:b/>
          <w:bCs/>
          <w:i/>
          <w:iCs/>
          <w:rtl/>
        </w:rPr>
        <w:t>כ.</w:t>
      </w:r>
    </w:p>
    <w:p w:rsidR="00BC617D" w:rsidRDefault="00BC617D" w:rsidP="00BC617D">
      <w:pPr>
        <w:rPr>
          <w:rFonts w:hint="cs"/>
          <w:rtl/>
        </w:rPr>
      </w:pPr>
      <w:r w:rsidRPr="00F403CB">
        <w:rPr>
          <w:rFonts w:hint="cs"/>
          <w:b/>
          <w:bCs/>
          <w:rtl/>
        </w:rPr>
        <w:t>חולין שנעשו על טהרת הקדש</w:t>
      </w:r>
      <w:r>
        <w:rPr>
          <w:rFonts w:hint="cs"/>
          <w:rtl/>
        </w:rPr>
        <w:t xml:space="preserve"> - לת"ק דברייתא הרי הן כחולין, לראבר"צ הרי הן כתרומה,</w:t>
      </w:r>
      <w:r>
        <w:rPr>
          <w:rtl/>
        </w:rPr>
        <w:br/>
      </w:r>
      <w:r>
        <w:rPr>
          <w:rFonts w:hint="cs"/>
          <w:rtl/>
        </w:rPr>
        <w:tab/>
        <w:t>למתני' הרי הן כקדש.</w:t>
      </w:r>
      <w:r>
        <w:rPr>
          <w:rtl/>
        </w:rPr>
        <w:br/>
      </w:r>
      <w:r w:rsidRPr="00F403CB">
        <w:rPr>
          <w:rFonts w:hint="cs"/>
          <w:b/>
          <w:bCs/>
          <w:rtl/>
        </w:rPr>
        <w:t>בגדי פרושים האוכלים חוליהם על טהרת הקדש</w:t>
      </w:r>
      <w:r>
        <w:rPr>
          <w:rFonts w:hint="cs"/>
          <w:rtl/>
        </w:rPr>
        <w:t xml:space="preserve"> </w:t>
      </w:r>
      <w:r>
        <w:rPr>
          <w:rtl/>
        </w:rPr>
        <w:t>–</w:t>
      </w:r>
      <w:r>
        <w:rPr>
          <w:rFonts w:hint="cs"/>
          <w:rtl/>
        </w:rPr>
        <w:t xml:space="preserve"> לת"ק מדרס לאוכלי תרומה (ולרבנן אף למעשר), לראבר"צ מדרס רק לאוכלי קדש ומעלה, ולמתניתין רק לחטאת.</w:t>
      </w:r>
    </w:p>
    <w:p w:rsidR="00BC617D" w:rsidRDefault="00BC617D" w:rsidP="00BC617D">
      <w:pPr>
        <w:rPr>
          <w:rFonts w:hint="cs"/>
          <w:rtl/>
        </w:rPr>
      </w:pPr>
      <w:r w:rsidRPr="00F403CB">
        <w:rPr>
          <w:rFonts w:hint="cs"/>
          <w:b/>
          <w:bCs/>
          <w:rtl/>
        </w:rPr>
        <w:t>חזקה אין אדם משמר מה שביד חבירו.</w:t>
      </w:r>
      <w:r w:rsidRPr="00F403CB">
        <w:rPr>
          <w:b/>
          <w:bCs/>
          <w:rtl/>
        </w:rPr>
        <w:br/>
      </w:r>
      <w:r w:rsidRPr="00F403CB">
        <w:rPr>
          <w:rFonts w:hint="cs"/>
          <w:b/>
          <w:bCs/>
          <w:rtl/>
        </w:rPr>
        <w:t>נפלה מעפרתו ואמר לחבירו החבר תנה לי ונתנה לו</w:t>
      </w:r>
      <w:r>
        <w:rPr>
          <w:rFonts w:hint="cs"/>
          <w:rtl/>
        </w:rPr>
        <w:t xml:space="preserve"> </w:t>
      </w:r>
      <w:r>
        <w:rPr>
          <w:rtl/>
        </w:rPr>
        <w:t>–</w:t>
      </w:r>
      <w:r>
        <w:rPr>
          <w:rFonts w:hint="cs"/>
          <w:rtl/>
        </w:rPr>
        <w:t xml:space="preserve"> טמאה.</w:t>
      </w:r>
      <w:r>
        <w:rPr>
          <w:rStyle w:val="a5"/>
          <w:rtl/>
        </w:rPr>
        <w:footnoteReference w:id="1"/>
      </w:r>
    </w:p>
    <w:p w:rsidR="00BC617D" w:rsidRDefault="00BC617D" w:rsidP="00BC617D">
      <w:pPr>
        <w:rPr>
          <w:rFonts w:hint="cs"/>
          <w:rtl/>
        </w:rPr>
      </w:pPr>
      <w:r w:rsidRPr="00F403CB">
        <w:rPr>
          <w:rFonts w:hint="cs"/>
          <w:b/>
          <w:bCs/>
          <w:rtl/>
        </w:rPr>
        <w:t>המשמר בחזקת שהוא דבר זה ונמצא אחר</w:t>
      </w:r>
      <w:r>
        <w:rPr>
          <w:rFonts w:hint="cs"/>
          <w:rtl/>
        </w:rPr>
        <w:t xml:space="preserve"> </w:t>
      </w:r>
      <w:r>
        <w:rPr>
          <w:rtl/>
        </w:rPr>
        <w:t>–</w:t>
      </w:r>
      <w:r>
        <w:rPr>
          <w:rFonts w:hint="cs"/>
          <w:rtl/>
        </w:rPr>
        <w:t xml:space="preserve"> הרי זה טהור.</w:t>
      </w:r>
      <w:r>
        <w:rPr>
          <w:rFonts w:hint="cs"/>
          <w:rtl/>
        </w:rPr>
        <w:br/>
        <w:t xml:space="preserve">וכגון; </w:t>
      </w:r>
      <w:r w:rsidRPr="00F403CB">
        <w:rPr>
          <w:rFonts w:hint="cs"/>
          <w:b/>
          <w:bCs/>
          <w:rtl/>
        </w:rPr>
        <w:t>הושיט ידו לסל ליטול פת חיטין ועלה בידו שעורין</w:t>
      </w:r>
      <w:r>
        <w:rPr>
          <w:rFonts w:hint="cs"/>
          <w:rtl/>
        </w:rPr>
        <w:t xml:space="preserve"> </w:t>
      </w:r>
      <w:r>
        <w:rPr>
          <w:rtl/>
        </w:rPr>
        <w:t>–</w:t>
      </w:r>
      <w:r>
        <w:rPr>
          <w:rFonts w:hint="cs"/>
          <w:rtl/>
        </w:rPr>
        <w:t xml:space="preserve"> טהור.</w:t>
      </w:r>
      <w:r>
        <w:rPr>
          <w:rtl/>
        </w:rPr>
        <w:br/>
      </w:r>
      <w:r w:rsidRPr="00F403CB">
        <w:rPr>
          <w:rFonts w:hint="cs"/>
          <w:b/>
          <w:bCs/>
          <w:rtl/>
        </w:rPr>
        <w:t>שמר בחזקת יין ונמצא שמן</w:t>
      </w:r>
      <w:r>
        <w:rPr>
          <w:rFonts w:hint="cs"/>
          <w:rtl/>
        </w:rPr>
        <w:t xml:space="preserve"> </w:t>
      </w:r>
      <w:r>
        <w:rPr>
          <w:rtl/>
        </w:rPr>
        <w:t>–</w:t>
      </w:r>
      <w:r>
        <w:rPr>
          <w:rFonts w:hint="cs"/>
          <w:rtl/>
        </w:rPr>
        <w:t xml:space="preserve"> טהור.</w:t>
      </w:r>
      <w:r>
        <w:rPr>
          <w:rtl/>
        </w:rPr>
        <w:br/>
      </w:r>
      <w:r w:rsidRPr="00F403CB">
        <w:rPr>
          <w:rFonts w:hint="cs"/>
          <w:b/>
          <w:bCs/>
          <w:rtl/>
        </w:rPr>
        <w:t>שמר בחזקת כלי חול ונמצא כלי שבת</w:t>
      </w:r>
      <w:r>
        <w:rPr>
          <w:rFonts w:hint="cs"/>
          <w:rtl/>
        </w:rPr>
        <w:t xml:space="preserve"> </w:t>
      </w:r>
      <w:r>
        <w:rPr>
          <w:rtl/>
        </w:rPr>
        <w:t>–</w:t>
      </w:r>
      <w:r>
        <w:rPr>
          <w:rFonts w:hint="cs"/>
          <w:rtl/>
        </w:rPr>
        <w:t xml:space="preserve"> טמא.</w:t>
      </w:r>
      <w:r>
        <w:rPr>
          <w:rStyle w:val="a5"/>
          <w:rtl/>
        </w:rPr>
        <w:footnoteReference w:id="2"/>
      </w:r>
      <w:r>
        <w:rPr>
          <w:rFonts w:hint="cs"/>
          <w:rtl/>
        </w:rPr>
        <w:br/>
      </w:r>
      <w:r w:rsidRPr="00F403CB">
        <w:rPr>
          <w:rFonts w:hint="cs"/>
          <w:b/>
          <w:bCs/>
          <w:rtl/>
        </w:rPr>
        <w:t>נשים שנתחלפו בגדיהן בטעות</w:t>
      </w:r>
      <w:r>
        <w:rPr>
          <w:rFonts w:hint="cs"/>
          <w:rtl/>
        </w:rPr>
        <w:t xml:space="preserve"> </w:t>
      </w:r>
      <w:r>
        <w:rPr>
          <w:rtl/>
        </w:rPr>
        <w:t>–</w:t>
      </w:r>
      <w:r>
        <w:rPr>
          <w:rFonts w:hint="cs"/>
          <w:rtl/>
        </w:rPr>
        <w:t xml:space="preserve"> טמאים.</w:t>
      </w:r>
      <w:r>
        <w:rPr>
          <w:rtl/>
        </w:rPr>
        <w:br/>
      </w:r>
      <w:r>
        <w:rPr>
          <w:rFonts w:hint="cs"/>
          <w:rtl/>
        </w:rPr>
        <w:tab/>
        <w:t>דכל אחת סבורה שחברתה אשת עם הארץ ומסיחה דעת משמירת בגדיה.</w:t>
      </w:r>
      <w:r>
        <w:rPr>
          <w:rStyle w:val="a5"/>
          <w:rtl/>
        </w:rPr>
        <w:footnoteReference w:id="3"/>
      </w:r>
    </w:p>
    <w:p w:rsidR="00BC617D" w:rsidRDefault="00BC617D" w:rsidP="00BC617D">
      <w:pPr>
        <w:rPr>
          <w:rFonts w:hint="cs"/>
          <w:rtl/>
        </w:rPr>
      </w:pPr>
      <w:r w:rsidRPr="00F403CB">
        <w:rPr>
          <w:rFonts w:hint="cs"/>
          <w:b/>
          <w:bCs/>
          <w:rtl/>
        </w:rPr>
        <w:t>שמר רק מדבר מטמא ולא מדבר הפוסל</w:t>
      </w:r>
      <w:r>
        <w:rPr>
          <w:rFonts w:hint="cs"/>
          <w:rtl/>
        </w:rPr>
        <w:t xml:space="preserve"> </w:t>
      </w:r>
      <w:r>
        <w:rPr>
          <w:rtl/>
        </w:rPr>
        <w:t>–</w:t>
      </w:r>
      <w:r>
        <w:rPr>
          <w:rFonts w:hint="cs"/>
          <w:rtl/>
        </w:rPr>
        <w:t xml:space="preserve"> הרי זה פסול ולא טמא.</w:t>
      </w:r>
      <w:r>
        <w:rPr>
          <w:rFonts w:hint="cs"/>
          <w:rtl/>
        </w:rPr>
        <w:br/>
      </w:r>
      <w:r w:rsidRPr="00F403CB">
        <w:rPr>
          <w:rFonts w:hint="cs"/>
          <w:b/>
          <w:bCs/>
          <w:rtl/>
        </w:rPr>
        <w:t>שמר על הסל ולא שמר על המגריפה שבו;</w:t>
      </w:r>
      <w:r w:rsidRPr="00F403CB">
        <w:rPr>
          <w:rFonts w:hint="cs"/>
          <w:b/>
          <w:bCs/>
          <w:rtl/>
        </w:rPr>
        <w:br/>
        <w:t>הסל</w:t>
      </w:r>
      <w:r>
        <w:rPr>
          <w:rFonts w:hint="cs"/>
          <w:rtl/>
        </w:rPr>
        <w:t xml:space="preserve"> </w:t>
      </w:r>
      <w:r>
        <w:rPr>
          <w:rtl/>
        </w:rPr>
        <w:t>–</w:t>
      </w:r>
      <w:r>
        <w:rPr>
          <w:rFonts w:hint="cs"/>
          <w:rtl/>
        </w:rPr>
        <w:t xml:space="preserve"> טהור, אפילו לא שמר על המגריפה כלל, דאין כלי מטמא כלי.</w:t>
      </w:r>
      <w:r>
        <w:rPr>
          <w:rFonts w:hint="cs"/>
          <w:rtl/>
        </w:rPr>
        <w:br/>
      </w:r>
      <w:r w:rsidRPr="00F403CB">
        <w:rPr>
          <w:rFonts w:hint="cs"/>
          <w:b/>
          <w:bCs/>
          <w:rtl/>
        </w:rPr>
        <w:t>התאנים</w:t>
      </w:r>
      <w:r>
        <w:rPr>
          <w:rFonts w:hint="cs"/>
          <w:rtl/>
        </w:rPr>
        <w:t xml:space="preserve"> - אם לא שמר על המגריפה כלל, נטמאו ממנה.</w:t>
      </w:r>
      <w:r>
        <w:rPr>
          <w:rtl/>
        </w:rPr>
        <w:br/>
      </w:r>
      <w:r>
        <w:rPr>
          <w:rFonts w:hint="cs"/>
          <w:rtl/>
        </w:rPr>
        <w:tab/>
        <w:t>אם שמר עליה מדבר הטמאה ולא מפוסלה, היא עצמה פסולה אבל התאנים טהורות.</w:t>
      </w:r>
    </w:p>
    <w:p w:rsidR="00BC617D" w:rsidRDefault="00BC617D" w:rsidP="00BC617D">
      <w:pPr>
        <w:rPr>
          <w:rFonts w:hint="cs"/>
          <w:rtl/>
        </w:rPr>
      </w:pPr>
      <w:r w:rsidRPr="00F403CB">
        <w:rPr>
          <w:rFonts w:hint="cs"/>
          <w:b/>
          <w:bCs/>
          <w:rtl/>
        </w:rPr>
        <w:t>אין בליבו לשומרו בשעת ההתעסקות</w:t>
      </w:r>
      <w:r>
        <w:rPr>
          <w:rFonts w:hint="cs"/>
          <w:rtl/>
        </w:rPr>
        <w:t xml:space="preserve"> </w:t>
      </w:r>
      <w:r>
        <w:rPr>
          <w:rtl/>
        </w:rPr>
        <w:t>–</w:t>
      </w:r>
      <w:r>
        <w:rPr>
          <w:rFonts w:hint="cs"/>
          <w:rtl/>
        </w:rPr>
        <w:t xml:space="preserve"> טמא, אפילו דומה לו שלא נטמא.</w:t>
      </w:r>
      <w:r>
        <w:rPr>
          <w:rStyle w:val="a5"/>
          <w:rtl/>
        </w:rPr>
        <w:footnoteReference w:id="4"/>
      </w:r>
    </w:p>
    <w:p w:rsidR="00BC617D" w:rsidRPr="00F403CB" w:rsidRDefault="00BC617D" w:rsidP="00BC617D">
      <w:pPr>
        <w:rPr>
          <w:rFonts w:hint="cs"/>
          <w:b/>
          <w:bCs/>
          <w:i/>
          <w:iCs/>
          <w:rtl/>
        </w:rPr>
      </w:pPr>
      <w:r w:rsidRPr="00F403CB">
        <w:rPr>
          <w:rFonts w:hint="cs"/>
          <w:b/>
          <w:bCs/>
          <w:i/>
          <w:iCs/>
          <w:rtl/>
        </w:rPr>
        <w:t>כ:</w:t>
      </w:r>
    </w:p>
    <w:p w:rsidR="00BC617D" w:rsidRDefault="00BC617D" w:rsidP="00BC617D">
      <w:pPr>
        <w:rPr>
          <w:rFonts w:hint="cs"/>
          <w:rtl/>
        </w:rPr>
      </w:pPr>
      <w:r w:rsidRPr="00F403CB">
        <w:rPr>
          <w:rFonts w:hint="cs"/>
          <w:b/>
          <w:bCs/>
          <w:rtl/>
        </w:rPr>
        <w:t>היה יינו בחביות חרס ביד פועליו וחמריו;</w:t>
      </w:r>
      <w:r w:rsidRPr="00F403CB">
        <w:rPr>
          <w:b/>
          <w:bCs/>
          <w:rtl/>
        </w:rPr>
        <w:br/>
      </w:r>
      <w:r w:rsidRPr="00F403CB">
        <w:rPr>
          <w:rFonts w:hint="cs"/>
          <w:b/>
          <w:bCs/>
          <w:rtl/>
        </w:rPr>
        <w:t>אם לא טיהרם</w:t>
      </w:r>
      <w:r>
        <w:rPr>
          <w:rFonts w:hint="cs"/>
          <w:rtl/>
        </w:rPr>
        <w:t xml:space="preserve"> - הכל טמא, ואף שרואה, ומשום חזקה שאין אדם משמר מה שביד חבירו.</w:t>
      </w:r>
      <w:r>
        <w:rPr>
          <w:rFonts w:hint="cs"/>
          <w:rtl/>
        </w:rPr>
        <w:br/>
      </w:r>
      <w:r w:rsidRPr="00F403CB">
        <w:rPr>
          <w:rFonts w:hint="cs"/>
          <w:b/>
          <w:bCs/>
          <w:rtl/>
        </w:rPr>
        <w:t>טיהרם</w:t>
      </w:r>
      <w:r>
        <w:rPr>
          <w:rFonts w:hint="cs"/>
          <w:rtl/>
        </w:rPr>
        <w:t xml:space="preserve"> </w:t>
      </w:r>
      <w:r>
        <w:rPr>
          <w:rtl/>
        </w:rPr>
        <w:t>–</w:t>
      </w:r>
      <w:r>
        <w:rPr>
          <w:rFonts w:hint="cs"/>
          <w:rtl/>
        </w:rPr>
        <w:t xml:space="preserve"> הפליג אבל לא אמר להם שהולך, טהור.</w:t>
      </w:r>
      <w:r>
        <w:rPr>
          <w:rStyle w:val="a5"/>
          <w:rtl/>
        </w:rPr>
        <w:footnoteReference w:id="5"/>
      </w:r>
      <w:r>
        <w:rPr>
          <w:rFonts w:hint="cs"/>
          <w:rtl/>
        </w:rPr>
        <w:br/>
      </w:r>
      <w:r>
        <w:rPr>
          <w:rFonts w:hint="cs"/>
          <w:rtl/>
        </w:rPr>
        <w:tab/>
        <w:t>אמר להם לכו ואני אבוא אחריכם, כיון שנתעלמו מעיניו טהרותיו טמאות.</w:t>
      </w:r>
      <w:r>
        <w:rPr>
          <w:rStyle w:val="a5"/>
          <w:rtl/>
        </w:rPr>
        <w:footnoteReference w:id="6"/>
      </w:r>
    </w:p>
    <w:p w:rsidR="00BC617D" w:rsidRPr="00F403CB" w:rsidRDefault="00BC617D" w:rsidP="00BC617D">
      <w:pPr>
        <w:rPr>
          <w:rFonts w:hint="cs"/>
          <w:b/>
          <w:bCs/>
          <w:rtl/>
        </w:rPr>
      </w:pPr>
      <w:r w:rsidRPr="00F403CB">
        <w:rPr>
          <w:rFonts w:hint="cs"/>
          <w:b/>
          <w:bCs/>
          <w:rtl/>
        </w:rPr>
        <w:t>הדרן עלך אין דורשין</w:t>
      </w:r>
    </w:p>
    <w:p w:rsidR="00BC617D" w:rsidRPr="00060F92" w:rsidRDefault="00BC617D" w:rsidP="00BC617D">
      <w:pPr>
        <w:jc w:val="center"/>
        <w:rPr>
          <w:rFonts w:cs="Guttman-Toledo" w:hint="cs"/>
          <w:b/>
          <w:bCs/>
          <w:sz w:val="28"/>
          <w:szCs w:val="28"/>
          <w:rtl/>
        </w:rPr>
      </w:pPr>
      <w:r w:rsidRPr="00060F92">
        <w:rPr>
          <w:rFonts w:cs="Guttman-Toledo" w:hint="cs"/>
          <w:b/>
          <w:bCs/>
          <w:sz w:val="28"/>
          <w:szCs w:val="28"/>
          <w:rtl/>
        </w:rPr>
        <w:t>פרק חומר בקודש</w:t>
      </w:r>
    </w:p>
    <w:p w:rsidR="00CC6452" w:rsidRDefault="00BC617D" w:rsidP="00BC617D">
      <w:r w:rsidRPr="00F403CB">
        <w:rPr>
          <w:rFonts w:hint="cs"/>
          <w:b/>
          <w:bCs/>
          <w:rtl/>
        </w:rPr>
        <w:t>מעלות לקדש מתרומה</w:t>
      </w:r>
      <w:r w:rsidRPr="00F403CB">
        <w:rPr>
          <w:rStyle w:val="a5"/>
          <w:b/>
          <w:bCs/>
          <w:rtl/>
        </w:rPr>
        <w:footnoteReference w:id="7"/>
      </w:r>
      <w:r w:rsidRPr="00F403CB">
        <w:rPr>
          <w:rFonts w:hint="cs"/>
          <w:b/>
          <w:bCs/>
          <w:rtl/>
        </w:rPr>
        <w:br/>
      </w:r>
      <w:r>
        <w:rPr>
          <w:rFonts w:hint="cs"/>
          <w:rtl/>
        </w:rPr>
        <w:t xml:space="preserve">א. </w:t>
      </w:r>
      <w:r w:rsidRPr="00F403CB">
        <w:rPr>
          <w:rFonts w:hint="cs"/>
          <w:b/>
          <w:bCs/>
          <w:rtl/>
        </w:rPr>
        <w:t>הטבלת כלים בתוך כלים</w:t>
      </w:r>
      <w:r>
        <w:rPr>
          <w:rFonts w:hint="cs"/>
          <w:rtl/>
        </w:rPr>
        <w:t xml:space="preserve"> </w:t>
      </w:r>
      <w:r>
        <w:rPr>
          <w:rtl/>
        </w:rPr>
        <w:t>–</w:t>
      </w:r>
      <w:r>
        <w:rPr>
          <w:rFonts w:hint="cs"/>
          <w:rtl/>
        </w:rPr>
        <w:t xml:space="preserve"> לתרומה ולא לקדש.</w:t>
      </w:r>
      <w:r>
        <w:rPr>
          <w:rStyle w:val="a5"/>
          <w:rtl/>
        </w:rPr>
        <w:footnoteReference w:id="8"/>
      </w:r>
      <w:r>
        <w:rPr>
          <w:rFonts w:hint="cs"/>
          <w:rtl/>
        </w:rPr>
        <w:br/>
        <w:t xml:space="preserve">ב. </w:t>
      </w:r>
      <w:r w:rsidRPr="00F403CB">
        <w:rPr>
          <w:rFonts w:hint="cs"/>
          <w:b/>
          <w:bCs/>
          <w:rtl/>
        </w:rPr>
        <w:t>כלי שיש לו תוך ואחוריים ובית צביטה ונטמא א' מהן</w:t>
      </w:r>
      <w:r>
        <w:rPr>
          <w:rFonts w:hint="cs"/>
          <w:rtl/>
        </w:rPr>
        <w:t xml:space="preserve"> </w:t>
      </w:r>
      <w:r>
        <w:rPr>
          <w:rtl/>
        </w:rPr>
        <w:t>–</w:t>
      </w:r>
      <w:r>
        <w:rPr>
          <w:rFonts w:hint="cs"/>
          <w:rtl/>
        </w:rPr>
        <w:t xml:space="preserve"> לתרומה השאר טהור ולקדש הכל טמא.</w:t>
      </w:r>
      <w:r>
        <w:rPr>
          <w:rFonts w:hint="cs"/>
          <w:rtl/>
        </w:rPr>
        <w:br/>
      </w:r>
      <w:r>
        <w:rPr>
          <w:rFonts w:hint="cs"/>
          <w:rtl/>
        </w:rPr>
        <w:lastRenderedPageBreak/>
        <w:t xml:space="preserve">ג. </w:t>
      </w:r>
      <w:r w:rsidRPr="00060F92">
        <w:rPr>
          <w:rFonts w:hint="cs"/>
          <w:b/>
          <w:bCs/>
          <w:rtl/>
        </w:rPr>
        <w:t>נושא מדרס בידו ונושא טהרות בחבית חרס</w:t>
      </w:r>
      <w:r>
        <w:rPr>
          <w:rFonts w:hint="cs"/>
          <w:rtl/>
        </w:rPr>
        <w:t xml:space="preserve"> </w:t>
      </w:r>
      <w:r>
        <w:rPr>
          <w:rtl/>
        </w:rPr>
        <w:t>–</w:t>
      </w:r>
      <w:r>
        <w:rPr>
          <w:rFonts w:hint="cs"/>
          <w:rtl/>
        </w:rPr>
        <w:t xml:space="preserve"> בתרומה טהור, בקדש טמא.</w:t>
      </w:r>
      <w:r>
        <w:rPr>
          <w:rFonts w:hint="cs"/>
          <w:rtl/>
        </w:rPr>
        <w:br/>
        <w:t xml:space="preserve">ד. </w:t>
      </w:r>
      <w:r w:rsidRPr="00060F92">
        <w:rPr>
          <w:rFonts w:hint="cs"/>
          <w:b/>
          <w:bCs/>
          <w:rtl/>
        </w:rPr>
        <w:t>בגדי אוכלי תרומה</w:t>
      </w:r>
      <w:r>
        <w:rPr>
          <w:rFonts w:hint="cs"/>
          <w:rtl/>
        </w:rPr>
        <w:t xml:space="preserve"> </w:t>
      </w:r>
      <w:r>
        <w:rPr>
          <w:rtl/>
        </w:rPr>
        <w:t>–</w:t>
      </w:r>
      <w:r>
        <w:rPr>
          <w:rFonts w:hint="cs"/>
          <w:rtl/>
        </w:rPr>
        <w:t xml:space="preserve"> מדרס לקדש.</w:t>
      </w:r>
      <w:r>
        <w:rPr>
          <w:rtl/>
        </w:rPr>
        <w:br/>
      </w:r>
      <w:r>
        <w:rPr>
          <w:rFonts w:hint="cs"/>
          <w:rtl/>
        </w:rPr>
        <w:t xml:space="preserve">ה. </w:t>
      </w:r>
      <w:r w:rsidRPr="00060F92">
        <w:rPr>
          <w:rFonts w:hint="cs"/>
          <w:b/>
          <w:bCs/>
          <w:rtl/>
        </w:rPr>
        <w:t>המטביל בגד קשור</w:t>
      </w:r>
      <w:r>
        <w:rPr>
          <w:rFonts w:hint="cs"/>
          <w:rtl/>
        </w:rPr>
        <w:t xml:space="preserve"> </w:t>
      </w:r>
      <w:r>
        <w:rPr>
          <w:rtl/>
        </w:rPr>
        <w:t>–</w:t>
      </w:r>
      <w:r>
        <w:rPr>
          <w:rFonts w:hint="cs"/>
          <w:rtl/>
        </w:rPr>
        <w:t xml:space="preserve"> בקדש מתיר ומנגב קודם טבילה, ובתרומה מטביל קשור.</w:t>
      </w:r>
      <w:r>
        <w:rPr>
          <w:rFonts w:hint="cs"/>
          <w:rtl/>
        </w:rPr>
        <w:br/>
        <w:t xml:space="preserve">ו. </w:t>
      </w:r>
      <w:r w:rsidRPr="00060F92">
        <w:rPr>
          <w:rFonts w:hint="cs"/>
          <w:b/>
          <w:bCs/>
          <w:rtl/>
        </w:rPr>
        <w:t>כל</w:t>
      </w:r>
      <w:r>
        <w:rPr>
          <w:rFonts w:hint="cs"/>
          <w:b/>
          <w:bCs/>
          <w:rtl/>
        </w:rPr>
        <w:t>י</w:t>
      </w:r>
      <w:r w:rsidRPr="00060F92">
        <w:rPr>
          <w:rFonts w:hint="cs"/>
          <w:b/>
          <w:bCs/>
          <w:rtl/>
        </w:rPr>
        <w:t>ם הנגמרים בטהרה</w:t>
      </w:r>
      <w:r>
        <w:rPr>
          <w:rFonts w:hint="cs"/>
          <w:rtl/>
        </w:rPr>
        <w:t xml:space="preserve"> </w:t>
      </w:r>
      <w:r>
        <w:rPr>
          <w:rtl/>
        </w:rPr>
        <w:t>–</w:t>
      </w:r>
      <w:r>
        <w:rPr>
          <w:rFonts w:hint="cs"/>
          <w:rtl/>
        </w:rPr>
        <w:t xml:space="preserve"> צריכים טבילה לקדש ולא לתרומה.</w:t>
      </w:r>
      <w:r>
        <w:rPr>
          <w:rtl/>
        </w:rPr>
        <w:br/>
      </w:r>
      <w:r>
        <w:rPr>
          <w:rFonts w:hint="cs"/>
          <w:rtl/>
        </w:rPr>
        <w:t xml:space="preserve">ז. </w:t>
      </w:r>
      <w:r w:rsidRPr="00060F92">
        <w:rPr>
          <w:rFonts w:hint="cs"/>
          <w:b/>
          <w:bCs/>
          <w:rtl/>
        </w:rPr>
        <w:t>נגע טמא באחת החתיכות שבכלי</w:t>
      </w:r>
      <w:r>
        <w:rPr>
          <w:rFonts w:hint="cs"/>
          <w:rtl/>
        </w:rPr>
        <w:t xml:space="preserve"> </w:t>
      </w:r>
      <w:r>
        <w:rPr>
          <w:rtl/>
        </w:rPr>
        <w:t>–</w:t>
      </w:r>
      <w:r>
        <w:rPr>
          <w:rFonts w:hint="cs"/>
          <w:rtl/>
        </w:rPr>
        <w:t xml:space="preserve"> לקדש הכל טמא, ולתרומה עושה רק שני ושלישי.</w:t>
      </w:r>
      <w:r>
        <w:rPr>
          <w:rFonts w:hint="cs"/>
          <w:rtl/>
        </w:rPr>
        <w:br/>
        <w:t xml:space="preserve">ח. </w:t>
      </w:r>
      <w:r w:rsidRPr="00060F92">
        <w:rPr>
          <w:rFonts w:hint="cs"/>
          <w:b/>
          <w:bCs/>
          <w:rtl/>
        </w:rPr>
        <w:t>רביעי לטומאה</w:t>
      </w:r>
      <w:r>
        <w:rPr>
          <w:rFonts w:hint="cs"/>
          <w:rtl/>
        </w:rPr>
        <w:t xml:space="preserve"> </w:t>
      </w:r>
      <w:r>
        <w:rPr>
          <w:rtl/>
        </w:rPr>
        <w:t>–</w:t>
      </w:r>
      <w:r>
        <w:rPr>
          <w:rFonts w:hint="cs"/>
          <w:rtl/>
        </w:rPr>
        <w:t xml:space="preserve"> אין בתרומה אף ליפסל, ויש בקדש ליפסל.</w:t>
      </w:r>
      <w:r>
        <w:rPr>
          <w:rFonts w:hint="cs"/>
          <w:rtl/>
        </w:rPr>
        <w:br/>
        <w:t xml:space="preserve">ט. </w:t>
      </w:r>
      <w:r w:rsidRPr="00060F92">
        <w:rPr>
          <w:rFonts w:hint="cs"/>
          <w:b/>
          <w:bCs/>
          <w:rtl/>
        </w:rPr>
        <w:t>נטמאת רק אחת מידיו</w:t>
      </w:r>
      <w:r>
        <w:rPr>
          <w:rFonts w:hint="cs"/>
          <w:rtl/>
        </w:rPr>
        <w:t xml:space="preserve"> </w:t>
      </w:r>
      <w:r>
        <w:rPr>
          <w:rtl/>
        </w:rPr>
        <w:t>–</w:t>
      </w:r>
      <w:r>
        <w:rPr>
          <w:rFonts w:hint="cs"/>
          <w:rtl/>
        </w:rPr>
        <w:t xml:space="preserve"> לתרומה נוטל רק אותה ולקדש מטביל שתיהן.</w:t>
      </w:r>
      <w:r>
        <w:rPr>
          <w:rStyle w:val="a5"/>
          <w:rtl/>
        </w:rPr>
        <w:footnoteReference w:id="9"/>
      </w:r>
      <w:r>
        <w:rPr>
          <w:rFonts w:hint="cs"/>
          <w:rtl/>
        </w:rPr>
        <w:br/>
        <w:t xml:space="preserve">י. </w:t>
      </w:r>
      <w:r w:rsidRPr="00060F92">
        <w:rPr>
          <w:rFonts w:hint="cs"/>
          <w:b/>
          <w:bCs/>
          <w:rtl/>
        </w:rPr>
        <w:t>אכילת אוכ</w:t>
      </w:r>
      <w:r>
        <w:rPr>
          <w:rFonts w:hint="cs"/>
          <w:b/>
          <w:bCs/>
          <w:rtl/>
        </w:rPr>
        <w:t>ל</w:t>
      </w:r>
      <w:r w:rsidRPr="00060F92">
        <w:rPr>
          <w:rFonts w:hint="cs"/>
          <w:b/>
          <w:bCs/>
          <w:rtl/>
        </w:rPr>
        <w:t xml:space="preserve"> ש</w:t>
      </w:r>
      <w:r>
        <w:rPr>
          <w:rFonts w:hint="cs"/>
          <w:b/>
          <w:bCs/>
          <w:rtl/>
        </w:rPr>
        <w:t>ל</w:t>
      </w:r>
      <w:r w:rsidRPr="00060F92">
        <w:rPr>
          <w:rFonts w:hint="cs"/>
          <w:b/>
          <w:bCs/>
          <w:rtl/>
        </w:rPr>
        <w:t>א הוכשר בידים טמאות</w:t>
      </w:r>
      <w:r>
        <w:rPr>
          <w:rFonts w:hint="cs"/>
          <w:rtl/>
        </w:rPr>
        <w:t xml:space="preserve"> </w:t>
      </w:r>
      <w:r>
        <w:rPr>
          <w:rtl/>
        </w:rPr>
        <w:t>–</w:t>
      </w:r>
      <w:r>
        <w:rPr>
          <w:rFonts w:hint="cs"/>
          <w:rtl/>
        </w:rPr>
        <w:t xml:space="preserve"> מותר בתרומה ולא בקדש.</w:t>
      </w:r>
      <w:r>
        <w:rPr>
          <w:rtl/>
        </w:rPr>
        <w:br/>
      </w:r>
      <w:r>
        <w:rPr>
          <w:rFonts w:hint="cs"/>
          <w:rtl/>
        </w:rPr>
        <w:t xml:space="preserve">יא. </w:t>
      </w:r>
      <w:r w:rsidRPr="00060F92">
        <w:rPr>
          <w:rFonts w:hint="cs"/>
          <w:b/>
          <w:bCs/>
          <w:rtl/>
        </w:rPr>
        <w:t>אונן</w:t>
      </w:r>
      <w:r w:rsidRPr="00060F92">
        <w:rPr>
          <w:rStyle w:val="a5"/>
          <w:b/>
          <w:bCs/>
          <w:rtl/>
        </w:rPr>
        <w:footnoteReference w:id="10"/>
      </w:r>
      <w:r w:rsidRPr="00060F92">
        <w:rPr>
          <w:rFonts w:hint="cs"/>
          <w:b/>
          <w:bCs/>
          <w:rtl/>
        </w:rPr>
        <w:t xml:space="preserve"> ומחוסר כפרה לאחר שהביא כפרתו</w:t>
      </w:r>
      <w:r>
        <w:rPr>
          <w:rFonts w:hint="cs"/>
          <w:rtl/>
        </w:rPr>
        <w:t xml:space="preserve"> </w:t>
      </w:r>
      <w:r>
        <w:rPr>
          <w:rtl/>
        </w:rPr>
        <w:t>–</w:t>
      </w:r>
      <w:r>
        <w:rPr>
          <w:rFonts w:hint="cs"/>
          <w:rtl/>
        </w:rPr>
        <w:t xml:space="preserve"> צריכין טבילה לקדש ולא לתרומה.</w:t>
      </w:r>
      <w:r>
        <w:rPr>
          <w:rtl/>
        </w:rPr>
        <w:br/>
      </w:r>
    </w:p>
    <w:sectPr w:rsidR="00CC6452" w:rsidSect="005A5BAA">
      <w:pgSz w:w="11906" w:h="16838"/>
      <w:pgMar w:top="1440" w:right="1800" w:bottom="1440" w:left="1800" w:header="720" w:footer="720" w:gutter="0"/>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7D9E" w:rsidRDefault="00ED7D9E" w:rsidP="00BC617D">
      <w:pPr>
        <w:spacing w:after="0" w:line="240" w:lineRule="auto"/>
      </w:pPr>
      <w:r>
        <w:separator/>
      </w:r>
    </w:p>
  </w:endnote>
  <w:endnote w:type="continuationSeparator" w:id="0">
    <w:p w:rsidR="00ED7D9E" w:rsidRDefault="00ED7D9E" w:rsidP="00BC61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uttman-Toledo">
    <w:panose1 w:val="02010401010101010101"/>
    <w:charset w:val="B1"/>
    <w:family w:val="auto"/>
    <w:pitch w:val="variable"/>
    <w:sig w:usb0="00000801" w:usb1="4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7D9E" w:rsidRDefault="00ED7D9E" w:rsidP="00BC617D">
      <w:pPr>
        <w:spacing w:after="0" w:line="240" w:lineRule="auto"/>
      </w:pPr>
      <w:r>
        <w:separator/>
      </w:r>
    </w:p>
  </w:footnote>
  <w:footnote w:type="continuationSeparator" w:id="0">
    <w:p w:rsidR="00ED7D9E" w:rsidRDefault="00ED7D9E" w:rsidP="00BC617D">
      <w:pPr>
        <w:spacing w:after="0" w:line="240" w:lineRule="auto"/>
      </w:pPr>
      <w:r>
        <w:continuationSeparator/>
      </w:r>
    </w:p>
  </w:footnote>
  <w:footnote w:id="1">
    <w:p w:rsidR="00BC617D" w:rsidRDefault="00BC617D" w:rsidP="00BC617D">
      <w:pPr>
        <w:pStyle w:val="a3"/>
        <w:rPr>
          <w:rFonts w:hint="cs"/>
        </w:rPr>
      </w:pPr>
      <w:r>
        <w:rPr>
          <w:rStyle w:val="a5"/>
        </w:rPr>
        <w:footnoteRef/>
      </w:r>
      <w:r>
        <w:rPr>
          <w:rtl/>
        </w:rPr>
        <w:t xml:space="preserve"> </w:t>
      </w:r>
      <w:r>
        <w:rPr>
          <w:rFonts w:hint="cs"/>
          <w:rtl/>
        </w:rPr>
        <w:t>מטעם זה דחבירו אינו שלוחו לשמר לו, ומעצמו אינו משמר כמו שפירש"י כיון שלא שואלו כלל אם הוא טהור, ובעל המעפורת אינו משמר כשהוא ביד חבירו ונמצא שהסיח דעת.</w:t>
      </w:r>
    </w:p>
  </w:footnote>
  <w:footnote w:id="2">
    <w:p w:rsidR="00BC617D" w:rsidRDefault="00BC617D" w:rsidP="00BC617D">
      <w:pPr>
        <w:pStyle w:val="a3"/>
        <w:rPr>
          <w:rFonts w:hint="cs"/>
        </w:rPr>
      </w:pPr>
      <w:r>
        <w:rPr>
          <w:rStyle w:val="a5"/>
        </w:rPr>
        <w:footnoteRef/>
      </w:r>
      <w:r>
        <w:rPr>
          <w:rtl/>
        </w:rPr>
        <w:t xml:space="preserve"> </w:t>
      </w:r>
      <w:r>
        <w:rPr>
          <w:rFonts w:hint="cs"/>
          <w:rtl/>
        </w:rPr>
        <w:t>דדרך לשמור טפי כלי שבת ונמצא כלא שמר והסיח דעת. וזח"ג שהרי לא חייבו חכמים לשמור טפי, רק כך הדרך משום מה, והרי שמר היטב ולכלי חול סגי בזה, ומ"מ כשנמצאו כלי שבת ואילו היה יודע היה שומרם טפי הרי זה כלא שמר. וצ"ב.</w:t>
      </w:r>
    </w:p>
  </w:footnote>
  <w:footnote w:id="3">
    <w:p w:rsidR="00BC617D" w:rsidRDefault="00BC617D" w:rsidP="00BC617D">
      <w:pPr>
        <w:pStyle w:val="a3"/>
        <w:rPr>
          <w:rFonts w:hint="cs"/>
        </w:rPr>
      </w:pPr>
      <w:r>
        <w:rPr>
          <w:rStyle w:val="a5"/>
        </w:rPr>
        <w:footnoteRef/>
      </w:r>
      <w:r>
        <w:rPr>
          <w:rtl/>
        </w:rPr>
        <w:t xml:space="preserve"> </w:t>
      </w:r>
      <w:r>
        <w:rPr>
          <w:rFonts w:hint="cs"/>
          <w:rtl/>
        </w:rPr>
        <w:t>לכאורה פשוט דאפילו טעתה לחשוב שהחליפה ונמצא שלא החליפה ג"כ טמא.</w:t>
      </w:r>
    </w:p>
  </w:footnote>
  <w:footnote w:id="4">
    <w:p w:rsidR="00BC617D" w:rsidRDefault="00BC617D" w:rsidP="00BC617D">
      <w:pPr>
        <w:pStyle w:val="a3"/>
        <w:rPr>
          <w:rFonts w:hint="cs"/>
          <w:rtl/>
        </w:rPr>
      </w:pPr>
      <w:r>
        <w:rPr>
          <w:rStyle w:val="a5"/>
        </w:rPr>
        <w:footnoteRef/>
      </w:r>
      <w:r>
        <w:rPr>
          <w:rtl/>
        </w:rPr>
        <w:t xml:space="preserve"> </w:t>
      </w:r>
      <w:r>
        <w:rPr>
          <w:rFonts w:hint="cs"/>
          <w:rtl/>
        </w:rPr>
        <w:t>שמא הסיטה חברתה נדה או היה החוט לח מרוק הנדה וכעובדי דרבי ישמעאל, וכדומה.</w:t>
      </w:r>
    </w:p>
  </w:footnote>
  <w:footnote w:id="5">
    <w:p w:rsidR="00BC617D" w:rsidRDefault="00BC617D" w:rsidP="00BC617D">
      <w:pPr>
        <w:pStyle w:val="a3"/>
        <w:rPr>
          <w:rFonts w:hint="cs"/>
          <w:rtl/>
        </w:rPr>
      </w:pPr>
      <w:r>
        <w:rPr>
          <w:rStyle w:val="a5"/>
        </w:rPr>
        <w:footnoteRef/>
      </w:r>
      <w:r>
        <w:rPr>
          <w:rtl/>
        </w:rPr>
        <w:t xml:space="preserve"> </w:t>
      </w:r>
      <w:r>
        <w:rPr>
          <w:rFonts w:hint="cs"/>
          <w:rtl/>
        </w:rPr>
        <w:t>דהם עצמם טהורים וא"צ שמירה, ולתת לחברם ע"ה לנגוע בתוך החבית מירתתי מבעל הבית שיבוא בדרך עקלתון.</w:t>
      </w:r>
    </w:p>
  </w:footnote>
  <w:footnote w:id="6">
    <w:p w:rsidR="00BC617D" w:rsidRDefault="00BC617D" w:rsidP="00BC617D">
      <w:pPr>
        <w:pStyle w:val="a3"/>
        <w:rPr>
          <w:rFonts w:hint="cs"/>
          <w:rtl/>
        </w:rPr>
      </w:pPr>
      <w:r>
        <w:rPr>
          <w:rStyle w:val="a5"/>
        </w:rPr>
        <w:footnoteRef/>
      </w:r>
      <w:r>
        <w:rPr>
          <w:rtl/>
        </w:rPr>
        <w:t xml:space="preserve"> </w:t>
      </w:r>
      <w:r>
        <w:rPr>
          <w:rFonts w:hint="cs"/>
          <w:rtl/>
        </w:rPr>
        <w:t>דסומכין שלא יבוא מהרה ואז מניחים לע"ה להושיט ידו לאויר החבית.</w:t>
      </w:r>
    </w:p>
  </w:footnote>
  <w:footnote w:id="7">
    <w:p w:rsidR="00BC617D" w:rsidRDefault="00BC617D" w:rsidP="00BC617D">
      <w:pPr>
        <w:pStyle w:val="a3"/>
        <w:rPr>
          <w:rFonts w:hint="cs"/>
          <w:rtl/>
        </w:rPr>
      </w:pPr>
      <w:r>
        <w:rPr>
          <w:rStyle w:val="a5"/>
        </w:rPr>
        <w:footnoteRef/>
      </w:r>
      <w:r>
        <w:rPr>
          <w:rtl/>
        </w:rPr>
        <w:t xml:space="preserve"> </w:t>
      </w:r>
      <w:r>
        <w:rPr>
          <w:rFonts w:hint="cs"/>
          <w:rtl/>
        </w:rPr>
        <w:t>כולם מדרבנן וטעמם מתפרש להלן.</w:t>
      </w:r>
    </w:p>
  </w:footnote>
  <w:footnote w:id="8">
    <w:p w:rsidR="00BC617D" w:rsidRDefault="00BC617D" w:rsidP="00BC617D">
      <w:pPr>
        <w:pStyle w:val="a3"/>
        <w:rPr>
          <w:rFonts w:hint="cs"/>
        </w:rPr>
      </w:pPr>
      <w:r>
        <w:rPr>
          <w:rStyle w:val="a5"/>
        </w:rPr>
        <w:footnoteRef/>
      </w:r>
      <w:r>
        <w:rPr>
          <w:rtl/>
        </w:rPr>
        <w:t xml:space="preserve"> </w:t>
      </w:r>
      <w:r>
        <w:rPr>
          <w:rFonts w:hint="cs"/>
          <w:rtl/>
        </w:rPr>
        <w:t>ראה להלן דביש בפי החיצון כשפופרת הנוד ש"ד אף לקדש. ובליתא מהני לתרומה רק כשהחיצון טמא ובזה הוא דל"מ לקדש.</w:t>
      </w:r>
    </w:p>
  </w:footnote>
  <w:footnote w:id="9">
    <w:p w:rsidR="00BC617D" w:rsidRDefault="00BC617D" w:rsidP="00BC617D">
      <w:pPr>
        <w:pStyle w:val="a3"/>
        <w:rPr>
          <w:rFonts w:hint="cs"/>
        </w:rPr>
      </w:pPr>
      <w:r>
        <w:rPr>
          <w:rStyle w:val="a5"/>
        </w:rPr>
        <w:footnoteRef/>
      </w:r>
      <w:r>
        <w:rPr>
          <w:rtl/>
        </w:rPr>
        <w:t xml:space="preserve"> </w:t>
      </w:r>
      <w:r>
        <w:rPr>
          <w:rFonts w:hint="cs"/>
          <w:rtl/>
        </w:rPr>
        <w:t>ראה בתוס' שיש כאן מעלה נוספת דלקדש לא מהני נטילה, ועוד מעלה תנן לעיל דהוחזק לתרומה לא הוחזק קדש. ועמדו מדוע לא שנום כאן.</w:t>
      </w:r>
    </w:p>
  </w:footnote>
  <w:footnote w:id="10">
    <w:p w:rsidR="00BC617D" w:rsidRDefault="00BC617D" w:rsidP="00BC617D">
      <w:pPr>
        <w:pStyle w:val="a3"/>
        <w:rPr>
          <w:rFonts w:hint="cs"/>
          <w:rtl/>
        </w:rPr>
      </w:pPr>
      <w:r>
        <w:rPr>
          <w:rStyle w:val="a5"/>
        </w:rPr>
        <w:footnoteRef/>
      </w:r>
      <w:r>
        <w:rPr>
          <w:rtl/>
        </w:rPr>
        <w:t xml:space="preserve"> </w:t>
      </w:r>
      <w:r>
        <w:rPr>
          <w:rFonts w:hint="cs"/>
          <w:rtl/>
        </w:rPr>
        <w:t>שלא נטמא במתו. רש"י.</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BC617D"/>
    <w:rsid w:val="001568A3"/>
    <w:rsid w:val="005A5BAA"/>
    <w:rsid w:val="00AF7868"/>
    <w:rsid w:val="00BC617D"/>
    <w:rsid w:val="00CC6452"/>
    <w:rsid w:val="00ED7D9E"/>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617D"/>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C617D"/>
    <w:pPr>
      <w:spacing w:after="0" w:line="240" w:lineRule="auto"/>
    </w:pPr>
    <w:rPr>
      <w:sz w:val="20"/>
      <w:szCs w:val="20"/>
    </w:rPr>
  </w:style>
  <w:style w:type="character" w:customStyle="1" w:styleId="a4">
    <w:name w:val="טקסט הערת שוליים תו"/>
    <w:basedOn w:val="a0"/>
    <w:link w:val="a3"/>
    <w:uiPriority w:val="99"/>
    <w:semiHidden/>
    <w:rsid w:val="00BC617D"/>
    <w:rPr>
      <w:sz w:val="20"/>
      <w:szCs w:val="20"/>
    </w:rPr>
  </w:style>
  <w:style w:type="character" w:styleId="a5">
    <w:name w:val="footnote reference"/>
    <w:basedOn w:val="a0"/>
    <w:uiPriority w:val="99"/>
    <w:semiHidden/>
    <w:unhideWhenUsed/>
    <w:rsid w:val="00BC617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314</Words>
  <Characters>1575</Characters>
  <Application>Microsoft Office Word</Application>
  <DocSecurity>0</DocSecurity>
  <Lines>13</Lines>
  <Paragraphs>3</Paragraphs>
  <ScaleCrop>false</ScaleCrop>
  <Company/>
  <LinksUpToDate>false</LinksUpToDate>
  <CharactersWithSpaces>1886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יעקב</dc:creator>
  <cp:lastModifiedBy>יעקב</cp:lastModifiedBy>
  <cp:revision>1</cp:revision>
  <dcterms:created xsi:type="dcterms:W3CDTF">2014-09-28T22:42:00Z</dcterms:created>
  <dcterms:modified xsi:type="dcterms:W3CDTF">2014-09-28T22:42:00Z</dcterms:modified>
</cp:coreProperties>
</file>