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7B" w:rsidRPr="0054427B" w:rsidRDefault="0054427B" w:rsidP="0054427B">
      <w:pPr>
        <w:rPr>
          <w:b/>
          <w:bCs/>
          <w:i/>
          <w:iCs/>
          <w:sz w:val="20"/>
          <w:szCs w:val="20"/>
          <w:rtl/>
        </w:rPr>
      </w:pPr>
      <w:r w:rsidRPr="0054427B">
        <w:rPr>
          <w:rFonts w:hint="cs"/>
          <w:b/>
          <w:bCs/>
          <w:i/>
          <w:iCs/>
          <w:sz w:val="20"/>
          <w:szCs w:val="20"/>
          <w:rtl/>
        </w:rPr>
        <w:t>עג.</w:t>
      </w:r>
    </w:p>
    <w:p w:rsidR="0054427B" w:rsidRPr="0054427B" w:rsidRDefault="0054427B" w:rsidP="0054427B">
      <w:pPr>
        <w:rPr>
          <w:sz w:val="20"/>
          <w:szCs w:val="20"/>
          <w:rtl/>
        </w:rPr>
      </w:pPr>
      <w:r w:rsidRPr="0054427B">
        <w:rPr>
          <w:rFonts w:hint="cs"/>
          <w:b/>
          <w:bCs/>
          <w:sz w:val="20"/>
          <w:szCs w:val="20"/>
          <w:rtl/>
        </w:rPr>
        <w:t>פסח</w:t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t>–</w:t>
      </w:r>
      <w:r w:rsidRPr="0054427B">
        <w:rPr>
          <w:rFonts w:hint="cs"/>
          <w:sz w:val="20"/>
          <w:szCs w:val="20"/>
          <w:rtl/>
        </w:rPr>
        <w:t xml:space="preserve"> אסור לערל (כנ"ל) ולאונן.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b/>
          <w:bCs/>
          <w:sz w:val="20"/>
          <w:szCs w:val="20"/>
          <w:rtl/>
        </w:rPr>
        <w:t>מעשר</w:t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t>–</w:t>
      </w:r>
      <w:r w:rsidRPr="0054427B">
        <w:rPr>
          <w:rFonts w:hint="cs"/>
          <w:sz w:val="20"/>
          <w:szCs w:val="20"/>
          <w:rtl/>
        </w:rPr>
        <w:t xml:space="preserve"> אסור לאונן כדלהלן. ולערל -  שאלו את רב ששת והוכיח דאסור ונדחתה ראייתו.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b/>
          <w:bCs/>
          <w:sz w:val="20"/>
          <w:szCs w:val="20"/>
          <w:rtl/>
        </w:rPr>
        <w:t>תרומה</w:t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t>–</w:t>
      </w:r>
      <w:r w:rsidRPr="0054427B">
        <w:rPr>
          <w:rFonts w:hint="cs"/>
          <w:sz w:val="20"/>
          <w:szCs w:val="20"/>
          <w:rtl/>
        </w:rPr>
        <w:t xml:space="preserve"> טמא האוכלה במיתה, אסורה לזר</w:t>
      </w:r>
      <w:r w:rsidRPr="0054427B">
        <w:rPr>
          <w:rStyle w:val="a5"/>
          <w:sz w:val="20"/>
          <w:szCs w:val="20"/>
          <w:rtl/>
        </w:rPr>
        <w:footnoteReference w:id="1"/>
      </w:r>
      <w:r w:rsidRPr="0054427B">
        <w:rPr>
          <w:rFonts w:hint="cs"/>
          <w:sz w:val="20"/>
          <w:szCs w:val="20"/>
          <w:rtl/>
        </w:rPr>
        <w:t>, אכלה זר בשוגג חייב חומש. היא נכסי כהן.</w:t>
      </w:r>
      <w:r w:rsidRPr="0054427B">
        <w:rPr>
          <w:rStyle w:val="a5"/>
          <w:sz w:val="20"/>
          <w:szCs w:val="20"/>
          <w:rtl/>
        </w:rPr>
        <w:footnoteReference w:id="2"/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ועולה בא' ומאה. טעונה רחיצת ידים.</w:t>
      </w:r>
      <w:r w:rsidRPr="0054427B">
        <w:rPr>
          <w:rStyle w:val="a5"/>
          <w:sz w:val="20"/>
          <w:szCs w:val="20"/>
          <w:rtl/>
        </w:rPr>
        <w:footnoteReference w:id="3"/>
      </w:r>
      <w:r w:rsidRPr="0054427B">
        <w:rPr>
          <w:rFonts w:hint="cs"/>
          <w:sz w:val="20"/>
          <w:szCs w:val="20"/>
          <w:rtl/>
        </w:rPr>
        <w:t xml:space="preserve"> והערב שמש.</w:t>
      </w:r>
      <w:r w:rsidRPr="0054427B">
        <w:rPr>
          <w:rStyle w:val="a5"/>
          <w:sz w:val="20"/>
          <w:szCs w:val="20"/>
          <w:rtl/>
        </w:rPr>
        <w:footnoteReference w:id="4"/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ואינה צריכה הבאת מקום, ולא וידוי,</w:t>
      </w:r>
      <w:r w:rsidRPr="0054427B">
        <w:rPr>
          <w:rStyle w:val="a5"/>
          <w:sz w:val="20"/>
          <w:szCs w:val="20"/>
          <w:rtl/>
        </w:rPr>
        <w:footnoteReference w:id="5"/>
      </w:r>
      <w:r w:rsidRPr="0054427B">
        <w:rPr>
          <w:rFonts w:hint="cs"/>
          <w:sz w:val="20"/>
          <w:szCs w:val="20"/>
          <w:rtl/>
        </w:rPr>
        <w:t xml:space="preserve"> מותרת לאונן, ואינה חייבת בביעור,</w:t>
      </w:r>
      <w:r w:rsidRPr="0054427B">
        <w:rPr>
          <w:rStyle w:val="a5"/>
          <w:sz w:val="20"/>
          <w:szCs w:val="20"/>
          <w:rtl/>
        </w:rPr>
        <w:footnoteReference w:id="6"/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מותר לבער ממנה בטומאה, והאוכלה בטומאת עצמה רק בעשה.</w:t>
      </w:r>
    </w:p>
    <w:p w:rsidR="0054427B" w:rsidRPr="0054427B" w:rsidRDefault="0054427B" w:rsidP="0054427B">
      <w:pPr>
        <w:rPr>
          <w:rFonts w:hint="cs"/>
          <w:sz w:val="20"/>
          <w:szCs w:val="20"/>
          <w:rtl/>
        </w:rPr>
      </w:pPr>
      <w:r w:rsidRPr="0054427B">
        <w:rPr>
          <w:rFonts w:hint="cs"/>
          <w:b/>
          <w:bCs/>
          <w:sz w:val="20"/>
          <w:szCs w:val="20"/>
          <w:rtl/>
        </w:rPr>
        <w:t>ביכורים</w:t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t>–</w:t>
      </w:r>
      <w:r w:rsidRPr="0054427B">
        <w:rPr>
          <w:rFonts w:hint="cs"/>
          <w:sz w:val="20"/>
          <w:szCs w:val="20"/>
          <w:rtl/>
        </w:rPr>
        <w:t xml:space="preserve"> טמא האוכלם במיתה, אסורין לזר, וחייב חומש, והן נכסי כהן, 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ועולים בא' ומאה. טעונים רחיצת ידים, והערב שמש.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טעון הבאת מקום</w:t>
      </w:r>
      <w:r w:rsidRPr="0054427B">
        <w:rPr>
          <w:rStyle w:val="a5"/>
          <w:sz w:val="20"/>
          <w:szCs w:val="20"/>
          <w:rtl/>
        </w:rPr>
        <w:footnoteReference w:id="7"/>
      </w:r>
      <w:r w:rsidRPr="0054427B">
        <w:rPr>
          <w:rFonts w:hint="cs"/>
          <w:sz w:val="20"/>
          <w:szCs w:val="20"/>
          <w:rtl/>
        </w:rPr>
        <w:t>. טעון וידוי. לת"ק אסור לאונן (ור"ש מתיר). לת"ק חייב בביעור</w:t>
      </w:r>
      <w:r w:rsidRPr="0054427B">
        <w:rPr>
          <w:rStyle w:val="a5"/>
          <w:sz w:val="20"/>
          <w:szCs w:val="20"/>
          <w:rtl/>
        </w:rPr>
        <w:footnoteReference w:id="8"/>
      </w:r>
      <w:r w:rsidRPr="0054427B">
        <w:rPr>
          <w:rFonts w:hint="cs"/>
          <w:sz w:val="20"/>
          <w:szCs w:val="20"/>
          <w:rtl/>
        </w:rPr>
        <w:t xml:space="preserve"> (ור"ש פוטר).</w:t>
      </w:r>
      <w:r w:rsidRPr="0054427B">
        <w:rPr>
          <w:rStyle w:val="a5"/>
          <w:sz w:val="20"/>
          <w:szCs w:val="20"/>
          <w:rtl/>
        </w:rPr>
        <w:footnoteReference w:id="9"/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לת"ק</w:t>
      </w:r>
      <w:r w:rsidRPr="0054427B">
        <w:rPr>
          <w:rStyle w:val="a5"/>
          <w:sz w:val="20"/>
          <w:szCs w:val="20"/>
          <w:rtl/>
        </w:rPr>
        <w:footnoteReference w:id="10"/>
      </w:r>
      <w:r w:rsidRPr="0054427B">
        <w:rPr>
          <w:rFonts w:hint="cs"/>
          <w:sz w:val="20"/>
          <w:szCs w:val="20"/>
          <w:rtl/>
        </w:rPr>
        <w:t xml:space="preserve"> אסור לבער מהן בטומאה. האוכלן בטומאת עצמן לוקה.</w:t>
      </w:r>
      <w:r w:rsidRPr="0054427B">
        <w:rPr>
          <w:rFonts w:hint="cs"/>
          <w:sz w:val="20"/>
          <w:szCs w:val="20"/>
          <w:rtl/>
        </w:rPr>
        <w:br/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b/>
          <w:bCs/>
          <w:sz w:val="20"/>
          <w:szCs w:val="20"/>
          <w:rtl/>
        </w:rPr>
        <w:t>מעשר שני</w:t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t>–</w:t>
      </w:r>
      <w:r w:rsidRPr="0054427B">
        <w:rPr>
          <w:rFonts w:hint="cs"/>
          <w:sz w:val="20"/>
          <w:szCs w:val="20"/>
          <w:rtl/>
        </w:rPr>
        <w:t xml:space="preserve"> טמא האוכלו אינו במיתה</w:t>
      </w:r>
      <w:r w:rsidRPr="0054427B">
        <w:rPr>
          <w:rStyle w:val="a5"/>
          <w:sz w:val="20"/>
          <w:szCs w:val="20"/>
          <w:rtl/>
        </w:rPr>
        <w:footnoteReference w:id="11"/>
      </w:r>
      <w:r w:rsidRPr="0054427B">
        <w:rPr>
          <w:rFonts w:hint="cs"/>
          <w:sz w:val="20"/>
          <w:szCs w:val="20"/>
          <w:rtl/>
        </w:rPr>
        <w:t>. מותר לזר.</w:t>
      </w:r>
      <w:r w:rsidRPr="0054427B">
        <w:rPr>
          <w:rStyle w:val="a5"/>
          <w:sz w:val="20"/>
          <w:szCs w:val="20"/>
          <w:rtl/>
        </w:rPr>
        <w:footnoteReference w:id="12"/>
      </w:r>
      <w:r w:rsidRPr="0054427B">
        <w:rPr>
          <w:rFonts w:hint="cs"/>
          <w:sz w:val="20"/>
          <w:szCs w:val="20"/>
          <w:rtl/>
        </w:rPr>
        <w:t xml:space="preserve"> לר"מ נכסי גבוה ואין מקדש בו אשה.</w:t>
      </w:r>
      <w:r w:rsidRPr="0054427B">
        <w:rPr>
          <w:rStyle w:val="a5"/>
          <w:sz w:val="20"/>
          <w:szCs w:val="20"/>
          <w:rtl/>
        </w:rPr>
        <w:footnoteReference w:id="13"/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וניתן רק לאכילה ושתיה וסיכה</w:t>
      </w:r>
      <w:r w:rsidRPr="0054427B">
        <w:rPr>
          <w:rStyle w:val="a5"/>
          <w:sz w:val="20"/>
          <w:szCs w:val="20"/>
          <w:rtl/>
        </w:rPr>
        <w:footnoteReference w:id="14"/>
      </w:r>
      <w:r w:rsidRPr="0054427B">
        <w:rPr>
          <w:rFonts w:hint="cs"/>
          <w:sz w:val="20"/>
          <w:szCs w:val="20"/>
          <w:rtl/>
        </w:rPr>
        <w:t>. ובטל חד בתרי. אינו טעון רחיצת ידים</w:t>
      </w:r>
      <w:r w:rsidRPr="0054427B">
        <w:rPr>
          <w:rStyle w:val="a5"/>
          <w:sz w:val="20"/>
          <w:szCs w:val="20"/>
          <w:rtl/>
        </w:rPr>
        <w:footnoteReference w:id="15"/>
      </w:r>
      <w:r w:rsidRPr="0054427B">
        <w:rPr>
          <w:rFonts w:hint="cs"/>
          <w:sz w:val="20"/>
          <w:szCs w:val="20"/>
          <w:rtl/>
        </w:rPr>
        <w:t>, ולא הערב שמש.</w:t>
      </w:r>
      <w:r w:rsidRPr="0054427B">
        <w:rPr>
          <w:rStyle w:val="a5"/>
          <w:sz w:val="20"/>
          <w:szCs w:val="20"/>
          <w:rtl/>
        </w:rPr>
        <w:footnoteReference w:id="16"/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טעון הבאת מקום. טעון וידוי. אסור לאונן. חייב בביעור</w:t>
      </w:r>
      <w:r w:rsidRPr="0054427B">
        <w:rPr>
          <w:rStyle w:val="a5"/>
          <w:sz w:val="20"/>
          <w:szCs w:val="20"/>
          <w:rtl/>
        </w:rPr>
        <w:footnoteReference w:id="17"/>
      </w:r>
      <w:r w:rsidRPr="0054427B">
        <w:rPr>
          <w:rFonts w:hint="cs"/>
          <w:sz w:val="20"/>
          <w:szCs w:val="20"/>
          <w:rtl/>
        </w:rPr>
        <w:t>. לערל, לר"ש אסור (וכנ"ל).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אסור לבער מהן בטומאה. האוכלן בטומאת עצמן לוקה.</w:t>
      </w:r>
    </w:p>
    <w:p w:rsidR="0054427B" w:rsidRPr="0054427B" w:rsidRDefault="0054427B" w:rsidP="0054427B">
      <w:pPr>
        <w:rPr>
          <w:rFonts w:hint="cs"/>
          <w:b/>
          <w:bCs/>
          <w:i/>
          <w:iCs/>
          <w:sz w:val="20"/>
          <w:szCs w:val="20"/>
          <w:rtl/>
        </w:rPr>
      </w:pPr>
      <w:r w:rsidRPr="0054427B">
        <w:rPr>
          <w:rFonts w:hint="cs"/>
          <w:b/>
          <w:bCs/>
          <w:i/>
          <w:iCs/>
          <w:sz w:val="20"/>
          <w:szCs w:val="20"/>
          <w:rtl/>
        </w:rPr>
        <w:t>עג:</w:t>
      </w:r>
    </w:p>
    <w:p w:rsidR="0054427B" w:rsidRPr="0054427B" w:rsidRDefault="0054427B" w:rsidP="0054427B">
      <w:pPr>
        <w:rPr>
          <w:rFonts w:hint="cs"/>
          <w:sz w:val="20"/>
          <w:szCs w:val="20"/>
          <w:rtl/>
        </w:rPr>
      </w:pPr>
      <w:r w:rsidRPr="0054427B">
        <w:rPr>
          <w:rFonts w:hint="cs"/>
          <w:b/>
          <w:bCs/>
          <w:sz w:val="20"/>
          <w:szCs w:val="20"/>
          <w:rtl/>
        </w:rPr>
        <w:t xml:space="preserve">פסולי המוקדשין שנפדו </w:t>
      </w:r>
      <w:r w:rsidRPr="0054427B">
        <w:rPr>
          <w:sz w:val="20"/>
          <w:szCs w:val="20"/>
          <w:rtl/>
        </w:rPr>
        <w:t>–</w:t>
      </w:r>
      <w:r w:rsidRPr="0054427B">
        <w:rPr>
          <w:rFonts w:hint="cs"/>
          <w:sz w:val="20"/>
          <w:szCs w:val="20"/>
          <w:rtl/>
        </w:rPr>
        <w:t xml:space="preserve"> נאכלין לזר ובגבולין, ואף בטומאת עצמן.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b/>
          <w:bCs/>
          <w:sz w:val="20"/>
          <w:szCs w:val="20"/>
          <w:rtl/>
        </w:rPr>
        <w:t xml:space="preserve">שמן של קדש שנטמא </w:t>
      </w:r>
      <w:r w:rsidRPr="0054427B">
        <w:rPr>
          <w:rStyle w:val="a5"/>
          <w:sz w:val="20"/>
          <w:szCs w:val="20"/>
          <w:rtl/>
        </w:rPr>
        <w:footnoteReference w:id="18"/>
      </w:r>
      <w:r w:rsidRPr="0054427B">
        <w:rPr>
          <w:sz w:val="20"/>
          <w:szCs w:val="20"/>
          <w:rtl/>
        </w:rPr>
        <w:t>–</w:t>
      </w:r>
      <w:r w:rsidRPr="0054427B">
        <w:rPr>
          <w:rFonts w:hint="cs"/>
          <w:sz w:val="20"/>
          <w:szCs w:val="20"/>
          <w:rtl/>
        </w:rPr>
        <w:t xml:space="preserve"> אסור ליהנות ממנו בשעת ביעורו.</w:t>
      </w:r>
    </w:p>
    <w:p w:rsidR="0054427B" w:rsidRPr="0054427B" w:rsidRDefault="0054427B" w:rsidP="0054427B">
      <w:pPr>
        <w:rPr>
          <w:rFonts w:hint="cs"/>
          <w:sz w:val="20"/>
          <w:szCs w:val="20"/>
          <w:rtl/>
        </w:rPr>
      </w:pPr>
      <w:r w:rsidRPr="0054427B">
        <w:rPr>
          <w:rFonts w:hint="cs"/>
          <w:b/>
          <w:bCs/>
          <w:sz w:val="20"/>
          <w:szCs w:val="20"/>
          <w:rtl/>
        </w:rPr>
        <w:t>קדשים</w:t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t>–</w:t>
      </w:r>
      <w:r w:rsidRPr="0054427B">
        <w:rPr>
          <w:rFonts w:hint="cs"/>
          <w:sz w:val="20"/>
          <w:szCs w:val="20"/>
          <w:rtl/>
        </w:rPr>
        <w:t xml:space="preserve"> יש בהן פיגול, נותר, קרבים בפנים, יש בהן מעילה,</w:t>
      </w:r>
      <w:r w:rsidRPr="0054427B">
        <w:rPr>
          <w:rStyle w:val="a5"/>
          <w:sz w:val="20"/>
          <w:szCs w:val="20"/>
          <w:rtl/>
        </w:rPr>
        <w:footnoteReference w:id="19"/>
      </w:r>
      <w:r w:rsidRPr="0054427B">
        <w:rPr>
          <w:rFonts w:hint="cs"/>
          <w:sz w:val="20"/>
          <w:szCs w:val="20"/>
          <w:rtl/>
        </w:rPr>
        <w:t xml:space="preserve"> וכרת לאוכלן בטומאת הגוף,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ab/>
        <w:t>ואסורין לאונן.</w:t>
      </w:r>
      <w:r w:rsidRPr="0054427B">
        <w:rPr>
          <w:rStyle w:val="a5"/>
          <w:sz w:val="20"/>
          <w:szCs w:val="20"/>
          <w:rtl/>
        </w:rPr>
        <w:footnoteReference w:id="20"/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לאחר שהותר לכהנים אין מעילה ולא חומש. ויש להן פדיון.</w:t>
      </w:r>
      <w:r w:rsidRPr="0054427B">
        <w:rPr>
          <w:rStyle w:val="a5"/>
          <w:sz w:val="20"/>
          <w:szCs w:val="20"/>
          <w:rtl/>
        </w:rPr>
        <w:footnoteReference w:id="21"/>
      </w:r>
      <w:r w:rsidRPr="0054427B">
        <w:rPr>
          <w:rFonts w:hint="cs"/>
          <w:sz w:val="20"/>
          <w:szCs w:val="20"/>
          <w:rtl/>
        </w:rPr>
        <w:t xml:space="preserve"> קדשים קלים מותרין לזרים.</w:t>
      </w:r>
    </w:p>
    <w:p w:rsidR="00CC6452" w:rsidRPr="0054427B" w:rsidRDefault="0054427B" w:rsidP="0054427B">
      <w:pPr>
        <w:rPr>
          <w:sz w:val="20"/>
          <w:szCs w:val="20"/>
        </w:rPr>
      </w:pPr>
      <w:r w:rsidRPr="0054427B">
        <w:rPr>
          <w:rFonts w:hint="cs"/>
          <w:b/>
          <w:bCs/>
          <w:sz w:val="20"/>
          <w:szCs w:val="20"/>
          <w:rtl/>
        </w:rPr>
        <w:t>תרומה</w:t>
      </w:r>
      <w:r w:rsidRPr="0054427B">
        <w:rPr>
          <w:rFonts w:hint="cs"/>
          <w:sz w:val="20"/>
          <w:szCs w:val="20"/>
          <w:rtl/>
        </w:rPr>
        <w:t xml:space="preserve"> </w:t>
      </w:r>
      <w:r w:rsidRPr="0054427B">
        <w:rPr>
          <w:sz w:val="20"/>
          <w:szCs w:val="20"/>
          <w:rtl/>
        </w:rPr>
        <w:t>–</w:t>
      </w:r>
      <w:r w:rsidRPr="0054427B">
        <w:rPr>
          <w:rFonts w:hint="cs"/>
          <w:sz w:val="20"/>
          <w:szCs w:val="20"/>
          <w:rtl/>
        </w:rPr>
        <w:t xml:space="preserve"> ל"ש פיגול ונותר ואינה קרבן ול"ש מעילה, והאוכלה בטומאת הגוף במיתה.</w:t>
      </w:r>
      <w:r w:rsidRPr="0054427B">
        <w:rPr>
          <w:rStyle w:val="a5"/>
          <w:sz w:val="20"/>
          <w:szCs w:val="20"/>
          <w:rtl/>
        </w:rPr>
        <w:footnoteReference w:id="22"/>
      </w:r>
      <w:r w:rsidRPr="0054427B">
        <w:rPr>
          <w:sz w:val="20"/>
          <w:szCs w:val="20"/>
          <w:rtl/>
        </w:rPr>
        <w:br/>
      </w:r>
      <w:r w:rsidRPr="0054427B">
        <w:rPr>
          <w:rFonts w:hint="cs"/>
          <w:sz w:val="20"/>
          <w:szCs w:val="20"/>
          <w:rtl/>
        </w:rPr>
        <w:t>אסורה לזרים, זר האוכלה בשוגג בחומש, ואין לה פדיון.</w:t>
      </w:r>
    </w:p>
    <w:sectPr w:rsidR="00CC6452" w:rsidRPr="0054427B" w:rsidSect="005A5BA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8F" w:rsidRDefault="00CE6F8F" w:rsidP="0054427B">
      <w:pPr>
        <w:spacing w:after="0" w:line="240" w:lineRule="auto"/>
      </w:pPr>
      <w:r>
        <w:separator/>
      </w:r>
    </w:p>
  </w:endnote>
  <w:endnote w:type="continuationSeparator" w:id="0">
    <w:p w:rsidR="00CE6F8F" w:rsidRDefault="00CE6F8F" w:rsidP="0054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8F" w:rsidRDefault="00CE6F8F" w:rsidP="0054427B">
      <w:pPr>
        <w:spacing w:after="0" w:line="240" w:lineRule="auto"/>
      </w:pPr>
      <w:r>
        <w:separator/>
      </w:r>
    </w:p>
  </w:footnote>
  <w:footnote w:type="continuationSeparator" w:id="0">
    <w:p w:rsidR="00CE6F8F" w:rsidRDefault="00CE6F8F" w:rsidP="0054427B">
      <w:pPr>
        <w:spacing w:after="0" w:line="240" w:lineRule="auto"/>
      </w:pPr>
      <w:r>
        <w:continuationSeparator/>
      </w:r>
    </w:p>
  </w:footnote>
  <w:footnote w:id="1">
    <w:p w:rsidR="0054427B" w:rsidRDefault="0054427B" w:rsidP="0054427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עי' תוס' בשם ערוך שפי' דשנינו שגם ח"ש אסור.</w:t>
      </w:r>
    </w:p>
  </w:footnote>
  <w:footnote w:id="2">
    <w:p w:rsidR="0054427B" w:rsidRDefault="0054427B" w:rsidP="0054427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שיכול לקדש בה אשה. ויכול לקנות בה דברים שאינם מאכל.</w:t>
      </w:r>
    </w:p>
  </w:footnote>
  <w:footnote w:id="3">
    <w:p w:rsidR="0054427B" w:rsidRDefault="0054427B" w:rsidP="0054427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דידים שניות ועושות שלישי בתרומה, ואפילו פירות.</w:t>
      </w:r>
    </w:p>
  </w:footnote>
  <w:footnote w:id="4">
    <w:p w:rsidR="0054427B" w:rsidRDefault="0054427B" w:rsidP="0054427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כלומר דלא נטהר לגמרי בטבילה לגבי תרומה עד שיעריב שמשו.</w:t>
      </w:r>
    </w:p>
  </w:footnote>
  <w:footnote w:id="5">
    <w:p w:rsidR="0054427B" w:rsidRDefault="0054427B" w:rsidP="0054427B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עי' תוס' דמ"מ בתוך וידוי המעשר היה מזכיר גם התרומה.</w:t>
      </w:r>
    </w:p>
  </w:footnote>
  <w:footnote w:id="6">
    <w:p w:rsidR="0054427B" w:rsidRDefault="0054427B" w:rsidP="0054427B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אבל צריך ליתנה לכהן בזמן הביעור, אלא דאינה מתבערת מהעולם אם לא נתנה או שהיא ביד הכהן.</w:t>
      </w:r>
    </w:p>
  </w:footnote>
  <w:footnote w:id="7">
    <w:p w:rsidR="0054427B" w:rsidRDefault="0054427B" w:rsidP="0054427B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האוכלן חוץ לירושלים עובר בלאו ועשה (רש"י עמ' ב').</w:t>
      </w:r>
    </w:p>
  </w:footnote>
  <w:footnote w:id="8">
    <w:p w:rsidR="0054427B" w:rsidRDefault="0054427B" w:rsidP="0054427B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להביאו לירושלים בשנה השלישית, ואם לא הביא חייב לבערו לגמרי. ועי' תוס' שדחו מש"כ הריב"ן בזה.</w:t>
      </w:r>
    </w:p>
  </w:footnote>
  <w:footnote w:id="9">
    <w:p w:rsidR="0054427B" w:rsidRDefault="0054427B" w:rsidP="0054427B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ולר"ש מ"מ צריך ליתנן לכהן בזמן הביעור. תוס'.</w:t>
      </w:r>
    </w:p>
  </w:footnote>
  <w:footnote w:id="10">
    <w:p w:rsidR="0054427B" w:rsidRDefault="0054427B" w:rsidP="0054427B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כ"כ רש"י והיינו משום דמקיש ביכורים למעשר. ולר"ש דינם כתרומה דמתבערין בטומאה.</w:t>
      </w:r>
    </w:p>
  </w:footnote>
  <w:footnote w:id="11">
    <w:p w:rsidR="0054427B" w:rsidRDefault="0054427B" w:rsidP="0054427B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רק בלאו דלא יאכל מן הקדשים דקאי אמעשר.</w:t>
      </w:r>
    </w:p>
  </w:footnote>
  <w:footnote w:id="12">
    <w:p w:rsidR="0054427B" w:rsidRDefault="0054427B" w:rsidP="0054427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וממילא לא שייך חומש.</w:t>
      </w:r>
    </w:p>
  </w:footnote>
  <w:footnote w:id="13">
    <w:p w:rsidR="0054427B" w:rsidRDefault="0054427B" w:rsidP="0054427B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וי"א דמעשר ממון הדיוט. וכאן הוא מסתם מתני' דביכורים (וחלה) דאזלא כר"מ.</w:t>
      </w:r>
    </w:p>
  </w:footnote>
  <w:footnote w:id="14">
    <w:p w:rsidR="0054427B" w:rsidRDefault="0054427B" w:rsidP="0054427B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ולא להדלקת הנר, בין בטהרה ובין בטומאה.</w:t>
      </w:r>
    </w:p>
  </w:footnote>
  <w:footnote w:id="15">
    <w:p w:rsidR="0054427B" w:rsidRDefault="0054427B" w:rsidP="0054427B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דמעשר כחולין ואין שני עושה שלישי. והנוטל לפירות דחולין ומעשר הרי זה מגסי הרוח.</w:t>
      </w:r>
    </w:p>
  </w:footnote>
  <w:footnote w:id="16">
    <w:p w:rsidR="0054427B" w:rsidRDefault="0054427B" w:rsidP="0054427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אלא טבל ועלה אוכל מיד במעשר.</w:t>
      </w:r>
    </w:p>
  </w:footnote>
  <w:footnote w:id="17">
    <w:p w:rsidR="0054427B" w:rsidRDefault="0054427B" w:rsidP="0054427B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כנ"ל בביכורים.</w:t>
      </w:r>
    </w:p>
  </w:footnote>
  <w:footnote w:id="18">
    <w:p w:rsidR="0054427B" w:rsidRDefault="0054427B" w:rsidP="0054427B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כגון הוקדש למנחות.</w:t>
      </w:r>
    </w:p>
  </w:footnote>
  <w:footnote w:id="19">
    <w:p w:rsidR="0054427B" w:rsidRDefault="0054427B" w:rsidP="0054427B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קודם שהותר לכהנים, הנהנה בשוגג מביא קרבן.</w:t>
      </w:r>
    </w:p>
  </w:footnote>
  <w:footnote w:id="20">
    <w:p w:rsidR="0054427B" w:rsidRDefault="0054427B" w:rsidP="0054427B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בכל אלו חמורים קדשים מתרומה, ועי' תוס' שמנו עוד שבעה דברים.</w:t>
      </w:r>
    </w:p>
  </w:footnote>
  <w:footnote w:id="21">
    <w:p w:rsidR="0054427B" w:rsidRDefault="0054427B" w:rsidP="0054427B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קודם שהוקדש בכלי שרת.</w:t>
      </w:r>
    </w:p>
  </w:footnote>
  <w:footnote w:id="22">
    <w:p w:rsidR="0054427B" w:rsidRDefault="0054427B" w:rsidP="0054427B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עי' תוס' אי קיל מכרת. ובכל אלו חמורה תרומה מקדשים.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27B"/>
    <w:rsid w:val="00240196"/>
    <w:rsid w:val="0054427B"/>
    <w:rsid w:val="005A5BAA"/>
    <w:rsid w:val="00AF7868"/>
    <w:rsid w:val="00CC6452"/>
    <w:rsid w:val="00CE6F8F"/>
    <w:rsid w:val="00EA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4427B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54427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42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יעקב</dc:creator>
  <cp:lastModifiedBy>יעקב</cp:lastModifiedBy>
  <cp:revision>1</cp:revision>
  <dcterms:created xsi:type="dcterms:W3CDTF">2014-12-17T16:58:00Z</dcterms:created>
  <dcterms:modified xsi:type="dcterms:W3CDTF">2014-12-17T17:00:00Z</dcterms:modified>
</cp:coreProperties>
</file>