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7EF" w:rsidRPr="00F867EF" w:rsidRDefault="00F867EF" w:rsidP="00F867EF">
      <w:pPr>
        <w:rPr>
          <w:rFonts w:hint="cs"/>
          <w:b/>
          <w:bCs/>
          <w:i/>
          <w:iCs/>
          <w:rtl/>
        </w:rPr>
      </w:pPr>
      <w:r w:rsidRPr="00F867EF">
        <w:rPr>
          <w:rFonts w:hint="cs"/>
          <w:b/>
          <w:bCs/>
          <w:i/>
          <w:iCs/>
          <w:rtl/>
        </w:rPr>
        <w:t>עד.</w:t>
      </w:r>
    </w:p>
    <w:p w:rsidR="00F867EF" w:rsidRPr="00F867EF" w:rsidRDefault="00F867EF" w:rsidP="00F867EF">
      <w:pPr>
        <w:rPr>
          <w:rFonts w:hint="cs"/>
          <w:rtl/>
        </w:rPr>
      </w:pPr>
      <w:r w:rsidRPr="00F867EF">
        <w:rPr>
          <w:rFonts w:hint="cs"/>
          <w:b/>
          <w:bCs/>
          <w:rtl/>
        </w:rPr>
        <w:t>נשתיירו בו ציצין המעכבין את המילה</w:t>
      </w:r>
      <w:r w:rsidRPr="00F867EF">
        <w:rPr>
          <w:rFonts w:hint="cs"/>
          <w:rtl/>
        </w:rPr>
        <w:t xml:space="preserve"> </w:t>
      </w:r>
      <w:r w:rsidRPr="00F867EF">
        <w:rPr>
          <w:rtl/>
        </w:rPr>
        <w:t>–</w:t>
      </w:r>
      <w:r w:rsidRPr="00F867EF">
        <w:rPr>
          <w:rFonts w:hint="cs"/>
          <w:rtl/>
        </w:rPr>
        <w:t xml:space="preserve"> הרי זה ערל.</w:t>
      </w:r>
      <w:r w:rsidRPr="00F867EF">
        <w:rPr>
          <w:rStyle w:val="a5"/>
          <w:rtl/>
        </w:rPr>
        <w:footnoteReference w:id="1"/>
      </w:r>
      <w:r w:rsidRPr="00F867EF">
        <w:rPr>
          <w:rtl/>
        </w:rPr>
        <w:br/>
      </w:r>
      <w:r w:rsidRPr="00F867EF">
        <w:rPr>
          <w:rFonts w:hint="cs"/>
          <w:rtl/>
        </w:rPr>
        <w:t>ואינו אוכל לא בתרומה, ולא בפסח ולא בשאר קדשים,</w:t>
      </w:r>
      <w:r w:rsidRPr="00F867EF">
        <w:rPr>
          <w:rStyle w:val="a5"/>
          <w:rtl/>
        </w:rPr>
        <w:footnoteReference w:id="2"/>
      </w:r>
      <w:r w:rsidRPr="00F867EF">
        <w:rPr>
          <w:rtl/>
        </w:rPr>
        <w:br/>
      </w:r>
      <w:r w:rsidRPr="00F867EF">
        <w:rPr>
          <w:rFonts w:hint="cs"/>
          <w:rtl/>
        </w:rPr>
        <w:t>ולא במעשר ראשון למ"ד אסור לזרים. (מעשר בהמה כשאר קדשים).</w:t>
      </w:r>
      <w:r w:rsidRPr="00F867EF">
        <w:rPr>
          <w:rtl/>
        </w:rPr>
        <w:br/>
      </w:r>
      <w:r w:rsidRPr="00F867EF">
        <w:rPr>
          <w:rFonts w:hint="cs"/>
          <w:rtl/>
        </w:rPr>
        <w:t>במעשר שני, היינו בעיין. (לר"ע ודאי אסור. לרבנן, לרב ששת ור' יצחק</w:t>
      </w:r>
      <w:r w:rsidRPr="00F867EF">
        <w:rPr>
          <w:rStyle w:val="a5"/>
          <w:rtl/>
        </w:rPr>
        <w:footnoteReference w:id="3"/>
      </w:r>
      <w:r w:rsidRPr="00F867EF">
        <w:rPr>
          <w:rFonts w:hint="cs"/>
          <w:rtl/>
        </w:rPr>
        <w:t xml:space="preserve"> אסור).</w:t>
      </w:r>
    </w:p>
    <w:p w:rsidR="00F867EF" w:rsidRPr="00F867EF" w:rsidRDefault="00F867EF" w:rsidP="00F867EF">
      <w:pPr>
        <w:rPr>
          <w:rFonts w:hint="cs"/>
          <w:rtl/>
        </w:rPr>
      </w:pPr>
      <w:r w:rsidRPr="00F867EF">
        <w:rPr>
          <w:rFonts w:hint="cs"/>
          <w:b/>
          <w:bCs/>
          <w:rtl/>
        </w:rPr>
        <w:t>מעשר ראשון לזרים</w:t>
      </w:r>
      <w:r w:rsidRPr="00F867EF">
        <w:rPr>
          <w:rFonts w:hint="cs"/>
          <w:rtl/>
        </w:rPr>
        <w:t xml:space="preserve"> </w:t>
      </w:r>
      <w:r w:rsidRPr="00F867EF">
        <w:rPr>
          <w:rtl/>
        </w:rPr>
        <w:t>–</w:t>
      </w:r>
      <w:r w:rsidRPr="00F867EF">
        <w:rPr>
          <w:rFonts w:hint="cs"/>
          <w:rtl/>
        </w:rPr>
        <w:t xml:space="preserve"> לר"מ אסור, וקי"ל דמותר.</w:t>
      </w:r>
    </w:p>
    <w:p w:rsidR="00F867EF" w:rsidRPr="00F867EF" w:rsidRDefault="00F867EF" w:rsidP="00F867EF">
      <w:pPr>
        <w:rPr>
          <w:rFonts w:hint="cs"/>
          <w:rtl/>
        </w:rPr>
      </w:pPr>
      <w:r w:rsidRPr="00F867EF">
        <w:rPr>
          <w:rFonts w:hint="cs"/>
          <w:b/>
          <w:bCs/>
          <w:rtl/>
        </w:rPr>
        <w:t xml:space="preserve">אונן </w:t>
      </w:r>
      <w:r w:rsidRPr="00F867EF">
        <w:rPr>
          <w:rFonts w:hint="cs"/>
          <w:rtl/>
        </w:rPr>
        <w:t>- אסור במעשר שני, ומותר בתרומה ובפרה.</w:t>
      </w:r>
      <w:r w:rsidRPr="00F867EF">
        <w:rPr>
          <w:rStyle w:val="a5"/>
          <w:rtl/>
        </w:rPr>
        <w:footnoteReference w:id="4"/>
      </w:r>
      <w:r w:rsidRPr="00F867EF">
        <w:rPr>
          <w:rtl/>
        </w:rPr>
        <w:br/>
      </w:r>
      <w:r w:rsidRPr="00F867EF">
        <w:rPr>
          <w:rFonts w:hint="cs"/>
          <w:b/>
          <w:bCs/>
          <w:rtl/>
        </w:rPr>
        <w:t xml:space="preserve">טבול יום </w:t>
      </w:r>
      <w:r w:rsidRPr="00F867EF">
        <w:rPr>
          <w:rtl/>
        </w:rPr>
        <w:t>–</w:t>
      </w:r>
      <w:r w:rsidRPr="00F867EF">
        <w:rPr>
          <w:rFonts w:hint="cs"/>
          <w:rtl/>
        </w:rPr>
        <w:t xml:space="preserve"> אסור בתרומה ומותר בפרה</w:t>
      </w:r>
      <w:r w:rsidRPr="00F867EF">
        <w:rPr>
          <w:rStyle w:val="a5"/>
          <w:rtl/>
        </w:rPr>
        <w:footnoteReference w:id="5"/>
      </w:r>
      <w:r w:rsidRPr="00F867EF">
        <w:rPr>
          <w:rFonts w:hint="cs"/>
          <w:rtl/>
        </w:rPr>
        <w:t xml:space="preserve"> ובמעשר.</w:t>
      </w:r>
      <w:r w:rsidRPr="00F867EF">
        <w:rPr>
          <w:rFonts w:hint="cs"/>
          <w:rtl/>
        </w:rPr>
        <w:br/>
      </w:r>
      <w:r w:rsidRPr="00F867EF">
        <w:rPr>
          <w:rFonts w:hint="cs"/>
          <w:b/>
          <w:bCs/>
          <w:rtl/>
        </w:rPr>
        <w:t xml:space="preserve">מחוסר כיפורים </w:t>
      </w:r>
      <w:r w:rsidRPr="00F867EF">
        <w:rPr>
          <w:rtl/>
        </w:rPr>
        <w:t>–</w:t>
      </w:r>
      <w:r w:rsidRPr="00F867EF">
        <w:rPr>
          <w:rFonts w:hint="cs"/>
          <w:rtl/>
        </w:rPr>
        <w:t xml:space="preserve"> אסור בפרה</w:t>
      </w:r>
      <w:r w:rsidRPr="00F867EF">
        <w:rPr>
          <w:rStyle w:val="a5"/>
          <w:rtl/>
        </w:rPr>
        <w:footnoteReference w:id="6"/>
      </w:r>
      <w:r w:rsidRPr="00F867EF">
        <w:rPr>
          <w:rFonts w:hint="cs"/>
          <w:rtl/>
        </w:rPr>
        <w:t>, ומותר בתרומה ובמעשר.</w:t>
      </w:r>
      <w:r w:rsidRPr="00F867EF">
        <w:rPr>
          <w:rtl/>
        </w:rPr>
        <w:br/>
      </w:r>
      <w:r w:rsidRPr="00F867EF">
        <w:rPr>
          <w:rFonts w:hint="cs"/>
          <w:b/>
          <w:bCs/>
          <w:rtl/>
        </w:rPr>
        <w:t>ערל</w:t>
      </w:r>
      <w:r w:rsidRPr="00F867EF">
        <w:rPr>
          <w:rFonts w:hint="cs"/>
          <w:rtl/>
        </w:rPr>
        <w:t xml:space="preserve"> </w:t>
      </w:r>
      <w:r w:rsidRPr="00F867EF">
        <w:rPr>
          <w:rtl/>
        </w:rPr>
        <w:t>–</w:t>
      </w:r>
      <w:r w:rsidRPr="00F867EF">
        <w:rPr>
          <w:rFonts w:hint="cs"/>
          <w:rtl/>
        </w:rPr>
        <w:t xml:space="preserve"> אסור בתרומה ומותר בפרה. ובמעשר היינו בעיין.</w:t>
      </w:r>
      <w:r w:rsidRPr="00F867EF">
        <w:rPr>
          <w:rStyle w:val="a5"/>
          <w:rtl/>
        </w:rPr>
        <w:footnoteReference w:id="7"/>
      </w:r>
    </w:p>
    <w:p w:rsidR="00F867EF" w:rsidRPr="00F867EF" w:rsidRDefault="00F867EF" w:rsidP="00F867EF">
      <w:pPr>
        <w:rPr>
          <w:rFonts w:hint="cs"/>
          <w:rtl/>
        </w:rPr>
      </w:pPr>
      <w:r w:rsidRPr="00F867EF">
        <w:rPr>
          <w:rFonts w:hint="cs"/>
          <w:b/>
          <w:bCs/>
          <w:rtl/>
        </w:rPr>
        <w:t>ערל</w:t>
      </w:r>
      <w:r w:rsidRPr="00F867EF">
        <w:rPr>
          <w:rFonts w:hint="cs"/>
          <w:rtl/>
        </w:rPr>
        <w:t xml:space="preserve"> </w:t>
      </w:r>
      <w:r w:rsidRPr="00F867EF">
        <w:rPr>
          <w:rtl/>
        </w:rPr>
        <w:t>–</w:t>
      </w:r>
      <w:r w:rsidRPr="00F867EF">
        <w:rPr>
          <w:rFonts w:hint="cs"/>
          <w:rtl/>
        </w:rPr>
        <w:t xml:space="preserve"> לר"ע דינו כטמא לכל דבר וכנ"ל. לת"ק דרבי יוסף הבבלי אין דינו כטמא.</w:t>
      </w:r>
      <w:r w:rsidRPr="00F867EF">
        <w:rPr>
          <w:rStyle w:val="a5"/>
          <w:rtl/>
        </w:rPr>
        <w:footnoteReference w:id="8"/>
      </w:r>
      <w:r w:rsidRPr="00F867EF">
        <w:rPr>
          <w:rFonts w:hint="cs"/>
          <w:rtl/>
        </w:rPr>
        <w:br/>
      </w:r>
      <w:r w:rsidRPr="00F867EF">
        <w:rPr>
          <w:rFonts w:hint="cs"/>
          <w:b/>
          <w:bCs/>
          <w:rtl/>
        </w:rPr>
        <w:t>מחוסר כיפורים בפרה</w:t>
      </w:r>
      <w:r w:rsidRPr="00F867EF">
        <w:rPr>
          <w:rFonts w:hint="cs"/>
          <w:rtl/>
        </w:rPr>
        <w:t xml:space="preserve"> </w:t>
      </w:r>
      <w:r w:rsidRPr="00F867EF">
        <w:rPr>
          <w:rtl/>
        </w:rPr>
        <w:t>–</w:t>
      </w:r>
      <w:r w:rsidRPr="00F867EF">
        <w:rPr>
          <w:rFonts w:hint="cs"/>
          <w:rtl/>
        </w:rPr>
        <w:t xml:space="preserve"> לת"ק וברייתא לעיל כשרה, לרבי יוסף הבבלי פסולה.</w:t>
      </w:r>
      <w:r w:rsidRPr="00F867EF">
        <w:rPr>
          <w:rFonts w:hint="cs"/>
          <w:rtl/>
        </w:rPr>
        <w:br/>
      </w:r>
      <w:r w:rsidRPr="00F867EF">
        <w:rPr>
          <w:rFonts w:hint="cs"/>
          <w:b/>
          <w:bCs/>
          <w:rtl/>
        </w:rPr>
        <w:t>פסח</w:t>
      </w:r>
      <w:r w:rsidRPr="00F867EF">
        <w:rPr>
          <w:rFonts w:hint="cs"/>
          <w:rtl/>
        </w:rPr>
        <w:t xml:space="preserve"> </w:t>
      </w:r>
      <w:r w:rsidRPr="00F867EF">
        <w:rPr>
          <w:rtl/>
        </w:rPr>
        <w:t>–</w:t>
      </w:r>
      <w:r w:rsidRPr="00F867EF">
        <w:rPr>
          <w:rFonts w:hint="cs"/>
          <w:rtl/>
        </w:rPr>
        <w:t xml:space="preserve"> חייבין עליו משום פיגול נותר וטמא. אסור לאכול ממנו נא.</w:t>
      </w:r>
      <w:r w:rsidRPr="00F867EF">
        <w:rPr>
          <w:rStyle w:val="a5"/>
          <w:rtl/>
        </w:rPr>
        <w:footnoteReference w:id="9"/>
      </w:r>
      <w:r w:rsidRPr="00F867EF">
        <w:rPr>
          <w:rFonts w:hint="cs"/>
          <w:rtl/>
        </w:rPr>
        <w:br/>
        <w:t>אין לוקין על נותר, ואין שורפין נותר ביו"ט.</w:t>
      </w:r>
      <w:r w:rsidRPr="00F867EF">
        <w:rPr>
          <w:rStyle w:val="a5"/>
          <w:rtl/>
        </w:rPr>
        <w:footnoteReference w:id="10"/>
      </w:r>
      <w:r w:rsidRPr="00F867EF">
        <w:rPr>
          <w:rFonts w:hint="cs"/>
          <w:rtl/>
        </w:rPr>
        <w:br/>
      </w:r>
      <w:r w:rsidRPr="00F867EF">
        <w:rPr>
          <w:rFonts w:hint="cs"/>
          <w:b/>
          <w:bCs/>
          <w:rtl/>
        </w:rPr>
        <w:t>מעשר שני שנטמא</w:t>
      </w:r>
      <w:r w:rsidRPr="00F867EF">
        <w:rPr>
          <w:rFonts w:hint="cs"/>
          <w:rtl/>
        </w:rPr>
        <w:t xml:space="preserve"> </w:t>
      </w:r>
      <w:r w:rsidRPr="00F867EF">
        <w:rPr>
          <w:rtl/>
        </w:rPr>
        <w:t>–</w:t>
      </w:r>
      <w:r w:rsidRPr="00F867EF">
        <w:rPr>
          <w:rFonts w:hint="cs"/>
          <w:rtl/>
        </w:rPr>
        <w:t xml:space="preserve"> מותר לסוכו.</w:t>
      </w:r>
      <w:r w:rsidRPr="00F867EF">
        <w:rPr>
          <w:rStyle w:val="a5"/>
          <w:rtl/>
        </w:rPr>
        <w:footnoteReference w:id="11"/>
      </w:r>
      <w:r w:rsidRPr="00F867EF">
        <w:rPr>
          <w:rFonts w:hint="cs"/>
          <w:rtl/>
        </w:rPr>
        <w:t xml:space="preserve"> אין סכין ממנו למת.</w:t>
      </w:r>
      <w:r w:rsidRPr="00F867EF">
        <w:rPr>
          <w:rStyle w:val="a5"/>
          <w:rtl/>
        </w:rPr>
        <w:footnoteReference w:id="12"/>
      </w:r>
      <w:r w:rsidRPr="00F867EF">
        <w:rPr>
          <w:rFonts w:hint="cs"/>
          <w:rtl/>
        </w:rPr>
        <w:br/>
      </w:r>
      <w:r w:rsidRPr="00F867EF">
        <w:rPr>
          <w:rFonts w:hint="cs"/>
          <w:b/>
          <w:bCs/>
          <w:rtl/>
        </w:rPr>
        <w:t>תרומה טמאה</w:t>
      </w:r>
      <w:r w:rsidRPr="00F867EF">
        <w:rPr>
          <w:rFonts w:hint="cs"/>
          <w:rtl/>
        </w:rPr>
        <w:t xml:space="preserve"> </w:t>
      </w:r>
      <w:r w:rsidRPr="00F867EF">
        <w:rPr>
          <w:rtl/>
        </w:rPr>
        <w:t>–</w:t>
      </w:r>
      <w:r w:rsidRPr="00F867EF">
        <w:rPr>
          <w:rFonts w:hint="cs"/>
          <w:rtl/>
        </w:rPr>
        <w:t xml:space="preserve"> ניתן ליהנות ממנה בהבערתה.</w:t>
      </w:r>
    </w:p>
    <w:p w:rsidR="00F867EF" w:rsidRPr="00F867EF" w:rsidRDefault="00F867EF" w:rsidP="00F867EF">
      <w:pPr>
        <w:rPr>
          <w:rFonts w:hint="cs"/>
          <w:b/>
          <w:bCs/>
          <w:i/>
          <w:iCs/>
          <w:rtl/>
        </w:rPr>
      </w:pPr>
      <w:r w:rsidRPr="00F867EF">
        <w:rPr>
          <w:rFonts w:hint="cs"/>
          <w:b/>
          <w:bCs/>
          <w:i/>
          <w:iCs/>
          <w:rtl/>
        </w:rPr>
        <w:t>עד:</w:t>
      </w:r>
    </w:p>
    <w:p w:rsidR="00F867EF" w:rsidRPr="00F867EF" w:rsidRDefault="00F867EF" w:rsidP="00F867EF">
      <w:pPr>
        <w:rPr>
          <w:rFonts w:hint="cs"/>
          <w:rtl/>
        </w:rPr>
      </w:pPr>
      <w:r w:rsidRPr="00F867EF">
        <w:rPr>
          <w:rFonts w:hint="cs"/>
          <w:b/>
          <w:bCs/>
          <w:rtl/>
        </w:rPr>
        <w:t>למעשר</w:t>
      </w:r>
      <w:r w:rsidRPr="00F867EF">
        <w:rPr>
          <w:rFonts w:hint="cs"/>
          <w:rtl/>
        </w:rPr>
        <w:t xml:space="preserve"> </w:t>
      </w:r>
      <w:r w:rsidRPr="00F867EF">
        <w:rPr>
          <w:rtl/>
        </w:rPr>
        <w:t>–</w:t>
      </w:r>
      <w:r w:rsidRPr="00F867EF">
        <w:rPr>
          <w:rFonts w:hint="cs"/>
          <w:rtl/>
        </w:rPr>
        <w:t xml:space="preserve"> מותר משעת טבילה. וכל שכן לחולין.</w:t>
      </w:r>
      <w:r w:rsidRPr="00F867EF">
        <w:rPr>
          <w:rtl/>
        </w:rPr>
        <w:br/>
      </w:r>
      <w:r w:rsidRPr="00F867EF">
        <w:rPr>
          <w:rFonts w:hint="cs"/>
          <w:b/>
          <w:bCs/>
          <w:rtl/>
        </w:rPr>
        <w:t>לתרומה</w:t>
      </w:r>
      <w:r w:rsidRPr="00F867EF">
        <w:rPr>
          <w:rFonts w:hint="cs"/>
          <w:rtl/>
        </w:rPr>
        <w:t xml:space="preserve"> </w:t>
      </w:r>
      <w:r w:rsidRPr="00F867EF">
        <w:rPr>
          <w:rtl/>
        </w:rPr>
        <w:t>–</w:t>
      </w:r>
      <w:r w:rsidRPr="00F867EF">
        <w:rPr>
          <w:rFonts w:hint="cs"/>
          <w:rtl/>
        </w:rPr>
        <w:t xml:space="preserve"> רק אחרי הערב שמש, והבאת כפרה לא מעכבא.</w:t>
      </w:r>
      <w:r w:rsidRPr="00F867EF">
        <w:rPr>
          <w:rtl/>
        </w:rPr>
        <w:br/>
      </w:r>
      <w:r w:rsidRPr="00F867EF">
        <w:rPr>
          <w:rFonts w:hint="cs"/>
          <w:b/>
          <w:bCs/>
          <w:rtl/>
        </w:rPr>
        <w:t>לקדשים</w:t>
      </w:r>
      <w:r w:rsidRPr="00F867EF">
        <w:rPr>
          <w:rFonts w:hint="cs"/>
          <w:rtl/>
        </w:rPr>
        <w:t xml:space="preserve"> </w:t>
      </w:r>
      <w:r w:rsidRPr="00F867EF">
        <w:rPr>
          <w:rtl/>
        </w:rPr>
        <w:t>–</w:t>
      </w:r>
      <w:r w:rsidRPr="00F867EF">
        <w:rPr>
          <w:rFonts w:hint="cs"/>
          <w:rtl/>
        </w:rPr>
        <w:t xml:space="preserve"> מותר רק אחרי הבאת הכפרה.</w:t>
      </w:r>
    </w:p>
    <w:p w:rsidR="00CC6452" w:rsidRDefault="00F867EF" w:rsidP="00F867EF">
      <w:r w:rsidRPr="00F867EF">
        <w:rPr>
          <w:rFonts w:hint="cs"/>
          <w:b/>
          <w:bCs/>
          <w:rtl/>
        </w:rPr>
        <w:t>תרומה</w:t>
      </w:r>
      <w:r w:rsidRPr="00F867EF">
        <w:rPr>
          <w:rFonts w:hint="cs"/>
          <w:rtl/>
        </w:rPr>
        <w:t xml:space="preserve"> - נאכלת לכהנים ונשיהם. </w:t>
      </w:r>
      <w:r w:rsidRPr="00F867EF">
        <w:rPr>
          <w:rFonts w:hint="cs"/>
          <w:b/>
          <w:bCs/>
          <w:rtl/>
        </w:rPr>
        <w:t>חזה ושוק</w:t>
      </w:r>
      <w:r w:rsidRPr="00F867EF">
        <w:rPr>
          <w:rFonts w:hint="cs"/>
          <w:rtl/>
        </w:rPr>
        <w:t xml:space="preserve">- כנ"ל. </w:t>
      </w:r>
      <w:r w:rsidRPr="00F867EF">
        <w:rPr>
          <w:rFonts w:hint="cs"/>
          <w:b/>
          <w:bCs/>
          <w:rtl/>
        </w:rPr>
        <w:t>קדשי קדשים</w:t>
      </w:r>
      <w:r w:rsidRPr="00F867EF">
        <w:rPr>
          <w:rFonts w:hint="cs"/>
          <w:rtl/>
        </w:rPr>
        <w:t xml:space="preserve"> </w:t>
      </w:r>
      <w:r w:rsidRPr="00F867EF">
        <w:rPr>
          <w:rtl/>
        </w:rPr>
        <w:t>–</w:t>
      </w:r>
      <w:r w:rsidRPr="00F867EF">
        <w:rPr>
          <w:rFonts w:hint="cs"/>
          <w:rtl/>
        </w:rPr>
        <w:t xml:space="preserve"> רק זכרי כהונה. </w:t>
      </w:r>
      <w:r w:rsidRPr="00F867EF">
        <w:rPr>
          <w:rtl/>
        </w:rPr>
        <w:br/>
      </w:r>
      <w:r w:rsidRPr="00F867EF">
        <w:rPr>
          <w:rFonts w:hint="cs"/>
          <w:b/>
          <w:bCs/>
          <w:rtl/>
        </w:rPr>
        <w:t>החוזרת לבית אביה</w:t>
      </w:r>
      <w:r w:rsidRPr="00F867EF">
        <w:rPr>
          <w:rStyle w:val="a5"/>
          <w:rtl/>
        </w:rPr>
        <w:footnoteReference w:id="13"/>
      </w:r>
      <w:r w:rsidRPr="00F867EF">
        <w:rPr>
          <w:rFonts w:hint="cs"/>
          <w:rtl/>
        </w:rPr>
        <w:t xml:space="preserve"> </w:t>
      </w:r>
      <w:r w:rsidRPr="00F867EF">
        <w:rPr>
          <w:rtl/>
        </w:rPr>
        <w:t>–</w:t>
      </w:r>
      <w:r w:rsidRPr="00F867EF">
        <w:rPr>
          <w:rFonts w:hint="cs"/>
          <w:rtl/>
        </w:rPr>
        <w:t xml:space="preserve"> מותרת בתרומה ולא בחזה ושוק.</w:t>
      </w:r>
      <w:r w:rsidRPr="00F867EF">
        <w:rPr>
          <w:rFonts w:hint="cs"/>
          <w:rtl/>
        </w:rPr>
        <w:br/>
      </w:r>
      <w:r w:rsidRPr="00F867EF">
        <w:rPr>
          <w:rFonts w:hint="cs"/>
          <w:b/>
          <w:bCs/>
          <w:rtl/>
        </w:rPr>
        <w:t>חללים</w:t>
      </w:r>
      <w:r w:rsidRPr="00F867EF">
        <w:rPr>
          <w:rFonts w:hint="cs"/>
          <w:rtl/>
        </w:rPr>
        <w:t xml:space="preserve"> </w:t>
      </w:r>
      <w:r w:rsidRPr="00F867EF">
        <w:rPr>
          <w:rtl/>
        </w:rPr>
        <w:t>–</w:t>
      </w:r>
      <w:r w:rsidRPr="00F867EF">
        <w:rPr>
          <w:rFonts w:hint="cs"/>
          <w:rtl/>
        </w:rPr>
        <w:t xml:space="preserve"> אינם כהנים, ואסורים בתרומה וכדומה.</w:t>
      </w:r>
      <w:r w:rsidRPr="00F867EF">
        <w:rPr>
          <w:rtl/>
        </w:rPr>
        <w:br/>
      </w:r>
      <w:r w:rsidRPr="00F867EF">
        <w:rPr>
          <w:rFonts w:hint="cs"/>
          <w:b/>
          <w:bCs/>
          <w:rtl/>
        </w:rPr>
        <w:t xml:space="preserve">קרבן דזב </w:t>
      </w:r>
      <w:r w:rsidRPr="00F867EF">
        <w:rPr>
          <w:rtl/>
        </w:rPr>
        <w:t>–</w:t>
      </w:r>
      <w:r w:rsidRPr="00F867EF">
        <w:rPr>
          <w:rFonts w:hint="cs"/>
          <w:rtl/>
        </w:rPr>
        <w:t xml:space="preserve"> רק אחרי שלש ראיות, ולא אחרי שתים.</w:t>
      </w:r>
      <w:r w:rsidRPr="00F867EF">
        <w:rPr>
          <w:rStyle w:val="a5"/>
          <w:rtl/>
        </w:rPr>
        <w:footnoteReference w:id="14"/>
      </w:r>
      <w:r w:rsidRPr="00F867EF">
        <w:rPr>
          <w:rtl/>
        </w:rPr>
        <w:br/>
      </w:r>
      <w:r w:rsidRPr="00F867EF">
        <w:rPr>
          <w:rFonts w:hint="cs"/>
          <w:b/>
          <w:bCs/>
          <w:rtl/>
        </w:rPr>
        <w:t xml:space="preserve">קרבן דמצורע </w:t>
      </w:r>
      <w:r w:rsidRPr="00F867EF">
        <w:rPr>
          <w:rtl/>
        </w:rPr>
        <w:t>–</w:t>
      </w:r>
      <w:r w:rsidRPr="00F867EF">
        <w:rPr>
          <w:rFonts w:hint="cs"/>
          <w:rtl/>
        </w:rPr>
        <w:t xml:space="preserve"> רק טהור מתוך החלט ולא טהור מתוך הסגר.</w:t>
      </w:r>
      <w:r w:rsidRPr="00F867EF">
        <w:rPr>
          <w:rStyle w:val="a5"/>
          <w:rtl/>
        </w:rPr>
        <w:footnoteReference w:id="15"/>
      </w:r>
      <w:r w:rsidRPr="00F867EF">
        <w:rPr>
          <w:rtl/>
        </w:rPr>
        <w:br/>
      </w:r>
      <w:r w:rsidRPr="00F867EF">
        <w:rPr>
          <w:rFonts w:hint="cs"/>
          <w:b/>
          <w:bCs/>
          <w:rtl/>
        </w:rPr>
        <w:t xml:space="preserve">טמא מת ושרץ </w:t>
      </w:r>
      <w:r w:rsidRPr="00F867EF">
        <w:rPr>
          <w:rtl/>
        </w:rPr>
        <w:t>–</w:t>
      </w:r>
      <w:r w:rsidRPr="00F867EF">
        <w:rPr>
          <w:rFonts w:hint="cs"/>
          <w:rtl/>
        </w:rPr>
        <w:t xml:space="preserve"> אין קרבן.</w:t>
      </w:r>
      <w:r w:rsidRPr="00F867EF">
        <w:rPr>
          <w:rStyle w:val="a5"/>
          <w:rtl/>
        </w:rPr>
        <w:footnoteReference w:id="16"/>
      </w:r>
      <w:r w:rsidRPr="00F867EF">
        <w:rPr>
          <w:rtl/>
        </w:rPr>
        <w:br/>
      </w:r>
      <w:r w:rsidRPr="00F867EF">
        <w:rPr>
          <w:rFonts w:hint="cs"/>
          <w:b/>
          <w:bCs/>
          <w:rtl/>
        </w:rPr>
        <w:lastRenderedPageBreak/>
        <w:t>יולדת</w:t>
      </w:r>
      <w:r w:rsidRPr="00F867EF">
        <w:rPr>
          <w:rFonts w:hint="cs"/>
          <w:rtl/>
        </w:rPr>
        <w:t xml:space="preserve"> </w:t>
      </w:r>
      <w:r w:rsidRPr="00F867EF">
        <w:rPr>
          <w:rtl/>
        </w:rPr>
        <w:t>–</w:t>
      </w:r>
      <w:r w:rsidRPr="00F867EF">
        <w:rPr>
          <w:rFonts w:hint="cs"/>
          <w:rtl/>
        </w:rPr>
        <w:t xml:space="preserve"> מטבילתה</w:t>
      </w:r>
      <w:r w:rsidRPr="00F867EF">
        <w:rPr>
          <w:rStyle w:val="a5"/>
          <w:rtl/>
        </w:rPr>
        <w:footnoteReference w:id="17"/>
      </w:r>
      <w:r w:rsidRPr="00F867EF">
        <w:rPr>
          <w:rFonts w:hint="cs"/>
          <w:rtl/>
        </w:rPr>
        <w:t>, עד הבאת קרבנותיה</w:t>
      </w:r>
      <w:r w:rsidRPr="00F867EF">
        <w:rPr>
          <w:rStyle w:val="a5"/>
          <w:rtl/>
        </w:rPr>
        <w:footnoteReference w:id="18"/>
      </w:r>
      <w:r w:rsidRPr="00F867EF">
        <w:rPr>
          <w:rFonts w:hint="cs"/>
          <w:rtl/>
        </w:rPr>
        <w:t xml:space="preserve">, דינה כטבולת יום. </w:t>
      </w:r>
      <w:r w:rsidRPr="00F867EF">
        <w:rPr>
          <w:rtl/>
        </w:rPr>
        <w:br/>
      </w:r>
      <w:r w:rsidRPr="00F867EF">
        <w:rPr>
          <w:rFonts w:hint="cs"/>
          <w:rtl/>
        </w:rPr>
        <w:t>מותרת במעשר ולא בתרומה וקדשים. מהערב שמש הקודם ליום הבאת הקרבן, מותרת בתרומה.</w:t>
      </w:r>
      <w:r w:rsidRPr="00F867EF">
        <w:rPr>
          <w:rFonts w:hint="cs"/>
          <w:rtl/>
        </w:rPr>
        <w:br/>
      </w:r>
      <w:r w:rsidRPr="00F867EF">
        <w:rPr>
          <w:rFonts w:hint="cs"/>
          <w:b/>
          <w:bCs/>
          <w:rtl/>
        </w:rPr>
        <w:t>גיורת ומשוחררת</w:t>
      </w:r>
      <w:r w:rsidRPr="00F867EF">
        <w:rPr>
          <w:rFonts w:hint="cs"/>
          <w:rtl/>
        </w:rPr>
        <w:t xml:space="preserve"> </w:t>
      </w:r>
      <w:r w:rsidRPr="00F867EF">
        <w:rPr>
          <w:rtl/>
        </w:rPr>
        <w:t>–</w:t>
      </w:r>
      <w:r w:rsidRPr="00F867EF">
        <w:rPr>
          <w:rFonts w:hint="cs"/>
          <w:rtl/>
        </w:rPr>
        <w:t xml:space="preserve"> נוהגין בה דיני יולדת.</w:t>
      </w:r>
      <w:r w:rsidRPr="00F867EF">
        <w:rPr>
          <w:rStyle w:val="a5"/>
          <w:rtl/>
        </w:rPr>
        <w:footnoteReference w:id="19"/>
      </w:r>
      <w:r w:rsidRPr="00F867EF">
        <w:rPr>
          <w:rtl/>
        </w:rPr>
        <w:br/>
      </w:r>
    </w:p>
    <w:sectPr w:rsidR="00CC6452" w:rsidSect="005A5BAA">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771" w:rsidRDefault="000F6771" w:rsidP="00F867EF">
      <w:pPr>
        <w:spacing w:after="0" w:line="240" w:lineRule="auto"/>
      </w:pPr>
      <w:r>
        <w:separator/>
      </w:r>
    </w:p>
  </w:endnote>
  <w:endnote w:type="continuationSeparator" w:id="0">
    <w:p w:rsidR="000F6771" w:rsidRDefault="000F6771" w:rsidP="00F86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771" w:rsidRDefault="000F6771" w:rsidP="00F867EF">
      <w:pPr>
        <w:spacing w:after="0" w:line="240" w:lineRule="auto"/>
      </w:pPr>
      <w:r>
        <w:separator/>
      </w:r>
    </w:p>
  </w:footnote>
  <w:footnote w:type="continuationSeparator" w:id="0">
    <w:p w:rsidR="000F6771" w:rsidRDefault="000F6771" w:rsidP="00F867EF">
      <w:pPr>
        <w:spacing w:after="0" w:line="240" w:lineRule="auto"/>
      </w:pPr>
      <w:r>
        <w:continuationSeparator/>
      </w:r>
    </w:p>
  </w:footnote>
  <w:footnote w:id="1">
    <w:p w:rsidR="00F867EF" w:rsidRDefault="00F867EF" w:rsidP="00F867EF">
      <w:pPr>
        <w:pStyle w:val="a3"/>
        <w:rPr>
          <w:rFonts w:hint="cs"/>
          <w:rtl/>
        </w:rPr>
      </w:pPr>
      <w:r>
        <w:rPr>
          <w:rStyle w:val="a5"/>
        </w:rPr>
        <w:footnoteRef/>
      </w:r>
      <w:r>
        <w:rPr>
          <w:rtl/>
        </w:rPr>
        <w:t xml:space="preserve"> </w:t>
      </w:r>
      <w:r>
        <w:rPr>
          <w:rFonts w:hint="cs"/>
          <w:rtl/>
        </w:rPr>
        <w:t>בעמוד זה יש דינים רבים שכבר נכללו לעיל.</w:t>
      </w:r>
    </w:p>
  </w:footnote>
  <w:footnote w:id="2">
    <w:p w:rsidR="00F867EF" w:rsidRDefault="00F867EF" w:rsidP="00F867EF">
      <w:pPr>
        <w:pStyle w:val="a3"/>
        <w:rPr>
          <w:rFonts w:hint="cs"/>
        </w:rPr>
      </w:pPr>
      <w:r>
        <w:rPr>
          <w:rStyle w:val="a5"/>
        </w:rPr>
        <w:footnoteRef/>
      </w:r>
      <w:r>
        <w:rPr>
          <w:rtl/>
        </w:rPr>
        <w:t xml:space="preserve"> </w:t>
      </w:r>
      <w:r>
        <w:rPr>
          <w:rFonts w:hint="cs"/>
          <w:rtl/>
        </w:rPr>
        <w:t>אע"ג דערל כתיב להדיא רק בפסח.</w:t>
      </w:r>
    </w:p>
  </w:footnote>
  <w:footnote w:id="3">
    <w:p w:rsidR="00F867EF" w:rsidRDefault="00F867EF" w:rsidP="00F867EF">
      <w:pPr>
        <w:pStyle w:val="a3"/>
        <w:rPr>
          <w:rFonts w:hint="cs"/>
        </w:rPr>
      </w:pPr>
      <w:r>
        <w:rPr>
          <w:rStyle w:val="a5"/>
        </w:rPr>
        <w:footnoteRef/>
      </w:r>
      <w:r>
        <w:rPr>
          <w:rtl/>
        </w:rPr>
        <w:t xml:space="preserve"> </w:t>
      </w:r>
      <w:r>
        <w:rPr>
          <w:rFonts w:hint="cs"/>
          <w:rtl/>
        </w:rPr>
        <w:t>מה שאמרו ואף רבי יצחק סבר ערל אסור במעשר, או דקאי על רב ששת דלעיל, או דקאי על רבי עקיבא.</w:t>
      </w:r>
    </w:p>
  </w:footnote>
  <w:footnote w:id="4">
    <w:p w:rsidR="00F867EF" w:rsidRDefault="00F867EF" w:rsidP="00F867EF">
      <w:pPr>
        <w:pStyle w:val="a3"/>
        <w:rPr>
          <w:rFonts w:hint="cs"/>
        </w:rPr>
      </w:pPr>
      <w:r>
        <w:rPr>
          <w:rStyle w:val="a5"/>
        </w:rPr>
        <w:footnoteRef/>
      </w:r>
      <w:r>
        <w:rPr>
          <w:rtl/>
        </w:rPr>
        <w:t xml:space="preserve"> </w:t>
      </w:r>
      <w:r>
        <w:rPr>
          <w:rFonts w:hint="cs"/>
          <w:rtl/>
        </w:rPr>
        <w:t>אע"ג דאונן אסור בקדשים, פרה נחשבת בדק הבית ולא קרבן.</w:t>
      </w:r>
    </w:p>
  </w:footnote>
  <w:footnote w:id="5">
    <w:p w:rsidR="00F867EF" w:rsidRDefault="00F867EF" w:rsidP="00F867EF">
      <w:pPr>
        <w:pStyle w:val="a3"/>
        <w:rPr>
          <w:rFonts w:hint="cs"/>
        </w:rPr>
      </w:pPr>
      <w:r>
        <w:rPr>
          <w:rStyle w:val="a5"/>
        </w:rPr>
        <w:footnoteRef/>
      </w:r>
      <w:r>
        <w:rPr>
          <w:rtl/>
        </w:rPr>
        <w:t xml:space="preserve"> </w:t>
      </w:r>
      <w:r>
        <w:rPr>
          <w:rFonts w:hint="cs"/>
          <w:rtl/>
        </w:rPr>
        <w:t>והיינו טמא שאי"צ כפרה. אבל מחוסר כפרה פסול. וזה דלא כתרומה דהערב שמש מותר בה אף במחוס"כ.</w:t>
      </w:r>
    </w:p>
  </w:footnote>
  <w:footnote w:id="6">
    <w:p w:rsidR="00F867EF" w:rsidRDefault="00F867EF" w:rsidP="00F867EF">
      <w:pPr>
        <w:pStyle w:val="a3"/>
        <w:rPr>
          <w:rFonts w:hint="cs"/>
          <w:rtl/>
        </w:rPr>
      </w:pPr>
      <w:r>
        <w:rPr>
          <w:rStyle w:val="a5"/>
        </w:rPr>
        <w:footnoteRef/>
      </w:r>
      <w:r>
        <w:rPr>
          <w:rtl/>
        </w:rPr>
        <w:t xml:space="preserve"> </w:t>
      </w:r>
      <w:r>
        <w:rPr>
          <w:rFonts w:hint="cs"/>
          <w:rtl/>
        </w:rPr>
        <w:t>לברייתא דמוקמינן לה כר"ע, אבל לרבי יוסף הבבלי פסולה במחוס"כ.</w:t>
      </w:r>
    </w:p>
  </w:footnote>
  <w:footnote w:id="7">
    <w:p w:rsidR="00F867EF" w:rsidRDefault="00F867EF" w:rsidP="00F867EF">
      <w:pPr>
        <w:pStyle w:val="a3"/>
        <w:rPr>
          <w:rFonts w:hint="cs"/>
        </w:rPr>
      </w:pPr>
      <w:r>
        <w:rPr>
          <w:rStyle w:val="a5"/>
        </w:rPr>
        <w:footnoteRef/>
      </w:r>
      <w:r>
        <w:rPr>
          <w:rtl/>
        </w:rPr>
        <w:t xml:space="preserve"> </w:t>
      </w:r>
      <w:r>
        <w:rPr>
          <w:rFonts w:hint="cs"/>
          <w:rtl/>
        </w:rPr>
        <w:t>את הברייתא שלא מנתה יש להעמיד כר"ע דלדידיה ודאי אסור. ולפי האמת דס"ל לר"ש ור' יצחק דאסור, א"ש אף לדידן. ואגב. תנא זה מנה רק את אלו שאסורים בא' מהשלושה ומותרים בשנים ולא להיפך, ולכן לר"ע (ולמסקנה לכו"ע) לא מנה ערל אסור בתרומה ובמעשר ומותר בפרה. ודוק.</w:t>
      </w:r>
    </w:p>
  </w:footnote>
  <w:footnote w:id="8">
    <w:p w:rsidR="00F867EF" w:rsidRDefault="00F867EF" w:rsidP="00F867EF">
      <w:pPr>
        <w:pStyle w:val="a3"/>
        <w:rPr>
          <w:rFonts w:hint="cs"/>
        </w:rPr>
      </w:pPr>
      <w:r>
        <w:rPr>
          <w:rStyle w:val="a5"/>
        </w:rPr>
        <w:footnoteRef/>
      </w:r>
      <w:r>
        <w:rPr>
          <w:rtl/>
        </w:rPr>
        <w:t xml:space="preserve"> </w:t>
      </w:r>
      <w:r>
        <w:rPr>
          <w:rFonts w:hint="cs"/>
          <w:rtl/>
        </w:rPr>
        <w:t>כן הוא לגירסת רש"י ופירושו, ועי' תוס', והגהות הגר"א.</w:t>
      </w:r>
    </w:p>
  </w:footnote>
  <w:footnote w:id="9">
    <w:p w:rsidR="00F867EF" w:rsidRDefault="00F867EF" w:rsidP="00F867EF">
      <w:pPr>
        <w:pStyle w:val="a3"/>
        <w:rPr>
          <w:rFonts w:hint="cs"/>
        </w:rPr>
      </w:pPr>
      <w:r>
        <w:rPr>
          <w:rStyle w:val="a5"/>
        </w:rPr>
        <w:footnoteRef/>
      </w:r>
      <w:r>
        <w:rPr>
          <w:rtl/>
        </w:rPr>
        <w:t xml:space="preserve"> </w:t>
      </w:r>
      <w:r>
        <w:rPr>
          <w:rFonts w:hint="cs"/>
          <w:rtl/>
        </w:rPr>
        <w:t>לתוס' היינו מגופיה הנזכר.</w:t>
      </w:r>
    </w:p>
  </w:footnote>
  <w:footnote w:id="10">
    <w:p w:rsidR="00F867EF" w:rsidRDefault="00F867EF" w:rsidP="00F867EF">
      <w:pPr>
        <w:pStyle w:val="a3"/>
        <w:rPr>
          <w:rFonts w:hint="cs"/>
        </w:rPr>
      </w:pPr>
      <w:r>
        <w:rPr>
          <w:rStyle w:val="a5"/>
        </w:rPr>
        <w:footnoteRef/>
      </w:r>
      <w:r>
        <w:rPr>
          <w:rtl/>
        </w:rPr>
        <w:t xml:space="preserve"> </w:t>
      </w:r>
      <w:r>
        <w:rPr>
          <w:rFonts w:hint="cs"/>
          <w:rtl/>
        </w:rPr>
        <w:t xml:space="preserve">בסוגיין מובא מ"ד דאין לוקין משום לאו הניתק לעשה ובמק"א יש עוד שיטות בזה. </w:t>
      </w:r>
    </w:p>
  </w:footnote>
  <w:footnote w:id="11">
    <w:p w:rsidR="00F867EF" w:rsidRDefault="00F867EF" w:rsidP="00F867EF">
      <w:pPr>
        <w:pStyle w:val="a3"/>
        <w:rPr>
          <w:rFonts w:hint="cs"/>
        </w:rPr>
      </w:pPr>
      <w:r>
        <w:rPr>
          <w:rStyle w:val="a5"/>
        </w:rPr>
        <w:footnoteRef/>
      </w:r>
      <w:r>
        <w:rPr>
          <w:rtl/>
        </w:rPr>
        <w:t xml:space="preserve"> </w:t>
      </w:r>
      <w:r>
        <w:rPr>
          <w:rFonts w:hint="cs"/>
          <w:rtl/>
        </w:rPr>
        <w:t>ואף דסיכה כשתיה, ואסור לשתות בטומאה.</w:t>
      </w:r>
    </w:p>
  </w:footnote>
  <w:footnote w:id="12">
    <w:p w:rsidR="00F867EF" w:rsidRDefault="00F867EF" w:rsidP="00F867EF">
      <w:pPr>
        <w:pStyle w:val="a3"/>
        <w:rPr>
          <w:rFonts w:hint="cs"/>
          <w:rtl/>
        </w:rPr>
      </w:pPr>
      <w:r>
        <w:rPr>
          <w:rStyle w:val="a5"/>
        </w:rPr>
        <w:footnoteRef/>
      </w:r>
      <w:r>
        <w:rPr>
          <w:rtl/>
        </w:rPr>
        <w:t xml:space="preserve"> </w:t>
      </w:r>
      <w:r>
        <w:rPr>
          <w:rFonts w:hint="cs"/>
          <w:rtl/>
        </w:rPr>
        <w:t>ואין לוקחין ממנו ארון ותכריכים למת, ולא בגד לחי.</w:t>
      </w:r>
    </w:p>
  </w:footnote>
  <w:footnote w:id="13">
    <w:p w:rsidR="00F867EF" w:rsidRDefault="00F867EF" w:rsidP="00F867EF">
      <w:pPr>
        <w:pStyle w:val="a3"/>
        <w:rPr>
          <w:rFonts w:hint="cs"/>
          <w:rtl/>
        </w:rPr>
      </w:pPr>
      <w:r>
        <w:rPr>
          <w:rStyle w:val="a5"/>
        </w:rPr>
        <w:footnoteRef/>
      </w:r>
      <w:r>
        <w:rPr>
          <w:rtl/>
        </w:rPr>
        <w:t xml:space="preserve"> </w:t>
      </w:r>
      <w:r>
        <w:rPr>
          <w:rFonts w:hint="cs"/>
          <w:rtl/>
        </w:rPr>
        <w:t>בת כהן שנישאת לישראל ומת בעלה ואין לה זרע ממנו.</w:t>
      </w:r>
    </w:p>
  </w:footnote>
  <w:footnote w:id="14">
    <w:p w:rsidR="00F867EF" w:rsidRDefault="00F867EF" w:rsidP="00F867EF">
      <w:pPr>
        <w:pStyle w:val="a3"/>
        <w:rPr>
          <w:rFonts w:hint="cs"/>
          <w:rtl/>
        </w:rPr>
      </w:pPr>
      <w:r>
        <w:rPr>
          <w:rStyle w:val="a5"/>
        </w:rPr>
        <w:footnoteRef/>
      </w:r>
      <w:r>
        <w:rPr>
          <w:rtl/>
        </w:rPr>
        <w:t xml:space="preserve"> </w:t>
      </w:r>
      <w:r>
        <w:rPr>
          <w:rFonts w:hint="cs"/>
          <w:rtl/>
        </w:rPr>
        <w:t>אבל לטומאה שוה לבעל ג' ראיות.</w:t>
      </w:r>
    </w:p>
  </w:footnote>
  <w:footnote w:id="15">
    <w:p w:rsidR="00F867EF" w:rsidRDefault="00F867EF" w:rsidP="00F867EF">
      <w:pPr>
        <w:pStyle w:val="a3"/>
        <w:rPr>
          <w:rFonts w:hint="cs"/>
          <w:rtl/>
        </w:rPr>
      </w:pPr>
      <w:r>
        <w:rPr>
          <w:rStyle w:val="a5"/>
        </w:rPr>
        <w:footnoteRef/>
      </w:r>
      <w:r>
        <w:rPr>
          <w:rtl/>
        </w:rPr>
        <w:t xml:space="preserve"> </w:t>
      </w:r>
      <w:r>
        <w:rPr>
          <w:rFonts w:hint="cs"/>
          <w:rtl/>
        </w:rPr>
        <w:t>וכן אין בו תגלחת וצפרים.</w:t>
      </w:r>
    </w:p>
  </w:footnote>
  <w:footnote w:id="16">
    <w:p w:rsidR="00F867EF" w:rsidRDefault="00F867EF" w:rsidP="00F867EF">
      <w:pPr>
        <w:pStyle w:val="a3"/>
        <w:rPr>
          <w:rFonts w:hint="cs"/>
          <w:rtl/>
        </w:rPr>
      </w:pPr>
      <w:r>
        <w:rPr>
          <w:rStyle w:val="a5"/>
        </w:rPr>
        <w:footnoteRef/>
      </w:r>
      <w:r>
        <w:rPr>
          <w:rtl/>
        </w:rPr>
        <w:t xml:space="preserve"> </w:t>
      </w:r>
      <w:r>
        <w:rPr>
          <w:rFonts w:hint="cs"/>
          <w:rtl/>
        </w:rPr>
        <w:t>לא פירטנו כאן את מחפ"ז והד"ס ט"ב וכדומה שנרמזו כאן היות שנזכרו לעיל כמה וכמה פעמים.</w:t>
      </w:r>
    </w:p>
  </w:footnote>
  <w:footnote w:id="17">
    <w:p w:rsidR="00F867EF" w:rsidRDefault="00F867EF" w:rsidP="00F867EF">
      <w:pPr>
        <w:pStyle w:val="a3"/>
        <w:rPr>
          <w:rFonts w:hint="cs"/>
        </w:rPr>
      </w:pPr>
      <w:r>
        <w:rPr>
          <w:rStyle w:val="a5"/>
        </w:rPr>
        <w:footnoteRef/>
      </w:r>
      <w:r>
        <w:rPr>
          <w:rtl/>
        </w:rPr>
        <w:t xml:space="preserve"> </w:t>
      </w:r>
      <w:r>
        <w:rPr>
          <w:rFonts w:hint="cs"/>
          <w:rtl/>
        </w:rPr>
        <w:t>בסוף ז' לזכר וי"ד לנקבה.</w:t>
      </w:r>
    </w:p>
  </w:footnote>
  <w:footnote w:id="18">
    <w:p w:rsidR="00F867EF" w:rsidRDefault="00F867EF" w:rsidP="00F867EF">
      <w:pPr>
        <w:pStyle w:val="a3"/>
        <w:rPr>
          <w:rFonts w:hint="cs"/>
        </w:rPr>
      </w:pPr>
      <w:r>
        <w:rPr>
          <w:rStyle w:val="a5"/>
        </w:rPr>
        <w:footnoteRef/>
      </w:r>
      <w:r>
        <w:rPr>
          <w:rtl/>
        </w:rPr>
        <w:t xml:space="preserve"> </w:t>
      </w:r>
      <w:r>
        <w:rPr>
          <w:rFonts w:hint="cs"/>
          <w:rtl/>
        </w:rPr>
        <w:t>אחר מ' לזכר ופ' לנקבה.</w:t>
      </w:r>
    </w:p>
  </w:footnote>
  <w:footnote w:id="19">
    <w:p w:rsidR="00F867EF" w:rsidRDefault="00F867EF" w:rsidP="00F867EF">
      <w:pPr>
        <w:pStyle w:val="a3"/>
        <w:rPr>
          <w:rFonts w:hint="cs"/>
          <w:rtl/>
        </w:rPr>
      </w:pPr>
      <w:r>
        <w:rPr>
          <w:rStyle w:val="a5"/>
        </w:rPr>
        <w:footnoteRef/>
      </w:r>
      <w:r>
        <w:rPr>
          <w:rtl/>
        </w:rPr>
        <w:t xml:space="preserve"> </w:t>
      </w:r>
      <w:r>
        <w:rPr>
          <w:rFonts w:hint="cs"/>
          <w:rtl/>
        </w:rPr>
        <w:t xml:space="preserve">ימי טומאה וטהרה וקרבנות. קדשים קלים שייך בה ולא תרומה (מלבד לר"ש. תוס').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F867EF"/>
    <w:rsid w:val="000F6771"/>
    <w:rsid w:val="00240196"/>
    <w:rsid w:val="005A5BAA"/>
    <w:rsid w:val="00AF7868"/>
    <w:rsid w:val="00CC6452"/>
    <w:rsid w:val="00F867EF"/>
    <w:rsid w:val="00FC19C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7E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867EF"/>
    <w:pPr>
      <w:spacing w:after="0" w:line="240" w:lineRule="auto"/>
    </w:pPr>
    <w:rPr>
      <w:sz w:val="20"/>
      <w:szCs w:val="20"/>
    </w:rPr>
  </w:style>
  <w:style w:type="character" w:customStyle="1" w:styleId="a4">
    <w:name w:val="טקסט הערת שוליים תו"/>
    <w:basedOn w:val="a0"/>
    <w:link w:val="a3"/>
    <w:uiPriority w:val="99"/>
    <w:semiHidden/>
    <w:rsid w:val="00F867EF"/>
    <w:rPr>
      <w:sz w:val="20"/>
      <w:szCs w:val="20"/>
    </w:rPr>
  </w:style>
  <w:style w:type="character" w:styleId="a5">
    <w:name w:val="footnote reference"/>
    <w:basedOn w:val="a0"/>
    <w:uiPriority w:val="99"/>
    <w:semiHidden/>
    <w:unhideWhenUsed/>
    <w:rsid w:val="00F867E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1155</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2014-12-18T12:34:00Z</dcterms:created>
  <dcterms:modified xsi:type="dcterms:W3CDTF">2014-12-18T12:35:00Z</dcterms:modified>
</cp:coreProperties>
</file>