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2E6" w:rsidRPr="00E12242" w:rsidRDefault="00CC62E6" w:rsidP="00CC62E6">
      <w:pPr>
        <w:rPr>
          <w:rFonts w:hint="cs"/>
          <w:b/>
          <w:bCs/>
          <w:i/>
          <w:iCs/>
          <w:rtl/>
        </w:rPr>
      </w:pPr>
      <w:r w:rsidRPr="00E12242">
        <w:rPr>
          <w:rFonts w:hint="cs"/>
          <w:b/>
          <w:bCs/>
          <w:i/>
          <w:iCs/>
          <w:rtl/>
        </w:rPr>
        <w:t>עז.</w:t>
      </w:r>
    </w:p>
    <w:p w:rsidR="00CC62E6" w:rsidRDefault="00CC62E6" w:rsidP="00CC62E6">
      <w:pPr>
        <w:rPr>
          <w:rFonts w:hint="cs"/>
          <w:rtl/>
        </w:rPr>
      </w:pPr>
      <w:r w:rsidRPr="00E12242">
        <w:rPr>
          <w:rFonts w:hint="cs"/>
          <w:b/>
          <w:bCs/>
          <w:rtl/>
        </w:rPr>
        <w:t>ת"ח שמורה הלכה ובא</w:t>
      </w:r>
      <w:r>
        <w:rPr>
          <w:rFonts w:hint="cs"/>
          <w:rtl/>
        </w:rPr>
        <w:t xml:space="preserve"> </w:t>
      </w:r>
      <w:r>
        <w:rPr>
          <w:rtl/>
        </w:rPr>
        <w:t>–</w:t>
      </w:r>
      <w:r>
        <w:rPr>
          <w:rFonts w:hint="cs"/>
          <w:rtl/>
        </w:rPr>
        <w:t xml:space="preserve"> אם אמרה לתלמידיו קודם מעשה, שומעין לו.</w:t>
      </w:r>
      <w:r>
        <w:rPr>
          <w:rStyle w:val="a5"/>
          <w:rtl/>
        </w:rPr>
        <w:footnoteReference w:id="1"/>
      </w:r>
      <w:r>
        <w:rPr>
          <w:rtl/>
        </w:rPr>
        <w:br/>
      </w:r>
      <w:r>
        <w:rPr>
          <w:rFonts w:hint="cs"/>
          <w:rtl/>
        </w:rPr>
        <w:t>ואם אומרה בחיי רבו בשמו, שומעין לו אף אם לא אמרה קודם.</w:t>
      </w:r>
      <w:r>
        <w:rPr>
          <w:rStyle w:val="a5"/>
        </w:rPr>
        <w:footnoteReference w:id="2"/>
      </w:r>
    </w:p>
    <w:p w:rsidR="00CC62E6" w:rsidRDefault="00CC62E6" w:rsidP="00CC62E6">
      <w:pPr>
        <w:rPr>
          <w:rFonts w:hint="cs"/>
          <w:rtl/>
        </w:rPr>
      </w:pPr>
      <w:r w:rsidRPr="00E12242">
        <w:rPr>
          <w:rFonts w:hint="cs"/>
          <w:b/>
          <w:bCs/>
          <w:rtl/>
        </w:rPr>
        <w:t>גיורת לכהן</w:t>
      </w:r>
      <w:r>
        <w:rPr>
          <w:rFonts w:hint="cs"/>
          <w:rtl/>
        </w:rPr>
        <w:t xml:space="preserve"> </w:t>
      </w:r>
      <w:r>
        <w:rPr>
          <w:rtl/>
        </w:rPr>
        <w:t>–</w:t>
      </w:r>
      <w:r>
        <w:rPr>
          <w:rFonts w:hint="cs"/>
          <w:rtl/>
        </w:rPr>
        <w:t xml:space="preserve"> לר"י אסורה אף שרק אביה גר, וקי"ל כר' יוסי דמותרת אף בת גר וגיורת.</w:t>
      </w:r>
      <w:r>
        <w:rPr>
          <w:rFonts w:hint="cs"/>
          <w:rtl/>
        </w:rPr>
        <w:br/>
      </w:r>
      <w:r w:rsidRPr="00E12242">
        <w:rPr>
          <w:rFonts w:hint="cs"/>
          <w:b/>
          <w:bCs/>
          <w:rtl/>
        </w:rPr>
        <w:t>בת גר עמוני ועמונית</w:t>
      </w:r>
      <w:r>
        <w:rPr>
          <w:rFonts w:hint="cs"/>
          <w:rtl/>
        </w:rPr>
        <w:t xml:space="preserve"> </w:t>
      </w:r>
      <w:r>
        <w:rPr>
          <w:rtl/>
        </w:rPr>
        <w:t>–</w:t>
      </w:r>
      <w:r>
        <w:rPr>
          <w:rFonts w:hint="cs"/>
          <w:rtl/>
        </w:rPr>
        <w:t xml:space="preserve"> מותרת לכהן.</w:t>
      </w:r>
      <w:r>
        <w:rPr>
          <w:rStyle w:val="a5"/>
          <w:rtl/>
        </w:rPr>
        <w:footnoteReference w:id="3"/>
      </w:r>
      <w:r>
        <w:rPr>
          <w:rFonts w:hint="cs"/>
          <w:rtl/>
        </w:rPr>
        <w:br/>
      </w:r>
      <w:r w:rsidRPr="00E12242">
        <w:rPr>
          <w:rFonts w:hint="cs"/>
          <w:b/>
          <w:bCs/>
          <w:rtl/>
        </w:rPr>
        <w:t>בת גר עמוני ואמה ישראלית</w:t>
      </w:r>
      <w:r>
        <w:rPr>
          <w:rFonts w:hint="cs"/>
          <w:rtl/>
        </w:rPr>
        <w:t xml:space="preserve"> </w:t>
      </w:r>
      <w:r>
        <w:rPr>
          <w:rtl/>
        </w:rPr>
        <w:t>–</w:t>
      </w:r>
      <w:r>
        <w:rPr>
          <w:rFonts w:hint="cs"/>
          <w:rtl/>
        </w:rPr>
        <w:t xml:space="preserve"> לר"ל (וברייתא דר' זכאי) אסורה, לר' יוחנן מותרת.</w:t>
      </w:r>
      <w:r>
        <w:rPr>
          <w:rFonts w:hint="cs"/>
          <w:rtl/>
        </w:rPr>
        <w:br/>
      </w:r>
      <w:r w:rsidRPr="00E12242">
        <w:rPr>
          <w:rFonts w:hint="cs"/>
          <w:b/>
          <w:bCs/>
          <w:rtl/>
        </w:rPr>
        <w:t>בת מצרי שני שנשא מצרית שניה</w:t>
      </w:r>
      <w:r>
        <w:rPr>
          <w:rFonts w:hint="cs"/>
          <w:rtl/>
        </w:rPr>
        <w:t xml:space="preserve"> </w:t>
      </w:r>
      <w:r>
        <w:rPr>
          <w:rtl/>
        </w:rPr>
        <w:t>–</w:t>
      </w:r>
      <w:r>
        <w:rPr>
          <w:rFonts w:hint="cs"/>
          <w:rtl/>
        </w:rPr>
        <w:t xml:space="preserve"> מותרת לכהן.</w:t>
      </w:r>
      <w:r>
        <w:rPr>
          <w:rStyle w:val="a5"/>
          <w:rtl/>
        </w:rPr>
        <w:footnoteReference w:id="4"/>
      </w:r>
      <w:r>
        <w:rPr>
          <w:rtl/>
        </w:rPr>
        <w:br/>
      </w:r>
      <w:r w:rsidRPr="00E12242">
        <w:rPr>
          <w:rFonts w:hint="cs"/>
          <w:b/>
          <w:bCs/>
          <w:rtl/>
        </w:rPr>
        <w:t>בת מצרי שני</w:t>
      </w:r>
      <w:r w:rsidRPr="00E12242">
        <w:rPr>
          <w:rStyle w:val="a5"/>
          <w:b/>
          <w:bCs/>
          <w:rtl/>
        </w:rPr>
        <w:footnoteReference w:id="5"/>
      </w:r>
      <w:r w:rsidRPr="00E12242">
        <w:rPr>
          <w:rFonts w:hint="cs"/>
          <w:b/>
          <w:bCs/>
          <w:rtl/>
        </w:rPr>
        <w:t xml:space="preserve"> שאמה ישראלית</w:t>
      </w:r>
      <w:r>
        <w:rPr>
          <w:rFonts w:hint="cs"/>
          <w:rtl/>
        </w:rPr>
        <w:t xml:space="preserve"> </w:t>
      </w:r>
      <w:r>
        <w:rPr>
          <w:rtl/>
        </w:rPr>
        <w:t>–</w:t>
      </w:r>
      <w:r>
        <w:rPr>
          <w:rFonts w:hint="cs"/>
          <w:rtl/>
        </w:rPr>
        <w:t xml:space="preserve"> לר"ל פסולה לכהן, לרבי יוחנן כשרה.</w:t>
      </w:r>
      <w:r>
        <w:rPr>
          <w:rFonts w:hint="cs"/>
          <w:rtl/>
        </w:rPr>
        <w:br/>
      </w:r>
      <w:r w:rsidRPr="00E12242">
        <w:rPr>
          <w:rFonts w:hint="cs"/>
          <w:b/>
          <w:bCs/>
          <w:rtl/>
        </w:rPr>
        <w:t>בת חלל</w:t>
      </w:r>
      <w:r>
        <w:rPr>
          <w:rFonts w:hint="cs"/>
          <w:rtl/>
        </w:rPr>
        <w:t xml:space="preserve"> </w:t>
      </w:r>
      <w:r>
        <w:rPr>
          <w:rtl/>
        </w:rPr>
        <w:t>–</w:t>
      </w:r>
      <w:r>
        <w:rPr>
          <w:rFonts w:hint="cs"/>
          <w:rtl/>
        </w:rPr>
        <w:t xml:space="preserve"> אסורה לכהן.</w:t>
      </w:r>
      <w:r>
        <w:rPr>
          <w:rStyle w:val="a5"/>
          <w:rtl/>
        </w:rPr>
        <w:footnoteReference w:id="6"/>
      </w:r>
      <w:r>
        <w:rPr>
          <w:rtl/>
        </w:rPr>
        <w:br/>
      </w:r>
      <w:r w:rsidRPr="00E12242">
        <w:rPr>
          <w:rFonts w:hint="cs"/>
          <w:b/>
          <w:bCs/>
          <w:rtl/>
        </w:rPr>
        <w:t>בת כהן גדול באלמנה</w:t>
      </w:r>
      <w:r>
        <w:rPr>
          <w:rFonts w:hint="cs"/>
          <w:rtl/>
        </w:rPr>
        <w:t xml:space="preserve"> </w:t>
      </w:r>
      <w:r>
        <w:rPr>
          <w:rtl/>
        </w:rPr>
        <w:t>–</w:t>
      </w:r>
      <w:r>
        <w:rPr>
          <w:rFonts w:hint="cs"/>
          <w:rtl/>
        </w:rPr>
        <w:t xml:space="preserve"> אסורה לכהן.</w:t>
      </w:r>
    </w:p>
    <w:p w:rsidR="00CC62E6" w:rsidRDefault="00CC62E6" w:rsidP="00CC62E6">
      <w:pPr>
        <w:rPr>
          <w:rFonts w:hint="cs"/>
          <w:rtl/>
        </w:rPr>
      </w:pPr>
      <w:r w:rsidRPr="00E12242">
        <w:rPr>
          <w:rFonts w:hint="cs"/>
          <w:b/>
          <w:bCs/>
          <w:rtl/>
        </w:rPr>
        <w:t>עריות</w:t>
      </w:r>
      <w:r>
        <w:rPr>
          <w:rFonts w:hint="cs"/>
          <w:rtl/>
        </w:rPr>
        <w:t xml:space="preserve"> </w:t>
      </w:r>
      <w:r>
        <w:rPr>
          <w:rtl/>
        </w:rPr>
        <w:t>–</w:t>
      </w:r>
      <w:r>
        <w:rPr>
          <w:rFonts w:hint="cs"/>
          <w:rtl/>
        </w:rPr>
        <w:t xml:space="preserve"> אסורות מה"ת רק שני דורות, ואין חילוק בדור שני בין זכרים לנקיבות.</w:t>
      </w:r>
      <w:r>
        <w:rPr>
          <w:rStyle w:val="a5"/>
          <w:rtl/>
        </w:rPr>
        <w:footnoteReference w:id="7"/>
      </w:r>
      <w:r>
        <w:rPr>
          <w:rFonts w:hint="cs"/>
          <w:rtl/>
        </w:rPr>
        <w:t xml:space="preserve"> והן בכרת.</w:t>
      </w:r>
      <w:r>
        <w:rPr>
          <w:rtl/>
        </w:rPr>
        <w:br/>
      </w:r>
      <w:r w:rsidRPr="00E12242">
        <w:rPr>
          <w:rFonts w:hint="cs"/>
          <w:b/>
          <w:bCs/>
          <w:rtl/>
        </w:rPr>
        <w:t>ממזר</w:t>
      </w:r>
      <w:r>
        <w:rPr>
          <w:rFonts w:hint="cs"/>
          <w:rtl/>
        </w:rPr>
        <w:t xml:space="preserve"> </w:t>
      </w:r>
      <w:r>
        <w:rPr>
          <w:rtl/>
        </w:rPr>
        <w:t>–</w:t>
      </w:r>
      <w:r>
        <w:rPr>
          <w:rFonts w:hint="cs"/>
          <w:rtl/>
        </w:rPr>
        <w:t xml:space="preserve"> אסור לעולם, והוי רק לאו. וגם ממזרת אסורה וכנ"ל.</w:t>
      </w:r>
      <w:r>
        <w:rPr>
          <w:rtl/>
        </w:rPr>
        <w:br/>
      </w:r>
      <w:r w:rsidRPr="00E12242">
        <w:rPr>
          <w:rFonts w:hint="cs"/>
          <w:b/>
          <w:bCs/>
          <w:rtl/>
        </w:rPr>
        <w:t>מצרי ואדומי</w:t>
      </w:r>
      <w:r>
        <w:rPr>
          <w:rFonts w:hint="cs"/>
          <w:rtl/>
        </w:rPr>
        <w:t xml:space="preserve"> </w:t>
      </w:r>
      <w:r>
        <w:rPr>
          <w:rtl/>
        </w:rPr>
        <w:t>–</w:t>
      </w:r>
      <w:r>
        <w:rPr>
          <w:rFonts w:hint="cs"/>
          <w:rtl/>
        </w:rPr>
        <w:t xml:space="preserve"> הוי רק חייבי עשה. ואסורין רק שני דורות וכנ"ל.</w:t>
      </w:r>
      <w:r>
        <w:rPr>
          <w:rStyle w:val="a5"/>
        </w:rPr>
        <w:footnoteReference w:id="8"/>
      </w:r>
      <w:r>
        <w:rPr>
          <w:rFonts w:hint="cs"/>
          <w:rtl/>
        </w:rPr>
        <w:br/>
      </w:r>
      <w:r w:rsidRPr="00E12242">
        <w:rPr>
          <w:rFonts w:hint="cs"/>
          <w:b/>
          <w:bCs/>
          <w:rtl/>
        </w:rPr>
        <w:t>כהן שבא על חייבי עשה</w:t>
      </w:r>
      <w:r>
        <w:rPr>
          <w:rStyle w:val="a5"/>
          <w:rtl/>
        </w:rPr>
        <w:footnoteReference w:id="9"/>
      </w:r>
      <w:r>
        <w:rPr>
          <w:rFonts w:hint="cs"/>
          <w:rtl/>
        </w:rPr>
        <w:t xml:space="preserve"> </w:t>
      </w:r>
      <w:r>
        <w:rPr>
          <w:rtl/>
        </w:rPr>
        <w:t>–</w:t>
      </w:r>
      <w:r>
        <w:rPr>
          <w:rFonts w:hint="cs"/>
          <w:rtl/>
        </w:rPr>
        <w:t xml:space="preserve"> לרבנן הלכה כראב"י דהבת חללה</w:t>
      </w:r>
      <w:r>
        <w:rPr>
          <w:rStyle w:val="a5"/>
          <w:rtl/>
        </w:rPr>
        <w:footnoteReference w:id="10"/>
      </w:r>
      <w:r>
        <w:rPr>
          <w:rFonts w:hint="cs"/>
          <w:rtl/>
        </w:rPr>
        <w:t>, לר"ש הלכה דאינה חללה.</w:t>
      </w:r>
    </w:p>
    <w:p w:rsidR="00CC62E6" w:rsidRDefault="00CC62E6" w:rsidP="00CC62E6">
      <w:r w:rsidRPr="00822E56">
        <w:rPr>
          <w:rFonts w:hint="cs"/>
          <w:b/>
          <w:bCs/>
          <w:rtl/>
        </w:rPr>
        <w:t>קהל גרים</w:t>
      </w:r>
      <w:r>
        <w:rPr>
          <w:rFonts w:hint="cs"/>
          <w:rtl/>
        </w:rPr>
        <w:t xml:space="preserve"> </w:t>
      </w:r>
      <w:r>
        <w:rPr>
          <w:rtl/>
        </w:rPr>
        <w:t>–</w:t>
      </w:r>
      <w:r>
        <w:rPr>
          <w:rFonts w:hint="cs"/>
          <w:rtl/>
        </w:rPr>
        <w:t xml:space="preserve"> לר' יהודה איקרי קהל</w:t>
      </w:r>
      <w:r>
        <w:rPr>
          <w:rStyle w:val="a5"/>
          <w:rtl/>
        </w:rPr>
        <w:footnoteReference w:id="11"/>
      </w:r>
      <w:r>
        <w:rPr>
          <w:rFonts w:hint="cs"/>
          <w:rtl/>
        </w:rPr>
        <w:t>, לר' יוסי לא איקרי קהל.</w:t>
      </w:r>
      <w:r>
        <w:rPr>
          <w:rFonts w:hint="cs"/>
          <w:rtl/>
        </w:rPr>
        <w:br/>
        <w:t>מאן דס"ל איקרי קהל, מוכרח לסבור דנקבות דמצרי ואדומי אסורות.</w:t>
      </w:r>
      <w:r>
        <w:rPr>
          <w:rtl/>
        </w:rPr>
        <w:br/>
      </w:r>
      <w:r w:rsidRPr="00822E56">
        <w:rPr>
          <w:rFonts w:hint="cs"/>
          <w:b/>
          <w:bCs/>
          <w:rtl/>
        </w:rPr>
        <w:t>מצרי ראשון ושני</w:t>
      </w:r>
      <w:r>
        <w:rPr>
          <w:rFonts w:hint="cs"/>
          <w:rtl/>
        </w:rPr>
        <w:t xml:space="preserve"> </w:t>
      </w:r>
      <w:r>
        <w:rPr>
          <w:rtl/>
        </w:rPr>
        <w:t>–</w:t>
      </w:r>
      <w:r>
        <w:rPr>
          <w:rFonts w:hint="cs"/>
          <w:rtl/>
        </w:rPr>
        <w:t xml:space="preserve"> מותר לכו"ע במצרית ראשונה ושניה.</w:t>
      </w:r>
      <w:r>
        <w:rPr>
          <w:rStyle w:val="a5"/>
        </w:rPr>
        <w:footnoteReference w:id="12"/>
      </w:r>
    </w:p>
    <w:p w:rsidR="00CC6452" w:rsidRPr="00CC62E6" w:rsidRDefault="00CC6452"/>
    <w:sectPr w:rsidR="00CC6452" w:rsidRPr="00CC62E6" w:rsidSect="005A5BAA">
      <w:pgSz w:w="11906" w:h="16838"/>
      <w:pgMar w:top="1440" w:right="1800" w:bottom="1440" w:left="180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662" w:rsidRDefault="00336662" w:rsidP="00CC62E6">
      <w:pPr>
        <w:spacing w:after="0" w:line="240" w:lineRule="auto"/>
      </w:pPr>
      <w:r>
        <w:separator/>
      </w:r>
    </w:p>
  </w:endnote>
  <w:endnote w:type="continuationSeparator" w:id="0">
    <w:p w:rsidR="00336662" w:rsidRDefault="00336662" w:rsidP="00CC6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662" w:rsidRDefault="00336662" w:rsidP="00CC62E6">
      <w:pPr>
        <w:spacing w:after="0" w:line="240" w:lineRule="auto"/>
      </w:pPr>
      <w:r>
        <w:separator/>
      </w:r>
    </w:p>
  </w:footnote>
  <w:footnote w:type="continuationSeparator" w:id="0">
    <w:p w:rsidR="00336662" w:rsidRDefault="00336662" w:rsidP="00CC62E6">
      <w:pPr>
        <w:spacing w:after="0" w:line="240" w:lineRule="auto"/>
      </w:pPr>
      <w:r>
        <w:continuationSeparator/>
      </w:r>
    </w:p>
  </w:footnote>
  <w:footnote w:id="1">
    <w:p w:rsidR="00CC62E6" w:rsidRDefault="00CC62E6" w:rsidP="00CC62E6">
      <w:pPr>
        <w:pStyle w:val="a3"/>
        <w:rPr>
          <w:rFonts w:hint="cs"/>
          <w:rtl/>
        </w:rPr>
      </w:pPr>
      <w:r>
        <w:rPr>
          <w:rStyle w:val="a5"/>
        </w:rPr>
        <w:footnoteRef/>
      </w:r>
      <w:r>
        <w:rPr>
          <w:rtl/>
        </w:rPr>
        <w:t xml:space="preserve"> </w:t>
      </w:r>
      <w:r>
        <w:rPr>
          <w:rFonts w:hint="cs"/>
          <w:rtl/>
        </w:rPr>
        <w:t>ועי' תוס' דהא דבעינן שאמרה קודם, היינו רק באופן שיש לו נגיעה בהוראה זו.</w:t>
      </w:r>
    </w:p>
  </w:footnote>
  <w:footnote w:id="2">
    <w:p w:rsidR="00CC62E6" w:rsidRDefault="00CC62E6" w:rsidP="00CC62E6">
      <w:pPr>
        <w:pStyle w:val="a3"/>
        <w:rPr>
          <w:rFonts w:hint="cs"/>
          <w:rtl/>
        </w:rPr>
      </w:pPr>
      <w:r>
        <w:rPr>
          <w:rStyle w:val="a5"/>
        </w:rPr>
        <w:footnoteRef/>
      </w:r>
      <w:r>
        <w:rPr>
          <w:rtl/>
        </w:rPr>
        <w:t xml:space="preserve"> </w:t>
      </w:r>
      <w:r>
        <w:rPr>
          <w:rFonts w:hint="cs"/>
          <w:rtl/>
        </w:rPr>
        <w:t>דמילתא דעבידא לאיגלויי, לא משקרי בה אינשי.</w:t>
      </w:r>
    </w:p>
  </w:footnote>
  <w:footnote w:id="3">
    <w:p w:rsidR="00CC62E6" w:rsidRDefault="00CC62E6" w:rsidP="00CC62E6">
      <w:pPr>
        <w:pStyle w:val="a3"/>
        <w:rPr>
          <w:rFonts w:hint="cs"/>
        </w:rPr>
      </w:pPr>
      <w:r>
        <w:rPr>
          <w:rStyle w:val="a5"/>
        </w:rPr>
        <w:footnoteRef/>
      </w:r>
      <w:r>
        <w:rPr>
          <w:rtl/>
        </w:rPr>
        <w:t xml:space="preserve"> </w:t>
      </w:r>
      <w:r>
        <w:rPr>
          <w:rFonts w:hint="cs"/>
          <w:rtl/>
        </w:rPr>
        <w:t>והיינו למאי דקי"ל כר' יוסי, דלר' יהודה אסורה אף כשרק אביה גר.</w:t>
      </w:r>
    </w:p>
  </w:footnote>
  <w:footnote w:id="4">
    <w:p w:rsidR="00CC62E6" w:rsidRDefault="00CC62E6" w:rsidP="00CC62E6">
      <w:pPr>
        <w:pStyle w:val="a3"/>
      </w:pPr>
      <w:r>
        <w:rPr>
          <w:rStyle w:val="a5"/>
        </w:rPr>
        <w:footnoteRef/>
      </w:r>
      <w:r>
        <w:rPr>
          <w:rtl/>
        </w:rPr>
        <w:t xml:space="preserve"> </w:t>
      </w:r>
      <w:r>
        <w:rPr>
          <w:rFonts w:hint="cs"/>
          <w:rtl/>
        </w:rPr>
        <w:t>כן מבואר בעמ' ב' שמזה מוכיחים ללישנא בתרא דריו"ח.</w:t>
      </w:r>
    </w:p>
  </w:footnote>
  <w:footnote w:id="5">
    <w:p w:rsidR="00CC62E6" w:rsidRDefault="00CC62E6" w:rsidP="00CC62E6">
      <w:pPr>
        <w:pStyle w:val="a3"/>
        <w:rPr>
          <w:rFonts w:hint="cs"/>
          <w:rtl/>
        </w:rPr>
      </w:pPr>
      <w:r>
        <w:rPr>
          <w:rStyle w:val="a5"/>
        </w:rPr>
        <w:footnoteRef/>
      </w:r>
      <w:r>
        <w:rPr>
          <w:rtl/>
        </w:rPr>
        <w:t xml:space="preserve"> </w:t>
      </w:r>
      <w:r>
        <w:rPr>
          <w:rFonts w:hint="cs"/>
          <w:rtl/>
        </w:rPr>
        <w:t>בת מצרי ראשון קי"ל דאסורה אף לישראל. ולא משכח"ל הנידון לכהן רק בבת מצרי שני.</w:t>
      </w:r>
    </w:p>
  </w:footnote>
  <w:footnote w:id="6">
    <w:p w:rsidR="00CC62E6" w:rsidRDefault="00CC62E6" w:rsidP="00CC62E6">
      <w:pPr>
        <w:pStyle w:val="a3"/>
        <w:rPr>
          <w:rFonts w:hint="cs"/>
          <w:rtl/>
        </w:rPr>
      </w:pPr>
      <w:r>
        <w:rPr>
          <w:rStyle w:val="a5"/>
        </w:rPr>
        <w:footnoteRef/>
      </w:r>
      <w:r>
        <w:rPr>
          <w:rtl/>
        </w:rPr>
        <w:t xml:space="preserve"> </w:t>
      </w:r>
      <w:r>
        <w:rPr>
          <w:rFonts w:hint="cs"/>
          <w:rtl/>
        </w:rPr>
        <w:t>אף דחלל מותר בישראלית.</w:t>
      </w:r>
    </w:p>
  </w:footnote>
  <w:footnote w:id="7">
    <w:p w:rsidR="00CC62E6" w:rsidRDefault="00CC62E6" w:rsidP="00CC62E6">
      <w:pPr>
        <w:pStyle w:val="a3"/>
        <w:rPr>
          <w:rFonts w:hint="cs"/>
        </w:rPr>
      </w:pPr>
      <w:r>
        <w:rPr>
          <w:rStyle w:val="a5"/>
        </w:rPr>
        <w:footnoteRef/>
      </w:r>
      <w:r>
        <w:rPr>
          <w:rtl/>
        </w:rPr>
        <w:t xml:space="preserve"> </w:t>
      </w:r>
      <w:r>
        <w:rPr>
          <w:rFonts w:hint="cs"/>
          <w:rtl/>
        </w:rPr>
        <w:t>כלומר בתו אסורה, ודור שני שאין חילוק, היינו דגם בת בנו וגם בת בתו אסורות לו.</w:t>
      </w:r>
    </w:p>
  </w:footnote>
  <w:footnote w:id="8">
    <w:p w:rsidR="00CC62E6" w:rsidRDefault="00CC62E6" w:rsidP="00CC62E6">
      <w:pPr>
        <w:pStyle w:val="a3"/>
        <w:rPr>
          <w:rFonts w:hint="cs"/>
          <w:rtl/>
        </w:rPr>
      </w:pPr>
      <w:r>
        <w:rPr>
          <w:rStyle w:val="a5"/>
        </w:rPr>
        <w:footnoteRef/>
      </w:r>
      <w:r>
        <w:rPr>
          <w:rtl/>
        </w:rPr>
        <w:t xml:space="preserve"> </w:t>
      </w:r>
      <w:r>
        <w:rPr>
          <w:rFonts w:hint="cs"/>
          <w:rtl/>
        </w:rPr>
        <w:t>וקי"ל דאף הנקבות.</w:t>
      </w:r>
    </w:p>
  </w:footnote>
  <w:footnote w:id="9">
    <w:p w:rsidR="00CC62E6" w:rsidRDefault="00CC62E6" w:rsidP="00CC62E6">
      <w:pPr>
        <w:pStyle w:val="a3"/>
        <w:rPr>
          <w:rFonts w:hint="cs"/>
        </w:rPr>
      </w:pPr>
      <w:r>
        <w:rPr>
          <w:rStyle w:val="a5"/>
        </w:rPr>
        <w:footnoteRef/>
      </w:r>
      <w:r>
        <w:rPr>
          <w:rtl/>
        </w:rPr>
        <w:t xml:space="preserve"> </w:t>
      </w:r>
      <w:r>
        <w:rPr>
          <w:rFonts w:hint="cs"/>
          <w:rtl/>
        </w:rPr>
        <w:t>כגון כה"ג באנוסה ומפותה, דקי"ל דאינה זונה (ודלא כר"א) והויא רק עשה דבתולה.</w:t>
      </w:r>
    </w:p>
  </w:footnote>
  <w:footnote w:id="10">
    <w:p w:rsidR="00CC62E6" w:rsidRDefault="00CC62E6" w:rsidP="00CC62E6">
      <w:pPr>
        <w:pStyle w:val="a3"/>
        <w:rPr>
          <w:rFonts w:hint="cs"/>
          <w:rtl/>
        </w:rPr>
      </w:pPr>
      <w:r>
        <w:rPr>
          <w:rStyle w:val="a5"/>
        </w:rPr>
        <w:footnoteRef/>
      </w:r>
      <w:r>
        <w:rPr>
          <w:rtl/>
        </w:rPr>
        <w:t xml:space="preserve"> </w:t>
      </w:r>
      <w:r>
        <w:rPr>
          <w:rFonts w:hint="cs"/>
          <w:rtl/>
        </w:rPr>
        <w:t>ועי' תוס' דיתכן דכהן הבא על הבת עובר רק בעשה.</w:t>
      </w:r>
    </w:p>
  </w:footnote>
  <w:footnote w:id="11">
    <w:p w:rsidR="00CC62E6" w:rsidRDefault="00CC62E6" w:rsidP="00CC62E6">
      <w:pPr>
        <w:pStyle w:val="a3"/>
        <w:rPr>
          <w:rFonts w:hint="cs"/>
        </w:rPr>
      </w:pPr>
      <w:r>
        <w:rPr>
          <w:rStyle w:val="a5"/>
        </w:rPr>
        <w:footnoteRef/>
      </w:r>
      <w:r>
        <w:rPr>
          <w:rtl/>
        </w:rPr>
        <w:t xml:space="preserve"> </w:t>
      </w:r>
      <w:r>
        <w:rPr>
          <w:rFonts w:hint="cs"/>
          <w:rtl/>
        </w:rPr>
        <w:t>וכל פסולי קהל, כגון מצרי ראשון ושני אסורים בהן.</w:t>
      </w:r>
    </w:p>
  </w:footnote>
  <w:footnote w:id="12">
    <w:p w:rsidR="00CC62E6" w:rsidRDefault="00CC62E6" w:rsidP="00CC62E6">
      <w:pPr>
        <w:pStyle w:val="a3"/>
        <w:rPr>
          <w:rFonts w:hint="cs"/>
          <w:rtl/>
        </w:rPr>
      </w:pPr>
      <w:r>
        <w:rPr>
          <w:rStyle w:val="a5"/>
        </w:rPr>
        <w:footnoteRef/>
      </w:r>
      <w:r>
        <w:rPr>
          <w:rtl/>
        </w:rPr>
        <w:t xml:space="preserve"> </w:t>
      </w:r>
      <w:r>
        <w:rPr>
          <w:rFonts w:hint="cs"/>
          <w:rtl/>
        </w:rPr>
        <w:t>לר' יהודה אף דשאר גרים איקרו קהל, מ"מ מותר בה משום דס"ל דאסורות הנקבות, ולכן לא הוי קהל, ולר' יוסי דלא איקרו קהל, מצי סבר דהנקבות מותרות ובכל זאת מצרי מותר בה, משום דאינה קהל וככל גיורת. אלא דקי"ל דאסורות וכנ"ל.</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CC62E6"/>
    <w:rsid w:val="00104099"/>
    <w:rsid w:val="00240196"/>
    <w:rsid w:val="00336662"/>
    <w:rsid w:val="005A5BAA"/>
    <w:rsid w:val="00AF7868"/>
    <w:rsid w:val="00CC62E6"/>
    <w:rsid w:val="00CC645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2E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C62E6"/>
    <w:pPr>
      <w:spacing w:after="0" w:line="240" w:lineRule="auto"/>
    </w:pPr>
    <w:rPr>
      <w:sz w:val="20"/>
      <w:szCs w:val="20"/>
    </w:rPr>
  </w:style>
  <w:style w:type="character" w:customStyle="1" w:styleId="a4">
    <w:name w:val="טקסט הערת שוליים תו"/>
    <w:basedOn w:val="a0"/>
    <w:link w:val="a3"/>
    <w:uiPriority w:val="99"/>
    <w:semiHidden/>
    <w:rsid w:val="00CC62E6"/>
    <w:rPr>
      <w:sz w:val="20"/>
      <w:szCs w:val="20"/>
    </w:rPr>
  </w:style>
  <w:style w:type="character" w:styleId="a5">
    <w:name w:val="footnote reference"/>
    <w:basedOn w:val="a0"/>
    <w:uiPriority w:val="99"/>
    <w:semiHidden/>
    <w:unhideWhenUsed/>
    <w:rsid w:val="00CC62E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762</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יעקב</dc:creator>
  <cp:lastModifiedBy>יעקב</cp:lastModifiedBy>
  <cp:revision>1</cp:revision>
  <dcterms:created xsi:type="dcterms:W3CDTF">2014-12-21T01:19:00Z</dcterms:created>
  <dcterms:modified xsi:type="dcterms:W3CDTF">2014-12-21T01:19:00Z</dcterms:modified>
</cp:coreProperties>
</file>