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06E" w:rsidRPr="003843F6" w:rsidRDefault="00D0106E" w:rsidP="00D0106E">
      <w:pPr>
        <w:rPr>
          <w:rFonts w:hint="cs"/>
          <w:b/>
          <w:bCs/>
          <w:i/>
          <w:iCs/>
          <w:rtl/>
        </w:rPr>
      </w:pPr>
      <w:r w:rsidRPr="003843F6">
        <w:rPr>
          <w:rFonts w:hint="cs"/>
          <w:b/>
          <w:bCs/>
          <w:i/>
          <w:iCs/>
          <w:rtl/>
        </w:rPr>
        <w:t>עח.</w:t>
      </w:r>
    </w:p>
    <w:p w:rsidR="00D0106E" w:rsidRDefault="00D0106E" w:rsidP="00D0106E">
      <w:pPr>
        <w:rPr>
          <w:rFonts w:hint="cs"/>
          <w:rtl/>
        </w:rPr>
      </w:pPr>
      <w:r w:rsidRPr="003843F6">
        <w:rPr>
          <w:rFonts w:hint="cs"/>
          <w:b/>
          <w:bCs/>
          <w:rtl/>
        </w:rPr>
        <w:t>מחזיר גרושתו משנשאת</w:t>
      </w:r>
      <w:r>
        <w:rPr>
          <w:rFonts w:hint="cs"/>
          <w:rtl/>
        </w:rPr>
        <w:t xml:space="preserve"> </w:t>
      </w:r>
      <w:r>
        <w:rPr>
          <w:rtl/>
        </w:rPr>
        <w:t>–</w:t>
      </w:r>
      <w:r>
        <w:rPr>
          <w:rFonts w:hint="cs"/>
          <w:rtl/>
        </w:rPr>
        <w:t xml:space="preserve"> עובר בלאו, ונקראת תועבה, אבל בניה כשרים.</w:t>
      </w:r>
    </w:p>
    <w:p w:rsidR="00D0106E" w:rsidRDefault="00D0106E" w:rsidP="00D0106E">
      <w:pPr>
        <w:rPr>
          <w:rFonts w:hint="cs"/>
          <w:rtl/>
        </w:rPr>
      </w:pPr>
      <w:r w:rsidRPr="003843F6">
        <w:rPr>
          <w:rFonts w:hint="cs"/>
          <w:b/>
          <w:bCs/>
          <w:rtl/>
        </w:rPr>
        <w:t>מצרי ואדומי</w:t>
      </w:r>
      <w:r>
        <w:rPr>
          <w:rFonts w:hint="cs"/>
          <w:rtl/>
        </w:rPr>
        <w:t xml:space="preserve"> </w:t>
      </w:r>
      <w:r>
        <w:rPr>
          <w:rtl/>
        </w:rPr>
        <w:t>–</w:t>
      </w:r>
      <w:r>
        <w:rPr>
          <w:rFonts w:hint="cs"/>
          <w:rtl/>
        </w:rPr>
        <w:t xml:space="preserve"> המתגייר הוא דור ראשון. כל בניו הם דור שני וכולם אסורים.</w:t>
      </w:r>
      <w:r>
        <w:rPr>
          <w:rStyle w:val="a5"/>
          <w:rtl/>
        </w:rPr>
        <w:footnoteReference w:id="1"/>
      </w:r>
      <w:r>
        <w:rPr>
          <w:rtl/>
        </w:rPr>
        <w:br/>
      </w:r>
      <w:r>
        <w:rPr>
          <w:rFonts w:hint="cs"/>
          <w:rtl/>
        </w:rPr>
        <w:t>בני בניו הם דור שלישי ומותרים.</w:t>
      </w:r>
      <w:r>
        <w:rPr>
          <w:rtl/>
        </w:rPr>
        <w:br/>
      </w:r>
      <w:r>
        <w:rPr>
          <w:rFonts w:hint="cs"/>
          <w:rtl/>
        </w:rPr>
        <w:t>אסורים לישראל עד סוף הדורות של הישראלים.</w:t>
      </w:r>
      <w:r>
        <w:rPr>
          <w:rStyle w:val="a5"/>
          <w:rtl/>
        </w:rPr>
        <w:footnoteReference w:id="2"/>
      </w:r>
      <w:r>
        <w:rPr>
          <w:rtl/>
        </w:rPr>
        <w:br/>
      </w:r>
      <w:r w:rsidRPr="003843F6">
        <w:rPr>
          <w:rFonts w:hint="cs"/>
          <w:b/>
          <w:bCs/>
          <w:rtl/>
        </w:rPr>
        <w:t>מצרי ראשון שנשא ישראלית או להפך</w:t>
      </w:r>
      <w:r>
        <w:rPr>
          <w:rFonts w:hint="cs"/>
          <w:rtl/>
        </w:rPr>
        <w:t xml:space="preserve"> </w:t>
      </w:r>
      <w:r>
        <w:rPr>
          <w:rtl/>
        </w:rPr>
        <w:t>–</w:t>
      </w:r>
      <w:r>
        <w:rPr>
          <w:rFonts w:hint="cs"/>
          <w:rtl/>
        </w:rPr>
        <w:t xml:space="preserve"> הולכים אחר המצרי, ובניו אסורים.</w:t>
      </w:r>
      <w:r>
        <w:rPr>
          <w:rStyle w:val="a5"/>
          <w:rtl/>
        </w:rPr>
        <w:footnoteReference w:id="3"/>
      </w:r>
      <w:r>
        <w:rPr>
          <w:rtl/>
        </w:rPr>
        <w:br/>
      </w:r>
      <w:r w:rsidRPr="003843F6">
        <w:rPr>
          <w:rFonts w:hint="cs"/>
          <w:b/>
          <w:bCs/>
          <w:rtl/>
        </w:rPr>
        <w:t>מצרית מעוברת שנתגיירה</w:t>
      </w:r>
      <w:r>
        <w:rPr>
          <w:rFonts w:hint="cs"/>
          <w:rtl/>
        </w:rPr>
        <w:t xml:space="preserve"> </w:t>
      </w:r>
      <w:r>
        <w:rPr>
          <w:rtl/>
        </w:rPr>
        <w:t>–</w:t>
      </w:r>
      <w:r>
        <w:rPr>
          <w:rFonts w:hint="cs"/>
          <w:rtl/>
        </w:rPr>
        <w:t xml:space="preserve"> בנה נחשב שני ובניו מותרין.</w:t>
      </w:r>
      <w:r>
        <w:rPr>
          <w:rtl/>
        </w:rPr>
        <w:br/>
      </w:r>
      <w:r w:rsidRPr="003843F6">
        <w:rPr>
          <w:rFonts w:hint="cs"/>
          <w:b/>
          <w:bCs/>
          <w:rtl/>
        </w:rPr>
        <w:t>ממזר שנשא ישראלית או להיפך</w:t>
      </w:r>
      <w:r>
        <w:rPr>
          <w:rFonts w:hint="cs"/>
          <w:rtl/>
        </w:rPr>
        <w:t xml:space="preserve"> </w:t>
      </w:r>
      <w:r>
        <w:rPr>
          <w:rtl/>
        </w:rPr>
        <w:t>–</w:t>
      </w:r>
      <w:r>
        <w:rPr>
          <w:rFonts w:hint="cs"/>
          <w:rtl/>
        </w:rPr>
        <w:t xml:space="preserve"> הולכים אחר הממזר וילדיהם אסורים.</w:t>
      </w:r>
    </w:p>
    <w:p w:rsidR="00D0106E" w:rsidRDefault="00D0106E" w:rsidP="00D0106E">
      <w:pPr>
        <w:rPr>
          <w:rFonts w:hint="cs"/>
          <w:rtl/>
        </w:rPr>
      </w:pPr>
      <w:r w:rsidRPr="003843F6">
        <w:rPr>
          <w:rFonts w:hint="cs"/>
          <w:b/>
          <w:bCs/>
          <w:rtl/>
        </w:rPr>
        <w:t>מצרי שני שנשא מצרית ראשונה</w:t>
      </w:r>
      <w:r>
        <w:rPr>
          <w:rFonts w:hint="cs"/>
          <w:rtl/>
        </w:rPr>
        <w:t xml:space="preserve"> </w:t>
      </w:r>
      <w:r>
        <w:rPr>
          <w:rtl/>
        </w:rPr>
        <w:t>–</w:t>
      </w:r>
      <w:r>
        <w:rPr>
          <w:rFonts w:hint="cs"/>
          <w:rtl/>
        </w:rPr>
        <w:t xml:space="preserve"> לל"ק דריו"ח הולכים אחר האב ובנה שלישי ומותר.</w:t>
      </w:r>
      <w:r>
        <w:rPr>
          <w:rtl/>
        </w:rPr>
        <w:br/>
      </w:r>
      <w:r>
        <w:rPr>
          <w:rFonts w:hint="cs"/>
          <w:rtl/>
        </w:rPr>
        <w:t>לל"ב דריו"ח אחר האם</w:t>
      </w:r>
      <w:r>
        <w:rPr>
          <w:rStyle w:val="a5"/>
          <w:rtl/>
        </w:rPr>
        <w:footnoteReference w:id="4"/>
      </w:r>
      <w:r>
        <w:rPr>
          <w:rFonts w:hint="cs"/>
          <w:rtl/>
        </w:rPr>
        <w:t xml:space="preserve"> ובנה מצרי שני ואסור.</w:t>
      </w:r>
      <w:r>
        <w:rPr>
          <w:rtl/>
        </w:rPr>
        <w:br/>
      </w:r>
      <w:r w:rsidRPr="003843F6">
        <w:rPr>
          <w:rFonts w:hint="cs"/>
          <w:b/>
          <w:bCs/>
          <w:rtl/>
        </w:rPr>
        <w:t>מצרי ראשון שנשא מצרית שניה</w:t>
      </w:r>
      <w:r>
        <w:rPr>
          <w:rFonts w:hint="cs"/>
          <w:rtl/>
        </w:rPr>
        <w:t xml:space="preserve"> </w:t>
      </w:r>
      <w:r>
        <w:rPr>
          <w:rtl/>
        </w:rPr>
        <w:t>–</w:t>
      </w:r>
      <w:r>
        <w:rPr>
          <w:rFonts w:hint="cs"/>
          <w:rtl/>
        </w:rPr>
        <w:t xml:space="preserve"> לל"ק דריו"ח הבן שני, לל"ב הבן שלישי.</w:t>
      </w:r>
      <w:r>
        <w:rPr>
          <w:rtl/>
        </w:rPr>
        <w:br/>
      </w:r>
      <w:r w:rsidRPr="003843F6">
        <w:rPr>
          <w:rFonts w:hint="cs"/>
          <w:b/>
          <w:bCs/>
          <w:rtl/>
        </w:rPr>
        <w:t>ממזר שנשא שפחה</w:t>
      </w:r>
      <w:r>
        <w:rPr>
          <w:rFonts w:hint="cs"/>
          <w:rtl/>
        </w:rPr>
        <w:t xml:space="preserve"> </w:t>
      </w:r>
      <w:r>
        <w:rPr>
          <w:rtl/>
        </w:rPr>
        <w:t>–</w:t>
      </w:r>
      <w:r>
        <w:rPr>
          <w:rFonts w:hint="cs"/>
          <w:rtl/>
        </w:rPr>
        <w:t xml:space="preserve"> לכו"ע אחר האם, והוי הבן עבד שאינו ממזר.</w:t>
      </w:r>
    </w:p>
    <w:p w:rsidR="00D0106E" w:rsidRDefault="00D0106E" w:rsidP="00D0106E">
      <w:pPr>
        <w:rPr>
          <w:rFonts w:hint="cs"/>
          <w:rtl/>
        </w:rPr>
      </w:pPr>
      <w:r w:rsidRPr="003843F6">
        <w:rPr>
          <w:rFonts w:hint="cs"/>
          <w:b/>
          <w:bCs/>
          <w:rtl/>
        </w:rPr>
        <w:t>הפריש שתי חטאות לאחריות</w:t>
      </w:r>
      <w:r>
        <w:rPr>
          <w:rFonts w:hint="cs"/>
          <w:rtl/>
        </w:rPr>
        <w:t xml:space="preserve"> </w:t>
      </w:r>
      <w:r>
        <w:rPr>
          <w:rtl/>
        </w:rPr>
        <w:t>–</w:t>
      </w:r>
      <w:r>
        <w:rPr>
          <w:rFonts w:hint="cs"/>
          <w:rtl/>
        </w:rPr>
        <w:t xml:space="preserve"> מתכפר באחת והשניה תרעה.</w:t>
      </w:r>
      <w:r>
        <w:rPr>
          <w:rStyle w:val="a5"/>
          <w:rtl/>
        </w:rPr>
        <w:footnoteReference w:id="5"/>
      </w:r>
      <w:r>
        <w:rPr>
          <w:rtl/>
        </w:rPr>
        <w:br/>
      </w:r>
      <w:r w:rsidRPr="003843F6">
        <w:rPr>
          <w:rFonts w:hint="cs"/>
          <w:b/>
          <w:bCs/>
          <w:rtl/>
        </w:rPr>
        <w:t>הפריש חטאת מעוברת וילדה</w:t>
      </w:r>
      <w:r>
        <w:rPr>
          <w:rFonts w:hint="cs"/>
          <w:rtl/>
        </w:rPr>
        <w:t xml:space="preserve"> </w:t>
      </w:r>
      <w:r>
        <w:rPr>
          <w:rtl/>
        </w:rPr>
        <w:t>–</w:t>
      </w:r>
      <w:r>
        <w:rPr>
          <w:rFonts w:hint="cs"/>
          <w:rtl/>
        </w:rPr>
        <w:t xml:space="preserve"> לריו"ח יתכפר באחת והשניה תרעה.</w:t>
      </w:r>
      <w:r>
        <w:rPr>
          <w:rStyle w:val="a5"/>
          <w:rtl/>
        </w:rPr>
        <w:footnoteReference w:id="6"/>
      </w:r>
      <w:r>
        <w:rPr>
          <w:rtl/>
        </w:rPr>
        <w:br/>
      </w:r>
      <w:r>
        <w:rPr>
          <w:rFonts w:hint="cs"/>
          <w:rtl/>
        </w:rPr>
        <w:t xml:space="preserve">   למ"ד עובר ירך אמו, מתכפר באם והולד הולך למיתה.</w:t>
      </w:r>
    </w:p>
    <w:p w:rsidR="00D0106E" w:rsidRDefault="00D0106E" w:rsidP="00D0106E">
      <w:pPr>
        <w:rPr>
          <w:rFonts w:hint="cs"/>
          <w:rtl/>
        </w:rPr>
      </w:pPr>
      <w:r w:rsidRPr="00FF03BF">
        <w:rPr>
          <w:rFonts w:hint="cs"/>
          <w:b/>
          <w:bCs/>
          <w:rtl/>
        </w:rPr>
        <w:t>חציצה</w:t>
      </w:r>
      <w:r>
        <w:rPr>
          <w:rFonts w:hint="cs"/>
          <w:rtl/>
        </w:rPr>
        <w:t xml:space="preserve"> </w:t>
      </w:r>
      <w:r>
        <w:rPr>
          <w:rtl/>
        </w:rPr>
        <w:t>–</w:t>
      </w:r>
      <w:r>
        <w:rPr>
          <w:rFonts w:hint="cs"/>
          <w:rtl/>
        </w:rPr>
        <w:t xml:space="preserve"> מן התורה רק רובו ומקפיד, או כולו אף שאינו מקפיד.</w:t>
      </w:r>
      <w:r>
        <w:rPr>
          <w:rtl/>
        </w:rPr>
        <w:br/>
      </w:r>
      <w:r w:rsidRPr="00FF03BF">
        <w:rPr>
          <w:rFonts w:hint="cs"/>
          <w:b/>
          <w:bCs/>
          <w:rtl/>
        </w:rPr>
        <w:t>מעוברת שנתגיירה</w:t>
      </w:r>
      <w:r>
        <w:rPr>
          <w:rFonts w:hint="cs"/>
          <w:rtl/>
        </w:rPr>
        <w:t xml:space="preserve"> </w:t>
      </w:r>
      <w:r>
        <w:rPr>
          <w:rtl/>
        </w:rPr>
        <w:t>–</w:t>
      </w:r>
      <w:r>
        <w:rPr>
          <w:rFonts w:hint="cs"/>
          <w:rtl/>
        </w:rPr>
        <w:t xml:space="preserve"> בנה א"צ טבילה, דהיינו רביתיה.</w:t>
      </w:r>
      <w:r>
        <w:rPr>
          <w:rStyle w:val="a5"/>
          <w:rtl/>
        </w:rPr>
        <w:footnoteReference w:id="7"/>
      </w:r>
    </w:p>
    <w:p w:rsidR="00D0106E" w:rsidRPr="00FF03BF" w:rsidRDefault="00D0106E" w:rsidP="00D0106E">
      <w:pPr>
        <w:rPr>
          <w:rFonts w:hint="cs"/>
          <w:b/>
          <w:bCs/>
          <w:i/>
          <w:iCs/>
          <w:rtl/>
        </w:rPr>
      </w:pPr>
      <w:r w:rsidRPr="00FF03BF">
        <w:rPr>
          <w:rFonts w:hint="cs"/>
          <w:b/>
          <w:bCs/>
          <w:i/>
          <w:iCs/>
          <w:rtl/>
        </w:rPr>
        <w:t>עח:</w:t>
      </w:r>
    </w:p>
    <w:p w:rsidR="00D0106E" w:rsidRDefault="00D0106E" w:rsidP="00D0106E">
      <w:pPr>
        <w:rPr>
          <w:rFonts w:hint="cs"/>
          <w:rtl/>
        </w:rPr>
      </w:pPr>
      <w:r w:rsidRPr="00FF03BF">
        <w:rPr>
          <w:rFonts w:hint="cs"/>
          <w:b/>
          <w:bCs/>
          <w:rtl/>
        </w:rPr>
        <w:t>שבעה אומות</w:t>
      </w:r>
      <w:r>
        <w:rPr>
          <w:rFonts w:hint="cs"/>
          <w:rtl/>
        </w:rPr>
        <w:t xml:space="preserve"> </w:t>
      </w:r>
      <w:r>
        <w:rPr>
          <w:rtl/>
        </w:rPr>
        <w:t>–</w:t>
      </w:r>
      <w:r>
        <w:rPr>
          <w:rFonts w:hint="cs"/>
          <w:rtl/>
        </w:rPr>
        <w:t xml:space="preserve"> אסור להחיותן ואי אתה רשאי לקנותו בעבד.</w:t>
      </w:r>
      <w:r>
        <w:rPr>
          <w:rtl/>
        </w:rPr>
        <w:br/>
      </w:r>
      <w:r w:rsidRPr="00FF03BF">
        <w:rPr>
          <w:rFonts w:hint="cs"/>
          <w:b/>
          <w:bCs/>
          <w:rtl/>
        </w:rPr>
        <w:t xml:space="preserve">אב משבעה אומות </w:t>
      </w:r>
      <w:r>
        <w:rPr>
          <w:rFonts w:hint="cs"/>
          <w:b/>
          <w:bCs/>
          <w:rtl/>
        </w:rPr>
        <w:t xml:space="preserve">ואם משאר אומות </w:t>
      </w:r>
      <w:r w:rsidRPr="00FF03BF">
        <w:rPr>
          <w:rFonts w:hint="cs"/>
          <w:b/>
          <w:bCs/>
          <w:rtl/>
        </w:rPr>
        <w:t>או להיפך</w:t>
      </w:r>
      <w:r>
        <w:rPr>
          <w:rFonts w:hint="cs"/>
          <w:rtl/>
        </w:rPr>
        <w:t xml:space="preserve"> </w:t>
      </w:r>
      <w:r>
        <w:rPr>
          <w:rtl/>
        </w:rPr>
        <w:t>–</w:t>
      </w:r>
      <w:r>
        <w:rPr>
          <w:rFonts w:hint="cs"/>
          <w:rtl/>
        </w:rPr>
        <w:t xml:space="preserve"> הולכים אחר הזכר בין להחמיר ובין להקל.</w:t>
      </w:r>
    </w:p>
    <w:p w:rsidR="00D0106E" w:rsidRDefault="00D0106E" w:rsidP="00D0106E">
      <w:pPr>
        <w:rPr>
          <w:rFonts w:hint="cs"/>
          <w:rtl/>
        </w:rPr>
      </w:pPr>
      <w:r w:rsidRPr="00FF03BF">
        <w:rPr>
          <w:rFonts w:hint="cs"/>
          <w:b/>
          <w:bCs/>
          <w:rtl/>
        </w:rPr>
        <w:t>מצרי ראשון שנשא עמונית</w:t>
      </w:r>
      <w:r>
        <w:rPr>
          <w:rFonts w:hint="cs"/>
          <w:rtl/>
        </w:rPr>
        <w:t xml:space="preserve"> </w:t>
      </w:r>
      <w:r>
        <w:rPr>
          <w:rtl/>
        </w:rPr>
        <w:t>–</w:t>
      </w:r>
      <w:r>
        <w:rPr>
          <w:rFonts w:hint="cs"/>
          <w:rtl/>
        </w:rPr>
        <w:t xml:space="preserve"> הולכין אחר הפגום והולד אסור כמצרי שני.</w:t>
      </w:r>
      <w:r>
        <w:rPr>
          <w:rStyle w:val="a5"/>
          <w:rtl/>
        </w:rPr>
        <w:footnoteReference w:id="8"/>
      </w:r>
      <w:r>
        <w:rPr>
          <w:rtl/>
        </w:rPr>
        <w:br/>
      </w:r>
      <w:r w:rsidRPr="00FF03BF">
        <w:rPr>
          <w:rFonts w:hint="cs"/>
          <w:b/>
          <w:bCs/>
          <w:rtl/>
        </w:rPr>
        <w:t>עמוני שנשא מצרית ראשונה</w:t>
      </w:r>
      <w:r>
        <w:rPr>
          <w:rFonts w:hint="cs"/>
          <w:rtl/>
        </w:rPr>
        <w:t xml:space="preserve"> </w:t>
      </w:r>
      <w:r>
        <w:rPr>
          <w:rtl/>
        </w:rPr>
        <w:t>–</w:t>
      </w:r>
      <w:r>
        <w:rPr>
          <w:rFonts w:hint="cs"/>
          <w:rtl/>
        </w:rPr>
        <w:t xml:space="preserve"> נולד זכר, אסור כעמוני, וממילא אסור גם בניו אחריו לעולם.</w:t>
      </w:r>
      <w:r>
        <w:rPr>
          <w:rtl/>
        </w:rPr>
        <w:br/>
      </w:r>
      <w:r>
        <w:rPr>
          <w:rFonts w:hint="cs"/>
          <w:rtl/>
        </w:rPr>
        <w:t xml:space="preserve">   נולדה נקבה, אחר האם ואסורה כדין מצרית שניה.</w:t>
      </w:r>
      <w:r>
        <w:rPr>
          <w:rStyle w:val="a5"/>
          <w:rtl/>
        </w:rPr>
        <w:footnoteReference w:id="9"/>
      </w:r>
    </w:p>
    <w:p w:rsidR="00D0106E" w:rsidRDefault="00D0106E" w:rsidP="00D0106E">
      <w:pPr>
        <w:rPr>
          <w:rFonts w:hint="cs"/>
          <w:rtl/>
        </w:rPr>
      </w:pPr>
      <w:r w:rsidRPr="00FF03BF">
        <w:rPr>
          <w:rFonts w:hint="cs"/>
          <w:b/>
          <w:bCs/>
          <w:rtl/>
        </w:rPr>
        <w:t>ממזרים</w:t>
      </w:r>
      <w:r>
        <w:rPr>
          <w:rFonts w:hint="cs"/>
          <w:rtl/>
        </w:rPr>
        <w:t xml:space="preserve"> </w:t>
      </w:r>
      <w:r>
        <w:rPr>
          <w:rtl/>
        </w:rPr>
        <w:t>–</w:t>
      </w:r>
      <w:r>
        <w:rPr>
          <w:rFonts w:hint="cs"/>
          <w:rtl/>
        </w:rPr>
        <w:t xml:space="preserve"> עד עשרה דורות אסורים גם נקבות לכו"ע.</w:t>
      </w:r>
      <w:r>
        <w:rPr>
          <w:rtl/>
        </w:rPr>
        <w:br/>
      </w:r>
      <w:r w:rsidRPr="00FF03BF">
        <w:rPr>
          <w:rFonts w:hint="cs"/>
          <w:b/>
          <w:bCs/>
          <w:rtl/>
        </w:rPr>
        <w:t>מדור עשירי</w:t>
      </w:r>
      <w:r>
        <w:rPr>
          <w:rFonts w:hint="cs"/>
          <w:rtl/>
        </w:rPr>
        <w:t xml:space="preserve"> </w:t>
      </w:r>
      <w:r>
        <w:rPr>
          <w:rtl/>
        </w:rPr>
        <w:t>–</w:t>
      </w:r>
      <w:r>
        <w:rPr>
          <w:rFonts w:hint="cs"/>
          <w:rtl/>
        </w:rPr>
        <w:t xml:space="preserve"> למ"ד דון מינה ומינה, נקבות מותרות, וכ"פ ר"ל.</w:t>
      </w:r>
      <w:r>
        <w:rPr>
          <w:rStyle w:val="a5"/>
          <w:rtl/>
        </w:rPr>
        <w:footnoteReference w:id="10"/>
      </w:r>
      <w:r>
        <w:rPr>
          <w:rtl/>
        </w:rPr>
        <w:br/>
      </w:r>
      <w:r>
        <w:rPr>
          <w:rFonts w:hint="cs"/>
          <w:rtl/>
        </w:rPr>
        <w:lastRenderedPageBreak/>
        <w:t xml:space="preserve">   למ"ד דון מינה ואוקי באתרא, נקבות גם אסורות. וכ"פ מתניתין.</w:t>
      </w:r>
      <w:r>
        <w:rPr>
          <w:rStyle w:val="a5"/>
          <w:rtl/>
        </w:rPr>
        <w:footnoteReference w:id="11"/>
      </w:r>
      <w:r>
        <w:rPr>
          <w:rtl/>
        </w:rPr>
        <w:br/>
      </w:r>
      <w:r w:rsidRPr="00FF03BF">
        <w:rPr>
          <w:rFonts w:hint="cs"/>
          <w:b/>
          <w:bCs/>
          <w:rtl/>
        </w:rPr>
        <w:t>ממזר ידוע</w:t>
      </w:r>
      <w:r>
        <w:rPr>
          <w:rFonts w:hint="cs"/>
          <w:rtl/>
        </w:rPr>
        <w:t xml:space="preserve"> </w:t>
      </w:r>
      <w:r>
        <w:rPr>
          <w:rtl/>
        </w:rPr>
        <w:t>–</w:t>
      </w:r>
      <w:r>
        <w:rPr>
          <w:rFonts w:hint="cs"/>
          <w:rtl/>
        </w:rPr>
        <w:t xml:space="preserve"> חי. </w:t>
      </w:r>
      <w:r w:rsidRPr="00FF03BF">
        <w:rPr>
          <w:rFonts w:hint="cs"/>
          <w:b/>
          <w:bCs/>
          <w:rtl/>
        </w:rPr>
        <w:t>לא ידוע</w:t>
      </w:r>
      <w:r>
        <w:rPr>
          <w:rFonts w:hint="cs"/>
          <w:rtl/>
        </w:rPr>
        <w:t xml:space="preserve"> </w:t>
      </w:r>
      <w:r>
        <w:rPr>
          <w:rtl/>
        </w:rPr>
        <w:t>–</w:t>
      </w:r>
      <w:r>
        <w:rPr>
          <w:rFonts w:hint="cs"/>
          <w:rtl/>
        </w:rPr>
        <w:t xml:space="preserve"> לא חי. </w:t>
      </w:r>
      <w:r w:rsidRPr="00FF03BF">
        <w:rPr>
          <w:rFonts w:hint="cs"/>
          <w:b/>
          <w:bCs/>
          <w:rtl/>
        </w:rPr>
        <w:t>ידוע ולא ידוע</w:t>
      </w:r>
      <w:r>
        <w:rPr>
          <w:rFonts w:hint="cs"/>
          <w:rtl/>
        </w:rPr>
        <w:t xml:space="preserve"> </w:t>
      </w:r>
      <w:r>
        <w:rPr>
          <w:rtl/>
        </w:rPr>
        <w:t>–</w:t>
      </w:r>
      <w:r>
        <w:rPr>
          <w:rFonts w:hint="cs"/>
          <w:rtl/>
        </w:rPr>
        <w:t xml:space="preserve"> חי רק עד ג' דורות.</w:t>
      </w:r>
    </w:p>
    <w:p w:rsidR="00D0106E" w:rsidRDefault="00D0106E" w:rsidP="00D0106E">
      <w:pPr>
        <w:rPr>
          <w:rFonts w:hint="cs"/>
          <w:rtl/>
        </w:rPr>
      </w:pPr>
      <w:r w:rsidRPr="00FF03BF">
        <w:rPr>
          <w:rFonts w:hint="cs"/>
          <w:b/>
          <w:bCs/>
          <w:rtl/>
        </w:rPr>
        <w:t>נתינים</w:t>
      </w:r>
      <w:r>
        <w:rPr>
          <w:rStyle w:val="a5"/>
          <w:rtl/>
        </w:rPr>
        <w:footnoteReference w:id="12"/>
      </w:r>
      <w:r>
        <w:rPr>
          <w:rFonts w:hint="cs"/>
          <w:rtl/>
        </w:rPr>
        <w:t xml:space="preserve"> </w:t>
      </w:r>
      <w:r>
        <w:rPr>
          <w:rtl/>
        </w:rPr>
        <w:t>–</w:t>
      </w:r>
      <w:r>
        <w:rPr>
          <w:rFonts w:hint="cs"/>
          <w:rtl/>
        </w:rPr>
        <w:t xml:space="preserve"> אסורין לעולם גם נקבות.</w:t>
      </w:r>
    </w:p>
    <w:p w:rsidR="00D0106E" w:rsidRDefault="00D0106E" w:rsidP="00D0106E">
      <w:pPr>
        <w:rPr>
          <w:rFonts w:hint="cs"/>
          <w:rtl/>
        </w:rPr>
      </w:pPr>
      <w:r w:rsidRPr="00FF03BF">
        <w:rPr>
          <w:rFonts w:hint="cs"/>
          <w:b/>
          <w:bCs/>
          <w:rtl/>
        </w:rPr>
        <w:t>עצירת גשמים</w:t>
      </w:r>
      <w:r>
        <w:rPr>
          <w:rFonts w:hint="cs"/>
          <w:rtl/>
        </w:rPr>
        <w:t xml:space="preserve"> </w:t>
      </w:r>
      <w:r>
        <w:rPr>
          <w:rtl/>
        </w:rPr>
        <w:t>–</w:t>
      </w:r>
      <w:r>
        <w:rPr>
          <w:rFonts w:hint="cs"/>
          <w:rtl/>
        </w:rPr>
        <w:t xml:space="preserve"> משום ע"ז, ועוברי עבירה, ופוסקי צדקה ברבים ואין נותנים.</w:t>
      </w:r>
      <w:r>
        <w:rPr>
          <w:rtl/>
        </w:rPr>
        <w:br/>
      </w:r>
      <w:r w:rsidRPr="00FF03BF">
        <w:rPr>
          <w:rFonts w:hint="cs"/>
          <w:b/>
          <w:bCs/>
          <w:rtl/>
        </w:rPr>
        <w:t>באשר משפטו שם פעלו</w:t>
      </w:r>
      <w:r>
        <w:rPr>
          <w:rFonts w:hint="cs"/>
          <w:rtl/>
        </w:rPr>
        <w:t>.</w:t>
      </w:r>
      <w:r>
        <w:rPr>
          <w:rStyle w:val="a5"/>
          <w:rtl/>
        </w:rPr>
        <w:footnoteReference w:id="13"/>
      </w:r>
      <w:r>
        <w:rPr>
          <w:rFonts w:hint="cs"/>
          <w:rtl/>
        </w:rPr>
        <w:t xml:space="preserve"> </w:t>
      </w:r>
      <w:r>
        <w:rPr>
          <w:rtl/>
        </w:rPr>
        <w:br/>
      </w:r>
      <w:r>
        <w:rPr>
          <w:rFonts w:hint="cs"/>
          <w:rtl/>
        </w:rPr>
        <w:t>כגון שאול שמחד גיסא נתבעו שלא הספידוהו כהלכה ומאידך גיסא נתבע על שגרם מיתת הגבעונים.</w:t>
      </w:r>
    </w:p>
    <w:p w:rsidR="00CC6452" w:rsidRDefault="00CC6452"/>
    <w:sectPr w:rsidR="00CC6452" w:rsidSect="005A5BAA">
      <w:pgSz w:w="11906" w:h="16838"/>
      <w:pgMar w:top="1440" w:right="1800" w:bottom="1440" w:left="180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4B4" w:rsidRDefault="00F434B4" w:rsidP="00D0106E">
      <w:pPr>
        <w:spacing w:after="0" w:line="240" w:lineRule="auto"/>
      </w:pPr>
      <w:r>
        <w:separator/>
      </w:r>
    </w:p>
  </w:endnote>
  <w:endnote w:type="continuationSeparator" w:id="0">
    <w:p w:rsidR="00F434B4" w:rsidRDefault="00F434B4" w:rsidP="00D010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4B4" w:rsidRDefault="00F434B4" w:rsidP="00D0106E">
      <w:pPr>
        <w:spacing w:after="0" w:line="240" w:lineRule="auto"/>
      </w:pPr>
      <w:r>
        <w:separator/>
      </w:r>
    </w:p>
  </w:footnote>
  <w:footnote w:type="continuationSeparator" w:id="0">
    <w:p w:rsidR="00F434B4" w:rsidRDefault="00F434B4" w:rsidP="00D0106E">
      <w:pPr>
        <w:spacing w:after="0" w:line="240" w:lineRule="auto"/>
      </w:pPr>
      <w:r>
        <w:continuationSeparator/>
      </w:r>
    </w:p>
  </w:footnote>
  <w:footnote w:id="1">
    <w:p w:rsidR="00D0106E" w:rsidRDefault="00D0106E" w:rsidP="00D0106E">
      <w:pPr>
        <w:pStyle w:val="a3"/>
        <w:rPr>
          <w:rFonts w:hint="cs"/>
          <w:rtl/>
        </w:rPr>
      </w:pPr>
      <w:r>
        <w:rPr>
          <w:rStyle w:val="a5"/>
        </w:rPr>
        <w:footnoteRef/>
      </w:r>
      <w:r>
        <w:rPr>
          <w:rtl/>
        </w:rPr>
        <w:t xml:space="preserve"> </w:t>
      </w:r>
      <w:r>
        <w:rPr>
          <w:rFonts w:hint="cs"/>
          <w:rtl/>
        </w:rPr>
        <w:t>היה ס"ד להתיר את בנו השלישי.</w:t>
      </w:r>
    </w:p>
  </w:footnote>
  <w:footnote w:id="2">
    <w:p w:rsidR="00D0106E" w:rsidRDefault="00D0106E" w:rsidP="00D0106E">
      <w:pPr>
        <w:pStyle w:val="a3"/>
        <w:rPr>
          <w:rFonts w:hint="cs"/>
          <w:rtl/>
        </w:rPr>
      </w:pPr>
      <w:r>
        <w:rPr>
          <w:rStyle w:val="a5"/>
        </w:rPr>
        <w:footnoteRef/>
      </w:r>
      <w:r>
        <w:rPr>
          <w:rtl/>
        </w:rPr>
        <w:t xml:space="preserve"> </w:t>
      </w:r>
      <w:r>
        <w:rPr>
          <w:rFonts w:hint="cs"/>
          <w:rtl/>
        </w:rPr>
        <w:t>היה ס"ד להתיר החל מהדור השלישי של מקבלי התורה.</w:t>
      </w:r>
    </w:p>
  </w:footnote>
  <w:footnote w:id="3">
    <w:p w:rsidR="00D0106E" w:rsidRDefault="00D0106E" w:rsidP="00D0106E">
      <w:pPr>
        <w:pStyle w:val="a3"/>
        <w:rPr>
          <w:rFonts w:hint="cs"/>
        </w:rPr>
      </w:pPr>
      <w:r>
        <w:rPr>
          <w:rStyle w:val="a5"/>
        </w:rPr>
        <w:footnoteRef/>
      </w:r>
      <w:r>
        <w:rPr>
          <w:rtl/>
        </w:rPr>
        <w:t xml:space="preserve"> </w:t>
      </w:r>
      <w:r>
        <w:rPr>
          <w:rFonts w:hint="cs"/>
          <w:rtl/>
        </w:rPr>
        <w:t>זהו הכלל "הלך אחר הפסול שבהם", שנאמר כשצד אחד ישראל כשר, ונאמר בסמוך גם על ממזר וישראלית, להבדיל מהכלל "אחר הפגום שבהם" שנאמר כששני הצדדים גרים מאומות שונות וכדלהלן. ולהבדיל מאשר כששני הצדדים מאותה אומה כגון מצרי ראשון ושני דאז פליגי ב' לישני דריו"ח אי בתר אב או בתר אם ואינו ענין לשני הכללים.</w:t>
      </w:r>
    </w:p>
  </w:footnote>
  <w:footnote w:id="4">
    <w:p w:rsidR="00D0106E" w:rsidRDefault="00D0106E" w:rsidP="00D0106E">
      <w:pPr>
        <w:pStyle w:val="a3"/>
        <w:rPr>
          <w:rFonts w:hint="cs"/>
        </w:rPr>
      </w:pPr>
      <w:r>
        <w:rPr>
          <w:rStyle w:val="a5"/>
        </w:rPr>
        <w:footnoteRef/>
      </w:r>
      <w:r>
        <w:rPr>
          <w:rtl/>
        </w:rPr>
        <w:t xml:space="preserve"> </w:t>
      </w:r>
      <w:r>
        <w:rPr>
          <w:rFonts w:hint="cs"/>
          <w:rtl/>
        </w:rPr>
        <w:t>ואף דריו"ח סבר עובר או ירך אמו, מ"מ הכי נפקא לן מאשר יוולדו, דתלוי באם.</w:t>
      </w:r>
    </w:p>
  </w:footnote>
  <w:footnote w:id="5">
    <w:p w:rsidR="00D0106E" w:rsidRDefault="00D0106E" w:rsidP="00D0106E">
      <w:pPr>
        <w:pStyle w:val="a3"/>
        <w:rPr>
          <w:rFonts w:hint="cs"/>
        </w:rPr>
      </w:pPr>
      <w:r>
        <w:rPr>
          <w:rStyle w:val="a5"/>
        </w:rPr>
        <w:footnoteRef/>
      </w:r>
      <w:r>
        <w:rPr>
          <w:rtl/>
        </w:rPr>
        <w:t xml:space="preserve"> </w:t>
      </w:r>
      <w:r>
        <w:rPr>
          <w:rFonts w:hint="cs"/>
          <w:rtl/>
        </w:rPr>
        <w:t>ואין זו בכלל חטאת שכיפרו באחר דלמיתה, דההיא היינו שנאבדה חטאתו וכיפר באחרת ונמצאה ראשונה.</w:t>
      </w:r>
    </w:p>
  </w:footnote>
  <w:footnote w:id="6">
    <w:p w:rsidR="00D0106E" w:rsidRDefault="00D0106E" w:rsidP="00D0106E">
      <w:pPr>
        <w:pStyle w:val="a3"/>
        <w:rPr>
          <w:rFonts w:hint="cs"/>
          <w:rtl/>
        </w:rPr>
      </w:pPr>
      <w:r>
        <w:rPr>
          <w:rStyle w:val="a5"/>
        </w:rPr>
        <w:footnoteRef/>
      </w:r>
      <w:r>
        <w:rPr>
          <w:rtl/>
        </w:rPr>
        <w:t xml:space="preserve"> </w:t>
      </w:r>
      <w:r>
        <w:rPr>
          <w:rFonts w:hint="cs"/>
          <w:rtl/>
        </w:rPr>
        <w:t>ומזה מוכח דס"ל לריו"ח עובר לאו ירך אמו ולכן הוי כמפריש לאחריות.</w:t>
      </w:r>
    </w:p>
  </w:footnote>
  <w:footnote w:id="7">
    <w:p w:rsidR="00D0106E" w:rsidRDefault="00D0106E" w:rsidP="00D0106E">
      <w:pPr>
        <w:pStyle w:val="a3"/>
        <w:rPr>
          <w:rFonts w:hint="cs"/>
        </w:rPr>
      </w:pPr>
      <w:r>
        <w:rPr>
          <w:rStyle w:val="a5"/>
        </w:rPr>
        <w:footnoteRef/>
      </w:r>
      <w:r>
        <w:rPr>
          <w:rtl/>
        </w:rPr>
        <w:t xml:space="preserve"> </w:t>
      </w:r>
      <w:r>
        <w:rPr>
          <w:rFonts w:hint="cs"/>
          <w:rtl/>
        </w:rPr>
        <w:t>כלומר אף למ"ד לאו ירך אמו, וצריך טבילה לעצמו, ואף דכולו חצוץ ולא מהני אי הקפדה.</w:t>
      </w:r>
    </w:p>
  </w:footnote>
  <w:footnote w:id="8">
    <w:p w:rsidR="00D0106E" w:rsidRDefault="00D0106E" w:rsidP="00D0106E">
      <w:pPr>
        <w:pStyle w:val="a3"/>
      </w:pPr>
      <w:r>
        <w:rPr>
          <w:rStyle w:val="a5"/>
        </w:rPr>
        <w:footnoteRef/>
      </w:r>
      <w:r>
        <w:rPr>
          <w:rtl/>
        </w:rPr>
        <w:t xml:space="preserve"> </w:t>
      </w:r>
      <w:r>
        <w:rPr>
          <w:rFonts w:hint="cs"/>
          <w:rtl/>
        </w:rPr>
        <w:t xml:space="preserve">ואינה נחשבת עמונית דנקבות מותרות. כן משמע בגמרא דהדין אמת, אלא דלישנא דפגום שבשניהם לא אתי שפיר ולא לזה כוונת ריו"ח. </w:t>
      </w:r>
    </w:p>
  </w:footnote>
  <w:footnote w:id="9">
    <w:p w:rsidR="00D0106E" w:rsidRDefault="00D0106E" w:rsidP="00D0106E">
      <w:pPr>
        <w:pStyle w:val="a3"/>
        <w:rPr>
          <w:rFonts w:hint="cs"/>
        </w:rPr>
      </w:pPr>
      <w:r>
        <w:rPr>
          <w:rStyle w:val="a5"/>
        </w:rPr>
        <w:footnoteRef/>
      </w:r>
      <w:r>
        <w:rPr>
          <w:rtl/>
        </w:rPr>
        <w:t xml:space="preserve"> </w:t>
      </w:r>
      <w:r>
        <w:rPr>
          <w:rFonts w:hint="cs"/>
          <w:rtl/>
        </w:rPr>
        <w:t>שאם היינו מטילים אותה אחר האב היתה עמונית ומותרת. ושני דינים אלו הם הכלל "אומות שנתגיירו הלך אחר הפגום שבשניהם".</w:t>
      </w:r>
    </w:p>
  </w:footnote>
  <w:footnote w:id="10">
    <w:p w:rsidR="00D0106E" w:rsidRDefault="00D0106E" w:rsidP="00D0106E">
      <w:pPr>
        <w:pStyle w:val="a3"/>
        <w:rPr>
          <w:rFonts w:hint="cs"/>
        </w:rPr>
      </w:pPr>
      <w:r>
        <w:rPr>
          <w:rStyle w:val="a5"/>
        </w:rPr>
        <w:footnoteRef/>
      </w:r>
      <w:r>
        <w:rPr>
          <w:rtl/>
        </w:rPr>
        <w:t xml:space="preserve"> </w:t>
      </w:r>
      <w:r>
        <w:rPr>
          <w:rFonts w:hint="cs"/>
          <w:rtl/>
        </w:rPr>
        <w:t>כר"א בחולין קכ: וכ"ה בספרי.</w:t>
      </w:r>
    </w:p>
  </w:footnote>
  <w:footnote w:id="11">
    <w:p w:rsidR="00D0106E" w:rsidRDefault="00D0106E" w:rsidP="00D0106E">
      <w:pPr>
        <w:pStyle w:val="a3"/>
        <w:rPr>
          <w:rFonts w:hint="cs"/>
        </w:rPr>
      </w:pPr>
      <w:r>
        <w:rPr>
          <w:rStyle w:val="a5"/>
        </w:rPr>
        <w:footnoteRef/>
      </w:r>
      <w:r>
        <w:rPr>
          <w:rtl/>
        </w:rPr>
        <w:t xml:space="preserve"> </w:t>
      </w:r>
      <w:r>
        <w:rPr>
          <w:rFonts w:hint="cs"/>
          <w:rtl/>
        </w:rPr>
        <w:t>וכשיטת רבי יהושע שם.</w:t>
      </w:r>
    </w:p>
  </w:footnote>
  <w:footnote w:id="12">
    <w:p w:rsidR="00D0106E" w:rsidRDefault="00D0106E" w:rsidP="00D0106E">
      <w:pPr>
        <w:pStyle w:val="a3"/>
        <w:rPr>
          <w:rFonts w:hint="cs"/>
          <w:rtl/>
        </w:rPr>
      </w:pPr>
      <w:r>
        <w:rPr>
          <w:rStyle w:val="a5"/>
        </w:rPr>
        <w:footnoteRef/>
      </w:r>
      <w:r>
        <w:rPr>
          <w:rtl/>
        </w:rPr>
        <w:t xml:space="preserve"> </w:t>
      </w:r>
      <w:r>
        <w:rPr>
          <w:rFonts w:hint="cs"/>
          <w:rtl/>
        </w:rPr>
        <w:t>והם הגבעונים שקיבלום בימי יהושע ומקורם מז' אומות. ומבואר להלן דדוד גזר עליהם, ועי' תוס' להלן מדוע אינם אסורים מה"ת משום לא תתחתן בם דאמרינן לעיל דהיינו ז' אומות בגירותן.</w:t>
      </w:r>
    </w:p>
  </w:footnote>
  <w:footnote w:id="13">
    <w:p w:rsidR="00D0106E" w:rsidRDefault="00D0106E" w:rsidP="00D0106E">
      <w:pPr>
        <w:pStyle w:val="a3"/>
        <w:rPr>
          <w:rFonts w:hint="cs"/>
          <w:rtl/>
        </w:rPr>
      </w:pPr>
      <w:r>
        <w:rPr>
          <w:rStyle w:val="a5"/>
        </w:rPr>
        <w:footnoteRef/>
      </w:r>
      <w:r>
        <w:rPr>
          <w:rtl/>
        </w:rPr>
        <w:t xml:space="preserve"> </w:t>
      </w:r>
      <w:r>
        <w:rPr>
          <w:rFonts w:hint="cs"/>
          <w:rtl/>
        </w:rPr>
        <w:t>במקום שדנים את האדם, שם מזכירין פועל  צדקותיו.</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D0106E"/>
    <w:rsid w:val="00240196"/>
    <w:rsid w:val="005A5BAA"/>
    <w:rsid w:val="00A63134"/>
    <w:rsid w:val="00AF7868"/>
    <w:rsid w:val="00CC6452"/>
    <w:rsid w:val="00D0106E"/>
    <w:rsid w:val="00F434B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06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0106E"/>
    <w:pPr>
      <w:spacing w:after="0" w:line="240" w:lineRule="auto"/>
    </w:pPr>
    <w:rPr>
      <w:sz w:val="20"/>
      <w:szCs w:val="20"/>
    </w:rPr>
  </w:style>
  <w:style w:type="character" w:customStyle="1" w:styleId="a4">
    <w:name w:val="טקסט הערת שוליים תו"/>
    <w:basedOn w:val="a0"/>
    <w:link w:val="a3"/>
    <w:uiPriority w:val="99"/>
    <w:semiHidden/>
    <w:rsid w:val="00D0106E"/>
    <w:rPr>
      <w:sz w:val="20"/>
      <w:szCs w:val="20"/>
    </w:rPr>
  </w:style>
  <w:style w:type="character" w:styleId="a5">
    <w:name w:val="footnote reference"/>
    <w:basedOn w:val="a0"/>
    <w:uiPriority w:val="99"/>
    <w:semiHidden/>
    <w:unhideWhenUsed/>
    <w:rsid w:val="00D0106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1392</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יעקב</dc:creator>
  <cp:lastModifiedBy>יעקב</cp:lastModifiedBy>
  <cp:revision>1</cp:revision>
  <dcterms:created xsi:type="dcterms:W3CDTF">2014-12-21T22:48:00Z</dcterms:created>
  <dcterms:modified xsi:type="dcterms:W3CDTF">2014-12-21T22:48:00Z</dcterms:modified>
</cp:coreProperties>
</file>