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842" w:rsidRPr="00642466" w:rsidRDefault="005C6842" w:rsidP="005C6842">
      <w:pPr>
        <w:rPr>
          <w:b/>
          <w:bCs/>
          <w:i/>
          <w:iCs/>
          <w:rtl/>
        </w:rPr>
      </w:pPr>
      <w:r w:rsidRPr="00642466">
        <w:rPr>
          <w:rFonts w:hint="cs"/>
          <w:b/>
          <w:bCs/>
          <w:i/>
          <w:iCs/>
          <w:rtl/>
        </w:rPr>
        <w:t>עט.</w:t>
      </w:r>
    </w:p>
    <w:p w:rsidR="005C6842" w:rsidRDefault="005C6842" w:rsidP="005C6842">
      <w:pPr>
        <w:rPr>
          <w:rtl/>
        </w:rPr>
      </w:pPr>
      <w:r w:rsidRPr="00642466">
        <w:rPr>
          <w:rFonts w:hint="cs"/>
          <w:b/>
          <w:bCs/>
          <w:rtl/>
        </w:rPr>
        <w:t>הספד על המת</w:t>
      </w:r>
      <w:r>
        <w:rPr>
          <w:rFonts w:hint="cs"/>
          <w:rtl/>
        </w:rPr>
        <w:t xml:space="preserve"> </w:t>
      </w:r>
      <w:r>
        <w:rPr>
          <w:rtl/>
        </w:rPr>
        <w:t>–</w:t>
      </w:r>
      <w:r>
        <w:rPr>
          <w:rFonts w:hint="cs"/>
          <w:rtl/>
        </w:rPr>
        <w:t xml:space="preserve"> אין דרך כבוד לסופדו לאחר יב חדש מפטירתו.</w:t>
      </w:r>
      <w:r>
        <w:rPr>
          <w:rtl/>
        </w:rPr>
        <w:br/>
      </w:r>
      <w:r w:rsidRPr="00642466">
        <w:rPr>
          <w:rFonts w:hint="cs"/>
          <w:b/>
          <w:bCs/>
          <w:rtl/>
        </w:rPr>
        <w:t>סימני האומה הישראלית</w:t>
      </w:r>
      <w:r>
        <w:rPr>
          <w:rFonts w:hint="cs"/>
          <w:rtl/>
        </w:rPr>
        <w:t xml:space="preserve"> </w:t>
      </w:r>
      <w:r>
        <w:rPr>
          <w:rtl/>
        </w:rPr>
        <w:t>–</w:t>
      </w:r>
      <w:r>
        <w:rPr>
          <w:rFonts w:hint="cs"/>
          <w:rtl/>
        </w:rPr>
        <w:t xml:space="preserve"> רחמנים, ביישנים</w:t>
      </w:r>
      <w:r>
        <w:rPr>
          <w:rStyle w:val="a5"/>
          <w:rtl/>
        </w:rPr>
        <w:footnoteReference w:id="1"/>
      </w:r>
      <w:r>
        <w:rPr>
          <w:rFonts w:hint="cs"/>
          <w:rtl/>
        </w:rPr>
        <w:t xml:space="preserve"> וגומלי חסדים.</w:t>
      </w:r>
      <w:r>
        <w:rPr>
          <w:rtl/>
        </w:rPr>
        <w:br/>
      </w:r>
      <w:r w:rsidRPr="00642466">
        <w:rPr>
          <w:rFonts w:hint="cs"/>
          <w:b/>
          <w:bCs/>
          <w:rtl/>
        </w:rPr>
        <w:t>המתת בנים על אבות</w:t>
      </w:r>
      <w:r>
        <w:rPr>
          <w:rFonts w:hint="cs"/>
          <w:rtl/>
        </w:rPr>
        <w:t xml:space="preserve"> </w:t>
      </w:r>
      <w:r>
        <w:rPr>
          <w:rtl/>
        </w:rPr>
        <w:t>–</w:t>
      </w:r>
      <w:r>
        <w:rPr>
          <w:rFonts w:hint="cs"/>
          <w:rtl/>
        </w:rPr>
        <w:t xml:space="preserve"> אסורה. </w:t>
      </w:r>
      <w:r>
        <w:rPr>
          <w:rtl/>
        </w:rPr>
        <w:br/>
      </w:r>
      <w:r>
        <w:rPr>
          <w:rFonts w:hint="cs"/>
          <w:rtl/>
        </w:rPr>
        <w:t xml:space="preserve">   במקום חילול ה' עוקרים דין זה בהוראת שעה על פי נביא או אורים ותומים.</w:t>
      </w:r>
      <w:r>
        <w:rPr>
          <w:rStyle w:val="a5"/>
          <w:rtl/>
        </w:rPr>
        <w:footnoteReference w:id="2"/>
      </w:r>
      <w:r>
        <w:rPr>
          <w:rFonts w:hint="cs"/>
          <w:rtl/>
        </w:rPr>
        <w:br/>
      </w:r>
      <w:r w:rsidRPr="00642466">
        <w:rPr>
          <w:rFonts w:hint="cs"/>
          <w:b/>
          <w:bCs/>
          <w:rtl/>
        </w:rPr>
        <w:t>הלנת התלוי על העץ</w:t>
      </w:r>
      <w:r>
        <w:rPr>
          <w:rFonts w:hint="cs"/>
          <w:rtl/>
        </w:rPr>
        <w:t xml:space="preserve"> </w:t>
      </w:r>
      <w:r>
        <w:rPr>
          <w:rtl/>
        </w:rPr>
        <w:t>–</w:t>
      </w:r>
      <w:r>
        <w:rPr>
          <w:rFonts w:hint="cs"/>
          <w:rtl/>
        </w:rPr>
        <w:t xml:space="preserve"> אסורה.</w:t>
      </w:r>
      <w:r>
        <w:rPr>
          <w:rtl/>
        </w:rPr>
        <w:br/>
      </w:r>
      <w:r>
        <w:rPr>
          <w:rFonts w:hint="cs"/>
          <w:rtl/>
        </w:rPr>
        <w:t xml:space="preserve">   במקום שיגרום קידוש ה', עוקרים דין זה בהוראת שעה על פי הדיבור.</w:t>
      </w:r>
      <w:r>
        <w:rPr>
          <w:rtl/>
        </w:rPr>
        <w:br/>
      </w:r>
      <w:r w:rsidRPr="00642466">
        <w:rPr>
          <w:rFonts w:hint="cs"/>
          <w:b/>
          <w:bCs/>
          <w:rtl/>
        </w:rPr>
        <w:t>הסבלים והחוצבים של שלמה</w:t>
      </w:r>
      <w:r>
        <w:rPr>
          <w:rFonts w:hint="cs"/>
          <w:rtl/>
        </w:rPr>
        <w:t xml:space="preserve"> </w:t>
      </w:r>
      <w:r>
        <w:rPr>
          <w:rtl/>
        </w:rPr>
        <w:t>–</w:t>
      </w:r>
      <w:r>
        <w:rPr>
          <w:rFonts w:hint="cs"/>
          <w:rtl/>
        </w:rPr>
        <w:t xml:space="preserve"> היו עבדים מן הגרים.</w:t>
      </w:r>
    </w:p>
    <w:p w:rsidR="005C6842" w:rsidRDefault="005C6842" w:rsidP="005C6842">
      <w:pPr>
        <w:rPr>
          <w:rtl/>
        </w:rPr>
      </w:pPr>
      <w:r w:rsidRPr="00642466">
        <w:rPr>
          <w:rFonts w:hint="cs"/>
          <w:b/>
          <w:bCs/>
          <w:rtl/>
        </w:rPr>
        <w:t>הגזרה על הנתינים</w:t>
      </w:r>
      <w:r>
        <w:rPr>
          <w:rStyle w:val="a5"/>
          <w:rtl/>
        </w:rPr>
        <w:footnoteReference w:id="3"/>
      </w:r>
      <w:r>
        <w:rPr>
          <w:rFonts w:hint="cs"/>
          <w:rtl/>
        </w:rPr>
        <w:t xml:space="preserve"> </w:t>
      </w:r>
      <w:r>
        <w:rPr>
          <w:rtl/>
        </w:rPr>
        <w:t>–</w:t>
      </w:r>
      <w:r>
        <w:rPr>
          <w:rFonts w:hint="cs"/>
          <w:rtl/>
        </w:rPr>
        <w:t xml:space="preserve"> משה גזר לאותו דור.</w:t>
      </w:r>
      <w:r>
        <w:rPr>
          <w:rtl/>
        </w:rPr>
        <w:br/>
      </w:r>
      <w:r>
        <w:rPr>
          <w:rFonts w:hint="cs"/>
          <w:rtl/>
        </w:rPr>
        <w:t>יהושע הוסיף לגזור עד חורבן הבית. דוד הוסיף לגזור לעולם.</w:t>
      </w:r>
    </w:p>
    <w:p w:rsidR="005C6842" w:rsidRPr="00642466" w:rsidRDefault="005C6842" w:rsidP="005C6842">
      <w:pPr>
        <w:rPr>
          <w:b/>
          <w:bCs/>
          <w:i/>
          <w:iCs/>
          <w:rtl/>
        </w:rPr>
      </w:pPr>
      <w:r w:rsidRPr="00642466">
        <w:rPr>
          <w:rFonts w:hint="cs"/>
          <w:b/>
          <w:bCs/>
          <w:i/>
          <w:iCs/>
          <w:rtl/>
        </w:rPr>
        <w:t>עט:</w:t>
      </w:r>
    </w:p>
    <w:p w:rsidR="005C6842" w:rsidRDefault="005C6842" w:rsidP="005C6842">
      <w:pPr>
        <w:rPr>
          <w:rtl/>
        </w:rPr>
      </w:pPr>
      <w:r w:rsidRPr="00642466">
        <w:rPr>
          <w:rFonts w:hint="cs"/>
          <w:b/>
          <w:bCs/>
          <w:rtl/>
        </w:rPr>
        <w:t>חלק המזבח של הנתינים</w:t>
      </w:r>
      <w:r>
        <w:rPr>
          <w:rFonts w:hint="cs"/>
          <w:rtl/>
        </w:rPr>
        <w:t xml:space="preserve"> </w:t>
      </w:r>
      <w:r>
        <w:rPr>
          <w:rtl/>
        </w:rPr>
        <w:t>–</w:t>
      </w:r>
      <w:r>
        <w:rPr>
          <w:rFonts w:hint="cs"/>
          <w:rtl/>
        </w:rPr>
        <w:t xml:space="preserve"> לרבי קיים אחרי החורבן ואין להתירו, לריו"ח בטל מאליו בחורבן.</w:t>
      </w:r>
      <w:r>
        <w:rPr>
          <w:rtl/>
        </w:rPr>
        <w:br/>
      </w:r>
      <w:r w:rsidRPr="00642466">
        <w:rPr>
          <w:rFonts w:hint="cs"/>
          <w:b/>
          <w:bCs/>
          <w:rtl/>
        </w:rPr>
        <w:t>חלק העדה</w:t>
      </w:r>
      <w:r>
        <w:rPr>
          <w:rFonts w:hint="cs"/>
          <w:rtl/>
        </w:rPr>
        <w:t xml:space="preserve"> </w:t>
      </w:r>
      <w:r>
        <w:rPr>
          <w:rtl/>
        </w:rPr>
        <w:t>–</w:t>
      </w:r>
      <w:r>
        <w:rPr>
          <w:rFonts w:hint="cs"/>
          <w:rtl/>
        </w:rPr>
        <w:t xml:space="preserve"> אסור לעולם, אלא דאפשר להתירו.</w:t>
      </w:r>
    </w:p>
    <w:p w:rsidR="005C6842" w:rsidRDefault="005C6842" w:rsidP="005C6842">
      <w:pPr>
        <w:rPr>
          <w:rtl/>
        </w:rPr>
      </w:pPr>
      <w:r w:rsidRPr="00642466">
        <w:rPr>
          <w:rFonts w:hint="cs"/>
          <w:b/>
          <w:bCs/>
          <w:rtl/>
        </w:rPr>
        <w:t>סריס אדם</w:t>
      </w:r>
      <w:r>
        <w:rPr>
          <w:rFonts w:hint="cs"/>
          <w:rtl/>
        </w:rPr>
        <w:t xml:space="preserve"> </w:t>
      </w:r>
      <w:r>
        <w:rPr>
          <w:rtl/>
        </w:rPr>
        <w:t>–</w:t>
      </w:r>
      <w:r>
        <w:rPr>
          <w:rFonts w:hint="cs"/>
          <w:rtl/>
        </w:rPr>
        <w:t xml:space="preserve"> לר"א לא חולץ ולא חולצין לאשתו, לפי שאין לו רפואה.</w:t>
      </w:r>
      <w:r>
        <w:rPr>
          <w:rStyle w:val="a5"/>
          <w:rtl/>
        </w:rPr>
        <w:footnoteReference w:id="4"/>
      </w:r>
      <w:r>
        <w:rPr>
          <w:rFonts w:hint="cs"/>
          <w:rtl/>
        </w:rPr>
        <w:t xml:space="preserve"> </w:t>
      </w:r>
      <w:r>
        <w:rPr>
          <w:rtl/>
        </w:rPr>
        <w:br/>
      </w:r>
      <w:r>
        <w:rPr>
          <w:rFonts w:hint="cs"/>
          <w:rtl/>
        </w:rPr>
        <w:t xml:space="preserve">   לר"ע חולץ לפי שהיתה לו שעת הכושר, והלכה כדבריו.</w:t>
      </w:r>
      <w:r>
        <w:rPr>
          <w:rStyle w:val="a5"/>
          <w:rtl/>
        </w:rPr>
        <w:footnoteReference w:id="5"/>
      </w:r>
      <w:r>
        <w:rPr>
          <w:rFonts w:hint="cs"/>
          <w:rtl/>
        </w:rPr>
        <w:br/>
      </w:r>
      <w:r w:rsidRPr="00642466">
        <w:rPr>
          <w:rFonts w:hint="cs"/>
          <w:b/>
          <w:bCs/>
          <w:rtl/>
        </w:rPr>
        <w:t>סריס חמה</w:t>
      </w:r>
      <w:r>
        <w:rPr>
          <w:rFonts w:hint="cs"/>
          <w:rtl/>
        </w:rPr>
        <w:t xml:space="preserve"> </w:t>
      </w:r>
      <w:r>
        <w:rPr>
          <w:rtl/>
        </w:rPr>
        <w:t>–</w:t>
      </w:r>
      <w:r>
        <w:rPr>
          <w:rFonts w:hint="cs"/>
          <w:rtl/>
        </w:rPr>
        <w:t xml:space="preserve"> לר"א חולץ וכו'. ולר"ע אין חולץ וכו' והלכה כדבריו.</w:t>
      </w:r>
      <w:r>
        <w:rPr>
          <w:rStyle w:val="a5"/>
          <w:rtl/>
        </w:rPr>
        <w:footnoteReference w:id="6"/>
      </w:r>
    </w:p>
    <w:p w:rsidR="005C6842" w:rsidRDefault="005C6842" w:rsidP="005C6842">
      <w:pPr>
        <w:rPr>
          <w:rtl/>
        </w:rPr>
      </w:pPr>
      <w:r w:rsidRPr="00642466">
        <w:rPr>
          <w:rFonts w:hint="cs"/>
          <w:b/>
          <w:bCs/>
          <w:rtl/>
        </w:rPr>
        <w:t>סריס חמה</w:t>
      </w:r>
      <w:r>
        <w:rPr>
          <w:rFonts w:hint="cs"/>
          <w:rtl/>
        </w:rPr>
        <w:t xml:space="preserve"> </w:t>
      </w:r>
      <w:r>
        <w:rPr>
          <w:rtl/>
        </w:rPr>
        <w:t>–</w:t>
      </w:r>
      <w:r>
        <w:rPr>
          <w:rFonts w:hint="cs"/>
          <w:rtl/>
        </w:rPr>
        <w:t xml:space="preserve"> להלכה לא חולץ ולא מייבם, לא חולצין לאשתו ולא מייבמין אותה.</w:t>
      </w:r>
      <w:r>
        <w:rPr>
          <w:rtl/>
        </w:rPr>
        <w:br/>
      </w:r>
      <w:r w:rsidRPr="00642466">
        <w:rPr>
          <w:rFonts w:hint="cs"/>
          <w:b/>
          <w:bCs/>
          <w:rtl/>
        </w:rPr>
        <w:t>חלץ ליבמתו</w:t>
      </w:r>
      <w:r>
        <w:rPr>
          <w:rFonts w:hint="cs"/>
          <w:rtl/>
        </w:rPr>
        <w:t xml:space="preserve"> </w:t>
      </w:r>
      <w:r>
        <w:rPr>
          <w:rtl/>
        </w:rPr>
        <w:t>–</w:t>
      </w:r>
      <w:r>
        <w:rPr>
          <w:rFonts w:hint="cs"/>
          <w:rtl/>
        </w:rPr>
        <w:t xml:space="preserve"> לא פסלה מכהונה. בעל </w:t>
      </w:r>
      <w:r>
        <w:rPr>
          <w:rtl/>
        </w:rPr>
        <w:t>–</w:t>
      </w:r>
      <w:r>
        <w:rPr>
          <w:rFonts w:hint="cs"/>
          <w:rtl/>
        </w:rPr>
        <w:t xml:space="preserve"> פסלה.</w:t>
      </w:r>
      <w:r>
        <w:rPr>
          <w:rStyle w:val="a5"/>
          <w:rtl/>
        </w:rPr>
        <w:footnoteReference w:id="7"/>
      </w:r>
      <w:r>
        <w:rPr>
          <w:rFonts w:hint="cs"/>
          <w:rtl/>
        </w:rPr>
        <w:br/>
      </w:r>
      <w:r w:rsidRPr="00642466">
        <w:rPr>
          <w:rFonts w:hint="cs"/>
          <w:b/>
          <w:bCs/>
          <w:rtl/>
        </w:rPr>
        <w:t>איילונית</w:t>
      </w:r>
      <w:r>
        <w:rPr>
          <w:rFonts w:hint="cs"/>
          <w:rtl/>
        </w:rPr>
        <w:t xml:space="preserve"> </w:t>
      </w:r>
      <w:r>
        <w:rPr>
          <w:rtl/>
        </w:rPr>
        <w:t>–</w:t>
      </w:r>
      <w:r>
        <w:rPr>
          <w:rFonts w:hint="cs"/>
          <w:rtl/>
        </w:rPr>
        <w:t xml:space="preserve"> לא חולצת ולא מתייבמת.</w:t>
      </w:r>
      <w:r>
        <w:rPr>
          <w:rStyle w:val="a5"/>
          <w:rtl/>
        </w:rPr>
        <w:footnoteReference w:id="8"/>
      </w:r>
      <w:r>
        <w:rPr>
          <w:rFonts w:hint="cs"/>
          <w:rtl/>
        </w:rPr>
        <w:br/>
      </w:r>
      <w:r w:rsidRPr="00642466">
        <w:rPr>
          <w:rFonts w:hint="cs"/>
          <w:b/>
          <w:bCs/>
          <w:rtl/>
        </w:rPr>
        <w:t>חלצו לה</w:t>
      </w:r>
      <w:r>
        <w:rPr>
          <w:rFonts w:hint="cs"/>
          <w:rtl/>
        </w:rPr>
        <w:t xml:space="preserve"> </w:t>
      </w:r>
      <w:r>
        <w:rPr>
          <w:rtl/>
        </w:rPr>
        <w:t>–</w:t>
      </w:r>
      <w:r>
        <w:rPr>
          <w:rFonts w:hint="cs"/>
          <w:rtl/>
        </w:rPr>
        <w:t xml:space="preserve"> לא נפסלה. </w:t>
      </w:r>
      <w:r w:rsidRPr="00642466">
        <w:rPr>
          <w:rFonts w:hint="cs"/>
          <w:b/>
          <w:bCs/>
          <w:rtl/>
        </w:rPr>
        <w:t>בעלוה אחים</w:t>
      </w:r>
      <w:r>
        <w:rPr>
          <w:rFonts w:hint="cs"/>
          <w:rtl/>
        </w:rPr>
        <w:t xml:space="preserve"> </w:t>
      </w:r>
      <w:r>
        <w:rPr>
          <w:rtl/>
        </w:rPr>
        <w:t>–</w:t>
      </w:r>
      <w:r>
        <w:rPr>
          <w:rFonts w:hint="cs"/>
          <w:rtl/>
        </w:rPr>
        <w:t xml:space="preserve"> נפסלה לכהונה משום זונה.</w:t>
      </w:r>
    </w:p>
    <w:p w:rsidR="005C6842" w:rsidRDefault="005C6842" w:rsidP="005C6842">
      <w:pPr>
        <w:rPr>
          <w:rFonts w:hint="cs"/>
          <w:rtl/>
        </w:rPr>
      </w:pPr>
      <w:r w:rsidRPr="00642466">
        <w:rPr>
          <w:rFonts w:hint="cs"/>
          <w:b/>
          <w:bCs/>
          <w:rtl/>
        </w:rPr>
        <w:t>סריס אדם</w:t>
      </w:r>
      <w:r>
        <w:rPr>
          <w:rFonts w:hint="cs"/>
          <w:rtl/>
        </w:rPr>
        <w:t xml:space="preserve"> </w:t>
      </w:r>
      <w:r>
        <w:rPr>
          <w:rtl/>
        </w:rPr>
        <w:t>–</w:t>
      </w:r>
      <w:r>
        <w:rPr>
          <w:rFonts w:hint="cs"/>
          <w:rtl/>
        </w:rPr>
        <w:t xml:space="preserve"> הא דקי"ל מייבם וחולץ, היינו למאי דקי"ל אין ממזר מחייבי לאוין.</w:t>
      </w:r>
      <w:r>
        <w:rPr>
          <w:rStyle w:val="a5"/>
          <w:rtl/>
        </w:rPr>
        <w:footnoteReference w:id="9"/>
      </w:r>
      <w:r>
        <w:rPr>
          <w:rtl/>
        </w:rPr>
        <w:br/>
      </w:r>
      <w:r>
        <w:rPr>
          <w:rFonts w:hint="cs"/>
          <w:rtl/>
        </w:rPr>
        <w:t>וכן למ"ד אליבא דר"ע דרק חייבי לאוין דשאר כחייבי כריתות.</w:t>
      </w:r>
      <w:r>
        <w:rPr>
          <w:rtl/>
        </w:rPr>
        <w:br/>
      </w:r>
      <w:r>
        <w:rPr>
          <w:rFonts w:hint="cs"/>
          <w:rtl/>
        </w:rPr>
        <w:t>אבל למ"ד אליבא דר"ע דכל חייבי לאוין כח"כ, אם היבמה ישראלית, לא מייבם ולא חולץ.</w:t>
      </w:r>
      <w:r>
        <w:rPr>
          <w:rStyle w:val="a5"/>
          <w:rtl/>
        </w:rPr>
        <w:footnoteReference w:id="10"/>
      </w:r>
      <w:r>
        <w:rPr>
          <w:rtl/>
        </w:rPr>
        <w:br/>
      </w:r>
      <w:r w:rsidRPr="00642466">
        <w:rPr>
          <w:rFonts w:hint="cs"/>
          <w:b/>
          <w:bCs/>
          <w:rtl/>
        </w:rPr>
        <w:t>אם היבמה גיורת</w:t>
      </w:r>
      <w:r>
        <w:rPr>
          <w:rFonts w:hint="cs"/>
          <w:rtl/>
        </w:rPr>
        <w:t xml:space="preserve"> </w:t>
      </w:r>
      <w:r>
        <w:rPr>
          <w:rtl/>
        </w:rPr>
        <w:t>–</w:t>
      </w:r>
      <w:r>
        <w:rPr>
          <w:rFonts w:hint="cs"/>
          <w:rtl/>
        </w:rPr>
        <w:t xml:space="preserve"> מייבם וחולץ לכו"ע.</w:t>
      </w:r>
      <w:r>
        <w:rPr>
          <w:rStyle w:val="a5"/>
          <w:rtl/>
        </w:rPr>
        <w:footnoteReference w:id="11"/>
      </w:r>
    </w:p>
    <w:p w:rsidR="005C6842" w:rsidRDefault="005C6842" w:rsidP="005C6842">
      <w:pPr>
        <w:rPr>
          <w:rFonts w:hint="cs"/>
          <w:rtl/>
        </w:rPr>
      </w:pPr>
      <w:r w:rsidRPr="002F6953">
        <w:rPr>
          <w:rFonts w:hint="cs"/>
          <w:b/>
          <w:bCs/>
          <w:rtl/>
        </w:rPr>
        <w:lastRenderedPageBreak/>
        <w:t>פצוע דכא וכרו"ש סריס אדם, וזקן</w:t>
      </w:r>
      <w:r>
        <w:rPr>
          <w:rFonts w:hint="cs"/>
          <w:rtl/>
        </w:rPr>
        <w:t xml:space="preserve"> </w:t>
      </w:r>
      <w:r>
        <w:rPr>
          <w:rtl/>
        </w:rPr>
        <w:t>–</w:t>
      </w:r>
      <w:r>
        <w:rPr>
          <w:rFonts w:hint="cs"/>
          <w:rtl/>
        </w:rPr>
        <w:t xml:space="preserve"> נשותיהם חייבות ביבום או חליצה.</w:t>
      </w:r>
      <w:r>
        <w:rPr>
          <w:rStyle w:val="a5"/>
          <w:rtl/>
        </w:rPr>
        <w:footnoteReference w:id="12"/>
      </w:r>
      <w:r>
        <w:rPr>
          <w:rFonts w:hint="cs"/>
          <w:rtl/>
        </w:rPr>
        <w:br/>
        <w:t>עשו בהן מאמר, צריכות גט. נתנו להם גט, נאסרו ליבום. חלצו, הותרו לשוק ונאסרו לכהן.</w:t>
      </w:r>
      <w:r>
        <w:rPr>
          <w:rtl/>
        </w:rPr>
        <w:br/>
      </w:r>
      <w:r>
        <w:rPr>
          <w:rFonts w:hint="cs"/>
          <w:rtl/>
        </w:rPr>
        <w:t>ייבמון, קנו.</w:t>
      </w:r>
      <w:r>
        <w:rPr>
          <w:rtl/>
        </w:rPr>
        <w:br/>
      </w:r>
      <w:r w:rsidRPr="002F6953">
        <w:rPr>
          <w:rFonts w:hint="cs"/>
          <w:b/>
          <w:bCs/>
          <w:rtl/>
        </w:rPr>
        <w:t>סריס אדם וכדומה</w:t>
      </w:r>
      <w:r>
        <w:rPr>
          <w:rFonts w:hint="cs"/>
          <w:rtl/>
        </w:rPr>
        <w:t xml:space="preserve"> </w:t>
      </w:r>
      <w:r>
        <w:rPr>
          <w:rtl/>
        </w:rPr>
        <w:t>–</w:t>
      </w:r>
      <w:r>
        <w:rPr>
          <w:rFonts w:hint="cs"/>
          <w:rtl/>
        </w:rPr>
        <w:t xml:space="preserve"> חולצין. </w:t>
      </w:r>
      <w:r>
        <w:rPr>
          <w:rtl/>
        </w:rPr>
        <w:br/>
      </w:r>
      <w:r>
        <w:rPr>
          <w:rFonts w:hint="cs"/>
          <w:rtl/>
        </w:rPr>
        <w:t xml:space="preserve">עשה מאמר ביבמתו, צריכה גט. נתן גט, נאסרה. חלץ, הותרה. בעל </w:t>
      </w:r>
      <w:r>
        <w:rPr>
          <w:rtl/>
        </w:rPr>
        <w:t>–</w:t>
      </w:r>
      <w:r>
        <w:rPr>
          <w:rFonts w:hint="cs"/>
          <w:rtl/>
        </w:rPr>
        <w:t xml:space="preserve"> קנה ואסור לקיימה.</w:t>
      </w:r>
      <w:r>
        <w:rPr>
          <w:rStyle w:val="a5"/>
          <w:rtl/>
        </w:rPr>
        <w:footnoteReference w:id="13"/>
      </w:r>
      <w:r>
        <w:rPr>
          <w:rFonts w:hint="cs"/>
          <w:rtl/>
        </w:rPr>
        <w:br/>
        <w:t xml:space="preserve">נפלה היבמה ואח"כ נפצע היבם </w:t>
      </w:r>
      <w:r>
        <w:rPr>
          <w:rtl/>
        </w:rPr>
        <w:t>–</w:t>
      </w:r>
      <w:r>
        <w:rPr>
          <w:rFonts w:hint="cs"/>
          <w:rtl/>
        </w:rPr>
        <w:t xml:space="preserve"> נאסר בה.</w:t>
      </w:r>
      <w:r>
        <w:rPr>
          <w:rStyle w:val="a5"/>
          <w:rtl/>
        </w:rPr>
        <w:footnoteReference w:id="14"/>
      </w:r>
    </w:p>
    <w:p w:rsidR="005C6842" w:rsidRDefault="005C6842" w:rsidP="005C6842">
      <w:pPr>
        <w:rPr>
          <w:rtl/>
        </w:rPr>
      </w:pPr>
      <w:r>
        <w:rPr>
          <w:rFonts w:hint="cs"/>
          <w:rtl/>
        </w:rPr>
        <w:t>(</w:t>
      </w:r>
      <w:r w:rsidRPr="002F6953">
        <w:rPr>
          <w:rFonts w:hint="cs"/>
          <w:b/>
          <w:bCs/>
          <w:rtl/>
        </w:rPr>
        <w:t>מת בעל הגדולה ונפלה לפני בעל אחותה הקטנה</w:t>
      </w:r>
      <w:r>
        <w:rPr>
          <w:rFonts w:hint="cs"/>
          <w:rtl/>
        </w:rPr>
        <w:t xml:space="preserve"> </w:t>
      </w:r>
      <w:r>
        <w:rPr>
          <w:rtl/>
        </w:rPr>
        <w:t>–</w:t>
      </w:r>
      <w:r>
        <w:rPr>
          <w:rFonts w:hint="cs"/>
          <w:rtl/>
        </w:rPr>
        <w:t xml:space="preserve"> עי' להלן קט.).</w:t>
      </w:r>
      <w:r>
        <w:rPr>
          <w:rtl/>
        </w:rPr>
        <w:br/>
      </w:r>
      <w:r w:rsidRPr="002F6953">
        <w:rPr>
          <w:rFonts w:hint="cs"/>
          <w:b/>
          <w:bCs/>
          <w:rtl/>
        </w:rPr>
        <w:t>בשעה שקודמת למיתה</w:t>
      </w:r>
      <w:r>
        <w:rPr>
          <w:rFonts w:hint="cs"/>
          <w:rtl/>
        </w:rPr>
        <w:t xml:space="preserve"> </w:t>
      </w:r>
      <w:r>
        <w:rPr>
          <w:rtl/>
        </w:rPr>
        <w:t>–</w:t>
      </w:r>
      <w:r>
        <w:rPr>
          <w:rFonts w:hint="cs"/>
          <w:rtl/>
        </w:rPr>
        <w:t xml:space="preserve"> לכאורה לר"ע דינו כסריס ואסור לבוא בקהל ור"א מותר.</w:t>
      </w:r>
    </w:p>
    <w:p w:rsidR="00CC6452" w:rsidRDefault="00CC6452"/>
    <w:sectPr w:rsidR="00CC6452"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A86" w:rsidRDefault="005E0A86" w:rsidP="005C6842">
      <w:pPr>
        <w:spacing w:after="0" w:line="240" w:lineRule="auto"/>
      </w:pPr>
      <w:r>
        <w:separator/>
      </w:r>
    </w:p>
  </w:endnote>
  <w:endnote w:type="continuationSeparator" w:id="0">
    <w:p w:rsidR="005E0A86" w:rsidRDefault="005E0A86" w:rsidP="005C6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A86" w:rsidRDefault="005E0A86" w:rsidP="005C6842">
      <w:pPr>
        <w:spacing w:after="0" w:line="240" w:lineRule="auto"/>
      </w:pPr>
      <w:r>
        <w:separator/>
      </w:r>
    </w:p>
  </w:footnote>
  <w:footnote w:type="continuationSeparator" w:id="0">
    <w:p w:rsidR="005E0A86" w:rsidRDefault="005E0A86" w:rsidP="005C6842">
      <w:pPr>
        <w:spacing w:after="0" w:line="240" w:lineRule="auto"/>
      </w:pPr>
      <w:r>
        <w:continuationSeparator/>
      </w:r>
    </w:p>
  </w:footnote>
  <w:footnote w:id="1">
    <w:p w:rsidR="005C6842" w:rsidRDefault="005C6842" w:rsidP="005C6842">
      <w:pPr>
        <w:pStyle w:val="a3"/>
      </w:pPr>
      <w:r>
        <w:rPr>
          <w:rStyle w:val="a5"/>
        </w:rPr>
        <w:footnoteRef/>
      </w:r>
      <w:r>
        <w:rPr>
          <w:rtl/>
        </w:rPr>
        <w:t xml:space="preserve"> </w:t>
      </w:r>
      <w:r>
        <w:rPr>
          <w:rFonts w:hint="cs"/>
          <w:rtl/>
        </w:rPr>
        <w:t>מוכח בפסוקים שהכוונה לבושה הנובעת מיראת ה'.</w:t>
      </w:r>
    </w:p>
  </w:footnote>
  <w:footnote w:id="2">
    <w:p w:rsidR="005C6842" w:rsidRDefault="005C6842" w:rsidP="005C6842">
      <w:pPr>
        <w:pStyle w:val="a3"/>
        <w:rPr>
          <w:rtl/>
        </w:rPr>
      </w:pPr>
      <w:r>
        <w:rPr>
          <w:rStyle w:val="a5"/>
        </w:rPr>
        <w:footnoteRef/>
      </w:r>
      <w:r>
        <w:rPr>
          <w:rtl/>
        </w:rPr>
        <w:t xml:space="preserve"> </w:t>
      </w:r>
      <w:r>
        <w:rPr>
          <w:rFonts w:hint="cs"/>
          <w:rtl/>
        </w:rPr>
        <w:t>מבואר בסוגיא שהיה אסור למנוע מלהעביר לפני הארון מי שכלול בהוראה, ואף היה אסור לבקש רחמים שיפלטנו הארון, אבל היה מותר לבקש שלא יקלטנו.</w:t>
      </w:r>
    </w:p>
  </w:footnote>
  <w:footnote w:id="3">
    <w:p w:rsidR="005C6842" w:rsidRDefault="005C6842" w:rsidP="005C6842">
      <w:pPr>
        <w:pStyle w:val="a3"/>
        <w:rPr>
          <w:rtl/>
        </w:rPr>
      </w:pPr>
      <w:r>
        <w:rPr>
          <w:rStyle w:val="a5"/>
        </w:rPr>
        <w:footnoteRef/>
      </w:r>
      <w:r>
        <w:rPr>
          <w:rtl/>
        </w:rPr>
        <w:t xml:space="preserve"> </w:t>
      </w:r>
      <w:r>
        <w:rPr>
          <w:rFonts w:hint="cs"/>
          <w:rtl/>
        </w:rPr>
        <w:t>שיטת ר"ת בתוס' שבחיתון אסורים מדאורייתא, והגזירה היא על עבדות. עוד משמע מרש"י שגזירת משה היתה על חוטבי עצים ושואבי מים שבדורו, ולא על הגבעונים שבאו רק בימי יהושע. ואכמ"ל.</w:t>
      </w:r>
    </w:p>
  </w:footnote>
  <w:footnote w:id="4">
    <w:p w:rsidR="005C6842" w:rsidRDefault="005C6842" w:rsidP="005C6842">
      <w:pPr>
        <w:pStyle w:val="a3"/>
      </w:pPr>
      <w:r>
        <w:rPr>
          <w:rStyle w:val="a5"/>
        </w:rPr>
        <w:footnoteRef/>
      </w:r>
      <w:r>
        <w:rPr>
          <w:rtl/>
        </w:rPr>
        <w:t xml:space="preserve"> </w:t>
      </w:r>
      <w:r>
        <w:rPr>
          <w:rFonts w:hint="cs"/>
          <w:rtl/>
        </w:rPr>
        <w:t>שמו מחוי ולכן לא מייבמים ולא חולצין לאשתו, והוא לא יכול להקים שם ולכן אינו מייבם ולא חולץ.</w:t>
      </w:r>
    </w:p>
  </w:footnote>
  <w:footnote w:id="5">
    <w:p w:rsidR="005C6842" w:rsidRDefault="005C6842" w:rsidP="005C6842">
      <w:pPr>
        <w:pStyle w:val="a3"/>
        <w:rPr>
          <w:rtl/>
        </w:rPr>
      </w:pPr>
      <w:r>
        <w:rPr>
          <w:rStyle w:val="a5"/>
        </w:rPr>
        <w:footnoteRef/>
      </w:r>
      <w:r>
        <w:rPr>
          <w:rtl/>
        </w:rPr>
        <w:t xml:space="preserve"> </w:t>
      </w:r>
      <w:r>
        <w:rPr>
          <w:rFonts w:hint="cs"/>
          <w:rtl/>
        </w:rPr>
        <w:t>לו יצוייר סריס אדם מבטן אמו היה מודה ר"ע דאין חולץ. שהכוונה סריס אדם בסוגיא זו אינה כמו לגבי איסור קהל, אלא שנעשה כן אחר לידתו. ועי' להלן דלא בכל אופן מייבם וחולץ. ובכל אופן חולצים ומייבמים את אשתו.</w:t>
      </w:r>
    </w:p>
  </w:footnote>
  <w:footnote w:id="6">
    <w:p w:rsidR="005C6842" w:rsidRDefault="005C6842" w:rsidP="005C6842">
      <w:pPr>
        <w:pStyle w:val="a3"/>
      </w:pPr>
      <w:r>
        <w:rPr>
          <w:rStyle w:val="a5"/>
        </w:rPr>
        <w:footnoteRef/>
      </w:r>
      <w:r>
        <w:rPr>
          <w:rtl/>
        </w:rPr>
        <w:t xml:space="preserve"> </w:t>
      </w:r>
      <w:r>
        <w:rPr>
          <w:rFonts w:hint="cs"/>
          <w:rtl/>
        </w:rPr>
        <w:t>כן העיד ריב"ב וכן סתמה המשנה כמבואר להלן בכוונת המשך המשנה. והיינו סריס מלידה. ולו יצוייר סריס חמה לאחר לידה, כמו מברד ורעמים וכדומה (רש"י עה: ד"ה בידי שמים) יודה ר"ע שחולץ. ומה שהוצרכו להוכיח דהלכה כר"ע מעובדא דבן מגוסת אע"פ שכללא הוא דהלכה כר"ע מחבירו, אפשר משום שהיה ר"א רבו.</w:t>
      </w:r>
    </w:p>
  </w:footnote>
  <w:footnote w:id="7">
    <w:p w:rsidR="005C6842" w:rsidRDefault="005C6842" w:rsidP="005C6842">
      <w:pPr>
        <w:pStyle w:val="a3"/>
      </w:pPr>
      <w:r>
        <w:rPr>
          <w:rStyle w:val="a5"/>
        </w:rPr>
        <w:footnoteRef/>
      </w:r>
      <w:r>
        <w:rPr>
          <w:rtl/>
        </w:rPr>
        <w:t xml:space="preserve"> </w:t>
      </w:r>
      <w:r>
        <w:rPr>
          <w:rFonts w:hint="cs"/>
          <w:rtl/>
        </w:rPr>
        <w:t>דהוי אשת אח שלא במקום מצוה ועשאה זונה.</w:t>
      </w:r>
    </w:p>
  </w:footnote>
  <w:footnote w:id="8">
    <w:p w:rsidR="005C6842" w:rsidRDefault="005C6842" w:rsidP="005C6842">
      <w:pPr>
        <w:pStyle w:val="a3"/>
      </w:pPr>
      <w:r>
        <w:rPr>
          <w:rStyle w:val="a5"/>
        </w:rPr>
        <w:footnoteRef/>
      </w:r>
      <w:r>
        <w:rPr>
          <w:rtl/>
        </w:rPr>
        <w:t xml:space="preserve"> </w:t>
      </w:r>
      <w:r>
        <w:rPr>
          <w:rFonts w:hint="cs"/>
          <w:rtl/>
        </w:rPr>
        <w:t>איילונית היינו מלידה, והיינו כשיטת ר"ע. סוגיא להלן.</w:t>
      </w:r>
    </w:p>
  </w:footnote>
  <w:footnote w:id="9">
    <w:p w:rsidR="005C6842" w:rsidRDefault="005C6842" w:rsidP="005C6842">
      <w:pPr>
        <w:pStyle w:val="a3"/>
        <w:rPr>
          <w:rtl/>
        </w:rPr>
      </w:pPr>
      <w:r>
        <w:rPr>
          <w:rStyle w:val="a5"/>
        </w:rPr>
        <w:footnoteRef/>
      </w:r>
      <w:r>
        <w:rPr>
          <w:rtl/>
        </w:rPr>
        <w:t xml:space="preserve"> </w:t>
      </w:r>
      <w:r>
        <w:rPr>
          <w:rFonts w:hint="cs"/>
          <w:rtl/>
        </w:rPr>
        <w:t>מחד גיסא קי"ל כר"ע דאין נחשב שמו מחוי כיון שהיתה לו שעת הכושר, ומאידך לא קי"ל כוותיה במאי דאמר חייבי לאוין כחייבי כריתות.</w:t>
      </w:r>
    </w:p>
  </w:footnote>
  <w:footnote w:id="10">
    <w:p w:rsidR="005C6842" w:rsidRDefault="005C6842" w:rsidP="005C6842">
      <w:pPr>
        <w:pStyle w:val="a3"/>
        <w:rPr>
          <w:rtl/>
        </w:rPr>
      </w:pPr>
      <w:r>
        <w:rPr>
          <w:rStyle w:val="a5"/>
        </w:rPr>
        <w:footnoteRef/>
      </w:r>
      <w:r>
        <w:rPr>
          <w:rtl/>
        </w:rPr>
        <w:t xml:space="preserve"> </w:t>
      </w:r>
      <w:r>
        <w:rPr>
          <w:rFonts w:hint="cs"/>
          <w:rtl/>
        </w:rPr>
        <w:t>דאינה נופלת ליבום, ואינה זקוקה לחליצה, ואם מייבם הוי אשת אח שלא במקום מצוה.</w:t>
      </w:r>
    </w:p>
  </w:footnote>
  <w:footnote w:id="11">
    <w:p w:rsidR="005C6842" w:rsidRDefault="005C6842" w:rsidP="005C6842">
      <w:pPr>
        <w:pStyle w:val="a3"/>
        <w:rPr>
          <w:rtl/>
        </w:rPr>
      </w:pPr>
      <w:r>
        <w:rPr>
          <w:rStyle w:val="a5"/>
        </w:rPr>
        <w:footnoteRef/>
      </w:r>
      <w:r>
        <w:rPr>
          <w:rtl/>
        </w:rPr>
        <w:t xml:space="preserve"> </w:t>
      </w:r>
      <w:r>
        <w:rPr>
          <w:rFonts w:hint="cs"/>
          <w:rtl/>
        </w:rPr>
        <w:t>היינו לכל הדעות בענין גדר חייבי לאוין, אבל רק למאי דקי"ל דסריס אדם אינו בגדר שמו מחוי. ורק למאי דקי"ל קהל גרים לא איקרי קהל. למ"ד איקרי קהל, גיורת כישראלית. (לס"ד דאיירי בגיורת פירש"י דר' יהושע ס"ל איקרי קהל ולכן לא מייבם, ומאידך ח"ל אינו כח"כ ולכן חולץ).</w:t>
      </w:r>
    </w:p>
  </w:footnote>
  <w:footnote w:id="12">
    <w:p w:rsidR="005C6842" w:rsidRDefault="005C6842" w:rsidP="005C6842">
      <w:pPr>
        <w:pStyle w:val="a3"/>
        <w:rPr>
          <w:rFonts w:hint="cs"/>
          <w:rtl/>
        </w:rPr>
      </w:pPr>
      <w:r>
        <w:rPr>
          <w:rStyle w:val="a5"/>
        </w:rPr>
        <w:footnoteRef/>
      </w:r>
      <w:r>
        <w:rPr>
          <w:rtl/>
        </w:rPr>
        <w:t xml:space="preserve"> </w:t>
      </w:r>
      <w:r>
        <w:rPr>
          <w:rFonts w:hint="cs"/>
          <w:rtl/>
        </w:rPr>
        <w:t>וכנ"ל דהכי קי"ל כר"ע. וזקן אף אם נדונו כסריס, מ"מ היתה לו שעת הכושר.</w:t>
      </w:r>
    </w:p>
  </w:footnote>
  <w:footnote w:id="13">
    <w:p w:rsidR="005C6842" w:rsidRDefault="005C6842" w:rsidP="005C6842">
      <w:pPr>
        <w:pStyle w:val="a3"/>
        <w:rPr>
          <w:rFonts w:hint="cs"/>
        </w:rPr>
      </w:pPr>
      <w:r>
        <w:rPr>
          <w:rStyle w:val="a5"/>
        </w:rPr>
        <w:footnoteRef/>
      </w:r>
      <w:r>
        <w:rPr>
          <w:rtl/>
        </w:rPr>
        <w:t xml:space="preserve"> </w:t>
      </w:r>
      <w:r>
        <w:rPr>
          <w:rFonts w:hint="cs"/>
          <w:rtl/>
        </w:rPr>
        <w:t>לכתחילה אסור לייבם, ואסור לקיים משום איסור פצו"ד דלכו"ע היינו בידי אדם, ובדיעבד קנה משום דקי"ל חי"ל נזקקת.</w:t>
      </w:r>
    </w:p>
  </w:footnote>
  <w:footnote w:id="14">
    <w:p w:rsidR="005C6842" w:rsidRDefault="005C6842" w:rsidP="005C6842">
      <w:pPr>
        <w:pStyle w:val="a3"/>
        <w:rPr>
          <w:rFonts w:hint="cs"/>
        </w:rPr>
      </w:pPr>
      <w:r>
        <w:rPr>
          <w:rStyle w:val="a5"/>
        </w:rPr>
        <w:footnoteRef/>
      </w:r>
      <w:r>
        <w:rPr>
          <w:rtl/>
        </w:rPr>
        <w:t xml:space="preserve"> </w:t>
      </w:r>
      <w:r>
        <w:rPr>
          <w:rFonts w:hint="cs"/>
          <w:rtl/>
        </w:rPr>
        <w:t>ולר"א דסריס שאינו מייבם היינו סריס אדם, אף פקע זיקתה ומותרת לשוק בלא חליצה. וכן למ"ד ח"ל כח"כ. ודין זה ל"ש בזקן, שאף דאינו מוליד, אינו אסור לבוא בקהל.</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5C6842"/>
    <w:rsid w:val="00240196"/>
    <w:rsid w:val="00484357"/>
    <w:rsid w:val="005A5BAA"/>
    <w:rsid w:val="005C6842"/>
    <w:rsid w:val="005E0A86"/>
    <w:rsid w:val="00AF7868"/>
    <w:rsid w:val="00CC64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84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6842"/>
    <w:pPr>
      <w:spacing w:after="0" w:line="240" w:lineRule="auto"/>
    </w:pPr>
    <w:rPr>
      <w:sz w:val="20"/>
      <w:szCs w:val="20"/>
    </w:rPr>
  </w:style>
  <w:style w:type="character" w:customStyle="1" w:styleId="a4">
    <w:name w:val="טקסט הערת שוליים תו"/>
    <w:basedOn w:val="a0"/>
    <w:link w:val="a3"/>
    <w:uiPriority w:val="99"/>
    <w:semiHidden/>
    <w:rsid w:val="005C6842"/>
    <w:rPr>
      <w:sz w:val="20"/>
      <w:szCs w:val="20"/>
    </w:rPr>
  </w:style>
  <w:style w:type="character" w:styleId="a5">
    <w:name w:val="footnote reference"/>
    <w:basedOn w:val="a0"/>
    <w:uiPriority w:val="99"/>
    <w:semiHidden/>
    <w:unhideWhenUsed/>
    <w:rsid w:val="005C684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1363</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2014-12-25T15:09:00Z</dcterms:created>
  <dcterms:modified xsi:type="dcterms:W3CDTF">2014-12-25T15:09:00Z</dcterms:modified>
</cp:coreProperties>
</file>