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DDC" w:rsidRPr="000F18B5" w:rsidRDefault="006E2DDC" w:rsidP="006E2DDC">
      <w:pPr>
        <w:rPr>
          <w:b/>
          <w:bCs/>
          <w:i/>
          <w:iCs/>
          <w:rtl/>
        </w:rPr>
      </w:pPr>
      <w:r w:rsidRPr="000F18B5">
        <w:rPr>
          <w:rFonts w:hint="cs"/>
          <w:b/>
          <w:bCs/>
          <w:i/>
          <w:iCs/>
          <w:rtl/>
        </w:rPr>
        <w:t>פ.</w:t>
      </w:r>
    </w:p>
    <w:p w:rsidR="006E2DDC" w:rsidRDefault="006E2DDC" w:rsidP="006E2DDC">
      <w:pPr>
        <w:rPr>
          <w:rtl/>
        </w:rPr>
      </w:pPr>
      <w:r w:rsidRPr="000F18B5">
        <w:rPr>
          <w:rFonts w:hint="cs"/>
          <w:b/>
          <w:bCs/>
          <w:rtl/>
        </w:rPr>
        <w:t>סימן לסריס חמה בילדותו</w:t>
      </w:r>
      <w:r>
        <w:rPr>
          <w:rFonts w:hint="cs"/>
          <w:rtl/>
        </w:rPr>
        <w:t xml:space="preserve"> </w:t>
      </w:r>
      <w:r>
        <w:rPr>
          <w:rtl/>
        </w:rPr>
        <w:t>–</w:t>
      </w:r>
      <w:r>
        <w:rPr>
          <w:rFonts w:hint="cs"/>
          <w:rtl/>
        </w:rPr>
        <w:t xml:space="preserve"> מטיל מים ואינו עושה כיפה.</w:t>
      </w:r>
      <w:r>
        <w:rPr>
          <w:rStyle w:val="a5"/>
          <w:rtl/>
        </w:rPr>
        <w:footnoteReference w:id="1"/>
      </w:r>
      <w:r>
        <w:rPr>
          <w:rtl/>
        </w:rPr>
        <w:br/>
      </w:r>
      <w:r w:rsidRPr="000F18B5">
        <w:rPr>
          <w:rFonts w:hint="cs"/>
          <w:b/>
          <w:bCs/>
          <w:rtl/>
        </w:rPr>
        <w:t>סריס חמה בילדותו וגם היום ובאמצע לא בדקנו</w:t>
      </w:r>
      <w:r>
        <w:rPr>
          <w:rFonts w:hint="cs"/>
          <w:rtl/>
        </w:rPr>
        <w:t xml:space="preserve"> </w:t>
      </w:r>
      <w:r>
        <w:rPr>
          <w:rtl/>
        </w:rPr>
        <w:t>–</w:t>
      </w:r>
      <w:r>
        <w:rPr>
          <w:rFonts w:hint="cs"/>
          <w:rtl/>
        </w:rPr>
        <w:t xml:space="preserve"> בחזקת שלא היתה לו שעת הכושר מעולם.</w:t>
      </w:r>
      <w:r>
        <w:rPr>
          <w:rStyle w:val="a5"/>
          <w:rtl/>
        </w:rPr>
        <w:footnoteReference w:id="2"/>
      </w:r>
      <w:r>
        <w:rPr>
          <w:rtl/>
        </w:rPr>
        <w:br/>
      </w:r>
      <w:r w:rsidRPr="000F18B5">
        <w:rPr>
          <w:rFonts w:hint="cs"/>
          <w:b/>
          <w:bCs/>
          <w:rtl/>
        </w:rPr>
        <w:t>חוורור הקבוע</w:t>
      </w:r>
      <w:r>
        <w:rPr>
          <w:rFonts w:hint="cs"/>
          <w:rtl/>
        </w:rPr>
        <w:t xml:space="preserve"> </w:t>
      </w:r>
      <w:r>
        <w:rPr>
          <w:rtl/>
        </w:rPr>
        <w:t>–</w:t>
      </w:r>
      <w:r>
        <w:rPr>
          <w:rFonts w:hint="cs"/>
          <w:rtl/>
        </w:rPr>
        <w:t xml:space="preserve"> אחד ממומי הבכור, וצריך שיהא קבוע שמונים יום.</w:t>
      </w:r>
      <w:r>
        <w:rPr>
          <w:rtl/>
        </w:rPr>
        <w:br/>
      </w:r>
      <w:r>
        <w:rPr>
          <w:rFonts w:hint="cs"/>
          <w:rtl/>
        </w:rPr>
        <w:t xml:space="preserve">   בדיקה תחילה וסוף לא מספיקה, עד שיבדוק גם באמצע.</w:t>
      </w:r>
    </w:p>
    <w:p w:rsidR="006E2DDC" w:rsidRDefault="006E2DDC" w:rsidP="006E2DDC">
      <w:pPr>
        <w:rPr>
          <w:rtl/>
        </w:rPr>
      </w:pPr>
      <w:r w:rsidRPr="000F18B5">
        <w:rPr>
          <w:rFonts w:hint="cs"/>
          <w:b/>
          <w:bCs/>
          <w:rtl/>
        </w:rPr>
        <w:t>גדול בשנים שלא הביא שערות;</w:t>
      </w:r>
      <w:r w:rsidRPr="000F18B5">
        <w:rPr>
          <w:b/>
          <w:bCs/>
          <w:rtl/>
        </w:rPr>
        <w:br/>
      </w:r>
      <w:r w:rsidRPr="000F18B5">
        <w:rPr>
          <w:rFonts w:hint="cs"/>
          <w:b/>
          <w:bCs/>
          <w:rtl/>
        </w:rPr>
        <w:t>אם לא הביא סימני סריס</w:t>
      </w:r>
      <w:r>
        <w:rPr>
          <w:rFonts w:hint="cs"/>
          <w:rtl/>
        </w:rPr>
        <w:t xml:space="preserve"> - מחזיקין אותו כקטן עד רוב שנותיו.</w:t>
      </w:r>
      <w:r>
        <w:rPr>
          <w:rFonts w:hint="cs"/>
          <w:rtl/>
        </w:rPr>
        <w:br/>
      </w:r>
      <w:r w:rsidRPr="000F18B5">
        <w:rPr>
          <w:rFonts w:hint="cs"/>
          <w:b/>
          <w:bCs/>
          <w:rtl/>
        </w:rPr>
        <w:t>הביא סימני סריס</w:t>
      </w:r>
      <w:r>
        <w:rPr>
          <w:rFonts w:hint="cs"/>
          <w:rtl/>
        </w:rPr>
        <w:t xml:space="preserve"> </w:t>
      </w:r>
      <w:r>
        <w:rPr>
          <w:rStyle w:val="a5"/>
          <w:rtl/>
        </w:rPr>
        <w:footnoteReference w:id="3"/>
      </w:r>
      <w:r>
        <w:rPr>
          <w:rtl/>
        </w:rPr>
        <w:t>–</w:t>
      </w:r>
      <w:r>
        <w:rPr>
          <w:rFonts w:hint="cs"/>
          <w:rtl/>
        </w:rPr>
        <w:t xml:space="preserve"> הרי הוא סריס מגיל מסויים.</w:t>
      </w:r>
      <w:r>
        <w:rPr>
          <w:rtl/>
        </w:rPr>
        <w:br/>
      </w:r>
      <w:r>
        <w:rPr>
          <w:rFonts w:hint="cs"/>
          <w:rtl/>
        </w:rPr>
        <w:t>לב"ה מבן עשרים בין לזכר ובין לנקבה, לב"ש מבן י"ח. לרבי אליעזר זכר עשרים ונקיבה י"ח.</w:t>
      </w:r>
      <w:r>
        <w:rPr>
          <w:rtl/>
        </w:rPr>
        <w:br/>
      </w:r>
      <w:r w:rsidRPr="000F18B5">
        <w:rPr>
          <w:rFonts w:hint="cs"/>
          <w:b/>
          <w:bCs/>
          <w:rtl/>
        </w:rPr>
        <w:t>שיטת רבי אליעזר</w:t>
      </w:r>
      <w:r>
        <w:rPr>
          <w:rFonts w:hint="cs"/>
          <w:rtl/>
        </w:rPr>
        <w:t xml:space="preserve"> </w:t>
      </w:r>
      <w:r>
        <w:rPr>
          <w:rtl/>
        </w:rPr>
        <w:t>–</w:t>
      </w:r>
      <w:r>
        <w:rPr>
          <w:rFonts w:hint="cs"/>
          <w:rtl/>
        </w:rPr>
        <w:t xml:space="preserve"> לת"א גם לחליצה, אלא דשוב חזר בו והכריע דסריס חמה חולץ.</w:t>
      </w:r>
      <w:r>
        <w:rPr>
          <w:rFonts w:hint="cs"/>
          <w:rtl/>
        </w:rPr>
        <w:br/>
        <w:t>לת"ב דבריו רק לעונשין</w:t>
      </w:r>
      <w:r>
        <w:rPr>
          <w:rStyle w:val="a5"/>
          <w:rtl/>
        </w:rPr>
        <w:footnoteReference w:id="4"/>
      </w:r>
      <w:r>
        <w:rPr>
          <w:rFonts w:hint="cs"/>
          <w:rtl/>
        </w:rPr>
        <w:t>, אבל לחליצה דעתו כנ"ל דאף סריס חמה חולץ.</w:t>
      </w:r>
    </w:p>
    <w:p w:rsidR="006E2DDC" w:rsidRDefault="006E2DDC" w:rsidP="006E2DDC">
      <w:pPr>
        <w:rPr>
          <w:rtl/>
        </w:rPr>
      </w:pPr>
      <w:r w:rsidRPr="000F18B5">
        <w:rPr>
          <w:rFonts w:hint="cs"/>
          <w:b/>
          <w:bCs/>
          <w:rtl/>
        </w:rPr>
        <w:t>גדול בשנים שלא הביא שערות ואכל חלב והביא סימני סריס</w:t>
      </w:r>
      <w:r w:rsidRPr="000F18B5">
        <w:rPr>
          <w:rStyle w:val="a5"/>
          <w:b/>
          <w:bCs/>
          <w:rtl/>
        </w:rPr>
        <w:footnoteReference w:id="5"/>
      </w:r>
      <w:r w:rsidRPr="000F18B5">
        <w:rPr>
          <w:rFonts w:hint="cs"/>
          <w:b/>
          <w:bCs/>
          <w:rtl/>
        </w:rPr>
        <w:t xml:space="preserve"> -</w:t>
      </w:r>
      <w:r w:rsidRPr="000F18B5">
        <w:rPr>
          <w:b/>
          <w:bCs/>
          <w:rtl/>
        </w:rPr>
        <w:br/>
      </w:r>
      <w:r>
        <w:rPr>
          <w:rFonts w:hint="cs"/>
          <w:rtl/>
        </w:rPr>
        <w:t>לרב נעשה סריס למפרע, ולוקה</w:t>
      </w:r>
      <w:r>
        <w:rPr>
          <w:rStyle w:val="a5"/>
          <w:rtl/>
        </w:rPr>
        <w:footnoteReference w:id="6"/>
      </w:r>
      <w:r>
        <w:rPr>
          <w:rFonts w:hint="cs"/>
          <w:rtl/>
        </w:rPr>
        <w:t xml:space="preserve"> על מה שאכל מבן יג לזכר ויב לנקיבה.</w:t>
      </w:r>
      <w:r>
        <w:rPr>
          <w:rFonts w:hint="cs"/>
          <w:rtl/>
        </w:rPr>
        <w:br/>
        <w:t>לשמואל הוי סריס רק מבן עשרים</w:t>
      </w:r>
      <w:r>
        <w:rPr>
          <w:rStyle w:val="a5"/>
          <w:rtl/>
        </w:rPr>
        <w:footnoteReference w:id="7"/>
      </w:r>
      <w:r>
        <w:rPr>
          <w:rFonts w:hint="cs"/>
          <w:rtl/>
        </w:rPr>
        <w:t xml:space="preserve"> ולהבא, אבל למפרע נשאר קטן.</w:t>
      </w:r>
    </w:p>
    <w:p w:rsidR="006E2DDC" w:rsidRDefault="006E2DDC" w:rsidP="006E2DDC">
      <w:pPr>
        <w:rPr>
          <w:rtl/>
        </w:rPr>
      </w:pPr>
      <w:r w:rsidRPr="000F18B5">
        <w:rPr>
          <w:rFonts w:hint="cs"/>
          <w:b/>
          <w:bCs/>
          <w:rtl/>
        </w:rPr>
        <w:t>סריס</w:t>
      </w:r>
      <w:r>
        <w:rPr>
          <w:rFonts w:hint="cs"/>
          <w:rtl/>
        </w:rPr>
        <w:t xml:space="preserve"> </w:t>
      </w:r>
      <w:r>
        <w:rPr>
          <w:rtl/>
        </w:rPr>
        <w:t>–</w:t>
      </w:r>
      <w:r>
        <w:rPr>
          <w:rFonts w:hint="cs"/>
          <w:rtl/>
        </w:rPr>
        <w:t xml:space="preserve"> אינו נידון כבן סורר ומורה, לפי שאין לו זקן התחתון.</w:t>
      </w:r>
      <w:r>
        <w:rPr>
          <w:rStyle w:val="a5"/>
          <w:rtl/>
        </w:rPr>
        <w:footnoteReference w:id="8"/>
      </w:r>
      <w:r>
        <w:rPr>
          <w:rtl/>
        </w:rPr>
        <w:br/>
      </w:r>
      <w:r w:rsidRPr="000F18B5">
        <w:rPr>
          <w:rFonts w:hint="cs"/>
          <w:b/>
          <w:bCs/>
          <w:rtl/>
        </w:rPr>
        <w:t>איילונית</w:t>
      </w:r>
      <w:r>
        <w:rPr>
          <w:rFonts w:hint="cs"/>
          <w:rtl/>
        </w:rPr>
        <w:t xml:space="preserve"> </w:t>
      </w:r>
      <w:r>
        <w:rPr>
          <w:rtl/>
        </w:rPr>
        <w:t>–</w:t>
      </w:r>
      <w:r>
        <w:rPr>
          <w:rFonts w:hint="cs"/>
          <w:rtl/>
        </w:rPr>
        <w:t xml:space="preserve"> אף לרב דהויא גדולה למפרע, מ"מ מקטנותה יוצאת לבגר ואין לה דיני נערה.</w:t>
      </w:r>
      <w:r>
        <w:rPr>
          <w:rStyle w:val="a5"/>
          <w:rtl/>
        </w:rPr>
        <w:footnoteReference w:id="9"/>
      </w:r>
      <w:r>
        <w:rPr>
          <w:rFonts w:hint="cs"/>
          <w:rtl/>
        </w:rPr>
        <w:br/>
      </w:r>
      <w:r w:rsidRPr="000F18B5">
        <w:rPr>
          <w:rFonts w:hint="cs"/>
          <w:b/>
          <w:bCs/>
          <w:rtl/>
        </w:rPr>
        <w:t xml:space="preserve">קנס דאונס ומפתה </w:t>
      </w:r>
      <w:r>
        <w:rPr>
          <w:rtl/>
        </w:rPr>
        <w:t>–</w:t>
      </w:r>
      <w:r>
        <w:rPr>
          <w:rFonts w:hint="cs"/>
          <w:rtl/>
        </w:rPr>
        <w:t xml:space="preserve"> נוהג בנערה, ולא בבוגרת. בקטנה, לר"מ לא נוהג לחכמים נוהג.</w:t>
      </w:r>
      <w:r>
        <w:rPr>
          <w:rtl/>
        </w:rPr>
        <w:br/>
      </w:r>
      <w:r w:rsidRPr="000F18B5">
        <w:rPr>
          <w:rFonts w:hint="cs"/>
          <w:b/>
          <w:bCs/>
          <w:rtl/>
        </w:rPr>
        <w:t>איילונית</w:t>
      </w:r>
      <w:r>
        <w:rPr>
          <w:rFonts w:hint="cs"/>
          <w:rtl/>
        </w:rPr>
        <w:t xml:space="preserve"> </w:t>
      </w:r>
      <w:r>
        <w:rPr>
          <w:rtl/>
        </w:rPr>
        <w:t>–</w:t>
      </w:r>
      <w:r>
        <w:rPr>
          <w:rFonts w:hint="cs"/>
          <w:rtl/>
        </w:rPr>
        <w:t xml:space="preserve"> לחכמים יש לה קנס בקטנותה</w:t>
      </w:r>
      <w:r>
        <w:rPr>
          <w:rStyle w:val="a5"/>
          <w:rtl/>
        </w:rPr>
        <w:footnoteReference w:id="10"/>
      </w:r>
      <w:r>
        <w:rPr>
          <w:rFonts w:hint="cs"/>
          <w:rtl/>
        </w:rPr>
        <w:t>, לר"מ אין לה קנס, כיון דאין בה נערות.</w:t>
      </w:r>
    </w:p>
    <w:p w:rsidR="006E2DDC" w:rsidRDefault="006E2DDC" w:rsidP="006E2DDC">
      <w:pPr>
        <w:rPr>
          <w:rtl/>
        </w:rPr>
      </w:pPr>
      <w:r w:rsidRPr="000F18B5">
        <w:rPr>
          <w:rFonts w:hint="cs"/>
          <w:b/>
          <w:bCs/>
          <w:rtl/>
        </w:rPr>
        <w:t>סריס ואיילונית שלא הביאו שערות ויש להם סימני סריס</w:t>
      </w:r>
      <w:r>
        <w:rPr>
          <w:rFonts w:hint="cs"/>
          <w:rtl/>
        </w:rPr>
        <w:t xml:space="preserve"> </w:t>
      </w:r>
      <w:r>
        <w:rPr>
          <w:rtl/>
        </w:rPr>
        <w:t>–</w:t>
      </w:r>
      <w:r>
        <w:rPr>
          <w:rFonts w:hint="cs"/>
          <w:rtl/>
        </w:rPr>
        <w:t xml:space="preserve"> אינם מוחזקים כגדולים עד כ'.</w:t>
      </w:r>
      <w:r>
        <w:rPr>
          <w:rStyle w:val="a5"/>
          <w:rtl/>
        </w:rPr>
        <w:footnoteReference w:id="11"/>
      </w:r>
    </w:p>
    <w:p w:rsidR="006E2DDC" w:rsidRDefault="006E2DDC" w:rsidP="006E2DDC">
      <w:pPr>
        <w:rPr>
          <w:rtl/>
        </w:rPr>
      </w:pPr>
      <w:r w:rsidRPr="000F18B5">
        <w:rPr>
          <w:rFonts w:hint="cs"/>
          <w:b/>
          <w:bCs/>
          <w:rtl/>
        </w:rPr>
        <w:t>עובר שנולד בן שמונה חדשים</w:t>
      </w:r>
      <w:r>
        <w:rPr>
          <w:rFonts w:hint="cs"/>
          <w:rtl/>
        </w:rPr>
        <w:t xml:space="preserve"> </w:t>
      </w:r>
      <w:r>
        <w:rPr>
          <w:rtl/>
        </w:rPr>
        <w:t>–</w:t>
      </w:r>
      <w:r>
        <w:rPr>
          <w:rFonts w:hint="cs"/>
          <w:rtl/>
        </w:rPr>
        <w:t xml:space="preserve"> אם לא הביא סימנים</w:t>
      </w:r>
      <w:r>
        <w:rPr>
          <w:rStyle w:val="a5"/>
          <w:rtl/>
        </w:rPr>
        <w:footnoteReference w:id="12"/>
      </w:r>
      <w:r>
        <w:rPr>
          <w:rFonts w:hint="cs"/>
          <w:rtl/>
        </w:rPr>
        <w:t>, הרי הוא כאבן ואסור לטלטלו בשבת.</w:t>
      </w:r>
      <w:r>
        <w:rPr>
          <w:rFonts w:hint="cs"/>
          <w:rtl/>
        </w:rPr>
        <w:br/>
        <w:t>אמו שוחה עליו ומניקתו מפני הסכנה.</w:t>
      </w:r>
      <w:r>
        <w:rPr>
          <w:rStyle w:val="a5"/>
          <w:rtl/>
        </w:rPr>
        <w:footnoteReference w:id="13"/>
      </w:r>
      <w:r>
        <w:rPr>
          <w:rFonts w:hint="cs"/>
          <w:rtl/>
        </w:rPr>
        <w:br/>
      </w:r>
      <w:r w:rsidRPr="000F18B5">
        <w:rPr>
          <w:rFonts w:hint="cs"/>
          <w:b/>
          <w:bCs/>
          <w:rtl/>
        </w:rPr>
        <w:t>אם נגמרו שערו וצפרניו</w:t>
      </w:r>
      <w:r>
        <w:rPr>
          <w:rFonts w:hint="cs"/>
          <w:rtl/>
        </w:rPr>
        <w:t xml:space="preserve"> </w:t>
      </w:r>
      <w:r>
        <w:rPr>
          <w:rtl/>
        </w:rPr>
        <w:t>–</w:t>
      </w:r>
      <w:r>
        <w:rPr>
          <w:rFonts w:hint="cs"/>
          <w:rtl/>
        </w:rPr>
        <w:t xml:space="preserve"> לחכמים עדיין נפל, ולרבי אינו נפל לגמרי.</w:t>
      </w:r>
      <w:r>
        <w:rPr>
          <w:rtl/>
        </w:rPr>
        <w:br/>
      </w:r>
      <w:r>
        <w:rPr>
          <w:rFonts w:hint="cs"/>
          <w:rtl/>
        </w:rPr>
        <w:t>ומ"מ גם לרבי עדיין לא יצא לגמרי לחזקת בן קיימא עד שיהא בן עשרים.</w:t>
      </w:r>
      <w:r>
        <w:rPr>
          <w:rStyle w:val="a5"/>
          <w:rtl/>
        </w:rPr>
        <w:footnoteReference w:id="14"/>
      </w:r>
    </w:p>
    <w:p w:rsidR="006E2DDC" w:rsidRPr="000F18B5" w:rsidRDefault="006E2DDC" w:rsidP="006E2DDC">
      <w:pPr>
        <w:rPr>
          <w:b/>
          <w:bCs/>
          <w:i/>
          <w:iCs/>
          <w:rtl/>
        </w:rPr>
      </w:pPr>
      <w:r w:rsidRPr="000F18B5">
        <w:rPr>
          <w:rFonts w:hint="cs"/>
          <w:b/>
          <w:bCs/>
          <w:i/>
          <w:iCs/>
          <w:rtl/>
        </w:rPr>
        <w:t>פ:</w:t>
      </w:r>
    </w:p>
    <w:p w:rsidR="006E2DDC" w:rsidRDefault="006E2DDC" w:rsidP="006E2DDC">
      <w:pPr>
        <w:rPr>
          <w:rFonts w:hint="cs"/>
          <w:rtl/>
        </w:rPr>
      </w:pPr>
      <w:r w:rsidRPr="000F18B5">
        <w:rPr>
          <w:rFonts w:hint="cs"/>
          <w:b/>
          <w:bCs/>
          <w:rtl/>
        </w:rPr>
        <w:lastRenderedPageBreak/>
        <w:t>השתהות עובר אחר גמר עיבורו</w:t>
      </w:r>
      <w:r>
        <w:rPr>
          <w:rFonts w:hint="cs"/>
          <w:rtl/>
        </w:rPr>
        <w:t xml:space="preserve"> </w:t>
      </w:r>
      <w:r>
        <w:rPr>
          <w:rtl/>
        </w:rPr>
        <w:t>–</w:t>
      </w:r>
      <w:r>
        <w:rPr>
          <w:rFonts w:hint="cs"/>
          <w:rtl/>
        </w:rPr>
        <w:t xml:space="preserve"> לחכמים לא יתכן, ולכן בן שמונה ע"כ נפל הוא.</w:t>
      </w:r>
      <w:r>
        <w:rPr>
          <w:rStyle w:val="a5"/>
          <w:rtl/>
        </w:rPr>
        <w:footnoteReference w:id="15"/>
      </w:r>
      <w:r>
        <w:rPr>
          <w:rtl/>
        </w:rPr>
        <w:br/>
      </w:r>
      <w:r>
        <w:rPr>
          <w:rFonts w:hint="cs"/>
          <w:rtl/>
        </w:rPr>
        <w:t>לרבי ולרשב"ג יתכן.</w:t>
      </w:r>
      <w:r>
        <w:rPr>
          <w:rtl/>
        </w:rPr>
        <w:br/>
      </w:r>
      <w:r>
        <w:rPr>
          <w:rFonts w:hint="cs"/>
          <w:rtl/>
        </w:rPr>
        <w:t>ולכן לרבי בן שמונה שגמרו שערו וצפרניו, אמרינן בן שבעה הוא שנשתהה.</w:t>
      </w:r>
      <w:r>
        <w:rPr>
          <w:rStyle w:val="a5"/>
          <w:rtl/>
        </w:rPr>
        <w:footnoteReference w:id="16"/>
      </w:r>
      <w:r>
        <w:rPr>
          <w:rFonts w:hint="cs"/>
          <w:rtl/>
        </w:rPr>
        <w:br/>
        <w:t>ולרשב"ג אם שהה ל' יום אחר שנולד, יצא מכלל נפל, דאמרי' בן שבעה שנשתהה הוא.</w:t>
      </w:r>
      <w:r>
        <w:rPr>
          <w:rStyle w:val="a5"/>
          <w:rtl/>
        </w:rPr>
        <w:footnoteReference w:id="17"/>
      </w:r>
      <w:r>
        <w:rPr>
          <w:rFonts w:hint="cs"/>
          <w:rtl/>
        </w:rPr>
        <w:br/>
      </w:r>
      <w:r w:rsidRPr="000F18B5">
        <w:rPr>
          <w:rFonts w:hint="cs"/>
          <w:b/>
          <w:bCs/>
          <w:rtl/>
        </w:rPr>
        <w:t>אשה שילדה י"ב חדש אחרי שהלך בעלה למדינת הים</w:t>
      </w:r>
      <w:r>
        <w:rPr>
          <w:rFonts w:hint="cs"/>
          <w:rtl/>
        </w:rPr>
        <w:t xml:space="preserve"> </w:t>
      </w:r>
      <w:r>
        <w:rPr>
          <w:rtl/>
        </w:rPr>
        <w:t>–</w:t>
      </w:r>
      <w:r>
        <w:rPr>
          <w:rFonts w:hint="cs"/>
          <w:rtl/>
        </w:rPr>
        <w:t xml:space="preserve"> לרבנן הוי ודאי ממזר.</w:t>
      </w:r>
      <w:r>
        <w:rPr>
          <w:rtl/>
        </w:rPr>
        <w:br/>
      </w:r>
      <w:r>
        <w:rPr>
          <w:rFonts w:hint="cs"/>
          <w:rtl/>
        </w:rPr>
        <w:t>לרבי ורשב"ג יתכן שמבעלה הוא ושהה ג"ח, ועבד רבה תוספאה עובדא כוותייהו והכשירו.</w:t>
      </w:r>
    </w:p>
    <w:p w:rsidR="006E2DDC" w:rsidRDefault="006E2DDC" w:rsidP="006E2DDC">
      <w:pPr>
        <w:rPr>
          <w:rFonts w:hint="cs"/>
          <w:rtl/>
        </w:rPr>
      </w:pPr>
      <w:r w:rsidRPr="000F18B5">
        <w:rPr>
          <w:rFonts w:hint="cs"/>
          <w:b/>
          <w:bCs/>
          <w:rtl/>
        </w:rPr>
        <w:t>סימני סריס;</w:t>
      </w:r>
      <w:r w:rsidRPr="000F18B5">
        <w:rPr>
          <w:rStyle w:val="a5"/>
          <w:b/>
          <w:bCs/>
          <w:rtl/>
        </w:rPr>
        <w:footnoteReference w:id="18"/>
      </w:r>
      <w:r w:rsidRPr="000F18B5">
        <w:rPr>
          <w:rFonts w:hint="cs"/>
          <w:b/>
          <w:bCs/>
          <w:rtl/>
        </w:rPr>
        <w:br/>
      </w:r>
      <w:r>
        <w:rPr>
          <w:rFonts w:hint="cs"/>
          <w:rtl/>
        </w:rPr>
        <w:t>אין לו זקן, שערו רך, בשרו חלק (לא שעיר).</w:t>
      </w:r>
      <w:r>
        <w:rPr>
          <w:rtl/>
        </w:rPr>
        <w:br/>
      </w:r>
      <w:r>
        <w:rPr>
          <w:rFonts w:hint="cs"/>
          <w:rtl/>
        </w:rPr>
        <w:t>לרשב"ג משום ריב"י אין מימיו מעלין רתיחות.</w:t>
      </w:r>
      <w:r>
        <w:rPr>
          <w:rFonts w:hint="cs"/>
          <w:rtl/>
        </w:rPr>
        <w:br/>
        <w:t>וי"א מטיל מים ואין עושה כיפה, וי"א שכבת זרעו דוחה, וי"א אין מימי רגליו מחמיצין.</w:t>
      </w:r>
      <w:r>
        <w:rPr>
          <w:rtl/>
        </w:rPr>
        <w:br/>
      </w:r>
      <w:r>
        <w:rPr>
          <w:rFonts w:hint="cs"/>
          <w:rtl/>
        </w:rPr>
        <w:t>אחרים אומרים רוחץ בימות הגשמים ואין בשרו מעלה הבל.</w:t>
      </w:r>
      <w:r>
        <w:rPr>
          <w:rFonts w:hint="cs"/>
          <w:rtl/>
        </w:rPr>
        <w:br/>
        <w:t>לרשב"א קולו לקוי ואין ניכר בין איש לאשה.</w:t>
      </w:r>
    </w:p>
    <w:p w:rsidR="006E2DDC" w:rsidRDefault="006E2DDC" w:rsidP="006E2DDC">
      <w:pPr>
        <w:rPr>
          <w:rFonts w:hint="cs"/>
          <w:rtl/>
        </w:rPr>
      </w:pPr>
      <w:r w:rsidRPr="000F18B5">
        <w:rPr>
          <w:rFonts w:hint="cs"/>
          <w:b/>
          <w:bCs/>
          <w:rtl/>
        </w:rPr>
        <w:t>סימני איילונית;</w:t>
      </w:r>
      <w:r w:rsidRPr="000F18B5">
        <w:rPr>
          <w:rStyle w:val="a5"/>
          <w:b/>
          <w:bCs/>
          <w:rtl/>
        </w:rPr>
        <w:footnoteReference w:id="19"/>
      </w:r>
      <w:r w:rsidRPr="000F18B5">
        <w:rPr>
          <w:b/>
          <w:bCs/>
          <w:rtl/>
        </w:rPr>
        <w:br/>
      </w:r>
      <w:r>
        <w:rPr>
          <w:rFonts w:hint="cs"/>
          <w:rtl/>
        </w:rPr>
        <w:t>אין לה דדים, מתקשה בשעת תשמיש. לרשב"ג אין לה שיפולי מעים כנשים.</w:t>
      </w:r>
      <w:r>
        <w:rPr>
          <w:rtl/>
        </w:rPr>
        <w:br/>
      </w:r>
      <w:r>
        <w:rPr>
          <w:rFonts w:hint="cs"/>
          <w:rtl/>
        </w:rPr>
        <w:t>לרשב"א קולה עבה ואינה ניכרת בין אשה לאיש.</w:t>
      </w:r>
    </w:p>
    <w:p w:rsidR="00CC6452" w:rsidRDefault="006E2DDC" w:rsidP="006E2DDC">
      <w:r w:rsidRPr="000F18B5">
        <w:rPr>
          <w:rFonts w:hint="cs"/>
          <w:b/>
          <w:bCs/>
          <w:rtl/>
        </w:rPr>
        <w:t>הביא שערות בזקן</w:t>
      </w:r>
      <w:r>
        <w:rPr>
          <w:rFonts w:hint="cs"/>
          <w:rtl/>
        </w:rPr>
        <w:t xml:space="preserve"> </w:t>
      </w:r>
      <w:r>
        <w:rPr>
          <w:rtl/>
        </w:rPr>
        <w:t>–</w:t>
      </w:r>
      <w:r>
        <w:rPr>
          <w:rFonts w:hint="cs"/>
          <w:rtl/>
        </w:rPr>
        <w:t xml:space="preserve"> אינו סריס עד שיהיו בו כל סימנים הנ"ל.</w:t>
      </w:r>
      <w:r>
        <w:rPr>
          <w:rStyle w:val="a5"/>
          <w:rtl/>
        </w:rPr>
        <w:footnoteReference w:id="20"/>
      </w:r>
      <w:r>
        <w:rPr>
          <w:rFonts w:hint="cs"/>
          <w:rtl/>
        </w:rPr>
        <w:br/>
      </w:r>
      <w:r w:rsidRPr="00613FCC">
        <w:rPr>
          <w:rFonts w:hint="cs"/>
          <w:b/>
          <w:bCs/>
          <w:rtl/>
        </w:rPr>
        <w:t>לא הביא</w:t>
      </w:r>
      <w:r>
        <w:rPr>
          <w:rFonts w:hint="cs"/>
          <w:rtl/>
        </w:rPr>
        <w:t xml:space="preserve"> </w:t>
      </w:r>
      <w:r>
        <w:rPr>
          <w:rtl/>
        </w:rPr>
        <w:t>–</w:t>
      </w:r>
      <w:r>
        <w:rPr>
          <w:rFonts w:hint="cs"/>
          <w:rtl/>
        </w:rPr>
        <w:t xml:space="preserve"> לר"ה אינו סריס עד שיהיו כולן, לריו"ח סגי בזה.</w:t>
      </w:r>
      <w:r>
        <w:rPr>
          <w:rStyle w:val="a5"/>
          <w:rtl/>
        </w:rPr>
        <w:footnoteReference w:id="21"/>
      </w:r>
      <w:r>
        <w:rPr>
          <w:rtl/>
        </w:rPr>
        <w:br/>
      </w:r>
    </w:p>
    <w:sectPr w:rsidR="00CC6452" w:rsidSect="005A5BAA">
      <w:pgSz w:w="11906" w:h="16838"/>
      <w:pgMar w:top="1440" w:right="1800" w:bottom="1440" w:left="180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6D8" w:rsidRDefault="004176D8" w:rsidP="006E2DDC">
      <w:pPr>
        <w:spacing w:after="0" w:line="240" w:lineRule="auto"/>
      </w:pPr>
      <w:r>
        <w:separator/>
      </w:r>
    </w:p>
  </w:endnote>
  <w:endnote w:type="continuationSeparator" w:id="0">
    <w:p w:rsidR="004176D8" w:rsidRDefault="004176D8" w:rsidP="006E2D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6D8" w:rsidRDefault="004176D8" w:rsidP="006E2DDC">
      <w:pPr>
        <w:spacing w:after="0" w:line="240" w:lineRule="auto"/>
      </w:pPr>
      <w:r>
        <w:separator/>
      </w:r>
    </w:p>
  </w:footnote>
  <w:footnote w:type="continuationSeparator" w:id="0">
    <w:p w:rsidR="004176D8" w:rsidRDefault="004176D8" w:rsidP="006E2DDC">
      <w:pPr>
        <w:spacing w:after="0" w:line="240" w:lineRule="auto"/>
      </w:pPr>
      <w:r>
        <w:continuationSeparator/>
      </w:r>
    </w:p>
  </w:footnote>
  <w:footnote w:id="1">
    <w:p w:rsidR="006E2DDC" w:rsidRDefault="006E2DDC" w:rsidP="006E2DDC">
      <w:pPr>
        <w:pStyle w:val="a3"/>
        <w:rPr>
          <w:rtl/>
        </w:rPr>
      </w:pPr>
      <w:r>
        <w:rPr>
          <w:rStyle w:val="a5"/>
        </w:rPr>
        <w:footnoteRef/>
      </w:r>
      <w:r>
        <w:rPr>
          <w:rtl/>
        </w:rPr>
        <w:t xml:space="preserve"> </w:t>
      </w:r>
      <w:r>
        <w:rPr>
          <w:rFonts w:hint="cs"/>
          <w:rtl/>
        </w:rPr>
        <w:t>עצה טובה לאשה הרה להימנע מאפיית לחם בתנור בצהרים ושתיית שכר מזוג (או חזק), שיכול לגרום עקרות לולד.</w:t>
      </w:r>
    </w:p>
  </w:footnote>
  <w:footnote w:id="2">
    <w:p w:rsidR="006E2DDC" w:rsidRDefault="006E2DDC" w:rsidP="006E2DDC">
      <w:pPr>
        <w:pStyle w:val="a3"/>
        <w:rPr>
          <w:rtl/>
        </w:rPr>
      </w:pPr>
      <w:r>
        <w:rPr>
          <w:rStyle w:val="a5"/>
        </w:rPr>
        <w:footnoteRef/>
      </w:r>
      <w:r>
        <w:rPr>
          <w:rtl/>
        </w:rPr>
        <w:t xml:space="preserve"> </w:t>
      </w:r>
      <w:r>
        <w:rPr>
          <w:rFonts w:hint="cs"/>
          <w:rtl/>
        </w:rPr>
        <w:t>כיון דהוי לקותא בכל גופא, סגי בדיקת תחילה וסוף.</w:t>
      </w:r>
    </w:p>
  </w:footnote>
  <w:footnote w:id="3">
    <w:p w:rsidR="006E2DDC" w:rsidRDefault="006E2DDC" w:rsidP="006E2DDC">
      <w:pPr>
        <w:pStyle w:val="a3"/>
        <w:rPr>
          <w:rtl/>
        </w:rPr>
      </w:pPr>
      <w:r>
        <w:rPr>
          <w:rStyle w:val="a5"/>
        </w:rPr>
        <w:footnoteRef/>
      </w:r>
      <w:r>
        <w:rPr>
          <w:rtl/>
        </w:rPr>
        <w:t xml:space="preserve"> </w:t>
      </w:r>
      <w:r>
        <w:rPr>
          <w:rFonts w:hint="cs"/>
          <w:rtl/>
        </w:rPr>
        <w:t>סריס זה שלא מביא שערות ויש בו סימני סריס שיבוארו להלן, היינו סריס חמה, דקי"ל שאינו חולץ ולא מייבם. ולכל הפחות מדברי ב"ה שמעינן נמי דסריס חמה אינו חולץ ומייבם וכדברי ר"ע.</w:t>
      </w:r>
    </w:p>
  </w:footnote>
  <w:footnote w:id="4">
    <w:p w:rsidR="006E2DDC" w:rsidRDefault="006E2DDC" w:rsidP="006E2DDC">
      <w:pPr>
        <w:pStyle w:val="a3"/>
        <w:rPr>
          <w:rtl/>
        </w:rPr>
      </w:pPr>
      <w:r>
        <w:rPr>
          <w:rStyle w:val="a5"/>
        </w:rPr>
        <w:footnoteRef/>
      </w:r>
      <w:r>
        <w:rPr>
          <w:rtl/>
        </w:rPr>
        <w:t xml:space="preserve"> </w:t>
      </w:r>
      <w:r>
        <w:rPr>
          <w:rFonts w:hint="cs"/>
          <w:rtl/>
        </w:rPr>
        <w:t>דמכאן ואילך הוי גדול וחייב בעונשין.</w:t>
      </w:r>
    </w:p>
  </w:footnote>
  <w:footnote w:id="5">
    <w:p w:rsidR="006E2DDC" w:rsidRDefault="006E2DDC" w:rsidP="006E2DDC">
      <w:pPr>
        <w:pStyle w:val="a3"/>
        <w:rPr>
          <w:rtl/>
        </w:rPr>
      </w:pPr>
      <w:r>
        <w:rPr>
          <w:rStyle w:val="a5"/>
        </w:rPr>
        <w:footnoteRef/>
      </w:r>
      <w:r>
        <w:rPr>
          <w:rtl/>
        </w:rPr>
        <w:t xml:space="preserve"> </w:t>
      </w:r>
      <w:r>
        <w:rPr>
          <w:rFonts w:hint="cs"/>
          <w:rtl/>
        </w:rPr>
        <w:t>לב"ה זכר ונקיבה בני עשרים, ולב"ש ור"א כשיטתם הנ"ל. ופלוגתא דבסמוך היינו בין הביא אח"כ שערות ובין לא הביא. רש"י ותוס'.</w:t>
      </w:r>
    </w:p>
  </w:footnote>
  <w:footnote w:id="6">
    <w:p w:rsidR="006E2DDC" w:rsidRDefault="006E2DDC" w:rsidP="006E2DDC">
      <w:pPr>
        <w:pStyle w:val="a3"/>
      </w:pPr>
      <w:r>
        <w:rPr>
          <w:rStyle w:val="a5"/>
        </w:rPr>
        <w:footnoteRef/>
      </w:r>
      <w:r>
        <w:rPr>
          <w:rtl/>
        </w:rPr>
        <w:t xml:space="preserve"> </w:t>
      </w:r>
      <w:r>
        <w:rPr>
          <w:rFonts w:hint="cs"/>
          <w:rtl/>
        </w:rPr>
        <w:t>עי' תוס' מדוע לא הוי התראת ספק.</w:t>
      </w:r>
    </w:p>
  </w:footnote>
  <w:footnote w:id="7">
    <w:p w:rsidR="006E2DDC" w:rsidRDefault="006E2DDC" w:rsidP="006E2DDC">
      <w:pPr>
        <w:pStyle w:val="a3"/>
      </w:pPr>
      <w:r>
        <w:rPr>
          <w:rStyle w:val="a5"/>
        </w:rPr>
        <w:footnoteRef/>
      </w:r>
      <w:r>
        <w:rPr>
          <w:rtl/>
        </w:rPr>
        <w:t xml:space="preserve"> </w:t>
      </w:r>
      <w:r>
        <w:rPr>
          <w:rFonts w:hint="cs"/>
          <w:rtl/>
        </w:rPr>
        <w:t>היינו להלכה, ומה שנקטו יח, היינו נקיבה לר"א.</w:t>
      </w:r>
    </w:p>
  </w:footnote>
  <w:footnote w:id="8">
    <w:p w:rsidR="006E2DDC" w:rsidRDefault="006E2DDC" w:rsidP="006E2DDC">
      <w:pPr>
        <w:pStyle w:val="a3"/>
        <w:rPr>
          <w:rtl/>
        </w:rPr>
      </w:pPr>
      <w:r>
        <w:rPr>
          <w:rStyle w:val="a5"/>
        </w:rPr>
        <w:footnoteRef/>
      </w:r>
      <w:r>
        <w:rPr>
          <w:rtl/>
        </w:rPr>
        <w:t xml:space="preserve"> </w:t>
      </w:r>
      <w:r>
        <w:rPr>
          <w:rFonts w:hint="cs"/>
          <w:rtl/>
        </w:rPr>
        <w:t>ואין נוהג אלא בחתימת זקן זה.</w:t>
      </w:r>
    </w:p>
  </w:footnote>
  <w:footnote w:id="9">
    <w:p w:rsidR="006E2DDC" w:rsidRDefault="006E2DDC" w:rsidP="006E2DDC">
      <w:pPr>
        <w:pStyle w:val="a3"/>
        <w:rPr>
          <w:rtl/>
        </w:rPr>
      </w:pPr>
      <w:r>
        <w:rPr>
          <w:rStyle w:val="a5"/>
        </w:rPr>
        <w:footnoteRef/>
      </w:r>
      <w:r>
        <w:rPr>
          <w:rtl/>
        </w:rPr>
        <w:t xml:space="preserve"> </w:t>
      </w:r>
      <w:r>
        <w:rPr>
          <w:rFonts w:hint="cs"/>
          <w:rtl/>
        </w:rPr>
        <w:t>נפ"מ לדינים רבים הנוהגים בנערה דוקא.</w:t>
      </w:r>
    </w:p>
  </w:footnote>
  <w:footnote w:id="10">
    <w:p w:rsidR="006E2DDC" w:rsidRDefault="006E2DDC" w:rsidP="006E2DDC">
      <w:pPr>
        <w:pStyle w:val="a3"/>
      </w:pPr>
      <w:r>
        <w:rPr>
          <w:rStyle w:val="a5"/>
        </w:rPr>
        <w:footnoteRef/>
      </w:r>
      <w:r>
        <w:rPr>
          <w:rtl/>
        </w:rPr>
        <w:t xml:space="preserve"> </w:t>
      </w:r>
      <w:r>
        <w:rPr>
          <w:rFonts w:hint="cs"/>
          <w:rtl/>
        </w:rPr>
        <w:t>לרב עד י"ב לשמואל עד כ'.</w:t>
      </w:r>
    </w:p>
  </w:footnote>
  <w:footnote w:id="11">
    <w:p w:rsidR="006E2DDC" w:rsidRDefault="006E2DDC" w:rsidP="006E2DDC">
      <w:pPr>
        <w:pStyle w:val="a3"/>
        <w:rPr>
          <w:rtl/>
        </w:rPr>
      </w:pPr>
      <w:r>
        <w:rPr>
          <w:rStyle w:val="a5"/>
        </w:rPr>
        <w:footnoteRef/>
      </w:r>
      <w:r>
        <w:rPr>
          <w:rtl/>
        </w:rPr>
        <w:t xml:space="preserve"> </w:t>
      </w:r>
      <w:r>
        <w:rPr>
          <w:rFonts w:hint="cs"/>
          <w:rtl/>
        </w:rPr>
        <w:t>ואז הוו למפרע לרב, ולשמואל מכאן ולהבא.</w:t>
      </w:r>
    </w:p>
  </w:footnote>
  <w:footnote w:id="12">
    <w:p w:rsidR="006E2DDC" w:rsidRDefault="006E2DDC" w:rsidP="006E2DDC">
      <w:pPr>
        <w:pStyle w:val="a3"/>
        <w:rPr>
          <w:rtl/>
        </w:rPr>
      </w:pPr>
      <w:r>
        <w:rPr>
          <w:rStyle w:val="a5"/>
        </w:rPr>
        <w:footnoteRef/>
      </w:r>
      <w:r>
        <w:rPr>
          <w:rtl/>
        </w:rPr>
        <w:t xml:space="preserve"> </w:t>
      </w:r>
      <w:r>
        <w:rPr>
          <w:rFonts w:hint="cs"/>
          <w:rtl/>
        </w:rPr>
        <w:t>כלומר אם לא נגמרו שערו וצפרניו.</w:t>
      </w:r>
    </w:p>
  </w:footnote>
  <w:footnote w:id="13">
    <w:p w:rsidR="006E2DDC" w:rsidRDefault="006E2DDC" w:rsidP="006E2DDC">
      <w:pPr>
        <w:pStyle w:val="a3"/>
      </w:pPr>
      <w:r>
        <w:rPr>
          <w:rStyle w:val="a5"/>
        </w:rPr>
        <w:footnoteRef/>
      </w:r>
      <w:r>
        <w:rPr>
          <w:rtl/>
        </w:rPr>
        <w:t xml:space="preserve"> </w:t>
      </w:r>
      <w:r>
        <w:rPr>
          <w:rFonts w:hint="cs"/>
          <w:rtl/>
        </w:rPr>
        <w:t>כאן פירש"י סכנת האם והולד, ועי' הג' הב"ח דבשבת פירש"י רק האם ועי"ש בתוס'.</w:t>
      </w:r>
    </w:p>
  </w:footnote>
  <w:footnote w:id="14">
    <w:p w:rsidR="006E2DDC" w:rsidRDefault="006E2DDC" w:rsidP="006E2DDC">
      <w:pPr>
        <w:pStyle w:val="a3"/>
      </w:pPr>
      <w:r>
        <w:rPr>
          <w:rStyle w:val="a5"/>
        </w:rPr>
        <w:footnoteRef/>
      </w:r>
      <w:r>
        <w:rPr>
          <w:rtl/>
        </w:rPr>
        <w:t xml:space="preserve"> </w:t>
      </w:r>
      <w:r>
        <w:rPr>
          <w:rFonts w:hint="cs"/>
          <w:rtl/>
        </w:rPr>
        <w:t xml:space="preserve">כן פירש"י, ועי' תוס' וראשונים דבכ"מ משמע דשלושים יום סגי להוציאו מכלל נפל, והוא דבר תימה שיהא ספק נפל עד היותו בן עשרים שנה. וגם לא הוברר שפיר בסוגיין שיטת רבי לענין מה פליג ארבנן ולענין מה מודה. וכל זה הוא שיטת רש"י דקאי רבי אבהו על שיטת רבי, אמנם עי' היטב בתוס'. </w:t>
      </w:r>
    </w:p>
  </w:footnote>
  <w:footnote w:id="15">
    <w:p w:rsidR="006E2DDC" w:rsidRDefault="006E2DDC" w:rsidP="006E2DDC">
      <w:pPr>
        <w:pStyle w:val="a3"/>
        <w:rPr>
          <w:rtl/>
        </w:rPr>
      </w:pPr>
      <w:r>
        <w:rPr>
          <w:rStyle w:val="a5"/>
        </w:rPr>
        <w:footnoteRef/>
      </w:r>
      <w:r>
        <w:rPr>
          <w:rtl/>
        </w:rPr>
        <w:t xml:space="preserve"> </w:t>
      </w:r>
      <w:r>
        <w:rPr>
          <w:rFonts w:hint="cs"/>
          <w:rtl/>
        </w:rPr>
        <w:t>דאם היה בן שבעה לא היה משתהה וע"כ בן תשעה הוא שלא נגמר עדיין.</w:t>
      </w:r>
    </w:p>
  </w:footnote>
  <w:footnote w:id="16">
    <w:p w:rsidR="006E2DDC" w:rsidRDefault="006E2DDC" w:rsidP="006E2DDC">
      <w:pPr>
        <w:pStyle w:val="a3"/>
        <w:rPr>
          <w:rtl/>
        </w:rPr>
      </w:pPr>
      <w:r>
        <w:rPr>
          <w:rStyle w:val="a5"/>
        </w:rPr>
        <w:footnoteRef/>
      </w:r>
      <w:r>
        <w:rPr>
          <w:rtl/>
        </w:rPr>
        <w:t xml:space="preserve"> </w:t>
      </w:r>
      <w:r>
        <w:rPr>
          <w:rFonts w:hint="cs"/>
          <w:rtl/>
        </w:rPr>
        <w:t>אלא דמ"מ לרש"י אמר רבי אבהו דאינו בן קיימא גמור עד שיהא בן עשרים. וצ"ב וכנ"ל.</w:t>
      </w:r>
    </w:p>
  </w:footnote>
  <w:footnote w:id="17">
    <w:p w:rsidR="006E2DDC" w:rsidRDefault="006E2DDC" w:rsidP="006E2DDC">
      <w:pPr>
        <w:pStyle w:val="a3"/>
      </w:pPr>
      <w:r>
        <w:rPr>
          <w:rStyle w:val="a5"/>
        </w:rPr>
        <w:footnoteRef/>
      </w:r>
      <w:r>
        <w:rPr>
          <w:rtl/>
        </w:rPr>
        <w:t xml:space="preserve"> </w:t>
      </w:r>
      <w:r>
        <w:rPr>
          <w:rFonts w:hint="cs"/>
          <w:rtl/>
        </w:rPr>
        <w:t>ובבהמה אם שהתה ח' ימים.</w:t>
      </w:r>
    </w:p>
  </w:footnote>
  <w:footnote w:id="18">
    <w:p w:rsidR="006E2DDC" w:rsidRDefault="006E2DDC" w:rsidP="006E2DDC">
      <w:pPr>
        <w:pStyle w:val="a3"/>
        <w:rPr>
          <w:rFonts w:hint="cs"/>
        </w:rPr>
      </w:pPr>
      <w:r>
        <w:rPr>
          <w:rStyle w:val="a5"/>
        </w:rPr>
        <w:footnoteRef/>
      </w:r>
      <w:r>
        <w:rPr>
          <w:rtl/>
        </w:rPr>
        <w:t xml:space="preserve"> </w:t>
      </w:r>
      <w:r>
        <w:rPr>
          <w:rFonts w:hint="cs"/>
          <w:rtl/>
        </w:rPr>
        <w:t>והיינו שהוא בן עשרים ללא שערות ויש לו סימנים אלו, הוי סריס, אף אם יביא שערות אח"כ. ועי' בסמוך אי צריך כל הסימנים או סגי במקצתן.</w:t>
      </w:r>
    </w:p>
  </w:footnote>
  <w:footnote w:id="19">
    <w:p w:rsidR="006E2DDC" w:rsidRDefault="006E2DDC" w:rsidP="006E2DDC">
      <w:pPr>
        <w:pStyle w:val="a3"/>
        <w:rPr>
          <w:rFonts w:hint="cs"/>
          <w:rtl/>
        </w:rPr>
      </w:pPr>
      <w:r>
        <w:rPr>
          <w:rStyle w:val="a5"/>
        </w:rPr>
        <w:footnoteRef/>
      </w:r>
      <w:r>
        <w:rPr>
          <w:rtl/>
        </w:rPr>
        <w:t xml:space="preserve"> </w:t>
      </w:r>
      <w:r>
        <w:rPr>
          <w:rFonts w:hint="cs"/>
          <w:rtl/>
        </w:rPr>
        <w:t>והיינו בת כ' ללא שערות עם סימנים אלו, הוי איילונית אף אם תביא שערות אח"כ.</w:t>
      </w:r>
    </w:p>
  </w:footnote>
  <w:footnote w:id="20">
    <w:p w:rsidR="006E2DDC" w:rsidRDefault="006E2DDC" w:rsidP="006E2DDC">
      <w:pPr>
        <w:pStyle w:val="a3"/>
        <w:rPr>
          <w:rFonts w:hint="cs"/>
          <w:rtl/>
        </w:rPr>
      </w:pPr>
      <w:r>
        <w:rPr>
          <w:rStyle w:val="a5"/>
        </w:rPr>
        <w:footnoteRef/>
      </w:r>
      <w:r>
        <w:rPr>
          <w:rtl/>
        </w:rPr>
        <w:t xml:space="preserve"> </w:t>
      </w:r>
      <w:r>
        <w:rPr>
          <w:rFonts w:hint="cs"/>
          <w:rtl/>
        </w:rPr>
        <w:t>עי' תוס' שנדחקו מאד בזה, דשערות בזקן אינן שערות לענין גדלות, ואינו מבטל סריסות עד שיתמלא זקנו, ועי' הג' הגר"א.</w:t>
      </w:r>
    </w:p>
  </w:footnote>
  <w:footnote w:id="21">
    <w:p w:rsidR="006E2DDC" w:rsidRDefault="006E2DDC" w:rsidP="006E2DDC">
      <w:pPr>
        <w:pStyle w:val="a3"/>
        <w:rPr>
          <w:rFonts w:hint="cs"/>
        </w:rPr>
      </w:pPr>
      <w:r>
        <w:rPr>
          <w:rStyle w:val="a5"/>
        </w:rPr>
        <w:footnoteRef/>
      </w:r>
      <w:r>
        <w:rPr>
          <w:rtl/>
        </w:rPr>
        <w:t xml:space="preserve"> </w:t>
      </w:r>
      <w:r>
        <w:rPr>
          <w:rFonts w:hint="cs"/>
          <w:rtl/>
        </w:rPr>
        <w:t>כן פי' תוס' דא"צ עוד סימן.</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6E2DDC"/>
    <w:rsid w:val="00240196"/>
    <w:rsid w:val="004176D8"/>
    <w:rsid w:val="005A5BAA"/>
    <w:rsid w:val="006E2DDC"/>
    <w:rsid w:val="00AF7868"/>
    <w:rsid w:val="00CC6452"/>
    <w:rsid w:val="00D2779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DD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E2DDC"/>
    <w:pPr>
      <w:spacing w:after="0" w:line="240" w:lineRule="auto"/>
    </w:pPr>
    <w:rPr>
      <w:sz w:val="20"/>
      <w:szCs w:val="20"/>
    </w:rPr>
  </w:style>
  <w:style w:type="character" w:customStyle="1" w:styleId="a4">
    <w:name w:val="טקסט הערת שוליים תו"/>
    <w:basedOn w:val="a0"/>
    <w:link w:val="a3"/>
    <w:uiPriority w:val="99"/>
    <w:semiHidden/>
    <w:rsid w:val="006E2DDC"/>
    <w:rPr>
      <w:sz w:val="20"/>
      <w:szCs w:val="20"/>
    </w:rPr>
  </w:style>
  <w:style w:type="character" w:styleId="a5">
    <w:name w:val="footnote reference"/>
    <w:basedOn w:val="a0"/>
    <w:uiPriority w:val="99"/>
    <w:semiHidden/>
    <w:unhideWhenUsed/>
    <w:rsid w:val="006E2DD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1895</Characters>
  <Application>Microsoft Office Word</Application>
  <DocSecurity>0</DocSecurity>
  <Lines>15</Lines>
  <Paragraphs>4</Paragraphs>
  <ScaleCrop>false</ScaleCrop>
  <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יעקב</dc:creator>
  <cp:lastModifiedBy>יעקב</cp:lastModifiedBy>
  <cp:revision>1</cp:revision>
  <dcterms:created xsi:type="dcterms:W3CDTF">2014-12-29T22:44:00Z</dcterms:created>
  <dcterms:modified xsi:type="dcterms:W3CDTF">2014-12-29T22:45:00Z</dcterms:modified>
</cp:coreProperties>
</file>