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B7" w:rsidRDefault="009860B7" w:rsidP="009860B7">
      <w:pPr>
        <w:rPr>
          <w:rtl/>
        </w:rPr>
      </w:pPr>
      <w:r>
        <w:rPr>
          <w:rFonts w:hint="cs"/>
          <w:rtl/>
        </w:rPr>
        <w:t>בס"ד, סיון תשע"ה.</w:t>
      </w:r>
    </w:p>
    <w:p w:rsidR="009860B7" w:rsidRPr="00DE7382" w:rsidRDefault="009860B7" w:rsidP="009860B7">
      <w:pPr>
        <w:jc w:val="center"/>
        <w:rPr>
          <w:b/>
          <w:bCs/>
          <w:sz w:val="24"/>
          <w:szCs w:val="24"/>
          <w:rtl/>
        </w:rPr>
      </w:pPr>
      <w:r w:rsidRPr="00DE7382">
        <w:rPr>
          <w:rFonts w:hint="cs"/>
          <w:b/>
          <w:bCs/>
          <w:sz w:val="24"/>
          <w:szCs w:val="24"/>
          <w:rtl/>
        </w:rPr>
        <w:t>סיכומי הסוגיות למסכת נדרים על פי הר"ן</w:t>
      </w:r>
    </w:p>
    <w:p w:rsidR="009860B7" w:rsidRPr="00DE7382" w:rsidRDefault="009860B7" w:rsidP="009860B7">
      <w:pPr>
        <w:rPr>
          <w:b/>
          <w:bCs/>
          <w:rtl/>
        </w:rPr>
      </w:pPr>
      <w:r w:rsidRPr="00DE7382">
        <w:rPr>
          <w:rFonts w:hint="cs"/>
          <w:b/>
          <w:bCs/>
          <w:rtl/>
        </w:rPr>
        <w:t>מבוא</w:t>
      </w:r>
    </w:p>
    <w:p w:rsidR="009860B7" w:rsidRDefault="009860B7" w:rsidP="009860B7">
      <w:pPr>
        <w:rPr>
          <w:rtl/>
        </w:rPr>
      </w:pPr>
      <w:r>
        <w:rPr>
          <w:rFonts w:hint="cs"/>
          <w:rtl/>
        </w:rPr>
        <w:t xml:space="preserve">א. </w:t>
      </w:r>
      <w:r w:rsidRPr="00DE7382">
        <w:rPr>
          <w:rFonts w:hint="cs"/>
          <w:b/>
          <w:bCs/>
          <w:rtl/>
        </w:rPr>
        <w:t>נדרי הקדש</w:t>
      </w:r>
      <w:r>
        <w:rPr>
          <w:rFonts w:hint="cs"/>
          <w:rtl/>
        </w:rPr>
        <w:t xml:space="preserve">  - לבדק הבית או למזבח, מקדיש רק את שלו, והאיסור על הכל.</w:t>
      </w:r>
      <w:r>
        <w:rPr>
          <w:rtl/>
        </w:rPr>
        <w:br/>
      </w:r>
      <w:r>
        <w:rPr>
          <w:rFonts w:hint="cs"/>
          <w:rtl/>
        </w:rPr>
        <w:t xml:space="preserve">ב. </w:t>
      </w:r>
      <w:r w:rsidRPr="00DE7382">
        <w:rPr>
          <w:rFonts w:hint="cs"/>
          <w:b/>
          <w:bCs/>
          <w:rtl/>
        </w:rPr>
        <w:t>נדרי איסור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אוסר על עצמו דבר מותר, חל גם על נכסי חבירו, ורק על עצמו.</w:t>
      </w:r>
      <w:r>
        <w:rPr>
          <w:rStyle w:val="a5"/>
          <w:rtl/>
        </w:rPr>
        <w:footnoteReference w:id="1"/>
      </w:r>
      <w:r>
        <w:rPr>
          <w:rtl/>
        </w:rPr>
        <w:br/>
      </w:r>
      <w:r>
        <w:rPr>
          <w:rFonts w:hint="cs"/>
          <w:rtl/>
        </w:rPr>
        <w:t>ג. המסכת עוסקת בנדרי איסור.</w:t>
      </w:r>
      <w:r>
        <w:rPr>
          <w:rtl/>
        </w:rPr>
        <w:br/>
      </w:r>
      <w:r>
        <w:rPr>
          <w:rFonts w:hint="cs"/>
          <w:rtl/>
        </w:rPr>
        <w:t xml:space="preserve">ד. </w:t>
      </w:r>
      <w:r w:rsidRPr="00DE7382">
        <w:rPr>
          <w:rFonts w:hint="cs"/>
          <w:b/>
          <w:bCs/>
          <w:rtl/>
        </w:rPr>
        <w:t>לשון חרמים</w:t>
      </w:r>
      <w:r>
        <w:rPr>
          <w:rFonts w:hint="cs"/>
          <w:rtl/>
        </w:rPr>
        <w:t xml:space="preserve"> הנזכר כאן, הוא לשון איסור ואינו ענין לחרמי בדק הבית שמקומם בסדר קדשים.</w:t>
      </w:r>
      <w:r>
        <w:rPr>
          <w:rtl/>
        </w:rPr>
        <w:br/>
      </w:r>
      <w:r>
        <w:rPr>
          <w:rFonts w:hint="cs"/>
          <w:rtl/>
        </w:rPr>
        <w:t xml:space="preserve">ה. </w:t>
      </w:r>
      <w:r w:rsidRPr="00DE7382">
        <w:rPr>
          <w:rFonts w:hint="cs"/>
          <w:b/>
          <w:bCs/>
          <w:rtl/>
        </w:rPr>
        <w:t>הנדר חל בג' דרכים</w:t>
      </w:r>
      <w:r>
        <w:rPr>
          <w:rFonts w:hint="cs"/>
          <w:rtl/>
        </w:rPr>
        <w:t>, עיקר הנדר, כינוי, יד.</w:t>
      </w:r>
      <w:r>
        <w:rPr>
          <w:rtl/>
        </w:rPr>
        <w:br/>
      </w:r>
      <w:r>
        <w:rPr>
          <w:rFonts w:hint="cs"/>
          <w:rtl/>
        </w:rPr>
        <w:t xml:space="preserve">ו. </w:t>
      </w:r>
      <w:r w:rsidRPr="00DE7382">
        <w:rPr>
          <w:rFonts w:hint="cs"/>
          <w:b/>
          <w:bCs/>
          <w:rtl/>
        </w:rPr>
        <w:t>עיקר הנדר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חל מן התורה אף בלא התפסה. כגון דבר זה אסור עלי.</w:t>
      </w:r>
      <w:r>
        <w:rPr>
          <w:rtl/>
        </w:rPr>
        <w:br/>
      </w:r>
      <w:r>
        <w:rPr>
          <w:rFonts w:hint="cs"/>
          <w:rtl/>
        </w:rPr>
        <w:t>ז.</w:t>
      </w:r>
      <w:r w:rsidRPr="00DE7382">
        <w:rPr>
          <w:rFonts w:hint="cs"/>
          <w:b/>
          <w:bCs/>
          <w:rtl/>
        </w:rPr>
        <w:t xml:space="preserve"> כשמתפיס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חל רק במתפיס בדבר הנדור ולא בדבר האסור. כגון ככר זה אסור עלי כקרבן.</w:t>
      </w:r>
      <w:r>
        <w:rPr>
          <w:rtl/>
        </w:rPr>
        <w:br/>
      </w:r>
      <w:r>
        <w:rPr>
          <w:rFonts w:hint="cs"/>
          <w:rtl/>
        </w:rPr>
        <w:t>ח.</w:t>
      </w:r>
      <w:r w:rsidRPr="00DE7382">
        <w:rPr>
          <w:rFonts w:hint="cs"/>
          <w:b/>
          <w:bCs/>
          <w:rtl/>
        </w:rPr>
        <w:t xml:space="preserve"> כינוי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היינו במקום קרבן אומר קונם, קונח, קונס, וכדומה.</w:t>
      </w:r>
      <w:r>
        <w:rPr>
          <w:rtl/>
        </w:rPr>
        <w:br/>
      </w:r>
      <w:r>
        <w:rPr>
          <w:rFonts w:hint="cs"/>
          <w:rtl/>
        </w:rPr>
        <w:t xml:space="preserve">ט. </w:t>
      </w:r>
      <w:r w:rsidRPr="00DE7382">
        <w:rPr>
          <w:rFonts w:hint="cs"/>
          <w:b/>
          <w:bCs/>
          <w:rtl/>
        </w:rPr>
        <w:t xml:space="preserve">מקור הכינוי </w:t>
      </w:r>
      <w:r>
        <w:rPr>
          <w:rtl/>
        </w:rPr>
        <w:t>–</w:t>
      </w:r>
      <w:r>
        <w:rPr>
          <w:rFonts w:hint="cs"/>
          <w:rtl/>
        </w:rPr>
        <w:t xml:space="preserve"> לריו"ח לשון נכרים, לר"ל לשון שבדו חכמים. לתרוייהו מהני מן התורה.</w:t>
      </w:r>
      <w:r>
        <w:rPr>
          <w:rtl/>
        </w:rPr>
        <w:br/>
      </w:r>
      <w:r>
        <w:rPr>
          <w:rFonts w:hint="cs"/>
          <w:rtl/>
        </w:rPr>
        <w:t>י. הנדרים נאמרים בכל לשון.</w:t>
      </w:r>
      <w:r>
        <w:rPr>
          <w:rStyle w:val="a5"/>
          <w:rtl/>
        </w:rPr>
        <w:footnoteReference w:id="2"/>
      </w:r>
      <w:r>
        <w:rPr>
          <w:rtl/>
        </w:rPr>
        <w:br/>
      </w:r>
      <w:r>
        <w:rPr>
          <w:rFonts w:hint="cs"/>
          <w:rtl/>
        </w:rPr>
        <w:t xml:space="preserve">יא. </w:t>
      </w:r>
      <w:r w:rsidRPr="00DE7382">
        <w:rPr>
          <w:rFonts w:hint="cs"/>
          <w:b/>
          <w:bCs/>
          <w:rtl/>
        </w:rPr>
        <w:t>ידות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היינו שמתחיל דיבור הנדר ואינו מסיימו.</w:t>
      </w:r>
    </w:p>
    <w:p w:rsidR="009860B7" w:rsidRPr="00DE7382" w:rsidRDefault="009860B7" w:rsidP="009860B7">
      <w:pPr>
        <w:rPr>
          <w:b/>
          <w:bCs/>
          <w:rtl/>
        </w:rPr>
      </w:pPr>
      <w:r w:rsidRPr="00DE7382">
        <w:rPr>
          <w:rFonts w:hint="cs"/>
          <w:b/>
          <w:bCs/>
          <w:rtl/>
        </w:rPr>
        <w:t>עד כאן המבוא.</w:t>
      </w:r>
    </w:p>
    <w:p w:rsidR="009860B7" w:rsidRPr="00DE7382" w:rsidRDefault="009860B7" w:rsidP="009860B7">
      <w:pPr>
        <w:rPr>
          <w:b/>
          <w:bCs/>
          <w:i/>
          <w:iCs/>
          <w:rtl/>
        </w:rPr>
      </w:pPr>
      <w:r w:rsidRPr="00DE7382">
        <w:rPr>
          <w:rFonts w:hint="cs"/>
          <w:b/>
          <w:bCs/>
          <w:i/>
          <w:iCs/>
          <w:rtl/>
        </w:rPr>
        <w:t>ב.</w:t>
      </w:r>
    </w:p>
    <w:p w:rsidR="009860B7" w:rsidRDefault="009860B7" w:rsidP="009860B7">
      <w:pPr>
        <w:rPr>
          <w:rtl/>
        </w:rPr>
      </w:pPr>
      <w:r w:rsidRPr="00DE7382">
        <w:rPr>
          <w:rFonts w:hint="cs"/>
          <w:b/>
          <w:bCs/>
          <w:rtl/>
        </w:rPr>
        <w:t>כינויי נדרים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כנדרים. </w:t>
      </w:r>
      <w:r w:rsidRPr="00DE7382">
        <w:rPr>
          <w:rFonts w:hint="cs"/>
          <w:b/>
          <w:bCs/>
          <w:rtl/>
        </w:rPr>
        <w:t>כינויי חרמים</w:t>
      </w:r>
      <w:r>
        <w:rPr>
          <w:rStyle w:val="a5"/>
          <w:rtl/>
        </w:rPr>
        <w:footnoteReference w:id="3"/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כחרמים. </w:t>
      </w:r>
      <w:r w:rsidRPr="00DE7382">
        <w:rPr>
          <w:rFonts w:hint="cs"/>
          <w:b/>
          <w:bCs/>
          <w:rtl/>
        </w:rPr>
        <w:t>כינויי שבועות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כשבועות.</w:t>
      </w:r>
      <w:r>
        <w:rPr>
          <w:rStyle w:val="a5"/>
          <w:rtl/>
        </w:rPr>
        <w:footnoteReference w:id="4"/>
      </w:r>
      <w:r>
        <w:rPr>
          <w:rFonts w:hint="cs"/>
          <w:rtl/>
        </w:rPr>
        <w:t xml:space="preserve"> </w:t>
      </w:r>
      <w:r>
        <w:rPr>
          <w:rtl/>
        </w:rPr>
        <w:br/>
      </w:r>
      <w:r w:rsidRPr="00DE7382">
        <w:rPr>
          <w:rFonts w:hint="cs"/>
          <w:b/>
          <w:bCs/>
          <w:rtl/>
        </w:rPr>
        <w:t>כינויי נזירות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כנזירות.</w:t>
      </w:r>
      <w:r>
        <w:rPr>
          <w:rStyle w:val="a5"/>
          <w:rtl/>
        </w:rPr>
        <w:footnoteReference w:id="5"/>
      </w:r>
    </w:p>
    <w:p w:rsidR="009860B7" w:rsidRDefault="009860B7" w:rsidP="009860B7">
      <w:pPr>
        <w:rPr>
          <w:rtl/>
        </w:rPr>
      </w:pPr>
      <w:r w:rsidRPr="00DE7382">
        <w:rPr>
          <w:rFonts w:hint="cs"/>
          <w:b/>
          <w:bCs/>
          <w:rtl/>
        </w:rPr>
        <w:t>הנשבע בלא הזכרת שם או כינוי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לר"ת חל רק במושבע מפי עצמו, ודבריו תמוהין.</w:t>
      </w:r>
      <w:r>
        <w:rPr>
          <w:rtl/>
        </w:rPr>
        <w:br/>
      </w:r>
      <w:r>
        <w:rPr>
          <w:rFonts w:hint="cs"/>
          <w:rtl/>
        </w:rPr>
        <w:t>להר"ן חל בכל אופן, למאי דקי"ל כרבנן ודלא כרחב"א.</w:t>
      </w:r>
      <w:r>
        <w:rPr>
          <w:rtl/>
        </w:rPr>
        <w:br/>
      </w:r>
      <w:r>
        <w:rPr>
          <w:rFonts w:hint="cs"/>
          <w:rtl/>
        </w:rPr>
        <w:t>להראב"ד חל לענין איסור אבל אין לוקה.</w:t>
      </w:r>
    </w:p>
    <w:p w:rsidR="009860B7" w:rsidRDefault="009860B7" w:rsidP="009860B7">
      <w:pPr>
        <w:rPr>
          <w:rtl/>
        </w:rPr>
      </w:pPr>
      <w:r w:rsidRPr="00DE7382">
        <w:rPr>
          <w:rFonts w:hint="cs"/>
          <w:b/>
          <w:bCs/>
          <w:rtl/>
        </w:rPr>
        <w:t>בהזכרת שם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חלה השבועה אף בלא לשון שבועה, כמו לאלקי ישראל, לא אגלה סוד פלוני.</w:t>
      </w:r>
      <w:r>
        <w:rPr>
          <w:rStyle w:val="a5"/>
        </w:rPr>
        <w:footnoteReference w:id="6"/>
      </w:r>
      <w:r>
        <w:rPr>
          <w:rtl/>
        </w:rPr>
        <w:br/>
      </w:r>
      <w:r w:rsidRPr="00DE7382">
        <w:rPr>
          <w:rFonts w:hint="cs"/>
          <w:b/>
          <w:bCs/>
          <w:rtl/>
        </w:rPr>
        <w:t>השביעוהו וענה אמן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הרי זה כמוציא שבועה מפיו.</w:t>
      </w:r>
      <w:r>
        <w:rPr>
          <w:rStyle w:val="a5"/>
        </w:rPr>
        <w:footnoteReference w:id="7"/>
      </w:r>
    </w:p>
    <w:p w:rsidR="009860B7" w:rsidRDefault="009860B7" w:rsidP="009860B7">
      <w:pPr>
        <w:rPr>
          <w:rFonts w:hint="cs"/>
          <w:rtl/>
        </w:rPr>
      </w:pPr>
      <w:r w:rsidRPr="00DE7382">
        <w:rPr>
          <w:rFonts w:hint="cs"/>
          <w:b/>
          <w:bCs/>
          <w:rtl/>
        </w:rPr>
        <w:t>האומר מודרני ממך</w:t>
      </w:r>
      <w:r w:rsidRPr="00DE7382">
        <w:rPr>
          <w:rStyle w:val="a5"/>
          <w:b/>
          <w:bCs/>
          <w:rtl/>
        </w:rPr>
        <w:footnoteReference w:id="8"/>
      </w:r>
      <w:r w:rsidRPr="00DE7382">
        <w:rPr>
          <w:rFonts w:hint="cs"/>
          <w:b/>
          <w:bCs/>
          <w:rtl/>
        </w:rPr>
        <w:t xml:space="preserve"> שאני</w:t>
      </w:r>
      <w:r w:rsidRPr="00DE7382">
        <w:rPr>
          <w:rStyle w:val="a5"/>
          <w:b/>
          <w:bCs/>
          <w:rtl/>
        </w:rPr>
        <w:footnoteReference w:id="9"/>
      </w:r>
      <w:r w:rsidRPr="00DE7382">
        <w:rPr>
          <w:rFonts w:hint="cs"/>
          <w:b/>
          <w:bCs/>
          <w:rtl/>
        </w:rPr>
        <w:t xml:space="preserve"> אוכל לך</w:t>
      </w:r>
      <w:r>
        <w:rPr>
          <w:rStyle w:val="a5"/>
          <w:rtl/>
        </w:rPr>
        <w:footnoteReference w:id="10"/>
      </w:r>
      <w:r>
        <w:rPr>
          <w:rFonts w:hint="cs"/>
          <w:rtl/>
        </w:rPr>
        <w:t xml:space="preserve"> - חל מדין יד.</w:t>
      </w:r>
      <w:r>
        <w:rPr>
          <w:rStyle w:val="a5"/>
        </w:rPr>
        <w:footnoteReference w:id="11"/>
      </w:r>
      <w:r>
        <w:rPr>
          <w:rtl/>
        </w:rPr>
        <w:br/>
      </w:r>
      <w:r w:rsidRPr="00DE7382">
        <w:rPr>
          <w:rFonts w:hint="cs"/>
          <w:b/>
          <w:bCs/>
          <w:rtl/>
        </w:rPr>
        <w:t>מנודה אני לך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ר"ע היה חוכך בזה להחמיר.</w:t>
      </w:r>
    </w:p>
    <w:p w:rsidR="009860B7" w:rsidRPr="00353875" w:rsidRDefault="009860B7" w:rsidP="009860B7">
      <w:pPr>
        <w:rPr>
          <w:rFonts w:hint="cs"/>
          <w:b/>
          <w:bCs/>
          <w:i/>
          <w:iCs/>
          <w:rtl/>
        </w:rPr>
      </w:pPr>
      <w:r w:rsidRPr="00353875">
        <w:rPr>
          <w:rFonts w:hint="cs"/>
          <w:b/>
          <w:bCs/>
          <w:i/>
          <w:iCs/>
          <w:rtl/>
        </w:rPr>
        <w:t>ב:</w:t>
      </w:r>
    </w:p>
    <w:p w:rsidR="009860B7" w:rsidRDefault="009860B7" w:rsidP="009860B7">
      <w:pPr>
        <w:rPr>
          <w:rFonts w:hint="cs"/>
          <w:rtl/>
        </w:rPr>
      </w:pPr>
      <w:r w:rsidRPr="00353875">
        <w:rPr>
          <w:rFonts w:hint="cs"/>
          <w:b/>
          <w:bCs/>
          <w:rtl/>
        </w:rPr>
        <w:t>נדרים וחרמים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הם איסור חפצא עליו.</w:t>
      </w:r>
      <w:r w:rsidRPr="00353875">
        <w:rPr>
          <w:rFonts w:hint="cs"/>
          <w:b/>
          <w:bCs/>
          <w:rtl/>
        </w:rPr>
        <w:t xml:space="preserve"> שבועה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איסור עצמו מן החפצא.</w:t>
      </w:r>
      <w:r>
        <w:rPr>
          <w:rFonts w:hint="cs"/>
          <w:rtl/>
        </w:rPr>
        <w:br/>
      </w:r>
      <w:r w:rsidRPr="00353875">
        <w:rPr>
          <w:rFonts w:hint="cs"/>
          <w:b/>
          <w:bCs/>
          <w:rtl/>
        </w:rPr>
        <w:t>נדר בלשון שבועה או שבועה בלשון נדר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נחלקו בזה אמוראים בירושלמי אם חל.</w:t>
      </w:r>
      <w:r>
        <w:rPr>
          <w:rtl/>
        </w:rPr>
        <w:br/>
      </w:r>
      <w:r>
        <w:rPr>
          <w:rFonts w:hint="cs"/>
          <w:rtl/>
        </w:rPr>
        <w:lastRenderedPageBreak/>
        <w:t>והיינו כגון נדר לאסור עצמו, או נשבע לאסור החפץ.</w:t>
      </w:r>
      <w:r>
        <w:rPr>
          <w:rtl/>
        </w:rPr>
        <w:br/>
      </w:r>
      <w:r w:rsidRPr="00353875">
        <w:rPr>
          <w:rFonts w:hint="cs"/>
          <w:b/>
          <w:bCs/>
          <w:rtl/>
        </w:rPr>
        <w:t>להלכה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הר"ח והר"י מיגש והרשב"א והר"ן פסקו דלא חל, ולהרמב"ן חל מדין יד.</w:t>
      </w:r>
    </w:p>
    <w:p w:rsidR="009860B7" w:rsidRDefault="009860B7" w:rsidP="009860B7">
      <w:pPr>
        <w:rPr>
          <w:rFonts w:hint="cs"/>
          <w:rtl/>
        </w:rPr>
      </w:pPr>
      <w:r w:rsidRPr="00353875">
        <w:rPr>
          <w:rFonts w:hint="cs"/>
          <w:b/>
          <w:bCs/>
          <w:rtl/>
        </w:rPr>
        <w:t>דינים שנזכרו בדרך אגב:</w:t>
      </w:r>
      <w:r w:rsidRPr="00353875">
        <w:rPr>
          <w:rFonts w:hint="cs"/>
          <w:b/>
          <w:bCs/>
          <w:rtl/>
        </w:rPr>
        <w:br/>
      </w:r>
      <w:r>
        <w:rPr>
          <w:rFonts w:hint="cs"/>
          <w:rtl/>
        </w:rPr>
        <w:t>א. יש דברים שמדליקים בהם נר שבת ויש שאין מדליקין בהם.</w:t>
      </w:r>
      <w:r>
        <w:rPr>
          <w:rtl/>
        </w:rPr>
        <w:br/>
      </w:r>
      <w:r>
        <w:rPr>
          <w:rFonts w:hint="cs"/>
          <w:rtl/>
        </w:rPr>
        <w:t>ב. יש דברים שטומנים בהם את הקדירה בערב שבת, ויש דברים שאין טומנין בהם.</w:t>
      </w:r>
      <w:r>
        <w:rPr>
          <w:rtl/>
        </w:rPr>
        <w:br/>
      </w:r>
      <w:r>
        <w:rPr>
          <w:rFonts w:hint="cs"/>
          <w:rtl/>
        </w:rPr>
        <w:t>ג. ש דברים שאשה יוצאה בהן לרה"ר בשבת, ויש שאין יוצאה.</w:t>
      </w:r>
      <w:r>
        <w:rPr>
          <w:rtl/>
        </w:rPr>
        <w:br/>
      </w:r>
      <w:r>
        <w:rPr>
          <w:rFonts w:hint="cs"/>
          <w:rtl/>
        </w:rPr>
        <w:t>ד. יש נוחלין ומנחילין</w:t>
      </w:r>
      <w:r>
        <w:rPr>
          <w:rStyle w:val="a5"/>
          <w:rtl/>
        </w:rPr>
        <w:footnoteReference w:id="12"/>
      </w:r>
      <w:r>
        <w:rPr>
          <w:rFonts w:hint="cs"/>
          <w:rtl/>
        </w:rPr>
        <w:t>, ויש נוחלין ולא מנחילין</w:t>
      </w:r>
      <w:r>
        <w:rPr>
          <w:rStyle w:val="a5"/>
          <w:rtl/>
        </w:rPr>
        <w:footnoteReference w:id="13"/>
      </w:r>
      <w:r>
        <w:rPr>
          <w:rFonts w:hint="cs"/>
          <w:rtl/>
        </w:rPr>
        <w:t>.</w:t>
      </w:r>
      <w:r>
        <w:rPr>
          <w:rFonts w:hint="cs"/>
          <w:rtl/>
        </w:rPr>
        <w:br/>
        <w:t>ה. יש מותרות לבעליהן ולא ליבמיהן</w:t>
      </w:r>
      <w:r>
        <w:rPr>
          <w:rStyle w:val="a5"/>
          <w:rtl/>
        </w:rPr>
        <w:footnoteReference w:id="14"/>
      </w:r>
      <w:r>
        <w:rPr>
          <w:rFonts w:hint="cs"/>
          <w:rtl/>
        </w:rPr>
        <w:t>, ויש מותרות ליבמיהן ולא לבעליהן</w:t>
      </w:r>
      <w:r>
        <w:rPr>
          <w:rStyle w:val="a5"/>
          <w:rtl/>
        </w:rPr>
        <w:footnoteReference w:id="15"/>
      </w:r>
      <w:r>
        <w:rPr>
          <w:rFonts w:hint="cs"/>
          <w:rtl/>
        </w:rPr>
        <w:t>.</w:t>
      </w:r>
      <w:r>
        <w:rPr>
          <w:rFonts w:hint="cs"/>
          <w:rtl/>
        </w:rPr>
        <w:br/>
        <w:t>ו. יש מנחות טעונות שמן ולבונה</w:t>
      </w:r>
      <w:r>
        <w:rPr>
          <w:rStyle w:val="a5"/>
          <w:rtl/>
        </w:rPr>
        <w:footnoteReference w:id="16"/>
      </w:r>
      <w:r>
        <w:rPr>
          <w:rFonts w:hint="cs"/>
          <w:rtl/>
        </w:rPr>
        <w:t>, ויש טעונות שמן ולא לבונה</w:t>
      </w:r>
      <w:r>
        <w:rPr>
          <w:rStyle w:val="a5"/>
          <w:rtl/>
        </w:rPr>
        <w:footnoteReference w:id="17"/>
      </w:r>
      <w:r>
        <w:rPr>
          <w:rFonts w:hint="cs"/>
          <w:rtl/>
        </w:rPr>
        <w:t>.</w:t>
      </w:r>
      <w:r>
        <w:rPr>
          <w:rtl/>
        </w:rPr>
        <w:br/>
      </w:r>
      <w:r>
        <w:rPr>
          <w:rFonts w:hint="cs"/>
          <w:rtl/>
        </w:rPr>
        <w:t>ז. יש מנחות הטעונות הגשה בקרן דרומית מערבית ולא תנופה</w:t>
      </w:r>
      <w:r>
        <w:rPr>
          <w:rStyle w:val="a5"/>
          <w:rtl/>
        </w:rPr>
        <w:footnoteReference w:id="18"/>
      </w:r>
      <w:r>
        <w:rPr>
          <w:rFonts w:hint="cs"/>
          <w:rtl/>
        </w:rPr>
        <w:t>, ויש טעונות תנופה ולא הגשה</w:t>
      </w:r>
      <w:r>
        <w:rPr>
          <w:rStyle w:val="a5"/>
          <w:rtl/>
        </w:rPr>
        <w:footnoteReference w:id="19"/>
      </w:r>
      <w:r>
        <w:rPr>
          <w:rFonts w:hint="cs"/>
          <w:rtl/>
        </w:rPr>
        <w:t>.</w:t>
      </w:r>
      <w:r>
        <w:rPr>
          <w:rFonts w:hint="cs"/>
          <w:rtl/>
        </w:rPr>
        <w:br/>
        <w:t>ח. יש בכור לנחלה ליטול פי שנים ולא לכהן</w:t>
      </w:r>
      <w:r>
        <w:rPr>
          <w:rStyle w:val="a5"/>
          <w:rtl/>
        </w:rPr>
        <w:footnoteReference w:id="20"/>
      </w:r>
      <w:r>
        <w:rPr>
          <w:rFonts w:hint="cs"/>
          <w:rtl/>
        </w:rPr>
        <w:t>, ויש לכהן ולא לנחלה</w:t>
      </w:r>
      <w:r>
        <w:rPr>
          <w:rStyle w:val="a5"/>
          <w:rtl/>
        </w:rPr>
        <w:footnoteReference w:id="21"/>
      </w:r>
      <w:r>
        <w:rPr>
          <w:rFonts w:hint="cs"/>
          <w:rtl/>
        </w:rPr>
        <w:t>.</w:t>
      </w:r>
      <w:r>
        <w:rPr>
          <w:rFonts w:hint="cs"/>
          <w:rtl/>
        </w:rPr>
        <w:br/>
        <w:t>ט. יש דברים שבהמה יוצאה בהן לרה"ר, ויש שלא.</w:t>
      </w:r>
    </w:p>
    <w:p w:rsidR="00CC6452" w:rsidRDefault="00CC6452"/>
    <w:sectPr w:rsidR="00CC6452" w:rsidSect="00BF1BCC">
      <w:pgSz w:w="11907" w:h="16839" w:code="9"/>
      <w:pgMar w:top="1440" w:right="1797" w:bottom="1440" w:left="179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C89" w:rsidRDefault="00C33C89" w:rsidP="009860B7">
      <w:pPr>
        <w:spacing w:after="0" w:line="240" w:lineRule="auto"/>
      </w:pPr>
      <w:r>
        <w:separator/>
      </w:r>
    </w:p>
  </w:endnote>
  <w:endnote w:type="continuationSeparator" w:id="0">
    <w:p w:rsidR="00C33C89" w:rsidRDefault="00C33C89" w:rsidP="0098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C89" w:rsidRDefault="00C33C89" w:rsidP="009860B7">
      <w:pPr>
        <w:spacing w:after="0" w:line="240" w:lineRule="auto"/>
      </w:pPr>
      <w:r>
        <w:separator/>
      </w:r>
    </w:p>
  </w:footnote>
  <w:footnote w:type="continuationSeparator" w:id="0">
    <w:p w:rsidR="00C33C89" w:rsidRDefault="00C33C89" w:rsidP="009860B7">
      <w:pPr>
        <w:spacing w:after="0" w:line="240" w:lineRule="auto"/>
      </w:pPr>
      <w:r>
        <w:continuationSeparator/>
      </w:r>
    </w:p>
  </w:footnote>
  <w:footnote w:id="1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להוסיף שיש אפשרות לאסור את שלו על מי שרוצה. האופן שלמעלה נובע מהכח לקבל על עצמו איסור, והאופן הזה נובע מכח בעלותו על שלו.</w:t>
      </w:r>
    </w:p>
  </w:footnote>
  <w:footnote w:id="2">
    <w:p w:rsidR="009860B7" w:rsidRDefault="009860B7" w:rsidP="009860B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ואף כשהלשון המדוברת משובשת, כמו כינויים לריו"ח שמקורן בלשון הקדש, ונשתבשו בפי הנכרים</w:t>
      </w:r>
    </w:p>
  </w:footnote>
  <w:footnote w:id="3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חרק חרך חרף, כאומר נכסים אלו עלי חרם.</w:t>
      </w:r>
    </w:p>
  </w:footnote>
  <w:footnote w:id="4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שבותה.</w:t>
      </w:r>
    </w:p>
  </w:footnote>
  <w:footnote w:id="5">
    <w:p w:rsidR="009860B7" w:rsidRDefault="009860B7" w:rsidP="009860B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הריני נזיק, פזיח.</w:t>
      </w:r>
    </w:p>
  </w:footnote>
  <w:footnote w:id="6">
    <w:p w:rsidR="009860B7" w:rsidRDefault="009860B7" w:rsidP="009860B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מארי כולא, לא טעימנא.</w:t>
      </w:r>
    </w:p>
  </w:footnote>
  <w:footnote w:id="7">
    <w:p w:rsidR="009860B7" w:rsidRDefault="009860B7" w:rsidP="009860B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בשבועת העדות וכדילפינן מסוטה, ואין בזה שום קולא ודלא כר"ת.</w:t>
      </w:r>
    </w:p>
  </w:footnote>
  <w:footnote w:id="8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או מופרשני ממך, או מרוחקני ממך. </w:t>
      </w:r>
    </w:p>
  </w:footnote>
  <w:footnote w:id="9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הינו הדבר שאני טועם אסור עלי. ויש גרוסים שאיני טועם, עי' להלן ד:</w:t>
      </w:r>
    </w:p>
  </w:footnote>
  <w:footnote w:id="10">
    <w:p w:rsidR="009860B7" w:rsidRDefault="009860B7" w:rsidP="009860B7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שאני טועם לך.</w:t>
      </w:r>
    </w:p>
  </w:footnote>
  <w:footnote w:id="11">
    <w:p w:rsidR="009860B7" w:rsidRDefault="009860B7" w:rsidP="009860B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ונחשב יד משום שלא הזכיר כקרבן (וזה צ"ב לפי מ"ש הר"ן דלא בעינן כלל התפסה), או משום שלא הזכיר לשון איסור.</w:t>
      </w:r>
    </w:p>
  </w:footnote>
  <w:footnote w:id="12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אב ובניו.</w:t>
      </w:r>
    </w:p>
  </w:footnote>
  <w:footnote w:id="13">
    <w:p w:rsidR="009860B7" w:rsidRDefault="009860B7" w:rsidP="009860B7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הבן את אמו.</w:t>
      </w:r>
    </w:p>
  </w:footnote>
  <w:footnote w:id="14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כהן הדיוט שנשא אלמנה ואחיו כהן גדול.</w:t>
      </w:r>
    </w:p>
  </w:footnote>
  <w:footnote w:id="15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כהן גדול שקידש אלמנה ואחיו כהן הדיוט. (אם נשא ובעל, הריהי חללה ונאסרה גם על אחיו ההדיוט).</w:t>
      </w:r>
    </w:p>
  </w:footnote>
  <w:footnote w:id="16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מנחת סולת מחבת ומרחשת.</w:t>
      </w:r>
    </w:p>
  </w:footnote>
  <w:footnote w:id="17">
    <w:p w:rsidR="009860B7" w:rsidRDefault="009860B7" w:rsidP="009860B7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מנחת נסכים.</w:t>
      </w:r>
    </w:p>
  </w:footnote>
  <w:footnote w:id="18">
    <w:p w:rsidR="009860B7" w:rsidRDefault="009860B7" w:rsidP="009860B7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מנחת חוטא. </w:t>
      </w:r>
    </w:p>
  </w:footnote>
  <w:footnote w:id="19">
    <w:p w:rsidR="009860B7" w:rsidRDefault="009860B7" w:rsidP="009860B7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לוג שמן ואשם מצורע, והביכורים. ותנופה היינו כשיד כהן תחת יד הבעלים.</w:t>
      </w:r>
    </w:p>
  </w:footnote>
  <w:footnote w:id="20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הבא אחר נפלים, או שאשתו כבר ילדה ואצלו הוא בן ראשון.</w:t>
      </w:r>
    </w:p>
  </w:footnote>
  <w:footnote w:id="21">
    <w:p w:rsidR="009860B7" w:rsidRDefault="009860B7" w:rsidP="009860B7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בכור לאמו ולא לאביו.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0B7"/>
    <w:rsid w:val="000378D4"/>
    <w:rsid w:val="00240196"/>
    <w:rsid w:val="00294D17"/>
    <w:rsid w:val="005A5BAA"/>
    <w:rsid w:val="009860B7"/>
    <w:rsid w:val="00AF7868"/>
    <w:rsid w:val="00BF1BCC"/>
    <w:rsid w:val="00C33C89"/>
    <w:rsid w:val="00C346B2"/>
    <w:rsid w:val="00CC6452"/>
    <w:rsid w:val="00E6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60B7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9860B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60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2015-05-27T21:24:00Z</dcterms:created>
  <dcterms:modified xsi:type="dcterms:W3CDTF">2015-05-27T21:25:00Z</dcterms:modified>
</cp:coreProperties>
</file>