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AD2" w:rsidRPr="00E7448C" w:rsidRDefault="00F92AD2" w:rsidP="00F92AD2">
      <w:pPr>
        <w:rPr>
          <w:rFonts w:hint="cs"/>
          <w:b/>
          <w:bCs/>
          <w:i/>
          <w:iCs/>
          <w:rtl/>
        </w:rPr>
      </w:pPr>
      <w:r w:rsidRPr="00E7448C">
        <w:rPr>
          <w:rFonts w:hint="cs"/>
          <w:b/>
          <w:bCs/>
          <w:i/>
          <w:iCs/>
          <w:rtl/>
        </w:rPr>
        <w:t>ג.</w:t>
      </w:r>
    </w:p>
    <w:p w:rsidR="00F92AD2" w:rsidRDefault="00F92AD2" w:rsidP="00F92AD2">
      <w:pPr>
        <w:rPr>
          <w:rFonts w:hint="cs"/>
          <w:rtl/>
        </w:rPr>
      </w:pPr>
      <w:r>
        <w:rPr>
          <w:rFonts w:hint="cs"/>
          <w:rtl/>
        </w:rPr>
        <w:t>ראוי לבחור לשון ערומים.</w:t>
      </w:r>
      <w:r>
        <w:rPr>
          <w:rtl/>
        </w:rPr>
        <w:br/>
      </w:r>
      <w:r>
        <w:rPr>
          <w:rFonts w:hint="cs"/>
          <w:rtl/>
        </w:rPr>
        <w:t>אין קפידא אם לפרש קודם את מה דפתח בו או את מאי דסליק מיניה.</w:t>
      </w:r>
      <w:r>
        <w:rPr>
          <w:rStyle w:val="a5"/>
          <w:rtl/>
        </w:rPr>
        <w:footnoteReference w:id="1"/>
      </w:r>
    </w:p>
    <w:p w:rsidR="00F92AD2" w:rsidRDefault="00F92AD2" w:rsidP="00F92AD2">
      <w:pPr>
        <w:rPr>
          <w:rFonts w:hint="cs"/>
          <w:rtl/>
        </w:rPr>
      </w:pPr>
      <w:r w:rsidRPr="00E7448C">
        <w:rPr>
          <w:rFonts w:hint="cs"/>
          <w:b/>
          <w:bCs/>
          <w:rtl/>
        </w:rPr>
        <w:t>ראוי להימנע מלהשתמש בלשון "קרבן",</w:t>
      </w:r>
      <w:r>
        <w:rPr>
          <w:rFonts w:hint="cs"/>
          <w:rtl/>
        </w:rPr>
        <w:t xml:space="preserve"> שמא יאמר לה' ולא יסיים קרבן, והוציא ש"ש לבטלה.</w:t>
      </w:r>
      <w:r>
        <w:rPr>
          <w:rStyle w:val="a5"/>
        </w:rPr>
        <w:footnoteReference w:id="2"/>
      </w:r>
    </w:p>
    <w:p w:rsidR="00F92AD2" w:rsidRDefault="00F92AD2" w:rsidP="00F92AD2">
      <w:pPr>
        <w:rPr>
          <w:rFonts w:hint="cs"/>
          <w:rtl/>
        </w:rPr>
      </w:pPr>
      <w:r w:rsidRPr="00E7448C">
        <w:rPr>
          <w:rFonts w:hint="cs"/>
          <w:b/>
          <w:bCs/>
          <w:rtl/>
        </w:rPr>
        <w:t>ידות נדרים ונזירות</w:t>
      </w:r>
      <w:r>
        <w:rPr>
          <w:rFonts w:hint="cs"/>
          <w:rtl/>
        </w:rPr>
        <w:t xml:space="preserve"> </w:t>
      </w:r>
      <w:r>
        <w:rPr>
          <w:rtl/>
        </w:rPr>
        <w:t>–</w:t>
      </w:r>
      <w:r>
        <w:rPr>
          <w:rFonts w:hint="cs"/>
          <w:rtl/>
        </w:rPr>
        <w:t xml:space="preserve"> כנדרים ונזירות, וכנ"ל.</w:t>
      </w:r>
      <w:r>
        <w:rPr>
          <w:rtl/>
        </w:rPr>
        <w:br/>
      </w:r>
      <w:r w:rsidRPr="00E7448C">
        <w:rPr>
          <w:rFonts w:hint="cs"/>
          <w:b/>
          <w:bCs/>
          <w:rtl/>
        </w:rPr>
        <w:t>נדרי איסור</w:t>
      </w:r>
      <w:r>
        <w:rPr>
          <w:rFonts w:hint="cs"/>
          <w:rtl/>
        </w:rPr>
        <w:t xml:space="preserve"> </w:t>
      </w:r>
      <w:r>
        <w:rPr>
          <w:rtl/>
        </w:rPr>
        <w:t>–</w:t>
      </w:r>
      <w:r>
        <w:rPr>
          <w:rFonts w:hint="cs"/>
          <w:rtl/>
        </w:rPr>
        <w:t xml:space="preserve"> כשמבטל, עובר בבל יחל. </w:t>
      </w:r>
      <w:r w:rsidRPr="00E7448C">
        <w:rPr>
          <w:rFonts w:hint="cs"/>
          <w:b/>
          <w:bCs/>
          <w:rtl/>
        </w:rPr>
        <w:t>נדרי קרבן</w:t>
      </w:r>
      <w:r>
        <w:rPr>
          <w:rFonts w:hint="cs"/>
          <w:rtl/>
        </w:rPr>
        <w:t xml:space="preserve"> </w:t>
      </w:r>
      <w:r>
        <w:rPr>
          <w:rtl/>
        </w:rPr>
        <w:t>–</w:t>
      </w:r>
      <w:r>
        <w:rPr>
          <w:rFonts w:hint="cs"/>
          <w:rtl/>
        </w:rPr>
        <w:t xml:space="preserve"> עובר בבל תאחר</w:t>
      </w:r>
      <w:r>
        <w:rPr>
          <w:rStyle w:val="a5"/>
          <w:rtl/>
        </w:rPr>
        <w:footnoteReference w:id="3"/>
      </w:r>
      <w:r>
        <w:rPr>
          <w:rFonts w:hint="cs"/>
          <w:rtl/>
        </w:rPr>
        <w:t>.</w:t>
      </w:r>
      <w:r>
        <w:rPr>
          <w:rFonts w:hint="cs"/>
          <w:rtl/>
        </w:rPr>
        <w:br/>
      </w:r>
      <w:r w:rsidRPr="00E7448C">
        <w:rPr>
          <w:rFonts w:hint="cs"/>
          <w:b/>
          <w:bCs/>
          <w:rtl/>
        </w:rPr>
        <w:t>נזיר שמבטל דיני נזירותו</w:t>
      </w:r>
      <w:r>
        <w:rPr>
          <w:rFonts w:hint="cs"/>
          <w:rtl/>
        </w:rPr>
        <w:t xml:space="preserve"> </w:t>
      </w:r>
      <w:r>
        <w:rPr>
          <w:rtl/>
        </w:rPr>
        <w:t>–</w:t>
      </w:r>
      <w:r>
        <w:rPr>
          <w:rFonts w:hint="cs"/>
          <w:rtl/>
        </w:rPr>
        <w:t xml:space="preserve"> עובר גם בבל יחל כדלהלן.</w:t>
      </w:r>
      <w:r>
        <w:rPr>
          <w:rFonts w:hint="cs"/>
          <w:rtl/>
        </w:rPr>
        <w:br/>
      </w:r>
      <w:r w:rsidRPr="00E7448C">
        <w:rPr>
          <w:rFonts w:hint="cs"/>
          <w:b/>
          <w:bCs/>
          <w:rtl/>
        </w:rPr>
        <w:t>נזיר שמתעכב להחיל נזירותו עליו</w:t>
      </w:r>
      <w:r>
        <w:rPr>
          <w:rFonts w:hint="cs"/>
          <w:rtl/>
        </w:rPr>
        <w:t xml:space="preserve"> </w:t>
      </w:r>
      <w:r>
        <w:rPr>
          <w:rtl/>
        </w:rPr>
        <w:t>–</w:t>
      </w:r>
      <w:r>
        <w:rPr>
          <w:rFonts w:hint="cs"/>
          <w:rtl/>
        </w:rPr>
        <w:t xml:space="preserve"> לפעמים עובר בבל תאחר, עי' להלן באיזה אופן.</w:t>
      </w:r>
      <w:r>
        <w:rPr>
          <w:rFonts w:hint="cs"/>
          <w:rtl/>
        </w:rPr>
        <w:br/>
      </w:r>
      <w:r w:rsidRPr="00E7448C">
        <w:rPr>
          <w:rFonts w:hint="cs"/>
          <w:b/>
          <w:bCs/>
          <w:rtl/>
        </w:rPr>
        <w:t>נדרי הבת</w:t>
      </w:r>
      <w:r>
        <w:rPr>
          <w:rFonts w:hint="cs"/>
          <w:rtl/>
        </w:rPr>
        <w:t xml:space="preserve"> </w:t>
      </w:r>
      <w:r>
        <w:rPr>
          <w:rtl/>
        </w:rPr>
        <w:t>–</w:t>
      </w:r>
      <w:r>
        <w:rPr>
          <w:rFonts w:hint="cs"/>
          <w:rtl/>
        </w:rPr>
        <w:t xml:space="preserve"> האב מיפר.</w:t>
      </w:r>
      <w:r>
        <w:rPr>
          <w:rtl/>
        </w:rPr>
        <w:br/>
      </w:r>
      <w:r w:rsidRPr="00E7448C">
        <w:rPr>
          <w:rFonts w:hint="cs"/>
          <w:b/>
          <w:bCs/>
          <w:rtl/>
        </w:rPr>
        <w:t>נדרי האשה</w:t>
      </w:r>
      <w:r>
        <w:rPr>
          <w:rFonts w:hint="cs"/>
          <w:rtl/>
        </w:rPr>
        <w:t xml:space="preserve"> </w:t>
      </w:r>
      <w:r>
        <w:rPr>
          <w:rtl/>
        </w:rPr>
        <w:t>–</w:t>
      </w:r>
      <w:r>
        <w:rPr>
          <w:rFonts w:hint="cs"/>
          <w:rtl/>
        </w:rPr>
        <w:t xml:space="preserve"> הבעל מיפר, אם הם נדרי עינוי נפש או בינו לבינה.</w:t>
      </w:r>
      <w:r>
        <w:rPr>
          <w:rFonts w:hint="cs"/>
          <w:rtl/>
        </w:rPr>
        <w:br/>
      </w:r>
      <w:r w:rsidRPr="00E7448C">
        <w:rPr>
          <w:rFonts w:hint="cs"/>
          <w:b/>
          <w:bCs/>
          <w:rtl/>
        </w:rPr>
        <w:t>נזירות הבת או האשה</w:t>
      </w:r>
      <w:r>
        <w:rPr>
          <w:rFonts w:hint="cs"/>
          <w:rtl/>
        </w:rPr>
        <w:t xml:space="preserve"> </w:t>
      </w:r>
      <w:r>
        <w:rPr>
          <w:rtl/>
        </w:rPr>
        <w:t>–</w:t>
      </w:r>
      <w:r>
        <w:rPr>
          <w:rFonts w:hint="cs"/>
          <w:rtl/>
        </w:rPr>
        <w:t xml:space="preserve"> האב או הבעל מיפר.</w:t>
      </w:r>
    </w:p>
    <w:p w:rsidR="00F92AD2" w:rsidRPr="00E7448C" w:rsidRDefault="00F92AD2" w:rsidP="00F92AD2">
      <w:pPr>
        <w:rPr>
          <w:rFonts w:hint="cs"/>
          <w:i/>
          <w:iCs/>
          <w:rtl/>
        </w:rPr>
      </w:pPr>
      <w:r w:rsidRPr="00E7448C">
        <w:rPr>
          <w:rFonts w:hint="cs"/>
          <w:i/>
          <w:iCs/>
          <w:rtl/>
        </w:rPr>
        <w:t>ג:</w:t>
      </w:r>
    </w:p>
    <w:p w:rsidR="00F92AD2" w:rsidRDefault="00F92AD2" w:rsidP="00F92AD2">
      <w:pPr>
        <w:rPr>
          <w:rFonts w:hint="cs"/>
          <w:rtl/>
        </w:rPr>
      </w:pPr>
      <w:r w:rsidRPr="00E7448C">
        <w:rPr>
          <w:rFonts w:hint="cs"/>
          <w:b/>
          <w:bCs/>
          <w:rtl/>
        </w:rPr>
        <w:t>האומר הריני נזיר היום הריני נזיר היום</w:t>
      </w:r>
      <w:r>
        <w:rPr>
          <w:rFonts w:hint="cs"/>
          <w:rtl/>
        </w:rPr>
        <w:t xml:space="preserve"> </w:t>
      </w:r>
      <w:r>
        <w:rPr>
          <w:rtl/>
        </w:rPr>
        <w:t>–</w:t>
      </w:r>
      <w:r>
        <w:rPr>
          <w:rFonts w:hint="cs"/>
          <w:rtl/>
        </w:rPr>
        <w:t xml:space="preserve"> י"א דצריך למנות ס' יום, וי"א דסגי ליה בל'.</w:t>
      </w:r>
      <w:r>
        <w:rPr>
          <w:rtl/>
        </w:rPr>
        <w:br/>
      </w:r>
      <w:r w:rsidRPr="00E7448C">
        <w:rPr>
          <w:rFonts w:hint="cs"/>
          <w:b/>
          <w:bCs/>
          <w:rtl/>
        </w:rPr>
        <w:t>האומר הרי עלי שתי נזירות</w:t>
      </w:r>
      <w:r>
        <w:rPr>
          <w:rFonts w:hint="cs"/>
          <w:rtl/>
        </w:rPr>
        <w:t xml:space="preserve"> </w:t>
      </w:r>
      <w:r>
        <w:rPr>
          <w:rtl/>
        </w:rPr>
        <w:t>–</w:t>
      </w:r>
      <w:r>
        <w:rPr>
          <w:rFonts w:hint="cs"/>
          <w:rtl/>
        </w:rPr>
        <w:t xml:space="preserve"> לכו"ע מונה ששים יום.</w:t>
      </w:r>
      <w:r>
        <w:rPr>
          <w:rtl/>
        </w:rPr>
        <w:br/>
      </w:r>
      <w:r w:rsidRPr="00E7448C">
        <w:rPr>
          <w:rFonts w:hint="cs"/>
          <w:b/>
          <w:bCs/>
          <w:rtl/>
        </w:rPr>
        <w:t>נדר שהותר מקצתו</w:t>
      </w:r>
      <w:r>
        <w:rPr>
          <w:rFonts w:hint="cs"/>
          <w:rtl/>
        </w:rPr>
        <w:t xml:space="preserve"> </w:t>
      </w:r>
      <w:r>
        <w:rPr>
          <w:rtl/>
        </w:rPr>
        <w:t>–</w:t>
      </w:r>
      <w:r>
        <w:rPr>
          <w:rFonts w:hint="cs"/>
          <w:rtl/>
        </w:rPr>
        <w:t xml:space="preserve"> הותר כולו.</w:t>
      </w:r>
    </w:p>
    <w:p w:rsidR="00F92AD2" w:rsidRDefault="00F92AD2" w:rsidP="00F92AD2">
      <w:pPr>
        <w:rPr>
          <w:rFonts w:hint="cs"/>
          <w:rtl/>
        </w:rPr>
      </w:pPr>
      <w:r w:rsidRPr="00E7448C">
        <w:rPr>
          <w:rFonts w:hint="cs"/>
          <w:b/>
          <w:bCs/>
          <w:rtl/>
        </w:rPr>
        <w:t>האומר ככר זו אוכל ולא אכלה</w:t>
      </w:r>
      <w:r>
        <w:rPr>
          <w:rFonts w:hint="cs"/>
          <w:rtl/>
        </w:rPr>
        <w:t xml:space="preserve"> </w:t>
      </w:r>
      <w:r>
        <w:rPr>
          <w:rtl/>
        </w:rPr>
        <w:t>–</w:t>
      </w:r>
      <w:r>
        <w:rPr>
          <w:rFonts w:hint="cs"/>
          <w:rtl/>
        </w:rPr>
        <w:t xml:space="preserve"> עובר בבל יחל.</w:t>
      </w:r>
      <w:r>
        <w:rPr>
          <w:rStyle w:val="a5"/>
          <w:rtl/>
        </w:rPr>
        <w:footnoteReference w:id="4"/>
      </w:r>
      <w:r>
        <w:rPr>
          <w:rtl/>
        </w:rPr>
        <w:br/>
      </w:r>
      <w:r w:rsidRPr="00E7448C">
        <w:rPr>
          <w:rFonts w:hint="cs"/>
          <w:b/>
          <w:bCs/>
          <w:rtl/>
        </w:rPr>
        <w:t>הרי עלי להביא קרבן</w:t>
      </w:r>
      <w:r>
        <w:rPr>
          <w:rFonts w:hint="cs"/>
          <w:rtl/>
        </w:rPr>
        <w:t xml:space="preserve"> </w:t>
      </w:r>
      <w:r>
        <w:rPr>
          <w:rtl/>
        </w:rPr>
        <w:t>–</w:t>
      </w:r>
      <w:r>
        <w:rPr>
          <w:rFonts w:hint="cs"/>
          <w:rtl/>
        </w:rPr>
        <w:t xml:space="preserve"> אם מתעכב ג' רגלים מלהביא, עובר בבל תאחר.</w:t>
      </w:r>
      <w:r>
        <w:rPr>
          <w:rtl/>
        </w:rPr>
        <w:br/>
      </w:r>
      <w:r w:rsidRPr="00E7448C">
        <w:rPr>
          <w:rFonts w:hint="cs"/>
          <w:b/>
          <w:bCs/>
          <w:rtl/>
        </w:rPr>
        <w:t>האומר הרי עלי להביא קרבן מיד</w:t>
      </w:r>
      <w:r>
        <w:rPr>
          <w:rFonts w:hint="cs"/>
          <w:rtl/>
        </w:rPr>
        <w:t xml:space="preserve"> </w:t>
      </w:r>
      <w:r>
        <w:rPr>
          <w:rtl/>
        </w:rPr>
        <w:t>–</w:t>
      </w:r>
      <w:r>
        <w:rPr>
          <w:rFonts w:hint="cs"/>
          <w:rtl/>
        </w:rPr>
        <w:t xml:space="preserve"> עובר מיד בבל תאחר.</w:t>
      </w:r>
      <w:r>
        <w:rPr>
          <w:rFonts w:hint="cs"/>
          <w:rtl/>
        </w:rPr>
        <w:br/>
      </w:r>
      <w:r w:rsidRPr="00E7448C">
        <w:rPr>
          <w:rFonts w:hint="cs"/>
          <w:b/>
          <w:bCs/>
          <w:rtl/>
        </w:rPr>
        <w:t>הריני נזיר</w:t>
      </w:r>
      <w:r>
        <w:rPr>
          <w:rFonts w:hint="cs"/>
          <w:rtl/>
        </w:rPr>
        <w:t xml:space="preserve"> </w:t>
      </w:r>
      <w:r>
        <w:rPr>
          <w:rtl/>
        </w:rPr>
        <w:t>–</w:t>
      </w:r>
      <w:r>
        <w:rPr>
          <w:rFonts w:hint="cs"/>
          <w:rtl/>
        </w:rPr>
        <w:t xml:space="preserve"> נעשה נזיר מיד</w:t>
      </w:r>
      <w:r>
        <w:rPr>
          <w:rStyle w:val="a5"/>
          <w:rtl/>
        </w:rPr>
        <w:footnoteReference w:id="5"/>
      </w:r>
      <w:r>
        <w:rPr>
          <w:rFonts w:hint="cs"/>
          <w:rtl/>
        </w:rPr>
        <w:t>, וכשאוכל ענבים ושותה יין, עובר גם בלאו דנזיר, וגם בבל יחל.</w:t>
      </w:r>
      <w:r>
        <w:rPr>
          <w:rtl/>
        </w:rPr>
        <w:br/>
      </w:r>
      <w:r w:rsidRPr="00E7448C">
        <w:rPr>
          <w:rFonts w:hint="cs"/>
          <w:b/>
          <w:bCs/>
          <w:rtl/>
        </w:rPr>
        <w:t>האומר לכשארצה אהא נזיר</w:t>
      </w:r>
      <w:r>
        <w:rPr>
          <w:rFonts w:hint="cs"/>
          <w:rtl/>
        </w:rPr>
        <w:t xml:space="preserve"> </w:t>
      </w:r>
      <w:r>
        <w:rPr>
          <w:rtl/>
        </w:rPr>
        <w:t>–</w:t>
      </w:r>
      <w:r>
        <w:rPr>
          <w:rFonts w:hint="cs"/>
          <w:rtl/>
        </w:rPr>
        <w:t xml:space="preserve"> כל עוד לא רוצה, אינו נזיר, ואינו עובר בבל תאחר.</w:t>
      </w:r>
      <w:r>
        <w:rPr>
          <w:rtl/>
        </w:rPr>
        <w:br/>
      </w:r>
      <w:r w:rsidRPr="00E7448C">
        <w:rPr>
          <w:rFonts w:hint="cs"/>
          <w:b/>
          <w:bCs/>
          <w:rtl/>
        </w:rPr>
        <w:t>הרי עלי להיות נזיר</w:t>
      </w:r>
      <w:r>
        <w:rPr>
          <w:rFonts w:hint="cs"/>
          <w:rtl/>
        </w:rPr>
        <w:t xml:space="preserve"> </w:t>
      </w:r>
      <w:r>
        <w:rPr>
          <w:rtl/>
        </w:rPr>
        <w:t>–</w:t>
      </w:r>
      <w:r>
        <w:rPr>
          <w:rFonts w:hint="cs"/>
          <w:rtl/>
        </w:rPr>
        <w:t xml:space="preserve"> נעשה נזיר מיד, ואין בל תאחר.</w:t>
      </w:r>
      <w:r>
        <w:rPr>
          <w:rtl/>
        </w:rPr>
        <w:br/>
      </w:r>
      <w:r w:rsidRPr="00E7448C">
        <w:rPr>
          <w:rFonts w:hint="cs"/>
          <w:b/>
          <w:bCs/>
          <w:rtl/>
        </w:rPr>
        <w:t>לא איפטר מהעולם עד שאהיה נזיר</w:t>
      </w:r>
      <w:r>
        <w:rPr>
          <w:rFonts w:hint="cs"/>
          <w:rtl/>
        </w:rPr>
        <w:t xml:space="preserve"> </w:t>
      </w:r>
      <w:r>
        <w:rPr>
          <w:rtl/>
        </w:rPr>
        <w:t>–</w:t>
      </w:r>
      <w:r>
        <w:rPr>
          <w:rFonts w:hint="cs"/>
          <w:rtl/>
        </w:rPr>
        <w:t xml:space="preserve"> צריך לקבל כדי להיות נזיר, אבל עובר מיד בבל תאחר.</w:t>
      </w:r>
      <w:r>
        <w:rPr>
          <w:rtl/>
        </w:rPr>
        <w:br/>
      </w:r>
      <w:r w:rsidRPr="00E7448C">
        <w:rPr>
          <w:rFonts w:hint="cs"/>
          <w:b/>
          <w:bCs/>
          <w:rtl/>
        </w:rPr>
        <w:t>קודם ש</w:t>
      </w:r>
      <w:r>
        <w:rPr>
          <w:rFonts w:hint="cs"/>
          <w:b/>
          <w:bCs/>
          <w:rtl/>
        </w:rPr>
        <w:t>י</w:t>
      </w:r>
      <w:r w:rsidRPr="00E7448C">
        <w:rPr>
          <w:rFonts w:hint="cs"/>
          <w:b/>
          <w:bCs/>
          <w:rtl/>
        </w:rPr>
        <w:t>עברו ב' שנים אהא נזיר</w:t>
      </w:r>
      <w:r>
        <w:rPr>
          <w:rFonts w:hint="cs"/>
          <w:rtl/>
        </w:rPr>
        <w:t xml:space="preserve"> </w:t>
      </w:r>
      <w:r>
        <w:rPr>
          <w:rtl/>
        </w:rPr>
        <w:t>–</w:t>
      </w:r>
      <w:r>
        <w:rPr>
          <w:rFonts w:hint="cs"/>
          <w:rtl/>
        </w:rPr>
        <w:t xml:space="preserve"> עובר בבל תאחר בג' רגלים.</w:t>
      </w:r>
    </w:p>
    <w:p w:rsidR="00CC6452" w:rsidRDefault="00F92AD2" w:rsidP="00F92AD2">
      <w:r w:rsidRPr="00E7448C">
        <w:rPr>
          <w:rFonts w:hint="cs"/>
          <w:b/>
          <w:bCs/>
          <w:rtl/>
        </w:rPr>
        <w:t>כהן האומר לאשתו הרי זה גיטך שעה אחת קודם מיתתי</w:t>
      </w:r>
      <w:r>
        <w:rPr>
          <w:rFonts w:hint="cs"/>
          <w:rtl/>
        </w:rPr>
        <w:t xml:space="preserve"> </w:t>
      </w:r>
      <w:r>
        <w:rPr>
          <w:rtl/>
        </w:rPr>
        <w:t>–</w:t>
      </w:r>
      <w:r>
        <w:rPr>
          <w:rFonts w:hint="cs"/>
          <w:rtl/>
        </w:rPr>
        <w:t xml:space="preserve"> אסורה לאכול בתרומה מיד.</w:t>
      </w:r>
      <w:r>
        <w:rPr>
          <w:rtl/>
        </w:rPr>
        <w:br/>
      </w:r>
      <w:r w:rsidRPr="00E7448C">
        <w:rPr>
          <w:rFonts w:hint="cs"/>
          <w:b/>
          <w:bCs/>
          <w:rtl/>
        </w:rPr>
        <w:t>אם אכלה ולא מת בעלה</w:t>
      </w:r>
      <w:r>
        <w:rPr>
          <w:rFonts w:hint="cs"/>
          <w:rtl/>
        </w:rPr>
        <w:t xml:space="preserve"> </w:t>
      </w:r>
      <w:r>
        <w:rPr>
          <w:rtl/>
        </w:rPr>
        <w:t>–</w:t>
      </w:r>
      <w:r>
        <w:rPr>
          <w:rFonts w:hint="cs"/>
          <w:rtl/>
        </w:rPr>
        <w:t xml:space="preserve"> לא עשתה איסור.</w:t>
      </w:r>
      <w:r>
        <w:rPr>
          <w:rFonts w:hint="cs"/>
          <w:rtl/>
        </w:rPr>
        <w:br/>
      </w:r>
    </w:p>
    <w:sectPr w:rsidR="00CC6452" w:rsidSect="00BF1BCC">
      <w:pgSz w:w="11907" w:h="16839" w:code="9"/>
      <w:pgMar w:top="1440" w:right="1797" w:bottom="1440" w:left="1797"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2F8" w:rsidRDefault="008E52F8" w:rsidP="00F92AD2">
      <w:pPr>
        <w:spacing w:after="0" w:line="240" w:lineRule="auto"/>
      </w:pPr>
      <w:r>
        <w:separator/>
      </w:r>
    </w:p>
  </w:endnote>
  <w:endnote w:type="continuationSeparator" w:id="0">
    <w:p w:rsidR="008E52F8" w:rsidRDefault="008E52F8" w:rsidP="00F92A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2F8" w:rsidRDefault="008E52F8" w:rsidP="00F92AD2">
      <w:pPr>
        <w:spacing w:after="0" w:line="240" w:lineRule="auto"/>
      </w:pPr>
      <w:r>
        <w:separator/>
      </w:r>
    </w:p>
  </w:footnote>
  <w:footnote w:type="continuationSeparator" w:id="0">
    <w:p w:rsidR="008E52F8" w:rsidRDefault="008E52F8" w:rsidP="00F92AD2">
      <w:pPr>
        <w:spacing w:after="0" w:line="240" w:lineRule="auto"/>
      </w:pPr>
      <w:r>
        <w:continuationSeparator/>
      </w:r>
    </w:p>
  </w:footnote>
  <w:footnote w:id="1">
    <w:p w:rsidR="00F92AD2" w:rsidRDefault="00F92AD2" w:rsidP="00F92AD2">
      <w:pPr>
        <w:pStyle w:val="a3"/>
        <w:rPr>
          <w:rFonts w:hint="cs"/>
        </w:rPr>
      </w:pPr>
      <w:r>
        <w:rPr>
          <w:rStyle w:val="a5"/>
        </w:rPr>
        <w:footnoteRef/>
      </w:r>
      <w:r>
        <w:rPr>
          <w:rtl/>
        </w:rPr>
        <w:t xml:space="preserve"> </w:t>
      </w:r>
      <w:r>
        <w:rPr>
          <w:rFonts w:hint="cs"/>
          <w:rtl/>
        </w:rPr>
        <w:t>ואיך שיעשה אכתי לשון ערומים הוא.</w:t>
      </w:r>
    </w:p>
  </w:footnote>
  <w:footnote w:id="2">
    <w:p w:rsidR="00F92AD2" w:rsidRDefault="00F92AD2" w:rsidP="00F92AD2">
      <w:pPr>
        <w:pStyle w:val="a3"/>
        <w:rPr>
          <w:rFonts w:hint="cs"/>
          <w:rtl/>
        </w:rPr>
      </w:pPr>
      <w:r>
        <w:rPr>
          <w:rStyle w:val="a5"/>
        </w:rPr>
        <w:footnoteRef/>
      </w:r>
      <w:r>
        <w:rPr>
          <w:rtl/>
        </w:rPr>
        <w:t xml:space="preserve"> </w:t>
      </w:r>
      <w:r>
        <w:rPr>
          <w:rFonts w:hint="cs"/>
          <w:rtl/>
        </w:rPr>
        <w:t>לר"ל מהאי טעמא בדו חכמים את הכינויים, ומ"מ מסתברא דאף לריו"ח עצם ההימנעות מכך דבר נכון הוא.</w:t>
      </w:r>
    </w:p>
  </w:footnote>
  <w:footnote w:id="3">
    <w:p w:rsidR="00F92AD2" w:rsidRDefault="00F92AD2" w:rsidP="00F92AD2">
      <w:pPr>
        <w:pStyle w:val="a3"/>
        <w:rPr>
          <w:rFonts w:hint="cs"/>
        </w:rPr>
      </w:pPr>
      <w:r>
        <w:rPr>
          <w:rStyle w:val="a5"/>
        </w:rPr>
        <w:footnoteRef/>
      </w:r>
      <w:r>
        <w:rPr>
          <w:rtl/>
        </w:rPr>
        <w:t xml:space="preserve"> </w:t>
      </w:r>
      <w:r>
        <w:rPr>
          <w:rFonts w:hint="cs"/>
          <w:rtl/>
        </w:rPr>
        <w:t>עי' בעמ' ב' דהיינו כשנדר להביא ולא מביא ג' רגלים.</w:t>
      </w:r>
    </w:p>
  </w:footnote>
  <w:footnote w:id="4">
    <w:p w:rsidR="00F92AD2" w:rsidRDefault="00F92AD2" w:rsidP="00F92AD2">
      <w:pPr>
        <w:pStyle w:val="a3"/>
        <w:rPr>
          <w:rFonts w:hint="cs"/>
        </w:rPr>
      </w:pPr>
      <w:r>
        <w:rPr>
          <w:rStyle w:val="a5"/>
        </w:rPr>
        <w:footnoteRef/>
      </w:r>
      <w:r>
        <w:rPr>
          <w:rtl/>
        </w:rPr>
        <w:t xml:space="preserve"> </w:t>
      </w:r>
      <w:r>
        <w:rPr>
          <w:rFonts w:hint="cs"/>
          <w:rtl/>
        </w:rPr>
        <w:t>עצם הדין שהעובר על נדרו עובר בב"י, מבואר, אבל האופן שלמעלה תמה עליו מאד בגה"ש לרעק"א, דנדר הוי איסור חפצא, ואמנם בנודר שלא אוכל ככר זו, הביא הר"ן לעיל דלהרמב"ן חייל מדין יד, כאילו פירש שאוסר החפצא עליו, (ורוה"פ ס"ל דלא חל), אבל נודר על עצמו שיעשה, לא יועיל יד, דלא שייך נדר בקום עשה, דזה בהכרח מוטל על הגברא ואינו דין בחפצא, ונשאר ב"וה' יאיר עיני".</w:t>
      </w:r>
    </w:p>
  </w:footnote>
  <w:footnote w:id="5">
    <w:p w:rsidR="00F92AD2" w:rsidRDefault="00F92AD2" w:rsidP="00F92AD2">
      <w:pPr>
        <w:pStyle w:val="a3"/>
        <w:rPr>
          <w:rFonts w:hint="cs"/>
        </w:rPr>
      </w:pPr>
      <w:r>
        <w:rPr>
          <w:rStyle w:val="a5"/>
        </w:rPr>
        <w:footnoteRef/>
      </w:r>
      <w:r>
        <w:rPr>
          <w:rtl/>
        </w:rPr>
        <w:t xml:space="preserve"> </w:t>
      </w:r>
      <w:r>
        <w:rPr>
          <w:rFonts w:hint="cs"/>
          <w:rtl/>
        </w:rPr>
        <w:t>ולא שייך בזה בל תאחר כיון דחל מיד.</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rsids>
    <w:rsidRoot w:val="00F92AD2"/>
    <w:rsid w:val="000378D4"/>
    <w:rsid w:val="00240196"/>
    <w:rsid w:val="00294D17"/>
    <w:rsid w:val="005A5BAA"/>
    <w:rsid w:val="008E52F8"/>
    <w:rsid w:val="00AF7868"/>
    <w:rsid w:val="00BF1BCC"/>
    <w:rsid w:val="00C346B2"/>
    <w:rsid w:val="00CC6452"/>
    <w:rsid w:val="00E677A5"/>
    <w:rsid w:val="00F92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AD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92AD2"/>
    <w:pPr>
      <w:spacing w:after="0" w:line="240" w:lineRule="auto"/>
    </w:pPr>
    <w:rPr>
      <w:sz w:val="20"/>
      <w:szCs w:val="20"/>
    </w:rPr>
  </w:style>
  <w:style w:type="character" w:customStyle="1" w:styleId="a4">
    <w:name w:val="טקסט הערת שוליים תו"/>
    <w:basedOn w:val="a0"/>
    <w:link w:val="a3"/>
    <w:uiPriority w:val="99"/>
    <w:semiHidden/>
    <w:rsid w:val="00F92AD2"/>
    <w:rPr>
      <w:sz w:val="20"/>
      <w:szCs w:val="20"/>
    </w:rPr>
  </w:style>
  <w:style w:type="character" w:styleId="a5">
    <w:name w:val="footnote reference"/>
    <w:basedOn w:val="a0"/>
    <w:uiPriority w:val="99"/>
    <w:semiHidden/>
    <w:unhideWhenUsed/>
    <w:rsid w:val="00F92AD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1083</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1</cp:revision>
  <dcterms:created xsi:type="dcterms:W3CDTF">2015-05-27T21:53:00Z</dcterms:created>
  <dcterms:modified xsi:type="dcterms:W3CDTF">2015-05-27T21:53:00Z</dcterms:modified>
</cp:coreProperties>
</file>