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A57" w:rsidRPr="00267408" w:rsidRDefault="001C4A57" w:rsidP="001C4A57">
      <w:pPr>
        <w:rPr>
          <w:b/>
          <w:bCs/>
          <w:i/>
          <w:iCs/>
          <w:rtl/>
        </w:rPr>
      </w:pPr>
      <w:r w:rsidRPr="00267408">
        <w:rPr>
          <w:rFonts w:hint="cs"/>
          <w:b/>
          <w:bCs/>
          <w:i/>
          <w:iCs/>
          <w:rtl/>
        </w:rPr>
        <w:t>מט.</w:t>
      </w:r>
    </w:p>
    <w:p w:rsidR="001C4A57" w:rsidRDefault="001C4A57" w:rsidP="001C4A57">
      <w:pPr>
        <w:rPr>
          <w:rtl/>
        </w:rPr>
      </w:pPr>
      <w:r w:rsidRPr="00267408">
        <w:rPr>
          <w:rFonts w:hint="cs"/>
          <w:b/>
          <w:bCs/>
          <w:rtl/>
        </w:rPr>
        <w:t>הנודר מן המבושל</w:t>
      </w:r>
      <w:r>
        <w:rPr>
          <w:rFonts w:hint="cs"/>
          <w:rtl/>
        </w:rPr>
        <w:t xml:space="preserve"> </w:t>
      </w:r>
      <w:r>
        <w:rPr>
          <w:rtl/>
        </w:rPr>
        <w:t>–</w:t>
      </w:r>
      <w:r>
        <w:rPr>
          <w:rFonts w:hint="cs"/>
          <w:rtl/>
        </w:rPr>
        <w:t xml:space="preserve"> מותר בצלי, בשלוק</w:t>
      </w:r>
      <w:r>
        <w:rPr>
          <w:rStyle w:val="a5"/>
          <w:rtl/>
        </w:rPr>
        <w:footnoteReference w:id="1"/>
      </w:r>
      <w:r>
        <w:rPr>
          <w:rFonts w:hint="cs"/>
          <w:rtl/>
        </w:rPr>
        <w:t>, ומותר במעשה קדירה עבה.</w:t>
      </w:r>
      <w:r>
        <w:rPr>
          <w:rtl/>
        </w:rPr>
        <w:br/>
      </w:r>
      <w:r w:rsidRPr="00267408">
        <w:rPr>
          <w:rFonts w:hint="cs"/>
          <w:b/>
          <w:bCs/>
          <w:rtl/>
        </w:rPr>
        <w:t>בצלי</w:t>
      </w:r>
      <w:r>
        <w:rPr>
          <w:rFonts w:hint="cs"/>
          <w:rtl/>
        </w:rPr>
        <w:t xml:space="preserve"> </w:t>
      </w:r>
      <w:r>
        <w:rPr>
          <w:rtl/>
        </w:rPr>
        <w:t>–</w:t>
      </w:r>
      <w:r>
        <w:rPr>
          <w:rFonts w:hint="cs"/>
          <w:rtl/>
        </w:rPr>
        <w:t xml:space="preserve"> היינו באתרא שאין קוראים לו מבושל. באתריה דר' יאשיה קוראים לו מבושל ואסור בו</w:t>
      </w:r>
      <w:r>
        <w:rPr>
          <w:rStyle w:val="a5"/>
          <w:rtl/>
        </w:rPr>
        <w:footnoteReference w:id="2"/>
      </w:r>
      <w:r>
        <w:rPr>
          <w:rFonts w:hint="cs"/>
          <w:rtl/>
        </w:rPr>
        <w:t>.</w:t>
      </w:r>
    </w:p>
    <w:p w:rsidR="001C4A57" w:rsidRDefault="001C4A57" w:rsidP="001C4A57">
      <w:pPr>
        <w:rPr>
          <w:rtl/>
        </w:rPr>
      </w:pPr>
      <w:r w:rsidRPr="00267408">
        <w:rPr>
          <w:rFonts w:hint="cs"/>
          <w:b/>
          <w:bCs/>
          <w:rtl/>
        </w:rPr>
        <w:t>קונם תבשיל שאיני טועם</w:t>
      </w:r>
      <w:r>
        <w:rPr>
          <w:rStyle w:val="a5"/>
          <w:rtl/>
        </w:rPr>
        <w:footnoteReference w:id="3"/>
      </w:r>
      <w:r>
        <w:rPr>
          <w:rFonts w:hint="cs"/>
          <w:rtl/>
        </w:rPr>
        <w:t xml:space="preserve"> - אסור בכל מה שמלפתים בו את הפת. והיינו בכל מיני תבשיל.</w:t>
      </w:r>
      <w:r>
        <w:rPr>
          <w:rtl/>
        </w:rPr>
        <w:br/>
      </w:r>
      <w:r>
        <w:rPr>
          <w:rFonts w:hint="cs"/>
          <w:rtl/>
        </w:rPr>
        <w:t>וכגון; מעשה קדירה רך, ובביצה אפילו מגולגלת. ואסור בצלי ובשלוק ובמבושל, ובהיטריות הרכות</w:t>
      </w:r>
      <w:r>
        <w:rPr>
          <w:rStyle w:val="a5"/>
          <w:rtl/>
        </w:rPr>
        <w:footnoteReference w:id="4"/>
      </w:r>
      <w:r>
        <w:rPr>
          <w:rFonts w:hint="cs"/>
          <w:rtl/>
        </w:rPr>
        <w:t>.</w:t>
      </w:r>
      <w:r>
        <w:rPr>
          <w:rtl/>
        </w:rPr>
        <w:br/>
      </w:r>
      <w:r>
        <w:rPr>
          <w:rFonts w:hint="cs"/>
          <w:rtl/>
        </w:rPr>
        <w:t>אבל מותר במעשה קדירה עבה בא"י</w:t>
      </w:r>
      <w:r>
        <w:rPr>
          <w:rStyle w:val="a5"/>
          <w:rtl/>
        </w:rPr>
        <w:footnoteReference w:id="5"/>
      </w:r>
      <w:r>
        <w:rPr>
          <w:rFonts w:hint="cs"/>
          <w:rtl/>
        </w:rPr>
        <w:t xml:space="preserve">, ובביצה טורמיטא, ובדלעת רמוצה. </w:t>
      </w:r>
      <w:r>
        <w:rPr>
          <w:rtl/>
        </w:rPr>
        <w:br/>
      </w:r>
      <w:r w:rsidRPr="00267408">
        <w:rPr>
          <w:rFonts w:hint="cs"/>
          <w:b/>
          <w:bCs/>
          <w:rtl/>
        </w:rPr>
        <w:t>היטריות הנ"ל</w:t>
      </w:r>
      <w:r>
        <w:rPr>
          <w:rFonts w:hint="cs"/>
          <w:rtl/>
        </w:rPr>
        <w:t xml:space="preserve"> </w:t>
      </w:r>
      <w:r>
        <w:rPr>
          <w:rtl/>
        </w:rPr>
        <w:t>–</w:t>
      </w:r>
      <w:r>
        <w:rPr>
          <w:rFonts w:hint="cs"/>
          <w:rtl/>
        </w:rPr>
        <w:t xml:space="preserve"> לתי' א' ברכות, לרבא ב"ע בגוויה דקרא, לרבא אף בקרא.</w:t>
      </w:r>
      <w:r>
        <w:rPr>
          <w:rStyle w:val="a5"/>
          <w:rtl/>
        </w:rPr>
        <w:footnoteReference w:id="6"/>
      </w:r>
    </w:p>
    <w:p w:rsidR="001C4A57" w:rsidRDefault="001C4A57" w:rsidP="001C4A57">
      <w:pPr>
        <w:rPr>
          <w:rtl/>
        </w:rPr>
      </w:pPr>
      <w:r w:rsidRPr="00267408">
        <w:rPr>
          <w:rFonts w:hint="cs"/>
          <w:b/>
          <w:bCs/>
          <w:rtl/>
        </w:rPr>
        <w:t>הנודר ממעשה קדירה</w:t>
      </w:r>
      <w:r>
        <w:rPr>
          <w:rFonts w:hint="cs"/>
          <w:rtl/>
        </w:rPr>
        <w:t xml:space="preserve"> </w:t>
      </w:r>
      <w:r>
        <w:rPr>
          <w:rtl/>
        </w:rPr>
        <w:t>–</w:t>
      </w:r>
      <w:r>
        <w:rPr>
          <w:rFonts w:hint="cs"/>
          <w:rtl/>
        </w:rPr>
        <w:t xml:space="preserve"> אין אסור אלא ממעשה רתחתה.</w:t>
      </w:r>
      <w:r>
        <w:rPr>
          <w:rFonts w:hint="cs"/>
          <w:rtl/>
        </w:rPr>
        <w:br/>
      </w:r>
      <w:r w:rsidRPr="00267408">
        <w:rPr>
          <w:rFonts w:hint="cs"/>
          <w:b/>
          <w:bCs/>
          <w:rtl/>
        </w:rPr>
        <w:t>אמר קונם היורד לקדירה שאיני טועם</w:t>
      </w:r>
      <w:r>
        <w:rPr>
          <w:rFonts w:hint="cs"/>
          <w:rtl/>
        </w:rPr>
        <w:t xml:space="preserve"> </w:t>
      </w:r>
      <w:r>
        <w:rPr>
          <w:rtl/>
        </w:rPr>
        <w:t>–</w:t>
      </w:r>
      <w:r>
        <w:rPr>
          <w:rFonts w:hint="cs"/>
          <w:rtl/>
        </w:rPr>
        <w:t xml:space="preserve"> אסור בכל המתבשלין בקדירה.</w:t>
      </w:r>
    </w:p>
    <w:p w:rsidR="001C4A57" w:rsidRPr="00B4300A" w:rsidRDefault="001C4A57" w:rsidP="001C4A57">
      <w:pPr>
        <w:rPr>
          <w:rtl/>
        </w:rPr>
      </w:pPr>
      <w:r w:rsidRPr="00267408">
        <w:rPr>
          <w:rFonts w:hint="cs"/>
          <w:b/>
          <w:bCs/>
          <w:rtl/>
        </w:rPr>
        <w:t>הנודר ב"חג"</w:t>
      </w:r>
      <w:r>
        <w:rPr>
          <w:rFonts w:hint="cs"/>
          <w:rtl/>
        </w:rPr>
        <w:t xml:space="preserve"> </w:t>
      </w:r>
      <w:r>
        <w:rPr>
          <w:rtl/>
        </w:rPr>
        <w:t>–</w:t>
      </w:r>
      <w:r>
        <w:rPr>
          <w:rFonts w:hint="cs"/>
          <w:rtl/>
        </w:rPr>
        <w:t xml:space="preserve"> לריו"ח שמיני עצרת בכלל להקל ולהחמיר, משום לשון בנ"א אף שאין כך לשון תורה,</w:t>
      </w:r>
      <w:r>
        <w:rPr>
          <w:rFonts w:hint="cs"/>
          <w:rtl/>
        </w:rPr>
        <w:br/>
        <w:t>ולרי יאשיה, להירושלמי אזלינן לחומרא</w:t>
      </w:r>
      <w:r>
        <w:rPr>
          <w:rStyle w:val="a5"/>
          <w:rtl/>
        </w:rPr>
        <w:footnoteReference w:id="7"/>
      </w:r>
      <w:r>
        <w:rPr>
          <w:rFonts w:hint="cs"/>
          <w:rtl/>
        </w:rPr>
        <w:t>, ולהבבלי ס"ל כריו"ח.</w:t>
      </w:r>
    </w:p>
    <w:p w:rsidR="001C4A57" w:rsidRPr="00267408" w:rsidRDefault="001C4A57" w:rsidP="001C4A57">
      <w:pPr>
        <w:rPr>
          <w:b/>
          <w:bCs/>
          <w:i/>
          <w:iCs/>
          <w:rtl/>
        </w:rPr>
      </w:pPr>
      <w:r w:rsidRPr="00267408">
        <w:rPr>
          <w:rFonts w:hint="cs"/>
          <w:b/>
          <w:bCs/>
          <w:i/>
          <w:iCs/>
          <w:rtl/>
        </w:rPr>
        <w:t>מט:</w:t>
      </w:r>
    </w:p>
    <w:p w:rsidR="001C4A57" w:rsidRDefault="001C4A57" w:rsidP="001C4A57">
      <w:pPr>
        <w:rPr>
          <w:rtl/>
        </w:rPr>
      </w:pPr>
      <w:r w:rsidRPr="00267408">
        <w:rPr>
          <w:rFonts w:hint="cs"/>
          <w:b/>
          <w:bCs/>
          <w:rtl/>
        </w:rPr>
        <w:t>אדם נידון</w:t>
      </w:r>
      <w:r>
        <w:rPr>
          <w:rFonts w:hint="cs"/>
          <w:rtl/>
        </w:rPr>
        <w:t xml:space="preserve"> </w:t>
      </w:r>
      <w:r>
        <w:rPr>
          <w:rtl/>
        </w:rPr>
        <w:t>–</w:t>
      </w:r>
      <w:r>
        <w:rPr>
          <w:rFonts w:hint="cs"/>
          <w:rtl/>
        </w:rPr>
        <w:t xml:space="preserve"> לרבנן בר"ה, לר' יוסי בכל יום.</w:t>
      </w:r>
      <w:r>
        <w:rPr>
          <w:rtl/>
        </w:rPr>
        <w:br/>
      </w:r>
      <w:r w:rsidRPr="00267408">
        <w:rPr>
          <w:rFonts w:hint="cs"/>
          <w:b/>
          <w:bCs/>
          <w:rtl/>
        </w:rPr>
        <w:t>להתפלל במשך השנה על חולים ועל רבנן התשושים</w:t>
      </w:r>
      <w:r>
        <w:rPr>
          <w:rFonts w:hint="cs"/>
          <w:rtl/>
        </w:rPr>
        <w:t xml:space="preserve"> </w:t>
      </w:r>
      <w:r>
        <w:rPr>
          <w:rtl/>
        </w:rPr>
        <w:t>–</w:t>
      </w:r>
      <w:r>
        <w:rPr>
          <w:rFonts w:hint="cs"/>
          <w:rtl/>
        </w:rPr>
        <w:t xml:space="preserve"> לרבנן לא מצלינן, לר"י מצלינן והכי נהוג. </w:t>
      </w:r>
    </w:p>
    <w:p w:rsidR="001C4A57" w:rsidRDefault="001C4A57" w:rsidP="001C4A57">
      <w:pPr>
        <w:rPr>
          <w:rFonts w:hint="cs"/>
          <w:rtl/>
        </w:rPr>
      </w:pPr>
      <w:r w:rsidRPr="00267408">
        <w:rPr>
          <w:rFonts w:hint="cs"/>
          <w:b/>
          <w:bCs/>
          <w:rtl/>
        </w:rPr>
        <w:t>אכילת דייסא</w:t>
      </w:r>
      <w:r>
        <w:rPr>
          <w:rFonts w:hint="cs"/>
          <w:rtl/>
        </w:rPr>
        <w:t xml:space="preserve"> </w:t>
      </w:r>
      <w:r>
        <w:rPr>
          <w:rtl/>
        </w:rPr>
        <w:t>–</w:t>
      </w:r>
      <w:r>
        <w:rPr>
          <w:rFonts w:hint="cs"/>
          <w:rtl/>
        </w:rPr>
        <w:t xml:space="preserve"> בא"י לא אכלו עם לחם, בבבל כן.</w:t>
      </w:r>
      <w:r>
        <w:rPr>
          <w:rtl/>
        </w:rPr>
        <w:br/>
      </w:r>
      <w:r>
        <w:rPr>
          <w:rFonts w:hint="cs"/>
          <w:rtl/>
        </w:rPr>
        <w:t>רב חסדא נסתפק אי דייסת חיטים בלחם חיטים, ושעורים בשעורים, או להיפך.</w:t>
      </w:r>
      <w:r>
        <w:rPr>
          <w:rtl/>
        </w:rPr>
        <w:br/>
      </w:r>
      <w:r>
        <w:rPr>
          <w:rFonts w:hint="cs"/>
          <w:rtl/>
        </w:rPr>
        <w:t>רבא אכל דייסא בחסיסי.</w:t>
      </w:r>
      <w:r>
        <w:rPr>
          <w:rStyle w:val="a5"/>
          <w:rtl/>
        </w:rPr>
        <w:footnoteReference w:id="8"/>
      </w:r>
      <w:r>
        <w:rPr>
          <w:rtl/>
        </w:rPr>
        <w:br/>
      </w:r>
      <w:r>
        <w:rPr>
          <w:rFonts w:hint="cs"/>
          <w:rtl/>
        </w:rPr>
        <w:t>דייסא באצבע בסים, וכ"ש בתרי אצבעות או שלושה.</w:t>
      </w:r>
      <w:r>
        <w:rPr>
          <w:rtl/>
        </w:rPr>
        <w:br/>
      </w:r>
      <w:r>
        <w:rPr>
          <w:rFonts w:hint="cs"/>
          <w:rtl/>
        </w:rPr>
        <w:t>כדאי ללכת לאכילת דייסא עד פרסה, ולבשר שור ג' פרסאות.</w:t>
      </w:r>
    </w:p>
    <w:p w:rsidR="001C4A57" w:rsidRDefault="001C4A57" w:rsidP="001C4A57">
      <w:pPr>
        <w:rPr>
          <w:rFonts w:hint="cs"/>
          <w:rtl/>
        </w:rPr>
      </w:pPr>
      <w:r w:rsidRPr="00267408">
        <w:rPr>
          <w:rFonts w:hint="cs"/>
          <w:b/>
          <w:bCs/>
          <w:rtl/>
        </w:rPr>
        <w:t>רוק שאחר האוכל</w:t>
      </w:r>
      <w:r w:rsidRPr="00267408">
        <w:rPr>
          <w:rFonts w:hint="cs"/>
          <w:b/>
          <w:bCs/>
          <w:i/>
          <w:iCs/>
          <w:rtl/>
        </w:rPr>
        <w:t xml:space="preserve"> </w:t>
      </w:r>
      <w:r>
        <w:rPr>
          <w:rtl/>
        </w:rPr>
        <w:t>–</w:t>
      </w:r>
      <w:r>
        <w:rPr>
          <w:rFonts w:hint="cs"/>
          <w:rtl/>
        </w:rPr>
        <w:t xml:space="preserve"> לא יפלוט בפני רבו, מלבד אחר קרא ודייסא.</w:t>
      </w:r>
      <w:r>
        <w:rPr>
          <w:rtl/>
        </w:rPr>
        <w:br/>
      </w:r>
      <w:r w:rsidRPr="00267408">
        <w:rPr>
          <w:rFonts w:hint="cs"/>
          <w:b/>
          <w:bCs/>
          <w:rtl/>
        </w:rPr>
        <w:t>שנים האוכלים מקערה אחת</w:t>
      </w:r>
      <w:r>
        <w:rPr>
          <w:rFonts w:hint="cs"/>
          <w:rtl/>
        </w:rPr>
        <w:t>, י"א שעדיף באצבעות וי"א שעדיף בהוצא.</w:t>
      </w:r>
      <w:r>
        <w:rPr>
          <w:rStyle w:val="a5"/>
          <w:rtl/>
        </w:rPr>
        <w:footnoteReference w:id="9"/>
      </w:r>
      <w:r>
        <w:rPr>
          <w:rtl/>
        </w:rPr>
        <w:br/>
      </w:r>
      <w:r w:rsidRPr="00267408">
        <w:rPr>
          <w:rFonts w:hint="cs"/>
          <w:b/>
          <w:bCs/>
          <w:rtl/>
        </w:rPr>
        <w:t>כלופסין</w:t>
      </w:r>
      <w:r w:rsidRPr="00267408">
        <w:rPr>
          <w:rFonts w:hint="cs"/>
          <w:rtl/>
        </w:rPr>
        <w:t xml:space="preserve"> </w:t>
      </w:r>
      <w:r>
        <w:rPr>
          <w:rFonts w:hint="cs"/>
          <w:rtl/>
        </w:rPr>
        <w:t xml:space="preserve">(תאנים קשות לעיכול) </w:t>
      </w:r>
      <w:r>
        <w:rPr>
          <w:rtl/>
        </w:rPr>
        <w:t>–</w:t>
      </w:r>
      <w:r>
        <w:rPr>
          <w:rFonts w:hint="cs"/>
          <w:rtl/>
        </w:rPr>
        <w:t xml:space="preserve"> יש נמנעין מאכילתם ויש שמעדיפים זאת.</w:t>
      </w:r>
      <w:r>
        <w:rPr>
          <w:rtl/>
        </w:rPr>
        <w:br/>
      </w:r>
      <w:r w:rsidRPr="00267408">
        <w:rPr>
          <w:rFonts w:hint="cs"/>
          <w:b/>
          <w:bCs/>
          <w:rtl/>
        </w:rPr>
        <w:t>תרדין</w:t>
      </w:r>
      <w:r w:rsidRPr="00267408">
        <w:rPr>
          <w:rFonts w:hint="cs"/>
          <w:b/>
          <w:bCs/>
          <w:i/>
          <w:iCs/>
          <w:rtl/>
        </w:rPr>
        <w:t xml:space="preserve"> </w:t>
      </w:r>
      <w:r>
        <w:rPr>
          <w:rtl/>
        </w:rPr>
        <w:t>–</w:t>
      </w:r>
      <w:r>
        <w:rPr>
          <w:rFonts w:hint="cs"/>
          <w:rtl/>
        </w:rPr>
        <w:t xml:space="preserve"> מצהיבים פנים אף בלא מלח, וכ"ש במלח.</w:t>
      </w:r>
    </w:p>
    <w:p w:rsidR="001C4A57" w:rsidRDefault="001C4A57" w:rsidP="001C4A57">
      <w:pPr>
        <w:rPr>
          <w:rFonts w:hint="cs"/>
          <w:b/>
          <w:bCs/>
          <w:rtl/>
        </w:rPr>
      </w:pPr>
      <w:r w:rsidRPr="00267408">
        <w:rPr>
          <w:rFonts w:hint="cs"/>
          <w:b/>
          <w:bCs/>
          <w:rtl/>
        </w:rPr>
        <w:t>הנהגות שונות.</w:t>
      </w:r>
    </w:p>
    <w:p w:rsidR="00CC6452" w:rsidRDefault="001C4A57" w:rsidP="001C4A57">
      <w:r>
        <w:rPr>
          <w:rFonts w:hint="cs"/>
          <w:rtl/>
        </w:rPr>
        <w:t>רבי יהודה היה מפנה גופו בכ"ד בתי כסא ביום משום בריאות.</w:t>
      </w:r>
      <w:r>
        <w:rPr>
          <w:rtl/>
        </w:rPr>
        <w:br/>
      </w:r>
      <w:r>
        <w:rPr>
          <w:rFonts w:hint="cs"/>
          <w:rtl/>
        </w:rPr>
        <w:t>ר"י ור"ש לא נמנעו מלשאת בעצמם ברה"ר כלי לשבת עליו.</w:t>
      </w:r>
      <w:r>
        <w:rPr>
          <w:rtl/>
        </w:rPr>
        <w:br/>
      </w:r>
      <w:r>
        <w:rPr>
          <w:rFonts w:hint="cs"/>
          <w:rtl/>
        </w:rPr>
        <w:t>ראוי להדר בלבושו בשעה שמתפלל.</w:t>
      </w:r>
      <w:r>
        <w:rPr>
          <w:rtl/>
        </w:rPr>
        <w:br/>
      </w:r>
      <w:r>
        <w:rPr>
          <w:rFonts w:hint="cs"/>
          <w:rtl/>
        </w:rPr>
        <w:t>ר"י בירך בשעה שהתכסה במעילו "ברוך שעטני מעיל".</w:t>
      </w:r>
      <w:r>
        <w:rPr>
          <w:rtl/>
        </w:rPr>
        <w:br/>
      </w:r>
      <w:r>
        <w:rPr>
          <w:rFonts w:hint="cs"/>
          <w:rtl/>
        </w:rPr>
        <w:t xml:space="preserve">ר"י לא רצה ליהנות מהעולם הזה. </w:t>
      </w:r>
    </w:p>
    <w:sectPr w:rsidR="00CC6452" w:rsidSect="00BF1BCC">
      <w:pgSz w:w="11907" w:h="16839" w:code="9"/>
      <w:pgMar w:top="1440" w:right="1797" w:bottom="1440" w:left="1797"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1AE4" w:rsidRDefault="00881AE4" w:rsidP="001C4A57">
      <w:pPr>
        <w:spacing w:after="0" w:line="240" w:lineRule="auto"/>
      </w:pPr>
      <w:r>
        <w:separator/>
      </w:r>
    </w:p>
  </w:endnote>
  <w:endnote w:type="continuationSeparator" w:id="0">
    <w:p w:rsidR="00881AE4" w:rsidRDefault="00881AE4" w:rsidP="001C4A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1AE4" w:rsidRDefault="00881AE4" w:rsidP="001C4A57">
      <w:pPr>
        <w:spacing w:after="0" w:line="240" w:lineRule="auto"/>
      </w:pPr>
      <w:r>
        <w:separator/>
      </w:r>
    </w:p>
  </w:footnote>
  <w:footnote w:type="continuationSeparator" w:id="0">
    <w:p w:rsidR="00881AE4" w:rsidRDefault="00881AE4" w:rsidP="001C4A57">
      <w:pPr>
        <w:spacing w:after="0" w:line="240" w:lineRule="auto"/>
      </w:pPr>
      <w:r>
        <w:continuationSeparator/>
      </w:r>
    </w:p>
  </w:footnote>
  <w:footnote w:id="1">
    <w:p w:rsidR="001C4A57" w:rsidRDefault="001C4A57" w:rsidP="001C4A57">
      <w:pPr>
        <w:pStyle w:val="a3"/>
      </w:pPr>
      <w:r>
        <w:rPr>
          <w:rStyle w:val="a5"/>
        </w:rPr>
        <w:footnoteRef/>
      </w:r>
      <w:r>
        <w:rPr>
          <w:rtl/>
        </w:rPr>
        <w:t xml:space="preserve"> </w:t>
      </w:r>
      <w:r>
        <w:rPr>
          <w:rFonts w:hint="cs"/>
          <w:rtl/>
        </w:rPr>
        <w:t>היינו לא בשל כל צרכו. בבשל יותר מדאי, אסור, שכך הוא בלשון בני אדם.</w:t>
      </w:r>
    </w:p>
  </w:footnote>
  <w:footnote w:id="2">
    <w:p w:rsidR="001C4A57" w:rsidRDefault="001C4A57" w:rsidP="001C4A57">
      <w:pPr>
        <w:pStyle w:val="a3"/>
        <w:rPr>
          <w:rtl/>
        </w:rPr>
      </w:pPr>
      <w:r>
        <w:rPr>
          <w:rStyle w:val="a5"/>
        </w:rPr>
        <w:footnoteRef/>
      </w:r>
      <w:r>
        <w:rPr>
          <w:rtl/>
        </w:rPr>
        <w:t xml:space="preserve"> </w:t>
      </w:r>
      <w:r>
        <w:rPr>
          <w:rFonts w:hint="cs"/>
          <w:rtl/>
        </w:rPr>
        <w:t>ס"ד דטעמיה דר"י משום דלא אזיל בתר לשון בנ"א, וכן סובר הירושלמי בדעתו, אבל בבבלי מסקינן דטעמו משום דכך היה הלשון במקומו.</w:t>
      </w:r>
    </w:p>
  </w:footnote>
  <w:footnote w:id="3">
    <w:p w:rsidR="001C4A57" w:rsidRDefault="001C4A57" w:rsidP="001C4A57">
      <w:pPr>
        <w:pStyle w:val="a3"/>
        <w:rPr>
          <w:rtl/>
        </w:rPr>
      </w:pPr>
      <w:r>
        <w:rPr>
          <w:rStyle w:val="a5"/>
        </w:rPr>
        <w:footnoteRef/>
      </w:r>
      <w:r>
        <w:rPr>
          <w:rtl/>
        </w:rPr>
        <w:t xml:space="preserve"> </w:t>
      </w:r>
      <w:r>
        <w:rPr>
          <w:rFonts w:hint="cs"/>
          <w:rtl/>
        </w:rPr>
        <w:t>והוא הדין שאיני אוכל.</w:t>
      </w:r>
    </w:p>
  </w:footnote>
  <w:footnote w:id="4">
    <w:p w:rsidR="001C4A57" w:rsidRDefault="001C4A57" w:rsidP="001C4A57">
      <w:pPr>
        <w:pStyle w:val="a3"/>
        <w:rPr>
          <w:rtl/>
        </w:rPr>
      </w:pPr>
      <w:r>
        <w:rPr>
          <w:rStyle w:val="a5"/>
        </w:rPr>
        <w:footnoteRef/>
      </w:r>
      <w:r>
        <w:rPr>
          <w:rtl/>
        </w:rPr>
        <w:t xml:space="preserve"> </w:t>
      </w:r>
      <w:r>
        <w:rPr>
          <w:rFonts w:hint="cs"/>
          <w:rtl/>
        </w:rPr>
        <w:t>היינו דלעת, דחולים מלפתין בו. ועיין להלן.</w:t>
      </w:r>
    </w:p>
  </w:footnote>
  <w:footnote w:id="5">
    <w:p w:rsidR="001C4A57" w:rsidRDefault="001C4A57" w:rsidP="001C4A57">
      <w:pPr>
        <w:pStyle w:val="a3"/>
      </w:pPr>
      <w:r>
        <w:rPr>
          <w:rStyle w:val="a5"/>
        </w:rPr>
        <w:footnoteRef/>
      </w:r>
      <w:r>
        <w:rPr>
          <w:rtl/>
        </w:rPr>
        <w:t xml:space="preserve"> </w:t>
      </w:r>
      <w:r>
        <w:rPr>
          <w:rFonts w:hint="cs"/>
          <w:rtl/>
        </w:rPr>
        <w:t>שאין מלפתין בו. בבבל שהיו מלפתין בו, אסור.</w:t>
      </w:r>
    </w:p>
  </w:footnote>
  <w:footnote w:id="6">
    <w:p w:rsidR="001C4A57" w:rsidRDefault="001C4A57" w:rsidP="001C4A57">
      <w:pPr>
        <w:pStyle w:val="a3"/>
      </w:pPr>
      <w:r>
        <w:rPr>
          <w:rStyle w:val="a5"/>
        </w:rPr>
        <w:footnoteRef/>
      </w:r>
      <w:r>
        <w:rPr>
          <w:rtl/>
        </w:rPr>
        <w:t xml:space="preserve"> </w:t>
      </w:r>
      <w:r>
        <w:rPr>
          <w:rFonts w:hint="cs"/>
          <w:rtl/>
        </w:rPr>
        <w:t>ומשום דתלוי בטיבול החולים, לתי' א' מטבלים רק ברך, לת"ב רק בגוויה, לת"ג חולים היינו רבנן דלא קשה להו כלל הדלעת. ומ"מ גם לרבא האיסור רק ברכין כדתניא להדיא בהיטריות הרכות, דאל"ה אין אוכלים אותו בפת. וקצ"ב לפ"ז מאי נפ"מ בין ת"א לת"ג.</w:t>
      </w:r>
    </w:p>
  </w:footnote>
  <w:footnote w:id="7">
    <w:p w:rsidR="001C4A57" w:rsidRDefault="001C4A57" w:rsidP="001C4A57">
      <w:pPr>
        <w:pStyle w:val="a3"/>
      </w:pPr>
      <w:r>
        <w:rPr>
          <w:rStyle w:val="a5"/>
        </w:rPr>
        <w:footnoteRef/>
      </w:r>
      <w:r>
        <w:rPr>
          <w:rtl/>
        </w:rPr>
        <w:t xml:space="preserve"> </w:t>
      </w:r>
      <w:r>
        <w:rPr>
          <w:rFonts w:hint="cs"/>
          <w:rtl/>
        </w:rPr>
        <w:t>נדר שלא יטעום בחג, אסור אף בשמ"ע, נשבע שיטעום בחג, חייב לטעום בחג עצמו.</w:t>
      </w:r>
    </w:p>
  </w:footnote>
  <w:footnote w:id="8">
    <w:p w:rsidR="001C4A57" w:rsidRDefault="001C4A57" w:rsidP="001C4A57">
      <w:pPr>
        <w:pStyle w:val="a3"/>
      </w:pPr>
      <w:r>
        <w:rPr>
          <w:rStyle w:val="a5"/>
        </w:rPr>
        <w:footnoteRef/>
      </w:r>
      <w:r>
        <w:rPr>
          <w:rtl/>
        </w:rPr>
        <w:t xml:space="preserve"> </w:t>
      </w:r>
      <w:r>
        <w:rPr>
          <w:rFonts w:hint="cs"/>
          <w:rtl/>
        </w:rPr>
        <w:t>קמח של קליות.</w:t>
      </w:r>
    </w:p>
  </w:footnote>
  <w:footnote w:id="9">
    <w:p w:rsidR="001C4A57" w:rsidRDefault="001C4A57" w:rsidP="001C4A57">
      <w:pPr>
        <w:pStyle w:val="a3"/>
      </w:pPr>
      <w:r>
        <w:rPr>
          <w:rStyle w:val="a5"/>
        </w:rPr>
        <w:footnoteRef/>
      </w:r>
      <w:r>
        <w:rPr>
          <w:rtl/>
        </w:rPr>
        <w:t xml:space="preserve"> </w:t>
      </w:r>
      <w:r>
        <w:rPr>
          <w:rFonts w:hint="cs"/>
          <w:rtl/>
        </w:rPr>
        <w:t>קליפת עץ.</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10"/>
  <w:drawingGridVerticalSpacing w:val="299"/>
  <w:displayHorizontalDrawingGridEvery w:val="0"/>
  <w:characterSpacingControl w:val="doNotCompress"/>
  <w:footnotePr>
    <w:footnote w:id="-1"/>
    <w:footnote w:id="0"/>
  </w:footnotePr>
  <w:endnotePr>
    <w:endnote w:id="-1"/>
    <w:endnote w:id="0"/>
  </w:endnotePr>
  <w:compat/>
  <w:rsids>
    <w:rsidRoot w:val="001C4A57"/>
    <w:rsid w:val="000378D4"/>
    <w:rsid w:val="001C4A57"/>
    <w:rsid w:val="00240196"/>
    <w:rsid w:val="00294D17"/>
    <w:rsid w:val="005A5BAA"/>
    <w:rsid w:val="00881AE4"/>
    <w:rsid w:val="00AF7868"/>
    <w:rsid w:val="00BF1BCC"/>
    <w:rsid w:val="00C346B2"/>
    <w:rsid w:val="00CC6452"/>
    <w:rsid w:val="00EC0423"/>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4A57"/>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1C4A57"/>
    <w:pPr>
      <w:spacing w:after="0" w:line="240" w:lineRule="auto"/>
    </w:pPr>
    <w:rPr>
      <w:sz w:val="20"/>
      <w:szCs w:val="20"/>
    </w:rPr>
  </w:style>
  <w:style w:type="character" w:customStyle="1" w:styleId="a4">
    <w:name w:val="טקסט הערת שוליים תו"/>
    <w:basedOn w:val="a0"/>
    <w:link w:val="a3"/>
    <w:uiPriority w:val="99"/>
    <w:semiHidden/>
    <w:rsid w:val="001C4A57"/>
    <w:rPr>
      <w:sz w:val="20"/>
      <w:szCs w:val="20"/>
    </w:rPr>
  </w:style>
  <w:style w:type="character" w:styleId="a5">
    <w:name w:val="footnote reference"/>
    <w:basedOn w:val="a0"/>
    <w:uiPriority w:val="99"/>
    <w:semiHidden/>
    <w:unhideWhenUsed/>
    <w:rsid w:val="001C4A57"/>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1268</Characters>
  <Application>Microsoft Office Word</Application>
  <DocSecurity>0</DocSecurity>
  <Lines>10</Lines>
  <Paragraphs>3</Paragraphs>
  <ScaleCrop>false</ScaleCrop>
  <Company/>
  <LinksUpToDate>false</LinksUpToDate>
  <CharactersWithSpaces>1518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יעקב</dc:creator>
  <cp:lastModifiedBy>יעקב</cp:lastModifiedBy>
  <cp:revision>1</cp:revision>
  <dcterms:created xsi:type="dcterms:W3CDTF">2015-07-15T10:27:00Z</dcterms:created>
  <dcterms:modified xsi:type="dcterms:W3CDTF">2015-07-15T10:27:00Z</dcterms:modified>
</cp:coreProperties>
</file>