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2B" w:rsidRDefault="005E2C2B" w:rsidP="005E2C2B">
      <w:pPr>
        <w:rPr>
          <w:rtl/>
        </w:rPr>
      </w:pPr>
      <w:r w:rsidRPr="00102A23">
        <w:rPr>
          <w:rFonts w:hint="cs"/>
          <w:b/>
          <w:bCs/>
          <w:rtl/>
        </w:rPr>
        <w:t>קיים ליכי היום ומופר ליכי למחר</w:t>
      </w:r>
      <w:r w:rsidRPr="00102A23">
        <w:rPr>
          <w:rFonts w:hint="cs"/>
          <w:rtl/>
        </w:rPr>
        <w:t xml:space="preserve"> </w:t>
      </w:r>
      <w:r w:rsidRPr="00102A23">
        <w:rPr>
          <w:rtl/>
        </w:rPr>
        <w:t>–</w:t>
      </w:r>
      <w:r w:rsidRPr="00102A23">
        <w:rPr>
          <w:rFonts w:hint="cs"/>
          <w:rtl/>
        </w:rPr>
        <w:t xml:space="preserve"> מספקא </w:t>
      </w:r>
      <w:r>
        <w:rPr>
          <w:rFonts w:hint="cs"/>
          <w:rtl/>
        </w:rPr>
        <w:t>ל</w:t>
      </w:r>
      <w:r w:rsidRPr="00102A23">
        <w:rPr>
          <w:rFonts w:hint="cs"/>
          <w:rtl/>
        </w:rPr>
        <w:t>רבה האם מופר.</w:t>
      </w:r>
      <w:r w:rsidRPr="00102A23">
        <w:rPr>
          <w:rStyle w:val="a5"/>
          <w:rtl/>
        </w:rPr>
        <w:footnoteReference w:id="1"/>
      </w:r>
      <w:r w:rsidRPr="00102A23">
        <w:rPr>
          <w:b/>
          <w:bCs/>
          <w:rtl/>
        </w:rPr>
        <w:br/>
      </w:r>
      <w:r w:rsidRPr="005A280A">
        <w:rPr>
          <w:rFonts w:hint="cs"/>
          <w:b/>
          <w:bCs/>
          <w:rtl/>
        </w:rPr>
        <w:t>"קיים ליכי היום</w:t>
      </w:r>
      <w:r w:rsidRPr="005A280A">
        <w:rPr>
          <w:rFonts w:hint="cs"/>
          <w:b/>
          <w:bCs/>
          <w:i/>
          <w:iCs/>
          <w:rtl/>
        </w:rPr>
        <w:t>"</w:t>
      </w:r>
      <w:r>
        <w:rPr>
          <w:rFonts w:hint="cs"/>
          <w:rtl/>
        </w:rPr>
        <w:t xml:space="preserve"> </w:t>
      </w:r>
      <w:r>
        <w:rPr>
          <w:rtl/>
        </w:rPr>
        <w:t>–</w:t>
      </w:r>
      <w:r>
        <w:rPr>
          <w:rFonts w:hint="cs"/>
          <w:rtl/>
        </w:rPr>
        <w:t xml:space="preserve"> מספקא לרבה אי הוי כמאן דאמר קיים רק היום ומופר למחר.</w:t>
      </w:r>
      <w:r>
        <w:rPr>
          <w:rStyle w:val="a5"/>
          <w:rtl/>
        </w:rPr>
        <w:footnoteReference w:id="2"/>
      </w:r>
    </w:p>
    <w:p w:rsidR="005E2C2B" w:rsidRDefault="005E2C2B" w:rsidP="005E2C2B">
      <w:pPr>
        <w:rPr>
          <w:rtl/>
        </w:rPr>
      </w:pPr>
    </w:p>
    <w:p w:rsidR="005E2C2B" w:rsidRPr="002B5191" w:rsidRDefault="005E2C2B" w:rsidP="005E2C2B">
      <w:pPr>
        <w:rPr>
          <w:b/>
          <w:bCs/>
          <w:i/>
          <w:iCs/>
          <w:rtl/>
        </w:rPr>
      </w:pPr>
      <w:r w:rsidRPr="002B5191">
        <w:rPr>
          <w:rFonts w:hint="cs"/>
          <w:b/>
          <w:bCs/>
          <w:i/>
          <w:iCs/>
          <w:rtl/>
        </w:rPr>
        <w:t>ע.</w:t>
      </w:r>
    </w:p>
    <w:p w:rsidR="005E2C2B" w:rsidRDefault="005E2C2B" w:rsidP="005E2C2B">
      <w:pPr>
        <w:rPr>
          <w:rtl/>
        </w:rPr>
      </w:pPr>
      <w:r w:rsidRPr="000612BE">
        <w:rPr>
          <w:rFonts w:hint="cs"/>
          <w:b/>
          <w:bCs/>
          <w:rtl/>
        </w:rPr>
        <w:t>מופר ליכי למחר</w:t>
      </w:r>
      <w:r>
        <w:rPr>
          <w:rFonts w:hint="cs"/>
          <w:rtl/>
        </w:rPr>
        <w:t xml:space="preserve"> </w:t>
      </w:r>
      <w:r>
        <w:rPr>
          <w:rtl/>
        </w:rPr>
        <w:t>–</w:t>
      </w:r>
      <w:r>
        <w:rPr>
          <w:rFonts w:hint="cs"/>
          <w:rtl/>
        </w:rPr>
        <w:t xml:space="preserve"> מספקא לרבה אי מופר.</w:t>
      </w:r>
      <w:r>
        <w:rPr>
          <w:rStyle w:val="a5"/>
          <w:rtl/>
        </w:rPr>
        <w:footnoteReference w:id="3"/>
      </w:r>
      <w:r>
        <w:rPr>
          <w:rFonts w:hint="cs"/>
          <w:rtl/>
        </w:rPr>
        <w:br/>
      </w:r>
      <w:r w:rsidRPr="000612BE">
        <w:rPr>
          <w:rFonts w:hint="cs"/>
          <w:b/>
          <w:bCs/>
          <w:rtl/>
        </w:rPr>
        <w:t>קיים ליכי שעה</w:t>
      </w:r>
      <w:r>
        <w:rPr>
          <w:rFonts w:hint="cs"/>
          <w:rtl/>
        </w:rPr>
        <w:t xml:space="preserve"> </w:t>
      </w:r>
      <w:r>
        <w:rPr>
          <w:rtl/>
        </w:rPr>
        <w:t>–</w:t>
      </w:r>
      <w:r>
        <w:rPr>
          <w:rFonts w:hint="cs"/>
          <w:rtl/>
        </w:rPr>
        <w:t xml:space="preserve"> ספק אם מופר.</w:t>
      </w:r>
      <w:r>
        <w:rPr>
          <w:rStyle w:val="a5"/>
          <w:rtl/>
        </w:rPr>
        <w:footnoteReference w:id="4"/>
      </w:r>
      <w:r>
        <w:rPr>
          <w:rFonts w:hint="cs"/>
          <w:rtl/>
        </w:rPr>
        <w:br/>
      </w:r>
      <w:r w:rsidRPr="000612BE">
        <w:rPr>
          <w:rFonts w:hint="cs"/>
          <w:b/>
          <w:bCs/>
          <w:rtl/>
        </w:rPr>
        <w:t>קיים ליכי שעה ומופר ליכי לאחר שעה</w:t>
      </w:r>
      <w:r>
        <w:rPr>
          <w:rFonts w:hint="cs"/>
          <w:rtl/>
        </w:rPr>
        <w:t xml:space="preserve"> </w:t>
      </w:r>
      <w:r>
        <w:rPr>
          <w:rtl/>
        </w:rPr>
        <w:t>–</w:t>
      </w:r>
      <w:r>
        <w:rPr>
          <w:rFonts w:hint="cs"/>
          <w:rtl/>
        </w:rPr>
        <w:t xml:space="preserve"> ספק אם מופר.</w:t>
      </w:r>
      <w:r>
        <w:rPr>
          <w:rStyle w:val="a5"/>
          <w:rtl/>
        </w:rPr>
        <w:footnoteReference w:id="5"/>
      </w:r>
    </w:p>
    <w:p w:rsidR="005E2C2B" w:rsidRDefault="005E2C2B" w:rsidP="005E2C2B">
      <w:pPr>
        <w:rPr>
          <w:rFonts w:hint="cs"/>
          <w:rtl/>
        </w:rPr>
      </w:pPr>
      <w:r>
        <w:rPr>
          <w:rFonts w:hint="cs"/>
          <w:rtl/>
        </w:rPr>
        <w:t>הבעיות לא נפשטו, ויש להחמיר.</w:t>
      </w:r>
      <w:r>
        <w:rPr>
          <w:rStyle w:val="a5"/>
          <w:rtl/>
        </w:rPr>
        <w:footnoteReference w:id="6"/>
      </w:r>
      <w:r>
        <w:rPr>
          <w:rFonts w:hint="cs"/>
          <w:rtl/>
        </w:rPr>
        <w:br/>
      </w:r>
      <w:r w:rsidRPr="000612BE">
        <w:rPr>
          <w:rFonts w:hint="cs"/>
          <w:b/>
          <w:bCs/>
          <w:rtl/>
        </w:rPr>
        <w:t>הריני נזירה ושמע בעלה ואמר ואני</w:t>
      </w:r>
      <w:r>
        <w:rPr>
          <w:rFonts w:hint="cs"/>
          <w:rtl/>
        </w:rPr>
        <w:t xml:space="preserve"> </w:t>
      </w:r>
      <w:r>
        <w:rPr>
          <w:rtl/>
        </w:rPr>
        <w:t>–</w:t>
      </w:r>
      <w:r>
        <w:rPr>
          <w:rFonts w:hint="cs"/>
          <w:rtl/>
        </w:rPr>
        <w:t xml:space="preserve"> אינו יכול להפר.</w:t>
      </w:r>
      <w:r>
        <w:rPr>
          <w:rFonts w:hint="cs"/>
          <w:rtl/>
        </w:rPr>
        <w:br/>
        <w:t>להצד דקיים שעה ומופר שעה מהני, עכצ"ל דנחשב כקיים ליכי לעולם.</w:t>
      </w:r>
      <w:r>
        <w:rPr>
          <w:rtl/>
        </w:rPr>
        <w:br/>
      </w:r>
      <w:r>
        <w:rPr>
          <w:rtl/>
        </w:rPr>
        <w:br/>
      </w:r>
      <w:r w:rsidRPr="004C302F">
        <w:rPr>
          <w:rFonts w:hint="cs"/>
          <w:b/>
          <w:bCs/>
          <w:rtl/>
        </w:rPr>
        <w:t>מת האב</w:t>
      </w:r>
      <w:r>
        <w:rPr>
          <w:rFonts w:hint="cs"/>
          <w:rtl/>
        </w:rPr>
        <w:t xml:space="preserve"> </w:t>
      </w:r>
      <w:r>
        <w:rPr>
          <w:rtl/>
        </w:rPr>
        <w:t>–</w:t>
      </w:r>
      <w:r>
        <w:rPr>
          <w:rFonts w:hint="cs"/>
          <w:rtl/>
        </w:rPr>
        <w:t xml:space="preserve"> לא נתרוקנה רשות לבעל הארוס, ואינו יכול להפר.</w:t>
      </w:r>
      <w:r>
        <w:rPr>
          <w:rtl/>
        </w:rPr>
        <w:br/>
      </w:r>
      <w:r w:rsidRPr="004C302F">
        <w:rPr>
          <w:rFonts w:hint="cs"/>
          <w:b/>
          <w:bCs/>
          <w:rtl/>
        </w:rPr>
        <w:t>מת הבעל הארוס</w:t>
      </w:r>
      <w:r>
        <w:rPr>
          <w:rFonts w:hint="cs"/>
          <w:rtl/>
        </w:rPr>
        <w:t xml:space="preserve"> </w:t>
      </w:r>
      <w:r>
        <w:rPr>
          <w:rtl/>
        </w:rPr>
        <w:t>–</w:t>
      </w:r>
      <w:r>
        <w:rPr>
          <w:rFonts w:hint="cs"/>
          <w:rtl/>
        </w:rPr>
        <w:t xml:space="preserve"> נתרוקנה רשות לאב, ואף נדרים ששמע ארוס.</w:t>
      </w:r>
      <w:r>
        <w:rPr>
          <w:rtl/>
        </w:rPr>
        <w:br/>
      </w:r>
      <w:r>
        <w:rPr>
          <w:rFonts w:hint="cs"/>
          <w:rtl/>
        </w:rPr>
        <w:t>ואם שבה ונתארסה, עי' להלן עא עמ' א'.</w:t>
      </w:r>
      <w:r>
        <w:rPr>
          <w:rFonts w:hint="cs"/>
          <w:rtl/>
        </w:rPr>
        <w:br/>
        <w:t>פרטי דינים אלו נתבארו בארוכה בדפים הקודמים.</w:t>
      </w:r>
    </w:p>
    <w:p w:rsidR="005E2C2B" w:rsidRDefault="005E2C2B" w:rsidP="005E2C2B">
      <w:pPr>
        <w:rPr>
          <w:rFonts w:hint="cs"/>
          <w:rtl/>
        </w:rPr>
      </w:pPr>
      <w:r w:rsidRPr="004C302F">
        <w:rPr>
          <w:rFonts w:hint="cs"/>
          <w:b/>
          <w:bCs/>
          <w:rtl/>
        </w:rPr>
        <w:t>בוגרת</w:t>
      </w:r>
      <w:r>
        <w:rPr>
          <w:rFonts w:hint="cs"/>
          <w:rtl/>
        </w:rPr>
        <w:t xml:space="preserve"> </w:t>
      </w:r>
      <w:r>
        <w:rPr>
          <w:rtl/>
        </w:rPr>
        <w:t>–</w:t>
      </w:r>
      <w:r>
        <w:rPr>
          <w:rFonts w:hint="cs"/>
          <w:rtl/>
        </w:rPr>
        <w:t xml:space="preserve"> האב אינו מיפר נדריה בין כשהיא פנויה ובין כשהיא מאורסת.</w:t>
      </w:r>
      <w:r>
        <w:rPr>
          <w:rtl/>
        </w:rPr>
        <w:br/>
      </w:r>
      <w:r w:rsidRPr="004C302F">
        <w:rPr>
          <w:rFonts w:hint="cs"/>
          <w:b/>
          <w:bCs/>
          <w:rtl/>
        </w:rPr>
        <w:t>נתארסה לאחר שבגרה</w:t>
      </w:r>
      <w:r>
        <w:rPr>
          <w:rFonts w:hint="cs"/>
          <w:rtl/>
        </w:rPr>
        <w:t xml:space="preserve"> </w:t>
      </w:r>
      <w:r>
        <w:rPr>
          <w:rtl/>
        </w:rPr>
        <w:t>–</w:t>
      </w:r>
      <w:r>
        <w:rPr>
          <w:rFonts w:hint="cs"/>
          <w:rtl/>
        </w:rPr>
        <w:t xml:space="preserve"> ארוס מיפר נדריה לבדו.</w:t>
      </w:r>
      <w:r>
        <w:rPr>
          <w:rtl/>
        </w:rPr>
        <w:br/>
      </w:r>
      <w:r>
        <w:rPr>
          <w:rFonts w:hint="cs"/>
          <w:rtl/>
        </w:rPr>
        <w:t>והיינו באופן שמתחייב במזונותיה וכדלהלן, ורק אליבא דר"א, ולא להלכה.</w:t>
      </w:r>
    </w:p>
    <w:p w:rsidR="005E2C2B" w:rsidRPr="002B5191" w:rsidRDefault="005E2C2B" w:rsidP="005E2C2B">
      <w:pPr>
        <w:rPr>
          <w:rFonts w:hint="cs"/>
          <w:b/>
          <w:bCs/>
          <w:i/>
          <w:iCs/>
          <w:rtl/>
        </w:rPr>
      </w:pPr>
      <w:r w:rsidRPr="002B5191">
        <w:rPr>
          <w:rFonts w:hint="cs"/>
          <w:b/>
          <w:bCs/>
          <w:i/>
          <w:iCs/>
          <w:rtl/>
        </w:rPr>
        <w:t>ע:</w:t>
      </w:r>
    </w:p>
    <w:p w:rsidR="005E2C2B" w:rsidRDefault="005E2C2B" w:rsidP="005E2C2B">
      <w:pPr>
        <w:rPr>
          <w:rFonts w:hint="cs"/>
          <w:rtl/>
        </w:rPr>
      </w:pPr>
      <w:r w:rsidRPr="002B5191">
        <w:rPr>
          <w:rFonts w:hint="cs"/>
          <w:b/>
          <w:bCs/>
          <w:rtl/>
        </w:rPr>
        <w:t xml:space="preserve">אב שמת </w:t>
      </w:r>
      <w:r>
        <w:rPr>
          <w:rtl/>
        </w:rPr>
        <w:t>–</w:t>
      </w:r>
      <w:r>
        <w:rPr>
          <w:rFonts w:hint="cs"/>
          <w:rtl/>
        </w:rPr>
        <w:t xml:space="preserve"> אינו מוריש זכות בתו הקטנה והנערה לבניו.</w:t>
      </w:r>
      <w:r>
        <w:rPr>
          <w:rtl/>
        </w:rPr>
        <w:br/>
      </w:r>
      <w:r w:rsidRPr="002B5191">
        <w:rPr>
          <w:rFonts w:hint="cs"/>
          <w:b/>
          <w:bCs/>
          <w:rtl/>
        </w:rPr>
        <w:t xml:space="preserve">הנערה שבגרה </w:t>
      </w:r>
      <w:r>
        <w:rPr>
          <w:rtl/>
        </w:rPr>
        <w:t>–</w:t>
      </w:r>
      <w:r>
        <w:rPr>
          <w:rFonts w:hint="cs"/>
          <w:rtl/>
        </w:rPr>
        <w:t xml:space="preserve"> יצאה מרשות אביה לכל דבר.</w:t>
      </w:r>
    </w:p>
    <w:p w:rsidR="005E2C2B" w:rsidRDefault="005E2C2B" w:rsidP="005E2C2B">
      <w:pPr>
        <w:rPr>
          <w:rFonts w:hint="cs"/>
          <w:rtl/>
        </w:rPr>
      </w:pPr>
      <w:r w:rsidRPr="002B5191">
        <w:rPr>
          <w:rFonts w:hint="cs"/>
          <w:b/>
          <w:bCs/>
          <w:rtl/>
        </w:rPr>
        <w:t xml:space="preserve">נתקדשה בנערותה ובגרה </w:t>
      </w:r>
      <w:r>
        <w:rPr>
          <w:rtl/>
        </w:rPr>
        <w:t>–</w:t>
      </w:r>
      <w:r>
        <w:rPr>
          <w:rFonts w:hint="cs"/>
          <w:rtl/>
        </w:rPr>
        <w:t xml:space="preserve"> לכו"ע אין ארוס מיפר.</w:t>
      </w:r>
    </w:p>
    <w:p w:rsidR="005E2C2B" w:rsidRDefault="005E2C2B" w:rsidP="005E2C2B">
      <w:pPr>
        <w:rPr>
          <w:rFonts w:hint="cs"/>
          <w:rtl/>
        </w:rPr>
      </w:pPr>
      <w:r w:rsidRPr="002B5191">
        <w:rPr>
          <w:rFonts w:hint="cs"/>
          <w:b/>
          <w:bCs/>
          <w:rtl/>
        </w:rPr>
        <w:t>תבע את ארוסתו הנערה להינשא</w:t>
      </w:r>
      <w:r>
        <w:rPr>
          <w:rFonts w:hint="cs"/>
          <w:rtl/>
        </w:rPr>
        <w:t xml:space="preserve"> </w:t>
      </w:r>
      <w:r>
        <w:rPr>
          <w:rtl/>
        </w:rPr>
        <w:t>–</w:t>
      </w:r>
      <w:r>
        <w:rPr>
          <w:rFonts w:hint="cs"/>
          <w:rtl/>
        </w:rPr>
        <w:t xml:space="preserve"> נותנין לה זמן לנישואין יב חודש.</w:t>
      </w:r>
      <w:r>
        <w:rPr>
          <w:rFonts w:hint="cs"/>
          <w:rtl/>
        </w:rPr>
        <w:br/>
      </w:r>
      <w:r w:rsidRPr="002B5191">
        <w:rPr>
          <w:rFonts w:hint="cs"/>
          <w:b/>
          <w:bCs/>
          <w:rtl/>
        </w:rPr>
        <w:t>לארוסה אלמנה או גרושה</w:t>
      </w:r>
      <w:r>
        <w:rPr>
          <w:rFonts w:hint="cs"/>
          <w:rtl/>
        </w:rPr>
        <w:t xml:space="preserve"> </w:t>
      </w:r>
      <w:r>
        <w:rPr>
          <w:rtl/>
        </w:rPr>
        <w:t>–</w:t>
      </w:r>
      <w:r>
        <w:rPr>
          <w:rFonts w:hint="cs"/>
          <w:rtl/>
        </w:rPr>
        <w:t xml:space="preserve"> נותנין רק ל' יום.</w:t>
      </w:r>
      <w:r>
        <w:rPr>
          <w:rtl/>
        </w:rPr>
        <w:br/>
      </w:r>
      <w:r w:rsidRPr="002B5191">
        <w:rPr>
          <w:rFonts w:hint="cs"/>
          <w:b/>
          <w:bCs/>
          <w:rtl/>
        </w:rPr>
        <w:t>תבע את הבוגרת להינשא</w:t>
      </w:r>
      <w:r>
        <w:rPr>
          <w:rFonts w:hint="cs"/>
          <w:rtl/>
        </w:rPr>
        <w:t xml:space="preserve"> </w:t>
      </w:r>
      <w:r>
        <w:rPr>
          <w:rtl/>
        </w:rPr>
        <w:t>–</w:t>
      </w:r>
      <w:r>
        <w:rPr>
          <w:rFonts w:hint="cs"/>
          <w:rtl/>
        </w:rPr>
        <w:t xml:space="preserve"> לרב הונא יש לה רק ל' יום.</w:t>
      </w:r>
      <w:r>
        <w:rPr>
          <w:rtl/>
        </w:rPr>
        <w:br/>
      </w:r>
      <w:r>
        <w:rPr>
          <w:rFonts w:hint="cs"/>
          <w:rtl/>
        </w:rPr>
        <w:t>וקיי"ל דיש לה עד מלאת יב חודש מיום שבגרה.</w:t>
      </w:r>
    </w:p>
    <w:p w:rsidR="005E2C2B" w:rsidRPr="001A2CE1" w:rsidRDefault="005E2C2B" w:rsidP="005E2C2B">
      <w:pPr>
        <w:rPr>
          <w:rtl/>
        </w:rPr>
      </w:pPr>
      <w:r w:rsidRPr="002B5191">
        <w:rPr>
          <w:rFonts w:hint="cs"/>
          <w:b/>
          <w:bCs/>
          <w:rtl/>
        </w:rPr>
        <w:t>הגיע הזמן הנ"ל ולא נישאו</w:t>
      </w:r>
      <w:r>
        <w:rPr>
          <w:rStyle w:val="a5"/>
          <w:rtl/>
        </w:rPr>
        <w:footnoteReference w:id="7"/>
      </w:r>
      <w:r>
        <w:rPr>
          <w:rFonts w:hint="cs"/>
          <w:rtl/>
        </w:rPr>
        <w:t xml:space="preserve"> </w:t>
      </w:r>
      <w:r>
        <w:rPr>
          <w:rtl/>
        </w:rPr>
        <w:t>–</w:t>
      </w:r>
      <w:r>
        <w:rPr>
          <w:rFonts w:hint="cs"/>
          <w:rtl/>
        </w:rPr>
        <w:t xml:space="preserve"> הבעל חייב במזונותיה.</w:t>
      </w:r>
      <w:r>
        <w:rPr>
          <w:rtl/>
        </w:rPr>
        <w:br/>
      </w:r>
      <w:r w:rsidRPr="002B5191">
        <w:rPr>
          <w:rFonts w:hint="cs"/>
          <w:b/>
          <w:bCs/>
          <w:rtl/>
        </w:rPr>
        <w:t>כשהבעל חייב</w:t>
      </w:r>
      <w:r>
        <w:rPr>
          <w:rFonts w:hint="cs"/>
          <w:rtl/>
        </w:rPr>
        <w:t xml:space="preserve"> </w:t>
      </w:r>
      <w:r w:rsidRPr="002B5191">
        <w:rPr>
          <w:rFonts w:hint="cs"/>
          <w:b/>
          <w:bCs/>
          <w:rtl/>
        </w:rPr>
        <w:t>במזונותיה</w:t>
      </w:r>
      <w:r>
        <w:rPr>
          <w:rFonts w:hint="cs"/>
          <w:rtl/>
        </w:rPr>
        <w:t xml:space="preserve"> </w:t>
      </w:r>
      <w:r>
        <w:rPr>
          <w:rtl/>
        </w:rPr>
        <w:t>–</w:t>
      </w:r>
      <w:r>
        <w:rPr>
          <w:rFonts w:hint="cs"/>
          <w:rtl/>
        </w:rPr>
        <w:t xml:space="preserve"> לר"א מיפר לבדו</w:t>
      </w:r>
      <w:r>
        <w:rPr>
          <w:rStyle w:val="a5"/>
          <w:rtl/>
        </w:rPr>
        <w:footnoteReference w:id="8"/>
      </w:r>
      <w:r>
        <w:rPr>
          <w:rFonts w:hint="cs"/>
          <w:rtl/>
        </w:rPr>
        <w:t>, ולחכמים אין מיפר עד שתיכנס לחופה</w:t>
      </w:r>
      <w:r>
        <w:rPr>
          <w:rStyle w:val="a5"/>
          <w:rtl/>
        </w:rPr>
        <w:footnoteReference w:id="9"/>
      </w:r>
      <w:r>
        <w:rPr>
          <w:rFonts w:hint="cs"/>
          <w:rtl/>
        </w:rPr>
        <w:t xml:space="preserve">. </w:t>
      </w:r>
      <w:r>
        <w:rPr>
          <w:rFonts w:hint="cs"/>
          <w:rtl/>
        </w:rPr>
        <w:br/>
      </w:r>
    </w:p>
    <w:p w:rsidR="00CC6452" w:rsidRDefault="00CC6452"/>
    <w:sectPr w:rsidR="00CC6452" w:rsidSect="00BF1BCC">
      <w:pgSz w:w="11907" w:h="16839" w:code="9"/>
      <w:pgMar w:top="1440" w:right="1797" w:bottom="1440" w:left="179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70D" w:rsidRDefault="0088470D" w:rsidP="005E2C2B">
      <w:pPr>
        <w:spacing w:after="0" w:line="240" w:lineRule="auto"/>
      </w:pPr>
      <w:r>
        <w:separator/>
      </w:r>
    </w:p>
  </w:endnote>
  <w:endnote w:type="continuationSeparator" w:id="0">
    <w:p w:rsidR="0088470D" w:rsidRDefault="0088470D" w:rsidP="005E2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70D" w:rsidRDefault="0088470D" w:rsidP="005E2C2B">
      <w:pPr>
        <w:spacing w:after="0" w:line="240" w:lineRule="auto"/>
      </w:pPr>
      <w:r>
        <w:separator/>
      </w:r>
    </w:p>
  </w:footnote>
  <w:footnote w:type="continuationSeparator" w:id="0">
    <w:p w:rsidR="0088470D" w:rsidRDefault="0088470D" w:rsidP="005E2C2B">
      <w:pPr>
        <w:spacing w:after="0" w:line="240" w:lineRule="auto"/>
      </w:pPr>
      <w:r>
        <w:continuationSeparator/>
      </w:r>
    </w:p>
  </w:footnote>
  <w:footnote w:id="1">
    <w:p w:rsidR="005E2C2B" w:rsidRDefault="005E2C2B" w:rsidP="005E2C2B">
      <w:pPr>
        <w:pStyle w:val="a3"/>
        <w:rPr>
          <w:rtl/>
        </w:rPr>
      </w:pPr>
      <w:r>
        <w:rPr>
          <w:rStyle w:val="a5"/>
        </w:rPr>
        <w:footnoteRef/>
      </w:r>
      <w:r>
        <w:rPr>
          <w:rtl/>
        </w:rPr>
        <w:t xml:space="preserve"> </w:t>
      </w:r>
      <w:r>
        <w:rPr>
          <w:rFonts w:hint="cs"/>
          <w:rtl/>
        </w:rPr>
        <w:t>זה לא נתפרש להדיא בגמרא אבל כך מוכיח הר"ן שגם זה ספק, שיתכן שאחר קיום לא שייכא הפרה אף אם מגבילים מראש להדיא את הקיום ומצרפים לו הפרה מפורשת.</w:t>
      </w:r>
    </w:p>
  </w:footnote>
  <w:footnote w:id="2">
    <w:p w:rsidR="005E2C2B" w:rsidRDefault="005E2C2B" w:rsidP="005E2C2B">
      <w:pPr>
        <w:pStyle w:val="a3"/>
        <w:rPr>
          <w:rtl/>
        </w:rPr>
      </w:pPr>
      <w:r>
        <w:rPr>
          <w:rStyle w:val="a5"/>
        </w:rPr>
        <w:footnoteRef/>
      </w:r>
      <w:r>
        <w:rPr>
          <w:rtl/>
        </w:rPr>
        <w:t xml:space="preserve"> </w:t>
      </w:r>
      <w:r>
        <w:rPr>
          <w:rFonts w:hint="cs"/>
          <w:rtl/>
        </w:rPr>
        <w:t>ספק זה להצד דבספק הקודם מהני ההפרה.</w:t>
      </w:r>
    </w:p>
  </w:footnote>
  <w:footnote w:id="3">
    <w:p w:rsidR="005E2C2B" w:rsidRDefault="005E2C2B" w:rsidP="005E2C2B">
      <w:pPr>
        <w:pStyle w:val="a3"/>
      </w:pPr>
      <w:r>
        <w:rPr>
          <w:rStyle w:val="a5"/>
        </w:rPr>
        <w:footnoteRef/>
      </w:r>
      <w:r>
        <w:rPr>
          <w:rtl/>
        </w:rPr>
        <w:t xml:space="preserve"> </w:t>
      </w:r>
      <w:r>
        <w:rPr>
          <w:rFonts w:hint="cs"/>
          <w:rtl/>
        </w:rPr>
        <w:t>ספק זה להצד דקיים היום ומופר למחר לא מהני, האם הוי כמאן דאמר קיים ולא מהני, או כיון שלא אמר קיים, מהני ההפרה.</w:t>
      </w:r>
    </w:p>
  </w:footnote>
  <w:footnote w:id="4">
    <w:p w:rsidR="005E2C2B" w:rsidRDefault="005E2C2B" w:rsidP="005E2C2B">
      <w:pPr>
        <w:pStyle w:val="a3"/>
      </w:pPr>
      <w:r>
        <w:rPr>
          <w:rStyle w:val="a5"/>
        </w:rPr>
        <w:footnoteRef/>
      </w:r>
      <w:r>
        <w:rPr>
          <w:rtl/>
        </w:rPr>
        <w:t xml:space="preserve"> </w:t>
      </w:r>
      <w:r>
        <w:rPr>
          <w:rFonts w:hint="cs"/>
          <w:rtl/>
        </w:rPr>
        <w:t>להצד דקיים ליכי היום אינו מופר, אולי זה עדיף.</w:t>
      </w:r>
    </w:p>
  </w:footnote>
  <w:footnote w:id="5">
    <w:p w:rsidR="005E2C2B" w:rsidRDefault="005E2C2B" w:rsidP="005E2C2B">
      <w:pPr>
        <w:pStyle w:val="a3"/>
      </w:pPr>
      <w:r>
        <w:rPr>
          <w:rStyle w:val="a5"/>
        </w:rPr>
        <w:footnoteRef/>
      </w:r>
      <w:r>
        <w:rPr>
          <w:rtl/>
        </w:rPr>
        <w:t xml:space="preserve"> </w:t>
      </w:r>
      <w:r>
        <w:rPr>
          <w:rFonts w:hint="cs"/>
          <w:rtl/>
        </w:rPr>
        <w:t>ספק זה להצד דקיים ליכי שעה אינו מופר, אולי בזה עדיף. אמנם להלן גבי נזירה כתב הר"ן דאם מופר ליכי לאחר שעה מהני, לאו דוקא באמר מיד, אלא גם אם אמר מופר ליכי רק כעבור שעה ג"כ מהני, והיינו דהא דלא מהני בהקודם היינו באמר קיים ליכי שעה ולא אמר כלל מופר ליכי אפילו לאחר זמן.</w:t>
      </w:r>
    </w:p>
  </w:footnote>
  <w:footnote w:id="6">
    <w:p w:rsidR="005E2C2B" w:rsidRDefault="005E2C2B" w:rsidP="005E2C2B">
      <w:pPr>
        <w:pStyle w:val="a3"/>
      </w:pPr>
      <w:r>
        <w:rPr>
          <w:rStyle w:val="a5"/>
        </w:rPr>
        <w:footnoteRef/>
      </w:r>
      <w:r>
        <w:rPr>
          <w:rtl/>
        </w:rPr>
        <w:t xml:space="preserve"> </w:t>
      </w:r>
      <w:r>
        <w:rPr>
          <w:rFonts w:hint="cs"/>
          <w:rtl/>
        </w:rPr>
        <w:t>הר"ן סתם, ואולי כוונתו רק על הבעיה האחרונה אבל הבעיות שבאות באם תימצי לומר נפשטו כדרך הרמב"ם. ואכמ"ל בחשבון הבעיות לפי זה.</w:t>
      </w:r>
    </w:p>
  </w:footnote>
  <w:footnote w:id="7">
    <w:p w:rsidR="005E2C2B" w:rsidRDefault="005E2C2B" w:rsidP="005E2C2B">
      <w:pPr>
        <w:pStyle w:val="a3"/>
        <w:rPr>
          <w:rFonts w:hint="cs"/>
        </w:rPr>
      </w:pPr>
      <w:r>
        <w:rPr>
          <w:rStyle w:val="a5"/>
        </w:rPr>
        <w:footnoteRef/>
      </w:r>
      <w:r>
        <w:rPr>
          <w:rtl/>
        </w:rPr>
        <w:t xml:space="preserve"> </w:t>
      </w:r>
      <w:r>
        <w:rPr>
          <w:rFonts w:hint="cs"/>
          <w:rtl/>
        </w:rPr>
        <w:t>באשמת הבעל כמבואר בריש כתובות.</w:t>
      </w:r>
    </w:p>
  </w:footnote>
  <w:footnote w:id="8">
    <w:p w:rsidR="005E2C2B" w:rsidRDefault="005E2C2B" w:rsidP="005E2C2B">
      <w:pPr>
        <w:pStyle w:val="a3"/>
        <w:rPr>
          <w:rFonts w:hint="cs"/>
        </w:rPr>
      </w:pPr>
      <w:r>
        <w:rPr>
          <w:rStyle w:val="a5"/>
        </w:rPr>
        <w:footnoteRef/>
      </w:r>
      <w:r>
        <w:rPr>
          <w:rtl/>
        </w:rPr>
        <w:t xml:space="preserve"> </w:t>
      </w:r>
      <w:r>
        <w:rPr>
          <w:rFonts w:hint="cs"/>
          <w:rtl/>
        </w:rPr>
        <w:t>ומבואר לעיל דהיינו כשאירסה אחר שבגרה, ולזה כוונת משנתינו.</w:t>
      </w:r>
    </w:p>
  </w:footnote>
  <w:footnote w:id="9">
    <w:p w:rsidR="005E2C2B" w:rsidRDefault="005E2C2B" w:rsidP="005E2C2B">
      <w:pPr>
        <w:pStyle w:val="a3"/>
        <w:rPr>
          <w:rFonts w:hint="cs"/>
        </w:rPr>
      </w:pPr>
      <w:r>
        <w:rPr>
          <w:rStyle w:val="a5"/>
        </w:rPr>
        <w:footnoteRef/>
      </w:r>
      <w:r>
        <w:rPr>
          <w:rtl/>
        </w:rPr>
        <w:t xml:space="preserve"> </w:t>
      </w:r>
      <w:r>
        <w:rPr>
          <w:rFonts w:hint="cs"/>
          <w:rtl/>
        </w:rPr>
        <w:t>כלומר מה שתידור מאז, דאין מיפר בקודמין. והלכה כחכמים דהוי סתם ואח"כ מחלוקת כדאי' בר"ן.</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5E2C2B"/>
    <w:rsid w:val="0003408F"/>
    <w:rsid w:val="000378D4"/>
    <w:rsid w:val="00240196"/>
    <w:rsid w:val="00294D17"/>
    <w:rsid w:val="005A5BAA"/>
    <w:rsid w:val="005E2C2B"/>
    <w:rsid w:val="0088470D"/>
    <w:rsid w:val="00AF7868"/>
    <w:rsid w:val="00BF1BCC"/>
    <w:rsid w:val="00C346B2"/>
    <w:rsid w:val="00CC64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C2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2C2B"/>
    <w:pPr>
      <w:spacing w:after="0" w:line="240" w:lineRule="auto"/>
    </w:pPr>
    <w:rPr>
      <w:sz w:val="20"/>
      <w:szCs w:val="20"/>
    </w:rPr>
  </w:style>
  <w:style w:type="character" w:customStyle="1" w:styleId="a4">
    <w:name w:val="טקסט הערת שוליים תו"/>
    <w:basedOn w:val="a0"/>
    <w:link w:val="a3"/>
    <w:uiPriority w:val="99"/>
    <w:semiHidden/>
    <w:rsid w:val="005E2C2B"/>
    <w:rPr>
      <w:sz w:val="20"/>
      <w:szCs w:val="20"/>
    </w:rPr>
  </w:style>
  <w:style w:type="character" w:styleId="a5">
    <w:name w:val="footnote reference"/>
    <w:basedOn w:val="a0"/>
    <w:uiPriority w:val="99"/>
    <w:semiHidden/>
    <w:unhideWhenUsed/>
    <w:rsid w:val="005E2C2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1010</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2015-08-07T13:27:00Z</dcterms:created>
  <dcterms:modified xsi:type="dcterms:W3CDTF">2015-08-07T13:27:00Z</dcterms:modified>
</cp:coreProperties>
</file>